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6F37">
      <w:pPr>
        <w:pStyle w:val="2"/>
        <w:jc w:val="center"/>
      </w:pPr>
      <w:bookmarkStart w:id="0" w:name="_GoBack"/>
      <w:bookmarkEnd w:id="0"/>
      <w:r>
        <w:rPr>
          <w:rFonts w:hint="eastAsia"/>
        </w:rPr>
        <w:t>管理评审计划</w:t>
      </w:r>
    </w:p>
    <w:p w14:paraId="7B3E24F1">
      <w:pPr>
        <w:jc w:val="right"/>
        <w:rPr>
          <w:color w:val="FF0000"/>
        </w:rPr>
      </w:pP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</w:p>
    <w:p w14:paraId="06A9D16D">
      <w:pPr>
        <w:jc w:val="right"/>
        <w:rPr>
          <w:color w:val="FF0000"/>
        </w:rPr>
      </w:pPr>
    </w:p>
    <w:tbl>
      <w:tblPr>
        <w:tblStyle w:val="10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26"/>
        <w:gridCol w:w="1304"/>
        <w:gridCol w:w="1630"/>
        <w:gridCol w:w="1630"/>
        <w:gridCol w:w="1630"/>
        <w:gridCol w:w="1631"/>
      </w:tblGrid>
      <w:tr w14:paraId="3B2A3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 w14:paraId="6651A149">
            <w:r>
              <w:rPr>
                <w:rFonts w:hint="eastAsia"/>
              </w:rPr>
              <w:t>评审目的</w:t>
            </w:r>
          </w:p>
          <w:p w14:paraId="511A1CF9"/>
        </w:tc>
      </w:tr>
      <w:tr w14:paraId="6FE35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 w14:paraId="75209AC7">
            <w:r>
              <w:rPr>
                <w:rFonts w:hint="eastAsia"/>
              </w:rPr>
              <w:t>评审依据：</w:t>
            </w:r>
          </w:p>
          <w:p w14:paraId="11E167D4"/>
          <w:p w14:paraId="72BF22E6"/>
        </w:tc>
      </w:tr>
      <w:tr w14:paraId="757CC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</w:tcPr>
          <w:p w14:paraId="3A09F06F">
            <w:r>
              <w:rPr>
                <w:rFonts w:hint="eastAsia"/>
              </w:rPr>
              <w:t>评审内容：</w:t>
            </w:r>
          </w:p>
          <w:p w14:paraId="396CB547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质量管理体系审核结果(包括内部，顾客的，认证机构的审核结果)。</w:t>
            </w:r>
          </w:p>
          <w:p w14:paraId="162B71FD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顾客投诉的处理，顾客的满意度测量结果及反馈的重要信息。</w:t>
            </w:r>
          </w:p>
          <w:p w14:paraId="49F82461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 xml:space="preserve">。 </w:t>
            </w:r>
          </w:p>
          <w:p w14:paraId="16D38CFE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质量方针的持续适宜性、质量目标的达成情况。</w:t>
            </w:r>
          </w:p>
          <w:p w14:paraId="23EDEC8E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纠正预防措施的实施的情况。</w:t>
            </w:r>
          </w:p>
          <w:p w14:paraId="40608157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以前管理评审所确定的跟踪措施的执行情况。</w:t>
            </w:r>
          </w:p>
          <w:p w14:paraId="6F21688C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可能影响质量管理体系的变化(如公司的组织结构，产品结构发生的重大改变与调整等)。</w:t>
            </w:r>
          </w:p>
          <w:p w14:paraId="0B2EBAE9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重大质量事故的处理或改进的建议。</w:t>
            </w:r>
          </w:p>
          <w:p w14:paraId="6E45CF00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  <w:color w:val="FF0000"/>
              </w:rPr>
            </w:pPr>
            <w:r>
              <w:rPr>
                <w:rFonts w:hint="eastAsia" w:hAnsi="宋体"/>
              </w:rPr>
              <w:t>对法规符合性的评价。</w:t>
            </w:r>
          </w:p>
        </w:tc>
      </w:tr>
      <w:tr w14:paraId="2CC52E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 w14:paraId="5E1F0CD0">
            <w:r>
              <w:rPr>
                <w:rFonts w:hint="eastAsia"/>
              </w:rPr>
              <w:t>计划参加评审的人员</w:t>
            </w:r>
          </w:p>
        </w:tc>
      </w:tr>
      <w:tr w14:paraId="096DF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 w14:paraId="0B8F2921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  <w:gridSpan w:val="2"/>
          </w:tcPr>
          <w:p w14:paraId="73303D9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 w14:paraId="324B79F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0" w:type="dxa"/>
          </w:tcPr>
          <w:p w14:paraId="55277FC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0" w:type="dxa"/>
          </w:tcPr>
          <w:p w14:paraId="0F8BF615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31" w:type="dxa"/>
          </w:tcPr>
          <w:p w14:paraId="070284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14:paraId="2BE39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 w14:paraId="2DE4DDD6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2"/>
          </w:tcPr>
          <w:p w14:paraId="029C7380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14:paraId="2B87B7ED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14:paraId="2D1B7C2A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14:paraId="334A5332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14:paraId="46AF1EB2">
            <w:pPr>
              <w:jc w:val="center"/>
              <w:rPr>
                <w:b/>
              </w:rPr>
            </w:pPr>
          </w:p>
        </w:tc>
      </w:tr>
      <w:tr w14:paraId="0A579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 w14:paraId="209DF189">
            <w:pPr>
              <w:jc w:val="center"/>
            </w:pPr>
          </w:p>
        </w:tc>
        <w:tc>
          <w:tcPr>
            <w:tcW w:w="1630" w:type="dxa"/>
            <w:gridSpan w:val="2"/>
          </w:tcPr>
          <w:p w14:paraId="36C03044">
            <w:pPr>
              <w:jc w:val="center"/>
            </w:pPr>
          </w:p>
        </w:tc>
        <w:tc>
          <w:tcPr>
            <w:tcW w:w="1630" w:type="dxa"/>
          </w:tcPr>
          <w:p w14:paraId="55A0D66D">
            <w:pPr>
              <w:jc w:val="center"/>
            </w:pPr>
          </w:p>
        </w:tc>
        <w:tc>
          <w:tcPr>
            <w:tcW w:w="1630" w:type="dxa"/>
          </w:tcPr>
          <w:p w14:paraId="6CC20FA8">
            <w:pPr>
              <w:jc w:val="center"/>
            </w:pPr>
          </w:p>
        </w:tc>
        <w:tc>
          <w:tcPr>
            <w:tcW w:w="1630" w:type="dxa"/>
          </w:tcPr>
          <w:p w14:paraId="4A90697E">
            <w:pPr>
              <w:jc w:val="center"/>
            </w:pPr>
          </w:p>
        </w:tc>
        <w:tc>
          <w:tcPr>
            <w:tcW w:w="1631" w:type="dxa"/>
          </w:tcPr>
          <w:p w14:paraId="0B57451C">
            <w:pPr>
              <w:jc w:val="center"/>
            </w:pPr>
          </w:p>
        </w:tc>
      </w:tr>
      <w:tr w14:paraId="338D1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</w:tcPr>
          <w:p w14:paraId="2674E8D5">
            <w:pPr>
              <w:jc w:val="center"/>
            </w:pPr>
          </w:p>
        </w:tc>
        <w:tc>
          <w:tcPr>
            <w:tcW w:w="1630" w:type="dxa"/>
            <w:gridSpan w:val="2"/>
          </w:tcPr>
          <w:p w14:paraId="1FCE0CFC">
            <w:pPr>
              <w:jc w:val="center"/>
            </w:pPr>
          </w:p>
        </w:tc>
        <w:tc>
          <w:tcPr>
            <w:tcW w:w="1630" w:type="dxa"/>
          </w:tcPr>
          <w:p w14:paraId="436715D6">
            <w:pPr>
              <w:jc w:val="center"/>
            </w:pPr>
          </w:p>
        </w:tc>
        <w:tc>
          <w:tcPr>
            <w:tcW w:w="1630" w:type="dxa"/>
          </w:tcPr>
          <w:p w14:paraId="6F1FEA69">
            <w:pPr>
              <w:jc w:val="center"/>
            </w:pPr>
          </w:p>
        </w:tc>
        <w:tc>
          <w:tcPr>
            <w:tcW w:w="1630" w:type="dxa"/>
          </w:tcPr>
          <w:p w14:paraId="1306A030">
            <w:pPr>
              <w:jc w:val="center"/>
            </w:pPr>
          </w:p>
        </w:tc>
        <w:tc>
          <w:tcPr>
            <w:tcW w:w="1631" w:type="dxa"/>
          </w:tcPr>
          <w:p w14:paraId="1567AA62">
            <w:pPr>
              <w:jc w:val="center"/>
            </w:pPr>
          </w:p>
        </w:tc>
      </w:tr>
      <w:tr w14:paraId="7F7DF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 w14:paraId="0880C6D0">
            <w:r>
              <w:rPr>
                <w:rFonts w:hint="eastAsia"/>
              </w:rPr>
              <w:t>各部门评审的准备工作要求：</w:t>
            </w:r>
          </w:p>
          <w:p w14:paraId="47EAFA2D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质量管理体系审核结果(包括内部，顾客的，认证机构的审核结果)：管理者代表</w:t>
            </w:r>
          </w:p>
          <w:p w14:paraId="7F6FDF36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顾客投诉的处理，顾客的满意度测量结果及反馈的重要信息：销售部</w:t>
            </w:r>
          </w:p>
          <w:p w14:paraId="034AE45F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过程的业绩和产品的符合性，</w:t>
            </w:r>
            <w:r>
              <w:rPr>
                <w:rFonts w:hAnsi="宋体"/>
              </w:rPr>
              <w:t>包括过程、产品的监视和测量的结果</w:t>
            </w:r>
            <w:r>
              <w:rPr>
                <w:rFonts w:hint="eastAsia" w:hAnsi="宋体"/>
              </w:rPr>
              <w:t>：各部门</w:t>
            </w:r>
          </w:p>
          <w:p w14:paraId="1C01EE55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质量方针的持续适宜性、质量目标的达成情况：管理者代表</w:t>
            </w:r>
          </w:p>
          <w:p w14:paraId="14D2BD98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纠正预防措施的实施的情况：管理者代表</w:t>
            </w:r>
          </w:p>
          <w:p w14:paraId="0EA95469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以前管理评审所确定的跟踪措施的执行情况：管理者代表</w:t>
            </w:r>
          </w:p>
          <w:p w14:paraId="036EDEFC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可能影响质量管理体系的变化(如公司的组织结构，产品结构发生的重大改变与调整等)：管理者代表</w:t>
            </w:r>
          </w:p>
          <w:p w14:paraId="2BD74978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  <w:rPr>
                <w:rFonts w:hAnsi="宋体"/>
              </w:rPr>
            </w:pPr>
            <w:r>
              <w:rPr>
                <w:rFonts w:hint="eastAsia" w:hAnsi="宋体"/>
              </w:rPr>
              <w:t>重大质量事故的处理或改进的建议：管理者代表及与会人员</w:t>
            </w:r>
          </w:p>
          <w:p w14:paraId="7E240115">
            <w:pPr>
              <w:pStyle w:val="4"/>
              <w:numPr>
                <w:ilvl w:val="0"/>
                <w:numId w:val="2"/>
              </w:numPr>
              <w:tabs>
                <w:tab w:val="left" w:pos="1066"/>
                <w:tab w:val="left" w:pos="1145"/>
                <w:tab w:val="left" w:pos="10325"/>
                <w:tab w:val="clear" w:pos="780"/>
              </w:tabs>
              <w:spacing w:line="360" w:lineRule="auto"/>
              <w:ind w:right="105" w:rightChars="50" w:hanging="281"/>
            </w:pPr>
            <w:r>
              <w:rPr>
                <w:rFonts w:hint="eastAsia" w:hAnsi="宋体"/>
              </w:rPr>
              <w:t>对法规符合性的评价：管理者代表</w:t>
            </w:r>
          </w:p>
        </w:tc>
      </w:tr>
      <w:tr w14:paraId="6E6D6E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 w14:paraId="58959EC5">
            <w:pPr>
              <w:jc w:val="left"/>
            </w:pPr>
            <w:r>
              <w:rPr>
                <w:rFonts w:hint="eastAsia"/>
              </w:rPr>
              <w:t>计划评审的时间地点：</w:t>
            </w:r>
          </w:p>
        </w:tc>
      </w:tr>
      <w:tr w14:paraId="06B92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 w14:paraId="7BE2D2F7">
            <w:pPr>
              <w:jc w:val="center"/>
            </w:pPr>
            <w:r>
              <w:rPr>
                <w:rFonts w:hint="eastAsia"/>
              </w:rPr>
              <w:t>评审时间：</w:t>
            </w:r>
          </w:p>
        </w:tc>
        <w:tc>
          <w:tcPr>
            <w:tcW w:w="7825" w:type="dxa"/>
            <w:gridSpan w:val="5"/>
            <w:vAlign w:val="center"/>
          </w:tcPr>
          <w:p w14:paraId="7EEC7894">
            <w:pPr>
              <w:jc w:val="center"/>
            </w:pPr>
          </w:p>
        </w:tc>
      </w:tr>
      <w:tr w14:paraId="352C0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6" w:type="dxa"/>
            <w:gridSpan w:val="2"/>
            <w:vAlign w:val="center"/>
          </w:tcPr>
          <w:p w14:paraId="4FE8FCEC">
            <w:pPr>
              <w:jc w:val="center"/>
            </w:pPr>
            <w:r>
              <w:rPr>
                <w:rFonts w:hint="eastAsia"/>
              </w:rPr>
              <w:t>评审地点：</w:t>
            </w:r>
          </w:p>
        </w:tc>
        <w:tc>
          <w:tcPr>
            <w:tcW w:w="7825" w:type="dxa"/>
            <w:gridSpan w:val="5"/>
            <w:vAlign w:val="center"/>
          </w:tcPr>
          <w:p w14:paraId="133E6F4C">
            <w:pPr>
              <w:jc w:val="center"/>
            </w:pPr>
          </w:p>
        </w:tc>
      </w:tr>
      <w:tr w14:paraId="4134D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7"/>
            <w:vAlign w:val="center"/>
          </w:tcPr>
          <w:p w14:paraId="3CECEDCA">
            <w:r>
              <w:rPr>
                <w:rFonts w:hint="eastAsia"/>
              </w:rPr>
              <w:t>其他说明：</w:t>
            </w:r>
          </w:p>
          <w:p w14:paraId="01C3D042"/>
          <w:p w14:paraId="6D802B40"/>
          <w:p w14:paraId="274951DD"/>
        </w:tc>
      </w:tr>
    </w:tbl>
    <w:p w14:paraId="25DB4AA1"/>
    <w:p w14:paraId="5470ED83">
      <w:pPr>
        <w:ind w:firstLine="5880" w:firstLineChars="2800"/>
      </w:pPr>
      <w:r>
        <w:rPr>
          <w:rFonts w:hint="eastAsia"/>
        </w:rPr>
        <w:t>编制人：          编制日期：</w:t>
      </w:r>
    </w:p>
    <w:p w14:paraId="19B5DDED">
      <w:pPr>
        <w:ind w:firstLine="5880" w:firstLineChars="2800"/>
      </w:pPr>
      <w:r>
        <w:rPr>
          <w:rFonts w:hint="eastAsia"/>
        </w:rPr>
        <w:t>审核人：          审核日期：</w:t>
      </w:r>
    </w:p>
    <w:p w14:paraId="4CB57BE7">
      <w:pPr>
        <w:ind w:firstLine="5880" w:firstLineChars="2800"/>
      </w:pPr>
      <w:r>
        <w:rPr>
          <w:rFonts w:hint="eastAsia"/>
        </w:rPr>
        <w:t>批准人：          批准日期：</w:t>
      </w:r>
    </w:p>
    <w:p w14:paraId="23D49CED"/>
    <w:p w14:paraId="2FB5DFD0">
      <w:pPr>
        <w:pStyle w:val="2"/>
        <w:jc w:val="center"/>
        <w:rPr>
          <w:rFonts w:hint="eastAsia" w:eastAsia="宋体"/>
          <w:lang w:eastAsia="zh-CN"/>
        </w:rPr>
      </w:pPr>
    </w:p>
    <w:p w14:paraId="1C291FBD">
      <w:pPr>
        <w:jc w:val="center"/>
        <w:rPr>
          <w:rFonts w:hint="eastAsia"/>
          <w:lang w:eastAsia="zh-CN"/>
        </w:rPr>
      </w:pPr>
    </w:p>
    <w:p w14:paraId="674DD8FE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9EB3F">
    <w:pPr>
      <w:pStyle w:val="6"/>
      <w:jc w:val="center"/>
      <w:rPr>
        <w:b/>
      </w:rPr>
    </w:pPr>
    <w:r>
      <w:pict>
        <v:shape id="_x0000_s4097" o:spid="_x0000_s4097" o:spt="202" type="#_x0000_t202" style="position:absolute;left:0pt;margin-left:197.6pt;margin-top:-0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EA4F2D6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BD62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079D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F62F6">
    <w:pPr>
      <w:pStyle w:val="7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7090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DB75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C705C"/>
    <w:multiLevelType w:val="multilevel"/>
    <w:tmpl w:val="0A6C705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D95938"/>
    <w:multiLevelType w:val="multilevel"/>
    <w:tmpl w:val="6ED95938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614E1"/>
    <w:rsid w:val="00267543"/>
    <w:rsid w:val="002B1710"/>
    <w:rsid w:val="00321D79"/>
    <w:rsid w:val="00330AC1"/>
    <w:rsid w:val="00482120"/>
    <w:rsid w:val="004F76C6"/>
    <w:rsid w:val="0054552A"/>
    <w:rsid w:val="006062BF"/>
    <w:rsid w:val="00606719"/>
    <w:rsid w:val="006A62F7"/>
    <w:rsid w:val="00715D33"/>
    <w:rsid w:val="0075586D"/>
    <w:rsid w:val="009E2ECC"/>
    <w:rsid w:val="00D14544"/>
    <w:rsid w:val="00D2206B"/>
    <w:rsid w:val="00E84D0E"/>
    <w:rsid w:val="34F75D9D"/>
    <w:rsid w:val="7B1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文字 Char"/>
    <w:basedOn w:val="11"/>
    <w:link w:val="3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639</Characters>
  <Lines>5</Lines>
  <Paragraphs>1</Paragraphs>
  <TotalTime>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1DAA929BB67B4DCCB84065C49A6B2EA2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