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4CD00">
      <w:pPr>
        <w:tabs>
          <w:tab w:val="left" w:pos="709"/>
        </w:tabs>
        <w:spacing w:line="360" w:lineRule="auto"/>
        <w:jc w:val="center"/>
        <w:rPr>
          <w:rFonts w:ascii="Arial" w:hAnsi="Arial" w:cs="Arial"/>
          <w:sz w:val="22"/>
          <w:szCs w:val="22"/>
        </w:rPr>
      </w:pPr>
      <w:bookmarkStart w:id="3" w:name="_GoBack"/>
      <w:bookmarkEnd w:id="3"/>
      <w:bookmarkStart w:id="0" w:name="_Hlk489617946"/>
      <w:r>
        <w:rPr>
          <w:rFonts w:ascii="Arial" w:hAnsi="宋体" w:cs="Arial"/>
          <w:sz w:val="22"/>
          <w:szCs w:val="22"/>
        </w:rPr>
        <w:t>更改历史</w:t>
      </w:r>
      <w:bookmarkEnd w:id="0"/>
    </w:p>
    <w:tbl>
      <w:tblPr>
        <w:tblStyle w:val="9"/>
        <w:tblW w:w="1059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75"/>
        <w:gridCol w:w="3183"/>
        <w:gridCol w:w="1672"/>
        <w:gridCol w:w="2590"/>
      </w:tblGrid>
      <w:tr w14:paraId="2C12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77" w:type="dxa"/>
            <w:shd w:val="clear" w:color="auto" w:fill="auto"/>
          </w:tcPr>
          <w:p w14:paraId="7878E10F">
            <w:pPr>
              <w:spacing w:line="360" w:lineRule="auto"/>
              <w:rPr>
                <w:rFonts w:ascii="Arial" w:hAnsi="Arial" w:cs="Arial"/>
                <w:szCs w:val="22"/>
              </w:rPr>
            </w:pPr>
            <w:bookmarkStart w:id="1" w:name="_Hlk489617917"/>
            <w:r>
              <w:rPr>
                <w:rFonts w:ascii="Arial" w:hAnsi="宋体" w:cs="Arial"/>
                <w:sz w:val="22"/>
                <w:szCs w:val="22"/>
              </w:rPr>
              <w:t>版本号</w:t>
            </w:r>
          </w:p>
        </w:tc>
        <w:tc>
          <w:tcPr>
            <w:tcW w:w="1575" w:type="dxa"/>
            <w:shd w:val="clear" w:color="auto" w:fill="auto"/>
          </w:tcPr>
          <w:p w14:paraId="13A452E7">
            <w:pPr>
              <w:spacing w:line="360" w:lineRule="auto"/>
              <w:rPr>
                <w:rFonts w:ascii="Arial" w:hAnsi="Arial" w:cs="Arial"/>
                <w:szCs w:val="22"/>
              </w:rPr>
            </w:pPr>
            <w:r>
              <w:rPr>
                <w:rFonts w:ascii="Arial" w:hAnsi="宋体" w:cs="Arial"/>
                <w:sz w:val="22"/>
                <w:szCs w:val="22"/>
              </w:rPr>
              <w:t>文件更改号</w:t>
            </w:r>
          </w:p>
        </w:tc>
        <w:tc>
          <w:tcPr>
            <w:tcW w:w="3183" w:type="dxa"/>
            <w:shd w:val="clear" w:color="auto" w:fill="auto"/>
          </w:tcPr>
          <w:p w14:paraId="5E14FB2C">
            <w:pPr>
              <w:spacing w:line="360" w:lineRule="auto"/>
              <w:rPr>
                <w:rFonts w:ascii="Arial" w:hAnsi="Arial" w:cs="Arial"/>
                <w:szCs w:val="22"/>
              </w:rPr>
            </w:pPr>
            <w:r>
              <w:rPr>
                <w:rFonts w:ascii="Arial" w:hAnsi="宋体" w:cs="Arial"/>
                <w:sz w:val="22"/>
                <w:szCs w:val="22"/>
              </w:rPr>
              <w:t>更改概要</w:t>
            </w:r>
          </w:p>
        </w:tc>
        <w:tc>
          <w:tcPr>
            <w:tcW w:w="1672" w:type="dxa"/>
          </w:tcPr>
          <w:p w14:paraId="548D49D4">
            <w:pPr>
              <w:spacing w:line="360" w:lineRule="auto"/>
              <w:rPr>
                <w:rFonts w:ascii="Arial" w:hAnsi="Arial" w:cs="Arial"/>
                <w:szCs w:val="22"/>
              </w:rPr>
            </w:pPr>
            <w:r>
              <w:rPr>
                <w:rFonts w:ascii="Arial" w:hAnsi="宋体" w:cs="Arial"/>
                <w:sz w:val="22"/>
                <w:szCs w:val="22"/>
              </w:rPr>
              <w:t>修改人</w:t>
            </w:r>
          </w:p>
        </w:tc>
        <w:tc>
          <w:tcPr>
            <w:tcW w:w="2590" w:type="dxa"/>
          </w:tcPr>
          <w:p w14:paraId="400BD52F">
            <w:pPr>
              <w:spacing w:line="360" w:lineRule="auto"/>
              <w:rPr>
                <w:rFonts w:ascii="Arial" w:hAnsi="Arial" w:cs="Arial"/>
                <w:szCs w:val="22"/>
              </w:rPr>
            </w:pPr>
            <w:r>
              <w:rPr>
                <w:rFonts w:ascii="Arial" w:hAnsi="宋体" w:cs="Arial"/>
                <w:sz w:val="22"/>
                <w:szCs w:val="22"/>
              </w:rPr>
              <w:t>批准人</w:t>
            </w:r>
          </w:p>
        </w:tc>
      </w:tr>
      <w:tr w14:paraId="51C1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7" w:type="dxa"/>
            <w:shd w:val="clear" w:color="auto" w:fill="auto"/>
          </w:tcPr>
          <w:p w14:paraId="5F5C019F">
            <w:pPr>
              <w:spacing w:line="360" w:lineRule="auto"/>
              <w:rPr>
                <w:rFonts w:ascii="Arial" w:hAnsi="Arial" w:cs="Arial"/>
                <w:szCs w:val="22"/>
              </w:rPr>
            </w:pPr>
            <w:r>
              <w:rPr>
                <w:rFonts w:ascii="Arial" w:hAnsi="Arial" w:cs="Arial"/>
                <w:sz w:val="22"/>
                <w:szCs w:val="22"/>
              </w:rPr>
              <w:t>01</w:t>
            </w:r>
          </w:p>
        </w:tc>
        <w:tc>
          <w:tcPr>
            <w:tcW w:w="1575" w:type="dxa"/>
            <w:shd w:val="clear" w:color="auto" w:fill="auto"/>
          </w:tcPr>
          <w:p w14:paraId="0A45F60C">
            <w:pPr>
              <w:spacing w:line="360" w:lineRule="auto"/>
              <w:rPr>
                <w:rFonts w:ascii="Arial" w:hAnsi="Arial" w:cs="Arial"/>
                <w:szCs w:val="22"/>
              </w:rPr>
            </w:pPr>
            <w:r>
              <w:rPr>
                <w:rFonts w:ascii="Arial" w:hAnsi="宋体" w:cs="Arial"/>
                <w:sz w:val="22"/>
                <w:szCs w:val="22"/>
              </w:rPr>
              <w:t>首发行</w:t>
            </w:r>
          </w:p>
        </w:tc>
        <w:tc>
          <w:tcPr>
            <w:tcW w:w="3183" w:type="dxa"/>
            <w:shd w:val="clear" w:color="auto" w:fill="auto"/>
          </w:tcPr>
          <w:p w14:paraId="45569015">
            <w:pPr>
              <w:spacing w:line="360" w:lineRule="auto"/>
              <w:rPr>
                <w:rFonts w:ascii="Arial" w:hAnsi="Arial" w:cs="Arial"/>
                <w:szCs w:val="22"/>
              </w:rPr>
            </w:pPr>
            <w:r>
              <w:rPr>
                <w:rFonts w:ascii="Arial" w:hAnsi="Arial" w:cs="Arial"/>
                <w:sz w:val="22"/>
                <w:szCs w:val="22"/>
              </w:rPr>
              <w:t>/</w:t>
            </w:r>
          </w:p>
        </w:tc>
        <w:tc>
          <w:tcPr>
            <w:tcW w:w="1672" w:type="dxa"/>
          </w:tcPr>
          <w:p w14:paraId="67880F1D">
            <w:pPr>
              <w:spacing w:line="360" w:lineRule="auto"/>
              <w:rPr>
                <w:rFonts w:ascii="Arial" w:hAnsi="Arial" w:cs="Arial"/>
                <w:szCs w:val="22"/>
              </w:rPr>
            </w:pPr>
            <w:r>
              <w:rPr>
                <w:rFonts w:ascii="Arial" w:hAnsi="Arial" w:cs="Arial"/>
                <w:szCs w:val="22"/>
              </w:rPr>
              <w:t>/</w:t>
            </w:r>
          </w:p>
        </w:tc>
        <w:tc>
          <w:tcPr>
            <w:tcW w:w="2590" w:type="dxa"/>
          </w:tcPr>
          <w:p w14:paraId="4D8F5F0A">
            <w:pPr>
              <w:spacing w:line="360" w:lineRule="auto"/>
              <w:rPr>
                <w:rFonts w:ascii="Arial" w:hAnsi="Arial" w:cs="Arial"/>
                <w:szCs w:val="22"/>
              </w:rPr>
            </w:pPr>
            <w:r>
              <w:rPr>
                <w:rFonts w:ascii="Arial" w:hAnsi="Arial" w:cs="Arial"/>
                <w:szCs w:val="22"/>
              </w:rPr>
              <w:t>/</w:t>
            </w:r>
          </w:p>
        </w:tc>
      </w:tr>
      <w:tr w14:paraId="2CDB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4E966EAF">
            <w:pPr>
              <w:spacing w:line="360" w:lineRule="auto"/>
              <w:rPr>
                <w:rFonts w:ascii="Arial" w:hAnsi="Arial" w:cs="Arial"/>
                <w:szCs w:val="22"/>
              </w:rPr>
            </w:pPr>
          </w:p>
        </w:tc>
        <w:tc>
          <w:tcPr>
            <w:tcW w:w="1575" w:type="dxa"/>
            <w:shd w:val="clear" w:color="auto" w:fill="auto"/>
          </w:tcPr>
          <w:p w14:paraId="5C817E9D">
            <w:pPr>
              <w:spacing w:line="360" w:lineRule="auto"/>
              <w:rPr>
                <w:rFonts w:ascii="Arial" w:hAnsi="Arial" w:cs="Arial"/>
                <w:szCs w:val="22"/>
              </w:rPr>
            </w:pPr>
          </w:p>
        </w:tc>
        <w:tc>
          <w:tcPr>
            <w:tcW w:w="3183" w:type="dxa"/>
            <w:shd w:val="clear" w:color="auto" w:fill="auto"/>
          </w:tcPr>
          <w:p w14:paraId="59B2F7A4">
            <w:pPr>
              <w:spacing w:line="360" w:lineRule="auto"/>
              <w:rPr>
                <w:rFonts w:ascii="Arial" w:hAnsi="Arial" w:cs="Arial"/>
                <w:szCs w:val="22"/>
              </w:rPr>
            </w:pPr>
          </w:p>
        </w:tc>
        <w:tc>
          <w:tcPr>
            <w:tcW w:w="1672" w:type="dxa"/>
          </w:tcPr>
          <w:p w14:paraId="780E639F">
            <w:pPr>
              <w:spacing w:line="360" w:lineRule="auto"/>
              <w:rPr>
                <w:rFonts w:ascii="Arial" w:hAnsi="Arial" w:cs="Arial"/>
                <w:szCs w:val="22"/>
              </w:rPr>
            </w:pPr>
          </w:p>
        </w:tc>
        <w:tc>
          <w:tcPr>
            <w:tcW w:w="2590" w:type="dxa"/>
          </w:tcPr>
          <w:p w14:paraId="37C73035">
            <w:pPr>
              <w:spacing w:line="360" w:lineRule="auto"/>
              <w:rPr>
                <w:rFonts w:ascii="Arial" w:hAnsi="Arial" w:cs="Arial"/>
                <w:szCs w:val="22"/>
              </w:rPr>
            </w:pPr>
          </w:p>
        </w:tc>
      </w:tr>
      <w:tr w14:paraId="7CBD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shd w:val="clear" w:color="auto" w:fill="auto"/>
          </w:tcPr>
          <w:p w14:paraId="0E2833A1">
            <w:pPr>
              <w:spacing w:line="360" w:lineRule="auto"/>
              <w:rPr>
                <w:rFonts w:ascii="Arial" w:hAnsi="Arial" w:cs="Arial"/>
                <w:szCs w:val="22"/>
              </w:rPr>
            </w:pPr>
          </w:p>
        </w:tc>
        <w:tc>
          <w:tcPr>
            <w:tcW w:w="1575" w:type="dxa"/>
            <w:shd w:val="clear" w:color="auto" w:fill="auto"/>
          </w:tcPr>
          <w:p w14:paraId="60E3EA79">
            <w:pPr>
              <w:spacing w:line="360" w:lineRule="auto"/>
              <w:rPr>
                <w:rFonts w:ascii="Arial" w:hAnsi="Arial" w:cs="Arial"/>
                <w:szCs w:val="22"/>
              </w:rPr>
            </w:pPr>
          </w:p>
        </w:tc>
        <w:tc>
          <w:tcPr>
            <w:tcW w:w="3183" w:type="dxa"/>
            <w:shd w:val="clear" w:color="auto" w:fill="auto"/>
          </w:tcPr>
          <w:p w14:paraId="38BA738E">
            <w:pPr>
              <w:spacing w:line="360" w:lineRule="auto"/>
              <w:rPr>
                <w:rFonts w:ascii="Arial" w:hAnsi="Arial" w:cs="Arial"/>
                <w:szCs w:val="22"/>
              </w:rPr>
            </w:pPr>
          </w:p>
        </w:tc>
        <w:tc>
          <w:tcPr>
            <w:tcW w:w="1672" w:type="dxa"/>
          </w:tcPr>
          <w:p w14:paraId="39C09D1A">
            <w:pPr>
              <w:spacing w:line="360" w:lineRule="auto"/>
              <w:rPr>
                <w:rFonts w:ascii="Arial" w:hAnsi="Arial" w:cs="Arial"/>
                <w:szCs w:val="22"/>
              </w:rPr>
            </w:pPr>
          </w:p>
        </w:tc>
        <w:tc>
          <w:tcPr>
            <w:tcW w:w="2590" w:type="dxa"/>
          </w:tcPr>
          <w:p w14:paraId="38C7F66B">
            <w:pPr>
              <w:spacing w:line="360" w:lineRule="auto"/>
              <w:rPr>
                <w:rFonts w:ascii="Arial" w:hAnsi="Arial" w:cs="Arial"/>
                <w:szCs w:val="22"/>
              </w:rPr>
            </w:pPr>
          </w:p>
        </w:tc>
      </w:tr>
      <w:tr w14:paraId="4E4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951DDAD">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797557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339348AE">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8F8A4F0">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368E472">
            <w:pPr>
              <w:spacing w:line="360" w:lineRule="auto"/>
              <w:rPr>
                <w:rFonts w:ascii="Arial" w:hAnsi="Arial" w:cs="Arial"/>
                <w:szCs w:val="22"/>
              </w:rPr>
            </w:pPr>
          </w:p>
        </w:tc>
      </w:tr>
      <w:tr w14:paraId="569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29801A8">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5A46AC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8BAD2F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F50222B">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9776FED">
            <w:pPr>
              <w:spacing w:line="360" w:lineRule="auto"/>
              <w:rPr>
                <w:rFonts w:ascii="Arial" w:hAnsi="Arial" w:cs="Arial"/>
                <w:szCs w:val="22"/>
              </w:rPr>
            </w:pPr>
          </w:p>
        </w:tc>
      </w:tr>
      <w:tr w14:paraId="2B21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8D3B8A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D88D265">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62CBB6C">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A8C6C1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84D5128">
            <w:pPr>
              <w:spacing w:line="360" w:lineRule="auto"/>
              <w:rPr>
                <w:rFonts w:ascii="Arial" w:hAnsi="Arial" w:cs="Arial"/>
                <w:szCs w:val="22"/>
              </w:rPr>
            </w:pPr>
          </w:p>
        </w:tc>
      </w:tr>
      <w:tr w14:paraId="1391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B5B8E1E">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A86CF3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79A13F7">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73FED8D4">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1B0A651">
            <w:pPr>
              <w:spacing w:line="360" w:lineRule="auto"/>
              <w:rPr>
                <w:rFonts w:ascii="Arial" w:hAnsi="Arial" w:cs="Arial"/>
                <w:szCs w:val="22"/>
              </w:rPr>
            </w:pPr>
          </w:p>
        </w:tc>
      </w:tr>
      <w:tr w14:paraId="2FBA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636CFE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C5E87C8">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16B126E">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606688D">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638A3706">
            <w:pPr>
              <w:spacing w:line="360" w:lineRule="auto"/>
              <w:rPr>
                <w:rFonts w:ascii="Arial" w:hAnsi="Arial" w:cs="Arial"/>
                <w:szCs w:val="22"/>
              </w:rPr>
            </w:pPr>
          </w:p>
        </w:tc>
      </w:tr>
      <w:tr w14:paraId="603B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C248091">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5732021">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8D77AEE">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E79C22E">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2DAC3115">
            <w:pPr>
              <w:spacing w:line="360" w:lineRule="auto"/>
              <w:rPr>
                <w:rFonts w:ascii="Arial" w:hAnsi="Arial" w:cs="Arial"/>
                <w:szCs w:val="22"/>
              </w:rPr>
            </w:pPr>
          </w:p>
        </w:tc>
      </w:tr>
      <w:tr w14:paraId="2609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46710D0">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D1A017B">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EB49A9A">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19BED38">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01B553E">
            <w:pPr>
              <w:spacing w:line="360" w:lineRule="auto"/>
              <w:rPr>
                <w:rFonts w:ascii="Arial" w:hAnsi="Arial" w:cs="Arial"/>
                <w:szCs w:val="22"/>
              </w:rPr>
            </w:pPr>
          </w:p>
        </w:tc>
      </w:tr>
      <w:tr w14:paraId="267E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FA7FB2E">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3278B870">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B75BCB4">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781CE7AC">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4BAB1F46">
            <w:pPr>
              <w:spacing w:line="360" w:lineRule="auto"/>
              <w:rPr>
                <w:rFonts w:ascii="Arial" w:hAnsi="Arial" w:cs="Arial"/>
                <w:szCs w:val="22"/>
              </w:rPr>
            </w:pPr>
          </w:p>
        </w:tc>
      </w:tr>
      <w:tr w14:paraId="5792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C753CC8">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AFAF96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BFCF6A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6666960">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800D136">
            <w:pPr>
              <w:spacing w:line="360" w:lineRule="auto"/>
              <w:rPr>
                <w:rFonts w:ascii="Arial" w:hAnsi="Arial" w:cs="Arial"/>
                <w:szCs w:val="22"/>
              </w:rPr>
            </w:pPr>
          </w:p>
        </w:tc>
      </w:tr>
      <w:tr w14:paraId="4B43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9F93755">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CBFD4C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0B097A4">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1966CE9">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19C3116">
            <w:pPr>
              <w:spacing w:line="360" w:lineRule="auto"/>
              <w:rPr>
                <w:rFonts w:ascii="Arial" w:hAnsi="Arial" w:cs="Arial"/>
                <w:szCs w:val="22"/>
              </w:rPr>
            </w:pPr>
          </w:p>
        </w:tc>
      </w:tr>
      <w:tr w14:paraId="1822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64DF013A">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82039C8">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6EABD26C">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341628C1">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DA794FA">
            <w:pPr>
              <w:spacing w:line="360" w:lineRule="auto"/>
              <w:rPr>
                <w:rFonts w:ascii="Arial" w:hAnsi="Arial" w:cs="Arial"/>
                <w:szCs w:val="22"/>
              </w:rPr>
            </w:pPr>
          </w:p>
        </w:tc>
      </w:tr>
      <w:tr w14:paraId="7E55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5F070DB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77DD2455">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6904BE7">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184C3BE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A51C563">
            <w:pPr>
              <w:spacing w:line="360" w:lineRule="auto"/>
              <w:rPr>
                <w:rFonts w:ascii="Arial" w:hAnsi="Arial" w:cs="Arial"/>
                <w:szCs w:val="22"/>
              </w:rPr>
            </w:pPr>
          </w:p>
        </w:tc>
      </w:tr>
      <w:tr w14:paraId="08A2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034332ED">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6B925E9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0CEE89B3">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7ECC7876">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121912FB">
            <w:pPr>
              <w:spacing w:line="360" w:lineRule="auto"/>
              <w:rPr>
                <w:rFonts w:ascii="Arial" w:hAnsi="Arial" w:cs="Arial"/>
                <w:szCs w:val="22"/>
              </w:rPr>
            </w:pPr>
          </w:p>
        </w:tc>
      </w:tr>
      <w:tr w14:paraId="3800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42FDABD6">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0CDA37F8">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717B7DF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2B33C1A2">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5099432">
            <w:pPr>
              <w:spacing w:line="360" w:lineRule="auto"/>
              <w:rPr>
                <w:rFonts w:ascii="Arial" w:hAnsi="Arial" w:cs="Arial"/>
                <w:szCs w:val="22"/>
              </w:rPr>
            </w:pPr>
          </w:p>
        </w:tc>
      </w:tr>
      <w:tr w14:paraId="7264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7099D22B">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40C93FF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1D3C53A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7136C222">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38AFD6D1">
            <w:pPr>
              <w:spacing w:line="360" w:lineRule="auto"/>
              <w:rPr>
                <w:rFonts w:ascii="Arial" w:hAnsi="Arial" w:cs="Arial"/>
                <w:szCs w:val="22"/>
              </w:rPr>
            </w:pPr>
          </w:p>
        </w:tc>
      </w:tr>
      <w:tr w14:paraId="1E0D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37AF12F">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10216425">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4A1B228F">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4E11D6D3">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76F83A42">
            <w:pPr>
              <w:spacing w:line="360" w:lineRule="auto"/>
              <w:rPr>
                <w:rFonts w:ascii="Arial" w:hAnsi="Arial" w:cs="Arial"/>
                <w:szCs w:val="22"/>
              </w:rPr>
            </w:pPr>
          </w:p>
        </w:tc>
      </w:tr>
      <w:tr w14:paraId="783F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1EB79092">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BD46377">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99D0310">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58B84BF1">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5F975267">
            <w:pPr>
              <w:spacing w:line="360" w:lineRule="auto"/>
              <w:rPr>
                <w:rFonts w:ascii="Arial" w:hAnsi="Arial" w:cs="Arial"/>
                <w:szCs w:val="22"/>
              </w:rPr>
            </w:pPr>
          </w:p>
        </w:tc>
      </w:tr>
      <w:tr w14:paraId="78F1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tcPr>
          <w:p w14:paraId="2E3588A3">
            <w:pPr>
              <w:spacing w:line="360" w:lineRule="auto"/>
              <w:rPr>
                <w:rFonts w:ascii="Arial" w:hAnsi="Arial" w:cs="Arial"/>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tcPr>
          <w:p w14:paraId="2215DBC6">
            <w:pPr>
              <w:spacing w:line="360" w:lineRule="auto"/>
              <w:rPr>
                <w:rFonts w:ascii="Arial" w:hAnsi="Arial" w:cs="Arial"/>
                <w:szCs w:val="22"/>
              </w:rPr>
            </w:pPr>
          </w:p>
        </w:tc>
        <w:tc>
          <w:tcPr>
            <w:tcW w:w="3183" w:type="dxa"/>
            <w:tcBorders>
              <w:top w:val="single" w:color="auto" w:sz="4" w:space="0"/>
              <w:left w:val="single" w:color="auto" w:sz="4" w:space="0"/>
              <w:bottom w:val="single" w:color="auto" w:sz="4" w:space="0"/>
              <w:right w:val="single" w:color="auto" w:sz="4" w:space="0"/>
            </w:tcBorders>
            <w:shd w:val="clear" w:color="auto" w:fill="auto"/>
          </w:tcPr>
          <w:p w14:paraId="55C6C5B2">
            <w:pPr>
              <w:spacing w:line="360" w:lineRule="auto"/>
              <w:rPr>
                <w:rFonts w:ascii="Arial" w:hAnsi="Arial" w:cs="Arial"/>
                <w:szCs w:val="22"/>
              </w:rPr>
            </w:pPr>
          </w:p>
        </w:tc>
        <w:tc>
          <w:tcPr>
            <w:tcW w:w="1672" w:type="dxa"/>
            <w:tcBorders>
              <w:top w:val="single" w:color="auto" w:sz="4" w:space="0"/>
              <w:left w:val="single" w:color="auto" w:sz="4" w:space="0"/>
              <w:bottom w:val="single" w:color="auto" w:sz="4" w:space="0"/>
              <w:right w:val="single" w:color="auto" w:sz="4" w:space="0"/>
            </w:tcBorders>
          </w:tcPr>
          <w:p w14:paraId="02F2AE84">
            <w:pPr>
              <w:spacing w:line="360" w:lineRule="auto"/>
              <w:rPr>
                <w:rFonts w:ascii="Arial" w:hAnsi="Arial" w:cs="Arial"/>
                <w:szCs w:val="22"/>
              </w:rPr>
            </w:pPr>
          </w:p>
        </w:tc>
        <w:tc>
          <w:tcPr>
            <w:tcW w:w="2590" w:type="dxa"/>
            <w:tcBorders>
              <w:top w:val="single" w:color="auto" w:sz="4" w:space="0"/>
              <w:left w:val="single" w:color="auto" w:sz="4" w:space="0"/>
              <w:bottom w:val="single" w:color="auto" w:sz="4" w:space="0"/>
              <w:right w:val="single" w:color="auto" w:sz="4" w:space="0"/>
            </w:tcBorders>
          </w:tcPr>
          <w:p w14:paraId="0458A64D">
            <w:pPr>
              <w:spacing w:line="360" w:lineRule="auto"/>
              <w:rPr>
                <w:rFonts w:ascii="Arial" w:hAnsi="Arial" w:cs="Arial"/>
                <w:szCs w:val="22"/>
              </w:rPr>
            </w:pPr>
          </w:p>
        </w:tc>
      </w:tr>
      <w:tr w14:paraId="701C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51BFC7FA">
            <w:pPr>
              <w:jc w:val="center"/>
              <w:rPr>
                <w:rFonts w:ascii="Arial" w:hAnsi="Arial" w:cs="Arial"/>
                <w:szCs w:val="22"/>
              </w:rPr>
            </w:pPr>
            <w:r>
              <w:rPr>
                <w:rFonts w:ascii="Arial" w:hAnsi="宋体" w:cs="Arial"/>
                <w:sz w:val="22"/>
                <w:szCs w:val="22"/>
              </w:rPr>
              <w:t>发放范围</w:t>
            </w:r>
          </w:p>
        </w:tc>
        <w:tc>
          <w:tcPr>
            <w:tcW w:w="90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B71FC6">
            <w:pPr>
              <w:jc w:val="left"/>
              <w:rPr>
                <w:rFonts w:ascii="Arial" w:hAnsi="Arial" w:cs="Arial"/>
                <w:szCs w:val="22"/>
              </w:rPr>
            </w:pPr>
          </w:p>
        </w:tc>
      </w:tr>
      <w:bookmarkEnd w:id="1"/>
    </w:tbl>
    <w:p w14:paraId="378F1046">
      <w:pPr>
        <w:spacing w:line="360" w:lineRule="auto"/>
        <w:rPr>
          <w:rFonts w:ascii="Arial" w:hAnsi="Arial" w:cs="Arial"/>
          <w:sz w:val="22"/>
          <w:szCs w:val="22"/>
        </w:rPr>
      </w:pPr>
    </w:p>
    <w:p w14:paraId="1AB82A15">
      <w:pPr>
        <w:spacing w:line="360" w:lineRule="auto"/>
        <w:rPr>
          <w:rFonts w:ascii="Arial" w:hAnsi="Arial" w:cs="Arial"/>
          <w:sz w:val="22"/>
          <w:szCs w:val="22"/>
        </w:rPr>
      </w:pPr>
    </w:p>
    <w:p w14:paraId="27CC183B">
      <w:pPr>
        <w:spacing w:line="360" w:lineRule="auto"/>
        <w:rPr>
          <w:rFonts w:ascii="Arial" w:hAnsi="Arial" w:cs="Arial"/>
          <w:sz w:val="22"/>
          <w:szCs w:val="22"/>
        </w:rPr>
      </w:pPr>
    </w:p>
    <w:p w14:paraId="569B2803">
      <w:pPr>
        <w:numPr>
          <w:ilvl w:val="0"/>
          <w:numId w:val="1"/>
        </w:numPr>
        <w:spacing w:line="360" w:lineRule="auto"/>
        <w:rPr>
          <w:rFonts w:ascii="黑体" w:eastAsia="黑体"/>
          <w:bCs/>
          <w:szCs w:val="21"/>
        </w:rPr>
      </w:pPr>
      <w:r>
        <w:rPr>
          <w:rFonts w:hint="eastAsia" w:ascii="黑体" w:eastAsia="黑体"/>
          <w:bCs/>
          <w:szCs w:val="21"/>
        </w:rPr>
        <w:t>目的</w:t>
      </w:r>
    </w:p>
    <w:p w14:paraId="5B460F41">
      <w:pPr>
        <w:spacing w:line="360" w:lineRule="auto"/>
        <w:ind w:left="425"/>
        <w:rPr>
          <w:rFonts w:ascii="黑体" w:hAnsi="宋体" w:eastAsia="黑体"/>
          <w:bCs/>
          <w:szCs w:val="21"/>
        </w:rPr>
      </w:pPr>
      <w:r>
        <w:rPr>
          <w:rFonts w:hint="eastAsia" w:ascii="黑体" w:hAnsi="宋体" w:eastAsia="黑体"/>
          <w:bCs/>
          <w:szCs w:val="21"/>
        </w:rPr>
        <w:t>规定工艺用水监测管理的基本要求。</w:t>
      </w:r>
    </w:p>
    <w:p w14:paraId="571B9016">
      <w:pPr>
        <w:numPr>
          <w:ilvl w:val="0"/>
          <w:numId w:val="1"/>
        </w:numPr>
        <w:spacing w:line="360" w:lineRule="auto"/>
        <w:rPr>
          <w:rFonts w:ascii="黑体" w:eastAsia="黑体"/>
          <w:bCs/>
          <w:szCs w:val="21"/>
        </w:rPr>
      </w:pPr>
      <w:r>
        <w:rPr>
          <w:rFonts w:hint="eastAsia" w:ascii="黑体" w:eastAsia="黑体"/>
          <w:bCs/>
          <w:szCs w:val="21"/>
        </w:rPr>
        <w:t>范围</w:t>
      </w:r>
    </w:p>
    <w:p w14:paraId="66A038DE">
      <w:pPr>
        <w:spacing w:line="360" w:lineRule="auto"/>
        <w:ind w:left="425"/>
        <w:rPr>
          <w:rFonts w:ascii="黑体" w:hAnsi="宋体" w:eastAsia="黑体"/>
          <w:bCs/>
          <w:szCs w:val="21"/>
        </w:rPr>
      </w:pPr>
      <w:r>
        <w:rPr>
          <w:rFonts w:hint="eastAsia" w:ascii="黑体" w:hAnsi="宋体" w:eastAsia="黑体"/>
          <w:bCs/>
          <w:szCs w:val="21"/>
        </w:rPr>
        <w:t>适用于饮用水、纯化水。</w:t>
      </w:r>
    </w:p>
    <w:p w14:paraId="0ED37C41">
      <w:pPr>
        <w:numPr>
          <w:ilvl w:val="0"/>
          <w:numId w:val="1"/>
        </w:numPr>
        <w:spacing w:line="360" w:lineRule="auto"/>
        <w:rPr>
          <w:rFonts w:ascii="黑体" w:eastAsia="黑体"/>
          <w:bCs/>
          <w:szCs w:val="21"/>
        </w:rPr>
      </w:pPr>
      <w:r>
        <w:rPr>
          <w:rFonts w:hint="eastAsia" w:ascii="黑体" w:eastAsia="黑体"/>
          <w:bCs/>
          <w:szCs w:val="21"/>
        </w:rPr>
        <w:t>责任人</w:t>
      </w:r>
    </w:p>
    <w:p w14:paraId="3CCC0438">
      <w:pPr>
        <w:numPr>
          <w:ilvl w:val="1"/>
          <w:numId w:val="1"/>
        </w:numPr>
        <w:spacing w:line="360" w:lineRule="auto"/>
        <w:rPr>
          <w:rFonts w:ascii="黑体" w:hAnsi="宋体" w:eastAsia="黑体"/>
          <w:bCs/>
          <w:szCs w:val="21"/>
        </w:rPr>
      </w:pPr>
      <w:r>
        <w:rPr>
          <w:rFonts w:hint="eastAsia" w:ascii="黑体" w:hAnsi="宋体" w:eastAsia="黑体"/>
          <w:bCs/>
          <w:szCs w:val="21"/>
        </w:rPr>
        <w:t>QC检验员：负责工艺用水的日常监测工作。</w:t>
      </w:r>
    </w:p>
    <w:p w14:paraId="3785D6E3">
      <w:pPr>
        <w:numPr>
          <w:ilvl w:val="1"/>
          <w:numId w:val="1"/>
        </w:numPr>
        <w:spacing w:line="360" w:lineRule="auto"/>
        <w:rPr>
          <w:rFonts w:ascii="黑体" w:hAnsi="宋体" w:eastAsia="黑体"/>
          <w:bCs/>
          <w:szCs w:val="21"/>
        </w:rPr>
      </w:pPr>
      <w:r>
        <w:rPr>
          <w:rFonts w:hint="eastAsia" w:ascii="黑体" w:hAnsi="宋体" w:eastAsia="黑体"/>
          <w:bCs/>
          <w:szCs w:val="21"/>
        </w:rPr>
        <w:t>生产技术部人员：在配置溶液前，负责检查工艺用水的可见异物及气味。</w:t>
      </w:r>
    </w:p>
    <w:p w14:paraId="78A4FA1F">
      <w:pPr>
        <w:numPr>
          <w:ilvl w:val="1"/>
          <w:numId w:val="1"/>
        </w:numPr>
        <w:spacing w:line="360" w:lineRule="auto"/>
        <w:rPr>
          <w:rFonts w:ascii="黑体" w:hAnsi="宋体" w:eastAsia="黑体"/>
          <w:bCs/>
          <w:szCs w:val="21"/>
        </w:rPr>
      </w:pPr>
      <w:r>
        <w:rPr>
          <w:rFonts w:hint="eastAsia" w:ascii="黑体" w:hAnsi="宋体" w:eastAsia="黑体"/>
          <w:bCs/>
          <w:szCs w:val="21"/>
        </w:rPr>
        <w:t>生产技术部经理、质管部经理：在工艺用水出现异常或检测不合格时，负责组织相关人员进行原因调查，提出解决方案。</w:t>
      </w:r>
    </w:p>
    <w:p w14:paraId="17BB9391">
      <w:pPr>
        <w:numPr>
          <w:ilvl w:val="0"/>
          <w:numId w:val="1"/>
        </w:numPr>
        <w:spacing w:line="360" w:lineRule="auto"/>
        <w:rPr>
          <w:rFonts w:ascii="黑体" w:eastAsia="黑体"/>
          <w:bCs/>
          <w:szCs w:val="21"/>
        </w:rPr>
      </w:pPr>
      <w:r>
        <w:rPr>
          <w:rFonts w:hint="eastAsia" w:ascii="黑体" w:eastAsia="黑体"/>
          <w:bCs/>
          <w:szCs w:val="21"/>
        </w:rPr>
        <w:t>内容</w:t>
      </w:r>
    </w:p>
    <w:p w14:paraId="329CF75A">
      <w:pPr>
        <w:numPr>
          <w:ilvl w:val="1"/>
          <w:numId w:val="1"/>
        </w:numPr>
        <w:spacing w:line="360" w:lineRule="auto"/>
        <w:rPr>
          <w:rFonts w:ascii="黑体" w:hAnsi="宋体" w:eastAsia="黑体"/>
          <w:bCs/>
          <w:szCs w:val="21"/>
        </w:rPr>
      </w:pPr>
      <w:r>
        <w:rPr>
          <w:rFonts w:hint="eastAsia" w:ascii="黑体" w:hAnsi="宋体" w:eastAsia="黑体"/>
          <w:bCs/>
          <w:szCs w:val="21"/>
        </w:rPr>
        <w:t>主要适用于生产过程所使用的纯化水。</w:t>
      </w:r>
    </w:p>
    <w:p w14:paraId="11636924">
      <w:pPr>
        <w:numPr>
          <w:ilvl w:val="1"/>
          <w:numId w:val="1"/>
        </w:numPr>
        <w:spacing w:line="360" w:lineRule="auto"/>
        <w:rPr>
          <w:rFonts w:ascii="黑体" w:hAnsi="宋体" w:eastAsia="黑体"/>
          <w:bCs/>
          <w:szCs w:val="21"/>
        </w:rPr>
      </w:pPr>
      <w:r>
        <w:rPr>
          <w:rFonts w:hint="eastAsia" w:ascii="黑体" w:hAnsi="宋体" w:eastAsia="黑体"/>
          <w:bCs/>
          <w:szCs w:val="21"/>
        </w:rPr>
        <w:t>定义</w:t>
      </w:r>
    </w:p>
    <w:p w14:paraId="54FF100F">
      <w:pPr>
        <w:numPr>
          <w:ilvl w:val="2"/>
          <w:numId w:val="1"/>
        </w:numPr>
        <w:spacing w:line="360" w:lineRule="auto"/>
        <w:rPr>
          <w:rFonts w:ascii="黑体" w:hAnsi="宋体" w:eastAsia="黑体"/>
          <w:bCs/>
          <w:szCs w:val="21"/>
        </w:rPr>
      </w:pPr>
      <w:r>
        <w:rPr>
          <w:rFonts w:hint="eastAsia" w:ascii="黑体" w:hAnsi="宋体" w:eastAsia="黑体"/>
          <w:bCs/>
          <w:szCs w:val="21"/>
        </w:rPr>
        <w:t>纯化水：以饮用水为水源，经蒸馏法、离子交换法、反渗透法或其他适宜的方法制得的供药用的水，其水质必须符合《中国药典》2015年版纯化水水质标准。</w:t>
      </w:r>
    </w:p>
    <w:p w14:paraId="426A78B6">
      <w:pPr>
        <w:numPr>
          <w:ilvl w:val="1"/>
          <w:numId w:val="1"/>
        </w:numPr>
        <w:spacing w:line="360" w:lineRule="auto"/>
        <w:rPr>
          <w:rFonts w:ascii="黑体" w:hAnsi="宋体" w:eastAsia="黑体"/>
          <w:bCs/>
          <w:szCs w:val="21"/>
        </w:rPr>
      </w:pPr>
      <w:r>
        <w:rPr>
          <w:rFonts w:hint="eastAsia" w:ascii="黑体" w:hAnsi="宋体" w:eastAsia="黑体"/>
          <w:bCs/>
          <w:szCs w:val="21"/>
        </w:rPr>
        <w:t>工艺用水应制订“质量标准”和“检验操作规程”，其中“质量标准”的主要内容有：检验依据、性状、检测项目及方法等。“检验操作规程”在以上内容的基础上增加检测仪器、检测试剂和反应原理。</w:t>
      </w:r>
    </w:p>
    <w:p w14:paraId="647F0839">
      <w:pPr>
        <w:numPr>
          <w:ilvl w:val="1"/>
          <w:numId w:val="1"/>
        </w:numPr>
        <w:spacing w:line="360" w:lineRule="auto"/>
        <w:rPr>
          <w:rFonts w:hint="eastAsia" w:ascii="黑体" w:hAnsi="宋体" w:eastAsia="黑体"/>
          <w:bCs/>
          <w:szCs w:val="21"/>
        </w:rPr>
      </w:pPr>
      <w:r>
        <w:rPr>
          <w:rFonts w:hint="eastAsia" w:ascii="黑体" w:hAnsi="宋体" w:eastAsia="黑体"/>
          <w:bCs/>
          <w:szCs w:val="21"/>
        </w:rPr>
        <w:t>工艺用水的监测</w:t>
      </w:r>
    </w:p>
    <w:p w14:paraId="6625B940">
      <w:pPr>
        <w:numPr>
          <w:ilvl w:val="2"/>
          <w:numId w:val="1"/>
        </w:numPr>
        <w:spacing w:line="360" w:lineRule="auto"/>
        <w:rPr>
          <w:rFonts w:ascii="黑体" w:hAnsi="宋体" w:eastAsia="黑体"/>
          <w:bCs/>
          <w:szCs w:val="21"/>
        </w:rPr>
      </w:pPr>
      <w:r>
        <w:rPr>
          <w:rFonts w:hint="eastAsia" w:ascii="黑体" w:hAnsi="宋体" w:eastAsia="黑体"/>
          <w:bCs/>
          <w:szCs w:val="21"/>
        </w:rPr>
        <w:t>车间使用纯化水应由QC每周在纯化水总出水口、总送水口和各个使用点取样，并按纯化水检验项目（下表）进行检测。</w:t>
      </w:r>
    </w:p>
    <w:p w14:paraId="467EAB0B">
      <w:pPr>
        <w:numPr>
          <w:ilvl w:val="2"/>
          <w:numId w:val="1"/>
        </w:numPr>
        <w:spacing w:line="360" w:lineRule="auto"/>
        <w:rPr>
          <w:rFonts w:ascii="黑体" w:hAnsi="宋体" w:eastAsia="黑体"/>
          <w:bCs/>
          <w:szCs w:val="21"/>
        </w:rPr>
      </w:pPr>
      <w:r>
        <w:rPr>
          <w:rFonts w:hint="eastAsia" w:ascii="黑体" w:hAnsi="宋体" w:eastAsia="黑体"/>
          <w:bCs/>
          <w:szCs w:val="21"/>
        </w:rPr>
        <w:t>每次取样时应先消毒出水口，然后打开阀门排水1分钟后才能取样。</w:t>
      </w:r>
    </w:p>
    <w:p w14:paraId="672C1806">
      <w:pPr>
        <w:numPr>
          <w:ilvl w:val="2"/>
          <w:numId w:val="1"/>
        </w:numPr>
        <w:spacing w:line="360" w:lineRule="auto"/>
        <w:rPr>
          <w:rFonts w:ascii="黑体" w:hAnsi="宋体" w:eastAsia="黑体"/>
          <w:bCs/>
          <w:szCs w:val="21"/>
        </w:rPr>
      </w:pPr>
      <w:r>
        <w:rPr>
          <w:rFonts w:hint="eastAsia" w:ascii="黑体" w:hAnsi="宋体" w:eastAsia="黑体"/>
          <w:bCs/>
          <w:szCs w:val="21"/>
        </w:rPr>
        <w:t>一般从取样到检验不应超过2小时，条件不允许立即检验时，应冷藏保存，但不能超过6小时。</w:t>
      </w:r>
    </w:p>
    <w:p w14:paraId="4EE5466B">
      <w:pPr>
        <w:numPr>
          <w:ilvl w:val="2"/>
          <w:numId w:val="1"/>
        </w:numPr>
        <w:spacing w:line="360" w:lineRule="auto"/>
        <w:rPr>
          <w:rFonts w:ascii="黑体" w:hAnsi="宋体" w:eastAsia="黑体"/>
          <w:bCs/>
          <w:szCs w:val="21"/>
        </w:rPr>
      </w:pPr>
      <w:r>
        <w:rPr>
          <w:rFonts w:hint="eastAsia" w:ascii="黑体" w:hAnsi="宋体" w:eastAsia="黑体"/>
          <w:bCs/>
          <w:szCs w:val="21"/>
        </w:rPr>
        <w:t>微生物限度检验的样品必须在各储罐的使用末端取样。</w:t>
      </w:r>
    </w:p>
    <w:p w14:paraId="58C22416">
      <w:pPr>
        <w:numPr>
          <w:ilvl w:val="2"/>
          <w:numId w:val="1"/>
        </w:numPr>
        <w:spacing w:line="360" w:lineRule="auto"/>
        <w:jc w:val="center"/>
        <w:rPr>
          <w:rFonts w:ascii="黑体" w:hAnsi="宋体" w:eastAsia="黑体"/>
          <w:bCs/>
          <w:szCs w:val="21"/>
        </w:rPr>
      </w:pPr>
      <w:r>
        <w:rPr>
          <w:rFonts w:hint="eastAsia" w:ascii="黑体" w:hAnsi="宋体" w:eastAsia="黑体"/>
          <w:bCs/>
          <w:szCs w:val="21"/>
        </w:rPr>
        <w:t>各项目的检查频率和取样地点见表：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2718"/>
        <w:gridCol w:w="1858"/>
      </w:tblGrid>
      <w:tr w14:paraId="6E53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14:paraId="70E84C1D">
            <w:pPr>
              <w:spacing w:line="460" w:lineRule="exact"/>
              <w:jc w:val="center"/>
              <w:rPr>
                <w:rFonts w:ascii="黑体" w:hAnsi="宋体" w:eastAsia="黑体"/>
                <w:bCs/>
                <w:szCs w:val="21"/>
              </w:rPr>
            </w:pPr>
            <w:r>
              <w:rPr>
                <w:rFonts w:hint="eastAsia" w:ascii="黑体" w:hAnsi="黑体" w:eastAsia="黑体"/>
                <w:bCs/>
                <w:szCs w:val="21"/>
              </w:rPr>
              <w:t>水质类别</w:t>
            </w:r>
          </w:p>
        </w:tc>
        <w:tc>
          <w:tcPr>
            <w:tcW w:w="1857" w:type="dxa"/>
          </w:tcPr>
          <w:p w14:paraId="599533C2">
            <w:pPr>
              <w:spacing w:line="460" w:lineRule="exact"/>
              <w:jc w:val="center"/>
              <w:rPr>
                <w:rFonts w:ascii="黑体" w:hAnsi="宋体" w:eastAsia="黑体"/>
                <w:bCs/>
                <w:szCs w:val="21"/>
              </w:rPr>
            </w:pPr>
            <w:r>
              <w:rPr>
                <w:rFonts w:hint="eastAsia" w:ascii="黑体" w:hAnsi="黑体" w:eastAsia="黑体"/>
                <w:bCs/>
                <w:szCs w:val="21"/>
              </w:rPr>
              <w:t>质量控制项目</w:t>
            </w:r>
          </w:p>
        </w:tc>
        <w:tc>
          <w:tcPr>
            <w:tcW w:w="2718" w:type="dxa"/>
          </w:tcPr>
          <w:p w14:paraId="3AE7000E">
            <w:pPr>
              <w:spacing w:line="460" w:lineRule="exact"/>
              <w:jc w:val="center"/>
              <w:rPr>
                <w:rFonts w:ascii="黑体" w:hAnsi="宋体" w:eastAsia="黑体"/>
                <w:bCs/>
                <w:szCs w:val="21"/>
              </w:rPr>
            </w:pPr>
            <w:r>
              <w:rPr>
                <w:rFonts w:hint="eastAsia" w:ascii="黑体" w:hAnsi="宋体" w:eastAsia="黑体"/>
                <w:bCs/>
                <w:szCs w:val="21"/>
              </w:rPr>
              <w:t>检验标准</w:t>
            </w:r>
          </w:p>
        </w:tc>
        <w:tc>
          <w:tcPr>
            <w:tcW w:w="1858" w:type="dxa"/>
          </w:tcPr>
          <w:p w14:paraId="53ADE4F0">
            <w:pPr>
              <w:spacing w:line="360" w:lineRule="auto"/>
              <w:jc w:val="center"/>
              <w:rPr>
                <w:rFonts w:ascii="黑体" w:hAnsi="宋体" w:eastAsia="黑体"/>
                <w:bCs/>
                <w:szCs w:val="21"/>
              </w:rPr>
            </w:pPr>
            <w:r>
              <w:rPr>
                <w:rFonts w:hint="eastAsia" w:ascii="黑体" w:hAnsi="黑体" w:eastAsia="黑体"/>
                <w:bCs/>
                <w:szCs w:val="21"/>
              </w:rPr>
              <w:t>取样地点</w:t>
            </w:r>
          </w:p>
        </w:tc>
      </w:tr>
      <w:tr w14:paraId="361B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restart"/>
          </w:tcPr>
          <w:p w14:paraId="0E2EA1D3">
            <w:pPr>
              <w:spacing w:line="360" w:lineRule="auto"/>
              <w:jc w:val="center"/>
              <w:rPr>
                <w:rFonts w:ascii="黑体" w:hAnsi="宋体" w:eastAsia="黑体"/>
                <w:bCs/>
                <w:szCs w:val="21"/>
              </w:rPr>
            </w:pPr>
          </w:p>
          <w:p w14:paraId="793417FF">
            <w:pPr>
              <w:spacing w:line="360" w:lineRule="auto"/>
              <w:jc w:val="center"/>
              <w:rPr>
                <w:rFonts w:ascii="黑体" w:hAnsi="宋体" w:eastAsia="黑体"/>
                <w:bCs/>
                <w:szCs w:val="21"/>
              </w:rPr>
            </w:pPr>
          </w:p>
          <w:p w14:paraId="04C37493">
            <w:pPr>
              <w:spacing w:line="360" w:lineRule="auto"/>
              <w:jc w:val="center"/>
              <w:rPr>
                <w:rFonts w:ascii="黑体" w:hAnsi="宋体" w:eastAsia="黑体"/>
                <w:bCs/>
                <w:szCs w:val="21"/>
              </w:rPr>
            </w:pPr>
          </w:p>
          <w:p w14:paraId="0700536C">
            <w:pPr>
              <w:spacing w:line="360" w:lineRule="auto"/>
              <w:jc w:val="center"/>
              <w:rPr>
                <w:rFonts w:ascii="黑体" w:hAnsi="宋体" w:eastAsia="黑体"/>
                <w:bCs/>
                <w:szCs w:val="21"/>
              </w:rPr>
            </w:pPr>
          </w:p>
          <w:p w14:paraId="514BF693">
            <w:pPr>
              <w:spacing w:line="360" w:lineRule="auto"/>
              <w:jc w:val="center"/>
              <w:rPr>
                <w:rFonts w:ascii="黑体" w:hAnsi="宋体" w:eastAsia="黑体"/>
                <w:bCs/>
                <w:szCs w:val="21"/>
              </w:rPr>
            </w:pPr>
          </w:p>
          <w:p w14:paraId="268B6374">
            <w:pPr>
              <w:spacing w:line="360" w:lineRule="auto"/>
              <w:jc w:val="center"/>
              <w:rPr>
                <w:rFonts w:ascii="黑体" w:hAnsi="宋体" w:eastAsia="黑体"/>
                <w:bCs/>
                <w:szCs w:val="21"/>
              </w:rPr>
            </w:pPr>
          </w:p>
          <w:p w14:paraId="69A4321C">
            <w:pPr>
              <w:spacing w:line="360" w:lineRule="auto"/>
              <w:jc w:val="center"/>
              <w:rPr>
                <w:rFonts w:ascii="黑体" w:hAnsi="宋体" w:eastAsia="黑体"/>
                <w:bCs/>
                <w:szCs w:val="21"/>
              </w:rPr>
            </w:pPr>
          </w:p>
          <w:p w14:paraId="5DFE84A6">
            <w:pPr>
              <w:spacing w:line="360" w:lineRule="auto"/>
              <w:jc w:val="center"/>
              <w:rPr>
                <w:rFonts w:ascii="黑体" w:hAnsi="宋体" w:eastAsia="黑体"/>
                <w:bCs/>
                <w:szCs w:val="21"/>
              </w:rPr>
            </w:pPr>
            <w:r>
              <w:rPr>
                <w:rFonts w:hint="eastAsia" w:ascii="黑体" w:hAnsi="宋体" w:eastAsia="黑体"/>
                <w:bCs/>
                <w:szCs w:val="21"/>
              </w:rPr>
              <w:t>纯化水</w:t>
            </w:r>
          </w:p>
        </w:tc>
        <w:tc>
          <w:tcPr>
            <w:tcW w:w="1857" w:type="dxa"/>
          </w:tcPr>
          <w:p w14:paraId="78407CD2">
            <w:pPr>
              <w:spacing w:line="360" w:lineRule="auto"/>
              <w:jc w:val="center"/>
              <w:rPr>
                <w:rFonts w:ascii="黑体" w:hAnsi="宋体" w:eastAsia="黑体"/>
                <w:bCs/>
                <w:szCs w:val="21"/>
              </w:rPr>
            </w:pPr>
            <w:r>
              <w:rPr>
                <w:rFonts w:hint="eastAsia" w:ascii="黑体" w:hAnsi="黑体" w:eastAsia="黑体"/>
                <w:bCs/>
                <w:szCs w:val="21"/>
              </w:rPr>
              <w:t>*</w:t>
            </w:r>
            <w:r>
              <w:rPr>
                <w:rFonts w:hint="eastAsia" w:ascii="黑体" w:hAnsi="宋体" w:eastAsia="黑体"/>
                <w:bCs/>
                <w:szCs w:val="21"/>
              </w:rPr>
              <w:t>外观</w:t>
            </w:r>
          </w:p>
        </w:tc>
        <w:tc>
          <w:tcPr>
            <w:tcW w:w="2718" w:type="dxa"/>
          </w:tcPr>
          <w:p w14:paraId="67D502C3">
            <w:pPr>
              <w:spacing w:line="360" w:lineRule="auto"/>
              <w:jc w:val="left"/>
              <w:rPr>
                <w:rFonts w:ascii="黑体" w:hAnsi="宋体" w:eastAsia="黑体"/>
                <w:bCs/>
                <w:szCs w:val="21"/>
              </w:rPr>
            </w:pPr>
            <w:r>
              <w:rPr>
                <w:rFonts w:hint="eastAsia" w:ascii="黑体" w:hAnsi="宋体" w:eastAsia="黑体"/>
                <w:bCs/>
                <w:szCs w:val="21"/>
              </w:rPr>
              <w:t>无色澄清液体</w:t>
            </w:r>
          </w:p>
        </w:tc>
        <w:tc>
          <w:tcPr>
            <w:tcW w:w="1858" w:type="dxa"/>
            <w:vMerge w:val="restart"/>
          </w:tcPr>
          <w:p w14:paraId="2A31C2C9">
            <w:pPr>
              <w:spacing w:line="360" w:lineRule="auto"/>
              <w:jc w:val="left"/>
              <w:rPr>
                <w:rFonts w:ascii="黑体" w:hAnsi="宋体" w:eastAsia="黑体"/>
                <w:bCs/>
                <w:szCs w:val="21"/>
              </w:rPr>
            </w:pPr>
          </w:p>
          <w:p w14:paraId="43ED58E3">
            <w:pPr>
              <w:spacing w:line="360" w:lineRule="auto"/>
              <w:jc w:val="left"/>
              <w:rPr>
                <w:rFonts w:ascii="黑体" w:hAnsi="宋体" w:eastAsia="黑体"/>
                <w:bCs/>
                <w:szCs w:val="21"/>
              </w:rPr>
            </w:pPr>
          </w:p>
          <w:p w14:paraId="1531C894">
            <w:pPr>
              <w:spacing w:line="360" w:lineRule="auto"/>
              <w:jc w:val="left"/>
              <w:rPr>
                <w:rFonts w:ascii="黑体" w:hAnsi="宋体" w:eastAsia="黑体"/>
                <w:bCs/>
                <w:szCs w:val="21"/>
              </w:rPr>
            </w:pPr>
          </w:p>
          <w:p w14:paraId="1427E13E">
            <w:pPr>
              <w:spacing w:line="360" w:lineRule="auto"/>
              <w:jc w:val="left"/>
              <w:rPr>
                <w:rFonts w:ascii="黑体" w:hAnsi="宋体" w:eastAsia="黑体"/>
                <w:bCs/>
                <w:szCs w:val="21"/>
              </w:rPr>
            </w:pPr>
          </w:p>
          <w:p w14:paraId="06008F1C">
            <w:pPr>
              <w:spacing w:line="360" w:lineRule="auto"/>
              <w:jc w:val="left"/>
              <w:rPr>
                <w:rFonts w:ascii="黑体" w:hAnsi="宋体" w:eastAsia="黑体"/>
                <w:bCs/>
                <w:szCs w:val="21"/>
              </w:rPr>
            </w:pPr>
          </w:p>
          <w:p w14:paraId="5D1A4820">
            <w:pPr>
              <w:spacing w:line="360" w:lineRule="auto"/>
              <w:jc w:val="left"/>
              <w:rPr>
                <w:rFonts w:ascii="黑体" w:hAnsi="宋体" w:eastAsia="黑体"/>
                <w:bCs/>
                <w:szCs w:val="21"/>
              </w:rPr>
            </w:pPr>
          </w:p>
          <w:p w14:paraId="39157940">
            <w:pPr>
              <w:spacing w:line="360" w:lineRule="auto"/>
              <w:jc w:val="left"/>
              <w:rPr>
                <w:rFonts w:ascii="黑体" w:hAnsi="宋体" w:eastAsia="黑体"/>
                <w:bCs/>
                <w:szCs w:val="21"/>
              </w:rPr>
            </w:pPr>
            <w:r>
              <w:rPr>
                <w:rFonts w:hint="eastAsia" w:ascii="黑体" w:hAnsi="宋体" w:eastAsia="黑体"/>
                <w:bCs/>
                <w:szCs w:val="21"/>
              </w:rPr>
              <w:t>出水口、总送水口和各个使用点取样</w:t>
            </w:r>
          </w:p>
        </w:tc>
      </w:tr>
      <w:tr w14:paraId="56EB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5B38D2CD">
            <w:pPr>
              <w:spacing w:line="360" w:lineRule="auto"/>
              <w:jc w:val="center"/>
              <w:rPr>
                <w:rFonts w:ascii="黑体" w:hAnsi="宋体" w:eastAsia="黑体"/>
                <w:bCs/>
                <w:szCs w:val="21"/>
              </w:rPr>
            </w:pPr>
          </w:p>
        </w:tc>
        <w:tc>
          <w:tcPr>
            <w:tcW w:w="1857" w:type="dxa"/>
          </w:tcPr>
          <w:p w14:paraId="5FBA4ECB">
            <w:pPr>
              <w:spacing w:line="360" w:lineRule="auto"/>
              <w:jc w:val="center"/>
              <w:rPr>
                <w:rFonts w:ascii="黑体" w:hAnsi="宋体" w:eastAsia="黑体"/>
                <w:bCs/>
                <w:szCs w:val="21"/>
              </w:rPr>
            </w:pPr>
            <w:r>
              <w:rPr>
                <w:rFonts w:hint="eastAsia" w:ascii="黑体" w:hAnsi="黑体" w:eastAsia="黑体"/>
                <w:bCs/>
                <w:szCs w:val="21"/>
              </w:rPr>
              <w:t>*</w:t>
            </w:r>
            <w:r>
              <w:rPr>
                <w:rFonts w:hint="eastAsia" w:ascii="黑体" w:hAnsi="宋体" w:eastAsia="黑体"/>
                <w:bCs/>
                <w:szCs w:val="21"/>
              </w:rPr>
              <w:t>气味</w:t>
            </w:r>
          </w:p>
        </w:tc>
        <w:tc>
          <w:tcPr>
            <w:tcW w:w="2718" w:type="dxa"/>
          </w:tcPr>
          <w:p w14:paraId="2BA47B7F">
            <w:pPr>
              <w:spacing w:line="360" w:lineRule="auto"/>
              <w:jc w:val="left"/>
              <w:rPr>
                <w:rFonts w:ascii="黑体" w:hAnsi="宋体" w:eastAsia="黑体"/>
                <w:bCs/>
                <w:szCs w:val="21"/>
              </w:rPr>
            </w:pPr>
            <w:r>
              <w:rPr>
                <w:rFonts w:hint="eastAsia" w:ascii="黑体" w:hAnsi="宋体" w:eastAsia="黑体"/>
                <w:bCs/>
                <w:szCs w:val="21"/>
              </w:rPr>
              <w:t>无臭味异味</w:t>
            </w:r>
          </w:p>
        </w:tc>
        <w:tc>
          <w:tcPr>
            <w:tcW w:w="1858" w:type="dxa"/>
            <w:vMerge w:val="continue"/>
          </w:tcPr>
          <w:p w14:paraId="10D02E79">
            <w:pPr>
              <w:spacing w:line="360" w:lineRule="auto"/>
              <w:jc w:val="left"/>
              <w:rPr>
                <w:rFonts w:ascii="黑体" w:hAnsi="宋体" w:eastAsia="黑体"/>
                <w:bCs/>
                <w:szCs w:val="21"/>
              </w:rPr>
            </w:pPr>
          </w:p>
        </w:tc>
      </w:tr>
      <w:tr w14:paraId="645D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17F9523B">
            <w:pPr>
              <w:spacing w:line="360" w:lineRule="auto"/>
              <w:jc w:val="center"/>
              <w:rPr>
                <w:rFonts w:ascii="黑体" w:hAnsi="宋体" w:eastAsia="黑体"/>
                <w:bCs/>
                <w:szCs w:val="21"/>
              </w:rPr>
            </w:pPr>
          </w:p>
        </w:tc>
        <w:tc>
          <w:tcPr>
            <w:tcW w:w="1857" w:type="dxa"/>
          </w:tcPr>
          <w:p w14:paraId="0757BC51">
            <w:pPr>
              <w:spacing w:line="360" w:lineRule="auto"/>
              <w:jc w:val="center"/>
              <w:rPr>
                <w:rFonts w:ascii="黑体" w:hAnsi="宋体" w:eastAsia="黑体"/>
                <w:bCs/>
                <w:szCs w:val="21"/>
              </w:rPr>
            </w:pPr>
            <w:r>
              <w:rPr>
                <w:rFonts w:hint="eastAsia" w:ascii="黑体" w:hAnsi="黑体" w:eastAsia="黑体"/>
                <w:bCs/>
                <w:szCs w:val="21"/>
              </w:rPr>
              <w:t>*</w:t>
            </w:r>
            <w:r>
              <w:rPr>
                <w:rFonts w:hint="eastAsia" w:ascii="黑体" w:hAnsi="宋体" w:eastAsia="黑体"/>
                <w:bCs/>
                <w:szCs w:val="21"/>
              </w:rPr>
              <w:t>酸碱度</w:t>
            </w:r>
          </w:p>
        </w:tc>
        <w:tc>
          <w:tcPr>
            <w:tcW w:w="2718" w:type="dxa"/>
          </w:tcPr>
          <w:p w14:paraId="08F84164">
            <w:pPr>
              <w:spacing w:line="360" w:lineRule="auto"/>
              <w:jc w:val="left"/>
              <w:rPr>
                <w:rFonts w:ascii="黑体" w:hAnsi="宋体" w:eastAsia="黑体"/>
                <w:bCs/>
                <w:szCs w:val="21"/>
              </w:rPr>
            </w:pPr>
            <w:r>
              <w:rPr>
                <w:rFonts w:hint="eastAsia" w:ascii="黑体" w:hAnsi="宋体" w:eastAsia="黑体"/>
                <w:bCs/>
                <w:szCs w:val="21"/>
              </w:rPr>
              <w:t>滴入相应酸碱指示剂不应显色</w:t>
            </w:r>
          </w:p>
        </w:tc>
        <w:tc>
          <w:tcPr>
            <w:tcW w:w="1858" w:type="dxa"/>
            <w:vMerge w:val="continue"/>
          </w:tcPr>
          <w:p w14:paraId="222B226E">
            <w:pPr>
              <w:spacing w:line="360" w:lineRule="auto"/>
              <w:jc w:val="left"/>
              <w:rPr>
                <w:rFonts w:ascii="黑体" w:hAnsi="宋体" w:eastAsia="黑体"/>
                <w:bCs/>
                <w:szCs w:val="21"/>
              </w:rPr>
            </w:pPr>
          </w:p>
        </w:tc>
      </w:tr>
      <w:tr w14:paraId="4C5D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56E277D2">
            <w:pPr>
              <w:spacing w:line="360" w:lineRule="auto"/>
              <w:jc w:val="center"/>
              <w:rPr>
                <w:rFonts w:ascii="黑体" w:hAnsi="宋体" w:eastAsia="黑体"/>
                <w:bCs/>
                <w:szCs w:val="21"/>
              </w:rPr>
            </w:pPr>
          </w:p>
        </w:tc>
        <w:tc>
          <w:tcPr>
            <w:tcW w:w="1857" w:type="dxa"/>
          </w:tcPr>
          <w:p w14:paraId="1A46F982">
            <w:pPr>
              <w:spacing w:line="360" w:lineRule="auto"/>
              <w:jc w:val="center"/>
              <w:rPr>
                <w:rFonts w:ascii="黑体" w:hAnsi="宋体" w:eastAsia="黑体"/>
                <w:bCs/>
                <w:szCs w:val="21"/>
              </w:rPr>
            </w:pPr>
            <w:r>
              <w:rPr>
                <w:rFonts w:hint="eastAsia" w:ascii="黑体" w:hAnsi="宋体" w:eastAsia="黑体"/>
                <w:bCs/>
                <w:szCs w:val="21"/>
              </w:rPr>
              <w:t>硝酸盐</w:t>
            </w:r>
          </w:p>
        </w:tc>
        <w:tc>
          <w:tcPr>
            <w:tcW w:w="2718" w:type="dxa"/>
            <w:vMerge w:val="restart"/>
          </w:tcPr>
          <w:p w14:paraId="41D92893">
            <w:pPr>
              <w:spacing w:line="360" w:lineRule="auto"/>
              <w:jc w:val="left"/>
              <w:rPr>
                <w:rFonts w:ascii="黑体" w:hAnsi="宋体" w:eastAsia="黑体"/>
                <w:bCs/>
                <w:szCs w:val="21"/>
              </w:rPr>
            </w:pPr>
            <w:r>
              <w:rPr>
                <w:rFonts w:hint="eastAsia" w:ascii="黑体" w:hAnsi="宋体" w:eastAsia="黑体"/>
                <w:bCs/>
                <w:szCs w:val="21"/>
              </w:rPr>
              <w:t>比色法：不得标准样颜色更深</w:t>
            </w:r>
          </w:p>
        </w:tc>
        <w:tc>
          <w:tcPr>
            <w:tcW w:w="1858" w:type="dxa"/>
            <w:vMerge w:val="continue"/>
          </w:tcPr>
          <w:p w14:paraId="01661FF4">
            <w:pPr>
              <w:spacing w:line="360" w:lineRule="auto"/>
              <w:jc w:val="left"/>
              <w:rPr>
                <w:rFonts w:ascii="黑体" w:hAnsi="宋体" w:eastAsia="黑体"/>
                <w:bCs/>
                <w:szCs w:val="21"/>
              </w:rPr>
            </w:pPr>
          </w:p>
        </w:tc>
      </w:tr>
      <w:tr w14:paraId="678E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14F36BE2">
            <w:pPr>
              <w:spacing w:line="360" w:lineRule="auto"/>
              <w:jc w:val="center"/>
              <w:rPr>
                <w:rFonts w:ascii="黑体" w:hAnsi="宋体" w:eastAsia="黑体"/>
                <w:bCs/>
                <w:szCs w:val="21"/>
              </w:rPr>
            </w:pPr>
          </w:p>
        </w:tc>
        <w:tc>
          <w:tcPr>
            <w:tcW w:w="1857" w:type="dxa"/>
          </w:tcPr>
          <w:p w14:paraId="39DD115F">
            <w:pPr>
              <w:spacing w:line="360" w:lineRule="auto"/>
              <w:jc w:val="center"/>
              <w:rPr>
                <w:rFonts w:ascii="黑体" w:hAnsi="宋体" w:eastAsia="黑体"/>
                <w:bCs/>
                <w:szCs w:val="21"/>
              </w:rPr>
            </w:pPr>
            <w:r>
              <w:rPr>
                <w:rFonts w:hint="eastAsia" w:ascii="黑体" w:hAnsi="宋体" w:eastAsia="黑体"/>
                <w:bCs/>
                <w:szCs w:val="21"/>
              </w:rPr>
              <w:t>亚硝酸盐</w:t>
            </w:r>
          </w:p>
        </w:tc>
        <w:tc>
          <w:tcPr>
            <w:tcW w:w="2718" w:type="dxa"/>
            <w:vMerge w:val="continue"/>
          </w:tcPr>
          <w:p w14:paraId="0D08CE3A">
            <w:pPr>
              <w:spacing w:line="360" w:lineRule="auto"/>
              <w:jc w:val="left"/>
              <w:rPr>
                <w:rFonts w:ascii="黑体" w:hAnsi="宋体" w:eastAsia="黑体"/>
                <w:bCs/>
                <w:szCs w:val="21"/>
              </w:rPr>
            </w:pPr>
          </w:p>
        </w:tc>
        <w:tc>
          <w:tcPr>
            <w:tcW w:w="1858" w:type="dxa"/>
            <w:vMerge w:val="continue"/>
          </w:tcPr>
          <w:p w14:paraId="456F09D4">
            <w:pPr>
              <w:spacing w:line="360" w:lineRule="auto"/>
              <w:jc w:val="left"/>
              <w:rPr>
                <w:rFonts w:ascii="黑体" w:hAnsi="宋体" w:eastAsia="黑体"/>
                <w:bCs/>
                <w:szCs w:val="21"/>
              </w:rPr>
            </w:pPr>
          </w:p>
        </w:tc>
      </w:tr>
      <w:tr w14:paraId="65E4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07BC4966">
            <w:pPr>
              <w:spacing w:line="360" w:lineRule="auto"/>
              <w:jc w:val="center"/>
              <w:rPr>
                <w:rFonts w:ascii="黑体" w:hAnsi="宋体" w:eastAsia="黑体"/>
                <w:bCs/>
                <w:szCs w:val="21"/>
              </w:rPr>
            </w:pPr>
          </w:p>
        </w:tc>
        <w:tc>
          <w:tcPr>
            <w:tcW w:w="1857" w:type="dxa"/>
          </w:tcPr>
          <w:p w14:paraId="4A6D5FD1">
            <w:pPr>
              <w:spacing w:line="360" w:lineRule="auto"/>
              <w:jc w:val="center"/>
              <w:rPr>
                <w:rFonts w:ascii="黑体" w:hAnsi="宋体" w:eastAsia="黑体"/>
                <w:bCs/>
                <w:szCs w:val="21"/>
              </w:rPr>
            </w:pPr>
            <w:r>
              <w:rPr>
                <w:rFonts w:hint="eastAsia" w:ascii="黑体" w:hAnsi="宋体" w:eastAsia="黑体"/>
                <w:bCs/>
                <w:szCs w:val="21"/>
              </w:rPr>
              <w:t>氨</w:t>
            </w:r>
          </w:p>
        </w:tc>
        <w:tc>
          <w:tcPr>
            <w:tcW w:w="2718" w:type="dxa"/>
            <w:vMerge w:val="continue"/>
          </w:tcPr>
          <w:p w14:paraId="33C1AE99">
            <w:pPr>
              <w:spacing w:line="360" w:lineRule="auto"/>
              <w:jc w:val="left"/>
              <w:rPr>
                <w:rFonts w:ascii="黑体" w:hAnsi="宋体" w:eastAsia="黑体"/>
                <w:bCs/>
                <w:szCs w:val="21"/>
              </w:rPr>
            </w:pPr>
          </w:p>
        </w:tc>
        <w:tc>
          <w:tcPr>
            <w:tcW w:w="1858" w:type="dxa"/>
            <w:vMerge w:val="continue"/>
          </w:tcPr>
          <w:p w14:paraId="7E6FB0FC">
            <w:pPr>
              <w:spacing w:line="360" w:lineRule="auto"/>
              <w:jc w:val="left"/>
              <w:rPr>
                <w:rFonts w:ascii="黑体" w:hAnsi="宋体" w:eastAsia="黑体"/>
                <w:bCs/>
                <w:szCs w:val="21"/>
              </w:rPr>
            </w:pPr>
          </w:p>
        </w:tc>
      </w:tr>
      <w:tr w14:paraId="017F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7" w:type="dxa"/>
            <w:vMerge w:val="continue"/>
          </w:tcPr>
          <w:p w14:paraId="7925E285">
            <w:pPr>
              <w:spacing w:line="360" w:lineRule="auto"/>
              <w:jc w:val="center"/>
              <w:rPr>
                <w:rFonts w:ascii="黑体" w:hAnsi="宋体" w:eastAsia="黑体"/>
                <w:bCs/>
                <w:szCs w:val="21"/>
              </w:rPr>
            </w:pPr>
          </w:p>
        </w:tc>
        <w:tc>
          <w:tcPr>
            <w:tcW w:w="1857" w:type="dxa"/>
          </w:tcPr>
          <w:p w14:paraId="61BFDB8A">
            <w:pPr>
              <w:spacing w:line="360" w:lineRule="auto"/>
              <w:jc w:val="center"/>
              <w:rPr>
                <w:rFonts w:ascii="黑体" w:hAnsi="宋体" w:eastAsia="黑体"/>
                <w:bCs/>
                <w:szCs w:val="21"/>
              </w:rPr>
            </w:pPr>
            <w:r>
              <w:rPr>
                <w:rFonts w:hint="eastAsia" w:ascii="黑体" w:hAnsi="黑体" w:eastAsia="黑体"/>
                <w:bCs/>
                <w:szCs w:val="21"/>
              </w:rPr>
              <w:t>*</w:t>
            </w:r>
            <w:r>
              <w:rPr>
                <w:rFonts w:hint="eastAsia" w:ascii="黑体" w:hAnsi="宋体" w:eastAsia="黑体"/>
                <w:bCs/>
                <w:szCs w:val="21"/>
              </w:rPr>
              <w:t>电导率</w:t>
            </w:r>
          </w:p>
        </w:tc>
        <w:tc>
          <w:tcPr>
            <w:tcW w:w="2718" w:type="dxa"/>
          </w:tcPr>
          <w:p w14:paraId="727C415C">
            <w:pPr>
              <w:spacing w:line="360" w:lineRule="auto"/>
              <w:jc w:val="left"/>
              <w:rPr>
                <w:rFonts w:ascii="黑体" w:hAnsi="宋体" w:eastAsia="黑体"/>
                <w:bCs/>
                <w:szCs w:val="21"/>
              </w:rPr>
            </w:pPr>
            <w:r>
              <w:rPr>
                <w:rFonts w:hint="eastAsia" w:ascii="黑体" w:hAnsi="宋体" w:eastAsia="黑体"/>
                <w:bCs/>
                <w:szCs w:val="21"/>
              </w:rPr>
              <w:t>25℃时不得超过5.1us/cm</w:t>
            </w:r>
          </w:p>
        </w:tc>
        <w:tc>
          <w:tcPr>
            <w:tcW w:w="1858" w:type="dxa"/>
            <w:vMerge w:val="continue"/>
          </w:tcPr>
          <w:p w14:paraId="456FE6DE">
            <w:pPr>
              <w:spacing w:line="360" w:lineRule="auto"/>
              <w:jc w:val="left"/>
              <w:rPr>
                <w:rFonts w:ascii="黑体" w:hAnsi="宋体" w:eastAsia="黑体"/>
                <w:bCs/>
                <w:szCs w:val="21"/>
              </w:rPr>
            </w:pPr>
          </w:p>
        </w:tc>
      </w:tr>
      <w:tr w14:paraId="4E1C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06419120">
            <w:pPr>
              <w:spacing w:line="360" w:lineRule="auto"/>
              <w:jc w:val="center"/>
              <w:rPr>
                <w:rFonts w:ascii="黑体" w:hAnsi="宋体" w:eastAsia="黑体"/>
                <w:bCs/>
                <w:szCs w:val="21"/>
              </w:rPr>
            </w:pPr>
          </w:p>
        </w:tc>
        <w:tc>
          <w:tcPr>
            <w:tcW w:w="1857" w:type="dxa"/>
          </w:tcPr>
          <w:p w14:paraId="6418E51C">
            <w:pPr>
              <w:spacing w:line="360" w:lineRule="auto"/>
              <w:jc w:val="center"/>
              <w:rPr>
                <w:rFonts w:ascii="黑体" w:hAnsi="宋体" w:eastAsia="黑体"/>
                <w:bCs/>
                <w:szCs w:val="21"/>
              </w:rPr>
            </w:pPr>
            <w:r>
              <w:rPr>
                <w:rFonts w:hint="eastAsia" w:ascii="黑体" w:hAnsi="宋体" w:eastAsia="黑体"/>
                <w:bCs/>
                <w:szCs w:val="21"/>
              </w:rPr>
              <w:t>易氧化物</w:t>
            </w:r>
          </w:p>
        </w:tc>
        <w:tc>
          <w:tcPr>
            <w:tcW w:w="2718" w:type="dxa"/>
          </w:tcPr>
          <w:p w14:paraId="32FDF216">
            <w:pPr>
              <w:spacing w:line="360" w:lineRule="auto"/>
              <w:jc w:val="left"/>
              <w:rPr>
                <w:rFonts w:ascii="黑体" w:hAnsi="宋体" w:eastAsia="黑体"/>
                <w:bCs/>
                <w:szCs w:val="21"/>
              </w:rPr>
            </w:pPr>
            <w:r>
              <w:rPr>
                <w:rFonts w:hint="eastAsia" w:ascii="黑体" w:hAnsi="宋体" w:eastAsia="黑体"/>
                <w:bCs/>
                <w:szCs w:val="21"/>
              </w:rPr>
              <w:t>加入相应试剂试验后粉色不得完全退去</w:t>
            </w:r>
          </w:p>
        </w:tc>
        <w:tc>
          <w:tcPr>
            <w:tcW w:w="1858" w:type="dxa"/>
            <w:vMerge w:val="continue"/>
          </w:tcPr>
          <w:p w14:paraId="76D86479">
            <w:pPr>
              <w:spacing w:line="360" w:lineRule="auto"/>
              <w:jc w:val="left"/>
              <w:rPr>
                <w:rFonts w:ascii="黑体" w:hAnsi="宋体" w:eastAsia="黑体"/>
                <w:bCs/>
                <w:szCs w:val="21"/>
              </w:rPr>
            </w:pPr>
          </w:p>
        </w:tc>
      </w:tr>
      <w:tr w14:paraId="64E3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386828DE">
            <w:pPr>
              <w:spacing w:line="360" w:lineRule="auto"/>
              <w:jc w:val="center"/>
              <w:rPr>
                <w:rFonts w:ascii="黑体" w:hAnsi="宋体" w:eastAsia="黑体"/>
                <w:bCs/>
                <w:szCs w:val="21"/>
              </w:rPr>
            </w:pPr>
          </w:p>
        </w:tc>
        <w:tc>
          <w:tcPr>
            <w:tcW w:w="1857" w:type="dxa"/>
          </w:tcPr>
          <w:p w14:paraId="1AB3D533">
            <w:pPr>
              <w:spacing w:line="360" w:lineRule="auto"/>
              <w:jc w:val="center"/>
              <w:rPr>
                <w:rFonts w:ascii="黑体" w:hAnsi="宋体" w:eastAsia="黑体"/>
                <w:bCs/>
                <w:szCs w:val="21"/>
              </w:rPr>
            </w:pPr>
            <w:r>
              <w:rPr>
                <w:rFonts w:hint="eastAsia" w:ascii="黑体" w:hAnsi="宋体" w:eastAsia="黑体"/>
                <w:bCs/>
                <w:szCs w:val="21"/>
              </w:rPr>
              <w:t>不挥发物</w:t>
            </w:r>
          </w:p>
        </w:tc>
        <w:tc>
          <w:tcPr>
            <w:tcW w:w="2718" w:type="dxa"/>
          </w:tcPr>
          <w:p w14:paraId="1608A6BE">
            <w:pPr>
              <w:spacing w:line="360" w:lineRule="auto"/>
              <w:jc w:val="left"/>
              <w:rPr>
                <w:rFonts w:ascii="黑体" w:hAnsi="宋体" w:eastAsia="黑体"/>
                <w:bCs/>
                <w:szCs w:val="21"/>
              </w:rPr>
            </w:pPr>
            <w:r>
              <w:rPr>
                <w:rFonts w:hint="eastAsia" w:ascii="黑体" w:hAnsi="宋体" w:eastAsia="黑体"/>
                <w:bCs/>
                <w:szCs w:val="21"/>
              </w:rPr>
              <w:t>遗留残渣不超过1mg</w:t>
            </w:r>
          </w:p>
        </w:tc>
        <w:tc>
          <w:tcPr>
            <w:tcW w:w="1858" w:type="dxa"/>
            <w:vMerge w:val="continue"/>
          </w:tcPr>
          <w:p w14:paraId="0660CD79">
            <w:pPr>
              <w:spacing w:line="360" w:lineRule="auto"/>
              <w:jc w:val="left"/>
              <w:rPr>
                <w:rFonts w:ascii="黑体" w:hAnsi="宋体" w:eastAsia="黑体"/>
                <w:bCs/>
                <w:szCs w:val="21"/>
              </w:rPr>
            </w:pPr>
          </w:p>
        </w:tc>
      </w:tr>
      <w:tr w14:paraId="5E65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6EC59522">
            <w:pPr>
              <w:spacing w:line="360" w:lineRule="auto"/>
              <w:jc w:val="center"/>
              <w:rPr>
                <w:rFonts w:ascii="黑体" w:hAnsi="宋体" w:eastAsia="黑体"/>
                <w:bCs/>
                <w:szCs w:val="21"/>
              </w:rPr>
            </w:pPr>
          </w:p>
        </w:tc>
        <w:tc>
          <w:tcPr>
            <w:tcW w:w="1857" w:type="dxa"/>
          </w:tcPr>
          <w:p w14:paraId="71299FC3">
            <w:pPr>
              <w:spacing w:line="360" w:lineRule="auto"/>
              <w:jc w:val="center"/>
              <w:rPr>
                <w:rFonts w:ascii="黑体" w:hAnsi="宋体" w:eastAsia="黑体"/>
                <w:bCs/>
                <w:szCs w:val="21"/>
              </w:rPr>
            </w:pPr>
            <w:r>
              <w:rPr>
                <w:rFonts w:hint="eastAsia" w:ascii="黑体" w:hAnsi="宋体" w:eastAsia="黑体"/>
                <w:bCs/>
                <w:szCs w:val="21"/>
              </w:rPr>
              <w:t>重金属</w:t>
            </w:r>
          </w:p>
        </w:tc>
        <w:tc>
          <w:tcPr>
            <w:tcW w:w="2718" w:type="dxa"/>
          </w:tcPr>
          <w:p w14:paraId="34F4DFB8">
            <w:pPr>
              <w:spacing w:line="360" w:lineRule="auto"/>
              <w:jc w:val="left"/>
              <w:rPr>
                <w:rFonts w:ascii="黑体" w:hAnsi="宋体" w:eastAsia="黑体"/>
                <w:bCs/>
                <w:szCs w:val="21"/>
              </w:rPr>
            </w:pPr>
            <w:r>
              <w:rPr>
                <w:rFonts w:hint="eastAsia" w:ascii="黑体" w:hAnsi="宋体" w:eastAsia="黑体"/>
                <w:bCs/>
                <w:szCs w:val="21"/>
              </w:rPr>
              <w:t>比色法：不得比标准样颜色更深</w:t>
            </w:r>
          </w:p>
        </w:tc>
        <w:tc>
          <w:tcPr>
            <w:tcW w:w="1858" w:type="dxa"/>
            <w:vMerge w:val="continue"/>
          </w:tcPr>
          <w:p w14:paraId="3B913541">
            <w:pPr>
              <w:spacing w:line="360" w:lineRule="auto"/>
              <w:jc w:val="left"/>
              <w:rPr>
                <w:rFonts w:ascii="黑体" w:hAnsi="宋体" w:eastAsia="黑体"/>
                <w:bCs/>
                <w:szCs w:val="21"/>
              </w:rPr>
            </w:pPr>
          </w:p>
        </w:tc>
      </w:tr>
      <w:tr w14:paraId="2CB1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tcPr>
          <w:p w14:paraId="6AA426D3">
            <w:pPr>
              <w:spacing w:line="360" w:lineRule="auto"/>
              <w:jc w:val="center"/>
              <w:rPr>
                <w:rFonts w:ascii="黑体" w:hAnsi="宋体" w:eastAsia="黑体"/>
                <w:bCs/>
                <w:szCs w:val="21"/>
              </w:rPr>
            </w:pPr>
          </w:p>
        </w:tc>
        <w:tc>
          <w:tcPr>
            <w:tcW w:w="1857" w:type="dxa"/>
          </w:tcPr>
          <w:p w14:paraId="0799CE65">
            <w:pPr>
              <w:spacing w:line="360" w:lineRule="auto"/>
              <w:jc w:val="center"/>
              <w:rPr>
                <w:rFonts w:ascii="黑体" w:hAnsi="宋体" w:eastAsia="黑体"/>
                <w:bCs/>
                <w:szCs w:val="21"/>
              </w:rPr>
            </w:pPr>
            <w:r>
              <w:rPr>
                <w:rFonts w:hint="eastAsia" w:ascii="黑体" w:hAnsi="宋体" w:eastAsia="黑体"/>
                <w:bCs/>
                <w:szCs w:val="21"/>
              </w:rPr>
              <w:t>微生物限度</w:t>
            </w:r>
          </w:p>
        </w:tc>
        <w:tc>
          <w:tcPr>
            <w:tcW w:w="2718" w:type="dxa"/>
          </w:tcPr>
          <w:p w14:paraId="3615764A">
            <w:pPr>
              <w:spacing w:line="360" w:lineRule="auto"/>
              <w:jc w:val="left"/>
              <w:rPr>
                <w:rFonts w:ascii="黑体" w:hAnsi="宋体" w:eastAsia="黑体"/>
                <w:bCs/>
                <w:szCs w:val="21"/>
              </w:rPr>
            </w:pPr>
            <w:r>
              <w:rPr>
                <w:rFonts w:hint="eastAsia" w:ascii="黑体" w:hAnsi="宋体" w:eastAsia="黑体"/>
                <w:bCs/>
                <w:szCs w:val="21"/>
              </w:rPr>
              <w:t>菌落总数不得超过100cfu/ml或100cfu/g</w:t>
            </w:r>
          </w:p>
        </w:tc>
        <w:tc>
          <w:tcPr>
            <w:tcW w:w="1858" w:type="dxa"/>
            <w:vMerge w:val="continue"/>
          </w:tcPr>
          <w:p w14:paraId="344498B6">
            <w:pPr>
              <w:spacing w:line="360" w:lineRule="auto"/>
              <w:jc w:val="left"/>
              <w:rPr>
                <w:rFonts w:ascii="黑体" w:hAnsi="宋体" w:eastAsia="黑体"/>
                <w:bCs/>
                <w:szCs w:val="21"/>
              </w:rPr>
            </w:pPr>
          </w:p>
        </w:tc>
      </w:tr>
    </w:tbl>
    <w:p w14:paraId="74B973D3">
      <w:pPr>
        <w:spacing w:before="120" w:beforeLines="50" w:after="120" w:afterLines="50"/>
        <w:jc w:val="left"/>
        <w:rPr>
          <w:rFonts w:ascii="黑体" w:hAnsi="黑体" w:eastAsia="黑体"/>
          <w:bCs/>
          <w:szCs w:val="21"/>
        </w:rPr>
      </w:pPr>
      <w:r>
        <w:rPr>
          <w:rFonts w:hint="eastAsia" w:ascii="黑体" w:hAnsi="黑体" w:eastAsia="黑体"/>
          <w:bCs/>
          <w:szCs w:val="21"/>
        </w:rPr>
        <w:t>注：以上项目由质管部QC每周进行例行检测，其中带“*”为生产车间配液岗位人员每次配液前检查。</w:t>
      </w:r>
    </w:p>
    <w:p w14:paraId="37EF160A">
      <w:pPr>
        <w:numPr>
          <w:ilvl w:val="1"/>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工艺用水出现不合格的处理程序：</w:t>
      </w:r>
    </w:p>
    <w:p w14:paraId="2AFF3745">
      <w:pPr>
        <w:numPr>
          <w:ilvl w:val="2"/>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日常监控过程中，出现不合格时：</w:t>
      </w:r>
    </w:p>
    <w:p w14:paraId="5DDA883E">
      <w:pPr>
        <w:numPr>
          <w:ilvl w:val="3"/>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检测人员一旦发现工艺用水不合格，应立即进行调查。</w:t>
      </w:r>
    </w:p>
    <w:p w14:paraId="0554534A">
      <w:pPr>
        <w:numPr>
          <w:ilvl w:val="3"/>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如调查结果，确系工艺用水质量不合格，由Q</w:t>
      </w:r>
      <w:r>
        <w:rPr>
          <w:rFonts w:ascii="黑体" w:hAnsi="黑体" w:eastAsia="黑体"/>
          <w:bCs/>
          <w:szCs w:val="21"/>
        </w:rPr>
        <w:t>C</w:t>
      </w:r>
      <w:r>
        <w:rPr>
          <w:rFonts w:hint="eastAsia" w:ascii="黑体" w:hAnsi="黑体" w:eastAsia="黑体"/>
          <w:bCs/>
          <w:szCs w:val="21"/>
        </w:rPr>
        <w:t>检验员填写“水系统偏差处理单”，并立即通知</w:t>
      </w:r>
      <w:r>
        <w:rPr>
          <w:rFonts w:hint="eastAsia" w:ascii="黑体" w:hAnsi="黑体" w:eastAsia="黑体"/>
          <w:bCs/>
          <w:color w:val="FF0000"/>
          <w:szCs w:val="21"/>
        </w:rPr>
        <w:t>生产技术部</w:t>
      </w:r>
      <w:r>
        <w:rPr>
          <w:rFonts w:hint="eastAsia" w:ascii="黑体" w:hAnsi="黑体" w:eastAsia="黑体"/>
          <w:bCs/>
          <w:szCs w:val="21"/>
        </w:rPr>
        <w:t>，停止一切工艺用水的制备和使用。</w:t>
      </w:r>
    </w:p>
    <w:p w14:paraId="20A9FC4E">
      <w:pPr>
        <w:numPr>
          <w:ilvl w:val="3"/>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生产技术部接到“水系统偏差处理单”之后，由生产技术部组织制水岗位人员，会同质管部有关人员进行原因调查，并在“水系统偏差处理单”上记录实际检查情况。</w:t>
      </w:r>
    </w:p>
    <w:p w14:paraId="77D61D85">
      <w:pPr>
        <w:numPr>
          <w:ilvl w:val="3"/>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生产技术部根据调查情况制定整改措施和期限。</w:t>
      </w:r>
    </w:p>
    <w:p w14:paraId="598518C8">
      <w:pPr>
        <w:numPr>
          <w:ilvl w:val="2"/>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生产使用过程中，发现不合格时：</w:t>
      </w:r>
    </w:p>
    <w:p w14:paraId="2550D03E">
      <w:pPr>
        <w:numPr>
          <w:ilvl w:val="3"/>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生产人员发现生产用水不合格时，立即停止用水，并通知质管部。</w:t>
      </w:r>
    </w:p>
    <w:p w14:paraId="1D3E6035">
      <w:pPr>
        <w:numPr>
          <w:ilvl w:val="3"/>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质管部会同生产技术部及生产技术部立即对不合格生产用水展开调查，分析原因，针对原因提出整改建议和期限，由责任部门实施整改。</w:t>
      </w:r>
    </w:p>
    <w:p w14:paraId="57A364D0">
      <w:pPr>
        <w:numPr>
          <w:ilvl w:val="2"/>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整改措施实施过程要在质管部QA的监控下进行，并有处理记录，交质管部存档。</w:t>
      </w:r>
    </w:p>
    <w:p w14:paraId="4CC18740">
      <w:pPr>
        <w:numPr>
          <w:ilvl w:val="2"/>
          <w:numId w:val="1"/>
        </w:numPr>
        <w:adjustRightInd w:val="0"/>
        <w:spacing w:before="120" w:beforeLines="50" w:after="120" w:afterLines="50"/>
        <w:textAlignment w:val="baseline"/>
        <w:rPr>
          <w:rFonts w:ascii="黑体" w:hAnsi="黑体" w:eastAsia="黑体"/>
          <w:bCs/>
          <w:szCs w:val="21"/>
        </w:rPr>
      </w:pPr>
      <w:r>
        <w:rPr>
          <w:rFonts w:hint="eastAsia" w:ascii="黑体" w:hAnsi="黑体" w:eastAsia="黑体"/>
          <w:bCs/>
          <w:szCs w:val="21"/>
        </w:rPr>
        <w:t>措施实施后，由实施部门通知质管部重新进行检测，合格后方可开始生产。</w:t>
      </w:r>
    </w:p>
    <w:p w14:paraId="0375CA10">
      <w:pPr>
        <w:numPr>
          <w:ilvl w:val="2"/>
          <w:numId w:val="1"/>
        </w:numPr>
        <w:adjustRightInd w:val="0"/>
        <w:spacing w:before="120" w:beforeLines="50" w:after="120" w:afterLines="50"/>
        <w:textAlignment w:val="baseline"/>
        <w:rPr>
          <w:rFonts w:ascii="黑体" w:hAnsi="黑体" w:eastAsia="黑体"/>
          <w:bCs/>
          <w:spacing w:val="-8"/>
          <w:szCs w:val="21"/>
        </w:rPr>
      </w:pPr>
      <w:r>
        <w:rPr>
          <w:rFonts w:ascii="黑体" w:hAnsi="黑体" w:eastAsia="黑体" w:cs="Arial"/>
          <w:bCs/>
          <w:szCs w:val="21"/>
        </w:rPr>
        <w:t>此</w:t>
      </w:r>
      <w:r>
        <w:rPr>
          <w:rFonts w:hint="eastAsia" w:ascii="黑体" w:hAnsi="黑体" w:eastAsia="黑体" w:cs="Arial"/>
          <w:bCs/>
          <w:szCs w:val="21"/>
        </w:rPr>
        <w:t>时</w:t>
      </w:r>
      <w:r>
        <w:rPr>
          <w:rFonts w:ascii="黑体" w:hAnsi="黑体" w:eastAsia="黑体" w:cs="Arial"/>
          <w:bCs/>
          <w:szCs w:val="21"/>
        </w:rPr>
        <w:t>如果</w:t>
      </w:r>
      <w:r>
        <w:rPr>
          <w:rFonts w:hint="eastAsia" w:ascii="黑体" w:hAnsi="黑体" w:eastAsia="黑体" w:cs="Arial"/>
          <w:bCs/>
          <w:szCs w:val="21"/>
        </w:rPr>
        <w:t>纯化水</w:t>
      </w:r>
      <w:r>
        <w:rPr>
          <w:rFonts w:ascii="黑体" w:hAnsi="黑体" w:eastAsia="黑体" w:cs="Arial"/>
          <w:bCs/>
          <w:szCs w:val="21"/>
        </w:rPr>
        <w:t>已被用</w:t>
      </w:r>
      <w:r>
        <w:rPr>
          <w:rFonts w:hint="eastAsia" w:ascii="黑体" w:hAnsi="黑体" w:eastAsia="黑体" w:cs="Arial"/>
          <w:bCs/>
          <w:szCs w:val="21"/>
        </w:rPr>
        <w:t>于生产</w:t>
      </w:r>
      <w:r>
        <w:rPr>
          <w:rFonts w:ascii="黑体" w:hAnsi="黑体" w:eastAsia="黑体" w:cs="Arial"/>
          <w:bCs/>
          <w:szCs w:val="21"/>
        </w:rPr>
        <w:t>中，</w:t>
      </w:r>
      <w:r>
        <w:rPr>
          <w:rFonts w:hint="eastAsia" w:ascii="黑体" w:hAnsi="黑体" w:eastAsia="黑体" w:cs="Arial"/>
          <w:bCs/>
          <w:szCs w:val="21"/>
        </w:rPr>
        <w:t>应</w:t>
      </w:r>
      <w:r>
        <w:rPr>
          <w:rFonts w:ascii="黑体" w:hAnsi="黑体" w:eastAsia="黑体" w:cs="Arial"/>
          <w:bCs/>
          <w:szCs w:val="21"/>
        </w:rPr>
        <w:t>及</w:t>
      </w:r>
      <w:r>
        <w:rPr>
          <w:rFonts w:hint="eastAsia" w:ascii="黑体" w:hAnsi="黑体" w:eastAsia="黑体" w:cs="Arial"/>
          <w:bCs/>
          <w:szCs w:val="21"/>
        </w:rPr>
        <w:t>时</w:t>
      </w:r>
      <w:r>
        <w:rPr>
          <w:rFonts w:ascii="黑体" w:hAnsi="黑体" w:eastAsia="黑体" w:cs="Arial"/>
          <w:bCs/>
          <w:szCs w:val="21"/>
        </w:rPr>
        <w:t>隔</w:t>
      </w:r>
      <w:r>
        <w:rPr>
          <w:rFonts w:hint="eastAsia" w:ascii="黑体" w:hAnsi="黑体" w:eastAsia="黑体" w:cs="Arial"/>
          <w:bCs/>
          <w:szCs w:val="21"/>
        </w:rPr>
        <w:t>离该</w:t>
      </w:r>
      <w:r>
        <w:rPr>
          <w:rFonts w:ascii="黑体" w:hAnsi="黑体" w:eastAsia="黑体" w:cs="Arial"/>
          <w:bCs/>
          <w:szCs w:val="21"/>
        </w:rPr>
        <w:t>批</w:t>
      </w:r>
      <w:r>
        <w:rPr>
          <w:rFonts w:hint="eastAsia" w:ascii="黑体" w:hAnsi="黑体" w:eastAsia="黑体" w:cs="Arial"/>
          <w:bCs/>
          <w:szCs w:val="21"/>
        </w:rPr>
        <w:t>产</w:t>
      </w:r>
      <w:r>
        <w:rPr>
          <w:rFonts w:ascii="黑体" w:hAnsi="黑体" w:eastAsia="黑体" w:cs="Arial"/>
          <w:bCs/>
          <w:szCs w:val="21"/>
        </w:rPr>
        <w:t>品，</w:t>
      </w:r>
      <w:r>
        <w:rPr>
          <w:rFonts w:hint="eastAsia" w:ascii="黑体" w:hAnsi="黑体" w:eastAsia="黑体" w:cs="Arial"/>
          <w:bCs/>
          <w:szCs w:val="21"/>
        </w:rPr>
        <w:t>并对</w:t>
      </w:r>
      <w:r>
        <w:rPr>
          <w:rFonts w:ascii="黑体" w:hAnsi="黑体" w:eastAsia="黑体" w:cs="Arial"/>
          <w:bCs/>
          <w:szCs w:val="21"/>
        </w:rPr>
        <w:t>其</w:t>
      </w:r>
      <w:r>
        <w:rPr>
          <w:rFonts w:hint="eastAsia" w:ascii="黑体" w:hAnsi="黑体" w:eastAsia="黑体" w:cs="Arial"/>
          <w:bCs/>
          <w:szCs w:val="21"/>
        </w:rPr>
        <w:t>进</w:t>
      </w:r>
      <w:r>
        <w:rPr>
          <w:rFonts w:ascii="黑体" w:hAnsi="黑体" w:eastAsia="黑体" w:cs="Arial"/>
          <w:bCs/>
          <w:szCs w:val="21"/>
        </w:rPr>
        <w:t>行微生物</w:t>
      </w:r>
      <w:r>
        <w:rPr>
          <w:rFonts w:hint="eastAsia" w:ascii="黑体" w:hAnsi="黑体" w:eastAsia="黑体" w:cs="Arial"/>
          <w:bCs/>
          <w:szCs w:val="21"/>
        </w:rPr>
        <w:t>风险评</w:t>
      </w:r>
      <w:r>
        <w:rPr>
          <w:rFonts w:ascii="黑体" w:hAnsi="黑体" w:eastAsia="黑体" w:cs="Arial"/>
          <w:bCs/>
          <w:szCs w:val="21"/>
        </w:rPr>
        <w:t>估</w:t>
      </w:r>
      <w:r>
        <w:rPr>
          <w:rFonts w:hint="eastAsia" w:ascii="黑体" w:hAnsi="黑体" w:eastAsia="黑体" w:cs="Arial"/>
          <w:bCs/>
          <w:szCs w:val="21"/>
        </w:rPr>
        <w:t>，</w:t>
      </w:r>
      <w:r>
        <w:rPr>
          <w:rFonts w:hint="eastAsia" w:ascii="黑体" w:hAnsi="黑体" w:eastAsia="黑体"/>
          <w:bCs/>
          <w:szCs w:val="21"/>
        </w:rPr>
        <w:t>严格执行</w:t>
      </w:r>
      <w:r>
        <w:rPr>
          <w:rFonts w:hint="eastAsia" w:ascii="黑体" w:hAnsi="黑体" w:eastAsia="黑体"/>
          <w:bCs/>
          <w:color w:val="FF0000"/>
          <w:szCs w:val="21"/>
        </w:rPr>
        <w:t>“不合格品控制程序”</w:t>
      </w:r>
      <w:r>
        <w:rPr>
          <w:rFonts w:hint="eastAsia" w:ascii="黑体" w:hAnsi="黑体" w:eastAsia="黑体"/>
          <w:bCs/>
          <w:szCs w:val="21"/>
        </w:rPr>
        <w:t>。</w:t>
      </w:r>
      <w:r>
        <w:rPr>
          <w:rFonts w:ascii="黑体" w:hAnsi="黑体" w:eastAsia="黑体" w:cs="Arial"/>
          <w:bCs/>
          <w:szCs w:val="21"/>
        </w:rPr>
        <w:t>只有充分</w:t>
      </w:r>
      <w:r>
        <w:rPr>
          <w:rFonts w:hint="eastAsia" w:ascii="黑体" w:hAnsi="黑体" w:eastAsia="黑体" w:cs="Arial"/>
          <w:bCs/>
          <w:szCs w:val="21"/>
        </w:rPr>
        <w:t>资料证实产</w:t>
      </w:r>
      <w:r>
        <w:rPr>
          <w:rFonts w:ascii="黑体" w:hAnsi="黑体" w:eastAsia="黑体" w:cs="Arial"/>
          <w:bCs/>
          <w:szCs w:val="21"/>
        </w:rPr>
        <w:t>品的安全性</w:t>
      </w:r>
      <w:r>
        <w:rPr>
          <w:rFonts w:hint="eastAsia" w:ascii="黑体" w:hAnsi="黑体" w:eastAsia="黑体" w:cs="Arial"/>
          <w:bCs/>
          <w:szCs w:val="21"/>
        </w:rPr>
        <w:t>时</w:t>
      </w:r>
      <w:r>
        <w:rPr>
          <w:rFonts w:ascii="黑体" w:hAnsi="黑体" w:eastAsia="黑体" w:cs="Arial"/>
          <w:bCs/>
          <w:szCs w:val="21"/>
        </w:rPr>
        <w:t>，方可</w:t>
      </w:r>
      <w:r>
        <w:rPr>
          <w:rFonts w:hint="eastAsia" w:ascii="黑体" w:hAnsi="黑体" w:eastAsia="黑体" w:cs="Arial"/>
          <w:bCs/>
          <w:szCs w:val="21"/>
        </w:rPr>
        <w:t>对</w:t>
      </w:r>
      <w:r>
        <w:rPr>
          <w:rFonts w:ascii="黑体" w:hAnsi="黑体" w:eastAsia="黑体" w:cs="Arial"/>
          <w:bCs/>
          <w:szCs w:val="21"/>
        </w:rPr>
        <w:t>其放行</w:t>
      </w:r>
      <w:r>
        <w:rPr>
          <w:rFonts w:hint="eastAsia" w:ascii="黑体" w:hAnsi="黑体" w:eastAsia="黑体"/>
          <w:bCs/>
          <w:szCs w:val="21"/>
        </w:rPr>
        <w:t>。</w:t>
      </w:r>
    </w:p>
    <w:p w14:paraId="057EB01D">
      <w:pPr>
        <w:spacing w:line="460" w:lineRule="exact"/>
        <w:rPr>
          <w:rFonts w:ascii="黑体" w:hAnsi="黑体" w:eastAsia="黑体"/>
          <w:bCs/>
          <w:szCs w:val="21"/>
        </w:rPr>
      </w:pPr>
      <w:r>
        <w:rPr>
          <w:rFonts w:ascii="黑体" w:hAnsi="黑体" w:eastAsia="黑体"/>
          <w:bCs/>
          <w:szCs w:val="21"/>
        </w:rPr>
        <w:t>5</w:t>
      </w:r>
      <w:r>
        <w:rPr>
          <w:rFonts w:hint="eastAsia" w:ascii="黑体" w:hAnsi="黑体" w:eastAsia="黑体"/>
          <w:bCs/>
          <w:szCs w:val="21"/>
        </w:rPr>
        <w:t>．记录</w:t>
      </w:r>
    </w:p>
    <w:p w14:paraId="63613435">
      <w:pPr>
        <w:spacing w:line="360" w:lineRule="auto"/>
        <w:rPr>
          <w:rFonts w:ascii="Arial" w:hAnsi="Arial" w:cs="Arial"/>
          <w:bCs/>
          <w:sz w:val="22"/>
          <w:szCs w:val="22"/>
        </w:rPr>
      </w:pPr>
      <w:r>
        <w:rPr>
          <w:rFonts w:hint="eastAsia" w:ascii="黑体" w:hAnsi="黑体" w:eastAsia="黑体"/>
          <w:bCs/>
          <w:szCs w:val="21"/>
        </w:rPr>
        <w:t>Q</w:t>
      </w:r>
      <w:r>
        <w:rPr>
          <w:rFonts w:ascii="黑体" w:hAnsi="黑体" w:eastAsia="黑体"/>
          <w:bCs/>
          <w:szCs w:val="21"/>
        </w:rPr>
        <w:t>A-FM-047</w:t>
      </w:r>
      <w:r>
        <w:rPr>
          <w:rFonts w:hint="eastAsia" w:ascii="黑体" w:hAnsi="黑体" w:eastAsia="黑体"/>
          <w:bCs/>
          <w:szCs w:val="21"/>
        </w:rPr>
        <w:t>纯化水水质检验报告</w:t>
      </w:r>
    </w:p>
    <w:p w14:paraId="515A447B">
      <w:pPr>
        <w:tabs>
          <w:tab w:val="left" w:pos="0"/>
          <w:tab w:val="left" w:pos="1418"/>
        </w:tabs>
        <w:spacing w:line="360" w:lineRule="auto"/>
        <w:ind w:left="1418"/>
        <w:rPr>
          <w:rFonts w:ascii="Arial" w:hAnsi="Arial" w:cs="Arial"/>
        </w:rPr>
      </w:pPr>
    </w:p>
    <w:p w14:paraId="71B33EA6">
      <w:pPr>
        <w:tabs>
          <w:tab w:val="left" w:pos="709"/>
        </w:tabs>
        <w:spacing w:line="360" w:lineRule="auto"/>
        <w:jc w:val="center"/>
        <w:rPr>
          <w:rFonts w:hint="eastAsia" w:eastAsia="等线"/>
          <w:lang w:eastAsia="zh-CN"/>
        </w:rPr>
      </w:pPr>
    </w:p>
    <w:p w14:paraId="7D5D44AC">
      <w:pPr>
        <w:tabs>
          <w:tab w:val="left" w:pos="709"/>
        </w:tabs>
        <w:spacing w:line="360" w:lineRule="auto"/>
        <w:jc w:val="center"/>
        <w:rPr>
          <w:rFonts w:hint="eastAsia" w:eastAsia="等线"/>
          <w:lang w:eastAsia="zh-CN"/>
        </w:rPr>
      </w:pPr>
    </w:p>
    <w:p w14:paraId="36A4DE0B">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4" w:type="first"/>
      <w:footerReference r:id="rId5"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text" w:horzAnchor="page" w:tblpXSpec="center" w:tblpY="125"/>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6751AE2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4E076910">
          <w:pPr>
            <w:tabs>
              <w:tab w:val="left" w:pos="709"/>
            </w:tabs>
            <w:rPr>
              <w:rFonts w:ascii="Cambria" w:hAnsi="Cambria"/>
              <w:sz w:val="20"/>
            </w:rPr>
          </w:pPr>
        </w:p>
      </w:tc>
    </w:tr>
  </w:tbl>
  <w:p w14:paraId="7A06344A">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40E5C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jc w:val="center"/>
      </w:trPr>
      <w:tc>
        <w:tcPr>
          <w:tcW w:w="1562" w:type="dxa"/>
          <w:vMerge w:val="restart"/>
          <w:tcBorders>
            <w:right w:val="single" w:color="auto" w:sz="4" w:space="0"/>
          </w:tcBorders>
          <w:vAlign w:val="center"/>
        </w:tcPr>
        <w:p w14:paraId="26D0513D">
          <w:pPr>
            <w:tabs>
              <w:tab w:val="left" w:pos="461"/>
            </w:tabs>
            <w:jc w:val="center"/>
            <w:rPr>
              <w:b/>
              <w:lang w:val="zh-CN"/>
            </w:rPr>
          </w:pPr>
        </w:p>
      </w:tc>
      <w:tc>
        <w:tcPr>
          <w:tcW w:w="5379" w:type="dxa"/>
          <w:vMerge w:val="restart"/>
          <w:tcBorders>
            <w:left w:val="single" w:color="auto" w:sz="4" w:space="0"/>
          </w:tcBorders>
          <w:vAlign w:val="center"/>
        </w:tcPr>
        <w:p w14:paraId="33C44290">
          <w:pPr>
            <w:widowControl/>
            <w:tabs>
              <w:tab w:val="left" w:pos="1920"/>
            </w:tabs>
            <w:spacing w:line="460" w:lineRule="exact"/>
            <w:jc w:val="center"/>
            <w:rPr>
              <w:b/>
              <w:sz w:val="32"/>
              <w:szCs w:val="32"/>
            </w:rPr>
          </w:pPr>
          <w:r>
            <w:rPr>
              <w:rFonts w:hint="eastAsia"/>
              <w:b/>
              <w:sz w:val="32"/>
              <w:szCs w:val="32"/>
            </w:rPr>
            <w:t>纯化水系统监测管理规程</w:t>
          </w:r>
        </w:p>
      </w:tc>
      <w:tc>
        <w:tcPr>
          <w:tcW w:w="1418" w:type="dxa"/>
          <w:vAlign w:val="center"/>
        </w:tcPr>
        <w:p w14:paraId="49C57B24">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文件编号</w:t>
          </w:r>
          <w:r>
            <w:rPr>
              <w:rFonts w:ascii="Times New Roman" w:hAnsi="Times New Roman" w:eastAsia="宋体"/>
              <w:color w:val="auto"/>
              <w:sz w:val="22"/>
              <w:szCs w:val="22"/>
            </w:rPr>
            <w:t>:</w:t>
          </w:r>
        </w:p>
      </w:tc>
      <w:tc>
        <w:tcPr>
          <w:tcW w:w="2139" w:type="dxa"/>
          <w:vAlign w:val="center"/>
        </w:tcPr>
        <w:p w14:paraId="3044E0B9">
          <w:pPr>
            <w:jc w:val="center"/>
            <w:rPr>
              <w:sz w:val="20"/>
            </w:rPr>
          </w:pPr>
          <w:r>
            <w:rPr>
              <w:sz w:val="20"/>
            </w:rPr>
            <w:t>QA-RG-010</w:t>
          </w:r>
        </w:p>
      </w:tc>
    </w:tr>
    <w:tr w14:paraId="2A75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0A925EB4">
          <w:pPr>
            <w:jc w:val="center"/>
          </w:pPr>
        </w:p>
      </w:tc>
      <w:tc>
        <w:tcPr>
          <w:tcW w:w="5379" w:type="dxa"/>
          <w:vMerge w:val="continue"/>
          <w:tcBorders>
            <w:left w:val="single" w:color="auto" w:sz="4" w:space="0"/>
          </w:tcBorders>
          <w:vAlign w:val="center"/>
        </w:tcPr>
        <w:p w14:paraId="3954D503">
          <w:pPr>
            <w:jc w:val="center"/>
          </w:pPr>
        </w:p>
      </w:tc>
      <w:tc>
        <w:tcPr>
          <w:tcW w:w="1418" w:type="dxa"/>
          <w:vAlign w:val="center"/>
        </w:tcPr>
        <w:p w14:paraId="59F51056">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2139" w:type="dxa"/>
          <w:vAlign w:val="center"/>
        </w:tcPr>
        <w:p w14:paraId="151566B6">
          <w:pPr>
            <w:jc w:val="center"/>
            <w:rPr>
              <w:sz w:val="20"/>
            </w:rPr>
          </w:pPr>
          <w:r>
            <w:rPr>
              <w:sz w:val="20"/>
            </w:rPr>
            <w:t>01</w:t>
          </w:r>
        </w:p>
      </w:tc>
    </w:tr>
    <w:tr w14:paraId="08025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3431228C">
          <w:pPr>
            <w:jc w:val="center"/>
            <w:rPr>
              <w:b/>
              <w:sz w:val="32"/>
              <w:lang w:val="zh-CN"/>
            </w:rPr>
          </w:pPr>
        </w:p>
      </w:tc>
      <w:tc>
        <w:tcPr>
          <w:tcW w:w="5379" w:type="dxa"/>
          <w:vMerge w:val="continue"/>
          <w:tcBorders>
            <w:left w:val="single" w:color="auto" w:sz="4" w:space="0"/>
          </w:tcBorders>
          <w:vAlign w:val="center"/>
        </w:tcPr>
        <w:p w14:paraId="680A1AAF">
          <w:pPr>
            <w:jc w:val="center"/>
            <w:rPr>
              <w:b/>
              <w:sz w:val="32"/>
              <w:lang w:val="zh-CN"/>
            </w:rPr>
          </w:pPr>
        </w:p>
      </w:tc>
      <w:tc>
        <w:tcPr>
          <w:tcW w:w="1418" w:type="dxa"/>
          <w:vAlign w:val="center"/>
        </w:tcPr>
        <w:p w14:paraId="683F6B5C">
          <w:pPr>
            <w:pStyle w:val="2"/>
            <w:jc w:val="center"/>
            <w:rPr>
              <w:rFonts w:ascii="Times New Roman" w:hAnsi="Times New Roman" w:eastAsia="宋体"/>
              <w:color w:val="auto"/>
              <w:sz w:val="22"/>
            </w:rPr>
          </w:pPr>
          <w:r>
            <w:rPr>
              <w:rFonts w:ascii="Times New Roman" w:hAnsi="Times New Roman" w:eastAsia="宋体"/>
              <w:color w:val="auto"/>
              <w:sz w:val="22"/>
              <w:szCs w:val="22"/>
              <w:lang w:eastAsia="zh-CN"/>
            </w:rPr>
            <w:t>生效日期</w:t>
          </w:r>
        </w:p>
      </w:tc>
      <w:tc>
        <w:tcPr>
          <w:tcW w:w="2139" w:type="dxa"/>
          <w:vAlign w:val="center"/>
        </w:tcPr>
        <w:p w14:paraId="267ABC7A">
          <w:pPr>
            <w:jc w:val="cente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4B35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147C49A1">
          <w:pPr>
            <w:jc w:val="center"/>
            <w:rPr>
              <w:b/>
            </w:rPr>
          </w:pPr>
        </w:p>
      </w:tc>
      <w:tc>
        <w:tcPr>
          <w:tcW w:w="5379" w:type="dxa"/>
          <w:vMerge w:val="continue"/>
          <w:tcBorders>
            <w:left w:val="single" w:color="auto" w:sz="4" w:space="0"/>
          </w:tcBorders>
          <w:vAlign w:val="center"/>
        </w:tcPr>
        <w:p w14:paraId="3F9E3A0C">
          <w:pPr>
            <w:jc w:val="center"/>
            <w:rPr>
              <w:b/>
            </w:rPr>
          </w:pPr>
        </w:p>
      </w:tc>
      <w:tc>
        <w:tcPr>
          <w:tcW w:w="1418" w:type="dxa"/>
          <w:vAlign w:val="center"/>
        </w:tcPr>
        <w:p w14:paraId="5E9AA4F1">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9" w:type="dxa"/>
          <w:vAlign w:val="center"/>
        </w:tcPr>
        <w:p w14:paraId="09DBA3B3">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2</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bl>
  <w:p w14:paraId="1078AE62">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5377"/>
      <w:gridCol w:w="1415"/>
      <w:gridCol w:w="555"/>
      <w:gridCol w:w="1170"/>
      <w:gridCol w:w="411"/>
    </w:tblGrid>
    <w:tr w14:paraId="3AD2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558" w:type="dxa"/>
          <w:vMerge w:val="restart"/>
          <w:tcBorders>
            <w:right w:val="single" w:color="auto" w:sz="4" w:space="0"/>
          </w:tcBorders>
          <w:vAlign w:val="center"/>
        </w:tcPr>
        <w:p w14:paraId="422F534F">
          <w:pPr>
            <w:jc w:val="center"/>
          </w:pPr>
          <w:bookmarkStart w:id="2" w:name="_Hlk489625929"/>
        </w:p>
      </w:tc>
      <w:tc>
        <w:tcPr>
          <w:tcW w:w="5377" w:type="dxa"/>
          <w:vMerge w:val="restart"/>
          <w:tcBorders>
            <w:left w:val="single" w:color="auto" w:sz="4" w:space="0"/>
          </w:tcBorders>
          <w:vAlign w:val="center"/>
        </w:tcPr>
        <w:p w14:paraId="47EC11AF">
          <w:pPr>
            <w:widowControl/>
            <w:tabs>
              <w:tab w:val="left" w:pos="1920"/>
            </w:tabs>
            <w:spacing w:line="460" w:lineRule="exact"/>
            <w:jc w:val="center"/>
            <w:rPr>
              <w:b/>
              <w:bCs/>
              <w:sz w:val="28"/>
              <w:szCs w:val="28"/>
            </w:rPr>
          </w:pPr>
          <w:r>
            <w:rPr>
              <w:rFonts w:hint="eastAsia"/>
              <w:b/>
              <w:bCs/>
              <w:sz w:val="28"/>
              <w:szCs w:val="28"/>
            </w:rPr>
            <w:t>纯化水系统监测管理规程</w:t>
          </w:r>
        </w:p>
      </w:tc>
      <w:tc>
        <w:tcPr>
          <w:tcW w:w="1415" w:type="dxa"/>
          <w:vAlign w:val="center"/>
        </w:tcPr>
        <w:p w14:paraId="359A75C0">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文件编号</w:t>
          </w:r>
        </w:p>
      </w:tc>
      <w:tc>
        <w:tcPr>
          <w:tcW w:w="2136" w:type="dxa"/>
          <w:gridSpan w:val="3"/>
          <w:vAlign w:val="center"/>
        </w:tcPr>
        <w:p w14:paraId="2D3AA6DF">
          <w:pPr>
            <w:jc w:val="center"/>
            <w:rPr>
              <w:sz w:val="20"/>
            </w:rPr>
          </w:pPr>
          <w:r>
            <w:rPr>
              <w:sz w:val="20"/>
            </w:rPr>
            <w:t>QA-RG-010</w:t>
          </w:r>
        </w:p>
      </w:tc>
    </w:tr>
    <w:tr w14:paraId="19D3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8" w:type="dxa"/>
          <w:vMerge w:val="continue"/>
          <w:tcBorders>
            <w:right w:val="single" w:color="auto" w:sz="4" w:space="0"/>
          </w:tcBorders>
          <w:vAlign w:val="center"/>
        </w:tcPr>
        <w:p w14:paraId="2FF4A2AC">
          <w:pPr>
            <w:jc w:val="center"/>
            <w:rPr>
              <w:b/>
            </w:rPr>
          </w:pPr>
        </w:p>
      </w:tc>
      <w:tc>
        <w:tcPr>
          <w:tcW w:w="5377" w:type="dxa"/>
          <w:vMerge w:val="continue"/>
          <w:tcBorders>
            <w:left w:val="single" w:color="auto" w:sz="4" w:space="0"/>
          </w:tcBorders>
          <w:vAlign w:val="center"/>
        </w:tcPr>
        <w:p w14:paraId="411855A6">
          <w:pPr>
            <w:jc w:val="center"/>
            <w:rPr>
              <w:b/>
            </w:rPr>
          </w:pPr>
        </w:p>
      </w:tc>
      <w:tc>
        <w:tcPr>
          <w:tcW w:w="1415" w:type="dxa"/>
          <w:vAlign w:val="center"/>
        </w:tcPr>
        <w:p w14:paraId="0C8509B2">
          <w:pPr>
            <w:pStyle w:val="2"/>
            <w:jc w:val="center"/>
            <w:rPr>
              <w:rFonts w:ascii="Times New Roman" w:hAnsi="Times New Roman" w:eastAsiaTheme="minorEastAsia"/>
              <w:color w:val="auto"/>
              <w:sz w:val="22"/>
              <w:lang w:eastAsia="zh-CN"/>
            </w:rPr>
          </w:pPr>
          <w:r>
            <w:rPr>
              <w:rFonts w:ascii="Times New Roman" w:hAnsi="Times New Roman" w:eastAsia="宋体"/>
              <w:color w:val="auto"/>
              <w:sz w:val="22"/>
              <w:szCs w:val="22"/>
            </w:rPr>
            <w:t>版本</w:t>
          </w:r>
        </w:p>
      </w:tc>
      <w:tc>
        <w:tcPr>
          <w:tcW w:w="555" w:type="dxa"/>
          <w:vAlign w:val="center"/>
        </w:tcPr>
        <w:p w14:paraId="372F69A0">
          <w:pPr>
            <w:jc w:val="center"/>
            <w:rPr>
              <w:sz w:val="20"/>
            </w:rPr>
          </w:pPr>
          <w:r>
            <w:rPr>
              <w:sz w:val="20"/>
            </w:rPr>
            <w:t>01</w:t>
          </w:r>
        </w:p>
      </w:tc>
      <w:tc>
        <w:tcPr>
          <w:tcW w:w="1170" w:type="dxa"/>
          <w:vAlign w:val="center"/>
        </w:tcPr>
        <w:p w14:paraId="75269C6E">
          <w:pPr>
            <w:jc w:val="center"/>
            <w:rPr>
              <w:rFonts w:ascii="宋体" w:hAnsi="宋体"/>
            </w:rPr>
          </w:pPr>
          <w:r>
            <w:rPr>
              <w:rFonts w:hint="eastAsia" w:ascii="宋体" w:hAnsi="宋体"/>
              <w:sz w:val="22"/>
            </w:rPr>
            <w:t>修改次数</w:t>
          </w:r>
        </w:p>
      </w:tc>
      <w:tc>
        <w:tcPr>
          <w:tcW w:w="411" w:type="dxa"/>
          <w:vAlign w:val="center"/>
        </w:tcPr>
        <w:p w14:paraId="43D33216">
          <w:pPr>
            <w:jc w:val="center"/>
            <w:rPr>
              <w:rFonts w:ascii="宋体" w:hAnsi="宋体"/>
              <w:sz w:val="20"/>
            </w:rPr>
          </w:pPr>
          <w:r>
            <w:rPr>
              <w:rFonts w:ascii="宋体" w:hAnsi="宋体"/>
              <w:sz w:val="20"/>
            </w:rPr>
            <w:t>0</w:t>
          </w:r>
        </w:p>
      </w:tc>
    </w:tr>
    <w:tr w14:paraId="681D9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558" w:type="dxa"/>
          <w:tcBorders>
            <w:right w:val="single" w:color="auto" w:sz="4" w:space="0"/>
          </w:tcBorders>
          <w:vAlign w:val="center"/>
        </w:tcPr>
        <w:p w14:paraId="48F5D92E">
          <w:pPr>
            <w:jc w:val="left"/>
            <w:rPr>
              <w:lang w:eastAsia="zh-HK"/>
            </w:rPr>
          </w:pPr>
          <w:r>
            <w:rPr>
              <w:sz w:val="22"/>
              <w:szCs w:val="22"/>
            </w:rPr>
            <w:t>编制/</w:t>
          </w:r>
          <w:r>
            <w:rPr>
              <w:sz w:val="22"/>
              <w:szCs w:val="22"/>
              <w:lang w:eastAsia="zh-HK"/>
            </w:rPr>
            <w:t>日期</w:t>
          </w:r>
        </w:p>
      </w:tc>
      <w:tc>
        <w:tcPr>
          <w:tcW w:w="5377" w:type="dxa"/>
          <w:tcBorders>
            <w:bottom w:val="single" w:color="auto" w:sz="4" w:space="0"/>
          </w:tcBorders>
          <w:vAlign w:val="center"/>
        </w:tcPr>
        <w:p w14:paraId="367AA2DC">
          <w:pPr>
            <w:jc w:val="left"/>
          </w:pPr>
        </w:p>
      </w:tc>
      <w:tc>
        <w:tcPr>
          <w:tcW w:w="1415" w:type="dxa"/>
          <w:tcBorders>
            <w:bottom w:val="single" w:color="auto" w:sz="4" w:space="0"/>
          </w:tcBorders>
          <w:vAlign w:val="center"/>
        </w:tcPr>
        <w:p w14:paraId="5529CEF4">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生效日期</w:t>
          </w:r>
        </w:p>
      </w:tc>
      <w:tc>
        <w:tcPr>
          <w:tcW w:w="2136" w:type="dxa"/>
          <w:gridSpan w:val="3"/>
          <w:tcBorders>
            <w:bottom w:val="single" w:color="auto" w:sz="4" w:space="0"/>
          </w:tcBorders>
          <w:vAlign w:val="center"/>
        </w:tcPr>
        <w:p w14:paraId="5B253227">
          <w:pPr>
            <w:jc w:val="center"/>
            <w:rPr>
              <w:sz w:val="20"/>
            </w:rPr>
          </w:pPr>
          <w:r>
            <w:rPr>
              <w:rFonts w:hint="eastAsia"/>
            </w:rPr>
            <w:t>20</w:t>
          </w:r>
          <w:r>
            <w:t>20</w:t>
          </w:r>
          <w:r>
            <w:rPr>
              <w:rFonts w:hint="eastAsia"/>
            </w:rPr>
            <w:t>年</w:t>
          </w:r>
          <w:r>
            <w:rPr>
              <w:rFonts w:eastAsiaTheme="minorEastAsia"/>
            </w:rPr>
            <w:t>02</w:t>
          </w:r>
          <w:r>
            <w:rPr>
              <w:rFonts w:hint="eastAsia" w:eastAsiaTheme="minorEastAsia"/>
            </w:rPr>
            <w:t>月1</w:t>
          </w:r>
          <w:r>
            <w:rPr>
              <w:rFonts w:eastAsiaTheme="minorEastAsia"/>
            </w:rPr>
            <w:t>9</w:t>
          </w:r>
          <w:r>
            <w:rPr>
              <w:rFonts w:hint="eastAsia" w:eastAsiaTheme="minorEastAsia"/>
            </w:rPr>
            <w:t>日</w:t>
          </w:r>
        </w:p>
      </w:tc>
    </w:tr>
    <w:tr w14:paraId="7CEF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558" w:type="dxa"/>
          <w:vAlign w:val="center"/>
        </w:tcPr>
        <w:p w14:paraId="4A23DC16">
          <w:pPr>
            <w:jc w:val="left"/>
          </w:pPr>
          <w:r>
            <w:rPr>
              <w:sz w:val="22"/>
              <w:szCs w:val="22"/>
            </w:rPr>
            <w:t>审核/</w:t>
          </w:r>
          <w:r>
            <w:rPr>
              <w:sz w:val="22"/>
              <w:szCs w:val="22"/>
              <w:lang w:eastAsia="zh-HK"/>
            </w:rPr>
            <w:t>日期</w:t>
          </w:r>
        </w:p>
      </w:tc>
      <w:tc>
        <w:tcPr>
          <w:tcW w:w="5377" w:type="dxa"/>
          <w:vAlign w:val="center"/>
        </w:tcPr>
        <w:p w14:paraId="45AFDBF4">
          <w:pPr>
            <w:jc w:val="left"/>
          </w:pPr>
        </w:p>
      </w:tc>
      <w:tc>
        <w:tcPr>
          <w:tcW w:w="1415" w:type="dxa"/>
          <w:tcBorders>
            <w:top w:val="single" w:color="auto" w:sz="4" w:space="0"/>
            <w:bottom w:val="single" w:color="auto" w:sz="4" w:space="0"/>
          </w:tcBorders>
          <w:vAlign w:val="center"/>
        </w:tcPr>
        <w:p w14:paraId="3D9E2FBB">
          <w:pPr>
            <w:pStyle w:val="2"/>
            <w:jc w:val="center"/>
            <w:rPr>
              <w:rFonts w:ascii="Times New Roman" w:hAnsi="Times New Roman" w:eastAsia="宋体"/>
              <w:color w:val="auto"/>
              <w:sz w:val="22"/>
              <w:lang w:eastAsia="zh-CN"/>
            </w:rPr>
          </w:pPr>
          <w:r>
            <w:rPr>
              <w:rFonts w:ascii="Times New Roman" w:hAnsi="Times New Roman" w:eastAsia="宋体"/>
              <w:color w:val="auto"/>
              <w:sz w:val="22"/>
              <w:szCs w:val="22"/>
              <w:lang w:eastAsia="zh-CN"/>
            </w:rPr>
            <w:t>页码</w:t>
          </w:r>
        </w:p>
      </w:tc>
      <w:tc>
        <w:tcPr>
          <w:tcW w:w="2136" w:type="dxa"/>
          <w:gridSpan w:val="3"/>
          <w:tcBorders>
            <w:top w:val="single" w:color="auto" w:sz="4" w:space="0"/>
            <w:bottom w:val="single" w:color="auto" w:sz="4" w:space="0"/>
          </w:tcBorders>
          <w:vAlign w:val="center"/>
        </w:tcPr>
        <w:p w14:paraId="4B2DD4CF">
          <w:pPr>
            <w:jc w:val="center"/>
            <w:rPr>
              <w:sz w:val="20"/>
            </w:rPr>
          </w:pPr>
          <w:r>
            <w:rPr>
              <w:sz w:val="22"/>
              <w:szCs w:val="22"/>
            </w:rPr>
            <w:t>第</w:t>
          </w:r>
          <w:r>
            <w:rPr>
              <w:sz w:val="20"/>
            </w:rPr>
            <w:fldChar w:fldCharType="begin"/>
          </w:r>
          <w:r>
            <w:rPr>
              <w:sz w:val="20"/>
            </w:rPr>
            <w:instrText xml:space="preserve"> PAGE  \* Arabic  \* MERGEFORMAT </w:instrText>
          </w:r>
          <w:r>
            <w:rPr>
              <w:sz w:val="20"/>
            </w:rPr>
            <w:fldChar w:fldCharType="separate"/>
          </w:r>
          <w:r>
            <w:rPr>
              <w:sz w:val="20"/>
            </w:rPr>
            <w:t>1</w:t>
          </w:r>
          <w:r>
            <w:rPr>
              <w:sz w:val="20"/>
            </w:rPr>
            <w:fldChar w:fldCharType="end"/>
          </w:r>
          <w:r>
            <w:rPr>
              <w:sz w:val="22"/>
              <w:szCs w:val="22"/>
            </w:rPr>
            <w:t>页，共</w:t>
          </w:r>
          <w:r>
            <w:fldChar w:fldCharType="begin"/>
          </w:r>
          <w:r>
            <w:instrText xml:space="preserve"> NUMPAGES  \* Arabic  \* MERGEFORMAT </w:instrText>
          </w:r>
          <w:r>
            <w:fldChar w:fldCharType="separate"/>
          </w:r>
          <w:r>
            <w:rPr>
              <w:sz w:val="20"/>
            </w:rPr>
            <w:t>3</w:t>
          </w:r>
          <w:r>
            <w:rPr>
              <w:sz w:val="20"/>
            </w:rPr>
            <w:fldChar w:fldCharType="end"/>
          </w:r>
          <w:r>
            <w:rPr>
              <w:sz w:val="22"/>
              <w:szCs w:val="22"/>
            </w:rPr>
            <w:t>页</w:t>
          </w:r>
        </w:p>
      </w:tc>
    </w:tr>
    <w:tr w14:paraId="583E7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558" w:type="dxa"/>
          <w:vAlign w:val="center"/>
        </w:tcPr>
        <w:p w14:paraId="6370C91E">
          <w:pPr>
            <w:jc w:val="left"/>
            <w:rPr>
              <w:lang w:eastAsia="zh-HK"/>
            </w:rPr>
          </w:pPr>
          <w:r>
            <w:rPr>
              <w:sz w:val="22"/>
              <w:szCs w:val="22"/>
            </w:rPr>
            <w:t>批准/</w:t>
          </w:r>
          <w:r>
            <w:rPr>
              <w:sz w:val="22"/>
              <w:szCs w:val="22"/>
              <w:lang w:eastAsia="zh-HK"/>
            </w:rPr>
            <w:t>日期</w:t>
          </w:r>
        </w:p>
      </w:tc>
      <w:tc>
        <w:tcPr>
          <w:tcW w:w="5377" w:type="dxa"/>
          <w:vAlign w:val="center"/>
        </w:tcPr>
        <w:p w14:paraId="18407A44">
          <w:pPr>
            <w:jc w:val="left"/>
          </w:pPr>
        </w:p>
      </w:tc>
      <w:tc>
        <w:tcPr>
          <w:tcW w:w="1415" w:type="dxa"/>
          <w:tcBorders>
            <w:top w:val="single" w:color="auto" w:sz="4" w:space="0"/>
          </w:tcBorders>
          <w:vAlign w:val="center"/>
        </w:tcPr>
        <w:p w14:paraId="1210E452">
          <w:pPr>
            <w:jc w:val="center"/>
          </w:pPr>
          <w:r>
            <w:rPr>
              <w:sz w:val="22"/>
              <w:szCs w:val="22"/>
            </w:rPr>
            <w:t>受控状态</w:t>
          </w:r>
        </w:p>
      </w:tc>
      <w:tc>
        <w:tcPr>
          <w:tcW w:w="2136" w:type="dxa"/>
          <w:gridSpan w:val="3"/>
          <w:tcBorders>
            <w:top w:val="single" w:color="auto" w:sz="4" w:space="0"/>
          </w:tcBorders>
          <w:vAlign w:val="center"/>
        </w:tcPr>
        <w:p w14:paraId="140D3B53">
          <w:pPr>
            <w:jc w:val="center"/>
          </w:pPr>
          <w:r>
            <w:rPr>
              <w:szCs w:val="22"/>
            </w:rPr>
            <w:t>受控</w:t>
          </w:r>
        </w:p>
      </w:tc>
    </w:tr>
    <w:bookmarkEnd w:id="2"/>
  </w:tbl>
  <w:p w14:paraId="51A6AB2A">
    <w:pPr>
      <w:pStyle w:val="7"/>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F1AC9"/>
    <w:multiLevelType w:val="multilevel"/>
    <w:tmpl w:val="75EF1AC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黑体" w:hAnsi="Times New Roman" w:eastAsia="黑体" w:cs="Times New Roman"/>
        <w:b w:val="0"/>
        <w:sz w:val="21"/>
        <w:szCs w:val="21"/>
      </w:rPr>
    </w:lvl>
    <w:lvl w:ilvl="2" w:tentative="0">
      <w:start w:val="1"/>
      <w:numFmt w:val="decimal"/>
      <w:lvlText w:val="%1.%2.%3"/>
      <w:lvlJc w:val="left"/>
      <w:pPr>
        <w:tabs>
          <w:tab w:val="left" w:pos="1418"/>
        </w:tabs>
        <w:ind w:left="1418" w:hanging="567"/>
      </w:pPr>
      <w:rPr>
        <w:rFonts w:hint="default" w:ascii="Times New Roman" w:hAnsi="Times New Roman" w:cs="Times New Roman"/>
      </w:rPr>
    </w:lvl>
    <w:lvl w:ilvl="3" w:tentative="0">
      <w:start w:val="1"/>
      <w:numFmt w:val="decimal"/>
      <w:lvlText w:val="%1.%2.%3.%4"/>
      <w:lvlJc w:val="left"/>
      <w:pPr>
        <w:tabs>
          <w:tab w:val="left" w:pos="1984"/>
        </w:tabs>
        <w:ind w:left="1984" w:hanging="708"/>
      </w:pPr>
      <w:rPr>
        <w:rFonts w:hint="default" w:ascii="Times New Roman" w:hAnsi="Times New Roman" w:cs="Times New Roman"/>
      </w:rPr>
    </w:lvl>
    <w:lvl w:ilvl="4" w:tentative="0">
      <w:start w:val="1"/>
      <w:numFmt w:val="decimal"/>
      <w:lvlText w:val="（%5）"/>
      <w:lvlJc w:val="left"/>
      <w:pPr>
        <w:tabs>
          <w:tab w:val="left" w:pos="1984"/>
        </w:tabs>
        <w:ind w:left="2268" w:hanging="567"/>
      </w:pPr>
      <w:rPr>
        <w:rFonts w:hint="default"/>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44A35"/>
    <w:rsid w:val="000508A1"/>
    <w:rsid w:val="000546B6"/>
    <w:rsid w:val="000566AC"/>
    <w:rsid w:val="000622BC"/>
    <w:rsid w:val="0006596D"/>
    <w:rsid w:val="0007577B"/>
    <w:rsid w:val="000901DF"/>
    <w:rsid w:val="00093A75"/>
    <w:rsid w:val="00095DE9"/>
    <w:rsid w:val="000A0AFC"/>
    <w:rsid w:val="000C2C7E"/>
    <w:rsid w:val="000C3E3B"/>
    <w:rsid w:val="000C6787"/>
    <w:rsid w:val="000F5249"/>
    <w:rsid w:val="000F7932"/>
    <w:rsid w:val="000F7A88"/>
    <w:rsid w:val="000F7FEC"/>
    <w:rsid w:val="00121066"/>
    <w:rsid w:val="00131552"/>
    <w:rsid w:val="00133477"/>
    <w:rsid w:val="00153CBD"/>
    <w:rsid w:val="001849B4"/>
    <w:rsid w:val="00196840"/>
    <w:rsid w:val="001A03E9"/>
    <w:rsid w:val="001A111B"/>
    <w:rsid w:val="001B054E"/>
    <w:rsid w:val="001B1494"/>
    <w:rsid w:val="001B2DA0"/>
    <w:rsid w:val="001D03FE"/>
    <w:rsid w:val="001D22E3"/>
    <w:rsid w:val="001D75F1"/>
    <w:rsid w:val="001E6B14"/>
    <w:rsid w:val="001F21AF"/>
    <w:rsid w:val="001F68C6"/>
    <w:rsid w:val="00205D30"/>
    <w:rsid w:val="00214FC3"/>
    <w:rsid w:val="002200D3"/>
    <w:rsid w:val="0022656C"/>
    <w:rsid w:val="002403C0"/>
    <w:rsid w:val="00240898"/>
    <w:rsid w:val="00244DDA"/>
    <w:rsid w:val="00245ED1"/>
    <w:rsid w:val="00246366"/>
    <w:rsid w:val="002515CA"/>
    <w:rsid w:val="00251F12"/>
    <w:rsid w:val="00255F32"/>
    <w:rsid w:val="002653C0"/>
    <w:rsid w:val="00266C76"/>
    <w:rsid w:val="0027440C"/>
    <w:rsid w:val="00280AC4"/>
    <w:rsid w:val="00284EC9"/>
    <w:rsid w:val="00286F70"/>
    <w:rsid w:val="002875EB"/>
    <w:rsid w:val="00297513"/>
    <w:rsid w:val="002B6F67"/>
    <w:rsid w:val="002C0FC6"/>
    <w:rsid w:val="002C1478"/>
    <w:rsid w:val="002F2FC0"/>
    <w:rsid w:val="00303F87"/>
    <w:rsid w:val="00313BCC"/>
    <w:rsid w:val="00332C36"/>
    <w:rsid w:val="00334298"/>
    <w:rsid w:val="00347BD9"/>
    <w:rsid w:val="00361C94"/>
    <w:rsid w:val="0036433E"/>
    <w:rsid w:val="0038751A"/>
    <w:rsid w:val="003C752B"/>
    <w:rsid w:val="003D384C"/>
    <w:rsid w:val="003D555D"/>
    <w:rsid w:val="003E273A"/>
    <w:rsid w:val="0040686F"/>
    <w:rsid w:val="00412719"/>
    <w:rsid w:val="00414551"/>
    <w:rsid w:val="00416532"/>
    <w:rsid w:val="00416B11"/>
    <w:rsid w:val="004214BE"/>
    <w:rsid w:val="00423F19"/>
    <w:rsid w:val="00431F7A"/>
    <w:rsid w:val="00447ECD"/>
    <w:rsid w:val="004841EE"/>
    <w:rsid w:val="0048621C"/>
    <w:rsid w:val="00497C2C"/>
    <w:rsid w:val="004A218D"/>
    <w:rsid w:val="004C3C1F"/>
    <w:rsid w:val="004C6221"/>
    <w:rsid w:val="004C6D60"/>
    <w:rsid w:val="004C70E4"/>
    <w:rsid w:val="004D6624"/>
    <w:rsid w:val="004F228A"/>
    <w:rsid w:val="004F2CD9"/>
    <w:rsid w:val="004F35F6"/>
    <w:rsid w:val="004F44E1"/>
    <w:rsid w:val="004F5BF5"/>
    <w:rsid w:val="00507256"/>
    <w:rsid w:val="005072DD"/>
    <w:rsid w:val="005172E4"/>
    <w:rsid w:val="00532A6F"/>
    <w:rsid w:val="00534135"/>
    <w:rsid w:val="0053448C"/>
    <w:rsid w:val="005427AF"/>
    <w:rsid w:val="00554A69"/>
    <w:rsid w:val="00556451"/>
    <w:rsid w:val="00556DF7"/>
    <w:rsid w:val="00560CB9"/>
    <w:rsid w:val="00576701"/>
    <w:rsid w:val="005802B2"/>
    <w:rsid w:val="00587298"/>
    <w:rsid w:val="005A105B"/>
    <w:rsid w:val="005A34DD"/>
    <w:rsid w:val="005A72EA"/>
    <w:rsid w:val="005B3CC2"/>
    <w:rsid w:val="005B58C7"/>
    <w:rsid w:val="005D3DDA"/>
    <w:rsid w:val="005D4FC6"/>
    <w:rsid w:val="005E3AFC"/>
    <w:rsid w:val="005E4724"/>
    <w:rsid w:val="005F6765"/>
    <w:rsid w:val="005F76E9"/>
    <w:rsid w:val="006004CE"/>
    <w:rsid w:val="006076EA"/>
    <w:rsid w:val="006118D1"/>
    <w:rsid w:val="006123F7"/>
    <w:rsid w:val="00612E66"/>
    <w:rsid w:val="006136C0"/>
    <w:rsid w:val="0061490E"/>
    <w:rsid w:val="00615CF6"/>
    <w:rsid w:val="006307CE"/>
    <w:rsid w:val="006334EF"/>
    <w:rsid w:val="00633DC0"/>
    <w:rsid w:val="0065667F"/>
    <w:rsid w:val="00660700"/>
    <w:rsid w:val="00661863"/>
    <w:rsid w:val="00664881"/>
    <w:rsid w:val="00666262"/>
    <w:rsid w:val="006707BA"/>
    <w:rsid w:val="006709E2"/>
    <w:rsid w:val="00677BB1"/>
    <w:rsid w:val="0068156C"/>
    <w:rsid w:val="006849FC"/>
    <w:rsid w:val="006A2A6F"/>
    <w:rsid w:val="006B0E20"/>
    <w:rsid w:val="006C500C"/>
    <w:rsid w:val="006E4313"/>
    <w:rsid w:val="00715EA3"/>
    <w:rsid w:val="00744415"/>
    <w:rsid w:val="007476D8"/>
    <w:rsid w:val="007722F0"/>
    <w:rsid w:val="007829FF"/>
    <w:rsid w:val="00785BE2"/>
    <w:rsid w:val="007877BC"/>
    <w:rsid w:val="00793B92"/>
    <w:rsid w:val="00795997"/>
    <w:rsid w:val="0079736C"/>
    <w:rsid w:val="007B5C07"/>
    <w:rsid w:val="007B6DE9"/>
    <w:rsid w:val="007C29E7"/>
    <w:rsid w:val="007D105F"/>
    <w:rsid w:val="007E1B4C"/>
    <w:rsid w:val="007E608D"/>
    <w:rsid w:val="007F20CC"/>
    <w:rsid w:val="007F3BF7"/>
    <w:rsid w:val="00802148"/>
    <w:rsid w:val="00803259"/>
    <w:rsid w:val="00825130"/>
    <w:rsid w:val="00830618"/>
    <w:rsid w:val="00833520"/>
    <w:rsid w:val="00842628"/>
    <w:rsid w:val="00855642"/>
    <w:rsid w:val="00860223"/>
    <w:rsid w:val="0086139E"/>
    <w:rsid w:val="00862D06"/>
    <w:rsid w:val="008743CB"/>
    <w:rsid w:val="0088239F"/>
    <w:rsid w:val="00884D81"/>
    <w:rsid w:val="008975EF"/>
    <w:rsid w:val="008A0137"/>
    <w:rsid w:val="008A472F"/>
    <w:rsid w:val="008B286A"/>
    <w:rsid w:val="008B4A01"/>
    <w:rsid w:val="008C19BF"/>
    <w:rsid w:val="008D2FC7"/>
    <w:rsid w:val="008D76CA"/>
    <w:rsid w:val="008E77FC"/>
    <w:rsid w:val="008E7FB2"/>
    <w:rsid w:val="008F1F99"/>
    <w:rsid w:val="009006D5"/>
    <w:rsid w:val="009203E3"/>
    <w:rsid w:val="009432A6"/>
    <w:rsid w:val="00943388"/>
    <w:rsid w:val="009513FC"/>
    <w:rsid w:val="00955B42"/>
    <w:rsid w:val="00956605"/>
    <w:rsid w:val="0096233B"/>
    <w:rsid w:val="0097035E"/>
    <w:rsid w:val="00973017"/>
    <w:rsid w:val="00984FD4"/>
    <w:rsid w:val="00996157"/>
    <w:rsid w:val="009C4077"/>
    <w:rsid w:val="009C6A71"/>
    <w:rsid w:val="009E2C62"/>
    <w:rsid w:val="009E34F2"/>
    <w:rsid w:val="009F13E4"/>
    <w:rsid w:val="009F23A2"/>
    <w:rsid w:val="00A05E34"/>
    <w:rsid w:val="00A13E2B"/>
    <w:rsid w:val="00A451B8"/>
    <w:rsid w:val="00A53D80"/>
    <w:rsid w:val="00A63931"/>
    <w:rsid w:val="00A73790"/>
    <w:rsid w:val="00A76A12"/>
    <w:rsid w:val="00A91035"/>
    <w:rsid w:val="00A941EE"/>
    <w:rsid w:val="00AD22E7"/>
    <w:rsid w:val="00AD3CF3"/>
    <w:rsid w:val="00AD6DCA"/>
    <w:rsid w:val="00AE13DB"/>
    <w:rsid w:val="00AE3177"/>
    <w:rsid w:val="00AE5066"/>
    <w:rsid w:val="00B01318"/>
    <w:rsid w:val="00B07A94"/>
    <w:rsid w:val="00B1191C"/>
    <w:rsid w:val="00B23254"/>
    <w:rsid w:val="00B263C0"/>
    <w:rsid w:val="00B4049A"/>
    <w:rsid w:val="00B42140"/>
    <w:rsid w:val="00B50CC3"/>
    <w:rsid w:val="00B553E2"/>
    <w:rsid w:val="00B56E5C"/>
    <w:rsid w:val="00B738CF"/>
    <w:rsid w:val="00B77D84"/>
    <w:rsid w:val="00B8253A"/>
    <w:rsid w:val="00B91B69"/>
    <w:rsid w:val="00BA3637"/>
    <w:rsid w:val="00BA4135"/>
    <w:rsid w:val="00BB0A40"/>
    <w:rsid w:val="00BC439F"/>
    <w:rsid w:val="00BC50F6"/>
    <w:rsid w:val="00BD094F"/>
    <w:rsid w:val="00BD63D5"/>
    <w:rsid w:val="00BD72C6"/>
    <w:rsid w:val="00BE3129"/>
    <w:rsid w:val="00BE78BB"/>
    <w:rsid w:val="00BF261B"/>
    <w:rsid w:val="00BF57E1"/>
    <w:rsid w:val="00C023E1"/>
    <w:rsid w:val="00C10857"/>
    <w:rsid w:val="00C30A2C"/>
    <w:rsid w:val="00C5498A"/>
    <w:rsid w:val="00C80ADC"/>
    <w:rsid w:val="00C8340F"/>
    <w:rsid w:val="00C8464D"/>
    <w:rsid w:val="00C852B8"/>
    <w:rsid w:val="00CA5EA5"/>
    <w:rsid w:val="00CB7F06"/>
    <w:rsid w:val="00CC0B53"/>
    <w:rsid w:val="00CC1794"/>
    <w:rsid w:val="00CF1042"/>
    <w:rsid w:val="00CF4928"/>
    <w:rsid w:val="00D17336"/>
    <w:rsid w:val="00D25A64"/>
    <w:rsid w:val="00D35C91"/>
    <w:rsid w:val="00D3765F"/>
    <w:rsid w:val="00D4201C"/>
    <w:rsid w:val="00D61F9C"/>
    <w:rsid w:val="00D6726B"/>
    <w:rsid w:val="00D67D05"/>
    <w:rsid w:val="00D803C6"/>
    <w:rsid w:val="00D92162"/>
    <w:rsid w:val="00DF0978"/>
    <w:rsid w:val="00DF4776"/>
    <w:rsid w:val="00E005C9"/>
    <w:rsid w:val="00E01B15"/>
    <w:rsid w:val="00E1250F"/>
    <w:rsid w:val="00E26CF8"/>
    <w:rsid w:val="00E3016A"/>
    <w:rsid w:val="00E336AC"/>
    <w:rsid w:val="00E34118"/>
    <w:rsid w:val="00E43D41"/>
    <w:rsid w:val="00E76CDA"/>
    <w:rsid w:val="00EB272E"/>
    <w:rsid w:val="00EB512C"/>
    <w:rsid w:val="00EB6962"/>
    <w:rsid w:val="00EB7F2A"/>
    <w:rsid w:val="00EE7D19"/>
    <w:rsid w:val="00EF2779"/>
    <w:rsid w:val="00EF43BF"/>
    <w:rsid w:val="00F0486F"/>
    <w:rsid w:val="00F12707"/>
    <w:rsid w:val="00F129C7"/>
    <w:rsid w:val="00F43E3F"/>
    <w:rsid w:val="00F45155"/>
    <w:rsid w:val="00F51A0A"/>
    <w:rsid w:val="00F51B24"/>
    <w:rsid w:val="00F57173"/>
    <w:rsid w:val="00F725A4"/>
    <w:rsid w:val="00F75561"/>
    <w:rsid w:val="00FA4DFA"/>
    <w:rsid w:val="00FB5F13"/>
    <w:rsid w:val="00FB6D29"/>
    <w:rsid w:val="00FD4205"/>
    <w:rsid w:val="00FF5C4C"/>
    <w:rsid w:val="01AD0F25"/>
    <w:rsid w:val="4A12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240" w:lineRule="atLeast"/>
      <w:ind w:firstLine="640" w:firstLineChars="200"/>
    </w:pPr>
    <w:rPr>
      <w:sz w:val="32"/>
    </w:rPr>
  </w:style>
  <w:style w:type="paragraph" w:styleId="4">
    <w:name w:val="Plain Text"/>
    <w:basedOn w:val="1"/>
    <w:link w:val="18"/>
    <w:qFormat/>
    <w:uiPriority w:val="0"/>
    <w:rPr>
      <w:rFonts w:ascii="宋体" w:hAnsi="Courier New"/>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2"/>
    <w:unhideWhenUsed/>
    <w:qFormat/>
    <w:uiPriority w:val="99"/>
    <w:pPr>
      <w:tabs>
        <w:tab w:val="center" w:pos="4680"/>
        <w:tab w:val="right" w:pos="9360"/>
      </w:tabs>
    </w:pPr>
  </w:style>
  <w:style w:type="paragraph" w:styleId="7">
    <w:name w:val="header"/>
    <w:basedOn w:val="1"/>
    <w:link w:val="11"/>
    <w:unhideWhenUsed/>
    <w:uiPriority w:val="99"/>
    <w:pPr>
      <w:tabs>
        <w:tab w:val="center" w:pos="4680"/>
        <w:tab w:val="right" w:pos="9360"/>
      </w:tabs>
    </w:pPr>
  </w:style>
  <w:style w:type="paragraph" w:styleId="8">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1">
    <w:name w:val="页眉 字符"/>
    <w:basedOn w:val="10"/>
    <w:link w:val="7"/>
    <w:qFormat/>
    <w:uiPriority w:val="99"/>
    <w:rPr>
      <w:rFonts w:ascii="Times New Roman" w:hAnsi="Times New Roman" w:eastAsia="宋体" w:cs="Times New Roman"/>
      <w:kern w:val="2"/>
      <w:sz w:val="21"/>
      <w:szCs w:val="24"/>
      <w:lang w:eastAsia="zh-CN"/>
    </w:rPr>
  </w:style>
  <w:style w:type="character" w:customStyle="1" w:styleId="12">
    <w:name w:val="页脚 字符"/>
    <w:basedOn w:val="10"/>
    <w:link w:val="6"/>
    <w:uiPriority w:val="99"/>
    <w:rPr>
      <w:rFonts w:ascii="Times New Roman" w:hAnsi="Times New Roman" w:eastAsia="宋体" w:cs="Times New Roman"/>
      <w:kern w:val="2"/>
      <w:sz w:val="21"/>
      <w:szCs w:val="24"/>
      <w:lang w:eastAsia="zh-CN"/>
    </w:rPr>
  </w:style>
  <w:style w:type="character" w:customStyle="1" w:styleId="13">
    <w:name w:val="标题 3 字符"/>
    <w:basedOn w:val="10"/>
    <w:link w:val="2"/>
    <w:qFormat/>
    <w:uiPriority w:val="9"/>
    <w:rPr>
      <w:rFonts w:ascii="Calibri Light" w:hAnsi="Calibri Light" w:eastAsia="Yu Gothic Light" w:cs="Times New Roman"/>
      <w:color w:val="1F3763"/>
      <w:sz w:val="24"/>
      <w:szCs w:val="24"/>
    </w:rPr>
  </w:style>
  <w:style w:type="paragraph" w:customStyle="1" w:styleId="14">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5">
    <w:name w:val="List Paragraph"/>
    <w:basedOn w:val="1"/>
    <w:qFormat/>
    <w:uiPriority w:val="34"/>
    <w:pPr>
      <w:ind w:left="720"/>
      <w:contextualSpacing/>
    </w:pPr>
  </w:style>
  <w:style w:type="character" w:customStyle="1" w:styleId="16">
    <w:name w:val="正文文本缩进 字符"/>
    <w:basedOn w:val="10"/>
    <w:link w:val="3"/>
    <w:qFormat/>
    <w:uiPriority w:val="0"/>
    <w:rPr>
      <w:rFonts w:ascii="Times New Roman" w:hAnsi="Times New Roman" w:eastAsia="宋体" w:cs="Times New Roman"/>
      <w:kern w:val="2"/>
      <w:sz w:val="32"/>
      <w:szCs w:val="24"/>
      <w:lang w:eastAsia="zh-CN"/>
    </w:rPr>
  </w:style>
  <w:style w:type="character" w:customStyle="1" w:styleId="17">
    <w:name w:val="批注框文本 字符"/>
    <w:basedOn w:val="10"/>
    <w:link w:val="5"/>
    <w:semiHidden/>
    <w:qFormat/>
    <w:uiPriority w:val="99"/>
    <w:rPr>
      <w:rFonts w:ascii="Times New Roman" w:hAnsi="Times New Roman" w:eastAsia="宋体" w:cs="Times New Roman"/>
      <w:kern w:val="2"/>
      <w:sz w:val="18"/>
      <w:szCs w:val="18"/>
      <w:lang w:eastAsia="zh-CN"/>
    </w:rPr>
  </w:style>
  <w:style w:type="character" w:customStyle="1" w:styleId="18">
    <w:name w:val="纯文本 字符"/>
    <w:basedOn w:val="10"/>
    <w:link w:val="4"/>
    <w:qFormat/>
    <w:uiPriority w:val="0"/>
    <w:rPr>
      <w:rFonts w:ascii="宋体" w:hAnsi="Courier New" w:eastAsia="宋体" w:cs="Times New Roman"/>
      <w:kern w:val="2"/>
      <w:sz w:val="24"/>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C706-5F1F-4875-86FD-1A1AE021D0DA}">
  <ds:schemaRefs/>
</ds:datastoreItem>
</file>

<file path=docProps/app.xml><?xml version="1.0" encoding="utf-8"?>
<Properties xmlns="http://schemas.openxmlformats.org/officeDocument/2006/extended-properties" xmlns:vt="http://schemas.openxmlformats.org/officeDocument/2006/docPropsVTypes">
  <Template>Normal</Template>
  <Pages>4</Pages>
  <Words>1207</Words>
  <Characters>1374</Characters>
  <Lines>10</Lines>
  <Paragraphs>2</Paragraphs>
  <TotalTime>9</TotalTime>
  <ScaleCrop>false</ScaleCrop>
  <LinksUpToDate>false</LinksUpToDate>
  <CharactersWithSpaces>1374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2020-02-18T14:04:00Z</dcterms:created>
  <dc:creator>cslau</dc:creator>
  <cp:lastModifiedBy>太极箫客</cp:lastModifiedBy>
  <cp:lastPrinted>2017-10-23T03:47:00Z</cp:lastPrinted>
  <dcterms:modified xsi:type="dcterms:W3CDTF">2025-08-14T06:23:40Z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53D4F845270F4ED6811E1F9F6A94D89E_12</vt:lpwstr>
  </property>
</Properties>
</file>