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2A03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Arial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5698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7DC3F8AA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42DFFA3C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09649127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05C75E82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16A697FD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批准人</w:t>
            </w:r>
          </w:p>
        </w:tc>
      </w:tr>
      <w:tr w14:paraId="11464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30E6A7EF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38F42122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179C685C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62C66F64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1265B831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662C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2C68194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18A7CB8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643C830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5B34D20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1CF4F14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05D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143D66A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7BDC50D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2C4AB9D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4A390A8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7FDBF44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158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6E5C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1F6B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D5AE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CE58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01CC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0B0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0674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77D3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07DE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D53E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9F11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786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98E8B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4222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FEBD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252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F88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3CA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CCF3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D9DA5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4B76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49F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4D6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635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3C3A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550A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A769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598C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5386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EEF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8FCB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18B5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BB70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B9DB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5477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EBA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1178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1238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F09A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BB2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0A35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6A4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6816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D84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BF7F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AAB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F77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1AA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25C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D2BE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A59F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6765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4A2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280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7EC0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7917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C09F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C131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7E74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E10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7CB4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5FEC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85B3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47A8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96C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F04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976B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0768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BB0F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2962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C5EB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189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2174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D417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F85A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D615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589E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C08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997A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0804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33F2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F698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C5B1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596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744F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380F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9B41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55BA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513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8A9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301F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8148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F15D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4701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E86D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949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5E56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2404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BA95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8514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A248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130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529C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D0D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54D8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6DD3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BF41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EBA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9476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7F85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40D16387">
      <w:pPr>
        <w:spacing w:line="360" w:lineRule="auto"/>
        <w:rPr>
          <w:rFonts w:ascii="Arial" w:hAnsi="Arial" w:cs="Arial"/>
          <w:sz w:val="22"/>
          <w:szCs w:val="22"/>
        </w:rPr>
      </w:pPr>
    </w:p>
    <w:p w14:paraId="62FA595D">
      <w:pPr>
        <w:spacing w:line="360" w:lineRule="auto"/>
        <w:rPr>
          <w:rFonts w:ascii="Arial" w:hAnsi="Arial" w:cs="Arial"/>
          <w:sz w:val="22"/>
          <w:szCs w:val="22"/>
        </w:rPr>
      </w:pPr>
    </w:p>
    <w:p w14:paraId="123E6412">
      <w:pPr>
        <w:spacing w:line="360" w:lineRule="auto"/>
        <w:rPr>
          <w:rFonts w:ascii="Arial" w:hAnsi="Arial" w:cs="Arial"/>
          <w:sz w:val="22"/>
          <w:szCs w:val="22"/>
        </w:rPr>
      </w:pPr>
    </w:p>
    <w:p w14:paraId="55B68514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hint="eastAsia" w:ascii="Arial" w:hAnsi="Arial" w:cs="Arial"/>
          <w:b/>
          <w:sz w:val="22"/>
          <w:szCs w:val="22"/>
        </w:rPr>
        <w:t>目的</w:t>
      </w:r>
    </w:p>
    <w:p w14:paraId="41C11589">
      <w:pPr>
        <w:spacing w:line="360" w:lineRule="auto"/>
        <w:ind w:left="425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>建立生产区洁净车间环境监测的管理规程。</w:t>
      </w:r>
    </w:p>
    <w:p w14:paraId="0EF3E480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hint="eastAsia" w:ascii="Arial" w:hAnsi="Arial" w:cs="Arial"/>
          <w:b/>
          <w:sz w:val="22"/>
          <w:szCs w:val="22"/>
        </w:rPr>
        <w:t>范围</w:t>
      </w:r>
    </w:p>
    <w:p w14:paraId="6D9AB04A">
      <w:pPr>
        <w:spacing w:line="360" w:lineRule="auto"/>
        <w:ind w:left="425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>洁净车间</w:t>
      </w:r>
    </w:p>
    <w:p w14:paraId="553CFFC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hint="eastAsia" w:ascii="Arial" w:hAnsi="Arial" w:cs="Arial"/>
          <w:b/>
          <w:sz w:val="22"/>
          <w:szCs w:val="22"/>
        </w:rPr>
        <w:t>责任人</w:t>
      </w:r>
    </w:p>
    <w:p w14:paraId="6BE78037">
      <w:pPr>
        <w:spacing w:line="360" w:lineRule="auto"/>
        <w:ind w:left="425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质管部</w:t>
      </w:r>
    </w:p>
    <w:p w14:paraId="75D116BF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hint="eastAsia" w:ascii="Arial" w:hAnsi="Arial" w:cs="Arial"/>
          <w:b/>
          <w:bCs/>
          <w:sz w:val="22"/>
          <w:szCs w:val="22"/>
        </w:rPr>
        <w:t>内容</w:t>
      </w:r>
    </w:p>
    <w:p w14:paraId="13060790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定义和说明</w:t>
      </w:r>
    </w:p>
    <w:p w14:paraId="4A51F117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置信上限：从正态分布抽样得到实际均值按给定的置信度（此处为95%）计算得到的估计上限将大于此实际均值，则称计算得到的这一均值估计上限为置信上限。</w:t>
      </w:r>
    </w:p>
    <w:p w14:paraId="086E8788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生产区域洁净等级划分及采样点分布图（见附件1）。</w:t>
      </w:r>
    </w:p>
    <w:p w14:paraId="3B53C1E7">
      <w:pPr>
        <w:numPr>
          <w:ilvl w:val="1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监测：</w:t>
      </w:r>
    </w:p>
    <w:p w14:paraId="63ACDEC8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温湿度：</w:t>
      </w:r>
    </w:p>
    <w:p w14:paraId="5519B813">
      <w:pPr>
        <w:spacing w:line="360" w:lineRule="auto"/>
        <w:ind w:firstLine="1540" w:firstLineChars="700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要求：温度18℃-26℃，相对湿度45%-65%。每班次应进行监测。</w:t>
      </w:r>
    </w:p>
    <w:p w14:paraId="25F451D2">
      <w:pPr>
        <w:numPr>
          <w:ilvl w:val="2"/>
          <w:numId w:val="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静压差：</w:t>
      </w:r>
    </w:p>
    <w:p w14:paraId="354022E3">
      <w:pPr>
        <w:spacing w:line="360" w:lineRule="auto"/>
        <w:ind w:left="2350" w:leftChars="700" w:hanging="880" w:hangingChars="400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要求：洁净车间与室外大气的静压差＞10Pa。每月应进行监测。</w:t>
      </w:r>
    </w:p>
    <w:p w14:paraId="1FAA43EA">
      <w:pPr>
        <w:pStyle w:val="15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684CFB26">
      <w:pPr>
        <w:pStyle w:val="15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19DFA745">
      <w:pPr>
        <w:pStyle w:val="15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07BA53E5">
      <w:pPr>
        <w:pStyle w:val="15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2B35B7F0">
      <w:pPr>
        <w:pStyle w:val="15"/>
        <w:numPr>
          <w:ilvl w:val="1"/>
          <w:numId w:val="2"/>
        </w:numPr>
        <w:spacing w:line="360" w:lineRule="auto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1CF480F2">
      <w:pPr>
        <w:pStyle w:val="15"/>
        <w:numPr>
          <w:ilvl w:val="1"/>
          <w:numId w:val="2"/>
        </w:numPr>
        <w:spacing w:line="360" w:lineRule="auto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5660D364">
      <w:pPr>
        <w:pStyle w:val="15"/>
        <w:numPr>
          <w:ilvl w:val="1"/>
          <w:numId w:val="2"/>
        </w:numPr>
        <w:spacing w:line="360" w:lineRule="auto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1C272815">
      <w:pPr>
        <w:pStyle w:val="15"/>
        <w:numPr>
          <w:ilvl w:val="2"/>
          <w:numId w:val="2"/>
        </w:numPr>
        <w:spacing w:line="360" w:lineRule="auto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6D383132">
      <w:pPr>
        <w:pStyle w:val="15"/>
        <w:numPr>
          <w:ilvl w:val="2"/>
          <w:numId w:val="2"/>
        </w:numPr>
        <w:spacing w:line="360" w:lineRule="auto"/>
        <w:contextualSpacing w:val="0"/>
        <w:rPr>
          <w:rFonts w:ascii="Arial" w:hAnsi="Arial" w:cs="Arial"/>
          <w:bCs/>
          <w:vanish/>
          <w:sz w:val="22"/>
          <w:szCs w:val="22"/>
        </w:rPr>
      </w:pPr>
    </w:p>
    <w:p w14:paraId="264426D2">
      <w:pPr>
        <w:numPr>
          <w:ilvl w:val="2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风速及换气次数：</w:t>
      </w:r>
    </w:p>
    <w:p w14:paraId="4FAC712D">
      <w:pPr>
        <w:spacing w:line="360" w:lineRule="auto"/>
        <w:ind w:firstLine="1540" w:firstLineChars="700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要求：洁净车间换气次数为≥1</w:t>
      </w:r>
      <w:r>
        <w:rPr>
          <w:rFonts w:ascii="Arial" w:hAnsi="Arial" w:cs="Arial"/>
          <w:bCs/>
          <w:sz w:val="22"/>
          <w:szCs w:val="22"/>
        </w:rPr>
        <w:t>2</w:t>
      </w:r>
      <w:r>
        <w:rPr>
          <w:rFonts w:hint="eastAsia" w:ascii="Arial" w:hAnsi="Arial" w:cs="Arial"/>
          <w:bCs/>
          <w:sz w:val="22"/>
          <w:szCs w:val="22"/>
        </w:rPr>
        <w:t>次/h。每月应进行监测。</w:t>
      </w:r>
    </w:p>
    <w:p w14:paraId="67FED0C6">
      <w:pPr>
        <w:numPr>
          <w:ilvl w:val="2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尘粒最大允许数</w:t>
      </w:r>
    </w:p>
    <w:p w14:paraId="738D6713">
      <w:pPr>
        <w:numPr>
          <w:ilvl w:val="3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要求：见表1。每个采样点除了符合上述标准外，全部采样点的粒子浓度平均值均值的95%置信上限必须低于或等于规定的级别界限，即UCL≤级别界限。</w:t>
      </w:r>
    </w:p>
    <w:p w14:paraId="0F16D425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表1：无尘室（区）空气洁净度级别表</w:t>
      </w:r>
    </w:p>
    <w:tbl>
      <w:tblPr>
        <w:tblStyle w:val="9"/>
        <w:tblW w:w="0" w:type="auto"/>
        <w:tblInd w:w="14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946"/>
        <w:gridCol w:w="1129"/>
        <w:gridCol w:w="477"/>
        <w:gridCol w:w="1338"/>
        <w:gridCol w:w="1815"/>
      </w:tblGrid>
      <w:tr w14:paraId="07D2F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1533" w:type="dxa"/>
            <w:vMerge w:val="restart"/>
            <w:vAlign w:val="center"/>
          </w:tcPr>
          <w:p w14:paraId="72F3452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洁净度级别</w:t>
            </w:r>
          </w:p>
        </w:tc>
        <w:tc>
          <w:tcPr>
            <w:tcW w:w="2552" w:type="dxa"/>
            <w:gridSpan w:val="3"/>
            <w:vAlign w:val="center"/>
          </w:tcPr>
          <w:p w14:paraId="54AC3D8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尘埃最大允许数/2.83L</w:t>
            </w:r>
          </w:p>
        </w:tc>
        <w:tc>
          <w:tcPr>
            <w:tcW w:w="3153" w:type="dxa"/>
            <w:gridSpan w:val="2"/>
            <w:vAlign w:val="center"/>
          </w:tcPr>
          <w:p w14:paraId="10F844B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微生物的最大允许数</w:t>
            </w:r>
          </w:p>
        </w:tc>
      </w:tr>
      <w:tr w14:paraId="3C5D9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1533" w:type="dxa"/>
            <w:vMerge w:val="continue"/>
            <w:vAlign w:val="center"/>
          </w:tcPr>
          <w:p w14:paraId="0CF7F66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14:paraId="63A496A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≥0.5μm</w:t>
            </w:r>
          </w:p>
        </w:tc>
        <w:tc>
          <w:tcPr>
            <w:tcW w:w="1129" w:type="dxa"/>
            <w:vAlign w:val="center"/>
          </w:tcPr>
          <w:p w14:paraId="3D1ED9E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≥5μm</w:t>
            </w:r>
          </w:p>
        </w:tc>
        <w:tc>
          <w:tcPr>
            <w:tcW w:w="1815" w:type="dxa"/>
            <w:gridSpan w:val="2"/>
            <w:vAlign w:val="center"/>
          </w:tcPr>
          <w:p w14:paraId="2571833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沉降菌/皿</w:t>
            </w:r>
          </w:p>
        </w:tc>
        <w:tc>
          <w:tcPr>
            <w:tcW w:w="1815" w:type="dxa"/>
          </w:tcPr>
          <w:p w14:paraId="5CC348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浮游菌/m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14:paraId="5E4EB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533" w:type="dxa"/>
            <w:vAlign w:val="center"/>
          </w:tcPr>
          <w:p w14:paraId="779B9E0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100级</w:t>
            </w:r>
          </w:p>
        </w:tc>
        <w:tc>
          <w:tcPr>
            <w:tcW w:w="946" w:type="dxa"/>
            <w:vAlign w:val="center"/>
          </w:tcPr>
          <w:p w14:paraId="42EC8A8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3520</w:t>
            </w:r>
          </w:p>
        </w:tc>
        <w:tc>
          <w:tcPr>
            <w:tcW w:w="1129" w:type="dxa"/>
            <w:vAlign w:val="center"/>
          </w:tcPr>
          <w:p w14:paraId="6D5EB80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1815" w:type="dxa"/>
            <w:gridSpan w:val="2"/>
            <w:vAlign w:val="center"/>
          </w:tcPr>
          <w:p w14:paraId="4BBD31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&lt;1</w:t>
            </w:r>
          </w:p>
        </w:tc>
        <w:tc>
          <w:tcPr>
            <w:tcW w:w="1815" w:type="dxa"/>
            <w:vAlign w:val="center"/>
          </w:tcPr>
          <w:p w14:paraId="64EF25C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≤5</w:t>
            </w:r>
          </w:p>
        </w:tc>
      </w:tr>
      <w:tr w14:paraId="29FA3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533" w:type="dxa"/>
            <w:vAlign w:val="center"/>
          </w:tcPr>
          <w:p w14:paraId="59654C1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10，000级</w:t>
            </w:r>
          </w:p>
        </w:tc>
        <w:tc>
          <w:tcPr>
            <w:tcW w:w="946" w:type="dxa"/>
            <w:vAlign w:val="center"/>
          </w:tcPr>
          <w:p w14:paraId="4BC45B9B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3520</w:t>
            </w:r>
          </w:p>
        </w:tc>
        <w:tc>
          <w:tcPr>
            <w:tcW w:w="1129" w:type="dxa"/>
            <w:vAlign w:val="center"/>
          </w:tcPr>
          <w:p w14:paraId="406CE4A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29</w:t>
            </w:r>
          </w:p>
        </w:tc>
        <w:tc>
          <w:tcPr>
            <w:tcW w:w="1815" w:type="dxa"/>
            <w:gridSpan w:val="2"/>
            <w:vAlign w:val="center"/>
          </w:tcPr>
          <w:p w14:paraId="66B7698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≤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815" w:type="dxa"/>
            <w:vAlign w:val="center"/>
          </w:tcPr>
          <w:p w14:paraId="1BDAA48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≤50</w:t>
            </w:r>
          </w:p>
        </w:tc>
      </w:tr>
      <w:tr w14:paraId="335F2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1533" w:type="dxa"/>
            <w:vAlign w:val="center"/>
          </w:tcPr>
          <w:p w14:paraId="22C3DEA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100，000级</w:t>
            </w:r>
          </w:p>
        </w:tc>
        <w:tc>
          <w:tcPr>
            <w:tcW w:w="946" w:type="dxa"/>
            <w:vAlign w:val="center"/>
          </w:tcPr>
          <w:p w14:paraId="64F049A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352000</w:t>
            </w:r>
          </w:p>
        </w:tc>
        <w:tc>
          <w:tcPr>
            <w:tcW w:w="1129" w:type="dxa"/>
            <w:vAlign w:val="center"/>
          </w:tcPr>
          <w:p w14:paraId="0E60F1A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2900</w:t>
            </w:r>
          </w:p>
        </w:tc>
        <w:tc>
          <w:tcPr>
            <w:tcW w:w="1815" w:type="dxa"/>
            <w:gridSpan w:val="2"/>
            <w:vAlign w:val="center"/>
          </w:tcPr>
          <w:p w14:paraId="0B62AA6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≤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815" w:type="dxa"/>
            <w:vAlign w:val="center"/>
          </w:tcPr>
          <w:p w14:paraId="12DA602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≤100</w:t>
            </w:r>
          </w:p>
        </w:tc>
      </w:tr>
      <w:tr w14:paraId="18E86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1533" w:type="dxa"/>
            <w:vAlign w:val="center"/>
          </w:tcPr>
          <w:p w14:paraId="57DE3D4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300，000级</w:t>
            </w:r>
          </w:p>
        </w:tc>
        <w:tc>
          <w:tcPr>
            <w:tcW w:w="946" w:type="dxa"/>
            <w:vAlign w:val="center"/>
          </w:tcPr>
          <w:p w14:paraId="145CB056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3520000</w:t>
            </w:r>
          </w:p>
        </w:tc>
        <w:tc>
          <w:tcPr>
            <w:tcW w:w="1129" w:type="dxa"/>
            <w:vAlign w:val="center"/>
          </w:tcPr>
          <w:p w14:paraId="4D0BFBD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29000</w:t>
            </w:r>
          </w:p>
        </w:tc>
        <w:tc>
          <w:tcPr>
            <w:tcW w:w="1815" w:type="dxa"/>
            <w:gridSpan w:val="2"/>
            <w:vAlign w:val="center"/>
          </w:tcPr>
          <w:p w14:paraId="59B6757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≤1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15" w:type="dxa"/>
          </w:tcPr>
          <w:p w14:paraId="5A947A0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</w:tbl>
    <w:p w14:paraId="07C37271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注：每个采样点的平均粒子浓度不得大于规定的级别界限，即A</w:t>
      </w:r>
      <w:r>
        <w:rPr>
          <w:rFonts w:hint="eastAsia" w:ascii="Arial" w:hAnsi="Arial" w:cs="Arial"/>
          <w:bCs/>
          <w:sz w:val="22"/>
          <w:szCs w:val="22"/>
          <w:vertAlign w:val="subscript"/>
        </w:rPr>
        <w:t>i</w:t>
      </w:r>
      <w:r>
        <w:rPr>
          <w:rFonts w:hint="eastAsia" w:ascii="Arial" w:hAnsi="Arial" w:cs="Arial"/>
          <w:bCs/>
          <w:sz w:val="22"/>
          <w:szCs w:val="22"/>
        </w:rPr>
        <w:t>≤级别界限。</w:t>
      </w:r>
    </w:p>
    <w:p w14:paraId="0CC2CE36">
      <w:pPr>
        <w:numPr>
          <w:ilvl w:val="3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由质管部按以下规定定期监测。</w:t>
      </w:r>
    </w:p>
    <w:p w14:paraId="4B7A1430">
      <w:pPr>
        <w:numPr>
          <w:ilvl w:val="4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>
        <w:rPr>
          <w:rFonts w:hint="eastAsia" w:ascii="Arial" w:hAnsi="Arial" w:cs="Arial"/>
          <w:bCs/>
          <w:sz w:val="22"/>
          <w:szCs w:val="22"/>
          <w:highlight w:val="yellow"/>
        </w:rPr>
        <w:t>百级区域每月监测一次。</w:t>
      </w:r>
    </w:p>
    <w:p w14:paraId="76664562">
      <w:pPr>
        <w:numPr>
          <w:ilvl w:val="4"/>
          <w:numId w:val="2"/>
        </w:numPr>
        <w:spacing w:line="360" w:lineRule="auto"/>
        <w:rPr>
          <w:rFonts w:ascii="Arial" w:hAnsi="Arial" w:cs="Arial"/>
          <w:bCs/>
          <w:sz w:val="22"/>
          <w:szCs w:val="22"/>
          <w:highlight w:val="yellow"/>
        </w:rPr>
      </w:pPr>
      <w:r>
        <w:rPr>
          <w:rFonts w:hint="eastAsia" w:ascii="Arial" w:hAnsi="Arial" w:cs="Arial"/>
          <w:bCs/>
          <w:sz w:val="22"/>
          <w:szCs w:val="22"/>
          <w:highlight w:val="yellow"/>
        </w:rPr>
        <w:t>万级和十万级区、三十万级区域每3个月监测一次。</w:t>
      </w:r>
    </w:p>
    <w:p w14:paraId="6290D487">
      <w:pPr>
        <w:numPr>
          <w:ilvl w:val="2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沉降菌/浮游菌</w:t>
      </w:r>
    </w:p>
    <w:p w14:paraId="4A065DCC">
      <w:pPr>
        <w:numPr>
          <w:ilvl w:val="3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要求：见表1。</w:t>
      </w:r>
    </w:p>
    <w:p w14:paraId="08C50910">
      <w:pPr>
        <w:numPr>
          <w:ilvl w:val="3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质管部按以下规定定期监测：</w:t>
      </w:r>
    </w:p>
    <w:p w14:paraId="4A26E751">
      <w:pPr>
        <w:numPr>
          <w:ilvl w:val="4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100级区域（包括洁净工作台）、万级每月监测一次。</w:t>
      </w:r>
    </w:p>
    <w:p w14:paraId="1EFEDAE2">
      <w:pPr>
        <w:numPr>
          <w:ilvl w:val="4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10万级区和三十万级区每3个月监测一次。</w:t>
      </w:r>
    </w:p>
    <w:p w14:paraId="3223B6EF">
      <w:pPr>
        <w:numPr>
          <w:ilvl w:val="4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当结果超出规定时，分析原因，并重新检测。</w:t>
      </w:r>
    </w:p>
    <w:p w14:paraId="4A2586B5">
      <w:pPr>
        <w:numPr>
          <w:ilvl w:val="2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一旦停运，必须在尘埃粒子数和沉降菌监测合格后方可投入使用。</w:t>
      </w:r>
    </w:p>
    <w:p w14:paraId="43CF9922">
      <w:pPr>
        <w:numPr>
          <w:ilvl w:val="2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洁净区更换高效过滤器后，该区域（房间）须重新验证，验证合格后才允许使用。</w:t>
      </w:r>
    </w:p>
    <w:p w14:paraId="4E507851">
      <w:pPr>
        <w:numPr>
          <w:ilvl w:val="1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尘埃粒子数和沉降菌监测出现不合格时，按《不合格品控制程序》处理。</w:t>
      </w:r>
    </w:p>
    <w:p w14:paraId="009BDFBC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hint="eastAsia" w:ascii="Arial" w:hAnsi="Arial" w:cs="Arial"/>
          <w:b/>
          <w:bCs/>
          <w:sz w:val="22"/>
          <w:szCs w:val="22"/>
        </w:rPr>
        <w:t xml:space="preserve">记录 </w:t>
      </w:r>
    </w:p>
    <w:p w14:paraId="20DACADB">
      <w:pPr>
        <w:numPr>
          <w:ilvl w:val="1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hint="eastAsia" w:ascii="Arial" w:hAnsi="Arial" w:cs="Arial"/>
          <w:bCs/>
          <w:sz w:val="22"/>
          <w:szCs w:val="22"/>
        </w:rPr>
        <w:t>Q</w:t>
      </w:r>
      <w:r>
        <w:rPr>
          <w:rFonts w:ascii="Arial" w:hAnsi="Arial" w:cs="Arial"/>
          <w:bCs/>
          <w:sz w:val="22"/>
          <w:szCs w:val="22"/>
        </w:rPr>
        <w:t>A-FM-049</w:t>
      </w:r>
      <w:r>
        <w:rPr>
          <w:rFonts w:hint="eastAsia" w:ascii="Arial" w:hAnsi="Arial" w:cs="Arial"/>
          <w:bCs/>
          <w:sz w:val="22"/>
          <w:szCs w:val="22"/>
        </w:rPr>
        <w:t>《车间沉降菌数监测记录》</w:t>
      </w:r>
    </w:p>
    <w:p w14:paraId="5C243C9B">
      <w:pPr>
        <w:numPr>
          <w:ilvl w:val="1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QA-FM-050</w:t>
      </w:r>
      <w:r>
        <w:rPr>
          <w:rFonts w:hint="eastAsia" w:ascii="Arial" w:hAnsi="Arial" w:cs="Arial"/>
          <w:bCs/>
          <w:sz w:val="22"/>
          <w:szCs w:val="22"/>
        </w:rPr>
        <w:t>《车间尘埃粒子数监测记录》</w:t>
      </w:r>
    </w:p>
    <w:p w14:paraId="4AABCD07">
      <w:pPr>
        <w:numPr>
          <w:ilvl w:val="1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QA-FM-051</w:t>
      </w:r>
      <w:r>
        <w:rPr>
          <w:rFonts w:hint="eastAsia" w:ascii="Arial" w:hAnsi="Arial" w:cs="Arial"/>
          <w:bCs/>
          <w:sz w:val="22"/>
          <w:szCs w:val="22"/>
        </w:rPr>
        <w:t>《车间环境监测报告书》</w:t>
      </w:r>
    </w:p>
    <w:p w14:paraId="420680CC">
      <w:pPr>
        <w:spacing w:line="360" w:lineRule="auto"/>
        <w:rPr>
          <w:rFonts w:ascii="Arial" w:hAnsi="Arial" w:cs="Arial"/>
          <w:sz w:val="22"/>
          <w:szCs w:val="22"/>
        </w:rPr>
      </w:pPr>
    </w:p>
    <w:p w14:paraId="4A53E0AB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</w:rPr>
      </w:pPr>
    </w:p>
    <w:p w14:paraId="01539A19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</w:rPr>
      </w:pPr>
    </w:p>
    <w:p w14:paraId="13C028A5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</w:rPr>
      </w:pPr>
    </w:p>
    <w:p w14:paraId="3B244C6F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</w:rPr>
      </w:pPr>
    </w:p>
    <w:p w14:paraId="414F56BE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</w:rPr>
      </w:pPr>
    </w:p>
    <w:p w14:paraId="57792F1D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</w:rPr>
      </w:pPr>
    </w:p>
    <w:p w14:paraId="30A2095C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  <w:b/>
          <w:bCs/>
        </w:rPr>
      </w:pPr>
      <w:r>
        <w:rPr>
          <w:rFonts w:hint="eastAsia" w:ascii="Arial" w:hAnsi="Arial" w:cs="Arial"/>
          <w:b/>
          <w:bCs/>
        </w:rPr>
        <w:t xml:space="preserve">附件1                                            </w:t>
      </w:r>
      <w:r>
        <w:rPr>
          <w:rFonts w:hint="eastAsia" w:ascii="Arial" w:hAnsi="Arial" w:cs="Arial"/>
          <w:b/>
          <w:bCs/>
          <w:highlight w:val="yellow"/>
        </w:rPr>
        <w:t>生产区域洁净等级划分及采样点分布图</w:t>
      </w:r>
    </w:p>
    <w:p w14:paraId="613545E1">
      <w:pPr>
        <w:tabs>
          <w:tab w:val="left" w:pos="0"/>
          <w:tab w:val="left" w:pos="1418"/>
        </w:tabs>
        <w:spacing w:line="360" w:lineRule="auto"/>
        <w:rPr>
          <w:rFonts w:ascii="Arial" w:hAnsi="Arial" w:cs="Arial"/>
        </w:rPr>
      </w:pPr>
    </w:p>
    <w:p w14:paraId="528EA3FE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40DA137D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4F780DA4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5" w:type="first"/>
      <w:head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52000339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7DA74EF5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605FC06E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6E4AAB5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205CA2EA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781B5E2D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洁净车间环境监测管理规程</w:t>
          </w:r>
        </w:p>
      </w:tc>
      <w:tc>
        <w:tcPr>
          <w:tcW w:w="1418" w:type="dxa"/>
          <w:vAlign w:val="center"/>
        </w:tcPr>
        <w:p w14:paraId="00318D73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5AF2DBA3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6</w:t>
          </w:r>
        </w:p>
      </w:tc>
    </w:tr>
    <w:tr w14:paraId="2DA977E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632468E1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E4418C9">
          <w:pPr>
            <w:jc w:val="center"/>
          </w:pPr>
        </w:p>
      </w:tc>
      <w:tc>
        <w:tcPr>
          <w:tcW w:w="1418" w:type="dxa"/>
          <w:vAlign w:val="center"/>
        </w:tcPr>
        <w:p w14:paraId="2BB2022C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25B473BC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674B3A5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1BBB99CA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5D62896C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5AC198F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549CA21E">
          <w:pPr>
            <w:jc w:val="center"/>
          </w:pPr>
          <w:r>
            <w:rPr>
              <w:rFonts w:hint="eastAsia"/>
            </w:rPr>
            <w:t>2020年02月01日</w:t>
          </w:r>
        </w:p>
      </w:tc>
    </w:tr>
    <w:tr w14:paraId="6219E1D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2919EF44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30EAEA53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44A371E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01EF011C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6E7571D4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52B7773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3DA727E5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14CF1094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洁净车间环境监测管理规程</w:t>
          </w:r>
        </w:p>
      </w:tc>
      <w:tc>
        <w:tcPr>
          <w:tcW w:w="1415" w:type="dxa"/>
          <w:vAlign w:val="center"/>
        </w:tcPr>
        <w:p w14:paraId="3386582F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57B50EC5">
          <w:pPr>
            <w:jc w:val="center"/>
            <w:rPr>
              <w:sz w:val="20"/>
            </w:rPr>
          </w:pPr>
          <w:r>
            <w:rPr>
              <w:sz w:val="20"/>
            </w:rPr>
            <w:t>QA-RG-0</w:t>
          </w:r>
          <w:r>
            <w:rPr>
              <w:rFonts w:hint="eastAsia"/>
              <w:sz w:val="20"/>
            </w:rPr>
            <w:t>0</w:t>
          </w:r>
          <w:r>
            <w:rPr>
              <w:sz w:val="20"/>
            </w:rPr>
            <w:t>6</w:t>
          </w:r>
        </w:p>
      </w:tc>
    </w:tr>
    <w:tr w14:paraId="284766A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419F7706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34A65403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191B57B1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46568F6B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106043CA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7A0CDEF8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2F5B0DE4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2056BD3A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54072B1E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5940FEB0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7CE61EE0">
          <w:pPr>
            <w:jc w:val="center"/>
            <w:rPr>
              <w:sz w:val="20"/>
            </w:rPr>
          </w:pPr>
          <w:r>
            <w:rPr>
              <w:rFonts w:hint="eastAsia"/>
            </w:rPr>
            <w:t>2020年02月01日</w:t>
          </w:r>
        </w:p>
      </w:tc>
    </w:tr>
    <w:tr w14:paraId="3E9DBD6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67282D96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0AD32B8F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78DD3837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1B98CB8F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6127950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49550DB1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084ECBD4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237DB74A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74F65247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7634550E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17F2D"/>
    <w:multiLevelType w:val="multilevel"/>
    <w:tmpl w:val="53517F2D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黑体" w:hAnsi="Times New Roman" w:eastAsia="黑体" w:cs="Times New Roman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（%5）"/>
      <w:lvlJc w:val="left"/>
      <w:pPr>
        <w:tabs>
          <w:tab w:val="left" w:pos="1984"/>
        </w:tabs>
        <w:ind w:left="2268" w:hanging="567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75EF1AC9"/>
    <w:multiLevelType w:val="multilevel"/>
    <w:tmpl w:val="75EF1AC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黑体" w:hAnsi="Times New Roman" w:eastAsia="黑体" w:cs="Times New Roman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（%5）"/>
      <w:lvlJc w:val="left"/>
      <w:pPr>
        <w:tabs>
          <w:tab w:val="left" w:pos="1984"/>
        </w:tabs>
        <w:ind w:left="2268" w:hanging="567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8778C"/>
    <w:rsid w:val="000901DF"/>
    <w:rsid w:val="00093A75"/>
    <w:rsid w:val="00095DE9"/>
    <w:rsid w:val="000A0AFC"/>
    <w:rsid w:val="000C2C7E"/>
    <w:rsid w:val="000C3E3B"/>
    <w:rsid w:val="000C6787"/>
    <w:rsid w:val="000F5249"/>
    <w:rsid w:val="000F7932"/>
    <w:rsid w:val="000F7A88"/>
    <w:rsid w:val="000F7FEC"/>
    <w:rsid w:val="00121066"/>
    <w:rsid w:val="00131552"/>
    <w:rsid w:val="00133477"/>
    <w:rsid w:val="00141E9E"/>
    <w:rsid w:val="00153CBD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4FC3"/>
    <w:rsid w:val="002200D3"/>
    <w:rsid w:val="0022656C"/>
    <w:rsid w:val="002329AD"/>
    <w:rsid w:val="002403C0"/>
    <w:rsid w:val="00240898"/>
    <w:rsid w:val="00244DDA"/>
    <w:rsid w:val="00245ED1"/>
    <w:rsid w:val="00246366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F67"/>
    <w:rsid w:val="002C0FC6"/>
    <w:rsid w:val="002C1478"/>
    <w:rsid w:val="002F2FC0"/>
    <w:rsid w:val="00303F87"/>
    <w:rsid w:val="00307A84"/>
    <w:rsid w:val="00313BCC"/>
    <w:rsid w:val="00332C36"/>
    <w:rsid w:val="00334298"/>
    <w:rsid w:val="00347BD9"/>
    <w:rsid w:val="00361C94"/>
    <w:rsid w:val="0036433E"/>
    <w:rsid w:val="0038751A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3669B"/>
    <w:rsid w:val="00447ECD"/>
    <w:rsid w:val="004841EE"/>
    <w:rsid w:val="0048621C"/>
    <w:rsid w:val="00497C2C"/>
    <w:rsid w:val="004A218D"/>
    <w:rsid w:val="004C3C1F"/>
    <w:rsid w:val="004C6221"/>
    <w:rsid w:val="004C6D60"/>
    <w:rsid w:val="004C70E4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12EE"/>
    <w:rsid w:val="00532A6F"/>
    <w:rsid w:val="00534135"/>
    <w:rsid w:val="0053448C"/>
    <w:rsid w:val="005427AF"/>
    <w:rsid w:val="00554A69"/>
    <w:rsid w:val="00556451"/>
    <w:rsid w:val="00556DF7"/>
    <w:rsid w:val="00560CB9"/>
    <w:rsid w:val="00566F9E"/>
    <w:rsid w:val="005700F7"/>
    <w:rsid w:val="00576701"/>
    <w:rsid w:val="005802B2"/>
    <w:rsid w:val="00587298"/>
    <w:rsid w:val="005A105B"/>
    <w:rsid w:val="005A34DD"/>
    <w:rsid w:val="005A72EA"/>
    <w:rsid w:val="005B3CC2"/>
    <w:rsid w:val="005B58C7"/>
    <w:rsid w:val="005D3DDA"/>
    <w:rsid w:val="005D4FC6"/>
    <w:rsid w:val="005E4724"/>
    <w:rsid w:val="005F6765"/>
    <w:rsid w:val="005F76E9"/>
    <w:rsid w:val="006004CE"/>
    <w:rsid w:val="006076EA"/>
    <w:rsid w:val="006118D1"/>
    <w:rsid w:val="006123F7"/>
    <w:rsid w:val="00612E66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4313"/>
    <w:rsid w:val="00715EA3"/>
    <w:rsid w:val="00744415"/>
    <w:rsid w:val="007476D8"/>
    <w:rsid w:val="00751A90"/>
    <w:rsid w:val="007722F0"/>
    <w:rsid w:val="007829FF"/>
    <w:rsid w:val="00785BE2"/>
    <w:rsid w:val="007877BC"/>
    <w:rsid w:val="00793B92"/>
    <w:rsid w:val="00795997"/>
    <w:rsid w:val="0079736C"/>
    <w:rsid w:val="007B5C07"/>
    <w:rsid w:val="007B6DE9"/>
    <w:rsid w:val="007C29E7"/>
    <w:rsid w:val="007D105F"/>
    <w:rsid w:val="007E1B4C"/>
    <w:rsid w:val="007E38E0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239F"/>
    <w:rsid w:val="00884D81"/>
    <w:rsid w:val="008975EF"/>
    <w:rsid w:val="008A0137"/>
    <w:rsid w:val="008A472F"/>
    <w:rsid w:val="008B286A"/>
    <w:rsid w:val="008B4A01"/>
    <w:rsid w:val="008C19BF"/>
    <w:rsid w:val="008D2FC7"/>
    <w:rsid w:val="008D76CA"/>
    <w:rsid w:val="008E77FC"/>
    <w:rsid w:val="008E7FB2"/>
    <w:rsid w:val="009006D5"/>
    <w:rsid w:val="009203E3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6157"/>
    <w:rsid w:val="009C4077"/>
    <w:rsid w:val="009C6A71"/>
    <w:rsid w:val="009E2C62"/>
    <w:rsid w:val="009E34F2"/>
    <w:rsid w:val="009F13E4"/>
    <w:rsid w:val="009F23A2"/>
    <w:rsid w:val="00A05E34"/>
    <w:rsid w:val="00A13E2B"/>
    <w:rsid w:val="00A37B1E"/>
    <w:rsid w:val="00A451B8"/>
    <w:rsid w:val="00A53D80"/>
    <w:rsid w:val="00A63931"/>
    <w:rsid w:val="00A73790"/>
    <w:rsid w:val="00A76A12"/>
    <w:rsid w:val="00A777F0"/>
    <w:rsid w:val="00A91035"/>
    <w:rsid w:val="00A941EE"/>
    <w:rsid w:val="00AD22E7"/>
    <w:rsid w:val="00AD3CF3"/>
    <w:rsid w:val="00AD6DCA"/>
    <w:rsid w:val="00AE13DB"/>
    <w:rsid w:val="00AE3177"/>
    <w:rsid w:val="00AE5066"/>
    <w:rsid w:val="00B01318"/>
    <w:rsid w:val="00B07A94"/>
    <w:rsid w:val="00B1191C"/>
    <w:rsid w:val="00B23254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31812"/>
    <w:rsid w:val="00C5498A"/>
    <w:rsid w:val="00C80ADC"/>
    <w:rsid w:val="00C8340F"/>
    <w:rsid w:val="00C8464D"/>
    <w:rsid w:val="00C852B8"/>
    <w:rsid w:val="00CB7F06"/>
    <w:rsid w:val="00CC0B53"/>
    <w:rsid w:val="00CC1794"/>
    <w:rsid w:val="00CF1042"/>
    <w:rsid w:val="00CF4928"/>
    <w:rsid w:val="00D17336"/>
    <w:rsid w:val="00D35C91"/>
    <w:rsid w:val="00D3765F"/>
    <w:rsid w:val="00D4201C"/>
    <w:rsid w:val="00D61F9C"/>
    <w:rsid w:val="00D6726B"/>
    <w:rsid w:val="00D67D05"/>
    <w:rsid w:val="00D803C6"/>
    <w:rsid w:val="00D92162"/>
    <w:rsid w:val="00DF0978"/>
    <w:rsid w:val="00DF4776"/>
    <w:rsid w:val="00E005C9"/>
    <w:rsid w:val="00E01B15"/>
    <w:rsid w:val="00E1250F"/>
    <w:rsid w:val="00E26CF8"/>
    <w:rsid w:val="00E3016A"/>
    <w:rsid w:val="00E336AC"/>
    <w:rsid w:val="00E34118"/>
    <w:rsid w:val="00E43D41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5C7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EFA4-0045-486C-8BFF-16D1F0C2B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753</Words>
  <Characters>995</Characters>
  <Lines>8</Lines>
  <Paragraphs>2</Paragraphs>
  <TotalTime>19</TotalTime>
  <ScaleCrop>false</ScaleCrop>
  <LinksUpToDate>false</LinksUpToDate>
  <CharactersWithSpaces>1040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2020-02-18T14:31:00Z</dcterms:created>
  <dc:creator>cslau</dc:creator>
  <cp:lastModifiedBy>太极箫客</cp:lastModifiedBy>
  <cp:lastPrinted>2017-10-23T03:47:00Z</cp:lastPrinted>
  <dcterms:modified xsi:type="dcterms:W3CDTF">2025-08-14T06:23:37Z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B4CFFA86ED7141F4B91CA434AF88AE10_12</vt:lpwstr>
  </property>
</Properties>
</file>