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9AF87">
      <w:pPr>
        <w:tabs>
          <w:tab w:val="left" w:pos="709"/>
        </w:tabs>
        <w:spacing w:line="360" w:lineRule="auto"/>
        <w:jc w:val="center"/>
        <w:rPr>
          <w:rFonts w:ascii="Arial" w:hAnsi="Arial" w:cs="Arial"/>
          <w:sz w:val="22"/>
          <w:szCs w:val="22"/>
        </w:rPr>
      </w:pPr>
      <w:bookmarkStart w:id="3" w:name="_GoBack"/>
      <w:bookmarkEnd w:id="3"/>
      <w:bookmarkStart w:id="0" w:name="_Hlk489617946"/>
      <w:r>
        <w:rPr>
          <w:rFonts w:ascii="Arial" w:hAnsi="宋体" w:cs="Arial"/>
          <w:sz w:val="22"/>
          <w:szCs w:val="22"/>
        </w:rPr>
        <w:t>更改历史</w:t>
      </w:r>
      <w:bookmarkEnd w:id="0"/>
    </w:p>
    <w:tbl>
      <w:tblPr>
        <w:tblStyle w:val="9"/>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5"/>
        <w:gridCol w:w="3183"/>
        <w:gridCol w:w="1672"/>
        <w:gridCol w:w="2590"/>
      </w:tblGrid>
      <w:tr w14:paraId="21A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7" w:type="dxa"/>
            <w:shd w:val="clear" w:color="auto" w:fill="auto"/>
          </w:tcPr>
          <w:p w14:paraId="612EA1BD">
            <w:pPr>
              <w:spacing w:line="360" w:lineRule="auto"/>
              <w:rPr>
                <w:rFonts w:ascii="Arial" w:hAnsi="Arial" w:cs="Arial"/>
                <w:szCs w:val="22"/>
              </w:rPr>
            </w:pPr>
            <w:bookmarkStart w:id="1" w:name="_Hlk489617917"/>
            <w:r>
              <w:rPr>
                <w:rFonts w:ascii="Arial" w:hAnsi="宋体" w:cs="Arial"/>
                <w:sz w:val="22"/>
                <w:szCs w:val="22"/>
              </w:rPr>
              <w:t>版本号</w:t>
            </w:r>
          </w:p>
        </w:tc>
        <w:tc>
          <w:tcPr>
            <w:tcW w:w="1575" w:type="dxa"/>
            <w:shd w:val="clear" w:color="auto" w:fill="auto"/>
          </w:tcPr>
          <w:p w14:paraId="3F1CA2BA">
            <w:pPr>
              <w:spacing w:line="360" w:lineRule="auto"/>
              <w:rPr>
                <w:rFonts w:ascii="Arial" w:hAnsi="Arial" w:cs="Arial"/>
                <w:szCs w:val="22"/>
              </w:rPr>
            </w:pPr>
            <w:r>
              <w:rPr>
                <w:rFonts w:ascii="Arial" w:hAnsi="宋体" w:cs="Arial"/>
                <w:sz w:val="22"/>
                <w:szCs w:val="22"/>
              </w:rPr>
              <w:t>文件更改号</w:t>
            </w:r>
          </w:p>
        </w:tc>
        <w:tc>
          <w:tcPr>
            <w:tcW w:w="3183" w:type="dxa"/>
            <w:shd w:val="clear" w:color="auto" w:fill="auto"/>
          </w:tcPr>
          <w:p w14:paraId="74C97C4D">
            <w:pPr>
              <w:spacing w:line="360" w:lineRule="auto"/>
              <w:rPr>
                <w:rFonts w:ascii="Arial" w:hAnsi="Arial" w:cs="Arial"/>
                <w:szCs w:val="22"/>
              </w:rPr>
            </w:pPr>
            <w:r>
              <w:rPr>
                <w:rFonts w:ascii="Arial" w:hAnsi="宋体" w:cs="Arial"/>
                <w:sz w:val="22"/>
                <w:szCs w:val="22"/>
              </w:rPr>
              <w:t>更改概要</w:t>
            </w:r>
          </w:p>
        </w:tc>
        <w:tc>
          <w:tcPr>
            <w:tcW w:w="1672" w:type="dxa"/>
          </w:tcPr>
          <w:p w14:paraId="0939969E">
            <w:pPr>
              <w:spacing w:line="360" w:lineRule="auto"/>
              <w:rPr>
                <w:rFonts w:ascii="Arial" w:hAnsi="Arial" w:cs="Arial"/>
                <w:szCs w:val="22"/>
              </w:rPr>
            </w:pPr>
            <w:r>
              <w:rPr>
                <w:rFonts w:ascii="Arial" w:hAnsi="宋体" w:cs="Arial"/>
                <w:sz w:val="22"/>
                <w:szCs w:val="22"/>
              </w:rPr>
              <w:t>修改人</w:t>
            </w:r>
          </w:p>
        </w:tc>
        <w:tc>
          <w:tcPr>
            <w:tcW w:w="2590" w:type="dxa"/>
          </w:tcPr>
          <w:p w14:paraId="29B17B2A">
            <w:pPr>
              <w:spacing w:line="360" w:lineRule="auto"/>
              <w:rPr>
                <w:rFonts w:ascii="Arial" w:hAnsi="Arial" w:cs="Arial"/>
                <w:szCs w:val="22"/>
              </w:rPr>
            </w:pPr>
            <w:r>
              <w:rPr>
                <w:rFonts w:ascii="Arial" w:hAnsi="宋体" w:cs="Arial"/>
                <w:sz w:val="22"/>
                <w:szCs w:val="22"/>
              </w:rPr>
              <w:t>批准人</w:t>
            </w:r>
          </w:p>
        </w:tc>
      </w:tr>
      <w:tr w14:paraId="5A9E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7" w:type="dxa"/>
            <w:shd w:val="clear" w:color="auto" w:fill="auto"/>
          </w:tcPr>
          <w:p w14:paraId="2232A4E8">
            <w:pPr>
              <w:spacing w:line="360" w:lineRule="auto"/>
              <w:rPr>
                <w:rFonts w:ascii="Arial" w:hAnsi="Arial" w:cs="Arial"/>
                <w:szCs w:val="22"/>
              </w:rPr>
            </w:pPr>
            <w:r>
              <w:rPr>
                <w:rFonts w:ascii="Arial" w:hAnsi="Arial" w:cs="Arial"/>
                <w:sz w:val="22"/>
                <w:szCs w:val="22"/>
              </w:rPr>
              <w:t>01</w:t>
            </w:r>
          </w:p>
        </w:tc>
        <w:tc>
          <w:tcPr>
            <w:tcW w:w="1575" w:type="dxa"/>
            <w:shd w:val="clear" w:color="auto" w:fill="auto"/>
          </w:tcPr>
          <w:p w14:paraId="0A98AB37">
            <w:pPr>
              <w:spacing w:line="360" w:lineRule="auto"/>
              <w:rPr>
                <w:rFonts w:ascii="Arial" w:hAnsi="Arial" w:cs="Arial"/>
                <w:szCs w:val="22"/>
              </w:rPr>
            </w:pPr>
            <w:r>
              <w:rPr>
                <w:rFonts w:ascii="Arial" w:hAnsi="宋体" w:cs="Arial"/>
                <w:sz w:val="22"/>
                <w:szCs w:val="22"/>
              </w:rPr>
              <w:t>首发行</w:t>
            </w:r>
          </w:p>
        </w:tc>
        <w:tc>
          <w:tcPr>
            <w:tcW w:w="3183" w:type="dxa"/>
            <w:shd w:val="clear" w:color="auto" w:fill="auto"/>
          </w:tcPr>
          <w:p w14:paraId="0CE7704D">
            <w:pPr>
              <w:spacing w:line="360" w:lineRule="auto"/>
              <w:rPr>
                <w:rFonts w:ascii="Arial" w:hAnsi="Arial" w:cs="Arial"/>
                <w:szCs w:val="22"/>
              </w:rPr>
            </w:pPr>
            <w:r>
              <w:rPr>
                <w:rFonts w:ascii="Arial" w:hAnsi="Arial" w:cs="Arial"/>
                <w:sz w:val="22"/>
                <w:szCs w:val="22"/>
              </w:rPr>
              <w:t>/</w:t>
            </w:r>
          </w:p>
        </w:tc>
        <w:tc>
          <w:tcPr>
            <w:tcW w:w="1672" w:type="dxa"/>
          </w:tcPr>
          <w:p w14:paraId="34EEF0F5">
            <w:pPr>
              <w:spacing w:line="360" w:lineRule="auto"/>
              <w:rPr>
                <w:rFonts w:ascii="Arial" w:hAnsi="Arial" w:cs="Arial"/>
                <w:szCs w:val="22"/>
              </w:rPr>
            </w:pPr>
            <w:r>
              <w:rPr>
                <w:rFonts w:ascii="Arial" w:hAnsi="Arial" w:cs="Arial"/>
                <w:szCs w:val="22"/>
              </w:rPr>
              <w:t>/</w:t>
            </w:r>
          </w:p>
        </w:tc>
        <w:tc>
          <w:tcPr>
            <w:tcW w:w="2590" w:type="dxa"/>
          </w:tcPr>
          <w:p w14:paraId="68F5ED6D">
            <w:pPr>
              <w:spacing w:line="360" w:lineRule="auto"/>
              <w:rPr>
                <w:rFonts w:ascii="Arial" w:hAnsi="Arial" w:cs="Arial"/>
                <w:szCs w:val="22"/>
              </w:rPr>
            </w:pPr>
            <w:r>
              <w:rPr>
                <w:rFonts w:ascii="Arial" w:hAnsi="Arial" w:cs="Arial"/>
                <w:szCs w:val="22"/>
              </w:rPr>
              <w:t>/</w:t>
            </w:r>
          </w:p>
        </w:tc>
      </w:tr>
      <w:tr w14:paraId="0100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74F23CB5">
            <w:pPr>
              <w:spacing w:line="360" w:lineRule="auto"/>
              <w:rPr>
                <w:rFonts w:ascii="Arial" w:hAnsi="Arial" w:cs="Arial"/>
                <w:szCs w:val="22"/>
              </w:rPr>
            </w:pPr>
          </w:p>
        </w:tc>
        <w:tc>
          <w:tcPr>
            <w:tcW w:w="1575" w:type="dxa"/>
            <w:shd w:val="clear" w:color="auto" w:fill="auto"/>
          </w:tcPr>
          <w:p w14:paraId="76E863C8">
            <w:pPr>
              <w:spacing w:line="360" w:lineRule="auto"/>
              <w:rPr>
                <w:rFonts w:ascii="Arial" w:hAnsi="Arial" w:cs="Arial"/>
                <w:szCs w:val="22"/>
              </w:rPr>
            </w:pPr>
          </w:p>
        </w:tc>
        <w:tc>
          <w:tcPr>
            <w:tcW w:w="3183" w:type="dxa"/>
            <w:shd w:val="clear" w:color="auto" w:fill="auto"/>
          </w:tcPr>
          <w:p w14:paraId="3AD9FF87">
            <w:pPr>
              <w:spacing w:line="360" w:lineRule="auto"/>
              <w:rPr>
                <w:rFonts w:ascii="Arial" w:hAnsi="Arial" w:cs="Arial"/>
                <w:szCs w:val="22"/>
              </w:rPr>
            </w:pPr>
          </w:p>
        </w:tc>
        <w:tc>
          <w:tcPr>
            <w:tcW w:w="1672" w:type="dxa"/>
          </w:tcPr>
          <w:p w14:paraId="7828AAD9">
            <w:pPr>
              <w:spacing w:line="360" w:lineRule="auto"/>
              <w:rPr>
                <w:rFonts w:ascii="Arial" w:hAnsi="Arial" w:cs="Arial"/>
                <w:szCs w:val="22"/>
              </w:rPr>
            </w:pPr>
          </w:p>
        </w:tc>
        <w:tc>
          <w:tcPr>
            <w:tcW w:w="2590" w:type="dxa"/>
          </w:tcPr>
          <w:p w14:paraId="51440871">
            <w:pPr>
              <w:spacing w:line="360" w:lineRule="auto"/>
              <w:rPr>
                <w:rFonts w:ascii="Arial" w:hAnsi="Arial" w:cs="Arial"/>
                <w:szCs w:val="22"/>
              </w:rPr>
            </w:pPr>
          </w:p>
        </w:tc>
      </w:tr>
      <w:tr w14:paraId="15B2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0802A529">
            <w:pPr>
              <w:spacing w:line="360" w:lineRule="auto"/>
              <w:rPr>
                <w:rFonts w:ascii="Arial" w:hAnsi="Arial" w:cs="Arial"/>
                <w:szCs w:val="22"/>
              </w:rPr>
            </w:pPr>
          </w:p>
        </w:tc>
        <w:tc>
          <w:tcPr>
            <w:tcW w:w="1575" w:type="dxa"/>
            <w:shd w:val="clear" w:color="auto" w:fill="auto"/>
          </w:tcPr>
          <w:p w14:paraId="4C8A977A">
            <w:pPr>
              <w:spacing w:line="360" w:lineRule="auto"/>
              <w:rPr>
                <w:rFonts w:ascii="Arial" w:hAnsi="Arial" w:cs="Arial"/>
                <w:szCs w:val="22"/>
              </w:rPr>
            </w:pPr>
          </w:p>
        </w:tc>
        <w:tc>
          <w:tcPr>
            <w:tcW w:w="3183" w:type="dxa"/>
            <w:shd w:val="clear" w:color="auto" w:fill="auto"/>
          </w:tcPr>
          <w:p w14:paraId="4A16F0BA">
            <w:pPr>
              <w:spacing w:line="360" w:lineRule="auto"/>
              <w:rPr>
                <w:rFonts w:ascii="Arial" w:hAnsi="Arial" w:cs="Arial"/>
                <w:szCs w:val="22"/>
              </w:rPr>
            </w:pPr>
          </w:p>
        </w:tc>
        <w:tc>
          <w:tcPr>
            <w:tcW w:w="1672" w:type="dxa"/>
          </w:tcPr>
          <w:p w14:paraId="3C2E2759">
            <w:pPr>
              <w:spacing w:line="360" w:lineRule="auto"/>
              <w:rPr>
                <w:rFonts w:ascii="Arial" w:hAnsi="Arial" w:cs="Arial"/>
                <w:szCs w:val="22"/>
              </w:rPr>
            </w:pPr>
          </w:p>
        </w:tc>
        <w:tc>
          <w:tcPr>
            <w:tcW w:w="2590" w:type="dxa"/>
          </w:tcPr>
          <w:p w14:paraId="1188C344">
            <w:pPr>
              <w:spacing w:line="360" w:lineRule="auto"/>
              <w:rPr>
                <w:rFonts w:ascii="Arial" w:hAnsi="Arial" w:cs="Arial"/>
                <w:szCs w:val="22"/>
              </w:rPr>
            </w:pPr>
          </w:p>
        </w:tc>
      </w:tr>
      <w:tr w14:paraId="6F3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B2F7355">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D7B84CA">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C4DBA0C">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7CB5614">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7E0F5D3">
            <w:pPr>
              <w:spacing w:line="360" w:lineRule="auto"/>
              <w:rPr>
                <w:rFonts w:ascii="Arial" w:hAnsi="Arial" w:cs="Arial"/>
                <w:szCs w:val="22"/>
              </w:rPr>
            </w:pPr>
          </w:p>
        </w:tc>
      </w:tr>
      <w:tr w14:paraId="23A9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645028E">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307840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790283B">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2C824D1">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606EB57">
            <w:pPr>
              <w:spacing w:line="360" w:lineRule="auto"/>
              <w:rPr>
                <w:rFonts w:ascii="Arial" w:hAnsi="Arial" w:cs="Arial"/>
                <w:szCs w:val="22"/>
              </w:rPr>
            </w:pPr>
          </w:p>
        </w:tc>
      </w:tr>
      <w:tr w14:paraId="69A3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CB24D3C">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1AB3BAA">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0A2C9C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1D0F18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6F98D55">
            <w:pPr>
              <w:spacing w:line="360" w:lineRule="auto"/>
              <w:rPr>
                <w:rFonts w:ascii="Arial" w:hAnsi="Arial" w:cs="Arial"/>
                <w:szCs w:val="22"/>
              </w:rPr>
            </w:pPr>
          </w:p>
        </w:tc>
      </w:tr>
      <w:tr w14:paraId="3208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AB550B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0E08A0F">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53C3C7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152E40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0C96E1D">
            <w:pPr>
              <w:spacing w:line="360" w:lineRule="auto"/>
              <w:rPr>
                <w:rFonts w:ascii="Arial" w:hAnsi="Arial" w:cs="Arial"/>
                <w:szCs w:val="22"/>
              </w:rPr>
            </w:pPr>
          </w:p>
        </w:tc>
      </w:tr>
      <w:tr w14:paraId="5BA4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F16B04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6F4D58E">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690B39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0CDA01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9F42A98">
            <w:pPr>
              <w:spacing w:line="360" w:lineRule="auto"/>
              <w:rPr>
                <w:rFonts w:ascii="Arial" w:hAnsi="Arial" w:cs="Arial"/>
                <w:szCs w:val="22"/>
              </w:rPr>
            </w:pPr>
          </w:p>
        </w:tc>
      </w:tr>
      <w:tr w14:paraId="041B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C3889B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6C4DF1B">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B23D63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CE6EAF4">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9E4F6E7">
            <w:pPr>
              <w:spacing w:line="360" w:lineRule="auto"/>
              <w:rPr>
                <w:rFonts w:ascii="Arial" w:hAnsi="Arial" w:cs="Arial"/>
                <w:szCs w:val="22"/>
              </w:rPr>
            </w:pPr>
          </w:p>
        </w:tc>
      </w:tr>
      <w:tr w14:paraId="24C4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E2C8101">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2F1F1F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1B3F04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1DE03A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DD0092A">
            <w:pPr>
              <w:spacing w:line="360" w:lineRule="auto"/>
              <w:rPr>
                <w:rFonts w:ascii="Arial" w:hAnsi="Arial" w:cs="Arial"/>
                <w:szCs w:val="22"/>
              </w:rPr>
            </w:pPr>
          </w:p>
        </w:tc>
      </w:tr>
      <w:tr w14:paraId="426A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455300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056E95F">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AB199F5">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57C091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1529671">
            <w:pPr>
              <w:spacing w:line="360" w:lineRule="auto"/>
              <w:rPr>
                <w:rFonts w:ascii="Arial" w:hAnsi="Arial" w:cs="Arial"/>
                <w:szCs w:val="22"/>
              </w:rPr>
            </w:pPr>
          </w:p>
        </w:tc>
      </w:tr>
      <w:tr w14:paraId="1657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284DA94">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BBF5D0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B08D886">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44A7805">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0A09099">
            <w:pPr>
              <w:spacing w:line="360" w:lineRule="auto"/>
              <w:rPr>
                <w:rFonts w:ascii="Arial" w:hAnsi="Arial" w:cs="Arial"/>
                <w:szCs w:val="22"/>
              </w:rPr>
            </w:pPr>
          </w:p>
        </w:tc>
      </w:tr>
      <w:tr w14:paraId="60AC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9701948">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36A62E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031FE73">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69F04DC">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6E563A0">
            <w:pPr>
              <w:spacing w:line="360" w:lineRule="auto"/>
              <w:rPr>
                <w:rFonts w:ascii="Arial" w:hAnsi="Arial" w:cs="Arial"/>
                <w:szCs w:val="22"/>
              </w:rPr>
            </w:pPr>
          </w:p>
        </w:tc>
      </w:tr>
      <w:tr w14:paraId="5979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474A69A">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FD864D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4474D6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BDE7BB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FB2192D">
            <w:pPr>
              <w:spacing w:line="360" w:lineRule="auto"/>
              <w:rPr>
                <w:rFonts w:ascii="Arial" w:hAnsi="Arial" w:cs="Arial"/>
                <w:szCs w:val="22"/>
              </w:rPr>
            </w:pPr>
          </w:p>
        </w:tc>
      </w:tr>
      <w:tr w14:paraId="04F1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1042A0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AAE9D3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6EA2A1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D5A868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2AE62A0">
            <w:pPr>
              <w:spacing w:line="360" w:lineRule="auto"/>
              <w:rPr>
                <w:rFonts w:ascii="Arial" w:hAnsi="Arial" w:cs="Arial"/>
                <w:szCs w:val="22"/>
              </w:rPr>
            </w:pPr>
          </w:p>
        </w:tc>
      </w:tr>
      <w:tr w14:paraId="5A8E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89F2391">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87ED764">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D0DDDA7">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E954EE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51D10AE">
            <w:pPr>
              <w:spacing w:line="360" w:lineRule="auto"/>
              <w:rPr>
                <w:rFonts w:ascii="Arial" w:hAnsi="Arial" w:cs="Arial"/>
                <w:szCs w:val="22"/>
              </w:rPr>
            </w:pPr>
          </w:p>
        </w:tc>
      </w:tr>
      <w:tr w14:paraId="6548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4EA70F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89B325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BB8948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C3554A1">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E83CC11">
            <w:pPr>
              <w:spacing w:line="360" w:lineRule="auto"/>
              <w:rPr>
                <w:rFonts w:ascii="Arial" w:hAnsi="Arial" w:cs="Arial"/>
                <w:szCs w:val="22"/>
              </w:rPr>
            </w:pPr>
          </w:p>
        </w:tc>
      </w:tr>
      <w:tr w14:paraId="31D2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4BC11F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1C93853">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401CA4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235B1F3">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473CC2BE">
            <w:pPr>
              <w:spacing w:line="360" w:lineRule="auto"/>
              <w:rPr>
                <w:rFonts w:ascii="Arial" w:hAnsi="Arial" w:cs="Arial"/>
                <w:szCs w:val="22"/>
              </w:rPr>
            </w:pPr>
          </w:p>
        </w:tc>
      </w:tr>
      <w:tr w14:paraId="19A7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69FD062">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36C054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166AB8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40B6DA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8FD947F">
            <w:pPr>
              <w:spacing w:line="360" w:lineRule="auto"/>
              <w:rPr>
                <w:rFonts w:ascii="Arial" w:hAnsi="Arial" w:cs="Arial"/>
                <w:szCs w:val="22"/>
              </w:rPr>
            </w:pPr>
          </w:p>
        </w:tc>
      </w:tr>
      <w:tr w14:paraId="5AC9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C35E28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0C1FB54">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6CD468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9650B5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D66BB91">
            <w:pPr>
              <w:spacing w:line="360" w:lineRule="auto"/>
              <w:rPr>
                <w:rFonts w:ascii="Arial" w:hAnsi="Arial" w:cs="Arial"/>
                <w:szCs w:val="22"/>
              </w:rPr>
            </w:pPr>
          </w:p>
        </w:tc>
      </w:tr>
      <w:tr w14:paraId="413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07A68CC">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368A54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28A159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08790F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EEB85C1">
            <w:pPr>
              <w:spacing w:line="360" w:lineRule="auto"/>
              <w:rPr>
                <w:rFonts w:ascii="Arial" w:hAnsi="Arial" w:cs="Arial"/>
                <w:szCs w:val="22"/>
              </w:rPr>
            </w:pPr>
          </w:p>
        </w:tc>
      </w:tr>
      <w:tr w14:paraId="1660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75ACEFAD">
            <w:pPr>
              <w:jc w:val="center"/>
              <w:rPr>
                <w:rFonts w:ascii="Arial" w:hAnsi="Arial" w:cs="Arial"/>
                <w:szCs w:val="22"/>
              </w:rPr>
            </w:pPr>
            <w:r>
              <w:rPr>
                <w:rFonts w:ascii="Arial" w:hAnsi="宋体" w:cs="Arial"/>
                <w:sz w:val="22"/>
                <w:szCs w:val="22"/>
              </w:rPr>
              <w:t>发放范围</w:t>
            </w:r>
          </w:p>
        </w:tc>
        <w:tc>
          <w:tcPr>
            <w:tcW w:w="9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A1C7BB">
            <w:pPr>
              <w:jc w:val="left"/>
              <w:rPr>
                <w:rFonts w:ascii="Arial" w:hAnsi="Arial" w:cs="Arial"/>
                <w:szCs w:val="22"/>
              </w:rPr>
            </w:pPr>
          </w:p>
        </w:tc>
      </w:tr>
      <w:bookmarkEnd w:id="1"/>
    </w:tbl>
    <w:p w14:paraId="5132A5F3">
      <w:pPr>
        <w:spacing w:line="360" w:lineRule="auto"/>
        <w:rPr>
          <w:rFonts w:ascii="Arial" w:hAnsi="Arial" w:cs="Arial"/>
          <w:sz w:val="22"/>
          <w:szCs w:val="22"/>
        </w:rPr>
      </w:pPr>
    </w:p>
    <w:p w14:paraId="1A715E0A">
      <w:pPr>
        <w:spacing w:line="360" w:lineRule="auto"/>
        <w:rPr>
          <w:rFonts w:ascii="Arial" w:hAnsi="Arial" w:cs="Arial"/>
          <w:sz w:val="22"/>
          <w:szCs w:val="22"/>
        </w:rPr>
      </w:pPr>
    </w:p>
    <w:p w14:paraId="1F2F79C9">
      <w:pPr>
        <w:spacing w:line="360" w:lineRule="auto"/>
        <w:rPr>
          <w:rFonts w:ascii="Arial" w:hAnsi="Arial" w:cs="Arial"/>
          <w:sz w:val="22"/>
          <w:szCs w:val="22"/>
        </w:rPr>
      </w:pPr>
    </w:p>
    <w:p w14:paraId="0560244F">
      <w:pPr>
        <w:numPr>
          <w:ilvl w:val="0"/>
          <w:numId w:val="1"/>
        </w:numPr>
        <w:spacing w:line="360" w:lineRule="auto"/>
        <w:rPr>
          <w:rFonts w:ascii="黑体" w:hAnsi="宋体" w:eastAsia="黑体"/>
          <w:spacing w:val="20"/>
          <w:szCs w:val="21"/>
        </w:rPr>
      </w:pPr>
      <w:r>
        <w:rPr>
          <w:rFonts w:hint="eastAsia" w:ascii="黑体" w:hAnsi="宋体" w:eastAsia="黑体"/>
          <w:spacing w:val="20"/>
          <w:szCs w:val="21"/>
        </w:rPr>
        <w:t>目的</w:t>
      </w:r>
    </w:p>
    <w:p w14:paraId="7272900D">
      <w:pPr>
        <w:spacing w:after="120" w:afterLines="50"/>
        <w:ind w:left="425"/>
        <w:rPr>
          <w:rFonts w:ascii="黑体" w:hAnsi="宋体" w:eastAsia="黑体"/>
          <w:szCs w:val="21"/>
        </w:rPr>
      </w:pPr>
      <w:r>
        <w:rPr>
          <w:rFonts w:hint="eastAsia" w:ascii="黑体" w:hAnsi="宋体" w:eastAsia="黑体"/>
          <w:szCs w:val="21"/>
        </w:rPr>
        <w:t>对公司洁净车间的物料进出进行管理，避免在发料、配料特别是需要打开包装多次使用的情况下造成污染，确保成品质量，特制定本规程。</w:t>
      </w:r>
    </w:p>
    <w:p w14:paraId="68A737AF">
      <w:pPr>
        <w:numPr>
          <w:ilvl w:val="0"/>
          <w:numId w:val="1"/>
        </w:numPr>
        <w:spacing w:line="360" w:lineRule="auto"/>
        <w:rPr>
          <w:rFonts w:ascii="黑体" w:hAnsi="宋体" w:eastAsia="黑体"/>
          <w:spacing w:val="20"/>
          <w:szCs w:val="21"/>
        </w:rPr>
      </w:pPr>
      <w:r>
        <w:rPr>
          <w:rFonts w:hint="eastAsia" w:ascii="黑体" w:hAnsi="宋体" w:eastAsia="黑体"/>
          <w:spacing w:val="20"/>
          <w:szCs w:val="21"/>
        </w:rPr>
        <w:t>范围</w:t>
      </w:r>
    </w:p>
    <w:p w14:paraId="0116B077">
      <w:pPr>
        <w:spacing w:after="120" w:afterLines="50"/>
        <w:ind w:left="425"/>
        <w:rPr>
          <w:rFonts w:ascii="黑体" w:hAnsi="宋体" w:eastAsia="黑体"/>
          <w:szCs w:val="21"/>
        </w:rPr>
      </w:pPr>
      <w:r>
        <w:rPr>
          <w:rFonts w:hint="eastAsia" w:ascii="黑体" w:hAnsi="宋体" w:eastAsia="黑体"/>
          <w:szCs w:val="21"/>
        </w:rPr>
        <w:t>本制度适用于公司洁净车间物料进出管理。</w:t>
      </w:r>
    </w:p>
    <w:p w14:paraId="16CF1602">
      <w:pPr>
        <w:numPr>
          <w:ilvl w:val="0"/>
          <w:numId w:val="1"/>
        </w:numPr>
        <w:spacing w:line="360" w:lineRule="auto"/>
        <w:rPr>
          <w:rFonts w:ascii="黑体" w:hAnsi="宋体" w:eastAsia="黑体"/>
          <w:spacing w:val="20"/>
          <w:szCs w:val="21"/>
        </w:rPr>
      </w:pPr>
      <w:r>
        <w:rPr>
          <w:rFonts w:hint="eastAsia" w:ascii="黑体" w:hAnsi="宋体" w:eastAsia="黑体"/>
          <w:spacing w:val="20"/>
          <w:szCs w:val="21"/>
        </w:rPr>
        <w:t>责任人</w:t>
      </w:r>
    </w:p>
    <w:p w14:paraId="58FAB53D">
      <w:pPr>
        <w:spacing w:after="120" w:afterLines="50"/>
        <w:ind w:left="425"/>
        <w:rPr>
          <w:rFonts w:ascii="黑体" w:hAnsi="宋体" w:eastAsia="黑体"/>
          <w:szCs w:val="21"/>
        </w:rPr>
      </w:pPr>
      <w:r>
        <w:rPr>
          <w:rFonts w:hint="eastAsia" w:ascii="黑体" w:hAnsi="宋体" w:eastAsia="黑体"/>
          <w:szCs w:val="21"/>
        </w:rPr>
        <w:t>生产技术部工作人员、质管部工作人员。</w:t>
      </w:r>
    </w:p>
    <w:p w14:paraId="24568AC0">
      <w:pPr>
        <w:numPr>
          <w:ilvl w:val="0"/>
          <w:numId w:val="1"/>
        </w:numPr>
        <w:spacing w:line="360" w:lineRule="auto"/>
        <w:rPr>
          <w:rFonts w:ascii="黑体" w:hAnsi="宋体" w:eastAsia="黑体"/>
          <w:spacing w:val="20"/>
          <w:szCs w:val="21"/>
        </w:rPr>
      </w:pPr>
      <w:r>
        <w:rPr>
          <w:rFonts w:hint="eastAsia" w:ascii="黑体" w:hAnsi="宋体" w:eastAsia="黑体"/>
          <w:spacing w:val="20"/>
          <w:szCs w:val="21"/>
        </w:rPr>
        <w:t>内容</w:t>
      </w:r>
    </w:p>
    <w:p w14:paraId="0667FC50">
      <w:pPr>
        <w:numPr>
          <w:ilvl w:val="1"/>
          <w:numId w:val="1"/>
        </w:numPr>
        <w:spacing w:after="120" w:afterLines="50"/>
        <w:rPr>
          <w:rFonts w:ascii="黑体" w:hAnsi="宋体" w:eastAsia="黑体"/>
          <w:szCs w:val="21"/>
        </w:rPr>
      </w:pPr>
      <w:r>
        <w:rPr>
          <w:rFonts w:hint="eastAsia" w:ascii="黑体" w:hAnsi="宋体" w:eastAsia="黑体"/>
          <w:szCs w:val="21"/>
        </w:rPr>
        <w:t xml:space="preserve">洁净车间物料的进出程序：  </w:t>
      </w:r>
    </w:p>
    <w:p w14:paraId="0B6CDA7E">
      <w:pPr>
        <w:numPr>
          <w:ilvl w:val="2"/>
          <w:numId w:val="1"/>
        </w:numPr>
        <w:spacing w:after="120" w:afterLines="50"/>
        <w:rPr>
          <w:rFonts w:ascii="黑体" w:hAnsi="宋体" w:eastAsia="黑体"/>
          <w:szCs w:val="21"/>
        </w:rPr>
      </w:pPr>
      <w:r>
        <w:rPr>
          <w:rFonts w:hint="eastAsia" w:ascii="黑体" w:hAnsi="宋体" w:eastAsia="黑体"/>
          <w:szCs w:val="21"/>
        </w:rPr>
        <w:t xml:space="preserve">进入洁净车间的物料应先在物料缓冲室将物料外包装除去后，进行表面清洁并消毒后送入传递窗，车间收料人在传递窗另一侧将物料取出并放置在相应贮存处或送入相关工序。  </w:t>
      </w:r>
    </w:p>
    <w:p w14:paraId="4B48530B">
      <w:pPr>
        <w:numPr>
          <w:ilvl w:val="2"/>
          <w:numId w:val="1"/>
        </w:numPr>
        <w:spacing w:after="120" w:afterLines="50"/>
        <w:rPr>
          <w:rFonts w:ascii="黑体" w:hAnsi="宋体" w:eastAsia="黑体"/>
          <w:szCs w:val="21"/>
        </w:rPr>
      </w:pPr>
      <w:r>
        <w:rPr>
          <w:rFonts w:hint="eastAsia" w:ascii="黑体" w:hAnsi="宋体" w:eastAsia="黑体"/>
          <w:szCs w:val="21"/>
        </w:rPr>
        <w:t xml:space="preserve">物料进入洁净车间经传递窗时，传递窗双侧门不能同时打开。  </w:t>
      </w:r>
    </w:p>
    <w:p w14:paraId="1B8041C7">
      <w:pPr>
        <w:numPr>
          <w:ilvl w:val="2"/>
          <w:numId w:val="1"/>
        </w:numPr>
        <w:spacing w:after="120" w:afterLines="50"/>
        <w:rPr>
          <w:rFonts w:ascii="黑体" w:hAnsi="宋体" w:eastAsia="黑体"/>
          <w:szCs w:val="21"/>
        </w:rPr>
      </w:pPr>
      <w:r>
        <w:rPr>
          <w:rFonts w:hint="eastAsia" w:ascii="黑体" w:hAnsi="宋体" w:eastAsia="黑体"/>
          <w:szCs w:val="21"/>
        </w:rPr>
        <w:t xml:space="preserve">生产过程中产生的废弃物，生产结束后由传递窗传出。  </w:t>
      </w:r>
    </w:p>
    <w:p w14:paraId="6C0BFC89">
      <w:pPr>
        <w:numPr>
          <w:ilvl w:val="2"/>
          <w:numId w:val="1"/>
        </w:numPr>
        <w:spacing w:after="120" w:afterLines="50"/>
        <w:rPr>
          <w:rFonts w:ascii="黑体" w:hAnsi="宋体" w:eastAsia="黑体"/>
          <w:szCs w:val="21"/>
        </w:rPr>
      </w:pPr>
      <w:r>
        <w:rPr>
          <w:rFonts w:hint="eastAsia" w:ascii="黑体" w:hAnsi="宋体" w:eastAsia="黑体"/>
          <w:szCs w:val="21"/>
        </w:rPr>
        <w:t xml:space="preserve">进入洁净车间，剩余的物料运出车间时，应先将物料运送至传递窗，按物料进入的逆向程序移至洁净车间外。  </w:t>
      </w:r>
    </w:p>
    <w:p w14:paraId="1844934D">
      <w:pPr>
        <w:numPr>
          <w:ilvl w:val="2"/>
          <w:numId w:val="1"/>
        </w:numPr>
        <w:spacing w:after="120" w:afterLines="50"/>
        <w:rPr>
          <w:rFonts w:ascii="黑体" w:hAnsi="宋体" w:eastAsia="黑体"/>
          <w:szCs w:val="21"/>
        </w:rPr>
      </w:pPr>
      <w:r>
        <w:rPr>
          <w:rFonts w:hint="eastAsia" w:ascii="黑体" w:hAnsi="宋体" w:eastAsia="黑体"/>
          <w:szCs w:val="21"/>
        </w:rPr>
        <w:t xml:space="preserve">物料进出结束后，应及时清理现场，关闭传递窗内外通道门，做好清洁消毒工作。  </w:t>
      </w:r>
    </w:p>
    <w:p w14:paraId="5CE251E4">
      <w:pPr>
        <w:numPr>
          <w:ilvl w:val="1"/>
          <w:numId w:val="1"/>
        </w:numPr>
        <w:spacing w:after="120" w:afterLines="50"/>
        <w:rPr>
          <w:rFonts w:ascii="黑体" w:hAnsi="宋体" w:eastAsia="黑体"/>
          <w:szCs w:val="21"/>
        </w:rPr>
      </w:pPr>
      <w:r>
        <w:rPr>
          <w:rFonts w:hint="eastAsia" w:ascii="黑体" w:hAnsi="宋体" w:eastAsia="黑体"/>
          <w:szCs w:val="21"/>
        </w:rPr>
        <w:t xml:space="preserve">洁净车间物料的使用和净化    </w:t>
      </w:r>
    </w:p>
    <w:p w14:paraId="2E64B6A6">
      <w:pPr>
        <w:numPr>
          <w:ilvl w:val="2"/>
          <w:numId w:val="1"/>
        </w:numPr>
        <w:spacing w:after="120" w:afterLines="50"/>
        <w:rPr>
          <w:rFonts w:ascii="黑体" w:hAnsi="宋体" w:eastAsia="黑体"/>
          <w:szCs w:val="21"/>
        </w:rPr>
      </w:pPr>
      <w:r>
        <w:rPr>
          <w:rFonts w:hint="eastAsia" w:ascii="黑体" w:hAnsi="宋体" w:eastAsia="黑体"/>
          <w:szCs w:val="21"/>
        </w:rPr>
        <w:t>洁净车间存放的主要原辅料，</w:t>
      </w:r>
      <w:r>
        <w:rPr>
          <w:rFonts w:hint="eastAsia" w:ascii="黑体" w:hAnsi="宋体" w:eastAsia="黑体"/>
          <w:szCs w:val="21"/>
          <w:highlight w:val="yellow"/>
        </w:rPr>
        <w:t>包括容器和外包装材料不得超过两天的使用量</w:t>
      </w:r>
      <w:r>
        <w:rPr>
          <w:rFonts w:hint="eastAsia" w:ascii="黑体" w:hAnsi="宋体" w:eastAsia="黑体"/>
          <w:szCs w:val="21"/>
        </w:rPr>
        <w:t xml:space="preserve">。  </w:t>
      </w:r>
    </w:p>
    <w:p w14:paraId="5FD955AE">
      <w:pPr>
        <w:numPr>
          <w:ilvl w:val="2"/>
          <w:numId w:val="1"/>
        </w:numPr>
        <w:spacing w:after="120" w:afterLines="50"/>
        <w:rPr>
          <w:rFonts w:ascii="黑体" w:hAnsi="宋体" w:eastAsia="黑体"/>
          <w:szCs w:val="21"/>
        </w:rPr>
      </w:pPr>
      <w:r>
        <w:rPr>
          <w:rFonts w:hint="eastAsia" w:ascii="黑体" w:hAnsi="宋体" w:eastAsia="黑体"/>
          <w:szCs w:val="21"/>
        </w:rPr>
        <w:t xml:space="preserve">剩余的散装原辅料应及时密封，由操作人员在容器上注明启封日期，再次启封使用时，应核对记录，同班组建立岗位物料结存记录，记录领用、消耗、结存情况。  </w:t>
      </w:r>
    </w:p>
    <w:p w14:paraId="2913DC91">
      <w:pPr>
        <w:numPr>
          <w:ilvl w:val="2"/>
          <w:numId w:val="1"/>
        </w:numPr>
        <w:spacing w:after="120" w:afterLines="50"/>
        <w:rPr>
          <w:rFonts w:ascii="黑体" w:hAnsi="宋体" w:eastAsia="黑体"/>
          <w:szCs w:val="21"/>
        </w:rPr>
      </w:pPr>
      <w:r>
        <w:rPr>
          <w:rFonts w:hint="eastAsia" w:ascii="黑体" w:hAnsi="宋体" w:eastAsia="黑体"/>
          <w:szCs w:val="21"/>
        </w:rPr>
        <w:t xml:space="preserve">每批号生产开始前，为了防止物料污染，应认真检查设备、器械、容器等是否洁净，不得有前次生产的遗留物，否则不能进行新的生产操作。  </w:t>
      </w:r>
    </w:p>
    <w:p w14:paraId="4DF106EF">
      <w:pPr>
        <w:numPr>
          <w:ilvl w:val="2"/>
          <w:numId w:val="1"/>
        </w:numPr>
        <w:spacing w:after="120" w:afterLines="50"/>
        <w:rPr>
          <w:rFonts w:ascii="黑体" w:hAnsi="宋体" w:eastAsia="黑体"/>
          <w:szCs w:val="21"/>
        </w:rPr>
      </w:pPr>
      <w:r>
        <w:rPr>
          <w:rFonts w:hint="eastAsia" w:ascii="黑体" w:hAnsi="宋体" w:eastAsia="黑体"/>
          <w:szCs w:val="21"/>
        </w:rPr>
        <w:t>为了确保内包装材料洁净程度，必要时用消毒剂消毒后，去掉外包装，进入洁净车间。</w:t>
      </w:r>
    </w:p>
    <w:p w14:paraId="54F0CE11">
      <w:pPr>
        <w:numPr>
          <w:ilvl w:val="0"/>
          <w:numId w:val="1"/>
        </w:numPr>
        <w:spacing w:line="360" w:lineRule="auto"/>
        <w:rPr>
          <w:rFonts w:ascii="黑体" w:eastAsia="黑体"/>
          <w:szCs w:val="21"/>
        </w:rPr>
      </w:pPr>
      <w:r>
        <w:rPr>
          <w:rFonts w:hint="eastAsia" w:ascii="黑体" w:eastAsia="黑体"/>
          <w:szCs w:val="21"/>
        </w:rPr>
        <w:t>记录</w:t>
      </w:r>
    </w:p>
    <w:p w14:paraId="52AF1FFE">
      <w:pPr>
        <w:spacing w:line="360" w:lineRule="auto"/>
        <w:rPr>
          <w:rFonts w:ascii="Arial" w:hAnsi="Arial" w:cs="Arial"/>
          <w:sz w:val="22"/>
          <w:szCs w:val="22"/>
        </w:rPr>
      </w:pPr>
      <w:r>
        <w:rPr>
          <w:rFonts w:hint="eastAsia" w:ascii="黑体" w:hAnsi="宋体" w:eastAsia="黑体"/>
          <w:szCs w:val="21"/>
        </w:rPr>
        <w:t>P</w:t>
      </w:r>
      <w:r>
        <w:rPr>
          <w:rFonts w:ascii="黑体" w:hAnsi="宋体" w:eastAsia="黑体"/>
          <w:szCs w:val="21"/>
        </w:rPr>
        <w:t>D-FM-022</w:t>
      </w:r>
      <w:r>
        <w:rPr>
          <w:rFonts w:hint="eastAsia" w:ascii="黑体" w:hAnsi="宋体" w:eastAsia="黑体"/>
          <w:szCs w:val="21"/>
        </w:rPr>
        <w:t>《洁净车间物料进出记录表》</w:t>
      </w:r>
    </w:p>
    <w:p w14:paraId="25519363">
      <w:pPr>
        <w:tabs>
          <w:tab w:val="left" w:pos="0"/>
          <w:tab w:val="left" w:pos="1418"/>
        </w:tabs>
        <w:spacing w:line="360" w:lineRule="auto"/>
        <w:ind w:left="1418"/>
        <w:rPr>
          <w:rFonts w:ascii="Arial" w:hAnsi="Arial" w:cs="Arial"/>
        </w:rPr>
      </w:pPr>
    </w:p>
    <w:p w14:paraId="4910F719">
      <w:pPr>
        <w:tabs>
          <w:tab w:val="left" w:pos="709"/>
        </w:tabs>
        <w:spacing w:line="360" w:lineRule="auto"/>
        <w:jc w:val="center"/>
        <w:rPr>
          <w:rFonts w:hint="eastAsia" w:eastAsia="等线"/>
          <w:lang w:eastAsia="zh-CN"/>
        </w:rPr>
      </w:pPr>
    </w:p>
    <w:p w14:paraId="7D73123C">
      <w:pPr>
        <w:tabs>
          <w:tab w:val="left" w:pos="709"/>
        </w:tabs>
        <w:spacing w:line="360" w:lineRule="auto"/>
        <w:jc w:val="center"/>
        <w:rPr>
          <w:rFonts w:hint="eastAsia" w:eastAsia="等线"/>
          <w:lang w:eastAsia="zh-CN"/>
        </w:rPr>
      </w:pPr>
    </w:p>
    <w:p w14:paraId="4D7C6DF7">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1F47D5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30D11E0C">
          <w:pPr>
            <w:tabs>
              <w:tab w:val="left" w:pos="709"/>
            </w:tabs>
            <w:rPr>
              <w:rFonts w:ascii="Cambria" w:hAnsi="Cambria"/>
              <w:sz w:val="20"/>
            </w:rPr>
          </w:pPr>
        </w:p>
      </w:tc>
    </w:tr>
  </w:tbl>
  <w:p w14:paraId="7BD76257">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469B2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429B6C9F">
          <w:pPr>
            <w:tabs>
              <w:tab w:val="left" w:pos="461"/>
            </w:tabs>
            <w:jc w:val="center"/>
            <w:rPr>
              <w:b/>
              <w:lang w:val="zh-CN"/>
            </w:rPr>
          </w:pPr>
        </w:p>
      </w:tc>
      <w:tc>
        <w:tcPr>
          <w:tcW w:w="5379" w:type="dxa"/>
          <w:vMerge w:val="restart"/>
          <w:tcBorders>
            <w:left w:val="single" w:color="auto" w:sz="4" w:space="0"/>
          </w:tcBorders>
          <w:vAlign w:val="center"/>
        </w:tcPr>
        <w:p w14:paraId="50BB5340">
          <w:pPr>
            <w:widowControl/>
            <w:tabs>
              <w:tab w:val="left" w:pos="1920"/>
            </w:tabs>
            <w:spacing w:line="460" w:lineRule="exact"/>
            <w:jc w:val="center"/>
            <w:rPr>
              <w:b/>
              <w:sz w:val="32"/>
              <w:szCs w:val="32"/>
            </w:rPr>
          </w:pPr>
          <w:r>
            <w:rPr>
              <w:rFonts w:hint="eastAsia"/>
              <w:b/>
              <w:sz w:val="32"/>
              <w:szCs w:val="32"/>
            </w:rPr>
            <w:t>清洁环境车间物料进出管理规程</w:t>
          </w:r>
        </w:p>
      </w:tc>
      <w:tc>
        <w:tcPr>
          <w:tcW w:w="1418" w:type="dxa"/>
          <w:vAlign w:val="center"/>
        </w:tcPr>
        <w:p w14:paraId="2ECEED63">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5DA13AFB">
          <w:pPr>
            <w:jc w:val="center"/>
            <w:rPr>
              <w:sz w:val="20"/>
            </w:rPr>
          </w:pPr>
          <w:r>
            <w:rPr>
              <w:sz w:val="20"/>
            </w:rPr>
            <w:t>PD-RG-0</w:t>
          </w:r>
          <w:r>
            <w:rPr>
              <w:rFonts w:hint="eastAsia"/>
              <w:sz w:val="20"/>
            </w:rPr>
            <w:t>0</w:t>
          </w:r>
          <w:r>
            <w:rPr>
              <w:sz w:val="20"/>
            </w:rPr>
            <w:t>7</w:t>
          </w:r>
        </w:p>
      </w:tc>
    </w:tr>
    <w:tr w14:paraId="1F0B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3E579B8B">
          <w:pPr>
            <w:jc w:val="center"/>
          </w:pPr>
        </w:p>
      </w:tc>
      <w:tc>
        <w:tcPr>
          <w:tcW w:w="5379" w:type="dxa"/>
          <w:vMerge w:val="continue"/>
          <w:tcBorders>
            <w:left w:val="single" w:color="auto" w:sz="4" w:space="0"/>
          </w:tcBorders>
          <w:vAlign w:val="center"/>
        </w:tcPr>
        <w:p w14:paraId="7BF14E5C">
          <w:pPr>
            <w:jc w:val="center"/>
          </w:pPr>
        </w:p>
      </w:tc>
      <w:tc>
        <w:tcPr>
          <w:tcW w:w="1418" w:type="dxa"/>
          <w:vAlign w:val="center"/>
        </w:tcPr>
        <w:p w14:paraId="38657834">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2139" w:type="dxa"/>
          <w:vAlign w:val="center"/>
        </w:tcPr>
        <w:p w14:paraId="401908C5">
          <w:pPr>
            <w:jc w:val="center"/>
            <w:rPr>
              <w:sz w:val="20"/>
            </w:rPr>
          </w:pPr>
          <w:r>
            <w:rPr>
              <w:sz w:val="20"/>
            </w:rPr>
            <w:t>01</w:t>
          </w:r>
        </w:p>
      </w:tc>
    </w:tr>
    <w:tr w14:paraId="10F0C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09019BF">
          <w:pPr>
            <w:jc w:val="center"/>
            <w:rPr>
              <w:b/>
              <w:sz w:val="32"/>
              <w:lang w:val="zh-CN"/>
            </w:rPr>
          </w:pPr>
        </w:p>
      </w:tc>
      <w:tc>
        <w:tcPr>
          <w:tcW w:w="5379" w:type="dxa"/>
          <w:vMerge w:val="continue"/>
          <w:tcBorders>
            <w:left w:val="single" w:color="auto" w:sz="4" w:space="0"/>
          </w:tcBorders>
          <w:vAlign w:val="center"/>
        </w:tcPr>
        <w:p w14:paraId="1196869F">
          <w:pPr>
            <w:jc w:val="center"/>
            <w:rPr>
              <w:b/>
              <w:sz w:val="32"/>
              <w:lang w:val="zh-CN"/>
            </w:rPr>
          </w:pPr>
        </w:p>
      </w:tc>
      <w:tc>
        <w:tcPr>
          <w:tcW w:w="1418" w:type="dxa"/>
          <w:vAlign w:val="center"/>
        </w:tcPr>
        <w:p w14:paraId="0C38E84E">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7A965518">
          <w:pPr>
            <w:jc w:val="cente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17F5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66F52905">
          <w:pPr>
            <w:jc w:val="center"/>
            <w:rPr>
              <w:b/>
            </w:rPr>
          </w:pPr>
        </w:p>
      </w:tc>
      <w:tc>
        <w:tcPr>
          <w:tcW w:w="5379" w:type="dxa"/>
          <w:vMerge w:val="continue"/>
          <w:tcBorders>
            <w:left w:val="single" w:color="auto" w:sz="4" w:space="0"/>
          </w:tcBorders>
          <w:vAlign w:val="center"/>
        </w:tcPr>
        <w:p w14:paraId="0916D1FD">
          <w:pPr>
            <w:jc w:val="center"/>
            <w:rPr>
              <w:b/>
            </w:rPr>
          </w:pPr>
        </w:p>
      </w:tc>
      <w:tc>
        <w:tcPr>
          <w:tcW w:w="1418" w:type="dxa"/>
          <w:vAlign w:val="center"/>
        </w:tcPr>
        <w:p w14:paraId="3A3FDE03">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681B4047">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bl>
  <w:p w14:paraId="52D2432F">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644D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2D63ABA4">
          <w:pPr>
            <w:jc w:val="center"/>
          </w:pPr>
          <w:bookmarkStart w:id="2" w:name="_Hlk489625929"/>
        </w:p>
      </w:tc>
      <w:tc>
        <w:tcPr>
          <w:tcW w:w="5377" w:type="dxa"/>
          <w:vMerge w:val="restart"/>
          <w:tcBorders>
            <w:left w:val="single" w:color="auto" w:sz="4" w:space="0"/>
          </w:tcBorders>
          <w:vAlign w:val="center"/>
        </w:tcPr>
        <w:p w14:paraId="7CA4027F">
          <w:pPr>
            <w:widowControl/>
            <w:tabs>
              <w:tab w:val="left" w:pos="1920"/>
            </w:tabs>
            <w:spacing w:line="460" w:lineRule="exact"/>
            <w:jc w:val="center"/>
            <w:rPr>
              <w:b/>
              <w:bCs/>
              <w:sz w:val="28"/>
              <w:szCs w:val="28"/>
            </w:rPr>
          </w:pPr>
          <w:r>
            <w:rPr>
              <w:rFonts w:hint="eastAsia"/>
              <w:b/>
              <w:bCs/>
              <w:sz w:val="28"/>
              <w:szCs w:val="28"/>
            </w:rPr>
            <w:t>洁净车间物料进出管理规程</w:t>
          </w:r>
        </w:p>
      </w:tc>
      <w:tc>
        <w:tcPr>
          <w:tcW w:w="1415" w:type="dxa"/>
          <w:vAlign w:val="center"/>
        </w:tcPr>
        <w:p w14:paraId="40058D8D">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7A7F17AD">
          <w:pPr>
            <w:jc w:val="center"/>
            <w:rPr>
              <w:sz w:val="20"/>
            </w:rPr>
          </w:pPr>
          <w:r>
            <w:rPr>
              <w:sz w:val="20"/>
            </w:rPr>
            <w:t>PD-RG-0</w:t>
          </w:r>
          <w:r>
            <w:rPr>
              <w:rFonts w:hint="eastAsia"/>
              <w:sz w:val="20"/>
            </w:rPr>
            <w:t>0</w:t>
          </w:r>
          <w:r>
            <w:rPr>
              <w:sz w:val="20"/>
            </w:rPr>
            <w:t>7</w:t>
          </w:r>
        </w:p>
      </w:tc>
    </w:tr>
    <w:tr w14:paraId="5A0E6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67584219">
          <w:pPr>
            <w:jc w:val="center"/>
            <w:rPr>
              <w:b/>
            </w:rPr>
          </w:pPr>
        </w:p>
      </w:tc>
      <w:tc>
        <w:tcPr>
          <w:tcW w:w="5377" w:type="dxa"/>
          <w:vMerge w:val="continue"/>
          <w:tcBorders>
            <w:left w:val="single" w:color="auto" w:sz="4" w:space="0"/>
          </w:tcBorders>
          <w:vAlign w:val="center"/>
        </w:tcPr>
        <w:p w14:paraId="56D84290">
          <w:pPr>
            <w:jc w:val="center"/>
            <w:rPr>
              <w:b/>
            </w:rPr>
          </w:pPr>
        </w:p>
      </w:tc>
      <w:tc>
        <w:tcPr>
          <w:tcW w:w="1415" w:type="dxa"/>
          <w:vAlign w:val="center"/>
        </w:tcPr>
        <w:p w14:paraId="64050499">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555" w:type="dxa"/>
          <w:vAlign w:val="center"/>
        </w:tcPr>
        <w:p w14:paraId="0C021C8B">
          <w:pPr>
            <w:jc w:val="center"/>
            <w:rPr>
              <w:sz w:val="20"/>
            </w:rPr>
          </w:pPr>
          <w:r>
            <w:rPr>
              <w:sz w:val="20"/>
            </w:rPr>
            <w:t>01</w:t>
          </w:r>
        </w:p>
      </w:tc>
      <w:tc>
        <w:tcPr>
          <w:tcW w:w="1170" w:type="dxa"/>
          <w:vAlign w:val="center"/>
        </w:tcPr>
        <w:p w14:paraId="4C532152">
          <w:pPr>
            <w:jc w:val="center"/>
            <w:rPr>
              <w:rFonts w:ascii="宋体" w:hAnsi="宋体"/>
            </w:rPr>
          </w:pPr>
          <w:r>
            <w:rPr>
              <w:rFonts w:hint="eastAsia" w:ascii="宋体" w:hAnsi="宋体"/>
              <w:sz w:val="22"/>
            </w:rPr>
            <w:t>修改次数</w:t>
          </w:r>
        </w:p>
      </w:tc>
      <w:tc>
        <w:tcPr>
          <w:tcW w:w="411" w:type="dxa"/>
          <w:vAlign w:val="center"/>
        </w:tcPr>
        <w:p w14:paraId="1F3D3A30">
          <w:pPr>
            <w:jc w:val="center"/>
            <w:rPr>
              <w:rFonts w:ascii="宋体" w:hAnsi="宋体"/>
              <w:sz w:val="20"/>
            </w:rPr>
          </w:pPr>
          <w:r>
            <w:rPr>
              <w:rFonts w:ascii="宋体" w:hAnsi="宋体"/>
              <w:sz w:val="20"/>
            </w:rPr>
            <w:t>0</w:t>
          </w:r>
        </w:p>
      </w:tc>
    </w:tr>
    <w:tr w14:paraId="77EA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4870C08D">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761466F6">
          <w:pPr>
            <w:jc w:val="left"/>
          </w:pPr>
        </w:p>
      </w:tc>
      <w:tc>
        <w:tcPr>
          <w:tcW w:w="1415" w:type="dxa"/>
          <w:tcBorders>
            <w:bottom w:val="single" w:color="auto" w:sz="4" w:space="0"/>
          </w:tcBorders>
          <w:vAlign w:val="center"/>
        </w:tcPr>
        <w:p w14:paraId="31740943">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68D5E4E5">
          <w:pPr>
            <w:jc w:val="center"/>
            <w:rPr>
              <w:sz w:val="20"/>
            </w:rP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569D3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2BBDFE82">
          <w:pPr>
            <w:jc w:val="left"/>
          </w:pPr>
          <w:r>
            <w:rPr>
              <w:sz w:val="22"/>
              <w:szCs w:val="22"/>
            </w:rPr>
            <w:t>审核/</w:t>
          </w:r>
          <w:r>
            <w:rPr>
              <w:sz w:val="22"/>
              <w:szCs w:val="22"/>
              <w:lang w:eastAsia="zh-HK"/>
            </w:rPr>
            <w:t>日期</w:t>
          </w:r>
        </w:p>
      </w:tc>
      <w:tc>
        <w:tcPr>
          <w:tcW w:w="5377" w:type="dxa"/>
          <w:vAlign w:val="center"/>
        </w:tcPr>
        <w:p w14:paraId="1DD3851B">
          <w:pPr>
            <w:jc w:val="left"/>
          </w:pPr>
        </w:p>
      </w:tc>
      <w:tc>
        <w:tcPr>
          <w:tcW w:w="1415" w:type="dxa"/>
          <w:tcBorders>
            <w:top w:val="single" w:color="auto" w:sz="4" w:space="0"/>
            <w:bottom w:val="single" w:color="auto" w:sz="4" w:space="0"/>
          </w:tcBorders>
          <w:vAlign w:val="center"/>
        </w:tcPr>
        <w:p w14:paraId="7B184870">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6" w:type="dxa"/>
          <w:gridSpan w:val="3"/>
          <w:tcBorders>
            <w:top w:val="single" w:color="auto" w:sz="4" w:space="0"/>
            <w:bottom w:val="single" w:color="auto" w:sz="4" w:space="0"/>
          </w:tcBorders>
          <w:vAlign w:val="center"/>
        </w:tcPr>
        <w:p w14:paraId="01863A7B">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r w14:paraId="67D8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6CB74FB9">
          <w:pPr>
            <w:jc w:val="left"/>
            <w:rPr>
              <w:lang w:eastAsia="zh-HK"/>
            </w:rPr>
          </w:pPr>
          <w:r>
            <w:rPr>
              <w:sz w:val="22"/>
              <w:szCs w:val="22"/>
            </w:rPr>
            <w:t>批准/</w:t>
          </w:r>
          <w:r>
            <w:rPr>
              <w:sz w:val="22"/>
              <w:szCs w:val="22"/>
              <w:lang w:eastAsia="zh-HK"/>
            </w:rPr>
            <w:t>日期</w:t>
          </w:r>
        </w:p>
      </w:tc>
      <w:tc>
        <w:tcPr>
          <w:tcW w:w="5377" w:type="dxa"/>
          <w:vAlign w:val="center"/>
        </w:tcPr>
        <w:p w14:paraId="4927C979">
          <w:pPr>
            <w:jc w:val="left"/>
          </w:pPr>
        </w:p>
      </w:tc>
      <w:tc>
        <w:tcPr>
          <w:tcW w:w="1415" w:type="dxa"/>
          <w:tcBorders>
            <w:top w:val="single" w:color="auto" w:sz="4" w:space="0"/>
          </w:tcBorders>
          <w:vAlign w:val="center"/>
        </w:tcPr>
        <w:p w14:paraId="59526385">
          <w:pPr>
            <w:jc w:val="center"/>
          </w:pPr>
          <w:r>
            <w:rPr>
              <w:sz w:val="22"/>
              <w:szCs w:val="22"/>
            </w:rPr>
            <w:t>受控状态</w:t>
          </w:r>
        </w:p>
      </w:tc>
      <w:tc>
        <w:tcPr>
          <w:tcW w:w="2136" w:type="dxa"/>
          <w:gridSpan w:val="3"/>
          <w:tcBorders>
            <w:top w:val="single" w:color="auto" w:sz="4" w:space="0"/>
          </w:tcBorders>
          <w:vAlign w:val="center"/>
        </w:tcPr>
        <w:p w14:paraId="2C74327D">
          <w:pPr>
            <w:jc w:val="center"/>
          </w:pPr>
          <w:r>
            <w:rPr>
              <w:szCs w:val="22"/>
            </w:rPr>
            <w:t>受控</w:t>
          </w:r>
        </w:p>
      </w:tc>
    </w:tr>
    <w:bookmarkEnd w:id="2"/>
  </w:tbl>
  <w:p w14:paraId="29A59C59">
    <w:pPr>
      <w:pStyle w:val="7"/>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F1AC9"/>
    <w:multiLevelType w:val="multilevel"/>
    <w:tmpl w:val="75EF1AC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黑体" w:hAnsi="Times New Roman" w:eastAsia="黑体" w:cs="Times New Roman"/>
        <w:b w:val="0"/>
        <w:sz w:val="21"/>
        <w:szCs w:val="21"/>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5）"/>
      <w:lvlJc w:val="left"/>
      <w:pPr>
        <w:tabs>
          <w:tab w:val="left" w:pos="1984"/>
        </w:tabs>
        <w:ind w:left="2268" w:hanging="567"/>
      </w:pPr>
      <w:rPr>
        <w:rFonts w:hint="default"/>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95DE9"/>
    <w:rsid w:val="000A0AFC"/>
    <w:rsid w:val="000C2C7E"/>
    <w:rsid w:val="000C3E3B"/>
    <w:rsid w:val="000C6787"/>
    <w:rsid w:val="000F5249"/>
    <w:rsid w:val="000F7932"/>
    <w:rsid w:val="000F7A88"/>
    <w:rsid w:val="000F7FEC"/>
    <w:rsid w:val="00105855"/>
    <w:rsid w:val="00105AA3"/>
    <w:rsid w:val="00121066"/>
    <w:rsid w:val="00131552"/>
    <w:rsid w:val="00133477"/>
    <w:rsid w:val="00153CBD"/>
    <w:rsid w:val="001849B4"/>
    <w:rsid w:val="00196840"/>
    <w:rsid w:val="001A03E9"/>
    <w:rsid w:val="001A111B"/>
    <w:rsid w:val="001B054E"/>
    <w:rsid w:val="001B1494"/>
    <w:rsid w:val="001B2DA0"/>
    <w:rsid w:val="001D03FE"/>
    <w:rsid w:val="001D22E3"/>
    <w:rsid w:val="001D75F1"/>
    <w:rsid w:val="001E6B14"/>
    <w:rsid w:val="001F21AF"/>
    <w:rsid w:val="001F68C6"/>
    <w:rsid w:val="00205D30"/>
    <w:rsid w:val="00214FC3"/>
    <w:rsid w:val="002200D3"/>
    <w:rsid w:val="0022656C"/>
    <w:rsid w:val="002403C0"/>
    <w:rsid w:val="00240898"/>
    <w:rsid w:val="00244DDA"/>
    <w:rsid w:val="00245ED1"/>
    <w:rsid w:val="00246366"/>
    <w:rsid w:val="002515CA"/>
    <w:rsid w:val="00251F12"/>
    <w:rsid w:val="00255F32"/>
    <w:rsid w:val="002653C0"/>
    <w:rsid w:val="00266C76"/>
    <w:rsid w:val="0027440C"/>
    <w:rsid w:val="00280AC4"/>
    <w:rsid w:val="00284EC9"/>
    <w:rsid w:val="00286F70"/>
    <w:rsid w:val="002875EB"/>
    <w:rsid w:val="00297513"/>
    <w:rsid w:val="002A5373"/>
    <w:rsid w:val="002B6F67"/>
    <w:rsid w:val="002C0FC6"/>
    <w:rsid w:val="002C1478"/>
    <w:rsid w:val="002D779B"/>
    <w:rsid w:val="002F2FC0"/>
    <w:rsid w:val="00303F87"/>
    <w:rsid w:val="00313BCC"/>
    <w:rsid w:val="00332C36"/>
    <w:rsid w:val="00334298"/>
    <w:rsid w:val="00347BD9"/>
    <w:rsid w:val="00361C94"/>
    <w:rsid w:val="0036433E"/>
    <w:rsid w:val="0038751A"/>
    <w:rsid w:val="003C752B"/>
    <w:rsid w:val="003D384C"/>
    <w:rsid w:val="003D555D"/>
    <w:rsid w:val="003E1CBD"/>
    <w:rsid w:val="003E273A"/>
    <w:rsid w:val="0040686F"/>
    <w:rsid w:val="00412719"/>
    <w:rsid w:val="00414551"/>
    <w:rsid w:val="00416532"/>
    <w:rsid w:val="00416B11"/>
    <w:rsid w:val="004214BE"/>
    <w:rsid w:val="00423F19"/>
    <w:rsid w:val="00431F7A"/>
    <w:rsid w:val="00447ECD"/>
    <w:rsid w:val="004841EE"/>
    <w:rsid w:val="0048621C"/>
    <w:rsid w:val="00497C2C"/>
    <w:rsid w:val="004A218D"/>
    <w:rsid w:val="004C3C1F"/>
    <w:rsid w:val="004C6221"/>
    <w:rsid w:val="004C6D60"/>
    <w:rsid w:val="004C70E4"/>
    <w:rsid w:val="004D6624"/>
    <w:rsid w:val="004F228A"/>
    <w:rsid w:val="004F2CD9"/>
    <w:rsid w:val="004F35F6"/>
    <w:rsid w:val="004F44E1"/>
    <w:rsid w:val="004F5BF5"/>
    <w:rsid w:val="00507256"/>
    <w:rsid w:val="005072DD"/>
    <w:rsid w:val="005172E4"/>
    <w:rsid w:val="00532A6F"/>
    <w:rsid w:val="00534135"/>
    <w:rsid w:val="0053448C"/>
    <w:rsid w:val="005427AF"/>
    <w:rsid w:val="00554A69"/>
    <w:rsid w:val="00556451"/>
    <w:rsid w:val="00556DF7"/>
    <w:rsid w:val="00560CB9"/>
    <w:rsid w:val="00561F82"/>
    <w:rsid w:val="00576701"/>
    <w:rsid w:val="005802B2"/>
    <w:rsid w:val="00587298"/>
    <w:rsid w:val="005A105B"/>
    <w:rsid w:val="005A34DD"/>
    <w:rsid w:val="005A72EA"/>
    <w:rsid w:val="005B3CC2"/>
    <w:rsid w:val="005B58C7"/>
    <w:rsid w:val="005C30EF"/>
    <w:rsid w:val="005D3DDA"/>
    <w:rsid w:val="005D4FC6"/>
    <w:rsid w:val="005E4724"/>
    <w:rsid w:val="005F6765"/>
    <w:rsid w:val="005F76E9"/>
    <w:rsid w:val="006004CE"/>
    <w:rsid w:val="006076EA"/>
    <w:rsid w:val="006118D1"/>
    <w:rsid w:val="006123F7"/>
    <w:rsid w:val="006136C0"/>
    <w:rsid w:val="00613BF4"/>
    <w:rsid w:val="0061490E"/>
    <w:rsid w:val="00615CF6"/>
    <w:rsid w:val="006307CE"/>
    <w:rsid w:val="006334EF"/>
    <w:rsid w:val="00633DC0"/>
    <w:rsid w:val="0065667F"/>
    <w:rsid w:val="00660700"/>
    <w:rsid w:val="00661863"/>
    <w:rsid w:val="00664881"/>
    <w:rsid w:val="00666262"/>
    <w:rsid w:val="006707BA"/>
    <w:rsid w:val="006709E2"/>
    <w:rsid w:val="00677BB1"/>
    <w:rsid w:val="0068156C"/>
    <w:rsid w:val="006849FC"/>
    <w:rsid w:val="006A2A6F"/>
    <w:rsid w:val="006B0E20"/>
    <w:rsid w:val="006C500C"/>
    <w:rsid w:val="006E4313"/>
    <w:rsid w:val="00715EA3"/>
    <w:rsid w:val="00744415"/>
    <w:rsid w:val="007476D8"/>
    <w:rsid w:val="007722F0"/>
    <w:rsid w:val="007829FF"/>
    <w:rsid w:val="00785BE2"/>
    <w:rsid w:val="007877BC"/>
    <w:rsid w:val="00793B92"/>
    <w:rsid w:val="00795997"/>
    <w:rsid w:val="0079736C"/>
    <w:rsid w:val="007B5C07"/>
    <w:rsid w:val="007B6DE9"/>
    <w:rsid w:val="007C29E7"/>
    <w:rsid w:val="007D105F"/>
    <w:rsid w:val="007E1B4C"/>
    <w:rsid w:val="007E608D"/>
    <w:rsid w:val="007F20CC"/>
    <w:rsid w:val="007F3BF7"/>
    <w:rsid w:val="00802148"/>
    <w:rsid w:val="00803259"/>
    <w:rsid w:val="00825130"/>
    <w:rsid w:val="00830618"/>
    <w:rsid w:val="00833520"/>
    <w:rsid w:val="00842628"/>
    <w:rsid w:val="00860223"/>
    <w:rsid w:val="0086139E"/>
    <w:rsid w:val="00862D06"/>
    <w:rsid w:val="008743CB"/>
    <w:rsid w:val="0088239F"/>
    <w:rsid w:val="00884D81"/>
    <w:rsid w:val="008975EF"/>
    <w:rsid w:val="008A0137"/>
    <w:rsid w:val="008A472F"/>
    <w:rsid w:val="008B286A"/>
    <w:rsid w:val="008B4A01"/>
    <w:rsid w:val="008C19BF"/>
    <w:rsid w:val="008D2FC7"/>
    <w:rsid w:val="008D76CA"/>
    <w:rsid w:val="008E77FC"/>
    <w:rsid w:val="008E7FB2"/>
    <w:rsid w:val="009006D5"/>
    <w:rsid w:val="009203E3"/>
    <w:rsid w:val="009432A6"/>
    <w:rsid w:val="00943388"/>
    <w:rsid w:val="009513FC"/>
    <w:rsid w:val="00955B42"/>
    <w:rsid w:val="00956605"/>
    <w:rsid w:val="0096233B"/>
    <w:rsid w:val="009702C1"/>
    <w:rsid w:val="0097035E"/>
    <w:rsid w:val="00973017"/>
    <w:rsid w:val="00984FD4"/>
    <w:rsid w:val="00996157"/>
    <w:rsid w:val="009C4077"/>
    <w:rsid w:val="009C6A71"/>
    <w:rsid w:val="009E2690"/>
    <w:rsid w:val="009E2C62"/>
    <w:rsid w:val="009E34F2"/>
    <w:rsid w:val="009F13E4"/>
    <w:rsid w:val="009F23A2"/>
    <w:rsid w:val="00A05E34"/>
    <w:rsid w:val="00A13E2B"/>
    <w:rsid w:val="00A451B8"/>
    <w:rsid w:val="00A53D80"/>
    <w:rsid w:val="00A63931"/>
    <w:rsid w:val="00A73790"/>
    <w:rsid w:val="00A76A12"/>
    <w:rsid w:val="00A91035"/>
    <w:rsid w:val="00A941EE"/>
    <w:rsid w:val="00AD22E7"/>
    <w:rsid w:val="00AD3CF3"/>
    <w:rsid w:val="00AD6DCA"/>
    <w:rsid w:val="00AE3177"/>
    <w:rsid w:val="00AE5066"/>
    <w:rsid w:val="00B01318"/>
    <w:rsid w:val="00B07A94"/>
    <w:rsid w:val="00B1191C"/>
    <w:rsid w:val="00B23254"/>
    <w:rsid w:val="00B263C0"/>
    <w:rsid w:val="00B4049A"/>
    <w:rsid w:val="00B42140"/>
    <w:rsid w:val="00B50CC3"/>
    <w:rsid w:val="00B553E2"/>
    <w:rsid w:val="00B56E5C"/>
    <w:rsid w:val="00B77D84"/>
    <w:rsid w:val="00B8253A"/>
    <w:rsid w:val="00B91B69"/>
    <w:rsid w:val="00BA3637"/>
    <w:rsid w:val="00BA4135"/>
    <w:rsid w:val="00BB0A40"/>
    <w:rsid w:val="00BB317D"/>
    <w:rsid w:val="00BC439F"/>
    <w:rsid w:val="00BC50F6"/>
    <w:rsid w:val="00BD094F"/>
    <w:rsid w:val="00BD63D5"/>
    <w:rsid w:val="00BE78BB"/>
    <w:rsid w:val="00BF261B"/>
    <w:rsid w:val="00BF57E1"/>
    <w:rsid w:val="00C023E1"/>
    <w:rsid w:val="00C10857"/>
    <w:rsid w:val="00C30A2C"/>
    <w:rsid w:val="00C5498A"/>
    <w:rsid w:val="00C80ADC"/>
    <w:rsid w:val="00C8340F"/>
    <w:rsid w:val="00C8464D"/>
    <w:rsid w:val="00C852B8"/>
    <w:rsid w:val="00CB7F06"/>
    <w:rsid w:val="00CC1794"/>
    <w:rsid w:val="00CF1042"/>
    <w:rsid w:val="00CF4928"/>
    <w:rsid w:val="00D17336"/>
    <w:rsid w:val="00D35C91"/>
    <w:rsid w:val="00D3765F"/>
    <w:rsid w:val="00D4201C"/>
    <w:rsid w:val="00D61F9C"/>
    <w:rsid w:val="00D6547A"/>
    <w:rsid w:val="00D6726B"/>
    <w:rsid w:val="00D67D05"/>
    <w:rsid w:val="00D803C6"/>
    <w:rsid w:val="00D92162"/>
    <w:rsid w:val="00DF0978"/>
    <w:rsid w:val="00DF4776"/>
    <w:rsid w:val="00E005C9"/>
    <w:rsid w:val="00E01B15"/>
    <w:rsid w:val="00E1250F"/>
    <w:rsid w:val="00E26CF8"/>
    <w:rsid w:val="00E3016A"/>
    <w:rsid w:val="00E336AC"/>
    <w:rsid w:val="00E34118"/>
    <w:rsid w:val="00E43D41"/>
    <w:rsid w:val="00E76CDA"/>
    <w:rsid w:val="00EB272E"/>
    <w:rsid w:val="00EB512C"/>
    <w:rsid w:val="00EB6962"/>
    <w:rsid w:val="00EB7F2A"/>
    <w:rsid w:val="00EE7D19"/>
    <w:rsid w:val="00EF2779"/>
    <w:rsid w:val="00EF43BF"/>
    <w:rsid w:val="00F0486F"/>
    <w:rsid w:val="00F12707"/>
    <w:rsid w:val="00F129C7"/>
    <w:rsid w:val="00F43E3F"/>
    <w:rsid w:val="00F45155"/>
    <w:rsid w:val="00F51A0A"/>
    <w:rsid w:val="00F51B24"/>
    <w:rsid w:val="00F57173"/>
    <w:rsid w:val="00F725A4"/>
    <w:rsid w:val="00F75561"/>
    <w:rsid w:val="00F77402"/>
    <w:rsid w:val="00FA4DFA"/>
    <w:rsid w:val="00FB5F13"/>
    <w:rsid w:val="00FB6D29"/>
    <w:rsid w:val="00FF5C4C"/>
    <w:rsid w:val="01AD0F25"/>
    <w:rsid w:val="2305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240" w:lineRule="atLeast"/>
      <w:ind w:firstLine="640" w:firstLineChars="200"/>
    </w:pPr>
    <w:rPr>
      <w:sz w:val="32"/>
    </w:rPr>
  </w:style>
  <w:style w:type="paragraph" w:styleId="4">
    <w:name w:val="Plain Text"/>
    <w:basedOn w:val="1"/>
    <w:link w:val="18"/>
    <w:uiPriority w:val="0"/>
    <w:rPr>
      <w:rFonts w:ascii="宋体" w:hAnsi="Courier New"/>
      <w:sz w:val="24"/>
      <w:szCs w:val="20"/>
    </w:rPr>
  </w:style>
  <w:style w:type="paragraph" w:styleId="5">
    <w:name w:val="Balloon Text"/>
    <w:basedOn w:val="1"/>
    <w:link w:val="17"/>
    <w:semiHidden/>
    <w:unhideWhenUsed/>
    <w:uiPriority w:val="99"/>
    <w:rPr>
      <w:sz w:val="18"/>
      <w:szCs w:val="18"/>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uiPriority w:val="99"/>
    <w:pPr>
      <w:tabs>
        <w:tab w:val="center" w:pos="4680"/>
        <w:tab w:val="right" w:pos="9360"/>
      </w:tabs>
    </w:pPr>
  </w:style>
  <w:style w:type="paragraph" w:styleId="8">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1">
    <w:name w:val="页眉 字符"/>
    <w:basedOn w:val="10"/>
    <w:link w:val="7"/>
    <w:qFormat/>
    <w:uiPriority w:val="99"/>
    <w:rPr>
      <w:rFonts w:ascii="Times New Roman" w:hAnsi="Times New Roman" w:eastAsia="宋体" w:cs="Times New Roman"/>
      <w:kern w:val="2"/>
      <w:sz w:val="21"/>
      <w:szCs w:val="24"/>
      <w:lang w:eastAsia="zh-CN"/>
    </w:rPr>
  </w:style>
  <w:style w:type="character" w:customStyle="1" w:styleId="12">
    <w:name w:val="页脚 字符"/>
    <w:basedOn w:val="10"/>
    <w:link w:val="6"/>
    <w:qFormat/>
    <w:uiPriority w:val="99"/>
    <w:rPr>
      <w:rFonts w:ascii="Times New Roman" w:hAnsi="Times New Roman" w:eastAsia="宋体" w:cs="Times New Roman"/>
      <w:kern w:val="2"/>
      <w:sz w:val="21"/>
      <w:szCs w:val="24"/>
      <w:lang w:eastAsia="zh-CN"/>
    </w:rPr>
  </w:style>
  <w:style w:type="character" w:customStyle="1" w:styleId="13">
    <w:name w:val="标题 3 字符"/>
    <w:basedOn w:val="10"/>
    <w:link w:val="2"/>
    <w:qFormat/>
    <w:uiPriority w:val="9"/>
    <w:rPr>
      <w:rFonts w:ascii="Calibri Light" w:hAnsi="Calibri Light" w:eastAsia="Yu Gothic Light" w:cs="Times New Roman"/>
      <w:color w:val="1F3763"/>
      <w:sz w:val="24"/>
      <w:szCs w:val="24"/>
    </w:rPr>
  </w:style>
  <w:style w:type="paragraph" w:customStyle="1" w:styleId="14">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5">
    <w:name w:val="List Paragraph"/>
    <w:basedOn w:val="1"/>
    <w:qFormat/>
    <w:uiPriority w:val="34"/>
    <w:pPr>
      <w:ind w:left="720"/>
      <w:contextualSpacing/>
    </w:pPr>
  </w:style>
  <w:style w:type="character" w:customStyle="1" w:styleId="16">
    <w:name w:val="正文文本缩进 字符"/>
    <w:basedOn w:val="10"/>
    <w:link w:val="3"/>
    <w:qFormat/>
    <w:uiPriority w:val="0"/>
    <w:rPr>
      <w:rFonts w:ascii="Times New Roman" w:hAnsi="Times New Roman" w:eastAsia="宋体" w:cs="Times New Roman"/>
      <w:kern w:val="2"/>
      <w:sz w:val="32"/>
      <w:szCs w:val="24"/>
      <w:lang w:eastAsia="zh-CN"/>
    </w:rPr>
  </w:style>
  <w:style w:type="character" w:customStyle="1" w:styleId="17">
    <w:name w:val="批注框文本 字符"/>
    <w:basedOn w:val="10"/>
    <w:link w:val="5"/>
    <w:semiHidden/>
    <w:uiPriority w:val="99"/>
    <w:rPr>
      <w:rFonts w:ascii="Times New Roman" w:hAnsi="Times New Roman" w:eastAsia="宋体" w:cs="Times New Roman"/>
      <w:kern w:val="2"/>
      <w:sz w:val="18"/>
      <w:szCs w:val="18"/>
      <w:lang w:eastAsia="zh-CN"/>
    </w:rPr>
  </w:style>
  <w:style w:type="character" w:customStyle="1" w:styleId="18">
    <w:name w:val="纯文本 字符"/>
    <w:basedOn w:val="10"/>
    <w:link w:val="4"/>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184F-5BD3-49D3-A7DD-7CDB7D38BC0B}">
  <ds:schemaRefs/>
</ds:datastoreItem>
</file>

<file path=docProps/app.xml><?xml version="1.0" encoding="utf-8"?>
<Properties xmlns="http://schemas.openxmlformats.org/officeDocument/2006/extended-properties" xmlns:vt="http://schemas.openxmlformats.org/officeDocument/2006/docPropsVTypes">
  <Template>Normal</Template>
  <Pages>2</Pages>
  <Words>597</Words>
  <Characters>662</Characters>
  <Lines>5</Lines>
  <Paragraphs>1</Paragraphs>
  <TotalTime>4</TotalTime>
  <ScaleCrop>false</ScaleCrop>
  <LinksUpToDate>false</LinksUpToDate>
  <CharactersWithSpaces>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2020-02-18T12:27:00Z</dcterms:created>
  <dc:creator>cslau</dc:creator>
  <cp:lastModifiedBy>太极箫客</cp:lastModifiedBy>
  <cp:lastPrinted>2017-10-23T03:47:00Z</cp:lastPrinted>
  <dcterms:modified xsi:type="dcterms:W3CDTF">2025-08-14T06:22:30Z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FE936A843DF54B5C84272A916C349515_12</vt:lpwstr>
  </property>
</Properties>
</file>