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34D39">
      <w:pPr>
        <w:tabs>
          <w:tab w:val="left" w:pos="709"/>
        </w:tabs>
        <w:spacing w:line="360" w:lineRule="auto"/>
        <w:jc w:val="center"/>
        <w:rPr>
          <w:b/>
          <w:bCs/>
          <w:sz w:val="22"/>
          <w:szCs w:val="22"/>
        </w:rPr>
      </w:pPr>
      <w:bookmarkStart w:id="2" w:name="_GoBack"/>
      <w:bookmarkEnd w:id="2"/>
      <w:bookmarkStart w:id="0" w:name="_Hlk489617946"/>
      <w:r>
        <w:rPr>
          <w:b/>
          <w:bCs/>
          <w:sz w:val="22"/>
          <w:szCs w:val="22"/>
        </w:rPr>
        <w:t>更改历史</w:t>
      </w:r>
      <w:bookmarkEnd w:id="0"/>
    </w:p>
    <w:tbl>
      <w:tblPr>
        <w:tblStyle w:val="11"/>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031C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68074C93">
            <w:pPr>
              <w:jc w:val="center"/>
              <w:rPr>
                <w:rFonts w:ascii="宋体" w:hAnsi="宋体"/>
              </w:rPr>
            </w:pPr>
            <w:r>
              <w:rPr>
                <w:rFonts w:ascii="宋体" w:hAnsi="宋体"/>
                <w:b/>
                <w:sz w:val="22"/>
                <w:szCs w:val="22"/>
              </w:rPr>
              <w:t>版本号</w:t>
            </w:r>
          </w:p>
        </w:tc>
        <w:tc>
          <w:tcPr>
            <w:tcW w:w="1401" w:type="dxa"/>
            <w:shd w:val="clear" w:color="auto" w:fill="auto"/>
            <w:vAlign w:val="center"/>
          </w:tcPr>
          <w:p w14:paraId="14BB30CB">
            <w:pPr>
              <w:jc w:val="center"/>
              <w:rPr>
                <w:rFonts w:ascii="宋体" w:hAnsi="宋体"/>
              </w:rPr>
            </w:pPr>
            <w:r>
              <w:rPr>
                <w:rFonts w:ascii="宋体" w:hAnsi="宋体"/>
                <w:b/>
                <w:sz w:val="22"/>
                <w:szCs w:val="22"/>
              </w:rPr>
              <w:t>文件更改号</w:t>
            </w:r>
          </w:p>
        </w:tc>
        <w:tc>
          <w:tcPr>
            <w:tcW w:w="4739" w:type="dxa"/>
            <w:shd w:val="clear" w:color="auto" w:fill="auto"/>
            <w:vAlign w:val="center"/>
          </w:tcPr>
          <w:p w14:paraId="099C6F04">
            <w:pPr>
              <w:jc w:val="center"/>
              <w:rPr>
                <w:rFonts w:ascii="宋体" w:hAnsi="宋体"/>
              </w:rPr>
            </w:pPr>
            <w:r>
              <w:rPr>
                <w:rFonts w:ascii="宋体" w:hAnsi="宋体"/>
                <w:b/>
                <w:bCs/>
                <w:sz w:val="22"/>
                <w:szCs w:val="22"/>
              </w:rPr>
              <w:t>更改概要</w:t>
            </w:r>
          </w:p>
        </w:tc>
        <w:tc>
          <w:tcPr>
            <w:tcW w:w="1738" w:type="dxa"/>
            <w:vAlign w:val="center"/>
          </w:tcPr>
          <w:p w14:paraId="336417ED">
            <w:pPr>
              <w:jc w:val="center"/>
              <w:rPr>
                <w:rFonts w:ascii="宋体" w:hAnsi="宋体"/>
                <w:b/>
                <w:bCs/>
              </w:rPr>
            </w:pPr>
            <w:r>
              <w:rPr>
                <w:rFonts w:ascii="宋体" w:hAnsi="宋体"/>
                <w:b/>
                <w:bCs/>
                <w:sz w:val="22"/>
                <w:szCs w:val="22"/>
              </w:rPr>
              <w:t>修改人</w:t>
            </w:r>
          </w:p>
        </w:tc>
        <w:tc>
          <w:tcPr>
            <w:tcW w:w="1736" w:type="dxa"/>
            <w:vAlign w:val="center"/>
          </w:tcPr>
          <w:p w14:paraId="4E94B8B7">
            <w:pPr>
              <w:jc w:val="center"/>
              <w:rPr>
                <w:rFonts w:ascii="宋体" w:hAnsi="宋体"/>
                <w:b/>
                <w:bCs/>
              </w:rPr>
            </w:pPr>
            <w:r>
              <w:rPr>
                <w:rFonts w:ascii="宋体" w:hAnsi="宋体"/>
                <w:b/>
                <w:bCs/>
                <w:sz w:val="22"/>
                <w:szCs w:val="22"/>
              </w:rPr>
              <w:t>批准人</w:t>
            </w:r>
          </w:p>
        </w:tc>
      </w:tr>
      <w:tr w14:paraId="0BCC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4AA26BEB">
            <w:pPr>
              <w:jc w:val="center"/>
              <w:rPr>
                <w:rFonts w:ascii="宋体" w:hAnsi="宋体"/>
              </w:rPr>
            </w:pPr>
            <w:r>
              <w:rPr>
                <w:rFonts w:ascii="宋体" w:hAnsi="宋体"/>
                <w:sz w:val="22"/>
                <w:szCs w:val="22"/>
              </w:rPr>
              <w:t>01</w:t>
            </w:r>
          </w:p>
        </w:tc>
        <w:tc>
          <w:tcPr>
            <w:tcW w:w="1401" w:type="dxa"/>
            <w:shd w:val="clear" w:color="auto" w:fill="auto"/>
            <w:vAlign w:val="center"/>
          </w:tcPr>
          <w:p w14:paraId="1B79EC69">
            <w:pPr>
              <w:jc w:val="center"/>
              <w:rPr>
                <w:rFonts w:ascii="宋体" w:hAnsi="宋体"/>
              </w:rPr>
            </w:pPr>
            <w:r>
              <w:rPr>
                <w:rFonts w:ascii="宋体" w:hAnsi="宋体"/>
                <w:sz w:val="22"/>
                <w:szCs w:val="22"/>
              </w:rPr>
              <w:t>首发行</w:t>
            </w:r>
          </w:p>
        </w:tc>
        <w:tc>
          <w:tcPr>
            <w:tcW w:w="4739" w:type="dxa"/>
            <w:shd w:val="clear" w:color="auto" w:fill="auto"/>
            <w:vAlign w:val="center"/>
          </w:tcPr>
          <w:p w14:paraId="66C69640">
            <w:pPr>
              <w:jc w:val="center"/>
              <w:rPr>
                <w:rFonts w:ascii="宋体" w:hAnsi="宋体"/>
                <w:lang w:eastAsia="zh-TW"/>
              </w:rPr>
            </w:pPr>
            <w:r>
              <w:rPr>
                <w:rFonts w:hint="eastAsia" w:ascii="宋体" w:hAnsi="宋体"/>
                <w:sz w:val="22"/>
                <w:szCs w:val="22"/>
                <w:lang w:eastAsia="zh-TW"/>
              </w:rPr>
              <w:t>/</w:t>
            </w:r>
          </w:p>
        </w:tc>
        <w:tc>
          <w:tcPr>
            <w:tcW w:w="1738" w:type="dxa"/>
            <w:vAlign w:val="center"/>
          </w:tcPr>
          <w:p w14:paraId="3877FE08">
            <w:pPr>
              <w:jc w:val="center"/>
              <w:rPr>
                <w:rFonts w:ascii="宋体" w:hAnsi="宋体"/>
              </w:rPr>
            </w:pPr>
            <w:r>
              <w:rPr>
                <w:rFonts w:ascii="宋体" w:hAnsi="宋体"/>
                <w:sz w:val="22"/>
                <w:szCs w:val="22"/>
              </w:rPr>
              <w:t>/</w:t>
            </w:r>
          </w:p>
        </w:tc>
        <w:tc>
          <w:tcPr>
            <w:tcW w:w="1736" w:type="dxa"/>
            <w:vAlign w:val="center"/>
          </w:tcPr>
          <w:p w14:paraId="0D50B21A">
            <w:pPr>
              <w:jc w:val="center"/>
              <w:rPr>
                <w:rFonts w:ascii="宋体" w:hAnsi="宋体"/>
              </w:rPr>
            </w:pPr>
            <w:r>
              <w:rPr>
                <w:rFonts w:ascii="宋体" w:hAnsi="宋体"/>
                <w:sz w:val="22"/>
                <w:szCs w:val="22"/>
              </w:rPr>
              <w:t>/</w:t>
            </w:r>
          </w:p>
        </w:tc>
      </w:tr>
      <w:tr w14:paraId="5ABD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4CBBFCD0">
            <w:pPr>
              <w:jc w:val="center"/>
              <w:rPr>
                <w:rFonts w:ascii="宋体" w:hAnsi="宋体"/>
              </w:rPr>
            </w:pPr>
          </w:p>
        </w:tc>
        <w:tc>
          <w:tcPr>
            <w:tcW w:w="1401" w:type="dxa"/>
            <w:shd w:val="clear" w:color="auto" w:fill="auto"/>
            <w:vAlign w:val="center"/>
          </w:tcPr>
          <w:p w14:paraId="49D8EE66">
            <w:pPr>
              <w:jc w:val="center"/>
              <w:rPr>
                <w:rFonts w:ascii="宋体" w:hAnsi="宋体"/>
              </w:rPr>
            </w:pPr>
          </w:p>
        </w:tc>
        <w:tc>
          <w:tcPr>
            <w:tcW w:w="4739" w:type="dxa"/>
            <w:shd w:val="clear" w:color="auto" w:fill="auto"/>
            <w:vAlign w:val="center"/>
          </w:tcPr>
          <w:p w14:paraId="0BB3804A">
            <w:pPr>
              <w:jc w:val="center"/>
              <w:rPr>
                <w:rFonts w:ascii="宋体" w:hAnsi="宋体"/>
              </w:rPr>
            </w:pPr>
          </w:p>
        </w:tc>
        <w:tc>
          <w:tcPr>
            <w:tcW w:w="1738" w:type="dxa"/>
            <w:vAlign w:val="center"/>
          </w:tcPr>
          <w:p w14:paraId="2C45DAE5">
            <w:pPr>
              <w:jc w:val="center"/>
              <w:rPr>
                <w:rFonts w:ascii="宋体" w:hAnsi="宋体"/>
              </w:rPr>
            </w:pPr>
          </w:p>
        </w:tc>
        <w:tc>
          <w:tcPr>
            <w:tcW w:w="1736" w:type="dxa"/>
            <w:vAlign w:val="center"/>
          </w:tcPr>
          <w:p w14:paraId="3677BB6C">
            <w:pPr>
              <w:jc w:val="center"/>
              <w:rPr>
                <w:rFonts w:ascii="宋体" w:hAnsi="宋体"/>
              </w:rPr>
            </w:pPr>
          </w:p>
        </w:tc>
      </w:tr>
      <w:tr w14:paraId="2D16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101D4625">
            <w:pPr>
              <w:jc w:val="center"/>
              <w:rPr>
                <w:rFonts w:ascii="宋体" w:hAnsi="宋体"/>
              </w:rPr>
            </w:pPr>
          </w:p>
        </w:tc>
        <w:tc>
          <w:tcPr>
            <w:tcW w:w="1401" w:type="dxa"/>
            <w:shd w:val="clear" w:color="auto" w:fill="auto"/>
            <w:vAlign w:val="center"/>
          </w:tcPr>
          <w:p w14:paraId="676DC3FC">
            <w:pPr>
              <w:jc w:val="center"/>
              <w:rPr>
                <w:rFonts w:ascii="宋体" w:hAnsi="宋体"/>
              </w:rPr>
            </w:pPr>
          </w:p>
        </w:tc>
        <w:tc>
          <w:tcPr>
            <w:tcW w:w="4739" w:type="dxa"/>
            <w:shd w:val="clear" w:color="auto" w:fill="auto"/>
            <w:vAlign w:val="center"/>
          </w:tcPr>
          <w:p w14:paraId="2CDB6BFF">
            <w:pPr>
              <w:jc w:val="center"/>
              <w:rPr>
                <w:rFonts w:ascii="宋体" w:hAnsi="宋体"/>
              </w:rPr>
            </w:pPr>
          </w:p>
        </w:tc>
        <w:tc>
          <w:tcPr>
            <w:tcW w:w="1738" w:type="dxa"/>
            <w:vAlign w:val="center"/>
          </w:tcPr>
          <w:p w14:paraId="56B624A4">
            <w:pPr>
              <w:jc w:val="center"/>
              <w:rPr>
                <w:rFonts w:ascii="宋体" w:hAnsi="宋体"/>
              </w:rPr>
            </w:pPr>
          </w:p>
        </w:tc>
        <w:tc>
          <w:tcPr>
            <w:tcW w:w="1736" w:type="dxa"/>
            <w:vAlign w:val="center"/>
          </w:tcPr>
          <w:p w14:paraId="289C331F">
            <w:pPr>
              <w:jc w:val="center"/>
              <w:rPr>
                <w:rFonts w:ascii="宋体" w:hAnsi="宋体"/>
              </w:rPr>
            </w:pPr>
          </w:p>
        </w:tc>
      </w:tr>
      <w:tr w14:paraId="7436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36E2E0C4">
            <w:pPr>
              <w:jc w:val="center"/>
              <w:rPr>
                <w:rFonts w:ascii="宋体" w:hAnsi="宋体"/>
              </w:rPr>
            </w:pPr>
          </w:p>
        </w:tc>
        <w:tc>
          <w:tcPr>
            <w:tcW w:w="1401" w:type="dxa"/>
            <w:shd w:val="clear" w:color="auto" w:fill="auto"/>
            <w:vAlign w:val="center"/>
          </w:tcPr>
          <w:p w14:paraId="74F60C77">
            <w:pPr>
              <w:jc w:val="center"/>
              <w:rPr>
                <w:rFonts w:ascii="宋体" w:hAnsi="宋体"/>
              </w:rPr>
            </w:pPr>
          </w:p>
        </w:tc>
        <w:tc>
          <w:tcPr>
            <w:tcW w:w="4739" w:type="dxa"/>
            <w:shd w:val="clear" w:color="auto" w:fill="auto"/>
            <w:vAlign w:val="center"/>
          </w:tcPr>
          <w:p w14:paraId="24551CF3">
            <w:pPr>
              <w:jc w:val="center"/>
              <w:rPr>
                <w:rFonts w:ascii="宋体" w:hAnsi="宋体"/>
              </w:rPr>
            </w:pPr>
          </w:p>
        </w:tc>
        <w:tc>
          <w:tcPr>
            <w:tcW w:w="1738" w:type="dxa"/>
            <w:vAlign w:val="center"/>
          </w:tcPr>
          <w:p w14:paraId="51CA9013">
            <w:pPr>
              <w:jc w:val="center"/>
              <w:rPr>
                <w:rFonts w:ascii="宋体" w:hAnsi="宋体"/>
              </w:rPr>
            </w:pPr>
          </w:p>
        </w:tc>
        <w:tc>
          <w:tcPr>
            <w:tcW w:w="1736" w:type="dxa"/>
            <w:vAlign w:val="center"/>
          </w:tcPr>
          <w:p w14:paraId="61654CB6">
            <w:pPr>
              <w:jc w:val="center"/>
              <w:rPr>
                <w:rFonts w:ascii="宋体" w:hAnsi="宋体"/>
              </w:rPr>
            </w:pPr>
          </w:p>
        </w:tc>
      </w:tr>
      <w:tr w14:paraId="2175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4C40A7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131EAD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3FA786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18D726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0D618CB">
            <w:pPr>
              <w:jc w:val="center"/>
              <w:rPr>
                <w:rFonts w:ascii="宋体" w:hAnsi="宋体"/>
              </w:rPr>
            </w:pPr>
          </w:p>
        </w:tc>
      </w:tr>
      <w:tr w14:paraId="5EBE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C17F70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9D9956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711876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29D16B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97E9FB2">
            <w:pPr>
              <w:jc w:val="center"/>
              <w:rPr>
                <w:rFonts w:ascii="宋体" w:hAnsi="宋体"/>
              </w:rPr>
            </w:pPr>
          </w:p>
        </w:tc>
      </w:tr>
      <w:tr w14:paraId="3180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06AFDB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7E444B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DA667FA">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0793E45">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534CB0C">
            <w:pPr>
              <w:jc w:val="center"/>
              <w:rPr>
                <w:rFonts w:ascii="宋体" w:hAnsi="宋体"/>
              </w:rPr>
            </w:pPr>
          </w:p>
        </w:tc>
      </w:tr>
      <w:tr w14:paraId="1793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485CF6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BEAF2A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54DFA3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1E2B7E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6CDED35">
            <w:pPr>
              <w:jc w:val="center"/>
              <w:rPr>
                <w:rFonts w:ascii="宋体" w:hAnsi="宋体"/>
              </w:rPr>
            </w:pPr>
          </w:p>
        </w:tc>
      </w:tr>
      <w:tr w14:paraId="35AD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5D9229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F8164F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44038FA">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EB3D83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31FC0DC">
            <w:pPr>
              <w:jc w:val="center"/>
              <w:rPr>
                <w:rFonts w:ascii="宋体" w:hAnsi="宋体"/>
              </w:rPr>
            </w:pPr>
          </w:p>
        </w:tc>
      </w:tr>
      <w:tr w14:paraId="7F60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A62F50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DAB8D4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CF3CEB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688A58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F591AC5">
            <w:pPr>
              <w:jc w:val="center"/>
              <w:rPr>
                <w:rFonts w:ascii="宋体" w:hAnsi="宋体"/>
              </w:rPr>
            </w:pPr>
          </w:p>
        </w:tc>
      </w:tr>
      <w:tr w14:paraId="0135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E96A5F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E740CC0">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7D8DBB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E110BC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C4311DC">
            <w:pPr>
              <w:jc w:val="center"/>
              <w:rPr>
                <w:rFonts w:ascii="宋体" w:hAnsi="宋体"/>
              </w:rPr>
            </w:pPr>
          </w:p>
        </w:tc>
      </w:tr>
      <w:tr w14:paraId="6E9F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372866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F1453E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1696B4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86A407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9845A23">
            <w:pPr>
              <w:jc w:val="center"/>
              <w:rPr>
                <w:rFonts w:ascii="宋体" w:hAnsi="宋体"/>
              </w:rPr>
            </w:pPr>
          </w:p>
        </w:tc>
      </w:tr>
      <w:tr w14:paraId="5B40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56D3F61">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DB8423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809B22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84B40C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F5EA31C">
            <w:pPr>
              <w:jc w:val="center"/>
              <w:rPr>
                <w:rFonts w:ascii="宋体" w:hAnsi="宋体"/>
              </w:rPr>
            </w:pPr>
          </w:p>
        </w:tc>
      </w:tr>
      <w:tr w14:paraId="38B3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A2B9B1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646B9E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1C691F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960657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3DB64F1">
            <w:pPr>
              <w:jc w:val="center"/>
              <w:rPr>
                <w:rFonts w:ascii="宋体" w:hAnsi="宋体"/>
              </w:rPr>
            </w:pPr>
          </w:p>
        </w:tc>
      </w:tr>
      <w:tr w14:paraId="4734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8387ED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BF22D4B">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0043D2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6F09209">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4048C62">
            <w:pPr>
              <w:jc w:val="center"/>
              <w:rPr>
                <w:rFonts w:ascii="宋体" w:hAnsi="宋体"/>
              </w:rPr>
            </w:pPr>
          </w:p>
        </w:tc>
      </w:tr>
      <w:tr w14:paraId="5930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781ED6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FAD1B6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C6E40D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6BDC1A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094DE5D">
            <w:pPr>
              <w:jc w:val="center"/>
              <w:rPr>
                <w:rFonts w:ascii="宋体" w:hAnsi="宋体"/>
              </w:rPr>
            </w:pPr>
          </w:p>
        </w:tc>
      </w:tr>
      <w:tr w14:paraId="2FF4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9A3B51B">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1793FB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4CD392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FE9874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3AC0BC9">
            <w:pPr>
              <w:jc w:val="center"/>
              <w:rPr>
                <w:rFonts w:ascii="宋体" w:hAnsi="宋体"/>
              </w:rPr>
            </w:pPr>
          </w:p>
        </w:tc>
      </w:tr>
      <w:tr w14:paraId="2AD6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3AAA48A">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B4EABC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5BEB62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11743B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34A3E65">
            <w:pPr>
              <w:jc w:val="center"/>
              <w:rPr>
                <w:rFonts w:ascii="宋体" w:hAnsi="宋体"/>
              </w:rPr>
            </w:pPr>
          </w:p>
        </w:tc>
      </w:tr>
      <w:tr w14:paraId="2B60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A51C71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DB855B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7D0C34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C76E1B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92D0808">
            <w:pPr>
              <w:jc w:val="center"/>
              <w:rPr>
                <w:rFonts w:ascii="宋体" w:hAnsi="宋体"/>
              </w:rPr>
            </w:pPr>
          </w:p>
        </w:tc>
      </w:tr>
      <w:tr w14:paraId="1538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35EAC2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48E2DD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7C76FB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A810A1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EA705B5">
            <w:pPr>
              <w:jc w:val="center"/>
              <w:rPr>
                <w:rFonts w:ascii="宋体" w:hAnsi="宋体"/>
              </w:rPr>
            </w:pPr>
          </w:p>
        </w:tc>
      </w:tr>
      <w:tr w14:paraId="2575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B977AF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E5BAB9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04A674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450B6C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F3AFB38">
            <w:pPr>
              <w:jc w:val="center"/>
              <w:rPr>
                <w:rFonts w:ascii="宋体" w:hAnsi="宋体"/>
              </w:rPr>
            </w:pPr>
          </w:p>
        </w:tc>
      </w:tr>
      <w:tr w14:paraId="3585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B80B8C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4BD8AB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2180C0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B6E0C45">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A0F172F">
            <w:pPr>
              <w:jc w:val="center"/>
              <w:rPr>
                <w:rFonts w:ascii="宋体" w:hAnsi="宋体"/>
              </w:rPr>
            </w:pPr>
          </w:p>
        </w:tc>
      </w:tr>
      <w:tr w14:paraId="6F86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3150316">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45C625B">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619143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63C561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FDBB913">
            <w:pPr>
              <w:jc w:val="center"/>
              <w:rPr>
                <w:rFonts w:ascii="宋体" w:hAnsi="宋体"/>
              </w:rPr>
            </w:pPr>
          </w:p>
        </w:tc>
      </w:tr>
      <w:tr w14:paraId="262B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763FB7E">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0B82AE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3E1F08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1AE34F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CA0B31C">
            <w:pPr>
              <w:jc w:val="center"/>
              <w:rPr>
                <w:rFonts w:ascii="宋体" w:hAnsi="宋体"/>
              </w:rPr>
            </w:pPr>
          </w:p>
        </w:tc>
      </w:tr>
      <w:tr w14:paraId="5CA3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1F69FDA">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22B74F8">
            <w:pPr>
              <w:ind w:firstLine="220" w:firstLineChars="100"/>
              <w:jc w:val="left"/>
              <w:rPr>
                <w:rFonts w:ascii="宋体" w:hAnsi="宋体"/>
                <w:sz w:val="22"/>
                <w:szCs w:val="22"/>
                <w:lang w:eastAsia="zh-TW"/>
              </w:rPr>
            </w:pPr>
          </w:p>
          <w:p w14:paraId="5699CFD5">
            <w:pPr>
              <w:ind w:firstLine="220" w:firstLineChars="100"/>
              <w:jc w:val="left"/>
              <w:rPr>
                <w:rFonts w:ascii="宋体" w:hAnsi="宋体"/>
              </w:rPr>
            </w:pPr>
            <w:r>
              <w:rPr>
                <w:rFonts w:hint="eastAsia" w:ascii="宋体" w:hAnsi="宋体"/>
                <w:sz w:val="22"/>
                <w:szCs w:val="22"/>
                <w:lang w:eastAsia="zh-TW"/>
              </w:rPr>
              <w:t xml:space="preserve"> </w:t>
            </w:r>
            <w:r>
              <w:rPr>
                <w:rFonts w:ascii="宋体" w:hAnsi="宋体"/>
                <w:sz w:val="22"/>
                <w:szCs w:val="22"/>
              </w:rPr>
              <w:t xml:space="preserve"> </w:t>
            </w:r>
          </w:p>
        </w:tc>
      </w:tr>
    </w:tbl>
    <w:p w14:paraId="01E8A3E4">
      <w:pPr>
        <w:spacing w:line="360" w:lineRule="auto"/>
        <w:rPr>
          <w:b/>
          <w:sz w:val="22"/>
          <w:szCs w:val="22"/>
        </w:rPr>
      </w:pPr>
    </w:p>
    <w:p w14:paraId="28CCF019">
      <w:pPr>
        <w:numPr>
          <w:ilvl w:val="0"/>
          <w:numId w:val="1"/>
        </w:numPr>
        <w:tabs>
          <w:tab w:val="left" w:pos="709"/>
        </w:tabs>
        <w:spacing w:line="360" w:lineRule="auto"/>
        <w:ind w:left="709" w:hanging="709"/>
        <w:rPr>
          <w:b/>
          <w:bCs/>
          <w:sz w:val="24"/>
        </w:rPr>
      </w:pPr>
      <w:bookmarkStart w:id="1" w:name="_Hlk489618160"/>
      <w:r>
        <w:rPr>
          <w:b/>
          <w:bCs/>
          <w:sz w:val="24"/>
        </w:rPr>
        <w:t>目的</w:t>
      </w:r>
    </w:p>
    <w:p w14:paraId="172B249B">
      <w:pPr>
        <w:tabs>
          <w:tab w:val="left" w:pos="709"/>
        </w:tabs>
        <w:spacing w:line="360" w:lineRule="auto"/>
        <w:ind w:left="709"/>
        <w:rPr>
          <w:b/>
          <w:bCs/>
          <w:sz w:val="24"/>
        </w:rPr>
      </w:pPr>
      <w:r>
        <w:rPr>
          <w:rFonts w:hint="eastAsia"/>
          <w:sz w:val="24"/>
        </w:rPr>
        <w:t>规范过程确认要求，保证过程满足要求。</w:t>
      </w:r>
    </w:p>
    <w:bookmarkEnd w:id="1"/>
    <w:p w14:paraId="78A6CD55">
      <w:pPr>
        <w:numPr>
          <w:ilvl w:val="0"/>
          <w:numId w:val="1"/>
        </w:numPr>
        <w:tabs>
          <w:tab w:val="left" w:pos="709"/>
        </w:tabs>
        <w:spacing w:line="360" w:lineRule="auto"/>
        <w:ind w:left="709" w:hanging="709"/>
        <w:rPr>
          <w:b/>
          <w:bCs/>
          <w:sz w:val="24"/>
        </w:rPr>
      </w:pPr>
      <w:r>
        <w:rPr>
          <w:b/>
          <w:bCs/>
          <w:sz w:val="24"/>
        </w:rPr>
        <w:t>范围</w:t>
      </w:r>
    </w:p>
    <w:p w14:paraId="500E4F31">
      <w:pPr>
        <w:tabs>
          <w:tab w:val="left" w:pos="709"/>
        </w:tabs>
        <w:spacing w:line="360" w:lineRule="auto"/>
        <w:ind w:left="709"/>
        <w:rPr>
          <w:sz w:val="24"/>
        </w:rPr>
      </w:pPr>
      <w:r>
        <w:rPr>
          <w:rFonts w:hint="eastAsia"/>
          <w:sz w:val="24"/>
        </w:rPr>
        <w:t>本规程适用于本公司产品实现过程中关键工序的验证和特殊过程以及计算机软件的确认以及设计开发过程中所开展的设计验证活动。</w:t>
      </w:r>
    </w:p>
    <w:p w14:paraId="64BC680F">
      <w:pPr>
        <w:numPr>
          <w:ilvl w:val="0"/>
          <w:numId w:val="1"/>
        </w:numPr>
        <w:tabs>
          <w:tab w:val="left" w:pos="709"/>
        </w:tabs>
        <w:spacing w:line="360" w:lineRule="auto"/>
        <w:ind w:left="709" w:hanging="709"/>
        <w:rPr>
          <w:b/>
          <w:bCs/>
          <w:sz w:val="24"/>
        </w:rPr>
      </w:pPr>
      <w:r>
        <w:rPr>
          <w:b/>
          <w:bCs/>
          <w:sz w:val="24"/>
        </w:rPr>
        <w:t>职责</w:t>
      </w:r>
    </w:p>
    <w:p w14:paraId="6C335565">
      <w:pPr>
        <w:numPr>
          <w:ilvl w:val="1"/>
          <w:numId w:val="1"/>
        </w:numPr>
        <w:tabs>
          <w:tab w:val="left" w:pos="0"/>
          <w:tab w:val="left" w:pos="1260"/>
        </w:tabs>
        <w:spacing w:line="360" w:lineRule="auto"/>
        <w:ind w:left="1418" w:hanging="709"/>
        <w:rPr>
          <w:sz w:val="24"/>
        </w:rPr>
      </w:pPr>
      <w:r>
        <w:rPr>
          <w:rFonts w:hint="eastAsia"/>
          <w:sz w:val="24"/>
        </w:rPr>
        <w:t>管理者代表负责确认工作的组织与协调，批准验证和确认项目负责人，确认小组成员；负责验证、确认方案和报告的批准。</w:t>
      </w:r>
    </w:p>
    <w:p w14:paraId="609A72E6">
      <w:pPr>
        <w:numPr>
          <w:ilvl w:val="1"/>
          <w:numId w:val="1"/>
        </w:numPr>
        <w:tabs>
          <w:tab w:val="left" w:pos="0"/>
          <w:tab w:val="left" w:pos="1260"/>
        </w:tabs>
        <w:spacing w:line="360" w:lineRule="auto"/>
        <w:ind w:left="1418" w:hanging="709"/>
        <w:rPr>
          <w:sz w:val="24"/>
        </w:rPr>
      </w:pPr>
      <w:r>
        <w:rPr>
          <w:rFonts w:hint="eastAsia"/>
          <w:sz w:val="24"/>
        </w:rPr>
        <w:t>质管部负责相关产品生产全过程工艺文件、工序质量控制点文件的编制和修改。</w:t>
      </w:r>
    </w:p>
    <w:p w14:paraId="2F96AA02">
      <w:pPr>
        <w:numPr>
          <w:ilvl w:val="1"/>
          <w:numId w:val="1"/>
        </w:numPr>
        <w:tabs>
          <w:tab w:val="left" w:pos="0"/>
          <w:tab w:val="left" w:pos="1260"/>
        </w:tabs>
        <w:spacing w:line="360" w:lineRule="auto"/>
        <w:ind w:left="1418" w:hanging="709"/>
        <w:rPr>
          <w:sz w:val="24"/>
        </w:rPr>
      </w:pPr>
      <w:r>
        <w:rPr>
          <w:rFonts w:hint="eastAsia"/>
          <w:sz w:val="24"/>
        </w:rPr>
        <w:t>质管部负责组织特殊过程的确认方案和关键工序的验证方案的制定。</w:t>
      </w:r>
    </w:p>
    <w:p w14:paraId="33FD4C85">
      <w:pPr>
        <w:numPr>
          <w:ilvl w:val="1"/>
          <w:numId w:val="1"/>
        </w:numPr>
        <w:tabs>
          <w:tab w:val="left" w:pos="0"/>
          <w:tab w:val="left" w:pos="1260"/>
        </w:tabs>
        <w:spacing w:line="360" w:lineRule="auto"/>
        <w:ind w:left="1418" w:hanging="709"/>
        <w:rPr>
          <w:sz w:val="24"/>
        </w:rPr>
      </w:pPr>
      <w:r>
        <w:rPr>
          <w:rFonts w:hint="eastAsia"/>
          <w:sz w:val="24"/>
        </w:rPr>
        <w:t>生产技术部负责设备及工程系统的安装确认；负责制定设备和公用工程系统确认的标准、限度、能力和维护保养要求，培训操作人员，安装及确认中提供技术服务；验证和确认的实施；负责验证和确认过程中的抽样和测试。</w:t>
      </w:r>
    </w:p>
    <w:p w14:paraId="62B280AB">
      <w:pPr>
        <w:numPr>
          <w:ilvl w:val="0"/>
          <w:numId w:val="1"/>
        </w:numPr>
        <w:tabs>
          <w:tab w:val="left" w:pos="709"/>
        </w:tabs>
        <w:spacing w:line="360" w:lineRule="auto"/>
        <w:ind w:left="709" w:hanging="709"/>
        <w:rPr>
          <w:b/>
          <w:bCs/>
          <w:sz w:val="24"/>
        </w:rPr>
      </w:pPr>
      <w:r>
        <w:rPr>
          <w:rFonts w:hint="eastAsia"/>
          <w:b/>
          <w:bCs/>
          <w:sz w:val="24"/>
        </w:rPr>
        <w:t>工作程序</w:t>
      </w:r>
    </w:p>
    <w:p w14:paraId="0E9221C4">
      <w:pPr>
        <w:numPr>
          <w:ilvl w:val="1"/>
          <w:numId w:val="1"/>
        </w:numPr>
        <w:tabs>
          <w:tab w:val="left" w:pos="0"/>
          <w:tab w:val="left" w:pos="1260"/>
        </w:tabs>
        <w:spacing w:line="360" w:lineRule="auto"/>
        <w:ind w:left="1418" w:hanging="709"/>
        <w:rPr>
          <w:sz w:val="24"/>
        </w:rPr>
      </w:pPr>
      <w:r>
        <w:rPr>
          <w:rFonts w:hint="eastAsia"/>
          <w:sz w:val="24"/>
        </w:rPr>
        <w:t>为了确保我公司生产的产品能持续符合质量管理要求，必须对影响产品质量的诸多因素如：厂房设施及设备、特殊工序和关键工序的生产工艺、影响质量的重要物料如清洗用水和用气等进行确认，证明在同一条件状况下是否能始终如一地生产出合格的产品。</w:t>
      </w:r>
    </w:p>
    <w:p w14:paraId="74D60504">
      <w:pPr>
        <w:numPr>
          <w:ilvl w:val="1"/>
          <w:numId w:val="1"/>
        </w:numPr>
        <w:tabs>
          <w:tab w:val="left" w:pos="0"/>
          <w:tab w:val="left" w:pos="1260"/>
        </w:tabs>
        <w:spacing w:line="360" w:lineRule="auto"/>
        <w:ind w:left="1418" w:hanging="709"/>
        <w:rPr>
          <w:sz w:val="24"/>
        </w:rPr>
      </w:pPr>
      <w:r>
        <w:rPr>
          <w:rFonts w:ascii="宋体" w:hAnsi="宋体"/>
          <w:color w:val="000000"/>
          <w:kern w:val="18"/>
          <w:sz w:val="24"/>
        </w:rPr>
        <w:t>新产品投产前，应识别</w:t>
      </w:r>
      <w:r>
        <w:rPr>
          <w:rFonts w:hint="eastAsia" w:ascii="宋体" w:hAnsi="宋体"/>
          <w:color w:val="000000"/>
          <w:kern w:val="18"/>
          <w:sz w:val="24"/>
        </w:rPr>
        <w:t>特殊工序</w:t>
      </w:r>
      <w:r>
        <w:rPr>
          <w:rFonts w:ascii="宋体" w:hAnsi="宋体"/>
          <w:color w:val="000000"/>
          <w:kern w:val="18"/>
          <w:sz w:val="24"/>
        </w:rPr>
        <w:t>和关键工序，并确认其能适合常规生产，并证明使用其规定的原材料、设备、工艺、质量控制方法等是否能始终如一地生产出符合质量要求的产品。</w:t>
      </w:r>
    </w:p>
    <w:p w14:paraId="2A4F56A9">
      <w:pPr>
        <w:numPr>
          <w:ilvl w:val="1"/>
          <w:numId w:val="1"/>
        </w:numPr>
        <w:tabs>
          <w:tab w:val="left" w:pos="0"/>
          <w:tab w:val="left" w:pos="1260"/>
        </w:tabs>
        <w:spacing w:line="360" w:lineRule="auto"/>
        <w:ind w:left="1418" w:hanging="709"/>
        <w:rPr>
          <w:sz w:val="24"/>
        </w:rPr>
      </w:pPr>
      <w:r>
        <w:rPr>
          <w:rFonts w:ascii="宋体" w:hAnsi="宋体"/>
          <w:color w:val="000000"/>
          <w:kern w:val="18"/>
          <w:sz w:val="24"/>
        </w:rPr>
        <w:t>对已生产、销售的产品，应以积累的生产、检验（检测）和质控资料为依据，确认其生产过程及产品是否能始终如一地符合质量要求。</w:t>
      </w:r>
    </w:p>
    <w:p w14:paraId="0506E224">
      <w:pPr>
        <w:numPr>
          <w:ilvl w:val="1"/>
          <w:numId w:val="1"/>
        </w:numPr>
        <w:tabs>
          <w:tab w:val="left" w:pos="0"/>
          <w:tab w:val="left" w:pos="1260"/>
        </w:tabs>
        <w:spacing w:line="360" w:lineRule="auto"/>
        <w:ind w:left="1418" w:hanging="709"/>
        <w:rPr>
          <w:sz w:val="24"/>
        </w:rPr>
      </w:pPr>
      <w:r>
        <w:rPr>
          <w:rFonts w:hint="eastAsia"/>
          <w:sz w:val="24"/>
        </w:rPr>
        <w:t xml:space="preserve">确认实施的时间要求： </w:t>
      </w:r>
    </w:p>
    <w:p w14:paraId="0B00FBBB">
      <w:pPr>
        <w:pStyle w:val="18"/>
        <w:numPr>
          <w:ilvl w:val="0"/>
          <w:numId w:val="2"/>
        </w:numPr>
        <w:tabs>
          <w:tab w:val="left" w:pos="0"/>
          <w:tab w:val="left" w:pos="1260"/>
          <w:tab w:val="left" w:pos="1701"/>
        </w:tabs>
        <w:spacing w:line="360" w:lineRule="auto"/>
        <w:ind w:firstLine="147"/>
        <w:rPr>
          <w:sz w:val="24"/>
        </w:rPr>
      </w:pPr>
      <w:r>
        <w:rPr>
          <w:rFonts w:hint="eastAsia"/>
          <w:sz w:val="24"/>
        </w:rPr>
        <w:t>生产技术部确定或变更前。</w:t>
      </w:r>
    </w:p>
    <w:p w14:paraId="5F07D1A0">
      <w:pPr>
        <w:pStyle w:val="18"/>
        <w:numPr>
          <w:ilvl w:val="0"/>
          <w:numId w:val="2"/>
        </w:numPr>
        <w:tabs>
          <w:tab w:val="left" w:pos="0"/>
          <w:tab w:val="left" w:pos="1260"/>
          <w:tab w:val="left" w:pos="1701"/>
        </w:tabs>
        <w:spacing w:line="360" w:lineRule="auto"/>
        <w:ind w:firstLine="147"/>
        <w:rPr>
          <w:sz w:val="24"/>
        </w:rPr>
      </w:pPr>
      <w:r>
        <w:rPr>
          <w:rFonts w:hint="eastAsia"/>
          <w:sz w:val="24"/>
        </w:rPr>
        <w:t>生产技术部生产设备发生变更后。</w:t>
      </w:r>
    </w:p>
    <w:p w14:paraId="6EDA2672">
      <w:pPr>
        <w:pStyle w:val="18"/>
        <w:numPr>
          <w:ilvl w:val="0"/>
          <w:numId w:val="2"/>
        </w:numPr>
        <w:tabs>
          <w:tab w:val="left" w:pos="0"/>
          <w:tab w:val="left" w:pos="1260"/>
          <w:tab w:val="left" w:pos="1701"/>
        </w:tabs>
        <w:spacing w:line="360" w:lineRule="auto"/>
        <w:ind w:firstLine="147"/>
        <w:rPr>
          <w:sz w:val="24"/>
        </w:rPr>
      </w:pPr>
      <w:r>
        <w:rPr>
          <w:rFonts w:hint="eastAsia"/>
          <w:sz w:val="24"/>
        </w:rPr>
        <w:t>新工艺、新产品投产前。</w:t>
      </w:r>
    </w:p>
    <w:p w14:paraId="22E81304">
      <w:pPr>
        <w:pStyle w:val="18"/>
        <w:numPr>
          <w:ilvl w:val="0"/>
          <w:numId w:val="2"/>
        </w:numPr>
        <w:tabs>
          <w:tab w:val="left" w:pos="0"/>
          <w:tab w:val="left" w:pos="1260"/>
          <w:tab w:val="left" w:pos="1701"/>
        </w:tabs>
        <w:spacing w:line="360" w:lineRule="auto"/>
        <w:ind w:firstLine="147"/>
        <w:rPr>
          <w:sz w:val="24"/>
        </w:rPr>
      </w:pPr>
      <w:r>
        <w:rPr>
          <w:rFonts w:hint="eastAsia"/>
          <w:sz w:val="24"/>
        </w:rPr>
        <w:t>在处方或方法有重大变更前。</w:t>
      </w:r>
    </w:p>
    <w:p w14:paraId="28208CA3">
      <w:pPr>
        <w:pStyle w:val="18"/>
        <w:numPr>
          <w:ilvl w:val="0"/>
          <w:numId w:val="2"/>
        </w:numPr>
        <w:tabs>
          <w:tab w:val="left" w:pos="0"/>
          <w:tab w:val="left" w:pos="1701"/>
        </w:tabs>
        <w:spacing w:line="360" w:lineRule="auto"/>
        <w:ind w:left="1701" w:hanging="425"/>
        <w:rPr>
          <w:sz w:val="24"/>
        </w:rPr>
      </w:pPr>
      <w:r>
        <w:rPr>
          <w:rFonts w:hint="eastAsia"/>
          <w:sz w:val="24"/>
        </w:rPr>
        <w:t>按照确认周期的要求，确认周期一般为一年，可根据确认的具体情况由确认管理人员决定是否需进行再确认。再确认采用的方法必须和首次确认时相同，其确认的内容和广度可视情况而定。</w:t>
      </w:r>
    </w:p>
    <w:p w14:paraId="4FA353E3">
      <w:pPr>
        <w:numPr>
          <w:ilvl w:val="1"/>
          <w:numId w:val="1"/>
        </w:numPr>
        <w:tabs>
          <w:tab w:val="left" w:pos="0"/>
          <w:tab w:val="left" w:pos="1260"/>
        </w:tabs>
        <w:spacing w:line="360" w:lineRule="auto"/>
        <w:ind w:left="1418" w:hanging="709"/>
        <w:rPr>
          <w:rFonts w:ascii="宋体" w:hAnsi="宋体"/>
          <w:color w:val="000000"/>
          <w:kern w:val="18"/>
          <w:sz w:val="24"/>
        </w:rPr>
      </w:pPr>
      <w:r>
        <w:rPr>
          <w:rFonts w:ascii="宋体" w:hAnsi="宋体"/>
          <w:color w:val="000000"/>
          <w:kern w:val="18"/>
          <w:sz w:val="24"/>
        </w:rPr>
        <w:t xml:space="preserve">前确认 </w:t>
      </w:r>
    </w:p>
    <w:p w14:paraId="5C37EBEE">
      <w:pPr>
        <w:numPr>
          <w:ilvl w:val="2"/>
          <w:numId w:val="1"/>
        </w:numPr>
        <w:tabs>
          <w:tab w:val="left" w:pos="0"/>
          <w:tab w:val="left" w:pos="1260"/>
        </w:tabs>
        <w:spacing w:line="360" w:lineRule="auto"/>
        <w:rPr>
          <w:rFonts w:ascii="宋体" w:hAnsi="宋体"/>
          <w:color w:val="000000"/>
          <w:kern w:val="18"/>
          <w:sz w:val="24"/>
        </w:rPr>
      </w:pPr>
      <w:r>
        <w:rPr>
          <w:rFonts w:ascii="宋体" w:hAnsi="宋体"/>
          <w:color w:val="000000"/>
          <w:kern w:val="18"/>
          <w:sz w:val="24"/>
        </w:rPr>
        <w:t>前确认是正式投产前的质量活动，系指新产品、新处方、新工艺、新设备正式投入生产使用前，必须完成并达到设定要求的确认。</w:t>
      </w:r>
    </w:p>
    <w:p w14:paraId="7C80B431">
      <w:pPr>
        <w:numPr>
          <w:ilvl w:val="2"/>
          <w:numId w:val="1"/>
        </w:numPr>
        <w:tabs>
          <w:tab w:val="left" w:pos="0"/>
          <w:tab w:val="left" w:pos="1260"/>
        </w:tabs>
        <w:spacing w:line="360" w:lineRule="auto"/>
        <w:rPr>
          <w:rFonts w:ascii="宋体" w:hAnsi="宋体"/>
          <w:color w:val="000000"/>
          <w:kern w:val="18"/>
          <w:sz w:val="24"/>
        </w:rPr>
      </w:pPr>
      <w:r>
        <w:rPr>
          <w:rFonts w:ascii="宋体" w:hAnsi="宋体"/>
          <w:color w:val="000000"/>
          <w:kern w:val="18"/>
          <w:sz w:val="24"/>
        </w:rPr>
        <w:t>前确认除用于上述方面外，还用于有特殊质量要求的产品；靠生产控制及成品检验，不足以确保重现性的工艺或过程；产品的重要生产工艺或过程；历史资料不足，难以进行回顾性确认的工艺或过程。</w:t>
      </w:r>
    </w:p>
    <w:p w14:paraId="0F814F20">
      <w:pPr>
        <w:numPr>
          <w:ilvl w:val="1"/>
          <w:numId w:val="1"/>
        </w:numPr>
        <w:tabs>
          <w:tab w:val="left" w:pos="0"/>
          <w:tab w:val="left" w:pos="1260"/>
        </w:tabs>
        <w:spacing w:line="360" w:lineRule="auto"/>
        <w:ind w:left="1418" w:hanging="709"/>
        <w:rPr>
          <w:rFonts w:ascii="宋体" w:hAnsi="宋体"/>
          <w:color w:val="000000"/>
          <w:kern w:val="18"/>
          <w:sz w:val="24"/>
        </w:rPr>
      </w:pPr>
      <w:r>
        <w:rPr>
          <w:rFonts w:hint="eastAsia" w:ascii="宋体" w:hAnsi="宋体"/>
          <w:color w:val="000000"/>
          <w:kern w:val="18"/>
          <w:sz w:val="24"/>
        </w:rPr>
        <w:t>同步确认</w:t>
      </w:r>
    </w:p>
    <w:p w14:paraId="7BDF85CD">
      <w:pPr>
        <w:tabs>
          <w:tab w:val="left" w:pos="0"/>
          <w:tab w:val="left" w:pos="1260"/>
        </w:tabs>
        <w:spacing w:line="360" w:lineRule="auto"/>
        <w:ind w:left="1276"/>
        <w:rPr>
          <w:rFonts w:ascii="宋体" w:hAnsi="宋体"/>
          <w:color w:val="000000"/>
          <w:kern w:val="18"/>
          <w:sz w:val="24"/>
        </w:rPr>
      </w:pPr>
      <w:r>
        <w:rPr>
          <w:rFonts w:hint="eastAsia" w:ascii="宋体" w:hAnsi="宋体"/>
          <w:color w:val="000000"/>
          <w:kern w:val="18"/>
          <w:sz w:val="24"/>
        </w:rPr>
        <w:t>指在生产中在某项工艺运行的同时进行的确认，即从工艺运行过程中获得的数据来作为文件的依据，以证明某项工艺、设备等达到预定要求的活动。</w:t>
      </w:r>
    </w:p>
    <w:p w14:paraId="12A55172">
      <w:pPr>
        <w:numPr>
          <w:ilvl w:val="1"/>
          <w:numId w:val="1"/>
        </w:numPr>
        <w:tabs>
          <w:tab w:val="left" w:pos="0"/>
          <w:tab w:val="left" w:pos="1260"/>
        </w:tabs>
        <w:spacing w:line="360" w:lineRule="auto"/>
        <w:ind w:left="1418" w:hanging="709"/>
        <w:rPr>
          <w:rFonts w:ascii="宋体" w:hAnsi="宋体"/>
          <w:color w:val="000000"/>
          <w:kern w:val="18"/>
          <w:sz w:val="24"/>
        </w:rPr>
      </w:pPr>
      <w:r>
        <w:rPr>
          <w:rFonts w:hint="eastAsia" w:ascii="宋体" w:hAnsi="宋体"/>
          <w:color w:val="000000"/>
          <w:kern w:val="18"/>
          <w:sz w:val="24"/>
        </w:rPr>
        <w:t>回顾性确认</w:t>
      </w:r>
    </w:p>
    <w:p w14:paraId="4FE6E65D">
      <w:pPr>
        <w:tabs>
          <w:tab w:val="left" w:pos="0"/>
          <w:tab w:val="left" w:pos="1260"/>
        </w:tabs>
        <w:spacing w:line="360" w:lineRule="auto"/>
        <w:ind w:firstLine="1274" w:firstLineChars="531"/>
        <w:rPr>
          <w:rFonts w:ascii="宋体" w:hAnsi="宋体"/>
          <w:color w:val="000000"/>
          <w:kern w:val="18"/>
          <w:sz w:val="24"/>
        </w:rPr>
      </w:pPr>
      <w:r>
        <w:rPr>
          <w:rFonts w:hint="eastAsia" w:ascii="宋体" w:hAnsi="宋体"/>
          <w:color w:val="000000"/>
          <w:kern w:val="18"/>
          <w:sz w:val="24"/>
        </w:rPr>
        <w:t>指以历史数据的统计分析为基础，旨在证实正式生产工艺条件适用性的确认。</w:t>
      </w:r>
    </w:p>
    <w:p w14:paraId="01A0DFAB">
      <w:pPr>
        <w:numPr>
          <w:ilvl w:val="1"/>
          <w:numId w:val="1"/>
        </w:numPr>
        <w:tabs>
          <w:tab w:val="left" w:pos="0"/>
          <w:tab w:val="left" w:pos="1260"/>
        </w:tabs>
        <w:spacing w:line="360" w:lineRule="auto"/>
        <w:ind w:left="1418" w:hanging="709"/>
        <w:rPr>
          <w:rFonts w:ascii="宋体" w:hAnsi="宋体"/>
          <w:color w:val="000000"/>
          <w:kern w:val="18"/>
          <w:sz w:val="24"/>
        </w:rPr>
      </w:pPr>
      <w:r>
        <w:rPr>
          <w:rFonts w:hint="eastAsia" w:ascii="宋体" w:hAnsi="宋体"/>
          <w:color w:val="000000"/>
          <w:kern w:val="18"/>
          <w:sz w:val="24"/>
        </w:rPr>
        <w:t>再确认</w:t>
      </w:r>
    </w:p>
    <w:p w14:paraId="5FAABBE5">
      <w:pPr>
        <w:numPr>
          <w:ilvl w:val="2"/>
          <w:numId w:val="1"/>
        </w:numPr>
        <w:tabs>
          <w:tab w:val="left" w:pos="0"/>
          <w:tab w:val="left" w:pos="1260"/>
        </w:tabs>
        <w:spacing w:line="360" w:lineRule="auto"/>
        <w:rPr>
          <w:rFonts w:ascii="宋体" w:hAnsi="宋体"/>
          <w:color w:val="000000"/>
          <w:kern w:val="18"/>
          <w:sz w:val="24"/>
        </w:rPr>
      </w:pPr>
      <w:r>
        <w:rPr>
          <w:rFonts w:hint="eastAsia" w:ascii="宋体" w:hAnsi="宋体"/>
          <w:color w:val="000000"/>
          <w:kern w:val="18"/>
          <w:sz w:val="24"/>
        </w:rPr>
        <w:t>指一项工艺、一个过程、一个系统、一个设备或一种材料经过确认并在使用一定周期后进行的，旨在证实已确认状态没有发生飘移而进行的确认。特殊过程和关键工序需要定期（1年）进行再确认，并且每年年末编制下一年的确认计划。</w:t>
      </w:r>
    </w:p>
    <w:p w14:paraId="08BF9E96">
      <w:pPr>
        <w:numPr>
          <w:ilvl w:val="2"/>
          <w:numId w:val="1"/>
        </w:numPr>
        <w:tabs>
          <w:tab w:val="left" w:pos="0"/>
          <w:tab w:val="left" w:pos="1260"/>
        </w:tabs>
        <w:spacing w:line="360" w:lineRule="auto"/>
        <w:rPr>
          <w:rFonts w:ascii="宋体" w:hAnsi="宋体"/>
          <w:color w:val="000000"/>
          <w:kern w:val="18"/>
          <w:sz w:val="24"/>
        </w:rPr>
      </w:pPr>
      <w:r>
        <w:rPr>
          <w:rFonts w:hint="eastAsia" w:ascii="宋体" w:hAnsi="宋体"/>
          <w:color w:val="000000"/>
          <w:kern w:val="18"/>
          <w:sz w:val="24"/>
        </w:rPr>
        <w:t>再确认在下列情况下进行：</w:t>
      </w:r>
    </w:p>
    <w:p w14:paraId="5B2A7278">
      <w:pPr>
        <w:tabs>
          <w:tab w:val="left" w:pos="0"/>
          <w:tab w:val="left" w:pos="1260"/>
        </w:tabs>
        <w:spacing w:line="360" w:lineRule="auto"/>
        <w:ind w:left="1985"/>
        <w:rPr>
          <w:rFonts w:ascii="宋体" w:hAnsi="宋体"/>
          <w:color w:val="000000"/>
          <w:kern w:val="18"/>
          <w:sz w:val="24"/>
        </w:rPr>
      </w:pPr>
      <w:r>
        <w:rPr>
          <w:rFonts w:hint="eastAsia" w:ascii="宋体" w:hAnsi="宋体"/>
          <w:color w:val="000000"/>
          <w:kern w:val="18"/>
          <w:sz w:val="24"/>
        </w:rPr>
        <w:t>——特殊过程和关键工艺、设备、程控设备在预定生产一定周期后；</w:t>
      </w:r>
    </w:p>
    <w:p w14:paraId="44A3C6DB">
      <w:pPr>
        <w:tabs>
          <w:tab w:val="left" w:pos="1260"/>
        </w:tabs>
        <w:spacing w:line="360" w:lineRule="auto"/>
        <w:ind w:left="2409" w:leftChars="946" w:hanging="422" w:hangingChars="176"/>
        <w:rPr>
          <w:rFonts w:ascii="宋体" w:hAnsi="宋体"/>
          <w:color w:val="000000"/>
          <w:kern w:val="18"/>
          <w:sz w:val="24"/>
        </w:rPr>
      </w:pPr>
      <w:r>
        <w:rPr>
          <w:rFonts w:hint="eastAsia" w:ascii="宋体" w:hAnsi="宋体"/>
          <w:color w:val="000000"/>
          <w:kern w:val="18"/>
          <w:sz w:val="24"/>
        </w:rPr>
        <w:t>——影响产品质量的主要因素，如工艺、质量控制方法、主要原辅材料、主要生产设备或生产介质发生改变时；</w:t>
      </w:r>
    </w:p>
    <w:p w14:paraId="32A5D8F0">
      <w:pPr>
        <w:tabs>
          <w:tab w:val="left" w:pos="0"/>
          <w:tab w:val="left" w:pos="1260"/>
        </w:tabs>
        <w:spacing w:line="360" w:lineRule="auto"/>
        <w:ind w:left="1985"/>
        <w:rPr>
          <w:rFonts w:ascii="宋体" w:hAnsi="宋体"/>
          <w:color w:val="000000"/>
          <w:kern w:val="18"/>
          <w:sz w:val="24"/>
        </w:rPr>
      </w:pPr>
      <w:r>
        <w:rPr>
          <w:rFonts w:hint="eastAsia" w:ascii="宋体" w:hAnsi="宋体"/>
          <w:color w:val="000000"/>
          <w:kern w:val="18"/>
          <w:sz w:val="24"/>
        </w:rPr>
        <w:t>——批次量有数量级的变更；</w:t>
      </w:r>
    </w:p>
    <w:p w14:paraId="59A262B3">
      <w:pPr>
        <w:tabs>
          <w:tab w:val="left" w:pos="0"/>
          <w:tab w:val="left" w:pos="1260"/>
        </w:tabs>
        <w:spacing w:line="360" w:lineRule="auto"/>
        <w:ind w:left="1985"/>
        <w:rPr>
          <w:rFonts w:ascii="宋体" w:hAnsi="宋体"/>
          <w:color w:val="000000"/>
          <w:kern w:val="18"/>
          <w:sz w:val="24"/>
        </w:rPr>
      </w:pPr>
      <w:r>
        <w:rPr>
          <w:rFonts w:hint="eastAsia" w:ascii="宋体" w:hAnsi="宋体"/>
          <w:color w:val="000000"/>
          <w:kern w:val="18"/>
          <w:sz w:val="24"/>
        </w:rPr>
        <w:t>——趋势分析中发现有系统性偏差；</w:t>
      </w:r>
    </w:p>
    <w:p w14:paraId="01D68199">
      <w:pPr>
        <w:tabs>
          <w:tab w:val="left" w:pos="0"/>
          <w:tab w:val="left" w:pos="1260"/>
        </w:tabs>
        <w:spacing w:line="360" w:lineRule="auto"/>
        <w:ind w:left="1985"/>
        <w:rPr>
          <w:rFonts w:ascii="宋体" w:hAnsi="宋体"/>
          <w:color w:val="000000"/>
          <w:kern w:val="18"/>
          <w:sz w:val="24"/>
        </w:rPr>
      </w:pPr>
      <w:r>
        <w:rPr>
          <w:rFonts w:hint="eastAsia" w:ascii="宋体" w:hAnsi="宋体"/>
          <w:color w:val="000000"/>
          <w:kern w:val="18"/>
          <w:sz w:val="24"/>
        </w:rPr>
        <w:t>——政府法规要求。</w:t>
      </w:r>
    </w:p>
    <w:p w14:paraId="29888FD7">
      <w:pPr>
        <w:numPr>
          <w:ilvl w:val="1"/>
          <w:numId w:val="1"/>
        </w:numPr>
        <w:tabs>
          <w:tab w:val="left" w:pos="0"/>
          <w:tab w:val="left" w:pos="1260"/>
        </w:tabs>
        <w:spacing w:line="360" w:lineRule="auto"/>
        <w:ind w:left="1418" w:hanging="709"/>
        <w:rPr>
          <w:rFonts w:ascii="宋体" w:hAnsi="宋体"/>
          <w:color w:val="000000"/>
          <w:kern w:val="18"/>
          <w:sz w:val="24"/>
        </w:rPr>
      </w:pPr>
      <w:r>
        <w:rPr>
          <w:rFonts w:hint="eastAsia" w:ascii="宋体" w:hAnsi="宋体"/>
          <w:color w:val="000000"/>
          <w:kern w:val="18"/>
          <w:sz w:val="24"/>
        </w:rPr>
        <w:t xml:space="preserve">成立验证和确认领导小组 </w:t>
      </w:r>
    </w:p>
    <w:p w14:paraId="16081DDA">
      <w:pPr>
        <w:tabs>
          <w:tab w:val="left" w:pos="0"/>
          <w:tab w:val="left" w:pos="1260"/>
        </w:tabs>
        <w:spacing w:line="360" w:lineRule="auto"/>
        <w:ind w:left="1276"/>
        <w:rPr>
          <w:rFonts w:ascii="宋体" w:hAnsi="宋体"/>
          <w:color w:val="000000"/>
          <w:kern w:val="18"/>
          <w:sz w:val="24"/>
        </w:rPr>
      </w:pPr>
      <w:r>
        <w:rPr>
          <w:rFonts w:hint="eastAsia" w:ascii="宋体" w:hAnsi="宋体"/>
          <w:color w:val="000000"/>
          <w:kern w:val="18"/>
          <w:sz w:val="24"/>
        </w:rPr>
        <w:t>由管理者代表任命确认小组组长，根据公司实际需确认的对象，分为设备及公用工程系统、生产工艺、清洁方法确认，并针对确认对象设立相应的确认小组，确认小组包括生产技术部相关人员。（见相应的确认方案）</w:t>
      </w:r>
    </w:p>
    <w:p w14:paraId="4CDE5C0C">
      <w:pPr>
        <w:numPr>
          <w:ilvl w:val="1"/>
          <w:numId w:val="1"/>
        </w:numPr>
        <w:tabs>
          <w:tab w:val="left" w:pos="0"/>
          <w:tab w:val="left" w:pos="1260"/>
        </w:tabs>
        <w:spacing w:line="360" w:lineRule="auto"/>
        <w:ind w:left="1418" w:hanging="709"/>
        <w:rPr>
          <w:rFonts w:ascii="宋体" w:hAnsi="宋体"/>
          <w:color w:val="000000"/>
          <w:kern w:val="18"/>
          <w:sz w:val="24"/>
        </w:rPr>
      </w:pPr>
      <w:r>
        <w:rPr>
          <w:rFonts w:hint="eastAsia" w:ascii="宋体" w:hAnsi="宋体"/>
          <w:color w:val="000000"/>
          <w:kern w:val="18"/>
          <w:sz w:val="24"/>
        </w:rPr>
        <w:t xml:space="preserve">验证和确认方案编写 </w:t>
      </w:r>
    </w:p>
    <w:p w14:paraId="14E9A174">
      <w:pPr>
        <w:tabs>
          <w:tab w:val="left" w:pos="0"/>
          <w:tab w:val="left" w:pos="1260"/>
        </w:tabs>
        <w:spacing w:line="360" w:lineRule="auto"/>
        <w:ind w:left="1276"/>
        <w:rPr>
          <w:rFonts w:ascii="宋体" w:hAnsi="宋体"/>
          <w:color w:val="000000"/>
          <w:kern w:val="18"/>
          <w:sz w:val="24"/>
        </w:rPr>
      </w:pPr>
      <w:r>
        <w:rPr>
          <w:rFonts w:hint="eastAsia" w:ascii="宋体" w:hAnsi="宋体"/>
          <w:color w:val="000000"/>
          <w:kern w:val="18"/>
          <w:sz w:val="24"/>
        </w:rPr>
        <w:t>验证和确认方案是为实施确认而制定的一套包括待确认项目（如系统、设备或工艺）、目的、范围、标准、步骤、记录、结果、评价及最终结论在内的文件，所有工艺和设备的确认方案按照统一的格式编写。其内容与格式参照确认方案的模板。验证和确认方案的草案由质管部起草。</w:t>
      </w:r>
    </w:p>
    <w:p w14:paraId="0AD85EB8">
      <w:pPr>
        <w:numPr>
          <w:ilvl w:val="1"/>
          <w:numId w:val="1"/>
        </w:numPr>
        <w:tabs>
          <w:tab w:val="left" w:pos="0"/>
          <w:tab w:val="left" w:pos="1260"/>
        </w:tabs>
        <w:spacing w:line="360" w:lineRule="auto"/>
        <w:ind w:left="1418" w:hanging="709"/>
        <w:rPr>
          <w:rFonts w:ascii="宋体" w:hAnsi="宋体"/>
          <w:color w:val="000000"/>
          <w:kern w:val="18"/>
          <w:sz w:val="24"/>
        </w:rPr>
      </w:pPr>
      <w:r>
        <w:rPr>
          <w:rFonts w:hint="eastAsia" w:ascii="宋体" w:hAnsi="宋体"/>
          <w:color w:val="000000"/>
          <w:kern w:val="18"/>
          <w:sz w:val="24"/>
        </w:rPr>
        <w:t xml:space="preserve">验证和确认方案的审批和实施 </w:t>
      </w:r>
    </w:p>
    <w:p w14:paraId="49CC902A">
      <w:pPr>
        <w:numPr>
          <w:ilvl w:val="2"/>
          <w:numId w:val="1"/>
        </w:numPr>
        <w:tabs>
          <w:tab w:val="left" w:pos="0"/>
          <w:tab w:val="left" w:pos="1260"/>
        </w:tabs>
        <w:spacing w:line="360" w:lineRule="auto"/>
        <w:rPr>
          <w:rFonts w:ascii="宋体" w:hAnsi="宋体"/>
          <w:color w:val="000000"/>
          <w:kern w:val="18"/>
          <w:sz w:val="24"/>
        </w:rPr>
      </w:pPr>
      <w:r>
        <w:rPr>
          <w:rFonts w:hint="eastAsia" w:ascii="宋体" w:hAnsi="宋体"/>
          <w:color w:val="000000"/>
          <w:kern w:val="18"/>
          <w:sz w:val="24"/>
        </w:rPr>
        <w:t>验证和确认方案完成后，确认小组组长和确认实施的相关人员进行审核确认，由小组组长修正后，并由管理者代表或者管理者代表授权相关负责人批准后，确认方案才可生效。验证和确认方案确定生效后，由小组组织力量实施。按安装确认、运行确认、性能确认等阶段进行，并做好各阶段的确认。验证和确认小组组长负责收集、整理确认数据和记录，起草阶段性和最终结论文件，上报质管部负责人审核，管理者代表审批。如有偏差或异常，由验证和确认小组组长组织进行偏差调查，并整理书面偏差报告，确定是否进行变更以及是否重新确认等，并保留偏差、变更等相应记录。如需制定补充性验证和确认方案，仍由验证和确认小组会签、质管部负责人审核，管理者代表批准后执行。</w:t>
      </w:r>
    </w:p>
    <w:p w14:paraId="1FA07B82">
      <w:pPr>
        <w:numPr>
          <w:ilvl w:val="2"/>
          <w:numId w:val="1"/>
        </w:numPr>
        <w:tabs>
          <w:tab w:val="left" w:pos="0"/>
          <w:tab w:val="left" w:pos="1260"/>
        </w:tabs>
        <w:spacing w:line="360" w:lineRule="auto"/>
        <w:rPr>
          <w:rFonts w:ascii="宋体" w:hAnsi="宋体"/>
          <w:color w:val="000000"/>
          <w:kern w:val="18"/>
          <w:sz w:val="24"/>
        </w:rPr>
      </w:pPr>
      <w:r>
        <w:rPr>
          <w:rFonts w:hint="eastAsia" w:ascii="宋体" w:hAnsi="宋体"/>
          <w:color w:val="000000"/>
          <w:kern w:val="18"/>
          <w:sz w:val="24"/>
        </w:rPr>
        <w:t>实施确认的人员需经过确认要求的培训，且经考核后方可成为确认过程的操作人员。</w:t>
      </w:r>
    </w:p>
    <w:p w14:paraId="12A10646">
      <w:pPr>
        <w:numPr>
          <w:ilvl w:val="1"/>
          <w:numId w:val="1"/>
        </w:numPr>
        <w:tabs>
          <w:tab w:val="left" w:pos="0"/>
          <w:tab w:val="left" w:pos="1260"/>
        </w:tabs>
        <w:spacing w:line="360" w:lineRule="auto"/>
        <w:ind w:left="1418" w:hanging="709"/>
        <w:rPr>
          <w:rFonts w:ascii="宋体" w:hAnsi="宋体"/>
          <w:color w:val="000000"/>
          <w:kern w:val="18"/>
          <w:sz w:val="24"/>
        </w:rPr>
      </w:pPr>
      <w:r>
        <w:rPr>
          <w:rFonts w:hint="eastAsia" w:ascii="宋体" w:hAnsi="宋体"/>
          <w:color w:val="000000"/>
          <w:kern w:val="18"/>
          <w:sz w:val="24"/>
        </w:rPr>
        <w:t>编制验证和确认报告</w:t>
      </w:r>
    </w:p>
    <w:p w14:paraId="6A69830A">
      <w:pPr>
        <w:numPr>
          <w:ilvl w:val="2"/>
          <w:numId w:val="1"/>
        </w:numPr>
        <w:tabs>
          <w:tab w:val="left" w:pos="0"/>
          <w:tab w:val="left" w:pos="1260"/>
        </w:tabs>
        <w:spacing w:line="360" w:lineRule="auto"/>
        <w:rPr>
          <w:rFonts w:ascii="宋体" w:hAnsi="宋体"/>
          <w:color w:val="000000"/>
          <w:kern w:val="18"/>
          <w:sz w:val="24"/>
        </w:rPr>
      </w:pPr>
      <w:r>
        <w:rPr>
          <w:rFonts w:hint="eastAsia" w:ascii="宋体" w:hAnsi="宋体"/>
          <w:color w:val="000000"/>
          <w:kern w:val="18"/>
          <w:sz w:val="24"/>
        </w:rPr>
        <w:t>验证和确认小组成员按各自分工填写确认记录，由验证和确认小组组长填写确认报告，并由各成员会签后，报质管部负责人审核，管理者代表签署批准生效。</w:t>
      </w:r>
    </w:p>
    <w:p w14:paraId="4FC14252">
      <w:pPr>
        <w:numPr>
          <w:ilvl w:val="2"/>
          <w:numId w:val="1"/>
        </w:numPr>
        <w:tabs>
          <w:tab w:val="left" w:pos="0"/>
          <w:tab w:val="left" w:pos="1260"/>
        </w:tabs>
        <w:spacing w:line="360" w:lineRule="auto"/>
        <w:rPr>
          <w:rFonts w:ascii="宋体" w:hAnsi="宋体"/>
          <w:color w:val="000000"/>
          <w:kern w:val="18"/>
          <w:sz w:val="24"/>
        </w:rPr>
      </w:pPr>
      <w:r>
        <w:rPr>
          <w:rFonts w:hint="eastAsia" w:ascii="宋体" w:hAnsi="宋体"/>
          <w:color w:val="000000"/>
          <w:kern w:val="18"/>
          <w:sz w:val="24"/>
        </w:rPr>
        <w:t>确认报告的一般内容包括：</w:t>
      </w:r>
    </w:p>
    <w:p w14:paraId="21D433DF">
      <w:pPr>
        <w:tabs>
          <w:tab w:val="left" w:pos="0"/>
          <w:tab w:val="left" w:pos="1260"/>
        </w:tabs>
        <w:spacing w:line="360" w:lineRule="auto"/>
        <w:ind w:left="709" w:firstLine="1274" w:firstLineChars="531"/>
        <w:rPr>
          <w:rFonts w:ascii="宋体" w:hAnsi="宋体"/>
          <w:color w:val="000000"/>
          <w:kern w:val="18"/>
          <w:sz w:val="24"/>
        </w:rPr>
      </w:pPr>
      <w:r>
        <w:rPr>
          <w:rFonts w:hint="eastAsia" w:ascii="宋体" w:hAnsi="宋体"/>
          <w:color w:val="000000"/>
          <w:kern w:val="18"/>
          <w:sz w:val="24"/>
        </w:rPr>
        <w:t>——说明：验证和确认过程总结。</w:t>
      </w:r>
    </w:p>
    <w:p w14:paraId="3A2B80C1">
      <w:pPr>
        <w:tabs>
          <w:tab w:val="left" w:pos="0"/>
          <w:tab w:val="left" w:pos="1260"/>
        </w:tabs>
        <w:spacing w:line="360" w:lineRule="auto"/>
        <w:ind w:left="709" w:firstLine="1274" w:firstLineChars="531"/>
        <w:rPr>
          <w:rFonts w:ascii="宋体" w:hAnsi="宋体"/>
          <w:color w:val="000000"/>
          <w:kern w:val="18"/>
          <w:sz w:val="24"/>
        </w:rPr>
      </w:pPr>
      <w:r>
        <w:rPr>
          <w:rFonts w:hint="eastAsia" w:ascii="宋体" w:hAnsi="宋体"/>
          <w:color w:val="000000"/>
          <w:kern w:val="18"/>
          <w:sz w:val="24"/>
        </w:rPr>
        <w:t>——确认结果汇总：按照验证和确认项目进行结果汇总统计。</w:t>
      </w:r>
    </w:p>
    <w:p w14:paraId="29430C68">
      <w:pPr>
        <w:tabs>
          <w:tab w:val="left" w:pos="0"/>
          <w:tab w:val="left" w:pos="1260"/>
        </w:tabs>
        <w:spacing w:line="360" w:lineRule="auto"/>
        <w:ind w:left="709" w:firstLine="1274" w:firstLineChars="531"/>
        <w:rPr>
          <w:rFonts w:ascii="宋体" w:hAnsi="宋体"/>
          <w:color w:val="000000"/>
          <w:kern w:val="18"/>
          <w:sz w:val="24"/>
        </w:rPr>
      </w:pPr>
      <w:r>
        <w:rPr>
          <w:rFonts w:hint="eastAsia" w:ascii="宋体" w:hAnsi="宋体"/>
          <w:color w:val="000000"/>
          <w:kern w:val="18"/>
          <w:sz w:val="24"/>
        </w:rPr>
        <w:t>——确认文件汇总：列出验证和确认过程形成的所有文件的名称、编码。</w:t>
      </w:r>
    </w:p>
    <w:p w14:paraId="4F530E5F">
      <w:pPr>
        <w:tabs>
          <w:tab w:val="left" w:pos="1260"/>
        </w:tabs>
        <w:spacing w:line="360" w:lineRule="auto"/>
        <w:ind w:left="2551" w:leftChars="946" w:hanging="564" w:hangingChars="235"/>
        <w:rPr>
          <w:rFonts w:ascii="宋体" w:hAnsi="宋体"/>
          <w:color w:val="000000"/>
          <w:kern w:val="18"/>
          <w:sz w:val="24"/>
        </w:rPr>
      </w:pPr>
      <w:r>
        <w:rPr>
          <w:rFonts w:hint="eastAsia" w:ascii="宋体" w:hAnsi="宋体"/>
          <w:color w:val="000000"/>
          <w:kern w:val="18"/>
          <w:sz w:val="24"/>
        </w:rPr>
        <w:t>——偏差报告：对验证和确认实施过程中遇到的偏差或异常进行调查分析，是否需要变更。</w:t>
      </w:r>
    </w:p>
    <w:p w14:paraId="45EB6FA7">
      <w:pPr>
        <w:tabs>
          <w:tab w:val="left" w:pos="1260"/>
        </w:tabs>
        <w:spacing w:line="360" w:lineRule="auto"/>
        <w:ind w:left="2551" w:leftChars="946" w:hanging="564" w:hangingChars="235"/>
        <w:rPr>
          <w:rFonts w:ascii="宋体" w:hAnsi="宋体"/>
          <w:color w:val="000000"/>
          <w:kern w:val="18"/>
          <w:sz w:val="24"/>
        </w:rPr>
      </w:pPr>
      <w:r>
        <w:rPr>
          <w:rFonts w:hint="eastAsia" w:ascii="宋体" w:hAnsi="宋体"/>
          <w:color w:val="000000"/>
          <w:kern w:val="18"/>
          <w:sz w:val="24"/>
        </w:rPr>
        <w:t>——评价分析：将验证和确认结果与可接受限度进行对照分析评价。评价不仅仅限于结果是否符合要求，更重要的是结果的稳定可靠性、差异等，进一步评价过程。</w:t>
      </w:r>
    </w:p>
    <w:p w14:paraId="6CB6E653">
      <w:pPr>
        <w:tabs>
          <w:tab w:val="left" w:pos="1260"/>
        </w:tabs>
        <w:spacing w:line="360" w:lineRule="auto"/>
        <w:ind w:left="2551" w:leftChars="946" w:hanging="564" w:hangingChars="235"/>
        <w:rPr>
          <w:rFonts w:ascii="宋体" w:hAnsi="宋体"/>
          <w:color w:val="000000"/>
          <w:kern w:val="18"/>
          <w:sz w:val="24"/>
        </w:rPr>
      </w:pPr>
      <w:r>
        <w:rPr>
          <w:rFonts w:hint="eastAsia" w:ascii="宋体" w:hAnsi="宋体"/>
          <w:color w:val="000000"/>
          <w:kern w:val="18"/>
          <w:sz w:val="24"/>
        </w:rPr>
        <w:t>——结论：根据评价结果，应作出非常明确的结论，包括每个过程和整个过程。此外总结论必须说明整个验证和确认项目是否需要变更，若有变更是否需要进行再验证和确认等。</w:t>
      </w:r>
    </w:p>
    <w:p w14:paraId="72266C74">
      <w:pPr>
        <w:tabs>
          <w:tab w:val="left" w:pos="1260"/>
        </w:tabs>
        <w:spacing w:line="360" w:lineRule="auto"/>
        <w:ind w:left="2551" w:leftChars="946" w:hanging="564" w:hangingChars="235"/>
        <w:rPr>
          <w:rFonts w:ascii="宋体" w:hAnsi="宋体"/>
          <w:color w:val="000000"/>
          <w:kern w:val="18"/>
          <w:sz w:val="24"/>
        </w:rPr>
      </w:pPr>
      <w:r>
        <w:rPr>
          <w:rFonts w:hint="eastAsia" w:ascii="宋体" w:hAnsi="宋体"/>
          <w:color w:val="000000"/>
          <w:kern w:val="18"/>
          <w:sz w:val="24"/>
        </w:rPr>
        <w:t>——验证和确认的回顾：根据验证和确认的项目不一样，制定再验证和确认的时间。</w:t>
      </w:r>
    </w:p>
    <w:p w14:paraId="72BD5CAD">
      <w:pPr>
        <w:numPr>
          <w:ilvl w:val="1"/>
          <w:numId w:val="1"/>
        </w:numPr>
        <w:tabs>
          <w:tab w:val="left" w:pos="0"/>
          <w:tab w:val="left" w:pos="1260"/>
        </w:tabs>
        <w:spacing w:line="360" w:lineRule="auto"/>
        <w:ind w:left="1418" w:hanging="709"/>
        <w:rPr>
          <w:rFonts w:ascii="宋体" w:hAnsi="宋体"/>
          <w:color w:val="000000"/>
          <w:kern w:val="18"/>
          <w:sz w:val="24"/>
        </w:rPr>
      </w:pPr>
      <w:r>
        <w:rPr>
          <w:rFonts w:hint="eastAsia" w:ascii="宋体" w:hAnsi="宋体"/>
          <w:color w:val="000000"/>
          <w:kern w:val="18"/>
          <w:sz w:val="24"/>
        </w:rPr>
        <w:t>验证和确认文件的管理</w:t>
      </w:r>
    </w:p>
    <w:p w14:paraId="50154A7D">
      <w:pPr>
        <w:numPr>
          <w:ilvl w:val="2"/>
          <w:numId w:val="1"/>
        </w:numPr>
        <w:tabs>
          <w:tab w:val="left" w:pos="0"/>
          <w:tab w:val="left" w:pos="1260"/>
        </w:tabs>
        <w:spacing w:line="360" w:lineRule="auto"/>
        <w:rPr>
          <w:rFonts w:ascii="宋体" w:hAnsi="宋体"/>
          <w:color w:val="000000"/>
          <w:kern w:val="18"/>
          <w:sz w:val="24"/>
        </w:rPr>
      </w:pPr>
      <w:r>
        <w:rPr>
          <w:rFonts w:hint="eastAsia" w:ascii="宋体" w:hAnsi="宋体"/>
          <w:color w:val="000000"/>
          <w:kern w:val="18"/>
          <w:sz w:val="24"/>
        </w:rPr>
        <w:t>质管部负责建立验证和确认档案，包括确认文件、确认台帐等。</w:t>
      </w:r>
    </w:p>
    <w:p w14:paraId="1EEDF1F0">
      <w:pPr>
        <w:numPr>
          <w:ilvl w:val="2"/>
          <w:numId w:val="1"/>
        </w:numPr>
        <w:tabs>
          <w:tab w:val="left" w:pos="0"/>
          <w:tab w:val="left" w:pos="1260"/>
        </w:tabs>
        <w:spacing w:line="360" w:lineRule="auto"/>
        <w:rPr>
          <w:rFonts w:ascii="宋体" w:hAnsi="宋体"/>
          <w:color w:val="000000"/>
          <w:kern w:val="18"/>
          <w:sz w:val="24"/>
        </w:rPr>
      </w:pPr>
      <w:r>
        <w:rPr>
          <w:rFonts w:hint="eastAsia" w:ascii="宋体" w:hAnsi="宋体"/>
          <w:color w:val="000000"/>
          <w:kern w:val="18"/>
          <w:sz w:val="24"/>
        </w:rPr>
        <w:t xml:space="preserve">验证和确认小组组长及时将文件按照《文件控制程序》归档保存，自己可以保留备份验证和确认记录。  </w:t>
      </w:r>
    </w:p>
    <w:p w14:paraId="3D5BF7D5">
      <w:pPr>
        <w:numPr>
          <w:ilvl w:val="0"/>
          <w:numId w:val="1"/>
        </w:numPr>
        <w:tabs>
          <w:tab w:val="left" w:pos="709"/>
        </w:tabs>
        <w:spacing w:line="360" w:lineRule="auto"/>
        <w:ind w:left="709" w:hanging="709"/>
        <w:rPr>
          <w:b/>
          <w:bCs/>
          <w:sz w:val="24"/>
        </w:rPr>
      </w:pPr>
      <w:r>
        <w:rPr>
          <w:rFonts w:hint="eastAsia"/>
          <w:b/>
          <w:bCs/>
          <w:sz w:val="24"/>
        </w:rPr>
        <w:t>相关文件</w:t>
      </w:r>
    </w:p>
    <w:p w14:paraId="23B24C9A">
      <w:pPr>
        <w:tabs>
          <w:tab w:val="left" w:pos="0"/>
          <w:tab w:val="left" w:pos="1260"/>
        </w:tabs>
        <w:spacing w:line="360" w:lineRule="auto"/>
        <w:ind w:left="1418"/>
        <w:rPr>
          <w:rFonts w:ascii="宋体" w:hAnsi="宋体"/>
          <w:sz w:val="24"/>
        </w:rPr>
      </w:pPr>
      <w:r>
        <w:rPr>
          <w:rFonts w:ascii="宋体" w:hAnsi="宋体"/>
          <w:sz w:val="24"/>
        </w:rPr>
        <w:t>QA-OP-001</w:t>
      </w:r>
      <w:r>
        <w:rPr>
          <w:rFonts w:hint="eastAsia" w:ascii="宋体" w:hAnsi="宋体"/>
          <w:sz w:val="24"/>
        </w:rPr>
        <w:t xml:space="preserve"> 《文件控制程序》</w:t>
      </w:r>
    </w:p>
    <w:p w14:paraId="73D38470">
      <w:pPr>
        <w:numPr>
          <w:ilvl w:val="0"/>
          <w:numId w:val="1"/>
        </w:numPr>
        <w:tabs>
          <w:tab w:val="left" w:pos="709"/>
        </w:tabs>
        <w:spacing w:line="360" w:lineRule="auto"/>
        <w:ind w:left="709" w:hanging="709"/>
        <w:rPr>
          <w:b/>
          <w:bCs/>
          <w:sz w:val="24"/>
        </w:rPr>
      </w:pPr>
      <w:r>
        <w:rPr>
          <w:rFonts w:hint="eastAsia"/>
          <w:b/>
          <w:bCs/>
          <w:sz w:val="24"/>
        </w:rPr>
        <w:t>相关记录表单</w:t>
      </w:r>
    </w:p>
    <w:p w14:paraId="7FD0AFE3">
      <w:pPr>
        <w:numPr>
          <w:ilvl w:val="1"/>
          <w:numId w:val="1"/>
        </w:numPr>
        <w:tabs>
          <w:tab w:val="left" w:pos="0"/>
          <w:tab w:val="left" w:pos="1260"/>
        </w:tabs>
        <w:spacing w:line="360" w:lineRule="auto"/>
        <w:ind w:left="1418" w:hanging="709"/>
        <w:rPr>
          <w:rFonts w:ascii="新宋体" w:hAnsi="新宋体" w:eastAsia="新宋体"/>
          <w:sz w:val="22"/>
          <w:szCs w:val="22"/>
        </w:rPr>
      </w:pPr>
      <w:r>
        <w:rPr>
          <w:rFonts w:hint="eastAsia" w:ascii="新宋体" w:hAnsi="新宋体" w:eastAsia="新宋体"/>
          <w:sz w:val="22"/>
          <w:szCs w:val="22"/>
        </w:rPr>
        <w:t>PD-FM-02</w:t>
      </w:r>
      <w:r>
        <w:rPr>
          <w:rFonts w:ascii="新宋体" w:hAnsi="新宋体" w:eastAsia="新宋体"/>
          <w:sz w:val="22"/>
          <w:szCs w:val="22"/>
        </w:rPr>
        <w:t>5</w:t>
      </w:r>
      <w:r>
        <w:rPr>
          <w:rFonts w:hint="eastAsia" w:ascii="新宋体" w:hAnsi="新宋体" w:eastAsia="新宋体"/>
          <w:sz w:val="22"/>
          <w:szCs w:val="22"/>
        </w:rPr>
        <w:t>《验证和确认方案》</w:t>
      </w:r>
    </w:p>
    <w:p w14:paraId="5842DA39">
      <w:pPr>
        <w:numPr>
          <w:ilvl w:val="1"/>
          <w:numId w:val="1"/>
        </w:numPr>
        <w:tabs>
          <w:tab w:val="left" w:pos="0"/>
          <w:tab w:val="left" w:pos="1260"/>
        </w:tabs>
        <w:spacing w:line="360" w:lineRule="auto"/>
        <w:ind w:left="1418" w:hanging="709"/>
        <w:rPr>
          <w:rFonts w:ascii="新宋体" w:hAnsi="新宋体" w:eastAsia="新宋体"/>
          <w:sz w:val="22"/>
          <w:szCs w:val="22"/>
        </w:rPr>
      </w:pPr>
      <w:r>
        <w:rPr>
          <w:rFonts w:hint="eastAsia" w:ascii="新宋体" w:hAnsi="新宋体" w:eastAsia="新宋体"/>
          <w:sz w:val="22"/>
          <w:szCs w:val="22"/>
        </w:rPr>
        <w:t>PD-FM-0</w:t>
      </w:r>
      <w:r>
        <w:rPr>
          <w:rFonts w:ascii="新宋体" w:hAnsi="新宋体" w:eastAsia="新宋体"/>
          <w:sz w:val="22"/>
          <w:szCs w:val="22"/>
        </w:rPr>
        <w:t>26</w:t>
      </w:r>
      <w:r>
        <w:rPr>
          <w:rFonts w:hint="eastAsia" w:ascii="新宋体" w:hAnsi="新宋体" w:eastAsia="新宋体"/>
          <w:sz w:val="22"/>
          <w:szCs w:val="22"/>
        </w:rPr>
        <w:t>《验证和确认报告》</w:t>
      </w:r>
    </w:p>
    <w:p w14:paraId="63BCCF2C">
      <w:pPr>
        <w:tabs>
          <w:tab w:val="left" w:pos="709"/>
        </w:tabs>
        <w:spacing w:line="360" w:lineRule="auto"/>
        <w:jc w:val="center"/>
        <w:rPr>
          <w:rFonts w:hint="eastAsia" w:eastAsia="宋体"/>
          <w:lang w:eastAsia="zh-CN"/>
        </w:rPr>
      </w:pPr>
    </w:p>
    <w:p w14:paraId="7ED80D04">
      <w:pPr>
        <w:tabs>
          <w:tab w:val="left" w:pos="709"/>
        </w:tabs>
        <w:spacing w:line="360" w:lineRule="auto"/>
        <w:jc w:val="center"/>
        <w:rPr>
          <w:rFonts w:hint="eastAsia" w:eastAsia="宋体"/>
          <w:lang w:eastAsia="zh-CN"/>
        </w:rPr>
      </w:pPr>
    </w:p>
    <w:p w14:paraId="6A7F53DA">
      <w:pPr>
        <w:tabs>
          <w:tab w:val="left" w:pos="709"/>
        </w:tabs>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first"/>
      <w:footerReference r:id="rId5" w:type="first"/>
      <w:headerReference r:id="rId3" w:type="default"/>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pPr w:leftFromText="180" w:rightFromText="180" w:vertAnchor="text" w:horzAnchor="page" w:tblpX="1597" w:tblpY="11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3186835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3A70CC87">
          <w:pPr>
            <w:tabs>
              <w:tab w:val="left" w:pos="709"/>
            </w:tabs>
            <w:rPr>
              <w:rFonts w:ascii="Cambria" w:hAnsi="Cambria"/>
              <w:sz w:val="20"/>
            </w:rPr>
          </w:pPr>
        </w:p>
      </w:tc>
    </w:tr>
  </w:tbl>
  <w:p w14:paraId="5587C8B0">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25624">
    <w:pPr>
      <w:pStyle w:val="8"/>
    </w:pPr>
  </w:p>
  <w:tbl>
    <w:tblPr>
      <w:tblStyle w:val="11"/>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5645"/>
      <w:gridCol w:w="1487"/>
      <w:gridCol w:w="2245"/>
    </w:tblGrid>
    <w:tr w14:paraId="058B4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639" w:type="dxa"/>
          <w:vMerge w:val="restart"/>
          <w:tcBorders>
            <w:right w:val="single" w:color="auto" w:sz="4" w:space="0"/>
          </w:tcBorders>
          <w:vAlign w:val="center"/>
        </w:tcPr>
        <w:p w14:paraId="47A9F0F3">
          <w:pPr>
            <w:tabs>
              <w:tab w:val="left" w:pos="461"/>
            </w:tabs>
            <w:jc w:val="center"/>
            <w:rPr>
              <w:b/>
              <w:lang w:val="zh-CN"/>
            </w:rPr>
          </w:pPr>
        </w:p>
      </w:tc>
      <w:tc>
        <w:tcPr>
          <w:tcW w:w="5645" w:type="dxa"/>
          <w:vMerge w:val="restart"/>
          <w:tcBorders>
            <w:left w:val="single" w:color="auto" w:sz="4" w:space="0"/>
          </w:tcBorders>
          <w:vAlign w:val="center"/>
        </w:tcPr>
        <w:p w14:paraId="2F748C18">
          <w:pPr>
            <w:tabs>
              <w:tab w:val="left" w:pos="461"/>
            </w:tabs>
            <w:jc w:val="center"/>
            <w:rPr>
              <w:b/>
              <w:lang w:val="zh-CN"/>
            </w:rPr>
          </w:pPr>
          <w:r>
            <w:rPr>
              <w:rFonts w:hint="eastAsia"/>
              <w:b/>
              <w:sz w:val="32"/>
              <w:szCs w:val="32"/>
            </w:rPr>
            <w:t>过程确认控制程序</w:t>
          </w:r>
        </w:p>
      </w:tc>
      <w:tc>
        <w:tcPr>
          <w:tcW w:w="1487" w:type="dxa"/>
          <w:vAlign w:val="center"/>
        </w:tcPr>
        <w:p w14:paraId="2E1F3E8F">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文件编号</w:t>
          </w:r>
        </w:p>
      </w:tc>
      <w:tc>
        <w:tcPr>
          <w:tcW w:w="2245" w:type="dxa"/>
          <w:vAlign w:val="center"/>
        </w:tcPr>
        <w:p w14:paraId="1EEBF239">
          <w:pPr>
            <w:jc w:val="center"/>
            <w:rPr>
              <w:szCs w:val="22"/>
            </w:rPr>
          </w:pPr>
          <w:r>
            <w:rPr>
              <w:rFonts w:hint="eastAsia"/>
              <w:sz w:val="22"/>
              <w:szCs w:val="22"/>
            </w:rPr>
            <w:t>PD</w:t>
          </w:r>
          <w:r>
            <w:rPr>
              <w:sz w:val="22"/>
              <w:szCs w:val="22"/>
            </w:rPr>
            <w:t>-OP-0</w:t>
          </w:r>
          <w:r>
            <w:rPr>
              <w:rFonts w:hint="eastAsia"/>
              <w:sz w:val="22"/>
              <w:szCs w:val="22"/>
            </w:rPr>
            <w:t>02</w:t>
          </w:r>
        </w:p>
      </w:tc>
    </w:tr>
    <w:tr w14:paraId="0FFAB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1E42CDF1">
          <w:pPr>
            <w:jc w:val="center"/>
          </w:pPr>
        </w:p>
      </w:tc>
      <w:tc>
        <w:tcPr>
          <w:tcW w:w="5645" w:type="dxa"/>
          <w:vMerge w:val="continue"/>
          <w:tcBorders>
            <w:left w:val="single" w:color="auto" w:sz="4" w:space="0"/>
          </w:tcBorders>
          <w:vAlign w:val="center"/>
        </w:tcPr>
        <w:p w14:paraId="1BA3AE03">
          <w:pPr>
            <w:jc w:val="center"/>
          </w:pPr>
        </w:p>
      </w:tc>
      <w:tc>
        <w:tcPr>
          <w:tcW w:w="1487" w:type="dxa"/>
          <w:vAlign w:val="center"/>
        </w:tcPr>
        <w:p w14:paraId="655C7B66">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rPr>
            <w:t>版本</w:t>
          </w:r>
        </w:p>
      </w:tc>
      <w:tc>
        <w:tcPr>
          <w:tcW w:w="2245" w:type="dxa"/>
          <w:vAlign w:val="center"/>
        </w:tcPr>
        <w:p w14:paraId="4679E712">
          <w:pPr>
            <w:jc w:val="center"/>
            <w:rPr>
              <w:szCs w:val="22"/>
            </w:rPr>
          </w:pPr>
          <w:r>
            <w:rPr>
              <w:sz w:val="22"/>
              <w:szCs w:val="22"/>
            </w:rPr>
            <w:t>0</w:t>
          </w:r>
          <w:r>
            <w:rPr>
              <w:rFonts w:hint="eastAsia"/>
              <w:sz w:val="22"/>
              <w:szCs w:val="22"/>
            </w:rPr>
            <w:t>1</w:t>
          </w:r>
        </w:p>
      </w:tc>
    </w:tr>
    <w:tr w14:paraId="1CB8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32FDC1C5">
          <w:pPr>
            <w:jc w:val="center"/>
            <w:rPr>
              <w:b/>
              <w:sz w:val="32"/>
              <w:lang w:val="zh-CN"/>
            </w:rPr>
          </w:pPr>
        </w:p>
      </w:tc>
      <w:tc>
        <w:tcPr>
          <w:tcW w:w="5645" w:type="dxa"/>
          <w:vMerge w:val="continue"/>
          <w:tcBorders>
            <w:left w:val="single" w:color="auto" w:sz="4" w:space="0"/>
          </w:tcBorders>
          <w:vAlign w:val="center"/>
        </w:tcPr>
        <w:p w14:paraId="7BA46ED7">
          <w:pPr>
            <w:jc w:val="center"/>
            <w:rPr>
              <w:b/>
              <w:sz w:val="32"/>
              <w:lang w:val="zh-CN"/>
            </w:rPr>
          </w:pPr>
        </w:p>
      </w:tc>
      <w:tc>
        <w:tcPr>
          <w:tcW w:w="1487" w:type="dxa"/>
          <w:vAlign w:val="center"/>
        </w:tcPr>
        <w:p w14:paraId="18CB700D">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生效日期</w:t>
          </w:r>
        </w:p>
      </w:tc>
      <w:tc>
        <w:tcPr>
          <w:tcW w:w="2245" w:type="dxa"/>
          <w:vAlign w:val="center"/>
        </w:tcPr>
        <w:p w14:paraId="7F28035C">
          <w:pPr>
            <w:jc w:val="center"/>
            <w:rPr>
              <w:szCs w:val="22"/>
            </w:rPr>
          </w:pPr>
          <w:r>
            <w:rPr>
              <w:sz w:val="22"/>
              <w:szCs w:val="22"/>
              <w:lang w:eastAsia="zh-TW"/>
            </w:rPr>
            <w:t>2020年02月01日</w:t>
          </w:r>
        </w:p>
      </w:tc>
    </w:tr>
    <w:tr w14:paraId="4102B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639" w:type="dxa"/>
          <w:vMerge w:val="continue"/>
          <w:tcBorders>
            <w:right w:val="single" w:color="auto" w:sz="4" w:space="0"/>
          </w:tcBorders>
          <w:vAlign w:val="center"/>
        </w:tcPr>
        <w:p w14:paraId="3055BDC6">
          <w:pPr>
            <w:jc w:val="center"/>
            <w:rPr>
              <w:b/>
            </w:rPr>
          </w:pPr>
        </w:p>
      </w:tc>
      <w:tc>
        <w:tcPr>
          <w:tcW w:w="5645" w:type="dxa"/>
          <w:vMerge w:val="continue"/>
          <w:tcBorders>
            <w:left w:val="single" w:color="auto" w:sz="4" w:space="0"/>
          </w:tcBorders>
          <w:vAlign w:val="center"/>
        </w:tcPr>
        <w:p w14:paraId="04BD3713">
          <w:pPr>
            <w:jc w:val="center"/>
            <w:rPr>
              <w:b/>
            </w:rPr>
          </w:pPr>
        </w:p>
      </w:tc>
      <w:tc>
        <w:tcPr>
          <w:tcW w:w="1487" w:type="dxa"/>
          <w:vAlign w:val="center"/>
        </w:tcPr>
        <w:p w14:paraId="26B101CA">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245" w:type="dxa"/>
          <w:vAlign w:val="center"/>
        </w:tcPr>
        <w:p w14:paraId="1AA1A861">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5</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5</w:t>
          </w:r>
          <w:r>
            <w:rPr>
              <w:szCs w:val="22"/>
            </w:rPr>
            <w:fldChar w:fldCharType="end"/>
          </w:r>
          <w:r>
            <w:rPr>
              <w:sz w:val="22"/>
              <w:szCs w:val="22"/>
            </w:rPr>
            <w:t>页</w:t>
          </w:r>
        </w:p>
      </w:tc>
    </w:tr>
  </w:tbl>
  <w:p w14:paraId="4B3B364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798E3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5565DAF3">
          <w:pPr>
            <w:jc w:val="center"/>
          </w:pPr>
        </w:p>
      </w:tc>
      <w:tc>
        <w:tcPr>
          <w:tcW w:w="5620" w:type="dxa"/>
          <w:vMerge w:val="restart"/>
          <w:tcBorders>
            <w:left w:val="single" w:color="auto" w:sz="4" w:space="0"/>
          </w:tcBorders>
          <w:vAlign w:val="center"/>
        </w:tcPr>
        <w:p w14:paraId="4AF429F7">
          <w:pPr>
            <w:jc w:val="center"/>
            <w:rPr>
              <w:rFonts w:ascii="宋体" w:hAnsi="宋体"/>
            </w:rPr>
          </w:pPr>
          <w:r>
            <w:rPr>
              <w:rFonts w:hint="eastAsia"/>
              <w:b/>
              <w:sz w:val="32"/>
              <w:szCs w:val="32"/>
            </w:rPr>
            <w:t>过程确认控制程序</w:t>
          </w:r>
        </w:p>
      </w:tc>
      <w:tc>
        <w:tcPr>
          <w:tcW w:w="1459" w:type="dxa"/>
          <w:vAlign w:val="center"/>
        </w:tcPr>
        <w:p w14:paraId="0BAF9DBF">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0D4F494F">
          <w:pPr>
            <w:jc w:val="center"/>
            <w:rPr>
              <w:szCs w:val="22"/>
            </w:rPr>
          </w:pPr>
          <w:r>
            <w:rPr>
              <w:rFonts w:hint="eastAsia"/>
              <w:sz w:val="22"/>
              <w:szCs w:val="22"/>
            </w:rPr>
            <w:t>PD-</w:t>
          </w:r>
          <w:r>
            <w:rPr>
              <w:sz w:val="22"/>
              <w:szCs w:val="22"/>
            </w:rPr>
            <w:t>OP-0</w:t>
          </w:r>
          <w:r>
            <w:rPr>
              <w:rFonts w:hint="eastAsia"/>
              <w:sz w:val="22"/>
              <w:szCs w:val="22"/>
            </w:rPr>
            <w:t>02</w:t>
          </w:r>
        </w:p>
      </w:tc>
    </w:tr>
    <w:tr w14:paraId="17FF6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70312B6E">
          <w:pPr>
            <w:jc w:val="center"/>
            <w:rPr>
              <w:b/>
            </w:rPr>
          </w:pPr>
        </w:p>
      </w:tc>
      <w:tc>
        <w:tcPr>
          <w:tcW w:w="5620" w:type="dxa"/>
          <w:vMerge w:val="continue"/>
          <w:tcBorders>
            <w:left w:val="single" w:color="auto" w:sz="4" w:space="0"/>
          </w:tcBorders>
          <w:vAlign w:val="center"/>
        </w:tcPr>
        <w:p w14:paraId="0D1D1A2C">
          <w:pPr>
            <w:jc w:val="center"/>
            <w:rPr>
              <w:b/>
            </w:rPr>
          </w:pPr>
        </w:p>
      </w:tc>
      <w:tc>
        <w:tcPr>
          <w:tcW w:w="1459" w:type="dxa"/>
          <w:vAlign w:val="center"/>
        </w:tcPr>
        <w:p w14:paraId="23CDCA25">
          <w:pPr>
            <w:pStyle w:val="2"/>
            <w:jc w:val="center"/>
            <w:rPr>
              <w:rFonts w:ascii="Times New Roman" w:hAnsi="Times New Roman" w:eastAsia="宋体"/>
              <w:color w:val="auto"/>
              <w:sz w:val="22"/>
              <w:szCs w:val="22"/>
            </w:rPr>
          </w:pPr>
          <w:r>
            <w:rPr>
              <w:rFonts w:ascii="Times New Roman" w:hAnsi="Times New Roman" w:eastAsia="宋体"/>
              <w:color w:val="auto"/>
              <w:sz w:val="22"/>
              <w:szCs w:val="22"/>
            </w:rPr>
            <w:t>版本号</w:t>
          </w:r>
        </w:p>
      </w:tc>
      <w:tc>
        <w:tcPr>
          <w:tcW w:w="555" w:type="dxa"/>
          <w:vAlign w:val="center"/>
        </w:tcPr>
        <w:p w14:paraId="414E6EFF">
          <w:pPr>
            <w:jc w:val="center"/>
            <w:rPr>
              <w:szCs w:val="22"/>
            </w:rPr>
          </w:pPr>
          <w:r>
            <w:rPr>
              <w:sz w:val="22"/>
              <w:szCs w:val="22"/>
            </w:rPr>
            <w:t>0</w:t>
          </w:r>
          <w:r>
            <w:rPr>
              <w:rFonts w:hint="eastAsia"/>
              <w:sz w:val="22"/>
              <w:szCs w:val="22"/>
            </w:rPr>
            <w:t>1</w:t>
          </w:r>
        </w:p>
      </w:tc>
      <w:tc>
        <w:tcPr>
          <w:tcW w:w="1201" w:type="dxa"/>
          <w:vAlign w:val="center"/>
        </w:tcPr>
        <w:p w14:paraId="1B389E57">
          <w:pPr>
            <w:jc w:val="center"/>
          </w:pPr>
          <w:r>
            <w:rPr>
              <w:sz w:val="22"/>
              <w:szCs w:val="22"/>
            </w:rPr>
            <w:t>修改次数</w:t>
          </w:r>
        </w:p>
      </w:tc>
      <w:tc>
        <w:tcPr>
          <w:tcW w:w="401" w:type="dxa"/>
          <w:vAlign w:val="center"/>
        </w:tcPr>
        <w:p w14:paraId="4318B5F6">
          <w:pPr>
            <w:jc w:val="center"/>
            <w:rPr>
              <w:rFonts w:ascii="宋体" w:hAnsi="宋体"/>
            </w:rPr>
          </w:pPr>
          <w:r>
            <w:rPr>
              <w:rFonts w:hint="eastAsia" w:ascii="宋体" w:hAnsi="宋体"/>
            </w:rPr>
            <w:t>0</w:t>
          </w:r>
        </w:p>
      </w:tc>
    </w:tr>
    <w:tr w14:paraId="5E173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5FB0AB30">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79B56CB3">
          <w:pPr>
            <w:jc w:val="left"/>
          </w:pPr>
        </w:p>
      </w:tc>
      <w:tc>
        <w:tcPr>
          <w:tcW w:w="1459" w:type="dxa"/>
          <w:tcBorders>
            <w:bottom w:val="single" w:color="auto" w:sz="4" w:space="0"/>
          </w:tcBorders>
          <w:vAlign w:val="center"/>
        </w:tcPr>
        <w:p w14:paraId="4B106C6D">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7151480A">
          <w:pPr>
            <w:jc w:val="center"/>
            <w:rPr>
              <w:szCs w:val="22"/>
            </w:rPr>
          </w:pPr>
          <w:r>
            <w:rPr>
              <w:sz w:val="22"/>
              <w:szCs w:val="22"/>
              <w:lang w:eastAsia="zh-TW"/>
            </w:rPr>
            <w:t>2020年02月01日</w:t>
          </w:r>
        </w:p>
      </w:tc>
    </w:tr>
    <w:tr w14:paraId="751C4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3BF2235D">
          <w:pPr>
            <w:jc w:val="center"/>
          </w:pPr>
          <w:r>
            <w:rPr>
              <w:sz w:val="22"/>
              <w:szCs w:val="22"/>
            </w:rPr>
            <w:t>审核/</w:t>
          </w:r>
          <w:r>
            <w:rPr>
              <w:sz w:val="22"/>
              <w:szCs w:val="22"/>
              <w:lang w:eastAsia="zh-HK"/>
            </w:rPr>
            <w:t>日期</w:t>
          </w:r>
        </w:p>
      </w:tc>
      <w:tc>
        <w:tcPr>
          <w:tcW w:w="5620" w:type="dxa"/>
          <w:vAlign w:val="center"/>
        </w:tcPr>
        <w:p w14:paraId="78A632F9">
          <w:pPr>
            <w:jc w:val="left"/>
          </w:pPr>
        </w:p>
      </w:tc>
      <w:tc>
        <w:tcPr>
          <w:tcW w:w="1459" w:type="dxa"/>
          <w:tcBorders>
            <w:top w:val="single" w:color="auto" w:sz="4" w:space="0"/>
            <w:bottom w:val="single" w:color="auto" w:sz="4" w:space="0"/>
          </w:tcBorders>
          <w:vAlign w:val="center"/>
        </w:tcPr>
        <w:p w14:paraId="6D5489D4">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1326DC16">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1</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5</w:t>
          </w:r>
          <w:r>
            <w:rPr>
              <w:szCs w:val="22"/>
            </w:rPr>
            <w:fldChar w:fldCharType="end"/>
          </w:r>
          <w:r>
            <w:rPr>
              <w:sz w:val="22"/>
              <w:szCs w:val="22"/>
            </w:rPr>
            <w:t>页</w:t>
          </w:r>
        </w:p>
      </w:tc>
    </w:tr>
    <w:tr w14:paraId="66D59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5DAAD865">
          <w:pPr>
            <w:jc w:val="center"/>
            <w:rPr>
              <w:lang w:eastAsia="zh-HK"/>
            </w:rPr>
          </w:pPr>
          <w:r>
            <w:rPr>
              <w:sz w:val="22"/>
              <w:szCs w:val="22"/>
            </w:rPr>
            <w:t>批准/</w:t>
          </w:r>
          <w:r>
            <w:rPr>
              <w:sz w:val="22"/>
              <w:szCs w:val="22"/>
              <w:lang w:eastAsia="zh-HK"/>
            </w:rPr>
            <w:t>日期</w:t>
          </w:r>
        </w:p>
      </w:tc>
      <w:tc>
        <w:tcPr>
          <w:tcW w:w="5620" w:type="dxa"/>
          <w:vAlign w:val="center"/>
        </w:tcPr>
        <w:p w14:paraId="65880861">
          <w:pPr>
            <w:jc w:val="left"/>
          </w:pPr>
        </w:p>
      </w:tc>
      <w:tc>
        <w:tcPr>
          <w:tcW w:w="1459" w:type="dxa"/>
          <w:tcBorders>
            <w:top w:val="single" w:color="auto" w:sz="4" w:space="0"/>
          </w:tcBorders>
          <w:vAlign w:val="center"/>
        </w:tcPr>
        <w:p w14:paraId="15FB98C5">
          <w:pPr>
            <w:jc w:val="center"/>
            <w:rPr>
              <w:szCs w:val="22"/>
            </w:rPr>
          </w:pPr>
          <w:r>
            <w:rPr>
              <w:sz w:val="22"/>
              <w:szCs w:val="22"/>
            </w:rPr>
            <w:t>受控状态</w:t>
          </w:r>
        </w:p>
      </w:tc>
      <w:tc>
        <w:tcPr>
          <w:tcW w:w="2157" w:type="dxa"/>
          <w:gridSpan w:val="3"/>
          <w:tcBorders>
            <w:top w:val="single" w:color="auto" w:sz="4" w:space="0"/>
          </w:tcBorders>
          <w:vAlign w:val="center"/>
        </w:tcPr>
        <w:p w14:paraId="19F684F2">
          <w:pPr>
            <w:jc w:val="center"/>
            <w:rPr>
              <w:szCs w:val="22"/>
            </w:rPr>
          </w:pPr>
          <w:r>
            <w:rPr>
              <w:sz w:val="22"/>
              <w:szCs w:val="22"/>
            </w:rPr>
            <w:t>受控</w:t>
          </w:r>
        </w:p>
      </w:tc>
    </w:tr>
  </w:tbl>
  <w:p w14:paraId="2A4BED25">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32B41"/>
    <w:multiLevelType w:val="multilevel"/>
    <w:tmpl w:val="16532B41"/>
    <w:lvl w:ilvl="0" w:tentative="0">
      <w:start w:val="1"/>
      <w:numFmt w:val="lowerLetter"/>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377C550F"/>
    <w:multiLevelType w:val="multilevel"/>
    <w:tmpl w:val="377C550F"/>
    <w:lvl w:ilvl="0" w:tentative="0">
      <w:start w:val="1"/>
      <w:numFmt w:val="decimal"/>
      <w:lvlText w:val="%1.0"/>
      <w:lvlJc w:val="left"/>
      <w:pPr>
        <w:ind w:left="1789" w:hanging="360"/>
      </w:pPr>
      <w:rPr>
        <w:rFonts w:hint="default" w:ascii="Times New Roman" w:hAnsi="Times New Roman" w:eastAsia="宋体" w:cs="Times New Roman"/>
        <w:b/>
        <w:sz w:val="24"/>
        <w:szCs w:val="24"/>
        <w:lang w:val="en-GB"/>
      </w:rPr>
    </w:lvl>
    <w:lvl w:ilvl="1" w:tentative="0">
      <w:start w:val="1"/>
      <w:numFmt w:val="decimal"/>
      <w:lvlText w:val="%1.%2"/>
      <w:lvlJc w:val="left"/>
      <w:pPr>
        <w:ind w:left="1353" w:hanging="360"/>
      </w:pPr>
      <w:rPr>
        <w:rFonts w:hint="default" w:ascii="Times New Roman" w:hAnsi="Times New Roman" w:eastAsia="宋体" w:cs="Times New Roman"/>
        <w:b w:val="0"/>
        <w:sz w:val="24"/>
        <w:szCs w:val="24"/>
      </w:rPr>
    </w:lvl>
    <w:lvl w:ilvl="2" w:tentative="0">
      <w:start w:val="1"/>
      <w:numFmt w:val="decimal"/>
      <w:lvlText w:val="%1.%2.%3"/>
      <w:lvlJc w:val="left"/>
      <w:pPr>
        <w:ind w:left="1980" w:hanging="720"/>
      </w:pPr>
      <w:rPr>
        <w:rFonts w:hint="default" w:ascii="Times New Roman" w:hAnsi="Times New Roman" w:eastAsia="宋体" w:cs="Times New Roman"/>
        <w:b w:val="0"/>
        <w:sz w:val="24"/>
        <w:szCs w:val="24"/>
      </w:rPr>
    </w:lvl>
    <w:lvl w:ilvl="3" w:tentative="0">
      <w:start w:val="1"/>
      <w:numFmt w:val="decimal"/>
      <w:lvlText w:val="%1.%2.%3.%4."/>
      <w:lvlJc w:val="left"/>
      <w:pPr>
        <w:ind w:left="3769" w:hanging="1080"/>
      </w:pPr>
      <w:rPr>
        <w:rFonts w:hint="default" w:ascii="宋体" w:hAnsi="宋体" w:eastAsia="宋体" w:cs="Arial"/>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07"/>
    <w:rsid w:val="00004E2F"/>
    <w:rsid w:val="00005EB8"/>
    <w:rsid w:val="00011509"/>
    <w:rsid w:val="00023E80"/>
    <w:rsid w:val="00033F9E"/>
    <w:rsid w:val="0003564B"/>
    <w:rsid w:val="00037C71"/>
    <w:rsid w:val="00037C76"/>
    <w:rsid w:val="000437F5"/>
    <w:rsid w:val="000508A1"/>
    <w:rsid w:val="000546B6"/>
    <w:rsid w:val="000566AC"/>
    <w:rsid w:val="000622BC"/>
    <w:rsid w:val="000656A5"/>
    <w:rsid w:val="0006596D"/>
    <w:rsid w:val="00066867"/>
    <w:rsid w:val="0007577B"/>
    <w:rsid w:val="000901DF"/>
    <w:rsid w:val="00093A75"/>
    <w:rsid w:val="000A2225"/>
    <w:rsid w:val="000C0416"/>
    <w:rsid w:val="000C1529"/>
    <w:rsid w:val="000C2C7E"/>
    <w:rsid w:val="000C3E3B"/>
    <w:rsid w:val="000F5249"/>
    <w:rsid w:val="000F7932"/>
    <w:rsid w:val="000F7A88"/>
    <w:rsid w:val="00131552"/>
    <w:rsid w:val="00144FB1"/>
    <w:rsid w:val="00146D8A"/>
    <w:rsid w:val="00153CBD"/>
    <w:rsid w:val="0015512D"/>
    <w:rsid w:val="001638A4"/>
    <w:rsid w:val="001849B4"/>
    <w:rsid w:val="00193ADD"/>
    <w:rsid w:val="00195C69"/>
    <w:rsid w:val="001A03E9"/>
    <w:rsid w:val="001B054E"/>
    <w:rsid w:val="001B1494"/>
    <w:rsid w:val="001C317B"/>
    <w:rsid w:val="001C4281"/>
    <w:rsid w:val="001D03FE"/>
    <w:rsid w:val="001D22E3"/>
    <w:rsid w:val="001D75F1"/>
    <w:rsid w:val="001E6B14"/>
    <w:rsid w:val="001F68C6"/>
    <w:rsid w:val="001F6A51"/>
    <w:rsid w:val="00205D30"/>
    <w:rsid w:val="00213886"/>
    <w:rsid w:val="00214FC3"/>
    <w:rsid w:val="002200D3"/>
    <w:rsid w:val="00224A65"/>
    <w:rsid w:val="002403C0"/>
    <w:rsid w:val="00240898"/>
    <w:rsid w:val="00244DDA"/>
    <w:rsid w:val="002515CA"/>
    <w:rsid w:val="00251F12"/>
    <w:rsid w:val="00252BCA"/>
    <w:rsid w:val="00255F32"/>
    <w:rsid w:val="002653C0"/>
    <w:rsid w:val="00266C76"/>
    <w:rsid w:val="0027440C"/>
    <w:rsid w:val="00280AC4"/>
    <w:rsid w:val="002823D5"/>
    <w:rsid w:val="00284EC9"/>
    <w:rsid w:val="00286E3B"/>
    <w:rsid w:val="00286F70"/>
    <w:rsid w:val="002875EB"/>
    <w:rsid w:val="00297513"/>
    <w:rsid w:val="002A6A7D"/>
    <w:rsid w:val="002B2500"/>
    <w:rsid w:val="002B654B"/>
    <w:rsid w:val="002C0FC6"/>
    <w:rsid w:val="002D2D36"/>
    <w:rsid w:val="002E1908"/>
    <w:rsid w:val="002F2249"/>
    <w:rsid w:val="002F2FC0"/>
    <w:rsid w:val="002F3583"/>
    <w:rsid w:val="00303F87"/>
    <w:rsid w:val="00313BCC"/>
    <w:rsid w:val="00315A23"/>
    <w:rsid w:val="003278D5"/>
    <w:rsid w:val="00332C36"/>
    <w:rsid w:val="003401A5"/>
    <w:rsid w:val="00340851"/>
    <w:rsid w:val="00347BD9"/>
    <w:rsid w:val="0035082D"/>
    <w:rsid w:val="003561F4"/>
    <w:rsid w:val="00361C94"/>
    <w:rsid w:val="0036433E"/>
    <w:rsid w:val="0038751A"/>
    <w:rsid w:val="003878B5"/>
    <w:rsid w:val="003B4D33"/>
    <w:rsid w:val="003C752B"/>
    <w:rsid w:val="003D384C"/>
    <w:rsid w:val="003D6545"/>
    <w:rsid w:val="003F214C"/>
    <w:rsid w:val="003F22C5"/>
    <w:rsid w:val="00406688"/>
    <w:rsid w:val="00412719"/>
    <w:rsid w:val="00414551"/>
    <w:rsid w:val="00416532"/>
    <w:rsid w:val="004214BE"/>
    <w:rsid w:val="00423F19"/>
    <w:rsid w:val="00431F7A"/>
    <w:rsid w:val="00447ECD"/>
    <w:rsid w:val="004536E6"/>
    <w:rsid w:val="0048621C"/>
    <w:rsid w:val="00492AE6"/>
    <w:rsid w:val="00497C2C"/>
    <w:rsid w:val="004C3C1F"/>
    <w:rsid w:val="004C6221"/>
    <w:rsid w:val="004C6D60"/>
    <w:rsid w:val="004C70E4"/>
    <w:rsid w:val="004D22A1"/>
    <w:rsid w:val="004D2EB1"/>
    <w:rsid w:val="004F1625"/>
    <w:rsid w:val="004F228A"/>
    <w:rsid w:val="004F2CD9"/>
    <w:rsid w:val="004F35F6"/>
    <w:rsid w:val="004F44E1"/>
    <w:rsid w:val="004F5BF5"/>
    <w:rsid w:val="00507256"/>
    <w:rsid w:val="005072DD"/>
    <w:rsid w:val="005172E4"/>
    <w:rsid w:val="00531DF1"/>
    <w:rsid w:val="00532868"/>
    <w:rsid w:val="00532A6F"/>
    <w:rsid w:val="00534135"/>
    <w:rsid w:val="0053448C"/>
    <w:rsid w:val="005427AF"/>
    <w:rsid w:val="00554A69"/>
    <w:rsid w:val="00556451"/>
    <w:rsid w:val="00556DF7"/>
    <w:rsid w:val="005650F8"/>
    <w:rsid w:val="00574720"/>
    <w:rsid w:val="00576701"/>
    <w:rsid w:val="005802B2"/>
    <w:rsid w:val="00586FD3"/>
    <w:rsid w:val="0059318F"/>
    <w:rsid w:val="00594505"/>
    <w:rsid w:val="005A30ED"/>
    <w:rsid w:val="005A72EA"/>
    <w:rsid w:val="005B3CC2"/>
    <w:rsid w:val="005B58C7"/>
    <w:rsid w:val="005C2E50"/>
    <w:rsid w:val="005D1E80"/>
    <w:rsid w:val="005D2096"/>
    <w:rsid w:val="005E4724"/>
    <w:rsid w:val="005F6765"/>
    <w:rsid w:val="005F6DE4"/>
    <w:rsid w:val="005F76E9"/>
    <w:rsid w:val="006004CE"/>
    <w:rsid w:val="00601614"/>
    <w:rsid w:val="006076EA"/>
    <w:rsid w:val="006118D1"/>
    <w:rsid w:val="006123F7"/>
    <w:rsid w:val="006136C0"/>
    <w:rsid w:val="0061490E"/>
    <w:rsid w:val="00615CF6"/>
    <w:rsid w:val="0062620D"/>
    <w:rsid w:val="006307CE"/>
    <w:rsid w:val="00633DC0"/>
    <w:rsid w:val="0063497A"/>
    <w:rsid w:val="00652D15"/>
    <w:rsid w:val="00653836"/>
    <w:rsid w:val="0065667F"/>
    <w:rsid w:val="00660700"/>
    <w:rsid w:val="00661863"/>
    <w:rsid w:val="006646F6"/>
    <w:rsid w:val="00664881"/>
    <w:rsid w:val="00666262"/>
    <w:rsid w:val="006709E2"/>
    <w:rsid w:val="00677BB1"/>
    <w:rsid w:val="0068156C"/>
    <w:rsid w:val="006849FC"/>
    <w:rsid w:val="006A2A6F"/>
    <w:rsid w:val="006A74C1"/>
    <w:rsid w:val="006B0E20"/>
    <w:rsid w:val="006B3E60"/>
    <w:rsid w:val="006C6927"/>
    <w:rsid w:val="006D57C5"/>
    <w:rsid w:val="006E4313"/>
    <w:rsid w:val="00700190"/>
    <w:rsid w:val="00715EA3"/>
    <w:rsid w:val="00744415"/>
    <w:rsid w:val="007553EE"/>
    <w:rsid w:val="00763228"/>
    <w:rsid w:val="007722F0"/>
    <w:rsid w:val="0077671C"/>
    <w:rsid w:val="00776AC2"/>
    <w:rsid w:val="00777650"/>
    <w:rsid w:val="0078393C"/>
    <w:rsid w:val="00785BE2"/>
    <w:rsid w:val="0079287F"/>
    <w:rsid w:val="00793B92"/>
    <w:rsid w:val="007945E3"/>
    <w:rsid w:val="0079736C"/>
    <w:rsid w:val="007B5C07"/>
    <w:rsid w:val="007C29E7"/>
    <w:rsid w:val="007D105F"/>
    <w:rsid w:val="007D20E8"/>
    <w:rsid w:val="007D40FD"/>
    <w:rsid w:val="007E0E79"/>
    <w:rsid w:val="007E1B4C"/>
    <w:rsid w:val="007E608D"/>
    <w:rsid w:val="007F10E3"/>
    <w:rsid w:val="007F20CC"/>
    <w:rsid w:val="00802148"/>
    <w:rsid w:val="00803259"/>
    <w:rsid w:val="008039C2"/>
    <w:rsid w:val="00825130"/>
    <w:rsid w:val="00862D06"/>
    <w:rsid w:val="008743CB"/>
    <w:rsid w:val="0088239F"/>
    <w:rsid w:val="008975EF"/>
    <w:rsid w:val="008A472F"/>
    <w:rsid w:val="008B2EBF"/>
    <w:rsid w:val="008B67CE"/>
    <w:rsid w:val="008C19BF"/>
    <w:rsid w:val="008C1E85"/>
    <w:rsid w:val="008D76CA"/>
    <w:rsid w:val="008E40CB"/>
    <w:rsid w:val="008E7FB2"/>
    <w:rsid w:val="00900454"/>
    <w:rsid w:val="009006D5"/>
    <w:rsid w:val="00913C1A"/>
    <w:rsid w:val="00930905"/>
    <w:rsid w:val="009432A6"/>
    <w:rsid w:val="00943388"/>
    <w:rsid w:val="00943520"/>
    <w:rsid w:val="00943B57"/>
    <w:rsid w:val="009513FC"/>
    <w:rsid w:val="00955B42"/>
    <w:rsid w:val="00956605"/>
    <w:rsid w:val="009574B5"/>
    <w:rsid w:val="00961DA9"/>
    <w:rsid w:val="0097035E"/>
    <w:rsid w:val="00973017"/>
    <w:rsid w:val="00973E3B"/>
    <w:rsid w:val="00984FD4"/>
    <w:rsid w:val="00996157"/>
    <w:rsid w:val="00996DA5"/>
    <w:rsid w:val="009A771C"/>
    <w:rsid w:val="009D05CB"/>
    <w:rsid w:val="009E1BE0"/>
    <w:rsid w:val="009E2C62"/>
    <w:rsid w:val="009E34F2"/>
    <w:rsid w:val="009F13E4"/>
    <w:rsid w:val="009F23A2"/>
    <w:rsid w:val="009F7DE6"/>
    <w:rsid w:val="00A05E34"/>
    <w:rsid w:val="00A0686D"/>
    <w:rsid w:val="00A144A4"/>
    <w:rsid w:val="00A5206B"/>
    <w:rsid w:val="00A53D80"/>
    <w:rsid w:val="00A64C8F"/>
    <w:rsid w:val="00A73790"/>
    <w:rsid w:val="00A81914"/>
    <w:rsid w:val="00A82114"/>
    <w:rsid w:val="00A84986"/>
    <w:rsid w:val="00A85E2A"/>
    <w:rsid w:val="00A87A4D"/>
    <w:rsid w:val="00A91035"/>
    <w:rsid w:val="00A93BDD"/>
    <w:rsid w:val="00A941EE"/>
    <w:rsid w:val="00AA4A3B"/>
    <w:rsid w:val="00AA7C7D"/>
    <w:rsid w:val="00AB73FA"/>
    <w:rsid w:val="00AD22E7"/>
    <w:rsid w:val="00AD6DCA"/>
    <w:rsid w:val="00AE2827"/>
    <w:rsid w:val="00AE41F1"/>
    <w:rsid w:val="00AF1E8B"/>
    <w:rsid w:val="00AF48B6"/>
    <w:rsid w:val="00B005B7"/>
    <w:rsid w:val="00B03EC7"/>
    <w:rsid w:val="00B07A94"/>
    <w:rsid w:val="00B1191C"/>
    <w:rsid w:val="00B1384C"/>
    <w:rsid w:val="00B21CC5"/>
    <w:rsid w:val="00B23254"/>
    <w:rsid w:val="00B263C0"/>
    <w:rsid w:val="00B4049A"/>
    <w:rsid w:val="00B42140"/>
    <w:rsid w:val="00B50CC3"/>
    <w:rsid w:val="00B50EDE"/>
    <w:rsid w:val="00B553E2"/>
    <w:rsid w:val="00B56E5C"/>
    <w:rsid w:val="00B64F9F"/>
    <w:rsid w:val="00B70AB4"/>
    <w:rsid w:val="00B7205A"/>
    <w:rsid w:val="00B731DB"/>
    <w:rsid w:val="00B77D84"/>
    <w:rsid w:val="00B8253A"/>
    <w:rsid w:val="00B91B69"/>
    <w:rsid w:val="00BA3637"/>
    <w:rsid w:val="00BA4135"/>
    <w:rsid w:val="00BB0A40"/>
    <w:rsid w:val="00BC0C74"/>
    <w:rsid w:val="00BC3A2F"/>
    <w:rsid w:val="00BC439F"/>
    <w:rsid w:val="00BC57A9"/>
    <w:rsid w:val="00BD094F"/>
    <w:rsid w:val="00BD6693"/>
    <w:rsid w:val="00BE3C09"/>
    <w:rsid w:val="00BE78BB"/>
    <w:rsid w:val="00BF261B"/>
    <w:rsid w:val="00BF57E1"/>
    <w:rsid w:val="00C023E1"/>
    <w:rsid w:val="00C07FE3"/>
    <w:rsid w:val="00C10857"/>
    <w:rsid w:val="00C30A2C"/>
    <w:rsid w:val="00C35D15"/>
    <w:rsid w:val="00C54453"/>
    <w:rsid w:val="00C57C2A"/>
    <w:rsid w:val="00C7698F"/>
    <w:rsid w:val="00C80ADC"/>
    <w:rsid w:val="00C8340F"/>
    <w:rsid w:val="00C8464D"/>
    <w:rsid w:val="00C84819"/>
    <w:rsid w:val="00C852B8"/>
    <w:rsid w:val="00CA13C2"/>
    <w:rsid w:val="00CA1914"/>
    <w:rsid w:val="00CB7F06"/>
    <w:rsid w:val="00CC1794"/>
    <w:rsid w:val="00CD0A61"/>
    <w:rsid w:val="00CE150E"/>
    <w:rsid w:val="00CF1042"/>
    <w:rsid w:val="00CF4928"/>
    <w:rsid w:val="00D17336"/>
    <w:rsid w:val="00D231C7"/>
    <w:rsid w:val="00D24D64"/>
    <w:rsid w:val="00D3765F"/>
    <w:rsid w:val="00D37EEF"/>
    <w:rsid w:val="00D61F9C"/>
    <w:rsid w:val="00D6726B"/>
    <w:rsid w:val="00D67D05"/>
    <w:rsid w:val="00D803C6"/>
    <w:rsid w:val="00D848A5"/>
    <w:rsid w:val="00DA4519"/>
    <w:rsid w:val="00DC6C31"/>
    <w:rsid w:val="00DF0978"/>
    <w:rsid w:val="00DF4776"/>
    <w:rsid w:val="00DF5A2E"/>
    <w:rsid w:val="00E005C9"/>
    <w:rsid w:val="00E04E02"/>
    <w:rsid w:val="00E1250F"/>
    <w:rsid w:val="00E15509"/>
    <w:rsid w:val="00E336AC"/>
    <w:rsid w:val="00E34118"/>
    <w:rsid w:val="00E35BE7"/>
    <w:rsid w:val="00E43D41"/>
    <w:rsid w:val="00E56AB1"/>
    <w:rsid w:val="00E659EF"/>
    <w:rsid w:val="00E73EA5"/>
    <w:rsid w:val="00E74708"/>
    <w:rsid w:val="00E76CDA"/>
    <w:rsid w:val="00E8356C"/>
    <w:rsid w:val="00E90849"/>
    <w:rsid w:val="00EB272E"/>
    <w:rsid w:val="00EB512C"/>
    <w:rsid w:val="00EB6962"/>
    <w:rsid w:val="00EB7F2A"/>
    <w:rsid w:val="00EE7D19"/>
    <w:rsid w:val="00EF2779"/>
    <w:rsid w:val="00EF43BF"/>
    <w:rsid w:val="00F0486F"/>
    <w:rsid w:val="00F12707"/>
    <w:rsid w:val="00F129C7"/>
    <w:rsid w:val="00F16E60"/>
    <w:rsid w:val="00F21FC3"/>
    <w:rsid w:val="00F43E3F"/>
    <w:rsid w:val="00F45155"/>
    <w:rsid w:val="00F51A0A"/>
    <w:rsid w:val="00F51B24"/>
    <w:rsid w:val="00F52A63"/>
    <w:rsid w:val="00F57173"/>
    <w:rsid w:val="00F6236E"/>
    <w:rsid w:val="00F66F07"/>
    <w:rsid w:val="00F67E9B"/>
    <w:rsid w:val="00F87A4D"/>
    <w:rsid w:val="00F90C8F"/>
    <w:rsid w:val="00FA4DFA"/>
    <w:rsid w:val="00FB1EAA"/>
    <w:rsid w:val="00FB5F13"/>
    <w:rsid w:val="00FB6302"/>
    <w:rsid w:val="00FB6D29"/>
    <w:rsid w:val="00FC551C"/>
    <w:rsid w:val="00FC7E00"/>
    <w:rsid w:val="00FE67CC"/>
    <w:rsid w:val="00FF55B6"/>
    <w:rsid w:val="00FF5C4C"/>
    <w:rsid w:val="077A4EAF"/>
    <w:rsid w:val="0B6F78A8"/>
    <w:rsid w:val="0D0F3BC3"/>
    <w:rsid w:val="0FF66BFE"/>
    <w:rsid w:val="1037367B"/>
    <w:rsid w:val="129112DC"/>
    <w:rsid w:val="12AA52C6"/>
    <w:rsid w:val="15EA68EA"/>
    <w:rsid w:val="18716CCD"/>
    <w:rsid w:val="19FD759D"/>
    <w:rsid w:val="1AB257BA"/>
    <w:rsid w:val="1C46587F"/>
    <w:rsid w:val="20FB48A1"/>
    <w:rsid w:val="2479711A"/>
    <w:rsid w:val="26880BA4"/>
    <w:rsid w:val="2B99222D"/>
    <w:rsid w:val="32E9314C"/>
    <w:rsid w:val="37BE76EB"/>
    <w:rsid w:val="3A925120"/>
    <w:rsid w:val="42DD2E93"/>
    <w:rsid w:val="45813DA7"/>
    <w:rsid w:val="45D36572"/>
    <w:rsid w:val="4D1B38AA"/>
    <w:rsid w:val="52FB7DD4"/>
    <w:rsid w:val="57DA0E61"/>
    <w:rsid w:val="5DC22CAE"/>
    <w:rsid w:val="5EC94041"/>
    <w:rsid w:val="609A6B99"/>
    <w:rsid w:val="63D91462"/>
    <w:rsid w:val="66C057E2"/>
    <w:rsid w:val="6B011427"/>
    <w:rsid w:val="6B8E550B"/>
    <w:rsid w:val="6C9E60EA"/>
    <w:rsid w:val="6D863995"/>
    <w:rsid w:val="73611CCD"/>
    <w:rsid w:val="76963895"/>
    <w:rsid w:val="77A12A85"/>
    <w:rsid w:val="7CD9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Indent"/>
    <w:basedOn w:val="1"/>
    <w:link w:val="19"/>
    <w:qFormat/>
    <w:uiPriority w:val="0"/>
    <w:pPr>
      <w:spacing w:line="240" w:lineRule="atLeast"/>
      <w:ind w:firstLine="640" w:firstLineChars="200"/>
    </w:pPr>
    <w:rPr>
      <w:sz w:val="32"/>
    </w:rPr>
  </w:style>
  <w:style w:type="paragraph" w:styleId="5">
    <w:name w:val="Plain Text"/>
    <w:basedOn w:val="1"/>
    <w:link w:val="21"/>
    <w:qFormat/>
    <w:uiPriority w:val="0"/>
    <w:rPr>
      <w:rFonts w:ascii="宋体" w:hAnsi="Courier New"/>
      <w:sz w:val="24"/>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15"/>
    <w:unhideWhenUsed/>
    <w:qFormat/>
    <w:uiPriority w:val="99"/>
    <w:pPr>
      <w:tabs>
        <w:tab w:val="center" w:pos="4680"/>
        <w:tab w:val="right" w:pos="9360"/>
      </w:tabs>
    </w:pPr>
  </w:style>
  <w:style w:type="paragraph" w:styleId="8">
    <w:name w:val="header"/>
    <w:basedOn w:val="1"/>
    <w:link w:val="14"/>
    <w:unhideWhenUsed/>
    <w:qFormat/>
    <w:uiPriority w:val="99"/>
    <w:pPr>
      <w:tabs>
        <w:tab w:val="center" w:pos="4680"/>
        <w:tab w:val="right" w:pos="9360"/>
      </w:tabs>
    </w:pPr>
  </w:style>
  <w:style w:type="paragraph" w:styleId="9">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paragraph" w:styleId="10">
    <w:name w:val="annotation subject"/>
    <w:basedOn w:val="3"/>
    <w:next w:val="3"/>
    <w:link w:val="23"/>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qFormat/>
    <w:uiPriority w:val="99"/>
    <w:rPr>
      <w:rFonts w:ascii="Times New Roman" w:hAnsi="Times New Roman" w:eastAsia="宋体" w:cs="Times New Roman"/>
      <w:kern w:val="2"/>
      <w:sz w:val="21"/>
      <w:szCs w:val="24"/>
      <w:lang w:eastAsia="zh-CN"/>
    </w:rPr>
  </w:style>
  <w:style w:type="character" w:customStyle="1" w:styleId="15">
    <w:name w:val="页脚 字符"/>
    <w:basedOn w:val="12"/>
    <w:link w:val="7"/>
    <w:qFormat/>
    <w:uiPriority w:val="99"/>
    <w:rPr>
      <w:rFonts w:ascii="Times New Roman" w:hAnsi="Times New Roman" w:eastAsia="宋体" w:cs="Times New Roman"/>
      <w:kern w:val="2"/>
      <w:sz w:val="21"/>
      <w:szCs w:val="24"/>
      <w:lang w:eastAsia="zh-CN"/>
    </w:rPr>
  </w:style>
  <w:style w:type="character" w:customStyle="1" w:styleId="16">
    <w:name w:val="标题 3 字符"/>
    <w:basedOn w:val="12"/>
    <w:link w:val="2"/>
    <w:qFormat/>
    <w:uiPriority w:val="9"/>
    <w:rPr>
      <w:rFonts w:ascii="Calibri Light" w:hAnsi="Calibri Light" w:eastAsia="Yu Gothic Light" w:cs="Times New Roman"/>
      <w:color w:val="1F3763"/>
      <w:sz w:val="24"/>
      <w:szCs w:val="24"/>
    </w:rPr>
  </w:style>
  <w:style w:type="paragraph" w:customStyle="1" w:styleId="17">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8">
    <w:name w:val="List Paragraph"/>
    <w:basedOn w:val="1"/>
    <w:qFormat/>
    <w:uiPriority w:val="34"/>
    <w:pPr>
      <w:ind w:left="720"/>
      <w:contextualSpacing/>
    </w:pPr>
  </w:style>
  <w:style w:type="character" w:customStyle="1" w:styleId="19">
    <w:name w:val="正文文本缩进 字符"/>
    <w:basedOn w:val="12"/>
    <w:link w:val="4"/>
    <w:qFormat/>
    <w:uiPriority w:val="0"/>
    <w:rPr>
      <w:rFonts w:ascii="Times New Roman" w:hAnsi="Times New Roman" w:eastAsia="宋体" w:cs="Times New Roman"/>
      <w:kern w:val="2"/>
      <w:sz w:val="32"/>
      <w:szCs w:val="24"/>
      <w:lang w:eastAsia="zh-CN"/>
    </w:rPr>
  </w:style>
  <w:style w:type="character" w:customStyle="1" w:styleId="20">
    <w:name w:val="批注框文本 字符"/>
    <w:basedOn w:val="12"/>
    <w:link w:val="6"/>
    <w:semiHidden/>
    <w:qFormat/>
    <w:uiPriority w:val="99"/>
    <w:rPr>
      <w:rFonts w:ascii="Times New Roman" w:hAnsi="Times New Roman" w:eastAsia="宋体" w:cs="Times New Roman"/>
      <w:kern w:val="2"/>
      <w:sz w:val="18"/>
      <w:szCs w:val="18"/>
      <w:lang w:eastAsia="zh-CN"/>
    </w:rPr>
  </w:style>
  <w:style w:type="character" w:customStyle="1" w:styleId="21">
    <w:name w:val="纯文本 字符"/>
    <w:basedOn w:val="12"/>
    <w:link w:val="5"/>
    <w:qFormat/>
    <w:uiPriority w:val="0"/>
    <w:rPr>
      <w:rFonts w:ascii="宋体" w:hAnsi="Courier New" w:eastAsia="宋体" w:cs="Times New Roman"/>
      <w:kern w:val="2"/>
      <w:sz w:val="24"/>
      <w:szCs w:val="20"/>
      <w:lang w:eastAsia="zh-CN"/>
    </w:rPr>
  </w:style>
  <w:style w:type="character" w:customStyle="1" w:styleId="22">
    <w:name w:val="批注文字 字符"/>
    <w:basedOn w:val="12"/>
    <w:link w:val="3"/>
    <w:semiHidden/>
    <w:qFormat/>
    <w:uiPriority w:val="99"/>
    <w:rPr>
      <w:kern w:val="2"/>
      <w:sz w:val="21"/>
      <w:szCs w:val="24"/>
    </w:rPr>
  </w:style>
  <w:style w:type="character" w:customStyle="1" w:styleId="23">
    <w:name w:val="批注主题 字符"/>
    <w:basedOn w:val="22"/>
    <w:link w:val="10"/>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4AE1-FF07-4D86-A6FF-8566558FCEB9}">
  <ds:schemaRefs/>
</ds:datastoreItem>
</file>

<file path=docProps/app.xml><?xml version="1.0" encoding="utf-8"?>
<Properties xmlns="http://schemas.openxmlformats.org/officeDocument/2006/extended-properties" xmlns:vt="http://schemas.openxmlformats.org/officeDocument/2006/docPropsVTypes">
  <Template>Normal</Template>
  <Pages>5</Pages>
  <Words>2328</Words>
  <Characters>2498</Characters>
  <Lines>18</Lines>
  <Paragraphs>5</Paragraphs>
  <TotalTime>10</TotalTime>
  <ScaleCrop>false</ScaleCrop>
  <LinksUpToDate>false</LinksUpToDate>
  <CharactersWithSpaces>2508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2018-12-21T04:58:00Z</dcterms:created>
  <dc:creator>cslau</dc:creator>
  <cp:lastModifiedBy>太极箫客</cp:lastModifiedBy>
  <cp:lastPrinted>2019-01-14T08:21:00Z</cp:lastPrinted>
  <dcterms:modified xsi:type="dcterms:W3CDTF">2025-08-14T06:22:25Z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C9838A886A554403A93CF32F3E78FC45_12</vt:lpwstr>
  </property>
</Properties>
</file>