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1F3C1">
      <w:pPr>
        <w:tabs>
          <w:tab w:val="left" w:pos="709"/>
        </w:tabs>
        <w:spacing w:line="360" w:lineRule="auto"/>
        <w:jc w:val="center"/>
        <w:rPr>
          <w:rFonts w:ascii="宋体" w:hAnsi="宋体"/>
          <w:b/>
          <w:bCs/>
          <w:sz w:val="22"/>
          <w:szCs w:val="22"/>
        </w:rPr>
      </w:pPr>
      <w:bookmarkStart w:id="1" w:name="_GoBack"/>
      <w:bookmarkEnd w:id="1"/>
      <w:r>
        <w:rPr>
          <w:rFonts w:hint="eastAsia" w:ascii="宋体" w:hAnsi="宋体"/>
          <w:b/>
          <w:bCs/>
          <w:sz w:val="22"/>
          <w:szCs w:val="22"/>
        </w:rPr>
        <w:t>更改历史</w:t>
      </w:r>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1D80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1FA8BD6">
            <w:pPr>
              <w:jc w:val="center"/>
              <w:rPr>
                <w:rFonts w:ascii="宋体" w:hAnsi="宋体"/>
              </w:rPr>
            </w:pPr>
            <w:r>
              <w:rPr>
                <w:rFonts w:hint="eastAsia" w:ascii="宋体" w:hAnsi="宋体"/>
                <w:b/>
                <w:sz w:val="22"/>
                <w:szCs w:val="22"/>
              </w:rPr>
              <w:t>版本号</w:t>
            </w:r>
          </w:p>
        </w:tc>
        <w:tc>
          <w:tcPr>
            <w:tcW w:w="1401" w:type="dxa"/>
            <w:shd w:val="clear" w:color="auto" w:fill="auto"/>
            <w:vAlign w:val="center"/>
          </w:tcPr>
          <w:p w14:paraId="7C455AC6">
            <w:pPr>
              <w:jc w:val="center"/>
              <w:rPr>
                <w:rFonts w:ascii="宋体" w:hAnsi="宋体"/>
              </w:rPr>
            </w:pPr>
            <w:r>
              <w:rPr>
                <w:rFonts w:hint="eastAsia" w:ascii="宋体" w:hAnsi="宋体"/>
                <w:b/>
                <w:sz w:val="22"/>
                <w:szCs w:val="22"/>
              </w:rPr>
              <w:t>文件更改号</w:t>
            </w:r>
          </w:p>
        </w:tc>
        <w:tc>
          <w:tcPr>
            <w:tcW w:w="4739" w:type="dxa"/>
            <w:shd w:val="clear" w:color="auto" w:fill="auto"/>
            <w:vAlign w:val="center"/>
          </w:tcPr>
          <w:p w14:paraId="5A12F53C">
            <w:pPr>
              <w:jc w:val="center"/>
              <w:rPr>
                <w:rFonts w:ascii="宋体" w:hAnsi="宋体"/>
              </w:rPr>
            </w:pPr>
            <w:r>
              <w:rPr>
                <w:rFonts w:hint="eastAsia" w:ascii="宋体" w:hAnsi="宋体"/>
                <w:b/>
                <w:bCs/>
                <w:sz w:val="22"/>
                <w:szCs w:val="22"/>
              </w:rPr>
              <w:t>更改概要</w:t>
            </w:r>
          </w:p>
        </w:tc>
        <w:tc>
          <w:tcPr>
            <w:tcW w:w="1738" w:type="dxa"/>
            <w:vAlign w:val="center"/>
          </w:tcPr>
          <w:p w14:paraId="29DE2AEA">
            <w:pPr>
              <w:jc w:val="center"/>
              <w:rPr>
                <w:rFonts w:ascii="宋体" w:hAnsi="宋体"/>
                <w:b/>
                <w:bCs/>
              </w:rPr>
            </w:pPr>
            <w:r>
              <w:rPr>
                <w:rFonts w:hint="eastAsia" w:ascii="宋体" w:hAnsi="宋体"/>
                <w:b/>
                <w:bCs/>
                <w:sz w:val="22"/>
                <w:szCs w:val="22"/>
              </w:rPr>
              <w:t>修改人</w:t>
            </w:r>
          </w:p>
        </w:tc>
        <w:tc>
          <w:tcPr>
            <w:tcW w:w="1736" w:type="dxa"/>
            <w:vAlign w:val="center"/>
          </w:tcPr>
          <w:p w14:paraId="2202769C">
            <w:pPr>
              <w:jc w:val="center"/>
              <w:rPr>
                <w:rFonts w:ascii="宋体" w:hAnsi="宋体"/>
                <w:b/>
                <w:bCs/>
              </w:rPr>
            </w:pPr>
            <w:r>
              <w:rPr>
                <w:rFonts w:hint="eastAsia" w:ascii="宋体" w:hAnsi="宋体"/>
                <w:b/>
                <w:bCs/>
                <w:sz w:val="22"/>
                <w:szCs w:val="22"/>
              </w:rPr>
              <w:t>批准人</w:t>
            </w:r>
          </w:p>
        </w:tc>
      </w:tr>
      <w:tr w14:paraId="0692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7C95DFC">
            <w:pPr>
              <w:jc w:val="center"/>
              <w:rPr>
                <w:rFonts w:ascii="宋体" w:hAnsi="宋体"/>
              </w:rPr>
            </w:pPr>
            <w:r>
              <w:rPr>
                <w:rFonts w:ascii="宋体" w:hAnsi="宋体"/>
                <w:sz w:val="22"/>
                <w:szCs w:val="22"/>
              </w:rPr>
              <w:t>01</w:t>
            </w:r>
          </w:p>
        </w:tc>
        <w:tc>
          <w:tcPr>
            <w:tcW w:w="1401" w:type="dxa"/>
            <w:shd w:val="clear" w:color="auto" w:fill="auto"/>
            <w:vAlign w:val="center"/>
          </w:tcPr>
          <w:p w14:paraId="159317F3">
            <w:pPr>
              <w:jc w:val="center"/>
              <w:rPr>
                <w:rFonts w:ascii="宋体" w:hAnsi="宋体"/>
              </w:rPr>
            </w:pPr>
            <w:r>
              <w:rPr>
                <w:rFonts w:hint="eastAsia" w:ascii="宋体" w:hAnsi="宋体"/>
                <w:sz w:val="22"/>
                <w:szCs w:val="22"/>
              </w:rPr>
              <w:t>首发行</w:t>
            </w:r>
          </w:p>
        </w:tc>
        <w:tc>
          <w:tcPr>
            <w:tcW w:w="4739" w:type="dxa"/>
            <w:shd w:val="clear" w:color="auto" w:fill="auto"/>
            <w:vAlign w:val="center"/>
          </w:tcPr>
          <w:p w14:paraId="50EE0FE6">
            <w:pPr>
              <w:jc w:val="center"/>
              <w:rPr>
                <w:rFonts w:ascii="宋体" w:hAnsi="宋体"/>
                <w:lang w:eastAsia="zh-TW"/>
              </w:rPr>
            </w:pPr>
            <w:r>
              <w:rPr>
                <w:rFonts w:ascii="宋体" w:hAnsi="宋体"/>
                <w:sz w:val="22"/>
                <w:szCs w:val="22"/>
              </w:rPr>
              <w:t>/</w:t>
            </w:r>
          </w:p>
        </w:tc>
        <w:tc>
          <w:tcPr>
            <w:tcW w:w="1738" w:type="dxa"/>
            <w:vAlign w:val="center"/>
          </w:tcPr>
          <w:p w14:paraId="2BBC2276">
            <w:pPr>
              <w:jc w:val="center"/>
              <w:rPr>
                <w:rFonts w:ascii="宋体" w:hAnsi="宋体"/>
              </w:rPr>
            </w:pPr>
            <w:r>
              <w:rPr>
                <w:rFonts w:ascii="宋体" w:hAnsi="宋体"/>
              </w:rPr>
              <w:t>/</w:t>
            </w:r>
          </w:p>
        </w:tc>
        <w:tc>
          <w:tcPr>
            <w:tcW w:w="1736" w:type="dxa"/>
            <w:vAlign w:val="center"/>
          </w:tcPr>
          <w:p w14:paraId="53F2606F">
            <w:pPr>
              <w:jc w:val="center"/>
              <w:rPr>
                <w:rFonts w:ascii="宋体" w:hAnsi="宋体"/>
              </w:rPr>
            </w:pPr>
            <w:r>
              <w:rPr>
                <w:rFonts w:ascii="宋体" w:hAnsi="宋体"/>
              </w:rPr>
              <w:t>/</w:t>
            </w:r>
          </w:p>
        </w:tc>
      </w:tr>
      <w:tr w14:paraId="00AB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F75C888">
            <w:pPr>
              <w:jc w:val="center"/>
              <w:rPr>
                <w:rFonts w:ascii="宋体" w:hAnsi="宋体"/>
              </w:rPr>
            </w:pPr>
          </w:p>
        </w:tc>
        <w:tc>
          <w:tcPr>
            <w:tcW w:w="1401" w:type="dxa"/>
            <w:shd w:val="clear" w:color="auto" w:fill="auto"/>
            <w:vAlign w:val="center"/>
          </w:tcPr>
          <w:p w14:paraId="3001A323">
            <w:pPr>
              <w:jc w:val="center"/>
              <w:rPr>
                <w:rFonts w:ascii="宋体" w:hAnsi="宋体"/>
              </w:rPr>
            </w:pPr>
          </w:p>
        </w:tc>
        <w:tc>
          <w:tcPr>
            <w:tcW w:w="4739" w:type="dxa"/>
            <w:shd w:val="clear" w:color="auto" w:fill="auto"/>
            <w:vAlign w:val="center"/>
          </w:tcPr>
          <w:p w14:paraId="355B4F03">
            <w:pPr>
              <w:jc w:val="center"/>
              <w:rPr>
                <w:rFonts w:ascii="宋体" w:hAnsi="宋体"/>
              </w:rPr>
            </w:pPr>
          </w:p>
        </w:tc>
        <w:tc>
          <w:tcPr>
            <w:tcW w:w="1738" w:type="dxa"/>
            <w:vAlign w:val="center"/>
          </w:tcPr>
          <w:p w14:paraId="40EEDCAB">
            <w:pPr>
              <w:jc w:val="center"/>
              <w:rPr>
                <w:rFonts w:ascii="宋体" w:hAnsi="宋体"/>
              </w:rPr>
            </w:pPr>
          </w:p>
        </w:tc>
        <w:tc>
          <w:tcPr>
            <w:tcW w:w="1736" w:type="dxa"/>
            <w:vAlign w:val="center"/>
          </w:tcPr>
          <w:p w14:paraId="451D7521">
            <w:pPr>
              <w:jc w:val="center"/>
              <w:rPr>
                <w:rFonts w:ascii="宋体" w:hAnsi="宋体"/>
              </w:rPr>
            </w:pPr>
          </w:p>
        </w:tc>
      </w:tr>
      <w:tr w14:paraId="1281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17E24BD">
            <w:pPr>
              <w:jc w:val="center"/>
              <w:rPr>
                <w:rFonts w:ascii="宋体" w:hAnsi="宋体"/>
              </w:rPr>
            </w:pPr>
          </w:p>
        </w:tc>
        <w:tc>
          <w:tcPr>
            <w:tcW w:w="1401" w:type="dxa"/>
            <w:shd w:val="clear" w:color="auto" w:fill="auto"/>
            <w:vAlign w:val="center"/>
          </w:tcPr>
          <w:p w14:paraId="3221BD3D">
            <w:pPr>
              <w:jc w:val="center"/>
              <w:rPr>
                <w:rFonts w:ascii="宋体" w:hAnsi="宋体"/>
              </w:rPr>
            </w:pPr>
          </w:p>
        </w:tc>
        <w:tc>
          <w:tcPr>
            <w:tcW w:w="4739" w:type="dxa"/>
            <w:shd w:val="clear" w:color="auto" w:fill="auto"/>
            <w:vAlign w:val="center"/>
          </w:tcPr>
          <w:p w14:paraId="6ED388BC">
            <w:pPr>
              <w:jc w:val="center"/>
              <w:rPr>
                <w:rFonts w:ascii="宋体" w:hAnsi="宋体"/>
              </w:rPr>
            </w:pPr>
          </w:p>
        </w:tc>
        <w:tc>
          <w:tcPr>
            <w:tcW w:w="1738" w:type="dxa"/>
            <w:vAlign w:val="center"/>
          </w:tcPr>
          <w:p w14:paraId="2F9C372D">
            <w:pPr>
              <w:jc w:val="center"/>
              <w:rPr>
                <w:rFonts w:ascii="宋体" w:hAnsi="宋体"/>
              </w:rPr>
            </w:pPr>
          </w:p>
        </w:tc>
        <w:tc>
          <w:tcPr>
            <w:tcW w:w="1736" w:type="dxa"/>
            <w:vAlign w:val="center"/>
          </w:tcPr>
          <w:p w14:paraId="64F951CA">
            <w:pPr>
              <w:jc w:val="center"/>
              <w:rPr>
                <w:rFonts w:ascii="宋体" w:hAnsi="宋体"/>
              </w:rPr>
            </w:pPr>
          </w:p>
        </w:tc>
      </w:tr>
      <w:tr w14:paraId="1C32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0D3AE33">
            <w:pPr>
              <w:jc w:val="center"/>
              <w:rPr>
                <w:rFonts w:ascii="宋体" w:hAnsi="宋体"/>
              </w:rPr>
            </w:pPr>
          </w:p>
        </w:tc>
        <w:tc>
          <w:tcPr>
            <w:tcW w:w="1401" w:type="dxa"/>
            <w:shd w:val="clear" w:color="auto" w:fill="auto"/>
            <w:vAlign w:val="center"/>
          </w:tcPr>
          <w:p w14:paraId="54AAED95">
            <w:pPr>
              <w:jc w:val="center"/>
              <w:rPr>
                <w:rFonts w:ascii="宋体" w:hAnsi="宋体"/>
              </w:rPr>
            </w:pPr>
          </w:p>
        </w:tc>
        <w:tc>
          <w:tcPr>
            <w:tcW w:w="4739" w:type="dxa"/>
            <w:shd w:val="clear" w:color="auto" w:fill="auto"/>
            <w:vAlign w:val="center"/>
          </w:tcPr>
          <w:p w14:paraId="5CE5C9AF">
            <w:pPr>
              <w:jc w:val="center"/>
              <w:rPr>
                <w:rFonts w:ascii="宋体" w:hAnsi="宋体"/>
              </w:rPr>
            </w:pPr>
          </w:p>
        </w:tc>
        <w:tc>
          <w:tcPr>
            <w:tcW w:w="1738" w:type="dxa"/>
            <w:vAlign w:val="center"/>
          </w:tcPr>
          <w:p w14:paraId="0337723E">
            <w:pPr>
              <w:jc w:val="center"/>
              <w:rPr>
                <w:rFonts w:ascii="宋体" w:hAnsi="宋体"/>
              </w:rPr>
            </w:pPr>
          </w:p>
        </w:tc>
        <w:tc>
          <w:tcPr>
            <w:tcW w:w="1736" w:type="dxa"/>
            <w:vAlign w:val="center"/>
          </w:tcPr>
          <w:p w14:paraId="7C71AB99">
            <w:pPr>
              <w:jc w:val="center"/>
              <w:rPr>
                <w:rFonts w:ascii="宋体" w:hAnsi="宋体"/>
              </w:rPr>
            </w:pPr>
          </w:p>
        </w:tc>
      </w:tr>
      <w:tr w14:paraId="7BF3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10F5E1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9E3429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C57D26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03FD52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BE7F8D0">
            <w:pPr>
              <w:jc w:val="center"/>
              <w:rPr>
                <w:rFonts w:ascii="宋体" w:hAnsi="宋体"/>
              </w:rPr>
            </w:pPr>
          </w:p>
        </w:tc>
      </w:tr>
      <w:tr w14:paraId="3A24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F964E1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CBA7B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74FA95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4DD795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7BEACB0">
            <w:pPr>
              <w:jc w:val="center"/>
              <w:rPr>
                <w:rFonts w:ascii="宋体" w:hAnsi="宋体"/>
              </w:rPr>
            </w:pPr>
          </w:p>
        </w:tc>
      </w:tr>
      <w:tr w14:paraId="61E0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DF958F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D241E2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1C9DC7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825F56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5AA54C4">
            <w:pPr>
              <w:jc w:val="center"/>
              <w:rPr>
                <w:rFonts w:ascii="宋体" w:hAnsi="宋体"/>
              </w:rPr>
            </w:pPr>
          </w:p>
        </w:tc>
      </w:tr>
      <w:tr w14:paraId="10DA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955CB5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1A705F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6D4CCD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866CC1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CFAFCC7">
            <w:pPr>
              <w:jc w:val="center"/>
              <w:rPr>
                <w:rFonts w:ascii="宋体" w:hAnsi="宋体"/>
              </w:rPr>
            </w:pPr>
          </w:p>
        </w:tc>
      </w:tr>
      <w:tr w14:paraId="668A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3243B9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E01891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57E187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A25B60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1373448">
            <w:pPr>
              <w:jc w:val="center"/>
              <w:rPr>
                <w:rFonts w:ascii="宋体" w:hAnsi="宋体"/>
              </w:rPr>
            </w:pPr>
          </w:p>
        </w:tc>
      </w:tr>
      <w:tr w14:paraId="54A1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B8F446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DD3980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8B262E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423242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F8CED0E">
            <w:pPr>
              <w:jc w:val="center"/>
              <w:rPr>
                <w:rFonts w:ascii="宋体" w:hAnsi="宋体"/>
              </w:rPr>
            </w:pPr>
          </w:p>
        </w:tc>
      </w:tr>
      <w:tr w14:paraId="301F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B75062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8B58A7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576CB6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2C9DE1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BAEB1A5">
            <w:pPr>
              <w:jc w:val="center"/>
              <w:rPr>
                <w:rFonts w:ascii="宋体" w:hAnsi="宋体"/>
              </w:rPr>
            </w:pPr>
          </w:p>
        </w:tc>
      </w:tr>
      <w:tr w14:paraId="4B65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C2423D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28160F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3A7CFD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AE708E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A19F773">
            <w:pPr>
              <w:jc w:val="center"/>
              <w:rPr>
                <w:rFonts w:ascii="宋体" w:hAnsi="宋体"/>
              </w:rPr>
            </w:pPr>
          </w:p>
        </w:tc>
      </w:tr>
      <w:tr w14:paraId="37C5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B4AA56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BC1C87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E0D00E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68A6CE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1F03AAD">
            <w:pPr>
              <w:jc w:val="center"/>
              <w:rPr>
                <w:rFonts w:ascii="宋体" w:hAnsi="宋体"/>
              </w:rPr>
            </w:pPr>
          </w:p>
        </w:tc>
      </w:tr>
      <w:tr w14:paraId="64F5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3BB1C6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F00EA0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BB5838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EBEC69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C48270E">
            <w:pPr>
              <w:jc w:val="center"/>
              <w:rPr>
                <w:rFonts w:ascii="宋体" w:hAnsi="宋体"/>
              </w:rPr>
            </w:pPr>
          </w:p>
        </w:tc>
      </w:tr>
      <w:tr w14:paraId="3CD7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60029F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7249C3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012FAB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DACFD8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1E28E07">
            <w:pPr>
              <w:jc w:val="center"/>
              <w:rPr>
                <w:rFonts w:ascii="宋体" w:hAnsi="宋体"/>
              </w:rPr>
            </w:pPr>
          </w:p>
        </w:tc>
      </w:tr>
      <w:tr w14:paraId="4E5D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4F93C8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FBCAB7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3ADBBB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5EC72F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0C0649A">
            <w:pPr>
              <w:jc w:val="center"/>
              <w:rPr>
                <w:rFonts w:ascii="宋体" w:hAnsi="宋体"/>
              </w:rPr>
            </w:pPr>
          </w:p>
        </w:tc>
      </w:tr>
      <w:tr w14:paraId="274D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C44797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09B494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D99A8D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E245CB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5FAD9FA">
            <w:pPr>
              <w:jc w:val="center"/>
              <w:rPr>
                <w:rFonts w:ascii="宋体" w:hAnsi="宋体"/>
              </w:rPr>
            </w:pPr>
          </w:p>
        </w:tc>
      </w:tr>
      <w:tr w14:paraId="3D90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27D96A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6E53FC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83459D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3426C2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B1853CA">
            <w:pPr>
              <w:jc w:val="center"/>
              <w:rPr>
                <w:rFonts w:ascii="宋体" w:hAnsi="宋体"/>
              </w:rPr>
            </w:pPr>
          </w:p>
        </w:tc>
      </w:tr>
      <w:tr w14:paraId="19D9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E55547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38A14A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28373C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55941B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645A5D3">
            <w:pPr>
              <w:jc w:val="center"/>
              <w:rPr>
                <w:rFonts w:ascii="宋体" w:hAnsi="宋体"/>
              </w:rPr>
            </w:pPr>
          </w:p>
        </w:tc>
      </w:tr>
      <w:tr w14:paraId="40E2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BB7DDC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31B232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7681B3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DF441B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BF8C456">
            <w:pPr>
              <w:jc w:val="center"/>
              <w:rPr>
                <w:rFonts w:ascii="宋体" w:hAnsi="宋体"/>
              </w:rPr>
            </w:pPr>
          </w:p>
        </w:tc>
      </w:tr>
      <w:tr w14:paraId="776D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BA4BA7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107DE0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23229E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3362B8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A894765">
            <w:pPr>
              <w:jc w:val="center"/>
              <w:rPr>
                <w:rFonts w:ascii="宋体" w:hAnsi="宋体"/>
              </w:rPr>
            </w:pPr>
          </w:p>
        </w:tc>
      </w:tr>
      <w:tr w14:paraId="3283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493BCA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9476A7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57AC11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46CDCD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33D9B6B">
            <w:pPr>
              <w:jc w:val="center"/>
              <w:rPr>
                <w:rFonts w:ascii="宋体" w:hAnsi="宋体"/>
              </w:rPr>
            </w:pPr>
          </w:p>
        </w:tc>
      </w:tr>
      <w:tr w14:paraId="42C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587D45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69B1CE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6AB555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ACF17E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2E47F6F">
            <w:pPr>
              <w:jc w:val="center"/>
              <w:rPr>
                <w:rFonts w:ascii="宋体" w:hAnsi="宋体"/>
              </w:rPr>
            </w:pPr>
          </w:p>
        </w:tc>
      </w:tr>
      <w:tr w14:paraId="3B86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6424019">
            <w:pPr>
              <w:jc w:val="center"/>
              <w:rPr>
                <w:rFonts w:ascii="宋体" w:hAnsi="宋体"/>
              </w:rPr>
            </w:pPr>
            <w:r>
              <w:rPr>
                <w:rFonts w:hint="eastAsia"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55CAD7">
            <w:pPr>
              <w:ind w:firstLine="1000" w:firstLineChars="500"/>
              <w:rPr>
                <w:rFonts w:ascii="宋体" w:hAnsi="宋体"/>
                <w:sz w:val="20"/>
                <w:szCs w:val="21"/>
              </w:rPr>
            </w:pPr>
          </w:p>
          <w:p w14:paraId="59427170">
            <w:pPr>
              <w:ind w:firstLine="1000" w:firstLineChars="500"/>
              <w:rPr>
                <w:rFonts w:ascii="宋体" w:hAnsi="宋体"/>
                <w:sz w:val="20"/>
                <w:szCs w:val="21"/>
              </w:rPr>
            </w:pPr>
          </w:p>
        </w:tc>
      </w:tr>
    </w:tbl>
    <w:p w14:paraId="44B2F03A">
      <w:pPr>
        <w:spacing w:line="360" w:lineRule="auto"/>
        <w:rPr>
          <w:rFonts w:ascii="宋体" w:hAnsi="宋体"/>
          <w:b/>
          <w:sz w:val="22"/>
          <w:szCs w:val="22"/>
        </w:rPr>
      </w:pPr>
    </w:p>
    <w:p w14:paraId="2FE0025D">
      <w:pPr>
        <w:spacing w:line="360" w:lineRule="auto"/>
        <w:rPr>
          <w:rFonts w:ascii="宋体" w:hAnsi="宋体"/>
          <w:b/>
          <w:sz w:val="22"/>
          <w:szCs w:val="22"/>
        </w:rPr>
      </w:pPr>
    </w:p>
    <w:p w14:paraId="61702D00">
      <w:pPr>
        <w:numPr>
          <w:ilvl w:val="0"/>
          <w:numId w:val="1"/>
        </w:numPr>
        <w:tabs>
          <w:tab w:val="left" w:pos="709"/>
        </w:tabs>
        <w:spacing w:line="360" w:lineRule="auto"/>
        <w:ind w:left="709" w:hanging="709"/>
        <w:rPr>
          <w:rFonts w:ascii="宋体" w:hAnsi="宋体"/>
          <w:b/>
          <w:bCs/>
          <w:sz w:val="24"/>
        </w:rPr>
      </w:pPr>
      <w:bookmarkStart w:id="0" w:name="_Hlk489618160"/>
      <w:r>
        <w:rPr>
          <w:rFonts w:hint="eastAsia" w:ascii="宋体" w:hAnsi="宋体"/>
          <w:b/>
          <w:bCs/>
          <w:sz w:val="24"/>
        </w:rPr>
        <w:t>目的</w:t>
      </w:r>
      <w:bookmarkEnd w:id="0"/>
    </w:p>
    <w:p w14:paraId="0D532CFA">
      <w:pPr>
        <w:tabs>
          <w:tab w:val="left" w:pos="709"/>
        </w:tabs>
        <w:spacing w:line="360" w:lineRule="auto"/>
        <w:ind w:left="709"/>
        <w:rPr>
          <w:rFonts w:ascii="宋体" w:hAnsi="宋体"/>
          <w:b/>
          <w:bCs/>
          <w:sz w:val="24"/>
        </w:rPr>
      </w:pPr>
      <w:r>
        <w:rPr>
          <w:rFonts w:hint="eastAsia" w:ascii="宋体" w:hAnsi="宋体"/>
          <w:sz w:val="24"/>
        </w:rPr>
        <w:t>对产品进行必要的标识，防止不同产品的混用，以及需要时，对产品质量形成的全过程实现可追溯性。</w:t>
      </w:r>
    </w:p>
    <w:p w14:paraId="0567654C">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1B155604">
      <w:pPr>
        <w:tabs>
          <w:tab w:val="left" w:pos="709"/>
        </w:tabs>
        <w:spacing w:line="360" w:lineRule="auto"/>
        <w:ind w:left="709"/>
        <w:rPr>
          <w:rFonts w:ascii="宋体" w:hAnsi="宋体"/>
          <w:b/>
          <w:bCs/>
          <w:sz w:val="24"/>
        </w:rPr>
      </w:pPr>
      <w:r>
        <w:rPr>
          <w:rFonts w:hint="eastAsia" w:ascii="宋体" w:hAnsi="宋体"/>
          <w:sz w:val="24"/>
        </w:rPr>
        <w:t>原材料、产品生产、交付的全过程。</w:t>
      </w:r>
    </w:p>
    <w:p w14:paraId="779A2E05">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4FA31211">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供应部负责原材料来源、交付过程的标识；</w:t>
      </w:r>
    </w:p>
    <w:p w14:paraId="0865D31D">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仓管员负责入库物料的标识和储存的标识；</w:t>
      </w:r>
    </w:p>
    <w:p w14:paraId="1A044AB0">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生产技术部负责生产过程中产品的标识，并在流转过程中保持标识；</w:t>
      </w:r>
    </w:p>
    <w:p w14:paraId="59FAAB03">
      <w:pPr>
        <w:numPr>
          <w:ilvl w:val="1"/>
          <w:numId w:val="1"/>
        </w:numPr>
        <w:tabs>
          <w:tab w:val="left" w:pos="0"/>
          <w:tab w:val="left" w:pos="1260"/>
        </w:tabs>
        <w:spacing w:line="360" w:lineRule="auto"/>
        <w:ind w:left="1278" w:hanging="569"/>
        <w:rPr>
          <w:rFonts w:ascii="宋体" w:hAnsi="宋体"/>
          <w:sz w:val="24"/>
        </w:rPr>
      </w:pPr>
      <w:r>
        <w:rPr>
          <w:rFonts w:hint="eastAsia" w:ascii="宋体" w:hAnsi="宋体"/>
          <w:sz w:val="24"/>
        </w:rPr>
        <w:t>质管部负责来料检验后物料状态的标记和监督产品形成过程中的标识以及对质量问题进行追溯和分析；</w:t>
      </w:r>
    </w:p>
    <w:p w14:paraId="26A24996">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经营部负责对售后质量问题做好记录和统计，并将有关资料移交质管部，以便追溯。</w:t>
      </w:r>
    </w:p>
    <w:p w14:paraId="4FD186BF">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工作程序</w:t>
      </w:r>
    </w:p>
    <w:p w14:paraId="1C45A73D">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本公司在生产和服务提供全过程使用适宜的方法标识产品。</w:t>
      </w:r>
    </w:p>
    <w:p w14:paraId="1B8442BB">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产品标识方式：</w:t>
      </w:r>
    </w:p>
    <w:p w14:paraId="79B64735">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产品批号和编号标识；</w:t>
      </w:r>
    </w:p>
    <w:p w14:paraId="36EA8511">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记录标识；</w:t>
      </w:r>
    </w:p>
    <w:p w14:paraId="21D7370E">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标牌、标签标识；</w:t>
      </w:r>
    </w:p>
    <w:p w14:paraId="31A12909">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区域划分标识。</w:t>
      </w:r>
    </w:p>
    <w:p w14:paraId="54A968CF">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检验和试验状态标识的类型：</w:t>
      </w:r>
    </w:p>
    <w:p w14:paraId="069A7A7F">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合格（绿色）；</w:t>
      </w:r>
    </w:p>
    <w:p w14:paraId="692A8018">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不合格（红色）；</w:t>
      </w:r>
    </w:p>
    <w:p w14:paraId="3DC8E25A">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待验（黄色）。</w:t>
      </w:r>
    </w:p>
    <w:p w14:paraId="79B451CB">
      <w:pPr>
        <w:numPr>
          <w:ilvl w:val="1"/>
          <w:numId w:val="1"/>
        </w:numPr>
        <w:tabs>
          <w:tab w:val="left" w:pos="0"/>
          <w:tab w:val="left" w:pos="1260"/>
        </w:tabs>
        <w:spacing w:line="360" w:lineRule="auto"/>
        <w:ind w:left="1418" w:hanging="709"/>
        <w:rPr>
          <w:rFonts w:ascii="宋体" w:hAnsi="宋体"/>
          <w:color w:val="000000"/>
          <w:sz w:val="24"/>
        </w:rPr>
      </w:pPr>
      <w:r>
        <w:rPr>
          <w:rFonts w:hint="eastAsia" w:ascii="宋体" w:hAnsi="宋体"/>
          <w:sz w:val="24"/>
        </w:rPr>
        <w:t>来料的标识和追溯</w:t>
      </w:r>
    </w:p>
    <w:p w14:paraId="1790622E">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来料由仓管员放置在待检区（黄色），并开具《来料请验单》，交质管部检验，来料标识应具有产品的名称、规格型号、物料编号、来料日期、批号等 。</w:t>
      </w:r>
    </w:p>
    <w:p w14:paraId="51FE11CB">
      <w:pPr>
        <w:numPr>
          <w:ilvl w:val="2"/>
          <w:numId w:val="1"/>
        </w:numPr>
        <w:tabs>
          <w:tab w:val="left" w:pos="0"/>
          <w:tab w:val="left" w:pos="1418"/>
        </w:tabs>
        <w:spacing w:line="360" w:lineRule="auto"/>
        <w:rPr>
          <w:rFonts w:ascii="宋体" w:hAnsi="宋体"/>
          <w:color w:val="000000"/>
          <w:sz w:val="24"/>
        </w:rPr>
      </w:pPr>
      <w:r>
        <w:rPr>
          <w:rFonts w:hint="eastAsia" w:ascii="宋体" w:hAnsi="宋体"/>
          <w:sz w:val="24"/>
        </w:rPr>
        <w:t>检验员检验完后根据检验结果，合格的在外包装上贴/挂有绿色标识的“物料状态标签”，并在“物料状态标签”上盖“</w:t>
      </w:r>
      <w:r>
        <w:rPr>
          <w:rFonts w:ascii="宋体" w:hAnsi="宋体"/>
          <w:sz w:val="24"/>
        </w:rPr>
        <w:t>QC pass</w:t>
      </w:r>
      <w:r>
        <w:rPr>
          <w:rFonts w:hint="eastAsia" w:ascii="宋体" w:hAnsi="宋体"/>
          <w:sz w:val="24"/>
        </w:rPr>
        <w:t>”印章；在不合格物料本体上贴/挂有红色标识的“物料状态标签”，并在备注栏简注不合格现象；物料本体不允许时,在外包装上贴/挂有红色标识“物料状态标签”，并在备注栏简注不合格现象。</w:t>
      </w:r>
    </w:p>
    <w:p w14:paraId="0C5D93AC">
      <w:pPr>
        <w:numPr>
          <w:ilvl w:val="2"/>
          <w:numId w:val="1"/>
        </w:numPr>
        <w:tabs>
          <w:tab w:val="left" w:pos="0"/>
          <w:tab w:val="left" w:pos="1418"/>
        </w:tabs>
        <w:spacing w:line="360" w:lineRule="auto"/>
        <w:rPr>
          <w:rFonts w:ascii="宋体" w:hAnsi="宋体"/>
          <w:color w:val="000000"/>
          <w:sz w:val="24"/>
        </w:rPr>
      </w:pPr>
      <w:r>
        <w:rPr>
          <w:rFonts w:hint="eastAsia" w:ascii="宋体" w:hAnsi="宋体"/>
          <w:sz w:val="24"/>
        </w:rPr>
        <w:t>仓管员将检验标识后的物料移入不同的区域，合格区（绿色）、不合格区（红色），对不合格品按照《不合格品控制程序》执行。</w:t>
      </w:r>
    </w:p>
    <w:p w14:paraId="7BE495A2">
      <w:pPr>
        <w:numPr>
          <w:ilvl w:val="2"/>
          <w:numId w:val="1"/>
        </w:numPr>
        <w:tabs>
          <w:tab w:val="left" w:pos="0"/>
          <w:tab w:val="left" w:pos="1418"/>
        </w:tabs>
        <w:spacing w:line="360" w:lineRule="auto"/>
        <w:rPr>
          <w:rFonts w:ascii="宋体" w:hAnsi="宋体"/>
          <w:color w:val="000000"/>
          <w:sz w:val="24"/>
        </w:rPr>
      </w:pPr>
      <w:r>
        <w:rPr>
          <w:rFonts w:hint="eastAsia" w:ascii="宋体" w:hAnsi="宋体"/>
          <w:sz w:val="24"/>
        </w:rPr>
        <w:t>采购订单、供应商送货单号、物料批号、检验报告单号可作为产品追溯。</w:t>
      </w:r>
    </w:p>
    <w:p w14:paraId="05267445">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贮存过程的标识和追溯</w:t>
      </w:r>
    </w:p>
    <w:p w14:paraId="556EED21">
      <w:pPr>
        <w:numPr>
          <w:ilvl w:val="2"/>
          <w:numId w:val="1"/>
        </w:numPr>
        <w:tabs>
          <w:tab w:val="left" w:pos="0"/>
          <w:tab w:val="left" w:pos="1418"/>
        </w:tabs>
        <w:spacing w:line="360" w:lineRule="auto"/>
        <w:rPr>
          <w:rFonts w:ascii="宋体" w:hAnsi="宋体"/>
          <w:color w:val="000000"/>
          <w:sz w:val="24"/>
        </w:rPr>
      </w:pPr>
      <w:r>
        <w:rPr>
          <w:rFonts w:hint="eastAsia"/>
          <w:spacing w:val="20"/>
          <w:sz w:val="24"/>
        </w:rPr>
        <w:t>仓管员负责确保仓内存放的货品有明确的状态标识、标签或其它方式以作识别。</w:t>
      </w:r>
    </w:p>
    <w:p w14:paraId="33B1E677">
      <w:pPr>
        <w:numPr>
          <w:ilvl w:val="2"/>
          <w:numId w:val="1"/>
        </w:numPr>
        <w:tabs>
          <w:tab w:val="left" w:pos="0"/>
          <w:tab w:val="left" w:pos="1418"/>
        </w:tabs>
        <w:spacing w:line="360" w:lineRule="auto"/>
        <w:rPr>
          <w:rFonts w:ascii="宋体" w:hAnsi="宋体"/>
          <w:sz w:val="24"/>
        </w:rPr>
      </w:pPr>
      <w:r>
        <w:rPr>
          <w:rFonts w:hint="eastAsia"/>
          <w:spacing w:val="20"/>
          <w:sz w:val="24"/>
        </w:rPr>
        <w:t>仓库内货品包括物料、半成品和成品由检验员检验后做好标识，仓管员根据“物料状态标签”颜色及货品名称按规定要求放到相应仓库，仓管员负责将货品放到指定区域，并对其进行控制，货品有明显的隔离标识。</w:t>
      </w:r>
    </w:p>
    <w:p w14:paraId="4D54195C">
      <w:pPr>
        <w:numPr>
          <w:ilvl w:val="2"/>
          <w:numId w:val="1"/>
        </w:numPr>
        <w:tabs>
          <w:tab w:val="left" w:pos="0"/>
          <w:tab w:val="left" w:pos="1418"/>
        </w:tabs>
        <w:spacing w:line="360" w:lineRule="auto"/>
        <w:rPr>
          <w:rFonts w:ascii="宋体" w:hAnsi="宋体"/>
          <w:color w:val="000000"/>
          <w:sz w:val="24"/>
        </w:rPr>
      </w:pPr>
      <w:r>
        <w:rPr>
          <w:rFonts w:hint="eastAsia" w:ascii="宋体" w:hAnsi="宋体"/>
          <w:sz w:val="24"/>
        </w:rPr>
        <w:t>来料的贮存</w:t>
      </w:r>
    </w:p>
    <w:p w14:paraId="3B83CF02">
      <w:pPr>
        <w:numPr>
          <w:ilvl w:val="3"/>
          <w:numId w:val="1"/>
        </w:numPr>
        <w:tabs>
          <w:tab w:val="left" w:pos="0"/>
          <w:tab w:val="left" w:pos="1418"/>
        </w:tabs>
        <w:spacing w:line="360" w:lineRule="auto"/>
        <w:ind w:left="2977" w:hanging="1134"/>
        <w:rPr>
          <w:rFonts w:ascii="宋体" w:hAnsi="宋体"/>
          <w:color w:val="000000"/>
          <w:sz w:val="24"/>
        </w:rPr>
      </w:pPr>
      <w:r>
        <w:rPr>
          <w:rFonts w:hint="eastAsia" w:ascii="宋体" w:hAnsi="宋体"/>
          <w:sz w:val="24"/>
        </w:rPr>
        <w:t>存放的物料应在明显位置设置标识，可采用悬挂标签、标牌等办法标识物料的名称、物料编码、来料批号、规格型号、数量、结存、领用人等。</w:t>
      </w:r>
    </w:p>
    <w:p w14:paraId="581F6E6C">
      <w:pPr>
        <w:numPr>
          <w:ilvl w:val="3"/>
          <w:numId w:val="1"/>
        </w:numPr>
        <w:tabs>
          <w:tab w:val="left" w:pos="0"/>
          <w:tab w:val="left" w:pos="1418"/>
        </w:tabs>
        <w:spacing w:line="360" w:lineRule="auto"/>
        <w:ind w:left="2977" w:hanging="1134"/>
        <w:rPr>
          <w:rFonts w:ascii="宋体" w:hAnsi="宋体"/>
          <w:color w:val="000000"/>
          <w:sz w:val="24"/>
        </w:rPr>
      </w:pPr>
      <w:r>
        <w:rPr>
          <w:rFonts w:hint="eastAsia" w:ascii="宋体" w:hAnsi="宋体"/>
          <w:sz w:val="24"/>
        </w:rPr>
        <w:t>小件物资、未包装物资应用货架分列陈放，货架应悬挂区域标识，各分类物料应用立牌标识明确品种名称、物料编码、来料批号、规格型号、数量、结存、领用人等。</w:t>
      </w:r>
    </w:p>
    <w:p w14:paraId="2D64022A">
      <w:pPr>
        <w:numPr>
          <w:ilvl w:val="2"/>
          <w:numId w:val="1"/>
        </w:numPr>
        <w:tabs>
          <w:tab w:val="left" w:pos="0"/>
          <w:tab w:val="left" w:pos="1418"/>
        </w:tabs>
        <w:spacing w:line="360" w:lineRule="auto"/>
        <w:rPr>
          <w:rFonts w:ascii="宋体" w:hAnsi="宋体"/>
          <w:color w:val="000000"/>
          <w:sz w:val="24"/>
        </w:rPr>
      </w:pPr>
      <w:r>
        <w:rPr>
          <w:rFonts w:hint="eastAsia" w:ascii="宋体" w:hAnsi="宋体"/>
          <w:color w:val="000000"/>
          <w:sz w:val="24"/>
        </w:rPr>
        <w:t>成品的贮存</w:t>
      </w:r>
    </w:p>
    <w:p w14:paraId="66750CA1">
      <w:pPr>
        <w:numPr>
          <w:ilvl w:val="3"/>
          <w:numId w:val="1"/>
        </w:numPr>
        <w:tabs>
          <w:tab w:val="left" w:pos="0"/>
          <w:tab w:val="left" w:pos="1418"/>
        </w:tabs>
        <w:spacing w:line="360" w:lineRule="auto"/>
        <w:ind w:left="2977" w:hanging="1134"/>
        <w:rPr>
          <w:rFonts w:ascii="宋体" w:hAnsi="宋体"/>
          <w:sz w:val="24"/>
        </w:rPr>
      </w:pPr>
      <w:r>
        <w:rPr>
          <w:rFonts w:hint="eastAsia" w:ascii="宋体" w:hAnsi="宋体"/>
          <w:color w:val="000000"/>
          <w:sz w:val="24"/>
        </w:rPr>
        <w:t>检验合格后的成品由检验员贴/挂有绿色标识的“物料状态标签”，并在标签上盖“QC pass”章，检验合格的成品移至成品仓的合格区（绿色）。对检验不合格的由检验员贴/挂有红色标识的“物料状态标签”，并在备注栏简注不合格现象，不合格品移至隔离仓的不合格区（红色），不合格品的处理按照《不合格品控制程序》执行。</w:t>
      </w:r>
    </w:p>
    <w:p w14:paraId="7875F0DC">
      <w:pPr>
        <w:numPr>
          <w:ilvl w:val="3"/>
          <w:numId w:val="1"/>
        </w:numPr>
        <w:tabs>
          <w:tab w:val="left" w:pos="0"/>
          <w:tab w:val="left" w:pos="1418"/>
        </w:tabs>
        <w:spacing w:line="360" w:lineRule="auto"/>
        <w:ind w:left="2977" w:hanging="1134"/>
        <w:rPr>
          <w:rFonts w:ascii="宋体" w:hAnsi="宋体"/>
          <w:sz w:val="24"/>
        </w:rPr>
      </w:pPr>
      <w:r>
        <w:rPr>
          <w:rFonts w:hint="eastAsia" w:ascii="宋体" w:hAnsi="宋体"/>
          <w:sz w:val="24"/>
        </w:rPr>
        <w:t>仓管员需为每种合格入库的产品办理货位卡，货位卡包括及时记录物资动态。</w:t>
      </w:r>
    </w:p>
    <w:p w14:paraId="5A6F8DDA">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生产过程标识及状态标识及追溯</w:t>
      </w:r>
    </w:p>
    <w:p w14:paraId="70086B88">
      <w:pPr>
        <w:numPr>
          <w:ilvl w:val="2"/>
          <w:numId w:val="1"/>
        </w:numPr>
        <w:tabs>
          <w:tab w:val="left" w:pos="0"/>
          <w:tab w:val="left" w:pos="1418"/>
        </w:tabs>
        <w:spacing w:line="360" w:lineRule="auto"/>
        <w:rPr>
          <w:rFonts w:ascii="宋体" w:hAnsi="宋体"/>
          <w:sz w:val="24"/>
        </w:rPr>
      </w:pPr>
      <w:r>
        <w:rPr>
          <w:rFonts w:hint="eastAsia" w:ascii="宋体" w:hAnsi="宋体"/>
          <w:sz w:val="24"/>
        </w:rPr>
        <w:t>生产过程中出现的不合格品在本体上贴/挂有红色标识“物料状态标签”，本体不允许时，在外包装上贴/挂有红色标识“物料状态标签”，并在备注栏简注不合格现象，同时操作者需要在《生产过程记录表》和检验员在生产过程检验记录中写明不合格现象。</w:t>
      </w:r>
      <w:r>
        <w:rPr>
          <w:rFonts w:ascii="宋体" w:hAnsi="宋体"/>
          <w:sz w:val="24"/>
        </w:rPr>
        <w:t>进行不合格品标识后</w:t>
      </w:r>
      <w:r>
        <w:rPr>
          <w:rFonts w:hint="eastAsia" w:ascii="宋体" w:hAnsi="宋体"/>
          <w:sz w:val="24"/>
        </w:rPr>
        <w:t>将不合格品暂存到红色周转箱内，下班前交检验员确认后放置到隔离仓的不合格品区域存放。如果生产过程中出现其它不确定的情况时</w:t>
      </w:r>
      <w:r>
        <w:rPr>
          <w:rFonts w:ascii="宋体" w:hAnsi="宋体"/>
          <w:sz w:val="24"/>
        </w:rPr>
        <w:t>,</w:t>
      </w:r>
      <w:r>
        <w:rPr>
          <w:rFonts w:hint="eastAsia" w:ascii="宋体" w:hAnsi="宋体"/>
          <w:sz w:val="24"/>
        </w:rPr>
        <w:t>需按《不合格品控制程序》流程处理。</w:t>
      </w:r>
    </w:p>
    <w:p w14:paraId="73A3E6C2">
      <w:pPr>
        <w:numPr>
          <w:ilvl w:val="2"/>
          <w:numId w:val="1"/>
        </w:numPr>
        <w:tabs>
          <w:tab w:val="left" w:pos="0"/>
          <w:tab w:val="left" w:pos="1418"/>
        </w:tabs>
        <w:spacing w:line="360" w:lineRule="auto"/>
        <w:rPr>
          <w:rFonts w:ascii="宋体" w:hAnsi="宋体"/>
          <w:sz w:val="24"/>
        </w:rPr>
      </w:pPr>
      <w:r>
        <w:rPr>
          <w:rFonts w:hint="eastAsia"/>
          <w:spacing w:val="20"/>
          <w:sz w:val="24"/>
        </w:rPr>
        <w:t>生产技术部在《生产过程记录表》上填写生产通知单号、生产日期、产品名称、物料编码等等，并记录物料名称及其物料编码、来料批号等等；质管部在生产过程检验记录上填写并记录生产日期等等。</w:t>
      </w:r>
    </w:p>
    <w:p w14:paraId="785E740B">
      <w:pPr>
        <w:numPr>
          <w:ilvl w:val="2"/>
          <w:numId w:val="1"/>
        </w:numPr>
        <w:tabs>
          <w:tab w:val="left" w:pos="0"/>
          <w:tab w:val="left" w:pos="1418"/>
        </w:tabs>
        <w:spacing w:line="360" w:lineRule="auto"/>
        <w:rPr>
          <w:rFonts w:ascii="宋体" w:hAnsi="宋体"/>
          <w:sz w:val="24"/>
        </w:rPr>
      </w:pPr>
      <w:r>
        <w:rPr>
          <w:rFonts w:hint="eastAsia" w:ascii="宋体" w:hAnsi="宋体"/>
          <w:sz w:val="24"/>
        </w:rPr>
        <w:t>生产区域应根据生产工序分区标识，对生产过程状态也用“物料状态标签”进行状态标识，并在备注栏填写工序状态。</w:t>
      </w:r>
    </w:p>
    <w:p w14:paraId="6E5D50D0">
      <w:pPr>
        <w:numPr>
          <w:ilvl w:val="2"/>
          <w:numId w:val="1"/>
        </w:numPr>
        <w:tabs>
          <w:tab w:val="left" w:pos="0"/>
          <w:tab w:val="left" w:pos="1418"/>
        </w:tabs>
        <w:spacing w:line="360" w:lineRule="auto"/>
        <w:rPr>
          <w:rFonts w:ascii="宋体" w:hAnsi="宋体"/>
          <w:sz w:val="24"/>
        </w:rPr>
      </w:pPr>
      <w:r>
        <w:rPr>
          <w:rFonts w:hint="eastAsia" w:ascii="宋体" w:hAnsi="宋体"/>
          <w:sz w:val="24"/>
        </w:rPr>
        <w:t>生产技术部将未检验的半成品、成品放在周转架加上，并在周转架上悬挂黄色“待检标识牌”，以表示待检状态，然后将其推到指定的待检区域，检验员检完悬挂黄色“待检标识牌”的产品后，对放合格产品的周转架悬挂绿色“合格标识牌”，代表此架合格。对检验出的不合格品贴/挂上有红色标识的“物料状态标签”，并在备注栏简注不合格现象，对检验过程中可临时先悬挂红色“不合格品标识牌”，检验完后仍然贴/挂有红色标识的“物料状态标签”对产品进行标识，并简注不合格现象。</w:t>
      </w:r>
    </w:p>
    <w:p w14:paraId="3E3E1AEF">
      <w:pPr>
        <w:numPr>
          <w:ilvl w:val="2"/>
          <w:numId w:val="1"/>
        </w:numPr>
        <w:tabs>
          <w:tab w:val="left" w:pos="0"/>
          <w:tab w:val="left" w:pos="1418"/>
        </w:tabs>
        <w:spacing w:line="360" w:lineRule="auto"/>
        <w:rPr>
          <w:rFonts w:ascii="宋体" w:hAnsi="宋体"/>
          <w:sz w:val="24"/>
        </w:rPr>
      </w:pPr>
      <w:r>
        <w:rPr>
          <w:rFonts w:hint="eastAsia" w:ascii="宋体" w:hAnsi="宋体"/>
          <w:sz w:val="24"/>
        </w:rPr>
        <w:t>生产技术部对悬挂有绿色“合格标识牌”的成品进行包装，包装时检验员确认无误后将“合格证”放入有“产品使用说明书”的包装袋，操作者再将其与产品一起包装。</w:t>
      </w:r>
    </w:p>
    <w:p w14:paraId="289BA5F4">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返回产品的标识</w:t>
      </w:r>
    </w:p>
    <w:p w14:paraId="621BA74B">
      <w:pPr>
        <w:numPr>
          <w:ilvl w:val="2"/>
          <w:numId w:val="1"/>
        </w:numPr>
        <w:tabs>
          <w:tab w:val="left" w:pos="0"/>
          <w:tab w:val="left" w:pos="1418"/>
        </w:tabs>
        <w:spacing w:line="360" w:lineRule="auto"/>
        <w:rPr>
          <w:rFonts w:ascii="宋体" w:hAnsi="宋体"/>
          <w:sz w:val="24"/>
        </w:rPr>
      </w:pPr>
      <w:r>
        <w:rPr>
          <w:rFonts w:hint="eastAsia" w:ascii="Arial" w:hAnsi="Arial"/>
          <w:sz w:val="24"/>
        </w:rPr>
        <w:t>仓管员根据经营部发出的《客户退货单》收货并放置在退货待检区。仓管员填写《待检品清单》至质管部，</w:t>
      </w:r>
      <w:r>
        <w:rPr>
          <w:rFonts w:hint="eastAsia" w:ascii="宋体" w:hAnsi="宋体"/>
          <w:sz w:val="24"/>
        </w:rPr>
        <w:t>质管部检验员对退货产品进行检验，判定不合格的在不合格品本体上贴/挂有红色标识的“物料状态标签”，并在备注栏简注不合格现象；本体不允许粘贴时，在外包装上贴/挂有红色标识的“物料状态标签”，还需在空白处写明客户退货，并简注不合格现象和写明顾客名称。判定合格的出具检验报告，将该产品放置成品仓退货区。</w:t>
      </w:r>
    </w:p>
    <w:p w14:paraId="179F1862">
      <w:pPr>
        <w:numPr>
          <w:ilvl w:val="1"/>
          <w:numId w:val="1"/>
        </w:numPr>
        <w:tabs>
          <w:tab w:val="left" w:pos="0"/>
          <w:tab w:val="left" w:pos="1260"/>
        </w:tabs>
        <w:spacing w:line="360" w:lineRule="auto"/>
        <w:ind w:left="1418" w:hanging="709"/>
        <w:rPr>
          <w:rFonts w:ascii="宋体" w:hAnsi="宋体"/>
          <w:sz w:val="24"/>
        </w:rPr>
      </w:pPr>
      <w:r>
        <w:rPr>
          <w:rFonts w:hint="eastAsia" w:ascii="宋体" w:hAnsi="宋体"/>
          <w:sz w:val="24"/>
        </w:rPr>
        <w:t>可追溯性要求</w:t>
      </w:r>
    </w:p>
    <w:p w14:paraId="23CB49DC">
      <w:pPr>
        <w:numPr>
          <w:ilvl w:val="2"/>
          <w:numId w:val="1"/>
        </w:numPr>
        <w:tabs>
          <w:tab w:val="left" w:pos="0"/>
          <w:tab w:val="left" w:pos="1418"/>
        </w:tabs>
        <w:spacing w:line="360" w:lineRule="auto"/>
        <w:rPr>
          <w:rFonts w:ascii="宋体" w:hAnsi="宋体"/>
          <w:sz w:val="24"/>
        </w:rPr>
      </w:pPr>
      <w:r>
        <w:rPr>
          <w:rFonts w:hint="eastAsia" w:ascii="宋体" w:hAnsi="宋体"/>
          <w:sz w:val="24"/>
        </w:rPr>
        <w:t>在有可追溯性要求时，应明确规定需追溯的产品，追溯的范围和标识及记录的方式，应用唯一性标识来识别产品的个体或批次，并对需追溯的情况做出相应记录。</w:t>
      </w:r>
    </w:p>
    <w:p w14:paraId="1545FE4D">
      <w:pPr>
        <w:numPr>
          <w:ilvl w:val="2"/>
          <w:numId w:val="1"/>
        </w:numPr>
        <w:tabs>
          <w:tab w:val="left" w:pos="0"/>
          <w:tab w:val="left" w:pos="1418"/>
        </w:tabs>
        <w:spacing w:line="360" w:lineRule="auto"/>
        <w:rPr>
          <w:rFonts w:ascii="宋体" w:hAnsi="宋体"/>
          <w:sz w:val="24"/>
        </w:rPr>
      </w:pPr>
      <w:r>
        <w:rPr>
          <w:rFonts w:hint="eastAsia" w:ascii="宋体" w:hAnsi="宋体"/>
          <w:sz w:val="24"/>
        </w:rPr>
        <w:t>产品或其它包装物所做的标识应字迹清楚、牢固、耐久。能追溯产品交付前的情况和交付后的分布情况。</w:t>
      </w:r>
    </w:p>
    <w:p w14:paraId="603FF66D">
      <w:pPr>
        <w:numPr>
          <w:ilvl w:val="2"/>
          <w:numId w:val="1"/>
        </w:numPr>
        <w:tabs>
          <w:tab w:val="left" w:pos="0"/>
          <w:tab w:val="left" w:pos="1418"/>
        </w:tabs>
        <w:spacing w:line="360" w:lineRule="auto"/>
        <w:rPr>
          <w:rFonts w:ascii="宋体" w:hAnsi="宋体"/>
          <w:sz w:val="24"/>
        </w:rPr>
      </w:pPr>
      <w:r>
        <w:rPr>
          <w:rFonts w:hint="eastAsia" w:ascii="宋体" w:hAnsi="宋体"/>
          <w:sz w:val="24"/>
        </w:rPr>
        <w:t>应确定可追溯性的程度并有利于纠正和预防措施。</w:t>
      </w:r>
    </w:p>
    <w:p w14:paraId="2C13B14B">
      <w:pPr>
        <w:numPr>
          <w:ilvl w:val="2"/>
          <w:numId w:val="1"/>
        </w:numPr>
        <w:tabs>
          <w:tab w:val="left" w:pos="0"/>
          <w:tab w:val="left" w:pos="1418"/>
        </w:tabs>
        <w:spacing w:line="360" w:lineRule="auto"/>
        <w:rPr>
          <w:rFonts w:ascii="宋体" w:hAnsi="宋体"/>
          <w:sz w:val="24"/>
        </w:rPr>
      </w:pPr>
      <w:r>
        <w:rPr>
          <w:rFonts w:hint="eastAsia" w:ascii="宋体" w:hAnsi="宋体"/>
          <w:sz w:val="24"/>
        </w:rPr>
        <w:t>可追溯性程度的确定方式</w:t>
      </w:r>
    </w:p>
    <w:p w14:paraId="433C6DCB">
      <w:pPr>
        <w:numPr>
          <w:ilvl w:val="3"/>
          <w:numId w:val="1"/>
        </w:numPr>
        <w:tabs>
          <w:tab w:val="left" w:pos="0"/>
          <w:tab w:val="left" w:pos="1418"/>
          <w:tab w:val="left" w:pos="3060"/>
        </w:tabs>
        <w:spacing w:line="360" w:lineRule="auto"/>
        <w:ind w:left="3060" w:hanging="990"/>
        <w:rPr>
          <w:rFonts w:ascii="宋体" w:hAnsi="宋体"/>
          <w:color w:val="000000"/>
          <w:sz w:val="24"/>
        </w:rPr>
      </w:pPr>
      <w:r>
        <w:rPr>
          <w:rFonts w:hint="eastAsia" w:ascii="宋体" w:hAnsi="宋体"/>
          <w:color w:val="000000"/>
          <w:sz w:val="24"/>
        </w:rPr>
        <w:t>产品和追溯起始点的确定：向前可追溯到客户。</w:t>
      </w:r>
    </w:p>
    <w:p w14:paraId="176343F7">
      <w:pPr>
        <w:numPr>
          <w:ilvl w:val="3"/>
          <w:numId w:val="1"/>
        </w:numPr>
        <w:tabs>
          <w:tab w:val="left" w:pos="0"/>
          <w:tab w:val="left" w:pos="1418"/>
          <w:tab w:val="left" w:pos="3060"/>
        </w:tabs>
        <w:spacing w:line="360" w:lineRule="auto"/>
        <w:ind w:left="3060" w:hanging="990"/>
        <w:rPr>
          <w:rFonts w:ascii="宋体" w:hAnsi="宋体"/>
          <w:color w:val="000000"/>
          <w:sz w:val="24"/>
        </w:rPr>
      </w:pPr>
      <w:r>
        <w:rPr>
          <w:rFonts w:hint="eastAsia" w:ascii="宋体" w:hAnsi="宋体"/>
          <w:color w:val="000000"/>
          <w:sz w:val="24"/>
        </w:rPr>
        <w:t>产品的追溯终止点的确定：向后可追溯到原材料、部件的生产和过程，用以防止不合格品为目的的质量问题的调查研究分析，并采取相应纠正措施。</w:t>
      </w:r>
    </w:p>
    <w:p w14:paraId="3584B3EE">
      <w:pPr>
        <w:numPr>
          <w:ilvl w:val="2"/>
          <w:numId w:val="1"/>
        </w:numPr>
        <w:tabs>
          <w:tab w:val="left" w:pos="0"/>
          <w:tab w:val="left" w:pos="1418"/>
        </w:tabs>
        <w:spacing w:line="360" w:lineRule="auto"/>
        <w:rPr>
          <w:rFonts w:ascii="宋体" w:hAnsi="宋体"/>
          <w:sz w:val="24"/>
        </w:rPr>
      </w:pPr>
      <w:r>
        <w:rPr>
          <w:rFonts w:hint="eastAsia" w:ascii="宋体" w:hAnsi="宋体"/>
          <w:sz w:val="24"/>
        </w:rPr>
        <w:t>产品可追溯性的范围</w:t>
      </w:r>
    </w:p>
    <w:p w14:paraId="55605A96">
      <w:pPr>
        <w:tabs>
          <w:tab w:val="left" w:pos="0"/>
          <w:tab w:val="left" w:pos="1418"/>
        </w:tabs>
        <w:spacing w:line="360" w:lineRule="auto"/>
        <w:ind w:left="1889" w:firstLine="11"/>
        <w:rPr>
          <w:rFonts w:ascii="宋体" w:hAnsi="宋体"/>
          <w:sz w:val="24"/>
        </w:rPr>
      </w:pPr>
      <w:r>
        <w:rPr>
          <w:rFonts w:hint="eastAsia" w:ascii="宋体" w:hAnsi="宋体"/>
          <w:sz w:val="24"/>
        </w:rPr>
        <w:t>客户</w:t>
      </w:r>
      <w:r>
        <w:rPr>
          <w:rFonts w:ascii="宋体" w:hAnsi="宋体"/>
          <w:sz w:val="24"/>
        </w:rPr>
        <w:t>→</w:t>
      </w:r>
      <w:r>
        <w:rPr>
          <w:rFonts w:hint="eastAsia" w:ascii="宋体" w:hAnsi="宋体"/>
          <w:sz w:val="24"/>
        </w:rPr>
        <w:t>订单号码（产品批号）</w:t>
      </w:r>
      <w:r>
        <w:rPr>
          <w:rFonts w:ascii="宋体" w:hAnsi="宋体"/>
          <w:sz w:val="24"/>
        </w:rPr>
        <w:t>→</w:t>
      </w:r>
      <w:r>
        <w:rPr>
          <w:rFonts w:hint="eastAsia" w:ascii="宋体" w:hAnsi="宋体"/>
          <w:sz w:val="24"/>
        </w:rPr>
        <w:t>出货日期（送货单或销售记录）</w:t>
      </w:r>
      <w:r>
        <w:rPr>
          <w:rFonts w:ascii="宋体" w:hAnsi="宋体"/>
          <w:sz w:val="24"/>
        </w:rPr>
        <w:t>→</w:t>
      </w:r>
      <w:r>
        <w:rPr>
          <w:rFonts w:hint="eastAsia" w:ascii="宋体" w:hAnsi="宋体"/>
          <w:sz w:val="24"/>
        </w:rPr>
        <w:t>成品检验报告</w:t>
      </w:r>
      <w:r>
        <w:rPr>
          <w:rFonts w:ascii="宋体" w:hAnsi="宋体"/>
          <w:sz w:val="24"/>
        </w:rPr>
        <w:t>→</w:t>
      </w:r>
      <w:r>
        <w:rPr>
          <w:rFonts w:hint="eastAsia" w:ascii="宋体" w:hAnsi="宋体"/>
          <w:sz w:val="24"/>
        </w:rPr>
        <w:t>生产过程记录表</w:t>
      </w:r>
      <w:r>
        <w:rPr>
          <w:rFonts w:ascii="宋体" w:hAnsi="宋体"/>
          <w:sz w:val="24"/>
        </w:rPr>
        <w:t>→</w:t>
      </w:r>
      <w:r>
        <w:rPr>
          <w:rFonts w:hint="eastAsia" w:ascii="宋体" w:hAnsi="宋体"/>
          <w:sz w:val="24"/>
        </w:rPr>
        <w:t>领料单</w:t>
      </w:r>
      <w:r>
        <w:rPr>
          <w:rFonts w:ascii="宋体" w:hAnsi="宋体"/>
          <w:sz w:val="24"/>
        </w:rPr>
        <w:t>→</w:t>
      </w:r>
      <w:r>
        <w:rPr>
          <w:rFonts w:hint="eastAsia" w:ascii="宋体" w:hAnsi="宋体"/>
          <w:sz w:val="24"/>
        </w:rPr>
        <w:t>使用原物料资料（来料检验报告，物料批号）</w:t>
      </w:r>
      <w:r>
        <w:rPr>
          <w:rFonts w:ascii="宋体" w:hAnsi="宋体"/>
          <w:sz w:val="24"/>
        </w:rPr>
        <w:t>→</w:t>
      </w:r>
      <w:r>
        <w:rPr>
          <w:rFonts w:hint="eastAsia" w:ascii="宋体" w:hAnsi="宋体"/>
          <w:sz w:val="24"/>
        </w:rPr>
        <w:t>原物料供应商。</w:t>
      </w:r>
    </w:p>
    <w:p w14:paraId="2BD7C40E">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相关文件</w:t>
      </w:r>
    </w:p>
    <w:p w14:paraId="11033CDD">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QA-OP-001</w:t>
      </w:r>
      <w:r>
        <w:rPr>
          <w:rFonts w:hint="eastAsia" w:ascii="宋体" w:hAnsi="宋体"/>
          <w:sz w:val="24"/>
        </w:rPr>
        <w:t xml:space="preserve"> 《文件控制程序》</w:t>
      </w:r>
    </w:p>
    <w:p w14:paraId="7C80666B">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QA-OP-008</w:t>
      </w:r>
      <w:r>
        <w:rPr>
          <w:rFonts w:hint="eastAsia" w:ascii="宋体" w:hAnsi="宋体"/>
          <w:sz w:val="24"/>
        </w:rPr>
        <w:t xml:space="preserve"> 《不合格品控制程序》</w:t>
      </w:r>
    </w:p>
    <w:p w14:paraId="55159258">
      <w:pPr>
        <w:numPr>
          <w:ilvl w:val="1"/>
          <w:numId w:val="1"/>
        </w:numPr>
        <w:tabs>
          <w:tab w:val="left" w:pos="0"/>
          <w:tab w:val="left" w:pos="1418"/>
        </w:tabs>
        <w:spacing w:line="360" w:lineRule="auto"/>
        <w:ind w:left="1418" w:hanging="709"/>
        <w:rPr>
          <w:rFonts w:ascii="宋体" w:hAnsi="宋体"/>
          <w:sz w:val="24"/>
        </w:rPr>
      </w:pPr>
      <w:r>
        <w:rPr>
          <w:rFonts w:ascii="宋体" w:hAnsi="宋体"/>
          <w:sz w:val="24"/>
        </w:rPr>
        <w:t>PD-OP-001</w:t>
      </w:r>
      <w:r>
        <w:rPr>
          <w:rFonts w:hint="eastAsia" w:ascii="宋体" w:hAnsi="宋体"/>
          <w:sz w:val="24"/>
        </w:rPr>
        <w:t xml:space="preserve"> 《生产过程控制程序》</w:t>
      </w:r>
    </w:p>
    <w:p w14:paraId="0434A113">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相关记录表单</w:t>
      </w:r>
    </w:p>
    <w:p w14:paraId="2AD60E24">
      <w:pPr>
        <w:numPr>
          <w:ilvl w:val="1"/>
          <w:numId w:val="1"/>
        </w:numPr>
        <w:tabs>
          <w:tab w:val="left" w:pos="0"/>
          <w:tab w:val="left" w:pos="1418"/>
        </w:tabs>
        <w:spacing w:line="360" w:lineRule="auto"/>
        <w:ind w:left="1418" w:hanging="709"/>
        <w:rPr>
          <w:rFonts w:ascii="宋体" w:hAnsi="宋体"/>
          <w:bCs/>
          <w:sz w:val="24"/>
        </w:rPr>
      </w:pPr>
      <w:r>
        <w:rPr>
          <w:rFonts w:hint="eastAsia" w:ascii="宋体" w:hAnsi="宋体"/>
          <w:bCs/>
          <w:sz w:val="24"/>
        </w:rPr>
        <w:t>WH-FM-00</w:t>
      </w:r>
      <w:r>
        <w:rPr>
          <w:rFonts w:ascii="宋体" w:hAnsi="宋体"/>
          <w:bCs/>
          <w:sz w:val="24"/>
        </w:rPr>
        <w:t>5</w:t>
      </w:r>
      <w:r>
        <w:rPr>
          <w:rFonts w:hint="eastAsia" w:ascii="宋体" w:hAnsi="宋体"/>
          <w:bCs/>
          <w:sz w:val="24"/>
        </w:rPr>
        <w:t xml:space="preserve"> 《来料请验单》</w:t>
      </w:r>
    </w:p>
    <w:p w14:paraId="100E8640">
      <w:pPr>
        <w:numPr>
          <w:ilvl w:val="1"/>
          <w:numId w:val="1"/>
        </w:numPr>
        <w:tabs>
          <w:tab w:val="left" w:pos="0"/>
          <w:tab w:val="left" w:pos="1418"/>
        </w:tabs>
        <w:spacing w:line="360" w:lineRule="auto"/>
        <w:ind w:left="1418" w:hanging="709"/>
        <w:rPr>
          <w:rFonts w:ascii="宋体" w:hAnsi="宋体"/>
          <w:bCs/>
          <w:sz w:val="24"/>
        </w:rPr>
      </w:pPr>
      <w:r>
        <w:rPr>
          <w:rFonts w:hint="eastAsia" w:ascii="宋体" w:hAnsi="宋体"/>
          <w:sz w:val="24"/>
        </w:rPr>
        <w:t>WH-FM-00</w:t>
      </w:r>
      <w:r>
        <w:rPr>
          <w:rFonts w:ascii="宋体" w:hAnsi="宋体"/>
          <w:sz w:val="24"/>
        </w:rPr>
        <w:t>1</w:t>
      </w:r>
      <w:r>
        <w:rPr>
          <w:rFonts w:hint="eastAsia" w:ascii="宋体" w:hAnsi="宋体"/>
          <w:sz w:val="24"/>
        </w:rPr>
        <w:t xml:space="preserve"> </w:t>
      </w:r>
      <w:r>
        <w:rPr>
          <w:rFonts w:hint="eastAsia" w:ascii="宋体" w:hAnsi="宋体"/>
          <w:bCs/>
          <w:sz w:val="24"/>
        </w:rPr>
        <w:t>《待检品清单》</w:t>
      </w:r>
    </w:p>
    <w:p w14:paraId="54CC08A2">
      <w:pPr>
        <w:numPr>
          <w:ilvl w:val="1"/>
          <w:numId w:val="1"/>
        </w:numPr>
        <w:tabs>
          <w:tab w:val="left" w:pos="0"/>
          <w:tab w:val="left" w:pos="1418"/>
        </w:tabs>
        <w:spacing w:line="360" w:lineRule="auto"/>
        <w:ind w:left="1418" w:hanging="709"/>
        <w:rPr>
          <w:rFonts w:ascii="宋体" w:hAnsi="宋体"/>
          <w:bCs/>
          <w:sz w:val="24"/>
        </w:rPr>
      </w:pPr>
      <w:r>
        <w:rPr>
          <w:rFonts w:hint="eastAsia" w:ascii="宋体" w:hAnsi="宋体"/>
          <w:bCs/>
          <w:sz w:val="24"/>
        </w:rPr>
        <w:t>WH-FM-00</w:t>
      </w:r>
      <w:r>
        <w:rPr>
          <w:rFonts w:ascii="宋体" w:hAnsi="宋体"/>
          <w:bCs/>
          <w:sz w:val="24"/>
        </w:rPr>
        <w:t>2</w:t>
      </w:r>
      <w:r>
        <w:rPr>
          <w:rFonts w:hint="eastAsia" w:ascii="宋体" w:hAnsi="宋体"/>
          <w:bCs/>
          <w:sz w:val="24"/>
        </w:rPr>
        <w:t xml:space="preserve"> 《领料单》</w:t>
      </w:r>
    </w:p>
    <w:p w14:paraId="6906A985">
      <w:pPr>
        <w:numPr>
          <w:ilvl w:val="1"/>
          <w:numId w:val="1"/>
        </w:numPr>
        <w:tabs>
          <w:tab w:val="left" w:pos="0"/>
          <w:tab w:val="left" w:pos="1418"/>
        </w:tabs>
        <w:spacing w:line="360" w:lineRule="auto"/>
        <w:ind w:left="1418" w:hanging="709"/>
        <w:rPr>
          <w:rFonts w:ascii="宋体" w:hAnsi="宋体"/>
          <w:bCs/>
          <w:sz w:val="24"/>
        </w:rPr>
      </w:pPr>
      <w:r>
        <w:rPr>
          <w:rFonts w:hint="eastAsia" w:ascii="宋体" w:hAnsi="宋体"/>
          <w:sz w:val="24"/>
        </w:rPr>
        <w:t>PD-FM-0</w:t>
      </w:r>
      <w:r>
        <w:rPr>
          <w:rFonts w:ascii="宋体" w:hAnsi="宋体"/>
          <w:sz w:val="24"/>
        </w:rPr>
        <w:t>04</w:t>
      </w:r>
      <w:r>
        <w:rPr>
          <w:rFonts w:hint="eastAsia" w:ascii="宋体" w:hAnsi="宋体"/>
          <w:sz w:val="24"/>
        </w:rPr>
        <w:t xml:space="preserve"> 《生产过程记录表》</w:t>
      </w:r>
    </w:p>
    <w:p w14:paraId="37303164">
      <w:pPr>
        <w:numPr>
          <w:ilvl w:val="1"/>
          <w:numId w:val="1"/>
        </w:numPr>
        <w:tabs>
          <w:tab w:val="left" w:pos="0"/>
          <w:tab w:val="left" w:pos="1418"/>
        </w:tabs>
        <w:spacing w:line="360" w:lineRule="auto"/>
        <w:ind w:left="1418" w:hanging="709"/>
        <w:rPr>
          <w:rFonts w:ascii="宋体" w:hAnsi="宋体"/>
          <w:bCs/>
          <w:sz w:val="24"/>
        </w:rPr>
      </w:pPr>
      <w:r>
        <w:rPr>
          <w:rFonts w:hint="eastAsia" w:ascii="宋体" w:hAnsi="宋体"/>
          <w:bCs/>
          <w:sz w:val="24"/>
        </w:rPr>
        <w:t>QA-FM-0</w:t>
      </w:r>
      <w:r>
        <w:rPr>
          <w:rFonts w:ascii="宋体" w:hAnsi="宋体"/>
          <w:bCs/>
          <w:sz w:val="24"/>
        </w:rPr>
        <w:t>10</w:t>
      </w:r>
      <w:r>
        <w:rPr>
          <w:rFonts w:hint="eastAsia" w:ascii="宋体" w:hAnsi="宋体"/>
          <w:bCs/>
          <w:sz w:val="24"/>
        </w:rPr>
        <w:t xml:space="preserve"> 《来料检验报告》</w:t>
      </w:r>
    </w:p>
    <w:p w14:paraId="5830DD36">
      <w:pPr>
        <w:numPr>
          <w:ilvl w:val="1"/>
          <w:numId w:val="1"/>
        </w:numPr>
        <w:tabs>
          <w:tab w:val="left" w:pos="0"/>
          <w:tab w:val="left" w:pos="1418"/>
        </w:tabs>
        <w:spacing w:line="360" w:lineRule="auto"/>
        <w:ind w:left="1418" w:hanging="709"/>
        <w:rPr>
          <w:rFonts w:ascii="宋体" w:hAnsi="宋体"/>
          <w:bCs/>
          <w:sz w:val="24"/>
        </w:rPr>
      </w:pPr>
      <w:r>
        <w:rPr>
          <w:rFonts w:hint="eastAsia" w:ascii="宋体" w:hAnsi="宋体"/>
          <w:bCs/>
          <w:sz w:val="24"/>
        </w:rPr>
        <w:t>QA-FM-0</w:t>
      </w:r>
      <w:r>
        <w:rPr>
          <w:rFonts w:ascii="宋体" w:hAnsi="宋体"/>
          <w:bCs/>
          <w:sz w:val="24"/>
        </w:rPr>
        <w:t>09</w:t>
      </w:r>
      <w:r>
        <w:rPr>
          <w:rFonts w:hint="eastAsia" w:ascii="宋体" w:hAnsi="宋体"/>
          <w:bCs/>
          <w:sz w:val="24"/>
        </w:rPr>
        <w:t xml:space="preserve"> 《成品检验报告》</w:t>
      </w:r>
    </w:p>
    <w:p w14:paraId="1E0066F7">
      <w:pPr>
        <w:numPr>
          <w:ilvl w:val="1"/>
          <w:numId w:val="1"/>
        </w:numPr>
        <w:tabs>
          <w:tab w:val="left" w:pos="0"/>
          <w:tab w:val="left" w:pos="1418"/>
        </w:tabs>
        <w:spacing w:line="360" w:lineRule="auto"/>
        <w:ind w:left="1418" w:hanging="709"/>
        <w:rPr>
          <w:rFonts w:ascii="宋体" w:hAnsi="宋体"/>
          <w:b/>
          <w:bCs/>
          <w:sz w:val="24"/>
        </w:rPr>
      </w:pPr>
      <w:r>
        <w:rPr>
          <w:rFonts w:hint="eastAsia" w:ascii="宋体" w:hAnsi="宋体"/>
          <w:bCs/>
          <w:sz w:val="24"/>
        </w:rPr>
        <w:t>MK-FM-00</w:t>
      </w:r>
      <w:r>
        <w:rPr>
          <w:rFonts w:ascii="宋体" w:hAnsi="宋体"/>
          <w:bCs/>
          <w:sz w:val="24"/>
        </w:rPr>
        <w:t>3</w:t>
      </w:r>
      <w:r>
        <w:rPr>
          <w:rFonts w:hint="eastAsia" w:ascii="宋体" w:hAnsi="宋体"/>
          <w:bCs/>
          <w:sz w:val="24"/>
        </w:rPr>
        <w:t xml:space="preserve"> 《销售记录》</w:t>
      </w:r>
    </w:p>
    <w:p w14:paraId="34531F91">
      <w:pPr>
        <w:tabs>
          <w:tab w:val="left" w:pos="709"/>
        </w:tabs>
        <w:spacing w:line="360" w:lineRule="auto"/>
        <w:jc w:val="center"/>
        <w:rPr>
          <w:rFonts w:hint="eastAsia" w:eastAsia="宋体"/>
          <w:lang w:eastAsia="zh-CN"/>
        </w:rPr>
      </w:pPr>
    </w:p>
    <w:p w14:paraId="408A4D11">
      <w:pPr>
        <w:tabs>
          <w:tab w:val="left" w:pos="709"/>
        </w:tabs>
        <w:spacing w:line="360" w:lineRule="auto"/>
        <w:jc w:val="center"/>
        <w:rPr>
          <w:rFonts w:hint="eastAsia" w:eastAsia="宋体"/>
          <w:lang w:eastAsia="zh-CN"/>
        </w:rPr>
      </w:pPr>
    </w:p>
    <w:p w14:paraId="5D05CBAB">
      <w:pPr>
        <w:tabs>
          <w:tab w:val="left" w:pos="709"/>
        </w:tabs>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589" w:tblpY="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CA1DCE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25D2DE34">
          <w:pPr>
            <w:tabs>
              <w:tab w:val="left" w:pos="709"/>
            </w:tabs>
            <w:rPr>
              <w:rFonts w:ascii="Cambria" w:hAnsi="Cambria"/>
              <w:sz w:val="20"/>
            </w:rPr>
          </w:pPr>
        </w:p>
      </w:tc>
    </w:tr>
  </w:tbl>
  <w:p w14:paraId="5C79F2E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499" w:tblpY="17"/>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E7780A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772A6CF">
          <w:pPr>
            <w:tabs>
              <w:tab w:val="left" w:pos="709"/>
            </w:tabs>
            <w:rPr>
              <w:rFonts w:ascii="Cambria" w:hAnsi="Cambria"/>
              <w:sz w:val="20"/>
            </w:rPr>
          </w:pPr>
        </w:p>
      </w:tc>
    </w:tr>
  </w:tbl>
  <w:p w14:paraId="19831737">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0C22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4B986E6F">
          <w:pPr>
            <w:tabs>
              <w:tab w:val="left" w:pos="461"/>
            </w:tabs>
            <w:jc w:val="center"/>
            <w:rPr>
              <w:b/>
              <w:lang w:val="zh-CN"/>
            </w:rPr>
          </w:pPr>
        </w:p>
      </w:tc>
      <w:tc>
        <w:tcPr>
          <w:tcW w:w="5379" w:type="dxa"/>
          <w:vMerge w:val="restart"/>
          <w:tcBorders>
            <w:left w:val="single" w:color="auto" w:sz="4" w:space="0"/>
          </w:tcBorders>
          <w:vAlign w:val="center"/>
        </w:tcPr>
        <w:p w14:paraId="71FB7654">
          <w:pPr>
            <w:tabs>
              <w:tab w:val="left" w:pos="461"/>
            </w:tabs>
            <w:jc w:val="center"/>
            <w:rPr>
              <w:b/>
              <w:lang w:val="zh-CN"/>
            </w:rPr>
          </w:pPr>
          <w:r>
            <w:rPr>
              <w:rFonts w:hint="eastAsia"/>
              <w:b/>
              <w:sz w:val="32"/>
              <w:szCs w:val="32"/>
            </w:rPr>
            <w:t>产品标识和可追溯性控制程序</w:t>
          </w:r>
        </w:p>
      </w:tc>
      <w:tc>
        <w:tcPr>
          <w:tcW w:w="1418" w:type="dxa"/>
          <w:vAlign w:val="center"/>
        </w:tcPr>
        <w:p w14:paraId="5B0ED320">
          <w:pPr>
            <w:pStyle w:val="2"/>
            <w:jc w:val="center"/>
            <w:rPr>
              <w:rFonts w:ascii="Times New Roman" w:hAnsi="Times New Roman" w:eastAsia="PMingLiU"/>
              <w:color w:val="auto"/>
              <w:sz w:val="22"/>
            </w:rPr>
          </w:pPr>
          <w:r>
            <w:rPr>
              <w:rFonts w:hint="eastAsia" w:ascii="Times New Roman" w:hAnsi="Times New Roman" w:eastAsia="宋体"/>
              <w:color w:val="auto"/>
              <w:sz w:val="22"/>
              <w:szCs w:val="22"/>
              <w:lang w:eastAsia="zh-CN"/>
            </w:rPr>
            <w:t>文件编号</w:t>
          </w:r>
        </w:p>
      </w:tc>
      <w:tc>
        <w:tcPr>
          <w:tcW w:w="2139" w:type="dxa"/>
          <w:vAlign w:val="center"/>
        </w:tcPr>
        <w:p w14:paraId="632A3F97">
          <w:pPr>
            <w:jc w:val="center"/>
          </w:pPr>
          <w:r>
            <w:rPr>
              <w:sz w:val="22"/>
            </w:rPr>
            <w:t>PD-OP-002</w:t>
          </w:r>
        </w:p>
      </w:tc>
    </w:tr>
    <w:tr w14:paraId="33DC2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0ACECD0E">
          <w:pPr>
            <w:jc w:val="center"/>
          </w:pPr>
        </w:p>
      </w:tc>
      <w:tc>
        <w:tcPr>
          <w:tcW w:w="5379" w:type="dxa"/>
          <w:vMerge w:val="continue"/>
          <w:tcBorders>
            <w:left w:val="single" w:color="auto" w:sz="4" w:space="0"/>
          </w:tcBorders>
          <w:vAlign w:val="center"/>
        </w:tcPr>
        <w:p w14:paraId="3595846A">
          <w:pPr>
            <w:jc w:val="center"/>
          </w:pPr>
        </w:p>
      </w:tc>
      <w:tc>
        <w:tcPr>
          <w:tcW w:w="1418" w:type="dxa"/>
          <w:vAlign w:val="center"/>
        </w:tcPr>
        <w:p w14:paraId="4B4A285C">
          <w:pPr>
            <w:pStyle w:val="2"/>
            <w:jc w:val="center"/>
            <w:rPr>
              <w:rFonts w:ascii="Times New Roman" w:hAnsi="Times New Roman" w:eastAsia="宋体"/>
              <w:color w:val="auto"/>
              <w:sz w:val="22"/>
              <w:lang w:eastAsia="zh-CN"/>
            </w:rPr>
          </w:pPr>
          <w:r>
            <w:rPr>
              <w:rFonts w:hint="eastAsia" w:ascii="Times New Roman" w:hAnsi="Times New Roman" w:eastAsia="宋体"/>
              <w:color w:val="auto"/>
              <w:sz w:val="22"/>
              <w:szCs w:val="22"/>
              <w:lang w:eastAsia="zh-CN"/>
            </w:rPr>
            <w:t>版本</w:t>
          </w:r>
          <w:r>
            <w:rPr>
              <w:rFonts w:hint="eastAsia" w:ascii="Times New Roman" w:hAnsi="Times New Roman" w:eastAsia="宋体"/>
              <w:sz w:val="22"/>
              <w:szCs w:val="22"/>
              <w:lang w:eastAsia="zh-CN"/>
            </w:rPr>
            <w:t>号</w:t>
          </w:r>
        </w:p>
      </w:tc>
      <w:tc>
        <w:tcPr>
          <w:tcW w:w="2139" w:type="dxa"/>
          <w:vAlign w:val="center"/>
        </w:tcPr>
        <w:p w14:paraId="37090C6C">
          <w:pPr>
            <w:jc w:val="center"/>
          </w:pPr>
          <w:r>
            <w:rPr>
              <w:sz w:val="22"/>
              <w:szCs w:val="22"/>
            </w:rPr>
            <w:t>01</w:t>
          </w:r>
        </w:p>
      </w:tc>
    </w:tr>
    <w:tr w14:paraId="71345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33C02551">
          <w:pPr>
            <w:jc w:val="center"/>
            <w:rPr>
              <w:b/>
              <w:sz w:val="32"/>
              <w:lang w:val="zh-CN"/>
            </w:rPr>
          </w:pPr>
        </w:p>
      </w:tc>
      <w:tc>
        <w:tcPr>
          <w:tcW w:w="5379" w:type="dxa"/>
          <w:vMerge w:val="continue"/>
          <w:tcBorders>
            <w:left w:val="single" w:color="auto" w:sz="4" w:space="0"/>
          </w:tcBorders>
          <w:vAlign w:val="center"/>
        </w:tcPr>
        <w:p w14:paraId="3E4ED99E">
          <w:pPr>
            <w:jc w:val="center"/>
            <w:rPr>
              <w:b/>
              <w:sz w:val="32"/>
              <w:lang w:val="zh-CN"/>
            </w:rPr>
          </w:pPr>
        </w:p>
      </w:tc>
      <w:tc>
        <w:tcPr>
          <w:tcW w:w="1418" w:type="dxa"/>
          <w:vAlign w:val="center"/>
        </w:tcPr>
        <w:p w14:paraId="7488E3DB">
          <w:pPr>
            <w:pStyle w:val="2"/>
            <w:jc w:val="center"/>
            <w:rPr>
              <w:rFonts w:ascii="Times New Roman" w:hAnsi="Times New Roman" w:eastAsia="宋体"/>
              <w:color w:val="auto"/>
              <w:sz w:val="22"/>
            </w:rPr>
          </w:pPr>
          <w:r>
            <w:rPr>
              <w:rFonts w:hint="eastAsia" w:ascii="Times New Roman" w:hAnsi="Times New Roman" w:eastAsia="宋体"/>
              <w:color w:val="auto"/>
              <w:sz w:val="22"/>
              <w:szCs w:val="22"/>
              <w:lang w:eastAsia="zh-CN"/>
            </w:rPr>
            <w:t>生效日期</w:t>
          </w:r>
        </w:p>
      </w:tc>
      <w:tc>
        <w:tcPr>
          <w:tcW w:w="2139" w:type="dxa"/>
          <w:vAlign w:val="center"/>
        </w:tcPr>
        <w:p w14:paraId="50EEB7F4">
          <w:pPr>
            <w:jc w:val="center"/>
          </w:pPr>
          <w:r>
            <w:rPr>
              <w:sz w:val="22"/>
              <w:szCs w:val="22"/>
            </w:rPr>
            <w:t>2020年02月01日</w:t>
          </w:r>
        </w:p>
      </w:tc>
    </w:tr>
    <w:tr w14:paraId="2366C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2CFD553A">
          <w:pPr>
            <w:jc w:val="center"/>
            <w:rPr>
              <w:b/>
            </w:rPr>
          </w:pPr>
        </w:p>
      </w:tc>
      <w:tc>
        <w:tcPr>
          <w:tcW w:w="5379" w:type="dxa"/>
          <w:vMerge w:val="continue"/>
          <w:tcBorders>
            <w:left w:val="single" w:color="auto" w:sz="4" w:space="0"/>
          </w:tcBorders>
          <w:vAlign w:val="center"/>
        </w:tcPr>
        <w:p w14:paraId="12890F90">
          <w:pPr>
            <w:jc w:val="center"/>
            <w:rPr>
              <w:b/>
            </w:rPr>
          </w:pPr>
        </w:p>
      </w:tc>
      <w:tc>
        <w:tcPr>
          <w:tcW w:w="1418" w:type="dxa"/>
          <w:vAlign w:val="center"/>
        </w:tcPr>
        <w:p w14:paraId="31ECC799">
          <w:pPr>
            <w:pStyle w:val="2"/>
            <w:jc w:val="center"/>
            <w:rPr>
              <w:rFonts w:ascii="Times New Roman" w:hAnsi="Times New Roman" w:eastAsia="宋体"/>
              <w:color w:val="auto"/>
              <w:sz w:val="22"/>
              <w:lang w:eastAsia="zh-CN"/>
            </w:rPr>
          </w:pPr>
          <w:r>
            <w:rPr>
              <w:rFonts w:hint="eastAsia" w:ascii="Times New Roman" w:hAnsi="Times New Roman" w:eastAsia="宋体"/>
              <w:color w:val="auto"/>
              <w:sz w:val="22"/>
              <w:szCs w:val="22"/>
              <w:lang w:eastAsia="zh-CN"/>
            </w:rPr>
            <w:t>页码</w:t>
          </w:r>
        </w:p>
      </w:tc>
      <w:tc>
        <w:tcPr>
          <w:tcW w:w="2139" w:type="dxa"/>
          <w:vAlign w:val="center"/>
        </w:tcPr>
        <w:p w14:paraId="6074598D">
          <w:pPr>
            <w:jc w:val="center"/>
          </w:pPr>
          <w:r>
            <w:rPr>
              <w:rFonts w:hint="eastAsia"/>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5</w:t>
          </w:r>
          <w:r>
            <w:rPr>
              <w:sz w:val="22"/>
              <w:szCs w:val="22"/>
            </w:rPr>
            <w:fldChar w:fldCharType="end"/>
          </w:r>
          <w:r>
            <w:rPr>
              <w:rFonts w:hint="eastAsia"/>
              <w:sz w:val="22"/>
              <w:szCs w:val="22"/>
            </w:rPr>
            <w:t>页，共</w:t>
          </w:r>
          <w:r>
            <w:fldChar w:fldCharType="begin"/>
          </w:r>
          <w:r>
            <w:instrText xml:space="preserve"> NUMPAGES  \* Arabic  \* MERGEFORMAT </w:instrText>
          </w:r>
          <w:r>
            <w:fldChar w:fldCharType="separate"/>
          </w:r>
          <w:r>
            <w:t>5</w:t>
          </w:r>
          <w:r>
            <w:fldChar w:fldCharType="end"/>
          </w:r>
          <w:r>
            <w:rPr>
              <w:rFonts w:hint="eastAsia"/>
              <w:sz w:val="22"/>
              <w:szCs w:val="22"/>
            </w:rPr>
            <w:t>页</w:t>
          </w:r>
        </w:p>
      </w:tc>
    </w:tr>
  </w:tbl>
  <w:p w14:paraId="11ED24D2">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47CC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7629B06A">
          <w:pPr>
            <w:jc w:val="center"/>
          </w:pPr>
        </w:p>
      </w:tc>
      <w:tc>
        <w:tcPr>
          <w:tcW w:w="5620" w:type="dxa"/>
          <w:vMerge w:val="restart"/>
          <w:tcBorders>
            <w:left w:val="single" w:color="auto" w:sz="4" w:space="0"/>
          </w:tcBorders>
          <w:vAlign w:val="center"/>
        </w:tcPr>
        <w:p w14:paraId="54486D9D">
          <w:pPr>
            <w:jc w:val="center"/>
            <w:rPr>
              <w:rFonts w:ascii="宋体" w:hAnsi="宋体"/>
            </w:rPr>
          </w:pPr>
          <w:r>
            <w:rPr>
              <w:rFonts w:hint="eastAsia"/>
              <w:b/>
              <w:sz w:val="32"/>
              <w:szCs w:val="32"/>
            </w:rPr>
            <w:t>产品标识和可追溯性控制程序</w:t>
          </w:r>
        </w:p>
      </w:tc>
      <w:tc>
        <w:tcPr>
          <w:tcW w:w="1459" w:type="dxa"/>
          <w:vAlign w:val="center"/>
        </w:tcPr>
        <w:p w14:paraId="33E1C375">
          <w:pPr>
            <w:pStyle w:val="2"/>
            <w:jc w:val="center"/>
            <w:rPr>
              <w:rFonts w:ascii="Times New Roman" w:hAnsi="Times New Roman" w:eastAsia="宋体"/>
              <w:color w:val="auto"/>
              <w:sz w:val="22"/>
              <w:lang w:eastAsia="zh-CN"/>
            </w:rPr>
          </w:pPr>
          <w:r>
            <w:rPr>
              <w:rFonts w:hint="eastAsia" w:ascii="Times New Roman" w:hAnsi="Times New Roman" w:eastAsia="宋体"/>
              <w:color w:val="auto"/>
              <w:sz w:val="22"/>
              <w:szCs w:val="22"/>
              <w:lang w:eastAsia="zh-CN"/>
            </w:rPr>
            <w:t>文件编号</w:t>
          </w:r>
        </w:p>
      </w:tc>
      <w:tc>
        <w:tcPr>
          <w:tcW w:w="2157" w:type="dxa"/>
          <w:gridSpan w:val="3"/>
          <w:vAlign w:val="center"/>
        </w:tcPr>
        <w:p w14:paraId="5E28911F">
          <w:pPr>
            <w:jc w:val="center"/>
          </w:pPr>
          <w:r>
            <w:rPr>
              <w:sz w:val="22"/>
              <w:szCs w:val="22"/>
            </w:rPr>
            <w:t>PD-OP-002</w:t>
          </w:r>
        </w:p>
      </w:tc>
    </w:tr>
    <w:tr w14:paraId="3551F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1A6E1D27">
          <w:pPr>
            <w:jc w:val="center"/>
            <w:rPr>
              <w:b/>
            </w:rPr>
          </w:pPr>
        </w:p>
      </w:tc>
      <w:tc>
        <w:tcPr>
          <w:tcW w:w="5620" w:type="dxa"/>
          <w:vMerge w:val="continue"/>
          <w:tcBorders>
            <w:left w:val="single" w:color="auto" w:sz="4" w:space="0"/>
          </w:tcBorders>
          <w:vAlign w:val="center"/>
        </w:tcPr>
        <w:p w14:paraId="05D8AAE7">
          <w:pPr>
            <w:jc w:val="center"/>
            <w:rPr>
              <w:b/>
            </w:rPr>
          </w:pPr>
        </w:p>
      </w:tc>
      <w:tc>
        <w:tcPr>
          <w:tcW w:w="1459" w:type="dxa"/>
          <w:vAlign w:val="center"/>
        </w:tcPr>
        <w:p w14:paraId="703ACE97">
          <w:pPr>
            <w:pStyle w:val="2"/>
            <w:jc w:val="center"/>
            <w:rPr>
              <w:rFonts w:ascii="Times New Roman" w:hAnsi="Times New Roman" w:eastAsia="宋体"/>
              <w:color w:val="auto"/>
              <w:sz w:val="22"/>
            </w:rPr>
          </w:pPr>
          <w:r>
            <w:rPr>
              <w:rFonts w:hint="eastAsia" w:ascii="Times New Roman" w:hAnsi="Times New Roman" w:eastAsia="宋体"/>
              <w:color w:val="auto"/>
              <w:sz w:val="22"/>
              <w:szCs w:val="22"/>
              <w:lang w:eastAsia="zh-CN"/>
            </w:rPr>
            <w:t>版本号</w:t>
          </w:r>
        </w:p>
      </w:tc>
      <w:tc>
        <w:tcPr>
          <w:tcW w:w="555" w:type="dxa"/>
          <w:vAlign w:val="center"/>
        </w:tcPr>
        <w:p w14:paraId="66F00420">
          <w:pPr>
            <w:jc w:val="center"/>
          </w:pPr>
          <w:r>
            <w:rPr>
              <w:sz w:val="22"/>
              <w:szCs w:val="22"/>
            </w:rPr>
            <w:t>01</w:t>
          </w:r>
        </w:p>
      </w:tc>
      <w:tc>
        <w:tcPr>
          <w:tcW w:w="1201" w:type="dxa"/>
          <w:vAlign w:val="center"/>
        </w:tcPr>
        <w:p w14:paraId="41EF3978">
          <w:pPr>
            <w:jc w:val="center"/>
          </w:pPr>
          <w:r>
            <w:rPr>
              <w:rFonts w:hint="eastAsia"/>
              <w:sz w:val="22"/>
              <w:szCs w:val="22"/>
            </w:rPr>
            <w:t>修改次数</w:t>
          </w:r>
        </w:p>
      </w:tc>
      <w:tc>
        <w:tcPr>
          <w:tcW w:w="401" w:type="dxa"/>
          <w:vAlign w:val="center"/>
        </w:tcPr>
        <w:p w14:paraId="6B36ABFC">
          <w:pPr>
            <w:jc w:val="center"/>
          </w:pPr>
          <w:r>
            <w:t>0</w:t>
          </w:r>
        </w:p>
      </w:tc>
    </w:tr>
    <w:tr w14:paraId="4B34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19D69123">
          <w:pPr>
            <w:jc w:val="center"/>
            <w:rPr>
              <w:lang w:eastAsia="zh-HK"/>
            </w:rPr>
          </w:pPr>
          <w:r>
            <w:rPr>
              <w:rFonts w:hint="eastAsia"/>
              <w:sz w:val="22"/>
              <w:szCs w:val="22"/>
            </w:rPr>
            <w:t>编制</w:t>
          </w:r>
          <w:r>
            <w:rPr>
              <w:sz w:val="22"/>
              <w:szCs w:val="22"/>
            </w:rPr>
            <w:t>/</w:t>
          </w:r>
          <w:r>
            <w:rPr>
              <w:rFonts w:hint="eastAsia"/>
              <w:sz w:val="22"/>
              <w:szCs w:val="22"/>
            </w:rPr>
            <w:t>日期</w:t>
          </w:r>
        </w:p>
      </w:tc>
      <w:tc>
        <w:tcPr>
          <w:tcW w:w="5620" w:type="dxa"/>
          <w:tcBorders>
            <w:bottom w:val="single" w:color="auto" w:sz="4" w:space="0"/>
          </w:tcBorders>
          <w:vAlign w:val="center"/>
        </w:tcPr>
        <w:p w14:paraId="2CA3B1A4">
          <w:pPr>
            <w:jc w:val="left"/>
          </w:pPr>
        </w:p>
      </w:tc>
      <w:tc>
        <w:tcPr>
          <w:tcW w:w="1459" w:type="dxa"/>
          <w:tcBorders>
            <w:bottom w:val="single" w:color="auto" w:sz="4" w:space="0"/>
          </w:tcBorders>
          <w:vAlign w:val="center"/>
        </w:tcPr>
        <w:p w14:paraId="69C15954">
          <w:pPr>
            <w:pStyle w:val="2"/>
            <w:jc w:val="center"/>
            <w:rPr>
              <w:rFonts w:ascii="Times New Roman" w:hAnsi="Times New Roman" w:eastAsia="宋体"/>
              <w:color w:val="auto"/>
              <w:sz w:val="22"/>
              <w:lang w:eastAsia="zh-CN"/>
            </w:rPr>
          </w:pPr>
          <w:r>
            <w:rPr>
              <w:rFonts w:hint="eastAsia"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520FC2AB">
          <w:pPr>
            <w:jc w:val="center"/>
          </w:pPr>
          <w:r>
            <w:rPr>
              <w:sz w:val="22"/>
              <w:szCs w:val="22"/>
            </w:rPr>
            <w:t>2020年02月01日</w:t>
          </w:r>
        </w:p>
      </w:tc>
    </w:tr>
    <w:tr w14:paraId="63C8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650A3526">
          <w:pPr>
            <w:jc w:val="center"/>
          </w:pPr>
          <w:r>
            <w:rPr>
              <w:rFonts w:hint="eastAsia"/>
              <w:sz w:val="22"/>
              <w:szCs w:val="22"/>
            </w:rPr>
            <w:t>审核</w:t>
          </w:r>
          <w:r>
            <w:rPr>
              <w:sz w:val="22"/>
              <w:szCs w:val="22"/>
            </w:rPr>
            <w:t>/</w:t>
          </w:r>
          <w:r>
            <w:rPr>
              <w:rFonts w:hint="eastAsia"/>
              <w:sz w:val="22"/>
              <w:szCs w:val="22"/>
            </w:rPr>
            <w:t>日期</w:t>
          </w:r>
        </w:p>
      </w:tc>
      <w:tc>
        <w:tcPr>
          <w:tcW w:w="5620" w:type="dxa"/>
          <w:vAlign w:val="center"/>
        </w:tcPr>
        <w:p w14:paraId="50731989">
          <w:pPr>
            <w:jc w:val="left"/>
          </w:pPr>
        </w:p>
      </w:tc>
      <w:tc>
        <w:tcPr>
          <w:tcW w:w="1459" w:type="dxa"/>
          <w:tcBorders>
            <w:top w:val="single" w:color="auto" w:sz="4" w:space="0"/>
            <w:bottom w:val="single" w:color="auto" w:sz="4" w:space="0"/>
          </w:tcBorders>
          <w:vAlign w:val="center"/>
        </w:tcPr>
        <w:p w14:paraId="7BC0815B">
          <w:pPr>
            <w:pStyle w:val="2"/>
            <w:jc w:val="center"/>
            <w:rPr>
              <w:rFonts w:ascii="Times New Roman" w:hAnsi="Times New Roman" w:eastAsia="宋体"/>
              <w:color w:val="auto"/>
              <w:sz w:val="22"/>
              <w:lang w:eastAsia="zh-CN"/>
            </w:rPr>
          </w:pPr>
          <w:r>
            <w:rPr>
              <w:rFonts w:hint="eastAsia"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24948BFA">
          <w:pPr>
            <w:jc w:val="center"/>
          </w:pPr>
          <w:r>
            <w:rPr>
              <w:rFonts w:hint="eastAsia"/>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1</w:t>
          </w:r>
          <w:r>
            <w:rPr>
              <w:sz w:val="22"/>
              <w:szCs w:val="22"/>
            </w:rPr>
            <w:fldChar w:fldCharType="end"/>
          </w:r>
          <w:r>
            <w:rPr>
              <w:rFonts w:hint="eastAsia"/>
              <w:sz w:val="22"/>
              <w:szCs w:val="22"/>
            </w:rPr>
            <w:t>页，共</w:t>
          </w:r>
          <w:r>
            <w:fldChar w:fldCharType="begin"/>
          </w:r>
          <w:r>
            <w:instrText xml:space="preserve"> NUMPAGES  \* Arabic  \* MERGEFORMAT </w:instrText>
          </w:r>
          <w:r>
            <w:fldChar w:fldCharType="separate"/>
          </w:r>
          <w:r>
            <w:t>5</w:t>
          </w:r>
          <w:r>
            <w:fldChar w:fldCharType="end"/>
          </w:r>
          <w:r>
            <w:rPr>
              <w:rFonts w:hint="eastAsia"/>
              <w:sz w:val="22"/>
              <w:szCs w:val="22"/>
            </w:rPr>
            <w:t>页</w:t>
          </w:r>
        </w:p>
      </w:tc>
    </w:tr>
    <w:tr w14:paraId="5604F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73980DBF">
          <w:pPr>
            <w:jc w:val="center"/>
            <w:rPr>
              <w:lang w:eastAsia="zh-HK"/>
            </w:rPr>
          </w:pPr>
          <w:r>
            <w:rPr>
              <w:rFonts w:hint="eastAsia"/>
              <w:sz w:val="22"/>
              <w:szCs w:val="22"/>
            </w:rPr>
            <w:t>批准</w:t>
          </w:r>
          <w:r>
            <w:rPr>
              <w:sz w:val="22"/>
              <w:szCs w:val="22"/>
            </w:rPr>
            <w:t>/</w:t>
          </w:r>
          <w:r>
            <w:rPr>
              <w:rFonts w:hint="eastAsia"/>
              <w:sz w:val="22"/>
              <w:szCs w:val="22"/>
            </w:rPr>
            <w:t>日期</w:t>
          </w:r>
        </w:p>
      </w:tc>
      <w:tc>
        <w:tcPr>
          <w:tcW w:w="5620" w:type="dxa"/>
          <w:vAlign w:val="center"/>
        </w:tcPr>
        <w:p w14:paraId="0E0B224A">
          <w:pPr>
            <w:jc w:val="left"/>
          </w:pPr>
        </w:p>
      </w:tc>
      <w:tc>
        <w:tcPr>
          <w:tcW w:w="1459" w:type="dxa"/>
          <w:tcBorders>
            <w:top w:val="single" w:color="auto" w:sz="4" w:space="0"/>
          </w:tcBorders>
          <w:vAlign w:val="center"/>
        </w:tcPr>
        <w:p w14:paraId="2D47AEC7">
          <w:pPr>
            <w:jc w:val="center"/>
          </w:pPr>
          <w:r>
            <w:rPr>
              <w:rFonts w:hint="eastAsia"/>
              <w:sz w:val="22"/>
              <w:szCs w:val="22"/>
            </w:rPr>
            <w:t>受控状态</w:t>
          </w:r>
        </w:p>
      </w:tc>
      <w:tc>
        <w:tcPr>
          <w:tcW w:w="2157" w:type="dxa"/>
          <w:gridSpan w:val="3"/>
          <w:tcBorders>
            <w:top w:val="single" w:color="auto" w:sz="4" w:space="0"/>
          </w:tcBorders>
          <w:vAlign w:val="center"/>
        </w:tcPr>
        <w:p w14:paraId="5BDA3FB3">
          <w:pPr>
            <w:jc w:val="center"/>
          </w:pPr>
          <w:r>
            <w:rPr>
              <w:rFonts w:hint="eastAsia"/>
              <w:sz w:val="22"/>
              <w:szCs w:val="22"/>
            </w:rPr>
            <w:t>受控</w:t>
          </w:r>
        </w:p>
      </w:tc>
    </w:tr>
  </w:tbl>
  <w:p w14:paraId="468014E3">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632" w:hanging="1080"/>
      </w:pPr>
      <w:rPr>
        <w:rFonts w:hint="default" w:ascii="宋体" w:hAnsi="宋体" w:eastAsia="宋体" w:cs="Arial"/>
        <w:b w:val="0"/>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07"/>
    <w:rsid w:val="00005EB8"/>
    <w:rsid w:val="00011509"/>
    <w:rsid w:val="00015143"/>
    <w:rsid w:val="00017E00"/>
    <w:rsid w:val="00021AEB"/>
    <w:rsid w:val="0002321D"/>
    <w:rsid w:val="00024DEF"/>
    <w:rsid w:val="00033F9E"/>
    <w:rsid w:val="00037113"/>
    <w:rsid w:val="00037C71"/>
    <w:rsid w:val="000437F5"/>
    <w:rsid w:val="000508A1"/>
    <w:rsid w:val="000546B6"/>
    <w:rsid w:val="000566AC"/>
    <w:rsid w:val="000622BC"/>
    <w:rsid w:val="0006596D"/>
    <w:rsid w:val="0007577B"/>
    <w:rsid w:val="000901DF"/>
    <w:rsid w:val="00093A75"/>
    <w:rsid w:val="000A38C3"/>
    <w:rsid w:val="000B5299"/>
    <w:rsid w:val="000B747B"/>
    <w:rsid w:val="000C18E7"/>
    <w:rsid w:val="000C2C7E"/>
    <w:rsid w:val="000C3E3B"/>
    <w:rsid w:val="000C5201"/>
    <w:rsid w:val="000E6571"/>
    <w:rsid w:val="000F2E3F"/>
    <w:rsid w:val="000F5249"/>
    <w:rsid w:val="000F7932"/>
    <w:rsid w:val="000F7A88"/>
    <w:rsid w:val="0010199F"/>
    <w:rsid w:val="00105721"/>
    <w:rsid w:val="00115E33"/>
    <w:rsid w:val="00127FA9"/>
    <w:rsid w:val="00131552"/>
    <w:rsid w:val="00133752"/>
    <w:rsid w:val="00137C00"/>
    <w:rsid w:val="00153CBD"/>
    <w:rsid w:val="00177EFE"/>
    <w:rsid w:val="00181C41"/>
    <w:rsid w:val="001849B4"/>
    <w:rsid w:val="00195489"/>
    <w:rsid w:val="001A03E9"/>
    <w:rsid w:val="001A4320"/>
    <w:rsid w:val="001B054E"/>
    <w:rsid w:val="001B1456"/>
    <w:rsid w:val="001B1494"/>
    <w:rsid w:val="001B4B26"/>
    <w:rsid w:val="001D03FE"/>
    <w:rsid w:val="001D22E3"/>
    <w:rsid w:val="001D75F1"/>
    <w:rsid w:val="001E6B14"/>
    <w:rsid w:val="001F68C6"/>
    <w:rsid w:val="00201B89"/>
    <w:rsid w:val="00203750"/>
    <w:rsid w:val="00205D30"/>
    <w:rsid w:val="00214FC3"/>
    <w:rsid w:val="002200D3"/>
    <w:rsid w:val="00232C18"/>
    <w:rsid w:val="002403C0"/>
    <w:rsid w:val="00240898"/>
    <w:rsid w:val="002414D1"/>
    <w:rsid w:val="00244DDA"/>
    <w:rsid w:val="002515CA"/>
    <w:rsid w:val="00251F12"/>
    <w:rsid w:val="00255F32"/>
    <w:rsid w:val="00262D47"/>
    <w:rsid w:val="002653C0"/>
    <w:rsid w:val="00266C76"/>
    <w:rsid w:val="0027440C"/>
    <w:rsid w:val="00280AC4"/>
    <w:rsid w:val="00284EC9"/>
    <w:rsid w:val="00286F70"/>
    <w:rsid w:val="002875EB"/>
    <w:rsid w:val="00297513"/>
    <w:rsid w:val="002A22A8"/>
    <w:rsid w:val="002B32A1"/>
    <w:rsid w:val="002C0FC6"/>
    <w:rsid w:val="002C2111"/>
    <w:rsid w:val="002D219F"/>
    <w:rsid w:val="002D7DF7"/>
    <w:rsid w:val="002F2FC0"/>
    <w:rsid w:val="00303F87"/>
    <w:rsid w:val="00313BCC"/>
    <w:rsid w:val="003214BA"/>
    <w:rsid w:val="00326F2A"/>
    <w:rsid w:val="00331C87"/>
    <w:rsid w:val="00332C36"/>
    <w:rsid w:val="00347BD9"/>
    <w:rsid w:val="00361C94"/>
    <w:rsid w:val="0036433E"/>
    <w:rsid w:val="0038751A"/>
    <w:rsid w:val="003959ED"/>
    <w:rsid w:val="003C1753"/>
    <w:rsid w:val="003C752B"/>
    <w:rsid w:val="003D384C"/>
    <w:rsid w:val="003F1D98"/>
    <w:rsid w:val="003F7724"/>
    <w:rsid w:val="00412719"/>
    <w:rsid w:val="00414551"/>
    <w:rsid w:val="00416532"/>
    <w:rsid w:val="004214BE"/>
    <w:rsid w:val="00421839"/>
    <w:rsid w:val="00423997"/>
    <w:rsid w:val="00423F19"/>
    <w:rsid w:val="00425087"/>
    <w:rsid w:val="00431F7A"/>
    <w:rsid w:val="0043297A"/>
    <w:rsid w:val="00447ECD"/>
    <w:rsid w:val="00471E35"/>
    <w:rsid w:val="00477BE0"/>
    <w:rsid w:val="004841EE"/>
    <w:rsid w:val="0048621C"/>
    <w:rsid w:val="00497C2C"/>
    <w:rsid w:val="00497C39"/>
    <w:rsid w:val="004A0823"/>
    <w:rsid w:val="004A218D"/>
    <w:rsid w:val="004B5C7C"/>
    <w:rsid w:val="004C2BCC"/>
    <w:rsid w:val="004C3C1F"/>
    <w:rsid w:val="004C6221"/>
    <w:rsid w:val="004C6D60"/>
    <w:rsid w:val="004C70E4"/>
    <w:rsid w:val="004D4F7D"/>
    <w:rsid w:val="004D6157"/>
    <w:rsid w:val="004F228A"/>
    <w:rsid w:val="004F2CD9"/>
    <w:rsid w:val="004F35F6"/>
    <w:rsid w:val="004F44E1"/>
    <w:rsid w:val="004F5BF5"/>
    <w:rsid w:val="00507256"/>
    <w:rsid w:val="005072DD"/>
    <w:rsid w:val="005172E4"/>
    <w:rsid w:val="005258A6"/>
    <w:rsid w:val="00532A6F"/>
    <w:rsid w:val="00534135"/>
    <w:rsid w:val="0053448C"/>
    <w:rsid w:val="005427AF"/>
    <w:rsid w:val="00554A69"/>
    <w:rsid w:val="00556451"/>
    <w:rsid w:val="00556DF7"/>
    <w:rsid w:val="00560CB9"/>
    <w:rsid w:val="00565B33"/>
    <w:rsid w:val="0057366A"/>
    <w:rsid w:val="00576701"/>
    <w:rsid w:val="005802B2"/>
    <w:rsid w:val="005A72EA"/>
    <w:rsid w:val="005B3CC2"/>
    <w:rsid w:val="005B58C7"/>
    <w:rsid w:val="005C57F7"/>
    <w:rsid w:val="005E4724"/>
    <w:rsid w:val="005F6765"/>
    <w:rsid w:val="005F76E9"/>
    <w:rsid w:val="00600029"/>
    <w:rsid w:val="006004CE"/>
    <w:rsid w:val="006076EA"/>
    <w:rsid w:val="006118D1"/>
    <w:rsid w:val="006123F7"/>
    <w:rsid w:val="006124B2"/>
    <w:rsid w:val="006136C0"/>
    <w:rsid w:val="0061490E"/>
    <w:rsid w:val="00615CF6"/>
    <w:rsid w:val="006307CE"/>
    <w:rsid w:val="00633DC0"/>
    <w:rsid w:val="0063720E"/>
    <w:rsid w:val="00654098"/>
    <w:rsid w:val="0065667F"/>
    <w:rsid w:val="00660700"/>
    <w:rsid w:val="00661863"/>
    <w:rsid w:val="00664881"/>
    <w:rsid w:val="00666262"/>
    <w:rsid w:val="006669F6"/>
    <w:rsid w:val="006707BA"/>
    <w:rsid w:val="006709E2"/>
    <w:rsid w:val="00676784"/>
    <w:rsid w:val="00677BB1"/>
    <w:rsid w:val="0068156C"/>
    <w:rsid w:val="00684514"/>
    <w:rsid w:val="006849FC"/>
    <w:rsid w:val="006A2A6F"/>
    <w:rsid w:val="006B0E20"/>
    <w:rsid w:val="006E4313"/>
    <w:rsid w:val="00713E22"/>
    <w:rsid w:val="00715EA3"/>
    <w:rsid w:val="00733BE5"/>
    <w:rsid w:val="007343DE"/>
    <w:rsid w:val="00742390"/>
    <w:rsid w:val="00744415"/>
    <w:rsid w:val="00752639"/>
    <w:rsid w:val="00753F88"/>
    <w:rsid w:val="007722F0"/>
    <w:rsid w:val="00785BE2"/>
    <w:rsid w:val="00791379"/>
    <w:rsid w:val="00793B92"/>
    <w:rsid w:val="0079736C"/>
    <w:rsid w:val="007A7416"/>
    <w:rsid w:val="007B5C07"/>
    <w:rsid w:val="007B6DE9"/>
    <w:rsid w:val="007C29E7"/>
    <w:rsid w:val="007D105F"/>
    <w:rsid w:val="007D7E00"/>
    <w:rsid w:val="007E1B4C"/>
    <w:rsid w:val="007E608D"/>
    <w:rsid w:val="007F20CC"/>
    <w:rsid w:val="00802148"/>
    <w:rsid w:val="00803259"/>
    <w:rsid w:val="00825130"/>
    <w:rsid w:val="00833520"/>
    <w:rsid w:val="00862D06"/>
    <w:rsid w:val="008743CB"/>
    <w:rsid w:val="00877C44"/>
    <w:rsid w:val="0088239F"/>
    <w:rsid w:val="00890202"/>
    <w:rsid w:val="008975EF"/>
    <w:rsid w:val="008A472F"/>
    <w:rsid w:val="008A70DF"/>
    <w:rsid w:val="008B2328"/>
    <w:rsid w:val="008C19BF"/>
    <w:rsid w:val="008D76CA"/>
    <w:rsid w:val="008E7FB2"/>
    <w:rsid w:val="009006D5"/>
    <w:rsid w:val="00930639"/>
    <w:rsid w:val="009432A6"/>
    <w:rsid w:val="00943388"/>
    <w:rsid w:val="00946867"/>
    <w:rsid w:val="00947BEF"/>
    <w:rsid w:val="009513FC"/>
    <w:rsid w:val="009559F6"/>
    <w:rsid w:val="00955B42"/>
    <w:rsid w:val="00956605"/>
    <w:rsid w:val="00956FB0"/>
    <w:rsid w:val="009627B1"/>
    <w:rsid w:val="0097035E"/>
    <w:rsid w:val="00973017"/>
    <w:rsid w:val="00984FD4"/>
    <w:rsid w:val="009857B4"/>
    <w:rsid w:val="00996157"/>
    <w:rsid w:val="009C4077"/>
    <w:rsid w:val="009D1D49"/>
    <w:rsid w:val="009E2C62"/>
    <w:rsid w:val="009E34F2"/>
    <w:rsid w:val="009F13E4"/>
    <w:rsid w:val="009F23A2"/>
    <w:rsid w:val="009F73BC"/>
    <w:rsid w:val="00A05E34"/>
    <w:rsid w:val="00A32A5B"/>
    <w:rsid w:val="00A42A13"/>
    <w:rsid w:val="00A53D80"/>
    <w:rsid w:val="00A646AB"/>
    <w:rsid w:val="00A73790"/>
    <w:rsid w:val="00A76691"/>
    <w:rsid w:val="00A91035"/>
    <w:rsid w:val="00A941EE"/>
    <w:rsid w:val="00AA44F6"/>
    <w:rsid w:val="00AC1051"/>
    <w:rsid w:val="00AD0EC3"/>
    <w:rsid w:val="00AD22E7"/>
    <w:rsid w:val="00AD6DCA"/>
    <w:rsid w:val="00AE2947"/>
    <w:rsid w:val="00AF2276"/>
    <w:rsid w:val="00B0077E"/>
    <w:rsid w:val="00B0308B"/>
    <w:rsid w:val="00B07A94"/>
    <w:rsid w:val="00B108B1"/>
    <w:rsid w:val="00B1191C"/>
    <w:rsid w:val="00B23254"/>
    <w:rsid w:val="00B257A1"/>
    <w:rsid w:val="00B263C0"/>
    <w:rsid w:val="00B3536F"/>
    <w:rsid w:val="00B4049A"/>
    <w:rsid w:val="00B42140"/>
    <w:rsid w:val="00B42EF5"/>
    <w:rsid w:val="00B50CC3"/>
    <w:rsid w:val="00B526E0"/>
    <w:rsid w:val="00B553E2"/>
    <w:rsid w:val="00B56E5C"/>
    <w:rsid w:val="00B70F36"/>
    <w:rsid w:val="00B77D84"/>
    <w:rsid w:val="00B804B7"/>
    <w:rsid w:val="00B8253A"/>
    <w:rsid w:val="00B902ED"/>
    <w:rsid w:val="00B91B69"/>
    <w:rsid w:val="00BA229F"/>
    <w:rsid w:val="00BA3637"/>
    <w:rsid w:val="00BA4135"/>
    <w:rsid w:val="00BB0A40"/>
    <w:rsid w:val="00BC439F"/>
    <w:rsid w:val="00BD094F"/>
    <w:rsid w:val="00BE78BB"/>
    <w:rsid w:val="00BF261B"/>
    <w:rsid w:val="00BF57E1"/>
    <w:rsid w:val="00C023E1"/>
    <w:rsid w:val="00C10857"/>
    <w:rsid w:val="00C27850"/>
    <w:rsid w:val="00C30A2C"/>
    <w:rsid w:val="00C4539D"/>
    <w:rsid w:val="00C707D8"/>
    <w:rsid w:val="00C80ADC"/>
    <w:rsid w:val="00C8340F"/>
    <w:rsid w:val="00C83656"/>
    <w:rsid w:val="00C8464D"/>
    <w:rsid w:val="00C852B8"/>
    <w:rsid w:val="00C907EB"/>
    <w:rsid w:val="00C95830"/>
    <w:rsid w:val="00C973F5"/>
    <w:rsid w:val="00CA5D68"/>
    <w:rsid w:val="00CB0017"/>
    <w:rsid w:val="00CB7F06"/>
    <w:rsid w:val="00CC1794"/>
    <w:rsid w:val="00CD5F67"/>
    <w:rsid w:val="00CE48D4"/>
    <w:rsid w:val="00CF1042"/>
    <w:rsid w:val="00CF41B5"/>
    <w:rsid w:val="00CF4928"/>
    <w:rsid w:val="00D17336"/>
    <w:rsid w:val="00D3746A"/>
    <w:rsid w:val="00D3765F"/>
    <w:rsid w:val="00D426AA"/>
    <w:rsid w:val="00D6029D"/>
    <w:rsid w:val="00D61F9C"/>
    <w:rsid w:val="00D6461B"/>
    <w:rsid w:val="00D65776"/>
    <w:rsid w:val="00D6624D"/>
    <w:rsid w:val="00D6726B"/>
    <w:rsid w:val="00D67D05"/>
    <w:rsid w:val="00D71B56"/>
    <w:rsid w:val="00D803C6"/>
    <w:rsid w:val="00DA3A48"/>
    <w:rsid w:val="00DC2C58"/>
    <w:rsid w:val="00DC6291"/>
    <w:rsid w:val="00DE3A01"/>
    <w:rsid w:val="00DF0978"/>
    <w:rsid w:val="00DF4776"/>
    <w:rsid w:val="00E005C9"/>
    <w:rsid w:val="00E1250F"/>
    <w:rsid w:val="00E17AAD"/>
    <w:rsid w:val="00E20ECB"/>
    <w:rsid w:val="00E336AC"/>
    <w:rsid w:val="00E34118"/>
    <w:rsid w:val="00E43D41"/>
    <w:rsid w:val="00E57A27"/>
    <w:rsid w:val="00E748D3"/>
    <w:rsid w:val="00E76CDA"/>
    <w:rsid w:val="00EA21E8"/>
    <w:rsid w:val="00EA625E"/>
    <w:rsid w:val="00EB272E"/>
    <w:rsid w:val="00EB512C"/>
    <w:rsid w:val="00EB59DB"/>
    <w:rsid w:val="00EB6962"/>
    <w:rsid w:val="00EB6DCE"/>
    <w:rsid w:val="00EB7F2A"/>
    <w:rsid w:val="00EC37A3"/>
    <w:rsid w:val="00EE7D19"/>
    <w:rsid w:val="00EF2779"/>
    <w:rsid w:val="00EF299C"/>
    <w:rsid w:val="00EF37CF"/>
    <w:rsid w:val="00EF43BF"/>
    <w:rsid w:val="00EF496D"/>
    <w:rsid w:val="00F0486F"/>
    <w:rsid w:val="00F12707"/>
    <w:rsid w:val="00F129C7"/>
    <w:rsid w:val="00F23F7D"/>
    <w:rsid w:val="00F43E3F"/>
    <w:rsid w:val="00F45155"/>
    <w:rsid w:val="00F51A0A"/>
    <w:rsid w:val="00F51B24"/>
    <w:rsid w:val="00F5596E"/>
    <w:rsid w:val="00F57173"/>
    <w:rsid w:val="00F6683D"/>
    <w:rsid w:val="00F727D9"/>
    <w:rsid w:val="00F81430"/>
    <w:rsid w:val="00F82AF1"/>
    <w:rsid w:val="00FA4DFA"/>
    <w:rsid w:val="00FB5F13"/>
    <w:rsid w:val="00FB6D29"/>
    <w:rsid w:val="00FE22DC"/>
    <w:rsid w:val="00FF1580"/>
    <w:rsid w:val="00FF5C4C"/>
    <w:rsid w:val="03C65A3C"/>
    <w:rsid w:val="0666426B"/>
    <w:rsid w:val="066F2DDD"/>
    <w:rsid w:val="07C83323"/>
    <w:rsid w:val="082474AD"/>
    <w:rsid w:val="088F3AC3"/>
    <w:rsid w:val="0AE869AD"/>
    <w:rsid w:val="0BC87C7A"/>
    <w:rsid w:val="0F6E6FED"/>
    <w:rsid w:val="101E55FC"/>
    <w:rsid w:val="105A4E52"/>
    <w:rsid w:val="10A012B1"/>
    <w:rsid w:val="114A32D7"/>
    <w:rsid w:val="15307139"/>
    <w:rsid w:val="15DA0A88"/>
    <w:rsid w:val="16D36CEF"/>
    <w:rsid w:val="17013D00"/>
    <w:rsid w:val="17846EF2"/>
    <w:rsid w:val="1A375567"/>
    <w:rsid w:val="1AFC6C5E"/>
    <w:rsid w:val="1D242C75"/>
    <w:rsid w:val="206C0746"/>
    <w:rsid w:val="20DB0BD8"/>
    <w:rsid w:val="210558F0"/>
    <w:rsid w:val="2345622A"/>
    <w:rsid w:val="239C15E1"/>
    <w:rsid w:val="23BD03DA"/>
    <w:rsid w:val="265950F9"/>
    <w:rsid w:val="29443B8A"/>
    <w:rsid w:val="2A773F46"/>
    <w:rsid w:val="2E23707A"/>
    <w:rsid w:val="2E382745"/>
    <w:rsid w:val="2FC64905"/>
    <w:rsid w:val="30B67F98"/>
    <w:rsid w:val="30F61727"/>
    <w:rsid w:val="31254444"/>
    <w:rsid w:val="316B23E8"/>
    <w:rsid w:val="34071EA9"/>
    <w:rsid w:val="340F342C"/>
    <w:rsid w:val="350728F9"/>
    <w:rsid w:val="35972F7F"/>
    <w:rsid w:val="35EC3CA9"/>
    <w:rsid w:val="39364B2D"/>
    <w:rsid w:val="393C4656"/>
    <w:rsid w:val="39857ADB"/>
    <w:rsid w:val="3A2E4A52"/>
    <w:rsid w:val="3C8164B5"/>
    <w:rsid w:val="3EF75DF8"/>
    <w:rsid w:val="3F1F3B28"/>
    <w:rsid w:val="3FD471ED"/>
    <w:rsid w:val="3FF07978"/>
    <w:rsid w:val="40125314"/>
    <w:rsid w:val="40CD36BA"/>
    <w:rsid w:val="41E51081"/>
    <w:rsid w:val="41FD3331"/>
    <w:rsid w:val="43530B62"/>
    <w:rsid w:val="43DC257C"/>
    <w:rsid w:val="44815AAC"/>
    <w:rsid w:val="453B2187"/>
    <w:rsid w:val="45C441FC"/>
    <w:rsid w:val="46FF15A7"/>
    <w:rsid w:val="48801C43"/>
    <w:rsid w:val="4B1B6F27"/>
    <w:rsid w:val="4B2C300B"/>
    <w:rsid w:val="4E874BF1"/>
    <w:rsid w:val="506530F0"/>
    <w:rsid w:val="521614FA"/>
    <w:rsid w:val="524873EB"/>
    <w:rsid w:val="52FB0FDB"/>
    <w:rsid w:val="530F2B4C"/>
    <w:rsid w:val="53F22047"/>
    <w:rsid w:val="55033C41"/>
    <w:rsid w:val="5559710B"/>
    <w:rsid w:val="585D2838"/>
    <w:rsid w:val="58F51212"/>
    <w:rsid w:val="593C6CBE"/>
    <w:rsid w:val="5B932BFD"/>
    <w:rsid w:val="5BB02352"/>
    <w:rsid w:val="5BC86141"/>
    <w:rsid w:val="60713994"/>
    <w:rsid w:val="608D5328"/>
    <w:rsid w:val="61ED627A"/>
    <w:rsid w:val="631B314C"/>
    <w:rsid w:val="63776FFE"/>
    <w:rsid w:val="64267214"/>
    <w:rsid w:val="644A045E"/>
    <w:rsid w:val="65506780"/>
    <w:rsid w:val="65C46179"/>
    <w:rsid w:val="66035C0A"/>
    <w:rsid w:val="664A7FB6"/>
    <w:rsid w:val="66C9113F"/>
    <w:rsid w:val="66E02470"/>
    <w:rsid w:val="67B77C7A"/>
    <w:rsid w:val="68464DF6"/>
    <w:rsid w:val="690A517B"/>
    <w:rsid w:val="6AE9509F"/>
    <w:rsid w:val="6BE933A7"/>
    <w:rsid w:val="6C690B50"/>
    <w:rsid w:val="6DEF2EF0"/>
    <w:rsid w:val="6F8757DD"/>
    <w:rsid w:val="6FB82AA8"/>
    <w:rsid w:val="7051143A"/>
    <w:rsid w:val="7079012D"/>
    <w:rsid w:val="718B6CAE"/>
    <w:rsid w:val="71BA4C75"/>
    <w:rsid w:val="721E7150"/>
    <w:rsid w:val="729E5422"/>
    <w:rsid w:val="75401DF3"/>
    <w:rsid w:val="77A0100D"/>
    <w:rsid w:val="78394F69"/>
    <w:rsid w:val="785B1DE9"/>
    <w:rsid w:val="786E1ACB"/>
    <w:rsid w:val="79467C4B"/>
    <w:rsid w:val="79551EE4"/>
    <w:rsid w:val="7B28513A"/>
    <w:rsid w:val="7B8F56FA"/>
    <w:rsid w:val="7CB705EF"/>
    <w:rsid w:val="7DFF0DD6"/>
    <w:rsid w:val="7E39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qFormat/>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1"/>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1"/>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26F2-4776-475E-AC75-F881E008E26E}">
  <ds:schemaRefs/>
</ds:datastoreItem>
</file>

<file path=docProps/app.xml><?xml version="1.0" encoding="utf-8"?>
<Properties xmlns="http://schemas.openxmlformats.org/officeDocument/2006/extended-properties" xmlns:vt="http://schemas.openxmlformats.org/officeDocument/2006/docPropsVTypes">
  <Template>Normal</Template>
  <Pages>5</Pages>
  <Words>2397</Words>
  <Characters>2751</Characters>
  <Lines>19</Lines>
  <Paragraphs>5</Paragraphs>
  <TotalTime>24</TotalTime>
  <ScaleCrop>false</ScaleCrop>
  <LinksUpToDate>false</LinksUpToDate>
  <CharactersWithSpaces>2764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2018-06-20T09:52:00Z</dcterms:created>
  <dc:creator>cslau</dc:creator>
  <cp:lastModifiedBy>太极箫客</cp:lastModifiedBy>
  <cp:lastPrinted>2017-09-25T13:25:00Z</cp:lastPrinted>
  <dcterms:modified xsi:type="dcterms:W3CDTF">2025-08-14T06:22:23Z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BE06D492AD5249CC8A0127B91ECECF2F_12</vt:lpwstr>
  </property>
</Properties>
</file>