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C1C28">
      <w:pPr>
        <w:spacing w:after="500" w:line="288" w:lineRule="auto"/>
        <w:ind w:firstLine="540" w:firstLineChars="200"/>
        <w:jc w:val="center"/>
        <w:rPr>
          <w:sz w:val="27"/>
        </w:rPr>
      </w:pPr>
      <w:bookmarkStart w:id="0" w:name="_GoBack"/>
      <w:bookmarkEnd w:id="0"/>
      <w:r>
        <w:rPr>
          <w:sz w:val="27"/>
        </w:rPr>
        <w:t>MDSAP 审核应对要点解析</w:t>
      </w:r>
    </w:p>
    <w:p w14:paraId="607216D9">
      <w:pPr>
        <w:pStyle w:val="5"/>
        <w:spacing w:after="500" w:line="288" w:lineRule="auto"/>
        <w:ind w:left="0" w:right="0" w:firstLine="540" w:firstLineChars="200"/>
        <w:rPr>
          <w:sz w:val="27"/>
        </w:rPr>
      </w:pPr>
      <w:r>
        <w:rPr>
          <w:sz w:val="27"/>
        </w:rPr>
        <w:t>MDSAP 医疗器械单一审核程序（ MedicalDevice Single Audit Program)） 是国际医疗器械监管者论坛</w:t>
      </w:r>
    </w:p>
    <w:p w14:paraId="4EE18C0E">
      <w:pPr>
        <w:pStyle w:val="5"/>
        <w:spacing w:after="500" w:line="288" w:lineRule="auto"/>
        <w:ind w:left="0" w:right="0" w:firstLine="540" w:firstLineChars="200"/>
        <w:rPr>
          <w:sz w:val="27"/>
        </w:rPr>
      </w:pPr>
      <w:r>
        <w:rPr>
          <w:sz w:val="27"/>
        </w:rPr>
        <w:t>（IMDRF）为简化医疗器械主管部门监管负担、促进产业 发展，在不影响公共健康的前提下，针对医疗器械制造商 的质量管理体系开展监督审核工作制定的一组程序。</w:t>
      </w:r>
    </w:p>
    <w:p w14:paraId="7AD10C2E">
      <w:pPr>
        <w:pStyle w:val="5"/>
        <w:spacing w:after="500" w:line="288" w:lineRule="auto"/>
        <w:ind w:left="0" w:right="0" w:firstLine="540" w:firstLineChars="200"/>
        <w:rPr>
          <w:sz w:val="27"/>
        </w:rPr>
      </w:pPr>
      <w:r>
        <w:rPr>
          <w:sz w:val="27"/>
        </w:rPr>
        <w:t>由美国牵头，澳大利亚、巴西、加拿大和日本自愿参加 的 MDSAP 试点项目自 2014 年 1 月开始实施至今，这些国家将于 2017 年 1 月正式实施 MDSAP 并对检查结果互认。</w:t>
      </w:r>
    </w:p>
    <w:p w14:paraId="5AAD9567">
      <w:pPr>
        <w:pStyle w:val="2"/>
        <w:numPr>
          <w:ilvl w:val="0"/>
          <w:numId w:val="1"/>
        </w:numPr>
        <w:tabs>
          <w:tab w:val="left" w:pos="1006"/>
        </w:tabs>
        <w:ind w:left="0" w:firstLine="0"/>
      </w:pPr>
      <w:r>
        <w:t>ISO13485 与 MDSAP 是什么关系</w:t>
      </w:r>
    </w:p>
    <w:p w14:paraId="1271734F">
      <w:pPr>
        <w:pStyle w:val="5"/>
        <w:spacing w:after="500" w:line="288" w:lineRule="auto"/>
        <w:ind w:left="0" w:right="0" w:firstLine="540" w:firstLineChars="200"/>
        <w:jc w:val="left"/>
        <w:rPr>
          <w:sz w:val="27"/>
        </w:rPr>
      </w:pPr>
      <w:r>
        <w:rPr>
          <w:sz w:val="27"/>
        </w:rPr>
        <w:t>ISO13485 是 MDSAP 的基础；MDSAP 的要求要高于</w:t>
      </w:r>
    </w:p>
    <w:p w14:paraId="5D12ADE2">
      <w:pPr>
        <w:pStyle w:val="5"/>
        <w:spacing w:after="500" w:line="288" w:lineRule="auto"/>
        <w:ind w:left="0" w:right="0" w:firstLine="540" w:firstLineChars="200"/>
        <w:rPr>
          <w:sz w:val="27"/>
        </w:rPr>
      </w:pPr>
      <w:r>
        <w:rPr>
          <w:sz w:val="27"/>
        </w:rPr>
        <w:t>/多于 ISO13485 的要求；</w:t>
      </w:r>
    </w:p>
    <w:p w14:paraId="26CC0547">
      <w:pPr>
        <w:pStyle w:val="5"/>
        <w:spacing w:after="500" w:line="288" w:lineRule="auto"/>
        <w:ind w:left="0" w:right="0" w:firstLine="540" w:firstLineChars="200"/>
        <w:rPr>
          <w:sz w:val="27"/>
        </w:rPr>
      </w:pPr>
      <w:r>
        <w:rPr>
          <w:sz w:val="27"/>
        </w:rPr>
        <w:t>ISO13485 是标准，MDSAP 除了 ISO13485 之外，还有各参与国的法规要求；</w:t>
      </w:r>
    </w:p>
    <w:p w14:paraId="73002E75">
      <w:pPr>
        <w:pStyle w:val="2"/>
        <w:numPr>
          <w:ilvl w:val="0"/>
          <w:numId w:val="1"/>
        </w:numPr>
        <w:tabs>
          <w:tab w:val="left" w:pos="1006"/>
        </w:tabs>
        <w:ind w:left="0" w:firstLine="0"/>
      </w:pPr>
      <w:r>
        <w:t>ISO13485&amp;和 MDSAP 与风险管理的背景和趋势</w:t>
      </w:r>
    </w:p>
    <w:p w14:paraId="4BE2BE06">
      <w:pPr>
        <w:pStyle w:val="5"/>
        <w:spacing w:after="500" w:line="288" w:lineRule="auto"/>
        <w:ind w:left="0" w:right="0" w:firstLine="540" w:firstLineChars="200"/>
        <w:rPr>
          <w:sz w:val="27"/>
        </w:rPr>
      </w:pPr>
      <w:r>
        <w:rPr>
          <w:sz w:val="27"/>
        </w:rPr>
        <w:t>ISO13485 要求：组织应对风险管理的一个或多个过程形成文件；</w:t>
      </w:r>
    </w:p>
    <w:p w14:paraId="38B2D2D1">
      <w:pPr>
        <w:spacing w:after="500" w:line="288" w:lineRule="auto"/>
        <w:ind w:firstLine="540" w:firstLineChars="200"/>
        <w:rPr>
          <w:sz w:val="27"/>
        </w:rPr>
        <w:sectPr>
          <w:headerReference r:id="rId5" w:type="first"/>
          <w:footerReference r:id="rId8" w:type="first"/>
          <w:headerReference r:id="rId3" w:type="default"/>
          <w:footerReference r:id="rId6" w:type="default"/>
          <w:headerReference r:id="rId4" w:type="even"/>
          <w:footerReference r:id="rId7" w:type="even"/>
          <w:type w:val="continuous"/>
          <w:pgSz w:w="14175" w:h="16840"/>
          <w:pgMar w:top="1540" w:right="1380" w:bottom="280" w:left="1680" w:header="720" w:footer="720" w:gutter="0"/>
          <w:cols w:space="720" w:num="1"/>
          <w:docGrid w:linePitch="299" w:charSpace="0"/>
        </w:sectPr>
      </w:pPr>
    </w:p>
    <w:p w14:paraId="082F4FD1">
      <w:pPr>
        <w:pStyle w:val="5"/>
        <w:spacing w:after="500" w:line="288" w:lineRule="auto"/>
        <w:ind w:left="0" w:right="0" w:firstLine="540" w:firstLineChars="200"/>
        <w:jc w:val="left"/>
        <w:rPr>
          <w:sz w:val="27"/>
        </w:rPr>
      </w:pPr>
      <w:r>
        <w:rPr>
          <w:sz w:val="27"/>
        </w:rPr>
        <w:t>美国 21CFR820 要求：设计开发确认中提到风险管理， 但没有具体化；</w:t>
      </w:r>
    </w:p>
    <w:p w14:paraId="41372411">
      <w:pPr>
        <w:pStyle w:val="5"/>
        <w:spacing w:after="500" w:line="288" w:lineRule="auto"/>
        <w:ind w:left="0" w:right="0" w:firstLine="540" w:firstLineChars="200"/>
        <w:jc w:val="left"/>
        <w:rPr>
          <w:sz w:val="27"/>
        </w:rPr>
      </w:pPr>
      <w:r>
        <w:rPr>
          <w:sz w:val="27"/>
        </w:rPr>
        <w:t>巴西 RDC16 要求：独立章节说明风险管理，但未对风险管理子过程与质量体系过程具体溶合进行说明；</w:t>
      </w:r>
    </w:p>
    <w:p w14:paraId="3BD0FE45">
      <w:pPr>
        <w:pStyle w:val="5"/>
        <w:spacing w:after="500" w:line="288" w:lineRule="auto"/>
        <w:ind w:left="0" w:right="0" w:firstLine="540" w:firstLineChars="200"/>
        <w:rPr>
          <w:sz w:val="27"/>
        </w:rPr>
      </w:pPr>
      <w:r>
        <w:rPr>
          <w:sz w:val="27"/>
        </w:rPr>
        <w:t>根据美国 FDA 及巴西 ANVISA 检查官审核的特点，后续则会将风险监视与 CAPA 相结合；</w:t>
      </w:r>
    </w:p>
    <w:p w14:paraId="12D3ADC6">
      <w:pPr>
        <w:pStyle w:val="2"/>
        <w:numPr>
          <w:ilvl w:val="0"/>
          <w:numId w:val="1"/>
        </w:numPr>
        <w:tabs>
          <w:tab w:val="left" w:pos="1009"/>
        </w:tabs>
        <w:ind w:left="0" w:firstLine="0"/>
      </w:pPr>
      <w:r>
        <w:t>产品设计与过程设计的关系</w:t>
      </w:r>
    </w:p>
    <w:p w14:paraId="56735F46">
      <w:pPr>
        <w:pStyle w:val="5"/>
        <w:spacing w:after="500" w:line="288" w:lineRule="auto"/>
        <w:ind w:left="0" w:right="0" w:firstLine="540" w:firstLineChars="200"/>
        <w:rPr>
          <w:sz w:val="27"/>
        </w:rPr>
      </w:pPr>
      <w:r>
        <w:rPr>
          <w:sz w:val="27"/>
        </w:rPr>
        <w:t>＂ 将过程的设计开发纳入设计开发管理＂ 在巴西RDC16 法规中间接进行了要求；在 13485:2003 中同样进行了规定，但不太完整．</w:t>
      </w:r>
    </w:p>
    <w:p w14:paraId="14F71360">
      <w:pPr>
        <w:pStyle w:val="5"/>
        <w:spacing w:after="500" w:line="288" w:lineRule="auto"/>
        <w:ind w:left="0" w:right="0" w:firstLine="540" w:firstLineChars="200"/>
        <w:jc w:val="left"/>
        <w:rPr>
          <w:sz w:val="27"/>
        </w:rPr>
      </w:pPr>
      <w:r>
        <w:rPr>
          <w:sz w:val="27"/>
        </w:rPr>
        <w:t>然而 ISO13485：2016 明确指出设计开发应包括过程的设计开发．过程确认的要求没有在过程控制环节提出， 导致实际在企业运作中未能将过程设计开发的要求与产品设计开发过程溶合，这也是过程确认常被 FDA 开出警告信的原因所在；</w:t>
      </w:r>
    </w:p>
    <w:p w14:paraId="208954CE">
      <w:pPr>
        <w:pStyle w:val="5"/>
        <w:spacing w:after="500" w:line="288" w:lineRule="auto"/>
        <w:ind w:left="0" w:right="0" w:firstLine="540" w:firstLineChars="200"/>
        <w:rPr>
          <w:sz w:val="27"/>
        </w:rPr>
      </w:pPr>
      <w:r>
        <w:rPr>
          <w:sz w:val="27"/>
        </w:rPr>
        <w:t>现在各国法规非常重视过程设计，一些具体的特殊过 程标准已被开发，如灭菌，后续将会成为设计开发活动的 必备内容．企业在进行产品设计开发时需将过程设计当成 设计开发任务的一部分。</w:t>
      </w:r>
    </w:p>
    <w:p w14:paraId="74342E58">
      <w:pPr>
        <w:pStyle w:val="2"/>
        <w:numPr>
          <w:ilvl w:val="0"/>
          <w:numId w:val="1"/>
        </w:numPr>
        <w:tabs>
          <w:tab w:val="left" w:pos="1009"/>
        </w:tabs>
        <w:ind w:left="0" w:firstLine="0"/>
      </w:pPr>
      <w:r>
        <w:t>设计变更与设计开发持续合规</w:t>
      </w:r>
    </w:p>
    <w:p w14:paraId="1E61BA70">
      <w:pPr>
        <w:spacing w:after="500" w:line="288" w:lineRule="auto"/>
        <w:ind w:firstLine="540" w:firstLineChars="200"/>
        <w:rPr>
          <w:sz w:val="27"/>
        </w:rPr>
        <w:sectPr>
          <w:pgSz w:w="14175" w:h="16840"/>
          <w:pgMar w:top="1440" w:right="1380" w:bottom="280" w:left="1680" w:header="720" w:footer="720" w:gutter="0"/>
          <w:cols w:space="720" w:num="1"/>
          <w:docGrid w:linePitch="299" w:charSpace="0"/>
        </w:sectPr>
      </w:pPr>
    </w:p>
    <w:p w14:paraId="61E9498C">
      <w:pPr>
        <w:pStyle w:val="5"/>
        <w:spacing w:after="500" w:line="288" w:lineRule="auto"/>
        <w:ind w:left="0" w:right="0" w:firstLine="540" w:firstLineChars="200"/>
        <w:jc w:val="left"/>
        <w:rPr>
          <w:sz w:val="27"/>
        </w:rPr>
      </w:pPr>
      <w:r>
        <w:rPr>
          <w:sz w:val="27"/>
        </w:rPr>
        <w:t>设计变更，包括过程变更，将可能会严重影响到成品 器械的安全和性能，这必然要涉及法规符合性的评估．实 际在 FDA 审核过程中，必须评审或评价设计开发变更所引起的法规符合性问题，必要时重新启动符合性评定程序， 如：补充注册或重新注册。已成为了一种不言而喻的要求， 企业可以提前加入到内部质量体系控制中。</w:t>
      </w:r>
    </w:p>
    <w:p w14:paraId="701F40D3">
      <w:pPr>
        <w:pStyle w:val="2"/>
        <w:numPr>
          <w:ilvl w:val="0"/>
          <w:numId w:val="1"/>
        </w:numPr>
        <w:tabs>
          <w:tab w:val="left" w:pos="1006"/>
        </w:tabs>
        <w:ind w:left="0" w:firstLine="0"/>
      </w:pPr>
      <w:r>
        <w:t>MDSAP 能否完全替代参与国主管当局的审核</w:t>
      </w:r>
    </w:p>
    <w:p w14:paraId="19B8348B">
      <w:pPr>
        <w:pStyle w:val="5"/>
        <w:spacing w:after="500" w:line="288" w:lineRule="auto"/>
        <w:ind w:left="0" w:right="0" w:firstLine="540" w:firstLineChars="200"/>
        <w:rPr>
          <w:sz w:val="27"/>
        </w:rPr>
      </w:pPr>
      <w:r>
        <w:rPr>
          <w:sz w:val="27"/>
        </w:rPr>
        <w:t>对 MDSAP 审核结果的认可，绝不意味着主管当局放弃其监管权力。MDSAP 实施的目的在于，降低各参与国主管当局的监管成本，同时降低被监管企业的管理成 本．在主管当局认为有必要时，仍然可以进行审核。相关 国家认可的程度如下：</w:t>
      </w:r>
    </w:p>
    <w:p w14:paraId="4339EED8">
      <w:pPr>
        <w:pStyle w:val="5"/>
        <w:spacing w:after="500" w:line="288" w:lineRule="auto"/>
        <w:ind w:left="0" w:right="0" w:firstLine="540" w:firstLineChars="200"/>
        <w:rPr>
          <w:sz w:val="27"/>
        </w:rPr>
      </w:pPr>
      <w:r>
        <w:rPr>
          <w:sz w:val="27"/>
        </w:rPr>
        <w:t>美国：替代 FDA 的常规检查(FDA 专项和 PMA 产品除外)；</w:t>
      </w:r>
    </w:p>
    <w:p w14:paraId="04396A2E">
      <w:pPr>
        <w:pStyle w:val="5"/>
        <w:spacing w:after="500" w:line="288" w:lineRule="auto"/>
        <w:ind w:left="0" w:right="0" w:firstLine="540" w:firstLineChars="200"/>
        <w:rPr>
          <w:sz w:val="27"/>
        </w:rPr>
      </w:pPr>
      <w:r>
        <w:rPr>
          <w:sz w:val="27"/>
        </w:rPr>
        <w:t>巴西：对于三类和四类医疗器械，可以替代 ANVISA 的上市前 GMP 检查，以及上市后的例行检查（专项检查除外）；</w:t>
      </w:r>
    </w:p>
    <w:p w14:paraId="72264845">
      <w:pPr>
        <w:pStyle w:val="5"/>
        <w:spacing w:after="500" w:line="288" w:lineRule="auto"/>
        <w:ind w:left="0" w:right="0" w:firstLine="540" w:firstLineChars="200"/>
        <w:rPr>
          <w:sz w:val="27"/>
        </w:rPr>
      </w:pPr>
      <w:r>
        <w:rPr>
          <w:sz w:val="27"/>
        </w:rPr>
        <w:t>日本：对于 II 类，III 类，IV 类医疗器械，可豁免现场工厂审核；</w:t>
      </w:r>
    </w:p>
    <w:p w14:paraId="7394D808">
      <w:pPr>
        <w:pStyle w:val="5"/>
        <w:spacing w:after="500" w:line="288" w:lineRule="auto"/>
        <w:ind w:left="0" w:right="0" w:firstLine="540" w:firstLineChars="200"/>
        <w:rPr>
          <w:sz w:val="27"/>
        </w:rPr>
      </w:pPr>
      <w:r>
        <w:rPr>
          <w:sz w:val="27"/>
        </w:rPr>
        <w:t>加拿大：2019 年起强制取代 CMDCAS，作为分类在II 类及以上产品进入加拿大的唯一途径；</w:t>
      </w:r>
    </w:p>
    <w:p w14:paraId="07059A5D">
      <w:pPr>
        <w:spacing w:after="500" w:line="288" w:lineRule="auto"/>
        <w:ind w:firstLine="540" w:firstLineChars="200"/>
        <w:rPr>
          <w:sz w:val="27"/>
        </w:rPr>
        <w:sectPr>
          <w:pgSz w:w="14175" w:h="16840"/>
          <w:pgMar w:top="1440" w:right="1380" w:bottom="280" w:left="1680" w:header="720" w:footer="720" w:gutter="0"/>
          <w:cols w:space="720" w:num="1"/>
          <w:docGrid w:linePitch="299" w:charSpace="0"/>
        </w:sectPr>
      </w:pPr>
    </w:p>
    <w:p w14:paraId="0541FDB1">
      <w:pPr>
        <w:pStyle w:val="5"/>
        <w:spacing w:after="500" w:line="288" w:lineRule="auto"/>
        <w:ind w:left="0" w:right="0" w:firstLine="540" w:firstLineChars="200"/>
        <w:rPr>
          <w:sz w:val="27"/>
        </w:rPr>
      </w:pPr>
      <w:r>
        <w:rPr>
          <w:sz w:val="27"/>
        </w:rPr>
        <w:t>澳大利亚：可豁免 TGA 审核，支持颁发和保持 TGA 符合性审核证书</w:t>
      </w:r>
    </w:p>
    <w:p w14:paraId="3E6BE7A4">
      <w:pPr>
        <w:pStyle w:val="5"/>
        <w:spacing w:after="500" w:line="288" w:lineRule="auto"/>
        <w:ind w:left="0" w:right="0" w:firstLine="540" w:firstLineChars="200"/>
        <w:rPr>
          <w:rFonts w:hint="eastAsia"/>
          <w:sz w:val="27"/>
        </w:rPr>
      </w:pPr>
      <w:r>
        <w:rPr>
          <w:sz w:val="27"/>
        </w:rPr>
        <w:t>随着 MDSAP 审核由第三方进行，这可能导致审核的质量下降，但对于企业来说，器械的安全有效，应是组织 始终关注的焦点。</w:t>
      </w:r>
    </w:p>
    <w:p w14:paraId="1D386054">
      <w:pPr>
        <w:spacing w:after="500" w:line="288" w:lineRule="auto"/>
        <w:ind w:firstLine="440" w:firstLineChars="200"/>
        <w:jc w:val="center"/>
        <w:rPr>
          <w:rFonts w:hint="eastAsia" w:eastAsia="宋体"/>
          <w:lang w:eastAsia="zh-CN"/>
        </w:rPr>
      </w:pPr>
    </w:p>
    <w:p w14:paraId="1C2B72E8">
      <w:pPr>
        <w:spacing w:after="500" w:line="288" w:lineRule="auto"/>
        <w:ind w:firstLine="440" w:firstLineChars="200"/>
        <w:jc w:val="center"/>
        <w:rPr>
          <w:rFonts w:hint="eastAsia" w:eastAsia="宋体"/>
          <w:lang w:eastAsia="zh-CN"/>
        </w:rPr>
      </w:pPr>
    </w:p>
    <w:p w14:paraId="045ADAFA">
      <w:pPr>
        <w:spacing w:after="500" w:line="288" w:lineRule="auto"/>
        <w:ind w:firstLine="440" w:firstLineChars="20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pgSz w:w="14175" w:h="16840"/>
      <w:pgMar w:top="1440" w:right="1380" w:bottom="280" w:left="16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E9C2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37FC9">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C58F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5F434">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F4EEE">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5CF36">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86581"/>
    <w:multiLevelType w:val="multilevel"/>
    <w:tmpl w:val="48786581"/>
    <w:lvl w:ilvl="0" w:tentative="0">
      <w:start w:val="1"/>
      <w:numFmt w:val="decimal"/>
      <w:lvlText w:val="%1."/>
      <w:lvlJc w:val="left"/>
      <w:pPr>
        <w:ind w:left="1005" w:hanging="406"/>
        <w:jc w:val="left"/>
      </w:pPr>
      <w:rPr>
        <w:rFonts w:hint="default" w:ascii="微软雅黑" w:hAnsi="微软雅黑" w:eastAsia="微软雅黑" w:cs="微软雅黑"/>
        <w:b/>
        <w:bCs/>
        <w:spacing w:val="0"/>
        <w:w w:val="99"/>
        <w:sz w:val="32"/>
        <w:szCs w:val="32"/>
        <w:lang w:val="zh-CN" w:eastAsia="zh-CN" w:bidi="zh-CN"/>
      </w:rPr>
    </w:lvl>
    <w:lvl w:ilvl="1" w:tentative="0">
      <w:start w:val="0"/>
      <w:numFmt w:val="bullet"/>
      <w:lvlText w:val="•"/>
      <w:lvlJc w:val="left"/>
      <w:pPr>
        <w:ind w:left="1784" w:hanging="406"/>
      </w:pPr>
      <w:rPr>
        <w:rFonts w:hint="default"/>
        <w:lang w:val="zh-CN" w:eastAsia="zh-CN" w:bidi="zh-CN"/>
      </w:rPr>
    </w:lvl>
    <w:lvl w:ilvl="2" w:tentative="0">
      <w:start w:val="0"/>
      <w:numFmt w:val="bullet"/>
      <w:lvlText w:val="•"/>
      <w:lvlJc w:val="left"/>
      <w:pPr>
        <w:ind w:left="2569" w:hanging="406"/>
      </w:pPr>
      <w:rPr>
        <w:rFonts w:hint="default"/>
        <w:lang w:val="zh-CN" w:eastAsia="zh-CN" w:bidi="zh-CN"/>
      </w:rPr>
    </w:lvl>
    <w:lvl w:ilvl="3" w:tentative="0">
      <w:start w:val="0"/>
      <w:numFmt w:val="bullet"/>
      <w:lvlText w:val="•"/>
      <w:lvlJc w:val="left"/>
      <w:pPr>
        <w:ind w:left="3353" w:hanging="406"/>
      </w:pPr>
      <w:rPr>
        <w:rFonts w:hint="default"/>
        <w:lang w:val="zh-CN" w:eastAsia="zh-CN" w:bidi="zh-CN"/>
      </w:rPr>
    </w:lvl>
    <w:lvl w:ilvl="4" w:tentative="0">
      <w:start w:val="0"/>
      <w:numFmt w:val="bullet"/>
      <w:lvlText w:val="•"/>
      <w:lvlJc w:val="left"/>
      <w:pPr>
        <w:ind w:left="4138" w:hanging="406"/>
      </w:pPr>
      <w:rPr>
        <w:rFonts w:hint="default"/>
        <w:lang w:val="zh-CN" w:eastAsia="zh-CN" w:bidi="zh-CN"/>
      </w:rPr>
    </w:lvl>
    <w:lvl w:ilvl="5" w:tentative="0">
      <w:start w:val="0"/>
      <w:numFmt w:val="bullet"/>
      <w:lvlText w:val="•"/>
      <w:lvlJc w:val="left"/>
      <w:pPr>
        <w:ind w:left="4923" w:hanging="406"/>
      </w:pPr>
      <w:rPr>
        <w:rFonts w:hint="default"/>
        <w:lang w:val="zh-CN" w:eastAsia="zh-CN" w:bidi="zh-CN"/>
      </w:rPr>
    </w:lvl>
    <w:lvl w:ilvl="6" w:tentative="0">
      <w:start w:val="0"/>
      <w:numFmt w:val="bullet"/>
      <w:lvlText w:val="•"/>
      <w:lvlJc w:val="left"/>
      <w:pPr>
        <w:ind w:left="5707" w:hanging="406"/>
      </w:pPr>
      <w:rPr>
        <w:rFonts w:hint="default"/>
        <w:lang w:val="zh-CN" w:eastAsia="zh-CN" w:bidi="zh-CN"/>
      </w:rPr>
    </w:lvl>
    <w:lvl w:ilvl="7" w:tentative="0">
      <w:start w:val="0"/>
      <w:numFmt w:val="bullet"/>
      <w:lvlText w:val="•"/>
      <w:lvlJc w:val="left"/>
      <w:pPr>
        <w:ind w:left="6492" w:hanging="406"/>
      </w:pPr>
      <w:rPr>
        <w:rFonts w:hint="default"/>
        <w:lang w:val="zh-CN" w:eastAsia="zh-CN" w:bidi="zh-CN"/>
      </w:rPr>
    </w:lvl>
    <w:lvl w:ilvl="8" w:tentative="0">
      <w:start w:val="0"/>
      <w:numFmt w:val="bullet"/>
      <w:lvlText w:val="•"/>
      <w:lvlJc w:val="left"/>
      <w:pPr>
        <w:ind w:left="7277" w:hanging="406"/>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D11B48"/>
    <w:rsid w:val="001644B6"/>
    <w:rsid w:val="00D11B48"/>
    <w:rsid w:val="279C4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jc w:val="both"/>
    </w:pPr>
    <w:rPr>
      <w:rFonts w:ascii="微软雅黑" w:hAnsi="微软雅黑" w:eastAsia="微软雅黑" w:cs="微软雅黑"/>
      <w:color w:val="161616"/>
      <w:kern w:val="2"/>
      <w:sz w:val="22"/>
      <w:szCs w:val="22"/>
      <w:lang w:val="zh-CN" w:eastAsia="zh-CN" w:bidi="zh-CN"/>
    </w:rPr>
  </w:style>
  <w:style w:type="paragraph" w:styleId="2">
    <w:name w:val="heading 1"/>
    <w:basedOn w:val="1"/>
    <w:qFormat/>
    <w:uiPriority w:val="1"/>
    <w:pPr>
      <w:spacing w:after="500" w:line="288" w:lineRule="auto"/>
      <w:jc w:val="left"/>
      <w:outlineLvl w:val="0"/>
    </w:pPr>
    <w:rPr>
      <w:b/>
      <w:bCs/>
      <w:sz w:val="30"/>
      <w:szCs w:val="32"/>
    </w:rPr>
  </w:style>
  <w:style w:type="paragraph" w:styleId="3">
    <w:name w:val="heading 2"/>
    <w:basedOn w:val="1"/>
    <w:next w:val="1"/>
    <w:link w:val="15"/>
    <w:semiHidden/>
    <w:unhideWhenUsed/>
    <w:qFormat/>
    <w:uiPriority w:val="9"/>
    <w:pPr>
      <w:spacing w:after="500" w:line="288" w:lineRule="auto"/>
      <w:jc w:val="left"/>
      <w:outlineLvl w:val="1"/>
    </w:pPr>
    <w:rPr>
      <w:rFonts w:cstheme="majorBidi"/>
      <w:b/>
      <w:bCs/>
      <w:sz w:val="27"/>
      <w:szCs w:val="32"/>
    </w:rPr>
  </w:style>
  <w:style w:type="paragraph" w:styleId="4">
    <w:name w:val="heading 3"/>
    <w:basedOn w:val="1"/>
    <w:next w:val="1"/>
    <w:link w:val="16"/>
    <w:semiHidden/>
    <w:unhideWhenUsed/>
    <w:qFormat/>
    <w:uiPriority w:val="9"/>
    <w:pPr>
      <w:spacing w:after="500" w:line="288" w:lineRule="auto"/>
      <w:jc w:val="left"/>
      <w:outlineLvl w:val="2"/>
    </w:pPr>
    <w:rPr>
      <w:bCs/>
      <w:sz w:val="27"/>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120" w:right="433" w:firstLine="480"/>
    </w:pPr>
    <w:rPr>
      <w:sz w:val="32"/>
      <w:szCs w:val="32"/>
    </w:rPr>
  </w:style>
  <w:style w:type="paragraph" w:styleId="6">
    <w:name w:val="footer"/>
    <w:basedOn w:val="1"/>
    <w:link w:val="14"/>
    <w:unhideWhenUsed/>
    <w:uiPriority w:val="99"/>
    <w:pPr>
      <w:tabs>
        <w:tab w:val="center" w:pos="4153"/>
        <w:tab w:val="right" w:pos="8306"/>
      </w:tabs>
      <w:snapToGrid w:val="0"/>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005" w:hanging="406"/>
    </w:pPr>
  </w:style>
  <w:style w:type="paragraph" w:customStyle="1" w:styleId="12">
    <w:name w:val="Table Paragraph"/>
    <w:basedOn w:val="1"/>
    <w:qFormat/>
    <w:uiPriority w:val="1"/>
  </w:style>
  <w:style w:type="character" w:customStyle="1" w:styleId="13">
    <w:name w:val="页眉 字符"/>
    <w:basedOn w:val="9"/>
    <w:link w:val="7"/>
    <w:qFormat/>
    <w:uiPriority w:val="99"/>
    <w:rPr>
      <w:rFonts w:ascii="微软雅黑" w:hAnsi="微软雅黑" w:eastAsia="微软雅黑" w:cs="微软雅黑"/>
      <w:sz w:val="18"/>
      <w:szCs w:val="18"/>
      <w:lang w:val="zh-CN" w:eastAsia="zh-CN" w:bidi="zh-CN"/>
    </w:rPr>
  </w:style>
  <w:style w:type="character" w:customStyle="1" w:styleId="14">
    <w:name w:val="页脚 字符"/>
    <w:basedOn w:val="9"/>
    <w:link w:val="6"/>
    <w:uiPriority w:val="99"/>
    <w:rPr>
      <w:rFonts w:ascii="微软雅黑" w:hAnsi="微软雅黑" w:eastAsia="微软雅黑" w:cs="微软雅黑"/>
      <w:sz w:val="18"/>
      <w:szCs w:val="18"/>
      <w:lang w:val="zh-CN" w:eastAsia="zh-CN" w:bidi="zh-CN"/>
    </w:rPr>
  </w:style>
  <w:style w:type="character" w:customStyle="1" w:styleId="15">
    <w:name w:val="标题 2 字符"/>
    <w:basedOn w:val="9"/>
    <w:link w:val="3"/>
    <w:semiHidden/>
    <w:uiPriority w:val="9"/>
    <w:rPr>
      <w:rFonts w:ascii="微软雅黑" w:hAnsi="微软雅黑" w:eastAsia="微软雅黑" w:cstheme="majorBidi"/>
      <w:b/>
      <w:bCs/>
      <w:color w:val="161616"/>
      <w:kern w:val="2"/>
      <w:sz w:val="27"/>
      <w:szCs w:val="32"/>
      <w:lang w:val="zh-CN" w:eastAsia="zh-CN" w:bidi="zh-CN"/>
    </w:rPr>
  </w:style>
  <w:style w:type="character" w:customStyle="1" w:styleId="16">
    <w:name w:val="标题 3 字符"/>
    <w:basedOn w:val="9"/>
    <w:link w:val="4"/>
    <w:semiHidden/>
    <w:uiPriority w:val="9"/>
    <w:rPr>
      <w:rFonts w:ascii="微软雅黑" w:hAnsi="微软雅黑" w:eastAsia="微软雅黑" w:cs="微软雅黑"/>
      <w:bCs/>
      <w:color w:val="161616"/>
      <w:kern w:val="2"/>
      <w:sz w:val="27"/>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1100</Words>
  <Characters>1329</Characters>
  <Lines>10</Lines>
  <Paragraphs>2</Paragraphs>
  <TotalTime>0</TotalTime>
  <ScaleCrop>false</ScaleCrop>
  <LinksUpToDate>false</LinksUpToDate>
  <CharactersWithSpaces>1426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2022-03-11T07:28:00Z</dcterms:created>
  <dc:creator>é?©</dc:creator>
  <cp:lastModifiedBy>太极箫客</cp:lastModifiedBy>
  <dcterms:modified xsi:type="dcterms:W3CDTF">2025-08-14T06:20:40Z</dcterms:modified>
  <dc:title>Microsoft Word - MDSAPå®¡æ€¸åºflå¯¹è¦†ç‡¹è§£æž’</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LastSaved">
    <vt:filetime>2020-10-29T00:00:00Z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EB045E1463FD40F1B23C792CA4863C35_12</vt:lpwstr>
  </property>
</Properties>
</file>