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58C47">
      <w:pPr>
        <w:snapToGrid w:val="0"/>
        <w:spacing w:line="360" w:lineRule="auto"/>
        <w:rPr>
          <w:rFonts w:ascii="Times New Roman" w:hAnsi="Times New Roman"/>
          <w:b/>
          <w:bCs/>
          <w:kern w:val="2"/>
          <w:sz w:val="16"/>
          <w:szCs w:val="16"/>
        </w:rPr>
      </w:pPr>
      <w:bookmarkStart w:id="234" w:name="_GoBack"/>
      <w:bookmarkEnd w:id="234"/>
    </w:p>
    <w:tbl>
      <w:tblPr>
        <w:tblStyle w:val="15"/>
        <w:tblW w:w="0" w:type="auto"/>
        <w:tblInd w:w="0" w:type="dxa"/>
        <w:tblLayout w:type="autofit"/>
        <w:tblCellMar>
          <w:top w:w="0" w:type="dxa"/>
          <w:left w:w="108" w:type="dxa"/>
          <w:bottom w:w="0" w:type="dxa"/>
          <w:right w:w="108" w:type="dxa"/>
        </w:tblCellMar>
      </w:tblPr>
      <w:tblGrid>
        <w:gridCol w:w="1857"/>
        <w:gridCol w:w="2736"/>
        <w:gridCol w:w="3686"/>
      </w:tblGrid>
      <w:tr w14:paraId="53059246">
        <w:tblPrEx>
          <w:tblCellMar>
            <w:top w:w="0" w:type="dxa"/>
            <w:left w:w="108" w:type="dxa"/>
            <w:bottom w:w="0" w:type="dxa"/>
            <w:right w:w="108" w:type="dxa"/>
          </w:tblCellMar>
        </w:tblPrEx>
        <w:tc>
          <w:tcPr>
            <w:tcW w:w="1857" w:type="dxa"/>
            <w:shd w:val="clear" w:color="auto" w:fill="auto"/>
            <w:tcMar>
              <w:top w:w="28" w:type="dxa"/>
              <w:left w:w="57" w:type="dxa"/>
              <w:bottom w:w="28" w:type="dxa"/>
              <w:right w:w="57" w:type="dxa"/>
            </w:tcMar>
          </w:tcPr>
          <w:p w14:paraId="57F1EBA9">
            <w:pPr>
              <w:widowControl/>
              <w:topLinePunct w:val="0"/>
              <w:jc w:val="distribute"/>
              <w:rPr>
                <w:rFonts w:ascii="Times New Roman" w:hAnsi="Times New Roman"/>
                <w:b/>
                <w:kern w:val="0"/>
                <w:sz w:val="40"/>
                <w:szCs w:val="24"/>
              </w:rPr>
            </w:pPr>
            <w:r>
              <w:rPr>
                <w:rFonts w:ascii="Times New Roman" w:hAnsi="Times New Roman"/>
                <w:b/>
                <w:kern w:val="0"/>
                <w:sz w:val="40"/>
                <w:szCs w:val="24"/>
              </w:rPr>
              <w:t>欧盟官方公报</w:t>
            </w:r>
          </w:p>
          <w:p w14:paraId="0B9D2470">
            <w:pPr>
              <w:widowControl/>
              <w:topLinePunct w:val="0"/>
              <w:jc w:val="left"/>
              <w:rPr>
                <w:rFonts w:ascii="Times New Roman" w:hAnsi="Times New Roman"/>
                <w:kern w:val="0"/>
                <w:sz w:val="24"/>
                <w:szCs w:val="24"/>
              </w:rPr>
            </w:pPr>
            <w:r>
              <w:rPr>
                <w:rFonts w:ascii="Times New Roman" w:hAnsi="Times New Roman"/>
                <w:kern w:val="0"/>
                <w:sz w:val="24"/>
                <w:szCs w:val="24"/>
              </w:rPr>
              <w:drawing>
                <wp:inline distT="0" distB="0" distL="0" distR="0">
                  <wp:extent cx="1085850" cy="723900"/>
                  <wp:effectExtent l="0" t="0" r="0" b="0"/>
                  <wp:docPr id="15" name="图片 2" descr="说明: C:\Users\Administrator\AppData\Roaming\Tencent\Users\857820121\QQ\WinTemp\RichOle\GJZT2(7GO}HHW$K%9FANX6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说明: C:\Users\Administrator\AppData\Roaming\Tencent\Users\857820121\QQ\WinTemp\RichOle\GJZT2(7GO}HHW$K%9FANX6I.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85850" cy="723900"/>
                          </a:xfrm>
                          <a:prstGeom prst="rect">
                            <a:avLst/>
                          </a:prstGeom>
                          <a:noFill/>
                          <a:ln>
                            <a:noFill/>
                          </a:ln>
                        </pic:spPr>
                      </pic:pic>
                    </a:graphicData>
                  </a:graphic>
                </wp:inline>
              </w:drawing>
            </w:r>
          </w:p>
          <w:p w14:paraId="1D8D001F">
            <w:pPr>
              <w:snapToGrid w:val="0"/>
              <w:spacing w:line="360" w:lineRule="auto"/>
              <w:rPr>
                <w:rFonts w:ascii="Times New Roman" w:hAnsi="Times New Roman"/>
                <w:b/>
                <w:bCs/>
                <w:kern w:val="2"/>
                <w:szCs w:val="21"/>
              </w:rPr>
            </w:pPr>
            <w:r>
              <w:rPr>
                <w:rFonts w:hint="eastAsia" w:ascii="Times New Roman" w:hAnsi="Times New Roman"/>
                <w:b/>
                <w:bCs/>
                <w:kern w:val="2"/>
                <w:szCs w:val="21"/>
              </w:rPr>
              <w:t>中文</w:t>
            </w:r>
            <w:r>
              <w:rPr>
                <w:rFonts w:ascii="Times New Roman" w:hAnsi="Times New Roman"/>
                <w:b/>
                <w:bCs/>
                <w:kern w:val="2"/>
                <w:szCs w:val="21"/>
              </w:rPr>
              <w:t>版</w:t>
            </w:r>
          </w:p>
        </w:tc>
        <w:tc>
          <w:tcPr>
            <w:tcW w:w="2736" w:type="dxa"/>
            <w:shd w:val="clear" w:color="auto" w:fill="auto"/>
            <w:tcMar>
              <w:top w:w="28" w:type="dxa"/>
              <w:left w:w="57" w:type="dxa"/>
              <w:bottom w:w="28" w:type="dxa"/>
              <w:right w:w="57" w:type="dxa"/>
            </w:tcMar>
            <w:vAlign w:val="bottom"/>
          </w:tcPr>
          <w:p w14:paraId="6D1409CB">
            <w:pPr>
              <w:snapToGrid w:val="0"/>
              <w:spacing w:line="360" w:lineRule="auto"/>
              <w:rPr>
                <w:rFonts w:ascii="Times New Roman" w:hAnsi="Times New Roman"/>
                <w:b/>
                <w:bCs/>
                <w:kern w:val="2"/>
                <w:sz w:val="16"/>
                <w:szCs w:val="16"/>
              </w:rPr>
            </w:pPr>
            <w:r>
              <w:rPr>
                <w:rFonts w:ascii="Times New Roman" w:hAnsi="Times New Roman"/>
                <w:b/>
                <w:bCs/>
                <w:kern w:val="2"/>
                <w:sz w:val="22"/>
                <w:szCs w:val="16"/>
              </w:rPr>
              <w:t>立法</w:t>
            </w:r>
          </w:p>
        </w:tc>
        <w:tc>
          <w:tcPr>
            <w:tcW w:w="3686" w:type="dxa"/>
            <w:shd w:val="clear" w:color="auto" w:fill="auto"/>
            <w:tcMar>
              <w:top w:w="28" w:type="dxa"/>
              <w:left w:w="57" w:type="dxa"/>
              <w:bottom w:w="28" w:type="dxa"/>
              <w:right w:w="57" w:type="dxa"/>
            </w:tcMar>
          </w:tcPr>
          <w:p w14:paraId="723FCF6C">
            <w:pPr>
              <w:snapToGrid w:val="0"/>
              <w:spacing w:line="360" w:lineRule="auto"/>
              <w:ind w:left="128" w:leftChars="61" w:firstLine="2390" w:firstLineChars="541"/>
              <w:rPr>
                <w:rFonts w:ascii="Times New Roman" w:hAnsi="Times New Roman"/>
                <w:b/>
                <w:kern w:val="2"/>
                <w:sz w:val="44"/>
              </w:rPr>
            </w:pPr>
            <w:r>
              <w:rPr>
                <w:rFonts w:ascii="Times New Roman" w:hAnsi="Times New Roman"/>
                <w:b/>
                <w:kern w:val="2"/>
                <w:sz w:val="44"/>
              </w:rPr>
              <w:t>L117</w:t>
            </w:r>
          </w:p>
          <w:p w14:paraId="13D2D8DF">
            <w:pPr>
              <w:snapToGrid w:val="0"/>
              <w:spacing w:line="360" w:lineRule="auto"/>
              <w:ind w:left="128"/>
              <w:rPr>
                <w:rFonts w:ascii="Times New Roman" w:hAnsi="Times New Roman"/>
                <w:b/>
                <w:kern w:val="2"/>
                <w:sz w:val="23"/>
              </w:rPr>
            </w:pPr>
          </w:p>
          <w:p w14:paraId="52F57F45">
            <w:pPr>
              <w:snapToGrid w:val="0"/>
              <w:spacing w:line="360" w:lineRule="auto"/>
              <w:rPr>
                <w:rFonts w:ascii="Times New Roman" w:hAnsi="Times New Roman"/>
                <w:b/>
                <w:bCs/>
                <w:kern w:val="2"/>
              </w:rPr>
            </w:pPr>
          </w:p>
          <w:p w14:paraId="7B699476">
            <w:pPr>
              <w:snapToGrid w:val="0"/>
              <w:spacing w:line="360" w:lineRule="auto"/>
              <w:ind w:left="128"/>
              <w:rPr>
                <w:rFonts w:ascii="Times New Roman" w:hAnsi="Times New Roman"/>
                <w:kern w:val="2"/>
                <w:sz w:val="23"/>
                <w:szCs w:val="23"/>
              </w:rPr>
            </w:pPr>
          </w:p>
          <w:p w14:paraId="3A3FDC0F">
            <w:pPr>
              <w:snapToGrid w:val="0"/>
              <w:spacing w:line="360" w:lineRule="auto"/>
              <w:ind w:left="128"/>
              <w:rPr>
                <w:rFonts w:ascii="Times New Roman" w:hAnsi="Times New Roman"/>
                <w:b/>
                <w:kern w:val="2"/>
                <w:sz w:val="23"/>
                <w:szCs w:val="23"/>
              </w:rPr>
            </w:pPr>
            <w:r>
              <w:rPr>
                <w:rFonts w:ascii="Times New Roman" w:hAnsi="Times New Roman"/>
                <w:b/>
                <w:kern w:val="2"/>
                <w:sz w:val="23"/>
                <w:szCs w:val="23"/>
              </w:rPr>
              <w:t>第60卷</w:t>
            </w:r>
          </w:p>
          <w:p w14:paraId="49A088B0">
            <w:pPr>
              <w:snapToGrid w:val="0"/>
              <w:spacing w:line="360" w:lineRule="auto"/>
              <w:rPr>
                <w:rFonts w:ascii="Times New Roman" w:hAnsi="Times New Roman"/>
                <w:b/>
                <w:bCs/>
                <w:kern w:val="2"/>
                <w:sz w:val="16"/>
                <w:szCs w:val="16"/>
              </w:rPr>
            </w:pPr>
            <w:r>
              <w:rPr>
                <w:rFonts w:ascii="Times New Roman" w:hAnsi="Times New Roman"/>
                <w:b/>
                <w:bCs/>
                <w:kern w:val="2"/>
              </w:rPr>
              <w:t>2017年5月5日</w:t>
            </w:r>
          </w:p>
        </w:tc>
      </w:tr>
    </w:tbl>
    <w:p w14:paraId="20960478">
      <w:pPr>
        <w:snapToGrid w:val="0"/>
        <w:spacing w:line="360" w:lineRule="auto"/>
        <w:rPr>
          <w:rFonts w:ascii="Times New Roman" w:hAnsi="Times New Roman"/>
          <w:b/>
          <w:bCs/>
          <w:kern w:val="2"/>
          <w:szCs w:val="21"/>
          <w:u w:val="thick"/>
        </w:rPr>
      </w:pPr>
    </w:p>
    <w:tbl>
      <w:tblPr>
        <w:tblStyle w:val="15"/>
        <w:tblW w:w="0" w:type="auto"/>
        <w:tblInd w:w="0" w:type="dxa"/>
        <w:tblLayout w:type="autofit"/>
        <w:tblCellMar>
          <w:top w:w="0" w:type="dxa"/>
          <w:left w:w="108" w:type="dxa"/>
          <w:bottom w:w="0" w:type="dxa"/>
          <w:right w:w="108" w:type="dxa"/>
        </w:tblCellMar>
      </w:tblPr>
      <w:tblGrid>
        <w:gridCol w:w="8484"/>
      </w:tblGrid>
      <w:tr w14:paraId="515C7041">
        <w:tblPrEx>
          <w:tblCellMar>
            <w:top w:w="0" w:type="dxa"/>
            <w:left w:w="108" w:type="dxa"/>
            <w:bottom w:w="0" w:type="dxa"/>
            <w:right w:w="108" w:type="dxa"/>
          </w:tblCellMar>
        </w:tblPrEx>
        <w:trPr>
          <w:trHeight w:val="5039" w:hRule="atLeast"/>
        </w:trPr>
        <w:tc>
          <w:tcPr>
            <w:tcW w:w="8484" w:type="dxa"/>
            <w:shd w:val="clear" w:color="auto" w:fill="auto"/>
          </w:tcPr>
          <w:p w14:paraId="15B373E1">
            <w:pPr>
              <w:snapToGrid w:val="0"/>
              <w:spacing w:beforeLines="25" w:line="300" w:lineRule="auto"/>
              <w:jc w:val="left"/>
              <w:rPr>
                <w:rFonts w:ascii="Times New Roman" w:hAnsi="Times New Roman"/>
                <w:b/>
                <w:kern w:val="2"/>
                <w:szCs w:val="21"/>
                <w:u w:val="thick"/>
              </w:rPr>
            </w:pPr>
          </w:p>
          <w:p w14:paraId="15E5565F">
            <w:pPr>
              <w:snapToGrid w:val="0"/>
              <w:spacing w:beforeLines="25" w:line="300" w:lineRule="auto"/>
              <w:jc w:val="left"/>
              <w:rPr>
                <w:rFonts w:ascii="Times New Roman" w:hAnsi="Times New Roman"/>
                <w:b/>
                <w:kern w:val="2"/>
                <w:szCs w:val="21"/>
              </w:rPr>
            </w:pPr>
            <w:r>
              <w:rPr>
                <w:rFonts w:ascii="Times New Roman" w:hAnsi="Times New Roman"/>
                <w:b/>
                <w:kern w:val="2"/>
                <w:szCs w:val="21"/>
              </w:rPr>
              <w:t>内容</w:t>
            </w:r>
          </w:p>
          <w:p w14:paraId="2CB0F34C">
            <w:pPr>
              <w:snapToGrid w:val="0"/>
              <w:spacing w:beforeLines="25" w:line="300" w:lineRule="auto"/>
              <w:jc w:val="left"/>
              <w:rPr>
                <w:rFonts w:ascii="Times New Roman" w:hAnsi="Times New Roman"/>
                <w:b/>
                <w:kern w:val="2"/>
                <w:szCs w:val="21"/>
              </w:rPr>
            </w:pPr>
            <w:r>
              <w:rPr>
                <w:rFonts w:ascii="Times New Roman" w:hAnsi="Times New Roman"/>
                <w:b/>
                <w:kern w:val="2"/>
                <w:szCs w:val="21"/>
              </w:rPr>
              <w:t xml:space="preserve">           I 立法法案</w:t>
            </w:r>
          </w:p>
          <w:p w14:paraId="2EFF7D31">
            <w:pPr>
              <w:snapToGrid w:val="0"/>
              <w:spacing w:beforeLines="25" w:line="300" w:lineRule="auto"/>
              <w:ind w:firstLine="1136" w:firstLineChars="539"/>
              <w:rPr>
                <w:rFonts w:ascii="Times New Roman" w:hAnsi="Times New Roman"/>
                <w:b/>
                <w:kern w:val="2"/>
                <w:szCs w:val="21"/>
              </w:rPr>
            </w:pPr>
            <w:r>
              <w:rPr>
                <w:rFonts w:ascii="Times New Roman" w:hAnsi="Times New Roman"/>
                <w:b/>
                <w:kern w:val="2"/>
                <w:szCs w:val="21"/>
              </w:rPr>
              <w:t>法规</w:t>
            </w:r>
          </w:p>
          <w:p w14:paraId="6A0C5ADF">
            <w:pPr>
              <w:snapToGrid w:val="0"/>
              <w:spacing w:beforeLines="25" w:line="300" w:lineRule="auto"/>
              <w:ind w:left="1287" w:leftChars="510" w:hanging="216" w:hangingChars="98"/>
              <w:rPr>
                <w:rFonts w:ascii="Times New Roman" w:hAnsi="Times New Roman"/>
                <w:b/>
                <w:kern w:val="2"/>
                <w:szCs w:val="21"/>
              </w:rPr>
            </w:pPr>
            <w:r>
              <w:rPr>
                <w:rFonts w:hint="eastAsia" w:ascii="宋体" w:hAnsi="宋体" w:cs="宋体"/>
                <w:b/>
                <w:kern w:val="2"/>
                <w:sz w:val="22"/>
                <w:szCs w:val="21"/>
                <w:vertAlign w:val="superscript"/>
              </w:rPr>
              <w:t>★</w:t>
            </w:r>
            <w:r>
              <w:rPr>
                <w:rFonts w:ascii="Times New Roman" w:hAnsi="Times New Roman"/>
                <w:b/>
                <w:kern w:val="2"/>
                <w:szCs w:val="21"/>
              </w:rPr>
              <w:t>欧洲议会和理事会于2017年4月5日签发的关于医疗器械第2017/745号法规，修订了第2001/83/EC号指令</w:t>
            </w:r>
            <w:r>
              <w:rPr>
                <w:rFonts w:hint="eastAsia" w:ascii="Times New Roman" w:hAnsi="Times New Roman"/>
                <w:b/>
                <w:kern w:val="2"/>
                <w:szCs w:val="21"/>
              </w:rPr>
              <w:t>，</w:t>
            </w:r>
            <w:r>
              <w:rPr>
                <w:rFonts w:ascii="Times New Roman" w:hAnsi="Times New Roman"/>
                <w:b/>
                <w:kern w:val="2"/>
                <w:szCs w:val="21"/>
              </w:rPr>
              <w:t>第178/2002号（EU）法规和第1223/2009号（EU）法规，并废除了</w:t>
            </w:r>
            <w:r>
              <w:rPr>
                <w:rFonts w:hint="eastAsia" w:ascii="Times New Roman" w:hAnsi="Times New Roman"/>
                <w:b/>
                <w:kern w:val="2"/>
                <w:szCs w:val="21"/>
              </w:rPr>
              <w:t>理事会</w:t>
            </w:r>
            <w:r>
              <w:rPr>
                <w:rFonts w:ascii="Times New Roman" w:hAnsi="Times New Roman"/>
                <w:b/>
                <w:kern w:val="2"/>
                <w:szCs w:val="21"/>
              </w:rPr>
              <w:t>第90/385/EEC号和第93/42/EEC号指令</w:t>
            </w:r>
            <w:r>
              <w:rPr>
                <w:rFonts w:ascii="Times New Roman" w:hAnsi="Times New Roman"/>
                <w:kern w:val="2"/>
                <w:szCs w:val="21"/>
              </w:rPr>
              <w:t>（</w:t>
            </w:r>
            <w:r>
              <w:rPr>
                <w:rFonts w:ascii="Times New Roman" w:hAnsi="Times New Roman"/>
                <w:kern w:val="2"/>
                <w:szCs w:val="21"/>
                <w:vertAlign w:val="superscript"/>
              </w:rPr>
              <w:t>1</w:t>
            </w:r>
            <w:r>
              <w:rPr>
                <w:rFonts w:ascii="Times New Roman" w:hAnsi="Times New Roman"/>
                <w:kern w:val="2"/>
                <w:szCs w:val="21"/>
              </w:rPr>
              <w:t>）</w:t>
            </w:r>
            <w:r>
              <w:rPr>
                <w:rFonts w:ascii="Times New Roman" w:hAnsi="Times New Roman"/>
                <w:b/>
                <w:kern w:val="2"/>
                <w:szCs w:val="21"/>
              </w:rPr>
              <w:t>·</w:t>
            </w:r>
            <w:r>
              <w:rPr>
                <w:rFonts w:ascii="Times New Roman" w:hAnsi="Times New Roman"/>
                <w:kern w:val="2"/>
                <w:szCs w:val="21"/>
              </w:rPr>
              <w:t>·······················································1</w:t>
            </w:r>
          </w:p>
          <w:p w14:paraId="1BBDADB0">
            <w:pPr>
              <w:snapToGrid w:val="0"/>
              <w:spacing w:beforeLines="25" w:line="300" w:lineRule="auto"/>
              <w:ind w:left="1276" w:leftChars="505" w:hanging="216" w:hangingChars="98"/>
              <w:rPr>
                <w:rFonts w:ascii="Times New Roman" w:hAnsi="Times New Roman"/>
                <w:b/>
                <w:kern w:val="2"/>
                <w:szCs w:val="21"/>
              </w:rPr>
            </w:pPr>
            <w:r>
              <w:rPr>
                <w:rFonts w:hint="eastAsia" w:ascii="宋体" w:hAnsi="宋体" w:cs="宋体"/>
                <w:b/>
                <w:kern w:val="2"/>
                <w:sz w:val="22"/>
                <w:szCs w:val="21"/>
                <w:vertAlign w:val="superscript"/>
              </w:rPr>
              <w:t>★</w:t>
            </w:r>
            <w:r>
              <w:rPr>
                <w:rFonts w:ascii="Times New Roman" w:hAnsi="Times New Roman"/>
                <w:b/>
                <w:kern w:val="2"/>
                <w:szCs w:val="21"/>
              </w:rPr>
              <w:t>欧洲议会和理事会于2017年4月5日签发的关于体外诊断医疗器械第2017/746号（EU）法规并废除了第98/79/EC号指令和</w:t>
            </w:r>
            <w:r>
              <w:rPr>
                <w:rFonts w:hint="eastAsia" w:ascii="Times New Roman" w:hAnsi="Times New Roman"/>
                <w:b/>
                <w:kern w:val="2"/>
                <w:szCs w:val="21"/>
              </w:rPr>
              <w:t>理事会</w:t>
            </w:r>
            <w:r>
              <w:rPr>
                <w:rFonts w:ascii="Times New Roman" w:hAnsi="Times New Roman"/>
                <w:b/>
                <w:kern w:val="2"/>
                <w:szCs w:val="21"/>
              </w:rPr>
              <w:t>第2010/227/EU号决议·</w:t>
            </w:r>
            <w:r>
              <w:rPr>
                <w:rFonts w:ascii="Times New Roman" w:hAnsi="Times New Roman"/>
                <w:kern w:val="2"/>
                <w:szCs w:val="21"/>
              </w:rPr>
              <w:t>·····················································176</w:t>
            </w:r>
          </w:p>
          <w:p w14:paraId="78D1D36E">
            <w:pPr>
              <w:snapToGrid w:val="0"/>
              <w:spacing w:beforeLines="25" w:line="300" w:lineRule="auto"/>
              <w:jc w:val="left"/>
              <w:rPr>
                <w:rFonts w:ascii="Times New Roman" w:hAnsi="Times New Roman"/>
                <w:kern w:val="2"/>
                <w:szCs w:val="21"/>
              </w:rPr>
            </w:pPr>
          </w:p>
        </w:tc>
      </w:tr>
    </w:tbl>
    <w:p w14:paraId="2EDAE1E8">
      <w:pPr>
        <w:snapToGrid w:val="0"/>
        <w:spacing w:line="300" w:lineRule="auto"/>
        <w:ind w:left="132"/>
        <w:rPr>
          <w:rFonts w:ascii="Times New Roman" w:hAnsi="Times New Roman"/>
          <w:kern w:val="2"/>
          <w:szCs w:val="21"/>
        </w:rPr>
      </w:pPr>
    </w:p>
    <w:p w14:paraId="2DC30FC7">
      <w:pPr>
        <w:snapToGrid w:val="0"/>
        <w:spacing w:line="360" w:lineRule="auto"/>
        <w:rPr>
          <w:rFonts w:ascii="Times New Roman" w:hAnsi="Times New Roman"/>
          <w:kern w:val="2"/>
          <w:sz w:val="20"/>
          <w:szCs w:val="20"/>
        </w:rPr>
      </w:pPr>
    </w:p>
    <w:p w14:paraId="71776496">
      <w:pPr>
        <w:snapToGrid w:val="0"/>
        <w:spacing w:line="360" w:lineRule="auto"/>
        <w:rPr>
          <w:rFonts w:ascii="Times New Roman" w:hAnsi="Times New Roman"/>
          <w:kern w:val="2"/>
          <w:sz w:val="20"/>
          <w:szCs w:val="20"/>
        </w:rPr>
      </w:pPr>
    </w:p>
    <w:p w14:paraId="58CA83B2">
      <w:pPr>
        <w:snapToGrid w:val="0"/>
        <w:spacing w:line="360" w:lineRule="auto"/>
        <w:rPr>
          <w:rFonts w:ascii="Times New Roman" w:hAnsi="Times New Roman"/>
          <w:kern w:val="2"/>
          <w:sz w:val="20"/>
          <w:szCs w:val="20"/>
        </w:rPr>
      </w:pPr>
    </w:p>
    <w:p w14:paraId="0F5CAFD3">
      <w:pPr>
        <w:snapToGrid w:val="0"/>
        <w:spacing w:line="360" w:lineRule="auto"/>
        <w:rPr>
          <w:rFonts w:ascii="Times New Roman" w:hAnsi="Times New Roman"/>
          <w:kern w:val="2"/>
          <w:sz w:val="20"/>
          <w:szCs w:val="20"/>
        </w:rPr>
      </w:pPr>
    </w:p>
    <w:p w14:paraId="48A91A68">
      <w:pPr>
        <w:snapToGrid w:val="0"/>
        <w:spacing w:line="360" w:lineRule="auto"/>
        <w:rPr>
          <w:rFonts w:ascii="Times New Roman" w:hAnsi="Times New Roman"/>
          <w:kern w:val="2"/>
          <w:sz w:val="20"/>
          <w:szCs w:val="20"/>
        </w:rPr>
      </w:pPr>
    </w:p>
    <w:p w14:paraId="7AE61B20">
      <w:pPr>
        <w:snapToGrid w:val="0"/>
        <w:spacing w:line="360" w:lineRule="auto"/>
        <w:rPr>
          <w:rFonts w:ascii="Times New Roman" w:hAnsi="Times New Roman"/>
          <w:kern w:val="2"/>
          <w:szCs w:val="20"/>
        </w:rPr>
      </w:pPr>
    </w:p>
    <w:p w14:paraId="1A2DF6FA">
      <w:pPr>
        <w:snapToGrid w:val="0"/>
        <w:spacing w:line="360" w:lineRule="auto"/>
        <w:ind w:firstLine="1260" w:firstLineChars="600"/>
        <w:rPr>
          <w:rFonts w:ascii="Times New Roman" w:hAnsi="Times New Roman"/>
          <w:kern w:val="2"/>
          <w:szCs w:val="20"/>
        </w:rPr>
      </w:pPr>
    </w:p>
    <w:p w14:paraId="2FC8897C">
      <w:pPr>
        <w:snapToGrid w:val="0"/>
        <w:spacing w:line="360" w:lineRule="auto"/>
        <w:ind w:firstLine="1260" w:firstLineChars="600"/>
        <w:rPr>
          <w:rFonts w:ascii="Times New Roman" w:hAnsi="Times New Roman"/>
          <w:kern w:val="2"/>
          <w:szCs w:val="20"/>
        </w:rPr>
      </w:pPr>
      <w:r>
        <w:rPr>
          <w:rFonts w:ascii="Times New Roman" w:hAnsi="Times New Roman"/>
          <w:kern w:val="2"/>
          <w:szCs w:val="20"/>
        </w:rPr>
        <w:t>________________</w:t>
      </w:r>
    </w:p>
    <w:p w14:paraId="51347D6F">
      <w:pPr>
        <w:snapToGrid w:val="0"/>
        <w:spacing w:line="360" w:lineRule="auto"/>
        <w:ind w:firstLine="1080" w:firstLineChars="600"/>
        <w:rPr>
          <w:rFonts w:ascii="Times New Roman" w:hAnsi="Times New Roman"/>
          <w:kern w:val="2"/>
          <w:sz w:val="18"/>
          <w:szCs w:val="18"/>
        </w:rPr>
      </w:pPr>
      <w:r>
        <w:rPr>
          <w:rFonts w:hint="eastAsia" w:ascii="Times New Roman" w:hAnsi="Times New Roman"/>
          <w:kern w:val="2"/>
          <w:sz w:val="18"/>
          <w:szCs w:val="18"/>
        </w:rPr>
        <w:t>（</w:t>
      </w:r>
      <w:r>
        <w:rPr>
          <w:rFonts w:ascii="Times New Roman" w:hAnsi="Times New Roman"/>
          <w:kern w:val="2"/>
          <w:sz w:val="18"/>
          <w:szCs w:val="18"/>
          <w:vertAlign w:val="superscript"/>
        </w:rPr>
        <w:t>1</w:t>
      </w:r>
      <w:r>
        <w:rPr>
          <w:rFonts w:hint="eastAsia" w:ascii="Times New Roman" w:hAnsi="Times New Roman"/>
          <w:kern w:val="2"/>
          <w:sz w:val="18"/>
          <w:szCs w:val="18"/>
        </w:rPr>
        <w:t>）</w:t>
      </w:r>
      <w:r>
        <w:rPr>
          <w:rFonts w:ascii="Times New Roman" w:hAnsi="Times New Roman"/>
          <w:kern w:val="2"/>
          <w:sz w:val="18"/>
          <w:szCs w:val="18"/>
        </w:rPr>
        <w:t>EEA</w:t>
      </w:r>
      <w:r>
        <w:rPr>
          <w:rFonts w:hint="eastAsia" w:ascii="Times New Roman" w:hAnsi="Times New Roman"/>
          <w:kern w:val="2"/>
          <w:sz w:val="18"/>
          <w:szCs w:val="18"/>
        </w:rPr>
        <w:t>相关性文本。</w:t>
      </w:r>
    </w:p>
    <w:p w14:paraId="6D8875FE">
      <w:pPr>
        <w:snapToGrid w:val="0"/>
        <w:spacing w:line="360" w:lineRule="auto"/>
        <w:rPr>
          <w:rFonts w:ascii="Times New Roman" w:hAnsi="Times New Roman"/>
          <w:kern w:val="2"/>
          <w:sz w:val="20"/>
          <w:szCs w:val="20"/>
        </w:rPr>
      </w:pPr>
    </w:p>
    <w:tbl>
      <w:tblPr>
        <w:tblStyle w:val="15"/>
        <w:tblW w:w="7797" w:type="dxa"/>
        <w:tblInd w:w="61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7"/>
      </w:tblGrid>
      <w:tr w14:paraId="547EEB1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7797" w:type="dxa"/>
            <w:tcBorders>
              <w:top w:val="single" w:color="auto" w:sz="4" w:space="0"/>
            </w:tcBorders>
            <w:shd w:val="clear" w:color="auto" w:fill="auto"/>
          </w:tcPr>
          <w:p w14:paraId="7B9BF2B7">
            <w:pPr>
              <w:snapToGrid w:val="0"/>
              <w:spacing w:beforeLines="25" w:line="300" w:lineRule="auto"/>
              <w:rPr>
                <w:rFonts w:ascii="Times New Roman" w:hAnsi="Times New Roman"/>
                <w:b/>
                <w:kern w:val="2"/>
                <w:szCs w:val="21"/>
              </w:rPr>
            </w:pPr>
            <w:r>
              <w:rPr>
                <w:rFonts w:ascii="Times New Roman" w:hAnsi="Times New Roman"/>
                <w:b/>
                <w:kern w:val="2"/>
                <w:szCs w:val="21"/>
              </w:rPr>
              <w:t>以浅色字体打印标题的法案均为涉及农业日常管理的法案，一般在有限期内有效。</w:t>
            </w:r>
          </w:p>
          <w:p w14:paraId="4DD197A2">
            <w:pPr>
              <w:snapToGrid w:val="0"/>
              <w:spacing w:beforeLines="25" w:line="300" w:lineRule="auto"/>
              <w:rPr>
                <w:rFonts w:ascii="Times New Roman" w:hAnsi="Times New Roman"/>
                <w:kern w:val="2"/>
                <w:szCs w:val="21"/>
              </w:rPr>
            </w:pPr>
            <w:r>
              <w:rPr>
                <w:rFonts w:ascii="Times New Roman" w:hAnsi="Times New Roman"/>
                <w:b/>
                <w:kern w:val="2"/>
                <w:szCs w:val="21"/>
              </w:rPr>
              <w:t>所有其他法案的标题均以粗体打印，并以星号开头。</w:t>
            </w:r>
          </w:p>
        </w:tc>
      </w:tr>
    </w:tbl>
    <w:p w14:paraId="363A52C8">
      <w:pPr>
        <w:pStyle w:val="3"/>
        <w:spacing w:before="78" w:line="240" w:lineRule="auto"/>
        <w:ind w:right="1"/>
        <w:rPr>
          <w:b/>
          <w:bCs/>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720" w:footer="567" w:gutter="0"/>
          <w:cols w:space="425" w:num="1"/>
          <w:titlePg/>
          <w:docGrid w:type="lines" w:linePitch="312" w:charSpace="0"/>
        </w:sectPr>
      </w:pPr>
    </w:p>
    <w:p w14:paraId="78CB775E">
      <w:pPr>
        <w:pStyle w:val="3"/>
        <w:spacing w:before="78" w:line="240" w:lineRule="auto"/>
        <w:ind w:right="1"/>
        <w:rPr>
          <w:b/>
          <w:i w:val="0"/>
          <w:sz w:val="28"/>
          <w:szCs w:val="28"/>
        </w:rPr>
        <w:sectPr>
          <w:headerReference r:id="rId9" w:type="first"/>
          <w:pgSz w:w="11906" w:h="16838"/>
          <w:pgMar w:top="1440" w:right="1797" w:bottom="1440" w:left="1797" w:header="720" w:footer="567" w:gutter="0"/>
          <w:cols w:space="425" w:num="1"/>
          <w:titlePg/>
          <w:docGrid w:type="lines" w:linePitch="312" w:charSpace="0"/>
        </w:sectPr>
      </w:pPr>
    </w:p>
    <w:p w14:paraId="7F5805B9">
      <w:pPr>
        <w:pStyle w:val="3"/>
        <w:spacing w:before="78" w:line="300" w:lineRule="auto"/>
        <w:ind w:right="1"/>
        <w:rPr>
          <w:b/>
          <w:i w:val="0"/>
          <w:sz w:val="28"/>
          <w:szCs w:val="28"/>
        </w:rPr>
      </w:pPr>
      <w:r>
        <w:rPr>
          <w:rFonts w:hint="eastAsia"/>
          <w:b/>
          <w:i w:val="0"/>
          <w:sz w:val="28"/>
          <w:szCs w:val="28"/>
        </w:rPr>
        <w:t>I</w:t>
      </w:r>
    </w:p>
    <w:p w14:paraId="1964B7C3">
      <w:pPr>
        <w:pStyle w:val="3"/>
        <w:spacing w:before="78" w:line="300" w:lineRule="auto"/>
        <w:ind w:right="1"/>
        <w:rPr>
          <w:b/>
          <w:i w:val="0"/>
          <w:sz w:val="28"/>
          <w:szCs w:val="28"/>
        </w:rPr>
      </w:pPr>
      <w:r>
        <w:rPr>
          <w:rFonts w:hint="eastAsia"/>
          <w:b/>
          <w:i w:val="0"/>
          <w:sz w:val="28"/>
          <w:szCs w:val="28"/>
        </w:rPr>
        <w:t>（立法法案）</w:t>
      </w:r>
    </w:p>
    <w:p w14:paraId="6B35414D">
      <w:pPr>
        <w:pStyle w:val="3"/>
        <w:spacing w:before="78" w:line="300" w:lineRule="auto"/>
        <w:ind w:right="1"/>
        <w:rPr>
          <w:b/>
          <w:i w:val="0"/>
          <w:sz w:val="28"/>
          <w:szCs w:val="28"/>
        </w:rPr>
      </w:pPr>
      <w:r>
        <w:rPr>
          <w:rFonts w:hint="eastAsia"/>
          <w:b/>
          <w:i w:val="0"/>
          <w:sz w:val="28"/>
          <w:szCs w:val="28"/>
        </w:rPr>
        <w:t>法规</w:t>
      </w:r>
    </w:p>
    <w:p w14:paraId="1297429D">
      <w:pPr>
        <w:pStyle w:val="3"/>
        <w:spacing w:before="78" w:line="300" w:lineRule="auto"/>
        <w:ind w:right="1"/>
        <w:rPr>
          <w:sz w:val="28"/>
          <w:szCs w:val="28"/>
        </w:rPr>
      </w:pPr>
      <w:r>
        <w:rPr>
          <w:b/>
          <w:i w:val="0"/>
          <w:sz w:val="28"/>
          <w:szCs w:val="28"/>
        </w:rPr>
        <w:t>欧洲议会和理事会</w:t>
      </w:r>
      <w:r>
        <w:rPr>
          <w:rFonts w:hint="eastAsia"/>
          <w:b/>
          <w:i w:val="0"/>
          <w:sz w:val="28"/>
          <w:szCs w:val="28"/>
        </w:rPr>
        <w:t>于2017年4月5日签发的</w:t>
      </w:r>
      <w:r>
        <w:rPr>
          <w:b/>
          <w:i w:val="0"/>
          <w:sz w:val="28"/>
          <w:szCs w:val="28"/>
        </w:rPr>
        <w:t>关于医疗器械第2017/</w:t>
      </w:r>
      <w:r>
        <w:rPr>
          <w:rFonts w:hint="eastAsia"/>
          <w:b/>
          <w:i w:val="0"/>
          <w:sz w:val="28"/>
          <w:szCs w:val="28"/>
        </w:rPr>
        <w:t>745</w:t>
      </w:r>
      <w:r>
        <w:rPr>
          <w:b/>
          <w:i w:val="0"/>
          <w:sz w:val="28"/>
          <w:szCs w:val="28"/>
        </w:rPr>
        <w:t>号法规，</w:t>
      </w:r>
      <w:r>
        <w:rPr>
          <w:rFonts w:hint="eastAsia"/>
          <w:b/>
          <w:i w:val="0"/>
          <w:sz w:val="28"/>
          <w:szCs w:val="28"/>
        </w:rPr>
        <w:t>修订了</w:t>
      </w:r>
      <w:r>
        <w:rPr>
          <w:b/>
          <w:i w:val="0"/>
          <w:sz w:val="28"/>
          <w:szCs w:val="28"/>
        </w:rPr>
        <w:t>第2001/83/EC号指令</w:t>
      </w:r>
      <w:r>
        <w:rPr>
          <w:rFonts w:hint="eastAsia"/>
          <w:b/>
          <w:i w:val="0"/>
          <w:sz w:val="28"/>
          <w:szCs w:val="28"/>
        </w:rPr>
        <w:t>，</w:t>
      </w:r>
      <w:r>
        <w:rPr>
          <w:b/>
          <w:i w:val="0"/>
          <w:sz w:val="28"/>
          <w:szCs w:val="28"/>
        </w:rPr>
        <w:t>第178/2002号</w:t>
      </w:r>
      <w:r>
        <w:rPr>
          <w:rFonts w:hint="eastAsia"/>
          <w:b/>
          <w:i w:val="0"/>
          <w:sz w:val="28"/>
          <w:szCs w:val="28"/>
        </w:rPr>
        <w:t>（EU）</w:t>
      </w:r>
      <w:r>
        <w:rPr>
          <w:b/>
          <w:i w:val="0"/>
          <w:sz w:val="28"/>
          <w:szCs w:val="28"/>
        </w:rPr>
        <w:t>法规和</w:t>
      </w:r>
      <w:r>
        <w:rPr>
          <w:rFonts w:hint="eastAsia"/>
          <w:b/>
          <w:i w:val="0"/>
          <w:sz w:val="28"/>
          <w:szCs w:val="28"/>
        </w:rPr>
        <w:t>第</w:t>
      </w:r>
      <w:r>
        <w:rPr>
          <w:b/>
          <w:i w:val="0"/>
          <w:sz w:val="28"/>
          <w:szCs w:val="28"/>
        </w:rPr>
        <w:t>1223/2009号</w:t>
      </w:r>
      <w:r>
        <w:rPr>
          <w:rFonts w:hint="eastAsia"/>
          <w:b/>
          <w:i w:val="0"/>
          <w:sz w:val="28"/>
          <w:szCs w:val="28"/>
        </w:rPr>
        <w:t>（EU）</w:t>
      </w:r>
      <w:r>
        <w:rPr>
          <w:b/>
          <w:i w:val="0"/>
          <w:sz w:val="28"/>
          <w:szCs w:val="28"/>
        </w:rPr>
        <w:t>法规</w:t>
      </w:r>
      <w:r>
        <w:rPr>
          <w:rFonts w:hint="eastAsia"/>
          <w:b/>
          <w:i w:val="0"/>
          <w:sz w:val="28"/>
          <w:szCs w:val="28"/>
        </w:rPr>
        <w:t>，并</w:t>
      </w:r>
      <w:r>
        <w:rPr>
          <w:b/>
          <w:i w:val="0"/>
          <w:sz w:val="28"/>
          <w:szCs w:val="28"/>
        </w:rPr>
        <w:t>废除</w:t>
      </w:r>
      <w:r>
        <w:rPr>
          <w:rFonts w:hint="eastAsia"/>
          <w:b/>
          <w:i w:val="0"/>
          <w:sz w:val="28"/>
          <w:szCs w:val="28"/>
        </w:rPr>
        <w:t>了理事会</w:t>
      </w:r>
      <w:r>
        <w:rPr>
          <w:b/>
          <w:i w:val="0"/>
          <w:sz w:val="28"/>
          <w:szCs w:val="28"/>
        </w:rPr>
        <w:t>第90/385/EEC</w:t>
      </w:r>
      <w:r>
        <w:rPr>
          <w:rFonts w:hint="eastAsia"/>
          <w:b/>
          <w:i w:val="0"/>
          <w:sz w:val="28"/>
          <w:szCs w:val="28"/>
        </w:rPr>
        <w:t>号</w:t>
      </w:r>
      <w:r>
        <w:rPr>
          <w:b/>
          <w:i w:val="0"/>
          <w:sz w:val="28"/>
          <w:szCs w:val="28"/>
        </w:rPr>
        <w:t>和</w:t>
      </w:r>
      <w:r>
        <w:rPr>
          <w:rFonts w:hint="eastAsia"/>
          <w:b/>
          <w:i w:val="0"/>
          <w:sz w:val="28"/>
          <w:szCs w:val="28"/>
        </w:rPr>
        <w:t>第</w:t>
      </w:r>
      <w:r>
        <w:rPr>
          <w:b/>
          <w:i w:val="0"/>
          <w:sz w:val="28"/>
          <w:szCs w:val="28"/>
        </w:rPr>
        <w:t>93/42/EEC</w:t>
      </w:r>
      <w:r>
        <w:rPr>
          <w:rFonts w:hint="eastAsia"/>
          <w:b/>
          <w:i w:val="0"/>
          <w:sz w:val="28"/>
          <w:szCs w:val="28"/>
        </w:rPr>
        <w:t>号</w:t>
      </w:r>
      <w:r>
        <w:rPr>
          <w:b/>
          <w:i w:val="0"/>
          <w:sz w:val="28"/>
          <w:szCs w:val="28"/>
        </w:rPr>
        <w:t>指令</w:t>
      </w:r>
    </w:p>
    <w:p w14:paraId="30B07FC6">
      <w:pPr>
        <w:snapToGrid w:val="0"/>
        <w:spacing w:beforeLines="25" w:line="300" w:lineRule="auto"/>
        <w:ind w:left="196"/>
        <w:jc w:val="center"/>
        <w:rPr>
          <w:rFonts w:ascii="Times New Roman" w:hAnsi="Times New Roman"/>
          <w:sz w:val="28"/>
          <w:szCs w:val="28"/>
        </w:rPr>
      </w:pPr>
      <w:r>
        <w:rPr>
          <w:b/>
          <w:kern w:val="2"/>
          <w:sz w:val="28"/>
          <w:szCs w:val="28"/>
        </w:rPr>
        <w:t>（EEA相关性文本）</w:t>
      </w:r>
    </w:p>
    <w:p w14:paraId="7AFB1524">
      <w:pPr>
        <w:pStyle w:val="8"/>
        <w:snapToGrid w:val="0"/>
        <w:spacing w:beforeLines="25" w:line="300" w:lineRule="auto"/>
        <w:ind w:left="0" w:firstLine="0"/>
        <w:jc w:val="both"/>
        <w:rPr>
          <w:rStyle w:val="50"/>
          <w:rFonts w:ascii="Arial" w:hAnsi="Arial"/>
          <w:szCs w:val="21"/>
          <w:lang w:bidi="ar-SA"/>
        </w:rPr>
      </w:pPr>
      <w:r>
        <w:rPr>
          <w:rStyle w:val="50"/>
          <w:szCs w:val="21"/>
        </w:rPr>
        <w:t>欧洲议会和欧盟委员会，</w:t>
      </w:r>
    </w:p>
    <w:p w14:paraId="4B286B05">
      <w:pPr>
        <w:pStyle w:val="8"/>
        <w:snapToGrid w:val="0"/>
        <w:spacing w:beforeLines="25" w:line="300" w:lineRule="auto"/>
        <w:ind w:left="0" w:firstLine="0"/>
        <w:jc w:val="both"/>
        <w:rPr>
          <w:rStyle w:val="50"/>
          <w:rFonts w:ascii="Arial" w:hAnsi="Arial"/>
          <w:szCs w:val="21"/>
          <w:lang w:bidi="ar-SA"/>
        </w:rPr>
      </w:pPr>
      <w:r>
        <w:rPr>
          <w:rStyle w:val="50"/>
          <w:szCs w:val="21"/>
        </w:rPr>
        <w:t>考虑到</w:t>
      </w:r>
      <w:r>
        <w:rPr>
          <w:rFonts w:hint="eastAsia"/>
          <w:kern w:val="2"/>
          <w:szCs w:val="21"/>
        </w:rPr>
        <w:t>“</w:t>
      </w:r>
      <w:r>
        <w:rPr>
          <w:rStyle w:val="50"/>
          <w:szCs w:val="21"/>
        </w:rPr>
        <w:t>欧盟运作条约</w:t>
      </w:r>
      <w:r>
        <w:rPr>
          <w:rFonts w:hint="eastAsia"/>
          <w:kern w:val="2"/>
          <w:szCs w:val="21"/>
        </w:rPr>
        <w:t>”</w:t>
      </w:r>
      <w:r>
        <w:rPr>
          <w:rStyle w:val="50"/>
          <w:szCs w:val="21"/>
        </w:rPr>
        <w:t>，特别是其中第</w:t>
      </w:r>
      <w:r>
        <w:rPr>
          <w:kern w:val="2"/>
          <w:szCs w:val="21"/>
        </w:rPr>
        <w:t>114</w:t>
      </w:r>
      <w:r>
        <w:rPr>
          <w:rStyle w:val="50"/>
          <w:szCs w:val="21"/>
        </w:rPr>
        <w:t>条和第</w:t>
      </w:r>
      <w:r>
        <w:rPr>
          <w:kern w:val="2"/>
          <w:szCs w:val="21"/>
        </w:rPr>
        <w:t>168</w:t>
      </w:r>
      <w:r>
        <w:rPr>
          <w:rStyle w:val="50"/>
          <w:szCs w:val="21"/>
        </w:rPr>
        <w:t>（</w:t>
      </w:r>
      <w:r>
        <w:rPr>
          <w:kern w:val="2"/>
          <w:szCs w:val="21"/>
        </w:rPr>
        <w:t>4</w:t>
      </w:r>
      <w:r>
        <w:rPr>
          <w:rStyle w:val="50"/>
          <w:szCs w:val="21"/>
        </w:rPr>
        <w:t>）（</w:t>
      </w:r>
      <w:r>
        <w:rPr>
          <w:kern w:val="2"/>
          <w:szCs w:val="21"/>
        </w:rPr>
        <w:t>c</w:t>
      </w:r>
      <w:r>
        <w:rPr>
          <w:rStyle w:val="50"/>
          <w:szCs w:val="21"/>
        </w:rPr>
        <w:t>）条规定，</w:t>
      </w:r>
    </w:p>
    <w:p w14:paraId="4C4C1C58">
      <w:pPr>
        <w:pStyle w:val="8"/>
        <w:snapToGrid w:val="0"/>
        <w:spacing w:beforeLines="25" w:line="300" w:lineRule="auto"/>
        <w:ind w:left="0" w:firstLine="0"/>
        <w:jc w:val="both"/>
        <w:rPr>
          <w:rStyle w:val="50"/>
          <w:rFonts w:ascii="Arial" w:hAnsi="Arial"/>
          <w:szCs w:val="21"/>
          <w:lang w:bidi="ar-SA"/>
        </w:rPr>
      </w:pPr>
      <w:r>
        <w:rPr>
          <w:rStyle w:val="50"/>
          <w:szCs w:val="21"/>
        </w:rPr>
        <w:t>并考虑到欧盟委员会提案，</w:t>
      </w:r>
    </w:p>
    <w:p w14:paraId="13F4FF69">
      <w:pPr>
        <w:pStyle w:val="8"/>
        <w:snapToGrid w:val="0"/>
        <w:spacing w:beforeLines="25" w:line="300" w:lineRule="auto"/>
        <w:ind w:left="0" w:firstLine="0"/>
        <w:jc w:val="both"/>
        <w:rPr>
          <w:rStyle w:val="50"/>
          <w:rFonts w:ascii="Arial" w:hAnsi="Arial"/>
          <w:szCs w:val="21"/>
          <w:lang w:bidi="ar-SA"/>
        </w:rPr>
      </w:pPr>
      <w:r>
        <w:rPr>
          <w:rStyle w:val="50"/>
          <w:szCs w:val="21"/>
        </w:rPr>
        <w:t>于立法草案转交各国议会后，</w:t>
      </w:r>
    </w:p>
    <w:p w14:paraId="08AD731F">
      <w:pPr>
        <w:pStyle w:val="8"/>
        <w:snapToGrid w:val="0"/>
        <w:spacing w:beforeLines="25" w:line="300" w:lineRule="auto"/>
        <w:ind w:left="0" w:firstLine="0"/>
        <w:jc w:val="both"/>
        <w:rPr>
          <w:rStyle w:val="50"/>
          <w:rFonts w:ascii="Arial" w:hAnsi="Arial"/>
          <w:szCs w:val="21"/>
          <w:lang w:bidi="ar-SA"/>
        </w:rPr>
      </w:pPr>
      <w:r>
        <w:rPr>
          <w:rStyle w:val="50"/>
          <w:szCs w:val="21"/>
        </w:rPr>
        <w:t>考虑到欧洲经济和社会委员会之意见</w:t>
      </w:r>
      <w:r>
        <w:rPr>
          <w:rStyle w:val="50"/>
          <w:rFonts w:hint="eastAsia"/>
          <w:szCs w:val="21"/>
        </w:rPr>
        <w:t>（</w:t>
      </w:r>
      <w:r>
        <w:rPr>
          <w:b/>
          <w:kern w:val="2"/>
          <w:szCs w:val="21"/>
          <w:vertAlign w:val="superscript"/>
        </w:rPr>
        <w:t>1</w:t>
      </w:r>
      <w:r>
        <w:rPr>
          <w:rStyle w:val="50"/>
          <w:rFonts w:hint="eastAsia"/>
          <w:szCs w:val="21"/>
        </w:rPr>
        <w:t>）</w:t>
      </w:r>
      <w:r>
        <w:rPr>
          <w:rStyle w:val="50"/>
          <w:szCs w:val="21"/>
        </w:rPr>
        <w:t>，</w:t>
      </w:r>
    </w:p>
    <w:p w14:paraId="206936AB">
      <w:pPr>
        <w:pStyle w:val="8"/>
        <w:snapToGrid w:val="0"/>
        <w:spacing w:beforeLines="25" w:line="300" w:lineRule="auto"/>
        <w:ind w:left="0" w:firstLine="0"/>
        <w:jc w:val="both"/>
        <w:rPr>
          <w:rStyle w:val="50"/>
          <w:rFonts w:ascii="Arial" w:hAnsi="Arial"/>
          <w:szCs w:val="21"/>
          <w:lang w:bidi="ar-SA"/>
        </w:rPr>
      </w:pPr>
      <w:r>
        <w:rPr>
          <w:rStyle w:val="50"/>
          <w:szCs w:val="21"/>
        </w:rPr>
        <w:t>在咨询地区委员之后，</w:t>
      </w:r>
    </w:p>
    <w:p w14:paraId="67016764">
      <w:pPr>
        <w:snapToGrid w:val="0"/>
        <w:spacing w:beforeLines="25" w:line="300" w:lineRule="auto"/>
        <w:rPr>
          <w:rFonts w:ascii="Times New Roman" w:hAnsi="Times New Roman"/>
          <w:kern w:val="2"/>
          <w:szCs w:val="21"/>
        </w:rPr>
      </w:pPr>
      <w:r>
        <w:rPr>
          <w:rStyle w:val="50"/>
          <w:szCs w:val="21"/>
        </w:rPr>
        <w:t>根据一般立法程序运作</w:t>
      </w:r>
      <w:r>
        <w:rPr>
          <w:rStyle w:val="50"/>
          <w:rFonts w:hint="eastAsia"/>
          <w:szCs w:val="21"/>
        </w:rPr>
        <w:t>（</w:t>
      </w:r>
      <w:r>
        <w:rPr>
          <w:b/>
          <w:kern w:val="2"/>
          <w:szCs w:val="21"/>
          <w:vertAlign w:val="superscript"/>
        </w:rPr>
        <w:t>2</w:t>
      </w:r>
      <w:r>
        <w:rPr>
          <w:rStyle w:val="50"/>
          <w:rFonts w:hint="eastAsia"/>
          <w:szCs w:val="21"/>
        </w:rPr>
        <w:t>），</w:t>
      </w:r>
    </w:p>
    <w:p w14:paraId="1A2307B1">
      <w:pPr>
        <w:pStyle w:val="8"/>
        <w:snapToGrid w:val="0"/>
        <w:spacing w:beforeLines="25" w:line="300" w:lineRule="auto"/>
        <w:ind w:left="0" w:firstLine="0"/>
        <w:jc w:val="both"/>
        <w:rPr>
          <w:kern w:val="2"/>
          <w:szCs w:val="21"/>
        </w:rPr>
      </w:pPr>
      <w:r>
        <w:rPr>
          <w:kern w:val="2"/>
          <w:szCs w:val="21"/>
        </w:rPr>
        <w:t>鉴于：</w:t>
      </w:r>
    </w:p>
    <w:p w14:paraId="625AF560">
      <w:pPr>
        <w:pStyle w:val="32"/>
        <w:numPr>
          <w:ilvl w:val="0"/>
          <w:numId w:val="1"/>
        </w:numPr>
        <w:tabs>
          <w:tab w:val="left" w:pos="682"/>
        </w:tabs>
        <w:snapToGrid w:val="0"/>
        <w:spacing w:beforeLines="25" w:line="300" w:lineRule="auto"/>
        <w:jc w:val="both"/>
        <w:rPr>
          <w:rFonts w:ascii="Times New Roman" w:hAnsi="Times New Roman"/>
          <w:kern w:val="2"/>
          <w:szCs w:val="21"/>
        </w:rPr>
      </w:pPr>
      <w:r>
        <w:rPr>
          <w:rFonts w:ascii="Times New Roman" w:hAnsi="Times New Roman"/>
          <w:kern w:val="2"/>
          <w:szCs w:val="21"/>
        </w:rPr>
        <w:t>理事会第90/385/EEC号指令</w:t>
      </w:r>
      <w:r>
        <w:rPr>
          <w:rFonts w:hint="eastAsia" w:ascii="Times New Roman" w:hAnsi="Times New Roman"/>
          <w:kern w:val="2"/>
          <w:szCs w:val="21"/>
        </w:rPr>
        <w:t>（</w:t>
      </w:r>
      <w:r>
        <w:rPr>
          <w:rFonts w:hint="eastAsia" w:ascii="Times New Roman" w:hAnsi="Times New Roman"/>
          <w:b/>
          <w:kern w:val="2"/>
          <w:szCs w:val="21"/>
          <w:vertAlign w:val="superscript"/>
        </w:rPr>
        <w:t>3</w:t>
      </w:r>
      <w:r>
        <w:rPr>
          <w:rFonts w:hint="eastAsia" w:ascii="Times New Roman" w:hAnsi="Times New Roman"/>
          <w:kern w:val="2"/>
          <w:szCs w:val="21"/>
        </w:rPr>
        <w:t>）</w:t>
      </w:r>
      <w:r>
        <w:rPr>
          <w:rFonts w:ascii="Times New Roman" w:hAnsi="Times New Roman"/>
          <w:kern w:val="2"/>
          <w:szCs w:val="21"/>
        </w:rPr>
        <w:t>和理事会第93/42/EEC号指令</w:t>
      </w:r>
      <w:r>
        <w:rPr>
          <w:rFonts w:hint="eastAsia" w:ascii="Times New Roman" w:hAnsi="Times New Roman"/>
          <w:kern w:val="2"/>
          <w:szCs w:val="21"/>
        </w:rPr>
        <w:t>（</w:t>
      </w:r>
      <w:r>
        <w:rPr>
          <w:rFonts w:hint="eastAsia" w:ascii="Times New Roman" w:hAnsi="Times New Roman"/>
          <w:b/>
          <w:kern w:val="2"/>
          <w:szCs w:val="21"/>
          <w:vertAlign w:val="superscript"/>
        </w:rPr>
        <w:t>4</w:t>
      </w:r>
      <w:r>
        <w:rPr>
          <w:rFonts w:hint="eastAsia" w:ascii="Times New Roman" w:hAnsi="Times New Roman"/>
          <w:kern w:val="2"/>
          <w:szCs w:val="21"/>
        </w:rPr>
        <w:t>）</w:t>
      </w:r>
      <w:r>
        <w:rPr>
          <w:rFonts w:ascii="Times New Roman" w:hAnsi="Times New Roman"/>
          <w:kern w:val="2"/>
          <w:szCs w:val="21"/>
        </w:rPr>
        <w:t>构成有关医疗器械（不包括体外诊断医疗器械）的欧盟监管框架。但需要对该指令进行大幅修订，以便建立稳健、透明、可预测和可持续的医疗器械监管框架，以</w:t>
      </w:r>
      <w:r>
        <w:rPr>
          <w:kern w:val="2"/>
          <w:szCs w:val="21"/>
        </w:rPr>
        <w:t>确保高水平的安全和健康</w:t>
      </w:r>
      <w:r>
        <w:rPr>
          <w:rFonts w:ascii="Times New Roman" w:hAnsi="Times New Roman"/>
          <w:kern w:val="2"/>
          <w:szCs w:val="21"/>
        </w:rPr>
        <w:t>，同时为创新提供支持。</w:t>
      </w:r>
    </w:p>
    <w:p w14:paraId="41D5677C">
      <w:pPr>
        <w:pStyle w:val="32"/>
        <w:numPr>
          <w:ilvl w:val="0"/>
          <w:numId w:val="1"/>
        </w:numPr>
        <w:tabs>
          <w:tab w:val="left" w:pos="682"/>
        </w:tabs>
        <w:snapToGrid w:val="0"/>
        <w:spacing w:beforeLines="25" w:line="300" w:lineRule="auto"/>
        <w:jc w:val="both"/>
        <w:rPr>
          <w:szCs w:val="21"/>
        </w:rPr>
      </w:pPr>
      <w:r>
        <w:rPr>
          <w:rFonts w:ascii="Times New Roman" w:hAnsi="Times New Roman"/>
          <w:kern w:val="2"/>
          <w:szCs w:val="21"/>
        </w:rPr>
        <w:t>本法规旨在确保区域内医疗器械市场的平稳运作，在为患者和使用者提供高水平健康保护的基础上，同时考虑到活跃于本行业的中小型企业利益。同时，</w:t>
      </w:r>
      <w:r>
        <w:rPr>
          <w:rFonts w:hint="eastAsia" w:ascii="Times New Roman" w:hAnsi="Times New Roman"/>
          <w:kern w:val="2"/>
          <w:szCs w:val="21"/>
        </w:rPr>
        <w:t>本</w:t>
      </w:r>
      <w:r>
        <w:rPr>
          <w:rFonts w:ascii="Times New Roman" w:hAnsi="Times New Roman"/>
          <w:kern w:val="2"/>
          <w:szCs w:val="21"/>
        </w:rPr>
        <w:t>法规为医疗器械的质量及安全性制定了较高标准，以满足器械产品常见安全问题的管控。这两个目标相辅相成、不可分割地联系在一起，并且在达成过程中没有主次顺序。关于欧盟运作条约（TFEU）第114条，本法规融合了上市销售以及将医疗器械及其附件投入欧盟市场的规则，这些规则可能受益于货物自由流通原则。针对TFEU第168(4)(c)条，本法规通过确保临床研究的数据的可靠性和稳健性，来保障这些器械的质量及安全，并保障参与临床研究受试者的安全。</w:t>
      </w:r>
    </w:p>
    <w:p w14:paraId="21F2EF97">
      <w:pPr>
        <w:snapToGrid w:val="0"/>
        <w:spacing w:beforeLines="25" w:line="300" w:lineRule="auto"/>
        <w:rPr>
          <w:rFonts w:ascii="Times New Roman" w:hAnsi="Times New Roman"/>
          <w:kern w:val="2"/>
          <w:szCs w:val="21"/>
        </w:rPr>
      </w:pPr>
      <w:r>
        <w:rPr>
          <w:rFonts w:ascii="Times New Roman" w:hAnsi="Times New Roman"/>
          <w:kern w:val="2"/>
          <w:szCs w:val="21"/>
        </w:rPr>
        <w:t>_________________</w:t>
      </w:r>
    </w:p>
    <w:p w14:paraId="65EB6DA7">
      <w:pPr>
        <w:snapToGrid w:val="0"/>
        <w:spacing w:line="300" w:lineRule="auto"/>
        <w:ind w:left="500" w:leftChars="85" w:hanging="322" w:hangingChars="179"/>
        <w:rPr>
          <w:rFonts w:ascii="Times New Roman" w:hAnsi="Times New Roman"/>
          <w:kern w:val="2"/>
          <w:sz w:val="18"/>
          <w:szCs w:val="18"/>
          <w:lang w:val="zh-CN" w:bidi="zh-CN"/>
        </w:rPr>
      </w:pPr>
      <w:r>
        <w:rPr>
          <w:rFonts w:hint="eastAsia" w:ascii="Times New Roman" w:hAnsi="Times New Roman"/>
          <w:kern w:val="2"/>
          <w:sz w:val="18"/>
          <w:szCs w:val="18"/>
          <w:lang w:val="zh-CN" w:bidi="zh-CN"/>
        </w:rPr>
        <w:t>（</w:t>
      </w:r>
      <w:r>
        <w:rPr>
          <w:rFonts w:hint="eastAsia" w:ascii="Times New Roman" w:hAnsi="Times New Roman"/>
          <w:kern w:val="2"/>
          <w:sz w:val="18"/>
          <w:szCs w:val="18"/>
          <w:vertAlign w:val="superscript"/>
          <w:lang w:val="zh-CN" w:bidi="zh-CN"/>
        </w:rPr>
        <w:t>1</w:t>
      </w:r>
      <w:r>
        <w:rPr>
          <w:rFonts w:hint="eastAsia" w:ascii="Times New Roman" w:hAnsi="Times New Roman"/>
          <w:kern w:val="2"/>
          <w:sz w:val="18"/>
          <w:szCs w:val="18"/>
          <w:lang w:val="zh-CN" w:bidi="zh-CN"/>
        </w:rPr>
        <w:t>）2013年2月14日意见（</w:t>
      </w:r>
      <w:r>
        <w:rPr>
          <w:rFonts w:ascii="Times New Roman" w:hAnsi="Times New Roman"/>
          <w:kern w:val="2"/>
          <w:sz w:val="18"/>
          <w:szCs w:val="18"/>
          <w:lang w:val="zh-CN" w:bidi="zh-CN"/>
        </w:rPr>
        <w:t>OJ C 133, 9.5.2013, p. 52</w:t>
      </w:r>
      <w:r>
        <w:rPr>
          <w:rFonts w:hint="eastAsia" w:ascii="Times New Roman" w:hAnsi="Times New Roman"/>
          <w:kern w:val="2"/>
          <w:sz w:val="18"/>
          <w:szCs w:val="18"/>
          <w:lang w:val="zh-CN" w:bidi="zh-CN"/>
        </w:rPr>
        <w:t>）。</w:t>
      </w:r>
    </w:p>
    <w:p w14:paraId="1A026204">
      <w:pPr>
        <w:pStyle w:val="8"/>
        <w:tabs>
          <w:tab w:val="left" w:pos="360"/>
        </w:tabs>
        <w:topLinePunct/>
        <w:snapToGrid w:val="0"/>
        <w:spacing w:before="0" w:line="300" w:lineRule="auto"/>
        <w:ind w:left="500" w:leftChars="85" w:hanging="322" w:hangingChars="179"/>
        <w:jc w:val="both"/>
        <w:rPr>
          <w:kern w:val="2"/>
          <w:sz w:val="18"/>
          <w:szCs w:val="18"/>
        </w:rPr>
      </w:pPr>
      <w:r>
        <w:rPr>
          <w:rFonts w:hint="eastAsia"/>
          <w:kern w:val="2"/>
          <w:sz w:val="18"/>
          <w:szCs w:val="18"/>
        </w:rPr>
        <w:t>（</w:t>
      </w:r>
      <w:r>
        <w:rPr>
          <w:rFonts w:hint="eastAsia"/>
          <w:kern w:val="2"/>
          <w:sz w:val="18"/>
          <w:szCs w:val="18"/>
          <w:vertAlign w:val="superscript"/>
        </w:rPr>
        <w:t>2</w:t>
      </w:r>
      <w:r>
        <w:rPr>
          <w:rFonts w:hint="eastAsia"/>
          <w:kern w:val="2"/>
          <w:sz w:val="18"/>
          <w:szCs w:val="18"/>
        </w:rPr>
        <w:t>）2014年4月2日的</w:t>
      </w:r>
      <w:r>
        <w:rPr>
          <w:kern w:val="2"/>
          <w:sz w:val="18"/>
          <w:szCs w:val="18"/>
        </w:rPr>
        <w:t>欧洲议会</w:t>
      </w:r>
      <w:r>
        <w:rPr>
          <w:rFonts w:hint="eastAsia"/>
          <w:kern w:val="2"/>
          <w:sz w:val="18"/>
          <w:szCs w:val="18"/>
        </w:rPr>
        <w:t>立场（尚未在官方公告内公布）以及2017年3月7日首次审阅时理事会的立场（尚未在官方公告内公布）</w:t>
      </w:r>
      <w:r>
        <w:rPr>
          <w:kern w:val="2"/>
          <w:sz w:val="18"/>
          <w:szCs w:val="18"/>
        </w:rPr>
        <w:t>。</w:t>
      </w:r>
    </w:p>
    <w:p w14:paraId="2BE3FAA8">
      <w:pPr>
        <w:pStyle w:val="40"/>
        <w:spacing w:before="0"/>
        <w:ind w:left="500" w:leftChars="85" w:hanging="322" w:hangingChars="179"/>
        <w:rPr>
          <w:szCs w:val="18"/>
        </w:rPr>
      </w:pPr>
      <w:r>
        <w:rPr>
          <w:rFonts w:hint="eastAsia"/>
          <w:szCs w:val="18"/>
        </w:rPr>
        <w:t>（</w:t>
      </w:r>
      <w:r>
        <w:rPr>
          <w:rFonts w:hint="eastAsia"/>
          <w:szCs w:val="18"/>
          <w:vertAlign w:val="superscript"/>
        </w:rPr>
        <w:t>3</w:t>
      </w:r>
      <w:r>
        <w:rPr>
          <w:rFonts w:hint="eastAsia"/>
          <w:szCs w:val="18"/>
        </w:rPr>
        <w:t>）1990年6月20日签发的关于成员国有关可植入医疗器械法律的理事会第90/38/EEC号指令（</w:t>
      </w:r>
      <w:r>
        <w:rPr>
          <w:szCs w:val="18"/>
        </w:rPr>
        <w:t>OJ L 331, 7.12.1998, p.1</w:t>
      </w:r>
      <w:r>
        <w:rPr>
          <w:rFonts w:hint="eastAsia"/>
          <w:szCs w:val="18"/>
        </w:rPr>
        <w:t>）。</w:t>
      </w:r>
    </w:p>
    <w:p w14:paraId="217FE6CA">
      <w:pPr>
        <w:pStyle w:val="40"/>
        <w:spacing w:before="0"/>
        <w:ind w:left="500" w:leftChars="85" w:hanging="322" w:hangingChars="179"/>
        <w:rPr>
          <w:szCs w:val="18"/>
        </w:rPr>
      </w:pPr>
      <w:r>
        <w:rPr>
          <w:rFonts w:hint="eastAsia"/>
          <w:szCs w:val="18"/>
        </w:rPr>
        <w:t>（</w:t>
      </w:r>
      <w:r>
        <w:rPr>
          <w:rFonts w:hint="eastAsia"/>
          <w:szCs w:val="18"/>
          <w:vertAlign w:val="superscript"/>
        </w:rPr>
        <w:t>4</w:t>
      </w:r>
      <w:r>
        <w:rPr>
          <w:rFonts w:hint="eastAsia"/>
          <w:szCs w:val="18"/>
        </w:rPr>
        <w:t>）1993年6月14日签发的关于医疗器械的理事会第93/42 EEC号指令（OJ L 169，12.7.1993，</w:t>
      </w:r>
      <w:r>
        <w:rPr>
          <w:szCs w:val="18"/>
        </w:rPr>
        <w:t>p. 1</w:t>
      </w:r>
      <w:r>
        <w:rPr>
          <w:rFonts w:hint="eastAsia"/>
          <w:szCs w:val="18"/>
        </w:rPr>
        <w:t>）。</w:t>
      </w:r>
    </w:p>
    <w:p w14:paraId="55207161">
      <w:pPr>
        <w:pStyle w:val="8"/>
        <w:snapToGrid w:val="0"/>
        <w:spacing w:beforeLines="25" w:line="300" w:lineRule="auto"/>
        <w:ind w:left="718" w:hanging="718" w:hangingChars="342"/>
        <w:jc w:val="both"/>
        <w:rPr>
          <w:kern w:val="2"/>
          <w:szCs w:val="21"/>
        </w:rPr>
      </w:pPr>
      <w:r>
        <w:rPr>
          <w:kern w:val="2"/>
          <w:szCs w:val="21"/>
        </w:rPr>
        <w:t>（3）</w:t>
      </w:r>
      <w:r>
        <w:rPr>
          <w:kern w:val="2"/>
          <w:szCs w:val="21"/>
        </w:rPr>
        <w:tab/>
      </w:r>
      <w:r>
        <w:rPr>
          <w:kern w:val="2"/>
          <w:szCs w:val="21"/>
        </w:rPr>
        <w:t>本法规并不寻求协调有关</w:t>
      </w:r>
      <w:r>
        <w:rPr>
          <w:rFonts w:hint="eastAsia"/>
          <w:kern w:val="2"/>
          <w:szCs w:val="21"/>
        </w:rPr>
        <w:t>医疗</w:t>
      </w:r>
      <w:r>
        <w:rPr>
          <w:kern w:val="2"/>
          <w:szCs w:val="21"/>
        </w:rPr>
        <w:t>器械投入使用后，在市场上进一步供应之规则，例如二手销售。</w:t>
      </w:r>
    </w:p>
    <w:p w14:paraId="138CF66A">
      <w:pPr>
        <w:pStyle w:val="32"/>
        <w:tabs>
          <w:tab w:val="left" w:pos="682"/>
        </w:tabs>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lang w:val="en-US"/>
        </w:rPr>
        <w:t>应大大加强现有监管方法的关键要素</w:t>
      </w:r>
      <w:r>
        <w:rPr>
          <w:rFonts w:ascii="Times New Roman" w:hAnsi="Times New Roman"/>
          <w:kern w:val="2"/>
          <w:szCs w:val="21"/>
        </w:rPr>
        <w:t>，</w:t>
      </w:r>
      <w:r>
        <w:rPr>
          <w:rFonts w:hint="eastAsia" w:ascii="Times New Roman" w:hAnsi="Times New Roman"/>
          <w:kern w:val="2"/>
          <w:szCs w:val="21"/>
        </w:rPr>
        <w:t>例</w:t>
      </w:r>
      <w:r>
        <w:rPr>
          <w:rFonts w:ascii="Times New Roman" w:hAnsi="Times New Roman"/>
          <w:kern w:val="2"/>
          <w:szCs w:val="21"/>
        </w:rPr>
        <w:t>如公告机构监管、符合性评估流程、临床研究和临床评价，警戒和市场监管，</w:t>
      </w:r>
      <w:r>
        <w:rPr>
          <w:kern w:val="2"/>
          <w:szCs w:val="21"/>
        </w:rPr>
        <w:t>同时引入确保医疗器械透明度和可追溯性之规定</w:t>
      </w:r>
      <w:r>
        <w:rPr>
          <w:rFonts w:ascii="Times New Roman" w:hAnsi="Times New Roman"/>
          <w:kern w:val="2"/>
          <w:szCs w:val="21"/>
        </w:rPr>
        <w:t>，</w:t>
      </w:r>
      <w:r>
        <w:rPr>
          <w:kern w:val="2"/>
          <w:szCs w:val="21"/>
        </w:rPr>
        <w:t>以改善健康和安全性</w:t>
      </w:r>
      <w:r>
        <w:rPr>
          <w:rFonts w:ascii="Times New Roman" w:hAnsi="Times New Roman"/>
          <w:kern w:val="2"/>
          <w:szCs w:val="21"/>
        </w:rPr>
        <w:t>。</w:t>
      </w:r>
    </w:p>
    <w:p w14:paraId="20034062">
      <w:pPr>
        <w:pStyle w:val="32"/>
        <w:tabs>
          <w:tab w:val="left" w:pos="682"/>
        </w:tabs>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（5）</w:t>
      </w:r>
      <w:r>
        <w:rPr>
          <w:rFonts w:ascii="Times New Roman" w:hAnsi="Times New Roman"/>
          <w:kern w:val="2"/>
          <w:szCs w:val="21"/>
        </w:rPr>
        <w:tab/>
      </w:r>
      <w:r>
        <w:rPr>
          <w:kern w:val="2"/>
          <w:szCs w:val="21"/>
        </w:rPr>
        <w:t>如有可能，应当考虑到为医疗器械制定的</w:t>
      </w:r>
      <w:r>
        <w:rPr>
          <w:kern w:val="2"/>
          <w:szCs w:val="21"/>
          <w:lang w:val="en-US"/>
        </w:rPr>
        <w:t>国际</w:t>
      </w:r>
      <w:r>
        <w:rPr>
          <w:kern w:val="2"/>
          <w:szCs w:val="21"/>
        </w:rPr>
        <w:t>指导准则，特别是全球协调工作队及其后续行动即</w:t>
      </w:r>
      <w:r>
        <w:rPr>
          <w:rFonts w:hint="eastAsia"/>
          <w:kern w:val="2"/>
          <w:szCs w:val="21"/>
        </w:rPr>
        <w:t>“</w:t>
      </w:r>
      <w:r>
        <w:rPr>
          <w:kern w:val="2"/>
          <w:szCs w:val="21"/>
        </w:rPr>
        <w:t>国际医疗器械监管机构论坛（IMDRF）</w:t>
      </w:r>
      <w:r>
        <w:rPr>
          <w:rFonts w:hint="eastAsia"/>
          <w:kern w:val="2"/>
          <w:szCs w:val="21"/>
        </w:rPr>
        <w:t>”</w:t>
      </w:r>
      <w:r>
        <w:rPr>
          <w:kern w:val="2"/>
          <w:szCs w:val="21"/>
        </w:rPr>
        <w:t>，以便推动世界范围内利于提高安全</w:t>
      </w:r>
      <w:r>
        <w:rPr>
          <w:rFonts w:hint="eastAsia"/>
          <w:kern w:val="2"/>
          <w:szCs w:val="21"/>
        </w:rPr>
        <w:t>防护</w:t>
      </w:r>
      <w:r>
        <w:rPr>
          <w:kern w:val="2"/>
          <w:szCs w:val="21"/>
        </w:rPr>
        <w:t>标准以及促进贸易之相关法规的全球化进程，特别是关于唯一器械标识、</w:t>
      </w:r>
      <w:r>
        <w:rPr>
          <w:rFonts w:hint="eastAsia"/>
          <w:kern w:val="2"/>
          <w:szCs w:val="21"/>
        </w:rPr>
        <w:t>通用</w:t>
      </w:r>
      <w:r>
        <w:rPr>
          <w:kern w:val="2"/>
          <w:szCs w:val="21"/>
        </w:rPr>
        <w:t>安全与性能要求、技术文件、分类标准、符合性评估流程和临床证据等方面的规定。</w:t>
      </w:r>
    </w:p>
    <w:p w14:paraId="1A2F3742">
      <w:pPr>
        <w:pStyle w:val="32"/>
        <w:tabs>
          <w:tab w:val="left" w:pos="682"/>
        </w:tabs>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出于历史原因，第90/385/EEC号指令所涵盖的有源植入式医疗器械以及第93/42/EEC号指令所涵盖的其他医疗器械通过另外两个单独的法律进行管控。为简化起见，经过若干次修订的两项指令均应替换为适用于除体外诊断医疗器械外所有医疗器械的单一立法法案。</w:t>
      </w:r>
    </w:p>
    <w:p w14:paraId="3562D815">
      <w:pPr>
        <w:pStyle w:val="32"/>
        <w:numPr>
          <w:ilvl w:val="0"/>
          <w:numId w:val="2"/>
        </w:numPr>
        <w:tabs>
          <w:tab w:val="left" w:pos="682"/>
        </w:tabs>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本法规的适用范围应与其他相关产品</w:t>
      </w:r>
      <w:r>
        <w:rPr>
          <w:rFonts w:hint="eastAsia" w:ascii="Times New Roman" w:hAnsi="Times New Roman"/>
          <w:kern w:val="2"/>
          <w:szCs w:val="21"/>
        </w:rPr>
        <w:t>的</w:t>
      </w:r>
      <w:r>
        <w:rPr>
          <w:rFonts w:ascii="Times New Roman" w:hAnsi="Times New Roman"/>
          <w:kern w:val="2"/>
          <w:szCs w:val="21"/>
        </w:rPr>
        <w:t>欧盟协调立法明确区分</w:t>
      </w:r>
      <w:r>
        <w:rPr>
          <w:rFonts w:hint="eastAsia" w:ascii="Times New Roman" w:hAnsi="Times New Roman"/>
          <w:kern w:val="2"/>
          <w:szCs w:val="21"/>
        </w:rPr>
        <w:t>开</w:t>
      </w:r>
      <w:r>
        <w:rPr>
          <w:rFonts w:ascii="Times New Roman" w:hAnsi="Times New Roman"/>
          <w:kern w:val="2"/>
          <w:szCs w:val="21"/>
        </w:rPr>
        <w:t>，（如体外诊断医疗器械、医药产品、美容产品和食品）。因此，应对欧洲议</w:t>
      </w:r>
      <w:r>
        <w:rPr>
          <w:rFonts w:ascii="Times New Roman" w:hAnsi="Times New Roman"/>
          <w:kern w:val="2"/>
          <w:szCs w:val="21"/>
          <w:lang w:val="en-US"/>
        </w:rPr>
        <w:t>会</w:t>
      </w:r>
      <w:r>
        <w:rPr>
          <w:rFonts w:ascii="Times New Roman" w:hAnsi="Times New Roman"/>
          <w:kern w:val="2"/>
          <w:szCs w:val="21"/>
        </w:rPr>
        <w:t>和委员会第178/2002号法规</w:t>
      </w:r>
      <w:r>
        <w:rPr>
          <w:rFonts w:hint="eastAsia" w:ascii="Times New Roman" w:hAnsi="Times New Roman"/>
          <w:kern w:val="2"/>
          <w:szCs w:val="21"/>
        </w:rPr>
        <w:t>（</w:t>
      </w:r>
      <w:r>
        <w:rPr>
          <w:rFonts w:ascii="Times New Roman" w:hAnsi="Times New Roman"/>
          <w:kern w:val="2"/>
          <w:szCs w:val="21"/>
          <w:vertAlign w:val="superscript"/>
        </w:rPr>
        <w:t>1</w:t>
      </w:r>
      <w:r>
        <w:rPr>
          <w:rFonts w:hint="eastAsia" w:ascii="Times New Roman" w:hAnsi="Times New Roman"/>
          <w:kern w:val="2"/>
          <w:szCs w:val="21"/>
        </w:rPr>
        <w:t>）</w:t>
      </w:r>
      <w:r>
        <w:rPr>
          <w:rFonts w:ascii="Times New Roman" w:hAnsi="Times New Roman"/>
          <w:kern w:val="2"/>
          <w:szCs w:val="21"/>
        </w:rPr>
        <w:t>进行修订</w:t>
      </w:r>
      <w:r>
        <w:rPr>
          <w:rFonts w:hint="eastAsia" w:ascii="Times New Roman" w:hAnsi="Times New Roman"/>
          <w:kern w:val="2"/>
          <w:szCs w:val="21"/>
        </w:rPr>
        <w:t>，</w:t>
      </w:r>
      <w:r>
        <w:rPr>
          <w:rFonts w:ascii="Times New Roman" w:hAnsi="Times New Roman"/>
          <w:kern w:val="2"/>
          <w:szCs w:val="21"/>
        </w:rPr>
        <w:t>将医疗器械排除在其范围之外。</w:t>
      </w:r>
    </w:p>
    <w:p w14:paraId="5EC4B8FA">
      <w:pPr>
        <w:pStyle w:val="32"/>
        <w:numPr>
          <w:ilvl w:val="0"/>
          <w:numId w:val="2"/>
        </w:numPr>
        <w:tabs>
          <w:tab w:val="left" w:pos="682"/>
        </w:tabs>
        <w:snapToGrid w:val="0"/>
        <w:spacing w:beforeLines="25" w:line="300" w:lineRule="auto"/>
        <w:ind w:hanging="567"/>
        <w:jc w:val="both"/>
        <w:rPr>
          <w:rFonts w:ascii="Times New Roman" w:hAnsi="Times New Roman"/>
          <w:kern w:val="2"/>
          <w:szCs w:val="21"/>
        </w:rPr>
      </w:pPr>
      <w:r>
        <w:rPr>
          <w:rFonts w:hint="eastAsia" w:ascii="Times New Roman" w:hAnsi="Times New Roman"/>
          <w:kern w:val="2"/>
          <w:szCs w:val="21"/>
          <w:lang w:bidi="zh-CN"/>
        </w:rPr>
        <w:t>成员国有责任逐案例确认，各产品是否属于本法规范围。为确保所有成员国的相关判断力一致，特别是在灰区临界情况下，在咨询医疗器械协调小组（</w:t>
      </w:r>
      <w:r>
        <w:rPr>
          <w:rFonts w:ascii="Times New Roman" w:hAnsi="Times New Roman"/>
          <w:kern w:val="2"/>
          <w:szCs w:val="21"/>
          <w:lang w:bidi="zh-CN"/>
        </w:rPr>
        <w:t>MDCG</w:t>
      </w:r>
      <w:r>
        <w:rPr>
          <w:rFonts w:hint="eastAsia" w:ascii="Times New Roman" w:hAnsi="Times New Roman"/>
          <w:kern w:val="2"/>
          <w:szCs w:val="21"/>
          <w:lang w:bidi="zh-CN"/>
        </w:rPr>
        <w:t>）后，应允许委员会主动或经成员国适时且有根据地请求，逐案决定某一具体产品、类别或产品组是否属于本法规适用范围。在审议涉及药品、人体组织和细胞、生物灭活产品或食品之临界案例所辖产品之监管状况时，委员会应确保欧洲药品管理局、欧洲化学品管理局和欧洲食品安全局的适当咨询水平。</w:t>
      </w:r>
    </w:p>
    <w:p w14:paraId="6F3E2545">
      <w:pPr>
        <w:pStyle w:val="32"/>
        <w:numPr>
          <w:ilvl w:val="0"/>
          <w:numId w:val="2"/>
        </w:numPr>
        <w:tabs>
          <w:tab w:val="left" w:pos="682"/>
        </w:tabs>
        <w:snapToGrid w:val="0"/>
        <w:spacing w:beforeLines="25" w:line="300" w:lineRule="auto"/>
        <w:ind w:hanging="567"/>
        <w:jc w:val="both"/>
        <w:rPr>
          <w:rFonts w:ascii="Times New Roman" w:hAnsi="Times New Roman"/>
          <w:kern w:val="2"/>
          <w:szCs w:val="21"/>
        </w:rPr>
      </w:pPr>
      <w:r>
        <w:rPr>
          <w:rFonts w:ascii="Times New Roman" w:hAnsi="Times New Roman"/>
          <w:szCs w:val="21"/>
        </w:rPr>
        <w:tab/>
      </w:r>
      <w:r>
        <w:rPr>
          <w:rFonts w:ascii="Times New Roman" w:hAnsi="Times New Roman"/>
          <w:szCs w:val="21"/>
        </w:rPr>
        <w:t>由于在某些情况下医疗器械和美容产品难以区分，因此欧盟议会和理事会第</w:t>
      </w:r>
      <w:r>
        <w:rPr>
          <w:rFonts w:ascii="Times New Roman" w:hAnsi="Times New Roman"/>
          <w:kern w:val="2"/>
          <w:szCs w:val="21"/>
        </w:rPr>
        <w:t>1223/2009</w:t>
      </w:r>
      <w:r>
        <w:rPr>
          <w:rFonts w:ascii="Times New Roman" w:hAnsi="Times New Roman"/>
          <w:szCs w:val="21"/>
        </w:rPr>
        <w:t>号法规</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中也应加入对</w:t>
      </w:r>
      <w:r>
        <w:rPr>
          <w:rFonts w:hint="eastAsia" w:ascii="Times New Roman" w:hAnsi="Times New Roman"/>
          <w:szCs w:val="21"/>
        </w:rPr>
        <w:t>某一</w:t>
      </w:r>
      <w:r>
        <w:rPr>
          <w:rFonts w:ascii="Times New Roman" w:hAnsi="Times New Roman"/>
          <w:szCs w:val="21"/>
        </w:rPr>
        <w:t>产品法规状况</w:t>
      </w:r>
      <w:r>
        <w:rPr>
          <w:rFonts w:hint="eastAsia" w:ascii="Times New Roman" w:hAnsi="Times New Roman"/>
          <w:szCs w:val="21"/>
        </w:rPr>
        <w:t>的</w:t>
      </w:r>
      <w:r>
        <w:rPr>
          <w:rFonts w:ascii="Times New Roman" w:hAnsi="Times New Roman"/>
          <w:szCs w:val="21"/>
        </w:rPr>
        <w:t>欧盟范围统一决议。</w:t>
      </w:r>
    </w:p>
    <w:p w14:paraId="30C4F730">
      <w:pPr>
        <w:pStyle w:val="32"/>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lang w:val="en-US"/>
        </w:rPr>
        <w:t>（10）</w:t>
      </w:r>
      <w:r>
        <w:rPr>
          <w:rFonts w:ascii="Times New Roman" w:hAnsi="Times New Roman"/>
          <w:kern w:val="2"/>
          <w:szCs w:val="21"/>
          <w:lang w:val="en-US"/>
        </w:rPr>
        <w:tab/>
      </w:r>
      <w:r>
        <w:rPr>
          <w:rFonts w:ascii="Times New Roman" w:hAnsi="Times New Roman"/>
          <w:kern w:val="2"/>
          <w:szCs w:val="21"/>
        </w:rPr>
        <w:t>药械组合类产品将按照本法规或欧洲议会和理事会第2001/83/EC号</w:t>
      </w:r>
      <w:r>
        <w:rPr>
          <w:rFonts w:hint="eastAsia" w:ascii="Times New Roman" w:hAnsi="Times New Roman"/>
          <w:kern w:val="2"/>
          <w:szCs w:val="21"/>
        </w:rPr>
        <w:t>指令（</w:t>
      </w:r>
      <w:r>
        <w:rPr>
          <w:rFonts w:ascii="Times New Roman" w:hAnsi="Times New Roman"/>
          <w:kern w:val="2"/>
          <w:szCs w:val="21"/>
          <w:vertAlign w:val="superscript"/>
        </w:rPr>
        <w:t>3</w:t>
      </w:r>
      <w:r>
        <w:rPr>
          <w:rFonts w:hint="eastAsia" w:ascii="Times New Roman" w:hAnsi="Times New Roman"/>
          <w:kern w:val="2"/>
          <w:szCs w:val="21"/>
        </w:rPr>
        <w:t>）</w:t>
      </w:r>
      <w:r>
        <w:rPr>
          <w:rFonts w:ascii="Times New Roman" w:hAnsi="Times New Roman"/>
          <w:kern w:val="2"/>
          <w:szCs w:val="21"/>
        </w:rPr>
        <w:t>进行管理。</w:t>
      </w:r>
      <w:r>
        <w:rPr>
          <w:rFonts w:hint="eastAsia" w:ascii="Times New Roman" w:hAnsi="Times New Roman"/>
          <w:kern w:val="2"/>
          <w:szCs w:val="21"/>
        </w:rPr>
        <w:t>在</w:t>
      </w:r>
      <w:r>
        <w:rPr>
          <w:rFonts w:ascii="Times New Roman" w:hAnsi="Times New Roman"/>
          <w:kern w:val="2"/>
          <w:szCs w:val="21"/>
        </w:rPr>
        <w:t>涉及该药械组合产品</w:t>
      </w:r>
      <w:r>
        <w:rPr>
          <w:rFonts w:hint="eastAsia" w:ascii="Times New Roman" w:hAnsi="Times New Roman"/>
          <w:kern w:val="2"/>
          <w:szCs w:val="21"/>
        </w:rPr>
        <w:t>的监管</w:t>
      </w:r>
      <w:r>
        <w:rPr>
          <w:rFonts w:ascii="Times New Roman" w:hAnsi="Times New Roman"/>
          <w:kern w:val="2"/>
          <w:szCs w:val="21"/>
        </w:rPr>
        <w:t>活动</w:t>
      </w:r>
      <w:r>
        <w:rPr>
          <w:rFonts w:hint="eastAsia" w:ascii="Times New Roman" w:hAnsi="Times New Roman"/>
          <w:kern w:val="2"/>
          <w:szCs w:val="21"/>
        </w:rPr>
        <w:t>中，在</w:t>
      </w:r>
      <w:r>
        <w:rPr>
          <w:rFonts w:ascii="Times New Roman" w:hAnsi="Times New Roman"/>
          <w:kern w:val="2"/>
          <w:szCs w:val="21"/>
        </w:rPr>
        <w:t>上市前评估咨询及</w:t>
      </w:r>
      <w:r>
        <w:rPr>
          <w:rFonts w:hint="eastAsia" w:ascii="Times New Roman" w:hAnsi="Times New Roman"/>
          <w:kern w:val="2"/>
          <w:szCs w:val="21"/>
        </w:rPr>
        <w:t>信息交换期间</w:t>
      </w:r>
      <w:r>
        <w:rPr>
          <w:rFonts w:ascii="Times New Roman" w:hAnsi="Times New Roman"/>
          <w:kern w:val="2"/>
          <w:szCs w:val="21"/>
        </w:rPr>
        <w:t>，两</w:t>
      </w:r>
      <w:r>
        <w:rPr>
          <w:rFonts w:hint="eastAsia" w:ascii="Times New Roman" w:hAnsi="Times New Roman"/>
          <w:kern w:val="2"/>
          <w:szCs w:val="21"/>
        </w:rPr>
        <w:t>项</w:t>
      </w:r>
      <w:r>
        <w:rPr>
          <w:rFonts w:ascii="Times New Roman" w:hAnsi="Times New Roman"/>
          <w:kern w:val="2"/>
          <w:szCs w:val="21"/>
        </w:rPr>
        <w:t>立法法案应确保适当的相互关联。对于药械组合产品，应当在该医疗产品上市许可背景下，充分评估</w:t>
      </w:r>
      <w:r>
        <w:rPr>
          <w:rFonts w:hint="eastAsia" w:ascii="Times New Roman" w:hAnsi="Times New Roman"/>
          <w:kern w:val="2"/>
          <w:szCs w:val="21"/>
        </w:rPr>
        <w:t>其</w:t>
      </w:r>
      <w:r>
        <w:rPr>
          <w:rFonts w:ascii="Times New Roman" w:hAnsi="Times New Roman"/>
          <w:kern w:val="2"/>
          <w:szCs w:val="21"/>
        </w:rPr>
        <w:t>是否符合本法规中规定的通用安全与性能要求。因此，应修订第2001/83/EC号指令。</w:t>
      </w:r>
    </w:p>
    <w:p w14:paraId="1A222003">
      <w:pPr>
        <w:pStyle w:val="8"/>
        <w:tabs>
          <w:tab w:val="left" w:pos="681"/>
        </w:tabs>
        <w:snapToGrid w:val="0"/>
        <w:spacing w:beforeLines="25" w:line="300" w:lineRule="auto"/>
        <w:ind w:left="0" w:firstLine="0"/>
        <w:jc w:val="both"/>
        <w:rPr>
          <w:b/>
          <w:kern w:val="2"/>
          <w:szCs w:val="21"/>
          <w:lang w:val="en-US"/>
        </w:rPr>
      </w:pPr>
      <w:r>
        <w:rPr>
          <w:b/>
          <w:kern w:val="2"/>
          <w:szCs w:val="21"/>
          <w:lang w:val="en-US"/>
        </w:rPr>
        <w:t>________________________</w:t>
      </w:r>
    </w:p>
    <w:p w14:paraId="4A5740A7">
      <w:pPr>
        <w:pStyle w:val="8"/>
        <w:snapToGrid w:val="0"/>
        <w:spacing w:before="0" w:line="300" w:lineRule="auto"/>
        <w:ind w:left="532" w:hanging="419"/>
        <w:jc w:val="both"/>
        <w:rPr>
          <w:kern w:val="2"/>
          <w:sz w:val="18"/>
          <w:szCs w:val="18"/>
        </w:rPr>
      </w:pPr>
      <w:r>
        <w:rPr>
          <w:rFonts w:hint="eastAsia"/>
          <w:kern w:val="2"/>
          <w:sz w:val="18"/>
          <w:szCs w:val="18"/>
        </w:rPr>
        <w:t>（</w:t>
      </w:r>
      <w:r>
        <w:rPr>
          <w:rFonts w:hint="eastAsia"/>
          <w:kern w:val="2"/>
          <w:sz w:val="18"/>
          <w:szCs w:val="18"/>
          <w:vertAlign w:val="superscript"/>
        </w:rPr>
        <w:t>1</w:t>
      </w:r>
      <w:r>
        <w:rPr>
          <w:rFonts w:hint="eastAsia"/>
          <w:kern w:val="2"/>
          <w:sz w:val="18"/>
          <w:szCs w:val="18"/>
        </w:rPr>
        <w:t>）欧洲议会和理事会于2002年1月28日签发的第178/2002号（EC）法规规定了食品法的一般原则和要求，设立了欧洲食品安全局并制定了食品安全方面的程序（OJ L 31，1.2.2002，p.1）。</w:t>
      </w:r>
    </w:p>
    <w:p w14:paraId="2347200F">
      <w:pPr>
        <w:pStyle w:val="8"/>
        <w:snapToGrid w:val="0"/>
        <w:spacing w:before="0" w:line="300" w:lineRule="auto"/>
        <w:ind w:left="532" w:hanging="419"/>
        <w:jc w:val="both"/>
        <w:rPr>
          <w:kern w:val="2"/>
          <w:sz w:val="18"/>
          <w:szCs w:val="18"/>
        </w:rPr>
      </w:pPr>
      <w:r>
        <w:rPr>
          <w:rFonts w:hint="eastAsia"/>
          <w:kern w:val="2"/>
          <w:sz w:val="18"/>
          <w:szCs w:val="18"/>
        </w:rPr>
        <w:t>（</w:t>
      </w:r>
      <w:r>
        <w:rPr>
          <w:rFonts w:hint="eastAsia"/>
          <w:kern w:val="2"/>
          <w:sz w:val="18"/>
          <w:szCs w:val="18"/>
          <w:vertAlign w:val="superscript"/>
        </w:rPr>
        <w:t>2</w:t>
      </w:r>
      <w:r>
        <w:rPr>
          <w:rFonts w:hint="eastAsia"/>
          <w:kern w:val="2"/>
          <w:sz w:val="18"/>
          <w:szCs w:val="18"/>
        </w:rPr>
        <w:t>）欧洲议会和理事会于2009年11月30日签发的关于美容产品的第1223/2009号（EC）法规（OJ L 342，22.12.2009，p.59）。</w:t>
      </w:r>
    </w:p>
    <w:p w14:paraId="65AE77D8">
      <w:pPr>
        <w:pStyle w:val="8"/>
        <w:snapToGrid w:val="0"/>
        <w:spacing w:before="0" w:line="300" w:lineRule="auto"/>
        <w:ind w:left="532" w:hanging="419"/>
        <w:jc w:val="both"/>
        <w:rPr>
          <w:kern w:val="2"/>
          <w:sz w:val="18"/>
          <w:szCs w:val="18"/>
        </w:rPr>
      </w:pPr>
      <w:r>
        <w:rPr>
          <w:rFonts w:hint="eastAsia"/>
          <w:kern w:val="2"/>
          <w:sz w:val="18"/>
          <w:szCs w:val="18"/>
        </w:rPr>
        <w:t>（</w:t>
      </w:r>
      <w:r>
        <w:rPr>
          <w:rFonts w:hint="eastAsia"/>
          <w:kern w:val="2"/>
          <w:sz w:val="18"/>
          <w:szCs w:val="18"/>
          <w:vertAlign w:val="superscript"/>
        </w:rPr>
        <w:t>3</w:t>
      </w:r>
      <w:r>
        <w:rPr>
          <w:rFonts w:hint="eastAsia"/>
          <w:kern w:val="2"/>
          <w:sz w:val="18"/>
          <w:szCs w:val="18"/>
        </w:rPr>
        <w:t>）欧洲议会和理事会于2001年11月6日签发的关于人类药用产品社区规则的第2001/83/EC号指令（OJ L 311,28.11.2001，p.67）。</w:t>
      </w:r>
    </w:p>
    <w:p w14:paraId="086799CF">
      <w:pPr>
        <w:pStyle w:val="32"/>
        <w:tabs>
          <w:tab w:val="left" w:pos="682"/>
        </w:tabs>
        <w:snapToGrid w:val="0"/>
        <w:spacing w:beforeLines="15" w:line="300" w:lineRule="auto"/>
        <w:ind w:left="655" w:hanging="655" w:hangingChars="312"/>
        <w:jc w:val="both"/>
        <w:rPr>
          <w:rFonts w:ascii="Times New Roman" w:hAnsi="Times New Roman"/>
          <w:kern w:val="2"/>
          <w:szCs w:val="21"/>
        </w:rPr>
      </w:pPr>
      <w:r>
        <w:rPr>
          <w:rFonts w:ascii="Times New Roman" w:hAnsi="Times New Roman"/>
          <w:kern w:val="2"/>
          <w:szCs w:val="21"/>
        </w:rPr>
        <w:br w:type="page"/>
      </w:r>
      <w:r>
        <w:rPr>
          <w:rFonts w:ascii="Times New Roman" w:hAnsi="Times New Roman"/>
          <w:kern w:val="2"/>
          <w:szCs w:val="21"/>
        </w:rPr>
        <w:t>（11）</w:t>
      </w:r>
      <w:r>
        <w:rPr>
          <w:rFonts w:ascii="Times New Roman" w:hAnsi="Times New Roman"/>
          <w:kern w:val="2"/>
          <w:szCs w:val="21"/>
        </w:rPr>
        <w:tab/>
      </w:r>
      <w:r>
        <w:rPr>
          <w:rFonts w:hint="eastAsia" w:ascii="Times New Roman" w:hAnsi="Times New Roman"/>
          <w:kern w:val="2"/>
          <w:szCs w:val="21"/>
        </w:rPr>
        <w:t>对于</w:t>
      </w:r>
      <w:r>
        <w:rPr>
          <w:rFonts w:ascii="Times New Roman" w:hAnsi="Times New Roman"/>
          <w:kern w:val="2"/>
          <w:szCs w:val="21"/>
        </w:rPr>
        <w:t>非活性或处理为非活性的人类来源组织或细胞衍生物制造的特定产品</w:t>
      </w:r>
      <w:r>
        <w:rPr>
          <w:rFonts w:hint="eastAsia" w:ascii="Times New Roman" w:hAnsi="Times New Roman"/>
          <w:kern w:val="2"/>
          <w:szCs w:val="21"/>
        </w:rPr>
        <w:t>，</w:t>
      </w:r>
      <w:r>
        <w:rPr>
          <w:rFonts w:ascii="Times New Roman" w:hAnsi="Times New Roman"/>
          <w:kern w:val="2"/>
          <w:szCs w:val="21"/>
        </w:rPr>
        <w:t>欧盟立法特别是欧盟议会和理事会第1394/2007号法规</w:t>
      </w:r>
      <w:r>
        <w:rPr>
          <w:rFonts w:hint="eastAsia" w:ascii="Times New Roman" w:hAnsi="Times New Roman"/>
          <w:kern w:val="2"/>
          <w:szCs w:val="21"/>
        </w:rPr>
        <w:t>（</w:t>
      </w:r>
      <w:r>
        <w:rPr>
          <w:rFonts w:ascii="Times New Roman" w:hAnsi="Times New Roman"/>
          <w:b/>
          <w:kern w:val="2"/>
          <w:szCs w:val="21"/>
          <w:vertAlign w:val="superscript"/>
        </w:rPr>
        <w:t>1</w:t>
      </w:r>
      <w:r>
        <w:rPr>
          <w:rFonts w:hint="eastAsia" w:ascii="Times New Roman" w:hAnsi="Times New Roman"/>
          <w:kern w:val="2"/>
          <w:szCs w:val="21"/>
        </w:rPr>
        <w:t>）</w:t>
      </w:r>
      <w:r>
        <w:rPr>
          <w:rFonts w:ascii="Times New Roman" w:hAnsi="Times New Roman"/>
          <w:kern w:val="2"/>
          <w:szCs w:val="21"/>
        </w:rPr>
        <w:t>和第2004/23/EC号指令</w:t>
      </w:r>
      <w:r>
        <w:rPr>
          <w:rFonts w:hint="eastAsia" w:ascii="Times New Roman" w:hAnsi="Times New Roman"/>
          <w:kern w:val="2"/>
          <w:szCs w:val="21"/>
        </w:rPr>
        <w:t>（</w:t>
      </w:r>
      <w:r>
        <w:rPr>
          <w:rFonts w:ascii="Times New Roman" w:hAnsi="Times New Roman"/>
          <w:b/>
          <w:kern w:val="2"/>
          <w:szCs w:val="21"/>
          <w:vertAlign w:val="superscript"/>
        </w:rPr>
        <w:t>2</w:t>
      </w:r>
      <w:r>
        <w:rPr>
          <w:rFonts w:hint="eastAsia" w:ascii="Times New Roman" w:hAnsi="Times New Roman"/>
          <w:kern w:val="2"/>
          <w:szCs w:val="21"/>
        </w:rPr>
        <w:t>）</w:t>
      </w:r>
      <w:r>
        <w:rPr>
          <w:rFonts w:ascii="Times New Roman" w:hAnsi="Times New Roman"/>
          <w:kern w:val="2"/>
          <w:szCs w:val="21"/>
        </w:rPr>
        <w:t>并不完善。此类</w:t>
      </w:r>
      <w:r>
        <w:rPr>
          <w:rFonts w:hint="eastAsia" w:ascii="Times New Roman" w:hAnsi="Times New Roman"/>
          <w:kern w:val="2"/>
          <w:szCs w:val="21"/>
        </w:rPr>
        <w:t>产品</w:t>
      </w:r>
      <w:r>
        <w:rPr>
          <w:rFonts w:ascii="Times New Roman" w:hAnsi="Times New Roman"/>
          <w:kern w:val="2"/>
          <w:szCs w:val="21"/>
        </w:rPr>
        <w:t>应</w:t>
      </w:r>
      <w:r>
        <w:rPr>
          <w:rFonts w:hint="eastAsia" w:ascii="Times New Roman" w:hAnsi="Times New Roman"/>
          <w:kern w:val="2"/>
          <w:szCs w:val="21"/>
        </w:rPr>
        <w:t>属于</w:t>
      </w:r>
      <w:r>
        <w:rPr>
          <w:rFonts w:ascii="Times New Roman" w:hAnsi="Times New Roman"/>
          <w:kern w:val="2"/>
          <w:szCs w:val="21"/>
        </w:rPr>
        <w:t>本法规</w:t>
      </w:r>
      <w:r>
        <w:rPr>
          <w:rFonts w:hint="eastAsia" w:ascii="Times New Roman" w:hAnsi="Times New Roman"/>
          <w:kern w:val="2"/>
          <w:szCs w:val="21"/>
        </w:rPr>
        <w:t>管辖</w:t>
      </w:r>
      <w:r>
        <w:rPr>
          <w:rFonts w:ascii="Times New Roman" w:hAnsi="Times New Roman"/>
          <w:kern w:val="2"/>
          <w:szCs w:val="21"/>
        </w:rPr>
        <w:t>范围，但前提是其应符合医疗器械的定义或</w:t>
      </w:r>
      <w:r>
        <w:rPr>
          <w:rFonts w:hint="eastAsia" w:ascii="Times New Roman" w:hAnsi="Times New Roman"/>
          <w:kern w:val="2"/>
          <w:szCs w:val="21"/>
        </w:rPr>
        <w:t>受</w:t>
      </w:r>
      <w:r>
        <w:rPr>
          <w:rFonts w:ascii="Times New Roman" w:hAnsi="Times New Roman"/>
          <w:kern w:val="2"/>
          <w:szCs w:val="21"/>
        </w:rPr>
        <w:t>本法规管辖。</w:t>
      </w:r>
    </w:p>
    <w:p w14:paraId="56168335">
      <w:pPr>
        <w:pStyle w:val="32"/>
        <w:tabs>
          <w:tab w:val="left" w:pos="682"/>
        </w:tabs>
        <w:snapToGrid w:val="0"/>
        <w:spacing w:beforeLines="15" w:line="300" w:lineRule="auto"/>
        <w:ind w:left="655" w:hanging="655" w:hangingChars="312"/>
        <w:rPr>
          <w:rFonts w:ascii="Times New Roman" w:hAnsi="Times New Roman"/>
          <w:kern w:val="2"/>
          <w:szCs w:val="21"/>
        </w:rPr>
      </w:pPr>
      <w:r>
        <w:rPr>
          <w:rFonts w:ascii="Times New Roman" w:hAnsi="Times New Roman"/>
          <w:kern w:val="2"/>
          <w:szCs w:val="21"/>
        </w:rPr>
        <w:t>（12）本法规应涵盖制造商声称仅具有美容目的或另一种非医疗目的，但在功能和风险特征方面类似于医疗器械的特定产品组。为能使制造商证明此类产品的符合性，委员会应至少在应用风险管理时采用通用技术规范，并在必要时对安全性进行临床评价。这些通用技术规范应针对无医疗目的产品组制定</w:t>
      </w:r>
      <w:r>
        <w:rPr>
          <w:rFonts w:hint="eastAsia" w:ascii="Times New Roman" w:hAnsi="Times New Roman"/>
          <w:kern w:val="2"/>
          <w:szCs w:val="21"/>
        </w:rPr>
        <w:t>，</w:t>
      </w:r>
      <w:r>
        <w:rPr>
          <w:rFonts w:ascii="Times New Roman" w:hAnsi="Times New Roman"/>
          <w:kern w:val="2"/>
          <w:szCs w:val="21"/>
        </w:rPr>
        <w:t>且不得用于具有医疗目的之类似器械的符合性评估。具有医疗和非医疗预期目的之器械应当同时满足具有和不具有预期医疗目的之器械</w:t>
      </w:r>
      <w:r>
        <w:rPr>
          <w:rFonts w:hint="eastAsia" w:ascii="Times New Roman" w:hAnsi="Times New Roman"/>
          <w:kern w:val="2"/>
          <w:szCs w:val="21"/>
        </w:rPr>
        <w:t>相关</w:t>
      </w:r>
      <w:r>
        <w:rPr>
          <w:rFonts w:ascii="Times New Roman" w:hAnsi="Times New Roman"/>
          <w:kern w:val="2"/>
          <w:szCs w:val="21"/>
        </w:rPr>
        <w:t>要求。</w:t>
      </w:r>
    </w:p>
    <w:p w14:paraId="7084D88A">
      <w:pPr>
        <w:pStyle w:val="32"/>
        <w:tabs>
          <w:tab w:val="left" w:pos="682"/>
        </w:tabs>
        <w:snapToGrid w:val="0"/>
        <w:spacing w:beforeLines="15" w:line="300" w:lineRule="auto"/>
        <w:ind w:left="655" w:hanging="655" w:hangingChars="312"/>
        <w:jc w:val="both"/>
        <w:rPr>
          <w:rFonts w:ascii="Times New Roman" w:hAnsi="Times New Roman"/>
          <w:kern w:val="2"/>
          <w:szCs w:val="21"/>
        </w:rPr>
      </w:pPr>
      <w:r>
        <w:rPr>
          <w:rFonts w:ascii="Times New Roman" w:hAnsi="Times New Roman"/>
          <w:kern w:val="2"/>
          <w:szCs w:val="21"/>
        </w:rPr>
        <w:t>（13）</w:t>
      </w:r>
      <w:r>
        <w:rPr>
          <w:rFonts w:ascii="Times New Roman" w:hAnsi="Times New Roman"/>
          <w:kern w:val="2"/>
          <w:szCs w:val="21"/>
        </w:rPr>
        <w:tab/>
      </w:r>
      <w:r>
        <w:rPr>
          <w:rFonts w:hint="eastAsia" w:ascii="Times New Roman" w:hAnsi="Times New Roman"/>
          <w:kern w:val="2"/>
          <w:szCs w:val="21"/>
        </w:rPr>
        <w:t>由于</w:t>
      </w:r>
      <w:r>
        <w:rPr>
          <w:rFonts w:ascii="Times New Roman" w:hAnsi="Times New Roman"/>
          <w:kern w:val="2"/>
          <w:szCs w:val="21"/>
        </w:rPr>
        <w:t>第90/385/EEC和93/42/EEC号指令</w:t>
      </w:r>
      <w:r>
        <w:rPr>
          <w:rFonts w:hint="eastAsia" w:ascii="Times New Roman" w:hAnsi="Times New Roman"/>
          <w:kern w:val="2"/>
          <w:szCs w:val="21"/>
        </w:rPr>
        <w:t>和</w:t>
      </w:r>
      <w:r>
        <w:rPr>
          <w:rFonts w:ascii="Times New Roman" w:hAnsi="Times New Roman"/>
          <w:kern w:val="2"/>
          <w:szCs w:val="21"/>
        </w:rPr>
        <w:t>本法规中明确排除含有人类或动物来源活组织或细胞的产品，应当</w:t>
      </w:r>
      <w:r>
        <w:rPr>
          <w:rFonts w:hint="eastAsia" w:ascii="Times New Roman" w:hAnsi="Times New Roman"/>
          <w:kern w:val="2"/>
          <w:szCs w:val="21"/>
        </w:rPr>
        <w:t>澄清的是，</w:t>
      </w:r>
      <w:r>
        <w:rPr>
          <w:rFonts w:ascii="Times New Roman" w:hAnsi="Times New Roman"/>
          <w:kern w:val="2"/>
          <w:szCs w:val="21"/>
        </w:rPr>
        <w:t>含有或</w:t>
      </w:r>
      <w:r>
        <w:rPr>
          <w:rFonts w:hint="eastAsia" w:ascii="Times New Roman" w:hAnsi="Times New Roman"/>
          <w:kern w:val="2"/>
          <w:szCs w:val="21"/>
        </w:rPr>
        <w:t>构成自</w:t>
      </w:r>
      <w:r>
        <w:rPr>
          <w:rFonts w:ascii="Times New Roman" w:hAnsi="Times New Roman"/>
          <w:kern w:val="2"/>
          <w:szCs w:val="21"/>
        </w:rPr>
        <w:t>其他来源活体生物物质或活体组织以实现或支持这些产品预期目的</w:t>
      </w:r>
      <w:r>
        <w:rPr>
          <w:rFonts w:hint="eastAsia" w:ascii="Times New Roman" w:hAnsi="Times New Roman"/>
          <w:kern w:val="2"/>
          <w:szCs w:val="21"/>
        </w:rPr>
        <w:t>之</w:t>
      </w:r>
      <w:r>
        <w:rPr>
          <w:rFonts w:ascii="Times New Roman" w:hAnsi="Times New Roman"/>
          <w:kern w:val="2"/>
          <w:szCs w:val="21"/>
        </w:rPr>
        <w:t>产品也不在本法规管辖范围内。</w:t>
      </w:r>
    </w:p>
    <w:p w14:paraId="4F3E5E07">
      <w:pPr>
        <w:pStyle w:val="8"/>
        <w:tabs>
          <w:tab w:val="left" w:pos="682"/>
        </w:tabs>
        <w:snapToGrid w:val="0"/>
        <w:spacing w:beforeLines="15" w:line="300" w:lineRule="auto"/>
        <w:ind w:left="655" w:hanging="655" w:hangingChars="312"/>
        <w:jc w:val="both"/>
        <w:rPr>
          <w:kern w:val="2"/>
          <w:szCs w:val="21"/>
        </w:rPr>
      </w:pPr>
      <w:r>
        <w:rPr>
          <w:kern w:val="2"/>
          <w:szCs w:val="21"/>
        </w:rPr>
        <w:t>（14）</w:t>
      </w:r>
      <w:r>
        <w:rPr>
          <w:kern w:val="2"/>
          <w:szCs w:val="21"/>
        </w:rPr>
        <w:tab/>
      </w:r>
      <w:r>
        <w:rPr>
          <w:kern w:val="2"/>
          <w:szCs w:val="21"/>
        </w:rPr>
        <w:t>欧洲议会和理事会第2002/98/EC号指令</w:t>
      </w:r>
      <w:r>
        <w:rPr>
          <w:rFonts w:hint="eastAsia"/>
          <w:kern w:val="2"/>
          <w:szCs w:val="21"/>
        </w:rPr>
        <w:t>（</w:t>
      </w:r>
      <w:r>
        <w:rPr>
          <w:kern w:val="2"/>
          <w:szCs w:val="21"/>
          <w:vertAlign w:val="superscript"/>
        </w:rPr>
        <w:t>3</w:t>
      </w:r>
      <w:r>
        <w:rPr>
          <w:rFonts w:hint="eastAsia"/>
          <w:kern w:val="2"/>
          <w:szCs w:val="21"/>
        </w:rPr>
        <w:t>）设定的</w:t>
      </w:r>
      <w:r>
        <w:rPr>
          <w:kern w:val="2"/>
          <w:szCs w:val="21"/>
        </w:rPr>
        <w:t>要求应当继续适用。</w:t>
      </w:r>
    </w:p>
    <w:p w14:paraId="243661A6">
      <w:pPr>
        <w:pStyle w:val="32"/>
        <w:tabs>
          <w:tab w:val="left" w:pos="682"/>
        </w:tabs>
        <w:snapToGrid w:val="0"/>
        <w:spacing w:beforeLines="15" w:line="300" w:lineRule="auto"/>
        <w:ind w:left="655" w:hanging="655" w:hangingChars="312"/>
        <w:jc w:val="both"/>
        <w:rPr>
          <w:rFonts w:ascii="Times New Roman" w:hAnsi="Times New Roman"/>
          <w:kern w:val="2"/>
          <w:szCs w:val="21"/>
        </w:rPr>
      </w:pPr>
      <w:r>
        <w:rPr>
          <w:rFonts w:ascii="Times New Roman" w:hAnsi="Times New Roman"/>
          <w:kern w:val="2"/>
          <w:szCs w:val="21"/>
        </w:rPr>
        <w:t>（15）</w:t>
      </w:r>
      <w:r>
        <w:rPr>
          <w:rFonts w:ascii="Times New Roman" w:hAnsi="Times New Roman"/>
          <w:kern w:val="2"/>
          <w:szCs w:val="21"/>
        </w:rPr>
        <w:tab/>
      </w:r>
      <w:r>
        <w:rPr>
          <w:rFonts w:ascii="Times New Roman" w:hAnsi="Times New Roman"/>
          <w:kern w:val="2"/>
          <w:szCs w:val="21"/>
        </w:rPr>
        <w:t>适用于器械的纳米材料风险和益处</w:t>
      </w:r>
      <w:r>
        <w:rPr>
          <w:rFonts w:hint="eastAsia" w:ascii="Times New Roman" w:hAnsi="Times New Roman"/>
          <w:kern w:val="2"/>
          <w:szCs w:val="21"/>
        </w:rPr>
        <w:t>目前</w:t>
      </w:r>
      <w:r>
        <w:rPr>
          <w:rFonts w:ascii="Times New Roman" w:hAnsi="Times New Roman"/>
          <w:kern w:val="2"/>
          <w:szCs w:val="21"/>
        </w:rPr>
        <w:t>存在科学不确定性。为确保高水平的健康保护、货物自由流通和制造商的法律确定性，</w:t>
      </w:r>
      <w:r>
        <w:rPr>
          <w:rFonts w:hint="eastAsia" w:ascii="Times New Roman" w:hAnsi="Times New Roman"/>
          <w:kern w:val="2"/>
          <w:szCs w:val="21"/>
        </w:rPr>
        <w:t>基于</w:t>
      </w:r>
      <w:r>
        <w:rPr>
          <w:rFonts w:ascii="Times New Roman" w:hAnsi="Times New Roman"/>
          <w:kern w:val="2"/>
          <w:szCs w:val="21"/>
        </w:rPr>
        <w:t>委员会第2011/696/EU号建议</w:t>
      </w:r>
      <w:r>
        <w:rPr>
          <w:rFonts w:hint="eastAsia" w:ascii="Times New Roman" w:hAnsi="Times New Roman"/>
          <w:kern w:val="2"/>
          <w:szCs w:val="21"/>
        </w:rPr>
        <w:t>（</w:t>
      </w:r>
      <w:r>
        <w:rPr>
          <w:rFonts w:ascii="Times New Roman" w:hAnsi="Times New Roman"/>
          <w:kern w:val="2"/>
          <w:szCs w:val="21"/>
          <w:vertAlign w:val="superscript"/>
        </w:rPr>
        <w:t>4</w:t>
      </w:r>
      <w:r>
        <w:rPr>
          <w:rFonts w:hint="eastAsia" w:ascii="Times New Roman" w:hAnsi="Times New Roman"/>
          <w:kern w:val="2"/>
          <w:szCs w:val="21"/>
        </w:rPr>
        <w:t>）</w:t>
      </w:r>
      <w:r>
        <w:rPr>
          <w:rFonts w:ascii="Times New Roman" w:hAnsi="Times New Roman"/>
          <w:kern w:val="2"/>
          <w:szCs w:val="21"/>
        </w:rPr>
        <w:t>，</w:t>
      </w:r>
      <w:r>
        <w:rPr>
          <w:rFonts w:hint="eastAsia" w:ascii="Times New Roman" w:hAnsi="Times New Roman"/>
          <w:kern w:val="2"/>
          <w:szCs w:val="21"/>
        </w:rPr>
        <w:t>有必要为纳米材料引入一个统一定义，这一定义</w:t>
      </w:r>
      <w:r>
        <w:rPr>
          <w:rFonts w:ascii="Times New Roman" w:hAnsi="Times New Roman"/>
          <w:kern w:val="2"/>
          <w:szCs w:val="21"/>
        </w:rPr>
        <w:t>应具有必要的灵活性，以使得这一定义适应科学和技术进展以及后续欧盟和国际层面的监管发展。在器械的设计和制造中，制造商在使用具有较高或中等体内照射可能的纳米颗粒时应特别注意，这些器械应接受最为严格的符合性评估程序。在法案试行期间对本法规中规定的相关要求的实施以及应用，应考虑</w:t>
      </w:r>
      <w:r>
        <w:rPr>
          <w:rFonts w:hint="eastAsia" w:ascii="Times New Roman" w:hAnsi="Times New Roman"/>
          <w:kern w:val="2"/>
          <w:szCs w:val="21"/>
        </w:rPr>
        <w:t>相应</w:t>
      </w:r>
      <w:r>
        <w:rPr>
          <w:rFonts w:ascii="Times New Roman" w:hAnsi="Times New Roman"/>
          <w:kern w:val="2"/>
          <w:szCs w:val="21"/>
        </w:rPr>
        <w:t>科学委员会的科学意见。</w:t>
      </w:r>
    </w:p>
    <w:p w14:paraId="44560ED5">
      <w:pPr>
        <w:pStyle w:val="32"/>
        <w:tabs>
          <w:tab w:val="left" w:pos="682"/>
        </w:tabs>
        <w:snapToGrid w:val="0"/>
        <w:spacing w:beforeLines="15" w:line="300" w:lineRule="auto"/>
        <w:ind w:left="655" w:hanging="655" w:hangingChars="312"/>
        <w:jc w:val="both"/>
        <w:rPr>
          <w:rFonts w:ascii="Times New Roman" w:hAnsi="Times New Roman"/>
          <w:kern w:val="2"/>
          <w:szCs w:val="21"/>
        </w:rPr>
      </w:pPr>
      <w:r>
        <w:rPr>
          <w:rFonts w:ascii="Times New Roman" w:hAnsi="Times New Roman"/>
          <w:kern w:val="2"/>
          <w:szCs w:val="21"/>
        </w:rPr>
        <w:t>（16）欧洲议会和理事会第2014/30/EU号指令</w:t>
      </w:r>
      <w:r>
        <w:rPr>
          <w:rFonts w:hint="eastAsia" w:ascii="Times New Roman" w:hAnsi="Times New Roman"/>
          <w:kern w:val="2"/>
          <w:szCs w:val="21"/>
        </w:rPr>
        <w:t>（</w:t>
      </w:r>
      <w:r>
        <w:rPr>
          <w:rFonts w:ascii="Times New Roman" w:hAnsi="Times New Roman"/>
          <w:kern w:val="2"/>
          <w:szCs w:val="21"/>
        </w:rPr>
        <w:t>5</w:t>
      </w:r>
      <w:r>
        <w:rPr>
          <w:rFonts w:hint="eastAsia" w:ascii="Times New Roman" w:hAnsi="Times New Roman"/>
          <w:kern w:val="2"/>
          <w:szCs w:val="21"/>
        </w:rPr>
        <w:t>）</w:t>
      </w:r>
      <w:r>
        <w:rPr>
          <w:rFonts w:ascii="Times New Roman" w:hAnsi="Times New Roman"/>
          <w:kern w:val="2"/>
          <w:szCs w:val="21"/>
        </w:rPr>
        <w:t>所</w:t>
      </w:r>
      <w:r>
        <w:rPr>
          <w:rFonts w:hint="eastAsia" w:ascii="Times New Roman" w:hAnsi="Times New Roman"/>
          <w:kern w:val="2"/>
          <w:szCs w:val="21"/>
        </w:rPr>
        <w:t>论述</w:t>
      </w:r>
      <w:r>
        <w:rPr>
          <w:rFonts w:ascii="Times New Roman" w:hAnsi="Times New Roman"/>
          <w:kern w:val="2"/>
          <w:szCs w:val="21"/>
        </w:rPr>
        <w:t>的安全</w:t>
      </w:r>
      <w:r>
        <w:rPr>
          <w:rFonts w:hint="eastAsia" w:ascii="Times New Roman" w:hAnsi="Times New Roman"/>
          <w:kern w:val="2"/>
          <w:szCs w:val="21"/>
        </w:rPr>
        <w:t>问题</w:t>
      </w:r>
      <w:r>
        <w:rPr>
          <w:rFonts w:ascii="Times New Roman" w:hAnsi="Times New Roman"/>
          <w:kern w:val="2"/>
          <w:szCs w:val="21"/>
        </w:rPr>
        <w:t>属于本法规中规定的器械通用安全与性能要求的一部分。因此，本法规应被视为与该指令有关的特别法。</w:t>
      </w:r>
    </w:p>
    <w:p w14:paraId="0F1FB7AB">
      <w:pPr>
        <w:pStyle w:val="32"/>
        <w:tabs>
          <w:tab w:val="left" w:pos="682"/>
        </w:tabs>
        <w:snapToGrid w:val="0"/>
        <w:spacing w:beforeLines="15" w:line="300" w:lineRule="auto"/>
        <w:ind w:left="655" w:hanging="655" w:hangingChars="312"/>
        <w:jc w:val="both"/>
        <w:rPr>
          <w:rFonts w:ascii="Times New Roman" w:hAnsi="Times New Roman"/>
          <w:kern w:val="2"/>
          <w:szCs w:val="21"/>
        </w:rPr>
      </w:pPr>
      <w:r>
        <w:rPr>
          <w:rFonts w:ascii="Times New Roman" w:hAnsi="Times New Roman"/>
          <w:kern w:val="2"/>
          <w:szCs w:val="21"/>
        </w:rPr>
        <w:t>（17）本法规应包括关于发射离子辐射的器械的设计和制造要求，而不影响寻求其他目标</w:t>
      </w:r>
      <w:r>
        <w:rPr>
          <w:rFonts w:hint="eastAsia" w:ascii="Times New Roman" w:hAnsi="Times New Roman"/>
          <w:kern w:val="2"/>
          <w:szCs w:val="21"/>
        </w:rPr>
        <w:t>的理事会</w:t>
      </w:r>
      <w:r>
        <w:rPr>
          <w:rFonts w:ascii="Times New Roman" w:hAnsi="Times New Roman"/>
          <w:kern w:val="2"/>
          <w:szCs w:val="21"/>
        </w:rPr>
        <w:t>第2013/59/Euratom号指令</w:t>
      </w:r>
      <w:r>
        <w:rPr>
          <w:rFonts w:hint="eastAsia" w:ascii="Times New Roman" w:hAnsi="Times New Roman"/>
          <w:kern w:val="2"/>
          <w:szCs w:val="21"/>
        </w:rPr>
        <w:t>（</w:t>
      </w:r>
      <w:r>
        <w:rPr>
          <w:rFonts w:ascii="Times New Roman" w:hAnsi="Times New Roman"/>
          <w:kern w:val="2"/>
          <w:szCs w:val="21"/>
          <w:vertAlign w:val="superscript"/>
        </w:rPr>
        <w:t>6</w:t>
      </w:r>
      <w:r>
        <w:rPr>
          <w:rFonts w:hint="eastAsia" w:ascii="Times New Roman" w:hAnsi="Times New Roman"/>
          <w:kern w:val="2"/>
          <w:szCs w:val="21"/>
        </w:rPr>
        <w:t>）</w:t>
      </w:r>
      <w:r>
        <w:rPr>
          <w:rFonts w:ascii="Times New Roman" w:hAnsi="Times New Roman"/>
          <w:kern w:val="2"/>
          <w:szCs w:val="21"/>
        </w:rPr>
        <w:t>的适用</w:t>
      </w:r>
      <w:r>
        <w:rPr>
          <w:rFonts w:hint="eastAsia" w:ascii="Times New Roman" w:hAnsi="Times New Roman"/>
          <w:kern w:val="2"/>
          <w:szCs w:val="21"/>
        </w:rPr>
        <w:t>性</w:t>
      </w:r>
      <w:r>
        <w:rPr>
          <w:rFonts w:ascii="Times New Roman" w:hAnsi="Times New Roman"/>
          <w:kern w:val="2"/>
          <w:szCs w:val="21"/>
        </w:rPr>
        <w:t>。</w:t>
      </w:r>
    </w:p>
    <w:p w14:paraId="1EC13F85">
      <w:pPr>
        <w:pStyle w:val="8"/>
        <w:tabs>
          <w:tab w:val="left" w:pos="682"/>
        </w:tabs>
        <w:snapToGrid w:val="0"/>
        <w:spacing w:beforeLines="15" w:line="300" w:lineRule="auto"/>
        <w:ind w:left="655" w:hanging="655" w:hangingChars="312"/>
        <w:jc w:val="both"/>
        <w:rPr>
          <w:kern w:val="2"/>
          <w:szCs w:val="21"/>
        </w:rPr>
      </w:pPr>
      <w:r>
        <w:rPr>
          <w:kern w:val="2"/>
          <w:szCs w:val="21"/>
        </w:rPr>
        <w:t>（18）本法规应包括关于旨在防止职业伤害（包括辐射防护）的器械设计、安全与性能特性相关要求。</w:t>
      </w:r>
    </w:p>
    <w:p w14:paraId="04350622">
      <w:pPr>
        <w:pStyle w:val="32"/>
        <w:tabs>
          <w:tab w:val="left" w:pos="682"/>
        </w:tabs>
        <w:snapToGrid w:val="0"/>
        <w:spacing w:beforeLines="25" w:line="300" w:lineRule="auto"/>
        <w:jc w:val="both"/>
        <w:rPr>
          <w:rFonts w:ascii="Times New Roman" w:hAnsi="Times New Roman"/>
          <w:kern w:val="2"/>
          <w:szCs w:val="21"/>
        </w:rPr>
      </w:pPr>
      <w:r>
        <w:rPr>
          <w:rFonts w:hint="eastAsia" w:ascii="Times New Roman" w:hAnsi="Times New Roman"/>
          <w:kern w:val="2"/>
          <w:szCs w:val="21"/>
        </w:rPr>
        <w:t>______________________</w:t>
      </w:r>
    </w:p>
    <w:p w14:paraId="57DDABF3">
      <w:pPr>
        <w:pStyle w:val="40"/>
        <w:spacing w:before="0" w:line="252" w:lineRule="auto"/>
        <w:ind w:left="336" w:hanging="336"/>
        <w:rPr>
          <w:szCs w:val="18"/>
        </w:rPr>
      </w:pPr>
      <w:r>
        <w:rPr>
          <w:rFonts w:hint="eastAsia"/>
          <w:szCs w:val="18"/>
        </w:rPr>
        <w:t>（</w:t>
      </w:r>
      <w:r>
        <w:rPr>
          <w:rFonts w:hint="eastAsia"/>
          <w:szCs w:val="18"/>
          <w:vertAlign w:val="superscript"/>
        </w:rPr>
        <w:t>1</w:t>
      </w:r>
      <w:r>
        <w:rPr>
          <w:rFonts w:hint="eastAsia"/>
          <w:szCs w:val="18"/>
        </w:rPr>
        <w:t>）欧洲议会和理事会于2007年11月13日签发的关于</w:t>
      </w:r>
      <w:r>
        <w:rPr>
          <w:szCs w:val="18"/>
        </w:rPr>
        <w:t>前沿疗法医药产品</w:t>
      </w:r>
      <w:r>
        <w:rPr>
          <w:rFonts w:hint="eastAsia"/>
          <w:szCs w:val="18"/>
        </w:rPr>
        <w:t>的第1394/2007号（EC）法规和修订了第2001/83/EC号指令和第726/2004号（EC）法规（OJ L 324,10.12.2007，</w:t>
      </w:r>
      <w:r>
        <w:rPr>
          <w:szCs w:val="18"/>
        </w:rPr>
        <w:t xml:space="preserve">p. </w:t>
      </w:r>
      <w:r>
        <w:rPr>
          <w:rFonts w:hint="eastAsia"/>
          <w:szCs w:val="18"/>
        </w:rPr>
        <w:t>121）。</w:t>
      </w:r>
    </w:p>
    <w:p w14:paraId="477A4B31">
      <w:pPr>
        <w:pStyle w:val="40"/>
        <w:spacing w:before="0" w:line="252" w:lineRule="auto"/>
        <w:ind w:left="336" w:hanging="336"/>
        <w:rPr>
          <w:szCs w:val="18"/>
        </w:rPr>
      </w:pPr>
      <w:r>
        <w:rPr>
          <w:rFonts w:hint="eastAsia"/>
          <w:szCs w:val="18"/>
        </w:rPr>
        <w:t>（</w:t>
      </w:r>
      <w:r>
        <w:rPr>
          <w:rFonts w:hint="eastAsia"/>
          <w:szCs w:val="18"/>
          <w:vertAlign w:val="superscript"/>
        </w:rPr>
        <w:t>2</w:t>
      </w:r>
      <w:r>
        <w:rPr>
          <w:rFonts w:hint="eastAsia"/>
          <w:szCs w:val="18"/>
        </w:rPr>
        <w:t>）欧洲议会和理事会于2004年3月31日签发的关于制定人体组织和细胞捐赠、采购、检测、处理、保存、储存和分配质量和安全标准的第2004/23/EC号指令（OJ L 102，7.4.2004，</w:t>
      </w:r>
      <w:r>
        <w:rPr>
          <w:szCs w:val="18"/>
        </w:rPr>
        <w:t xml:space="preserve">p. </w:t>
      </w:r>
      <w:r>
        <w:rPr>
          <w:rFonts w:hint="eastAsia"/>
          <w:szCs w:val="18"/>
        </w:rPr>
        <w:t>48）。</w:t>
      </w:r>
    </w:p>
    <w:p w14:paraId="47212345">
      <w:pPr>
        <w:pStyle w:val="40"/>
        <w:spacing w:before="0" w:line="252" w:lineRule="auto"/>
        <w:ind w:left="336" w:hanging="336"/>
        <w:rPr>
          <w:szCs w:val="18"/>
        </w:rPr>
      </w:pPr>
      <w:r>
        <w:rPr>
          <w:rFonts w:hint="eastAsia"/>
          <w:szCs w:val="18"/>
        </w:rPr>
        <w:t>（</w:t>
      </w:r>
      <w:r>
        <w:rPr>
          <w:rFonts w:hint="eastAsia"/>
          <w:szCs w:val="18"/>
          <w:vertAlign w:val="superscript"/>
        </w:rPr>
        <w:t>3</w:t>
      </w:r>
      <w:r>
        <w:rPr>
          <w:rFonts w:hint="eastAsia"/>
          <w:szCs w:val="18"/>
        </w:rPr>
        <w:t>）欧洲议会和理事会于2003年1月27日签发的关于制定了人血和血液成分的收集、测试、处理、储存和分配的质量和安全标准的第2002/98/EC号指令（OJ L 33，8.2.2003，</w:t>
      </w:r>
      <w:r>
        <w:rPr>
          <w:szCs w:val="18"/>
        </w:rPr>
        <w:t xml:space="preserve">p. </w:t>
      </w:r>
      <w:r>
        <w:rPr>
          <w:rFonts w:hint="eastAsia"/>
          <w:szCs w:val="18"/>
        </w:rPr>
        <w:t>30）。</w:t>
      </w:r>
    </w:p>
    <w:p w14:paraId="1ADA31B4">
      <w:pPr>
        <w:pStyle w:val="40"/>
        <w:spacing w:before="0" w:line="252" w:lineRule="auto"/>
        <w:ind w:left="336" w:hanging="336"/>
        <w:rPr>
          <w:szCs w:val="18"/>
        </w:rPr>
      </w:pPr>
      <w:r>
        <w:rPr>
          <w:rFonts w:hint="eastAsia"/>
          <w:szCs w:val="18"/>
        </w:rPr>
        <w:t>（</w:t>
      </w:r>
      <w:r>
        <w:rPr>
          <w:rFonts w:hint="eastAsia"/>
          <w:szCs w:val="18"/>
          <w:vertAlign w:val="superscript"/>
        </w:rPr>
        <w:t>4</w:t>
      </w:r>
      <w:r>
        <w:rPr>
          <w:rFonts w:hint="eastAsia"/>
          <w:szCs w:val="18"/>
        </w:rPr>
        <w:t>）2011年10月18日签发的关于纳米材料定义的委员会第2011/696/EU号建议（OJ L 275,20.10.2011，</w:t>
      </w:r>
      <w:r>
        <w:rPr>
          <w:szCs w:val="18"/>
        </w:rPr>
        <w:t xml:space="preserve">p. </w:t>
      </w:r>
      <w:r>
        <w:rPr>
          <w:rFonts w:hint="eastAsia"/>
          <w:szCs w:val="18"/>
        </w:rPr>
        <w:t>38）。</w:t>
      </w:r>
    </w:p>
    <w:p w14:paraId="37AB1BDC">
      <w:pPr>
        <w:pStyle w:val="53"/>
        <w:spacing w:line="252" w:lineRule="auto"/>
      </w:pPr>
      <w:r>
        <w:rPr>
          <w:rFonts w:hint="eastAsia"/>
        </w:rPr>
        <w:t>（</w:t>
      </w:r>
      <w:r>
        <w:rPr>
          <w:vertAlign w:val="superscript"/>
        </w:rPr>
        <w:t>5</w:t>
      </w:r>
      <w:r>
        <w:rPr>
          <w:rFonts w:hint="eastAsia"/>
        </w:rPr>
        <w:t>）</w:t>
      </w:r>
      <w:r>
        <w:rPr>
          <w:rFonts w:hint="eastAsia"/>
        </w:rPr>
        <w:tab/>
      </w:r>
      <w:r>
        <w:t>2014年2月26日欧洲议会和理事会第2014/30/EU号指令关于成员国有关电磁兼容性(OJ L 96, 29.3.2014. p. 79)。</w:t>
      </w:r>
    </w:p>
    <w:p w14:paraId="5D39E848">
      <w:pPr>
        <w:pStyle w:val="53"/>
        <w:spacing w:line="252" w:lineRule="auto"/>
      </w:pPr>
      <w:r>
        <w:rPr>
          <w:rFonts w:hint="eastAsia"/>
        </w:rPr>
        <w:t>（</w:t>
      </w:r>
      <w:r>
        <w:rPr>
          <w:vertAlign w:val="superscript"/>
        </w:rPr>
        <w:t>6</w:t>
      </w:r>
      <w:r>
        <w:rPr>
          <w:rFonts w:hint="eastAsia"/>
        </w:rPr>
        <w:t>）</w:t>
      </w:r>
      <w:r>
        <w:rPr>
          <w:rFonts w:hint="eastAsia"/>
        </w:rPr>
        <w:tab/>
      </w:r>
      <w:r>
        <w:t>2013年12月5日</w:t>
      </w:r>
      <w:r>
        <w:rPr>
          <w:rFonts w:hint="eastAsia"/>
        </w:rPr>
        <w:t>签发的理事会</w:t>
      </w:r>
      <w:r>
        <w:t>第2013/59/Euratom号指令规定了有关因离子辐射接触所引起的危险防护的基本安全标准，并废除寻求其他目标的第89/618/Euratom号指令、第90/641/Euratom号指令、第96/29/Euratom号指令、第97/43/Euratom号指令和第2003/122/Euratom号指令(OJ L 3, 17.1.2014, p. 1)。</w:t>
      </w:r>
    </w:p>
    <w:p w14:paraId="475D2D53">
      <w:pPr>
        <w:pStyle w:val="32"/>
        <w:topLinePunct/>
        <w:snapToGrid w:val="0"/>
        <w:spacing w:beforeLines="25" w:line="300" w:lineRule="auto"/>
        <w:ind w:left="615" w:hanging="615" w:hangingChars="293"/>
        <w:jc w:val="both"/>
        <w:rPr>
          <w:rFonts w:ascii="Times New Roman" w:hAnsi="Times New Roman"/>
          <w:kern w:val="2"/>
          <w:szCs w:val="21"/>
        </w:rPr>
      </w:pPr>
      <w:r>
        <w:rPr>
          <w:rFonts w:ascii="Times New Roman" w:hAnsi="Times New Roman"/>
          <w:kern w:val="2"/>
          <w:szCs w:val="21"/>
          <w:lang w:val="en-US"/>
        </w:rPr>
        <w:br w:type="page"/>
      </w:r>
      <w:r>
        <w:rPr>
          <w:rFonts w:ascii="Times New Roman" w:hAnsi="Times New Roman"/>
          <w:kern w:val="2"/>
          <w:szCs w:val="21"/>
        </w:rPr>
        <w:t>（19）</w:t>
      </w:r>
      <w:r>
        <w:rPr>
          <w:rFonts w:ascii="Times New Roman" w:hAnsi="Times New Roman"/>
          <w:kern w:val="2"/>
          <w:szCs w:val="21"/>
        </w:rPr>
        <w:tab/>
      </w:r>
      <w:r>
        <w:rPr>
          <w:rFonts w:hint="eastAsia" w:ascii="Times New Roman" w:hAnsi="Times New Roman"/>
          <w:kern w:val="2"/>
          <w:szCs w:val="21"/>
        </w:rPr>
        <w:t>有必要明确的是</w:t>
      </w:r>
      <w:r>
        <w:rPr>
          <w:rFonts w:ascii="Times New Roman" w:hAnsi="Times New Roman"/>
          <w:kern w:val="2"/>
          <w:szCs w:val="21"/>
        </w:rPr>
        <w:t>，</w:t>
      </w:r>
      <w:r>
        <w:rPr>
          <w:kern w:val="2"/>
          <w:szCs w:val="21"/>
        </w:rPr>
        <w:t>当制造商</w:t>
      </w:r>
      <w:r>
        <w:rPr>
          <w:rFonts w:hint="eastAsia"/>
          <w:kern w:val="2"/>
          <w:szCs w:val="21"/>
        </w:rPr>
        <w:t>的软件专用于</w:t>
      </w:r>
      <w:r>
        <w:rPr>
          <w:kern w:val="2"/>
          <w:szCs w:val="21"/>
        </w:rPr>
        <w:t>医疗器械定义中所述的一种或多种医学目的时，软件本身可视为医疗器械，而用于一般目的</w:t>
      </w:r>
      <w:r>
        <w:rPr>
          <w:rFonts w:hint="eastAsia"/>
          <w:kern w:val="2"/>
          <w:szCs w:val="21"/>
        </w:rPr>
        <w:t>的</w:t>
      </w:r>
      <w:r>
        <w:rPr>
          <w:kern w:val="2"/>
          <w:szCs w:val="21"/>
        </w:rPr>
        <w:t>软件，即使在医疗保健环境中使用，或用于健康应用之软件，</w:t>
      </w:r>
      <w:r>
        <w:rPr>
          <w:rFonts w:hint="eastAsia"/>
          <w:kern w:val="2"/>
          <w:szCs w:val="21"/>
        </w:rPr>
        <w:t>均</w:t>
      </w:r>
      <w:r>
        <w:rPr>
          <w:kern w:val="2"/>
          <w:szCs w:val="21"/>
        </w:rPr>
        <w:t>不视为医疗器械。作为器械或</w:t>
      </w:r>
      <w:r>
        <w:rPr>
          <w:rFonts w:hint="eastAsia"/>
          <w:kern w:val="2"/>
          <w:szCs w:val="21"/>
        </w:rPr>
        <w:t>附件</w:t>
      </w:r>
      <w:r>
        <w:rPr>
          <w:kern w:val="2"/>
          <w:szCs w:val="21"/>
        </w:rPr>
        <w:t>之软件的资格评定不得依赖于这个软件和器械之间的物理位置或互连类型决定。</w:t>
      </w:r>
    </w:p>
    <w:p w14:paraId="65FFD7B7">
      <w:pPr>
        <w:pStyle w:val="8"/>
        <w:topLinePunct/>
        <w:snapToGrid w:val="0"/>
        <w:spacing w:beforeLines="25" w:line="300" w:lineRule="auto"/>
        <w:ind w:left="615" w:hanging="615" w:hangingChars="293"/>
        <w:jc w:val="both"/>
        <w:rPr>
          <w:kern w:val="2"/>
          <w:szCs w:val="21"/>
        </w:rPr>
      </w:pPr>
      <w:r>
        <w:rPr>
          <w:kern w:val="2"/>
          <w:szCs w:val="21"/>
        </w:rPr>
        <w:t>（20）</w:t>
      </w:r>
      <w:r>
        <w:rPr>
          <w:kern w:val="2"/>
          <w:szCs w:val="21"/>
        </w:rPr>
        <w:tab/>
      </w:r>
      <w:r>
        <w:rPr>
          <w:rFonts w:hint="eastAsia"/>
          <w:kern w:val="2"/>
          <w:szCs w:val="21"/>
        </w:rPr>
        <w:t>本法规中，</w:t>
      </w:r>
      <w:r>
        <w:rPr>
          <w:kern w:val="2"/>
          <w:szCs w:val="21"/>
        </w:rPr>
        <w:t>关于器械本身、器械供应、经济</w:t>
      </w:r>
      <w:r>
        <w:rPr>
          <w:rFonts w:hint="eastAsia"/>
          <w:kern w:val="2"/>
          <w:szCs w:val="21"/>
        </w:rPr>
        <w:t>运营商</w:t>
      </w:r>
      <w:r>
        <w:rPr>
          <w:kern w:val="2"/>
          <w:szCs w:val="21"/>
        </w:rPr>
        <w:t>、使用者和具体过程、符合性评估、临床</w:t>
      </w:r>
      <w:r>
        <w:rPr>
          <w:rFonts w:hint="eastAsia"/>
          <w:kern w:val="2"/>
          <w:szCs w:val="21"/>
        </w:rPr>
        <w:t>研究与</w:t>
      </w:r>
      <w:r>
        <w:rPr>
          <w:kern w:val="2"/>
          <w:szCs w:val="21"/>
        </w:rPr>
        <w:t>证据、</w:t>
      </w:r>
      <w:r>
        <w:rPr>
          <w:rFonts w:hint="eastAsia"/>
          <w:kern w:val="2"/>
          <w:szCs w:val="21"/>
        </w:rPr>
        <w:t>上市后监管、</w:t>
      </w:r>
      <w:r>
        <w:rPr>
          <w:kern w:val="2"/>
          <w:szCs w:val="21"/>
        </w:rPr>
        <w:t>警戒和</w:t>
      </w:r>
      <w:r>
        <w:rPr>
          <w:rFonts w:hint="eastAsia"/>
          <w:kern w:val="2"/>
          <w:szCs w:val="21"/>
        </w:rPr>
        <w:t>市场监管</w:t>
      </w:r>
      <w:r>
        <w:rPr>
          <w:kern w:val="2"/>
          <w:szCs w:val="21"/>
        </w:rPr>
        <w:t>、标准和其他技术规范等定义应当符合欧盟和国际</w:t>
      </w:r>
      <w:r>
        <w:rPr>
          <w:rFonts w:hint="eastAsia"/>
          <w:kern w:val="2"/>
          <w:szCs w:val="21"/>
        </w:rPr>
        <w:t>上本领域的</w:t>
      </w:r>
      <w:r>
        <w:rPr>
          <w:kern w:val="2"/>
          <w:szCs w:val="21"/>
        </w:rPr>
        <w:t>既定做法，以提高法律确定性。</w:t>
      </w:r>
    </w:p>
    <w:p w14:paraId="2B68813F">
      <w:pPr>
        <w:pStyle w:val="32"/>
        <w:tabs>
          <w:tab w:val="left" w:pos="682"/>
        </w:tabs>
        <w:topLinePunct/>
        <w:snapToGrid w:val="0"/>
        <w:spacing w:beforeLines="25" w:line="300" w:lineRule="auto"/>
        <w:ind w:left="615" w:hanging="615" w:hangingChars="293"/>
        <w:jc w:val="both"/>
        <w:rPr>
          <w:rFonts w:ascii="Times New Roman" w:hAnsi="Times New Roman"/>
          <w:kern w:val="2"/>
          <w:szCs w:val="21"/>
        </w:rPr>
      </w:pPr>
      <w:r>
        <w:rPr>
          <w:rFonts w:ascii="Times New Roman" w:hAnsi="Times New Roman"/>
          <w:kern w:val="2"/>
          <w:szCs w:val="21"/>
        </w:rPr>
        <w:t>(21)</w:t>
      </w:r>
      <w:r>
        <w:rPr>
          <w:rFonts w:ascii="Times New Roman" w:hAnsi="Times New Roman"/>
          <w:kern w:val="2"/>
          <w:szCs w:val="21"/>
        </w:rPr>
        <w:tab/>
      </w:r>
      <w:r>
        <w:rPr>
          <w:kern w:val="2"/>
          <w:szCs w:val="21"/>
        </w:rPr>
        <w:t>应明确指出，通过欧洲议会和理事会</w:t>
      </w:r>
      <w:r>
        <w:rPr>
          <w:rFonts w:hint="eastAsia"/>
          <w:kern w:val="2"/>
          <w:szCs w:val="21"/>
        </w:rPr>
        <w:t>第2015</w:t>
      </w:r>
      <w:r>
        <w:rPr>
          <w:kern w:val="2"/>
          <w:szCs w:val="21"/>
        </w:rPr>
        <w:t>/</w:t>
      </w:r>
      <w:r>
        <w:rPr>
          <w:rFonts w:hint="eastAsia"/>
          <w:kern w:val="2"/>
          <w:szCs w:val="21"/>
        </w:rPr>
        <w:t>1535</w:t>
      </w:r>
      <w:r>
        <w:rPr>
          <w:kern w:val="2"/>
          <w:szCs w:val="21"/>
        </w:rPr>
        <w:t>号指令</w:t>
      </w:r>
      <w:r>
        <w:rPr>
          <w:rFonts w:hint="eastAsia" w:ascii="Times New Roman" w:hAnsi="Times New Roman"/>
          <w:kern w:val="2"/>
          <w:szCs w:val="21"/>
        </w:rPr>
        <w:t>（</w:t>
      </w:r>
      <w:r>
        <w:rPr>
          <w:rFonts w:ascii="Times New Roman" w:hAnsi="Times New Roman"/>
          <w:kern w:val="2"/>
          <w:szCs w:val="21"/>
          <w:vertAlign w:val="superscript"/>
        </w:rPr>
        <w:t>1</w:t>
      </w:r>
      <w:r>
        <w:rPr>
          <w:rFonts w:hint="eastAsia" w:ascii="Times New Roman" w:hAnsi="Times New Roman"/>
          <w:kern w:val="2"/>
          <w:szCs w:val="21"/>
        </w:rPr>
        <w:t>）</w:t>
      </w:r>
      <w:r>
        <w:rPr>
          <w:kern w:val="2"/>
          <w:szCs w:val="21"/>
        </w:rPr>
        <w:t>中所规定的信息服务，向欧盟人员提供的器械以及在商业活动范围内用于为欧盟内人员提供诊断或治疗服务的器械，当在欧盟境内上市或提供服务时，必须符合本法规要求。</w:t>
      </w:r>
    </w:p>
    <w:p w14:paraId="20FE9C7C">
      <w:pPr>
        <w:pStyle w:val="32"/>
        <w:topLinePunct/>
        <w:snapToGrid w:val="0"/>
        <w:spacing w:beforeLines="25" w:line="300" w:lineRule="auto"/>
        <w:ind w:left="615" w:hanging="615" w:hangingChars="293"/>
        <w:jc w:val="both"/>
        <w:rPr>
          <w:rFonts w:ascii="Times New Roman" w:hAnsi="Times New Roman"/>
          <w:kern w:val="2"/>
          <w:szCs w:val="21"/>
        </w:rPr>
      </w:pPr>
      <w:r>
        <w:rPr>
          <w:rFonts w:ascii="Times New Roman" w:hAnsi="Times New Roman"/>
          <w:kern w:val="2"/>
          <w:szCs w:val="21"/>
        </w:rPr>
        <w:t>（22）</w:t>
      </w:r>
      <w:r>
        <w:rPr>
          <w:rFonts w:ascii="Times New Roman" w:hAnsi="Times New Roman"/>
          <w:kern w:val="2"/>
          <w:szCs w:val="21"/>
        </w:rPr>
        <w:tab/>
      </w:r>
      <w:r>
        <w:rPr>
          <w:kern w:val="2"/>
          <w:szCs w:val="21"/>
        </w:rPr>
        <w:t>为认识到标准化在医疗器械领域中的重要作用，符合</w:t>
      </w:r>
      <w:r>
        <w:rPr>
          <w:rFonts w:hint="eastAsia"/>
          <w:kern w:val="2"/>
          <w:szCs w:val="21"/>
        </w:rPr>
        <w:t>欧洲议会和理事会</w:t>
      </w:r>
      <w:r>
        <w:rPr>
          <w:kern w:val="2"/>
          <w:szCs w:val="21"/>
        </w:rPr>
        <w:t>第1025/2012号法规</w:t>
      </w:r>
      <w:r>
        <w:rPr>
          <w:rFonts w:hint="eastAsia" w:ascii="Times New Roman" w:hAnsi="Times New Roman"/>
          <w:kern w:val="2"/>
          <w:szCs w:val="21"/>
        </w:rPr>
        <w:t>（</w:t>
      </w:r>
      <w:r>
        <w:rPr>
          <w:rFonts w:ascii="Times New Roman" w:hAnsi="Times New Roman"/>
          <w:kern w:val="2"/>
          <w:szCs w:val="21"/>
          <w:vertAlign w:val="superscript"/>
        </w:rPr>
        <w:t>2</w:t>
      </w:r>
      <w:r>
        <w:rPr>
          <w:rFonts w:hint="eastAsia" w:ascii="Times New Roman" w:hAnsi="Times New Roman"/>
          <w:kern w:val="2"/>
          <w:szCs w:val="21"/>
        </w:rPr>
        <w:t>）</w:t>
      </w:r>
      <w:r>
        <w:rPr>
          <w:kern w:val="2"/>
          <w:szCs w:val="21"/>
        </w:rPr>
        <w:t>中规定的协调标准之相关证据，应</w:t>
      </w:r>
      <w:r>
        <w:rPr>
          <w:rFonts w:hint="eastAsia"/>
          <w:kern w:val="2"/>
          <w:szCs w:val="21"/>
        </w:rPr>
        <w:t>是</w:t>
      </w:r>
      <w:r>
        <w:rPr>
          <w:kern w:val="2"/>
          <w:szCs w:val="21"/>
        </w:rPr>
        <w:t>制造商证明其产品符合</w:t>
      </w:r>
      <w:r>
        <w:rPr>
          <w:rFonts w:hint="eastAsia"/>
          <w:kern w:val="2"/>
          <w:szCs w:val="21"/>
        </w:rPr>
        <w:t>通用</w:t>
      </w:r>
      <w:r>
        <w:rPr>
          <w:kern w:val="2"/>
          <w:szCs w:val="21"/>
        </w:rPr>
        <w:t>安全与性能要求以及其他法律要求（如</w:t>
      </w:r>
      <w:r>
        <w:rPr>
          <w:rFonts w:hint="eastAsia"/>
          <w:kern w:val="2"/>
          <w:szCs w:val="21"/>
        </w:rPr>
        <w:t>本法规所述</w:t>
      </w:r>
      <w:r>
        <w:rPr>
          <w:kern w:val="2"/>
          <w:szCs w:val="21"/>
        </w:rPr>
        <w:t>质量和风险管理）的手段。</w:t>
      </w:r>
    </w:p>
    <w:p w14:paraId="0E24893A">
      <w:pPr>
        <w:pStyle w:val="32"/>
        <w:tabs>
          <w:tab w:val="left" w:pos="682"/>
        </w:tabs>
        <w:topLinePunct/>
        <w:snapToGrid w:val="0"/>
        <w:spacing w:beforeLines="25" w:line="300" w:lineRule="auto"/>
        <w:ind w:left="615" w:hanging="615" w:hangingChars="293"/>
        <w:jc w:val="both"/>
        <w:rPr>
          <w:rFonts w:ascii="Times New Roman" w:hAnsi="Times New Roman"/>
          <w:kern w:val="2"/>
          <w:szCs w:val="21"/>
        </w:rPr>
      </w:pPr>
      <w:r>
        <w:rPr>
          <w:rFonts w:ascii="Times New Roman" w:hAnsi="Times New Roman"/>
          <w:kern w:val="2"/>
          <w:szCs w:val="21"/>
        </w:rPr>
        <w:t>(23)</w:t>
      </w:r>
      <w:r>
        <w:rPr>
          <w:rFonts w:ascii="Times New Roman" w:hAnsi="Times New Roman"/>
          <w:kern w:val="2"/>
          <w:szCs w:val="21"/>
        </w:rPr>
        <w:tab/>
      </w:r>
      <w:r>
        <w:rPr>
          <w:rFonts w:ascii="Times New Roman" w:hAnsi="Times New Roman"/>
          <w:kern w:val="2"/>
          <w:szCs w:val="21"/>
        </w:rPr>
        <w:t>欧洲议会和理事会第98/79/EC号指令</w:t>
      </w:r>
      <w:r>
        <w:rPr>
          <w:rFonts w:hint="eastAsia" w:ascii="Times New Roman" w:hAnsi="Times New Roman"/>
          <w:kern w:val="2"/>
          <w:szCs w:val="21"/>
        </w:rPr>
        <w:t>（</w:t>
      </w:r>
      <w:r>
        <w:rPr>
          <w:rFonts w:ascii="Times New Roman" w:hAnsi="Times New Roman"/>
          <w:kern w:val="2"/>
          <w:szCs w:val="21"/>
          <w:vertAlign w:val="superscript"/>
        </w:rPr>
        <w:t>3</w:t>
      </w:r>
      <w:r>
        <w:rPr>
          <w:rFonts w:hint="eastAsia" w:ascii="Times New Roman" w:hAnsi="Times New Roman"/>
          <w:kern w:val="2"/>
          <w:szCs w:val="21"/>
        </w:rPr>
        <w:t>）</w:t>
      </w:r>
      <w:r>
        <w:rPr>
          <w:rFonts w:ascii="Times New Roman" w:hAnsi="Times New Roman"/>
          <w:kern w:val="2"/>
          <w:szCs w:val="21"/>
        </w:rPr>
        <w:t>允许委员会对特定类别体外诊断医疗器械采用</w:t>
      </w:r>
      <w:r>
        <w:rPr>
          <w:rFonts w:hint="eastAsia" w:ascii="Times New Roman" w:hAnsi="Times New Roman"/>
          <w:kern w:val="2"/>
          <w:szCs w:val="21"/>
        </w:rPr>
        <w:t>通用</w:t>
      </w:r>
      <w:r>
        <w:rPr>
          <w:rFonts w:ascii="Times New Roman" w:hAnsi="Times New Roman"/>
          <w:kern w:val="2"/>
          <w:szCs w:val="21"/>
        </w:rPr>
        <w:t>技术规范。在没有协调标准或协调标准不充分的地区，委员会应有权制定</w:t>
      </w:r>
      <w:r>
        <w:rPr>
          <w:rFonts w:hint="eastAsia" w:ascii="Times New Roman" w:hAnsi="Times New Roman"/>
          <w:kern w:val="2"/>
          <w:szCs w:val="21"/>
        </w:rPr>
        <w:t>通用</w:t>
      </w:r>
      <w:r>
        <w:rPr>
          <w:rFonts w:ascii="Times New Roman" w:hAnsi="Times New Roman"/>
          <w:kern w:val="2"/>
          <w:szCs w:val="21"/>
        </w:rPr>
        <w:t>规范，以</w:t>
      </w:r>
      <w:r>
        <w:rPr>
          <w:rFonts w:hint="eastAsia" w:ascii="Times New Roman" w:hAnsi="Times New Roman"/>
          <w:kern w:val="2"/>
          <w:szCs w:val="21"/>
        </w:rPr>
        <w:t>提供一种手段来</w:t>
      </w:r>
      <w:r>
        <w:rPr>
          <w:rFonts w:ascii="Times New Roman" w:hAnsi="Times New Roman"/>
          <w:kern w:val="2"/>
          <w:szCs w:val="21"/>
        </w:rPr>
        <w:t>符合</w:t>
      </w:r>
      <w:r>
        <w:rPr>
          <w:rFonts w:hint="eastAsia" w:ascii="Times New Roman" w:hAnsi="Times New Roman"/>
          <w:kern w:val="2"/>
          <w:szCs w:val="21"/>
        </w:rPr>
        <w:t>本法规规定之</w:t>
      </w:r>
      <w:r>
        <w:rPr>
          <w:rFonts w:ascii="Times New Roman" w:hAnsi="Times New Roman"/>
          <w:kern w:val="2"/>
          <w:szCs w:val="21"/>
        </w:rPr>
        <w:t>通用安全与性能要求，以及临床研究和临床</w:t>
      </w:r>
      <w:r>
        <w:rPr>
          <w:rFonts w:hint="eastAsia" w:ascii="Times New Roman" w:hAnsi="Times New Roman"/>
          <w:kern w:val="2"/>
          <w:szCs w:val="21"/>
        </w:rPr>
        <w:t>评估及/或上市后跟踪等要求。</w:t>
      </w:r>
    </w:p>
    <w:p w14:paraId="7495161D">
      <w:pPr>
        <w:widowControl/>
        <w:snapToGrid w:val="0"/>
        <w:spacing w:beforeLines="25" w:line="300" w:lineRule="auto"/>
        <w:ind w:left="615" w:hanging="615" w:hangingChars="293"/>
        <w:jc w:val="left"/>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24</w:t>
      </w:r>
      <w:r>
        <w:rPr>
          <w:rFonts w:hint="eastAsia" w:ascii="Times New Roman" w:hAnsi="Times New Roman"/>
          <w:kern w:val="2"/>
          <w:szCs w:val="21"/>
        </w:rPr>
        <w:t>）</w:t>
      </w:r>
      <w:r>
        <w:rPr>
          <w:rFonts w:ascii="Times New Roman" w:hAnsi="Times New Roman"/>
          <w:kern w:val="2"/>
          <w:szCs w:val="21"/>
        </w:rPr>
        <w:tab/>
      </w:r>
      <w:r>
        <w:rPr>
          <w:rFonts w:ascii="Times New Roman" w:hAnsi="Times New Roman"/>
          <w:kern w:val="2"/>
          <w:szCs w:val="21"/>
        </w:rPr>
        <w:t>在咨询相关利益相关者并考虑欧洲和国际标准后，应制定通用规范（</w:t>
      </w:r>
      <w:r>
        <w:rPr>
          <w:rFonts w:hint="eastAsia" w:ascii="Times New Roman" w:hAnsi="Times New Roman"/>
          <w:kern w:val="2"/>
          <w:szCs w:val="21"/>
        </w:rPr>
        <w:t>“</w:t>
      </w:r>
      <w:r>
        <w:rPr>
          <w:rFonts w:ascii="Times New Roman" w:hAnsi="Times New Roman"/>
          <w:kern w:val="2"/>
          <w:szCs w:val="21"/>
        </w:rPr>
        <w:t>CS</w:t>
      </w:r>
      <w:r>
        <w:rPr>
          <w:rFonts w:hint="eastAsia" w:ascii="Times New Roman" w:hAnsi="Times New Roman"/>
          <w:kern w:val="2"/>
          <w:szCs w:val="21"/>
        </w:rPr>
        <w:t>”</w:t>
      </w:r>
      <w:r>
        <w:rPr>
          <w:rFonts w:ascii="Times New Roman" w:hAnsi="Times New Roman"/>
          <w:kern w:val="2"/>
          <w:szCs w:val="21"/>
        </w:rPr>
        <w:t>）。</w:t>
      </w:r>
    </w:p>
    <w:p w14:paraId="5CCA8028">
      <w:pPr>
        <w:pStyle w:val="32"/>
        <w:topLinePunct/>
        <w:snapToGrid w:val="0"/>
        <w:spacing w:beforeLines="25" w:line="300" w:lineRule="auto"/>
        <w:ind w:left="615" w:hanging="615" w:hangingChars="293"/>
        <w:jc w:val="both"/>
        <w:rPr>
          <w:rFonts w:ascii="Times New Roman" w:hAnsi="Times New Roman"/>
          <w:kern w:val="2"/>
          <w:szCs w:val="21"/>
        </w:rPr>
      </w:pPr>
      <w:r>
        <w:rPr>
          <w:rFonts w:ascii="Times New Roman" w:hAnsi="Times New Roman"/>
          <w:kern w:val="2"/>
          <w:szCs w:val="21"/>
        </w:rPr>
        <w:t>（25）</w:t>
      </w:r>
      <w:r>
        <w:rPr>
          <w:rFonts w:ascii="Times New Roman" w:hAnsi="Times New Roman"/>
          <w:kern w:val="2"/>
          <w:szCs w:val="21"/>
        </w:rPr>
        <w:tab/>
      </w:r>
      <w:r>
        <w:rPr>
          <w:rFonts w:ascii="Times New Roman" w:hAnsi="Times New Roman"/>
          <w:kern w:val="2"/>
          <w:szCs w:val="21"/>
        </w:rPr>
        <w:t>适用于器械的规则应酌情与</w:t>
      </w:r>
      <w:r>
        <w:rPr>
          <w:rFonts w:hint="eastAsia" w:ascii="Times New Roman" w:hAnsi="Times New Roman"/>
          <w:kern w:val="2"/>
          <w:szCs w:val="21"/>
        </w:rPr>
        <w:t>“</w:t>
      </w:r>
      <w:r>
        <w:rPr>
          <w:rFonts w:ascii="Times New Roman" w:hAnsi="Times New Roman"/>
          <w:kern w:val="2"/>
          <w:szCs w:val="21"/>
        </w:rPr>
        <w:t>产品营销新立法框架</w:t>
      </w:r>
      <w:r>
        <w:rPr>
          <w:rFonts w:hint="eastAsia" w:ascii="Times New Roman" w:hAnsi="Times New Roman"/>
          <w:kern w:val="2"/>
          <w:szCs w:val="21"/>
        </w:rPr>
        <w:t>”</w:t>
      </w:r>
      <w:r>
        <w:rPr>
          <w:rFonts w:ascii="Times New Roman" w:hAnsi="Times New Roman"/>
          <w:kern w:val="2"/>
          <w:szCs w:val="21"/>
        </w:rPr>
        <w:t>保持一致，其中包括欧洲议会和理事会第765/2008号法规</w:t>
      </w:r>
      <w:r>
        <w:rPr>
          <w:rFonts w:hint="eastAsia" w:ascii="Times New Roman" w:hAnsi="Times New Roman"/>
          <w:kern w:val="2"/>
          <w:szCs w:val="21"/>
        </w:rPr>
        <w:t>（</w:t>
      </w:r>
      <w:r>
        <w:rPr>
          <w:rFonts w:ascii="Times New Roman" w:hAnsi="Times New Roman"/>
          <w:kern w:val="2"/>
          <w:szCs w:val="21"/>
          <w:vertAlign w:val="superscript"/>
        </w:rPr>
        <w:t>4</w:t>
      </w:r>
      <w:r>
        <w:rPr>
          <w:rFonts w:hint="eastAsia" w:ascii="Times New Roman" w:hAnsi="Times New Roman"/>
          <w:kern w:val="2"/>
          <w:szCs w:val="21"/>
        </w:rPr>
        <w:t>）</w:t>
      </w:r>
      <w:r>
        <w:rPr>
          <w:rFonts w:ascii="Times New Roman" w:hAnsi="Times New Roman"/>
          <w:kern w:val="2"/>
          <w:szCs w:val="21"/>
        </w:rPr>
        <w:t>，</w:t>
      </w:r>
      <w:r>
        <w:rPr>
          <w:rFonts w:hint="eastAsia"/>
          <w:kern w:val="2"/>
          <w:szCs w:val="21"/>
        </w:rPr>
        <w:t>和</w:t>
      </w:r>
      <w:r>
        <w:rPr>
          <w:kern w:val="2"/>
          <w:szCs w:val="21"/>
        </w:rPr>
        <w:t>欧洲议会和理事会</w:t>
      </w:r>
      <w:r>
        <w:rPr>
          <w:rFonts w:ascii="Times New Roman" w:hAnsi="Times New Roman"/>
          <w:kern w:val="2"/>
          <w:szCs w:val="21"/>
        </w:rPr>
        <w:t>第768/2008/EC号</w:t>
      </w:r>
      <w:r>
        <w:rPr>
          <w:rFonts w:hint="eastAsia" w:ascii="Times New Roman" w:hAnsi="Times New Roman"/>
          <w:kern w:val="2"/>
          <w:szCs w:val="21"/>
        </w:rPr>
        <w:t>决议（</w:t>
      </w:r>
      <w:r>
        <w:rPr>
          <w:rFonts w:ascii="Times New Roman" w:hAnsi="Times New Roman"/>
          <w:kern w:val="2"/>
          <w:szCs w:val="21"/>
          <w:vertAlign w:val="superscript"/>
        </w:rPr>
        <w:t>5</w:t>
      </w:r>
      <w:r>
        <w:rPr>
          <w:rFonts w:hint="eastAsia" w:ascii="Times New Roman" w:hAnsi="Times New Roman"/>
          <w:kern w:val="2"/>
          <w:szCs w:val="21"/>
        </w:rPr>
        <w:t>）</w:t>
      </w:r>
      <w:r>
        <w:rPr>
          <w:rFonts w:ascii="Times New Roman" w:hAnsi="Times New Roman"/>
          <w:kern w:val="2"/>
          <w:szCs w:val="21"/>
        </w:rPr>
        <w:t>。</w:t>
      </w:r>
    </w:p>
    <w:p w14:paraId="3BE59E7C">
      <w:pPr>
        <w:pStyle w:val="32"/>
        <w:topLinePunct/>
        <w:snapToGrid w:val="0"/>
        <w:spacing w:beforeLines="25" w:line="300" w:lineRule="auto"/>
        <w:ind w:left="615" w:hanging="615" w:hangingChars="293"/>
        <w:jc w:val="both"/>
        <w:rPr>
          <w:rFonts w:ascii="Times New Roman" w:hAnsi="Times New Roman"/>
          <w:kern w:val="2"/>
          <w:szCs w:val="21"/>
        </w:rPr>
      </w:pPr>
      <w:r>
        <w:rPr>
          <w:rFonts w:ascii="Times New Roman" w:hAnsi="Times New Roman"/>
          <w:kern w:val="2"/>
          <w:szCs w:val="21"/>
        </w:rPr>
        <w:t>（26）</w:t>
      </w:r>
      <w:r>
        <w:rPr>
          <w:rFonts w:ascii="Times New Roman" w:hAnsi="Times New Roman"/>
          <w:kern w:val="2"/>
          <w:szCs w:val="21"/>
        </w:rPr>
        <w:tab/>
      </w:r>
      <w:r>
        <w:rPr>
          <w:rFonts w:hint="eastAsia" w:ascii="Times New Roman" w:hAnsi="Times New Roman"/>
          <w:kern w:val="2"/>
          <w:szCs w:val="21"/>
        </w:rPr>
        <w:t>针对</w:t>
      </w:r>
      <w:r>
        <w:rPr>
          <w:rFonts w:ascii="Times New Roman" w:hAnsi="Times New Roman"/>
          <w:kern w:val="2"/>
          <w:szCs w:val="21"/>
        </w:rPr>
        <w:t>进入欧盟市场</w:t>
      </w:r>
      <w:r>
        <w:rPr>
          <w:rFonts w:hint="eastAsia" w:ascii="Times New Roman" w:hAnsi="Times New Roman"/>
          <w:kern w:val="2"/>
          <w:szCs w:val="21"/>
        </w:rPr>
        <w:t>的</w:t>
      </w:r>
      <w:r>
        <w:rPr>
          <w:rFonts w:ascii="Times New Roman" w:hAnsi="Times New Roman"/>
          <w:kern w:val="2"/>
          <w:szCs w:val="21"/>
        </w:rPr>
        <w:t>产品</w:t>
      </w:r>
      <w:r>
        <w:rPr>
          <w:rFonts w:hint="eastAsia" w:ascii="Times New Roman" w:hAnsi="Times New Roman"/>
          <w:kern w:val="2"/>
          <w:szCs w:val="21"/>
        </w:rPr>
        <w:t>，</w:t>
      </w:r>
      <w:r>
        <w:rPr>
          <w:rFonts w:ascii="Times New Roman" w:hAnsi="Times New Roman"/>
          <w:kern w:val="2"/>
          <w:szCs w:val="21"/>
        </w:rPr>
        <w:t>欧洲委员会第765/2008号法规规定的欧盟市场监管和控制规则</w:t>
      </w:r>
      <w:r>
        <w:rPr>
          <w:rFonts w:hint="eastAsia" w:ascii="Times New Roman" w:hAnsi="Times New Roman"/>
          <w:kern w:val="2"/>
          <w:szCs w:val="21"/>
        </w:rPr>
        <w:t>，同样</w:t>
      </w:r>
      <w:r>
        <w:rPr>
          <w:rFonts w:ascii="Times New Roman" w:hAnsi="Times New Roman"/>
          <w:kern w:val="2"/>
          <w:szCs w:val="21"/>
        </w:rPr>
        <w:t>适用于本法规所涵盖的器械，</w:t>
      </w:r>
      <w:r>
        <w:rPr>
          <w:rFonts w:hint="eastAsia" w:ascii="Times New Roman" w:hAnsi="Times New Roman"/>
          <w:kern w:val="2"/>
          <w:szCs w:val="21"/>
        </w:rPr>
        <w:t>但</w:t>
      </w:r>
      <w:r>
        <w:rPr>
          <w:rFonts w:ascii="Times New Roman" w:hAnsi="Times New Roman"/>
          <w:kern w:val="2"/>
          <w:szCs w:val="21"/>
        </w:rPr>
        <w:t>这不妨碍成员国自行选择主管机构来执行这些任务。</w:t>
      </w:r>
    </w:p>
    <w:p w14:paraId="7ABA499D">
      <w:pPr>
        <w:pStyle w:val="32"/>
        <w:topLinePunct/>
        <w:snapToGrid w:val="0"/>
        <w:spacing w:beforeLines="25" w:line="300" w:lineRule="auto"/>
        <w:ind w:left="615" w:hanging="615" w:hangingChars="293"/>
        <w:jc w:val="both"/>
        <w:rPr>
          <w:rFonts w:ascii="Times New Roman" w:hAnsi="Times New Roman"/>
          <w:kern w:val="2"/>
          <w:szCs w:val="21"/>
        </w:rPr>
      </w:pPr>
      <w:r>
        <w:rPr>
          <w:rFonts w:ascii="Times New Roman" w:hAnsi="Times New Roman"/>
          <w:kern w:val="2"/>
          <w:szCs w:val="21"/>
        </w:rPr>
        <w:t>（27）</w:t>
      </w:r>
      <w:r>
        <w:rPr>
          <w:rFonts w:ascii="Times New Roman" w:hAnsi="Times New Roman"/>
          <w:kern w:val="2"/>
          <w:szCs w:val="21"/>
        </w:rPr>
        <w:tab/>
      </w:r>
      <w:r>
        <w:rPr>
          <w:rFonts w:ascii="Times New Roman" w:hAnsi="Times New Roman"/>
          <w:kern w:val="2"/>
          <w:szCs w:val="21"/>
        </w:rPr>
        <w:t>根据</w:t>
      </w:r>
      <w:r>
        <w:rPr>
          <w:rFonts w:hint="eastAsia" w:ascii="Times New Roman" w:hAnsi="Times New Roman"/>
          <w:kern w:val="2"/>
          <w:szCs w:val="21"/>
        </w:rPr>
        <w:t>“</w:t>
      </w:r>
      <w:r>
        <w:rPr>
          <w:rFonts w:ascii="Times New Roman" w:hAnsi="Times New Roman"/>
          <w:kern w:val="2"/>
          <w:szCs w:val="21"/>
        </w:rPr>
        <w:t>产品营销新立法框架</w:t>
      </w:r>
      <w:r>
        <w:rPr>
          <w:rFonts w:hint="eastAsia" w:ascii="Times New Roman" w:hAnsi="Times New Roman"/>
          <w:kern w:val="2"/>
          <w:szCs w:val="21"/>
        </w:rPr>
        <w:t>”</w:t>
      </w:r>
      <w:r>
        <w:rPr>
          <w:rFonts w:ascii="Times New Roman" w:hAnsi="Times New Roman"/>
          <w:kern w:val="2"/>
          <w:szCs w:val="21"/>
        </w:rPr>
        <w:t>，在不影响本法规不同部分规定的具体义务的情况下，明确规定不同经济运营商（包括进口商和经销商）的一般义务，</w:t>
      </w:r>
      <w:r>
        <w:rPr>
          <w:kern w:val="2"/>
          <w:szCs w:val="21"/>
        </w:rPr>
        <w:t>加强对</w:t>
      </w:r>
      <w:r>
        <w:rPr>
          <w:rFonts w:hint="eastAsia"/>
          <w:kern w:val="2"/>
          <w:szCs w:val="21"/>
        </w:rPr>
        <w:t>本法规</w:t>
      </w:r>
      <w:r>
        <w:rPr>
          <w:kern w:val="2"/>
          <w:szCs w:val="21"/>
        </w:rPr>
        <w:t>要求的理解，从而提高相关运营商的</w:t>
      </w:r>
      <w:r>
        <w:rPr>
          <w:rFonts w:hint="eastAsia"/>
          <w:kern w:val="2"/>
          <w:szCs w:val="21"/>
        </w:rPr>
        <w:t>法规</w:t>
      </w:r>
      <w:r>
        <w:rPr>
          <w:kern w:val="2"/>
          <w:szCs w:val="21"/>
        </w:rPr>
        <w:t>符合性</w:t>
      </w:r>
      <w:r>
        <w:rPr>
          <w:rFonts w:ascii="Times New Roman" w:hAnsi="Times New Roman"/>
          <w:kern w:val="2"/>
          <w:szCs w:val="21"/>
        </w:rPr>
        <w:t>。</w:t>
      </w:r>
    </w:p>
    <w:p w14:paraId="1DF38D5B">
      <w:pPr>
        <w:pStyle w:val="32"/>
        <w:tabs>
          <w:tab w:val="left" w:pos="682"/>
        </w:tabs>
        <w:snapToGrid w:val="0"/>
        <w:spacing w:beforeLines="25" w:line="300" w:lineRule="auto"/>
        <w:jc w:val="both"/>
        <w:rPr>
          <w:rFonts w:ascii="Times New Roman" w:hAnsi="Times New Roman"/>
          <w:kern w:val="2"/>
          <w:szCs w:val="21"/>
        </w:rPr>
      </w:pPr>
      <w:r>
        <w:rPr>
          <w:rFonts w:hint="eastAsia" w:ascii="Times New Roman" w:hAnsi="Times New Roman"/>
          <w:kern w:val="2"/>
          <w:szCs w:val="21"/>
        </w:rPr>
        <w:t>_____________________</w:t>
      </w:r>
    </w:p>
    <w:p w14:paraId="656F3296">
      <w:pPr>
        <w:pStyle w:val="40"/>
        <w:spacing w:before="0"/>
        <w:ind w:left="310" w:hanging="310" w:hangingChars="194"/>
        <w:rPr>
          <w:sz w:val="16"/>
          <w:szCs w:val="18"/>
        </w:rPr>
      </w:pPr>
      <w:r>
        <w:rPr>
          <w:rFonts w:hint="eastAsia"/>
          <w:sz w:val="16"/>
          <w:szCs w:val="18"/>
        </w:rPr>
        <w:t>（</w:t>
      </w:r>
      <w:r>
        <w:rPr>
          <w:rFonts w:hint="eastAsia"/>
          <w:sz w:val="16"/>
          <w:szCs w:val="18"/>
          <w:vertAlign w:val="superscript"/>
        </w:rPr>
        <w:t>1</w:t>
      </w:r>
      <w:r>
        <w:rPr>
          <w:rFonts w:hint="eastAsia"/>
          <w:sz w:val="16"/>
          <w:szCs w:val="18"/>
        </w:rPr>
        <w:t>）</w:t>
      </w:r>
      <w:r>
        <w:rPr>
          <w:sz w:val="16"/>
          <w:szCs w:val="18"/>
        </w:rPr>
        <w:t>欧洲议会和理事会</w:t>
      </w:r>
      <w:r>
        <w:rPr>
          <w:rFonts w:hint="eastAsia"/>
          <w:sz w:val="16"/>
          <w:szCs w:val="18"/>
        </w:rPr>
        <w:t>于2012年10月25日签发的有关欧洲标准化的第</w:t>
      </w:r>
      <w:r>
        <w:rPr>
          <w:sz w:val="16"/>
          <w:szCs w:val="18"/>
        </w:rPr>
        <w:t>1025/2012</w:t>
      </w:r>
      <w:r>
        <w:rPr>
          <w:rFonts w:hint="eastAsia"/>
          <w:sz w:val="16"/>
          <w:szCs w:val="18"/>
        </w:rPr>
        <w:t>号指令，修订了欧洲理事会第</w:t>
      </w:r>
      <w:r>
        <w:rPr>
          <w:sz w:val="16"/>
          <w:szCs w:val="18"/>
        </w:rPr>
        <w:t>89/686/EEC</w:t>
      </w:r>
      <w:r>
        <w:rPr>
          <w:rFonts w:hint="eastAsia"/>
          <w:sz w:val="16"/>
          <w:szCs w:val="18"/>
        </w:rPr>
        <w:t>和</w:t>
      </w:r>
      <w:r>
        <w:rPr>
          <w:sz w:val="16"/>
          <w:szCs w:val="18"/>
        </w:rPr>
        <w:t>93/15/EEC</w:t>
      </w:r>
      <w:r>
        <w:rPr>
          <w:rFonts w:hint="eastAsia"/>
          <w:sz w:val="16"/>
          <w:szCs w:val="18"/>
        </w:rPr>
        <w:t>号指令以及</w:t>
      </w:r>
      <w:r>
        <w:rPr>
          <w:sz w:val="16"/>
          <w:szCs w:val="18"/>
        </w:rPr>
        <w:t>欧洲议会和理事会</w:t>
      </w:r>
      <w:r>
        <w:rPr>
          <w:rFonts w:hint="eastAsia"/>
          <w:sz w:val="16"/>
          <w:szCs w:val="18"/>
        </w:rPr>
        <w:t>第</w:t>
      </w:r>
      <w:r>
        <w:rPr>
          <w:sz w:val="16"/>
          <w:szCs w:val="18"/>
        </w:rPr>
        <w:t>94/9/EC</w:t>
      </w:r>
      <w:r>
        <w:rPr>
          <w:rFonts w:hint="eastAsia"/>
          <w:sz w:val="16"/>
          <w:szCs w:val="18"/>
        </w:rPr>
        <w:t>、</w:t>
      </w:r>
      <w:r>
        <w:rPr>
          <w:sz w:val="16"/>
          <w:szCs w:val="18"/>
        </w:rPr>
        <w:t>94/25/EC</w:t>
      </w:r>
      <w:r>
        <w:rPr>
          <w:rFonts w:hint="eastAsia"/>
          <w:sz w:val="16"/>
          <w:szCs w:val="18"/>
        </w:rPr>
        <w:t>、</w:t>
      </w:r>
      <w:r>
        <w:rPr>
          <w:sz w:val="16"/>
          <w:szCs w:val="18"/>
        </w:rPr>
        <w:t>95/16/EC</w:t>
      </w:r>
      <w:r>
        <w:rPr>
          <w:rFonts w:hint="eastAsia"/>
          <w:sz w:val="16"/>
          <w:szCs w:val="18"/>
        </w:rPr>
        <w:t>、</w:t>
      </w:r>
      <w:r>
        <w:rPr>
          <w:sz w:val="16"/>
          <w:szCs w:val="18"/>
        </w:rPr>
        <w:t>97/23/EC</w:t>
      </w:r>
      <w:r>
        <w:rPr>
          <w:rFonts w:hint="eastAsia"/>
          <w:sz w:val="16"/>
          <w:szCs w:val="18"/>
        </w:rPr>
        <w:t>、</w:t>
      </w:r>
      <w:r>
        <w:rPr>
          <w:sz w:val="16"/>
          <w:szCs w:val="18"/>
        </w:rPr>
        <w:t>98/34/EC</w:t>
      </w:r>
      <w:r>
        <w:rPr>
          <w:rFonts w:hint="eastAsia"/>
          <w:sz w:val="16"/>
          <w:szCs w:val="18"/>
        </w:rPr>
        <w:t>、</w:t>
      </w:r>
      <w:r>
        <w:rPr>
          <w:sz w:val="16"/>
          <w:szCs w:val="18"/>
        </w:rPr>
        <w:t>2004/22/EC</w:t>
      </w:r>
      <w:r>
        <w:rPr>
          <w:rFonts w:hint="eastAsia"/>
          <w:sz w:val="16"/>
          <w:szCs w:val="18"/>
        </w:rPr>
        <w:t>、</w:t>
      </w:r>
      <w:r>
        <w:rPr>
          <w:sz w:val="16"/>
          <w:szCs w:val="18"/>
        </w:rPr>
        <w:t>2007/23/EC</w:t>
      </w:r>
      <w:r>
        <w:rPr>
          <w:rFonts w:hint="eastAsia"/>
          <w:sz w:val="16"/>
          <w:szCs w:val="18"/>
        </w:rPr>
        <w:t>、</w:t>
      </w:r>
      <w:r>
        <w:rPr>
          <w:sz w:val="16"/>
          <w:szCs w:val="18"/>
        </w:rPr>
        <w:t>2009/23/EC</w:t>
      </w:r>
      <w:r>
        <w:rPr>
          <w:rFonts w:hint="eastAsia"/>
          <w:sz w:val="16"/>
          <w:szCs w:val="18"/>
        </w:rPr>
        <w:t>和</w:t>
      </w:r>
      <w:r>
        <w:rPr>
          <w:sz w:val="16"/>
          <w:szCs w:val="18"/>
        </w:rPr>
        <w:t>2009/105/EC</w:t>
      </w:r>
      <w:r>
        <w:rPr>
          <w:rFonts w:hint="eastAsia"/>
          <w:sz w:val="16"/>
          <w:szCs w:val="18"/>
        </w:rPr>
        <w:t>号指令，并废除了欧洲理事会第</w:t>
      </w:r>
      <w:r>
        <w:rPr>
          <w:sz w:val="16"/>
          <w:szCs w:val="18"/>
        </w:rPr>
        <w:t>87/95/EEC</w:t>
      </w:r>
      <w:r>
        <w:rPr>
          <w:rFonts w:hint="eastAsia"/>
          <w:sz w:val="16"/>
          <w:szCs w:val="18"/>
        </w:rPr>
        <w:t>号决议和</w:t>
      </w:r>
      <w:r>
        <w:rPr>
          <w:sz w:val="16"/>
          <w:szCs w:val="18"/>
        </w:rPr>
        <w:t>欧洲议会和理事会</w:t>
      </w:r>
      <w:r>
        <w:rPr>
          <w:rFonts w:hint="eastAsia"/>
          <w:sz w:val="16"/>
          <w:szCs w:val="18"/>
        </w:rPr>
        <w:t>第</w:t>
      </w:r>
      <w:r>
        <w:rPr>
          <w:sz w:val="16"/>
          <w:szCs w:val="18"/>
        </w:rPr>
        <w:t>1673/2006/EC</w:t>
      </w:r>
      <w:r>
        <w:rPr>
          <w:rFonts w:hint="eastAsia"/>
          <w:sz w:val="16"/>
          <w:szCs w:val="18"/>
        </w:rPr>
        <w:t>号决议（</w:t>
      </w:r>
      <w:r>
        <w:rPr>
          <w:sz w:val="16"/>
          <w:szCs w:val="18"/>
        </w:rPr>
        <w:t>OJ L 316, 14.11.2012, p. 12</w:t>
      </w:r>
      <w:r>
        <w:rPr>
          <w:rFonts w:hint="eastAsia"/>
          <w:sz w:val="16"/>
          <w:szCs w:val="18"/>
        </w:rPr>
        <w:t>）。</w:t>
      </w:r>
    </w:p>
    <w:p w14:paraId="02F803F7">
      <w:pPr>
        <w:pStyle w:val="40"/>
        <w:spacing w:before="0"/>
        <w:ind w:left="310" w:hanging="310" w:hangingChars="194"/>
        <w:rPr>
          <w:sz w:val="16"/>
          <w:szCs w:val="18"/>
        </w:rPr>
      </w:pPr>
      <w:r>
        <w:rPr>
          <w:rFonts w:hint="eastAsia"/>
          <w:sz w:val="16"/>
          <w:szCs w:val="18"/>
        </w:rPr>
        <w:t>（</w:t>
      </w:r>
      <w:r>
        <w:rPr>
          <w:rFonts w:hint="eastAsia"/>
          <w:sz w:val="16"/>
          <w:szCs w:val="18"/>
          <w:vertAlign w:val="superscript"/>
        </w:rPr>
        <w:t>2</w:t>
      </w:r>
      <w:r>
        <w:rPr>
          <w:rFonts w:hint="eastAsia"/>
          <w:sz w:val="16"/>
          <w:szCs w:val="18"/>
        </w:rPr>
        <w:t>）</w:t>
      </w:r>
      <w:r>
        <w:rPr>
          <w:sz w:val="16"/>
          <w:szCs w:val="18"/>
        </w:rPr>
        <w:t>欧洲议会和理事会</w:t>
      </w:r>
      <w:r>
        <w:rPr>
          <w:rFonts w:hint="eastAsia"/>
          <w:sz w:val="16"/>
          <w:szCs w:val="18"/>
        </w:rPr>
        <w:t>于2012年10月25日签发的有关欧洲标准化的第</w:t>
      </w:r>
      <w:r>
        <w:rPr>
          <w:sz w:val="16"/>
          <w:szCs w:val="18"/>
        </w:rPr>
        <w:t>1025/2012</w:t>
      </w:r>
      <w:r>
        <w:rPr>
          <w:rFonts w:hint="eastAsia"/>
          <w:sz w:val="16"/>
          <w:szCs w:val="18"/>
        </w:rPr>
        <w:t>号指令，修订了欧洲理事会第</w:t>
      </w:r>
      <w:r>
        <w:rPr>
          <w:sz w:val="16"/>
          <w:szCs w:val="18"/>
        </w:rPr>
        <w:t>89/686/EEC</w:t>
      </w:r>
      <w:r>
        <w:rPr>
          <w:rFonts w:hint="eastAsia"/>
          <w:sz w:val="16"/>
          <w:szCs w:val="18"/>
        </w:rPr>
        <w:t>和</w:t>
      </w:r>
      <w:r>
        <w:rPr>
          <w:sz w:val="16"/>
          <w:szCs w:val="18"/>
        </w:rPr>
        <w:t>93/15/EEC</w:t>
      </w:r>
      <w:r>
        <w:rPr>
          <w:rFonts w:hint="eastAsia"/>
          <w:sz w:val="16"/>
          <w:szCs w:val="18"/>
        </w:rPr>
        <w:t>号指令以及</w:t>
      </w:r>
      <w:r>
        <w:rPr>
          <w:sz w:val="16"/>
          <w:szCs w:val="18"/>
        </w:rPr>
        <w:t>欧洲议会和理事会</w:t>
      </w:r>
      <w:r>
        <w:rPr>
          <w:rFonts w:hint="eastAsia"/>
          <w:sz w:val="16"/>
          <w:szCs w:val="18"/>
        </w:rPr>
        <w:t>第</w:t>
      </w:r>
      <w:r>
        <w:rPr>
          <w:sz w:val="16"/>
          <w:szCs w:val="18"/>
        </w:rPr>
        <w:t>94/9/EC</w:t>
      </w:r>
      <w:r>
        <w:rPr>
          <w:rFonts w:hint="eastAsia"/>
          <w:sz w:val="16"/>
          <w:szCs w:val="18"/>
        </w:rPr>
        <w:t>、</w:t>
      </w:r>
      <w:r>
        <w:rPr>
          <w:sz w:val="16"/>
          <w:szCs w:val="18"/>
        </w:rPr>
        <w:t>94/25/EC</w:t>
      </w:r>
      <w:r>
        <w:rPr>
          <w:rFonts w:hint="eastAsia"/>
          <w:sz w:val="16"/>
          <w:szCs w:val="18"/>
        </w:rPr>
        <w:t>、</w:t>
      </w:r>
      <w:r>
        <w:rPr>
          <w:sz w:val="16"/>
          <w:szCs w:val="18"/>
        </w:rPr>
        <w:t>95/16/EC</w:t>
      </w:r>
      <w:r>
        <w:rPr>
          <w:rFonts w:hint="eastAsia"/>
          <w:sz w:val="16"/>
          <w:szCs w:val="18"/>
        </w:rPr>
        <w:t>、</w:t>
      </w:r>
      <w:r>
        <w:rPr>
          <w:sz w:val="16"/>
          <w:szCs w:val="18"/>
        </w:rPr>
        <w:t>97/23/EC</w:t>
      </w:r>
      <w:r>
        <w:rPr>
          <w:rFonts w:hint="eastAsia"/>
          <w:sz w:val="16"/>
          <w:szCs w:val="18"/>
        </w:rPr>
        <w:t>、</w:t>
      </w:r>
      <w:r>
        <w:rPr>
          <w:sz w:val="16"/>
          <w:szCs w:val="18"/>
        </w:rPr>
        <w:t>98/34/EC</w:t>
      </w:r>
      <w:r>
        <w:rPr>
          <w:rFonts w:hint="eastAsia"/>
          <w:sz w:val="16"/>
          <w:szCs w:val="18"/>
        </w:rPr>
        <w:t>、</w:t>
      </w:r>
      <w:r>
        <w:rPr>
          <w:sz w:val="16"/>
          <w:szCs w:val="18"/>
        </w:rPr>
        <w:t>2004/22/EC</w:t>
      </w:r>
      <w:r>
        <w:rPr>
          <w:rFonts w:hint="eastAsia"/>
          <w:sz w:val="16"/>
          <w:szCs w:val="18"/>
        </w:rPr>
        <w:t>、</w:t>
      </w:r>
      <w:r>
        <w:rPr>
          <w:sz w:val="16"/>
          <w:szCs w:val="18"/>
        </w:rPr>
        <w:t>2007/23/EC</w:t>
      </w:r>
      <w:r>
        <w:rPr>
          <w:rFonts w:hint="eastAsia"/>
          <w:sz w:val="16"/>
          <w:szCs w:val="18"/>
        </w:rPr>
        <w:t>、</w:t>
      </w:r>
      <w:r>
        <w:rPr>
          <w:sz w:val="16"/>
          <w:szCs w:val="18"/>
        </w:rPr>
        <w:t>2009/23/EC</w:t>
      </w:r>
      <w:r>
        <w:rPr>
          <w:rFonts w:hint="eastAsia"/>
          <w:sz w:val="16"/>
          <w:szCs w:val="18"/>
        </w:rPr>
        <w:t>和</w:t>
      </w:r>
      <w:r>
        <w:rPr>
          <w:sz w:val="16"/>
          <w:szCs w:val="18"/>
        </w:rPr>
        <w:t>2009/105/EC</w:t>
      </w:r>
      <w:r>
        <w:rPr>
          <w:rFonts w:hint="eastAsia"/>
          <w:sz w:val="16"/>
          <w:szCs w:val="18"/>
        </w:rPr>
        <w:t>号指令，并废除了欧洲理事会第</w:t>
      </w:r>
      <w:r>
        <w:rPr>
          <w:sz w:val="16"/>
          <w:szCs w:val="18"/>
        </w:rPr>
        <w:t>87/95/EEC</w:t>
      </w:r>
      <w:r>
        <w:rPr>
          <w:rFonts w:hint="eastAsia"/>
          <w:sz w:val="16"/>
          <w:szCs w:val="18"/>
        </w:rPr>
        <w:t>号决议和</w:t>
      </w:r>
      <w:r>
        <w:rPr>
          <w:sz w:val="16"/>
          <w:szCs w:val="18"/>
        </w:rPr>
        <w:t>欧洲议会和理事会</w:t>
      </w:r>
      <w:r>
        <w:rPr>
          <w:rFonts w:hint="eastAsia"/>
          <w:sz w:val="16"/>
          <w:szCs w:val="18"/>
        </w:rPr>
        <w:t>第</w:t>
      </w:r>
      <w:r>
        <w:rPr>
          <w:sz w:val="16"/>
          <w:szCs w:val="18"/>
        </w:rPr>
        <w:t>1673/2006/EC</w:t>
      </w:r>
      <w:r>
        <w:rPr>
          <w:rFonts w:hint="eastAsia"/>
          <w:sz w:val="16"/>
          <w:szCs w:val="18"/>
        </w:rPr>
        <w:t>号决议（</w:t>
      </w:r>
      <w:r>
        <w:rPr>
          <w:sz w:val="16"/>
          <w:szCs w:val="18"/>
        </w:rPr>
        <w:t>OJ L 316, 14.11.2012, p. 12</w:t>
      </w:r>
      <w:r>
        <w:rPr>
          <w:rFonts w:hint="eastAsia"/>
          <w:sz w:val="16"/>
          <w:szCs w:val="18"/>
        </w:rPr>
        <w:t>）。</w:t>
      </w:r>
    </w:p>
    <w:p w14:paraId="39BD6092">
      <w:pPr>
        <w:pStyle w:val="40"/>
        <w:spacing w:before="0"/>
        <w:ind w:left="310" w:hanging="310" w:hangingChars="194"/>
        <w:rPr>
          <w:b/>
          <w:sz w:val="16"/>
          <w:szCs w:val="18"/>
        </w:rPr>
      </w:pPr>
      <w:r>
        <w:rPr>
          <w:rFonts w:hint="eastAsia"/>
          <w:sz w:val="16"/>
          <w:szCs w:val="18"/>
        </w:rPr>
        <w:t>（</w:t>
      </w:r>
      <w:r>
        <w:rPr>
          <w:rFonts w:hint="eastAsia"/>
          <w:sz w:val="16"/>
          <w:szCs w:val="18"/>
          <w:vertAlign w:val="superscript"/>
        </w:rPr>
        <w:t>3</w:t>
      </w:r>
      <w:r>
        <w:rPr>
          <w:rFonts w:hint="eastAsia"/>
          <w:sz w:val="16"/>
          <w:szCs w:val="18"/>
        </w:rPr>
        <w:t>）</w:t>
      </w:r>
      <w:r>
        <w:rPr>
          <w:sz w:val="16"/>
          <w:szCs w:val="18"/>
        </w:rPr>
        <w:t>欧洲议会和理事会</w:t>
      </w:r>
      <w:r>
        <w:rPr>
          <w:rFonts w:hint="eastAsia"/>
          <w:sz w:val="16"/>
          <w:szCs w:val="18"/>
        </w:rPr>
        <w:t>于2015年9月9日签发的关于</w:t>
      </w:r>
      <w:r>
        <w:rPr>
          <w:sz w:val="16"/>
          <w:szCs w:val="18"/>
        </w:rPr>
        <w:t>在</w:t>
      </w:r>
      <w:r>
        <w:rPr>
          <w:rFonts w:hint="eastAsia"/>
          <w:sz w:val="16"/>
          <w:szCs w:val="18"/>
        </w:rPr>
        <w:t>信息服务</w:t>
      </w:r>
      <w:r>
        <w:rPr>
          <w:sz w:val="16"/>
          <w:szCs w:val="18"/>
        </w:rPr>
        <w:t>技术标准和法规领域提供信息的流程</w:t>
      </w:r>
      <w:r>
        <w:rPr>
          <w:rFonts w:hint="eastAsia"/>
          <w:sz w:val="16"/>
          <w:szCs w:val="18"/>
        </w:rPr>
        <w:t>的第</w:t>
      </w:r>
      <w:r>
        <w:rPr>
          <w:sz w:val="16"/>
          <w:szCs w:val="18"/>
        </w:rPr>
        <w:t>2015/1535</w:t>
      </w:r>
      <w:r>
        <w:rPr>
          <w:rFonts w:hint="eastAsia"/>
          <w:sz w:val="16"/>
          <w:szCs w:val="18"/>
        </w:rPr>
        <w:t>号指令（</w:t>
      </w:r>
      <w:r>
        <w:rPr>
          <w:sz w:val="16"/>
          <w:szCs w:val="18"/>
        </w:rPr>
        <w:t>OJ L 241, 17.9.2015, p.1</w:t>
      </w:r>
      <w:r>
        <w:rPr>
          <w:rFonts w:hint="eastAsia"/>
          <w:sz w:val="16"/>
          <w:szCs w:val="18"/>
        </w:rPr>
        <w:t>）。</w:t>
      </w:r>
    </w:p>
    <w:p w14:paraId="61CC8F77">
      <w:pPr>
        <w:pStyle w:val="40"/>
        <w:spacing w:before="0"/>
        <w:ind w:left="310" w:hanging="310" w:hangingChars="194"/>
        <w:rPr>
          <w:sz w:val="16"/>
          <w:szCs w:val="18"/>
        </w:rPr>
      </w:pPr>
      <w:r>
        <w:rPr>
          <w:rFonts w:hint="eastAsia"/>
          <w:sz w:val="16"/>
          <w:szCs w:val="18"/>
        </w:rPr>
        <w:t>（</w:t>
      </w:r>
      <w:r>
        <w:rPr>
          <w:rFonts w:hint="eastAsia"/>
          <w:sz w:val="16"/>
          <w:szCs w:val="18"/>
          <w:vertAlign w:val="superscript"/>
        </w:rPr>
        <w:t>4</w:t>
      </w:r>
      <w:r>
        <w:rPr>
          <w:rFonts w:hint="eastAsia"/>
          <w:sz w:val="16"/>
          <w:szCs w:val="18"/>
        </w:rPr>
        <w:t>）</w:t>
      </w:r>
      <w:r>
        <w:rPr>
          <w:sz w:val="16"/>
          <w:szCs w:val="18"/>
        </w:rPr>
        <w:t>欧洲议会和理事会</w:t>
      </w:r>
      <w:r>
        <w:rPr>
          <w:rFonts w:hint="eastAsia"/>
          <w:sz w:val="16"/>
          <w:szCs w:val="18"/>
        </w:rPr>
        <w:t>于2008年</w:t>
      </w:r>
      <w:r>
        <w:rPr>
          <w:sz w:val="16"/>
          <w:szCs w:val="18"/>
        </w:rPr>
        <w:t>7月9日签发的关于与产品营销有关的认证和市场监管的要求</w:t>
      </w:r>
      <w:r>
        <w:rPr>
          <w:rFonts w:hint="eastAsia"/>
          <w:sz w:val="16"/>
          <w:szCs w:val="18"/>
        </w:rPr>
        <w:t>的第</w:t>
      </w:r>
      <w:r>
        <w:rPr>
          <w:sz w:val="16"/>
          <w:szCs w:val="18"/>
        </w:rPr>
        <w:t>765/2008</w:t>
      </w:r>
      <w:r>
        <w:rPr>
          <w:rFonts w:hint="eastAsia"/>
          <w:sz w:val="16"/>
          <w:szCs w:val="18"/>
        </w:rPr>
        <w:t>号法规，废除了</w:t>
      </w:r>
      <w:r>
        <w:rPr>
          <w:sz w:val="16"/>
          <w:szCs w:val="18"/>
        </w:rPr>
        <w:t>第339/93号法规 (OJ L 218, 13.8.2008,p. 30).</w:t>
      </w:r>
    </w:p>
    <w:p w14:paraId="23D2A9A7">
      <w:pPr>
        <w:pStyle w:val="40"/>
        <w:spacing w:before="0"/>
        <w:ind w:left="310" w:hanging="310" w:hangingChars="194"/>
        <w:rPr>
          <w:sz w:val="16"/>
        </w:rPr>
      </w:pPr>
      <w:r>
        <w:rPr>
          <w:rFonts w:hint="eastAsia"/>
          <w:sz w:val="16"/>
          <w:szCs w:val="18"/>
        </w:rPr>
        <w:t>（</w:t>
      </w:r>
      <w:r>
        <w:rPr>
          <w:sz w:val="16"/>
          <w:szCs w:val="18"/>
        </w:rPr>
        <w:t>5</w:t>
      </w:r>
      <w:r>
        <w:rPr>
          <w:rFonts w:hint="eastAsia"/>
          <w:sz w:val="16"/>
          <w:szCs w:val="18"/>
        </w:rPr>
        <w:t>）</w:t>
      </w:r>
      <w:r>
        <w:rPr>
          <w:sz w:val="16"/>
          <w:szCs w:val="18"/>
        </w:rPr>
        <w:t>欧洲议会和理事会</w:t>
      </w:r>
      <w:r>
        <w:rPr>
          <w:rFonts w:hint="eastAsia"/>
          <w:sz w:val="16"/>
          <w:szCs w:val="18"/>
        </w:rPr>
        <w:t>于2008年</w:t>
      </w:r>
      <w:r>
        <w:rPr>
          <w:sz w:val="16"/>
          <w:szCs w:val="18"/>
        </w:rPr>
        <w:t>7月9日</w:t>
      </w:r>
      <w:r>
        <w:rPr>
          <w:rFonts w:hint="eastAsia"/>
          <w:sz w:val="16"/>
          <w:szCs w:val="18"/>
        </w:rPr>
        <w:t>签发的关于产品营销通用框架的第</w:t>
      </w:r>
      <w:r>
        <w:rPr>
          <w:sz w:val="16"/>
          <w:szCs w:val="18"/>
        </w:rPr>
        <w:t>768/2008/EC</w:t>
      </w:r>
      <w:r>
        <w:rPr>
          <w:rFonts w:hint="eastAsia"/>
          <w:sz w:val="16"/>
          <w:szCs w:val="18"/>
        </w:rPr>
        <w:t>号决议，</w:t>
      </w:r>
      <w:r>
        <w:rPr>
          <w:sz w:val="16"/>
          <w:szCs w:val="18"/>
        </w:rPr>
        <w:t>并废除</w:t>
      </w:r>
      <w:r>
        <w:rPr>
          <w:rFonts w:hint="eastAsia"/>
          <w:sz w:val="16"/>
          <w:szCs w:val="18"/>
        </w:rPr>
        <w:t>理事会</w:t>
      </w:r>
      <w:r>
        <w:rPr>
          <w:sz w:val="16"/>
          <w:szCs w:val="18"/>
        </w:rPr>
        <w:t>第93/465/EEC号</w:t>
      </w:r>
      <w:r>
        <w:rPr>
          <w:rFonts w:hint="eastAsia"/>
          <w:sz w:val="16"/>
          <w:szCs w:val="18"/>
        </w:rPr>
        <w:t>决议（</w:t>
      </w:r>
      <w:r>
        <w:rPr>
          <w:sz w:val="16"/>
          <w:szCs w:val="18"/>
        </w:rPr>
        <w:t>OJ L 218, 13.8.2008, p. 82</w:t>
      </w:r>
      <w:r>
        <w:rPr>
          <w:rFonts w:hint="eastAsia"/>
          <w:sz w:val="16"/>
          <w:szCs w:val="18"/>
        </w:rPr>
        <w:t>）。</w:t>
      </w:r>
    </w:p>
    <w:p w14:paraId="22D09AE3">
      <w:pPr>
        <w:pStyle w:val="40"/>
        <w:spacing w:before="0"/>
        <w:ind w:left="349" w:hanging="349" w:hangingChars="194"/>
        <w:rPr>
          <w:szCs w:val="18"/>
        </w:rPr>
      </w:pPr>
    </w:p>
    <w:p w14:paraId="2027B69C">
      <w:pPr>
        <w:pStyle w:val="32"/>
        <w:tabs>
          <w:tab w:val="left" w:pos="682"/>
        </w:tabs>
        <w:topLinePunct/>
        <w:snapToGrid w:val="0"/>
        <w:spacing w:beforeLines="25" w:line="300" w:lineRule="auto"/>
        <w:jc w:val="both"/>
        <w:rPr>
          <w:rFonts w:ascii="Times New Roman" w:hAnsi="Times New Roman"/>
          <w:kern w:val="2"/>
          <w:szCs w:val="21"/>
          <w:lang w:val="en-US"/>
        </w:rPr>
      </w:pPr>
      <w:r>
        <w:rPr>
          <w:rFonts w:ascii="Times New Roman" w:hAnsi="Times New Roman"/>
          <w:kern w:val="2"/>
          <w:szCs w:val="21"/>
          <w:lang w:val="en-US"/>
        </w:rPr>
        <w:t>（28）</w:t>
      </w:r>
      <w:r>
        <w:rPr>
          <w:rFonts w:ascii="Times New Roman" w:hAnsi="Times New Roman"/>
          <w:kern w:val="2"/>
          <w:szCs w:val="21"/>
          <w:lang w:val="en-US"/>
        </w:rPr>
        <w:tab/>
      </w:r>
      <w:r>
        <w:rPr>
          <w:rFonts w:ascii="Times New Roman" w:hAnsi="Times New Roman"/>
          <w:kern w:val="2"/>
          <w:szCs w:val="21"/>
          <w:lang w:val="en-US"/>
        </w:rPr>
        <w:t>就本法规而言，经销商的活动应视为包括</w:t>
      </w:r>
      <w:r>
        <w:rPr>
          <w:kern w:val="2"/>
          <w:szCs w:val="21"/>
        </w:rPr>
        <w:t>获取</w:t>
      </w:r>
      <w:r>
        <w:rPr>
          <w:rFonts w:ascii="Times New Roman" w:hAnsi="Times New Roman"/>
          <w:kern w:val="2"/>
          <w:szCs w:val="21"/>
          <w:lang w:val="en-US"/>
        </w:rPr>
        <w:t>、持有和供应器械。</w:t>
      </w:r>
    </w:p>
    <w:p w14:paraId="2C570335">
      <w:pPr>
        <w:pStyle w:val="32"/>
        <w:topLinePunct/>
        <w:snapToGrid w:val="0"/>
        <w:spacing w:beforeLines="25" w:line="300" w:lineRule="auto"/>
        <w:ind w:left="716" w:hanging="716" w:hangingChars="341"/>
        <w:jc w:val="both"/>
        <w:rPr>
          <w:rFonts w:ascii="Times New Roman" w:hAnsi="Times New Roman"/>
          <w:kern w:val="2"/>
          <w:szCs w:val="21"/>
          <w:lang w:val="en-US"/>
        </w:rPr>
      </w:pPr>
      <w:r>
        <w:rPr>
          <w:rFonts w:ascii="Times New Roman" w:hAnsi="Times New Roman"/>
          <w:kern w:val="2"/>
          <w:szCs w:val="21"/>
          <w:lang w:val="en-US"/>
        </w:rPr>
        <w:t>（29）</w:t>
      </w:r>
      <w:r>
        <w:rPr>
          <w:rFonts w:ascii="Times New Roman" w:hAnsi="Times New Roman"/>
          <w:kern w:val="2"/>
          <w:szCs w:val="21"/>
          <w:lang w:val="en-US"/>
        </w:rPr>
        <w:tab/>
      </w:r>
      <w:r>
        <w:rPr>
          <w:rFonts w:ascii="Times New Roman" w:hAnsi="Times New Roman"/>
          <w:kern w:val="2"/>
          <w:szCs w:val="21"/>
          <w:lang w:val="en-US"/>
        </w:rPr>
        <w:t>制造商的一些义务，例如临床评价或警戒报告，仅为第90/385/EC和93/42/EEC号指令的附录中列出</w:t>
      </w:r>
      <w:r>
        <w:rPr>
          <w:rFonts w:hint="eastAsia" w:ascii="Times New Roman" w:hAnsi="Times New Roman"/>
          <w:kern w:val="2"/>
          <w:szCs w:val="21"/>
          <w:lang w:val="en-US"/>
        </w:rPr>
        <w:t>之</w:t>
      </w:r>
      <w:r>
        <w:rPr>
          <w:rFonts w:ascii="Times New Roman" w:hAnsi="Times New Roman"/>
          <w:kern w:val="2"/>
          <w:szCs w:val="21"/>
          <w:lang w:val="en-US"/>
        </w:rPr>
        <w:t>内容，这些应纳入本法规颁布条款中，以便于应用。</w:t>
      </w:r>
    </w:p>
    <w:p w14:paraId="0959A3E3">
      <w:pPr>
        <w:pStyle w:val="32"/>
        <w:topLinePunct/>
        <w:snapToGrid w:val="0"/>
        <w:spacing w:beforeLines="25" w:line="300" w:lineRule="auto"/>
        <w:ind w:left="716" w:hanging="716" w:hangingChars="341"/>
        <w:jc w:val="both"/>
        <w:rPr>
          <w:rFonts w:ascii="Times New Roman" w:hAnsi="Times New Roman"/>
          <w:kern w:val="2"/>
          <w:szCs w:val="21"/>
          <w:lang w:val="en-US"/>
        </w:rPr>
      </w:pPr>
      <w:r>
        <w:rPr>
          <w:rFonts w:ascii="Times New Roman" w:hAnsi="Times New Roman"/>
          <w:kern w:val="2"/>
          <w:szCs w:val="21"/>
          <w:lang w:val="en-US"/>
        </w:rPr>
        <w:t>（30）</w:t>
      </w:r>
      <w:r>
        <w:rPr>
          <w:rFonts w:ascii="Times New Roman" w:hAnsi="Times New Roman"/>
          <w:kern w:val="2"/>
          <w:szCs w:val="21"/>
          <w:lang w:val="en-US"/>
        </w:rPr>
        <w:tab/>
      </w:r>
      <w:r>
        <w:rPr>
          <w:rFonts w:ascii="Times New Roman" w:hAnsi="Times New Roman"/>
          <w:kern w:val="2"/>
          <w:szCs w:val="21"/>
          <w:lang w:val="en-US"/>
        </w:rPr>
        <w:t>卫生机构</w:t>
      </w:r>
      <w:r>
        <w:rPr>
          <w:kern w:val="2"/>
          <w:szCs w:val="21"/>
        </w:rPr>
        <w:t>应可内部（而不是在工业规模上）制造、修改和使用器械，从而解决目标患</w:t>
      </w:r>
      <w:r>
        <w:rPr>
          <w:rFonts w:hint="eastAsia" w:ascii="Times New Roman" w:hAnsi="Times New Roman"/>
          <w:kern w:val="2"/>
          <w:szCs w:val="21"/>
          <w:lang w:bidi="zh-CN"/>
        </w:rPr>
        <w:t>者群体的具体需求，这些需求往往无法通过市场上适当性能水平的等效医疗器械来满足。在这种情况下，适当的做法是在本法规中规定特定条款的豁免，这就是关于仅在卫生机构（含医院以及支持卫生保健系统和</w:t>
      </w:r>
      <w:r>
        <w:rPr>
          <w:rFonts w:ascii="Times New Roman" w:hAnsi="Times New Roman"/>
          <w:kern w:val="2"/>
          <w:szCs w:val="21"/>
          <w:lang w:bidi="zh-CN"/>
        </w:rPr>
        <w:t>/</w:t>
      </w:r>
      <w:r>
        <w:rPr>
          <w:rFonts w:hint="eastAsia" w:ascii="Times New Roman" w:hAnsi="Times New Roman"/>
          <w:kern w:val="2"/>
          <w:szCs w:val="21"/>
          <w:lang w:bidi="zh-CN"/>
        </w:rPr>
        <w:t>或解决患者需求但可能不会直接治疗或照顾患者之实验室和公共卫生机构等）内部制造和使用器械的豁免条例，这样本法规就可以适当方式予以满足。应注意，卫生机构的概念不包括主要追求健康利益或健康生活方式的机构，例如健身房、水疗中心、健康与健身中心。因此，适用于卫生机构的豁免条例不适用于这些机构。</w:t>
      </w:r>
      <w:bookmarkStart w:id="0" w:name="_bookmark17"/>
      <w:bookmarkEnd w:id="0"/>
    </w:p>
    <w:p w14:paraId="4142D676">
      <w:pPr>
        <w:pStyle w:val="8"/>
        <w:topLinePunct/>
        <w:snapToGrid w:val="0"/>
        <w:spacing w:beforeLines="25" w:line="300" w:lineRule="auto"/>
        <w:ind w:left="716" w:hanging="716" w:hangingChars="341"/>
        <w:jc w:val="both"/>
        <w:rPr>
          <w:kern w:val="2"/>
          <w:szCs w:val="21"/>
        </w:rPr>
      </w:pPr>
      <w:r>
        <w:rPr>
          <w:kern w:val="2"/>
          <w:szCs w:val="21"/>
        </w:rPr>
        <w:t>（31）</w:t>
      </w:r>
      <w:r>
        <w:rPr>
          <w:kern w:val="2"/>
          <w:szCs w:val="21"/>
        </w:rPr>
        <w:tab/>
      </w:r>
      <w:r>
        <w:rPr>
          <w:kern w:val="2"/>
          <w:szCs w:val="21"/>
        </w:rPr>
        <w:t>鉴于自然人或法人可根据适用欧盟和国家法律</w:t>
      </w:r>
      <w:r>
        <w:rPr>
          <w:rFonts w:hint="eastAsia"/>
          <w:kern w:val="2"/>
          <w:szCs w:val="21"/>
        </w:rPr>
        <w:t>，就缺陷器械造成的损害提出索赔，因此，可要求制造商采取适当措施，就其在第85/374/EEC号指令（</w:t>
      </w:r>
      <w:r>
        <w:rPr>
          <w:kern w:val="2"/>
          <w:szCs w:val="21"/>
          <w:vertAlign w:val="superscript"/>
        </w:rPr>
        <w:t>1</w:t>
      </w:r>
      <w:r>
        <w:rPr>
          <w:rFonts w:hint="eastAsia"/>
          <w:kern w:val="2"/>
          <w:szCs w:val="21"/>
        </w:rPr>
        <w:t>）规定的潜在责任提供足够的保险范围。这些措施应与器械的风险等级、类型和企业规模成比例</w:t>
      </w:r>
      <w:r>
        <w:rPr>
          <w:kern w:val="2"/>
          <w:szCs w:val="21"/>
        </w:rPr>
        <w:t>。在本文中，还应规定有关主管机构向可能因缺陷器械而受伤人员提供信息的规则。</w:t>
      </w:r>
    </w:p>
    <w:p w14:paraId="328F1DF3">
      <w:pPr>
        <w:pStyle w:val="8"/>
        <w:topLinePunct/>
        <w:snapToGrid w:val="0"/>
        <w:spacing w:beforeLines="25" w:line="300" w:lineRule="auto"/>
        <w:ind w:left="716" w:hanging="716" w:hangingChars="341"/>
        <w:jc w:val="both"/>
        <w:rPr>
          <w:kern w:val="2"/>
          <w:szCs w:val="21"/>
        </w:rPr>
      </w:pPr>
      <w:r>
        <w:rPr>
          <w:kern w:val="2"/>
          <w:szCs w:val="21"/>
        </w:rPr>
        <w:t>（32）</w:t>
      </w:r>
      <w:r>
        <w:rPr>
          <w:kern w:val="2"/>
          <w:szCs w:val="21"/>
        </w:rPr>
        <w:tab/>
      </w:r>
      <w:r>
        <w:rPr>
          <w:kern w:val="2"/>
          <w:szCs w:val="21"/>
        </w:rPr>
        <w:t>为确保批量生产的器械继续符合本法规的要求，并且将</w:t>
      </w:r>
      <w:r>
        <w:rPr>
          <w:rFonts w:hint="eastAsia"/>
          <w:kern w:val="2"/>
          <w:szCs w:val="21"/>
        </w:rPr>
        <w:t>生产的</w:t>
      </w:r>
      <w:r>
        <w:rPr>
          <w:kern w:val="2"/>
          <w:szCs w:val="21"/>
        </w:rPr>
        <w:t>器械的使用经验纳入生产过程中，所有制造商均应具备质量管理</w:t>
      </w:r>
      <w:r>
        <w:rPr>
          <w:rFonts w:hint="eastAsia"/>
          <w:kern w:val="2"/>
          <w:szCs w:val="21"/>
        </w:rPr>
        <w:t>体系和</w:t>
      </w:r>
      <w:r>
        <w:rPr>
          <w:kern w:val="2"/>
          <w:szCs w:val="21"/>
        </w:rPr>
        <w:t>上市后监管体系，此类系统应与</w:t>
      </w:r>
      <w:r>
        <w:rPr>
          <w:rFonts w:hint="eastAsia"/>
          <w:kern w:val="2"/>
          <w:szCs w:val="21"/>
        </w:rPr>
        <w:t>上述</w:t>
      </w:r>
      <w:r>
        <w:rPr>
          <w:kern w:val="2"/>
          <w:szCs w:val="21"/>
        </w:rPr>
        <w:t>器械的风险级别和分类对应。此外，为</w:t>
      </w:r>
      <w:r>
        <w:rPr>
          <w:rFonts w:hint="eastAsia"/>
          <w:kern w:val="2"/>
          <w:szCs w:val="21"/>
        </w:rPr>
        <w:t>尽可能</w:t>
      </w:r>
      <w:r>
        <w:rPr>
          <w:kern w:val="2"/>
          <w:szCs w:val="21"/>
        </w:rPr>
        <w:t>降低器械相关的风险或防止与之相关事故的发生，制造商应建立风险管理体系，以及报告事故和现场安全纠正措施的系统。</w:t>
      </w:r>
    </w:p>
    <w:p w14:paraId="2DA5E910">
      <w:pPr>
        <w:pStyle w:val="8"/>
        <w:topLinePunct/>
        <w:snapToGrid w:val="0"/>
        <w:spacing w:beforeLines="25" w:line="300" w:lineRule="auto"/>
        <w:ind w:left="716" w:hanging="716" w:hangingChars="341"/>
        <w:jc w:val="both"/>
        <w:rPr>
          <w:kern w:val="2"/>
          <w:szCs w:val="21"/>
        </w:rPr>
      </w:pPr>
      <w:r>
        <w:rPr>
          <w:kern w:val="2"/>
          <w:szCs w:val="21"/>
        </w:rPr>
        <w:t>（33）</w:t>
      </w:r>
      <w:r>
        <w:rPr>
          <w:kern w:val="2"/>
          <w:szCs w:val="21"/>
        </w:rPr>
        <w:tab/>
      </w:r>
      <w:r>
        <w:rPr>
          <w:kern w:val="2"/>
          <w:szCs w:val="21"/>
        </w:rPr>
        <w:t>风险管理体系应与器械的</w:t>
      </w:r>
      <w:r>
        <w:rPr>
          <w:rFonts w:hint="eastAsia"/>
          <w:kern w:val="2"/>
          <w:szCs w:val="21"/>
        </w:rPr>
        <w:t>临床</w:t>
      </w:r>
      <w:r>
        <w:rPr>
          <w:kern w:val="2"/>
          <w:szCs w:val="21"/>
        </w:rPr>
        <w:t>评估过程保持一致，并在该评估过程中反映，包括作为</w:t>
      </w:r>
      <w:r>
        <w:rPr>
          <w:rFonts w:hint="eastAsia"/>
          <w:kern w:val="2"/>
          <w:szCs w:val="21"/>
        </w:rPr>
        <w:t>临床</w:t>
      </w:r>
      <w:r>
        <w:rPr>
          <w:kern w:val="2"/>
          <w:szCs w:val="21"/>
        </w:rPr>
        <w:t>研究、</w:t>
      </w:r>
      <w:r>
        <w:rPr>
          <w:rFonts w:hint="eastAsia"/>
          <w:kern w:val="2"/>
          <w:szCs w:val="21"/>
        </w:rPr>
        <w:t>临床</w:t>
      </w:r>
      <w:r>
        <w:rPr>
          <w:kern w:val="2"/>
          <w:szCs w:val="21"/>
        </w:rPr>
        <w:t>评估和</w:t>
      </w:r>
      <w:r>
        <w:rPr>
          <w:rFonts w:hint="eastAsia"/>
          <w:kern w:val="2"/>
          <w:szCs w:val="21"/>
        </w:rPr>
        <w:t>上市后临床</w:t>
      </w:r>
      <w:r>
        <w:rPr>
          <w:kern w:val="2"/>
          <w:szCs w:val="21"/>
        </w:rPr>
        <w:t>跟踪的一部分需解决的临床风险。风险管理和</w:t>
      </w:r>
      <w:r>
        <w:rPr>
          <w:rFonts w:hint="eastAsia"/>
          <w:kern w:val="2"/>
          <w:szCs w:val="21"/>
        </w:rPr>
        <w:t>临床</w:t>
      </w:r>
      <w:r>
        <w:rPr>
          <w:kern w:val="2"/>
          <w:szCs w:val="21"/>
        </w:rPr>
        <w:t>评估过程应相互依存，并应定期更新。</w:t>
      </w:r>
    </w:p>
    <w:p w14:paraId="4A7759A1">
      <w:pPr>
        <w:widowControl/>
        <w:snapToGrid w:val="0"/>
        <w:spacing w:beforeLines="25" w:line="300" w:lineRule="auto"/>
        <w:ind w:left="716" w:hanging="716" w:hangingChars="341"/>
        <w:jc w:val="left"/>
        <w:rPr>
          <w:rFonts w:ascii="Times New Roman" w:hAnsi="Times New Roman"/>
          <w:szCs w:val="21"/>
        </w:rPr>
      </w:pPr>
      <w:r>
        <w:rPr>
          <w:rFonts w:ascii="Times New Roman" w:hAnsi="Times New Roman"/>
          <w:kern w:val="2"/>
          <w:szCs w:val="21"/>
        </w:rPr>
        <w:t>（34）</w:t>
      </w:r>
      <w:r>
        <w:rPr>
          <w:rFonts w:ascii="Times New Roman" w:hAnsi="Times New Roman"/>
          <w:kern w:val="2"/>
          <w:szCs w:val="21"/>
        </w:rPr>
        <w:tab/>
      </w:r>
      <w:r>
        <w:rPr>
          <w:rFonts w:ascii="Times New Roman" w:hAnsi="Times New Roman"/>
          <w:kern w:val="2"/>
          <w:szCs w:val="21"/>
        </w:rPr>
        <w:t>应确保由符合最低资格条件的负责法规符合性的人员在制造商组织内进行医疗器械制造的监督和控制以及上市后监管和警戒活动。</w:t>
      </w:r>
    </w:p>
    <w:p w14:paraId="1885688F">
      <w:pPr>
        <w:pStyle w:val="32"/>
        <w:tabs>
          <w:tab w:val="left" w:pos="682"/>
        </w:tabs>
        <w:topLinePunct/>
        <w:snapToGrid w:val="0"/>
        <w:spacing w:beforeLines="25" w:line="300" w:lineRule="auto"/>
        <w:ind w:left="716" w:hanging="716" w:hangingChars="341"/>
        <w:jc w:val="both"/>
        <w:rPr>
          <w:rFonts w:ascii="Times New Roman" w:hAnsi="Times New Roman"/>
          <w:kern w:val="2"/>
          <w:szCs w:val="21"/>
        </w:rPr>
      </w:pPr>
      <w:r>
        <w:rPr>
          <w:rFonts w:ascii="Times New Roman" w:hAnsi="Times New Roman"/>
          <w:kern w:val="2"/>
          <w:szCs w:val="21"/>
        </w:rPr>
        <w:t>(35)</w:t>
      </w:r>
      <w:r>
        <w:rPr>
          <w:rFonts w:ascii="Times New Roman" w:hAnsi="Times New Roman"/>
          <w:kern w:val="2"/>
          <w:szCs w:val="21"/>
        </w:rPr>
        <w:tab/>
      </w:r>
      <w:r>
        <w:rPr>
          <w:rFonts w:ascii="Times New Roman" w:hAnsi="Times New Roman"/>
          <w:kern w:val="2"/>
          <w:szCs w:val="21"/>
        </w:rPr>
        <w:t>对于欧盟以外的制造商，</w:t>
      </w:r>
      <w:r>
        <w:rPr>
          <w:kern w:val="2"/>
          <w:szCs w:val="21"/>
        </w:rPr>
        <w:t>授权代表在确保此类制造商生产的器械符合性，以及作为其在欧盟建立的联系人方面发挥关键作用。鉴于这种关键作用，若欧盟以外的制造商未遵守其一般义务，出于执法目的，其授权代表依然应当对有缺陷的器械负法律责任。本法规规定的授权代表的法律责任并不影响第85/374/EEC号指令的规定，因此授权代表应对进口商和制造商承担连带责任。应在书面指令中确定授权代表的职责。鉴于授权代表的角色，应明确规定其应满足的最低要求，包括提供满足最低资格条件的人员的要求，此类资格条件应与制造商处负责法规符合性的人员的资格条件类似。</w:t>
      </w:r>
    </w:p>
    <w:p w14:paraId="27893776">
      <w:pPr>
        <w:pStyle w:val="53"/>
        <w:spacing w:beforeLines="25"/>
        <w:ind w:left="0" w:firstLine="0" w:firstLineChars="0"/>
        <w:rPr>
          <w:sz w:val="21"/>
          <w:szCs w:val="21"/>
        </w:rPr>
      </w:pPr>
      <w:r>
        <w:rPr>
          <w:rFonts w:hint="eastAsia"/>
          <w:sz w:val="21"/>
          <w:szCs w:val="21"/>
        </w:rPr>
        <w:t>_________________________</w:t>
      </w:r>
    </w:p>
    <w:p w14:paraId="2EB11D08">
      <w:pPr>
        <w:pStyle w:val="53"/>
        <w:spacing w:beforeLines="25"/>
      </w:pPr>
      <w:r>
        <w:rPr>
          <w:rFonts w:hint="eastAsia"/>
        </w:rPr>
        <w:t>（</w:t>
      </w:r>
      <w:r>
        <w:rPr>
          <w:vertAlign w:val="superscript"/>
        </w:rPr>
        <w:t>1</w:t>
      </w:r>
      <w:r>
        <w:rPr>
          <w:rFonts w:hint="eastAsia"/>
        </w:rPr>
        <w:t>）</w:t>
      </w:r>
      <w:r>
        <w:rPr>
          <w:rFonts w:hint="eastAsia"/>
        </w:rPr>
        <w:tab/>
      </w:r>
      <w:r>
        <w:t>欧盟委员会</w:t>
      </w:r>
      <w:r>
        <w:rPr>
          <w:rFonts w:hint="eastAsia"/>
        </w:rPr>
        <w:t>于</w:t>
      </w:r>
      <w:r>
        <w:t>1985年7月25日</w:t>
      </w:r>
      <w:r>
        <w:rPr>
          <w:rFonts w:hint="eastAsia"/>
        </w:rPr>
        <w:t>签发的关于</w:t>
      </w:r>
      <w:r>
        <w:t>其在涉及缺陷产品责任的成员国相似法律、法规和管理规定的第85/374/EEC号指令 (OJL210, 7.8.1985, p. 29)。</w:t>
      </w:r>
    </w:p>
    <w:p w14:paraId="4A503129">
      <w:pPr>
        <w:pStyle w:val="8"/>
        <w:topLinePunct/>
        <w:snapToGrid w:val="0"/>
        <w:spacing w:beforeLines="25" w:line="300" w:lineRule="auto"/>
        <w:ind w:left="630" w:hanging="630" w:hangingChars="300"/>
        <w:jc w:val="both"/>
        <w:rPr>
          <w:kern w:val="2"/>
          <w:szCs w:val="21"/>
        </w:rPr>
      </w:pPr>
      <w:r>
        <w:rPr>
          <w:kern w:val="2"/>
          <w:szCs w:val="21"/>
        </w:rPr>
        <w:br w:type="page"/>
      </w:r>
      <w:r>
        <w:rPr>
          <w:kern w:val="2"/>
          <w:szCs w:val="21"/>
        </w:rPr>
        <w:t>(36)</w:t>
      </w:r>
      <w:r>
        <w:rPr>
          <w:kern w:val="2"/>
          <w:szCs w:val="21"/>
        </w:rPr>
        <w:tab/>
      </w:r>
      <w:r>
        <w:rPr>
          <w:kern w:val="2"/>
          <w:szCs w:val="21"/>
        </w:rPr>
        <w:t>为确保经济运营商义务的法律确定性，有必要说明何时将经销商、进口商或其他人视为器械制造商。</w:t>
      </w:r>
    </w:p>
    <w:p w14:paraId="11AB58CF">
      <w:pPr>
        <w:pStyle w:val="32"/>
        <w:tabs>
          <w:tab w:val="left" w:pos="682"/>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t>(37)</w:t>
      </w:r>
      <w:r>
        <w:rPr>
          <w:rFonts w:ascii="Times New Roman" w:hAnsi="Times New Roman"/>
          <w:kern w:val="2"/>
          <w:szCs w:val="21"/>
        </w:rPr>
        <w:tab/>
      </w:r>
      <w:r>
        <w:rPr>
          <w:rFonts w:ascii="Times New Roman" w:hAnsi="Times New Roman"/>
          <w:kern w:val="2"/>
          <w:szCs w:val="21"/>
        </w:rPr>
        <w:t>根据</w:t>
      </w:r>
      <w:r>
        <w:rPr>
          <w:rFonts w:hint="eastAsia"/>
          <w:kern w:val="2"/>
          <w:szCs w:val="21"/>
        </w:rPr>
        <w:t>“</w:t>
      </w:r>
      <w:r>
        <w:rPr>
          <w:kern w:val="2"/>
          <w:szCs w:val="21"/>
        </w:rPr>
        <w:t>欧盟运作条约</w:t>
      </w:r>
      <w:r>
        <w:rPr>
          <w:rFonts w:hint="eastAsia"/>
          <w:kern w:val="2"/>
          <w:szCs w:val="21"/>
        </w:rPr>
        <w:t>（TFEU）”</w:t>
      </w:r>
      <w:r>
        <w:rPr>
          <w:kern w:val="2"/>
          <w:szCs w:val="21"/>
        </w:rPr>
        <w:t>第34条的规定，（该规定以</w:t>
      </w:r>
      <w:r>
        <w:rPr>
          <w:rFonts w:hint="eastAsia"/>
          <w:kern w:val="2"/>
          <w:szCs w:val="21"/>
        </w:rPr>
        <w:t>TFEU</w:t>
      </w:r>
      <w:r>
        <w:rPr>
          <w:kern w:val="2"/>
          <w:szCs w:val="21"/>
        </w:rPr>
        <w:t>第36条规定的健康和安全保护</w:t>
      </w:r>
      <w:r>
        <w:rPr>
          <w:rFonts w:hint="eastAsia"/>
          <w:kern w:val="2"/>
          <w:szCs w:val="21"/>
        </w:rPr>
        <w:t>需求</w:t>
      </w:r>
      <w:r>
        <w:rPr>
          <w:kern w:val="2"/>
          <w:szCs w:val="21"/>
        </w:rPr>
        <w:t>以及知识产权保护</w:t>
      </w:r>
      <w:r>
        <w:rPr>
          <w:rFonts w:hint="eastAsia"/>
          <w:kern w:val="2"/>
          <w:szCs w:val="21"/>
        </w:rPr>
        <w:t>需求带来</w:t>
      </w:r>
      <w:r>
        <w:rPr>
          <w:kern w:val="2"/>
          <w:szCs w:val="21"/>
        </w:rPr>
        <w:t>的限制性规定为准）已经投放市场的产品的平行贸易是内部市场的一种合法贸易形式。但这一平行贸易原则的适用</w:t>
      </w:r>
      <w:r>
        <w:rPr>
          <w:rFonts w:hint="eastAsia"/>
          <w:kern w:val="2"/>
          <w:szCs w:val="21"/>
          <w:lang w:val="en-US"/>
        </w:rPr>
        <w:t>性</w:t>
      </w:r>
      <w:r>
        <w:rPr>
          <w:kern w:val="2"/>
          <w:szCs w:val="21"/>
        </w:rPr>
        <w:t>受成员国的不同解释的制约。因此，应在本法规中特别规定重贴标和重包装的要求，同时考虑到其他相关行业的法院案例法</w:t>
      </w:r>
      <w:r>
        <w:rPr>
          <w:rFonts w:hint="eastAsia"/>
          <w:kern w:val="2"/>
          <w:szCs w:val="21"/>
        </w:rPr>
        <w:t>（</w:t>
      </w:r>
      <w:r>
        <w:rPr>
          <w:rFonts w:hint="eastAsia"/>
          <w:b/>
          <w:kern w:val="2"/>
          <w:szCs w:val="21"/>
          <w:vertAlign w:val="superscript"/>
        </w:rPr>
        <w:t>1</w:t>
      </w:r>
      <w:r>
        <w:rPr>
          <w:rFonts w:hint="eastAsia"/>
          <w:kern w:val="2"/>
          <w:szCs w:val="21"/>
        </w:rPr>
        <w:t>）</w:t>
      </w:r>
      <w:r>
        <w:rPr>
          <w:kern w:val="2"/>
          <w:szCs w:val="21"/>
        </w:rPr>
        <w:t>和医疗器械领域的现有良好实践</w:t>
      </w:r>
      <w:r>
        <w:rPr>
          <w:rFonts w:ascii="Times New Roman" w:hAnsi="Times New Roman"/>
          <w:kern w:val="2"/>
          <w:szCs w:val="21"/>
        </w:rPr>
        <w:t>。</w:t>
      </w:r>
    </w:p>
    <w:p w14:paraId="65243BA9">
      <w:pPr>
        <w:pStyle w:val="32"/>
        <w:tabs>
          <w:tab w:val="left" w:pos="682"/>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t>(38)</w:t>
      </w:r>
      <w:r>
        <w:rPr>
          <w:rFonts w:ascii="Times New Roman" w:hAnsi="Times New Roman"/>
          <w:kern w:val="2"/>
          <w:szCs w:val="21"/>
        </w:rPr>
        <w:tab/>
      </w:r>
      <w:r>
        <w:rPr>
          <w:rFonts w:ascii="Times New Roman" w:hAnsi="Times New Roman"/>
          <w:kern w:val="2"/>
          <w:szCs w:val="21"/>
        </w:rPr>
        <w:t>一次性使用器械的再加工和进一步使用仅可在国家法律允许的情况下以及遵守本法规中规定的相关要求下进行。一次性使用器械</w:t>
      </w:r>
      <w:r>
        <w:rPr>
          <w:rFonts w:hint="eastAsia" w:ascii="Times New Roman" w:hAnsi="Times New Roman"/>
          <w:kern w:val="2"/>
          <w:szCs w:val="21"/>
        </w:rPr>
        <w:t>的</w:t>
      </w:r>
      <w:r>
        <w:rPr>
          <w:rFonts w:ascii="Times New Roman" w:hAnsi="Times New Roman"/>
          <w:kern w:val="2"/>
          <w:szCs w:val="21"/>
        </w:rPr>
        <w:t>再加工者应视为再加工器械的制造商</w:t>
      </w:r>
      <w:r>
        <w:rPr>
          <w:rFonts w:hint="eastAsia" w:ascii="Times New Roman" w:hAnsi="Times New Roman"/>
          <w:kern w:val="2"/>
          <w:szCs w:val="21"/>
        </w:rPr>
        <w:t>，</w:t>
      </w:r>
      <w:r>
        <w:rPr>
          <w:rFonts w:ascii="Times New Roman" w:hAnsi="Times New Roman"/>
          <w:kern w:val="2"/>
          <w:szCs w:val="21"/>
        </w:rPr>
        <w:t>并应承担本法规规定的制造商义不容辞的义务。尽管有上述规定，成员国</w:t>
      </w:r>
      <w:r>
        <w:rPr>
          <w:rFonts w:hint="eastAsia" w:ascii="Times New Roman" w:hAnsi="Times New Roman"/>
          <w:kern w:val="2"/>
          <w:szCs w:val="21"/>
        </w:rPr>
        <w:t>有责任</w:t>
      </w:r>
      <w:r>
        <w:rPr>
          <w:rFonts w:ascii="Times New Roman" w:hAnsi="Times New Roman"/>
          <w:kern w:val="2"/>
          <w:szCs w:val="21"/>
        </w:rPr>
        <w:t>决议卫生机构内或通过代表</w:t>
      </w:r>
      <w:r>
        <w:rPr>
          <w:rFonts w:hint="eastAsia" w:ascii="Times New Roman" w:hAnsi="Times New Roman"/>
          <w:kern w:val="2"/>
          <w:szCs w:val="21"/>
        </w:rPr>
        <w:t>该机构的</w:t>
      </w:r>
      <w:r>
        <w:rPr>
          <w:rFonts w:ascii="Times New Roman" w:hAnsi="Times New Roman"/>
          <w:kern w:val="2"/>
          <w:szCs w:val="21"/>
        </w:rPr>
        <w:t>外部再加工者</w:t>
      </w:r>
      <w:r>
        <w:rPr>
          <w:rFonts w:hint="eastAsia" w:ascii="Times New Roman" w:hAnsi="Times New Roman"/>
          <w:kern w:val="2"/>
          <w:szCs w:val="21"/>
        </w:rPr>
        <w:t>对</w:t>
      </w:r>
      <w:r>
        <w:rPr>
          <w:rFonts w:ascii="Times New Roman" w:hAnsi="Times New Roman"/>
          <w:kern w:val="2"/>
          <w:szCs w:val="21"/>
        </w:rPr>
        <w:t>一次性使用器械再加工和再利用</w:t>
      </w:r>
      <w:r>
        <w:rPr>
          <w:rFonts w:hint="eastAsia" w:ascii="Times New Roman" w:hAnsi="Times New Roman"/>
          <w:kern w:val="2"/>
          <w:szCs w:val="21"/>
        </w:rPr>
        <w:t>的</w:t>
      </w:r>
      <w:r>
        <w:rPr>
          <w:rFonts w:ascii="Times New Roman" w:hAnsi="Times New Roman"/>
          <w:kern w:val="2"/>
          <w:szCs w:val="21"/>
        </w:rPr>
        <w:t>义务可能与本法规中所述的制造商义务不同。原则上，仅当在机构内或通过代表</w:t>
      </w:r>
      <w:r>
        <w:rPr>
          <w:rFonts w:hint="eastAsia" w:ascii="Times New Roman" w:hAnsi="Times New Roman"/>
          <w:kern w:val="2"/>
          <w:szCs w:val="21"/>
        </w:rPr>
        <w:t>该机构的</w:t>
      </w:r>
      <w:r>
        <w:rPr>
          <w:rFonts w:ascii="Times New Roman" w:hAnsi="Times New Roman"/>
          <w:kern w:val="2"/>
          <w:szCs w:val="21"/>
        </w:rPr>
        <w:t>外部再加工者</w:t>
      </w:r>
      <w:r>
        <w:rPr>
          <w:rFonts w:hint="eastAsia" w:ascii="Times New Roman" w:hAnsi="Times New Roman"/>
          <w:kern w:val="2"/>
          <w:szCs w:val="21"/>
        </w:rPr>
        <w:t>对</w:t>
      </w:r>
      <w:r>
        <w:rPr>
          <w:rFonts w:ascii="Times New Roman" w:hAnsi="Times New Roman"/>
          <w:kern w:val="2"/>
          <w:szCs w:val="21"/>
        </w:rPr>
        <w:t>一次性器械再加工和重新利用符合已</w:t>
      </w:r>
      <w:r>
        <w:rPr>
          <w:rFonts w:hint="eastAsia" w:ascii="Times New Roman" w:hAnsi="Times New Roman"/>
          <w:kern w:val="2"/>
          <w:szCs w:val="21"/>
        </w:rPr>
        <w:t>通过</w:t>
      </w:r>
      <w:r>
        <w:rPr>
          <w:rFonts w:ascii="Times New Roman" w:hAnsi="Times New Roman"/>
          <w:kern w:val="2"/>
          <w:szCs w:val="21"/>
        </w:rPr>
        <w:t>的CS</w:t>
      </w:r>
      <w:r>
        <w:rPr>
          <w:rFonts w:hint="eastAsia" w:ascii="Times New Roman" w:hAnsi="Times New Roman"/>
          <w:kern w:val="2"/>
          <w:szCs w:val="21"/>
        </w:rPr>
        <w:t>，</w:t>
      </w:r>
      <w:r>
        <w:rPr>
          <w:rFonts w:ascii="Times New Roman" w:hAnsi="Times New Roman"/>
          <w:kern w:val="2"/>
          <w:szCs w:val="21"/>
        </w:rPr>
        <w:t>或在缺乏CS</w:t>
      </w:r>
      <w:r>
        <w:rPr>
          <w:rFonts w:hint="eastAsia" w:ascii="Times New Roman" w:hAnsi="Times New Roman"/>
          <w:kern w:val="2"/>
          <w:szCs w:val="21"/>
        </w:rPr>
        <w:t>时</w:t>
      </w:r>
      <w:r>
        <w:rPr>
          <w:rFonts w:ascii="Times New Roman" w:hAnsi="Times New Roman"/>
          <w:kern w:val="2"/>
          <w:szCs w:val="21"/>
        </w:rPr>
        <w:t>，符合相关协调标准和国家法规，才允许该偏差</w:t>
      </w:r>
      <w:r>
        <w:rPr>
          <w:rFonts w:hint="eastAsia" w:ascii="Times New Roman" w:hAnsi="Times New Roman"/>
          <w:kern w:val="2"/>
          <w:szCs w:val="21"/>
        </w:rPr>
        <w:t>的存在</w:t>
      </w:r>
      <w:r>
        <w:rPr>
          <w:rFonts w:ascii="Times New Roman" w:hAnsi="Times New Roman"/>
          <w:kern w:val="2"/>
          <w:szCs w:val="21"/>
        </w:rPr>
        <w:t>。再加工此类器械应确保与相应</w:t>
      </w:r>
      <w:r>
        <w:rPr>
          <w:rFonts w:hint="eastAsia" w:ascii="Times New Roman" w:hAnsi="Times New Roman"/>
          <w:kern w:val="2"/>
          <w:szCs w:val="21"/>
        </w:rPr>
        <w:t>未使用的</w:t>
      </w:r>
      <w:r>
        <w:rPr>
          <w:rFonts w:ascii="Times New Roman" w:hAnsi="Times New Roman"/>
          <w:kern w:val="2"/>
          <w:szCs w:val="21"/>
        </w:rPr>
        <w:t>一次性器械</w:t>
      </w:r>
      <w:r>
        <w:rPr>
          <w:rFonts w:hint="eastAsia" w:ascii="Times New Roman" w:hAnsi="Times New Roman"/>
          <w:kern w:val="2"/>
          <w:szCs w:val="21"/>
        </w:rPr>
        <w:t>相同</w:t>
      </w:r>
      <w:r>
        <w:rPr>
          <w:rFonts w:ascii="Times New Roman" w:hAnsi="Times New Roman"/>
          <w:kern w:val="2"/>
          <w:szCs w:val="21"/>
        </w:rPr>
        <w:t>的安全和性能水平。</w:t>
      </w:r>
    </w:p>
    <w:p w14:paraId="34A920E1">
      <w:pPr>
        <w:widowControl/>
        <w:snapToGrid w:val="0"/>
        <w:spacing w:beforeLines="25" w:line="300" w:lineRule="auto"/>
        <w:ind w:left="630" w:hanging="630" w:hangingChars="300"/>
        <w:jc w:val="left"/>
        <w:rPr>
          <w:rFonts w:ascii="Times New Roman" w:hAnsi="Times New Roman"/>
          <w:szCs w:val="21"/>
        </w:rPr>
      </w:pPr>
      <w:r>
        <w:rPr>
          <w:rFonts w:ascii="Times New Roman" w:hAnsi="Times New Roman"/>
          <w:kern w:val="2"/>
          <w:szCs w:val="21"/>
        </w:rPr>
        <w:t>（39）</w:t>
      </w:r>
      <w:r>
        <w:rPr>
          <w:rFonts w:ascii="Times New Roman" w:hAnsi="Times New Roman"/>
          <w:kern w:val="2"/>
          <w:szCs w:val="21"/>
        </w:rPr>
        <w:tab/>
      </w:r>
      <w:r>
        <w:rPr>
          <w:rFonts w:ascii="Times New Roman" w:hAnsi="Times New Roman"/>
          <w:kern w:val="2"/>
          <w:szCs w:val="21"/>
        </w:rPr>
        <w:t>应给予植入器械患者以明确且容易获得</w:t>
      </w:r>
      <w:r>
        <w:rPr>
          <w:rFonts w:hint="eastAsia" w:ascii="Times New Roman" w:hAnsi="Times New Roman"/>
          <w:kern w:val="2"/>
          <w:szCs w:val="21"/>
        </w:rPr>
        <w:t>的，足够</w:t>
      </w:r>
      <w:r>
        <w:rPr>
          <w:rFonts w:ascii="Times New Roman" w:hAnsi="Times New Roman"/>
          <w:kern w:val="2"/>
          <w:szCs w:val="21"/>
        </w:rPr>
        <w:t>识别所植入器械的基本信息，以及关于该器械的其他信息，包括任何必要的健康风险警戒或需采取的预防措施，例如关于其是否与某些诊断器械或用于安全控制的扫描仪兼容的指示。</w:t>
      </w:r>
    </w:p>
    <w:p w14:paraId="1BD8934B">
      <w:pPr>
        <w:pStyle w:val="32"/>
        <w:tabs>
          <w:tab w:val="left" w:pos="682"/>
          <w:tab w:val="left" w:pos="720"/>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t>（40）</w:t>
      </w:r>
      <w:r>
        <w:rPr>
          <w:rFonts w:ascii="Times New Roman" w:hAnsi="Times New Roman"/>
          <w:kern w:val="2"/>
          <w:szCs w:val="21"/>
        </w:rPr>
        <w:tab/>
      </w:r>
      <w:r>
        <w:rPr>
          <w:rFonts w:ascii="Times New Roman" w:hAnsi="Times New Roman"/>
          <w:kern w:val="2"/>
          <w:szCs w:val="21"/>
        </w:rPr>
        <w:t>一般来说，器械应具有CE标识</w:t>
      </w:r>
      <w:r>
        <w:rPr>
          <w:kern w:val="2"/>
          <w:szCs w:val="21"/>
        </w:rPr>
        <w:t>，表明其符合本法规，以便其在欧盟内自由流通并根据其预期目的投入使用。成员国不得</w:t>
      </w:r>
      <w:r>
        <w:rPr>
          <w:rFonts w:hint="eastAsia"/>
          <w:kern w:val="2"/>
          <w:szCs w:val="21"/>
        </w:rPr>
        <w:t>对符合</w:t>
      </w:r>
      <w:r>
        <w:rPr>
          <w:kern w:val="2"/>
          <w:szCs w:val="21"/>
        </w:rPr>
        <w:t>本法规规定要求</w:t>
      </w:r>
      <w:r>
        <w:rPr>
          <w:rFonts w:hint="eastAsia"/>
          <w:kern w:val="2"/>
          <w:szCs w:val="21"/>
        </w:rPr>
        <w:t>的器械</w:t>
      </w:r>
      <w:r>
        <w:rPr>
          <w:kern w:val="2"/>
          <w:szCs w:val="21"/>
        </w:rPr>
        <w:t>，在</w:t>
      </w:r>
      <w:r>
        <w:rPr>
          <w:rFonts w:hint="eastAsia"/>
          <w:kern w:val="2"/>
          <w:szCs w:val="21"/>
        </w:rPr>
        <w:t>其</w:t>
      </w:r>
      <w:r>
        <w:rPr>
          <w:kern w:val="2"/>
          <w:szCs w:val="21"/>
        </w:rPr>
        <w:t>投放市场或投入</w:t>
      </w:r>
      <w:r>
        <w:rPr>
          <w:rFonts w:hint="eastAsia"/>
          <w:kern w:val="2"/>
          <w:szCs w:val="21"/>
        </w:rPr>
        <w:t>使用</w:t>
      </w:r>
      <w:r>
        <w:rPr>
          <w:kern w:val="2"/>
          <w:szCs w:val="21"/>
        </w:rPr>
        <w:t>方面制造障碍。不过，应允许成员国决定是否限制使用本法规未涵盖的任何特定类型的器械。</w:t>
      </w:r>
    </w:p>
    <w:p w14:paraId="1311C0AB">
      <w:pPr>
        <w:pStyle w:val="32"/>
        <w:tabs>
          <w:tab w:val="left" w:pos="682"/>
          <w:tab w:val="left" w:pos="720"/>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t>（41）</w:t>
      </w:r>
      <w:r>
        <w:rPr>
          <w:rFonts w:ascii="Times New Roman" w:hAnsi="Times New Roman"/>
          <w:kern w:val="2"/>
          <w:szCs w:val="21"/>
        </w:rPr>
        <w:tab/>
      </w:r>
      <w:r>
        <w:rPr>
          <w:rFonts w:hint="eastAsia" w:ascii="Times New Roman" w:hAnsi="Times New Roman"/>
          <w:kern w:val="2"/>
          <w:szCs w:val="21"/>
        </w:rPr>
        <w:t>由于</w:t>
      </w:r>
      <w:r>
        <w:rPr>
          <w:kern w:val="2"/>
          <w:szCs w:val="21"/>
        </w:rPr>
        <w:t>改进的事故报告、有针对性的现场安全纠正措施以及</w:t>
      </w:r>
      <w:r>
        <w:rPr>
          <w:rFonts w:hint="eastAsia"/>
          <w:kern w:val="2"/>
          <w:szCs w:val="21"/>
        </w:rPr>
        <w:t>主管机构</w:t>
      </w:r>
      <w:r>
        <w:rPr>
          <w:kern w:val="2"/>
          <w:szCs w:val="21"/>
        </w:rPr>
        <w:t>更好的监督机制，通过基于国际指导的唯一器械标识系统（UDI</w:t>
      </w:r>
      <w:r>
        <w:rPr>
          <w:rFonts w:hint="eastAsia"/>
          <w:kern w:val="2"/>
          <w:szCs w:val="21"/>
        </w:rPr>
        <w:t>系统</w:t>
      </w:r>
      <w:r>
        <w:rPr>
          <w:kern w:val="2"/>
          <w:szCs w:val="21"/>
        </w:rPr>
        <w:t>）实现的器械的可追踪性，应显著提高器械</w:t>
      </w:r>
      <w:r>
        <w:rPr>
          <w:rFonts w:hint="eastAsia"/>
          <w:kern w:val="2"/>
          <w:szCs w:val="21"/>
        </w:rPr>
        <w:t>上市后</w:t>
      </w:r>
      <w:r>
        <w:rPr>
          <w:kern w:val="2"/>
          <w:szCs w:val="21"/>
        </w:rPr>
        <w:t>安全</w:t>
      </w:r>
      <w:r>
        <w:rPr>
          <w:rFonts w:hint="eastAsia"/>
          <w:kern w:val="2"/>
          <w:szCs w:val="21"/>
        </w:rPr>
        <w:t>相关活动</w:t>
      </w:r>
      <w:r>
        <w:rPr>
          <w:kern w:val="2"/>
          <w:szCs w:val="21"/>
        </w:rPr>
        <w:t>的有效性。这</w:t>
      </w:r>
      <w:r>
        <w:rPr>
          <w:rFonts w:hint="eastAsia"/>
          <w:kern w:val="2"/>
          <w:szCs w:val="21"/>
        </w:rPr>
        <w:t>归功于</w:t>
      </w:r>
      <w:r>
        <w:rPr>
          <w:kern w:val="2"/>
          <w:szCs w:val="21"/>
        </w:rPr>
        <w:t>减少</w:t>
      </w:r>
      <w:r>
        <w:rPr>
          <w:rFonts w:hint="eastAsia"/>
          <w:kern w:val="2"/>
          <w:szCs w:val="21"/>
        </w:rPr>
        <w:t>的</w:t>
      </w:r>
      <w:r>
        <w:rPr>
          <w:kern w:val="2"/>
          <w:szCs w:val="21"/>
        </w:rPr>
        <w:t>医疗失误，</w:t>
      </w:r>
      <w:r>
        <w:rPr>
          <w:rFonts w:hint="eastAsia"/>
          <w:kern w:val="2"/>
          <w:szCs w:val="21"/>
        </w:rPr>
        <w:t>以及对虚假</w:t>
      </w:r>
      <w:r>
        <w:rPr>
          <w:kern w:val="2"/>
          <w:szCs w:val="21"/>
        </w:rPr>
        <w:t>器械</w:t>
      </w:r>
      <w:r>
        <w:rPr>
          <w:rFonts w:hint="eastAsia"/>
          <w:kern w:val="2"/>
          <w:szCs w:val="21"/>
        </w:rPr>
        <w:t>的</w:t>
      </w:r>
      <w:r>
        <w:rPr>
          <w:kern w:val="2"/>
          <w:szCs w:val="21"/>
        </w:rPr>
        <w:t>打击。UDI系统的应用还应改善卫生机构和其他经济运营商的采购和废物处置政策以及库存管理，并在可能的情况下，与这些设置中存在的其他验证系统兼容。</w:t>
      </w:r>
    </w:p>
    <w:p w14:paraId="3A01CEAB">
      <w:pPr>
        <w:pStyle w:val="8"/>
        <w:topLinePunct/>
        <w:snapToGrid w:val="0"/>
        <w:spacing w:beforeLines="25" w:line="300" w:lineRule="auto"/>
        <w:ind w:left="630" w:hanging="630" w:hangingChars="300"/>
        <w:jc w:val="both"/>
        <w:rPr>
          <w:kern w:val="2"/>
          <w:szCs w:val="21"/>
        </w:rPr>
      </w:pPr>
      <w:r>
        <w:rPr>
          <w:kern w:val="2"/>
          <w:szCs w:val="21"/>
        </w:rPr>
        <w:t>（42）</w:t>
      </w:r>
      <w:r>
        <w:rPr>
          <w:kern w:val="2"/>
          <w:szCs w:val="21"/>
        </w:rPr>
        <w:tab/>
      </w:r>
      <w:r>
        <w:rPr>
          <w:kern w:val="2"/>
          <w:szCs w:val="21"/>
        </w:rPr>
        <w:t>UDI系统应适用于除定制器械以外的投放于市场的所有器械，并基于国际公认的原则，包括与主要贸易伙伴相一致的定义。为使</w:t>
      </w:r>
      <w:r>
        <w:rPr>
          <w:rFonts w:hint="eastAsia"/>
          <w:kern w:val="2"/>
          <w:szCs w:val="21"/>
        </w:rPr>
        <w:t>UDI</w:t>
      </w:r>
      <w:r>
        <w:rPr>
          <w:kern w:val="2"/>
          <w:szCs w:val="21"/>
        </w:rPr>
        <w:t>系统及时起作用，</w:t>
      </w:r>
      <w:r>
        <w:rPr>
          <w:rFonts w:hint="eastAsia"/>
          <w:kern w:val="2"/>
          <w:szCs w:val="21"/>
        </w:rPr>
        <w:t>以免影响</w:t>
      </w:r>
      <w:r>
        <w:rPr>
          <w:kern w:val="2"/>
          <w:szCs w:val="21"/>
        </w:rPr>
        <w:t>本法规</w:t>
      </w:r>
      <w:r>
        <w:rPr>
          <w:rFonts w:hint="eastAsia"/>
          <w:kern w:val="2"/>
          <w:szCs w:val="21"/>
        </w:rPr>
        <w:t>生效</w:t>
      </w:r>
      <w:r>
        <w:rPr>
          <w:kern w:val="2"/>
          <w:szCs w:val="21"/>
        </w:rPr>
        <w:t>，应在本法规</w:t>
      </w:r>
      <w:r>
        <w:rPr>
          <w:rFonts w:hint="eastAsia"/>
          <w:kern w:val="2"/>
          <w:szCs w:val="21"/>
        </w:rPr>
        <w:t>中做出详细规定</w:t>
      </w:r>
      <w:r>
        <w:rPr>
          <w:kern w:val="2"/>
          <w:szCs w:val="21"/>
        </w:rPr>
        <w:t>。</w:t>
      </w:r>
    </w:p>
    <w:p w14:paraId="6F7C07A9">
      <w:pPr>
        <w:pStyle w:val="32"/>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t>（43）</w:t>
      </w:r>
      <w:r>
        <w:rPr>
          <w:rFonts w:ascii="Times New Roman" w:hAnsi="Times New Roman"/>
          <w:kern w:val="2"/>
          <w:szCs w:val="21"/>
        </w:rPr>
        <w:tab/>
      </w:r>
      <w:r>
        <w:rPr>
          <w:rFonts w:ascii="Times New Roman" w:hAnsi="Times New Roman"/>
          <w:kern w:val="2"/>
          <w:szCs w:val="21"/>
        </w:rPr>
        <w:t>为保护公众健康，</w:t>
      </w:r>
      <w:r>
        <w:rPr>
          <w:kern w:val="2"/>
          <w:szCs w:val="21"/>
        </w:rPr>
        <w:t>赋予患者和医疗保健专业人员自主权以及确保其能够</w:t>
      </w:r>
      <w:r>
        <w:rPr>
          <w:rFonts w:hint="eastAsia"/>
          <w:kern w:val="2"/>
          <w:szCs w:val="21"/>
        </w:rPr>
        <w:t>做出</w:t>
      </w:r>
      <w:r>
        <w:rPr>
          <w:kern w:val="2"/>
          <w:szCs w:val="21"/>
        </w:rPr>
        <w:t>明智的决定，为向监管</w:t>
      </w:r>
      <w:r>
        <w:rPr>
          <w:rFonts w:hint="eastAsia"/>
          <w:kern w:val="2"/>
          <w:szCs w:val="21"/>
        </w:rPr>
        <w:t>决定</w:t>
      </w:r>
      <w:r>
        <w:rPr>
          <w:kern w:val="2"/>
          <w:szCs w:val="21"/>
        </w:rPr>
        <w:t>制定提供一个稳妥的基础，确保为</w:t>
      </w:r>
      <w:r>
        <w:rPr>
          <w:rFonts w:hint="eastAsia"/>
          <w:kern w:val="2"/>
          <w:szCs w:val="21"/>
        </w:rPr>
        <w:t>预期</w:t>
      </w:r>
      <w:r>
        <w:rPr>
          <w:kern w:val="2"/>
          <w:szCs w:val="21"/>
        </w:rPr>
        <w:t>使用者提供的信息的透明度和充分性对于公众利益至关重要</w:t>
      </w:r>
      <w:r>
        <w:rPr>
          <w:rFonts w:ascii="Times New Roman" w:hAnsi="Times New Roman"/>
          <w:kern w:val="2"/>
          <w:szCs w:val="21"/>
        </w:rPr>
        <w:t>。</w:t>
      </w:r>
    </w:p>
    <w:p w14:paraId="6E398534">
      <w:pPr>
        <w:widowControl/>
        <w:snapToGrid w:val="0"/>
        <w:spacing w:beforeLines="25" w:line="300" w:lineRule="auto"/>
        <w:jc w:val="left"/>
        <w:rPr>
          <w:rFonts w:ascii="Times New Roman" w:hAnsi="Times New Roman"/>
          <w:kern w:val="2"/>
          <w:szCs w:val="21"/>
        </w:rPr>
      </w:pPr>
    </w:p>
    <w:p w14:paraId="2E9F90F2">
      <w:pPr>
        <w:widowControl/>
        <w:snapToGrid w:val="0"/>
        <w:spacing w:beforeLines="25" w:line="300" w:lineRule="auto"/>
        <w:jc w:val="left"/>
        <w:rPr>
          <w:rFonts w:ascii="Times New Roman" w:hAnsi="Times New Roman"/>
          <w:kern w:val="2"/>
          <w:szCs w:val="21"/>
        </w:rPr>
      </w:pPr>
    </w:p>
    <w:p w14:paraId="386DBEAA">
      <w:pPr>
        <w:widowControl/>
        <w:snapToGrid w:val="0"/>
        <w:spacing w:beforeLines="25" w:line="300" w:lineRule="auto"/>
        <w:jc w:val="left"/>
        <w:rPr>
          <w:rFonts w:ascii="Times New Roman" w:hAnsi="Times New Roman"/>
          <w:kern w:val="2"/>
          <w:szCs w:val="21"/>
        </w:rPr>
      </w:pPr>
      <w:r>
        <w:rPr>
          <w:rFonts w:hint="eastAsia" w:ascii="Times New Roman" w:hAnsi="Times New Roman"/>
          <w:kern w:val="2"/>
          <w:szCs w:val="21"/>
        </w:rPr>
        <w:t>________________________</w:t>
      </w:r>
    </w:p>
    <w:p w14:paraId="7751AFE0">
      <w:pPr>
        <w:pStyle w:val="53"/>
        <w:spacing w:beforeLines="25"/>
      </w:pPr>
      <w:r>
        <w:rPr>
          <w:rFonts w:hint="eastAsia"/>
        </w:rPr>
        <w:t>（1）</w:t>
      </w:r>
      <w:r>
        <w:t>2011年7月28日法院对Orifarm和Paranova中案件：C-400/09和C-207/10, ECLI:EU:C:2011:519的判决</w:t>
      </w:r>
    </w:p>
    <w:p w14:paraId="38EEF9A0">
      <w:pPr>
        <w:pStyle w:val="8"/>
        <w:topLinePunct/>
        <w:snapToGrid w:val="0"/>
        <w:spacing w:before="0" w:line="288" w:lineRule="auto"/>
        <w:ind w:left="710" w:hanging="709" w:hangingChars="338"/>
        <w:rPr>
          <w:kern w:val="2"/>
          <w:szCs w:val="21"/>
        </w:rPr>
      </w:pPr>
      <w:r>
        <w:rPr>
          <w:kern w:val="2"/>
          <w:szCs w:val="21"/>
          <w:lang w:val="en-US"/>
        </w:rPr>
        <w:br w:type="page"/>
      </w:r>
      <w:r>
        <w:rPr>
          <w:rFonts w:hint="eastAsia"/>
          <w:kern w:val="2"/>
          <w:szCs w:val="21"/>
          <w:lang w:val="en-US"/>
        </w:rPr>
        <w:t>（</w:t>
      </w:r>
      <w:r>
        <w:rPr>
          <w:kern w:val="2"/>
          <w:szCs w:val="21"/>
        </w:rPr>
        <w:t>44）</w:t>
      </w:r>
      <w:r>
        <w:rPr>
          <w:kern w:val="2"/>
          <w:szCs w:val="21"/>
        </w:rPr>
        <w:tab/>
      </w:r>
      <w:r>
        <w:rPr>
          <w:rFonts w:hint="eastAsia"/>
          <w:kern w:val="2"/>
          <w:szCs w:val="21"/>
        </w:rPr>
        <w:t>为</w:t>
      </w:r>
      <w:r>
        <w:rPr>
          <w:kern w:val="2"/>
          <w:szCs w:val="21"/>
        </w:rPr>
        <w:t>达成本法规目标</w:t>
      </w:r>
      <w:r>
        <w:rPr>
          <w:rFonts w:hint="eastAsia"/>
          <w:kern w:val="2"/>
          <w:szCs w:val="21"/>
        </w:rPr>
        <w:t>，其中一个关键点是建立</w:t>
      </w:r>
      <w:r>
        <w:rPr>
          <w:kern w:val="2"/>
          <w:szCs w:val="21"/>
        </w:rPr>
        <w:t>欧洲医疗器械数据库（Eudamed），该数据库应整合不同的电子系统，以核对和处理关于上市的体外诊断医疗器械以及相关经济运营商、符合性评定问题、公告机构、证书、</w:t>
      </w:r>
      <w:r>
        <w:rPr>
          <w:rFonts w:hint="eastAsia"/>
          <w:kern w:val="2"/>
          <w:szCs w:val="21"/>
        </w:rPr>
        <w:t>临床</w:t>
      </w:r>
      <w:r>
        <w:rPr>
          <w:kern w:val="2"/>
          <w:szCs w:val="21"/>
        </w:rPr>
        <w:t>研究、警戒和后市场监管等相关信息。数据库的目标是提高总体透明度，包括通过更好地为公众和卫生保健专业人员提供信息，以避免多重报告要求</w:t>
      </w:r>
      <w:r>
        <w:rPr>
          <w:rFonts w:hint="eastAsia"/>
          <w:kern w:val="2"/>
          <w:szCs w:val="21"/>
        </w:rPr>
        <w:t>、</w:t>
      </w:r>
      <w:r>
        <w:rPr>
          <w:kern w:val="2"/>
          <w:szCs w:val="21"/>
        </w:rPr>
        <w:t>加强成员国之间的配合</w:t>
      </w:r>
      <w:r>
        <w:rPr>
          <w:rFonts w:hint="eastAsia"/>
          <w:kern w:val="2"/>
          <w:szCs w:val="21"/>
        </w:rPr>
        <w:t>、</w:t>
      </w:r>
      <w:r>
        <w:rPr>
          <w:kern w:val="2"/>
          <w:szCs w:val="21"/>
        </w:rPr>
        <w:t>简化和促进经济运营商、公告机构或申办方和成员国之间的信息流通，以及成员国之间和欧盟委员会之间的信息流通。在内部市场中，只能</w:t>
      </w:r>
      <w:r>
        <w:rPr>
          <w:rFonts w:hint="eastAsia"/>
          <w:kern w:val="2"/>
          <w:szCs w:val="21"/>
        </w:rPr>
        <w:t>在</w:t>
      </w:r>
      <w:r>
        <w:rPr>
          <w:kern w:val="2"/>
          <w:szCs w:val="21"/>
        </w:rPr>
        <w:t>欧盟级别有效确保</w:t>
      </w:r>
      <w:r>
        <w:rPr>
          <w:rFonts w:hint="eastAsia"/>
          <w:kern w:val="2"/>
          <w:szCs w:val="21"/>
        </w:rPr>
        <w:t>这一点</w:t>
      </w:r>
      <w:r>
        <w:rPr>
          <w:kern w:val="2"/>
          <w:szCs w:val="21"/>
        </w:rPr>
        <w:t>，因此欧盟委员会应进一步开发和管理委员会第2010/227/EU号决议</w:t>
      </w:r>
      <w:r>
        <w:rPr>
          <w:rFonts w:hint="eastAsia"/>
          <w:kern w:val="2"/>
          <w:szCs w:val="21"/>
        </w:rPr>
        <w:t>（</w:t>
      </w:r>
      <w:r>
        <w:rPr>
          <w:rFonts w:hint="eastAsia"/>
          <w:kern w:val="2"/>
          <w:szCs w:val="21"/>
          <w:vertAlign w:val="superscript"/>
        </w:rPr>
        <w:t>1</w:t>
      </w:r>
      <w:r>
        <w:rPr>
          <w:rFonts w:hint="eastAsia"/>
          <w:kern w:val="2"/>
          <w:szCs w:val="21"/>
        </w:rPr>
        <w:t>）</w:t>
      </w:r>
      <w:r>
        <w:rPr>
          <w:kern w:val="2"/>
          <w:szCs w:val="21"/>
        </w:rPr>
        <w:t>设置的</w:t>
      </w:r>
      <w:r>
        <w:rPr>
          <w:rFonts w:hint="eastAsia"/>
          <w:kern w:val="2"/>
          <w:szCs w:val="21"/>
        </w:rPr>
        <w:t>医疗器械</w:t>
      </w:r>
      <w:r>
        <w:rPr>
          <w:kern w:val="2"/>
          <w:szCs w:val="21"/>
        </w:rPr>
        <w:t>数据库。</w:t>
      </w:r>
    </w:p>
    <w:p w14:paraId="4E8CFE24">
      <w:pPr>
        <w:pStyle w:val="32"/>
        <w:tabs>
          <w:tab w:val="left" w:pos="720"/>
        </w:tabs>
        <w:topLinePunct/>
        <w:snapToGrid w:val="0"/>
        <w:spacing w:line="288" w:lineRule="auto"/>
        <w:ind w:left="710" w:hanging="709" w:hangingChars="338"/>
        <w:jc w:val="both"/>
        <w:rPr>
          <w:rFonts w:ascii="Times New Roman" w:hAnsi="Times New Roman"/>
          <w:kern w:val="2"/>
          <w:szCs w:val="21"/>
        </w:rPr>
      </w:pPr>
      <w:bookmarkStart w:id="1" w:name="_bookmark20"/>
      <w:bookmarkEnd w:id="1"/>
      <w:r>
        <w:rPr>
          <w:rFonts w:ascii="Times New Roman" w:hAnsi="Times New Roman"/>
          <w:kern w:val="2"/>
          <w:szCs w:val="21"/>
        </w:rPr>
        <w:t>（45）</w:t>
      </w:r>
      <w:r>
        <w:rPr>
          <w:rFonts w:ascii="Times New Roman" w:hAnsi="Times New Roman"/>
          <w:kern w:val="2"/>
          <w:szCs w:val="21"/>
        </w:rPr>
        <w:tab/>
      </w:r>
      <w:r>
        <w:rPr>
          <w:rFonts w:ascii="Times New Roman" w:hAnsi="Times New Roman"/>
          <w:kern w:val="2"/>
          <w:szCs w:val="21"/>
        </w:rPr>
        <w:t>为促进欧洲医疗器械数据库（Eudamed）的运作，</w:t>
      </w:r>
      <w:r>
        <w:rPr>
          <w:rFonts w:hint="eastAsia" w:ascii="Times New Roman" w:hAnsi="Times New Roman"/>
          <w:kern w:val="2"/>
          <w:szCs w:val="21"/>
        </w:rPr>
        <w:t>国际公认的医疗器械命名应免费提供给制造商和其他自然人或法人，且本法规要求相关人员必须使用该命名。此外，在合理可行的情况下，也应向其他利益相关者免费提供此类命名。</w:t>
      </w:r>
    </w:p>
    <w:p w14:paraId="0F56B999">
      <w:pPr>
        <w:pStyle w:val="32"/>
        <w:tabs>
          <w:tab w:val="left" w:pos="720"/>
        </w:tabs>
        <w:topLinePunct/>
        <w:snapToGrid w:val="0"/>
        <w:spacing w:line="288" w:lineRule="auto"/>
        <w:ind w:left="710" w:hanging="709" w:hangingChars="338"/>
        <w:jc w:val="both"/>
        <w:rPr>
          <w:rFonts w:ascii="Times New Roman" w:hAnsi="Times New Roman"/>
          <w:kern w:val="2"/>
          <w:szCs w:val="21"/>
        </w:rPr>
      </w:pPr>
      <w:r>
        <w:rPr>
          <w:rFonts w:ascii="Times New Roman" w:hAnsi="Times New Roman"/>
          <w:kern w:val="2"/>
          <w:szCs w:val="21"/>
        </w:rPr>
        <w:t>（46）</w:t>
      </w:r>
      <w:r>
        <w:rPr>
          <w:rFonts w:hint="eastAsia" w:ascii="Times New Roman" w:hAnsi="Times New Roman"/>
          <w:kern w:val="2"/>
          <w:szCs w:val="21"/>
        </w:rPr>
        <w:tab/>
      </w:r>
      <w:r>
        <w:rPr>
          <w:rFonts w:ascii="Times New Roman" w:hAnsi="Times New Roman"/>
          <w:kern w:val="2"/>
          <w:szCs w:val="21"/>
        </w:rPr>
        <w:t>Eudamed关于市场上的</w:t>
      </w:r>
      <w:r>
        <w:rPr>
          <w:rFonts w:hint="eastAsia" w:ascii="Times New Roman" w:hAnsi="Times New Roman"/>
          <w:kern w:val="2"/>
          <w:szCs w:val="21"/>
        </w:rPr>
        <w:t>器械</w:t>
      </w:r>
      <w:r>
        <w:rPr>
          <w:rFonts w:ascii="Times New Roman" w:hAnsi="Times New Roman"/>
          <w:kern w:val="2"/>
          <w:szCs w:val="21"/>
        </w:rPr>
        <w:t>，</w:t>
      </w:r>
      <w:r>
        <w:rPr>
          <w:kern w:val="2"/>
          <w:szCs w:val="21"/>
        </w:rPr>
        <w:t>相关经济运营商和证书的电子系统应确保公众充分了解欧盟市场上的器械。</w:t>
      </w:r>
      <w:r>
        <w:rPr>
          <w:rFonts w:hint="eastAsia"/>
          <w:kern w:val="2"/>
          <w:szCs w:val="21"/>
        </w:rPr>
        <w:t>临床</w:t>
      </w:r>
      <w:r>
        <w:rPr>
          <w:kern w:val="2"/>
          <w:szCs w:val="21"/>
        </w:rPr>
        <w:t>研究电子系统应作为工具，确保成员国之间合作，以及申办方能够在自愿基础上向若干成员国提交单项申请，并报告严重不良事件、器械缺陷和相关更新。电子警戒系统应确保制造商能够报告严重事件和其他异常事件，并支持</w:t>
      </w:r>
      <w:r>
        <w:rPr>
          <w:rFonts w:hint="eastAsia"/>
          <w:kern w:val="2"/>
          <w:szCs w:val="21"/>
        </w:rPr>
        <w:t>主管机构</w:t>
      </w:r>
      <w:r>
        <w:rPr>
          <w:kern w:val="2"/>
          <w:szCs w:val="21"/>
        </w:rPr>
        <w:t>协调</w:t>
      </w:r>
      <w:r>
        <w:rPr>
          <w:rFonts w:hint="eastAsia"/>
          <w:kern w:val="2"/>
          <w:szCs w:val="21"/>
        </w:rPr>
        <w:t>此等事故和事件的</w:t>
      </w:r>
      <w:r>
        <w:rPr>
          <w:kern w:val="2"/>
          <w:szCs w:val="21"/>
        </w:rPr>
        <w:t>评估。市场监管相关电子系统应作为</w:t>
      </w:r>
      <w:r>
        <w:rPr>
          <w:rFonts w:hint="eastAsia"/>
          <w:kern w:val="2"/>
          <w:szCs w:val="21"/>
        </w:rPr>
        <w:t>主管机构</w:t>
      </w:r>
      <w:r>
        <w:rPr>
          <w:kern w:val="2"/>
          <w:szCs w:val="21"/>
        </w:rPr>
        <w:t>之间进行信息交流的工具</w:t>
      </w:r>
      <w:r>
        <w:rPr>
          <w:rFonts w:ascii="Times New Roman" w:hAnsi="Times New Roman"/>
          <w:kern w:val="2"/>
          <w:szCs w:val="21"/>
        </w:rPr>
        <w:t>。</w:t>
      </w:r>
    </w:p>
    <w:p w14:paraId="6822DB9C">
      <w:pPr>
        <w:pStyle w:val="32"/>
        <w:tabs>
          <w:tab w:val="left" w:pos="682"/>
        </w:tabs>
        <w:topLinePunct/>
        <w:snapToGrid w:val="0"/>
        <w:spacing w:line="288" w:lineRule="auto"/>
        <w:ind w:left="710" w:hanging="709" w:hangingChars="338"/>
        <w:jc w:val="both"/>
        <w:rPr>
          <w:rFonts w:ascii="Times New Roman" w:hAnsi="Times New Roman"/>
          <w:kern w:val="2"/>
          <w:szCs w:val="21"/>
        </w:rPr>
      </w:pPr>
      <w:r>
        <w:rPr>
          <w:rFonts w:ascii="Times New Roman" w:hAnsi="Times New Roman"/>
          <w:kern w:val="2"/>
          <w:szCs w:val="21"/>
        </w:rPr>
        <w:t>（47）</w:t>
      </w:r>
      <w:r>
        <w:rPr>
          <w:rFonts w:ascii="Times New Roman" w:hAnsi="Times New Roman"/>
          <w:kern w:val="2"/>
          <w:szCs w:val="21"/>
        </w:rPr>
        <w:tab/>
      </w:r>
      <w:r>
        <w:rPr>
          <w:rFonts w:ascii="Times New Roman" w:hAnsi="Times New Roman"/>
          <w:kern w:val="2"/>
          <w:szCs w:val="21"/>
        </w:rPr>
        <w:t>关于通过Eudamed电子系统核对和处理的数据，</w:t>
      </w:r>
      <w:r>
        <w:rPr>
          <w:kern w:val="2"/>
          <w:szCs w:val="21"/>
        </w:rPr>
        <w:t>欧洲议会和理事会第95/46/EC号指令</w:t>
      </w:r>
      <w:r>
        <w:rPr>
          <w:rFonts w:hint="eastAsia"/>
          <w:kern w:val="2"/>
          <w:szCs w:val="21"/>
        </w:rPr>
        <w:t>（</w:t>
      </w:r>
      <w:r>
        <w:rPr>
          <w:rFonts w:hint="eastAsia"/>
          <w:kern w:val="2"/>
          <w:szCs w:val="21"/>
          <w:vertAlign w:val="superscript"/>
        </w:rPr>
        <w:t>2</w:t>
      </w:r>
      <w:r>
        <w:rPr>
          <w:rFonts w:hint="eastAsia"/>
          <w:kern w:val="2"/>
          <w:szCs w:val="21"/>
        </w:rPr>
        <w:t>）适用于</w:t>
      </w:r>
      <w:r>
        <w:rPr>
          <w:kern w:val="2"/>
          <w:szCs w:val="21"/>
        </w:rPr>
        <w:t>在成员国</w:t>
      </w:r>
      <w:r>
        <w:rPr>
          <w:rFonts w:hint="eastAsia"/>
          <w:kern w:val="2"/>
          <w:szCs w:val="21"/>
        </w:rPr>
        <w:t>主管机构</w:t>
      </w:r>
      <w:r>
        <w:rPr>
          <w:kern w:val="2"/>
          <w:szCs w:val="21"/>
        </w:rPr>
        <w:t>（特别是成员国指定的公共独立机构）的监督下</w:t>
      </w:r>
      <w:r>
        <w:rPr>
          <w:rFonts w:hint="eastAsia"/>
          <w:kern w:val="2"/>
          <w:szCs w:val="21"/>
        </w:rPr>
        <w:t>，</w:t>
      </w:r>
      <w:r>
        <w:rPr>
          <w:kern w:val="2"/>
          <w:szCs w:val="21"/>
        </w:rPr>
        <w:t>由成员国进行个人数据处理</w:t>
      </w:r>
      <w:r>
        <w:rPr>
          <w:rFonts w:hint="eastAsia"/>
          <w:kern w:val="2"/>
          <w:szCs w:val="21"/>
        </w:rPr>
        <w:t>。</w:t>
      </w:r>
      <w:r>
        <w:rPr>
          <w:kern w:val="2"/>
          <w:szCs w:val="21"/>
        </w:rPr>
        <w:t>欧洲议会和理事会第45/2001号</w:t>
      </w:r>
      <w:r>
        <w:rPr>
          <w:rFonts w:hint="eastAsia"/>
          <w:kern w:val="2"/>
          <w:szCs w:val="21"/>
        </w:rPr>
        <w:t>法规（</w:t>
      </w:r>
      <w:r>
        <w:rPr>
          <w:rFonts w:hint="eastAsia"/>
          <w:kern w:val="2"/>
          <w:szCs w:val="21"/>
          <w:vertAlign w:val="superscript"/>
        </w:rPr>
        <w:t>3</w:t>
      </w:r>
      <w:r>
        <w:rPr>
          <w:rFonts w:hint="eastAsia"/>
          <w:kern w:val="2"/>
          <w:szCs w:val="21"/>
        </w:rPr>
        <w:t>）适用于</w:t>
      </w:r>
      <w:r>
        <w:rPr>
          <w:kern w:val="2"/>
          <w:szCs w:val="21"/>
        </w:rPr>
        <w:t>在欧洲数据保护管理程序的监督下，由委员会在本法规框架内处理个人数据</w:t>
      </w:r>
      <w:r>
        <w:rPr>
          <w:rFonts w:hint="eastAsia"/>
          <w:kern w:val="2"/>
          <w:szCs w:val="21"/>
        </w:rPr>
        <w:t>。根据</w:t>
      </w:r>
      <w:r>
        <w:rPr>
          <w:kern w:val="2"/>
          <w:szCs w:val="21"/>
        </w:rPr>
        <w:t>第45/2001号指令</w:t>
      </w:r>
      <w:r>
        <w:rPr>
          <w:rFonts w:hint="eastAsia"/>
          <w:kern w:val="2"/>
          <w:szCs w:val="21"/>
        </w:rPr>
        <w:t>，</w:t>
      </w:r>
      <w:r>
        <w:rPr>
          <w:kern w:val="2"/>
          <w:szCs w:val="21"/>
        </w:rPr>
        <w:t>应指定委员会作为Eudamed及其电子系统的管理者</w:t>
      </w:r>
      <w:r>
        <w:rPr>
          <w:rFonts w:ascii="Times New Roman" w:hAnsi="Times New Roman"/>
          <w:kern w:val="2"/>
          <w:szCs w:val="21"/>
        </w:rPr>
        <w:t>。</w:t>
      </w:r>
    </w:p>
    <w:p w14:paraId="1F0F805E">
      <w:pPr>
        <w:pStyle w:val="32"/>
        <w:tabs>
          <w:tab w:val="left" w:pos="720"/>
        </w:tabs>
        <w:topLinePunct/>
        <w:snapToGrid w:val="0"/>
        <w:spacing w:line="288" w:lineRule="auto"/>
        <w:ind w:left="710" w:hanging="709" w:hangingChars="338"/>
        <w:jc w:val="both"/>
        <w:rPr>
          <w:rFonts w:ascii="Times New Roman" w:hAnsi="Times New Roman"/>
          <w:kern w:val="2"/>
          <w:szCs w:val="21"/>
        </w:rPr>
      </w:pPr>
      <w:r>
        <w:rPr>
          <w:rFonts w:ascii="Times New Roman" w:hAnsi="Times New Roman"/>
          <w:kern w:val="2"/>
          <w:szCs w:val="21"/>
        </w:rPr>
        <w:t>（48）</w:t>
      </w:r>
      <w:r>
        <w:rPr>
          <w:rFonts w:ascii="Times New Roman" w:hAnsi="Times New Roman"/>
          <w:kern w:val="2"/>
          <w:szCs w:val="21"/>
        </w:rPr>
        <w:tab/>
      </w:r>
      <w:r>
        <w:rPr>
          <w:rFonts w:ascii="Times New Roman" w:hAnsi="Times New Roman"/>
          <w:kern w:val="2"/>
          <w:szCs w:val="21"/>
        </w:rPr>
        <w:t>对于可植入器械</w:t>
      </w:r>
      <w:r>
        <w:rPr>
          <w:rFonts w:hint="eastAsia" w:ascii="Times New Roman" w:hAnsi="Times New Roman"/>
          <w:kern w:val="2"/>
          <w:szCs w:val="21"/>
        </w:rPr>
        <w:t>和III类器械</w:t>
      </w:r>
      <w:r>
        <w:rPr>
          <w:rFonts w:ascii="Times New Roman" w:hAnsi="Times New Roman"/>
          <w:kern w:val="2"/>
          <w:szCs w:val="21"/>
        </w:rPr>
        <w:t>，</w:t>
      </w:r>
      <w:r>
        <w:rPr>
          <w:kern w:val="2"/>
          <w:szCs w:val="21"/>
        </w:rPr>
        <w:t>制造商应在公开提供的文件中总结器械的主要安全与性能方面以及</w:t>
      </w:r>
      <w:r>
        <w:rPr>
          <w:rFonts w:hint="eastAsia"/>
          <w:kern w:val="2"/>
          <w:szCs w:val="21"/>
        </w:rPr>
        <w:t>临床</w:t>
      </w:r>
      <w:r>
        <w:rPr>
          <w:kern w:val="2"/>
          <w:szCs w:val="21"/>
        </w:rPr>
        <w:t>评估的结果</w:t>
      </w:r>
      <w:r>
        <w:rPr>
          <w:rFonts w:ascii="Times New Roman" w:hAnsi="Times New Roman"/>
          <w:kern w:val="2"/>
          <w:szCs w:val="21"/>
        </w:rPr>
        <w:t>。</w:t>
      </w:r>
    </w:p>
    <w:p w14:paraId="55A111E0">
      <w:pPr>
        <w:pStyle w:val="8"/>
        <w:tabs>
          <w:tab w:val="left" w:pos="720"/>
        </w:tabs>
        <w:topLinePunct/>
        <w:snapToGrid w:val="0"/>
        <w:spacing w:before="0" w:line="288" w:lineRule="auto"/>
        <w:ind w:left="710" w:hanging="709" w:hangingChars="338"/>
        <w:jc w:val="both"/>
        <w:rPr>
          <w:kern w:val="2"/>
          <w:szCs w:val="21"/>
        </w:rPr>
      </w:pPr>
      <w:r>
        <w:rPr>
          <w:kern w:val="2"/>
          <w:szCs w:val="21"/>
        </w:rPr>
        <w:t>（49）</w:t>
      </w:r>
      <w:r>
        <w:rPr>
          <w:kern w:val="2"/>
          <w:szCs w:val="21"/>
        </w:rPr>
        <w:tab/>
      </w:r>
      <w:r>
        <w:rPr>
          <w:kern w:val="2"/>
          <w:szCs w:val="21"/>
        </w:rPr>
        <w:t>器械安全和临床性能总结应特别包括在诊断或治疗选择</w:t>
      </w:r>
      <w:r>
        <w:rPr>
          <w:rFonts w:hint="eastAsia"/>
          <w:kern w:val="2"/>
          <w:szCs w:val="21"/>
        </w:rPr>
        <w:t>中</w:t>
      </w:r>
      <w:r>
        <w:rPr>
          <w:kern w:val="2"/>
          <w:szCs w:val="21"/>
        </w:rPr>
        <w:t>器械</w:t>
      </w:r>
      <w:r>
        <w:rPr>
          <w:rFonts w:hint="eastAsia"/>
          <w:kern w:val="2"/>
          <w:szCs w:val="21"/>
        </w:rPr>
        <w:t>的</w:t>
      </w:r>
      <w:r>
        <w:rPr>
          <w:kern w:val="2"/>
          <w:szCs w:val="21"/>
        </w:rPr>
        <w:t>地位，并考虑到在与诊断或治疗替代项相比时的器械临床评价，以及可能考虑该器械及其备选方案的具体条件。</w:t>
      </w:r>
    </w:p>
    <w:p w14:paraId="623D03BD">
      <w:pPr>
        <w:pStyle w:val="8"/>
        <w:topLinePunct/>
        <w:snapToGrid w:val="0"/>
        <w:spacing w:before="0" w:line="288" w:lineRule="auto"/>
        <w:ind w:left="710" w:hanging="709" w:hangingChars="338"/>
        <w:jc w:val="both"/>
        <w:rPr>
          <w:kern w:val="2"/>
          <w:szCs w:val="21"/>
        </w:rPr>
      </w:pPr>
      <w:bookmarkStart w:id="2" w:name="_bookmark24"/>
      <w:bookmarkEnd w:id="2"/>
      <w:r>
        <w:rPr>
          <w:kern w:val="2"/>
          <w:szCs w:val="21"/>
        </w:rPr>
        <w:t>（50）</w:t>
      </w:r>
      <w:r>
        <w:rPr>
          <w:kern w:val="2"/>
          <w:szCs w:val="21"/>
        </w:rPr>
        <w:tab/>
      </w:r>
      <w:r>
        <w:rPr>
          <w:kern w:val="2"/>
          <w:szCs w:val="21"/>
        </w:rPr>
        <w:t>公告机构的正常运作对于确保高水平的健康和安全</w:t>
      </w:r>
      <w:r>
        <w:rPr>
          <w:rFonts w:hint="eastAsia"/>
          <w:kern w:val="2"/>
          <w:szCs w:val="21"/>
        </w:rPr>
        <w:t>保护</w:t>
      </w:r>
      <w:r>
        <w:rPr>
          <w:kern w:val="2"/>
          <w:szCs w:val="21"/>
        </w:rPr>
        <w:t>以及公民对系统的信心至关重要。因此，成员国根据详细和严格的标准对指定机构进行的指定和监测，应在欧盟级别实行控制。</w:t>
      </w:r>
    </w:p>
    <w:p w14:paraId="7DD99805">
      <w:pPr>
        <w:pStyle w:val="32"/>
        <w:topLinePunct/>
        <w:snapToGrid w:val="0"/>
        <w:spacing w:line="288" w:lineRule="auto"/>
        <w:ind w:left="710" w:hanging="709" w:hangingChars="338"/>
        <w:jc w:val="both"/>
        <w:rPr>
          <w:rFonts w:ascii="Times New Roman" w:hAnsi="Times New Roman"/>
          <w:kern w:val="2"/>
          <w:szCs w:val="21"/>
        </w:rPr>
      </w:pPr>
      <w:r>
        <w:rPr>
          <w:rFonts w:ascii="Times New Roman" w:hAnsi="Times New Roman"/>
          <w:kern w:val="2"/>
          <w:szCs w:val="21"/>
        </w:rPr>
        <w:t>（51）</w:t>
      </w:r>
      <w:r>
        <w:rPr>
          <w:rFonts w:ascii="Times New Roman" w:hAnsi="Times New Roman"/>
          <w:kern w:val="2"/>
          <w:szCs w:val="21"/>
        </w:rPr>
        <w:tab/>
      </w:r>
      <w:r>
        <w:rPr>
          <w:rFonts w:ascii="Times New Roman" w:hAnsi="Times New Roman"/>
          <w:kern w:val="2"/>
          <w:szCs w:val="21"/>
        </w:rPr>
        <w:t>公告机构</w:t>
      </w:r>
      <w:r>
        <w:rPr>
          <w:kern w:val="2"/>
          <w:szCs w:val="21"/>
        </w:rPr>
        <w:t>对制造商的技术文件的评估，特别是其</w:t>
      </w:r>
      <w:r>
        <w:rPr>
          <w:rFonts w:hint="eastAsia"/>
          <w:kern w:val="2"/>
          <w:szCs w:val="21"/>
        </w:rPr>
        <w:t>临床</w:t>
      </w:r>
      <w:r>
        <w:rPr>
          <w:kern w:val="2"/>
          <w:szCs w:val="21"/>
        </w:rPr>
        <w:t>评估文件，应由负责公告机构的主管</w:t>
      </w:r>
      <w:r>
        <w:rPr>
          <w:rFonts w:hint="eastAsia"/>
          <w:kern w:val="2"/>
          <w:szCs w:val="21"/>
        </w:rPr>
        <w:t>机构</w:t>
      </w:r>
      <w:r>
        <w:rPr>
          <w:kern w:val="2"/>
          <w:szCs w:val="21"/>
        </w:rPr>
        <w:t>进行严格评估。</w:t>
      </w:r>
      <w:r>
        <w:rPr>
          <w:rFonts w:hint="eastAsia" w:ascii="Times New Roman" w:hAnsi="Times New Roman"/>
          <w:kern w:val="2"/>
          <w:szCs w:val="21"/>
          <w:lang w:bidi="zh-CN"/>
        </w:rPr>
        <w:t>此类评估是一种基于风险的手段，用于监督和监测公告机构活动，评估时可采取相关文件抽样的方法</w:t>
      </w:r>
      <w:r>
        <w:rPr>
          <w:rFonts w:ascii="Times New Roman" w:hAnsi="Times New Roman"/>
          <w:kern w:val="2"/>
          <w:szCs w:val="21"/>
        </w:rPr>
        <w:t>。</w:t>
      </w:r>
    </w:p>
    <w:p w14:paraId="2E7D70F2">
      <w:pPr>
        <w:pStyle w:val="32"/>
        <w:topLinePunct/>
        <w:snapToGrid w:val="0"/>
        <w:spacing w:line="288" w:lineRule="auto"/>
        <w:ind w:left="710" w:hanging="709" w:hangingChars="338"/>
        <w:jc w:val="both"/>
        <w:rPr>
          <w:rFonts w:ascii="Times New Roman" w:hAnsi="Times New Roman"/>
          <w:kern w:val="2"/>
          <w:szCs w:val="21"/>
        </w:rPr>
      </w:pPr>
      <w:r>
        <w:rPr>
          <w:rFonts w:ascii="Times New Roman" w:hAnsi="Times New Roman"/>
          <w:kern w:val="2"/>
          <w:szCs w:val="21"/>
        </w:rPr>
        <w:t>（52）</w:t>
      </w:r>
      <w:r>
        <w:rPr>
          <w:rFonts w:ascii="Times New Roman" w:hAnsi="Times New Roman"/>
          <w:kern w:val="2"/>
          <w:szCs w:val="21"/>
        </w:rPr>
        <w:tab/>
      </w:r>
      <w:r>
        <w:rPr>
          <w:rFonts w:ascii="Times New Roman" w:hAnsi="Times New Roman"/>
          <w:kern w:val="2"/>
          <w:szCs w:val="21"/>
        </w:rPr>
        <w:t>应加强公告</w:t>
      </w:r>
      <w:r>
        <w:rPr>
          <w:kern w:val="2"/>
          <w:szCs w:val="21"/>
        </w:rPr>
        <w:t>机构对制造商的监管，包括其进行突击飞行检查和对器械进行物理或实验室测试的权利和义务，以确保制造商在收到原始证书后持续合规</w:t>
      </w:r>
      <w:r>
        <w:rPr>
          <w:rFonts w:ascii="Times New Roman" w:hAnsi="Times New Roman"/>
          <w:kern w:val="2"/>
          <w:szCs w:val="21"/>
        </w:rPr>
        <w:t>。</w:t>
      </w:r>
    </w:p>
    <w:p w14:paraId="130D4EAE">
      <w:pPr>
        <w:widowControl/>
        <w:snapToGrid w:val="0"/>
        <w:spacing w:beforeLines="25" w:line="300" w:lineRule="auto"/>
        <w:jc w:val="left"/>
        <w:rPr>
          <w:rFonts w:ascii="Times New Roman" w:hAnsi="Times New Roman"/>
          <w:kern w:val="2"/>
          <w:szCs w:val="21"/>
        </w:rPr>
      </w:pPr>
      <w:r>
        <w:rPr>
          <w:rFonts w:hint="eastAsia" w:ascii="Times New Roman" w:hAnsi="Times New Roman"/>
          <w:kern w:val="2"/>
          <w:szCs w:val="21"/>
        </w:rPr>
        <w:t>________________________</w:t>
      </w:r>
    </w:p>
    <w:p w14:paraId="535148C1">
      <w:pPr>
        <w:pStyle w:val="53"/>
        <w:ind w:left="335" w:hanging="334" w:hangingChars="186"/>
      </w:pPr>
      <w:r>
        <w:rPr>
          <w:rFonts w:hint="eastAsia"/>
        </w:rPr>
        <w:t>（</w:t>
      </w:r>
      <w:r>
        <w:rPr>
          <w:rFonts w:hint="eastAsia"/>
          <w:vertAlign w:val="superscript"/>
        </w:rPr>
        <w:t>1</w:t>
      </w:r>
      <w:r>
        <w:rPr>
          <w:rFonts w:hint="eastAsia"/>
        </w:rPr>
        <w:t>）</w:t>
      </w:r>
      <w:r>
        <w:rPr>
          <w:rFonts w:hint="eastAsia"/>
        </w:rPr>
        <w:tab/>
      </w:r>
      <w:r>
        <w:t>委员会签发的关于设立医疗器械数据库的委员会第2010/227/EU号决议</w:t>
      </w:r>
    </w:p>
    <w:p w14:paraId="7F472B43">
      <w:pPr>
        <w:snapToGrid w:val="0"/>
        <w:spacing w:line="300" w:lineRule="auto"/>
        <w:ind w:left="335" w:hanging="334" w:hangingChars="186"/>
        <w:rPr>
          <w:rFonts w:ascii="Times New Roman" w:hAnsi="Times New Roman"/>
          <w:kern w:val="2"/>
          <w:sz w:val="18"/>
          <w:szCs w:val="18"/>
        </w:rPr>
      </w:pPr>
      <w:r>
        <w:rPr>
          <w:rFonts w:hint="eastAsia" w:ascii="Times New Roman" w:hAnsi="Times New Roman"/>
          <w:kern w:val="2"/>
          <w:sz w:val="18"/>
          <w:szCs w:val="18"/>
        </w:rPr>
        <w:t>（</w:t>
      </w:r>
      <w:r>
        <w:rPr>
          <w:rFonts w:hint="eastAsia" w:ascii="Times New Roman" w:hAnsi="Times New Roman"/>
          <w:kern w:val="2"/>
          <w:sz w:val="18"/>
          <w:szCs w:val="18"/>
          <w:vertAlign w:val="superscript"/>
        </w:rPr>
        <w:t>2</w:t>
      </w:r>
      <w:r>
        <w:rPr>
          <w:rFonts w:hint="eastAsia" w:ascii="Times New Roman" w:hAnsi="Times New Roman"/>
          <w:kern w:val="2"/>
          <w:sz w:val="18"/>
          <w:szCs w:val="18"/>
        </w:rPr>
        <w:t>）</w:t>
      </w:r>
      <w:r>
        <w:rPr>
          <w:rFonts w:ascii="Times New Roman" w:hAnsi="Times New Roman"/>
          <w:kern w:val="2"/>
          <w:sz w:val="18"/>
          <w:szCs w:val="18"/>
        </w:rPr>
        <w:t>欧洲议会和理事会</w:t>
      </w:r>
      <w:r>
        <w:rPr>
          <w:rFonts w:hint="eastAsia" w:ascii="Times New Roman" w:hAnsi="Times New Roman"/>
          <w:kern w:val="2"/>
          <w:sz w:val="18"/>
          <w:szCs w:val="18"/>
        </w:rPr>
        <w:t>于</w:t>
      </w:r>
      <w:r>
        <w:rPr>
          <w:rFonts w:ascii="Times New Roman" w:hAnsi="Times New Roman"/>
          <w:kern w:val="2"/>
          <w:sz w:val="18"/>
          <w:szCs w:val="18"/>
        </w:rPr>
        <w:t>1995年10月24日签发的关于保护个人在处理个人数据和数据自由流通方面的第95/46/EC</w:t>
      </w:r>
      <w:r>
        <w:rPr>
          <w:rFonts w:ascii="Times New Roman" w:hAnsi="Times New Roman"/>
          <w:b/>
          <w:kern w:val="2"/>
          <w:sz w:val="18"/>
          <w:szCs w:val="18"/>
        </w:rPr>
        <w:t>22</w:t>
      </w:r>
      <w:r>
        <w:rPr>
          <w:rFonts w:ascii="Times New Roman" w:hAnsi="Times New Roman"/>
          <w:kern w:val="2"/>
          <w:sz w:val="18"/>
          <w:szCs w:val="18"/>
        </w:rPr>
        <w:t>号指令(OJ L281, 23.11.1995, p. 31)。</w:t>
      </w:r>
    </w:p>
    <w:p w14:paraId="61EE3E3A">
      <w:pPr>
        <w:snapToGrid w:val="0"/>
        <w:spacing w:line="300" w:lineRule="auto"/>
        <w:ind w:left="335" w:hanging="334" w:hangingChars="186"/>
        <w:rPr>
          <w:rFonts w:ascii="Times New Roman" w:hAnsi="Times New Roman"/>
          <w:kern w:val="2"/>
          <w:sz w:val="18"/>
          <w:szCs w:val="18"/>
        </w:rPr>
      </w:pPr>
      <w:r>
        <w:rPr>
          <w:rFonts w:hint="eastAsia" w:ascii="Times New Roman" w:hAnsi="Times New Roman"/>
          <w:kern w:val="2"/>
          <w:sz w:val="18"/>
          <w:szCs w:val="18"/>
        </w:rPr>
        <w:t>（</w:t>
      </w:r>
      <w:r>
        <w:rPr>
          <w:rFonts w:hint="eastAsia" w:ascii="Times New Roman" w:hAnsi="Times New Roman"/>
          <w:kern w:val="2"/>
          <w:sz w:val="18"/>
          <w:szCs w:val="18"/>
          <w:vertAlign w:val="superscript"/>
        </w:rPr>
        <w:t>3</w:t>
      </w:r>
      <w:r>
        <w:rPr>
          <w:rFonts w:hint="eastAsia" w:ascii="Times New Roman" w:hAnsi="Times New Roman"/>
          <w:kern w:val="2"/>
          <w:sz w:val="18"/>
          <w:szCs w:val="18"/>
        </w:rPr>
        <w:t>）</w:t>
      </w:r>
      <w:r>
        <w:rPr>
          <w:rFonts w:ascii="Times New Roman" w:hAnsi="Times New Roman"/>
          <w:kern w:val="2"/>
          <w:sz w:val="18"/>
          <w:szCs w:val="18"/>
        </w:rPr>
        <w:t>欧洲议会和理事会</w:t>
      </w:r>
      <w:r>
        <w:rPr>
          <w:rFonts w:hint="eastAsia" w:ascii="Times New Roman" w:hAnsi="Times New Roman"/>
          <w:kern w:val="2"/>
          <w:sz w:val="18"/>
          <w:szCs w:val="18"/>
        </w:rPr>
        <w:t>于</w:t>
      </w:r>
      <w:r>
        <w:rPr>
          <w:rFonts w:ascii="Times New Roman" w:hAnsi="Times New Roman"/>
          <w:kern w:val="2"/>
          <w:sz w:val="18"/>
          <w:szCs w:val="18"/>
        </w:rPr>
        <w:t>2000年12月18日签发的关于保护个人在欧共体机构和机构处理个人数据方面的欧洲</w:t>
      </w:r>
      <w:r>
        <w:rPr>
          <w:rFonts w:hint="eastAsia" w:ascii="Times New Roman" w:hAnsi="Times New Roman"/>
          <w:kern w:val="2"/>
          <w:sz w:val="18"/>
          <w:szCs w:val="18"/>
        </w:rPr>
        <w:t>理事会</w:t>
      </w:r>
      <w:r>
        <w:rPr>
          <w:rFonts w:ascii="Times New Roman" w:hAnsi="Times New Roman"/>
          <w:kern w:val="2"/>
          <w:sz w:val="18"/>
          <w:szCs w:val="18"/>
        </w:rPr>
        <w:t>第45/2001号指令</w:t>
      </w:r>
      <w:r>
        <w:rPr>
          <w:rFonts w:ascii="Times New Roman" w:hAnsi="Times New Roman"/>
          <w:b/>
          <w:kern w:val="2"/>
          <w:sz w:val="18"/>
          <w:szCs w:val="18"/>
        </w:rPr>
        <w:t>24</w:t>
      </w:r>
      <w:r>
        <w:rPr>
          <w:rFonts w:ascii="Times New Roman" w:hAnsi="Times New Roman"/>
          <w:kern w:val="2"/>
          <w:sz w:val="18"/>
          <w:szCs w:val="18"/>
        </w:rPr>
        <w:t>(OJ L8, 12.1.2001, p. 1)。</w:t>
      </w:r>
    </w:p>
    <w:p w14:paraId="1C4534C0">
      <w:pPr>
        <w:widowControl/>
        <w:topLinePunct w:val="0"/>
        <w:jc w:val="left"/>
        <w:rPr>
          <w:rFonts w:ascii="Times New Roman" w:hAnsi="Times New Roman"/>
          <w:kern w:val="2"/>
          <w:sz w:val="18"/>
          <w:szCs w:val="18"/>
        </w:rPr>
      </w:pPr>
      <w:r>
        <w:rPr>
          <w:rFonts w:ascii="Times New Roman" w:hAnsi="Times New Roman"/>
          <w:kern w:val="2"/>
          <w:sz w:val="18"/>
          <w:szCs w:val="18"/>
        </w:rPr>
        <w:br w:type="page"/>
      </w:r>
    </w:p>
    <w:p w14:paraId="70D7C930">
      <w:pPr>
        <w:pStyle w:val="32"/>
        <w:topLinePunct/>
        <w:snapToGrid w:val="0"/>
        <w:spacing w:beforeLines="25" w:line="300" w:lineRule="auto"/>
        <w:ind w:left="850" w:hanging="850" w:hangingChars="405"/>
        <w:jc w:val="both"/>
        <w:rPr>
          <w:rFonts w:ascii="Times New Roman" w:hAnsi="Times New Roman"/>
          <w:kern w:val="2"/>
          <w:szCs w:val="21"/>
        </w:rPr>
      </w:pPr>
      <w:r>
        <w:rPr>
          <w:rFonts w:ascii="Times New Roman" w:hAnsi="Times New Roman"/>
          <w:kern w:val="2"/>
          <w:szCs w:val="21"/>
        </w:rPr>
        <w:t>（53）</w:t>
      </w:r>
      <w:r>
        <w:rPr>
          <w:rFonts w:ascii="Times New Roman" w:hAnsi="Times New Roman"/>
          <w:kern w:val="2"/>
          <w:szCs w:val="21"/>
        </w:rPr>
        <w:tab/>
      </w:r>
      <w:r>
        <w:rPr>
          <w:rFonts w:ascii="Times New Roman" w:hAnsi="Times New Roman"/>
          <w:kern w:val="2"/>
          <w:szCs w:val="21"/>
        </w:rPr>
        <w:t>为提高</w:t>
      </w:r>
      <w:r>
        <w:rPr>
          <w:kern w:val="2"/>
          <w:szCs w:val="21"/>
        </w:rPr>
        <w:t>国家主管</w:t>
      </w:r>
      <w:r>
        <w:rPr>
          <w:rFonts w:hint="eastAsia"/>
          <w:kern w:val="2"/>
          <w:szCs w:val="21"/>
        </w:rPr>
        <w:t>机构</w:t>
      </w:r>
      <w:r>
        <w:rPr>
          <w:kern w:val="2"/>
          <w:szCs w:val="21"/>
        </w:rPr>
        <w:t>监督公告机构的透明度，</w:t>
      </w:r>
      <w:r>
        <w:rPr>
          <w:rFonts w:hint="eastAsia"/>
          <w:kern w:val="2"/>
          <w:szCs w:val="21"/>
        </w:rPr>
        <w:t>公告机构的</w:t>
      </w:r>
      <w:r>
        <w:rPr>
          <w:kern w:val="2"/>
          <w:szCs w:val="21"/>
        </w:rPr>
        <w:t>主管</w:t>
      </w:r>
      <w:r>
        <w:rPr>
          <w:rFonts w:hint="eastAsia"/>
          <w:kern w:val="2"/>
          <w:szCs w:val="21"/>
        </w:rPr>
        <w:t>机构</w:t>
      </w:r>
      <w:r>
        <w:rPr>
          <w:kern w:val="2"/>
          <w:szCs w:val="21"/>
        </w:rPr>
        <w:t>应公布其用于指定和监测器械公告机构的</w:t>
      </w:r>
      <w:r>
        <w:rPr>
          <w:rFonts w:hint="eastAsia"/>
          <w:kern w:val="2"/>
          <w:szCs w:val="21"/>
        </w:rPr>
        <w:t>国家评估监管措施的</w:t>
      </w:r>
      <w:r>
        <w:rPr>
          <w:kern w:val="2"/>
          <w:szCs w:val="21"/>
        </w:rPr>
        <w:t>信息。根据良好的行政实践，主管</w:t>
      </w:r>
      <w:r>
        <w:rPr>
          <w:rFonts w:hint="eastAsia"/>
          <w:kern w:val="2"/>
          <w:szCs w:val="21"/>
        </w:rPr>
        <w:t>机构</w:t>
      </w:r>
      <w:r>
        <w:rPr>
          <w:kern w:val="2"/>
          <w:szCs w:val="21"/>
        </w:rPr>
        <w:t>应该及时更新这些信息，特别是反映</w:t>
      </w:r>
      <w:r>
        <w:rPr>
          <w:rFonts w:hint="eastAsia"/>
          <w:kern w:val="2"/>
          <w:szCs w:val="21"/>
        </w:rPr>
        <w:t>上述流程</w:t>
      </w:r>
      <w:r>
        <w:rPr>
          <w:kern w:val="2"/>
          <w:szCs w:val="21"/>
        </w:rPr>
        <w:t>的相关、重大或实质性变更</w:t>
      </w:r>
      <w:r>
        <w:rPr>
          <w:rFonts w:ascii="Times New Roman" w:hAnsi="Times New Roman"/>
          <w:kern w:val="2"/>
          <w:szCs w:val="21"/>
        </w:rPr>
        <w:t>。</w:t>
      </w:r>
    </w:p>
    <w:p w14:paraId="17306F45">
      <w:pPr>
        <w:pStyle w:val="32"/>
        <w:topLinePunct/>
        <w:snapToGrid w:val="0"/>
        <w:spacing w:beforeLines="25" w:line="300" w:lineRule="auto"/>
        <w:ind w:left="850" w:hanging="850" w:hangingChars="405"/>
        <w:jc w:val="both"/>
        <w:rPr>
          <w:rFonts w:ascii="Times New Roman" w:hAnsi="Times New Roman"/>
          <w:kern w:val="2"/>
          <w:szCs w:val="21"/>
        </w:rPr>
      </w:pPr>
      <w:r>
        <w:rPr>
          <w:rFonts w:ascii="Times New Roman" w:hAnsi="Times New Roman"/>
          <w:kern w:val="2"/>
          <w:szCs w:val="21"/>
        </w:rPr>
        <w:t>（54</w:t>
      </w:r>
      <w:r>
        <w:rPr>
          <w:rFonts w:hint="eastAsia" w:ascii="Times New Roman" w:hAnsi="Times New Roman"/>
          <w:kern w:val="2"/>
          <w:szCs w:val="21"/>
        </w:rPr>
        <w:t>）</w:t>
      </w:r>
      <w:r>
        <w:rPr>
          <w:rFonts w:hint="eastAsia" w:ascii="Times New Roman" w:hAnsi="Times New Roman"/>
          <w:kern w:val="2"/>
          <w:szCs w:val="21"/>
        </w:rPr>
        <w:tab/>
      </w:r>
      <w:r>
        <w:rPr>
          <w:rFonts w:ascii="Times New Roman" w:hAnsi="Times New Roman"/>
          <w:kern w:val="2"/>
          <w:szCs w:val="21"/>
        </w:rPr>
        <w:t>公告机构所在</w:t>
      </w:r>
      <w:r>
        <w:rPr>
          <w:kern w:val="2"/>
          <w:szCs w:val="21"/>
        </w:rPr>
        <w:t>的成员国应负责执行本法规关于该公告机构的要求</w:t>
      </w:r>
      <w:r>
        <w:rPr>
          <w:rFonts w:ascii="Times New Roman" w:hAnsi="Times New Roman"/>
          <w:kern w:val="2"/>
          <w:szCs w:val="21"/>
        </w:rPr>
        <w:t>。</w:t>
      </w:r>
    </w:p>
    <w:p w14:paraId="3B571F31">
      <w:pPr>
        <w:pStyle w:val="32"/>
        <w:topLinePunct/>
        <w:snapToGrid w:val="0"/>
        <w:spacing w:beforeLines="25" w:line="300" w:lineRule="auto"/>
        <w:ind w:left="850" w:hanging="850" w:hangingChars="405"/>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55）</w:t>
      </w:r>
      <w:r>
        <w:rPr>
          <w:rFonts w:ascii="Times New Roman" w:hAnsi="Times New Roman"/>
          <w:kern w:val="2"/>
          <w:szCs w:val="21"/>
        </w:rPr>
        <w:tab/>
      </w:r>
      <w:r>
        <w:rPr>
          <w:rFonts w:ascii="Times New Roman" w:hAnsi="Times New Roman"/>
          <w:kern w:val="2"/>
          <w:szCs w:val="21"/>
        </w:rPr>
        <w:t>特别</w:t>
      </w:r>
      <w:r>
        <w:rPr>
          <w:kern w:val="2"/>
          <w:szCs w:val="21"/>
        </w:rPr>
        <w:t>是考虑到</w:t>
      </w:r>
      <w:r>
        <w:rPr>
          <w:rFonts w:hint="eastAsia"/>
          <w:kern w:val="2"/>
          <w:szCs w:val="21"/>
        </w:rPr>
        <w:t>成员国</w:t>
      </w:r>
      <w:r>
        <w:rPr>
          <w:kern w:val="2"/>
          <w:szCs w:val="21"/>
        </w:rPr>
        <w:t>组织并提供</w:t>
      </w:r>
      <w:r>
        <w:rPr>
          <w:rFonts w:hint="eastAsia"/>
          <w:kern w:val="2"/>
          <w:szCs w:val="21"/>
        </w:rPr>
        <w:t>保健服</w:t>
      </w:r>
      <w:r>
        <w:rPr>
          <w:kern w:val="2"/>
          <w:szCs w:val="21"/>
        </w:rPr>
        <w:t>务和医疗护理的责任，</w:t>
      </w:r>
      <w:r>
        <w:rPr>
          <w:rFonts w:hint="eastAsia"/>
          <w:kern w:val="2"/>
          <w:szCs w:val="21"/>
        </w:rPr>
        <w:t>允许其</w:t>
      </w:r>
      <w:r>
        <w:rPr>
          <w:kern w:val="2"/>
          <w:szCs w:val="21"/>
        </w:rPr>
        <w:t>制定有关公告机构的其他要求，此类机构用于器械的</w:t>
      </w:r>
      <w:r>
        <w:rPr>
          <w:rFonts w:hint="eastAsia"/>
          <w:kern w:val="2"/>
          <w:szCs w:val="21"/>
        </w:rPr>
        <w:t>符合性</w:t>
      </w:r>
      <w:r>
        <w:rPr>
          <w:kern w:val="2"/>
          <w:szCs w:val="21"/>
        </w:rPr>
        <w:t>评估，</w:t>
      </w:r>
      <w:r>
        <w:rPr>
          <w:rFonts w:hint="eastAsia"/>
          <w:kern w:val="2"/>
          <w:szCs w:val="21"/>
        </w:rPr>
        <w:t>并且</w:t>
      </w:r>
      <w:r>
        <w:rPr>
          <w:kern w:val="2"/>
          <w:szCs w:val="21"/>
        </w:rPr>
        <w:t>基于本法规未规定问题的领域。</w:t>
      </w:r>
      <w:r>
        <w:rPr>
          <w:rFonts w:hint="eastAsia"/>
          <w:kern w:val="2"/>
          <w:szCs w:val="21"/>
        </w:rPr>
        <w:t>规定的此等额外要求</w:t>
      </w:r>
      <w:r>
        <w:rPr>
          <w:kern w:val="2"/>
          <w:szCs w:val="21"/>
        </w:rPr>
        <w:t>不会影响欧盟针对公告机构更为具体的横向</w:t>
      </w:r>
      <w:r>
        <w:rPr>
          <w:rFonts w:hint="eastAsia"/>
          <w:kern w:val="2"/>
          <w:szCs w:val="21"/>
        </w:rPr>
        <w:t>欧盟</w:t>
      </w:r>
      <w:r>
        <w:rPr>
          <w:kern w:val="2"/>
          <w:szCs w:val="21"/>
        </w:rPr>
        <w:t>立法和对公告机构的平等对待</w:t>
      </w:r>
      <w:r>
        <w:rPr>
          <w:rFonts w:ascii="Times New Roman" w:hAnsi="Times New Roman"/>
          <w:kern w:val="2"/>
          <w:szCs w:val="21"/>
        </w:rPr>
        <w:t>。</w:t>
      </w:r>
    </w:p>
    <w:p w14:paraId="605A1880">
      <w:pPr>
        <w:pStyle w:val="32"/>
        <w:topLinePunct/>
        <w:snapToGrid w:val="0"/>
        <w:spacing w:beforeLines="25" w:line="300" w:lineRule="auto"/>
        <w:ind w:left="850" w:hanging="850" w:hangingChars="405"/>
        <w:jc w:val="both"/>
        <w:rPr>
          <w:rFonts w:ascii="Times New Roman" w:hAnsi="Times New Roman"/>
          <w:kern w:val="2"/>
          <w:szCs w:val="21"/>
        </w:rPr>
      </w:pPr>
      <w:r>
        <w:rPr>
          <w:rFonts w:ascii="Times New Roman" w:hAnsi="Times New Roman"/>
          <w:kern w:val="2"/>
          <w:szCs w:val="21"/>
        </w:rPr>
        <w:t>（56）</w:t>
      </w:r>
      <w:r>
        <w:rPr>
          <w:rFonts w:ascii="Times New Roman" w:hAnsi="Times New Roman"/>
          <w:kern w:val="2"/>
          <w:szCs w:val="21"/>
        </w:rPr>
        <w:tab/>
      </w:r>
      <w:r>
        <w:rPr>
          <w:rFonts w:ascii="Times New Roman" w:hAnsi="Times New Roman"/>
          <w:kern w:val="2"/>
          <w:szCs w:val="21"/>
        </w:rPr>
        <w:t>对于旨在施用和/或去除</w:t>
      </w:r>
      <w:r>
        <w:rPr>
          <w:rFonts w:hint="eastAsia" w:ascii="Times New Roman" w:hAnsi="Times New Roman"/>
          <w:kern w:val="2"/>
          <w:szCs w:val="21"/>
        </w:rPr>
        <w:t>某种医疗产品</w:t>
      </w:r>
      <w:r>
        <w:rPr>
          <w:rFonts w:ascii="Times New Roman" w:hAnsi="Times New Roman"/>
          <w:kern w:val="2"/>
          <w:szCs w:val="21"/>
        </w:rPr>
        <w:t>的III类可植入器械和IIb类有源器械，公告机构应有责任</w:t>
      </w:r>
      <w:r>
        <w:rPr>
          <w:rFonts w:hint="eastAsia" w:ascii="Times New Roman" w:hAnsi="Times New Roman"/>
          <w:kern w:val="2"/>
          <w:szCs w:val="21"/>
        </w:rPr>
        <w:t>要求</w:t>
      </w:r>
      <w:r>
        <w:rPr>
          <w:rFonts w:ascii="Times New Roman" w:hAnsi="Times New Roman"/>
          <w:kern w:val="2"/>
          <w:szCs w:val="21"/>
        </w:rPr>
        <w:t>专家小组仔细审查其临床评估的评定</w:t>
      </w:r>
      <w:r>
        <w:rPr>
          <w:rFonts w:hint="eastAsia" w:ascii="Times New Roman" w:hAnsi="Times New Roman"/>
          <w:kern w:val="2"/>
          <w:szCs w:val="21"/>
        </w:rPr>
        <w:t>报告（</w:t>
      </w:r>
      <w:r>
        <w:rPr>
          <w:rFonts w:ascii="Times New Roman" w:hAnsi="Times New Roman"/>
          <w:kern w:val="2"/>
          <w:szCs w:val="21"/>
        </w:rPr>
        <w:t>某些特定情况除外</w:t>
      </w:r>
      <w:r>
        <w:rPr>
          <w:rFonts w:hint="eastAsia" w:ascii="Times New Roman" w:hAnsi="Times New Roman"/>
          <w:kern w:val="2"/>
          <w:szCs w:val="21"/>
        </w:rPr>
        <w:t>）。并</w:t>
      </w:r>
      <w:r>
        <w:rPr>
          <w:rFonts w:ascii="Times New Roman" w:hAnsi="Times New Roman"/>
          <w:kern w:val="2"/>
          <w:szCs w:val="21"/>
        </w:rPr>
        <w:t>且应当于这一专家</w:t>
      </w:r>
      <w:r>
        <w:rPr>
          <w:rFonts w:hint="eastAsia" w:ascii="Times New Roman" w:hAnsi="Times New Roman"/>
          <w:kern w:val="2"/>
          <w:szCs w:val="21"/>
        </w:rPr>
        <w:t>小</w:t>
      </w:r>
      <w:r>
        <w:rPr>
          <w:rFonts w:ascii="Times New Roman" w:hAnsi="Times New Roman"/>
          <w:kern w:val="2"/>
          <w:szCs w:val="21"/>
        </w:rPr>
        <w:t>组符合性评估程序之后获得证书的器械通知主管机构。通过分享临床方面的专业知识以及</w:t>
      </w:r>
      <w:r>
        <w:rPr>
          <w:rFonts w:hint="eastAsia" w:ascii="Times New Roman" w:hAnsi="Times New Roman"/>
          <w:kern w:val="2"/>
          <w:szCs w:val="21"/>
        </w:rPr>
        <w:t>按</w:t>
      </w:r>
      <w:r>
        <w:rPr>
          <w:rFonts w:ascii="Times New Roman" w:hAnsi="Times New Roman"/>
          <w:kern w:val="2"/>
          <w:szCs w:val="21"/>
        </w:rPr>
        <w:t>已</w:t>
      </w:r>
      <w:r>
        <w:rPr>
          <w:rFonts w:hint="eastAsia" w:ascii="Times New Roman" w:hAnsi="Times New Roman"/>
          <w:kern w:val="2"/>
          <w:szCs w:val="21"/>
        </w:rPr>
        <w:t>完成</w:t>
      </w:r>
      <w:r>
        <w:rPr>
          <w:rFonts w:ascii="Times New Roman" w:hAnsi="Times New Roman"/>
          <w:kern w:val="2"/>
          <w:szCs w:val="21"/>
        </w:rPr>
        <w:t>此咨询程序</w:t>
      </w:r>
      <w:r>
        <w:rPr>
          <w:rFonts w:hint="eastAsia" w:ascii="Times New Roman" w:hAnsi="Times New Roman"/>
          <w:kern w:val="2"/>
          <w:szCs w:val="21"/>
        </w:rPr>
        <w:t>的</w:t>
      </w:r>
      <w:r>
        <w:rPr>
          <w:rFonts w:ascii="Times New Roman" w:hAnsi="Times New Roman"/>
          <w:kern w:val="2"/>
          <w:szCs w:val="21"/>
        </w:rPr>
        <w:t>器械分类</w:t>
      </w:r>
      <w:r>
        <w:rPr>
          <w:rFonts w:hint="eastAsia" w:ascii="Times New Roman" w:hAnsi="Times New Roman"/>
          <w:kern w:val="2"/>
          <w:szCs w:val="21"/>
        </w:rPr>
        <w:t>建立</w:t>
      </w:r>
      <w:r>
        <w:rPr>
          <w:rFonts w:ascii="Times New Roman" w:hAnsi="Times New Roman"/>
          <w:kern w:val="2"/>
          <w:szCs w:val="21"/>
        </w:rPr>
        <w:t>CS，</w:t>
      </w:r>
      <w:r>
        <w:rPr>
          <w:rFonts w:hint="eastAsia" w:ascii="Times New Roman" w:hAnsi="Times New Roman"/>
          <w:kern w:val="2"/>
          <w:szCs w:val="21"/>
        </w:rPr>
        <w:t>临床评估相关专家小组的咨询结果应得出</w:t>
      </w:r>
      <w:r>
        <w:rPr>
          <w:rFonts w:ascii="Times New Roman" w:hAnsi="Times New Roman"/>
          <w:kern w:val="2"/>
          <w:szCs w:val="21"/>
        </w:rPr>
        <w:t>高风险医疗器械的</w:t>
      </w:r>
      <w:r>
        <w:rPr>
          <w:rFonts w:hint="eastAsia" w:ascii="Times New Roman" w:hAnsi="Times New Roman"/>
          <w:kern w:val="2"/>
          <w:szCs w:val="21"/>
        </w:rPr>
        <w:t>协调评估</w:t>
      </w:r>
      <w:r>
        <w:rPr>
          <w:rFonts w:ascii="Times New Roman" w:hAnsi="Times New Roman"/>
          <w:kern w:val="2"/>
          <w:szCs w:val="21"/>
        </w:rPr>
        <w:t>。</w:t>
      </w:r>
    </w:p>
    <w:p w14:paraId="20B8EC1B">
      <w:pPr>
        <w:pStyle w:val="32"/>
        <w:topLinePunct/>
        <w:snapToGrid w:val="0"/>
        <w:spacing w:beforeLines="25" w:line="300" w:lineRule="auto"/>
        <w:ind w:left="850" w:hanging="850" w:hangingChars="405"/>
        <w:jc w:val="both"/>
        <w:rPr>
          <w:rFonts w:ascii="Times New Roman" w:hAnsi="Times New Roman"/>
          <w:kern w:val="2"/>
          <w:szCs w:val="21"/>
        </w:rPr>
      </w:pPr>
      <w:r>
        <w:rPr>
          <w:rFonts w:ascii="Times New Roman" w:hAnsi="Times New Roman"/>
          <w:kern w:val="2"/>
          <w:szCs w:val="21"/>
        </w:rPr>
        <w:t>（57）</w:t>
      </w:r>
      <w:r>
        <w:rPr>
          <w:rFonts w:ascii="Times New Roman" w:hAnsi="Times New Roman"/>
          <w:kern w:val="2"/>
          <w:szCs w:val="21"/>
        </w:rPr>
        <w:tab/>
      </w:r>
      <w:r>
        <w:rPr>
          <w:rFonts w:ascii="Times New Roman" w:hAnsi="Times New Roman"/>
          <w:kern w:val="2"/>
          <w:szCs w:val="21"/>
        </w:rPr>
        <w:t>对于III类和特定IIb类器械，制造商应在</w:t>
      </w:r>
      <w:r>
        <w:rPr>
          <w:rFonts w:hint="eastAsia" w:ascii="Times New Roman" w:hAnsi="Times New Roman"/>
          <w:kern w:val="2"/>
          <w:szCs w:val="21"/>
        </w:rPr>
        <w:t>其</w:t>
      </w:r>
      <w:r>
        <w:rPr>
          <w:rFonts w:ascii="Times New Roman" w:hAnsi="Times New Roman"/>
          <w:kern w:val="2"/>
          <w:szCs w:val="21"/>
        </w:rPr>
        <w:t>临床评估和/或调查</w:t>
      </w:r>
      <w:r>
        <w:rPr>
          <w:rFonts w:hint="eastAsia" w:ascii="Times New Roman" w:hAnsi="Times New Roman"/>
          <w:kern w:val="2"/>
          <w:szCs w:val="21"/>
        </w:rPr>
        <w:t>之前，可</w:t>
      </w:r>
      <w:r>
        <w:rPr>
          <w:rFonts w:ascii="Times New Roman" w:hAnsi="Times New Roman"/>
          <w:kern w:val="2"/>
          <w:szCs w:val="21"/>
        </w:rPr>
        <w:t>自愿就其临床开发策略和临床研究提案咨询专家小组。</w:t>
      </w:r>
    </w:p>
    <w:p w14:paraId="30AB81D0">
      <w:pPr>
        <w:pStyle w:val="32"/>
        <w:topLinePunct/>
        <w:snapToGrid w:val="0"/>
        <w:spacing w:beforeLines="25" w:line="300" w:lineRule="auto"/>
        <w:ind w:left="850" w:hanging="850" w:hangingChars="405"/>
        <w:jc w:val="both"/>
        <w:rPr>
          <w:rFonts w:ascii="Times New Roman" w:hAnsi="Times New Roman"/>
          <w:kern w:val="2"/>
          <w:szCs w:val="21"/>
        </w:rPr>
      </w:pPr>
      <w:r>
        <w:rPr>
          <w:rFonts w:ascii="Times New Roman" w:hAnsi="Times New Roman"/>
          <w:kern w:val="2"/>
          <w:szCs w:val="21"/>
        </w:rPr>
        <w:t>（58）</w:t>
      </w:r>
      <w:r>
        <w:rPr>
          <w:rFonts w:ascii="Times New Roman" w:hAnsi="Times New Roman"/>
          <w:kern w:val="2"/>
          <w:szCs w:val="21"/>
        </w:rPr>
        <w:tab/>
      </w:r>
      <w:r>
        <w:rPr>
          <w:rFonts w:ascii="Times New Roman" w:hAnsi="Times New Roman"/>
          <w:kern w:val="2"/>
          <w:szCs w:val="21"/>
        </w:rPr>
        <w:t>有必要根据国际惯例将器械划分为四个产品类别，特别是出于符合性评估流程考虑。基于人体脆弱性并考虑到与器械技术设计和制造相关的潜在风险的分类规则。为保持与第90/385/EEC号指令中所规定相同的安全水平，有源植入式器械应属于最高风险类别。</w:t>
      </w:r>
    </w:p>
    <w:p w14:paraId="7562F50C">
      <w:pPr>
        <w:pStyle w:val="32"/>
        <w:topLinePunct/>
        <w:snapToGrid w:val="0"/>
        <w:spacing w:beforeLines="25" w:line="300" w:lineRule="auto"/>
        <w:ind w:left="850" w:hanging="850" w:hangingChars="405"/>
        <w:jc w:val="both"/>
        <w:rPr>
          <w:rFonts w:ascii="Times New Roman" w:hAnsi="Times New Roman"/>
          <w:kern w:val="2"/>
          <w:szCs w:val="21"/>
        </w:rPr>
      </w:pPr>
      <w:r>
        <w:rPr>
          <w:rFonts w:ascii="Times New Roman" w:hAnsi="Times New Roman"/>
          <w:kern w:val="2"/>
          <w:szCs w:val="21"/>
        </w:rPr>
        <w:t>（59）</w:t>
      </w:r>
      <w:r>
        <w:rPr>
          <w:rFonts w:ascii="Times New Roman" w:hAnsi="Times New Roman"/>
          <w:kern w:val="2"/>
          <w:szCs w:val="21"/>
        </w:rPr>
        <w:tab/>
      </w:r>
      <w:r>
        <w:rPr>
          <w:rFonts w:hint="eastAsia" w:ascii="Times New Roman" w:hAnsi="Times New Roman"/>
          <w:kern w:val="2"/>
          <w:szCs w:val="21"/>
        </w:rPr>
        <w:t>旧框架</w:t>
      </w:r>
      <w:r>
        <w:rPr>
          <w:rFonts w:ascii="Times New Roman" w:hAnsi="Times New Roman"/>
          <w:kern w:val="2"/>
          <w:szCs w:val="21"/>
        </w:rPr>
        <w:t>下适用于侵入性器械的规则并未充分考虑到引入人体的特定器械侵入性水平和潜在毒性。</w:t>
      </w:r>
      <w:r>
        <w:rPr>
          <w:rFonts w:hint="eastAsia" w:ascii="Times New Roman" w:hAnsi="Times New Roman"/>
          <w:kern w:val="2"/>
          <w:szCs w:val="21"/>
        </w:rPr>
        <w:t>针对</w:t>
      </w:r>
      <w:r>
        <w:rPr>
          <w:rFonts w:ascii="Times New Roman" w:hAnsi="Times New Roman"/>
          <w:kern w:val="2"/>
          <w:szCs w:val="21"/>
        </w:rPr>
        <w:t>在人体中吸收或</w:t>
      </w:r>
      <w:r>
        <w:rPr>
          <w:rFonts w:hint="eastAsia" w:ascii="Times New Roman" w:hAnsi="Times New Roman"/>
          <w:kern w:val="2"/>
          <w:szCs w:val="21"/>
        </w:rPr>
        <w:t>局部扩展</w:t>
      </w:r>
      <w:r>
        <w:rPr>
          <w:rFonts w:ascii="Times New Roman" w:hAnsi="Times New Roman"/>
          <w:kern w:val="2"/>
          <w:szCs w:val="21"/>
        </w:rPr>
        <w:t>的物质或物质组合</w:t>
      </w:r>
      <w:r>
        <w:rPr>
          <w:rFonts w:hint="eastAsia" w:ascii="Times New Roman" w:hAnsi="Times New Roman"/>
          <w:kern w:val="2"/>
          <w:szCs w:val="21"/>
        </w:rPr>
        <w:t>构成</w:t>
      </w:r>
      <w:r>
        <w:rPr>
          <w:rFonts w:ascii="Times New Roman" w:hAnsi="Times New Roman"/>
          <w:kern w:val="2"/>
          <w:szCs w:val="21"/>
        </w:rPr>
        <w:t>的器械</w:t>
      </w:r>
      <w:r>
        <w:rPr>
          <w:rFonts w:hint="eastAsia" w:ascii="Times New Roman" w:hAnsi="Times New Roman"/>
          <w:kern w:val="2"/>
          <w:szCs w:val="21"/>
        </w:rPr>
        <w:t>，</w:t>
      </w:r>
      <w:r>
        <w:rPr>
          <w:rFonts w:ascii="Times New Roman" w:hAnsi="Times New Roman"/>
          <w:kern w:val="2"/>
          <w:szCs w:val="21"/>
        </w:rPr>
        <w:t>为</w:t>
      </w:r>
      <w:r>
        <w:rPr>
          <w:rFonts w:hint="eastAsia" w:ascii="Times New Roman" w:hAnsi="Times New Roman"/>
          <w:kern w:val="2"/>
          <w:szCs w:val="21"/>
        </w:rPr>
        <w:t>获得</w:t>
      </w:r>
      <w:r>
        <w:rPr>
          <w:rFonts w:ascii="Times New Roman" w:hAnsi="Times New Roman"/>
          <w:kern w:val="2"/>
          <w:szCs w:val="21"/>
        </w:rPr>
        <w:t>基于风险的适当分类，必须针对</w:t>
      </w:r>
      <w:r>
        <w:rPr>
          <w:rFonts w:hint="eastAsia" w:ascii="Times New Roman" w:hAnsi="Times New Roman"/>
          <w:kern w:val="2"/>
          <w:szCs w:val="21"/>
        </w:rPr>
        <w:t>此等</w:t>
      </w:r>
      <w:r>
        <w:rPr>
          <w:rFonts w:ascii="Times New Roman" w:hAnsi="Times New Roman"/>
          <w:kern w:val="2"/>
          <w:szCs w:val="21"/>
        </w:rPr>
        <w:t>器械引入特定分类规则。分类规则应当考虑到该器械在人体内或在人体上发挥作用的位置及将其引入或加以应用的位置，</w:t>
      </w:r>
      <w:r>
        <w:rPr>
          <w:rFonts w:hint="eastAsia" w:ascii="Times New Roman" w:hAnsi="Times New Roman"/>
          <w:kern w:val="2"/>
          <w:szCs w:val="21"/>
        </w:rPr>
        <w:t>以及</w:t>
      </w:r>
      <w:r>
        <w:rPr>
          <w:rFonts w:ascii="Times New Roman" w:hAnsi="Times New Roman"/>
          <w:kern w:val="2"/>
          <w:szCs w:val="21"/>
        </w:rPr>
        <w:t>组成器械</w:t>
      </w:r>
      <w:r>
        <w:rPr>
          <w:rFonts w:hint="eastAsia" w:ascii="Times New Roman" w:hAnsi="Times New Roman"/>
          <w:kern w:val="2"/>
          <w:szCs w:val="21"/>
        </w:rPr>
        <w:t>的</w:t>
      </w:r>
      <w:r>
        <w:rPr>
          <w:rFonts w:ascii="Times New Roman" w:hAnsi="Times New Roman"/>
          <w:kern w:val="2"/>
          <w:szCs w:val="21"/>
        </w:rPr>
        <w:t>这些物质</w:t>
      </w:r>
      <w:r>
        <w:rPr>
          <w:rFonts w:hint="eastAsia" w:ascii="Times New Roman" w:hAnsi="Times New Roman"/>
          <w:kern w:val="2"/>
          <w:szCs w:val="21"/>
        </w:rPr>
        <w:t>还是这些物质在人体中的</w:t>
      </w:r>
      <w:r>
        <w:rPr>
          <w:rFonts w:ascii="Times New Roman" w:hAnsi="Times New Roman"/>
          <w:kern w:val="2"/>
          <w:szCs w:val="21"/>
        </w:rPr>
        <w:t>代谢产物</w:t>
      </w:r>
      <w:r>
        <w:rPr>
          <w:rFonts w:hint="eastAsia" w:ascii="Times New Roman" w:hAnsi="Times New Roman"/>
          <w:kern w:val="2"/>
          <w:szCs w:val="21"/>
        </w:rPr>
        <w:t>是否会发生全身吸收</w:t>
      </w:r>
      <w:r>
        <w:rPr>
          <w:rFonts w:ascii="Times New Roman" w:hAnsi="Times New Roman"/>
          <w:kern w:val="2"/>
          <w:szCs w:val="21"/>
        </w:rPr>
        <w:t>。</w:t>
      </w:r>
    </w:p>
    <w:p w14:paraId="07BA0808">
      <w:pPr>
        <w:pStyle w:val="32"/>
        <w:topLinePunct/>
        <w:snapToGrid w:val="0"/>
        <w:spacing w:beforeLines="25" w:line="300" w:lineRule="auto"/>
        <w:ind w:left="850" w:hanging="850" w:hangingChars="405"/>
        <w:jc w:val="both"/>
        <w:rPr>
          <w:rFonts w:ascii="Times New Roman" w:hAnsi="Times New Roman"/>
          <w:kern w:val="2"/>
          <w:szCs w:val="21"/>
        </w:rPr>
      </w:pPr>
      <w:r>
        <w:rPr>
          <w:rFonts w:ascii="Times New Roman" w:hAnsi="Times New Roman"/>
          <w:kern w:val="2"/>
          <w:szCs w:val="21"/>
        </w:rPr>
        <w:t>（60）</w:t>
      </w:r>
      <w:r>
        <w:rPr>
          <w:rFonts w:ascii="Times New Roman" w:hAnsi="Times New Roman"/>
          <w:kern w:val="2"/>
          <w:szCs w:val="21"/>
        </w:rPr>
        <w:tab/>
      </w:r>
      <w:r>
        <w:rPr>
          <w:rFonts w:ascii="Times New Roman" w:hAnsi="Times New Roman"/>
          <w:kern w:val="2"/>
          <w:szCs w:val="21"/>
        </w:rPr>
        <w:t>考虑到与这些</w:t>
      </w:r>
      <w:r>
        <w:rPr>
          <w:rFonts w:hint="eastAsia" w:ascii="Times New Roman" w:hAnsi="Times New Roman"/>
          <w:kern w:val="2"/>
          <w:szCs w:val="21"/>
        </w:rPr>
        <w:t>器械</w:t>
      </w:r>
      <w:r>
        <w:rPr>
          <w:rFonts w:ascii="Times New Roman" w:hAnsi="Times New Roman"/>
          <w:kern w:val="2"/>
          <w:szCs w:val="21"/>
        </w:rPr>
        <w:t>有关的低水平脆弱性，作为一般规则，应由制造商单独负责执行有关I类器械的符合性评估程序。对于IIa、IIb和III类医疗器械，应当强制公告机构进行适当程度的参与。</w:t>
      </w:r>
    </w:p>
    <w:p w14:paraId="7933677A">
      <w:pPr>
        <w:pStyle w:val="32"/>
        <w:topLinePunct/>
        <w:snapToGrid w:val="0"/>
        <w:spacing w:beforeLines="25" w:line="300" w:lineRule="auto"/>
        <w:ind w:left="850" w:hanging="850" w:hangingChars="405"/>
        <w:jc w:val="both"/>
        <w:rPr>
          <w:rFonts w:ascii="Times New Roman" w:hAnsi="Times New Roman"/>
          <w:kern w:val="2"/>
          <w:szCs w:val="21"/>
        </w:rPr>
      </w:pPr>
      <w:r>
        <w:rPr>
          <w:rFonts w:ascii="Times New Roman" w:hAnsi="Times New Roman"/>
          <w:kern w:val="2"/>
          <w:szCs w:val="21"/>
        </w:rPr>
        <w:t>（61）</w:t>
      </w:r>
      <w:r>
        <w:rPr>
          <w:rFonts w:ascii="Times New Roman" w:hAnsi="Times New Roman"/>
          <w:kern w:val="2"/>
          <w:szCs w:val="21"/>
        </w:rPr>
        <w:tab/>
      </w:r>
      <w:r>
        <w:rPr>
          <w:rFonts w:ascii="Times New Roman" w:hAnsi="Times New Roman"/>
          <w:kern w:val="2"/>
          <w:szCs w:val="21"/>
        </w:rPr>
        <w:t>应</w:t>
      </w:r>
      <w:r>
        <w:rPr>
          <w:kern w:val="2"/>
          <w:szCs w:val="21"/>
        </w:rPr>
        <w:t>进一步加强和简化</w:t>
      </w:r>
      <w:r>
        <w:rPr>
          <w:rFonts w:hint="eastAsia"/>
          <w:kern w:val="2"/>
          <w:szCs w:val="21"/>
        </w:rPr>
        <w:t>器械</w:t>
      </w:r>
      <w:r>
        <w:rPr>
          <w:kern w:val="2"/>
          <w:szCs w:val="21"/>
        </w:rPr>
        <w:t>符合性评估流程，同时应明确规定公告机构对其评估执行情况的要求，以确保公平竞争的环境</w:t>
      </w:r>
      <w:r>
        <w:rPr>
          <w:rFonts w:ascii="Times New Roman" w:hAnsi="Times New Roman"/>
          <w:kern w:val="2"/>
          <w:szCs w:val="21"/>
        </w:rPr>
        <w:t>。</w:t>
      </w:r>
    </w:p>
    <w:p w14:paraId="35F70882">
      <w:pPr>
        <w:pStyle w:val="32"/>
        <w:topLinePunct/>
        <w:snapToGrid w:val="0"/>
        <w:spacing w:beforeLines="25" w:line="300" w:lineRule="auto"/>
        <w:ind w:left="850" w:hanging="850" w:hangingChars="405"/>
        <w:jc w:val="both"/>
        <w:rPr>
          <w:rFonts w:ascii="Times New Roman" w:hAnsi="Times New Roman"/>
          <w:kern w:val="2"/>
          <w:szCs w:val="21"/>
        </w:rPr>
      </w:pPr>
      <w:r>
        <w:rPr>
          <w:rFonts w:ascii="Times New Roman" w:hAnsi="Times New Roman"/>
          <w:kern w:val="2"/>
          <w:szCs w:val="21"/>
        </w:rPr>
        <w:t>(62)</w:t>
      </w:r>
      <w:r>
        <w:rPr>
          <w:rFonts w:ascii="Times New Roman" w:hAnsi="Times New Roman"/>
          <w:kern w:val="2"/>
          <w:szCs w:val="21"/>
        </w:rPr>
        <w:tab/>
      </w:r>
      <w:r>
        <w:rPr>
          <w:rFonts w:ascii="Times New Roman" w:hAnsi="Times New Roman"/>
          <w:kern w:val="2"/>
          <w:szCs w:val="21"/>
        </w:rPr>
        <w:t>自</w:t>
      </w:r>
      <w:r>
        <w:rPr>
          <w:kern w:val="2"/>
          <w:szCs w:val="21"/>
        </w:rPr>
        <w:t>由销售证书包含的信息，应该有助于使用Eudamed，以便获得器械的信息，无论器械是否上市，从市场撤出或召回，以及具备何种合格证</w:t>
      </w:r>
      <w:r>
        <w:rPr>
          <w:rFonts w:ascii="Times New Roman" w:hAnsi="Times New Roman"/>
          <w:kern w:val="2"/>
          <w:szCs w:val="21"/>
        </w:rPr>
        <w:t>。</w:t>
      </w:r>
    </w:p>
    <w:p w14:paraId="1C32FCAF">
      <w:pPr>
        <w:pStyle w:val="32"/>
        <w:topLinePunct/>
        <w:snapToGrid w:val="0"/>
        <w:spacing w:beforeLines="25" w:line="300" w:lineRule="auto"/>
        <w:ind w:left="850" w:hanging="850" w:hangingChars="405"/>
        <w:jc w:val="both"/>
        <w:rPr>
          <w:rFonts w:ascii="Times New Roman" w:hAnsi="Times New Roman"/>
          <w:kern w:val="2"/>
          <w:szCs w:val="21"/>
        </w:rPr>
      </w:pPr>
      <w:r>
        <w:rPr>
          <w:rFonts w:ascii="Times New Roman" w:hAnsi="Times New Roman"/>
          <w:kern w:val="2"/>
          <w:szCs w:val="21"/>
        </w:rPr>
        <w:t>（63）</w:t>
      </w:r>
      <w:r>
        <w:rPr>
          <w:rFonts w:ascii="Times New Roman" w:hAnsi="Times New Roman"/>
          <w:kern w:val="2"/>
          <w:szCs w:val="21"/>
        </w:rPr>
        <w:tab/>
      </w:r>
      <w:r>
        <w:rPr>
          <w:rFonts w:ascii="Times New Roman" w:hAnsi="Times New Roman"/>
          <w:kern w:val="2"/>
          <w:szCs w:val="21"/>
        </w:rPr>
        <w:t>为确保具有较高的安全与性能水平，本法规中规定的通用安全与性能要求符合性的证明应基于以下临床数据：作为一般规则，对于III类器械和可植入性器械，此类数据应来</w:t>
      </w:r>
      <w:r>
        <w:rPr>
          <w:rFonts w:hint="eastAsia" w:ascii="Times New Roman" w:hAnsi="Times New Roman"/>
          <w:kern w:val="2"/>
          <w:szCs w:val="21"/>
        </w:rPr>
        <w:t>自</w:t>
      </w:r>
      <w:r>
        <w:rPr>
          <w:rFonts w:ascii="Times New Roman" w:hAnsi="Times New Roman"/>
          <w:kern w:val="2"/>
          <w:szCs w:val="21"/>
        </w:rPr>
        <w:t>申办方所进行的临床研究</w:t>
      </w:r>
      <w:r>
        <w:rPr>
          <w:rFonts w:hint="eastAsia" w:ascii="Times New Roman" w:hAnsi="Times New Roman"/>
          <w:kern w:val="2"/>
          <w:szCs w:val="21"/>
        </w:rPr>
        <w:t>。还可以由</w:t>
      </w:r>
      <w:r>
        <w:rPr>
          <w:rFonts w:ascii="Times New Roman" w:hAnsi="Times New Roman"/>
          <w:kern w:val="2"/>
          <w:szCs w:val="21"/>
        </w:rPr>
        <w:t>制造商和另一自然人或法人</w:t>
      </w:r>
      <w:r>
        <w:rPr>
          <w:rFonts w:hint="eastAsia" w:ascii="Times New Roman" w:hAnsi="Times New Roman"/>
          <w:kern w:val="2"/>
          <w:szCs w:val="21"/>
        </w:rPr>
        <w:t>作为申办方负责开展</w:t>
      </w:r>
      <w:r>
        <w:rPr>
          <w:rFonts w:ascii="Times New Roman" w:hAnsi="Times New Roman"/>
          <w:kern w:val="2"/>
          <w:szCs w:val="21"/>
        </w:rPr>
        <w:t>此类临床研究。</w:t>
      </w:r>
    </w:p>
    <w:p w14:paraId="03DD4832">
      <w:pPr>
        <w:pStyle w:val="32"/>
        <w:tabs>
          <w:tab w:val="left" w:pos="924"/>
        </w:tabs>
        <w:topLinePunct/>
        <w:snapToGrid w:val="0"/>
        <w:spacing w:beforeLines="50" w:line="324" w:lineRule="auto"/>
        <w:ind w:left="901" w:hanging="788"/>
        <w:jc w:val="both"/>
        <w:rPr>
          <w:rFonts w:ascii="Times New Roman" w:hAnsi="Times New Roman"/>
          <w:kern w:val="2"/>
          <w:szCs w:val="21"/>
        </w:rPr>
      </w:pPr>
      <w:r>
        <w:rPr>
          <w:rFonts w:ascii="Times New Roman" w:hAnsi="Times New Roman"/>
          <w:kern w:val="2"/>
          <w:szCs w:val="21"/>
        </w:rPr>
        <w:t>（64）</w:t>
      </w:r>
      <w:r>
        <w:rPr>
          <w:rFonts w:ascii="Times New Roman" w:hAnsi="Times New Roman"/>
          <w:kern w:val="2"/>
          <w:szCs w:val="21"/>
        </w:rPr>
        <w:tab/>
      </w:r>
      <w:r>
        <w:rPr>
          <w:rFonts w:ascii="Times New Roman" w:hAnsi="Times New Roman"/>
          <w:kern w:val="2"/>
          <w:szCs w:val="21"/>
        </w:rPr>
        <w:t>临床研究的规则应符合该领域</w:t>
      </w:r>
      <w:r>
        <w:rPr>
          <w:rFonts w:hint="eastAsia"/>
          <w:kern w:val="2"/>
          <w:szCs w:val="21"/>
        </w:rPr>
        <w:t>成熟</w:t>
      </w:r>
      <w:r>
        <w:rPr>
          <w:rFonts w:ascii="Times New Roman" w:hAnsi="Times New Roman"/>
          <w:kern w:val="2"/>
          <w:szCs w:val="21"/>
        </w:rPr>
        <w:t>的</w:t>
      </w:r>
      <w:r>
        <w:rPr>
          <w:kern w:val="2"/>
          <w:szCs w:val="21"/>
        </w:rPr>
        <w:t>指导原则，例如关于人类受试者医疗器械临床研究的临床试验质量管理规范</w:t>
      </w:r>
      <w:r>
        <w:rPr>
          <w:rFonts w:hint="eastAsia"/>
          <w:kern w:val="2"/>
          <w:szCs w:val="21"/>
        </w:rPr>
        <w:t>（</w:t>
      </w:r>
      <w:r>
        <w:rPr>
          <w:szCs w:val="21"/>
        </w:rPr>
        <w:t>ISO</w:t>
      </w:r>
      <w:r>
        <w:rPr>
          <w:rFonts w:hint="eastAsia"/>
          <w:kern w:val="2"/>
          <w:szCs w:val="21"/>
        </w:rPr>
        <w:t>国际标准</w:t>
      </w:r>
      <w:r>
        <w:rPr>
          <w:szCs w:val="21"/>
        </w:rPr>
        <w:t>14155:2011</w:t>
      </w:r>
      <w:r>
        <w:rPr>
          <w:rFonts w:hint="eastAsia"/>
          <w:szCs w:val="21"/>
        </w:rPr>
        <w:t>）</w:t>
      </w:r>
      <w:r>
        <w:rPr>
          <w:rFonts w:ascii="Times New Roman" w:hAnsi="Times New Roman"/>
          <w:kern w:val="2"/>
          <w:szCs w:val="21"/>
        </w:rPr>
        <w:t>，以促使将在欧盟内进行的临床研究结果</w:t>
      </w:r>
      <w:r>
        <w:rPr>
          <w:rFonts w:hint="eastAsia" w:ascii="Times New Roman" w:hAnsi="Times New Roman"/>
          <w:kern w:val="2"/>
          <w:szCs w:val="21"/>
        </w:rPr>
        <w:t>成为</w:t>
      </w:r>
      <w:r>
        <w:rPr>
          <w:rFonts w:ascii="Times New Roman" w:hAnsi="Times New Roman"/>
          <w:kern w:val="2"/>
          <w:szCs w:val="21"/>
        </w:rPr>
        <w:t>欧盟境外</w:t>
      </w:r>
      <w:r>
        <w:rPr>
          <w:rFonts w:hint="eastAsia" w:ascii="Times New Roman" w:hAnsi="Times New Roman"/>
          <w:kern w:val="2"/>
          <w:szCs w:val="21"/>
        </w:rPr>
        <w:t>得到认可</w:t>
      </w:r>
      <w:r>
        <w:rPr>
          <w:rFonts w:ascii="Times New Roman" w:hAnsi="Times New Roman"/>
          <w:kern w:val="2"/>
          <w:szCs w:val="21"/>
        </w:rPr>
        <w:t>的文件规范，并促使</w:t>
      </w:r>
      <w:r>
        <w:rPr>
          <w:kern w:val="2"/>
          <w:szCs w:val="21"/>
        </w:rPr>
        <w:t>根据国际准则在欧盟之外进行的</w:t>
      </w:r>
      <w:r>
        <w:rPr>
          <w:rFonts w:hint="eastAsia"/>
          <w:kern w:val="2"/>
          <w:szCs w:val="21"/>
        </w:rPr>
        <w:t>临床</w:t>
      </w:r>
      <w:r>
        <w:rPr>
          <w:kern w:val="2"/>
          <w:szCs w:val="21"/>
        </w:rPr>
        <w:t>研究结果可在欧盟内获得认可</w:t>
      </w:r>
      <w:r>
        <w:rPr>
          <w:rFonts w:ascii="Times New Roman" w:hAnsi="Times New Roman"/>
          <w:kern w:val="2"/>
          <w:szCs w:val="21"/>
        </w:rPr>
        <w:t>。此外，这些规则应符合世界医学协会《赫尔辛基宣言》</w:t>
      </w:r>
      <w:r>
        <w:rPr>
          <w:kern w:val="2"/>
          <w:szCs w:val="21"/>
        </w:rPr>
        <w:t>关于涉及人类受试者医学研究伦理原则的最新版本</w:t>
      </w:r>
      <w:r>
        <w:rPr>
          <w:rFonts w:ascii="Times New Roman" w:hAnsi="Times New Roman"/>
          <w:kern w:val="2"/>
          <w:szCs w:val="21"/>
        </w:rPr>
        <w:t>。</w:t>
      </w:r>
    </w:p>
    <w:p w14:paraId="114838F2">
      <w:pPr>
        <w:pStyle w:val="8"/>
        <w:tabs>
          <w:tab w:val="left" w:pos="924"/>
        </w:tabs>
        <w:topLinePunct/>
        <w:snapToGrid w:val="0"/>
        <w:spacing w:beforeLines="50" w:line="324" w:lineRule="auto"/>
        <w:ind w:left="901" w:hanging="788"/>
        <w:jc w:val="both"/>
        <w:rPr>
          <w:kern w:val="2"/>
          <w:szCs w:val="21"/>
        </w:rPr>
      </w:pPr>
      <w:r>
        <w:rPr>
          <w:rFonts w:hint="eastAsia"/>
          <w:kern w:val="2"/>
          <w:szCs w:val="21"/>
        </w:rPr>
        <w:t>（</w:t>
      </w:r>
      <w:r>
        <w:rPr>
          <w:kern w:val="2"/>
          <w:szCs w:val="21"/>
        </w:rPr>
        <w:t>65</w:t>
      </w:r>
      <w:r>
        <w:rPr>
          <w:rFonts w:hint="eastAsia"/>
          <w:kern w:val="2"/>
          <w:szCs w:val="21"/>
        </w:rPr>
        <w:t>）</w:t>
      </w:r>
      <w:r>
        <w:rPr>
          <w:kern w:val="2"/>
          <w:szCs w:val="21"/>
        </w:rPr>
        <w:tab/>
      </w:r>
      <w:r>
        <w:rPr>
          <w:kern w:val="2"/>
          <w:szCs w:val="21"/>
        </w:rPr>
        <w:t>应由</w:t>
      </w:r>
      <w:r>
        <w:rPr>
          <w:rFonts w:hint="eastAsia"/>
          <w:kern w:val="2"/>
          <w:szCs w:val="21"/>
        </w:rPr>
        <w:t>开展临床研究的</w:t>
      </w:r>
      <w:r>
        <w:rPr>
          <w:kern w:val="2"/>
          <w:szCs w:val="21"/>
        </w:rPr>
        <w:t>成员国决定参与评估申请进行</w:t>
      </w:r>
      <w:r>
        <w:rPr>
          <w:rFonts w:hint="eastAsia"/>
          <w:kern w:val="2"/>
          <w:szCs w:val="21"/>
        </w:rPr>
        <w:t>临床</w:t>
      </w:r>
      <w:r>
        <w:rPr>
          <w:kern w:val="2"/>
          <w:szCs w:val="21"/>
        </w:rPr>
        <w:t>研究的</w:t>
      </w:r>
      <w:r>
        <w:rPr>
          <w:rFonts w:hint="eastAsia"/>
          <w:kern w:val="2"/>
          <w:szCs w:val="21"/>
        </w:rPr>
        <w:t>适当管理</w:t>
      </w:r>
      <w:r>
        <w:rPr>
          <w:kern w:val="2"/>
          <w:szCs w:val="21"/>
        </w:rPr>
        <w:t>机构，并组织伦理委员会在本法规设定的</w:t>
      </w:r>
      <w:r>
        <w:rPr>
          <w:rFonts w:hint="eastAsia"/>
          <w:kern w:val="2"/>
          <w:szCs w:val="21"/>
        </w:rPr>
        <w:t>临床</w:t>
      </w:r>
      <w:r>
        <w:rPr>
          <w:kern w:val="2"/>
          <w:szCs w:val="21"/>
        </w:rPr>
        <w:t>研究授权的时间期限内参与。这些决定属于各成员国的内部组织问题。在</w:t>
      </w:r>
      <w:r>
        <w:rPr>
          <w:rFonts w:hint="eastAsia"/>
          <w:kern w:val="2"/>
          <w:szCs w:val="21"/>
        </w:rPr>
        <w:t>这种情况下</w:t>
      </w:r>
      <w:r>
        <w:rPr>
          <w:kern w:val="2"/>
          <w:szCs w:val="21"/>
        </w:rPr>
        <w:t>，成员国应确保非专业人员，特别是患者或患者组织的参与。</w:t>
      </w:r>
      <w:r>
        <w:rPr>
          <w:rFonts w:hint="eastAsia"/>
          <w:kern w:val="2"/>
          <w:szCs w:val="21"/>
        </w:rPr>
        <w:t>此外，</w:t>
      </w:r>
      <w:r>
        <w:rPr>
          <w:kern w:val="2"/>
          <w:szCs w:val="21"/>
        </w:rPr>
        <w:t>其还应确保提供必要的专门知识。</w:t>
      </w:r>
    </w:p>
    <w:p w14:paraId="3BF10FF1">
      <w:pPr>
        <w:pStyle w:val="8"/>
        <w:tabs>
          <w:tab w:val="left" w:pos="924"/>
        </w:tabs>
        <w:topLinePunct/>
        <w:snapToGrid w:val="0"/>
        <w:spacing w:beforeLines="50" w:line="324" w:lineRule="auto"/>
        <w:ind w:left="901" w:hanging="788"/>
        <w:jc w:val="both"/>
        <w:rPr>
          <w:kern w:val="2"/>
          <w:szCs w:val="21"/>
        </w:rPr>
      </w:pPr>
      <w:r>
        <w:rPr>
          <w:kern w:val="2"/>
          <w:szCs w:val="21"/>
        </w:rPr>
        <w:t>（66）</w:t>
      </w:r>
      <w:r>
        <w:rPr>
          <w:kern w:val="2"/>
          <w:szCs w:val="21"/>
        </w:rPr>
        <w:tab/>
      </w:r>
      <w:r>
        <w:rPr>
          <w:rFonts w:hint="eastAsia"/>
          <w:kern w:val="2"/>
          <w:szCs w:val="21"/>
        </w:rPr>
        <w:t>若</w:t>
      </w:r>
      <w:r>
        <w:rPr>
          <w:kern w:val="2"/>
          <w:szCs w:val="21"/>
        </w:rPr>
        <w:t>在临床研究过程中，对</w:t>
      </w:r>
      <w:r>
        <w:rPr>
          <w:rFonts w:hint="eastAsia"/>
          <w:kern w:val="2"/>
          <w:szCs w:val="21"/>
        </w:rPr>
        <w:t>受试者</w:t>
      </w:r>
      <w:r>
        <w:rPr>
          <w:kern w:val="2"/>
          <w:szCs w:val="21"/>
        </w:rPr>
        <w:t>造成的伤害导致研究者或申办方承担民事或刑事责任，在这种情况下的法律责任条件，包括问题的因果关系和损害赔偿和制裁的水平，应该</w:t>
      </w:r>
      <w:r>
        <w:rPr>
          <w:rFonts w:hint="eastAsia"/>
          <w:kern w:val="2"/>
          <w:szCs w:val="21"/>
        </w:rPr>
        <w:t>接受</w:t>
      </w:r>
      <w:r>
        <w:rPr>
          <w:kern w:val="2"/>
          <w:szCs w:val="21"/>
        </w:rPr>
        <w:t>国家法律管辖。</w:t>
      </w:r>
    </w:p>
    <w:p w14:paraId="0D1A94F7">
      <w:pPr>
        <w:pStyle w:val="32"/>
        <w:tabs>
          <w:tab w:val="left" w:pos="924"/>
        </w:tabs>
        <w:topLinePunct/>
        <w:snapToGrid w:val="0"/>
        <w:spacing w:beforeLines="50" w:line="324" w:lineRule="auto"/>
        <w:ind w:left="901" w:hanging="788"/>
        <w:jc w:val="both"/>
        <w:rPr>
          <w:rFonts w:ascii="Times New Roman" w:hAnsi="Times New Roman"/>
          <w:kern w:val="2"/>
          <w:szCs w:val="21"/>
        </w:rPr>
      </w:pPr>
      <w:r>
        <w:rPr>
          <w:rFonts w:ascii="Times New Roman" w:hAnsi="Times New Roman"/>
          <w:kern w:val="2"/>
          <w:szCs w:val="21"/>
        </w:rPr>
        <w:t>（67）</w:t>
      </w:r>
      <w:r>
        <w:rPr>
          <w:rFonts w:ascii="Times New Roman" w:hAnsi="Times New Roman"/>
          <w:kern w:val="2"/>
          <w:szCs w:val="21"/>
        </w:rPr>
        <w:tab/>
      </w:r>
      <w:r>
        <w:rPr>
          <w:rFonts w:ascii="Times New Roman" w:hAnsi="Times New Roman"/>
          <w:kern w:val="2"/>
          <w:szCs w:val="21"/>
        </w:rPr>
        <w:t>应在欧盟层面建立一个电子系统，以确保在可公开访问的数据库中记录和报告每一项临床研究。为保护</w:t>
      </w:r>
      <w:r>
        <w:rPr>
          <w:rFonts w:hint="eastAsia" w:ascii="Times New Roman" w:hAnsi="Times New Roman"/>
          <w:kern w:val="2"/>
          <w:szCs w:val="21"/>
        </w:rPr>
        <w:t>“</w:t>
      </w:r>
      <w:r>
        <w:rPr>
          <w:rFonts w:ascii="Times New Roman" w:hAnsi="Times New Roman"/>
          <w:kern w:val="2"/>
          <w:szCs w:val="21"/>
        </w:rPr>
        <w:t>欧盟基本权利宪章</w:t>
      </w:r>
      <w:r>
        <w:rPr>
          <w:rFonts w:hint="eastAsia" w:ascii="Times New Roman" w:hAnsi="Times New Roman"/>
          <w:kern w:val="2"/>
          <w:szCs w:val="21"/>
        </w:rPr>
        <w:t>”</w:t>
      </w:r>
      <w:r>
        <w:rPr>
          <w:rFonts w:ascii="Times New Roman" w:hAnsi="Times New Roman"/>
          <w:kern w:val="2"/>
          <w:szCs w:val="21"/>
        </w:rPr>
        <w:t>第8条规定的个人资料保护权益，不得在电子系统中记录参与临床研究的受试者的个人资料。为确保与医药产品临床试验领域的协同作用，临床研究的电子系统应与人用药品临床试验的欧洲数据库互通。</w:t>
      </w:r>
    </w:p>
    <w:p w14:paraId="7A1958ED">
      <w:pPr>
        <w:pStyle w:val="32"/>
        <w:tabs>
          <w:tab w:val="left" w:pos="924"/>
        </w:tabs>
        <w:topLinePunct/>
        <w:snapToGrid w:val="0"/>
        <w:spacing w:beforeLines="50" w:line="324" w:lineRule="auto"/>
        <w:ind w:left="901" w:hanging="788"/>
        <w:jc w:val="both"/>
        <w:rPr>
          <w:rFonts w:ascii="Times New Roman" w:hAnsi="Times New Roman"/>
          <w:kern w:val="2"/>
          <w:szCs w:val="21"/>
          <w:lang w:val="en-US"/>
        </w:rPr>
      </w:pPr>
      <w:r>
        <w:rPr>
          <w:rFonts w:ascii="Times New Roman" w:hAnsi="Times New Roman"/>
          <w:kern w:val="2"/>
          <w:szCs w:val="21"/>
        </w:rPr>
        <w:t>（68）</w:t>
      </w:r>
      <w:r>
        <w:rPr>
          <w:rFonts w:ascii="Times New Roman" w:hAnsi="Times New Roman"/>
          <w:kern w:val="2"/>
          <w:szCs w:val="21"/>
        </w:rPr>
        <w:tab/>
      </w:r>
      <w:r>
        <w:rPr>
          <w:rFonts w:ascii="Times New Roman" w:hAnsi="Times New Roman"/>
          <w:kern w:val="2"/>
          <w:szCs w:val="21"/>
        </w:rPr>
        <w:t>如需在一个以上的成员国进行临床研究，则申办方应提交单独申请，以便减少行政负担。为允许资源共享并确保用于研究器械以及临床研究的科学设计的卫生安全方面的一致性，这种单项申请的评估流程应便于在协调成员国指导下成员国之间协调</w:t>
      </w:r>
      <w:r>
        <w:rPr>
          <w:rFonts w:hint="eastAsia" w:ascii="Times New Roman" w:hAnsi="Times New Roman"/>
          <w:kern w:val="2"/>
          <w:szCs w:val="21"/>
        </w:rPr>
        <w:t>。此等</w:t>
      </w:r>
      <w:r>
        <w:rPr>
          <w:rFonts w:ascii="Times New Roman" w:hAnsi="Times New Roman"/>
          <w:kern w:val="2"/>
          <w:szCs w:val="21"/>
        </w:rPr>
        <w:t>协调评估不得包括对临床研究的国家、</w:t>
      </w:r>
      <w:r>
        <w:rPr>
          <w:rFonts w:hint="eastAsia" w:ascii="Times New Roman" w:hAnsi="Times New Roman"/>
          <w:kern w:val="2"/>
          <w:szCs w:val="21"/>
        </w:rPr>
        <w:t>地域</w:t>
      </w:r>
      <w:r>
        <w:rPr>
          <w:rFonts w:ascii="Times New Roman" w:hAnsi="Times New Roman"/>
          <w:kern w:val="2"/>
          <w:szCs w:val="21"/>
        </w:rPr>
        <w:t>和</w:t>
      </w:r>
      <w:r>
        <w:rPr>
          <w:rFonts w:hint="eastAsia" w:ascii="Times New Roman" w:hAnsi="Times New Roman"/>
          <w:kern w:val="2"/>
          <w:szCs w:val="21"/>
        </w:rPr>
        <w:t>族群</w:t>
      </w:r>
      <w:r>
        <w:rPr>
          <w:rFonts w:ascii="Times New Roman" w:hAnsi="Times New Roman"/>
          <w:kern w:val="2"/>
          <w:szCs w:val="21"/>
        </w:rPr>
        <w:t>方面的评估，包括知情同意。</w:t>
      </w:r>
      <w:r>
        <w:rPr>
          <w:rFonts w:ascii="Times New Roman" w:hAnsi="Times New Roman"/>
          <w:kern w:val="2"/>
          <w:szCs w:val="21"/>
          <w:lang w:val="en-US"/>
        </w:rPr>
        <w:t>自本法规施行之日起七年内，成员国应自愿参与协调评估。在</w:t>
      </w:r>
      <w:r>
        <w:rPr>
          <w:rFonts w:hint="eastAsia" w:ascii="Times New Roman" w:hAnsi="Times New Roman"/>
          <w:kern w:val="2"/>
          <w:szCs w:val="21"/>
          <w:lang w:val="en-US"/>
        </w:rPr>
        <w:t>这一时期结束后</w:t>
      </w:r>
      <w:r>
        <w:rPr>
          <w:rFonts w:ascii="Times New Roman" w:hAnsi="Times New Roman"/>
          <w:kern w:val="2"/>
          <w:szCs w:val="21"/>
          <w:lang w:val="en-US"/>
        </w:rPr>
        <w:t>，所有成员国都有义务参与协调评估。委员会根据成员国之间自愿协调所取得的经验，应拟订有关协调评估流程的</w:t>
      </w:r>
      <w:r>
        <w:rPr>
          <w:rFonts w:hint="eastAsia" w:ascii="Times New Roman" w:hAnsi="Times New Roman"/>
          <w:kern w:val="2"/>
          <w:szCs w:val="21"/>
          <w:lang w:val="en-US"/>
        </w:rPr>
        <w:t>相关</w:t>
      </w:r>
      <w:r>
        <w:rPr>
          <w:rFonts w:ascii="Times New Roman" w:hAnsi="Times New Roman"/>
          <w:kern w:val="2"/>
          <w:szCs w:val="21"/>
          <w:lang w:val="en-US"/>
        </w:rPr>
        <w:t>规定</w:t>
      </w:r>
      <w:r>
        <w:rPr>
          <w:rFonts w:hint="eastAsia" w:ascii="Times New Roman" w:hAnsi="Times New Roman"/>
          <w:kern w:val="2"/>
          <w:szCs w:val="21"/>
          <w:lang w:val="en-US"/>
        </w:rPr>
        <w:t>应用</w:t>
      </w:r>
      <w:r>
        <w:rPr>
          <w:rFonts w:ascii="Times New Roman" w:hAnsi="Times New Roman"/>
          <w:kern w:val="2"/>
          <w:szCs w:val="21"/>
          <w:lang w:val="en-US"/>
        </w:rPr>
        <w:t>报告。若报告的结果是否定的，委员会应提交一份建议，延长协调评估流程中自愿参与的时间段。</w:t>
      </w:r>
    </w:p>
    <w:p w14:paraId="0E6AD1F4">
      <w:pPr>
        <w:pStyle w:val="32"/>
        <w:tabs>
          <w:tab w:val="left" w:pos="924"/>
        </w:tabs>
        <w:topLinePunct/>
        <w:snapToGrid w:val="0"/>
        <w:spacing w:beforeLines="50" w:line="324" w:lineRule="auto"/>
        <w:ind w:left="901" w:hanging="788"/>
        <w:jc w:val="both"/>
        <w:rPr>
          <w:rFonts w:ascii="Times New Roman" w:hAnsi="Times New Roman"/>
          <w:kern w:val="2"/>
          <w:szCs w:val="21"/>
        </w:rPr>
      </w:pPr>
      <w:r>
        <w:rPr>
          <w:rFonts w:ascii="Times New Roman" w:hAnsi="Times New Roman"/>
          <w:kern w:val="2"/>
          <w:szCs w:val="21"/>
        </w:rPr>
        <w:t>（69）</w:t>
      </w:r>
      <w:r>
        <w:rPr>
          <w:rFonts w:ascii="Times New Roman" w:hAnsi="Times New Roman"/>
          <w:kern w:val="2"/>
          <w:szCs w:val="21"/>
        </w:rPr>
        <w:tab/>
      </w:r>
      <w:r>
        <w:rPr>
          <w:rFonts w:ascii="Times New Roman" w:hAnsi="Times New Roman"/>
          <w:kern w:val="2"/>
          <w:szCs w:val="21"/>
        </w:rPr>
        <w:t>申办方应向</w:t>
      </w:r>
      <w:r>
        <w:rPr>
          <w:rFonts w:hint="eastAsia" w:ascii="Times New Roman" w:hAnsi="Times New Roman"/>
          <w:kern w:val="2"/>
          <w:szCs w:val="21"/>
        </w:rPr>
        <w:t>开展</w:t>
      </w:r>
      <w:r>
        <w:rPr>
          <w:rFonts w:ascii="Times New Roman" w:hAnsi="Times New Roman"/>
          <w:kern w:val="2"/>
          <w:szCs w:val="21"/>
        </w:rPr>
        <w:t>临床研究</w:t>
      </w:r>
      <w:r>
        <w:rPr>
          <w:rFonts w:hint="eastAsia" w:ascii="Times New Roman" w:hAnsi="Times New Roman"/>
          <w:kern w:val="2"/>
          <w:szCs w:val="21"/>
        </w:rPr>
        <w:t>的</w:t>
      </w:r>
      <w:r>
        <w:rPr>
          <w:rFonts w:ascii="Times New Roman" w:hAnsi="Times New Roman"/>
          <w:kern w:val="2"/>
          <w:szCs w:val="21"/>
        </w:rPr>
        <w:t>成员国报告在临床研究期间发生的</w:t>
      </w:r>
      <w:r>
        <w:rPr>
          <w:rFonts w:hint="eastAsia" w:ascii="Times New Roman" w:hAnsi="Times New Roman"/>
          <w:kern w:val="2"/>
          <w:szCs w:val="21"/>
        </w:rPr>
        <w:t>特定</w:t>
      </w:r>
      <w:r>
        <w:rPr>
          <w:rFonts w:ascii="Times New Roman" w:hAnsi="Times New Roman"/>
          <w:kern w:val="2"/>
          <w:szCs w:val="21"/>
        </w:rPr>
        <w:t>不良事件和器械缺陷。如认为</w:t>
      </w:r>
      <w:r>
        <w:rPr>
          <w:rFonts w:hint="eastAsia" w:ascii="Times New Roman" w:hAnsi="Times New Roman"/>
          <w:kern w:val="2"/>
          <w:szCs w:val="21"/>
        </w:rPr>
        <w:t>有</w:t>
      </w:r>
      <w:r>
        <w:rPr>
          <w:rFonts w:ascii="Times New Roman" w:hAnsi="Times New Roman"/>
          <w:kern w:val="2"/>
          <w:szCs w:val="21"/>
        </w:rPr>
        <w:t>必要确保参与临床研究的受试者</w:t>
      </w:r>
      <w:r>
        <w:rPr>
          <w:rFonts w:hint="eastAsia" w:ascii="Times New Roman" w:hAnsi="Times New Roman"/>
          <w:kern w:val="2"/>
          <w:szCs w:val="21"/>
        </w:rPr>
        <w:t>得到</w:t>
      </w:r>
      <w:r>
        <w:rPr>
          <w:rFonts w:ascii="Times New Roman" w:hAnsi="Times New Roman"/>
          <w:kern w:val="2"/>
          <w:szCs w:val="21"/>
        </w:rPr>
        <w:t>高水平保护，成员国应</w:t>
      </w:r>
      <w:r>
        <w:rPr>
          <w:rFonts w:hint="eastAsia" w:ascii="Times New Roman" w:hAnsi="Times New Roman"/>
          <w:kern w:val="2"/>
          <w:szCs w:val="21"/>
        </w:rPr>
        <w:t>可以</w:t>
      </w:r>
      <w:r>
        <w:rPr>
          <w:rFonts w:ascii="Times New Roman" w:hAnsi="Times New Roman"/>
          <w:kern w:val="2"/>
          <w:szCs w:val="21"/>
        </w:rPr>
        <w:t>终止或暂停</w:t>
      </w:r>
      <w:r>
        <w:rPr>
          <w:rFonts w:hint="eastAsia" w:ascii="Times New Roman" w:hAnsi="Times New Roman"/>
          <w:kern w:val="2"/>
          <w:szCs w:val="21"/>
        </w:rPr>
        <w:t>此等</w:t>
      </w:r>
      <w:r>
        <w:rPr>
          <w:rFonts w:ascii="Times New Roman" w:hAnsi="Times New Roman"/>
          <w:kern w:val="2"/>
          <w:szCs w:val="21"/>
        </w:rPr>
        <w:t>研究或撤销</w:t>
      </w:r>
      <w:r>
        <w:rPr>
          <w:rFonts w:hint="eastAsia" w:ascii="Times New Roman" w:hAnsi="Times New Roman"/>
          <w:kern w:val="2"/>
          <w:szCs w:val="21"/>
        </w:rPr>
        <w:t>此等研究的授权</w:t>
      </w:r>
      <w:r>
        <w:rPr>
          <w:rFonts w:ascii="Times New Roman" w:hAnsi="Times New Roman"/>
          <w:kern w:val="2"/>
          <w:szCs w:val="21"/>
        </w:rPr>
        <w:t>。这些信息应该传达给其他成员国。</w:t>
      </w:r>
    </w:p>
    <w:p w14:paraId="75EAA503">
      <w:pPr>
        <w:pStyle w:val="32"/>
        <w:tabs>
          <w:tab w:val="left" w:pos="924"/>
        </w:tabs>
        <w:topLinePunct/>
        <w:snapToGrid w:val="0"/>
        <w:spacing w:beforeLines="50" w:line="324" w:lineRule="auto"/>
        <w:ind w:left="901" w:hanging="788"/>
        <w:jc w:val="both"/>
        <w:rPr>
          <w:rFonts w:ascii="Times New Roman" w:hAnsi="Times New Roman"/>
          <w:kern w:val="2"/>
          <w:szCs w:val="21"/>
        </w:rPr>
      </w:pPr>
      <w:r>
        <w:rPr>
          <w:rFonts w:ascii="Times New Roman" w:hAnsi="Times New Roman"/>
          <w:kern w:val="2"/>
          <w:szCs w:val="21"/>
        </w:rPr>
        <w:t>（70）</w:t>
      </w:r>
      <w:r>
        <w:rPr>
          <w:rFonts w:ascii="Times New Roman" w:hAnsi="Times New Roman"/>
          <w:kern w:val="2"/>
          <w:szCs w:val="21"/>
        </w:rPr>
        <w:tab/>
      </w:r>
      <w:r>
        <w:rPr>
          <w:rFonts w:hint="eastAsia" w:ascii="Times New Roman" w:hAnsi="Times New Roman"/>
          <w:kern w:val="2"/>
          <w:szCs w:val="21"/>
        </w:rPr>
        <w:t>如</w:t>
      </w:r>
      <w:r>
        <w:rPr>
          <w:rFonts w:ascii="Times New Roman" w:hAnsi="Times New Roman"/>
          <w:kern w:val="2"/>
          <w:szCs w:val="21"/>
        </w:rPr>
        <w:t>适用，临床研究的申办人应在本法规规定的时间期限内</w:t>
      </w:r>
      <w:r>
        <w:rPr>
          <w:rFonts w:hint="eastAsia" w:ascii="Times New Roman" w:hAnsi="Times New Roman"/>
          <w:kern w:val="2"/>
          <w:szCs w:val="21"/>
        </w:rPr>
        <w:t>编制</w:t>
      </w:r>
      <w:r>
        <w:rPr>
          <w:rFonts w:ascii="Times New Roman" w:hAnsi="Times New Roman"/>
          <w:kern w:val="2"/>
          <w:szCs w:val="21"/>
        </w:rPr>
        <w:t>一份预期使用者容易理解的临床研究研究摘要</w:t>
      </w:r>
      <w:r>
        <w:rPr>
          <w:rFonts w:hint="eastAsia" w:ascii="Times New Roman" w:hAnsi="Times New Roman"/>
          <w:kern w:val="2"/>
          <w:szCs w:val="21"/>
        </w:rPr>
        <w:t>，</w:t>
      </w:r>
      <w:r>
        <w:rPr>
          <w:rFonts w:ascii="Times New Roman" w:hAnsi="Times New Roman"/>
          <w:kern w:val="2"/>
          <w:szCs w:val="21"/>
        </w:rPr>
        <w:t>连同临床研究报告</w:t>
      </w:r>
      <w:r>
        <w:rPr>
          <w:rFonts w:hint="eastAsia" w:ascii="Times New Roman" w:hAnsi="Times New Roman"/>
          <w:kern w:val="2"/>
          <w:szCs w:val="21"/>
        </w:rPr>
        <w:t>一起</w:t>
      </w:r>
      <w:r>
        <w:rPr>
          <w:rFonts w:ascii="Times New Roman" w:hAnsi="Times New Roman"/>
          <w:kern w:val="2"/>
          <w:szCs w:val="21"/>
        </w:rPr>
        <w:t>提交。如因科学原因未能在规定的时间内提交结果摘要，申办人应说明理由，并说明何时提交结果。</w:t>
      </w:r>
    </w:p>
    <w:p w14:paraId="7EA46B2F">
      <w:pPr>
        <w:pStyle w:val="32"/>
        <w:tabs>
          <w:tab w:val="left" w:pos="924"/>
        </w:tabs>
        <w:topLinePunct/>
        <w:snapToGrid w:val="0"/>
        <w:spacing w:beforeLines="50" w:line="324" w:lineRule="auto"/>
        <w:ind w:left="901" w:hanging="788"/>
        <w:jc w:val="both"/>
        <w:rPr>
          <w:rFonts w:ascii="Times New Roman" w:hAnsi="Times New Roman"/>
          <w:kern w:val="2"/>
          <w:szCs w:val="21"/>
        </w:rPr>
      </w:pPr>
      <w:r>
        <w:rPr>
          <w:rFonts w:ascii="Times New Roman" w:hAnsi="Times New Roman"/>
          <w:kern w:val="2"/>
          <w:szCs w:val="21"/>
        </w:rPr>
        <w:t>（71）</w:t>
      </w:r>
      <w:r>
        <w:rPr>
          <w:rFonts w:ascii="Times New Roman" w:hAnsi="Times New Roman"/>
          <w:kern w:val="2"/>
          <w:szCs w:val="21"/>
        </w:rPr>
        <w:tab/>
      </w:r>
      <w:r>
        <w:rPr>
          <w:rFonts w:ascii="Times New Roman" w:hAnsi="Times New Roman"/>
          <w:kern w:val="2"/>
          <w:szCs w:val="21"/>
        </w:rPr>
        <w:t>本法规应涵盖</w:t>
      </w:r>
      <w:r>
        <w:rPr>
          <w:rFonts w:hint="eastAsia" w:ascii="Times New Roman" w:hAnsi="Times New Roman"/>
          <w:kern w:val="2"/>
          <w:szCs w:val="21"/>
        </w:rPr>
        <w:t>旨在</w:t>
      </w:r>
      <w:r>
        <w:rPr>
          <w:rFonts w:ascii="Times New Roman" w:hAnsi="Times New Roman"/>
          <w:kern w:val="2"/>
          <w:szCs w:val="21"/>
        </w:rPr>
        <w:t>证明器械符合性</w:t>
      </w:r>
      <w:r>
        <w:rPr>
          <w:rFonts w:hint="eastAsia" w:ascii="Times New Roman" w:hAnsi="Times New Roman"/>
          <w:kern w:val="2"/>
          <w:szCs w:val="21"/>
        </w:rPr>
        <w:t>，以</w:t>
      </w:r>
      <w:r>
        <w:rPr>
          <w:rFonts w:ascii="Times New Roman" w:hAnsi="Times New Roman"/>
          <w:kern w:val="2"/>
          <w:szCs w:val="21"/>
        </w:rPr>
        <w:t>收集临床证据</w:t>
      </w:r>
      <w:r>
        <w:rPr>
          <w:rFonts w:hint="eastAsia" w:ascii="Times New Roman" w:hAnsi="Times New Roman"/>
          <w:kern w:val="2"/>
          <w:szCs w:val="21"/>
        </w:rPr>
        <w:t>为目的的</w:t>
      </w:r>
      <w:r>
        <w:rPr>
          <w:rFonts w:ascii="Times New Roman" w:hAnsi="Times New Roman"/>
          <w:kern w:val="2"/>
          <w:szCs w:val="21"/>
        </w:rPr>
        <w:t>临床研究，并应同时规定有关其他类型医疗器械临床研究的伦理和科学评估</w:t>
      </w:r>
      <w:r>
        <w:rPr>
          <w:rFonts w:hint="eastAsia" w:ascii="Times New Roman" w:hAnsi="Times New Roman"/>
          <w:kern w:val="2"/>
          <w:szCs w:val="21"/>
        </w:rPr>
        <w:t>的</w:t>
      </w:r>
      <w:r>
        <w:rPr>
          <w:rFonts w:ascii="Times New Roman" w:hAnsi="Times New Roman"/>
          <w:kern w:val="2"/>
          <w:szCs w:val="21"/>
        </w:rPr>
        <w:t>基本要求。</w:t>
      </w:r>
    </w:p>
    <w:p w14:paraId="3334083E">
      <w:pPr>
        <w:pStyle w:val="32"/>
        <w:topLinePunct/>
        <w:snapToGrid w:val="0"/>
        <w:spacing w:beforeLines="15" w:line="288" w:lineRule="auto"/>
        <w:ind w:left="900" w:hanging="787"/>
        <w:jc w:val="both"/>
        <w:rPr>
          <w:rFonts w:ascii="Times New Roman" w:hAnsi="Times New Roman"/>
          <w:kern w:val="2"/>
          <w:szCs w:val="21"/>
        </w:rPr>
      </w:pPr>
      <w:r>
        <w:rPr>
          <w:rFonts w:ascii="Times New Roman" w:hAnsi="Times New Roman"/>
          <w:kern w:val="2"/>
          <w:szCs w:val="21"/>
        </w:rPr>
        <w:t>（72）</w:t>
      </w:r>
      <w:r>
        <w:rPr>
          <w:rFonts w:ascii="Times New Roman" w:hAnsi="Times New Roman"/>
          <w:kern w:val="2"/>
          <w:szCs w:val="21"/>
        </w:rPr>
        <w:tab/>
      </w:r>
      <w:r>
        <w:rPr>
          <w:rFonts w:ascii="Times New Roman" w:hAnsi="Times New Roman"/>
          <w:kern w:val="2"/>
          <w:szCs w:val="21"/>
        </w:rPr>
        <w:t>无行为能力</w:t>
      </w:r>
      <w:r>
        <w:rPr>
          <w:rFonts w:hint="eastAsia" w:ascii="Times New Roman" w:hAnsi="Times New Roman"/>
          <w:kern w:val="2"/>
          <w:szCs w:val="21"/>
        </w:rPr>
        <w:t>受试者</w:t>
      </w:r>
      <w:r>
        <w:rPr>
          <w:rFonts w:ascii="Times New Roman" w:hAnsi="Times New Roman"/>
          <w:kern w:val="2"/>
          <w:szCs w:val="21"/>
        </w:rPr>
        <w:t>、未成年人、孕妇和哺乳期妇女需要特殊保护措施。但</w:t>
      </w:r>
      <w:r>
        <w:rPr>
          <w:rFonts w:hint="eastAsia" w:ascii="Times New Roman" w:hAnsi="Times New Roman"/>
          <w:kern w:val="2"/>
          <w:szCs w:val="21"/>
        </w:rPr>
        <w:t>需要由</w:t>
      </w:r>
      <w:r>
        <w:rPr>
          <w:rFonts w:ascii="Times New Roman" w:hAnsi="Times New Roman"/>
          <w:kern w:val="2"/>
          <w:szCs w:val="21"/>
        </w:rPr>
        <w:t>成员国确定无行为能力</w:t>
      </w:r>
      <w:r>
        <w:rPr>
          <w:rFonts w:hint="eastAsia" w:ascii="Times New Roman" w:hAnsi="Times New Roman"/>
          <w:kern w:val="2"/>
          <w:szCs w:val="21"/>
        </w:rPr>
        <w:t>受试者</w:t>
      </w:r>
      <w:r>
        <w:rPr>
          <w:rFonts w:ascii="Times New Roman" w:hAnsi="Times New Roman"/>
          <w:kern w:val="2"/>
          <w:szCs w:val="21"/>
        </w:rPr>
        <w:t>和未成年人的法定代表人</w:t>
      </w:r>
    </w:p>
    <w:p w14:paraId="21C19202">
      <w:pPr>
        <w:pStyle w:val="32"/>
        <w:topLinePunct/>
        <w:snapToGrid w:val="0"/>
        <w:spacing w:beforeLines="15" w:line="288" w:lineRule="auto"/>
        <w:ind w:left="900" w:hanging="787"/>
        <w:jc w:val="both"/>
        <w:rPr>
          <w:rFonts w:ascii="Times New Roman" w:hAnsi="Times New Roman"/>
          <w:kern w:val="2"/>
          <w:szCs w:val="21"/>
        </w:rPr>
      </w:pPr>
      <w:r>
        <w:rPr>
          <w:rFonts w:ascii="Times New Roman" w:hAnsi="Times New Roman"/>
          <w:kern w:val="2"/>
          <w:szCs w:val="21"/>
        </w:rPr>
        <w:t>（73）</w:t>
      </w:r>
      <w:r>
        <w:rPr>
          <w:rFonts w:ascii="Times New Roman" w:hAnsi="Times New Roman"/>
          <w:kern w:val="2"/>
          <w:szCs w:val="21"/>
        </w:rPr>
        <w:tab/>
      </w:r>
      <w:r>
        <w:rPr>
          <w:rFonts w:ascii="Times New Roman" w:hAnsi="Times New Roman"/>
          <w:kern w:val="2"/>
          <w:szCs w:val="21"/>
        </w:rPr>
        <w:t>应遵守欧洲议会和理事会第2010/6</w:t>
      </w:r>
      <w:r>
        <w:rPr>
          <w:rFonts w:hint="eastAsia" w:ascii="Times New Roman" w:hAnsi="Times New Roman"/>
          <w:kern w:val="2"/>
          <w:szCs w:val="21"/>
        </w:rPr>
        <w:t>3/EU</w:t>
      </w:r>
      <w:r>
        <w:rPr>
          <w:rFonts w:ascii="Times New Roman" w:hAnsi="Times New Roman"/>
          <w:kern w:val="2"/>
          <w:szCs w:val="21"/>
        </w:rPr>
        <w:t>号指令</w:t>
      </w:r>
      <w:r>
        <w:rPr>
          <w:rFonts w:hint="eastAsia" w:ascii="Times New Roman" w:hAnsi="Times New Roman"/>
          <w:kern w:val="2"/>
          <w:szCs w:val="21"/>
        </w:rPr>
        <w:t>（</w:t>
      </w:r>
      <w:r>
        <w:rPr>
          <w:rFonts w:ascii="Times New Roman" w:hAnsi="Times New Roman"/>
          <w:kern w:val="2"/>
          <w:szCs w:val="21"/>
          <w:vertAlign w:val="superscript"/>
        </w:rPr>
        <w:t>1</w:t>
      </w:r>
      <w:r>
        <w:rPr>
          <w:rFonts w:hint="eastAsia" w:ascii="Times New Roman" w:hAnsi="Times New Roman"/>
          <w:kern w:val="2"/>
          <w:szCs w:val="21"/>
        </w:rPr>
        <w:t>）</w:t>
      </w:r>
      <w:r>
        <w:rPr>
          <w:rFonts w:ascii="Times New Roman" w:hAnsi="Times New Roman"/>
          <w:kern w:val="2"/>
          <w:szCs w:val="21"/>
        </w:rPr>
        <w:t>中所规定的动物实验领域的替换、减少和完善原则。特别是，应避免不必要的重复测试和研究。</w:t>
      </w:r>
    </w:p>
    <w:p w14:paraId="5AEFF396">
      <w:pPr>
        <w:pStyle w:val="8"/>
        <w:topLinePunct/>
        <w:snapToGrid w:val="0"/>
        <w:spacing w:beforeLines="15" w:line="288" w:lineRule="auto"/>
        <w:ind w:left="900" w:hanging="787"/>
        <w:jc w:val="both"/>
        <w:rPr>
          <w:kern w:val="2"/>
          <w:szCs w:val="21"/>
        </w:rPr>
      </w:pPr>
      <w:r>
        <w:rPr>
          <w:rFonts w:hint="eastAsia"/>
          <w:kern w:val="2"/>
          <w:szCs w:val="21"/>
        </w:rPr>
        <w:t>（</w:t>
      </w:r>
      <w:r>
        <w:rPr>
          <w:kern w:val="2"/>
          <w:szCs w:val="21"/>
        </w:rPr>
        <w:t>74</w:t>
      </w:r>
      <w:r>
        <w:rPr>
          <w:rFonts w:hint="eastAsia"/>
          <w:kern w:val="2"/>
          <w:szCs w:val="21"/>
        </w:rPr>
        <w:t>）</w:t>
      </w:r>
      <w:r>
        <w:rPr>
          <w:kern w:val="2"/>
          <w:szCs w:val="21"/>
        </w:rPr>
        <w:tab/>
      </w:r>
      <w:r>
        <w:rPr>
          <w:kern w:val="2"/>
          <w:szCs w:val="21"/>
        </w:rPr>
        <w:t>制造商应在售后阶段发挥积极作用，通过系统和积极地根据其器械售后体验收集信息，以更新其技术文件，并与负责警戒和市场监管活动的国家主管机构合作。为此，制造商应根据质量管理体系并基于</w:t>
      </w:r>
      <w:r>
        <w:rPr>
          <w:rFonts w:hint="eastAsia"/>
          <w:kern w:val="2"/>
          <w:szCs w:val="21"/>
        </w:rPr>
        <w:t>上市后监管</w:t>
      </w:r>
      <w:r>
        <w:rPr>
          <w:kern w:val="2"/>
          <w:szCs w:val="21"/>
        </w:rPr>
        <w:t>计划，建立一个综合的上市后监管体系。</w:t>
      </w:r>
      <w:r>
        <w:rPr>
          <w:rFonts w:hint="eastAsia"/>
          <w:kern w:val="2"/>
          <w:szCs w:val="21"/>
        </w:rPr>
        <w:t>且</w:t>
      </w:r>
      <w:r>
        <w:rPr>
          <w:kern w:val="2"/>
          <w:szCs w:val="21"/>
        </w:rPr>
        <w:t>应借助在</w:t>
      </w:r>
      <w:r>
        <w:rPr>
          <w:rFonts w:hint="eastAsia"/>
          <w:kern w:val="2"/>
          <w:szCs w:val="21"/>
        </w:rPr>
        <w:t>上市后监管</w:t>
      </w:r>
      <w:r>
        <w:rPr>
          <w:kern w:val="2"/>
          <w:szCs w:val="21"/>
        </w:rPr>
        <w:t>中收集的相关数据和信息，以及从任何执行的预防和/或纠正措施中吸取的经验教训，更新技术文件的任何相关部分，如风险评估</w:t>
      </w:r>
      <w:r>
        <w:rPr>
          <w:rFonts w:hint="eastAsia"/>
          <w:kern w:val="2"/>
          <w:szCs w:val="21"/>
        </w:rPr>
        <w:t>相关文件和临床</w:t>
      </w:r>
      <w:r>
        <w:rPr>
          <w:kern w:val="2"/>
          <w:szCs w:val="21"/>
        </w:rPr>
        <w:t>评估，</w:t>
      </w:r>
      <w:r>
        <w:rPr>
          <w:rFonts w:hint="eastAsia"/>
          <w:kern w:val="2"/>
          <w:szCs w:val="21"/>
        </w:rPr>
        <w:t>还</w:t>
      </w:r>
      <w:r>
        <w:rPr>
          <w:kern w:val="2"/>
          <w:szCs w:val="21"/>
        </w:rPr>
        <w:t>应确保文件透明度。</w:t>
      </w:r>
    </w:p>
    <w:p w14:paraId="169FEFE2">
      <w:pPr>
        <w:pStyle w:val="8"/>
        <w:topLinePunct/>
        <w:snapToGrid w:val="0"/>
        <w:spacing w:beforeLines="15" w:line="288" w:lineRule="auto"/>
        <w:ind w:left="900" w:hanging="787"/>
        <w:jc w:val="both"/>
        <w:rPr>
          <w:kern w:val="2"/>
          <w:szCs w:val="21"/>
        </w:rPr>
      </w:pPr>
      <w:r>
        <w:rPr>
          <w:kern w:val="2"/>
          <w:szCs w:val="21"/>
        </w:rPr>
        <w:t>（75）</w:t>
      </w:r>
      <w:r>
        <w:rPr>
          <w:kern w:val="2"/>
          <w:szCs w:val="21"/>
        </w:rPr>
        <w:tab/>
      </w:r>
      <w:r>
        <w:rPr>
          <w:kern w:val="2"/>
          <w:szCs w:val="21"/>
        </w:rPr>
        <w:t>为更好地保障上市器械相关健康和安全问题，应当通过创建欧盟级别的中央门户网站报告严重事件和现场安全纠正措施，使得用于器械的电子警戒系统更有效。</w:t>
      </w:r>
    </w:p>
    <w:p w14:paraId="1C4F928B">
      <w:pPr>
        <w:pStyle w:val="32"/>
        <w:tabs>
          <w:tab w:val="left" w:pos="900"/>
        </w:tabs>
        <w:topLinePunct/>
        <w:snapToGrid w:val="0"/>
        <w:spacing w:beforeLines="15" w:line="288" w:lineRule="auto"/>
        <w:ind w:left="899" w:hanging="898" w:hangingChars="428"/>
        <w:jc w:val="both"/>
        <w:rPr>
          <w:rFonts w:ascii="Times New Roman" w:hAnsi="Times New Roman"/>
          <w:kern w:val="2"/>
          <w:szCs w:val="21"/>
        </w:rPr>
      </w:pPr>
      <w:r>
        <w:rPr>
          <w:rFonts w:ascii="Times New Roman" w:hAnsi="Times New Roman"/>
          <w:kern w:val="2"/>
          <w:szCs w:val="21"/>
        </w:rPr>
        <w:t>（76）</w:t>
      </w:r>
      <w:r>
        <w:rPr>
          <w:rFonts w:ascii="Times New Roman" w:hAnsi="Times New Roman"/>
          <w:kern w:val="2"/>
          <w:szCs w:val="21"/>
        </w:rPr>
        <w:tab/>
      </w:r>
      <w:r>
        <w:rPr>
          <w:rFonts w:ascii="Times New Roman" w:hAnsi="Times New Roman"/>
          <w:kern w:val="2"/>
          <w:szCs w:val="21"/>
        </w:rPr>
        <w:t>成</w:t>
      </w:r>
      <w:r>
        <w:rPr>
          <w:kern w:val="2"/>
          <w:szCs w:val="21"/>
        </w:rPr>
        <w:t>员国应采取适当措施，提高医护专业人员、使用者和患者对报告事件的重要性的认识。应该</w:t>
      </w:r>
      <w:r>
        <w:rPr>
          <w:rFonts w:hint="eastAsia"/>
          <w:kern w:val="2"/>
          <w:szCs w:val="21"/>
        </w:rPr>
        <w:t>鼓励</w:t>
      </w:r>
      <w:r>
        <w:rPr>
          <w:kern w:val="2"/>
          <w:szCs w:val="21"/>
        </w:rPr>
        <w:t>医护专业人员、使用者和患者使用统一格式在国家级别报告可疑的严重事件。国家主管机构应通知制造商</w:t>
      </w:r>
      <w:r>
        <w:rPr>
          <w:rFonts w:hint="eastAsia"/>
          <w:kern w:val="2"/>
          <w:szCs w:val="21"/>
        </w:rPr>
        <w:t>任何疑似</w:t>
      </w:r>
      <w:r>
        <w:rPr>
          <w:kern w:val="2"/>
          <w:szCs w:val="21"/>
        </w:rPr>
        <w:t>严重事件</w:t>
      </w:r>
      <w:r>
        <w:rPr>
          <w:rFonts w:hint="eastAsia"/>
          <w:kern w:val="2"/>
          <w:szCs w:val="21"/>
        </w:rPr>
        <w:t>，并且当制造商确认此等事故发生时，相关主管机构应确保采取适当的</w:t>
      </w:r>
      <w:r>
        <w:rPr>
          <w:rFonts w:hint="eastAsia"/>
          <w:kern w:val="2"/>
          <w:szCs w:val="21"/>
          <w:lang w:val="en-US"/>
        </w:rPr>
        <w:t>跟踪</w:t>
      </w:r>
      <w:r>
        <w:rPr>
          <w:rFonts w:hint="eastAsia"/>
          <w:kern w:val="2"/>
          <w:szCs w:val="21"/>
        </w:rPr>
        <w:t>措施</w:t>
      </w:r>
      <w:r>
        <w:rPr>
          <w:kern w:val="2"/>
          <w:szCs w:val="21"/>
        </w:rPr>
        <w:t>，以尽量避免此类事件的再次发生</w:t>
      </w:r>
      <w:r>
        <w:rPr>
          <w:rFonts w:ascii="Times New Roman" w:hAnsi="Times New Roman"/>
          <w:kern w:val="2"/>
          <w:szCs w:val="21"/>
        </w:rPr>
        <w:t>。</w:t>
      </w:r>
    </w:p>
    <w:p w14:paraId="545BC21B">
      <w:pPr>
        <w:pStyle w:val="32"/>
        <w:tabs>
          <w:tab w:val="left" w:pos="900"/>
        </w:tabs>
        <w:topLinePunct/>
        <w:snapToGrid w:val="0"/>
        <w:spacing w:beforeLines="15" w:line="288" w:lineRule="auto"/>
        <w:ind w:left="899" w:hanging="898" w:hangingChars="428"/>
        <w:jc w:val="both"/>
        <w:rPr>
          <w:rFonts w:ascii="Times New Roman" w:hAnsi="Times New Roman"/>
          <w:kern w:val="2"/>
          <w:szCs w:val="21"/>
        </w:rPr>
      </w:pPr>
      <w:r>
        <w:rPr>
          <w:rFonts w:ascii="Times New Roman" w:hAnsi="Times New Roman"/>
          <w:kern w:val="2"/>
          <w:szCs w:val="21"/>
        </w:rPr>
        <w:t>（77）</w:t>
      </w:r>
      <w:r>
        <w:rPr>
          <w:rFonts w:ascii="Times New Roman" w:hAnsi="Times New Roman"/>
          <w:kern w:val="2"/>
          <w:szCs w:val="21"/>
        </w:rPr>
        <w:tab/>
      </w:r>
      <w:r>
        <w:rPr>
          <w:rFonts w:ascii="Times New Roman" w:hAnsi="Times New Roman"/>
          <w:kern w:val="2"/>
          <w:szCs w:val="21"/>
        </w:rPr>
        <w:t>应</w:t>
      </w:r>
      <w:r>
        <w:rPr>
          <w:kern w:val="2"/>
          <w:szCs w:val="21"/>
        </w:rPr>
        <w:t>在国家级别评估报告的严重事件和现场安全纠正措施，但应确保在类似事件发生时进行协调，或者必须在多个成员国进行现场安全纠正措施，目的是共享资源并确保纠正措施的一致性</w:t>
      </w:r>
      <w:r>
        <w:rPr>
          <w:rFonts w:ascii="Times New Roman" w:hAnsi="Times New Roman"/>
          <w:kern w:val="2"/>
          <w:szCs w:val="21"/>
        </w:rPr>
        <w:t>。</w:t>
      </w:r>
    </w:p>
    <w:p w14:paraId="6C4F3C2D">
      <w:pPr>
        <w:pStyle w:val="8"/>
        <w:tabs>
          <w:tab w:val="left" w:pos="900"/>
        </w:tabs>
        <w:topLinePunct/>
        <w:snapToGrid w:val="0"/>
        <w:spacing w:beforeLines="15" w:line="288" w:lineRule="auto"/>
        <w:ind w:left="899" w:hanging="898" w:hangingChars="428"/>
        <w:jc w:val="both"/>
        <w:rPr>
          <w:kern w:val="2"/>
          <w:szCs w:val="21"/>
        </w:rPr>
      </w:pPr>
      <w:r>
        <w:rPr>
          <w:kern w:val="2"/>
          <w:szCs w:val="21"/>
        </w:rPr>
        <w:t>（78）</w:t>
      </w:r>
      <w:r>
        <w:rPr>
          <w:kern w:val="2"/>
          <w:szCs w:val="21"/>
        </w:rPr>
        <w:tab/>
      </w:r>
      <w:r>
        <w:rPr>
          <w:kern w:val="2"/>
          <w:szCs w:val="21"/>
        </w:rPr>
        <w:t>在</w:t>
      </w:r>
      <w:r>
        <w:rPr>
          <w:rFonts w:hint="eastAsia"/>
          <w:kern w:val="2"/>
          <w:szCs w:val="21"/>
        </w:rPr>
        <w:t>事故调查背景中，</w:t>
      </w:r>
      <w:r>
        <w:rPr>
          <w:kern w:val="2"/>
          <w:szCs w:val="21"/>
        </w:rPr>
        <w:t>主管机构应酌情考虑利益相关者（包括患者和医护专业人员组织和制造商协会）提供的信息和意见。</w:t>
      </w:r>
    </w:p>
    <w:p w14:paraId="03A15D8F">
      <w:pPr>
        <w:pStyle w:val="32"/>
        <w:tabs>
          <w:tab w:val="left" w:pos="900"/>
        </w:tabs>
        <w:topLinePunct/>
        <w:snapToGrid w:val="0"/>
        <w:spacing w:beforeLines="15" w:line="288" w:lineRule="auto"/>
        <w:ind w:left="899" w:hanging="898" w:hangingChars="428"/>
        <w:jc w:val="both"/>
        <w:rPr>
          <w:rFonts w:ascii="Times New Roman" w:hAnsi="Times New Roman"/>
          <w:kern w:val="2"/>
          <w:szCs w:val="21"/>
        </w:rPr>
      </w:pPr>
      <w:bookmarkStart w:id="3" w:name="_bookmark25"/>
      <w:bookmarkEnd w:id="3"/>
      <w:r>
        <w:rPr>
          <w:rFonts w:ascii="Times New Roman" w:hAnsi="Times New Roman"/>
          <w:kern w:val="2"/>
          <w:szCs w:val="21"/>
        </w:rPr>
        <w:t>（79）</w:t>
      </w:r>
      <w:r>
        <w:rPr>
          <w:rFonts w:ascii="Times New Roman" w:hAnsi="Times New Roman"/>
          <w:kern w:val="2"/>
          <w:szCs w:val="21"/>
        </w:rPr>
        <w:tab/>
      </w:r>
      <w:r>
        <w:rPr>
          <w:rFonts w:ascii="Times New Roman" w:hAnsi="Times New Roman"/>
          <w:kern w:val="2"/>
          <w:szCs w:val="21"/>
        </w:rPr>
        <w:t>应</w:t>
      </w:r>
      <w:r>
        <w:rPr>
          <w:kern w:val="2"/>
          <w:szCs w:val="21"/>
        </w:rPr>
        <w:t>清楚区分</w:t>
      </w:r>
      <w:r>
        <w:rPr>
          <w:rFonts w:ascii="Times New Roman" w:hAnsi="Times New Roman"/>
          <w:kern w:val="2"/>
          <w:szCs w:val="21"/>
        </w:rPr>
        <w:t>临床研究期间的严重不良事件或器械缺陷报告和器械投放市场后发生的严重事件报告，以避免重复报告。</w:t>
      </w:r>
    </w:p>
    <w:p w14:paraId="2B143856">
      <w:pPr>
        <w:pStyle w:val="32"/>
        <w:tabs>
          <w:tab w:val="left" w:pos="900"/>
        </w:tabs>
        <w:topLinePunct/>
        <w:snapToGrid w:val="0"/>
        <w:spacing w:beforeLines="15" w:line="288" w:lineRule="auto"/>
        <w:ind w:left="899" w:hanging="898" w:hangingChars="428"/>
        <w:jc w:val="both"/>
        <w:rPr>
          <w:rFonts w:ascii="Times New Roman" w:hAnsi="Times New Roman"/>
          <w:kern w:val="2"/>
          <w:szCs w:val="21"/>
        </w:rPr>
      </w:pPr>
      <w:r>
        <w:rPr>
          <w:rFonts w:ascii="Times New Roman" w:hAnsi="Times New Roman"/>
          <w:kern w:val="2"/>
          <w:szCs w:val="21"/>
        </w:rPr>
        <w:t>（80）</w:t>
      </w:r>
      <w:r>
        <w:rPr>
          <w:rFonts w:ascii="Times New Roman" w:hAnsi="Times New Roman"/>
          <w:kern w:val="2"/>
          <w:szCs w:val="21"/>
        </w:rPr>
        <w:tab/>
      </w:r>
      <w:r>
        <w:rPr>
          <w:rFonts w:ascii="Times New Roman" w:hAnsi="Times New Roman"/>
          <w:kern w:val="2"/>
          <w:szCs w:val="21"/>
        </w:rPr>
        <w:t>本</w:t>
      </w:r>
      <w:r>
        <w:rPr>
          <w:kern w:val="2"/>
          <w:szCs w:val="21"/>
        </w:rPr>
        <w:t>法规应包含市场监管规则，以加强国家主管机构的权利和义务，确保市场监管活动的有效协调，并说明适用的</w:t>
      </w:r>
      <w:r>
        <w:rPr>
          <w:rFonts w:hint="eastAsia"/>
          <w:kern w:val="2"/>
          <w:szCs w:val="21"/>
        </w:rPr>
        <w:t>流程</w:t>
      </w:r>
      <w:r>
        <w:rPr>
          <w:rFonts w:ascii="Times New Roman" w:hAnsi="Times New Roman"/>
          <w:kern w:val="2"/>
          <w:szCs w:val="21"/>
        </w:rPr>
        <w:t>。</w:t>
      </w:r>
    </w:p>
    <w:p w14:paraId="5ABED211">
      <w:pPr>
        <w:pStyle w:val="32"/>
        <w:tabs>
          <w:tab w:val="left" w:pos="900"/>
        </w:tabs>
        <w:topLinePunct/>
        <w:snapToGrid w:val="0"/>
        <w:spacing w:beforeLines="15" w:line="288" w:lineRule="auto"/>
        <w:ind w:left="899" w:hanging="898" w:hangingChars="428"/>
        <w:jc w:val="both"/>
        <w:rPr>
          <w:rFonts w:ascii="Times New Roman" w:hAnsi="Times New Roman"/>
          <w:kern w:val="2"/>
          <w:szCs w:val="21"/>
        </w:rPr>
      </w:pPr>
      <w:r>
        <w:rPr>
          <w:rFonts w:ascii="Times New Roman" w:hAnsi="Times New Roman"/>
          <w:kern w:val="2"/>
          <w:szCs w:val="21"/>
        </w:rPr>
        <w:t>（81）</w:t>
      </w:r>
      <w:r>
        <w:rPr>
          <w:rFonts w:ascii="Times New Roman" w:hAnsi="Times New Roman"/>
          <w:kern w:val="2"/>
          <w:szCs w:val="21"/>
        </w:rPr>
        <w:tab/>
      </w:r>
      <w:r>
        <w:rPr>
          <w:kern w:val="2"/>
          <w:szCs w:val="21"/>
        </w:rPr>
        <w:t>可能对风险利益</w:t>
      </w:r>
      <w:r>
        <w:rPr>
          <w:rFonts w:hint="eastAsia"/>
          <w:kern w:val="2"/>
          <w:szCs w:val="21"/>
        </w:rPr>
        <w:t>分析</w:t>
      </w:r>
      <w:r>
        <w:rPr>
          <w:kern w:val="2"/>
          <w:szCs w:val="21"/>
        </w:rPr>
        <w:t>产生重大影响，并且可能导致不可接受风险的，不严重或预期</w:t>
      </w:r>
      <w:r>
        <w:rPr>
          <w:rFonts w:hint="eastAsia"/>
          <w:kern w:val="2"/>
          <w:szCs w:val="21"/>
        </w:rPr>
        <w:t>副作用</w:t>
      </w:r>
      <w:r>
        <w:rPr>
          <w:kern w:val="2"/>
          <w:szCs w:val="21"/>
        </w:rPr>
        <w:t>事件</w:t>
      </w:r>
      <w:r>
        <w:rPr>
          <w:rFonts w:hint="eastAsia"/>
          <w:kern w:val="2"/>
          <w:szCs w:val="21"/>
        </w:rPr>
        <w:t>，如</w:t>
      </w:r>
      <w:r>
        <w:rPr>
          <w:kern w:val="2"/>
          <w:szCs w:val="21"/>
        </w:rPr>
        <w:t>数量或严重程度</w:t>
      </w:r>
      <w:r>
        <w:rPr>
          <w:rFonts w:hint="eastAsia"/>
          <w:kern w:val="2"/>
          <w:szCs w:val="21"/>
        </w:rPr>
        <w:t>出现</w:t>
      </w:r>
      <w:r>
        <w:rPr>
          <w:kern w:val="2"/>
          <w:szCs w:val="21"/>
        </w:rPr>
        <w:t>显著增加，均应向主管机构报告，以允许其进行评估和采取适当的措施</w:t>
      </w:r>
      <w:r>
        <w:rPr>
          <w:rFonts w:ascii="Times New Roman" w:hAnsi="Times New Roman"/>
          <w:kern w:val="2"/>
          <w:szCs w:val="21"/>
        </w:rPr>
        <w:t>。</w:t>
      </w:r>
    </w:p>
    <w:p w14:paraId="3B56AC54">
      <w:pPr>
        <w:pStyle w:val="32"/>
        <w:tabs>
          <w:tab w:val="left" w:pos="900"/>
        </w:tabs>
        <w:topLinePunct/>
        <w:snapToGrid w:val="0"/>
        <w:spacing w:beforeLines="15" w:line="288" w:lineRule="auto"/>
        <w:ind w:left="899" w:hanging="898" w:hangingChars="428"/>
        <w:jc w:val="both"/>
        <w:rPr>
          <w:rFonts w:ascii="Times New Roman" w:hAnsi="Times New Roman"/>
          <w:kern w:val="2"/>
          <w:szCs w:val="21"/>
        </w:rPr>
      </w:pPr>
      <w:r>
        <w:rPr>
          <w:rFonts w:ascii="Times New Roman" w:hAnsi="Times New Roman"/>
          <w:kern w:val="2"/>
          <w:szCs w:val="21"/>
        </w:rPr>
        <w:t>（82）</w:t>
      </w:r>
      <w:r>
        <w:rPr>
          <w:rFonts w:ascii="Times New Roman" w:hAnsi="Times New Roman"/>
          <w:kern w:val="2"/>
          <w:szCs w:val="21"/>
        </w:rPr>
        <w:tab/>
      </w:r>
      <w:r>
        <w:rPr>
          <w:rFonts w:ascii="Times New Roman" w:hAnsi="Times New Roman"/>
          <w:kern w:val="2"/>
          <w:szCs w:val="21"/>
        </w:rPr>
        <w:t>应当成立一个由成员国</w:t>
      </w:r>
      <w:r>
        <w:rPr>
          <w:rFonts w:hint="eastAsia" w:ascii="Times New Roman" w:hAnsi="Times New Roman"/>
          <w:kern w:val="2"/>
          <w:szCs w:val="21"/>
        </w:rPr>
        <w:t>指派的专家（</w:t>
      </w:r>
      <w:r>
        <w:rPr>
          <w:rFonts w:ascii="Times New Roman" w:hAnsi="Times New Roman"/>
          <w:kern w:val="2"/>
          <w:szCs w:val="21"/>
        </w:rPr>
        <w:t>根据</w:t>
      </w:r>
      <w:r>
        <w:rPr>
          <w:rFonts w:hint="eastAsia" w:ascii="Times New Roman" w:hAnsi="Times New Roman"/>
          <w:kern w:val="2"/>
          <w:szCs w:val="21"/>
        </w:rPr>
        <w:t>其在</w:t>
      </w:r>
      <w:r>
        <w:rPr>
          <w:rFonts w:ascii="Times New Roman" w:hAnsi="Times New Roman"/>
          <w:kern w:val="2"/>
          <w:szCs w:val="21"/>
        </w:rPr>
        <w:t>医疗器械</w:t>
      </w:r>
      <w:r>
        <w:rPr>
          <w:rFonts w:hint="eastAsia" w:ascii="Times New Roman" w:hAnsi="Times New Roman"/>
          <w:kern w:val="2"/>
          <w:szCs w:val="21"/>
        </w:rPr>
        <w:t>（</w:t>
      </w:r>
      <w:r>
        <w:rPr>
          <w:rFonts w:ascii="Times New Roman" w:hAnsi="Times New Roman"/>
          <w:kern w:val="2"/>
          <w:szCs w:val="21"/>
        </w:rPr>
        <w:t>包括体外诊断医疗器械</w:t>
      </w:r>
      <w:r>
        <w:rPr>
          <w:rFonts w:hint="eastAsia" w:ascii="Times New Roman" w:hAnsi="Times New Roman"/>
          <w:kern w:val="2"/>
          <w:szCs w:val="21"/>
        </w:rPr>
        <w:t>）</w:t>
      </w:r>
      <w:r>
        <w:rPr>
          <w:rFonts w:ascii="Times New Roman" w:hAnsi="Times New Roman"/>
          <w:kern w:val="2"/>
          <w:szCs w:val="21"/>
        </w:rPr>
        <w:t>领域中的职务和专长</w:t>
      </w:r>
      <w:r>
        <w:rPr>
          <w:rFonts w:hint="eastAsia" w:ascii="Times New Roman" w:hAnsi="Times New Roman"/>
          <w:kern w:val="2"/>
          <w:szCs w:val="21"/>
        </w:rPr>
        <w:t>）</w:t>
      </w:r>
      <w:r>
        <w:rPr>
          <w:rFonts w:ascii="Times New Roman" w:hAnsi="Times New Roman"/>
          <w:kern w:val="2"/>
          <w:szCs w:val="21"/>
        </w:rPr>
        <w:t>组成的专家委员会，</w:t>
      </w:r>
      <w:r>
        <w:rPr>
          <w:rFonts w:hint="eastAsia" w:ascii="Times New Roman" w:hAnsi="Times New Roman"/>
          <w:kern w:val="2"/>
          <w:szCs w:val="21"/>
        </w:rPr>
        <w:t>即</w:t>
      </w:r>
      <w:r>
        <w:rPr>
          <w:rFonts w:ascii="Times New Roman" w:hAnsi="Times New Roman"/>
          <w:kern w:val="2"/>
          <w:szCs w:val="21"/>
        </w:rPr>
        <w:t>医疗器械协调</w:t>
      </w:r>
      <w:r>
        <w:rPr>
          <w:rFonts w:hint="eastAsia" w:ascii="Times New Roman" w:hAnsi="Times New Roman"/>
          <w:kern w:val="2"/>
          <w:szCs w:val="21"/>
        </w:rPr>
        <w:t>小</w:t>
      </w:r>
      <w:r>
        <w:rPr>
          <w:rFonts w:ascii="Times New Roman" w:hAnsi="Times New Roman"/>
          <w:kern w:val="2"/>
          <w:szCs w:val="21"/>
        </w:rPr>
        <w:t>组（MDCG），以完成本法规和欧洲议会和理事会第2017/</w:t>
      </w:r>
      <w:r>
        <w:rPr>
          <w:rFonts w:hint="eastAsia" w:ascii="Times New Roman" w:hAnsi="Times New Roman"/>
          <w:kern w:val="2"/>
          <w:szCs w:val="21"/>
        </w:rPr>
        <w:t>746</w:t>
      </w:r>
      <w:r>
        <w:rPr>
          <w:rFonts w:ascii="Times New Roman" w:hAnsi="Times New Roman"/>
          <w:kern w:val="2"/>
          <w:szCs w:val="21"/>
        </w:rPr>
        <w:t>号法规</w:t>
      </w:r>
      <w:r>
        <w:rPr>
          <w:rFonts w:hint="eastAsia" w:ascii="Times New Roman" w:hAnsi="Times New Roman"/>
          <w:kern w:val="2"/>
          <w:szCs w:val="21"/>
        </w:rPr>
        <w:t>（</w:t>
      </w:r>
      <w:r>
        <w:rPr>
          <w:rFonts w:ascii="Times New Roman" w:hAnsi="Times New Roman"/>
          <w:kern w:val="2"/>
          <w:szCs w:val="21"/>
          <w:vertAlign w:val="superscript"/>
        </w:rPr>
        <w:t>2</w:t>
      </w:r>
      <w:r>
        <w:rPr>
          <w:rFonts w:hint="eastAsia" w:ascii="Times New Roman" w:hAnsi="Times New Roman"/>
          <w:kern w:val="2"/>
          <w:szCs w:val="21"/>
        </w:rPr>
        <w:t>）赋予该小组的使命</w:t>
      </w:r>
      <w:r>
        <w:rPr>
          <w:rFonts w:ascii="Times New Roman" w:hAnsi="Times New Roman"/>
          <w:kern w:val="2"/>
          <w:szCs w:val="21"/>
        </w:rPr>
        <w:t>，向委员会提供建议，</w:t>
      </w:r>
      <w:r>
        <w:rPr>
          <w:rFonts w:hint="eastAsia" w:ascii="Times New Roman" w:hAnsi="Times New Roman"/>
          <w:kern w:val="2"/>
          <w:szCs w:val="21"/>
        </w:rPr>
        <w:t>以及</w:t>
      </w:r>
      <w:r>
        <w:rPr>
          <w:rFonts w:ascii="Times New Roman" w:hAnsi="Times New Roman"/>
          <w:kern w:val="2"/>
          <w:szCs w:val="21"/>
        </w:rPr>
        <w:t>协助委员会和成员国确保本法规的协调实施。MDCG应当能够建立其分小组，以便在医疗器械（包括体外诊断医疗器械）领域提供必要的</w:t>
      </w:r>
      <w:r>
        <w:rPr>
          <w:rFonts w:hint="eastAsia" w:ascii="Times New Roman" w:hAnsi="Times New Roman"/>
          <w:kern w:val="2"/>
          <w:szCs w:val="21"/>
        </w:rPr>
        <w:t>、有见地的</w:t>
      </w:r>
      <w:r>
        <w:rPr>
          <w:rFonts w:ascii="Times New Roman" w:hAnsi="Times New Roman"/>
          <w:kern w:val="2"/>
          <w:szCs w:val="21"/>
        </w:rPr>
        <w:t>专门技术知识</w:t>
      </w:r>
      <w:r>
        <w:rPr>
          <w:rFonts w:hint="eastAsia" w:ascii="Times New Roman" w:hAnsi="Times New Roman"/>
          <w:kern w:val="2"/>
          <w:szCs w:val="21"/>
        </w:rPr>
        <w:t>。</w:t>
      </w:r>
      <w:r>
        <w:rPr>
          <w:rFonts w:ascii="Times New Roman" w:hAnsi="Times New Roman"/>
          <w:kern w:val="2"/>
          <w:szCs w:val="21"/>
        </w:rPr>
        <w:t>在建立分小组时，应适当考虑在医疗器械领域中加入现有欧盟级别团体的可能性。</w:t>
      </w:r>
    </w:p>
    <w:p w14:paraId="14378834">
      <w:pPr>
        <w:snapToGrid w:val="0"/>
        <w:spacing w:beforeLines="25" w:line="300" w:lineRule="auto"/>
        <w:rPr>
          <w:rFonts w:ascii="Times New Roman" w:hAnsi="Times New Roman"/>
          <w:kern w:val="2"/>
          <w:szCs w:val="21"/>
        </w:rPr>
      </w:pPr>
      <w:r>
        <w:rPr>
          <w:rFonts w:hint="eastAsia" w:ascii="Times New Roman" w:hAnsi="Times New Roman"/>
          <w:kern w:val="2"/>
          <w:szCs w:val="21"/>
        </w:rPr>
        <w:t>________________________</w:t>
      </w:r>
    </w:p>
    <w:p w14:paraId="3340D0D2">
      <w:pPr>
        <w:pStyle w:val="53"/>
        <w:ind w:left="349" w:hanging="349" w:hangingChars="194"/>
      </w:pPr>
      <w:r>
        <w:rPr>
          <w:rFonts w:hint="eastAsia"/>
        </w:rPr>
        <w:t>（</w:t>
      </w:r>
      <w:r>
        <w:rPr>
          <w:rFonts w:hint="eastAsia"/>
          <w:vertAlign w:val="superscript"/>
        </w:rPr>
        <w:t>1</w:t>
      </w:r>
      <w:r>
        <w:rPr>
          <w:rFonts w:hint="eastAsia"/>
        </w:rPr>
        <w:t>）</w:t>
      </w:r>
      <w:r>
        <w:t>欧洲议会和理事会</w:t>
      </w:r>
      <w:r>
        <w:rPr>
          <w:rFonts w:hint="eastAsia"/>
        </w:rPr>
        <w:t>于2010年9月22日</w:t>
      </w:r>
      <w:r>
        <w:t>签发的关于用于科学目的动物保护的第2010/63/EU号指令(OJL276, 20.10.2010, p. 33)。</w:t>
      </w:r>
    </w:p>
    <w:p w14:paraId="2D9C024B">
      <w:pPr>
        <w:pStyle w:val="40"/>
        <w:spacing w:before="0"/>
        <w:ind w:left="349" w:hanging="349" w:hangingChars="194"/>
        <w:rPr>
          <w:szCs w:val="18"/>
        </w:rPr>
      </w:pPr>
      <w:r>
        <w:rPr>
          <w:rFonts w:hint="eastAsia"/>
          <w:szCs w:val="18"/>
        </w:rPr>
        <w:t>（</w:t>
      </w:r>
      <w:r>
        <w:rPr>
          <w:rFonts w:hint="eastAsia"/>
          <w:szCs w:val="18"/>
          <w:vertAlign w:val="superscript"/>
        </w:rPr>
        <w:t>2</w:t>
      </w:r>
      <w:r>
        <w:rPr>
          <w:rFonts w:hint="eastAsia"/>
          <w:szCs w:val="18"/>
        </w:rPr>
        <w:t>）欧</w:t>
      </w:r>
      <w:r>
        <w:rPr>
          <w:szCs w:val="18"/>
        </w:rPr>
        <w:t>洲议会和理事会</w:t>
      </w:r>
      <w:r>
        <w:rPr>
          <w:rFonts w:hint="eastAsia"/>
          <w:szCs w:val="18"/>
        </w:rPr>
        <w:t>于2017年4月5日签发的关于体外诊断医疗器械第2017/746号（EU）法规，废止了第98/79/EC号指令和委员会第2010/227/EU号决议（见本“官方公报”第176页）</w:t>
      </w:r>
    </w:p>
    <w:p w14:paraId="12DA7344">
      <w:pPr>
        <w:widowControl/>
        <w:topLinePunct w:val="0"/>
        <w:jc w:val="left"/>
        <w:rPr>
          <w:rFonts w:ascii="Times New Roman" w:hAnsi="Times New Roman"/>
          <w:kern w:val="18"/>
          <w:sz w:val="18"/>
          <w:szCs w:val="18"/>
          <w:lang w:bidi="zh-CN"/>
        </w:rPr>
      </w:pPr>
      <w:r>
        <w:rPr>
          <w:szCs w:val="18"/>
        </w:rPr>
        <w:br w:type="page"/>
      </w:r>
    </w:p>
    <w:p w14:paraId="2C86CA5F">
      <w:pPr>
        <w:pStyle w:val="32"/>
        <w:topLinePunct/>
        <w:snapToGrid w:val="0"/>
        <w:spacing w:beforeLines="50" w:line="300" w:lineRule="auto"/>
        <w:ind w:left="737" w:leftChars="50" w:hanging="632" w:hangingChars="301"/>
        <w:rPr>
          <w:rFonts w:ascii="Times New Roman" w:hAnsi="Times New Roman"/>
          <w:szCs w:val="21"/>
        </w:rPr>
      </w:pPr>
      <w:r>
        <w:rPr>
          <w:rFonts w:ascii="Times New Roman" w:hAnsi="Times New Roman"/>
          <w:kern w:val="2"/>
          <w:szCs w:val="21"/>
        </w:rPr>
        <w:t>（83）</w:t>
      </w:r>
      <w:r>
        <w:rPr>
          <w:rFonts w:ascii="Times New Roman" w:hAnsi="Times New Roman"/>
          <w:kern w:val="2"/>
          <w:szCs w:val="21"/>
        </w:rPr>
        <w:tab/>
      </w:r>
      <w:r>
        <w:rPr>
          <w:rFonts w:ascii="Times New Roman" w:hAnsi="Times New Roman"/>
          <w:kern w:val="2"/>
          <w:szCs w:val="21"/>
        </w:rPr>
        <w:t>应由委员会根据最新的临床、科学或技术</w:t>
      </w:r>
      <w:r>
        <w:rPr>
          <w:rFonts w:hint="eastAsia" w:ascii="Times New Roman" w:hAnsi="Times New Roman"/>
          <w:kern w:val="2"/>
          <w:szCs w:val="21"/>
        </w:rPr>
        <w:t>专业知识，</w:t>
      </w:r>
      <w:r>
        <w:rPr>
          <w:rFonts w:ascii="Times New Roman" w:hAnsi="Times New Roman"/>
          <w:kern w:val="2"/>
          <w:szCs w:val="21"/>
        </w:rPr>
        <w:t>委任专家</w:t>
      </w:r>
      <w:r>
        <w:rPr>
          <w:rFonts w:hint="eastAsia" w:ascii="Times New Roman" w:hAnsi="Times New Roman"/>
          <w:kern w:val="2"/>
          <w:szCs w:val="21"/>
        </w:rPr>
        <w:t>委员会</w:t>
      </w:r>
      <w:r>
        <w:rPr>
          <w:rFonts w:ascii="Times New Roman" w:hAnsi="Times New Roman"/>
          <w:kern w:val="2"/>
          <w:szCs w:val="21"/>
        </w:rPr>
        <w:t>和专家实验室，</w:t>
      </w:r>
      <w:r>
        <w:rPr>
          <w:rFonts w:hint="eastAsia" w:ascii="Times New Roman" w:hAnsi="Times New Roman"/>
          <w:kern w:val="2"/>
          <w:szCs w:val="21"/>
        </w:rPr>
        <w:t>以便</w:t>
      </w:r>
      <w:r>
        <w:rPr>
          <w:rFonts w:ascii="Times New Roman" w:hAnsi="Times New Roman"/>
          <w:kern w:val="2"/>
          <w:szCs w:val="21"/>
        </w:rPr>
        <w:t>向委员会、MDCG、制造商和与本法规实施有关的公告机构提供科学、技术和临床协助。此外，专家小组应履行对高风险器械的公告机构临床评估的评定报告提</w:t>
      </w:r>
      <w:r>
        <w:rPr>
          <w:rFonts w:hint="eastAsia" w:ascii="Times New Roman" w:hAnsi="Times New Roman"/>
          <w:kern w:val="2"/>
          <w:szCs w:val="21"/>
        </w:rPr>
        <w:t>出自身</w:t>
      </w:r>
      <w:r>
        <w:rPr>
          <w:rFonts w:ascii="Times New Roman" w:hAnsi="Times New Roman"/>
          <w:kern w:val="2"/>
          <w:szCs w:val="21"/>
        </w:rPr>
        <w:t>意见的义务。</w:t>
      </w:r>
    </w:p>
    <w:p w14:paraId="1F49ACFE">
      <w:pPr>
        <w:pStyle w:val="8"/>
        <w:topLinePunct/>
        <w:snapToGrid w:val="0"/>
        <w:spacing w:beforeLines="50" w:line="300" w:lineRule="auto"/>
        <w:jc w:val="both"/>
        <w:rPr>
          <w:kern w:val="2"/>
          <w:szCs w:val="21"/>
        </w:rPr>
      </w:pPr>
      <w:r>
        <w:rPr>
          <w:kern w:val="2"/>
          <w:szCs w:val="21"/>
        </w:rPr>
        <w:t>（84）</w:t>
      </w:r>
      <w:r>
        <w:rPr>
          <w:kern w:val="2"/>
          <w:szCs w:val="21"/>
        </w:rPr>
        <w:tab/>
      </w:r>
      <w:r>
        <w:rPr>
          <w:rFonts w:hint="eastAsia"/>
          <w:kern w:val="2"/>
          <w:szCs w:val="21"/>
        </w:rPr>
        <w:t>通</w:t>
      </w:r>
      <w:r>
        <w:rPr>
          <w:kern w:val="2"/>
          <w:szCs w:val="21"/>
        </w:rPr>
        <w:t>过在协调机构的指导下的信息交流和协调评估，国家主管机构之间进行的更密切的协调，对于确保内部市场，特别是在</w:t>
      </w:r>
      <w:r>
        <w:rPr>
          <w:rFonts w:hint="eastAsia"/>
          <w:kern w:val="2"/>
          <w:szCs w:val="21"/>
        </w:rPr>
        <w:t>临床</w:t>
      </w:r>
      <w:r>
        <w:rPr>
          <w:kern w:val="2"/>
          <w:szCs w:val="21"/>
        </w:rPr>
        <w:t>研究和警戒领域的统一高水平的健康和安全</w:t>
      </w:r>
      <w:r>
        <w:rPr>
          <w:rFonts w:hint="eastAsia"/>
          <w:kern w:val="2"/>
          <w:szCs w:val="21"/>
        </w:rPr>
        <w:t>保护</w:t>
      </w:r>
      <w:r>
        <w:rPr>
          <w:kern w:val="2"/>
          <w:szCs w:val="21"/>
        </w:rPr>
        <w:t>至关重要。协调交流和评估的原则也应适用于本法规中说明的其他机构活动，例如公告机构名称，并应在器械的市场监管领域中鼓励使用该原则。活动的协作、协调和沟通也应在国家层级上引领更有效地利用资源和专门知识。</w:t>
      </w:r>
    </w:p>
    <w:p w14:paraId="22DF7F3E">
      <w:pPr>
        <w:pStyle w:val="8"/>
        <w:topLinePunct/>
        <w:snapToGrid w:val="0"/>
        <w:spacing w:beforeLines="50" w:line="300" w:lineRule="auto"/>
        <w:ind w:left="826" w:hanging="713"/>
        <w:jc w:val="both"/>
        <w:rPr>
          <w:kern w:val="2"/>
          <w:szCs w:val="21"/>
        </w:rPr>
      </w:pPr>
      <w:r>
        <w:rPr>
          <w:kern w:val="2"/>
          <w:szCs w:val="21"/>
        </w:rPr>
        <w:t>（85）</w:t>
      </w:r>
      <w:r>
        <w:rPr>
          <w:kern w:val="2"/>
          <w:szCs w:val="21"/>
        </w:rPr>
        <w:tab/>
      </w:r>
      <w:r>
        <w:rPr>
          <w:kern w:val="2"/>
          <w:szCs w:val="21"/>
        </w:rPr>
        <w:t>委</w:t>
      </w:r>
      <w:r>
        <w:rPr>
          <w:rFonts w:hint="eastAsia"/>
          <w:kern w:val="2"/>
          <w:szCs w:val="21"/>
        </w:rPr>
        <w:t>员会</w:t>
      </w:r>
      <w:r>
        <w:rPr>
          <w:kern w:val="2"/>
          <w:szCs w:val="21"/>
        </w:rPr>
        <w:t>应向协调国家</w:t>
      </w:r>
      <w:r>
        <w:rPr>
          <w:rFonts w:hint="eastAsia"/>
          <w:kern w:val="2"/>
          <w:szCs w:val="21"/>
        </w:rPr>
        <w:t>主管机构</w:t>
      </w:r>
      <w:r>
        <w:rPr>
          <w:kern w:val="2"/>
          <w:szCs w:val="21"/>
        </w:rPr>
        <w:t>提供科学、技术和相应的后勤支持，并确保器械的监管制度在欧盟层级基于可靠的科学证据能够得以有效且统一地实施。</w:t>
      </w:r>
    </w:p>
    <w:p w14:paraId="43464B88">
      <w:pPr>
        <w:pStyle w:val="8"/>
        <w:topLinePunct/>
        <w:snapToGrid w:val="0"/>
        <w:spacing w:beforeLines="50" w:line="300" w:lineRule="auto"/>
        <w:ind w:left="826" w:hanging="713"/>
        <w:jc w:val="both"/>
        <w:rPr>
          <w:kern w:val="2"/>
          <w:szCs w:val="21"/>
        </w:rPr>
      </w:pPr>
      <w:r>
        <w:rPr>
          <w:kern w:val="2"/>
          <w:szCs w:val="21"/>
        </w:rPr>
        <w:t>（86）</w:t>
      </w:r>
      <w:r>
        <w:rPr>
          <w:kern w:val="2"/>
          <w:szCs w:val="21"/>
        </w:rPr>
        <w:tab/>
      </w:r>
      <w:r>
        <w:rPr>
          <w:kern w:val="2"/>
          <w:szCs w:val="21"/>
        </w:rPr>
        <w:t>欧盟及成员国应酌情积极参与</w:t>
      </w:r>
      <w:r>
        <w:rPr>
          <w:rFonts w:hint="eastAsia"/>
          <w:kern w:val="2"/>
          <w:szCs w:val="21"/>
        </w:rPr>
        <w:t>医疗</w:t>
      </w:r>
      <w:r>
        <w:rPr>
          <w:kern w:val="2"/>
          <w:szCs w:val="21"/>
        </w:rPr>
        <w:t>器械领域的国际监管合作，以促进</w:t>
      </w:r>
      <w:r>
        <w:rPr>
          <w:rFonts w:hint="eastAsia"/>
          <w:kern w:val="2"/>
          <w:szCs w:val="21"/>
        </w:rPr>
        <w:t>医疗</w:t>
      </w:r>
      <w:r>
        <w:rPr>
          <w:kern w:val="2"/>
          <w:szCs w:val="21"/>
        </w:rPr>
        <w:t>器械安全相关信息的交流，并促进国际监管准则的进一步发展，从而推动其他</w:t>
      </w:r>
      <w:r>
        <w:rPr>
          <w:rFonts w:hint="eastAsia"/>
          <w:kern w:val="2"/>
          <w:szCs w:val="21"/>
        </w:rPr>
        <w:t>法规</w:t>
      </w:r>
      <w:r>
        <w:rPr>
          <w:kern w:val="2"/>
          <w:szCs w:val="21"/>
        </w:rPr>
        <w:t>司法管辖区采用与本法规所规定卫生与安全保障水平同等的法规。</w:t>
      </w:r>
    </w:p>
    <w:p w14:paraId="36956849">
      <w:pPr>
        <w:pStyle w:val="8"/>
        <w:topLinePunct/>
        <w:snapToGrid w:val="0"/>
        <w:spacing w:beforeLines="50" w:line="300" w:lineRule="auto"/>
        <w:ind w:left="826" w:hanging="713"/>
        <w:jc w:val="both"/>
        <w:rPr>
          <w:kern w:val="2"/>
          <w:szCs w:val="21"/>
        </w:rPr>
      </w:pPr>
      <w:r>
        <w:rPr>
          <w:kern w:val="2"/>
          <w:szCs w:val="21"/>
        </w:rPr>
        <w:t>（87）</w:t>
      </w:r>
      <w:r>
        <w:rPr>
          <w:kern w:val="2"/>
          <w:szCs w:val="21"/>
        </w:rPr>
        <w:tab/>
      </w:r>
      <w:r>
        <w:rPr>
          <w:kern w:val="2"/>
          <w:szCs w:val="21"/>
        </w:rPr>
        <w:t>成员国应采取一切必要措施，确保本法规的规定得到执行，包括针对违反行为制定有效、相称和劝诫性的处罚。</w:t>
      </w:r>
    </w:p>
    <w:p w14:paraId="502839EB">
      <w:pPr>
        <w:pStyle w:val="32"/>
        <w:topLinePunct/>
        <w:snapToGrid w:val="0"/>
        <w:spacing w:beforeLines="50" w:line="300" w:lineRule="auto"/>
        <w:ind w:left="826" w:hanging="713"/>
        <w:jc w:val="both"/>
        <w:rPr>
          <w:rFonts w:ascii="Times New Roman" w:hAnsi="Times New Roman"/>
          <w:kern w:val="2"/>
          <w:szCs w:val="21"/>
        </w:rPr>
      </w:pPr>
      <w:r>
        <w:rPr>
          <w:rFonts w:ascii="Times New Roman" w:hAnsi="Times New Roman"/>
          <w:kern w:val="2"/>
          <w:szCs w:val="21"/>
        </w:rPr>
        <w:t>（88）</w:t>
      </w:r>
      <w:r>
        <w:rPr>
          <w:rFonts w:ascii="Times New Roman" w:hAnsi="Times New Roman"/>
          <w:kern w:val="2"/>
          <w:szCs w:val="21"/>
        </w:rPr>
        <w:tab/>
      </w:r>
      <w:r>
        <w:rPr>
          <w:rFonts w:hint="eastAsia" w:ascii="Times New Roman" w:hAnsi="Times New Roman"/>
          <w:kern w:val="2"/>
          <w:szCs w:val="21"/>
        </w:rPr>
        <w:t>同</w:t>
      </w:r>
      <w:r>
        <w:rPr>
          <w:kern w:val="2"/>
          <w:szCs w:val="21"/>
        </w:rPr>
        <w:t>时，本法规不得影响成员国对国家一级活动征收费用的权利，但成员国在</w:t>
      </w:r>
      <w:r>
        <w:rPr>
          <w:rFonts w:hint="eastAsia"/>
          <w:kern w:val="2"/>
          <w:szCs w:val="21"/>
        </w:rPr>
        <w:t>决定</w:t>
      </w:r>
      <w:r>
        <w:rPr>
          <w:kern w:val="2"/>
          <w:szCs w:val="21"/>
        </w:rPr>
        <w:t>相关费用级别和结构之前应通知欧盟委员会和其他成员国，以确保透明度。为</w:t>
      </w:r>
      <w:r>
        <w:rPr>
          <w:rFonts w:hint="eastAsia"/>
          <w:kern w:val="2"/>
          <w:szCs w:val="21"/>
        </w:rPr>
        <w:t>进一步</w:t>
      </w:r>
      <w:r>
        <w:rPr>
          <w:kern w:val="2"/>
          <w:szCs w:val="21"/>
        </w:rPr>
        <w:t>确保透明度，应根据要求公开费用结构和级别</w:t>
      </w:r>
      <w:r>
        <w:rPr>
          <w:rFonts w:ascii="Times New Roman" w:hAnsi="Times New Roman"/>
          <w:kern w:val="2"/>
          <w:szCs w:val="21"/>
        </w:rPr>
        <w:t>。</w:t>
      </w:r>
    </w:p>
    <w:p w14:paraId="5D9F392E">
      <w:pPr>
        <w:pStyle w:val="32"/>
        <w:topLinePunct/>
        <w:snapToGrid w:val="0"/>
        <w:spacing w:beforeLines="50" w:line="300" w:lineRule="auto"/>
        <w:ind w:left="826" w:hanging="713"/>
        <w:jc w:val="both"/>
        <w:rPr>
          <w:rFonts w:ascii="Times New Roman" w:hAnsi="Times New Roman"/>
          <w:kern w:val="2"/>
          <w:szCs w:val="21"/>
        </w:rPr>
      </w:pPr>
      <w:r>
        <w:rPr>
          <w:rFonts w:ascii="Times New Roman" w:hAnsi="Times New Roman"/>
          <w:kern w:val="2"/>
          <w:szCs w:val="21"/>
        </w:rPr>
        <w:t>（89）</w:t>
      </w:r>
      <w:r>
        <w:rPr>
          <w:rFonts w:ascii="Times New Roman" w:hAnsi="Times New Roman"/>
          <w:kern w:val="2"/>
          <w:szCs w:val="21"/>
        </w:rPr>
        <w:tab/>
      </w:r>
      <w:r>
        <w:rPr>
          <w:rFonts w:ascii="Times New Roman" w:hAnsi="Times New Roman"/>
          <w:kern w:val="2"/>
          <w:szCs w:val="21"/>
        </w:rPr>
        <w:t>本</w:t>
      </w:r>
      <w:r>
        <w:rPr>
          <w:kern w:val="2"/>
          <w:szCs w:val="21"/>
        </w:rPr>
        <w:t>法规尊重基本权利，并遵守《宪章》所认可的原则，尤其是人类尊严、人身完整性、个人资料的保护、艺术和科学自由、开展业务的自由和财产权。成员国应根据这些权利和原则应用本法规</w:t>
      </w:r>
      <w:r>
        <w:rPr>
          <w:rFonts w:ascii="Times New Roman" w:hAnsi="Times New Roman"/>
          <w:kern w:val="2"/>
          <w:szCs w:val="21"/>
        </w:rPr>
        <w:t>。</w:t>
      </w:r>
    </w:p>
    <w:p w14:paraId="1039B0CA">
      <w:pPr>
        <w:pStyle w:val="32"/>
        <w:topLinePunct/>
        <w:snapToGrid w:val="0"/>
        <w:spacing w:beforeLines="50" w:line="300" w:lineRule="auto"/>
        <w:ind w:left="840" w:leftChars="50" w:hanging="735" w:hangingChars="350"/>
        <w:jc w:val="both"/>
        <w:rPr>
          <w:rFonts w:ascii="Times New Roman" w:hAnsi="Times New Roman"/>
          <w:kern w:val="2"/>
          <w:szCs w:val="21"/>
        </w:rPr>
      </w:pPr>
      <w:r>
        <w:rPr>
          <w:rFonts w:ascii="Times New Roman" w:hAnsi="Times New Roman"/>
          <w:kern w:val="2"/>
          <w:szCs w:val="21"/>
        </w:rPr>
        <w:t>（90）</w:t>
      </w:r>
      <w:r>
        <w:rPr>
          <w:rFonts w:ascii="Times New Roman" w:hAnsi="Times New Roman"/>
          <w:kern w:val="2"/>
          <w:szCs w:val="21"/>
        </w:rPr>
        <w:tab/>
      </w:r>
      <w:r>
        <w:rPr>
          <w:rFonts w:ascii="Times New Roman" w:hAnsi="Times New Roman"/>
          <w:kern w:val="2"/>
          <w:szCs w:val="21"/>
        </w:rPr>
        <w:t>根</w:t>
      </w:r>
      <w:r>
        <w:rPr>
          <w:kern w:val="2"/>
          <w:szCs w:val="21"/>
        </w:rPr>
        <w:t>据</w:t>
      </w:r>
      <w:r>
        <w:rPr>
          <w:szCs w:val="21"/>
        </w:rPr>
        <w:t>TFEU</w:t>
      </w:r>
      <w:r>
        <w:rPr>
          <w:kern w:val="2"/>
          <w:szCs w:val="21"/>
        </w:rPr>
        <w:t>第290条</w:t>
      </w:r>
      <w:r>
        <w:rPr>
          <w:rFonts w:hint="eastAsia"/>
          <w:kern w:val="2"/>
          <w:szCs w:val="21"/>
        </w:rPr>
        <w:t>，</w:t>
      </w:r>
      <w:r>
        <w:rPr>
          <w:rFonts w:hint="eastAsia"/>
          <w:kern w:val="2"/>
          <w:szCs w:val="21"/>
          <w:lang w:val="en-US"/>
        </w:rPr>
        <w:t>应当授予</w:t>
      </w:r>
      <w:r>
        <w:rPr>
          <w:kern w:val="2"/>
          <w:szCs w:val="21"/>
          <w:lang w:val="en-US"/>
        </w:rPr>
        <w:t>委员会</w:t>
      </w:r>
      <w:r>
        <w:rPr>
          <w:rFonts w:hint="eastAsia"/>
          <w:kern w:val="2"/>
          <w:szCs w:val="21"/>
        </w:rPr>
        <w:t>批准</w:t>
      </w:r>
      <w:r>
        <w:rPr>
          <w:kern w:val="2"/>
          <w:szCs w:val="21"/>
        </w:rPr>
        <w:t>授权法案</w:t>
      </w:r>
      <w:r>
        <w:rPr>
          <w:rFonts w:hint="eastAsia"/>
          <w:kern w:val="2"/>
          <w:szCs w:val="21"/>
        </w:rPr>
        <w:t>的权限</w:t>
      </w:r>
      <w:r>
        <w:rPr>
          <w:kern w:val="2"/>
          <w:szCs w:val="21"/>
        </w:rPr>
        <w:t>，以便修订本法规的某些非必要规定。特别重要的是，委员会在其筹备工作期间，包括在专家层级上进行适当的咨询，且应根据2016年4月13日《改善的立法机构间协议》所规定的原则</w:t>
      </w:r>
      <w:r>
        <w:rPr>
          <w:rFonts w:hint="eastAsia"/>
          <w:kern w:val="2"/>
          <w:szCs w:val="21"/>
        </w:rPr>
        <w:t>（</w:t>
      </w:r>
      <w:r>
        <w:rPr>
          <w:kern w:val="2"/>
          <w:szCs w:val="21"/>
          <w:vertAlign w:val="superscript"/>
        </w:rPr>
        <w:t>1</w:t>
      </w:r>
      <w:r>
        <w:rPr>
          <w:rFonts w:hint="eastAsia"/>
          <w:kern w:val="2"/>
          <w:szCs w:val="21"/>
        </w:rPr>
        <w:t>）</w:t>
      </w:r>
      <w:r>
        <w:rPr>
          <w:kern w:val="2"/>
          <w:szCs w:val="21"/>
        </w:rPr>
        <w:t>进行这些咨询。特别是，为确保平等参与制订授权法案，欧洲议会和理事会将与成员国专家同时收到所有文件，并且其专家可系统地参加委员会专家组会议，以讨论授权法案的制订</w:t>
      </w:r>
      <w:r>
        <w:rPr>
          <w:rFonts w:ascii="Times New Roman" w:hAnsi="Times New Roman"/>
          <w:kern w:val="2"/>
          <w:szCs w:val="21"/>
        </w:rPr>
        <w:t>。</w:t>
      </w:r>
    </w:p>
    <w:p w14:paraId="3E9FE1C5">
      <w:pPr>
        <w:pStyle w:val="32"/>
        <w:topLinePunct/>
        <w:snapToGrid w:val="0"/>
        <w:spacing w:beforeLines="50" w:line="300" w:lineRule="auto"/>
        <w:ind w:left="826" w:hanging="713"/>
        <w:jc w:val="both"/>
        <w:rPr>
          <w:rFonts w:ascii="Times New Roman" w:hAnsi="Times New Roman"/>
          <w:kern w:val="2"/>
          <w:szCs w:val="21"/>
        </w:rPr>
      </w:pPr>
      <w:r>
        <w:rPr>
          <w:rFonts w:ascii="Times New Roman" w:hAnsi="Times New Roman"/>
          <w:kern w:val="2"/>
          <w:szCs w:val="21"/>
        </w:rPr>
        <w:t>（91）</w:t>
      </w:r>
      <w:r>
        <w:rPr>
          <w:rFonts w:ascii="Times New Roman" w:hAnsi="Times New Roman"/>
          <w:kern w:val="2"/>
          <w:szCs w:val="21"/>
        </w:rPr>
        <w:tab/>
      </w:r>
      <w:r>
        <w:rPr>
          <w:rFonts w:ascii="Times New Roman" w:hAnsi="Times New Roman"/>
          <w:kern w:val="2"/>
          <w:szCs w:val="21"/>
        </w:rPr>
        <w:t>为</w:t>
      </w:r>
      <w:r>
        <w:rPr>
          <w:kern w:val="2"/>
          <w:szCs w:val="21"/>
        </w:rPr>
        <w:t>确保执行本法规的条件一致，应向委员会授予执行权力。应根据欧洲议会和理事会第182/2011号法规</w:t>
      </w:r>
      <w:r>
        <w:rPr>
          <w:rFonts w:hint="eastAsia"/>
          <w:kern w:val="2"/>
          <w:szCs w:val="21"/>
        </w:rPr>
        <w:t>（</w:t>
      </w:r>
      <w:r>
        <w:rPr>
          <w:kern w:val="2"/>
          <w:szCs w:val="21"/>
          <w:vertAlign w:val="superscript"/>
        </w:rPr>
        <w:t>2</w:t>
      </w:r>
      <w:r>
        <w:rPr>
          <w:rFonts w:hint="eastAsia"/>
          <w:kern w:val="2"/>
          <w:szCs w:val="21"/>
        </w:rPr>
        <w:t>）</w:t>
      </w:r>
      <w:r>
        <w:rPr>
          <w:kern w:val="2"/>
          <w:szCs w:val="21"/>
        </w:rPr>
        <w:t>行使这些权力</w:t>
      </w:r>
      <w:r>
        <w:rPr>
          <w:rFonts w:ascii="Times New Roman" w:hAnsi="Times New Roman"/>
          <w:kern w:val="2"/>
          <w:szCs w:val="21"/>
        </w:rPr>
        <w:t>。</w:t>
      </w:r>
    </w:p>
    <w:p w14:paraId="7A957871">
      <w:pPr>
        <w:snapToGrid w:val="0"/>
        <w:spacing w:beforeLines="25" w:line="300" w:lineRule="auto"/>
        <w:rPr>
          <w:rFonts w:ascii="Times New Roman" w:hAnsi="Times New Roman"/>
          <w:kern w:val="2"/>
          <w:szCs w:val="21"/>
        </w:rPr>
      </w:pPr>
    </w:p>
    <w:p w14:paraId="0A92EDC3">
      <w:pPr>
        <w:snapToGrid w:val="0"/>
        <w:spacing w:beforeLines="25" w:line="300" w:lineRule="auto"/>
        <w:rPr>
          <w:rFonts w:ascii="Times New Roman" w:hAnsi="Times New Roman"/>
          <w:kern w:val="2"/>
          <w:szCs w:val="21"/>
        </w:rPr>
      </w:pPr>
    </w:p>
    <w:p w14:paraId="5D6E8EEB">
      <w:pPr>
        <w:snapToGrid w:val="0"/>
        <w:spacing w:beforeLines="25" w:line="300" w:lineRule="auto"/>
        <w:rPr>
          <w:rFonts w:ascii="Times New Roman" w:hAnsi="Times New Roman"/>
          <w:kern w:val="2"/>
          <w:szCs w:val="21"/>
        </w:rPr>
      </w:pPr>
      <w:r>
        <w:rPr>
          <w:rFonts w:hint="eastAsia" w:ascii="Times New Roman" w:hAnsi="Times New Roman"/>
          <w:kern w:val="2"/>
          <w:szCs w:val="21"/>
        </w:rPr>
        <w:t>___________________</w:t>
      </w:r>
    </w:p>
    <w:p w14:paraId="7EDD5992">
      <w:pPr>
        <w:pStyle w:val="53"/>
        <w:spacing w:beforeLines="25"/>
      </w:pPr>
      <w:r>
        <w:rPr>
          <w:rFonts w:hint="eastAsia"/>
        </w:rPr>
        <w:t>（</w:t>
      </w:r>
      <w:r>
        <w:rPr>
          <w:vertAlign w:val="superscript"/>
        </w:rPr>
        <w:t>1</w:t>
      </w:r>
      <w:r>
        <w:rPr>
          <w:rFonts w:hint="eastAsia"/>
        </w:rPr>
        <w:t>）</w:t>
      </w:r>
      <w:r>
        <w:rPr>
          <w:rFonts w:hint="eastAsia"/>
        </w:rPr>
        <w:tab/>
      </w:r>
      <w:r>
        <w:t>OJ L123, 12.5.2016, p. 1.</w:t>
      </w:r>
    </w:p>
    <w:p w14:paraId="47066087">
      <w:pPr>
        <w:pStyle w:val="53"/>
        <w:spacing w:beforeLines="25"/>
      </w:pPr>
      <w:r>
        <w:rPr>
          <w:rFonts w:hint="eastAsia"/>
        </w:rPr>
        <w:t>（</w:t>
      </w:r>
      <w:r>
        <w:rPr>
          <w:vertAlign w:val="superscript"/>
        </w:rPr>
        <w:t>2</w:t>
      </w:r>
      <w:r>
        <w:rPr>
          <w:rFonts w:hint="eastAsia"/>
        </w:rPr>
        <w:t>）</w:t>
      </w:r>
      <w:r>
        <w:rPr>
          <w:rFonts w:hint="eastAsia"/>
        </w:rPr>
        <w:tab/>
      </w:r>
      <w:r>
        <w:t>欧洲议会和理事会2011年2月16日签发的关于规定行使这些权力及成员国管制委员会行使其执行权力机制的规则和一般原则的第182/2011号法规(OJ L55, 28.2.2011, p.13)。</w:t>
      </w:r>
    </w:p>
    <w:p w14:paraId="1B235A8E">
      <w:pPr>
        <w:pStyle w:val="53"/>
        <w:spacing w:beforeLines="50"/>
        <w:ind w:left="683" w:hanging="682" w:hangingChars="325"/>
        <w:rPr>
          <w:b/>
          <w:sz w:val="21"/>
          <w:szCs w:val="21"/>
        </w:rPr>
      </w:pPr>
      <w:r>
        <w:rPr>
          <w:sz w:val="21"/>
          <w:szCs w:val="21"/>
          <w:lang w:val="zh-CN"/>
        </w:rPr>
        <w:t>（92）</w:t>
      </w:r>
      <w:r>
        <w:rPr>
          <w:sz w:val="21"/>
          <w:szCs w:val="21"/>
          <w:lang w:val="zh-CN"/>
        </w:rPr>
        <w:tab/>
      </w:r>
      <w:r>
        <w:rPr>
          <w:rFonts w:hint="eastAsia"/>
          <w:sz w:val="21"/>
          <w:szCs w:val="21"/>
          <w:lang w:val="zh-CN"/>
        </w:rPr>
        <w:t>实施细则应借助咨询程序，其中规定了制造商安全与性能总结的数据要素形式，并建立了表述以及自由销售证书模式的形式与表述，因为实施细则具有程序性，并且不会直接对欧盟层级的卫生与安全产生影响</w:t>
      </w:r>
      <w:r>
        <w:rPr>
          <w:sz w:val="21"/>
          <w:szCs w:val="21"/>
          <w:lang w:val="zh-CN"/>
        </w:rPr>
        <w:t>。</w:t>
      </w:r>
    </w:p>
    <w:p w14:paraId="614C8ABA">
      <w:pPr>
        <w:pStyle w:val="32"/>
        <w:topLinePunct/>
        <w:snapToGrid w:val="0"/>
        <w:spacing w:beforeLines="50" w:line="300" w:lineRule="auto"/>
        <w:ind w:left="683" w:hanging="682" w:hangingChars="325"/>
        <w:jc w:val="both"/>
        <w:rPr>
          <w:rFonts w:ascii="Times New Roman" w:hAnsi="Times New Roman"/>
          <w:kern w:val="2"/>
          <w:szCs w:val="21"/>
        </w:rPr>
      </w:pPr>
      <w:r>
        <w:rPr>
          <w:rFonts w:ascii="Times New Roman" w:hAnsi="Times New Roman"/>
          <w:kern w:val="2"/>
          <w:szCs w:val="21"/>
        </w:rPr>
        <w:t>（93）</w:t>
      </w:r>
      <w:r>
        <w:rPr>
          <w:rFonts w:ascii="Times New Roman" w:hAnsi="Times New Roman"/>
          <w:kern w:val="2"/>
          <w:szCs w:val="21"/>
        </w:rPr>
        <w:tab/>
      </w:r>
      <w:r>
        <w:rPr>
          <w:rFonts w:ascii="Times New Roman" w:hAnsi="Times New Roman"/>
          <w:kern w:val="2"/>
          <w:szCs w:val="21"/>
        </w:rPr>
        <w:t>若</w:t>
      </w:r>
      <w:r>
        <w:rPr>
          <w:kern w:val="2"/>
          <w:szCs w:val="21"/>
        </w:rPr>
        <w:t>存在紧急理由，即涉及到欧盟领土扩张，而相关国家豁免适当</w:t>
      </w:r>
      <w:r>
        <w:rPr>
          <w:rFonts w:hint="eastAsia"/>
          <w:kern w:val="2"/>
          <w:szCs w:val="21"/>
        </w:rPr>
        <w:t>符合</w:t>
      </w:r>
      <w:r>
        <w:rPr>
          <w:kern w:val="2"/>
          <w:szCs w:val="21"/>
        </w:rPr>
        <w:t>性评估</w:t>
      </w:r>
      <w:r>
        <w:rPr>
          <w:rFonts w:hint="eastAsia"/>
          <w:kern w:val="2"/>
          <w:szCs w:val="21"/>
        </w:rPr>
        <w:t>流程</w:t>
      </w:r>
      <w:r>
        <w:rPr>
          <w:kern w:val="2"/>
          <w:szCs w:val="21"/>
        </w:rPr>
        <w:t>，则委员会应采取立即适用的实施</w:t>
      </w:r>
      <w:r>
        <w:rPr>
          <w:rFonts w:hint="eastAsia"/>
          <w:kern w:val="2"/>
          <w:szCs w:val="21"/>
        </w:rPr>
        <w:t>细则</w:t>
      </w:r>
      <w:r>
        <w:rPr>
          <w:rFonts w:ascii="Times New Roman" w:hAnsi="Times New Roman"/>
          <w:kern w:val="2"/>
          <w:szCs w:val="21"/>
        </w:rPr>
        <w:t>。</w:t>
      </w:r>
    </w:p>
    <w:p w14:paraId="71F43625">
      <w:pPr>
        <w:pStyle w:val="32"/>
        <w:topLinePunct/>
        <w:snapToGrid w:val="0"/>
        <w:spacing w:beforeLines="50" w:line="300" w:lineRule="auto"/>
        <w:ind w:left="683" w:hanging="682" w:hangingChars="325"/>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94</w:t>
      </w:r>
      <w:r>
        <w:rPr>
          <w:rFonts w:hint="eastAsia" w:ascii="Times New Roman" w:hAnsi="Times New Roman"/>
          <w:kern w:val="2"/>
          <w:szCs w:val="21"/>
        </w:rPr>
        <w:t>）</w:t>
      </w:r>
      <w:r>
        <w:rPr>
          <w:rFonts w:ascii="Times New Roman" w:hAnsi="Times New Roman"/>
          <w:kern w:val="2"/>
          <w:szCs w:val="21"/>
        </w:rPr>
        <w:tab/>
      </w:r>
      <w:r>
        <w:rPr>
          <w:rFonts w:hint="eastAsia" w:ascii="Times New Roman" w:hAnsi="Times New Roman"/>
          <w:kern w:val="2"/>
          <w:szCs w:val="21"/>
        </w:rPr>
        <w:t>为使</w:t>
      </w:r>
      <w:r>
        <w:rPr>
          <w:rFonts w:hint="eastAsia" w:ascii="Times New Roman" w:hAnsi="Times New Roman"/>
          <w:kern w:val="2"/>
          <w:szCs w:val="21"/>
          <w:lang w:val="en-US"/>
        </w:rPr>
        <w:t>委员会</w:t>
      </w:r>
      <w:r>
        <w:rPr>
          <w:rFonts w:hint="eastAsia" w:ascii="Times New Roman" w:hAnsi="Times New Roman"/>
          <w:kern w:val="2"/>
          <w:szCs w:val="21"/>
        </w:rPr>
        <w:t>能任命签发</w:t>
      </w:r>
      <w:r>
        <w:rPr>
          <w:rFonts w:hint="eastAsia"/>
          <w:kern w:val="2"/>
          <w:szCs w:val="21"/>
        </w:rPr>
        <w:t>机构</w:t>
      </w:r>
      <w:r>
        <w:rPr>
          <w:rFonts w:hint="eastAsia" w:ascii="Times New Roman" w:hAnsi="Times New Roman"/>
          <w:kern w:val="2"/>
          <w:szCs w:val="21"/>
        </w:rPr>
        <w:t>、专家小组和专家实验室，应授予</w:t>
      </w:r>
      <w:r>
        <w:rPr>
          <w:rFonts w:hint="eastAsia" w:ascii="Times New Roman" w:hAnsi="Times New Roman"/>
          <w:kern w:val="2"/>
          <w:szCs w:val="21"/>
          <w:lang w:val="en-US"/>
        </w:rPr>
        <w:t>委员会</w:t>
      </w:r>
      <w:r>
        <w:rPr>
          <w:rFonts w:hint="eastAsia" w:ascii="Times New Roman" w:hAnsi="Times New Roman"/>
          <w:kern w:val="2"/>
          <w:szCs w:val="21"/>
        </w:rPr>
        <w:t>实施权限。</w:t>
      </w:r>
    </w:p>
    <w:p w14:paraId="05E843FC">
      <w:pPr>
        <w:pStyle w:val="32"/>
        <w:topLinePunct/>
        <w:snapToGrid w:val="0"/>
        <w:spacing w:beforeLines="50" w:line="300" w:lineRule="auto"/>
        <w:ind w:left="683" w:hanging="682" w:hangingChars="325"/>
        <w:jc w:val="both"/>
        <w:rPr>
          <w:rFonts w:ascii="Times New Roman" w:hAnsi="Times New Roman"/>
          <w:kern w:val="2"/>
          <w:szCs w:val="21"/>
        </w:rPr>
      </w:pPr>
      <w:r>
        <w:rPr>
          <w:rFonts w:ascii="Times New Roman" w:hAnsi="Times New Roman"/>
          <w:kern w:val="2"/>
          <w:szCs w:val="21"/>
        </w:rPr>
        <w:t>（95）</w:t>
      </w:r>
      <w:r>
        <w:rPr>
          <w:rFonts w:ascii="Times New Roman" w:hAnsi="Times New Roman"/>
          <w:kern w:val="2"/>
          <w:szCs w:val="21"/>
        </w:rPr>
        <w:tab/>
      </w:r>
      <w:r>
        <w:rPr>
          <w:rFonts w:ascii="Times New Roman" w:hAnsi="Times New Roman"/>
          <w:kern w:val="2"/>
          <w:szCs w:val="21"/>
        </w:rPr>
        <w:t>为</w:t>
      </w:r>
      <w:r>
        <w:rPr>
          <w:kern w:val="2"/>
          <w:szCs w:val="21"/>
        </w:rPr>
        <w:t>使经济运营商，特别是中小型企业、指定机构、成员国和委员会能够适应本法规引入的变化并确保其适当的应用，适当的做法是为这种适应和</w:t>
      </w:r>
      <w:r>
        <w:rPr>
          <w:rFonts w:hint="eastAsia"/>
          <w:kern w:val="2"/>
          <w:szCs w:val="21"/>
          <w:lang w:val="en-US"/>
        </w:rPr>
        <w:t>后期的</w:t>
      </w:r>
      <w:r>
        <w:rPr>
          <w:kern w:val="2"/>
          <w:szCs w:val="21"/>
        </w:rPr>
        <w:t>组织安排提供充分的过渡期。但应当尽快实施法规中直接影响成员国和委员会的</w:t>
      </w:r>
      <w:r>
        <w:rPr>
          <w:rFonts w:hint="eastAsia"/>
          <w:kern w:val="2"/>
          <w:szCs w:val="21"/>
        </w:rPr>
        <w:t>特定</w:t>
      </w:r>
      <w:r>
        <w:rPr>
          <w:kern w:val="2"/>
          <w:szCs w:val="21"/>
        </w:rPr>
        <w:t>部分。特别重要的是，在</w:t>
      </w:r>
      <w:r>
        <w:rPr>
          <w:rFonts w:hint="eastAsia"/>
          <w:kern w:val="2"/>
          <w:szCs w:val="21"/>
        </w:rPr>
        <w:t>本法规生效</w:t>
      </w:r>
      <w:r>
        <w:rPr>
          <w:kern w:val="2"/>
          <w:szCs w:val="21"/>
        </w:rPr>
        <w:t>之日，根据新的要求指定足够数量的公告机构，以避免市场上</w:t>
      </w:r>
      <w:r>
        <w:rPr>
          <w:rFonts w:hint="eastAsia"/>
          <w:kern w:val="2"/>
          <w:szCs w:val="21"/>
        </w:rPr>
        <w:t>医疗</w:t>
      </w:r>
      <w:r>
        <w:rPr>
          <w:kern w:val="2"/>
          <w:szCs w:val="21"/>
        </w:rPr>
        <w:t>器械的任何短缺。</w:t>
      </w:r>
      <w:r>
        <w:rPr>
          <w:rFonts w:hint="eastAsia"/>
          <w:kern w:val="2"/>
          <w:szCs w:val="21"/>
        </w:rPr>
        <w:t>尽管如此，在法规生效日期前，有必要根据本法规要求任命一个公告机构，但不得影响这些公告机构按照第98/79/EC号指令任命的有效性，并且不影响其按照该指令继续签发有效证书的权限，直至本法规生效</w:t>
      </w:r>
      <w:r>
        <w:rPr>
          <w:rFonts w:ascii="Times New Roman" w:hAnsi="Times New Roman"/>
          <w:kern w:val="2"/>
          <w:szCs w:val="21"/>
        </w:rPr>
        <w:t>。</w:t>
      </w:r>
    </w:p>
    <w:p w14:paraId="7AF5650D">
      <w:pPr>
        <w:pStyle w:val="32"/>
        <w:topLinePunct/>
        <w:snapToGrid w:val="0"/>
        <w:spacing w:beforeLines="50" w:line="300" w:lineRule="auto"/>
        <w:ind w:left="683" w:hanging="682" w:hangingChars="325"/>
        <w:jc w:val="both"/>
        <w:rPr>
          <w:rFonts w:ascii="Times New Roman" w:hAnsi="Times New Roman"/>
          <w:kern w:val="2"/>
          <w:szCs w:val="21"/>
        </w:rPr>
      </w:pPr>
      <w:r>
        <w:rPr>
          <w:rFonts w:ascii="Times New Roman" w:hAnsi="Times New Roman"/>
          <w:kern w:val="2"/>
          <w:szCs w:val="21"/>
        </w:rPr>
        <w:t>（96）</w:t>
      </w:r>
      <w:r>
        <w:rPr>
          <w:rFonts w:ascii="Times New Roman" w:hAnsi="Times New Roman"/>
          <w:kern w:val="2"/>
          <w:szCs w:val="21"/>
        </w:rPr>
        <w:tab/>
      </w:r>
      <w:r>
        <w:rPr>
          <w:rFonts w:ascii="Times New Roman" w:hAnsi="Times New Roman"/>
          <w:kern w:val="2"/>
          <w:szCs w:val="21"/>
        </w:rPr>
        <w:t>为</w:t>
      </w:r>
      <w:r>
        <w:rPr>
          <w:kern w:val="2"/>
          <w:szCs w:val="21"/>
        </w:rPr>
        <w:t>确保顺利过渡至器械和证书注册</w:t>
      </w:r>
      <w:r>
        <w:rPr>
          <w:rFonts w:hint="eastAsia"/>
          <w:kern w:val="2"/>
          <w:szCs w:val="21"/>
        </w:rPr>
        <w:t>的新规定</w:t>
      </w:r>
      <w:r>
        <w:rPr>
          <w:kern w:val="2"/>
          <w:szCs w:val="21"/>
        </w:rPr>
        <w:t>，</w:t>
      </w:r>
      <w:r>
        <w:rPr>
          <w:rFonts w:hint="eastAsia"/>
          <w:kern w:val="2"/>
          <w:szCs w:val="21"/>
        </w:rPr>
        <w:t>按照</w:t>
      </w:r>
      <w:r>
        <w:rPr>
          <w:kern w:val="2"/>
          <w:szCs w:val="21"/>
        </w:rPr>
        <w:t>本法规</w:t>
      </w:r>
      <w:r>
        <w:rPr>
          <w:rFonts w:hint="eastAsia"/>
          <w:kern w:val="2"/>
          <w:szCs w:val="21"/>
        </w:rPr>
        <w:t>，向在</w:t>
      </w:r>
      <w:r>
        <w:rPr>
          <w:kern w:val="2"/>
          <w:szCs w:val="21"/>
        </w:rPr>
        <w:t>欧盟层级</w:t>
      </w:r>
      <w:r>
        <w:rPr>
          <w:rFonts w:hint="eastAsia"/>
          <w:kern w:val="2"/>
          <w:szCs w:val="21"/>
        </w:rPr>
        <w:t>别设置的</w:t>
      </w:r>
      <w:r>
        <w:rPr>
          <w:kern w:val="2"/>
          <w:szCs w:val="21"/>
        </w:rPr>
        <w:t>电子系统提交相关信息的义务（若已根据计划开发了相应的IT系统）应当在本法规适用日期后的18个月内完全有效。在此过渡期内，第</w:t>
      </w:r>
      <w:r>
        <w:rPr>
          <w:kern w:val="2"/>
          <w:szCs w:val="21"/>
          <w:lang w:val="en-US"/>
        </w:rPr>
        <w:t>90/385/EEC</w:t>
      </w:r>
      <w:r>
        <w:rPr>
          <w:rFonts w:hint="eastAsia"/>
          <w:kern w:val="2"/>
          <w:szCs w:val="21"/>
          <w:lang w:val="en-US"/>
        </w:rPr>
        <w:t>和</w:t>
      </w:r>
      <w:r>
        <w:rPr>
          <w:kern w:val="2"/>
          <w:szCs w:val="21"/>
          <w:lang w:val="en-US"/>
        </w:rPr>
        <w:t>93/42/EEC</w:t>
      </w:r>
      <w:r>
        <w:rPr>
          <w:kern w:val="2"/>
          <w:szCs w:val="21"/>
        </w:rPr>
        <w:t>号指令的某些条款应继续有效。但</w:t>
      </w:r>
      <w:r>
        <w:rPr>
          <w:rFonts w:hint="eastAsia"/>
          <w:kern w:val="2"/>
          <w:szCs w:val="21"/>
        </w:rPr>
        <w:t>根据这两项法规</w:t>
      </w:r>
      <w:r>
        <w:rPr>
          <w:kern w:val="2"/>
          <w:szCs w:val="21"/>
        </w:rPr>
        <w:t>在欧盟层级</w:t>
      </w:r>
      <w:r>
        <w:rPr>
          <w:rFonts w:hint="eastAsia"/>
          <w:kern w:val="2"/>
          <w:szCs w:val="21"/>
        </w:rPr>
        <w:t>设立的</w:t>
      </w:r>
      <w:r>
        <w:rPr>
          <w:kern w:val="2"/>
          <w:szCs w:val="21"/>
        </w:rPr>
        <w:t>相关电子系统中注册的经济运营商和指定机构应视为符合成员国根据规定所采取的注册要求，以避免多次注册</w:t>
      </w:r>
      <w:r>
        <w:rPr>
          <w:rFonts w:ascii="Times New Roman" w:hAnsi="Times New Roman"/>
          <w:kern w:val="2"/>
          <w:szCs w:val="21"/>
        </w:rPr>
        <w:t>。</w:t>
      </w:r>
    </w:p>
    <w:p w14:paraId="4EFCE53C">
      <w:pPr>
        <w:pStyle w:val="8"/>
        <w:topLinePunct/>
        <w:snapToGrid w:val="0"/>
        <w:spacing w:beforeLines="50" w:line="300" w:lineRule="auto"/>
        <w:ind w:left="683" w:hanging="682" w:hangingChars="325"/>
        <w:jc w:val="both"/>
        <w:rPr>
          <w:kern w:val="2"/>
          <w:szCs w:val="21"/>
        </w:rPr>
      </w:pPr>
      <w:r>
        <w:rPr>
          <w:kern w:val="2"/>
          <w:szCs w:val="21"/>
        </w:rPr>
        <w:t>（97）</w:t>
      </w:r>
      <w:r>
        <w:rPr>
          <w:kern w:val="2"/>
          <w:szCs w:val="21"/>
        </w:rPr>
        <w:tab/>
      </w:r>
      <w:r>
        <w:rPr>
          <w:kern w:val="2"/>
          <w:szCs w:val="21"/>
        </w:rPr>
        <w:t>为使UDI系统顺利引入，将UDI载体加在器械标签上义务的</w:t>
      </w:r>
      <w:r>
        <w:rPr>
          <w:rFonts w:hint="eastAsia"/>
          <w:kern w:val="2"/>
          <w:szCs w:val="21"/>
        </w:rPr>
        <w:t>生效时机</w:t>
      </w:r>
      <w:r>
        <w:rPr>
          <w:kern w:val="2"/>
          <w:szCs w:val="21"/>
        </w:rPr>
        <w:t>还应当在本法规</w:t>
      </w:r>
      <w:r>
        <w:rPr>
          <w:rFonts w:hint="eastAsia"/>
          <w:kern w:val="2"/>
          <w:szCs w:val="21"/>
        </w:rPr>
        <w:t>生效</w:t>
      </w:r>
      <w:r>
        <w:rPr>
          <w:kern w:val="2"/>
          <w:szCs w:val="21"/>
        </w:rPr>
        <w:t>日期之后一年至五年之间完成，具体取决于相关器械的类别。</w:t>
      </w:r>
    </w:p>
    <w:p w14:paraId="47374E37">
      <w:pPr>
        <w:pStyle w:val="32"/>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（98）</w:t>
      </w:r>
      <w:r>
        <w:rPr>
          <w:rFonts w:ascii="Times New Roman" w:hAnsi="Times New Roman"/>
          <w:kern w:val="2"/>
          <w:szCs w:val="21"/>
        </w:rPr>
        <w:tab/>
      </w:r>
      <w:r>
        <w:rPr>
          <w:rFonts w:ascii="Times New Roman" w:hAnsi="Times New Roman"/>
          <w:kern w:val="2"/>
          <w:szCs w:val="21"/>
        </w:rPr>
        <w:t>应废除第90/385/EEC号和第93/42/EEC号指令，以</w:t>
      </w:r>
      <w:r>
        <w:rPr>
          <w:kern w:val="2"/>
          <w:szCs w:val="21"/>
        </w:rPr>
        <w:t>确保只有一套规则适用于医疗器械投放市场及本法规所涉及相关问题。</w:t>
      </w:r>
      <w:r>
        <w:rPr>
          <w:rFonts w:hint="eastAsia"/>
          <w:kern w:val="2"/>
          <w:szCs w:val="21"/>
        </w:rPr>
        <w:t>制造商依然有义务为其投放市场的器械提供相关文件，而制造商和成员国依然有义务按照该指令开展已投放市场器械的监管活动。虽然应当由成员国决定如何组织监管活动，但建议成员国使用与报告依照本法规投放市场之器械相同的工具来报告使用依照该指令投放市场的器械。</w:t>
      </w:r>
      <w:r>
        <w:rPr>
          <w:rFonts w:ascii="Times New Roman" w:hAnsi="Times New Roman"/>
          <w:kern w:val="2"/>
          <w:szCs w:val="21"/>
        </w:rPr>
        <w:t>此外，为确保从旧</w:t>
      </w:r>
      <w:r>
        <w:rPr>
          <w:rFonts w:hint="eastAsia" w:ascii="Times New Roman" w:hAnsi="Times New Roman"/>
          <w:kern w:val="2"/>
          <w:szCs w:val="21"/>
        </w:rPr>
        <w:t>框架</w:t>
      </w:r>
      <w:r>
        <w:rPr>
          <w:rFonts w:ascii="Times New Roman" w:hAnsi="Times New Roman"/>
          <w:kern w:val="2"/>
          <w:szCs w:val="21"/>
        </w:rPr>
        <w:t>顺利过渡到新</w:t>
      </w:r>
      <w:r>
        <w:rPr>
          <w:rFonts w:hint="eastAsia" w:ascii="Times New Roman" w:hAnsi="Times New Roman"/>
          <w:kern w:val="2"/>
          <w:szCs w:val="21"/>
        </w:rPr>
        <w:t>框架</w:t>
      </w:r>
      <w:r>
        <w:rPr>
          <w:rFonts w:ascii="Times New Roman" w:hAnsi="Times New Roman"/>
          <w:kern w:val="2"/>
          <w:szCs w:val="21"/>
        </w:rPr>
        <w:t>，恰当的做法是规定欧盟委员会第207/2012号法规</w:t>
      </w:r>
      <w:r>
        <w:rPr>
          <w:rFonts w:hint="eastAsia" w:ascii="Times New Roman" w:hAnsi="Times New Roman"/>
          <w:kern w:val="2"/>
          <w:szCs w:val="21"/>
        </w:rPr>
        <w:t>（</w:t>
      </w:r>
      <w:r>
        <w:rPr>
          <w:rFonts w:ascii="Times New Roman" w:hAnsi="Times New Roman"/>
          <w:kern w:val="2"/>
          <w:szCs w:val="21"/>
          <w:vertAlign w:val="superscript"/>
        </w:rPr>
        <w:t>1</w:t>
      </w:r>
      <w:r>
        <w:rPr>
          <w:rFonts w:hint="eastAsia" w:ascii="Times New Roman" w:hAnsi="Times New Roman"/>
          <w:kern w:val="2"/>
          <w:szCs w:val="21"/>
        </w:rPr>
        <w:t>）</w:t>
      </w:r>
      <w:r>
        <w:rPr>
          <w:rFonts w:ascii="Times New Roman" w:hAnsi="Times New Roman"/>
          <w:kern w:val="2"/>
          <w:szCs w:val="21"/>
        </w:rPr>
        <w:t>和欧盟委员会第722/2012号法规</w:t>
      </w:r>
      <w:r>
        <w:rPr>
          <w:rFonts w:hint="eastAsia" w:ascii="Times New Roman" w:hAnsi="Times New Roman"/>
          <w:kern w:val="2"/>
          <w:szCs w:val="21"/>
        </w:rPr>
        <w:t>（</w:t>
      </w:r>
      <w:r>
        <w:rPr>
          <w:rFonts w:ascii="Times New Roman" w:hAnsi="Times New Roman"/>
          <w:kern w:val="2"/>
          <w:szCs w:val="21"/>
          <w:vertAlign w:val="superscript"/>
        </w:rPr>
        <w:t>2</w:t>
      </w:r>
      <w:r>
        <w:rPr>
          <w:rFonts w:hint="eastAsia" w:ascii="Times New Roman" w:hAnsi="Times New Roman"/>
          <w:kern w:val="2"/>
          <w:szCs w:val="21"/>
        </w:rPr>
        <w:t>）</w:t>
      </w:r>
      <w:r>
        <w:rPr>
          <w:rFonts w:ascii="Times New Roman" w:hAnsi="Times New Roman"/>
          <w:kern w:val="2"/>
          <w:szCs w:val="21"/>
        </w:rPr>
        <w:t>应持续有效并继续适用，除非</w:t>
      </w:r>
      <w:r>
        <w:rPr>
          <w:rFonts w:hint="eastAsia" w:ascii="Times New Roman" w:hAnsi="Times New Roman"/>
          <w:kern w:val="2"/>
          <w:szCs w:val="21"/>
        </w:rPr>
        <w:t>并直至</w:t>
      </w:r>
      <w:r>
        <w:rPr>
          <w:rFonts w:ascii="Times New Roman" w:hAnsi="Times New Roman"/>
          <w:kern w:val="2"/>
          <w:szCs w:val="21"/>
        </w:rPr>
        <w:t>其被执行委员会根据本法规通过的实施细则废除。</w:t>
      </w:r>
    </w:p>
    <w:p w14:paraId="7E33FF5B">
      <w:pPr>
        <w:pStyle w:val="32"/>
        <w:tabs>
          <w:tab w:val="left" w:pos="682"/>
        </w:tabs>
        <w:topLinePunct/>
        <w:snapToGrid w:val="0"/>
        <w:spacing w:beforeLines="25" w:line="300" w:lineRule="auto"/>
        <w:jc w:val="both"/>
        <w:rPr>
          <w:rFonts w:ascii="Times New Roman" w:hAnsi="Times New Roman"/>
          <w:kern w:val="2"/>
          <w:szCs w:val="21"/>
        </w:rPr>
      </w:pPr>
      <w:r>
        <w:rPr>
          <w:rFonts w:hint="eastAsia" w:ascii="Times New Roman" w:hAnsi="Times New Roman"/>
          <w:kern w:val="2"/>
          <w:szCs w:val="21"/>
        </w:rPr>
        <w:t>_____________________</w:t>
      </w:r>
    </w:p>
    <w:p w14:paraId="426161E3">
      <w:pPr>
        <w:pStyle w:val="53"/>
      </w:pPr>
      <w:r>
        <w:rPr>
          <w:rFonts w:hint="eastAsia"/>
        </w:rPr>
        <w:t>（</w:t>
      </w:r>
      <w:r>
        <w:rPr>
          <w:vertAlign w:val="superscript"/>
        </w:rPr>
        <w:t>1</w:t>
      </w:r>
      <w:r>
        <w:rPr>
          <w:rFonts w:hint="eastAsia"/>
        </w:rPr>
        <w:t>）</w:t>
      </w:r>
      <w:r>
        <w:t>委员会</w:t>
      </w:r>
      <w:r>
        <w:rPr>
          <w:rFonts w:hint="eastAsia"/>
        </w:rPr>
        <w:t>于</w:t>
      </w:r>
      <w:r>
        <w:t>2012年3月9日签发的关于医疗器械使用电子机构的委员会第207/2012号法规(OJ L72, 10.3.2012, p. 28)。</w:t>
      </w:r>
    </w:p>
    <w:p w14:paraId="6C0E9502">
      <w:pPr>
        <w:pStyle w:val="53"/>
      </w:pPr>
      <w:r>
        <w:rPr>
          <w:rFonts w:hint="eastAsia"/>
        </w:rPr>
        <w:t>（</w:t>
      </w:r>
      <w:r>
        <w:rPr>
          <w:vertAlign w:val="superscript"/>
        </w:rPr>
        <w:t>2</w:t>
      </w:r>
      <w:r>
        <w:rPr>
          <w:rFonts w:hint="eastAsia"/>
        </w:rPr>
        <w:t>）</w:t>
      </w:r>
      <w:r>
        <w:rPr>
          <w:rFonts w:hint="eastAsia"/>
        </w:rPr>
        <w:tab/>
      </w:r>
      <w:r>
        <w:t>委员会</w:t>
      </w:r>
      <w:r>
        <w:rPr>
          <w:rFonts w:hint="eastAsia"/>
        </w:rPr>
        <w:t>于</w:t>
      </w:r>
      <w:r>
        <w:t>2012年8月8日签发的关于</w:t>
      </w:r>
      <w:r>
        <w:rPr>
          <w:rFonts w:hint="eastAsia"/>
        </w:rPr>
        <w:t>在</w:t>
      </w:r>
      <w:r>
        <w:t>委员会关于有源植入式医疗器械和医疗器械第90/385/EEC和93/42/EEC指令规定要求特殊要求的委员会第722/2012号</w:t>
      </w:r>
      <w:r>
        <w:rPr>
          <w:rFonts w:hint="eastAsia"/>
        </w:rPr>
        <w:t>法规</w:t>
      </w:r>
      <w:r>
        <w:t>。</w:t>
      </w:r>
    </w:p>
    <w:p w14:paraId="063CB5BC">
      <w:pPr>
        <w:widowControl/>
        <w:topLinePunct w:val="0"/>
        <w:jc w:val="left"/>
        <w:rPr>
          <w:rFonts w:ascii="Times New Roman" w:hAnsi="Times New Roman"/>
          <w:kern w:val="2"/>
          <w:sz w:val="18"/>
          <w:szCs w:val="18"/>
        </w:rPr>
      </w:pPr>
      <w:r>
        <w:br w:type="page"/>
      </w:r>
    </w:p>
    <w:p w14:paraId="1A6AC15D">
      <w:pPr>
        <w:pStyle w:val="53"/>
      </w:pPr>
    </w:p>
    <w:p w14:paraId="5F142E00">
      <w:pPr>
        <w:pStyle w:val="32"/>
        <w:tabs>
          <w:tab w:val="left" w:pos="682"/>
        </w:tabs>
        <w:topLinePunct/>
        <w:snapToGrid w:val="0"/>
        <w:spacing w:beforeLines="5" w:line="264" w:lineRule="auto"/>
        <w:ind w:left="727" w:leftChars="346" w:firstLine="12" w:firstLineChars="6"/>
        <w:jc w:val="both"/>
        <w:rPr>
          <w:rFonts w:ascii="Times New Roman" w:hAnsi="Times New Roman"/>
          <w:kern w:val="2"/>
          <w:szCs w:val="21"/>
        </w:rPr>
      </w:pPr>
      <w:r>
        <w:rPr>
          <w:rFonts w:hint="eastAsia" w:ascii="Times New Roman" w:hAnsi="Times New Roman"/>
          <w:kern w:val="2"/>
          <w:szCs w:val="21"/>
        </w:rPr>
        <w:t>在</w:t>
      </w:r>
      <w:r>
        <w:rPr>
          <w:rFonts w:ascii="Times New Roman" w:hAnsi="Times New Roman"/>
          <w:kern w:val="2"/>
          <w:szCs w:val="21"/>
        </w:rPr>
        <w:t>欧洲医疗器械数据库完全启用日</w:t>
      </w:r>
      <w:r>
        <w:rPr>
          <w:rFonts w:hint="eastAsia" w:ascii="Times New Roman" w:hAnsi="Times New Roman"/>
          <w:kern w:val="2"/>
          <w:szCs w:val="21"/>
        </w:rPr>
        <w:t>之前，</w:t>
      </w:r>
      <w:r>
        <w:rPr>
          <w:rFonts w:ascii="Times New Roman" w:hAnsi="Times New Roman"/>
          <w:kern w:val="2"/>
          <w:szCs w:val="21"/>
        </w:rPr>
        <w:t>在实施这些指令和第98/79/EC号指令时所通过的第2010/227/EU号决议应继续有效并继续适用。相反，委员会第2003/12/EC</w:t>
      </w:r>
      <w:r>
        <w:rPr>
          <w:rFonts w:hint="eastAsia" w:ascii="Times New Roman" w:hAnsi="Times New Roman"/>
          <w:kern w:val="2"/>
          <w:szCs w:val="21"/>
        </w:rPr>
        <w:t>（</w:t>
      </w:r>
      <w:r>
        <w:rPr>
          <w:rFonts w:ascii="Times New Roman" w:hAnsi="Times New Roman"/>
          <w:kern w:val="2"/>
          <w:szCs w:val="21"/>
          <w:vertAlign w:val="superscript"/>
        </w:rPr>
        <w:t>1</w:t>
      </w:r>
      <w:r>
        <w:rPr>
          <w:rFonts w:hint="eastAsia" w:ascii="Times New Roman" w:hAnsi="Times New Roman"/>
          <w:kern w:val="2"/>
          <w:szCs w:val="21"/>
        </w:rPr>
        <w:t>）和</w:t>
      </w:r>
      <w:r>
        <w:rPr>
          <w:rFonts w:ascii="Times New Roman" w:hAnsi="Times New Roman"/>
          <w:kern w:val="2"/>
          <w:szCs w:val="21"/>
        </w:rPr>
        <w:t>2005/50/EC号指令</w:t>
      </w:r>
      <w:r>
        <w:rPr>
          <w:rFonts w:hint="eastAsia" w:ascii="Times New Roman" w:hAnsi="Times New Roman"/>
          <w:kern w:val="2"/>
          <w:szCs w:val="21"/>
        </w:rPr>
        <w:t>（</w:t>
      </w:r>
      <w:r>
        <w:rPr>
          <w:rFonts w:ascii="Times New Roman" w:hAnsi="Times New Roman"/>
          <w:kern w:val="2"/>
          <w:szCs w:val="21"/>
          <w:vertAlign w:val="superscript"/>
        </w:rPr>
        <w:t>2</w:t>
      </w:r>
      <w:r>
        <w:rPr>
          <w:rFonts w:hint="eastAsia" w:ascii="Times New Roman" w:hAnsi="Times New Roman"/>
          <w:kern w:val="2"/>
          <w:szCs w:val="21"/>
        </w:rPr>
        <w:t>）</w:t>
      </w:r>
      <w:r>
        <w:rPr>
          <w:rFonts w:ascii="Times New Roman" w:hAnsi="Times New Roman"/>
          <w:kern w:val="2"/>
          <w:szCs w:val="21"/>
        </w:rPr>
        <w:t>和委员会第920/2013号实施法规</w:t>
      </w:r>
      <w:r>
        <w:rPr>
          <w:rFonts w:hint="eastAsia" w:ascii="Times New Roman" w:hAnsi="Times New Roman"/>
          <w:kern w:val="2"/>
          <w:szCs w:val="21"/>
        </w:rPr>
        <w:t>（</w:t>
      </w:r>
      <w:r>
        <w:rPr>
          <w:rFonts w:ascii="Times New Roman" w:hAnsi="Times New Roman"/>
          <w:kern w:val="2"/>
          <w:szCs w:val="21"/>
          <w:vertAlign w:val="superscript"/>
        </w:rPr>
        <w:t>3</w:t>
      </w:r>
      <w:r>
        <w:rPr>
          <w:rFonts w:hint="eastAsia" w:ascii="Times New Roman" w:hAnsi="Times New Roman"/>
          <w:kern w:val="2"/>
          <w:szCs w:val="21"/>
        </w:rPr>
        <w:t>）</w:t>
      </w:r>
      <w:r>
        <w:rPr>
          <w:rFonts w:ascii="Times New Roman" w:hAnsi="Times New Roman"/>
          <w:kern w:val="2"/>
          <w:szCs w:val="21"/>
        </w:rPr>
        <w:t>无需维持</w:t>
      </w:r>
      <w:r>
        <w:rPr>
          <w:rFonts w:hint="eastAsia" w:ascii="Times New Roman" w:hAnsi="Times New Roman"/>
          <w:kern w:val="2"/>
          <w:szCs w:val="21"/>
        </w:rPr>
        <w:t>效力</w:t>
      </w:r>
      <w:r>
        <w:rPr>
          <w:rFonts w:ascii="Times New Roman" w:hAnsi="Times New Roman"/>
          <w:kern w:val="2"/>
          <w:szCs w:val="21"/>
        </w:rPr>
        <w:t>。</w:t>
      </w:r>
    </w:p>
    <w:p w14:paraId="3093DBC9">
      <w:pPr>
        <w:pStyle w:val="32"/>
        <w:tabs>
          <w:tab w:val="left" w:pos="770"/>
        </w:tabs>
        <w:topLinePunct/>
        <w:snapToGrid w:val="0"/>
        <w:spacing w:beforeLines="5" w:line="264" w:lineRule="auto"/>
        <w:ind w:left="770" w:hanging="770"/>
        <w:rPr>
          <w:rFonts w:ascii="Times New Roman" w:hAnsi="Times New Roman"/>
          <w:kern w:val="2"/>
          <w:szCs w:val="21"/>
        </w:rPr>
      </w:pPr>
      <w:r>
        <w:rPr>
          <w:rFonts w:ascii="Times New Roman" w:hAnsi="Times New Roman"/>
          <w:kern w:val="2"/>
          <w:szCs w:val="21"/>
        </w:rPr>
        <w:t>（99）</w:t>
      </w:r>
      <w:r>
        <w:rPr>
          <w:rFonts w:ascii="Times New Roman" w:hAnsi="Times New Roman"/>
          <w:kern w:val="2"/>
          <w:szCs w:val="21"/>
        </w:rPr>
        <w:tab/>
      </w:r>
      <w:r>
        <w:rPr>
          <w:rFonts w:ascii="Times New Roman" w:hAnsi="Times New Roman"/>
          <w:kern w:val="2"/>
          <w:szCs w:val="21"/>
        </w:rPr>
        <w:t>本</w:t>
      </w:r>
      <w:r>
        <w:rPr>
          <w:rFonts w:hint="eastAsia"/>
          <w:kern w:val="2"/>
          <w:szCs w:val="21"/>
        </w:rPr>
        <w:t>法规的要求应适用于自本法规生效之日起投放市场或投入使用的所有器械。但为提供平稳过渡，应能够允许器械自该日期起的有限期限内，根据第</w:t>
      </w:r>
      <w:r>
        <w:rPr>
          <w:kern w:val="2"/>
          <w:szCs w:val="21"/>
          <w:lang w:val="en-US"/>
        </w:rPr>
        <w:t>90/385/EEC</w:t>
      </w:r>
      <w:r>
        <w:rPr>
          <w:rFonts w:hint="eastAsia"/>
          <w:kern w:val="2"/>
          <w:szCs w:val="21"/>
          <w:lang w:val="en-US"/>
        </w:rPr>
        <w:t>或</w:t>
      </w:r>
      <w:r>
        <w:rPr>
          <w:kern w:val="2"/>
          <w:szCs w:val="21"/>
          <w:lang w:val="en-US"/>
        </w:rPr>
        <w:t>93/42/EEC</w:t>
      </w:r>
      <w:r>
        <w:rPr>
          <w:rFonts w:hint="eastAsia"/>
          <w:kern w:val="2"/>
          <w:szCs w:val="21"/>
        </w:rPr>
        <w:t>号指令颁发的有效证书投放市场或投入使用</w:t>
      </w:r>
      <w:r>
        <w:rPr>
          <w:rFonts w:ascii="Times New Roman" w:hAnsi="Times New Roman"/>
          <w:kern w:val="2"/>
          <w:szCs w:val="21"/>
        </w:rPr>
        <w:t>。</w:t>
      </w:r>
    </w:p>
    <w:p w14:paraId="0C107BFE">
      <w:pPr>
        <w:pStyle w:val="8"/>
        <w:tabs>
          <w:tab w:val="left" w:pos="770"/>
        </w:tabs>
        <w:topLinePunct/>
        <w:snapToGrid w:val="0"/>
        <w:spacing w:beforeLines="5" w:line="264" w:lineRule="auto"/>
        <w:ind w:left="770" w:hanging="770"/>
        <w:rPr>
          <w:kern w:val="21"/>
          <w:szCs w:val="21"/>
        </w:rPr>
      </w:pPr>
      <w:r>
        <w:rPr>
          <w:kern w:val="2"/>
          <w:szCs w:val="21"/>
        </w:rPr>
        <w:t>(100)</w:t>
      </w:r>
      <w:r>
        <w:rPr>
          <w:kern w:val="2"/>
          <w:szCs w:val="21"/>
        </w:rPr>
        <w:tab/>
      </w:r>
      <w:r>
        <w:rPr>
          <w:kern w:val="2"/>
          <w:szCs w:val="21"/>
        </w:rPr>
        <w:t>欧洲数据保护主管根据欧洲委员会第45/2001号法规第28（2）条发表了意见</w:t>
      </w:r>
      <w:r>
        <w:rPr>
          <w:rFonts w:hint="eastAsia"/>
          <w:kern w:val="2"/>
          <w:szCs w:val="21"/>
        </w:rPr>
        <w:t>（</w:t>
      </w:r>
      <w:r>
        <w:rPr>
          <w:kern w:val="2"/>
          <w:szCs w:val="21"/>
          <w:vertAlign w:val="superscript"/>
        </w:rPr>
        <w:t>4</w:t>
      </w:r>
      <w:r>
        <w:rPr>
          <w:rFonts w:hint="eastAsia"/>
          <w:kern w:val="2"/>
          <w:szCs w:val="21"/>
        </w:rPr>
        <w:t>）</w:t>
      </w:r>
      <w:r>
        <w:rPr>
          <w:kern w:val="2"/>
          <w:szCs w:val="21"/>
        </w:rPr>
        <w:t>。</w:t>
      </w:r>
    </w:p>
    <w:p w14:paraId="2725B500">
      <w:pPr>
        <w:pStyle w:val="32"/>
        <w:tabs>
          <w:tab w:val="left" w:pos="770"/>
        </w:tabs>
        <w:topLinePunct/>
        <w:snapToGrid w:val="0"/>
        <w:spacing w:beforeLines="5" w:line="264" w:lineRule="auto"/>
        <w:ind w:left="783" w:hanging="783" w:hangingChars="373"/>
        <w:jc w:val="both"/>
        <w:rPr>
          <w:rFonts w:ascii="Times New Roman" w:hAnsi="Times New Roman"/>
          <w:kern w:val="2"/>
          <w:szCs w:val="21"/>
        </w:rPr>
      </w:pPr>
      <w:r>
        <w:rPr>
          <w:rFonts w:ascii="Times New Roman" w:hAnsi="Times New Roman"/>
          <w:kern w:val="2"/>
          <w:szCs w:val="21"/>
        </w:rPr>
        <w:t>（101）</w:t>
      </w:r>
      <w:r>
        <w:rPr>
          <w:rFonts w:ascii="Times New Roman" w:hAnsi="Times New Roman"/>
          <w:kern w:val="2"/>
          <w:szCs w:val="21"/>
        </w:rPr>
        <w:tab/>
      </w:r>
      <w:r>
        <w:rPr>
          <w:rFonts w:hint="eastAsia" w:ascii="Times New Roman" w:hAnsi="Times New Roman"/>
          <w:kern w:val="2"/>
          <w:szCs w:val="21"/>
        </w:rPr>
        <w:t>出</w:t>
      </w:r>
      <w:r>
        <w:rPr>
          <w:rFonts w:hint="eastAsia"/>
          <w:kern w:val="2"/>
          <w:szCs w:val="21"/>
        </w:rPr>
        <w:t>于</w:t>
      </w:r>
      <w:r>
        <w:rPr>
          <w:kern w:val="2"/>
          <w:szCs w:val="21"/>
        </w:rPr>
        <w:t>本法规的目标，即确保</w:t>
      </w:r>
      <w:r>
        <w:rPr>
          <w:rFonts w:hint="eastAsia"/>
          <w:kern w:val="2"/>
          <w:szCs w:val="21"/>
        </w:rPr>
        <w:t>医疗器械境内市场的顺利运转并确保</w:t>
      </w:r>
      <w:r>
        <w:rPr>
          <w:kern w:val="2"/>
          <w:szCs w:val="21"/>
        </w:rPr>
        <w:t>医疗器械的高质量和安全性，因此若患者、使用者及其他人员的卫生与安全得到高水平的保护，无法由成员国充分实现，且由于规模</w:t>
      </w:r>
      <w:r>
        <w:rPr>
          <w:rFonts w:hint="eastAsia"/>
          <w:kern w:val="2"/>
          <w:szCs w:val="21"/>
        </w:rPr>
        <w:t>和效果</w:t>
      </w:r>
      <w:r>
        <w:rPr>
          <w:kern w:val="2"/>
          <w:szCs w:val="21"/>
        </w:rPr>
        <w:t>，可更好地在欧盟层级中实现时，欧盟可根据《欧盟条约》第5条规定的辅助性原则采取措施。按照该条款中规定的比例原则，本法规将不会超过实现该目标所需范围</w:t>
      </w:r>
      <w:r>
        <w:rPr>
          <w:rFonts w:ascii="Times New Roman" w:hAnsi="Times New Roman"/>
          <w:kern w:val="2"/>
          <w:szCs w:val="21"/>
        </w:rPr>
        <w:t>。</w:t>
      </w:r>
    </w:p>
    <w:p w14:paraId="4CAE7A84">
      <w:pPr>
        <w:snapToGrid w:val="0"/>
        <w:spacing w:beforeLines="5" w:line="264" w:lineRule="auto"/>
        <w:ind w:left="108"/>
        <w:rPr>
          <w:rFonts w:ascii="Times New Roman" w:hAnsi="Times New Roman"/>
          <w:kern w:val="2"/>
          <w:szCs w:val="21"/>
        </w:rPr>
      </w:pPr>
    </w:p>
    <w:p w14:paraId="0B65AFDE">
      <w:pPr>
        <w:snapToGrid w:val="0"/>
        <w:spacing w:beforeLines="5" w:line="264" w:lineRule="auto"/>
        <w:ind w:left="108"/>
        <w:rPr>
          <w:rFonts w:ascii="Times New Roman" w:hAnsi="Times New Roman"/>
          <w:kern w:val="2"/>
          <w:szCs w:val="21"/>
        </w:rPr>
      </w:pPr>
      <w:r>
        <w:rPr>
          <w:rFonts w:ascii="Times New Roman" w:hAnsi="Times New Roman"/>
          <w:kern w:val="2"/>
          <w:szCs w:val="21"/>
        </w:rPr>
        <w:t>已经通过本法规：</w:t>
      </w:r>
    </w:p>
    <w:p w14:paraId="21BE7B09">
      <w:pPr>
        <w:pStyle w:val="2"/>
        <w:spacing w:beforeLines="5" w:line="264" w:lineRule="auto"/>
        <w:rPr>
          <w:sz w:val="24"/>
          <w:szCs w:val="24"/>
        </w:rPr>
      </w:pPr>
      <w:bookmarkStart w:id="4" w:name="_bookmark29"/>
      <w:bookmarkEnd w:id="4"/>
      <w:bookmarkStart w:id="5" w:name="_Toc477512392"/>
      <w:r>
        <w:rPr>
          <w:sz w:val="24"/>
          <w:szCs w:val="24"/>
        </w:rPr>
        <w:t>第I章</w:t>
      </w:r>
    </w:p>
    <w:p w14:paraId="35B23CDF">
      <w:pPr>
        <w:snapToGrid w:val="0"/>
        <w:spacing w:beforeLines="5" w:line="264" w:lineRule="auto"/>
        <w:jc w:val="center"/>
        <w:rPr>
          <w:rFonts w:ascii="Times New Roman" w:hAnsi="Times New Roman"/>
          <w:b/>
          <w:bCs/>
          <w:kern w:val="2"/>
          <w:sz w:val="24"/>
          <w:szCs w:val="24"/>
        </w:rPr>
      </w:pPr>
      <w:r>
        <w:rPr>
          <w:rFonts w:hAnsi="Times New Roman"/>
          <w:sz w:val="24"/>
          <w:szCs w:val="24"/>
        </w:rPr>
        <w:t>范围及定义</w:t>
      </w:r>
      <w:bookmarkEnd w:id="5"/>
    </w:p>
    <w:p w14:paraId="755657B8">
      <w:pPr>
        <w:snapToGrid w:val="0"/>
        <w:spacing w:beforeLines="5" w:line="264" w:lineRule="auto"/>
        <w:jc w:val="center"/>
        <w:rPr>
          <w:rFonts w:ascii="Times New Roman" w:hAnsi="Times New Roman"/>
          <w:i/>
          <w:kern w:val="2"/>
          <w:szCs w:val="21"/>
        </w:rPr>
      </w:pPr>
    </w:p>
    <w:p w14:paraId="4115CCFB">
      <w:pPr>
        <w:snapToGrid w:val="0"/>
        <w:spacing w:beforeLines="5" w:line="264" w:lineRule="auto"/>
        <w:jc w:val="center"/>
        <w:rPr>
          <w:rFonts w:ascii="Times New Roman" w:hAnsi="Times New Roman"/>
          <w:i/>
          <w:kern w:val="2"/>
          <w:szCs w:val="21"/>
        </w:rPr>
      </w:pPr>
      <w:r>
        <w:rPr>
          <w:rFonts w:ascii="Times New Roman" w:hAnsi="Times New Roman"/>
          <w:i/>
          <w:kern w:val="2"/>
          <w:szCs w:val="21"/>
        </w:rPr>
        <w:t>第1条</w:t>
      </w:r>
    </w:p>
    <w:p w14:paraId="1EC70D6F">
      <w:pPr>
        <w:snapToGrid w:val="0"/>
        <w:spacing w:beforeLines="5" w:line="264" w:lineRule="auto"/>
        <w:jc w:val="center"/>
        <w:rPr>
          <w:rFonts w:ascii="Times New Roman" w:hAnsi="Times New Roman"/>
          <w:b/>
          <w:kern w:val="2"/>
          <w:szCs w:val="21"/>
        </w:rPr>
      </w:pPr>
      <w:r>
        <w:rPr>
          <w:rFonts w:hint="eastAsia" w:ascii="Times New Roman" w:hAnsi="Times New Roman"/>
          <w:b/>
          <w:kern w:val="2"/>
          <w:szCs w:val="21"/>
        </w:rPr>
        <w:t>主题与</w:t>
      </w:r>
      <w:r>
        <w:rPr>
          <w:rFonts w:ascii="Times New Roman" w:hAnsi="Times New Roman"/>
          <w:b/>
          <w:kern w:val="2"/>
          <w:szCs w:val="21"/>
        </w:rPr>
        <w:t>范围</w:t>
      </w:r>
    </w:p>
    <w:p w14:paraId="2F8AA968">
      <w:pPr>
        <w:pStyle w:val="32"/>
        <w:numPr>
          <w:ilvl w:val="0"/>
          <w:numId w:val="3"/>
        </w:numPr>
        <w:tabs>
          <w:tab w:val="left" w:pos="682"/>
        </w:tabs>
        <w:topLinePunct/>
        <w:snapToGrid w:val="0"/>
        <w:spacing w:beforeLines="5" w:line="264" w:lineRule="auto"/>
        <w:ind w:hanging="567"/>
        <w:jc w:val="both"/>
        <w:rPr>
          <w:rFonts w:ascii="Times New Roman" w:hAnsi="Times New Roman"/>
          <w:kern w:val="2"/>
          <w:szCs w:val="21"/>
        </w:rPr>
      </w:pPr>
      <w:r>
        <w:rPr>
          <w:rFonts w:ascii="Times New Roman" w:hAnsi="Times New Roman"/>
          <w:kern w:val="2"/>
          <w:szCs w:val="21"/>
        </w:rPr>
        <w:t>本法规规定了有关欧盟境内供人类使用的医疗器械</w:t>
      </w:r>
      <w:r>
        <w:rPr>
          <w:rFonts w:hint="eastAsia" w:ascii="Times New Roman" w:hAnsi="Times New Roman"/>
          <w:kern w:val="2"/>
          <w:szCs w:val="21"/>
        </w:rPr>
        <w:t>极其</w:t>
      </w:r>
      <w:r>
        <w:rPr>
          <w:rFonts w:ascii="Times New Roman" w:hAnsi="Times New Roman"/>
          <w:kern w:val="2"/>
          <w:szCs w:val="21"/>
        </w:rPr>
        <w:t>附件的市场投放、市场提供或投入使用方面的规则。本法规也适用于在欧盟进行的有关该医疗器械及其附件临床研究。</w:t>
      </w:r>
    </w:p>
    <w:p w14:paraId="2380C2A1">
      <w:pPr>
        <w:pStyle w:val="8"/>
        <w:topLinePunct/>
        <w:snapToGrid w:val="0"/>
        <w:spacing w:beforeLines="5" w:line="264" w:lineRule="auto"/>
        <w:ind w:left="630" w:leftChars="50" w:hanging="525" w:hangingChars="250"/>
        <w:jc w:val="both"/>
        <w:rPr>
          <w:kern w:val="2"/>
          <w:szCs w:val="21"/>
        </w:rPr>
      </w:pPr>
      <w:r>
        <w:rPr>
          <w:kern w:val="2"/>
          <w:szCs w:val="21"/>
        </w:rPr>
        <w:t>2.</w:t>
      </w:r>
      <w:r>
        <w:rPr>
          <w:kern w:val="2"/>
          <w:szCs w:val="21"/>
        </w:rPr>
        <w:tab/>
      </w:r>
      <w:r>
        <w:rPr>
          <w:kern w:val="2"/>
          <w:szCs w:val="21"/>
        </w:rPr>
        <w:t>本法规还应适用于自根据第9条通过的通用规范适用之日起，附录XVI所列并无预期医疗目的产品组，并考虑到基于类似技术的目前最高水平，特别是适用于具有医疗目的类似器械的现有协调标准。该附录XVI中所列产品组的通用规范应至少解决适用于如该产品组附录I中所列风险管理应用，及必要时，针对安全性的临床评价。</w:t>
      </w:r>
    </w:p>
    <w:p w14:paraId="188ABD9A">
      <w:pPr>
        <w:pStyle w:val="8"/>
        <w:topLinePunct/>
        <w:snapToGrid w:val="0"/>
        <w:spacing w:beforeLines="5" w:line="264" w:lineRule="auto"/>
        <w:ind w:left="715" w:firstLine="0"/>
        <w:jc w:val="both"/>
        <w:rPr>
          <w:kern w:val="2"/>
          <w:szCs w:val="21"/>
        </w:rPr>
      </w:pPr>
      <w:r>
        <w:rPr>
          <w:kern w:val="2"/>
          <w:szCs w:val="21"/>
        </w:rPr>
        <w:t>应在</w:t>
      </w:r>
      <w:r>
        <w:rPr>
          <w:rFonts w:hint="eastAsia"/>
          <w:kern w:val="2"/>
          <w:szCs w:val="21"/>
        </w:rPr>
        <w:t>2020年5月26日</w:t>
      </w:r>
      <w:r>
        <w:rPr>
          <w:kern w:val="2"/>
          <w:szCs w:val="21"/>
        </w:rPr>
        <w:t>通过强制性的通用技术规范。此类规范应自其生效日的六个月后或</w:t>
      </w:r>
      <w:r>
        <w:rPr>
          <w:rFonts w:hint="eastAsia"/>
          <w:kern w:val="2"/>
          <w:szCs w:val="21"/>
        </w:rPr>
        <w:t>自2020年5月26日</w:t>
      </w:r>
      <w:r>
        <w:rPr>
          <w:kern w:val="2"/>
          <w:szCs w:val="21"/>
        </w:rPr>
        <w:t>起适用，以最迟发布者为准。</w:t>
      </w:r>
    </w:p>
    <w:p w14:paraId="42C8EF90">
      <w:pPr>
        <w:pStyle w:val="8"/>
        <w:topLinePunct/>
        <w:snapToGrid w:val="0"/>
        <w:spacing w:beforeLines="5" w:line="264" w:lineRule="auto"/>
        <w:ind w:left="715" w:firstLine="0"/>
        <w:jc w:val="both"/>
        <w:rPr>
          <w:kern w:val="2"/>
          <w:szCs w:val="21"/>
        </w:rPr>
      </w:pPr>
      <w:r>
        <w:rPr>
          <w:kern w:val="2"/>
          <w:szCs w:val="21"/>
        </w:rPr>
        <w:t>尽管存在第122条规定，根据第93/42/EEC号指令为附录XVI所涵盖的医疗器械的产品符合相关成员国措施仍应继续有效，直至第一子段所要求的该产品组的相关通用规范适用日为止。</w:t>
      </w:r>
    </w:p>
    <w:p w14:paraId="7743CC21">
      <w:pPr>
        <w:pStyle w:val="8"/>
        <w:topLinePunct/>
        <w:snapToGrid w:val="0"/>
        <w:spacing w:beforeLines="5" w:line="264" w:lineRule="auto"/>
        <w:ind w:left="715" w:firstLine="0"/>
        <w:jc w:val="both"/>
        <w:rPr>
          <w:kern w:val="2"/>
          <w:szCs w:val="21"/>
        </w:rPr>
      </w:pPr>
      <w:r>
        <w:rPr>
          <w:kern w:val="2"/>
          <w:szCs w:val="21"/>
        </w:rPr>
        <w:t>本规范也适用在欧盟进行的有关第一子段所述产品的临床研究。</w:t>
      </w:r>
    </w:p>
    <w:p w14:paraId="49469DEB">
      <w:pPr>
        <w:pStyle w:val="8"/>
        <w:topLinePunct/>
        <w:snapToGrid w:val="0"/>
        <w:spacing w:beforeLines="5" w:line="264" w:lineRule="auto"/>
        <w:ind w:hanging="568"/>
        <w:jc w:val="both"/>
        <w:rPr>
          <w:kern w:val="2"/>
          <w:szCs w:val="21"/>
        </w:rPr>
      </w:pPr>
      <w:r>
        <w:rPr>
          <w:kern w:val="2"/>
          <w:szCs w:val="21"/>
        </w:rPr>
        <w:t>3.</w:t>
      </w:r>
      <w:r>
        <w:rPr>
          <w:kern w:val="2"/>
          <w:szCs w:val="21"/>
        </w:rPr>
        <w:tab/>
      </w:r>
      <w:r>
        <w:rPr>
          <w:kern w:val="2"/>
          <w:szCs w:val="21"/>
        </w:rPr>
        <w:t>具有医疗和非医疗预期目的器械应逐渐的满足适用于具有预期医疗目的器械要求和适用于无预期医疗目的器械的那些要求。</w:t>
      </w:r>
    </w:p>
    <w:p w14:paraId="7F5D71C4">
      <w:pPr>
        <w:snapToGrid w:val="0"/>
        <w:spacing w:beforeLines="25" w:line="300" w:lineRule="auto"/>
        <w:rPr>
          <w:rFonts w:ascii="Times New Roman" w:hAnsi="Times New Roman"/>
          <w:kern w:val="2"/>
          <w:szCs w:val="21"/>
        </w:rPr>
      </w:pPr>
    </w:p>
    <w:p w14:paraId="55EC5C92">
      <w:pPr>
        <w:snapToGrid w:val="0"/>
        <w:spacing w:beforeLines="25" w:line="300" w:lineRule="auto"/>
        <w:rPr>
          <w:rFonts w:ascii="Times New Roman" w:hAnsi="Times New Roman"/>
          <w:kern w:val="2"/>
          <w:szCs w:val="21"/>
        </w:rPr>
      </w:pPr>
      <w:r>
        <w:rPr>
          <w:rFonts w:hint="eastAsia" w:ascii="Times New Roman" w:hAnsi="Times New Roman"/>
          <w:kern w:val="2"/>
          <w:szCs w:val="21"/>
        </w:rPr>
        <w:t>______________________</w:t>
      </w:r>
    </w:p>
    <w:p w14:paraId="670319E8">
      <w:pPr>
        <w:pStyle w:val="53"/>
        <w:spacing w:line="252" w:lineRule="auto"/>
      </w:pPr>
      <w:r>
        <w:rPr>
          <w:rFonts w:hint="eastAsia"/>
        </w:rPr>
        <w:t>（</w:t>
      </w:r>
      <w:r>
        <w:rPr>
          <w:vertAlign w:val="superscript"/>
        </w:rPr>
        <w:t>1</w:t>
      </w:r>
      <w:r>
        <w:rPr>
          <w:rFonts w:hint="eastAsia"/>
        </w:rPr>
        <w:t>）</w:t>
      </w:r>
      <w:r>
        <w:rPr>
          <w:rFonts w:hint="eastAsia"/>
        </w:rPr>
        <w:tab/>
      </w:r>
      <w:r>
        <w:t>2003年2月3日委员会签发的关于医疗器械第93/42/EEC号指令范围内乳房植入物的再分类的委员会第2003/12/EC号指令(OJ L28, 4.2.2003, p. 43)。</w:t>
      </w:r>
    </w:p>
    <w:p w14:paraId="410A25B3">
      <w:pPr>
        <w:pStyle w:val="53"/>
        <w:spacing w:line="252" w:lineRule="auto"/>
        <w:rPr>
          <w:b/>
        </w:rPr>
      </w:pPr>
      <w:r>
        <w:rPr>
          <w:rFonts w:hint="eastAsia"/>
        </w:rPr>
        <w:t>（</w:t>
      </w:r>
      <w:r>
        <w:rPr>
          <w:vertAlign w:val="superscript"/>
        </w:rPr>
        <w:t>2</w:t>
      </w:r>
      <w:r>
        <w:rPr>
          <w:rFonts w:hint="eastAsia"/>
        </w:rPr>
        <w:t>）</w:t>
      </w:r>
      <w:r>
        <w:rPr>
          <w:rFonts w:hint="eastAsia"/>
        </w:rPr>
        <w:tab/>
      </w:r>
      <w:r>
        <w:t>2005年8月11日委员会签发的关于医疗器械第93/42/EEC号指令范围内髋、膝盖和肩膀关节替换的委员会第2005/50/EC号指令（OJ L210, 12.8.2005, p. 41）。</w:t>
      </w:r>
    </w:p>
    <w:p w14:paraId="0A3383EA">
      <w:pPr>
        <w:pStyle w:val="53"/>
        <w:spacing w:line="252" w:lineRule="auto"/>
      </w:pPr>
      <w:r>
        <w:rPr>
          <w:rFonts w:hint="eastAsia"/>
        </w:rPr>
        <w:t>（</w:t>
      </w:r>
      <w:r>
        <w:rPr>
          <w:rFonts w:hint="eastAsia"/>
          <w:vertAlign w:val="superscript"/>
        </w:rPr>
        <w:t>３</w:t>
      </w:r>
      <w:r>
        <w:rPr>
          <w:rFonts w:hint="eastAsia"/>
        </w:rPr>
        <w:t>）</w:t>
      </w:r>
      <w:r>
        <w:t>2013</w:t>
      </w:r>
      <w:r>
        <w:rPr>
          <w:rFonts w:hint="eastAsia"/>
        </w:rPr>
        <w:t>年</w:t>
      </w:r>
      <w:r>
        <w:t>9</w:t>
      </w:r>
      <w:r>
        <w:rPr>
          <w:rFonts w:hint="eastAsia"/>
        </w:rPr>
        <w:t>月</w:t>
      </w:r>
      <w:r>
        <w:t>24</w:t>
      </w:r>
      <w:r>
        <w:rPr>
          <w:rFonts w:hint="eastAsia"/>
        </w:rPr>
        <w:t>日委员会签发的</w:t>
      </w:r>
      <w:r>
        <w:t>关于根据关于有效可植入医疗器械委员会第90/385/EEC号指令和关于医疗器械第93/42/EEC号指令指定和监督公告机构的</w:t>
      </w:r>
      <w:r>
        <w:rPr>
          <w:rFonts w:hint="eastAsia"/>
        </w:rPr>
        <w:t>委员会第</w:t>
      </w:r>
      <w:r>
        <w:t>920/2013号</w:t>
      </w:r>
      <w:r>
        <w:rPr>
          <w:rFonts w:hint="eastAsia"/>
        </w:rPr>
        <w:t>实施条例</w:t>
      </w:r>
      <w:r>
        <w:t>(OJ L253, 25.9.2013, p. 8).</w:t>
      </w:r>
      <w:r>
        <w:rPr>
          <w:rFonts w:hint="eastAsia"/>
        </w:rPr>
        <w:t>。</w:t>
      </w:r>
    </w:p>
    <w:p w14:paraId="6B499F0D">
      <w:pPr>
        <w:pStyle w:val="53"/>
        <w:spacing w:line="252" w:lineRule="auto"/>
      </w:pPr>
      <w:r>
        <w:rPr>
          <w:rFonts w:hint="eastAsia"/>
        </w:rPr>
        <w:t>（</w:t>
      </w:r>
      <w:r>
        <w:rPr>
          <w:rFonts w:hint="eastAsia"/>
          <w:vertAlign w:val="superscript"/>
        </w:rPr>
        <w:t>４</w:t>
      </w:r>
      <w:r>
        <w:rPr>
          <w:rFonts w:hint="eastAsia"/>
        </w:rPr>
        <w:t>）</w:t>
      </w:r>
      <w:r>
        <w:t>OJ C358, 7.12.2013, p. 10.</w:t>
      </w:r>
    </w:p>
    <w:p w14:paraId="5FBF9C3E">
      <w:pPr>
        <w:pStyle w:val="8"/>
        <w:tabs>
          <w:tab w:val="left" w:pos="681"/>
        </w:tabs>
        <w:topLinePunct/>
        <w:snapToGrid w:val="0"/>
        <w:spacing w:before="0" w:line="276" w:lineRule="auto"/>
        <w:jc w:val="both"/>
        <w:rPr>
          <w:kern w:val="2"/>
          <w:szCs w:val="21"/>
        </w:rPr>
      </w:pPr>
      <w:r>
        <w:rPr>
          <w:kern w:val="2"/>
          <w:szCs w:val="21"/>
        </w:rPr>
        <w:br w:type="page"/>
      </w:r>
      <w:r>
        <w:rPr>
          <w:kern w:val="2"/>
          <w:szCs w:val="21"/>
        </w:rPr>
        <w:t>4.</w:t>
      </w:r>
      <w:r>
        <w:rPr>
          <w:kern w:val="2"/>
          <w:szCs w:val="21"/>
        </w:rPr>
        <w:tab/>
      </w:r>
      <w:r>
        <w:rPr>
          <w:kern w:val="2"/>
          <w:szCs w:val="21"/>
        </w:rPr>
        <w:t>就本法规而言，根据第2段，本法规适用的附录XVI所列医疗器械、医疗器械附录及医疗产品均在下文中简称为</w:t>
      </w:r>
      <w:r>
        <w:rPr>
          <w:rFonts w:hint="eastAsia"/>
          <w:kern w:val="2"/>
          <w:szCs w:val="21"/>
        </w:rPr>
        <w:t>“</w:t>
      </w:r>
      <w:r>
        <w:rPr>
          <w:kern w:val="2"/>
          <w:szCs w:val="21"/>
        </w:rPr>
        <w:t>器械</w:t>
      </w:r>
      <w:r>
        <w:rPr>
          <w:rFonts w:hint="eastAsia"/>
          <w:kern w:val="2"/>
          <w:szCs w:val="21"/>
        </w:rPr>
        <w:t>”</w:t>
      </w:r>
      <w:r>
        <w:rPr>
          <w:kern w:val="2"/>
          <w:szCs w:val="21"/>
        </w:rPr>
        <w:t>。</w:t>
      </w:r>
    </w:p>
    <w:p w14:paraId="6A9CD1AE">
      <w:pPr>
        <w:pStyle w:val="32"/>
        <w:tabs>
          <w:tab w:val="left" w:pos="681"/>
        </w:tabs>
        <w:topLinePunct/>
        <w:snapToGrid w:val="0"/>
        <w:spacing w:line="276" w:lineRule="auto"/>
        <w:ind w:left="686" w:leftChars="50" w:hanging="581" w:hangingChars="277"/>
        <w:jc w:val="both"/>
        <w:rPr>
          <w:rFonts w:ascii="Times New Roman" w:hAnsi="Times New Roman"/>
          <w:kern w:val="2"/>
          <w:szCs w:val="21"/>
        </w:rPr>
      </w:pPr>
      <w:r>
        <w:rPr>
          <w:rFonts w:ascii="Times New Roman" w:hAnsi="Times New Roman"/>
          <w:kern w:val="2"/>
          <w:szCs w:val="21"/>
        </w:rPr>
        <w:t>5.</w:t>
      </w:r>
      <w:r>
        <w:rPr>
          <w:rFonts w:ascii="Times New Roman" w:hAnsi="Times New Roman"/>
          <w:kern w:val="2"/>
          <w:szCs w:val="21"/>
        </w:rPr>
        <w:tab/>
      </w:r>
      <w:r>
        <w:rPr>
          <w:rFonts w:ascii="Times New Roman" w:hAnsi="Times New Roman"/>
          <w:kern w:val="2"/>
          <w:szCs w:val="21"/>
        </w:rPr>
        <w:t>如从其特性和风险方面来看，考虑到投放市场的具有医疗目的器械与不具医疗目的产品之间的相似性具有正当理由，则委员会应有权根据第115条借助增加新产品组以通过授权法案从而修订附录XVI中的清单，以便保护使用者或其他人员的健康和安全或所涉及公共卫生的其他方面。</w:t>
      </w:r>
    </w:p>
    <w:p w14:paraId="1D5B7E95">
      <w:pPr>
        <w:pStyle w:val="32"/>
        <w:tabs>
          <w:tab w:val="left" w:pos="681"/>
        </w:tabs>
        <w:topLinePunct/>
        <w:snapToGrid w:val="0"/>
        <w:spacing w:line="276" w:lineRule="auto"/>
        <w:ind w:left="686" w:leftChars="50" w:hanging="581" w:hangingChars="277"/>
        <w:jc w:val="both"/>
        <w:rPr>
          <w:rFonts w:ascii="Times New Roman" w:hAnsi="Times New Roman"/>
          <w:kern w:val="2"/>
          <w:szCs w:val="21"/>
        </w:rPr>
      </w:pPr>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本法规不适用于：</w:t>
      </w:r>
    </w:p>
    <w:p w14:paraId="5D668891">
      <w:pPr>
        <w:pStyle w:val="8"/>
        <w:topLinePunct/>
        <w:snapToGrid w:val="0"/>
        <w:spacing w:before="0" w:line="276" w:lineRule="auto"/>
        <w:ind w:left="1247"/>
        <w:jc w:val="both"/>
        <w:rPr>
          <w:kern w:val="2"/>
          <w:szCs w:val="21"/>
        </w:rPr>
      </w:pPr>
      <w:r>
        <w:rPr>
          <w:rFonts w:hint="eastAsia"/>
          <w:kern w:val="2"/>
          <w:szCs w:val="21"/>
        </w:rPr>
        <w:t>（a）</w:t>
      </w:r>
      <w:r>
        <w:rPr>
          <w:kern w:val="2"/>
          <w:szCs w:val="21"/>
        </w:rPr>
        <w:t>欧盟第2017/</w:t>
      </w:r>
      <w:r>
        <w:rPr>
          <w:rFonts w:hint="eastAsia"/>
          <w:kern w:val="2"/>
          <w:szCs w:val="21"/>
        </w:rPr>
        <w:t>746</w:t>
      </w:r>
      <w:r>
        <w:rPr>
          <w:kern w:val="2"/>
          <w:szCs w:val="21"/>
        </w:rPr>
        <w:t>号法规所涵盖的体外诊断医疗器械；</w:t>
      </w:r>
    </w:p>
    <w:p w14:paraId="777CF087">
      <w:pPr>
        <w:pStyle w:val="8"/>
        <w:topLinePunct/>
        <w:snapToGrid w:val="0"/>
        <w:spacing w:before="0" w:line="276" w:lineRule="auto"/>
        <w:ind w:left="1247"/>
        <w:jc w:val="both"/>
        <w:rPr>
          <w:kern w:val="2"/>
          <w:szCs w:val="21"/>
        </w:rPr>
      </w:pPr>
      <w:r>
        <w:rPr>
          <w:rFonts w:hint="eastAsia"/>
          <w:kern w:val="2"/>
          <w:szCs w:val="21"/>
        </w:rPr>
        <w:t>（b）</w:t>
      </w:r>
      <w:r>
        <w:rPr>
          <w:kern w:val="2"/>
          <w:szCs w:val="21"/>
        </w:rPr>
        <w:t>如第2001/83/EC号指令第1条第2点中所定义的医疗产品。在确定产品是否属于第2001/83/EC号指令或本法规的范围时，应特别考虑产品的主要作用模式。</w:t>
      </w:r>
    </w:p>
    <w:p w14:paraId="0119F7AB">
      <w:pPr>
        <w:pStyle w:val="8"/>
        <w:topLinePunct/>
        <w:snapToGrid w:val="0"/>
        <w:spacing w:before="0" w:line="276" w:lineRule="auto"/>
        <w:ind w:left="1247"/>
        <w:jc w:val="both"/>
        <w:rPr>
          <w:kern w:val="2"/>
          <w:szCs w:val="21"/>
        </w:rPr>
      </w:pPr>
      <w:r>
        <w:rPr>
          <w:kern w:val="2"/>
          <w:szCs w:val="21"/>
        </w:rPr>
        <w:t>（c）</w:t>
      </w:r>
      <w:r>
        <w:rPr>
          <w:kern w:val="2"/>
          <w:szCs w:val="21"/>
        </w:rPr>
        <w:tab/>
      </w:r>
      <w:r>
        <w:rPr>
          <w:kern w:val="2"/>
          <w:szCs w:val="21"/>
        </w:rPr>
        <w:t>欧洲委员会第1394/2007号法规所涵盖的前沿疗法医药产品；</w:t>
      </w:r>
    </w:p>
    <w:p w14:paraId="7C8FA847">
      <w:pPr>
        <w:pStyle w:val="8"/>
        <w:topLinePunct/>
        <w:snapToGrid w:val="0"/>
        <w:spacing w:before="0" w:line="276" w:lineRule="auto"/>
        <w:ind w:left="1247"/>
        <w:jc w:val="both"/>
        <w:rPr>
          <w:kern w:val="2"/>
          <w:szCs w:val="21"/>
        </w:rPr>
      </w:pPr>
      <w:r>
        <w:rPr>
          <w:kern w:val="2"/>
          <w:szCs w:val="21"/>
        </w:rPr>
        <w:t>（d）</w:t>
      </w:r>
      <w:r>
        <w:rPr>
          <w:kern w:val="2"/>
          <w:szCs w:val="21"/>
        </w:rPr>
        <w:tab/>
      </w:r>
      <w:r>
        <w:rPr>
          <w:kern w:val="2"/>
          <w:szCs w:val="21"/>
        </w:rPr>
        <w:t>人类血液或血液制品、人源的血浆或血细胞，或者在投放市场或投入使用时，包含此类血液制品、血浆或细胞的器械，但本条第8段所述的器械除外；</w:t>
      </w:r>
    </w:p>
    <w:p w14:paraId="5CA5A69D">
      <w:pPr>
        <w:pStyle w:val="8"/>
        <w:topLinePunct/>
        <w:snapToGrid w:val="0"/>
        <w:spacing w:before="0" w:line="276" w:lineRule="auto"/>
        <w:ind w:left="1247"/>
        <w:jc w:val="both"/>
        <w:rPr>
          <w:kern w:val="2"/>
          <w:szCs w:val="21"/>
        </w:rPr>
      </w:pPr>
      <w:r>
        <w:rPr>
          <w:kern w:val="2"/>
          <w:szCs w:val="21"/>
        </w:rPr>
        <w:t>（e）</w:t>
      </w:r>
      <w:r>
        <w:rPr>
          <w:kern w:val="2"/>
          <w:szCs w:val="21"/>
        </w:rPr>
        <w:tab/>
      </w:r>
      <w:r>
        <w:rPr>
          <w:kern w:val="2"/>
          <w:szCs w:val="21"/>
        </w:rPr>
        <w:t>欧洲委员会第1223/2009号法规所涵盖的美容产品；</w:t>
      </w:r>
    </w:p>
    <w:p w14:paraId="068597FC">
      <w:pPr>
        <w:pStyle w:val="8"/>
        <w:topLinePunct/>
        <w:snapToGrid w:val="0"/>
        <w:spacing w:before="0" w:line="276" w:lineRule="auto"/>
        <w:ind w:left="1247"/>
        <w:jc w:val="both"/>
        <w:rPr>
          <w:kern w:val="2"/>
          <w:szCs w:val="21"/>
        </w:rPr>
      </w:pPr>
      <w:r>
        <w:rPr>
          <w:kern w:val="2"/>
          <w:szCs w:val="21"/>
        </w:rPr>
        <w:t>（f）</w:t>
      </w:r>
      <w:r>
        <w:rPr>
          <w:kern w:val="2"/>
          <w:szCs w:val="21"/>
        </w:rPr>
        <w:tab/>
      </w:r>
      <w:r>
        <w:rPr>
          <w:kern w:val="2"/>
          <w:szCs w:val="21"/>
        </w:rPr>
        <w:t>动物源的移植器官、组织或细胞或其衍生产品，或含有或由其组成的产品；但本法规适用</w:t>
      </w:r>
      <w:r>
        <w:rPr>
          <w:rFonts w:hint="eastAsia"/>
          <w:kern w:val="2"/>
          <w:szCs w:val="21"/>
        </w:rPr>
        <w:t>于</w:t>
      </w:r>
      <w:r>
        <w:rPr>
          <w:kern w:val="2"/>
          <w:szCs w:val="21"/>
        </w:rPr>
        <w:t>使用非活性</w:t>
      </w:r>
      <w:r>
        <w:rPr>
          <w:rFonts w:hint="eastAsia"/>
          <w:kern w:val="2"/>
          <w:szCs w:val="21"/>
        </w:rPr>
        <w:t>或</w:t>
      </w:r>
      <w:r>
        <w:rPr>
          <w:kern w:val="2"/>
          <w:szCs w:val="21"/>
        </w:rPr>
        <w:t>活性动物来源的组织或细胞或其衍生产品制造而成的器械。</w:t>
      </w:r>
    </w:p>
    <w:p w14:paraId="1ED0A969">
      <w:pPr>
        <w:pStyle w:val="8"/>
        <w:topLinePunct/>
        <w:snapToGrid w:val="0"/>
        <w:spacing w:before="0" w:line="276" w:lineRule="auto"/>
        <w:ind w:left="1247"/>
        <w:jc w:val="both"/>
        <w:rPr>
          <w:kern w:val="2"/>
          <w:szCs w:val="21"/>
        </w:rPr>
      </w:pPr>
      <w:r>
        <w:rPr>
          <w:kern w:val="2"/>
          <w:szCs w:val="21"/>
        </w:rPr>
        <w:t>（g）</w:t>
      </w:r>
      <w:r>
        <w:rPr>
          <w:kern w:val="2"/>
          <w:szCs w:val="21"/>
        </w:rPr>
        <w:tab/>
      </w:r>
      <w:r>
        <w:rPr>
          <w:kern w:val="2"/>
          <w:szCs w:val="21"/>
        </w:rPr>
        <w:t>第2004/23/EC号指令所涵盖的人源移植器官、组织或细胞或其衍生产品，或含有或由其组成的产品；但器械适用</w:t>
      </w:r>
      <w:r>
        <w:rPr>
          <w:rFonts w:hint="eastAsia"/>
          <w:kern w:val="2"/>
          <w:szCs w:val="21"/>
        </w:rPr>
        <w:t>于</w:t>
      </w:r>
      <w:r>
        <w:rPr>
          <w:kern w:val="2"/>
          <w:szCs w:val="21"/>
        </w:rPr>
        <w:t>使用活性或非活性人源组织或细胞的衍生产品制造而成的器械；</w:t>
      </w:r>
    </w:p>
    <w:p w14:paraId="2C882611">
      <w:pPr>
        <w:pStyle w:val="8"/>
        <w:topLinePunct/>
        <w:snapToGrid w:val="0"/>
        <w:spacing w:before="0" w:line="276" w:lineRule="auto"/>
        <w:ind w:left="1247"/>
        <w:jc w:val="both"/>
        <w:rPr>
          <w:kern w:val="2"/>
          <w:szCs w:val="21"/>
        </w:rPr>
      </w:pPr>
      <w:r>
        <w:rPr>
          <w:kern w:val="2"/>
          <w:szCs w:val="21"/>
        </w:rPr>
        <w:t>（h）</w:t>
      </w:r>
      <w:r>
        <w:rPr>
          <w:rFonts w:hint="eastAsia"/>
          <w:kern w:val="2"/>
          <w:szCs w:val="21"/>
        </w:rPr>
        <w:t>除了</w:t>
      </w:r>
      <w:r>
        <w:rPr>
          <w:kern w:val="2"/>
          <w:szCs w:val="21"/>
        </w:rPr>
        <w:t>（d）、（f）和（g）点中述及的那些含有或包括活性生物物质或活菌体（包括活体微生物、细菌、真菌或病毒）以实现或支持产品预期用途的产品；</w:t>
      </w:r>
    </w:p>
    <w:p w14:paraId="5848A98D">
      <w:pPr>
        <w:pStyle w:val="8"/>
        <w:topLinePunct/>
        <w:snapToGrid w:val="0"/>
        <w:spacing w:before="0" w:line="276" w:lineRule="auto"/>
        <w:ind w:left="1247"/>
        <w:jc w:val="both"/>
        <w:rPr>
          <w:kern w:val="2"/>
          <w:szCs w:val="21"/>
        </w:rPr>
      </w:pPr>
      <w:r>
        <w:rPr>
          <w:kern w:val="2"/>
          <w:szCs w:val="21"/>
        </w:rPr>
        <w:t>（i）第178/2002号</w:t>
      </w:r>
      <w:r>
        <w:rPr>
          <w:rFonts w:hint="eastAsia"/>
          <w:kern w:val="2"/>
          <w:szCs w:val="21"/>
        </w:rPr>
        <w:t>（EU）</w:t>
      </w:r>
      <w:r>
        <w:rPr>
          <w:kern w:val="2"/>
          <w:szCs w:val="21"/>
        </w:rPr>
        <w:t>法规所涵盖的食品。</w:t>
      </w:r>
    </w:p>
    <w:p w14:paraId="1963601F">
      <w:pPr>
        <w:pStyle w:val="32"/>
        <w:tabs>
          <w:tab w:val="left" w:pos="682"/>
        </w:tabs>
        <w:topLinePunct/>
        <w:snapToGrid w:val="0"/>
        <w:spacing w:line="276" w:lineRule="auto"/>
        <w:ind w:left="697" w:leftChars="50" w:hanging="592" w:hangingChars="282"/>
        <w:jc w:val="both"/>
        <w:rPr>
          <w:rFonts w:ascii="Times New Roman" w:hAnsi="Times New Roman"/>
          <w:kern w:val="2"/>
          <w:szCs w:val="21"/>
        </w:rPr>
      </w:pPr>
      <w:r>
        <w:rPr>
          <w:rFonts w:ascii="Times New Roman" w:hAnsi="Times New Roman"/>
          <w:kern w:val="2"/>
          <w:szCs w:val="21"/>
        </w:rPr>
        <w:t>7.</w:t>
      </w:r>
      <w:r>
        <w:rPr>
          <w:rFonts w:ascii="Times New Roman" w:hAnsi="Times New Roman"/>
          <w:kern w:val="2"/>
          <w:szCs w:val="21"/>
        </w:rPr>
        <w:tab/>
      </w:r>
      <w:r>
        <w:rPr>
          <w:rFonts w:ascii="Times New Roman" w:hAnsi="Times New Roman"/>
          <w:kern w:val="2"/>
          <w:szCs w:val="21"/>
        </w:rPr>
        <w:t>在投放市场或投入使用时，作为欧盟第2017/</w:t>
      </w:r>
      <w:r>
        <w:rPr>
          <w:rFonts w:hint="eastAsia" w:ascii="Times New Roman" w:hAnsi="Times New Roman"/>
          <w:kern w:val="2"/>
          <w:szCs w:val="21"/>
        </w:rPr>
        <w:t>746</w:t>
      </w:r>
      <w:r>
        <w:rPr>
          <w:rFonts w:ascii="Times New Roman" w:hAnsi="Times New Roman"/>
          <w:kern w:val="2"/>
          <w:szCs w:val="21"/>
        </w:rPr>
        <w:t>号法规第2条第2点所界定的体外诊断医疗器械的一个整体部分任何器械，应受第2017/</w:t>
      </w:r>
      <w:r>
        <w:rPr>
          <w:rFonts w:hint="eastAsia" w:ascii="Times New Roman" w:hAnsi="Times New Roman"/>
          <w:kern w:val="2"/>
          <w:szCs w:val="21"/>
        </w:rPr>
        <w:t>746</w:t>
      </w:r>
      <w:r>
        <w:rPr>
          <w:rFonts w:ascii="Times New Roman" w:hAnsi="Times New Roman"/>
          <w:kern w:val="2"/>
          <w:szCs w:val="21"/>
        </w:rPr>
        <w:t>号法规管制。本法规的要求应适用于体外诊断医疗器械部件。</w:t>
      </w:r>
    </w:p>
    <w:p w14:paraId="1DEE20AD">
      <w:pPr>
        <w:pStyle w:val="32"/>
        <w:tabs>
          <w:tab w:val="left" w:pos="682"/>
        </w:tabs>
        <w:topLinePunct/>
        <w:snapToGrid w:val="0"/>
        <w:spacing w:line="276" w:lineRule="auto"/>
        <w:ind w:left="697" w:leftChars="50" w:hanging="592" w:hangingChars="282"/>
        <w:jc w:val="both"/>
        <w:rPr>
          <w:rFonts w:ascii="Times New Roman" w:hAnsi="Times New Roman"/>
          <w:kern w:val="2"/>
          <w:szCs w:val="21"/>
        </w:rPr>
      </w:pPr>
      <w:r>
        <w:rPr>
          <w:rFonts w:ascii="Times New Roman" w:hAnsi="Times New Roman"/>
          <w:kern w:val="2"/>
          <w:szCs w:val="21"/>
        </w:rPr>
        <w:t>8.</w:t>
      </w:r>
      <w:r>
        <w:rPr>
          <w:rFonts w:ascii="Times New Roman" w:hAnsi="Times New Roman"/>
          <w:kern w:val="2"/>
          <w:szCs w:val="21"/>
        </w:rPr>
        <w:tab/>
      </w:r>
      <w:r>
        <w:rPr>
          <w:rFonts w:ascii="Times New Roman" w:hAnsi="Times New Roman"/>
          <w:kern w:val="2"/>
          <w:szCs w:val="21"/>
        </w:rPr>
        <w:t>若器械在投放市场或投入使用时，包含某一种必不可少的物质，而该物质若单独使用将被视为第2001/83/EC号指令第1条第2点所界定的医药产品，其中包括该指令第1条第10点所定义的人体血液或血浆来源的药物制品，并且具有辅助器械的作用，该器械应根据本法规进行评估和授权。</w:t>
      </w:r>
    </w:p>
    <w:p w14:paraId="3F322375">
      <w:pPr>
        <w:pStyle w:val="8"/>
        <w:topLinePunct/>
        <w:snapToGrid w:val="0"/>
        <w:spacing w:before="0" w:line="276" w:lineRule="auto"/>
        <w:ind w:firstLine="0"/>
        <w:jc w:val="both"/>
        <w:rPr>
          <w:kern w:val="2"/>
          <w:szCs w:val="21"/>
        </w:rPr>
      </w:pPr>
      <w:r>
        <w:rPr>
          <w:kern w:val="2"/>
          <w:szCs w:val="21"/>
        </w:rPr>
        <w:t>但是，若</w:t>
      </w:r>
      <w:r>
        <w:rPr>
          <w:rFonts w:hint="eastAsia"/>
          <w:kern w:val="2"/>
          <w:szCs w:val="21"/>
        </w:rPr>
        <w:t>该物质</w:t>
      </w:r>
      <w:r>
        <w:rPr>
          <w:kern w:val="2"/>
          <w:szCs w:val="21"/>
        </w:rPr>
        <w:t>的作用是主要作用，而不是辅助该器械的作用，则</w:t>
      </w:r>
      <w:r>
        <w:rPr>
          <w:rFonts w:hint="eastAsia"/>
          <w:kern w:val="2"/>
          <w:szCs w:val="21"/>
        </w:rPr>
        <w:t>综合</w:t>
      </w:r>
      <w:r>
        <w:rPr>
          <w:kern w:val="2"/>
          <w:szCs w:val="21"/>
        </w:rPr>
        <w:t>产品应由适用的欧洲议会和理事会第2001/83/EC号指令或第726/2004号法规</w:t>
      </w:r>
      <w:r>
        <w:rPr>
          <w:rFonts w:hint="eastAsia"/>
          <w:kern w:val="2"/>
          <w:szCs w:val="21"/>
        </w:rPr>
        <w:t>（</w:t>
      </w:r>
      <w:r>
        <w:rPr>
          <w:kern w:val="2"/>
          <w:szCs w:val="21"/>
          <w:vertAlign w:val="superscript"/>
        </w:rPr>
        <w:t>1</w:t>
      </w:r>
      <w:r>
        <w:rPr>
          <w:rFonts w:hint="eastAsia"/>
          <w:kern w:val="2"/>
          <w:szCs w:val="21"/>
        </w:rPr>
        <w:t>）</w:t>
      </w:r>
      <w:r>
        <w:rPr>
          <w:kern w:val="2"/>
          <w:szCs w:val="21"/>
        </w:rPr>
        <w:t>管制。在这种情况下，本法规附录I中规定的相关通用安全与性能要求应适用于器械部件的安全与性能。</w:t>
      </w:r>
    </w:p>
    <w:p w14:paraId="3C6171D3">
      <w:pPr>
        <w:pStyle w:val="32"/>
        <w:tabs>
          <w:tab w:val="left" w:pos="682"/>
        </w:tabs>
        <w:topLinePunct/>
        <w:snapToGrid w:val="0"/>
        <w:spacing w:line="276" w:lineRule="auto"/>
        <w:ind w:left="655" w:leftChars="50" w:hanging="550" w:hangingChars="262"/>
        <w:jc w:val="both"/>
        <w:rPr>
          <w:rFonts w:ascii="Times New Roman" w:hAnsi="Times New Roman"/>
          <w:kern w:val="2"/>
          <w:szCs w:val="21"/>
        </w:rPr>
      </w:pPr>
      <w:r>
        <w:rPr>
          <w:rFonts w:ascii="Times New Roman" w:hAnsi="Times New Roman"/>
          <w:kern w:val="2"/>
          <w:szCs w:val="21"/>
        </w:rPr>
        <w:t>9.</w:t>
      </w:r>
      <w:r>
        <w:rPr>
          <w:rFonts w:ascii="Times New Roman" w:hAnsi="Times New Roman"/>
          <w:kern w:val="2"/>
          <w:szCs w:val="21"/>
        </w:rPr>
        <w:tab/>
      </w:r>
      <w:r>
        <w:rPr>
          <w:rFonts w:ascii="Times New Roman" w:hAnsi="Times New Roman"/>
          <w:kern w:val="2"/>
          <w:szCs w:val="21"/>
        </w:rPr>
        <w:t>若器械适用于第2001/83/EC号指令第1条第2点定义的药品，则该器械应受本法规管制，且不影响</w:t>
      </w:r>
      <w:r>
        <w:rPr>
          <w:rFonts w:hint="eastAsia" w:ascii="Times New Roman" w:hAnsi="Times New Roman"/>
          <w:kern w:val="2"/>
          <w:szCs w:val="21"/>
        </w:rPr>
        <w:t>该</w:t>
      </w:r>
      <w:r>
        <w:rPr>
          <w:rFonts w:ascii="Times New Roman" w:hAnsi="Times New Roman"/>
          <w:kern w:val="2"/>
          <w:szCs w:val="21"/>
        </w:rPr>
        <w:t>指令</w:t>
      </w:r>
      <w:r>
        <w:rPr>
          <w:rFonts w:hint="eastAsia" w:ascii="Times New Roman" w:hAnsi="Times New Roman"/>
          <w:kern w:val="2"/>
          <w:szCs w:val="21"/>
        </w:rPr>
        <w:t>的规定以及</w:t>
      </w:r>
      <w:r>
        <w:rPr>
          <w:rFonts w:ascii="Times New Roman" w:hAnsi="Times New Roman"/>
          <w:kern w:val="2"/>
          <w:szCs w:val="21"/>
        </w:rPr>
        <w:t>欧洲委员会关于药品的第726/2004号法规。</w:t>
      </w:r>
    </w:p>
    <w:p w14:paraId="5D1BC15A">
      <w:pPr>
        <w:pStyle w:val="8"/>
        <w:topLinePunct/>
        <w:snapToGrid w:val="0"/>
        <w:spacing w:before="0" w:line="276" w:lineRule="auto"/>
        <w:ind w:firstLine="0"/>
        <w:jc w:val="both"/>
        <w:rPr>
          <w:kern w:val="2"/>
          <w:szCs w:val="21"/>
        </w:rPr>
      </w:pPr>
      <w:r>
        <w:rPr>
          <w:kern w:val="2"/>
          <w:szCs w:val="21"/>
        </w:rPr>
        <w:t>但若该器械预期与药品一起使用，且该药品与器械组成一个整体的方式投放市场，该产品专用于给定的组合并且不可重复使用，则产品应按第2001/83/EC号指令或欧洲委员会第726/2004号法规管制。在这种情况下，本法规附录I中规定的相关通用安全与性能要求应适用于器械部件的安全与性能。</w:t>
      </w:r>
    </w:p>
    <w:p w14:paraId="73BA0B91">
      <w:pPr>
        <w:snapToGrid w:val="0"/>
        <w:spacing w:line="276" w:lineRule="auto"/>
        <w:rPr>
          <w:rFonts w:ascii="Times New Roman" w:hAnsi="Times New Roman"/>
          <w:szCs w:val="21"/>
        </w:rPr>
      </w:pPr>
      <w:r>
        <w:rPr>
          <w:rFonts w:hint="eastAsia" w:ascii="Times New Roman" w:hAnsi="Times New Roman"/>
          <w:szCs w:val="21"/>
        </w:rPr>
        <w:t>____________________</w:t>
      </w:r>
    </w:p>
    <w:p w14:paraId="2C2EC73D">
      <w:pPr>
        <w:pStyle w:val="53"/>
        <w:spacing w:line="276" w:lineRule="auto"/>
      </w:pPr>
      <w:r>
        <w:rPr>
          <w:rFonts w:hint="eastAsia"/>
        </w:rPr>
        <w:t>（</w:t>
      </w:r>
      <w:r>
        <w:rPr>
          <w:vertAlign w:val="superscript"/>
        </w:rPr>
        <w:t>1</w:t>
      </w:r>
      <w:r>
        <w:rPr>
          <w:rFonts w:hint="eastAsia"/>
        </w:rPr>
        <w:t>）</w:t>
      </w:r>
      <w:r>
        <w:rPr>
          <w:rFonts w:hint="eastAsia"/>
        </w:rPr>
        <w:tab/>
      </w:r>
      <w:r>
        <w:t>2004年3月31日欧洲议会和理事关于规定授权和监督人用和兽用医疗产品和成立欧洲药品管理局的共同体程序(OJ L136, 30.4.2004, p. 1)。</w:t>
      </w:r>
    </w:p>
    <w:p w14:paraId="18E6670E">
      <w:pPr>
        <w:widowControl/>
        <w:topLinePunct w:val="0"/>
        <w:jc w:val="left"/>
        <w:rPr>
          <w:rFonts w:ascii="Times New Roman" w:hAnsi="Times New Roman"/>
          <w:kern w:val="2"/>
          <w:sz w:val="18"/>
          <w:szCs w:val="18"/>
        </w:rPr>
      </w:pPr>
      <w:r>
        <w:br w:type="page"/>
      </w:r>
    </w:p>
    <w:p w14:paraId="04CCCD9D">
      <w:pPr>
        <w:pStyle w:val="53"/>
        <w:spacing w:line="276" w:lineRule="auto"/>
        <w:ind w:left="473" w:hanging="473"/>
        <w:rPr>
          <w:kern w:val="0"/>
          <w:sz w:val="21"/>
          <w:szCs w:val="21"/>
        </w:rPr>
      </w:pPr>
    </w:p>
    <w:p w14:paraId="32C10D2C">
      <w:pPr>
        <w:pStyle w:val="8"/>
        <w:topLinePunct/>
        <w:snapToGrid w:val="0"/>
        <w:spacing w:beforeLines="10" w:line="300" w:lineRule="auto"/>
        <w:ind w:hanging="568"/>
        <w:jc w:val="both"/>
        <w:rPr>
          <w:kern w:val="2"/>
          <w:szCs w:val="21"/>
        </w:rPr>
      </w:pPr>
      <w:r>
        <w:rPr>
          <w:kern w:val="2"/>
          <w:szCs w:val="21"/>
        </w:rPr>
        <w:t>10.</w:t>
      </w:r>
      <w:r>
        <w:rPr>
          <w:kern w:val="2"/>
          <w:szCs w:val="21"/>
        </w:rPr>
        <w:tab/>
      </w:r>
      <w:r>
        <w:rPr>
          <w:kern w:val="2"/>
          <w:szCs w:val="21"/>
        </w:rPr>
        <w:t>当器械在投放市场或投入使用时，包含必不可少的人体</w:t>
      </w:r>
      <w:r>
        <w:rPr>
          <w:rFonts w:hint="eastAsia"/>
          <w:kern w:val="2"/>
          <w:szCs w:val="21"/>
        </w:rPr>
        <w:t>非活性</w:t>
      </w:r>
      <w:r>
        <w:rPr>
          <w:kern w:val="2"/>
          <w:szCs w:val="21"/>
        </w:rPr>
        <w:t>组织或细胞或其衍生物，且具有辅助器械的作用，则应按照本法规对该器械进行评估和授权。在这种情况下，第2004/23/EC号指令中规定的捐赠、采购和测试规定应适用。</w:t>
      </w:r>
    </w:p>
    <w:p w14:paraId="01243BE1">
      <w:pPr>
        <w:pStyle w:val="8"/>
        <w:topLinePunct/>
        <w:snapToGrid w:val="0"/>
        <w:spacing w:beforeLines="10" w:line="300" w:lineRule="auto"/>
        <w:ind w:firstLine="0"/>
        <w:jc w:val="both"/>
        <w:rPr>
          <w:kern w:val="2"/>
          <w:szCs w:val="21"/>
        </w:rPr>
      </w:pPr>
      <w:r>
        <w:rPr>
          <w:kern w:val="2"/>
          <w:szCs w:val="21"/>
        </w:rPr>
        <w:t>但若这些组织或细胞或其衍生物的作用是主要的，而不是辅助器械的作用，且产品不受欧洲委员会第1394/2007号法规管制，则该产品应受第2004/23/EC号指令管制。在这种情况下，本法规附录I中规定的相关通用安全与性能要求应适用于器械部件的安全与性能。</w:t>
      </w:r>
    </w:p>
    <w:p w14:paraId="41927793">
      <w:pPr>
        <w:pStyle w:val="8"/>
        <w:topLinePunct/>
        <w:snapToGrid w:val="0"/>
        <w:spacing w:beforeLines="10" w:line="300" w:lineRule="auto"/>
        <w:ind w:hanging="568"/>
        <w:jc w:val="both"/>
        <w:rPr>
          <w:kern w:val="2"/>
          <w:szCs w:val="21"/>
        </w:rPr>
      </w:pPr>
      <w:r>
        <w:rPr>
          <w:kern w:val="2"/>
          <w:szCs w:val="21"/>
        </w:rPr>
        <w:t>11.</w:t>
      </w:r>
      <w:r>
        <w:rPr>
          <w:kern w:val="2"/>
          <w:szCs w:val="21"/>
        </w:rPr>
        <w:tab/>
      </w:r>
      <w:r>
        <w:rPr>
          <w:kern w:val="2"/>
          <w:szCs w:val="21"/>
        </w:rPr>
        <w:t>本法规属于第2014/30/EU号指令第2(3)条所辖欧盟特别立法。</w:t>
      </w:r>
    </w:p>
    <w:p w14:paraId="4A65E648">
      <w:pPr>
        <w:pStyle w:val="8"/>
        <w:topLinePunct/>
        <w:snapToGrid w:val="0"/>
        <w:spacing w:beforeLines="10" w:line="300" w:lineRule="auto"/>
        <w:ind w:hanging="568"/>
        <w:jc w:val="both"/>
        <w:rPr>
          <w:kern w:val="2"/>
          <w:szCs w:val="21"/>
        </w:rPr>
      </w:pPr>
      <w:r>
        <w:rPr>
          <w:kern w:val="2"/>
          <w:szCs w:val="21"/>
        </w:rPr>
        <w:t>12</w:t>
      </w:r>
      <w:r>
        <w:rPr>
          <w:kern w:val="2"/>
          <w:szCs w:val="21"/>
        </w:rPr>
        <w:tab/>
      </w:r>
      <w:r>
        <w:rPr>
          <w:kern w:val="2"/>
          <w:szCs w:val="21"/>
        </w:rPr>
        <w:t>存在指令中所述相关风险的情况下，作为欧洲议会和欧洲委员会关于机械的第2006/42/EC号指令</w:t>
      </w:r>
      <w:r>
        <w:rPr>
          <w:rFonts w:hint="eastAsia"/>
          <w:kern w:val="2"/>
          <w:szCs w:val="21"/>
        </w:rPr>
        <w:t>（</w:t>
      </w:r>
      <w:r>
        <w:rPr>
          <w:kern w:val="2"/>
          <w:szCs w:val="21"/>
          <w:vertAlign w:val="superscript"/>
        </w:rPr>
        <w:t>1</w:t>
      </w:r>
      <w:r>
        <w:rPr>
          <w:rFonts w:hint="eastAsia"/>
          <w:kern w:val="2"/>
          <w:szCs w:val="21"/>
        </w:rPr>
        <w:t>）</w:t>
      </w:r>
      <w:r>
        <w:rPr>
          <w:kern w:val="2"/>
          <w:szCs w:val="21"/>
        </w:rPr>
        <w:t>第2</w:t>
      </w:r>
      <w:r>
        <w:rPr>
          <w:rFonts w:hint="eastAsia"/>
          <w:kern w:val="2"/>
          <w:szCs w:val="21"/>
        </w:rPr>
        <w:t>段</w:t>
      </w:r>
      <w:r>
        <w:rPr>
          <w:kern w:val="2"/>
          <w:szCs w:val="21"/>
        </w:rPr>
        <w:t>第a点所列器械同样应满足该指令附录I中规定的基本卫生与安全要求，这些要求比本法规附录I第II章所规定的通用安全与性能要求更为具体。</w:t>
      </w:r>
    </w:p>
    <w:p w14:paraId="617C2399">
      <w:pPr>
        <w:pStyle w:val="8"/>
        <w:topLinePunct/>
        <w:snapToGrid w:val="0"/>
        <w:spacing w:beforeLines="10" w:line="300" w:lineRule="auto"/>
        <w:ind w:hanging="568"/>
        <w:jc w:val="both"/>
        <w:rPr>
          <w:kern w:val="2"/>
          <w:szCs w:val="21"/>
        </w:rPr>
      </w:pPr>
      <w:r>
        <w:rPr>
          <w:kern w:val="2"/>
          <w:szCs w:val="21"/>
        </w:rPr>
        <w:t>13.</w:t>
      </w:r>
      <w:r>
        <w:rPr>
          <w:kern w:val="2"/>
          <w:szCs w:val="21"/>
        </w:rPr>
        <w:tab/>
      </w:r>
      <w:r>
        <w:rPr>
          <w:kern w:val="2"/>
          <w:szCs w:val="21"/>
        </w:rPr>
        <w:t>本法规不影响第2013/59/Euratom号指令的应用。</w:t>
      </w:r>
    </w:p>
    <w:p w14:paraId="14C6BABB">
      <w:pPr>
        <w:pStyle w:val="8"/>
        <w:topLinePunct/>
        <w:snapToGrid w:val="0"/>
        <w:spacing w:beforeLines="10" w:line="300" w:lineRule="auto"/>
        <w:ind w:hanging="568"/>
        <w:jc w:val="both"/>
        <w:rPr>
          <w:kern w:val="2"/>
          <w:szCs w:val="21"/>
        </w:rPr>
      </w:pPr>
      <w:r>
        <w:rPr>
          <w:kern w:val="2"/>
          <w:szCs w:val="21"/>
        </w:rPr>
        <w:t>14.</w:t>
      </w:r>
      <w:r>
        <w:rPr>
          <w:kern w:val="2"/>
          <w:szCs w:val="21"/>
        </w:rPr>
        <w:tab/>
      </w:r>
      <w:r>
        <w:rPr>
          <w:kern w:val="2"/>
          <w:szCs w:val="21"/>
        </w:rPr>
        <w:t>本法规不影响成员国在本法规未涵盖的方面限制使用任何特定类型器械的权利。</w:t>
      </w:r>
    </w:p>
    <w:p w14:paraId="2D8430CA">
      <w:pPr>
        <w:pStyle w:val="8"/>
        <w:topLinePunct/>
        <w:snapToGrid w:val="0"/>
        <w:spacing w:beforeLines="10" w:line="300" w:lineRule="auto"/>
        <w:ind w:hanging="568"/>
        <w:jc w:val="both"/>
        <w:rPr>
          <w:kern w:val="2"/>
          <w:szCs w:val="21"/>
        </w:rPr>
      </w:pPr>
      <w:r>
        <w:rPr>
          <w:kern w:val="2"/>
          <w:szCs w:val="21"/>
        </w:rPr>
        <w:t>15</w:t>
      </w:r>
      <w:r>
        <w:rPr>
          <w:kern w:val="2"/>
          <w:szCs w:val="21"/>
        </w:rPr>
        <w:tab/>
      </w:r>
      <w:r>
        <w:rPr>
          <w:kern w:val="2"/>
          <w:szCs w:val="21"/>
        </w:rPr>
        <w:t>本法规不影响有关卫生服务和医疗保健的组织、交付或融资的国家法律，例如要求某些器械只能以医疗处方提供，要求只有某些卫生专业人员或卫生护理机构可分发或应用某些器械，或者其应用必须伴随特定的专业咨询。</w:t>
      </w:r>
    </w:p>
    <w:p w14:paraId="2A70124A">
      <w:pPr>
        <w:pStyle w:val="8"/>
        <w:topLinePunct/>
        <w:snapToGrid w:val="0"/>
        <w:spacing w:beforeLines="10" w:line="300" w:lineRule="auto"/>
        <w:ind w:hanging="568"/>
        <w:jc w:val="both"/>
        <w:rPr>
          <w:kern w:val="2"/>
          <w:szCs w:val="21"/>
        </w:rPr>
      </w:pPr>
      <w:r>
        <w:rPr>
          <w:kern w:val="2"/>
          <w:szCs w:val="21"/>
        </w:rPr>
        <w:t>16.</w:t>
      </w:r>
      <w:r>
        <w:rPr>
          <w:kern w:val="2"/>
          <w:szCs w:val="21"/>
        </w:rPr>
        <w:tab/>
      </w:r>
      <w:r>
        <w:rPr>
          <w:kern w:val="2"/>
          <w:szCs w:val="21"/>
        </w:rPr>
        <w:t>本法规不限制新闻自由或媒体中的言论自由，只要这些自由在欧盟和成员国中得到保障，特别是《欧洲联盟基本权利宪章》第11条。</w:t>
      </w:r>
    </w:p>
    <w:p w14:paraId="1F788DF8">
      <w:pPr>
        <w:pStyle w:val="3"/>
        <w:spacing w:beforeLines="10" w:line="300" w:lineRule="auto"/>
        <w:jc w:val="both"/>
      </w:pPr>
    </w:p>
    <w:p w14:paraId="336E50D5">
      <w:pPr>
        <w:pStyle w:val="3"/>
        <w:spacing w:beforeLines="10" w:line="300" w:lineRule="auto"/>
      </w:pPr>
      <w:r>
        <w:rPr>
          <w:rFonts w:hint="eastAsia"/>
        </w:rPr>
        <w:t>第2条</w:t>
      </w:r>
    </w:p>
    <w:p w14:paraId="2079D995">
      <w:pPr>
        <w:pStyle w:val="3"/>
        <w:spacing w:beforeLines="10" w:line="300" w:lineRule="auto"/>
        <w:rPr>
          <w:b/>
          <w:i w:val="0"/>
        </w:rPr>
      </w:pPr>
      <w:r>
        <w:rPr>
          <w:b/>
          <w:i w:val="0"/>
        </w:rPr>
        <w:t>定义</w:t>
      </w:r>
    </w:p>
    <w:p w14:paraId="242E21C2">
      <w:pPr>
        <w:pStyle w:val="32"/>
        <w:tabs>
          <w:tab w:val="left" w:pos="684"/>
        </w:tabs>
        <w:topLinePunct/>
        <w:snapToGrid w:val="0"/>
        <w:spacing w:beforeLines="10" w:line="300" w:lineRule="auto"/>
        <w:jc w:val="both"/>
        <w:rPr>
          <w:rFonts w:ascii="Times New Roman" w:hAnsi="Times New Roman"/>
          <w:kern w:val="2"/>
          <w:szCs w:val="21"/>
        </w:rPr>
      </w:pPr>
      <w:r>
        <w:rPr>
          <w:rFonts w:ascii="Times New Roman" w:hAnsi="Times New Roman"/>
          <w:kern w:val="2"/>
          <w:szCs w:val="21"/>
        </w:rPr>
        <w:t>就本法规而言，应适用以下定义：</w:t>
      </w:r>
    </w:p>
    <w:p w14:paraId="4DB8046D">
      <w:pPr>
        <w:pStyle w:val="32"/>
        <w:tabs>
          <w:tab w:val="left" w:pos="684"/>
        </w:tabs>
        <w:topLinePunct/>
        <w:snapToGrid w:val="0"/>
        <w:spacing w:beforeLines="10" w:line="300" w:lineRule="auto"/>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医疗器械</w:t>
      </w:r>
      <w:r>
        <w:rPr>
          <w:rFonts w:hint="eastAsia" w:ascii="Times New Roman" w:hAnsi="Times New Roman"/>
          <w:kern w:val="2"/>
          <w:szCs w:val="21"/>
        </w:rPr>
        <w:t>”</w:t>
      </w:r>
      <w:r>
        <w:rPr>
          <w:rFonts w:ascii="Times New Roman" w:hAnsi="Times New Roman"/>
          <w:kern w:val="2"/>
          <w:szCs w:val="21"/>
        </w:rPr>
        <w:t>是指由制造商单独使用或组合用于人体的以下一种或多种特定医疗目的任何仪器、设备、器具、软件、植入物、试剂、材料或其他物品：</w:t>
      </w:r>
    </w:p>
    <w:p w14:paraId="5053F982">
      <w:pPr>
        <w:pStyle w:val="32"/>
        <w:numPr>
          <w:ilvl w:val="2"/>
          <w:numId w:val="4"/>
        </w:numPr>
        <w:tabs>
          <w:tab w:val="left" w:pos="1816"/>
        </w:tabs>
        <w:topLinePunct/>
        <w:snapToGrid w:val="0"/>
        <w:spacing w:beforeLines="10" w:line="300" w:lineRule="auto"/>
        <w:ind w:left="966" w:leftChars="287" w:hanging="363" w:hangingChars="173"/>
        <w:jc w:val="both"/>
        <w:rPr>
          <w:rFonts w:ascii="Times New Roman" w:hAnsi="Times New Roman"/>
          <w:kern w:val="2"/>
          <w:szCs w:val="21"/>
        </w:rPr>
      </w:pPr>
      <w:r>
        <w:rPr>
          <w:rFonts w:ascii="Times New Roman" w:hAnsi="Times New Roman"/>
          <w:kern w:val="2"/>
          <w:szCs w:val="21"/>
        </w:rPr>
        <w:t>对疾病的诊断、预防、监护、预测、预后、治疗或缓解；</w:t>
      </w:r>
    </w:p>
    <w:p w14:paraId="020B5814">
      <w:pPr>
        <w:pStyle w:val="32"/>
        <w:numPr>
          <w:ilvl w:val="2"/>
          <w:numId w:val="4"/>
        </w:numPr>
        <w:tabs>
          <w:tab w:val="left" w:pos="1816"/>
        </w:tabs>
        <w:topLinePunct/>
        <w:snapToGrid w:val="0"/>
        <w:spacing w:beforeLines="10" w:line="300" w:lineRule="auto"/>
        <w:ind w:left="966" w:leftChars="287" w:hanging="363" w:hangingChars="173"/>
        <w:jc w:val="both"/>
        <w:rPr>
          <w:rFonts w:ascii="Times New Roman" w:hAnsi="Times New Roman"/>
          <w:kern w:val="2"/>
          <w:szCs w:val="21"/>
        </w:rPr>
      </w:pPr>
      <w:r>
        <w:rPr>
          <w:rFonts w:ascii="Times New Roman" w:hAnsi="Times New Roman"/>
          <w:kern w:val="2"/>
          <w:szCs w:val="21"/>
        </w:rPr>
        <w:t>对损伤或残疾的诊断、监控、治疗、缓解、补偿</w:t>
      </w:r>
    </w:p>
    <w:p w14:paraId="22E364A0">
      <w:pPr>
        <w:pStyle w:val="32"/>
        <w:numPr>
          <w:ilvl w:val="2"/>
          <w:numId w:val="4"/>
        </w:numPr>
        <w:tabs>
          <w:tab w:val="left" w:pos="1816"/>
        </w:tabs>
        <w:topLinePunct/>
        <w:snapToGrid w:val="0"/>
        <w:spacing w:beforeLines="10" w:line="300" w:lineRule="auto"/>
        <w:ind w:left="966" w:leftChars="287" w:hanging="363" w:hangingChars="173"/>
        <w:jc w:val="both"/>
        <w:rPr>
          <w:rFonts w:ascii="Times New Roman" w:hAnsi="Times New Roman"/>
          <w:kern w:val="2"/>
          <w:szCs w:val="21"/>
        </w:rPr>
      </w:pPr>
      <w:r>
        <w:rPr>
          <w:rFonts w:ascii="Times New Roman" w:hAnsi="Times New Roman"/>
          <w:kern w:val="2"/>
          <w:szCs w:val="21"/>
        </w:rPr>
        <w:t>解剖、生理或病理过程或状态的研究、替代、调节，</w:t>
      </w:r>
    </w:p>
    <w:p w14:paraId="62F19384">
      <w:pPr>
        <w:pStyle w:val="32"/>
        <w:numPr>
          <w:ilvl w:val="2"/>
          <w:numId w:val="4"/>
        </w:numPr>
        <w:tabs>
          <w:tab w:val="left" w:pos="1816"/>
        </w:tabs>
        <w:topLinePunct/>
        <w:snapToGrid w:val="0"/>
        <w:spacing w:beforeLines="10" w:line="300" w:lineRule="auto"/>
        <w:ind w:left="966" w:leftChars="287" w:hanging="363" w:hangingChars="173"/>
        <w:jc w:val="both"/>
        <w:rPr>
          <w:rFonts w:ascii="Times New Roman" w:hAnsi="Times New Roman"/>
          <w:kern w:val="2"/>
          <w:szCs w:val="21"/>
        </w:rPr>
      </w:pPr>
      <w:r>
        <w:rPr>
          <w:rFonts w:ascii="Times New Roman" w:hAnsi="Times New Roman"/>
          <w:kern w:val="2"/>
          <w:szCs w:val="21"/>
        </w:rPr>
        <w:t>通过对来自人体的样本（包括器官、血液、捐献的组织）进行体外检测来提供信息。</w:t>
      </w:r>
    </w:p>
    <w:p w14:paraId="7A13FC33">
      <w:pPr>
        <w:pStyle w:val="32"/>
        <w:numPr>
          <w:ilvl w:val="2"/>
          <w:numId w:val="4"/>
        </w:numPr>
        <w:tabs>
          <w:tab w:val="left" w:pos="1816"/>
        </w:tabs>
        <w:topLinePunct/>
        <w:snapToGrid w:val="0"/>
        <w:spacing w:beforeLines="10" w:line="300" w:lineRule="auto"/>
        <w:ind w:left="966" w:leftChars="287" w:hanging="363" w:hangingChars="173"/>
        <w:jc w:val="both"/>
        <w:rPr>
          <w:rFonts w:ascii="Times New Roman" w:hAnsi="Times New Roman"/>
          <w:kern w:val="2"/>
          <w:szCs w:val="21"/>
        </w:rPr>
      </w:pPr>
      <w:r>
        <w:rPr>
          <w:rFonts w:ascii="Times New Roman" w:hAnsi="Times New Roman"/>
          <w:kern w:val="2"/>
          <w:szCs w:val="21"/>
        </w:rPr>
        <w:t>其效用主要通过物理等方式获得，不是通过药理学、免疫学或者代谢的方式获得，或者虽然有这些方式参与但是只起辅助作用；</w:t>
      </w:r>
    </w:p>
    <w:p w14:paraId="2C966D00">
      <w:pPr>
        <w:pStyle w:val="32"/>
        <w:tabs>
          <w:tab w:val="left" w:pos="1816"/>
        </w:tabs>
        <w:topLinePunct/>
        <w:snapToGrid w:val="0"/>
        <w:spacing w:beforeLines="10" w:line="300" w:lineRule="auto"/>
        <w:ind w:left="603"/>
        <w:jc w:val="both"/>
        <w:rPr>
          <w:rFonts w:ascii="Times New Roman" w:hAnsi="Times New Roman"/>
          <w:kern w:val="2"/>
          <w:szCs w:val="21"/>
        </w:rPr>
      </w:pPr>
      <w:r>
        <w:rPr>
          <w:rFonts w:ascii="Times New Roman" w:hAnsi="Times New Roman"/>
          <w:kern w:val="2"/>
          <w:szCs w:val="21"/>
        </w:rPr>
        <w:t>以下产品也应视为医疗器械：</w:t>
      </w:r>
    </w:p>
    <w:p w14:paraId="6BEB5905">
      <w:pPr>
        <w:pStyle w:val="32"/>
        <w:numPr>
          <w:ilvl w:val="2"/>
          <w:numId w:val="4"/>
        </w:numPr>
        <w:tabs>
          <w:tab w:val="left" w:pos="1816"/>
        </w:tabs>
        <w:topLinePunct/>
        <w:snapToGrid w:val="0"/>
        <w:spacing w:beforeLines="10" w:line="300" w:lineRule="auto"/>
        <w:ind w:left="966" w:leftChars="287" w:hanging="363" w:hangingChars="173"/>
        <w:jc w:val="both"/>
        <w:rPr>
          <w:rFonts w:ascii="Times New Roman" w:hAnsi="Times New Roman"/>
          <w:kern w:val="2"/>
          <w:szCs w:val="21"/>
        </w:rPr>
      </w:pPr>
      <w:r>
        <w:rPr>
          <w:rFonts w:ascii="Times New Roman" w:hAnsi="Times New Roman"/>
          <w:kern w:val="2"/>
          <w:szCs w:val="21"/>
        </w:rPr>
        <w:t>具有控制或</w:t>
      </w:r>
      <w:r>
        <w:rPr>
          <w:rFonts w:hint="eastAsia" w:ascii="Times New Roman" w:hAnsi="Times New Roman"/>
          <w:kern w:val="2"/>
          <w:szCs w:val="21"/>
        </w:rPr>
        <w:t>支持用途</w:t>
      </w:r>
      <w:r>
        <w:rPr>
          <w:rFonts w:ascii="Times New Roman" w:hAnsi="Times New Roman"/>
          <w:kern w:val="2"/>
          <w:szCs w:val="21"/>
        </w:rPr>
        <w:t>的器械。</w:t>
      </w:r>
    </w:p>
    <w:p w14:paraId="0E84A4BF">
      <w:pPr>
        <w:pStyle w:val="32"/>
        <w:numPr>
          <w:ilvl w:val="2"/>
          <w:numId w:val="4"/>
        </w:numPr>
        <w:tabs>
          <w:tab w:val="left" w:pos="1816"/>
        </w:tabs>
        <w:topLinePunct/>
        <w:snapToGrid w:val="0"/>
        <w:spacing w:beforeLines="10" w:line="300" w:lineRule="auto"/>
        <w:ind w:left="966" w:leftChars="287" w:hanging="363" w:hangingChars="173"/>
        <w:jc w:val="both"/>
        <w:rPr>
          <w:rFonts w:ascii="Times New Roman" w:hAnsi="Times New Roman"/>
          <w:kern w:val="2"/>
          <w:szCs w:val="21"/>
        </w:rPr>
      </w:pPr>
      <w:r>
        <w:rPr>
          <w:rFonts w:ascii="Times New Roman" w:hAnsi="Times New Roman"/>
          <w:kern w:val="2"/>
          <w:szCs w:val="21"/>
        </w:rPr>
        <w:t>专门用于器械的清洁、消毒或灭菌</w:t>
      </w:r>
      <w:r>
        <w:rPr>
          <w:rFonts w:hint="eastAsia" w:ascii="Times New Roman" w:hAnsi="Times New Roman"/>
          <w:kern w:val="2"/>
          <w:szCs w:val="21"/>
        </w:rPr>
        <w:t>，如第</w:t>
      </w:r>
      <w:r>
        <w:rPr>
          <w:rFonts w:ascii="Times New Roman" w:hAnsi="Times New Roman"/>
          <w:kern w:val="2"/>
          <w:szCs w:val="21"/>
          <w:lang w:val="en-US"/>
        </w:rPr>
        <w:t>1（4）条</w:t>
      </w:r>
      <w:r>
        <w:rPr>
          <w:rFonts w:hint="eastAsia" w:ascii="Times New Roman" w:hAnsi="Times New Roman"/>
          <w:kern w:val="2"/>
          <w:szCs w:val="21"/>
          <w:lang w:val="en-US"/>
        </w:rPr>
        <w:t>和</w:t>
      </w:r>
      <w:r>
        <w:rPr>
          <w:rFonts w:ascii="Times New Roman" w:hAnsi="Times New Roman"/>
          <w:kern w:val="2"/>
          <w:szCs w:val="21"/>
        </w:rPr>
        <w:t>本点第一子段第中所述</w:t>
      </w:r>
    </w:p>
    <w:p w14:paraId="54BAE1B8">
      <w:pPr>
        <w:pStyle w:val="32"/>
        <w:tabs>
          <w:tab w:val="left" w:pos="1816"/>
        </w:tabs>
        <w:topLinePunct/>
        <w:snapToGrid w:val="0"/>
        <w:spacing w:beforeLines="25" w:line="300" w:lineRule="auto"/>
        <w:jc w:val="both"/>
        <w:rPr>
          <w:rFonts w:ascii="Times New Roman" w:hAnsi="Times New Roman"/>
          <w:kern w:val="2"/>
          <w:szCs w:val="21"/>
        </w:rPr>
      </w:pPr>
      <w:r>
        <w:rPr>
          <w:rFonts w:hint="eastAsia" w:ascii="Times New Roman" w:hAnsi="Times New Roman"/>
          <w:kern w:val="2"/>
          <w:szCs w:val="21"/>
        </w:rPr>
        <w:t>__________________________</w:t>
      </w:r>
    </w:p>
    <w:p w14:paraId="2A134B57">
      <w:pPr>
        <w:pStyle w:val="53"/>
        <w:spacing w:beforeLines="25"/>
        <w:ind w:left="360" w:hanging="360" w:hangingChars="200"/>
      </w:pPr>
      <w:r>
        <w:t>（1）</w:t>
      </w:r>
      <w:r>
        <w:rPr>
          <w:rFonts w:hint="eastAsia"/>
        </w:rPr>
        <w:tab/>
      </w:r>
      <w:r>
        <w:t>2006年5月17日欧洲议会和理事会签发的关于机械和修订第95/16/EC号指令的第2006/42/EC号指令(OJ L157, 9.6.2006, p. 24)。</w:t>
      </w:r>
    </w:p>
    <w:p w14:paraId="67B357A6">
      <w:pPr>
        <w:pStyle w:val="32"/>
        <w:numPr>
          <w:ilvl w:val="1"/>
          <w:numId w:val="4"/>
        </w:numPr>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医疗器械附件</w:t>
      </w:r>
      <w:r>
        <w:rPr>
          <w:rFonts w:hint="eastAsia" w:ascii="Times New Roman" w:hAnsi="Times New Roman"/>
          <w:kern w:val="2"/>
          <w:szCs w:val="21"/>
        </w:rPr>
        <w:t>”</w:t>
      </w:r>
      <w:r>
        <w:rPr>
          <w:rFonts w:ascii="Times New Roman" w:hAnsi="Times New Roman"/>
          <w:kern w:val="2"/>
          <w:szCs w:val="21"/>
        </w:rPr>
        <w:t>是指制造商计划将其与一个或几个特定医疗器械一起使用，使该医疗器械可按照其预期用途进行使用，或特定或直接辅助医疗器械来实现其预期用途的功能，但其不是医疗器械的物件；</w:t>
      </w:r>
    </w:p>
    <w:p w14:paraId="359B37AF">
      <w:pPr>
        <w:pStyle w:val="32"/>
        <w:numPr>
          <w:ilvl w:val="1"/>
          <w:numId w:val="4"/>
        </w:numPr>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定制器械</w:t>
      </w:r>
      <w:r>
        <w:rPr>
          <w:rFonts w:hint="eastAsia" w:ascii="Times New Roman" w:hAnsi="Times New Roman"/>
          <w:kern w:val="2"/>
          <w:szCs w:val="21"/>
        </w:rPr>
        <w:t>”</w:t>
      </w:r>
      <w:r>
        <w:rPr>
          <w:rFonts w:ascii="Times New Roman" w:hAnsi="Times New Roman"/>
          <w:kern w:val="2"/>
          <w:szCs w:val="21"/>
        </w:rPr>
        <w:t>是指根据国家法律授权的任何人员的书面处方，</w:t>
      </w:r>
      <w:r>
        <w:rPr>
          <w:rFonts w:hint="eastAsia" w:ascii="Times New Roman" w:hAnsi="Times New Roman"/>
          <w:kern w:val="2"/>
          <w:szCs w:val="21"/>
        </w:rPr>
        <w:t>通过</w:t>
      </w:r>
      <w:r>
        <w:rPr>
          <w:rFonts w:ascii="Times New Roman" w:hAnsi="Times New Roman"/>
          <w:kern w:val="2"/>
          <w:szCs w:val="21"/>
        </w:rPr>
        <w:t>该人员的专业资格</w:t>
      </w:r>
      <w:r>
        <w:rPr>
          <w:rFonts w:hint="eastAsia" w:ascii="Times New Roman" w:hAnsi="Times New Roman"/>
          <w:kern w:val="2"/>
          <w:szCs w:val="21"/>
        </w:rPr>
        <w:t>知识</w:t>
      </w:r>
      <w:r>
        <w:rPr>
          <w:rFonts w:ascii="Times New Roman" w:hAnsi="Times New Roman"/>
          <w:kern w:val="2"/>
          <w:szCs w:val="21"/>
        </w:rPr>
        <w:t>而专门制造的器械，具有特有的设计特性，计划专用于特定患者，</w:t>
      </w:r>
      <w:r>
        <w:rPr>
          <w:rFonts w:hint="eastAsia" w:ascii="Times New Roman" w:hAnsi="Times New Roman"/>
          <w:kern w:val="2"/>
          <w:szCs w:val="21"/>
        </w:rPr>
        <w:t>并</w:t>
      </w:r>
      <w:r>
        <w:rPr>
          <w:rFonts w:ascii="Times New Roman" w:hAnsi="Times New Roman"/>
          <w:kern w:val="2"/>
          <w:szCs w:val="21"/>
        </w:rPr>
        <w:t>专门满足个人条件和需要。</w:t>
      </w:r>
    </w:p>
    <w:p w14:paraId="169D04AC">
      <w:pPr>
        <w:pStyle w:val="8"/>
        <w:topLinePunct/>
        <w:snapToGrid w:val="0"/>
        <w:spacing w:beforeLines="40" w:line="300" w:lineRule="auto"/>
        <w:ind w:left="675" w:firstLine="0"/>
        <w:jc w:val="both"/>
        <w:rPr>
          <w:kern w:val="2"/>
          <w:szCs w:val="21"/>
        </w:rPr>
      </w:pPr>
      <w:r>
        <w:rPr>
          <w:kern w:val="2"/>
          <w:szCs w:val="21"/>
        </w:rPr>
        <w:t>但需要通过调整以满足任何专业使用者特殊要求的大规模生产的器械</w:t>
      </w:r>
      <w:r>
        <w:rPr>
          <w:rFonts w:hint="eastAsia"/>
          <w:kern w:val="2"/>
          <w:szCs w:val="21"/>
        </w:rPr>
        <w:t>，且</w:t>
      </w:r>
      <w:r>
        <w:rPr>
          <w:kern w:val="2"/>
          <w:szCs w:val="21"/>
        </w:rPr>
        <w:t>根据经授权人员的书面处方通过工业生产过程大规模生产的器械不得视为定制器械；</w:t>
      </w:r>
    </w:p>
    <w:p w14:paraId="7F5066FA">
      <w:pPr>
        <w:pStyle w:val="32"/>
        <w:numPr>
          <w:ilvl w:val="1"/>
          <w:numId w:val="4"/>
        </w:numPr>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有源器械</w:t>
      </w:r>
      <w:r>
        <w:rPr>
          <w:rFonts w:hint="eastAsia" w:ascii="Times New Roman" w:hAnsi="Times New Roman"/>
          <w:kern w:val="2"/>
          <w:szCs w:val="21"/>
        </w:rPr>
        <w:t>”</w:t>
      </w:r>
      <w:r>
        <w:rPr>
          <w:rFonts w:ascii="Times New Roman" w:hAnsi="Times New Roman"/>
          <w:kern w:val="2"/>
          <w:szCs w:val="21"/>
        </w:rPr>
        <w:t>是指任何器械，其操作依靠除了人体或通过重力产生能量源外的能量来源，并且其通过改变该能量的密度或转换该能量而发挥作用。用于在有源器械和患者间传输能量、物质或其他元素而无任何显著变化的器械不得视为有源器械。</w:t>
      </w:r>
    </w:p>
    <w:p w14:paraId="156C55A5">
      <w:pPr>
        <w:pStyle w:val="8"/>
        <w:topLinePunct/>
        <w:snapToGrid w:val="0"/>
        <w:spacing w:beforeLines="40" w:line="300" w:lineRule="auto"/>
        <w:ind w:left="675" w:firstLine="0"/>
        <w:jc w:val="both"/>
        <w:rPr>
          <w:kern w:val="2"/>
          <w:szCs w:val="21"/>
        </w:rPr>
      </w:pPr>
      <w:r>
        <w:rPr>
          <w:kern w:val="2"/>
          <w:szCs w:val="21"/>
        </w:rPr>
        <w:t>软件应被视为有源器械；</w:t>
      </w:r>
    </w:p>
    <w:p w14:paraId="4C989A14">
      <w:pPr>
        <w:pStyle w:val="32"/>
        <w:numPr>
          <w:ilvl w:val="1"/>
          <w:numId w:val="4"/>
        </w:numPr>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可植入器械</w:t>
      </w:r>
      <w:r>
        <w:rPr>
          <w:rFonts w:hint="eastAsia" w:ascii="Times New Roman" w:hAnsi="Times New Roman"/>
          <w:kern w:val="2"/>
          <w:szCs w:val="21"/>
        </w:rPr>
        <w:t>”</w:t>
      </w:r>
      <w:r>
        <w:rPr>
          <w:rFonts w:ascii="Times New Roman" w:hAnsi="Times New Roman"/>
          <w:kern w:val="2"/>
          <w:szCs w:val="21"/>
        </w:rPr>
        <w:t>指任何器械，包括部分或完全被吸收的器械，其通过临床干预用于</w:t>
      </w:r>
    </w:p>
    <w:p w14:paraId="311BB975">
      <w:pPr>
        <w:pStyle w:val="32"/>
        <w:numPr>
          <w:ilvl w:val="2"/>
          <w:numId w:val="4"/>
        </w:numPr>
        <w:tabs>
          <w:tab w:val="left" w:pos="1092"/>
        </w:tabs>
        <w:topLinePunct/>
        <w:snapToGrid w:val="0"/>
        <w:spacing w:beforeLines="40" w:line="300" w:lineRule="auto"/>
        <w:ind w:left="675" w:firstLine="27" w:firstLineChars="13"/>
        <w:jc w:val="both"/>
        <w:rPr>
          <w:rFonts w:ascii="Times New Roman" w:hAnsi="Times New Roman"/>
          <w:kern w:val="2"/>
          <w:szCs w:val="21"/>
        </w:rPr>
      </w:pPr>
      <w:r>
        <w:rPr>
          <w:rFonts w:ascii="Times New Roman" w:hAnsi="Times New Roman"/>
          <w:kern w:val="2"/>
          <w:szCs w:val="21"/>
        </w:rPr>
        <w:t>完全植入人体或</w:t>
      </w:r>
    </w:p>
    <w:p w14:paraId="2E8A445D">
      <w:pPr>
        <w:pStyle w:val="32"/>
        <w:numPr>
          <w:ilvl w:val="2"/>
          <w:numId w:val="4"/>
        </w:numPr>
        <w:tabs>
          <w:tab w:val="left" w:pos="1092"/>
        </w:tabs>
        <w:topLinePunct/>
        <w:snapToGrid w:val="0"/>
        <w:spacing w:beforeLines="40" w:line="300" w:lineRule="auto"/>
        <w:ind w:left="675" w:firstLine="27" w:firstLineChars="13"/>
        <w:jc w:val="both"/>
        <w:rPr>
          <w:rFonts w:ascii="Times New Roman" w:hAnsi="Times New Roman"/>
          <w:kern w:val="2"/>
          <w:szCs w:val="21"/>
        </w:rPr>
      </w:pPr>
      <w:r>
        <w:rPr>
          <w:rFonts w:ascii="Times New Roman" w:hAnsi="Times New Roman"/>
          <w:kern w:val="2"/>
          <w:szCs w:val="21"/>
        </w:rPr>
        <w:t>取代上表皮或眼睛表面，</w:t>
      </w:r>
    </w:p>
    <w:p w14:paraId="78C8B851">
      <w:pPr>
        <w:pStyle w:val="8"/>
        <w:topLinePunct/>
        <w:snapToGrid w:val="0"/>
        <w:spacing w:beforeLines="40" w:line="300" w:lineRule="auto"/>
        <w:ind w:left="675" w:firstLine="27" w:firstLineChars="13"/>
        <w:jc w:val="both"/>
        <w:rPr>
          <w:kern w:val="2"/>
          <w:szCs w:val="21"/>
        </w:rPr>
      </w:pPr>
      <w:r>
        <w:rPr>
          <w:kern w:val="2"/>
          <w:szCs w:val="21"/>
        </w:rPr>
        <w:t>并且在手术后保持原样。任何用于通过临床干预部分引入人体并且在手术后保持原样至少30天的器械也应视为可植入器械；</w:t>
      </w:r>
    </w:p>
    <w:p w14:paraId="7F5AFA84">
      <w:pPr>
        <w:pStyle w:val="32"/>
        <w:numPr>
          <w:ilvl w:val="1"/>
          <w:numId w:val="4"/>
        </w:numPr>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侵入式器械</w:t>
      </w:r>
      <w:r>
        <w:rPr>
          <w:rFonts w:hint="eastAsia" w:ascii="Times New Roman" w:hAnsi="Times New Roman"/>
          <w:kern w:val="2"/>
          <w:szCs w:val="21"/>
        </w:rPr>
        <w:t>”</w:t>
      </w:r>
      <w:r>
        <w:rPr>
          <w:rFonts w:ascii="Times New Roman" w:hAnsi="Times New Roman"/>
          <w:kern w:val="2"/>
          <w:szCs w:val="21"/>
        </w:rPr>
        <w:t>是指通过人体自然通道或人体表面穿入人体的任何器械；</w:t>
      </w:r>
    </w:p>
    <w:p w14:paraId="578CCB28">
      <w:pPr>
        <w:pStyle w:val="32"/>
        <w:numPr>
          <w:ilvl w:val="1"/>
          <w:numId w:val="4"/>
        </w:numPr>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通用器械组</w:t>
      </w:r>
      <w:r>
        <w:rPr>
          <w:rFonts w:hint="eastAsia" w:ascii="Times New Roman" w:hAnsi="Times New Roman"/>
          <w:kern w:val="2"/>
          <w:szCs w:val="21"/>
        </w:rPr>
        <w:t>”</w:t>
      </w:r>
      <w:r>
        <w:rPr>
          <w:rFonts w:ascii="Times New Roman" w:hAnsi="Times New Roman"/>
          <w:kern w:val="2"/>
          <w:szCs w:val="21"/>
        </w:rPr>
        <w:t>是指具有相同或类似预期用途或相同技术的一组器械，允许以不反映特定属性的通用方式对其进行分类；</w:t>
      </w:r>
    </w:p>
    <w:p w14:paraId="59ED9B92">
      <w:pPr>
        <w:pStyle w:val="32"/>
        <w:numPr>
          <w:ilvl w:val="1"/>
          <w:numId w:val="4"/>
        </w:numPr>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一次性使用器械</w:t>
      </w:r>
      <w:r>
        <w:rPr>
          <w:rFonts w:hint="eastAsia" w:ascii="Times New Roman" w:hAnsi="Times New Roman"/>
          <w:kern w:val="2"/>
          <w:szCs w:val="21"/>
        </w:rPr>
        <w:t>”</w:t>
      </w:r>
      <w:r>
        <w:rPr>
          <w:rFonts w:ascii="Times New Roman" w:hAnsi="Times New Roman"/>
          <w:kern w:val="2"/>
          <w:szCs w:val="21"/>
        </w:rPr>
        <w:t>是指在单次使用且仅用于</w:t>
      </w:r>
      <w:r>
        <w:rPr>
          <w:rFonts w:hint="eastAsia" w:ascii="Times New Roman" w:hAnsi="Times New Roman"/>
          <w:kern w:val="2"/>
          <w:szCs w:val="21"/>
        </w:rPr>
        <w:t>一个人</w:t>
      </w:r>
      <w:r>
        <w:rPr>
          <w:rFonts w:ascii="Times New Roman" w:hAnsi="Times New Roman"/>
          <w:kern w:val="2"/>
          <w:szCs w:val="21"/>
        </w:rPr>
        <w:t>的器械。</w:t>
      </w:r>
    </w:p>
    <w:p w14:paraId="6CCFF8DB">
      <w:pPr>
        <w:pStyle w:val="8"/>
        <w:topLinePunct/>
        <w:snapToGrid w:val="0"/>
        <w:spacing w:beforeLines="40" w:line="300" w:lineRule="auto"/>
        <w:ind w:left="672" w:hanging="672" w:hangingChars="320"/>
        <w:jc w:val="both"/>
        <w:rPr>
          <w:kern w:val="2"/>
          <w:szCs w:val="21"/>
        </w:rPr>
      </w:pPr>
      <w:r>
        <w:rPr>
          <w:rFonts w:hint="eastAsia"/>
          <w:kern w:val="2"/>
          <w:szCs w:val="21"/>
        </w:rPr>
        <w:t>（</w:t>
      </w:r>
      <w:r>
        <w:rPr>
          <w:kern w:val="2"/>
          <w:szCs w:val="21"/>
        </w:rPr>
        <w:t>9</w:t>
      </w:r>
      <w:r>
        <w:rPr>
          <w:rFonts w:hint="eastAsia"/>
          <w:kern w:val="2"/>
          <w:szCs w:val="21"/>
        </w:rPr>
        <w:t>）</w:t>
      </w:r>
      <w:r>
        <w:rPr>
          <w:kern w:val="2"/>
          <w:szCs w:val="21"/>
        </w:rPr>
        <w:tab/>
      </w:r>
      <w:r>
        <w:rPr>
          <w:rFonts w:hint="eastAsia"/>
          <w:kern w:val="2"/>
          <w:szCs w:val="21"/>
        </w:rPr>
        <w:t>“</w:t>
      </w:r>
      <w:r>
        <w:rPr>
          <w:kern w:val="2"/>
          <w:szCs w:val="21"/>
        </w:rPr>
        <w:t>伪造器械</w:t>
      </w:r>
      <w:r>
        <w:rPr>
          <w:rFonts w:hint="eastAsia"/>
          <w:kern w:val="2"/>
          <w:szCs w:val="21"/>
        </w:rPr>
        <w:t>”</w:t>
      </w:r>
      <w:r>
        <w:rPr>
          <w:kern w:val="2"/>
          <w:szCs w:val="21"/>
        </w:rPr>
        <w:t>是指其标识和/或来源和/或CE标识证书或与CE标识程序相关文件为虚假伪造的器械。此定义不包含无意的不合规，并且不影响知识产权的侵犯。</w:t>
      </w:r>
    </w:p>
    <w:p w14:paraId="5F142B6A">
      <w:pPr>
        <w:pStyle w:val="8"/>
        <w:topLinePunct/>
        <w:snapToGrid w:val="0"/>
        <w:spacing w:beforeLines="40" w:line="300" w:lineRule="auto"/>
        <w:ind w:left="672" w:hanging="672" w:hangingChars="320"/>
        <w:jc w:val="both"/>
        <w:rPr>
          <w:kern w:val="2"/>
          <w:szCs w:val="21"/>
        </w:rPr>
      </w:pPr>
      <w:r>
        <w:rPr>
          <w:kern w:val="2"/>
          <w:szCs w:val="21"/>
        </w:rPr>
        <w:t>（10）</w:t>
      </w:r>
      <w:r>
        <w:rPr>
          <w:kern w:val="2"/>
          <w:szCs w:val="21"/>
        </w:rPr>
        <w:tab/>
      </w:r>
      <w:r>
        <w:rPr>
          <w:rFonts w:hint="eastAsia"/>
          <w:kern w:val="2"/>
          <w:szCs w:val="21"/>
        </w:rPr>
        <w:t>“</w:t>
      </w:r>
      <w:r>
        <w:rPr>
          <w:kern w:val="2"/>
          <w:szCs w:val="21"/>
        </w:rPr>
        <w:t>器械包</w:t>
      </w:r>
      <w:r>
        <w:rPr>
          <w:rFonts w:hint="eastAsia"/>
          <w:kern w:val="2"/>
          <w:szCs w:val="21"/>
        </w:rPr>
        <w:t>”</w:t>
      </w:r>
      <w:r>
        <w:rPr>
          <w:kern w:val="2"/>
          <w:szCs w:val="21"/>
        </w:rPr>
        <w:t>是指包装在一起并投放市场用于特定医疗目的产品的组合；</w:t>
      </w:r>
    </w:p>
    <w:p w14:paraId="25D1FCB2">
      <w:pPr>
        <w:pStyle w:val="8"/>
        <w:topLinePunct/>
        <w:snapToGrid w:val="0"/>
        <w:spacing w:beforeLines="40" w:line="300" w:lineRule="auto"/>
        <w:ind w:left="672" w:hanging="672" w:hangingChars="320"/>
        <w:jc w:val="both"/>
        <w:rPr>
          <w:kern w:val="2"/>
          <w:szCs w:val="21"/>
        </w:rPr>
      </w:pPr>
      <w:r>
        <w:rPr>
          <w:kern w:val="2"/>
          <w:szCs w:val="21"/>
        </w:rPr>
        <w:t>（11）</w:t>
      </w:r>
      <w:r>
        <w:rPr>
          <w:rFonts w:hint="eastAsia"/>
          <w:kern w:val="2"/>
          <w:szCs w:val="21"/>
        </w:rPr>
        <w:tab/>
      </w:r>
      <w:r>
        <w:rPr>
          <w:rFonts w:hint="eastAsia"/>
          <w:kern w:val="2"/>
          <w:szCs w:val="21"/>
        </w:rPr>
        <w:t>“</w:t>
      </w:r>
      <w:r>
        <w:rPr>
          <w:kern w:val="2"/>
          <w:szCs w:val="21"/>
        </w:rPr>
        <w:t>系统</w:t>
      </w:r>
      <w:r>
        <w:rPr>
          <w:rFonts w:hint="eastAsia"/>
          <w:kern w:val="2"/>
          <w:szCs w:val="21"/>
        </w:rPr>
        <w:t>”</w:t>
      </w:r>
      <w:r>
        <w:rPr>
          <w:kern w:val="2"/>
          <w:szCs w:val="21"/>
        </w:rPr>
        <w:t>是指包在一起或未包在一起的，用于相互连通或组合以实现特定医疗目的产品组合；</w:t>
      </w:r>
    </w:p>
    <w:p w14:paraId="50CDEED6">
      <w:pPr>
        <w:pStyle w:val="32"/>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ascii="Times New Roman" w:hAnsi="Times New Roman"/>
          <w:kern w:val="2"/>
          <w:szCs w:val="21"/>
        </w:rPr>
        <w:t>（12）</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预期用途</w:t>
      </w:r>
      <w:r>
        <w:rPr>
          <w:rFonts w:hint="eastAsia" w:ascii="Times New Roman" w:hAnsi="Times New Roman"/>
          <w:kern w:val="2"/>
          <w:szCs w:val="21"/>
        </w:rPr>
        <w:t>”</w:t>
      </w:r>
      <w:r>
        <w:rPr>
          <w:rFonts w:ascii="Times New Roman" w:hAnsi="Times New Roman"/>
          <w:kern w:val="2"/>
          <w:szCs w:val="21"/>
        </w:rPr>
        <w:t>是指制造商根据标签、说明书、促销或销售材料或声明中所提供的数据在临床评价中指定的用途；</w:t>
      </w:r>
    </w:p>
    <w:p w14:paraId="1EF371EE">
      <w:pPr>
        <w:pStyle w:val="32"/>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ascii="Times New Roman" w:hAnsi="Times New Roman"/>
          <w:kern w:val="2"/>
          <w:szCs w:val="21"/>
        </w:rPr>
        <w:t>（13）</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标签</w:t>
      </w:r>
      <w:r>
        <w:rPr>
          <w:rFonts w:hint="eastAsia" w:ascii="Times New Roman" w:hAnsi="Times New Roman"/>
          <w:kern w:val="2"/>
          <w:szCs w:val="21"/>
        </w:rPr>
        <w:t>”</w:t>
      </w:r>
      <w:r>
        <w:rPr>
          <w:rFonts w:ascii="Times New Roman" w:hAnsi="Times New Roman"/>
          <w:kern w:val="2"/>
          <w:szCs w:val="21"/>
        </w:rPr>
        <w:t>是指出现在器械本身，或在各装置包装上或多个器械包装上的印刷文字或图形类的信息；</w:t>
      </w:r>
    </w:p>
    <w:p w14:paraId="1AC63F80">
      <w:pPr>
        <w:pStyle w:val="32"/>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ascii="Times New Roman" w:hAnsi="Times New Roman"/>
          <w:kern w:val="2"/>
          <w:szCs w:val="21"/>
        </w:rPr>
        <w:t>（14）</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说明书</w:t>
      </w:r>
      <w:r>
        <w:rPr>
          <w:rFonts w:hint="eastAsia" w:ascii="Times New Roman" w:hAnsi="Times New Roman"/>
          <w:kern w:val="2"/>
          <w:szCs w:val="21"/>
        </w:rPr>
        <w:t>”</w:t>
      </w:r>
      <w:r>
        <w:rPr>
          <w:rFonts w:ascii="Times New Roman" w:hAnsi="Times New Roman"/>
          <w:kern w:val="2"/>
          <w:szCs w:val="21"/>
        </w:rPr>
        <w:t>是指由制造商提供，用以告知器械使用者该产品的预期用途、正确使用方法以及注意事项的信息。</w:t>
      </w:r>
    </w:p>
    <w:p w14:paraId="69906345">
      <w:pPr>
        <w:pStyle w:val="32"/>
        <w:tabs>
          <w:tab w:val="left" w:pos="1248"/>
        </w:tabs>
        <w:topLinePunct/>
        <w:snapToGrid w:val="0"/>
        <w:spacing w:beforeLines="40" w:line="300" w:lineRule="auto"/>
        <w:ind w:left="672" w:hanging="672" w:hangingChars="320"/>
        <w:jc w:val="both"/>
        <w:rPr>
          <w:rFonts w:ascii="Times New Roman" w:hAnsi="Times New Roman"/>
          <w:kern w:val="2"/>
          <w:szCs w:val="21"/>
        </w:rPr>
      </w:pPr>
      <w:r>
        <w:rPr>
          <w:rFonts w:ascii="Times New Roman" w:hAnsi="Times New Roman"/>
          <w:kern w:val="2"/>
          <w:szCs w:val="21"/>
        </w:rPr>
        <w:t>（15）</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唯一器械标识</w:t>
      </w:r>
      <w:r>
        <w:rPr>
          <w:rFonts w:hint="eastAsia" w:ascii="Times New Roman" w:hAnsi="Times New Roman"/>
          <w:kern w:val="2"/>
          <w:szCs w:val="21"/>
        </w:rPr>
        <w:t>”</w:t>
      </w:r>
      <w:r>
        <w:rPr>
          <w:rFonts w:ascii="Times New Roman" w:hAnsi="Times New Roman"/>
          <w:kern w:val="2"/>
          <w:szCs w:val="21"/>
        </w:rPr>
        <w:t>（UDI）是指通过国际认可的器械标识和编码标准创建的一系列数字或字母数字字符，并允许明确识别市场上的特定器械；</w:t>
      </w:r>
    </w:p>
    <w:p w14:paraId="5FF93D60">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（16）</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非活性</w:t>
      </w:r>
      <w:r>
        <w:rPr>
          <w:rFonts w:hint="eastAsia" w:ascii="Times New Roman" w:hAnsi="Times New Roman"/>
          <w:kern w:val="2"/>
          <w:szCs w:val="21"/>
        </w:rPr>
        <w:t>”</w:t>
      </w:r>
      <w:r>
        <w:rPr>
          <w:rFonts w:ascii="Times New Roman" w:hAnsi="Times New Roman"/>
          <w:kern w:val="2"/>
          <w:szCs w:val="21"/>
        </w:rPr>
        <w:t>是指没有代谢或繁殖的潜力；</w:t>
      </w:r>
    </w:p>
    <w:p w14:paraId="3EAB5EB9">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（17）</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衍生物</w:t>
      </w:r>
      <w:r>
        <w:rPr>
          <w:rFonts w:hint="eastAsia" w:ascii="Times New Roman" w:hAnsi="Times New Roman"/>
          <w:kern w:val="2"/>
          <w:szCs w:val="21"/>
        </w:rPr>
        <w:t>”</w:t>
      </w:r>
      <w:r>
        <w:rPr>
          <w:rFonts w:ascii="Times New Roman" w:hAnsi="Times New Roman"/>
          <w:kern w:val="2"/>
          <w:szCs w:val="21"/>
        </w:rPr>
        <w:t>是指通过生产过程从人或动物组织或细胞提取的</w:t>
      </w:r>
      <w:r>
        <w:rPr>
          <w:rFonts w:hint="eastAsia" w:ascii="Times New Roman" w:hAnsi="Times New Roman"/>
          <w:kern w:val="2"/>
          <w:szCs w:val="21"/>
        </w:rPr>
        <w:t>“</w:t>
      </w:r>
      <w:r>
        <w:rPr>
          <w:rFonts w:ascii="Times New Roman" w:hAnsi="Times New Roman"/>
          <w:kern w:val="2"/>
          <w:szCs w:val="21"/>
        </w:rPr>
        <w:t>非细胞物质</w:t>
      </w:r>
      <w:r>
        <w:rPr>
          <w:rFonts w:hint="eastAsia" w:ascii="Times New Roman" w:hAnsi="Times New Roman"/>
          <w:kern w:val="2"/>
          <w:szCs w:val="21"/>
        </w:rPr>
        <w:t>”</w:t>
      </w:r>
      <w:r>
        <w:rPr>
          <w:rFonts w:ascii="Times New Roman" w:hAnsi="Times New Roman"/>
          <w:kern w:val="2"/>
          <w:szCs w:val="21"/>
        </w:rPr>
        <w:t>。在这种情况下，用于制造器械的最终物质不得含有任何细胞或组织；</w:t>
      </w:r>
    </w:p>
    <w:p w14:paraId="4ADEE037">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（18）</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纳米材料</w:t>
      </w:r>
      <w:r>
        <w:rPr>
          <w:rFonts w:hint="eastAsia" w:ascii="Times New Roman" w:hAnsi="Times New Roman"/>
          <w:kern w:val="2"/>
          <w:szCs w:val="21"/>
        </w:rPr>
        <w:t>”</w:t>
      </w:r>
      <w:r>
        <w:rPr>
          <w:rFonts w:ascii="Times New Roman" w:hAnsi="Times New Roman"/>
          <w:kern w:val="2"/>
          <w:szCs w:val="21"/>
        </w:rPr>
        <w:t>是指含有颗粒的一种天然或人工制造材料（），该材料以游离状态或作为一种集合体或作为一种结块存在，粒径分布中颗粒到达50%或更多，具有一个或多个外部尺寸，尺寸范围介于1 nm-100 nm之间。</w:t>
      </w:r>
    </w:p>
    <w:p w14:paraId="7D3C65CE">
      <w:pPr>
        <w:pStyle w:val="32"/>
        <w:topLinePunct/>
        <w:snapToGrid w:val="0"/>
        <w:spacing w:beforeLines="25" w:line="300" w:lineRule="auto"/>
        <w:ind w:left="672" w:leftChars="320"/>
        <w:jc w:val="both"/>
        <w:rPr>
          <w:rFonts w:ascii="Times New Roman" w:hAnsi="Times New Roman"/>
          <w:kern w:val="2"/>
          <w:szCs w:val="21"/>
        </w:rPr>
      </w:pPr>
      <w:r>
        <w:rPr>
          <w:rFonts w:ascii="Times New Roman" w:hAnsi="Times New Roman"/>
          <w:kern w:val="2"/>
          <w:szCs w:val="21"/>
        </w:rPr>
        <w:t>具有一个或多个低于1nm的外部尺寸的富勒烯、石墨烯薄片和单壁碳纳米管应视为纳米材料；</w:t>
      </w:r>
    </w:p>
    <w:p w14:paraId="3D13FB7E">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19</w:t>
      </w:r>
      <w:r>
        <w:rPr>
          <w:rFonts w:hint="eastAsia" w:ascii="Times New Roman" w:hAnsi="Times New Roman"/>
          <w:kern w:val="2"/>
          <w:szCs w:val="21"/>
        </w:rPr>
        <w:t>）</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颗粒</w:t>
      </w:r>
      <w:r>
        <w:rPr>
          <w:rFonts w:hint="eastAsia" w:ascii="Times New Roman" w:hAnsi="Times New Roman"/>
          <w:kern w:val="2"/>
          <w:szCs w:val="21"/>
        </w:rPr>
        <w:t>”</w:t>
      </w:r>
      <w:r>
        <w:rPr>
          <w:rFonts w:ascii="Times New Roman" w:hAnsi="Times New Roman"/>
          <w:kern w:val="2"/>
          <w:szCs w:val="21"/>
        </w:rPr>
        <w:t>，就第(18)点中纳米材料的定义而言，是指具有确定物理边界的一小块物质；</w:t>
      </w:r>
    </w:p>
    <w:p w14:paraId="43E58CCD">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(20)</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附聚物</w:t>
      </w:r>
      <w:r>
        <w:rPr>
          <w:rFonts w:hint="eastAsia" w:ascii="Times New Roman" w:hAnsi="Times New Roman"/>
          <w:kern w:val="2"/>
          <w:szCs w:val="21"/>
        </w:rPr>
        <w:t>”</w:t>
      </w:r>
      <w:r>
        <w:rPr>
          <w:rFonts w:ascii="Times New Roman" w:hAnsi="Times New Roman"/>
          <w:kern w:val="2"/>
          <w:szCs w:val="21"/>
        </w:rPr>
        <w:t>，就第(18)点中纳米材料的定义而言，是指弱结合的颗粒或聚集体的集合，其中外表面积与各个成分的表面积总和相同；</w:t>
      </w:r>
    </w:p>
    <w:p w14:paraId="18C16279">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(21)</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聚集体</w:t>
      </w:r>
      <w:r>
        <w:rPr>
          <w:rFonts w:hint="eastAsia" w:ascii="Times New Roman" w:hAnsi="Times New Roman"/>
          <w:kern w:val="2"/>
          <w:szCs w:val="21"/>
        </w:rPr>
        <w:t>”</w:t>
      </w:r>
      <w:r>
        <w:rPr>
          <w:rFonts w:ascii="Times New Roman" w:hAnsi="Times New Roman"/>
          <w:kern w:val="2"/>
          <w:szCs w:val="21"/>
        </w:rPr>
        <w:t>，就第(18)点中纳米材料的定义而言，是指包含强结合的颗粒</w:t>
      </w:r>
      <w:r>
        <w:rPr>
          <w:rFonts w:ascii="Times New Roman" w:hAnsi="Times New Roman"/>
          <w:kern w:val="2"/>
          <w:szCs w:val="21"/>
          <w:lang w:val="en-US"/>
        </w:rPr>
        <w:t>或</w:t>
      </w:r>
      <w:r>
        <w:rPr>
          <w:rFonts w:hint="eastAsia" w:ascii="Times New Roman" w:hAnsi="Times New Roman"/>
          <w:kern w:val="2"/>
          <w:szCs w:val="21"/>
          <w:lang w:val="en-US"/>
        </w:rPr>
        <w:t>熔合</w:t>
      </w:r>
      <w:r>
        <w:rPr>
          <w:rFonts w:ascii="Times New Roman" w:hAnsi="Times New Roman"/>
          <w:kern w:val="2"/>
          <w:szCs w:val="21"/>
          <w:lang w:val="en-US"/>
        </w:rPr>
        <w:t>颗粒</w:t>
      </w:r>
      <w:r>
        <w:rPr>
          <w:rFonts w:ascii="Times New Roman" w:hAnsi="Times New Roman"/>
          <w:kern w:val="2"/>
          <w:szCs w:val="21"/>
        </w:rPr>
        <w:t>；</w:t>
      </w:r>
    </w:p>
    <w:p w14:paraId="1683CD5F">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22</w:t>
      </w:r>
      <w:r>
        <w:rPr>
          <w:rFonts w:hint="eastAsia" w:ascii="Times New Roman" w:hAnsi="Times New Roman"/>
          <w:kern w:val="2"/>
          <w:szCs w:val="21"/>
        </w:rPr>
        <w:t>)</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性能</w:t>
      </w:r>
      <w:r>
        <w:rPr>
          <w:rFonts w:hint="eastAsia" w:ascii="Times New Roman" w:hAnsi="Times New Roman"/>
          <w:kern w:val="2"/>
          <w:szCs w:val="21"/>
        </w:rPr>
        <w:t>”</w:t>
      </w:r>
      <w:r>
        <w:rPr>
          <w:rFonts w:ascii="Times New Roman" w:hAnsi="Times New Roman"/>
          <w:kern w:val="2"/>
          <w:szCs w:val="21"/>
        </w:rPr>
        <w:t>是指器械实现制造商要求的预期用途的能力；</w:t>
      </w:r>
    </w:p>
    <w:p w14:paraId="1ECE9056">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(23)</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风险</w:t>
      </w:r>
      <w:r>
        <w:rPr>
          <w:rFonts w:hint="eastAsia" w:ascii="Times New Roman" w:hAnsi="Times New Roman"/>
          <w:kern w:val="2"/>
          <w:szCs w:val="21"/>
        </w:rPr>
        <w:t>”</w:t>
      </w:r>
      <w:r>
        <w:rPr>
          <w:rFonts w:ascii="Times New Roman" w:hAnsi="Times New Roman"/>
          <w:kern w:val="2"/>
          <w:szCs w:val="21"/>
        </w:rPr>
        <w:t>是指危害发生概率和危害严重性的组合。</w:t>
      </w:r>
    </w:p>
    <w:p w14:paraId="68B38AF9">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 xml:space="preserve">(24) </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利益风险评估</w:t>
      </w:r>
      <w:r>
        <w:rPr>
          <w:rFonts w:hint="eastAsia" w:ascii="Times New Roman" w:hAnsi="Times New Roman"/>
          <w:kern w:val="2"/>
          <w:szCs w:val="21"/>
        </w:rPr>
        <w:t>”</w:t>
      </w:r>
      <w:r>
        <w:rPr>
          <w:rFonts w:ascii="Times New Roman" w:hAnsi="Times New Roman"/>
          <w:kern w:val="2"/>
          <w:szCs w:val="21"/>
        </w:rPr>
        <w:t>是指在根据制造商规定的预期用途使用器械时，与预期用途相关的所有利益和风险评估的</w:t>
      </w:r>
      <w:r>
        <w:rPr>
          <w:rFonts w:hint="eastAsia" w:ascii="Times New Roman" w:hAnsi="Times New Roman"/>
          <w:kern w:val="2"/>
          <w:szCs w:val="21"/>
        </w:rPr>
        <w:t>分析</w:t>
      </w:r>
      <w:r>
        <w:rPr>
          <w:rFonts w:ascii="Times New Roman" w:hAnsi="Times New Roman"/>
          <w:kern w:val="2"/>
          <w:szCs w:val="21"/>
        </w:rPr>
        <w:t>；</w:t>
      </w:r>
    </w:p>
    <w:p w14:paraId="2957B2D5">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(25)</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相容性</w:t>
      </w:r>
      <w:r>
        <w:rPr>
          <w:rFonts w:hint="eastAsia" w:ascii="Times New Roman" w:hAnsi="Times New Roman"/>
          <w:kern w:val="2"/>
          <w:szCs w:val="21"/>
        </w:rPr>
        <w:t>”</w:t>
      </w:r>
      <w:r>
        <w:rPr>
          <w:rFonts w:ascii="Times New Roman" w:hAnsi="Times New Roman"/>
          <w:kern w:val="2"/>
          <w:szCs w:val="21"/>
        </w:rPr>
        <w:t>是当根据其预期用途与一个或多个其他器械一起使用时，器械（包括软件）的能力：</w:t>
      </w:r>
    </w:p>
    <w:p w14:paraId="02B15360">
      <w:pPr>
        <w:pStyle w:val="32"/>
        <w:tabs>
          <w:tab w:val="left" w:pos="1190"/>
        </w:tabs>
        <w:topLinePunct/>
        <w:snapToGrid w:val="0"/>
        <w:spacing w:beforeLines="25" w:line="300" w:lineRule="auto"/>
        <w:ind w:left="672" w:leftChars="320" w:firstLine="27" w:firstLineChars="13"/>
        <w:jc w:val="both"/>
        <w:rPr>
          <w:rFonts w:ascii="Times New Roman" w:hAnsi="Times New Roman"/>
          <w:kern w:val="2"/>
          <w:szCs w:val="21"/>
        </w:rPr>
      </w:pPr>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执行而不失去或损害执行预期使用目的能力，和/或</w:t>
      </w:r>
    </w:p>
    <w:p w14:paraId="6E3C882E">
      <w:pPr>
        <w:pStyle w:val="32"/>
        <w:tabs>
          <w:tab w:val="left" w:pos="1190"/>
        </w:tabs>
        <w:topLinePunct/>
        <w:snapToGrid w:val="0"/>
        <w:spacing w:beforeLines="25" w:line="300" w:lineRule="auto"/>
        <w:ind w:left="672" w:leftChars="320" w:firstLine="27" w:firstLineChars="13"/>
        <w:jc w:val="both"/>
        <w:rPr>
          <w:rFonts w:ascii="Times New Roman" w:hAnsi="Times New Roman"/>
          <w:kern w:val="2"/>
          <w:szCs w:val="21"/>
        </w:rPr>
      </w:pPr>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整合和/或操作而不需要修改或调整器械任何部分的功能，和/或</w:t>
      </w:r>
    </w:p>
    <w:p w14:paraId="548536B2">
      <w:pPr>
        <w:pStyle w:val="32"/>
        <w:tabs>
          <w:tab w:val="left" w:pos="1190"/>
        </w:tabs>
        <w:topLinePunct/>
        <w:snapToGrid w:val="0"/>
        <w:spacing w:beforeLines="25" w:line="300" w:lineRule="auto"/>
        <w:ind w:left="672" w:leftChars="320" w:firstLine="27" w:firstLineChars="13"/>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在没有冲突/干扰或不良反应的情况下一起使用的能力。</w:t>
      </w:r>
    </w:p>
    <w:p w14:paraId="23E3AABA">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(26)</w:t>
      </w:r>
      <w:r>
        <w:rPr>
          <w:rFonts w:hint="eastAsia"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互操作性</w:t>
      </w:r>
      <w:r>
        <w:rPr>
          <w:rFonts w:hint="eastAsia" w:ascii="Times New Roman" w:hAnsi="Times New Roman"/>
          <w:kern w:val="2"/>
          <w:szCs w:val="21"/>
        </w:rPr>
        <w:t>”</w:t>
      </w:r>
      <w:r>
        <w:rPr>
          <w:rFonts w:ascii="Times New Roman" w:hAnsi="Times New Roman"/>
          <w:kern w:val="2"/>
          <w:szCs w:val="21"/>
        </w:rPr>
        <w:t>是指来自相同制造商或不同制造商的两个或更多器械（包括软件）的以下能力</w:t>
      </w:r>
    </w:p>
    <w:p w14:paraId="3F883174">
      <w:pPr>
        <w:pStyle w:val="32"/>
        <w:tabs>
          <w:tab w:val="left" w:pos="1190"/>
        </w:tabs>
        <w:topLinePunct/>
        <w:snapToGrid w:val="0"/>
        <w:spacing w:beforeLines="25" w:line="300" w:lineRule="auto"/>
        <w:ind w:left="1188" w:leftChars="337" w:hanging="480" w:hangingChars="229"/>
        <w:jc w:val="both"/>
        <w:rPr>
          <w:rFonts w:ascii="Times New Roman" w:hAnsi="Times New Roman"/>
          <w:kern w:val="2"/>
          <w:szCs w:val="21"/>
        </w:rPr>
      </w:pPr>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交换信息并能通过所交换的信息来为执行指定功能而不改变数据内容的能力，和/或</w:t>
      </w:r>
    </w:p>
    <w:p w14:paraId="54DADDF5">
      <w:pPr>
        <w:pStyle w:val="32"/>
        <w:tabs>
          <w:tab w:val="left" w:pos="1190"/>
        </w:tabs>
        <w:topLinePunct/>
        <w:snapToGrid w:val="0"/>
        <w:spacing w:beforeLines="25" w:line="300" w:lineRule="auto"/>
        <w:ind w:left="1188" w:leftChars="337" w:hanging="480" w:hangingChars="229"/>
        <w:jc w:val="both"/>
        <w:rPr>
          <w:rFonts w:ascii="Times New Roman" w:hAnsi="Times New Roman"/>
          <w:kern w:val="2"/>
          <w:szCs w:val="21"/>
        </w:rPr>
      </w:pPr>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相互通信的能力，和/或</w:t>
      </w:r>
    </w:p>
    <w:p w14:paraId="618FCFD9">
      <w:pPr>
        <w:pStyle w:val="32"/>
        <w:tabs>
          <w:tab w:val="left" w:pos="1190"/>
        </w:tabs>
        <w:topLinePunct/>
        <w:snapToGrid w:val="0"/>
        <w:spacing w:beforeLines="25" w:line="300" w:lineRule="auto"/>
        <w:ind w:left="1188" w:leftChars="337" w:hanging="480" w:hangingChars="229"/>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按照预期用途一同运作。</w:t>
      </w:r>
    </w:p>
    <w:p w14:paraId="187F4F6C">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(27)</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在市场上可获得</w:t>
      </w:r>
      <w:r>
        <w:rPr>
          <w:rFonts w:hint="eastAsia" w:ascii="Times New Roman" w:hAnsi="Times New Roman"/>
          <w:kern w:val="2"/>
          <w:szCs w:val="21"/>
        </w:rPr>
        <w:t>”</w:t>
      </w:r>
      <w:r>
        <w:rPr>
          <w:rFonts w:ascii="Times New Roman" w:hAnsi="Times New Roman"/>
          <w:kern w:val="2"/>
          <w:szCs w:val="21"/>
        </w:rPr>
        <w:t>是指在商业活动过程中于欧盟市场上分配、消费或使用的任何器械（除了用于研究器械外）的任何供应（不论其是付费或免费供应）；</w:t>
      </w:r>
    </w:p>
    <w:p w14:paraId="5F01DAA9">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(28)</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市场投放</w:t>
      </w:r>
      <w:r>
        <w:rPr>
          <w:rFonts w:hint="eastAsia" w:ascii="Times New Roman" w:hAnsi="Times New Roman"/>
          <w:kern w:val="2"/>
          <w:szCs w:val="21"/>
        </w:rPr>
        <w:t>”</w:t>
      </w:r>
      <w:r>
        <w:rPr>
          <w:rFonts w:ascii="Times New Roman" w:hAnsi="Times New Roman"/>
          <w:kern w:val="2"/>
          <w:szCs w:val="21"/>
        </w:rPr>
        <w:t>是指在欧盟市场上首次提供除研究器械以外的器械；</w:t>
      </w:r>
    </w:p>
    <w:p w14:paraId="7DFC0CB8">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(29)</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投入使用</w:t>
      </w:r>
      <w:r>
        <w:rPr>
          <w:rFonts w:hint="eastAsia" w:ascii="Times New Roman" w:hAnsi="Times New Roman"/>
          <w:kern w:val="2"/>
          <w:szCs w:val="21"/>
        </w:rPr>
        <w:t>”</w:t>
      </w:r>
      <w:r>
        <w:rPr>
          <w:rFonts w:ascii="Times New Roman" w:hAnsi="Times New Roman"/>
          <w:kern w:val="2"/>
          <w:szCs w:val="21"/>
        </w:rPr>
        <w:t>是指器械（用于研究的器械除外）可供最终使用者使用以准备在欧盟市场上首次用于其预期使用目的阶段；</w:t>
      </w:r>
    </w:p>
    <w:p w14:paraId="277E998A">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(30)</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制造商</w:t>
      </w:r>
      <w:r>
        <w:rPr>
          <w:rFonts w:hint="eastAsia" w:ascii="Times New Roman" w:hAnsi="Times New Roman"/>
          <w:kern w:val="2"/>
          <w:szCs w:val="21"/>
        </w:rPr>
        <w:t>”</w:t>
      </w:r>
      <w:r>
        <w:rPr>
          <w:rFonts w:ascii="Times New Roman" w:hAnsi="Times New Roman"/>
          <w:kern w:val="2"/>
          <w:szCs w:val="21"/>
        </w:rPr>
        <w:t>是指制造或全面翻新器械或具有设计、制造或全面翻新的器械并以其名称或商标销售该器械的自然人或法人。</w:t>
      </w:r>
    </w:p>
    <w:p w14:paraId="5F98D7C4">
      <w:pPr>
        <w:pStyle w:val="32"/>
        <w:tabs>
          <w:tab w:val="left" w:pos="1248"/>
        </w:tabs>
        <w:topLinePunct/>
        <w:snapToGrid w:val="0"/>
        <w:spacing w:beforeLines="25" w:line="300" w:lineRule="auto"/>
        <w:ind w:left="672" w:hanging="672" w:hangingChars="320"/>
        <w:jc w:val="both"/>
        <w:rPr>
          <w:rFonts w:ascii="Times New Roman" w:hAnsi="Times New Roman"/>
          <w:kern w:val="2"/>
          <w:szCs w:val="21"/>
        </w:rPr>
      </w:pPr>
      <w:r>
        <w:rPr>
          <w:rFonts w:ascii="Times New Roman" w:hAnsi="Times New Roman"/>
          <w:kern w:val="2"/>
          <w:szCs w:val="21"/>
        </w:rPr>
        <w:t>(31)</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全面翻新</w:t>
      </w:r>
      <w:r>
        <w:rPr>
          <w:rFonts w:hint="eastAsia" w:ascii="Times New Roman" w:hAnsi="Times New Roman"/>
          <w:kern w:val="2"/>
          <w:szCs w:val="21"/>
        </w:rPr>
        <w:t>”</w:t>
      </w:r>
      <w:r>
        <w:rPr>
          <w:rFonts w:ascii="Times New Roman" w:hAnsi="Times New Roman"/>
          <w:kern w:val="2"/>
          <w:szCs w:val="21"/>
        </w:rPr>
        <w:t>，基于制造商的定义，是指已投放市场或投入使用的器械全面翻新，或者利用已使用的器械制造新器械，以使其符合本法规，并赋予翻新的器械新的寿命；</w:t>
      </w:r>
    </w:p>
    <w:p w14:paraId="4790402E">
      <w:pPr>
        <w:pStyle w:val="32"/>
        <w:tabs>
          <w:tab w:val="left" w:pos="1248"/>
        </w:tabs>
        <w:topLinePunct/>
        <w:snapToGrid w:val="0"/>
        <w:spacing w:beforeLines="15" w:line="300" w:lineRule="auto"/>
        <w:ind w:left="718" w:hanging="718" w:hangingChars="342"/>
        <w:jc w:val="both"/>
        <w:rPr>
          <w:rFonts w:ascii="Times New Roman" w:hAnsi="Times New Roman"/>
          <w:kern w:val="2"/>
          <w:szCs w:val="21"/>
        </w:rPr>
      </w:pPr>
      <w:r>
        <w:rPr>
          <w:rFonts w:ascii="Times New Roman" w:hAnsi="Times New Roman"/>
          <w:kern w:val="2"/>
          <w:szCs w:val="21"/>
        </w:rPr>
        <w:t>(32)</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授权代表</w:t>
      </w:r>
      <w:r>
        <w:rPr>
          <w:rFonts w:hint="eastAsia" w:ascii="Times New Roman" w:hAnsi="Times New Roman"/>
          <w:kern w:val="2"/>
          <w:szCs w:val="21"/>
        </w:rPr>
        <w:t>”</w:t>
      </w:r>
      <w:r>
        <w:rPr>
          <w:rFonts w:ascii="Times New Roman" w:hAnsi="Times New Roman"/>
          <w:kern w:val="2"/>
          <w:szCs w:val="21"/>
        </w:rPr>
        <w:t>是指在欧盟境内确定的任何自然人或法人，其收到并接受位于欧盟以外的制造商的书面授权，代表该制造商按照本法规对制造商所规定的义务要求所进行的一切行动；</w:t>
      </w:r>
    </w:p>
    <w:p w14:paraId="0F36D9DD">
      <w:pPr>
        <w:pStyle w:val="32"/>
        <w:tabs>
          <w:tab w:val="left" w:pos="1248"/>
        </w:tabs>
        <w:topLinePunct/>
        <w:snapToGrid w:val="0"/>
        <w:spacing w:beforeLines="15" w:line="300" w:lineRule="auto"/>
        <w:ind w:left="718" w:hanging="718" w:hangingChars="342"/>
        <w:jc w:val="both"/>
        <w:rPr>
          <w:rFonts w:ascii="Times New Roman" w:hAnsi="Times New Roman"/>
          <w:kern w:val="2"/>
          <w:szCs w:val="21"/>
        </w:rPr>
      </w:pPr>
      <w:r>
        <w:rPr>
          <w:rFonts w:ascii="Times New Roman" w:hAnsi="Times New Roman"/>
          <w:kern w:val="2"/>
          <w:szCs w:val="21"/>
        </w:rPr>
        <w:t>(33)</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进口商</w:t>
      </w:r>
      <w:r>
        <w:rPr>
          <w:rFonts w:hint="eastAsia" w:ascii="Times New Roman" w:hAnsi="Times New Roman"/>
          <w:kern w:val="2"/>
          <w:szCs w:val="21"/>
        </w:rPr>
        <w:t>”</w:t>
      </w:r>
      <w:r>
        <w:rPr>
          <w:rFonts w:ascii="Times New Roman" w:hAnsi="Times New Roman"/>
          <w:kern w:val="2"/>
          <w:szCs w:val="21"/>
        </w:rPr>
        <w:t>是指在欧盟内确定的任何自然人或法人，其来自器械投放于欧盟市场</w:t>
      </w:r>
      <w:r>
        <w:rPr>
          <w:rFonts w:hint="eastAsia" w:ascii="Times New Roman" w:hAnsi="Times New Roman"/>
          <w:kern w:val="2"/>
          <w:szCs w:val="21"/>
        </w:rPr>
        <w:t>的</w:t>
      </w:r>
      <w:r>
        <w:rPr>
          <w:rFonts w:ascii="Times New Roman" w:hAnsi="Times New Roman"/>
          <w:kern w:val="2"/>
          <w:szCs w:val="21"/>
        </w:rPr>
        <w:t>第三国；</w:t>
      </w:r>
    </w:p>
    <w:p w14:paraId="5286364F">
      <w:pPr>
        <w:pStyle w:val="32"/>
        <w:tabs>
          <w:tab w:val="left" w:pos="1248"/>
        </w:tabs>
        <w:topLinePunct/>
        <w:snapToGrid w:val="0"/>
        <w:spacing w:beforeLines="15" w:line="300" w:lineRule="auto"/>
        <w:ind w:left="718" w:hanging="718" w:hangingChars="342"/>
        <w:jc w:val="both"/>
        <w:rPr>
          <w:rFonts w:ascii="Times New Roman" w:hAnsi="Times New Roman"/>
          <w:kern w:val="2"/>
          <w:szCs w:val="21"/>
        </w:rPr>
      </w:pPr>
      <w:r>
        <w:rPr>
          <w:rFonts w:ascii="Times New Roman" w:hAnsi="Times New Roman"/>
          <w:kern w:val="2"/>
          <w:szCs w:val="21"/>
        </w:rPr>
        <w:t>(34)</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经销商</w:t>
      </w:r>
      <w:r>
        <w:rPr>
          <w:rFonts w:hint="eastAsia" w:ascii="Times New Roman" w:hAnsi="Times New Roman"/>
          <w:kern w:val="2"/>
          <w:szCs w:val="21"/>
        </w:rPr>
        <w:t>”</w:t>
      </w:r>
      <w:r>
        <w:rPr>
          <w:rFonts w:ascii="Times New Roman" w:hAnsi="Times New Roman"/>
          <w:kern w:val="2"/>
          <w:szCs w:val="21"/>
        </w:rPr>
        <w:t>是指供应链中除了制造商或进口商外的任何自然人或法人，其负责从器械投放市场到投入使用的整个过程；</w:t>
      </w:r>
    </w:p>
    <w:p w14:paraId="508EE8B3">
      <w:pPr>
        <w:pStyle w:val="32"/>
        <w:tabs>
          <w:tab w:val="left" w:pos="1248"/>
        </w:tabs>
        <w:topLinePunct/>
        <w:snapToGrid w:val="0"/>
        <w:spacing w:beforeLines="15" w:line="300" w:lineRule="auto"/>
        <w:ind w:left="718" w:hanging="718" w:hangingChars="342"/>
        <w:jc w:val="both"/>
        <w:rPr>
          <w:rFonts w:ascii="Times New Roman" w:hAnsi="Times New Roman"/>
          <w:kern w:val="2"/>
          <w:szCs w:val="21"/>
        </w:rPr>
      </w:pPr>
      <w:r>
        <w:rPr>
          <w:rFonts w:ascii="Times New Roman" w:hAnsi="Times New Roman"/>
          <w:kern w:val="2"/>
          <w:szCs w:val="21"/>
        </w:rPr>
        <w:t>(35)</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经济运营商</w:t>
      </w:r>
      <w:r>
        <w:rPr>
          <w:rFonts w:hint="eastAsia" w:ascii="Times New Roman" w:hAnsi="Times New Roman"/>
          <w:kern w:val="2"/>
          <w:szCs w:val="21"/>
        </w:rPr>
        <w:t>”</w:t>
      </w:r>
      <w:r>
        <w:rPr>
          <w:rFonts w:ascii="Times New Roman" w:hAnsi="Times New Roman"/>
          <w:kern w:val="2"/>
          <w:szCs w:val="21"/>
        </w:rPr>
        <w:t>是指制造商、授权代表、进口商、经销商和第22(1)和22(3)条的所指人员；</w:t>
      </w:r>
    </w:p>
    <w:p w14:paraId="1B29E7CA">
      <w:pPr>
        <w:pStyle w:val="32"/>
        <w:tabs>
          <w:tab w:val="left" w:pos="1248"/>
        </w:tabs>
        <w:topLinePunct/>
        <w:snapToGrid w:val="0"/>
        <w:spacing w:beforeLines="15" w:line="300" w:lineRule="auto"/>
        <w:ind w:left="716" w:hanging="716" w:hangingChars="341"/>
        <w:jc w:val="both"/>
        <w:rPr>
          <w:rFonts w:ascii="Times New Roman" w:hAnsi="Times New Roman"/>
          <w:kern w:val="2"/>
          <w:szCs w:val="21"/>
        </w:rPr>
      </w:pPr>
      <w:r>
        <w:rPr>
          <w:rFonts w:ascii="Times New Roman" w:hAnsi="Times New Roman"/>
          <w:kern w:val="2"/>
          <w:szCs w:val="21"/>
        </w:rPr>
        <w:t>(36)</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卫生机构</w:t>
      </w:r>
      <w:r>
        <w:rPr>
          <w:rFonts w:hint="eastAsia" w:ascii="Times New Roman" w:hAnsi="Times New Roman"/>
          <w:kern w:val="2"/>
          <w:szCs w:val="21"/>
        </w:rPr>
        <w:t>”</w:t>
      </w:r>
      <w:r>
        <w:rPr>
          <w:rFonts w:ascii="Times New Roman" w:hAnsi="Times New Roman"/>
          <w:kern w:val="2"/>
          <w:szCs w:val="21"/>
        </w:rPr>
        <w:t>是指以护理抑或治疗疾病或促进公众健康为目的组织；</w:t>
      </w:r>
    </w:p>
    <w:p w14:paraId="2F15FEC1">
      <w:pPr>
        <w:pStyle w:val="32"/>
        <w:tabs>
          <w:tab w:val="left" w:pos="1248"/>
        </w:tabs>
        <w:topLinePunct/>
        <w:snapToGrid w:val="0"/>
        <w:spacing w:beforeLines="15" w:line="300" w:lineRule="auto"/>
        <w:ind w:left="716" w:hanging="716" w:hangingChars="341"/>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37</w:t>
      </w:r>
      <w:r>
        <w:rPr>
          <w:rFonts w:hint="eastAsia" w:ascii="Times New Roman" w:hAnsi="Times New Roman"/>
          <w:kern w:val="2"/>
          <w:szCs w:val="21"/>
        </w:rPr>
        <w:t>)</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使用者</w:t>
      </w:r>
      <w:r>
        <w:rPr>
          <w:rFonts w:hint="eastAsia" w:ascii="Times New Roman" w:hAnsi="Times New Roman"/>
          <w:kern w:val="2"/>
          <w:szCs w:val="21"/>
        </w:rPr>
        <w:t>”</w:t>
      </w:r>
      <w:r>
        <w:rPr>
          <w:rFonts w:ascii="Times New Roman" w:hAnsi="Times New Roman"/>
          <w:kern w:val="2"/>
          <w:szCs w:val="21"/>
        </w:rPr>
        <w:t>是指使用器械的任何医护专业人员或非专业人员；</w:t>
      </w:r>
    </w:p>
    <w:p w14:paraId="3181DC8F">
      <w:pPr>
        <w:pStyle w:val="32"/>
        <w:tabs>
          <w:tab w:val="left" w:pos="1248"/>
        </w:tabs>
        <w:topLinePunct/>
        <w:snapToGrid w:val="0"/>
        <w:spacing w:beforeLines="15" w:line="300" w:lineRule="auto"/>
        <w:ind w:left="716" w:hanging="716" w:hangingChars="341"/>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38</w:t>
      </w:r>
      <w:r>
        <w:rPr>
          <w:rFonts w:hint="eastAsia" w:ascii="Times New Roman" w:hAnsi="Times New Roman"/>
          <w:kern w:val="2"/>
          <w:szCs w:val="21"/>
        </w:rPr>
        <w:t>)</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非专业人员</w:t>
      </w:r>
      <w:r>
        <w:rPr>
          <w:rFonts w:hint="eastAsia" w:ascii="Times New Roman" w:hAnsi="Times New Roman"/>
          <w:kern w:val="2"/>
          <w:szCs w:val="21"/>
        </w:rPr>
        <w:t>”</w:t>
      </w:r>
      <w:r>
        <w:rPr>
          <w:rFonts w:ascii="Times New Roman" w:hAnsi="Times New Roman"/>
          <w:kern w:val="2"/>
          <w:szCs w:val="21"/>
        </w:rPr>
        <w:t>是指未在相关医疗卫生或医学学科领域接受正规教育的个人；</w:t>
      </w:r>
    </w:p>
    <w:p w14:paraId="7D15C7C1">
      <w:pPr>
        <w:pStyle w:val="32"/>
        <w:tabs>
          <w:tab w:val="left" w:pos="1248"/>
        </w:tabs>
        <w:topLinePunct/>
        <w:snapToGrid w:val="0"/>
        <w:spacing w:beforeLines="15" w:line="300" w:lineRule="auto"/>
        <w:ind w:left="716" w:hanging="716" w:hangingChars="341"/>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39</w:t>
      </w:r>
      <w:r>
        <w:rPr>
          <w:rFonts w:hint="eastAsia" w:ascii="Times New Roman" w:hAnsi="Times New Roman"/>
          <w:kern w:val="2"/>
          <w:szCs w:val="21"/>
        </w:rPr>
        <w:t>)</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再处理</w:t>
      </w:r>
      <w:r>
        <w:rPr>
          <w:rFonts w:hint="eastAsia" w:ascii="Times New Roman" w:hAnsi="Times New Roman"/>
          <w:kern w:val="2"/>
          <w:szCs w:val="21"/>
        </w:rPr>
        <w:t>”</w:t>
      </w:r>
      <w:r>
        <w:rPr>
          <w:rFonts w:ascii="Times New Roman" w:hAnsi="Times New Roman"/>
          <w:kern w:val="2"/>
          <w:szCs w:val="21"/>
        </w:rPr>
        <w:t>是指在使用过的器械上进行的处理过程，以便允许其安全再利用，包括清洁、消毒、灭菌和相关程序，以及测试和恢复所用器械的技术和功能安全性；</w:t>
      </w:r>
    </w:p>
    <w:p w14:paraId="5BFAC7EC">
      <w:pPr>
        <w:pStyle w:val="32"/>
        <w:tabs>
          <w:tab w:val="left" w:pos="1254"/>
        </w:tabs>
        <w:topLinePunct/>
        <w:snapToGrid w:val="0"/>
        <w:spacing w:beforeLines="15" w:line="300" w:lineRule="auto"/>
        <w:ind w:left="716" w:hanging="716" w:hangingChars="341"/>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40</w:t>
      </w:r>
      <w:r>
        <w:rPr>
          <w:rFonts w:hint="eastAsia" w:ascii="Times New Roman" w:hAnsi="Times New Roman"/>
          <w:kern w:val="2"/>
          <w:szCs w:val="21"/>
        </w:rPr>
        <w:t>)</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符合性评估</w:t>
      </w:r>
      <w:r>
        <w:rPr>
          <w:rFonts w:hint="eastAsia" w:ascii="Times New Roman" w:hAnsi="Times New Roman"/>
          <w:kern w:val="2"/>
          <w:szCs w:val="21"/>
        </w:rPr>
        <w:t>”</w:t>
      </w:r>
      <w:r>
        <w:rPr>
          <w:rFonts w:ascii="Times New Roman" w:hAnsi="Times New Roman"/>
          <w:kern w:val="2"/>
          <w:szCs w:val="21"/>
        </w:rPr>
        <w:t>是指证明本法规中与器械相关的要求是否得到满足的过程；</w:t>
      </w:r>
    </w:p>
    <w:p w14:paraId="05D0A811">
      <w:pPr>
        <w:pStyle w:val="32"/>
        <w:tabs>
          <w:tab w:val="left" w:pos="1254"/>
        </w:tabs>
        <w:topLinePunct/>
        <w:snapToGrid w:val="0"/>
        <w:spacing w:beforeLines="15" w:line="300" w:lineRule="auto"/>
        <w:ind w:left="899" w:hanging="898" w:hangingChars="428"/>
        <w:jc w:val="both"/>
        <w:rPr>
          <w:rFonts w:ascii="Times New Roman" w:hAnsi="Times New Roman"/>
          <w:kern w:val="2"/>
          <w:szCs w:val="21"/>
        </w:rPr>
      </w:pPr>
      <w:r>
        <w:rPr>
          <w:rFonts w:ascii="Times New Roman" w:hAnsi="Times New Roman"/>
          <w:kern w:val="2"/>
          <w:szCs w:val="21"/>
        </w:rPr>
        <w:t>（41）</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符合性评估机构</w:t>
      </w:r>
      <w:r>
        <w:rPr>
          <w:rFonts w:hint="eastAsia" w:ascii="Times New Roman" w:hAnsi="Times New Roman"/>
          <w:kern w:val="2"/>
          <w:szCs w:val="21"/>
        </w:rPr>
        <w:t>”</w:t>
      </w:r>
      <w:r>
        <w:rPr>
          <w:rFonts w:ascii="Times New Roman" w:hAnsi="Times New Roman"/>
          <w:kern w:val="2"/>
          <w:szCs w:val="21"/>
        </w:rPr>
        <w:t>是指执行第三方符合性评估活动的机构，活动包括评估、检查、认证和审核；</w:t>
      </w:r>
    </w:p>
    <w:p w14:paraId="682EAB2C">
      <w:pPr>
        <w:pStyle w:val="32"/>
        <w:tabs>
          <w:tab w:val="left" w:pos="1254"/>
        </w:tabs>
        <w:topLinePunct/>
        <w:snapToGrid w:val="0"/>
        <w:spacing w:beforeLines="15" w:line="300" w:lineRule="auto"/>
        <w:ind w:left="899" w:hanging="898" w:hangingChars="428"/>
        <w:jc w:val="both"/>
        <w:rPr>
          <w:rFonts w:ascii="Times New Roman" w:hAnsi="Times New Roman"/>
          <w:kern w:val="2"/>
          <w:szCs w:val="21"/>
        </w:rPr>
      </w:pPr>
      <w:r>
        <w:rPr>
          <w:rFonts w:ascii="Times New Roman" w:hAnsi="Times New Roman"/>
          <w:kern w:val="2"/>
          <w:szCs w:val="21"/>
        </w:rPr>
        <w:t>（42）</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公告机构</w:t>
      </w:r>
      <w:r>
        <w:rPr>
          <w:rFonts w:hint="eastAsia" w:ascii="Times New Roman" w:hAnsi="Times New Roman"/>
          <w:kern w:val="2"/>
          <w:szCs w:val="21"/>
        </w:rPr>
        <w:t>”</w:t>
      </w:r>
      <w:r>
        <w:rPr>
          <w:rFonts w:ascii="Times New Roman" w:hAnsi="Times New Roman"/>
          <w:kern w:val="2"/>
          <w:szCs w:val="21"/>
        </w:rPr>
        <w:t>是指根据本法规指定的符合性评估机构；</w:t>
      </w:r>
    </w:p>
    <w:p w14:paraId="35F9187D">
      <w:pPr>
        <w:pStyle w:val="32"/>
        <w:tabs>
          <w:tab w:val="left" w:pos="1254"/>
        </w:tabs>
        <w:topLinePunct/>
        <w:snapToGrid w:val="0"/>
        <w:spacing w:beforeLines="15" w:line="300" w:lineRule="auto"/>
        <w:ind w:left="899" w:hanging="898" w:hangingChars="428"/>
        <w:jc w:val="both"/>
        <w:rPr>
          <w:rFonts w:ascii="Times New Roman" w:hAnsi="Times New Roman"/>
          <w:kern w:val="2"/>
          <w:szCs w:val="21"/>
        </w:rPr>
      </w:pPr>
      <w:r>
        <w:rPr>
          <w:rFonts w:ascii="Times New Roman" w:hAnsi="Times New Roman"/>
          <w:kern w:val="2"/>
          <w:szCs w:val="21"/>
        </w:rPr>
        <w:t>（43）</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CE合格标识</w:t>
      </w:r>
      <w:r>
        <w:rPr>
          <w:rFonts w:hint="eastAsia" w:ascii="Times New Roman" w:hAnsi="Times New Roman"/>
          <w:kern w:val="2"/>
          <w:szCs w:val="21"/>
        </w:rPr>
        <w:t>”</w:t>
      </w:r>
      <w:r>
        <w:rPr>
          <w:rFonts w:ascii="Times New Roman" w:hAnsi="Times New Roman"/>
          <w:kern w:val="2"/>
          <w:szCs w:val="21"/>
        </w:rPr>
        <w:t>或</w:t>
      </w:r>
      <w:r>
        <w:rPr>
          <w:rFonts w:hint="eastAsia" w:ascii="Times New Roman" w:hAnsi="Times New Roman"/>
          <w:kern w:val="2"/>
          <w:szCs w:val="21"/>
        </w:rPr>
        <w:t>“</w:t>
      </w:r>
      <w:r>
        <w:rPr>
          <w:rFonts w:ascii="Times New Roman" w:hAnsi="Times New Roman"/>
          <w:kern w:val="2"/>
          <w:szCs w:val="21"/>
        </w:rPr>
        <w:t>CE标识</w:t>
      </w:r>
      <w:r>
        <w:rPr>
          <w:rFonts w:hint="eastAsia" w:ascii="Times New Roman" w:hAnsi="Times New Roman"/>
          <w:kern w:val="2"/>
          <w:szCs w:val="21"/>
        </w:rPr>
        <w:t>”</w:t>
      </w:r>
      <w:r>
        <w:rPr>
          <w:rFonts w:ascii="Times New Roman" w:hAnsi="Times New Roman"/>
          <w:kern w:val="2"/>
          <w:szCs w:val="21"/>
        </w:rPr>
        <w:t>是指制造商为表明该器械符合本法规和其他适用的欧盟协调立法对其标识规定的适用要求而使用的标识；</w:t>
      </w:r>
    </w:p>
    <w:p w14:paraId="52D716C6">
      <w:pPr>
        <w:pStyle w:val="32"/>
        <w:tabs>
          <w:tab w:val="left" w:pos="1260"/>
        </w:tabs>
        <w:topLinePunct/>
        <w:snapToGrid w:val="0"/>
        <w:spacing w:beforeLines="15" w:line="300" w:lineRule="auto"/>
        <w:ind w:left="899" w:hanging="898" w:hangingChars="428"/>
        <w:jc w:val="both"/>
        <w:rPr>
          <w:rFonts w:ascii="Times New Roman" w:hAnsi="Times New Roman"/>
          <w:kern w:val="2"/>
          <w:szCs w:val="21"/>
        </w:rPr>
      </w:pPr>
      <w:r>
        <w:rPr>
          <w:rFonts w:ascii="Times New Roman" w:hAnsi="Times New Roman"/>
          <w:kern w:val="2"/>
          <w:szCs w:val="21"/>
        </w:rPr>
        <w:t>（44）</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临床评价</w:t>
      </w:r>
      <w:r>
        <w:rPr>
          <w:rFonts w:hint="eastAsia" w:ascii="Times New Roman" w:hAnsi="Times New Roman"/>
          <w:kern w:val="2"/>
          <w:szCs w:val="21"/>
        </w:rPr>
        <w:t>”</w:t>
      </w:r>
      <w:r>
        <w:rPr>
          <w:rFonts w:ascii="Times New Roman" w:hAnsi="Times New Roman"/>
          <w:kern w:val="2"/>
          <w:szCs w:val="21"/>
        </w:rPr>
        <w:t>是指，连续地产生、收集、分析和评估与器械有关的临床数据的一个系统化的流程，目的是为验证按照制造商所规定的预期用途使器械用器械的安全性及性能包括临床收益；</w:t>
      </w:r>
    </w:p>
    <w:p w14:paraId="20104714">
      <w:pPr>
        <w:pStyle w:val="32"/>
        <w:tabs>
          <w:tab w:val="left" w:pos="1260"/>
        </w:tabs>
        <w:topLinePunct/>
        <w:snapToGrid w:val="0"/>
        <w:spacing w:beforeLines="15" w:line="300" w:lineRule="auto"/>
        <w:ind w:left="899" w:hanging="898" w:hangingChars="428"/>
        <w:jc w:val="both"/>
        <w:rPr>
          <w:rFonts w:ascii="Times New Roman" w:hAnsi="Times New Roman"/>
          <w:kern w:val="2"/>
          <w:szCs w:val="21"/>
        </w:rPr>
      </w:pPr>
      <w:r>
        <w:rPr>
          <w:rFonts w:ascii="Times New Roman" w:hAnsi="Times New Roman"/>
          <w:kern w:val="2"/>
          <w:szCs w:val="21"/>
        </w:rPr>
        <w:t>（45）</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临床研究</w:t>
      </w:r>
      <w:r>
        <w:rPr>
          <w:rFonts w:hint="eastAsia" w:ascii="Times New Roman" w:hAnsi="Times New Roman"/>
          <w:kern w:val="2"/>
          <w:szCs w:val="21"/>
        </w:rPr>
        <w:t>”</w:t>
      </w:r>
      <w:r>
        <w:rPr>
          <w:rFonts w:ascii="Times New Roman" w:hAnsi="Times New Roman"/>
          <w:kern w:val="2"/>
          <w:szCs w:val="21"/>
        </w:rPr>
        <w:t>是指对一个或多个受试者进行的任何系统性研究，以评估器械的安全性及产品性能；</w:t>
      </w:r>
    </w:p>
    <w:p w14:paraId="3E8F5D36">
      <w:pPr>
        <w:pStyle w:val="32"/>
        <w:tabs>
          <w:tab w:val="left" w:pos="1260"/>
        </w:tabs>
        <w:topLinePunct/>
        <w:snapToGrid w:val="0"/>
        <w:spacing w:beforeLines="15" w:line="300" w:lineRule="auto"/>
        <w:ind w:left="899" w:hanging="898" w:hangingChars="428"/>
        <w:jc w:val="both"/>
        <w:rPr>
          <w:rFonts w:ascii="Times New Roman" w:hAnsi="Times New Roman"/>
          <w:kern w:val="2"/>
          <w:szCs w:val="21"/>
        </w:rPr>
      </w:pPr>
      <w:r>
        <w:rPr>
          <w:rFonts w:ascii="Times New Roman" w:hAnsi="Times New Roman"/>
          <w:kern w:val="2"/>
          <w:szCs w:val="21"/>
        </w:rPr>
        <w:t>（46）</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研究器械</w:t>
      </w:r>
      <w:r>
        <w:rPr>
          <w:rFonts w:hint="eastAsia" w:ascii="Times New Roman" w:hAnsi="Times New Roman"/>
          <w:kern w:val="2"/>
          <w:szCs w:val="21"/>
        </w:rPr>
        <w:t>”</w:t>
      </w:r>
      <w:r>
        <w:rPr>
          <w:rFonts w:ascii="Times New Roman" w:hAnsi="Times New Roman"/>
          <w:kern w:val="2"/>
          <w:szCs w:val="21"/>
        </w:rPr>
        <w:t>是指在临床研究中</w:t>
      </w:r>
      <w:r>
        <w:rPr>
          <w:rFonts w:hint="eastAsia" w:ascii="Times New Roman" w:hAnsi="Times New Roman"/>
          <w:kern w:val="2"/>
          <w:szCs w:val="21"/>
        </w:rPr>
        <w:t>评估</w:t>
      </w:r>
      <w:r>
        <w:rPr>
          <w:rFonts w:ascii="Times New Roman" w:hAnsi="Times New Roman"/>
          <w:kern w:val="2"/>
          <w:szCs w:val="21"/>
        </w:rPr>
        <w:t>的任何器械；</w:t>
      </w:r>
    </w:p>
    <w:p w14:paraId="0B2379DA">
      <w:pPr>
        <w:pStyle w:val="32"/>
        <w:tabs>
          <w:tab w:val="left" w:pos="1260"/>
        </w:tabs>
        <w:topLinePunct/>
        <w:snapToGrid w:val="0"/>
        <w:spacing w:beforeLines="15" w:line="300" w:lineRule="auto"/>
        <w:ind w:left="899" w:hanging="898" w:hangingChars="428"/>
        <w:jc w:val="both"/>
        <w:rPr>
          <w:rFonts w:ascii="Times New Roman" w:hAnsi="Times New Roman"/>
          <w:kern w:val="2"/>
          <w:szCs w:val="21"/>
        </w:rPr>
      </w:pPr>
      <w:r>
        <w:rPr>
          <w:rFonts w:ascii="Times New Roman" w:hAnsi="Times New Roman"/>
          <w:kern w:val="2"/>
          <w:szCs w:val="21"/>
        </w:rPr>
        <w:t>（47）</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临床研究计划</w:t>
      </w:r>
      <w:r>
        <w:rPr>
          <w:rFonts w:hint="eastAsia" w:ascii="Times New Roman" w:hAnsi="Times New Roman"/>
          <w:kern w:val="2"/>
          <w:szCs w:val="21"/>
        </w:rPr>
        <w:t>”</w:t>
      </w:r>
      <w:r>
        <w:rPr>
          <w:rFonts w:ascii="Times New Roman" w:hAnsi="Times New Roman"/>
          <w:kern w:val="2"/>
          <w:szCs w:val="21"/>
        </w:rPr>
        <w:t>是指说明临床研究的理论、目标、设计、方法、监察、统计方法、组织和施行方案的文件；</w:t>
      </w:r>
    </w:p>
    <w:p w14:paraId="0249E824">
      <w:pPr>
        <w:pStyle w:val="32"/>
        <w:tabs>
          <w:tab w:val="left" w:pos="1260"/>
        </w:tabs>
        <w:topLinePunct/>
        <w:snapToGrid w:val="0"/>
        <w:spacing w:beforeLines="15" w:line="300" w:lineRule="auto"/>
        <w:ind w:left="899" w:hanging="898" w:hangingChars="428"/>
        <w:jc w:val="both"/>
        <w:rPr>
          <w:rFonts w:ascii="Times New Roman" w:hAnsi="Times New Roman"/>
          <w:kern w:val="2"/>
          <w:szCs w:val="21"/>
        </w:rPr>
      </w:pPr>
      <w:r>
        <w:rPr>
          <w:rFonts w:ascii="Times New Roman" w:hAnsi="Times New Roman"/>
          <w:kern w:val="2"/>
          <w:szCs w:val="21"/>
        </w:rPr>
        <w:t>（48）</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临床数据</w:t>
      </w:r>
      <w:r>
        <w:rPr>
          <w:rFonts w:hint="eastAsia" w:ascii="Times New Roman" w:hAnsi="Times New Roman"/>
          <w:kern w:val="2"/>
          <w:szCs w:val="21"/>
        </w:rPr>
        <w:t>”</w:t>
      </w:r>
      <w:r>
        <w:rPr>
          <w:rFonts w:ascii="Times New Roman" w:hAnsi="Times New Roman"/>
          <w:kern w:val="2"/>
          <w:szCs w:val="21"/>
        </w:rPr>
        <w:t>是指与器械使用产生以及源于以下内容的安全或性能有关的信息：</w:t>
      </w:r>
    </w:p>
    <w:p w14:paraId="324143C2">
      <w:pPr>
        <w:pStyle w:val="32"/>
        <w:numPr>
          <w:ilvl w:val="1"/>
          <w:numId w:val="5"/>
        </w:numPr>
        <w:tabs>
          <w:tab w:val="left" w:pos="1674"/>
        </w:tabs>
        <w:topLinePunct/>
        <w:snapToGrid w:val="0"/>
        <w:spacing w:beforeLines="15" w:line="300" w:lineRule="auto"/>
        <w:ind w:left="1672"/>
        <w:jc w:val="both"/>
        <w:rPr>
          <w:rFonts w:ascii="Times New Roman" w:hAnsi="Times New Roman"/>
          <w:kern w:val="2"/>
          <w:szCs w:val="21"/>
        </w:rPr>
      </w:pPr>
      <w:r>
        <w:rPr>
          <w:rFonts w:ascii="Times New Roman" w:hAnsi="Times New Roman"/>
          <w:kern w:val="2"/>
          <w:szCs w:val="21"/>
        </w:rPr>
        <w:t>有关器械的临床研究，</w:t>
      </w:r>
    </w:p>
    <w:p w14:paraId="1757EE43">
      <w:pPr>
        <w:pStyle w:val="32"/>
        <w:numPr>
          <w:ilvl w:val="1"/>
          <w:numId w:val="5"/>
        </w:numPr>
        <w:tabs>
          <w:tab w:val="left" w:pos="1674"/>
        </w:tabs>
        <w:topLinePunct/>
        <w:snapToGrid w:val="0"/>
        <w:spacing w:beforeLines="15" w:line="300" w:lineRule="auto"/>
        <w:ind w:left="1672"/>
        <w:jc w:val="both"/>
        <w:rPr>
          <w:rFonts w:ascii="Times New Roman" w:hAnsi="Times New Roman"/>
          <w:kern w:val="2"/>
          <w:szCs w:val="21"/>
        </w:rPr>
      </w:pPr>
      <w:r>
        <w:rPr>
          <w:rFonts w:ascii="Times New Roman" w:hAnsi="Times New Roman"/>
          <w:kern w:val="2"/>
          <w:szCs w:val="21"/>
        </w:rPr>
        <w:t>器械（指可证明其与待考核器械具有等效性的器械）的临床研究或在科学文献中报告的其他研究，</w:t>
      </w:r>
    </w:p>
    <w:p w14:paraId="07890993">
      <w:pPr>
        <w:pStyle w:val="32"/>
        <w:numPr>
          <w:ilvl w:val="1"/>
          <w:numId w:val="5"/>
        </w:numPr>
        <w:tabs>
          <w:tab w:val="left" w:pos="1674"/>
        </w:tabs>
        <w:topLinePunct/>
        <w:snapToGrid w:val="0"/>
        <w:spacing w:beforeLines="15" w:line="300" w:lineRule="auto"/>
        <w:ind w:left="1672"/>
        <w:jc w:val="both"/>
        <w:rPr>
          <w:rFonts w:ascii="Times New Roman" w:hAnsi="Times New Roman"/>
          <w:kern w:val="2"/>
          <w:szCs w:val="21"/>
        </w:rPr>
      </w:pPr>
      <w:r>
        <w:rPr>
          <w:rFonts w:ascii="Times New Roman" w:hAnsi="Times New Roman"/>
          <w:kern w:val="2"/>
          <w:szCs w:val="21"/>
        </w:rPr>
        <w:t>在同行评审的科学文献中发表的关于所讨论器械或</w:t>
      </w:r>
      <w:r>
        <w:rPr>
          <w:rFonts w:hint="eastAsia" w:ascii="Times New Roman" w:hAnsi="Times New Roman"/>
          <w:kern w:val="2"/>
          <w:szCs w:val="21"/>
        </w:rPr>
        <w:t>可以证明</w:t>
      </w:r>
      <w:r>
        <w:rPr>
          <w:rFonts w:ascii="Times New Roman" w:hAnsi="Times New Roman"/>
          <w:kern w:val="2"/>
          <w:szCs w:val="21"/>
        </w:rPr>
        <w:t>与该器械等效</w:t>
      </w:r>
      <w:r>
        <w:rPr>
          <w:rFonts w:hint="eastAsia" w:ascii="Times New Roman" w:hAnsi="Times New Roman"/>
          <w:kern w:val="2"/>
          <w:szCs w:val="21"/>
        </w:rPr>
        <w:t>的另一种器械</w:t>
      </w:r>
      <w:r>
        <w:rPr>
          <w:rFonts w:ascii="Times New Roman" w:hAnsi="Times New Roman"/>
          <w:kern w:val="2"/>
          <w:szCs w:val="21"/>
        </w:rPr>
        <w:t>的其他临床经验报告</w:t>
      </w:r>
    </w:p>
    <w:p w14:paraId="0A903DDD">
      <w:pPr>
        <w:pStyle w:val="32"/>
        <w:numPr>
          <w:ilvl w:val="1"/>
          <w:numId w:val="5"/>
        </w:numPr>
        <w:tabs>
          <w:tab w:val="left" w:pos="1674"/>
        </w:tabs>
        <w:topLinePunct/>
        <w:snapToGrid w:val="0"/>
        <w:spacing w:beforeLines="15" w:line="300" w:lineRule="auto"/>
        <w:ind w:left="1672"/>
        <w:jc w:val="both"/>
        <w:rPr>
          <w:rFonts w:ascii="Times New Roman" w:hAnsi="Times New Roman"/>
          <w:kern w:val="2"/>
          <w:szCs w:val="21"/>
        </w:rPr>
      </w:pPr>
      <w:r>
        <w:rPr>
          <w:rFonts w:ascii="Times New Roman" w:hAnsi="Times New Roman"/>
          <w:kern w:val="2"/>
          <w:szCs w:val="21"/>
        </w:rPr>
        <w:t>来自上市后监管体系的其他临床数据，特别是上市后临床跟踪；</w:t>
      </w:r>
    </w:p>
    <w:p w14:paraId="12A809C3">
      <w:pPr>
        <w:pStyle w:val="32"/>
        <w:tabs>
          <w:tab w:val="left" w:pos="1248"/>
        </w:tabs>
        <w:topLinePunct/>
        <w:snapToGrid w:val="0"/>
        <w:spacing w:beforeLines="15" w:line="300" w:lineRule="auto"/>
        <w:ind w:left="899" w:hanging="898" w:hangingChars="428"/>
        <w:jc w:val="both"/>
        <w:rPr>
          <w:rFonts w:ascii="Times New Roman" w:hAnsi="Times New Roman"/>
          <w:kern w:val="2"/>
          <w:szCs w:val="21"/>
        </w:rPr>
      </w:pPr>
      <w:r>
        <w:rPr>
          <w:rFonts w:ascii="Times New Roman" w:hAnsi="Times New Roman"/>
          <w:kern w:val="2"/>
          <w:szCs w:val="21"/>
        </w:rPr>
        <w:t>（49）</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申办方</w:t>
      </w:r>
      <w:r>
        <w:rPr>
          <w:rFonts w:hint="eastAsia" w:ascii="Times New Roman" w:hAnsi="Times New Roman"/>
          <w:kern w:val="2"/>
          <w:szCs w:val="21"/>
        </w:rPr>
        <w:t>”</w:t>
      </w:r>
      <w:r>
        <w:rPr>
          <w:rFonts w:ascii="Times New Roman" w:hAnsi="Times New Roman"/>
          <w:kern w:val="2"/>
          <w:szCs w:val="21"/>
        </w:rPr>
        <w:t>是指负责启动、管理临床研究和设立临床研究融资的任何个人、公司、机构或组织；</w:t>
      </w:r>
    </w:p>
    <w:p w14:paraId="2631F290">
      <w:pPr>
        <w:pStyle w:val="8"/>
        <w:topLinePunct/>
        <w:snapToGrid w:val="0"/>
        <w:spacing w:beforeLines="15" w:line="300" w:lineRule="auto"/>
        <w:ind w:left="899" w:hanging="898" w:hangingChars="428"/>
        <w:jc w:val="both"/>
        <w:rPr>
          <w:kern w:val="2"/>
          <w:szCs w:val="21"/>
        </w:rPr>
      </w:pPr>
      <w:r>
        <w:rPr>
          <w:kern w:val="2"/>
          <w:szCs w:val="21"/>
        </w:rPr>
        <w:t>（50）</w:t>
      </w:r>
      <w:r>
        <w:rPr>
          <w:kern w:val="2"/>
          <w:szCs w:val="21"/>
        </w:rPr>
        <w:tab/>
      </w:r>
      <w:r>
        <w:rPr>
          <w:rFonts w:hint="eastAsia"/>
          <w:kern w:val="2"/>
          <w:szCs w:val="21"/>
        </w:rPr>
        <w:t>“</w:t>
      </w:r>
      <w:r>
        <w:rPr>
          <w:kern w:val="2"/>
          <w:szCs w:val="21"/>
        </w:rPr>
        <w:t>受试者</w:t>
      </w:r>
      <w:r>
        <w:rPr>
          <w:rFonts w:hint="eastAsia"/>
          <w:kern w:val="2"/>
          <w:szCs w:val="21"/>
        </w:rPr>
        <w:t>”</w:t>
      </w:r>
      <w:r>
        <w:rPr>
          <w:kern w:val="2"/>
          <w:szCs w:val="21"/>
        </w:rPr>
        <w:t>是指参与临床研究的个体；</w:t>
      </w:r>
    </w:p>
    <w:p w14:paraId="2DE18082">
      <w:pPr>
        <w:pStyle w:val="8"/>
        <w:topLinePunct/>
        <w:snapToGrid w:val="0"/>
        <w:spacing w:beforeLines="25" w:line="300" w:lineRule="auto"/>
        <w:ind w:left="850" w:hanging="850" w:hangingChars="405"/>
        <w:jc w:val="both"/>
        <w:rPr>
          <w:kern w:val="2"/>
          <w:szCs w:val="21"/>
        </w:rPr>
      </w:pPr>
      <w:r>
        <w:rPr>
          <w:rFonts w:hint="eastAsia"/>
          <w:kern w:val="2"/>
          <w:szCs w:val="21"/>
        </w:rPr>
        <w:t>（</w:t>
      </w:r>
      <w:r>
        <w:rPr>
          <w:kern w:val="2"/>
          <w:szCs w:val="21"/>
        </w:rPr>
        <w:t>51</w:t>
      </w:r>
      <w:r>
        <w:rPr>
          <w:rFonts w:hint="eastAsia"/>
          <w:kern w:val="2"/>
          <w:szCs w:val="21"/>
        </w:rPr>
        <w:t>）</w:t>
      </w:r>
      <w:r>
        <w:rPr>
          <w:kern w:val="2"/>
          <w:szCs w:val="21"/>
        </w:rPr>
        <w:tab/>
      </w:r>
      <w:r>
        <w:rPr>
          <w:rFonts w:hint="eastAsia"/>
          <w:kern w:val="2"/>
          <w:szCs w:val="21"/>
        </w:rPr>
        <w:t>“</w:t>
      </w:r>
      <w:r>
        <w:rPr>
          <w:kern w:val="2"/>
          <w:szCs w:val="21"/>
        </w:rPr>
        <w:t>临床证据</w:t>
      </w:r>
      <w:r>
        <w:rPr>
          <w:rFonts w:hint="eastAsia"/>
          <w:kern w:val="2"/>
          <w:szCs w:val="21"/>
        </w:rPr>
        <w:t>”</w:t>
      </w:r>
      <w:r>
        <w:rPr>
          <w:kern w:val="2"/>
          <w:szCs w:val="21"/>
        </w:rPr>
        <w:t>是指关于足够数量和质量的器械的临床数据和临床评价结果，以允许在制造商按预期使用时，对器械是否安全并达到预期临床受益进行符合性评估；</w:t>
      </w:r>
    </w:p>
    <w:p w14:paraId="4C30D30C">
      <w:pPr>
        <w:pStyle w:val="8"/>
        <w:topLinePunct/>
        <w:snapToGrid w:val="0"/>
        <w:spacing w:beforeLines="25" w:line="300" w:lineRule="auto"/>
        <w:ind w:left="850" w:hanging="850" w:hangingChars="405"/>
        <w:jc w:val="both"/>
        <w:rPr>
          <w:kern w:val="2"/>
          <w:szCs w:val="21"/>
        </w:rPr>
      </w:pPr>
      <w:r>
        <w:rPr>
          <w:kern w:val="2"/>
          <w:szCs w:val="21"/>
        </w:rPr>
        <w:t>（52）</w:t>
      </w:r>
      <w:r>
        <w:rPr>
          <w:kern w:val="2"/>
          <w:szCs w:val="21"/>
        </w:rPr>
        <w:tab/>
      </w:r>
      <w:r>
        <w:rPr>
          <w:rFonts w:hint="eastAsia"/>
          <w:kern w:val="2"/>
          <w:szCs w:val="21"/>
        </w:rPr>
        <w:t>“</w:t>
      </w:r>
      <w:r>
        <w:rPr>
          <w:kern w:val="2"/>
          <w:szCs w:val="21"/>
        </w:rPr>
        <w:t>临床性能</w:t>
      </w:r>
      <w:r>
        <w:rPr>
          <w:rFonts w:hint="eastAsia"/>
          <w:kern w:val="2"/>
          <w:szCs w:val="21"/>
        </w:rPr>
        <w:t>”</w:t>
      </w:r>
      <w:r>
        <w:rPr>
          <w:kern w:val="2"/>
          <w:szCs w:val="21"/>
        </w:rPr>
        <w:t>是指器械因技术或功能特性包括诊断特性产生的任何直接或间接医学效应，以在使用时器械时实现其制造商要求的预期用途从而使临床患者受益的能力的；</w:t>
      </w:r>
    </w:p>
    <w:p w14:paraId="4C25228E">
      <w:pPr>
        <w:pStyle w:val="8"/>
        <w:topLinePunct/>
        <w:snapToGrid w:val="0"/>
        <w:spacing w:beforeLines="25" w:line="300" w:lineRule="auto"/>
        <w:ind w:left="850" w:hanging="850" w:hangingChars="405"/>
        <w:jc w:val="both"/>
        <w:rPr>
          <w:kern w:val="2"/>
          <w:szCs w:val="21"/>
        </w:rPr>
      </w:pPr>
      <w:r>
        <w:rPr>
          <w:kern w:val="2"/>
          <w:szCs w:val="21"/>
        </w:rPr>
        <w:t>（53）</w:t>
      </w:r>
      <w:r>
        <w:rPr>
          <w:kern w:val="2"/>
          <w:szCs w:val="21"/>
        </w:rPr>
        <w:tab/>
      </w:r>
      <w:r>
        <w:rPr>
          <w:rFonts w:hint="eastAsia"/>
          <w:kern w:val="2"/>
          <w:szCs w:val="21"/>
        </w:rPr>
        <w:t>“</w:t>
      </w:r>
      <w:r>
        <w:rPr>
          <w:kern w:val="2"/>
          <w:szCs w:val="21"/>
        </w:rPr>
        <w:t>临床受益</w:t>
      </w:r>
      <w:r>
        <w:rPr>
          <w:rFonts w:hint="eastAsia"/>
          <w:kern w:val="2"/>
          <w:szCs w:val="21"/>
        </w:rPr>
        <w:t>”</w:t>
      </w:r>
      <w:r>
        <w:rPr>
          <w:kern w:val="2"/>
          <w:szCs w:val="21"/>
        </w:rPr>
        <w:t>是指器械对个体健康的积极影响，被指定为有意义、可测量、与患者相关的临床结果，包括与诊断相关的结果或对患者管理或公共卫生的积极影响；</w:t>
      </w:r>
    </w:p>
    <w:p w14:paraId="1EDFA93D">
      <w:pPr>
        <w:pStyle w:val="8"/>
        <w:topLinePunct/>
        <w:snapToGrid w:val="0"/>
        <w:spacing w:beforeLines="25" w:line="300" w:lineRule="auto"/>
        <w:ind w:left="850" w:hanging="850" w:hangingChars="405"/>
        <w:jc w:val="both"/>
        <w:rPr>
          <w:kern w:val="2"/>
          <w:szCs w:val="21"/>
        </w:rPr>
      </w:pPr>
      <w:r>
        <w:rPr>
          <w:kern w:val="2"/>
          <w:szCs w:val="21"/>
        </w:rPr>
        <w:t>（54）</w:t>
      </w:r>
      <w:r>
        <w:rPr>
          <w:kern w:val="2"/>
          <w:szCs w:val="21"/>
        </w:rPr>
        <w:tab/>
      </w:r>
      <w:r>
        <w:rPr>
          <w:rFonts w:hint="eastAsia"/>
          <w:kern w:val="2"/>
          <w:szCs w:val="21"/>
        </w:rPr>
        <w:t>“</w:t>
      </w:r>
      <w:r>
        <w:rPr>
          <w:kern w:val="2"/>
          <w:szCs w:val="21"/>
        </w:rPr>
        <w:t>研究员</w:t>
      </w:r>
      <w:r>
        <w:rPr>
          <w:rFonts w:hint="eastAsia"/>
          <w:kern w:val="2"/>
          <w:szCs w:val="21"/>
        </w:rPr>
        <w:t>”</w:t>
      </w:r>
      <w:r>
        <w:rPr>
          <w:kern w:val="2"/>
          <w:szCs w:val="21"/>
        </w:rPr>
        <w:t>是指负责在临床研究现场进行临床研究的个人；</w:t>
      </w:r>
    </w:p>
    <w:p w14:paraId="44631011">
      <w:pPr>
        <w:pStyle w:val="8"/>
        <w:topLinePunct/>
        <w:snapToGrid w:val="0"/>
        <w:spacing w:beforeLines="25" w:line="300" w:lineRule="auto"/>
        <w:ind w:left="850" w:hanging="850" w:hangingChars="405"/>
        <w:jc w:val="both"/>
        <w:rPr>
          <w:kern w:val="2"/>
          <w:szCs w:val="21"/>
        </w:rPr>
      </w:pPr>
      <w:r>
        <w:rPr>
          <w:rFonts w:hint="eastAsia"/>
          <w:kern w:val="2"/>
          <w:szCs w:val="21"/>
        </w:rPr>
        <w:t>（</w:t>
      </w:r>
      <w:r>
        <w:rPr>
          <w:kern w:val="2"/>
          <w:szCs w:val="21"/>
        </w:rPr>
        <w:t>55</w:t>
      </w:r>
      <w:r>
        <w:rPr>
          <w:rFonts w:hint="eastAsia"/>
          <w:kern w:val="2"/>
          <w:szCs w:val="21"/>
        </w:rPr>
        <w:t>）</w:t>
      </w:r>
      <w:r>
        <w:rPr>
          <w:rFonts w:hint="eastAsia"/>
          <w:kern w:val="2"/>
          <w:szCs w:val="21"/>
        </w:rPr>
        <w:tab/>
      </w:r>
      <w:r>
        <w:rPr>
          <w:rFonts w:hint="eastAsia"/>
          <w:kern w:val="2"/>
          <w:szCs w:val="21"/>
        </w:rPr>
        <w:t>“</w:t>
      </w:r>
      <w:r>
        <w:rPr>
          <w:kern w:val="2"/>
          <w:szCs w:val="21"/>
        </w:rPr>
        <w:t>知情同意</w:t>
      </w:r>
      <w:r>
        <w:rPr>
          <w:rFonts w:hint="eastAsia"/>
          <w:kern w:val="2"/>
          <w:szCs w:val="21"/>
        </w:rPr>
        <w:t>”</w:t>
      </w:r>
      <w:r>
        <w:rPr>
          <w:kern w:val="2"/>
          <w:szCs w:val="21"/>
        </w:rPr>
        <w:t>是指受试者在参与临床试验前，被告知与其参与的临床研究所有相关问题后自由和自愿地表达他或她参与特定临床研究的意愿，或者对于未成年人和无行为能力的受试者，在临床研究中应包括其法定代表的授权书或协议；</w:t>
      </w:r>
    </w:p>
    <w:p w14:paraId="2B60B242">
      <w:pPr>
        <w:pStyle w:val="8"/>
        <w:topLinePunct/>
        <w:snapToGrid w:val="0"/>
        <w:spacing w:beforeLines="25" w:line="300" w:lineRule="auto"/>
        <w:ind w:left="850" w:hanging="850" w:hangingChars="405"/>
        <w:jc w:val="both"/>
        <w:rPr>
          <w:kern w:val="2"/>
          <w:szCs w:val="21"/>
        </w:rPr>
      </w:pPr>
      <w:r>
        <w:rPr>
          <w:rFonts w:hint="eastAsia"/>
          <w:kern w:val="2"/>
          <w:szCs w:val="21"/>
        </w:rPr>
        <w:t>（</w:t>
      </w:r>
      <w:r>
        <w:rPr>
          <w:kern w:val="2"/>
          <w:szCs w:val="21"/>
        </w:rPr>
        <w:t>56</w:t>
      </w:r>
      <w:r>
        <w:rPr>
          <w:rFonts w:hint="eastAsia"/>
          <w:kern w:val="2"/>
          <w:szCs w:val="21"/>
        </w:rPr>
        <w:t>）</w:t>
      </w:r>
      <w:r>
        <w:rPr>
          <w:kern w:val="2"/>
          <w:szCs w:val="21"/>
        </w:rPr>
        <w:tab/>
      </w:r>
      <w:r>
        <w:rPr>
          <w:rFonts w:hint="eastAsia"/>
          <w:kern w:val="2"/>
          <w:szCs w:val="21"/>
        </w:rPr>
        <w:t>“</w:t>
      </w:r>
      <w:r>
        <w:rPr>
          <w:kern w:val="2"/>
          <w:szCs w:val="21"/>
        </w:rPr>
        <w:t>伦理委员会</w:t>
      </w:r>
      <w:r>
        <w:rPr>
          <w:rFonts w:hint="eastAsia"/>
          <w:kern w:val="2"/>
          <w:szCs w:val="21"/>
        </w:rPr>
        <w:t>”</w:t>
      </w:r>
      <w:r>
        <w:rPr>
          <w:kern w:val="2"/>
          <w:szCs w:val="21"/>
        </w:rPr>
        <w:t>是指根据成员国的法律在该成员国设立的一个独立机构，其有权依据本法规要求对临床试验提出意见，该意见应同时考虑到非专业人员，特别是患者或患者组织的意见；</w:t>
      </w:r>
    </w:p>
    <w:p w14:paraId="198AFEC8">
      <w:pPr>
        <w:pStyle w:val="8"/>
        <w:topLinePunct/>
        <w:snapToGrid w:val="0"/>
        <w:spacing w:beforeLines="25" w:line="300" w:lineRule="auto"/>
        <w:ind w:left="850" w:hanging="850" w:hangingChars="405"/>
        <w:jc w:val="both"/>
        <w:rPr>
          <w:kern w:val="2"/>
          <w:szCs w:val="21"/>
        </w:rPr>
      </w:pPr>
      <w:r>
        <w:rPr>
          <w:kern w:val="2"/>
          <w:szCs w:val="21"/>
        </w:rPr>
        <w:t>（57）</w:t>
      </w:r>
      <w:r>
        <w:rPr>
          <w:kern w:val="2"/>
          <w:szCs w:val="21"/>
        </w:rPr>
        <w:tab/>
      </w:r>
      <w:r>
        <w:rPr>
          <w:rFonts w:hint="eastAsia"/>
          <w:kern w:val="2"/>
          <w:szCs w:val="21"/>
        </w:rPr>
        <w:t>“</w:t>
      </w:r>
      <w:r>
        <w:rPr>
          <w:kern w:val="2"/>
          <w:szCs w:val="21"/>
        </w:rPr>
        <w:t>不良事件</w:t>
      </w:r>
      <w:r>
        <w:rPr>
          <w:rFonts w:hint="eastAsia"/>
          <w:kern w:val="2"/>
          <w:szCs w:val="21"/>
        </w:rPr>
        <w:t>”</w:t>
      </w:r>
      <w:r>
        <w:rPr>
          <w:kern w:val="2"/>
          <w:szCs w:val="21"/>
        </w:rPr>
        <w:t>是指在临床研究的背景中，无论是否与研究器械有关，在受试者、使用者或其他人中的任何不良医学事件，非预期的疾病或损伤或任何不利的临床征兆，包括异常的实验室发现；</w:t>
      </w:r>
    </w:p>
    <w:p w14:paraId="4044E169">
      <w:pPr>
        <w:pStyle w:val="8"/>
        <w:topLinePunct/>
        <w:snapToGrid w:val="0"/>
        <w:spacing w:beforeLines="25" w:line="300" w:lineRule="auto"/>
        <w:ind w:left="850" w:hanging="850" w:hangingChars="405"/>
        <w:jc w:val="both"/>
        <w:rPr>
          <w:kern w:val="2"/>
          <w:szCs w:val="21"/>
        </w:rPr>
      </w:pPr>
      <w:r>
        <w:rPr>
          <w:kern w:val="2"/>
          <w:szCs w:val="21"/>
        </w:rPr>
        <w:t>（58）</w:t>
      </w:r>
      <w:r>
        <w:rPr>
          <w:kern w:val="2"/>
          <w:szCs w:val="21"/>
        </w:rPr>
        <w:tab/>
      </w:r>
      <w:r>
        <w:rPr>
          <w:rFonts w:hint="eastAsia"/>
          <w:kern w:val="2"/>
          <w:szCs w:val="21"/>
        </w:rPr>
        <w:t>“</w:t>
      </w:r>
      <w:r>
        <w:rPr>
          <w:kern w:val="2"/>
          <w:szCs w:val="21"/>
        </w:rPr>
        <w:t>严重不良事件</w:t>
      </w:r>
      <w:r>
        <w:rPr>
          <w:rFonts w:hint="eastAsia"/>
          <w:kern w:val="2"/>
          <w:szCs w:val="21"/>
        </w:rPr>
        <w:t>”</w:t>
      </w:r>
      <w:r>
        <w:rPr>
          <w:kern w:val="2"/>
          <w:szCs w:val="21"/>
        </w:rPr>
        <w:t>是指导致以下任一状况的任何不良事件：</w:t>
      </w:r>
    </w:p>
    <w:p w14:paraId="157F9F43">
      <w:pPr>
        <w:pStyle w:val="32"/>
        <w:tabs>
          <w:tab w:val="left" w:pos="1816"/>
        </w:tabs>
        <w:topLinePunct/>
        <w:snapToGrid w:val="0"/>
        <w:spacing w:beforeLines="25" w:line="300" w:lineRule="auto"/>
        <w:ind w:firstLine="1020" w:firstLineChars="486"/>
        <w:jc w:val="both"/>
        <w:rPr>
          <w:rFonts w:ascii="Times New Roman" w:hAnsi="Times New Roman"/>
          <w:kern w:val="2"/>
          <w:szCs w:val="21"/>
        </w:rPr>
      </w:pPr>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死亡，</w:t>
      </w:r>
    </w:p>
    <w:p w14:paraId="72400E26">
      <w:pPr>
        <w:pStyle w:val="32"/>
        <w:tabs>
          <w:tab w:val="left" w:pos="1816"/>
        </w:tabs>
        <w:topLinePunct/>
        <w:snapToGrid w:val="0"/>
        <w:spacing w:beforeLines="25" w:line="300" w:lineRule="auto"/>
        <w:ind w:firstLine="1020" w:firstLineChars="486"/>
        <w:jc w:val="both"/>
        <w:rPr>
          <w:rFonts w:ascii="Times New Roman" w:hAnsi="Times New Roman"/>
          <w:kern w:val="2"/>
          <w:szCs w:val="21"/>
        </w:rPr>
      </w:pPr>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严重损害受试者的健康，导致以下情况：</w:t>
      </w:r>
    </w:p>
    <w:p w14:paraId="2B4EAB29">
      <w:pPr>
        <w:pStyle w:val="32"/>
        <w:numPr>
          <w:ilvl w:val="0"/>
          <w:numId w:val="6"/>
        </w:numPr>
        <w:tabs>
          <w:tab w:val="left" w:pos="23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危及生命的疾病或损伤；</w:t>
      </w:r>
    </w:p>
    <w:p w14:paraId="43A5878D">
      <w:pPr>
        <w:pStyle w:val="32"/>
        <w:numPr>
          <w:ilvl w:val="0"/>
          <w:numId w:val="6"/>
        </w:numPr>
        <w:tabs>
          <w:tab w:val="left" w:pos="23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造成身体结构或身体机能的永久损伤，</w:t>
      </w:r>
    </w:p>
    <w:p w14:paraId="219F145E">
      <w:pPr>
        <w:pStyle w:val="32"/>
        <w:numPr>
          <w:ilvl w:val="0"/>
          <w:numId w:val="6"/>
        </w:numPr>
        <w:tabs>
          <w:tab w:val="left" w:pos="2382"/>
        </w:tabs>
        <w:topLinePunct/>
        <w:snapToGrid w:val="0"/>
        <w:spacing w:beforeLines="25" w:line="300" w:lineRule="auto"/>
        <w:ind w:left="2381"/>
        <w:jc w:val="both"/>
        <w:rPr>
          <w:rFonts w:ascii="Times New Roman" w:hAnsi="Times New Roman"/>
          <w:kern w:val="2"/>
          <w:szCs w:val="21"/>
        </w:rPr>
      </w:pPr>
      <w:r>
        <w:rPr>
          <w:rFonts w:ascii="Times New Roman" w:hAnsi="Times New Roman"/>
          <w:kern w:val="2"/>
          <w:szCs w:val="21"/>
        </w:rPr>
        <w:t>住院或延长患者的住院时间；</w:t>
      </w:r>
    </w:p>
    <w:p w14:paraId="00C5A58A">
      <w:pPr>
        <w:pStyle w:val="32"/>
        <w:numPr>
          <w:ilvl w:val="0"/>
          <w:numId w:val="6"/>
        </w:numPr>
        <w:tabs>
          <w:tab w:val="left" w:pos="2382"/>
        </w:tabs>
        <w:topLinePunct/>
        <w:snapToGrid w:val="0"/>
        <w:spacing w:beforeLines="25" w:line="300" w:lineRule="auto"/>
        <w:ind w:left="2381"/>
        <w:jc w:val="both"/>
        <w:rPr>
          <w:rFonts w:ascii="Times New Roman" w:hAnsi="Times New Roman"/>
          <w:kern w:val="2"/>
          <w:szCs w:val="21"/>
        </w:rPr>
      </w:pPr>
      <w:r>
        <w:rPr>
          <w:rFonts w:ascii="Times New Roman" w:hAnsi="Times New Roman"/>
          <w:kern w:val="2"/>
          <w:szCs w:val="21"/>
        </w:rPr>
        <w:t>医疗或手术干预来防止危及生命的疾病或损伤或身体结构或身体机能的永久损伤，</w:t>
      </w:r>
    </w:p>
    <w:p w14:paraId="282EA6DF">
      <w:pPr>
        <w:pStyle w:val="32"/>
        <w:numPr>
          <w:ilvl w:val="0"/>
          <w:numId w:val="6"/>
        </w:numPr>
        <w:tabs>
          <w:tab w:val="left" w:pos="2382"/>
        </w:tabs>
        <w:topLinePunct/>
        <w:snapToGrid w:val="0"/>
        <w:spacing w:beforeLines="25" w:line="300" w:lineRule="auto"/>
        <w:ind w:left="2381"/>
        <w:jc w:val="both"/>
        <w:rPr>
          <w:rFonts w:ascii="Times New Roman" w:hAnsi="Times New Roman"/>
          <w:kern w:val="2"/>
          <w:szCs w:val="21"/>
        </w:rPr>
      </w:pPr>
      <w:r>
        <w:rPr>
          <w:rFonts w:ascii="Times New Roman" w:hAnsi="Times New Roman"/>
          <w:kern w:val="2"/>
          <w:szCs w:val="21"/>
        </w:rPr>
        <w:t>慢性疾病，</w:t>
      </w:r>
    </w:p>
    <w:p w14:paraId="56F325E7">
      <w:pPr>
        <w:pStyle w:val="32"/>
        <w:tabs>
          <w:tab w:val="left" w:pos="1816"/>
        </w:tabs>
        <w:topLinePunct/>
        <w:snapToGrid w:val="0"/>
        <w:spacing w:beforeLines="25" w:line="300" w:lineRule="auto"/>
        <w:ind w:firstLine="1020" w:firstLineChars="486"/>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胎儿窘迫、胎儿死亡或先天性身体或精神损伤或先天缺陷；</w:t>
      </w:r>
    </w:p>
    <w:p w14:paraId="50B828A9">
      <w:pPr>
        <w:snapToGrid w:val="0"/>
        <w:spacing w:beforeLines="25" w:line="300" w:lineRule="auto"/>
        <w:ind w:left="825" w:hanging="825" w:hangingChars="393"/>
        <w:rPr>
          <w:rFonts w:ascii="Times New Roman" w:hAnsi="Times New Roman"/>
          <w:kern w:val="2"/>
          <w:szCs w:val="21"/>
        </w:rPr>
      </w:pPr>
      <w:r>
        <w:rPr>
          <w:rFonts w:ascii="Times New Roman" w:hAnsi="Times New Roman"/>
          <w:kern w:val="2"/>
          <w:szCs w:val="21"/>
        </w:rPr>
        <w:t>（59）</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器械缺陷</w:t>
      </w:r>
      <w:r>
        <w:rPr>
          <w:rFonts w:hint="eastAsia" w:ascii="Times New Roman" w:hAnsi="Times New Roman"/>
          <w:kern w:val="2"/>
          <w:szCs w:val="21"/>
        </w:rPr>
        <w:t>”</w:t>
      </w:r>
      <w:r>
        <w:rPr>
          <w:rFonts w:ascii="Times New Roman" w:hAnsi="Times New Roman"/>
          <w:kern w:val="2"/>
          <w:szCs w:val="21"/>
        </w:rPr>
        <w:t>是指研究器械的标识、质量、耐久性、可靠性、安全性或性能的任何缺陷，包括制造商提供的信息中的故障、使用错误或缺陷；</w:t>
      </w:r>
    </w:p>
    <w:p w14:paraId="24037FCC">
      <w:pPr>
        <w:snapToGrid w:val="0"/>
        <w:spacing w:beforeLines="25" w:line="300" w:lineRule="auto"/>
        <w:ind w:left="825" w:hanging="825" w:hangingChars="393"/>
        <w:rPr>
          <w:rFonts w:ascii="Times New Roman" w:hAnsi="Times New Roman"/>
          <w:kern w:val="2"/>
          <w:szCs w:val="21"/>
        </w:rPr>
      </w:pPr>
      <w:r>
        <w:rPr>
          <w:rFonts w:ascii="Times New Roman" w:hAnsi="Times New Roman"/>
          <w:kern w:val="2"/>
          <w:szCs w:val="21"/>
        </w:rPr>
        <w:t>(60)</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上市后监管</w:t>
      </w:r>
      <w:r>
        <w:rPr>
          <w:rFonts w:hint="eastAsia" w:ascii="Times New Roman" w:hAnsi="Times New Roman"/>
          <w:kern w:val="2"/>
          <w:szCs w:val="21"/>
        </w:rPr>
        <w:t>”</w:t>
      </w:r>
      <w:r>
        <w:rPr>
          <w:rFonts w:ascii="Times New Roman" w:hAnsi="Times New Roman"/>
          <w:kern w:val="2"/>
          <w:szCs w:val="21"/>
        </w:rPr>
        <w:t>是指制造商与其他经济运营商合作开展的所有活动，目的</w:t>
      </w:r>
      <w:r>
        <w:rPr>
          <w:rFonts w:hint="eastAsia" w:ascii="Times New Roman" w:hAnsi="Times New Roman"/>
          <w:kern w:val="2"/>
          <w:szCs w:val="21"/>
        </w:rPr>
        <w:t>旨在</w:t>
      </w:r>
      <w:r>
        <w:rPr>
          <w:rFonts w:ascii="Times New Roman" w:hAnsi="Times New Roman"/>
          <w:kern w:val="2"/>
          <w:szCs w:val="21"/>
        </w:rPr>
        <w:t>建立并保持最新的系统化程序，以主动收集和总结从已投放市场、市场上可获得或投入使用的器械获得的经验，以确定是否需要立即采取任何必要的纠正或预防措施；</w:t>
      </w:r>
    </w:p>
    <w:p w14:paraId="0FF45BFF">
      <w:pPr>
        <w:snapToGrid w:val="0"/>
        <w:spacing w:beforeLines="25" w:line="300" w:lineRule="auto"/>
        <w:ind w:left="825" w:hanging="825" w:hangingChars="393"/>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61</w:t>
      </w:r>
      <w:r>
        <w:rPr>
          <w:rFonts w:hint="eastAsia" w:ascii="Times New Roman" w:hAnsi="Times New Roman"/>
          <w:kern w:val="2"/>
          <w:szCs w:val="21"/>
        </w:rPr>
        <w:t>）</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市场监管</w:t>
      </w:r>
      <w:r>
        <w:rPr>
          <w:rFonts w:hint="eastAsia" w:ascii="Times New Roman" w:hAnsi="Times New Roman"/>
          <w:kern w:val="2"/>
          <w:szCs w:val="21"/>
        </w:rPr>
        <w:t>”</w:t>
      </w:r>
      <w:r>
        <w:rPr>
          <w:rFonts w:ascii="Times New Roman" w:hAnsi="Times New Roman"/>
          <w:kern w:val="2"/>
          <w:szCs w:val="21"/>
        </w:rPr>
        <w:t>是指</w:t>
      </w:r>
      <w:r>
        <w:rPr>
          <w:rFonts w:hint="eastAsia" w:ascii="Times New Roman" w:hAnsi="Times New Roman"/>
          <w:kern w:val="2"/>
          <w:szCs w:val="21"/>
        </w:rPr>
        <w:t>主管</w:t>
      </w:r>
      <w:r>
        <w:rPr>
          <w:rFonts w:ascii="Times New Roman" w:hAnsi="Times New Roman"/>
          <w:kern w:val="2"/>
          <w:szCs w:val="21"/>
        </w:rPr>
        <w:t>当局执行的活动和采取的措施，目的</w:t>
      </w:r>
      <w:r>
        <w:rPr>
          <w:rFonts w:hint="eastAsia" w:ascii="Times New Roman" w:hAnsi="Times New Roman"/>
          <w:kern w:val="2"/>
          <w:szCs w:val="21"/>
        </w:rPr>
        <w:t>旨在</w:t>
      </w:r>
      <w:r>
        <w:rPr>
          <w:rFonts w:ascii="Times New Roman" w:hAnsi="Times New Roman"/>
          <w:kern w:val="2"/>
          <w:szCs w:val="21"/>
        </w:rPr>
        <w:t>检查和确保器械符合相关欧盟协调立法中规定的要求，并且不危害健康、安全或公共利益保护的任何其他方面；</w:t>
      </w:r>
    </w:p>
    <w:p w14:paraId="519BA7A1">
      <w:pPr>
        <w:pStyle w:val="32"/>
        <w:tabs>
          <w:tab w:val="left" w:pos="1248"/>
        </w:tabs>
        <w:topLinePunct/>
        <w:snapToGrid w:val="0"/>
        <w:spacing w:beforeLines="25" w:line="300" w:lineRule="auto"/>
        <w:ind w:left="825" w:hanging="825" w:hangingChars="393"/>
        <w:jc w:val="both"/>
        <w:rPr>
          <w:rFonts w:ascii="Times New Roman" w:hAnsi="Times New Roman"/>
          <w:kern w:val="2"/>
          <w:szCs w:val="21"/>
        </w:rPr>
      </w:pPr>
      <w:r>
        <w:rPr>
          <w:rFonts w:ascii="Times New Roman" w:hAnsi="Times New Roman"/>
          <w:kern w:val="2"/>
          <w:szCs w:val="21"/>
        </w:rPr>
        <w:t>（62）</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召回</w:t>
      </w:r>
      <w:r>
        <w:rPr>
          <w:rFonts w:hint="eastAsia" w:ascii="Times New Roman" w:hAnsi="Times New Roman"/>
          <w:kern w:val="2"/>
          <w:szCs w:val="21"/>
        </w:rPr>
        <w:t>”</w:t>
      </w:r>
      <w:r>
        <w:rPr>
          <w:rFonts w:ascii="Times New Roman" w:hAnsi="Times New Roman"/>
          <w:kern w:val="2"/>
          <w:szCs w:val="21"/>
        </w:rPr>
        <w:t>是指旨在收回已提供给最终使用者器械所采取任何措施；</w:t>
      </w:r>
    </w:p>
    <w:p w14:paraId="0EDDDE09">
      <w:pPr>
        <w:pStyle w:val="32"/>
        <w:tabs>
          <w:tab w:val="left" w:pos="1248"/>
        </w:tabs>
        <w:topLinePunct/>
        <w:snapToGrid w:val="0"/>
        <w:spacing w:beforeLines="15" w:line="288" w:lineRule="auto"/>
        <w:ind w:left="825" w:hanging="825" w:hangingChars="393"/>
        <w:jc w:val="both"/>
        <w:rPr>
          <w:rFonts w:ascii="Times New Roman" w:hAnsi="Times New Roman"/>
          <w:kern w:val="2"/>
          <w:szCs w:val="21"/>
        </w:rPr>
      </w:pPr>
      <w:r>
        <w:rPr>
          <w:rFonts w:ascii="Times New Roman" w:hAnsi="Times New Roman"/>
          <w:kern w:val="2"/>
          <w:szCs w:val="21"/>
        </w:rPr>
        <w:t>（63）</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撤回</w:t>
      </w:r>
      <w:r>
        <w:rPr>
          <w:rFonts w:hint="eastAsia" w:ascii="Times New Roman" w:hAnsi="Times New Roman"/>
          <w:kern w:val="2"/>
          <w:szCs w:val="21"/>
        </w:rPr>
        <w:t>”</w:t>
      </w:r>
      <w:r>
        <w:rPr>
          <w:rFonts w:ascii="Times New Roman" w:hAnsi="Times New Roman"/>
          <w:kern w:val="2"/>
          <w:szCs w:val="21"/>
        </w:rPr>
        <w:t>是指旨在防止供应链中的器械进一步在市场上供应的任何措施；</w:t>
      </w:r>
    </w:p>
    <w:p w14:paraId="23E1EAD7">
      <w:pPr>
        <w:pStyle w:val="32"/>
        <w:tabs>
          <w:tab w:val="left" w:pos="1248"/>
        </w:tabs>
        <w:topLinePunct/>
        <w:snapToGrid w:val="0"/>
        <w:spacing w:beforeLines="15" w:line="288" w:lineRule="auto"/>
        <w:ind w:left="825" w:hanging="825" w:hangingChars="393"/>
        <w:jc w:val="both"/>
        <w:rPr>
          <w:rFonts w:ascii="Times New Roman" w:hAnsi="Times New Roman"/>
          <w:kern w:val="2"/>
          <w:szCs w:val="21"/>
        </w:rPr>
      </w:pPr>
      <w:r>
        <w:rPr>
          <w:rFonts w:ascii="Times New Roman" w:hAnsi="Times New Roman"/>
          <w:kern w:val="2"/>
          <w:szCs w:val="21"/>
        </w:rPr>
        <w:t>（64）</w:t>
      </w:r>
      <w:r>
        <w:rPr>
          <w:rFonts w:ascii="Times New Roman" w:hAnsi="Times New Roman"/>
          <w:kern w:val="2"/>
          <w:szCs w:val="21"/>
        </w:rPr>
        <w:tab/>
      </w:r>
      <w:r>
        <w:rPr>
          <w:rFonts w:hint="eastAsia" w:ascii="Times New Roman" w:hAnsi="Times New Roman"/>
          <w:kern w:val="2"/>
          <w:szCs w:val="21"/>
        </w:rPr>
        <w:t>“</w:t>
      </w:r>
      <w:r>
        <w:rPr>
          <w:rFonts w:ascii="Times New Roman" w:hAnsi="Times New Roman"/>
          <w:kern w:val="2"/>
          <w:szCs w:val="21"/>
        </w:rPr>
        <w:t>事件</w:t>
      </w:r>
      <w:r>
        <w:rPr>
          <w:rFonts w:hint="eastAsia" w:ascii="Times New Roman" w:hAnsi="Times New Roman"/>
          <w:kern w:val="2"/>
          <w:szCs w:val="21"/>
        </w:rPr>
        <w:t>”</w:t>
      </w:r>
      <w:r>
        <w:rPr>
          <w:rFonts w:ascii="Times New Roman" w:hAnsi="Times New Roman"/>
          <w:kern w:val="2"/>
          <w:szCs w:val="21"/>
        </w:rPr>
        <w:t>是指市场上可获得的器械特性或性能的任何故障或劣化事件，包括由于人机工程学特征、制造商提供的信息中的任何不足以及任何不期望的副作用而造成的使用错误；</w:t>
      </w:r>
    </w:p>
    <w:p w14:paraId="0A5EABE2">
      <w:pPr>
        <w:pStyle w:val="8"/>
        <w:topLinePunct/>
        <w:snapToGrid w:val="0"/>
        <w:spacing w:beforeLines="15" w:line="288" w:lineRule="auto"/>
        <w:ind w:left="826" w:hanging="826"/>
        <w:jc w:val="both"/>
        <w:rPr>
          <w:kern w:val="2"/>
          <w:szCs w:val="21"/>
        </w:rPr>
      </w:pPr>
      <w:r>
        <w:rPr>
          <w:kern w:val="2"/>
          <w:szCs w:val="21"/>
        </w:rPr>
        <w:t>（65）</w:t>
      </w:r>
      <w:r>
        <w:rPr>
          <w:kern w:val="2"/>
          <w:szCs w:val="21"/>
        </w:rPr>
        <w:tab/>
      </w:r>
      <w:r>
        <w:rPr>
          <w:rFonts w:hint="eastAsia"/>
          <w:kern w:val="2"/>
          <w:szCs w:val="21"/>
        </w:rPr>
        <w:t>“</w:t>
      </w:r>
      <w:r>
        <w:rPr>
          <w:kern w:val="2"/>
          <w:szCs w:val="21"/>
        </w:rPr>
        <w:t>严重不良事件</w:t>
      </w:r>
      <w:r>
        <w:rPr>
          <w:rFonts w:hint="eastAsia"/>
          <w:kern w:val="2"/>
          <w:szCs w:val="21"/>
        </w:rPr>
        <w:t>”</w:t>
      </w:r>
      <w:r>
        <w:rPr>
          <w:kern w:val="2"/>
          <w:szCs w:val="21"/>
        </w:rPr>
        <w:t>是指直接或间接导致、</w:t>
      </w:r>
      <w:r>
        <w:rPr>
          <w:rFonts w:hint="eastAsia"/>
          <w:kern w:val="2"/>
          <w:szCs w:val="21"/>
        </w:rPr>
        <w:t>有</w:t>
      </w:r>
      <w:r>
        <w:rPr>
          <w:kern w:val="2"/>
          <w:szCs w:val="21"/>
        </w:rPr>
        <w:t>可能导致或可能会导致以下任一状况的任何事件：</w:t>
      </w:r>
    </w:p>
    <w:p w14:paraId="14C1ADF5">
      <w:pPr>
        <w:pStyle w:val="8"/>
        <w:tabs>
          <w:tab w:val="left" w:pos="1418"/>
        </w:tabs>
        <w:topLinePunct/>
        <w:snapToGrid w:val="0"/>
        <w:spacing w:beforeLines="15" w:line="288" w:lineRule="auto"/>
        <w:ind w:left="680" w:firstLine="221"/>
        <w:jc w:val="both"/>
        <w:rPr>
          <w:kern w:val="2"/>
          <w:szCs w:val="21"/>
        </w:rPr>
      </w:pPr>
      <w:r>
        <w:rPr>
          <w:kern w:val="2"/>
          <w:szCs w:val="21"/>
        </w:rPr>
        <w:t>（a）</w:t>
      </w:r>
      <w:r>
        <w:rPr>
          <w:kern w:val="2"/>
          <w:szCs w:val="21"/>
        </w:rPr>
        <w:tab/>
      </w:r>
      <w:r>
        <w:rPr>
          <w:kern w:val="2"/>
          <w:szCs w:val="21"/>
        </w:rPr>
        <w:t>患者、使用者或其他人员死亡；</w:t>
      </w:r>
    </w:p>
    <w:p w14:paraId="0B4E7724">
      <w:pPr>
        <w:pStyle w:val="8"/>
        <w:tabs>
          <w:tab w:val="left" w:pos="1418"/>
        </w:tabs>
        <w:topLinePunct/>
        <w:snapToGrid w:val="0"/>
        <w:spacing w:beforeLines="15" w:line="288" w:lineRule="auto"/>
        <w:ind w:left="680" w:firstLine="221"/>
        <w:jc w:val="both"/>
        <w:rPr>
          <w:kern w:val="2"/>
          <w:szCs w:val="21"/>
        </w:rPr>
      </w:pPr>
      <w:r>
        <w:rPr>
          <w:kern w:val="2"/>
          <w:szCs w:val="21"/>
        </w:rPr>
        <w:t>（b）</w:t>
      </w:r>
      <w:r>
        <w:rPr>
          <w:kern w:val="2"/>
          <w:szCs w:val="21"/>
        </w:rPr>
        <w:tab/>
      </w:r>
      <w:r>
        <w:rPr>
          <w:kern w:val="2"/>
          <w:szCs w:val="21"/>
        </w:rPr>
        <w:t>患者、使用者或其他人员健康状态的暂时性或永久性严重恶化；</w:t>
      </w:r>
    </w:p>
    <w:p w14:paraId="20AD7AD9">
      <w:pPr>
        <w:pStyle w:val="8"/>
        <w:tabs>
          <w:tab w:val="left" w:pos="1418"/>
        </w:tabs>
        <w:topLinePunct/>
        <w:snapToGrid w:val="0"/>
        <w:spacing w:beforeLines="15" w:line="288" w:lineRule="auto"/>
        <w:ind w:left="680" w:firstLine="221"/>
        <w:jc w:val="both"/>
        <w:rPr>
          <w:kern w:val="2"/>
          <w:szCs w:val="21"/>
        </w:rPr>
      </w:pPr>
      <w:r>
        <w:rPr>
          <w:kern w:val="2"/>
          <w:szCs w:val="21"/>
        </w:rPr>
        <w:t>（c）</w:t>
      </w:r>
      <w:r>
        <w:rPr>
          <w:kern w:val="2"/>
          <w:szCs w:val="21"/>
        </w:rPr>
        <w:tab/>
      </w:r>
      <w:r>
        <w:rPr>
          <w:kern w:val="2"/>
          <w:szCs w:val="21"/>
        </w:rPr>
        <w:t>严重公众健康威胁；</w:t>
      </w:r>
    </w:p>
    <w:p w14:paraId="00B6150D">
      <w:pPr>
        <w:pStyle w:val="8"/>
        <w:topLinePunct/>
        <w:snapToGrid w:val="0"/>
        <w:spacing w:beforeLines="15" w:line="288" w:lineRule="auto"/>
        <w:ind w:left="900" w:hanging="786"/>
        <w:jc w:val="both"/>
        <w:rPr>
          <w:kern w:val="2"/>
          <w:szCs w:val="21"/>
        </w:rPr>
      </w:pPr>
      <w:r>
        <w:rPr>
          <w:rFonts w:hint="eastAsia"/>
          <w:kern w:val="2"/>
          <w:szCs w:val="21"/>
        </w:rPr>
        <w:t>（</w:t>
      </w:r>
      <w:r>
        <w:rPr>
          <w:kern w:val="2"/>
          <w:szCs w:val="21"/>
        </w:rPr>
        <w:t>66</w:t>
      </w:r>
      <w:r>
        <w:rPr>
          <w:rFonts w:hint="eastAsia"/>
          <w:kern w:val="2"/>
          <w:szCs w:val="21"/>
        </w:rPr>
        <w:t>）</w:t>
      </w:r>
      <w:r>
        <w:rPr>
          <w:kern w:val="2"/>
          <w:szCs w:val="21"/>
        </w:rPr>
        <w:tab/>
      </w:r>
      <w:r>
        <w:rPr>
          <w:rFonts w:hint="eastAsia"/>
          <w:kern w:val="2"/>
          <w:szCs w:val="21"/>
        </w:rPr>
        <w:t>“</w:t>
      </w:r>
      <w:r>
        <w:rPr>
          <w:kern w:val="2"/>
          <w:szCs w:val="21"/>
        </w:rPr>
        <w:t>严重公众健康威胁</w:t>
      </w:r>
      <w:r>
        <w:rPr>
          <w:rFonts w:hint="eastAsia"/>
          <w:kern w:val="2"/>
          <w:szCs w:val="21"/>
        </w:rPr>
        <w:t>”</w:t>
      </w:r>
      <w:r>
        <w:rPr>
          <w:kern w:val="2"/>
          <w:szCs w:val="21"/>
        </w:rPr>
        <w:t>是指可能导致死亡风险、健康状态的严重恶化或导致需要对其立即采取补救措施，可能会导致人类较高发病率或死亡率或在特定地点和时间出现不寻常或意外情况的严重疾病的任何事件；</w:t>
      </w:r>
    </w:p>
    <w:p w14:paraId="241FA89C">
      <w:pPr>
        <w:pStyle w:val="8"/>
        <w:topLinePunct/>
        <w:snapToGrid w:val="0"/>
        <w:spacing w:beforeLines="15" w:line="288" w:lineRule="auto"/>
        <w:ind w:left="900" w:hanging="786"/>
        <w:jc w:val="both"/>
        <w:rPr>
          <w:kern w:val="2"/>
          <w:szCs w:val="21"/>
        </w:rPr>
      </w:pPr>
      <w:r>
        <w:rPr>
          <w:kern w:val="2"/>
          <w:szCs w:val="21"/>
        </w:rPr>
        <w:t>（67）</w:t>
      </w:r>
      <w:r>
        <w:rPr>
          <w:kern w:val="2"/>
          <w:szCs w:val="21"/>
        </w:rPr>
        <w:tab/>
      </w:r>
      <w:r>
        <w:rPr>
          <w:rFonts w:hint="eastAsia"/>
          <w:kern w:val="2"/>
          <w:szCs w:val="21"/>
        </w:rPr>
        <w:t>“</w:t>
      </w:r>
      <w:r>
        <w:rPr>
          <w:kern w:val="2"/>
          <w:szCs w:val="21"/>
        </w:rPr>
        <w:t>纠正措施</w:t>
      </w:r>
      <w:r>
        <w:rPr>
          <w:rFonts w:hint="eastAsia"/>
          <w:kern w:val="2"/>
          <w:szCs w:val="21"/>
        </w:rPr>
        <w:t>”</w:t>
      </w:r>
      <w:r>
        <w:rPr>
          <w:kern w:val="2"/>
          <w:szCs w:val="21"/>
        </w:rPr>
        <w:t>是指为消除潜在或实际不符合法规要求项目或其他不良情况而采取的措施；</w:t>
      </w:r>
    </w:p>
    <w:p w14:paraId="0DEB2A49">
      <w:pPr>
        <w:pStyle w:val="8"/>
        <w:topLinePunct/>
        <w:snapToGrid w:val="0"/>
        <w:spacing w:beforeLines="15" w:line="288" w:lineRule="auto"/>
        <w:ind w:left="900" w:hanging="786"/>
        <w:jc w:val="both"/>
        <w:rPr>
          <w:kern w:val="2"/>
          <w:szCs w:val="21"/>
        </w:rPr>
      </w:pPr>
      <w:r>
        <w:rPr>
          <w:kern w:val="2"/>
          <w:szCs w:val="21"/>
        </w:rPr>
        <w:t>（68）</w:t>
      </w:r>
      <w:r>
        <w:rPr>
          <w:kern w:val="2"/>
          <w:szCs w:val="21"/>
        </w:rPr>
        <w:tab/>
      </w:r>
      <w:r>
        <w:rPr>
          <w:rFonts w:hint="eastAsia"/>
          <w:kern w:val="2"/>
          <w:szCs w:val="21"/>
        </w:rPr>
        <w:t>“</w:t>
      </w:r>
      <w:r>
        <w:rPr>
          <w:kern w:val="2"/>
          <w:szCs w:val="21"/>
        </w:rPr>
        <w:t>现场安全性纠正措施</w:t>
      </w:r>
      <w:r>
        <w:rPr>
          <w:rFonts w:hint="eastAsia"/>
          <w:kern w:val="2"/>
          <w:szCs w:val="21"/>
        </w:rPr>
        <w:t>”</w:t>
      </w:r>
      <w:r>
        <w:rPr>
          <w:kern w:val="2"/>
          <w:szCs w:val="21"/>
        </w:rPr>
        <w:t>是指制造商出于技术或医疗原因采取的纠正措施，目的是防止或降低发生与市场上供应的器械有关的严重不良事件的风险；</w:t>
      </w:r>
    </w:p>
    <w:p w14:paraId="71B75E75">
      <w:pPr>
        <w:pStyle w:val="8"/>
        <w:topLinePunct/>
        <w:snapToGrid w:val="0"/>
        <w:spacing w:beforeLines="15" w:line="288" w:lineRule="auto"/>
        <w:ind w:left="900" w:hanging="786"/>
        <w:jc w:val="both"/>
        <w:rPr>
          <w:kern w:val="2"/>
          <w:szCs w:val="21"/>
        </w:rPr>
      </w:pPr>
      <w:r>
        <w:rPr>
          <w:kern w:val="2"/>
          <w:szCs w:val="21"/>
        </w:rPr>
        <w:t>（69）</w:t>
      </w:r>
      <w:r>
        <w:rPr>
          <w:kern w:val="2"/>
          <w:szCs w:val="21"/>
        </w:rPr>
        <w:tab/>
      </w:r>
      <w:r>
        <w:rPr>
          <w:rFonts w:hint="eastAsia"/>
          <w:kern w:val="2"/>
          <w:szCs w:val="21"/>
        </w:rPr>
        <w:t>“</w:t>
      </w:r>
      <w:r>
        <w:rPr>
          <w:kern w:val="2"/>
          <w:szCs w:val="21"/>
        </w:rPr>
        <w:t>现场安全通知</w:t>
      </w:r>
      <w:r>
        <w:rPr>
          <w:rFonts w:hint="eastAsia"/>
          <w:kern w:val="2"/>
          <w:szCs w:val="21"/>
        </w:rPr>
        <w:t>”</w:t>
      </w:r>
      <w:r>
        <w:rPr>
          <w:kern w:val="2"/>
          <w:szCs w:val="21"/>
        </w:rPr>
        <w:t>是指制造商向使用者或客户发送的与现场安全性纠正措施相关的信件；</w:t>
      </w:r>
    </w:p>
    <w:p w14:paraId="6586D89E">
      <w:pPr>
        <w:pStyle w:val="8"/>
        <w:topLinePunct/>
        <w:snapToGrid w:val="0"/>
        <w:spacing w:beforeLines="15" w:line="288" w:lineRule="auto"/>
        <w:ind w:left="900" w:hanging="786"/>
        <w:jc w:val="both"/>
        <w:rPr>
          <w:kern w:val="2"/>
          <w:szCs w:val="21"/>
        </w:rPr>
      </w:pPr>
      <w:r>
        <w:rPr>
          <w:kern w:val="2"/>
          <w:szCs w:val="21"/>
        </w:rPr>
        <w:t>（70）</w:t>
      </w:r>
      <w:r>
        <w:rPr>
          <w:kern w:val="2"/>
          <w:szCs w:val="21"/>
        </w:rPr>
        <w:tab/>
      </w:r>
      <w:r>
        <w:rPr>
          <w:rFonts w:hint="eastAsia"/>
          <w:kern w:val="2"/>
          <w:szCs w:val="21"/>
        </w:rPr>
        <w:t>“</w:t>
      </w:r>
      <w:r>
        <w:rPr>
          <w:kern w:val="2"/>
          <w:szCs w:val="21"/>
        </w:rPr>
        <w:t>协调标准</w:t>
      </w:r>
      <w:r>
        <w:rPr>
          <w:rFonts w:hint="eastAsia"/>
          <w:kern w:val="2"/>
          <w:szCs w:val="21"/>
        </w:rPr>
        <w:t>”</w:t>
      </w:r>
      <w:r>
        <w:rPr>
          <w:kern w:val="2"/>
          <w:szCs w:val="21"/>
        </w:rPr>
        <w:t>是指欧盟第1025/2012号法规第2条第（1）（c）点规定的欧盟标准；</w:t>
      </w:r>
    </w:p>
    <w:p w14:paraId="06B0FA8E">
      <w:pPr>
        <w:pStyle w:val="8"/>
        <w:topLinePunct/>
        <w:snapToGrid w:val="0"/>
        <w:spacing w:beforeLines="15" w:line="288" w:lineRule="auto"/>
        <w:ind w:left="900" w:hanging="786"/>
        <w:jc w:val="both"/>
        <w:rPr>
          <w:kern w:val="2"/>
          <w:szCs w:val="21"/>
        </w:rPr>
      </w:pPr>
      <w:r>
        <w:rPr>
          <w:kern w:val="2"/>
          <w:szCs w:val="21"/>
        </w:rPr>
        <w:t>（71）</w:t>
      </w:r>
      <w:r>
        <w:rPr>
          <w:kern w:val="2"/>
          <w:szCs w:val="21"/>
        </w:rPr>
        <w:tab/>
      </w:r>
      <w:r>
        <w:rPr>
          <w:rFonts w:hint="eastAsia"/>
          <w:kern w:val="2"/>
          <w:szCs w:val="21"/>
        </w:rPr>
        <w:t>“</w:t>
      </w:r>
      <w:r>
        <w:rPr>
          <w:kern w:val="2"/>
          <w:szCs w:val="21"/>
        </w:rPr>
        <w:t>通用规范（CS）</w:t>
      </w:r>
      <w:r>
        <w:rPr>
          <w:rFonts w:hint="eastAsia"/>
          <w:kern w:val="2"/>
          <w:szCs w:val="21"/>
        </w:rPr>
        <w:t>”</w:t>
      </w:r>
      <w:r>
        <w:rPr>
          <w:kern w:val="2"/>
          <w:szCs w:val="21"/>
        </w:rPr>
        <w:t>是指</w:t>
      </w:r>
      <w:r>
        <w:rPr>
          <w:rFonts w:hint="eastAsia"/>
          <w:kern w:val="2"/>
          <w:szCs w:val="21"/>
        </w:rPr>
        <w:t>一套</w:t>
      </w:r>
      <w:r>
        <w:rPr>
          <w:kern w:val="2"/>
          <w:szCs w:val="21"/>
        </w:rPr>
        <w:t>技术或临床要求，而非对器械的生产或体系提供符合法律要求的标准。</w:t>
      </w:r>
    </w:p>
    <w:p w14:paraId="65BE3EA8">
      <w:pPr>
        <w:pStyle w:val="8"/>
        <w:tabs>
          <w:tab w:val="left" w:pos="681"/>
        </w:tabs>
        <w:topLinePunct/>
        <w:snapToGrid w:val="0"/>
        <w:spacing w:beforeLines="15" w:line="288" w:lineRule="auto"/>
        <w:ind w:left="0" w:firstLine="0"/>
        <w:jc w:val="center"/>
        <w:rPr>
          <w:i/>
          <w:kern w:val="2"/>
          <w:szCs w:val="21"/>
        </w:rPr>
      </w:pPr>
      <w:r>
        <w:rPr>
          <w:i/>
          <w:kern w:val="2"/>
          <w:szCs w:val="21"/>
        </w:rPr>
        <w:t>第3条</w:t>
      </w:r>
    </w:p>
    <w:p w14:paraId="7030BBB5">
      <w:pPr>
        <w:pStyle w:val="8"/>
        <w:tabs>
          <w:tab w:val="left" w:pos="681"/>
        </w:tabs>
        <w:topLinePunct/>
        <w:snapToGrid w:val="0"/>
        <w:spacing w:beforeLines="15" w:line="288" w:lineRule="auto"/>
        <w:ind w:hanging="570"/>
        <w:jc w:val="center"/>
        <w:rPr>
          <w:b/>
          <w:kern w:val="2"/>
          <w:szCs w:val="21"/>
        </w:rPr>
      </w:pPr>
      <w:r>
        <w:rPr>
          <w:b/>
          <w:kern w:val="2"/>
          <w:szCs w:val="21"/>
        </w:rPr>
        <w:t>特定定义修改</w:t>
      </w:r>
    </w:p>
    <w:p w14:paraId="26607DBC">
      <w:pPr>
        <w:pStyle w:val="8"/>
        <w:tabs>
          <w:tab w:val="left" w:pos="681"/>
        </w:tabs>
        <w:topLinePunct/>
        <w:snapToGrid w:val="0"/>
        <w:spacing w:beforeLines="15" w:line="288" w:lineRule="auto"/>
        <w:ind w:left="111" w:firstLine="0"/>
        <w:jc w:val="both"/>
        <w:rPr>
          <w:kern w:val="2"/>
          <w:szCs w:val="21"/>
        </w:rPr>
      </w:pPr>
      <w:r>
        <w:rPr>
          <w:kern w:val="2"/>
          <w:szCs w:val="21"/>
        </w:rPr>
        <w:t>委员会有权根据第115条采取授权行为，以基于技术和科技进步并考虑到商定的欧盟和国际层级的定义，调整第2条（18）点所述纳米材料的定义和（19）、（20）和（21）点的相关定义。</w:t>
      </w:r>
    </w:p>
    <w:p w14:paraId="201218DC">
      <w:pPr>
        <w:snapToGrid w:val="0"/>
        <w:spacing w:beforeLines="15" w:line="288" w:lineRule="auto"/>
        <w:jc w:val="center"/>
        <w:rPr>
          <w:rFonts w:ascii="Times New Roman" w:hAnsi="Times New Roman"/>
          <w:i/>
          <w:kern w:val="2"/>
          <w:szCs w:val="21"/>
        </w:rPr>
      </w:pPr>
      <w:r>
        <w:rPr>
          <w:rFonts w:ascii="Times New Roman" w:hAnsi="Times New Roman"/>
          <w:i/>
          <w:kern w:val="2"/>
          <w:szCs w:val="21"/>
        </w:rPr>
        <w:t>第4条</w:t>
      </w:r>
    </w:p>
    <w:p w14:paraId="12CBF681">
      <w:pPr>
        <w:snapToGrid w:val="0"/>
        <w:spacing w:beforeLines="15" w:line="288" w:lineRule="auto"/>
        <w:jc w:val="center"/>
        <w:rPr>
          <w:rFonts w:ascii="Times New Roman" w:hAnsi="Times New Roman"/>
          <w:b/>
          <w:kern w:val="2"/>
          <w:szCs w:val="21"/>
        </w:rPr>
      </w:pPr>
      <w:r>
        <w:rPr>
          <w:rFonts w:ascii="Times New Roman" w:hAnsi="Times New Roman"/>
          <w:b/>
          <w:kern w:val="2"/>
          <w:szCs w:val="21"/>
        </w:rPr>
        <w:t>产品监管</w:t>
      </w:r>
      <w:r>
        <w:rPr>
          <w:rFonts w:hint="eastAsia" w:ascii="Times New Roman" w:hAnsi="Times New Roman"/>
          <w:b/>
          <w:kern w:val="2"/>
          <w:szCs w:val="21"/>
        </w:rPr>
        <w:t>现状</w:t>
      </w:r>
    </w:p>
    <w:p w14:paraId="2658C482">
      <w:pPr>
        <w:pStyle w:val="32"/>
        <w:numPr>
          <w:ilvl w:val="0"/>
          <w:numId w:val="7"/>
        </w:numPr>
        <w:tabs>
          <w:tab w:val="left" w:pos="682"/>
        </w:tabs>
        <w:topLinePunct/>
        <w:snapToGrid w:val="0"/>
        <w:spacing w:beforeLines="15" w:line="288" w:lineRule="auto"/>
        <w:ind w:hanging="566"/>
        <w:jc w:val="both"/>
        <w:rPr>
          <w:rFonts w:ascii="Times New Roman" w:hAnsi="Times New Roman"/>
          <w:kern w:val="2"/>
          <w:szCs w:val="21"/>
        </w:rPr>
      </w:pPr>
      <w:r>
        <w:rPr>
          <w:rFonts w:ascii="Times New Roman" w:hAnsi="Times New Roman"/>
          <w:kern w:val="2"/>
          <w:szCs w:val="21"/>
        </w:rPr>
        <w:t>在不影响第2001/83</w:t>
      </w:r>
      <w:r>
        <w:rPr>
          <w:rFonts w:hint="eastAsia" w:ascii="Times New Roman" w:hAnsi="Times New Roman"/>
          <w:kern w:val="2"/>
          <w:szCs w:val="21"/>
        </w:rPr>
        <w:t>/EC</w:t>
      </w:r>
      <w:r>
        <w:rPr>
          <w:rFonts w:ascii="Times New Roman" w:hAnsi="Times New Roman"/>
          <w:kern w:val="2"/>
          <w:szCs w:val="21"/>
        </w:rPr>
        <w:t>号指令第2(2)条的情况下，经成员国充分证实的请求，委员会在咨询根据本法规第103条成立的医疗器械协调小组（MDCG）后，应通过实施细则，确定特定产品或某类或某组产品属于医疗器械或</w:t>
      </w:r>
      <w:r>
        <w:rPr>
          <w:rFonts w:hint="eastAsia" w:ascii="Times New Roman" w:hAnsi="Times New Roman"/>
          <w:kern w:val="2"/>
          <w:szCs w:val="21"/>
        </w:rPr>
        <w:t>“</w:t>
      </w:r>
      <w:r>
        <w:rPr>
          <w:rFonts w:ascii="Times New Roman" w:hAnsi="Times New Roman"/>
          <w:kern w:val="2"/>
          <w:szCs w:val="21"/>
        </w:rPr>
        <w:t>医疗器械的附件</w:t>
      </w:r>
      <w:r>
        <w:rPr>
          <w:rFonts w:hint="eastAsia" w:ascii="Times New Roman" w:hAnsi="Times New Roman"/>
          <w:kern w:val="2"/>
          <w:szCs w:val="21"/>
        </w:rPr>
        <w:t>”</w:t>
      </w:r>
      <w:r>
        <w:rPr>
          <w:rFonts w:ascii="Times New Roman" w:hAnsi="Times New Roman"/>
          <w:kern w:val="2"/>
          <w:szCs w:val="21"/>
        </w:rPr>
        <w:t>的定义。应按照本法规第114(3)条中述及的审查规程通过这些实施细则。</w:t>
      </w:r>
    </w:p>
    <w:p w14:paraId="63C03410">
      <w:pPr>
        <w:pStyle w:val="8"/>
        <w:tabs>
          <w:tab w:val="left" w:pos="681"/>
        </w:tabs>
        <w:topLinePunct/>
        <w:snapToGrid w:val="0"/>
        <w:spacing w:beforeLines="15" w:line="288" w:lineRule="auto"/>
        <w:jc w:val="both"/>
        <w:rPr>
          <w:kern w:val="2"/>
          <w:szCs w:val="21"/>
        </w:rPr>
      </w:pPr>
      <w:r>
        <w:rPr>
          <w:kern w:val="2"/>
          <w:szCs w:val="21"/>
        </w:rPr>
        <w:t>2.</w:t>
      </w:r>
      <w:r>
        <w:rPr>
          <w:kern w:val="2"/>
          <w:szCs w:val="21"/>
        </w:rPr>
        <w:tab/>
      </w:r>
      <w:r>
        <w:rPr>
          <w:kern w:val="2"/>
          <w:szCs w:val="21"/>
        </w:rPr>
        <w:t>欧盟委员会也可在咨询MDCG后，自行决议</w:t>
      </w:r>
      <w:r>
        <w:rPr>
          <w:rFonts w:hint="eastAsia"/>
          <w:kern w:val="2"/>
          <w:szCs w:val="21"/>
        </w:rPr>
        <w:t>是否</w:t>
      </w:r>
      <w:r>
        <w:rPr>
          <w:kern w:val="2"/>
          <w:szCs w:val="21"/>
        </w:rPr>
        <w:t>通过实施细则确定本条第1段所述的问题。应根据第114（3）条所述检查程序采用这些实施方案。</w:t>
      </w:r>
    </w:p>
    <w:p w14:paraId="7F4B707C">
      <w:pPr>
        <w:pStyle w:val="8"/>
        <w:tabs>
          <w:tab w:val="left" w:pos="681"/>
        </w:tabs>
        <w:topLinePunct/>
        <w:snapToGrid w:val="0"/>
        <w:spacing w:beforeLines="15" w:line="288" w:lineRule="auto"/>
        <w:jc w:val="both"/>
        <w:rPr>
          <w:kern w:val="2"/>
          <w:szCs w:val="21"/>
        </w:rPr>
      </w:pPr>
      <w:r>
        <w:rPr>
          <w:kern w:val="2"/>
          <w:szCs w:val="21"/>
        </w:rPr>
        <w:t>3.</w:t>
      </w:r>
      <w:r>
        <w:rPr>
          <w:kern w:val="2"/>
          <w:szCs w:val="21"/>
        </w:rPr>
        <w:tab/>
      </w:r>
      <w:r>
        <w:rPr>
          <w:kern w:val="2"/>
          <w:szCs w:val="21"/>
        </w:rPr>
        <w:t>欧盟委员会应确保成员国之间共享体外诊断试剂、医疗器械、药产品、人体组织和细胞、美容剂、灭菌剂、食品和其他产品（如必要）领域的专业知识，以便确定产品或产品类别或产品组的监管状态。</w:t>
      </w:r>
    </w:p>
    <w:p w14:paraId="3AE39B02">
      <w:pPr>
        <w:pStyle w:val="8"/>
        <w:tabs>
          <w:tab w:val="left" w:pos="681"/>
        </w:tabs>
        <w:topLinePunct/>
        <w:snapToGrid w:val="0"/>
        <w:spacing w:beforeLines="15" w:line="288" w:lineRule="auto"/>
        <w:jc w:val="both"/>
        <w:rPr>
          <w:kern w:val="2"/>
          <w:szCs w:val="21"/>
        </w:rPr>
      </w:pPr>
      <w:r>
        <w:rPr>
          <w:kern w:val="2"/>
          <w:szCs w:val="21"/>
        </w:rPr>
        <w:t>4.</w:t>
      </w:r>
      <w:r>
        <w:rPr>
          <w:kern w:val="2"/>
          <w:szCs w:val="21"/>
        </w:rPr>
        <w:tab/>
      </w:r>
      <w:r>
        <w:rPr>
          <w:kern w:val="2"/>
          <w:szCs w:val="21"/>
        </w:rPr>
        <w:t>在审议涉及药品、人体组织和细胞、生物杀灭产品或食品所辖产品监管状况时，委员会应确保欧洲药品管理局（EMA）、欧洲化学品管理局（ECHA）和欧洲食品安全管理局（EFSA）具有的一定的能力可提供咨询。</w:t>
      </w:r>
    </w:p>
    <w:p w14:paraId="0FD30B04">
      <w:pPr>
        <w:pStyle w:val="2"/>
        <w:spacing w:beforeLines="25" w:line="300" w:lineRule="auto"/>
        <w:rPr>
          <w:rStyle w:val="48"/>
          <w:b w:val="0"/>
          <w:sz w:val="24"/>
          <w:szCs w:val="24"/>
          <w:lang w:val="zh-CN" w:bidi="zh-CN"/>
        </w:rPr>
      </w:pPr>
      <w:bookmarkStart w:id="6" w:name="_Toc477512393"/>
      <w:r>
        <w:rPr>
          <w:sz w:val="24"/>
          <w:szCs w:val="24"/>
        </w:rPr>
        <w:t>第II章</w:t>
      </w:r>
      <w:r>
        <w:rPr>
          <w:sz w:val="24"/>
          <w:szCs w:val="24"/>
        </w:rPr>
        <w:br w:type="textWrapping"/>
      </w:r>
      <w:r>
        <w:rPr>
          <w:sz w:val="24"/>
          <w:szCs w:val="24"/>
        </w:rPr>
        <w:t>器械的</w:t>
      </w:r>
      <w:r>
        <w:rPr>
          <w:rFonts w:hint="eastAsia"/>
          <w:sz w:val="24"/>
          <w:szCs w:val="24"/>
        </w:rPr>
        <w:t>上市</w:t>
      </w:r>
      <w:r>
        <w:rPr>
          <w:sz w:val="24"/>
          <w:szCs w:val="24"/>
        </w:rPr>
        <w:t>供应和投入使用、经济运营商的义务、再处理、CE标识、自由流通</w:t>
      </w:r>
      <w:bookmarkEnd w:id="6"/>
    </w:p>
    <w:p w14:paraId="5DFD356B">
      <w:pPr>
        <w:snapToGrid w:val="0"/>
        <w:spacing w:beforeLines="25" w:line="300" w:lineRule="auto"/>
        <w:ind w:left="196"/>
        <w:jc w:val="center"/>
        <w:rPr>
          <w:rStyle w:val="48"/>
          <w:b/>
          <w:szCs w:val="21"/>
        </w:rPr>
      </w:pPr>
      <w:r>
        <w:rPr>
          <w:rFonts w:ascii="Times New Roman" w:hAnsi="Times New Roman"/>
          <w:i/>
          <w:kern w:val="2"/>
          <w:szCs w:val="21"/>
        </w:rPr>
        <w:t>第5条</w:t>
      </w:r>
    </w:p>
    <w:p w14:paraId="1DD57D3E">
      <w:pPr>
        <w:snapToGrid w:val="0"/>
        <w:spacing w:beforeLines="25" w:line="300" w:lineRule="auto"/>
        <w:ind w:left="196"/>
        <w:jc w:val="center"/>
        <w:rPr>
          <w:rStyle w:val="48"/>
          <w:b/>
          <w:szCs w:val="21"/>
        </w:rPr>
      </w:pPr>
      <w:r>
        <w:rPr>
          <w:rFonts w:ascii="Times New Roman" w:hAnsi="Times New Roman"/>
          <w:b/>
          <w:kern w:val="2"/>
          <w:szCs w:val="21"/>
        </w:rPr>
        <w:t>投放市场和投入使用</w:t>
      </w:r>
    </w:p>
    <w:p w14:paraId="380C6E4F">
      <w:pPr>
        <w:pStyle w:val="32"/>
        <w:numPr>
          <w:ilvl w:val="0"/>
          <w:numId w:val="8"/>
        </w:numPr>
        <w:tabs>
          <w:tab w:val="left" w:pos="682"/>
        </w:tabs>
        <w:topLinePunct/>
        <w:snapToGrid w:val="0"/>
        <w:spacing w:beforeLines="25" w:line="300" w:lineRule="auto"/>
        <w:ind w:hanging="681"/>
        <w:jc w:val="both"/>
        <w:rPr>
          <w:rFonts w:ascii="Times New Roman" w:hAnsi="Times New Roman"/>
          <w:kern w:val="2"/>
          <w:szCs w:val="21"/>
        </w:rPr>
      </w:pPr>
      <w:r>
        <w:rPr>
          <w:rFonts w:ascii="Times New Roman" w:hAnsi="Times New Roman"/>
          <w:kern w:val="2"/>
          <w:szCs w:val="21"/>
        </w:rPr>
        <w:t>仅当器械遵循本法规适当供应并根据其预期用途正确安装、维护和使用时，该器械方可投放市场或投入使用。</w:t>
      </w:r>
    </w:p>
    <w:p w14:paraId="423CAB02">
      <w:pPr>
        <w:pStyle w:val="32"/>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2.</w:t>
      </w:r>
      <w:r>
        <w:rPr>
          <w:rFonts w:ascii="Times New Roman" w:hAnsi="Times New Roman"/>
          <w:kern w:val="2"/>
          <w:szCs w:val="21"/>
        </w:rPr>
        <w:tab/>
      </w:r>
      <w:r>
        <w:rPr>
          <w:rFonts w:ascii="Times New Roman" w:hAnsi="Times New Roman"/>
          <w:kern w:val="2"/>
          <w:szCs w:val="21"/>
        </w:rPr>
        <w:t>器械应满足相关载于附录I的通用安全与性能要求，同时考虑到其预期用途。</w:t>
      </w:r>
    </w:p>
    <w:p w14:paraId="10EAC33A">
      <w:pPr>
        <w:pStyle w:val="32"/>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3.</w:t>
      </w:r>
      <w:r>
        <w:rPr>
          <w:rFonts w:ascii="Times New Roman" w:hAnsi="Times New Roman"/>
          <w:kern w:val="2"/>
          <w:szCs w:val="21"/>
        </w:rPr>
        <w:tab/>
      </w:r>
      <w:r>
        <w:rPr>
          <w:rFonts w:ascii="Times New Roman" w:hAnsi="Times New Roman"/>
          <w:kern w:val="2"/>
          <w:szCs w:val="21"/>
        </w:rPr>
        <w:t>通用安全与性能要求的符合性证明应包含符合第61条的临床评价。</w:t>
      </w:r>
    </w:p>
    <w:p w14:paraId="79CDDABC">
      <w:pPr>
        <w:pStyle w:val="32"/>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rPr>
        <w:t>应将在卫生机构制造和使用的器械视为已投入使用。</w:t>
      </w:r>
    </w:p>
    <w:p w14:paraId="5CAD0695">
      <w:pPr>
        <w:pStyle w:val="8"/>
        <w:tabs>
          <w:tab w:val="left" w:pos="570"/>
        </w:tabs>
        <w:topLinePunct/>
        <w:snapToGrid w:val="0"/>
        <w:spacing w:beforeLines="25" w:line="300" w:lineRule="auto"/>
        <w:ind w:left="605" w:hanging="604" w:hangingChars="288"/>
        <w:jc w:val="both"/>
        <w:rPr>
          <w:kern w:val="2"/>
          <w:szCs w:val="21"/>
        </w:rPr>
      </w:pPr>
      <w:r>
        <w:rPr>
          <w:kern w:val="2"/>
          <w:szCs w:val="21"/>
        </w:rPr>
        <w:t>5.</w:t>
      </w:r>
      <w:r>
        <w:rPr>
          <w:kern w:val="2"/>
          <w:szCs w:val="21"/>
        </w:rPr>
        <w:tab/>
      </w:r>
      <w:r>
        <w:rPr>
          <w:kern w:val="2"/>
          <w:szCs w:val="21"/>
        </w:rPr>
        <w:t>除了附录I中的相关通用安全与性能要求外，此法规的规定不适用于仅在欧盟卫生机构内部生产和使用的器械，前提是能够满足以下条件：</w:t>
      </w:r>
    </w:p>
    <w:p w14:paraId="53A261A4">
      <w:pPr>
        <w:pStyle w:val="8"/>
        <w:topLinePunct/>
        <w:snapToGrid w:val="0"/>
        <w:spacing w:beforeLines="25" w:line="300" w:lineRule="auto"/>
        <w:ind w:left="1079" w:leftChars="257" w:hanging="539" w:hangingChars="257"/>
        <w:jc w:val="both"/>
        <w:rPr>
          <w:kern w:val="2"/>
          <w:szCs w:val="21"/>
        </w:rPr>
      </w:pPr>
      <w:r>
        <w:rPr>
          <w:rFonts w:hint="eastAsia"/>
          <w:kern w:val="2"/>
          <w:szCs w:val="21"/>
        </w:rPr>
        <w:t>（</w:t>
      </w:r>
      <w:r>
        <w:rPr>
          <w:kern w:val="2"/>
          <w:szCs w:val="21"/>
        </w:rPr>
        <w:t>a</w:t>
      </w:r>
      <w:r>
        <w:rPr>
          <w:rFonts w:hint="eastAsia"/>
          <w:kern w:val="2"/>
          <w:szCs w:val="21"/>
        </w:rPr>
        <w:t>）</w:t>
      </w:r>
      <w:r>
        <w:rPr>
          <w:kern w:val="2"/>
          <w:szCs w:val="21"/>
        </w:rPr>
        <w:t>该器械不被转移到另一个法律实体，</w:t>
      </w:r>
    </w:p>
    <w:p w14:paraId="4A757A35">
      <w:pPr>
        <w:pStyle w:val="8"/>
        <w:topLinePunct/>
        <w:snapToGrid w:val="0"/>
        <w:spacing w:beforeLines="25" w:line="300" w:lineRule="auto"/>
        <w:ind w:left="1079" w:leftChars="257" w:hanging="539" w:hangingChars="257"/>
        <w:jc w:val="both"/>
        <w:rPr>
          <w:kern w:val="2"/>
          <w:szCs w:val="21"/>
        </w:rPr>
      </w:pPr>
      <w:r>
        <w:rPr>
          <w:kern w:val="2"/>
          <w:szCs w:val="21"/>
        </w:rPr>
        <w:t>（b）在质量管理体系中制造和使用器械，</w:t>
      </w:r>
    </w:p>
    <w:p w14:paraId="16E0487F">
      <w:pPr>
        <w:pStyle w:val="32"/>
        <w:tabs>
          <w:tab w:val="left" w:pos="1248"/>
        </w:tabs>
        <w:topLinePunct/>
        <w:snapToGrid w:val="0"/>
        <w:spacing w:beforeLines="25" w:line="300" w:lineRule="auto"/>
        <w:ind w:left="1079" w:leftChars="257" w:hanging="539" w:hangingChars="257"/>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卫生机构在其文件中证明，市场上的相似器械无法达到目标患者群体需要的适当性能水平。</w:t>
      </w:r>
    </w:p>
    <w:p w14:paraId="169FC530">
      <w:pPr>
        <w:pStyle w:val="32"/>
        <w:tabs>
          <w:tab w:val="left" w:pos="1248"/>
        </w:tabs>
        <w:topLinePunct/>
        <w:snapToGrid w:val="0"/>
        <w:spacing w:beforeLines="25" w:line="300" w:lineRule="auto"/>
        <w:ind w:left="1079" w:leftChars="257" w:hanging="539" w:hangingChars="257"/>
        <w:jc w:val="both"/>
        <w:rPr>
          <w:rFonts w:ascii="Times New Roman" w:hAnsi="Times New Roman"/>
          <w:kern w:val="2"/>
          <w:szCs w:val="21"/>
        </w:rPr>
      </w:pPr>
      <w:r>
        <w:rPr>
          <w:rFonts w:ascii="Times New Roman" w:hAnsi="Times New Roman"/>
          <w:kern w:val="2"/>
          <w:szCs w:val="21"/>
        </w:rPr>
        <w:t>（d）</w:t>
      </w:r>
      <w:r>
        <w:rPr>
          <w:rFonts w:ascii="Times New Roman" w:hAnsi="Times New Roman"/>
          <w:kern w:val="2"/>
          <w:szCs w:val="21"/>
        </w:rPr>
        <w:tab/>
      </w:r>
      <w:r>
        <w:rPr>
          <w:rFonts w:ascii="Times New Roman" w:hAnsi="Times New Roman"/>
          <w:kern w:val="2"/>
          <w:szCs w:val="21"/>
        </w:rPr>
        <w:t>卫生机构向其主管机构提供了这些器械的使用信息，包括生产、更新和使用的理由；</w:t>
      </w:r>
    </w:p>
    <w:p w14:paraId="1D454F84">
      <w:pPr>
        <w:pStyle w:val="32"/>
        <w:tabs>
          <w:tab w:val="left" w:pos="1248"/>
        </w:tabs>
        <w:topLinePunct/>
        <w:snapToGrid w:val="0"/>
        <w:spacing w:beforeLines="25" w:line="300" w:lineRule="auto"/>
        <w:ind w:left="1079" w:leftChars="257" w:hanging="539" w:hangingChars="257"/>
        <w:jc w:val="both"/>
        <w:rPr>
          <w:rFonts w:ascii="Times New Roman" w:hAnsi="Times New Roman"/>
          <w:kern w:val="2"/>
          <w:szCs w:val="21"/>
        </w:rPr>
      </w:pPr>
      <w:r>
        <w:rPr>
          <w:rFonts w:ascii="Times New Roman" w:hAnsi="Times New Roman"/>
          <w:kern w:val="2"/>
          <w:szCs w:val="21"/>
        </w:rPr>
        <w:t>（e）</w:t>
      </w:r>
      <w:r>
        <w:rPr>
          <w:rFonts w:ascii="Times New Roman" w:hAnsi="Times New Roman"/>
          <w:kern w:val="2"/>
          <w:szCs w:val="21"/>
        </w:rPr>
        <w:tab/>
      </w:r>
      <w:r>
        <w:rPr>
          <w:rFonts w:ascii="Times New Roman" w:hAnsi="Times New Roman"/>
          <w:kern w:val="2"/>
          <w:szCs w:val="21"/>
        </w:rPr>
        <w:t>卫生机构拟定了一份公之于众的声明，包含了：</w:t>
      </w:r>
    </w:p>
    <w:p w14:paraId="5C4E096E">
      <w:pPr>
        <w:pStyle w:val="32"/>
        <w:tabs>
          <w:tab w:val="left" w:pos="1248"/>
        </w:tabs>
        <w:topLinePunct/>
        <w:snapToGrid w:val="0"/>
        <w:spacing w:beforeLines="25" w:line="300" w:lineRule="auto"/>
        <w:ind w:left="1079" w:leftChars="507" w:hanging="14" w:hangingChars="7"/>
        <w:jc w:val="both"/>
        <w:rPr>
          <w:rFonts w:ascii="Times New Roman" w:hAnsi="Times New Roman"/>
          <w:kern w:val="2"/>
          <w:szCs w:val="21"/>
        </w:rPr>
      </w:pPr>
      <w:r>
        <w:rPr>
          <w:rFonts w:ascii="Times New Roman" w:hAnsi="Times New Roman"/>
          <w:kern w:val="2"/>
          <w:szCs w:val="21"/>
        </w:rPr>
        <w:t>(i)</w:t>
      </w:r>
      <w:r>
        <w:rPr>
          <w:rFonts w:ascii="Times New Roman" w:hAnsi="Times New Roman"/>
          <w:kern w:val="2"/>
          <w:szCs w:val="21"/>
        </w:rPr>
        <w:tab/>
      </w:r>
      <w:r>
        <w:rPr>
          <w:rFonts w:ascii="Times New Roman" w:hAnsi="Times New Roman"/>
          <w:kern w:val="2"/>
          <w:szCs w:val="21"/>
        </w:rPr>
        <w:t>制造器械的卫生机构的地址和名称；</w:t>
      </w:r>
    </w:p>
    <w:p w14:paraId="63654847">
      <w:pPr>
        <w:pStyle w:val="32"/>
        <w:tabs>
          <w:tab w:val="left" w:pos="1248"/>
        </w:tabs>
        <w:topLinePunct/>
        <w:snapToGrid w:val="0"/>
        <w:spacing w:beforeLines="25" w:line="300" w:lineRule="auto"/>
        <w:ind w:left="1079" w:leftChars="507" w:hanging="14" w:hangingChars="7"/>
        <w:jc w:val="both"/>
        <w:rPr>
          <w:rFonts w:ascii="Times New Roman" w:hAnsi="Times New Roman"/>
          <w:kern w:val="2"/>
          <w:szCs w:val="21"/>
        </w:rPr>
      </w:pPr>
      <w:r>
        <w:rPr>
          <w:rFonts w:ascii="Times New Roman" w:hAnsi="Times New Roman"/>
          <w:kern w:val="2"/>
          <w:szCs w:val="21"/>
        </w:rPr>
        <w:t>(</w:t>
      </w:r>
      <w:r>
        <w:rPr>
          <w:rFonts w:hint="eastAsia" w:ascii="Times New Roman" w:hAnsi="Times New Roman"/>
          <w:kern w:val="2"/>
          <w:szCs w:val="21"/>
        </w:rPr>
        <w:t>ii</w:t>
      </w:r>
      <w:r>
        <w:rPr>
          <w:rFonts w:ascii="Times New Roman" w:hAnsi="Times New Roman"/>
          <w:kern w:val="2"/>
          <w:szCs w:val="21"/>
        </w:rPr>
        <w:t>)</w:t>
      </w:r>
      <w:r>
        <w:rPr>
          <w:rFonts w:ascii="Times New Roman" w:hAnsi="Times New Roman"/>
          <w:kern w:val="2"/>
          <w:szCs w:val="21"/>
        </w:rPr>
        <w:tab/>
      </w:r>
      <w:r>
        <w:rPr>
          <w:rFonts w:ascii="Times New Roman" w:hAnsi="Times New Roman"/>
          <w:kern w:val="2"/>
          <w:szCs w:val="21"/>
        </w:rPr>
        <w:t>识别器械的详细信息；</w:t>
      </w:r>
    </w:p>
    <w:p w14:paraId="166A6E58">
      <w:pPr>
        <w:pStyle w:val="32"/>
        <w:tabs>
          <w:tab w:val="left" w:pos="1248"/>
        </w:tabs>
        <w:topLinePunct/>
        <w:snapToGrid w:val="0"/>
        <w:spacing w:beforeLines="25" w:line="300" w:lineRule="auto"/>
        <w:ind w:left="1709" w:leftChars="507" w:hanging="644" w:hangingChars="307"/>
        <w:jc w:val="both"/>
        <w:rPr>
          <w:rFonts w:ascii="Times New Roman" w:hAnsi="Times New Roman"/>
          <w:kern w:val="2"/>
          <w:szCs w:val="21"/>
        </w:rPr>
      </w:pPr>
      <w:r>
        <w:rPr>
          <w:rFonts w:ascii="Times New Roman" w:hAnsi="Times New Roman"/>
          <w:kern w:val="2"/>
          <w:szCs w:val="21"/>
        </w:rPr>
        <w:t>(</w:t>
      </w:r>
      <w:r>
        <w:rPr>
          <w:rFonts w:hint="eastAsia" w:ascii="Times New Roman" w:hAnsi="Times New Roman"/>
          <w:kern w:val="2"/>
          <w:szCs w:val="21"/>
        </w:rPr>
        <w:t>iii</w:t>
      </w:r>
      <w:r>
        <w:rPr>
          <w:rFonts w:ascii="Times New Roman" w:hAnsi="Times New Roman"/>
          <w:kern w:val="2"/>
          <w:szCs w:val="21"/>
        </w:rPr>
        <w:t>)</w:t>
      </w:r>
      <w:r>
        <w:rPr>
          <w:rFonts w:ascii="Times New Roman" w:hAnsi="Times New Roman"/>
          <w:kern w:val="2"/>
          <w:szCs w:val="21"/>
        </w:rPr>
        <w:tab/>
      </w:r>
      <w:r>
        <w:rPr>
          <w:rFonts w:ascii="Times New Roman" w:hAnsi="Times New Roman"/>
          <w:kern w:val="2"/>
          <w:szCs w:val="21"/>
        </w:rPr>
        <w:t>一份器械满足本法规附录I中设定的通用安全和性能要求的声明，未满足相关要求时，声明中还有相关合理理由，</w:t>
      </w:r>
    </w:p>
    <w:p w14:paraId="141E3271">
      <w:pPr>
        <w:pStyle w:val="32"/>
        <w:tabs>
          <w:tab w:val="left" w:pos="1248"/>
        </w:tabs>
        <w:topLinePunct/>
        <w:snapToGrid w:val="0"/>
        <w:spacing w:beforeLines="25" w:line="300" w:lineRule="auto"/>
        <w:ind w:left="1079" w:leftChars="257" w:hanging="539" w:hangingChars="257"/>
        <w:jc w:val="both"/>
        <w:rPr>
          <w:rFonts w:ascii="Times New Roman" w:hAnsi="Times New Roman"/>
          <w:kern w:val="2"/>
          <w:szCs w:val="21"/>
        </w:rPr>
      </w:pPr>
      <w:r>
        <w:rPr>
          <w:rFonts w:ascii="Times New Roman" w:hAnsi="Times New Roman"/>
          <w:kern w:val="2"/>
          <w:szCs w:val="21"/>
        </w:rPr>
        <w:t>（f）</w:t>
      </w:r>
      <w:r>
        <w:rPr>
          <w:rFonts w:ascii="Times New Roman" w:hAnsi="Times New Roman"/>
          <w:kern w:val="2"/>
          <w:szCs w:val="21"/>
        </w:rPr>
        <w:tab/>
      </w:r>
      <w:r>
        <w:rPr>
          <w:rFonts w:ascii="Times New Roman" w:hAnsi="Times New Roman"/>
          <w:kern w:val="2"/>
          <w:szCs w:val="21"/>
        </w:rPr>
        <w:t>卫生机构拟定文件，以此了解生产设施、制造过程、该器械的设计和性能数据，包括预期用途，足够详细，以使主管机构确定载列于本法规附录I通用安全和性能要求得到满足；</w:t>
      </w:r>
    </w:p>
    <w:p w14:paraId="24DA49DC">
      <w:pPr>
        <w:pStyle w:val="32"/>
        <w:tabs>
          <w:tab w:val="left" w:pos="1248"/>
        </w:tabs>
        <w:topLinePunct/>
        <w:snapToGrid w:val="0"/>
        <w:spacing w:beforeLines="25" w:line="300" w:lineRule="auto"/>
        <w:ind w:left="1079" w:leftChars="257" w:hanging="539" w:hangingChars="257"/>
        <w:jc w:val="both"/>
        <w:rPr>
          <w:rFonts w:ascii="Times New Roman" w:hAnsi="Times New Roman"/>
          <w:kern w:val="2"/>
          <w:szCs w:val="21"/>
        </w:rPr>
      </w:pPr>
      <w:r>
        <w:rPr>
          <w:rFonts w:ascii="Times New Roman" w:hAnsi="Times New Roman"/>
          <w:kern w:val="2"/>
          <w:szCs w:val="21"/>
        </w:rPr>
        <w:t>（g）</w:t>
      </w:r>
      <w:r>
        <w:rPr>
          <w:rFonts w:ascii="Times New Roman" w:hAnsi="Times New Roman"/>
          <w:kern w:val="2"/>
          <w:szCs w:val="21"/>
        </w:rPr>
        <w:tab/>
      </w:r>
      <w:r>
        <w:rPr>
          <w:rFonts w:ascii="Times New Roman" w:hAnsi="Times New Roman"/>
          <w:kern w:val="2"/>
          <w:szCs w:val="21"/>
        </w:rPr>
        <w:t>卫生机构会采取一切必要措施，以确保所有器械均按照（</w:t>
      </w:r>
      <w:r>
        <w:rPr>
          <w:rFonts w:hint="eastAsia" w:ascii="Times New Roman" w:hAnsi="Times New Roman"/>
          <w:kern w:val="2"/>
          <w:szCs w:val="21"/>
        </w:rPr>
        <w:t>f</w:t>
      </w:r>
      <w:r>
        <w:rPr>
          <w:rFonts w:ascii="Times New Roman" w:hAnsi="Times New Roman"/>
          <w:kern w:val="2"/>
          <w:szCs w:val="21"/>
        </w:rPr>
        <w:t>）点所述文件中的规定进行生产；</w:t>
      </w:r>
    </w:p>
    <w:p w14:paraId="294DC9BC">
      <w:pPr>
        <w:pStyle w:val="32"/>
        <w:tabs>
          <w:tab w:val="left" w:pos="1248"/>
        </w:tabs>
        <w:topLinePunct/>
        <w:snapToGrid w:val="0"/>
        <w:spacing w:beforeLines="25" w:line="300" w:lineRule="auto"/>
        <w:ind w:left="1079" w:leftChars="257" w:hanging="539" w:hangingChars="257"/>
        <w:jc w:val="both"/>
        <w:rPr>
          <w:rFonts w:ascii="Times New Roman" w:hAnsi="Times New Roman"/>
          <w:kern w:val="2"/>
          <w:szCs w:val="21"/>
        </w:rPr>
      </w:pPr>
      <w:r>
        <w:rPr>
          <w:rFonts w:ascii="Times New Roman" w:hAnsi="Times New Roman"/>
          <w:kern w:val="2"/>
          <w:szCs w:val="21"/>
        </w:rPr>
        <w:t>（h）</w:t>
      </w:r>
      <w:r>
        <w:rPr>
          <w:rFonts w:ascii="Times New Roman" w:hAnsi="Times New Roman"/>
          <w:kern w:val="2"/>
          <w:szCs w:val="21"/>
        </w:rPr>
        <w:tab/>
      </w:r>
      <w:r>
        <w:rPr>
          <w:rFonts w:ascii="Times New Roman" w:hAnsi="Times New Roman"/>
          <w:kern w:val="2"/>
          <w:szCs w:val="21"/>
        </w:rPr>
        <w:t>卫生机构会审查器械的临床使用体验，并采取一切必要的纠正措施。</w:t>
      </w:r>
    </w:p>
    <w:p w14:paraId="4B61F0F1">
      <w:pPr>
        <w:pStyle w:val="8"/>
        <w:topLinePunct/>
        <w:snapToGrid w:val="0"/>
        <w:spacing w:beforeLines="25" w:line="300" w:lineRule="auto"/>
        <w:ind w:firstLine="0"/>
        <w:jc w:val="both"/>
        <w:rPr>
          <w:kern w:val="2"/>
          <w:szCs w:val="21"/>
        </w:rPr>
      </w:pPr>
      <w:r>
        <w:rPr>
          <w:kern w:val="2"/>
          <w:szCs w:val="21"/>
        </w:rPr>
        <w:t>成员国可要求卫生机构向主管机构提供更多在其领土上生产和使用器械的相关信息。各成员国有权限制特殊型号器械的生产和使用，且应允许成员国检查卫生机构的活动。</w:t>
      </w:r>
    </w:p>
    <w:p w14:paraId="1C921EA5">
      <w:pPr>
        <w:pStyle w:val="8"/>
        <w:topLinePunct/>
        <w:snapToGrid w:val="0"/>
        <w:spacing w:beforeLines="25" w:line="300" w:lineRule="auto"/>
        <w:ind w:firstLine="0"/>
        <w:jc w:val="both"/>
        <w:rPr>
          <w:kern w:val="2"/>
          <w:szCs w:val="21"/>
        </w:rPr>
      </w:pPr>
      <w:r>
        <w:rPr>
          <w:kern w:val="2"/>
          <w:szCs w:val="21"/>
        </w:rPr>
        <w:t>本段规定不适用于按工业规模生产的器械。</w:t>
      </w:r>
    </w:p>
    <w:p w14:paraId="2B082C7C">
      <w:pPr>
        <w:snapToGrid w:val="0"/>
        <w:spacing w:beforeLines="25" w:line="300" w:lineRule="auto"/>
        <w:ind w:left="424" w:hanging="424" w:hangingChars="202"/>
        <w:rPr>
          <w:rFonts w:ascii="Times New Roman" w:hAnsi="Times New Roman"/>
          <w:kern w:val="2"/>
          <w:szCs w:val="21"/>
        </w:rPr>
      </w:pPr>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委员会可以通过实施细则来确保附录I统一得到应用，</w:t>
      </w:r>
      <w:r>
        <w:rPr>
          <w:rFonts w:hint="eastAsia" w:ascii="Times New Roman" w:hAnsi="Times New Roman"/>
          <w:kern w:val="2"/>
          <w:szCs w:val="21"/>
        </w:rPr>
        <w:t>且该</w:t>
      </w:r>
      <w:r>
        <w:rPr>
          <w:rFonts w:ascii="Times New Roman" w:hAnsi="Times New Roman"/>
          <w:kern w:val="2"/>
          <w:szCs w:val="21"/>
        </w:rPr>
        <w:t>法案应可达到解决误解和实际应用上的问题的程度。</w:t>
      </w:r>
      <w:r>
        <w:rPr>
          <w:rFonts w:hint="eastAsia" w:ascii="Times New Roman" w:hAnsi="Times New Roman"/>
          <w:kern w:val="2"/>
          <w:szCs w:val="21"/>
        </w:rPr>
        <w:t>此外，</w:t>
      </w:r>
      <w:r>
        <w:rPr>
          <w:rFonts w:ascii="Times New Roman" w:hAnsi="Times New Roman"/>
          <w:kern w:val="2"/>
          <w:szCs w:val="21"/>
        </w:rPr>
        <w:t>应按照第</w:t>
      </w:r>
      <w:r>
        <w:rPr>
          <w:rFonts w:hint="eastAsia" w:ascii="Times New Roman" w:hAnsi="Times New Roman"/>
          <w:kern w:val="2"/>
          <w:szCs w:val="21"/>
        </w:rPr>
        <w:t>114</w:t>
      </w:r>
      <w:r>
        <w:rPr>
          <w:rFonts w:ascii="Times New Roman" w:hAnsi="Times New Roman"/>
          <w:kern w:val="2"/>
          <w:szCs w:val="21"/>
        </w:rPr>
        <w:t>(3)条中述及的审查规程通过这些实施细则</w:t>
      </w:r>
      <w:r>
        <w:rPr>
          <w:rFonts w:ascii="Times New Roman" w:hAnsi="Times New Roman"/>
          <w:kern w:val="2"/>
          <w:szCs w:val="21"/>
        </w:rPr>
        <w:br w:type="page"/>
      </w:r>
    </w:p>
    <w:p w14:paraId="077E8116">
      <w:pPr>
        <w:snapToGrid w:val="0"/>
        <w:spacing w:beforeLines="25" w:line="300" w:lineRule="auto"/>
        <w:jc w:val="center"/>
        <w:rPr>
          <w:rFonts w:ascii="Times New Roman" w:hAnsi="Times New Roman"/>
          <w:i/>
          <w:kern w:val="2"/>
          <w:szCs w:val="21"/>
        </w:rPr>
      </w:pPr>
      <w:r>
        <w:rPr>
          <w:rFonts w:ascii="Times New Roman" w:hAnsi="Times New Roman"/>
          <w:i/>
          <w:kern w:val="2"/>
          <w:szCs w:val="21"/>
        </w:rPr>
        <w:t>第6条</w:t>
      </w:r>
    </w:p>
    <w:p w14:paraId="08B11555">
      <w:pPr>
        <w:snapToGrid w:val="0"/>
        <w:spacing w:beforeLines="25" w:line="300" w:lineRule="auto"/>
        <w:jc w:val="center"/>
        <w:rPr>
          <w:rFonts w:ascii="Times New Roman" w:hAnsi="Times New Roman"/>
          <w:b/>
          <w:kern w:val="2"/>
          <w:szCs w:val="21"/>
        </w:rPr>
      </w:pPr>
      <w:r>
        <w:rPr>
          <w:rFonts w:ascii="Times New Roman" w:hAnsi="Times New Roman"/>
          <w:b/>
          <w:kern w:val="2"/>
          <w:szCs w:val="21"/>
        </w:rPr>
        <w:t>远程销售</w:t>
      </w:r>
    </w:p>
    <w:p w14:paraId="11EE057A">
      <w:pPr>
        <w:pStyle w:val="32"/>
        <w:numPr>
          <w:ilvl w:val="0"/>
          <w:numId w:val="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如欧盟第2015/1535号指令第1(1)条（b）点所规定的，通过资讯社会服务提供给位于欧盟境内的自然人或法人的器械应遵循本法规的要求。</w:t>
      </w:r>
    </w:p>
    <w:p w14:paraId="29177AA1">
      <w:pPr>
        <w:pStyle w:val="32"/>
        <w:numPr>
          <w:ilvl w:val="0"/>
          <w:numId w:val="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在不违反国家立法机构对医疗专业活动所做规定的情况下，对于</w:t>
      </w:r>
      <w:r>
        <w:rPr>
          <w:rFonts w:hint="eastAsia" w:ascii="Times New Roman" w:hAnsi="Times New Roman"/>
          <w:kern w:val="2"/>
          <w:szCs w:val="21"/>
        </w:rPr>
        <w:t>未</w:t>
      </w:r>
      <w:r>
        <w:rPr>
          <w:rFonts w:ascii="Times New Roman" w:hAnsi="Times New Roman"/>
          <w:kern w:val="2"/>
          <w:szCs w:val="21"/>
        </w:rPr>
        <w:t>上市但用于商业活动的器械，无论有偿还是无偿使用，只要是</w:t>
      </w:r>
      <w:r>
        <w:rPr>
          <w:rFonts w:hint="eastAsia" w:ascii="Times New Roman" w:hAnsi="Times New Roman"/>
          <w:kern w:val="2"/>
          <w:szCs w:val="21"/>
        </w:rPr>
        <w:t>按</w:t>
      </w:r>
      <w:r>
        <w:rPr>
          <w:rFonts w:ascii="Times New Roman" w:hAnsi="Times New Roman"/>
          <w:kern w:val="2"/>
          <w:szCs w:val="21"/>
        </w:rPr>
        <w:t>欧盟第2015/1535号指令第1(1)条（b）点所规定的通过资讯社会服务或其他沟通媒介直接或间接提供给位于欧盟境内的自然人或法人的诊断服务和治疗服务</w:t>
      </w:r>
      <w:r>
        <w:rPr>
          <w:rFonts w:hint="eastAsia" w:ascii="Times New Roman" w:hAnsi="Times New Roman"/>
          <w:kern w:val="2"/>
          <w:szCs w:val="21"/>
        </w:rPr>
        <w:t>，</w:t>
      </w:r>
      <w:r>
        <w:rPr>
          <w:rFonts w:ascii="Times New Roman" w:hAnsi="Times New Roman"/>
          <w:kern w:val="2"/>
          <w:szCs w:val="21"/>
        </w:rPr>
        <w:t>均应遵循本法规要求。</w:t>
      </w:r>
    </w:p>
    <w:p w14:paraId="62B1CD55">
      <w:pPr>
        <w:pStyle w:val="32"/>
        <w:numPr>
          <w:ilvl w:val="0"/>
          <w:numId w:val="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应主管机构要求，根据第1段提供器械或根据第2段提供服务的自然人或法人应遵守器械的相关要求，提供一份相关器械的欧盟符合性声明。</w:t>
      </w:r>
    </w:p>
    <w:p w14:paraId="3E16E964">
      <w:pPr>
        <w:pStyle w:val="32"/>
        <w:numPr>
          <w:ilvl w:val="0"/>
          <w:numId w:val="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如欧盟第2015/1535号指令第1(1)条（b）点所规定，成员国可以保护公众健康为由，要求资讯</w:t>
      </w:r>
      <w:r>
        <w:rPr>
          <w:rFonts w:hint="eastAsia" w:ascii="Times New Roman" w:hAnsi="Times New Roman"/>
          <w:kern w:val="2"/>
          <w:szCs w:val="21"/>
        </w:rPr>
        <w:t>社交</w:t>
      </w:r>
      <w:r>
        <w:rPr>
          <w:rFonts w:ascii="Times New Roman" w:hAnsi="Times New Roman"/>
          <w:kern w:val="2"/>
          <w:szCs w:val="21"/>
        </w:rPr>
        <w:t>服务供应商停止其活动。</w:t>
      </w:r>
    </w:p>
    <w:p w14:paraId="34382929">
      <w:pPr>
        <w:snapToGrid w:val="0"/>
        <w:spacing w:beforeLines="25" w:line="300" w:lineRule="auto"/>
        <w:jc w:val="center"/>
        <w:rPr>
          <w:rFonts w:ascii="Times New Roman" w:hAnsi="Times New Roman"/>
          <w:i/>
          <w:kern w:val="2"/>
          <w:szCs w:val="21"/>
        </w:rPr>
      </w:pPr>
    </w:p>
    <w:p w14:paraId="539D4DBD">
      <w:pPr>
        <w:snapToGrid w:val="0"/>
        <w:spacing w:beforeLines="25" w:line="300" w:lineRule="auto"/>
        <w:jc w:val="center"/>
        <w:rPr>
          <w:rFonts w:ascii="Times New Roman" w:hAnsi="Times New Roman"/>
          <w:i/>
          <w:kern w:val="2"/>
          <w:szCs w:val="21"/>
        </w:rPr>
      </w:pPr>
      <w:r>
        <w:rPr>
          <w:rFonts w:ascii="Times New Roman" w:hAnsi="Times New Roman"/>
          <w:i/>
          <w:kern w:val="2"/>
          <w:szCs w:val="21"/>
        </w:rPr>
        <w:t>第7条</w:t>
      </w:r>
    </w:p>
    <w:p w14:paraId="5D8E399F">
      <w:pPr>
        <w:snapToGrid w:val="0"/>
        <w:spacing w:beforeLines="25" w:line="300" w:lineRule="auto"/>
        <w:jc w:val="center"/>
        <w:rPr>
          <w:rFonts w:ascii="Times New Roman" w:hAnsi="Times New Roman"/>
          <w:b/>
          <w:kern w:val="2"/>
          <w:szCs w:val="21"/>
        </w:rPr>
      </w:pPr>
      <w:r>
        <w:rPr>
          <w:rFonts w:ascii="Times New Roman" w:hAnsi="Times New Roman"/>
          <w:b/>
          <w:kern w:val="2"/>
          <w:szCs w:val="21"/>
        </w:rPr>
        <w:t>索赔</w:t>
      </w:r>
    </w:p>
    <w:p w14:paraId="678D0BFD">
      <w:pPr>
        <w:pStyle w:val="8"/>
        <w:topLinePunct/>
        <w:snapToGrid w:val="0"/>
        <w:spacing w:beforeLines="25" w:line="300" w:lineRule="auto"/>
        <w:ind w:left="113" w:firstLine="0"/>
        <w:jc w:val="both"/>
        <w:rPr>
          <w:kern w:val="2"/>
          <w:szCs w:val="21"/>
        </w:rPr>
      </w:pPr>
      <w:r>
        <w:rPr>
          <w:kern w:val="2"/>
          <w:szCs w:val="21"/>
        </w:rPr>
        <w:t>在贴标签、使用说明、提供服务、投入使用和为器械做广告时，禁止使用误导使用者或患者器械预期使用目的、安全性和性能的文字、名称、商标、图片、图形或其他类似标识，误导手法有：</w:t>
      </w:r>
    </w:p>
    <w:p w14:paraId="4B3F451F">
      <w:pPr>
        <w:pStyle w:val="32"/>
        <w:numPr>
          <w:ilvl w:val="0"/>
          <w:numId w:val="10"/>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说明该器械不具备的功能和特性；</w:t>
      </w:r>
    </w:p>
    <w:p w14:paraId="66241BAD">
      <w:pPr>
        <w:pStyle w:val="32"/>
        <w:numPr>
          <w:ilvl w:val="0"/>
          <w:numId w:val="10"/>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制造器械有</w:t>
      </w:r>
      <w:r>
        <w:rPr>
          <w:rFonts w:hint="eastAsia" w:ascii="Times New Roman" w:hAnsi="Times New Roman"/>
          <w:kern w:val="2"/>
          <w:szCs w:val="21"/>
        </w:rPr>
        <w:t>或无</w:t>
      </w:r>
      <w:r>
        <w:rPr>
          <w:rFonts w:ascii="Times New Roman" w:hAnsi="Times New Roman"/>
          <w:kern w:val="2"/>
          <w:szCs w:val="21"/>
        </w:rPr>
        <w:t>的治疗或诊断功能或其他功能和特性的假象；</w:t>
      </w:r>
    </w:p>
    <w:p w14:paraId="77E330FD">
      <w:pPr>
        <w:pStyle w:val="32"/>
        <w:numPr>
          <w:ilvl w:val="0"/>
          <w:numId w:val="10"/>
        </w:numPr>
        <w:tabs>
          <w:tab w:val="left" w:pos="682"/>
        </w:tabs>
        <w:topLinePunct/>
        <w:snapToGrid w:val="0"/>
        <w:spacing w:beforeLines="25" w:line="300" w:lineRule="auto"/>
        <w:ind w:left="680" w:hanging="567"/>
        <w:jc w:val="both"/>
        <w:rPr>
          <w:rFonts w:ascii="Times New Roman" w:hAnsi="Times New Roman"/>
          <w:kern w:val="2"/>
          <w:szCs w:val="21"/>
        </w:rPr>
      </w:pPr>
      <w:r>
        <w:rPr>
          <w:rFonts w:hint="eastAsia" w:ascii="Times New Roman" w:hAnsi="Times New Roman"/>
          <w:kern w:val="2"/>
          <w:szCs w:val="21"/>
        </w:rPr>
        <w:t>未</w:t>
      </w:r>
      <w:r>
        <w:rPr>
          <w:rFonts w:ascii="Times New Roman" w:hAnsi="Times New Roman"/>
          <w:kern w:val="2"/>
          <w:szCs w:val="21"/>
        </w:rPr>
        <w:t>告知</w:t>
      </w:r>
      <w:r>
        <w:rPr>
          <w:rFonts w:hint="eastAsia" w:ascii="Times New Roman" w:hAnsi="Times New Roman"/>
          <w:kern w:val="2"/>
          <w:szCs w:val="21"/>
        </w:rPr>
        <w:t>使用者或</w:t>
      </w:r>
      <w:r>
        <w:rPr>
          <w:rFonts w:ascii="Times New Roman" w:hAnsi="Times New Roman"/>
          <w:kern w:val="2"/>
          <w:szCs w:val="21"/>
        </w:rPr>
        <w:t>患者</w:t>
      </w:r>
      <w:r>
        <w:rPr>
          <w:rFonts w:hint="eastAsia" w:ascii="Times New Roman" w:hAnsi="Times New Roman"/>
          <w:kern w:val="2"/>
          <w:szCs w:val="21"/>
        </w:rPr>
        <w:t>器械</w:t>
      </w:r>
      <w:r>
        <w:rPr>
          <w:rFonts w:ascii="Times New Roman" w:hAnsi="Times New Roman"/>
          <w:kern w:val="2"/>
          <w:szCs w:val="21"/>
        </w:rPr>
        <w:t>预期用途相关风险；</w:t>
      </w:r>
    </w:p>
    <w:p w14:paraId="27E36C8B">
      <w:pPr>
        <w:pStyle w:val="32"/>
        <w:numPr>
          <w:ilvl w:val="0"/>
          <w:numId w:val="10"/>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符合性评估完成后，表明器械的用途与预期用途不符。</w:t>
      </w:r>
    </w:p>
    <w:p w14:paraId="7A45013C">
      <w:pPr>
        <w:pStyle w:val="3"/>
        <w:spacing w:before="78" w:line="300" w:lineRule="auto"/>
      </w:pPr>
      <w:bookmarkStart w:id="7" w:name="Article_6_Use_of_Harmonised_standards"/>
      <w:bookmarkEnd w:id="7"/>
    </w:p>
    <w:p w14:paraId="43E8167A">
      <w:pPr>
        <w:pStyle w:val="3"/>
        <w:spacing w:before="78" w:line="300" w:lineRule="auto"/>
        <w:rPr>
          <w:rStyle w:val="48"/>
          <w:b/>
          <w:i w:val="0"/>
          <w:szCs w:val="28"/>
          <w:lang w:val="zh-CN"/>
        </w:rPr>
      </w:pPr>
      <w:r>
        <w:t>第8条</w:t>
      </w:r>
    </w:p>
    <w:p w14:paraId="22600BAC">
      <w:pPr>
        <w:pStyle w:val="3"/>
        <w:spacing w:before="78" w:line="300" w:lineRule="auto"/>
        <w:rPr>
          <w:b/>
          <w:i w:val="0"/>
        </w:rPr>
      </w:pPr>
      <w:r>
        <w:rPr>
          <w:b/>
          <w:i w:val="0"/>
        </w:rPr>
        <w:t>使用协调标准</w:t>
      </w:r>
    </w:p>
    <w:p w14:paraId="0C21CD1D">
      <w:pPr>
        <w:pStyle w:val="32"/>
        <w:numPr>
          <w:ilvl w:val="0"/>
          <w:numId w:val="1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符合相关协调标准或相关这些标准的部分的器械，其附于欧盟官方公报中的参考资料应符合本法规的全部和部分要求。</w:t>
      </w:r>
    </w:p>
    <w:p w14:paraId="20357779">
      <w:pPr>
        <w:pStyle w:val="8"/>
        <w:topLinePunct/>
        <w:snapToGrid w:val="0"/>
        <w:spacing w:beforeLines="25" w:line="300" w:lineRule="auto"/>
        <w:ind w:firstLine="0"/>
        <w:jc w:val="both"/>
        <w:rPr>
          <w:kern w:val="2"/>
          <w:szCs w:val="21"/>
        </w:rPr>
      </w:pPr>
      <w:r>
        <w:rPr>
          <w:kern w:val="2"/>
          <w:szCs w:val="21"/>
        </w:rPr>
        <w:t>根据本法规，第一子段也应适用于经济运营商或申办方根据本法规应履行的系统要求或过程要求，包括质量管理体系、风险管理、上市后监管体系、临床研究、临床评价或上市后临床跟踪</w:t>
      </w:r>
      <w:r>
        <w:rPr>
          <w:rFonts w:hint="eastAsia"/>
          <w:kern w:val="2"/>
          <w:szCs w:val="21"/>
        </w:rPr>
        <w:t>（PMCF）</w:t>
      </w:r>
      <w:r>
        <w:rPr>
          <w:kern w:val="2"/>
          <w:szCs w:val="21"/>
        </w:rPr>
        <w:t>的相关要求。</w:t>
      </w:r>
    </w:p>
    <w:p w14:paraId="7870CA60">
      <w:pPr>
        <w:pStyle w:val="8"/>
        <w:topLinePunct/>
        <w:snapToGrid w:val="0"/>
        <w:spacing w:beforeLines="25" w:line="300" w:lineRule="auto"/>
        <w:ind w:firstLine="0"/>
        <w:jc w:val="both"/>
        <w:rPr>
          <w:kern w:val="2"/>
          <w:szCs w:val="21"/>
        </w:rPr>
      </w:pPr>
      <w:r>
        <w:rPr>
          <w:kern w:val="2"/>
          <w:szCs w:val="21"/>
        </w:rPr>
        <w:t>本法规引用的协调标准参考资料应理解为与发表在欧盟官方公报上的参考资料一致。</w:t>
      </w:r>
    </w:p>
    <w:p w14:paraId="04D5286C">
      <w:pPr>
        <w:pStyle w:val="8"/>
        <w:topLinePunct/>
        <w:snapToGrid w:val="0"/>
        <w:spacing w:beforeLines="25" w:line="300" w:lineRule="auto"/>
        <w:jc w:val="both"/>
        <w:rPr>
          <w:kern w:val="2"/>
          <w:szCs w:val="21"/>
        </w:rPr>
      </w:pPr>
      <w:r>
        <w:rPr>
          <w:rFonts w:hint="eastAsia"/>
          <w:kern w:val="2"/>
          <w:szCs w:val="21"/>
        </w:rPr>
        <w:t xml:space="preserve">2.   </w:t>
      </w:r>
      <w:r>
        <w:rPr>
          <w:kern w:val="2"/>
          <w:szCs w:val="21"/>
        </w:rPr>
        <w:t>本法规中协调标准的引用，还包括根据欧洲药典详述方面，尤其是在手术缝合线方面以及在含有此类医疗产品的器械中用的医药产品</w:t>
      </w:r>
      <w:r>
        <w:rPr>
          <w:rFonts w:hint="eastAsia"/>
          <w:kern w:val="2"/>
          <w:szCs w:val="21"/>
        </w:rPr>
        <w:t>与</w:t>
      </w:r>
      <w:r>
        <w:rPr>
          <w:kern w:val="2"/>
          <w:szCs w:val="21"/>
        </w:rPr>
        <w:t>材料之间的相互作用方面的惯例，采用的欧洲药典专著，但前提是这些专著已发表在欧盟官方公报上。</w:t>
      </w:r>
    </w:p>
    <w:p w14:paraId="1D1D3145">
      <w:pPr>
        <w:pStyle w:val="32"/>
        <w:tabs>
          <w:tab w:val="left" w:pos="682"/>
        </w:tabs>
        <w:topLinePunct/>
        <w:snapToGrid w:val="0"/>
        <w:spacing w:beforeLines="25" w:line="300" w:lineRule="auto"/>
        <w:jc w:val="both"/>
        <w:rPr>
          <w:rFonts w:ascii="Times New Roman" w:hAnsi="Times New Roman"/>
          <w:kern w:val="2"/>
          <w:szCs w:val="21"/>
        </w:rPr>
      </w:pPr>
    </w:p>
    <w:p w14:paraId="0C83CBA8">
      <w:pPr>
        <w:snapToGrid w:val="0"/>
        <w:spacing w:beforeLines="25" w:line="300" w:lineRule="auto"/>
        <w:jc w:val="center"/>
        <w:rPr>
          <w:rFonts w:ascii="Times New Roman" w:hAnsi="Times New Roman"/>
          <w:i/>
          <w:kern w:val="2"/>
          <w:szCs w:val="21"/>
        </w:rPr>
      </w:pPr>
      <w:bookmarkStart w:id="8" w:name="Article_7"/>
      <w:bookmarkEnd w:id="8"/>
    </w:p>
    <w:p w14:paraId="332EAD28">
      <w:pPr>
        <w:snapToGrid w:val="0"/>
        <w:spacing w:beforeLines="25" w:line="300" w:lineRule="auto"/>
        <w:jc w:val="center"/>
        <w:rPr>
          <w:rFonts w:ascii="Times New Roman" w:hAnsi="Times New Roman"/>
          <w:i/>
          <w:kern w:val="2"/>
          <w:szCs w:val="21"/>
        </w:rPr>
      </w:pPr>
      <w:r>
        <w:rPr>
          <w:rFonts w:ascii="Times New Roman" w:hAnsi="Times New Roman"/>
          <w:i/>
          <w:kern w:val="2"/>
          <w:szCs w:val="21"/>
        </w:rPr>
        <w:t>第9条</w:t>
      </w:r>
    </w:p>
    <w:p w14:paraId="4CF7ED78">
      <w:pPr>
        <w:snapToGrid w:val="0"/>
        <w:spacing w:beforeLines="25" w:line="300" w:lineRule="auto"/>
        <w:jc w:val="center"/>
        <w:rPr>
          <w:rFonts w:ascii="Times New Roman" w:hAnsi="Times New Roman"/>
          <w:b/>
          <w:kern w:val="2"/>
          <w:szCs w:val="21"/>
        </w:rPr>
      </w:pPr>
      <w:r>
        <w:rPr>
          <w:rFonts w:ascii="Times New Roman" w:hAnsi="Times New Roman"/>
          <w:b/>
          <w:kern w:val="2"/>
          <w:szCs w:val="21"/>
        </w:rPr>
        <w:t>通用规范</w:t>
      </w:r>
    </w:p>
    <w:p w14:paraId="074776BE">
      <w:pPr>
        <w:pStyle w:val="32"/>
        <w:numPr>
          <w:ilvl w:val="0"/>
          <w:numId w:val="1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在不影响第1（2）条和第17（5）条以及其中规定的限期的情况下，若</w:t>
      </w:r>
      <w:r>
        <w:rPr>
          <w:rFonts w:hint="eastAsia" w:ascii="Times New Roman" w:hAnsi="Times New Roman"/>
          <w:kern w:val="2"/>
          <w:szCs w:val="21"/>
        </w:rPr>
        <w:t>未</w:t>
      </w:r>
      <w:r>
        <w:rPr>
          <w:rFonts w:ascii="Times New Roman" w:hAnsi="Times New Roman"/>
          <w:kern w:val="2"/>
          <w:szCs w:val="21"/>
        </w:rPr>
        <w:t>统一标准存在，或相关协调标准不充分，或者需要解决公共卫生问题，则委员会在咨询MDCG后，可就载列于附录I的通用安全与性能要求、载列于附录II和III的技术文件、载列于附录XIV的临床评价及上市后的临床跟踪或者载列于附录XV有关临床研究的要求，</w:t>
      </w:r>
      <w:r>
        <w:rPr>
          <w:rFonts w:hint="eastAsia" w:ascii="Times New Roman" w:hAnsi="Times New Roman"/>
          <w:kern w:val="2"/>
          <w:szCs w:val="21"/>
        </w:rPr>
        <w:t>借助实施细则，</w:t>
      </w:r>
      <w:r>
        <w:rPr>
          <w:rFonts w:ascii="Times New Roman" w:hAnsi="Times New Roman"/>
          <w:kern w:val="2"/>
          <w:szCs w:val="21"/>
        </w:rPr>
        <w:t>采用通用规范（CS）。根据第114(3)条中所述的审查程序，应通过实施细则来采纳CS。</w:t>
      </w:r>
    </w:p>
    <w:p w14:paraId="1E5098FC">
      <w:pPr>
        <w:pStyle w:val="32"/>
        <w:numPr>
          <w:ilvl w:val="0"/>
          <w:numId w:val="1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符合第1段中所述的CS的器械应视为符合本法规中的相关CS要求（全部或部分）。</w:t>
      </w:r>
    </w:p>
    <w:p w14:paraId="2FCC47B2">
      <w:pPr>
        <w:pStyle w:val="32"/>
        <w:numPr>
          <w:ilvl w:val="0"/>
          <w:numId w:val="1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制造商应遵守第1段中所述的CS，除非其能证明其已采纳的方法能够确保等效的安全性和性能水平。</w:t>
      </w:r>
    </w:p>
    <w:p w14:paraId="0E225714">
      <w:pPr>
        <w:pStyle w:val="32"/>
        <w:numPr>
          <w:ilvl w:val="0"/>
          <w:numId w:val="1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尽管有第3段的要求，附录XVI所列产品的制造商应遵循这些产品相关的CS。</w:t>
      </w:r>
    </w:p>
    <w:p w14:paraId="77E8A242">
      <w:pPr>
        <w:snapToGrid w:val="0"/>
        <w:spacing w:beforeLines="25" w:line="300" w:lineRule="auto"/>
        <w:ind w:left="196"/>
        <w:jc w:val="center"/>
        <w:rPr>
          <w:rFonts w:ascii="Times New Roman" w:hAnsi="Times New Roman"/>
          <w:i/>
          <w:kern w:val="2"/>
          <w:szCs w:val="21"/>
        </w:rPr>
      </w:pPr>
    </w:p>
    <w:p w14:paraId="1472B60A">
      <w:pPr>
        <w:snapToGrid w:val="0"/>
        <w:spacing w:beforeLines="25" w:line="300" w:lineRule="auto"/>
        <w:ind w:left="196"/>
        <w:jc w:val="center"/>
        <w:rPr>
          <w:rStyle w:val="48"/>
          <w:b/>
          <w:szCs w:val="21"/>
          <w:lang w:val="zh-CN"/>
        </w:rPr>
      </w:pPr>
      <w:r>
        <w:rPr>
          <w:rFonts w:ascii="Times New Roman" w:hAnsi="Times New Roman"/>
          <w:i/>
          <w:kern w:val="2"/>
          <w:szCs w:val="21"/>
        </w:rPr>
        <w:t>第10条</w:t>
      </w:r>
    </w:p>
    <w:p w14:paraId="0F1760B6">
      <w:pPr>
        <w:snapToGrid w:val="0"/>
        <w:spacing w:beforeLines="25" w:line="300" w:lineRule="auto"/>
        <w:ind w:left="196"/>
        <w:jc w:val="center"/>
        <w:rPr>
          <w:rStyle w:val="48"/>
          <w:b/>
          <w:szCs w:val="21"/>
          <w:lang w:val="zh-CN"/>
        </w:rPr>
      </w:pPr>
      <w:r>
        <w:rPr>
          <w:rFonts w:ascii="Times New Roman" w:hAnsi="Times New Roman"/>
          <w:b/>
          <w:kern w:val="2"/>
          <w:szCs w:val="21"/>
        </w:rPr>
        <w:t>制造商的义务</w:t>
      </w:r>
    </w:p>
    <w:p w14:paraId="64E0A715">
      <w:pPr>
        <w:pStyle w:val="32"/>
        <w:numPr>
          <w:ilvl w:val="0"/>
          <w:numId w:val="13"/>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当将其器械投放市场或投入使用时，制造商应确保所有器械均按本法规的要求进行设计和生产。</w:t>
      </w:r>
    </w:p>
    <w:p w14:paraId="49D4C4F7">
      <w:pPr>
        <w:pStyle w:val="8"/>
        <w:tabs>
          <w:tab w:val="left" w:pos="681"/>
        </w:tabs>
        <w:topLinePunct/>
        <w:snapToGrid w:val="0"/>
        <w:spacing w:beforeLines="25" w:line="300" w:lineRule="auto"/>
        <w:ind w:left="0" w:firstLine="0"/>
        <w:jc w:val="both"/>
        <w:rPr>
          <w:kern w:val="2"/>
          <w:szCs w:val="21"/>
        </w:rPr>
      </w:pPr>
      <w:r>
        <w:rPr>
          <w:kern w:val="2"/>
          <w:szCs w:val="21"/>
        </w:rPr>
        <w:t>2.</w:t>
      </w:r>
      <w:r>
        <w:rPr>
          <w:kern w:val="2"/>
          <w:szCs w:val="21"/>
        </w:rPr>
        <w:tab/>
      </w:r>
      <w:r>
        <w:rPr>
          <w:kern w:val="2"/>
          <w:szCs w:val="21"/>
        </w:rPr>
        <w:t>制造商应如附录I第3节所述，确立、记录、实施和维护风险管理体系。</w:t>
      </w:r>
    </w:p>
    <w:p w14:paraId="5210BBE0">
      <w:pPr>
        <w:pStyle w:val="8"/>
        <w:tabs>
          <w:tab w:val="left" w:pos="681"/>
        </w:tabs>
        <w:topLinePunct/>
        <w:snapToGrid w:val="0"/>
        <w:spacing w:beforeLines="25" w:line="300" w:lineRule="auto"/>
        <w:ind w:left="0" w:firstLine="0"/>
        <w:jc w:val="both"/>
        <w:rPr>
          <w:kern w:val="2"/>
          <w:szCs w:val="21"/>
        </w:rPr>
      </w:pPr>
      <w:r>
        <w:rPr>
          <w:kern w:val="2"/>
          <w:szCs w:val="21"/>
        </w:rPr>
        <w:t>3.</w:t>
      </w:r>
      <w:r>
        <w:rPr>
          <w:kern w:val="2"/>
          <w:szCs w:val="21"/>
        </w:rPr>
        <w:tab/>
      </w:r>
      <w:r>
        <w:rPr>
          <w:kern w:val="2"/>
          <w:szCs w:val="21"/>
        </w:rPr>
        <w:t>制造商应按照载于第61条和附录XIV规定的要求进行临床评价，包括'PMCF'。</w:t>
      </w:r>
    </w:p>
    <w:p w14:paraId="43D9D22C">
      <w:pPr>
        <w:pStyle w:val="32"/>
        <w:tabs>
          <w:tab w:val="left" w:pos="682"/>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rPr>
        <w:t>除了定制器械外器械的制造商应拟定并更新这些器械的技术文件</w:t>
      </w:r>
      <w:r>
        <w:rPr>
          <w:rFonts w:hint="eastAsia" w:ascii="Times New Roman" w:hAnsi="Times New Roman"/>
          <w:kern w:val="2"/>
          <w:szCs w:val="21"/>
        </w:rPr>
        <w:t>。</w:t>
      </w:r>
      <w:r>
        <w:rPr>
          <w:rFonts w:ascii="Times New Roman" w:hAnsi="Times New Roman"/>
          <w:kern w:val="2"/>
          <w:szCs w:val="21"/>
        </w:rPr>
        <w:t>该技术文件应允许评定该器械与本法规要求的符合性。该技术文件应包括附录II和III列出的要点。</w:t>
      </w:r>
    </w:p>
    <w:p w14:paraId="3BAA3216">
      <w:pPr>
        <w:pStyle w:val="8"/>
        <w:topLinePunct/>
        <w:snapToGrid w:val="0"/>
        <w:spacing w:beforeLines="25" w:line="300" w:lineRule="auto"/>
        <w:ind w:firstLine="0"/>
        <w:jc w:val="both"/>
        <w:rPr>
          <w:kern w:val="2"/>
          <w:szCs w:val="21"/>
        </w:rPr>
      </w:pPr>
      <w:r>
        <w:rPr>
          <w:rFonts w:hint="eastAsia"/>
          <w:kern w:val="2"/>
          <w:szCs w:val="21"/>
        </w:rPr>
        <w:t>鉴于</w:t>
      </w:r>
      <w:r>
        <w:rPr>
          <w:kern w:val="2"/>
          <w:szCs w:val="21"/>
        </w:rPr>
        <w:t>技术进展和附录II和附录III</w:t>
      </w:r>
      <w:r>
        <w:rPr>
          <w:rFonts w:hint="eastAsia"/>
          <w:kern w:val="2"/>
          <w:szCs w:val="21"/>
        </w:rPr>
        <w:t>，</w:t>
      </w:r>
      <w:r>
        <w:rPr>
          <w:kern w:val="2"/>
          <w:szCs w:val="21"/>
        </w:rPr>
        <w:t>根据第115条修订</w:t>
      </w:r>
      <w:r>
        <w:rPr>
          <w:rFonts w:hint="eastAsia"/>
          <w:kern w:val="2"/>
          <w:szCs w:val="21"/>
        </w:rPr>
        <w:t>内容，</w:t>
      </w:r>
      <w:r>
        <w:rPr>
          <w:kern w:val="2"/>
          <w:szCs w:val="21"/>
          <w:lang w:val="en-US"/>
        </w:rPr>
        <w:t>委员会</w:t>
      </w:r>
      <w:r>
        <w:rPr>
          <w:rFonts w:hint="eastAsia"/>
          <w:kern w:val="2"/>
          <w:szCs w:val="21"/>
          <w:lang w:val="en-US"/>
        </w:rPr>
        <w:t>有权批准授权法案</w:t>
      </w:r>
      <w:r>
        <w:rPr>
          <w:kern w:val="2"/>
          <w:szCs w:val="21"/>
        </w:rPr>
        <w:t>。</w:t>
      </w:r>
    </w:p>
    <w:p w14:paraId="24A35B58">
      <w:pPr>
        <w:pStyle w:val="32"/>
        <w:tabs>
          <w:tab w:val="left" w:pos="682"/>
        </w:tabs>
        <w:topLinePunct/>
        <w:snapToGrid w:val="0"/>
        <w:spacing w:beforeLines="25" w:line="300" w:lineRule="auto"/>
        <w:ind w:left="657" w:hanging="657" w:hangingChars="313"/>
        <w:jc w:val="both"/>
        <w:rPr>
          <w:rFonts w:ascii="Times New Roman" w:hAnsi="Times New Roman"/>
          <w:kern w:val="2"/>
          <w:szCs w:val="21"/>
        </w:rPr>
      </w:pPr>
      <w:r>
        <w:rPr>
          <w:rFonts w:ascii="Times New Roman" w:hAnsi="Times New Roman"/>
          <w:kern w:val="2"/>
          <w:szCs w:val="21"/>
        </w:rPr>
        <w:t>5.</w:t>
      </w:r>
      <w:r>
        <w:rPr>
          <w:rFonts w:ascii="Times New Roman" w:hAnsi="Times New Roman"/>
          <w:kern w:val="2"/>
          <w:szCs w:val="21"/>
        </w:rPr>
        <w:tab/>
      </w:r>
      <w:r>
        <w:rPr>
          <w:rFonts w:ascii="Times New Roman" w:hAnsi="Times New Roman"/>
          <w:kern w:val="2"/>
          <w:szCs w:val="21"/>
        </w:rPr>
        <w:t>定制器械制造商应拟定、更新并向主管机构提供符合附录XIII第2节的文档。</w:t>
      </w:r>
    </w:p>
    <w:p w14:paraId="0AA6DB8F">
      <w:pPr>
        <w:pStyle w:val="32"/>
        <w:tabs>
          <w:tab w:val="left" w:pos="682"/>
        </w:tabs>
        <w:topLinePunct/>
        <w:snapToGrid w:val="0"/>
        <w:spacing w:beforeLines="25" w:line="300" w:lineRule="auto"/>
        <w:ind w:left="657" w:hanging="657" w:hangingChars="313"/>
        <w:jc w:val="both"/>
        <w:rPr>
          <w:rFonts w:ascii="Times New Roman" w:hAnsi="Times New Roman"/>
          <w:kern w:val="2"/>
          <w:szCs w:val="21"/>
        </w:rPr>
      </w:pPr>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若适用的符合性评估流程证明器械符合适用的要求，则器械（非定制或研究用器械）制造商应根据第19条的要求制定欧盟符合性声明，并根据第20条的要求附上标有符合性的CE标识。</w:t>
      </w:r>
    </w:p>
    <w:p w14:paraId="49C3502C">
      <w:pPr>
        <w:pStyle w:val="32"/>
        <w:tabs>
          <w:tab w:val="left" w:pos="682"/>
        </w:tabs>
        <w:topLinePunct/>
        <w:snapToGrid w:val="0"/>
        <w:spacing w:beforeLines="25" w:line="300" w:lineRule="auto"/>
        <w:ind w:left="657" w:hanging="657" w:hangingChars="313"/>
        <w:jc w:val="both"/>
        <w:rPr>
          <w:rFonts w:ascii="Times New Roman" w:hAnsi="Times New Roman"/>
          <w:kern w:val="2"/>
          <w:szCs w:val="21"/>
        </w:rPr>
      </w:pPr>
      <w:r>
        <w:rPr>
          <w:rFonts w:ascii="Times New Roman" w:hAnsi="Times New Roman"/>
          <w:kern w:val="2"/>
          <w:szCs w:val="21"/>
        </w:rPr>
        <w:t>7.</w:t>
      </w:r>
      <w:r>
        <w:rPr>
          <w:rFonts w:ascii="Times New Roman" w:hAnsi="Times New Roman"/>
          <w:kern w:val="2"/>
          <w:szCs w:val="21"/>
        </w:rPr>
        <w:tab/>
      </w:r>
      <w:r>
        <w:rPr>
          <w:rFonts w:ascii="Times New Roman" w:hAnsi="Times New Roman"/>
          <w:kern w:val="2"/>
          <w:szCs w:val="21"/>
        </w:rPr>
        <w:t>制造商应遵守第27条中所述的UDI系统相关义务，以及第29和31条所述的注册义务。</w:t>
      </w:r>
    </w:p>
    <w:p w14:paraId="02FB22AA">
      <w:pPr>
        <w:pStyle w:val="32"/>
        <w:tabs>
          <w:tab w:val="left" w:pos="682"/>
        </w:tabs>
        <w:topLinePunct/>
        <w:snapToGrid w:val="0"/>
        <w:spacing w:beforeLines="25" w:line="300" w:lineRule="auto"/>
        <w:ind w:left="657" w:hanging="657" w:hangingChars="313"/>
        <w:jc w:val="both"/>
        <w:rPr>
          <w:rFonts w:ascii="Times New Roman" w:hAnsi="Times New Roman"/>
          <w:kern w:val="2"/>
          <w:szCs w:val="21"/>
        </w:rPr>
      </w:pPr>
      <w:r>
        <w:rPr>
          <w:rFonts w:ascii="Times New Roman" w:hAnsi="Times New Roman"/>
          <w:kern w:val="2"/>
          <w:szCs w:val="21"/>
        </w:rPr>
        <w:t>8</w:t>
      </w:r>
      <w:r>
        <w:rPr>
          <w:rFonts w:hint="eastAsia" w:ascii="Times New Roman" w:hAnsi="Times New Roman"/>
          <w:kern w:val="2"/>
          <w:szCs w:val="21"/>
        </w:rPr>
        <w:t>.</w:t>
      </w:r>
      <w:r>
        <w:rPr>
          <w:rFonts w:ascii="Times New Roman" w:hAnsi="Times New Roman"/>
          <w:kern w:val="2"/>
          <w:szCs w:val="21"/>
        </w:rPr>
        <w:tab/>
      </w:r>
      <w:r>
        <w:rPr>
          <w:rFonts w:ascii="Times New Roman" w:hAnsi="Times New Roman"/>
          <w:kern w:val="2"/>
          <w:szCs w:val="21"/>
        </w:rPr>
        <w:t>制造商应保存技术文件、欧盟符合性声明、适用时还有根据第56条颁发的相关证书及修订件和补充件的副本，在欧盟符合性声明中所涵盖的最后器械上市后，该文档应至少向主管机构开放</w:t>
      </w:r>
      <w:r>
        <w:rPr>
          <w:rFonts w:hint="eastAsia" w:ascii="Times New Roman" w:hAnsi="Times New Roman"/>
          <w:kern w:val="2"/>
          <w:szCs w:val="21"/>
        </w:rPr>
        <w:t>10</w:t>
      </w:r>
      <w:r>
        <w:rPr>
          <w:rFonts w:ascii="Times New Roman" w:hAnsi="Times New Roman"/>
          <w:kern w:val="2"/>
          <w:szCs w:val="21"/>
        </w:rPr>
        <w:t>年。若为可植入器械，周期应至少为最后器械已投放市场后的15年。</w:t>
      </w:r>
    </w:p>
    <w:p w14:paraId="4F00A63C">
      <w:pPr>
        <w:pStyle w:val="32"/>
        <w:tabs>
          <w:tab w:val="left" w:pos="682"/>
        </w:tabs>
        <w:topLinePunct/>
        <w:snapToGrid w:val="0"/>
        <w:spacing w:beforeLines="25" w:line="300" w:lineRule="auto"/>
        <w:ind w:left="568"/>
        <w:jc w:val="both"/>
        <w:rPr>
          <w:rFonts w:ascii="Times New Roman" w:hAnsi="Times New Roman"/>
          <w:kern w:val="2"/>
          <w:szCs w:val="21"/>
        </w:rPr>
      </w:pPr>
      <w:r>
        <w:rPr>
          <w:rFonts w:ascii="Times New Roman" w:hAnsi="Times New Roman"/>
          <w:kern w:val="2"/>
          <w:szCs w:val="21"/>
        </w:rPr>
        <w:t>经主管机构要求，制造商应提供完整的技术文件或总结。</w:t>
      </w:r>
    </w:p>
    <w:p w14:paraId="2CA34E1C">
      <w:pPr>
        <w:pStyle w:val="32"/>
        <w:tabs>
          <w:tab w:val="left" w:pos="682"/>
        </w:tabs>
        <w:topLinePunct/>
        <w:snapToGrid w:val="0"/>
        <w:spacing w:beforeLines="25" w:line="300" w:lineRule="auto"/>
        <w:ind w:left="568"/>
        <w:jc w:val="both"/>
        <w:rPr>
          <w:rFonts w:ascii="Times New Roman" w:hAnsi="Times New Roman"/>
          <w:kern w:val="2"/>
          <w:szCs w:val="21"/>
        </w:rPr>
      </w:pPr>
      <w:r>
        <w:rPr>
          <w:rFonts w:ascii="Times New Roman" w:hAnsi="Times New Roman"/>
          <w:kern w:val="2"/>
          <w:szCs w:val="21"/>
        </w:rPr>
        <w:t>为使授权代表能够完成第11（3）条中所述的任务，在欧盟境外注册营业的制造商应确保授权代表有永久可用的必要文档。</w:t>
      </w:r>
    </w:p>
    <w:p w14:paraId="2B6B45A9">
      <w:pPr>
        <w:pStyle w:val="32"/>
        <w:tabs>
          <w:tab w:val="left" w:pos="682"/>
        </w:tabs>
        <w:topLinePunct/>
        <w:snapToGrid w:val="0"/>
        <w:spacing w:beforeLines="25" w:line="300" w:lineRule="auto"/>
        <w:ind w:left="657" w:hanging="657" w:hangingChars="313"/>
        <w:jc w:val="both"/>
        <w:rPr>
          <w:rFonts w:ascii="Times New Roman" w:hAnsi="Times New Roman"/>
          <w:kern w:val="2"/>
          <w:szCs w:val="21"/>
        </w:rPr>
      </w:pPr>
      <w:r>
        <w:rPr>
          <w:rFonts w:ascii="Times New Roman" w:hAnsi="Times New Roman"/>
          <w:kern w:val="2"/>
          <w:szCs w:val="21"/>
        </w:rPr>
        <w:t>9.</w:t>
      </w:r>
      <w:r>
        <w:rPr>
          <w:rFonts w:ascii="Times New Roman" w:hAnsi="Times New Roman"/>
          <w:kern w:val="2"/>
          <w:szCs w:val="21"/>
        </w:rPr>
        <w:tab/>
      </w:r>
      <w:r>
        <w:rPr>
          <w:rFonts w:ascii="Times New Roman" w:hAnsi="Times New Roman"/>
          <w:kern w:val="2"/>
          <w:szCs w:val="21"/>
        </w:rPr>
        <w:t>制造商应确保采取必要程序，以使</w:t>
      </w:r>
      <w:r>
        <w:rPr>
          <w:rFonts w:hint="eastAsia" w:ascii="Times New Roman" w:hAnsi="Times New Roman"/>
          <w:kern w:val="2"/>
          <w:szCs w:val="21"/>
        </w:rPr>
        <w:t>批量生产</w:t>
      </w:r>
      <w:r>
        <w:rPr>
          <w:rFonts w:ascii="Times New Roman" w:hAnsi="Times New Roman"/>
          <w:kern w:val="2"/>
          <w:szCs w:val="21"/>
        </w:rPr>
        <w:t>符合本法规的要求。应及时充分考虑</w:t>
      </w:r>
      <w:r>
        <w:rPr>
          <w:rFonts w:hint="eastAsia" w:ascii="Times New Roman" w:hAnsi="Times New Roman"/>
          <w:kern w:val="2"/>
          <w:szCs w:val="21"/>
        </w:rPr>
        <w:t>器械</w:t>
      </w:r>
      <w:r>
        <w:rPr>
          <w:rFonts w:ascii="Times New Roman" w:hAnsi="Times New Roman"/>
          <w:kern w:val="2"/>
          <w:szCs w:val="21"/>
        </w:rPr>
        <w:t>设计或特性的更改和协调标准或</w:t>
      </w:r>
      <w:r>
        <w:rPr>
          <w:rFonts w:hint="eastAsia" w:ascii="Times New Roman" w:hAnsi="Times New Roman"/>
          <w:kern w:val="2"/>
          <w:szCs w:val="21"/>
          <w:lang w:val="en-US"/>
        </w:rPr>
        <w:t>器械</w:t>
      </w:r>
      <w:r>
        <w:rPr>
          <w:rFonts w:ascii="Times New Roman" w:hAnsi="Times New Roman"/>
          <w:kern w:val="2"/>
          <w:szCs w:val="21"/>
        </w:rPr>
        <w:t>符合性所声明的CS的更改。器械（非研究用器械）制造商应以最有效的及根据风险等级和器械类别的方式确立、记录、实现、维护、不断更新和不断改善一个能确保器械符合本法规规定的质量管理体系。</w:t>
      </w:r>
    </w:p>
    <w:p w14:paraId="6C39AA3B">
      <w:pPr>
        <w:pStyle w:val="8"/>
        <w:topLinePunct/>
        <w:snapToGrid w:val="0"/>
        <w:spacing w:beforeLines="25" w:line="300" w:lineRule="auto"/>
        <w:ind w:firstLine="0"/>
        <w:jc w:val="both"/>
        <w:rPr>
          <w:kern w:val="2"/>
          <w:szCs w:val="21"/>
        </w:rPr>
      </w:pPr>
      <w:r>
        <w:rPr>
          <w:kern w:val="2"/>
          <w:szCs w:val="21"/>
        </w:rPr>
        <w:t>质量管理体系包括制造商组织的所有处理流程、程序和器械质量的组成部分。它管理着结构、职责、程序、流程和管理资源，以贯彻所需的原则和行动，以遵守本法规的规定。</w:t>
      </w:r>
    </w:p>
    <w:p w14:paraId="4FA21CE8">
      <w:pPr>
        <w:pStyle w:val="8"/>
        <w:topLinePunct/>
        <w:snapToGrid w:val="0"/>
        <w:spacing w:beforeLines="25" w:line="300" w:lineRule="auto"/>
        <w:ind w:left="0" w:firstLine="630" w:firstLineChars="300"/>
        <w:jc w:val="both"/>
        <w:rPr>
          <w:kern w:val="2"/>
          <w:szCs w:val="21"/>
        </w:rPr>
      </w:pPr>
      <w:r>
        <w:rPr>
          <w:kern w:val="2"/>
          <w:szCs w:val="21"/>
        </w:rPr>
        <w:t>质量管理体系应至少解决以下方面的问题：</w:t>
      </w:r>
    </w:p>
    <w:p w14:paraId="72321D13">
      <w:pPr>
        <w:pStyle w:val="8"/>
        <w:topLinePunct/>
        <w:snapToGrid w:val="0"/>
        <w:spacing w:beforeLines="25" w:line="300" w:lineRule="auto"/>
        <w:ind w:left="1247"/>
        <w:jc w:val="both"/>
        <w:rPr>
          <w:kern w:val="2"/>
          <w:szCs w:val="21"/>
        </w:rPr>
      </w:pPr>
      <w:r>
        <w:rPr>
          <w:kern w:val="2"/>
          <w:szCs w:val="21"/>
        </w:rPr>
        <w:t>(a)</w:t>
      </w:r>
      <w:r>
        <w:rPr>
          <w:kern w:val="2"/>
          <w:szCs w:val="21"/>
        </w:rPr>
        <w:tab/>
      </w:r>
      <w:r>
        <w:rPr>
          <w:kern w:val="2"/>
          <w:szCs w:val="21"/>
        </w:rPr>
        <w:t>法规符合性战略，包括符合性评估流程的符合性和系统所涵盖的器械的变更管理程序；</w:t>
      </w:r>
    </w:p>
    <w:p w14:paraId="65072529">
      <w:pPr>
        <w:pStyle w:val="8"/>
        <w:topLinePunct/>
        <w:snapToGrid w:val="0"/>
        <w:spacing w:beforeLines="25" w:line="300" w:lineRule="auto"/>
        <w:ind w:left="1247"/>
        <w:jc w:val="both"/>
        <w:rPr>
          <w:kern w:val="2"/>
          <w:szCs w:val="21"/>
        </w:rPr>
      </w:pPr>
      <w:r>
        <w:rPr>
          <w:kern w:val="2"/>
          <w:szCs w:val="21"/>
        </w:rPr>
        <w:t>(b)</w:t>
      </w:r>
      <w:r>
        <w:rPr>
          <w:kern w:val="2"/>
          <w:szCs w:val="21"/>
        </w:rPr>
        <w:tab/>
      </w:r>
      <w:r>
        <w:rPr>
          <w:kern w:val="2"/>
          <w:szCs w:val="21"/>
        </w:rPr>
        <w:t>确定适用的通用安全与性能要求，寻找可选择的解决这些要求的方法；(c)</w:t>
      </w:r>
      <w:r>
        <w:rPr>
          <w:kern w:val="2"/>
          <w:szCs w:val="21"/>
        </w:rPr>
        <w:tab/>
      </w:r>
      <w:r>
        <w:rPr>
          <w:kern w:val="2"/>
          <w:szCs w:val="21"/>
        </w:rPr>
        <w:t>管理责任；</w:t>
      </w:r>
    </w:p>
    <w:p w14:paraId="5970966A">
      <w:pPr>
        <w:pStyle w:val="32"/>
        <w:tabs>
          <w:tab w:val="left" w:pos="1248"/>
        </w:tabs>
        <w:topLinePunct/>
        <w:snapToGrid w:val="0"/>
        <w:spacing w:beforeLines="25" w:line="300" w:lineRule="auto"/>
        <w:ind w:left="681"/>
        <w:jc w:val="both"/>
        <w:rPr>
          <w:rFonts w:ascii="Times New Roman" w:hAnsi="Times New Roman"/>
          <w:kern w:val="2"/>
          <w:szCs w:val="21"/>
        </w:rPr>
      </w:pPr>
      <w:r>
        <w:rPr>
          <w:rFonts w:ascii="Times New Roman" w:hAnsi="Times New Roman"/>
          <w:kern w:val="2"/>
          <w:szCs w:val="21"/>
        </w:rPr>
        <w:t>(d)</w:t>
      </w:r>
      <w:r>
        <w:rPr>
          <w:rFonts w:ascii="Times New Roman" w:hAnsi="Times New Roman"/>
          <w:kern w:val="2"/>
          <w:szCs w:val="21"/>
        </w:rPr>
        <w:tab/>
      </w:r>
      <w:r>
        <w:rPr>
          <w:rFonts w:ascii="Times New Roman" w:hAnsi="Times New Roman"/>
          <w:kern w:val="2"/>
          <w:szCs w:val="21"/>
        </w:rPr>
        <w:t>资源管理，包括选择和管理供应商和分包商；</w:t>
      </w:r>
    </w:p>
    <w:p w14:paraId="5C403649">
      <w:pPr>
        <w:pStyle w:val="8"/>
        <w:topLinePunct/>
        <w:snapToGrid w:val="0"/>
        <w:spacing w:beforeLines="25" w:line="300" w:lineRule="auto"/>
        <w:ind w:left="1247"/>
        <w:jc w:val="both"/>
        <w:rPr>
          <w:kern w:val="2"/>
          <w:szCs w:val="21"/>
        </w:rPr>
      </w:pPr>
      <w:r>
        <w:rPr>
          <w:rFonts w:hint="eastAsia"/>
          <w:kern w:val="2"/>
          <w:szCs w:val="21"/>
        </w:rPr>
        <w:t>(</w:t>
      </w:r>
      <w:r>
        <w:rPr>
          <w:kern w:val="2"/>
          <w:szCs w:val="21"/>
        </w:rPr>
        <w:t>e</w:t>
      </w:r>
      <w:r>
        <w:rPr>
          <w:rFonts w:hint="eastAsia"/>
          <w:kern w:val="2"/>
          <w:szCs w:val="21"/>
        </w:rPr>
        <w:t>)</w:t>
      </w:r>
      <w:r>
        <w:rPr>
          <w:kern w:val="2"/>
          <w:szCs w:val="21"/>
        </w:rPr>
        <w:tab/>
      </w:r>
      <w:r>
        <w:rPr>
          <w:kern w:val="2"/>
          <w:szCs w:val="21"/>
        </w:rPr>
        <w:t>附录I第3节中规定的风险管理；</w:t>
      </w:r>
    </w:p>
    <w:p w14:paraId="4AAF48B7">
      <w:pPr>
        <w:pStyle w:val="8"/>
        <w:topLinePunct/>
        <w:snapToGrid w:val="0"/>
        <w:spacing w:beforeLines="25" w:line="300" w:lineRule="auto"/>
        <w:ind w:left="1247"/>
        <w:jc w:val="both"/>
        <w:rPr>
          <w:kern w:val="2"/>
          <w:szCs w:val="21"/>
        </w:rPr>
      </w:pPr>
      <w:r>
        <w:rPr>
          <w:kern w:val="2"/>
          <w:szCs w:val="21"/>
        </w:rPr>
        <w:t>(f)</w:t>
      </w:r>
      <w:r>
        <w:rPr>
          <w:kern w:val="2"/>
          <w:szCs w:val="21"/>
        </w:rPr>
        <w:tab/>
      </w:r>
      <w:r>
        <w:rPr>
          <w:kern w:val="2"/>
          <w:szCs w:val="21"/>
        </w:rPr>
        <w:t>临床评价，根据第61条和附录XIV的规定，包括PMCF；</w:t>
      </w:r>
    </w:p>
    <w:p w14:paraId="29942607">
      <w:pPr>
        <w:pStyle w:val="8"/>
        <w:topLinePunct/>
        <w:snapToGrid w:val="0"/>
        <w:spacing w:beforeLines="25" w:line="300" w:lineRule="auto"/>
        <w:ind w:left="1247"/>
        <w:jc w:val="both"/>
        <w:rPr>
          <w:kern w:val="2"/>
          <w:szCs w:val="21"/>
        </w:rPr>
      </w:pPr>
      <w:r>
        <w:rPr>
          <w:kern w:val="2"/>
          <w:szCs w:val="21"/>
        </w:rPr>
        <w:t>(g)</w:t>
      </w:r>
      <w:r>
        <w:rPr>
          <w:kern w:val="2"/>
          <w:szCs w:val="21"/>
        </w:rPr>
        <w:tab/>
      </w:r>
      <w:r>
        <w:rPr>
          <w:kern w:val="2"/>
          <w:szCs w:val="21"/>
        </w:rPr>
        <w:t>产品实现规划，包括规划、设计、研发、生产和服务提供；</w:t>
      </w:r>
    </w:p>
    <w:p w14:paraId="1BC09001">
      <w:pPr>
        <w:pStyle w:val="8"/>
        <w:topLinePunct/>
        <w:snapToGrid w:val="0"/>
        <w:spacing w:beforeLines="25" w:line="300" w:lineRule="auto"/>
        <w:ind w:left="1247"/>
        <w:jc w:val="both"/>
        <w:rPr>
          <w:kern w:val="2"/>
          <w:szCs w:val="21"/>
        </w:rPr>
      </w:pPr>
      <w:r>
        <w:rPr>
          <w:kern w:val="2"/>
          <w:szCs w:val="21"/>
        </w:rPr>
        <w:t>(h)</w:t>
      </w:r>
      <w:r>
        <w:rPr>
          <w:kern w:val="2"/>
          <w:szCs w:val="21"/>
        </w:rPr>
        <w:tab/>
      </w:r>
      <w:r>
        <w:rPr>
          <w:kern w:val="2"/>
          <w:szCs w:val="21"/>
        </w:rPr>
        <w:t>根据第27（3）条规定验证所有相关器械的UDI分配，确保根据第29条提供的信息的一致性和有效性；</w:t>
      </w:r>
    </w:p>
    <w:p w14:paraId="16A476DC">
      <w:pPr>
        <w:pStyle w:val="8"/>
        <w:topLinePunct/>
        <w:snapToGrid w:val="0"/>
        <w:spacing w:beforeLines="25" w:line="300" w:lineRule="auto"/>
        <w:ind w:left="1247"/>
        <w:jc w:val="both"/>
        <w:rPr>
          <w:kern w:val="2"/>
          <w:szCs w:val="21"/>
        </w:rPr>
      </w:pPr>
      <w:r>
        <w:rPr>
          <w:kern w:val="2"/>
          <w:szCs w:val="21"/>
        </w:rPr>
        <w:t>(j)</w:t>
      </w:r>
      <w:r>
        <w:rPr>
          <w:kern w:val="2"/>
          <w:szCs w:val="21"/>
        </w:rPr>
        <w:tab/>
      </w:r>
      <w:r>
        <w:rPr>
          <w:kern w:val="2"/>
          <w:szCs w:val="21"/>
        </w:rPr>
        <w:t>根据第83条的要求，建立、实施和维护上市后监管体系；</w:t>
      </w:r>
    </w:p>
    <w:p w14:paraId="616C62F3">
      <w:pPr>
        <w:pStyle w:val="8"/>
        <w:topLinePunct/>
        <w:snapToGrid w:val="0"/>
        <w:spacing w:beforeLines="25" w:line="300" w:lineRule="auto"/>
        <w:ind w:left="1247"/>
        <w:jc w:val="both"/>
        <w:rPr>
          <w:kern w:val="2"/>
          <w:szCs w:val="21"/>
        </w:rPr>
      </w:pPr>
      <w:r>
        <w:rPr>
          <w:kern w:val="2"/>
          <w:szCs w:val="21"/>
        </w:rPr>
        <w:t>(j)</w:t>
      </w:r>
      <w:r>
        <w:rPr>
          <w:kern w:val="2"/>
          <w:szCs w:val="21"/>
        </w:rPr>
        <w:tab/>
      </w:r>
      <w:r>
        <w:rPr>
          <w:kern w:val="2"/>
          <w:szCs w:val="21"/>
        </w:rPr>
        <w:t>与主管机构、公告机构、其他经济运营商、客户和/或其他利益相关人沟通；</w:t>
      </w:r>
    </w:p>
    <w:p w14:paraId="701E85A7">
      <w:pPr>
        <w:pStyle w:val="8"/>
        <w:topLinePunct/>
        <w:snapToGrid w:val="0"/>
        <w:spacing w:beforeLines="25" w:line="300" w:lineRule="auto"/>
        <w:ind w:left="1247"/>
        <w:jc w:val="both"/>
        <w:rPr>
          <w:kern w:val="2"/>
          <w:szCs w:val="21"/>
        </w:rPr>
      </w:pPr>
      <w:r>
        <w:rPr>
          <w:kern w:val="2"/>
          <w:szCs w:val="21"/>
        </w:rPr>
        <w:t>(k)</w:t>
      </w:r>
      <w:r>
        <w:rPr>
          <w:kern w:val="2"/>
          <w:szCs w:val="21"/>
        </w:rPr>
        <w:tab/>
      </w:r>
      <w:r>
        <w:rPr>
          <w:kern w:val="2"/>
          <w:szCs w:val="21"/>
        </w:rPr>
        <w:t>警戒情况下的严重事件和现场安全纠正措施的报告流程；</w:t>
      </w:r>
    </w:p>
    <w:p w14:paraId="03324C51">
      <w:pPr>
        <w:pStyle w:val="8"/>
        <w:topLinePunct/>
        <w:snapToGrid w:val="0"/>
        <w:spacing w:beforeLines="25" w:line="300" w:lineRule="auto"/>
        <w:ind w:left="1247"/>
        <w:jc w:val="both"/>
        <w:rPr>
          <w:kern w:val="2"/>
          <w:szCs w:val="21"/>
        </w:rPr>
      </w:pPr>
      <w:r>
        <w:rPr>
          <w:kern w:val="2"/>
          <w:szCs w:val="21"/>
        </w:rPr>
        <w:t>(l)</w:t>
      </w:r>
      <w:r>
        <w:rPr>
          <w:kern w:val="2"/>
          <w:szCs w:val="21"/>
        </w:rPr>
        <w:tab/>
      </w:r>
      <w:r>
        <w:rPr>
          <w:kern w:val="2"/>
          <w:szCs w:val="21"/>
        </w:rPr>
        <w:t>纠正措施和预防措施的管理及其有效性的验证；</w:t>
      </w:r>
    </w:p>
    <w:p w14:paraId="1E7BB91B">
      <w:pPr>
        <w:pStyle w:val="8"/>
        <w:topLinePunct/>
        <w:snapToGrid w:val="0"/>
        <w:spacing w:beforeLines="25" w:line="300" w:lineRule="auto"/>
        <w:ind w:left="1247"/>
        <w:jc w:val="both"/>
        <w:rPr>
          <w:kern w:val="2"/>
          <w:szCs w:val="21"/>
        </w:rPr>
      </w:pPr>
      <w:r>
        <w:rPr>
          <w:kern w:val="2"/>
          <w:szCs w:val="21"/>
        </w:rPr>
        <w:t>(m)</w:t>
      </w:r>
      <w:r>
        <w:rPr>
          <w:kern w:val="2"/>
          <w:szCs w:val="21"/>
        </w:rPr>
        <w:tab/>
      </w:r>
      <w:r>
        <w:rPr>
          <w:kern w:val="2"/>
          <w:szCs w:val="21"/>
        </w:rPr>
        <w:t>产品的监督和测量流程，数据分析和产品改进。</w:t>
      </w:r>
    </w:p>
    <w:p w14:paraId="0D392CB4">
      <w:pPr>
        <w:pStyle w:val="32"/>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10.</w:t>
      </w:r>
      <w:r>
        <w:rPr>
          <w:rFonts w:ascii="Times New Roman" w:hAnsi="Times New Roman"/>
          <w:kern w:val="2"/>
          <w:szCs w:val="21"/>
        </w:rPr>
        <w:tab/>
      </w:r>
      <w:r>
        <w:rPr>
          <w:rFonts w:ascii="Times New Roman" w:hAnsi="Times New Roman"/>
          <w:kern w:val="2"/>
          <w:szCs w:val="21"/>
        </w:rPr>
        <w:t>器械制造商应根据第83条的规定实施并不断更新上市后监管体系。</w:t>
      </w:r>
    </w:p>
    <w:p w14:paraId="53F0A0B0">
      <w:pPr>
        <w:pStyle w:val="32"/>
        <w:tabs>
          <w:tab w:val="left" w:pos="682"/>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t>11.</w:t>
      </w:r>
      <w:r>
        <w:rPr>
          <w:rFonts w:ascii="Times New Roman" w:hAnsi="Times New Roman"/>
          <w:kern w:val="2"/>
          <w:szCs w:val="21"/>
        </w:rPr>
        <w:tab/>
      </w:r>
      <w:r>
        <w:rPr>
          <w:rFonts w:ascii="Times New Roman" w:hAnsi="Times New Roman"/>
          <w:kern w:val="2"/>
          <w:szCs w:val="21"/>
        </w:rPr>
        <w:t>制造商应确保器械附有附录I第23节规定的信息，且信息</w:t>
      </w:r>
      <w:r>
        <w:rPr>
          <w:rFonts w:hint="eastAsia" w:ascii="Times New Roman" w:hAnsi="Times New Roman"/>
          <w:kern w:val="2"/>
          <w:szCs w:val="21"/>
        </w:rPr>
        <w:t>应</w:t>
      </w:r>
      <w:r>
        <w:rPr>
          <w:rFonts w:ascii="Times New Roman" w:hAnsi="Times New Roman"/>
          <w:kern w:val="2"/>
          <w:szCs w:val="21"/>
        </w:rPr>
        <w:t>采用器械上市国（同时也是成员国）指定的欧盟官方语言编写。标签上的详情</w:t>
      </w:r>
      <w:r>
        <w:rPr>
          <w:rFonts w:hint="eastAsia" w:ascii="Times New Roman" w:hAnsi="Times New Roman"/>
          <w:kern w:val="2"/>
          <w:szCs w:val="21"/>
        </w:rPr>
        <w:t>应</w:t>
      </w:r>
      <w:r>
        <w:rPr>
          <w:rFonts w:ascii="Times New Roman" w:hAnsi="Times New Roman"/>
          <w:kern w:val="2"/>
          <w:szCs w:val="21"/>
        </w:rPr>
        <w:t>不</w:t>
      </w:r>
      <w:r>
        <w:rPr>
          <w:rFonts w:hint="eastAsia" w:ascii="Times New Roman" w:hAnsi="Times New Roman"/>
          <w:kern w:val="2"/>
          <w:szCs w:val="21"/>
        </w:rPr>
        <w:t>可</w:t>
      </w:r>
      <w:r>
        <w:rPr>
          <w:rFonts w:ascii="Times New Roman" w:hAnsi="Times New Roman"/>
          <w:kern w:val="2"/>
          <w:szCs w:val="21"/>
        </w:rPr>
        <w:t>拭除、容易识别并且使用者和患者能够清楚理解。</w:t>
      </w:r>
    </w:p>
    <w:p w14:paraId="04208780">
      <w:pPr>
        <w:pStyle w:val="32"/>
        <w:tabs>
          <w:tab w:val="left" w:pos="682"/>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t>12.</w:t>
      </w:r>
      <w:r>
        <w:rPr>
          <w:rFonts w:ascii="Times New Roman" w:hAnsi="Times New Roman"/>
          <w:kern w:val="2"/>
          <w:szCs w:val="21"/>
        </w:rPr>
        <w:tab/>
      </w:r>
      <w:r>
        <w:rPr>
          <w:rFonts w:ascii="Times New Roman" w:hAnsi="Times New Roman"/>
          <w:kern w:val="2"/>
          <w:szCs w:val="21"/>
        </w:rPr>
        <w:t>认为或有理由认定其投放于市场或交付使用的器械未遵照本法规的制造商，应立即采取必要纠正措施使器械符合要求，并适时撤回或召回。其应通知所述的器械经销商，并适时通知授权代表和相应进口商。</w:t>
      </w:r>
    </w:p>
    <w:p w14:paraId="13555201">
      <w:pPr>
        <w:pStyle w:val="32"/>
        <w:tabs>
          <w:tab w:val="left" w:pos="682"/>
        </w:tabs>
        <w:topLinePunct/>
        <w:snapToGrid w:val="0"/>
        <w:spacing w:beforeLines="25" w:line="300" w:lineRule="auto"/>
        <w:ind w:left="568"/>
        <w:jc w:val="both"/>
        <w:rPr>
          <w:rFonts w:ascii="Times New Roman" w:hAnsi="Times New Roman"/>
          <w:kern w:val="2"/>
          <w:szCs w:val="21"/>
        </w:rPr>
      </w:pPr>
      <w:r>
        <w:rPr>
          <w:rFonts w:ascii="Times New Roman" w:hAnsi="Times New Roman"/>
          <w:kern w:val="2"/>
          <w:szCs w:val="21"/>
        </w:rPr>
        <w:t>如器械出现严重风险，制造商应立即通知各成员国主管机构哪些器械可用，如适用，公告机构根据第56条为器械颁发证书，特别是未遵守要求及其采取的纠正措施。</w:t>
      </w:r>
    </w:p>
    <w:p w14:paraId="222D5153">
      <w:pPr>
        <w:pStyle w:val="32"/>
        <w:tabs>
          <w:tab w:val="left" w:pos="682"/>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t>13.</w:t>
      </w:r>
      <w:r>
        <w:rPr>
          <w:rFonts w:ascii="Times New Roman" w:hAnsi="Times New Roman"/>
          <w:kern w:val="2"/>
          <w:szCs w:val="21"/>
        </w:rPr>
        <w:tab/>
      </w:r>
      <w:r>
        <w:rPr>
          <w:rFonts w:ascii="Times New Roman" w:hAnsi="Times New Roman"/>
          <w:kern w:val="2"/>
          <w:szCs w:val="21"/>
        </w:rPr>
        <w:t>制造商应有一套如第87和88条所述，记录和报告意外事件和现场安全的纠正措施系统。</w:t>
      </w:r>
    </w:p>
    <w:p w14:paraId="37E4B927">
      <w:pPr>
        <w:pStyle w:val="32"/>
        <w:tabs>
          <w:tab w:val="left" w:pos="682"/>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br w:type="page"/>
      </w:r>
    </w:p>
    <w:p w14:paraId="1F5390DB">
      <w:pPr>
        <w:pStyle w:val="32"/>
        <w:tabs>
          <w:tab w:val="left" w:pos="682"/>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rPr>
        <w:t>14.</w:t>
      </w:r>
      <w:r>
        <w:rPr>
          <w:rFonts w:ascii="Times New Roman" w:hAnsi="Times New Roman"/>
          <w:kern w:val="2"/>
          <w:szCs w:val="21"/>
        </w:rPr>
        <w:tab/>
      </w:r>
      <w:r>
        <w:rPr>
          <w:rFonts w:ascii="Times New Roman" w:hAnsi="Times New Roman"/>
          <w:kern w:val="2"/>
          <w:szCs w:val="21"/>
        </w:rPr>
        <w:t>制造商应根据主管机构要求，由相关成员国用官方欧盟语言确定，提供其一切必要信息和文档以证明器械符合要求。如制造商有其注册的营业地点，成员国主管机构可要求制造商免费提供器械样品。如不可行，则授予其器械访问权。制造商应与主管机构合作，按其要求，采取纠正措施以消除风险。如不可行，则降低其已投放市场或投入使用的器械所导致的风险。</w:t>
      </w:r>
    </w:p>
    <w:p w14:paraId="33FFD538">
      <w:pPr>
        <w:pStyle w:val="8"/>
        <w:topLinePunct/>
        <w:snapToGrid w:val="0"/>
        <w:spacing w:beforeLines="25" w:line="300" w:lineRule="auto"/>
        <w:ind w:firstLine="0"/>
        <w:jc w:val="both"/>
        <w:rPr>
          <w:kern w:val="2"/>
          <w:szCs w:val="21"/>
        </w:rPr>
      </w:pPr>
      <w:r>
        <w:rPr>
          <w:rFonts w:hint="eastAsia"/>
          <w:kern w:val="2"/>
          <w:szCs w:val="21"/>
        </w:rPr>
        <w:t>若</w:t>
      </w:r>
      <w:r>
        <w:rPr>
          <w:kern w:val="2"/>
          <w:szCs w:val="21"/>
        </w:rPr>
        <w:t>制造商合作失败或提供的信息和文档不完整或不正确，则主管机构为确保保护公众卫生和患者安全，将采取一切必要措施禁止或限制在国内市场</w:t>
      </w:r>
      <w:r>
        <w:rPr>
          <w:rFonts w:hint="eastAsia"/>
          <w:kern w:val="2"/>
          <w:szCs w:val="21"/>
        </w:rPr>
        <w:t>采购</w:t>
      </w:r>
      <w:r>
        <w:rPr>
          <w:kern w:val="2"/>
          <w:szCs w:val="21"/>
        </w:rPr>
        <w:t>该器械，从该市场撤回或召回器械直至制造商与主管机构合作，或提供完整且正确的信息。</w:t>
      </w:r>
    </w:p>
    <w:p w14:paraId="2A3FD915">
      <w:pPr>
        <w:pStyle w:val="8"/>
        <w:topLinePunct/>
        <w:snapToGrid w:val="0"/>
        <w:spacing w:beforeLines="25" w:line="300" w:lineRule="auto"/>
        <w:ind w:firstLine="0"/>
        <w:jc w:val="both"/>
        <w:rPr>
          <w:kern w:val="2"/>
          <w:szCs w:val="21"/>
        </w:rPr>
      </w:pPr>
      <w:r>
        <w:rPr>
          <w:kern w:val="2"/>
          <w:szCs w:val="21"/>
        </w:rPr>
        <w:t>如主管机构认为或有理由认定器械已造成损害，应当根据要求，协助提供有关第一子段的信息和文档，在不影响数据保护规则，除非</w:t>
      </w:r>
      <w:r>
        <w:rPr>
          <w:rFonts w:hint="eastAsia"/>
          <w:kern w:val="2"/>
          <w:szCs w:val="21"/>
        </w:rPr>
        <w:t>在</w:t>
      </w:r>
      <w:r>
        <w:rPr>
          <w:kern w:val="2"/>
          <w:szCs w:val="21"/>
        </w:rPr>
        <w:t>披露凌驾性公众利益，且不影响知识产权保护的前提下，给潜在受伤患者或使用者、患者或使用者的所有权继承人、受伤患者或使用者的医疗保险公司或经受伤患者，或使用者影响的其他第三方。主管机构无须遵守第三子段中有关第一子段所述的信息披露一般是按法律程序进行的义务。</w:t>
      </w:r>
    </w:p>
    <w:p w14:paraId="534BF4A5">
      <w:pPr>
        <w:pStyle w:val="32"/>
        <w:tabs>
          <w:tab w:val="left" w:pos="682"/>
        </w:tabs>
        <w:topLinePunct/>
        <w:snapToGrid w:val="0"/>
        <w:spacing w:beforeLines="25" w:line="300" w:lineRule="auto"/>
        <w:ind w:left="630" w:hanging="630" w:hangingChars="300"/>
        <w:jc w:val="both"/>
        <w:rPr>
          <w:rFonts w:ascii="Times New Roman" w:hAnsi="Times New Roman"/>
          <w:kern w:val="2"/>
          <w:szCs w:val="21"/>
        </w:rPr>
      </w:pPr>
      <w:r>
        <w:rPr>
          <w:rFonts w:ascii="Times New Roman" w:hAnsi="Times New Roman"/>
          <w:kern w:val="2"/>
          <w:szCs w:val="21"/>
          <w:lang w:val="en-US"/>
        </w:rPr>
        <w:t>15.</w:t>
      </w:r>
      <w:r>
        <w:rPr>
          <w:rFonts w:ascii="Times New Roman" w:hAnsi="Times New Roman"/>
          <w:kern w:val="2"/>
          <w:szCs w:val="21"/>
          <w:lang w:val="en-US"/>
        </w:rPr>
        <w:tab/>
      </w:r>
      <w:r>
        <w:rPr>
          <w:rFonts w:ascii="Times New Roman" w:hAnsi="Times New Roman"/>
          <w:kern w:val="2"/>
          <w:szCs w:val="21"/>
        </w:rPr>
        <w:t>如制造商将其器械交由其他法人或自然人设计和制造，则按照第30（1）条，其法人或自然人的身份信息将成为待提交信息的一部分。</w:t>
      </w:r>
    </w:p>
    <w:p w14:paraId="29A91A90">
      <w:pPr>
        <w:pStyle w:val="32"/>
        <w:tabs>
          <w:tab w:val="left" w:pos="682"/>
        </w:tabs>
        <w:topLinePunct/>
        <w:snapToGrid w:val="0"/>
        <w:spacing w:beforeLines="25" w:line="300" w:lineRule="auto"/>
        <w:ind w:left="630" w:hanging="630" w:hangingChars="300"/>
        <w:jc w:val="both"/>
        <w:rPr>
          <w:rFonts w:ascii="Times New Roman" w:hAnsi="Times New Roman"/>
          <w:kern w:val="2"/>
          <w:szCs w:val="21"/>
          <w:lang w:val="en-US"/>
        </w:rPr>
      </w:pPr>
      <w:r>
        <w:rPr>
          <w:rFonts w:ascii="Times New Roman" w:hAnsi="Times New Roman"/>
          <w:kern w:val="2"/>
          <w:szCs w:val="21"/>
          <w:lang w:val="en-US"/>
        </w:rPr>
        <w:t>16.</w:t>
      </w:r>
      <w:r>
        <w:rPr>
          <w:rFonts w:ascii="Times New Roman" w:hAnsi="Times New Roman"/>
          <w:kern w:val="2"/>
          <w:szCs w:val="21"/>
          <w:lang w:val="en-US"/>
        </w:rPr>
        <w:tab/>
      </w:r>
      <w:r>
        <w:rPr>
          <w:rFonts w:ascii="Times New Roman" w:hAnsi="Times New Roman"/>
          <w:kern w:val="2"/>
          <w:szCs w:val="21"/>
          <w:lang w:val="en-US"/>
        </w:rPr>
        <w:t>自然人或法人可按照适当欧盟和国家法律，要求对由缺陷器械引起损害进行赔偿。</w:t>
      </w:r>
    </w:p>
    <w:p w14:paraId="76D6090F">
      <w:pPr>
        <w:pStyle w:val="32"/>
        <w:tabs>
          <w:tab w:val="left" w:pos="682"/>
        </w:tabs>
        <w:topLinePunct/>
        <w:snapToGrid w:val="0"/>
        <w:spacing w:beforeLines="25" w:line="300" w:lineRule="auto"/>
        <w:ind w:left="568"/>
        <w:jc w:val="both"/>
        <w:rPr>
          <w:rFonts w:ascii="Times New Roman" w:hAnsi="Times New Roman"/>
          <w:kern w:val="2"/>
          <w:szCs w:val="21"/>
          <w:lang w:val="en-US"/>
        </w:rPr>
      </w:pPr>
      <w:r>
        <w:rPr>
          <w:rFonts w:ascii="Times New Roman" w:hAnsi="Times New Roman"/>
          <w:kern w:val="2"/>
          <w:szCs w:val="21"/>
          <w:lang w:val="en-US"/>
        </w:rPr>
        <w:t>根据风险等级、器械类别和企业规模，制造商应采取措施并根据国家法律在不影响更多防护措施的情况下，根据第85/374/EEC号</w:t>
      </w:r>
      <w:r>
        <w:rPr>
          <w:rFonts w:hint="eastAsia" w:ascii="Times New Roman" w:hAnsi="Times New Roman"/>
          <w:kern w:val="2"/>
          <w:szCs w:val="21"/>
          <w:lang w:val="en-US"/>
        </w:rPr>
        <w:t>指令，</w:t>
      </w:r>
      <w:r>
        <w:rPr>
          <w:rFonts w:ascii="Times New Roman" w:hAnsi="Times New Roman"/>
          <w:kern w:val="2"/>
          <w:szCs w:val="21"/>
          <w:lang w:val="en-US"/>
        </w:rPr>
        <w:t>按照其潜在责任提供足够财政保障。</w:t>
      </w:r>
    </w:p>
    <w:p w14:paraId="40DE4874">
      <w:pPr>
        <w:snapToGrid w:val="0"/>
        <w:spacing w:beforeLines="25" w:line="300" w:lineRule="auto"/>
        <w:rPr>
          <w:rFonts w:ascii="Times New Roman" w:hAnsi="Times New Roman"/>
          <w:kern w:val="2"/>
          <w:szCs w:val="21"/>
        </w:rPr>
      </w:pPr>
    </w:p>
    <w:p w14:paraId="2B59860D">
      <w:pPr>
        <w:snapToGrid w:val="0"/>
        <w:spacing w:beforeLines="25" w:line="300" w:lineRule="auto"/>
        <w:jc w:val="center"/>
        <w:rPr>
          <w:rFonts w:ascii="Times New Roman" w:hAnsi="Times New Roman"/>
          <w:i/>
          <w:kern w:val="2"/>
          <w:szCs w:val="21"/>
        </w:rPr>
      </w:pPr>
      <w:r>
        <w:rPr>
          <w:rFonts w:ascii="Times New Roman" w:hAnsi="Times New Roman"/>
          <w:i/>
          <w:kern w:val="2"/>
          <w:szCs w:val="21"/>
        </w:rPr>
        <w:t>第11条</w:t>
      </w:r>
    </w:p>
    <w:p w14:paraId="2DEDD0F3">
      <w:pPr>
        <w:snapToGrid w:val="0"/>
        <w:spacing w:beforeLines="25" w:line="300" w:lineRule="auto"/>
        <w:jc w:val="center"/>
        <w:rPr>
          <w:rFonts w:ascii="Times New Roman" w:hAnsi="Times New Roman"/>
          <w:b/>
          <w:kern w:val="2"/>
          <w:szCs w:val="21"/>
        </w:rPr>
      </w:pPr>
      <w:r>
        <w:rPr>
          <w:rFonts w:ascii="Times New Roman" w:hAnsi="Times New Roman"/>
          <w:b/>
          <w:kern w:val="2"/>
          <w:szCs w:val="21"/>
        </w:rPr>
        <w:t>授权代表</w:t>
      </w:r>
    </w:p>
    <w:p w14:paraId="7C80AC24">
      <w:pPr>
        <w:pStyle w:val="32"/>
        <w:numPr>
          <w:ilvl w:val="0"/>
          <w:numId w:val="1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当所有成员国器械制造商</w:t>
      </w:r>
      <w:r>
        <w:rPr>
          <w:rFonts w:hint="eastAsia" w:ascii="Times New Roman" w:hAnsi="Times New Roman"/>
          <w:kern w:val="2"/>
          <w:szCs w:val="21"/>
        </w:rPr>
        <w:t>均</w:t>
      </w:r>
      <w:r>
        <w:rPr>
          <w:rFonts w:ascii="Times New Roman" w:hAnsi="Times New Roman"/>
          <w:kern w:val="2"/>
          <w:szCs w:val="21"/>
        </w:rPr>
        <w:t>未确立时，</w:t>
      </w:r>
      <w:r>
        <w:rPr>
          <w:rFonts w:hint="eastAsia" w:ascii="Times New Roman" w:hAnsi="Times New Roman"/>
          <w:kern w:val="2"/>
          <w:szCs w:val="21"/>
        </w:rPr>
        <w:t>若</w:t>
      </w:r>
      <w:r>
        <w:rPr>
          <w:rFonts w:ascii="Times New Roman" w:hAnsi="Times New Roman"/>
          <w:kern w:val="2"/>
          <w:szCs w:val="21"/>
        </w:rPr>
        <w:t>制造商指定唯一授权代表，则器械只能投放于欧盟市场。</w:t>
      </w:r>
    </w:p>
    <w:p w14:paraId="7DD8EA1A">
      <w:pPr>
        <w:pStyle w:val="32"/>
        <w:numPr>
          <w:ilvl w:val="0"/>
          <w:numId w:val="1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委任应构成授权代表的授权书，只有在授权代表书面许可时，且至少在相同种类的所有器械有效时，才有效。</w:t>
      </w:r>
    </w:p>
    <w:p w14:paraId="3E97A0E9">
      <w:pPr>
        <w:pStyle w:val="32"/>
        <w:numPr>
          <w:ilvl w:val="0"/>
          <w:numId w:val="1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授权代表应执行其和制造商间授权同意的指定任务。授权代表应根据要求向主管机构提供授权书副本。</w:t>
      </w:r>
    </w:p>
    <w:p w14:paraId="45C392ED">
      <w:pPr>
        <w:pStyle w:val="8"/>
        <w:topLinePunct/>
        <w:snapToGrid w:val="0"/>
        <w:spacing w:beforeLines="25" w:line="300" w:lineRule="auto"/>
        <w:ind w:firstLine="0"/>
        <w:jc w:val="both"/>
        <w:rPr>
          <w:kern w:val="2"/>
          <w:szCs w:val="21"/>
        </w:rPr>
      </w:pPr>
      <w:r>
        <w:rPr>
          <w:kern w:val="2"/>
          <w:szCs w:val="21"/>
        </w:rPr>
        <w:t>授权书应要求</w:t>
      </w:r>
      <w:r>
        <w:rPr>
          <w:rFonts w:hint="eastAsia"/>
          <w:kern w:val="2"/>
          <w:szCs w:val="21"/>
        </w:rPr>
        <w:t>且制造商应协助</w:t>
      </w:r>
      <w:r>
        <w:rPr>
          <w:kern w:val="2"/>
          <w:szCs w:val="21"/>
        </w:rPr>
        <w:t>授权代表至少执行相关器械的以下任务：</w:t>
      </w:r>
    </w:p>
    <w:p w14:paraId="1C0CE8FE">
      <w:pPr>
        <w:pStyle w:val="8"/>
        <w:topLinePunct/>
        <w:snapToGrid w:val="0"/>
        <w:spacing w:beforeLines="25" w:line="300" w:lineRule="auto"/>
        <w:ind w:left="1247"/>
        <w:jc w:val="both"/>
        <w:rPr>
          <w:kern w:val="2"/>
          <w:szCs w:val="21"/>
        </w:rPr>
      </w:pPr>
      <w:r>
        <w:rPr>
          <w:kern w:val="2"/>
          <w:szCs w:val="21"/>
        </w:rPr>
        <w:t>(a)</w:t>
      </w:r>
      <w:r>
        <w:rPr>
          <w:kern w:val="2"/>
          <w:szCs w:val="21"/>
        </w:rPr>
        <w:tab/>
      </w:r>
      <w:r>
        <w:rPr>
          <w:kern w:val="2"/>
          <w:szCs w:val="21"/>
        </w:rPr>
        <w:t>核实已拟定符合性和技术文件的欧盟声明，且在适当时核实制造商已实施适当符合性评估流程。</w:t>
      </w:r>
    </w:p>
    <w:p w14:paraId="7C65DA9B">
      <w:pPr>
        <w:pStyle w:val="8"/>
        <w:topLinePunct/>
        <w:snapToGrid w:val="0"/>
        <w:spacing w:beforeLines="25" w:line="300" w:lineRule="auto"/>
        <w:ind w:left="1247"/>
        <w:jc w:val="both"/>
        <w:rPr>
          <w:kern w:val="2"/>
          <w:szCs w:val="21"/>
        </w:rPr>
      </w:pPr>
      <w:r>
        <w:rPr>
          <w:kern w:val="2"/>
          <w:szCs w:val="21"/>
        </w:rPr>
        <w:t>(b)</w:t>
      </w:r>
      <w:r>
        <w:rPr>
          <w:kern w:val="2"/>
          <w:szCs w:val="21"/>
        </w:rPr>
        <w:tab/>
      </w:r>
      <w:r>
        <w:rPr>
          <w:kern w:val="2"/>
          <w:szCs w:val="21"/>
        </w:rPr>
        <w:t>保留一份可用的技术文件、欧盟符合性声明副本。如适用，保留一份包括所有修订和补充的相关证书副本，并按照第56条，在第10(8)条指定时期，由主管机构签发；</w:t>
      </w:r>
    </w:p>
    <w:p w14:paraId="5B150059">
      <w:pPr>
        <w:pStyle w:val="8"/>
        <w:topLinePunct/>
        <w:snapToGrid w:val="0"/>
        <w:spacing w:beforeLines="25" w:line="300" w:lineRule="auto"/>
        <w:ind w:left="1247"/>
        <w:jc w:val="both"/>
        <w:rPr>
          <w:kern w:val="2"/>
          <w:szCs w:val="21"/>
        </w:rPr>
      </w:pPr>
      <w:r>
        <w:rPr>
          <w:kern w:val="2"/>
          <w:szCs w:val="21"/>
        </w:rPr>
        <w:t>(c)</w:t>
      </w:r>
      <w:r>
        <w:rPr>
          <w:kern w:val="2"/>
          <w:szCs w:val="21"/>
        </w:rPr>
        <w:tab/>
      </w:r>
      <w:r>
        <w:rPr>
          <w:kern w:val="2"/>
          <w:szCs w:val="21"/>
        </w:rPr>
        <w:t>遵守第31条规定的注册义务，并核实该制造商已遵守第27和29条规定的注册义务；</w:t>
      </w:r>
    </w:p>
    <w:p w14:paraId="036CA6E1">
      <w:pPr>
        <w:pStyle w:val="8"/>
        <w:topLinePunct/>
        <w:snapToGrid w:val="0"/>
        <w:spacing w:beforeLines="25" w:line="300" w:lineRule="auto"/>
        <w:ind w:left="1247"/>
        <w:jc w:val="both"/>
        <w:rPr>
          <w:kern w:val="2"/>
          <w:szCs w:val="21"/>
        </w:rPr>
      </w:pPr>
    </w:p>
    <w:p w14:paraId="5E084ED5">
      <w:pPr>
        <w:pStyle w:val="8"/>
        <w:topLinePunct/>
        <w:snapToGrid w:val="0"/>
        <w:spacing w:beforeLines="20" w:line="288" w:lineRule="auto"/>
        <w:ind w:left="1247"/>
        <w:jc w:val="both"/>
        <w:rPr>
          <w:kern w:val="2"/>
          <w:szCs w:val="21"/>
        </w:rPr>
      </w:pPr>
      <w:r>
        <w:rPr>
          <w:kern w:val="2"/>
          <w:szCs w:val="21"/>
        </w:rPr>
        <w:t>（d）</w:t>
      </w:r>
      <w:r>
        <w:rPr>
          <w:rFonts w:hint="eastAsia"/>
          <w:kern w:val="2"/>
          <w:szCs w:val="21"/>
        </w:rPr>
        <w:tab/>
      </w:r>
      <w:r>
        <w:rPr>
          <w:kern w:val="2"/>
          <w:szCs w:val="21"/>
        </w:rPr>
        <w:t>响应主管机构的要求，提供所有必要信息和文档，</w:t>
      </w:r>
      <w:r>
        <w:rPr>
          <w:rFonts w:hint="eastAsia"/>
          <w:kern w:val="2"/>
          <w:szCs w:val="21"/>
        </w:rPr>
        <w:t>采用</w:t>
      </w:r>
      <w:r>
        <w:rPr>
          <w:kern w:val="2"/>
          <w:szCs w:val="21"/>
        </w:rPr>
        <w:t>相关成员国确定的欧盟官方语言，证明器械符合要求；</w:t>
      </w:r>
    </w:p>
    <w:p w14:paraId="3D10FE55">
      <w:pPr>
        <w:pStyle w:val="8"/>
        <w:topLinePunct/>
        <w:snapToGrid w:val="0"/>
        <w:spacing w:beforeLines="20" w:line="288" w:lineRule="auto"/>
        <w:ind w:left="1247"/>
        <w:jc w:val="both"/>
        <w:rPr>
          <w:kern w:val="2"/>
          <w:szCs w:val="21"/>
        </w:rPr>
      </w:pPr>
      <w:r>
        <w:rPr>
          <w:kern w:val="2"/>
          <w:szCs w:val="21"/>
        </w:rPr>
        <w:t>（e）</w:t>
      </w:r>
      <w:r>
        <w:rPr>
          <w:rFonts w:hint="eastAsia"/>
          <w:kern w:val="2"/>
          <w:szCs w:val="21"/>
        </w:rPr>
        <w:tab/>
      </w:r>
      <w:r>
        <w:rPr>
          <w:kern w:val="2"/>
          <w:szCs w:val="21"/>
        </w:rPr>
        <w:t>向制造商转达，授权代表具有其经营样品注册地成员国主管机构的所有要求，或访问器械，并核实主管机构收到样品或可访问器械；</w:t>
      </w:r>
    </w:p>
    <w:p w14:paraId="5AB750A8">
      <w:pPr>
        <w:pStyle w:val="8"/>
        <w:topLinePunct/>
        <w:snapToGrid w:val="0"/>
        <w:spacing w:beforeLines="20" w:line="288" w:lineRule="auto"/>
        <w:ind w:left="1247"/>
        <w:jc w:val="both"/>
        <w:rPr>
          <w:kern w:val="2"/>
          <w:szCs w:val="21"/>
        </w:rPr>
      </w:pPr>
      <w:r>
        <w:rPr>
          <w:kern w:val="2"/>
          <w:szCs w:val="21"/>
        </w:rPr>
        <w:t>（f）</w:t>
      </w:r>
      <w:r>
        <w:rPr>
          <w:kern w:val="2"/>
          <w:szCs w:val="21"/>
        </w:rPr>
        <w:tab/>
      </w:r>
      <w:r>
        <w:rPr>
          <w:kern w:val="2"/>
          <w:szCs w:val="21"/>
        </w:rPr>
        <w:t>配合主管机构采取的任何预防或纠正措施以消除或，如不可行，降低由器械导致的风险；</w:t>
      </w:r>
    </w:p>
    <w:p w14:paraId="16B93B37">
      <w:pPr>
        <w:pStyle w:val="8"/>
        <w:topLinePunct/>
        <w:snapToGrid w:val="0"/>
        <w:spacing w:beforeLines="20" w:line="288" w:lineRule="auto"/>
        <w:ind w:left="1247"/>
        <w:jc w:val="both"/>
        <w:rPr>
          <w:kern w:val="2"/>
          <w:szCs w:val="21"/>
        </w:rPr>
      </w:pPr>
      <w:r>
        <w:rPr>
          <w:kern w:val="2"/>
          <w:szCs w:val="21"/>
        </w:rPr>
        <w:t>（g）</w:t>
      </w:r>
      <w:r>
        <w:rPr>
          <w:kern w:val="2"/>
          <w:szCs w:val="21"/>
        </w:rPr>
        <w:tab/>
      </w:r>
      <w:r>
        <w:rPr>
          <w:kern w:val="2"/>
          <w:szCs w:val="21"/>
        </w:rPr>
        <w:t>立即通知制造商来自医护专业人员、患者和使用者与有关指定器械可疑事件的投诉和举报；</w:t>
      </w:r>
    </w:p>
    <w:p w14:paraId="0DBE6CF2">
      <w:pPr>
        <w:pStyle w:val="8"/>
        <w:topLinePunct/>
        <w:snapToGrid w:val="0"/>
        <w:spacing w:beforeLines="20" w:line="288" w:lineRule="auto"/>
        <w:ind w:left="1247"/>
        <w:jc w:val="both"/>
        <w:rPr>
          <w:kern w:val="2"/>
          <w:szCs w:val="21"/>
        </w:rPr>
      </w:pPr>
      <w:r>
        <w:rPr>
          <w:kern w:val="2"/>
          <w:szCs w:val="21"/>
        </w:rPr>
        <w:t>（h）</w:t>
      </w:r>
      <w:r>
        <w:rPr>
          <w:kern w:val="2"/>
          <w:szCs w:val="21"/>
        </w:rPr>
        <w:tab/>
      </w:r>
      <w:r>
        <w:rPr>
          <w:kern w:val="2"/>
          <w:szCs w:val="21"/>
        </w:rPr>
        <w:t>如制造商违反本法规义务，则终止授权书。</w:t>
      </w:r>
    </w:p>
    <w:p w14:paraId="7B1E7325">
      <w:pPr>
        <w:pStyle w:val="32"/>
        <w:numPr>
          <w:ilvl w:val="0"/>
          <w:numId w:val="14"/>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本条第3段所述指的授权书不得包括第10（1）、（2）、（3）、（6）、（7）、（9）、（10）、（11）和（12）所规定制造商的义务授权。</w:t>
      </w:r>
    </w:p>
    <w:p w14:paraId="6BA2BEFE">
      <w:pPr>
        <w:pStyle w:val="8"/>
        <w:tabs>
          <w:tab w:val="left" w:pos="681"/>
        </w:tabs>
        <w:topLinePunct/>
        <w:snapToGrid w:val="0"/>
        <w:spacing w:beforeLines="20" w:line="288" w:lineRule="auto"/>
        <w:ind w:left="658" w:hanging="545"/>
        <w:jc w:val="both"/>
        <w:rPr>
          <w:kern w:val="2"/>
          <w:szCs w:val="21"/>
        </w:rPr>
      </w:pPr>
      <w:r>
        <w:rPr>
          <w:kern w:val="2"/>
          <w:szCs w:val="21"/>
        </w:rPr>
        <w:t>5.</w:t>
      </w:r>
      <w:r>
        <w:rPr>
          <w:kern w:val="2"/>
          <w:szCs w:val="21"/>
        </w:rPr>
        <w:tab/>
      </w:r>
      <w:r>
        <w:rPr>
          <w:kern w:val="2"/>
          <w:szCs w:val="21"/>
        </w:rPr>
        <w:t>在不影响本条第4段的情况下，当所有成员国的制造商都未确立，且未遵守第</w:t>
      </w:r>
      <w:r>
        <w:rPr>
          <w:rFonts w:hint="eastAsia"/>
          <w:kern w:val="2"/>
          <w:szCs w:val="21"/>
        </w:rPr>
        <w:t>10</w:t>
      </w:r>
      <w:r>
        <w:rPr>
          <w:kern w:val="2"/>
          <w:szCs w:val="21"/>
        </w:rPr>
        <w:t>条规定义务时，授权代表应与制造商一样为缺陷器械承担法律责任，并一样负有共同连带责任。</w:t>
      </w:r>
    </w:p>
    <w:p w14:paraId="20C2183D">
      <w:pPr>
        <w:pStyle w:val="32"/>
        <w:tabs>
          <w:tab w:val="left" w:pos="682"/>
        </w:tabs>
        <w:topLinePunct/>
        <w:snapToGrid w:val="0"/>
        <w:spacing w:beforeLines="20" w:line="288" w:lineRule="auto"/>
        <w:ind w:left="658" w:hanging="545"/>
        <w:jc w:val="both"/>
        <w:rPr>
          <w:rFonts w:ascii="Times New Roman" w:hAnsi="Times New Roman"/>
          <w:kern w:val="2"/>
          <w:szCs w:val="21"/>
        </w:rPr>
      </w:pPr>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根据第3段（h）点</w:t>
      </w:r>
      <w:r>
        <w:rPr>
          <w:rFonts w:hint="eastAsia" w:ascii="Times New Roman" w:hAnsi="Times New Roman"/>
          <w:kern w:val="2"/>
          <w:szCs w:val="21"/>
        </w:rPr>
        <w:t>所述</w:t>
      </w:r>
      <w:r>
        <w:rPr>
          <w:rFonts w:ascii="Times New Roman" w:hAnsi="Times New Roman"/>
          <w:kern w:val="2"/>
          <w:szCs w:val="21"/>
        </w:rPr>
        <w:t>的理由终止任务的授权代表应立即将任务的终止和原因通知其所在成员国的主管机构，适当时也可通知参与该器械符合性评估的公告机构。</w:t>
      </w:r>
    </w:p>
    <w:p w14:paraId="58A6A020">
      <w:pPr>
        <w:pStyle w:val="32"/>
        <w:tabs>
          <w:tab w:val="left" w:pos="682"/>
        </w:tabs>
        <w:topLinePunct/>
        <w:snapToGrid w:val="0"/>
        <w:spacing w:beforeLines="20" w:line="288" w:lineRule="auto"/>
        <w:ind w:left="537" w:leftChars="53" w:hanging="426" w:hangingChars="203"/>
        <w:jc w:val="both"/>
        <w:rPr>
          <w:rFonts w:ascii="Times New Roman" w:hAnsi="Times New Roman"/>
          <w:kern w:val="2"/>
          <w:szCs w:val="21"/>
        </w:rPr>
      </w:pPr>
      <w:r>
        <w:rPr>
          <w:rFonts w:ascii="Times New Roman" w:hAnsi="Times New Roman"/>
          <w:kern w:val="2"/>
          <w:szCs w:val="21"/>
        </w:rPr>
        <w:t>7.</w:t>
      </w:r>
      <w:r>
        <w:rPr>
          <w:rFonts w:ascii="Times New Roman" w:hAnsi="Times New Roman"/>
          <w:kern w:val="2"/>
          <w:szCs w:val="21"/>
        </w:rPr>
        <w:tab/>
      </w:r>
      <w:r>
        <w:rPr>
          <w:rFonts w:hint="eastAsia" w:ascii="Times New Roman" w:hAnsi="Times New Roman"/>
          <w:kern w:val="2"/>
          <w:szCs w:val="21"/>
        </w:rPr>
        <w:t>本法规中对制造商注册营业地的成员国主管机构的任何引用</w:t>
      </w:r>
      <w:r>
        <w:rPr>
          <w:rFonts w:ascii="Times New Roman" w:hAnsi="Times New Roman"/>
          <w:kern w:val="2"/>
          <w:szCs w:val="21"/>
        </w:rPr>
        <w:t>应理解为，根据第</w:t>
      </w:r>
      <w:r>
        <w:rPr>
          <w:rFonts w:hint="eastAsia" w:ascii="Times New Roman" w:hAnsi="Times New Roman"/>
          <w:kern w:val="2"/>
          <w:szCs w:val="21"/>
        </w:rPr>
        <w:t>1</w:t>
      </w:r>
      <w:r>
        <w:rPr>
          <w:rFonts w:ascii="Times New Roman" w:hAnsi="Times New Roman"/>
          <w:kern w:val="2"/>
          <w:szCs w:val="21"/>
        </w:rPr>
        <w:t>段指定在制造商有注册经营地的授权代表的成员国内，对主管机构的参考。</w:t>
      </w:r>
      <w:r>
        <w:rPr>
          <w:rFonts w:hint="eastAsia" w:ascii="Times New Roman" w:hAnsi="Times New Roman"/>
          <w:kern w:val="2"/>
          <w:szCs w:val="21"/>
        </w:rPr>
        <w:t>地。</w:t>
      </w:r>
    </w:p>
    <w:p w14:paraId="1D096956">
      <w:pPr>
        <w:snapToGrid w:val="0"/>
        <w:spacing w:beforeLines="20" w:line="288" w:lineRule="auto"/>
        <w:ind w:left="196"/>
        <w:jc w:val="center"/>
        <w:rPr>
          <w:rFonts w:ascii="Times New Roman" w:hAnsi="Times New Roman"/>
          <w:i/>
          <w:kern w:val="2"/>
          <w:szCs w:val="21"/>
        </w:rPr>
      </w:pPr>
    </w:p>
    <w:p w14:paraId="78905BA5">
      <w:pPr>
        <w:snapToGrid w:val="0"/>
        <w:spacing w:beforeLines="20" w:line="288" w:lineRule="auto"/>
        <w:ind w:left="196"/>
        <w:jc w:val="center"/>
        <w:rPr>
          <w:rStyle w:val="48"/>
          <w:b/>
          <w:szCs w:val="21"/>
        </w:rPr>
      </w:pPr>
      <w:r>
        <w:rPr>
          <w:rFonts w:ascii="Times New Roman" w:hAnsi="Times New Roman"/>
          <w:i/>
          <w:kern w:val="2"/>
          <w:szCs w:val="21"/>
        </w:rPr>
        <w:t>第12条</w:t>
      </w:r>
    </w:p>
    <w:p w14:paraId="4F35E9FD">
      <w:pPr>
        <w:snapToGrid w:val="0"/>
        <w:spacing w:beforeLines="20" w:line="288" w:lineRule="auto"/>
        <w:ind w:left="196"/>
        <w:jc w:val="center"/>
        <w:rPr>
          <w:rStyle w:val="48"/>
          <w:b/>
          <w:szCs w:val="21"/>
        </w:rPr>
      </w:pPr>
      <w:r>
        <w:rPr>
          <w:rFonts w:ascii="Times New Roman" w:hAnsi="Times New Roman"/>
          <w:b/>
          <w:kern w:val="2"/>
          <w:szCs w:val="21"/>
        </w:rPr>
        <w:t>授权代表变更</w:t>
      </w:r>
    </w:p>
    <w:p w14:paraId="416BD79A">
      <w:pPr>
        <w:pStyle w:val="8"/>
        <w:topLinePunct/>
        <w:snapToGrid w:val="0"/>
        <w:spacing w:beforeLines="20" w:line="288" w:lineRule="auto"/>
        <w:ind w:left="114" w:firstLine="0"/>
        <w:jc w:val="both"/>
        <w:rPr>
          <w:kern w:val="2"/>
          <w:szCs w:val="21"/>
        </w:rPr>
      </w:pPr>
      <w:r>
        <w:rPr>
          <w:kern w:val="2"/>
          <w:szCs w:val="21"/>
        </w:rPr>
        <w:t>授权代表变更的</w:t>
      </w:r>
      <w:r>
        <w:rPr>
          <w:rFonts w:hint="eastAsia"/>
          <w:kern w:val="2"/>
          <w:szCs w:val="21"/>
        </w:rPr>
        <w:t>详细安排</w:t>
      </w:r>
      <w:r>
        <w:rPr>
          <w:kern w:val="2"/>
          <w:szCs w:val="21"/>
        </w:rPr>
        <w:t>应在制造商间的协议中明确</w:t>
      </w:r>
      <w:r>
        <w:rPr>
          <w:rFonts w:hint="eastAsia"/>
          <w:kern w:val="2"/>
          <w:szCs w:val="21"/>
        </w:rPr>
        <w:t>规定</w:t>
      </w:r>
      <w:r>
        <w:rPr>
          <w:kern w:val="2"/>
          <w:szCs w:val="21"/>
        </w:rPr>
        <w:t>，本协议应对即将卸任与新任的授权代表可行。本协议应至少解决以下几个方面：</w:t>
      </w:r>
    </w:p>
    <w:p w14:paraId="39B23ED3">
      <w:pPr>
        <w:pStyle w:val="32"/>
        <w:numPr>
          <w:ilvl w:val="0"/>
          <w:numId w:val="15"/>
        </w:numPr>
        <w:tabs>
          <w:tab w:val="left" w:pos="682"/>
        </w:tabs>
        <w:topLinePunct/>
        <w:snapToGrid w:val="0"/>
        <w:spacing w:beforeLines="20" w:line="288" w:lineRule="auto"/>
        <w:ind w:left="680" w:hanging="567"/>
        <w:jc w:val="both"/>
        <w:rPr>
          <w:rFonts w:ascii="Times New Roman" w:hAnsi="Times New Roman"/>
          <w:kern w:val="2"/>
          <w:szCs w:val="21"/>
        </w:rPr>
      </w:pPr>
      <w:r>
        <w:rPr>
          <w:rFonts w:ascii="Times New Roman" w:hAnsi="Times New Roman"/>
          <w:kern w:val="2"/>
          <w:szCs w:val="21"/>
        </w:rPr>
        <w:t>即将卸任的授权代表，其授权的终止日期为新任授权代表的授权开始日期；</w:t>
      </w:r>
    </w:p>
    <w:p w14:paraId="55BAC146">
      <w:pPr>
        <w:pStyle w:val="32"/>
        <w:numPr>
          <w:ilvl w:val="0"/>
          <w:numId w:val="15"/>
        </w:numPr>
        <w:tabs>
          <w:tab w:val="left" w:pos="682"/>
        </w:tabs>
        <w:topLinePunct/>
        <w:snapToGrid w:val="0"/>
        <w:spacing w:beforeLines="20" w:line="288" w:lineRule="auto"/>
        <w:ind w:left="680" w:hanging="567"/>
        <w:jc w:val="both"/>
        <w:rPr>
          <w:rFonts w:ascii="Times New Roman" w:hAnsi="Times New Roman"/>
          <w:kern w:val="2"/>
          <w:szCs w:val="21"/>
        </w:rPr>
      </w:pPr>
      <w:r>
        <w:rPr>
          <w:rFonts w:ascii="Times New Roman" w:hAnsi="Times New Roman"/>
          <w:kern w:val="2"/>
          <w:szCs w:val="21"/>
        </w:rPr>
        <w:t>直至授权代表将卸任的日期可在由制造商提供的，包括任何宣传材料的信息上注明；</w:t>
      </w:r>
    </w:p>
    <w:p w14:paraId="6B8323DC">
      <w:pPr>
        <w:pStyle w:val="32"/>
        <w:numPr>
          <w:ilvl w:val="0"/>
          <w:numId w:val="15"/>
        </w:numPr>
        <w:tabs>
          <w:tab w:val="left" w:pos="682"/>
        </w:tabs>
        <w:topLinePunct/>
        <w:snapToGrid w:val="0"/>
        <w:spacing w:beforeLines="20" w:line="288" w:lineRule="auto"/>
        <w:ind w:left="680" w:hanging="567"/>
        <w:jc w:val="both"/>
        <w:rPr>
          <w:rFonts w:ascii="Times New Roman" w:hAnsi="Times New Roman"/>
          <w:kern w:val="2"/>
          <w:szCs w:val="21"/>
        </w:rPr>
      </w:pPr>
      <w:r>
        <w:rPr>
          <w:rFonts w:ascii="Times New Roman" w:hAnsi="Times New Roman"/>
          <w:kern w:val="2"/>
          <w:szCs w:val="21"/>
        </w:rPr>
        <w:t>文件传输，包括机密性方面和产权；</w:t>
      </w:r>
    </w:p>
    <w:p w14:paraId="657C3D06">
      <w:pPr>
        <w:pStyle w:val="32"/>
        <w:numPr>
          <w:ilvl w:val="0"/>
          <w:numId w:val="15"/>
        </w:numPr>
        <w:tabs>
          <w:tab w:val="left" w:pos="682"/>
        </w:tabs>
        <w:topLinePunct/>
        <w:snapToGrid w:val="0"/>
        <w:spacing w:beforeLines="20" w:line="288" w:lineRule="auto"/>
        <w:ind w:left="680" w:hanging="567"/>
        <w:jc w:val="both"/>
        <w:rPr>
          <w:rFonts w:ascii="Times New Roman" w:hAnsi="Times New Roman"/>
          <w:kern w:val="2"/>
          <w:szCs w:val="21"/>
        </w:rPr>
      </w:pPr>
      <w:r>
        <w:rPr>
          <w:rFonts w:ascii="Times New Roman" w:hAnsi="Times New Roman"/>
          <w:kern w:val="2"/>
          <w:szCs w:val="21"/>
        </w:rPr>
        <w:t>授权结束后，将即将卸任授权代表的义务转交给制造商或新任授权代表，来自医护专业人员、患者和使用者，与由授权代表指定器械相关可疑事件的投诉和举报。</w:t>
      </w:r>
    </w:p>
    <w:p w14:paraId="757C6B99">
      <w:pPr>
        <w:snapToGrid w:val="0"/>
        <w:spacing w:beforeLines="20" w:line="288" w:lineRule="auto"/>
        <w:ind w:left="57"/>
        <w:jc w:val="center"/>
        <w:rPr>
          <w:rFonts w:ascii="Times New Roman" w:hAnsi="Times New Roman"/>
          <w:i/>
          <w:kern w:val="2"/>
          <w:szCs w:val="21"/>
        </w:rPr>
      </w:pPr>
    </w:p>
    <w:p w14:paraId="0EBE3710">
      <w:pPr>
        <w:snapToGrid w:val="0"/>
        <w:spacing w:beforeLines="20" w:line="288" w:lineRule="auto"/>
        <w:ind w:left="57"/>
        <w:jc w:val="center"/>
        <w:rPr>
          <w:rStyle w:val="48"/>
          <w:b/>
          <w:szCs w:val="21"/>
        </w:rPr>
      </w:pPr>
      <w:r>
        <w:rPr>
          <w:rFonts w:ascii="Times New Roman" w:hAnsi="Times New Roman"/>
          <w:i/>
          <w:kern w:val="2"/>
          <w:szCs w:val="21"/>
        </w:rPr>
        <w:t>第13条</w:t>
      </w:r>
    </w:p>
    <w:p w14:paraId="087DF2E7">
      <w:pPr>
        <w:snapToGrid w:val="0"/>
        <w:spacing w:beforeLines="20" w:line="288" w:lineRule="auto"/>
        <w:ind w:left="57"/>
        <w:jc w:val="center"/>
        <w:rPr>
          <w:rStyle w:val="48"/>
          <w:b/>
          <w:szCs w:val="21"/>
        </w:rPr>
      </w:pPr>
      <w:r>
        <w:rPr>
          <w:rFonts w:ascii="Times New Roman" w:hAnsi="Times New Roman"/>
          <w:b/>
          <w:kern w:val="2"/>
          <w:szCs w:val="21"/>
        </w:rPr>
        <w:t>进口商</w:t>
      </w:r>
      <w:r>
        <w:rPr>
          <w:rFonts w:hint="eastAsia" w:ascii="Times New Roman" w:hAnsi="Times New Roman"/>
          <w:b/>
          <w:kern w:val="2"/>
          <w:szCs w:val="21"/>
        </w:rPr>
        <w:t>的一般</w:t>
      </w:r>
      <w:r>
        <w:rPr>
          <w:rFonts w:ascii="Times New Roman" w:hAnsi="Times New Roman"/>
          <w:b/>
          <w:kern w:val="2"/>
          <w:szCs w:val="21"/>
        </w:rPr>
        <w:t>义务</w:t>
      </w:r>
    </w:p>
    <w:p w14:paraId="55B80B57">
      <w:pPr>
        <w:pStyle w:val="32"/>
        <w:numPr>
          <w:ilvl w:val="0"/>
          <w:numId w:val="16"/>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仅当器械遵照本法规时，进口商才能将器械投入欧盟市场。</w:t>
      </w:r>
    </w:p>
    <w:p w14:paraId="09F5D2E2">
      <w:pPr>
        <w:pStyle w:val="32"/>
        <w:numPr>
          <w:ilvl w:val="0"/>
          <w:numId w:val="16"/>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为将器械投放市场，进口商应核实以下事项：</w:t>
      </w:r>
    </w:p>
    <w:p w14:paraId="5EDFE6AC">
      <w:pPr>
        <w:pStyle w:val="32"/>
        <w:numPr>
          <w:ilvl w:val="1"/>
          <w:numId w:val="16"/>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该器械已作CE标识，且欧盟器械符合性声明已起草完毕；</w:t>
      </w:r>
    </w:p>
    <w:p w14:paraId="16176F42">
      <w:pPr>
        <w:pStyle w:val="32"/>
        <w:numPr>
          <w:ilvl w:val="1"/>
          <w:numId w:val="16"/>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制造商已确定，按照第11条，授权代表由制造商来指定；</w:t>
      </w:r>
    </w:p>
    <w:p w14:paraId="3F93BF37">
      <w:pPr>
        <w:pStyle w:val="32"/>
        <w:numPr>
          <w:ilvl w:val="1"/>
          <w:numId w:val="16"/>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该器械按照本法规和要求的使用说明进行标记；</w:t>
      </w:r>
    </w:p>
    <w:p w14:paraId="67C22479">
      <w:pPr>
        <w:pStyle w:val="32"/>
        <w:numPr>
          <w:ilvl w:val="1"/>
          <w:numId w:val="16"/>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即，如适用，按照第27条，UDI由制造商指定。</w:t>
      </w:r>
    </w:p>
    <w:p w14:paraId="297A2A28">
      <w:pPr>
        <w:pStyle w:val="8"/>
        <w:topLinePunct/>
        <w:snapToGrid w:val="0"/>
        <w:spacing w:beforeLines="25" w:line="300" w:lineRule="auto"/>
        <w:ind w:hanging="12"/>
        <w:jc w:val="both"/>
        <w:rPr>
          <w:kern w:val="2"/>
          <w:szCs w:val="21"/>
        </w:rPr>
      </w:pPr>
      <w:r>
        <w:rPr>
          <w:kern w:val="2"/>
          <w:szCs w:val="21"/>
        </w:rPr>
        <w:br w:type="page"/>
      </w:r>
      <w:r>
        <w:rPr>
          <w:kern w:val="2"/>
          <w:szCs w:val="21"/>
        </w:rPr>
        <w:t>如进口商认为或有理由相信器械不符合本法规的要求，在器械符合要求前不得将其投放市场，并应通知制造商及其授权代表。如进口商认为或有理由相信该器械出现严重的风险，或为伪造</w:t>
      </w:r>
      <w:r>
        <w:rPr>
          <w:rFonts w:hint="eastAsia"/>
          <w:kern w:val="2"/>
          <w:szCs w:val="21"/>
        </w:rPr>
        <w:t>器械</w:t>
      </w:r>
      <w:r>
        <w:rPr>
          <w:kern w:val="2"/>
          <w:szCs w:val="21"/>
        </w:rPr>
        <w:t>，</w:t>
      </w:r>
      <w:r>
        <w:rPr>
          <w:rFonts w:hint="eastAsia"/>
          <w:kern w:val="2"/>
          <w:szCs w:val="21"/>
        </w:rPr>
        <w:t>其</w:t>
      </w:r>
      <w:r>
        <w:rPr>
          <w:kern w:val="2"/>
          <w:szCs w:val="21"/>
        </w:rPr>
        <w:t>还应通知</w:t>
      </w:r>
      <w:r>
        <w:rPr>
          <w:rFonts w:hint="eastAsia"/>
          <w:kern w:val="2"/>
          <w:szCs w:val="21"/>
        </w:rPr>
        <w:t>进口商所在</w:t>
      </w:r>
      <w:r>
        <w:rPr>
          <w:kern w:val="2"/>
          <w:szCs w:val="21"/>
        </w:rPr>
        <w:t>成员国的主管机构。</w:t>
      </w:r>
    </w:p>
    <w:p w14:paraId="49125392">
      <w:pPr>
        <w:pStyle w:val="32"/>
        <w:numPr>
          <w:ilvl w:val="0"/>
          <w:numId w:val="16"/>
        </w:numPr>
        <w:tabs>
          <w:tab w:val="left" w:pos="682"/>
        </w:tabs>
        <w:topLinePunct/>
        <w:snapToGrid w:val="0"/>
        <w:spacing w:beforeLines="25" w:line="300" w:lineRule="auto"/>
        <w:ind w:hanging="567"/>
        <w:jc w:val="both"/>
        <w:rPr>
          <w:rFonts w:ascii="Times New Roman" w:hAnsi="Times New Roman"/>
          <w:kern w:val="2"/>
          <w:szCs w:val="21"/>
        </w:rPr>
      </w:pPr>
      <w:bookmarkStart w:id="9" w:name="3._Importers_shall_indicate_their_name,_"/>
      <w:bookmarkEnd w:id="9"/>
      <w:r>
        <w:rPr>
          <w:rFonts w:ascii="Times New Roman" w:hAnsi="Times New Roman"/>
          <w:kern w:val="2"/>
          <w:szCs w:val="21"/>
        </w:rPr>
        <w:t>进口商应在器械</w:t>
      </w:r>
      <w:r>
        <w:rPr>
          <w:rFonts w:hint="eastAsia" w:ascii="Times New Roman" w:hAnsi="Times New Roman"/>
          <w:kern w:val="2"/>
          <w:szCs w:val="21"/>
        </w:rPr>
        <w:t>上</w:t>
      </w:r>
      <w:r>
        <w:rPr>
          <w:rFonts w:ascii="Times New Roman" w:hAnsi="Times New Roman"/>
          <w:kern w:val="2"/>
          <w:szCs w:val="21"/>
        </w:rPr>
        <w:t>或</w:t>
      </w:r>
      <w:r>
        <w:rPr>
          <w:rFonts w:hint="eastAsia" w:ascii="Times New Roman" w:hAnsi="Times New Roman"/>
          <w:kern w:val="2"/>
          <w:szCs w:val="21"/>
        </w:rPr>
        <w:t>其</w:t>
      </w:r>
      <w:r>
        <w:rPr>
          <w:rFonts w:ascii="Times New Roman" w:hAnsi="Times New Roman"/>
          <w:kern w:val="2"/>
          <w:szCs w:val="21"/>
        </w:rPr>
        <w:t>包装</w:t>
      </w:r>
      <w:r>
        <w:rPr>
          <w:rFonts w:hint="eastAsia" w:ascii="Times New Roman" w:hAnsi="Times New Roman"/>
          <w:kern w:val="2"/>
          <w:szCs w:val="21"/>
        </w:rPr>
        <w:t>上</w:t>
      </w:r>
      <w:r>
        <w:rPr>
          <w:rFonts w:ascii="Times New Roman" w:hAnsi="Times New Roman"/>
          <w:kern w:val="2"/>
          <w:szCs w:val="21"/>
        </w:rPr>
        <w:t>或</w:t>
      </w:r>
      <w:r>
        <w:rPr>
          <w:rFonts w:hint="eastAsia" w:ascii="Times New Roman" w:hAnsi="Times New Roman"/>
          <w:kern w:val="2"/>
          <w:szCs w:val="21"/>
        </w:rPr>
        <w:t>随附</w:t>
      </w:r>
      <w:r>
        <w:rPr>
          <w:rFonts w:ascii="Times New Roman" w:hAnsi="Times New Roman"/>
          <w:kern w:val="2"/>
          <w:szCs w:val="21"/>
        </w:rPr>
        <w:t>文件上注明其名称、注册商号或注册商标，及其经营注册地</w:t>
      </w:r>
      <w:r>
        <w:rPr>
          <w:rFonts w:hint="eastAsia" w:ascii="Times New Roman" w:hAnsi="Times New Roman"/>
          <w:kern w:val="2"/>
          <w:szCs w:val="21"/>
        </w:rPr>
        <w:t>和</w:t>
      </w:r>
      <w:r>
        <w:rPr>
          <w:rFonts w:ascii="Times New Roman" w:hAnsi="Times New Roman"/>
          <w:kern w:val="2"/>
          <w:szCs w:val="21"/>
          <w:lang w:val="en-US"/>
        </w:rPr>
        <w:t>可联系</w:t>
      </w:r>
      <w:r>
        <w:rPr>
          <w:rFonts w:hint="eastAsia" w:ascii="Times New Roman" w:hAnsi="Times New Roman"/>
          <w:kern w:val="2"/>
          <w:szCs w:val="21"/>
          <w:lang w:val="en-US"/>
        </w:rPr>
        <w:t>到进口商的</w:t>
      </w:r>
      <w:r>
        <w:rPr>
          <w:rFonts w:ascii="Times New Roman" w:hAnsi="Times New Roman"/>
          <w:kern w:val="2"/>
          <w:szCs w:val="21"/>
        </w:rPr>
        <w:t>地址，以便确定其位置。它们应确保任何附加标签，不会掩盖制造商提供标签上的任何信息。</w:t>
      </w:r>
    </w:p>
    <w:p w14:paraId="3B98052F">
      <w:pPr>
        <w:pStyle w:val="32"/>
        <w:numPr>
          <w:ilvl w:val="0"/>
          <w:numId w:val="1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进口商应核实该器械有按照第29条于电子系统注册。进口商应按照第31条，将其详细资料添加注册。</w:t>
      </w:r>
    </w:p>
    <w:p w14:paraId="0CC04C81">
      <w:pPr>
        <w:pStyle w:val="32"/>
        <w:numPr>
          <w:ilvl w:val="0"/>
          <w:numId w:val="1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进口商应确保器械在其责任、储存或运输条件下，不损害其遵守附录I所列的通用安全与性能要求，且如适用应遵守制造商所列条件。</w:t>
      </w:r>
    </w:p>
    <w:p w14:paraId="0A29EAE3">
      <w:pPr>
        <w:pStyle w:val="32"/>
        <w:numPr>
          <w:ilvl w:val="0"/>
          <w:numId w:val="1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进口商应保存不合格</w:t>
      </w:r>
      <w:r>
        <w:rPr>
          <w:rFonts w:hint="eastAsia" w:ascii="Times New Roman" w:hAnsi="Times New Roman"/>
          <w:kern w:val="2"/>
          <w:szCs w:val="21"/>
        </w:rPr>
        <w:t>器械</w:t>
      </w:r>
      <w:r>
        <w:rPr>
          <w:rFonts w:ascii="Times New Roman" w:hAnsi="Times New Roman"/>
          <w:kern w:val="2"/>
          <w:szCs w:val="21"/>
        </w:rPr>
        <w:t>和召回及撤回投诉记录，并提供制造商、授权代表和经销商以其所要求的所有信息，以便于其</w:t>
      </w:r>
      <w:r>
        <w:rPr>
          <w:rFonts w:hint="eastAsia" w:ascii="Times New Roman" w:hAnsi="Times New Roman"/>
          <w:kern w:val="2"/>
          <w:szCs w:val="21"/>
        </w:rPr>
        <w:t>进行</w:t>
      </w:r>
      <w:r>
        <w:rPr>
          <w:rFonts w:ascii="Times New Roman" w:hAnsi="Times New Roman"/>
          <w:kern w:val="2"/>
          <w:szCs w:val="21"/>
        </w:rPr>
        <w:t>研究投诉。</w:t>
      </w:r>
    </w:p>
    <w:p w14:paraId="1EBD137C">
      <w:pPr>
        <w:pStyle w:val="32"/>
        <w:numPr>
          <w:ilvl w:val="0"/>
          <w:numId w:val="1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进口商认为或有理由相信其投放到市场上的器械不符合本法规，应立即通知制造商及制造商授权代表。进口商应与制造商、制造商授权代表及主管机构合作，确保已采取必要的纠正措施，如使器械符合要求，撤回器械或召回器械。当器械出现严重风险，其也应立即通知各成员国主管机构哪些器械可用，如适用，公告机构应按照第56条颁发证书，至于有问题的器械，给出细节，特别是未遵守要求及其采取的纠正措施。</w:t>
      </w:r>
    </w:p>
    <w:p w14:paraId="747B13BB">
      <w:pPr>
        <w:pStyle w:val="32"/>
        <w:numPr>
          <w:ilvl w:val="0"/>
          <w:numId w:val="1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如进口商收到来自医护专业人员、患者和使用者，关于投放于市场器械的相关可疑事件的投诉和举报，应立即通知制造商及其授权代表。</w:t>
      </w:r>
    </w:p>
    <w:p w14:paraId="13CA8D68">
      <w:pPr>
        <w:pStyle w:val="32"/>
        <w:numPr>
          <w:ilvl w:val="0"/>
          <w:numId w:val="1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进口商应在第10（8）条所指期间，保留欧盟符合性声明副本，如适用，保留根据第56条发出的，包括所有校正和补充的相关证书副本。</w:t>
      </w:r>
    </w:p>
    <w:p w14:paraId="5738420F">
      <w:pPr>
        <w:pStyle w:val="32"/>
        <w:numPr>
          <w:ilvl w:val="0"/>
          <w:numId w:val="1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进口商应与主管机构合作，按</w:t>
      </w:r>
      <w:r>
        <w:rPr>
          <w:rFonts w:hint="eastAsia" w:ascii="Times New Roman" w:hAnsi="Times New Roman"/>
          <w:kern w:val="2"/>
          <w:szCs w:val="21"/>
        </w:rPr>
        <w:t>后者</w:t>
      </w:r>
      <w:r>
        <w:rPr>
          <w:rFonts w:ascii="Times New Roman" w:hAnsi="Times New Roman"/>
          <w:kern w:val="2"/>
          <w:szCs w:val="21"/>
        </w:rPr>
        <w:t>要求，采取任何行动以消除或，如不可行，减轻其投放于市场器械导致的风险。进口商按成员国主管机构要求，若进口商有其经营注册地，应提供免费器械样品或，如不可行，允许访问该器械。</w:t>
      </w:r>
    </w:p>
    <w:p w14:paraId="738C389E">
      <w:pPr>
        <w:snapToGrid w:val="0"/>
        <w:spacing w:beforeLines="25" w:line="300" w:lineRule="auto"/>
        <w:ind w:left="196"/>
        <w:jc w:val="center"/>
        <w:rPr>
          <w:rFonts w:ascii="Times New Roman" w:hAnsi="Times New Roman"/>
          <w:i/>
          <w:kern w:val="2"/>
          <w:szCs w:val="21"/>
        </w:rPr>
      </w:pPr>
    </w:p>
    <w:p w14:paraId="6978721F">
      <w:pPr>
        <w:snapToGrid w:val="0"/>
        <w:spacing w:beforeLines="25" w:line="300" w:lineRule="auto"/>
        <w:ind w:left="196"/>
        <w:jc w:val="center"/>
        <w:rPr>
          <w:rStyle w:val="48"/>
          <w:b/>
          <w:szCs w:val="21"/>
          <w:lang w:val="zh-CN"/>
        </w:rPr>
      </w:pPr>
      <w:r>
        <w:rPr>
          <w:rFonts w:ascii="Times New Roman" w:hAnsi="Times New Roman"/>
          <w:i/>
          <w:kern w:val="2"/>
          <w:szCs w:val="21"/>
        </w:rPr>
        <w:t>第14条</w:t>
      </w:r>
    </w:p>
    <w:p w14:paraId="309B3BA8">
      <w:pPr>
        <w:snapToGrid w:val="0"/>
        <w:spacing w:beforeLines="25" w:line="300" w:lineRule="auto"/>
        <w:ind w:left="195"/>
        <w:jc w:val="center"/>
        <w:rPr>
          <w:rStyle w:val="48"/>
          <w:b/>
          <w:szCs w:val="21"/>
          <w:lang w:val="zh-CN"/>
        </w:rPr>
      </w:pPr>
      <w:r>
        <w:rPr>
          <w:rFonts w:ascii="Times New Roman" w:hAnsi="Times New Roman"/>
          <w:b/>
          <w:kern w:val="2"/>
          <w:szCs w:val="21"/>
        </w:rPr>
        <w:t>经销商</w:t>
      </w:r>
      <w:r>
        <w:rPr>
          <w:rFonts w:hint="eastAsia" w:ascii="Times New Roman" w:hAnsi="Times New Roman"/>
          <w:b/>
          <w:kern w:val="2"/>
          <w:szCs w:val="21"/>
        </w:rPr>
        <w:t>的一般</w:t>
      </w:r>
      <w:r>
        <w:rPr>
          <w:rFonts w:ascii="Times New Roman" w:hAnsi="Times New Roman"/>
          <w:b/>
          <w:kern w:val="2"/>
          <w:szCs w:val="21"/>
        </w:rPr>
        <w:t>义务</w:t>
      </w:r>
    </w:p>
    <w:p w14:paraId="467EA65B">
      <w:pPr>
        <w:pStyle w:val="32"/>
        <w:numPr>
          <w:ilvl w:val="0"/>
          <w:numId w:val="17"/>
        </w:numPr>
        <w:tabs>
          <w:tab w:val="left" w:pos="682"/>
        </w:tabs>
        <w:topLinePunct/>
        <w:snapToGrid w:val="0"/>
        <w:spacing w:beforeLines="25" w:line="300" w:lineRule="auto"/>
        <w:ind w:hanging="567"/>
        <w:jc w:val="both"/>
        <w:rPr>
          <w:rFonts w:ascii="Times New Roman" w:hAnsi="Times New Roman"/>
          <w:kern w:val="2"/>
          <w:szCs w:val="21"/>
        </w:rPr>
      </w:pPr>
      <w:r>
        <w:rPr>
          <w:rFonts w:hint="eastAsia" w:ascii="Times New Roman" w:hAnsi="Times New Roman"/>
          <w:kern w:val="2"/>
          <w:szCs w:val="21"/>
        </w:rPr>
        <w:t>在</w:t>
      </w:r>
      <w:r>
        <w:rPr>
          <w:rFonts w:ascii="Times New Roman" w:hAnsi="Times New Roman"/>
          <w:kern w:val="2"/>
          <w:szCs w:val="21"/>
        </w:rPr>
        <w:t>器械上市时，经销商应在其活动范围内，适当谨慎地执行适用的要求。</w:t>
      </w:r>
    </w:p>
    <w:p w14:paraId="4B33BCB0">
      <w:pPr>
        <w:pStyle w:val="32"/>
        <w:numPr>
          <w:ilvl w:val="0"/>
          <w:numId w:val="17"/>
        </w:numPr>
        <w:tabs>
          <w:tab w:val="left" w:pos="682"/>
        </w:tabs>
        <w:topLinePunct/>
        <w:snapToGrid w:val="0"/>
        <w:spacing w:beforeLines="25" w:line="300" w:lineRule="auto"/>
        <w:ind w:hanging="567"/>
        <w:jc w:val="both"/>
        <w:rPr>
          <w:rFonts w:ascii="Times New Roman" w:hAnsi="Times New Roman"/>
          <w:kern w:val="2"/>
          <w:szCs w:val="21"/>
        </w:rPr>
      </w:pPr>
      <w:r>
        <w:rPr>
          <w:rFonts w:hint="eastAsia" w:ascii="Times New Roman" w:hAnsi="Times New Roman"/>
          <w:kern w:val="2"/>
          <w:szCs w:val="21"/>
        </w:rPr>
        <w:t>在</w:t>
      </w:r>
      <w:r>
        <w:rPr>
          <w:rFonts w:ascii="Times New Roman" w:hAnsi="Times New Roman"/>
          <w:kern w:val="2"/>
          <w:szCs w:val="21"/>
        </w:rPr>
        <w:t>器械可于市场购得前，经销商应核实是否满足以下要求：</w:t>
      </w:r>
    </w:p>
    <w:p w14:paraId="2584438E">
      <w:pPr>
        <w:pStyle w:val="32"/>
        <w:numPr>
          <w:ilvl w:val="1"/>
          <w:numId w:val="1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该器械已作CE标识，且器械欧盟符合性声明已起草完毕；</w:t>
      </w:r>
    </w:p>
    <w:p w14:paraId="56E92A56">
      <w:pPr>
        <w:pStyle w:val="32"/>
        <w:numPr>
          <w:ilvl w:val="1"/>
          <w:numId w:val="1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该器械与制造商按照第10（11）条提供的信息相符；</w:t>
      </w:r>
    </w:p>
    <w:p w14:paraId="3DB96A67">
      <w:pPr>
        <w:pStyle w:val="32"/>
        <w:numPr>
          <w:ilvl w:val="1"/>
          <w:numId w:val="1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关于进口器械，进口商已遵守第13（3）条列出的要求；</w:t>
      </w:r>
    </w:p>
    <w:p w14:paraId="218304FA">
      <w:pPr>
        <w:pStyle w:val="32"/>
        <w:numPr>
          <w:ilvl w:val="1"/>
          <w:numId w:val="1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如适用，制造商已指定UDI。</w:t>
      </w:r>
    </w:p>
    <w:p w14:paraId="4BE7A078">
      <w:pPr>
        <w:pStyle w:val="8"/>
        <w:topLinePunct/>
        <w:snapToGrid w:val="0"/>
        <w:spacing w:beforeLines="25" w:line="300" w:lineRule="auto"/>
        <w:ind w:firstLine="0"/>
        <w:jc w:val="both"/>
        <w:rPr>
          <w:kern w:val="2"/>
          <w:szCs w:val="21"/>
        </w:rPr>
      </w:pPr>
      <w:r>
        <w:rPr>
          <w:kern w:val="2"/>
          <w:szCs w:val="21"/>
        </w:rPr>
        <w:t>为满足第一子段（a）、（b）和（d）</w:t>
      </w:r>
      <w:r>
        <w:rPr>
          <w:rFonts w:hint="eastAsia"/>
          <w:kern w:val="2"/>
          <w:szCs w:val="21"/>
        </w:rPr>
        <w:t>点</w:t>
      </w:r>
      <w:r>
        <w:rPr>
          <w:kern w:val="2"/>
          <w:szCs w:val="21"/>
        </w:rPr>
        <w:t>所述要求，经销商可申请由抽样获得的代表性</w:t>
      </w:r>
      <w:r>
        <w:rPr>
          <w:rFonts w:hint="eastAsia"/>
          <w:kern w:val="2"/>
          <w:szCs w:val="21"/>
        </w:rPr>
        <w:t>器械</w:t>
      </w:r>
      <w:r>
        <w:rPr>
          <w:kern w:val="2"/>
          <w:szCs w:val="21"/>
        </w:rPr>
        <w:t>。</w:t>
      </w:r>
    </w:p>
    <w:p w14:paraId="042F82F1">
      <w:pPr>
        <w:pStyle w:val="8"/>
        <w:topLinePunct/>
        <w:snapToGrid w:val="0"/>
        <w:spacing w:beforeLines="25" w:line="300" w:lineRule="auto"/>
        <w:ind w:firstLine="0"/>
        <w:jc w:val="both"/>
        <w:rPr>
          <w:kern w:val="2"/>
          <w:szCs w:val="21"/>
        </w:rPr>
      </w:pPr>
      <w:r>
        <w:rPr>
          <w:kern w:val="2"/>
          <w:szCs w:val="21"/>
        </w:rPr>
        <w:t>如经销商认为或有理由相信器械不符合本法规的要求，在器械符合要求前不可将器械推向市场，同时应通知制造商及（如适用）制造商授权代表与进口商。如经销商认为或有理由相信该器械出现严重的风险，或为伪造器械，他还应通知其</w:t>
      </w:r>
      <w:r>
        <w:rPr>
          <w:rFonts w:hint="eastAsia"/>
          <w:kern w:val="2"/>
          <w:szCs w:val="21"/>
        </w:rPr>
        <w:t>所在</w:t>
      </w:r>
      <w:r>
        <w:rPr>
          <w:kern w:val="2"/>
          <w:szCs w:val="21"/>
        </w:rPr>
        <w:t>成员国的主管机构。</w:t>
      </w:r>
    </w:p>
    <w:p w14:paraId="64DFFDE7">
      <w:pPr>
        <w:pStyle w:val="32"/>
        <w:numPr>
          <w:ilvl w:val="0"/>
          <w:numId w:val="1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经销商应确保器械在其责任范围内时，储存或运输条件应符合制造商规定。</w:t>
      </w:r>
    </w:p>
    <w:p w14:paraId="654CF179">
      <w:pPr>
        <w:pStyle w:val="32"/>
        <w:numPr>
          <w:ilvl w:val="0"/>
          <w:numId w:val="1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经销商认为或有理由相信，投放市场的器械不符合本法规，应立即通知制造商和（如适用）制造商授权代表和进口商。经销商应与制造商、主管机构和（如适用）制造商授权代表与进口商合作，以确保已采取必要的纠正措施，以使器械符合要求、撤回器械或召回器械。如经销商认为或有理由相信该器械出现严重风险，其也应立即通知器械销售所在成员国的主管机构，给出细节，特别是未遵守要求及其采取的纠正措施。</w:t>
      </w:r>
    </w:p>
    <w:p w14:paraId="36CD3191">
      <w:pPr>
        <w:pStyle w:val="32"/>
        <w:numPr>
          <w:ilvl w:val="0"/>
          <w:numId w:val="1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如经销商收到来自医护专业人员、患者和使用者，关于可购得器械相关可疑事件的投诉和举报，应立即将此信息通知制造商和（如适用）制造商授权代表和进口商。其应保存不合格</w:t>
      </w:r>
      <w:r>
        <w:rPr>
          <w:rFonts w:hint="eastAsia" w:ascii="Times New Roman" w:hAnsi="Times New Roman"/>
          <w:kern w:val="2"/>
          <w:szCs w:val="21"/>
        </w:rPr>
        <w:t>器械</w:t>
      </w:r>
      <w:r>
        <w:rPr>
          <w:rFonts w:ascii="Times New Roman" w:hAnsi="Times New Roman"/>
          <w:kern w:val="2"/>
          <w:szCs w:val="21"/>
        </w:rPr>
        <w:t>和撤回投诉记录，并通知制造商和（如适用）授权代表及经销商此种监控，并按其要求向其提供所有信息。</w:t>
      </w:r>
    </w:p>
    <w:p w14:paraId="55F0C4D2">
      <w:pPr>
        <w:pStyle w:val="32"/>
        <w:numPr>
          <w:ilvl w:val="0"/>
          <w:numId w:val="1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应主管机构请求，经销商应自主提供足以证明器械法规符合性的所有资料和文件。当制造商或授权代表（如适用）针对上述器械提供所需信息时，应视为</w:t>
      </w:r>
      <w:r>
        <w:rPr>
          <w:rFonts w:hint="eastAsia" w:ascii="Times New Roman" w:hAnsi="Times New Roman"/>
          <w:kern w:val="2"/>
          <w:szCs w:val="21"/>
        </w:rPr>
        <w:t>经销商</w:t>
      </w:r>
      <w:r>
        <w:rPr>
          <w:rFonts w:ascii="Times New Roman" w:hAnsi="Times New Roman"/>
          <w:kern w:val="2"/>
          <w:szCs w:val="21"/>
        </w:rPr>
        <w:t>已履行第一子段中所述的该义务。经销商应主管机构要求，配合主管机构，采取任何行动以消除其在市场上所提供器械带来的风险。经销商应主管机构要求提供免费的器械样品，或者若无法提供免费样品，则</w:t>
      </w:r>
      <w:r>
        <w:rPr>
          <w:rFonts w:hint="eastAsia" w:ascii="Times New Roman" w:hAnsi="Times New Roman"/>
          <w:kern w:val="2"/>
          <w:szCs w:val="21"/>
        </w:rPr>
        <w:t>应</w:t>
      </w:r>
      <w:r>
        <w:rPr>
          <w:rFonts w:ascii="Times New Roman" w:hAnsi="Times New Roman"/>
          <w:kern w:val="2"/>
          <w:szCs w:val="21"/>
        </w:rPr>
        <w:t>授予对器械的访问权。</w:t>
      </w:r>
    </w:p>
    <w:p w14:paraId="656F5A7C">
      <w:pPr>
        <w:snapToGrid w:val="0"/>
        <w:spacing w:beforeLines="25" w:line="300" w:lineRule="auto"/>
        <w:ind w:left="57"/>
        <w:jc w:val="center"/>
        <w:rPr>
          <w:rFonts w:ascii="Times New Roman" w:hAnsi="Times New Roman"/>
          <w:i/>
          <w:kern w:val="2"/>
          <w:szCs w:val="21"/>
        </w:rPr>
      </w:pPr>
    </w:p>
    <w:p w14:paraId="2BE10ACE">
      <w:pPr>
        <w:snapToGrid w:val="0"/>
        <w:spacing w:beforeLines="25" w:line="300" w:lineRule="auto"/>
        <w:ind w:left="57"/>
        <w:jc w:val="center"/>
        <w:rPr>
          <w:rStyle w:val="48"/>
          <w:b/>
          <w:szCs w:val="21"/>
          <w:lang w:val="zh-CN"/>
        </w:rPr>
      </w:pPr>
      <w:r>
        <w:rPr>
          <w:rFonts w:ascii="Times New Roman" w:hAnsi="Times New Roman"/>
          <w:i/>
          <w:kern w:val="2"/>
          <w:szCs w:val="21"/>
        </w:rPr>
        <w:t>第15条</w:t>
      </w:r>
    </w:p>
    <w:p w14:paraId="68F2D5F1">
      <w:pPr>
        <w:snapToGrid w:val="0"/>
        <w:spacing w:beforeLines="25" w:line="300" w:lineRule="auto"/>
        <w:ind w:left="57"/>
        <w:jc w:val="center"/>
        <w:rPr>
          <w:rStyle w:val="48"/>
          <w:b/>
          <w:szCs w:val="21"/>
          <w:lang w:val="zh-CN"/>
        </w:rPr>
      </w:pPr>
      <w:r>
        <w:rPr>
          <w:rFonts w:hint="eastAsia" w:ascii="Times New Roman" w:hAnsi="Times New Roman"/>
          <w:b/>
          <w:kern w:val="2"/>
          <w:szCs w:val="21"/>
        </w:rPr>
        <w:t>负责</w:t>
      </w:r>
      <w:r>
        <w:rPr>
          <w:rFonts w:ascii="Times New Roman" w:hAnsi="Times New Roman"/>
          <w:b/>
          <w:kern w:val="2"/>
          <w:szCs w:val="21"/>
        </w:rPr>
        <w:t>法规符合性</w:t>
      </w:r>
      <w:r>
        <w:rPr>
          <w:rFonts w:hint="eastAsia" w:ascii="Times New Roman" w:hAnsi="Times New Roman"/>
          <w:b/>
          <w:kern w:val="2"/>
          <w:szCs w:val="21"/>
        </w:rPr>
        <w:t>的</w:t>
      </w:r>
      <w:r>
        <w:rPr>
          <w:rFonts w:ascii="Times New Roman" w:hAnsi="Times New Roman"/>
          <w:b/>
          <w:kern w:val="2"/>
          <w:szCs w:val="21"/>
        </w:rPr>
        <w:t>人员职责</w:t>
      </w:r>
    </w:p>
    <w:p w14:paraId="22196D8C">
      <w:pPr>
        <w:pStyle w:val="32"/>
        <w:numPr>
          <w:ilvl w:val="0"/>
          <w:numId w:val="1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制造商应在其组织内至少拥有一名在医疗器械领域具有必要专业知识的人员负责法规符合性。必要的专业知识应表现为以下任一一种资格：</w:t>
      </w:r>
    </w:p>
    <w:p w14:paraId="432AD30D">
      <w:pPr>
        <w:pStyle w:val="32"/>
        <w:numPr>
          <w:ilvl w:val="1"/>
          <w:numId w:val="18"/>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在完成有关成员国确认为同等学历的法律、医学、药学、工程或其他相关科学学科大学学历或学习课程后颁发的文凭、证书或其他正式资格证书，以及在体外诊断医疗器械相关法规事务或质量管理体系方面具有至少一年专业经验；</w:t>
      </w:r>
    </w:p>
    <w:p w14:paraId="547D0CDF">
      <w:pPr>
        <w:pStyle w:val="32"/>
        <w:numPr>
          <w:ilvl w:val="1"/>
          <w:numId w:val="18"/>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在法规事务或与医疗器械有关的质量管理体系方面有四年的专业经验。</w:t>
      </w:r>
    </w:p>
    <w:p w14:paraId="6E9B26ED">
      <w:pPr>
        <w:pStyle w:val="8"/>
        <w:topLinePunct/>
        <w:snapToGrid w:val="0"/>
        <w:spacing w:beforeLines="25" w:line="300" w:lineRule="auto"/>
        <w:ind w:firstLine="0"/>
        <w:jc w:val="both"/>
        <w:rPr>
          <w:kern w:val="2"/>
          <w:szCs w:val="21"/>
        </w:rPr>
      </w:pPr>
      <w:r>
        <w:rPr>
          <w:kern w:val="2"/>
          <w:szCs w:val="21"/>
        </w:rPr>
        <w:t>在不影响关于国家专业资格的规定的情况下，定制器械的制造商可凭借其在相关制造领域至少两年的专业经验证明第</w:t>
      </w:r>
      <w:r>
        <w:rPr>
          <w:rFonts w:hint="eastAsia"/>
          <w:kern w:val="2"/>
          <w:szCs w:val="21"/>
        </w:rPr>
        <w:t>一</w:t>
      </w:r>
      <w:r>
        <w:rPr>
          <w:kern w:val="2"/>
          <w:szCs w:val="21"/>
        </w:rPr>
        <w:t>子段所述的所需专门知识。</w:t>
      </w:r>
    </w:p>
    <w:p w14:paraId="6E5603DE">
      <w:pPr>
        <w:pStyle w:val="8"/>
        <w:tabs>
          <w:tab w:val="left" w:pos="681"/>
        </w:tabs>
        <w:topLinePunct/>
        <w:snapToGrid w:val="0"/>
        <w:spacing w:beforeLines="25" w:line="300" w:lineRule="auto"/>
        <w:ind w:left="567"/>
        <w:jc w:val="both"/>
        <w:rPr>
          <w:kern w:val="2"/>
          <w:szCs w:val="21"/>
        </w:rPr>
      </w:pPr>
      <w:r>
        <w:rPr>
          <w:kern w:val="2"/>
          <w:szCs w:val="21"/>
        </w:rPr>
        <w:t>2.</w:t>
      </w:r>
      <w:r>
        <w:rPr>
          <w:kern w:val="2"/>
          <w:szCs w:val="21"/>
        </w:rPr>
        <w:tab/>
      </w:r>
      <w:r>
        <w:rPr>
          <w:kern w:val="2"/>
          <w:szCs w:val="21"/>
        </w:rPr>
        <w:t>在委员会</w:t>
      </w:r>
      <w:r>
        <w:rPr>
          <w:rFonts w:hint="eastAsia"/>
          <w:kern w:val="2"/>
          <w:szCs w:val="21"/>
        </w:rPr>
        <w:t>第</w:t>
      </w:r>
      <w:r>
        <w:rPr>
          <w:kern w:val="2"/>
          <w:szCs w:val="21"/>
        </w:rPr>
        <w:t>2003/361/EC</w:t>
      </w:r>
      <w:r>
        <w:rPr>
          <w:rFonts w:hint="eastAsia"/>
          <w:kern w:val="2"/>
          <w:szCs w:val="21"/>
        </w:rPr>
        <w:t>号</w:t>
      </w:r>
      <w:r>
        <w:rPr>
          <w:kern w:val="2"/>
          <w:szCs w:val="21"/>
        </w:rPr>
        <w:t>建议</w:t>
      </w:r>
      <w:r>
        <w:rPr>
          <w:rFonts w:hint="eastAsia"/>
          <w:kern w:val="2"/>
          <w:szCs w:val="21"/>
        </w:rPr>
        <w:t>（</w:t>
      </w:r>
      <w:r>
        <w:rPr>
          <w:rFonts w:hint="eastAsia"/>
          <w:kern w:val="2"/>
          <w:szCs w:val="21"/>
          <w:vertAlign w:val="superscript"/>
        </w:rPr>
        <w:t>1</w:t>
      </w:r>
      <w:r>
        <w:rPr>
          <w:rFonts w:hint="eastAsia"/>
          <w:kern w:val="2"/>
          <w:szCs w:val="21"/>
        </w:rPr>
        <w:t>）</w:t>
      </w:r>
      <w:r>
        <w:rPr>
          <w:kern w:val="2"/>
          <w:szCs w:val="21"/>
        </w:rPr>
        <w:t>含义范围内的微型和小型企业在其组织内无需有负责法规符合性的人员，但应有可永久且持续听其调遣的该类人员。</w:t>
      </w:r>
    </w:p>
    <w:p w14:paraId="01C13E92">
      <w:pPr>
        <w:snapToGrid w:val="0"/>
        <w:spacing w:beforeLines="25" w:line="300" w:lineRule="auto"/>
        <w:rPr>
          <w:rFonts w:ascii="Times New Roman" w:hAnsi="Times New Roman"/>
          <w:kern w:val="2"/>
          <w:szCs w:val="21"/>
        </w:rPr>
      </w:pPr>
    </w:p>
    <w:p w14:paraId="756F18BF">
      <w:pPr>
        <w:snapToGrid w:val="0"/>
        <w:spacing w:beforeLines="25" w:line="300" w:lineRule="auto"/>
        <w:rPr>
          <w:rFonts w:ascii="Times New Roman" w:hAnsi="Times New Roman"/>
          <w:kern w:val="2"/>
          <w:szCs w:val="21"/>
        </w:rPr>
      </w:pPr>
      <w:r>
        <w:rPr>
          <w:rFonts w:hint="eastAsia" w:ascii="Times New Roman" w:hAnsi="Times New Roman"/>
          <w:kern w:val="2"/>
          <w:szCs w:val="21"/>
        </w:rPr>
        <w:t>_________________</w:t>
      </w:r>
    </w:p>
    <w:p w14:paraId="332BF0E6">
      <w:pPr>
        <w:pStyle w:val="32"/>
        <w:tabs>
          <w:tab w:val="left" w:pos="1248"/>
        </w:tabs>
        <w:topLinePunct/>
        <w:snapToGrid w:val="0"/>
        <w:spacing w:beforeLines="25" w:line="300" w:lineRule="auto"/>
        <w:jc w:val="both"/>
        <w:rPr>
          <w:rFonts w:ascii="Times New Roman" w:hAnsi="Times New Roman"/>
          <w:kern w:val="2"/>
          <w:sz w:val="18"/>
          <w:szCs w:val="18"/>
        </w:rPr>
      </w:pPr>
      <w:r>
        <w:rPr>
          <w:rFonts w:hint="eastAsia" w:ascii="Times New Roman" w:hAnsi="Times New Roman"/>
          <w:kern w:val="2"/>
          <w:sz w:val="18"/>
          <w:szCs w:val="18"/>
        </w:rPr>
        <w:t>（</w:t>
      </w:r>
      <w:r>
        <w:rPr>
          <w:rFonts w:ascii="Times New Roman" w:hAnsi="Times New Roman"/>
          <w:kern w:val="2"/>
          <w:sz w:val="18"/>
          <w:szCs w:val="18"/>
          <w:vertAlign w:val="superscript"/>
        </w:rPr>
        <w:t>1</w:t>
      </w:r>
      <w:r>
        <w:rPr>
          <w:rFonts w:hint="eastAsia" w:ascii="Times New Roman" w:hAnsi="Times New Roman"/>
          <w:kern w:val="2"/>
          <w:sz w:val="18"/>
          <w:szCs w:val="18"/>
        </w:rPr>
        <w:t>）</w:t>
      </w:r>
      <w:r>
        <w:rPr>
          <w:rFonts w:ascii="Times New Roman" w:hAnsi="Times New Roman"/>
          <w:kern w:val="2"/>
          <w:sz w:val="18"/>
          <w:szCs w:val="18"/>
        </w:rPr>
        <w:t>2003</w:t>
      </w:r>
      <w:r>
        <w:rPr>
          <w:rFonts w:hint="eastAsia" w:ascii="Times New Roman" w:hAnsi="Times New Roman"/>
          <w:kern w:val="2"/>
          <w:sz w:val="18"/>
          <w:szCs w:val="18"/>
        </w:rPr>
        <w:t>年</w:t>
      </w:r>
      <w:r>
        <w:rPr>
          <w:rFonts w:ascii="Times New Roman" w:hAnsi="Times New Roman"/>
          <w:kern w:val="2"/>
          <w:sz w:val="18"/>
          <w:szCs w:val="18"/>
        </w:rPr>
        <w:t>5</w:t>
      </w:r>
      <w:r>
        <w:rPr>
          <w:rFonts w:hint="eastAsia" w:ascii="Times New Roman" w:hAnsi="Times New Roman"/>
          <w:kern w:val="2"/>
          <w:sz w:val="18"/>
          <w:szCs w:val="18"/>
        </w:rPr>
        <w:t>月</w:t>
      </w:r>
      <w:r>
        <w:rPr>
          <w:rFonts w:ascii="Times New Roman" w:hAnsi="Times New Roman"/>
          <w:kern w:val="2"/>
          <w:sz w:val="18"/>
          <w:szCs w:val="18"/>
        </w:rPr>
        <w:t>6</w:t>
      </w:r>
      <w:r>
        <w:rPr>
          <w:rFonts w:hint="eastAsia" w:ascii="Times New Roman" w:hAnsi="Times New Roman"/>
          <w:kern w:val="2"/>
          <w:sz w:val="18"/>
          <w:szCs w:val="18"/>
        </w:rPr>
        <w:t>日关于定义微型和中小型企业的委员会第</w:t>
      </w:r>
      <w:r>
        <w:rPr>
          <w:rFonts w:ascii="Times New Roman" w:hAnsi="Times New Roman"/>
          <w:kern w:val="2"/>
          <w:sz w:val="18"/>
          <w:szCs w:val="18"/>
        </w:rPr>
        <w:t>2003/361/ΕC</w:t>
      </w:r>
      <w:r>
        <w:rPr>
          <w:rFonts w:hint="eastAsia" w:ascii="Times New Roman" w:hAnsi="Times New Roman"/>
          <w:kern w:val="2"/>
          <w:sz w:val="18"/>
          <w:szCs w:val="18"/>
        </w:rPr>
        <w:t>号建议。</w:t>
      </w:r>
    </w:p>
    <w:p w14:paraId="3560FD58">
      <w:pPr>
        <w:snapToGrid w:val="0"/>
        <w:spacing w:beforeLines="25" w:line="300" w:lineRule="auto"/>
        <w:rPr>
          <w:rFonts w:ascii="Times New Roman" w:hAnsi="Times New Roman"/>
          <w:kern w:val="2"/>
          <w:szCs w:val="21"/>
        </w:rPr>
      </w:pPr>
      <w:r>
        <w:rPr>
          <w:rFonts w:ascii="Times New Roman" w:hAnsi="Times New Roman"/>
          <w:kern w:val="2"/>
          <w:szCs w:val="21"/>
        </w:rPr>
        <w:br w:type="page"/>
      </w:r>
    </w:p>
    <w:p w14:paraId="1FC4822F">
      <w:pPr>
        <w:pStyle w:val="32"/>
        <w:tabs>
          <w:tab w:val="left" w:pos="58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3.</w:t>
      </w:r>
      <w:r>
        <w:rPr>
          <w:rFonts w:ascii="Times New Roman" w:hAnsi="Times New Roman"/>
          <w:kern w:val="2"/>
          <w:szCs w:val="21"/>
        </w:rPr>
        <w:tab/>
      </w:r>
      <w:r>
        <w:rPr>
          <w:rFonts w:ascii="Times New Roman" w:hAnsi="Times New Roman"/>
          <w:kern w:val="2"/>
          <w:szCs w:val="21"/>
        </w:rPr>
        <w:t>负责法规符合性的人员至少应负责确保以下事项：</w:t>
      </w:r>
    </w:p>
    <w:p w14:paraId="4057793F">
      <w:pPr>
        <w:pStyle w:val="32"/>
        <w:tabs>
          <w:tab w:val="left" w:pos="1248"/>
        </w:tabs>
        <w:topLinePunct/>
        <w:snapToGrid w:val="0"/>
        <w:spacing w:beforeLines="25" w:line="300" w:lineRule="auto"/>
        <w:ind w:firstLine="588" w:firstLineChars="280"/>
        <w:jc w:val="both"/>
        <w:rPr>
          <w:rFonts w:ascii="Times New Roman" w:hAnsi="Times New Roman"/>
          <w:kern w:val="2"/>
          <w:szCs w:val="21"/>
        </w:rPr>
      </w:pPr>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根据制造这些器械的质量管理体系，在器械发布前适当检查器械法规符合性；</w:t>
      </w:r>
    </w:p>
    <w:p w14:paraId="5286079A">
      <w:pPr>
        <w:pStyle w:val="32"/>
        <w:numPr>
          <w:ilvl w:val="0"/>
          <w:numId w:val="19"/>
        </w:numPr>
        <w:tabs>
          <w:tab w:val="left" w:pos="1248"/>
        </w:tabs>
        <w:topLinePunct/>
        <w:snapToGrid w:val="0"/>
        <w:spacing w:beforeLines="25" w:line="300" w:lineRule="auto"/>
        <w:ind w:left="0" w:firstLine="588" w:firstLineChars="280"/>
        <w:jc w:val="both"/>
        <w:rPr>
          <w:rFonts w:ascii="Times New Roman" w:hAnsi="Times New Roman"/>
          <w:kern w:val="2"/>
          <w:szCs w:val="21"/>
        </w:rPr>
      </w:pPr>
      <w:r>
        <w:rPr>
          <w:rFonts w:ascii="Times New Roman" w:hAnsi="Times New Roman"/>
          <w:kern w:val="2"/>
          <w:szCs w:val="21"/>
        </w:rPr>
        <w:t>制定技术文件和欧盟符合性声明并保持其最新状态；</w:t>
      </w:r>
    </w:p>
    <w:p w14:paraId="6347A7C7">
      <w:pPr>
        <w:pStyle w:val="32"/>
        <w:numPr>
          <w:ilvl w:val="0"/>
          <w:numId w:val="19"/>
        </w:numPr>
        <w:tabs>
          <w:tab w:val="left" w:pos="1248"/>
        </w:tabs>
        <w:topLinePunct/>
        <w:snapToGrid w:val="0"/>
        <w:spacing w:beforeLines="25" w:line="300" w:lineRule="auto"/>
        <w:ind w:left="0" w:firstLine="588" w:firstLineChars="280"/>
        <w:jc w:val="both"/>
        <w:rPr>
          <w:rFonts w:ascii="Times New Roman" w:hAnsi="Times New Roman"/>
          <w:kern w:val="2"/>
          <w:szCs w:val="21"/>
        </w:rPr>
      </w:pPr>
      <w:r>
        <w:rPr>
          <w:rFonts w:ascii="Times New Roman" w:hAnsi="Times New Roman"/>
          <w:kern w:val="2"/>
          <w:szCs w:val="21"/>
        </w:rPr>
        <w:t>遵守第10（10）)条规定的上市后监管义务；</w:t>
      </w:r>
    </w:p>
    <w:p w14:paraId="7AAF41CF">
      <w:pPr>
        <w:pStyle w:val="32"/>
        <w:tabs>
          <w:tab w:val="left" w:pos="1248"/>
        </w:tabs>
        <w:topLinePunct/>
        <w:snapToGrid w:val="0"/>
        <w:spacing w:beforeLines="25" w:line="300" w:lineRule="auto"/>
        <w:ind w:firstLine="588" w:firstLineChars="280"/>
        <w:jc w:val="both"/>
        <w:rPr>
          <w:rFonts w:ascii="Times New Roman" w:hAnsi="Times New Roman"/>
          <w:kern w:val="2"/>
          <w:szCs w:val="21"/>
        </w:rPr>
      </w:pPr>
      <w:r>
        <w:rPr>
          <w:rFonts w:ascii="Times New Roman" w:hAnsi="Times New Roman"/>
          <w:kern w:val="2"/>
          <w:szCs w:val="21"/>
        </w:rPr>
        <w:t>（d）</w:t>
      </w:r>
      <w:r>
        <w:rPr>
          <w:rFonts w:ascii="Times New Roman" w:hAnsi="Times New Roman"/>
          <w:kern w:val="2"/>
          <w:szCs w:val="21"/>
        </w:rPr>
        <w:tab/>
      </w:r>
      <w:r>
        <w:rPr>
          <w:rFonts w:ascii="Times New Roman" w:hAnsi="Times New Roman"/>
          <w:kern w:val="2"/>
          <w:szCs w:val="21"/>
        </w:rPr>
        <w:t>履行第87至91条中规定的报告义务；</w:t>
      </w:r>
    </w:p>
    <w:p w14:paraId="60012CEA">
      <w:pPr>
        <w:pStyle w:val="32"/>
        <w:tabs>
          <w:tab w:val="left" w:pos="1248"/>
        </w:tabs>
        <w:topLinePunct/>
        <w:snapToGrid w:val="0"/>
        <w:spacing w:beforeLines="25" w:line="300" w:lineRule="auto"/>
        <w:ind w:firstLine="588" w:firstLineChars="280"/>
        <w:jc w:val="both"/>
        <w:rPr>
          <w:rFonts w:ascii="Times New Roman" w:hAnsi="Times New Roman"/>
          <w:kern w:val="2"/>
          <w:szCs w:val="21"/>
        </w:rPr>
      </w:pPr>
      <w:r>
        <w:rPr>
          <w:rFonts w:ascii="Times New Roman" w:hAnsi="Times New Roman"/>
          <w:kern w:val="2"/>
          <w:szCs w:val="21"/>
        </w:rPr>
        <w:t>（e）</w:t>
      </w:r>
      <w:r>
        <w:rPr>
          <w:rFonts w:ascii="Times New Roman" w:hAnsi="Times New Roman"/>
          <w:kern w:val="2"/>
          <w:szCs w:val="21"/>
        </w:rPr>
        <w:tab/>
      </w:r>
      <w:r>
        <w:rPr>
          <w:rFonts w:ascii="Times New Roman" w:hAnsi="Times New Roman"/>
          <w:kern w:val="2"/>
          <w:szCs w:val="21"/>
        </w:rPr>
        <w:t>若为试验用器械，则发出附录XV第</w:t>
      </w:r>
      <w:r>
        <w:rPr>
          <w:rFonts w:hint="eastAsia" w:ascii="Times New Roman" w:hAnsi="Times New Roman"/>
          <w:kern w:val="2"/>
          <w:szCs w:val="21"/>
        </w:rPr>
        <w:t>XV</w:t>
      </w:r>
      <w:r>
        <w:rPr>
          <w:rFonts w:ascii="Times New Roman" w:hAnsi="Times New Roman"/>
          <w:kern w:val="2"/>
          <w:szCs w:val="21"/>
        </w:rPr>
        <w:t>章第4.1节所述的声明。</w:t>
      </w:r>
    </w:p>
    <w:p w14:paraId="509900DC">
      <w:pPr>
        <w:pStyle w:val="8"/>
        <w:topLinePunct/>
        <w:snapToGrid w:val="0"/>
        <w:spacing w:beforeLines="25" w:line="300" w:lineRule="auto"/>
        <w:ind w:left="588" w:hanging="588" w:hangingChars="280"/>
        <w:jc w:val="both"/>
        <w:rPr>
          <w:kern w:val="2"/>
          <w:szCs w:val="21"/>
        </w:rPr>
      </w:pPr>
      <w:r>
        <w:rPr>
          <w:kern w:val="2"/>
          <w:szCs w:val="21"/>
        </w:rPr>
        <w:t>4.</w:t>
      </w:r>
      <w:r>
        <w:rPr>
          <w:kern w:val="2"/>
          <w:szCs w:val="21"/>
        </w:rPr>
        <w:tab/>
      </w:r>
      <w:r>
        <w:rPr>
          <w:kern w:val="2"/>
          <w:szCs w:val="21"/>
        </w:rPr>
        <w:t>若根据第</w:t>
      </w:r>
      <w:r>
        <w:rPr>
          <w:rFonts w:hint="eastAsia"/>
          <w:kern w:val="2"/>
          <w:szCs w:val="21"/>
        </w:rPr>
        <w:t>1、</w:t>
      </w:r>
      <w:r>
        <w:rPr>
          <w:kern w:val="2"/>
          <w:szCs w:val="21"/>
        </w:rPr>
        <w:t>2和第3段规定，多人共同负责法规符合性，则其各自的责任领域应以书面形式规定。</w:t>
      </w:r>
    </w:p>
    <w:p w14:paraId="0C624A7D">
      <w:pPr>
        <w:pStyle w:val="8"/>
        <w:topLinePunct/>
        <w:snapToGrid w:val="0"/>
        <w:spacing w:beforeLines="25" w:line="300" w:lineRule="auto"/>
        <w:ind w:left="588" w:hanging="588" w:hangingChars="280"/>
        <w:jc w:val="both"/>
        <w:rPr>
          <w:kern w:val="2"/>
          <w:szCs w:val="21"/>
        </w:rPr>
      </w:pPr>
      <w:r>
        <w:rPr>
          <w:kern w:val="2"/>
          <w:szCs w:val="21"/>
        </w:rPr>
        <w:t>5.</w:t>
      </w:r>
      <w:r>
        <w:rPr>
          <w:kern w:val="2"/>
          <w:szCs w:val="21"/>
        </w:rPr>
        <w:tab/>
      </w:r>
      <w:r>
        <w:rPr>
          <w:kern w:val="2"/>
          <w:szCs w:val="21"/>
        </w:rPr>
        <w:t>在制造商组织内负责法规符合性的人员，不论其是否属于该组织的雇员，在履行其职责方面不得有任何不利。</w:t>
      </w:r>
    </w:p>
    <w:p w14:paraId="6E9CCB44">
      <w:pPr>
        <w:pStyle w:val="8"/>
        <w:topLinePunct/>
        <w:snapToGrid w:val="0"/>
        <w:spacing w:beforeLines="25" w:line="300" w:lineRule="auto"/>
        <w:ind w:left="588" w:hanging="588" w:hangingChars="280"/>
        <w:jc w:val="both"/>
        <w:rPr>
          <w:kern w:val="2"/>
          <w:szCs w:val="21"/>
        </w:rPr>
      </w:pPr>
      <w:r>
        <w:rPr>
          <w:kern w:val="2"/>
          <w:szCs w:val="21"/>
        </w:rPr>
        <w:t>6.</w:t>
      </w:r>
      <w:r>
        <w:rPr>
          <w:kern w:val="2"/>
          <w:szCs w:val="21"/>
        </w:rPr>
        <w:tab/>
      </w:r>
      <w:r>
        <w:rPr>
          <w:kern w:val="2"/>
          <w:szCs w:val="21"/>
        </w:rPr>
        <w:t>授权代表应至少有一名可永久且持续听其调遣的负责法规符合性的人员，其在欧盟境内的医疗器械监管要求方面拥有必要的专业知识。必要的专业知识应表现为以下任一一种资格：</w:t>
      </w:r>
    </w:p>
    <w:p w14:paraId="75B1D46F">
      <w:pPr>
        <w:pStyle w:val="32"/>
        <w:tabs>
          <w:tab w:val="left" w:pos="1248"/>
        </w:tabs>
        <w:topLinePunct/>
        <w:snapToGrid w:val="0"/>
        <w:spacing w:beforeLines="25" w:line="300" w:lineRule="auto"/>
        <w:ind w:left="1260" w:leftChars="258" w:hanging="718" w:hangingChars="342"/>
        <w:jc w:val="both"/>
        <w:rPr>
          <w:rFonts w:ascii="Times New Roman" w:hAnsi="Times New Roman"/>
          <w:kern w:val="2"/>
          <w:szCs w:val="21"/>
        </w:rPr>
      </w:pPr>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在完成有关成员国确认为同等学历的法律、医学、药学、工程或其他相关科学学科大学学历或学习课程后颁发的文凭、证书或其他正式资格证书，以及在体外医疗器械相关法规事务或质量管理体系方面具有至少一年专业经验；</w:t>
      </w:r>
    </w:p>
    <w:p w14:paraId="35AB778D">
      <w:pPr>
        <w:pStyle w:val="32"/>
        <w:tabs>
          <w:tab w:val="left" w:pos="1248"/>
        </w:tabs>
        <w:topLinePunct/>
        <w:snapToGrid w:val="0"/>
        <w:spacing w:beforeLines="25" w:line="300" w:lineRule="auto"/>
        <w:ind w:left="1260" w:leftChars="258" w:hanging="718" w:hangingChars="342"/>
        <w:jc w:val="both"/>
        <w:rPr>
          <w:rFonts w:ascii="Times New Roman" w:hAnsi="Times New Roman"/>
          <w:kern w:val="2"/>
          <w:szCs w:val="21"/>
        </w:rPr>
      </w:pPr>
      <w:r>
        <w:rPr>
          <w:rFonts w:ascii="Times New Roman" w:hAnsi="Times New Roman"/>
          <w:kern w:val="2"/>
          <w:szCs w:val="21"/>
        </w:rPr>
        <w:t>（</w:t>
      </w:r>
      <w:r>
        <w:rPr>
          <w:rFonts w:hint="eastAsia" w:ascii="Times New Roman" w:hAnsi="Times New Roman"/>
          <w:kern w:val="2"/>
          <w:szCs w:val="21"/>
        </w:rPr>
        <w:t>b</w:t>
      </w:r>
      <w:r>
        <w:rPr>
          <w:rFonts w:ascii="Times New Roman" w:hAnsi="Times New Roman"/>
          <w:kern w:val="2"/>
          <w:szCs w:val="21"/>
        </w:rPr>
        <w:t>）</w:t>
      </w:r>
      <w:r>
        <w:rPr>
          <w:rFonts w:ascii="Times New Roman" w:hAnsi="Times New Roman"/>
          <w:kern w:val="2"/>
          <w:szCs w:val="21"/>
        </w:rPr>
        <w:tab/>
      </w:r>
      <w:r>
        <w:rPr>
          <w:rFonts w:ascii="Times New Roman" w:hAnsi="Times New Roman"/>
          <w:kern w:val="2"/>
          <w:szCs w:val="21"/>
        </w:rPr>
        <w:t>在法规事务或与医疗器械有关的质量管理体系方面有四年的专业经验。</w:t>
      </w:r>
    </w:p>
    <w:p w14:paraId="7FD66116">
      <w:pPr>
        <w:pStyle w:val="32"/>
        <w:tabs>
          <w:tab w:val="left" w:pos="1248"/>
        </w:tabs>
        <w:topLinePunct/>
        <w:snapToGrid w:val="0"/>
        <w:spacing w:beforeLines="25" w:line="300" w:lineRule="auto"/>
        <w:jc w:val="both"/>
        <w:rPr>
          <w:rFonts w:ascii="Times New Roman" w:hAnsi="Times New Roman"/>
          <w:kern w:val="2"/>
          <w:szCs w:val="21"/>
        </w:rPr>
      </w:pPr>
    </w:p>
    <w:p w14:paraId="686FE7C8">
      <w:pPr>
        <w:snapToGrid w:val="0"/>
        <w:spacing w:beforeLines="25" w:line="300" w:lineRule="auto"/>
        <w:ind w:left="196"/>
        <w:jc w:val="center"/>
        <w:rPr>
          <w:rStyle w:val="48"/>
          <w:b/>
          <w:szCs w:val="21"/>
        </w:rPr>
      </w:pPr>
      <w:r>
        <w:rPr>
          <w:rFonts w:ascii="Times New Roman" w:hAnsi="Times New Roman"/>
          <w:i/>
          <w:kern w:val="2"/>
          <w:szCs w:val="21"/>
        </w:rPr>
        <w:t>第16条</w:t>
      </w:r>
    </w:p>
    <w:p w14:paraId="5187E71A">
      <w:pPr>
        <w:snapToGrid w:val="0"/>
        <w:spacing w:beforeLines="25" w:line="300" w:lineRule="auto"/>
        <w:ind w:left="195"/>
        <w:jc w:val="center"/>
        <w:rPr>
          <w:rStyle w:val="48"/>
          <w:b/>
          <w:szCs w:val="21"/>
        </w:rPr>
      </w:pPr>
      <w:r>
        <w:rPr>
          <w:rFonts w:ascii="Times New Roman" w:hAnsi="Times New Roman"/>
          <w:b/>
          <w:kern w:val="2"/>
          <w:szCs w:val="21"/>
        </w:rPr>
        <w:t>制造商的义务适用于进口商、经销商或其他人的情况</w:t>
      </w:r>
    </w:p>
    <w:p w14:paraId="6AB42C8D">
      <w:pPr>
        <w:pStyle w:val="32"/>
        <w:numPr>
          <w:ilvl w:val="0"/>
          <w:numId w:val="2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经销商、进口商或其他自然人或法人若做出以下任何行为，则应承担制造商相应义务：</w:t>
      </w:r>
    </w:p>
    <w:p w14:paraId="6F255BDF">
      <w:pPr>
        <w:pStyle w:val="32"/>
        <w:numPr>
          <w:ilvl w:val="1"/>
          <w:numId w:val="20"/>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在市场上提供以</w:t>
      </w:r>
      <w:r>
        <w:rPr>
          <w:rFonts w:hint="eastAsia" w:ascii="Times New Roman" w:hAnsi="Times New Roman"/>
          <w:kern w:val="2"/>
          <w:szCs w:val="21"/>
        </w:rPr>
        <w:t>其</w:t>
      </w:r>
      <w:r>
        <w:rPr>
          <w:rFonts w:ascii="Times New Roman" w:hAnsi="Times New Roman"/>
          <w:kern w:val="2"/>
          <w:szCs w:val="21"/>
        </w:rPr>
        <w:t>名字、注册商标名称或注册商标命名的器械，除非经销商或进口商与标签上标明的制造商签订协议，仅由制造商承担本法规对制造商规定的要求；</w:t>
      </w:r>
    </w:p>
    <w:p w14:paraId="554A1E1A">
      <w:pPr>
        <w:pStyle w:val="32"/>
        <w:numPr>
          <w:ilvl w:val="1"/>
          <w:numId w:val="20"/>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变更已投放市场或投入使用的器械的预期用途；</w:t>
      </w:r>
    </w:p>
    <w:p w14:paraId="258A73A3">
      <w:pPr>
        <w:pStyle w:val="32"/>
        <w:numPr>
          <w:ilvl w:val="1"/>
          <w:numId w:val="2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更改已投放市场或投入使用的器械，且对符合性产生影响。</w:t>
      </w:r>
    </w:p>
    <w:p w14:paraId="5AEF0E03">
      <w:pPr>
        <w:pStyle w:val="8"/>
        <w:topLinePunct/>
        <w:snapToGrid w:val="0"/>
        <w:spacing w:beforeLines="25" w:line="300" w:lineRule="auto"/>
        <w:ind w:firstLine="0"/>
        <w:jc w:val="both"/>
        <w:rPr>
          <w:kern w:val="2"/>
          <w:szCs w:val="21"/>
        </w:rPr>
      </w:pPr>
      <w:r>
        <w:rPr>
          <w:kern w:val="2"/>
          <w:szCs w:val="21"/>
          <w:lang w:val="en-US"/>
        </w:rPr>
        <w:t>第一子段不适用于</w:t>
      </w:r>
      <w:r>
        <w:rPr>
          <w:kern w:val="2"/>
          <w:szCs w:val="21"/>
        </w:rPr>
        <w:t>为个别患者组装或改装已上市器械</w:t>
      </w:r>
      <w:r>
        <w:rPr>
          <w:rFonts w:hint="eastAsia"/>
          <w:kern w:val="2"/>
          <w:szCs w:val="21"/>
        </w:rPr>
        <w:t>（且未更改器械之预期用途）的</w:t>
      </w:r>
      <w:r>
        <w:rPr>
          <w:kern w:val="2"/>
          <w:szCs w:val="21"/>
        </w:rPr>
        <w:t>任何人员</w:t>
      </w:r>
      <w:r>
        <w:rPr>
          <w:rFonts w:hint="eastAsia"/>
          <w:kern w:val="2"/>
          <w:szCs w:val="21"/>
        </w:rPr>
        <w:t>（此等人员并不视为</w:t>
      </w:r>
      <w:r>
        <w:rPr>
          <w:kern w:val="2"/>
          <w:szCs w:val="21"/>
          <w:lang w:val="en-US"/>
        </w:rPr>
        <w:t>第2条第（30）点所定义</w:t>
      </w:r>
      <w:r>
        <w:rPr>
          <w:rFonts w:hint="eastAsia"/>
          <w:kern w:val="2"/>
          <w:szCs w:val="21"/>
          <w:lang w:val="en-US"/>
        </w:rPr>
        <w:t>之</w:t>
      </w:r>
      <w:r>
        <w:rPr>
          <w:kern w:val="2"/>
          <w:szCs w:val="21"/>
          <w:lang w:val="en-US"/>
        </w:rPr>
        <w:t>制造商</w:t>
      </w:r>
      <w:r>
        <w:rPr>
          <w:rFonts w:hint="eastAsia"/>
          <w:kern w:val="2"/>
          <w:szCs w:val="21"/>
        </w:rPr>
        <w:t>）</w:t>
      </w:r>
      <w:r>
        <w:rPr>
          <w:kern w:val="2"/>
          <w:szCs w:val="21"/>
        </w:rPr>
        <w:t>。</w:t>
      </w:r>
    </w:p>
    <w:p w14:paraId="087A3B69">
      <w:pPr>
        <w:pStyle w:val="32"/>
        <w:numPr>
          <w:ilvl w:val="0"/>
          <w:numId w:val="2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对于第1段（c）点而言，以下情况不得视为器械更改可能影响其适用要求的合规情况：</w:t>
      </w:r>
    </w:p>
    <w:p w14:paraId="04C1561C">
      <w:pPr>
        <w:pStyle w:val="32"/>
        <w:numPr>
          <w:ilvl w:val="1"/>
          <w:numId w:val="20"/>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提供附录I第23节规定已投放市场器械的制造商信息，以及用于在相关成员国推销</w:t>
      </w:r>
      <w:r>
        <w:rPr>
          <w:rFonts w:hint="eastAsia" w:ascii="Times New Roman" w:hAnsi="Times New Roman"/>
          <w:kern w:val="2"/>
          <w:szCs w:val="21"/>
        </w:rPr>
        <w:t>器械</w:t>
      </w:r>
      <w:r>
        <w:rPr>
          <w:rFonts w:ascii="Times New Roman" w:hAnsi="Times New Roman"/>
          <w:kern w:val="2"/>
          <w:szCs w:val="21"/>
        </w:rPr>
        <w:t>所需的进一步信息，包括此等信息的译文；</w:t>
      </w:r>
    </w:p>
    <w:p w14:paraId="270F1A26">
      <w:pPr>
        <w:pStyle w:val="32"/>
        <w:numPr>
          <w:ilvl w:val="1"/>
          <w:numId w:val="20"/>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对已投放市场器械的外包装改变，若为在相关成员国推销该器械而</w:t>
      </w:r>
      <w:r>
        <w:rPr>
          <w:rFonts w:hint="eastAsia" w:ascii="Times New Roman" w:hAnsi="Times New Roman"/>
          <w:kern w:val="2"/>
          <w:szCs w:val="21"/>
        </w:rPr>
        <w:t>必需</w:t>
      </w:r>
      <w:r>
        <w:rPr>
          <w:rFonts w:ascii="Times New Roman" w:hAnsi="Times New Roman"/>
          <w:kern w:val="2"/>
          <w:szCs w:val="21"/>
        </w:rPr>
        <w:t>重新包装，且若重新包装不会影响器械原始状态，包括改变包装尺寸，则可进行。对于无菌器械，应保证无菌状态的原始包装，因为重新包装将对必要用于维护无菌状态的包装、损害将会对无菌状态产生不良影响。</w:t>
      </w:r>
    </w:p>
    <w:p w14:paraId="767324F0">
      <w:pPr>
        <w:pStyle w:val="32"/>
        <w:numPr>
          <w:ilvl w:val="0"/>
          <w:numId w:val="20"/>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任何进行第2段（a）及（b）点活动的经销商或进口商应在器械上或者（如不可行）在其包装上或者器械所附的文件上对其所进行的活动标明其名称、注册商标名或者注册商标</w:t>
      </w:r>
      <w:r>
        <w:rPr>
          <w:rFonts w:hint="eastAsia" w:ascii="Times New Roman" w:hAnsi="Times New Roman"/>
          <w:kern w:val="2"/>
          <w:szCs w:val="21"/>
        </w:rPr>
        <w:t>、业务注册地</w:t>
      </w:r>
      <w:r>
        <w:rPr>
          <w:rFonts w:ascii="Times New Roman" w:hAnsi="Times New Roman"/>
          <w:kern w:val="2"/>
          <w:szCs w:val="21"/>
        </w:rPr>
        <w:t>及有效联系地址及设立位置。</w:t>
      </w:r>
    </w:p>
    <w:p w14:paraId="097B19C4">
      <w:pPr>
        <w:pStyle w:val="8"/>
        <w:topLinePunct/>
        <w:snapToGrid w:val="0"/>
        <w:spacing w:beforeLines="20" w:line="288" w:lineRule="auto"/>
        <w:ind w:firstLine="0"/>
        <w:jc w:val="both"/>
        <w:rPr>
          <w:kern w:val="2"/>
          <w:szCs w:val="21"/>
        </w:rPr>
      </w:pPr>
      <w:r>
        <w:rPr>
          <w:kern w:val="2"/>
          <w:szCs w:val="21"/>
        </w:rPr>
        <w:t>经销商和进口商应确保具有一套质量管理体系，其中的流程应保证信息译文准确及时更新，还应保证在保持器械原始状态不变的方式和条件进行第2段（a）和（b）点中的活动以及保证重新包装的器械包装应</w:t>
      </w:r>
      <w:r>
        <w:rPr>
          <w:rFonts w:hint="eastAsia"/>
          <w:kern w:val="2"/>
          <w:szCs w:val="21"/>
        </w:rPr>
        <w:t>无</w:t>
      </w:r>
      <w:r>
        <w:rPr>
          <w:kern w:val="2"/>
          <w:szCs w:val="21"/>
        </w:rPr>
        <w:t>缺陷，质量良好且整洁。质量管理体系</w:t>
      </w:r>
      <w:r>
        <w:rPr>
          <w:rFonts w:hint="eastAsia"/>
          <w:kern w:val="2"/>
          <w:szCs w:val="21"/>
        </w:rPr>
        <w:t>除此</w:t>
      </w:r>
      <w:r>
        <w:rPr>
          <w:kern w:val="2"/>
          <w:szCs w:val="21"/>
        </w:rPr>
        <w:t>之外还应包括这些程序：确保经销商或进口商充分了解任何有关安全问题或合规问题的纠正行动。</w:t>
      </w:r>
    </w:p>
    <w:p w14:paraId="6169AF37">
      <w:pPr>
        <w:pStyle w:val="32"/>
        <w:numPr>
          <w:ilvl w:val="0"/>
          <w:numId w:val="20"/>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至少在对上市器械重贴标签或重新包装28天前，进行第2段第（a）和（b）点中所述活动的经销商或进口商</w:t>
      </w:r>
      <w:r>
        <w:rPr>
          <w:rFonts w:hint="eastAsia" w:ascii="Times New Roman" w:hAnsi="Times New Roman"/>
          <w:kern w:val="2"/>
          <w:szCs w:val="21"/>
        </w:rPr>
        <w:t>，</w:t>
      </w:r>
      <w:r>
        <w:rPr>
          <w:rFonts w:ascii="Times New Roman" w:hAnsi="Times New Roman"/>
          <w:kern w:val="2"/>
          <w:szCs w:val="21"/>
        </w:rPr>
        <w:t>应通知在中所述的拟提供重贴标签或重新包装器械的制造商和所在成员国主管机构，并根据要求应向制造商和主管机构提供一个重贴标签或重新包装器械的样品或实体模型，包括任何翻译版本的标签和说明书。在该28天内的同一时期内，其应当向主管机构提交一份证书，该证书由公告机构颁发给用于进行第2段（a）和（b）点所述活动器械，用于证明该经销商或进口商质量管理体系符合在第3段中规定的要求。</w:t>
      </w:r>
    </w:p>
    <w:p w14:paraId="47666BE5">
      <w:pPr>
        <w:snapToGrid w:val="0"/>
        <w:spacing w:beforeLines="20" w:line="288" w:lineRule="auto"/>
        <w:ind w:left="186"/>
        <w:jc w:val="center"/>
        <w:rPr>
          <w:rFonts w:ascii="Times New Roman" w:hAnsi="Times New Roman"/>
          <w:i/>
          <w:kern w:val="2"/>
          <w:szCs w:val="21"/>
        </w:rPr>
      </w:pPr>
    </w:p>
    <w:p w14:paraId="34574125">
      <w:pPr>
        <w:snapToGrid w:val="0"/>
        <w:spacing w:beforeLines="20" w:line="288" w:lineRule="auto"/>
        <w:ind w:left="186"/>
        <w:jc w:val="center"/>
        <w:rPr>
          <w:rStyle w:val="48"/>
          <w:b/>
          <w:szCs w:val="21"/>
          <w:lang w:val="zh-CN"/>
        </w:rPr>
      </w:pPr>
      <w:r>
        <w:rPr>
          <w:rFonts w:ascii="Times New Roman" w:hAnsi="Times New Roman"/>
          <w:i/>
          <w:kern w:val="2"/>
          <w:szCs w:val="21"/>
        </w:rPr>
        <w:t>第17条</w:t>
      </w:r>
    </w:p>
    <w:p w14:paraId="221259E0">
      <w:pPr>
        <w:snapToGrid w:val="0"/>
        <w:spacing w:beforeLines="20" w:line="288" w:lineRule="auto"/>
        <w:ind w:left="196"/>
        <w:jc w:val="center"/>
        <w:rPr>
          <w:rStyle w:val="48"/>
          <w:b/>
          <w:szCs w:val="21"/>
          <w:lang w:val="zh-CN"/>
        </w:rPr>
      </w:pPr>
      <w:r>
        <w:rPr>
          <w:rFonts w:ascii="Times New Roman" w:hAnsi="Times New Roman"/>
          <w:b/>
          <w:kern w:val="2"/>
          <w:szCs w:val="21"/>
        </w:rPr>
        <w:t>一次性使用器械及其再处理</w:t>
      </w:r>
    </w:p>
    <w:p w14:paraId="00B27557">
      <w:pPr>
        <w:pStyle w:val="32"/>
        <w:numPr>
          <w:ilvl w:val="0"/>
          <w:numId w:val="21"/>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一次性使用器械的再处理和进一步使用只能在国家法律允许的情况下进行，且只能按照本文进行。</w:t>
      </w:r>
    </w:p>
    <w:p w14:paraId="12A173E5">
      <w:pPr>
        <w:pStyle w:val="32"/>
        <w:numPr>
          <w:ilvl w:val="0"/>
          <w:numId w:val="21"/>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任何对一次性使用器械进行再处理以使其适合在欧盟内进一步使用的自然人或法人应视为再处理器械的制造商，并承担本法规所规定的制造商义务，包括根据本法规第</w:t>
      </w:r>
      <w:r>
        <w:rPr>
          <w:rFonts w:hint="eastAsia" w:ascii="Times New Roman" w:hAnsi="Times New Roman"/>
          <w:kern w:val="2"/>
          <w:szCs w:val="21"/>
        </w:rPr>
        <w:t>III</w:t>
      </w:r>
      <w:r>
        <w:rPr>
          <w:rFonts w:ascii="Times New Roman" w:hAnsi="Times New Roman"/>
          <w:kern w:val="2"/>
          <w:szCs w:val="21"/>
        </w:rPr>
        <w:t>章，与再处理器械可追溯性有关的义务。对于第85/374/EEC号指令第3(1)条的目的，</w:t>
      </w:r>
      <w:r>
        <w:rPr>
          <w:rFonts w:hint="eastAsia" w:ascii="Times New Roman" w:hAnsi="Times New Roman"/>
          <w:kern w:val="2"/>
          <w:szCs w:val="21"/>
        </w:rPr>
        <w:t>器械</w:t>
      </w:r>
      <w:r>
        <w:rPr>
          <w:rFonts w:ascii="Times New Roman" w:hAnsi="Times New Roman"/>
          <w:kern w:val="2"/>
          <w:szCs w:val="21"/>
        </w:rPr>
        <w:t>再处理者应视为生产者。</w:t>
      </w:r>
    </w:p>
    <w:p w14:paraId="4F497A44">
      <w:pPr>
        <w:pStyle w:val="8"/>
        <w:tabs>
          <w:tab w:val="left" w:pos="681"/>
        </w:tabs>
        <w:topLinePunct/>
        <w:snapToGrid w:val="0"/>
        <w:spacing w:beforeLines="20" w:line="288" w:lineRule="auto"/>
        <w:ind w:hanging="568"/>
        <w:jc w:val="both"/>
        <w:rPr>
          <w:kern w:val="2"/>
          <w:szCs w:val="21"/>
        </w:rPr>
      </w:pPr>
      <w:r>
        <w:rPr>
          <w:kern w:val="2"/>
          <w:szCs w:val="21"/>
        </w:rPr>
        <w:t>3.</w:t>
      </w:r>
      <w:r>
        <w:rPr>
          <w:kern w:val="2"/>
          <w:szCs w:val="21"/>
        </w:rPr>
        <w:tab/>
      </w:r>
      <w:r>
        <w:rPr>
          <w:kern w:val="2"/>
          <w:szCs w:val="21"/>
        </w:rPr>
        <w:t>通过对第2段的豁免，对于在卫生机构中再处理和使用的一次性使用器械，成员国可决议不采用与本法规中规定的制造商义务有关的所有规则，但前提是其确保：</w:t>
      </w:r>
    </w:p>
    <w:p w14:paraId="1B44DA73">
      <w:pPr>
        <w:pStyle w:val="32"/>
        <w:numPr>
          <w:ilvl w:val="1"/>
          <w:numId w:val="21"/>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再处理器械的安全性和性能与原器械的安全性和性能相同，且遵循第5（5）条（a）、（b）、（d）、（e）、（f）、（g）和（h）点中的要求；</w:t>
      </w:r>
    </w:p>
    <w:p w14:paraId="15A9A4E2">
      <w:pPr>
        <w:pStyle w:val="32"/>
        <w:numPr>
          <w:ilvl w:val="1"/>
          <w:numId w:val="21"/>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根据CS执行再处理，</w:t>
      </w:r>
      <w:r>
        <w:rPr>
          <w:rFonts w:hint="eastAsia" w:ascii="Times New Roman" w:hAnsi="Times New Roman"/>
          <w:kern w:val="2"/>
          <w:szCs w:val="21"/>
        </w:rPr>
        <w:t>其中</w:t>
      </w:r>
      <w:r>
        <w:rPr>
          <w:rFonts w:ascii="Times New Roman" w:hAnsi="Times New Roman"/>
          <w:kern w:val="2"/>
          <w:szCs w:val="21"/>
        </w:rPr>
        <w:t>详细说明以下方面的要求：</w:t>
      </w:r>
    </w:p>
    <w:p w14:paraId="1D7FA182">
      <w:pPr>
        <w:pStyle w:val="32"/>
        <w:numPr>
          <w:ilvl w:val="2"/>
          <w:numId w:val="21"/>
        </w:numPr>
        <w:tabs>
          <w:tab w:val="left" w:pos="1816"/>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关于风险管理，包括对器械的结构和材料，相关属性的分析（逆向工程）和检测原器械以及再处理后计划应用的设计变更程序，</w:t>
      </w:r>
    </w:p>
    <w:p w14:paraId="6994CD3A">
      <w:pPr>
        <w:pStyle w:val="32"/>
        <w:numPr>
          <w:ilvl w:val="2"/>
          <w:numId w:val="21"/>
        </w:numPr>
        <w:tabs>
          <w:tab w:val="left" w:pos="1816"/>
        </w:tabs>
        <w:topLinePunct/>
        <w:snapToGrid w:val="0"/>
        <w:spacing w:beforeLines="20" w:line="288" w:lineRule="auto"/>
        <w:ind w:left="1814" w:hanging="567"/>
        <w:jc w:val="both"/>
        <w:rPr>
          <w:rFonts w:ascii="Times New Roman" w:hAnsi="Times New Roman"/>
          <w:kern w:val="2"/>
          <w:szCs w:val="21"/>
        </w:rPr>
      </w:pPr>
      <w:r>
        <w:rPr>
          <w:rFonts w:ascii="Times New Roman" w:hAnsi="Times New Roman"/>
          <w:kern w:val="2"/>
          <w:szCs w:val="21"/>
        </w:rPr>
        <w:t>关于验证整个过程程序，包括清洁步骤，</w:t>
      </w:r>
    </w:p>
    <w:p w14:paraId="50CA4449">
      <w:pPr>
        <w:pStyle w:val="32"/>
        <w:numPr>
          <w:ilvl w:val="2"/>
          <w:numId w:val="21"/>
        </w:numPr>
        <w:tabs>
          <w:tab w:val="left" w:pos="1816"/>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关于产品的上市和性能测试，</w:t>
      </w:r>
    </w:p>
    <w:p w14:paraId="34E1E44C">
      <w:pPr>
        <w:pStyle w:val="32"/>
        <w:numPr>
          <w:ilvl w:val="2"/>
          <w:numId w:val="21"/>
        </w:numPr>
        <w:tabs>
          <w:tab w:val="left" w:pos="1816"/>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关于质量管理体系，</w:t>
      </w:r>
    </w:p>
    <w:p w14:paraId="24DB0EFD">
      <w:pPr>
        <w:pStyle w:val="32"/>
        <w:numPr>
          <w:ilvl w:val="2"/>
          <w:numId w:val="21"/>
        </w:numPr>
        <w:tabs>
          <w:tab w:val="left" w:pos="1816"/>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关于涉及已进行再处理的器械事件报告，</w:t>
      </w:r>
    </w:p>
    <w:p w14:paraId="07D5F33A">
      <w:pPr>
        <w:pStyle w:val="32"/>
        <w:numPr>
          <w:ilvl w:val="2"/>
          <w:numId w:val="21"/>
        </w:numPr>
        <w:tabs>
          <w:tab w:val="left" w:pos="1816"/>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关于再处理器械的可追溯性。</w:t>
      </w:r>
    </w:p>
    <w:p w14:paraId="6CE9BBE6">
      <w:pPr>
        <w:pStyle w:val="8"/>
        <w:topLinePunct/>
        <w:snapToGrid w:val="0"/>
        <w:spacing w:beforeLines="20" w:line="288" w:lineRule="auto"/>
        <w:ind w:firstLine="0"/>
        <w:jc w:val="both"/>
        <w:rPr>
          <w:kern w:val="2"/>
          <w:szCs w:val="21"/>
        </w:rPr>
      </w:pPr>
      <w:r>
        <w:rPr>
          <w:kern w:val="2"/>
          <w:szCs w:val="21"/>
        </w:rPr>
        <w:t>成员国应鼓励并要求卫生机构向患者提供关于在卫生机构内使用再处理器械的信息，并酌情提供患者治疗采用的再处理器械的任何其他相关信息。</w:t>
      </w:r>
    </w:p>
    <w:p w14:paraId="3B9CBDF3">
      <w:pPr>
        <w:pStyle w:val="8"/>
        <w:topLinePunct/>
        <w:snapToGrid w:val="0"/>
        <w:spacing w:beforeLines="25" w:line="300" w:lineRule="auto"/>
        <w:ind w:firstLine="0"/>
        <w:jc w:val="both"/>
        <w:rPr>
          <w:kern w:val="2"/>
          <w:szCs w:val="21"/>
        </w:rPr>
      </w:pPr>
      <w:r>
        <w:rPr>
          <w:kern w:val="2"/>
          <w:szCs w:val="21"/>
        </w:rPr>
        <w:t>成员国应将根据本段提出的国家规定和提出这些规定的理由通知委员会和其他成员国。委员会应将信息公开。</w:t>
      </w:r>
    </w:p>
    <w:p w14:paraId="30B05941">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成员国可选择采用第3段所述的规定，也适用于应卫生机构的要求由外部再处理者再处理的一次性使用器械，但前提是将再处理器械全部返回该卫生机构，并且外部再处理者遵循第3段第（a）和（b）点中所述的要求。</w:t>
      </w:r>
    </w:p>
    <w:p w14:paraId="1382F000">
      <w:pPr>
        <w:pStyle w:val="8"/>
        <w:tabs>
          <w:tab w:val="left" w:pos="681"/>
        </w:tabs>
        <w:topLinePunct/>
        <w:snapToGrid w:val="0"/>
        <w:spacing w:beforeLines="25" w:line="300" w:lineRule="auto"/>
        <w:ind w:hanging="568"/>
        <w:jc w:val="both"/>
        <w:rPr>
          <w:kern w:val="2"/>
          <w:szCs w:val="21"/>
        </w:rPr>
      </w:pPr>
      <w:r>
        <w:rPr>
          <w:kern w:val="2"/>
          <w:szCs w:val="21"/>
        </w:rPr>
        <w:t>5.</w:t>
      </w:r>
      <w:r>
        <w:rPr>
          <w:kern w:val="2"/>
          <w:szCs w:val="21"/>
        </w:rPr>
        <w:tab/>
      </w:r>
      <w:r>
        <w:rPr>
          <w:kern w:val="2"/>
          <w:szCs w:val="21"/>
        </w:rPr>
        <w:t>委员会应根据第9(1)条，</w:t>
      </w:r>
      <w:r>
        <w:rPr>
          <w:rFonts w:hint="eastAsia"/>
          <w:kern w:val="2"/>
          <w:szCs w:val="21"/>
        </w:rPr>
        <w:t>自2020年5月26日</w:t>
      </w:r>
      <w:r>
        <w:rPr>
          <w:kern w:val="2"/>
          <w:szCs w:val="21"/>
        </w:rPr>
        <w:t>起采用第3段第（b）点中所述的必要CS。这些CS应符合最新科学证据，并应适用于本法规所规定的关于安全与性能的一般要求。若</w:t>
      </w:r>
      <w:r>
        <w:rPr>
          <w:rFonts w:hint="eastAsia"/>
          <w:kern w:val="2"/>
          <w:szCs w:val="21"/>
        </w:rPr>
        <w:t>自2020年5月26日起</w:t>
      </w:r>
      <w:r>
        <w:rPr>
          <w:kern w:val="2"/>
          <w:szCs w:val="21"/>
        </w:rPr>
        <w:t>未采用CS，则应根据任何包括在第</w:t>
      </w:r>
      <w:r>
        <w:rPr>
          <w:rFonts w:hint="eastAsia"/>
          <w:kern w:val="2"/>
          <w:szCs w:val="21"/>
        </w:rPr>
        <w:t>3</w:t>
      </w:r>
      <w:r>
        <w:rPr>
          <w:kern w:val="2"/>
          <w:szCs w:val="21"/>
        </w:rPr>
        <w:t>段第（b）点中所列方面相关协调标准和国家规定进行再处理。符合通用规范，或</w:t>
      </w:r>
      <w:r>
        <w:rPr>
          <w:rFonts w:hint="eastAsia"/>
          <w:kern w:val="2"/>
          <w:szCs w:val="21"/>
        </w:rPr>
        <w:t>在</w:t>
      </w:r>
      <w:r>
        <w:rPr>
          <w:kern w:val="2"/>
          <w:szCs w:val="21"/>
        </w:rPr>
        <w:t>无通用规范的情况下，相关协调标准和国家规定应由公告机构进行认证。</w:t>
      </w:r>
    </w:p>
    <w:p w14:paraId="0644BAE9">
      <w:pPr>
        <w:pStyle w:val="8"/>
        <w:tabs>
          <w:tab w:val="left" w:pos="681"/>
        </w:tabs>
        <w:topLinePunct/>
        <w:snapToGrid w:val="0"/>
        <w:spacing w:beforeLines="25" w:line="300" w:lineRule="auto"/>
        <w:ind w:hanging="568"/>
        <w:jc w:val="both"/>
        <w:rPr>
          <w:kern w:val="2"/>
          <w:szCs w:val="21"/>
        </w:rPr>
      </w:pPr>
      <w:r>
        <w:rPr>
          <w:kern w:val="2"/>
          <w:szCs w:val="21"/>
        </w:rPr>
        <w:t>6.</w:t>
      </w:r>
      <w:r>
        <w:rPr>
          <w:kern w:val="2"/>
          <w:szCs w:val="21"/>
        </w:rPr>
        <w:tab/>
      </w:r>
      <w:r>
        <w:rPr>
          <w:kern w:val="2"/>
          <w:szCs w:val="21"/>
        </w:rPr>
        <w:t>根据第93/42/EEC号指令，仅有按照本法规或在</w:t>
      </w:r>
      <w:r>
        <w:rPr>
          <w:rFonts w:hint="eastAsia"/>
          <w:kern w:val="2"/>
          <w:szCs w:val="21"/>
        </w:rPr>
        <w:t>2020年5月26日</w:t>
      </w:r>
      <w:r>
        <w:rPr>
          <w:kern w:val="2"/>
          <w:szCs w:val="21"/>
        </w:rPr>
        <w:t>之前投放市场的一次性使用器械可进行再处理。</w:t>
      </w:r>
    </w:p>
    <w:p w14:paraId="6ED61917">
      <w:pPr>
        <w:pStyle w:val="8"/>
        <w:tabs>
          <w:tab w:val="left" w:pos="681"/>
        </w:tabs>
        <w:topLinePunct/>
        <w:snapToGrid w:val="0"/>
        <w:spacing w:beforeLines="25" w:line="300" w:lineRule="auto"/>
        <w:ind w:hanging="568"/>
        <w:jc w:val="both"/>
        <w:rPr>
          <w:kern w:val="2"/>
          <w:szCs w:val="21"/>
        </w:rPr>
      </w:pPr>
      <w:r>
        <w:rPr>
          <w:kern w:val="2"/>
          <w:szCs w:val="21"/>
        </w:rPr>
        <w:t>7.</w:t>
      </w:r>
      <w:r>
        <w:rPr>
          <w:kern w:val="2"/>
          <w:szCs w:val="21"/>
        </w:rPr>
        <w:tab/>
      </w:r>
      <w:r>
        <w:rPr>
          <w:kern w:val="2"/>
          <w:szCs w:val="21"/>
        </w:rPr>
        <w:t>只能对根据最新科学证据视为安全的一次性使用器械进行再处理。</w:t>
      </w:r>
    </w:p>
    <w:p w14:paraId="2BC4C8E4">
      <w:pPr>
        <w:pStyle w:val="8"/>
        <w:tabs>
          <w:tab w:val="left" w:pos="681"/>
        </w:tabs>
        <w:topLinePunct/>
        <w:snapToGrid w:val="0"/>
        <w:spacing w:beforeLines="25" w:line="300" w:lineRule="auto"/>
        <w:ind w:hanging="568"/>
        <w:jc w:val="both"/>
        <w:rPr>
          <w:kern w:val="2"/>
          <w:szCs w:val="21"/>
        </w:rPr>
      </w:pPr>
      <w:r>
        <w:rPr>
          <w:kern w:val="2"/>
          <w:szCs w:val="21"/>
        </w:rPr>
        <w:t>8.</w:t>
      </w:r>
      <w:r>
        <w:rPr>
          <w:kern w:val="2"/>
          <w:szCs w:val="21"/>
        </w:rPr>
        <w:tab/>
      </w:r>
      <w:r>
        <w:rPr>
          <w:kern w:val="2"/>
          <w:szCs w:val="21"/>
        </w:rPr>
        <w:t>第2段中所述的法人或自然人的姓名和地址以及附录I第23节中规定的其他相关信息，应在标签上标明，并在适用的情况下在再处理器械的使用说明中注明。</w:t>
      </w:r>
    </w:p>
    <w:p w14:paraId="38DD4016">
      <w:pPr>
        <w:pStyle w:val="8"/>
        <w:topLinePunct/>
        <w:snapToGrid w:val="0"/>
        <w:spacing w:beforeLines="25" w:line="300" w:lineRule="auto"/>
        <w:ind w:left="680" w:firstLine="0"/>
        <w:jc w:val="both"/>
        <w:rPr>
          <w:kern w:val="2"/>
          <w:szCs w:val="21"/>
        </w:rPr>
      </w:pPr>
      <w:r>
        <w:rPr>
          <w:kern w:val="2"/>
          <w:szCs w:val="21"/>
        </w:rPr>
        <w:t>一次性使用器械原制造商的名称和地址不再出现在标签上，但应在再处理器械的使用说明书中所述。</w:t>
      </w:r>
    </w:p>
    <w:p w14:paraId="642C08DB">
      <w:pPr>
        <w:pStyle w:val="32"/>
        <w:tabs>
          <w:tab w:val="left" w:pos="682"/>
        </w:tabs>
        <w:topLinePunct/>
        <w:snapToGrid w:val="0"/>
        <w:spacing w:beforeLines="25" w:line="300" w:lineRule="auto"/>
        <w:ind w:left="657" w:hanging="657" w:hangingChars="313"/>
        <w:jc w:val="both"/>
        <w:rPr>
          <w:rFonts w:ascii="Times New Roman" w:hAnsi="Times New Roman"/>
          <w:kern w:val="2"/>
          <w:szCs w:val="21"/>
        </w:rPr>
      </w:pPr>
      <w:r>
        <w:rPr>
          <w:rFonts w:ascii="Times New Roman" w:hAnsi="Times New Roman"/>
          <w:kern w:val="2"/>
          <w:szCs w:val="21"/>
        </w:rPr>
        <w:t>9.</w:t>
      </w:r>
      <w:r>
        <w:rPr>
          <w:rFonts w:ascii="Times New Roman" w:hAnsi="Times New Roman"/>
          <w:kern w:val="2"/>
          <w:szCs w:val="21"/>
        </w:rPr>
        <w:tab/>
      </w:r>
      <w:r>
        <w:rPr>
          <w:rFonts w:ascii="Times New Roman" w:hAnsi="Times New Roman"/>
          <w:kern w:val="2"/>
          <w:szCs w:val="21"/>
        </w:rPr>
        <w:t>允许一次性使用器械再处理的成员国可维持或实行比本法规规定及限制或禁止更严格的国家规定，并在其领土内限制或禁止实施以下行为：</w:t>
      </w:r>
    </w:p>
    <w:p w14:paraId="062CF66D">
      <w:pPr>
        <w:pStyle w:val="32"/>
        <w:numPr>
          <w:ilvl w:val="1"/>
          <w:numId w:val="2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一次性使用器械的再处理以及为进行再处理而将一次性使用器械转移至另一成员国或第三国；</w:t>
      </w:r>
    </w:p>
    <w:p w14:paraId="7388E1DD">
      <w:pPr>
        <w:pStyle w:val="32"/>
        <w:numPr>
          <w:ilvl w:val="1"/>
          <w:numId w:val="2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再处理的一次性使用器械的提供或进一步使用。</w:t>
      </w:r>
    </w:p>
    <w:p w14:paraId="64100C40">
      <w:pPr>
        <w:pStyle w:val="8"/>
        <w:topLinePunct/>
        <w:snapToGrid w:val="0"/>
        <w:spacing w:beforeLines="25" w:line="300" w:lineRule="auto"/>
        <w:ind w:firstLine="0"/>
        <w:jc w:val="both"/>
        <w:rPr>
          <w:kern w:val="2"/>
          <w:szCs w:val="21"/>
        </w:rPr>
      </w:pPr>
      <w:r>
        <w:rPr>
          <w:kern w:val="2"/>
          <w:szCs w:val="21"/>
        </w:rPr>
        <w:t>成员国应将国家规定通知委员会和其他成员国。委员会应将该信息公开。</w:t>
      </w:r>
    </w:p>
    <w:p w14:paraId="3E4E7E4D">
      <w:pPr>
        <w:pStyle w:val="32"/>
        <w:tabs>
          <w:tab w:val="left" w:pos="682"/>
        </w:tabs>
        <w:topLinePunct/>
        <w:snapToGrid w:val="0"/>
        <w:spacing w:beforeLines="25" w:line="300" w:lineRule="auto"/>
        <w:ind w:left="718" w:hanging="718" w:hangingChars="342"/>
        <w:jc w:val="both"/>
        <w:rPr>
          <w:rFonts w:ascii="Times New Roman" w:hAnsi="Times New Roman"/>
          <w:kern w:val="2"/>
          <w:szCs w:val="21"/>
        </w:rPr>
      </w:pPr>
      <w:r>
        <w:rPr>
          <w:rFonts w:ascii="Times New Roman" w:hAnsi="Times New Roman"/>
          <w:kern w:val="2"/>
          <w:szCs w:val="21"/>
        </w:rPr>
        <w:t>10.</w:t>
      </w:r>
      <w:r>
        <w:rPr>
          <w:rFonts w:ascii="Times New Roman" w:hAnsi="Times New Roman"/>
          <w:kern w:val="2"/>
          <w:szCs w:val="21"/>
        </w:rPr>
        <w:tab/>
      </w:r>
      <w:r>
        <w:rPr>
          <w:rFonts w:ascii="Times New Roman" w:hAnsi="Times New Roman"/>
          <w:kern w:val="2"/>
          <w:szCs w:val="21"/>
        </w:rPr>
        <w:t>委员会应在</w:t>
      </w:r>
      <w:r>
        <w:rPr>
          <w:rFonts w:hint="eastAsia" w:ascii="Times New Roman" w:hAnsi="Times New Roman"/>
          <w:kern w:val="2"/>
          <w:szCs w:val="21"/>
        </w:rPr>
        <w:t>2024年5月27日</w:t>
      </w:r>
      <w:r>
        <w:rPr>
          <w:rFonts w:ascii="Times New Roman" w:hAnsi="Times New Roman"/>
          <w:kern w:val="2"/>
          <w:szCs w:val="21"/>
        </w:rPr>
        <w:t>起草关于本条实施情况的报告，并将其提交欧洲议会和理事会。根据本报告，委员会应酌情提出修订</w:t>
      </w:r>
      <w:r>
        <w:rPr>
          <w:rFonts w:hint="eastAsia" w:ascii="Times New Roman" w:hAnsi="Times New Roman"/>
          <w:kern w:val="2"/>
          <w:szCs w:val="21"/>
        </w:rPr>
        <w:t>修订</w:t>
      </w:r>
      <w:r>
        <w:rPr>
          <w:rFonts w:ascii="Times New Roman" w:hAnsi="Times New Roman"/>
          <w:kern w:val="2"/>
          <w:szCs w:val="21"/>
        </w:rPr>
        <w:t>本法规的建议。</w:t>
      </w:r>
    </w:p>
    <w:p w14:paraId="5C274C5F">
      <w:pPr>
        <w:snapToGrid w:val="0"/>
        <w:spacing w:beforeLines="25" w:line="300" w:lineRule="auto"/>
        <w:rPr>
          <w:rFonts w:ascii="Times New Roman" w:hAnsi="Times New Roman"/>
          <w:kern w:val="2"/>
          <w:szCs w:val="21"/>
        </w:rPr>
      </w:pPr>
    </w:p>
    <w:p w14:paraId="243645E3">
      <w:pPr>
        <w:snapToGrid w:val="0"/>
        <w:spacing w:beforeLines="25" w:line="300" w:lineRule="auto"/>
        <w:ind w:left="196"/>
        <w:jc w:val="center"/>
        <w:rPr>
          <w:rStyle w:val="48"/>
          <w:b/>
          <w:szCs w:val="21"/>
        </w:rPr>
      </w:pPr>
      <w:r>
        <w:rPr>
          <w:rFonts w:ascii="Times New Roman" w:hAnsi="Times New Roman"/>
          <w:i/>
          <w:kern w:val="2"/>
          <w:szCs w:val="21"/>
        </w:rPr>
        <w:t>第18条</w:t>
      </w:r>
    </w:p>
    <w:p w14:paraId="65BECF59">
      <w:pPr>
        <w:snapToGrid w:val="0"/>
        <w:spacing w:beforeLines="25" w:line="300" w:lineRule="auto"/>
        <w:ind w:left="196"/>
        <w:jc w:val="center"/>
        <w:rPr>
          <w:rStyle w:val="48"/>
          <w:b/>
          <w:szCs w:val="21"/>
        </w:rPr>
      </w:pPr>
      <w:r>
        <w:rPr>
          <w:rFonts w:ascii="Times New Roman" w:hAnsi="Times New Roman"/>
          <w:b/>
          <w:kern w:val="2"/>
          <w:szCs w:val="21"/>
        </w:rPr>
        <w:t>将提供给患者的植入器械植入物卡和信息</w:t>
      </w:r>
    </w:p>
    <w:p w14:paraId="45E5A7E7">
      <w:pPr>
        <w:pStyle w:val="32"/>
        <w:numPr>
          <w:ilvl w:val="0"/>
          <w:numId w:val="23"/>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可植入器械的制造商应连同该器械一起提供以下内容：</w:t>
      </w:r>
    </w:p>
    <w:p w14:paraId="0B0FCA5E">
      <w:pPr>
        <w:pStyle w:val="32"/>
        <w:tabs>
          <w:tab w:val="left" w:pos="1248"/>
        </w:tabs>
        <w:topLinePunct/>
        <w:snapToGrid w:val="0"/>
        <w:spacing w:beforeLines="25" w:line="300" w:lineRule="auto"/>
        <w:ind w:left="1259" w:leftChars="343" w:hanging="539" w:hangingChars="257"/>
        <w:jc w:val="both"/>
        <w:rPr>
          <w:rFonts w:ascii="Times New Roman" w:hAnsi="Times New Roman"/>
          <w:kern w:val="2"/>
          <w:szCs w:val="21"/>
        </w:rPr>
      </w:pPr>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器械标识信息，包括器械名称、序列号、批号、UDI、器械型号，以及制造商名称、地址和网站；</w:t>
      </w:r>
    </w:p>
    <w:p w14:paraId="1648D45F">
      <w:pPr>
        <w:pStyle w:val="32"/>
        <w:tabs>
          <w:tab w:val="left" w:pos="1248"/>
        </w:tabs>
        <w:topLinePunct/>
        <w:snapToGrid w:val="0"/>
        <w:spacing w:beforeLines="25" w:line="300" w:lineRule="auto"/>
        <w:ind w:left="1259" w:leftChars="343" w:hanging="539" w:hangingChars="257"/>
        <w:jc w:val="both"/>
        <w:rPr>
          <w:rFonts w:ascii="Times New Roman" w:hAnsi="Times New Roman"/>
          <w:kern w:val="2"/>
          <w:szCs w:val="21"/>
        </w:rPr>
      </w:pPr>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患者或医疗保健专业人员对可合理预见的外部影响、医学检查或环境条件的相互干扰采取的任何警戒、预防措施或举措；</w:t>
      </w:r>
    </w:p>
    <w:p w14:paraId="2F026035">
      <w:pPr>
        <w:pStyle w:val="32"/>
        <w:tabs>
          <w:tab w:val="left" w:pos="1248"/>
        </w:tabs>
        <w:topLinePunct/>
        <w:snapToGrid w:val="0"/>
        <w:spacing w:beforeLines="25" w:line="300" w:lineRule="auto"/>
        <w:ind w:left="1259" w:leftChars="343" w:hanging="539" w:hangingChars="257"/>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关于器械的使用期限的任何信息和任何必要的</w:t>
      </w:r>
      <w:r>
        <w:rPr>
          <w:rFonts w:hint="eastAsia" w:ascii="Times New Roman" w:hAnsi="Times New Roman"/>
          <w:kern w:val="2"/>
          <w:szCs w:val="21"/>
          <w:lang w:val="en-US"/>
        </w:rPr>
        <w:t>跟踪</w:t>
      </w:r>
      <w:r>
        <w:rPr>
          <w:rFonts w:ascii="Times New Roman" w:hAnsi="Times New Roman"/>
          <w:kern w:val="2"/>
          <w:szCs w:val="21"/>
        </w:rPr>
        <w:t>；</w:t>
      </w:r>
    </w:p>
    <w:p w14:paraId="109FEAC0">
      <w:pPr>
        <w:pStyle w:val="32"/>
        <w:tabs>
          <w:tab w:val="left" w:pos="1248"/>
        </w:tabs>
        <w:topLinePunct/>
        <w:snapToGrid w:val="0"/>
        <w:spacing w:beforeLines="25" w:line="300" w:lineRule="auto"/>
        <w:ind w:left="1259" w:leftChars="343" w:hanging="539" w:hangingChars="257"/>
        <w:jc w:val="both"/>
        <w:rPr>
          <w:rFonts w:ascii="Times New Roman" w:hAnsi="Times New Roman"/>
          <w:kern w:val="2"/>
          <w:szCs w:val="21"/>
        </w:rPr>
      </w:pPr>
      <w:r>
        <w:rPr>
          <w:rFonts w:ascii="Times New Roman" w:hAnsi="Times New Roman"/>
          <w:kern w:val="2"/>
          <w:szCs w:val="21"/>
        </w:rPr>
        <w:t>(d)</w:t>
      </w:r>
      <w:r>
        <w:rPr>
          <w:rFonts w:ascii="Times New Roman" w:hAnsi="Times New Roman"/>
          <w:kern w:val="2"/>
          <w:szCs w:val="21"/>
        </w:rPr>
        <w:tab/>
      </w:r>
      <w:r>
        <w:rPr>
          <w:rFonts w:ascii="Times New Roman" w:hAnsi="Times New Roman"/>
          <w:kern w:val="2"/>
          <w:szCs w:val="21"/>
        </w:rPr>
        <w:t>任何其他确保患者安全使用该器械的信息，包括附录I第23.4节第（u）点的信息。</w:t>
      </w:r>
    </w:p>
    <w:p w14:paraId="536CB865">
      <w:pPr>
        <w:pStyle w:val="8"/>
        <w:tabs>
          <w:tab w:val="left" w:pos="681"/>
        </w:tabs>
        <w:topLinePunct/>
        <w:snapToGrid w:val="0"/>
        <w:spacing w:beforeLines="20" w:line="276" w:lineRule="auto"/>
        <w:ind w:left="720" w:firstLine="0"/>
        <w:jc w:val="both"/>
        <w:rPr>
          <w:kern w:val="2"/>
          <w:szCs w:val="21"/>
        </w:rPr>
      </w:pPr>
      <w:r>
        <w:rPr>
          <w:kern w:val="2"/>
          <w:szCs w:val="21"/>
        </w:rPr>
        <w:br w:type="page"/>
      </w:r>
      <w:r>
        <w:rPr>
          <w:rFonts w:hint="eastAsia"/>
          <w:kern w:val="2"/>
          <w:szCs w:val="21"/>
        </w:rPr>
        <w:t>出于</w:t>
      </w:r>
      <w:r>
        <w:rPr>
          <w:kern w:val="2"/>
          <w:szCs w:val="21"/>
        </w:rPr>
        <w:t>提供给特殊患者目的</w:t>
      </w:r>
      <w:r>
        <w:rPr>
          <w:rFonts w:hint="eastAsia"/>
          <w:kern w:val="2"/>
          <w:szCs w:val="21"/>
        </w:rPr>
        <w:t>，</w:t>
      </w:r>
      <w:r>
        <w:rPr>
          <w:kern w:val="2"/>
          <w:szCs w:val="21"/>
        </w:rPr>
        <w:t>在第一子段总所述的信息应通过任何方式提供给已植入器械的特定患者</w:t>
      </w:r>
      <w:r>
        <w:rPr>
          <w:rFonts w:hint="eastAsia"/>
          <w:kern w:val="2"/>
          <w:szCs w:val="21"/>
        </w:rPr>
        <w:t>，</w:t>
      </w:r>
      <w:r>
        <w:rPr>
          <w:kern w:val="2"/>
          <w:szCs w:val="21"/>
        </w:rPr>
        <w:t>使其可快速获取信息，并以相关成员国确定的语言表述。信息的表达方式应使非专业人士容易理解并应酌情更新，</w:t>
      </w:r>
      <w:r>
        <w:rPr>
          <w:rFonts w:hint="eastAsia"/>
          <w:kern w:val="2"/>
          <w:szCs w:val="21"/>
        </w:rPr>
        <w:t>且</w:t>
      </w:r>
      <w:r>
        <w:rPr>
          <w:kern w:val="2"/>
          <w:szCs w:val="21"/>
        </w:rPr>
        <w:t>应通过第1段（a）点所述的网站向患者提供更新信息。</w:t>
      </w:r>
    </w:p>
    <w:p w14:paraId="067AFA52">
      <w:pPr>
        <w:pStyle w:val="8"/>
        <w:topLinePunct/>
        <w:snapToGrid w:val="0"/>
        <w:spacing w:beforeLines="20" w:line="276" w:lineRule="auto"/>
        <w:ind w:left="720" w:firstLine="0"/>
        <w:jc w:val="both"/>
        <w:rPr>
          <w:kern w:val="2"/>
          <w:szCs w:val="21"/>
        </w:rPr>
      </w:pPr>
      <w:r>
        <w:rPr>
          <w:kern w:val="2"/>
          <w:szCs w:val="21"/>
        </w:rPr>
        <w:t>此外，制造商应在与器械一起交付的</w:t>
      </w:r>
      <w:r>
        <w:rPr>
          <w:rFonts w:hint="eastAsia"/>
          <w:kern w:val="2"/>
          <w:szCs w:val="21"/>
        </w:rPr>
        <w:t>植入物</w:t>
      </w:r>
      <w:r>
        <w:rPr>
          <w:kern w:val="2"/>
          <w:szCs w:val="21"/>
        </w:rPr>
        <w:t>卡片上提供第</w:t>
      </w:r>
      <w:r>
        <w:rPr>
          <w:rFonts w:hint="eastAsia"/>
          <w:kern w:val="2"/>
          <w:szCs w:val="21"/>
        </w:rPr>
        <w:t>一</w:t>
      </w:r>
      <w:r>
        <w:rPr>
          <w:kern w:val="2"/>
          <w:szCs w:val="21"/>
        </w:rPr>
        <w:t>子段（a）点规定的信息。</w:t>
      </w:r>
    </w:p>
    <w:p w14:paraId="1F38FB00">
      <w:pPr>
        <w:pStyle w:val="8"/>
        <w:topLinePunct/>
        <w:snapToGrid w:val="0"/>
        <w:spacing w:beforeLines="20" w:line="276" w:lineRule="auto"/>
        <w:ind w:hanging="568"/>
        <w:jc w:val="both"/>
        <w:rPr>
          <w:kern w:val="2"/>
          <w:szCs w:val="21"/>
        </w:rPr>
      </w:pPr>
      <w:r>
        <w:rPr>
          <w:kern w:val="2"/>
          <w:szCs w:val="21"/>
        </w:rPr>
        <w:t>2.</w:t>
      </w:r>
      <w:r>
        <w:rPr>
          <w:kern w:val="2"/>
          <w:szCs w:val="21"/>
        </w:rPr>
        <w:tab/>
      </w:r>
      <w:r>
        <w:rPr>
          <w:kern w:val="2"/>
          <w:szCs w:val="21"/>
        </w:rPr>
        <w:t>成员国应要求卫生机构过允许患者快速获取信息</w:t>
      </w:r>
      <w:r>
        <w:rPr>
          <w:rFonts w:hint="eastAsia"/>
          <w:kern w:val="2"/>
          <w:szCs w:val="21"/>
        </w:rPr>
        <w:t>，并</w:t>
      </w:r>
      <w:r>
        <w:rPr>
          <w:kern w:val="2"/>
          <w:szCs w:val="21"/>
        </w:rPr>
        <w:t>向已进行器械植入</w:t>
      </w:r>
      <w:r>
        <w:rPr>
          <w:rFonts w:hint="eastAsia"/>
          <w:kern w:val="2"/>
          <w:szCs w:val="21"/>
        </w:rPr>
        <w:t>且</w:t>
      </w:r>
      <w:r>
        <w:rPr>
          <w:kern w:val="2"/>
          <w:szCs w:val="21"/>
        </w:rPr>
        <w:t>具有其身份的植入物卡的患者提供第1段中所述的信息。</w:t>
      </w:r>
    </w:p>
    <w:p w14:paraId="5D8C88F6">
      <w:pPr>
        <w:pStyle w:val="8"/>
        <w:topLinePunct/>
        <w:snapToGrid w:val="0"/>
        <w:spacing w:beforeLines="20" w:line="276" w:lineRule="auto"/>
        <w:ind w:hanging="568"/>
        <w:jc w:val="both"/>
        <w:rPr>
          <w:kern w:val="2"/>
          <w:szCs w:val="21"/>
        </w:rPr>
      </w:pPr>
      <w:r>
        <w:rPr>
          <w:kern w:val="2"/>
          <w:szCs w:val="21"/>
        </w:rPr>
        <w:t>3.</w:t>
      </w:r>
      <w:r>
        <w:rPr>
          <w:kern w:val="2"/>
          <w:szCs w:val="21"/>
        </w:rPr>
        <w:tab/>
      </w:r>
      <w:r>
        <w:rPr>
          <w:kern w:val="2"/>
          <w:szCs w:val="21"/>
        </w:rPr>
        <w:t>以下植入物应免除本文规定的职责：缝合线、U形钉、牙齿填料、牙弓、牙冠、螺钉、楔子、板线、针、夹子和连接器。委员会有权根据第115条采用授权方案，通过增加其他类植入物或从中删除植入物来修订这一清单。</w:t>
      </w:r>
    </w:p>
    <w:p w14:paraId="0EAA1012">
      <w:pPr>
        <w:snapToGrid w:val="0"/>
        <w:spacing w:beforeLines="20" w:line="276" w:lineRule="auto"/>
        <w:rPr>
          <w:rFonts w:ascii="Times New Roman" w:hAnsi="Times New Roman"/>
          <w:kern w:val="2"/>
          <w:szCs w:val="21"/>
        </w:rPr>
      </w:pPr>
    </w:p>
    <w:p w14:paraId="0B72B4F5">
      <w:pPr>
        <w:snapToGrid w:val="0"/>
        <w:spacing w:beforeLines="20" w:line="276" w:lineRule="auto"/>
        <w:ind w:left="196"/>
        <w:jc w:val="center"/>
        <w:rPr>
          <w:rStyle w:val="48"/>
          <w:b/>
          <w:szCs w:val="21"/>
        </w:rPr>
      </w:pPr>
      <w:bookmarkStart w:id="10" w:name="Article_17_EU_declaration_of_conformity"/>
      <w:bookmarkEnd w:id="10"/>
      <w:r>
        <w:rPr>
          <w:rFonts w:ascii="Times New Roman" w:hAnsi="Times New Roman"/>
          <w:i/>
          <w:kern w:val="2"/>
          <w:szCs w:val="21"/>
        </w:rPr>
        <w:t>第19条</w:t>
      </w:r>
    </w:p>
    <w:p w14:paraId="5CF29E30">
      <w:pPr>
        <w:snapToGrid w:val="0"/>
        <w:spacing w:beforeLines="20" w:line="276" w:lineRule="auto"/>
        <w:ind w:left="196"/>
        <w:jc w:val="center"/>
        <w:rPr>
          <w:rStyle w:val="48"/>
          <w:b/>
          <w:szCs w:val="21"/>
        </w:rPr>
      </w:pPr>
      <w:r>
        <w:rPr>
          <w:rFonts w:ascii="Times New Roman" w:hAnsi="Times New Roman"/>
          <w:b/>
          <w:kern w:val="2"/>
          <w:szCs w:val="21"/>
        </w:rPr>
        <w:t>欧盟符合性声明</w:t>
      </w:r>
    </w:p>
    <w:p w14:paraId="1941280F">
      <w:pPr>
        <w:pStyle w:val="32"/>
        <w:numPr>
          <w:ilvl w:val="0"/>
          <w:numId w:val="24"/>
        </w:numPr>
        <w:tabs>
          <w:tab w:val="left" w:pos="682"/>
        </w:tabs>
        <w:topLinePunct/>
        <w:snapToGrid w:val="0"/>
        <w:spacing w:beforeLines="20" w:line="276" w:lineRule="auto"/>
        <w:ind w:hanging="567"/>
        <w:jc w:val="both"/>
        <w:rPr>
          <w:rFonts w:ascii="Times New Roman" w:hAnsi="Times New Roman"/>
          <w:kern w:val="2"/>
          <w:szCs w:val="21"/>
        </w:rPr>
      </w:pPr>
      <w:bookmarkStart w:id="11" w:name="1._The_EU_declaration_of_conformity_shal"/>
      <w:bookmarkEnd w:id="11"/>
      <w:r>
        <w:rPr>
          <w:rFonts w:ascii="Times New Roman" w:hAnsi="Times New Roman"/>
          <w:kern w:val="2"/>
          <w:szCs w:val="21"/>
        </w:rPr>
        <w:t>欧盟符合性声明须说明已履行本法规中相关涵盖器械规定的要求。制造商应当不断更新欧盟符合性声明。欧盟符合性声明至少应包括列于附录IV的信息，且应将其翻译成欧盟官方语言或者器械销售所在成员国所要求的语言。</w:t>
      </w:r>
    </w:p>
    <w:p w14:paraId="0B612CF7">
      <w:pPr>
        <w:pStyle w:val="32"/>
        <w:numPr>
          <w:ilvl w:val="0"/>
          <w:numId w:val="24"/>
        </w:numPr>
        <w:tabs>
          <w:tab w:val="left" w:pos="682"/>
        </w:tabs>
        <w:topLinePunct/>
        <w:snapToGrid w:val="0"/>
        <w:spacing w:beforeLines="20" w:line="276" w:lineRule="auto"/>
        <w:ind w:hanging="567"/>
        <w:jc w:val="both"/>
        <w:rPr>
          <w:rFonts w:ascii="Times New Roman" w:hAnsi="Times New Roman"/>
          <w:kern w:val="2"/>
          <w:szCs w:val="21"/>
        </w:rPr>
      </w:pPr>
      <w:bookmarkStart w:id="12" w:name="2._Where,_concerning_aspects_not_covered"/>
      <w:bookmarkEnd w:id="12"/>
      <w:r>
        <w:rPr>
          <w:rFonts w:ascii="Times New Roman" w:hAnsi="Times New Roman"/>
          <w:kern w:val="2"/>
          <w:szCs w:val="21"/>
        </w:rPr>
        <w:t>就本法规未涵盖的相关问题，若器械需遵守其他欧盟立法机构要求（该立法机构要求制造商发布一份证实已履行该立法机构所规定要求的欧盟符合性声明），只需要起草有关所有欧盟法案均适用该器械的单独符合性声明</w:t>
      </w:r>
      <w:r>
        <w:rPr>
          <w:rFonts w:hint="eastAsia" w:ascii="Times New Roman" w:hAnsi="Times New Roman"/>
          <w:kern w:val="2"/>
          <w:szCs w:val="21"/>
        </w:rPr>
        <w:t>。这一声明应</w:t>
      </w:r>
      <w:r>
        <w:rPr>
          <w:rFonts w:ascii="Times New Roman" w:hAnsi="Times New Roman"/>
          <w:kern w:val="2"/>
          <w:szCs w:val="21"/>
        </w:rPr>
        <w:t>包含所有标识声明书相关欧盟立法机构的必要信息。</w:t>
      </w:r>
    </w:p>
    <w:p w14:paraId="1C4613B2">
      <w:pPr>
        <w:pStyle w:val="32"/>
        <w:numPr>
          <w:ilvl w:val="0"/>
          <w:numId w:val="24"/>
        </w:numPr>
        <w:tabs>
          <w:tab w:val="left" w:pos="682"/>
        </w:tabs>
        <w:topLinePunct/>
        <w:snapToGrid w:val="0"/>
        <w:spacing w:beforeLines="20" w:line="276" w:lineRule="auto"/>
        <w:ind w:hanging="567"/>
        <w:jc w:val="both"/>
        <w:rPr>
          <w:rFonts w:ascii="Times New Roman" w:hAnsi="Times New Roman"/>
          <w:kern w:val="2"/>
          <w:szCs w:val="21"/>
        </w:rPr>
      </w:pPr>
      <w:bookmarkStart w:id="13" w:name="3._By_drawing_up_the_EU_declaration_of_c"/>
      <w:bookmarkEnd w:id="13"/>
      <w:r>
        <w:rPr>
          <w:rFonts w:ascii="Times New Roman" w:hAnsi="Times New Roman"/>
          <w:kern w:val="2"/>
          <w:szCs w:val="21"/>
        </w:rPr>
        <w:t>通过起草欧盟符合性声明，制造商应承担遵守本法规和适用于器械的所有其他欧盟立法机构要求的责任。</w:t>
      </w:r>
    </w:p>
    <w:p w14:paraId="5DABA87D">
      <w:pPr>
        <w:pStyle w:val="32"/>
        <w:numPr>
          <w:ilvl w:val="0"/>
          <w:numId w:val="24"/>
        </w:numPr>
        <w:tabs>
          <w:tab w:val="left" w:pos="682"/>
        </w:tabs>
        <w:topLinePunct/>
        <w:snapToGrid w:val="0"/>
        <w:spacing w:beforeLines="20" w:line="276" w:lineRule="auto"/>
        <w:ind w:hanging="567"/>
        <w:jc w:val="both"/>
        <w:rPr>
          <w:rFonts w:ascii="Times New Roman" w:hAnsi="Times New Roman"/>
          <w:kern w:val="2"/>
          <w:szCs w:val="21"/>
        </w:rPr>
      </w:pPr>
      <w:bookmarkStart w:id="14" w:name="4._The_Commission_shall_be_empowered_to_"/>
      <w:bookmarkEnd w:id="14"/>
      <w:r>
        <w:rPr>
          <w:rFonts w:ascii="Times New Roman" w:hAnsi="Times New Roman"/>
          <w:kern w:val="2"/>
          <w:szCs w:val="21"/>
        </w:rPr>
        <w:t>委员会应有权按照第115条规定通过授权法案，基于技术进步来修订附录IV规定的欧盟符合性声明的最低限度内容。</w:t>
      </w:r>
    </w:p>
    <w:p w14:paraId="5D5BF865">
      <w:pPr>
        <w:snapToGrid w:val="0"/>
        <w:spacing w:beforeLines="20" w:line="276" w:lineRule="auto"/>
        <w:ind w:left="196"/>
        <w:jc w:val="center"/>
        <w:rPr>
          <w:rFonts w:ascii="Times New Roman" w:hAnsi="Times New Roman"/>
          <w:i/>
          <w:kern w:val="2"/>
          <w:szCs w:val="21"/>
        </w:rPr>
      </w:pPr>
      <w:bookmarkStart w:id="15" w:name="Article_18"/>
      <w:bookmarkEnd w:id="15"/>
    </w:p>
    <w:p w14:paraId="4A9C766F">
      <w:pPr>
        <w:snapToGrid w:val="0"/>
        <w:spacing w:beforeLines="20" w:line="276" w:lineRule="auto"/>
        <w:ind w:left="196"/>
        <w:jc w:val="center"/>
        <w:rPr>
          <w:rStyle w:val="48"/>
          <w:b/>
          <w:szCs w:val="21"/>
          <w:lang w:val="zh-CN"/>
        </w:rPr>
      </w:pPr>
      <w:r>
        <w:rPr>
          <w:rFonts w:ascii="Times New Roman" w:hAnsi="Times New Roman"/>
          <w:i/>
          <w:kern w:val="2"/>
          <w:szCs w:val="21"/>
        </w:rPr>
        <w:t>第20条</w:t>
      </w:r>
    </w:p>
    <w:p w14:paraId="6A31705B">
      <w:pPr>
        <w:snapToGrid w:val="0"/>
        <w:spacing w:beforeLines="20" w:line="276" w:lineRule="auto"/>
        <w:ind w:left="195"/>
        <w:jc w:val="center"/>
        <w:rPr>
          <w:rStyle w:val="48"/>
          <w:b/>
          <w:szCs w:val="21"/>
          <w:lang w:val="zh-CN"/>
        </w:rPr>
      </w:pPr>
      <w:bookmarkStart w:id="16" w:name="CE_marking_of_conformity"/>
      <w:bookmarkEnd w:id="16"/>
      <w:r>
        <w:rPr>
          <w:rFonts w:ascii="Times New Roman" w:hAnsi="Times New Roman"/>
          <w:b/>
          <w:kern w:val="2"/>
          <w:szCs w:val="21"/>
        </w:rPr>
        <w:t>CE符合性标识</w:t>
      </w:r>
    </w:p>
    <w:p w14:paraId="5294D120">
      <w:pPr>
        <w:pStyle w:val="32"/>
        <w:numPr>
          <w:ilvl w:val="0"/>
          <w:numId w:val="25"/>
        </w:numPr>
        <w:tabs>
          <w:tab w:val="left" w:pos="682"/>
        </w:tabs>
        <w:topLinePunct/>
        <w:snapToGrid w:val="0"/>
        <w:spacing w:beforeLines="20" w:line="276" w:lineRule="auto"/>
        <w:ind w:hanging="567"/>
        <w:jc w:val="both"/>
        <w:rPr>
          <w:rFonts w:ascii="Times New Roman" w:hAnsi="Times New Roman"/>
          <w:kern w:val="2"/>
          <w:szCs w:val="21"/>
        </w:rPr>
      </w:pPr>
      <w:r>
        <w:rPr>
          <w:rFonts w:ascii="Times New Roman" w:hAnsi="Times New Roman"/>
          <w:kern w:val="2"/>
          <w:szCs w:val="21"/>
        </w:rPr>
        <w:t>除了定制或研究用器械外，视为符合本法规要求的器械应加贴如附录V中所示的合规CE标识。</w:t>
      </w:r>
    </w:p>
    <w:p w14:paraId="2C4C4276">
      <w:pPr>
        <w:pStyle w:val="32"/>
        <w:numPr>
          <w:ilvl w:val="0"/>
          <w:numId w:val="25"/>
        </w:numPr>
        <w:tabs>
          <w:tab w:val="left" w:pos="682"/>
        </w:tabs>
        <w:topLinePunct/>
        <w:snapToGrid w:val="0"/>
        <w:spacing w:beforeLines="20" w:line="276" w:lineRule="auto"/>
        <w:ind w:hanging="567"/>
        <w:jc w:val="both"/>
        <w:rPr>
          <w:rFonts w:ascii="Times New Roman" w:hAnsi="Times New Roman"/>
          <w:kern w:val="2"/>
          <w:szCs w:val="21"/>
        </w:rPr>
      </w:pPr>
      <w:r>
        <w:rPr>
          <w:rFonts w:ascii="Times New Roman" w:hAnsi="Times New Roman"/>
          <w:kern w:val="2"/>
          <w:szCs w:val="21"/>
        </w:rPr>
        <w:t>CE标识应遵守列于欧洲委员会第765/2008号法规第30条要求的一般原则。</w:t>
      </w:r>
    </w:p>
    <w:p w14:paraId="7916B8FB">
      <w:pPr>
        <w:pStyle w:val="32"/>
        <w:numPr>
          <w:ilvl w:val="0"/>
          <w:numId w:val="25"/>
        </w:numPr>
        <w:tabs>
          <w:tab w:val="left" w:pos="682"/>
        </w:tabs>
        <w:topLinePunct/>
        <w:snapToGrid w:val="0"/>
        <w:spacing w:beforeLines="20" w:line="276" w:lineRule="auto"/>
        <w:ind w:hanging="567"/>
        <w:jc w:val="both"/>
        <w:rPr>
          <w:rFonts w:ascii="Times New Roman" w:hAnsi="Times New Roman"/>
          <w:kern w:val="2"/>
          <w:szCs w:val="21"/>
        </w:rPr>
      </w:pPr>
      <w:r>
        <w:rPr>
          <w:rFonts w:ascii="Times New Roman" w:hAnsi="Times New Roman"/>
          <w:kern w:val="2"/>
          <w:szCs w:val="21"/>
        </w:rPr>
        <w:t>标签应明显、清晰和不可磨灭地添加在器械或其无菌包装上。考虑到器械性质，无法或不适合将标签添加到器械上时，应将</w:t>
      </w:r>
      <w:r>
        <w:rPr>
          <w:rFonts w:hint="eastAsia" w:ascii="Times New Roman" w:hAnsi="Times New Roman"/>
          <w:kern w:val="2"/>
          <w:szCs w:val="21"/>
        </w:rPr>
        <w:t>CE</w:t>
      </w:r>
      <w:r>
        <w:rPr>
          <w:rFonts w:ascii="Times New Roman" w:hAnsi="Times New Roman"/>
          <w:kern w:val="2"/>
          <w:szCs w:val="21"/>
        </w:rPr>
        <w:t>标识添加在包装上。CE标识也应</w:t>
      </w:r>
      <w:r>
        <w:rPr>
          <w:rFonts w:hint="eastAsia" w:ascii="Times New Roman" w:hAnsi="Times New Roman"/>
          <w:kern w:val="2"/>
          <w:szCs w:val="21"/>
        </w:rPr>
        <w:t>加贴在有</w:t>
      </w:r>
      <w:r>
        <w:rPr>
          <w:rFonts w:ascii="Times New Roman" w:hAnsi="Times New Roman"/>
          <w:kern w:val="2"/>
          <w:szCs w:val="21"/>
        </w:rPr>
        <w:t>使用说明和任何销售包装中。</w:t>
      </w:r>
    </w:p>
    <w:p w14:paraId="36C612D8">
      <w:pPr>
        <w:pStyle w:val="32"/>
        <w:numPr>
          <w:ilvl w:val="0"/>
          <w:numId w:val="25"/>
        </w:numPr>
        <w:tabs>
          <w:tab w:val="left" w:pos="682"/>
        </w:tabs>
        <w:topLinePunct/>
        <w:snapToGrid w:val="0"/>
        <w:spacing w:beforeLines="20" w:line="276" w:lineRule="auto"/>
        <w:ind w:hanging="567"/>
        <w:jc w:val="both"/>
        <w:rPr>
          <w:rFonts w:ascii="Times New Roman" w:hAnsi="Times New Roman"/>
          <w:kern w:val="2"/>
          <w:szCs w:val="21"/>
        </w:rPr>
      </w:pPr>
      <w:r>
        <w:rPr>
          <w:rFonts w:ascii="Times New Roman" w:hAnsi="Times New Roman"/>
          <w:kern w:val="2"/>
          <w:szCs w:val="21"/>
        </w:rPr>
        <w:t>应在器械上市前</w:t>
      </w:r>
      <w:r>
        <w:rPr>
          <w:rFonts w:hint="eastAsia" w:ascii="Times New Roman" w:hAnsi="Times New Roman"/>
          <w:kern w:val="2"/>
          <w:szCs w:val="21"/>
        </w:rPr>
        <w:t>加贴</w:t>
      </w:r>
      <w:r>
        <w:rPr>
          <w:rFonts w:ascii="Times New Roman" w:hAnsi="Times New Roman"/>
          <w:kern w:val="2"/>
          <w:szCs w:val="21"/>
        </w:rPr>
        <w:t>CE标识。其可能</w:t>
      </w:r>
      <w:r>
        <w:rPr>
          <w:rFonts w:hint="eastAsia" w:ascii="Times New Roman" w:hAnsi="Times New Roman"/>
          <w:kern w:val="2"/>
          <w:szCs w:val="21"/>
        </w:rPr>
        <w:t>紧跟</w:t>
      </w:r>
      <w:r>
        <w:rPr>
          <w:rFonts w:ascii="Times New Roman" w:hAnsi="Times New Roman"/>
          <w:kern w:val="2"/>
          <w:szCs w:val="21"/>
        </w:rPr>
        <w:t>在任一个表示特殊危险或用途的象形图或任何其他标记后面。</w:t>
      </w:r>
    </w:p>
    <w:p w14:paraId="74637727">
      <w:pPr>
        <w:pStyle w:val="32"/>
        <w:numPr>
          <w:ilvl w:val="0"/>
          <w:numId w:val="25"/>
        </w:numPr>
        <w:tabs>
          <w:tab w:val="left" w:pos="682"/>
        </w:tabs>
        <w:topLinePunct/>
        <w:snapToGrid w:val="0"/>
        <w:spacing w:beforeLines="20" w:line="276" w:lineRule="auto"/>
        <w:ind w:hanging="567"/>
        <w:jc w:val="both"/>
        <w:rPr>
          <w:rFonts w:ascii="Times New Roman" w:hAnsi="Times New Roman"/>
          <w:kern w:val="2"/>
          <w:szCs w:val="21"/>
        </w:rPr>
      </w:pPr>
      <w:r>
        <w:rPr>
          <w:rFonts w:ascii="Times New Roman" w:hAnsi="Times New Roman"/>
          <w:kern w:val="2"/>
          <w:szCs w:val="21"/>
        </w:rPr>
        <w:t>如适用，CE标识应紧跟在负责进行列于第52条的符合性评估流程的公告机构标识号后面。</w:t>
      </w:r>
      <w:r>
        <w:rPr>
          <w:rFonts w:hint="eastAsia" w:ascii="Times New Roman" w:hAnsi="Times New Roman"/>
          <w:kern w:val="2"/>
          <w:szCs w:val="21"/>
        </w:rPr>
        <w:t>且</w:t>
      </w:r>
      <w:r>
        <w:rPr>
          <w:rFonts w:ascii="Times New Roman" w:hAnsi="Times New Roman"/>
          <w:kern w:val="2"/>
          <w:szCs w:val="21"/>
        </w:rPr>
        <w:t>应在任何宣传材料（其中所述器械满足CE标识的要求）中说明标识号。</w:t>
      </w:r>
    </w:p>
    <w:p w14:paraId="76C3AF1C">
      <w:pPr>
        <w:pStyle w:val="32"/>
        <w:numPr>
          <w:ilvl w:val="0"/>
          <w:numId w:val="25"/>
        </w:numPr>
        <w:tabs>
          <w:tab w:val="left" w:pos="682"/>
        </w:tabs>
        <w:topLinePunct/>
        <w:snapToGrid w:val="0"/>
        <w:spacing w:beforeLines="20" w:line="276" w:lineRule="auto"/>
        <w:ind w:hanging="567"/>
        <w:jc w:val="both"/>
        <w:rPr>
          <w:rFonts w:ascii="Times New Roman" w:hAnsi="Times New Roman"/>
          <w:kern w:val="2"/>
          <w:szCs w:val="21"/>
        </w:rPr>
      </w:pPr>
      <w:r>
        <w:rPr>
          <w:rFonts w:ascii="Times New Roman" w:hAnsi="Times New Roman"/>
          <w:kern w:val="2"/>
          <w:szCs w:val="21"/>
        </w:rPr>
        <w:t>若器械需遵守欧盟立法机构要求添加CE标识的其他规定，则CE标识还应表明该器械符合其他立法机构要求。</w:t>
      </w:r>
    </w:p>
    <w:p w14:paraId="0705D1EB">
      <w:pPr>
        <w:snapToGrid w:val="0"/>
        <w:spacing w:beforeLines="15" w:line="300" w:lineRule="auto"/>
        <w:ind w:left="196"/>
        <w:jc w:val="center"/>
        <w:rPr>
          <w:rStyle w:val="48"/>
          <w:b/>
          <w:szCs w:val="21"/>
          <w:lang w:val="zh-CN"/>
        </w:rPr>
      </w:pPr>
      <w:bookmarkStart w:id="17" w:name="Article_19_Devices_for_special_purposes"/>
      <w:bookmarkEnd w:id="17"/>
      <w:r>
        <w:rPr>
          <w:rFonts w:ascii="Times New Roman" w:hAnsi="Times New Roman"/>
          <w:i/>
          <w:kern w:val="2"/>
          <w:szCs w:val="21"/>
        </w:rPr>
        <w:t>第21条</w:t>
      </w:r>
    </w:p>
    <w:p w14:paraId="0248242E">
      <w:pPr>
        <w:snapToGrid w:val="0"/>
        <w:spacing w:beforeLines="15" w:line="300" w:lineRule="auto"/>
        <w:ind w:left="196"/>
        <w:jc w:val="center"/>
        <w:rPr>
          <w:rStyle w:val="48"/>
          <w:b/>
          <w:szCs w:val="21"/>
          <w:lang w:val="zh-CN"/>
        </w:rPr>
      </w:pPr>
      <w:r>
        <w:rPr>
          <w:rFonts w:ascii="Times New Roman" w:hAnsi="Times New Roman"/>
          <w:b/>
          <w:kern w:val="2"/>
          <w:szCs w:val="21"/>
        </w:rPr>
        <w:t>用于特殊用途的器械</w:t>
      </w:r>
    </w:p>
    <w:p w14:paraId="226AF5D0">
      <w:pPr>
        <w:pStyle w:val="32"/>
        <w:numPr>
          <w:ilvl w:val="0"/>
          <w:numId w:val="26"/>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成员国不得造成任何障碍：</w:t>
      </w:r>
    </w:p>
    <w:p w14:paraId="61842BE8">
      <w:pPr>
        <w:pStyle w:val="32"/>
        <w:numPr>
          <w:ilvl w:val="1"/>
          <w:numId w:val="26"/>
        </w:numPr>
        <w:tabs>
          <w:tab w:val="left" w:pos="1248"/>
        </w:tabs>
        <w:topLinePunct/>
        <w:snapToGrid w:val="0"/>
        <w:spacing w:beforeLines="15" w:line="300" w:lineRule="auto"/>
        <w:jc w:val="both"/>
        <w:rPr>
          <w:rFonts w:ascii="Times New Roman" w:hAnsi="Times New Roman"/>
          <w:kern w:val="2"/>
          <w:szCs w:val="21"/>
        </w:rPr>
      </w:pPr>
      <w:bookmarkStart w:id="18" w:name="(a)_investigational_devices_which_are_su"/>
      <w:bookmarkEnd w:id="18"/>
      <w:r>
        <w:rPr>
          <w:rFonts w:ascii="Times New Roman" w:hAnsi="Times New Roman"/>
          <w:kern w:val="2"/>
          <w:szCs w:val="21"/>
        </w:rPr>
        <w:t>提供给研究员用于临床研究的试验用器械，前提是在根据第81条和附录XV规定执行采用的法案时，符合第62条至第80条和82条所规定的条件；</w:t>
      </w:r>
    </w:p>
    <w:p w14:paraId="38B77965">
      <w:pPr>
        <w:pStyle w:val="32"/>
        <w:numPr>
          <w:ilvl w:val="1"/>
          <w:numId w:val="26"/>
        </w:numPr>
        <w:tabs>
          <w:tab w:val="left" w:pos="1248"/>
        </w:tabs>
        <w:topLinePunct/>
        <w:snapToGrid w:val="0"/>
        <w:spacing w:beforeLines="15" w:line="300" w:lineRule="auto"/>
        <w:jc w:val="both"/>
        <w:rPr>
          <w:rFonts w:ascii="Times New Roman" w:hAnsi="Times New Roman"/>
          <w:kern w:val="2"/>
          <w:szCs w:val="21"/>
        </w:rPr>
      </w:pPr>
      <w:bookmarkStart w:id="19" w:name="(b)_custom-made_devices_which_are_made_a"/>
      <w:bookmarkEnd w:id="19"/>
      <w:r>
        <w:rPr>
          <w:rFonts w:ascii="Times New Roman" w:hAnsi="Times New Roman"/>
          <w:kern w:val="2"/>
          <w:szCs w:val="21"/>
        </w:rPr>
        <w:t>可在市场上提供的定制器械，前提是符合第52（8）条和附录XIII的规定。</w:t>
      </w:r>
    </w:p>
    <w:p w14:paraId="0786C3CF">
      <w:pPr>
        <w:pStyle w:val="8"/>
        <w:topLinePunct/>
        <w:snapToGrid w:val="0"/>
        <w:spacing w:beforeLines="15" w:line="300" w:lineRule="auto"/>
        <w:ind w:firstLine="0"/>
        <w:jc w:val="both"/>
        <w:rPr>
          <w:kern w:val="2"/>
          <w:szCs w:val="21"/>
        </w:rPr>
      </w:pPr>
      <w:r>
        <w:rPr>
          <w:kern w:val="2"/>
          <w:szCs w:val="21"/>
        </w:rPr>
        <w:t>在第一子段中所述的器械（在第74条中所述的器械除外）不得加贴CE标识。</w:t>
      </w:r>
    </w:p>
    <w:p w14:paraId="1813DCEF">
      <w:pPr>
        <w:pStyle w:val="32"/>
        <w:numPr>
          <w:ilvl w:val="0"/>
          <w:numId w:val="26"/>
        </w:numPr>
        <w:tabs>
          <w:tab w:val="left" w:pos="682"/>
        </w:tabs>
        <w:topLinePunct/>
        <w:snapToGrid w:val="0"/>
        <w:spacing w:beforeLines="15" w:line="300" w:lineRule="auto"/>
        <w:ind w:hanging="567"/>
        <w:jc w:val="both"/>
        <w:rPr>
          <w:rFonts w:ascii="Times New Roman" w:hAnsi="Times New Roman"/>
          <w:kern w:val="2"/>
          <w:szCs w:val="21"/>
        </w:rPr>
      </w:pPr>
      <w:bookmarkStart w:id="20" w:name="2._Custom-made_devices_shall_be_accompan"/>
      <w:bookmarkEnd w:id="20"/>
      <w:r>
        <w:rPr>
          <w:rFonts w:ascii="Times New Roman" w:hAnsi="Times New Roman"/>
          <w:kern w:val="2"/>
          <w:szCs w:val="21"/>
        </w:rPr>
        <w:t>定制器械应附有附录XIII第1节所述的声明，该声明应提供给以名称、首字母缩略词或数字代码标识的特定患者或使用者。</w:t>
      </w:r>
    </w:p>
    <w:p w14:paraId="729C2401">
      <w:pPr>
        <w:pStyle w:val="8"/>
        <w:topLinePunct/>
        <w:snapToGrid w:val="0"/>
        <w:spacing w:beforeLines="15" w:line="300" w:lineRule="auto"/>
        <w:ind w:firstLine="0"/>
        <w:jc w:val="both"/>
        <w:rPr>
          <w:kern w:val="2"/>
          <w:szCs w:val="21"/>
        </w:rPr>
      </w:pPr>
      <w:bookmarkStart w:id="21" w:name="Member_States_may_require_that_the_manuf"/>
      <w:bookmarkEnd w:id="21"/>
      <w:r>
        <w:rPr>
          <w:kern w:val="2"/>
          <w:szCs w:val="21"/>
        </w:rPr>
        <w:t>成员国可要求定制器械的制造商向主管机构提交在其领土内可获得的此类器械的清单。</w:t>
      </w:r>
    </w:p>
    <w:p w14:paraId="3EF6333F">
      <w:pPr>
        <w:pStyle w:val="32"/>
        <w:numPr>
          <w:ilvl w:val="0"/>
          <w:numId w:val="26"/>
        </w:numPr>
        <w:tabs>
          <w:tab w:val="left" w:pos="682"/>
        </w:tabs>
        <w:topLinePunct/>
        <w:snapToGrid w:val="0"/>
        <w:spacing w:beforeLines="15" w:line="300" w:lineRule="auto"/>
        <w:ind w:hanging="567"/>
        <w:jc w:val="both"/>
        <w:rPr>
          <w:rFonts w:ascii="Times New Roman" w:hAnsi="Times New Roman"/>
          <w:kern w:val="2"/>
          <w:szCs w:val="21"/>
        </w:rPr>
      </w:pPr>
      <w:bookmarkStart w:id="22" w:name="3._At_trade_fairs,_exhibitions,_demonstr"/>
      <w:bookmarkEnd w:id="22"/>
      <w:r>
        <w:rPr>
          <w:rFonts w:ascii="Times New Roman" w:hAnsi="Times New Roman"/>
          <w:kern w:val="2"/>
          <w:szCs w:val="21"/>
        </w:rPr>
        <w:t>在交易会、展览会、展示会或类似活动上，成员国不得制造任何障碍，表明器械不符合本法规要求，但前提是在器械上清楚标明一个明显记号表明该器械仅用于展示或演示目的且在未符合本法规之前不可投入使用。</w:t>
      </w:r>
    </w:p>
    <w:p w14:paraId="4B2FB913">
      <w:pPr>
        <w:snapToGrid w:val="0"/>
        <w:spacing w:beforeLines="15" w:line="300" w:lineRule="auto"/>
        <w:rPr>
          <w:rFonts w:ascii="Times New Roman" w:hAnsi="Times New Roman"/>
          <w:kern w:val="2"/>
          <w:szCs w:val="21"/>
        </w:rPr>
      </w:pPr>
    </w:p>
    <w:p w14:paraId="482A1784">
      <w:pPr>
        <w:snapToGrid w:val="0"/>
        <w:spacing w:beforeLines="15" w:line="300" w:lineRule="auto"/>
        <w:ind w:left="196"/>
        <w:jc w:val="center"/>
        <w:rPr>
          <w:rStyle w:val="48"/>
          <w:b/>
          <w:szCs w:val="21"/>
          <w:lang w:val="zh-CN"/>
        </w:rPr>
      </w:pPr>
      <w:bookmarkStart w:id="23" w:name="Article_20"/>
      <w:bookmarkEnd w:id="23"/>
      <w:r>
        <w:rPr>
          <w:rFonts w:ascii="Times New Roman" w:hAnsi="Times New Roman"/>
          <w:i/>
          <w:kern w:val="2"/>
          <w:szCs w:val="21"/>
        </w:rPr>
        <w:t>第22条</w:t>
      </w:r>
    </w:p>
    <w:p w14:paraId="483FDC50">
      <w:pPr>
        <w:snapToGrid w:val="0"/>
        <w:spacing w:beforeLines="15" w:line="300" w:lineRule="auto"/>
        <w:ind w:left="196"/>
        <w:jc w:val="center"/>
        <w:rPr>
          <w:rStyle w:val="48"/>
          <w:b/>
          <w:szCs w:val="21"/>
          <w:lang w:val="zh-CN"/>
        </w:rPr>
      </w:pPr>
      <w:r>
        <w:rPr>
          <w:rFonts w:ascii="Times New Roman" w:hAnsi="Times New Roman"/>
          <w:b/>
          <w:kern w:val="2"/>
          <w:szCs w:val="21"/>
        </w:rPr>
        <w:t>系统和手术包</w:t>
      </w:r>
    </w:p>
    <w:p w14:paraId="31321E5F">
      <w:pPr>
        <w:pStyle w:val="32"/>
        <w:numPr>
          <w:ilvl w:val="0"/>
          <w:numId w:val="27"/>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任何自然人或法人若根据器械或其他产品的预期用途并在制造商指定的使用限制范围内，将带有CE标识的器械与下列其他器械或产品一起组合，则应起草第2段所述的声明，以将它们作为系统或手术包投放市场：</w:t>
      </w:r>
    </w:p>
    <w:p w14:paraId="1CF73F48">
      <w:pPr>
        <w:pStyle w:val="32"/>
        <w:numPr>
          <w:ilvl w:val="1"/>
          <w:numId w:val="27"/>
        </w:numPr>
        <w:tabs>
          <w:tab w:val="left" w:pos="1246"/>
        </w:tabs>
        <w:topLinePunct/>
        <w:snapToGrid w:val="0"/>
        <w:spacing w:beforeLines="15" w:line="300" w:lineRule="auto"/>
        <w:ind w:left="1241" w:hanging="561"/>
        <w:jc w:val="both"/>
        <w:rPr>
          <w:rFonts w:ascii="Times New Roman" w:hAnsi="Times New Roman"/>
          <w:kern w:val="2"/>
          <w:szCs w:val="21"/>
        </w:rPr>
      </w:pPr>
      <w:r>
        <w:rPr>
          <w:rFonts w:ascii="Times New Roman" w:hAnsi="Times New Roman"/>
          <w:kern w:val="2"/>
          <w:szCs w:val="21"/>
        </w:rPr>
        <w:t>其他带CE标识的器械；</w:t>
      </w:r>
    </w:p>
    <w:p w14:paraId="2D7D88D8">
      <w:pPr>
        <w:pStyle w:val="32"/>
        <w:numPr>
          <w:ilvl w:val="1"/>
          <w:numId w:val="27"/>
        </w:numPr>
        <w:tabs>
          <w:tab w:val="left" w:pos="1246"/>
        </w:tabs>
        <w:topLinePunct/>
        <w:snapToGrid w:val="0"/>
        <w:spacing w:beforeLines="15" w:line="300" w:lineRule="auto"/>
        <w:ind w:left="1241" w:hanging="561"/>
        <w:jc w:val="both"/>
        <w:rPr>
          <w:rFonts w:ascii="Times New Roman" w:hAnsi="Times New Roman"/>
          <w:kern w:val="2"/>
          <w:szCs w:val="21"/>
        </w:rPr>
      </w:pPr>
      <w:r>
        <w:rPr>
          <w:rFonts w:ascii="Times New Roman" w:hAnsi="Times New Roman"/>
          <w:kern w:val="2"/>
          <w:szCs w:val="21"/>
        </w:rPr>
        <w:t>带有符合</w:t>
      </w:r>
      <w:r>
        <w:rPr>
          <w:rFonts w:hint="eastAsia" w:ascii="Times New Roman" w:hAnsi="Times New Roman"/>
          <w:kern w:val="2"/>
          <w:szCs w:val="21"/>
        </w:rPr>
        <w:t>欧盟</w:t>
      </w:r>
      <w:r>
        <w:rPr>
          <w:rFonts w:ascii="Times New Roman" w:hAnsi="Times New Roman"/>
          <w:kern w:val="2"/>
          <w:szCs w:val="21"/>
        </w:rPr>
        <w:t>第2017/</w:t>
      </w:r>
      <w:r>
        <w:rPr>
          <w:rFonts w:hint="eastAsia" w:ascii="Times New Roman" w:hAnsi="Times New Roman"/>
          <w:kern w:val="2"/>
          <w:szCs w:val="21"/>
        </w:rPr>
        <w:t>746</w:t>
      </w:r>
      <w:r>
        <w:rPr>
          <w:rFonts w:ascii="Times New Roman" w:hAnsi="Times New Roman"/>
          <w:kern w:val="2"/>
          <w:szCs w:val="21"/>
        </w:rPr>
        <w:t>号法规的CE标识的体外诊断医疗器械；</w:t>
      </w:r>
    </w:p>
    <w:p w14:paraId="5F02678B">
      <w:pPr>
        <w:pStyle w:val="32"/>
        <w:numPr>
          <w:ilvl w:val="1"/>
          <w:numId w:val="27"/>
        </w:numPr>
        <w:tabs>
          <w:tab w:val="left" w:pos="1246"/>
        </w:tabs>
        <w:topLinePunct/>
        <w:snapToGrid w:val="0"/>
        <w:spacing w:beforeLines="15" w:line="300" w:lineRule="auto"/>
        <w:ind w:left="1241" w:hanging="561"/>
        <w:jc w:val="both"/>
        <w:rPr>
          <w:rFonts w:ascii="Times New Roman" w:hAnsi="Times New Roman"/>
          <w:kern w:val="2"/>
          <w:szCs w:val="21"/>
        </w:rPr>
      </w:pPr>
      <w:r>
        <w:rPr>
          <w:rFonts w:ascii="Times New Roman" w:hAnsi="Times New Roman"/>
          <w:kern w:val="2"/>
          <w:szCs w:val="21"/>
        </w:rPr>
        <w:t>仅在其在医疗程序中使用或证明其在系统或手术包中另外存在时，才符合适用于这些产品的立法的其他产品。</w:t>
      </w:r>
    </w:p>
    <w:p w14:paraId="0F03D719">
      <w:pPr>
        <w:pStyle w:val="32"/>
        <w:numPr>
          <w:ilvl w:val="0"/>
          <w:numId w:val="27"/>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在第1段中所做的说明中，自然人或法人应声明如下：</w:t>
      </w:r>
    </w:p>
    <w:p w14:paraId="405D2905">
      <w:pPr>
        <w:pStyle w:val="32"/>
        <w:numPr>
          <w:ilvl w:val="1"/>
          <w:numId w:val="27"/>
        </w:numPr>
        <w:tabs>
          <w:tab w:val="left" w:pos="1246"/>
        </w:tabs>
        <w:topLinePunct/>
        <w:snapToGrid w:val="0"/>
        <w:spacing w:beforeLines="15" w:line="300" w:lineRule="auto"/>
        <w:ind w:left="1241" w:hanging="561"/>
        <w:jc w:val="both"/>
        <w:rPr>
          <w:rFonts w:ascii="Times New Roman" w:hAnsi="Times New Roman"/>
          <w:kern w:val="2"/>
          <w:szCs w:val="21"/>
        </w:rPr>
      </w:pPr>
      <w:r>
        <w:rPr>
          <w:rFonts w:ascii="Times New Roman" w:hAnsi="Times New Roman"/>
          <w:kern w:val="2"/>
          <w:szCs w:val="21"/>
        </w:rPr>
        <w:t>其已根据制造商的说明验证了器械和其他产品（如适用）间的相互兼容性，并根据这些说明执行了其活动；</w:t>
      </w:r>
    </w:p>
    <w:p w14:paraId="611E0C9A">
      <w:pPr>
        <w:pStyle w:val="32"/>
        <w:numPr>
          <w:ilvl w:val="1"/>
          <w:numId w:val="27"/>
        </w:numPr>
        <w:tabs>
          <w:tab w:val="left" w:pos="1246"/>
        </w:tabs>
        <w:topLinePunct/>
        <w:snapToGrid w:val="0"/>
        <w:spacing w:beforeLines="15" w:line="300" w:lineRule="auto"/>
        <w:ind w:left="1241" w:hanging="561"/>
        <w:jc w:val="both"/>
        <w:rPr>
          <w:rFonts w:ascii="Times New Roman" w:hAnsi="Times New Roman"/>
          <w:kern w:val="2"/>
          <w:szCs w:val="21"/>
        </w:rPr>
      </w:pPr>
      <w:r>
        <w:rPr>
          <w:rFonts w:ascii="Times New Roman" w:hAnsi="Times New Roman"/>
          <w:kern w:val="2"/>
          <w:szCs w:val="21"/>
        </w:rPr>
        <w:t>其将系统或手术包打包并向使用者提供相关信息</w:t>
      </w:r>
      <w:r>
        <w:rPr>
          <w:rFonts w:hint="eastAsia" w:ascii="Times New Roman" w:hAnsi="Times New Roman"/>
          <w:kern w:val="2"/>
          <w:szCs w:val="21"/>
        </w:rPr>
        <w:t>，</w:t>
      </w:r>
      <w:r>
        <w:rPr>
          <w:rFonts w:hint="eastAsia" w:ascii="Times New Roman" w:hAnsi="Times New Roman"/>
          <w:kern w:val="2"/>
          <w:szCs w:val="21"/>
          <w:lang w:val="en-US"/>
        </w:rPr>
        <w:t>其中整合了</w:t>
      </w:r>
      <w:r>
        <w:rPr>
          <w:rFonts w:ascii="Times New Roman" w:hAnsi="Times New Roman"/>
          <w:kern w:val="2"/>
          <w:szCs w:val="21"/>
          <w:lang w:val="en-US"/>
        </w:rPr>
        <w:t>器械或其他</w:t>
      </w:r>
      <w:r>
        <w:rPr>
          <w:rFonts w:hint="eastAsia" w:ascii="Times New Roman" w:hAnsi="Times New Roman"/>
          <w:kern w:val="2"/>
          <w:szCs w:val="21"/>
          <w:lang w:val="en-US"/>
        </w:rPr>
        <w:t>同一包装内</w:t>
      </w:r>
      <w:r>
        <w:rPr>
          <w:rFonts w:ascii="Times New Roman" w:hAnsi="Times New Roman"/>
          <w:kern w:val="2"/>
          <w:szCs w:val="21"/>
          <w:lang w:val="en-US"/>
        </w:rPr>
        <w:t>产品制造商</w:t>
      </w:r>
      <w:r>
        <w:rPr>
          <w:rFonts w:hint="eastAsia" w:ascii="Times New Roman" w:hAnsi="Times New Roman"/>
          <w:kern w:val="2"/>
          <w:szCs w:val="21"/>
          <w:lang w:val="en-US"/>
        </w:rPr>
        <w:t>应当</w:t>
      </w:r>
      <w:r>
        <w:rPr>
          <w:rFonts w:ascii="Times New Roman" w:hAnsi="Times New Roman"/>
          <w:kern w:val="2"/>
          <w:szCs w:val="21"/>
          <w:lang w:val="en-US"/>
        </w:rPr>
        <w:t>供应</w:t>
      </w:r>
      <w:r>
        <w:rPr>
          <w:rFonts w:hint="eastAsia" w:ascii="Times New Roman" w:hAnsi="Times New Roman"/>
          <w:kern w:val="2"/>
          <w:szCs w:val="21"/>
          <w:lang w:val="en-US"/>
        </w:rPr>
        <w:t>的</w:t>
      </w:r>
      <w:r>
        <w:rPr>
          <w:rFonts w:ascii="Times New Roman" w:hAnsi="Times New Roman"/>
          <w:kern w:val="2"/>
          <w:szCs w:val="21"/>
          <w:lang w:val="en-US"/>
        </w:rPr>
        <w:t>信息</w:t>
      </w:r>
      <w:r>
        <w:rPr>
          <w:rFonts w:ascii="Times New Roman" w:hAnsi="Times New Roman"/>
          <w:kern w:val="2"/>
          <w:szCs w:val="21"/>
        </w:rPr>
        <w:t>；</w:t>
      </w:r>
    </w:p>
    <w:p w14:paraId="7169744F">
      <w:pPr>
        <w:pStyle w:val="32"/>
        <w:numPr>
          <w:ilvl w:val="1"/>
          <w:numId w:val="27"/>
        </w:numPr>
        <w:tabs>
          <w:tab w:val="left" w:pos="1246"/>
        </w:tabs>
        <w:topLinePunct/>
        <w:snapToGrid w:val="0"/>
        <w:spacing w:beforeLines="15" w:line="300" w:lineRule="auto"/>
        <w:ind w:left="1241" w:hanging="561"/>
        <w:jc w:val="both"/>
        <w:rPr>
          <w:rFonts w:ascii="Times New Roman" w:hAnsi="Times New Roman"/>
          <w:kern w:val="2"/>
          <w:szCs w:val="21"/>
        </w:rPr>
      </w:pPr>
      <w:r>
        <w:rPr>
          <w:rFonts w:ascii="Times New Roman" w:hAnsi="Times New Roman"/>
          <w:kern w:val="2"/>
          <w:szCs w:val="21"/>
        </w:rPr>
        <w:t>将器械和其他产品（如适用）作为系统或手术包进行组合的活动需要采用适当的内部监测、验证和确认方法。</w:t>
      </w:r>
    </w:p>
    <w:p w14:paraId="4ABD163C">
      <w:pPr>
        <w:pStyle w:val="32"/>
        <w:numPr>
          <w:ilvl w:val="0"/>
          <w:numId w:val="27"/>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对第1段所述的系统或手术包进行消毒</w:t>
      </w:r>
      <w:r>
        <w:rPr>
          <w:rFonts w:hint="eastAsia" w:ascii="Times New Roman" w:hAnsi="Times New Roman"/>
          <w:kern w:val="2"/>
          <w:szCs w:val="21"/>
        </w:rPr>
        <w:t>并</w:t>
      </w:r>
      <w:r>
        <w:rPr>
          <w:rFonts w:ascii="Times New Roman" w:hAnsi="Times New Roman"/>
          <w:kern w:val="2"/>
          <w:szCs w:val="21"/>
        </w:rPr>
        <w:t>将其投放市场的任何自然人或法人，应在其选择下遵循附录IX或附录XI的A部分所述的程序之一。这些程序的应用和公告机构的参与应限于确保灭菌直至无菌包装打开或损坏的程序层面。该自然人或法人应起草一份声明书，声明已按照制造商的说明进行灭菌。</w:t>
      </w:r>
    </w:p>
    <w:p w14:paraId="7A02FE53">
      <w:pPr>
        <w:pStyle w:val="32"/>
        <w:numPr>
          <w:ilvl w:val="0"/>
          <w:numId w:val="27"/>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若系统或手术包包含不带CE标识的器械，或所选择的器械组合由于其原始预期用途而不兼容，或未根据制造商的说明进行消毒，则系统或手术包应视为独立的器械，并应依照第52条进行相关的符合性评估流程。</w:t>
      </w:r>
      <w:r>
        <w:rPr>
          <w:rFonts w:hint="eastAsia" w:ascii="Times New Roman" w:hAnsi="Times New Roman"/>
          <w:kern w:val="2"/>
          <w:szCs w:val="21"/>
        </w:rPr>
        <w:t>此外，</w:t>
      </w:r>
      <w:r>
        <w:rPr>
          <w:rFonts w:ascii="Times New Roman" w:hAnsi="Times New Roman"/>
          <w:kern w:val="2"/>
          <w:szCs w:val="21"/>
        </w:rPr>
        <w:t>自然人或法人应承担制造商的义务。</w:t>
      </w:r>
    </w:p>
    <w:p w14:paraId="19E54ECA">
      <w:pPr>
        <w:pStyle w:val="32"/>
        <w:numPr>
          <w:ilvl w:val="0"/>
          <w:numId w:val="27"/>
        </w:numPr>
        <w:tabs>
          <w:tab w:val="left" w:pos="682"/>
        </w:tabs>
        <w:topLinePunct/>
        <w:snapToGrid w:val="0"/>
        <w:spacing w:beforeLines="10" w:line="300" w:lineRule="auto"/>
        <w:ind w:hanging="567"/>
        <w:jc w:val="both"/>
        <w:rPr>
          <w:rFonts w:ascii="Times New Roman" w:hAnsi="Times New Roman"/>
          <w:kern w:val="2"/>
          <w:szCs w:val="21"/>
        </w:rPr>
      </w:pPr>
      <w:r>
        <w:rPr>
          <w:rFonts w:ascii="Times New Roman" w:hAnsi="Times New Roman"/>
          <w:kern w:val="2"/>
          <w:szCs w:val="21"/>
        </w:rPr>
        <w:t>本条第1段所述的系统或手术包本身不得带</w:t>
      </w:r>
      <w:r>
        <w:rPr>
          <w:rFonts w:hint="eastAsia" w:ascii="Times New Roman" w:hAnsi="Times New Roman"/>
          <w:kern w:val="2"/>
          <w:szCs w:val="21"/>
        </w:rPr>
        <w:t>附加</w:t>
      </w:r>
      <w:r>
        <w:rPr>
          <w:rFonts w:ascii="Times New Roman" w:hAnsi="Times New Roman"/>
          <w:kern w:val="2"/>
          <w:szCs w:val="21"/>
        </w:rPr>
        <w:t>CE标识，但应带有本条第1段和第3段所述人员的姓名、注册商标名称或注册商标以及可与其联系并确定该人员位置的地址。系统或手术包应附有附录I第23节所述的资料。在将系统或手术包组合后，在适用于根据第10（8）条组合的器械的期间，将本条第2段所述的声明交由主管机构保管处置。若这些期间不同，则应采用最长的期间。</w:t>
      </w:r>
    </w:p>
    <w:p w14:paraId="6B0FC38B">
      <w:pPr>
        <w:snapToGrid w:val="0"/>
        <w:spacing w:beforeLines="10" w:line="300" w:lineRule="auto"/>
        <w:ind w:left="196"/>
        <w:jc w:val="center"/>
        <w:rPr>
          <w:rFonts w:ascii="Times New Roman" w:hAnsi="Times New Roman"/>
          <w:i/>
          <w:kern w:val="2"/>
          <w:szCs w:val="21"/>
        </w:rPr>
      </w:pPr>
    </w:p>
    <w:p w14:paraId="77053948">
      <w:pPr>
        <w:snapToGrid w:val="0"/>
        <w:spacing w:beforeLines="10" w:line="300" w:lineRule="auto"/>
        <w:ind w:left="196"/>
        <w:jc w:val="center"/>
        <w:rPr>
          <w:rFonts w:ascii="Times New Roman" w:hAnsi="Times New Roman"/>
          <w:i/>
          <w:kern w:val="2"/>
          <w:szCs w:val="21"/>
        </w:rPr>
      </w:pPr>
      <w:r>
        <w:rPr>
          <w:rFonts w:ascii="Times New Roman" w:hAnsi="Times New Roman"/>
          <w:i/>
          <w:kern w:val="2"/>
          <w:szCs w:val="21"/>
        </w:rPr>
        <w:t>第23条</w:t>
      </w:r>
    </w:p>
    <w:p w14:paraId="0B062E5E">
      <w:pPr>
        <w:snapToGrid w:val="0"/>
        <w:spacing w:beforeLines="10" w:line="300" w:lineRule="auto"/>
        <w:ind w:left="196"/>
        <w:jc w:val="center"/>
        <w:rPr>
          <w:rStyle w:val="48"/>
          <w:b/>
          <w:szCs w:val="21"/>
        </w:rPr>
      </w:pPr>
      <w:r>
        <w:rPr>
          <w:rFonts w:ascii="Times New Roman" w:hAnsi="Times New Roman"/>
          <w:b/>
          <w:kern w:val="2"/>
          <w:szCs w:val="21"/>
        </w:rPr>
        <w:t>部件和组件</w:t>
      </w:r>
    </w:p>
    <w:p w14:paraId="4FED90DB">
      <w:pPr>
        <w:pStyle w:val="32"/>
        <w:numPr>
          <w:ilvl w:val="0"/>
          <w:numId w:val="28"/>
        </w:numPr>
        <w:tabs>
          <w:tab w:val="left" w:pos="682"/>
        </w:tabs>
        <w:topLinePunct/>
        <w:snapToGrid w:val="0"/>
        <w:spacing w:beforeLines="10" w:line="300" w:lineRule="auto"/>
        <w:ind w:hanging="567"/>
        <w:jc w:val="both"/>
        <w:rPr>
          <w:rFonts w:ascii="Times New Roman" w:hAnsi="Times New Roman"/>
          <w:kern w:val="2"/>
          <w:szCs w:val="21"/>
        </w:rPr>
      </w:pPr>
      <w:r>
        <w:rPr>
          <w:rFonts w:ascii="Times New Roman" w:hAnsi="Times New Roman"/>
          <w:kern w:val="2"/>
          <w:szCs w:val="21"/>
        </w:rPr>
        <w:t>任何在市场上提供专门用于取代相同或类似的有缺陷或磨损器械组成部分或组件的物品，以维持或恢复器械功能的自然人或法人，应在不改变器械性能或安全特征或其预期用途情况下，保证该物品对器械安全与性能没有不利影响。支持性证据应可供成员国主管机构随时获取。</w:t>
      </w:r>
    </w:p>
    <w:p w14:paraId="70CBCC56">
      <w:pPr>
        <w:pStyle w:val="32"/>
        <w:numPr>
          <w:ilvl w:val="0"/>
          <w:numId w:val="28"/>
        </w:numPr>
        <w:tabs>
          <w:tab w:val="left" w:pos="682"/>
        </w:tabs>
        <w:topLinePunct/>
        <w:snapToGrid w:val="0"/>
        <w:spacing w:beforeLines="10" w:line="300" w:lineRule="auto"/>
        <w:ind w:hanging="567"/>
        <w:jc w:val="both"/>
        <w:rPr>
          <w:rFonts w:ascii="Times New Roman" w:hAnsi="Times New Roman"/>
          <w:kern w:val="2"/>
          <w:szCs w:val="21"/>
        </w:rPr>
      </w:pPr>
      <w:r>
        <w:rPr>
          <w:rFonts w:ascii="Times New Roman" w:hAnsi="Times New Roman"/>
          <w:kern w:val="2"/>
          <w:szCs w:val="21"/>
        </w:rPr>
        <w:t>专门用于替代器械部件或组件和显著改变器械性能或安全特征或预期用途的物品，应视为器械且应满足本法规规定的要求。</w:t>
      </w:r>
    </w:p>
    <w:p w14:paraId="78AF1C92">
      <w:pPr>
        <w:snapToGrid w:val="0"/>
        <w:spacing w:beforeLines="10" w:line="300" w:lineRule="auto"/>
        <w:jc w:val="center"/>
        <w:rPr>
          <w:rFonts w:ascii="Times New Roman" w:hAnsi="Times New Roman"/>
          <w:i/>
          <w:kern w:val="2"/>
          <w:szCs w:val="21"/>
        </w:rPr>
      </w:pPr>
    </w:p>
    <w:p w14:paraId="02C718F3">
      <w:pPr>
        <w:snapToGrid w:val="0"/>
        <w:spacing w:beforeLines="10" w:line="300" w:lineRule="auto"/>
        <w:jc w:val="center"/>
        <w:rPr>
          <w:rFonts w:ascii="Times New Roman" w:hAnsi="Times New Roman"/>
          <w:i/>
          <w:kern w:val="2"/>
          <w:szCs w:val="21"/>
        </w:rPr>
      </w:pPr>
      <w:r>
        <w:rPr>
          <w:rFonts w:ascii="Times New Roman" w:hAnsi="Times New Roman"/>
          <w:i/>
          <w:kern w:val="2"/>
          <w:szCs w:val="21"/>
        </w:rPr>
        <w:t>第24条</w:t>
      </w:r>
    </w:p>
    <w:p w14:paraId="56ABBE65">
      <w:pPr>
        <w:snapToGrid w:val="0"/>
        <w:spacing w:beforeLines="10" w:line="300" w:lineRule="auto"/>
        <w:jc w:val="center"/>
        <w:rPr>
          <w:rFonts w:ascii="Times New Roman" w:hAnsi="Times New Roman"/>
          <w:b/>
          <w:kern w:val="2"/>
          <w:szCs w:val="21"/>
        </w:rPr>
      </w:pPr>
      <w:r>
        <w:rPr>
          <w:rFonts w:ascii="Times New Roman" w:hAnsi="Times New Roman"/>
          <w:b/>
          <w:kern w:val="2"/>
          <w:szCs w:val="21"/>
        </w:rPr>
        <w:t>自由流通</w:t>
      </w:r>
    </w:p>
    <w:p w14:paraId="21754973">
      <w:pPr>
        <w:pStyle w:val="8"/>
        <w:topLinePunct/>
        <w:snapToGrid w:val="0"/>
        <w:spacing w:beforeLines="10" w:line="300" w:lineRule="auto"/>
        <w:ind w:left="113" w:firstLine="0"/>
        <w:jc w:val="both"/>
        <w:rPr>
          <w:kern w:val="2"/>
          <w:szCs w:val="21"/>
        </w:rPr>
      </w:pPr>
      <w:r>
        <w:rPr>
          <w:kern w:val="2"/>
          <w:szCs w:val="21"/>
        </w:rPr>
        <w:t>除非本法规另有规定，否则成员国不得拒绝、禁止或限制在其领土内提供或使用符合本法规要求的器械。</w:t>
      </w:r>
    </w:p>
    <w:p w14:paraId="2CA67D0A">
      <w:pPr>
        <w:pStyle w:val="2"/>
        <w:spacing w:beforeLines="10" w:line="300" w:lineRule="auto"/>
        <w:rPr>
          <w:sz w:val="21"/>
          <w:szCs w:val="21"/>
        </w:rPr>
      </w:pPr>
      <w:bookmarkStart w:id="24" w:name="_Toc477512394"/>
    </w:p>
    <w:p w14:paraId="6CFE2065">
      <w:pPr>
        <w:pStyle w:val="2"/>
        <w:spacing w:beforeLines="10" w:line="300" w:lineRule="auto"/>
        <w:rPr>
          <w:rStyle w:val="48"/>
          <w:sz w:val="24"/>
          <w:szCs w:val="24"/>
        </w:rPr>
      </w:pPr>
      <w:r>
        <w:rPr>
          <w:sz w:val="24"/>
          <w:szCs w:val="24"/>
        </w:rPr>
        <w:t>第III章</w:t>
      </w:r>
      <w:r>
        <w:rPr>
          <w:sz w:val="24"/>
          <w:szCs w:val="24"/>
        </w:rPr>
        <w:br w:type="textWrapping"/>
      </w:r>
      <w:r>
        <w:rPr>
          <w:sz w:val="24"/>
          <w:szCs w:val="24"/>
        </w:rPr>
        <w:t>器械的标识和可追溯性、器械和经济运营商的登记、安全和临床性能</w:t>
      </w:r>
      <w:r>
        <w:rPr>
          <w:rFonts w:hint="eastAsia"/>
          <w:sz w:val="24"/>
          <w:szCs w:val="24"/>
        </w:rPr>
        <w:t>总结</w:t>
      </w:r>
      <w:r>
        <w:rPr>
          <w:sz w:val="24"/>
          <w:szCs w:val="24"/>
        </w:rPr>
        <w:t>、欧洲医疗器械数据库</w:t>
      </w:r>
      <w:bookmarkEnd w:id="24"/>
    </w:p>
    <w:p w14:paraId="7784605E">
      <w:pPr>
        <w:snapToGrid w:val="0"/>
        <w:spacing w:beforeLines="10" w:line="300" w:lineRule="auto"/>
        <w:jc w:val="center"/>
        <w:rPr>
          <w:rFonts w:ascii="Times New Roman" w:hAnsi="Times New Roman"/>
          <w:i/>
          <w:kern w:val="2"/>
          <w:szCs w:val="21"/>
        </w:rPr>
      </w:pPr>
    </w:p>
    <w:p w14:paraId="254064AC">
      <w:pPr>
        <w:snapToGrid w:val="0"/>
        <w:spacing w:beforeLines="10" w:line="300" w:lineRule="auto"/>
        <w:jc w:val="center"/>
        <w:rPr>
          <w:rFonts w:ascii="Times New Roman" w:hAnsi="Times New Roman"/>
          <w:i/>
          <w:kern w:val="2"/>
          <w:szCs w:val="21"/>
        </w:rPr>
      </w:pPr>
      <w:r>
        <w:rPr>
          <w:rFonts w:ascii="Times New Roman" w:hAnsi="Times New Roman"/>
          <w:i/>
          <w:kern w:val="2"/>
          <w:szCs w:val="21"/>
        </w:rPr>
        <w:t>第25条</w:t>
      </w:r>
    </w:p>
    <w:p w14:paraId="3E83D04F">
      <w:pPr>
        <w:snapToGrid w:val="0"/>
        <w:spacing w:beforeLines="10" w:line="300" w:lineRule="auto"/>
        <w:jc w:val="center"/>
        <w:rPr>
          <w:rFonts w:ascii="Times New Roman" w:hAnsi="Times New Roman"/>
          <w:b/>
          <w:kern w:val="2"/>
          <w:szCs w:val="21"/>
        </w:rPr>
      </w:pPr>
      <w:r>
        <w:rPr>
          <w:rFonts w:ascii="Times New Roman" w:hAnsi="Times New Roman"/>
          <w:b/>
          <w:kern w:val="2"/>
          <w:szCs w:val="21"/>
        </w:rPr>
        <w:t>供应链中标识</w:t>
      </w:r>
    </w:p>
    <w:p w14:paraId="25D5CC4E">
      <w:pPr>
        <w:pStyle w:val="32"/>
        <w:numPr>
          <w:ilvl w:val="0"/>
          <w:numId w:val="29"/>
        </w:numPr>
        <w:tabs>
          <w:tab w:val="left" w:pos="682"/>
        </w:tabs>
        <w:topLinePunct/>
        <w:snapToGrid w:val="0"/>
        <w:spacing w:beforeLines="10" w:line="300" w:lineRule="auto"/>
        <w:ind w:hanging="567"/>
        <w:jc w:val="both"/>
        <w:rPr>
          <w:rFonts w:ascii="Times New Roman" w:hAnsi="Times New Roman"/>
          <w:kern w:val="2"/>
          <w:szCs w:val="21"/>
        </w:rPr>
      </w:pPr>
      <w:r>
        <w:rPr>
          <w:rFonts w:ascii="Times New Roman" w:hAnsi="Times New Roman"/>
          <w:kern w:val="2"/>
          <w:szCs w:val="21"/>
        </w:rPr>
        <w:t>经销商和进口商应与制造商或授权代表合作，以实现器械适当水平的可追溯性。</w:t>
      </w:r>
    </w:p>
    <w:p w14:paraId="6DF38A09">
      <w:pPr>
        <w:pStyle w:val="32"/>
        <w:numPr>
          <w:ilvl w:val="0"/>
          <w:numId w:val="29"/>
        </w:numPr>
        <w:tabs>
          <w:tab w:val="left" w:pos="682"/>
        </w:tabs>
        <w:topLinePunct/>
        <w:snapToGrid w:val="0"/>
        <w:spacing w:beforeLines="10" w:line="300" w:lineRule="auto"/>
        <w:ind w:hanging="567"/>
        <w:jc w:val="both"/>
        <w:rPr>
          <w:rFonts w:ascii="Times New Roman" w:hAnsi="Times New Roman"/>
          <w:kern w:val="2"/>
          <w:szCs w:val="21"/>
        </w:rPr>
      </w:pPr>
      <w:r>
        <w:rPr>
          <w:rFonts w:ascii="Times New Roman" w:hAnsi="Times New Roman"/>
          <w:kern w:val="2"/>
          <w:szCs w:val="21"/>
        </w:rPr>
        <w:t>在第10（8）条所述期限，经济运营商应能够向主管机构确定以下内容：</w:t>
      </w:r>
    </w:p>
    <w:p w14:paraId="049DAD2A">
      <w:pPr>
        <w:pStyle w:val="32"/>
        <w:numPr>
          <w:ilvl w:val="1"/>
          <w:numId w:val="29"/>
        </w:numPr>
        <w:tabs>
          <w:tab w:val="left" w:pos="1248"/>
        </w:tabs>
        <w:topLinePunct/>
        <w:snapToGrid w:val="0"/>
        <w:spacing w:beforeLines="10" w:line="300" w:lineRule="auto"/>
        <w:ind w:left="1247"/>
        <w:jc w:val="both"/>
        <w:rPr>
          <w:rFonts w:ascii="Times New Roman" w:hAnsi="Times New Roman"/>
          <w:kern w:val="2"/>
          <w:szCs w:val="21"/>
        </w:rPr>
      </w:pPr>
      <w:r>
        <w:rPr>
          <w:rFonts w:ascii="Times New Roman" w:hAnsi="Times New Roman"/>
          <w:kern w:val="2"/>
          <w:szCs w:val="21"/>
        </w:rPr>
        <w:t>其直接提供器械的任何经济运营商；</w:t>
      </w:r>
    </w:p>
    <w:p w14:paraId="788E1CE1">
      <w:pPr>
        <w:pStyle w:val="32"/>
        <w:numPr>
          <w:ilvl w:val="1"/>
          <w:numId w:val="29"/>
        </w:numPr>
        <w:tabs>
          <w:tab w:val="left" w:pos="1248"/>
        </w:tabs>
        <w:topLinePunct/>
        <w:snapToGrid w:val="0"/>
        <w:spacing w:beforeLines="10" w:line="300" w:lineRule="auto"/>
        <w:ind w:left="1247"/>
        <w:jc w:val="both"/>
        <w:rPr>
          <w:rFonts w:ascii="Times New Roman" w:hAnsi="Times New Roman"/>
          <w:kern w:val="2"/>
          <w:szCs w:val="21"/>
        </w:rPr>
      </w:pPr>
      <w:r>
        <w:rPr>
          <w:rFonts w:ascii="Times New Roman" w:hAnsi="Times New Roman"/>
          <w:kern w:val="2"/>
          <w:szCs w:val="21"/>
        </w:rPr>
        <w:t>直接向其提供器械的任何经济运营商；</w:t>
      </w:r>
    </w:p>
    <w:p w14:paraId="06896137">
      <w:pPr>
        <w:pStyle w:val="32"/>
        <w:numPr>
          <w:ilvl w:val="1"/>
          <w:numId w:val="29"/>
        </w:numPr>
        <w:tabs>
          <w:tab w:val="left" w:pos="1248"/>
        </w:tabs>
        <w:topLinePunct/>
        <w:snapToGrid w:val="0"/>
        <w:spacing w:beforeLines="10" w:line="300" w:lineRule="auto"/>
        <w:ind w:left="1247"/>
        <w:jc w:val="both"/>
        <w:rPr>
          <w:rFonts w:ascii="Times New Roman" w:hAnsi="Times New Roman"/>
          <w:kern w:val="2"/>
          <w:szCs w:val="21"/>
        </w:rPr>
      </w:pPr>
      <w:r>
        <w:rPr>
          <w:rFonts w:ascii="Times New Roman" w:hAnsi="Times New Roman"/>
          <w:kern w:val="2"/>
          <w:szCs w:val="21"/>
        </w:rPr>
        <w:t>其直接提供器械的任何卫生机构或卫生保健专业人员。</w:t>
      </w:r>
    </w:p>
    <w:p w14:paraId="78BD786F">
      <w:pPr>
        <w:snapToGrid w:val="0"/>
        <w:spacing w:beforeLines="10" w:line="300" w:lineRule="auto"/>
        <w:rPr>
          <w:rFonts w:ascii="Times New Roman" w:hAnsi="Times New Roman"/>
          <w:kern w:val="2"/>
          <w:szCs w:val="21"/>
        </w:rPr>
      </w:pPr>
    </w:p>
    <w:p w14:paraId="59639A7E">
      <w:pPr>
        <w:snapToGrid w:val="0"/>
        <w:spacing w:beforeLines="10" w:line="300" w:lineRule="auto"/>
        <w:ind w:left="195"/>
        <w:jc w:val="center"/>
        <w:rPr>
          <w:rStyle w:val="48"/>
          <w:b/>
          <w:szCs w:val="21"/>
        </w:rPr>
      </w:pPr>
      <w:r>
        <w:rPr>
          <w:rFonts w:ascii="Times New Roman" w:hAnsi="Times New Roman"/>
          <w:i/>
          <w:kern w:val="2"/>
          <w:szCs w:val="21"/>
        </w:rPr>
        <w:t>第26条</w:t>
      </w:r>
    </w:p>
    <w:p w14:paraId="183DCB03">
      <w:pPr>
        <w:snapToGrid w:val="0"/>
        <w:spacing w:beforeLines="10" w:line="300" w:lineRule="auto"/>
        <w:ind w:left="196"/>
        <w:jc w:val="center"/>
        <w:rPr>
          <w:rStyle w:val="48"/>
          <w:b/>
          <w:szCs w:val="21"/>
        </w:rPr>
      </w:pPr>
      <w:r>
        <w:rPr>
          <w:rFonts w:ascii="Times New Roman" w:hAnsi="Times New Roman"/>
          <w:b/>
          <w:kern w:val="2"/>
          <w:szCs w:val="21"/>
        </w:rPr>
        <w:t>医疗器械的命名</w:t>
      </w:r>
    </w:p>
    <w:p w14:paraId="00EE3155">
      <w:pPr>
        <w:pStyle w:val="8"/>
        <w:topLinePunct/>
        <w:snapToGrid w:val="0"/>
        <w:spacing w:beforeLines="10" w:line="300" w:lineRule="auto"/>
        <w:ind w:left="113" w:hanging="11"/>
        <w:jc w:val="both"/>
        <w:rPr>
          <w:kern w:val="2"/>
          <w:szCs w:val="21"/>
        </w:rPr>
      </w:pPr>
      <w:r>
        <w:rPr>
          <w:kern w:val="2"/>
          <w:szCs w:val="21"/>
        </w:rPr>
        <w:t>为协助根据第33条设立的欧洲医疗器械数据库</w:t>
      </w:r>
      <w:r>
        <w:rPr>
          <w:rFonts w:hint="eastAsia"/>
          <w:kern w:val="2"/>
          <w:szCs w:val="21"/>
        </w:rPr>
        <w:t>“</w:t>
      </w:r>
      <w:r>
        <w:rPr>
          <w:kern w:val="2"/>
          <w:szCs w:val="21"/>
        </w:rPr>
        <w:t>Eudamed</w:t>
      </w:r>
      <w:r>
        <w:rPr>
          <w:rFonts w:hint="eastAsia"/>
          <w:kern w:val="2"/>
          <w:szCs w:val="21"/>
        </w:rPr>
        <w:t>”</w:t>
      </w:r>
      <w:r>
        <w:rPr>
          <w:kern w:val="2"/>
          <w:szCs w:val="21"/>
        </w:rPr>
        <w:t>的运作，委员会应确保国际公认的医疗器械命名应就本法规而言，免费提供给需要使用命名的制造商和其他自然人或法人。委员会还应努力确保在合理可行的情况下免费向其他利益相关方提供这一命名。</w:t>
      </w:r>
    </w:p>
    <w:p w14:paraId="4C645A13">
      <w:pPr>
        <w:snapToGrid w:val="0"/>
        <w:spacing w:beforeLines="20" w:line="300" w:lineRule="auto"/>
        <w:ind w:left="191"/>
        <w:jc w:val="center"/>
        <w:rPr>
          <w:rStyle w:val="48"/>
          <w:b/>
          <w:szCs w:val="21"/>
        </w:rPr>
      </w:pPr>
      <w:r>
        <w:rPr>
          <w:rFonts w:ascii="Times New Roman" w:hAnsi="Times New Roman"/>
          <w:i/>
          <w:kern w:val="2"/>
          <w:szCs w:val="21"/>
        </w:rPr>
        <w:t>第27条</w:t>
      </w:r>
    </w:p>
    <w:p w14:paraId="5F3F66DA">
      <w:pPr>
        <w:snapToGrid w:val="0"/>
        <w:spacing w:beforeLines="20" w:line="300" w:lineRule="auto"/>
        <w:ind w:left="196"/>
        <w:jc w:val="center"/>
        <w:rPr>
          <w:rStyle w:val="48"/>
          <w:b/>
          <w:szCs w:val="21"/>
        </w:rPr>
      </w:pPr>
      <w:r>
        <w:rPr>
          <w:rFonts w:ascii="Times New Roman" w:hAnsi="Times New Roman"/>
          <w:b/>
          <w:kern w:val="2"/>
          <w:szCs w:val="21"/>
        </w:rPr>
        <w:t>唯一器械标识系统</w:t>
      </w:r>
    </w:p>
    <w:p w14:paraId="0E2F05AB">
      <w:pPr>
        <w:pStyle w:val="32"/>
        <w:numPr>
          <w:ilvl w:val="0"/>
          <w:numId w:val="30"/>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附录VI第C部分中说明的唯一器械标识系统（‘UDI’系统）应允许标识除定制和研究器械以外的器械并促进该器械的可追溯性，此外还应包括以下内容：</w:t>
      </w:r>
    </w:p>
    <w:p w14:paraId="05B03246">
      <w:pPr>
        <w:pStyle w:val="32"/>
        <w:numPr>
          <w:ilvl w:val="1"/>
          <w:numId w:val="30"/>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UDI的包括以下几点：</w:t>
      </w:r>
    </w:p>
    <w:p w14:paraId="00C30EA1">
      <w:pPr>
        <w:pStyle w:val="32"/>
        <w:numPr>
          <w:ilvl w:val="2"/>
          <w:numId w:val="30"/>
        </w:numPr>
        <w:tabs>
          <w:tab w:val="left" w:pos="1816"/>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特定于某一制造商和器械的UDI器械标识符（‘UDI-DI’），提供附录VI第B部分所述信息访问途径；</w:t>
      </w:r>
    </w:p>
    <w:p w14:paraId="2B8CAE66">
      <w:pPr>
        <w:pStyle w:val="32"/>
        <w:numPr>
          <w:ilvl w:val="2"/>
          <w:numId w:val="30"/>
        </w:numPr>
        <w:tabs>
          <w:tab w:val="left" w:pos="1816"/>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UDI生产标识符（‘UDI-PI’），用于标识所生产的器械单元以及附录VI第C部分中规定的包装后器械（若适用）；</w:t>
      </w:r>
    </w:p>
    <w:p w14:paraId="72C3863C">
      <w:pPr>
        <w:pStyle w:val="32"/>
        <w:numPr>
          <w:ilvl w:val="1"/>
          <w:numId w:val="30"/>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将UDI应用于器械的标签或其包装上；</w:t>
      </w:r>
    </w:p>
    <w:p w14:paraId="6861727D">
      <w:pPr>
        <w:pStyle w:val="32"/>
        <w:numPr>
          <w:ilvl w:val="1"/>
          <w:numId w:val="30"/>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经济运营商、卫生机构和卫生专业人员根据本条第8和9段规定的条件储存UDI；</w:t>
      </w:r>
    </w:p>
    <w:p w14:paraId="784F1E95">
      <w:pPr>
        <w:pStyle w:val="32"/>
        <w:numPr>
          <w:ilvl w:val="1"/>
          <w:numId w:val="30"/>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根据第28条为唯一器械标识建立UDI电子系统（</w:t>
      </w:r>
      <w:r>
        <w:rPr>
          <w:rFonts w:hint="eastAsia" w:ascii="Times New Roman" w:hAnsi="Times New Roman"/>
          <w:kern w:val="2"/>
          <w:szCs w:val="21"/>
        </w:rPr>
        <w:t>“</w:t>
      </w:r>
      <w:r>
        <w:rPr>
          <w:rFonts w:ascii="Times New Roman" w:hAnsi="Times New Roman"/>
          <w:kern w:val="2"/>
          <w:szCs w:val="21"/>
        </w:rPr>
        <w:t>UDI数据库</w:t>
      </w:r>
      <w:r>
        <w:rPr>
          <w:rFonts w:hint="eastAsia" w:ascii="Times New Roman" w:hAnsi="Times New Roman"/>
          <w:kern w:val="2"/>
          <w:szCs w:val="21"/>
        </w:rPr>
        <w:t>”</w:t>
      </w:r>
      <w:r>
        <w:rPr>
          <w:rFonts w:ascii="Times New Roman" w:hAnsi="Times New Roman"/>
          <w:kern w:val="2"/>
          <w:szCs w:val="21"/>
        </w:rPr>
        <w:t>）。</w:t>
      </w:r>
    </w:p>
    <w:p w14:paraId="0EC03D9F">
      <w:pPr>
        <w:pStyle w:val="32"/>
        <w:numPr>
          <w:ilvl w:val="0"/>
          <w:numId w:val="30"/>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委员会应通过实施细则指定一个或多个实体来根据本法规规定操作一个UDI分配系统（委任实体）。实体应满足以下所有标准：</w:t>
      </w:r>
    </w:p>
    <w:p w14:paraId="146D6726">
      <w:pPr>
        <w:pStyle w:val="32"/>
        <w:numPr>
          <w:ilvl w:val="1"/>
          <w:numId w:val="30"/>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实体是具有法人资格的组织；</w:t>
      </w:r>
    </w:p>
    <w:p w14:paraId="2AE588D2">
      <w:pPr>
        <w:pStyle w:val="32"/>
        <w:numPr>
          <w:ilvl w:val="1"/>
          <w:numId w:val="30"/>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其UDI分配系统足以根据本法规要求，在从分销到使用的整个过程中标识器械；</w:t>
      </w:r>
    </w:p>
    <w:p w14:paraId="53E91C6A">
      <w:pPr>
        <w:pStyle w:val="32"/>
        <w:numPr>
          <w:ilvl w:val="1"/>
          <w:numId w:val="30"/>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其UDI分配系统符合相关国际标准；</w:t>
      </w:r>
    </w:p>
    <w:p w14:paraId="3F7301E5">
      <w:pPr>
        <w:pStyle w:val="32"/>
        <w:numPr>
          <w:ilvl w:val="1"/>
          <w:numId w:val="30"/>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该实体可根据一组预定的和透明的条款和条件，将UDI分配系统的访问权限提供给所有相关使用者；</w:t>
      </w:r>
    </w:p>
    <w:p w14:paraId="754F38F1">
      <w:pPr>
        <w:pStyle w:val="32"/>
        <w:numPr>
          <w:ilvl w:val="1"/>
          <w:numId w:val="30"/>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该实体做出以下几点承诺：</w:t>
      </w:r>
    </w:p>
    <w:p w14:paraId="715B0CDD">
      <w:pPr>
        <w:pStyle w:val="32"/>
        <w:numPr>
          <w:ilvl w:val="2"/>
          <w:numId w:val="30"/>
        </w:numPr>
        <w:tabs>
          <w:tab w:val="left" w:pos="1816"/>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在得到委任后，应能够运作其UDI分配系统至少</w:t>
      </w:r>
      <w:r>
        <w:rPr>
          <w:rFonts w:hint="eastAsia" w:ascii="Times New Roman" w:hAnsi="Times New Roman"/>
          <w:kern w:val="2"/>
          <w:szCs w:val="21"/>
        </w:rPr>
        <w:t>10</w:t>
      </w:r>
      <w:r>
        <w:rPr>
          <w:rFonts w:ascii="Times New Roman" w:hAnsi="Times New Roman"/>
          <w:kern w:val="2"/>
          <w:szCs w:val="21"/>
        </w:rPr>
        <w:t>年；</w:t>
      </w:r>
    </w:p>
    <w:p w14:paraId="76CD1C9B">
      <w:pPr>
        <w:pStyle w:val="32"/>
        <w:numPr>
          <w:ilvl w:val="2"/>
          <w:numId w:val="30"/>
        </w:numPr>
        <w:tabs>
          <w:tab w:val="left" w:pos="1816"/>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提供给委员会和各成员国使用，并应要求，提供UDI分配系统的相关信息；</w:t>
      </w:r>
    </w:p>
    <w:p w14:paraId="49B630E2">
      <w:pPr>
        <w:pStyle w:val="32"/>
        <w:numPr>
          <w:ilvl w:val="2"/>
          <w:numId w:val="30"/>
        </w:numPr>
        <w:tabs>
          <w:tab w:val="left" w:pos="1816"/>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保持遵守指定标准和指定条款。</w:t>
      </w:r>
    </w:p>
    <w:p w14:paraId="418981A1">
      <w:pPr>
        <w:pStyle w:val="8"/>
        <w:topLinePunct/>
        <w:snapToGrid w:val="0"/>
        <w:spacing w:beforeLines="20" w:line="300" w:lineRule="auto"/>
        <w:ind w:firstLine="0"/>
        <w:jc w:val="both"/>
        <w:rPr>
          <w:kern w:val="2"/>
          <w:szCs w:val="21"/>
        </w:rPr>
      </w:pPr>
      <w:r>
        <w:rPr>
          <w:kern w:val="2"/>
          <w:szCs w:val="21"/>
        </w:rPr>
        <w:t>委任</w:t>
      </w:r>
      <w:r>
        <w:rPr>
          <w:rFonts w:hint="eastAsia"/>
          <w:kern w:val="2"/>
          <w:szCs w:val="21"/>
        </w:rPr>
        <w:t>签发</w:t>
      </w:r>
      <w:r>
        <w:rPr>
          <w:kern w:val="2"/>
          <w:szCs w:val="21"/>
        </w:rPr>
        <w:t>实体时，委员会应努力确保无论委任的实体使用何种系统，如附录VI第C部分所定义的UDI载体均能够通过通用方式可读，并可为经济运营商和卫生机构减少财务和行政负担。</w:t>
      </w:r>
    </w:p>
    <w:p w14:paraId="3A90AF0B">
      <w:pPr>
        <w:pStyle w:val="32"/>
        <w:numPr>
          <w:ilvl w:val="0"/>
          <w:numId w:val="30"/>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在将器械（除了定制器械外）投放于市场前，制造商应向该器械和（如适用）所有更大的包装分配一个符合委员会根据第2段委任</w:t>
      </w:r>
      <w:r>
        <w:rPr>
          <w:rFonts w:hint="eastAsia" w:ascii="Times New Roman" w:hAnsi="Times New Roman"/>
          <w:kern w:val="2"/>
          <w:szCs w:val="21"/>
        </w:rPr>
        <w:t>的</w:t>
      </w:r>
      <w:r>
        <w:rPr>
          <w:rFonts w:ascii="Times New Roman" w:hAnsi="Times New Roman"/>
          <w:kern w:val="2"/>
          <w:szCs w:val="21"/>
        </w:rPr>
        <w:t>签发实体颁布规则所产生的UDI。</w:t>
      </w:r>
    </w:p>
    <w:p w14:paraId="47116195">
      <w:pPr>
        <w:pStyle w:val="32"/>
        <w:numPr>
          <w:ilvl w:val="0"/>
          <w:numId w:val="30"/>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UDI载体应添加在该器械标签和所有更大包装上。较大的包装不包括海运集装箱。</w:t>
      </w:r>
    </w:p>
    <w:p w14:paraId="464A0E83">
      <w:pPr>
        <w:pStyle w:val="8"/>
        <w:tabs>
          <w:tab w:val="left" w:pos="681"/>
        </w:tabs>
        <w:topLinePunct/>
        <w:snapToGrid w:val="0"/>
        <w:spacing w:beforeLines="20" w:line="300" w:lineRule="auto"/>
        <w:ind w:hanging="568"/>
        <w:jc w:val="both"/>
        <w:rPr>
          <w:kern w:val="2"/>
          <w:szCs w:val="21"/>
        </w:rPr>
      </w:pPr>
      <w:r>
        <w:rPr>
          <w:kern w:val="2"/>
          <w:szCs w:val="21"/>
        </w:rPr>
        <w:t>5.</w:t>
      </w:r>
      <w:r>
        <w:rPr>
          <w:kern w:val="2"/>
          <w:szCs w:val="21"/>
        </w:rPr>
        <w:tab/>
      </w:r>
      <w:r>
        <w:rPr>
          <w:kern w:val="2"/>
          <w:szCs w:val="21"/>
        </w:rPr>
        <w:t>根据第87条，UDI应用于报告严重事件和现场安全纠正措施。</w:t>
      </w:r>
    </w:p>
    <w:p w14:paraId="540A2F0B">
      <w:pPr>
        <w:pStyle w:val="8"/>
        <w:tabs>
          <w:tab w:val="left" w:pos="681"/>
        </w:tabs>
        <w:topLinePunct/>
        <w:snapToGrid w:val="0"/>
        <w:spacing w:beforeLines="20" w:line="300" w:lineRule="auto"/>
        <w:ind w:hanging="568"/>
        <w:jc w:val="both"/>
        <w:rPr>
          <w:kern w:val="2"/>
          <w:szCs w:val="21"/>
        </w:rPr>
      </w:pPr>
      <w:r>
        <w:rPr>
          <w:kern w:val="2"/>
          <w:szCs w:val="21"/>
        </w:rPr>
        <w:t>6.</w:t>
      </w:r>
      <w:r>
        <w:rPr>
          <w:kern w:val="2"/>
          <w:szCs w:val="21"/>
        </w:rPr>
        <w:tab/>
      </w:r>
      <w:r>
        <w:rPr>
          <w:kern w:val="2"/>
          <w:szCs w:val="21"/>
        </w:rPr>
        <w:t>第19条所述的欧盟符合性声明应载明该器械的基本UDI-DI（定义见附录VI第C部分）。</w:t>
      </w:r>
    </w:p>
    <w:p w14:paraId="09395DAF">
      <w:pPr>
        <w:snapToGrid w:val="0"/>
        <w:spacing w:beforeLines="25" w:line="300" w:lineRule="auto"/>
        <w:ind w:left="657" w:leftChars="53" w:hanging="546" w:hangingChars="260"/>
        <w:rPr>
          <w:rFonts w:ascii="Times New Roman" w:hAnsi="Times New Roman"/>
          <w:kern w:val="2"/>
          <w:szCs w:val="21"/>
        </w:rPr>
      </w:pPr>
      <w:r>
        <w:rPr>
          <w:rFonts w:ascii="Times New Roman" w:hAnsi="Times New Roman"/>
          <w:kern w:val="2"/>
          <w:szCs w:val="21"/>
        </w:rPr>
        <w:t>7.</w:t>
      </w:r>
      <w:r>
        <w:rPr>
          <w:rFonts w:ascii="Times New Roman" w:hAnsi="Times New Roman"/>
          <w:kern w:val="2"/>
          <w:szCs w:val="21"/>
        </w:rPr>
        <w:tab/>
      </w:r>
      <w:r>
        <w:rPr>
          <w:rFonts w:ascii="Times New Roman" w:hAnsi="Times New Roman"/>
          <w:kern w:val="2"/>
          <w:szCs w:val="21"/>
        </w:rPr>
        <w:t>制造商应及时更新所有应用UDI的清单作为附录II中所述技术文件的一部分。</w:t>
      </w:r>
    </w:p>
    <w:p w14:paraId="72D8DCDC">
      <w:pPr>
        <w:snapToGrid w:val="0"/>
        <w:spacing w:beforeLines="25" w:line="300" w:lineRule="auto"/>
        <w:ind w:left="657" w:leftChars="53" w:hanging="546" w:hangingChars="260"/>
        <w:rPr>
          <w:rFonts w:ascii="Times New Roman" w:hAnsi="Times New Roman"/>
          <w:kern w:val="2"/>
          <w:szCs w:val="21"/>
        </w:rPr>
      </w:pPr>
      <w:r>
        <w:rPr>
          <w:rFonts w:ascii="Times New Roman" w:hAnsi="Times New Roman"/>
          <w:kern w:val="2"/>
          <w:szCs w:val="21"/>
        </w:rPr>
        <w:t>8.</w:t>
      </w:r>
      <w:r>
        <w:rPr>
          <w:rFonts w:ascii="Times New Roman" w:hAnsi="Times New Roman"/>
          <w:kern w:val="2"/>
          <w:szCs w:val="21"/>
        </w:rPr>
        <w:tab/>
      </w:r>
      <w:r>
        <w:rPr>
          <w:rFonts w:ascii="Times New Roman" w:hAnsi="Times New Roman"/>
          <w:kern w:val="2"/>
          <w:szCs w:val="21"/>
        </w:rPr>
        <w:t>经济运营商最好应以电子方式存储和保存其所供应或所接受的器械UDI，若这些器械属于：</w:t>
      </w:r>
    </w:p>
    <w:p w14:paraId="694E7C32">
      <w:pPr>
        <w:pStyle w:val="32"/>
        <w:numPr>
          <w:ilvl w:val="0"/>
          <w:numId w:val="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III类植入式器械；</w:t>
      </w:r>
    </w:p>
    <w:p w14:paraId="31E8FD2B">
      <w:pPr>
        <w:pStyle w:val="32"/>
        <w:numPr>
          <w:ilvl w:val="0"/>
          <w:numId w:val="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由第11段（a）点中所指措施确定的器械、类别或器械组。</w:t>
      </w:r>
    </w:p>
    <w:p w14:paraId="29D4F0C2">
      <w:pPr>
        <w:pStyle w:val="8"/>
        <w:topLinePunct/>
        <w:snapToGrid w:val="0"/>
        <w:spacing w:beforeLines="25" w:line="300" w:lineRule="auto"/>
        <w:ind w:hanging="568"/>
        <w:jc w:val="both"/>
        <w:rPr>
          <w:kern w:val="2"/>
          <w:szCs w:val="21"/>
        </w:rPr>
      </w:pPr>
      <w:r>
        <w:rPr>
          <w:kern w:val="2"/>
          <w:szCs w:val="21"/>
        </w:rPr>
        <w:t>9.</w:t>
      </w:r>
      <w:r>
        <w:rPr>
          <w:kern w:val="2"/>
          <w:szCs w:val="21"/>
        </w:rPr>
        <w:tab/>
      </w:r>
      <w:r>
        <w:rPr>
          <w:kern w:val="2"/>
          <w:szCs w:val="21"/>
        </w:rPr>
        <w:t>若这些器械属于III类植入式器械，则医疗机构应优先以电子方式存储和保持其所供应</w:t>
      </w:r>
      <w:r>
        <w:rPr>
          <w:kern w:val="2"/>
          <w:szCs w:val="21"/>
          <w:lang w:val="en-US"/>
        </w:rPr>
        <w:t>或</w:t>
      </w:r>
      <w:r>
        <w:rPr>
          <w:kern w:val="2"/>
          <w:szCs w:val="21"/>
        </w:rPr>
        <w:t>接受的器械UDI。</w:t>
      </w:r>
    </w:p>
    <w:p w14:paraId="1513E29F">
      <w:pPr>
        <w:pStyle w:val="8"/>
        <w:topLinePunct/>
        <w:snapToGrid w:val="0"/>
        <w:spacing w:beforeLines="25" w:line="300" w:lineRule="auto"/>
        <w:ind w:firstLine="0"/>
        <w:jc w:val="both"/>
        <w:rPr>
          <w:kern w:val="2"/>
          <w:szCs w:val="21"/>
        </w:rPr>
      </w:pPr>
      <w:r>
        <w:rPr>
          <w:kern w:val="2"/>
          <w:szCs w:val="21"/>
        </w:rPr>
        <w:t>除了III类植入式器械外，成员国应鼓励并可要求医疗机构优先以电子方式储存和保管接受的器械UDI。</w:t>
      </w:r>
    </w:p>
    <w:p w14:paraId="337F8478">
      <w:pPr>
        <w:pStyle w:val="8"/>
        <w:topLinePunct/>
        <w:snapToGrid w:val="0"/>
        <w:spacing w:beforeLines="25" w:line="300" w:lineRule="auto"/>
        <w:ind w:firstLine="0"/>
        <w:jc w:val="both"/>
        <w:rPr>
          <w:kern w:val="2"/>
          <w:szCs w:val="21"/>
        </w:rPr>
      </w:pPr>
      <w:r>
        <w:rPr>
          <w:kern w:val="2"/>
          <w:szCs w:val="21"/>
        </w:rPr>
        <w:t>成员国应鼓励，并可要求健康护理人员优先通过电子手段存放和保管提供给其器械的UDI。</w:t>
      </w:r>
    </w:p>
    <w:p w14:paraId="59CD4B51">
      <w:pPr>
        <w:pStyle w:val="8"/>
        <w:tabs>
          <w:tab w:val="left" w:pos="681"/>
        </w:tabs>
        <w:topLinePunct/>
        <w:snapToGrid w:val="0"/>
        <w:spacing w:beforeLines="25" w:line="300" w:lineRule="auto"/>
        <w:ind w:left="114" w:firstLine="0"/>
        <w:jc w:val="both"/>
        <w:rPr>
          <w:kern w:val="2"/>
          <w:szCs w:val="21"/>
        </w:rPr>
      </w:pPr>
      <w:r>
        <w:rPr>
          <w:kern w:val="2"/>
          <w:szCs w:val="21"/>
        </w:rPr>
        <w:t>10.</w:t>
      </w:r>
      <w:r>
        <w:rPr>
          <w:kern w:val="2"/>
          <w:szCs w:val="21"/>
        </w:rPr>
        <w:tab/>
      </w:r>
      <w:r>
        <w:rPr>
          <w:kern w:val="2"/>
          <w:szCs w:val="21"/>
        </w:rPr>
        <w:t>委员会应有权根据第115条通过以下授权法案：</w:t>
      </w:r>
    </w:p>
    <w:p w14:paraId="0EA90118">
      <w:pPr>
        <w:pStyle w:val="32"/>
        <w:numPr>
          <w:ilvl w:val="0"/>
          <w:numId w:val="3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从技术进步的角度修订或补充载列于附录VI第B部分的资料清单；及</w:t>
      </w:r>
    </w:p>
    <w:p w14:paraId="4DC17D74">
      <w:pPr>
        <w:pStyle w:val="32"/>
        <w:numPr>
          <w:ilvl w:val="0"/>
          <w:numId w:val="3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就唯一器械标识领域的国际发展及技术进步修订或补充附录VI。</w:t>
      </w:r>
    </w:p>
    <w:p w14:paraId="4F7A2E32">
      <w:pPr>
        <w:pStyle w:val="32"/>
        <w:tabs>
          <w:tab w:val="left" w:pos="682"/>
        </w:tabs>
        <w:topLinePunct/>
        <w:snapToGrid w:val="0"/>
        <w:spacing w:beforeLines="25" w:line="300" w:lineRule="auto"/>
        <w:ind w:left="655" w:leftChars="40" w:hanging="571" w:hangingChars="272"/>
        <w:jc w:val="both"/>
        <w:rPr>
          <w:rFonts w:ascii="Times New Roman" w:hAnsi="Times New Roman"/>
          <w:kern w:val="2"/>
          <w:szCs w:val="21"/>
        </w:rPr>
      </w:pPr>
      <w:r>
        <w:rPr>
          <w:rFonts w:ascii="Times New Roman" w:hAnsi="Times New Roman"/>
          <w:kern w:val="2"/>
          <w:szCs w:val="21"/>
        </w:rPr>
        <w:t>11.</w:t>
      </w:r>
      <w:r>
        <w:rPr>
          <w:rFonts w:ascii="Times New Roman" w:hAnsi="Times New Roman"/>
          <w:kern w:val="2"/>
          <w:szCs w:val="21"/>
        </w:rPr>
        <w:tab/>
      </w:r>
      <w:r>
        <w:rPr>
          <w:rFonts w:ascii="Times New Roman" w:hAnsi="Times New Roman"/>
          <w:kern w:val="2"/>
          <w:szCs w:val="21"/>
        </w:rPr>
        <w:t>委员会可通过实施细则规定模式及程序，以确保以下任何几个方面的唯一器械标识系统的协调适用：</w:t>
      </w:r>
    </w:p>
    <w:p w14:paraId="60A58D04">
      <w:pPr>
        <w:pStyle w:val="32"/>
        <w:numPr>
          <w:ilvl w:val="1"/>
          <w:numId w:val="33"/>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采用第8段规定的义务确定器械、类别或器械组别。</w:t>
      </w:r>
    </w:p>
    <w:p w14:paraId="634B23ED">
      <w:pPr>
        <w:pStyle w:val="32"/>
        <w:numPr>
          <w:ilvl w:val="1"/>
          <w:numId w:val="33"/>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规定包括在器械或器械组别的UDI -PI的数据；</w:t>
      </w:r>
    </w:p>
    <w:p w14:paraId="1680B4F0">
      <w:pPr>
        <w:pStyle w:val="8"/>
        <w:topLinePunct/>
        <w:snapToGrid w:val="0"/>
        <w:spacing w:beforeLines="25" w:line="300" w:lineRule="auto"/>
        <w:ind w:firstLine="0"/>
        <w:jc w:val="both"/>
        <w:rPr>
          <w:kern w:val="2"/>
          <w:szCs w:val="21"/>
        </w:rPr>
      </w:pPr>
      <w:r>
        <w:rPr>
          <w:kern w:val="2"/>
          <w:szCs w:val="21"/>
        </w:rPr>
        <w:t>应按照第114(3)条中述及的审查规程通过这些在第一子段中所述的实施细则。</w:t>
      </w:r>
    </w:p>
    <w:p w14:paraId="2304F8E5">
      <w:pPr>
        <w:pStyle w:val="32"/>
        <w:tabs>
          <w:tab w:val="left" w:pos="682"/>
        </w:tabs>
        <w:topLinePunct/>
        <w:snapToGrid w:val="0"/>
        <w:spacing w:beforeLines="25" w:line="300" w:lineRule="auto"/>
        <w:ind w:firstLine="69" w:firstLineChars="33"/>
        <w:jc w:val="both"/>
        <w:rPr>
          <w:rFonts w:ascii="Times New Roman" w:hAnsi="Times New Roman"/>
          <w:kern w:val="2"/>
          <w:szCs w:val="21"/>
        </w:rPr>
      </w:pPr>
      <w:r>
        <w:rPr>
          <w:rFonts w:ascii="Times New Roman" w:hAnsi="Times New Roman"/>
          <w:kern w:val="2"/>
          <w:szCs w:val="21"/>
        </w:rPr>
        <w:t>12.</w:t>
      </w:r>
      <w:r>
        <w:rPr>
          <w:rFonts w:ascii="Times New Roman" w:hAnsi="Times New Roman"/>
          <w:kern w:val="2"/>
          <w:szCs w:val="21"/>
        </w:rPr>
        <w:tab/>
      </w:r>
      <w:r>
        <w:rPr>
          <w:rFonts w:ascii="Times New Roman" w:hAnsi="Times New Roman"/>
          <w:kern w:val="2"/>
          <w:szCs w:val="21"/>
        </w:rPr>
        <w:t>采用第11段所述措施时，委员会应考虑以下事项：</w:t>
      </w:r>
    </w:p>
    <w:p w14:paraId="5AA4E0D0">
      <w:pPr>
        <w:pStyle w:val="32"/>
        <w:tabs>
          <w:tab w:val="left" w:pos="1440"/>
        </w:tabs>
        <w:topLinePunct/>
        <w:snapToGrid w:val="0"/>
        <w:spacing w:beforeLines="25" w:line="300" w:lineRule="auto"/>
        <w:ind w:left="1438" w:leftChars="326" w:hanging="753" w:hangingChars="359"/>
        <w:jc w:val="both"/>
        <w:rPr>
          <w:rFonts w:ascii="Times New Roman" w:hAnsi="Times New Roman"/>
          <w:kern w:val="2"/>
          <w:szCs w:val="21"/>
        </w:rPr>
      </w:pPr>
      <w:bookmarkStart w:id="25" w:name="(a)_confidentiality_and_data_protection_"/>
      <w:bookmarkEnd w:id="25"/>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第109和8110条中所述的保密性和数据保护；</w:t>
      </w:r>
    </w:p>
    <w:p w14:paraId="247FEC98">
      <w:pPr>
        <w:pStyle w:val="32"/>
        <w:tabs>
          <w:tab w:val="left" w:pos="1440"/>
        </w:tabs>
        <w:topLinePunct/>
        <w:snapToGrid w:val="0"/>
        <w:spacing w:beforeLines="25" w:line="300" w:lineRule="auto"/>
        <w:ind w:left="1438" w:leftChars="326" w:hanging="753" w:hangingChars="359"/>
        <w:jc w:val="both"/>
        <w:rPr>
          <w:rFonts w:ascii="Times New Roman" w:hAnsi="Times New Roman"/>
          <w:kern w:val="2"/>
          <w:szCs w:val="21"/>
        </w:rPr>
      </w:pPr>
      <w:bookmarkStart w:id="26" w:name="(c)_the_risk-based_approach;"/>
      <w:bookmarkEnd w:id="26"/>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基于风险的方法；</w:t>
      </w:r>
    </w:p>
    <w:p w14:paraId="57E6B6A9">
      <w:pPr>
        <w:pStyle w:val="32"/>
        <w:tabs>
          <w:tab w:val="left" w:pos="1440"/>
        </w:tabs>
        <w:topLinePunct/>
        <w:snapToGrid w:val="0"/>
        <w:spacing w:beforeLines="25" w:line="300" w:lineRule="auto"/>
        <w:ind w:left="1438" w:leftChars="326" w:hanging="753" w:hangingChars="359"/>
        <w:jc w:val="both"/>
        <w:rPr>
          <w:rFonts w:ascii="Times New Roman" w:hAnsi="Times New Roman"/>
          <w:kern w:val="2"/>
          <w:szCs w:val="21"/>
        </w:rPr>
      </w:pPr>
      <w:bookmarkStart w:id="27" w:name="(d)_the_cost-effectiveness_of_the_measur"/>
      <w:bookmarkEnd w:id="27"/>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措施的成本收益；</w:t>
      </w:r>
    </w:p>
    <w:p w14:paraId="150F6BC2">
      <w:pPr>
        <w:pStyle w:val="32"/>
        <w:tabs>
          <w:tab w:val="left" w:pos="1440"/>
        </w:tabs>
        <w:topLinePunct/>
        <w:snapToGrid w:val="0"/>
        <w:spacing w:beforeLines="25" w:line="300" w:lineRule="auto"/>
        <w:ind w:left="1438" w:leftChars="326" w:hanging="753" w:hangingChars="359"/>
        <w:jc w:val="both"/>
        <w:rPr>
          <w:rFonts w:ascii="Times New Roman" w:hAnsi="Times New Roman"/>
          <w:kern w:val="2"/>
          <w:szCs w:val="21"/>
        </w:rPr>
      </w:pPr>
      <w:bookmarkStart w:id="28" w:name="(e)_the_convergence_of_UDI_systems_devel"/>
      <w:bookmarkEnd w:id="28"/>
      <w:r>
        <w:rPr>
          <w:rFonts w:ascii="Times New Roman" w:hAnsi="Times New Roman"/>
          <w:kern w:val="2"/>
          <w:szCs w:val="21"/>
        </w:rPr>
        <w:t>（d）</w:t>
      </w:r>
      <w:r>
        <w:rPr>
          <w:rFonts w:ascii="Times New Roman" w:hAnsi="Times New Roman"/>
          <w:kern w:val="2"/>
          <w:szCs w:val="21"/>
        </w:rPr>
        <w:tab/>
      </w:r>
      <w:r>
        <w:rPr>
          <w:rFonts w:ascii="Times New Roman" w:hAnsi="Times New Roman"/>
          <w:kern w:val="2"/>
          <w:szCs w:val="21"/>
        </w:rPr>
        <w:t>以国际水准开发UDI系统；</w:t>
      </w:r>
    </w:p>
    <w:p w14:paraId="58A70CF7">
      <w:pPr>
        <w:pStyle w:val="32"/>
        <w:tabs>
          <w:tab w:val="left" w:pos="1440"/>
        </w:tabs>
        <w:topLinePunct/>
        <w:snapToGrid w:val="0"/>
        <w:spacing w:beforeLines="25" w:line="300" w:lineRule="auto"/>
        <w:ind w:left="1438" w:leftChars="326" w:hanging="753" w:hangingChars="359"/>
        <w:jc w:val="both"/>
        <w:rPr>
          <w:rFonts w:ascii="Times New Roman" w:hAnsi="Times New Roman"/>
          <w:kern w:val="2"/>
          <w:szCs w:val="21"/>
        </w:rPr>
      </w:pPr>
      <w:bookmarkStart w:id="29" w:name="(f)_the_need_to_avoid_duplications_in_th"/>
      <w:bookmarkEnd w:id="29"/>
      <w:r>
        <w:rPr>
          <w:rFonts w:ascii="Times New Roman" w:hAnsi="Times New Roman"/>
          <w:kern w:val="2"/>
          <w:szCs w:val="21"/>
        </w:rPr>
        <w:t>（e）</w:t>
      </w:r>
      <w:r>
        <w:rPr>
          <w:rFonts w:ascii="Times New Roman" w:hAnsi="Times New Roman"/>
          <w:kern w:val="2"/>
          <w:szCs w:val="21"/>
        </w:rPr>
        <w:tab/>
      </w:r>
      <w:r>
        <w:rPr>
          <w:rFonts w:ascii="Times New Roman" w:hAnsi="Times New Roman"/>
          <w:kern w:val="2"/>
          <w:szCs w:val="21"/>
        </w:rPr>
        <w:t>避免UDI系统重复的需要；</w:t>
      </w:r>
    </w:p>
    <w:p w14:paraId="47D3DFB1">
      <w:pPr>
        <w:pStyle w:val="32"/>
        <w:tabs>
          <w:tab w:val="left" w:pos="1440"/>
        </w:tabs>
        <w:topLinePunct/>
        <w:snapToGrid w:val="0"/>
        <w:spacing w:beforeLines="25" w:line="300" w:lineRule="auto"/>
        <w:ind w:left="1438" w:leftChars="326" w:hanging="753" w:hangingChars="359"/>
        <w:jc w:val="both"/>
        <w:rPr>
          <w:rFonts w:ascii="Times New Roman" w:hAnsi="Times New Roman"/>
          <w:kern w:val="2"/>
          <w:szCs w:val="21"/>
        </w:rPr>
      </w:pPr>
      <w:bookmarkStart w:id="30" w:name="(g)_the_needs_of_the_health_care_systems"/>
      <w:bookmarkEnd w:id="30"/>
      <w:r>
        <w:rPr>
          <w:rFonts w:ascii="Times New Roman" w:hAnsi="Times New Roman"/>
          <w:kern w:val="2"/>
          <w:szCs w:val="21"/>
        </w:rPr>
        <w:t>（f）</w:t>
      </w:r>
      <w:r>
        <w:rPr>
          <w:rFonts w:ascii="Times New Roman" w:hAnsi="Times New Roman"/>
          <w:kern w:val="2"/>
          <w:szCs w:val="21"/>
        </w:rPr>
        <w:tab/>
      </w:r>
      <w:r>
        <w:rPr>
          <w:rFonts w:ascii="Times New Roman" w:hAnsi="Times New Roman"/>
          <w:kern w:val="2"/>
          <w:szCs w:val="21"/>
        </w:rPr>
        <w:t>成员国对医疗卫生系统的需要，及在尽可能的情况下，与利益相关方使用的其他医疗器械的识别系统的兼容性。</w:t>
      </w:r>
    </w:p>
    <w:p w14:paraId="7E9A1E34">
      <w:pPr>
        <w:snapToGrid w:val="0"/>
        <w:spacing w:beforeLines="25" w:line="300" w:lineRule="auto"/>
        <w:rPr>
          <w:rFonts w:ascii="Times New Roman" w:hAnsi="Times New Roman"/>
          <w:kern w:val="2"/>
          <w:szCs w:val="21"/>
        </w:rPr>
      </w:pPr>
    </w:p>
    <w:p w14:paraId="787A66AA">
      <w:pPr>
        <w:snapToGrid w:val="0"/>
        <w:spacing w:beforeLines="25" w:line="300" w:lineRule="auto"/>
        <w:ind w:left="195"/>
        <w:jc w:val="center"/>
        <w:rPr>
          <w:rStyle w:val="48"/>
          <w:b/>
          <w:szCs w:val="21"/>
        </w:rPr>
      </w:pPr>
      <w:r>
        <w:rPr>
          <w:rFonts w:ascii="Times New Roman" w:hAnsi="Times New Roman"/>
          <w:i/>
          <w:kern w:val="2"/>
          <w:szCs w:val="21"/>
        </w:rPr>
        <w:t>第28条</w:t>
      </w:r>
    </w:p>
    <w:p w14:paraId="605FB15E">
      <w:pPr>
        <w:snapToGrid w:val="0"/>
        <w:spacing w:beforeLines="25" w:line="300" w:lineRule="auto"/>
        <w:jc w:val="center"/>
        <w:rPr>
          <w:rFonts w:ascii="Times New Roman" w:hAnsi="Times New Roman"/>
          <w:b/>
          <w:kern w:val="2"/>
          <w:szCs w:val="21"/>
        </w:rPr>
      </w:pPr>
      <w:r>
        <w:rPr>
          <w:rFonts w:ascii="Times New Roman" w:hAnsi="Times New Roman"/>
          <w:b/>
          <w:kern w:val="2"/>
          <w:szCs w:val="21"/>
        </w:rPr>
        <w:t>UDI数据库</w:t>
      </w:r>
    </w:p>
    <w:p w14:paraId="51D2A68E">
      <w:pPr>
        <w:snapToGrid w:val="0"/>
        <w:spacing w:beforeLines="25" w:line="300" w:lineRule="auto"/>
        <w:ind w:left="672" w:leftChars="60" w:hanging="546" w:hangingChars="260"/>
        <w:rPr>
          <w:rFonts w:ascii="Times New Roman" w:hAnsi="Times New Roman"/>
          <w:kern w:val="2"/>
          <w:szCs w:val="21"/>
        </w:rPr>
      </w:pPr>
      <w:r>
        <w:rPr>
          <w:rFonts w:ascii="Times New Roman" w:hAnsi="Times New Roman"/>
          <w:kern w:val="2"/>
          <w:szCs w:val="21"/>
        </w:rPr>
        <w:t>1.</w:t>
      </w:r>
      <w:r>
        <w:rPr>
          <w:rFonts w:ascii="Times New Roman" w:hAnsi="Times New Roman"/>
          <w:kern w:val="2"/>
          <w:szCs w:val="21"/>
        </w:rPr>
        <w:tab/>
      </w:r>
      <w:r>
        <w:rPr>
          <w:rFonts w:ascii="Times New Roman" w:hAnsi="Times New Roman"/>
          <w:kern w:val="2"/>
          <w:szCs w:val="21"/>
        </w:rPr>
        <w:t>委员会应与MDCG商议后设立和管理一个UDI数据库，以验证、整理、处理附录VI第B部分所述信息，并向公众公布此等信息。</w:t>
      </w:r>
    </w:p>
    <w:p w14:paraId="45A3868C">
      <w:pPr>
        <w:pStyle w:val="8"/>
        <w:topLinePunct/>
        <w:snapToGrid w:val="0"/>
        <w:spacing w:beforeLines="25" w:line="300" w:lineRule="auto"/>
        <w:ind w:hanging="568"/>
        <w:jc w:val="both"/>
        <w:rPr>
          <w:kern w:val="2"/>
          <w:szCs w:val="21"/>
        </w:rPr>
      </w:pPr>
      <w:r>
        <w:rPr>
          <w:kern w:val="2"/>
          <w:szCs w:val="21"/>
        </w:rPr>
        <w:t>2.</w:t>
      </w:r>
      <w:r>
        <w:rPr>
          <w:kern w:val="2"/>
          <w:szCs w:val="21"/>
        </w:rPr>
        <w:tab/>
      </w:r>
      <w:r>
        <w:rPr>
          <w:kern w:val="2"/>
          <w:szCs w:val="21"/>
        </w:rPr>
        <w:t>设计UDI数据库时，委员会应考虑在附录VI第C部分第5节说明的UDI数据库的一般原则。UDI数据库设计应特别满足无UDI-PI且其中无商业机密产品信息。</w:t>
      </w:r>
    </w:p>
    <w:p w14:paraId="538AFEF0">
      <w:pPr>
        <w:pStyle w:val="8"/>
        <w:tabs>
          <w:tab w:val="left" w:pos="681"/>
        </w:tabs>
        <w:topLinePunct/>
        <w:snapToGrid w:val="0"/>
        <w:spacing w:beforeLines="25" w:line="300" w:lineRule="auto"/>
        <w:ind w:left="114" w:firstLine="0"/>
        <w:jc w:val="both"/>
        <w:rPr>
          <w:kern w:val="2"/>
          <w:szCs w:val="21"/>
        </w:rPr>
      </w:pPr>
      <w:r>
        <w:rPr>
          <w:kern w:val="2"/>
          <w:szCs w:val="21"/>
        </w:rPr>
        <w:t>3.</w:t>
      </w:r>
      <w:r>
        <w:rPr>
          <w:kern w:val="2"/>
          <w:szCs w:val="21"/>
        </w:rPr>
        <w:tab/>
      </w:r>
      <w:r>
        <w:rPr>
          <w:kern w:val="2"/>
          <w:szCs w:val="21"/>
        </w:rPr>
        <w:t>附录VI第B部分中所述的UDI数据库核心数据元素应免费向公众开放。</w:t>
      </w:r>
    </w:p>
    <w:p w14:paraId="5EAD0257">
      <w:pPr>
        <w:snapToGrid w:val="0"/>
        <w:spacing w:beforeLines="15" w:line="288" w:lineRule="auto"/>
        <w:ind w:left="672" w:leftChars="60" w:hanging="546" w:hangingChars="260"/>
        <w:rPr>
          <w:rFonts w:ascii="Times New Roman" w:hAnsi="Times New Roman"/>
          <w:kern w:val="2"/>
          <w:szCs w:val="21"/>
        </w:rPr>
      </w:pPr>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rPr>
        <w:t>电子系统的技术设计应保证存储在UDI数据库信息的最大可用性，并允许多个使用者访问和自动上传和下载信息。委员会应对UDI数据库的制造商和其他使用者提供技术和管理支持。</w:t>
      </w:r>
    </w:p>
    <w:p w14:paraId="43BE67F1">
      <w:pPr>
        <w:pStyle w:val="32"/>
        <w:tabs>
          <w:tab w:val="left" w:pos="682"/>
        </w:tabs>
        <w:topLinePunct/>
        <w:snapToGrid w:val="0"/>
        <w:spacing w:beforeLines="15" w:line="288" w:lineRule="auto"/>
        <w:jc w:val="center"/>
        <w:rPr>
          <w:rFonts w:ascii="Times New Roman" w:hAnsi="Times New Roman"/>
          <w:i/>
          <w:kern w:val="2"/>
          <w:szCs w:val="21"/>
        </w:rPr>
      </w:pPr>
    </w:p>
    <w:p w14:paraId="3A978648">
      <w:pPr>
        <w:pStyle w:val="32"/>
        <w:tabs>
          <w:tab w:val="left" w:pos="682"/>
        </w:tabs>
        <w:topLinePunct/>
        <w:snapToGrid w:val="0"/>
        <w:spacing w:beforeLines="15" w:line="288" w:lineRule="auto"/>
        <w:jc w:val="center"/>
        <w:rPr>
          <w:rStyle w:val="48"/>
          <w:b/>
          <w:i/>
          <w:szCs w:val="21"/>
          <w:lang w:val="en-US"/>
        </w:rPr>
      </w:pPr>
      <w:r>
        <w:rPr>
          <w:rFonts w:ascii="Times New Roman" w:hAnsi="Times New Roman"/>
          <w:i/>
          <w:kern w:val="2"/>
          <w:szCs w:val="21"/>
        </w:rPr>
        <w:t>第29条</w:t>
      </w:r>
    </w:p>
    <w:p w14:paraId="188A3062">
      <w:pPr>
        <w:snapToGrid w:val="0"/>
        <w:spacing w:beforeLines="15" w:line="288" w:lineRule="auto"/>
        <w:jc w:val="center"/>
        <w:rPr>
          <w:rStyle w:val="48"/>
          <w:b/>
          <w:szCs w:val="21"/>
        </w:rPr>
      </w:pPr>
      <w:r>
        <w:rPr>
          <w:rFonts w:ascii="Times New Roman" w:hAnsi="Times New Roman"/>
          <w:b/>
          <w:kern w:val="2"/>
          <w:szCs w:val="21"/>
        </w:rPr>
        <w:t>器械注册</w:t>
      </w:r>
    </w:p>
    <w:p w14:paraId="10EC6904">
      <w:pPr>
        <w:pStyle w:val="32"/>
        <w:numPr>
          <w:ilvl w:val="0"/>
          <w:numId w:val="34"/>
        </w:numPr>
        <w:topLinePunct/>
        <w:snapToGrid w:val="0"/>
        <w:spacing w:beforeLines="15" w:line="288" w:lineRule="auto"/>
        <w:ind w:left="518" w:hanging="490"/>
        <w:jc w:val="both"/>
        <w:rPr>
          <w:rFonts w:ascii="Times New Roman" w:hAnsi="Times New Roman"/>
          <w:kern w:val="2"/>
          <w:szCs w:val="21"/>
        </w:rPr>
      </w:pPr>
      <w:r>
        <w:rPr>
          <w:rFonts w:ascii="Times New Roman" w:hAnsi="Times New Roman"/>
          <w:kern w:val="2"/>
          <w:szCs w:val="21"/>
        </w:rPr>
        <w:t>在市场上投放一个非定制器械时，制造商应遵守第27（2）条所述的发行实体的规则，向器械分配附录VI第C部分定义的基本UDI – DI并将其与附录VI第B部分中所述的相关器械的其他核心数据要素提交给UDI数据库。</w:t>
      </w:r>
    </w:p>
    <w:p w14:paraId="62A3B9BA">
      <w:pPr>
        <w:pStyle w:val="8"/>
        <w:topLinePunct/>
        <w:snapToGrid w:val="0"/>
        <w:spacing w:beforeLines="15" w:line="288" w:lineRule="auto"/>
        <w:ind w:left="540" w:hanging="539" w:hangingChars="257"/>
        <w:jc w:val="both"/>
        <w:rPr>
          <w:kern w:val="2"/>
          <w:szCs w:val="21"/>
        </w:rPr>
      </w:pPr>
      <w:r>
        <w:rPr>
          <w:kern w:val="2"/>
          <w:szCs w:val="21"/>
        </w:rPr>
        <w:t>2.</w:t>
      </w:r>
      <w:r>
        <w:rPr>
          <w:kern w:val="2"/>
          <w:szCs w:val="21"/>
        </w:rPr>
        <w:tab/>
      </w:r>
      <w:r>
        <w:rPr>
          <w:kern w:val="2"/>
          <w:szCs w:val="21"/>
        </w:rPr>
        <w:t>根据第22(1)和（3）条，在市场投放一个非定制器械的系统或手术包，</w:t>
      </w:r>
      <w:r>
        <w:rPr>
          <w:rFonts w:hint="eastAsia"/>
          <w:kern w:val="2"/>
          <w:szCs w:val="21"/>
        </w:rPr>
        <w:t>责任</w:t>
      </w:r>
      <w:r>
        <w:rPr>
          <w:kern w:val="2"/>
          <w:szCs w:val="21"/>
        </w:rPr>
        <w:t>自然人或法人应按照指定发行实体的规则，向系统或手术包分配基本UDI – DI</w:t>
      </w:r>
      <w:r>
        <w:rPr>
          <w:rFonts w:hint="eastAsia"/>
          <w:kern w:val="2"/>
          <w:szCs w:val="21"/>
        </w:rPr>
        <w:t>，</w:t>
      </w:r>
      <w:r>
        <w:rPr>
          <w:kern w:val="2"/>
          <w:szCs w:val="21"/>
        </w:rPr>
        <w:t>并将其与在附录VI第B部分中定义的相关系统或手术包的其他核心数据要素</w:t>
      </w:r>
      <w:r>
        <w:rPr>
          <w:rFonts w:hint="eastAsia"/>
          <w:kern w:val="2"/>
          <w:szCs w:val="21"/>
        </w:rPr>
        <w:t>一并</w:t>
      </w:r>
      <w:r>
        <w:rPr>
          <w:kern w:val="2"/>
          <w:szCs w:val="21"/>
        </w:rPr>
        <w:t>提交至UDI数据库。</w:t>
      </w:r>
    </w:p>
    <w:p w14:paraId="74BE69E2">
      <w:pPr>
        <w:pStyle w:val="32"/>
        <w:tabs>
          <w:tab w:val="left" w:pos="682"/>
        </w:tabs>
        <w:topLinePunct/>
        <w:snapToGrid w:val="0"/>
        <w:spacing w:beforeLines="15" w:line="288" w:lineRule="auto"/>
        <w:ind w:left="525" w:hanging="525" w:hangingChars="250"/>
        <w:jc w:val="both"/>
        <w:rPr>
          <w:rFonts w:ascii="Times New Roman" w:hAnsi="Times New Roman"/>
          <w:kern w:val="2"/>
          <w:szCs w:val="21"/>
        </w:rPr>
      </w:pPr>
      <w:r>
        <w:rPr>
          <w:rFonts w:ascii="Times New Roman" w:hAnsi="Times New Roman"/>
          <w:kern w:val="2"/>
          <w:szCs w:val="21"/>
          <w:lang w:val="en-US"/>
        </w:rPr>
        <w:t>3.</w:t>
      </w:r>
      <w:r>
        <w:rPr>
          <w:rFonts w:ascii="Times New Roman" w:hAnsi="Times New Roman"/>
          <w:kern w:val="2"/>
          <w:szCs w:val="21"/>
          <w:lang w:val="en-US"/>
        </w:rPr>
        <w:tab/>
      </w:r>
      <w:r>
        <w:rPr>
          <w:rFonts w:ascii="Times New Roman" w:hAnsi="Times New Roman"/>
          <w:kern w:val="2"/>
          <w:szCs w:val="21"/>
          <w:lang w:val="en-US"/>
        </w:rPr>
        <w:t>对于经过第52（3）条或第52（4）条第</w:t>
      </w:r>
      <w:r>
        <w:rPr>
          <w:rFonts w:hint="eastAsia" w:ascii="Times New Roman" w:hAnsi="Times New Roman"/>
          <w:kern w:val="2"/>
          <w:szCs w:val="21"/>
          <w:lang w:val="en-US"/>
        </w:rPr>
        <w:t>二和第</w:t>
      </w:r>
      <w:r>
        <w:rPr>
          <w:rFonts w:ascii="Times New Roman" w:hAnsi="Times New Roman"/>
          <w:kern w:val="2"/>
          <w:szCs w:val="21"/>
          <w:lang w:val="en-US"/>
        </w:rPr>
        <w:t>三子段中符合性评估的器械，</w:t>
      </w:r>
      <w:r>
        <w:rPr>
          <w:rFonts w:hint="eastAsia" w:ascii="Times New Roman" w:hAnsi="Times New Roman"/>
          <w:kern w:val="2"/>
          <w:szCs w:val="21"/>
          <w:lang w:val="en-US"/>
        </w:rPr>
        <w:t>在</w:t>
      </w:r>
      <w:r>
        <w:rPr>
          <w:rFonts w:ascii="Times New Roman" w:hAnsi="Times New Roman"/>
          <w:kern w:val="2"/>
          <w:szCs w:val="21"/>
        </w:rPr>
        <w:t>器械投放市场前，制造商应在公告机构运用符合性评估流程前向器械分配基本的UDI – DI前向器械分配一个本条第1段中所述的UDI-DI。</w:t>
      </w:r>
    </w:p>
    <w:p w14:paraId="5E0C5ABF">
      <w:pPr>
        <w:pStyle w:val="32"/>
        <w:tabs>
          <w:tab w:val="left" w:pos="682"/>
        </w:tabs>
        <w:topLinePunct/>
        <w:snapToGrid w:val="0"/>
        <w:spacing w:beforeLines="15" w:line="288" w:lineRule="auto"/>
        <w:ind w:left="525" w:leftChars="250"/>
        <w:jc w:val="both"/>
        <w:rPr>
          <w:rFonts w:ascii="Times New Roman" w:hAnsi="Times New Roman"/>
          <w:kern w:val="2"/>
          <w:szCs w:val="21"/>
        </w:rPr>
      </w:pPr>
      <w:r>
        <w:rPr>
          <w:rFonts w:ascii="Times New Roman" w:hAnsi="Times New Roman"/>
          <w:kern w:val="2"/>
          <w:szCs w:val="21"/>
        </w:rPr>
        <w:t>对于在第一子段中所述的器械，公告机构应按照附录XII第一章第4节a点包括出具证书上基本UDI-DI的参考并确认附录VI第A部分第2.2节中所述的Eudamed。在出具相关证书及在将器械投放在市场之前，制造商应将基本的UDI-DI及附录VI第B部分中定义的相关系统或手术包的其他核心数据要素。</w:t>
      </w:r>
    </w:p>
    <w:p w14:paraId="7B207742">
      <w:pPr>
        <w:pStyle w:val="8"/>
        <w:topLinePunct/>
        <w:snapToGrid w:val="0"/>
        <w:spacing w:beforeLines="15" w:line="288" w:lineRule="auto"/>
        <w:ind w:left="546" w:hanging="432"/>
        <w:jc w:val="both"/>
        <w:rPr>
          <w:kern w:val="2"/>
          <w:szCs w:val="21"/>
        </w:rPr>
      </w:pPr>
      <w:r>
        <w:rPr>
          <w:kern w:val="2"/>
          <w:szCs w:val="21"/>
        </w:rPr>
        <w:t>4.</w:t>
      </w:r>
      <w:r>
        <w:rPr>
          <w:kern w:val="2"/>
          <w:szCs w:val="21"/>
        </w:rPr>
        <w:tab/>
      </w:r>
      <w:r>
        <w:rPr>
          <w:kern w:val="2"/>
          <w:szCs w:val="21"/>
        </w:rPr>
        <w:t>将非定制器械投放在市场之前，制造商应提交或者若已提交，验证附录VI第A部分第2节（第2..2节除外）中所述的Eudamed资料并应及时更新。</w:t>
      </w:r>
    </w:p>
    <w:p w14:paraId="3E77A9DD">
      <w:pPr>
        <w:pStyle w:val="32"/>
        <w:tabs>
          <w:tab w:val="left" w:pos="682"/>
        </w:tabs>
        <w:topLinePunct/>
        <w:snapToGrid w:val="0"/>
        <w:spacing w:beforeLines="15" w:line="288" w:lineRule="auto"/>
        <w:ind w:left="681"/>
        <w:jc w:val="both"/>
        <w:rPr>
          <w:rFonts w:ascii="Times New Roman" w:hAnsi="Times New Roman"/>
          <w:kern w:val="2"/>
          <w:szCs w:val="21"/>
        </w:rPr>
      </w:pPr>
    </w:p>
    <w:p w14:paraId="21904AB3">
      <w:pPr>
        <w:snapToGrid w:val="0"/>
        <w:spacing w:beforeLines="15" w:line="288" w:lineRule="auto"/>
        <w:jc w:val="center"/>
        <w:rPr>
          <w:rStyle w:val="48"/>
          <w:b/>
          <w:szCs w:val="21"/>
        </w:rPr>
      </w:pPr>
      <w:r>
        <w:rPr>
          <w:rFonts w:ascii="Times New Roman" w:hAnsi="Times New Roman"/>
          <w:i/>
          <w:kern w:val="2"/>
          <w:szCs w:val="21"/>
        </w:rPr>
        <w:t>第30条</w:t>
      </w:r>
    </w:p>
    <w:p w14:paraId="541EA5C2">
      <w:pPr>
        <w:snapToGrid w:val="0"/>
        <w:spacing w:beforeLines="15" w:line="288" w:lineRule="auto"/>
        <w:ind w:left="196"/>
        <w:jc w:val="center"/>
        <w:rPr>
          <w:rStyle w:val="48"/>
          <w:b/>
          <w:szCs w:val="21"/>
        </w:rPr>
      </w:pPr>
      <w:r>
        <w:rPr>
          <w:rFonts w:ascii="Times New Roman" w:hAnsi="Times New Roman"/>
          <w:b/>
          <w:kern w:val="2"/>
          <w:szCs w:val="21"/>
        </w:rPr>
        <w:t>经济营运商注册电子系统</w:t>
      </w:r>
    </w:p>
    <w:p w14:paraId="7399B1D4">
      <w:pPr>
        <w:pStyle w:val="8"/>
        <w:tabs>
          <w:tab w:val="left" w:pos="681"/>
        </w:tabs>
        <w:topLinePunct/>
        <w:snapToGrid w:val="0"/>
        <w:spacing w:beforeLines="15" w:line="288" w:lineRule="auto"/>
        <w:ind w:hanging="568"/>
        <w:jc w:val="both"/>
        <w:rPr>
          <w:kern w:val="2"/>
          <w:szCs w:val="21"/>
        </w:rPr>
      </w:pPr>
      <w:r>
        <w:rPr>
          <w:kern w:val="2"/>
          <w:szCs w:val="21"/>
        </w:rPr>
        <w:t>1.</w:t>
      </w:r>
      <w:r>
        <w:rPr>
          <w:kern w:val="2"/>
          <w:szCs w:val="21"/>
        </w:rPr>
        <w:tab/>
      </w:r>
      <w:r>
        <w:rPr>
          <w:kern w:val="2"/>
          <w:szCs w:val="21"/>
        </w:rPr>
        <w:t>在咨询MDCG后，委员会应建立并管理电子系统以创建第31（2）条所述的单一注册号整理及加工识别制造商及（如适用）授权代表及进口商的必要且相应的资料。有关经济营运商</w:t>
      </w:r>
      <w:r>
        <w:rPr>
          <w:rFonts w:hint="eastAsia"/>
          <w:kern w:val="2"/>
          <w:szCs w:val="21"/>
        </w:rPr>
        <w:t>提供至</w:t>
      </w:r>
      <w:r>
        <w:rPr>
          <w:kern w:val="2"/>
          <w:szCs w:val="21"/>
        </w:rPr>
        <w:t>电子系统的资料详情载于附录VI第A部分第1节。</w:t>
      </w:r>
    </w:p>
    <w:p w14:paraId="1CA635D7">
      <w:pPr>
        <w:pStyle w:val="8"/>
        <w:tabs>
          <w:tab w:val="left" w:pos="681"/>
        </w:tabs>
        <w:topLinePunct/>
        <w:snapToGrid w:val="0"/>
        <w:spacing w:beforeLines="15" w:line="288" w:lineRule="auto"/>
        <w:ind w:hanging="568"/>
        <w:jc w:val="both"/>
        <w:rPr>
          <w:kern w:val="2"/>
          <w:szCs w:val="21"/>
        </w:rPr>
      </w:pPr>
      <w:r>
        <w:rPr>
          <w:kern w:val="2"/>
          <w:szCs w:val="21"/>
        </w:rPr>
        <w:t>2.</w:t>
      </w:r>
      <w:r>
        <w:rPr>
          <w:kern w:val="2"/>
          <w:szCs w:val="21"/>
        </w:rPr>
        <w:tab/>
      </w:r>
      <w:r>
        <w:rPr>
          <w:kern w:val="2"/>
          <w:szCs w:val="21"/>
        </w:rPr>
        <w:t>成员国可维持或引用有关其领土范围内允许使用的器械的经销商注册的国家规定。</w:t>
      </w:r>
    </w:p>
    <w:p w14:paraId="669C94B9">
      <w:pPr>
        <w:pStyle w:val="8"/>
        <w:tabs>
          <w:tab w:val="left" w:pos="681"/>
        </w:tabs>
        <w:topLinePunct/>
        <w:snapToGrid w:val="0"/>
        <w:spacing w:beforeLines="15" w:line="288" w:lineRule="auto"/>
        <w:ind w:hanging="568"/>
        <w:jc w:val="both"/>
        <w:rPr>
          <w:kern w:val="2"/>
          <w:szCs w:val="21"/>
        </w:rPr>
      </w:pPr>
      <w:r>
        <w:rPr>
          <w:kern w:val="2"/>
          <w:szCs w:val="21"/>
        </w:rPr>
        <w:t>3.</w:t>
      </w:r>
      <w:r>
        <w:rPr>
          <w:kern w:val="2"/>
          <w:szCs w:val="21"/>
        </w:rPr>
        <w:tab/>
      </w:r>
      <w:r>
        <w:rPr>
          <w:kern w:val="2"/>
          <w:szCs w:val="21"/>
        </w:rPr>
        <w:t>非定制器械投放市场两周内，进口商应核实制造商或授权代表已将第1段中所述的资料提交至电子系统中。</w:t>
      </w:r>
    </w:p>
    <w:p w14:paraId="5B58104E">
      <w:pPr>
        <w:pStyle w:val="8"/>
        <w:topLinePunct/>
        <w:snapToGrid w:val="0"/>
        <w:spacing w:beforeLines="15" w:line="288" w:lineRule="auto"/>
        <w:ind w:firstLine="0"/>
        <w:jc w:val="both"/>
        <w:rPr>
          <w:kern w:val="2"/>
          <w:szCs w:val="21"/>
        </w:rPr>
      </w:pPr>
      <w:r>
        <w:rPr>
          <w:kern w:val="2"/>
          <w:szCs w:val="21"/>
        </w:rPr>
        <w:t>若第</w:t>
      </w:r>
      <w:r>
        <w:rPr>
          <w:rFonts w:hint="eastAsia"/>
          <w:kern w:val="2"/>
          <w:szCs w:val="21"/>
        </w:rPr>
        <w:t>1</w:t>
      </w:r>
      <w:r>
        <w:rPr>
          <w:kern w:val="2"/>
          <w:szCs w:val="21"/>
        </w:rPr>
        <w:t>段中所述的资料未上传或不正确，在适用的情况下，进口商应通知相关授权代表或制造商。进口商应将其详细资料添加到相关条目。</w:t>
      </w:r>
    </w:p>
    <w:p w14:paraId="28F88ECA">
      <w:pPr>
        <w:pStyle w:val="8"/>
        <w:tabs>
          <w:tab w:val="left" w:pos="681"/>
        </w:tabs>
        <w:topLinePunct/>
        <w:snapToGrid w:val="0"/>
        <w:spacing w:beforeLines="15" w:line="288" w:lineRule="auto"/>
        <w:ind w:hanging="568"/>
        <w:jc w:val="center"/>
        <w:rPr>
          <w:i/>
          <w:kern w:val="2"/>
          <w:szCs w:val="21"/>
        </w:rPr>
      </w:pPr>
    </w:p>
    <w:p w14:paraId="01CD9C94">
      <w:pPr>
        <w:pStyle w:val="8"/>
        <w:tabs>
          <w:tab w:val="left" w:pos="681"/>
        </w:tabs>
        <w:topLinePunct/>
        <w:snapToGrid w:val="0"/>
        <w:spacing w:beforeLines="15" w:line="288" w:lineRule="auto"/>
        <w:ind w:hanging="568"/>
        <w:jc w:val="center"/>
        <w:rPr>
          <w:rStyle w:val="48"/>
          <w:b/>
          <w:i/>
          <w:szCs w:val="21"/>
          <w:lang w:val="en-US" w:bidi="ar-SA"/>
        </w:rPr>
      </w:pPr>
      <w:r>
        <w:rPr>
          <w:i/>
          <w:kern w:val="2"/>
          <w:szCs w:val="21"/>
        </w:rPr>
        <w:t>第31条</w:t>
      </w:r>
    </w:p>
    <w:p w14:paraId="704ED846">
      <w:pPr>
        <w:snapToGrid w:val="0"/>
        <w:spacing w:beforeLines="15" w:line="288" w:lineRule="auto"/>
        <w:ind w:left="196"/>
        <w:jc w:val="center"/>
        <w:rPr>
          <w:rStyle w:val="48"/>
          <w:b/>
          <w:szCs w:val="21"/>
        </w:rPr>
      </w:pPr>
      <w:r>
        <w:rPr>
          <w:rFonts w:ascii="Times New Roman" w:hAnsi="Times New Roman"/>
          <w:b/>
          <w:kern w:val="2"/>
          <w:szCs w:val="21"/>
        </w:rPr>
        <w:t>制造商、授权代表和进口商的注册</w:t>
      </w:r>
    </w:p>
    <w:p w14:paraId="4820739C">
      <w:pPr>
        <w:pStyle w:val="32"/>
        <w:numPr>
          <w:ilvl w:val="0"/>
          <w:numId w:val="35"/>
        </w:numPr>
        <w:tabs>
          <w:tab w:val="left" w:pos="682"/>
        </w:tabs>
        <w:topLinePunct/>
        <w:snapToGrid w:val="0"/>
        <w:spacing w:beforeLines="15" w:line="288" w:lineRule="auto"/>
        <w:ind w:hanging="567"/>
        <w:jc w:val="both"/>
        <w:rPr>
          <w:rFonts w:ascii="Times New Roman" w:hAnsi="Times New Roman"/>
          <w:kern w:val="2"/>
          <w:szCs w:val="21"/>
        </w:rPr>
      </w:pPr>
      <w:r>
        <w:rPr>
          <w:rFonts w:ascii="Times New Roman" w:hAnsi="Times New Roman"/>
          <w:kern w:val="2"/>
          <w:szCs w:val="21"/>
        </w:rPr>
        <w:t>在非定制器械投放市场前，制造商、授权代表和进口商为实现注册，应当向第30条中所述的电子系统提交附录VI第A部分第1节所述的资料。前提是其并未根据本条</w:t>
      </w:r>
      <w:r>
        <w:rPr>
          <w:rFonts w:hint="eastAsia" w:ascii="Times New Roman" w:hAnsi="Times New Roman"/>
          <w:kern w:val="2"/>
          <w:szCs w:val="21"/>
        </w:rPr>
        <w:t>进行</w:t>
      </w:r>
      <w:r>
        <w:rPr>
          <w:rFonts w:ascii="Times New Roman" w:hAnsi="Times New Roman"/>
          <w:kern w:val="2"/>
          <w:szCs w:val="21"/>
        </w:rPr>
        <w:t>注册。若根据第52条符合性评估流程需要公告机构参与，应在向公告机构申请前向电子系统提交附录VI第A部分第1节所述的资料。</w:t>
      </w:r>
    </w:p>
    <w:p w14:paraId="10DE71DC">
      <w:pPr>
        <w:pStyle w:val="32"/>
        <w:numPr>
          <w:ilvl w:val="0"/>
          <w:numId w:val="35"/>
        </w:numPr>
        <w:tabs>
          <w:tab w:val="left" w:pos="682"/>
        </w:tabs>
        <w:topLinePunct/>
        <w:snapToGrid w:val="0"/>
        <w:spacing w:beforeLines="15" w:line="288" w:lineRule="auto"/>
        <w:ind w:hanging="567"/>
        <w:jc w:val="both"/>
        <w:rPr>
          <w:rFonts w:ascii="Times New Roman" w:hAnsi="Times New Roman"/>
          <w:kern w:val="2"/>
          <w:szCs w:val="21"/>
        </w:rPr>
      </w:pPr>
      <w:r>
        <w:rPr>
          <w:rFonts w:ascii="Times New Roman" w:hAnsi="Times New Roman"/>
          <w:kern w:val="2"/>
          <w:szCs w:val="21"/>
          <w:lang w:val="en-US"/>
        </w:rPr>
        <w:pict>
          <v:group id="Group 55" o:spid="_x0000_s1026" o:spt="203" style="position:absolute;left:0pt;margin-left:280pt;margin-top:61.35pt;height:0.1pt;width:2.95pt;mso-position-horizontal-relative:page;z-index:-251657216;mso-width-relative:page;mso-height-relative:page;" coordorigin="5600,1227" coordsize="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">
            <o:lock v:ext="edit"/>
            <v:shape id="Freeform 56" o:spid="_x0000_s1027" style="position:absolute;left:5600;top:1227;height:2;width:59;" filled="f" coordsize="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8nBMMA&#10;AADcAAAADwAAAGRycy9kb3ducmV2LnhtbERPTWvCQBC9C/0PyxS86aaWikTXEAq2gj1oWsHjkJ0m&#10;odnZsLtN4r/vFgRv83ifs8lG04qenG8sK3iaJyCIS6sbrhR8fe5mKxA+IGtsLZOCK3nItg+TDaba&#10;DnyivgiViCHsU1RQh9ClUvqyJoN+bjviyH1bZzBE6CqpHQ4x3LRykSRLabDh2FBjR681lT/Fr1Hw&#10;fn7Lj/0h+JMrqqX9uFzy9tkqNX0c8zWIQGO4i2/uvY7zkxf4fyZ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8nBMMAAADcAAAADwAAAAAAAAAAAAAAAACYAgAAZHJzL2Rv&#10;d25yZXYueG1sUEsFBgAAAAAEAAQA9QAAAIgDAAAAAA==&#10;" path="m0,0l59,0e">
              <v:path arrowok="t" o:connecttype="custom" o:connectlocs="0,0;59,0" o:connectangles="0,0"/>
              <v:fill on="f" focussize="0,0"/>
              <v:stroke weight="0.6pt"/>
              <v:imagedata o:title=""/>
              <o:lock v:ext="edit"/>
            </v:shape>
          </v:group>
        </w:pict>
      </w:r>
      <w:r>
        <w:rPr>
          <w:rFonts w:ascii="Times New Roman" w:hAnsi="Times New Roman"/>
          <w:kern w:val="2"/>
          <w:szCs w:val="21"/>
        </w:rPr>
        <w:t>在核实根据第1段输入的数据后，主管机构应自第30条所述的电子系统取得单一注册号('SRN')並签发给制造商、授权代表或进口商。</w:t>
      </w:r>
    </w:p>
    <w:p w14:paraId="2AF90952">
      <w:pPr>
        <w:pStyle w:val="32"/>
        <w:numPr>
          <w:ilvl w:val="0"/>
          <w:numId w:val="35"/>
        </w:numPr>
        <w:tabs>
          <w:tab w:val="left" w:pos="682"/>
        </w:tabs>
        <w:topLinePunct/>
        <w:snapToGrid w:val="0"/>
        <w:spacing w:beforeLines="18" w:line="276" w:lineRule="auto"/>
        <w:ind w:hanging="567"/>
        <w:jc w:val="both"/>
        <w:rPr>
          <w:rFonts w:ascii="Times New Roman" w:hAnsi="Times New Roman"/>
          <w:kern w:val="2"/>
          <w:szCs w:val="21"/>
        </w:rPr>
      </w:pPr>
      <w:r>
        <w:rPr>
          <w:rFonts w:ascii="Times New Roman" w:hAnsi="Times New Roman"/>
          <w:kern w:val="2"/>
          <w:szCs w:val="21"/>
        </w:rPr>
        <w:t>制造商向公告机构申请进行符合性评估和评估Eudamed（为履行第29条项下的义务）时需要用到单一注册号。</w:t>
      </w:r>
    </w:p>
    <w:p w14:paraId="149CA6FA">
      <w:pPr>
        <w:pStyle w:val="32"/>
        <w:numPr>
          <w:ilvl w:val="0"/>
          <w:numId w:val="35"/>
        </w:numPr>
        <w:tabs>
          <w:tab w:val="left" w:pos="682"/>
        </w:tabs>
        <w:topLinePunct/>
        <w:snapToGrid w:val="0"/>
        <w:spacing w:beforeLines="18" w:line="276" w:lineRule="auto"/>
        <w:ind w:hanging="567"/>
        <w:jc w:val="both"/>
        <w:rPr>
          <w:rFonts w:ascii="Times New Roman" w:hAnsi="Times New Roman"/>
          <w:kern w:val="2"/>
          <w:szCs w:val="21"/>
        </w:rPr>
      </w:pPr>
      <w:r>
        <w:rPr>
          <w:rFonts w:ascii="Times New Roman" w:hAnsi="Times New Roman"/>
          <w:kern w:val="2"/>
          <w:szCs w:val="21"/>
        </w:rPr>
        <w:t>如有关本条第1段所述的资料于一周内发生任何变动，相关经济营运商应当更新第30条中所述电子系统中的数据。</w:t>
      </w:r>
    </w:p>
    <w:p w14:paraId="2E8C3B7C">
      <w:pPr>
        <w:pStyle w:val="32"/>
        <w:numPr>
          <w:ilvl w:val="0"/>
          <w:numId w:val="35"/>
        </w:numPr>
        <w:tabs>
          <w:tab w:val="left" w:pos="682"/>
        </w:tabs>
        <w:topLinePunct/>
        <w:snapToGrid w:val="0"/>
        <w:spacing w:beforeLines="18" w:line="276" w:lineRule="auto"/>
        <w:ind w:hanging="567"/>
        <w:jc w:val="both"/>
        <w:rPr>
          <w:rFonts w:ascii="Times New Roman" w:hAnsi="Times New Roman"/>
          <w:kern w:val="2"/>
          <w:szCs w:val="21"/>
        </w:rPr>
      </w:pPr>
      <w:r>
        <w:rPr>
          <w:rFonts w:ascii="Times New Roman" w:hAnsi="Times New Roman"/>
          <w:kern w:val="2"/>
          <w:szCs w:val="21"/>
        </w:rPr>
        <w:t>提交第1段所述的资料后不迟于一年及此后的每两年，相关经济营运商应确认数据的准确性。在六个月到期日内未确认的情况下，任何成员国可于其领土范围内采取适当的纠正措施，直至本段所述义务</w:t>
      </w:r>
      <w:r>
        <w:rPr>
          <w:rFonts w:hint="eastAsia" w:ascii="Times New Roman" w:hAnsi="Times New Roman"/>
          <w:kern w:val="2"/>
          <w:szCs w:val="21"/>
        </w:rPr>
        <w:t>得到履行</w:t>
      </w:r>
      <w:r>
        <w:rPr>
          <w:rFonts w:ascii="Times New Roman" w:hAnsi="Times New Roman"/>
          <w:kern w:val="2"/>
          <w:szCs w:val="21"/>
        </w:rPr>
        <w:t>。</w:t>
      </w:r>
    </w:p>
    <w:p w14:paraId="25F53FFD">
      <w:pPr>
        <w:pStyle w:val="32"/>
        <w:numPr>
          <w:ilvl w:val="0"/>
          <w:numId w:val="35"/>
        </w:numPr>
        <w:tabs>
          <w:tab w:val="left" w:pos="682"/>
        </w:tabs>
        <w:topLinePunct/>
        <w:snapToGrid w:val="0"/>
        <w:spacing w:beforeLines="18" w:line="276" w:lineRule="auto"/>
        <w:ind w:hanging="567"/>
        <w:jc w:val="both"/>
        <w:rPr>
          <w:rFonts w:ascii="Times New Roman" w:hAnsi="Times New Roman"/>
          <w:kern w:val="2"/>
          <w:szCs w:val="21"/>
        </w:rPr>
      </w:pPr>
      <w:r>
        <w:rPr>
          <w:rFonts w:ascii="Times New Roman" w:hAnsi="Times New Roman"/>
          <w:kern w:val="2"/>
          <w:szCs w:val="21"/>
        </w:rPr>
        <w:t>在不影响经济营运商对数据的责任的情况下，主管机构应核实附录VI第A部分第1节中所述的已确认的数据。</w:t>
      </w:r>
    </w:p>
    <w:p w14:paraId="40E53725">
      <w:pPr>
        <w:pStyle w:val="32"/>
        <w:numPr>
          <w:ilvl w:val="0"/>
          <w:numId w:val="35"/>
        </w:numPr>
        <w:tabs>
          <w:tab w:val="left" w:pos="682"/>
        </w:tabs>
        <w:topLinePunct/>
        <w:snapToGrid w:val="0"/>
        <w:spacing w:beforeLines="18" w:line="276" w:lineRule="auto"/>
        <w:ind w:hanging="567"/>
        <w:jc w:val="both"/>
        <w:rPr>
          <w:rFonts w:ascii="Times New Roman" w:hAnsi="Times New Roman"/>
          <w:kern w:val="2"/>
          <w:szCs w:val="21"/>
        </w:rPr>
      </w:pPr>
      <w:r>
        <w:rPr>
          <w:rFonts w:ascii="Times New Roman" w:hAnsi="Times New Roman"/>
          <w:kern w:val="2"/>
          <w:szCs w:val="21"/>
        </w:rPr>
        <w:t>根据本条第1段录入第30条所述的电子系统中的数据应向公众开放。</w:t>
      </w:r>
    </w:p>
    <w:p w14:paraId="5FDF5F0D">
      <w:pPr>
        <w:pStyle w:val="32"/>
        <w:numPr>
          <w:ilvl w:val="0"/>
          <w:numId w:val="35"/>
        </w:numPr>
        <w:tabs>
          <w:tab w:val="left" w:pos="682"/>
        </w:tabs>
        <w:topLinePunct/>
        <w:snapToGrid w:val="0"/>
        <w:spacing w:beforeLines="18" w:line="276" w:lineRule="auto"/>
        <w:ind w:hanging="567"/>
        <w:jc w:val="both"/>
        <w:rPr>
          <w:rFonts w:ascii="Times New Roman" w:hAnsi="Times New Roman"/>
          <w:kern w:val="2"/>
          <w:szCs w:val="21"/>
        </w:rPr>
      </w:pPr>
      <w:r>
        <w:rPr>
          <w:rFonts w:ascii="Times New Roman" w:hAnsi="Times New Roman"/>
          <w:kern w:val="2"/>
          <w:szCs w:val="21"/>
        </w:rPr>
        <w:t>根据第111条，主管机构可利用这些数据对制造商、授权代表或进口商收费。</w:t>
      </w:r>
    </w:p>
    <w:p w14:paraId="0D6F78FB">
      <w:pPr>
        <w:snapToGrid w:val="0"/>
        <w:spacing w:beforeLines="18" w:line="276" w:lineRule="auto"/>
        <w:ind w:left="191"/>
        <w:jc w:val="center"/>
        <w:rPr>
          <w:rFonts w:ascii="Times New Roman" w:hAnsi="Times New Roman"/>
          <w:i/>
          <w:kern w:val="2"/>
          <w:szCs w:val="21"/>
        </w:rPr>
      </w:pPr>
    </w:p>
    <w:p w14:paraId="12D6E161">
      <w:pPr>
        <w:snapToGrid w:val="0"/>
        <w:spacing w:beforeLines="18" w:line="276" w:lineRule="auto"/>
        <w:ind w:left="191"/>
        <w:jc w:val="center"/>
        <w:rPr>
          <w:rStyle w:val="48"/>
          <w:szCs w:val="21"/>
          <w:lang w:val="zh-CN"/>
        </w:rPr>
      </w:pPr>
      <w:r>
        <w:rPr>
          <w:rFonts w:ascii="Times New Roman" w:hAnsi="Times New Roman"/>
          <w:i/>
          <w:kern w:val="2"/>
          <w:szCs w:val="21"/>
        </w:rPr>
        <w:t>第32条</w:t>
      </w:r>
    </w:p>
    <w:p w14:paraId="30C4CB24">
      <w:pPr>
        <w:snapToGrid w:val="0"/>
        <w:spacing w:beforeLines="18" w:line="276" w:lineRule="auto"/>
        <w:ind w:left="191"/>
        <w:jc w:val="center"/>
        <w:rPr>
          <w:rStyle w:val="48"/>
          <w:b/>
          <w:szCs w:val="21"/>
          <w:lang w:val="zh-CN"/>
        </w:rPr>
      </w:pPr>
      <w:r>
        <w:rPr>
          <w:rFonts w:ascii="Times New Roman" w:hAnsi="Times New Roman"/>
          <w:b/>
          <w:kern w:val="2"/>
          <w:szCs w:val="21"/>
        </w:rPr>
        <w:t>安全和临床性能</w:t>
      </w:r>
      <w:r>
        <w:rPr>
          <w:rFonts w:hint="eastAsia" w:ascii="Times New Roman" w:hAnsi="Times New Roman"/>
          <w:b/>
          <w:kern w:val="2"/>
          <w:szCs w:val="21"/>
        </w:rPr>
        <w:t>总结</w:t>
      </w:r>
    </w:p>
    <w:p w14:paraId="53F711FB">
      <w:pPr>
        <w:pStyle w:val="32"/>
        <w:numPr>
          <w:ilvl w:val="0"/>
          <w:numId w:val="36"/>
        </w:numPr>
        <w:tabs>
          <w:tab w:val="left" w:pos="682"/>
        </w:tabs>
        <w:topLinePunct/>
        <w:snapToGrid w:val="0"/>
        <w:spacing w:beforeLines="18" w:line="276" w:lineRule="auto"/>
        <w:ind w:hanging="567"/>
        <w:jc w:val="both"/>
        <w:rPr>
          <w:rFonts w:ascii="Times New Roman" w:hAnsi="Times New Roman"/>
          <w:kern w:val="2"/>
          <w:szCs w:val="21"/>
        </w:rPr>
      </w:pPr>
      <w:r>
        <w:rPr>
          <w:rFonts w:ascii="Times New Roman" w:hAnsi="Times New Roman"/>
          <w:kern w:val="2"/>
          <w:szCs w:val="21"/>
        </w:rPr>
        <w:t>对于III类器械和植入式器械（非定制或研究器械），制造商应起草一份安全和临床性能总结。</w:t>
      </w:r>
    </w:p>
    <w:p w14:paraId="48F3224A">
      <w:pPr>
        <w:pStyle w:val="8"/>
        <w:topLinePunct/>
        <w:snapToGrid w:val="0"/>
        <w:spacing w:beforeLines="18" w:line="276" w:lineRule="auto"/>
        <w:ind w:firstLine="0"/>
        <w:jc w:val="both"/>
        <w:rPr>
          <w:kern w:val="2"/>
          <w:szCs w:val="21"/>
        </w:rPr>
      </w:pPr>
      <w:r>
        <w:rPr>
          <w:kern w:val="2"/>
          <w:szCs w:val="21"/>
        </w:rPr>
        <w:t>该安全和临床性能</w:t>
      </w:r>
      <w:r>
        <w:rPr>
          <w:rFonts w:hint="eastAsia"/>
          <w:kern w:val="2"/>
          <w:szCs w:val="21"/>
        </w:rPr>
        <w:t>总结</w:t>
      </w:r>
      <w:r>
        <w:rPr>
          <w:kern w:val="2"/>
          <w:szCs w:val="21"/>
        </w:rPr>
        <w:t>应令拟定使用者及（如相关）患者明白，並应通过Eudamed向公众开放。</w:t>
      </w:r>
    </w:p>
    <w:p w14:paraId="3D10B60E">
      <w:pPr>
        <w:pStyle w:val="8"/>
        <w:topLinePunct/>
        <w:snapToGrid w:val="0"/>
        <w:spacing w:beforeLines="18" w:line="276" w:lineRule="auto"/>
        <w:ind w:firstLine="0"/>
        <w:jc w:val="both"/>
        <w:rPr>
          <w:kern w:val="2"/>
          <w:szCs w:val="21"/>
        </w:rPr>
      </w:pPr>
      <w:r>
        <w:rPr>
          <w:kern w:val="2"/>
          <w:szCs w:val="21"/>
        </w:rPr>
        <w:t>本安全和临床</w:t>
      </w:r>
      <w:r>
        <w:rPr>
          <w:rFonts w:hint="eastAsia"/>
          <w:kern w:val="2"/>
          <w:szCs w:val="21"/>
        </w:rPr>
        <w:t>性能总结</w:t>
      </w:r>
      <w:r>
        <w:rPr>
          <w:kern w:val="2"/>
          <w:szCs w:val="21"/>
        </w:rPr>
        <w:t>的草案应当是提交予依照第52条所参与符合性评估的公告机构文件的一部分，并由该机构来验证。验证后，公告机构应将该</w:t>
      </w:r>
      <w:r>
        <w:rPr>
          <w:rFonts w:hint="eastAsia"/>
          <w:kern w:val="2"/>
          <w:szCs w:val="21"/>
        </w:rPr>
        <w:t>总结</w:t>
      </w:r>
      <w:r>
        <w:rPr>
          <w:kern w:val="2"/>
          <w:szCs w:val="21"/>
        </w:rPr>
        <w:t>报告上传到Eudamed。制造商应在标签或使用说明所述</w:t>
      </w:r>
      <w:r>
        <w:rPr>
          <w:rFonts w:hint="eastAsia"/>
          <w:kern w:val="2"/>
          <w:szCs w:val="21"/>
        </w:rPr>
        <w:t>总结</w:t>
      </w:r>
      <w:r>
        <w:rPr>
          <w:kern w:val="2"/>
          <w:szCs w:val="21"/>
        </w:rPr>
        <w:t>报告可获得的地址。</w:t>
      </w:r>
    </w:p>
    <w:p w14:paraId="53D94C52">
      <w:pPr>
        <w:pStyle w:val="8"/>
        <w:tabs>
          <w:tab w:val="left" w:pos="681"/>
        </w:tabs>
        <w:topLinePunct/>
        <w:snapToGrid w:val="0"/>
        <w:spacing w:beforeLines="18" w:line="276" w:lineRule="auto"/>
        <w:ind w:left="114" w:firstLine="0"/>
        <w:jc w:val="both"/>
        <w:rPr>
          <w:kern w:val="2"/>
          <w:szCs w:val="21"/>
        </w:rPr>
      </w:pPr>
      <w:r>
        <w:rPr>
          <w:kern w:val="2"/>
          <w:szCs w:val="21"/>
        </w:rPr>
        <w:t>2.</w:t>
      </w:r>
      <w:r>
        <w:rPr>
          <w:kern w:val="2"/>
          <w:szCs w:val="21"/>
        </w:rPr>
        <w:tab/>
      </w:r>
      <w:r>
        <w:rPr>
          <w:kern w:val="2"/>
          <w:szCs w:val="21"/>
        </w:rPr>
        <w:t>安全和临床性能总结应至少包括以下方面：</w:t>
      </w:r>
    </w:p>
    <w:p w14:paraId="0676BE87">
      <w:pPr>
        <w:pStyle w:val="32"/>
        <w:numPr>
          <w:ilvl w:val="1"/>
          <w:numId w:val="36"/>
        </w:numPr>
        <w:tabs>
          <w:tab w:val="left" w:pos="1248"/>
        </w:tabs>
        <w:topLinePunct/>
        <w:snapToGrid w:val="0"/>
        <w:spacing w:beforeLines="18" w:line="276" w:lineRule="auto"/>
        <w:jc w:val="both"/>
        <w:rPr>
          <w:rFonts w:ascii="Times New Roman" w:hAnsi="Times New Roman"/>
          <w:kern w:val="2"/>
          <w:szCs w:val="21"/>
        </w:rPr>
      </w:pPr>
      <w:r>
        <w:rPr>
          <w:rFonts w:ascii="Times New Roman" w:hAnsi="Times New Roman"/>
          <w:kern w:val="2"/>
          <w:szCs w:val="21"/>
        </w:rPr>
        <w:t>器械和制造商标识，包括基本UDI - DI和SRN（如已发布）；</w:t>
      </w:r>
    </w:p>
    <w:p w14:paraId="5F1C5327">
      <w:pPr>
        <w:pStyle w:val="32"/>
        <w:numPr>
          <w:ilvl w:val="1"/>
          <w:numId w:val="36"/>
        </w:numPr>
        <w:tabs>
          <w:tab w:val="left" w:pos="1248"/>
        </w:tabs>
        <w:topLinePunct/>
        <w:snapToGrid w:val="0"/>
        <w:spacing w:beforeLines="18" w:line="276" w:lineRule="auto"/>
        <w:jc w:val="both"/>
        <w:rPr>
          <w:rFonts w:ascii="Times New Roman" w:hAnsi="Times New Roman"/>
          <w:kern w:val="2"/>
          <w:szCs w:val="21"/>
        </w:rPr>
      </w:pPr>
      <w:r>
        <w:rPr>
          <w:rFonts w:ascii="Times New Roman" w:hAnsi="Times New Roman"/>
          <w:kern w:val="2"/>
          <w:szCs w:val="21"/>
        </w:rPr>
        <w:t>该器械的预期用途，包括任何适应症、禁忌症和目标人群；</w:t>
      </w:r>
    </w:p>
    <w:p w14:paraId="23215A51">
      <w:pPr>
        <w:pStyle w:val="32"/>
        <w:numPr>
          <w:ilvl w:val="1"/>
          <w:numId w:val="36"/>
        </w:numPr>
        <w:tabs>
          <w:tab w:val="left" w:pos="1248"/>
        </w:tabs>
        <w:topLinePunct/>
        <w:snapToGrid w:val="0"/>
        <w:spacing w:beforeLines="18" w:line="276" w:lineRule="auto"/>
        <w:ind w:left="1247"/>
        <w:jc w:val="both"/>
        <w:rPr>
          <w:rFonts w:ascii="Times New Roman" w:hAnsi="Times New Roman"/>
          <w:kern w:val="2"/>
          <w:szCs w:val="21"/>
        </w:rPr>
      </w:pPr>
      <w:r>
        <w:rPr>
          <w:rFonts w:ascii="Times New Roman" w:hAnsi="Times New Roman"/>
          <w:kern w:val="2"/>
          <w:szCs w:val="21"/>
        </w:rPr>
        <w:t>该器械的说明，包括前一代或变体（如存在）的参考文件，和差别说明，以及附件、其他器械和其他产品等与该器械联合使用的产品说明；</w:t>
      </w:r>
    </w:p>
    <w:p w14:paraId="3D74B018">
      <w:pPr>
        <w:pStyle w:val="32"/>
        <w:numPr>
          <w:ilvl w:val="1"/>
          <w:numId w:val="36"/>
        </w:numPr>
        <w:tabs>
          <w:tab w:val="left" w:pos="1248"/>
        </w:tabs>
        <w:topLinePunct/>
        <w:snapToGrid w:val="0"/>
        <w:spacing w:beforeLines="18" w:line="276" w:lineRule="auto"/>
        <w:ind w:left="1247"/>
        <w:jc w:val="both"/>
        <w:rPr>
          <w:rFonts w:ascii="Times New Roman" w:hAnsi="Times New Roman"/>
          <w:kern w:val="2"/>
          <w:szCs w:val="21"/>
        </w:rPr>
      </w:pPr>
      <w:r>
        <w:rPr>
          <w:rFonts w:ascii="Times New Roman" w:hAnsi="Times New Roman"/>
          <w:kern w:val="2"/>
          <w:szCs w:val="21"/>
        </w:rPr>
        <w:t>可能的诊断或治疗替代品；</w:t>
      </w:r>
    </w:p>
    <w:p w14:paraId="65886179">
      <w:pPr>
        <w:pStyle w:val="32"/>
        <w:numPr>
          <w:ilvl w:val="1"/>
          <w:numId w:val="36"/>
        </w:numPr>
        <w:tabs>
          <w:tab w:val="left" w:pos="1248"/>
        </w:tabs>
        <w:topLinePunct/>
        <w:snapToGrid w:val="0"/>
        <w:spacing w:beforeLines="18" w:line="276" w:lineRule="auto"/>
        <w:ind w:left="1247"/>
        <w:jc w:val="both"/>
        <w:rPr>
          <w:rFonts w:ascii="Times New Roman" w:hAnsi="Times New Roman"/>
          <w:kern w:val="2"/>
          <w:szCs w:val="21"/>
        </w:rPr>
      </w:pPr>
      <w:r>
        <w:rPr>
          <w:rFonts w:ascii="Times New Roman" w:hAnsi="Times New Roman"/>
          <w:kern w:val="2"/>
          <w:szCs w:val="21"/>
        </w:rPr>
        <w:t>协调标准和CS的参考文件；</w:t>
      </w:r>
    </w:p>
    <w:p w14:paraId="468C016B">
      <w:pPr>
        <w:pStyle w:val="32"/>
        <w:numPr>
          <w:ilvl w:val="1"/>
          <w:numId w:val="36"/>
        </w:numPr>
        <w:tabs>
          <w:tab w:val="left" w:pos="1248"/>
        </w:tabs>
        <w:topLinePunct/>
        <w:snapToGrid w:val="0"/>
        <w:spacing w:beforeLines="18" w:line="276" w:lineRule="auto"/>
        <w:ind w:left="1247"/>
        <w:jc w:val="both"/>
        <w:rPr>
          <w:rFonts w:ascii="Times New Roman" w:hAnsi="Times New Roman"/>
          <w:kern w:val="2"/>
          <w:szCs w:val="21"/>
        </w:rPr>
      </w:pPr>
      <w:r>
        <w:rPr>
          <w:rFonts w:ascii="Times New Roman" w:hAnsi="Times New Roman"/>
          <w:kern w:val="2"/>
          <w:szCs w:val="21"/>
        </w:rPr>
        <w:t>附录XIV中参考的临床评价</w:t>
      </w:r>
      <w:r>
        <w:rPr>
          <w:rFonts w:hint="eastAsia"/>
          <w:kern w:val="2"/>
          <w:szCs w:val="21"/>
        </w:rPr>
        <w:t>总结</w:t>
      </w:r>
      <w:r>
        <w:rPr>
          <w:rFonts w:ascii="Times New Roman" w:hAnsi="Times New Roman"/>
          <w:kern w:val="2"/>
          <w:szCs w:val="21"/>
        </w:rPr>
        <w:t>和上市后临床跟踪的相关信息；</w:t>
      </w:r>
    </w:p>
    <w:p w14:paraId="2D3628C8">
      <w:pPr>
        <w:pStyle w:val="32"/>
        <w:numPr>
          <w:ilvl w:val="1"/>
          <w:numId w:val="36"/>
        </w:numPr>
        <w:tabs>
          <w:tab w:val="left" w:pos="1248"/>
        </w:tabs>
        <w:topLinePunct/>
        <w:snapToGrid w:val="0"/>
        <w:spacing w:beforeLines="18" w:line="276" w:lineRule="auto"/>
        <w:ind w:left="1247"/>
        <w:jc w:val="both"/>
        <w:rPr>
          <w:rFonts w:ascii="Times New Roman" w:hAnsi="Times New Roman"/>
          <w:kern w:val="2"/>
          <w:szCs w:val="21"/>
        </w:rPr>
      </w:pPr>
      <w:r>
        <w:rPr>
          <w:rFonts w:ascii="Times New Roman" w:hAnsi="Times New Roman"/>
          <w:kern w:val="2"/>
          <w:szCs w:val="21"/>
        </w:rPr>
        <w:t>为使用者提供的建议简况和培训；</w:t>
      </w:r>
    </w:p>
    <w:p w14:paraId="47A8D84D">
      <w:pPr>
        <w:pStyle w:val="32"/>
        <w:numPr>
          <w:ilvl w:val="1"/>
          <w:numId w:val="36"/>
        </w:numPr>
        <w:tabs>
          <w:tab w:val="left" w:pos="1248"/>
        </w:tabs>
        <w:topLinePunct/>
        <w:snapToGrid w:val="0"/>
        <w:spacing w:beforeLines="18" w:line="276" w:lineRule="auto"/>
        <w:ind w:left="1247"/>
        <w:jc w:val="both"/>
        <w:rPr>
          <w:rFonts w:ascii="Times New Roman" w:hAnsi="Times New Roman"/>
          <w:kern w:val="2"/>
          <w:szCs w:val="21"/>
        </w:rPr>
      </w:pPr>
      <w:r>
        <w:rPr>
          <w:rFonts w:ascii="Times New Roman" w:hAnsi="Times New Roman"/>
          <w:kern w:val="2"/>
          <w:szCs w:val="21"/>
        </w:rPr>
        <w:t>有关任何剩余风险和任何不良影响、警戒和预防措施的信息。</w:t>
      </w:r>
    </w:p>
    <w:p w14:paraId="6204D18D">
      <w:pPr>
        <w:pStyle w:val="32"/>
        <w:tabs>
          <w:tab w:val="left" w:pos="682"/>
        </w:tabs>
        <w:topLinePunct/>
        <w:snapToGrid w:val="0"/>
        <w:spacing w:beforeLines="18" w:line="276" w:lineRule="auto"/>
        <w:ind w:left="657" w:hanging="657" w:hangingChars="313"/>
        <w:jc w:val="both"/>
        <w:rPr>
          <w:rFonts w:ascii="Times New Roman" w:hAnsi="Times New Roman"/>
          <w:kern w:val="2"/>
          <w:szCs w:val="21"/>
        </w:rPr>
      </w:pPr>
      <w:r>
        <w:rPr>
          <w:rFonts w:ascii="Times New Roman" w:hAnsi="Times New Roman"/>
          <w:kern w:val="2"/>
          <w:szCs w:val="21"/>
        </w:rPr>
        <w:t>3.</w:t>
      </w:r>
      <w:r>
        <w:rPr>
          <w:rFonts w:ascii="Times New Roman" w:hAnsi="Times New Roman"/>
          <w:kern w:val="2"/>
          <w:szCs w:val="21"/>
        </w:rPr>
        <w:tab/>
      </w:r>
      <w:r>
        <w:rPr>
          <w:rFonts w:ascii="Times New Roman" w:hAnsi="Times New Roman"/>
          <w:kern w:val="2"/>
          <w:szCs w:val="21"/>
        </w:rPr>
        <w:t>委员会可通过实施细则，载列将纳入安全和临床性能总结的数据元素的形式及声明。应按照第114(2)条中述及的咨询规程通过这些实施细则。</w:t>
      </w:r>
    </w:p>
    <w:p w14:paraId="0CEB2B6F">
      <w:pPr>
        <w:snapToGrid w:val="0"/>
        <w:spacing w:beforeLines="18" w:line="276" w:lineRule="auto"/>
        <w:rPr>
          <w:rFonts w:ascii="Times New Roman" w:hAnsi="Times New Roman"/>
          <w:kern w:val="2"/>
          <w:szCs w:val="21"/>
        </w:rPr>
      </w:pPr>
    </w:p>
    <w:p w14:paraId="77439D17">
      <w:pPr>
        <w:snapToGrid w:val="0"/>
        <w:spacing w:beforeLines="18" w:line="276" w:lineRule="auto"/>
        <w:ind w:left="196"/>
        <w:jc w:val="center"/>
        <w:rPr>
          <w:rStyle w:val="48"/>
          <w:szCs w:val="21"/>
          <w:lang w:val="zh-CN"/>
        </w:rPr>
      </w:pPr>
      <w:r>
        <w:rPr>
          <w:rFonts w:ascii="Times New Roman" w:hAnsi="Times New Roman"/>
          <w:i/>
          <w:kern w:val="2"/>
          <w:szCs w:val="21"/>
        </w:rPr>
        <w:t>第33条</w:t>
      </w:r>
    </w:p>
    <w:p w14:paraId="106D0B6F">
      <w:pPr>
        <w:snapToGrid w:val="0"/>
        <w:spacing w:beforeLines="18" w:line="276" w:lineRule="auto"/>
        <w:ind w:left="196"/>
        <w:jc w:val="center"/>
        <w:rPr>
          <w:rStyle w:val="48"/>
          <w:b/>
          <w:szCs w:val="21"/>
          <w:lang w:val="zh-CN"/>
        </w:rPr>
      </w:pPr>
      <w:r>
        <w:rPr>
          <w:rFonts w:ascii="Times New Roman" w:hAnsi="Times New Roman"/>
          <w:b/>
          <w:kern w:val="2"/>
          <w:szCs w:val="21"/>
        </w:rPr>
        <w:t>欧洲医疗器械数据库</w:t>
      </w:r>
    </w:p>
    <w:p w14:paraId="12B7D5CA">
      <w:pPr>
        <w:pStyle w:val="32"/>
        <w:numPr>
          <w:ilvl w:val="0"/>
          <w:numId w:val="37"/>
        </w:numPr>
        <w:tabs>
          <w:tab w:val="left" w:pos="682"/>
        </w:tabs>
        <w:topLinePunct/>
        <w:snapToGrid w:val="0"/>
        <w:spacing w:beforeLines="18" w:line="276" w:lineRule="auto"/>
        <w:ind w:hanging="567"/>
        <w:jc w:val="both"/>
        <w:rPr>
          <w:rFonts w:ascii="Times New Roman" w:hAnsi="Times New Roman"/>
          <w:kern w:val="2"/>
          <w:szCs w:val="21"/>
        </w:rPr>
      </w:pPr>
      <w:r>
        <w:rPr>
          <w:rFonts w:ascii="Times New Roman" w:hAnsi="Times New Roman"/>
          <w:kern w:val="2"/>
          <w:szCs w:val="21"/>
        </w:rPr>
        <w:t>委员会应</w:t>
      </w:r>
      <w:r>
        <w:rPr>
          <w:rFonts w:hint="eastAsia" w:ascii="Times New Roman" w:hAnsi="Times New Roman"/>
          <w:kern w:val="2"/>
          <w:szCs w:val="21"/>
        </w:rPr>
        <w:t>出于</w:t>
      </w:r>
      <w:r>
        <w:rPr>
          <w:rFonts w:ascii="Times New Roman" w:hAnsi="Times New Roman"/>
          <w:kern w:val="2"/>
          <w:szCs w:val="21"/>
        </w:rPr>
        <w:t>下列目的，与MDCG商议后，设立、维护和管理欧洲医疗器械数据库（'Eudamed'）：</w:t>
      </w:r>
    </w:p>
    <w:p w14:paraId="581642F5">
      <w:pPr>
        <w:pStyle w:val="32"/>
        <w:numPr>
          <w:ilvl w:val="1"/>
          <w:numId w:val="37"/>
        </w:numPr>
        <w:tabs>
          <w:tab w:val="left" w:pos="1248"/>
        </w:tabs>
        <w:topLinePunct/>
        <w:snapToGrid w:val="0"/>
        <w:spacing w:beforeLines="18" w:line="276" w:lineRule="auto"/>
        <w:ind w:left="1247"/>
        <w:jc w:val="both"/>
        <w:rPr>
          <w:rFonts w:ascii="Times New Roman" w:hAnsi="Times New Roman"/>
          <w:kern w:val="2"/>
          <w:szCs w:val="21"/>
        </w:rPr>
      </w:pPr>
      <w:r>
        <w:rPr>
          <w:rFonts w:ascii="Times New Roman" w:hAnsi="Times New Roman"/>
          <w:kern w:val="2"/>
          <w:szCs w:val="21"/>
        </w:rPr>
        <w:t>帮助公众对投放于市场的器械、认证机构发出的相应证书及相关经济运营商有充分的了解；</w:t>
      </w:r>
    </w:p>
    <w:p w14:paraId="073E3825">
      <w:pPr>
        <w:pStyle w:val="32"/>
        <w:numPr>
          <w:ilvl w:val="1"/>
          <w:numId w:val="3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实现内部市场上器械的唯一标识，并促进可追溯性；</w:t>
      </w:r>
    </w:p>
    <w:p w14:paraId="7E3A5D3C">
      <w:pPr>
        <w:pStyle w:val="32"/>
        <w:numPr>
          <w:ilvl w:val="1"/>
          <w:numId w:val="3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帮助公众充分了解临床研究情况，并要求临床研究申办方遵守第62至80条和</w:t>
      </w:r>
      <w:r>
        <w:rPr>
          <w:rFonts w:hint="eastAsia" w:ascii="Times New Roman" w:hAnsi="Times New Roman"/>
          <w:kern w:val="2"/>
          <w:szCs w:val="21"/>
        </w:rPr>
        <w:t>82条</w:t>
      </w:r>
      <w:r>
        <w:rPr>
          <w:rFonts w:ascii="Times New Roman" w:hAnsi="Times New Roman"/>
          <w:kern w:val="2"/>
          <w:szCs w:val="21"/>
        </w:rPr>
        <w:t>以及任何根据第81条所采用的法案规定的义务；</w:t>
      </w:r>
    </w:p>
    <w:p w14:paraId="09B6CEF4">
      <w:pPr>
        <w:pStyle w:val="32"/>
        <w:numPr>
          <w:ilvl w:val="1"/>
          <w:numId w:val="3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要求制造商遵守第87至90条或任何根据第91条所采用法案规定的信息义务；</w:t>
      </w:r>
    </w:p>
    <w:p w14:paraId="63405286">
      <w:pPr>
        <w:pStyle w:val="32"/>
        <w:numPr>
          <w:ilvl w:val="1"/>
          <w:numId w:val="3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使成员国和委员会的主管机构能够在充分知情的基础上执行与本法规有关的任务，并加强它们间的合作。</w:t>
      </w:r>
    </w:p>
    <w:p w14:paraId="68080CE3">
      <w:pPr>
        <w:pStyle w:val="32"/>
        <w:numPr>
          <w:ilvl w:val="0"/>
          <w:numId w:val="3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Eudamed应包括以下电子系统：</w:t>
      </w:r>
    </w:p>
    <w:p w14:paraId="5A31BAB1">
      <w:pPr>
        <w:pStyle w:val="32"/>
        <w:tabs>
          <w:tab w:val="left" w:pos="1248"/>
        </w:tabs>
        <w:topLinePunct/>
        <w:snapToGrid w:val="0"/>
        <w:spacing w:beforeLines="25" w:line="300" w:lineRule="auto"/>
        <w:ind w:left="-2" w:leftChars="-1" w:firstLine="672" w:firstLineChars="320"/>
        <w:jc w:val="both"/>
        <w:rPr>
          <w:rFonts w:ascii="Times New Roman" w:hAnsi="Times New Roman"/>
          <w:kern w:val="2"/>
          <w:szCs w:val="21"/>
        </w:rPr>
      </w:pPr>
      <w:bookmarkStart w:id="31" w:name="(aa)_the_electronic_system_on_registrati"/>
      <w:bookmarkEnd w:id="31"/>
      <w:r>
        <w:rPr>
          <w:rFonts w:hint="eastAsia" w:ascii="Times New Roman" w:hAnsi="Times New Roman"/>
          <w:kern w:val="2"/>
          <w:szCs w:val="21"/>
        </w:rPr>
        <w:t>(</w:t>
      </w:r>
      <w:r>
        <w:rPr>
          <w:rFonts w:ascii="Times New Roman" w:hAnsi="Times New Roman"/>
          <w:kern w:val="2"/>
          <w:szCs w:val="21"/>
        </w:rPr>
        <w:t>a</w:t>
      </w:r>
      <w:r>
        <w:rPr>
          <w:rFonts w:hint="eastAsia" w:ascii="Times New Roman" w:hAnsi="Times New Roman"/>
          <w:kern w:val="2"/>
          <w:szCs w:val="21"/>
        </w:rPr>
        <w:t>)</w:t>
      </w:r>
      <w:r>
        <w:rPr>
          <w:rFonts w:ascii="Times New Roman" w:hAnsi="Times New Roman"/>
          <w:kern w:val="2"/>
          <w:szCs w:val="21"/>
        </w:rPr>
        <w:tab/>
      </w:r>
      <w:r>
        <w:rPr>
          <w:rFonts w:ascii="Times New Roman" w:hAnsi="Times New Roman"/>
          <w:kern w:val="2"/>
          <w:szCs w:val="21"/>
        </w:rPr>
        <w:t>在第29（4）条中所述器械注册电子系统；</w:t>
      </w:r>
    </w:p>
    <w:p w14:paraId="696BF1BD">
      <w:pPr>
        <w:pStyle w:val="32"/>
        <w:tabs>
          <w:tab w:val="left" w:pos="1248"/>
        </w:tabs>
        <w:topLinePunct/>
        <w:snapToGrid w:val="0"/>
        <w:spacing w:beforeLines="25" w:line="300" w:lineRule="auto"/>
        <w:ind w:left="-2" w:leftChars="-1" w:firstLine="672" w:firstLineChars="320"/>
        <w:jc w:val="both"/>
        <w:rPr>
          <w:rFonts w:ascii="Times New Roman" w:hAnsi="Times New Roman"/>
          <w:kern w:val="2"/>
          <w:szCs w:val="21"/>
        </w:rPr>
      </w:pPr>
      <w:bookmarkStart w:id="32" w:name="(a)_the_electronic_system_on_UDI_referre"/>
      <w:bookmarkEnd w:id="32"/>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第28条所指的UDI数据库；</w:t>
      </w:r>
    </w:p>
    <w:p w14:paraId="25D527F4">
      <w:pPr>
        <w:pStyle w:val="32"/>
        <w:tabs>
          <w:tab w:val="left" w:pos="1248"/>
        </w:tabs>
        <w:topLinePunct/>
        <w:snapToGrid w:val="0"/>
        <w:spacing w:beforeLines="25" w:line="300" w:lineRule="auto"/>
        <w:ind w:left="-2" w:leftChars="-1" w:firstLine="672" w:firstLineChars="320"/>
        <w:jc w:val="both"/>
        <w:rPr>
          <w:rFonts w:ascii="Times New Roman" w:hAnsi="Times New Roman"/>
          <w:kern w:val="2"/>
          <w:szCs w:val="21"/>
        </w:rPr>
      </w:pPr>
      <w:bookmarkStart w:id="33" w:name="(b)_the_electronic_system_on_registratio"/>
      <w:bookmarkEnd w:id="33"/>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在第30条中所述的经济运营商电子登记系统；</w:t>
      </w:r>
    </w:p>
    <w:p w14:paraId="7E5BD115">
      <w:pPr>
        <w:pStyle w:val="32"/>
        <w:tabs>
          <w:tab w:val="left" w:pos="1248"/>
        </w:tabs>
        <w:topLinePunct/>
        <w:snapToGrid w:val="0"/>
        <w:spacing w:beforeLines="25" w:line="300" w:lineRule="auto"/>
        <w:ind w:left="-2" w:leftChars="-1" w:firstLine="672" w:firstLineChars="320"/>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d</w:t>
      </w:r>
      <w:r>
        <w:rPr>
          <w:rFonts w:hint="eastAsia" w:ascii="Times New Roman" w:hAnsi="Times New Roman"/>
          <w:kern w:val="2"/>
          <w:szCs w:val="21"/>
        </w:rPr>
        <w:t>)</w:t>
      </w:r>
      <w:r>
        <w:rPr>
          <w:rFonts w:ascii="Times New Roman" w:hAnsi="Times New Roman"/>
          <w:kern w:val="2"/>
          <w:szCs w:val="21"/>
        </w:rPr>
        <w:tab/>
      </w:r>
      <w:r>
        <w:rPr>
          <w:rFonts w:ascii="Times New Roman" w:hAnsi="Times New Roman"/>
          <w:kern w:val="2"/>
          <w:szCs w:val="21"/>
        </w:rPr>
        <w:t>在第57条中所述的认证机构和证书电子系统；</w:t>
      </w:r>
    </w:p>
    <w:p w14:paraId="278DD5F5">
      <w:pPr>
        <w:pStyle w:val="32"/>
        <w:tabs>
          <w:tab w:val="left" w:pos="1248"/>
        </w:tabs>
        <w:topLinePunct/>
        <w:snapToGrid w:val="0"/>
        <w:spacing w:beforeLines="25" w:line="300" w:lineRule="auto"/>
        <w:ind w:left="-2" w:leftChars="-1" w:firstLine="672" w:firstLineChars="320"/>
        <w:jc w:val="both"/>
        <w:rPr>
          <w:rFonts w:ascii="Times New Roman" w:hAnsi="Times New Roman"/>
          <w:kern w:val="2"/>
          <w:szCs w:val="21"/>
        </w:rPr>
      </w:pPr>
      <w:bookmarkStart w:id="34" w:name="(d)_the_electronic_system_on_clinical_in"/>
      <w:bookmarkEnd w:id="34"/>
      <w:r>
        <w:rPr>
          <w:rFonts w:ascii="Times New Roman" w:hAnsi="Times New Roman"/>
          <w:kern w:val="2"/>
          <w:szCs w:val="21"/>
        </w:rPr>
        <w:t>(e)</w:t>
      </w:r>
      <w:r>
        <w:rPr>
          <w:rFonts w:ascii="Times New Roman" w:hAnsi="Times New Roman"/>
          <w:kern w:val="2"/>
          <w:szCs w:val="21"/>
        </w:rPr>
        <w:tab/>
      </w:r>
      <w:r>
        <w:rPr>
          <w:rFonts w:ascii="Times New Roman" w:hAnsi="Times New Roman"/>
          <w:kern w:val="2"/>
          <w:szCs w:val="21"/>
        </w:rPr>
        <w:t>在第73条中所述的临床研究电子系统；</w:t>
      </w:r>
    </w:p>
    <w:p w14:paraId="4E483D14">
      <w:pPr>
        <w:pStyle w:val="32"/>
        <w:tabs>
          <w:tab w:val="left" w:pos="1248"/>
        </w:tabs>
        <w:topLinePunct/>
        <w:snapToGrid w:val="0"/>
        <w:spacing w:beforeLines="25" w:line="300" w:lineRule="auto"/>
        <w:ind w:left="-2" w:leftChars="-1" w:firstLine="672" w:firstLineChars="320"/>
        <w:jc w:val="both"/>
        <w:rPr>
          <w:rFonts w:ascii="Times New Roman" w:hAnsi="Times New Roman"/>
          <w:kern w:val="2"/>
          <w:szCs w:val="21"/>
        </w:rPr>
      </w:pPr>
      <w:bookmarkStart w:id="35" w:name="(e)_the_electronic_system_on_vigilance_a"/>
      <w:bookmarkEnd w:id="35"/>
      <w:r>
        <w:rPr>
          <w:rFonts w:ascii="Times New Roman" w:hAnsi="Times New Roman"/>
          <w:kern w:val="2"/>
          <w:szCs w:val="21"/>
        </w:rPr>
        <w:t>(f)</w:t>
      </w:r>
      <w:r>
        <w:rPr>
          <w:rFonts w:ascii="Times New Roman" w:hAnsi="Times New Roman"/>
          <w:kern w:val="2"/>
          <w:szCs w:val="21"/>
        </w:rPr>
        <w:tab/>
      </w:r>
      <w:r>
        <w:rPr>
          <w:rFonts w:ascii="Times New Roman" w:hAnsi="Times New Roman"/>
          <w:kern w:val="2"/>
          <w:szCs w:val="21"/>
        </w:rPr>
        <w:t>第92条所指的警戒和上市后监管电子系统；</w:t>
      </w:r>
    </w:p>
    <w:p w14:paraId="24E639AC">
      <w:pPr>
        <w:pStyle w:val="32"/>
        <w:tabs>
          <w:tab w:val="left" w:pos="1248"/>
        </w:tabs>
        <w:topLinePunct/>
        <w:snapToGrid w:val="0"/>
        <w:spacing w:beforeLines="25" w:line="300" w:lineRule="auto"/>
        <w:ind w:left="-2" w:leftChars="-1" w:firstLine="672" w:firstLineChars="320"/>
        <w:jc w:val="both"/>
        <w:rPr>
          <w:rFonts w:ascii="Times New Roman" w:hAnsi="Times New Roman"/>
          <w:kern w:val="2"/>
          <w:szCs w:val="21"/>
        </w:rPr>
      </w:pPr>
      <w:bookmarkStart w:id="36" w:name="(f)_the_electronic_system_on_market_surv"/>
      <w:bookmarkEnd w:id="36"/>
      <w:r>
        <w:rPr>
          <w:rFonts w:ascii="Times New Roman" w:hAnsi="Times New Roman"/>
          <w:kern w:val="2"/>
          <w:szCs w:val="21"/>
        </w:rPr>
        <w:t>(g)</w:t>
      </w:r>
      <w:r>
        <w:rPr>
          <w:rFonts w:ascii="Times New Roman" w:hAnsi="Times New Roman"/>
          <w:kern w:val="2"/>
          <w:szCs w:val="21"/>
        </w:rPr>
        <w:tab/>
      </w:r>
      <w:r>
        <w:rPr>
          <w:rFonts w:ascii="Times New Roman" w:hAnsi="Times New Roman"/>
          <w:kern w:val="2"/>
          <w:szCs w:val="21"/>
        </w:rPr>
        <w:t>第100条所指的市场监管电子系统。</w:t>
      </w:r>
    </w:p>
    <w:p w14:paraId="670D10FB">
      <w:pPr>
        <w:pStyle w:val="8"/>
        <w:tabs>
          <w:tab w:val="left" w:pos="658"/>
        </w:tabs>
        <w:topLinePunct/>
        <w:snapToGrid w:val="0"/>
        <w:spacing w:beforeLines="25" w:line="300" w:lineRule="auto"/>
        <w:ind w:hanging="681"/>
        <w:jc w:val="both"/>
        <w:rPr>
          <w:kern w:val="2"/>
          <w:szCs w:val="21"/>
        </w:rPr>
      </w:pPr>
      <w:bookmarkStart w:id="37" w:name="2a._When_designing_Eudamed_the_Commissio"/>
      <w:bookmarkEnd w:id="37"/>
      <w:r>
        <w:rPr>
          <w:kern w:val="2"/>
          <w:szCs w:val="21"/>
        </w:rPr>
        <w:t>3.</w:t>
      </w:r>
      <w:r>
        <w:rPr>
          <w:kern w:val="2"/>
          <w:szCs w:val="21"/>
        </w:rPr>
        <w:tab/>
      </w:r>
      <w:r>
        <w:rPr>
          <w:kern w:val="2"/>
          <w:szCs w:val="21"/>
        </w:rPr>
        <w:t>设计Eudamed时，委员会应充分考虑国家数据库和国家网络接口的兼容性以允许数据的输入和输出。</w:t>
      </w:r>
    </w:p>
    <w:p w14:paraId="2571572F">
      <w:pPr>
        <w:pStyle w:val="32"/>
        <w:topLinePunct/>
        <w:snapToGrid w:val="0"/>
        <w:spacing w:beforeLines="25" w:line="300" w:lineRule="auto"/>
        <w:ind w:left="643" w:hanging="642" w:hangingChars="306"/>
        <w:jc w:val="both"/>
        <w:rPr>
          <w:rFonts w:ascii="Times New Roman" w:hAnsi="Times New Roman"/>
          <w:kern w:val="2"/>
          <w:szCs w:val="21"/>
        </w:rPr>
      </w:pPr>
      <w:bookmarkStart w:id="38" w:name="3._The_data_shall_be_entered_into_Eudame"/>
      <w:bookmarkEnd w:id="38"/>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rPr>
        <w:t>应由成员国、认证机构、经济运营商和申办方，根据第2段中所述电子系统的规定，将数据录入Eudamed。委员会应向Eudamed使用者提供技术和行政支持。</w:t>
      </w:r>
    </w:p>
    <w:p w14:paraId="16496B1B">
      <w:pPr>
        <w:pStyle w:val="32"/>
        <w:topLinePunct/>
        <w:snapToGrid w:val="0"/>
        <w:spacing w:beforeLines="25" w:line="300" w:lineRule="auto"/>
        <w:ind w:left="643" w:hanging="642" w:hangingChars="306"/>
        <w:jc w:val="both"/>
        <w:rPr>
          <w:rFonts w:ascii="Times New Roman" w:hAnsi="Times New Roman"/>
          <w:kern w:val="2"/>
          <w:szCs w:val="21"/>
        </w:rPr>
      </w:pPr>
      <w:r>
        <w:rPr>
          <w:rFonts w:ascii="Times New Roman" w:hAnsi="Times New Roman"/>
          <w:kern w:val="2"/>
          <w:szCs w:val="21"/>
        </w:rPr>
        <w:t>5.</w:t>
      </w:r>
      <w:r>
        <w:rPr>
          <w:rFonts w:ascii="Times New Roman" w:hAnsi="Times New Roman"/>
          <w:kern w:val="2"/>
          <w:szCs w:val="21"/>
        </w:rPr>
        <w:tab/>
      </w:r>
      <w:r>
        <w:rPr>
          <w:rFonts w:ascii="Times New Roman" w:hAnsi="Times New Roman"/>
          <w:kern w:val="2"/>
          <w:szCs w:val="21"/>
        </w:rPr>
        <w:t>Eudamed整理并加工所有信息，应可供成员国和委员会访问。第2段所述有关电子系统规定中定义的范围内，向认证机构、经济运营商、申办方和公众应可访问该信息。</w:t>
      </w:r>
    </w:p>
    <w:p w14:paraId="044769F5">
      <w:pPr>
        <w:pStyle w:val="32"/>
        <w:tabs>
          <w:tab w:val="left" w:pos="682"/>
        </w:tabs>
        <w:topLinePunct/>
        <w:snapToGrid w:val="0"/>
        <w:spacing w:beforeLines="25" w:line="300" w:lineRule="auto"/>
        <w:ind w:firstLine="630" w:firstLineChars="300"/>
        <w:jc w:val="both"/>
        <w:rPr>
          <w:rFonts w:ascii="Times New Roman" w:hAnsi="Times New Roman"/>
          <w:kern w:val="2"/>
          <w:szCs w:val="21"/>
        </w:rPr>
      </w:pPr>
      <w:bookmarkStart w:id="39" w:name="The_Commission_shall_ensure_that_public_"/>
      <w:bookmarkEnd w:id="39"/>
      <w:r>
        <w:rPr>
          <w:rFonts w:ascii="Times New Roman" w:hAnsi="Times New Roman"/>
          <w:kern w:val="2"/>
          <w:szCs w:val="21"/>
        </w:rPr>
        <w:t>委员会应确保Eudamed公共部分以使用者友好且易于搜索的形式呈现。</w:t>
      </w:r>
    </w:p>
    <w:p w14:paraId="392D678D">
      <w:pPr>
        <w:pStyle w:val="32"/>
        <w:tabs>
          <w:tab w:val="left" w:pos="682"/>
        </w:tabs>
        <w:topLinePunct/>
        <w:snapToGrid w:val="0"/>
        <w:spacing w:beforeLines="25" w:line="300" w:lineRule="auto"/>
        <w:ind w:left="615" w:hanging="615" w:hangingChars="293"/>
        <w:jc w:val="both"/>
        <w:rPr>
          <w:rFonts w:ascii="Times New Roman" w:hAnsi="Times New Roman"/>
          <w:kern w:val="2"/>
          <w:szCs w:val="21"/>
        </w:rPr>
      </w:pPr>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Eudamed所包含的个人数据，应当方便本条第2段中所述电子系统根据本法规规定进行整理和处理。个人数据的保存形式应能够使数据主体标识时间不长于第10（8）条所述期限。</w:t>
      </w:r>
    </w:p>
    <w:p w14:paraId="71AC7F63">
      <w:pPr>
        <w:pStyle w:val="32"/>
        <w:tabs>
          <w:tab w:val="left" w:pos="682"/>
        </w:tabs>
        <w:topLinePunct/>
        <w:snapToGrid w:val="0"/>
        <w:spacing w:beforeLines="25" w:line="300" w:lineRule="auto"/>
        <w:ind w:left="615" w:hanging="615" w:hangingChars="293"/>
        <w:jc w:val="both"/>
        <w:rPr>
          <w:rFonts w:ascii="Times New Roman" w:hAnsi="Times New Roman"/>
          <w:kern w:val="2"/>
          <w:szCs w:val="21"/>
        </w:rPr>
      </w:pPr>
      <w:r>
        <w:rPr>
          <w:rFonts w:ascii="Times New Roman" w:hAnsi="Times New Roman"/>
          <w:kern w:val="2"/>
          <w:szCs w:val="21"/>
        </w:rPr>
        <w:t>7.</w:t>
      </w:r>
      <w:r>
        <w:rPr>
          <w:rFonts w:ascii="Times New Roman" w:hAnsi="Times New Roman"/>
          <w:kern w:val="2"/>
          <w:szCs w:val="21"/>
        </w:rPr>
        <w:tab/>
      </w:r>
      <w:r>
        <w:rPr>
          <w:rFonts w:ascii="Times New Roman" w:hAnsi="Times New Roman"/>
          <w:kern w:val="2"/>
          <w:szCs w:val="21"/>
        </w:rPr>
        <w:t>委员会和成员国应当确保数据主体可分别按照欧洲委员会第45/2001号法规和第95/46/EC号指令，有效行使其知情权以及获取、纠正和反对的权利。其应确保数据主体能够有效地行使与其有关的数据访问权，并有权纠正或删除不准确或不完整的数据。在各自的职责范围内，委员会和各成员国应确保按照适用的法律删除不准确的和非法处理的数据。应尽快进行更正和删除，但不得迟于数据主体提出请求后60天。</w:t>
      </w:r>
    </w:p>
    <w:p w14:paraId="5417FF4A">
      <w:pPr>
        <w:pStyle w:val="32"/>
        <w:tabs>
          <w:tab w:val="left" w:pos="682"/>
        </w:tabs>
        <w:topLinePunct/>
        <w:snapToGrid w:val="0"/>
        <w:spacing w:beforeLines="25" w:line="300" w:lineRule="auto"/>
        <w:ind w:left="615" w:hanging="615" w:hangingChars="293"/>
        <w:jc w:val="both"/>
        <w:rPr>
          <w:rFonts w:ascii="Times New Roman" w:hAnsi="Times New Roman"/>
          <w:kern w:val="2"/>
          <w:szCs w:val="21"/>
        </w:rPr>
      </w:pPr>
      <w:bookmarkStart w:id="40" w:name="7._The_Commission_shall,_by_means_of_imp"/>
      <w:bookmarkEnd w:id="40"/>
      <w:r>
        <w:rPr>
          <w:rFonts w:ascii="Times New Roman" w:hAnsi="Times New Roman"/>
          <w:kern w:val="2"/>
          <w:szCs w:val="21"/>
        </w:rPr>
        <w:t>8.</w:t>
      </w:r>
      <w:r>
        <w:rPr>
          <w:rFonts w:ascii="Times New Roman" w:hAnsi="Times New Roman"/>
          <w:kern w:val="2"/>
          <w:szCs w:val="21"/>
        </w:rPr>
        <w:tab/>
      </w:r>
      <w:r>
        <w:rPr>
          <w:rFonts w:ascii="Times New Roman" w:hAnsi="Times New Roman"/>
          <w:kern w:val="2"/>
          <w:szCs w:val="21"/>
        </w:rPr>
        <w:t>委员会应通过实施细则，以制定设立和维护Eudamed所必需的形式。应按照第114（3）条中述及的审查规程通过这些实施细则。当采纳这些实施细则时，委员会应尽可能确保系统的开发能够在同一模块或系统的不同模块内-输入同一资料两次。</w:t>
      </w:r>
    </w:p>
    <w:p w14:paraId="5814749D">
      <w:pPr>
        <w:pStyle w:val="32"/>
        <w:tabs>
          <w:tab w:val="left" w:pos="682"/>
        </w:tabs>
        <w:topLinePunct/>
        <w:snapToGrid w:val="0"/>
        <w:spacing w:beforeLines="25" w:line="300" w:lineRule="auto"/>
        <w:ind w:left="685" w:hanging="684" w:hangingChars="326"/>
        <w:jc w:val="both"/>
        <w:rPr>
          <w:rFonts w:ascii="Times New Roman" w:hAnsi="Times New Roman"/>
          <w:kern w:val="2"/>
          <w:szCs w:val="21"/>
        </w:rPr>
      </w:pPr>
      <w:bookmarkStart w:id="41" w:name="_bookmark31"/>
      <w:bookmarkEnd w:id="41"/>
      <w:r>
        <w:rPr>
          <w:rFonts w:ascii="Times New Roman" w:hAnsi="Times New Roman"/>
          <w:kern w:val="2"/>
          <w:szCs w:val="21"/>
        </w:rPr>
        <w:t>9.</w:t>
      </w:r>
      <w:r>
        <w:rPr>
          <w:rFonts w:ascii="Times New Roman" w:hAnsi="Times New Roman"/>
          <w:kern w:val="2"/>
          <w:szCs w:val="21"/>
        </w:rPr>
        <w:tab/>
      </w:r>
      <w:r>
        <w:rPr>
          <w:rFonts w:ascii="Times New Roman" w:hAnsi="Times New Roman"/>
          <w:kern w:val="2"/>
          <w:szCs w:val="21"/>
        </w:rPr>
        <w:t>关于其在本条下的责任和其中所涉及个人数据的处理，应将委员会视为Eudamed及其电子系统的控制</w:t>
      </w:r>
      <w:r>
        <w:rPr>
          <w:rFonts w:hint="eastAsia" w:ascii="Times New Roman" w:hAnsi="Times New Roman"/>
          <w:kern w:val="2"/>
          <w:szCs w:val="21"/>
        </w:rPr>
        <w:t>者</w:t>
      </w:r>
      <w:r>
        <w:rPr>
          <w:rFonts w:ascii="Times New Roman" w:hAnsi="Times New Roman"/>
          <w:kern w:val="2"/>
          <w:szCs w:val="21"/>
        </w:rPr>
        <w:t>。</w:t>
      </w:r>
    </w:p>
    <w:p w14:paraId="0504E434">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br w:type="page"/>
      </w:r>
    </w:p>
    <w:p w14:paraId="308CF245">
      <w:pPr>
        <w:snapToGrid w:val="0"/>
        <w:spacing w:beforeLines="40" w:line="300" w:lineRule="auto"/>
        <w:ind w:left="196"/>
        <w:jc w:val="center"/>
        <w:rPr>
          <w:rStyle w:val="48"/>
          <w:szCs w:val="21"/>
          <w:lang w:val="zh-CN"/>
        </w:rPr>
      </w:pPr>
      <w:r>
        <w:rPr>
          <w:rFonts w:ascii="Times New Roman" w:hAnsi="Times New Roman"/>
          <w:i/>
          <w:kern w:val="2"/>
          <w:szCs w:val="21"/>
        </w:rPr>
        <w:t>第34条</w:t>
      </w:r>
    </w:p>
    <w:p w14:paraId="1FC5CF55">
      <w:pPr>
        <w:snapToGrid w:val="0"/>
        <w:spacing w:beforeLines="40" w:line="300" w:lineRule="auto"/>
        <w:ind w:left="196"/>
        <w:jc w:val="center"/>
        <w:rPr>
          <w:rStyle w:val="48"/>
          <w:b/>
          <w:szCs w:val="21"/>
          <w:lang w:val="zh-CN"/>
        </w:rPr>
      </w:pPr>
      <w:r>
        <w:rPr>
          <w:rFonts w:ascii="Times New Roman" w:hAnsi="Times New Roman"/>
          <w:b/>
          <w:kern w:val="2"/>
          <w:szCs w:val="21"/>
        </w:rPr>
        <w:t>Eudamed的</w:t>
      </w:r>
      <w:r>
        <w:rPr>
          <w:rFonts w:hint="eastAsia" w:ascii="Times New Roman" w:hAnsi="Times New Roman"/>
          <w:b/>
          <w:kern w:val="2"/>
          <w:szCs w:val="21"/>
        </w:rPr>
        <w:t>功能</w:t>
      </w:r>
    </w:p>
    <w:p w14:paraId="20E1A3EF">
      <w:pPr>
        <w:pStyle w:val="32"/>
        <w:numPr>
          <w:ilvl w:val="0"/>
          <w:numId w:val="38"/>
        </w:numPr>
        <w:tabs>
          <w:tab w:val="left" w:pos="682"/>
        </w:tabs>
        <w:topLinePunct/>
        <w:snapToGrid w:val="0"/>
        <w:spacing w:beforeLines="40" w:line="300" w:lineRule="auto"/>
        <w:ind w:hanging="567"/>
        <w:jc w:val="both"/>
        <w:rPr>
          <w:rFonts w:ascii="Times New Roman" w:hAnsi="Times New Roman"/>
          <w:kern w:val="2"/>
          <w:szCs w:val="21"/>
        </w:rPr>
      </w:pPr>
      <w:r>
        <w:rPr>
          <w:rFonts w:ascii="Times New Roman" w:hAnsi="Times New Roman"/>
          <w:kern w:val="2"/>
          <w:szCs w:val="21"/>
        </w:rPr>
        <w:t>委员会应与MDCG协作，为Eudamed制定</w:t>
      </w:r>
      <w:r>
        <w:rPr>
          <w:rFonts w:hint="eastAsia" w:ascii="Times New Roman" w:hAnsi="Times New Roman"/>
          <w:kern w:val="2"/>
          <w:szCs w:val="21"/>
        </w:rPr>
        <w:t>功能</w:t>
      </w:r>
      <w:r>
        <w:rPr>
          <w:rFonts w:ascii="Times New Roman" w:hAnsi="Times New Roman"/>
          <w:kern w:val="2"/>
          <w:szCs w:val="21"/>
        </w:rPr>
        <w:t>规范。委员会应最迟</w:t>
      </w:r>
      <w:r>
        <w:rPr>
          <w:rFonts w:hint="eastAsia" w:ascii="Times New Roman" w:hAnsi="Times New Roman"/>
          <w:kern w:val="2"/>
          <w:szCs w:val="21"/>
        </w:rPr>
        <w:t>于2018年5月26日</w:t>
      </w:r>
      <w:r>
        <w:rPr>
          <w:rFonts w:ascii="Times New Roman" w:hAnsi="Times New Roman"/>
          <w:kern w:val="2"/>
          <w:szCs w:val="21"/>
        </w:rPr>
        <w:t>制定实施这些规范的计划。这一计划将寻求确保Eudamed在规定日期完全运转，即该日期允许委员会</w:t>
      </w:r>
      <w:r>
        <w:rPr>
          <w:rFonts w:hint="eastAsia" w:ascii="Times New Roman" w:hAnsi="Times New Roman"/>
          <w:kern w:val="2"/>
          <w:szCs w:val="21"/>
        </w:rPr>
        <w:t>于2020年3月25日</w:t>
      </w:r>
      <w:r>
        <w:rPr>
          <w:rFonts w:ascii="Times New Roman" w:hAnsi="Times New Roman"/>
          <w:kern w:val="2"/>
          <w:szCs w:val="21"/>
        </w:rPr>
        <w:t>公布第3段中所述通知，且本法规第123条和第2017/</w:t>
      </w:r>
      <w:r>
        <w:rPr>
          <w:rFonts w:hint="eastAsia" w:ascii="Times New Roman" w:hAnsi="Times New Roman"/>
          <w:kern w:val="2"/>
          <w:szCs w:val="21"/>
        </w:rPr>
        <w:t>746</w:t>
      </w:r>
      <w:r>
        <w:rPr>
          <w:rFonts w:ascii="Times New Roman" w:hAnsi="Times New Roman"/>
          <w:kern w:val="2"/>
          <w:szCs w:val="21"/>
        </w:rPr>
        <w:t>号法规第113条的所有其他相关最后期限都得到满足。</w:t>
      </w:r>
    </w:p>
    <w:p w14:paraId="473758B6">
      <w:pPr>
        <w:pStyle w:val="32"/>
        <w:numPr>
          <w:ilvl w:val="0"/>
          <w:numId w:val="38"/>
        </w:numPr>
        <w:tabs>
          <w:tab w:val="left" w:pos="682"/>
        </w:tabs>
        <w:topLinePunct/>
        <w:snapToGrid w:val="0"/>
        <w:spacing w:beforeLines="40" w:line="300" w:lineRule="auto"/>
        <w:ind w:hanging="567"/>
        <w:jc w:val="both"/>
        <w:rPr>
          <w:rFonts w:ascii="Times New Roman" w:hAnsi="Times New Roman"/>
          <w:kern w:val="2"/>
          <w:szCs w:val="21"/>
        </w:rPr>
      </w:pPr>
      <w:bookmarkStart w:id="42" w:name="2._The_Commission_shall,_on_the_basis_of"/>
      <w:bookmarkEnd w:id="42"/>
      <w:r>
        <w:rPr>
          <w:rFonts w:ascii="Times New Roman" w:hAnsi="Times New Roman"/>
          <w:kern w:val="2"/>
          <w:szCs w:val="21"/>
        </w:rPr>
        <w:t>一旦在UDI上确认Eudamed已实现全部</w:t>
      </w:r>
      <w:r>
        <w:rPr>
          <w:rFonts w:hint="eastAsia" w:ascii="Times New Roman" w:hAnsi="Times New Roman"/>
          <w:kern w:val="2"/>
          <w:szCs w:val="21"/>
        </w:rPr>
        <w:t>功能</w:t>
      </w:r>
      <w:r>
        <w:rPr>
          <w:rFonts w:ascii="Times New Roman" w:hAnsi="Times New Roman"/>
          <w:kern w:val="2"/>
          <w:szCs w:val="21"/>
        </w:rPr>
        <w:t>，且Eudamed符合根据第1段制定的</w:t>
      </w:r>
      <w:r>
        <w:rPr>
          <w:rFonts w:ascii="Times New Roman" w:hAnsi="Times New Roman"/>
          <w:kern w:val="2"/>
          <w:szCs w:val="21"/>
          <w:lang w:val="en-US"/>
        </w:rPr>
        <w:t>职能</w:t>
      </w:r>
      <w:r>
        <w:rPr>
          <w:rFonts w:ascii="Times New Roman" w:hAnsi="Times New Roman"/>
          <w:kern w:val="2"/>
          <w:szCs w:val="21"/>
        </w:rPr>
        <w:t>规范，委员会应通过独立审计报告来通知MDCG。</w:t>
      </w:r>
    </w:p>
    <w:p w14:paraId="0D1FEA01">
      <w:pPr>
        <w:pStyle w:val="32"/>
        <w:numPr>
          <w:ilvl w:val="0"/>
          <w:numId w:val="38"/>
        </w:numPr>
        <w:tabs>
          <w:tab w:val="left" w:pos="682"/>
        </w:tabs>
        <w:topLinePunct/>
        <w:snapToGrid w:val="0"/>
        <w:spacing w:beforeLines="40" w:line="300" w:lineRule="auto"/>
        <w:ind w:hanging="567"/>
        <w:jc w:val="both"/>
        <w:rPr>
          <w:rFonts w:ascii="Times New Roman" w:hAnsi="Times New Roman"/>
          <w:kern w:val="2"/>
          <w:szCs w:val="21"/>
        </w:rPr>
      </w:pPr>
      <w:r>
        <w:rPr>
          <w:rFonts w:ascii="Times New Roman" w:hAnsi="Times New Roman"/>
          <w:kern w:val="2"/>
          <w:szCs w:val="21"/>
        </w:rPr>
        <w:t>委员会应在咨询MDCG后，在确认第2段中所述条件已得到满足时，在欧盟公报上公布相应通知。</w:t>
      </w:r>
    </w:p>
    <w:p w14:paraId="2AD29596">
      <w:pPr>
        <w:pStyle w:val="2"/>
        <w:spacing w:beforeLines="40" w:line="300" w:lineRule="auto"/>
        <w:rPr>
          <w:sz w:val="21"/>
          <w:szCs w:val="21"/>
        </w:rPr>
      </w:pPr>
      <w:bookmarkStart w:id="43" w:name="_Toc477512395"/>
    </w:p>
    <w:p w14:paraId="5A0245D7">
      <w:pPr>
        <w:pStyle w:val="2"/>
        <w:spacing w:beforeLines="40" w:line="300" w:lineRule="auto"/>
        <w:rPr>
          <w:sz w:val="24"/>
          <w:szCs w:val="24"/>
        </w:rPr>
      </w:pPr>
      <w:r>
        <w:rPr>
          <w:sz w:val="24"/>
          <w:szCs w:val="24"/>
        </w:rPr>
        <w:t>第IV章</w:t>
      </w:r>
      <w:r>
        <w:rPr>
          <w:sz w:val="24"/>
          <w:szCs w:val="24"/>
        </w:rPr>
        <w:br w:type="textWrapping"/>
      </w:r>
      <w:r>
        <w:rPr>
          <w:sz w:val="24"/>
          <w:szCs w:val="24"/>
        </w:rPr>
        <w:t>公告机构</w:t>
      </w:r>
      <w:bookmarkEnd w:id="43"/>
    </w:p>
    <w:p w14:paraId="6DBF732A">
      <w:pPr>
        <w:snapToGrid w:val="0"/>
        <w:spacing w:beforeLines="40" w:line="300" w:lineRule="auto"/>
        <w:ind w:left="196"/>
        <w:jc w:val="center"/>
        <w:rPr>
          <w:rFonts w:ascii="Times New Roman" w:hAnsi="Times New Roman"/>
          <w:i/>
          <w:kern w:val="2"/>
          <w:szCs w:val="21"/>
        </w:rPr>
      </w:pPr>
    </w:p>
    <w:p w14:paraId="1933115C">
      <w:pPr>
        <w:snapToGrid w:val="0"/>
        <w:spacing w:beforeLines="40" w:line="300" w:lineRule="auto"/>
        <w:ind w:left="196"/>
        <w:jc w:val="center"/>
        <w:rPr>
          <w:rStyle w:val="48"/>
          <w:b/>
          <w:szCs w:val="21"/>
        </w:rPr>
      </w:pPr>
      <w:r>
        <w:rPr>
          <w:rFonts w:ascii="Times New Roman" w:hAnsi="Times New Roman"/>
          <w:i/>
          <w:kern w:val="2"/>
          <w:szCs w:val="21"/>
        </w:rPr>
        <w:t>第35条</w:t>
      </w:r>
    </w:p>
    <w:p w14:paraId="09AED7B9">
      <w:pPr>
        <w:snapToGrid w:val="0"/>
        <w:spacing w:beforeLines="40" w:line="300" w:lineRule="auto"/>
        <w:ind w:left="195"/>
        <w:jc w:val="center"/>
        <w:rPr>
          <w:rStyle w:val="48"/>
          <w:b/>
          <w:szCs w:val="21"/>
        </w:rPr>
      </w:pPr>
      <w:r>
        <w:rPr>
          <w:rFonts w:ascii="Times New Roman" w:hAnsi="Times New Roman"/>
          <w:b/>
          <w:kern w:val="2"/>
          <w:szCs w:val="21"/>
        </w:rPr>
        <w:t>负责公告机构的主管机构</w:t>
      </w:r>
    </w:p>
    <w:p w14:paraId="7E2A412D">
      <w:pPr>
        <w:pStyle w:val="32"/>
        <w:numPr>
          <w:ilvl w:val="0"/>
          <w:numId w:val="39"/>
        </w:numPr>
        <w:tabs>
          <w:tab w:val="left" w:pos="684"/>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任何成员国如指定符合性评估机构作为公告机构，或已指定一家公告机构根据本法规开展符合性评估活动，则应根据国家法律任命一个由单独实体组成的主管机构（负责公告机构的主管机构），负责建立和开展评估、指定符合性评估机构和符合性评估公告的必要流程，以及公告机构（包括其分包商和分支机构）的监管。</w:t>
      </w:r>
    </w:p>
    <w:p w14:paraId="1D583E7E">
      <w:pPr>
        <w:pStyle w:val="32"/>
        <w:numPr>
          <w:ilvl w:val="0"/>
          <w:numId w:val="39"/>
        </w:numPr>
        <w:tabs>
          <w:tab w:val="left" w:pos="684"/>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负责公告机构的主管机构应当妥善建立、组织和运作，以保障其活动的客观性和公正性，并避免与符合性评估机构的任何利益冲突。</w:t>
      </w:r>
    </w:p>
    <w:p w14:paraId="129BF1A4">
      <w:pPr>
        <w:pStyle w:val="32"/>
        <w:numPr>
          <w:ilvl w:val="0"/>
          <w:numId w:val="39"/>
        </w:numPr>
        <w:tabs>
          <w:tab w:val="left" w:pos="684"/>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负责公告机构的主管机构应当妥善组织，使指定或公告相关的每个决议均由未参与评估的人员</w:t>
      </w:r>
      <w:r>
        <w:rPr>
          <w:rFonts w:hint="eastAsia" w:ascii="Times New Roman" w:hAnsi="Times New Roman"/>
          <w:kern w:val="2"/>
          <w:szCs w:val="21"/>
        </w:rPr>
        <w:t>做出</w:t>
      </w:r>
      <w:r>
        <w:rPr>
          <w:rFonts w:ascii="Times New Roman" w:hAnsi="Times New Roman"/>
          <w:kern w:val="2"/>
          <w:szCs w:val="21"/>
        </w:rPr>
        <w:t>。</w:t>
      </w:r>
    </w:p>
    <w:p w14:paraId="375B3F89">
      <w:pPr>
        <w:pStyle w:val="32"/>
        <w:numPr>
          <w:ilvl w:val="0"/>
          <w:numId w:val="39"/>
        </w:numPr>
        <w:tabs>
          <w:tab w:val="left" w:pos="684"/>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负责公告机构的主管机构不得参与由公告机构组织的商业或竞争性活动。</w:t>
      </w:r>
    </w:p>
    <w:p w14:paraId="5B31171E">
      <w:pPr>
        <w:pStyle w:val="32"/>
        <w:numPr>
          <w:ilvl w:val="0"/>
          <w:numId w:val="39"/>
        </w:numPr>
        <w:tabs>
          <w:tab w:val="left" w:pos="682"/>
        </w:tabs>
        <w:topLinePunct/>
        <w:snapToGrid w:val="0"/>
        <w:spacing w:beforeLines="40" w:line="300" w:lineRule="auto"/>
        <w:ind w:left="681" w:hanging="567"/>
        <w:jc w:val="both"/>
        <w:rPr>
          <w:rFonts w:ascii="Times New Roman" w:hAnsi="Times New Roman"/>
          <w:kern w:val="2"/>
          <w:szCs w:val="21"/>
        </w:rPr>
      </w:pPr>
      <w:bookmarkStart w:id="44" w:name="5._The_national_authority_responsible_fo"/>
      <w:bookmarkEnd w:id="44"/>
      <w:r>
        <w:rPr>
          <w:rFonts w:ascii="Times New Roman" w:hAnsi="Times New Roman"/>
          <w:kern w:val="2"/>
          <w:szCs w:val="21"/>
        </w:rPr>
        <w:t>负责公告机构的主管机构应当保护其获得信息的保密性。但是，可与其他成员国、委员会及其他法规机构（在需要时）交换有关公告机构的信息。</w:t>
      </w:r>
    </w:p>
    <w:p w14:paraId="63CDBBF2">
      <w:pPr>
        <w:pStyle w:val="32"/>
        <w:numPr>
          <w:ilvl w:val="0"/>
          <w:numId w:val="39"/>
        </w:numPr>
        <w:tabs>
          <w:tab w:val="left" w:pos="682"/>
        </w:tabs>
        <w:topLinePunct/>
        <w:snapToGrid w:val="0"/>
        <w:spacing w:beforeLines="40" w:line="300" w:lineRule="auto"/>
        <w:ind w:left="681" w:hanging="567"/>
        <w:jc w:val="both"/>
        <w:rPr>
          <w:rFonts w:ascii="Times New Roman" w:hAnsi="Times New Roman"/>
          <w:kern w:val="2"/>
          <w:szCs w:val="21"/>
        </w:rPr>
      </w:pPr>
      <w:bookmarkStart w:id="45" w:name="6._The_national_authority_responsible_fo"/>
      <w:bookmarkEnd w:id="45"/>
      <w:r>
        <w:rPr>
          <w:rFonts w:ascii="Times New Roman" w:hAnsi="Times New Roman"/>
          <w:kern w:val="2"/>
          <w:szCs w:val="21"/>
        </w:rPr>
        <w:t>负责公告机构的主管机构应拥有足够数量的永久供其履行任务的合资格人员。</w:t>
      </w:r>
    </w:p>
    <w:p w14:paraId="53CB4124">
      <w:pPr>
        <w:pStyle w:val="8"/>
        <w:topLinePunct/>
        <w:snapToGrid w:val="0"/>
        <w:spacing w:beforeLines="40" w:line="300" w:lineRule="auto"/>
        <w:ind w:left="684" w:hanging="3"/>
        <w:jc w:val="both"/>
        <w:rPr>
          <w:kern w:val="2"/>
          <w:szCs w:val="21"/>
        </w:rPr>
      </w:pPr>
      <w:r>
        <w:rPr>
          <w:kern w:val="2"/>
          <w:szCs w:val="21"/>
        </w:rPr>
        <w:t>在负责公告机构的主管机构与负责医疗器械的主管机构</w:t>
      </w:r>
      <w:r>
        <w:rPr>
          <w:rFonts w:hint="eastAsia"/>
          <w:kern w:val="2"/>
          <w:szCs w:val="21"/>
        </w:rPr>
        <w:t>是另一家时</w:t>
      </w:r>
      <w:r>
        <w:rPr>
          <w:kern w:val="2"/>
          <w:szCs w:val="21"/>
        </w:rPr>
        <w:t>，应确向负责医疗器械的</w:t>
      </w:r>
      <w:r>
        <w:rPr>
          <w:rFonts w:hint="eastAsia"/>
          <w:kern w:val="2"/>
          <w:szCs w:val="21"/>
        </w:rPr>
        <w:t>国家</w:t>
      </w:r>
      <w:r>
        <w:rPr>
          <w:kern w:val="2"/>
          <w:szCs w:val="21"/>
        </w:rPr>
        <w:t>主管机构</w:t>
      </w:r>
      <w:r>
        <w:rPr>
          <w:rFonts w:hint="eastAsia"/>
          <w:kern w:val="2"/>
          <w:szCs w:val="21"/>
        </w:rPr>
        <w:t>就</w:t>
      </w:r>
      <w:r>
        <w:rPr>
          <w:kern w:val="2"/>
          <w:szCs w:val="21"/>
        </w:rPr>
        <w:t>相关问题</w:t>
      </w:r>
      <w:r>
        <w:rPr>
          <w:rFonts w:hint="eastAsia"/>
          <w:kern w:val="2"/>
          <w:szCs w:val="21"/>
        </w:rPr>
        <w:t>展开</w:t>
      </w:r>
      <w:r>
        <w:rPr>
          <w:kern w:val="2"/>
          <w:szCs w:val="21"/>
        </w:rPr>
        <w:t>咨询。</w:t>
      </w:r>
    </w:p>
    <w:p w14:paraId="095FD299">
      <w:pPr>
        <w:pStyle w:val="32"/>
        <w:numPr>
          <w:ilvl w:val="0"/>
          <w:numId w:val="39"/>
        </w:numPr>
        <w:tabs>
          <w:tab w:val="left" w:pos="684"/>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成员国可公开获得一般资料，包括对符合性评估机构的评估、指定、公告和对公告机构监管的规定，以及对这些任务有重大影响的变化。</w:t>
      </w:r>
    </w:p>
    <w:p w14:paraId="5A436D21">
      <w:pPr>
        <w:pStyle w:val="32"/>
        <w:numPr>
          <w:ilvl w:val="0"/>
          <w:numId w:val="39"/>
        </w:numPr>
        <w:tabs>
          <w:tab w:val="left" w:pos="684"/>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负责公告机构的主管机构应参与第48条规定的同行审查活动。</w:t>
      </w:r>
    </w:p>
    <w:p w14:paraId="63DE1765">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br w:type="page"/>
      </w:r>
    </w:p>
    <w:p w14:paraId="45E8C0B7">
      <w:pPr>
        <w:snapToGrid w:val="0"/>
        <w:spacing w:beforeLines="20" w:line="288" w:lineRule="auto"/>
        <w:ind w:left="196"/>
        <w:jc w:val="center"/>
        <w:rPr>
          <w:rStyle w:val="48"/>
          <w:b/>
          <w:szCs w:val="21"/>
        </w:rPr>
      </w:pPr>
      <w:r>
        <w:rPr>
          <w:rFonts w:ascii="Times New Roman" w:hAnsi="Times New Roman"/>
          <w:i/>
          <w:kern w:val="2"/>
          <w:szCs w:val="21"/>
        </w:rPr>
        <w:t>第36条</w:t>
      </w:r>
    </w:p>
    <w:p w14:paraId="3C45B5E1">
      <w:pPr>
        <w:snapToGrid w:val="0"/>
        <w:spacing w:beforeLines="20" w:line="288" w:lineRule="auto"/>
        <w:ind w:left="196"/>
        <w:jc w:val="center"/>
        <w:rPr>
          <w:rStyle w:val="48"/>
          <w:b/>
          <w:szCs w:val="21"/>
        </w:rPr>
      </w:pPr>
      <w:r>
        <w:rPr>
          <w:rFonts w:ascii="Times New Roman" w:hAnsi="Times New Roman"/>
          <w:b/>
          <w:kern w:val="2"/>
          <w:szCs w:val="21"/>
        </w:rPr>
        <w:t>公告机构的相关要求</w:t>
      </w:r>
    </w:p>
    <w:p w14:paraId="2FE1EFD7">
      <w:pPr>
        <w:pStyle w:val="32"/>
        <w:numPr>
          <w:ilvl w:val="0"/>
          <w:numId w:val="40"/>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公告机构应根据本法规实现指定给其任务，</w:t>
      </w:r>
      <w:r>
        <w:rPr>
          <w:rFonts w:hint="eastAsia" w:ascii="Times New Roman" w:hAnsi="Times New Roman"/>
          <w:kern w:val="2"/>
          <w:szCs w:val="21"/>
        </w:rPr>
        <w:t>且</w:t>
      </w:r>
      <w:r>
        <w:rPr>
          <w:rFonts w:ascii="Times New Roman" w:hAnsi="Times New Roman"/>
          <w:kern w:val="2"/>
          <w:szCs w:val="21"/>
        </w:rPr>
        <w:t>应满足组织和总体要求以及必需的质量管理、资源和流程要求，以使其具备履行本法规指定任务的资格。尤其是</w:t>
      </w:r>
      <w:r>
        <w:rPr>
          <w:rFonts w:hint="eastAsia" w:ascii="Times New Roman" w:hAnsi="Times New Roman"/>
          <w:kern w:val="2"/>
          <w:szCs w:val="21"/>
        </w:rPr>
        <w:t>，该</w:t>
      </w:r>
      <w:r>
        <w:rPr>
          <w:rFonts w:ascii="Times New Roman" w:hAnsi="Times New Roman"/>
          <w:kern w:val="2"/>
          <w:szCs w:val="21"/>
        </w:rPr>
        <w:t>公告机构须符合附录VII的要求。</w:t>
      </w:r>
    </w:p>
    <w:p w14:paraId="176B15F0">
      <w:pPr>
        <w:pStyle w:val="8"/>
        <w:topLinePunct/>
        <w:snapToGrid w:val="0"/>
        <w:spacing w:beforeLines="20" w:line="288" w:lineRule="auto"/>
        <w:ind w:firstLine="0"/>
        <w:jc w:val="both"/>
        <w:rPr>
          <w:kern w:val="2"/>
          <w:szCs w:val="21"/>
        </w:rPr>
      </w:pPr>
      <w:r>
        <w:rPr>
          <w:kern w:val="2"/>
          <w:szCs w:val="21"/>
        </w:rPr>
        <w:t>为满足这些在第一子段中所述的要求，公告机构应按照附录VII第3.1.1节可永久获得充足的行政、技术和科研人员，按照附录VII第3.2.4条永久获得相关临床专业人员，如有可能，可由公告机构自行聘用。</w:t>
      </w:r>
    </w:p>
    <w:p w14:paraId="492F24AA">
      <w:pPr>
        <w:pStyle w:val="8"/>
        <w:topLinePunct/>
        <w:snapToGrid w:val="0"/>
        <w:spacing w:beforeLines="20" w:line="288" w:lineRule="auto"/>
        <w:ind w:firstLine="0"/>
        <w:jc w:val="both"/>
        <w:rPr>
          <w:kern w:val="2"/>
          <w:szCs w:val="21"/>
        </w:rPr>
      </w:pPr>
      <w:r>
        <w:rPr>
          <w:kern w:val="2"/>
          <w:szCs w:val="21"/>
        </w:rPr>
        <w:t>附录VII第3.2.3及3.2.7条所述的人员应由公告机构自行聘用，聘用人员不得为外部专家或分包商。</w:t>
      </w:r>
    </w:p>
    <w:p w14:paraId="59316241">
      <w:pPr>
        <w:pStyle w:val="8"/>
        <w:tabs>
          <w:tab w:val="left" w:pos="681"/>
        </w:tabs>
        <w:topLinePunct/>
        <w:snapToGrid w:val="0"/>
        <w:spacing w:beforeLines="20" w:line="288" w:lineRule="auto"/>
        <w:ind w:left="680"/>
        <w:jc w:val="both"/>
        <w:rPr>
          <w:kern w:val="2"/>
          <w:szCs w:val="21"/>
        </w:rPr>
      </w:pPr>
      <w:r>
        <w:rPr>
          <w:kern w:val="2"/>
          <w:szCs w:val="21"/>
        </w:rPr>
        <w:t>2.</w:t>
      </w:r>
      <w:r>
        <w:rPr>
          <w:kern w:val="2"/>
          <w:szCs w:val="21"/>
        </w:rPr>
        <w:tab/>
      </w:r>
      <w:r>
        <w:rPr>
          <w:kern w:val="2"/>
          <w:szCs w:val="21"/>
        </w:rPr>
        <w:t>公告机构应按要求</w:t>
      </w:r>
      <w:r>
        <w:rPr>
          <w:rFonts w:hint="eastAsia"/>
          <w:kern w:val="2"/>
          <w:szCs w:val="21"/>
        </w:rPr>
        <w:t>编制</w:t>
      </w:r>
      <w:r>
        <w:rPr>
          <w:kern w:val="2"/>
          <w:szCs w:val="21"/>
        </w:rPr>
        <w:t>并提交所有可获得的相关文件（包括制造商文件）至负责公告机构的主管机构，使其能够开展评估、指定、公告、监督及监管活动，</w:t>
      </w:r>
      <w:r>
        <w:rPr>
          <w:rFonts w:hint="eastAsia"/>
          <w:kern w:val="2"/>
          <w:szCs w:val="21"/>
        </w:rPr>
        <w:t>以</w:t>
      </w:r>
      <w:r>
        <w:rPr>
          <w:kern w:val="2"/>
          <w:szCs w:val="21"/>
        </w:rPr>
        <w:t>促进本章节内所述的评估。</w:t>
      </w:r>
    </w:p>
    <w:p w14:paraId="1534FBDD">
      <w:pPr>
        <w:pStyle w:val="8"/>
        <w:tabs>
          <w:tab w:val="left" w:pos="681"/>
        </w:tabs>
        <w:topLinePunct/>
        <w:snapToGrid w:val="0"/>
        <w:spacing w:beforeLines="20" w:line="288" w:lineRule="auto"/>
        <w:ind w:left="680"/>
        <w:jc w:val="both"/>
        <w:rPr>
          <w:kern w:val="2"/>
          <w:szCs w:val="21"/>
        </w:rPr>
      </w:pPr>
      <w:r>
        <w:rPr>
          <w:kern w:val="2"/>
          <w:szCs w:val="21"/>
        </w:rPr>
        <w:t>3.</w:t>
      </w:r>
      <w:r>
        <w:rPr>
          <w:kern w:val="2"/>
          <w:szCs w:val="21"/>
        </w:rPr>
        <w:tab/>
      </w:r>
      <w:r>
        <w:rPr>
          <w:kern w:val="2"/>
          <w:szCs w:val="21"/>
        </w:rPr>
        <w:t>为确保附录VII要求的统一应用，委员会应按照第114(3)条中所述的检查程序采取实施细则，</w:t>
      </w:r>
      <w:r>
        <w:rPr>
          <w:rFonts w:hint="eastAsia"/>
          <w:kern w:val="2"/>
          <w:szCs w:val="21"/>
        </w:rPr>
        <w:t>并</w:t>
      </w:r>
      <w:r>
        <w:rPr>
          <w:kern w:val="2"/>
          <w:szCs w:val="21"/>
        </w:rPr>
        <w:t>在必要情况下解决分歧和实际应用中的问题。</w:t>
      </w:r>
    </w:p>
    <w:p w14:paraId="26169773">
      <w:pPr>
        <w:snapToGrid w:val="0"/>
        <w:spacing w:beforeLines="20" w:line="288" w:lineRule="auto"/>
        <w:ind w:left="196"/>
        <w:jc w:val="center"/>
        <w:rPr>
          <w:rFonts w:ascii="Times New Roman" w:hAnsi="Times New Roman"/>
          <w:i/>
          <w:kern w:val="2"/>
          <w:szCs w:val="21"/>
        </w:rPr>
      </w:pPr>
    </w:p>
    <w:p w14:paraId="78992362">
      <w:pPr>
        <w:snapToGrid w:val="0"/>
        <w:spacing w:beforeLines="20" w:line="288" w:lineRule="auto"/>
        <w:ind w:left="196"/>
        <w:jc w:val="center"/>
        <w:rPr>
          <w:rFonts w:ascii="Times New Roman" w:hAnsi="Times New Roman"/>
          <w:i/>
          <w:kern w:val="2"/>
          <w:szCs w:val="21"/>
        </w:rPr>
      </w:pPr>
      <w:r>
        <w:rPr>
          <w:rFonts w:ascii="Times New Roman" w:hAnsi="Times New Roman"/>
          <w:i/>
          <w:kern w:val="2"/>
          <w:szCs w:val="21"/>
        </w:rPr>
        <w:t>第37条</w:t>
      </w:r>
    </w:p>
    <w:p w14:paraId="233F683D">
      <w:pPr>
        <w:snapToGrid w:val="0"/>
        <w:spacing w:beforeLines="20" w:line="288" w:lineRule="auto"/>
        <w:ind w:left="196"/>
        <w:jc w:val="center"/>
        <w:rPr>
          <w:rFonts w:ascii="Times New Roman" w:hAnsi="Times New Roman"/>
          <w:b/>
          <w:kern w:val="2"/>
          <w:szCs w:val="21"/>
        </w:rPr>
      </w:pPr>
      <w:r>
        <w:rPr>
          <w:rFonts w:ascii="Times New Roman" w:hAnsi="Times New Roman"/>
          <w:b/>
          <w:kern w:val="2"/>
          <w:szCs w:val="21"/>
        </w:rPr>
        <w:t>分支机构和分包</w:t>
      </w:r>
    </w:p>
    <w:p w14:paraId="124B9FFE">
      <w:pPr>
        <w:pStyle w:val="32"/>
        <w:numPr>
          <w:ilvl w:val="0"/>
          <w:numId w:val="41"/>
        </w:numPr>
        <w:tabs>
          <w:tab w:val="left" w:pos="684"/>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若公告机构将与符合性评估相关的特定任务分包，或分派给分支机构，则应确认分包商或分支机构符合附录VII中规定的适用要求，并通知负责公告机构的主管机构。</w:t>
      </w:r>
    </w:p>
    <w:p w14:paraId="761B38BD">
      <w:pPr>
        <w:pStyle w:val="32"/>
        <w:numPr>
          <w:ilvl w:val="0"/>
          <w:numId w:val="41"/>
        </w:numPr>
        <w:tabs>
          <w:tab w:val="left" w:pos="687"/>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公告机构应对分包商或分支机构代表其履行任务承担全部责任。</w:t>
      </w:r>
    </w:p>
    <w:p w14:paraId="1307E062">
      <w:pPr>
        <w:pStyle w:val="8"/>
        <w:tabs>
          <w:tab w:val="left" w:pos="686"/>
        </w:tabs>
        <w:topLinePunct/>
        <w:snapToGrid w:val="0"/>
        <w:spacing w:beforeLines="20" w:line="288" w:lineRule="auto"/>
        <w:ind w:left="113" w:firstLine="0"/>
        <w:jc w:val="both"/>
        <w:rPr>
          <w:kern w:val="2"/>
          <w:szCs w:val="21"/>
        </w:rPr>
      </w:pPr>
      <w:r>
        <w:rPr>
          <w:kern w:val="2"/>
          <w:szCs w:val="21"/>
        </w:rPr>
        <w:t>3.</w:t>
      </w:r>
      <w:r>
        <w:rPr>
          <w:kern w:val="2"/>
          <w:szCs w:val="21"/>
        </w:rPr>
        <w:tab/>
      </w:r>
      <w:r>
        <w:rPr>
          <w:kern w:val="2"/>
          <w:szCs w:val="21"/>
        </w:rPr>
        <w:t>公告机构应公开其分支机构名单。</w:t>
      </w:r>
    </w:p>
    <w:p w14:paraId="74FBFDF0">
      <w:pPr>
        <w:pStyle w:val="8"/>
        <w:tabs>
          <w:tab w:val="left" w:pos="686"/>
        </w:tabs>
        <w:topLinePunct/>
        <w:snapToGrid w:val="0"/>
        <w:spacing w:beforeLines="20" w:line="288" w:lineRule="auto"/>
        <w:ind w:left="684" w:leftChars="53" w:hanging="573" w:hangingChars="273"/>
        <w:jc w:val="both"/>
        <w:rPr>
          <w:kern w:val="2"/>
          <w:szCs w:val="21"/>
        </w:rPr>
      </w:pPr>
      <w:r>
        <w:rPr>
          <w:kern w:val="2"/>
          <w:szCs w:val="21"/>
        </w:rPr>
        <w:t>4.</w:t>
      </w:r>
      <w:r>
        <w:rPr>
          <w:kern w:val="2"/>
          <w:szCs w:val="21"/>
        </w:rPr>
        <w:tab/>
      </w:r>
      <w:r>
        <w:rPr>
          <w:kern w:val="2"/>
          <w:szCs w:val="21"/>
        </w:rPr>
        <w:t>在告知申请符合性评估的法人或自然人后，符合性评估活动可转包或由分支机构开展。</w:t>
      </w:r>
    </w:p>
    <w:p w14:paraId="183ADA04">
      <w:pPr>
        <w:pStyle w:val="8"/>
        <w:tabs>
          <w:tab w:val="left" w:pos="686"/>
        </w:tabs>
        <w:topLinePunct/>
        <w:snapToGrid w:val="0"/>
        <w:spacing w:beforeLines="20" w:line="288" w:lineRule="auto"/>
        <w:ind w:left="684" w:leftChars="53" w:hanging="573" w:hangingChars="273"/>
        <w:jc w:val="both"/>
        <w:rPr>
          <w:kern w:val="2"/>
          <w:szCs w:val="21"/>
        </w:rPr>
      </w:pPr>
      <w:r>
        <w:rPr>
          <w:kern w:val="2"/>
          <w:szCs w:val="21"/>
        </w:rPr>
        <w:t>5.</w:t>
      </w:r>
      <w:r>
        <w:rPr>
          <w:kern w:val="2"/>
          <w:szCs w:val="21"/>
        </w:rPr>
        <w:tab/>
      </w:r>
      <w:r>
        <w:rPr>
          <w:kern w:val="2"/>
          <w:szCs w:val="21"/>
        </w:rPr>
        <w:t>公告机构应保证负责公告机构的主管机构拥有关于分包商或分支机构资格鉴定及其根据本法规开展工作的</w:t>
      </w:r>
      <w:r>
        <w:rPr>
          <w:rFonts w:hint="eastAsia"/>
          <w:kern w:val="2"/>
          <w:szCs w:val="21"/>
        </w:rPr>
        <w:t>所有</w:t>
      </w:r>
      <w:r>
        <w:rPr>
          <w:kern w:val="2"/>
          <w:szCs w:val="21"/>
        </w:rPr>
        <w:t>相关文件的处置权。</w:t>
      </w:r>
    </w:p>
    <w:p w14:paraId="51B78CE1">
      <w:pPr>
        <w:snapToGrid w:val="0"/>
        <w:spacing w:beforeLines="20" w:line="288" w:lineRule="auto"/>
        <w:ind w:left="196"/>
        <w:jc w:val="center"/>
        <w:rPr>
          <w:rFonts w:ascii="Times New Roman" w:hAnsi="Times New Roman"/>
          <w:i/>
          <w:kern w:val="2"/>
          <w:szCs w:val="21"/>
        </w:rPr>
      </w:pPr>
    </w:p>
    <w:p w14:paraId="25FE9C02">
      <w:pPr>
        <w:snapToGrid w:val="0"/>
        <w:spacing w:beforeLines="20" w:line="288" w:lineRule="auto"/>
        <w:ind w:left="196"/>
        <w:jc w:val="center"/>
        <w:rPr>
          <w:rStyle w:val="48"/>
          <w:b/>
          <w:szCs w:val="21"/>
        </w:rPr>
      </w:pPr>
      <w:r>
        <w:rPr>
          <w:rFonts w:ascii="Times New Roman" w:hAnsi="Times New Roman"/>
          <w:i/>
          <w:kern w:val="2"/>
          <w:szCs w:val="21"/>
        </w:rPr>
        <w:t>第38条</w:t>
      </w:r>
    </w:p>
    <w:p w14:paraId="1463BB35">
      <w:pPr>
        <w:snapToGrid w:val="0"/>
        <w:spacing w:beforeLines="20" w:line="288" w:lineRule="auto"/>
        <w:ind w:left="195"/>
        <w:jc w:val="center"/>
        <w:rPr>
          <w:rStyle w:val="48"/>
          <w:b/>
          <w:szCs w:val="21"/>
        </w:rPr>
      </w:pPr>
      <w:r>
        <w:rPr>
          <w:rFonts w:ascii="Times New Roman" w:hAnsi="Times New Roman"/>
          <w:b/>
          <w:kern w:val="2"/>
          <w:szCs w:val="21"/>
        </w:rPr>
        <w:t>符合性评估机构的</w:t>
      </w:r>
      <w:r>
        <w:rPr>
          <w:rFonts w:hint="eastAsia" w:ascii="Times New Roman" w:hAnsi="Times New Roman"/>
          <w:b/>
          <w:kern w:val="2"/>
          <w:szCs w:val="21"/>
        </w:rPr>
        <w:t>提交的</w:t>
      </w:r>
      <w:r>
        <w:rPr>
          <w:rFonts w:ascii="Times New Roman" w:hAnsi="Times New Roman"/>
          <w:b/>
          <w:kern w:val="2"/>
          <w:szCs w:val="21"/>
        </w:rPr>
        <w:t>委任申请</w:t>
      </w:r>
    </w:p>
    <w:p w14:paraId="639BD509">
      <w:pPr>
        <w:pStyle w:val="32"/>
        <w:numPr>
          <w:ilvl w:val="0"/>
          <w:numId w:val="42"/>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符合性评估机构应向负责公告机构的主管机构提交委任申请。</w:t>
      </w:r>
    </w:p>
    <w:p w14:paraId="6398BD44">
      <w:pPr>
        <w:pStyle w:val="32"/>
        <w:numPr>
          <w:ilvl w:val="0"/>
          <w:numId w:val="42"/>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申请应明确本法规中规定的符合性评估活动，以及申请委任的器械类型，并有附录VII中证明符合性文件的支持。</w:t>
      </w:r>
    </w:p>
    <w:p w14:paraId="28DC11A3">
      <w:pPr>
        <w:pStyle w:val="8"/>
        <w:topLinePunct/>
        <w:snapToGrid w:val="0"/>
        <w:spacing w:beforeLines="20" w:line="288" w:lineRule="auto"/>
        <w:ind w:firstLine="0"/>
        <w:jc w:val="both"/>
        <w:rPr>
          <w:kern w:val="2"/>
          <w:szCs w:val="21"/>
        </w:rPr>
      </w:pPr>
      <w:r>
        <w:rPr>
          <w:kern w:val="2"/>
          <w:szCs w:val="21"/>
        </w:rPr>
        <w:t>关于附录VII第1节和第2节所规定的组织和一般要求以及质量管理要求，国家委任机构根据欧盟第765/2008号法规提交的有效认证证书和相应的评估报告，并在第39条所述的评估中予以考虑。但申请机构应准备</w:t>
      </w:r>
      <w:r>
        <w:rPr>
          <w:rFonts w:hint="eastAsia"/>
          <w:kern w:val="2"/>
          <w:szCs w:val="21"/>
        </w:rPr>
        <w:t>第一子段提及的所有</w:t>
      </w:r>
      <w:r>
        <w:rPr>
          <w:kern w:val="2"/>
          <w:szCs w:val="21"/>
        </w:rPr>
        <w:t>文件以证明符合这些要求。</w:t>
      </w:r>
    </w:p>
    <w:p w14:paraId="278FF700">
      <w:pPr>
        <w:pStyle w:val="32"/>
        <w:numPr>
          <w:ilvl w:val="0"/>
          <w:numId w:val="42"/>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为确保负责公告机构的主管机构对是否符合附录VII的所有要求进行持续监督和确认，如有任何相关变化，公告机构应更新第2段中所述的文件。</w:t>
      </w:r>
    </w:p>
    <w:p w14:paraId="76E31370">
      <w:pPr>
        <w:snapToGrid w:val="0"/>
        <w:spacing w:beforeLines="30" w:line="300" w:lineRule="auto"/>
        <w:ind w:left="196"/>
        <w:jc w:val="center"/>
        <w:rPr>
          <w:rFonts w:ascii="Times New Roman" w:hAnsi="Times New Roman"/>
          <w:i/>
          <w:kern w:val="2"/>
          <w:szCs w:val="21"/>
        </w:rPr>
      </w:pPr>
      <w:r>
        <w:rPr>
          <w:rFonts w:ascii="Times New Roman" w:hAnsi="Times New Roman"/>
          <w:i/>
          <w:kern w:val="2"/>
          <w:szCs w:val="21"/>
        </w:rPr>
        <w:t>第39条</w:t>
      </w:r>
    </w:p>
    <w:p w14:paraId="612C70BB">
      <w:pPr>
        <w:snapToGrid w:val="0"/>
        <w:spacing w:beforeLines="30" w:line="300" w:lineRule="auto"/>
        <w:ind w:left="196"/>
        <w:jc w:val="center"/>
        <w:rPr>
          <w:rFonts w:ascii="Times New Roman" w:hAnsi="Times New Roman"/>
          <w:b/>
          <w:kern w:val="2"/>
          <w:szCs w:val="21"/>
        </w:rPr>
      </w:pPr>
      <w:r>
        <w:rPr>
          <w:rFonts w:ascii="Times New Roman" w:hAnsi="Times New Roman"/>
          <w:b/>
          <w:kern w:val="2"/>
          <w:szCs w:val="21"/>
        </w:rPr>
        <w:t>申请评估</w:t>
      </w:r>
    </w:p>
    <w:p w14:paraId="3D522AF1">
      <w:pPr>
        <w:pStyle w:val="32"/>
        <w:numPr>
          <w:ilvl w:val="0"/>
          <w:numId w:val="43"/>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负责公告机构的主管机构应在30天内检查第38条所述的申请是否完成，并要求申请机构提供缺失信息。一旦申请完成，主管机构应将其交送委员会。</w:t>
      </w:r>
    </w:p>
    <w:p w14:paraId="7943CB35">
      <w:pPr>
        <w:pStyle w:val="8"/>
        <w:topLinePunct/>
        <w:snapToGrid w:val="0"/>
        <w:spacing w:beforeLines="30" w:line="300" w:lineRule="auto"/>
        <w:ind w:firstLine="0"/>
        <w:jc w:val="both"/>
        <w:rPr>
          <w:kern w:val="2"/>
          <w:szCs w:val="21"/>
        </w:rPr>
      </w:pPr>
      <w:r>
        <w:rPr>
          <w:kern w:val="2"/>
          <w:szCs w:val="21"/>
        </w:rPr>
        <w:t>负责公告机构的主管机构应按照自己的程序审查申请和支持文件，并起草一份初步评估报告。</w:t>
      </w:r>
    </w:p>
    <w:p w14:paraId="4E9EB3E1">
      <w:pPr>
        <w:pStyle w:val="32"/>
        <w:numPr>
          <w:ilvl w:val="0"/>
          <w:numId w:val="43"/>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负责公告机构的</w:t>
      </w:r>
      <w:r>
        <w:rPr>
          <w:rFonts w:hint="eastAsia" w:ascii="Times New Roman" w:hAnsi="Times New Roman"/>
          <w:kern w:val="2"/>
          <w:szCs w:val="21"/>
        </w:rPr>
        <w:t>主管机构</w:t>
      </w:r>
      <w:r>
        <w:rPr>
          <w:rFonts w:ascii="Times New Roman" w:hAnsi="Times New Roman"/>
          <w:kern w:val="2"/>
          <w:szCs w:val="21"/>
        </w:rPr>
        <w:t>应向委员会提交初步评估报告，委员会应立即将报告转交至MDCG。</w:t>
      </w:r>
    </w:p>
    <w:p w14:paraId="13151408">
      <w:pPr>
        <w:pStyle w:val="32"/>
        <w:numPr>
          <w:ilvl w:val="0"/>
          <w:numId w:val="43"/>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在本条第2段所述的递交后14天内，委员会和MDCG从第40（2）条的名单中选出三个专家组成联合评估小组，如遇特殊情况可</w:t>
      </w:r>
      <w:r>
        <w:rPr>
          <w:rFonts w:hint="eastAsia" w:ascii="Times New Roman" w:hAnsi="Times New Roman"/>
          <w:kern w:val="2"/>
          <w:szCs w:val="21"/>
        </w:rPr>
        <w:t>改变</w:t>
      </w:r>
      <w:r>
        <w:rPr>
          <w:rFonts w:ascii="Times New Roman" w:hAnsi="Times New Roman"/>
          <w:kern w:val="2"/>
          <w:szCs w:val="21"/>
        </w:rPr>
        <w:t>专家人数。其中一位专家应为委员会的代表，</w:t>
      </w:r>
      <w:r>
        <w:rPr>
          <w:rFonts w:hint="eastAsia" w:ascii="Times New Roman" w:hAnsi="Times New Roman"/>
          <w:kern w:val="2"/>
          <w:szCs w:val="21"/>
        </w:rPr>
        <w:t>负责</w:t>
      </w:r>
      <w:r>
        <w:rPr>
          <w:rFonts w:ascii="Times New Roman" w:hAnsi="Times New Roman"/>
          <w:kern w:val="2"/>
          <w:szCs w:val="21"/>
        </w:rPr>
        <w:t>协调联合评估小组的活动。另外两个专家应</w:t>
      </w:r>
      <w:r>
        <w:rPr>
          <w:rFonts w:hint="eastAsia" w:ascii="Times New Roman" w:hAnsi="Times New Roman"/>
          <w:kern w:val="2"/>
          <w:szCs w:val="21"/>
        </w:rPr>
        <w:t>分别</w:t>
      </w:r>
      <w:r>
        <w:rPr>
          <w:rFonts w:ascii="Times New Roman" w:hAnsi="Times New Roman"/>
          <w:kern w:val="2"/>
          <w:szCs w:val="21"/>
        </w:rPr>
        <w:t>来自不同于申请机构符合性评估的</w:t>
      </w:r>
      <w:r>
        <w:rPr>
          <w:rFonts w:hint="eastAsia" w:ascii="Times New Roman" w:hAnsi="Times New Roman"/>
          <w:kern w:val="2"/>
          <w:szCs w:val="21"/>
        </w:rPr>
        <w:t>两个</w:t>
      </w:r>
      <w:r>
        <w:rPr>
          <w:rFonts w:ascii="Times New Roman" w:hAnsi="Times New Roman"/>
          <w:kern w:val="2"/>
          <w:szCs w:val="21"/>
        </w:rPr>
        <w:t>成员国。</w:t>
      </w:r>
    </w:p>
    <w:p w14:paraId="1EA4E72B">
      <w:pPr>
        <w:pStyle w:val="8"/>
        <w:topLinePunct/>
        <w:snapToGrid w:val="0"/>
        <w:spacing w:beforeLines="30" w:line="300" w:lineRule="auto"/>
        <w:ind w:firstLine="0"/>
        <w:jc w:val="both"/>
        <w:rPr>
          <w:kern w:val="2"/>
          <w:szCs w:val="21"/>
        </w:rPr>
      </w:pPr>
      <w:r>
        <w:rPr>
          <w:kern w:val="2"/>
          <w:szCs w:val="21"/>
        </w:rPr>
        <w:t>联合评估小组应由合格的专家组成，能</w:t>
      </w:r>
      <w:r>
        <w:rPr>
          <w:rFonts w:hint="eastAsia"/>
          <w:kern w:val="2"/>
          <w:szCs w:val="21"/>
        </w:rPr>
        <w:t>评定</w:t>
      </w:r>
      <w:r>
        <w:rPr>
          <w:kern w:val="2"/>
          <w:szCs w:val="21"/>
        </w:rPr>
        <w:t>符合性评估活动和该申请中的器械类型，特别是在根据第47（3）条启动该</w:t>
      </w:r>
      <w:r>
        <w:rPr>
          <w:rFonts w:hint="eastAsia"/>
          <w:kern w:val="2"/>
          <w:szCs w:val="21"/>
        </w:rPr>
        <w:t>评估</w:t>
      </w:r>
      <w:r>
        <w:rPr>
          <w:kern w:val="2"/>
          <w:szCs w:val="21"/>
        </w:rPr>
        <w:t>流程后，确保特定关注点可得到正确评估。</w:t>
      </w:r>
    </w:p>
    <w:p w14:paraId="15485DCC">
      <w:pPr>
        <w:pStyle w:val="32"/>
        <w:numPr>
          <w:ilvl w:val="0"/>
          <w:numId w:val="43"/>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联合评估小组应在委任后的90天内，审核根据第38条提交的申请文件。联合评估小组可向负责公告机构的主管机构提供关于申请和计划现场评估的反馈，或要求其澄清。</w:t>
      </w:r>
    </w:p>
    <w:p w14:paraId="682DBB19">
      <w:pPr>
        <w:pStyle w:val="8"/>
        <w:topLinePunct/>
        <w:snapToGrid w:val="0"/>
        <w:spacing w:beforeLines="30" w:line="300" w:lineRule="auto"/>
        <w:ind w:firstLine="0"/>
        <w:jc w:val="both"/>
        <w:rPr>
          <w:kern w:val="2"/>
          <w:szCs w:val="21"/>
        </w:rPr>
      </w:pPr>
      <w:r>
        <w:rPr>
          <w:kern w:val="2"/>
          <w:szCs w:val="21"/>
        </w:rPr>
        <w:t>负责公告机构的主管机构以及联合评估小组</w:t>
      </w:r>
      <w:r>
        <w:rPr>
          <w:rFonts w:hint="eastAsia"/>
          <w:kern w:val="2"/>
          <w:szCs w:val="21"/>
        </w:rPr>
        <w:t>，</w:t>
      </w:r>
      <w:r>
        <w:rPr>
          <w:kern w:val="2"/>
          <w:szCs w:val="21"/>
        </w:rPr>
        <w:t>应计划并实施对符合性评估申请机构以及欧盟内外参与符合性评估过程的分支机构或分包商进行现场评估。</w:t>
      </w:r>
    </w:p>
    <w:p w14:paraId="2BA88356">
      <w:pPr>
        <w:pStyle w:val="8"/>
        <w:topLinePunct/>
        <w:snapToGrid w:val="0"/>
        <w:spacing w:beforeLines="30" w:line="300" w:lineRule="auto"/>
        <w:ind w:firstLine="0"/>
        <w:jc w:val="both"/>
        <w:rPr>
          <w:kern w:val="2"/>
          <w:szCs w:val="21"/>
        </w:rPr>
      </w:pPr>
      <w:r>
        <w:rPr>
          <w:kern w:val="2"/>
          <w:szCs w:val="21"/>
        </w:rPr>
        <w:t>申请机构的现场评估应由负责公告机构的主管机构领导。</w:t>
      </w:r>
    </w:p>
    <w:p w14:paraId="008371E3">
      <w:pPr>
        <w:pStyle w:val="8"/>
        <w:tabs>
          <w:tab w:val="left" w:pos="681"/>
        </w:tabs>
        <w:topLinePunct/>
        <w:snapToGrid w:val="0"/>
        <w:spacing w:beforeLines="30" w:line="300" w:lineRule="auto"/>
        <w:ind w:hanging="568"/>
        <w:jc w:val="both"/>
        <w:rPr>
          <w:kern w:val="2"/>
          <w:szCs w:val="21"/>
        </w:rPr>
      </w:pPr>
      <w:r>
        <w:rPr>
          <w:kern w:val="2"/>
          <w:szCs w:val="21"/>
        </w:rPr>
        <w:t>5.</w:t>
      </w:r>
      <w:r>
        <w:rPr>
          <w:kern w:val="2"/>
          <w:szCs w:val="21"/>
        </w:rPr>
        <w:tab/>
      </w:r>
      <w:r>
        <w:rPr>
          <w:kern w:val="2"/>
          <w:szCs w:val="21"/>
        </w:rPr>
        <w:t>如发现申请符合性评估机构</w:t>
      </w:r>
      <w:r>
        <w:rPr>
          <w:rFonts w:hint="eastAsia"/>
          <w:kern w:val="2"/>
          <w:szCs w:val="21"/>
        </w:rPr>
        <w:t>的</w:t>
      </w:r>
      <w:r>
        <w:rPr>
          <w:kern w:val="2"/>
          <w:szCs w:val="21"/>
        </w:rPr>
        <w:t>申请人不符合附录VII要求时，应在评估过程中提出，并经负责公告机构的主管机构和联合评估小组讨论，以对该申请的评估达成共识和消除分歧。</w:t>
      </w:r>
    </w:p>
    <w:p w14:paraId="08E2A413">
      <w:pPr>
        <w:pStyle w:val="8"/>
        <w:topLinePunct/>
        <w:snapToGrid w:val="0"/>
        <w:spacing w:beforeLines="30" w:line="300" w:lineRule="auto"/>
        <w:ind w:firstLine="0"/>
        <w:jc w:val="both"/>
        <w:rPr>
          <w:kern w:val="2"/>
          <w:szCs w:val="21"/>
        </w:rPr>
      </w:pPr>
      <w:r>
        <w:rPr>
          <w:kern w:val="2"/>
          <w:szCs w:val="21"/>
        </w:rPr>
        <w:t>在现场评估结束时，负责公告机构的主管机构将向申请符合性评估机构提供因联合评估小组提供的评估和</w:t>
      </w:r>
      <w:r>
        <w:rPr>
          <w:rFonts w:hint="eastAsia"/>
          <w:kern w:val="2"/>
          <w:szCs w:val="21"/>
        </w:rPr>
        <w:t>评价总结</w:t>
      </w:r>
      <w:r>
        <w:rPr>
          <w:kern w:val="2"/>
          <w:szCs w:val="21"/>
        </w:rPr>
        <w:t>产生的不符合项清单。</w:t>
      </w:r>
    </w:p>
    <w:p w14:paraId="3C6A14D2">
      <w:pPr>
        <w:pStyle w:val="8"/>
        <w:topLinePunct/>
        <w:snapToGrid w:val="0"/>
        <w:spacing w:beforeLines="30" w:line="300" w:lineRule="auto"/>
        <w:ind w:firstLine="0"/>
        <w:jc w:val="both"/>
        <w:rPr>
          <w:kern w:val="2"/>
          <w:szCs w:val="21"/>
        </w:rPr>
      </w:pPr>
      <w:r>
        <w:rPr>
          <w:kern w:val="2"/>
          <w:szCs w:val="21"/>
        </w:rPr>
        <w:t>在规定的时间内，符合性评估机构申请</w:t>
      </w:r>
      <w:r>
        <w:rPr>
          <w:rFonts w:hint="eastAsia"/>
          <w:kern w:val="2"/>
          <w:szCs w:val="21"/>
        </w:rPr>
        <w:t>人</w:t>
      </w:r>
      <w:r>
        <w:rPr>
          <w:kern w:val="2"/>
          <w:szCs w:val="21"/>
        </w:rPr>
        <w:t>应向</w:t>
      </w:r>
      <w:r>
        <w:rPr>
          <w:rFonts w:hint="eastAsia"/>
          <w:kern w:val="2"/>
          <w:szCs w:val="21"/>
        </w:rPr>
        <w:t>国家</w:t>
      </w:r>
      <w:r>
        <w:rPr>
          <w:kern w:val="2"/>
          <w:szCs w:val="21"/>
        </w:rPr>
        <w:t>主管机构提交纠正和预防措施计划，以解决不符合项。</w:t>
      </w:r>
    </w:p>
    <w:p w14:paraId="6045170A">
      <w:pPr>
        <w:pStyle w:val="8"/>
        <w:topLinePunct/>
        <w:snapToGrid w:val="0"/>
        <w:spacing w:beforeLines="30" w:line="300" w:lineRule="auto"/>
        <w:ind w:hanging="568"/>
        <w:jc w:val="both"/>
        <w:rPr>
          <w:kern w:val="2"/>
          <w:szCs w:val="21"/>
        </w:rPr>
      </w:pPr>
      <w:r>
        <w:rPr>
          <w:kern w:val="2"/>
          <w:szCs w:val="21"/>
        </w:rPr>
        <w:t xml:space="preserve">6. </w:t>
      </w:r>
      <w:r>
        <w:rPr>
          <w:rFonts w:hint="eastAsia"/>
          <w:kern w:val="2"/>
          <w:szCs w:val="21"/>
        </w:rPr>
        <w:tab/>
      </w:r>
      <w:r>
        <w:rPr>
          <w:kern w:val="2"/>
          <w:szCs w:val="21"/>
        </w:rPr>
        <w:t>联合评估小组应在完成现场评估后的30天内记录有关评估的剩余分歧意见，并将这些意见提交给负责公告机构的主管机构。</w:t>
      </w:r>
    </w:p>
    <w:p w14:paraId="1C6C07E5">
      <w:pPr>
        <w:pStyle w:val="8"/>
        <w:tabs>
          <w:tab w:val="left" w:pos="681"/>
        </w:tabs>
        <w:topLinePunct/>
        <w:snapToGrid w:val="0"/>
        <w:spacing w:beforeLines="30" w:line="300" w:lineRule="auto"/>
        <w:ind w:hanging="568"/>
        <w:jc w:val="both"/>
        <w:rPr>
          <w:kern w:val="2"/>
          <w:szCs w:val="21"/>
        </w:rPr>
      </w:pPr>
      <w:r>
        <w:rPr>
          <w:kern w:val="2"/>
          <w:szCs w:val="21"/>
        </w:rPr>
        <w:t>7.</w:t>
      </w:r>
      <w:r>
        <w:rPr>
          <w:kern w:val="2"/>
          <w:szCs w:val="21"/>
        </w:rPr>
        <w:tab/>
      </w:r>
      <w:r>
        <w:rPr>
          <w:kern w:val="2"/>
          <w:szCs w:val="21"/>
        </w:rPr>
        <w:t>负责公告机构的主管机构应当在收到申请机构提供的纠正和预防措施计划后，判断评估过程中发现的不符合项是否已经合理解决。该计划应说明所识别不符合项问题的根本原因并应包括执行操作的时间表。</w:t>
      </w:r>
    </w:p>
    <w:p w14:paraId="1F36B3F4">
      <w:pPr>
        <w:pStyle w:val="8"/>
        <w:topLinePunct/>
        <w:snapToGrid w:val="0"/>
        <w:spacing w:beforeLines="30" w:line="300" w:lineRule="auto"/>
        <w:ind w:firstLine="0"/>
        <w:jc w:val="both"/>
        <w:rPr>
          <w:kern w:val="2"/>
          <w:szCs w:val="21"/>
        </w:rPr>
      </w:pPr>
      <w:r>
        <w:rPr>
          <w:kern w:val="2"/>
          <w:szCs w:val="21"/>
        </w:rPr>
        <w:t>负责认证机构的主管机构在确认纠正和预防措施计划后，应将该计划及其对该计划的意见转交给联合评估小组。可要求负责认证机构的主管机构的联合评估小组进一步澄清和修改。</w:t>
      </w:r>
    </w:p>
    <w:p w14:paraId="38758E67">
      <w:pPr>
        <w:pStyle w:val="8"/>
        <w:topLinePunct/>
        <w:snapToGrid w:val="0"/>
        <w:spacing w:beforeLines="25" w:line="300" w:lineRule="auto"/>
        <w:ind w:firstLine="0"/>
        <w:jc w:val="both"/>
        <w:rPr>
          <w:kern w:val="2"/>
          <w:szCs w:val="21"/>
        </w:rPr>
      </w:pPr>
    </w:p>
    <w:p w14:paraId="09B4D02E">
      <w:pPr>
        <w:pStyle w:val="8"/>
        <w:topLinePunct/>
        <w:snapToGrid w:val="0"/>
        <w:spacing w:beforeLines="25" w:line="300" w:lineRule="auto"/>
        <w:ind w:firstLine="0"/>
        <w:jc w:val="both"/>
        <w:rPr>
          <w:kern w:val="2"/>
          <w:szCs w:val="21"/>
        </w:rPr>
      </w:pPr>
      <w:r>
        <w:rPr>
          <w:kern w:val="2"/>
          <w:szCs w:val="21"/>
        </w:rPr>
        <w:t>负责公告机构的主管机构应拟定其最终的评估报告，包括：</w:t>
      </w:r>
    </w:p>
    <w:p w14:paraId="296FBBB8">
      <w:pPr>
        <w:pStyle w:val="32"/>
        <w:numPr>
          <w:ilvl w:val="0"/>
          <w:numId w:val="44"/>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评估结果，</w:t>
      </w:r>
    </w:p>
    <w:p w14:paraId="2668CEB7">
      <w:pPr>
        <w:pStyle w:val="32"/>
        <w:numPr>
          <w:ilvl w:val="0"/>
          <w:numId w:val="44"/>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确认已采取纠正和预防措施，并在需要时实施</w:t>
      </w:r>
    </w:p>
    <w:p w14:paraId="43CBF7D4">
      <w:pPr>
        <w:pStyle w:val="32"/>
        <w:numPr>
          <w:ilvl w:val="0"/>
          <w:numId w:val="44"/>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与联合评估小组的剩余分歧意见，和（如适用）</w:t>
      </w:r>
    </w:p>
    <w:p w14:paraId="4F64D254">
      <w:pPr>
        <w:pStyle w:val="32"/>
        <w:numPr>
          <w:ilvl w:val="0"/>
          <w:numId w:val="44"/>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建议的委任范围。</w:t>
      </w:r>
    </w:p>
    <w:p w14:paraId="7DCFF28F">
      <w:pPr>
        <w:pStyle w:val="32"/>
        <w:tabs>
          <w:tab w:val="left" w:pos="742"/>
        </w:tabs>
        <w:topLinePunct/>
        <w:snapToGrid w:val="0"/>
        <w:spacing w:beforeLines="25" w:line="300" w:lineRule="auto"/>
        <w:ind w:left="718" w:hanging="718" w:hangingChars="342"/>
        <w:jc w:val="both"/>
        <w:rPr>
          <w:rFonts w:ascii="Times New Roman" w:hAnsi="Times New Roman"/>
          <w:kern w:val="2"/>
          <w:szCs w:val="21"/>
        </w:rPr>
      </w:pPr>
      <w:r>
        <w:rPr>
          <w:rFonts w:ascii="Times New Roman" w:hAnsi="Times New Roman"/>
          <w:kern w:val="2"/>
          <w:szCs w:val="21"/>
        </w:rPr>
        <w:t>8.</w:t>
      </w:r>
      <w:r>
        <w:rPr>
          <w:rFonts w:ascii="Times New Roman" w:hAnsi="Times New Roman"/>
          <w:kern w:val="2"/>
          <w:szCs w:val="21"/>
        </w:rPr>
        <w:tab/>
      </w:r>
      <w:r>
        <w:rPr>
          <w:rFonts w:ascii="Times New Roman" w:hAnsi="Times New Roman"/>
          <w:kern w:val="2"/>
          <w:szCs w:val="21"/>
        </w:rPr>
        <w:t>负责公告机构的主管机构应向委员会、MDCG和联合评估小组提交最终评估报告和委任草案（如适用）。</w:t>
      </w:r>
    </w:p>
    <w:p w14:paraId="0E7DC1F4">
      <w:pPr>
        <w:pStyle w:val="32"/>
        <w:tabs>
          <w:tab w:val="left" w:pos="742"/>
        </w:tabs>
        <w:topLinePunct/>
        <w:snapToGrid w:val="0"/>
        <w:spacing w:beforeLines="25" w:line="300" w:lineRule="auto"/>
        <w:ind w:left="718" w:hanging="718" w:hangingChars="342"/>
        <w:jc w:val="both"/>
        <w:rPr>
          <w:rFonts w:ascii="Times New Roman" w:hAnsi="Times New Roman"/>
          <w:kern w:val="2"/>
          <w:szCs w:val="21"/>
        </w:rPr>
      </w:pPr>
      <w:r>
        <w:rPr>
          <w:rFonts w:ascii="Times New Roman" w:hAnsi="Times New Roman"/>
          <w:kern w:val="2"/>
          <w:szCs w:val="21"/>
        </w:rPr>
        <w:t>9.</w:t>
      </w:r>
      <w:r>
        <w:rPr>
          <w:rFonts w:ascii="Times New Roman" w:hAnsi="Times New Roman"/>
          <w:kern w:val="2"/>
          <w:szCs w:val="21"/>
        </w:rPr>
        <w:tab/>
      </w:r>
      <w:r>
        <w:rPr>
          <w:rFonts w:ascii="Times New Roman" w:hAnsi="Times New Roman"/>
          <w:kern w:val="2"/>
          <w:szCs w:val="21"/>
        </w:rPr>
        <w:t>联合评估小组应在收到由负责公告机构的主管机构准备的评估报告和委任草案（如适用）后21天内，向委员会提供关于这些文件的最终意见，</w:t>
      </w:r>
      <w:r>
        <w:rPr>
          <w:rFonts w:hint="eastAsia" w:ascii="Times New Roman" w:hAnsi="Times New Roman"/>
          <w:kern w:val="2"/>
          <w:szCs w:val="21"/>
        </w:rPr>
        <w:t>且</w:t>
      </w:r>
      <w:r>
        <w:rPr>
          <w:rFonts w:ascii="Times New Roman" w:hAnsi="Times New Roman"/>
          <w:kern w:val="2"/>
          <w:szCs w:val="21"/>
        </w:rPr>
        <w:t>委员会</w:t>
      </w:r>
      <w:r>
        <w:rPr>
          <w:rFonts w:hint="eastAsia" w:ascii="Times New Roman" w:hAnsi="Times New Roman"/>
          <w:kern w:val="2"/>
          <w:szCs w:val="21"/>
        </w:rPr>
        <w:t>应</w:t>
      </w:r>
      <w:r>
        <w:rPr>
          <w:rFonts w:ascii="Times New Roman" w:hAnsi="Times New Roman"/>
          <w:kern w:val="2"/>
          <w:szCs w:val="21"/>
        </w:rPr>
        <w:t>立即将此</w:t>
      </w:r>
      <w:r>
        <w:rPr>
          <w:rFonts w:hint="eastAsia" w:ascii="Times New Roman" w:hAnsi="Times New Roman"/>
          <w:kern w:val="2"/>
          <w:szCs w:val="21"/>
        </w:rPr>
        <w:t>最终</w:t>
      </w:r>
      <w:r>
        <w:rPr>
          <w:rFonts w:ascii="Times New Roman" w:hAnsi="Times New Roman"/>
          <w:kern w:val="2"/>
          <w:szCs w:val="21"/>
        </w:rPr>
        <w:t>意见提交给MDCG。在收到联合评估小组意见后42天内，MDCG应就委任草案提出建议，负责公告机构的主管机构应在其</w:t>
      </w:r>
      <w:r>
        <w:rPr>
          <w:rFonts w:hint="eastAsia" w:ascii="Times New Roman" w:hAnsi="Times New Roman"/>
          <w:kern w:val="2"/>
          <w:szCs w:val="21"/>
        </w:rPr>
        <w:t>做出</w:t>
      </w:r>
      <w:r>
        <w:rPr>
          <w:rFonts w:ascii="Times New Roman" w:hAnsi="Times New Roman"/>
          <w:kern w:val="2"/>
          <w:szCs w:val="21"/>
        </w:rPr>
        <w:t>委任公告机构的决议时充分考虑该建议。</w:t>
      </w:r>
    </w:p>
    <w:p w14:paraId="724C1BB1">
      <w:pPr>
        <w:pStyle w:val="32"/>
        <w:tabs>
          <w:tab w:val="left" w:pos="742"/>
        </w:tabs>
        <w:topLinePunct/>
        <w:snapToGrid w:val="0"/>
        <w:spacing w:beforeLines="25" w:line="300" w:lineRule="auto"/>
        <w:ind w:left="718" w:hanging="718" w:hangingChars="342"/>
        <w:jc w:val="both"/>
        <w:rPr>
          <w:rFonts w:ascii="Times New Roman" w:hAnsi="Times New Roman"/>
          <w:kern w:val="2"/>
          <w:szCs w:val="21"/>
        </w:rPr>
      </w:pPr>
      <w:r>
        <w:rPr>
          <w:rFonts w:ascii="Times New Roman" w:hAnsi="Times New Roman"/>
          <w:kern w:val="2"/>
          <w:szCs w:val="21"/>
        </w:rPr>
        <w:t>10.</w:t>
      </w:r>
      <w:r>
        <w:rPr>
          <w:rFonts w:ascii="Times New Roman" w:hAnsi="Times New Roman"/>
          <w:kern w:val="2"/>
          <w:szCs w:val="21"/>
        </w:rPr>
        <w:tab/>
      </w:r>
      <w:r>
        <w:rPr>
          <w:rFonts w:ascii="Times New Roman" w:hAnsi="Times New Roman"/>
          <w:kern w:val="2"/>
          <w:szCs w:val="21"/>
        </w:rPr>
        <w:t>委员会可通过实施细则，采取措施设定第38条规定的申请委任和本条规定的申请评估的流程和报告</w:t>
      </w:r>
      <w:r>
        <w:rPr>
          <w:rFonts w:hint="eastAsia" w:ascii="Times New Roman" w:hAnsi="Times New Roman"/>
          <w:kern w:val="2"/>
          <w:szCs w:val="21"/>
        </w:rPr>
        <w:t>的详细协议</w:t>
      </w:r>
      <w:r>
        <w:rPr>
          <w:rFonts w:ascii="Times New Roman" w:hAnsi="Times New Roman"/>
          <w:kern w:val="2"/>
          <w:szCs w:val="21"/>
        </w:rPr>
        <w:t>。按照第114(3)条的审查流程采用这些实施细则。</w:t>
      </w:r>
    </w:p>
    <w:p w14:paraId="157E0A3A">
      <w:pPr>
        <w:snapToGrid w:val="0"/>
        <w:spacing w:beforeLines="25" w:line="300" w:lineRule="auto"/>
        <w:ind w:left="196"/>
        <w:jc w:val="center"/>
        <w:rPr>
          <w:rFonts w:ascii="Times New Roman" w:hAnsi="Times New Roman"/>
          <w:i/>
          <w:kern w:val="2"/>
          <w:szCs w:val="21"/>
        </w:rPr>
      </w:pPr>
    </w:p>
    <w:p w14:paraId="5C10B522">
      <w:pPr>
        <w:snapToGrid w:val="0"/>
        <w:spacing w:beforeLines="25" w:line="300" w:lineRule="auto"/>
        <w:ind w:left="196"/>
        <w:jc w:val="center"/>
        <w:rPr>
          <w:rStyle w:val="48"/>
          <w:b/>
          <w:szCs w:val="21"/>
        </w:rPr>
      </w:pPr>
      <w:r>
        <w:rPr>
          <w:rFonts w:ascii="Times New Roman" w:hAnsi="Times New Roman"/>
          <w:i/>
          <w:kern w:val="2"/>
          <w:szCs w:val="21"/>
        </w:rPr>
        <w:t>第40条</w:t>
      </w:r>
    </w:p>
    <w:p w14:paraId="44813CD2">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公告</w:t>
      </w:r>
    </w:p>
    <w:p w14:paraId="40B372A9">
      <w:pPr>
        <w:snapToGrid w:val="0"/>
        <w:spacing w:beforeLines="25" w:line="300" w:lineRule="auto"/>
        <w:ind w:left="196"/>
        <w:jc w:val="center"/>
        <w:rPr>
          <w:rStyle w:val="48"/>
          <w:b/>
          <w:szCs w:val="21"/>
        </w:rPr>
      </w:pPr>
      <w:r>
        <w:rPr>
          <w:rFonts w:hint="eastAsia" w:ascii="Times New Roman" w:hAnsi="Times New Roman"/>
          <w:b/>
          <w:i/>
          <w:kern w:val="2"/>
          <w:szCs w:val="21"/>
        </w:rPr>
        <w:t>公告</w:t>
      </w:r>
      <w:r>
        <w:rPr>
          <w:rFonts w:ascii="Times New Roman" w:hAnsi="Times New Roman"/>
          <w:b/>
          <w:i/>
          <w:kern w:val="2"/>
          <w:szCs w:val="21"/>
        </w:rPr>
        <w:t>申请联合评估专家</w:t>
      </w:r>
      <w:r>
        <w:rPr>
          <w:rFonts w:hint="eastAsia" w:ascii="Times New Roman" w:hAnsi="Times New Roman"/>
          <w:b/>
          <w:i/>
          <w:kern w:val="2"/>
          <w:szCs w:val="21"/>
        </w:rPr>
        <w:t>的</w:t>
      </w:r>
      <w:r>
        <w:rPr>
          <w:rFonts w:ascii="Times New Roman" w:hAnsi="Times New Roman"/>
          <w:b/>
          <w:i/>
          <w:kern w:val="2"/>
          <w:szCs w:val="21"/>
        </w:rPr>
        <w:t>提名</w:t>
      </w:r>
    </w:p>
    <w:p w14:paraId="69B7C387">
      <w:pPr>
        <w:pStyle w:val="32"/>
        <w:numPr>
          <w:ilvl w:val="0"/>
          <w:numId w:val="4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成员国和委员会应</w:t>
      </w:r>
      <w:r>
        <w:rPr>
          <w:rFonts w:hint="eastAsia" w:ascii="Times New Roman" w:hAnsi="Times New Roman"/>
          <w:kern w:val="2"/>
          <w:szCs w:val="21"/>
        </w:rPr>
        <w:t>提名</w:t>
      </w:r>
      <w:r>
        <w:rPr>
          <w:rFonts w:ascii="Times New Roman" w:hAnsi="Times New Roman"/>
          <w:kern w:val="2"/>
          <w:szCs w:val="21"/>
        </w:rPr>
        <w:t>医疗器械领域内具备符合性评估机构评估资格的专家参与第39条和第48条所述的活动。</w:t>
      </w:r>
    </w:p>
    <w:p w14:paraId="109B98DD">
      <w:pPr>
        <w:pStyle w:val="32"/>
        <w:numPr>
          <w:ilvl w:val="0"/>
          <w:numId w:val="4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委员会应根据本条第1段生成一个提名专家名单，及其具体能力和专业信息领域。该名单应当通过第57条的电子系统向成员国主管机构公布。</w:t>
      </w:r>
    </w:p>
    <w:p w14:paraId="0B1E9058">
      <w:pPr>
        <w:snapToGrid w:val="0"/>
        <w:spacing w:beforeLines="25" w:line="300" w:lineRule="auto"/>
        <w:rPr>
          <w:rFonts w:ascii="Times New Roman" w:hAnsi="Times New Roman"/>
          <w:kern w:val="2"/>
          <w:szCs w:val="21"/>
        </w:rPr>
      </w:pPr>
    </w:p>
    <w:p w14:paraId="3BCF15CE">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第41条</w:t>
      </w:r>
    </w:p>
    <w:p w14:paraId="32D518B6">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语言要求</w:t>
      </w:r>
    </w:p>
    <w:p w14:paraId="0CA8B43E">
      <w:pPr>
        <w:pStyle w:val="8"/>
        <w:topLinePunct/>
        <w:snapToGrid w:val="0"/>
        <w:spacing w:beforeLines="25" w:line="300" w:lineRule="auto"/>
        <w:ind w:left="114" w:firstLine="0"/>
        <w:jc w:val="both"/>
        <w:rPr>
          <w:kern w:val="2"/>
          <w:szCs w:val="21"/>
        </w:rPr>
      </w:pPr>
      <w:r>
        <w:rPr>
          <w:kern w:val="2"/>
          <w:szCs w:val="21"/>
        </w:rPr>
        <w:t>第38条和第39条要求的所有文件应以一种或多种相关成员国的语言拟定。</w:t>
      </w:r>
    </w:p>
    <w:p w14:paraId="3A8C1CF3">
      <w:pPr>
        <w:pStyle w:val="8"/>
        <w:topLinePunct/>
        <w:snapToGrid w:val="0"/>
        <w:spacing w:beforeLines="25" w:line="300" w:lineRule="auto"/>
        <w:ind w:left="114" w:firstLine="0"/>
        <w:jc w:val="both"/>
        <w:rPr>
          <w:kern w:val="2"/>
          <w:szCs w:val="21"/>
        </w:rPr>
      </w:pPr>
      <w:r>
        <w:rPr>
          <w:kern w:val="2"/>
          <w:szCs w:val="21"/>
        </w:rPr>
        <w:t>成员国在采用第一子段时应考虑在全部或部分有关文件中使用医学领域通用易懂的语言。</w:t>
      </w:r>
    </w:p>
    <w:p w14:paraId="43EA4589">
      <w:pPr>
        <w:pStyle w:val="8"/>
        <w:topLinePunct/>
        <w:snapToGrid w:val="0"/>
        <w:spacing w:beforeLines="25" w:line="300" w:lineRule="auto"/>
        <w:ind w:left="114" w:firstLine="0"/>
        <w:jc w:val="both"/>
        <w:rPr>
          <w:kern w:val="2"/>
          <w:szCs w:val="21"/>
        </w:rPr>
      </w:pPr>
      <w:r>
        <w:rPr>
          <w:kern w:val="2"/>
          <w:szCs w:val="21"/>
        </w:rPr>
        <w:t>委员会应对第38和39条提供的文件进行必要翻译，或将部分翻译为欧盟官方语言，使按照第39(3)条指派的联合评估小组能够理解文档内容。</w:t>
      </w:r>
    </w:p>
    <w:p w14:paraId="4BF8F552">
      <w:pPr>
        <w:snapToGrid w:val="0"/>
        <w:spacing w:beforeLines="25" w:line="300" w:lineRule="auto"/>
        <w:ind w:left="196"/>
        <w:jc w:val="center"/>
        <w:rPr>
          <w:rFonts w:ascii="Times New Roman" w:hAnsi="Times New Roman"/>
          <w:i/>
          <w:kern w:val="2"/>
          <w:szCs w:val="21"/>
        </w:rPr>
      </w:pPr>
    </w:p>
    <w:p w14:paraId="0989854E">
      <w:pPr>
        <w:snapToGrid w:val="0"/>
        <w:spacing w:beforeLines="25" w:line="300" w:lineRule="auto"/>
        <w:ind w:left="196"/>
        <w:jc w:val="center"/>
        <w:rPr>
          <w:rStyle w:val="48"/>
          <w:b/>
          <w:szCs w:val="21"/>
        </w:rPr>
      </w:pPr>
      <w:r>
        <w:rPr>
          <w:rFonts w:ascii="Times New Roman" w:hAnsi="Times New Roman"/>
          <w:i/>
          <w:kern w:val="2"/>
          <w:szCs w:val="21"/>
        </w:rPr>
        <w:t>第42条</w:t>
      </w:r>
    </w:p>
    <w:p w14:paraId="099CBAC4">
      <w:pPr>
        <w:snapToGrid w:val="0"/>
        <w:spacing w:beforeLines="25" w:line="300" w:lineRule="auto"/>
        <w:ind w:left="195"/>
        <w:jc w:val="center"/>
        <w:rPr>
          <w:rFonts w:ascii="Times New Roman" w:hAnsi="Times New Roman"/>
          <w:b/>
          <w:kern w:val="2"/>
          <w:szCs w:val="21"/>
        </w:rPr>
      </w:pPr>
      <w:r>
        <w:rPr>
          <w:rFonts w:ascii="Times New Roman" w:hAnsi="Times New Roman"/>
          <w:b/>
          <w:kern w:val="2"/>
          <w:szCs w:val="21"/>
        </w:rPr>
        <w:t>委任和公告流程</w:t>
      </w:r>
    </w:p>
    <w:p w14:paraId="394376A3">
      <w:pPr>
        <w:tabs>
          <w:tab w:val="left" w:pos="615"/>
        </w:tabs>
        <w:snapToGrid w:val="0"/>
        <w:spacing w:beforeLines="25" w:line="300" w:lineRule="auto"/>
        <w:ind w:left="141" w:leftChars="66" w:hanging="2"/>
        <w:rPr>
          <w:rFonts w:ascii="Times New Roman" w:hAnsi="Times New Roman"/>
          <w:kern w:val="2"/>
          <w:szCs w:val="21"/>
        </w:rPr>
      </w:pPr>
      <w:r>
        <w:rPr>
          <w:rFonts w:ascii="Times New Roman" w:hAnsi="Times New Roman"/>
          <w:kern w:val="2"/>
          <w:szCs w:val="21"/>
        </w:rPr>
        <w:t>1.</w:t>
      </w:r>
      <w:r>
        <w:rPr>
          <w:rFonts w:hint="eastAsia" w:ascii="Times New Roman" w:hAnsi="Times New Roman"/>
          <w:kern w:val="2"/>
          <w:szCs w:val="21"/>
        </w:rPr>
        <w:tab/>
      </w:r>
      <w:r>
        <w:rPr>
          <w:rFonts w:ascii="Times New Roman" w:hAnsi="Times New Roman"/>
          <w:kern w:val="2"/>
          <w:szCs w:val="21"/>
        </w:rPr>
        <w:t>成员国只能指定已完成第39条评估并符合附录VII所列要求的符合性评估机构。</w:t>
      </w:r>
    </w:p>
    <w:p w14:paraId="20003D9B">
      <w:pPr>
        <w:pStyle w:val="32"/>
        <w:tabs>
          <w:tab w:val="left" w:pos="630"/>
        </w:tabs>
        <w:topLinePunct/>
        <w:snapToGrid w:val="0"/>
        <w:spacing w:beforeLines="25" w:line="300" w:lineRule="auto"/>
        <w:ind w:left="630" w:leftChars="67" w:hanging="489" w:hangingChars="233"/>
        <w:jc w:val="both"/>
        <w:rPr>
          <w:rFonts w:ascii="Times New Roman" w:hAnsi="Times New Roman"/>
          <w:kern w:val="2"/>
          <w:szCs w:val="21"/>
        </w:rPr>
      </w:pPr>
      <w:r>
        <w:rPr>
          <w:rFonts w:ascii="Times New Roman" w:hAnsi="Times New Roman"/>
          <w:kern w:val="2"/>
          <w:szCs w:val="21"/>
        </w:rPr>
        <w:t>2.</w:t>
      </w:r>
      <w:r>
        <w:rPr>
          <w:rFonts w:ascii="Times New Roman" w:hAnsi="Times New Roman"/>
          <w:kern w:val="2"/>
          <w:szCs w:val="21"/>
        </w:rPr>
        <w:tab/>
      </w:r>
      <w:r>
        <w:rPr>
          <w:rFonts w:ascii="Times New Roman" w:hAnsi="Times New Roman"/>
          <w:kern w:val="2"/>
          <w:szCs w:val="21"/>
        </w:rPr>
        <w:t>成员国应使用公告机构数据库内委员会开发和管理的电子公告工具（NANDO），将其委任的符合性评估机构通知委员会和其他成员国。</w:t>
      </w:r>
    </w:p>
    <w:p w14:paraId="32894329">
      <w:pPr>
        <w:pStyle w:val="32"/>
        <w:tabs>
          <w:tab w:val="left" w:pos="630"/>
          <w:tab w:val="left" w:pos="682"/>
        </w:tabs>
        <w:topLinePunct/>
        <w:snapToGrid w:val="0"/>
        <w:spacing w:beforeLines="25" w:line="300" w:lineRule="auto"/>
        <w:ind w:left="630" w:leftChars="67" w:hanging="489" w:hangingChars="233"/>
        <w:jc w:val="both"/>
        <w:rPr>
          <w:rFonts w:ascii="Times New Roman" w:hAnsi="Times New Roman"/>
          <w:kern w:val="2"/>
          <w:szCs w:val="21"/>
        </w:rPr>
      </w:pPr>
      <w:r>
        <w:rPr>
          <w:rFonts w:ascii="Times New Roman" w:hAnsi="Times New Roman"/>
          <w:kern w:val="2"/>
          <w:szCs w:val="21"/>
        </w:rPr>
        <w:t>3.</w:t>
      </w:r>
      <w:r>
        <w:rPr>
          <w:rFonts w:ascii="Times New Roman" w:hAnsi="Times New Roman"/>
          <w:kern w:val="2"/>
          <w:szCs w:val="21"/>
        </w:rPr>
        <w:tab/>
      </w:r>
      <w:r>
        <w:rPr>
          <w:rFonts w:ascii="Times New Roman" w:hAnsi="Times New Roman"/>
          <w:kern w:val="2"/>
          <w:szCs w:val="21"/>
        </w:rPr>
        <w:t>该公告应利用本条第13段中所述的法规明确规定本法规所定义的符合性评估活动的委任范围、授权公告机构评估的器械类型以及不影响第44条的与委任相关的条件。</w:t>
      </w:r>
    </w:p>
    <w:p w14:paraId="43DFA3FF">
      <w:pPr>
        <w:pStyle w:val="32"/>
        <w:tabs>
          <w:tab w:val="left" w:pos="630"/>
        </w:tabs>
        <w:topLinePunct/>
        <w:snapToGrid w:val="0"/>
        <w:spacing w:beforeLines="25" w:line="300" w:lineRule="auto"/>
        <w:ind w:left="630" w:leftChars="67" w:hanging="489" w:hangingChars="233"/>
        <w:jc w:val="both"/>
        <w:rPr>
          <w:rFonts w:ascii="Times New Roman" w:hAnsi="Times New Roman"/>
          <w:kern w:val="2"/>
          <w:szCs w:val="21"/>
        </w:rPr>
      </w:pPr>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rPr>
        <w:t>公告应附有负责公告机构的主管机构的最终评估报告、</w:t>
      </w:r>
      <w:r>
        <w:rPr>
          <w:rFonts w:hint="eastAsia" w:ascii="Times New Roman" w:hAnsi="Times New Roman"/>
          <w:kern w:val="2"/>
          <w:szCs w:val="21"/>
        </w:rPr>
        <w:t>第3</w:t>
      </w:r>
      <w:r>
        <w:rPr>
          <w:rFonts w:ascii="Times New Roman" w:hAnsi="Times New Roman"/>
          <w:kern w:val="2"/>
          <w:szCs w:val="21"/>
        </w:rPr>
        <w:t>9</w:t>
      </w:r>
      <w:r>
        <w:rPr>
          <w:rFonts w:hint="eastAsia" w:ascii="Times New Roman" w:hAnsi="Times New Roman"/>
          <w:kern w:val="2"/>
          <w:szCs w:val="21"/>
        </w:rPr>
        <w:t>（9）条所指</w:t>
      </w:r>
      <w:r>
        <w:rPr>
          <w:rFonts w:ascii="Times New Roman" w:hAnsi="Times New Roman"/>
          <w:kern w:val="2"/>
          <w:szCs w:val="21"/>
        </w:rPr>
        <w:t>联合评估小组的最终意见和MDCG的建议。若通知成员国未遵循MDCG的建议，应提供有充分证据的理由。</w:t>
      </w:r>
    </w:p>
    <w:p w14:paraId="5D141B21">
      <w:pPr>
        <w:pStyle w:val="32"/>
        <w:tabs>
          <w:tab w:val="left" w:pos="630"/>
        </w:tabs>
        <w:topLinePunct/>
        <w:snapToGrid w:val="0"/>
        <w:spacing w:beforeLines="25" w:line="300" w:lineRule="auto"/>
        <w:ind w:left="630" w:leftChars="67" w:hanging="489" w:hangingChars="233"/>
        <w:jc w:val="both"/>
        <w:rPr>
          <w:rFonts w:ascii="Times New Roman" w:hAnsi="Times New Roman"/>
          <w:kern w:val="2"/>
          <w:szCs w:val="21"/>
        </w:rPr>
      </w:pPr>
      <w:r>
        <w:rPr>
          <w:rFonts w:ascii="Times New Roman" w:hAnsi="Times New Roman"/>
          <w:kern w:val="2"/>
          <w:szCs w:val="21"/>
        </w:rPr>
        <w:t>5.</w:t>
      </w:r>
      <w:r>
        <w:rPr>
          <w:rFonts w:ascii="Times New Roman" w:hAnsi="Times New Roman"/>
          <w:kern w:val="2"/>
          <w:szCs w:val="21"/>
        </w:rPr>
        <w:tab/>
      </w:r>
      <w:r>
        <w:rPr>
          <w:rFonts w:ascii="Times New Roman" w:hAnsi="Times New Roman"/>
          <w:kern w:val="2"/>
          <w:szCs w:val="21"/>
        </w:rPr>
        <w:t>在不影响第44条的情况下，公告成员国应向委员会和其他成员国通报与委任有关的任何情况，并提供关于现有安排的书面证据，以确保定期监督公告机构并将继续满足附录VII的要求。</w:t>
      </w:r>
    </w:p>
    <w:p w14:paraId="2D96E77E">
      <w:pPr>
        <w:pStyle w:val="32"/>
        <w:tabs>
          <w:tab w:val="left" w:pos="630"/>
        </w:tabs>
        <w:topLinePunct/>
        <w:snapToGrid w:val="0"/>
        <w:spacing w:beforeLines="25" w:line="300" w:lineRule="auto"/>
        <w:ind w:left="630" w:leftChars="67" w:hanging="489" w:hangingChars="233"/>
        <w:jc w:val="both"/>
        <w:rPr>
          <w:rFonts w:ascii="Times New Roman" w:hAnsi="Times New Roman"/>
          <w:kern w:val="2"/>
          <w:szCs w:val="21"/>
        </w:rPr>
      </w:pPr>
      <w:r>
        <w:rPr>
          <w:rFonts w:hint="eastAsia" w:ascii="Times New Roman" w:hAnsi="Times New Roman"/>
          <w:kern w:val="2"/>
          <w:szCs w:val="21"/>
        </w:rPr>
        <w:t>6.</w:t>
      </w:r>
      <w:r>
        <w:rPr>
          <w:rFonts w:hint="eastAsia" w:ascii="Times New Roman" w:hAnsi="Times New Roman"/>
          <w:kern w:val="2"/>
          <w:szCs w:val="21"/>
        </w:rPr>
        <w:tab/>
      </w:r>
      <w:r>
        <w:rPr>
          <w:rFonts w:ascii="Times New Roman" w:hAnsi="Times New Roman"/>
          <w:kern w:val="2"/>
          <w:szCs w:val="21"/>
        </w:rPr>
        <w:t>在第2段中所述的公告后28天内，成员国或委员会可书面提出异议，就关于公告机构或负责公告机构的主管机构对其进行的监督进行讨论。若未提出异议，委员会应在42天内在第2段所述的NANDO内发布公告。</w:t>
      </w:r>
    </w:p>
    <w:p w14:paraId="409B0F73">
      <w:pPr>
        <w:pStyle w:val="32"/>
        <w:tabs>
          <w:tab w:val="left" w:pos="630"/>
        </w:tabs>
        <w:topLinePunct/>
        <w:snapToGrid w:val="0"/>
        <w:spacing w:beforeLines="25" w:line="300" w:lineRule="auto"/>
        <w:ind w:left="630" w:leftChars="67" w:hanging="489" w:hangingChars="233"/>
        <w:jc w:val="both"/>
        <w:rPr>
          <w:rFonts w:ascii="Times New Roman" w:hAnsi="Times New Roman"/>
          <w:kern w:val="2"/>
          <w:szCs w:val="21"/>
        </w:rPr>
      </w:pPr>
      <w:r>
        <w:rPr>
          <w:rFonts w:hint="eastAsia" w:ascii="Times New Roman" w:hAnsi="Times New Roman"/>
          <w:kern w:val="2"/>
          <w:szCs w:val="21"/>
        </w:rPr>
        <w:t>7.</w:t>
      </w:r>
      <w:r>
        <w:rPr>
          <w:rFonts w:hint="eastAsia" w:ascii="Times New Roman" w:hAnsi="Times New Roman"/>
          <w:kern w:val="2"/>
          <w:szCs w:val="21"/>
        </w:rPr>
        <w:tab/>
      </w:r>
      <w:r>
        <w:rPr>
          <w:rFonts w:ascii="Times New Roman" w:hAnsi="Times New Roman"/>
          <w:kern w:val="2"/>
          <w:szCs w:val="21"/>
        </w:rPr>
        <w:t>当成员国或委员会根据第6段提出异议时，委员会应在第6段所述的期限到期后10天内将该事项提交MDCG。经与有关各方协商，MDCG应至少在其收到该事项后40天内给出其意见。若MDCG认为可接受该公告，则委员会应在14天在NANDO公布公告。</w:t>
      </w:r>
    </w:p>
    <w:p w14:paraId="3D72493A">
      <w:pPr>
        <w:pStyle w:val="32"/>
        <w:tabs>
          <w:tab w:val="left" w:pos="630"/>
        </w:tabs>
        <w:topLinePunct/>
        <w:snapToGrid w:val="0"/>
        <w:spacing w:beforeLines="25" w:line="300" w:lineRule="auto"/>
        <w:ind w:left="630" w:leftChars="67" w:hanging="489" w:hangingChars="233"/>
        <w:jc w:val="both"/>
        <w:rPr>
          <w:rFonts w:ascii="Times New Roman" w:hAnsi="Times New Roman"/>
          <w:kern w:val="2"/>
          <w:szCs w:val="21"/>
        </w:rPr>
      </w:pPr>
      <w:r>
        <w:rPr>
          <w:rFonts w:ascii="Times New Roman" w:hAnsi="Times New Roman"/>
          <w:kern w:val="2"/>
          <w:szCs w:val="21"/>
        </w:rPr>
        <w:t>8..</w:t>
      </w:r>
      <w:r>
        <w:rPr>
          <w:rFonts w:ascii="Times New Roman" w:hAnsi="Times New Roman"/>
          <w:kern w:val="2"/>
          <w:szCs w:val="21"/>
        </w:rPr>
        <w:tab/>
      </w:r>
      <w:r>
        <w:rPr>
          <w:rFonts w:ascii="Times New Roman" w:hAnsi="Times New Roman"/>
          <w:kern w:val="2"/>
          <w:szCs w:val="21"/>
        </w:rPr>
        <w:t>若MDCG在根据第7段进行磋商后，确认现有异议或提出另一异议，公告成员国应在收到MDCG意见后40天内</w:t>
      </w:r>
      <w:r>
        <w:rPr>
          <w:rFonts w:hint="eastAsia" w:ascii="Times New Roman" w:hAnsi="Times New Roman"/>
          <w:kern w:val="2"/>
          <w:szCs w:val="21"/>
        </w:rPr>
        <w:t>做出</w:t>
      </w:r>
      <w:r>
        <w:rPr>
          <w:rFonts w:ascii="Times New Roman" w:hAnsi="Times New Roman"/>
          <w:kern w:val="2"/>
          <w:szCs w:val="21"/>
        </w:rPr>
        <w:t>书面答复。其答复应处理意见中提出的异议，并说明公告成员国决议指定或不指定该符合性评估机构的原因。</w:t>
      </w:r>
    </w:p>
    <w:p w14:paraId="4E0A9ABE">
      <w:pPr>
        <w:pStyle w:val="8"/>
        <w:tabs>
          <w:tab w:val="left" w:pos="720"/>
        </w:tabs>
        <w:topLinePunct/>
        <w:snapToGrid w:val="0"/>
        <w:spacing w:beforeLines="25" w:line="300" w:lineRule="auto"/>
        <w:ind w:left="610" w:leftChars="53" w:hanging="499" w:hangingChars="238"/>
        <w:jc w:val="both"/>
        <w:rPr>
          <w:kern w:val="2"/>
          <w:szCs w:val="21"/>
        </w:rPr>
      </w:pPr>
      <w:r>
        <w:rPr>
          <w:kern w:val="2"/>
          <w:szCs w:val="21"/>
        </w:rPr>
        <w:t>9.</w:t>
      </w:r>
      <w:r>
        <w:rPr>
          <w:kern w:val="2"/>
          <w:szCs w:val="21"/>
        </w:rPr>
        <w:tab/>
      </w:r>
      <w:r>
        <w:rPr>
          <w:kern w:val="2"/>
          <w:szCs w:val="21"/>
        </w:rPr>
        <w:t>若公告成员国在根据第8段给出其说明理由后决议任命符合性评估机构，则委员会应在收到通知后14天内在NANDO</w:t>
      </w:r>
      <w:r>
        <w:rPr>
          <w:rFonts w:hint="eastAsia"/>
          <w:kern w:val="2"/>
          <w:szCs w:val="21"/>
        </w:rPr>
        <w:t>中</w:t>
      </w:r>
      <w:r>
        <w:rPr>
          <w:kern w:val="2"/>
          <w:szCs w:val="21"/>
        </w:rPr>
        <w:t>公布该公告。</w:t>
      </w:r>
    </w:p>
    <w:p w14:paraId="7668AA2F">
      <w:pPr>
        <w:pStyle w:val="8"/>
        <w:tabs>
          <w:tab w:val="left" w:pos="720"/>
        </w:tabs>
        <w:topLinePunct/>
        <w:snapToGrid w:val="0"/>
        <w:spacing w:beforeLines="25" w:line="300" w:lineRule="auto"/>
        <w:ind w:left="610" w:leftChars="53" w:hanging="499" w:hangingChars="238"/>
        <w:jc w:val="both"/>
        <w:rPr>
          <w:kern w:val="2"/>
          <w:szCs w:val="21"/>
        </w:rPr>
      </w:pPr>
      <w:r>
        <w:rPr>
          <w:kern w:val="2"/>
          <w:szCs w:val="21"/>
        </w:rPr>
        <w:t>10.</w:t>
      </w:r>
      <w:r>
        <w:rPr>
          <w:kern w:val="2"/>
          <w:szCs w:val="21"/>
        </w:rPr>
        <w:tab/>
      </w:r>
      <w:r>
        <w:rPr>
          <w:kern w:val="2"/>
          <w:szCs w:val="21"/>
        </w:rPr>
        <w:t>当在NANDO中发布公告时，委员会还应在第57条所述的电子系统中增加与该公告机构的通知相关的信息、本条第4段中所述的文件以及该条第7和8段中所述的意见和答复。</w:t>
      </w:r>
    </w:p>
    <w:p w14:paraId="5AD43184">
      <w:pPr>
        <w:pStyle w:val="8"/>
        <w:tabs>
          <w:tab w:val="left" w:pos="720"/>
        </w:tabs>
        <w:topLinePunct/>
        <w:snapToGrid w:val="0"/>
        <w:spacing w:beforeLines="25" w:line="300" w:lineRule="auto"/>
        <w:ind w:left="610" w:leftChars="53" w:hanging="499" w:hangingChars="238"/>
        <w:jc w:val="both"/>
        <w:rPr>
          <w:kern w:val="2"/>
          <w:szCs w:val="21"/>
        </w:rPr>
      </w:pPr>
      <w:r>
        <w:rPr>
          <w:kern w:val="2"/>
          <w:szCs w:val="21"/>
        </w:rPr>
        <w:t>11.</w:t>
      </w:r>
      <w:r>
        <w:rPr>
          <w:kern w:val="2"/>
          <w:szCs w:val="21"/>
        </w:rPr>
        <w:tab/>
      </w:r>
      <w:r>
        <w:rPr>
          <w:kern w:val="2"/>
          <w:szCs w:val="21"/>
        </w:rPr>
        <w:t>该委任应在NANDO.发布该公告后生效。公布通知应说明公告机构的合法活动范围。</w:t>
      </w:r>
    </w:p>
    <w:p w14:paraId="2CC25B60">
      <w:pPr>
        <w:pStyle w:val="8"/>
        <w:tabs>
          <w:tab w:val="left" w:pos="720"/>
        </w:tabs>
        <w:topLinePunct/>
        <w:snapToGrid w:val="0"/>
        <w:spacing w:beforeLines="25" w:line="300" w:lineRule="auto"/>
        <w:ind w:left="610" w:leftChars="53" w:hanging="499" w:hangingChars="238"/>
        <w:jc w:val="both"/>
        <w:rPr>
          <w:kern w:val="2"/>
          <w:szCs w:val="21"/>
        </w:rPr>
      </w:pPr>
      <w:r>
        <w:rPr>
          <w:kern w:val="2"/>
          <w:szCs w:val="21"/>
        </w:rPr>
        <w:t>12.</w:t>
      </w:r>
      <w:r>
        <w:rPr>
          <w:kern w:val="2"/>
          <w:szCs w:val="21"/>
        </w:rPr>
        <w:tab/>
      </w:r>
      <w:r>
        <w:rPr>
          <w:kern w:val="2"/>
          <w:szCs w:val="21"/>
        </w:rPr>
        <w:t>有关的符合性评估机构只有在根据第11条委任生效后才能开展公告机构的活动。</w:t>
      </w:r>
    </w:p>
    <w:p w14:paraId="5C6C4A0D">
      <w:pPr>
        <w:pStyle w:val="8"/>
        <w:tabs>
          <w:tab w:val="left" w:pos="720"/>
        </w:tabs>
        <w:topLinePunct/>
        <w:snapToGrid w:val="0"/>
        <w:spacing w:beforeLines="25" w:line="300" w:lineRule="auto"/>
        <w:ind w:left="610" w:leftChars="53" w:hanging="499" w:hangingChars="238"/>
        <w:jc w:val="both"/>
        <w:rPr>
          <w:kern w:val="2"/>
          <w:szCs w:val="21"/>
        </w:rPr>
      </w:pPr>
      <w:r>
        <w:rPr>
          <w:kern w:val="2"/>
          <w:szCs w:val="21"/>
        </w:rPr>
        <w:t>13.</w:t>
      </w:r>
      <w:r>
        <w:rPr>
          <w:kern w:val="2"/>
          <w:szCs w:val="21"/>
        </w:rPr>
        <w:tab/>
      </w:r>
      <w:r>
        <w:rPr>
          <w:kern w:val="2"/>
          <w:szCs w:val="21"/>
        </w:rPr>
        <w:t>委员会应在</w:t>
      </w:r>
      <w:r>
        <w:rPr>
          <w:rFonts w:hint="eastAsia"/>
          <w:kern w:val="2"/>
          <w:szCs w:val="21"/>
        </w:rPr>
        <w:t>2017年11月26日</w:t>
      </w:r>
      <w:r>
        <w:rPr>
          <w:kern w:val="2"/>
          <w:szCs w:val="21"/>
        </w:rPr>
        <w:t>，通过实施细则起草一份代码和对应的器械类型清单，以说明公告机构的委任范围。</w:t>
      </w:r>
      <w:r>
        <w:rPr>
          <w:rFonts w:hint="eastAsia"/>
          <w:kern w:val="2"/>
          <w:szCs w:val="21"/>
        </w:rPr>
        <w:t>且</w:t>
      </w:r>
      <w:r>
        <w:rPr>
          <w:kern w:val="2"/>
          <w:szCs w:val="21"/>
        </w:rPr>
        <w:t>应按照第114(3)条中述及的审查流程通过这些实施细则。委员会在咨询MDCG后，更新本清单，除此之外可更新根据第48条协调活动提供的信息。</w:t>
      </w:r>
    </w:p>
    <w:p w14:paraId="689D9C19">
      <w:pPr>
        <w:snapToGrid w:val="0"/>
        <w:spacing w:beforeLines="25" w:line="300" w:lineRule="auto"/>
        <w:ind w:left="196"/>
        <w:jc w:val="center"/>
        <w:rPr>
          <w:rFonts w:ascii="Times New Roman" w:hAnsi="Times New Roman"/>
          <w:i/>
          <w:kern w:val="2"/>
          <w:szCs w:val="21"/>
        </w:rPr>
      </w:pPr>
    </w:p>
    <w:p w14:paraId="4ADE8266">
      <w:pPr>
        <w:snapToGrid w:val="0"/>
        <w:spacing w:beforeLines="25" w:line="300" w:lineRule="auto"/>
        <w:ind w:left="196"/>
        <w:jc w:val="center"/>
        <w:rPr>
          <w:rStyle w:val="48"/>
          <w:b/>
          <w:szCs w:val="21"/>
        </w:rPr>
      </w:pPr>
      <w:r>
        <w:rPr>
          <w:rFonts w:ascii="Times New Roman" w:hAnsi="Times New Roman"/>
          <w:i/>
          <w:kern w:val="2"/>
          <w:szCs w:val="21"/>
        </w:rPr>
        <w:t>第</w:t>
      </w:r>
      <w:r>
        <w:rPr>
          <w:rFonts w:hint="eastAsia" w:ascii="Times New Roman" w:hAnsi="Times New Roman"/>
          <w:i/>
          <w:kern w:val="2"/>
          <w:szCs w:val="21"/>
        </w:rPr>
        <w:t>43</w:t>
      </w:r>
      <w:r>
        <w:rPr>
          <w:rFonts w:ascii="Times New Roman" w:hAnsi="Times New Roman"/>
          <w:i/>
          <w:kern w:val="2"/>
          <w:szCs w:val="21"/>
        </w:rPr>
        <w:t>条</w:t>
      </w:r>
    </w:p>
    <w:p w14:paraId="5B30A96E">
      <w:pPr>
        <w:snapToGrid w:val="0"/>
        <w:spacing w:beforeLines="25" w:line="300" w:lineRule="auto"/>
        <w:ind w:left="196"/>
        <w:jc w:val="center"/>
        <w:rPr>
          <w:rStyle w:val="48"/>
          <w:b/>
          <w:szCs w:val="21"/>
        </w:rPr>
      </w:pPr>
      <w:r>
        <w:rPr>
          <w:rFonts w:ascii="Times New Roman" w:hAnsi="Times New Roman"/>
          <w:b/>
          <w:kern w:val="2"/>
          <w:szCs w:val="21"/>
        </w:rPr>
        <w:t>标识号和公告机构名单</w:t>
      </w:r>
    </w:p>
    <w:p w14:paraId="5FD185CB">
      <w:pPr>
        <w:pStyle w:val="32"/>
        <w:numPr>
          <w:ilvl w:val="0"/>
          <w:numId w:val="4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员会应根据第42（11）条为各公告机构分配一个有效标识号。即使该机构已在欧盟多个活动中被任命，委员会也应为其指定一个唯一标识号。如根据本法规成功指定后，公告机构应根据第90/385和93/42/EEC号指令保留根据这些指令分配的标识号。</w:t>
      </w:r>
    </w:p>
    <w:p w14:paraId="10ED4F5E">
      <w:pPr>
        <w:pStyle w:val="32"/>
        <w:numPr>
          <w:ilvl w:val="0"/>
          <w:numId w:val="4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委员会将基于本法规生成机构名单，包括分配的标识号、本法规定义的符合性评估活动以及公告的器械类型，这些在NANDO向公众公开。该清单还应在第57条所述的电子系统中公布。委员会应确保清单实时更新。</w:t>
      </w:r>
    </w:p>
    <w:p w14:paraId="4DC33B3F">
      <w:pPr>
        <w:snapToGrid w:val="0"/>
        <w:spacing w:beforeLines="25" w:line="300" w:lineRule="auto"/>
        <w:ind w:left="196"/>
        <w:jc w:val="center"/>
        <w:rPr>
          <w:rFonts w:ascii="Times New Roman" w:hAnsi="Times New Roman"/>
          <w:i/>
          <w:kern w:val="2"/>
          <w:szCs w:val="21"/>
        </w:rPr>
      </w:pPr>
    </w:p>
    <w:p w14:paraId="1F932BA5">
      <w:pPr>
        <w:snapToGrid w:val="0"/>
        <w:spacing w:beforeLines="25" w:line="300" w:lineRule="auto"/>
        <w:ind w:left="196"/>
        <w:jc w:val="center"/>
        <w:rPr>
          <w:rStyle w:val="48"/>
          <w:b/>
          <w:szCs w:val="21"/>
        </w:rPr>
      </w:pPr>
      <w:r>
        <w:rPr>
          <w:rFonts w:ascii="Times New Roman" w:hAnsi="Times New Roman"/>
          <w:i/>
          <w:kern w:val="2"/>
          <w:szCs w:val="21"/>
        </w:rPr>
        <w:t>第44条</w:t>
      </w:r>
    </w:p>
    <w:p w14:paraId="03709A10">
      <w:pPr>
        <w:snapToGrid w:val="0"/>
        <w:spacing w:beforeLines="25" w:line="300" w:lineRule="auto"/>
        <w:ind w:left="196"/>
        <w:jc w:val="center"/>
        <w:rPr>
          <w:rStyle w:val="48"/>
          <w:b/>
          <w:szCs w:val="21"/>
        </w:rPr>
      </w:pPr>
      <w:r>
        <w:rPr>
          <w:rFonts w:ascii="Times New Roman" w:hAnsi="Times New Roman"/>
          <w:b/>
          <w:kern w:val="2"/>
          <w:szCs w:val="21"/>
        </w:rPr>
        <w:t>公告机构的监督和再评估</w:t>
      </w:r>
    </w:p>
    <w:p w14:paraId="4004756F">
      <w:pPr>
        <w:pStyle w:val="32"/>
        <w:numPr>
          <w:ilvl w:val="0"/>
          <w:numId w:val="47"/>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公告机构应最迟在15天内</w:t>
      </w:r>
      <w:r>
        <w:rPr>
          <w:rFonts w:hint="eastAsia" w:ascii="Times New Roman" w:hAnsi="Times New Roman"/>
          <w:kern w:val="2"/>
          <w:szCs w:val="21"/>
        </w:rPr>
        <w:t>，</w:t>
      </w:r>
      <w:r>
        <w:rPr>
          <w:rFonts w:ascii="Times New Roman" w:hAnsi="Times New Roman"/>
          <w:kern w:val="2"/>
          <w:szCs w:val="21"/>
        </w:rPr>
        <w:t>尽快向负责公告机构的主管机构通报可能影响其遵守附录VII要求或其进行指定器械相关的符合性评估活动的相关变化。</w:t>
      </w:r>
    </w:p>
    <w:p w14:paraId="43495F9D">
      <w:pPr>
        <w:pStyle w:val="32"/>
        <w:numPr>
          <w:ilvl w:val="0"/>
          <w:numId w:val="4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负责公告机构的主管机构应监督其境内的公告机构及其分支机构和分包商，以确保其持续符合本法规要求并履行其义务。</w:t>
      </w:r>
      <w:r>
        <w:rPr>
          <w:rFonts w:hint="eastAsia" w:ascii="Times New Roman" w:hAnsi="Times New Roman"/>
          <w:kern w:val="2"/>
          <w:szCs w:val="21"/>
        </w:rPr>
        <w:t>此外，</w:t>
      </w:r>
      <w:r>
        <w:rPr>
          <w:rFonts w:ascii="Times New Roman" w:hAnsi="Times New Roman"/>
          <w:kern w:val="2"/>
          <w:szCs w:val="21"/>
        </w:rPr>
        <w:t>公告机构应根据负责公告机构的主管机构的要求，提供使主管机构、委员会和其他成员国能够验证所需的所有相关信息和文件符合性。</w:t>
      </w:r>
    </w:p>
    <w:p w14:paraId="0148090E">
      <w:pPr>
        <w:pStyle w:val="8"/>
        <w:tabs>
          <w:tab w:val="left" w:pos="681"/>
        </w:tabs>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若委员会或成员国主管机构向另一成员国（相关由该机构开展的符合性评估）境内设立的公告机构，其应向负责另一成员国公告机构的主管机构发送一份副本将收到一个由委员会或另一成员国主管机构提交的副本，该副本列有对其境内公告机构执行有关符合性认证情况的所有要求。相关的公告机构在收到该要求后应立即回复，最迟不超过15天。成员国负责公告机构的主管机构应确保任一其他成员国主管机构或委员会向其境内设立的公告机构提交的要求得到解决，如有合法理由拒绝，可提交MDCG处理。</w:t>
      </w:r>
    </w:p>
    <w:p w14:paraId="3685435E">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负责公告机构（无论其是否在其各自领域设立）的主管机构应至少每年一次，重新评审每家公告机构（且在合适时应包含其分支机构及由其负责的分包商）是否仍然符合要求，以及是否履行了附录VII列出的应尽义务。评审应包含对每一家公告机构（必要时，对其分支机构和分包商）的现场审核。</w:t>
      </w:r>
    </w:p>
    <w:p w14:paraId="46320B2D">
      <w:pPr>
        <w:pStyle w:val="8"/>
        <w:topLinePunct/>
        <w:snapToGrid w:val="0"/>
        <w:spacing w:beforeLines="25" w:line="300" w:lineRule="auto"/>
        <w:ind w:firstLine="0"/>
        <w:jc w:val="both"/>
        <w:rPr>
          <w:kern w:val="2"/>
          <w:szCs w:val="21"/>
        </w:rPr>
      </w:pPr>
      <w:r>
        <w:rPr>
          <w:kern w:val="2"/>
          <w:szCs w:val="21"/>
        </w:rPr>
        <w:t>负责公告机构的主管机构应按照年度评估计划执行监管和评估活动以确保其能有效监督公告机构一直遵守本法规的要求。该计划应确定合理的时间表，特别应对公告机构及相关分支机构和分包商的评估频率做出规定。该主管机构应就其管辖的每家公告机构向MDCG和委员会提交年度监管或评估计划。</w:t>
      </w:r>
    </w:p>
    <w:p w14:paraId="1C6D250E">
      <w:pPr>
        <w:pStyle w:val="8"/>
        <w:tabs>
          <w:tab w:val="left" w:pos="681"/>
        </w:tabs>
        <w:topLinePunct/>
        <w:snapToGrid w:val="0"/>
        <w:spacing w:beforeLines="25" w:line="300" w:lineRule="auto"/>
        <w:ind w:hanging="568"/>
        <w:jc w:val="both"/>
        <w:rPr>
          <w:kern w:val="2"/>
          <w:szCs w:val="21"/>
        </w:rPr>
      </w:pPr>
      <w:r>
        <w:rPr>
          <w:kern w:val="2"/>
          <w:szCs w:val="21"/>
        </w:rPr>
        <w:t>5.</w:t>
      </w:r>
      <w:r>
        <w:rPr>
          <w:kern w:val="2"/>
          <w:szCs w:val="21"/>
        </w:rPr>
        <w:tab/>
      </w:r>
      <w:r>
        <w:rPr>
          <w:kern w:val="2"/>
          <w:szCs w:val="21"/>
        </w:rPr>
        <w:t>负责公告机构的主管机构对公告机构的监管应包括对公告机构员工的证据审核，必要时可在制造商工厂内进行质量管理体系评估时</w:t>
      </w:r>
      <w:r>
        <w:rPr>
          <w:rFonts w:hint="eastAsia"/>
          <w:kern w:val="2"/>
          <w:szCs w:val="21"/>
        </w:rPr>
        <w:t>，</w:t>
      </w:r>
      <w:r>
        <w:rPr>
          <w:kern w:val="2"/>
          <w:szCs w:val="21"/>
        </w:rPr>
        <w:t>对分支机构和分包商的员工进行审核。</w:t>
      </w:r>
    </w:p>
    <w:p w14:paraId="6B3B6EDE">
      <w:pPr>
        <w:pStyle w:val="8"/>
        <w:tabs>
          <w:tab w:val="left" w:pos="681"/>
        </w:tabs>
        <w:topLinePunct/>
        <w:snapToGrid w:val="0"/>
        <w:spacing w:beforeLines="25" w:line="300" w:lineRule="auto"/>
        <w:ind w:hanging="568"/>
        <w:jc w:val="both"/>
        <w:rPr>
          <w:kern w:val="2"/>
          <w:szCs w:val="21"/>
        </w:rPr>
      </w:pPr>
      <w:r>
        <w:rPr>
          <w:kern w:val="2"/>
          <w:szCs w:val="21"/>
        </w:rPr>
        <w:t>6.</w:t>
      </w:r>
      <w:r>
        <w:rPr>
          <w:kern w:val="2"/>
          <w:szCs w:val="21"/>
        </w:rPr>
        <w:tab/>
      </w:r>
      <w:r>
        <w:rPr>
          <w:kern w:val="2"/>
          <w:szCs w:val="21"/>
        </w:rPr>
        <w:t>负责公告机构的主管机构对公告机构执行的监管应考虑从市场监管、警戒和上市后监管所获得的数据，以帮助指导其活动。</w:t>
      </w:r>
    </w:p>
    <w:p w14:paraId="4E3349E9">
      <w:pPr>
        <w:pStyle w:val="8"/>
        <w:topLinePunct/>
        <w:snapToGrid w:val="0"/>
        <w:spacing w:beforeLines="25" w:line="300" w:lineRule="auto"/>
        <w:ind w:firstLine="0"/>
        <w:jc w:val="both"/>
        <w:rPr>
          <w:kern w:val="2"/>
          <w:szCs w:val="21"/>
        </w:rPr>
      </w:pPr>
      <w:r>
        <w:rPr>
          <w:kern w:val="2"/>
          <w:szCs w:val="21"/>
        </w:rPr>
        <w:t>负责公告机构的主管机构应提供一个跟踪体系来处理投诉和其他信息，来源包括其他成员国，这些投诉或信息可能显示公告机构没有履行应尽义务或偏离常规或最佳行为准则。</w:t>
      </w:r>
    </w:p>
    <w:p w14:paraId="2C0E18BF">
      <w:pPr>
        <w:pStyle w:val="8"/>
        <w:topLinePunct/>
        <w:snapToGrid w:val="0"/>
        <w:spacing w:beforeLines="25" w:line="300" w:lineRule="auto"/>
        <w:ind w:hanging="568"/>
        <w:jc w:val="both"/>
        <w:rPr>
          <w:kern w:val="2"/>
          <w:szCs w:val="21"/>
        </w:rPr>
      </w:pPr>
      <w:r>
        <w:rPr>
          <w:kern w:val="2"/>
          <w:szCs w:val="21"/>
        </w:rPr>
        <w:t>7.</w:t>
      </w:r>
      <w:r>
        <w:rPr>
          <w:kern w:val="2"/>
          <w:szCs w:val="21"/>
        </w:rPr>
        <w:tab/>
      </w:r>
      <w:r>
        <w:rPr>
          <w:kern w:val="2"/>
          <w:szCs w:val="21"/>
        </w:rPr>
        <w:t>负责公告机构的主管机构除了定期监督或现场评估外，如需解决特定问题或查证守法情况，还可采取临时通知、暗访或</w:t>
      </w:r>
      <w:r>
        <w:rPr>
          <w:rFonts w:hint="eastAsia"/>
          <w:kern w:val="2"/>
          <w:szCs w:val="21"/>
        </w:rPr>
        <w:t>“</w:t>
      </w:r>
      <w:r>
        <w:rPr>
          <w:kern w:val="2"/>
          <w:szCs w:val="21"/>
        </w:rPr>
        <w:t>有因</w:t>
      </w:r>
      <w:r>
        <w:rPr>
          <w:rFonts w:hint="eastAsia"/>
          <w:kern w:val="2"/>
          <w:szCs w:val="21"/>
        </w:rPr>
        <w:t>”</w:t>
      </w:r>
      <w:r>
        <w:rPr>
          <w:kern w:val="2"/>
          <w:szCs w:val="21"/>
        </w:rPr>
        <w:t>核查的行动。</w:t>
      </w:r>
    </w:p>
    <w:p w14:paraId="33717155">
      <w:pPr>
        <w:pStyle w:val="8"/>
        <w:tabs>
          <w:tab w:val="left" w:pos="681"/>
        </w:tabs>
        <w:topLinePunct/>
        <w:snapToGrid w:val="0"/>
        <w:spacing w:beforeLines="25" w:line="300" w:lineRule="auto"/>
        <w:jc w:val="both"/>
        <w:rPr>
          <w:kern w:val="2"/>
          <w:szCs w:val="21"/>
        </w:rPr>
      </w:pPr>
      <w:r>
        <w:rPr>
          <w:kern w:val="2"/>
          <w:szCs w:val="21"/>
        </w:rPr>
        <w:t>8.</w:t>
      </w:r>
      <w:r>
        <w:rPr>
          <w:kern w:val="2"/>
          <w:szCs w:val="21"/>
        </w:rPr>
        <w:tab/>
      </w:r>
      <w:r>
        <w:rPr>
          <w:kern w:val="2"/>
          <w:szCs w:val="21"/>
        </w:rPr>
        <w:t>负责公告机构的主管机构将评估公告机构对制造商技术，尤其是临床文档的评估，进一步规定参加第45条。</w:t>
      </w:r>
    </w:p>
    <w:p w14:paraId="5C2EA302">
      <w:pPr>
        <w:pStyle w:val="8"/>
        <w:tabs>
          <w:tab w:val="left" w:pos="681"/>
        </w:tabs>
        <w:topLinePunct/>
        <w:snapToGrid w:val="0"/>
        <w:spacing w:beforeLines="25" w:line="300" w:lineRule="auto"/>
        <w:ind w:hanging="568"/>
        <w:jc w:val="both"/>
        <w:rPr>
          <w:kern w:val="2"/>
          <w:szCs w:val="21"/>
        </w:rPr>
      </w:pPr>
      <w:r>
        <w:rPr>
          <w:kern w:val="2"/>
          <w:szCs w:val="21"/>
        </w:rPr>
        <w:t>9.</w:t>
      </w:r>
      <w:r>
        <w:rPr>
          <w:kern w:val="2"/>
          <w:szCs w:val="21"/>
        </w:rPr>
        <w:tab/>
      </w:r>
      <w:r>
        <w:rPr>
          <w:kern w:val="2"/>
          <w:szCs w:val="21"/>
        </w:rPr>
        <w:t>负责公告机构的主管机构应记录并存档有关公告机构不符合附录VII要求的发现并监督其及时采取纠正和预防措施。</w:t>
      </w:r>
    </w:p>
    <w:p w14:paraId="37F4C047">
      <w:pPr>
        <w:pStyle w:val="8"/>
        <w:tabs>
          <w:tab w:val="left" w:pos="681"/>
        </w:tabs>
        <w:topLinePunct/>
        <w:snapToGrid w:val="0"/>
        <w:spacing w:beforeLines="25" w:line="300" w:lineRule="auto"/>
        <w:ind w:hanging="568"/>
        <w:jc w:val="both"/>
        <w:rPr>
          <w:kern w:val="2"/>
          <w:szCs w:val="21"/>
        </w:rPr>
      </w:pPr>
      <w:r>
        <w:rPr>
          <w:kern w:val="2"/>
          <w:szCs w:val="21"/>
        </w:rPr>
        <w:t>10.</w:t>
      </w:r>
      <w:r>
        <w:rPr>
          <w:kern w:val="2"/>
          <w:szCs w:val="21"/>
        </w:rPr>
        <w:tab/>
      </w:r>
      <w:r>
        <w:rPr>
          <w:kern w:val="2"/>
          <w:szCs w:val="21"/>
        </w:rPr>
        <w:t>公告机构</w:t>
      </w:r>
      <w:r>
        <w:rPr>
          <w:rFonts w:hint="eastAsia"/>
          <w:kern w:val="2"/>
          <w:szCs w:val="21"/>
        </w:rPr>
        <w:t>通告成立</w:t>
      </w:r>
      <w:r>
        <w:rPr>
          <w:kern w:val="2"/>
          <w:szCs w:val="21"/>
        </w:rPr>
        <w:t>后三年以及此后每隔4年，成员国负责公告机构的主管机构应全面重新评估设立于该国境内的公告机构，以确定其是否仍符合附录VII的要求，并按照第38条和39条所述流程指定联合评审小组。</w:t>
      </w:r>
    </w:p>
    <w:p w14:paraId="5A5A844F">
      <w:pPr>
        <w:pStyle w:val="8"/>
        <w:tabs>
          <w:tab w:val="left" w:pos="681"/>
        </w:tabs>
        <w:topLinePunct/>
        <w:snapToGrid w:val="0"/>
        <w:spacing w:beforeLines="25" w:line="300" w:lineRule="auto"/>
        <w:ind w:hanging="568"/>
        <w:jc w:val="both"/>
        <w:rPr>
          <w:kern w:val="2"/>
          <w:szCs w:val="21"/>
        </w:rPr>
      </w:pPr>
      <w:r>
        <w:rPr>
          <w:kern w:val="2"/>
          <w:szCs w:val="21"/>
        </w:rPr>
        <w:t>11.</w:t>
      </w:r>
      <w:r>
        <w:rPr>
          <w:kern w:val="2"/>
          <w:szCs w:val="21"/>
        </w:rPr>
        <w:tab/>
      </w:r>
      <w:r>
        <w:rPr>
          <w:kern w:val="2"/>
          <w:szCs w:val="21"/>
        </w:rPr>
        <w:t>委员会有权按照第115条采纳授权法案以修改第10段</w:t>
      </w:r>
      <w:r>
        <w:rPr>
          <w:rFonts w:hint="eastAsia"/>
          <w:kern w:val="2"/>
          <w:szCs w:val="21"/>
        </w:rPr>
        <w:t>，</w:t>
      </w:r>
      <w:r>
        <w:rPr>
          <w:kern w:val="2"/>
          <w:szCs w:val="21"/>
        </w:rPr>
        <w:t>进而修订</w:t>
      </w:r>
      <w:r>
        <w:rPr>
          <w:rFonts w:hint="eastAsia"/>
          <w:kern w:val="2"/>
          <w:szCs w:val="21"/>
        </w:rPr>
        <w:t>该</w:t>
      </w:r>
      <w:r>
        <w:rPr>
          <w:kern w:val="2"/>
          <w:szCs w:val="21"/>
        </w:rPr>
        <w:t>段所述的已开展的全面重新评估的频率。</w:t>
      </w:r>
    </w:p>
    <w:p w14:paraId="1C02139A">
      <w:pPr>
        <w:pStyle w:val="8"/>
        <w:tabs>
          <w:tab w:val="left" w:pos="681"/>
        </w:tabs>
        <w:topLinePunct/>
        <w:snapToGrid w:val="0"/>
        <w:spacing w:beforeLines="25" w:line="300" w:lineRule="auto"/>
        <w:ind w:hanging="568"/>
        <w:jc w:val="both"/>
        <w:rPr>
          <w:kern w:val="2"/>
          <w:szCs w:val="21"/>
        </w:rPr>
      </w:pPr>
      <w:r>
        <w:rPr>
          <w:kern w:val="2"/>
          <w:szCs w:val="21"/>
        </w:rPr>
        <w:t>12.</w:t>
      </w:r>
      <w:r>
        <w:rPr>
          <w:kern w:val="2"/>
          <w:szCs w:val="21"/>
        </w:rPr>
        <w:tab/>
      </w:r>
      <w:r>
        <w:rPr>
          <w:kern w:val="2"/>
          <w:szCs w:val="21"/>
        </w:rPr>
        <w:t>成员国应当至少每年一次向委员会和MDCG报告对其境内公告机构及其分支机构和分包商（如适用）开展的监督行动和现场评估。该报告应该详述这些活动的结果，包括根据第7段进行的活动。该报告应由MDCG和委员会视为机密</w:t>
      </w:r>
      <w:r>
        <w:rPr>
          <w:rFonts w:hint="eastAsia"/>
          <w:kern w:val="2"/>
          <w:szCs w:val="21"/>
        </w:rPr>
        <w:t>信息</w:t>
      </w:r>
      <w:r>
        <w:rPr>
          <w:kern w:val="2"/>
          <w:szCs w:val="21"/>
        </w:rPr>
        <w:t>，但其摘要可公开。</w:t>
      </w:r>
    </w:p>
    <w:p w14:paraId="06E9FC0F">
      <w:pPr>
        <w:pStyle w:val="8"/>
        <w:topLinePunct/>
        <w:snapToGrid w:val="0"/>
        <w:spacing w:beforeLines="25" w:line="300" w:lineRule="auto"/>
        <w:ind w:firstLine="0"/>
        <w:jc w:val="both"/>
        <w:rPr>
          <w:kern w:val="2"/>
          <w:szCs w:val="21"/>
        </w:rPr>
      </w:pPr>
      <w:r>
        <w:rPr>
          <w:kern w:val="2"/>
          <w:szCs w:val="21"/>
        </w:rPr>
        <w:t>报告摘要应上传至第57条所述的</w:t>
      </w:r>
      <w:r>
        <w:rPr>
          <w:rFonts w:hint="eastAsia"/>
          <w:kern w:val="2"/>
          <w:szCs w:val="21"/>
        </w:rPr>
        <w:t>电子系统</w:t>
      </w:r>
      <w:r>
        <w:rPr>
          <w:kern w:val="2"/>
          <w:szCs w:val="21"/>
        </w:rPr>
        <w:t>。</w:t>
      </w:r>
    </w:p>
    <w:p w14:paraId="2CEAA438">
      <w:pPr>
        <w:snapToGrid w:val="0"/>
        <w:spacing w:beforeLines="25" w:line="300" w:lineRule="auto"/>
        <w:ind w:left="196"/>
        <w:jc w:val="center"/>
        <w:rPr>
          <w:rFonts w:ascii="Times New Roman" w:hAnsi="Times New Roman"/>
          <w:i/>
          <w:kern w:val="2"/>
          <w:szCs w:val="21"/>
        </w:rPr>
      </w:pPr>
    </w:p>
    <w:p w14:paraId="1BE02B73">
      <w:pPr>
        <w:snapToGrid w:val="0"/>
        <w:spacing w:beforeLines="25" w:line="300" w:lineRule="auto"/>
        <w:ind w:left="196"/>
        <w:jc w:val="center"/>
        <w:rPr>
          <w:rStyle w:val="48"/>
          <w:b/>
          <w:szCs w:val="21"/>
        </w:rPr>
      </w:pPr>
      <w:r>
        <w:rPr>
          <w:rFonts w:ascii="Times New Roman" w:hAnsi="Times New Roman"/>
          <w:i/>
          <w:kern w:val="2"/>
          <w:szCs w:val="21"/>
        </w:rPr>
        <w:t>第45条</w:t>
      </w:r>
    </w:p>
    <w:p w14:paraId="524E8B23">
      <w:pPr>
        <w:pStyle w:val="3"/>
        <w:spacing w:beforeLines="50" w:line="300" w:lineRule="auto"/>
        <w:rPr>
          <w:b/>
          <w:i w:val="0"/>
        </w:rPr>
      </w:pPr>
      <w:r>
        <w:rPr>
          <w:b/>
          <w:i w:val="0"/>
        </w:rPr>
        <w:t>对公告机构所评估的技术文件和性能评估报告的评审</w:t>
      </w:r>
    </w:p>
    <w:p w14:paraId="44110540">
      <w:pPr>
        <w:pStyle w:val="32"/>
        <w:numPr>
          <w:ilvl w:val="0"/>
          <w:numId w:val="48"/>
        </w:numPr>
        <w:tabs>
          <w:tab w:val="left" w:pos="744"/>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作为对公告机构现行监管的一部分，负责公告机构的主管机构应审查适当数量的由公告机构评估的制造商技术文件，尤其是附录II第6.1节（c）点和（d）点中所述的临床评价文件，以验证公告机构根据制造商提供的信息得出的结论。这些负责公告机构的主管机构进行的评估包括现场评估和现场外评估。</w:t>
      </w:r>
    </w:p>
    <w:p w14:paraId="1DEB8BEF">
      <w:pPr>
        <w:pStyle w:val="32"/>
        <w:numPr>
          <w:ilvl w:val="0"/>
          <w:numId w:val="48"/>
        </w:numPr>
        <w:tabs>
          <w:tab w:val="left" w:pos="682"/>
        </w:tabs>
        <w:topLinePunct/>
        <w:snapToGrid w:val="0"/>
        <w:spacing w:beforeLines="25" w:line="300" w:lineRule="auto"/>
        <w:ind w:left="681" w:hanging="567"/>
        <w:jc w:val="both"/>
        <w:rPr>
          <w:rFonts w:ascii="Times New Roman" w:hAnsi="Times New Roman"/>
          <w:kern w:val="2"/>
          <w:szCs w:val="21"/>
        </w:rPr>
      </w:pPr>
      <w:r>
        <w:rPr>
          <w:rFonts w:ascii="Times New Roman" w:hAnsi="Times New Roman"/>
          <w:kern w:val="2"/>
          <w:szCs w:val="21"/>
        </w:rPr>
        <w:t>按照第1段进行的文件抽查应按计划进行，并能代表公告机构出具证书器械的类别和风险，尤其是高风险器械，在抽样计划中应有适当的理由和记录，以便在MDCG要求时负责公告机构的主管机构可获得这部分信息。</w:t>
      </w:r>
    </w:p>
    <w:p w14:paraId="0026AD86">
      <w:pPr>
        <w:pStyle w:val="32"/>
        <w:numPr>
          <w:ilvl w:val="0"/>
          <w:numId w:val="48"/>
        </w:numPr>
        <w:tabs>
          <w:tab w:val="left" w:pos="744"/>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负责公告机构的主管机构应审查公告机构所做的评估是否适当，并检查所使用的流程、相关文档和公告机构得出的结论。该检查包括公告机构作为评估依据的制造商技术和临床评估文件。并应利用CS进行这些审查。</w:t>
      </w:r>
    </w:p>
    <w:p w14:paraId="40D36D78">
      <w:pPr>
        <w:pStyle w:val="32"/>
        <w:tabs>
          <w:tab w:val="left" w:pos="682"/>
        </w:tabs>
        <w:topLinePunct/>
        <w:snapToGrid w:val="0"/>
        <w:spacing w:beforeLines="25" w:line="300" w:lineRule="auto"/>
        <w:ind w:left="715" w:leftChars="53" w:hanging="604" w:hangingChars="288"/>
        <w:jc w:val="both"/>
        <w:rPr>
          <w:rFonts w:ascii="Times New Roman" w:hAnsi="Times New Roman"/>
          <w:kern w:val="2"/>
          <w:szCs w:val="21"/>
        </w:rPr>
      </w:pPr>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rPr>
        <w:t>这些审查也是公告机构根据第44（10）条进行重新评估和根据第47（3）条进行联合评估活动的部分内容。进行这些审查需使用相应的专业知识。</w:t>
      </w:r>
    </w:p>
    <w:p w14:paraId="7048B854">
      <w:pPr>
        <w:pStyle w:val="32"/>
        <w:tabs>
          <w:tab w:val="left" w:pos="682"/>
        </w:tabs>
        <w:topLinePunct/>
        <w:snapToGrid w:val="0"/>
        <w:spacing w:beforeLines="25" w:line="300" w:lineRule="auto"/>
        <w:ind w:left="715" w:leftChars="53" w:hanging="604" w:hangingChars="288"/>
        <w:jc w:val="both"/>
        <w:rPr>
          <w:rFonts w:ascii="Times New Roman" w:hAnsi="Times New Roman"/>
          <w:kern w:val="2"/>
          <w:szCs w:val="21"/>
        </w:rPr>
      </w:pPr>
      <w:r>
        <w:rPr>
          <w:rFonts w:ascii="Times New Roman" w:hAnsi="Times New Roman"/>
          <w:kern w:val="2"/>
          <w:szCs w:val="21"/>
        </w:rPr>
        <w:t>5.</w:t>
      </w:r>
      <w:r>
        <w:rPr>
          <w:rFonts w:ascii="Times New Roman" w:hAnsi="Times New Roman"/>
          <w:kern w:val="2"/>
          <w:szCs w:val="21"/>
        </w:rPr>
        <w:tab/>
      </w:r>
      <w:r>
        <w:rPr>
          <w:rFonts w:ascii="Times New Roman" w:hAnsi="Times New Roman"/>
          <w:kern w:val="2"/>
          <w:szCs w:val="21"/>
        </w:rPr>
        <w:t>MDCG可根据负责公告机构的主管机构或联合评估小组的审查</w:t>
      </w:r>
      <w:r>
        <w:rPr>
          <w:rFonts w:hint="eastAsia" w:ascii="Times New Roman" w:hAnsi="Times New Roman"/>
          <w:kern w:val="2"/>
          <w:szCs w:val="21"/>
        </w:rPr>
        <w:t>和</w:t>
      </w:r>
      <w:r>
        <w:rPr>
          <w:rFonts w:ascii="Times New Roman" w:hAnsi="Times New Roman"/>
          <w:kern w:val="2"/>
          <w:szCs w:val="21"/>
        </w:rPr>
        <w:t>评估报告，第VII章中所述市场监管、警戒和上市后监管活动获取的信息，对技术进步的连续监测、对公众担忧和器械安全与性能的新问题的识别，建议</w:t>
      </w:r>
      <w:r>
        <w:rPr>
          <w:rFonts w:hint="eastAsia" w:ascii="Times New Roman" w:hAnsi="Times New Roman"/>
          <w:kern w:val="2"/>
          <w:szCs w:val="21"/>
        </w:rPr>
        <w:t>按照</w:t>
      </w:r>
      <w:r>
        <w:rPr>
          <w:rFonts w:ascii="Times New Roman" w:hAnsi="Times New Roman"/>
          <w:kern w:val="2"/>
          <w:szCs w:val="21"/>
        </w:rPr>
        <w:t>本条</w:t>
      </w:r>
      <w:r>
        <w:rPr>
          <w:rFonts w:hint="eastAsia" w:ascii="Times New Roman" w:hAnsi="Times New Roman"/>
          <w:kern w:val="2"/>
          <w:szCs w:val="21"/>
        </w:rPr>
        <w:t>规定进行</w:t>
      </w:r>
      <w:r>
        <w:rPr>
          <w:rFonts w:ascii="Times New Roman" w:hAnsi="Times New Roman"/>
          <w:kern w:val="2"/>
          <w:szCs w:val="21"/>
        </w:rPr>
        <w:t>抽样，</w:t>
      </w:r>
      <w:r>
        <w:rPr>
          <w:rFonts w:hint="eastAsia" w:ascii="Times New Roman" w:hAnsi="Times New Roman"/>
          <w:kern w:val="2"/>
          <w:szCs w:val="21"/>
        </w:rPr>
        <w:t>抽取</w:t>
      </w:r>
      <w:r>
        <w:rPr>
          <w:rFonts w:ascii="Times New Roman" w:hAnsi="Times New Roman"/>
          <w:kern w:val="2"/>
          <w:szCs w:val="21"/>
        </w:rPr>
        <w:t>的样本应包括更大或更小比例的由公告机构评估的技术文件和临床评估文件。</w:t>
      </w:r>
    </w:p>
    <w:p w14:paraId="324B66AB">
      <w:pPr>
        <w:pStyle w:val="32"/>
        <w:tabs>
          <w:tab w:val="left" w:pos="682"/>
        </w:tabs>
        <w:topLinePunct/>
        <w:snapToGrid w:val="0"/>
        <w:spacing w:beforeLines="25" w:line="300" w:lineRule="auto"/>
        <w:ind w:left="715" w:leftChars="53" w:hanging="604" w:hangingChars="288"/>
        <w:jc w:val="both"/>
        <w:rPr>
          <w:rFonts w:ascii="Times New Roman" w:hAnsi="Times New Roman"/>
          <w:kern w:val="2"/>
          <w:szCs w:val="21"/>
        </w:rPr>
      </w:pPr>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委员会可通过实施细则，采取措施制订本条款所述的技术和临床评估文件模式、相关文档和协调要求。应按照第114(3)条述及的审查流程通过这些实施细则。</w:t>
      </w:r>
    </w:p>
    <w:p w14:paraId="4FA83F4B">
      <w:pPr>
        <w:snapToGrid w:val="0"/>
        <w:spacing w:beforeLines="25" w:line="300" w:lineRule="auto"/>
        <w:ind w:left="196"/>
        <w:jc w:val="center"/>
        <w:rPr>
          <w:rFonts w:ascii="Times New Roman" w:hAnsi="Times New Roman"/>
          <w:i/>
          <w:kern w:val="2"/>
          <w:szCs w:val="21"/>
        </w:rPr>
      </w:pPr>
    </w:p>
    <w:p w14:paraId="5FD6AB3D">
      <w:pPr>
        <w:snapToGrid w:val="0"/>
        <w:spacing w:beforeLines="25" w:line="300" w:lineRule="auto"/>
        <w:ind w:left="196"/>
        <w:jc w:val="center"/>
        <w:rPr>
          <w:rStyle w:val="48"/>
          <w:b/>
          <w:szCs w:val="21"/>
        </w:rPr>
      </w:pPr>
      <w:r>
        <w:rPr>
          <w:rFonts w:ascii="Times New Roman" w:hAnsi="Times New Roman"/>
          <w:i/>
          <w:kern w:val="2"/>
          <w:szCs w:val="21"/>
        </w:rPr>
        <w:t>第46条</w:t>
      </w:r>
    </w:p>
    <w:p w14:paraId="5E7DE60C">
      <w:pPr>
        <w:snapToGrid w:val="0"/>
        <w:spacing w:beforeLines="25" w:line="300" w:lineRule="auto"/>
        <w:ind w:left="195"/>
        <w:jc w:val="center"/>
        <w:rPr>
          <w:rStyle w:val="48"/>
          <w:b/>
          <w:szCs w:val="21"/>
        </w:rPr>
      </w:pPr>
      <w:r>
        <w:rPr>
          <w:rFonts w:ascii="Times New Roman" w:hAnsi="Times New Roman"/>
          <w:b/>
          <w:kern w:val="2"/>
          <w:szCs w:val="21"/>
        </w:rPr>
        <w:t>委任与公告变更</w:t>
      </w:r>
    </w:p>
    <w:p w14:paraId="113A75DC">
      <w:pPr>
        <w:pStyle w:val="32"/>
        <w:numPr>
          <w:ilvl w:val="0"/>
          <w:numId w:val="4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负责公告机构的主管机构应通知委员会和其他成员国有关公告机构委任的任何后续相关变更。</w:t>
      </w:r>
    </w:p>
    <w:p w14:paraId="10C93C85">
      <w:pPr>
        <w:pStyle w:val="32"/>
        <w:tabs>
          <w:tab w:val="left" w:pos="682"/>
        </w:tabs>
        <w:topLinePunct/>
        <w:snapToGrid w:val="0"/>
        <w:spacing w:beforeLines="25" w:line="300" w:lineRule="auto"/>
        <w:ind w:left="638" w:leftChars="304"/>
        <w:jc w:val="both"/>
        <w:rPr>
          <w:rFonts w:ascii="Times New Roman" w:hAnsi="Times New Roman"/>
          <w:kern w:val="2"/>
          <w:szCs w:val="21"/>
        </w:rPr>
      </w:pPr>
      <w:r>
        <w:rPr>
          <w:rFonts w:ascii="Times New Roman" w:hAnsi="Times New Roman"/>
          <w:kern w:val="2"/>
          <w:szCs w:val="21"/>
        </w:rPr>
        <w:t>第39条和第42条中所述流程适用于委任范围扩大的变更。</w:t>
      </w:r>
    </w:p>
    <w:p w14:paraId="4B564A01">
      <w:pPr>
        <w:pStyle w:val="32"/>
        <w:tabs>
          <w:tab w:val="left" w:pos="682"/>
        </w:tabs>
        <w:topLinePunct/>
        <w:snapToGrid w:val="0"/>
        <w:spacing w:beforeLines="25" w:line="300" w:lineRule="auto"/>
        <w:ind w:left="638" w:leftChars="304"/>
        <w:jc w:val="both"/>
        <w:rPr>
          <w:rFonts w:ascii="Times New Roman" w:hAnsi="Times New Roman"/>
          <w:kern w:val="2"/>
          <w:szCs w:val="21"/>
        </w:rPr>
      </w:pPr>
      <w:r>
        <w:rPr>
          <w:rFonts w:ascii="Times New Roman" w:hAnsi="Times New Roman"/>
          <w:kern w:val="2"/>
          <w:szCs w:val="21"/>
        </w:rPr>
        <w:t>在非委任范围扩大的所有其他情况下，在以下段落中规定的程序应适用。</w:t>
      </w:r>
    </w:p>
    <w:p w14:paraId="20A7D8B2">
      <w:pPr>
        <w:pStyle w:val="8"/>
        <w:tabs>
          <w:tab w:val="left" w:pos="681"/>
        </w:tabs>
        <w:topLinePunct/>
        <w:snapToGrid w:val="0"/>
        <w:spacing w:beforeLines="25" w:line="300" w:lineRule="auto"/>
        <w:ind w:left="680"/>
        <w:jc w:val="both"/>
        <w:rPr>
          <w:kern w:val="2"/>
          <w:szCs w:val="21"/>
        </w:rPr>
      </w:pPr>
      <w:r>
        <w:rPr>
          <w:kern w:val="2"/>
          <w:szCs w:val="21"/>
        </w:rPr>
        <w:t>2.</w:t>
      </w:r>
      <w:r>
        <w:rPr>
          <w:kern w:val="2"/>
          <w:szCs w:val="21"/>
        </w:rPr>
        <w:tab/>
      </w:r>
      <w:r>
        <w:rPr>
          <w:kern w:val="2"/>
          <w:szCs w:val="21"/>
        </w:rPr>
        <w:t>委员会应立即在NANDO在公布修订后的公告。委员会应立即在电子系统输入第57条中所述的公告机构委任变化信息。</w:t>
      </w:r>
    </w:p>
    <w:p w14:paraId="1E1202BD">
      <w:pPr>
        <w:pStyle w:val="8"/>
        <w:tabs>
          <w:tab w:val="left" w:pos="681"/>
        </w:tabs>
        <w:topLinePunct/>
        <w:snapToGrid w:val="0"/>
        <w:spacing w:beforeLines="25" w:line="300" w:lineRule="auto"/>
        <w:ind w:left="680"/>
        <w:jc w:val="both"/>
        <w:rPr>
          <w:kern w:val="2"/>
          <w:szCs w:val="21"/>
        </w:rPr>
      </w:pPr>
      <w:r>
        <w:rPr>
          <w:kern w:val="2"/>
          <w:szCs w:val="21"/>
        </w:rPr>
        <w:t>3.</w:t>
      </w:r>
      <w:r>
        <w:rPr>
          <w:kern w:val="2"/>
          <w:szCs w:val="21"/>
        </w:rPr>
        <w:tab/>
      </w:r>
      <w:r>
        <w:rPr>
          <w:kern w:val="2"/>
          <w:szCs w:val="21"/>
        </w:rPr>
        <w:t>若公告机构决议停止其符合性评估活动，应尽快告知负责公告机构的主管机构和相关制造商，并且在停止评估活动前一年拟定停止计划。若另一公告机构书面确认为证书所包括的器械承担责任，其证书在停止公告机构活动后九个月内暂时有效。新的公告机构应在上述期限结束前完成对受影响器械的全面评估，方可为给这些器械签发新的证书。若公告机构停止其活动，负责公告机构的主管机构应撤销该委任</w:t>
      </w:r>
    </w:p>
    <w:p w14:paraId="30A618B8">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若负责公告机构的主管机构已确定公告机构不再符合附录VII的要求，或其未能履行自身义务，或</w:t>
      </w:r>
      <w:r>
        <w:rPr>
          <w:rFonts w:hint="eastAsia"/>
          <w:kern w:val="2"/>
          <w:szCs w:val="21"/>
        </w:rPr>
        <w:t>未</w:t>
      </w:r>
      <w:r>
        <w:rPr>
          <w:kern w:val="2"/>
          <w:szCs w:val="21"/>
        </w:rPr>
        <w:t>执行必要的纠正措施，主管机构可根据未达要求或不履行义务的严重程度，暂停、限制、全部或部分撤销对该机构的委任。一次暂停不得超过一年，但可追加一次同样期限的暂停。</w:t>
      </w:r>
    </w:p>
    <w:p w14:paraId="368DFD5A">
      <w:pPr>
        <w:pStyle w:val="8"/>
        <w:topLinePunct/>
        <w:snapToGrid w:val="0"/>
        <w:spacing w:beforeLines="25" w:line="300" w:lineRule="auto"/>
        <w:ind w:firstLine="0"/>
        <w:jc w:val="both"/>
        <w:rPr>
          <w:kern w:val="2"/>
          <w:szCs w:val="21"/>
        </w:rPr>
      </w:pPr>
      <w:r>
        <w:rPr>
          <w:kern w:val="2"/>
          <w:szCs w:val="21"/>
        </w:rPr>
        <w:t>负责公告机构的主管机构应将任何暂停、限制或撤销委任的情况立即通知委员会和其他成员国。</w:t>
      </w:r>
    </w:p>
    <w:p w14:paraId="3FB9B1E2">
      <w:pPr>
        <w:pStyle w:val="8"/>
        <w:tabs>
          <w:tab w:val="left" w:pos="681"/>
        </w:tabs>
        <w:topLinePunct/>
        <w:snapToGrid w:val="0"/>
        <w:spacing w:beforeLines="25" w:line="300" w:lineRule="auto"/>
        <w:ind w:hanging="568"/>
        <w:jc w:val="both"/>
        <w:rPr>
          <w:kern w:val="2"/>
          <w:szCs w:val="21"/>
        </w:rPr>
      </w:pPr>
      <w:r>
        <w:rPr>
          <w:kern w:val="2"/>
          <w:szCs w:val="21"/>
        </w:rPr>
        <w:t>5.</w:t>
      </w:r>
      <w:r>
        <w:rPr>
          <w:kern w:val="2"/>
          <w:szCs w:val="21"/>
        </w:rPr>
        <w:tab/>
      </w:r>
      <w:r>
        <w:rPr>
          <w:kern w:val="2"/>
          <w:szCs w:val="21"/>
        </w:rPr>
        <w:t>若委任已暂停、限制或全部或部分撤销，公告机构应在最迟10天内告知相关制造商。</w:t>
      </w:r>
    </w:p>
    <w:p w14:paraId="2AF30C1B">
      <w:pPr>
        <w:pStyle w:val="8"/>
        <w:tabs>
          <w:tab w:val="left" w:pos="681"/>
        </w:tabs>
        <w:topLinePunct/>
        <w:snapToGrid w:val="0"/>
        <w:spacing w:beforeLines="25" w:line="300" w:lineRule="auto"/>
        <w:ind w:hanging="568"/>
        <w:jc w:val="both"/>
        <w:rPr>
          <w:kern w:val="2"/>
          <w:szCs w:val="21"/>
        </w:rPr>
      </w:pPr>
      <w:r>
        <w:rPr>
          <w:kern w:val="2"/>
          <w:szCs w:val="21"/>
        </w:rPr>
        <w:t>6.</w:t>
      </w:r>
      <w:r>
        <w:rPr>
          <w:kern w:val="2"/>
          <w:szCs w:val="21"/>
        </w:rPr>
        <w:tab/>
      </w:r>
      <w:r>
        <w:rPr>
          <w:kern w:val="2"/>
          <w:szCs w:val="21"/>
        </w:rPr>
        <w:t>若发生限制、暂停或撤销委任的情况，负责公告机构的主管机构应当采取适当步骤以确保公告机构的文件送达其他成员国负责公告机构的主管机构及其要求的负责市场监管的主管机构。</w:t>
      </w:r>
    </w:p>
    <w:p w14:paraId="7FE2B943">
      <w:pPr>
        <w:pStyle w:val="32"/>
        <w:tabs>
          <w:tab w:val="left" w:pos="682"/>
        </w:tabs>
        <w:topLinePunct/>
        <w:snapToGrid w:val="0"/>
        <w:spacing w:beforeLines="25" w:line="300" w:lineRule="auto"/>
        <w:ind w:firstLine="126" w:firstLineChars="60"/>
        <w:jc w:val="both"/>
        <w:rPr>
          <w:rFonts w:ascii="Times New Roman" w:hAnsi="Times New Roman"/>
          <w:kern w:val="2"/>
          <w:szCs w:val="21"/>
        </w:rPr>
      </w:pPr>
      <w:r>
        <w:rPr>
          <w:rFonts w:ascii="Times New Roman" w:hAnsi="Times New Roman"/>
          <w:kern w:val="2"/>
          <w:szCs w:val="21"/>
        </w:rPr>
        <w:t>7.</w:t>
      </w:r>
      <w:r>
        <w:rPr>
          <w:rFonts w:ascii="Times New Roman" w:hAnsi="Times New Roman"/>
          <w:kern w:val="2"/>
          <w:szCs w:val="21"/>
        </w:rPr>
        <w:tab/>
      </w:r>
      <w:r>
        <w:rPr>
          <w:rFonts w:ascii="Times New Roman" w:hAnsi="Times New Roman"/>
          <w:kern w:val="2"/>
          <w:szCs w:val="21"/>
        </w:rPr>
        <w:t>在限制、暂停或撤销委任的情况下，负责公告机构的主管机构应该：</w:t>
      </w:r>
    </w:p>
    <w:p w14:paraId="65A8B711">
      <w:pPr>
        <w:pStyle w:val="32"/>
        <w:topLinePunct/>
        <w:snapToGrid w:val="0"/>
        <w:spacing w:beforeLines="25" w:line="300" w:lineRule="auto"/>
        <w:ind w:left="1259" w:leftChars="341" w:hanging="543" w:hangingChars="259"/>
        <w:jc w:val="both"/>
        <w:rPr>
          <w:rFonts w:ascii="Times New Roman" w:hAnsi="Times New Roman"/>
          <w:kern w:val="2"/>
          <w:szCs w:val="21"/>
        </w:rPr>
      </w:pPr>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评估对公告机构所签发证书的影响；</w:t>
      </w:r>
    </w:p>
    <w:p w14:paraId="755AD950">
      <w:pPr>
        <w:pStyle w:val="32"/>
        <w:topLinePunct/>
        <w:snapToGrid w:val="0"/>
        <w:spacing w:beforeLines="25" w:line="300" w:lineRule="auto"/>
        <w:ind w:left="1259" w:leftChars="341" w:hanging="543" w:hangingChars="259"/>
        <w:jc w:val="both"/>
        <w:rPr>
          <w:rFonts w:ascii="Times New Roman" w:hAnsi="Times New Roman"/>
          <w:kern w:val="2"/>
          <w:szCs w:val="21"/>
        </w:rPr>
      </w:pPr>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在发出委任变更通知后3个月内向委员会和其他成员国报告结果；</w:t>
      </w:r>
    </w:p>
    <w:p w14:paraId="7E6FE485">
      <w:pPr>
        <w:pStyle w:val="32"/>
        <w:topLinePunct/>
        <w:snapToGrid w:val="0"/>
        <w:spacing w:beforeLines="25" w:line="300" w:lineRule="auto"/>
        <w:ind w:left="1259" w:leftChars="341" w:hanging="543" w:hangingChars="259"/>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要求公告机构在主管机构决议的合理期限内暂停或撤销任何不当签发的证书</w:t>
      </w:r>
      <w:r>
        <w:rPr>
          <w:rFonts w:hint="eastAsia" w:ascii="Times New Roman" w:hAnsi="Times New Roman"/>
          <w:kern w:val="2"/>
          <w:szCs w:val="21"/>
        </w:rPr>
        <w:t>，</w:t>
      </w:r>
      <w:r>
        <w:rPr>
          <w:rFonts w:ascii="Times New Roman" w:hAnsi="Times New Roman"/>
          <w:kern w:val="2"/>
          <w:szCs w:val="21"/>
        </w:rPr>
        <w:t>以确保市场上的器械安全；</w:t>
      </w:r>
    </w:p>
    <w:p w14:paraId="7F39B378">
      <w:pPr>
        <w:pStyle w:val="32"/>
        <w:topLinePunct/>
        <w:snapToGrid w:val="0"/>
        <w:spacing w:beforeLines="25" w:line="300" w:lineRule="auto"/>
        <w:ind w:left="1259" w:leftChars="341" w:hanging="543" w:hangingChars="259"/>
        <w:jc w:val="both"/>
        <w:rPr>
          <w:rFonts w:ascii="Times New Roman" w:hAnsi="Times New Roman"/>
          <w:kern w:val="2"/>
          <w:szCs w:val="21"/>
        </w:rPr>
      </w:pPr>
      <w:r>
        <w:rPr>
          <w:rFonts w:ascii="Times New Roman" w:hAnsi="Times New Roman"/>
          <w:kern w:val="2"/>
          <w:szCs w:val="21"/>
        </w:rPr>
        <w:t>(d)</w:t>
      </w:r>
      <w:r>
        <w:rPr>
          <w:rFonts w:ascii="Times New Roman" w:hAnsi="Times New Roman"/>
          <w:kern w:val="2"/>
          <w:szCs w:val="21"/>
        </w:rPr>
        <w:tab/>
      </w:r>
      <w:r>
        <w:rPr>
          <w:rFonts w:ascii="Times New Roman" w:hAnsi="Times New Roman"/>
          <w:kern w:val="2"/>
          <w:szCs w:val="21"/>
        </w:rPr>
        <w:t>将其要求暂停或撤销的所有证书录入第57条中所述的电子系统。</w:t>
      </w:r>
    </w:p>
    <w:p w14:paraId="3854F41C">
      <w:pPr>
        <w:pStyle w:val="32"/>
        <w:topLinePunct/>
        <w:snapToGrid w:val="0"/>
        <w:spacing w:beforeLines="25" w:line="300" w:lineRule="auto"/>
        <w:ind w:left="1259" w:leftChars="341" w:hanging="543" w:hangingChars="259"/>
        <w:jc w:val="both"/>
        <w:rPr>
          <w:rFonts w:ascii="Times New Roman" w:hAnsi="Times New Roman"/>
          <w:kern w:val="2"/>
          <w:szCs w:val="21"/>
        </w:rPr>
      </w:pPr>
      <w:r>
        <w:rPr>
          <w:rFonts w:ascii="Times New Roman" w:hAnsi="Times New Roman"/>
          <w:kern w:val="2"/>
          <w:szCs w:val="21"/>
        </w:rPr>
        <w:t>(e)</w:t>
      </w:r>
      <w:r>
        <w:rPr>
          <w:rFonts w:ascii="Times New Roman" w:hAnsi="Times New Roman"/>
          <w:kern w:val="2"/>
          <w:szCs w:val="21"/>
        </w:rPr>
        <w:tab/>
      </w:r>
      <w:r>
        <w:rPr>
          <w:rFonts w:ascii="Times New Roman" w:hAnsi="Times New Roman"/>
          <w:kern w:val="2"/>
          <w:szCs w:val="21"/>
        </w:rPr>
        <w:t>将其要求暂停或撤销的证书通过第57条所述的电子系统通知制造商或其授权代表经营注册地所在成员国的医疗器械主管机构。该主管机构应采取适当措施，以在必要时避免给患者、使用者或其他人的健康或安全带来潜在风险。</w:t>
      </w:r>
    </w:p>
    <w:p w14:paraId="1E19FDB9">
      <w:pPr>
        <w:pStyle w:val="32"/>
        <w:tabs>
          <w:tab w:val="left" w:pos="682"/>
        </w:tabs>
        <w:topLinePunct/>
        <w:snapToGrid w:val="0"/>
        <w:spacing w:beforeLines="25" w:line="300" w:lineRule="auto"/>
        <w:ind w:firstLine="126" w:firstLineChars="60"/>
        <w:jc w:val="both"/>
        <w:rPr>
          <w:rFonts w:ascii="Times New Roman" w:hAnsi="Times New Roman"/>
          <w:kern w:val="2"/>
          <w:szCs w:val="21"/>
        </w:rPr>
      </w:pPr>
      <w:r>
        <w:rPr>
          <w:rFonts w:ascii="Times New Roman" w:hAnsi="Times New Roman"/>
          <w:kern w:val="2"/>
          <w:szCs w:val="21"/>
        </w:rPr>
        <w:t>8.</w:t>
      </w:r>
      <w:r>
        <w:rPr>
          <w:rFonts w:ascii="Times New Roman" w:hAnsi="Times New Roman"/>
          <w:kern w:val="2"/>
          <w:szCs w:val="21"/>
        </w:rPr>
        <w:tab/>
      </w:r>
      <w:r>
        <w:rPr>
          <w:rFonts w:ascii="Times New Roman" w:hAnsi="Times New Roman"/>
          <w:kern w:val="2"/>
          <w:szCs w:val="21"/>
        </w:rPr>
        <w:t>除不当签发的证书外，在委任出现暂停或限制时，证书在以下情况下仍然有效：</w:t>
      </w:r>
    </w:p>
    <w:p w14:paraId="6B18C18A">
      <w:pPr>
        <w:pStyle w:val="32"/>
        <w:topLinePunct/>
        <w:snapToGrid w:val="0"/>
        <w:spacing w:beforeLines="25" w:line="300" w:lineRule="auto"/>
        <w:ind w:left="1259" w:leftChars="341" w:hanging="543" w:hangingChars="259"/>
        <w:jc w:val="both"/>
        <w:rPr>
          <w:rFonts w:ascii="Times New Roman" w:hAnsi="Times New Roman"/>
          <w:kern w:val="2"/>
          <w:szCs w:val="21"/>
        </w:rPr>
      </w:pPr>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负责公告机构的主管机构确认在暂停或限制的一个月内，相关证书的安全问题不受暂停或限制的影响；和负责公告机构的主管机构已制定了纠正暂停或限制的时间表和措施；或</w:t>
      </w:r>
    </w:p>
    <w:p w14:paraId="5B768BC7">
      <w:pPr>
        <w:pStyle w:val="32"/>
        <w:topLinePunct/>
        <w:snapToGrid w:val="0"/>
        <w:spacing w:beforeLines="25" w:line="300" w:lineRule="auto"/>
        <w:ind w:left="1259" w:leftChars="341" w:hanging="543" w:hangingChars="259"/>
        <w:jc w:val="both"/>
        <w:rPr>
          <w:rFonts w:ascii="Times New Roman" w:hAnsi="Times New Roman"/>
          <w:kern w:val="2"/>
          <w:szCs w:val="21"/>
        </w:rPr>
      </w:pPr>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负责公告机构的主管机构已确认在暂停或限制期间将不再签发、修订或重新签发与暂停相关的证书，并指出在暂停或限制期间公告机构是否有能力继续监管并负责现有的已签发证书。若负责公告机构的主管机构认为公告机构</w:t>
      </w:r>
      <w:r>
        <w:rPr>
          <w:rFonts w:hint="eastAsia" w:ascii="Times New Roman" w:hAnsi="Times New Roman"/>
          <w:kern w:val="2"/>
          <w:szCs w:val="21"/>
        </w:rPr>
        <w:t>无</w:t>
      </w:r>
      <w:r>
        <w:rPr>
          <w:rFonts w:ascii="Times New Roman" w:hAnsi="Times New Roman"/>
          <w:kern w:val="2"/>
          <w:szCs w:val="21"/>
        </w:rPr>
        <w:t>能力支持现有已签发证书，</w:t>
      </w:r>
      <w:r>
        <w:rPr>
          <w:rFonts w:hint="eastAsia" w:ascii="Times New Roman" w:hAnsi="Times New Roman"/>
          <w:kern w:val="2"/>
          <w:szCs w:val="21"/>
        </w:rPr>
        <w:t>则</w:t>
      </w:r>
      <w:r>
        <w:rPr>
          <w:rFonts w:ascii="Times New Roman" w:hAnsi="Times New Roman"/>
          <w:kern w:val="2"/>
          <w:szCs w:val="21"/>
        </w:rPr>
        <w:t>制造商应在暂停或限制3个月内向证书覆盖的器械制造商（有其自己的商业注册地）所在成员国主管机构书面确认由其他合格公告机构临时承担公告机构的监督职能</w:t>
      </w:r>
      <w:r>
        <w:rPr>
          <w:rFonts w:hint="eastAsia" w:ascii="Times New Roman" w:hAnsi="Times New Roman"/>
          <w:kern w:val="2"/>
          <w:szCs w:val="21"/>
        </w:rPr>
        <w:t>，</w:t>
      </w:r>
      <w:r>
        <w:rPr>
          <w:rFonts w:ascii="Times New Roman" w:hAnsi="Times New Roman"/>
          <w:kern w:val="2"/>
          <w:szCs w:val="21"/>
        </w:rPr>
        <w:t>并继续负责暂停或限制期间的证书。</w:t>
      </w:r>
    </w:p>
    <w:p w14:paraId="6B1B5FA4">
      <w:pPr>
        <w:pStyle w:val="8"/>
        <w:tabs>
          <w:tab w:val="left" w:pos="681"/>
        </w:tabs>
        <w:topLinePunct/>
        <w:snapToGrid w:val="0"/>
        <w:spacing w:beforeLines="25" w:line="300" w:lineRule="auto"/>
        <w:ind w:hanging="568"/>
        <w:jc w:val="both"/>
        <w:rPr>
          <w:kern w:val="2"/>
          <w:szCs w:val="21"/>
        </w:rPr>
      </w:pPr>
      <w:r>
        <w:rPr>
          <w:kern w:val="2"/>
          <w:szCs w:val="21"/>
        </w:rPr>
        <w:t>9.</w:t>
      </w:r>
      <w:r>
        <w:rPr>
          <w:kern w:val="2"/>
          <w:szCs w:val="21"/>
        </w:rPr>
        <w:tab/>
      </w:r>
      <w:r>
        <w:rPr>
          <w:kern w:val="2"/>
          <w:szCs w:val="21"/>
        </w:rPr>
        <w:t>除不当签发的证书外，在撤销委任时，在以下情况下证书仍有9个月的有效期：</w:t>
      </w:r>
    </w:p>
    <w:p w14:paraId="20F3B12A">
      <w:pPr>
        <w:pStyle w:val="32"/>
        <w:tabs>
          <w:tab w:val="left" w:pos="1248"/>
        </w:tabs>
        <w:topLinePunct/>
        <w:snapToGrid w:val="0"/>
        <w:spacing w:beforeLines="25" w:line="300" w:lineRule="auto"/>
        <w:ind w:left="1258" w:leftChars="257" w:hanging="718" w:hangingChars="342"/>
        <w:jc w:val="both"/>
        <w:rPr>
          <w:rFonts w:ascii="Times New Roman" w:hAnsi="Times New Roman"/>
          <w:kern w:val="2"/>
          <w:szCs w:val="21"/>
        </w:rPr>
      </w:pPr>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证书覆盖的器械制造商（有其自己商业注册地）所在成员国的医疗器械主管机构已确认</w:t>
      </w:r>
      <w:r>
        <w:rPr>
          <w:rFonts w:hint="eastAsia" w:ascii="Times New Roman" w:hAnsi="Times New Roman"/>
          <w:kern w:val="2"/>
          <w:szCs w:val="21"/>
        </w:rPr>
        <w:t>未</w:t>
      </w:r>
      <w:r>
        <w:rPr>
          <w:rFonts w:ascii="Times New Roman" w:hAnsi="Times New Roman"/>
          <w:kern w:val="2"/>
          <w:szCs w:val="21"/>
        </w:rPr>
        <w:t>发生与上述器械相关的安全问题。</w:t>
      </w:r>
    </w:p>
    <w:p w14:paraId="246CE5DE">
      <w:pPr>
        <w:pStyle w:val="32"/>
        <w:tabs>
          <w:tab w:val="left" w:pos="1248"/>
        </w:tabs>
        <w:topLinePunct/>
        <w:snapToGrid w:val="0"/>
        <w:spacing w:beforeLines="25" w:line="300" w:lineRule="auto"/>
        <w:ind w:left="1258" w:leftChars="257" w:hanging="718" w:hangingChars="342"/>
        <w:jc w:val="both"/>
        <w:rPr>
          <w:rFonts w:ascii="Times New Roman" w:hAnsi="Times New Roman"/>
          <w:kern w:val="2"/>
          <w:szCs w:val="21"/>
        </w:rPr>
      </w:pPr>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其他公告机构书面确认将承担这些器械的直接责任，并在委任撤销起12个月内完成对器械的评估。</w:t>
      </w:r>
    </w:p>
    <w:p w14:paraId="5362E0AE">
      <w:pPr>
        <w:pStyle w:val="8"/>
        <w:topLinePunct/>
        <w:snapToGrid w:val="0"/>
        <w:spacing w:beforeLines="25" w:line="300" w:lineRule="auto"/>
        <w:ind w:firstLine="0"/>
        <w:jc w:val="both"/>
        <w:rPr>
          <w:kern w:val="2"/>
          <w:szCs w:val="21"/>
        </w:rPr>
      </w:pPr>
      <w:r>
        <w:rPr>
          <w:kern w:val="2"/>
          <w:szCs w:val="21"/>
        </w:rPr>
        <w:t>在第一子段中所述的情况下，证书覆盖的器械制造商（有其自己商业注册地）在成员国的医疗器械主管机构可将证书的临时有效期进一步延长3个月（总共不超过12个月）。</w:t>
      </w:r>
    </w:p>
    <w:p w14:paraId="03DB99F3">
      <w:pPr>
        <w:pStyle w:val="8"/>
        <w:topLinePunct/>
        <w:snapToGrid w:val="0"/>
        <w:spacing w:beforeLines="25" w:line="300" w:lineRule="auto"/>
        <w:ind w:firstLine="0"/>
        <w:jc w:val="both"/>
        <w:rPr>
          <w:kern w:val="2"/>
          <w:szCs w:val="21"/>
        </w:rPr>
      </w:pPr>
      <w:r>
        <w:rPr>
          <w:kern w:val="2"/>
          <w:szCs w:val="21"/>
        </w:rPr>
        <w:t>承担受委任变更影响公告机构职能的主管机构或公告机构，应立即通知委员会、其他成员国及其他相关公告机构。</w:t>
      </w:r>
    </w:p>
    <w:p w14:paraId="1CF86855">
      <w:pPr>
        <w:snapToGrid w:val="0"/>
        <w:spacing w:beforeLines="25" w:line="300" w:lineRule="auto"/>
        <w:ind w:left="196"/>
        <w:jc w:val="center"/>
        <w:rPr>
          <w:rFonts w:ascii="Times New Roman" w:hAnsi="Times New Roman"/>
          <w:i/>
          <w:kern w:val="2"/>
          <w:szCs w:val="21"/>
        </w:rPr>
      </w:pPr>
    </w:p>
    <w:p w14:paraId="5EC6D010">
      <w:pPr>
        <w:snapToGrid w:val="0"/>
        <w:spacing w:beforeLines="25" w:line="300" w:lineRule="auto"/>
        <w:ind w:left="196"/>
        <w:jc w:val="center"/>
        <w:rPr>
          <w:rStyle w:val="48"/>
          <w:b/>
          <w:szCs w:val="21"/>
        </w:rPr>
      </w:pPr>
      <w:r>
        <w:rPr>
          <w:rFonts w:ascii="Times New Roman" w:hAnsi="Times New Roman"/>
          <w:i/>
          <w:kern w:val="2"/>
          <w:szCs w:val="21"/>
        </w:rPr>
        <w:t>第47条</w:t>
      </w:r>
    </w:p>
    <w:p w14:paraId="42EDBD9A">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对公告机构</w:t>
      </w:r>
      <w:r>
        <w:rPr>
          <w:rFonts w:hint="eastAsia" w:ascii="Times New Roman" w:hAnsi="Times New Roman"/>
          <w:b/>
          <w:kern w:val="2"/>
          <w:szCs w:val="21"/>
        </w:rPr>
        <w:t>资质</w:t>
      </w:r>
      <w:r>
        <w:rPr>
          <w:rFonts w:ascii="Times New Roman" w:hAnsi="Times New Roman"/>
          <w:b/>
          <w:kern w:val="2"/>
          <w:szCs w:val="21"/>
        </w:rPr>
        <w:t>的挑战</w:t>
      </w:r>
    </w:p>
    <w:p w14:paraId="106E7CC2">
      <w:pPr>
        <w:pStyle w:val="32"/>
        <w:numPr>
          <w:ilvl w:val="0"/>
          <w:numId w:val="5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委员会联合MDCG会对引发关注的公告机构或其一个/多个分支机构或分包商连续履行附录VII要求或其应承担义务的情况进行调查。应确保负责公告机构的主管机构接到通知并有合适的机会对关注问题进行调查。</w:t>
      </w:r>
    </w:p>
    <w:p w14:paraId="20CB540B">
      <w:pPr>
        <w:pStyle w:val="32"/>
        <w:numPr>
          <w:ilvl w:val="0"/>
          <w:numId w:val="5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公告成员国应按要求向委员会提供有关委任公告机构所发公告的所有信息。</w:t>
      </w:r>
    </w:p>
    <w:p w14:paraId="476C3F4A">
      <w:pPr>
        <w:pStyle w:val="8"/>
        <w:tabs>
          <w:tab w:val="left" w:pos="681"/>
        </w:tabs>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在合理关注公告机构或其分支机构或分包商符合附录VII所列要求的现状和主管机构的调查未能完全解决关注问题时，或应主管机构要求，委员会可联合MDCG启动（如适用）第39(3)和(4)条所述的评估流程。</w:t>
      </w:r>
      <w:r>
        <w:rPr>
          <w:rFonts w:hint="eastAsia"/>
          <w:kern w:val="2"/>
          <w:szCs w:val="21"/>
        </w:rPr>
        <w:t>此外，</w:t>
      </w:r>
      <w:r>
        <w:rPr>
          <w:kern w:val="2"/>
          <w:szCs w:val="21"/>
        </w:rPr>
        <w:t>该报告和评估流程的结果应遵循第39条的原则。另外，根据问题的严重程度，委员会和MDCG可要求负责公告机构的主管机构允许来自第40条名单中最多两位专家参与现场评估，作为</w:t>
      </w:r>
      <w:r>
        <w:rPr>
          <w:rFonts w:hint="eastAsia"/>
          <w:kern w:val="2"/>
          <w:szCs w:val="21"/>
        </w:rPr>
        <w:t>第44条</w:t>
      </w:r>
      <w:r>
        <w:rPr>
          <w:kern w:val="2"/>
          <w:szCs w:val="21"/>
        </w:rPr>
        <w:t>所述</w:t>
      </w:r>
      <w:r>
        <w:rPr>
          <w:rFonts w:hint="eastAsia"/>
          <w:kern w:val="2"/>
          <w:szCs w:val="21"/>
        </w:rPr>
        <w:t>计划</w:t>
      </w:r>
      <w:r>
        <w:rPr>
          <w:kern w:val="2"/>
          <w:szCs w:val="21"/>
        </w:rPr>
        <w:t>检查和评估活动以及第44（4）条</w:t>
      </w:r>
      <w:r>
        <w:rPr>
          <w:rFonts w:hint="eastAsia"/>
          <w:kern w:val="2"/>
          <w:szCs w:val="21"/>
        </w:rPr>
        <w:t>所述年度</w:t>
      </w:r>
      <w:r>
        <w:rPr>
          <w:kern w:val="2"/>
          <w:szCs w:val="21"/>
        </w:rPr>
        <w:t>评估计划的一部分。</w:t>
      </w:r>
    </w:p>
    <w:p w14:paraId="462A2517">
      <w:pPr>
        <w:pStyle w:val="32"/>
        <w:tabs>
          <w:tab w:val="left" w:pos="682"/>
        </w:tabs>
        <w:topLinePunct/>
        <w:snapToGrid w:val="0"/>
        <w:spacing w:beforeLines="25" w:line="300" w:lineRule="auto"/>
        <w:ind w:left="628" w:leftChars="67" w:hanging="487" w:hangingChars="232"/>
        <w:jc w:val="both"/>
        <w:rPr>
          <w:rFonts w:ascii="Times New Roman" w:hAnsi="Times New Roman"/>
          <w:kern w:val="2"/>
          <w:szCs w:val="21"/>
        </w:rPr>
      </w:pPr>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rPr>
        <w:t>若委员会确定公告机构不再符合其委任要求，应当相应地通知公告成员国，要求其采取必要的纠正措施，包括暂停、限制或必要时撤消委任。</w:t>
      </w:r>
    </w:p>
    <w:p w14:paraId="1287926A">
      <w:pPr>
        <w:pStyle w:val="8"/>
        <w:topLinePunct/>
        <w:snapToGrid w:val="0"/>
        <w:spacing w:beforeLines="25" w:line="300" w:lineRule="auto"/>
        <w:ind w:firstLine="0"/>
        <w:jc w:val="both"/>
        <w:rPr>
          <w:kern w:val="2"/>
          <w:szCs w:val="21"/>
        </w:rPr>
      </w:pPr>
      <w:r>
        <w:rPr>
          <w:kern w:val="2"/>
          <w:szCs w:val="21"/>
        </w:rPr>
        <w:t>凡成员国未能采取必要的纠正措施，委员会可通过实施细则来暂停、限制或撤销公告。应按照第114(3)条的审查流程通过这些实施细则。应当通知有关成员国相关决议，并更新NANDO和第57条中所述的电子系统。</w:t>
      </w:r>
    </w:p>
    <w:p w14:paraId="0CB48E83">
      <w:pPr>
        <w:pStyle w:val="8"/>
        <w:tabs>
          <w:tab w:val="left" w:pos="681"/>
        </w:tabs>
        <w:topLinePunct/>
        <w:snapToGrid w:val="0"/>
        <w:spacing w:beforeLines="25" w:line="300" w:lineRule="auto"/>
        <w:ind w:hanging="568"/>
        <w:jc w:val="both"/>
        <w:rPr>
          <w:kern w:val="2"/>
          <w:szCs w:val="21"/>
        </w:rPr>
      </w:pPr>
      <w:r>
        <w:rPr>
          <w:kern w:val="2"/>
          <w:szCs w:val="21"/>
        </w:rPr>
        <w:t>5.</w:t>
      </w:r>
      <w:r>
        <w:rPr>
          <w:kern w:val="2"/>
          <w:szCs w:val="21"/>
        </w:rPr>
        <w:tab/>
      </w:r>
      <w:r>
        <w:rPr>
          <w:kern w:val="2"/>
          <w:szCs w:val="21"/>
        </w:rPr>
        <w:t>委员会应确保对调查过程中获得的所有保密信息保密。</w:t>
      </w:r>
    </w:p>
    <w:p w14:paraId="549677D2">
      <w:pPr>
        <w:snapToGrid w:val="0"/>
        <w:spacing w:beforeLines="25" w:line="300" w:lineRule="auto"/>
        <w:ind w:left="196"/>
        <w:jc w:val="center"/>
        <w:rPr>
          <w:rFonts w:ascii="Times New Roman" w:hAnsi="Times New Roman"/>
          <w:i/>
          <w:kern w:val="2"/>
          <w:szCs w:val="21"/>
        </w:rPr>
      </w:pPr>
    </w:p>
    <w:p w14:paraId="76214306">
      <w:pPr>
        <w:snapToGrid w:val="0"/>
        <w:spacing w:beforeLines="25" w:line="300" w:lineRule="auto"/>
        <w:ind w:left="196"/>
        <w:jc w:val="center"/>
        <w:rPr>
          <w:rStyle w:val="48"/>
          <w:b/>
          <w:szCs w:val="21"/>
        </w:rPr>
      </w:pPr>
      <w:r>
        <w:rPr>
          <w:rFonts w:ascii="Times New Roman" w:hAnsi="Times New Roman"/>
          <w:i/>
          <w:kern w:val="2"/>
          <w:szCs w:val="21"/>
        </w:rPr>
        <w:t>第48条</w:t>
      </w:r>
    </w:p>
    <w:p w14:paraId="79011FD6">
      <w:pPr>
        <w:snapToGrid w:val="0"/>
        <w:spacing w:beforeLines="25" w:line="300" w:lineRule="auto"/>
        <w:ind w:left="196"/>
        <w:jc w:val="center"/>
        <w:rPr>
          <w:rStyle w:val="48"/>
          <w:b/>
          <w:szCs w:val="21"/>
        </w:rPr>
      </w:pPr>
      <w:r>
        <w:rPr>
          <w:rFonts w:ascii="Times New Roman" w:hAnsi="Times New Roman"/>
          <w:b/>
          <w:kern w:val="2"/>
          <w:szCs w:val="21"/>
        </w:rPr>
        <w:t>同行评审和负责公告机构的主管机构之间的经验交流</w:t>
      </w:r>
    </w:p>
    <w:p w14:paraId="1351DADE">
      <w:pPr>
        <w:pStyle w:val="32"/>
        <w:numPr>
          <w:ilvl w:val="0"/>
          <w:numId w:val="51"/>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委员会</w:t>
      </w:r>
      <w:r>
        <w:rPr>
          <w:rFonts w:ascii="Times New Roman" w:hAnsi="Times New Roman"/>
          <w:kern w:val="2"/>
          <w:szCs w:val="21"/>
          <w:lang w:val="en-US"/>
        </w:rPr>
        <w:t>应</w:t>
      </w:r>
      <w:r>
        <w:rPr>
          <w:rFonts w:hint="eastAsia" w:ascii="Times New Roman" w:hAnsi="Times New Roman"/>
          <w:kern w:val="2"/>
          <w:szCs w:val="21"/>
          <w:lang w:val="en-US"/>
        </w:rPr>
        <w:t>为</w:t>
      </w:r>
      <w:r>
        <w:rPr>
          <w:rFonts w:ascii="Times New Roman" w:hAnsi="Times New Roman"/>
          <w:kern w:val="2"/>
          <w:szCs w:val="21"/>
          <w:lang w:val="en-US"/>
        </w:rPr>
        <w:t>负责公告机构的主管</w:t>
      </w:r>
      <w:r>
        <w:rPr>
          <w:rFonts w:hint="eastAsia" w:ascii="Times New Roman" w:hAnsi="Times New Roman"/>
          <w:kern w:val="2"/>
          <w:szCs w:val="21"/>
          <w:lang w:val="en-US"/>
        </w:rPr>
        <w:t>机构提供</w:t>
      </w:r>
      <w:r>
        <w:rPr>
          <w:rFonts w:ascii="Times New Roman" w:hAnsi="Times New Roman"/>
          <w:kern w:val="2"/>
          <w:szCs w:val="21"/>
          <w:lang w:val="en-US"/>
        </w:rPr>
        <w:t>经验交流及实践合作的机会</w:t>
      </w:r>
      <w:r>
        <w:rPr>
          <w:rFonts w:ascii="Times New Roman" w:hAnsi="Times New Roman"/>
          <w:kern w:val="2"/>
          <w:szCs w:val="21"/>
        </w:rPr>
        <w:t>。该</w:t>
      </w:r>
      <w:r>
        <w:rPr>
          <w:rFonts w:hint="eastAsia" w:ascii="Times New Roman" w:hAnsi="Times New Roman"/>
          <w:kern w:val="2"/>
          <w:szCs w:val="21"/>
        </w:rPr>
        <w:t>交流应</w:t>
      </w:r>
      <w:r>
        <w:rPr>
          <w:rFonts w:ascii="Times New Roman" w:hAnsi="Times New Roman"/>
          <w:kern w:val="2"/>
          <w:szCs w:val="21"/>
        </w:rPr>
        <w:t>包括以下内容：</w:t>
      </w:r>
    </w:p>
    <w:p w14:paraId="05798062">
      <w:pPr>
        <w:pStyle w:val="32"/>
        <w:numPr>
          <w:ilvl w:val="1"/>
          <w:numId w:val="51"/>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负责公告机构主管机构活动的最佳实践文件的制定；</w:t>
      </w:r>
    </w:p>
    <w:p w14:paraId="6EE387BD">
      <w:pPr>
        <w:pStyle w:val="32"/>
        <w:numPr>
          <w:ilvl w:val="1"/>
          <w:numId w:val="51"/>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与本法规实施相关的公告机构指导性文件的制定；</w:t>
      </w:r>
    </w:p>
    <w:p w14:paraId="4D404B85">
      <w:pPr>
        <w:pStyle w:val="32"/>
        <w:numPr>
          <w:ilvl w:val="1"/>
          <w:numId w:val="51"/>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第40条所述专家的培训和资格认定；</w:t>
      </w:r>
    </w:p>
    <w:p w14:paraId="5CD852DE">
      <w:pPr>
        <w:pStyle w:val="32"/>
        <w:numPr>
          <w:ilvl w:val="1"/>
          <w:numId w:val="51"/>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监控公告机构委任和公告的变更以及公告机构之间证书撤销和转让的动态；</w:t>
      </w:r>
    </w:p>
    <w:p w14:paraId="35F30D24">
      <w:pPr>
        <w:pStyle w:val="32"/>
        <w:numPr>
          <w:ilvl w:val="1"/>
          <w:numId w:val="51"/>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监控第42（13）条所述的范围代码的申请和使用；</w:t>
      </w:r>
    </w:p>
    <w:p w14:paraId="1A2E3B93">
      <w:pPr>
        <w:pStyle w:val="32"/>
        <w:numPr>
          <w:ilvl w:val="1"/>
          <w:numId w:val="51"/>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制定主管机构与委员会之间的同行评审机制；</w:t>
      </w:r>
    </w:p>
    <w:p w14:paraId="69B08F48">
      <w:pPr>
        <w:pStyle w:val="32"/>
        <w:numPr>
          <w:ilvl w:val="1"/>
          <w:numId w:val="51"/>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向公众传播主管机构和委员会对公告机构的监督和监管活动的方法。</w:t>
      </w:r>
    </w:p>
    <w:p w14:paraId="0C5507AE">
      <w:pPr>
        <w:pStyle w:val="32"/>
        <w:numPr>
          <w:ilvl w:val="0"/>
          <w:numId w:val="51"/>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负责公告机构的主管机构应根据本条第1段</w:t>
      </w:r>
      <w:r>
        <w:rPr>
          <w:rFonts w:hint="eastAsia" w:ascii="Times New Roman" w:hAnsi="Times New Roman"/>
          <w:kern w:val="2"/>
          <w:szCs w:val="21"/>
        </w:rPr>
        <w:t>制定</w:t>
      </w:r>
      <w:r>
        <w:rPr>
          <w:rFonts w:ascii="Times New Roman" w:hAnsi="Times New Roman"/>
          <w:kern w:val="2"/>
          <w:szCs w:val="21"/>
        </w:rPr>
        <w:t>的机制每三年参与一次同行评审。该审查通常应在第39条所述的现场联合评估同时进行，另外主管机构可选择进行该审查并作为第44条所述的其监管活动的一部分。</w:t>
      </w:r>
    </w:p>
    <w:p w14:paraId="78C225D8">
      <w:pPr>
        <w:pStyle w:val="32"/>
        <w:numPr>
          <w:ilvl w:val="0"/>
          <w:numId w:val="51"/>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委员会应参与组织并为同行评审机制的实施提供支持。</w:t>
      </w:r>
    </w:p>
    <w:p w14:paraId="1F2AA44A">
      <w:pPr>
        <w:pStyle w:val="8"/>
        <w:tabs>
          <w:tab w:val="left" w:pos="681"/>
        </w:tabs>
        <w:topLinePunct/>
        <w:snapToGrid w:val="0"/>
        <w:spacing w:beforeLines="20" w:line="300" w:lineRule="auto"/>
        <w:ind w:hanging="568"/>
        <w:jc w:val="both"/>
        <w:rPr>
          <w:kern w:val="2"/>
          <w:szCs w:val="21"/>
        </w:rPr>
      </w:pPr>
      <w:r>
        <w:rPr>
          <w:kern w:val="2"/>
          <w:szCs w:val="21"/>
        </w:rPr>
        <w:t>4.</w:t>
      </w:r>
      <w:r>
        <w:rPr>
          <w:kern w:val="2"/>
          <w:szCs w:val="21"/>
        </w:rPr>
        <w:tab/>
      </w:r>
      <w:r>
        <w:rPr>
          <w:kern w:val="2"/>
          <w:szCs w:val="21"/>
        </w:rPr>
        <w:t>委员会应撰写同行评审活动的年度总结报告并予以公布。</w:t>
      </w:r>
    </w:p>
    <w:p w14:paraId="6B88D52D">
      <w:pPr>
        <w:pStyle w:val="8"/>
        <w:tabs>
          <w:tab w:val="left" w:pos="681"/>
        </w:tabs>
        <w:topLinePunct/>
        <w:snapToGrid w:val="0"/>
        <w:spacing w:beforeLines="20" w:line="300" w:lineRule="auto"/>
        <w:ind w:left="680"/>
        <w:jc w:val="both"/>
        <w:rPr>
          <w:kern w:val="2"/>
          <w:szCs w:val="21"/>
        </w:rPr>
      </w:pPr>
      <w:r>
        <w:rPr>
          <w:kern w:val="2"/>
          <w:szCs w:val="21"/>
        </w:rPr>
        <w:t>5.</w:t>
      </w:r>
      <w:r>
        <w:rPr>
          <w:kern w:val="2"/>
          <w:szCs w:val="21"/>
        </w:rPr>
        <w:tab/>
      </w:r>
      <w:r>
        <w:rPr>
          <w:kern w:val="2"/>
          <w:szCs w:val="21"/>
        </w:rPr>
        <w:t>委员会可通过实施细则，采取措施限定本条第1段所述的同行评审机制详细安排和相关文件、培训和资格认定。应按照第114(3)条中所述的审查流程通过这些实施细则。</w:t>
      </w:r>
    </w:p>
    <w:p w14:paraId="1D0E85CB">
      <w:pPr>
        <w:snapToGrid w:val="0"/>
        <w:spacing w:beforeLines="20" w:line="300" w:lineRule="auto"/>
        <w:ind w:left="196"/>
        <w:jc w:val="center"/>
        <w:rPr>
          <w:rFonts w:ascii="Times New Roman" w:hAnsi="Times New Roman"/>
          <w:i/>
          <w:kern w:val="2"/>
          <w:szCs w:val="21"/>
        </w:rPr>
      </w:pPr>
    </w:p>
    <w:p w14:paraId="5DEE9B09">
      <w:pPr>
        <w:snapToGrid w:val="0"/>
        <w:spacing w:beforeLines="20" w:line="300" w:lineRule="auto"/>
        <w:ind w:left="196"/>
        <w:jc w:val="center"/>
        <w:rPr>
          <w:rFonts w:ascii="Times New Roman" w:hAnsi="Times New Roman"/>
          <w:i/>
          <w:kern w:val="2"/>
          <w:szCs w:val="21"/>
        </w:rPr>
      </w:pPr>
      <w:r>
        <w:rPr>
          <w:rFonts w:ascii="Times New Roman" w:hAnsi="Times New Roman"/>
          <w:i/>
          <w:kern w:val="2"/>
          <w:szCs w:val="21"/>
        </w:rPr>
        <w:t>第49条</w:t>
      </w:r>
    </w:p>
    <w:p w14:paraId="21DCEC07">
      <w:pPr>
        <w:snapToGrid w:val="0"/>
        <w:spacing w:beforeLines="20" w:line="300" w:lineRule="auto"/>
        <w:ind w:left="196"/>
        <w:jc w:val="center"/>
        <w:rPr>
          <w:rFonts w:ascii="Times New Roman" w:hAnsi="Times New Roman"/>
          <w:b/>
          <w:kern w:val="2"/>
          <w:szCs w:val="21"/>
        </w:rPr>
      </w:pPr>
      <w:r>
        <w:rPr>
          <w:rFonts w:ascii="Times New Roman" w:hAnsi="Times New Roman"/>
          <w:b/>
          <w:kern w:val="2"/>
          <w:szCs w:val="21"/>
        </w:rPr>
        <w:t>公告机构的协调</w:t>
      </w:r>
    </w:p>
    <w:p w14:paraId="2C9EC56C">
      <w:pPr>
        <w:pStyle w:val="8"/>
        <w:topLinePunct/>
        <w:snapToGrid w:val="0"/>
        <w:spacing w:beforeLines="20" w:line="300" w:lineRule="auto"/>
        <w:ind w:left="113" w:firstLine="0"/>
        <w:jc w:val="both"/>
        <w:rPr>
          <w:kern w:val="2"/>
          <w:szCs w:val="21"/>
        </w:rPr>
      </w:pPr>
      <w:r>
        <w:rPr>
          <w:kern w:val="2"/>
          <w:szCs w:val="21"/>
        </w:rPr>
        <w:t>委员会应确保公告机构之间有适当的协调和合作，并且在医疗器械（包括体外诊断医疗器械）领域内以公告机构协调组的形式进行。该协调组应定期会面，至少每年一次。</w:t>
      </w:r>
    </w:p>
    <w:p w14:paraId="6F74A84F">
      <w:pPr>
        <w:pStyle w:val="8"/>
        <w:topLinePunct/>
        <w:snapToGrid w:val="0"/>
        <w:spacing w:beforeLines="20" w:line="300" w:lineRule="auto"/>
        <w:ind w:left="0" w:firstLine="138" w:firstLineChars="66"/>
        <w:jc w:val="both"/>
        <w:rPr>
          <w:kern w:val="2"/>
          <w:szCs w:val="21"/>
        </w:rPr>
      </w:pPr>
      <w:r>
        <w:rPr>
          <w:kern w:val="2"/>
          <w:szCs w:val="21"/>
        </w:rPr>
        <w:t>根据本法规，公告机构应参与该协调组的工作。</w:t>
      </w:r>
    </w:p>
    <w:p w14:paraId="7D17C128">
      <w:pPr>
        <w:pStyle w:val="8"/>
        <w:topLinePunct/>
        <w:snapToGrid w:val="0"/>
        <w:spacing w:beforeLines="20" w:line="300" w:lineRule="auto"/>
        <w:ind w:left="0" w:firstLine="138" w:firstLineChars="66"/>
        <w:jc w:val="both"/>
        <w:rPr>
          <w:kern w:val="2"/>
          <w:szCs w:val="21"/>
        </w:rPr>
      </w:pPr>
      <w:r>
        <w:rPr>
          <w:kern w:val="2"/>
          <w:szCs w:val="21"/>
        </w:rPr>
        <w:t>委员会可建立公告机构协调组的具体安排。</w:t>
      </w:r>
    </w:p>
    <w:p w14:paraId="520F3BE8">
      <w:pPr>
        <w:snapToGrid w:val="0"/>
        <w:spacing w:beforeLines="20" w:line="300" w:lineRule="auto"/>
        <w:rPr>
          <w:rFonts w:ascii="Times New Roman" w:hAnsi="Times New Roman"/>
          <w:kern w:val="2"/>
          <w:szCs w:val="21"/>
        </w:rPr>
      </w:pPr>
    </w:p>
    <w:p w14:paraId="3CBC5284">
      <w:pPr>
        <w:snapToGrid w:val="0"/>
        <w:spacing w:beforeLines="20" w:line="300" w:lineRule="auto"/>
        <w:ind w:left="196"/>
        <w:jc w:val="center"/>
        <w:rPr>
          <w:rStyle w:val="48"/>
          <w:b/>
          <w:szCs w:val="21"/>
        </w:rPr>
      </w:pPr>
      <w:r>
        <w:rPr>
          <w:rFonts w:ascii="Times New Roman" w:hAnsi="Times New Roman"/>
          <w:i/>
          <w:kern w:val="2"/>
          <w:szCs w:val="21"/>
        </w:rPr>
        <w:t>第50条</w:t>
      </w:r>
    </w:p>
    <w:p w14:paraId="1A96CC34">
      <w:pPr>
        <w:snapToGrid w:val="0"/>
        <w:spacing w:beforeLines="20" w:line="300" w:lineRule="auto"/>
        <w:ind w:left="196"/>
        <w:jc w:val="center"/>
        <w:rPr>
          <w:rStyle w:val="48"/>
          <w:b/>
          <w:szCs w:val="21"/>
        </w:rPr>
      </w:pPr>
      <w:r>
        <w:rPr>
          <w:rFonts w:ascii="Times New Roman" w:hAnsi="Times New Roman"/>
          <w:b/>
          <w:kern w:val="2"/>
          <w:szCs w:val="21"/>
        </w:rPr>
        <w:t>收费标准</w:t>
      </w:r>
      <w:r>
        <w:rPr>
          <w:rFonts w:hint="eastAsia" w:ascii="Times New Roman" w:hAnsi="Times New Roman"/>
          <w:b/>
          <w:kern w:val="2"/>
          <w:szCs w:val="21"/>
        </w:rPr>
        <w:t>列表</w:t>
      </w:r>
    </w:p>
    <w:p w14:paraId="5906A117">
      <w:pPr>
        <w:pStyle w:val="8"/>
        <w:topLinePunct/>
        <w:snapToGrid w:val="0"/>
        <w:spacing w:beforeLines="20" w:line="300" w:lineRule="auto"/>
        <w:ind w:left="0" w:firstLine="138" w:firstLineChars="66"/>
        <w:jc w:val="both"/>
        <w:rPr>
          <w:kern w:val="2"/>
          <w:szCs w:val="21"/>
        </w:rPr>
      </w:pPr>
      <w:r>
        <w:rPr>
          <w:kern w:val="2"/>
          <w:szCs w:val="21"/>
        </w:rPr>
        <w:t>公告机构应</w:t>
      </w:r>
      <w:r>
        <w:rPr>
          <w:rFonts w:hint="eastAsia"/>
          <w:kern w:val="2"/>
          <w:szCs w:val="21"/>
        </w:rPr>
        <w:t>制定</w:t>
      </w:r>
      <w:r>
        <w:rPr>
          <w:kern w:val="2"/>
          <w:szCs w:val="21"/>
        </w:rPr>
        <w:t>并公开其所开展的符合性评估活动的收费标准</w:t>
      </w:r>
      <w:r>
        <w:rPr>
          <w:rFonts w:hint="eastAsia"/>
          <w:kern w:val="2"/>
          <w:szCs w:val="21"/>
        </w:rPr>
        <w:t>列表</w:t>
      </w:r>
      <w:r>
        <w:rPr>
          <w:kern w:val="2"/>
          <w:szCs w:val="21"/>
        </w:rPr>
        <w:t>。</w:t>
      </w:r>
    </w:p>
    <w:p w14:paraId="0487E428">
      <w:pPr>
        <w:pStyle w:val="2"/>
        <w:spacing w:beforeLines="20" w:line="300" w:lineRule="auto"/>
        <w:rPr>
          <w:sz w:val="21"/>
          <w:szCs w:val="21"/>
        </w:rPr>
      </w:pPr>
      <w:bookmarkStart w:id="46" w:name="_Toc477512396"/>
    </w:p>
    <w:p w14:paraId="598A5E77">
      <w:pPr>
        <w:pStyle w:val="2"/>
        <w:spacing w:beforeLines="20" w:line="300" w:lineRule="auto"/>
        <w:rPr>
          <w:rStyle w:val="48"/>
          <w:sz w:val="24"/>
          <w:szCs w:val="24"/>
        </w:rPr>
      </w:pPr>
      <w:r>
        <w:rPr>
          <w:sz w:val="24"/>
          <w:szCs w:val="24"/>
        </w:rPr>
        <w:t>第V章</w:t>
      </w:r>
      <w:r>
        <w:rPr>
          <w:sz w:val="24"/>
          <w:szCs w:val="24"/>
        </w:rPr>
        <w:br w:type="textWrapping"/>
      </w:r>
      <w:r>
        <w:rPr>
          <w:sz w:val="24"/>
          <w:szCs w:val="24"/>
        </w:rPr>
        <w:t>分类和符合性评估</w:t>
      </w:r>
      <w:bookmarkEnd w:id="46"/>
    </w:p>
    <w:p w14:paraId="16B42322">
      <w:pPr>
        <w:pStyle w:val="35"/>
        <w:spacing w:beforeLines="20" w:line="300" w:lineRule="auto"/>
        <w:rPr>
          <w:sz w:val="21"/>
          <w:szCs w:val="21"/>
        </w:rPr>
      </w:pPr>
      <w:bookmarkStart w:id="47" w:name="_Toc477512397"/>
      <w:r>
        <w:rPr>
          <w:sz w:val="21"/>
          <w:szCs w:val="21"/>
        </w:rPr>
        <w:t>第1节</w:t>
      </w:r>
      <w:bookmarkEnd w:id="47"/>
    </w:p>
    <w:p w14:paraId="059B5E58">
      <w:pPr>
        <w:pStyle w:val="35"/>
        <w:spacing w:beforeLines="20" w:line="300" w:lineRule="auto"/>
        <w:rPr>
          <w:rStyle w:val="48"/>
          <w:bCs/>
          <w:szCs w:val="21"/>
        </w:rPr>
      </w:pPr>
      <w:bookmarkStart w:id="48" w:name="_Toc477512398"/>
      <w:r>
        <w:rPr>
          <w:sz w:val="21"/>
          <w:szCs w:val="21"/>
        </w:rPr>
        <w:t>分类</w:t>
      </w:r>
      <w:bookmarkEnd w:id="48"/>
    </w:p>
    <w:p w14:paraId="3938999C">
      <w:pPr>
        <w:snapToGrid w:val="0"/>
        <w:spacing w:beforeLines="20" w:line="300" w:lineRule="auto"/>
        <w:ind w:left="196"/>
        <w:jc w:val="center"/>
        <w:rPr>
          <w:rFonts w:ascii="Times New Roman" w:hAnsi="Times New Roman"/>
          <w:i/>
          <w:kern w:val="2"/>
          <w:szCs w:val="21"/>
        </w:rPr>
      </w:pPr>
      <w:r>
        <w:rPr>
          <w:rFonts w:ascii="Times New Roman" w:hAnsi="Times New Roman"/>
          <w:i/>
          <w:kern w:val="2"/>
          <w:szCs w:val="21"/>
        </w:rPr>
        <w:t>第51条</w:t>
      </w:r>
    </w:p>
    <w:p w14:paraId="678596E4">
      <w:pPr>
        <w:snapToGrid w:val="0"/>
        <w:spacing w:beforeLines="20" w:line="300" w:lineRule="auto"/>
        <w:ind w:left="196"/>
        <w:jc w:val="center"/>
        <w:rPr>
          <w:rFonts w:ascii="Times New Roman" w:hAnsi="Times New Roman"/>
          <w:b/>
          <w:kern w:val="2"/>
          <w:szCs w:val="21"/>
        </w:rPr>
      </w:pPr>
      <w:r>
        <w:rPr>
          <w:rFonts w:ascii="Times New Roman" w:hAnsi="Times New Roman"/>
          <w:b/>
          <w:kern w:val="2"/>
          <w:szCs w:val="21"/>
        </w:rPr>
        <w:t>器械分类</w:t>
      </w:r>
    </w:p>
    <w:p w14:paraId="73BDFC32">
      <w:pPr>
        <w:pStyle w:val="32"/>
        <w:numPr>
          <w:ilvl w:val="0"/>
          <w:numId w:val="52"/>
        </w:numPr>
        <w:tabs>
          <w:tab w:val="left" w:pos="687"/>
        </w:tabs>
        <w:topLinePunct/>
        <w:snapToGrid w:val="0"/>
        <w:spacing w:beforeLines="20" w:line="300" w:lineRule="auto"/>
        <w:ind w:hanging="572"/>
        <w:jc w:val="both"/>
        <w:rPr>
          <w:rFonts w:ascii="Times New Roman" w:hAnsi="Times New Roman"/>
          <w:kern w:val="2"/>
          <w:szCs w:val="21"/>
        </w:rPr>
      </w:pPr>
      <w:r>
        <w:rPr>
          <w:rFonts w:ascii="Times New Roman" w:hAnsi="Times New Roman"/>
          <w:kern w:val="2"/>
          <w:szCs w:val="21"/>
        </w:rPr>
        <w:t>根据器械的预期用途和其固有风险，医疗器械应分为I、IIa、IIb和III类。分类应按照附录VIII规定进行。</w:t>
      </w:r>
    </w:p>
    <w:p w14:paraId="075FF45B">
      <w:pPr>
        <w:pStyle w:val="32"/>
        <w:numPr>
          <w:ilvl w:val="0"/>
          <w:numId w:val="52"/>
        </w:numPr>
        <w:tabs>
          <w:tab w:val="left" w:pos="682"/>
        </w:tabs>
        <w:topLinePunct/>
        <w:snapToGrid w:val="0"/>
        <w:spacing w:beforeLines="25" w:line="300" w:lineRule="auto"/>
        <w:ind w:hanging="572"/>
        <w:jc w:val="both"/>
        <w:rPr>
          <w:rFonts w:ascii="Times New Roman" w:hAnsi="Times New Roman"/>
          <w:kern w:val="2"/>
          <w:szCs w:val="21"/>
        </w:rPr>
      </w:pPr>
      <w:r>
        <w:rPr>
          <w:rFonts w:ascii="Times New Roman" w:hAnsi="Times New Roman"/>
          <w:kern w:val="2"/>
          <w:szCs w:val="21"/>
        </w:rPr>
        <w:t>制造商和相关公告机构之间因应用附录VIII而产生的任何争议，应提交至制造商注册营业所在成员国主管机构做出裁定。对于未在欧盟注册营业地址也未指定授权代表的制造商，应提交至附录IX第2.2节（b）点最后一项中所述的授权代表注册营业所在成员国的主管机构。当相关公告机构</w:t>
      </w:r>
      <w:r>
        <w:rPr>
          <w:rFonts w:hint="eastAsia" w:ascii="Times New Roman" w:hAnsi="Times New Roman"/>
          <w:kern w:val="2"/>
          <w:szCs w:val="21"/>
        </w:rPr>
        <w:t>处于</w:t>
      </w:r>
      <w:r>
        <w:rPr>
          <w:rFonts w:ascii="Times New Roman" w:hAnsi="Times New Roman"/>
          <w:kern w:val="2"/>
          <w:szCs w:val="21"/>
        </w:rPr>
        <w:t>非制造商所在成员国时，主管机构应在与委任该公告机构的成员国主管机构咨询后方可通过其决议。</w:t>
      </w:r>
    </w:p>
    <w:p w14:paraId="27FA239C">
      <w:pPr>
        <w:pStyle w:val="8"/>
        <w:topLinePunct/>
        <w:snapToGrid w:val="0"/>
        <w:spacing w:beforeLines="25" w:line="300" w:lineRule="auto"/>
        <w:ind w:firstLine="0"/>
        <w:jc w:val="both"/>
        <w:rPr>
          <w:kern w:val="2"/>
          <w:szCs w:val="21"/>
        </w:rPr>
      </w:pPr>
      <w:r>
        <w:rPr>
          <w:kern w:val="2"/>
          <w:szCs w:val="21"/>
        </w:rPr>
        <w:t>具有营业注册地的制造商所在成员国的主管机构应将其决议告知MDCG及委员会。该决议可根据要求提供。</w:t>
      </w:r>
    </w:p>
    <w:p w14:paraId="2132F1EC">
      <w:pPr>
        <w:pStyle w:val="32"/>
        <w:numPr>
          <w:ilvl w:val="0"/>
          <w:numId w:val="52"/>
        </w:numPr>
        <w:tabs>
          <w:tab w:val="left" w:pos="684"/>
        </w:tabs>
        <w:topLinePunct/>
        <w:snapToGrid w:val="0"/>
        <w:spacing w:beforeLines="25" w:line="300" w:lineRule="auto"/>
        <w:ind w:left="684" w:hanging="570"/>
        <w:jc w:val="both"/>
        <w:rPr>
          <w:rFonts w:ascii="Times New Roman" w:hAnsi="Times New Roman"/>
          <w:kern w:val="2"/>
          <w:szCs w:val="21"/>
        </w:rPr>
      </w:pPr>
      <w:r>
        <w:rPr>
          <w:rFonts w:ascii="Times New Roman" w:hAnsi="Times New Roman"/>
          <w:kern w:val="2"/>
          <w:szCs w:val="21"/>
        </w:rPr>
        <w:t>应成员国要求，委员会应在咨询MDCG后通过实施细则，</w:t>
      </w:r>
      <w:r>
        <w:rPr>
          <w:rFonts w:hint="eastAsia" w:ascii="Times New Roman" w:hAnsi="Times New Roman"/>
          <w:kern w:val="2"/>
          <w:szCs w:val="21"/>
        </w:rPr>
        <w:t>并</w:t>
      </w:r>
      <w:r>
        <w:rPr>
          <w:rFonts w:ascii="Times New Roman" w:hAnsi="Times New Roman"/>
          <w:kern w:val="2"/>
          <w:szCs w:val="21"/>
        </w:rPr>
        <w:t>就以下项目做出决议：</w:t>
      </w:r>
    </w:p>
    <w:p w14:paraId="409963DF">
      <w:pPr>
        <w:pStyle w:val="32"/>
        <w:numPr>
          <w:ilvl w:val="1"/>
          <w:numId w:val="52"/>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对指定器械、类别或器械组使用附录VIII，</w:t>
      </w:r>
      <w:r>
        <w:rPr>
          <w:rFonts w:hint="eastAsia" w:ascii="Times New Roman" w:hAnsi="Times New Roman"/>
          <w:kern w:val="2"/>
          <w:szCs w:val="21"/>
        </w:rPr>
        <w:t>做出</w:t>
      </w:r>
      <w:r>
        <w:rPr>
          <w:rFonts w:ascii="Times New Roman" w:hAnsi="Times New Roman"/>
          <w:kern w:val="2"/>
          <w:szCs w:val="21"/>
        </w:rPr>
        <w:t>此类器械分类决议；</w:t>
      </w:r>
    </w:p>
    <w:p w14:paraId="5C932C94">
      <w:pPr>
        <w:pStyle w:val="32"/>
        <w:numPr>
          <w:ilvl w:val="1"/>
          <w:numId w:val="5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因公共健康原因，根据新的科学证据、或警戒和市场监管活动中</w:t>
      </w:r>
      <w:r>
        <w:rPr>
          <w:rFonts w:hint="eastAsia" w:ascii="Times New Roman" w:hAnsi="Times New Roman"/>
          <w:kern w:val="2"/>
          <w:szCs w:val="21"/>
        </w:rPr>
        <w:t>获取</w:t>
      </w:r>
      <w:r>
        <w:rPr>
          <w:rFonts w:ascii="Times New Roman" w:hAnsi="Times New Roman"/>
          <w:kern w:val="2"/>
          <w:szCs w:val="21"/>
        </w:rPr>
        <w:t>的任何信息，通过豁免附录VIII，为器械、类别或器械组进行重新分类。</w:t>
      </w:r>
    </w:p>
    <w:p w14:paraId="55E32219">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委员会也可在咨询MDCG后，通过实施细则自行决议第3段（a）和（b）点所述的问题。</w:t>
      </w:r>
    </w:p>
    <w:p w14:paraId="4655604B">
      <w:pPr>
        <w:pStyle w:val="32"/>
        <w:tabs>
          <w:tab w:val="left" w:pos="682"/>
        </w:tabs>
        <w:topLinePunct/>
        <w:snapToGrid w:val="0"/>
        <w:spacing w:beforeLines="25" w:line="300" w:lineRule="auto"/>
        <w:ind w:left="716" w:leftChars="60" w:hanging="590" w:hangingChars="281"/>
        <w:jc w:val="both"/>
        <w:rPr>
          <w:rFonts w:ascii="Times New Roman" w:hAnsi="Times New Roman"/>
          <w:kern w:val="2"/>
          <w:szCs w:val="21"/>
        </w:rPr>
      </w:pPr>
      <w:r>
        <w:rPr>
          <w:rFonts w:ascii="Times New Roman" w:hAnsi="Times New Roman"/>
          <w:kern w:val="2"/>
          <w:szCs w:val="21"/>
        </w:rPr>
        <w:t>5.</w:t>
      </w:r>
      <w:r>
        <w:rPr>
          <w:rFonts w:ascii="Times New Roman" w:hAnsi="Times New Roman"/>
          <w:kern w:val="2"/>
          <w:szCs w:val="21"/>
        </w:rPr>
        <w:tab/>
      </w:r>
      <w:r>
        <w:rPr>
          <w:rFonts w:ascii="Times New Roman" w:hAnsi="Times New Roman"/>
          <w:kern w:val="2"/>
          <w:szCs w:val="21"/>
        </w:rPr>
        <w:t>为保证附录VIII的统一适用，并考虑到相关科学委员会的相关科学观点，委员会可采取实施细则，以解决分歧和实际应用的问题。</w:t>
      </w:r>
    </w:p>
    <w:p w14:paraId="502D62C3">
      <w:pPr>
        <w:snapToGrid w:val="0"/>
        <w:spacing w:beforeLines="25" w:line="300" w:lineRule="auto"/>
        <w:ind w:left="716" w:leftChars="60" w:hanging="590" w:hangingChars="281"/>
        <w:rPr>
          <w:rFonts w:ascii="Times New Roman" w:hAnsi="Times New Roman"/>
          <w:kern w:val="2"/>
          <w:szCs w:val="21"/>
        </w:rPr>
      </w:pPr>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本条第3、4和5段中所述的实施细则应按照第114(3)条的审查流程予以通过。</w:t>
      </w:r>
    </w:p>
    <w:p w14:paraId="67C5EA0E">
      <w:pPr>
        <w:pStyle w:val="35"/>
        <w:spacing w:before="78" w:line="300" w:lineRule="auto"/>
        <w:rPr>
          <w:sz w:val="21"/>
          <w:szCs w:val="21"/>
        </w:rPr>
      </w:pPr>
      <w:bookmarkStart w:id="49" w:name="_Toc477512399"/>
    </w:p>
    <w:p w14:paraId="3309F0AC">
      <w:pPr>
        <w:pStyle w:val="35"/>
        <w:spacing w:before="78" w:line="300" w:lineRule="auto"/>
        <w:rPr>
          <w:sz w:val="21"/>
          <w:szCs w:val="21"/>
        </w:rPr>
      </w:pPr>
      <w:r>
        <w:rPr>
          <w:sz w:val="21"/>
          <w:szCs w:val="21"/>
        </w:rPr>
        <w:t>第2节</w:t>
      </w:r>
      <w:bookmarkEnd w:id="49"/>
    </w:p>
    <w:p w14:paraId="7058E372">
      <w:pPr>
        <w:pStyle w:val="35"/>
        <w:spacing w:before="78" w:line="300" w:lineRule="auto"/>
        <w:rPr>
          <w:sz w:val="21"/>
          <w:szCs w:val="21"/>
        </w:rPr>
      </w:pPr>
      <w:bookmarkStart w:id="50" w:name="_Toc477512400"/>
      <w:r>
        <w:rPr>
          <w:sz w:val="21"/>
          <w:szCs w:val="21"/>
        </w:rPr>
        <w:t>符合性评估</w:t>
      </w:r>
      <w:bookmarkEnd w:id="50"/>
    </w:p>
    <w:p w14:paraId="508FDD20">
      <w:pPr>
        <w:snapToGrid w:val="0"/>
        <w:spacing w:beforeLines="25" w:line="300" w:lineRule="auto"/>
        <w:ind w:left="196"/>
        <w:jc w:val="center"/>
        <w:rPr>
          <w:rFonts w:ascii="Times New Roman" w:hAnsi="Times New Roman"/>
          <w:i/>
          <w:kern w:val="2"/>
          <w:szCs w:val="21"/>
        </w:rPr>
      </w:pPr>
    </w:p>
    <w:p w14:paraId="50649DA1">
      <w:pPr>
        <w:snapToGrid w:val="0"/>
        <w:spacing w:beforeLines="25" w:line="300" w:lineRule="auto"/>
        <w:ind w:left="196"/>
        <w:jc w:val="center"/>
        <w:rPr>
          <w:rStyle w:val="48"/>
          <w:b/>
          <w:szCs w:val="21"/>
        </w:rPr>
      </w:pPr>
      <w:r>
        <w:rPr>
          <w:rFonts w:ascii="Times New Roman" w:hAnsi="Times New Roman"/>
          <w:i/>
          <w:kern w:val="2"/>
          <w:szCs w:val="21"/>
        </w:rPr>
        <w:t>第52条</w:t>
      </w:r>
    </w:p>
    <w:p w14:paraId="070D4779">
      <w:pPr>
        <w:snapToGrid w:val="0"/>
        <w:spacing w:beforeLines="25" w:line="300" w:lineRule="auto"/>
        <w:ind w:left="196"/>
        <w:jc w:val="center"/>
        <w:rPr>
          <w:rStyle w:val="48"/>
          <w:b/>
          <w:szCs w:val="21"/>
        </w:rPr>
      </w:pPr>
      <w:r>
        <w:rPr>
          <w:rFonts w:ascii="Times New Roman" w:hAnsi="Times New Roman"/>
          <w:b/>
          <w:kern w:val="2"/>
          <w:szCs w:val="21"/>
        </w:rPr>
        <w:t>符合性评估流程</w:t>
      </w:r>
    </w:p>
    <w:p w14:paraId="0A62790E">
      <w:pPr>
        <w:pStyle w:val="32"/>
        <w:numPr>
          <w:ilvl w:val="0"/>
          <w:numId w:val="53"/>
        </w:numPr>
        <w:tabs>
          <w:tab w:val="left" w:pos="684"/>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在器械投放市场之前，制造商应对该器械符合性进行评估。符合性评估流程见附录IX至XI。</w:t>
      </w:r>
    </w:p>
    <w:p w14:paraId="2164DCE1">
      <w:pPr>
        <w:pStyle w:val="8"/>
        <w:tabs>
          <w:tab w:val="left" w:pos="683"/>
        </w:tabs>
        <w:topLinePunct/>
        <w:snapToGrid w:val="0"/>
        <w:spacing w:beforeLines="25" w:line="300" w:lineRule="auto"/>
        <w:ind w:left="684" w:hanging="570"/>
        <w:jc w:val="both"/>
        <w:rPr>
          <w:kern w:val="2"/>
          <w:szCs w:val="21"/>
        </w:rPr>
      </w:pPr>
      <w:r>
        <w:rPr>
          <w:kern w:val="2"/>
          <w:szCs w:val="21"/>
        </w:rPr>
        <w:t>2.</w:t>
      </w:r>
      <w:r>
        <w:rPr>
          <w:kern w:val="2"/>
          <w:szCs w:val="21"/>
        </w:rPr>
        <w:tab/>
      </w:r>
      <w:r>
        <w:rPr>
          <w:kern w:val="2"/>
          <w:szCs w:val="21"/>
        </w:rPr>
        <w:t>在投放使用前，制造商应按照附录IX至XI中的符合性评估流程对未投放市场的器械进行符合性评估。。</w:t>
      </w:r>
    </w:p>
    <w:p w14:paraId="64094E0F">
      <w:pPr>
        <w:pStyle w:val="8"/>
        <w:tabs>
          <w:tab w:val="left" w:pos="683"/>
        </w:tabs>
        <w:topLinePunct/>
        <w:snapToGrid w:val="0"/>
        <w:spacing w:beforeLines="25" w:line="300" w:lineRule="auto"/>
        <w:ind w:left="684" w:hanging="570"/>
        <w:jc w:val="both"/>
        <w:rPr>
          <w:kern w:val="2"/>
          <w:szCs w:val="21"/>
        </w:rPr>
      </w:pPr>
      <w:r>
        <w:rPr>
          <w:kern w:val="2"/>
          <w:szCs w:val="21"/>
          <w:lang w:val="en-US"/>
        </w:rPr>
        <w:t>3.</w:t>
      </w:r>
      <w:r>
        <w:rPr>
          <w:kern w:val="2"/>
          <w:szCs w:val="21"/>
          <w:lang w:val="en-US"/>
        </w:rPr>
        <w:tab/>
      </w:r>
      <w:r>
        <w:rPr>
          <w:kern w:val="2"/>
          <w:szCs w:val="21"/>
        </w:rPr>
        <w:t>III类器械（非客户定制器械或研究器械）的制造商应依据附录IX中符合性评估的规定进行符合性评估。另外，制造商也可选择附录X规定的符合性评估联合附录XI规定的符合性评估进行符合性评估。</w:t>
      </w:r>
    </w:p>
    <w:p w14:paraId="38E0F2E4">
      <w:pPr>
        <w:pStyle w:val="8"/>
        <w:tabs>
          <w:tab w:val="left" w:pos="683"/>
        </w:tabs>
        <w:topLinePunct/>
        <w:snapToGrid w:val="0"/>
        <w:spacing w:beforeLines="25" w:line="300" w:lineRule="auto"/>
        <w:ind w:left="684" w:hanging="570"/>
        <w:jc w:val="both"/>
        <w:rPr>
          <w:kern w:val="2"/>
          <w:szCs w:val="21"/>
        </w:rPr>
      </w:pPr>
      <w:r>
        <w:rPr>
          <w:kern w:val="2"/>
          <w:szCs w:val="21"/>
        </w:rPr>
        <w:t>4.</w:t>
      </w:r>
      <w:r>
        <w:rPr>
          <w:kern w:val="2"/>
          <w:szCs w:val="21"/>
        </w:rPr>
        <w:tab/>
      </w:r>
      <w:r>
        <w:rPr>
          <w:kern w:val="2"/>
          <w:szCs w:val="21"/>
        </w:rPr>
        <w:t>IIb类器械（非客户定制器械或研究器械）的制造商应依据附录IX第I章和第III章规定的符合性评估（包括附录第4节中规定的对各同类器械组中至少一个代表性器械的技术文件评估）进行符合性评估。</w:t>
      </w:r>
    </w:p>
    <w:p w14:paraId="25E52950">
      <w:pPr>
        <w:pStyle w:val="32"/>
        <w:tabs>
          <w:tab w:val="left" w:pos="682"/>
        </w:tabs>
        <w:topLinePunct/>
        <w:snapToGrid w:val="0"/>
        <w:spacing w:beforeLines="25" w:line="300" w:lineRule="auto"/>
        <w:ind w:left="678" w:leftChars="323"/>
        <w:jc w:val="both"/>
        <w:rPr>
          <w:rFonts w:ascii="Times New Roman" w:hAnsi="Times New Roman"/>
          <w:kern w:val="2"/>
          <w:szCs w:val="21"/>
        </w:rPr>
      </w:pPr>
      <w:r>
        <w:rPr>
          <w:rFonts w:ascii="Times New Roman" w:hAnsi="Times New Roman"/>
          <w:kern w:val="2"/>
          <w:szCs w:val="21"/>
        </w:rPr>
        <w:t>然而对于IIb类可植入器械，但不包括缝线、U形钉、牙齿填充物、牙套、齿冠、螺钉、楔子、牙板、金属丝、针、小夹和连接体，附录IX第4节中所规定的技术文件评估应适用于每一器械。</w:t>
      </w:r>
    </w:p>
    <w:p w14:paraId="16CB8194">
      <w:pPr>
        <w:pStyle w:val="32"/>
        <w:tabs>
          <w:tab w:val="left" w:pos="682"/>
        </w:tabs>
        <w:topLinePunct/>
        <w:snapToGrid w:val="0"/>
        <w:spacing w:beforeLines="25" w:line="300" w:lineRule="auto"/>
        <w:ind w:left="678" w:leftChars="323"/>
        <w:jc w:val="both"/>
        <w:rPr>
          <w:rFonts w:ascii="Times New Roman" w:hAnsi="Times New Roman"/>
          <w:kern w:val="2"/>
          <w:szCs w:val="21"/>
        </w:rPr>
      </w:pPr>
      <w:r>
        <w:rPr>
          <w:rFonts w:ascii="Times New Roman" w:hAnsi="Times New Roman"/>
          <w:kern w:val="2"/>
          <w:szCs w:val="21"/>
        </w:rPr>
        <w:t>另外，制造商也可选择按照附录X规定的形式审核联合附录XI规定的基于产品符合性验证的符合性评估进行符合性评估。</w:t>
      </w:r>
    </w:p>
    <w:p w14:paraId="163AC2C5">
      <w:pPr>
        <w:pStyle w:val="8"/>
        <w:tabs>
          <w:tab w:val="left" w:pos="681"/>
        </w:tabs>
        <w:topLinePunct/>
        <w:snapToGrid w:val="0"/>
        <w:spacing w:beforeLines="50" w:line="300" w:lineRule="auto"/>
        <w:jc w:val="both"/>
        <w:rPr>
          <w:kern w:val="2"/>
          <w:szCs w:val="21"/>
        </w:rPr>
      </w:pPr>
      <w:r>
        <w:rPr>
          <w:kern w:val="2"/>
          <w:szCs w:val="21"/>
        </w:rPr>
        <w:t>5.</w:t>
      </w:r>
      <w:r>
        <w:rPr>
          <w:kern w:val="2"/>
          <w:szCs w:val="21"/>
        </w:rPr>
        <w:tab/>
      </w:r>
      <w:r>
        <w:rPr>
          <w:kern w:val="2"/>
          <w:szCs w:val="21"/>
        </w:rPr>
        <w:t>如理由充分，鉴于与本条第4段列表中器械所使用的成熟技术相似，此类技术可用于其他IIb类可植入器械，为保护患者、使用者或其他人员或其他方面的卫生安全，委员会应有权依照第115条以授权法案形式将其他IIb类植入器械添加到列表或从列表中删除，从而达到修订列表的目的。</w:t>
      </w:r>
    </w:p>
    <w:p w14:paraId="58C36181">
      <w:pPr>
        <w:pStyle w:val="8"/>
        <w:tabs>
          <w:tab w:val="left" w:pos="681"/>
        </w:tabs>
        <w:topLinePunct/>
        <w:snapToGrid w:val="0"/>
        <w:spacing w:beforeLines="50" w:line="300" w:lineRule="auto"/>
        <w:jc w:val="both"/>
        <w:rPr>
          <w:kern w:val="2"/>
          <w:szCs w:val="21"/>
        </w:rPr>
      </w:pPr>
      <w:r>
        <w:rPr>
          <w:kern w:val="2"/>
          <w:szCs w:val="21"/>
        </w:rPr>
        <w:t>6.</w:t>
      </w:r>
      <w:r>
        <w:rPr>
          <w:kern w:val="2"/>
          <w:szCs w:val="21"/>
        </w:rPr>
        <w:tab/>
      </w:r>
      <w:r>
        <w:rPr>
          <w:kern w:val="2"/>
          <w:szCs w:val="21"/>
        </w:rPr>
        <w:t>IIa类器械（非客户定制或研究器械）制造商应根据附录IX第</w:t>
      </w:r>
      <w:r>
        <w:rPr>
          <w:rFonts w:hint="eastAsia"/>
          <w:kern w:val="2"/>
          <w:szCs w:val="21"/>
        </w:rPr>
        <w:t>I</w:t>
      </w:r>
      <w:r>
        <w:rPr>
          <w:kern w:val="2"/>
          <w:szCs w:val="21"/>
        </w:rPr>
        <w:t>和III章规定的质量管理体系接受符合性评估，</w:t>
      </w:r>
      <w:r>
        <w:rPr>
          <w:rFonts w:hint="eastAsia"/>
          <w:kern w:val="2"/>
          <w:szCs w:val="21"/>
        </w:rPr>
        <w:t>并</w:t>
      </w:r>
      <w:r>
        <w:rPr>
          <w:kern w:val="2"/>
          <w:szCs w:val="21"/>
        </w:rPr>
        <w:t>应对各器械类别中至少一个代表性器械的</w:t>
      </w:r>
      <w:r>
        <w:rPr>
          <w:rFonts w:hint="eastAsia"/>
          <w:kern w:val="2"/>
          <w:szCs w:val="21"/>
        </w:rPr>
        <w:t>该</w:t>
      </w:r>
      <w:r>
        <w:rPr>
          <w:kern w:val="2"/>
          <w:szCs w:val="21"/>
        </w:rPr>
        <w:t>附录第</w:t>
      </w:r>
      <w:r>
        <w:rPr>
          <w:rFonts w:hint="eastAsia"/>
          <w:kern w:val="2"/>
          <w:szCs w:val="21"/>
        </w:rPr>
        <w:t>4节</w:t>
      </w:r>
      <w:r>
        <w:rPr>
          <w:kern w:val="2"/>
          <w:szCs w:val="21"/>
        </w:rPr>
        <w:t>所述技术文件进行评估。</w:t>
      </w:r>
    </w:p>
    <w:p w14:paraId="2CB1EE0E">
      <w:pPr>
        <w:pStyle w:val="8"/>
        <w:tabs>
          <w:tab w:val="left" w:pos="681"/>
        </w:tabs>
        <w:topLinePunct/>
        <w:snapToGrid w:val="0"/>
        <w:spacing w:beforeLines="50" w:line="300" w:lineRule="auto"/>
        <w:ind w:left="680" w:leftChars="324" w:firstLine="0"/>
        <w:jc w:val="both"/>
        <w:rPr>
          <w:kern w:val="2"/>
          <w:szCs w:val="21"/>
        </w:rPr>
      </w:pPr>
      <w:r>
        <w:rPr>
          <w:kern w:val="2"/>
          <w:szCs w:val="21"/>
        </w:rPr>
        <w:t>此外，制造商也可选择根据附录II和III及基于附录XI第10节或第第18节产品符合性验证的符合性评估起草技术文件。该技术文件评估应至少适用各器械类别中至少一个代表性器械。</w:t>
      </w:r>
    </w:p>
    <w:p w14:paraId="4F0EEE72">
      <w:pPr>
        <w:pStyle w:val="8"/>
        <w:tabs>
          <w:tab w:val="left" w:pos="681"/>
        </w:tabs>
        <w:topLinePunct/>
        <w:snapToGrid w:val="0"/>
        <w:spacing w:beforeLines="50" w:line="300" w:lineRule="auto"/>
        <w:ind w:left="680"/>
        <w:jc w:val="both"/>
        <w:rPr>
          <w:kern w:val="2"/>
          <w:szCs w:val="21"/>
        </w:rPr>
      </w:pPr>
      <w:r>
        <w:rPr>
          <w:kern w:val="2"/>
          <w:szCs w:val="21"/>
        </w:rPr>
        <w:t>7.</w:t>
      </w:r>
      <w:r>
        <w:rPr>
          <w:kern w:val="2"/>
          <w:szCs w:val="21"/>
        </w:rPr>
        <w:tab/>
      </w:r>
      <w:r>
        <w:rPr>
          <w:kern w:val="2"/>
          <w:szCs w:val="21"/>
        </w:rPr>
        <w:t>I类器械（非客户定制或研究器械）制造商在制定附录II和III规定的技术文件后，须通过签发第19条中的EU符合性声明，以声明其产品的符合性。若这些器械在无菌状态下投放市场，具有测定功能或为可重复使用手术器械，制造商应采用附录IX第I章和第III章或附录XI第A部分所述程序。但公告机构的介入应限于：</w:t>
      </w:r>
    </w:p>
    <w:p w14:paraId="481C3A19">
      <w:pPr>
        <w:pStyle w:val="32"/>
        <w:numPr>
          <w:ilvl w:val="1"/>
          <w:numId w:val="53"/>
        </w:numPr>
        <w:tabs>
          <w:tab w:val="left" w:pos="1248"/>
        </w:tabs>
        <w:topLinePunct/>
        <w:snapToGrid w:val="0"/>
        <w:spacing w:beforeLines="50" w:line="300" w:lineRule="auto"/>
        <w:ind w:left="1247"/>
        <w:jc w:val="both"/>
        <w:rPr>
          <w:rFonts w:ascii="Times New Roman" w:hAnsi="Times New Roman"/>
          <w:kern w:val="2"/>
          <w:szCs w:val="21"/>
        </w:rPr>
      </w:pPr>
      <w:r>
        <w:rPr>
          <w:rFonts w:ascii="Times New Roman" w:hAnsi="Times New Roman"/>
          <w:kern w:val="2"/>
          <w:szCs w:val="21"/>
        </w:rPr>
        <w:t>若此类器械在无菌状态下投放市场，则涉及建立、保障和保持无菌条件。</w:t>
      </w:r>
    </w:p>
    <w:p w14:paraId="697EC360">
      <w:pPr>
        <w:pStyle w:val="32"/>
        <w:numPr>
          <w:ilvl w:val="1"/>
          <w:numId w:val="53"/>
        </w:numPr>
        <w:tabs>
          <w:tab w:val="left" w:pos="1248"/>
        </w:tabs>
        <w:topLinePunct/>
        <w:snapToGrid w:val="0"/>
        <w:spacing w:beforeLines="50" w:line="300" w:lineRule="auto"/>
        <w:ind w:left="1247"/>
        <w:jc w:val="both"/>
        <w:rPr>
          <w:rFonts w:ascii="Times New Roman" w:hAnsi="Times New Roman"/>
          <w:kern w:val="2"/>
          <w:szCs w:val="21"/>
        </w:rPr>
      </w:pPr>
      <w:r>
        <w:rPr>
          <w:rFonts w:ascii="Times New Roman" w:hAnsi="Times New Roman"/>
          <w:kern w:val="2"/>
          <w:szCs w:val="21"/>
        </w:rPr>
        <w:t>若此类器械具有测定功能，则涉及器械符合计量要求的情况。</w:t>
      </w:r>
    </w:p>
    <w:p w14:paraId="22C2D4BD">
      <w:pPr>
        <w:pStyle w:val="32"/>
        <w:numPr>
          <w:ilvl w:val="1"/>
          <w:numId w:val="53"/>
        </w:numPr>
        <w:tabs>
          <w:tab w:val="left" w:pos="1248"/>
        </w:tabs>
        <w:topLinePunct/>
        <w:snapToGrid w:val="0"/>
        <w:spacing w:beforeLines="50" w:line="300" w:lineRule="auto"/>
        <w:ind w:left="1247"/>
        <w:jc w:val="both"/>
        <w:rPr>
          <w:rFonts w:ascii="Times New Roman" w:hAnsi="Times New Roman"/>
          <w:kern w:val="2"/>
          <w:szCs w:val="21"/>
        </w:rPr>
      </w:pPr>
      <w:r>
        <w:rPr>
          <w:rFonts w:ascii="Times New Roman" w:hAnsi="Times New Roman"/>
          <w:kern w:val="2"/>
          <w:szCs w:val="21"/>
        </w:rPr>
        <w:t>若是可重复使用手术器械，则涉及器械的可重复利用，特别是清洗、消毒、杀菌、维护、功能测试和相关使用说明书。</w:t>
      </w:r>
    </w:p>
    <w:p w14:paraId="51DF509B">
      <w:pPr>
        <w:pStyle w:val="32"/>
        <w:tabs>
          <w:tab w:val="left" w:pos="682"/>
        </w:tabs>
        <w:topLinePunct/>
        <w:snapToGrid w:val="0"/>
        <w:spacing w:beforeLines="50" w:line="300" w:lineRule="auto"/>
        <w:ind w:left="628" w:leftChars="46" w:hanging="531" w:hangingChars="253"/>
        <w:jc w:val="both"/>
        <w:rPr>
          <w:rFonts w:ascii="Times New Roman" w:hAnsi="Times New Roman"/>
          <w:kern w:val="2"/>
          <w:szCs w:val="21"/>
        </w:rPr>
      </w:pPr>
      <w:r>
        <w:rPr>
          <w:rFonts w:ascii="Times New Roman" w:hAnsi="Times New Roman"/>
          <w:kern w:val="2"/>
          <w:szCs w:val="21"/>
        </w:rPr>
        <w:t>8.</w:t>
      </w:r>
      <w:r>
        <w:rPr>
          <w:rFonts w:ascii="Times New Roman" w:hAnsi="Times New Roman"/>
          <w:kern w:val="2"/>
          <w:szCs w:val="21"/>
        </w:rPr>
        <w:tab/>
      </w:r>
      <w:r>
        <w:rPr>
          <w:rFonts w:ascii="Times New Roman" w:hAnsi="Times New Roman"/>
          <w:kern w:val="2"/>
          <w:szCs w:val="21"/>
        </w:rPr>
        <w:t>客户定制器械的制造商应遵循附录XIII所述程序并按照</w:t>
      </w:r>
      <w:r>
        <w:rPr>
          <w:rFonts w:hint="eastAsia" w:ascii="Times New Roman" w:hAnsi="Times New Roman"/>
          <w:kern w:val="2"/>
          <w:szCs w:val="21"/>
        </w:rPr>
        <w:t>该</w:t>
      </w:r>
      <w:r>
        <w:rPr>
          <w:rFonts w:ascii="Times New Roman" w:hAnsi="Times New Roman"/>
          <w:kern w:val="2"/>
          <w:szCs w:val="21"/>
        </w:rPr>
        <w:t>附录第1节规定起草声明后再将该器械投放市场。</w:t>
      </w:r>
    </w:p>
    <w:p w14:paraId="61C07F57">
      <w:pPr>
        <w:pStyle w:val="8"/>
        <w:topLinePunct/>
        <w:snapToGrid w:val="0"/>
        <w:spacing w:beforeLines="50" w:line="300" w:lineRule="auto"/>
        <w:ind w:left="625" w:leftChars="293" w:hanging="10" w:hangingChars="5"/>
        <w:jc w:val="both"/>
        <w:rPr>
          <w:kern w:val="2"/>
          <w:szCs w:val="21"/>
        </w:rPr>
      </w:pPr>
      <w:r>
        <w:rPr>
          <w:kern w:val="2"/>
          <w:szCs w:val="21"/>
        </w:rPr>
        <w:t>根据第一子段的适用程序，III类客户定制植入器械的制造商应遵循附录IX第I章规定的符合性评估流程。此外，制造商根据附录XI第A部分规定，可选择应用符合性评估。</w:t>
      </w:r>
    </w:p>
    <w:p w14:paraId="1812C74D">
      <w:pPr>
        <w:pStyle w:val="8"/>
        <w:tabs>
          <w:tab w:val="left" w:pos="681"/>
        </w:tabs>
        <w:topLinePunct/>
        <w:snapToGrid w:val="0"/>
        <w:spacing w:beforeLines="50" w:line="300" w:lineRule="auto"/>
        <w:ind w:left="628" w:leftChars="46" w:hanging="531" w:hangingChars="253"/>
        <w:jc w:val="both"/>
        <w:rPr>
          <w:kern w:val="2"/>
          <w:szCs w:val="21"/>
        </w:rPr>
      </w:pPr>
      <w:r>
        <w:rPr>
          <w:kern w:val="2"/>
          <w:szCs w:val="21"/>
        </w:rPr>
        <w:t>9.</w:t>
      </w:r>
      <w:r>
        <w:rPr>
          <w:kern w:val="2"/>
          <w:szCs w:val="21"/>
        </w:rPr>
        <w:tab/>
      </w:r>
      <w:r>
        <w:rPr>
          <w:kern w:val="2"/>
          <w:szCs w:val="21"/>
        </w:rPr>
        <w:t>除根据本条第3、4、6或7</w:t>
      </w:r>
      <w:r>
        <w:rPr>
          <w:rFonts w:hint="eastAsia"/>
          <w:kern w:val="2"/>
          <w:szCs w:val="21"/>
        </w:rPr>
        <w:t>段</w:t>
      </w:r>
      <w:r>
        <w:rPr>
          <w:kern w:val="2"/>
          <w:szCs w:val="21"/>
        </w:rPr>
        <w:t>所适用的程序外，在第1（8）条所指器械的情况下，附录IX第5.2节或附录X第6节所规定的程序应适用。</w:t>
      </w:r>
    </w:p>
    <w:p w14:paraId="38EE836B">
      <w:pPr>
        <w:snapToGrid w:val="0"/>
        <w:spacing w:beforeLines="50" w:line="300" w:lineRule="auto"/>
        <w:ind w:left="628" w:leftChars="46" w:hanging="531" w:hangingChars="253"/>
        <w:rPr>
          <w:rFonts w:ascii="Times New Roman" w:hAnsi="Times New Roman"/>
          <w:kern w:val="2"/>
          <w:szCs w:val="21"/>
        </w:rPr>
      </w:pPr>
      <w:r>
        <w:rPr>
          <w:rFonts w:ascii="Times New Roman" w:hAnsi="Times New Roman"/>
          <w:kern w:val="2"/>
          <w:szCs w:val="21"/>
        </w:rPr>
        <w:t>10</w:t>
      </w:r>
      <w:r>
        <w:rPr>
          <w:rFonts w:ascii="Times New Roman" w:hAnsi="Times New Roman"/>
          <w:kern w:val="2"/>
          <w:szCs w:val="21"/>
        </w:rPr>
        <w:tab/>
      </w:r>
      <w:r>
        <w:rPr>
          <w:kern w:val="2"/>
          <w:szCs w:val="21"/>
        </w:rPr>
        <w:t>除根据本条第3、4、6或7</w:t>
      </w:r>
      <w:r>
        <w:rPr>
          <w:rFonts w:hint="eastAsia"/>
          <w:kern w:val="2"/>
          <w:szCs w:val="21"/>
        </w:rPr>
        <w:t>段</w:t>
      </w:r>
      <w:r>
        <w:rPr>
          <w:kern w:val="2"/>
          <w:szCs w:val="21"/>
        </w:rPr>
        <w:t>所适用的程序外，</w:t>
      </w:r>
      <w:r>
        <w:rPr>
          <w:rFonts w:ascii="Times New Roman" w:hAnsi="Times New Roman"/>
          <w:kern w:val="2"/>
          <w:szCs w:val="21"/>
        </w:rPr>
        <w:t>如根据本法规所涵盖的符合第1（6）条（f）点或（g）点及第1（10）条第一</w:t>
      </w:r>
      <w:r>
        <w:rPr>
          <w:rFonts w:hint="eastAsia" w:ascii="Times New Roman" w:hAnsi="Times New Roman"/>
          <w:kern w:val="2"/>
          <w:szCs w:val="21"/>
        </w:rPr>
        <w:t>子</w:t>
      </w:r>
      <w:r>
        <w:rPr>
          <w:rFonts w:ascii="Times New Roman" w:hAnsi="Times New Roman"/>
          <w:kern w:val="2"/>
          <w:szCs w:val="21"/>
        </w:rPr>
        <w:t>段的器械，附录IX第5.3节或附录X第6节规定的程序也应当适用（如</w:t>
      </w:r>
      <w:r>
        <w:rPr>
          <w:rFonts w:hint="eastAsia" w:ascii="Times New Roman" w:hAnsi="Times New Roman"/>
          <w:kern w:val="2"/>
          <w:szCs w:val="21"/>
        </w:rPr>
        <w:t>适当</w:t>
      </w:r>
      <w:r>
        <w:rPr>
          <w:rFonts w:ascii="Times New Roman" w:hAnsi="Times New Roman"/>
          <w:kern w:val="2"/>
          <w:szCs w:val="21"/>
        </w:rPr>
        <w:t>）。</w:t>
      </w:r>
    </w:p>
    <w:p w14:paraId="5F294579">
      <w:pPr>
        <w:snapToGrid w:val="0"/>
        <w:spacing w:beforeLines="50" w:line="300" w:lineRule="auto"/>
        <w:ind w:left="627" w:leftChars="73" w:hanging="474" w:hangingChars="226"/>
        <w:rPr>
          <w:rFonts w:ascii="Times New Roman" w:hAnsi="Times New Roman"/>
          <w:kern w:val="2"/>
          <w:szCs w:val="21"/>
        </w:rPr>
      </w:pPr>
      <w:r>
        <w:rPr>
          <w:rFonts w:ascii="Times New Roman" w:hAnsi="Times New Roman"/>
          <w:kern w:val="2"/>
          <w:szCs w:val="21"/>
        </w:rPr>
        <w:t>11.</w:t>
      </w:r>
      <w:r>
        <w:rPr>
          <w:rFonts w:ascii="Times New Roman" w:hAnsi="Times New Roman"/>
          <w:kern w:val="2"/>
          <w:szCs w:val="21"/>
        </w:rPr>
        <w:tab/>
      </w:r>
      <w:r>
        <w:rPr>
          <w:kern w:val="2"/>
          <w:szCs w:val="21"/>
        </w:rPr>
        <w:t>除根据本条第3、4、6或7</w:t>
      </w:r>
      <w:r>
        <w:rPr>
          <w:rFonts w:hint="eastAsia"/>
          <w:kern w:val="2"/>
          <w:szCs w:val="21"/>
        </w:rPr>
        <w:t>段</w:t>
      </w:r>
      <w:r>
        <w:rPr>
          <w:kern w:val="2"/>
          <w:szCs w:val="21"/>
        </w:rPr>
        <w:t>所适用的程序外，</w:t>
      </w:r>
      <w:r>
        <w:rPr>
          <w:rFonts w:ascii="Times New Roman" w:hAnsi="Times New Roman"/>
          <w:kern w:val="2"/>
          <w:szCs w:val="21"/>
        </w:rPr>
        <w:t>在器械通过体孔将包含的药物或合成物送入人体或通过</w:t>
      </w:r>
      <w:r>
        <w:rPr>
          <w:rFonts w:hint="eastAsia" w:ascii="Times New Roman" w:hAnsi="Times New Roman"/>
          <w:kern w:val="2"/>
          <w:szCs w:val="21"/>
        </w:rPr>
        <w:t>涂抹</w:t>
      </w:r>
      <w:r>
        <w:rPr>
          <w:rFonts w:ascii="Times New Roman" w:hAnsi="Times New Roman"/>
          <w:kern w:val="2"/>
          <w:szCs w:val="21"/>
        </w:rPr>
        <w:t>于皮肤后被人体吸收或在局部扩散的情况下，附录IX第5.4节或附录X第6节的规定也应当适用（如适</w:t>
      </w:r>
      <w:r>
        <w:rPr>
          <w:rFonts w:hint="eastAsia" w:ascii="Times New Roman" w:hAnsi="Times New Roman"/>
          <w:kern w:val="2"/>
          <w:szCs w:val="21"/>
        </w:rPr>
        <w:t>当</w:t>
      </w:r>
      <w:r>
        <w:rPr>
          <w:rFonts w:ascii="Times New Roman" w:hAnsi="Times New Roman"/>
          <w:kern w:val="2"/>
          <w:szCs w:val="21"/>
        </w:rPr>
        <w:t>）。</w:t>
      </w:r>
    </w:p>
    <w:p w14:paraId="778E441D">
      <w:pPr>
        <w:snapToGrid w:val="0"/>
        <w:spacing w:beforeLines="50" w:line="300" w:lineRule="auto"/>
        <w:ind w:left="627" w:leftChars="73" w:hanging="474" w:hangingChars="226"/>
        <w:rPr>
          <w:rFonts w:ascii="Times New Roman" w:hAnsi="Times New Roman"/>
          <w:kern w:val="2"/>
          <w:szCs w:val="21"/>
        </w:rPr>
      </w:pPr>
      <w:r>
        <w:rPr>
          <w:rFonts w:ascii="Times New Roman" w:hAnsi="Times New Roman"/>
          <w:kern w:val="2"/>
          <w:szCs w:val="21"/>
        </w:rPr>
        <w:t>12.</w:t>
      </w:r>
      <w:r>
        <w:rPr>
          <w:rFonts w:ascii="Times New Roman" w:hAnsi="Times New Roman"/>
          <w:kern w:val="2"/>
          <w:szCs w:val="21"/>
        </w:rPr>
        <w:tab/>
      </w:r>
      <w:r>
        <w:rPr>
          <w:rFonts w:ascii="Times New Roman" w:hAnsi="Times New Roman"/>
          <w:kern w:val="2"/>
          <w:szCs w:val="21"/>
        </w:rPr>
        <w:t>成员国境内的公告机构可决议，与第7和9至11段所述程序相关的所有或某些文件，</w:t>
      </w:r>
      <w:r>
        <w:rPr>
          <w:rFonts w:hint="eastAsia" w:ascii="Times New Roman" w:hAnsi="Times New Roman"/>
          <w:kern w:val="2"/>
          <w:szCs w:val="21"/>
        </w:rPr>
        <w:t>其中</w:t>
      </w:r>
      <w:r>
        <w:rPr>
          <w:rFonts w:ascii="Times New Roman" w:hAnsi="Times New Roman"/>
          <w:kern w:val="2"/>
          <w:szCs w:val="21"/>
        </w:rPr>
        <w:t>包括技术文件、审计、评估和检验报告，</w:t>
      </w:r>
      <w:r>
        <w:rPr>
          <w:rFonts w:hint="eastAsia" w:ascii="Times New Roman" w:hAnsi="Times New Roman"/>
          <w:kern w:val="2"/>
          <w:szCs w:val="21"/>
        </w:rPr>
        <w:t>并</w:t>
      </w:r>
      <w:r>
        <w:rPr>
          <w:rFonts w:ascii="Times New Roman" w:hAnsi="Times New Roman"/>
          <w:kern w:val="2"/>
          <w:szCs w:val="21"/>
        </w:rPr>
        <w:t>应当</w:t>
      </w:r>
      <w:r>
        <w:rPr>
          <w:rFonts w:hint="eastAsia" w:ascii="Times New Roman" w:hAnsi="Times New Roman"/>
          <w:kern w:val="2"/>
          <w:szCs w:val="21"/>
        </w:rPr>
        <w:t>使</w:t>
      </w:r>
      <w:r>
        <w:rPr>
          <w:rFonts w:ascii="Times New Roman" w:hAnsi="Times New Roman"/>
          <w:kern w:val="2"/>
          <w:szCs w:val="21"/>
        </w:rPr>
        <w:t>用相关成员国的欧盟官方语言</w:t>
      </w:r>
      <w:r>
        <w:rPr>
          <w:rFonts w:hint="eastAsia" w:ascii="Times New Roman" w:hAnsi="Times New Roman"/>
          <w:kern w:val="2"/>
          <w:szCs w:val="21"/>
        </w:rPr>
        <w:t>编写</w:t>
      </w:r>
      <w:r>
        <w:rPr>
          <w:rFonts w:ascii="Times New Roman" w:hAnsi="Times New Roman"/>
          <w:kern w:val="2"/>
          <w:szCs w:val="21"/>
        </w:rPr>
        <w:t>。在无此类要求情况下，这些文件应</w:t>
      </w:r>
      <w:r>
        <w:rPr>
          <w:rFonts w:hint="eastAsia" w:ascii="Times New Roman" w:hAnsi="Times New Roman"/>
          <w:kern w:val="2"/>
          <w:szCs w:val="21"/>
        </w:rPr>
        <w:t>使</w:t>
      </w:r>
      <w:r>
        <w:rPr>
          <w:rFonts w:ascii="Times New Roman" w:hAnsi="Times New Roman"/>
          <w:kern w:val="2"/>
          <w:szCs w:val="21"/>
        </w:rPr>
        <w:t>用公告机构可接受的欧盟官方语言</w:t>
      </w:r>
      <w:r>
        <w:rPr>
          <w:rFonts w:hint="eastAsia" w:ascii="Times New Roman" w:hAnsi="Times New Roman"/>
          <w:kern w:val="2"/>
          <w:szCs w:val="21"/>
        </w:rPr>
        <w:t>编</w:t>
      </w:r>
      <w:r>
        <w:rPr>
          <w:rFonts w:ascii="Times New Roman" w:hAnsi="Times New Roman"/>
          <w:kern w:val="2"/>
          <w:szCs w:val="21"/>
        </w:rPr>
        <w:t>写。</w:t>
      </w:r>
    </w:p>
    <w:p w14:paraId="75BBC462">
      <w:pPr>
        <w:pStyle w:val="32"/>
        <w:tabs>
          <w:tab w:val="left" w:pos="682"/>
        </w:tabs>
        <w:topLinePunct/>
        <w:snapToGrid w:val="0"/>
        <w:spacing w:beforeLines="50" w:line="300" w:lineRule="auto"/>
        <w:ind w:left="627" w:leftChars="73" w:hanging="474" w:hangingChars="226"/>
        <w:jc w:val="both"/>
        <w:rPr>
          <w:rFonts w:ascii="Times New Roman" w:hAnsi="Times New Roman"/>
          <w:kern w:val="2"/>
          <w:szCs w:val="21"/>
        </w:rPr>
      </w:pPr>
      <w:r>
        <w:rPr>
          <w:rFonts w:ascii="Times New Roman" w:hAnsi="Times New Roman"/>
          <w:kern w:val="2"/>
          <w:szCs w:val="21"/>
        </w:rPr>
        <w:t>13.</w:t>
      </w:r>
      <w:r>
        <w:rPr>
          <w:rFonts w:ascii="Times New Roman" w:hAnsi="Times New Roman"/>
          <w:kern w:val="2"/>
          <w:szCs w:val="21"/>
        </w:rPr>
        <w:tab/>
      </w:r>
      <w:r>
        <w:rPr>
          <w:rFonts w:ascii="Times New Roman" w:hAnsi="Times New Roman"/>
          <w:kern w:val="2"/>
          <w:szCs w:val="21"/>
        </w:rPr>
        <w:t>研究器械应遵守第62至81条的要求。</w:t>
      </w:r>
    </w:p>
    <w:p w14:paraId="5D161EDD">
      <w:pPr>
        <w:snapToGrid w:val="0"/>
        <w:spacing w:beforeLines="25" w:line="300" w:lineRule="auto"/>
        <w:ind w:left="627" w:leftChars="73" w:hanging="474" w:hangingChars="226"/>
        <w:rPr>
          <w:rFonts w:ascii="Times New Roman" w:hAnsi="Times New Roman"/>
          <w:kern w:val="2"/>
          <w:szCs w:val="21"/>
        </w:rPr>
      </w:pPr>
      <w:r>
        <w:rPr>
          <w:rFonts w:ascii="Times New Roman" w:hAnsi="Times New Roman"/>
          <w:kern w:val="2"/>
          <w:szCs w:val="21"/>
        </w:rPr>
        <w:t>14.</w:t>
      </w:r>
      <w:r>
        <w:rPr>
          <w:rFonts w:ascii="Times New Roman" w:hAnsi="Times New Roman"/>
          <w:kern w:val="2"/>
          <w:szCs w:val="21"/>
        </w:rPr>
        <w:tab/>
      </w:r>
      <w:r>
        <w:rPr>
          <w:rFonts w:ascii="Times New Roman" w:hAnsi="Times New Roman"/>
          <w:kern w:val="2"/>
          <w:szCs w:val="21"/>
        </w:rPr>
        <w:t>委员会可通过实施细则，规定详细安排和程序等问题，以确保公告机构在以下方面协调应用符合性评估流程：</w:t>
      </w:r>
    </w:p>
    <w:p w14:paraId="7AABB0E9">
      <w:pPr>
        <w:pStyle w:val="32"/>
        <w:topLinePunct/>
        <w:snapToGrid w:val="0"/>
        <w:spacing w:beforeLines="25" w:line="300" w:lineRule="auto"/>
        <w:ind w:left="1188" w:leftChars="300" w:hanging="558" w:hangingChars="266"/>
        <w:jc w:val="both"/>
        <w:rPr>
          <w:rFonts w:ascii="Times New Roman" w:hAnsi="Times New Roman"/>
          <w:kern w:val="2"/>
          <w:szCs w:val="21"/>
        </w:rPr>
      </w:pPr>
      <w:r>
        <w:rPr>
          <w:rFonts w:ascii="Times New Roman" w:hAnsi="Times New Roman"/>
          <w:kern w:val="2"/>
          <w:szCs w:val="21"/>
        </w:rPr>
        <w:t>(a)</w:t>
      </w:r>
      <w:r>
        <w:rPr>
          <w:rFonts w:ascii="Times New Roman" w:hAnsi="Times New Roman"/>
          <w:kern w:val="2"/>
          <w:szCs w:val="21"/>
        </w:rPr>
        <w:tab/>
      </w:r>
      <w:r>
        <w:rPr>
          <w:rFonts w:ascii="Times New Roman" w:hAnsi="Times New Roman"/>
          <w:kern w:val="2"/>
          <w:szCs w:val="21"/>
        </w:rPr>
        <w:t>附录IX第2.3节和第3.5节第三段有关IIa类器械和IIb类器械以及附录XI第10.2节有关IIa类器械代表性技术文件评估频率和抽样评估结果。</w:t>
      </w:r>
    </w:p>
    <w:p w14:paraId="71DFF28E">
      <w:pPr>
        <w:pStyle w:val="32"/>
        <w:topLinePunct/>
        <w:snapToGrid w:val="0"/>
        <w:spacing w:beforeLines="25" w:line="300" w:lineRule="auto"/>
        <w:ind w:left="1188" w:leftChars="300" w:hanging="558" w:hangingChars="266"/>
        <w:jc w:val="both"/>
        <w:rPr>
          <w:rFonts w:ascii="Times New Roman" w:hAnsi="Times New Roman"/>
          <w:kern w:val="2"/>
          <w:szCs w:val="21"/>
        </w:rPr>
      </w:pPr>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公告机构按照附录IX第3.4节进行的突击现场审核和抽样</w:t>
      </w:r>
      <w:r>
        <w:rPr>
          <w:rFonts w:hint="eastAsia" w:ascii="Times New Roman" w:hAnsi="Times New Roman"/>
          <w:kern w:val="2"/>
          <w:szCs w:val="21"/>
        </w:rPr>
        <w:t>测试</w:t>
      </w:r>
      <w:r>
        <w:rPr>
          <w:rFonts w:ascii="Times New Roman" w:hAnsi="Times New Roman"/>
          <w:kern w:val="2"/>
          <w:szCs w:val="21"/>
        </w:rPr>
        <w:t>的最低频率，应考虑风险级别和器械的类型；</w:t>
      </w:r>
    </w:p>
    <w:p w14:paraId="592F9A44">
      <w:pPr>
        <w:pStyle w:val="32"/>
        <w:topLinePunct/>
        <w:snapToGrid w:val="0"/>
        <w:spacing w:beforeLines="25" w:line="300" w:lineRule="auto"/>
        <w:ind w:left="1188" w:leftChars="300" w:hanging="558" w:hangingChars="266"/>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公告机构根据附录IX第3.4节和第4.3节、附录X第3节以及附录XI第第15节规定通过抽样测试、技术文件评估和形式检验而进行物理测试、实验室测试或其他测试。</w:t>
      </w:r>
    </w:p>
    <w:p w14:paraId="10E2470B">
      <w:pPr>
        <w:pStyle w:val="8"/>
        <w:topLinePunct/>
        <w:snapToGrid w:val="0"/>
        <w:spacing w:beforeLines="25" w:line="300" w:lineRule="auto"/>
        <w:ind w:firstLine="0"/>
        <w:jc w:val="both"/>
        <w:rPr>
          <w:kern w:val="2"/>
          <w:szCs w:val="21"/>
        </w:rPr>
      </w:pPr>
      <w:r>
        <w:rPr>
          <w:kern w:val="2"/>
          <w:szCs w:val="21"/>
        </w:rPr>
        <w:t>应按照第114(3)条中述及的审查规程通过这些第一子段中所述的实施细则。</w:t>
      </w:r>
    </w:p>
    <w:p w14:paraId="44205658">
      <w:pPr>
        <w:snapToGrid w:val="0"/>
        <w:spacing w:beforeLines="25" w:line="300" w:lineRule="auto"/>
        <w:ind w:left="196"/>
        <w:jc w:val="center"/>
        <w:rPr>
          <w:rFonts w:ascii="Times New Roman" w:hAnsi="Times New Roman"/>
          <w:i/>
          <w:kern w:val="2"/>
          <w:szCs w:val="21"/>
        </w:rPr>
      </w:pPr>
    </w:p>
    <w:p w14:paraId="276053F9">
      <w:pPr>
        <w:snapToGrid w:val="0"/>
        <w:spacing w:beforeLines="25" w:line="300" w:lineRule="auto"/>
        <w:ind w:left="196"/>
        <w:jc w:val="center"/>
        <w:rPr>
          <w:rStyle w:val="48"/>
          <w:b/>
          <w:szCs w:val="21"/>
        </w:rPr>
      </w:pPr>
      <w:r>
        <w:rPr>
          <w:rFonts w:ascii="Times New Roman" w:hAnsi="Times New Roman"/>
          <w:i/>
          <w:kern w:val="2"/>
          <w:szCs w:val="21"/>
        </w:rPr>
        <w:t>第53条</w:t>
      </w:r>
    </w:p>
    <w:p w14:paraId="4B59BF53">
      <w:pPr>
        <w:snapToGrid w:val="0"/>
        <w:spacing w:beforeLines="25" w:line="300" w:lineRule="auto"/>
        <w:ind w:left="196"/>
        <w:jc w:val="center"/>
        <w:rPr>
          <w:rStyle w:val="48"/>
          <w:b/>
          <w:szCs w:val="21"/>
        </w:rPr>
      </w:pPr>
      <w:r>
        <w:rPr>
          <w:rFonts w:ascii="Times New Roman" w:hAnsi="Times New Roman"/>
          <w:b/>
          <w:kern w:val="2"/>
          <w:szCs w:val="21"/>
        </w:rPr>
        <w:t>公告机构参与符合性评估流程</w:t>
      </w:r>
    </w:p>
    <w:p w14:paraId="321127A1">
      <w:pPr>
        <w:pStyle w:val="32"/>
        <w:numPr>
          <w:ilvl w:val="0"/>
          <w:numId w:val="5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凡符合性评估流程需要公告机构的参与，制造商可向公告机构申请其选择，前提是已委任选定公告机构进行有关类型器械的符合性评估活动。对于同一符合性评估流程，</w:t>
      </w:r>
      <w:r>
        <w:rPr>
          <w:rFonts w:hint="eastAsia" w:ascii="Times New Roman" w:hAnsi="Times New Roman"/>
          <w:kern w:val="2"/>
          <w:szCs w:val="21"/>
        </w:rPr>
        <w:t>制造商</w:t>
      </w:r>
      <w:r>
        <w:rPr>
          <w:rFonts w:ascii="Times New Roman" w:hAnsi="Times New Roman"/>
          <w:kern w:val="2"/>
          <w:szCs w:val="21"/>
        </w:rPr>
        <w:t>无法向其他公告机构平行提出同一份申请。</w:t>
      </w:r>
    </w:p>
    <w:p w14:paraId="5E049F34">
      <w:pPr>
        <w:pStyle w:val="32"/>
        <w:numPr>
          <w:ilvl w:val="0"/>
          <w:numId w:val="5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在做出关于符合性评估决议前，有关公告机构应通过第57条中所述的电子系统通知给其他公告机构已撤销申请的制造商。</w:t>
      </w:r>
    </w:p>
    <w:p w14:paraId="7F269F96">
      <w:pPr>
        <w:pStyle w:val="8"/>
        <w:tabs>
          <w:tab w:val="left" w:pos="681"/>
        </w:tabs>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根据第1段规定申请公告机构时，制造商在该公告机构决议前应声明其已经撤销了其他公告机构的申请，并提供已被其他公告机构拒绝的同一符合性评估的前申请信息</w:t>
      </w:r>
    </w:p>
    <w:p w14:paraId="5F2C8C25">
      <w:pPr>
        <w:pStyle w:val="32"/>
        <w:tabs>
          <w:tab w:val="left" w:pos="682"/>
        </w:tabs>
        <w:topLinePunct/>
        <w:snapToGrid w:val="0"/>
        <w:spacing w:beforeLines="25" w:line="300" w:lineRule="auto"/>
        <w:ind w:left="707" w:leftChars="60" w:hanging="581" w:hangingChars="277"/>
        <w:jc w:val="both"/>
        <w:rPr>
          <w:rFonts w:ascii="Times New Roman" w:hAnsi="Times New Roman"/>
          <w:kern w:val="2"/>
          <w:szCs w:val="21"/>
        </w:rPr>
      </w:pPr>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rPr>
        <w:t>公告机构可要求制造商提供任何信息或数据，以适当开展选定的符合性评估流程。</w:t>
      </w:r>
    </w:p>
    <w:p w14:paraId="1C2ACBAC">
      <w:pPr>
        <w:pStyle w:val="32"/>
        <w:tabs>
          <w:tab w:val="left" w:pos="682"/>
        </w:tabs>
        <w:topLinePunct/>
        <w:snapToGrid w:val="0"/>
        <w:spacing w:beforeLines="25" w:line="300" w:lineRule="auto"/>
        <w:ind w:left="707" w:leftChars="60" w:hanging="581" w:hangingChars="277"/>
        <w:jc w:val="both"/>
        <w:rPr>
          <w:rFonts w:ascii="Times New Roman" w:hAnsi="Times New Roman"/>
          <w:kern w:val="2"/>
          <w:szCs w:val="21"/>
        </w:rPr>
      </w:pPr>
      <w:r>
        <w:rPr>
          <w:rFonts w:ascii="Times New Roman" w:hAnsi="Times New Roman"/>
          <w:kern w:val="2"/>
          <w:szCs w:val="21"/>
        </w:rPr>
        <w:t>5.</w:t>
      </w:r>
      <w:r>
        <w:rPr>
          <w:rFonts w:ascii="Times New Roman" w:hAnsi="Times New Roman"/>
          <w:kern w:val="2"/>
          <w:szCs w:val="21"/>
        </w:rPr>
        <w:tab/>
      </w:r>
      <w:r>
        <w:rPr>
          <w:rFonts w:ascii="Times New Roman" w:hAnsi="Times New Roman"/>
          <w:kern w:val="2"/>
          <w:szCs w:val="21"/>
        </w:rPr>
        <w:t>公告机构以及公告机构人员必须具备执行符合性评估活动的最高级别职业操守、必备技术及特定领域的科学技能，并且能够抵抗一切压力和诱惑，特别是可能会影响其判断或符合性评估活动结果的资金问题，尤其是对于这些活动的结果有利益关系的个人或集体。</w:t>
      </w:r>
    </w:p>
    <w:p w14:paraId="5702137A">
      <w:pPr>
        <w:snapToGrid w:val="0"/>
        <w:spacing w:beforeLines="25" w:line="300" w:lineRule="auto"/>
        <w:rPr>
          <w:rFonts w:ascii="Times New Roman" w:hAnsi="Times New Roman"/>
          <w:kern w:val="2"/>
          <w:szCs w:val="21"/>
        </w:rPr>
      </w:pPr>
    </w:p>
    <w:p w14:paraId="60DAE262">
      <w:pPr>
        <w:snapToGrid w:val="0"/>
        <w:spacing w:beforeLines="25" w:line="300" w:lineRule="auto"/>
        <w:ind w:left="196"/>
        <w:jc w:val="center"/>
        <w:rPr>
          <w:rStyle w:val="48"/>
          <w:b/>
          <w:szCs w:val="21"/>
        </w:rPr>
      </w:pPr>
      <w:r>
        <w:rPr>
          <w:rFonts w:ascii="Times New Roman" w:hAnsi="Times New Roman"/>
          <w:i/>
          <w:kern w:val="2"/>
          <w:szCs w:val="21"/>
        </w:rPr>
        <w:t>第54条</w:t>
      </w:r>
    </w:p>
    <w:p w14:paraId="02024AD6">
      <w:pPr>
        <w:snapToGrid w:val="0"/>
        <w:spacing w:beforeLines="25" w:line="300" w:lineRule="auto"/>
        <w:ind w:left="196"/>
        <w:jc w:val="center"/>
        <w:rPr>
          <w:rStyle w:val="48"/>
          <w:b/>
          <w:szCs w:val="21"/>
        </w:rPr>
      </w:pPr>
      <w:r>
        <w:rPr>
          <w:rFonts w:ascii="Times New Roman" w:hAnsi="Times New Roman"/>
          <w:b/>
          <w:kern w:val="2"/>
          <w:szCs w:val="21"/>
        </w:rPr>
        <w:t>特定III类器械和IIb类器械的临床评价咨询流程</w:t>
      </w:r>
    </w:p>
    <w:p w14:paraId="5C2E59E0">
      <w:pPr>
        <w:pStyle w:val="32"/>
        <w:numPr>
          <w:ilvl w:val="0"/>
          <w:numId w:val="5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除了根据第52条的适用程序外，公告机构在执行下列器械的符合性评估时，应遵循附录IX第5.1节或附录X第6节规定的临床评价咨询流序（如适用）：</w:t>
      </w:r>
    </w:p>
    <w:p w14:paraId="3E90A6B5">
      <w:pPr>
        <w:pStyle w:val="32"/>
        <w:numPr>
          <w:ilvl w:val="0"/>
          <w:numId w:val="56"/>
        </w:numPr>
        <w:tabs>
          <w:tab w:val="left" w:pos="1248"/>
        </w:tabs>
        <w:topLinePunct/>
        <w:snapToGrid w:val="0"/>
        <w:spacing w:beforeLines="25" w:line="300" w:lineRule="auto"/>
        <w:ind w:left="357" w:firstLine="301"/>
        <w:jc w:val="both"/>
        <w:rPr>
          <w:rFonts w:ascii="Times New Roman" w:hAnsi="Times New Roman"/>
          <w:kern w:val="2"/>
          <w:szCs w:val="21"/>
        </w:rPr>
      </w:pPr>
      <w:r>
        <w:rPr>
          <w:rFonts w:ascii="Times New Roman" w:hAnsi="Times New Roman"/>
          <w:kern w:val="2"/>
          <w:szCs w:val="21"/>
        </w:rPr>
        <w:t>III类可植入器械</w:t>
      </w:r>
      <w:r>
        <w:rPr>
          <w:rFonts w:hint="eastAsia" w:ascii="Times New Roman" w:hAnsi="Times New Roman"/>
          <w:kern w:val="2"/>
          <w:szCs w:val="21"/>
        </w:rPr>
        <w:t>；</w:t>
      </w:r>
      <w:r>
        <w:rPr>
          <w:rFonts w:ascii="Times New Roman" w:hAnsi="Times New Roman"/>
          <w:kern w:val="2"/>
          <w:szCs w:val="21"/>
        </w:rPr>
        <w:t>和</w:t>
      </w:r>
    </w:p>
    <w:p w14:paraId="3FDF67E1">
      <w:pPr>
        <w:pStyle w:val="32"/>
        <w:numPr>
          <w:ilvl w:val="0"/>
          <w:numId w:val="56"/>
        </w:numPr>
        <w:tabs>
          <w:tab w:val="left" w:pos="1248"/>
        </w:tabs>
        <w:topLinePunct/>
        <w:snapToGrid w:val="0"/>
        <w:spacing w:beforeLines="25" w:line="300" w:lineRule="auto"/>
        <w:ind w:left="357" w:firstLine="301"/>
        <w:jc w:val="both"/>
        <w:rPr>
          <w:rFonts w:ascii="Times New Roman" w:hAnsi="Times New Roman"/>
          <w:kern w:val="2"/>
          <w:szCs w:val="21"/>
        </w:rPr>
      </w:pPr>
      <w:r>
        <w:rPr>
          <w:rFonts w:ascii="Times New Roman" w:hAnsi="Times New Roman"/>
          <w:kern w:val="2"/>
          <w:szCs w:val="21"/>
        </w:rPr>
        <w:t>附录VIII第6.4节</w:t>
      </w:r>
      <w:r>
        <w:rPr>
          <w:rFonts w:hint="eastAsia" w:ascii="Times New Roman" w:hAnsi="Times New Roman"/>
          <w:kern w:val="2"/>
          <w:szCs w:val="21"/>
        </w:rPr>
        <w:t>（规则</w:t>
      </w:r>
      <w:r>
        <w:rPr>
          <w:rFonts w:ascii="Times New Roman" w:hAnsi="Times New Roman"/>
          <w:kern w:val="2"/>
          <w:szCs w:val="21"/>
        </w:rPr>
        <w:t>12</w:t>
      </w:r>
      <w:r>
        <w:rPr>
          <w:rFonts w:hint="eastAsia" w:ascii="Times New Roman" w:hAnsi="Times New Roman"/>
          <w:kern w:val="2"/>
          <w:szCs w:val="21"/>
        </w:rPr>
        <w:t>）</w:t>
      </w:r>
      <w:r>
        <w:rPr>
          <w:rFonts w:ascii="Times New Roman" w:hAnsi="Times New Roman"/>
          <w:kern w:val="2"/>
          <w:szCs w:val="21"/>
        </w:rPr>
        <w:t>所述的用于给予和/或清除药品的IIb类有源器械。</w:t>
      </w:r>
    </w:p>
    <w:p w14:paraId="4C45D3E1">
      <w:pPr>
        <w:pStyle w:val="8"/>
        <w:tabs>
          <w:tab w:val="left" w:pos="681"/>
        </w:tabs>
        <w:topLinePunct/>
        <w:snapToGrid w:val="0"/>
        <w:spacing w:beforeLines="25" w:line="300" w:lineRule="auto"/>
        <w:ind w:hanging="568"/>
        <w:jc w:val="both"/>
        <w:rPr>
          <w:kern w:val="2"/>
          <w:szCs w:val="21"/>
          <w:lang w:val="en-US"/>
        </w:rPr>
      </w:pPr>
      <w:r>
        <w:rPr>
          <w:kern w:val="2"/>
          <w:szCs w:val="21"/>
          <w:lang w:val="en-US"/>
        </w:rPr>
        <w:t>2.</w:t>
      </w:r>
      <w:r>
        <w:rPr>
          <w:kern w:val="2"/>
          <w:szCs w:val="21"/>
          <w:lang w:val="en-US"/>
        </w:rPr>
        <w:tab/>
      </w:r>
      <w:r>
        <w:rPr>
          <w:kern w:val="2"/>
          <w:szCs w:val="21"/>
        </w:rPr>
        <w:t>第</w:t>
      </w:r>
      <w:r>
        <w:rPr>
          <w:kern w:val="2"/>
          <w:szCs w:val="21"/>
          <w:lang w:val="en-US"/>
        </w:rPr>
        <w:t>1</w:t>
      </w:r>
      <w:r>
        <w:rPr>
          <w:kern w:val="2"/>
          <w:szCs w:val="21"/>
        </w:rPr>
        <w:t>段中所述的流程不用于以下所述的器械</w:t>
      </w:r>
      <w:r>
        <w:rPr>
          <w:kern w:val="2"/>
          <w:szCs w:val="21"/>
          <w:lang w:val="en-US"/>
        </w:rPr>
        <w:t>：</w:t>
      </w:r>
    </w:p>
    <w:p w14:paraId="289D1281">
      <w:pPr>
        <w:pStyle w:val="8"/>
        <w:tabs>
          <w:tab w:val="left" w:pos="681"/>
        </w:tabs>
        <w:topLinePunct/>
        <w:snapToGrid w:val="0"/>
        <w:spacing w:beforeLines="25" w:line="300" w:lineRule="auto"/>
        <w:ind w:left="1230" w:leftChars="280" w:hanging="642" w:hangingChars="306"/>
        <w:jc w:val="both"/>
        <w:rPr>
          <w:kern w:val="2"/>
          <w:szCs w:val="21"/>
        </w:rPr>
      </w:pPr>
      <w:r>
        <w:rPr>
          <w:kern w:val="2"/>
          <w:szCs w:val="21"/>
        </w:rPr>
        <w:t>（a）</w:t>
      </w:r>
      <w:r>
        <w:rPr>
          <w:kern w:val="2"/>
          <w:szCs w:val="21"/>
        </w:rPr>
        <w:tab/>
      </w:r>
      <w:r>
        <w:rPr>
          <w:kern w:val="2"/>
          <w:szCs w:val="21"/>
        </w:rPr>
        <w:t>根据本法规更新颁发证书的情况；</w:t>
      </w:r>
    </w:p>
    <w:p w14:paraId="15804B39">
      <w:pPr>
        <w:pStyle w:val="8"/>
        <w:tabs>
          <w:tab w:val="left" w:pos="681"/>
        </w:tabs>
        <w:topLinePunct/>
        <w:snapToGrid w:val="0"/>
        <w:spacing w:beforeLines="25" w:line="300" w:lineRule="auto"/>
        <w:ind w:left="1230" w:leftChars="280" w:hanging="642" w:hangingChars="306"/>
        <w:jc w:val="both"/>
        <w:rPr>
          <w:kern w:val="2"/>
          <w:szCs w:val="21"/>
        </w:rPr>
      </w:pPr>
      <w:r>
        <w:rPr>
          <w:kern w:val="2"/>
          <w:szCs w:val="21"/>
        </w:rPr>
        <w:t>（b）</w:t>
      </w:r>
      <w:r>
        <w:rPr>
          <w:kern w:val="2"/>
          <w:szCs w:val="21"/>
        </w:rPr>
        <w:tab/>
      </w:r>
      <w:r>
        <w:rPr>
          <w:kern w:val="2"/>
          <w:szCs w:val="21"/>
        </w:rPr>
        <w:t>由同一制造商将已投放市场的器械进行</w:t>
      </w:r>
      <w:r>
        <w:rPr>
          <w:rFonts w:hint="eastAsia"/>
          <w:kern w:val="2"/>
          <w:szCs w:val="21"/>
        </w:rPr>
        <w:t>改进</w:t>
      </w:r>
      <w:r>
        <w:rPr>
          <w:kern w:val="2"/>
          <w:szCs w:val="21"/>
        </w:rPr>
        <w:t>后设计出的具有相同预期用途的器械，若制造商已证明达到公告机构满意程度，则</w:t>
      </w:r>
      <w:r>
        <w:rPr>
          <w:rFonts w:hint="eastAsia"/>
          <w:kern w:val="2"/>
          <w:szCs w:val="21"/>
        </w:rPr>
        <w:t>该改进</w:t>
      </w:r>
      <w:r>
        <w:rPr>
          <w:kern w:val="2"/>
          <w:szCs w:val="21"/>
        </w:rPr>
        <w:t>不</w:t>
      </w:r>
      <w:r>
        <w:rPr>
          <w:rFonts w:hint="eastAsia"/>
          <w:kern w:val="2"/>
          <w:szCs w:val="21"/>
        </w:rPr>
        <w:t>得</w:t>
      </w:r>
      <w:r>
        <w:rPr>
          <w:kern w:val="2"/>
          <w:szCs w:val="21"/>
        </w:rPr>
        <w:t>对器械收益/风险比产生不利影响。</w:t>
      </w:r>
    </w:p>
    <w:p w14:paraId="3B575821">
      <w:pPr>
        <w:pStyle w:val="8"/>
        <w:tabs>
          <w:tab w:val="left" w:pos="681"/>
        </w:tabs>
        <w:topLinePunct/>
        <w:snapToGrid w:val="0"/>
        <w:spacing w:beforeLines="25" w:line="300" w:lineRule="auto"/>
        <w:ind w:left="1230" w:leftChars="280" w:hanging="642" w:hangingChars="306"/>
        <w:jc w:val="both"/>
        <w:rPr>
          <w:kern w:val="2"/>
          <w:szCs w:val="21"/>
        </w:rPr>
      </w:pPr>
      <w:r>
        <w:rPr>
          <w:kern w:val="2"/>
          <w:szCs w:val="21"/>
        </w:rPr>
        <w:t>（c）</w:t>
      </w:r>
      <w:r>
        <w:rPr>
          <w:kern w:val="2"/>
          <w:szCs w:val="21"/>
        </w:rPr>
        <w:tab/>
      </w:r>
      <w:r>
        <w:rPr>
          <w:kern w:val="2"/>
          <w:szCs w:val="21"/>
        </w:rPr>
        <w:t>有关器械类型或种类的临床评价原则已写入第9条所所述的CS中，且公告机构证实制造商器械临床评价符合其相关的临床评价CS要求。</w:t>
      </w:r>
    </w:p>
    <w:p w14:paraId="48794EEE">
      <w:pPr>
        <w:pStyle w:val="8"/>
        <w:tabs>
          <w:tab w:val="left" w:pos="681"/>
        </w:tabs>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公告机构应依据第57条（无论本条第1段中所述的程序是否适用）规定系统通知主管机构、负责公告机构的主管机构和委员会。该通知应随附临床评估的评定报告。</w:t>
      </w:r>
    </w:p>
    <w:p w14:paraId="44E553A7">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委员会应起草一份符合附录IX第5.1节或附录X第6节程序的器械年度总结。该年度总结应包括本条第3段和附录</w:t>
      </w:r>
      <w:r>
        <w:rPr>
          <w:rFonts w:hint="eastAsia"/>
          <w:kern w:val="2"/>
          <w:szCs w:val="21"/>
        </w:rPr>
        <w:t>I</w:t>
      </w:r>
      <w:r>
        <w:rPr>
          <w:kern w:val="2"/>
          <w:szCs w:val="21"/>
        </w:rPr>
        <w:t>X第5.1节（e）点规定的公告决议以及公告机构在未听从专家小组建议情况下而编入的列表。委员会应将该总结提交至欧洲议会、</w:t>
      </w:r>
      <w:r>
        <w:rPr>
          <w:rFonts w:hint="eastAsia"/>
          <w:kern w:val="2"/>
          <w:szCs w:val="21"/>
        </w:rPr>
        <w:t>理事会</w:t>
      </w:r>
      <w:r>
        <w:rPr>
          <w:kern w:val="2"/>
          <w:szCs w:val="21"/>
        </w:rPr>
        <w:t>和医疗器械协调</w:t>
      </w:r>
      <w:r>
        <w:rPr>
          <w:rFonts w:hint="eastAsia"/>
          <w:kern w:val="2"/>
          <w:szCs w:val="21"/>
        </w:rPr>
        <w:t>小</w:t>
      </w:r>
      <w:r>
        <w:rPr>
          <w:kern w:val="2"/>
          <w:szCs w:val="21"/>
        </w:rPr>
        <w:t>组。</w:t>
      </w:r>
    </w:p>
    <w:p w14:paraId="4B823CB0">
      <w:pPr>
        <w:pStyle w:val="8"/>
        <w:tabs>
          <w:tab w:val="left" w:pos="681"/>
        </w:tabs>
        <w:topLinePunct/>
        <w:snapToGrid w:val="0"/>
        <w:spacing w:beforeLines="25" w:line="300" w:lineRule="auto"/>
        <w:ind w:hanging="568"/>
        <w:jc w:val="both"/>
        <w:rPr>
          <w:kern w:val="2"/>
          <w:szCs w:val="21"/>
        </w:rPr>
      </w:pPr>
      <w:r>
        <w:rPr>
          <w:kern w:val="2"/>
          <w:szCs w:val="21"/>
        </w:rPr>
        <w:t>5.</w:t>
      </w:r>
      <w:r>
        <w:rPr>
          <w:kern w:val="2"/>
          <w:szCs w:val="21"/>
        </w:rPr>
        <w:tab/>
      </w:r>
      <w:r>
        <w:rPr>
          <w:kern w:val="2"/>
          <w:szCs w:val="21"/>
        </w:rPr>
        <w:t>委员会应</w:t>
      </w:r>
      <w:r>
        <w:rPr>
          <w:rFonts w:hint="eastAsia"/>
          <w:kern w:val="2"/>
          <w:szCs w:val="21"/>
        </w:rPr>
        <w:t>2025年5月27日之前</w:t>
      </w:r>
      <w:r>
        <w:rPr>
          <w:kern w:val="2"/>
          <w:szCs w:val="21"/>
        </w:rPr>
        <w:t>起草关于本条实施情况的报告，并将其提交欧洲议会和理事会。提交报告中应包括年度总结和MDCG提出的相关可用建议。根据本报告，委员会应酌情提出修订本法规的建议。</w:t>
      </w:r>
    </w:p>
    <w:p w14:paraId="36B366C7">
      <w:pPr>
        <w:snapToGrid w:val="0"/>
        <w:spacing w:beforeLines="25" w:line="300" w:lineRule="auto"/>
        <w:ind w:left="196"/>
        <w:jc w:val="center"/>
        <w:rPr>
          <w:rFonts w:ascii="Times New Roman" w:hAnsi="Times New Roman"/>
          <w:i/>
          <w:kern w:val="2"/>
          <w:szCs w:val="21"/>
        </w:rPr>
      </w:pPr>
    </w:p>
    <w:p w14:paraId="10843C82">
      <w:pPr>
        <w:snapToGrid w:val="0"/>
        <w:spacing w:beforeLines="25" w:line="300" w:lineRule="auto"/>
        <w:ind w:left="196"/>
        <w:jc w:val="center"/>
        <w:rPr>
          <w:rStyle w:val="48"/>
          <w:b/>
          <w:szCs w:val="21"/>
        </w:rPr>
      </w:pPr>
      <w:r>
        <w:rPr>
          <w:rFonts w:ascii="Times New Roman" w:hAnsi="Times New Roman"/>
          <w:i/>
          <w:kern w:val="2"/>
          <w:szCs w:val="21"/>
        </w:rPr>
        <w:t>第55条</w:t>
      </w:r>
    </w:p>
    <w:p w14:paraId="25B8B830">
      <w:pPr>
        <w:snapToGrid w:val="0"/>
        <w:spacing w:beforeLines="25" w:line="300" w:lineRule="auto"/>
        <w:ind w:left="196"/>
        <w:jc w:val="center"/>
        <w:rPr>
          <w:rStyle w:val="48"/>
          <w:b/>
          <w:szCs w:val="21"/>
        </w:rPr>
      </w:pPr>
      <w:r>
        <w:rPr>
          <w:rFonts w:ascii="Times New Roman" w:hAnsi="Times New Roman"/>
          <w:b/>
          <w:kern w:val="2"/>
          <w:szCs w:val="21"/>
        </w:rPr>
        <w:t>特定III类器械和IIb类器械的符合性评估</w:t>
      </w:r>
      <w:r>
        <w:rPr>
          <w:rFonts w:hint="eastAsia" w:ascii="Times New Roman" w:hAnsi="Times New Roman"/>
          <w:b/>
          <w:kern w:val="2"/>
          <w:szCs w:val="21"/>
        </w:rPr>
        <w:t>的</w:t>
      </w:r>
      <w:r>
        <w:rPr>
          <w:rFonts w:ascii="Times New Roman" w:hAnsi="Times New Roman"/>
          <w:b/>
          <w:kern w:val="2"/>
          <w:szCs w:val="21"/>
        </w:rPr>
        <w:t>审查机制</w:t>
      </w:r>
    </w:p>
    <w:p w14:paraId="6A03B371">
      <w:pPr>
        <w:pStyle w:val="8"/>
        <w:tabs>
          <w:tab w:val="left" w:pos="681"/>
        </w:tabs>
        <w:topLinePunct/>
        <w:snapToGrid w:val="0"/>
        <w:spacing w:beforeLines="25" w:line="300" w:lineRule="auto"/>
        <w:ind w:hanging="568"/>
        <w:jc w:val="both"/>
        <w:rPr>
          <w:kern w:val="2"/>
          <w:szCs w:val="21"/>
        </w:rPr>
      </w:pPr>
      <w:r>
        <w:rPr>
          <w:kern w:val="2"/>
          <w:szCs w:val="21"/>
        </w:rPr>
        <w:t>1.</w:t>
      </w:r>
      <w:r>
        <w:rPr>
          <w:kern w:val="2"/>
          <w:szCs w:val="21"/>
        </w:rPr>
        <w:tab/>
      </w:r>
      <w:r>
        <w:rPr>
          <w:kern w:val="2"/>
          <w:szCs w:val="21"/>
        </w:rPr>
        <w:t>公告机构应通知已授予器械证书的主管机构，其中符合性评估已根据第54（1）条执行。应根据第57条所所述的电子系统发出此类通知并包括符合第32条的安全和临床性能信息总结、公告机构的评估报告、附录I第23.4节所所述的使用说明书、附录IX第5.1节或附录X第6节所所述的专家小组科学建议（如适用）以及在公告机构和专家小组产生意见分歧的情况下，应包括充分理由）。</w:t>
      </w:r>
    </w:p>
    <w:p w14:paraId="5F2B7734">
      <w:pPr>
        <w:pStyle w:val="8"/>
        <w:topLinePunct/>
        <w:snapToGrid w:val="0"/>
        <w:spacing w:beforeLines="25" w:line="300" w:lineRule="auto"/>
        <w:ind w:hanging="568"/>
        <w:jc w:val="both"/>
        <w:rPr>
          <w:kern w:val="2"/>
          <w:szCs w:val="21"/>
        </w:rPr>
      </w:pPr>
      <w:r>
        <w:rPr>
          <w:kern w:val="2"/>
          <w:szCs w:val="21"/>
        </w:rPr>
        <w:t>2.</w:t>
      </w:r>
      <w:r>
        <w:rPr>
          <w:kern w:val="2"/>
          <w:szCs w:val="21"/>
        </w:rPr>
        <w:tab/>
      </w:r>
      <w:r>
        <w:rPr>
          <w:kern w:val="2"/>
          <w:szCs w:val="21"/>
        </w:rPr>
        <w:t>主管机构以及委员会（在适当情况下）可根据合理顾虑，根据第44、45、46、47或94条</w:t>
      </w:r>
      <w:r>
        <w:rPr>
          <w:rFonts w:hint="eastAsia"/>
          <w:kern w:val="2"/>
          <w:szCs w:val="21"/>
        </w:rPr>
        <w:t>要求</w:t>
      </w:r>
      <w:r>
        <w:rPr>
          <w:kern w:val="2"/>
          <w:szCs w:val="21"/>
        </w:rPr>
        <w:t>开展进一步程序，并在必要时，根据第95和97条采取适当措施。</w:t>
      </w:r>
    </w:p>
    <w:p w14:paraId="4865DDA2">
      <w:pPr>
        <w:pStyle w:val="8"/>
        <w:tabs>
          <w:tab w:val="left" w:pos="681"/>
        </w:tabs>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MDCG以及委员会（在适当情况下）可根据合理顾虑，要求专家小组就任何器械的安全性和性能要求给出科学建议。</w:t>
      </w:r>
    </w:p>
    <w:p w14:paraId="65BF3AEF">
      <w:pPr>
        <w:snapToGrid w:val="0"/>
        <w:spacing w:beforeLines="25" w:line="300" w:lineRule="auto"/>
        <w:ind w:left="196"/>
        <w:jc w:val="center"/>
        <w:rPr>
          <w:rFonts w:ascii="Times New Roman" w:hAnsi="Times New Roman"/>
          <w:i/>
          <w:kern w:val="2"/>
          <w:szCs w:val="21"/>
        </w:rPr>
      </w:pPr>
    </w:p>
    <w:p w14:paraId="0339A016">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第56条</w:t>
      </w:r>
    </w:p>
    <w:p w14:paraId="606A43C8">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符合性证书</w:t>
      </w:r>
    </w:p>
    <w:p w14:paraId="02756FD5">
      <w:pPr>
        <w:pStyle w:val="32"/>
        <w:numPr>
          <w:ilvl w:val="0"/>
          <w:numId w:val="5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由公告机构根据附录IX、X和XI所颁发的证书应使用该公告机构所在成员国确定的欧盟官方语言或此公告机构可接受的欧盟官方语言</w:t>
      </w:r>
      <w:r>
        <w:rPr>
          <w:rFonts w:hint="eastAsia" w:ascii="Times New Roman" w:hAnsi="Times New Roman"/>
          <w:kern w:val="2"/>
          <w:szCs w:val="21"/>
        </w:rPr>
        <w:t>编写</w:t>
      </w:r>
      <w:r>
        <w:rPr>
          <w:rFonts w:ascii="Times New Roman" w:hAnsi="Times New Roman"/>
          <w:kern w:val="2"/>
          <w:szCs w:val="21"/>
        </w:rPr>
        <w:t>。该证书的最低应有内容列于附录XII中。</w:t>
      </w:r>
    </w:p>
    <w:p w14:paraId="2E2BAB2B">
      <w:pPr>
        <w:pStyle w:val="32"/>
        <w:numPr>
          <w:ilvl w:val="0"/>
          <w:numId w:val="5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该证书的有效期为其列明的期限，不得超过五年。制造商可申请延长证书的有效期，但每次延期不得超过五年，同时需要按照适用的符合性评估流程重新评估。证书的任何补充内容应与其补充的证书具有相同有效期。</w:t>
      </w:r>
    </w:p>
    <w:p w14:paraId="0C58843F">
      <w:pPr>
        <w:pStyle w:val="8"/>
        <w:tabs>
          <w:tab w:val="left" w:pos="681"/>
        </w:tabs>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公告机构可限制器械应用于某些特定患者的预期用途，或要求制造商承担按照附录XIV第B部分进行的PMCF研究。</w:t>
      </w:r>
    </w:p>
    <w:p w14:paraId="1F0934E2">
      <w:pPr>
        <w:pStyle w:val="32"/>
        <w:tabs>
          <w:tab w:val="left" w:pos="682"/>
        </w:tabs>
        <w:topLinePunct/>
        <w:snapToGrid w:val="0"/>
        <w:spacing w:beforeLines="20" w:line="288" w:lineRule="auto"/>
        <w:ind w:left="655" w:leftChars="46" w:hanging="558" w:hangingChars="266"/>
        <w:jc w:val="both"/>
        <w:rPr>
          <w:rFonts w:ascii="Times New Roman" w:hAnsi="Times New Roman"/>
          <w:kern w:val="2"/>
          <w:szCs w:val="21"/>
        </w:rPr>
      </w:pPr>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rPr>
        <w:t>若公告机构认定制造商不再满足本法规的要求，需考虑均衡原则，暂停或撤销颁发的证书或对其施加限制，除非制造商在公告机构规定的时间内采取合适的纠正措施保证遵守要求。该公告机构需给出其所作决议的理由。</w:t>
      </w:r>
    </w:p>
    <w:p w14:paraId="48FACC0D">
      <w:pPr>
        <w:pStyle w:val="32"/>
        <w:tabs>
          <w:tab w:val="left" w:pos="682"/>
        </w:tabs>
        <w:topLinePunct/>
        <w:snapToGrid w:val="0"/>
        <w:spacing w:beforeLines="20" w:line="288" w:lineRule="auto"/>
        <w:ind w:left="655" w:leftChars="46" w:hanging="558" w:hangingChars="266"/>
        <w:jc w:val="both"/>
        <w:rPr>
          <w:rFonts w:ascii="Times New Roman" w:hAnsi="Times New Roman"/>
          <w:kern w:val="2"/>
          <w:szCs w:val="21"/>
        </w:rPr>
      </w:pPr>
      <w:r>
        <w:rPr>
          <w:rFonts w:ascii="Times New Roman" w:hAnsi="Times New Roman"/>
          <w:kern w:val="2"/>
          <w:szCs w:val="21"/>
        </w:rPr>
        <w:t>5.</w:t>
      </w:r>
      <w:r>
        <w:rPr>
          <w:rFonts w:ascii="Times New Roman" w:hAnsi="Times New Roman"/>
          <w:kern w:val="2"/>
          <w:szCs w:val="21"/>
        </w:rPr>
        <w:tab/>
      </w:r>
      <w:r>
        <w:rPr>
          <w:rFonts w:ascii="Times New Roman" w:hAnsi="Times New Roman"/>
          <w:kern w:val="2"/>
          <w:szCs w:val="21"/>
        </w:rPr>
        <w:t>公告机构应将所签发证书的相关信息录入第7条所述电子系统，包括修订和补充以及证书的暂停、恢复、撤销或拒绝，和对证书的限制。此信息应向公众开放。</w:t>
      </w:r>
    </w:p>
    <w:p w14:paraId="3918D27A">
      <w:pPr>
        <w:pStyle w:val="32"/>
        <w:tabs>
          <w:tab w:val="left" w:pos="682"/>
        </w:tabs>
        <w:topLinePunct/>
        <w:snapToGrid w:val="0"/>
        <w:spacing w:beforeLines="20" w:line="288" w:lineRule="auto"/>
        <w:ind w:left="655" w:leftChars="46" w:hanging="558" w:hangingChars="266"/>
        <w:jc w:val="both"/>
        <w:rPr>
          <w:rFonts w:ascii="Times New Roman" w:hAnsi="Times New Roman"/>
          <w:kern w:val="2"/>
          <w:szCs w:val="21"/>
        </w:rPr>
      </w:pPr>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随着技术进步，委员会应有权按照第115条采取纠正措施或按照附录XII补充证书的最低应有内容。</w:t>
      </w:r>
    </w:p>
    <w:p w14:paraId="063D4E16">
      <w:pPr>
        <w:snapToGrid w:val="0"/>
        <w:spacing w:beforeLines="20" w:line="288" w:lineRule="auto"/>
        <w:ind w:left="196"/>
        <w:jc w:val="center"/>
        <w:rPr>
          <w:rFonts w:ascii="Times New Roman" w:hAnsi="Times New Roman"/>
          <w:i/>
          <w:kern w:val="2"/>
          <w:szCs w:val="21"/>
        </w:rPr>
      </w:pPr>
    </w:p>
    <w:p w14:paraId="792DF89E">
      <w:pPr>
        <w:snapToGrid w:val="0"/>
        <w:spacing w:beforeLines="20" w:line="288" w:lineRule="auto"/>
        <w:ind w:left="196"/>
        <w:jc w:val="center"/>
        <w:rPr>
          <w:rStyle w:val="48"/>
          <w:b/>
          <w:szCs w:val="21"/>
        </w:rPr>
      </w:pPr>
      <w:r>
        <w:rPr>
          <w:rFonts w:ascii="Times New Roman" w:hAnsi="Times New Roman"/>
          <w:i/>
          <w:kern w:val="2"/>
          <w:szCs w:val="21"/>
        </w:rPr>
        <w:t>第57条</w:t>
      </w:r>
    </w:p>
    <w:p w14:paraId="701B06DB">
      <w:pPr>
        <w:snapToGrid w:val="0"/>
        <w:spacing w:beforeLines="20" w:line="288" w:lineRule="auto"/>
        <w:ind w:left="196"/>
        <w:jc w:val="center"/>
        <w:rPr>
          <w:rStyle w:val="48"/>
          <w:b/>
          <w:szCs w:val="21"/>
        </w:rPr>
      </w:pPr>
      <w:r>
        <w:rPr>
          <w:rFonts w:hint="eastAsia" w:ascii="Times New Roman" w:hAnsi="Times New Roman"/>
          <w:b/>
          <w:kern w:val="2"/>
          <w:szCs w:val="21"/>
        </w:rPr>
        <w:t>公告</w:t>
      </w:r>
      <w:r>
        <w:rPr>
          <w:rFonts w:ascii="Times New Roman" w:hAnsi="Times New Roman"/>
          <w:b/>
          <w:kern w:val="2"/>
          <w:szCs w:val="21"/>
        </w:rPr>
        <w:t>机构和</w:t>
      </w:r>
      <w:r>
        <w:rPr>
          <w:rFonts w:hint="eastAsia" w:ascii="Times New Roman" w:hAnsi="Times New Roman"/>
          <w:b/>
          <w:kern w:val="2"/>
          <w:szCs w:val="21"/>
        </w:rPr>
        <w:t>符合性</w:t>
      </w:r>
      <w:r>
        <w:rPr>
          <w:rFonts w:ascii="Times New Roman" w:hAnsi="Times New Roman"/>
          <w:b/>
          <w:kern w:val="2"/>
          <w:szCs w:val="21"/>
        </w:rPr>
        <w:t>证书的电子系统</w:t>
      </w:r>
    </w:p>
    <w:p w14:paraId="418D02AC">
      <w:pPr>
        <w:pStyle w:val="32"/>
        <w:numPr>
          <w:ilvl w:val="0"/>
          <w:numId w:val="58"/>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在咨询MDCG后，委员会应建立并管理电子系统来整理和处理以下信息；</w:t>
      </w:r>
    </w:p>
    <w:p w14:paraId="50EF4F79">
      <w:pPr>
        <w:pStyle w:val="32"/>
        <w:numPr>
          <w:ilvl w:val="1"/>
          <w:numId w:val="5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第</w:t>
      </w:r>
      <w:r>
        <w:rPr>
          <w:rFonts w:hint="eastAsia" w:ascii="Times New Roman" w:hAnsi="Times New Roman"/>
          <w:kern w:val="2"/>
          <w:szCs w:val="21"/>
        </w:rPr>
        <w:t>3</w:t>
      </w:r>
      <w:r>
        <w:rPr>
          <w:rFonts w:ascii="Times New Roman" w:hAnsi="Times New Roman"/>
          <w:kern w:val="2"/>
          <w:szCs w:val="21"/>
        </w:rPr>
        <w:t>7（3）条所述分支机构名单；</w:t>
      </w:r>
    </w:p>
    <w:p w14:paraId="216773BE">
      <w:pPr>
        <w:pStyle w:val="32"/>
        <w:numPr>
          <w:ilvl w:val="1"/>
          <w:numId w:val="5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第40（2）条所述专家名单；</w:t>
      </w:r>
    </w:p>
    <w:p w14:paraId="14C8BB52">
      <w:pPr>
        <w:pStyle w:val="32"/>
        <w:numPr>
          <w:ilvl w:val="1"/>
          <w:numId w:val="5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第42（10）条所述通知相关信息和第46（2）所述的修订公告；</w:t>
      </w:r>
    </w:p>
    <w:p w14:paraId="2A106F49">
      <w:pPr>
        <w:pStyle w:val="32"/>
        <w:numPr>
          <w:ilvl w:val="1"/>
          <w:numId w:val="5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第43(2)条所述公告机构名单；</w:t>
      </w:r>
    </w:p>
    <w:p w14:paraId="5E820DC7">
      <w:pPr>
        <w:pStyle w:val="32"/>
        <w:numPr>
          <w:ilvl w:val="1"/>
          <w:numId w:val="5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第44（12）条所述总结报告；</w:t>
      </w:r>
    </w:p>
    <w:p w14:paraId="382565F7">
      <w:pPr>
        <w:pStyle w:val="32"/>
        <w:numPr>
          <w:ilvl w:val="1"/>
          <w:numId w:val="5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第54（3）条和第55(1)条中所述的有关符合性评估和证书的通知；</w:t>
      </w:r>
    </w:p>
    <w:p w14:paraId="35AFF2B6">
      <w:pPr>
        <w:pStyle w:val="32"/>
        <w:numPr>
          <w:ilvl w:val="1"/>
          <w:numId w:val="58"/>
        </w:numPr>
        <w:tabs>
          <w:tab w:val="left" w:pos="1248"/>
        </w:tabs>
        <w:topLinePunct/>
        <w:snapToGrid w:val="0"/>
        <w:spacing w:beforeLines="20" w:line="288" w:lineRule="auto"/>
        <w:ind w:left="681" w:firstLine="0"/>
        <w:jc w:val="both"/>
        <w:rPr>
          <w:rFonts w:ascii="Times New Roman" w:hAnsi="Times New Roman"/>
          <w:kern w:val="2"/>
          <w:szCs w:val="21"/>
        </w:rPr>
      </w:pPr>
      <w:r>
        <w:rPr>
          <w:rFonts w:ascii="Times New Roman" w:hAnsi="Times New Roman"/>
          <w:kern w:val="2"/>
          <w:szCs w:val="21"/>
        </w:rPr>
        <w:t>在第53(2)条和附录VII第4.3节中所述证书申请撤回或拒绝；</w:t>
      </w:r>
    </w:p>
    <w:p w14:paraId="3D1B1A52">
      <w:pPr>
        <w:pStyle w:val="32"/>
        <w:tabs>
          <w:tab w:val="left" w:pos="1248"/>
        </w:tabs>
        <w:topLinePunct/>
        <w:snapToGrid w:val="0"/>
        <w:spacing w:beforeLines="20" w:line="288" w:lineRule="auto"/>
        <w:ind w:left="681"/>
        <w:jc w:val="both"/>
        <w:rPr>
          <w:rFonts w:ascii="Times New Roman" w:hAnsi="Times New Roman"/>
          <w:kern w:val="2"/>
          <w:szCs w:val="21"/>
        </w:rPr>
      </w:pPr>
      <w:r>
        <w:rPr>
          <w:rFonts w:ascii="Times New Roman" w:hAnsi="Times New Roman"/>
          <w:kern w:val="2"/>
          <w:szCs w:val="21"/>
        </w:rPr>
        <w:t xml:space="preserve">(h) </w:t>
      </w:r>
      <w:r>
        <w:rPr>
          <w:rFonts w:ascii="Times New Roman" w:hAnsi="Times New Roman"/>
          <w:kern w:val="2"/>
          <w:szCs w:val="21"/>
        </w:rPr>
        <w:tab/>
      </w:r>
      <w:r>
        <w:rPr>
          <w:rFonts w:ascii="Times New Roman" w:hAnsi="Times New Roman"/>
          <w:kern w:val="2"/>
          <w:szCs w:val="21"/>
        </w:rPr>
        <w:t>在第56(5)条中所述证书相关信息；</w:t>
      </w:r>
    </w:p>
    <w:p w14:paraId="471EB9CF">
      <w:pPr>
        <w:pStyle w:val="32"/>
        <w:tabs>
          <w:tab w:val="left" w:pos="1248"/>
        </w:tabs>
        <w:topLinePunct/>
        <w:snapToGrid w:val="0"/>
        <w:spacing w:beforeLines="20" w:line="288" w:lineRule="auto"/>
        <w:ind w:left="681"/>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i</w:t>
      </w:r>
      <w:r>
        <w:rPr>
          <w:rFonts w:hint="eastAsia" w:ascii="Times New Roman" w:hAnsi="Times New Roman"/>
          <w:kern w:val="2"/>
          <w:szCs w:val="21"/>
        </w:rPr>
        <w:t>)</w:t>
      </w:r>
      <w:r>
        <w:rPr>
          <w:rFonts w:ascii="Times New Roman" w:hAnsi="Times New Roman"/>
          <w:kern w:val="2"/>
          <w:szCs w:val="21"/>
        </w:rPr>
        <w:tab/>
      </w:r>
      <w:r>
        <w:rPr>
          <w:rFonts w:ascii="Times New Roman" w:hAnsi="Times New Roman"/>
          <w:kern w:val="2"/>
          <w:szCs w:val="21"/>
        </w:rPr>
        <w:t>第32条所述安全和临床性能总结。</w:t>
      </w:r>
    </w:p>
    <w:p w14:paraId="6E16CC4C">
      <w:pPr>
        <w:pStyle w:val="32"/>
        <w:numPr>
          <w:ilvl w:val="0"/>
          <w:numId w:val="58"/>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电子系统整理和处理的信息应由各成员国主管机构、委员会访问，公告机构（适用时）或本法规另有规定或第2017/</w:t>
      </w:r>
      <w:r>
        <w:rPr>
          <w:rFonts w:hint="eastAsia" w:ascii="Times New Roman" w:hAnsi="Times New Roman"/>
          <w:kern w:val="2"/>
          <w:szCs w:val="21"/>
        </w:rPr>
        <w:t>746</w:t>
      </w:r>
      <w:r>
        <w:rPr>
          <w:rFonts w:ascii="Times New Roman" w:hAnsi="Times New Roman"/>
          <w:kern w:val="2"/>
          <w:szCs w:val="21"/>
        </w:rPr>
        <w:t>号法规应向公众开放。</w:t>
      </w:r>
    </w:p>
    <w:p w14:paraId="15C3F4D6">
      <w:pPr>
        <w:snapToGrid w:val="0"/>
        <w:spacing w:beforeLines="20" w:line="288" w:lineRule="auto"/>
        <w:ind w:left="196"/>
        <w:jc w:val="center"/>
        <w:rPr>
          <w:rFonts w:ascii="Times New Roman" w:hAnsi="Times New Roman"/>
          <w:i/>
          <w:kern w:val="2"/>
          <w:szCs w:val="21"/>
        </w:rPr>
      </w:pPr>
    </w:p>
    <w:p w14:paraId="70DAC0B4">
      <w:pPr>
        <w:snapToGrid w:val="0"/>
        <w:spacing w:beforeLines="20" w:line="288" w:lineRule="auto"/>
        <w:ind w:left="196"/>
        <w:jc w:val="center"/>
        <w:rPr>
          <w:rStyle w:val="48"/>
          <w:b/>
          <w:szCs w:val="21"/>
        </w:rPr>
      </w:pPr>
      <w:r>
        <w:rPr>
          <w:rFonts w:ascii="Times New Roman" w:hAnsi="Times New Roman"/>
          <w:i/>
          <w:kern w:val="2"/>
          <w:szCs w:val="21"/>
        </w:rPr>
        <w:t>第58条</w:t>
      </w:r>
    </w:p>
    <w:p w14:paraId="14FFB383">
      <w:pPr>
        <w:snapToGrid w:val="0"/>
        <w:spacing w:beforeLines="20" w:line="288" w:lineRule="auto"/>
        <w:ind w:left="195"/>
        <w:jc w:val="center"/>
        <w:rPr>
          <w:rStyle w:val="48"/>
          <w:b/>
          <w:szCs w:val="21"/>
        </w:rPr>
      </w:pPr>
      <w:r>
        <w:rPr>
          <w:rFonts w:ascii="Times New Roman" w:hAnsi="Times New Roman"/>
          <w:b/>
          <w:kern w:val="2"/>
          <w:szCs w:val="21"/>
        </w:rPr>
        <w:t>公告机构的自愿变更</w:t>
      </w:r>
    </w:p>
    <w:p w14:paraId="41C02324">
      <w:pPr>
        <w:pStyle w:val="32"/>
        <w:numPr>
          <w:ilvl w:val="0"/>
          <w:numId w:val="59"/>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对于同一器械的符合性评估，若制造商终止与一家公告机构的合同，而与另一家公告机构签订合同，公告机构的详细安排需在制造商与即将达成协议的公告机构以及（如可行）即将终止协议的公告机构间的协议中明确定义。本协议应至少包括以下几个方面：</w:t>
      </w:r>
    </w:p>
    <w:p w14:paraId="48EBC2DE">
      <w:pPr>
        <w:pStyle w:val="32"/>
        <w:numPr>
          <w:ilvl w:val="1"/>
          <w:numId w:val="59"/>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即将终止协议的公告机构颁发的证书失效日期；</w:t>
      </w:r>
    </w:p>
    <w:p w14:paraId="7B2075FD">
      <w:pPr>
        <w:pStyle w:val="32"/>
        <w:numPr>
          <w:ilvl w:val="1"/>
          <w:numId w:val="59"/>
        </w:numPr>
        <w:tabs>
          <w:tab w:val="left" w:pos="1248"/>
        </w:tabs>
        <w:topLinePunct/>
        <w:snapToGrid w:val="0"/>
        <w:spacing w:beforeLines="20" w:line="288" w:lineRule="auto"/>
        <w:ind w:left="1247"/>
        <w:jc w:val="both"/>
        <w:rPr>
          <w:rFonts w:ascii="Times New Roman" w:hAnsi="Times New Roman"/>
          <w:szCs w:val="21"/>
        </w:rPr>
      </w:pPr>
      <w:r>
        <w:rPr>
          <w:rFonts w:ascii="Times New Roman" w:hAnsi="Times New Roman"/>
          <w:kern w:val="2"/>
          <w:szCs w:val="21"/>
        </w:rPr>
        <w:t>在此之前</w:t>
      </w:r>
      <w:r>
        <w:rPr>
          <w:rFonts w:ascii="Times New Roman" w:hAnsi="Times New Roman"/>
          <w:szCs w:val="21"/>
        </w:rPr>
        <w:t>，即将终止协议的公告机构的标识号需要在制造商提供的信息包括任何宣传资料</w:t>
      </w:r>
    </w:p>
    <w:p w14:paraId="663C0E3E">
      <w:pPr>
        <w:pStyle w:val="32"/>
        <w:numPr>
          <w:ilvl w:val="1"/>
          <w:numId w:val="59"/>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文件传输，包括机密性方面和产权；</w:t>
      </w:r>
    </w:p>
    <w:p w14:paraId="51B62A4C">
      <w:pPr>
        <w:pStyle w:val="32"/>
        <w:numPr>
          <w:ilvl w:val="1"/>
          <w:numId w:val="59"/>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在此之后，即将终止协议的公告机构的符合性评估任务委托给即将达成协议的公告机构的日期；</w:t>
      </w:r>
    </w:p>
    <w:p w14:paraId="07F368F4">
      <w:pPr>
        <w:pStyle w:val="32"/>
        <w:numPr>
          <w:ilvl w:val="1"/>
          <w:numId w:val="59"/>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即将终止协议的公告机构负责的最后一个序号或批号。</w:t>
      </w:r>
    </w:p>
    <w:p w14:paraId="1595660E">
      <w:pPr>
        <w:pStyle w:val="32"/>
        <w:numPr>
          <w:ilvl w:val="0"/>
          <w:numId w:val="59"/>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在失效日期当日，即将终止协议的公告机构应撤销它为相关器械颁发的证书。</w:t>
      </w:r>
    </w:p>
    <w:p w14:paraId="006A2E79">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br w:type="page"/>
      </w:r>
    </w:p>
    <w:p w14:paraId="528EDAEB">
      <w:pPr>
        <w:snapToGrid w:val="0"/>
        <w:spacing w:beforeLines="25" w:line="300" w:lineRule="auto"/>
        <w:ind w:left="196"/>
        <w:jc w:val="center"/>
        <w:rPr>
          <w:rStyle w:val="48"/>
          <w:b/>
          <w:szCs w:val="21"/>
        </w:rPr>
      </w:pPr>
      <w:r>
        <w:rPr>
          <w:rFonts w:ascii="Times New Roman" w:hAnsi="Times New Roman"/>
          <w:i/>
          <w:kern w:val="2"/>
          <w:szCs w:val="21"/>
        </w:rPr>
        <w:t>第59条</w:t>
      </w:r>
    </w:p>
    <w:p w14:paraId="475C49BA">
      <w:pPr>
        <w:snapToGrid w:val="0"/>
        <w:spacing w:beforeLines="25" w:line="300" w:lineRule="auto"/>
        <w:ind w:left="195"/>
        <w:jc w:val="center"/>
        <w:rPr>
          <w:rStyle w:val="48"/>
          <w:b/>
          <w:szCs w:val="21"/>
        </w:rPr>
      </w:pPr>
      <w:r>
        <w:rPr>
          <w:rFonts w:ascii="Times New Roman" w:hAnsi="Times New Roman"/>
          <w:b/>
          <w:kern w:val="2"/>
          <w:szCs w:val="21"/>
        </w:rPr>
        <w:t>符合性评估流程的豁免</w:t>
      </w:r>
    </w:p>
    <w:p w14:paraId="0392D4B9">
      <w:pPr>
        <w:pStyle w:val="32"/>
        <w:numPr>
          <w:ilvl w:val="0"/>
          <w:numId w:val="60"/>
        </w:numPr>
        <w:tabs>
          <w:tab w:val="left" w:pos="742"/>
        </w:tabs>
        <w:topLinePunct/>
        <w:snapToGrid w:val="0"/>
        <w:spacing w:beforeLines="25" w:line="300" w:lineRule="auto"/>
        <w:ind w:hanging="627"/>
        <w:jc w:val="both"/>
        <w:rPr>
          <w:rFonts w:ascii="Times New Roman" w:hAnsi="Times New Roman"/>
          <w:kern w:val="2"/>
          <w:szCs w:val="21"/>
        </w:rPr>
      </w:pPr>
      <w:r>
        <w:rPr>
          <w:rFonts w:ascii="Times New Roman" w:hAnsi="Times New Roman"/>
          <w:kern w:val="2"/>
          <w:szCs w:val="21"/>
        </w:rPr>
        <w:t>通过豁免第52条，任何主管机构在正当理由要求下，可在成员国境内授权</w:t>
      </w:r>
      <w:r>
        <w:rPr>
          <w:rFonts w:hint="eastAsia" w:ascii="Times New Roman" w:hAnsi="Times New Roman"/>
          <w:kern w:val="2"/>
          <w:szCs w:val="21"/>
        </w:rPr>
        <w:t>将</w:t>
      </w:r>
      <w:r>
        <w:rPr>
          <w:rFonts w:ascii="Times New Roman" w:hAnsi="Times New Roman"/>
          <w:kern w:val="2"/>
          <w:szCs w:val="21"/>
        </w:rPr>
        <w:t>特定器械的投放市场或投入使用，而无需等待</w:t>
      </w:r>
      <w:r>
        <w:rPr>
          <w:rFonts w:hint="eastAsia" w:ascii="Times New Roman" w:hAnsi="Times New Roman"/>
          <w:kern w:val="2"/>
          <w:szCs w:val="21"/>
        </w:rPr>
        <w:t>该</w:t>
      </w:r>
      <w:r>
        <w:rPr>
          <w:rFonts w:ascii="Times New Roman" w:hAnsi="Times New Roman"/>
          <w:kern w:val="2"/>
          <w:szCs w:val="21"/>
        </w:rPr>
        <w:t>条所述程序的实施，</w:t>
      </w:r>
      <w:r>
        <w:rPr>
          <w:rFonts w:hint="eastAsia" w:ascii="Times New Roman" w:hAnsi="Times New Roman"/>
          <w:kern w:val="2"/>
          <w:szCs w:val="21"/>
        </w:rPr>
        <w:t>但</w:t>
      </w:r>
      <w:r>
        <w:rPr>
          <w:rFonts w:ascii="Times New Roman" w:hAnsi="Times New Roman"/>
          <w:kern w:val="2"/>
          <w:szCs w:val="21"/>
        </w:rPr>
        <w:t>其使用应有利于公共健康及患者安全和健康。</w:t>
      </w:r>
    </w:p>
    <w:p w14:paraId="577BE775">
      <w:pPr>
        <w:pStyle w:val="32"/>
        <w:numPr>
          <w:ilvl w:val="0"/>
          <w:numId w:val="60"/>
        </w:numPr>
        <w:tabs>
          <w:tab w:val="left" w:pos="742"/>
        </w:tabs>
        <w:topLinePunct/>
        <w:snapToGrid w:val="0"/>
        <w:spacing w:beforeLines="25" w:line="300" w:lineRule="auto"/>
        <w:ind w:hanging="627"/>
        <w:jc w:val="both"/>
        <w:rPr>
          <w:rFonts w:ascii="Times New Roman" w:hAnsi="Times New Roman"/>
          <w:kern w:val="2"/>
          <w:szCs w:val="21"/>
        </w:rPr>
      </w:pPr>
      <w:r>
        <w:rPr>
          <w:rFonts w:ascii="Times New Roman" w:hAnsi="Times New Roman"/>
          <w:kern w:val="2"/>
          <w:szCs w:val="21"/>
        </w:rPr>
        <w:t>该成员国应通知委员会和其他成员国任何授权器械投放市场和投入运行的决议，此决议按照第1段中此类授权得到批准使用而不是仅供单一患者使用。</w:t>
      </w:r>
    </w:p>
    <w:p w14:paraId="2A686A49">
      <w:pPr>
        <w:pStyle w:val="32"/>
        <w:numPr>
          <w:ilvl w:val="0"/>
          <w:numId w:val="60"/>
        </w:numPr>
        <w:tabs>
          <w:tab w:val="left" w:pos="742"/>
        </w:tabs>
        <w:topLinePunct/>
        <w:snapToGrid w:val="0"/>
        <w:spacing w:beforeLines="25" w:line="300" w:lineRule="auto"/>
        <w:ind w:hanging="627"/>
        <w:jc w:val="both"/>
        <w:rPr>
          <w:rFonts w:ascii="Times New Roman" w:hAnsi="Times New Roman"/>
          <w:kern w:val="2"/>
          <w:szCs w:val="21"/>
        </w:rPr>
      </w:pPr>
      <w:r>
        <w:rPr>
          <w:rFonts w:ascii="Times New Roman" w:hAnsi="Times New Roman"/>
          <w:kern w:val="2"/>
          <w:szCs w:val="21"/>
        </w:rPr>
        <w:t>在按照本条第2段发布通知后，委员会针对公共健康或患者安全或健康的特殊情况，可通过实施细则，在一定程度上延长成员国根据本条第1段在欧盟境内授权的时限，并设置此器械可投放市场或投入使用的条件。</w:t>
      </w:r>
      <w:r>
        <w:rPr>
          <w:rFonts w:hint="eastAsia" w:ascii="Times New Roman" w:hAnsi="Times New Roman"/>
          <w:kern w:val="2"/>
          <w:szCs w:val="21"/>
        </w:rPr>
        <w:t>此外，</w:t>
      </w:r>
      <w:r>
        <w:rPr>
          <w:rFonts w:ascii="Times New Roman" w:hAnsi="Times New Roman"/>
          <w:kern w:val="2"/>
          <w:szCs w:val="21"/>
        </w:rPr>
        <w:t>应按照第114(3)条中述及的审查规程通过这些实施细则。</w:t>
      </w:r>
    </w:p>
    <w:p w14:paraId="6BB06CC6">
      <w:pPr>
        <w:pStyle w:val="8"/>
        <w:topLinePunct/>
        <w:snapToGrid w:val="0"/>
        <w:spacing w:beforeLines="25" w:line="300" w:lineRule="auto"/>
        <w:ind w:firstLine="0"/>
        <w:jc w:val="both"/>
        <w:rPr>
          <w:kern w:val="2"/>
          <w:szCs w:val="21"/>
        </w:rPr>
      </w:pPr>
      <w:r>
        <w:rPr>
          <w:kern w:val="2"/>
          <w:szCs w:val="21"/>
        </w:rPr>
        <w:t>若存在攸关人类健康与安全的紧迫性理由，委员会应按照第114(4)条所述的程序立即采取适用的实施细则。</w:t>
      </w:r>
    </w:p>
    <w:p w14:paraId="3A18EF8A">
      <w:pPr>
        <w:snapToGrid w:val="0"/>
        <w:spacing w:beforeLines="25" w:line="300" w:lineRule="auto"/>
        <w:rPr>
          <w:rFonts w:ascii="Times New Roman" w:hAnsi="Times New Roman"/>
          <w:kern w:val="2"/>
          <w:szCs w:val="21"/>
        </w:rPr>
      </w:pPr>
    </w:p>
    <w:p w14:paraId="10034723">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第60条</w:t>
      </w:r>
    </w:p>
    <w:p w14:paraId="4335CC08">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自由销售证书</w:t>
      </w:r>
    </w:p>
    <w:p w14:paraId="3DB90EE6">
      <w:pPr>
        <w:pStyle w:val="32"/>
        <w:numPr>
          <w:ilvl w:val="0"/>
          <w:numId w:val="6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为出口目的，应制造商或授权代表要求，制造商或授权代表注册地点所在成员国，需签发一份自由销售证书，声明制造商或授权代表（视情况而定）在其领域具有营业注册地，并且根据此法规，带有CE标记的上述器械可在欧盟市场上销售。自由销售证书应在</w:t>
      </w:r>
      <w:r>
        <w:rPr>
          <w:rFonts w:hint="eastAsia" w:ascii="Times New Roman" w:hAnsi="Times New Roman"/>
          <w:kern w:val="2"/>
          <w:szCs w:val="21"/>
        </w:rPr>
        <w:t>第</w:t>
      </w:r>
      <w:r>
        <w:rPr>
          <w:rFonts w:ascii="Times New Roman" w:hAnsi="Times New Roman"/>
          <w:kern w:val="2"/>
          <w:szCs w:val="21"/>
        </w:rPr>
        <w:t>29条</w:t>
      </w:r>
      <w:r>
        <w:rPr>
          <w:rFonts w:hint="eastAsia" w:ascii="Times New Roman" w:hAnsi="Times New Roman"/>
          <w:kern w:val="2"/>
          <w:szCs w:val="21"/>
        </w:rPr>
        <w:t>规定</w:t>
      </w:r>
      <w:r>
        <w:rPr>
          <w:rFonts w:ascii="Times New Roman" w:hAnsi="Times New Roman"/>
          <w:kern w:val="2"/>
          <w:szCs w:val="21"/>
        </w:rPr>
        <w:t>下</w:t>
      </w:r>
      <w:r>
        <w:rPr>
          <w:rFonts w:hint="eastAsia" w:ascii="Times New Roman" w:hAnsi="Times New Roman"/>
          <w:kern w:val="2"/>
          <w:szCs w:val="21"/>
        </w:rPr>
        <w:t>的</w:t>
      </w:r>
      <w:r>
        <w:rPr>
          <w:rFonts w:ascii="Times New Roman" w:hAnsi="Times New Roman"/>
          <w:kern w:val="2"/>
          <w:szCs w:val="21"/>
        </w:rPr>
        <w:t>UDI数据库中列明器械的基本UDI-DI。若公告机构颁发了第56条所述证书，</w:t>
      </w:r>
      <w:r>
        <w:rPr>
          <w:rFonts w:hint="eastAsia" w:ascii="Times New Roman" w:hAnsi="Times New Roman"/>
          <w:kern w:val="2"/>
          <w:szCs w:val="21"/>
        </w:rPr>
        <w:t>则</w:t>
      </w:r>
      <w:r>
        <w:rPr>
          <w:rFonts w:ascii="Times New Roman" w:hAnsi="Times New Roman"/>
          <w:kern w:val="2"/>
          <w:szCs w:val="21"/>
        </w:rPr>
        <w:t>自由销售证书应当依据附录XII第II章第3节列出的公告机构颁发唯一编号标识</w:t>
      </w:r>
      <w:r>
        <w:rPr>
          <w:rFonts w:hint="eastAsia" w:ascii="Times New Roman" w:hAnsi="Times New Roman"/>
          <w:kern w:val="2"/>
          <w:szCs w:val="21"/>
        </w:rPr>
        <w:t>的</w:t>
      </w:r>
      <w:r>
        <w:rPr>
          <w:rFonts w:ascii="Times New Roman" w:hAnsi="Times New Roman"/>
          <w:kern w:val="2"/>
          <w:szCs w:val="21"/>
        </w:rPr>
        <w:t>此证书。</w:t>
      </w:r>
    </w:p>
    <w:p w14:paraId="602F92F6">
      <w:pPr>
        <w:pStyle w:val="32"/>
        <w:numPr>
          <w:ilvl w:val="0"/>
          <w:numId w:val="6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委员会可通过实施细则，建立一个自由销售证书模版，其中考虑到自由销售证书的国际使用惯例。应按照第114(2)条中述及的咨询规程通过这些实施细则。</w:t>
      </w:r>
    </w:p>
    <w:p w14:paraId="09BF34BD">
      <w:pPr>
        <w:pStyle w:val="2"/>
        <w:spacing w:beforeLines="25" w:line="300" w:lineRule="auto"/>
        <w:rPr>
          <w:sz w:val="21"/>
          <w:szCs w:val="21"/>
        </w:rPr>
      </w:pPr>
      <w:bookmarkStart w:id="51" w:name="_Toc477512401"/>
    </w:p>
    <w:p w14:paraId="64E78C7F">
      <w:pPr>
        <w:pStyle w:val="2"/>
        <w:spacing w:beforeLines="25" w:line="300" w:lineRule="auto"/>
        <w:rPr>
          <w:rStyle w:val="48"/>
          <w:sz w:val="24"/>
          <w:szCs w:val="24"/>
        </w:rPr>
      </w:pPr>
      <w:r>
        <w:rPr>
          <w:sz w:val="24"/>
          <w:szCs w:val="24"/>
        </w:rPr>
        <w:t>第VI章</w:t>
      </w:r>
      <w:r>
        <w:rPr>
          <w:sz w:val="24"/>
          <w:szCs w:val="24"/>
        </w:rPr>
        <w:br w:type="textWrapping"/>
      </w:r>
      <w:r>
        <w:rPr>
          <w:sz w:val="24"/>
          <w:szCs w:val="24"/>
        </w:rPr>
        <w:t>临床评价和临床研究</w:t>
      </w:r>
      <w:bookmarkEnd w:id="51"/>
    </w:p>
    <w:p w14:paraId="65A53D46">
      <w:pPr>
        <w:snapToGrid w:val="0"/>
        <w:spacing w:beforeLines="25" w:line="300" w:lineRule="auto"/>
        <w:ind w:left="196"/>
        <w:jc w:val="center"/>
        <w:rPr>
          <w:rFonts w:ascii="Times New Roman" w:hAnsi="Times New Roman"/>
          <w:i/>
          <w:kern w:val="2"/>
          <w:szCs w:val="21"/>
        </w:rPr>
      </w:pPr>
    </w:p>
    <w:p w14:paraId="760F7B62">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第61条</w:t>
      </w:r>
    </w:p>
    <w:p w14:paraId="19EC5F8A">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临床评价</w:t>
      </w:r>
    </w:p>
    <w:p w14:paraId="1847ABAD">
      <w:pPr>
        <w:pStyle w:val="32"/>
        <w:numPr>
          <w:ilvl w:val="0"/>
          <w:numId w:val="6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在达到该器械预期用途的正常条件下，</w:t>
      </w:r>
      <w:r>
        <w:rPr>
          <w:rFonts w:hint="eastAsia" w:ascii="Times New Roman" w:hAnsi="Times New Roman"/>
          <w:kern w:val="2"/>
          <w:szCs w:val="21"/>
        </w:rPr>
        <w:t>应证明</w:t>
      </w:r>
      <w:r>
        <w:rPr>
          <w:rFonts w:ascii="Times New Roman" w:hAnsi="Times New Roman"/>
          <w:kern w:val="2"/>
          <w:szCs w:val="21"/>
        </w:rPr>
        <w:t>符合附录I所所述的通用安全能要求，</w:t>
      </w:r>
      <w:r>
        <w:rPr>
          <w:rFonts w:hint="eastAsia" w:ascii="Times New Roman" w:hAnsi="Times New Roman"/>
          <w:kern w:val="2"/>
          <w:szCs w:val="21"/>
        </w:rPr>
        <w:t>且</w:t>
      </w:r>
      <w:r>
        <w:rPr>
          <w:rFonts w:ascii="Times New Roman" w:hAnsi="Times New Roman"/>
          <w:kern w:val="2"/>
          <w:szCs w:val="21"/>
        </w:rPr>
        <w:t>附录I第1节和第8节所所述的不良副作用评估和收益/风险比可接受性</w:t>
      </w:r>
      <w:r>
        <w:rPr>
          <w:rFonts w:hint="eastAsia" w:ascii="Times New Roman" w:hAnsi="Times New Roman"/>
          <w:kern w:val="2"/>
          <w:szCs w:val="21"/>
        </w:rPr>
        <w:t>，</w:t>
      </w:r>
      <w:r>
        <w:rPr>
          <w:rFonts w:ascii="Times New Roman" w:hAnsi="Times New Roman"/>
          <w:kern w:val="2"/>
          <w:szCs w:val="21"/>
        </w:rPr>
        <w:t>均应依据临床数据所提供的充分的临床证据包</w:t>
      </w:r>
      <w:r>
        <w:rPr>
          <w:rFonts w:hint="eastAsia" w:ascii="Times New Roman" w:hAnsi="Times New Roman"/>
          <w:kern w:val="2"/>
          <w:szCs w:val="21"/>
        </w:rPr>
        <w:t>含</w:t>
      </w:r>
      <w:r>
        <w:rPr>
          <w:rFonts w:ascii="Times New Roman" w:hAnsi="Times New Roman"/>
          <w:kern w:val="2"/>
          <w:szCs w:val="21"/>
        </w:rPr>
        <w:t>附录II</w:t>
      </w:r>
      <w:r>
        <w:rPr>
          <w:rFonts w:hint="eastAsia" w:ascii="Times New Roman" w:hAnsi="Times New Roman"/>
          <w:kern w:val="2"/>
          <w:szCs w:val="21"/>
        </w:rPr>
        <w:t>I</w:t>
      </w:r>
      <w:r>
        <w:rPr>
          <w:rFonts w:ascii="Times New Roman" w:hAnsi="Times New Roman"/>
          <w:kern w:val="2"/>
          <w:szCs w:val="21"/>
        </w:rPr>
        <w:t>规定的相关数据（如适用）。</w:t>
      </w:r>
    </w:p>
    <w:p w14:paraId="1623BB55">
      <w:pPr>
        <w:pStyle w:val="8"/>
        <w:topLinePunct/>
        <w:snapToGrid w:val="0"/>
        <w:spacing w:beforeLines="25" w:line="300" w:lineRule="auto"/>
        <w:ind w:firstLine="0"/>
        <w:jc w:val="both"/>
        <w:rPr>
          <w:kern w:val="2"/>
          <w:szCs w:val="21"/>
        </w:rPr>
      </w:pPr>
      <w:r>
        <w:rPr>
          <w:kern w:val="2"/>
          <w:szCs w:val="21"/>
        </w:rPr>
        <w:t>制造商应规定并证明临床证据的等级足以证明符合通用安全与性能相关的基本要求。该临床证据等级应适合器械及其预期用途的特性。</w:t>
      </w:r>
    </w:p>
    <w:p w14:paraId="6F1C75AB">
      <w:pPr>
        <w:pStyle w:val="8"/>
        <w:topLinePunct/>
        <w:snapToGrid w:val="0"/>
        <w:spacing w:beforeLines="25" w:line="300" w:lineRule="auto"/>
        <w:ind w:firstLine="0"/>
        <w:jc w:val="both"/>
        <w:rPr>
          <w:kern w:val="2"/>
          <w:szCs w:val="21"/>
        </w:rPr>
      </w:pPr>
      <w:bookmarkStart w:id="52" w:name="To_that_end,_manufacturers_shall_plan,_c"/>
      <w:bookmarkEnd w:id="52"/>
      <w:r>
        <w:rPr>
          <w:kern w:val="2"/>
          <w:szCs w:val="21"/>
        </w:rPr>
        <w:t>为此，制造商应根据本法规及附录XIV第A部分计划、实施并用文件记录临床评价。</w:t>
      </w:r>
    </w:p>
    <w:p w14:paraId="40AEFF2D">
      <w:pPr>
        <w:pStyle w:val="8"/>
        <w:tabs>
          <w:tab w:val="left" w:pos="681"/>
        </w:tabs>
        <w:topLinePunct/>
        <w:snapToGrid w:val="0"/>
        <w:spacing w:beforeLines="20" w:line="288" w:lineRule="auto"/>
        <w:ind w:hanging="568"/>
        <w:jc w:val="both"/>
        <w:rPr>
          <w:kern w:val="2"/>
          <w:szCs w:val="21"/>
        </w:rPr>
      </w:pPr>
      <w:r>
        <w:rPr>
          <w:kern w:val="2"/>
          <w:szCs w:val="21"/>
        </w:rPr>
        <w:t>2.</w:t>
      </w:r>
      <w:r>
        <w:rPr>
          <w:kern w:val="2"/>
          <w:szCs w:val="21"/>
        </w:rPr>
        <w:tab/>
      </w:r>
      <w:r>
        <w:rPr>
          <w:kern w:val="2"/>
          <w:szCs w:val="21"/>
        </w:rPr>
        <w:t>对于第54（1）条（b）点中所述的</w:t>
      </w:r>
      <w:r>
        <w:rPr>
          <w:rFonts w:hint="eastAsia"/>
          <w:kern w:val="2"/>
          <w:szCs w:val="21"/>
        </w:rPr>
        <w:t>所有</w:t>
      </w:r>
      <w:r>
        <w:rPr>
          <w:kern w:val="2"/>
          <w:szCs w:val="21"/>
        </w:rPr>
        <w:t>III类和IIb类器械，制造商在临床评价和/或研究前依据第106条所述的程序咨询专家小组，目的</w:t>
      </w:r>
      <w:r>
        <w:rPr>
          <w:rFonts w:hint="eastAsia"/>
          <w:kern w:val="2"/>
          <w:szCs w:val="21"/>
        </w:rPr>
        <w:t>旨在</w:t>
      </w:r>
      <w:r>
        <w:rPr>
          <w:kern w:val="2"/>
          <w:szCs w:val="21"/>
        </w:rPr>
        <w:t>审查制造商的预期临床用途和临床研究方案。制造商应适当考虑专家小组发表的意见。</w:t>
      </w:r>
      <w:r>
        <w:rPr>
          <w:rFonts w:hint="eastAsia"/>
          <w:kern w:val="2"/>
          <w:szCs w:val="21"/>
        </w:rPr>
        <w:t>此外，</w:t>
      </w:r>
      <w:r>
        <w:rPr>
          <w:kern w:val="2"/>
          <w:szCs w:val="21"/>
        </w:rPr>
        <w:t>这些考虑因素应记录在本条第12段所述的临床评价报告中。</w:t>
      </w:r>
    </w:p>
    <w:p w14:paraId="03EA021A">
      <w:pPr>
        <w:pStyle w:val="8"/>
        <w:topLinePunct/>
        <w:snapToGrid w:val="0"/>
        <w:spacing w:beforeLines="20" w:line="288" w:lineRule="auto"/>
        <w:ind w:firstLine="0"/>
        <w:jc w:val="both"/>
        <w:rPr>
          <w:kern w:val="2"/>
          <w:szCs w:val="21"/>
        </w:rPr>
      </w:pPr>
      <w:bookmarkStart w:id="53" w:name="The_manufacturer_may_not_evoke_any_right"/>
      <w:bookmarkEnd w:id="53"/>
      <w:r>
        <w:rPr>
          <w:kern w:val="2"/>
          <w:szCs w:val="21"/>
        </w:rPr>
        <w:t>制造商可能无法从专家小组对任何未来符合性评估流程表达意见中取得任何权利。</w:t>
      </w:r>
    </w:p>
    <w:p w14:paraId="6363B02F">
      <w:pPr>
        <w:pStyle w:val="8"/>
        <w:tabs>
          <w:tab w:val="left" w:pos="681"/>
        </w:tabs>
        <w:topLinePunct/>
        <w:snapToGrid w:val="0"/>
        <w:spacing w:beforeLines="20" w:line="288" w:lineRule="auto"/>
        <w:ind w:hanging="568"/>
        <w:jc w:val="both"/>
        <w:rPr>
          <w:kern w:val="2"/>
          <w:szCs w:val="21"/>
        </w:rPr>
      </w:pPr>
      <w:r>
        <w:rPr>
          <w:kern w:val="2"/>
          <w:szCs w:val="21"/>
        </w:rPr>
        <w:t>3.</w:t>
      </w:r>
      <w:r>
        <w:rPr>
          <w:kern w:val="2"/>
          <w:szCs w:val="21"/>
        </w:rPr>
        <w:tab/>
      </w:r>
      <w:r>
        <w:rPr>
          <w:kern w:val="2"/>
          <w:szCs w:val="21"/>
        </w:rPr>
        <w:t>临床评价应遵循以下明确规定且方法得当的程序：</w:t>
      </w:r>
    </w:p>
    <w:p w14:paraId="01BABC19">
      <w:pPr>
        <w:pStyle w:val="32"/>
        <w:numPr>
          <w:ilvl w:val="1"/>
          <w:numId w:val="62"/>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目前涉及器械安全性能、设计特点和预期用途的科学文献关键评估如可用，则满足下列条件：</w:t>
      </w:r>
    </w:p>
    <w:p w14:paraId="47998BE1">
      <w:pPr>
        <w:pStyle w:val="32"/>
        <w:numPr>
          <w:ilvl w:val="2"/>
          <w:numId w:val="62"/>
        </w:numPr>
        <w:tabs>
          <w:tab w:val="left" w:pos="1816"/>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依据附录XIV第3节，表明用于预期用途临床评价的器械等同于与数据相关的器械，</w:t>
      </w:r>
    </w:p>
    <w:p w14:paraId="4E01D82D">
      <w:pPr>
        <w:pStyle w:val="32"/>
        <w:numPr>
          <w:ilvl w:val="2"/>
          <w:numId w:val="62"/>
        </w:numPr>
        <w:tabs>
          <w:tab w:val="left" w:pos="1816"/>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数据充分证明符合相关的通用安全能要求；</w:t>
      </w:r>
    </w:p>
    <w:p w14:paraId="0869F8E3">
      <w:pPr>
        <w:pStyle w:val="32"/>
        <w:numPr>
          <w:ilvl w:val="1"/>
          <w:numId w:val="62"/>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所有可用的临床研究结果的关键评估应依据第62条至80条、依据第81条和附录XV所采用的法案规定适当考虑是否进行研究。</w:t>
      </w:r>
    </w:p>
    <w:p w14:paraId="3FD78D6F">
      <w:pPr>
        <w:pStyle w:val="8"/>
        <w:tabs>
          <w:tab w:val="left" w:pos="1247"/>
        </w:tabs>
        <w:topLinePunct/>
        <w:snapToGrid w:val="0"/>
        <w:spacing w:beforeLines="20" w:line="288" w:lineRule="auto"/>
        <w:ind w:left="1247"/>
        <w:jc w:val="both"/>
        <w:rPr>
          <w:kern w:val="2"/>
          <w:szCs w:val="21"/>
        </w:rPr>
      </w:pPr>
      <w:r>
        <w:rPr>
          <w:kern w:val="2"/>
          <w:szCs w:val="21"/>
        </w:rPr>
        <w:t>(c)</w:t>
      </w:r>
      <w:r>
        <w:rPr>
          <w:kern w:val="2"/>
          <w:szCs w:val="21"/>
        </w:rPr>
        <w:tab/>
      </w:r>
      <w:r>
        <w:rPr>
          <w:kern w:val="2"/>
          <w:szCs w:val="21"/>
        </w:rPr>
        <w:t>为上述目的考虑替代当前可用的治疗方案（如有）。</w:t>
      </w:r>
    </w:p>
    <w:p w14:paraId="33701A8F">
      <w:pPr>
        <w:pStyle w:val="8"/>
        <w:tabs>
          <w:tab w:val="left" w:pos="681"/>
        </w:tabs>
        <w:topLinePunct/>
        <w:snapToGrid w:val="0"/>
        <w:spacing w:beforeLines="20" w:line="288" w:lineRule="auto"/>
        <w:ind w:hanging="568"/>
        <w:jc w:val="both"/>
        <w:rPr>
          <w:kern w:val="2"/>
          <w:szCs w:val="21"/>
        </w:rPr>
      </w:pPr>
      <w:r>
        <w:rPr>
          <w:kern w:val="2"/>
          <w:szCs w:val="21"/>
        </w:rPr>
        <w:t>4.</w:t>
      </w:r>
      <w:r>
        <w:rPr>
          <w:kern w:val="2"/>
          <w:szCs w:val="21"/>
        </w:rPr>
        <w:tab/>
      </w:r>
      <w:r>
        <w:rPr>
          <w:kern w:val="2"/>
          <w:szCs w:val="21"/>
        </w:rPr>
        <w:t>对于可植入器械和III类器械，应进行临床研究，除非：</w:t>
      </w:r>
    </w:p>
    <w:p w14:paraId="6EF8ACBF">
      <w:pPr>
        <w:pStyle w:val="32"/>
        <w:numPr>
          <w:ilvl w:val="0"/>
          <w:numId w:val="63"/>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该器械由同一制造商对已投放市场的器械</w:t>
      </w:r>
      <w:r>
        <w:rPr>
          <w:rFonts w:hint="eastAsia" w:ascii="Times New Roman" w:hAnsi="Times New Roman"/>
          <w:kern w:val="2"/>
          <w:szCs w:val="21"/>
        </w:rPr>
        <w:t>进行改进</w:t>
      </w:r>
      <w:r>
        <w:rPr>
          <w:rFonts w:ascii="Times New Roman" w:hAnsi="Times New Roman"/>
          <w:kern w:val="2"/>
          <w:szCs w:val="21"/>
        </w:rPr>
        <w:t>，</w:t>
      </w:r>
    </w:p>
    <w:p w14:paraId="05BD8C60">
      <w:pPr>
        <w:pStyle w:val="32"/>
        <w:numPr>
          <w:ilvl w:val="0"/>
          <w:numId w:val="63"/>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依据附录XIV第3节规定，已</w:t>
      </w:r>
      <w:r>
        <w:rPr>
          <w:rFonts w:hint="eastAsia" w:ascii="Times New Roman" w:hAnsi="Times New Roman"/>
          <w:kern w:val="2"/>
          <w:szCs w:val="21"/>
        </w:rPr>
        <w:t>改进</w:t>
      </w:r>
      <w:r>
        <w:rPr>
          <w:rFonts w:ascii="Times New Roman" w:hAnsi="Times New Roman"/>
          <w:kern w:val="2"/>
          <w:szCs w:val="21"/>
        </w:rPr>
        <w:t>的器械经制造商证明后等同于投放市场的器械，且此证明已得到公告机构认可，及</w:t>
      </w:r>
    </w:p>
    <w:p w14:paraId="7EDC9B8C">
      <w:pPr>
        <w:pStyle w:val="32"/>
        <w:numPr>
          <w:ilvl w:val="0"/>
          <w:numId w:val="63"/>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对投放市场的器械进行临床评价以证明已</w:t>
      </w:r>
      <w:r>
        <w:rPr>
          <w:rFonts w:hint="eastAsia" w:ascii="Times New Roman" w:hAnsi="Times New Roman"/>
          <w:kern w:val="2"/>
          <w:szCs w:val="21"/>
        </w:rPr>
        <w:t>改进</w:t>
      </w:r>
      <w:r>
        <w:rPr>
          <w:rFonts w:ascii="Times New Roman" w:hAnsi="Times New Roman"/>
          <w:kern w:val="2"/>
          <w:szCs w:val="21"/>
        </w:rPr>
        <w:t>的器械符合相关的安全性能要求。</w:t>
      </w:r>
    </w:p>
    <w:p w14:paraId="0E5B4794">
      <w:pPr>
        <w:pStyle w:val="8"/>
        <w:topLinePunct/>
        <w:snapToGrid w:val="0"/>
        <w:spacing w:beforeLines="20" w:line="288" w:lineRule="auto"/>
        <w:ind w:firstLine="0"/>
        <w:jc w:val="both"/>
        <w:rPr>
          <w:kern w:val="2"/>
          <w:szCs w:val="21"/>
        </w:rPr>
      </w:pPr>
      <w:r>
        <w:rPr>
          <w:kern w:val="2"/>
          <w:szCs w:val="21"/>
        </w:rPr>
        <w:t>在这种情况下，公告机构检查发现PMCF计划很合适且其中包括上市后研究，以证明器械的安全性能。</w:t>
      </w:r>
    </w:p>
    <w:p w14:paraId="63A521A1">
      <w:pPr>
        <w:pStyle w:val="8"/>
        <w:topLinePunct/>
        <w:snapToGrid w:val="0"/>
        <w:spacing w:beforeLines="20" w:line="288" w:lineRule="auto"/>
        <w:ind w:firstLine="0"/>
        <w:jc w:val="both"/>
        <w:rPr>
          <w:kern w:val="2"/>
          <w:szCs w:val="21"/>
        </w:rPr>
      </w:pPr>
      <w:r>
        <w:rPr>
          <w:kern w:val="2"/>
          <w:szCs w:val="21"/>
        </w:rPr>
        <w:t>此外，临床研究无需在第6段所所述的情况下执行。</w:t>
      </w:r>
    </w:p>
    <w:p w14:paraId="7B0D1D0D">
      <w:pPr>
        <w:pStyle w:val="8"/>
        <w:topLinePunct/>
        <w:snapToGrid w:val="0"/>
        <w:spacing w:beforeLines="20" w:line="288" w:lineRule="auto"/>
        <w:ind w:hanging="568"/>
        <w:jc w:val="both"/>
        <w:rPr>
          <w:kern w:val="2"/>
          <w:szCs w:val="21"/>
        </w:rPr>
      </w:pPr>
      <w:r>
        <w:rPr>
          <w:kern w:val="2"/>
          <w:szCs w:val="21"/>
        </w:rPr>
        <w:t>5.</w:t>
      </w:r>
      <w:r>
        <w:rPr>
          <w:kern w:val="2"/>
          <w:szCs w:val="21"/>
        </w:rPr>
        <w:tab/>
      </w:r>
      <w:r>
        <w:rPr>
          <w:kern w:val="2"/>
          <w:szCs w:val="21"/>
        </w:rPr>
        <w:t>依据第4段规定，制造商生产出的器械经证实等同于已投放市场的器械（不属于同一制造商生产），除此条所要求的内容外，若以下条件均满足，则无需进行临床研究：</w:t>
      </w:r>
    </w:p>
    <w:p w14:paraId="29BE919B">
      <w:pPr>
        <w:pStyle w:val="32"/>
        <w:numPr>
          <w:ilvl w:val="0"/>
          <w:numId w:val="64"/>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在这两个制造商拟定合同的适当位置明确允许第二种器械制造商在现有基础上全权使用技术文件。</w:t>
      </w:r>
    </w:p>
    <w:p w14:paraId="77788506">
      <w:pPr>
        <w:pStyle w:val="32"/>
        <w:numPr>
          <w:ilvl w:val="0"/>
          <w:numId w:val="64"/>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原始临床评价已依照本法规要求完成，</w:t>
      </w:r>
    </w:p>
    <w:p w14:paraId="0F63DBC7">
      <w:pPr>
        <w:pStyle w:val="32"/>
        <w:tabs>
          <w:tab w:val="left" w:pos="1248"/>
        </w:tabs>
        <w:topLinePunct/>
        <w:snapToGrid w:val="0"/>
        <w:spacing w:beforeLines="20" w:line="288" w:lineRule="auto"/>
        <w:ind w:left="681"/>
        <w:jc w:val="both"/>
        <w:rPr>
          <w:rFonts w:ascii="Times New Roman" w:hAnsi="Times New Roman"/>
          <w:kern w:val="2"/>
          <w:szCs w:val="21"/>
        </w:rPr>
      </w:pPr>
      <w:r>
        <w:rPr>
          <w:rFonts w:ascii="Times New Roman" w:hAnsi="Times New Roman"/>
          <w:kern w:val="2"/>
          <w:szCs w:val="21"/>
        </w:rPr>
        <w:t>且第二种器械制造商向公告机构提供其明确证据</w:t>
      </w:r>
    </w:p>
    <w:p w14:paraId="39CA883F">
      <w:pPr>
        <w:pStyle w:val="8"/>
        <w:topLinePunct/>
        <w:snapToGrid w:val="0"/>
        <w:spacing w:beforeLines="20" w:line="288" w:lineRule="auto"/>
        <w:ind w:hanging="568"/>
        <w:jc w:val="both"/>
        <w:rPr>
          <w:kern w:val="2"/>
          <w:szCs w:val="21"/>
        </w:rPr>
      </w:pPr>
      <w:r>
        <w:rPr>
          <w:kern w:val="2"/>
          <w:szCs w:val="21"/>
        </w:rPr>
        <w:t>6.</w:t>
      </w:r>
      <w:r>
        <w:rPr>
          <w:kern w:val="2"/>
          <w:szCs w:val="21"/>
        </w:rPr>
        <w:tab/>
      </w:r>
      <w:r>
        <w:rPr>
          <w:kern w:val="2"/>
          <w:szCs w:val="21"/>
        </w:rPr>
        <w:t>依据第4段执行临床研究的要求不适用于可植入器械和III类器械：</w:t>
      </w:r>
    </w:p>
    <w:p w14:paraId="16676E89">
      <w:pPr>
        <w:pStyle w:val="32"/>
        <w:numPr>
          <w:ilvl w:val="0"/>
          <w:numId w:val="65"/>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此类器械依据第90/385/EEC号指令或第93/42/EEC号指令已合法投放市场或投入使用，其临床评价：</w:t>
      </w:r>
    </w:p>
    <w:p w14:paraId="070852F8">
      <w:pPr>
        <w:pStyle w:val="32"/>
        <w:numPr>
          <w:ilvl w:val="1"/>
          <w:numId w:val="65"/>
        </w:numPr>
        <w:tabs>
          <w:tab w:val="left" w:pos="1816"/>
        </w:tabs>
        <w:topLinePunct/>
        <w:snapToGrid w:val="0"/>
        <w:spacing w:beforeLines="20" w:line="288" w:lineRule="auto"/>
        <w:ind w:left="1815" w:hanging="567"/>
        <w:jc w:val="both"/>
        <w:rPr>
          <w:rFonts w:ascii="Times New Roman" w:hAnsi="Times New Roman"/>
          <w:kern w:val="2"/>
          <w:szCs w:val="21"/>
        </w:rPr>
      </w:pPr>
      <w:r>
        <w:rPr>
          <w:rFonts w:ascii="Times New Roman" w:hAnsi="Times New Roman"/>
          <w:kern w:val="2"/>
          <w:szCs w:val="21"/>
        </w:rPr>
        <w:t>基于足够的临床数据</w:t>
      </w:r>
    </w:p>
    <w:p w14:paraId="1839900E">
      <w:pPr>
        <w:pStyle w:val="32"/>
        <w:numPr>
          <w:ilvl w:val="1"/>
          <w:numId w:val="65"/>
        </w:numPr>
        <w:tabs>
          <w:tab w:val="left" w:pos="1816"/>
        </w:tabs>
        <w:topLinePunct/>
        <w:snapToGrid w:val="0"/>
        <w:spacing w:beforeLines="20" w:line="288" w:lineRule="auto"/>
        <w:ind w:left="-2" w:leftChars="-1" w:firstLine="1260" w:firstLineChars="600"/>
        <w:jc w:val="both"/>
        <w:rPr>
          <w:rFonts w:ascii="Times New Roman" w:hAnsi="Times New Roman"/>
          <w:kern w:val="2"/>
          <w:szCs w:val="21"/>
        </w:rPr>
      </w:pPr>
      <w:r>
        <w:rPr>
          <w:rFonts w:ascii="Times New Roman" w:hAnsi="Times New Roman"/>
          <w:kern w:val="2"/>
          <w:szCs w:val="21"/>
        </w:rPr>
        <w:t>符合此类器械临床评价相关产品CS；或</w:t>
      </w:r>
    </w:p>
    <w:p w14:paraId="0F3B3646">
      <w:pPr>
        <w:pStyle w:val="32"/>
        <w:numPr>
          <w:ilvl w:val="0"/>
          <w:numId w:val="65"/>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针对缝线、U形钉、牙齿填充物、牙套、齿冠、螺钉、楔子、牙板、金属丝、针、小夹和连接体而进行的临床评价</w:t>
      </w:r>
      <w:r>
        <w:rPr>
          <w:rFonts w:hint="eastAsia" w:ascii="Times New Roman" w:hAnsi="Times New Roman"/>
          <w:kern w:val="2"/>
          <w:szCs w:val="21"/>
        </w:rPr>
        <w:t>均</w:t>
      </w:r>
      <w:r>
        <w:rPr>
          <w:rFonts w:ascii="Times New Roman" w:hAnsi="Times New Roman"/>
          <w:kern w:val="2"/>
          <w:szCs w:val="21"/>
        </w:rPr>
        <w:t>应建立在充分的临床数据上且符合相关的特定产品CS。</w:t>
      </w:r>
    </w:p>
    <w:p w14:paraId="35EE0593">
      <w:pPr>
        <w:pStyle w:val="8"/>
        <w:topLinePunct/>
        <w:snapToGrid w:val="0"/>
        <w:spacing w:beforeLines="50" w:line="312" w:lineRule="auto"/>
        <w:ind w:left="680"/>
        <w:jc w:val="both"/>
        <w:rPr>
          <w:kern w:val="2"/>
          <w:szCs w:val="21"/>
        </w:rPr>
      </w:pPr>
      <w:r>
        <w:rPr>
          <w:kern w:val="2"/>
          <w:szCs w:val="21"/>
        </w:rPr>
        <w:t>7.</w:t>
      </w:r>
      <w:r>
        <w:rPr>
          <w:kern w:val="2"/>
          <w:szCs w:val="21"/>
        </w:rPr>
        <w:tab/>
      </w:r>
      <w:r>
        <w:rPr>
          <w:kern w:val="2"/>
          <w:szCs w:val="21"/>
        </w:rPr>
        <w:t>对于因第4段的规定而未适用第6段的情况，在制造商的临床评价临床评价报告和公告机构的临床研究评估报告中可视为合理。</w:t>
      </w:r>
    </w:p>
    <w:p w14:paraId="1776B168">
      <w:pPr>
        <w:pStyle w:val="8"/>
        <w:topLinePunct/>
        <w:snapToGrid w:val="0"/>
        <w:spacing w:beforeLines="50" w:line="312" w:lineRule="auto"/>
        <w:ind w:hanging="568"/>
        <w:jc w:val="both"/>
        <w:rPr>
          <w:kern w:val="2"/>
          <w:szCs w:val="21"/>
        </w:rPr>
      </w:pPr>
      <w:bookmarkStart w:id="54" w:name="2ad._Where_justified_in_view_of_similar_"/>
      <w:bookmarkEnd w:id="54"/>
      <w:r>
        <w:rPr>
          <w:kern w:val="2"/>
          <w:szCs w:val="21"/>
        </w:rPr>
        <w:t>8.</w:t>
      </w:r>
      <w:r>
        <w:rPr>
          <w:kern w:val="2"/>
          <w:szCs w:val="21"/>
        </w:rPr>
        <w:tab/>
      </w:r>
      <w:r>
        <w:rPr>
          <w:rFonts w:hint="eastAsia"/>
          <w:kern w:val="2"/>
          <w:szCs w:val="21"/>
        </w:rPr>
        <w:t>若</w:t>
      </w:r>
      <w:r>
        <w:rPr>
          <w:kern w:val="2"/>
          <w:szCs w:val="21"/>
        </w:rPr>
        <w:t>理由充分，</w:t>
      </w:r>
      <w:r>
        <w:rPr>
          <w:rFonts w:hint="eastAsia"/>
          <w:kern w:val="2"/>
          <w:szCs w:val="21"/>
        </w:rPr>
        <w:t>则对于</w:t>
      </w:r>
      <w:r>
        <w:rPr>
          <w:kern w:val="2"/>
          <w:szCs w:val="21"/>
        </w:rPr>
        <w:t>具有在其他器械中使用与本条第6段（b）点列表中</w:t>
      </w:r>
      <w:r>
        <w:rPr>
          <w:rFonts w:hint="eastAsia"/>
          <w:kern w:val="2"/>
          <w:szCs w:val="21"/>
        </w:rPr>
        <w:t>豁免</w:t>
      </w:r>
      <w:r>
        <w:rPr>
          <w:kern w:val="2"/>
          <w:szCs w:val="21"/>
        </w:rPr>
        <w:t>器械所用技术类似技术，或出于保障患者、使用者或其他个人的健康和安全或公众健康其他方面的考虑，委员会有权根据第115条，授权将其他类型的可植入器械或III类器械添加到列表中或从中移除，</w:t>
      </w:r>
      <w:r>
        <w:rPr>
          <w:rFonts w:hint="eastAsia"/>
          <w:kern w:val="2"/>
          <w:szCs w:val="21"/>
        </w:rPr>
        <w:t>并</w:t>
      </w:r>
      <w:r>
        <w:rPr>
          <w:kern w:val="2"/>
          <w:szCs w:val="21"/>
        </w:rPr>
        <w:t>修订第52（4）第二子段和本条第6段（b）点中所述的</w:t>
      </w:r>
      <w:r>
        <w:rPr>
          <w:rFonts w:hint="eastAsia"/>
          <w:kern w:val="2"/>
          <w:szCs w:val="21"/>
        </w:rPr>
        <w:t>豁免</w:t>
      </w:r>
      <w:r>
        <w:rPr>
          <w:kern w:val="2"/>
          <w:szCs w:val="21"/>
        </w:rPr>
        <w:t>器械列表。</w:t>
      </w:r>
    </w:p>
    <w:p w14:paraId="3F411FA8">
      <w:pPr>
        <w:pStyle w:val="8"/>
        <w:tabs>
          <w:tab w:val="left" w:pos="681"/>
        </w:tabs>
        <w:topLinePunct/>
        <w:snapToGrid w:val="0"/>
        <w:spacing w:beforeLines="50" w:line="312" w:lineRule="auto"/>
        <w:ind w:hanging="568"/>
        <w:jc w:val="both"/>
        <w:rPr>
          <w:kern w:val="2"/>
          <w:szCs w:val="21"/>
        </w:rPr>
      </w:pPr>
      <w:r>
        <w:rPr>
          <w:kern w:val="2"/>
          <w:szCs w:val="21"/>
        </w:rPr>
        <w:t>9.</w:t>
      </w:r>
      <w:r>
        <w:rPr>
          <w:kern w:val="2"/>
          <w:szCs w:val="21"/>
        </w:rPr>
        <w:tab/>
      </w:r>
      <w:r>
        <w:rPr>
          <w:kern w:val="2"/>
          <w:szCs w:val="21"/>
        </w:rPr>
        <w:t>对于附录XVI所列不带有医学目的产品，本章和附录XIV和附录XV中要求说明的临床疗效应理解为说明该器械性能的要求。有关安全性相关数据的临床评价，包括来自上市后的监管、PMCF和具体的临床研究数据（适用时）的数据。应对这些产品进行临床研究，除非其具有能够使用现有类似医疗器械临床数据的正当理由。</w:t>
      </w:r>
    </w:p>
    <w:p w14:paraId="70AA0E59">
      <w:pPr>
        <w:pStyle w:val="32"/>
        <w:tabs>
          <w:tab w:val="left" w:pos="682"/>
        </w:tabs>
        <w:topLinePunct/>
        <w:snapToGrid w:val="0"/>
        <w:spacing w:beforeLines="50" w:line="312" w:lineRule="auto"/>
        <w:ind w:left="718" w:hanging="718" w:hangingChars="342"/>
        <w:jc w:val="both"/>
        <w:rPr>
          <w:rFonts w:ascii="Times New Roman" w:hAnsi="Times New Roman"/>
          <w:kern w:val="2"/>
          <w:szCs w:val="21"/>
        </w:rPr>
      </w:pPr>
      <w:bookmarkStart w:id="55" w:name="3._Except_for_class_III_and_implantable_"/>
      <w:bookmarkEnd w:id="55"/>
      <w:r>
        <w:rPr>
          <w:rFonts w:ascii="Times New Roman" w:hAnsi="Times New Roman"/>
          <w:kern w:val="2"/>
          <w:szCs w:val="21"/>
        </w:rPr>
        <w:t>10.</w:t>
      </w:r>
      <w:r>
        <w:rPr>
          <w:rFonts w:ascii="Times New Roman" w:hAnsi="Times New Roman"/>
          <w:kern w:val="2"/>
          <w:szCs w:val="21"/>
        </w:rPr>
        <w:tab/>
      </w:r>
      <w:r>
        <w:rPr>
          <w:rFonts w:ascii="Times New Roman" w:hAnsi="Times New Roman"/>
          <w:kern w:val="2"/>
          <w:szCs w:val="21"/>
        </w:rPr>
        <w:t>在不影响第4段规定下，若基于临床数据证明其符合通用安全与性能要求的论证不适当，应根据制造商风险管理的结果，考虑该器械与人体间相互影响的具体细节、预期临床性能和制造商要求，为任何此类例外情况给出充分理由。在此情况下，无论是否仅基于非临床研究结果（包括性能评估、台架试验和临床前评估结果）充分论证其符合通用安全与性能要求，制造商应在在附录II所指的技术文件中提供适当证明。</w:t>
      </w:r>
    </w:p>
    <w:p w14:paraId="1FB3787A">
      <w:pPr>
        <w:pStyle w:val="32"/>
        <w:tabs>
          <w:tab w:val="left" w:pos="682"/>
        </w:tabs>
        <w:topLinePunct/>
        <w:snapToGrid w:val="0"/>
        <w:spacing w:beforeLines="50" w:line="312" w:lineRule="auto"/>
        <w:ind w:left="718" w:hanging="718" w:hangingChars="342"/>
        <w:jc w:val="both"/>
        <w:rPr>
          <w:rFonts w:ascii="Times New Roman" w:hAnsi="Times New Roman"/>
          <w:kern w:val="2"/>
          <w:szCs w:val="21"/>
        </w:rPr>
      </w:pPr>
      <w:r>
        <w:rPr>
          <w:rFonts w:ascii="Times New Roman" w:hAnsi="Times New Roman"/>
          <w:kern w:val="2"/>
          <w:szCs w:val="21"/>
        </w:rPr>
        <w:t>11.</w:t>
      </w:r>
      <w:r>
        <w:rPr>
          <w:rFonts w:ascii="Times New Roman" w:hAnsi="Times New Roman"/>
          <w:kern w:val="2"/>
          <w:szCs w:val="21"/>
        </w:rPr>
        <w:tab/>
      </w:r>
      <w:r>
        <w:rPr>
          <w:rFonts w:ascii="Times New Roman" w:hAnsi="Times New Roman"/>
          <w:kern w:val="2"/>
          <w:szCs w:val="21"/>
        </w:rPr>
        <w:t>根据附录XIV第B部分计划和第84条所所述的上市后监管计划，在整个器械使用寿命期间，</w:t>
      </w:r>
      <w:r>
        <w:rPr>
          <w:rFonts w:hint="eastAsia" w:ascii="Times New Roman" w:hAnsi="Times New Roman"/>
          <w:kern w:val="2"/>
          <w:szCs w:val="21"/>
        </w:rPr>
        <w:t>应</w:t>
      </w:r>
      <w:r>
        <w:rPr>
          <w:rFonts w:ascii="Times New Roman" w:hAnsi="Times New Roman"/>
          <w:kern w:val="2"/>
          <w:szCs w:val="21"/>
        </w:rPr>
        <w:t>使用制造商实施PMCF后取得的临床数据对临床评价及其文件进行更新。</w:t>
      </w:r>
    </w:p>
    <w:p w14:paraId="4336DEA8">
      <w:pPr>
        <w:pStyle w:val="8"/>
        <w:topLinePunct/>
        <w:snapToGrid w:val="0"/>
        <w:spacing w:beforeLines="50" w:line="312" w:lineRule="auto"/>
        <w:ind w:firstLine="0"/>
        <w:jc w:val="both"/>
        <w:rPr>
          <w:kern w:val="2"/>
          <w:szCs w:val="21"/>
        </w:rPr>
      </w:pPr>
      <w:bookmarkStart w:id="56" w:name="For_devices_classified_as_class_III_and_"/>
      <w:bookmarkEnd w:id="56"/>
      <w:r>
        <w:rPr>
          <w:kern w:val="2"/>
          <w:szCs w:val="21"/>
        </w:rPr>
        <w:t>对于III类器械和可植入器械，第32条中所述的PMCF评估报告、安全和临床性能总结（视患者病情）应使用这些数据至少每年更新一次。</w:t>
      </w:r>
    </w:p>
    <w:p w14:paraId="23FB3C9C">
      <w:pPr>
        <w:pStyle w:val="32"/>
        <w:tabs>
          <w:tab w:val="left" w:pos="682"/>
        </w:tabs>
        <w:topLinePunct/>
        <w:snapToGrid w:val="0"/>
        <w:spacing w:beforeLines="50" w:line="312" w:lineRule="auto"/>
        <w:ind w:left="718" w:hanging="718" w:hangingChars="342"/>
        <w:jc w:val="both"/>
        <w:rPr>
          <w:rFonts w:ascii="Times New Roman" w:hAnsi="Times New Roman"/>
          <w:kern w:val="2"/>
          <w:szCs w:val="21"/>
        </w:rPr>
      </w:pPr>
      <w:bookmarkStart w:id="57" w:name="5._The_clinical_evaluation,_its_results_"/>
      <w:bookmarkEnd w:id="57"/>
      <w:r>
        <w:rPr>
          <w:rFonts w:ascii="Times New Roman" w:hAnsi="Times New Roman"/>
          <w:kern w:val="2"/>
          <w:szCs w:val="21"/>
        </w:rPr>
        <w:t>12.</w:t>
      </w:r>
      <w:r>
        <w:rPr>
          <w:rFonts w:ascii="Times New Roman" w:hAnsi="Times New Roman"/>
          <w:kern w:val="2"/>
          <w:szCs w:val="21"/>
        </w:rPr>
        <w:tab/>
      </w:r>
      <w:r>
        <w:rPr>
          <w:rFonts w:ascii="Times New Roman" w:hAnsi="Times New Roman"/>
          <w:kern w:val="2"/>
          <w:szCs w:val="21"/>
        </w:rPr>
        <w:t>从中得出的临床评价、结果和临床证据应记录在附录XIV第4节所述的临床评价临床评价报告中（定制器械除外），并作为附录II规定的有关器械技术文件的一部分。</w:t>
      </w:r>
    </w:p>
    <w:p w14:paraId="31DA6B34">
      <w:pPr>
        <w:pStyle w:val="32"/>
        <w:tabs>
          <w:tab w:val="left" w:pos="682"/>
        </w:tabs>
        <w:topLinePunct/>
        <w:snapToGrid w:val="0"/>
        <w:spacing w:beforeLines="50" w:line="312" w:lineRule="auto"/>
        <w:ind w:left="718" w:hanging="718" w:hangingChars="342"/>
        <w:jc w:val="both"/>
        <w:rPr>
          <w:rFonts w:ascii="Times New Roman" w:hAnsi="Times New Roman"/>
          <w:kern w:val="2"/>
          <w:szCs w:val="21"/>
        </w:rPr>
      </w:pPr>
      <w:bookmarkStart w:id="58" w:name="6._Where_necessary_to_ensure_the_uniform"/>
      <w:bookmarkEnd w:id="58"/>
      <w:r>
        <w:rPr>
          <w:rFonts w:ascii="Times New Roman" w:hAnsi="Times New Roman"/>
          <w:kern w:val="2"/>
          <w:szCs w:val="21"/>
        </w:rPr>
        <w:t>13.</w:t>
      </w:r>
      <w:r>
        <w:rPr>
          <w:rFonts w:ascii="Times New Roman" w:hAnsi="Times New Roman"/>
          <w:kern w:val="2"/>
          <w:szCs w:val="21"/>
        </w:rPr>
        <w:tab/>
      </w:r>
      <w:r>
        <w:rPr>
          <w:rFonts w:ascii="Times New Roman" w:hAnsi="Times New Roman"/>
          <w:kern w:val="2"/>
          <w:szCs w:val="21"/>
        </w:rPr>
        <w:t>若有必要确保附录XIV的应用一致性，委员会可充分考虑技术和科学的进展，必要时采取实施细则的措施以解决发生分歧和实际应用中出现的问题。应按照第114(3)条中述及的审查规程实施这些法案。</w:t>
      </w:r>
    </w:p>
    <w:p w14:paraId="208FC296">
      <w:pPr>
        <w:snapToGrid w:val="0"/>
        <w:spacing w:beforeLines="50" w:line="312" w:lineRule="auto"/>
        <w:rPr>
          <w:rFonts w:ascii="Times New Roman" w:hAnsi="Times New Roman"/>
          <w:kern w:val="2"/>
          <w:szCs w:val="21"/>
        </w:rPr>
      </w:pPr>
    </w:p>
    <w:p w14:paraId="6092F9FA">
      <w:pPr>
        <w:snapToGrid w:val="0"/>
        <w:spacing w:beforeLines="50" w:line="312" w:lineRule="auto"/>
        <w:ind w:left="196"/>
        <w:jc w:val="center"/>
        <w:rPr>
          <w:rStyle w:val="48"/>
          <w:b/>
          <w:szCs w:val="21"/>
        </w:rPr>
      </w:pPr>
      <w:bookmarkStart w:id="59" w:name="Article_50_General_requirements_regardin"/>
      <w:bookmarkEnd w:id="59"/>
      <w:r>
        <w:rPr>
          <w:rFonts w:ascii="Times New Roman" w:hAnsi="Times New Roman"/>
          <w:i/>
          <w:kern w:val="2"/>
          <w:szCs w:val="21"/>
        </w:rPr>
        <w:t>第62条</w:t>
      </w:r>
    </w:p>
    <w:p w14:paraId="5FD2531B">
      <w:pPr>
        <w:snapToGrid w:val="0"/>
        <w:spacing w:beforeLines="50" w:line="312" w:lineRule="auto"/>
        <w:ind w:left="120" w:leftChars="57" w:firstLine="1265" w:firstLineChars="600"/>
        <w:rPr>
          <w:rStyle w:val="48"/>
          <w:b/>
          <w:szCs w:val="21"/>
        </w:rPr>
      </w:pPr>
      <w:r>
        <w:rPr>
          <w:rFonts w:ascii="Times New Roman" w:hAnsi="Times New Roman"/>
          <w:b/>
          <w:kern w:val="2"/>
          <w:szCs w:val="21"/>
        </w:rPr>
        <w:t>执行有关临床研究的一般要求，以证明器械的符合性</w:t>
      </w:r>
    </w:p>
    <w:p w14:paraId="5BBD7A0A">
      <w:pPr>
        <w:pStyle w:val="32"/>
        <w:numPr>
          <w:ilvl w:val="0"/>
          <w:numId w:val="66"/>
        </w:numPr>
        <w:tabs>
          <w:tab w:val="left" w:pos="682"/>
        </w:tabs>
        <w:topLinePunct/>
        <w:snapToGrid w:val="0"/>
        <w:spacing w:beforeLines="50" w:line="312" w:lineRule="auto"/>
        <w:ind w:hanging="567"/>
        <w:jc w:val="both"/>
        <w:rPr>
          <w:rFonts w:ascii="Times New Roman" w:hAnsi="Times New Roman"/>
          <w:kern w:val="2"/>
          <w:szCs w:val="21"/>
        </w:rPr>
      </w:pPr>
      <w:r>
        <w:rPr>
          <w:rFonts w:ascii="Times New Roman" w:hAnsi="Times New Roman"/>
          <w:kern w:val="2"/>
          <w:szCs w:val="21"/>
        </w:rPr>
        <w:t>临床研究应根据第本条和第63 - 80条和根据第81条采用的法案和附录XV进行设计、授权、执行、记录和报告，前提是其出于以下一个或多个目的，为临床评价的符合性评估而执行：</w:t>
      </w:r>
    </w:p>
    <w:p w14:paraId="170BF7E8">
      <w:pPr>
        <w:pStyle w:val="32"/>
        <w:numPr>
          <w:ilvl w:val="1"/>
          <w:numId w:val="66"/>
        </w:numPr>
        <w:tabs>
          <w:tab w:val="left" w:pos="1248"/>
        </w:tabs>
        <w:topLinePunct/>
        <w:snapToGrid w:val="0"/>
        <w:spacing w:beforeLines="50" w:line="312" w:lineRule="auto"/>
        <w:jc w:val="both"/>
        <w:rPr>
          <w:rFonts w:ascii="Times New Roman" w:hAnsi="Times New Roman"/>
          <w:kern w:val="2"/>
          <w:szCs w:val="21"/>
        </w:rPr>
      </w:pPr>
      <w:r>
        <w:rPr>
          <w:rFonts w:ascii="Times New Roman" w:hAnsi="Times New Roman"/>
          <w:kern w:val="2"/>
          <w:szCs w:val="21"/>
        </w:rPr>
        <w:t>建立和验证设计、生产和组装的器械在正常使用条件下适用于第2条（1）点编号（1）中所指的一个或多个特定目的，并能够实现制造商规定的预期性能；</w:t>
      </w:r>
    </w:p>
    <w:p w14:paraId="19F8357B">
      <w:pPr>
        <w:pStyle w:val="32"/>
        <w:numPr>
          <w:ilvl w:val="1"/>
          <w:numId w:val="66"/>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建立和验证制造商规定的器械临床益处；</w:t>
      </w:r>
    </w:p>
    <w:p w14:paraId="16D5657F">
      <w:pPr>
        <w:pStyle w:val="32"/>
        <w:numPr>
          <w:ilvl w:val="1"/>
          <w:numId w:val="66"/>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建立和验证器械的临床安全性，确定器械在正常使用状态下是否存在任何不良的副作用，并在权衡器械取得的疗效时评估其所构成的风险是否可接受。</w:t>
      </w:r>
    </w:p>
    <w:p w14:paraId="1430E5C2">
      <w:pPr>
        <w:pStyle w:val="32"/>
        <w:numPr>
          <w:ilvl w:val="0"/>
          <w:numId w:val="6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临床研究的申办方不是在欧盟境内成立的，该申办方应当确保有一个在欧盟依法登记成立的自然人或法人作为法定代理人。该法定代理人应负责确保申办方遵守本法规规定的义务，并应成为本法规规定的申办方的所有通信的收件人。任何与法定代理人的通信均应视为是与申办方的通信。</w:t>
      </w:r>
    </w:p>
    <w:p w14:paraId="30B17F2B">
      <w:pPr>
        <w:pStyle w:val="8"/>
        <w:topLinePunct/>
        <w:snapToGrid w:val="0"/>
        <w:spacing w:beforeLines="25" w:line="300" w:lineRule="auto"/>
        <w:ind w:firstLine="0"/>
        <w:jc w:val="both"/>
        <w:rPr>
          <w:kern w:val="2"/>
          <w:szCs w:val="21"/>
        </w:rPr>
      </w:pPr>
      <w:bookmarkStart w:id="60" w:name="Member_States_may_choose_not_to_apply_th"/>
      <w:bookmarkEnd w:id="60"/>
      <w:r>
        <w:rPr>
          <w:kern w:val="2"/>
          <w:szCs w:val="21"/>
        </w:rPr>
        <w:t>成员国在其领土或第三国领土上单独进行临床研究时可选择不遵循第一子段，只要其保证申办方在其领土上至少设立一个联络人，该联络人应作为本法规规定的申办方的所有通信收件人。</w:t>
      </w:r>
    </w:p>
    <w:p w14:paraId="7491C224">
      <w:pPr>
        <w:pStyle w:val="32"/>
        <w:numPr>
          <w:ilvl w:val="0"/>
          <w:numId w:val="6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临床研究的设计和实施必须在受试者权利、安全、尊严和福祉得到保护并且优先于所有其他利益的基础上开展，并且产生的临床数据必须是科学有效、可靠、可信的。</w:t>
      </w:r>
    </w:p>
    <w:p w14:paraId="567AB956">
      <w:pPr>
        <w:pStyle w:val="8"/>
        <w:topLinePunct/>
        <w:snapToGrid w:val="0"/>
        <w:spacing w:beforeLines="25" w:line="300" w:lineRule="auto"/>
        <w:ind w:firstLine="0"/>
        <w:jc w:val="both"/>
        <w:rPr>
          <w:kern w:val="2"/>
          <w:szCs w:val="21"/>
        </w:rPr>
      </w:pPr>
      <w:r>
        <w:rPr>
          <w:kern w:val="2"/>
          <w:szCs w:val="21"/>
        </w:rPr>
        <w:t>临床研究应获得科学和伦理审查。伦理审查应当由伦理委员会根据国家法律规定执行。各成员国应确保由伦理委员会进行的审查程序与列于本法规的对临床研究授权申请的评估流程是一致的。至少有一个非专业人士参加伦理审查。</w:t>
      </w:r>
    </w:p>
    <w:p w14:paraId="539EC980">
      <w:pPr>
        <w:pStyle w:val="32"/>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4.</w:t>
      </w:r>
      <w:r>
        <w:rPr>
          <w:rFonts w:ascii="Times New Roman" w:hAnsi="Times New Roman"/>
          <w:kern w:val="2"/>
          <w:szCs w:val="21"/>
        </w:rPr>
        <w:tab/>
      </w:r>
      <w:r>
        <w:rPr>
          <w:rFonts w:ascii="Times New Roman" w:hAnsi="Times New Roman"/>
          <w:kern w:val="2"/>
          <w:szCs w:val="21"/>
        </w:rPr>
        <w:t>需在满足以下所有条件的情况下开展第1段所述临床研究：</w:t>
      </w:r>
    </w:p>
    <w:p w14:paraId="13C84327">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根据本法规规定，临床研究需受进行临床研究</w:t>
      </w:r>
      <w:r>
        <w:rPr>
          <w:rFonts w:hint="eastAsia" w:ascii="Times New Roman" w:hAnsi="Times New Roman"/>
          <w:kern w:val="2"/>
          <w:szCs w:val="21"/>
        </w:rPr>
        <w:t>的</w:t>
      </w:r>
      <w:r>
        <w:rPr>
          <w:rFonts w:ascii="Times New Roman" w:hAnsi="Times New Roman"/>
          <w:kern w:val="2"/>
          <w:szCs w:val="21"/>
        </w:rPr>
        <w:t>成员国</w:t>
      </w:r>
      <w:r>
        <w:rPr>
          <w:rFonts w:hint="eastAsia" w:ascii="Times New Roman" w:hAnsi="Times New Roman"/>
          <w:kern w:val="2"/>
          <w:szCs w:val="21"/>
        </w:rPr>
        <w:t>的</w:t>
      </w:r>
      <w:r>
        <w:rPr>
          <w:rFonts w:ascii="Times New Roman" w:hAnsi="Times New Roman"/>
          <w:kern w:val="2"/>
          <w:szCs w:val="21"/>
        </w:rPr>
        <w:t>主管机构监管，除非另有说明；</w:t>
      </w:r>
    </w:p>
    <w:p w14:paraId="6C3E636C">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一个依据国家法律成立的独立的伦理委员会，不能依据国家法律发布对有关整个成员国有效的有关临床研究的负面评价；</w:t>
      </w:r>
    </w:p>
    <w:p w14:paraId="557BA9E1">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依据第2段，申办方或其法定代理人或联系人应在欧盟境内依法成立；</w:t>
      </w:r>
    </w:p>
    <w:p w14:paraId="30275A24">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按照第64至68条弱势群体和受试者应得到适当保护；（e）</w:t>
      </w:r>
      <w:r>
        <w:rPr>
          <w:rFonts w:ascii="Times New Roman" w:hAnsi="Times New Roman"/>
          <w:kern w:val="2"/>
          <w:szCs w:val="21"/>
        </w:rPr>
        <w:tab/>
      </w:r>
      <w:r>
        <w:rPr>
          <w:rFonts w:ascii="Times New Roman" w:hAnsi="Times New Roman"/>
          <w:kern w:val="2"/>
          <w:szCs w:val="21"/>
        </w:rPr>
        <w:t>对受试者或公众健康的预期利益超过其可预见的风险和不便，并将监控其是否持续符合本条件；</w:t>
      </w:r>
    </w:p>
    <w:p w14:paraId="73BB3CE2">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根据第63条，受试者或其法定代理人（在受试者不能给与知情同意书时）已给出知情同意书。</w:t>
      </w:r>
    </w:p>
    <w:p w14:paraId="2340E6C8">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向受试者或其法定代理人（在受试者不能给与知情同意书时）提供在需要时可接收更多信息的实体联系方式；</w:t>
      </w:r>
    </w:p>
    <w:p w14:paraId="00E2D55C">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根据第95/46/EC号指令，保障受试者身心健全的权利、隐私权以及保护自身有关信息权利；</w:t>
      </w:r>
    </w:p>
    <w:p w14:paraId="376C701C">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临床研究应尽可能减少受试者的伴随疼痛、不适、恐惧及其他可预见风险，在临床研究计划中风险阈值和压力水平均经过具体确定并对其进行持续监控；</w:t>
      </w:r>
    </w:p>
    <w:p w14:paraId="784616E3">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具有资质的医生有责任为受试者提供医疗护理，在适当情况下，合</w:t>
      </w:r>
      <w:r>
        <w:rPr>
          <w:rFonts w:hint="eastAsia" w:ascii="Times New Roman" w:hAnsi="Times New Roman"/>
          <w:kern w:val="2"/>
          <w:szCs w:val="21"/>
        </w:rPr>
        <w:t>资</w:t>
      </w:r>
      <w:r>
        <w:rPr>
          <w:rFonts w:ascii="Times New Roman" w:hAnsi="Times New Roman"/>
          <w:kern w:val="2"/>
          <w:szCs w:val="21"/>
        </w:rPr>
        <w:t>格的牙医或其他任何个人应依法在临床研究情况下提供相关的患者护理；</w:t>
      </w:r>
    </w:p>
    <w:p w14:paraId="645C3B2C">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提供给受试者的医疗服务是一个合格的医生的责任，或者在适当的情况下，一个合格的牙科医生或由国家法律授权的任何其他人有权在临床研究条件下提供相关的患者护理；</w:t>
      </w:r>
    </w:p>
    <w:p w14:paraId="59AE5BFB">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受试者或其法定代理人在参与临床研究时，不会受到不良影响（包括财务方面）；</w:t>
      </w:r>
    </w:p>
    <w:p w14:paraId="05AAE507">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bookmarkStart w:id="61" w:name="_bookmark32"/>
      <w:bookmarkEnd w:id="61"/>
      <w:r>
        <w:rPr>
          <w:rFonts w:ascii="Times New Roman" w:hAnsi="Times New Roman"/>
          <w:kern w:val="2"/>
          <w:szCs w:val="21"/>
        </w:rPr>
        <w:t>所述研究器械应符合适用的附录I中规定的通用安全与性能要求，临床研究所涉及的方面除外，而对于这些方面，应采取各种预防措施以保障受试者的健康和安全。</w:t>
      </w:r>
      <w:r>
        <w:rPr>
          <w:rFonts w:hint="eastAsia" w:ascii="Times New Roman" w:hAnsi="Times New Roman"/>
          <w:kern w:val="2"/>
          <w:szCs w:val="21"/>
        </w:rPr>
        <w:t>其中</w:t>
      </w:r>
      <w:r>
        <w:rPr>
          <w:rFonts w:ascii="Times New Roman" w:hAnsi="Times New Roman"/>
          <w:kern w:val="2"/>
          <w:szCs w:val="21"/>
        </w:rPr>
        <w:t>包括在适当情况下的技术和生物安全检测和临床前评估，以及职业安全和事故预防领域中的规定，这些应考虑目前最先进的技术；</w:t>
      </w:r>
    </w:p>
    <w:p w14:paraId="5AD6ADBA">
      <w:pPr>
        <w:pStyle w:val="32"/>
        <w:numPr>
          <w:ilvl w:val="1"/>
          <w:numId w:val="67"/>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符合附录XV的要求。</w:t>
      </w:r>
    </w:p>
    <w:p w14:paraId="1BC23F50">
      <w:pPr>
        <w:pStyle w:val="8"/>
        <w:topLinePunct/>
        <w:snapToGrid w:val="0"/>
        <w:spacing w:beforeLines="25" w:line="300" w:lineRule="auto"/>
        <w:jc w:val="both"/>
        <w:rPr>
          <w:kern w:val="2"/>
          <w:szCs w:val="21"/>
        </w:rPr>
      </w:pPr>
      <w:bookmarkStart w:id="62" w:name="Any_subject,_or,_where_the_subject_is_no"/>
      <w:bookmarkEnd w:id="62"/>
      <w:r>
        <w:rPr>
          <w:kern w:val="2"/>
          <w:szCs w:val="21"/>
          <w:lang w:val="en-US"/>
        </w:rPr>
        <w:t>5.</w:t>
      </w:r>
      <w:r>
        <w:rPr>
          <w:kern w:val="2"/>
          <w:szCs w:val="21"/>
          <w:lang w:val="en-US"/>
        </w:rPr>
        <w:tab/>
      </w:r>
      <w:r>
        <w:rPr>
          <w:kern w:val="2"/>
          <w:szCs w:val="21"/>
        </w:rPr>
        <w:t>任何受试者或其法定代理人（当受试者无法签署知情同意书时）可在未造成任何损伤且无需提供任何理由的情况下，通过撤销其知情同意书，随时退出该临床研究。在不违反第95/46/EC号指令情况下，撤回知情同意书不得影响已经开展的活动以及在撤离知情同意书前已经获得的数据。</w:t>
      </w:r>
    </w:p>
    <w:p w14:paraId="26A13CB0">
      <w:pPr>
        <w:pStyle w:val="32"/>
        <w:tabs>
          <w:tab w:val="left" w:pos="682"/>
        </w:tabs>
        <w:topLinePunct/>
        <w:snapToGrid w:val="0"/>
        <w:spacing w:beforeLines="25" w:line="300" w:lineRule="auto"/>
        <w:ind w:left="657" w:hanging="657" w:hangingChars="313"/>
        <w:jc w:val="both"/>
        <w:rPr>
          <w:rFonts w:ascii="Times New Roman" w:hAnsi="Times New Roman"/>
          <w:kern w:val="2"/>
          <w:szCs w:val="21"/>
        </w:rPr>
      </w:pPr>
      <w:bookmarkStart w:id="63" w:name="8._The_investigator_shall_be_a_person_fo"/>
      <w:bookmarkEnd w:id="63"/>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研究人员应从事相关成员国承认的职业，</w:t>
      </w:r>
      <w:r>
        <w:rPr>
          <w:rFonts w:hint="eastAsia" w:ascii="Times New Roman" w:hAnsi="Times New Roman"/>
          <w:kern w:val="2"/>
          <w:szCs w:val="21"/>
        </w:rPr>
        <w:t>并将</w:t>
      </w:r>
      <w:r>
        <w:rPr>
          <w:rFonts w:ascii="Times New Roman" w:hAnsi="Times New Roman"/>
          <w:kern w:val="2"/>
          <w:szCs w:val="21"/>
        </w:rPr>
        <w:t>其在患者护理方面具有必要的科学知识和经验考虑认定</w:t>
      </w:r>
      <w:r>
        <w:rPr>
          <w:rFonts w:hint="eastAsia" w:ascii="Times New Roman" w:hAnsi="Times New Roman"/>
          <w:kern w:val="2"/>
          <w:szCs w:val="21"/>
        </w:rPr>
        <w:t>为</w:t>
      </w:r>
      <w:r>
        <w:rPr>
          <w:rFonts w:ascii="Times New Roman" w:hAnsi="Times New Roman"/>
          <w:kern w:val="2"/>
          <w:szCs w:val="21"/>
        </w:rPr>
        <w:t>其</w:t>
      </w:r>
      <w:r>
        <w:rPr>
          <w:rFonts w:hint="eastAsia" w:ascii="Times New Roman" w:hAnsi="Times New Roman"/>
          <w:kern w:val="2"/>
          <w:szCs w:val="21"/>
        </w:rPr>
        <w:t>是否</w:t>
      </w:r>
      <w:r>
        <w:rPr>
          <w:rFonts w:ascii="Times New Roman" w:hAnsi="Times New Roman"/>
          <w:kern w:val="2"/>
          <w:szCs w:val="21"/>
        </w:rPr>
        <w:t>具有作为研究人员的资格。为执行任务，</w:t>
      </w:r>
      <w:r>
        <w:rPr>
          <w:rFonts w:hint="eastAsia" w:ascii="Times New Roman" w:hAnsi="Times New Roman"/>
          <w:kern w:val="2"/>
          <w:szCs w:val="21"/>
        </w:rPr>
        <w:t>应</w:t>
      </w:r>
      <w:r>
        <w:rPr>
          <w:rFonts w:ascii="Times New Roman" w:hAnsi="Times New Roman"/>
          <w:kern w:val="2"/>
          <w:szCs w:val="21"/>
        </w:rPr>
        <w:t>参与临床研究的其他人员，应当在教育、培训或相关医疗领域和临床研究方法的经验方面具有相应资格。</w:t>
      </w:r>
    </w:p>
    <w:p w14:paraId="1AA81E08">
      <w:pPr>
        <w:pStyle w:val="32"/>
        <w:tabs>
          <w:tab w:val="left" w:pos="682"/>
        </w:tabs>
        <w:topLinePunct/>
        <w:snapToGrid w:val="0"/>
        <w:spacing w:beforeLines="25" w:line="300" w:lineRule="auto"/>
        <w:jc w:val="both"/>
        <w:rPr>
          <w:rFonts w:ascii="Times New Roman" w:hAnsi="Times New Roman"/>
          <w:kern w:val="2"/>
          <w:szCs w:val="21"/>
        </w:rPr>
      </w:pPr>
      <w:bookmarkStart w:id="64" w:name="9._The_facilities_where_the_clinical_inv"/>
      <w:bookmarkEnd w:id="64"/>
      <w:r>
        <w:rPr>
          <w:rFonts w:ascii="Times New Roman" w:hAnsi="Times New Roman"/>
          <w:kern w:val="2"/>
          <w:szCs w:val="21"/>
        </w:rPr>
        <w:t>7.</w:t>
      </w:r>
      <w:r>
        <w:rPr>
          <w:rFonts w:ascii="Times New Roman" w:hAnsi="Times New Roman"/>
          <w:kern w:val="2"/>
          <w:szCs w:val="21"/>
        </w:rPr>
        <w:tab/>
      </w:r>
      <w:r>
        <w:rPr>
          <w:rFonts w:ascii="Times New Roman" w:hAnsi="Times New Roman"/>
          <w:kern w:val="2"/>
          <w:szCs w:val="21"/>
        </w:rPr>
        <w:t>临床研究使用的器械应适用于临床研究，并具备相似预期用途。</w:t>
      </w:r>
    </w:p>
    <w:p w14:paraId="0DD49C6B">
      <w:pPr>
        <w:snapToGrid w:val="0"/>
        <w:spacing w:beforeLines="25" w:line="300" w:lineRule="auto"/>
        <w:ind w:left="196"/>
        <w:jc w:val="center"/>
        <w:rPr>
          <w:rFonts w:ascii="Times New Roman" w:hAnsi="Times New Roman"/>
          <w:i/>
          <w:kern w:val="2"/>
          <w:szCs w:val="21"/>
        </w:rPr>
      </w:pPr>
      <w:bookmarkStart w:id="65" w:name="_bookmark33"/>
      <w:bookmarkEnd w:id="65"/>
    </w:p>
    <w:p w14:paraId="1AD8F23B">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第63条</w:t>
      </w:r>
    </w:p>
    <w:p w14:paraId="617002CD">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知情同意</w:t>
      </w:r>
    </w:p>
    <w:p w14:paraId="099FAE24">
      <w:pPr>
        <w:pStyle w:val="32"/>
        <w:numPr>
          <w:ilvl w:val="0"/>
          <w:numId w:val="6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知情同意书须由第2段（c）点所述的面试的受试者编写，注明日期并签名，或根据第2段，在已正式通知后，受试者或其法定代理人（不能够给出知情同意书时）签署。当受试者不能编写时，可在至少有一个公正见证人在场的情况下，使用适当的替代方法记录，以予</w:t>
      </w:r>
      <w:r>
        <w:rPr>
          <w:rFonts w:hint="eastAsia" w:ascii="Times New Roman" w:hAnsi="Times New Roman"/>
          <w:kern w:val="2"/>
          <w:szCs w:val="21"/>
        </w:rPr>
        <w:t>以</w:t>
      </w:r>
      <w:r>
        <w:rPr>
          <w:rFonts w:ascii="Times New Roman" w:hAnsi="Times New Roman"/>
          <w:kern w:val="2"/>
          <w:szCs w:val="21"/>
        </w:rPr>
        <w:t>同意。在这种情况下，见证人应在知情同意书上签名并注明日期。应当向受试者或其法定代理人（在受试者不能给与知情同意书时）提供该文件的副本或备案（如适用）已表示给与知情同意书。知情同意书应记录在案。应当给与受试者或其法定代理人充足的时间，来考虑其是否决议参与临床研究。</w:t>
      </w:r>
    </w:p>
    <w:p w14:paraId="285AA841">
      <w:pPr>
        <w:pStyle w:val="32"/>
        <w:numPr>
          <w:ilvl w:val="0"/>
          <w:numId w:val="6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为获得知情同意书，提供给与受试者或其法定代理人（在受试者不能给与知情同意书时）的信息应至少包括：</w:t>
      </w:r>
    </w:p>
    <w:p w14:paraId="419BA6F3">
      <w:pPr>
        <w:pStyle w:val="32"/>
        <w:numPr>
          <w:ilvl w:val="1"/>
          <w:numId w:val="68"/>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使受试者或其法定代理人理解：</w:t>
      </w:r>
    </w:p>
    <w:p w14:paraId="2C821ECA">
      <w:pPr>
        <w:pStyle w:val="32"/>
        <w:numPr>
          <w:ilvl w:val="2"/>
          <w:numId w:val="68"/>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临床研究的性质、目的、疗效、影响、风险和困难；</w:t>
      </w:r>
    </w:p>
    <w:p w14:paraId="19301796">
      <w:pPr>
        <w:pStyle w:val="32"/>
        <w:numPr>
          <w:ilvl w:val="2"/>
          <w:numId w:val="68"/>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受试者有权利对个人进行保护，特别是在不产生任何损害的情况下，可拒绝参与并随时从临床研究中退出而无需提供任何理由；</w:t>
      </w:r>
    </w:p>
    <w:p w14:paraId="1B8C0C08">
      <w:pPr>
        <w:pStyle w:val="32"/>
        <w:numPr>
          <w:ilvl w:val="2"/>
          <w:numId w:val="68"/>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临床研究的实施条件包括临床研究中受试者参与的预期持续时间；和</w:t>
      </w:r>
    </w:p>
    <w:p w14:paraId="394890DE">
      <w:pPr>
        <w:pStyle w:val="32"/>
        <w:numPr>
          <w:ilvl w:val="2"/>
          <w:numId w:val="68"/>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可能的治疗替代方案，包括受试者中止参与临床研究时的后续措施；</w:t>
      </w:r>
    </w:p>
    <w:p w14:paraId="12E32B9C">
      <w:pPr>
        <w:pStyle w:val="32"/>
        <w:numPr>
          <w:ilvl w:val="1"/>
          <w:numId w:val="68"/>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保持受试</w:t>
      </w:r>
      <w:r>
        <w:rPr>
          <w:rFonts w:hint="eastAsia" w:ascii="Times New Roman" w:hAnsi="Times New Roman"/>
          <w:kern w:val="2"/>
          <w:szCs w:val="21"/>
        </w:rPr>
        <w:t>者</w:t>
      </w:r>
      <w:r>
        <w:rPr>
          <w:rFonts w:ascii="Times New Roman" w:hAnsi="Times New Roman"/>
          <w:kern w:val="2"/>
          <w:szCs w:val="21"/>
        </w:rPr>
        <w:t>或她和其</w:t>
      </w:r>
      <w:r>
        <w:rPr>
          <w:rFonts w:hint="eastAsia" w:ascii="Times New Roman" w:hAnsi="Times New Roman"/>
          <w:kern w:val="2"/>
          <w:szCs w:val="21"/>
        </w:rPr>
        <w:t>指定</w:t>
      </w:r>
      <w:r>
        <w:rPr>
          <w:rFonts w:ascii="Times New Roman" w:hAnsi="Times New Roman"/>
          <w:kern w:val="2"/>
          <w:szCs w:val="21"/>
        </w:rPr>
        <w:t>合法代表全面性、简洁性、清晰性、相关性和理解性；</w:t>
      </w:r>
    </w:p>
    <w:p w14:paraId="173CD975">
      <w:pPr>
        <w:pStyle w:val="32"/>
        <w:numPr>
          <w:ilvl w:val="1"/>
          <w:numId w:val="68"/>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在事先面试中须提供一位根据国家法律具有合适资格的研究小组成员；</w:t>
      </w:r>
    </w:p>
    <w:p w14:paraId="04BBF151">
      <w:pPr>
        <w:pStyle w:val="32"/>
        <w:numPr>
          <w:ilvl w:val="1"/>
          <w:numId w:val="68"/>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包括在第69条中所述的适用的损伤赔偿制度的信息；</w:t>
      </w:r>
    </w:p>
    <w:p w14:paraId="236F1632">
      <w:pPr>
        <w:pStyle w:val="32"/>
        <w:numPr>
          <w:ilvl w:val="1"/>
          <w:numId w:val="68"/>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包括临床研究在欧盟范围内第70（1）条中所述的唯一标识号以及依据</w:t>
      </w:r>
      <w:r>
        <w:rPr>
          <w:rFonts w:hint="eastAsia" w:ascii="Times New Roman" w:hAnsi="Times New Roman"/>
          <w:kern w:val="2"/>
          <w:szCs w:val="21"/>
        </w:rPr>
        <w:t>本条</w:t>
      </w:r>
      <w:r>
        <w:rPr>
          <w:rFonts w:ascii="Times New Roman" w:hAnsi="Times New Roman"/>
          <w:kern w:val="2"/>
          <w:szCs w:val="21"/>
        </w:rPr>
        <w:t>第6段有关临床研究结果可用性的信息。</w:t>
      </w:r>
    </w:p>
    <w:p w14:paraId="2D99F5BF">
      <w:pPr>
        <w:pStyle w:val="32"/>
        <w:numPr>
          <w:ilvl w:val="0"/>
          <w:numId w:val="6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在第2段所指的信息应书面编写并提供给受试者或其法定代理人（当受试者不能够给出知情同意书时）。</w:t>
      </w:r>
    </w:p>
    <w:p w14:paraId="76ECE48D">
      <w:pPr>
        <w:pStyle w:val="32"/>
        <w:numPr>
          <w:ilvl w:val="0"/>
          <w:numId w:val="6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在第2段（c）中所述的面试期间，应当特别注意具体患者人群及个别受试者的信息需求，以及提供信息的方式。</w:t>
      </w:r>
    </w:p>
    <w:p w14:paraId="300AC768">
      <w:pPr>
        <w:pStyle w:val="32"/>
        <w:numPr>
          <w:ilvl w:val="0"/>
          <w:numId w:val="6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在第2段（c）中所述的面试期间，应确保受试者已充分理解相关信息。</w:t>
      </w:r>
    </w:p>
    <w:p w14:paraId="707BDDF1">
      <w:pPr>
        <w:pStyle w:val="32"/>
        <w:numPr>
          <w:ilvl w:val="0"/>
          <w:numId w:val="6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受试者应知晓临床研究报告，并且无论临床研究结果如何，应尽可能在提供总结报告时，提供方便预期使用者理解的总结报告。第77（5）条</w:t>
      </w:r>
      <w:r>
        <w:rPr>
          <w:rFonts w:hint="eastAsia" w:ascii="Times New Roman" w:hAnsi="Times New Roman"/>
          <w:kern w:val="2"/>
          <w:szCs w:val="21"/>
        </w:rPr>
        <w:t>关于</w:t>
      </w:r>
      <w:r>
        <w:rPr>
          <w:rFonts w:ascii="Times New Roman" w:hAnsi="Times New Roman"/>
          <w:kern w:val="2"/>
          <w:szCs w:val="21"/>
        </w:rPr>
        <w:t>第73条所指的临床研究电子系统中，不论临床研究的结果如何，在有可能的情况下，应尽可能通知其</w:t>
      </w:r>
    </w:p>
    <w:p w14:paraId="2A3A921C">
      <w:pPr>
        <w:pStyle w:val="8"/>
        <w:tabs>
          <w:tab w:val="left" w:pos="681"/>
        </w:tabs>
        <w:topLinePunct/>
        <w:snapToGrid w:val="0"/>
        <w:spacing w:beforeLines="25" w:line="300" w:lineRule="auto"/>
        <w:ind w:hanging="568"/>
        <w:jc w:val="both"/>
        <w:rPr>
          <w:kern w:val="2"/>
          <w:szCs w:val="21"/>
        </w:rPr>
      </w:pPr>
      <w:bookmarkStart w:id="66" w:name="8._This_Regulation_is_without_prejudice_"/>
      <w:bookmarkEnd w:id="66"/>
      <w:r>
        <w:rPr>
          <w:kern w:val="2"/>
          <w:szCs w:val="21"/>
        </w:rPr>
        <w:t>7.</w:t>
      </w:r>
      <w:r>
        <w:rPr>
          <w:kern w:val="2"/>
          <w:szCs w:val="21"/>
        </w:rPr>
        <w:tab/>
      </w:r>
      <w:r>
        <w:rPr>
          <w:kern w:val="2"/>
          <w:szCs w:val="21"/>
        </w:rPr>
        <w:t>在不违背国家法律的前提下，本法规要求，若要参与临床研究，除了法定代理人给与的知情同意书，也需要取得能够得出意见并对给与的信息进行评估的未成年人的同意。</w:t>
      </w:r>
    </w:p>
    <w:p w14:paraId="43A7FC4B">
      <w:pPr>
        <w:snapToGrid w:val="0"/>
        <w:spacing w:beforeLines="25" w:line="300" w:lineRule="auto"/>
        <w:ind w:left="195"/>
        <w:jc w:val="center"/>
        <w:rPr>
          <w:rFonts w:ascii="Times New Roman" w:hAnsi="Times New Roman"/>
          <w:i/>
          <w:kern w:val="2"/>
          <w:szCs w:val="21"/>
        </w:rPr>
      </w:pPr>
    </w:p>
    <w:p w14:paraId="4ABFDE00">
      <w:pPr>
        <w:snapToGrid w:val="0"/>
        <w:spacing w:beforeLines="25" w:line="300" w:lineRule="auto"/>
        <w:ind w:left="195"/>
        <w:jc w:val="center"/>
        <w:rPr>
          <w:rStyle w:val="48"/>
          <w:b/>
          <w:szCs w:val="21"/>
        </w:rPr>
      </w:pPr>
      <w:r>
        <w:rPr>
          <w:rFonts w:ascii="Times New Roman" w:hAnsi="Times New Roman"/>
          <w:i/>
          <w:kern w:val="2"/>
          <w:szCs w:val="21"/>
        </w:rPr>
        <w:t>第64条</w:t>
      </w:r>
    </w:p>
    <w:p w14:paraId="1E17AD80">
      <w:pPr>
        <w:snapToGrid w:val="0"/>
        <w:spacing w:beforeLines="25" w:line="300" w:lineRule="auto"/>
        <w:ind w:left="195"/>
        <w:jc w:val="center"/>
        <w:rPr>
          <w:rStyle w:val="48"/>
          <w:b/>
          <w:szCs w:val="21"/>
        </w:rPr>
      </w:pPr>
      <w:r>
        <w:rPr>
          <w:rFonts w:ascii="Times New Roman" w:hAnsi="Times New Roman"/>
          <w:b/>
          <w:kern w:val="2"/>
          <w:szCs w:val="21"/>
        </w:rPr>
        <w:t>针对无行为能力受试者的临床研究</w:t>
      </w:r>
    </w:p>
    <w:p w14:paraId="0829959D">
      <w:pPr>
        <w:pStyle w:val="32"/>
        <w:numPr>
          <w:ilvl w:val="0"/>
          <w:numId w:val="6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对于无行为能力的受试者，在其无行为能力发生前</w:t>
      </w:r>
      <w:r>
        <w:rPr>
          <w:rFonts w:hint="eastAsia" w:ascii="Times New Roman" w:hAnsi="Times New Roman"/>
          <w:kern w:val="2"/>
          <w:szCs w:val="21"/>
        </w:rPr>
        <w:t>未</w:t>
      </w:r>
      <w:r>
        <w:rPr>
          <w:rFonts w:ascii="Times New Roman" w:hAnsi="Times New Roman"/>
          <w:kern w:val="2"/>
          <w:szCs w:val="21"/>
        </w:rPr>
        <w:t>给</w:t>
      </w:r>
      <w:r>
        <w:rPr>
          <w:rFonts w:hint="eastAsia" w:ascii="Times New Roman" w:hAnsi="Times New Roman"/>
          <w:kern w:val="2"/>
          <w:szCs w:val="21"/>
        </w:rPr>
        <w:t>出</w:t>
      </w:r>
      <w:r>
        <w:rPr>
          <w:rFonts w:ascii="Times New Roman" w:hAnsi="Times New Roman"/>
          <w:kern w:val="2"/>
          <w:szCs w:val="21"/>
        </w:rPr>
        <w:t>或拒绝给</w:t>
      </w:r>
      <w:r>
        <w:rPr>
          <w:rFonts w:hint="eastAsia" w:ascii="Times New Roman" w:hAnsi="Times New Roman"/>
          <w:kern w:val="2"/>
          <w:szCs w:val="21"/>
        </w:rPr>
        <w:t>出</w:t>
      </w:r>
      <w:r>
        <w:rPr>
          <w:rFonts w:ascii="Times New Roman" w:hAnsi="Times New Roman"/>
          <w:kern w:val="2"/>
          <w:szCs w:val="21"/>
        </w:rPr>
        <w:t>知情同意书的情况下，除第62（4）条的规定的条件，临床研究只有在符合以下所有条件的前提下进行：</w:t>
      </w:r>
    </w:p>
    <w:p w14:paraId="574A6FC4">
      <w:pPr>
        <w:pStyle w:val="32"/>
        <w:numPr>
          <w:ilvl w:val="1"/>
          <w:numId w:val="6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已获得了其法定代理人的知情同意书；</w:t>
      </w:r>
    </w:p>
    <w:p w14:paraId="58EF4E0D">
      <w:pPr>
        <w:pStyle w:val="32"/>
        <w:numPr>
          <w:ilvl w:val="1"/>
          <w:numId w:val="6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鉴于其理解能力，无行为能力受试者以合适的方式接收第63（2）条中所述的信息；</w:t>
      </w:r>
    </w:p>
    <w:p w14:paraId="5C9D90A3">
      <w:pPr>
        <w:pStyle w:val="32"/>
        <w:numPr>
          <w:ilvl w:val="1"/>
          <w:numId w:val="6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研究员应当尊重一个能够形成观点并对第63（2）条的信息进行评估的无行为能力受试者明确拒绝参与或在任何时候退出临床研究的意愿；</w:t>
      </w:r>
    </w:p>
    <w:p w14:paraId="5E383EFC">
      <w:pPr>
        <w:pStyle w:val="32"/>
        <w:numPr>
          <w:ilvl w:val="1"/>
          <w:numId w:val="6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不得对受试者和其法定代理人使用激励措施或财务利诱，除了对参与临床研究而直接造成的费用和收入损失提出的补偿。</w:t>
      </w:r>
    </w:p>
    <w:p w14:paraId="58EB4C83">
      <w:pPr>
        <w:pStyle w:val="32"/>
        <w:numPr>
          <w:ilvl w:val="1"/>
          <w:numId w:val="6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临床研究对于无行为能力受试者是必不可少的，同等有效性数据不能通过对能够给出知情同意个人的临床研究或其他研究方式获得；</w:t>
      </w:r>
    </w:p>
    <w:p w14:paraId="79A18E3C">
      <w:pPr>
        <w:pStyle w:val="32"/>
        <w:numPr>
          <w:ilvl w:val="1"/>
          <w:numId w:val="6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临床研究与受试者所患疾病直接相关；</w:t>
      </w:r>
    </w:p>
    <w:p w14:paraId="73EEBCD1">
      <w:pPr>
        <w:pStyle w:val="32"/>
        <w:numPr>
          <w:ilvl w:val="1"/>
          <w:numId w:val="6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有科学依据表明，无行为能力受试者参与临床研究时产生的直接利益将多于其所涉及的风险和负担。</w:t>
      </w:r>
    </w:p>
    <w:p w14:paraId="6B2A98BB">
      <w:pPr>
        <w:pStyle w:val="32"/>
        <w:numPr>
          <w:ilvl w:val="0"/>
          <w:numId w:val="6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受试者应尽可能参与知情同意过程。</w:t>
      </w:r>
    </w:p>
    <w:p w14:paraId="091E6CF9">
      <w:pPr>
        <w:snapToGrid w:val="0"/>
        <w:spacing w:beforeLines="25" w:line="300" w:lineRule="auto"/>
        <w:ind w:left="196"/>
        <w:jc w:val="center"/>
        <w:rPr>
          <w:rFonts w:ascii="Times New Roman" w:hAnsi="Times New Roman"/>
          <w:i/>
          <w:kern w:val="2"/>
          <w:szCs w:val="21"/>
        </w:rPr>
      </w:pPr>
    </w:p>
    <w:p w14:paraId="152ED6B3">
      <w:pPr>
        <w:snapToGrid w:val="0"/>
        <w:spacing w:beforeLines="25" w:line="300" w:lineRule="auto"/>
        <w:ind w:left="196"/>
        <w:jc w:val="center"/>
        <w:rPr>
          <w:rStyle w:val="48"/>
          <w:b/>
          <w:szCs w:val="21"/>
        </w:rPr>
      </w:pPr>
      <w:r>
        <w:rPr>
          <w:rFonts w:ascii="Times New Roman" w:hAnsi="Times New Roman"/>
          <w:i/>
          <w:kern w:val="2"/>
          <w:szCs w:val="21"/>
        </w:rPr>
        <w:t>第65条</w:t>
      </w:r>
    </w:p>
    <w:p w14:paraId="6562CBDF">
      <w:pPr>
        <w:snapToGrid w:val="0"/>
        <w:spacing w:beforeLines="25" w:line="300" w:lineRule="auto"/>
        <w:ind w:left="195"/>
        <w:jc w:val="center"/>
        <w:rPr>
          <w:rStyle w:val="48"/>
          <w:b/>
          <w:szCs w:val="21"/>
        </w:rPr>
      </w:pPr>
      <w:r>
        <w:rPr>
          <w:rFonts w:ascii="Times New Roman" w:hAnsi="Times New Roman"/>
          <w:b/>
          <w:kern w:val="2"/>
          <w:szCs w:val="21"/>
        </w:rPr>
        <w:t>针对未成年人的临床研究</w:t>
      </w:r>
    </w:p>
    <w:p w14:paraId="407CB000">
      <w:pPr>
        <w:pStyle w:val="8"/>
        <w:topLinePunct/>
        <w:snapToGrid w:val="0"/>
        <w:spacing w:beforeLines="25" w:line="300" w:lineRule="auto"/>
        <w:ind w:left="113" w:firstLine="0"/>
        <w:jc w:val="both"/>
        <w:rPr>
          <w:kern w:val="2"/>
          <w:szCs w:val="21"/>
        </w:rPr>
      </w:pPr>
      <w:r>
        <w:rPr>
          <w:kern w:val="2"/>
          <w:szCs w:val="21"/>
        </w:rPr>
        <w:t>除了第62（4）条设定的条件外，对未成年人的临床研究必须满足以下所有条件时方可开展：</w:t>
      </w:r>
    </w:p>
    <w:p w14:paraId="34746833">
      <w:pPr>
        <w:pStyle w:val="32"/>
        <w:numPr>
          <w:ilvl w:val="0"/>
          <w:numId w:val="70"/>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已获得了其法定代理人的知情同意；</w:t>
      </w:r>
    </w:p>
    <w:p w14:paraId="410BA81A">
      <w:pPr>
        <w:pStyle w:val="32"/>
        <w:numPr>
          <w:ilvl w:val="0"/>
          <w:numId w:val="70"/>
        </w:numPr>
        <w:tabs>
          <w:tab w:val="left" w:pos="682"/>
        </w:tabs>
        <w:topLinePunct/>
        <w:snapToGrid w:val="0"/>
        <w:spacing w:beforeLines="15" w:line="300" w:lineRule="auto"/>
        <w:ind w:left="680" w:hanging="567"/>
        <w:jc w:val="both"/>
        <w:rPr>
          <w:rFonts w:ascii="Times New Roman" w:hAnsi="Times New Roman"/>
          <w:kern w:val="2"/>
          <w:szCs w:val="21"/>
        </w:rPr>
      </w:pPr>
      <w:r>
        <w:rPr>
          <w:rFonts w:ascii="Times New Roman" w:hAnsi="Times New Roman"/>
          <w:kern w:val="2"/>
          <w:szCs w:val="21"/>
        </w:rPr>
        <w:t>未成年人以适应其年龄和心智成熟度的方式接收第63（2）条所述的信息，由经过培训或对儿童工作有经验的研究人员或研究小组提供；</w:t>
      </w:r>
    </w:p>
    <w:p w14:paraId="5F8A589E">
      <w:pPr>
        <w:pStyle w:val="32"/>
        <w:numPr>
          <w:ilvl w:val="0"/>
          <w:numId w:val="70"/>
        </w:numPr>
        <w:tabs>
          <w:tab w:val="left" w:pos="682"/>
        </w:tabs>
        <w:topLinePunct/>
        <w:snapToGrid w:val="0"/>
        <w:spacing w:beforeLines="15" w:line="300" w:lineRule="auto"/>
        <w:ind w:left="680" w:hanging="567"/>
        <w:jc w:val="both"/>
        <w:rPr>
          <w:rFonts w:ascii="Times New Roman" w:hAnsi="Times New Roman"/>
          <w:kern w:val="2"/>
          <w:szCs w:val="21"/>
        </w:rPr>
      </w:pPr>
      <w:r>
        <w:rPr>
          <w:rFonts w:ascii="Times New Roman" w:hAnsi="Times New Roman"/>
          <w:kern w:val="2"/>
          <w:szCs w:val="21"/>
        </w:rPr>
        <w:t>研究员应当尊重一个能够形成观点并对第63（2）条的信息进行评估的未成年人明确拒绝参与或在任何时候退出临床研究的意愿；</w:t>
      </w:r>
    </w:p>
    <w:p w14:paraId="61C89335">
      <w:pPr>
        <w:pStyle w:val="32"/>
        <w:numPr>
          <w:ilvl w:val="0"/>
          <w:numId w:val="70"/>
        </w:numPr>
        <w:tabs>
          <w:tab w:val="left" w:pos="682"/>
        </w:tabs>
        <w:topLinePunct/>
        <w:snapToGrid w:val="0"/>
        <w:spacing w:beforeLines="15" w:line="300" w:lineRule="auto"/>
        <w:ind w:left="680" w:hanging="567"/>
        <w:jc w:val="both"/>
        <w:rPr>
          <w:rFonts w:ascii="Times New Roman" w:hAnsi="Times New Roman"/>
          <w:kern w:val="2"/>
          <w:szCs w:val="21"/>
        </w:rPr>
      </w:pPr>
      <w:r>
        <w:rPr>
          <w:rFonts w:ascii="Times New Roman" w:hAnsi="Times New Roman"/>
          <w:kern w:val="2"/>
          <w:szCs w:val="21"/>
        </w:rPr>
        <w:t>不得对受试者和其法定代理人使用激励措施或财务利诱，除了对参与临床研究而直接造成的费用和收入损失提出的补偿。</w:t>
      </w:r>
    </w:p>
    <w:p w14:paraId="1442D0A3">
      <w:pPr>
        <w:pStyle w:val="32"/>
        <w:numPr>
          <w:ilvl w:val="0"/>
          <w:numId w:val="70"/>
        </w:numPr>
        <w:tabs>
          <w:tab w:val="left" w:pos="682"/>
        </w:tabs>
        <w:topLinePunct/>
        <w:snapToGrid w:val="0"/>
        <w:spacing w:beforeLines="15" w:line="300" w:lineRule="auto"/>
        <w:ind w:left="680" w:hanging="567"/>
        <w:jc w:val="both"/>
        <w:rPr>
          <w:rFonts w:ascii="Times New Roman" w:hAnsi="Times New Roman"/>
          <w:kern w:val="2"/>
          <w:szCs w:val="21"/>
        </w:rPr>
      </w:pPr>
      <w:r>
        <w:rPr>
          <w:rFonts w:ascii="Times New Roman" w:hAnsi="Times New Roman"/>
          <w:kern w:val="2"/>
          <w:szCs w:val="21"/>
        </w:rPr>
        <w:t>临床研究旨在考察未成年人的某种身体状况下的治疗结果，或者临床研究对于未成年人</w:t>
      </w:r>
      <w:r>
        <w:rPr>
          <w:rFonts w:hint="eastAsia" w:ascii="Times New Roman" w:hAnsi="Times New Roman"/>
          <w:kern w:val="2"/>
          <w:szCs w:val="21"/>
        </w:rPr>
        <w:t>是否为</w:t>
      </w:r>
      <w:r>
        <w:rPr>
          <w:rFonts w:ascii="Times New Roman" w:hAnsi="Times New Roman"/>
          <w:kern w:val="2"/>
          <w:szCs w:val="21"/>
        </w:rPr>
        <w:t>必需，以验证在能够给出知情同意个体的临床研究中获得的数据；</w:t>
      </w:r>
    </w:p>
    <w:p w14:paraId="0BD60505">
      <w:pPr>
        <w:pStyle w:val="32"/>
        <w:numPr>
          <w:ilvl w:val="0"/>
          <w:numId w:val="70"/>
        </w:numPr>
        <w:tabs>
          <w:tab w:val="left" w:pos="682"/>
        </w:tabs>
        <w:topLinePunct/>
        <w:snapToGrid w:val="0"/>
        <w:spacing w:beforeLines="15" w:line="300" w:lineRule="auto"/>
        <w:ind w:left="680" w:hanging="567"/>
        <w:jc w:val="both"/>
        <w:rPr>
          <w:rFonts w:ascii="Times New Roman" w:hAnsi="Times New Roman"/>
          <w:kern w:val="2"/>
          <w:szCs w:val="21"/>
        </w:rPr>
      </w:pPr>
      <w:r>
        <w:rPr>
          <w:rFonts w:ascii="Times New Roman" w:hAnsi="Times New Roman"/>
          <w:kern w:val="2"/>
          <w:szCs w:val="21"/>
        </w:rPr>
        <w:t>临床研究与涉及的未成年人的身体状况条件直接有关，或本质上，</w:t>
      </w:r>
      <w:r>
        <w:rPr>
          <w:rFonts w:hint="eastAsia" w:ascii="Times New Roman" w:hAnsi="Times New Roman"/>
          <w:kern w:val="2"/>
          <w:szCs w:val="21"/>
        </w:rPr>
        <w:t>仅</w:t>
      </w:r>
      <w:r>
        <w:rPr>
          <w:rFonts w:ascii="Times New Roman" w:hAnsi="Times New Roman"/>
          <w:kern w:val="2"/>
          <w:szCs w:val="21"/>
        </w:rPr>
        <w:t>能在未成年人身上进行；</w:t>
      </w:r>
    </w:p>
    <w:p w14:paraId="0622858D">
      <w:pPr>
        <w:pStyle w:val="32"/>
        <w:numPr>
          <w:ilvl w:val="0"/>
          <w:numId w:val="70"/>
        </w:numPr>
        <w:tabs>
          <w:tab w:val="left" w:pos="682"/>
        </w:tabs>
        <w:topLinePunct/>
        <w:snapToGrid w:val="0"/>
        <w:spacing w:beforeLines="15" w:line="300" w:lineRule="auto"/>
        <w:ind w:left="680" w:hanging="567"/>
        <w:jc w:val="both"/>
        <w:rPr>
          <w:rFonts w:ascii="Times New Roman" w:hAnsi="Times New Roman"/>
          <w:kern w:val="2"/>
          <w:szCs w:val="21"/>
        </w:rPr>
      </w:pPr>
      <w:r>
        <w:rPr>
          <w:rFonts w:ascii="Times New Roman" w:hAnsi="Times New Roman"/>
          <w:kern w:val="2"/>
          <w:szCs w:val="21"/>
        </w:rPr>
        <w:t>有科学依据表明，未成年人参与临床研究时产生的直接利益将多于其所涉及的风险和负担。</w:t>
      </w:r>
    </w:p>
    <w:p w14:paraId="1270C25C">
      <w:pPr>
        <w:pStyle w:val="32"/>
        <w:numPr>
          <w:ilvl w:val="0"/>
          <w:numId w:val="70"/>
        </w:numPr>
        <w:tabs>
          <w:tab w:val="left" w:pos="682"/>
        </w:tabs>
        <w:topLinePunct/>
        <w:snapToGrid w:val="0"/>
        <w:spacing w:beforeLines="15" w:line="300" w:lineRule="auto"/>
        <w:ind w:left="680" w:hanging="567"/>
        <w:jc w:val="both"/>
        <w:rPr>
          <w:rFonts w:ascii="Times New Roman" w:hAnsi="Times New Roman"/>
          <w:kern w:val="2"/>
          <w:szCs w:val="21"/>
        </w:rPr>
      </w:pPr>
      <w:r>
        <w:rPr>
          <w:rFonts w:ascii="Times New Roman" w:hAnsi="Times New Roman"/>
          <w:kern w:val="2"/>
          <w:szCs w:val="21"/>
        </w:rPr>
        <w:t>未成年人应以适应其年龄和心理成熟度的方式参与知情同意过程；</w:t>
      </w:r>
    </w:p>
    <w:p w14:paraId="7EAF9C07">
      <w:pPr>
        <w:pStyle w:val="32"/>
        <w:numPr>
          <w:ilvl w:val="0"/>
          <w:numId w:val="70"/>
        </w:numPr>
        <w:tabs>
          <w:tab w:val="left" w:pos="682"/>
        </w:tabs>
        <w:topLinePunct/>
        <w:snapToGrid w:val="0"/>
        <w:spacing w:beforeLines="15" w:line="300" w:lineRule="auto"/>
        <w:ind w:left="680" w:hanging="567"/>
        <w:jc w:val="both"/>
        <w:rPr>
          <w:rFonts w:ascii="Times New Roman" w:hAnsi="Times New Roman"/>
          <w:kern w:val="2"/>
          <w:szCs w:val="21"/>
        </w:rPr>
      </w:pPr>
      <w:r>
        <w:rPr>
          <w:rFonts w:ascii="Times New Roman" w:hAnsi="Times New Roman"/>
          <w:kern w:val="2"/>
          <w:szCs w:val="21"/>
        </w:rPr>
        <w:t>若临床研究期间，未成年人达到国家法律规定的法定行为能力年龄，能够给予知情同意书，应当在受试者可继续参加临床研究前取得其明确的知情同意书。</w:t>
      </w:r>
    </w:p>
    <w:p w14:paraId="21C77709">
      <w:pPr>
        <w:snapToGrid w:val="0"/>
        <w:spacing w:beforeLines="15" w:line="300" w:lineRule="auto"/>
        <w:ind w:left="196"/>
        <w:jc w:val="center"/>
        <w:rPr>
          <w:rFonts w:ascii="Times New Roman" w:hAnsi="Times New Roman"/>
          <w:i/>
          <w:kern w:val="2"/>
          <w:szCs w:val="21"/>
        </w:rPr>
      </w:pPr>
    </w:p>
    <w:p w14:paraId="434DB5CB">
      <w:pPr>
        <w:snapToGrid w:val="0"/>
        <w:spacing w:beforeLines="15" w:line="300" w:lineRule="auto"/>
        <w:ind w:left="196"/>
        <w:jc w:val="center"/>
        <w:rPr>
          <w:rStyle w:val="48"/>
          <w:b/>
          <w:szCs w:val="21"/>
        </w:rPr>
      </w:pPr>
      <w:r>
        <w:rPr>
          <w:rFonts w:ascii="Times New Roman" w:hAnsi="Times New Roman"/>
          <w:i/>
          <w:kern w:val="2"/>
          <w:szCs w:val="21"/>
        </w:rPr>
        <w:t>第66条</w:t>
      </w:r>
    </w:p>
    <w:p w14:paraId="3161097D">
      <w:pPr>
        <w:snapToGrid w:val="0"/>
        <w:spacing w:beforeLines="15" w:line="300" w:lineRule="auto"/>
        <w:ind w:left="195"/>
        <w:jc w:val="center"/>
        <w:rPr>
          <w:rStyle w:val="48"/>
          <w:b/>
          <w:szCs w:val="21"/>
        </w:rPr>
      </w:pPr>
      <w:r>
        <w:rPr>
          <w:rFonts w:ascii="Times New Roman" w:hAnsi="Times New Roman"/>
          <w:b/>
          <w:kern w:val="2"/>
          <w:szCs w:val="21"/>
        </w:rPr>
        <w:t>针对孕妇或哺乳期妇女的临床研究</w:t>
      </w:r>
    </w:p>
    <w:p w14:paraId="27B291FB">
      <w:pPr>
        <w:pStyle w:val="8"/>
        <w:topLinePunct/>
        <w:snapToGrid w:val="0"/>
        <w:spacing w:beforeLines="15" w:line="300" w:lineRule="auto"/>
        <w:ind w:left="113" w:firstLine="0"/>
        <w:jc w:val="both"/>
        <w:rPr>
          <w:kern w:val="2"/>
          <w:szCs w:val="21"/>
        </w:rPr>
      </w:pPr>
      <w:r>
        <w:rPr>
          <w:kern w:val="2"/>
          <w:szCs w:val="21"/>
        </w:rPr>
        <w:t>除满足第62（4）条中规定的条件外，还应满足以下所有条件，孕妇或哺乳期的妇女才能参与临床研究：</w:t>
      </w:r>
    </w:p>
    <w:p w14:paraId="599CECA4">
      <w:pPr>
        <w:pStyle w:val="8"/>
        <w:tabs>
          <w:tab w:val="left" w:pos="681"/>
        </w:tabs>
        <w:topLinePunct/>
        <w:snapToGrid w:val="0"/>
        <w:spacing w:beforeLines="15" w:line="300" w:lineRule="auto"/>
        <w:ind w:left="644" w:hanging="531"/>
        <w:jc w:val="both"/>
        <w:rPr>
          <w:kern w:val="2"/>
          <w:szCs w:val="21"/>
        </w:rPr>
      </w:pPr>
      <w:r>
        <w:rPr>
          <w:kern w:val="2"/>
          <w:szCs w:val="21"/>
        </w:rPr>
        <w:t>(a)</w:t>
      </w:r>
      <w:r>
        <w:rPr>
          <w:kern w:val="2"/>
          <w:szCs w:val="21"/>
        </w:rPr>
        <w:tab/>
      </w:r>
      <w:r>
        <w:rPr>
          <w:kern w:val="2"/>
          <w:szCs w:val="21"/>
        </w:rPr>
        <w:t>临床研究可能对有关孕妇或哺乳妇女及其胎儿或新生儿产生直接益处，超过其所承担的风险和负担；</w:t>
      </w:r>
    </w:p>
    <w:p w14:paraId="39927D67">
      <w:pPr>
        <w:pStyle w:val="32"/>
        <w:tabs>
          <w:tab w:val="left" w:pos="682"/>
        </w:tabs>
        <w:topLinePunct/>
        <w:snapToGrid w:val="0"/>
        <w:spacing w:beforeLines="15" w:line="300" w:lineRule="auto"/>
        <w:ind w:left="644" w:hanging="531"/>
        <w:jc w:val="both"/>
        <w:rPr>
          <w:rFonts w:ascii="Times New Roman" w:hAnsi="Times New Roman"/>
          <w:kern w:val="2"/>
          <w:szCs w:val="21"/>
        </w:rPr>
      </w:pPr>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对进行研究的哺乳期妇女进行特殊照顾以避免对孩子的健康造成任何不利影响；和</w:t>
      </w:r>
    </w:p>
    <w:p w14:paraId="0B427AE0">
      <w:pPr>
        <w:pStyle w:val="32"/>
        <w:tabs>
          <w:tab w:val="left" w:pos="682"/>
        </w:tabs>
        <w:topLinePunct/>
        <w:snapToGrid w:val="0"/>
        <w:spacing w:beforeLines="15" w:line="300" w:lineRule="auto"/>
        <w:ind w:left="644" w:hanging="531"/>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不得对受试者使用激励措施或</w:t>
      </w:r>
      <w:r>
        <w:rPr>
          <w:rFonts w:hint="eastAsia" w:ascii="Times New Roman" w:hAnsi="Times New Roman"/>
          <w:kern w:val="2"/>
          <w:szCs w:val="21"/>
        </w:rPr>
        <w:t>金钱</w:t>
      </w:r>
      <w:r>
        <w:rPr>
          <w:rFonts w:ascii="Times New Roman" w:hAnsi="Times New Roman"/>
          <w:kern w:val="2"/>
          <w:szCs w:val="21"/>
        </w:rPr>
        <w:t>利诱，除了对参与临床研究而直接造成的费用和收入损失提出的补偿；</w:t>
      </w:r>
    </w:p>
    <w:p w14:paraId="15E4C9C9">
      <w:pPr>
        <w:snapToGrid w:val="0"/>
        <w:spacing w:beforeLines="15" w:line="300" w:lineRule="auto"/>
        <w:ind w:left="196"/>
        <w:jc w:val="center"/>
        <w:rPr>
          <w:rFonts w:ascii="Times New Roman" w:hAnsi="Times New Roman"/>
          <w:i/>
          <w:kern w:val="2"/>
          <w:szCs w:val="21"/>
        </w:rPr>
      </w:pPr>
    </w:p>
    <w:p w14:paraId="2E003731">
      <w:pPr>
        <w:snapToGrid w:val="0"/>
        <w:spacing w:beforeLines="15" w:line="300" w:lineRule="auto"/>
        <w:ind w:left="196"/>
        <w:jc w:val="center"/>
        <w:rPr>
          <w:rFonts w:ascii="Times New Roman" w:hAnsi="Times New Roman"/>
          <w:i/>
          <w:kern w:val="2"/>
          <w:szCs w:val="21"/>
        </w:rPr>
      </w:pPr>
      <w:r>
        <w:rPr>
          <w:rFonts w:ascii="Times New Roman" w:hAnsi="Times New Roman"/>
          <w:i/>
          <w:kern w:val="2"/>
          <w:szCs w:val="21"/>
        </w:rPr>
        <w:t>第67条</w:t>
      </w:r>
    </w:p>
    <w:p w14:paraId="2039041F">
      <w:pPr>
        <w:snapToGrid w:val="0"/>
        <w:spacing w:beforeLines="15" w:line="300" w:lineRule="auto"/>
        <w:ind w:left="196"/>
        <w:jc w:val="center"/>
        <w:rPr>
          <w:rFonts w:ascii="Times New Roman" w:hAnsi="Times New Roman"/>
          <w:b/>
          <w:kern w:val="2"/>
          <w:szCs w:val="21"/>
        </w:rPr>
      </w:pPr>
      <w:r>
        <w:rPr>
          <w:rFonts w:ascii="Times New Roman" w:hAnsi="Times New Roman"/>
          <w:b/>
          <w:kern w:val="2"/>
          <w:szCs w:val="21"/>
        </w:rPr>
        <w:t>补充国家措施</w:t>
      </w:r>
    </w:p>
    <w:p w14:paraId="42FCB5E8">
      <w:pPr>
        <w:pStyle w:val="8"/>
        <w:topLinePunct/>
        <w:snapToGrid w:val="0"/>
        <w:spacing w:beforeLines="15" w:line="300" w:lineRule="auto"/>
        <w:ind w:left="113" w:firstLine="0"/>
        <w:jc w:val="both"/>
        <w:rPr>
          <w:kern w:val="2"/>
          <w:szCs w:val="21"/>
        </w:rPr>
      </w:pPr>
      <w:r>
        <w:rPr>
          <w:kern w:val="2"/>
          <w:szCs w:val="21"/>
        </w:rPr>
        <w:t>成员国可为强制性兵役的服役人员、因司法判决被剥夺自由而不能参加临床研究的人员或由社区福利院机构收容的人员规定额外措施。</w:t>
      </w:r>
    </w:p>
    <w:p w14:paraId="06EAF306">
      <w:pPr>
        <w:snapToGrid w:val="0"/>
        <w:spacing w:beforeLines="15" w:line="300" w:lineRule="auto"/>
        <w:ind w:left="196"/>
        <w:jc w:val="center"/>
        <w:rPr>
          <w:rFonts w:ascii="Times New Roman" w:hAnsi="Times New Roman"/>
          <w:i/>
          <w:kern w:val="2"/>
          <w:szCs w:val="21"/>
        </w:rPr>
      </w:pPr>
    </w:p>
    <w:p w14:paraId="666E0C9B">
      <w:pPr>
        <w:snapToGrid w:val="0"/>
        <w:spacing w:beforeLines="15" w:line="300" w:lineRule="auto"/>
        <w:ind w:left="196"/>
        <w:jc w:val="center"/>
        <w:rPr>
          <w:rStyle w:val="48"/>
          <w:b/>
          <w:szCs w:val="21"/>
        </w:rPr>
      </w:pPr>
      <w:r>
        <w:rPr>
          <w:rFonts w:ascii="Times New Roman" w:hAnsi="Times New Roman"/>
          <w:i/>
          <w:kern w:val="2"/>
          <w:szCs w:val="21"/>
        </w:rPr>
        <w:t>第68条</w:t>
      </w:r>
    </w:p>
    <w:p w14:paraId="5272F692">
      <w:pPr>
        <w:snapToGrid w:val="0"/>
        <w:spacing w:beforeLines="15" w:line="300" w:lineRule="auto"/>
        <w:ind w:left="195"/>
        <w:jc w:val="center"/>
        <w:rPr>
          <w:rStyle w:val="48"/>
          <w:b/>
          <w:szCs w:val="21"/>
        </w:rPr>
      </w:pPr>
      <w:r>
        <w:rPr>
          <w:rFonts w:ascii="Times New Roman" w:hAnsi="Times New Roman"/>
          <w:b/>
          <w:kern w:val="2"/>
          <w:szCs w:val="21"/>
        </w:rPr>
        <w:t>紧急情况下的临床研究</w:t>
      </w:r>
    </w:p>
    <w:p w14:paraId="2F51ECAA">
      <w:pPr>
        <w:pStyle w:val="32"/>
        <w:numPr>
          <w:ilvl w:val="0"/>
          <w:numId w:val="71"/>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通过豁免第62（4）条（f）点，第64(1)条(a)和(b)一级第65条(a)和(b)，在做出受试者入选临床研究的决议后，即可获得参加临床研究的知情同意书，并可给出临床研究信息，前提是根据该临床研究的临床研究计划，该决议是在受试者接受首次干预治疗时做出的，并且须满足以下所有条件：</w:t>
      </w:r>
    </w:p>
    <w:p w14:paraId="3F77A753">
      <w:pPr>
        <w:pStyle w:val="32"/>
        <w:numPr>
          <w:ilvl w:val="1"/>
          <w:numId w:val="71"/>
        </w:numPr>
        <w:tabs>
          <w:tab w:val="left" w:pos="1248"/>
        </w:tabs>
        <w:topLinePunct/>
        <w:snapToGrid w:val="0"/>
        <w:spacing w:beforeLines="15" w:line="300" w:lineRule="auto"/>
        <w:ind w:left="1247"/>
        <w:jc w:val="both"/>
        <w:rPr>
          <w:rFonts w:ascii="Times New Roman" w:hAnsi="Times New Roman"/>
          <w:kern w:val="2"/>
          <w:szCs w:val="21"/>
        </w:rPr>
      </w:pPr>
      <w:r>
        <w:rPr>
          <w:rFonts w:ascii="Times New Roman" w:hAnsi="Times New Roman"/>
          <w:kern w:val="2"/>
          <w:szCs w:val="21"/>
        </w:rPr>
        <w:t>因突然的危及生命或其他突发性严重身体状况造成的紧急性情况，受试者不能够提供事先知情同意书也不能收到对于临床研究的事先信息；</w:t>
      </w:r>
    </w:p>
    <w:p w14:paraId="0648B5B8">
      <w:pPr>
        <w:pStyle w:val="32"/>
        <w:numPr>
          <w:ilvl w:val="1"/>
          <w:numId w:val="71"/>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参与临床研究对受试者可能产生直接临床益处的期望是具有科学依据，可提高健康质量，缓解遭受的痛苦，或者提高受试者的健康水平，或提高身体状况的诊断水平；</w:t>
      </w:r>
    </w:p>
    <w:p w14:paraId="4BE46ECE">
      <w:pPr>
        <w:pStyle w:val="32"/>
        <w:numPr>
          <w:ilvl w:val="1"/>
          <w:numId w:val="71"/>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在治疗窗口期间，向其法定代理人提供所有的事先信息，并获取事先知情同意是不可能的；</w:t>
      </w:r>
    </w:p>
    <w:p w14:paraId="13A5D712">
      <w:pPr>
        <w:pStyle w:val="32"/>
        <w:numPr>
          <w:ilvl w:val="1"/>
          <w:numId w:val="71"/>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研究者保证其不知道前受试者拒绝参与临床研究；</w:t>
      </w:r>
    </w:p>
    <w:p w14:paraId="6663A55F">
      <w:pPr>
        <w:pStyle w:val="32"/>
        <w:numPr>
          <w:ilvl w:val="1"/>
          <w:numId w:val="71"/>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临床研究直接关系到受试者的健康状况，因此在治疗窗口期内得到受试者或其法定代理人的事先知情同意并提供先验信息是不可能，而且临床研究还具有可在紧急情况下单独进行的特性；</w:t>
      </w:r>
    </w:p>
    <w:p w14:paraId="133CEFC9">
      <w:pPr>
        <w:pStyle w:val="32"/>
        <w:numPr>
          <w:ilvl w:val="1"/>
          <w:numId w:val="71"/>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与受试者条件的标准治疗相比，临床研究可将风险和受试者身上的负担降至最低。</w:t>
      </w:r>
    </w:p>
    <w:p w14:paraId="555CF4B9">
      <w:pPr>
        <w:pStyle w:val="32"/>
        <w:numPr>
          <w:ilvl w:val="0"/>
          <w:numId w:val="7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按照本条第1段开展干预治疗后，应根据第63条获得知情同意以便受试者能继续参与临床研究，并且应按照下列规定提供临床研究的相关信息：</w:t>
      </w:r>
    </w:p>
    <w:p w14:paraId="234994D7">
      <w:pPr>
        <w:pStyle w:val="32"/>
        <w:numPr>
          <w:ilvl w:val="1"/>
          <w:numId w:val="7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对无行为能力的受试者及未成年人，研究者应获得其法定代理人的知情同意，且不得无故拖延，并应尽快向受试者及其法定代理人提供第63（2）条中所述的信息；</w:t>
      </w:r>
    </w:p>
    <w:p w14:paraId="2A504339">
      <w:pPr>
        <w:pStyle w:val="32"/>
        <w:numPr>
          <w:ilvl w:val="1"/>
          <w:numId w:val="7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对于其他受试者，研究者应获得受试者或其法定代理人（以较快者为准）的知情同意，不得无故拖延，同时还应尽快向受试者或其法定代理人（以较快者为准）提供第63（2）条中所述的信息。</w:t>
      </w:r>
    </w:p>
    <w:p w14:paraId="3521097E">
      <w:pPr>
        <w:pStyle w:val="8"/>
        <w:topLinePunct/>
        <w:snapToGrid w:val="0"/>
        <w:spacing w:beforeLines="25" w:line="300" w:lineRule="auto"/>
        <w:ind w:firstLine="0"/>
        <w:jc w:val="both"/>
        <w:rPr>
          <w:kern w:val="2"/>
          <w:szCs w:val="21"/>
        </w:rPr>
      </w:pPr>
      <w:r>
        <w:rPr>
          <w:kern w:val="2"/>
          <w:szCs w:val="21"/>
        </w:rPr>
        <w:t>在根据（b）点规定获得法定代理人知情同意书的情况下，一旦受试者能够自主提供知情同意书，则应获得其对继续参与临床研究的知情同意书。</w:t>
      </w:r>
    </w:p>
    <w:p w14:paraId="4AFC6BDB">
      <w:pPr>
        <w:pStyle w:val="32"/>
        <w:numPr>
          <w:ilvl w:val="0"/>
          <w:numId w:val="71"/>
        </w:numPr>
        <w:tabs>
          <w:tab w:val="left" w:pos="682"/>
        </w:tabs>
        <w:topLinePunct/>
        <w:snapToGrid w:val="0"/>
        <w:spacing w:beforeLines="25" w:line="300" w:lineRule="auto"/>
        <w:ind w:hanging="567"/>
        <w:jc w:val="both"/>
        <w:rPr>
          <w:rFonts w:ascii="Times New Roman" w:hAnsi="Times New Roman"/>
          <w:kern w:val="2"/>
          <w:szCs w:val="21"/>
        </w:rPr>
      </w:pPr>
      <w:bookmarkStart w:id="67" w:name="3._If_the_subject_or,_where_applicable,_"/>
      <w:bookmarkEnd w:id="67"/>
      <w:r>
        <w:rPr>
          <w:rFonts w:ascii="Times New Roman" w:hAnsi="Times New Roman"/>
          <w:kern w:val="2"/>
          <w:szCs w:val="21"/>
        </w:rPr>
        <w:t>如受试者或其法定代理人（如有）未同意，则应告知其具有反对使用临床研究所得数据的权利。</w:t>
      </w:r>
    </w:p>
    <w:p w14:paraId="57119283">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第69条</w:t>
      </w:r>
    </w:p>
    <w:p w14:paraId="1BEB439B">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损害赔偿</w:t>
      </w:r>
    </w:p>
    <w:p w14:paraId="07418C54">
      <w:pPr>
        <w:pStyle w:val="32"/>
        <w:numPr>
          <w:ilvl w:val="0"/>
          <w:numId w:val="72"/>
        </w:numPr>
        <w:tabs>
          <w:tab w:val="left" w:pos="682"/>
        </w:tabs>
        <w:topLinePunct/>
        <w:snapToGrid w:val="0"/>
        <w:spacing w:beforeLines="25" w:line="300" w:lineRule="auto"/>
        <w:ind w:hanging="567"/>
        <w:jc w:val="both"/>
        <w:rPr>
          <w:rFonts w:ascii="Times New Roman" w:hAnsi="Times New Roman"/>
          <w:kern w:val="2"/>
          <w:szCs w:val="21"/>
        </w:rPr>
      </w:pPr>
      <w:bookmarkStart w:id="68" w:name="1._Member_States_shall_ensure_that_syste"/>
      <w:bookmarkEnd w:id="68"/>
      <w:r>
        <w:rPr>
          <w:rFonts w:ascii="Times New Roman" w:hAnsi="Times New Roman"/>
          <w:kern w:val="2"/>
          <w:szCs w:val="21"/>
        </w:rPr>
        <w:t>各成员国应确保受试者在其领土上因参与临床研究而受到损害时有完善系统对其进行补偿，该系统的形式应为保险、担保或具有相同功效并且与风险性质及程度相符的类似安排。</w:t>
      </w:r>
    </w:p>
    <w:p w14:paraId="4837063B">
      <w:pPr>
        <w:pStyle w:val="32"/>
        <w:numPr>
          <w:ilvl w:val="0"/>
          <w:numId w:val="72"/>
        </w:numPr>
        <w:tabs>
          <w:tab w:val="left" w:pos="682"/>
        </w:tabs>
        <w:topLinePunct/>
        <w:snapToGrid w:val="0"/>
        <w:spacing w:beforeLines="25" w:line="300" w:lineRule="auto"/>
        <w:ind w:hanging="567"/>
        <w:jc w:val="both"/>
        <w:rPr>
          <w:rFonts w:ascii="Times New Roman" w:hAnsi="Times New Roman"/>
          <w:kern w:val="2"/>
          <w:szCs w:val="21"/>
        </w:rPr>
      </w:pPr>
      <w:bookmarkStart w:id="69" w:name="2._The_sponsor_and_the_investigator_shal"/>
      <w:bookmarkEnd w:id="69"/>
      <w:r>
        <w:rPr>
          <w:rFonts w:ascii="Times New Roman" w:hAnsi="Times New Roman"/>
          <w:kern w:val="2"/>
          <w:szCs w:val="21"/>
        </w:rPr>
        <w:t>申办方和研究者必须在其开展临床研究的成员国中以适用于该国的形式使用第一段中所述的系统。</w:t>
      </w:r>
    </w:p>
    <w:p w14:paraId="0AA8B015">
      <w:pPr>
        <w:snapToGrid w:val="0"/>
        <w:spacing w:beforeLines="25" w:line="300" w:lineRule="auto"/>
        <w:ind w:left="196"/>
        <w:jc w:val="center"/>
        <w:rPr>
          <w:rStyle w:val="48"/>
          <w:b/>
          <w:szCs w:val="21"/>
        </w:rPr>
      </w:pPr>
      <w:r>
        <w:rPr>
          <w:rFonts w:ascii="Times New Roman" w:hAnsi="Times New Roman"/>
          <w:i/>
          <w:kern w:val="2"/>
          <w:szCs w:val="21"/>
        </w:rPr>
        <w:t>第70条</w:t>
      </w:r>
    </w:p>
    <w:p w14:paraId="08CA015B">
      <w:pPr>
        <w:snapToGrid w:val="0"/>
        <w:spacing w:beforeLines="25" w:line="300" w:lineRule="auto"/>
        <w:ind w:left="195"/>
        <w:jc w:val="center"/>
        <w:rPr>
          <w:rStyle w:val="48"/>
          <w:b/>
          <w:szCs w:val="21"/>
        </w:rPr>
      </w:pPr>
      <w:r>
        <w:rPr>
          <w:rFonts w:ascii="Times New Roman" w:hAnsi="Times New Roman"/>
          <w:b/>
          <w:kern w:val="2"/>
          <w:szCs w:val="21"/>
        </w:rPr>
        <w:t>申请临床研究</w:t>
      </w:r>
    </w:p>
    <w:p w14:paraId="2B95EADD">
      <w:pPr>
        <w:pStyle w:val="8"/>
        <w:tabs>
          <w:tab w:val="left" w:pos="681"/>
        </w:tabs>
        <w:topLinePunct/>
        <w:snapToGrid w:val="0"/>
        <w:spacing w:beforeLines="25" w:line="300" w:lineRule="auto"/>
        <w:ind w:hanging="568"/>
        <w:jc w:val="both"/>
        <w:rPr>
          <w:kern w:val="2"/>
          <w:szCs w:val="21"/>
        </w:rPr>
      </w:pPr>
      <w:bookmarkStart w:id="70" w:name="2._The_sponsor_of_a_clinical_investigati"/>
      <w:bookmarkEnd w:id="70"/>
      <w:r>
        <w:rPr>
          <w:kern w:val="2"/>
          <w:szCs w:val="21"/>
        </w:rPr>
        <w:t>1.</w:t>
      </w:r>
      <w:r>
        <w:rPr>
          <w:kern w:val="2"/>
          <w:szCs w:val="21"/>
        </w:rPr>
        <w:tab/>
      </w:r>
      <w:r>
        <w:rPr>
          <w:kern w:val="2"/>
          <w:szCs w:val="21"/>
        </w:rPr>
        <w:t>临床研究的申办方应向将进行临床研究的成员国（为本条目的，以下简称为</w:t>
      </w:r>
      <w:r>
        <w:rPr>
          <w:rFonts w:hint="eastAsia"/>
          <w:kern w:val="2"/>
          <w:szCs w:val="21"/>
        </w:rPr>
        <w:t>“</w:t>
      </w:r>
      <w:r>
        <w:rPr>
          <w:kern w:val="2"/>
          <w:szCs w:val="21"/>
        </w:rPr>
        <w:t>相关成员国</w:t>
      </w:r>
      <w:r>
        <w:rPr>
          <w:rFonts w:hint="eastAsia"/>
          <w:kern w:val="2"/>
          <w:szCs w:val="21"/>
        </w:rPr>
        <w:t>”</w:t>
      </w:r>
      <w:r>
        <w:rPr>
          <w:kern w:val="2"/>
          <w:szCs w:val="21"/>
        </w:rPr>
        <w:t>）提交申请书，并随附附录XV第II章中所述的文件。</w:t>
      </w:r>
    </w:p>
    <w:p w14:paraId="35122EFB">
      <w:pPr>
        <w:pStyle w:val="8"/>
        <w:tabs>
          <w:tab w:val="left" w:pos="681"/>
        </w:tabs>
        <w:topLinePunct/>
        <w:snapToGrid w:val="0"/>
        <w:spacing w:beforeLines="25" w:line="300" w:lineRule="auto"/>
        <w:ind w:left="680" w:leftChars="324" w:firstLine="0"/>
        <w:jc w:val="both"/>
        <w:rPr>
          <w:kern w:val="2"/>
          <w:szCs w:val="21"/>
        </w:rPr>
      </w:pPr>
      <w:r>
        <w:rPr>
          <w:kern w:val="2"/>
          <w:szCs w:val="21"/>
        </w:rPr>
        <w:t>申请应通过第73条所指的电子系统提交，该电子系统应为该临床研究产生一个唯一标识号，其将用于相应临床研究的所有相关沟通中。收到申请之日起</w:t>
      </w:r>
      <w:r>
        <w:rPr>
          <w:rFonts w:hint="eastAsia"/>
          <w:kern w:val="2"/>
          <w:szCs w:val="21"/>
        </w:rPr>
        <w:t>10</w:t>
      </w:r>
      <w:r>
        <w:rPr>
          <w:kern w:val="2"/>
          <w:szCs w:val="21"/>
        </w:rPr>
        <w:t>天内，相关成员国应按照附录XV第II章的要求告知申办方该临床研究是否处于本法规范围内，以及申请档案是否完整。</w:t>
      </w:r>
    </w:p>
    <w:p w14:paraId="2F10881A">
      <w:pPr>
        <w:pStyle w:val="8"/>
        <w:tabs>
          <w:tab w:val="left" w:pos="681"/>
        </w:tabs>
        <w:topLinePunct/>
        <w:snapToGrid w:val="0"/>
        <w:spacing w:beforeLines="25" w:line="300" w:lineRule="auto"/>
        <w:ind w:hanging="568"/>
        <w:jc w:val="both"/>
        <w:rPr>
          <w:kern w:val="2"/>
          <w:szCs w:val="21"/>
        </w:rPr>
      </w:pPr>
      <w:bookmarkStart w:id="71" w:name="2a._Within_one_week_of_any_change_occurr"/>
      <w:bookmarkEnd w:id="71"/>
      <w:r>
        <w:rPr>
          <w:kern w:val="2"/>
          <w:szCs w:val="21"/>
        </w:rPr>
        <w:t>2.</w:t>
      </w:r>
      <w:r>
        <w:rPr>
          <w:kern w:val="2"/>
          <w:szCs w:val="21"/>
        </w:rPr>
        <w:tab/>
      </w:r>
      <w:r>
        <w:rPr>
          <w:kern w:val="2"/>
          <w:szCs w:val="21"/>
        </w:rPr>
        <w:t>对附录XV第II章所指的相关文件进行任何修改后的一周内，申办方应在第73条所指的电子系统中更新相关数据并使更改的文件清晰可辨。应通过电子系统告知有关成员国数据已更新。</w:t>
      </w:r>
    </w:p>
    <w:p w14:paraId="7AEF0BB8">
      <w:pPr>
        <w:pStyle w:val="8"/>
        <w:tabs>
          <w:tab w:val="left" w:pos="681"/>
        </w:tabs>
        <w:topLinePunct/>
        <w:snapToGrid w:val="0"/>
        <w:spacing w:beforeLines="25" w:line="300" w:lineRule="auto"/>
        <w:ind w:left="680"/>
        <w:jc w:val="both"/>
        <w:rPr>
          <w:kern w:val="2"/>
          <w:szCs w:val="21"/>
        </w:rPr>
      </w:pPr>
      <w:r>
        <w:rPr>
          <w:kern w:val="2"/>
          <w:szCs w:val="21"/>
        </w:rPr>
        <w:t>3.</w:t>
      </w:r>
      <w:r>
        <w:rPr>
          <w:kern w:val="2"/>
          <w:szCs w:val="21"/>
        </w:rPr>
        <w:tab/>
      </w:r>
      <w:r>
        <w:rPr>
          <w:kern w:val="2"/>
          <w:szCs w:val="21"/>
        </w:rPr>
        <w:t>当成员国发现提出申请的临床研究未处于本法规范围内或申请未完成，应当通过第73条中所述的电子系统通知其申办方，并给出最多十天的时间限制</w:t>
      </w:r>
      <w:r>
        <w:rPr>
          <w:rFonts w:hint="eastAsia"/>
          <w:kern w:val="2"/>
          <w:szCs w:val="21"/>
        </w:rPr>
        <w:t>，供</w:t>
      </w:r>
      <w:r>
        <w:rPr>
          <w:kern w:val="2"/>
          <w:szCs w:val="21"/>
        </w:rPr>
        <w:t>申办方表达其意见或完成申请。具有合理理由的情况下，成员国最多可将这一期限延长为20天。</w:t>
      </w:r>
    </w:p>
    <w:p w14:paraId="5EC521A5">
      <w:pPr>
        <w:pStyle w:val="8"/>
        <w:topLinePunct/>
        <w:snapToGrid w:val="0"/>
        <w:spacing w:beforeLines="25" w:line="300" w:lineRule="auto"/>
        <w:ind w:firstLine="0"/>
        <w:jc w:val="both"/>
        <w:rPr>
          <w:kern w:val="2"/>
          <w:szCs w:val="21"/>
        </w:rPr>
      </w:pPr>
      <w:r>
        <w:rPr>
          <w:kern w:val="2"/>
          <w:szCs w:val="21"/>
        </w:rPr>
        <w:t>若申办方在第一子段中所述的期限内未发表意见或完成申请，则该申请将视为失效。若申办方认为申请处于本法规范围内和/或已完成，但相关成员国不同意，则视为申请被拒绝。相关成员国应提供有关此类</w:t>
      </w:r>
      <w:r>
        <w:rPr>
          <w:rFonts w:hint="eastAsia"/>
          <w:kern w:val="2"/>
          <w:szCs w:val="21"/>
        </w:rPr>
        <w:t>拒绝申请</w:t>
      </w:r>
      <w:r>
        <w:rPr>
          <w:kern w:val="2"/>
          <w:szCs w:val="21"/>
        </w:rPr>
        <w:t>拒绝申请的上诉程序。</w:t>
      </w:r>
    </w:p>
    <w:p w14:paraId="506B4E97">
      <w:pPr>
        <w:pStyle w:val="8"/>
        <w:topLinePunct/>
        <w:snapToGrid w:val="0"/>
        <w:spacing w:beforeLines="25" w:line="300" w:lineRule="auto"/>
        <w:ind w:firstLine="0"/>
        <w:jc w:val="both"/>
        <w:rPr>
          <w:kern w:val="2"/>
          <w:szCs w:val="21"/>
        </w:rPr>
      </w:pPr>
      <w:r>
        <w:rPr>
          <w:kern w:val="2"/>
          <w:szCs w:val="21"/>
        </w:rPr>
        <w:t>不管临床研究是否处于本法规范围内、申请是否完整，相关成员国均应在收到申办方的意见或所要求的额外信息后五天内通知申办方。</w:t>
      </w:r>
    </w:p>
    <w:p w14:paraId="5C9D7370">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有关成员国还可将第1和第3段中所述的期限再延长5天。</w:t>
      </w:r>
    </w:p>
    <w:p w14:paraId="66F0E2B6">
      <w:pPr>
        <w:pStyle w:val="8"/>
        <w:tabs>
          <w:tab w:val="left" w:pos="681"/>
        </w:tabs>
        <w:topLinePunct/>
        <w:snapToGrid w:val="0"/>
        <w:spacing w:beforeLines="25" w:line="300" w:lineRule="auto"/>
        <w:ind w:hanging="568"/>
        <w:jc w:val="both"/>
        <w:rPr>
          <w:kern w:val="2"/>
          <w:szCs w:val="21"/>
        </w:rPr>
      </w:pPr>
      <w:bookmarkStart w:id="72" w:name="4._For_the_purposes_of_this_Chapter,_the"/>
      <w:bookmarkEnd w:id="72"/>
      <w:r>
        <w:rPr>
          <w:kern w:val="2"/>
          <w:szCs w:val="21"/>
        </w:rPr>
        <w:t>5.</w:t>
      </w:r>
      <w:r>
        <w:rPr>
          <w:kern w:val="2"/>
          <w:szCs w:val="21"/>
        </w:rPr>
        <w:tab/>
      </w:r>
      <w:r>
        <w:rPr>
          <w:kern w:val="2"/>
          <w:szCs w:val="21"/>
        </w:rPr>
        <w:t>根据本章规定，按照第1或第3段的要求通知申办方的日期应为申请的确认日期。若申办方未收到通知，则确认日期应分别为第1、3和4段中所所述时间段的最后一天。</w:t>
      </w:r>
    </w:p>
    <w:p w14:paraId="742D3425">
      <w:pPr>
        <w:pStyle w:val="8"/>
        <w:tabs>
          <w:tab w:val="left" w:pos="681"/>
        </w:tabs>
        <w:topLinePunct/>
        <w:snapToGrid w:val="0"/>
        <w:spacing w:beforeLines="25" w:line="300" w:lineRule="auto"/>
        <w:ind w:hanging="568"/>
        <w:jc w:val="both"/>
        <w:rPr>
          <w:kern w:val="2"/>
          <w:szCs w:val="21"/>
        </w:rPr>
      </w:pPr>
      <w:bookmarkStart w:id="73" w:name="4a._In_the_period_during_which_the_appli"/>
      <w:bookmarkEnd w:id="73"/>
      <w:r>
        <w:rPr>
          <w:kern w:val="2"/>
          <w:szCs w:val="21"/>
        </w:rPr>
        <w:t>6.</w:t>
      </w:r>
      <w:r>
        <w:rPr>
          <w:kern w:val="2"/>
          <w:szCs w:val="21"/>
        </w:rPr>
        <w:tab/>
      </w:r>
      <w:r>
        <w:rPr>
          <w:kern w:val="2"/>
          <w:szCs w:val="21"/>
        </w:rPr>
        <w:t>在此期间，申请处于评估状态，成员国可要求申办方提供额外的信息。应当从第一次请求之日起暂停第7段（b）点规定到期日期，直至收到相关附加信息。</w:t>
      </w:r>
    </w:p>
    <w:p w14:paraId="03E104C7">
      <w:pPr>
        <w:pStyle w:val="32"/>
        <w:tabs>
          <w:tab w:val="left" w:pos="682"/>
        </w:tabs>
        <w:topLinePunct/>
        <w:snapToGrid w:val="0"/>
        <w:spacing w:beforeLines="25" w:line="300" w:lineRule="auto"/>
        <w:ind w:firstLine="96" w:firstLineChars="46"/>
        <w:jc w:val="both"/>
        <w:rPr>
          <w:rFonts w:ascii="Times New Roman" w:hAnsi="Times New Roman"/>
          <w:kern w:val="2"/>
          <w:szCs w:val="21"/>
        </w:rPr>
      </w:pPr>
      <w:r>
        <w:rPr>
          <w:rFonts w:ascii="Times New Roman" w:hAnsi="Times New Roman"/>
          <w:kern w:val="2"/>
          <w:szCs w:val="21"/>
        </w:rPr>
        <w:t>7.</w:t>
      </w:r>
      <w:r>
        <w:rPr>
          <w:rFonts w:ascii="Times New Roman" w:hAnsi="Times New Roman"/>
          <w:kern w:val="2"/>
          <w:szCs w:val="21"/>
        </w:rPr>
        <w:tab/>
      </w:r>
      <w:r>
        <w:rPr>
          <w:rFonts w:ascii="Times New Roman" w:hAnsi="Times New Roman"/>
          <w:kern w:val="2"/>
          <w:szCs w:val="21"/>
        </w:rPr>
        <w:t>申办方可在下列情况下进行临床研究：</w:t>
      </w:r>
    </w:p>
    <w:p w14:paraId="402324ED">
      <w:pPr>
        <w:pStyle w:val="32"/>
        <w:numPr>
          <w:ilvl w:val="1"/>
          <w:numId w:val="73"/>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对于分类为I类的研究型器械或分类为IIa和IIb的非侵入式器械，除非国家法律另有说明，否则应在第5段所述申请验证日期到期后立即执行，但前提是相关成员国伦理委员会未公布根据国家法律对整个成员国的有效的关于临床研究负面评价；</w:t>
      </w:r>
    </w:p>
    <w:p w14:paraId="4C010340">
      <w:pPr>
        <w:pStyle w:val="32"/>
        <w:numPr>
          <w:ilvl w:val="1"/>
          <w:numId w:val="73"/>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对于除（a）所所述外的其他研究型器械，只</w:t>
      </w:r>
      <w:r>
        <w:rPr>
          <w:rFonts w:hint="eastAsia" w:ascii="Times New Roman" w:hAnsi="Times New Roman"/>
          <w:kern w:val="2"/>
          <w:szCs w:val="21"/>
        </w:rPr>
        <w:t>需</w:t>
      </w:r>
      <w:r>
        <w:rPr>
          <w:rFonts w:ascii="Times New Roman" w:hAnsi="Times New Roman"/>
          <w:kern w:val="2"/>
          <w:szCs w:val="21"/>
        </w:rPr>
        <w:t>相关成员国通知其授权的申办方，但前提是相关成员国伦理委员会未公布根据国家法律对整个成员国的有效的有关临床研究的负面评价；</w:t>
      </w:r>
      <w:r>
        <w:rPr>
          <w:rFonts w:hint="eastAsia" w:ascii="Times New Roman" w:hAnsi="Times New Roman"/>
          <w:kern w:val="2"/>
          <w:szCs w:val="21"/>
        </w:rPr>
        <w:t>且</w:t>
      </w:r>
      <w:r>
        <w:rPr>
          <w:rFonts w:ascii="Times New Roman" w:hAnsi="Times New Roman"/>
          <w:kern w:val="2"/>
          <w:szCs w:val="21"/>
        </w:rPr>
        <w:t>成员国应在第5段中所述的确认日期后45天内向申办方发出授权通知。成员国可将此期限延长20天以</w:t>
      </w:r>
      <w:r>
        <w:rPr>
          <w:rFonts w:hint="eastAsia" w:ascii="Times New Roman" w:hAnsi="Times New Roman"/>
          <w:kern w:val="2"/>
          <w:szCs w:val="21"/>
        </w:rPr>
        <w:t>便</w:t>
      </w:r>
      <w:r>
        <w:rPr>
          <w:rFonts w:ascii="Times New Roman" w:hAnsi="Times New Roman"/>
          <w:kern w:val="2"/>
          <w:szCs w:val="21"/>
        </w:rPr>
        <w:t>进行专家咨询。</w:t>
      </w:r>
    </w:p>
    <w:p w14:paraId="057253E8">
      <w:pPr>
        <w:pStyle w:val="8"/>
        <w:topLinePunct/>
        <w:snapToGrid w:val="0"/>
        <w:spacing w:beforeLines="25" w:line="300" w:lineRule="auto"/>
        <w:ind w:hanging="568"/>
        <w:jc w:val="both"/>
        <w:rPr>
          <w:kern w:val="2"/>
          <w:szCs w:val="21"/>
        </w:rPr>
      </w:pPr>
      <w:r>
        <w:rPr>
          <w:kern w:val="2"/>
          <w:szCs w:val="21"/>
        </w:rPr>
        <w:t>8.</w:t>
      </w:r>
      <w:r>
        <w:rPr>
          <w:kern w:val="2"/>
          <w:szCs w:val="21"/>
        </w:rPr>
        <w:tab/>
      </w:r>
      <w:r>
        <w:rPr>
          <w:kern w:val="2"/>
          <w:szCs w:val="21"/>
        </w:rPr>
        <w:t>委员会有权按照第115条的规定，根据技术进步和全球的监管发展动态，获得授权以修订或补充附录XV第II章中规定的要求。</w:t>
      </w:r>
    </w:p>
    <w:p w14:paraId="7E7A634E">
      <w:pPr>
        <w:pStyle w:val="8"/>
        <w:tabs>
          <w:tab w:val="left" w:pos="681"/>
        </w:tabs>
        <w:topLinePunct/>
        <w:snapToGrid w:val="0"/>
        <w:spacing w:beforeLines="25" w:line="300" w:lineRule="auto"/>
        <w:ind w:hanging="568"/>
        <w:jc w:val="both"/>
        <w:rPr>
          <w:kern w:val="2"/>
          <w:szCs w:val="21"/>
        </w:rPr>
      </w:pPr>
      <w:r>
        <w:rPr>
          <w:kern w:val="2"/>
          <w:szCs w:val="21"/>
        </w:rPr>
        <w:t>9.</w:t>
      </w:r>
      <w:r>
        <w:rPr>
          <w:kern w:val="2"/>
          <w:szCs w:val="21"/>
        </w:rPr>
        <w:tab/>
      </w:r>
      <w:r>
        <w:rPr>
          <w:kern w:val="2"/>
          <w:szCs w:val="21"/>
        </w:rPr>
        <w:t>为确保附录XV第II章中规定要求的统一适用，委员会可</w:t>
      </w:r>
      <w:r>
        <w:rPr>
          <w:rFonts w:hint="eastAsia"/>
          <w:kern w:val="2"/>
          <w:szCs w:val="21"/>
        </w:rPr>
        <w:t>批准</w:t>
      </w:r>
      <w:r>
        <w:rPr>
          <w:kern w:val="2"/>
          <w:szCs w:val="21"/>
        </w:rPr>
        <w:t>实施细则，这在某种程度上解决了发生分歧和实际应用中出现的问题。</w:t>
      </w:r>
      <w:r>
        <w:rPr>
          <w:rFonts w:hint="eastAsia"/>
          <w:kern w:val="2"/>
          <w:szCs w:val="21"/>
        </w:rPr>
        <w:t>这些</w:t>
      </w:r>
      <w:r>
        <w:rPr>
          <w:kern w:val="2"/>
          <w:szCs w:val="21"/>
        </w:rPr>
        <w:t>实施细则应当根据第114(3)中的所述的检查程序</w:t>
      </w:r>
      <w:r>
        <w:rPr>
          <w:rFonts w:hint="eastAsia"/>
          <w:kern w:val="2"/>
          <w:szCs w:val="21"/>
        </w:rPr>
        <w:t>予以通过</w:t>
      </w:r>
      <w:r>
        <w:rPr>
          <w:kern w:val="2"/>
          <w:szCs w:val="21"/>
        </w:rPr>
        <w:t>。</w:t>
      </w:r>
    </w:p>
    <w:p w14:paraId="40264CAD">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第71条</w:t>
      </w:r>
    </w:p>
    <w:p w14:paraId="02EB25BA">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成员国评估</w:t>
      </w:r>
    </w:p>
    <w:p w14:paraId="1D6FEC45">
      <w:pPr>
        <w:pStyle w:val="32"/>
        <w:numPr>
          <w:ilvl w:val="0"/>
          <w:numId w:val="7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各成员国应确保人员核实和评估流程，或对其进行确定，不得有任何利益冲突，独立于申办方、相关研究者和为临床研究提供资金的自然人或法人，并应免除其他任何不适当的影响。</w:t>
      </w:r>
    </w:p>
    <w:p w14:paraId="1C163049">
      <w:pPr>
        <w:pStyle w:val="32"/>
        <w:numPr>
          <w:ilvl w:val="0"/>
          <w:numId w:val="74"/>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各成员国应确保评估是由适当数量的具有必要资质和经验的人员共同完成。</w:t>
      </w:r>
    </w:p>
    <w:p w14:paraId="4E530C29">
      <w:pPr>
        <w:pStyle w:val="32"/>
        <w:numPr>
          <w:ilvl w:val="0"/>
          <w:numId w:val="74"/>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各成员国应评估临床研究是否</w:t>
      </w:r>
      <w:r>
        <w:rPr>
          <w:rFonts w:hint="eastAsia" w:ascii="Times New Roman" w:hAnsi="Times New Roman"/>
          <w:kern w:val="2"/>
          <w:szCs w:val="21"/>
        </w:rPr>
        <w:t>已</w:t>
      </w:r>
      <w:r>
        <w:rPr>
          <w:rFonts w:ascii="Times New Roman" w:hAnsi="Times New Roman"/>
          <w:kern w:val="2"/>
          <w:szCs w:val="21"/>
        </w:rPr>
        <w:t>将对受试者或第三人的潜在剩余风险降至最低，</w:t>
      </w:r>
      <w:r>
        <w:rPr>
          <w:rFonts w:hint="eastAsia" w:ascii="Times New Roman" w:hAnsi="Times New Roman"/>
          <w:kern w:val="2"/>
          <w:szCs w:val="21"/>
        </w:rPr>
        <w:t>并</w:t>
      </w:r>
      <w:r>
        <w:rPr>
          <w:rFonts w:ascii="Times New Roman" w:hAnsi="Times New Roman"/>
          <w:kern w:val="2"/>
          <w:szCs w:val="21"/>
        </w:rPr>
        <w:t>达到风险最小化的标准后，则可权衡其预期的临床益处。</w:t>
      </w:r>
      <w:r>
        <w:rPr>
          <w:rFonts w:hint="eastAsia" w:ascii="Times New Roman" w:hAnsi="Times New Roman"/>
          <w:kern w:val="2"/>
          <w:szCs w:val="21"/>
        </w:rPr>
        <w:t>此外，</w:t>
      </w:r>
      <w:r>
        <w:rPr>
          <w:rFonts w:ascii="Times New Roman" w:hAnsi="Times New Roman"/>
          <w:kern w:val="2"/>
          <w:szCs w:val="21"/>
        </w:rPr>
        <w:t>审查时应考虑适用的CS或协调标准，特别是检查</w:t>
      </w:r>
      <w:r>
        <w:rPr>
          <w:rFonts w:hint="eastAsia" w:ascii="Times New Roman" w:hAnsi="Times New Roman"/>
          <w:kern w:val="2"/>
          <w:szCs w:val="21"/>
        </w:rPr>
        <w:t>以下要点时</w:t>
      </w:r>
      <w:r>
        <w:rPr>
          <w:rFonts w:ascii="Times New Roman" w:hAnsi="Times New Roman"/>
          <w:kern w:val="2"/>
          <w:szCs w:val="21"/>
        </w:rPr>
        <w:t>：</w:t>
      </w:r>
    </w:p>
    <w:p w14:paraId="159ABBC6">
      <w:pPr>
        <w:pStyle w:val="32"/>
        <w:numPr>
          <w:ilvl w:val="1"/>
          <w:numId w:val="74"/>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除了临床研究已覆盖的方面外，还需考虑具有适用的通用安全与性能要求的研究的器械的法规符合性证据，不管在这些方面的问题上是否已采取任何保护受试者健康和安全的预防措施。其中包括，在适当情况下保证技术和生物安全测试以及临床前评估的实施；</w:t>
      </w:r>
    </w:p>
    <w:p w14:paraId="79FA995A">
      <w:pPr>
        <w:pStyle w:val="32"/>
        <w:numPr>
          <w:ilvl w:val="1"/>
          <w:numId w:val="74"/>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申办方是否采取了协调标准中说明的风险最小化方案，若申办方未使用协调标准，无论风险最小解决方案是否提供与协调标准一致水平的保护；</w:t>
      </w:r>
    </w:p>
    <w:p w14:paraId="20B12AE5">
      <w:pPr>
        <w:pStyle w:val="32"/>
        <w:numPr>
          <w:ilvl w:val="1"/>
          <w:numId w:val="74"/>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制定用于研究型器械安全安装、投入使用和维护的措施的合理性；</w:t>
      </w:r>
    </w:p>
    <w:p w14:paraId="347CA424">
      <w:pPr>
        <w:pStyle w:val="32"/>
        <w:numPr>
          <w:ilvl w:val="1"/>
          <w:numId w:val="74"/>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临床研究所生成数据的可靠性和稳健性，其应将统计方法、研究和方法的设计考虑在内（包括样本大小、比较产品和指标）；</w:t>
      </w:r>
    </w:p>
    <w:p w14:paraId="10D63AD4">
      <w:pPr>
        <w:pStyle w:val="32"/>
        <w:numPr>
          <w:ilvl w:val="1"/>
          <w:numId w:val="74"/>
        </w:numPr>
        <w:tabs>
          <w:tab w:val="left" w:pos="1248"/>
        </w:tabs>
        <w:topLinePunct/>
        <w:snapToGrid w:val="0"/>
        <w:spacing w:beforeLines="20" w:line="300" w:lineRule="auto"/>
        <w:ind w:left="1247"/>
        <w:jc w:val="both"/>
        <w:rPr>
          <w:rFonts w:ascii="Times New Roman" w:hAnsi="Times New Roman"/>
          <w:kern w:val="2"/>
          <w:szCs w:val="21"/>
        </w:rPr>
      </w:pPr>
      <w:r>
        <w:rPr>
          <w:rFonts w:hint="eastAsia" w:ascii="Times New Roman" w:hAnsi="Times New Roman"/>
          <w:kern w:val="2"/>
          <w:szCs w:val="21"/>
        </w:rPr>
        <w:t>是否</w:t>
      </w:r>
      <w:r>
        <w:rPr>
          <w:rFonts w:ascii="Times New Roman" w:hAnsi="Times New Roman"/>
          <w:kern w:val="2"/>
          <w:szCs w:val="21"/>
        </w:rPr>
        <w:t>满足附录XV的要求。</w:t>
      </w:r>
    </w:p>
    <w:p w14:paraId="5CFA4F1A">
      <w:pPr>
        <w:pStyle w:val="32"/>
        <w:numPr>
          <w:ilvl w:val="1"/>
          <w:numId w:val="74"/>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对于无菌操作器械，制造商灭菌程序、相关调整信息或研究现场必须进行的灭菌程序的验证证据；</w:t>
      </w:r>
    </w:p>
    <w:p w14:paraId="7D7170DB">
      <w:pPr>
        <w:pStyle w:val="32"/>
        <w:numPr>
          <w:ilvl w:val="1"/>
          <w:numId w:val="74"/>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ab/>
      </w:r>
      <w:r>
        <w:rPr>
          <w:rFonts w:ascii="Times New Roman" w:hAnsi="Times New Roman"/>
          <w:kern w:val="2"/>
          <w:szCs w:val="21"/>
        </w:rPr>
        <w:t>根据第2001/83/EC号指令来源于动物或人体的物质视为医疗产品，应证明其安全性、质量和有用性。</w:t>
      </w:r>
    </w:p>
    <w:p w14:paraId="34B47E9A">
      <w:pPr>
        <w:pStyle w:val="32"/>
        <w:numPr>
          <w:ilvl w:val="0"/>
          <w:numId w:val="74"/>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各成员国应拒绝同意临床研究，若：</w:t>
      </w:r>
    </w:p>
    <w:p w14:paraId="53D8FE59">
      <w:pPr>
        <w:pStyle w:val="8"/>
        <w:tabs>
          <w:tab w:val="left" w:pos="1247"/>
        </w:tabs>
        <w:topLinePunct/>
        <w:snapToGrid w:val="0"/>
        <w:spacing w:beforeLines="20" w:line="300" w:lineRule="auto"/>
        <w:ind w:firstLine="0"/>
        <w:jc w:val="both"/>
        <w:rPr>
          <w:kern w:val="2"/>
          <w:szCs w:val="21"/>
        </w:rPr>
      </w:pPr>
      <w:r>
        <w:rPr>
          <w:kern w:val="2"/>
          <w:szCs w:val="21"/>
        </w:rPr>
        <w:t>(a)</w:t>
      </w:r>
      <w:r>
        <w:rPr>
          <w:kern w:val="2"/>
          <w:szCs w:val="21"/>
        </w:rPr>
        <w:tab/>
      </w:r>
      <w:r>
        <w:rPr>
          <w:kern w:val="2"/>
          <w:szCs w:val="21"/>
        </w:rPr>
        <w:t>根据第70（1）条递交的申请档案仍不完整；</w:t>
      </w:r>
    </w:p>
    <w:p w14:paraId="30932420">
      <w:pPr>
        <w:pStyle w:val="8"/>
        <w:tabs>
          <w:tab w:val="left" w:pos="1247"/>
        </w:tabs>
        <w:topLinePunct/>
        <w:snapToGrid w:val="0"/>
        <w:spacing w:beforeLines="20" w:line="300" w:lineRule="auto"/>
        <w:ind w:left="1243" w:leftChars="300" w:hanging="613" w:hangingChars="292"/>
        <w:jc w:val="both"/>
        <w:rPr>
          <w:kern w:val="2"/>
          <w:szCs w:val="21"/>
        </w:rPr>
      </w:pPr>
      <w:r>
        <w:rPr>
          <w:kern w:val="2"/>
          <w:szCs w:val="21"/>
        </w:rPr>
        <w:t>（b）</w:t>
      </w:r>
      <w:r>
        <w:rPr>
          <w:kern w:val="2"/>
          <w:szCs w:val="21"/>
        </w:rPr>
        <w:tab/>
      </w:r>
      <w:r>
        <w:rPr>
          <w:kern w:val="2"/>
          <w:szCs w:val="21"/>
        </w:rPr>
        <w:t>该器械或提交的文件，特别是研究计划或研究者手册，与当前的科学技术水平不一致，尤其是临床研究无法提供该器械对受试者或患者有关安全性、性能特征或疗效的证据。</w:t>
      </w:r>
    </w:p>
    <w:p w14:paraId="2942B39D">
      <w:pPr>
        <w:pStyle w:val="32"/>
        <w:tabs>
          <w:tab w:val="left" w:pos="1248"/>
        </w:tabs>
        <w:topLinePunct/>
        <w:snapToGrid w:val="0"/>
        <w:spacing w:beforeLines="20" w:line="300" w:lineRule="auto"/>
        <w:ind w:left="1243" w:leftChars="300" w:hanging="613" w:hangingChars="292"/>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不满足第62条的要求，或</w:t>
      </w:r>
    </w:p>
    <w:p w14:paraId="5D09E458">
      <w:pPr>
        <w:pStyle w:val="32"/>
        <w:tabs>
          <w:tab w:val="left" w:pos="1248"/>
        </w:tabs>
        <w:topLinePunct/>
        <w:snapToGrid w:val="0"/>
        <w:spacing w:beforeLines="20" w:line="300" w:lineRule="auto"/>
        <w:ind w:left="1243" w:leftChars="300" w:hanging="613" w:hangingChars="292"/>
        <w:jc w:val="both"/>
        <w:rPr>
          <w:rFonts w:ascii="Times New Roman" w:hAnsi="Times New Roman"/>
          <w:kern w:val="2"/>
          <w:szCs w:val="21"/>
        </w:rPr>
      </w:pPr>
      <w:r>
        <w:rPr>
          <w:rFonts w:ascii="Times New Roman" w:hAnsi="Times New Roman"/>
          <w:kern w:val="2"/>
          <w:szCs w:val="21"/>
        </w:rPr>
        <w:t>（d）</w:t>
      </w:r>
      <w:r>
        <w:rPr>
          <w:rFonts w:ascii="Times New Roman" w:hAnsi="Times New Roman"/>
          <w:kern w:val="2"/>
          <w:szCs w:val="21"/>
        </w:rPr>
        <w:tab/>
      </w:r>
      <w:r>
        <w:rPr>
          <w:rFonts w:ascii="Times New Roman" w:hAnsi="Times New Roman"/>
          <w:kern w:val="2"/>
          <w:szCs w:val="21"/>
        </w:rPr>
        <w:t>根据第3段进行的某些评估得出负面结果。</w:t>
      </w:r>
    </w:p>
    <w:p w14:paraId="076AB226">
      <w:pPr>
        <w:pStyle w:val="8"/>
        <w:topLinePunct/>
        <w:snapToGrid w:val="0"/>
        <w:spacing w:beforeLines="20" w:line="300" w:lineRule="auto"/>
        <w:ind w:firstLine="0"/>
        <w:jc w:val="both"/>
        <w:rPr>
          <w:kern w:val="2"/>
          <w:szCs w:val="21"/>
        </w:rPr>
      </w:pPr>
      <w:r>
        <w:rPr>
          <w:kern w:val="2"/>
          <w:szCs w:val="21"/>
        </w:rPr>
        <w:t>成员国应根据第一子段提供有关此类拒绝申请的上诉程序。</w:t>
      </w:r>
    </w:p>
    <w:p w14:paraId="3FD5419D">
      <w:pPr>
        <w:snapToGrid w:val="0"/>
        <w:spacing w:beforeLines="20" w:line="300" w:lineRule="auto"/>
        <w:rPr>
          <w:rFonts w:ascii="Times New Roman" w:hAnsi="Times New Roman"/>
          <w:kern w:val="2"/>
          <w:szCs w:val="21"/>
        </w:rPr>
      </w:pPr>
    </w:p>
    <w:p w14:paraId="7C7D7A27">
      <w:pPr>
        <w:snapToGrid w:val="0"/>
        <w:spacing w:beforeLines="20" w:line="300" w:lineRule="auto"/>
        <w:ind w:left="195"/>
        <w:jc w:val="center"/>
        <w:rPr>
          <w:rStyle w:val="48"/>
          <w:b/>
          <w:szCs w:val="21"/>
        </w:rPr>
      </w:pPr>
      <w:r>
        <w:rPr>
          <w:rFonts w:ascii="Times New Roman" w:hAnsi="Times New Roman"/>
          <w:i/>
          <w:kern w:val="2"/>
          <w:szCs w:val="21"/>
        </w:rPr>
        <w:t>第72条</w:t>
      </w:r>
    </w:p>
    <w:p w14:paraId="73FFB22A">
      <w:pPr>
        <w:snapToGrid w:val="0"/>
        <w:spacing w:beforeLines="20" w:line="300" w:lineRule="auto"/>
        <w:ind w:left="196"/>
        <w:jc w:val="center"/>
        <w:rPr>
          <w:rStyle w:val="48"/>
          <w:b/>
          <w:szCs w:val="21"/>
        </w:rPr>
      </w:pPr>
      <w:r>
        <w:rPr>
          <w:rFonts w:ascii="Times New Roman" w:hAnsi="Times New Roman"/>
          <w:b/>
          <w:kern w:val="2"/>
          <w:szCs w:val="21"/>
        </w:rPr>
        <w:t>临床研究的实施</w:t>
      </w:r>
    </w:p>
    <w:p w14:paraId="57AE3526">
      <w:pPr>
        <w:pStyle w:val="32"/>
        <w:numPr>
          <w:ilvl w:val="0"/>
          <w:numId w:val="75"/>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申办方和研究者应确保该临床研究符合已批准的临床研究计划。</w:t>
      </w:r>
    </w:p>
    <w:p w14:paraId="0B96E971">
      <w:pPr>
        <w:pStyle w:val="32"/>
        <w:numPr>
          <w:ilvl w:val="0"/>
          <w:numId w:val="75"/>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为证明受试者的权利、安全和福利得到保障，所报告数据可靠且完善，以及进行的临床研究符合本法规的要求，申办方应当充分监督整个临床研究过程。申办方应评估临床研究中涉及的所有特征，根据评估结果决议监督的范围和性质，其中包括以下特征：</w:t>
      </w:r>
    </w:p>
    <w:p w14:paraId="695D0307">
      <w:pPr>
        <w:pStyle w:val="32"/>
        <w:numPr>
          <w:ilvl w:val="1"/>
          <w:numId w:val="75"/>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临床研究的目的和方法</w:t>
      </w:r>
    </w:p>
    <w:p w14:paraId="6948310F">
      <w:pPr>
        <w:pStyle w:val="32"/>
        <w:numPr>
          <w:ilvl w:val="1"/>
          <w:numId w:val="75"/>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正常临床实践干预的偏离程度。</w:t>
      </w:r>
    </w:p>
    <w:p w14:paraId="3F74C8B9">
      <w:pPr>
        <w:pStyle w:val="32"/>
        <w:numPr>
          <w:ilvl w:val="0"/>
          <w:numId w:val="7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申办方或研究员应记录、计算、处理和储存所有临床研究信息，（如适用）根据保护个人资料的相关法律，在保护记录机密性和受试者个人资料的同时，对其进行精确的报告、解释和验证。</w:t>
      </w:r>
    </w:p>
    <w:p w14:paraId="4D4D6964">
      <w:pPr>
        <w:pStyle w:val="32"/>
        <w:numPr>
          <w:ilvl w:val="0"/>
          <w:numId w:val="7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应采取适当的技术和组织措施，以保护信息和个人资料免受非法侵入、披露、传播、修改或破坏或意外丢失，尤其是当处理过程需涉及网络传输时。</w:t>
      </w:r>
    </w:p>
    <w:p w14:paraId="3452B50B">
      <w:pPr>
        <w:pStyle w:val="32"/>
        <w:numPr>
          <w:ilvl w:val="0"/>
          <w:numId w:val="7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成员国应在合适水平的研究机构开展审查，以检查是否根据本法规要求及批准的研究计划进行了临床研究。</w:t>
      </w:r>
    </w:p>
    <w:p w14:paraId="31B7852B">
      <w:pPr>
        <w:pStyle w:val="32"/>
        <w:numPr>
          <w:ilvl w:val="0"/>
          <w:numId w:val="7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申办方应制定紧急情况程序，以便立即识别并在必要时立即召回用于研究的器械。</w:t>
      </w:r>
    </w:p>
    <w:p w14:paraId="4DD003C7">
      <w:pPr>
        <w:snapToGrid w:val="0"/>
        <w:spacing w:beforeLines="25" w:line="300" w:lineRule="auto"/>
        <w:ind w:left="196"/>
        <w:jc w:val="center"/>
        <w:rPr>
          <w:rFonts w:ascii="Times New Roman" w:hAnsi="Times New Roman"/>
          <w:i/>
          <w:kern w:val="2"/>
          <w:szCs w:val="21"/>
        </w:rPr>
      </w:pPr>
    </w:p>
    <w:p w14:paraId="668ADC72">
      <w:pPr>
        <w:snapToGrid w:val="0"/>
        <w:spacing w:beforeLines="25" w:line="300" w:lineRule="auto"/>
        <w:ind w:left="196"/>
        <w:jc w:val="center"/>
        <w:rPr>
          <w:rStyle w:val="48"/>
          <w:b/>
          <w:szCs w:val="21"/>
        </w:rPr>
      </w:pPr>
      <w:r>
        <w:rPr>
          <w:rFonts w:ascii="Times New Roman" w:hAnsi="Times New Roman"/>
          <w:i/>
          <w:kern w:val="2"/>
          <w:szCs w:val="21"/>
        </w:rPr>
        <w:t>第73条</w:t>
      </w:r>
    </w:p>
    <w:p w14:paraId="3FF46115">
      <w:pPr>
        <w:snapToGrid w:val="0"/>
        <w:spacing w:beforeLines="25" w:line="300" w:lineRule="auto"/>
        <w:ind w:left="195"/>
        <w:jc w:val="center"/>
        <w:rPr>
          <w:rStyle w:val="48"/>
          <w:b/>
          <w:szCs w:val="21"/>
        </w:rPr>
      </w:pPr>
      <w:r>
        <w:rPr>
          <w:rFonts w:ascii="Times New Roman" w:hAnsi="Times New Roman"/>
          <w:b/>
          <w:kern w:val="2"/>
          <w:szCs w:val="21"/>
        </w:rPr>
        <w:t>临床研究电子系统</w:t>
      </w:r>
    </w:p>
    <w:p w14:paraId="23E680B5">
      <w:pPr>
        <w:pStyle w:val="32"/>
        <w:numPr>
          <w:ilvl w:val="0"/>
          <w:numId w:val="7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委员会应与成员国合作设立、管理和维护电子系统：</w:t>
      </w:r>
    </w:p>
    <w:p w14:paraId="667B549B">
      <w:pPr>
        <w:pStyle w:val="8"/>
        <w:topLinePunct/>
        <w:snapToGrid w:val="0"/>
        <w:spacing w:beforeLines="25" w:line="300" w:lineRule="auto"/>
        <w:ind w:left="1260" w:leftChars="280" w:hanging="672" w:hangingChars="320"/>
        <w:jc w:val="both"/>
        <w:rPr>
          <w:kern w:val="2"/>
          <w:szCs w:val="21"/>
        </w:rPr>
      </w:pPr>
      <w:r>
        <w:rPr>
          <w:kern w:val="2"/>
          <w:szCs w:val="21"/>
        </w:rPr>
        <w:t>（a）</w:t>
      </w:r>
      <w:r>
        <w:rPr>
          <w:kern w:val="2"/>
          <w:szCs w:val="21"/>
        </w:rPr>
        <w:tab/>
      </w:r>
      <w:r>
        <w:rPr>
          <w:kern w:val="2"/>
          <w:szCs w:val="21"/>
        </w:rPr>
        <w:t>为临床研究创建第70（1）条中所述的单个识别号；</w:t>
      </w:r>
    </w:p>
    <w:p w14:paraId="40F774B5">
      <w:pPr>
        <w:pStyle w:val="8"/>
        <w:topLinePunct/>
        <w:snapToGrid w:val="0"/>
        <w:spacing w:beforeLines="25" w:line="300" w:lineRule="auto"/>
        <w:ind w:left="1260" w:leftChars="280" w:hanging="672" w:hangingChars="320"/>
        <w:jc w:val="both"/>
        <w:rPr>
          <w:kern w:val="2"/>
          <w:szCs w:val="21"/>
        </w:rPr>
      </w:pPr>
      <w:r>
        <w:rPr>
          <w:kern w:val="2"/>
          <w:szCs w:val="21"/>
        </w:rPr>
        <w:t>（b）</w:t>
      </w:r>
      <w:r>
        <w:rPr>
          <w:kern w:val="2"/>
          <w:szCs w:val="21"/>
        </w:rPr>
        <w:tab/>
      </w:r>
      <w:r>
        <w:rPr>
          <w:kern w:val="2"/>
          <w:szCs w:val="21"/>
        </w:rPr>
        <w:t>用作第70、74、75和78条所述临床研究的所有申请或通知提交，以及本文中所有其他数据提交或数据处理的入口位点；</w:t>
      </w:r>
    </w:p>
    <w:p w14:paraId="4C38C03E">
      <w:pPr>
        <w:pStyle w:val="8"/>
        <w:topLinePunct/>
        <w:snapToGrid w:val="0"/>
        <w:spacing w:beforeLines="25" w:line="300" w:lineRule="auto"/>
        <w:ind w:left="1260" w:leftChars="280" w:hanging="672" w:hangingChars="320"/>
        <w:jc w:val="both"/>
        <w:rPr>
          <w:kern w:val="2"/>
          <w:szCs w:val="21"/>
        </w:rPr>
      </w:pPr>
      <w:r>
        <w:rPr>
          <w:rFonts w:hint="eastAsia"/>
          <w:kern w:val="2"/>
          <w:szCs w:val="21"/>
        </w:rPr>
        <w:t>（</w:t>
      </w:r>
      <w:r>
        <w:rPr>
          <w:kern w:val="2"/>
          <w:szCs w:val="21"/>
        </w:rPr>
        <w:t>c</w:t>
      </w:r>
      <w:r>
        <w:rPr>
          <w:rFonts w:hint="eastAsia"/>
          <w:kern w:val="2"/>
          <w:szCs w:val="21"/>
        </w:rPr>
        <w:t>）</w:t>
      </w:r>
      <w:r>
        <w:rPr>
          <w:kern w:val="2"/>
          <w:szCs w:val="21"/>
        </w:rPr>
        <w:tab/>
      </w:r>
      <w:r>
        <w:rPr>
          <w:kern w:val="2"/>
          <w:szCs w:val="21"/>
        </w:rPr>
        <w:t>用于按照本法规在成员国之间以及成员国与委员会之间交流有关临床研究的信息，包括第70条和第76条所述的信息交换；</w:t>
      </w:r>
    </w:p>
    <w:p w14:paraId="1B2F1D76">
      <w:pPr>
        <w:pStyle w:val="8"/>
        <w:topLinePunct/>
        <w:snapToGrid w:val="0"/>
        <w:spacing w:beforeLines="25" w:line="300" w:lineRule="auto"/>
        <w:ind w:left="1260" w:leftChars="280" w:hanging="672" w:hangingChars="320"/>
        <w:jc w:val="both"/>
        <w:rPr>
          <w:kern w:val="2"/>
          <w:szCs w:val="21"/>
        </w:rPr>
      </w:pPr>
      <w:r>
        <w:rPr>
          <w:kern w:val="2"/>
          <w:szCs w:val="21"/>
        </w:rPr>
        <w:t>（d）</w:t>
      </w:r>
      <w:r>
        <w:rPr>
          <w:kern w:val="2"/>
          <w:szCs w:val="21"/>
        </w:rPr>
        <w:tab/>
      </w:r>
      <w:r>
        <w:rPr>
          <w:kern w:val="2"/>
          <w:szCs w:val="21"/>
        </w:rPr>
        <w:t>按照第77条由申办方提供信息，包括该条第5段所要求的临床研究报告及其总结；</w:t>
      </w:r>
    </w:p>
    <w:p w14:paraId="05411AAF">
      <w:pPr>
        <w:pStyle w:val="8"/>
        <w:topLinePunct/>
        <w:snapToGrid w:val="0"/>
        <w:spacing w:beforeLines="25" w:line="300" w:lineRule="auto"/>
        <w:ind w:left="1260" w:leftChars="280" w:hanging="672" w:hangingChars="320"/>
        <w:jc w:val="both"/>
        <w:rPr>
          <w:kern w:val="2"/>
          <w:szCs w:val="21"/>
        </w:rPr>
      </w:pPr>
      <w:r>
        <w:rPr>
          <w:rFonts w:hint="eastAsia"/>
          <w:kern w:val="2"/>
          <w:szCs w:val="21"/>
        </w:rPr>
        <w:t>（</w:t>
      </w:r>
      <w:r>
        <w:rPr>
          <w:kern w:val="2"/>
          <w:szCs w:val="21"/>
        </w:rPr>
        <w:t>e</w:t>
      </w:r>
      <w:r>
        <w:rPr>
          <w:rFonts w:hint="eastAsia"/>
          <w:kern w:val="2"/>
          <w:szCs w:val="21"/>
        </w:rPr>
        <w:t>）</w:t>
      </w:r>
      <w:r>
        <w:rPr>
          <w:kern w:val="2"/>
          <w:szCs w:val="21"/>
        </w:rPr>
        <w:tab/>
      </w:r>
      <w:r>
        <w:rPr>
          <w:kern w:val="2"/>
          <w:szCs w:val="21"/>
        </w:rPr>
        <w:t>用于报告第80条所述的严重不良事件和器械缺陷及相关更新。</w:t>
      </w:r>
    </w:p>
    <w:p w14:paraId="40DEAE24">
      <w:pPr>
        <w:pStyle w:val="8"/>
        <w:tabs>
          <w:tab w:val="left" w:pos="681"/>
        </w:tabs>
        <w:topLinePunct/>
        <w:snapToGrid w:val="0"/>
        <w:spacing w:beforeLines="25" w:line="300" w:lineRule="auto"/>
        <w:ind w:hanging="568"/>
        <w:jc w:val="both"/>
        <w:rPr>
          <w:kern w:val="2"/>
          <w:szCs w:val="21"/>
        </w:rPr>
      </w:pPr>
      <w:r>
        <w:rPr>
          <w:kern w:val="2"/>
          <w:szCs w:val="21"/>
        </w:rPr>
        <w:t>2.</w:t>
      </w:r>
      <w:r>
        <w:rPr>
          <w:kern w:val="2"/>
          <w:szCs w:val="21"/>
        </w:rPr>
        <w:tab/>
      </w:r>
      <w:r>
        <w:rPr>
          <w:kern w:val="2"/>
          <w:szCs w:val="21"/>
        </w:rPr>
        <w:t>在设立本条第1段所述电子系统时，委员会应确保其与用于根据欧洲议会和理事会第536/2014号法规</w:t>
      </w:r>
      <w:r>
        <w:rPr>
          <w:kern w:val="2"/>
          <w:szCs w:val="21"/>
          <w:vertAlign w:val="superscript"/>
        </w:rPr>
        <w:t>1</w:t>
      </w:r>
      <w:r>
        <w:rPr>
          <w:kern w:val="2"/>
          <w:szCs w:val="21"/>
        </w:rPr>
        <w:t>涉及将器械临床研究与临床试验相结合的第81条规定的人医疗产品临床试验的欧盟数据库彼此兼容。</w:t>
      </w:r>
    </w:p>
    <w:p w14:paraId="217A625E">
      <w:pPr>
        <w:pStyle w:val="8"/>
        <w:tabs>
          <w:tab w:val="left" w:pos="681"/>
        </w:tabs>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第1段（c）点所述信息，仅成员国和委员会。该段其他点中所述的信息方可向公众公开，除非所有或部分信息对信息保密以下述任何理由作为正当理由：</w:t>
      </w:r>
    </w:p>
    <w:p w14:paraId="30A3780C">
      <w:pPr>
        <w:pStyle w:val="32"/>
        <w:numPr>
          <w:ilvl w:val="1"/>
          <w:numId w:val="76"/>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按照欧洲委员会第45/2001号法规保护个人数据；</w:t>
      </w:r>
    </w:p>
    <w:p w14:paraId="401A22C3">
      <w:pPr>
        <w:pStyle w:val="32"/>
        <w:numPr>
          <w:ilvl w:val="1"/>
          <w:numId w:val="76"/>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保护商业机密信息，尤其是研究者的资料，特别是考虑到对器械进行符合性评估的状态，除非公开信息中有涉及公共利益的压倒性内容，</w:t>
      </w:r>
    </w:p>
    <w:p w14:paraId="53306B68">
      <w:pPr>
        <w:pStyle w:val="32"/>
        <w:numPr>
          <w:ilvl w:val="1"/>
          <w:numId w:val="76"/>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有效监督有关成员国进行临床研究的情况；</w:t>
      </w:r>
    </w:p>
    <w:p w14:paraId="1B56E51E">
      <w:pPr>
        <w:pStyle w:val="8"/>
        <w:topLinePunct/>
        <w:snapToGrid w:val="0"/>
        <w:spacing w:beforeLines="25" w:line="300" w:lineRule="auto"/>
        <w:ind w:left="0" w:firstLine="0"/>
        <w:jc w:val="both"/>
        <w:rPr>
          <w:kern w:val="2"/>
          <w:szCs w:val="21"/>
        </w:rPr>
      </w:pPr>
      <w:r>
        <w:rPr>
          <w:kern w:val="2"/>
          <w:szCs w:val="21"/>
        </w:rPr>
        <w:t>4.</w:t>
      </w:r>
      <w:r>
        <w:rPr>
          <w:kern w:val="2"/>
          <w:szCs w:val="21"/>
        </w:rPr>
        <w:tab/>
      </w:r>
      <w:r>
        <w:rPr>
          <w:kern w:val="2"/>
          <w:szCs w:val="21"/>
        </w:rPr>
        <w:t>受试者个人资料不得公开。</w:t>
      </w:r>
    </w:p>
    <w:p w14:paraId="102165E0">
      <w:pPr>
        <w:pStyle w:val="8"/>
        <w:topLinePunct/>
        <w:snapToGrid w:val="0"/>
        <w:spacing w:beforeLines="25" w:line="300" w:lineRule="auto"/>
        <w:ind w:left="0" w:firstLine="0"/>
        <w:jc w:val="both"/>
        <w:rPr>
          <w:kern w:val="2"/>
          <w:szCs w:val="21"/>
        </w:rPr>
      </w:pPr>
      <w:r>
        <w:rPr>
          <w:kern w:val="2"/>
          <w:szCs w:val="21"/>
        </w:rPr>
        <w:t>5.</w:t>
      </w:r>
      <w:r>
        <w:rPr>
          <w:kern w:val="2"/>
          <w:szCs w:val="21"/>
        </w:rPr>
        <w:tab/>
      </w:r>
      <w:r>
        <w:rPr>
          <w:kern w:val="2"/>
          <w:szCs w:val="21"/>
        </w:rPr>
        <w:t>第1段中所述的电子系统使用者界面应具有欧盟所有官方语言的版本。</w:t>
      </w:r>
    </w:p>
    <w:p w14:paraId="4E465A75">
      <w:pPr>
        <w:snapToGrid w:val="0"/>
        <w:spacing w:beforeLines="25" w:line="300" w:lineRule="auto"/>
        <w:rPr>
          <w:rFonts w:ascii="Times New Roman" w:hAnsi="Times New Roman"/>
          <w:kern w:val="2"/>
          <w:szCs w:val="21"/>
        </w:rPr>
      </w:pPr>
      <w:r>
        <w:rPr>
          <w:rFonts w:hint="eastAsia" w:ascii="Times New Roman" w:hAnsi="Times New Roman"/>
          <w:kern w:val="2"/>
          <w:szCs w:val="21"/>
        </w:rPr>
        <w:t>________________________</w:t>
      </w:r>
    </w:p>
    <w:p w14:paraId="06439A33">
      <w:pPr>
        <w:pStyle w:val="53"/>
        <w:spacing w:beforeLines="25"/>
      </w:pPr>
      <w:r>
        <w:t>（1）</w:t>
      </w:r>
      <w:r>
        <w:rPr>
          <w:rFonts w:hint="eastAsia"/>
          <w:b/>
        </w:rPr>
        <w:tab/>
      </w:r>
      <w:r>
        <w:t>欧洲议会及委员会2014年4月16日签发的关于用于人医疗产品临床试验并废除第2001/20/EC号指令的第536/2014号法规（OJ L 158, 27.5.2014, p. 1）</w:t>
      </w:r>
    </w:p>
    <w:p w14:paraId="02A1E6A3">
      <w:pPr>
        <w:snapToGrid w:val="0"/>
        <w:spacing w:beforeLines="25" w:line="300" w:lineRule="auto"/>
        <w:ind w:left="196"/>
        <w:jc w:val="center"/>
        <w:rPr>
          <w:rStyle w:val="48"/>
          <w:b/>
          <w:szCs w:val="21"/>
        </w:rPr>
      </w:pPr>
      <w:r>
        <w:rPr>
          <w:rStyle w:val="48"/>
          <w:szCs w:val="21"/>
        </w:rPr>
        <w:br w:type="page"/>
      </w:r>
      <w:r>
        <w:rPr>
          <w:rFonts w:ascii="Times New Roman" w:hAnsi="Times New Roman"/>
          <w:i/>
          <w:kern w:val="2"/>
          <w:szCs w:val="21"/>
        </w:rPr>
        <w:t>第74条</w:t>
      </w:r>
    </w:p>
    <w:p w14:paraId="65AD3BF2">
      <w:pPr>
        <w:snapToGrid w:val="0"/>
        <w:spacing w:beforeLines="25" w:line="300" w:lineRule="auto"/>
        <w:ind w:left="196"/>
        <w:jc w:val="center"/>
        <w:rPr>
          <w:rStyle w:val="48"/>
          <w:b/>
          <w:szCs w:val="21"/>
        </w:rPr>
      </w:pPr>
      <w:r>
        <w:rPr>
          <w:rFonts w:ascii="Times New Roman" w:hAnsi="Times New Roman"/>
          <w:b/>
          <w:kern w:val="2"/>
          <w:szCs w:val="21"/>
        </w:rPr>
        <w:t>携带CE标识的器械的临床研究</w:t>
      </w:r>
    </w:p>
    <w:p w14:paraId="18243E44">
      <w:pPr>
        <w:pStyle w:val="32"/>
        <w:numPr>
          <w:ilvl w:val="0"/>
          <w:numId w:val="7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若在其预期范围内准备进行临床研究以进一步评估，根据第20（1）条已携带CE标识并符合相关符合性评估流程（以下称为</w:t>
      </w:r>
      <w:r>
        <w:rPr>
          <w:rFonts w:hint="eastAsia" w:ascii="Times New Roman" w:hAnsi="Times New Roman"/>
          <w:kern w:val="2"/>
          <w:szCs w:val="21"/>
        </w:rPr>
        <w:t>“</w:t>
      </w:r>
      <w:r>
        <w:rPr>
          <w:rFonts w:ascii="Times New Roman" w:hAnsi="Times New Roman"/>
          <w:kern w:val="2"/>
          <w:szCs w:val="21"/>
        </w:rPr>
        <w:t>PMCF研究</w:t>
      </w:r>
      <w:r>
        <w:rPr>
          <w:rFonts w:hint="eastAsia" w:ascii="Times New Roman" w:hAnsi="Times New Roman"/>
          <w:kern w:val="2"/>
          <w:szCs w:val="21"/>
        </w:rPr>
        <w:t>”</w:t>
      </w:r>
      <w:r>
        <w:rPr>
          <w:rFonts w:ascii="Times New Roman" w:hAnsi="Times New Roman"/>
          <w:kern w:val="2"/>
          <w:szCs w:val="21"/>
        </w:rPr>
        <w:t>）所述预期目的器械时，若在器械正常使用条件下研究会为受试者引入额外创伤或复杂手术且这些额外程序具有侵入性且难以承受，则申办方应通过第73条所述的电子系统在其开始前至少30天通知相关成员国。申办方应附上附录XV第II章所述文件作为公告的一部分。第62（4）条（b）至</w:t>
      </w:r>
      <w:r>
        <w:rPr>
          <w:rFonts w:hint="eastAsia" w:ascii="Times New Roman" w:hAnsi="Times New Roman"/>
          <w:kern w:val="2"/>
          <w:szCs w:val="21"/>
        </w:rPr>
        <w:t>（</w:t>
      </w:r>
      <w:r>
        <w:rPr>
          <w:rFonts w:ascii="Times New Roman" w:hAnsi="Times New Roman"/>
          <w:kern w:val="2"/>
          <w:szCs w:val="21"/>
        </w:rPr>
        <w:t>k</w:t>
      </w:r>
      <w:r>
        <w:rPr>
          <w:rFonts w:hint="eastAsia" w:ascii="Times New Roman" w:hAnsi="Times New Roman"/>
          <w:kern w:val="2"/>
          <w:szCs w:val="21"/>
        </w:rPr>
        <w:t>）</w:t>
      </w:r>
      <w:r>
        <w:rPr>
          <w:rFonts w:ascii="Times New Roman" w:hAnsi="Times New Roman"/>
          <w:kern w:val="2"/>
          <w:szCs w:val="21"/>
        </w:rPr>
        <w:t>和（m）点、第75条</w:t>
      </w:r>
      <w:r>
        <w:rPr>
          <w:rFonts w:hint="eastAsia" w:ascii="Times New Roman" w:hAnsi="Times New Roman"/>
          <w:kern w:val="2"/>
          <w:szCs w:val="21"/>
        </w:rPr>
        <w:t>、</w:t>
      </w:r>
      <w:r>
        <w:rPr>
          <w:rFonts w:ascii="Times New Roman" w:hAnsi="Times New Roman"/>
          <w:kern w:val="2"/>
          <w:szCs w:val="21"/>
        </w:rPr>
        <w:t>第76条、第77条和第80（5）条及附录XV有关规定均适用PMCF研究。</w:t>
      </w:r>
    </w:p>
    <w:p w14:paraId="1FEA8413">
      <w:pPr>
        <w:pStyle w:val="32"/>
        <w:numPr>
          <w:ilvl w:val="0"/>
          <w:numId w:val="7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若根据第20（1）条、第62条至第81条规定进行临床研究是为评估超出其预期目的范围，则已携带CE标识的器械应适用。</w:t>
      </w:r>
    </w:p>
    <w:p w14:paraId="59F53E9B">
      <w:pPr>
        <w:snapToGrid w:val="0"/>
        <w:spacing w:beforeLines="25" w:line="300" w:lineRule="auto"/>
        <w:rPr>
          <w:rFonts w:ascii="Times New Roman" w:hAnsi="Times New Roman"/>
          <w:kern w:val="2"/>
          <w:szCs w:val="21"/>
        </w:rPr>
      </w:pPr>
    </w:p>
    <w:p w14:paraId="69C0A4D9">
      <w:pPr>
        <w:snapToGrid w:val="0"/>
        <w:spacing w:beforeLines="25" w:line="300" w:lineRule="auto"/>
        <w:ind w:left="196"/>
        <w:jc w:val="center"/>
        <w:rPr>
          <w:rStyle w:val="48"/>
          <w:b/>
          <w:szCs w:val="21"/>
        </w:rPr>
      </w:pPr>
      <w:r>
        <w:rPr>
          <w:rFonts w:ascii="Times New Roman" w:hAnsi="Times New Roman"/>
          <w:i/>
          <w:kern w:val="2"/>
          <w:szCs w:val="21"/>
        </w:rPr>
        <w:t>第75条</w:t>
      </w:r>
    </w:p>
    <w:p w14:paraId="07795B3B">
      <w:pPr>
        <w:snapToGrid w:val="0"/>
        <w:spacing w:beforeLines="25" w:line="300" w:lineRule="auto"/>
        <w:ind w:left="195"/>
        <w:jc w:val="center"/>
        <w:rPr>
          <w:rStyle w:val="48"/>
          <w:b/>
          <w:szCs w:val="21"/>
        </w:rPr>
      </w:pPr>
      <w:r>
        <w:rPr>
          <w:rFonts w:ascii="Times New Roman" w:hAnsi="Times New Roman"/>
          <w:b/>
          <w:kern w:val="2"/>
          <w:szCs w:val="21"/>
        </w:rPr>
        <w:t>临床研究的实质性修改</w:t>
      </w:r>
    </w:p>
    <w:p w14:paraId="6A8B5669">
      <w:pPr>
        <w:pStyle w:val="32"/>
        <w:numPr>
          <w:ilvl w:val="0"/>
          <w:numId w:val="7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若申办方拟对临床研究提出可能对受试者安全性、健康或权利产生重大影响的修改，或对研究产生的临床数据的稳健性或可靠性进行修改，则其应在一周内通过第</w:t>
      </w:r>
      <w:r>
        <w:rPr>
          <w:rFonts w:hint="eastAsia" w:ascii="Times New Roman" w:hAnsi="Times New Roman"/>
          <w:kern w:val="2"/>
          <w:szCs w:val="21"/>
        </w:rPr>
        <w:t>7</w:t>
      </w:r>
      <w:r>
        <w:rPr>
          <w:rFonts w:ascii="Times New Roman" w:hAnsi="Times New Roman"/>
          <w:kern w:val="2"/>
          <w:szCs w:val="21"/>
        </w:rPr>
        <w:t>3条所述的电子系统，通知相关（正在进行临床研究或将急性临床研究）成员国有关这些修改的理由及性质。</w:t>
      </w:r>
      <w:r>
        <w:rPr>
          <w:rFonts w:hint="eastAsia" w:ascii="Times New Roman" w:hAnsi="Times New Roman"/>
          <w:kern w:val="2"/>
          <w:szCs w:val="21"/>
        </w:rPr>
        <w:t>申办方</w:t>
      </w:r>
      <w:r>
        <w:rPr>
          <w:rFonts w:ascii="Times New Roman" w:hAnsi="Times New Roman"/>
          <w:kern w:val="2"/>
          <w:szCs w:val="21"/>
        </w:rPr>
        <w:t>应</w:t>
      </w:r>
      <w:r>
        <w:rPr>
          <w:rFonts w:hint="eastAsia" w:ascii="Times New Roman" w:hAnsi="Times New Roman"/>
          <w:kern w:val="2"/>
          <w:szCs w:val="21"/>
        </w:rPr>
        <w:t>加入</w:t>
      </w:r>
      <w:r>
        <w:rPr>
          <w:rFonts w:ascii="Times New Roman" w:hAnsi="Times New Roman"/>
          <w:kern w:val="2"/>
          <w:szCs w:val="21"/>
        </w:rPr>
        <w:t>附录XV第II章所述相关文件的更新版本作为该公告的一部分</w:t>
      </w:r>
      <w:r>
        <w:rPr>
          <w:rFonts w:hint="eastAsia" w:ascii="Times New Roman" w:hAnsi="Times New Roman"/>
          <w:kern w:val="2"/>
          <w:szCs w:val="21"/>
        </w:rPr>
        <w:t>。</w:t>
      </w:r>
      <w:r>
        <w:rPr>
          <w:rFonts w:ascii="Times New Roman" w:hAnsi="Times New Roman"/>
          <w:kern w:val="2"/>
          <w:szCs w:val="21"/>
        </w:rPr>
        <w:t>相关文件修改更改应清晰可辨。</w:t>
      </w:r>
    </w:p>
    <w:p w14:paraId="553FB0DF">
      <w:pPr>
        <w:pStyle w:val="8"/>
        <w:tabs>
          <w:tab w:val="left" w:pos="681"/>
        </w:tabs>
        <w:topLinePunct/>
        <w:snapToGrid w:val="0"/>
        <w:spacing w:beforeLines="25" w:line="300" w:lineRule="auto"/>
        <w:ind w:hanging="568"/>
        <w:jc w:val="both"/>
        <w:rPr>
          <w:kern w:val="2"/>
          <w:szCs w:val="21"/>
        </w:rPr>
      </w:pPr>
      <w:r>
        <w:rPr>
          <w:kern w:val="2"/>
          <w:szCs w:val="21"/>
        </w:rPr>
        <w:t>2.</w:t>
      </w:r>
      <w:r>
        <w:rPr>
          <w:kern w:val="2"/>
          <w:szCs w:val="21"/>
        </w:rPr>
        <w:tab/>
      </w:r>
      <w:r>
        <w:rPr>
          <w:kern w:val="2"/>
          <w:szCs w:val="21"/>
        </w:rPr>
        <w:t>成员国应根据第71条规定程序评估临床研究的任何实质性修改。</w:t>
      </w:r>
    </w:p>
    <w:p w14:paraId="31599870">
      <w:pPr>
        <w:pStyle w:val="8"/>
        <w:tabs>
          <w:tab w:val="left" w:pos="681"/>
        </w:tabs>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申办方可在该段所述的公告后最早38天实施第1段所述修改，除非</w:t>
      </w:r>
      <w:r>
        <w:rPr>
          <w:rFonts w:hint="eastAsia"/>
          <w:kern w:val="2"/>
          <w:szCs w:val="21"/>
        </w:rPr>
        <w:t>：</w:t>
      </w:r>
    </w:p>
    <w:p w14:paraId="0350FCEC">
      <w:pPr>
        <w:pStyle w:val="32"/>
        <w:tabs>
          <w:tab w:val="left" w:pos="682"/>
        </w:tabs>
        <w:topLinePunct/>
        <w:snapToGrid w:val="0"/>
        <w:spacing w:beforeLines="25" w:line="300" w:lineRule="auto"/>
        <w:ind w:left="1119" w:leftChars="280" w:hanging="531" w:hangingChars="253"/>
        <w:jc w:val="both"/>
        <w:rPr>
          <w:rFonts w:ascii="Times New Roman" w:hAnsi="Times New Roman"/>
          <w:kern w:val="2"/>
          <w:szCs w:val="21"/>
        </w:rPr>
      </w:pPr>
      <w:r>
        <w:rPr>
          <w:rFonts w:ascii="Times New Roman" w:hAnsi="Times New Roman"/>
          <w:kern w:val="2"/>
          <w:szCs w:val="21"/>
        </w:rPr>
        <w:t>（a）正在进行临床研究或将进行临床研究的成员国已根据第71（4）条规定或者公共卫生注意事项、公共政策的受试者和使用者安全或健康通知申办方拒绝该修改，或</w:t>
      </w:r>
    </w:p>
    <w:p w14:paraId="7FE5F9AC">
      <w:pPr>
        <w:pStyle w:val="32"/>
        <w:tabs>
          <w:tab w:val="left" w:pos="682"/>
        </w:tabs>
        <w:topLinePunct/>
        <w:snapToGrid w:val="0"/>
        <w:spacing w:beforeLines="25" w:line="300" w:lineRule="auto"/>
        <w:ind w:left="1119" w:leftChars="280" w:hanging="531" w:hangingChars="253"/>
        <w:jc w:val="both"/>
        <w:rPr>
          <w:rFonts w:ascii="Times New Roman" w:hAnsi="Times New Roman"/>
          <w:kern w:val="2"/>
          <w:szCs w:val="21"/>
        </w:rPr>
      </w:pPr>
      <w:r>
        <w:rPr>
          <w:rFonts w:ascii="Times New Roman" w:hAnsi="Times New Roman"/>
          <w:kern w:val="2"/>
          <w:szCs w:val="21"/>
        </w:rPr>
        <w:t>（b）成员国伦理委员会根据国家法律发布对整个成员国有效的有关对临床研究实质性修改的否定意见。</w:t>
      </w:r>
    </w:p>
    <w:p w14:paraId="487EBF4F">
      <w:pPr>
        <w:pStyle w:val="8"/>
        <w:tabs>
          <w:tab w:val="left" w:pos="681"/>
        </w:tabs>
        <w:topLinePunct/>
        <w:snapToGrid w:val="0"/>
        <w:spacing w:beforeLines="25" w:line="300" w:lineRule="auto"/>
        <w:ind w:hanging="568"/>
        <w:jc w:val="both"/>
        <w:rPr>
          <w:kern w:val="2"/>
          <w:szCs w:val="21"/>
        </w:rPr>
      </w:pPr>
      <w:r>
        <w:rPr>
          <w:rFonts w:hint="eastAsia"/>
          <w:kern w:val="2"/>
          <w:szCs w:val="21"/>
        </w:rPr>
        <w:t>4.</w:t>
      </w:r>
      <w:r>
        <w:rPr>
          <w:rFonts w:hint="eastAsia"/>
          <w:kern w:val="2"/>
          <w:szCs w:val="21"/>
        </w:rPr>
        <w:tab/>
      </w:r>
      <w:r>
        <w:rPr>
          <w:kern w:val="2"/>
          <w:szCs w:val="21"/>
        </w:rPr>
        <w:t>为咨询有关专家，有关成员国可将第3段规定的期限额外延长7天。</w:t>
      </w:r>
    </w:p>
    <w:p w14:paraId="38AFDF39">
      <w:pPr>
        <w:snapToGrid w:val="0"/>
        <w:spacing w:beforeLines="25" w:line="300" w:lineRule="auto"/>
        <w:ind w:left="196"/>
        <w:jc w:val="center"/>
        <w:rPr>
          <w:rFonts w:ascii="Times New Roman" w:hAnsi="Times New Roman"/>
          <w:i/>
          <w:kern w:val="2"/>
          <w:szCs w:val="21"/>
        </w:rPr>
      </w:pPr>
    </w:p>
    <w:p w14:paraId="0A9D7D99">
      <w:pPr>
        <w:snapToGrid w:val="0"/>
        <w:spacing w:beforeLines="25" w:line="300" w:lineRule="auto"/>
        <w:ind w:left="196"/>
        <w:jc w:val="center"/>
        <w:rPr>
          <w:rStyle w:val="48"/>
          <w:b/>
          <w:szCs w:val="21"/>
        </w:rPr>
      </w:pPr>
      <w:r>
        <w:rPr>
          <w:rFonts w:ascii="Times New Roman" w:hAnsi="Times New Roman"/>
          <w:i/>
          <w:kern w:val="2"/>
          <w:szCs w:val="21"/>
        </w:rPr>
        <w:t>第76条</w:t>
      </w:r>
    </w:p>
    <w:p w14:paraId="36613D68">
      <w:pPr>
        <w:snapToGrid w:val="0"/>
        <w:spacing w:beforeLines="25" w:line="300" w:lineRule="auto"/>
        <w:ind w:left="196"/>
        <w:jc w:val="center"/>
        <w:rPr>
          <w:rStyle w:val="48"/>
          <w:b/>
          <w:szCs w:val="21"/>
        </w:rPr>
      </w:pPr>
      <w:r>
        <w:rPr>
          <w:rFonts w:ascii="Times New Roman" w:hAnsi="Times New Roman"/>
          <w:b/>
          <w:kern w:val="2"/>
          <w:szCs w:val="21"/>
        </w:rPr>
        <w:t>成员国纠正措施以及成员国之间的信息交流</w:t>
      </w:r>
    </w:p>
    <w:p w14:paraId="3E885DB2">
      <w:pPr>
        <w:pStyle w:val="8"/>
        <w:tabs>
          <w:tab w:val="left" w:pos="681"/>
        </w:tabs>
        <w:topLinePunct/>
        <w:snapToGrid w:val="0"/>
        <w:spacing w:beforeLines="25" w:line="300" w:lineRule="auto"/>
        <w:ind w:hanging="568"/>
        <w:jc w:val="both"/>
        <w:rPr>
          <w:kern w:val="2"/>
          <w:szCs w:val="21"/>
        </w:rPr>
      </w:pPr>
      <w:r>
        <w:rPr>
          <w:kern w:val="2"/>
          <w:szCs w:val="21"/>
        </w:rPr>
        <w:t>1.</w:t>
      </w:r>
      <w:r>
        <w:rPr>
          <w:kern w:val="2"/>
          <w:szCs w:val="21"/>
        </w:rPr>
        <w:tab/>
      </w:r>
      <w:r>
        <w:rPr>
          <w:kern w:val="2"/>
          <w:szCs w:val="21"/>
        </w:rPr>
        <w:t>若正在进行临床研究或将进行临床研究的成员国有理由</w:t>
      </w:r>
      <w:r>
        <w:rPr>
          <w:rFonts w:hint="eastAsia"/>
          <w:kern w:val="2"/>
          <w:szCs w:val="21"/>
        </w:rPr>
        <w:t>认为出现了未</w:t>
      </w:r>
      <w:r>
        <w:rPr>
          <w:kern w:val="2"/>
          <w:szCs w:val="21"/>
        </w:rPr>
        <w:t>满足本法规</w:t>
      </w:r>
      <w:r>
        <w:rPr>
          <w:rFonts w:hint="eastAsia"/>
          <w:kern w:val="2"/>
          <w:szCs w:val="21"/>
        </w:rPr>
        <w:t>的</w:t>
      </w:r>
      <w:r>
        <w:rPr>
          <w:kern w:val="2"/>
          <w:szCs w:val="21"/>
        </w:rPr>
        <w:t>情况，其至少应在其领土范围内采取以下任何措施：</w:t>
      </w:r>
    </w:p>
    <w:p w14:paraId="12362AE7">
      <w:pPr>
        <w:pStyle w:val="32"/>
        <w:numPr>
          <w:ilvl w:val="1"/>
          <w:numId w:val="78"/>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撤销临床研究授权；</w:t>
      </w:r>
    </w:p>
    <w:p w14:paraId="7B7FFD74">
      <w:pPr>
        <w:pStyle w:val="32"/>
        <w:numPr>
          <w:ilvl w:val="1"/>
          <w:numId w:val="78"/>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暂停或终止临床研究；</w:t>
      </w:r>
    </w:p>
    <w:p w14:paraId="10519500">
      <w:pPr>
        <w:pStyle w:val="32"/>
        <w:numPr>
          <w:ilvl w:val="1"/>
          <w:numId w:val="78"/>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要求申办方修改临床研究所有方面。</w:t>
      </w:r>
    </w:p>
    <w:p w14:paraId="1294D0D1">
      <w:pPr>
        <w:pStyle w:val="8"/>
        <w:topLinePunct/>
        <w:snapToGrid w:val="0"/>
        <w:spacing w:beforeLines="25" w:line="300" w:lineRule="auto"/>
        <w:ind w:hanging="568"/>
        <w:jc w:val="both"/>
        <w:rPr>
          <w:kern w:val="2"/>
          <w:szCs w:val="21"/>
        </w:rPr>
      </w:pPr>
      <w:r>
        <w:rPr>
          <w:kern w:val="2"/>
          <w:szCs w:val="21"/>
        </w:rPr>
        <w:t>2.</w:t>
      </w:r>
      <w:r>
        <w:rPr>
          <w:kern w:val="2"/>
          <w:szCs w:val="21"/>
        </w:rPr>
        <w:tab/>
      </w:r>
      <w:r>
        <w:rPr>
          <w:kern w:val="2"/>
          <w:szCs w:val="21"/>
        </w:rPr>
        <w:t>有关成员国采取第1段所述的任何措施之前，除非需要立即采取行动，其应征询申办方或其研究员或两者的意见。应在七日内给出意见。</w:t>
      </w:r>
    </w:p>
    <w:p w14:paraId="34B4D8F7">
      <w:pPr>
        <w:pStyle w:val="8"/>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若成员国采取了本条第1段所述措施，或拒绝临床研究，或已收到申办方基于安全理由提前终止临床研究的通知，</w:t>
      </w:r>
      <w:r>
        <w:rPr>
          <w:rFonts w:hint="eastAsia"/>
          <w:kern w:val="2"/>
          <w:szCs w:val="21"/>
        </w:rPr>
        <w:t>则</w:t>
      </w:r>
      <w:r>
        <w:rPr>
          <w:kern w:val="2"/>
          <w:szCs w:val="21"/>
        </w:rPr>
        <w:t>该成员国应通过第73条所述的电子系统将相关决议及其理由通知所有成员国和委员会。</w:t>
      </w:r>
    </w:p>
    <w:p w14:paraId="4A49C629">
      <w:pPr>
        <w:pStyle w:val="8"/>
        <w:topLinePunct/>
        <w:snapToGrid w:val="0"/>
        <w:spacing w:beforeLines="25" w:line="300" w:lineRule="auto"/>
        <w:ind w:left="680"/>
        <w:jc w:val="both"/>
        <w:rPr>
          <w:kern w:val="2"/>
          <w:szCs w:val="21"/>
        </w:rPr>
      </w:pPr>
      <w:r>
        <w:rPr>
          <w:kern w:val="2"/>
          <w:szCs w:val="21"/>
        </w:rPr>
        <w:t>4.</w:t>
      </w:r>
      <w:r>
        <w:rPr>
          <w:kern w:val="2"/>
          <w:szCs w:val="21"/>
        </w:rPr>
        <w:tab/>
      </w:r>
      <w:r>
        <w:rPr>
          <w:kern w:val="2"/>
          <w:szCs w:val="21"/>
        </w:rPr>
        <w:t>如申办方在成员国</w:t>
      </w:r>
      <w:r>
        <w:rPr>
          <w:rFonts w:hint="eastAsia"/>
          <w:kern w:val="2"/>
          <w:szCs w:val="21"/>
        </w:rPr>
        <w:t>做出</w:t>
      </w:r>
      <w:r>
        <w:rPr>
          <w:kern w:val="2"/>
          <w:szCs w:val="21"/>
        </w:rPr>
        <w:t>决议之前撤回申请，则应使用第73条所述的电子系统通知所有成员国和委员会。</w:t>
      </w:r>
    </w:p>
    <w:p w14:paraId="2E2F86C2">
      <w:pPr>
        <w:snapToGrid w:val="0"/>
        <w:spacing w:beforeLines="25" w:line="300" w:lineRule="auto"/>
        <w:ind w:left="762"/>
        <w:jc w:val="center"/>
        <w:rPr>
          <w:rFonts w:ascii="Times New Roman" w:hAnsi="Times New Roman"/>
          <w:i/>
          <w:kern w:val="2"/>
          <w:szCs w:val="21"/>
        </w:rPr>
      </w:pPr>
    </w:p>
    <w:p w14:paraId="7CEDA5F2">
      <w:pPr>
        <w:snapToGrid w:val="0"/>
        <w:spacing w:beforeLines="25" w:line="300" w:lineRule="auto"/>
        <w:jc w:val="center"/>
        <w:rPr>
          <w:rStyle w:val="48"/>
          <w:b/>
          <w:szCs w:val="21"/>
        </w:rPr>
      </w:pPr>
      <w:r>
        <w:rPr>
          <w:rFonts w:ascii="Times New Roman" w:hAnsi="Times New Roman"/>
          <w:i/>
          <w:kern w:val="2"/>
          <w:szCs w:val="21"/>
        </w:rPr>
        <w:t>第77条</w:t>
      </w:r>
    </w:p>
    <w:p w14:paraId="0B098502">
      <w:pPr>
        <w:snapToGrid w:val="0"/>
        <w:spacing w:beforeLines="25" w:line="300" w:lineRule="auto"/>
        <w:jc w:val="center"/>
        <w:rPr>
          <w:rStyle w:val="48"/>
          <w:b/>
          <w:szCs w:val="21"/>
        </w:rPr>
      </w:pPr>
      <w:r>
        <w:rPr>
          <w:rFonts w:ascii="Times New Roman" w:hAnsi="Times New Roman"/>
          <w:b/>
          <w:kern w:val="2"/>
          <w:szCs w:val="21"/>
        </w:rPr>
        <w:t>在临床研究结束</w:t>
      </w:r>
      <w:r>
        <w:rPr>
          <w:rFonts w:hint="eastAsia" w:ascii="Times New Roman" w:hAnsi="Times New Roman"/>
          <w:b/>
          <w:kern w:val="2"/>
          <w:szCs w:val="21"/>
        </w:rPr>
        <w:t>、</w:t>
      </w:r>
      <w:r>
        <w:rPr>
          <w:rFonts w:ascii="Times New Roman" w:hAnsi="Times New Roman"/>
          <w:b/>
          <w:kern w:val="2"/>
          <w:szCs w:val="21"/>
        </w:rPr>
        <w:t>暂停或提前终止</w:t>
      </w:r>
      <w:r>
        <w:rPr>
          <w:rFonts w:hint="eastAsia" w:ascii="Times New Roman" w:hAnsi="Times New Roman"/>
          <w:b/>
          <w:kern w:val="2"/>
          <w:szCs w:val="21"/>
        </w:rPr>
        <w:t>时</w:t>
      </w:r>
      <w:r>
        <w:rPr>
          <w:rFonts w:ascii="Times New Roman" w:hAnsi="Times New Roman"/>
          <w:b/>
          <w:kern w:val="2"/>
          <w:szCs w:val="21"/>
        </w:rPr>
        <w:t>由申办方提供的信息</w:t>
      </w:r>
    </w:p>
    <w:p w14:paraId="2CF1E903">
      <w:pPr>
        <w:pStyle w:val="32"/>
        <w:numPr>
          <w:ilvl w:val="0"/>
          <w:numId w:val="79"/>
        </w:numPr>
        <w:tabs>
          <w:tab w:val="left" w:pos="682"/>
        </w:tabs>
        <w:topLinePunct/>
        <w:snapToGrid w:val="0"/>
        <w:spacing w:beforeLines="25" w:line="300" w:lineRule="auto"/>
        <w:ind w:hanging="567"/>
        <w:jc w:val="both"/>
      </w:pPr>
      <w:r>
        <w:rPr>
          <w:rFonts w:hint="eastAsia" w:ascii="Times New Roman" w:hAnsi="Times New Roman"/>
          <w:kern w:val="2"/>
          <w:szCs w:val="21"/>
        </w:rPr>
        <w:t>若申办方临时暂停或提前终止临床研究，则其应在</w:t>
      </w:r>
      <w:r>
        <w:rPr>
          <w:rFonts w:ascii="Times New Roman" w:hAnsi="Times New Roman"/>
          <w:kern w:val="2"/>
          <w:szCs w:val="21"/>
        </w:rPr>
        <w:t>15</w:t>
      </w:r>
      <w:r>
        <w:rPr>
          <w:rFonts w:hint="eastAsia" w:ascii="Times New Roman" w:hAnsi="Times New Roman"/>
          <w:kern w:val="2"/>
          <w:szCs w:val="21"/>
        </w:rPr>
        <w:t>天内通过第</w:t>
      </w:r>
      <w:r>
        <w:rPr>
          <w:rFonts w:ascii="Times New Roman" w:hAnsi="Times New Roman"/>
          <w:kern w:val="2"/>
          <w:szCs w:val="21"/>
        </w:rPr>
        <w:t>73</w:t>
      </w:r>
      <w:r>
        <w:rPr>
          <w:rFonts w:hint="eastAsia" w:ascii="Times New Roman" w:hAnsi="Times New Roman"/>
          <w:kern w:val="2"/>
          <w:szCs w:val="21"/>
        </w:rPr>
        <w:t>条所述的电子系统通知</w:t>
      </w:r>
      <w:r>
        <w:rPr>
          <w:kern w:val="2"/>
          <w:szCs w:val="21"/>
        </w:rPr>
        <w:t>正在进行临床研究或将进行临床研究的</w:t>
      </w:r>
      <w:r>
        <w:rPr>
          <w:rFonts w:hint="eastAsia" w:ascii="Times New Roman" w:hAnsi="Times New Roman"/>
          <w:kern w:val="2"/>
          <w:szCs w:val="21"/>
        </w:rPr>
        <w:t>成员国临时暂停或提前终止的理由。若申办方临时暂停或提前终止临床研究，则其应在</w:t>
      </w:r>
      <w:r>
        <w:rPr>
          <w:rFonts w:ascii="Times New Roman" w:hAnsi="Times New Roman"/>
          <w:kern w:val="2"/>
          <w:szCs w:val="21"/>
        </w:rPr>
        <w:t>24</w:t>
      </w:r>
      <w:r>
        <w:rPr>
          <w:rFonts w:hint="eastAsia" w:ascii="Times New Roman" w:hAnsi="Times New Roman"/>
          <w:kern w:val="2"/>
          <w:szCs w:val="21"/>
        </w:rPr>
        <w:t>小时内通知</w:t>
      </w:r>
      <w:r>
        <w:rPr>
          <w:kern w:val="2"/>
          <w:szCs w:val="21"/>
        </w:rPr>
        <w:t>正在进行临床研究或将进行临床研究的</w:t>
      </w:r>
      <w:r>
        <w:rPr>
          <w:rFonts w:hint="eastAsia" w:ascii="Times New Roman" w:hAnsi="Times New Roman"/>
          <w:kern w:val="2"/>
          <w:szCs w:val="21"/>
        </w:rPr>
        <w:t>成员国。</w:t>
      </w:r>
    </w:p>
    <w:p w14:paraId="50CF719F">
      <w:pPr>
        <w:pStyle w:val="32"/>
        <w:numPr>
          <w:ilvl w:val="0"/>
          <w:numId w:val="79"/>
        </w:numPr>
        <w:tabs>
          <w:tab w:val="left" w:pos="682"/>
        </w:tabs>
        <w:topLinePunct/>
        <w:snapToGrid w:val="0"/>
        <w:spacing w:beforeLines="25" w:line="300" w:lineRule="auto"/>
        <w:ind w:hanging="567"/>
        <w:jc w:val="both"/>
      </w:pPr>
      <w:r>
        <w:rPr>
          <w:rFonts w:hint="eastAsia"/>
        </w:rPr>
        <w:t>临床研究的结束应视为与最后一次研究的最后一次访问一致，除非另一个时间点在临床研究计划中列出。</w:t>
      </w:r>
    </w:p>
    <w:p w14:paraId="292073ED">
      <w:pPr>
        <w:pStyle w:val="32"/>
        <w:numPr>
          <w:ilvl w:val="0"/>
          <w:numId w:val="7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申办方应通知各</w:t>
      </w:r>
      <w:r>
        <w:rPr>
          <w:rFonts w:hint="eastAsia" w:ascii="Times New Roman" w:hAnsi="Times New Roman"/>
          <w:kern w:val="2"/>
          <w:szCs w:val="21"/>
        </w:rPr>
        <w:t>正在开展</w:t>
      </w:r>
      <w:r>
        <w:rPr>
          <w:rFonts w:ascii="Times New Roman" w:hAnsi="Times New Roman"/>
          <w:kern w:val="2"/>
          <w:szCs w:val="21"/>
        </w:rPr>
        <w:t>临床研究的</w:t>
      </w:r>
      <w:r>
        <w:rPr>
          <w:rFonts w:hint="eastAsia" w:ascii="Times New Roman" w:hAnsi="Times New Roman"/>
          <w:kern w:val="2"/>
          <w:szCs w:val="21"/>
        </w:rPr>
        <w:t>各</w:t>
      </w:r>
      <w:r>
        <w:rPr>
          <w:rFonts w:ascii="Times New Roman" w:hAnsi="Times New Roman"/>
          <w:kern w:val="2"/>
          <w:szCs w:val="21"/>
        </w:rPr>
        <w:t>成员国</w:t>
      </w:r>
      <w:r>
        <w:rPr>
          <w:rFonts w:hint="eastAsia" w:ascii="Times New Roman" w:hAnsi="Times New Roman"/>
          <w:kern w:val="2"/>
          <w:szCs w:val="21"/>
        </w:rPr>
        <w:t>，</w:t>
      </w:r>
      <w:r>
        <w:rPr>
          <w:rFonts w:ascii="Times New Roman" w:hAnsi="Times New Roman"/>
          <w:kern w:val="2"/>
          <w:szCs w:val="21"/>
        </w:rPr>
        <w:t>该成员国已结束临床研究。该通知应在该成员国临床研究结束后15天内给出。</w:t>
      </w:r>
    </w:p>
    <w:p w14:paraId="027FF6A9">
      <w:pPr>
        <w:pStyle w:val="8"/>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若在多个成员国进行该研究，则申办方应通知所有进行临床研究的成员国已全面结束临床研究。该通知应在临床研究全面结束后15天内提出。</w:t>
      </w:r>
    </w:p>
    <w:p w14:paraId="7E588FA3">
      <w:pPr>
        <w:pStyle w:val="8"/>
        <w:topLinePunct/>
        <w:snapToGrid w:val="0"/>
        <w:spacing w:beforeLines="25" w:line="300" w:lineRule="auto"/>
        <w:ind w:hanging="568"/>
        <w:jc w:val="both"/>
        <w:rPr>
          <w:kern w:val="2"/>
          <w:szCs w:val="21"/>
        </w:rPr>
      </w:pPr>
      <w:r>
        <w:rPr>
          <w:kern w:val="2"/>
          <w:szCs w:val="21"/>
        </w:rPr>
        <w:t>5.</w:t>
      </w:r>
      <w:r>
        <w:rPr>
          <w:kern w:val="2"/>
          <w:szCs w:val="21"/>
        </w:rPr>
        <w:tab/>
      </w:r>
      <w:r>
        <w:rPr>
          <w:kern w:val="2"/>
          <w:szCs w:val="21"/>
        </w:rPr>
        <w:t>无论临床研究结果如何，在临床研究结束后一年内或在提前终止或暂停的三个月内，申办方应向进行附录XV第I章第2.8节和第III章第7节所述的临床研究的成员国提交临床研究报告。</w:t>
      </w:r>
    </w:p>
    <w:p w14:paraId="54979A5D">
      <w:pPr>
        <w:pStyle w:val="8"/>
        <w:topLinePunct/>
        <w:snapToGrid w:val="0"/>
        <w:spacing w:beforeLines="25" w:line="300" w:lineRule="auto"/>
        <w:ind w:left="680" w:leftChars="304" w:hanging="42" w:hangingChars="20"/>
        <w:jc w:val="both"/>
        <w:rPr>
          <w:kern w:val="2"/>
          <w:szCs w:val="21"/>
        </w:rPr>
      </w:pPr>
      <w:r>
        <w:rPr>
          <w:kern w:val="2"/>
          <w:szCs w:val="21"/>
        </w:rPr>
        <w:t>应提交临床研究报告总结，且措词易于预期使用者理解。报告及总结均应由申办方使用第73条所述的电子系统提交。</w:t>
      </w:r>
    </w:p>
    <w:p w14:paraId="28D16E9F">
      <w:pPr>
        <w:pStyle w:val="8"/>
        <w:topLinePunct/>
        <w:snapToGrid w:val="0"/>
        <w:spacing w:beforeLines="25" w:line="300" w:lineRule="auto"/>
        <w:ind w:firstLine="0"/>
        <w:jc w:val="both"/>
        <w:rPr>
          <w:kern w:val="2"/>
          <w:szCs w:val="21"/>
        </w:rPr>
      </w:pPr>
      <w:r>
        <w:rPr>
          <w:kern w:val="2"/>
          <w:szCs w:val="21"/>
        </w:rPr>
        <w:t>若因科学原因不能在研究完成后一年内提交临床研究报告，须尽快提交。在此种情况下，附录XV第II章第3节中所述的临床研究计划应规定何时提交临床研究结果及其理由。</w:t>
      </w:r>
    </w:p>
    <w:p w14:paraId="4667D604">
      <w:pPr>
        <w:pStyle w:val="8"/>
        <w:tabs>
          <w:tab w:val="left" w:pos="681"/>
        </w:tabs>
        <w:topLinePunct/>
        <w:snapToGrid w:val="0"/>
        <w:spacing w:beforeLines="25" w:line="300" w:lineRule="auto"/>
        <w:ind w:hanging="568"/>
        <w:jc w:val="both"/>
        <w:rPr>
          <w:kern w:val="2"/>
          <w:szCs w:val="21"/>
        </w:rPr>
      </w:pPr>
      <w:r>
        <w:rPr>
          <w:kern w:val="2"/>
          <w:szCs w:val="21"/>
        </w:rPr>
        <w:t>6.</w:t>
      </w:r>
      <w:r>
        <w:rPr>
          <w:kern w:val="2"/>
          <w:szCs w:val="21"/>
        </w:rPr>
        <w:tab/>
      </w:r>
      <w:r>
        <w:rPr>
          <w:kern w:val="2"/>
          <w:szCs w:val="21"/>
        </w:rPr>
        <w:t>委员会应发布关于临床研究报告的总结和概要的指南。</w:t>
      </w:r>
    </w:p>
    <w:p w14:paraId="65ABDBC6">
      <w:pPr>
        <w:pStyle w:val="8"/>
        <w:topLinePunct/>
        <w:snapToGrid w:val="0"/>
        <w:spacing w:beforeLines="25" w:line="300" w:lineRule="auto"/>
        <w:ind w:firstLine="0"/>
        <w:jc w:val="both"/>
        <w:rPr>
          <w:kern w:val="2"/>
          <w:szCs w:val="21"/>
        </w:rPr>
      </w:pPr>
      <w:r>
        <w:rPr>
          <w:kern w:val="2"/>
          <w:szCs w:val="21"/>
        </w:rPr>
        <w:t>此外，委员会可发布设计和共享原始数据及申办方决</w:t>
      </w:r>
      <w:r>
        <w:rPr>
          <w:rFonts w:hint="eastAsia"/>
          <w:kern w:val="2"/>
          <w:szCs w:val="21"/>
        </w:rPr>
        <w:t>定是否</w:t>
      </w:r>
      <w:r>
        <w:rPr>
          <w:kern w:val="2"/>
          <w:szCs w:val="21"/>
        </w:rPr>
        <w:t>自愿共享原始数据的准则。这些指南可作为基础，并在可能的情况下适应于临床研究领域共享原始数据的现有准则。</w:t>
      </w:r>
    </w:p>
    <w:p w14:paraId="5EC6E2F4">
      <w:pPr>
        <w:pStyle w:val="8"/>
        <w:tabs>
          <w:tab w:val="left" w:pos="681"/>
        </w:tabs>
        <w:topLinePunct/>
        <w:snapToGrid w:val="0"/>
        <w:spacing w:beforeLines="25" w:line="300" w:lineRule="auto"/>
        <w:ind w:hanging="568"/>
        <w:jc w:val="both"/>
        <w:rPr>
          <w:kern w:val="2"/>
          <w:szCs w:val="21"/>
        </w:rPr>
      </w:pPr>
      <w:r>
        <w:rPr>
          <w:kern w:val="2"/>
          <w:szCs w:val="21"/>
        </w:rPr>
        <w:t>7.</w:t>
      </w:r>
      <w:r>
        <w:rPr>
          <w:kern w:val="2"/>
          <w:szCs w:val="21"/>
        </w:rPr>
        <w:tab/>
      </w:r>
      <w:r>
        <w:rPr>
          <w:kern w:val="2"/>
          <w:szCs w:val="21"/>
        </w:rPr>
        <w:t>本条第5段规定的临床研究总结和报告应通过第73条所述的电子系统，最迟在器械根据第29条规定注册并在投放市场前允许公开访问。在提前终止或</w:t>
      </w:r>
      <w:r>
        <w:rPr>
          <w:rFonts w:hint="eastAsia"/>
          <w:kern w:val="2"/>
          <w:szCs w:val="21"/>
        </w:rPr>
        <w:t>暂时</w:t>
      </w:r>
      <w:r>
        <w:rPr>
          <w:kern w:val="2"/>
          <w:szCs w:val="21"/>
        </w:rPr>
        <w:t>停止的情况下，总结和报告提交后，应能立即公开访问。</w:t>
      </w:r>
    </w:p>
    <w:p w14:paraId="43267178">
      <w:pPr>
        <w:pStyle w:val="8"/>
        <w:topLinePunct/>
        <w:snapToGrid w:val="0"/>
        <w:spacing w:beforeLines="25" w:line="300" w:lineRule="auto"/>
        <w:ind w:firstLine="0"/>
        <w:jc w:val="both"/>
        <w:rPr>
          <w:kern w:val="2"/>
          <w:szCs w:val="21"/>
        </w:rPr>
      </w:pPr>
      <w:r>
        <w:rPr>
          <w:kern w:val="2"/>
          <w:szCs w:val="21"/>
        </w:rPr>
        <w:t>若根据第29条，器械未在总结和报告根据第5段规定输入电子系统后的一年内注册，则应在该时间点公开访问。</w:t>
      </w:r>
    </w:p>
    <w:p w14:paraId="5EEA6374">
      <w:pPr>
        <w:snapToGrid w:val="0"/>
        <w:spacing w:beforeLines="25" w:line="300" w:lineRule="auto"/>
        <w:rPr>
          <w:rFonts w:ascii="Times New Roman" w:hAnsi="Times New Roman"/>
          <w:kern w:val="2"/>
          <w:szCs w:val="21"/>
        </w:rPr>
      </w:pPr>
      <w:r>
        <w:rPr>
          <w:rFonts w:ascii="Times New Roman" w:hAnsi="Times New Roman"/>
          <w:kern w:val="2"/>
          <w:szCs w:val="21"/>
        </w:rPr>
        <w:br w:type="page"/>
      </w:r>
    </w:p>
    <w:p w14:paraId="5032341D">
      <w:pPr>
        <w:snapToGrid w:val="0"/>
        <w:spacing w:beforeLines="15" w:line="300" w:lineRule="auto"/>
        <w:ind w:left="196"/>
        <w:jc w:val="center"/>
        <w:rPr>
          <w:rStyle w:val="48"/>
          <w:szCs w:val="21"/>
        </w:rPr>
      </w:pPr>
      <w:r>
        <w:rPr>
          <w:rFonts w:ascii="Times New Roman" w:hAnsi="Times New Roman"/>
          <w:i/>
          <w:kern w:val="2"/>
          <w:szCs w:val="21"/>
        </w:rPr>
        <w:t>第78条</w:t>
      </w:r>
    </w:p>
    <w:p w14:paraId="565B217C">
      <w:pPr>
        <w:snapToGrid w:val="0"/>
        <w:spacing w:beforeLines="15" w:line="300" w:lineRule="auto"/>
        <w:ind w:left="195"/>
        <w:jc w:val="center"/>
        <w:rPr>
          <w:rStyle w:val="48"/>
          <w:b/>
          <w:szCs w:val="21"/>
        </w:rPr>
      </w:pPr>
      <w:r>
        <w:rPr>
          <w:rFonts w:ascii="Times New Roman" w:hAnsi="Times New Roman"/>
          <w:b/>
          <w:kern w:val="2"/>
          <w:szCs w:val="21"/>
        </w:rPr>
        <w:t>临床研究</w:t>
      </w:r>
      <w:r>
        <w:rPr>
          <w:rFonts w:hint="eastAsia" w:ascii="Times New Roman" w:hAnsi="Times New Roman"/>
          <w:b/>
          <w:kern w:val="2"/>
          <w:szCs w:val="21"/>
        </w:rPr>
        <w:t>的</w:t>
      </w:r>
      <w:r>
        <w:rPr>
          <w:rFonts w:ascii="Times New Roman" w:hAnsi="Times New Roman"/>
          <w:b/>
          <w:kern w:val="2"/>
          <w:szCs w:val="21"/>
        </w:rPr>
        <w:t>协调评估流程</w:t>
      </w:r>
    </w:p>
    <w:p w14:paraId="7055AE83">
      <w:pPr>
        <w:pStyle w:val="32"/>
        <w:numPr>
          <w:ilvl w:val="0"/>
          <w:numId w:val="80"/>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在一个以上成员国中进行临床研究的申办方就第70条目的，通过第73条所述的电子系统提交一份单一申请，且一经收到该申请即以电子方式传送至进行临床研究的成员国。</w:t>
      </w:r>
    </w:p>
    <w:p w14:paraId="1011C3CB">
      <w:pPr>
        <w:pStyle w:val="32"/>
        <w:numPr>
          <w:ilvl w:val="0"/>
          <w:numId w:val="80"/>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进行</w:t>
      </w:r>
      <w:r>
        <w:rPr>
          <w:rFonts w:hint="eastAsia" w:ascii="Times New Roman" w:hAnsi="Times New Roman"/>
          <w:kern w:val="2"/>
          <w:szCs w:val="21"/>
        </w:rPr>
        <w:t>第1段</w:t>
      </w:r>
      <w:r>
        <w:rPr>
          <w:rFonts w:ascii="Times New Roman" w:hAnsi="Times New Roman"/>
          <w:kern w:val="2"/>
          <w:szCs w:val="21"/>
        </w:rPr>
        <w:t>所指单项申请时，申办方应提议</w:t>
      </w:r>
      <w:r>
        <w:rPr>
          <w:rFonts w:hint="eastAsia" w:ascii="Times New Roman" w:hAnsi="Times New Roman"/>
          <w:kern w:val="2"/>
          <w:szCs w:val="21"/>
        </w:rPr>
        <w:t>将</w:t>
      </w:r>
      <w:r>
        <w:rPr>
          <w:rFonts w:ascii="Times New Roman" w:hAnsi="Times New Roman"/>
          <w:kern w:val="2"/>
          <w:szCs w:val="21"/>
        </w:rPr>
        <w:t>进行临床研究的成员国之一</w:t>
      </w:r>
      <w:r>
        <w:rPr>
          <w:rFonts w:hint="eastAsia" w:ascii="Times New Roman" w:hAnsi="Times New Roman"/>
          <w:kern w:val="2"/>
          <w:szCs w:val="21"/>
        </w:rPr>
        <w:t>的身份担任</w:t>
      </w:r>
      <w:r>
        <w:rPr>
          <w:rFonts w:ascii="Times New Roman" w:hAnsi="Times New Roman"/>
          <w:kern w:val="2"/>
          <w:szCs w:val="21"/>
        </w:rPr>
        <w:t>协调成员国。</w:t>
      </w:r>
      <w:r>
        <w:rPr>
          <w:rFonts w:hint="eastAsia" w:ascii="Times New Roman" w:hAnsi="Times New Roman"/>
          <w:kern w:val="2"/>
          <w:szCs w:val="21"/>
        </w:rPr>
        <w:t>将</w:t>
      </w:r>
      <w:r>
        <w:rPr>
          <w:rFonts w:ascii="Times New Roman" w:hAnsi="Times New Roman"/>
          <w:kern w:val="2"/>
          <w:szCs w:val="21"/>
        </w:rPr>
        <w:t>进行临床研究的成员国应在提交申请后六天内商定任命其中一个成员国担任协调成员国的角色。若各有关成员国未商定协调成员国，则由申办方提议的成员国担任。</w:t>
      </w:r>
    </w:p>
    <w:p w14:paraId="78C267DD">
      <w:pPr>
        <w:pStyle w:val="32"/>
        <w:numPr>
          <w:ilvl w:val="0"/>
          <w:numId w:val="80"/>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在第2段所述的协调成员国指导下，相关成员国应协调其对申请的评估，尤其是根据附录XV第II章提交的文件</w:t>
      </w:r>
      <w:r>
        <w:rPr>
          <w:rFonts w:hint="eastAsia" w:ascii="Times New Roman" w:hAnsi="Times New Roman"/>
          <w:kern w:val="2"/>
          <w:szCs w:val="21"/>
        </w:rPr>
        <w:t>，</w:t>
      </w:r>
      <w:r>
        <w:rPr>
          <w:rFonts w:ascii="Times New Roman" w:hAnsi="Times New Roman"/>
          <w:kern w:val="2"/>
          <w:szCs w:val="21"/>
        </w:rPr>
        <w:t>应分别由各有关成员国评估。</w:t>
      </w:r>
    </w:p>
    <w:p w14:paraId="6DC89EB0">
      <w:pPr>
        <w:pStyle w:val="32"/>
        <w:tabs>
          <w:tab w:val="left" w:pos="682"/>
        </w:tabs>
        <w:topLinePunct/>
        <w:snapToGrid w:val="0"/>
        <w:spacing w:beforeLines="15" w:line="300" w:lineRule="auto"/>
        <w:ind w:left="681"/>
        <w:rPr>
          <w:rFonts w:ascii="Times New Roman" w:hAnsi="Times New Roman"/>
          <w:kern w:val="2"/>
          <w:szCs w:val="21"/>
        </w:rPr>
      </w:pPr>
      <w:r>
        <w:rPr>
          <w:rFonts w:ascii="Times New Roman" w:hAnsi="Times New Roman"/>
          <w:kern w:val="2"/>
          <w:szCs w:val="21"/>
        </w:rPr>
        <w:t>但附件XV第II章第1.13、第3.1.3、第4.2、第4.3和第4.4节中所述的文档完整性应根据第70（1）条至第（5）条规定由有关成员国分别评估。</w:t>
      </w:r>
    </w:p>
    <w:p w14:paraId="6358EE24">
      <w:pPr>
        <w:pStyle w:val="8"/>
        <w:topLinePunct/>
        <w:snapToGrid w:val="0"/>
        <w:spacing w:beforeLines="15" w:line="300" w:lineRule="auto"/>
        <w:jc w:val="both"/>
        <w:rPr>
          <w:kern w:val="2"/>
          <w:szCs w:val="21"/>
        </w:rPr>
      </w:pPr>
      <w:r>
        <w:rPr>
          <w:kern w:val="2"/>
          <w:szCs w:val="21"/>
        </w:rPr>
        <w:t>4.</w:t>
      </w:r>
      <w:r>
        <w:rPr>
          <w:kern w:val="2"/>
          <w:szCs w:val="21"/>
        </w:rPr>
        <w:tab/>
      </w:r>
      <w:r>
        <w:rPr>
          <w:kern w:val="2"/>
          <w:szCs w:val="21"/>
        </w:rPr>
        <w:t>对于未在第3段第</w:t>
      </w:r>
      <w:r>
        <w:rPr>
          <w:rFonts w:hint="eastAsia"/>
          <w:kern w:val="2"/>
          <w:szCs w:val="21"/>
        </w:rPr>
        <w:t>二</w:t>
      </w:r>
      <w:r>
        <w:rPr>
          <w:kern w:val="2"/>
          <w:szCs w:val="21"/>
        </w:rPr>
        <w:t>子段中所述的文件，协调成员国应：</w:t>
      </w:r>
    </w:p>
    <w:p w14:paraId="1D310A6D">
      <w:pPr>
        <w:pStyle w:val="32"/>
        <w:numPr>
          <w:ilvl w:val="1"/>
          <w:numId w:val="80"/>
        </w:numPr>
        <w:tabs>
          <w:tab w:val="left" w:pos="1248"/>
        </w:tabs>
        <w:topLinePunct/>
        <w:snapToGrid w:val="0"/>
        <w:spacing w:beforeLines="15" w:line="300" w:lineRule="auto"/>
        <w:ind w:left="1247"/>
        <w:jc w:val="both"/>
        <w:rPr>
          <w:rFonts w:ascii="Times New Roman" w:hAnsi="Times New Roman"/>
          <w:kern w:val="2"/>
          <w:szCs w:val="21"/>
        </w:rPr>
      </w:pPr>
      <w:r>
        <w:rPr>
          <w:rFonts w:ascii="Times New Roman" w:hAnsi="Times New Roman"/>
          <w:kern w:val="2"/>
          <w:szCs w:val="21"/>
        </w:rPr>
        <w:t>在收到单项申请6天内通知申办方其为协调成员国（通知日期）；</w:t>
      </w:r>
    </w:p>
    <w:p w14:paraId="05286E66">
      <w:pPr>
        <w:pStyle w:val="32"/>
        <w:numPr>
          <w:ilvl w:val="1"/>
          <w:numId w:val="80"/>
        </w:numPr>
        <w:tabs>
          <w:tab w:val="left" w:pos="1248"/>
        </w:tabs>
        <w:topLinePunct/>
        <w:snapToGrid w:val="0"/>
        <w:spacing w:beforeLines="15" w:line="300" w:lineRule="auto"/>
        <w:ind w:left="1247"/>
        <w:jc w:val="both"/>
        <w:rPr>
          <w:rFonts w:ascii="Times New Roman" w:hAnsi="Times New Roman"/>
          <w:kern w:val="2"/>
          <w:szCs w:val="21"/>
        </w:rPr>
      </w:pPr>
      <w:r>
        <w:rPr>
          <w:rFonts w:ascii="Times New Roman" w:hAnsi="Times New Roman"/>
          <w:kern w:val="2"/>
          <w:szCs w:val="21"/>
        </w:rPr>
        <w:t>为确认申请，</w:t>
      </w:r>
      <w:r>
        <w:rPr>
          <w:rFonts w:hint="eastAsia" w:ascii="Times New Roman" w:hAnsi="Times New Roman"/>
          <w:kern w:val="2"/>
          <w:szCs w:val="21"/>
        </w:rPr>
        <w:t>需要</w:t>
      </w:r>
      <w:r>
        <w:rPr>
          <w:rFonts w:ascii="Times New Roman" w:hAnsi="Times New Roman"/>
          <w:kern w:val="2"/>
          <w:szCs w:val="21"/>
        </w:rPr>
        <w:t>考虑到任何相关国在通知日期7天内提交的任何考虑事项；</w:t>
      </w:r>
    </w:p>
    <w:p w14:paraId="0EA18C65">
      <w:pPr>
        <w:pStyle w:val="32"/>
        <w:numPr>
          <w:ilvl w:val="1"/>
          <w:numId w:val="80"/>
        </w:numPr>
        <w:tabs>
          <w:tab w:val="left" w:pos="1248"/>
        </w:tabs>
        <w:topLinePunct/>
        <w:snapToGrid w:val="0"/>
        <w:spacing w:beforeLines="15" w:line="300" w:lineRule="auto"/>
        <w:ind w:left="1247"/>
        <w:jc w:val="both"/>
        <w:rPr>
          <w:rFonts w:ascii="Times New Roman" w:hAnsi="Times New Roman"/>
          <w:kern w:val="2"/>
          <w:szCs w:val="21"/>
        </w:rPr>
      </w:pPr>
      <w:r>
        <w:rPr>
          <w:rFonts w:ascii="Times New Roman" w:hAnsi="Times New Roman"/>
          <w:kern w:val="2"/>
          <w:szCs w:val="21"/>
        </w:rPr>
        <w:t>在通知日期后10天内，</w:t>
      </w:r>
      <w:r>
        <w:rPr>
          <w:rFonts w:hint="eastAsia" w:ascii="Times New Roman" w:hAnsi="Times New Roman"/>
          <w:kern w:val="2"/>
          <w:szCs w:val="21"/>
        </w:rPr>
        <w:t>评估</w:t>
      </w:r>
      <w:r>
        <w:rPr>
          <w:rFonts w:ascii="Times New Roman" w:hAnsi="Times New Roman"/>
          <w:kern w:val="2"/>
          <w:szCs w:val="21"/>
        </w:rPr>
        <w:t>临床研究是否属于本法规范围及其申请是否完整并应相应通知申办方。第70(1)和（3）至(5)条规定应适用于该评估协调成员国。</w:t>
      </w:r>
    </w:p>
    <w:p w14:paraId="01F9ABE1">
      <w:pPr>
        <w:pStyle w:val="32"/>
        <w:numPr>
          <w:ilvl w:val="1"/>
          <w:numId w:val="80"/>
        </w:numPr>
        <w:tabs>
          <w:tab w:val="left" w:pos="1248"/>
        </w:tabs>
        <w:topLinePunct/>
        <w:snapToGrid w:val="0"/>
        <w:spacing w:beforeLines="15" w:line="300" w:lineRule="auto"/>
        <w:ind w:left="1247"/>
        <w:jc w:val="both"/>
        <w:rPr>
          <w:rFonts w:ascii="Times New Roman" w:hAnsi="Times New Roman"/>
          <w:kern w:val="2"/>
          <w:szCs w:val="21"/>
        </w:rPr>
      </w:pPr>
      <w:r>
        <w:rPr>
          <w:rFonts w:ascii="Times New Roman" w:hAnsi="Times New Roman"/>
          <w:kern w:val="2"/>
          <w:szCs w:val="21"/>
        </w:rPr>
        <w:t>在评估报告草案中给出其评估结果，并在有关成员国有效期限26日内进行提交。直至有效期限第38日，其他有关成员国可将评估报告草案和基本申请的相关意见和建议提交至协调成员国，且应在最终评估报告最后定稿时充分考虑协调成员国，并在申办方和有关成员国和其他相关成员国有效期限45日内进行提交。</w:t>
      </w:r>
    </w:p>
    <w:p w14:paraId="4289F429">
      <w:pPr>
        <w:pStyle w:val="32"/>
        <w:tabs>
          <w:tab w:val="left" w:pos="1248"/>
        </w:tabs>
        <w:topLinePunct/>
        <w:snapToGrid w:val="0"/>
        <w:spacing w:beforeLines="15" w:line="300" w:lineRule="auto"/>
        <w:ind w:left="680" w:leftChars="324" w:firstLine="37" w:firstLineChars="18"/>
        <w:jc w:val="both"/>
        <w:rPr>
          <w:rFonts w:ascii="Times New Roman" w:hAnsi="Times New Roman"/>
          <w:kern w:val="2"/>
          <w:szCs w:val="21"/>
        </w:rPr>
      </w:pPr>
      <w:r>
        <w:rPr>
          <w:rFonts w:ascii="Times New Roman" w:hAnsi="Times New Roman"/>
          <w:kern w:val="2"/>
          <w:szCs w:val="21"/>
        </w:rPr>
        <w:t>其他相关成员国在根据第70(7)条决</w:t>
      </w:r>
      <w:r>
        <w:rPr>
          <w:rFonts w:hint="eastAsia" w:ascii="Times New Roman" w:hAnsi="Times New Roman"/>
          <w:kern w:val="2"/>
          <w:szCs w:val="21"/>
        </w:rPr>
        <w:t>定是否同意</w:t>
      </w:r>
      <w:r>
        <w:rPr>
          <w:rFonts w:ascii="Times New Roman" w:hAnsi="Times New Roman"/>
          <w:kern w:val="2"/>
          <w:szCs w:val="21"/>
        </w:rPr>
        <w:t>申办</w:t>
      </w:r>
      <w:r>
        <w:rPr>
          <w:rFonts w:hint="eastAsia" w:ascii="Times New Roman" w:hAnsi="Times New Roman"/>
          <w:kern w:val="2"/>
          <w:szCs w:val="21"/>
        </w:rPr>
        <w:t>方</w:t>
      </w:r>
      <w:r>
        <w:rPr>
          <w:rFonts w:ascii="Times New Roman" w:hAnsi="Times New Roman"/>
          <w:kern w:val="2"/>
          <w:szCs w:val="21"/>
        </w:rPr>
        <w:t>申请时应考虑最终评估报告。</w:t>
      </w:r>
    </w:p>
    <w:p w14:paraId="6AA2BA05">
      <w:pPr>
        <w:pStyle w:val="8"/>
        <w:topLinePunct/>
        <w:snapToGrid w:val="0"/>
        <w:spacing w:beforeLines="15" w:line="300" w:lineRule="auto"/>
        <w:jc w:val="both"/>
        <w:rPr>
          <w:kern w:val="2"/>
          <w:szCs w:val="21"/>
        </w:rPr>
      </w:pPr>
      <w:r>
        <w:rPr>
          <w:kern w:val="2"/>
          <w:szCs w:val="21"/>
        </w:rPr>
        <w:t>5.</w:t>
      </w:r>
      <w:r>
        <w:rPr>
          <w:kern w:val="2"/>
          <w:szCs w:val="21"/>
        </w:rPr>
        <w:tab/>
      </w:r>
      <w:r>
        <w:rPr>
          <w:kern w:val="2"/>
          <w:szCs w:val="21"/>
        </w:rPr>
        <w:t>有关第3段第</w:t>
      </w:r>
      <w:r>
        <w:rPr>
          <w:rFonts w:hint="eastAsia"/>
          <w:kern w:val="2"/>
          <w:szCs w:val="21"/>
        </w:rPr>
        <w:t>二</w:t>
      </w:r>
      <w:r>
        <w:rPr>
          <w:kern w:val="2"/>
          <w:szCs w:val="21"/>
        </w:rPr>
        <w:t>子段中的文件评估，各相关成员国可一次性请求申办方提供补充资料。申办方应在有关成员国规定的期限内提交要求的额外信息，该日期不得超过收到请求日算起的12天。</w:t>
      </w:r>
      <w:r>
        <w:rPr>
          <w:rFonts w:hint="eastAsia"/>
          <w:kern w:val="2"/>
          <w:szCs w:val="21"/>
        </w:rPr>
        <w:t>第4</w:t>
      </w:r>
      <w:r>
        <w:rPr>
          <w:kern w:val="2"/>
          <w:szCs w:val="21"/>
        </w:rPr>
        <w:t>段（d）点规定的最后期限到期应自请求日起至收到补充资料时止。</w:t>
      </w:r>
    </w:p>
    <w:p w14:paraId="0AA482D9">
      <w:pPr>
        <w:pStyle w:val="8"/>
        <w:tabs>
          <w:tab w:val="left" w:pos="681"/>
        </w:tabs>
        <w:topLinePunct/>
        <w:snapToGrid w:val="0"/>
        <w:spacing w:beforeLines="15" w:line="300" w:lineRule="auto"/>
        <w:ind w:hanging="568"/>
        <w:jc w:val="both"/>
        <w:rPr>
          <w:kern w:val="2"/>
          <w:szCs w:val="21"/>
        </w:rPr>
      </w:pPr>
      <w:r>
        <w:rPr>
          <w:kern w:val="2"/>
          <w:szCs w:val="21"/>
        </w:rPr>
        <w:t>6.</w:t>
      </w:r>
      <w:r>
        <w:rPr>
          <w:kern w:val="2"/>
          <w:szCs w:val="21"/>
        </w:rPr>
        <w:tab/>
      </w:r>
      <w:r>
        <w:rPr>
          <w:kern w:val="2"/>
          <w:szCs w:val="21"/>
        </w:rPr>
        <w:t>对于IIb和III类器械，协调成员国还可将第4段所述期限再延长50天，以便与专家进行商议。</w:t>
      </w:r>
    </w:p>
    <w:p w14:paraId="085CD4DA">
      <w:pPr>
        <w:pStyle w:val="8"/>
        <w:tabs>
          <w:tab w:val="left" w:pos="681"/>
        </w:tabs>
        <w:topLinePunct/>
        <w:snapToGrid w:val="0"/>
        <w:spacing w:beforeLines="15" w:line="300" w:lineRule="auto"/>
        <w:ind w:hanging="568"/>
        <w:jc w:val="both"/>
        <w:rPr>
          <w:kern w:val="2"/>
          <w:szCs w:val="21"/>
        </w:rPr>
      </w:pPr>
      <w:r>
        <w:rPr>
          <w:kern w:val="2"/>
          <w:szCs w:val="21"/>
        </w:rPr>
        <w:t>7.</w:t>
      </w:r>
      <w:r>
        <w:rPr>
          <w:kern w:val="2"/>
          <w:szCs w:val="21"/>
        </w:rPr>
        <w:tab/>
      </w:r>
      <w:r>
        <w:rPr>
          <w:kern w:val="2"/>
          <w:szCs w:val="21"/>
        </w:rPr>
        <w:t>委员会可通过实施细则，规定由协调成员国指导的协调评估流程和时间表，且相关成员国在决</w:t>
      </w:r>
      <w:r>
        <w:rPr>
          <w:rFonts w:hint="eastAsia"/>
          <w:kern w:val="2"/>
          <w:szCs w:val="21"/>
        </w:rPr>
        <w:t>定是是否</w:t>
      </w:r>
      <w:r>
        <w:rPr>
          <w:kern w:val="2"/>
          <w:szCs w:val="21"/>
        </w:rPr>
        <w:t>申办方申请时应考虑这些流程和时间表。此种实施细则还可包括根据本条第12段进行重大修改情况下的协调评估流程，以及根据第80(4)条报告</w:t>
      </w:r>
      <w:r>
        <w:rPr>
          <w:rFonts w:hint="eastAsia"/>
          <w:kern w:val="2"/>
          <w:szCs w:val="21"/>
        </w:rPr>
        <w:t>不良</w:t>
      </w:r>
      <w:r>
        <w:rPr>
          <w:kern w:val="2"/>
          <w:szCs w:val="21"/>
        </w:rPr>
        <w:t>事件或在药械组合产品的临床研究，其中药品是根据欧盟第536/2014号法规进行临床试验的并行协调评估。应按照第114(3)条中述及的审查规程通过这些实施细则。</w:t>
      </w:r>
    </w:p>
    <w:p w14:paraId="407C1394">
      <w:pPr>
        <w:pStyle w:val="8"/>
        <w:tabs>
          <w:tab w:val="left" w:pos="681"/>
        </w:tabs>
        <w:topLinePunct/>
        <w:snapToGrid w:val="0"/>
        <w:spacing w:beforeLines="15" w:line="300" w:lineRule="auto"/>
        <w:ind w:hanging="568"/>
        <w:jc w:val="both"/>
        <w:rPr>
          <w:kern w:val="2"/>
          <w:szCs w:val="21"/>
        </w:rPr>
      </w:pPr>
      <w:r>
        <w:rPr>
          <w:kern w:val="2"/>
          <w:szCs w:val="21"/>
        </w:rPr>
        <w:t>8.</w:t>
      </w:r>
      <w:r>
        <w:rPr>
          <w:kern w:val="2"/>
          <w:szCs w:val="21"/>
        </w:rPr>
        <w:tab/>
      </w:r>
      <w:r>
        <w:rPr>
          <w:kern w:val="2"/>
          <w:szCs w:val="21"/>
        </w:rPr>
        <w:t>若协调评估成员成员国商定接受或在符合特定条件情况下接受该临床研究，则应将该商定视为</w:t>
      </w:r>
      <w:r>
        <w:rPr>
          <w:rFonts w:hint="eastAsia"/>
          <w:kern w:val="2"/>
          <w:szCs w:val="21"/>
        </w:rPr>
        <w:t>所有</w:t>
      </w:r>
      <w:r>
        <w:rPr>
          <w:kern w:val="2"/>
          <w:szCs w:val="21"/>
        </w:rPr>
        <w:t>相关成员国的最终结论。</w:t>
      </w:r>
    </w:p>
    <w:p w14:paraId="2059A12A">
      <w:pPr>
        <w:pStyle w:val="8"/>
        <w:topLinePunct/>
        <w:snapToGrid w:val="0"/>
        <w:spacing w:beforeLines="20" w:line="300" w:lineRule="auto"/>
        <w:ind w:firstLine="0"/>
        <w:jc w:val="both"/>
        <w:rPr>
          <w:kern w:val="2"/>
          <w:szCs w:val="21"/>
        </w:rPr>
      </w:pPr>
      <w:r>
        <w:rPr>
          <w:kern w:val="2"/>
          <w:szCs w:val="21"/>
        </w:rPr>
        <w:t>尽管</w:t>
      </w:r>
      <w:r>
        <w:rPr>
          <w:rFonts w:hint="eastAsia"/>
          <w:kern w:val="2"/>
          <w:szCs w:val="21"/>
        </w:rPr>
        <w:t>第一</w:t>
      </w:r>
      <w:r>
        <w:rPr>
          <w:kern w:val="2"/>
          <w:szCs w:val="21"/>
        </w:rPr>
        <w:t>子段有所规定，有关成员国可对协调成员国在</w:t>
      </w:r>
      <w:r>
        <w:rPr>
          <w:rFonts w:hint="eastAsia"/>
          <w:kern w:val="2"/>
          <w:szCs w:val="21"/>
        </w:rPr>
        <w:t>协调</w:t>
      </w:r>
      <w:r>
        <w:rPr>
          <w:kern w:val="2"/>
          <w:szCs w:val="21"/>
        </w:rPr>
        <w:t>评估部分的结论提出异议，但仅限于以下理由：</w:t>
      </w:r>
    </w:p>
    <w:p w14:paraId="64969EC1">
      <w:pPr>
        <w:pStyle w:val="32"/>
        <w:numPr>
          <w:ilvl w:val="0"/>
          <w:numId w:val="81"/>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当其认为参与临床研究会导致受试者接受比相关成员国正常临床实践更差的治疗时；</w:t>
      </w:r>
    </w:p>
    <w:p w14:paraId="7CA5E4DF">
      <w:pPr>
        <w:pStyle w:val="32"/>
        <w:numPr>
          <w:ilvl w:val="0"/>
          <w:numId w:val="81"/>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违反国家法律；</w:t>
      </w:r>
      <w:r>
        <w:rPr>
          <w:rFonts w:hint="eastAsia" w:ascii="Times New Roman" w:hAnsi="Times New Roman"/>
          <w:kern w:val="2"/>
          <w:szCs w:val="21"/>
        </w:rPr>
        <w:t>或</w:t>
      </w:r>
    </w:p>
    <w:p w14:paraId="3A5E5FD0">
      <w:pPr>
        <w:pStyle w:val="32"/>
        <w:numPr>
          <w:ilvl w:val="0"/>
          <w:numId w:val="81"/>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关于根据第4段（b）点提交的受试者安全和数据可靠性和稳健性的考虑。</w:t>
      </w:r>
    </w:p>
    <w:p w14:paraId="1CA81512">
      <w:pPr>
        <w:pStyle w:val="8"/>
        <w:topLinePunct/>
        <w:snapToGrid w:val="0"/>
        <w:spacing w:beforeLines="20" w:line="300" w:lineRule="auto"/>
        <w:ind w:firstLine="0"/>
        <w:jc w:val="both"/>
        <w:rPr>
          <w:kern w:val="2"/>
          <w:szCs w:val="21"/>
        </w:rPr>
      </w:pPr>
      <w:r>
        <w:rPr>
          <w:kern w:val="2"/>
          <w:szCs w:val="21"/>
        </w:rPr>
        <w:t>在本段第二子段基础上，凡有关成员国对结论持有异议的，应通过第73条所述的电子系统，向委员会、所有其他有关成员国及申办方传达其异议及详细理由。</w:t>
      </w:r>
    </w:p>
    <w:p w14:paraId="48AE2779">
      <w:pPr>
        <w:pStyle w:val="8"/>
        <w:tabs>
          <w:tab w:val="left" w:pos="681"/>
        </w:tabs>
        <w:topLinePunct/>
        <w:snapToGrid w:val="0"/>
        <w:spacing w:beforeLines="20" w:line="300" w:lineRule="auto"/>
        <w:ind w:left="680"/>
        <w:jc w:val="both"/>
        <w:rPr>
          <w:kern w:val="2"/>
          <w:szCs w:val="21"/>
        </w:rPr>
      </w:pPr>
      <w:r>
        <w:rPr>
          <w:kern w:val="2"/>
          <w:szCs w:val="21"/>
        </w:rPr>
        <w:t>9.</w:t>
      </w:r>
      <w:r>
        <w:rPr>
          <w:kern w:val="2"/>
          <w:szCs w:val="21"/>
        </w:rPr>
        <w:tab/>
      </w:r>
      <w:r>
        <w:rPr>
          <w:kern w:val="2"/>
          <w:szCs w:val="21"/>
        </w:rPr>
        <w:t>协调成员国关于协调评估领域的结论为临床研究不使用，则该结论应视为所有有关成员国的结论。</w:t>
      </w:r>
    </w:p>
    <w:p w14:paraId="17EA98B0">
      <w:pPr>
        <w:pStyle w:val="8"/>
        <w:tabs>
          <w:tab w:val="left" w:pos="681"/>
        </w:tabs>
        <w:topLinePunct/>
        <w:snapToGrid w:val="0"/>
        <w:spacing w:beforeLines="20" w:line="300" w:lineRule="auto"/>
        <w:ind w:left="680"/>
        <w:jc w:val="both"/>
        <w:rPr>
          <w:kern w:val="2"/>
          <w:szCs w:val="21"/>
        </w:rPr>
      </w:pPr>
      <w:r>
        <w:rPr>
          <w:kern w:val="2"/>
          <w:szCs w:val="21"/>
        </w:rPr>
        <w:t>10</w:t>
      </w:r>
      <w:r>
        <w:rPr>
          <w:kern w:val="2"/>
          <w:szCs w:val="21"/>
        </w:rPr>
        <w:tab/>
      </w:r>
      <w:r>
        <w:rPr>
          <w:kern w:val="2"/>
          <w:szCs w:val="21"/>
        </w:rPr>
        <w:t>若相关成员国不同意协调成员国对第8段第二子段所述理由的商定，或若其有充分理由认为未遵守附录XV第II章第1.13、3.1.3、4.2、4.3和4.4节规定，或道德委员会发布了根据国家法律对整个成员国均有效的有关临床研究否定意见，则相关成员国应拒绝授权进行临床研究。成员国应提供有关此类拒绝申请的上诉程序。</w:t>
      </w:r>
    </w:p>
    <w:p w14:paraId="4F707298">
      <w:pPr>
        <w:pStyle w:val="8"/>
        <w:topLinePunct/>
        <w:snapToGrid w:val="0"/>
        <w:spacing w:beforeLines="20" w:line="300" w:lineRule="auto"/>
        <w:ind w:hanging="568"/>
        <w:jc w:val="both"/>
        <w:rPr>
          <w:kern w:val="2"/>
          <w:szCs w:val="21"/>
        </w:rPr>
      </w:pPr>
      <w:r>
        <w:rPr>
          <w:kern w:val="2"/>
          <w:szCs w:val="21"/>
          <w:lang w:val="en-US"/>
        </w:rPr>
        <w:t>11</w:t>
      </w:r>
      <w:r>
        <w:rPr>
          <w:kern w:val="2"/>
          <w:szCs w:val="21"/>
        </w:rPr>
        <w:tab/>
      </w:r>
      <w:r>
        <w:rPr>
          <w:kern w:val="2"/>
          <w:szCs w:val="21"/>
        </w:rPr>
        <w:t>各相关成员国应通过第73条所述的电子系统通知申办方临床研究是否获得授权、是否获得条件授权或是否拒绝授权。根据第4段（b）规定，应在协调成员国最后评估报告传送后的五天内通过单一决议发出通知。受条件所限的临床研究授权仅限于在授权时无法满足条件的情况。</w:t>
      </w:r>
    </w:p>
    <w:p w14:paraId="54E2F378">
      <w:pPr>
        <w:pStyle w:val="8"/>
        <w:topLinePunct/>
        <w:snapToGrid w:val="0"/>
        <w:spacing w:beforeLines="20" w:line="300" w:lineRule="auto"/>
        <w:ind w:left="680"/>
        <w:jc w:val="both"/>
        <w:rPr>
          <w:kern w:val="2"/>
          <w:szCs w:val="21"/>
        </w:rPr>
      </w:pPr>
      <w:r>
        <w:rPr>
          <w:kern w:val="2"/>
          <w:szCs w:val="21"/>
        </w:rPr>
        <w:t>12.</w:t>
      </w:r>
      <w:r>
        <w:rPr>
          <w:kern w:val="2"/>
          <w:szCs w:val="21"/>
        </w:rPr>
        <w:tab/>
      </w:r>
      <w:r>
        <w:rPr>
          <w:kern w:val="2"/>
          <w:szCs w:val="21"/>
        </w:rPr>
        <w:t>第75条所述的实质修改应通过第73条所述的电子系统通知相关成员国。除非对附录XV第II章第1.13.、3.1.3.、4.2.、4.3.和4.4.节作了重大修改，否则关于第本条8段第二子段所述是否有分歧理由的任何评估应在协调成员国的指导下进行，由各有关成员国自行评估。</w:t>
      </w:r>
    </w:p>
    <w:p w14:paraId="7ED30476">
      <w:pPr>
        <w:pStyle w:val="8"/>
        <w:topLinePunct/>
        <w:snapToGrid w:val="0"/>
        <w:spacing w:beforeLines="20" w:line="300" w:lineRule="auto"/>
        <w:ind w:left="680"/>
        <w:jc w:val="both"/>
        <w:rPr>
          <w:kern w:val="2"/>
          <w:szCs w:val="21"/>
        </w:rPr>
      </w:pPr>
      <w:r>
        <w:rPr>
          <w:kern w:val="2"/>
          <w:szCs w:val="21"/>
        </w:rPr>
        <w:t>13.</w:t>
      </w:r>
      <w:r>
        <w:rPr>
          <w:kern w:val="2"/>
          <w:szCs w:val="21"/>
        </w:rPr>
        <w:tab/>
      </w:r>
      <w:r>
        <w:rPr>
          <w:kern w:val="2"/>
          <w:szCs w:val="21"/>
        </w:rPr>
        <w:t>委员会应在协调成员国完成本章规定的任务时向其提供行政支持。</w:t>
      </w:r>
    </w:p>
    <w:p w14:paraId="1A4DC880">
      <w:pPr>
        <w:pStyle w:val="8"/>
        <w:topLinePunct/>
        <w:snapToGrid w:val="0"/>
        <w:spacing w:beforeLines="20" w:line="300" w:lineRule="auto"/>
        <w:ind w:left="680"/>
        <w:jc w:val="both"/>
        <w:rPr>
          <w:kern w:val="2"/>
          <w:szCs w:val="21"/>
        </w:rPr>
      </w:pPr>
      <w:r>
        <w:rPr>
          <w:kern w:val="2"/>
          <w:szCs w:val="21"/>
        </w:rPr>
        <w:t>14.</w:t>
      </w:r>
      <w:r>
        <w:rPr>
          <w:kern w:val="2"/>
          <w:szCs w:val="21"/>
        </w:rPr>
        <w:tab/>
      </w:r>
      <w:r>
        <w:rPr>
          <w:kern w:val="2"/>
          <w:szCs w:val="21"/>
        </w:rPr>
        <w:t>本条规定的程序应在</w:t>
      </w:r>
      <w:r>
        <w:rPr>
          <w:rFonts w:hint="eastAsia"/>
          <w:kern w:val="2"/>
          <w:szCs w:val="21"/>
        </w:rPr>
        <w:t>2027年5月27日</w:t>
      </w:r>
      <w:r>
        <w:rPr>
          <w:kern w:val="2"/>
          <w:szCs w:val="21"/>
        </w:rPr>
        <w:t>之前，仅适用于已同意实施临床研究的成员国。在</w:t>
      </w:r>
      <w:r>
        <w:rPr>
          <w:rFonts w:hint="eastAsia"/>
          <w:kern w:val="2"/>
          <w:szCs w:val="21"/>
        </w:rPr>
        <w:t>2027年5月27日</w:t>
      </w:r>
      <w:r>
        <w:rPr>
          <w:kern w:val="2"/>
          <w:szCs w:val="21"/>
        </w:rPr>
        <w:t>之后，所有成员国均须申请该程序。</w:t>
      </w:r>
    </w:p>
    <w:p w14:paraId="6908DE50">
      <w:pPr>
        <w:snapToGrid w:val="0"/>
        <w:spacing w:beforeLines="20" w:line="300" w:lineRule="auto"/>
        <w:ind w:left="196"/>
        <w:jc w:val="center"/>
        <w:rPr>
          <w:rStyle w:val="48"/>
          <w:i/>
          <w:szCs w:val="21"/>
        </w:rPr>
      </w:pPr>
    </w:p>
    <w:p w14:paraId="4E255067">
      <w:pPr>
        <w:snapToGrid w:val="0"/>
        <w:spacing w:beforeLines="20" w:line="300" w:lineRule="auto"/>
        <w:ind w:left="196"/>
        <w:jc w:val="center"/>
        <w:rPr>
          <w:rFonts w:ascii="Times New Roman" w:hAnsi="Times New Roman"/>
          <w:i/>
          <w:kern w:val="2"/>
          <w:szCs w:val="21"/>
        </w:rPr>
      </w:pPr>
      <w:r>
        <w:rPr>
          <w:rStyle w:val="48"/>
          <w:i/>
          <w:szCs w:val="21"/>
        </w:rPr>
        <w:t>第79条</w:t>
      </w:r>
    </w:p>
    <w:p w14:paraId="47F79234">
      <w:pPr>
        <w:snapToGrid w:val="0"/>
        <w:spacing w:beforeLines="20" w:line="300" w:lineRule="auto"/>
        <w:ind w:left="196"/>
        <w:jc w:val="center"/>
        <w:rPr>
          <w:rStyle w:val="48"/>
          <w:b/>
          <w:szCs w:val="21"/>
        </w:rPr>
      </w:pPr>
      <w:r>
        <w:rPr>
          <w:rFonts w:ascii="Times New Roman" w:hAnsi="Times New Roman"/>
          <w:b/>
          <w:kern w:val="2"/>
          <w:szCs w:val="21"/>
        </w:rPr>
        <w:t>审查协调评估流程</w:t>
      </w:r>
    </w:p>
    <w:p w14:paraId="260740EB">
      <w:pPr>
        <w:pStyle w:val="8"/>
        <w:topLinePunct/>
        <w:snapToGrid w:val="0"/>
        <w:spacing w:beforeLines="20" w:line="300" w:lineRule="auto"/>
        <w:ind w:left="113" w:firstLine="0"/>
        <w:jc w:val="both"/>
        <w:rPr>
          <w:kern w:val="2"/>
          <w:szCs w:val="21"/>
        </w:rPr>
      </w:pPr>
      <w:r>
        <w:rPr>
          <w:kern w:val="2"/>
          <w:szCs w:val="21"/>
        </w:rPr>
        <w:t>在</w:t>
      </w:r>
      <w:r>
        <w:rPr>
          <w:rFonts w:hint="eastAsia"/>
          <w:kern w:val="2"/>
          <w:szCs w:val="21"/>
        </w:rPr>
        <w:t>2026年5月27日前</w:t>
      </w:r>
      <w:r>
        <w:rPr>
          <w:kern w:val="2"/>
          <w:szCs w:val="21"/>
        </w:rPr>
        <w:t>，委员会应向欧洲议会和理事会提交一份关于适用第78条所获经验的报告，并在必要时提出对第78（14）和第123（3）条（h）点的审查。</w:t>
      </w:r>
    </w:p>
    <w:p w14:paraId="780E6057">
      <w:pPr>
        <w:snapToGrid w:val="0"/>
        <w:spacing w:beforeLines="20" w:line="300" w:lineRule="auto"/>
        <w:ind w:left="196"/>
        <w:jc w:val="center"/>
        <w:rPr>
          <w:rFonts w:ascii="Times New Roman" w:hAnsi="Times New Roman"/>
          <w:i/>
          <w:kern w:val="2"/>
          <w:szCs w:val="21"/>
        </w:rPr>
      </w:pPr>
    </w:p>
    <w:p w14:paraId="036A0738">
      <w:pPr>
        <w:snapToGrid w:val="0"/>
        <w:spacing w:beforeLines="20" w:line="300" w:lineRule="auto"/>
        <w:ind w:left="196"/>
        <w:jc w:val="center"/>
        <w:rPr>
          <w:rStyle w:val="48"/>
          <w:szCs w:val="21"/>
        </w:rPr>
      </w:pPr>
      <w:r>
        <w:rPr>
          <w:rFonts w:ascii="Times New Roman" w:hAnsi="Times New Roman"/>
          <w:i/>
          <w:kern w:val="2"/>
          <w:szCs w:val="21"/>
        </w:rPr>
        <w:t>第80条</w:t>
      </w:r>
    </w:p>
    <w:p w14:paraId="1784093B">
      <w:pPr>
        <w:snapToGrid w:val="0"/>
        <w:spacing w:beforeLines="20" w:line="300" w:lineRule="auto"/>
        <w:ind w:left="195"/>
        <w:jc w:val="center"/>
        <w:rPr>
          <w:rStyle w:val="48"/>
          <w:b/>
          <w:szCs w:val="21"/>
        </w:rPr>
      </w:pPr>
      <w:r>
        <w:rPr>
          <w:rFonts w:ascii="Times New Roman" w:hAnsi="Times New Roman"/>
          <w:b/>
          <w:kern w:val="2"/>
          <w:szCs w:val="21"/>
        </w:rPr>
        <w:t>记录</w:t>
      </w:r>
      <w:r>
        <w:rPr>
          <w:rFonts w:hint="eastAsia" w:ascii="Times New Roman" w:hAnsi="Times New Roman"/>
          <w:b/>
          <w:kern w:val="2"/>
          <w:szCs w:val="21"/>
        </w:rPr>
        <w:t>并</w:t>
      </w:r>
      <w:r>
        <w:rPr>
          <w:rFonts w:ascii="Times New Roman" w:hAnsi="Times New Roman"/>
          <w:b/>
          <w:kern w:val="2"/>
          <w:szCs w:val="21"/>
        </w:rPr>
        <w:t>报告临床研究期间发生的不良事件</w:t>
      </w:r>
    </w:p>
    <w:p w14:paraId="75758BDF">
      <w:pPr>
        <w:pStyle w:val="32"/>
        <w:numPr>
          <w:ilvl w:val="0"/>
          <w:numId w:val="82"/>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申办方应充分记录以下</w:t>
      </w:r>
      <w:r>
        <w:rPr>
          <w:rFonts w:hint="eastAsia" w:ascii="Times New Roman" w:hAnsi="Times New Roman"/>
          <w:kern w:val="2"/>
          <w:szCs w:val="21"/>
        </w:rPr>
        <w:t>所有</w:t>
      </w:r>
      <w:r>
        <w:rPr>
          <w:rFonts w:ascii="Times New Roman" w:hAnsi="Times New Roman"/>
          <w:kern w:val="2"/>
          <w:szCs w:val="21"/>
        </w:rPr>
        <w:t>情况：</w:t>
      </w:r>
    </w:p>
    <w:p w14:paraId="6A824095">
      <w:pPr>
        <w:pStyle w:val="32"/>
        <w:numPr>
          <w:ilvl w:val="1"/>
          <w:numId w:val="82"/>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在临床研究中确定，对根据临床研究计划的临床研究结果的评估至关重要的不良事件；</w:t>
      </w:r>
    </w:p>
    <w:p w14:paraId="7CB7B517">
      <w:pPr>
        <w:pStyle w:val="32"/>
        <w:numPr>
          <w:ilvl w:val="1"/>
          <w:numId w:val="82"/>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任何严重不良事件；</w:t>
      </w:r>
    </w:p>
    <w:p w14:paraId="4E45691B">
      <w:pPr>
        <w:pStyle w:val="32"/>
        <w:numPr>
          <w:ilvl w:val="1"/>
          <w:numId w:val="82"/>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br w:type="page"/>
      </w:r>
      <w:r>
        <w:rPr>
          <w:rFonts w:ascii="Times New Roman" w:hAnsi="Times New Roman"/>
          <w:kern w:val="2"/>
          <w:szCs w:val="21"/>
        </w:rPr>
        <w:t>当未能采取适当措施、没有发生干预或情况不利时，可能导致严重不良事件的任何器械缺陷；</w:t>
      </w:r>
    </w:p>
    <w:p w14:paraId="13D20095">
      <w:pPr>
        <w:pStyle w:val="32"/>
        <w:numPr>
          <w:ilvl w:val="1"/>
          <w:numId w:val="82"/>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有关（a）至（c）所所述任何事件的新发现。</w:t>
      </w:r>
    </w:p>
    <w:p w14:paraId="7FC4724B">
      <w:pPr>
        <w:pStyle w:val="32"/>
        <w:numPr>
          <w:ilvl w:val="0"/>
          <w:numId w:val="82"/>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申办方应通过第73条所述的电子系统，向所有进行临床研究的成员国报告以下信息，不得有任何延迟：</w:t>
      </w:r>
    </w:p>
    <w:p w14:paraId="2D39EB43">
      <w:pPr>
        <w:pStyle w:val="32"/>
        <w:numPr>
          <w:ilvl w:val="1"/>
          <w:numId w:val="82"/>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与研究器械、比对产品或研究流程有因果关系的任何严重不良事件，或者这种因果关系是合理的；</w:t>
      </w:r>
    </w:p>
    <w:p w14:paraId="3E08EACB">
      <w:pPr>
        <w:pStyle w:val="32"/>
        <w:numPr>
          <w:ilvl w:val="1"/>
          <w:numId w:val="82"/>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当未能采取适当措施、没有发生干预或情况不利时，可能导致严重不良事件任何的器械缺陷；</w:t>
      </w:r>
    </w:p>
    <w:p w14:paraId="21FF57BF">
      <w:pPr>
        <w:pStyle w:val="32"/>
        <w:numPr>
          <w:ilvl w:val="1"/>
          <w:numId w:val="82"/>
        </w:numPr>
        <w:tabs>
          <w:tab w:val="left" w:pos="1248"/>
        </w:tabs>
        <w:topLinePunct/>
        <w:snapToGrid w:val="0"/>
        <w:spacing w:beforeLines="20" w:line="300" w:lineRule="auto"/>
        <w:ind w:left="1247"/>
        <w:jc w:val="both"/>
        <w:rPr>
          <w:rFonts w:ascii="Times New Roman" w:hAnsi="Times New Roman"/>
          <w:kern w:val="2"/>
          <w:szCs w:val="21"/>
        </w:rPr>
      </w:pPr>
      <w:r>
        <w:rPr>
          <w:rFonts w:ascii="Times New Roman" w:hAnsi="Times New Roman"/>
          <w:kern w:val="2"/>
          <w:szCs w:val="21"/>
        </w:rPr>
        <w:t>有关（a）和（b）所所述任何事件的新发现。</w:t>
      </w:r>
    </w:p>
    <w:p w14:paraId="5680F567">
      <w:pPr>
        <w:pStyle w:val="8"/>
        <w:topLinePunct/>
        <w:snapToGrid w:val="0"/>
        <w:spacing w:beforeLines="20" w:line="300" w:lineRule="auto"/>
        <w:ind w:firstLine="0"/>
        <w:jc w:val="both"/>
        <w:rPr>
          <w:kern w:val="2"/>
          <w:szCs w:val="21"/>
        </w:rPr>
      </w:pPr>
      <w:r>
        <w:rPr>
          <w:kern w:val="2"/>
          <w:szCs w:val="21"/>
        </w:rPr>
        <w:t>报告的时间段应考虑事件的严重性。必要时，为确保及时报告，申办方可先提交初步的不完整报告，后续提交完整报告。</w:t>
      </w:r>
    </w:p>
    <w:p w14:paraId="327351C7">
      <w:pPr>
        <w:pStyle w:val="8"/>
        <w:topLinePunct/>
        <w:snapToGrid w:val="0"/>
        <w:spacing w:beforeLines="20" w:line="300" w:lineRule="auto"/>
        <w:ind w:firstLine="0"/>
        <w:jc w:val="both"/>
        <w:rPr>
          <w:kern w:val="2"/>
          <w:szCs w:val="21"/>
        </w:rPr>
      </w:pPr>
      <w:r>
        <w:rPr>
          <w:kern w:val="2"/>
          <w:szCs w:val="21"/>
        </w:rPr>
        <w:t>根据进行临床研究的成员国要求，申办方应提供第1段中所述的所有信息。</w:t>
      </w:r>
    </w:p>
    <w:p w14:paraId="362E1CA2">
      <w:pPr>
        <w:pStyle w:val="32"/>
        <w:numPr>
          <w:ilvl w:val="0"/>
          <w:numId w:val="82"/>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申办方还应向有关成员国报告发生在第三国本条第2段所述的任何事件，其中临床研究通过第73条所述电子系统，适用于本法规所含临床研究的同一临床研究计划进行。</w:t>
      </w:r>
    </w:p>
    <w:p w14:paraId="4201AB22">
      <w:pPr>
        <w:pStyle w:val="32"/>
        <w:numPr>
          <w:ilvl w:val="0"/>
          <w:numId w:val="82"/>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对于申办方使用第78条所述的单一申请的临床研究，申办方应通过第73条所述的电子系统报告本条第2段所述的任何事件。一旦收到后，本报告应以电子方式传送给所有相关成员国。</w:t>
      </w:r>
    </w:p>
    <w:p w14:paraId="42D2D095">
      <w:pPr>
        <w:pStyle w:val="8"/>
        <w:topLinePunct/>
        <w:snapToGrid w:val="0"/>
        <w:spacing w:beforeLines="20" w:line="300" w:lineRule="auto"/>
        <w:ind w:firstLine="0"/>
        <w:jc w:val="both"/>
        <w:rPr>
          <w:kern w:val="2"/>
          <w:szCs w:val="21"/>
        </w:rPr>
      </w:pPr>
      <w:r>
        <w:rPr>
          <w:kern w:val="2"/>
          <w:szCs w:val="21"/>
        </w:rPr>
        <w:t>在第78(2)条所述的协调成员国的指导下，成员国应协调对严重不良事件和器械缺陷的评估，以确定是否需要修改、暂停、或终止临床研究或是否撤销该临床研究授权。</w:t>
      </w:r>
    </w:p>
    <w:p w14:paraId="55A5626A">
      <w:pPr>
        <w:pStyle w:val="8"/>
        <w:topLinePunct/>
        <w:snapToGrid w:val="0"/>
        <w:spacing w:beforeLines="20" w:line="300" w:lineRule="auto"/>
        <w:ind w:firstLine="0"/>
        <w:jc w:val="both"/>
        <w:rPr>
          <w:kern w:val="2"/>
          <w:szCs w:val="21"/>
        </w:rPr>
      </w:pPr>
      <w:r>
        <w:rPr>
          <w:kern w:val="2"/>
          <w:szCs w:val="21"/>
        </w:rPr>
        <w:t>本段不得影响其他成员国为确保保护公共卫生和患者安全，根据本法规自己执行评估和采取措施的权利。并应随时通知协调成员国和委员会任何此类评估的结果以及采取的任何此类措施。</w:t>
      </w:r>
    </w:p>
    <w:p w14:paraId="2AF41B0C">
      <w:pPr>
        <w:pStyle w:val="32"/>
        <w:numPr>
          <w:ilvl w:val="0"/>
          <w:numId w:val="82"/>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在第74(1)条所述的PMCF的情况下，应适用第87</w:t>
      </w:r>
      <w:r>
        <w:rPr>
          <w:rFonts w:hint="eastAsia" w:ascii="Times New Roman" w:hAnsi="Times New Roman"/>
          <w:kern w:val="2"/>
          <w:szCs w:val="21"/>
        </w:rPr>
        <w:t>至90</w:t>
      </w:r>
      <w:r>
        <w:rPr>
          <w:rFonts w:ascii="Times New Roman" w:hAnsi="Times New Roman"/>
          <w:kern w:val="2"/>
          <w:szCs w:val="21"/>
        </w:rPr>
        <w:t>条所列明的关于警戒的规定且根据第91条采用的法案因代替本条。</w:t>
      </w:r>
    </w:p>
    <w:p w14:paraId="503D97EE">
      <w:pPr>
        <w:pStyle w:val="32"/>
        <w:numPr>
          <w:ilvl w:val="0"/>
          <w:numId w:val="82"/>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尽管有第5段规定，若严重不良事件与</w:t>
      </w:r>
      <w:r>
        <w:rPr>
          <w:rFonts w:hint="eastAsia" w:ascii="Times New Roman" w:hAnsi="Times New Roman"/>
          <w:kern w:val="2"/>
          <w:szCs w:val="21"/>
        </w:rPr>
        <w:t>前述</w:t>
      </w:r>
      <w:r>
        <w:rPr>
          <w:rFonts w:ascii="Times New Roman" w:hAnsi="Times New Roman"/>
          <w:kern w:val="2"/>
          <w:szCs w:val="21"/>
        </w:rPr>
        <w:t>研究流程建立了因果关系，本条将适用。</w:t>
      </w:r>
    </w:p>
    <w:p w14:paraId="05C5198F">
      <w:pPr>
        <w:snapToGrid w:val="0"/>
        <w:spacing w:beforeLines="20" w:line="300" w:lineRule="auto"/>
        <w:ind w:left="196"/>
        <w:jc w:val="center"/>
        <w:rPr>
          <w:rFonts w:ascii="Times New Roman" w:hAnsi="Times New Roman"/>
          <w:i/>
          <w:kern w:val="2"/>
          <w:szCs w:val="21"/>
        </w:rPr>
      </w:pPr>
    </w:p>
    <w:p w14:paraId="478A669F">
      <w:pPr>
        <w:snapToGrid w:val="0"/>
        <w:spacing w:beforeLines="20" w:line="300" w:lineRule="auto"/>
        <w:ind w:left="196"/>
        <w:jc w:val="center"/>
        <w:rPr>
          <w:rFonts w:ascii="Times New Roman" w:hAnsi="Times New Roman"/>
          <w:i/>
          <w:kern w:val="2"/>
          <w:szCs w:val="21"/>
        </w:rPr>
      </w:pPr>
      <w:r>
        <w:rPr>
          <w:rFonts w:ascii="Times New Roman" w:hAnsi="Times New Roman"/>
          <w:i/>
          <w:kern w:val="2"/>
          <w:szCs w:val="21"/>
        </w:rPr>
        <w:t>第81条</w:t>
      </w:r>
    </w:p>
    <w:p w14:paraId="61921A6A">
      <w:pPr>
        <w:snapToGrid w:val="0"/>
        <w:spacing w:beforeLines="20" w:line="300" w:lineRule="auto"/>
        <w:ind w:left="196"/>
        <w:jc w:val="center"/>
        <w:rPr>
          <w:rFonts w:ascii="Times New Roman" w:hAnsi="Times New Roman"/>
          <w:b/>
          <w:kern w:val="2"/>
          <w:szCs w:val="21"/>
        </w:rPr>
      </w:pPr>
      <w:r>
        <w:rPr>
          <w:rFonts w:ascii="Times New Roman" w:hAnsi="Times New Roman"/>
          <w:b/>
          <w:kern w:val="2"/>
          <w:szCs w:val="21"/>
        </w:rPr>
        <w:t>实施细则</w:t>
      </w:r>
    </w:p>
    <w:p w14:paraId="50C324F2">
      <w:pPr>
        <w:pStyle w:val="8"/>
        <w:topLinePunct/>
        <w:snapToGrid w:val="0"/>
        <w:spacing w:beforeLines="20" w:line="300" w:lineRule="auto"/>
        <w:ind w:left="113" w:firstLine="0"/>
        <w:jc w:val="both"/>
        <w:rPr>
          <w:kern w:val="2"/>
          <w:szCs w:val="21"/>
        </w:rPr>
      </w:pPr>
      <w:r>
        <w:rPr>
          <w:kern w:val="2"/>
          <w:szCs w:val="21"/>
        </w:rPr>
        <w:t>委员会可通过实施细则，采取实施本章所需的详细安排和程序，涉及以下方面：</w:t>
      </w:r>
    </w:p>
    <w:p w14:paraId="3A4DE21B">
      <w:pPr>
        <w:pStyle w:val="32"/>
        <w:numPr>
          <w:ilvl w:val="0"/>
          <w:numId w:val="83"/>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协调电子表格，用于第70和78条所述的临床研究及其评估申请，并考虑到特定类别或器械组；</w:t>
      </w:r>
    </w:p>
    <w:p w14:paraId="446AE521">
      <w:pPr>
        <w:pStyle w:val="32"/>
        <w:numPr>
          <w:ilvl w:val="0"/>
          <w:numId w:val="83"/>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第73条所所述电子系统的运作；</w:t>
      </w:r>
    </w:p>
    <w:p w14:paraId="21D22154">
      <w:pPr>
        <w:pStyle w:val="32"/>
        <w:numPr>
          <w:ilvl w:val="0"/>
          <w:numId w:val="83"/>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第74(1)条所述的PMCF研究通知的协调电子表格，以及第75条所述的实质性修改；</w:t>
      </w:r>
    </w:p>
    <w:p w14:paraId="17497D30">
      <w:pPr>
        <w:pStyle w:val="32"/>
        <w:numPr>
          <w:ilvl w:val="0"/>
          <w:numId w:val="83"/>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第76条所述成员国之间的信息交流；</w:t>
      </w:r>
    </w:p>
    <w:p w14:paraId="0E6C4E56">
      <w:pPr>
        <w:pStyle w:val="32"/>
        <w:numPr>
          <w:ilvl w:val="0"/>
          <w:numId w:val="83"/>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用于报告第80条所述严重不良事件和器械缺陷的协调电子表格；</w:t>
      </w:r>
    </w:p>
    <w:p w14:paraId="01273E88">
      <w:pPr>
        <w:pStyle w:val="32"/>
        <w:numPr>
          <w:ilvl w:val="0"/>
          <w:numId w:val="83"/>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考虑到第80条所述报告事件的严重性，用于报告严重不良事件和器械缺陷的时间表；</w:t>
      </w:r>
    </w:p>
    <w:p w14:paraId="15D9641C">
      <w:pPr>
        <w:pStyle w:val="32"/>
        <w:numPr>
          <w:ilvl w:val="0"/>
          <w:numId w:val="83"/>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需要有关临床证据/数据要求的统一应用，以证明符合附录I所规定的通用安全与性能要求。</w:t>
      </w:r>
    </w:p>
    <w:p w14:paraId="055D7AEC">
      <w:pPr>
        <w:pStyle w:val="8"/>
        <w:topLinePunct/>
        <w:snapToGrid w:val="0"/>
        <w:spacing w:beforeLines="20" w:line="300" w:lineRule="auto"/>
        <w:ind w:left="113" w:firstLine="0"/>
        <w:jc w:val="both"/>
        <w:rPr>
          <w:kern w:val="2"/>
          <w:szCs w:val="21"/>
        </w:rPr>
      </w:pPr>
      <w:r>
        <w:rPr>
          <w:kern w:val="2"/>
          <w:szCs w:val="21"/>
        </w:rPr>
        <w:t>应按照第114(3)条中述及的审查规程通过这些在第1段中实施细则。</w:t>
      </w:r>
    </w:p>
    <w:p w14:paraId="7AB1FC01">
      <w:pPr>
        <w:snapToGrid w:val="0"/>
        <w:spacing w:beforeLines="20" w:line="300" w:lineRule="auto"/>
        <w:ind w:left="196"/>
        <w:jc w:val="center"/>
        <w:rPr>
          <w:rStyle w:val="48"/>
          <w:szCs w:val="21"/>
        </w:rPr>
      </w:pPr>
    </w:p>
    <w:p w14:paraId="1B8D7B1A">
      <w:pPr>
        <w:snapToGrid w:val="0"/>
        <w:spacing w:beforeLines="20" w:line="300" w:lineRule="auto"/>
        <w:ind w:left="196"/>
        <w:jc w:val="center"/>
        <w:rPr>
          <w:rStyle w:val="48"/>
          <w:szCs w:val="21"/>
        </w:rPr>
      </w:pPr>
      <w:r>
        <w:rPr>
          <w:rFonts w:ascii="Times New Roman" w:hAnsi="Times New Roman"/>
          <w:i/>
          <w:kern w:val="2"/>
          <w:szCs w:val="21"/>
        </w:rPr>
        <w:t>第82条</w:t>
      </w:r>
    </w:p>
    <w:p w14:paraId="079667B0">
      <w:pPr>
        <w:snapToGrid w:val="0"/>
        <w:spacing w:beforeLines="20" w:line="300" w:lineRule="auto"/>
        <w:ind w:left="196"/>
        <w:jc w:val="center"/>
        <w:rPr>
          <w:rStyle w:val="48"/>
          <w:b/>
          <w:szCs w:val="21"/>
        </w:rPr>
      </w:pPr>
      <w:r>
        <w:rPr>
          <w:rFonts w:ascii="Times New Roman" w:hAnsi="Times New Roman"/>
          <w:b/>
          <w:kern w:val="2"/>
          <w:szCs w:val="21"/>
        </w:rPr>
        <w:t>关于其他临床研究的要求</w:t>
      </w:r>
    </w:p>
    <w:p w14:paraId="30D2462B">
      <w:pPr>
        <w:pStyle w:val="32"/>
        <w:numPr>
          <w:ilvl w:val="0"/>
          <w:numId w:val="84"/>
        </w:numPr>
        <w:tabs>
          <w:tab w:val="left" w:pos="682"/>
        </w:tabs>
        <w:topLinePunct/>
        <w:snapToGrid w:val="0"/>
        <w:spacing w:beforeLines="20" w:line="300" w:lineRule="auto"/>
        <w:ind w:hanging="567"/>
        <w:jc w:val="both"/>
        <w:rPr>
          <w:rFonts w:ascii="Times New Roman" w:hAnsi="Times New Roman"/>
          <w:kern w:val="2"/>
          <w:szCs w:val="21"/>
          <w:lang w:val="en-US"/>
        </w:rPr>
      </w:pPr>
      <w:r>
        <w:rPr>
          <w:rFonts w:ascii="Times New Roman" w:hAnsi="Times New Roman"/>
          <w:kern w:val="2"/>
          <w:szCs w:val="21"/>
        </w:rPr>
        <w:t>未按照第62（1）条任何目的进行的临床研究，应符合本法规第</w:t>
      </w:r>
      <w:r>
        <w:rPr>
          <w:rFonts w:ascii="Times New Roman" w:hAnsi="Times New Roman"/>
          <w:kern w:val="2"/>
          <w:szCs w:val="21"/>
          <w:lang w:val="en-US"/>
        </w:rPr>
        <w:t>62（2）</w:t>
      </w:r>
      <w:r>
        <w:rPr>
          <w:rFonts w:ascii="Times New Roman" w:hAnsi="Times New Roman"/>
          <w:kern w:val="2"/>
          <w:szCs w:val="21"/>
        </w:rPr>
        <w:t>和</w:t>
      </w:r>
      <w:r>
        <w:rPr>
          <w:rFonts w:ascii="Times New Roman" w:hAnsi="Times New Roman"/>
          <w:kern w:val="2"/>
          <w:szCs w:val="21"/>
          <w:lang w:val="en-US"/>
        </w:rPr>
        <w:t>（3）</w:t>
      </w:r>
      <w:r>
        <w:rPr>
          <w:rFonts w:hint="eastAsia" w:ascii="Times New Roman" w:hAnsi="Times New Roman"/>
          <w:kern w:val="2"/>
          <w:szCs w:val="21"/>
          <w:lang w:val="en-US"/>
        </w:rPr>
        <w:t>条</w:t>
      </w:r>
      <w:r>
        <w:rPr>
          <w:rFonts w:ascii="Times New Roman" w:hAnsi="Times New Roman"/>
          <w:kern w:val="2"/>
          <w:szCs w:val="21"/>
          <w:lang w:val="en-US"/>
        </w:rPr>
        <w:t>，</w:t>
      </w:r>
      <w:r>
        <w:rPr>
          <w:rFonts w:ascii="Times New Roman" w:hAnsi="Times New Roman"/>
          <w:kern w:val="2"/>
          <w:szCs w:val="21"/>
        </w:rPr>
        <w:t>第62（4）</w:t>
      </w:r>
      <w:r>
        <w:rPr>
          <w:rFonts w:ascii="Times New Roman" w:hAnsi="Times New Roman"/>
          <w:kern w:val="2"/>
          <w:szCs w:val="21"/>
          <w:lang w:val="en-US"/>
        </w:rPr>
        <w:t>条（b</w:t>
      </w:r>
      <w:r>
        <w:rPr>
          <w:rFonts w:ascii="Times New Roman" w:hAnsi="Times New Roman"/>
          <w:kern w:val="2"/>
          <w:szCs w:val="21"/>
        </w:rPr>
        <w:t>）、(c)、(d)、(f)、（h）</w:t>
      </w:r>
      <w:r>
        <w:rPr>
          <w:rFonts w:hint="eastAsia" w:ascii="Times New Roman" w:hAnsi="Times New Roman"/>
          <w:kern w:val="2"/>
          <w:szCs w:val="21"/>
        </w:rPr>
        <w:t>和</w:t>
      </w:r>
      <w:r>
        <w:rPr>
          <w:rFonts w:ascii="Times New Roman" w:hAnsi="Times New Roman"/>
          <w:kern w:val="2"/>
          <w:szCs w:val="21"/>
        </w:rPr>
        <w:t>（l）点和和第62（6）条。</w:t>
      </w:r>
    </w:p>
    <w:p w14:paraId="03A726A7">
      <w:pPr>
        <w:pStyle w:val="32"/>
        <w:numPr>
          <w:ilvl w:val="0"/>
          <w:numId w:val="84"/>
        </w:numPr>
        <w:tabs>
          <w:tab w:val="left" w:pos="682"/>
        </w:tabs>
        <w:topLinePunct/>
        <w:snapToGrid w:val="0"/>
        <w:spacing w:beforeLines="20" w:line="300" w:lineRule="auto"/>
        <w:ind w:hanging="567"/>
        <w:jc w:val="both"/>
        <w:rPr>
          <w:rFonts w:ascii="Times New Roman" w:hAnsi="Times New Roman"/>
          <w:kern w:val="2"/>
          <w:szCs w:val="21"/>
        </w:rPr>
      </w:pPr>
      <w:r>
        <w:rPr>
          <w:rFonts w:hint="eastAsia" w:ascii="Times New Roman" w:hAnsi="Times New Roman"/>
          <w:kern w:val="2"/>
          <w:szCs w:val="21"/>
        </w:rPr>
        <w:t>出于</w:t>
      </w:r>
      <w:r>
        <w:rPr>
          <w:rFonts w:ascii="Times New Roman" w:hAnsi="Times New Roman"/>
          <w:kern w:val="2"/>
          <w:szCs w:val="21"/>
        </w:rPr>
        <w:t>保护受试者的权利、安全、尊严和福祉以及根据第62(1)条所列任何目的未进行的临床研究的科学和伦理完整性，各成员国应明确任何附加要求酌情为各有关成员国进行此类研究。</w:t>
      </w:r>
    </w:p>
    <w:p w14:paraId="15956B0B">
      <w:pPr>
        <w:pStyle w:val="2"/>
        <w:spacing w:beforeLines="20" w:line="300" w:lineRule="auto"/>
        <w:rPr>
          <w:sz w:val="21"/>
          <w:szCs w:val="21"/>
        </w:rPr>
      </w:pPr>
      <w:bookmarkStart w:id="74" w:name="_Toc477512402"/>
    </w:p>
    <w:p w14:paraId="3431D092">
      <w:pPr>
        <w:pStyle w:val="2"/>
        <w:spacing w:beforeLines="20" w:line="300" w:lineRule="auto"/>
        <w:rPr>
          <w:rStyle w:val="48"/>
          <w:b w:val="0"/>
          <w:sz w:val="24"/>
          <w:szCs w:val="24"/>
        </w:rPr>
      </w:pPr>
      <w:r>
        <w:rPr>
          <w:sz w:val="24"/>
          <w:szCs w:val="24"/>
        </w:rPr>
        <w:t>第VII章</w:t>
      </w:r>
      <w:r>
        <w:rPr>
          <w:sz w:val="24"/>
          <w:szCs w:val="24"/>
        </w:rPr>
        <w:br w:type="textWrapping"/>
      </w:r>
      <w:r>
        <w:rPr>
          <w:sz w:val="24"/>
          <w:szCs w:val="24"/>
        </w:rPr>
        <w:t>上市后监管、警戒和市场监管</w:t>
      </w:r>
      <w:bookmarkEnd w:id="74"/>
    </w:p>
    <w:p w14:paraId="18208FAE">
      <w:pPr>
        <w:pStyle w:val="35"/>
        <w:spacing w:beforeLines="20" w:line="300" w:lineRule="auto"/>
        <w:rPr>
          <w:sz w:val="21"/>
          <w:szCs w:val="21"/>
        </w:rPr>
      </w:pPr>
      <w:bookmarkStart w:id="75" w:name="_Toc477512403"/>
      <w:r>
        <w:rPr>
          <w:sz w:val="21"/>
          <w:szCs w:val="21"/>
        </w:rPr>
        <w:t>第1节</w:t>
      </w:r>
      <w:bookmarkEnd w:id="75"/>
    </w:p>
    <w:p w14:paraId="069B7432">
      <w:pPr>
        <w:pStyle w:val="35"/>
        <w:spacing w:beforeLines="20" w:line="300" w:lineRule="auto"/>
        <w:rPr>
          <w:sz w:val="21"/>
          <w:szCs w:val="21"/>
        </w:rPr>
      </w:pPr>
      <w:bookmarkStart w:id="76" w:name="_Toc477512404"/>
      <w:r>
        <w:rPr>
          <w:sz w:val="21"/>
          <w:szCs w:val="21"/>
        </w:rPr>
        <w:t>上市后监管</w:t>
      </w:r>
      <w:bookmarkEnd w:id="76"/>
    </w:p>
    <w:p w14:paraId="44F96ED3">
      <w:pPr>
        <w:snapToGrid w:val="0"/>
        <w:spacing w:beforeLines="20" w:line="300" w:lineRule="auto"/>
        <w:jc w:val="center"/>
        <w:rPr>
          <w:rStyle w:val="48"/>
          <w:b/>
          <w:szCs w:val="21"/>
        </w:rPr>
      </w:pPr>
      <w:r>
        <w:rPr>
          <w:rFonts w:ascii="Times New Roman" w:hAnsi="Times New Roman"/>
          <w:i/>
          <w:kern w:val="2"/>
          <w:szCs w:val="21"/>
        </w:rPr>
        <w:t>第83条</w:t>
      </w:r>
    </w:p>
    <w:p w14:paraId="27D6075B">
      <w:pPr>
        <w:snapToGrid w:val="0"/>
        <w:spacing w:beforeLines="20" w:line="300" w:lineRule="auto"/>
        <w:jc w:val="center"/>
        <w:rPr>
          <w:rStyle w:val="48"/>
          <w:b/>
          <w:szCs w:val="21"/>
        </w:rPr>
      </w:pPr>
      <w:r>
        <w:rPr>
          <w:rFonts w:ascii="Times New Roman" w:hAnsi="Times New Roman"/>
          <w:b/>
          <w:kern w:val="2"/>
          <w:szCs w:val="21"/>
        </w:rPr>
        <w:t>制造商的上市后监管体系</w:t>
      </w:r>
    </w:p>
    <w:p w14:paraId="57864940">
      <w:pPr>
        <w:pStyle w:val="32"/>
        <w:numPr>
          <w:ilvl w:val="0"/>
          <w:numId w:val="85"/>
        </w:numPr>
        <w:tabs>
          <w:tab w:val="left" w:pos="682"/>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根据第10(9)条的规定，对于与风险等级相称并且适合于该器械类型的任何器械，制造商应计划、建立、记录、实施、维护和更新上市后的监管体系，该系统应属于制造商质量管理体系的组成部分。</w:t>
      </w:r>
    </w:p>
    <w:p w14:paraId="10F862E0">
      <w:pPr>
        <w:pStyle w:val="32"/>
        <w:numPr>
          <w:ilvl w:val="0"/>
          <w:numId w:val="85"/>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上市后的监管体系应适于积极和系统地收集、记录并分析器械在其整个生命周期内的质量、性能和安全相关数据，以得出必要的结论，并确定、实施和监测任何预防及纠正措施。</w:t>
      </w:r>
    </w:p>
    <w:p w14:paraId="71019F31">
      <w:pPr>
        <w:pStyle w:val="32"/>
        <w:numPr>
          <w:ilvl w:val="0"/>
          <w:numId w:val="85"/>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由制造商的上市后监管体系收集的数据应特别用于：</w:t>
      </w:r>
    </w:p>
    <w:p w14:paraId="7C33A9A5">
      <w:pPr>
        <w:pStyle w:val="32"/>
        <w:numPr>
          <w:ilvl w:val="1"/>
          <w:numId w:val="85"/>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更新收益风险测定改善附录I第I章中所述的风险管理；</w:t>
      </w:r>
    </w:p>
    <w:p w14:paraId="65DC44BA">
      <w:pPr>
        <w:pStyle w:val="32"/>
        <w:numPr>
          <w:ilvl w:val="1"/>
          <w:numId w:val="85"/>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更新设计和生产信息、使用和标签说明</w:t>
      </w:r>
    </w:p>
    <w:p w14:paraId="4D3BEEFB">
      <w:pPr>
        <w:pStyle w:val="32"/>
        <w:numPr>
          <w:ilvl w:val="1"/>
          <w:numId w:val="85"/>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更新临床评价；</w:t>
      </w:r>
    </w:p>
    <w:p w14:paraId="2CECF54A">
      <w:pPr>
        <w:pStyle w:val="32"/>
        <w:numPr>
          <w:ilvl w:val="1"/>
          <w:numId w:val="85"/>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更新第32条所述的安全和临床性能总结文件；</w:t>
      </w:r>
    </w:p>
    <w:p w14:paraId="017B0CBC">
      <w:pPr>
        <w:pStyle w:val="32"/>
        <w:numPr>
          <w:ilvl w:val="1"/>
          <w:numId w:val="85"/>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用于确定预防、纠正或现场安全纠正措施的需要；</w:t>
      </w:r>
    </w:p>
    <w:p w14:paraId="20D86095">
      <w:pPr>
        <w:pStyle w:val="32"/>
        <w:numPr>
          <w:ilvl w:val="1"/>
          <w:numId w:val="85"/>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用于确定提高器械的可用性、性能和安全性的可能性；</w:t>
      </w:r>
    </w:p>
    <w:p w14:paraId="57FEFD49">
      <w:pPr>
        <w:pStyle w:val="32"/>
        <w:numPr>
          <w:ilvl w:val="1"/>
          <w:numId w:val="85"/>
        </w:numPr>
        <w:tabs>
          <w:tab w:val="left" w:pos="1248"/>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当</w:t>
      </w:r>
      <w:r>
        <w:rPr>
          <w:rFonts w:hint="eastAsia" w:ascii="Times New Roman" w:hAnsi="Times New Roman"/>
          <w:kern w:val="2"/>
          <w:szCs w:val="21"/>
        </w:rPr>
        <w:t>与之</w:t>
      </w:r>
      <w:r>
        <w:rPr>
          <w:rFonts w:ascii="Times New Roman" w:hAnsi="Times New Roman"/>
          <w:kern w:val="2"/>
          <w:szCs w:val="21"/>
        </w:rPr>
        <w:t>相关时，协助其他器械的上市后监管。</w:t>
      </w:r>
    </w:p>
    <w:p w14:paraId="609CED1F">
      <w:pPr>
        <w:pStyle w:val="32"/>
        <w:numPr>
          <w:ilvl w:val="1"/>
          <w:numId w:val="85"/>
        </w:numPr>
        <w:tabs>
          <w:tab w:val="left" w:pos="1248"/>
        </w:tabs>
        <w:topLinePunct/>
        <w:snapToGrid w:val="0"/>
        <w:spacing w:beforeLines="20" w:line="300" w:lineRule="auto"/>
        <w:ind w:left="681" w:firstLine="0"/>
        <w:jc w:val="both"/>
        <w:rPr>
          <w:rFonts w:ascii="Times New Roman" w:hAnsi="Times New Roman"/>
          <w:kern w:val="2"/>
          <w:szCs w:val="21"/>
        </w:rPr>
      </w:pPr>
      <w:r>
        <w:rPr>
          <w:rFonts w:ascii="Times New Roman" w:hAnsi="Times New Roman"/>
          <w:kern w:val="2"/>
          <w:szCs w:val="21"/>
        </w:rPr>
        <w:t>根据第88条检测并报告趋势。</w:t>
      </w:r>
    </w:p>
    <w:p w14:paraId="171380C2">
      <w:pPr>
        <w:pStyle w:val="32"/>
        <w:tabs>
          <w:tab w:val="left" w:pos="1248"/>
        </w:tabs>
        <w:topLinePunct/>
        <w:snapToGrid w:val="0"/>
        <w:spacing w:beforeLines="20" w:line="300" w:lineRule="auto"/>
        <w:ind w:left="681"/>
        <w:jc w:val="both"/>
        <w:rPr>
          <w:rFonts w:ascii="Times New Roman" w:hAnsi="Times New Roman"/>
          <w:kern w:val="2"/>
          <w:szCs w:val="21"/>
        </w:rPr>
      </w:pPr>
      <w:r>
        <w:rPr>
          <w:rFonts w:ascii="Times New Roman" w:hAnsi="Times New Roman"/>
          <w:kern w:val="2"/>
          <w:szCs w:val="21"/>
        </w:rPr>
        <w:t>技术文件应进行相应的更新。</w:t>
      </w:r>
    </w:p>
    <w:p w14:paraId="5C126130">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若在上市后监管的过程中确定需要采取预防或纠正措施或两者，制造商应采取适当的措施，并通知相关主管机构和公告机构（如适用）。当发现严重事件或实施现场安全纠正措施时，应按照第87条进行报告。</w:t>
      </w:r>
    </w:p>
    <w:p w14:paraId="24C11976">
      <w:pPr>
        <w:snapToGrid w:val="0"/>
        <w:spacing w:beforeLines="25" w:line="300" w:lineRule="auto"/>
        <w:ind w:left="196"/>
        <w:jc w:val="center"/>
        <w:rPr>
          <w:rFonts w:ascii="Times New Roman" w:hAnsi="Times New Roman"/>
          <w:i/>
          <w:kern w:val="2"/>
          <w:szCs w:val="21"/>
        </w:rPr>
      </w:pPr>
    </w:p>
    <w:p w14:paraId="2D80A98B">
      <w:pPr>
        <w:snapToGrid w:val="0"/>
        <w:spacing w:beforeLines="25" w:line="300" w:lineRule="auto"/>
        <w:ind w:left="196"/>
        <w:jc w:val="center"/>
        <w:rPr>
          <w:rStyle w:val="48"/>
          <w:b/>
          <w:szCs w:val="21"/>
        </w:rPr>
      </w:pPr>
      <w:r>
        <w:rPr>
          <w:rFonts w:ascii="Times New Roman" w:hAnsi="Times New Roman"/>
          <w:i/>
          <w:kern w:val="2"/>
          <w:szCs w:val="21"/>
        </w:rPr>
        <w:t>第84条</w:t>
      </w:r>
    </w:p>
    <w:p w14:paraId="364FD9AF">
      <w:pPr>
        <w:snapToGrid w:val="0"/>
        <w:spacing w:beforeLines="25" w:line="300" w:lineRule="auto"/>
        <w:ind w:left="195"/>
        <w:jc w:val="center"/>
        <w:rPr>
          <w:rStyle w:val="48"/>
          <w:b/>
          <w:szCs w:val="21"/>
        </w:rPr>
      </w:pPr>
      <w:r>
        <w:rPr>
          <w:rFonts w:ascii="Times New Roman" w:hAnsi="Times New Roman"/>
          <w:b/>
          <w:kern w:val="2"/>
          <w:szCs w:val="21"/>
        </w:rPr>
        <w:t>上市后监管计划</w:t>
      </w:r>
    </w:p>
    <w:p w14:paraId="0344CC79">
      <w:pPr>
        <w:pStyle w:val="8"/>
        <w:topLinePunct/>
        <w:snapToGrid w:val="0"/>
        <w:spacing w:beforeLines="25" w:line="300" w:lineRule="auto"/>
        <w:ind w:left="113" w:firstLine="0"/>
        <w:jc w:val="both"/>
        <w:rPr>
          <w:kern w:val="2"/>
          <w:szCs w:val="21"/>
        </w:rPr>
      </w:pPr>
      <w:r>
        <w:rPr>
          <w:kern w:val="2"/>
          <w:szCs w:val="21"/>
        </w:rPr>
        <w:t>第83条所述的上市后监管体系应以上市后监管计划为基础，其要求载于附录III的第1.1节。对于非定制器械，上市后监管计划应是附录II中规定的技术文件的一部分。</w:t>
      </w:r>
    </w:p>
    <w:p w14:paraId="1EC43F07">
      <w:pPr>
        <w:snapToGrid w:val="0"/>
        <w:spacing w:beforeLines="25" w:line="300" w:lineRule="auto"/>
        <w:ind w:left="195"/>
        <w:jc w:val="center"/>
        <w:rPr>
          <w:rFonts w:ascii="Times New Roman" w:hAnsi="Times New Roman"/>
          <w:i/>
          <w:kern w:val="2"/>
          <w:szCs w:val="21"/>
        </w:rPr>
      </w:pPr>
    </w:p>
    <w:p w14:paraId="3A3458F9">
      <w:pPr>
        <w:snapToGrid w:val="0"/>
        <w:spacing w:beforeLines="25" w:line="300" w:lineRule="auto"/>
        <w:ind w:left="195"/>
        <w:jc w:val="center"/>
        <w:rPr>
          <w:rStyle w:val="48"/>
          <w:b/>
          <w:szCs w:val="21"/>
        </w:rPr>
      </w:pPr>
      <w:r>
        <w:rPr>
          <w:rFonts w:ascii="Times New Roman" w:hAnsi="Times New Roman"/>
          <w:i/>
          <w:kern w:val="2"/>
          <w:szCs w:val="21"/>
        </w:rPr>
        <w:t>第85条</w:t>
      </w:r>
    </w:p>
    <w:p w14:paraId="31BD6B14">
      <w:pPr>
        <w:snapToGrid w:val="0"/>
        <w:spacing w:beforeLines="25" w:line="300" w:lineRule="auto"/>
        <w:ind w:left="195"/>
        <w:jc w:val="center"/>
        <w:rPr>
          <w:rStyle w:val="48"/>
          <w:b/>
          <w:szCs w:val="21"/>
        </w:rPr>
      </w:pPr>
      <w:r>
        <w:rPr>
          <w:rFonts w:ascii="Times New Roman" w:hAnsi="Times New Roman"/>
          <w:b/>
          <w:kern w:val="2"/>
          <w:szCs w:val="21"/>
        </w:rPr>
        <w:t>上市后监管报告</w:t>
      </w:r>
    </w:p>
    <w:p w14:paraId="28B61612">
      <w:pPr>
        <w:pStyle w:val="8"/>
        <w:topLinePunct/>
        <w:snapToGrid w:val="0"/>
        <w:spacing w:beforeLines="25" w:line="300" w:lineRule="auto"/>
        <w:ind w:left="113" w:firstLine="0"/>
        <w:jc w:val="both"/>
        <w:rPr>
          <w:kern w:val="2"/>
          <w:szCs w:val="21"/>
        </w:rPr>
      </w:pPr>
      <w:r>
        <w:rPr>
          <w:kern w:val="2"/>
          <w:szCs w:val="21"/>
        </w:rPr>
        <w:t>I类器械制造商应编制一份上市后监管报告，总结根据从84条所述的上市后监管</w:t>
      </w:r>
      <w:r>
        <w:rPr>
          <w:rFonts w:hint="eastAsia"/>
          <w:kern w:val="2"/>
          <w:szCs w:val="21"/>
        </w:rPr>
        <w:t>计划</w:t>
      </w:r>
      <w:r>
        <w:rPr>
          <w:kern w:val="2"/>
          <w:szCs w:val="21"/>
        </w:rPr>
        <w:t>收集的数据的分析结果和结论，以及采取的任何预防和纠正措施的理由和说明。必要时应更新报告，并应主管机构的要求提供。</w:t>
      </w:r>
    </w:p>
    <w:p w14:paraId="116C3ED1">
      <w:pPr>
        <w:snapToGrid w:val="0"/>
        <w:spacing w:beforeLines="25" w:line="300" w:lineRule="auto"/>
        <w:ind w:left="196"/>
        <w:jc w:val="center"/>
        <w:rPr>
          <w:rFonts w:ascii="Times New Roman" w:hAnsi="Times New Roman"/>
          <w:i/>
          <w:kern w:val="2"/>
          <w:szCs w:val="21"/>
        </w:rPr>
      </w:pPr>
    </w:p>
    <w:p w14:paraId="7987F1B0">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第86条</w:t>
      </w:r>
    </w:p>
    <w:p w14:paraId="721888B0">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定期安全性更新报告</w:t>
      </w:r>
    </w:p>
    <w:p w14:paraId="3587F153">
      <w:pPr>
        <w:pStyle w:val="32"/>
        <w:numPr>
          <w:ilvl w:val="0"/>
          <w:numId w:val="86"/>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IIa、IIb和III类器械制造商应针对各器械或类别或器械组编制定期安全性更新报告</w:t>
      </w:r>
      <w:r>
        <w:rPr>
          <w:rFonts w:hint="eastAsia" w:ascii="Times New Roman" w:hAnsi="Times New Roman"/>
          <w:kern w:val="2"/>
          <w:szCs w:val="21"/>
        </w:rPr>
        <w:t>（PSUR）</w:t>
      </w:r>
      <w:r>
        <w:rPr>
          <w:rFonts w:ascii="Times New Roman" w:hAnsi="Times New Roman"/>
          <w:kern w:val="2"/>
          <w:szCs w:val="21"/>
        </w:rPr>
        <w:t>，总结根据从第84条所述的上市后监管</w:t>
      </w:r>
      <w:r>
        <w:rPr>
          <w:rFonts w:hint="eastAsia" w:ascii="Times New Roman" w:hAnsi="Times New Roman"/>
          <w:kern w:val="2"/>
          <w:szCs w:val="21"/>
        </w:rPr>
        <w:t>计划</w:t>
      </w:r>
      <w:r>
        <w:rPr>
          <w:rFonts w:ascii="Times New Roman" w:hAnsi="Times New Roman"/>
          <w:kern w:val="2"/>
          <w:szCs w:val="21"/>
        </w:rPr>
        <w:t>收集的数据分析结果和结论，并对采取的任何预防和纠正措施提供理由和说明。在该器械的整个生命周期内，PSUR应列出：</w:t>
      </w:r>
    </w:p>
    <w:p w14:paraId="4EEC6D6A">
      <w:pPr>
        <w:pStyle w:val="32"/>
        <w:numPr>
          <w:ilvl w:val="1"/>
          <w:numId w:val="86"/>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收益风险测定的结论；</w:t>
      </w:r>
    </w:p>
    <w:p w14:paraId="2040E8F1">
      <w:pPr>
        <w:pStyle w:val="32"/>
        <w:numPr>
          <w:ilvl w:val="1"/>
          <w:numId w:val="86"/>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PMCF的主要问题</w:t>
      </w:r>
      <w:r>
        <w:rPr>
          <w:rFonts w:hint="eastAsia" w:ascii="Times New Roman" w:hAnsi="Times New Roman"/>
          <w:kern w:val="2"/>
          <w:szCs w:val="21"/>
        </w:rPr>
        <w:t>；</w:t>
      </w:r>
      <w:r>
        <w:rPr>
          <w:rFonts w:ascii="Times New Roman" w:hAnsi="Times New Roman"/>
          <w:kern w:val="2"/>
          <w:szCs w:val="21"/>
        </w:rPr>
        <w:t>和</w:t>
      </w:r>
    </w:p>
    <w:p w14:paraId="5172CA4D">
      <w:pPr>
        <w:pStyle w:val="32"/>
        <w:numPr>
          <w:ilvl w:val="1"/>
          <w:numId w:val="86"/>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器械的销售量和使用涉及器械的群体大小和其他特征评估，以及实际可行时器械的使用频率。</w:t>
      </w:r>
    </w:p>
    <w:p w14:paraId="6BE9B93E">
      <w:pPr>
        <w:pStyle w:val="8"/>
        <w:topLinePunct/>
        <w:snapToGrid w:val="0"/>
        <w:spacing w:beforeLines="25" w:line="300" w:lineRule="auto"/>
        <w:ind w:firstLine="0"/>
        <w:jc w:val="both"/>
        <w:rPr>
          <w:kern w:val="2"/>
          <w:szCs w:val="21"/>
        </w:rPr>
      </w:pPr>
      <w:r>
        <w:rPr>
          <w:kern w:val="2"/>
          <w:szCs w:val="21"/>
        </w:rPr>
        <w:t>IIb和III类器械的制造商应至少每年更新PSUR</w:t>
      </w:r>
      <w:r>
        <w:rPr>
          <w:rFonts w:hint="eastAsia"/>
          <w:kern w:val="2"/>
          <w:szCs w:val="21"/>
        </w:rPr>
        <w:t>。</w:t>
      </w:r>
      <w:r>
        <w:rPr>
          <w:kern w:val="2"/>
          <w:szCs w:val="21"/>
        </w:rPr>
        <w:t>除非是定制器械，否则PSUR应</w:t>
      </w:r>
      <w:r>
        <w:rPr>
          <w:rFonts w:hint="eastAsia"/>
          <w:kern w:val="2"/>
          <w:szCs w:val="21"/>
        </w:rPr>
        <w:t>作为</w:t>
      </w:r>
      <w:r>
        <w:rPr>
          <w:kern w:val="2"/>
          <w:szCs w:val="21"/>
        </w:rPr>
        <w:t>附录II和III规定的技术文件的一部分。</w:t>
      </w:r>
    </w:p>
    <w:p w14:paraId="669EF732">
      <w:pPr>
        <w:pStyle w:val="8"/>
        <w:topLinePunct/>
        <w:snapToGrid w:val="0"/>
        <w:spacing w:beforeLines="25" w:line="300" w:lineRule="auto"/>
        <w:ind w:firstLine="0"/>
        <w:jc w:val="both"/>
        <w:rPr>
          <w:kern w:val="2"/>
          <w:szCs w:val="21"/>
        </w:rPr>
      </w:pPr>
      <w:r>
        <w:rPr>
          <w:kern w:val="2"/>
          <w:szCs w:val="21"/>
        </w:rPr>
        <w:t>IIa类器械制造商应在必要时至少每两年更新PSUR</w:t>
      </w:r>
      <w:r>
        <w:rPr>
          <w:rFonts w:hint="eastAsia"/>
          <w:kern w:val="2"/>
          <w:szCs w:val="21"/>
        </w:rPr>
        <w:t>。</w:t>
      </w:r>
      <w:r>
        <w:rPr>
          <w:kern w:val="2"/>
          <w:szCs w:val="21"/>
        </w:rPr>
        <w:t>除非是定制器械，否则PSUR应</w:t>
      </w:r>
      <w:r>
        <w:rPr>
          <w:rFonts w:hint="eastAsia"/>
          <w:kern w:val="2"/>
          <w:szCs w:val="21"/>
        </w:rPr>
        <w:t>作为</w:t>
      </w:r>
      <w:r>
        <w:rPr>
          <w:kern w:val="2"/>
          <w:szCs w:val="21"/>
        </w:rPr>
        <w:t>附录II和III规定的技术文件的一部分。</w:t>
      </w:r>
    </w:p>
    <w:p w14:paraId="20080A72">
      <w:pPr>
        <w:pStyle w:val="8"/>
        <w:topLinePunct/>
        <w:snapToGrid w:val="0"/>
        <w:spacing w:beforeLines="25" w:line="300" w:lineRule="auto"/>
        <w:ind w:firstLine="0"/>
        <w:jc w:val="both"/>
        <w:rPr>
          <w:kern w:val="2"/>
          <w:szCs w:val="21"/>
        </w:rPr>
      </w:pPr>
      <w:r>
        <w:rPr>
          <w:kern w:val="2"/>
          <w:szCs w:val="21"/>
        </w:rPr>
        <w:t>对于定制器械，PSUR应</w:t>
      </w:r>
      <w:r>
        <w:rPr>
          <w:rFonts w:hint="eastAsia"/>
          <w:kern w:val="2"/>
          <w:szCs w:val="21"/>
        </w:rPr>
        <w:t>作为</w:t>
      </w:r>
      <w:r>
        <w:rPr>
          <w:kern w:val="2"/>
          <w:szCs w:val="21"/>
        </w:rPr>
        <w:t>附录XII第2节所述文件的一部分。</w:t>
      </w:r>
    </w:p>
    <w:p w14:paraId="5FB640A7">
      <w:pPr>
        <w:pStyle w:val="32"/>
        <w:numPr>
          <w:ilvl w:val="0"/>
          <w:numId w:val="8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III类器械或可植入器械的制造商应按照第52条的规定，通过第92条所述的电子系统向参与符合性评估的公告机构提交PSUR。公告机构应审查该PSUR，并将其评估添加到电子系统中，包括采取任何措施的细节。</w:t>
      </w:r>
      <w:r>
        <w:rPr>
          <w:rFonts w:hint="eastAsia" w:ascii="Times New Roman" w:hAnsi="Times New Roman"/>
          <w:kern w:val="2"/>
          <w:szCs w:val="21"/>
        </w:rPr>
        <w:t>此外，</w:t>
      </w:r>
      <w:r>
        <w:rPr>
          <w:rFonts w:ascii="Times New Roman" w:hAnsi="Times New Roman"/>
          <w:kern w:val="2"/>
          <w:szCs w:val="21"/>
        </w:rPr>
        <w:t>此类</w:t>
      </w:r>
      <w:r>
        <w:rPr>
          <w:rFonts w:hint="eastAsia" w:ascii="Times New Roman" w:hAnsi="Times New Roman"/>
          <w:kern w:val="2"/>
          <w:szCs w:val="21"/>
        </w:rPr>
        <w:t>PSUR</w:t>
      </w:r>
      <w:r>
        <w:rPr>
          <w:rFonts w:ascii="Times New Roman" w:hAnsi="Times New Roman"/>
          <w:kern w:val="2"/>
          <w:szCs w:val="21"/>
        </w:rPr>
        <w:t>和公告机构的评估应通过电子系统提供给主管机构。</w:t>
      </w:r>
    </w:p>
    <w:p w14:paraId="77DD3BA8">
      <w:pPr>
        <w:pStyle w:val="32"/>
        <w:numPr>
          <w:ilvl w:val="0"/>
          <w:numId w:val="86"/>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对于第2段所述以外的器械制造商应向参与符合性评估的公告机构提交PSUR，并应要求向主管机构提供报告。</w:t>
      </w:r>
    </w:p>
    <w:p w14:paraId="7DB56D0A">
      <w:pPr>
        <w:pStyle w:val="35"/>
        <w:spacing w:before="78" w:line="300" w:lineRule="auto"/>
        <w:rPr>
          <w:sz w:val="21"/>
          <w:szCs w:val="21"/>
        </w:rPr>
      </w:pPr>
      <w:r>
        <w:rPr>
          <w:sz w:val="21"/>
          <w:szCs w:val="21"/>
        </w:rPr>
        <w:br w:type="page"/>
      </w:r>
      <w:bookmarkStart w:id="77" w:name="_Toc477512405"/>
      <w:r>
        <w:rPr>
          <w:sz w:val="21"/>
          <w:szCs w:val="21"/>
        </w:rPr>
        <w:t>第2节</w:t>
      </w:r>
      <w:bookmarkEnd w:id="77"/>
    </w:p>
    <w:p w14:paraId="118B66AF">
      <w:pPr>
        <w:pStyle w:val="35"/>
        <w:spacing w:before="78" w:line="300" w:lineRule="auto"/>
        <w:rPr>
          <w:sz w:val="21"/>
          <w:szCs w:val="21"/>
        </w:rPr>
      </w:pPr>
      <w:r>
        <w:rPr>
          <w:sz w:val="21"/>
          <w:szCs w:val="21"/>
        </w:rPr>
        <w:t>警戒</w:t>
      </w:r>
    </w:p>
    <w:p w14:paraId="5455B3FE">
      <w:pPr>
        <w:snapToGrid w:val="0"/>
        <w:spacing w:beforeLines="25" w:line="300" w:lineRule="auto"/>
        <w:jc w:val="center"/>
        <w:rPr>
          <w:rStyle w:val="48"/>
          <w:b/>
          <w:szCs w:val="21"/>
        </w:rPr>
      </w:pPr>
      <w:r>
        <w:rPr>
          <w:rFonts w:ascii="Times New Roman" w:hAnsi="Times New Roman"/>
          <w:i/>
          <w:kern w:val="2"/>
          <w:szCs w:val="21"/>
        </w:rPr>
        <w:t>第87条</w:t>
      </w:r>
    </w:p>
    <w:p w14:paraId="2272E701">
      <w:pPr>
        <w:snapToGrid w:val="0"/>
        <w:spacing w:beforeLines="25" w:line="300" w:lineRule="auto"/>
        <w:jc w:val="center"/>
        <w:rPr>
          <w:rStyle w:val="48"/>
          <w:b/>
          <w:szCs w:val="21"/>
        </w:rPr>
      </w:pPr>
      <w:r>
        <w:rPr>
          <w:rFonts w:ascii="Times New Roman" w:hAnsi="Times New Roman"/>
          <w:b/>
          <w:kern w:val="2"/>
          <w:szCs w:val="21"/>
        </w:rPr>
        <w:t>报告严重事件和现场安全纠正措施</w:t>
      </w:r>
    </w:p>
    <w:p w14:paraId="7ED56E22">
      <w:pPr>
        <w:pStyle w:val="32"/>
        <w:numPr>
          <w:ilvl w:val="0"/>
          <w:numId w:val="8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在欧盟市场上提供不同于研究器械的器械制造商，应按照第92（5）和（7）条向相关主管机构报告以下内容：</w:t>
      </w:r>
    </w:p>
    <w:p w14:paraId="489AB2BD">
      <w:pPr>
        <w:pStyle w:val="32"/>
        <w:numPr>
          <w:ilvl w:val="1"/>
          <w:numId w:val="87"/>
        </w:numPr>
        <w:tabs>
          <w:tab w:val="left" w:pos="1248"/>
        </w:tabs>
        <w:topLinePunct/>
        <w:snapToGrid w:val="0"/>
        <w:spacing w:beforeLines="25" w:line="300" w:lineRule="auto"/>
        <w:jc w:val="both"/>
        <w:rPr>
          <w:rFonts w:ascii="Times New Roman" w:hAnsi="Times New Roman"/>
          <w:kern w:val="2"/>
          <w:szCs w:val="21"/>
        </w:rPr>
      </w:pPr>
      <w:bookmarkStart w:id="78" w:name="(a)_any_serious_incident_involving_devic"/>
      <w:bookmarkEnd w:id="78"/>
      <w:r>
        <w:rPr>
          <w:rFonts w:ascii="Times New Roman" w:hAnsi="Times New Roman"/>
          <w:kern w:val="2"/>
          <w:szCs w:val="21"/>
        </w:rPr>
        <w:t>任何涉及在欧盟市场上销售器械的严重事件，但不包括产品信息中清楚地记录并在技术文件中量化的预期副作用外，并根据第88条接受趋势报告；</w:t>
      </w:r>
    </w:p>
    <w:p w14:paraId="7F157B94">
      <w:pPr>
        <w:pStyle w:val="32"/>
        <w:numPr>
          <w:ilvl w:val="1"/>
          <w:numId w:val="87"/>
        </w:numPr>
        <w:tabs>
          <w:tab w:val="left" w:pos="1248"/>
        </w:tabs>
        <w:topLinePunct/>
        <w:snapToGrid w:val="0"/>
        <w:spacing w:beforeLines="25" w:line="300" w:lineRule="auto"/>
        <w:jc w:val="both"/>
        <w:rPr>
          <w:rFonts w:ascii="Times New Roman" w:hAnsi="Times New Roman"/>
          <w:kern w:val="2"/>
          <w:szCs w:val="21"/>
        </w:rPr>
      </w:pPr>
      <w:bookmarkStart w:id="79" w:name="(b)_any_field_safety_corrective_action_i"/>
      <w:bookmarkEnd w:id="79"/>
      <w:r>
        <w:rPr>
          <w:rFonts w:ascii="Times New Roman" w:hAnsi="Times New Roman"/>
          <w:kern w:val="2"/>
          <w:szCs w:val="21"/>
        </w:rPr>
        <w:t>任何有关欧盟市场上销售器械的现场安全纠正措施，若现场安全纠正措施的原因并不仅限于在第三类国家销售的器械，则包括第三国对在欧盟市场上合法提供的器械所采取的任何现场安全纠正措施。</w:t>
      </w:r>
    </w:p>
    <w:p w14:paraId="5764B235">
      <w:pPr>
        <w:pStyle w:val="32"/>
        <w:tabs>
          <w:tab w:val="left" w:pos="1248"/>
        </w:tabs>
        <w:topLinePunct/>
        <w:snapToGrid w:val="0"/>
        <w:spacing w:beforeLines="25" w:line="300" w:lineRule="auto"/>
        <w:ind w:left="681"/>
        <w:jc w:val="both"/>
        <w:rPr>
          <w:rFonts w:ascii="Times New Roman" w:hAnsi="Times New Roman"/>
          <w:kern w:val="2"/>
          <w:szCs w:val="21"/>
        </w:rPr>
      </w:pPr>
      <w:r>
        <w:rPr>
          <w:rFonts w:ascii="Times New Roman" w:hAnsi="Times New Roman"/>
          <w:kern w:val="2"/>
          <w:szCs w:val="21"/>
        </w:rPr>
        <w:t>应通过第92条中所述的电子系统提交第一子段中所述的报告。</w:t>
      </w:r>
    </w:p>
    <w:p w14:paraId="73EA3316">
      <w:pPr>
        <w:pStyle w:val="8"/>
        <w:tabs>
          <w:tab w:val="left" w:pos="681"/>
        </w:tabs>
        <w:topLinePunct/>
        <w:snapToGrid w:val="0"/>
        <w:spacing w:beforeLines="25" w:line="300" w:lineRule="auto"/>
        <w:ind w:hanging="568"/>
        <w:jc w:val="both"/>
        <w:rPr>
          <w:kern w:val="2"/>
          <w:szCs w:val="21"/>
        </w:rPr>
      </w:pPr>
      <w:bookmarkStart w:id="80" w:name="1a._As_a_general_rule,_the_time_period_f"/>
      <w:bookmarkEnd w:id="80"/>
      <w:r>
        <w:rPr>
          <w:kern w:val="2"/>
          <w:szCs w:val="21"/>
        </w:rPr>
        <w:t>2.</w:t>
      </w:r>
      <w:r>
        <w:rPr>
          <w:kern w:val="2"/>
          <w:szCs w:val="21"/>
        </w:rPr>
        <w:tab/>
      </w:r>
      <w:r>
        <w:rPr>
          <w:kern w:val="2"/>
          <w:szCs w:val="21"/>
        </w:rPr>
        <w:t>作为一般规则，第1段中所述报告的时间段应考虑到严重事件的严重性。</w:t>
      </w:r>
    </w:p>
    <w:p w14:paraId="6BF4044D">
      <w:pPr>
        <w:pStyle w:val="8"/>
        <w:tabs>
          <w:tab w:val="left" w:pos="681"/>
        </w:tabs>
        <w:topLinePunct/>
        <w:snapToGrid w:val="0"/>
        <w:spacing w:beforeLines="25" w:line="300" w:lineRule="auto"/>
        <w:ind w:hanging="568"/>
        <w:jc w:val="both"/>
        <w:rPr>
          <w:kern w:val="2"/>
          <w:szCs w:val="21"/>
        </w:rPr>
      </w:pPr>
      <w:bookmarkStart w:id="81" w:name="1b._Manufacturers_shall_report_any_serio"/>
      <w:bookmarkEnd w:id="81"/>
      <w:r>
        <w:rPr>
          <w:kern w:val="2"/>
          <w:szCs w:val="21"/>
        </w:rPr>
        <w:t>3.</w:t>
      </w:r>
      <w:r>
        <w:rPr>
          <w:kern w:val="2"/>
          <w:szCs w:val="21"/>
        </w:rPr>
        <w:tab/>
      </w:r>
      <w:r>
        <w:rPr>
          <w:kern w:val="2"/>
          <w:szCs w:val="21"/>
        </w:rPr>
        <w:t>制造商应在制造商与其器械建立了</w:t>
      </w:r>
      <w:r>
        <w:rPr>
          <w:rFonts w:hint="eastAsia"/>
          <w:kern w:val="2"/>
          <w:szCs w:val="21"/>
        </w:rPr>
        <w:t>事件之间</w:t>
      </w:r>
      <w:r>
        <w:rPr>
          <w:kern w:val="2"/>
          <w:szCs w:val="21"/>
        </w:rPr>
        <w:t>因果关系后或者发现这种因果关系合理时，立即报告第1段（a）</w:t>
      </w:r>
      <w:r>
        <w:rPr>
          <w:rFonts w:hint="eastAsia"/>
          <w:kern w:val="2"/>
          <w:szCs w:val="21"/>
        </w:rPr>
        <w:t>点</w:t>
      </w:r>
      <w:r>
        <w:rPr>
          <w:kern w:val="2"/>
          <w:szCs w:val="21"/>
        </w:rPr>
        <w:t>中所述的任何严重事件，这一时限不迟于其意识到严重事件后的15天。</w:t>
      </w:r>
    </w:p>
    <w:p w14:paraId="00E72412">
      <w:pPr>
        <w:pStyle w:val="8"/>
        <w:tabs>
          <w:tab w:val="left" w:pos="681"/>
        </w:tabs>
        <w:topLinePunct/>
        <w:snapToGrid w:val="0"/>
        <w:spacing w:beforeLines="25" w:line="300" w:lineRule="auto"/>
        <w:ind w:hanging="568"/>
        <w:jc w:val="both"/>
        <w:rPr>
          <w:kern w:val="2"/>
          <w:szCs w:val="21"/>
        </w:rPr>
      </w:pPr>
      <w:bookmarkStart w:id="82" w:name="1c._Notwithstanding_paragraph_1b,_in_cas"/>
      <w:bookmarkEnd w:id="82"/>
      <w:r>
        <w:rPr>
          <w:kern w:val="2"/>
          <w:szCs w:val="21"/>
        </w:rPr>
        <w:t>4.</w:t>
      </w:r>
      <w:r>
        <w:rPr>
          <w:kern w:val="2"/>
          <w:szCs w:val="21"/>
        </w:rPr>
        <w:tab/>
      </w:r>
      <w:r>
        <w:rPr>
          <w:kern w:val="2"/>
          <w:szCs w:val="21"/>
        </w:rPr>
        <w:t>尽管有第3段的规定，若出现严重的公共卫生事件，则应立即提供第1段中所述的报告，且不迟于制造商察觉到此威胁后2天。</w:t>
      </w:r>
    </w:p>
    <w:p w14:paraId="6F8420E3">
      <w:pPr>
        <w:pStyle w:val="8"/>
        <w:tabs>
          <w:tab w:val="left" w:pos="681"/>
        </w:tabs>
        <w:topLinePunct/>
        <w:snapToGrid w:val="0"/>
        <w:spacing w:beforeLines="25" w:line="300" w:lineRule="auto"/>
        <w:ind w:hanging="568"/>
        <w:jc w:val="both"/>
        <w:rPr>
          <w:kern w:val="2"/>
          <w:szCs w:val="21"/>
        </w:rPr>
      </w:pPr>
      <w:bookmarkStart w:id="83" w:name="1d._Notwithstanding_paragraph_1b,_in_cas"/>
      <w:bookmarkEnd w:id="83"/>
      <w:r>
        <w:rPr>
          <w:kern w:val="2"/>
          <w:szCs w:val="21"/>
        </w:rPr>
        <w:t>5.</w:t>
      </w:r>
      <w:r>
        <w:rPr>
          <w:kern w:val="2"/>
          <w:szCs w:val="21"/>
        </w:rPr>
        <w:tab/>
      </w:r>
      <w:r>
        <w:rPr>
          <w:kern w:val="2"/>
          <w:szCs w:val="21"/>
        </w:rPr>
        <w:t>尽管有第3段的规定，若出现人员死亡或健康状况意外严重恶化，该报告应在制造商确认或可疑器械与严重事件之间的因果关系后立即提供，且不迟于制造商察觉到该严重事件之日后10天。</w:t>
      </w:r>
    </w:p>
    <w:p w14:paraId="6E9F7CF1">
      <w:pPr>
        <w:pStyle w:val="8"/>
        <w:tabs>
          <w:tab w:val="left" w:pos="681"/>
        </w:tabs>
        <w:topLinePunct/>
        <w:snapToGrid w:val="0"/>
        <w:spacing w:beforeLines="25" w:line="300" w:lineRule="auto"/>
        <w:ind w:hanging="568"/>
        <w:jc w:val="both"/>
        <w:rPr>
          <w:kern w:val="2"/>
          <w:szCs w:val="21"/>
        </w:rPr>
      </w:pPr>
      <w:bookmarkStart w:id="84" w:name="1e._Where_necessary_to_ensure_timely_rep"/>
      <w:bookmarkEnd w:id="84"/>
      <w:r>
        <w:rPr>
          <w:kern w:val="2"/>
          <w:szCs w:val="21"/>
        </w:rPr>
        <w:t>6.</w:t>
      </w:r>
      <w:r>
        <w:rPr>
          <w:kern w:val="2"/>
          <w:szCs w:val="21"/>
        </w:rPr>
        <w:tab/>
      </w:r>
      <w:r>
        <w:rPr>
          <w:kern w:val="2"/>
          <w:szCs w:val="21"/>
        </w:rPr>
        <w:t>必要时，为确保及时报告，制造商可先提交初步的不完整报告，后续提交完整报告。</w:t>
      </w:r>
    </w:p>
    <w:p w14:paraId="60E41CF3">
      <w:pPr>
        <w:pStyle w:val="8"/>
        <w:tabs>
          <w:tab w:val="left" w:pos="681"/>
        </w:tabs>
        <w:topLinePunct/>
        <w:snapToGrid w:val="0"/>
        <w:spacing w:beforeLines="25" w:line="300" w:lineRule="auto"/>
        <w:ind w:hanging="568"/>
        <w:jc w:val="both"/>
        <w:rPr>
          <w:kern w:val="2"/>
          <w:szCs w:val="21"/>
        </w:rPr>
      </w:pPr>
      <w:bookmarkStart w:id="85" w:name="1f._If_after_becoming_aware_of_a_potenti"/>
      <w:bookmarkEnd w:id="85"/>
      <w:r>
        <w:rPr>
          <w:kern w:val="2"/>
          <w:szCs w:val="21"/>
        </w:rPr>
        <w:t>7.</w:t>
      </w:r>
      <w:r>
        <w:rPr>
          <w:kern w:val="2"/>
          <w:szCs w:val="21"/>
        </w:rPr>
        <w:tab/>
      </w:r>
      <w:r>
        <w:rPr>
          <w:kern w:val="2"/>
          <w:szCs w:val="21"/>
        </w:rPr>
        <w:t>若在察觉到潜在可报告事件之后，制造商仍然存在不确定事件是否可报告，制造商应根据第2至5段规定所需的时间框架内提交报告。</w:t>
      </w:r>
    </w:p>
    <w:p w14:paraId="4E4C270C">
      <w:pPr>
        <w:pStyle w:val="8"/>
        <w:tabs>
          <w:tab w:val="left" w:pos="681"/>
        </w:tabs>
        <w:topLinePunct/>
        <w:snapToGrid w:val="0"/>
        <w:spacing w:beforeLines="25" w:line="300" w:lineRule="auto"/>
        <w:ind w:hanging="568"/>
        <w:jc w:val="both"/>
        <w:rPr>
          <w:kern w:val="2"/>
          <w:szCs w:val="21"/>
        </w:rPr>
      </w:pPr>
      <w:bookmarkStart w:id="86" w:name="1g._Except_in_cases_of_urgency_where_the"/>
      <w:bookmarkEnd w:id="86"/>
      <w:r>
        <w:rPr>
          <w:kern w:val="2"/>
          <w:szCs w:val="21"/>
        </w:rPr>
        <w:t>8.</w:t>
      </w:r>
      <w:r>
        <w:rPr>
          <w:kern w:val="2"/>
          <w:szCs w:val="21"/>
        </w:rPr>
        <w:tab/>
      </w:r>
      <w:r>
        <w:rPr>
          <w:kern w:val="2"/>
          <w:szCs w:val="21"/>
        </w:rPr>
        <w:t>除非紧急情况下制造商需要立即采取现场安全纠正措施，否则制造商应在报告第1段（b）点所述的现场安全纠正措施之后，采取现场安全纠正措施。</w:t>
      </w:r>
    </w:p>
    <w:p w14:paraId="111465D8">
      <w:pPr>
        <w:pStyle w:val="8"/>
        <w:tabs>
          <w:tab w:val="left" w:pos="681"/>
        </w:tabs>
        <w:topLinePunct/>
        <w:snapToGrid w:val="0"/>
        <w:spacing w:beforeLines="25" w:line="300" w:lineRule="auto"/>
        <w:ind w:hanging="568"/>
        <w:jc w:val="both"/>
        <w:rPr>
          <w:kern w:val="2"/>
          <w:szCs w:val="21"/>
        </w:rPr>
      </w:pPr>
      <w:r>
        <w:rPr>
          <w:kern w:val="2"/>
          <w:szCs w:val="21"/>
        </w:rPr>
        <w:t>9.</w:t>
      </w:r>
      <w:r>
        <w:rPr>
          <w:kern w:val="2"/>
          <w:szCs w:val="21"/>
        </w:rPr>
        <w:tab/>
      </w:r>
      <w:r>
        <w:rPr>
          <w:kern w:val="2"/>
          <w:szCs w:val="21"/>
        </w:rPr>
        <w:t>对于使用相同的器械或器械类型发生的类似严重事件，并且已经确定了根本原因或采取了现场安全纠正措施后，或者事故是常见且记录完好的，制造商可提供定期总结报告，而非个别严重事件，条件是第89（9）条所述的协调主管机构与第92（8）条（a）点所述主管机构咨询，同制造商商定定期总结报告的格式、内容和频率。若第92（8）条（a）和（b）点所述单一主管机构，则制造商可根据与主管机构的协议提供定期总结报告。</w:t>
      </w:r>
    </w:p>
    <w:p w14:paraId="66B6285A">
      <w:pPr>
        <w:pStyle w:val="8"/>
        <w:tabs>
          <w:tab w:val="left" w:pos="681"/>
        </w:tabs>
        <w:topLinePunct/>
        <w:snapToGrid w:val="0"/>
        <w:spacing w:beforeLines="25" w:line="300" w:lineRule="auto"/>
        <w:ind w:hanging="568"/>
        <w:jc w:val="both"/>
        <w:rPr>
          <w:kern w:val="2"/>
          <w:szCs w:val="21"/>
        </w:rPr>
      </w:pPr>
      <w:r>
        <w:rPr>
          <w:kern w:val="2"/>
          <w:szCs w:val="21"/>
        </w:rPr>
        <w:t>10.</w:t>
      </w:r>
      <w:r>
        <w:rPr>
          <w:kern w:val="2"/>
          <w:szCs w:val="21"/>
        </w:rPr>
        <w:tab/>
      </w:r>
      <w:r>
        <w:rPr>
          <w:kern w:val="2"/>
          <w:szCs w:val="21"/>
        </w:rPr>
        <w:t>成员国应采取适当措施，例如有针对性的宣传活动，以鼓励并使得医护专业人员、使用者和患者能够向其主管机构报告第1段（a）点所述的可疑严重事件。</w:t>
      </w:r>
    </w:p>
    <w:p w14:paraId="297FF10F">
      <w:pPr>
        <w:pStyle w:val="8"/>
        <w:tabs>
          <w:tab w:val="left" w:pos="681"/>
        </w:tabs>
        <w:topLinePunct/>
        <w:snapToGrid w:val="0"/>
        <w:spacing w:beforeLines="25" w:line="300" w:lineRule="auto"/>
        <w:ind w:left="680" w:leftChars="324" w:firstLine="0"/>
        <w:jc w:val="both"/>
        <w:rPr>
          <w:kern w:val="2"/>
          <w:szCs w:val="21"/>
        </w:rPr>
      </w:pPr>
      <w:r>
        <w:rPr>
          <w:kern w:val="2"/>
          <w:szCs w:val="21"/>
        </w:rPr>
        <w:t>主管机构应记录其在国家层面集中从健康护理人员、使用者和患者收到的报告。</w:t>
      </w:r>
    </w:p>
    <w:p w14:paraId="10CA8424">
      <w:pPr>
        <w:pStyle w:val="8"/>
        <w:tabs>
          <w:tab w:val="left" w:pos="681"/>
        </w:tabs>
        <w:topLinePunct/>
        <w:snapToGrid w:val="0"/>
        <w:spacing w:beforeLines="25" w:line="300" w:lineRule="auto"/>
        <w:ind w:left="680" w:leftChars="324" w:firstLine="0"/>
        <w:jc w:val="both"/>
        <w:rPr>
          <w:kern w:val="2"/>
          <w:szCs w:val="21"/>
        </w:rPr>
      </w:pPr>
    </w:p>
    <w:p w14:paraId="027A975F">
      <w:pPr>
        <w:pStyle w:val="8"/>
        <w:topLinePunct/>
        <w:snapToGrid w:val="0"/>
        <w:spacing w:beforeLines="25" w:line="300" w:lineRule="auto"/>
        <w:jc w:val="both"/>
        <w:rPr>
          <w:kern w:val="2"/>
          <w:szCs w:val="21"/>
        </w:rPr>
      </w:pPr>
      <w:r>
        <w:rPr>
          <w:kern w:val="2"/>
          <w:szCs w:val="21"/>
        </w:rPr>
        <w:t>11.</w:t>
      </w:r>
      <w:r>
        <w:rPr>
          <w:kern w:val="2"/>
          <w:szCs w:val="21"/>
        </w:rPr>
        <w:tab/>
      </w:r>
      <w:r>
        <w:rPr>
          <w:kern w:val="2"/>
          <w:szCs w:val="21"/>
        </w:rPr>
        <w:t>若成员国的主管机构获得此类报告，则它应采取必要步骤，确保立即向相关器械制造商通报从健康护理人员、使用者和患者收到第1段（a）点中所述的可疑严重事件。</w:t>
      </w:r>
    </w:p>
    <w:p w14:paraId="0E6AEFFA">
      <w:pPr>
        <w:pStyle w:val="8"/>
        <w:topLinePunct/>
        <w:snapToGrid w:val="0"/>
        <w:spacing w:beforeLines="25" w:line="300" w:lineRule="auto"/>
        <w:ind w:firstLine="0"/>
        <w:jc w:val="both"/>
        <w:rPr>
          <w:kern w:val="2"/>
          <w:szCs w:val="21"/>
        </w:rPr>
      </w:pPr>
      <w:bookmarkStart w:id="87" w:name="The_manufacturer_of_the_device_concerned"/>
      <w:bookmarkEnd w:id="87"/>
      <w:r>
        <w:rPr>
          <w:kern w:val="2"/>
          <w:szCs w:val="21"/>
        </w:rPr>
        <w:t>若有关器械的制造商认为该</w:t>
      </w:r>
      <w:r>
        <w:rPr>
          <w:rFonts w:hint="eastAsia"/>
          <w:kern w:val="2"/>
          <w:szCs w:val="21"/>
        </w:rPr>
        <w:t>事件</w:t>
      </w:r>
      <w:r>
        <w:rPr>
          <w:kern w:val="2"/>
          <w:szCs w:val="21"/>
        </w:rPr>
        <w:t>为严重</w:t>
      </w:r>
      <w:r>
        <w:rPr>
          <w:rFonts w:hint="eastAsia"/>
          <w:kern w:val="2"/>
          <w:szCs w:val="21"/>
        </w:rPr>
        <w:t>事件</w:t>
      </w:r>
      <w:r>
        <w:rPr>
          <w:kern w:val="2"/>
          <w:szCs w:val="21"/>
        </w:rPr>
        <w:t>，其应根据本条第1段至第5段有关严重事件的规定向发生严重事件的成员国主管机构提交关于严重事件的报告，并应适当跟踪并根据第89条行动；若制造商认为事故</w:t>
      </w:r>
      <w:r>
        <w:rPr>
          <w:rFonts w:hint="eastAsia"/>
          <w:kern w:val="2"/>
          <w:szCs w:val="21"/>
        </w:rPr>
        <w:t>非</w:t>
      </w:r>
      <w:r>
        <w:rPr>
          <w:kern w:val="2"/>
          <w:szCs w:val="21"/>
        </w:rPr>
        <w:t>严重事件或属于预期不良副作用，则应根据第88条由趋势报告涵盖，</w:t>
      </w:r>
      <w:r>
        <w:rPr>
          <w:rFonts w:hint="eastAsia"/>
          <w:kern w:val="2"/>
          <w:szCs w:val="21"/>
        </w:rPr>
        <w:t>并</w:t>
      </w:r>
      <w:r>
        <w:rPr>
          <w:kern w:val="2"/>
          <w:szCs w:val="21"/>
        </w:rPr>
        <w:t>提供解释性说明。</w:t>
      </w:r>
    </w:p>
    <w:p w14:paraId="4054AA1C">
      <w:pPr>
        <w:pStyle w:val="8"/>
        <w:topLinePunct/>
        <w:snapToGrid w:val="0"/>
        <w:spacing w:beforeLines="25" w:line="300" w:lineRule="auto"/>
        <w:ind w:firstLine="0"/>
        <w:jc w:val="both"/>
        <w:rPr>
          <w:kern w:val="2"/>
          <w:szCs w:val="21"/>
        </w:rPr>
      </w:pPr>
      <w:r>
        <w:rPr>
          <w:kern w:val="2"/>
          <w:szCs w:val="21"/>
        </w:rPr>
        <w:t>若主管机构不同意解释性说明的结论，可能要求制造商根据本条第1至5段提供报告，确保根据第89条采取适当的跟踪措施。</w:t>
      </w:r>
    </w:p>
    <w:p w14:paraId="3825C481">
      <w:pPr>
        <w:snapToGrid w:val="0"/>
        <w:spacing w:beforeLines="25" w:line="300" w:lineRule="auto"/>
        <w:ind w:left="196"/>
        <w:jc w:val="center"/>
        <w:rPr>
          <w:rFonts w:ascii="Times New Roman" w:hAnsi="Times New Roman"/>
          <w:i/>
          <w:kern w:val="2"/>
          <w:szCs w:val="21"/>
        </w:rPr>
      </w:pPr>
      <w:bookmarkStart w:id="88" w:name="Article_61a_Trend_reporting"/>
      <w:bookmarkEnd w:id="88"/>
    </w:p>
    <w:p w14:paraId="7074EC03">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第88条</w:t>
      </w:r>
    </w:p>
    <w:p w14:paraId="4BF09DA2">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趋势报告</w:t>
      </w:r>
    </w:p>
    <w:p w14:paraId="0092D4CB">
      <w:pPr>
        <w:pStyle w:val="8"/>
        <w:tabs>
          <w:tab w:val="left" w:pos="681"/>
        </w:tabs>
        <w:topLinePunct/>
        <w:snapToGrid w:val="0"/>
        <w:spacing w:beforeLines="25" w:line="300" w:lineRule="auto"/>
        <w:ind w:hanging="568"/>
        <w:jc w:val="both"/>
        <w:rPr>
          <w:kern w:val="2"/>
          <w:szCs w:val="21"/>
        </w:rPr>
      </w:pPr>
      <w:r>
        <w:rPr>
          <w:kern w:val="2"/>
          <w:szCs w:val="21"/>
        </w:rPr>
        <w:t>1.</w:t>
      </w:r>
      <w:r>
        <w:rPr>
          <w:kern w:val="2"/>
          <w:szCs w:val="21"/>
        </w:rPr>
        <w:tab/>
      </w:r>
      <w:r>
        <w:rPr>
          <w:kern w:val="2"/>
          <w:szCs w:val="21"/>
        </w:rPr>
        <w:t>制造商应通过第92条所述的电子系统报告</w:t>
      </w:r>
      <w:r>
        <w:rPr>
          <w:rFonts w:hint="eastAsia"/>
          <w:kern w:val="2"/>
          <w:szCs w:val="21"/>
        </w:rPr>
        <w:t>非</w:t>
      </w:r>
      <w:r>
        <w:rPr>
          <w:kern w:val="2"/>
          <w:szCs w:val="21"/>
        </w:rPr>
        <w:t>严重事件或预期不良副作用事件在统计方面显著增加的频率或严重程度，这些事件可能对附录I第1节和第5节中所述的风险 - 收益分析产生重大影响，在衡量预期收益时，事件已经导致或可能导致对患者、使用者或其他人的健康或安全造成不可接受的风险。与技术文件中规定的特定时间段内有关器械或类别或器械组有关的此类事故的预计频率或严重程度</w:t>
      </w:r>
      <w:r>
        <w:rPr>
          <w:rFonts w:hint="eastAsia"/>
          <w:kern w:val="2"/>
          <w:szCs w:val="21"/>
        </w:rPr>
        <w:t>以及</w:t>
      </w:r>
      <w:r>
        <w:rPr>
          <w:kern w:val="2"/>
          <w:szCs w:val="21"/>
        </w:rPr>
        <w:t>产品信息。</w:t>
      </w:r>
    </w:p>
    <w:p w14:paraId="7CE90CB7">
      <w:pPr>
        <w:pStyle w:val="8"/>
        <w:topLinePunct/>
        <w:snapToGrid w:val="0"/>
        <w:spacing w:beforeLines="25" w:line="300" w:lineRule="auto"/>
        <w:ind w:firstLine="0"/>
        <w:jc w:val="both"/>
        <w:rPr>
          <w:kern w:val="2"/>
          <w:szCs w:val="21"/>
        </w:rPr>
      </w:pPr>
      <w:r>
        <w:rPr>
          <w:kern w:val="2"/>
          <w:szCs w:val="21"/>
        </w:rPr>
        <w:t>制造商应明确如何管理这些在第一子段中所述的事故和用于确定这些事故的频率或严重程度，以及观察期间在根据第84条的上市后监管计划中的任何在统计方面显著增加的方法。</w:t>
      </w:r>
    </w:p>
    <w:p w14:paraId="0CB34CBF">
      <w:pPr>
        <w:pStyle w:val="8"/>
        <w:tabs>
          <w:tab w:val="left" w:pos="681"/>
        </w:tabs>
        <w:topLinePunct/>
        <w:snapToGrid w:val="0"/>
        <w:spacing w:beforeLines="25" w:line="300" w:lineRule="auto"/>
        <w:ind w:hanging="568"/>
        <w:jc w:val="both"/>
        <w:rPr>
          <w:kern w:val="2"/>
          <w:szCs w:val="21"/>
        </w:rPr>
      </w:pPr>
      <w:r>
        <w:rPr>
          <w:rFonts w:hint="eastAsia"/>
          <w:kern w:val="2"/>
          <w:szCs w:val="21"/>
        </w:rPr>
        <w:t>2</w:t>
      </w:r>
      <w:r>
        <w:rPr>
          <w:kern w:val="2"/>
          <w:szCs w:val="21"/>
        </w:rPr>
        <w:t>.</w:t>
      </w:r>
      <w:r>
        <w:rPr>
          <w:rFonts w:hint="eastAsia"/>
          <w:kern w:val="2"/>
          <w:szCs w:val="21"/>
        </w:rPr>
        <w:tab/>
      </w:r>
      <w:r>
        <w:rPr>
          <w:kern w:val="2"/>
          <w:szCs w:val="21"/>
        </w:rPr>
        <w:t>主管机构可对第1段所述的趋势报告自己进行评估，并要求制造商根据本法规定采取适当措施，确保保护公众健康和患者安全。各主管机构应向委员会、其他主管机构以及颁发证书的公告机构，通知此类评估结果和采取的此类措施。</w:t>
      </w:r>
    </w:p>
    <w:p w14:paraId="1CC13A1F">
      <w:pPr>
        <w:snapToGrid w:val="0"/>
        <w:spacing w:beforeLines="25" w:line="300" w:lineRule="auto"/>
        <w:ind w:left="196"/>
        <w:jc w:val="center"/>
        <w:rPr>
          <w:rFonts w:ascii="Times New Roman" w:hAnsi="Times New Roman"/>
          <w:i/>
          <w:kern w:val="2"/>
          <w:szCs w:val="21"/>
        </w:rPr>
      </w:pPr>
    </w:p>
    <w:p w14:paraId="4B82C46D">
      <w:pPr>
        <w:snapToGrid w:val="0"/>
        <w:spacing w:beforeLines="25" w:line="300" w:lineRule="auto"/>
        <w:ind w:left="196"/>
        <w:jc w:val="center"/>
        <w:rPr>
          <w:rStyle w:val="48"/>
          <w:b/>
          <w:szCs w:val="21"/>
        </w:rPr>
      </w:pPr>
      <w:r>
        <w:rPr>
          <w:rFonts w:ascii="Times New Roman" w:hAnsi="Times New Roman"/>
          <w:i/>
          <w:kern w:val="2"/>
          <w:szCs w:val="21"/>
        </w:rPr>
        <w:t>第89条</w:t>
      </w:r>
    </w:p>
    <w:p w14:paraId="2823E0C2">
      <w:pPr>
        <w:snapToGrid w:val="0"/>
        <w:spacing w:beforeLines="25" w:line="300" w:lineRule="auto"/>
        <w:ind w:left="195"/>
        <w:jc w:val="center"/>
        <w:rPr>
          <w:rStyle w:val="48"/>
          <w:b/>
          <w:szCs w:val="21"/>
        </w:rPr>
      </w:pPr>
      <w:r>
        <w:rPr>
          <w:rFonts w:ascii="Times New Roman" w:hAnsi="Times New Roman"/>
          <w:b/>
          <w:kern w:val="2"/>
          <w:szCs w:val="21"/>
        </w:rPr>
        <w:t>严重事件分析和现场安全纠正措施</w:t>
      </w:r>
    </w:p>
    <w:p w14:paraId="16C53722">
      <w:pPr>
        <w:pStyle w:val="8"/>
        <w:tabs>
          <w:tab w:val="left" w:pos="681"/>
        </w:tabs>
        <w:topLinePunct/>
        <w:snapToGrid w:val="0"/>
        <w:spacing w:beforeLines="25" w:line="300" w:lineRule="auto"/>
        <w:ind w:hanging="568"/>
        <w:jc w:val="both"/>
        <w:rPr>
          <w:kern w:val="2"/>
          <w:szCs w:val="21"/>
        </w:rPr>
      </w:pPr>
      <w:r>
        <w:rPr>
          <w:rFonts w:hint="eastAsia"/>
          <w:kern w:val="2"/>
          <w:szCs w:val="21"/>
        </w:rPr>
        <w:t>1.</w:t>
      </w:r>
      <w:r>
        <w:rPr>
          <w:rFonts w:hint="eastAsia"/>
          <w:kern w:val="2"/>
          <w:szCs w:val="21"/>
        </w:rPr>
        <w:tab/>
      </w:r>
      <w:r>
        <w:rPr>
          <w:kern w:val="2"/>
          <w:szCs w:val="21"/>
        </w:rPr>
        <w:t>在根据第87(1)条报告严重事件后，制造商应立即对相关严重事件和相关器械进行必要的研究。包括对事件和现场安全纠正措施进行风险评估，并酌情考虑本条第3段中所列的标准。</w:t>
      </w:r>
    </w:p>
    <w:p w14:paraId="3A86431A">
      <w:pPr>
        <w:pStyle w:val="8"/>
        <w:topLinePunct/>
        <w:snapToGrid w:val="0"/>
        <w:spacing w:beforeLines="25" w:line="300" w:lineRule="auto"/>
        <w:ind w:firstLine="0"/>
        <w:jc w:val="both"/>
        <w:rPr>
          <w:kern w:val="2"/>
          <w:szCs w:val="21"/>
        </w:rPr>
      </w:pPr>
      <w:r>
        <w:rPr>
          <w:kern w:val="2"/>
          <w:szCs w:val="21"/>
        </w:rPr>
        <w:t>在将此类措施通知主管机构之前，制造商应在第一子段所述的研究期间与主管机构以及相关的公告机构（适当时）合作，并且不得执行任何涉及更改器械或相关批次样品的研究，因为可能会影响后续对事件原因的评估。</w:t>
      </w:r>
    </w:p>
    <w:p w14:paraId="4E5AC4F0">
      <w:pPr>
        <w:pStyle w:val="8"/>
        <w:tabs>
          <w:tab w:val="left" w:pos="681"/>
        </w:tabs>
        <w:topLinePunct/>
        <w:snapToGrid w:val="0"/>
        <w:spacing w:beforeLines="25" w:line="300" w:lineRule="auto"/>
        <w:ind w:hanging="568"/>
        <w:jc w:val="both"/>
        <w:rPr>
          <w:kern w:val="2"/>
          <w:szCs w:val="21"/>
        </w:rPr>
      </w:pPr>
      <w:r>
        <w:rPr>
          <w:kern w:val="2"/>
          <w:szCs w:val="21"/>
        </w:rPr>
        <w:t>2.</w:t>
      </w:r>
      <w:r>
        <w:rPr>
          <w:kern w:val="2"/>
          <w:szCs w:val="21"/>
        </w:rPr>
        <w:tab/>
      </w:r>
      <w:r>
        <w:rPr>
          <w:kern w:val="2"/>
          <w:szCs w:val="21"/>
        </w:rPr>
        <w:t>成员国应采取必要措施，确保任何有关在其境内出现严重事件的信息或在其境内已经或将要采取的现场安全纠正措施，</w:t>
      </w:r>
      <w:r>
        <w:rPr>
          <w:rFonts w:hint="eastAsia"/>
          <w:kern w:val="2"/>
          <w:szCs w:val="21"/>
        </w:rPr>
        <w:t>且应</w:t>
      </w:r>
      <w:r>
        <w:rPr>
          <w:kern w:val="2"/>
          <w:szCs w:val="21"/>
        </w:rPr>
        <w:t>根据其</w:t>
      </w:r>
      <w:r>
        <w:rPr>
          <w:rFonts w:hint="eastAsia"/>
          <w:kern w:val="2"/>
          <w:szCs w:val="21"/>
        </w:rPr>
        <w:t>所知以及</w:t>
      </w:r>
      <w:r>
        <w:rPr>
          <w:kern w:val="2"/>
          <w:szCs w:val="21"/>
        </w:rPr>
        <w:t>按照第87条，在国家层面由其主管机构与制造商（如可能）、相关公告机构（适当时）一起进行集中评估。</w:t>
      </w:r>
    </w:p>
    <w:p w14:paraId="2EE41DDF">
      <w:pPr>
        <w:pStyle w:val="8"/>
        <w:tabs>
          <w:tab w:val="left" w:pos="681"/>
        </w:tabs>
        <w:topLinePunct/>
        <w:snapToGrid w:val="0"/>
        <w:spacing w:beforeLines="40" w:line="312" w:lineRule="auto"/>
        <w:ind w:hanging="568"/>
        <w:jc w:val="both"/>
        <w:rPr>
          <w:kern w:val="2"/>
          <w:szCs w:val="21"/>
        </w:rPr>
      </w:pPr>
      <w:r>
        <w:rPr>
          <w:kern w:val="2"/>
          <w:szCs w:val="21"/>
        </w:rPr>
        <w:br w:type="page"/>
      </w:r>
      <w:r>
        <w:rPr>
          <w:kern w:val="2"/>
          <w:szCs w:val="21"/>
        </w:rPr>
        <w:t>3.</w:t>
      </w:r>
      <w:r>
        <w:rPr>
          <w:kern w:val="2"/>
          <w:szCs w:val="21"/>
        </w:rPr>
        <w:tab/>
      </w:r>
      <w:r>
        <w:rPr>
          <w:kern w:val="2"/>
          <w:szCs w:val="21"/>
        </w:rPr>
        <w:t>在第2段所述的评估范围内，主管机构应评估报告的严重事件</w:t>
      </w:r>
      <w:r>
        <w:rPr>
          <w:rFonts w:hint="eastAsia"/>
          <w:kern w:val="2"/>
          <w:szCs w:val="21"/>
        </w:rPr>
        <w:t>，并</w:t>
      </w:r>
      <w:r>
        <w:rPr>
          <w:kern w:val="2"/>
          <w:szCs w:val="21"/>
        </w:rPr>
        <w:t>评估任何相关现场安全纠正措施所产生的风险，同时考虑保护公共卫生和标准，如因果关系、可检测性和复发概率问题、器械的使用频率、直接或间接伤害的发生概率和严重性、器械的临床受益、预期和潜在使用者以及受影响的人群。主管机构同时还应评估制造商设想或采取现场安全纠正措施的适当性，对任何其他纠正措施的需求及其种类，特别应考虑到附录I所规定的本质安全原则。</w:t>
      </w:r>
    </w:p>
    <w:p w14:paraId="1D734361">
      <w:pPr>
        <w:pStyle w:val="8"/>
        <w:topLinePunct/>
        <w:snapToGrid w:val="0"/>
        <w:spacing w:beforeLines="40" w:line="312" w:lineRule="auto"/>
        <w:ind w:firstLine="0"/>
        <w:jc w:val="both"/>
        <w:rPr>
          <w:kern w:val="2"/>
          <w:szCs w:val="21"/>
        </w:rPr>
      </w:pPr>
      <w:r>
        <w:rPr>
          <w:kern w:val="2"/>
          <w:szCs w:val="21"/>
        </w:rPr>
        <w:t>根据</w:t>
      </w:r>
      <w:r>
        <w:rPr>
          <w:rFonts w:hint="eastAsia"/>
          <w:kern w:val="2"/>
          <w:szCs w:val="21"/>
        </w:rPr>
        <w:t>国家</w:t>
      </w:r>
      <w:r>
        <w:rPr>
          <w:kern w:val="2"/>
          <w:szCs w:val="21"/>
        </w:rPr>
        <w:t>主管机构的要求，制造商应提供风险评估所需的所有文件。</w:t>
      </w:r>
    </w:p>
    <w:p w14:paraId="61C3B521">
      <w:pPr>
        <w:pStyle w:val="8"/>
        <w:tabs>
          <w:tab w:val="left" w:pos="681"/>
        </w:tabs>
        <w:topLinePunct/>
        <w:snapToGrid w:val="0"/>
        <w:spacing w:beforeLines="40" w:line="312" w:lineRule="auto"/>
        <w:ind w:hanging="568"/>
        <w:jc w:val="both"/>
        <w:rPr>
          <w:kern w:val="2"/>
          <w:szCs w:val="21"/>
        </w:rPr>
      </w:pPr>
      <w:r>
        <w:rPr>
          <w:kern w:val="2"/>
          <w:szCs w:val="21"/>
        </w:rPr>
        <w:t>4.</w:t>
      </w:r>
      <w:r>
        <w:rPr>
          <w:kern w:val="2"/>
          <w:szCs w:val="21"/>
        </w:rPr>
        <w:tab/>
      </w:r>
      <w:r>
        <w:rPr>
          <w:kern w:val="2"/>
          <w:szCs w:val="21"/>
        </w:rPr>
        <w:t>主管机构应监控制造商对严重事件的研究。</w:t>
      </w:r>
    </w:p>
    <w:p w14:paraId="7A5A2D1B">
      <w:pPr>
        <w:pStyle w:val="8"/>
        <w:topLinePunct/>
        <w:snapToGrid w:val="0"/>
        <w:spacing w:beforeLines="40" w:line="312" w:lineRule="auto"/>
        <w:ind w:firstLine="0"/>
        <w:jc w:val="both"/>
        <w:rPr>
          <w:kern w:val="2"/>
          <w:szCs w:val="21"/>
        </w:rPr>
      </w:pPr>
      <w:r>
        <w:rPr>
          <w:kern w:val="2"/>
          <w:szCs w:val="21"/>
        </w:rPr>
        <w:t>必要时，主管机构可干预制造商的研究或独立进行研究。</w:t>
      </w:r>
    </w:p>
    <w:p w14:paraId="2747835C">
      <w:pPr>
        <w:pStyle w:val="8"/>
        <w:tabs>
          <w:tab w:val="left" w:pos="681"/>
        </w:tabs>
        <w:topLinePunct/>
        <w:snapToGrid w:val="0"/>
        <w:spacing w:beforeLines="40" w:line="312" w:lineRule="auto"/>
        <w:ind w:hanging="568"/>
        <w:jc w:val="both"/>
        <w:rPr>
          <w:kern w:val="2"/>
          <w:szCs w:val="21"/>
        </w:rPr>
      </w:pPr>
      <w:r>
        <w:rPr>
          <w:kern w:val="2"/>
          <w:szCs w:val="21"/>
        </w:rPr>
        <w:t>5.</w:t>
      </w:r>
      <w:r>
        <w:rPr>
          <w:kern w:val="2"/>
          <w:szCs w:val="21"/>
        </w:rPr>
        <w:tab/>
      </w:r>
      <w:r>
        <w:rPr>
          <w:kern w:val="2"/>
          <w:szCs w:val="21"/>
        </w:rPr>
        <w:t>制造商应通过第92条所所述的电子系统，向主管机构提供陈述其研究结果的最终报告。该报告应列出结论，以及何时应采取纠正措施。</w:t>
      </w:r>
    </w:p>
    <w:p w14:paraId="4D416259">
      <w:pPr>
        <w:pStyle w:val="8"/>
        <w:tabs>
          <w:tab w:val="left" w:pos="681"/>
        </w:tabs>
        <w:topLinePunct/>
        <w:snapToGrid w:val="0"/>
        <w:spacing w:beforeLines="40" w:line="312" w:lineRule="auto"/>
        <w:ind w:hanging="568"/>
        <w:jc w:val="both"/>
        <w:rPr>
          <w:kern w:val="2"/>
          <w:szCs w:val="21"/>
        </w:rPr>
      </w:pPr>
      <w:r>
        <w:rPr>
          <w:kern w:val="2"/>
          <w:szCs w:val="21"/>
        </w:rPr>
        <w:t>6.</w:t>
      </w:r>
      <w:r>
        <w:rPr>
          <w:kern w:val="2"/>
          <w:szCs w:val="21"/>
        </w:rPr>
        <w:tab/>
      </w:r>
      <w:r>
        <w:rPr>
          <w:kern w:val="2"/>
          <w:szCs w:val="21"/>
        </w:rPr>
        <w:t>对于第1(8)条第一子段所述器械，若严重事件或现场安全纠正措施可能与一种物质相关，该物质若单独使用，可被视作一种药品，评估主管机构或本条第9段所述的协调主管机构（取决于该严重事件或现场安全纠正措施第52（9）条下物质发布的科学意见）应通知</w:t>
      </w:r>
      <w:r>
        <w:rPr>
          <w:rFonts w:hint="eastAsia"/>
          <w:kern w:val="2"/>
          <w:szCs w:val="21"/>
        </w:rPr>
        <w:t>国家</w:t>
      </w:r>
      <w:r>
        <w:rPr>
          <w:kern w:val="2"/>
          <w:szCs w:val="21"/>
        </w:rPr>
        <w:t>主管机构或EMA。</w:t>
      </w:r>
    </w:p>
    <w:p w14:paraId="64007ABD">
      <w:pPr>
        <w:pStyle w:val="8"/>
        <w:topLinePunct/>
        <w:snapToGrid w:val="0"/>
        <w:spacing w:beforeLines="40" w:line="312" w:lineRule="auto"/>
        <w:ind w:left="638" w:leftChars="304" w:firstLine="0"/>
        <w:jc w:val="both"/>
        <w:rPr>
          <w:kern w:val="2"/>
          <w:szCs w:val="21"/>
        </w:rPr>
      </w:pPr>
      <w:r>
        <w:rPr>
          <w:kern w:val="2"/>
          <w:szCs w:val="21"/>
        </w:rPr>
        <w:t>在本法规根据第1(6)条（g）涵盖器械的情况下，以及可能与用于生产器械的人体组织或细胞衍生物有关的严重事件或现场安全纠正措施，及</w:t>
      </w:r>
      <w:r>
        <w:rPr>
          <w:rFonts w:hint="eastAsia"/>
          <w:kern w:val="2"/>
          <w:szCs w:val="21"/>
        </w:rPr>
        <w:t>器械</w:t>
      </w:r>
      <w:r>
        <w:rPr>
          <w:kern w:val="2"/>
          <w:szCs w:val="21"/>
        </w:rPr>
        <w:t>未能遵守第1（10）法规的情况下，本条第9段所述的主管机构或协调主管机构应通知根据第52（10）条由公告机构咨询的人体组织和细胞的主管机构。</w:t>
      </w:r>
    </w:p>
    <w:p w14:paraId="31B3B972">
      <w:pPr>
        <w:pStyle w:val="32"/>
        <w:numPr>
          <w:ilvl w:val="0"/>
          <w:numId w:val="82"/>
        </w:numPr>
        <w:tabs>
          <w:tab w:val="left" w:pos="682"/>
        </w:tabs>
        <w:topLinePunct/>
        <w:snapToGrid w:val="0"/>
        <w:spacing w:beforeLines="40" w:line="312" w:lineRule="auto"/>
        <w:jc w:val="both"/>
        <w:rPr>
          <w:rFonts w:ascii="Times New Roman" w:hAnsi="Times New Roman"/>
          <w:kern w:val="2"/>
          <w:szCs w:val="21"/>
        </w:rPr>
      </w:pPr>
      <w:r>
        <w:rPr>
          <w:rFonts w:ascii="Times New Roman" w:hAnsi="Times New Roman"/>
          <w:kern w:val="2"/>
          <w:szCs w:val="21"/>
        </w:rPr>
        <w:t>在根据本条第3段进行评估后，评估主管机构应通过第92条所述的电子系统，立即通知其他主管机构制造商或施加于其采取或设想的纠正行动，以尽量减少严重事件复发的风险，包括关于潜在事件和评估结果的信息。</w:t>
      </w:r>
    </w:p>
    <w:p w14:paraId="3EEE04BA">
      <w:pPr>
        <w:pStyle w:val="32"/>
        <w:numPr>
          <w:ilvl w:val="0"/>
          <w:numId w:val="82"/>
        </w:numPr>
        <w:tabs>
          <w:tab w:val="left" w:pos="682"/>
        </w:tabs>
        <w:topLinePunct/>
        <w:snapToGrid w:val="0"/>
        <w:spacing w:beforeLines="40" w:line="312" w:lineRule="auto"/>
        <w:ind w:hanging="567"/>
        <w:jc w:val="both"/>
        <w:rPr>
          <w:rFonts w:ascii="Times New Roman" w:hAnsi="Times New Roman"/>
          <w:kern w:val="2"/>
          <w:szCs w:val="21"/>
        </w:rPr>
      </w:pPr>
      <w:r>
        <w:rPr>
          <w:rFonts w:ascii="Times New Roman" w:hAnsi="Times New Roman"/>
          <w:kern w:val="2"/>
          <w:szCs w:val="21"/>
        </w:rPr>
        <w:t>制造商应使用现场安全通告，及时提请有关器械使用者注意将有关现场安全纠正措施的信息。现场安全通告应</w:t>
      </w:r>
      <w:r>
        <w:rPr>
          <w:rFonts w:hint="eastAsia" w:ascii="Times New Roman" w:hAnsi="Times New Roman"/>
          <w:kern w:val="2"/>
          <w:szCs w:val="21"/>
        </w:rPr>
        <w:t>使</w:t>
      </w:r>
      <w:r>
        <w:rPr>
          <w:rFonts w:ascii="Times New Roman" w:hAnsi="Times New Roman"/>
          <w:kern w:val="2"/>
          <w:szCs w:val="21"/>
        </w:rPr>
        <w:t>用欧盟官方语言或由</w:t>
      </w:r>
      <w:r>
        <w:rPr>
          <w:rFonts w:hint="eastAsia" w:ascii="Times New Roman" w:hAnsi="Times New Roman"/>
          <w:kern w:val="2"/>
          <w:szCs w:val="21"/>
        </w:rPr>
        <w:t>使</w:t>
      </w:r>
      <w:r>
        <w:rPr>
          <w:rFonts w:ascii="Times New Roman" w:hAnsi="Times New Roman"/>
          <w:kern w:val="2"/>
          <w:szCs w:val="21"/>
        </w:rPr>
        <w:t>用现场安全纠正措施的成员国确定的语言编辑。除紧急情况外，现场安全通知草案的内容应提交给评估主管机构，或在本条第</w:t>
      </w:r>
      <w:r>
        <w:rPr>
          <w:rFonts w:hint="eastAsia" w:ascii="Times New Roman" w:hAnsi="Times New Roman"/>
          <w:kern w:val="2"/>
          <w:szCs w:val="21"/>
        </w:rPr>
        <w:t>9</w:t>
      </w:r>
      <w:r>
        <w:rPr>
          <w:rFonts w:ascii="Times New Roman" w:hAnsi="Times New Roman"/>
          <w:kern w:val="2"/>
          <w:szCs w:val="21"/>
        </w:rPr>
        <w:t>段所述情况下，协调主管机构允许其提出意见。除非个别成员国有正当理由，否则现场安全通告的内容应在所有成员国中保持一致。</w:t>
      </w:r>
    </w:p>
    <w:p w14:paraId="3F590629">
      <w:pPr>
        <w:pStyle w:val="8"/>
        <w:topLinePunct/>
        <w:snapToGrid w:val="0"/>
        <w:spacing w:beforeLines="40" w:line="312" w:lineRule="auto"/>
        <w:ind w:firstLine="0"/>
        <w:jc w:val="both"/>
        <w:rPr>
          <w:kern w:val="2"/>
          <w:szCs w:val="21"/>
        </w:rPr>
      </w:pPr>
      <w:r>
        <w:rPr>
          <w:kern w:val="2"/>
          <w:szCs w:val="21"/>
        </w:rPr>
        <w:t>现场安全通告应允许正确识别所涉及的器械，尤其是包括相关UDI和已公布的正确标识符尤其</w:t>
      </w:r>
      <w:r>
        <w:rPr>
          <w:rFonts w:hint="eastAsia"/>
          <w:kern w:val="2"/>
          <w:szCs w:val="21"/>
        </w:rPr>
        <w:t>（</w:t>
      </w:r>
      <w:r>
        <w:rPr>
          <w:kern w:val="2"/>
          <w:szCs w:val="21"/>
        </w:rPr>
        <w:t>包括SRN），以及执行现场安全纠正措施的制造商，现场安全通告应</w:t>
      </w:r>
      <w:r>
        <w:rPr>
          <w:rFonts w:hint="eastAsia"/>
          <w:kern w:val="2"/>
          <w:szCs w:val="21"/>
        </w:rPr>
        <w:t>清晰可见</w:t>
      </w:r>
      <w:r>
        <w:rPr>
          <w:kern w:val="2"/>
          <w:szCs w:val="21"/>
        </w:rPr>
        <w:t>，且不</w:t>
      </w:r>
      <w:r>
        <w:rPr>
          <w:rFonts w:hint="eastAsia"/>
          <w:kern w:val="2"/>
          <w:szCs w:val="21"/>
        </w:rPr>
        <w:t>存在</w:t>
      </w:r>
      <w:r>
        <w:rPr>
          <w:kern w:val="2"/>
          <w:szCs w:val="21"/>
        </w:rPr>
        <w:t>风险</w:t>
      </w:r>
      <w:r>
        <w:rPr>
          <w:rFonts w:hint="eastAsia"/>
          <w:kern w:val="2"/>
          <w:szCs w:val="21"/>
        </w:rPr>
        <w:t>层面</w:t>
      </w:r>
      <w:r>
        <w:rPr>
          <w:kern w:val="2"/>
          <w:szCs w:val="21"/>
        </w:rPr>
        <w:t>，</w:t>
      </w:r>
      <w:r>
        <w:rPr>
          <w:rFonts w:hint="eastAsia"/>
          <w:kern w:val="2"/>
          <w:szCs w:val="21"/>
        </w:rPr>
        <w:t>并且</w:t>
      </w:r>
      <w:r>
        <w:rPr>
          <w:kern w:val="2"/>
          <w:szCs w:val="21"/>
        </w:rPr>
        <w:t>有关器械故障的现场安全纠正措施的原因以及患者、使用者或其他人的相关风险，应清楚</w:t>
      </w:r>
      <w:r>
        <w:rPr>
          <w:rFonts w:hint="eastAsia"/>
          <w:kern w:val="2"/>
          <w:szCs w:val="21"/>
        </w:rPr>
        <w:t>标示</w:t>
      </w:r>
      <w:r>
        <w:rPr>
          <w:kern w:val="2"/>
          <w:szCs w:val="21"/>
        </w:rPr>
        <w:t>所有使用者应采取的措施。</w:t>
      </w:r>
    </w:p>
    <w:p w14:paraId="309726E0">
      <w:pPr>
        <w:pStyle w:val="8"/>
        <w:topLinePunct/>
        <w:snapToGrid w:val="0"/>
        <w:spacing w:beforeLines="40" w:line="312" w:lineRule="auto"/>
        <w:ind w:firstLine="0"/>
        <w:jc w:val="both"/>
        <w:rPr>
          <w:kern w:val="2"/>
          <w:szCs w:val="21"/>
        </w:rPr>
      </w:pPr>
      <w:r>
        <w:rPr>
          <w:kern w:val="2"/>
          <w:szCs w:val="21"/>
        </w:rPr>
        <w:t>制造商应在第92条所述的电子系统中输入现场安全通告，并向公众开放。</w:t>
      </w:r>
    </w:p>
    <w:p w14:paraId="053566E5">
      <w:pPr>
        <w:pStyle w:val="32"/>
        <w:numPr>
          <w:ilvl w:val="0"/>
          <w:numId w:val="82"/>
        </w:numPr>
        <w:tabs>
          <w:tab w:val="left" w:pos="682"/>
        </w:tabs>
        <w:topLinePunct/>
        <w:snapToGrid w:val="0"/>
        <w:spacing w:beforeLines="40" w:line="312" w:lineRule="auto"/>
        <w:ind w:hanging="567"/>
        <w:jc w:val="both"/>
        <w:rPr>
          <w:rFonts w:ascii="Times New Roman" w:hAnsi="Times New Roman"/>
          <w:kern w:val="2"/>
          <w:szCs w:val="21"/>
        </w:rPr>
      </w:pPr>
      <w:r>
        <w:rPr>
          <w:rFonts w:ascii="Times New Roman" w:hAnsi="Times New Roman"/>
          <w:kern w:val="2"/>
          <w:szCs w:val="21"/>
        </w:rPr>
        <w:t>主管机构应积极参与协调流程，在以下情况中协调第3段所述的评估：</w:t>
      </w:r>
    </w:p>
    <w:p w14:paraId="5A43D9BF">
      <w:pPr>
        <w:pStyle w:val="32"/>
        <w:numPr>
          <w:ilvl w:val="1"/>
          <w:numId w:val="82"/>
        </w:numPr>
        <w:tabs>
          <w:tab w:val="left" w:pos="1248"/>
        </w:tabs>
        <w:topLinePunct/>
        <w:snapToGrid w:val="0"/>
        <w:spacing w:beforeLines="40" w:line="312" w:lineRule="auto"/>
        <w:ind w:left="1247"/>
        <w:jc w:val="both"/>
        <w:rPr>
          <w:rFonts w:ascii="Times New Roman" w:hAnsi="Times New Roman"/>
          <w:kern w:val="2"/>
          <w:szCs w:val="21"/>
        </w:rPr>
      </w:pPr>
      <w:bookmarkStart w:id="89" w:name="(a)_where_there_is_concern_regarding_a_p"/>
      <w:bookmarkEnd w:id="89"/>
      <w:r>
        <w:rPr>
          <w:rFonts w:ascii="Times New Roman" w:hAnsi="Times New Roman"/>
          <w:kern w:val="2"/>
          <w:szCs w:val="21"/>
        </w:rPr>
        <w:t>若存在特定严重事件或一组相同制造商的同一器械或同一类型器械</w:t>
      </w:r>
      <w:r>
        <w:rPr>
          <w:rFonts w:hint="eastAsia" w:ascii="Times New Roman" w:hAnsi="Times New Roman"/>
          <w:kern w:val="2"/>
          <w:szCs w:val="21"/>
        </w:rPr>
        <w:t>集中</w:t>
      </w:r>
      <w:r>
        <w:rPr>
          <w:rFonts w:ascii="Times New Roman" w:hAnsi="Times New Roman"/>
          <w:kern w:val="2"/>
          <w:szCs w:val="21"/>
        </w:rPr>
        <w:t>在多个成员国中的严重事件；</w:t>
      </w:r>
    </w:p>
    <w:p w14:paraId="30C94A47">
      <w:pPr>
        <w:pStyle w:val="32"/>
        <w:numPr>
          <w:ilvl w:val="1"/>
          <w:numId w:val="82"/>
        </w:numPr>
        <w:tabs>
          <w:tab w:val="left" w:pos="1248"/>
        </w:tabs>
        <w:topLinePunct/>
        <w:snapToGrid w:val="0"/>
        <w:spacing w:beforeLines="25" w:line="300" w:lineRule="auto"/>
        <w:ind w:left="1247"/>
        <w:jc w:val="both"/>
        <w:rPr>
          <w:rFonts w:ascii="Times New Roman" w:hAnsi="Times New Roman"/>
          <w:kern w:val="2"/>
          <w:szCs w:val="21"/>
        </w:rPr>
      </w:pPr>
      <w:bookmarkStart w:id="90" w:name="(b)_where_the_appropriateness_of_a_field"/>
      <w:bookmarkEnd w:id="90"/>
      <w:r>
        <w:rPr>
          <w:rFonts w:ascii="Times New Roman" w:hAnsi="Times New Roman"/>
          <w:kern w:val="2"/>
          <w:szCs w:val="21"/>
        </w:rPr>
        <w:t>若制造商在多个成员国提出的现场安全纠正措施中存在问题。</w:t>
      </w:r>
    </w:p>
    <w:p w14:paraId="6B2FC939">
      <w:pPr>
        <w:pStyle w:val="8"/>
        <w:topLinePunct/>
        <w:snapToGrid w:val="0"/>
        <w:spacing w:beforeLines="25" w:line="300" w:lineRule="auto"/>
        <w:ind w:firstLine="0"/>
        <w:jc w:val="both"/>
        <w:rPr>
          <w:kern w:val="2"/>
          <w:szCs w:val="21"/>
        </w:rPr>
      </w:pPr>
      <w:bookmarkStart w:id="91" w:name="The_competent_authorities_shall_actively"/>
      <w:bookmarkEnd w:id="91"/>
      <w:bookmarkStart w:id="92" w:name="Unless_otherwise_agreed_between_the_comp"/>
      <w:bookmarkEnd w:id="92"/>
      <w:r>
        <w:rPr>
          <w:kern w:val="2"/>
          <w:szCs w:val="21"/>
        </w:rPr>
        <w:t>该协调流程应包括以下内容：</w:t>
      </w:r>
    </w:p>
    <w:p w14:paraId="43D03091">
      <w:pPr>
        <w:pStyle w:val="32"/>
        <w:numPr>
          <w:ilvl w:val="0"/>
          <w:numId w:val="88"/>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必要时，根据具体情况委任协调主管机构；</w:t>
      </w:r>
    </w:p>
    <w:p w14:paraId="61F82323">
      <w:pPr>
        <w:pStyle w:val="32"/>
        <w:numPr>
          <w:ilvl w:val="0"/>
          <w:numId w:val="88"/>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定义协调评估流程，包括协调机构以及其他主管机构参与的任务和责任。</w:t>
      </w:r>
    </w:p>
    <w:p w14:paraId="3CD375B7">
      <w:pPr>
        <w:pStyle w:val="32"/>
        <w:tabs>
          <w:tab w:val="left" w:pos="1248"/>
        </w:tabs>
        <w:topLinePunct/>
        <w:snapToGrid w:val="0"/>
        <w:spacing w:beforeLines="25" w:line="300" w:lineRule="auto"/>
        <w:ind w:left="680"/>
        <w:jc w:val="both"/>
        <w:rPr>
          <w:rFonts w:ascii="Times New Roman" w:hAnsi="Times New Roman"/>
          <w:kern w:val="2"/>
          <w:szCs w:val="21"/>
        </w:rPr>
      </w:pPr>
      <w:r>
        <w:rPr>
          <w:rFonts w:ascii="Times New Roman" w:hAnsi="Times New Roman"/>
          <w:kern w:val="2"/>
          <w:szCs w:val="21"/>
        </w:rPr>
        <w:t>除非主管机构另有协议，否则协调主管机构应属于拥有制造商注册地址的成员国主管机构。</w:t>
      </w:r>
    </w:p>
    <w:p w14:paraId="7870544D">
      <w:pPr>
        <w:pStyle w:val="8"/>
        <w:topLinePunct/>
        <w:snapToGrid w:val="0"/>
        <w:spacing w:beforeLines="25" w:line="300" w:lineRule="auto"/>
        <w:ind w:firstLine="0"/>
        <w:jc w:val="both"/>
        <w:rPr>
          <w:kern w:val="2"/>
          <w:szCs w:val="21"/>
        </w:rPr>
      </w:pPr>
      <w:bookmarkStart w:id="93" w:name="The_coordinating_competent_authority_sha"/>
      <w:bookmarkEnd w:id="93"/>
      <w:r>
        <w:rPr>
          <w:kern w:val="2"/>
          <w:szCs w:val="21"/>
        </w:rPr>
        <w:t>协调主管机构应通过第92条所所述的电子系统，通知制造商、其他主管机构和委员会，承担协调机构的作用。</w:t>
      </w:r>
    </w:p>
    <w:p w14:paraId="16065349">
      <w:pPr>
        <w:pStyle w:val="32"/>
        <w:numPr>
          <w:ilvl w:val="0"/>
          <w:numId w:val="8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协调主管机构的指定不得影响其他主管机构为确保保护公共卫生和患者安全，而根据本法规执行评估和采取措施的权利。并应随时通知协调主管机构和委员会任何此类评定的结果以及采取的任何此类措施。</w:t>
      </w:r>
    </w:p>
    <w:p w14:paraId="03AA43B3">
      <w:pPr>
        <w:pStyle w:val="32"/>
        <w:numPr>
          <w:ilvl w:val="0"/>
          <w:numId w:val="8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委员会应在协调主管机构根据本章完成任务时提供行政支持。</w:t>
      </w:r>
    </w:p>
    <w:p w14:paraId="421EC23D">
      <w:pPr>
        <w:snapToGrid w:val="0"/>
        <w:spacing w:beforeLines="25" w:line="300" w:lineRule="auto"/>
        <w:ind w:left="196"/>
        <w:jc w:val="center"/>
        <w:rPr>
          <w:rFonts w:ascii="Times New Roman" w:hAnsi="Times New Roman"/>
          <w:i/>
          <w:kern w:val="2"/>
          <w:szCs w:val="21"/>
        </w:rPr>
      </w:pPr>
    </w:p>
    <w:p w14:paraId="0EB54941">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第90条</w:t>
      </w:r>
    </w:p>
    <w:p w14:paraId="3FBF0529">
      <w:pPr>
        <w:snapToGrid w:val="0"/>
        <w:spacing w:beforeLines="25" w:line="300" w:lineRule="auto"/>
        <w:ind w:left="196"/>
        <w:jc w:val="center"/>
        <w:rPr>
          <w:rFonts w:ascii="Times New Roman" w:hAnsi="Times New Roman"/>
          <w:b/>
          <w:kern w:val="2"/>
          <w:szCs w:val="21"/>
        </w:rPr>
      </w:pPr>
      <w:r>
        <w:rPr>
          <w:rFonts w:hint="eastAsia" w:ascii="Times New Roman" w:hAnsi="Times New Roman"/>
          <w:b/>
          <w:kern w:val="2"/>
          <w:szCs w:val="21"/>
        </w:rPr>
        <w:t>警戒</w:t>
      </w:r>
      <w:r>
        <w:rPr>
          <w:rFonts w:ascii="Times New Roman" w:hAnsi="Times New Roman"/>
          <w:b/>
          <w:kern w:val="2"/>
          <w:szCs w:val="21"/>
        </w:rPr>
        <w:t>数据分析</w:t>
      </w:r>
    </w:p>
    <w:p w14:paraId="42456646">
      <w:pPr>
        <w:pStyle w:val="8"/>
        <w:topLinePunct/>
        <w:snapToGrid w:val="0"/>
        <w:spacing w:beforeLines="25" w:line="300" w:lineRule="auto"/>
        <w:ind w:left="113" w:firstLine="0"/>
        <w:jc w:val="both"/>
        <w:rPr>
          <w:kern w:val="2"/>
          <w:szCs w:val="21"/>
        </w:rPr>
      </w:pPr>
      <w:r>
        <w:rPr>
          <w:kern w:val="2"/>
          <w:szCs w:val="21"/>
        </w:rPr>
        <w:t>委员会应与成员国合作，落实系统和流程，主动监测第92条所所述电子系统中可用的数据，以发现数据中可能识别新风险或安全问题的趋势、模式或信号。</w:t>
      </w:r>
    </w:p>
    <w:p w14:paraId="4F700AAC">
      <w:pPr>
        <w:pStyle w:val="8"/>
        <w:topLinePunct/>
        <w:snapToGrid w:val="0"/>
        <w:spacing w:beforeLines="25" w:line="300" w:lineRule="auto"/>
        <w:ind w:left="113" w:firstLine="0"/>
        <w:jc w:val="both"/>
        <w:rPr>
          <w:kern w:val="2"/>
          <w:szCs w:val="21"/>
        </w:rPr>
      </w:pPr>
      <w:r>
        <w:rPr>
          <w:kern w:val="2"/>
          <w:szCs w:val="21"/>
        </w:rPr>
        <w:t>若确定以前未知的风险或确定预期风险频率显著且不利地改变了风险-收益时，由主管机构，或在适当情况下由协调主管机构通知制造商或授权代表，采取必要的纠正措施。</w:t>
      </w:r>
    </w:p>
    <w:p w14:paraId="17C7F15F">
      <w:pPr>
        <w:snapToGrid w:val="0"/>
        <w:spacing w:beforeLines="25" w:line="300" w:lineRule="auto"/>
        <w:ind w:left="196"/>
        <w:jc w:val="center"/>
        <w:rPr>
          <w:rFonts w:ascii="Times New Roman" w:hAnsi="Times New Roman"/>
          <w:i/>
          <w:kern w:val="2"/>
          <w:szCs w:val="21"/>
        </w:rPr>
      </w:pPr>
    </w:p>
    <w:p w14:paraId="549A1FBB">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第91条</w:t>
      </w:r>
    </w:p>
    <w:p w14:paraId="3E2AF1A4">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实施细则</w:t>
      </w:r>
    </w:p>
    <w:p w14:paraId="2A62D2F6">
      <w:pPr>
        <w:pStyle w:val="8"/>
        <w:topLinePunct/>
        <w:snapToGrid w:val="0"/>
        <w:spacing w:beforeLines="25" w:line="300" w:lineRule="auto"/>
        <w:ind w:left="113" w:hanging="11"/>
        <w:jc w:val="both"/>
        <w:rPr>
          <w:kern w:val="2"/>
          <w:szCs w:val="21"/>
        </w:rPr>
      </w:pPr>
      <w:r>
        <w:rPr>
          <w:kern w:val="2"/>
          <w:szCs w:val="21"/>
        </w:rPr>
        <w:t>委员会可通过</w:t>
      </w:r>
      <w:r>
        <w:rPr>
          <w:rFonts w:hint="eastAsia"/>
          <w:kern w:val="2"/>
          <w:szCs w:val="21"/>
        </w:rPr>
        <w:t>详细安排</w:t>
      </w:r>
      <w:r>
        <w:rPr>
          <w:kern w:val="2"/>
          <w:szCs w:val="21"/>
        </w:rPr>
        <w:t>，并在与MDCG咨询后，通过实施第85至90和92条所需的模式和流程方面，包括：</w:t>
      </w:r>
    </w:p>
    <w:p w14:paraId="1896AF97">
      <w:pPr>
        <w:pStyle w:val="32"/>
        <w:numPr>
          <w:ilvl w:val="0"/>
          <w:numId w:val="89"/>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严重事件的类型学和有关特定器械或器械类别或组别的现场安全纠正措施；</w:t>
      </w:r>
    </w:p>
    <w:p w14:paraId="12C1CC54">
      <w:pPr>
        <w:pStyle w:val="32"/>
        <w:numPr>
          <w:ilvl w:val="0"/>
          <w:numId w:val="89"/>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第85、86、87、88和89条</w:t>
      </w:r>
      <w:r>
        <w:rPr>
          <w:rFonts w:hint="eastAsia" w:ascii="Times New Roman" w:hAnsi="Times New Roman"/>
          <w:kern w:val="2"/>
          <w:szCs w:val="21"/>
        </w:rPr>
        <w:t>分别</w:t>
      </w:r>
      <w:r>
        <w:rPr>
          <w:rFonts w:ascii="Times New Roman" w:hAnsi="Times New Roman"/>
          <w:kern w:val="2"/>
          <w:szCs w:val="21"/>
        </w:rPr>
        <w:t>所述的严重事件和现场安全纠正措施的报告、现场安全通知、定期总结报告、上市后监管报告、PSUR和趋势报告；</w:t>
      </w:r>
    </w:p>
    <w:p w14:paraId="58CD5809">
      <w:pPr>
        <w:pStyle w:val="32"/>
        <w:numPr>
          <w:ilvl w:val="0"/>
          <w:numId w:val="89"/>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电子和非电子报告的标准结构表格，包括由医疗卫生专业人士、使用者和患者报告可疑严重事件的最小数据集；</w:t>
      </w:r>
    </w:p>
    <w:p w14:paraId="3C3BA96F">
      <w:pPr>
        <w:pStyle w:val="32"/>
        <w:numPr>
          <w:ilvl w:val="0"/>
          <w:numId w:val="89"/>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考虑到第87条所述事件的严重性，制造商用于报告现场安全纠正措施、定期总结报告和趋势报告的时间表；</w:t>
      </w:r>
    </w:p>
    <w:p w14:paraId="681ACCEC">
      <w:pPr>
        <w:pStyle w:val="32"/>
        <w:numPr>
          <w:ilvl w:val="0"/>
          <w:numId w:val="89"/>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第89条所述主管机构之间交流信息的协调表格；</w:t>
      </w:r>
    </w:p>
    <w:p w14:paraId="11AD590A">
      <w:pPr>
        <w:pStyle w:val="32"/>
        <w:numPr>
          <w:ilvl w:val="0"/>
          <w:numId w:val="89"/>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指定协调主管机构的流程；协调评估过程；协调主管机构以及其他主管机构参与这一进程的任务和责任。</w:t>
      </w:r>
    </w:p>
    <w:p w14:paraId="5B9ADF8B">
      <w:pPr>
        <w:pStyle w:val="8"/>
        <w:topLinePunct/>
        <w:snapToGrid w:val="0"/>
        <w:spacing w:beforeLines="25" w:line="300" w:lineRule="auto"/>
        <w:ind w:left="113" w:firstLine="0"/>
        <w:jc w:val="both"/>
        <w:rPr>
          <w:kern w:val="2"/>
          <w:szCs w:val="21"/>
        </w:rPr>
      </w:pPr>
      <w:r>
        <w:rPr>
          <w:kern w:val="2"/>
          <w:szCs w:val="21"/>
        </w:rPr>
        <w:t>应按照第114(3)条中述及的审查规程通过这些在第</w:t>
      </w:r>
      <w:r>
        <w:rPr>
          <w:rFonts w:hint="eastAsia"/>
          <w:kern w:val="2"/>
          <w:szCs w:val="21"/>
        </w:rPr>
        <w:t>一</w:t>
      </w:r>
      <w:r>
        <w:rPr>
          <w:kern w:val="2"/>
          <w:szCs w:val="21"/>
        </w:rPr>
        <w:t>段中所述的实施细则。</w:t>
      </w:r>
    </w:p>
    <w:p w14:paraId="3A4FC3BA">
      <w:pPr>
        <w:snapToGrid w:val="0"/>
        <w:spacing w:beforeLines="25" w:line="300" w:lineRule="auto"/>
        <w:ind w:left="196"/>
        <w:jc w:val="center"/>
        <w:rPr>
          <w:rStyle w:val="48"/>
          <w:b/>
          <w:szCs w:val="21"/>
        </w:rPr>
      </w:pPr>
      <w:r>
        <w:rPr>
          <w:rFonts w:ascii="Times New Roman" w:hAnsi="Times New Roman"/>
          <w:i/>
          <w:kern w:val="2"/>
          <w:szCs w:val="21"/>
        </w:rPr>
        <w:t>第92条</w:t>
      </w:r>
    </w:p>
    <w:p w14:paraId="677D81F2">
      <w:pPr>
        <w:snapToGrid w:val="0"/>
        <w:spacing w:beforeLines="25" w:line="300" w:lineRule="auto"/>
        <w:ind w:left="196"/>
        <w:jc w:val="center"/>
        <w:rPr>
          <w:rStyle w:val="48"/>
          <w:b/>
          <w:szCs w:val="21"/>
        </w:rPr>
      </w:pPr>
      <w:r>
        <w:rPr>
          <w:rFonts w:ascii="Times New Roman" w:hAnsi="Times New Roman"/>
          <w:b/>
          <w:kern w:val="2"/>
          <w:szCs w:val="21"/>
        </w:rPr>
        <w:t>有关警戒和上市后监管的电子系统</w:t>
      </w:r>
    </w:p>
    <w:p w14:paraId="71BB73EC">
      <w:pPr>
        <w:pStyle w:val="32"/>
        <w:numPr>
          <w:ilvl w:val="0"/>
          <w:numId w:val="9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委员会应与成员国合作，设立和管理电子系统整理并处理以下信息：</w:t>
      </w:r>
    </w:p>
    <w:p w14:paraId="35C8BB48">
      <w:pPr>
        <w:pStyle w:val="32"/>
        <w:numPr>
          <w:ilvl w:val="1"/>
          <w:numId w:val="90"/>
        </w:numPr>
        <w:tabs>
          <w:tab w:val="left" w:pos="1248"/>
        </w:tabs>
        <w:topLinePunct/>
        <w:snapToGrid w:val="0"/>
        <w:spacing w:beforeLines="25" w:line="300" w:lineRule="auto"/>
        <w:jc w:val="both"/>
        <w:rPr>
          <w:rFonts w:ascii="Times New Roman" w:hAnsi="Times New Roman"/>
          <w:kern w:val="2"/>
          <w:szCs w:val="21"/>
        </w:rPr>
      </w:pPr>
      <w:bookmarkStart w:id="94" w:name="(a)_the_reports_by_manufacturers_on_seri"/>
      <w:bookmarkEnd w:id="94"/>
      <w:r>
        <w:rPr>
          <w:rFonts w:ascii="Times New Roman" w:hAnsi="Times New Roman"/>
          <w:kern w:val="2"/>
          <w:szCs w:val="21"/>
        </w:rPr>
        <w:t>制造商关于第87(1)条和第89（5）条所述严重事件和现场安全纠正措施的报告；</w:t>
      </w:r>
    </w:p>
    <w:p w14:paraId="5F50EB43">
      <w:pPr>
        <w:pStyle w:val="32"/>
        <w:numPr>
          <w:ilvl w:val="1"/>
          <w:numId w:val="90"/>
        </w:numPr>
        <w:tabs>
          <w:tab w:val="left" w:pos="1248"/>
        </w:tabs>
        <w:topLinePunct/>
        <w:snapToGrid w:val="0"/>
        <w:spacing w:beforeLines="25" w:line="300" w:lineRule="auto"/>
        <w:jc w:val="both"/>
        <w:rPr>
          <w:rFonts w:ascii="Times New Roman" w:hAnsi="Times New Roman"/>
          <w:kern w:val="2"/>
          <w:szCs w:val="21"/>
        </w:rPr>
      </w:pPr>
      <w:bookmarkStart w:id="95" w:name="(b)_the_periodic_summary_reports_by_manu"/>
      <w:bookmarkEnd w:id="95"/>
      <w:r>
        <w:rPr>
          <w:rFonts w:ascii="Times New Roman" w:hAnsi="Times New Roman"/>
          <w:kern w:val="2"/>
          <w:szCs w:val="21"/>
        </w:rPr>
        <w:t>第87(9)条所所述制造商的定期总结报告；</w:t>
      </w:r>
      <w:bookmarkStart w:id="96" w:name="(d)_the_reports_by_manufacturers_on_tren"/>
      <w:bookmarkEnd w:id="96"/>
    </w:p>
    <w:p w14:paraId="43182216">
      <w:pPr>
        <w:pStyle w:val="32"/>
        <w:numPr>
          <w:ilvl w:val="1"/>
          <w:numId w:val="9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制造商关于第88条所述趋势的报告；</w:t>
      </w:r>
    </w:p>
    <w:p w14:paraId="6B5A2878">
      <w:pPr>
        <w:pStyle w:val="32"/>
        <w:numPr>
          <w:ilvl w:val="0"/>
          <w:numId w:val="91"/>
        </w:numPr>
        <w:tabs>
          <w:tab w:val="left" w:pos="1248"/>
        </w:tabs>
        <w:topLinePunct/>
        <w:snapToGrid w:val="0"/>
        <w:spacing w:beforeLines="25" w:line="300" w:lineRule="auto"/>
        <w:ind w:firstLine="0"/>
        <w:jc w:val="both"/>
        <w:rPr>
          <w:rFonts w:ascii="Times New Roman" w:hAnsi="Times New Roman"/>
          <w:kern w:val="2"/>
          <w:szCs w:val="21"/>
        </w:rPr>
      </w:pPr>
      <w:r>
        <w:rPr>
          <w:rFonts w:ascii="Times New Roman" w:hAnsi="Times New Roman"/>
          <w:kern w:val="2"/>
          <w:szCs w:val="21"/>
        </w:rPr>
        <w:t>第86条所述的PSUR；</w:t>
      </w:r>
    </w:p>
    <w:p w14:paraId="0182B585">
      <w:pPr>
        <w:pStyle w:val="32"/>
        <w:numPr>
          <w:ilvl w:val="0"/>
          <w:numId w:val="91"/>
        </w:numPr>
        <w:tabs>
          <w:tab w:val="left" w:pos="1248"/>
        </w:tabs>
        <w:topLinePunct/>
        <w:snapToGrid w:val="0"/>
        <w:spacing w:beforeLines="25" w:line="300" w:lineRule="auto"/>
        <w:ind w:left="1248"/>
        <w:jc w:val="both"/>
        <w:rPr>
          <w:rFonts w:ascii="Times New Roman" w:hAnsi="Times New Roman"/>
          <w:kern w:val="2"/>
          <w:szCs w:val="21"/>
        </w:rPr>
      </w:pPr>
      <w:bookmarkStart w:id="97" w:name="(e)_the_field_safety_notices_by_manufact"/>
      <w:bookmarkEnd w:id="97"/>
      <w:r>
        <w:rPr>
          <w:rFonts w:ascii="Times New Roman" w:hAnsi="Times New Roman"/>
          <w:kern w:val="2"/>
          <w:szCs w:val="21"/>
        </w:rPr>
        <w:t>第89(8)条所所述制造商的现场安全通告；</w:t>
      </w:r>
    </w:p>
    <w:p w14:paraId="090A6678">
      <w:pPr>
        <w:pStyle w:val="32"/>
        <w:numPr>
          <w:ilvl w:val="0"/>
          <w:numId w:val="91"/>
        </w:numPr>
        <w:tabs>
          <w:tab w:val="left" w:pos="1248"/>
        </w:tabs>
        <w:topLinePunct/>
        <w:snapToGrid w:val="0"/>
        <w:spacing w:beforeLines="25" w:line="300" w:lineRule="auto"/>
        <w:ind w:left="1248"/>
        <w:jc w:val="both"/>
        <w:rPr>
          <w:rFonts w:ascii="Times New Roman" w:hAnsi="Times New Roman"/>
          <w:kern w:val="2"/>
          <w:szCs w:val="21"/>
        </w:rPr>
      </w:pPr>
      <w:bookmarkStart w:id="98" w:name="(f)_the_information_to_be_exchanged_betw"/>
      <w:bookmarkEnd w:id="98"/>
      <w:r>
        <w:rPr>
          <w:rFonts w:ascii="Times New Roman" w:hAnsi="Times New Roman"/>
          <w:kern w:val="2"/>
          <w:szCs w:val="21"/>
        </w:rPr>
        <w:t>根据第89(7)和（9）条，成员国主管机构之间以及它们与委员会之间的交换信息。</w:t>
      </w:r>
    </w:p>
    <w:p w14:paraId="096F3AB8">
      <w:pPr>
        <w:snapToGrid w:val="0"/>
        <w:spacing w:beforeLines="25" w:line="300" w:lineRule="auto"/>
        <w:ind w:firstLine="642" w:firstLineChars="306"/>
        <w:rPr>
          <w:rFonts w:ascii="Times New Roman" w:hAnsi="Times New Roman"/>
          <w:kern w:val="2"/>
          <w:szCs w:val="21"/>
        </w:rPr>
      </w:pPr>
      <w:r>
        <w:rPr>
          <w:rFonts w:ascii="Times New Roman" w:hAnsi="Times New Roman"/>
          <w:kern w:val="2"/>
          <w:szCs w:val="21"/>
        </w:rPr>
        <w:t>电子系统应包括连接至UDI数据库的链接。</w:t>
      </w:r>
    </w:p>
    <w:p w14:paraId="304BE419">
      <w:pPr>
        <w:pStyle w:val="32"/>
        <w:numPr>
          <w:ilvl w:val="0"/>
          <w:numId w:val="9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通过电子系统整理向成员国主管机构和委员会提供本条第1段中所述的信息。根据第53条为该器械颁发证书的公告机构开放相关该器械信息。</w:t>
      </w:r>
    </w:p>
    <w:p w14:paraId="7E6DF218">
      <w:pPr>
        <w:pStyle w:val="32"/>
        <w:numPr>
          <w:ilvl w:val="0"/>
          <w:numId w:val="9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委员会应确保医疗卫生专业人士和公众对第1段中所述的电子系统具有适当的访问权限。</w:t>
      </w:r>
    </w:p>
    <w:p w14:paraId="5BEDF95A">
      <w:pPr>
        <w:pStyle w:val="32"/>
        <w:numPr>
          <w:ilvl w:val="0"/>
          <w:numId w:val="9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根据委员会与第三类国家或国际组织主管机构之间的约定，委员会可授予此类主管机构或国际组织在适当权限访问第1段中所述的电子系统。这些约定应以互惠为基础，提供并适用于欧盟等同的保密和数据保护。</w:t>
      </w:r>
    </w:p>
    <w:p w14:paraId="604B5C7E">
      <w:pPr>
        <w:pStyle w:val="32"/>
        <w:numPr>
          <w:ilvl w:val="0"/>
          <w:numId w:val="9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第87(1)条（a）点所所述的严重事件报告应在收到后通过本条第1段中所述的电子系统自动传送至发生事件的成员国主管机构。</w:t>
      </w:r>
    </w:p>
    <w:p w14:paraId="43C44585">
      <w:pPr>
        <w:pStyle w:val="8"/>
        <w:tabs>
          <w:tab w:val="left" w:pos="681"/>
        </w:tabs>
        <w:topLinePunct/>
        <w:snapToGrid w:val="0"/>
        <w:spacing w:beforeLines="25" w:line="300" w:lineRule="auto"/>
        <w:ind w:hanging="568"/>
        <w:jc w:val="both"/>
        <w:rPr>
          <w:kern w:val="2"/>
          <w:szCs w:val="21"/>
        </w:rPr>
      </w:pPr>
      <w:bookmarkStart w:id="99" w:name="5a._Trend_reports_referred_to_in_Article"/>
      <w:bookmarkEnd w:id="99"/>
      <w:r>
        <w:rPr>
          <w:kern w:val="2"/>
          <w:szCs w:val="21"/>
        </w:rPr>
        <w:t>6.</w:t>
      </w:r>
      <w:r>
        <w:rPr>
          <w:kern w:val="2"/>
          <w:szCs w:val="21"/>
        </w:rPr>
        <w:tab/>
      </w:r>
      <w:r>
        <w:rPr>
          <w:kern w:val="2"/>
          <w:szCs w:val="21"/>
        </w:rPr>
        <w:t>第88（1）条所所述的趋势报告应在收到后通过本条第1段中所述的电子系统自动传送至发生事件的成员国主管机构。</w:t>
      </w:r>
    </w:p>
    <w:p w14:paraId="1E1F34AD">
      <w:pPr>
        <w:pStyle w:val="32"/>
        <w:numPr>
          <w:ilvl w:val="0"/>
          <w:numId w:val="75"/>
        </w:numPr>
        <w:tabs>
          <w:tab w:val="left" w:pos="682"/>
        </w:tabs>
        <w:topLinePunct/>
        <w:snapToGrid w:val="0"/>
        <w:spacing w:beforeLines="25" w:line="300" w:lineRule="auto"/>
        <w:jc w:val="both"/>
        <w:rPr>
          <w:rFonts w:ascii="Times New Roman" w:hAnsi="Times New Roman"/>
          <w:kern w:val="2"/>
          <w:szCs w:val="21"/>
        </w:rPr>
      </w:pPr>
      <w:bookmarkStart w:id="100" w:name="6._The_reports_on_field_safety_correctiv"/>
      <w:bookmarkEnd w:id="100"/>
      <w:r>
        <w:rPr>
          <w:rFonts w:ascii="Times New Roman" w:hAnsi="Times New Roman"/>
          <w:kern w:val="2"/>
          <w:szCs w:val="21"/>
        </w:rPr>
        <w:t>第87(1)条（b）点所所述的现场安全纠正措施报告应在收到后通过本条第1段中所述的电子系统自动传送至下列成员国的主管机构：</w:t>
      </w:r>
    </w:p>
    <w:p w14:paraId="369B3A9A">
      <w:pPr>
        <w:pStyle w:val="32"/>
        <w:numPr>
          <w:ilvl w:val="1"/>
          <w:numId w:val="75"/>
        </w:numPr>
        <w:tabs>
          <w:tab w:val="left" w:pos="1248"/>
        </w:tabs>
        <w:topLinePunct/>
        <w:snapToGrid w:val="0"/>
        <w:spacing w:beforeLines="25" w:line="300" w:lineRule="auto"/>
        <w:ind w:left="1247"/>
        <w:jc w:val="both"/>
        <w:rPr>
          <w:rFonts w:ascii="Times New Roman" w:hAnsi="Times New Roman"/>
          <w:kern w:val="2"/>
          <w:szCs w:val="21"/>
        </w:rPr>
      </w:pPr>
      <w:bookmarkStart w:id="101" w:name="(a)_the_Member_States_where_the_field_sa"/>
      <w:bookmarkEnd w:id="101"/>
      <w:r>
        <w:rPr>
          <w:rFonts w:ascii="Times New Roman" w:hAnsi="Times New Roman"/>
          <w:kern w:val="2"/>
          <w:szCs w:val="21"/>
        </w:rPr>
        <w:t>正在或将要执行现场安全纠正措施的成员国；</w:t>
      </w:r>
    </w:p>
    <w:p w14:paraId="6D906D06">
      <w:pPr>
        <w:pStyle w:val="32"/>
        <w:numPr>
          <w:ilvl w:val="1"/>
          <w:numId w:val="75"/>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拥有制造商注册地址的成员国；</w:t>
      </w:r>
    </w:p>
    <w:p w14:paraId="5BAF21D7">
      <w:pPr>
        <w:pStyle w:val="32"/>
        <w:numPr>
          <w:ilvl w:val="0"/>
          <w:numId w:val="75"/>
        </w:numPr>
        <w:tabs>
          <w:tab w:val="left" w:pos="682"/>
        </w:tabs>
        <w:topLinePunct/>
        <w:snapToGrid w:val="0"/>
        <w:spacing w:beforeLines="25" w:line="300" w:lineRule="auto"/>
        <w:ind w:hanging="567"/>
        <w:jc w:val="both"/>
        <w:rPr>
          <w:rFonts w:ascii="Times New Roman" w:hAnsi="Times New Roman"/>
          <w:kern w:val="2"/>
          <w:szCs w:val="21"/>
        </w:rPr>
      </w:pPr>
      <w:bookmarkStart w:id="102" w:name="7._The_periodic_summary_reports_referred"/>
      <w:bookmarkEnd w:id="102"/>
      <w:r>
        <w:rPr>
          <w:rFonts w:ascii="Times New Roman" w:hAnsi="Times New Roman"/>
          <w:kern w:val="2"/>
          <w:szCs w:val="21"/>
        </w:rPr>
        <w:t>第87(9)条所所述的定期总结报告应在收到后通过本条第1段中所述的电子系统自动传送至下列</w:t>
      </w:r>
      <w:r>
        <w:rPr>
          <w:rFonts w:hint="eastAsia" w:ascii="Times New Roman" w:hAnsi="Times New Roman"/>
          <w:kern w:val="2"/>
          <w:szCs w:val="21"/>
        </w:rPr>
        <w:t>相关</w:t>
      </w:r>
      <w:r>
        <w:rPr>
          <w:rFonts w:ascii="Times New Roman" w:hAnsi="Times New Roman"/>
          <w:kern w:val="2"/>
          <w:szCs w:val="21"/>
        </w:rPr>
        <w:t>主管机构：</w:t>
      </w:r>
    </w:p>
    <w:p w14:paraId="01162057">
      <w:pPr>
        <w:pStyle w:val="32"/>
        <w:numPr>
          <w:ilvl w:val="1"/>
          <w:numId w:val="75"/>
        </w:numPr>
        <w:tabs>
          <w:tab w:val="left" w:pos="1248"/>
        </w:tabs>
        <w:topLinePunct/>
        <w:snapToGrid w:val="0"/>
        <w:spacing w:beforeLines="25" w:line="300" w:lineRule="auto"/>
        <w:ind w:left="1247"/>
        <w:jc w:val="both"/>
        <w:rPr>
          <w:rFonts w:ascii="Times New Roman" w:hAnsi="Times New Roman"/>
          <w:kern w:val="2"/>
          <w:szCs w:val="21"/>
        </w:rPr>
      </w:pPr>
      <w:bookmarkStart w:id="103" w:name="(a)_the_Member_State(s)_participating_in"/>
      <w:bookmarkEnd w:id="103"/>
      <w:r>
        <w:rPr>
          <w:rFonts w:ascii="Times New Roman" w:hAnsi="Times New Roman"/>
          <w:kern w:val="2"/>
          <w:szCs w:val="21"/>
        </w:rPr>
        <w:t>成员国或根据第89(9)条参与协调程序并同意定期总结报告的成员国；</w:t>
      </w:r>
    </w:p>
    <w:p w14:paraId="50DC9948">
      <w:pPr>
        <w:pStyle w:val="32"/>
        <w:numPr>
          <w:ilvl w:val="1"/>
          <w:numId w:val="75"/>
        </w:numPr>
        <w:tabs>
          <w:tab w:val="left" w:pos="1248"/>
        </w:tabs>
        <w:topLinePunct/>
        <w:snapToGrid w:val="0"/>
        <w:spacing w:beforeLines="25" w:line="300" w:lineRule="auto"/>
        <w:ind w:left="1247"/>
        <w:jc w:val="both"/>
        <w:rPr>
          <w:rFonts w:ascii="Times New Roman" w:hAnsi="Times New Roman"/>
          <w:kern w:val="2"/>
          <w:szCs w:val="21"/>
        </w:rPr>
      </w:pPr>
      <w:bookmarkStart w:id="104" w:name="(b)_the_Member_State_where_the_manufactu"/>
      <w:bookmarkEnd w:id="104"/>
      <w:r>
        <w:rPr>
          <w:rFonts w:ascii="Times New Roman" w:hAnsi="Times New Roman"/>
          <w:kern w:val="2"/>
          <w:szCs w:val="21"/>
        </w:rPr>
        <w:t>拥有制造商或其授权代表注册地址的成员国。</w:t>
      </w:r>
    </w:p>
    <w:p w14:paraId="56943B6C">
      <w:pPr>
        <w:pStyle w:val="32"/>
        <w:numPr>
          <w:ilvl w:val="0"/>
          <w:numId w:val="7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本条第5至第8段所所述的信息应在收到后通过本条第1段所述的电子系统自动传送至根据第56条为有关器械颁发证书的公告机构。</w:t>
      </w:r>
    </w:p>
    <w:p w14:paraId="6FF48CE7">
      <w:pPr>
        <w:snapToGrid w:val="0"/>
        <w:spacing w:beforeLines="25" w:line="300" w:lineRule="auto"/>
        <w:rPr>
          <w:rFonts w:ascii="Times New Roman" w:hAnsi="Times New Roman"/>
          <w:kern w:val="2"/>
          <w:szCs w:val="21"/>
        </w:rPr>
      </w:pPr>
      <w:r>
        <w:rPr>
          <w:rFonts w:ascii="Times New Roman" w:hAnsi="Times New Roman"/>
          <w:kern w:val="2"/>
          <w:szCs w:val="21"/>
        </w:rPr>
        <w:br w:type="page"/>
      </w:r>
    </w:p>
    <w:p w14:paraId="53B8C77D">
      <w:pPr>
        <w:pStyle w:val="35"/>
        <w:spacing w:before="78" w:line="300" w:lineRule="auto"/>
        <w:rPr>
          <w:sz w:val="21"/>
          <w:szCs w:val="21"/>
        </w:rPr>
      </w:pPr>
      <w:bookmarkStart w:id="105" w:name="_Toc477512407"/>
      <w:r>
        <w:rPr>
          <w:sz w:val="21"/>
          <w:szCs w:val="21"/>
        </w:rPr>
        <w:t>第3节</w:t>
      </w:r>
      <w:bookmarkEnd w:id="105"/>
    </w:p>
    <w:p w14:paraId="101136C0">
      <w:pPr>
        <w:pStyle w:val="35"/>
        <w:spacing w:before="78" w:line="300" w:lineRule="auto"/>
        <w:rPr>
          <w:sz w:val="21"/>
          <w:szCs w:val="21"/>
        </w:rPr>
      </w:pPr>
      <w:bookmarkStart w:id="106" w:name="_Toc477512408"/>
      <w:r>
        <w:rPr>
          <w:sz w:val="21"/>
          <w:szCs w:val="21"/>
        </w:rPr>
        <w:t>市场监管</w:t>
      </w:r>
      <w:bookmarkEnd w:id="106"/>
    </w:p>
    <w:p w14:paraId="69154D17">
      <w:pPr>
        <w:snapToGrid w:val="0"/>
        <w:spacing w:beforeLines="25" w:line="300" w:lineRule="auto"/>
        <w:ind w:left="196"/>
        <w:jc w:val="center"/>
        <w:rPr>
          <w:rStyle w:val="48"/>
          <w:b/>
          <w:szCs w:val="21"/>
        </w:rPr>
      </w:pPr>
      <w:r>
        <w:rPr>
          <w:rFonts w:ascii="Times New Roman" w:hAnsi="Times New Roman"/>
          <w:i/>
          <w:kern w:val="2"/>
          <w:szCs w:val="21"/>
        </w:rPr>
        <w:t>第93条</w:t>
      </w:r>
    </w:p>
    <w:p w14:paraId="17CDA0BB">
      <w:pPr>
        <w:snapToGrid w:val="0"/>
        <w:spacing w:beforeLines="25" w:line="300" w:lineRule="auto"/>
        <w:ind w:left="195"/>
        <w:jc w:val="center"/>
        <w:rPr>
          <w:rStyle w:val="48"/>
          <w:b/>
          <w:szCs w:val="21"/>
        </w:rPr>
      </w:pPr>
      <w:r>
        <w:rPr>
          <w:rFonts w:ascii="Times New Roman" w:hAnsi="Times New Roman"/>
          <w:b/>
          <w:kern w:val="2"/>
          <w:szCs w:val="21"/>
        </w:rPr>
        <w:t>市场监管活动</w:t>
      </w:r>
    </w:p>
    <w:p w14:paraId="1F1D1109">
      <w:pPr>
        <w:pStyle w:val="32"/>
        <w:numPr>
          <w:ilvl w:val="0"/>
          <w:numId w:val="9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主管机构应对器械的符合性特性和性能进行适当检查，包括酌情审查文件以及基于适当样品的物理或实验室检查。主管机构应特别考虑到有关风险评估和风险管理、</w:t>
      </w:r>
      <w:r>
        <w:rPr>
          <w:rFonts w:hint="eastAsia" w:ascii="Times New Roman" w:hAnsi="Times New Roman"/>
          <w:kern w:val="2"/>
          <w:szCs w:val="21"/>
        </w:rPr>
        <w:t>警戒</w:t>
      </w:r>
      <w:r>
        <w:rPr>
          <w:rFonts w:ascii="Times New Roman" w:hAnsi="Times New Roman"/>
          <w:kern w:val="2"/>
          <w:szCs w:val="21"/>
        </w:rPr>
        <w:t>数据和投诉的既定原则。</w:t>
      </w:r>
    </w:p>
    <w:p w14:paraId="70529726">
      <w:pPr>
        <w:pStyle w:val="8"/>
        <w:tabs>
          <w:tab w:val="left" w:pos="681"/>
        </w:tabs>
        <w:topLinePunct/>
        <w:snapToGrid w:val="0"/>
        <w:spacing w:beforeLines="25" w:line="300" w:lineRule="auto"/>
        <w:ind w:hanging="568"/>
        <w:jc w:val="both"/>
        <w:rPr>
          <w:kern w:val="2"/>
          <w:szCs w:val="21"/>
        </w:rPr>
      </w:pPr>
      <w:r>
        <w:rPr>
          <w:kern w:val="2"/>
          <w:szCs w:val="21"/>
        </w:rPr>
        <w:t>2.</w:t>
      </w:r>
      <w:r>
        <w:rPr>
          <w:kern w:val="2"/>
          <w:szCs w:val="21"/>
        </w:rPr>
        <w:tab/>
      </w:r>
      <w:r>
        <w:rPr>
          <w:kern w:val="2"/>
          <w:szCs w:val="21"/>
        </w:rPr>
        <w:t>主管机构应制定年度监管活动计划，并分配足够数量的胜任人力和物质资源以执行这些活动，同时应根据第105条和当地条件，考虑到由MDCG制定的欧洲市场监管方案。</w:t>
      </w:r>
    </w:p>
    <w:p w14:paraId="35FC9596">
      <w:pPr>
        <w:pStyle w:val="8"/>
        <w:tabs>
          <w:tab w:val="left" w:pos="681"/>
        </w:tabs>
        <w:topLinePunct/>
        <w:snapToGrid w:val="0"/>
        <w:spacing w:beforeLines="25" w:line="300" w:lineRule="auto"/>
        <w:ind w:left="114" w:firstLine="0"/>
        <w:jc w:val="both"/>
        <w:rPr>
          <w:kern w:val="2"/>
          <w:szCs w:val="21"/>
        </w:rPr>
      </w:pPr>
      <w:r>
        <w:rPr>
          <w:kern w:val="2"/>
          <w:szCs w:val="21"/>
        </w:rPr>
        <w:t>3.</w:t>
      </w:r>
      <w:r>
        <w:rPr>
          <w:kern w:val="2"/>
          <w:szCs w:val="21"/>
        </w:rPr>
        <w:tab/>
      </w:r>
      <w:r>
        <w:rPr>
          <w:kern w:val="2"/>
          <w:szCs w:val="21"/>
        </w:rPr>
        <w:t>为第1段规定的义务，主管机构：</w:t>
      </w:r>
    </w:p>
    <w:p w14:paraId="5D3BDFE5">
      <w:pPr>
        <w:pStyle w:val="32"/>
        <w:numPr>
          <w:ilvl w:val="1"/>
          <w:numId w:val="92"/>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可特别要求经济运营商提供开展主管机构活动所必需的文件和信息，并在有充分理由的情况下提供器械的必要样品或免费使用该器械；和</w:t>
      </w:r>
    </w:p>
    <w:p w14:paraId="4EB3A75D">
      <w:pPr>
        <w:pStyle w:val="32"/>
        <w:numPr>
          <w:ilvl w:val="1"/>
          <w:numId w:val="92"/>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应对经济运营商以及供应商和/或分包商的营业场所，对专业使用者的设施（必要时）进行通知和不通知的（如有必要）检查。</w:t>
      </w:r>
    </w:p>
    <w:p w14:paraId="49B040B6">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主管机构应编制监管活动结果的年度总结报告，并通过第100条所述的电子系统提供给其他主管机构。</w:t>
      </w:r>
    </w:p>
    <w:p w14:paraId="78328967">
      <w:pPr>
        <w:pStyle w:val="8"/>
        <w:tabs>
          <w:tab w:val="left" w:pos="681"/>
        </w:tabs>
        <w:topLinePunct/>
        <w:snapToGrid w:val="0"/>
        <w:spacing w:beforeLines="25" w:line="300" w:lineRule="auto"/>
        <w:ind w:hanging="568"/>
        <w:jc w:val="both"/>
        <w:rPr>
          <w:kern w:val="2"/>
          <w:szCs w:val="21"/>
        </w:rPr>
      </w:pPr>
      <w:r>
        <w:rPr>
          <w:kern w:val="2"/>
          <w:szCs w:val="21"/>
        </w:rPr>
        <w:t>5.</w:t>
      </w:r>
      <w:r>
        <w:rPr>
          <w:kern w:val="2"/>
          <w:szCs w:val="21"/>
        </w:rPr>
        <w:tab/>
      </w:r>
      <w:r>
        <w:rPr>
          <w:kern w:val="2"/>
          <w:szCs w:val="21"/>
        </w:rPr>
        <w:t>当主管机构认为保护有必要公共卫生的利益时，可没收、销毁器械或以其他方式使得具有不可接受风险或伪造器械</w:t>
      </w:r>
      <w:r>
        <w:rPr>
          <w:rFonts w:hint="eastAsia"/>
          <w:kern w:val="2"/>
          <w:szCs w:val="21"/>
        </w:rPr>
        <w:t>停用</w:t>
      </w:r>
      <w:r>
        <w:rPr>
          <w:kern w:val="2"/>
          <w:szCs w:val="21"/>
        </w:rPr>
        <w:t>。</w:t>
      </w:r>
    </w:p>
    <w:p w14:paraId="39018F97">
      <w:pPr>
        <w:pStyle w:val="8"/>
        <w:tabs>
          <w:tab w:val="left" w:pos="681"/>
        </w:tabs>
        <w:topLinePunct/>
        <w:snapToGrid w:val="0"/>
        <w:spacing w:beforeLines="25" w:line="300" w:lineRule="auto"/>
        <w:ind w:hanging="568"/>
        <w:jc w:val="both"/>
        <w:rPr>
          <w:kern w:val="2"/>
          <w:szCs w:val="21"/>
        </w:rPr>
      </w:pPr>
      <w:r>
        <w:rPr>
          <w:kern w:val="2"/>
          <w:szCs w:val="21"/>
        </w:rPr>
        <w:t>6.</w:t>
      </w:r>
      <w:r>
        <w:rPr>
          <w:kern w:val="2"/>
          <w:szCs w:val="21"/>
        </w:rPr>
        <w:tab/>
      </w:r>
      <w:r>
        <w:rPr>
          <w:kern w:val="2"/>
          <w:szCs w:val="21"/>
        </w:rPr>
        <w:t>在</w:t>
      </w:r>
      <w:r>
        <w:rPr>
          <w:rFonts w:hint="eastAsia"/>
          <w:kern w:val="2"/>
          <w:szCs w:val="21"/>
        </w:rPr>
        <w:t>出于</w:t>
      </w:r>
      <w:r>
        <w:rPr>
          <w:kern w:val="2"/>
          <w:szCs w:val="21"/>
        </w:rPr>
        <w:t>第1段所述目的进行的每次检查之后，主管机构应起草一份关于遵守本法规适用的法律和技术要求的检查结果的报告。报告应列出所需的任何纠正措施。</w:t>
      </w:r>
    </w:p>
    <w:p w14:paraId="418AB725">
      <w:pPr>
        <w:pStyle w:val="8"/>
        <w:tabs>
          <w:tab w:val="left" w:pos="681"/>
        </w:tabs>
        <w:topLinePunct/>
        <w:snapToGrid w:val="0"/>
        <w:spacing w:beforeLines="25" w:line="300" w:lineRule="auto"/>
        <w:ind w:hanging="568"/>
        <w:jc w:val="both"/>
        <w:rPr>
          <w:kern w:val="2"/>
          <w:szCs w:val="21"/>
        </w:rPr>
      </w:pPr>
      <w:r>
        <w:rPr>
          <w:kern w:val="2"/>
          <w:szCs w:val="21"/>
        </w:rPr>
        <w:t>7.</w:t>
      </w:r>
      <w:r>
        <w:rPr>
          <w:kern w:val="2"/>
          <w:szCs w:val="21"/>
        </w:rPr>
        <w:tab/>
      </w:r>
      <w:r>
        <w:rPr>
          <w:kern w:val="2"/>
          <w:szCs w:val="21"/>
        </w:rPr>
        <w:t>执行检查的主管机构应将本条第6段所述的报告的内容传达进行检查的经济运营商。在采用</w:t>
      </w:r>
      <w:r>
        <w:rPr>
          <w:rFonts w:hint="eastAsia"/>
          <w:kern w:val="2"/>
          <w:szCs w:val="21"/>
        </w:rPr>
        <w:t>最终</w:t>
      </w:r>
      <w:r>
        <w:rPr>
          <w:kern w:val="2"/>
          <w:szCs w:val="21"/>
        </w:rPr>
        <w:t>报告之前，主管机构应给予</w:t>
      </w:r>
      <w:r>
        <w:rPr>
          <w:rFonts w:hint="eastAsia"/>
          <w:kern w:val="2"/>
          <w:szCs w:val="21"/>
        </w:rPr>
        <w:t>受</w:t>
      </w:r>
      <w:r>
        <w:rPr>
          <w:kern w:val="2"/>
          <w:szCs w:val="21"/>
        </w:rPr>
        <w:t>检查</w:t>
      </w:r>
      <w:r>
        <w:rPr>
          <w:rFonts w:hint="eastAsia"/>
          <w:kern w:val="2"/>
          <w:szCs w:val="21"/>
        </w:rPr>
        <w:t>的</w:t>
      </w:r>
      <w:r>
        <w:rPr>
          <w:kern w:val="2"/>
          <w:szCs w:val="21"/>
        </w:rPr>
        <w:t>经济运营商提交意见的机会。</w:t>
      </w:r>
      <w:r>
        <w:rPr>
          <w:rFonts w:hint="eastAsia"/>
          <w:kern w:val="2"/>
          <w:szCs w:val="21"/>
        </w:rPr>
        <w:t>并</w:t>
      </w:r>
      <w:r>
        <w:rPr>
          <w:kern w:val="2"/>
          <w:szCs w:val="21"/>
        </w:rPr>
        <w:t>应将第最终检验报告输入第100条规定的电子系统。</w:t>
      </w:r>
    </w:p>
    <w:p w14:paraId="0D97CEAC">
      <w:pPr>
        <w:pStyle w:val="8"/>
        <w:tabs>
          <w:tab w:val="left" w:pos="681"/>
        </w:tabs>
        <w:topLinePunct/>
        <w:snapToGrid w:val="0"/>
        <w:spacing w:beforeLines="25" w:line="300" w:lineRule="auto"/>
        <w:ind w:hanging="568"/>
        <w:jc w:val="both"/>
        <w:rPr>
          <w:kern w:val="2"/>
          <w:szCs w:val="21"/>
        </w:rPr>
      </w:pPr>
      <w:r>
        <w:rPr>
          <w:kern w:val="2"/>
          <w:szCs w:val="21"/>
        </w:rPr>
        <w:t>8.</w:t>
      </w:r>
      <w:r>
        <w:rPr>
          <w:kern w:val="2"/>
          <w:szCs w:val="21"/>
        </w:rPr>
        <w:tab/>
      </w:r>
      <w:r>
        <w:rPr>
          <w:kern w:val="2"/>
          <w:szCs w:val="21"/>
        </w:rPr>
        <w:t>成员国应审查并评估其市场监管活动的运行情况。此类审查和评估应至少每四年进行一次，其结果应告知其他成员国和委员会。</w:t>
      </w:r>
      <w:r>
        <w:rPr>
          <w:rFonts w:hint="eastAsia"/>
          <w:kern w:val="2"/>
          <w:szCs w:val="21"/>
        </w:rPr>
        <w:t>各</w:t>
      </w:r>
      <w:r>
        <w:rPr>
          <w:kern w:val="2"/>
          <w:szCs w:val="21"/>
        </w:rPr>
        <w:t>成员国应通过第100条所述电子系统向公众提供结果总结。</w:t>
      </w:r>
    </w:p>
    <w:p w14:paraId="6A9141D8">
      <w:pPr>
        <w:pStyle w:val="8"/>
        <w:tabs>
          <w:tab w:val="left" w:pos="681"/>
        </w:tabs>
        <w:topLinePunct/>
        <w:snapToGrid w:val="0"/>
        <w:spacing w:beforeLines="25" w:line="300" w:lineRule="auto"/>
        <w:ind w:hanging="568"/>
        <w:jc w:val="both"/>
        <w:rPr>
          <w:kern w:val="2"/>
          <w:szCs w:val="21"/>
        </w:rPr>
      </w:pPr>
      <w:r>
        <w:rPr>
          <w:kern w:val="2"/>
          <w:szCs w:val="21"/>
        </w:rPr>
        <w:t>9.</w:t>
      </w:r>
      <w:r>
        <w:rPr>
          <w:kern w:val="2"/>
          <w:szCs w:val="21"/>
        </w:rPr>
        <w:tab/>
      </w:r>
      <w:r>
        <w:rPr>
          <w:kern w:val="2"/>
          <w:szCs w:val="21"/>
        </w:rPr>
        <w:t>成员国主管机构应协调其市场监管活动，彼此合作，并相互以及与委员会分享其结果，以便在所有成员国提供协调一致的高水平市场监管。</w:t>
      </w:r>
    </w:p>
    <w:p w14:paraId="7783973C">
      <w:pPr>
        <w:pStyle w:val="8"/>
        <w:topLinePunct/>
        <w:snapToGrid w:val="0"/>
        <w:spacing w:beforeLines="25" w:line="300" w:lineRule="auto"/>
        <w:ind w:firstLine="0"/>
        <w:jc w:val="both"/>
        <w:rPr>
          <w:kern w:val="2"/>
          <w:szCs w:val="21"/>
        </w:rPr>
      </w:pPr>
      <w:r>
        <w:rPr>
          <w:kern w:val="2"/>
          <w:szCs w:val="21"/>
        </w:rPr>
        <w:t>在适当情况下，成员国主管机构应达成工作共享、联合市场监管活动和专业化的共识。</w:t>
      </w:r>
    </w:p>
    <w:p w14:paraId="4F1A0B3C">
      <w:pPr>
        <w:pStyle w:val="8"/>
        <w:tabs>
          <w:tab w:val="left" w:pos="681"/>
        </w:tabs>
        <w:topLinePunct/>
        <w:snapToGrid w:val="0"/>
        <w:spacing w:beforeLines="25" w:line="300" w:lineRule="auto"/>
        <w:ind w:hanging="568"/>
        <w:jc w:val="both"/>
        <w:rPr>
          <w:kern w:val="2"/>
          <w:szCs w:val="21"/>
        </w:rPr>
      </w:pPr>
      <w:r>
        <w:rPr>
          <w:kern w:val="2"/>
          <w:szCs w:val="21"/>
        </w:rPr>
        <w:t>10.</w:t>
      </w:r>
      <w:r>
        <w:rPr>
          <w:kern w:val="2"/>
          <w:szCs w:val="21"/>
        </w:rPr>
        <w:tab/>
      </w:r>
      <w:r>
        <w:rPr>
          <w:kern w:val="2"/>
          <w:szCs w:val="21"/>
        </w:rPr>
        <w:t>若超过一个成员国的当局负责市场监管和外部边界控制，这些当局应通过分享与其作用和职能有关的信息相互合作。</w:t>
      </w:r>
    </w:p>
    <w:p w14:paraId="1D7C7A25">
      <w:pPr>
        <w:pStyle w:val="8"/>
        <w:tabs>
          <w:tab w:val="left" w:pos="681"/>
        </w:tabs>
        <w:topLinePunct/>
        <w:snapToGrid w:val="0"/>
        <w:spacing w:beforeLines="25" w:line="300" w:lineRule="auto"/>
        <w:ind w:hanging="568"/>
        <w:jc w:val="both"/>
        <w:rPr>
          <w:kern w:val="2"/>
          <w:szCs w:val="21"/>
        </w:rPr>
      </w:pPr>
      <w:r>
        <w:rPr>
          <w:kern w:val="2"/>
          <w:szCs w:val="21"/>
        </w:rPr>
        <w:t>11.</w:t>
      </w:r>
      <w:r>
        <w:rPr>
          <w:kern w:val="2"/>
          <w:szCs w:val="21"/>
        </w:rPr>
        <w:tab/>
      </w:r>
      <w:r>
        <w:rPr>
          <w:kern w:val="2"/>
          <w:szCs w:val="21"/>
        </w:rPr>
        <w:t>在适当情况下，成员国主管机构应与第三类主管机构合作，以便交流信息和技术支持，并促进有关市场监管的活动。</w:t>
      </w:r>
    </w:p>
    <w:p w14:paraId="4340734F">
      <w:pPr>
        <w:snapToGrid w:val="0"/>
        <w:spacing w:beforeLines="25" w:line="300" w:lineRule="auto"/>
        <w:rPr>
          <w:rFonts w:ascii="Times New Roman" w:hAnsi="Times New Roman"/>
          <w:kern w:val="2"/>
          <w:szCs w:val="21"/>
        </w:rPr>
      </w:pPr>
      <w:r>
        <w:rPr>
          <w:rFonts w:ascii="Times New Roman" w:hAnsi="Times New Roman"/>
          <w:kern w:val="2"/>
          <w:szCs w:val="21"/>
        </w:rPr>
        <w:br w:type="page"/>
      </w:r>
    </w:p>
    <w:p w14:paraId="639A33F6">
      <w:pPr>
        <w:snapToGrid w:val="0"/>
        <w:spacing w:beforeLines="25" w:line="288" w:lineRule="auto"/>
        <w:ind w:left="196"/>
        <w:jc w:val="center"/>
        <w:rPr>
          <w:rFonts w:ascii="Times New Roman" w:hAnsi="Times New Roman"/>
          <w:i/>
          <w:kern w:val="2"/>
          <w:szCs w:val="21"/>
        </w:rPr>
      </w:pPr>
      <w:bookmarkStart w:id="107" w:name="Article_69_Evaluation_regarding_devices_"/>
      <w:bookmarkEnd w:id="107"/>
      <w:r>
        <w:rPr>
          <w:rFonts w:ascii="Times New Roman" w:hAnsi="Times New Roman"/>
          <w:i/>
          <w:kern w:val="2"/>
          <w:szCs w:val="21"/>
        </w:rPr>
        <w:t>第94条</w:t>
      </w:r>
    </w:p>
    <w:p w14:paraId="1F3C6FA2">
      <w:pPr>
        <w:snapToGrid w:val="0"/>
        <w:spacing w:beforeLines="25" w:line="288" w:lineRule="auto"/>
        <w:ind w:left="196"/>
        <w:jc w:val="center"/>
        <w:rPr>
          <w:rFonts w:ascii="Times New Roman" w:hAnsi="Times New Roman"/>
          <w:b/>
          <w:kern w:val="2"/>
          <w:szCs w:val="21"/>
        </w:rPr>
      </w:pPr>
      <w:r>
        <w:rPr>
          <w:rFonts w:ascii="Times New Roman" w:hAnsi="Times New Roman"/>
          <w:b/>
          <w:kern w:val="2"/>
          <w:szCs w:val="21"/>
        </w:rPr>
        <w:t>对涉嫌不可接受风险或其他不合规的器械的评估</w:t>
      </w:r>
    </w:p>
    <w:p w14:paraId="5B787E04">
      <w:pPr>
        <w:pStyle w:val="8"/>
        <w:tabs>
          <w:tab w:val="left" w:pos="681"/>
        </w:tabs>
        <w:topLinePunct/>
        <w:snapToGrid w:val="0"/>
        <w:spacing w:beforeLines="25" w:line="288" w:lineRule="auto"/>
        <w:ind w:hanging="568"/>
        <w:jc w:val="both"/>
        <w:rPr>
          <w:kern w:val="2"/>
          <w:szCs w:val="21"/>
        </w:rPr>
      </w:pPr>
      <w:bookmarkStart w:id="108" w:name="Where_the_competent_authorities_of_a_Mem"/>
      <w:bookmarkEnd w:id="108"/>
      <w:r>
        <w:rPr>
          <w:kern w:val="2"/>
          <w:szCs w:val="21"/>
        </w:rPr>
        <w:t>根据通过警戒或市场监管活动获得的数据或其他信息，成员国的主管机构有理由相信器械：</w:t>
      </w:r>
    </w:p>
    <w:p w14:paraId="7C919D33">
      <w:pPr>
        <w:pStyle w:val="8"/>
        <w:tabs>
          <w:tab w:val="left" w:pos="681"/>
        </w:tabs>
        <w:topLinePunct/>
        <w:snapToGrid w:val="0"/>
        <w:spacing w:beforeLines="25" w:line="288" w:lineRule="auto"/>
        <w:ind w:hanging="568"/>
        <w:jc w:val="both"/>
        <w:rPr>
          <w:kern w:val="2"/>
          <w:szCs w:val="21"/>
        </w:rPr>
      </w:pPr>
      <w:bookmarkStart w:id="109" w:name="-_may_present_an_unacceptable_risk"/>
      <w:bookmarkEnd w:id="109"/>
      <w:bookmarkStart w:id="110" w:name="=_to_the_health_or_safety_of_patients,_u"/>
      <w:bookmarkEnd w:id="110"/>
      <w:r>
        <w:rPr>
          <w:kern w:val="2"/>
          <w:szCs w:val="21"/>
        </w:rPr>
        <w:t>（a）</w:t>
      </w:r>
      <w:r>
        <w:rPr>
          <w:rFonts w:hint="eastAsia"/>
          <w:kern w:val="2"/>
          <w:szCs w:val="21"/>
        </w:rPr>
        <w:t>对</w:t>
      </w:r>
      <w:r>
        <w:rPr>
          <w:kern w:val="2"/>
          <w:szCs w:val="21"/>
        </w:rPr>
        <w:t>患者、使用者或其他人的健康或安全，或</w:t>
      </w:r>
      <w:bookmarkStart w:id="111" w:name="=_to_other_aspects_of_the_protection_of_"/>
      <w:bookmarkEnd w:id="111"/>
      <w:r>
        <w:rPr>
          <w:kern w:val="2"/>
          <w:szCs w:val="21"/>
        </w:rPr>
        <w:t>公共卫生保护的其他方面存在不可接受的风险</w:t>
      </w:r>
      <w:r>
        <w:rPr>
          <w:rFonts w:hint="eastAsia"/>
          <w:kern w:val="2"/>
          <w:szCs w:val="21"/>
        </w:rPr>
        <w:t>；</w:t>
      </w:r>
      <w:r>
        <w:rPr>
          <w:kern w:val="2"/>
          <w:szCs w:val="21"/>
        </w:rPr>
        <w:t>或</w:t>
      </w:r>
    </w:p>
    <w:p w14:paraId="5D1DD409">
      <w:pPr>
        <w:pStyle w:val="8"/>
        <w:tabs>
          <w:tab w:val="left" w:pos="681"/>
        </w:tabs>
        <w:topLinePunct/>
        <w:snapToGrid w:val="0"/>
        <w:spacing w:beforeLines="25" w:line="288" w:lineRule="auto"/>
        <w:ind w:hanging="568"/>
        <w:jc w:val="both"/>
        <w:rPr>
          <w:kern w:val="2"/>
          <w:szCs w:val="21"/>
        </w:rPr>
      </w:pPr>
      <w:bookmarkStart w:id="112" w:name="-_otherwise_does_not_comply_with_the_req"/>
      <w:bookmarkEnd w:id="112"/>
      <w:r>
        <w:rPr>
          <w:kern w:val="2"/>
          <w:szCs w:val="21"/>
        </w:rPr>
        <w:t>（b）否则不符合本法规规定的要求，</w:t>
      </w:r>
    </w:p>
    <w:p w14:paraId="7A14786C">
      <w:pPr>
        <w:pStyle w:val="8"/>
        <w:tabs>
          <w:tab w:val="left" w:pos="681"/>
        </w:tabs>
        <w:topLinePunct/>
        <w:snapToGrid w:val="0"/>
        <w:spacing w:beforeLines="25" w:line="288" w:lineRule="auto"/>
        <w:ind w:left="113" w:firstLine="0"/>
        <w:jc w:val="both"/>
        <w:rPr>
          <w:kern w:val="2"/>
          <w:szCs w:val="21"/>
        </w:rPr>
      </w:pPr>
      <w:bookmarkStart w:id="113" w:name="they_shall_carry_out_an_evaluation_in_re"/>
      <w:bookmarkEnd w:id="113"/>
      <w:r>
        <w:rPr>
          <w:kern w:val="2"/>
          <w:szCs w:val="21"/>
        </w:rPr>
        <w:t>其应对涉及器械的法规规定的所有相关要求进行评估：</w:t>
      </w:r>
      <w:bookmarkStart w:id="114" w:name="-_to_the_risk_presented_by_the_device,"/>
      <w:bookmarkEnd w:id="114"/>
      <w:r>
        <w:rPr>
          <w:kern w:val="2"/>
          <w:szCs w:val="21"/>
        </w:rPr>
        <w:t>由器械呈现的相关风险，</w:t>
      </w:r>
      <w:bookmarkStart w:id="115" w:name="or"/>
      <w:bookmarkEnd w:id="115"/>
      <w:r>
        <w:rPr>
          <w:kern w:val="2"/>
          <w:szCs w:val="21"/>
        </w:rPr>
        <w:t>或</w:t>
      </w:r>
      <w:bookmarkStart w:id="116" w:name="-_to_any_other_non-compliance_of_the_dev"/>
      <w:bookmarkEnd w:id="116"/>
      <w:r>
        <w:rPr>
          <w:kern w:val="2"/>
          <w:szCs w:val="21"/>
        </w:rPr>
        <w:t>与器械的任何其他不符</w:t>
      </w:r>
      <w:r>
        <w:rPr>
          <w:rFonts w:hint="eastAsia"/>
          <w:kern w:val="2"/>
          <w:szCs w:val="21"/>
        </w:rPr>
        <w:t>合项</w:t>
      </w:r>
      <w:r>
        <w:rPr>
          <w:kern w:val="2"/>
          <w:szCs w:val="21"/>
        </w:rPr>
        <w:t>。</w:t>
      </w:r>
    </w:p>
    <w:p w14:paraId="7BDAF3D7">
      <w:pPr>
        <w:pStyle w:val="8"/>
        <w:tabs>
          <w:tab w:val="left" w:pos="681"/>
        </w:tabs>
        <w:topLinePunct/>
        <w:snapToGrid w:val="0"/>
        <w:spacing w:beforeLines="25" w:line="288" w:lineRule="auto"/>
        <w:ind w:hanging="568"/>
        <w:jc w:val="both"/>
        <w:rPr>
          <w:kern w:val="2"/>
          <w:szCs w:val="21"/>
        </w:rPr>
      </w:pPr>
      <w:bookmarkStart w:id="117" w:name="The_relevant_economic_operators_shall_co"/>
      <w:bookmarkEnd w:id="117"/>
      <w:r>
        <w:rPr>
          <w:kern w:val="2"/>
          <w:szCs w:val="21"/>
        </w:rPr>
        <w:t>相关经济运营商应与主管机构合作。</w:t>
      </w:r>
    </w:p>
    <w:p w14:paraId="04000F4A">
      <w:pPr>
        <w:snapToGrid w:val="0"/>
        <w:spacing w:beforeLines="25" w:line="288" w:lineRule="auto"/>
        <w:ind w:left="196"/>
        <w:jc w:val="center"/>
        <w:rPr>
          <w:rFonts w:ascii="Times New Roman" w:hAnsi="Times New Roman"/>
          <w:i/>
          <w:kern w:val="2"/>
          <w:szCs w:val="21"/>
        </w:rPr>
      </w:pPr>
    </w:p>
    <w:p w14:paraId="59AA55F9">
      <w:pPr>
        <w:snapToGrid w:val="0"/>
        <w:spacing w:beforeLines="25" w:line="288" w:lineRule="auto"/>
        <w:ind w:left="196"/>
        <w:jc w:val="center"/>
        <w:rPr>
          <w:rStyle w:val="48"/>
          <w:b/>
          <w:szCs w:val="21"/>
        </w:rPr>
      </w:pPr>
      <w:r>
        <w:rPr>
          <w:rFonts w:ascii="Times New Roman" w:hAnsi="Times New Roman"/>
          <w:i/>
          <w:kern w:val="2"/>
          <w:szCs w:val="21"/>
        </w:rPr>
        <w:t>第95条</w:t>
      </w:r>
    </w:p>
    <w:p w14:paraId="2207CD60">
      <w:pPr>
        <w:pStyle w:val="3"/>
        <w:spacing w:before="78" w:line="288" w:lineRule="auto"/>
        <w:rPr>
          <w:rStyle w:val="48"/>
          <w:b/>
          <w:i w:val="0"/>
          <w:szCs w:val="28"/>
        </w:rPr>
      </w:pPr>
      <w:r>
        <w:rPr>
          <w:b/>
          <w:i w:val="0"/>
        </w:rPr>
        <w:t>对健康和安全带来不可接受风险的器械的处理程序</w:t>
      </w:r>
    </w:p>
    <w:p w14:paraId="143801ED">
      <w:pPr>
        <w:pStyle w:val="32"/>
        <w:numPr>
          <w:ilvl w:val="0"/>
          <w:numId w:val="93"/>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当根据第94条执行评估后，倘若主管机构发现该器械可能对患者、使用者或其他人的健康和安全、或对保障公众健康的其他方面带来不可接受的风险，则主管机构应符合本法规相关器械所带来风险要求同时与风险性质相称，立即要求相关器械的制造商、其授权代表和其他所有相关经济运营商采取一切适当且合理的纠正措施，以限制该器械在市场上的流通，或使该器械的流通遵守特定要求，或将该器械撤出市场，或在明确确定</w:t>
      </w:r>
      <w:r>
        <w:rPr>
          <w:rFonts w:hint="eastAsia" w:ascii="Times New Roman" w:hAnsi="Times New Roman"/>
          <w:kern w:val="2"/>
          <w:szCs w:val="21"/>
        </w:rPr>
        <w:t>的</w:t>
      </w:r>
      <w:r>
        <w:rPr>
          <w:rFonts w:ascii="Times New Roman" w:hAnsi="Times New Roman"/>
          <w:kern w:val="2"/>
          <w:szCs w:val="21"/>
        </w:rPr>
        <w:t>合理期限内召回该器械，并</w:t>
      </w:r>
      <w:r>
        <w:rPr>
          <w:rFonts w:hint="eastAsia" w:ascii="Times New Roman" w:hAnsi="Times New Roman"/>
          <w:kern w:val="2"/>
          <w:szCs w:val="21"/>
        </w:rPr>
        <w:t>将其</w:t>
      </w:r>
      <w:r>
        <w:rPr>
          <w:rFonts w:ascii="Times New Roman" w:hAnsi="Times New Roman"/>
          <w:kern w:val="2"/>
          <w:szCs w:val="21"/>
        </w:rPr>
        <w:t>传达给相关经济运营商。</w:t>
      </w:r>
    </w:p>
    <w:p w14:paraId="4D6C83A5">
      <w:pPr>
        <w:pStyle w:val="32"/>
        <w:numPr>
          <w:ilvl w:val="0"/>
          <w:numId w:val="93"/>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主管机构应通过第100条所述的电子系统立即通知委员会、其他成员国和根据第56条为有关器械颁发证书的公告机构，评估结果及其要求经济运营商采取的行动。</w:t>
      </w:r>
    </w:p>
    <w:p w14:paraId="15CC87A8">
      <w:pPr>
        <w:pStyle w:val="32"/>
        <w:numPr>
          <w:ilvl w:val="0"/>
          <w:numId w:val="93"/>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对于已投放至整个欧盟市场的所有相关器械，第1段中所述的经济运营商应立即确保在整个欧盟采取所有适当的纠正措施。</w:t>
      </w:r>
    </w:p>
    <w:p w14:paraId="50F6C5C0">
      <w:pPr>
        <w:pStyle w:val="32"/>
        <w:numPr>
          <w:ilvl w:val="0"/>
          <w:numId w:val="93"/>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若第1段中所述的经济运营商在第1段所述期限内未采取适当的纠正措施，主管机构应采取一切适当措施，禁止或限制该器械出现在其国内市场，并将器械从该市场撤出或召回。</w:t>
      </w:r>
    </w:p>
    <w:p w14:paraId="2002CFAC">
      <w:pPr>
        <w:pStyle w:val="8"/>
        <w:topLinePunct/>
        <w:snapToGrid w:val="0"/>
        <w:spacing w:beforeLines="25" w:line="288" w:lineRule="auto"/>
        <w:ind w:firstLine="0"/>
        <w:jc w:val="both"/>
        <w:rPr>
          <w:kern w:val="2"/>
          <w:szCs w:val="21"/>
        </w:rPr>
      </w:pPr>
      <w:bookmarkStart w:id="118" w:name="They_shall_notify_the_Commission,_the_ot"/>
      <w:bookmarkEnd w:id="118"/>
      <w:r>
        <w:rPr>
          <w:kern w:val="2"/>
          <w:szCs w:val="21"/>
        </w:rPr>
        <w:t>主管机构应通过第100条所述电子系统，立即将这些措施通知委员会、其他成员国和本条第2段中所述的公告机构。</w:t>
      </w:r>
    </w:p>
    <w:p w14:paraId="36631CF8">
      <w:pPr>
        <w:pStyle w:val="32"/>
        <w:numPr>
          <w:ilvl w:val="0"/>
          <w:numId w:val="93"/>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第4段所述的通知应包括所有可用的详细信息，特别是识别和追踪不合规器械所必需的数据、器械来源、器械不合规项的性质和原因以及相关风险、所采取的国家措施的性质和持续时间、以及相关经济运营商提出的争论。</w:t>
      </w:r>
    </w:p>
    <w:p w14:paraId="0EDC49D0">
      <w:pPr>
        <w:pStyle w:val="32"/>
        <w:numPr>
          <w:ilvl w:val="0"/>
          <w:numId w:val="93"/>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除启动程序的成员国以外的成员国应立即通过第100条所述的电子系统，向就任何其他有关器械不合规的相关信息以及其就有关器械采取的任何措施通知委员会和其他成员国。</w:t>
      </w:r>
    </w:p>
    <w:p w14:paraId="6578E52E">
      <w:pPr>
        <w:pStyle w:val="8"/>
        <w:topLinePunct/>
        <w:snapToGrid w:val="0"/>
        <w:spacing w:beforeLines="25" w:line="288" w:lineRule="auto"/>
        <w:ind w:left="680" w:firstLine="0"/>
        <w:jc w:val="both"/>
        <w:rPr>
          <w:kern w:val="2"/>
          <w:szCs w:val="21"/>
        </w:rPr>
      </w:pPr>
      <w:r>
        <w:rPr>
          <w:kern w:val="2"/>
          <w:szCs w:val="21"/>
        </w:rPr>
        <w:t>若与通告国家措施不一致，应立即通过第100条所述电子系统通知委员会和其他成员国其反对意见。</w:t>
      </w:r>
    </w:p>
    <w:p w14:paraId="12E4EEB9">
      <w:pPr>
        <w:pStyle w:val="32"/>
        <w:numPr>
          <w:ilvl w:val="0"/>
          <w:numId w:val="93"/>
        </w:numPr>
        <w:tabs>
          <w:tab w:val="left" w:pos="682"/>
        </w:tabs>
        <w:topLinePunct/>
        <w:snapToGrid w:val="0"/>
        <w:spacing w:beforeLines="25" w:line="288" w:lineRule="auto"/>
        <w:ind w:hanging="567"/>
        <w:jc w:val="both"/>
        <w:rPr>
          <w:rFonts w:ascii="Times New Roman" w:hAnsi="Times New Roman"/>
          <w:kern w:val="2"/>
          <w:szCs w:val="21"/>
        </w:rPr>
      </w:pPr>
      <w:bookmarkStart w:id="119" w:name="7._Where,_within_two_months_of_receipt_o"/>
      <w:bookmarkEnd w:id="119"/>
      <w:r>
        <w:rPr>
          <w:rFonts w:ascii="Times New Roman" w:hAnsi="Times New Roman"/>
          <w:kern w:val="2"/>
          <w:szCs w:val="21"/>
        </w:rPr>
        <w:t>在收到第4段中所述的通知后的两个月内，倘若成员国或委员会均未对某一成员国所采取的任何措施提出反对意见，则此类措施应视为合理。</w:t>
      </w:r>
    </w:p>
    <w:p w14:paraId="3E2AA08C">
      <w:pPr>
        <w:pStyle w:val="32"/>
        <w:tabs>
          <w:tab w:val="left" w:pos="682"/>
        </w:tabs>
        <w:topLinePunct/>
        <w:snapToGrid w:val="0"/>
        <w:spacing w:beforeLines="25" w:line="288" w:lineRule="auto"/>
        <w:ind w:left="681"/>
        <w:jc w:val="both"/>
        <w:rPr>
          <w:rFonts w:ascii="Times New Roman" w:hAnsi="Times New Roman"/>
          <w:kern w:val="2"/>
          <w:szCs w:val="21"/>
        </w:rPr>
      </w:pPr>
      <w:r>
        <w:rPr>
          <w:rFonts w:ascii="Times New Roman" w:hAnsi="Times New Roman"/>
          <w:kern w:val="2"/>
          <w:szCs w:val="21"/>
        </w:rPr>
        <w:t>在这种情况下，则所有成员国应确保立即对相关器械采取适当的限制性或禁止性措施，包括撤回、召回该器械，或限制其在全国市场上的流通。</w:t>
      </w:r>
    </w:p>
    <w:p w14:paraId="501E2A3F">
      <w:pPr>
        <w:snapToGrid w:val="0"/>
        <w:spacing w:beforeLines="25" w:line="288" w:lineRule="auto"/>
        <w:ind w:left="196"/>
        <w:jc w:val="center"/>
        <w:rPr>
          <w:rFonts w:ascii="Times New Roman" w:hAnsi="Times New Roman"/>
          <w:i/>
          <w:kern w:val="2"/>
          <w:szCs w:val="21"/>
        </w:rPr>
      </w:pPr>
    </w:p>
    <w:p w14:paraId="0861C647">
      <w:pPr>
        <w:snapToGrid w:val="0"/>
        <w:spacing w:beforeLines="25" w:line="288" w:lineRule="auto"/>
        <w:ind w:left="196"/>
        <w:jc w:val="center"/>
        <w:rPr>
          <w:rStyle w:val="48"/>
          <w:b/>
          <w:szCs w:val="21"/>
        </w:rPr>
      </w:pPr>
      <w:r>
        <w:rPr>
          <w:rFonts w:ascii="Times New Roman" w:hAnsi="Times New Roman"/>
          <w:i/>
          <w:kern w:val="2"/>
          <w:szCs w:val="21"/>
        </w:rPr>
        <w:t>第96条</w:t>
      </w:r>
    </w:p>
    <w:p w14:paraId="17C19A7C">
      <w:pPr>
        <w:snapToGrid w:val="0"/>
        <w:spacing w:beforeLines="25" w:line="288" w:lineRule="auto"/>
        <w:ind w:left="195"/>
        <w:jc w:val="center"/>
        <w:rPr>
          <w:rStyle w:val="48"/>
          <w:b/>
          <w:szCs w:val="21"/>
        </w:rPr>
      </w:pPr>
      <w:r>
        <w:rPr>
          <w:rFonts w:ascii="Times New Roman" w:hAnsi="Times New Roman"/>
          <w:b/>
          <w:kern w:val="2"/>
          <w:szCs w:val="21"/>
        </w:rPr>
        <w:t>在欧盟层面评估国家措施的流程</w:t>
      </w:r>
    </w:p>
    <w:p w14:paraId="597907CD">
      <w:pPr>
        <w:pStyle w:val="32"/>
        <w:numPr>
          <w:ilvl w:val="0"/>
          <w:numId w:val="94"/>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在收到第95(4)条所述的通知后的两个月内，倘若某一成员国对另一成员国采取的措施提出反对意见，或委员会认为该措施违反欧盟法律，则在咨询相关主管机构和相关经济运营商（如有必要）后，委员会应评估该国家措施。基于该评估结果，委员会可通过实施细则来决议该国家措施是否合理。</w:t>
      </w:r>
      <w:r>
        <w:rPr>
          <w:rFonts w:hint="eastAsia" w:ascii="Times New Roman" w:hAnsi="Times New Roman"/>
          <w:kern w:val="2"/>
          <w:szCs w:val="21"/>
        </w:rPr>
        <w:t>此外，</w:t>
      </w:r>
      <w:r>
        <w:rPr>
          <w:rFonts w:ascii="Times New Roman" w:hAnsi="Times New Roman"/>
          <w:kern w:val="2"/>
          <w:szCs w:val="21"/>
        </w:rPr>
        <w:t>应按照第114(3)条中述及的审查规程通过这些实施细则。</w:t>
      </w:r>
    </w:p>
    <w:p w14:paraId="4B9262AE">
      <w:pPr>
        <w:pStyle w:val="32"/>
        <w:numPr>
          <w:ilvl w:val="0"/>
          <w:numId w:val="94"/>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若委员会认为本条第1段所述的国家措施合理，则第95(7)条</w:t>
      </w:r>
      <w:r>
        <w:rPr>
          <w:rFonts w:hint="eastAsia" w:ascii="Times New Roman" w:hAnsi="Times New Roman"/>
          <w:kern w:val="2"/>
          <w:szCs w:val="21"/>
        </w:rPr>
        <w:t>第二子段</w:t>
      </w:r>
      <w:r>
        <w:rPr>
          <w:rFonts w:ascii="Times New Roman" w:hAnsi="Times New Roman"/>
          <w:kern w:val="2"/>
          <w:szCs w:val="21"/>
        </w:rPr>
        <w:t>应适用。若委员会认为该国家措施不合理，则有关成员国应撤销该措施。</w:t>
      </w:r>
    </w:p>
    <w:p w14:paraId="292427DD">
      <w:pPr>
        <w:pStyle w:val="8"/>
        <w:topLinePunct/>
        <w:snapToGrid w:val="0"/>
        <w:spacing w:beforeLines="25" w:line="288" w:lineRule="auto"/>
        <w:ind w:firstLine="0"/>
        <w:jc w:val="both"/>
        <w:rPr>
          <w:kern w:val="2"/>
          <w:szCs w:val="21"/>
        </w:rPr>
      </w:pPr>
      <w:r>
        <w:rPr>
          <w:kern w:val="2"/>
          <w:szCs w:val="21"/>
        </w:rPr>
        <w:t>在收到第95(4)条所述的通知后的八个月内，若委员会未按照本条第1段采纳一项决议，则该国家措施应视为合理。</w:t>
      </w:r>
    </w:p>
    <w:p w14:paraId="3017E7D2">
      <w:pPr>
        <w:pStyle w:val="8"/>
        <w:tabs>
          <w:tab w:val="left" w:pos="681"/>
        </w:tabs>
        <w:topLinePunct/>
        <w:snapToGrid w:val="0"/>
        <w:spacing w:beforeLines="25" w:line="288" w:lineRule="auto"/>
        <w:ind w:hanging="568"/>
        <w:jc w:val="both"/>
        <w:rPr>
          <w:kern w:val="2"/>
          <w:szCs w:val="21"/>
        </w:rPr>
      </w:pPr>
      <w:r>
        <w:rPr>
          <w:kern w:val="2"/>
          <w:szCs w:val="21"/>
        </w:rPr>
        <w:t>3.</w:t>
      </w:r>
      <w:r>
        <w:rPr>
          <w:kern w:val="2"/>
          <w:szCs w:val="21"/>
        </w:rPr>
        <w:tab/>
      </w:r>
      <w:r>
        <w:rPr>
          <w:kern w:val="2"/>
          <w:szCs w:val="21"/>
        </w:rPr>
        <w:t>若某一成员国或委员会认为，某个器械对健康和安全造成的风险无法通过相关成员国采取的措施得到圆满解决，则委员会可在相关成员国的要求下或自行决议通过实施细则采取必要且正当合理的措施，以确保健康和安全得到保障，该措施包括限制或禁止将相关器械投放市场或投入使用。应按照第114(3)条中述及的审查规程通过这些实施细则。</w:t>
      </w:r>
    </w:p>
    <w:p w14:paraId="29195CA8">
      <w:pPr>
        <w:snapToGrid w:val="0"/>
        <w:spacing w:beforeLines="25" w:line="288" w:lineRule="auto"/>
        <w:ind w:left="196"/>
        <w:jc w:val="center"/>
        <w:rPr>
          <w:rFonts w:ascii="Times New Roman" w:hAnsi="Times New Roman"/>
          <w:i/>
          <w:kern w:val="2"/>
          <w:szCs w:val="21"/>
        </w:rPr>
      </w:pPr>
      <w:r>
        <w:rPr>
          <w:rFonts w:ascii="Times New Roman" w:hAnsi="Times New Roman"/>
          <w:i/>
          <w:kern w:val="2"/>
          <w:szCs w:val="21"/>
        </w:rPr>
        <w:t>第97条</w:t>
      </w:r>
    </w:p>
    <w:p w14:paraId="6F380B91">
      <w:pPr>
        <w:snapToGrid w:val="0"/>
        <w:spacing w:beforeLines="25" w:line="288" w:lineRule="auto"/>
        <w:ind w:left="196"/>
        <w:jc w:val="center"/>
        <w:rPr>
          <w:rFonts w:ascii="Times New Roman" w:hAnsi="Times New Roman"/>
          <w:b/>
          <w:kern w:val="2"/>
          <w:szCs w:val="21"/>
        </w:rPr>
      </w:pPr>
      <w:r>
        <w:rPr>
          <w:rFonts w:ascii="Times New Roman" w:hAnsi="Times New Roman"/>
          <w:b/>
          <w:kern w:val="2"/>
          <w:szCs w:val="21"/>
        </w:rPr>
        <w:t>其他不合规项</w:t>
      </w:r>
    </w:p>
    <w:p w14:paraId="4B8DE055">
      <w:pPr>
        <w:pStyle w:val="32"/>
        <w:numPr>
          <w:ilvl w:val="0"/>
          <w:numId w:val="95"/>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当根据第94条执行评估后，倘若某一成员国的主管机构发现某个器械不符合本法规规定的要求，但不对患者、使用者或其他人的健康和安全、或对保障公众健康的其他方面带来不可接受的风险，则该成员国可要求相关经济运营商在合理期限内解决相关不合规项，该期限应予以明确确定，并传达给经济运营商，同时与不符合性相称。</w:t>
      </w:r>
    </w:p>
    <w:p w14:paraId="640213AD">
      <w:pPr>
        <w:pStyle w:val="32"/>
        <w:numPr>
          <w:ilvl w:val="0"/>
          <w:numId w:val="95"/>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倘若经济运营商未在本条第1段所述的期限内解决该不符合性，则相关成员国应及时采取一切适当措施，限制或禁止该产品在市场上流通，或确保其从市场上召回或撤出。该成员国应通过第1</w:t>
      </w:r>
      <w:r>
        <w:rPr>
          <w:rFonts w:hint="eastAsia" w:ascii="Times New Roman" w:hAnsi="Times New Roman"/>
          <w:kern w:val="2"/>
          <w:szCs w:val="21"/>
        </w:rPr>
        <w:t>0</w:t>
      </w:r>
      <w:r>
        <w:rPr>
          <w:rFonts w:ascii="Times New Roman" w:hAnsi="Times New Roman"/>
          <w:kern w:val="2"/>
          <w:szCs w:val="21"/>
        </w:rPr>
        <w:t>0条所述的电子系统立即通知委员会和其他成员国这些措施。</w:t>
      </w:r>
    </w:p>
    <w:p w14:paraId="30EDB0D4">
      <w:pPr>
        <w:pStyle w:val="32"/>
        <w:numPr>
          <w:ilvl w:val="0"/>
          <w:numId w:val="95"/>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为确保均适用本条规定，委员会可通过实施细则规定由主管机构采取的适当措施解决有关不合规项。应按照第114(3)条中述及的审查规程通过这些实施细则。</w:t>
      </w:r>
    </w:p>
    <w:p w14:paraId="55FBFD8B">
      <w:pPr>
        <w:snapToGrid w:val="0"/>
        <w:spacing w:beforeLines="25" w:line="288" w:lineRule="auto"/>
        <w:ind w:left="196"/>
        <w:jc w:val="center"/>
        <w:rPr>
          <w:rFonts w:ascii="Times New Roman" w:hAnsi="Times New Roman"/>
          <w:i/>
          <w:kern w:val="2"/>
          <w:szCs w:val="21"/>
        </w:rPr>
      </w:pPr>
    </w:p>
    <w:p w14:paraId="1B846695">
      <w:pPr>
        <w:snapToGrid w:val="0"/>
        <w:spacing w:beforeLines="25" w:line="288" w:lineRule="auto"/>
        <w:ind w:left="196"/>
        <w:jc w:val="center"/>
        <w:rPr>
          <w:rStyle w:val="48"/>
          <w:b/>
          <w:szCs w:val="21"/>
        </w:rPr>
      </w:pPr>
      <w:r>
        <w:rPr>
          <w:rFonts w:ascii="Times New Roman" w:hAnsi="Times New Roman"/>
          <w:i/>
          <w:kern w:val="2"/>
          <w:szCs w:val="21"/>
        </w:rPr>
        <w:t>第98条</w:t>
      </w:r>
    </w:p>
    <w:p w14:paraId="640A9C4A">
      <w:pPr>
        <w:snapToGrid w:val="0"/>
        <w:spacing w:beforeLines="25" w:line="288" w:lineRule="auto"/>
        <w:ind w:left="195"/>
        <w:jc w:val="center"/>
        <w:rPr>
          <w:rStyle w:val="48"/>
          <w:b/>
          <w:szCs w:val="21"/>
        </w:rPr>
      </w:pPr>
      <w:r>
        <w:rPr>
          <w:rFonts w:ascii="Times New Roman" w:hAnsi="Times New Roman"/>
          <w:b/>
          <w:kern w:val="2"/>
          <w:szCs w:val="21"/>
        </w:rPr>
        <w:t>预防性健康保护措施</w:t>
      </w:r>
    </w:p>
    <w:p w14:paraId="3CA359B0">
      <w:pPr>
        <w:pStyle w:val="32"/>
        <w:numPr>
          <w:ilvl w:val="0"/>
          <w:numId w:val="96"/>
        </w:numPr>
        <w:tabs>
          <w:tab w:val="left" w:pos="682"/>
        </w:tabs>
        <w:topLinePunct/>
        <w:snapToGrid w:val="0"/>
        <w:spacing w:beforeLines="25" w:line="288" w:lineRule="auto"/>
        <w:ind w:hanging="567"/>
        <w:jc w:val="both"/>
        <w:rPr>
          <w:rFonts w:ascii="Times New Roman" w:hAnsi="Times New Roman"/>
          <w:kern w:val="2"/>
          <w:szCs w:val="21"/>
        </w:rPr>
      </w:pPr>
      <w:r>
        <w:rPr>
          <w:rFonts w:ascii="Times New Roman" w:hAnsi="Times New Roman"/>
          <w:kern w:val="2"/>
          <w:szCs w:val="21"/>
        </w:rPr>
        <w:t>若成员国在进行了表明与器械或特定类别或器械组相关的潜在风险评估之后认为，为保护患者、使用者或其他人员的健康和安全或公共卫生其他方面，应禁止、限制或遵守特定要求，方可在市场上出售或使用器械或特定类别或器械组，或应采取任何必要和正当措施从市场撤出或召回这种器械或类别或器械组。</w:t>
      </w:r>
    </w:p>
    <w:p w14:paraId="1FB19AA5">
      <w:pPr>
        <w:pStyle w:val="32"/>
        <w:numPr>
          <w:ilvl w:val="0"/>
          <w:numId w:val="96"/>
        </w:numPr>
        <w:tabs>
          <w:tab w:val="left" w:pos="682"/>
        </w:tabs>
        <w:topLinePunct/>
        <w:snapToGrid w:val="0"/>
        <w:spacing w:beforeLines="15" w:line="288" w:lineRule="auto"/>
        <w:ind w:hanging="567"/>
        <w:jc w:val="both"/>
        <w:rPr>
          <w:rFonts w:ascii="Times New Roman" w:hAnsi="Times New Roman"/>
          <w:kern w:val="2"/>
          <w:szCs w:val="21"/>
        </w:rPr>
      </w:pPr>
      <w:r>
        <w:rPr>
          <w:rFonts w:ascii="Times New Roman" w:hAnsi="Times New Roman"/>
          <w:kern w:val="2"/>
          <w:szCs w:val="21"/>
          <w:lang w:val="en-US"/>
        </w:rPr>
        <w:t>第1段中所述的</w:t>
      </w:r>
      <w:r>
        <w:rPr>
          <w:rFonts w:ascii="Times New Roman" w:hAnsi="Times New Roman"/>
          <w:kern w:val="2"/>
          <w:szCs w:val="21"/>
        </w:rPr>
        <w:t>成员国应通过第100条所述的电子系统，立即通知委员会和所有其他成员国，说明做出决议的理由。</w:t>
      </w:r>
    </w:p>
    <w:p w14:paraId="445CD9C2">
      <w:pPr>
        <w:pStyle w:val="32"/>
        <w:numPr>
          <w:ilvl w:val="0"/>
          <w:numId w:val="96"/>
        </w:numPr>
        <w:tabs>
          <w:tab w:val="left" w:pos="682"/>
        </w:tabs>
        <w:topLinePunct/>
        <w:snapToGrid w:val="0"/>
        <w:spacing w:beforeLines="15" w:line="288" w:lineRule="auto"/>
        <w:ind w:hanging="567"/>
        <w:jc w:val="both"/>
        <w:rPr>
          <w:rFonts w:ascii="Times New Roman" w:hAnsi="Times New Roman"/>
          <w:kern w:val="2"/>
          <w:szCs w:val="21"/>
        </w:rPr>
      </w:pPr>
      <w:r>
        <w:rPr>
          <w:rFonts w:ascii="Times New Roman" w:hAnsi="Times New Roman"/>
          <w:kern w:val="2"/>
          <w:szCs w:val="21"/>
        </w:rPr>
        <w:t>委员会应与MDCG或有关经济运营商（必要时）咨询，对采取的国家措施进行评估。委员会可通过实施细则来决议该国家措施是否合理。倘若委员会未于其通知后的六个月内进行决议，则该国家措施应视为合理。应按照第114(3)条中述及的审查规程通过这些实施细则。</w:t>
      </w:r>
    </w:p>
    <w:p w14:paraId="3040302A">
      <w:pPr>
        <w:pStyle w:val="32"/>
        <w:numPr>
          <w:ilvl w:val="0"/>
          <w:numId w:val="96"/>
        </w:numPr>
        <w:tabs>
          <w:tab w:val="left" w:pos="682"/>
        </w:tabs>
        <w:topLinePunct/>
        <w:snapToGrid w:val="0"/>
        <w:spacing w:beforeLines="15" w:line="288" w:lineRule="auto"/>
        <w:ind w:hanging="567"/>
        <w:jc w:val="both"/>
        <w:rPr>
          <w:rFonts w:ascii="Times New Roman" w:hAnsi="Times New Roman"/>
          <w:kern w:val="2"/>
          <w:szCs w:val="21"/>
        </w:rPr>
      </w:pPr>
      <w:r>
        <w:rPr>
          <w:rFonts w:ascii="Times New Roman" w:hAnsi="Times New Roman"/>
          <w:kern w:val="2"/>
          <w:szCs w:val="21"/>
        </w:rPr>
        <w:t>倘若本条第3段所述的评估表明，为保障患者、使用者或其他个人的健康和安全或公众健康的其他方面，应禁止或限制某个器械或特定的器械类别或分组在市场上流通或投入使用，或应使其服从特定要求，或应将此类器械或器械类别或分组从市场上撤出或从各成员国中召回，则委员会应采取适当合理的措施。可根据第114(3)条所述的审查程序采取执行实施细则。</w:t>
      </w:r>
    </w:p>
    <w:p w14:paraId="708AD554">
      <w:pPr>
        <w:snapToGrid w:val="0"/>
        <w:spacing w:beforeLines="15" w:line="288" w:lineRule="auto"/>
        <w:ind w:left="196"/>
        <w:jc w:val="center"/>
        <w:rPr>
          <w:rFonts w:ascii="Times New Roman" w:hAnsi="Times New Roman"/>
          <w:i/>
          <w:kern w:val="2"/>
          <w:szCs w:val="21"/>
        </w:rPr>
      </w:pPr>
    </w:p>
    <w:p w14:paraId="24B6F5BC">
      <w:pPr>
        <w:snapToGrid w:val="0"/>
        <w:spacing w:beforeLines="15" w:line="288" w:lineRule="auto"/>
        <w:ind w:left="196"/>
        <w:jc w:val="center"/>
        <w:rPr>
          <w:rStyle w:val="48"/>
          <w:b/>
          <w:szCs w:val="21"/>
        </w:rPr>
      </w:pPr>
      <w:r>
        <w:rPr>
          <w:rFonts w:ascii="Times New Roman" w:hAnsi="Times New Roman"/>
          <w:i/>
          <w:kern w:val="2"/>
          <w:szCs w:val="21"/>
        </w:rPr>
        <w:t>第99条</w:t>
      </w:r>
    </w:p>
    <w:p w14:paraId="73A29B6B">
      <w:pPr>
        <w:snapToGrid w:val="0"/>
        <w:spacing w:beforeLines="15" w:line="288" w:lineRule="auto"/>
        <w:ind w:left="196"/>
        <w:jc w:val="center"/>
        <w:rPr>
          <w:rStyle w:val="48"/>
          <w:b/>
          <w:szCs w:val="21"/>
        </w:rPr>
      </w:pPr>
      <w:r>
        <w:rPr>
          <w:rFonts w:ascii="Times New Roman" w:hAnsi="Times New Roman"/>
          <w:b/>
          <w:kern w:val="2"/>
          <w:szCs w:val="21"/>
        </w:rPr>
        <w:t>良好行政管理规定实践</w:t>
      </w:r>
    </w:p>
    <w:p w14:paraId="34237F69">
      <w:pPr>
        <w:pStyle w:val="32"/>
        <w:numPr>
          <w:ilvl w:val="0"/>
          <w:numId w:val="97"/>
        </w:numPr>
        <w:tabs>
          <w:tab w:val="left" w:pos="682"/>
        </w:tabs>
        <w:topLinePunct/>
        <w:snapToGrid w:val="0"/>
        <w:spacing w:beforeLines="15" w:line="288" w:lineRule="auto"/>
        <w:ind w:hanging="567"/>
        <w:jc w:val="both"/>
        <w:rPr>
          <w:rFonts w:ascii="Times New Roman" w:hAnsi="Times New Roman"/>
          <w:kern w:val="2"/>
          <w:szCs w:val="21"/>
        </w:rPr>
      </w:pPr>
      <w:r>
        <w:rPr>
          <w:rFonts w:ascii="Times New Roman" w:hAnsi="Times New Roman"/>
          <w:kern w:val="2"/>
          <w:szCs w:val="21"/>
        </w:rPr>
        <w:t>对于成员国主管机构根据第95条至98条的规定采取的任何措施，应说明其所依据的确切理由。若该措施针对某个特定的经济运营商，则主管机构应立即通知相关经济运营商有关</w:t>
      </w:r>
      <w:r>
        <w:rPr>
          <w:rFonts w:hint="eastAsia" w:ascii="Times New Roman" w:hAnsi="Times New Roman"/>
          <w:kern w:val="2"/>
          <w:szCs w:val="21"/>
        </w:rPr>
        <w:t>该</w:t>
      </w:r>
      <w:r>
        <w:rPr>
          <w:rFonts w:ascii="Times New Roman" w:hAnsi="Times New Roman"/>
          <w:kern w:val="2"/>
          <w:szCs w:val="21"/>
        </w:rPr>
        <w:t>措施，同时向其告知经济运营商法律或相关成员国的行政管理规定实践项下的可用补救措施、以及此类补救措施的期限。若该项措施普遍适用，则应进行适当公布。</w:t>
      </w:r>
    </w:p>
    <w:p w14:paraId="573D7332">
      <w:pPr>
        <w:pStyle w:val="32"/>
        <w:numPr>
          <w:ilvl w:val="0"/>
          <w:numId w:val="97"/>
        </w:numPr>
        <w:tabs>
          <w:tab w:val="left" w:pos="682"/>
        </w:tabs>
        <w:topLinePunct/>
        <w:snapToGrid w:val="0"/>
        <w:spacing w:beforeLines="15" w:line="288" w:lineRule="auto"/>
        <w:ind w:hanging="567"/>
        <w:jc w:val="both"/>
        <w:rPr>
          <w:rFonts w:ascii="Times New Roman" w:hAnsi="Times New Roman"/>
          <w:kern w:val="2"/>
          <w:szCs w:val="21"/>
        </w:rPr>
      </w:pPr>
      <w:r>
        <w:rPr>
          <w:rFonts w:ascii="Times New Roman" w:hAnsi="Times New Roman"/>
          <w:kern w:val="2"/>
          <w:szCs w:val="21"/>
        </w:rPr>
        <w:t>除了因对人类健康或安全带来不可接受的风险而必需采取即时行动情况之外，在采用任何措施之前，应给予相关经济运营商机会，以便于明确确定的适当期限内向主管机构提交意见书。</w:t>
      </w:r>
    </w:p>
    <w:p w14:paraId="14C4B6F5">
      <w:pPr>
        <w:pStyle w:val="32"/>
        <w:tabs>
          <w:tab w:val="left" w:pos="682"/>
        </w:tabs>
        <w:topLinePunct/>
        <w:snapToGrid w:val="0"/>
        <w:spacing w:beforeLines="15" w:line="288" w:lineRule="auto"/>
        <w:ind w:left="638" w:leftChars="304"/>
        <w:jc w:val="both"/>
        <w:rPr>
          <w:rFonts w:ascii="Times New Roman" w:hAnsi="Times New Roman"/>
          <w:kern w:val="2"/>
          <w:szCs w:val="21"/>
        </w:rPr>
      </w:pPr>
      <w:r>
        <w:rPr>
          <w:rFonts w:ascii="Times New Roman" w:hAnsi="Times New Roman"/>
          <w:kern w:val="2"/>
          <w:szCs w:val="21"/>
        </w:rPr>
        <w:t>若在经济运营商未获得第</w:t>
      </w:r>
      <w:r>
        <w:rPr>
          <w:rFonts w:hint="eastAsia" w:ascii="Times New Roman" w:hAnsi="Times New Roman"/>
          <w:kern w:val="2"/>
          <w:szCs w:val="21"/>
        </w:rPr>
        <w:t>一子</w:t>
      </w:r>
      <w:r>
        <w:rPr>
          <w:rFonts w:ascii="Times New Roman" w:hAnsi="Times New Roman"/>
          <w:kern w:val="2"/>
          <w:szCs w:val="21"/>
        </w:rPr>
        <w:t>段中所述的提交机会的情况下采取行动，则应给予该经济运营商机会，以尽快提出意见，</w:t>
      </w:r>
      <w:r>
        <w:rPr>
          <w:rFonts w:hint="eastAsia" w:ascii="Times New Roman" w:hAnsi="Times New Roman"/>
          <w:kern w:val="2"/>
          <w:szCs w:val="21"/>
        </w:rPr>
        <w:t>随</w:t>
      </w:r>
      <w:r>
        <w:rPr>
          <w:rFonts w:ascii="Times New Roman" w:hAnsi="Times New Roman"/>
          <w:kern w:val="2"/>
          <w:szCs w:val="21"/>
        </w:rPr>
        <w:t>后应立即对已采取的行动进行审查。</w:t>
      </w:r>
    </w:p>
    <w:p w14:paraId="76745A2C">
      <w:pPr>
        <w:pStyle w:val="32"/>
        <w:numPr>
          <w:ilvl w:val="0"/>
          <w:numId w:val="97"/>
        </w:numPr>
        <w:tabs>
          <w:tab w:val="left" w:pos="682"/>
        </w:tabs>
        <w:topLinePunct/>
        <w:snapToGrid w:val="0"/>
        <w:spacing w:beforeLines="15" w:line="288" w:lineRule="auto"/>
        <w:ind w:hanging="567"/>
        <w:jc w:val="both"/>
        <w:rPr>
          <w:rFonts w:ascii="Times New Roman" w:hAnsi="Times New Roman"/>
          <w:kern w:val="2"/>
          <w:szCs w:val="21"/>
        </w:rPr>
      </w:pPr>
      <w:r>
        <w:rPr>
          <w:rFonts w:ascii="Times New Roman" w:hAnsi="Times New Roman"/>
          <w:kern w:val="2"/>
          <w:szCs w:val="21"/>
        </w:rPr>
        <w:t>一旦经济运营商证明其已采用更为有效的纠正措施，且该器械已符合本法规的要求，则应立即撤回或修订已采取的措施。</w:t>
      </w:r>
    </w:p>
    <w:p w14:paraId="7E24167D">
      <w:pPr>
        <w:pStyle w:val="32"/>
        <w:numPr>
          <w:ilvl w:val="0"/>
          <w:numId w:val="97"/>
        </w:numPr>
        <w:tabs>
          <w:tab w:val="left" w:pos="682"/>
        </w:tabs>
        <w:topLinePunct/>
        <w:snapToGrid w:val="0"/>
        <w:spacing w:beforeLines="15" w:line="288" w:lineRule="auto"/>
        <w:ind w:hanging="567"/>
        <w:jc w:val="both"/>
        <w:rPr>
          <w:rFonts w:ascii="Times New Roman" w:hAnsi="Times New Roman"/>
          <w:kern w:val="2"/>
          <w:szCs w:val="21"/>
        </w:rPr>
      </w:pPr>
      <w:r>
        <w:rPr>
          <w:rFonts w:ascii="Times New Roman" w:hAnsi="Times New Roman"/>
          <w:kern w:val="2"/>
          <w:szCs w:val="21"/>
        </w:rPr>
        <w:t>若根据第95条至第98条采取的措施涉及某一公告机构参与符合性评估的</w:t>
      </w:r>
      <w:r>
        <w:rPr>
          <w:rFonts w:hint="eastAsia" w:ascii="Times New Roman" w:hAnsi="Times New Roman"/>
          <w:kern w:val="2"/>
          <w:szCs w:val="21"/>
        </w:rPr>
        <w:t>器械</w:t>
      </w:r>
      <w:r>
        <w:rPr>
          <w:rFonts w:ascii="Times New Roman" w:hAnsi="Times New Roman"/>
          <w:kern w:val="2"/>
          <w:szCs w:val="21"/>
        </w:rPr>
        <w:t>，主管机构应通过第100条所述的电子系统通知相关的公告机构和公告机构上级主管机构其已采取的措施。</w:t>
      </w:r>
    </w:p>
    <w:p w14:paraId="1D69C688">
      <w:pPr>
        <w:snapToGrid w:val="0"/>
        <w:spacing w:beforeLines="15" w:line="288" w:lineRule="auto"/>
        <w:ind w:left="196"/>
        <w:jc w:val="center"/>
        <w:rPr>
          <w:rFonts w:ascii="Times New Roman" w:hAnsi="Times New Roman"/>
          <w:i/>
          <w:kern w:val="2"/>
          <w:szCs w:val="21"/>
        </w:rPr>
      </w:pPr>
    </w:p>
    <w:p w14:paraId="41273DBC">
      <w:pPr>
        <w:snapToGrid w:val="0"/>
        <w:spacing w:beforeLines="15" w:line="288" w:lineRule="auto"/>
        <w:ind w:left="196"/>
        <w:jc w:val="center"/>
        <w:rPr>
          <w:rStyle w:val="48"/>
          <w:b/>
          <w:szCs w:val="21"/>
        </w:rPr>
      </w:pPr>
      <w:r>
        <w:rPr>
          <w:rFonts w:ascii="Times New Roman" w:hAnsi="Times New Roman"/>
          <w:i/>
          <w:kern w:val="2"/>
          <w:szCs w:val="21"/>
        </w:rPr>
        <w:t>第100条</w:t>
      </w:r>
    </w:p>
    <w:p w14:paraId="46F63887">
      <w:pPr>
        <w:snapToGrid w:val="0"/>
        <w:spacing w:beforeLines="15" w:line="288" w:lineRule="auto"/>
        <w:ind w:left="195"/>
        <w:jc w:val="center"/>
        <w:rPr>
          <w:rStyle w:val="48"/>
          <w:b/>
          <w:szCs w:val="21"/>
        </w:rPr>
      </w:pPr>
      <w:r>
        <w:rPr>
          <w:rFonts w:ascii="Times New Roman" w:hAnsi="Times New Roman"/>
          <w:b/>
          <w:kern w:val="2"/>
          <w:szCs w:val="21"/>
        </w:rPr>
        <w:t>市场监管中的电子系统</w:t>
      </w:r>
    </w:p>
    <w:p w14:paraId="65829D53">
      <w:pPr>
        <w:pStyle w:val="32"/>
        <w:numPr>
          <w:ilvl w:val="0"/>
          <w:numId w:val="98"/>
        </w:numPr>
        <w:tabs>
          <w:tab w:val="left" w:pos="682"/>
        </w:tabs>
        <w:topLinePunct/>
        <w:snapToGrid w:val="0"/>
        <w:spacing w:beforeLines="15" w:line="288" w:lineRule="auto"/>
        <w:ind w:hanging="567"/>
        <w:jc w:val="both"/>
        <w:rPr>
          <w:rFonts w:ascii="Times New Roman" w:hAnsi="Times New Roman"/>
          <w:kern w:val="2"/>
          <w:szCs w:val="21"/>
        </w:rPr>
      </w:pPr>
      <w:r>
        <w:rPr>
          <w:rFonts w:ascii="Times New Roman" w:hAnsi="Times New Roman"/>
          <w:kern w:val="2"/>
          <w:szCs w:val="21"/>
        </w:rPr>
        <w:t>委员会应与成员国合作，建立并管理一套电子系统，以收集和处理以下信息：</w:t>
      </w:r>
    </w:p>
    <w:p w14:paraId="38D13288">
      <w:pPr>
        <w:pStyle w:val="8"/>
        <w:topLinePunct/>
        <w:snapToGrid w:val="0"/>
        <w:spacing w:beforeLines="15" w:line="288" w:lineRule="auto"/>
        <w:ind w:left="1343" w:leftChars="334" w:hanging="642" w:hangingChars="306"/>
        <w:jc w:val="both"/>
        <w:rPr>
          <w:kern w:val="2"/>
          <w:szCs w:val="21"/>
        </w:rPr>
      </w:pPr>
      <w:bookmarkStart w:id="120" w:name="(aa)_summaries_of_the_results_of_the_sur"/>
      <w:bookmarkEnd w:id="120"/>
      <w:r>
        <w:rPr>
          <w:kern w:val="2"/>
          <w:szCs w:val="21"/>
        </w:rPr>
        <w:t>（a）</w:t>
      </w:r>
      <w:r>
        <w:rPr>
          <w:kern w:val="2"/>
          <w:szCs w:val="21"/>
        </w:rPr>
        <w:tab/>
      </w:r>
      <w:r>
        <w:rPr>
          <w:kern w:val="2"/>
          <w:szCs w:val="21"/>
        </w:rPr>
        <w:t>第93（4）条所指监管活动结果的总结；</w:t>
      </w:r>
    </w:p>
    <w:p w14:paraId="58BF2D96">
      <w:pPr>
        <w:pStyle w:val="32"/>
        <w:topLinePunct/>
        <w:snapToGrid w:val="0"/>
        <w:spacing w:beforeLines="15" w:line="288" w:lineRule="auto"/>
        <w:ind w:left="1343" w:leftChars="334" w:hanging="642" w:hangingChars="306"/>
        <w:jc w:val="both"/>
        <w:rPr>
          <w:rFonts w:ascii="Times New Roman" w:hAnsi="Times New Roman"/>
          <w:kern w:val="2"/>
          <w:szCs w:val="21"/>
        </w:rPr>
      </w:pPr>
      <w:bookmarkStart w:id="121" w:name="(a)_information_in_relation_to_devices_p"/>
      <w:bookmarkEnd w:id="121"/>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第93条（7）中所述的最终报告</w:t>
      </w:r>
    </w:p>
    <w:p w14:paraId="4976DF22">
      <w:pPr>
        <w:pStyle w:val="32"/>
        <w:topLinePunct/>
        <w:snapToGrid w:val="0"/>
        <w:spacing w:beforeLines="15" w:line="288" w:lineRule="auto"/>
        <w:ind w:left="1343" w:leftChars="334" w:hanging="642" w:hangingChars="306"/>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第95（2）、（4）和第（6）条中所述的可能对健康和安全带来不可接受风险的器械的相关信息；</w:t>
      </w:r>
    </w:p>
    <w:p w14:paraId="76C44BD6">
      <w:pPr>
        <w:pStyle w:val="32"/>
        <w:topLinePunct/>
        <w:snapToGrid w:val="0"/>
        <w:spacing w:beforeLines="15" w:line="288" w:lineRule="auto"/>
        <w:ind w:left="1343" w:leftChars="334" w:hanging="642" w:hangingChars="306"/>
        <w:jc w:val="both"/>
        <w:rPr>
          <w:rFonts w:ascii="Times New Roman" w:hAnsi="Times New Roman"/>
          <w:kern w:val="2"/>
          <w:szCs w:val="21"/>
        </w:rPr>
      </w:pPr>
      <w:bookmarkStart w:id="122" w:name="(c)_information_in_relation_to_non-compl"/>
      <w:bookmarkEnd w:id="122"/>
      <w:r>
        <w:rPr>
          <w:rFonts w:ascii="Times New Roman" w:hAnsi="Times New Roman"/>
          <w:kern w:val="2"/>
          <w:szCs w:val="21"/>
        </w:rPr>
        <w:t>（d）</w:t>
      </w:r>
      <w:r>
        <w:rPr>
          <w:rFonts w:ascii="Times New Roman" w:hAnsi="Times New Roman"/>
          <w:kern w:val="2"/>
          <w:szCs w:val="21"/>
        </w:rPr>
        <w:tab/>
      </w:r>
      <w:r>
        <w:rPr>
          <w:rFonts w:ascii="Times New Roman" w:hAnsi="Times New Roman"/>
          <w:kern w:val="2"/>
          <w:szCs w:val="21"/>
        </w:rPr>
        <w:t>关于第97(2)条所述产品不合规的信息；</w:t>
      </w:r>
    </w:p>
    <w:p w14:paraId="1CC035FF">
      <w:pPr>
        <w:pStyle w:val="32"/>
        <w:topLinePunct/>
        <w:snapToGrid w:val="0"/>
        <w:spacing w:beforeLines="15" w:line="288" w:lineRule="auto"/>
        <w:ind w:left="1343" w:leftChars="334" w:hanging="642" w:hangingChars="306"/>
        <w:jc w:val="both"/>
        <w:rPr>
          <w:rFonts w:ascii="Times New Roman" w:hAnsi="Times New Roman"/>
          <w:kern w:val="2"/>
          <w:szCs w:val="21"/>
        </w:rPr>
      </w:pPr>
      <w:bookmarkStart w:id="123" w:name="(d)_information_in_relation_to_preventiv"/>
      <w:bookmarkEnd w:id="123"/>
      <w:r>
        <w:rPr>
          <w:rFonts w:ascii="Times New Roman" w:hAnsi="Times New Roman"/>
          <w:kern w:val="2"/>
          <w:szCs w:val="21"/>
        </w:rPr>
        <w:t>（e）</w:t>
      </w:r>
      <w:r>
        <w:rPr>
          <w:rFonts w:ascii="Times New Roman" w:hAnsi="Times New Roman"/>
          <w:kern w:val="2"/>
          <w:szCs w:val="21"/>
        </w:rPr>
        <w:tab/>
      </w:r>
      <w:r>
        <w:rPr>
          <w:rFonts w:ascii="Times New Roman" w:hAnsi="Times New Roman"/>
          <w:kern w:val="2"/>
          <w:szCs w:val="21"/>
        </w:rPr>
        <w:t>第98（2）条中所述的预防性卫生保护措施的相关信息；</w:t>
      </w:r>
    </w:p>
    <w:p w14:paraId="414144B8">
      <w:pPr>
        <w:pStyle w:val="32"/>
        <w:topLinePunct/>
        <w:snapToGrid w:val="0"/>
        <w:spacing w:beforeLines="15" w:line="288" w:lineRule="auto"/>
        <w:ind w:left="1343" w:leftChars="334" w:hanging="642" w:hangingChars="306"/>
        <w:jc w:val="both"/>
        <w:rPr>
          <w:rFonts w:ascii="Times New Roman" w:hAnsi="Times New Roman"/>
          <w:kern w:val="2"/>
          <w:szCs w:val="21"/>
        </w:rPr>
      </w:pPr>
      <w:bookmarkStart w:id="124" w:name="(e)_summaries_of_the_results_of_the_revi"/>
      <w:bookmarkEnd w:id="124"/>
      <w:r>
        <w:rPr>
          <w:rFonts w:ascii="Times New Roman" w:hAnsi="Times New Roman"/>
          <w:kern w:val="2"/>
          <w:szCs w:val="21"/>
        </w:rPr>
        <w:t>（f）</w:t>
      </w:r>
      <w:r>
        <w:rPr>
          <w:rFonts w:ascii="Times New Roman" w:hAnsi="Times New Roman"/>
          <w:kern w:val="2"/>
          <w:szCs w:val="21"/>
        </w:rPr>
        <w:tab/>
      </w:r>
      <w:r>
        <w:rPr>
          <w:rFonts w:ascii="Times New Roman" w:hAnsi="Times New Roman"/>
          <w:kern w:val="2"/>
          <w:szCs w:val="21"/>
        </w:rPr>
        <w:t>第93(8)条所述成员国监管活动的审查和评估结果总结。</w:t>
      </w:r>
    </w:p>
    <w:p w14:paraId="587F25F2">
      <w:pPr>
        <w:pStyle w:val="32"/>
        <w:numPr>
          <w:ilvl w:val="0"/>
          <w:numId w:val="9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本条第1段中所述的信息应立即通过电子系统传送给所有相关主管机构，并在适用时，传送至根据第56条为有关器械颁发证书的公告机构并向成员国和委员会开放。</w:t>
      </w:r>
    </w:p>
    <w:p w14:paraId="0DB3989F">
      <w:pPr>
        <w:pStyle w:val="32"/>
        <w:numPr>
          <w:ilvl w:val="0"/>
          <w:numId w:val="9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当可能影响成员国之间的市场监管活动与合作时，成员国之间交换的信息不得对外公开。</w:t>
      </w:r>
    </w:p>
    <w:p w14:paraId="445017A7">
      <w:pPr>
        <w:pStyle w:val="2"/>
        <w:spacing w:beforeLines="25" w:line="300" w:lineRule="auto"/>
        <w:rPr>
          <w:sz w:val="21"/>
          <w:szCs w:val="21"/>
        </w:rPr>
      </w:pPr>
      <w:bookmarkStart w:id="125" w:name="_Toc477512409"/>
    </w:p>
    <w:p w14:paraId="18A2D110">
      <w:pPr>
        <w:pStyle w:val="2"/>
        <w:spacing w:beforeLines="25" w:line="300" w:lineRule="auto"/>
        <w:rPr>
          <w:rStyle w:val="48"/>
          <w:sz w:val="24"/>
          <w:szCs w:val="24"/>
        </w:rPr>
      </w:pPr>
      <w:r>
        <w:rPr>
          <w:sz w:val="24"/>
          <w:szCs w:val="24"/>
        </w:rPr>
        <w:t>第VIII章</w:t>
      </w:r>
      <w:r>
        <w:rPr>
          <w:sz w:val="24"/>
          <w:szCs w:val="24"/>
        </w:rPr>
        <w:br w:type="textWrapping"/>
      </w:r>
      <w:r>
        <w:rPr>
          <w:sz w:val="24"/>
          <w:szCs w:val="24"/>
        </w:rPr>
        <w:t>成员国、医疗器械协调小组、专家实验室、专家小组和器械注册</w:t>
      </w:r>
      <w:r>
        <w:rPr>
          <w:rFonts w:hint="eastAsia"/>
          <w:sz w:val="24"/>
          <w:szCs w:val="24"/>
        </w:rPr>
        <w:t>机构</w:t>
      </w:r>
      <w:r>
        <w:rPr>
          <w:sz w:val="24"/>
          <w:szCs w:val="24"/>
        </w:rPr>
        <w:t>之间的合作</w:t>
      </w:r>
      <w:bookmarkEnd w:id="125"/>
    </w:p>
    <w:p w14:paraId="2E77D90B">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第101条</w:t>
      </w:r>
    </w:p>
    <w:p w14:paraId="03FF744B">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主管机构</w:t>
      </w:r>
    </w:p>
    <w:p w14:paraId="21A89FAD">
      <w:pPr>
        <w:pStyle w:val="8"/>
        <w:tabs>
          <w:tab w:val="left" w:pos="681"/>
        </w:tabs>
        <w:topLinePunct/>
        <w:snapToGrid w:val="0"/>
        <w:spacing w:beforeLines="25" w:line="300" w:lineRule="auto"/>
        <w:ind w:left="113" w:firstLine="0"/>
        <w:jc w:val="both"/>
        <w:rPr>
          <w:kern w:val="2"/>
          <w:szCs w:val="21"/>
        </w:rPr>
      </w:pPr>
      <w:r>
        <w:rPr>
          <w:kern w:val="2"/>
          <w:szCs w:val="21"/>
        </w:rPr>
        <w:t>成员国应指定主管机构或负责本法规的实施的官方机构。成员国应根据本法规的要求向其机构授予所需的权力、资源、设备和知识，以便适当履行其任务。成员国应向委员会告知主管机构的名称和联系方式，再由委员会公布主管机构名单。</w:t>
      </w:r>
    </w:p>
    <w:p w14:paraId="63DD737F">
      <w:pPr>
        <w:snapToGrid w:val="0"/>
        <w:spacing w:beforeLines="25" w:line="300" w:lineRule="auto"/>
        <w:ind w:left="196"/>
        <w:jc w:val="center"/>
        <w:rPr>
          <w:rFonts w:ascii="Times New Roman" w:hAnsi="Times New Roman"/>
          <w:i/>
          <w:kern w:val="2"/>
          <w:szCs w:val="21"/>
        </w:rPr>
      </w:pPr>
    </w:p>
    <w:p w14:paraId="628A0AE1">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第102条</w:t>
      </w:r>
    </w:p>
    <w:p w14:paraId="3631EA69">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协作</w:t>
      </w:r>
    </w:p>
    <w:p w14:paraId="5BCA3FB3">
      <w:pPr>
        <w:pStyle w:val="32"/>
        <w:numPr>
          <w:ilvl w:val="0"/>
          <w:numId w:val="9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成员国的主管机构应相互合作，并与委员会合作</w:t>
      </w:r>
      <w:r>
        <w:rPr>
          <w:rFonts w:hint="eastAsia" w:ascii="Times New Roman" w:hAnsi="Times New Roman"/>
          <w:kern w:val="2"/>
          <w:szCs w:val="21"/>
        </w:rPr>
        <w:t>。</w:t>
      </w:r>
      <w:r>
        <w:rPr>
          <w:rFonts w:ascii="Times New Roman" w:hAnsi="Times New Roman"/>
          <w:kern w:val="2"/>
          <w:szCs w:val="21"/>
        </w:rPr>
        <w:t>委员会应提供组织交流的必要信息，使本法规统一适用。</w:t>
      </w:r>
    </w:p>
    <w:p w14:paraId="3E972889">
      <w:pPr>
        <w:pStyle w:val="32"/>
        <w:numPr>
          <w:ilvl w:val="0"/>
          <w:numId w:val="9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成员国应在委员会的支持下，在适当时候参与国际层面的倡议，以确保监管机构在医疗器械领域开展合作。</w:t>
      </w:r>
    </w:p>
    <w:p w14:paraId="4DD0807C">
      <w:pPr>
        <w:snapToGrid w:val="0"/>
        <w:spacing w:beforeLines="25" w:line="300" w:lineRule="auto"/>
        <w:ind w:left="196"/>
        <w:jc w:val="center"/>
        <w:rPr>
          <w:rFonts w:ascii="Times New Roman" w:hAnsi="Times New Roman"/>
          <w:i/>
          <w:kern w:val="2"/>
          <w:szCs w:val="21"/>
        </w:rPr>
      </w:pPr>
    </w:p>
    <w:p w14:paraId="0EDD3B70">
      <w:pPr>
        <w:snapToGrid w:val="0"/>
        <w:spacing w:beforeLines="25" w:line="300" w:lineRule="auto"/>
        <w:ind w:left="196"/>
        <w:jc w:val="center"/>
        <w:rPr>
          <w:rStyle w:val="48"/>
          <w:b/>
          <w:szCs w:val="21"/>
        </w:rPr>
      </w:pPr>
      <w:r>
        <w:rPr>
          <w:rFonts w:ascii="Times New Roman" w:hAnsi="Times New Roman"/>
          <w:i/>
          <w:kern w:val="2"/>
          <w:szCs w:val="21"/>
        </w:rPr>
        <w:t>第103条</w:t>
      </w:r>
    </w:p>
    <w:p w14:paraId="513A195D">
      <w:pPr>
        <w:snapToGrid w:val="0"/>
        <w:spacing w:beforeLines="25" w:line="300" w:lineRule="auto"/>
        <w:ind w:left="195"/>
        <w:jc w:val="center"/>
        <w:rPr>
          <w:rStyle w:val="48"/>
          <w:b/>
          <w:szCs w:val="21"/>
        </w:rPr>
      </w:pPr>
      <w:r>
        <w:rPr>
          <w:rFonts w:ascii="Times New Roman" w:hAnsi="Times New Roman"/>
          <w:b/>
          <w:kern w:val="2"/>
          <w:szCs w:val="21"/>
        </w:rPr>
        <w:t>医疗器械协调小组</w:t>
      </w:r>
    </w:p>
    <w:p w14:paraId="05FB5AD6">
      <w:pPr>
        <w:pStyle w:val="32"/>
        <w:numPr>
          <w:ilvl w:val="0"/>
          <w:numId w:val="10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特此建立医疗器械协调小组（MDCG）。</w:t>
      </w:r>
    </w:p>
    <w:p w14:paraId="0B62B25E">
      <w:pPr>
        <w:pStyle w:val="32"/>
        <w:numPr>
          <w:ilvl w:val="0"/>
          <w:numId w:val="10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各成员国应任命</w:t>
      </w:r>
      <w:r>
        <w:rPr>
          <w:rFonts w:ascii="Times New Roman" w:hAnsi="Times New Roman"/>
          <w:kern w:val="2"/>
          <w:szCs w:val="21"/>
          <w:lang w:val="en-US"/>
        </w:rPr>
        <w:t>MDCG</w:t>
      </w:r>
      <w:r>
        <w:rPr>
          <w:rFonts w:ascii="Times New Roman" w:hAnsi="Times New Roman"/>
          <w:kern w:val="2"/>
          <w:szCs w:val="21"/>
        </w:rPr>
        <w:t>的一名具有医疗器械领域专业知识成员和候补成员，以及一名具有体外诊断医疗器械领域专业知识的成员和候补成员任期三年且可延长任期。成员国可选择只任命一名具有这两个领域专门知识的成员和候补成员。</w:t>
      </w:r>
    </w:p>
    <w:p w14:paraId="407DAA07">
      <w:pPr>
        <w:pStyle w:val="8"/>
        <w:topLinePunct/>
        <w:snapToGrid w:val="0"/>
        <w:spacing w:beforeLines="25" w:line="300" w:lineRule="auto"/>
        <w:ind w:left="680" w:firstLine="0"/>
        <w:jc w:val="both"/>
        <w:rPr>
          <w:kern w:val="2"/>
          <w:szCs w:val="21"/>
        </w:rPr>
      </w:pPr>
      <w:bookmarkStart w:id="126" w:name="The_members_of_the_MDCG_shall_be_chosen_"/>
      <w:bookmarkEnd w:id="126"/>
      <w:r>
        <w:rPr>
          <w:rFonts w:hint="eastAsia"/>
          <w:kern w:val="2"/>
          <w:szCs w:val="21"/>
        </w:rPr>
        <w:t>应根据</w:t>
      </w:r>
      <w:r>
        <w:rPr>
          <w:kern w:val="2"/>
          <w:szCs w:val="21"/>
        </w:rPr>
        <w:t>其在医疗器械和体外诊断医疗器械领域的能力和经验选择MDCG的成员。其应代表成员国的主管机构。成员的名称和所属机构应由委员会公布。</w:t>
      </w:r>
      <w:bookmarkStart w:id="127" w:name="The_alternates_shall_represent_and_vote_"/>
      <w:bookmarkEnd w:id="127"/>
    </w:p>
    <w:p w14:paraId="5E665C49">
      <w:pPr>
        <w:pStyle w:val="8"/>
        <w:topLinePunct/>
        <w:snapToGrid w:val="0"/>
        <w:spacing w:beforeLines="25" w:line="300" w:lineRule="auto"/>
        <w:ind w:left="680" w:firstLine="0"/>
        <w:jc w:val="both"/>
        <w:rPr>
          <w:kern w:val="2"/>
          <w:szCs w:val="21"/>
        </w:rPr>
      </w:pPr>
      <w:r>
        <w:rPr>
          <w:kern w:val="2"/>
          <w:szCs w:val="21"/>
        </w:rPr>
        <w:t>在成员缺席时，候补成员应代表其并投票。</w:t>
      </w:r>
    </w:p>
    <w:p w14:paraId="2EE73D06">
      <w:pPr>
        <w:pStyle w:val="32"/>
        <w:numPr>
          <w:ilvl w:val="0"/>
          <w:numId w:val="10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MDCG应根据委员会或成员国的要求定期举行会议，并视情况需要举行会议。这些会议应由在医疗器械领域任职的成员或专家，或在体外诊断医疗器械领域任职的专家，或任命具有这两个领域专门知识的成员或其候补成员出席。</w:t>
      </w:r>
    </w:p>
    <w:p w14:paraId="2BE6C329">
      <w:pPr>
        <w:pStyle w:val="32"/>
        <w:numPr>
          <w:ilvl w:val="0"/>
          <w:numId w:val="10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MDCG应尽最大努力达成共识。若不能达成这样的共识，MDCG将由其多数成员决议。具有不同职位的成员可申请其职位，而其所依据的理由将记录在MDCG的职位上。</w:t>
      </w:r>
    </w:p>
    <w:p w14:paraId="3566C89E">
      <w:pPr>
        <w:pStyle w:val="32"/>
        <w:numPr>
          <w:ilvl w:val="0"/>
          <w:numId w:val="10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MDCG应由委员会的一名代表担任主席。主席不得参加MDCG的投票。</w:t>
      </w:r>
    </w:p>
    <w:p w14:paraId="7ACEF518">
      <w:pPr>
        <w:pStyle w:val="32"/>
        <w:numPr>
          <w:ilvl w:val="0"/>
          <w:numId w:val="10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MDCG可根据具体情况邀请专家和其他第三方参加会议或提供书面文稿。</w:t>
      </w:r>
    </w:p>
    <w:p w14:paraId="6011977A">
      <w:pPr>
        <w:pStyle w:val="32"/>
        <w:numPr>
          <w:ilvl w:val="0"/>
          <w:numId w:val="10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MDCG可建立常设或临时分小组。在适当情况下，应在欧盟级别以观察员身份邀请代表医疗器械行业、医疗保健专业人员、实验室、患者和消费者利益的组织参加这些分小组。</w:t>
      </w:r>
    </w:p>
    <w:p w14:paraId="063E3517">
      <w:pPr>
        <w:pStyle w:val="32"/>
        <w:numPr>
          <w:ilvl w:val="0"/>
          <w:numId w:val="10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应制定其议事规则，尤其应规定以下流程：</w:t>
      </w:r>
    </w:p>
    <w:p w14:paraId="749C411A">
      <w:pPr>
        <w:pStyle w:val="32"/>
        <w:numPr>
          <w:ilvl w:val="1"/>
          <w:numId w:val="10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包括在紧急情况下采纳意见或建议或其他立场；</w:t>
      </w:r>
    </w:p>
    <w:p w14:paraId="46A24AD2">
      <w:pPr>
        <w:pStyle w:val="32"/>
        <w:numPr>
          <w:ilvl w:val="1"/>
          <w:numId w:val="10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将任务委托给报告和共同报告成员；</w:t>
      </w:r>
    </w:p>
    <w:p w14:paraId="77F4E1E8">
      <w:pPr>
        <w:pStyle w:val="32"/>
        <w:numPr>
          <w:ilvl w:val="1"/>
          <w:numId w:val="10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执行关于益利冲突的第107条；</w:t>
      </w:r>
    </w:p>
    <w:p w14:paraId="0CF0F053">
      <w:pPr>
        <w:pStyle w:val="32"/>
        <w:numPr>
          <w:ilvl w:val="1"/>
          <w:numId w:val="10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分小组的功能。</w:t>
      </w:r>
    </w:p>
    <w:p w14:paraId="5999760B">
      <w:pPr>
        <w:snapToGrid w:val="0"/>
        <w:spacing w:beforeLines="25" w:line="300" w:lineRule="auto"/>
        <w:ind w:firstLine="210" w:firstLineChars="100"/>
        <w:rPr>
          <w:rFonts w:ascii="Times New Roman" w:hAnsi="Times New Roman"/>
          <w:kern w:val="2"/>
          <w:szCs w:val="21"/>
        </w:rPr>
      </w:pPr>
      <w:r>
        <w:rPr>
          <w:rFonts w:ascii="Times New Roman" w:hAnsi="Times New Roman"/>
          <w:kern w:val="2"/>
          <w:szCs w:val="21"/>
        </w:rPr>
        <w:t>9.</w:t>
      </w:r>
      <w:r>
        <w:rPr>
          <w:rFonts w:ascii="Times New Roman" w:hAnsi="Times New Roman"/>
          <w:kern w:val="2"/>
          <w:szCs w:val="21"/>
        </w:rPr>
        <w:tab/>
      </w:r>
      <w:r>
        <w:rPr>
          <w:rFonts w:ascii="Times New Roman" w:hAnsi="Times New Roman"/>
          <w:kern w:val="2"/>
          <w:szCs w:val="21"/>
        </w:rPr>
        <w:tab/>
      </w:r>
      <w:r>
        <w:rPr>
          <w:rFonts w:ascii="Times New Roman" w:hAnsi="Times New Roman"/>
          <w:kern w:val="2"/>
          <w:szCs w:val="21"/>
        </w:rPr>
        <w:t>MDCG应执行本2017/</w:t>
      </w:r>
      <w:r>
        <w:rPr>
          <w:rFonts w:hint="eastAsia" w:ascii="Times New Roman" w:hAnsi="Times New Roman"/>
          <w:kern w:val="2"/>
          <w:szCs w:val="21"/>
        </w:rPr>
        <w:t>746</w:t>
      </w:r>
      <w:r>
        <w:rPr>
          <w:rFonts w:ascii="Times New Roman" w:hAnsi="Times New Roman"/>
          <w:kern w:val="2"/>
          <w:szCs w:val="21"/>
        </w:rPr>
        <w:t>号法规第105条和第99条规定的任务。</w:t>
      </w:r>
    </w:p>
    <w:p w14:paraId="1031F67D">
      <w:pPr>
        <w:snapToGrid w:val="0"/>
        <w:spacing w:beforeLines="25" w:line="300" w:lineRule="auto"/>
        <w:ind w:left="196"/>
        <w:jc w:val="center"/>
        <w:rPr>
          <w:rFonts w:ascii="Times New Roman" w:hAnsi="Times New Roman"/>
          <w:i/>
          <w:kern w:val="2"/>
          <w:szCs w:val="21"/>
        </w:rPr>
      </w:pPr>
    </w:p>
    <w:p w14:paraId="7E942751">
      <w:pPr>
        <w:snapToGrid w:val="0"/>
        <w:spacing w:beforeLines="25" w:line="300" w:lineRule="auto"/>
        <w:ind w:left="196"/>
        <w:jc w:val="center"/>
        <w:rPr>
          <w:rStyle w:val="48"/>
          <w:b/>
          <w:szCs w:val="21"/>
        </w:rPr>
      </w:pPr>
      <w:r>
        <w:rPr>
          <w:rFonts w:ascii="Times New Roman" w:hAnsi="Times New Roman"/>
          <w:i/>
          <w:kern w:val="2"/>
          <w:szCs w:val="21"/>
        </w:rPr>
        <w:t>第104条</w:t>
      </w:r>
    </w:p>
    <w:p w14:paraId="328F019B">
      <w:pPr>
        <w:snapToGrid w:val="0"/>
        <w:spacing w:beforeLines="25" w:line="300" w:lineRule="auto"/>
        <w:ind w:left="195"/>
        <w:jc w:val="center"/>
        <w:rPr>
          <w:rStyle w:val="48"/>
          <w:b/>
          <w:szCs w:val="21"/>
        </w:rPr>
      </w:pPr>
      <w:r>
        <w:rPr>
          <w:rFonts w:ascii="Times New Roman" w:hAnsi="Times New Roman"/>
          <w:b/>
          <w:kern w:val="2"/>
          <w:szCs w:val="21"/>
        </w:rPr>
        <w:t>委员会的支持</w:t>
      </w:r>
    </w:p>
    <w:p w14:paraId="42434BB4">
      <w:pPr>
        <w:pStyle w:val="8"/>
        <w:topLinePunct/>
        <w:snapToGrid w:val="0"/>
        <w:spacing w:beforeLines="25" w:line="300" w:lineRule="auto"/>
        <w:ind w:left="113" w:firstLine="0"/>
        <w:jc w:val="both"/>
        <w:rPr>
          <w:kern w:val="2"/>
          <w:szCs w:val="21"/>
        </w:rPr>
      </w:pPr>
      <w:r>
        <w:rPr>
          <w:kern w:val="2"/>
          <w:szCs w:val="21"/>
        </w:rPr>
        <w:t>委员会应为</w:t>
      </w:r>
      <w:r>
        <w:rPr>
          <w:rFonts w:hint="eastAsia"/>
          <w:kern w:val="2"/>
          <w:szCs w:val="21"/>
        </w:rPr>
        <w:t>国家</w:t>
      </w:r>
      <w:r>
        <w:rPr>
          <w:kern w:val="2"/>
          <w:szCs w:val="21"/>
        </w:rPr>
        <w:t>主管机构之间合作提供支持。其应特别规定主管机构之间交流经验，并向MDCG及其分小组提供技术、科学和后勤支持。它应组织MDCG及其分小组的会议，参加这些会议并确保适当的</w:t>
      </w:r>
      <w:r>
        <w:rPr>
          <w:rFonts w:hint="eastAsia"/>
          <w:kern w:val="2"/>
          <w:szCs w:val="21"/>
          <w:lang w:val="en-US"/>
        </w:rPr>
        <w:t>跟踪</w:t>
      </w:r>
      <w:r>
        <w:rPr>
          <w:kern w:val="2"/>
          <w:szCs w:val="21"/>
        </w:rPr>
        <w:t>。</w:t>
      </w:r>
    </w:p>
    <w:p w14:paraId="48E56000">
      <w:pPr>
        <w:pStyle w:val="53"/>
        <w:spacing w:beforeLines="25"/>
        <w:ind w:left="473" w:hanging="473"/>
        <w:rPr>
          <w:sz w:val="21"/>
          <w:szCs w:val="21"/>
        </w:rPr>
      </w:pPr>
    </w:p>
    <w:p w14:paraId="2E245D84">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第105条</w:t>
      </w:r>
    </w:p>
    <w:p w14:paraId="45F1AE88">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MDCG的任务</w:t>
      </w:r>
    </w:p>
    <w:p w14:paraId="4DA6AA24">
      <w:pPr>
        <w:pStyle w:val="8"/>
        <w:topLinePunct/>
        <w:snapToGrid w:val="0"/>
        <w:spacing w:beforeLines="25" w:line="300" w:lineRule="auto"/>
        <w:ind w:left="113" w:firstLine="0"/>
        <w:jc w:val="both"/>
        <w:rPr>
          <w:kern w:val="2"/>
          <w:szCs w:val="21"/>
        </w:rPr>
      </w:pPr>
      <w:r>
        <w:rPr>
          <w:kern w:val="2"/>
          <w:szCs w:val="21"/>
        </w:rPr>
        <w:t>根据本法规，MDCG的工作任务如下：</w:t>
      </w:r>
    </w:p>
    <w:p w14:paraId="5C9EA839">
      <w:pPr>
        <w:pStyle w:val="8"/>
        <w:tabs>
          <w:tab w:val="left" w:pos="681"/>
        </w:tabs>
        <w:topLinePunct/>
        <w:snapToGrid w:val="0"/>
        <w:spacing w:beforeLines="25" w:line="300" w:lineRule="auto"/>
        <w:ind w:hanging="568"/>
        <w:jc w:val="both"/>
        <w:rPr>
          <w:kern w:val="2"/>
          <w:szCs w:val="21"/>
        </w:rPr>
      </w:pPr>
      <w:r>
        <w:rPr>
          <w:kern w:val="2"/>
          <w:szCs w:val="21"/>
        </w:rPr>
        <w:t>(a)</w:t>
      </w:r>
      <w:r>
        <w:rPr>
          <w:kern w:val="2"/>
          <w:szCs w:val="21"/>
        </w:rPr>
        <w:tab/>
      </w:r>
      <w:r>
        <w:rPr>
          <w:kern w:val="2"/>
          <w:szCs w:val="21"/>
        </w:rPr>
        <w:t>根据第IV章规定，帮助评估申请人符合性评估机构和公告机构；</w:t>
      </w:r>
    </w:p>
    <w:p w14:paraId="48F90DA5">
      <w:pPr>
        <w:pStyle w:val="8"/>
        <w:topLinePunct/>
        <w:snapToGrid w:val="0"/>
        <w:spacing w:beforeLines="25" w:line="300" w:lineRule="auto"/>
        <w:ind w:hanging="568"/>
        <w:jc w:val="both"/>
        <w:rPr>
          <w:kern w:val="2"/>
          <w:szCs w:val="21"/>
        </w:rPr>
      </w:pPr>
      <w:r>
        <w:rPr>
          <w:rFonts w:hint="eastAsia"/>
          <w:kern w:val="2"/>
          <w:szCs w:val="21"/>
        </w:rPr>
        <w:t>(</w:t>
      </w:r>
      <w:r>
        <w:rPr>
          <w:kern w:val="2"/>
          <w:szCs w:val="21"/>
        </w:rPr>
        <w:t>b</w:t>
      </w:r>
      <w:r>
        <w:rPr>
          <w:rFonts w:hint="eastAsia"/>
          <w:kern w:val="2"/>
          <w:szCs w:val="21"/>
        </w:rPr>
        <w:t>)</w:t>
      </w:r>
      <w:r>
        <w:rPr>
          <w:kern w:val="2"/>
          <w:szCs w:val="21"/>
        </w:rPr>
        <w:tab/>
      </w:r>
      <w:r>
        <w:rPr>
          <w:kern w:val="2"/>
          <w:szCs w:val="21"/>
        </w:rPr>
        <w:t>应委员会要求，就根据第49条设立的公告机构协调小组的事项向委员会提供咨询意见；</w:t>
      </w:r>
    </w:p>
    <w:p w14:paraId="48C5ECBF">
      <w:pPr>
        <w:pStyle w:val="32"/>
        <w:numPr>
          <w:ilvl w:val="0"/>
          <w:numId w:val="10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协助制定旨在确保协调有效地执行本法规的指导，尤其是关于指定和监测公告机构，应用通用安全与性能要求以及进行临床评价和制造商的研究，公告机构和警戒活动进行的评估；</w:t>
      </w:r>
    </w:p>
    <w:p w14:paraId="1117EF35">
      <w:pPr>
        <w:pStyle w:val="32"/>
        <w:numPr>
          <w:ilvl w:val="0"/>
          <w:numId w:val="10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为持续监测技术进展并评估本法规和2017/</w:t>
      </w:r>
      <w:r>
        <w:rPr>
          <w:rFonts w:hint="eastAsia" w:ascii="Times New Roman" w:hAnsi="Times New Roman"/>
          <w:kern w:val="2"/>
          <w:szCs w:val="21"/>
        </w:rPr>
        <w:t>746</w:t>
      </w:r>
      <w:r>
        <w:rPr>
          <w:rFonts w:ascii="Times New Roman" w:hAnsi="Times New Roman"/>
          <w:kern w:val="2"/>
          <w:szCs w:val="21"/>
        </w:rPr>
        <w:t>号法规规定的通用安全与性能要求是否可确保器械的安全和性能，并有助于确定是否需要修订本法规附录I；</w:t>
      </w:r>
    </w:p>
    <w:p w14:paraId="6BDFB32A">
      <w:pPr>
        <w:pStyle w:val="32"/>
        <w:numPr>
          <w:ilvl w:val="0"/>
          <w:numId w:val="10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促进器械标准、CS和科学指南的发展，包括产品特定指南，尤其是可植入和III类器械的某些器械的临床研究；</w:t>
      </w:r>
    </w:p>
    <w:p w14:paraId="6FC2E6CD">
      <w:pPr>
        <w:pStyle w:val="32"/>
        <w:numPr>
          <w:ilvl w:val="0"/>
          <w:numId w:val="10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根据第93条协助成员国主管机构开展其协调活动，尤其是在器械分类和确定法规现状、临床研究、警戒和市场监管等领域，包括制定和维持欧洲市场监管方案框架，旨在确保欧盟市场监管的效率和协调；</w:t>
      </w:r>
    </w:p>
    <w:p w14:paraId="7721D612">
      <w:pPr>
        <w:pStyle w:val="32"/>
        <w:numPr>
          <w:ilvl w:val="0"/>
          <w:numId w:val="10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在本法规实施的任何相关问题评估中，主动或在委员会的要求下，提供意见；</w:t>
      </w:r>
    </w:p>
    <w:p w14:paraId="6577168E">
      <w:pPr>
        <w:pStyle w:val="32"/>
        <w:numPr>
          <w:ilvl w:val="0"/>
          <w:numId w:val="10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在成员国境内，促进器械的协调行政管理规定。</w:t>
      </w:r>
    </w:p>
    <w:p w14:paraId="60287CA0">
      <w:pPr>
        <w:snapToGrid w:val="0"/>
        <w:spacing w:beforeLines="25" w:line="300" w:lineRule="auto"/>
        <w:ind w:left="196"/>
        <w:jc w:val="center"/>
        <w:rPr>
          <w:rStyle w:val="48"/>
          <w:b/>
          <w:szCs w:val="21"/>
        </w:rPr>
      </w:pPr>
      <w:r>
        <w:rPr>
          <w:rFonts w:ascii="Times New Roman" w:hAnsi="Times New Roman"/>
          <w:i/>
          <w:kern w:val="2"/>
          <w:szCs w:val="21"/>
        </w:rPr>
        <w:t>第106条</w:t>
      </w:r>
    </w:p>
    <w:p w14:paraId="67FC4CFE">
      <w:pPr>
        <w:snapToGrid w:val="0"/>
        <w:spacing w:beforeLines="25" w:line="300" w:lineRule="auto"/>
        <w:ind w:left="196"/>
        <w:jc w:val="center"/>
        <w:rPr>
          <w:rStyle w:val="48"/>
          <w:b/>
          <w:szCs w:val="21"/>
        </w:rPr>
      </w:pPr>
      <w:r>
        <w:rPr>
          <w:rFonts w:ascii="Times New Roman" w:hAnsi="Times New Roman"/>
          <w:b/>
          <w:kern w:val="2"/>
          <w:szCs w:val="21"/>
        </w:rPr>
        <w:t>提供科学、技术和临床意见和建议</w:t>
      </w:r>
    </w:p>
    <w:p w14:paraId="679DA096">
      <w:pPr>
        <w:pStyle w:val="32"/>
        <w:numPr>
          <w:ilvl w:val="0"/>
          <w:numId w:val="10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委员会应通过实施细则并与MDCG磋商，委任专家小组，评估本条第9段所述的相关医疗领域的临床研究，并根据2017</w:t>
      </w:r>
      <w:r>
        <w:rPr>
          <w:rFonts w:hint="eastAsia" w:ascii="Times New Roman" w:hAnsi="Times New Roman"/>
          <w:kern w:val="2"/>
          <w:szCs w:val="21"/>
        </w:rPr>
        <w:t>/746</w:t>
      </w:r>
      <w:r>
        <w:rPr>
          <w:rFonts w:ascii="Times New Roman" w:hAnsi="Times New Roman"/>
          <w:kern w:val="2"/>
          <w:szCs w:val="21"/>
        </w:rPr>
        <w:t>号法规/第48（6）条，就某些体外诊断医疗器械性能评估，以及（如必要）针对器械类别或器械组，或者与之相关的特定危害，按照最高科学能力、公正性、独立性和透明度等原则，发表自己的意见。当委员会决议按照本条第7段任命专家实验室时，适用同样原则。</w:t>
      </w:r>
    </w:p>
    <w:p w14:paraId="430F7CD7">
      <w:pPr>
        <w:pStyle w:val="32"/>
        <w:numPr>
          <w:ilvl w:val="0"/>
          <w:numId w:val="10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可在委员会与MDCG协商确定需要提供一致的科学、技术和/或临床建议或实施本法规实验室专业知识等领域任命专家小组和专家实验室。可任命常设或暂时的专家小组和专家实验室。</w:t>
      </w:r>
    </w:p>
    <w:p w14:paraId="2BC975E0">
      <w:pPr>
        <w:pStyle w:val="32"/>
        <w:numPr>
          <w:ilvl w:val="0"/>
          <w:numId w:val="10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专家小组应由委员会根据领域内最新的临床、科学或技术专门知识任命的顾问，以及反映欧盟科学和临床方法多样性的地理分布组成。委员会应根据必要性，确定各小组的成员人数。</w:t>
      </w:r>
    </w:p>
    <w:p w14:paraId="6663EA25">
      <w:pPr>
        <w:pStyle w:val="8"/>
        <w:topLinePunct/>
        <w:snapToGrid w:val="0"/>
        <w:spacing w:beforeLines="25" w:line="300" w:lineRule="auto"/>
        <w:ind w:firstLine="0"/>
        <w:jc w:val="both"/>
        <w:rPr>
          <w:kern w:val="2"/>
          <w:szCs w:val="21"/>
        </w:rPr>
      </w:pPr>
      <w:r>
        <w:rPr>
          <w:kern w:val="2"/>
          <w:szCs w:val="21"/>
        </w:rPr>
        <w:t>专家小组成员应以公正和客观的态度履行其任务。其不得寻求或接受公告机构或制造商的指示。各成员应制定一项公开的利益声明。</w:t>
      </w:r>
    </w:p>
    <w:p w14:paraId="3C531B26">
      <w:pPr>
        <w:pStyle w:val="8"/>
        <w:topLinePunct/>
        <w:snapToGrid w:val="0"/>
        <w:spacing w:beforeLines="25" w:line="300" w:lineRule="auto"/>
        <w:ind w:firstLine="0"/>
        <w:jc w:val="both"/>
        <w:rPr>
          <w:kern w:val="2"/>
          <w:szCs w:val="21"/>
        </w:rPr>
      </w:pPr>
      <w:r>
        <w:rPr>
          <w:kern w:val="2"/>
          <w:szCs w:val="21"/>
        </w:rPr>
        <w:t>委员会应建立体系和流程，积极管理和预防潜在的利益冲突。</w:t>
      </w:r>
    </w:p>
    <w:p w14:paraId="72C14BA9">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专家小组在提出其科学观点时应考虑利益相关者提供的相关信息，包括患者组织和医疗保健专业人员。</w:t>
      </w:r>
    </w:p>
    <w:p w14:paraId="4A09D5B5">
      <w:pPr>
        <w:pStyle w:val="32"/>
        <w:numPr>
          <w:ilvl w:val="0"/>
          <w:numId w:val="103"/>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委员会在与MDCG咨询后，在《欧盟官方报》上和委员会网站上公布信息并征求意向书后，可任命专家小组顾问。根据任务类型和具体专业知识的需要，可任命专家小组顾问，任期最长为三年且其任命可续期。</w:t>
      </w:r>
    </w:p>
    <w:p w14:paraId="097BFB2C">
      <w:pPr>
        <w:pStyle w:val="8"/>
        <w:tabs>
          <w:tab w:val="left" w:pos="681"/>
        </w:tabs>
        <w:topLinePunct/>
        <w:snapToGrid w:val="0"/>
        <w:spacing w:beforeLines="25" w:line="300" w:lineRule="auto"/>
        <w:ind w:hanging="568"/>
        <w:jc w:val="both"/>
        <w:rPr>
          <w:kern w:val="2"/>
          <w:szCs w:val="21"/>
        </w:rPr>
      </w:pPr>
      <w:r>
        <w:rPr>
          <w:kern w:val="2"/>
          <w:szCs w:val="21"/>
        </w:rPr>
        <w:t>6.</w:t>
      </w:r>
      <w:r>
        <w:rPr>
          <w:kern w:val="2"/>
          <w:szCs w:val="21"/>
        </w:rPr>
        <w:tab/>
      </w:r>
      <w:r>
        <w:rPr>
          <w:kern w:val="2"/>
          <w:szCs w:val="21"/>
        </w:rPr>
        <w:t>委员会在与MDCG咨询之后，可将顾问加入一份中心专家名单，其在没有正式任命为专家小组的情况下可提供咨询意见，并根据需要来支持专家小组的工作。该名单应在委员会网站上公布。</w:t>
      </w:r>
    </w:p>
    <w:p w14:paraId="36C7A44A">
      <w:pPr>
        <w:pStyle w:val="8"/>
        <w:tabs>
          <w:tab w:val="left" w:pos="681"/>
        </w:tabs>
        <w:topLinePunct/>
        <w:snapToGrid w:val="0"/>
        <w:spacing w:beforeLines="25" w:line="300" w:lineRule="auto"/>
        <w:ind w:hanging="568"/>
        <w:jc w:val="both"/>
        <w:rPr>
          <w:kern w:val="2"/>
          <w:szCs w:val="21"/>
        </w:rPr>
      </w:pPr>
      <w:r>
        <w:rPr>
          <w:kern w:val="2"/>
          <w:szCs w:val="21"/>
        </w:rPr>
        <w:t>7.</w:t>
      </w:r>
      <w:r>
        <w:rPr>
          <w:kern w:val="2"/>
          <w:szCs w:val="21"/>
        </w:rPr>
        <w:tab/>
      </w:r>
      <w:r>
        <w:rPr>
          <w:kern w:val="2"/>
          <w:szCs w:val="21"/>
        </w:rPr>
        <w:t>委员应在实施细则并在会在与MDCG咨询之后，根据其在特定器械、类别或器械组的</w:t>
      </w:r>
    </w:p>
    <w:p w14:paraId="266DF3BF">
      <w:pPr>
        <w:pStyle w:val="32"/>
        <w:numPr>
          <w:ilvl w:val="0"/>
          <w:numId w:val="104"/>
        </w:numPr>
        <w:tabs>
          <w:tab w:val="left" w:pos="1260"/>
          <w:tab w:val="clear" w:pos="473"/>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物理化学特性或</w:t>
      </w:r>
    </w:p>
    <w:p w14:paraId="25B1327C">
      <w:pPr>
        <w:pStyle w:val="32"/>
        <w:numPr>
          <w:ilvl w:val="0"/>
          <w:numId w:val="104"/>
        </w:numPr>
        <w:tabs>
          <w:tab w:val="left" w:pos="1260"/>
          <w:tab w:val="clear" w:pos="473"/>
        </w:tabs>
        <w:topLinePunct/>
        <w:snapToGrid w:val="0"/>
        <w:spacing w:beforeLines="25" w:line="300" w:lineRule="auto"/>
        <w:ind w:left="1170" w:leftChars="300" w:hanging="540"/>
        <w:jc w:val="both"/>
        <w:rPr>
          <w:rFonts w:ascii="Times New Roman" w:hAnsi="Times New Roman"/>
          <w:kern w:val="2"/>
          <w:szCs w:val="21"/>
        </w:rPr>
      </w:pPr>
      <w:r>
        <w:rPr>
          <w:rFonts w:ascii="Times New Roman" w:hAnsi="Times New Roman"/>
          <w:kern w:val="2"/>
          <w:szCs w:val="21"/>
        </w:rPr>
        <w:t>微生物学、生物相容性、机械、电学、电子或非临床生物</w:t>
      </w:r>
      <w:r>
        <w:rPr>
          <w:rFonts w:hint="eastAsia" w:ascii="Times New Roman" w:hAnsi="Times New Roman"/>
          <w:kern w:val="2"/>
          <w:szCs w:val="21"/>
        </w:rPr>
        <w:t>和</w:t>
      </w:r>
      <w:r>
        <w:rPr>
          <w:rFonts w:ascii="Times New Roman" w:hAnsi="Times New Roman"/>
          <w:kern w:val="2"/>
          <w:szCs w:val="21"/>
        </w:rPr>
        <w:t>毒理学测试</w:t>
      </w:r>
    </w:p>
    <w:p w14:paraId="47AB433C">
      <w:pPr>
        <w:pStyle w:val="32"/>
        <w:topLinePunct/>
        <w:snapToGrid w:val="0"/>
        <w:spacing w:beforeLines="25" w:line="300" w:lineRule="auto"/>
        <w:ind w:left="630"/>
        <w:jc w:val="both"/>
        <w:rPr>
          <w:rFonts w:ascii="Times New Roman" w:hAnsi="Times New Roman"/>
          <w:kern w:val="2"/>
          <w:szCs w:val="21"/>
        </w:rPr>
      </w:pPr>
      <w:r>
        <w:rPr>
          <w:rFonts w:hint="eastAsia" w:ascii="Times New Roman" w:hAnsi="Times New Roman"/>
          <w:kern w:val="2"/>
          <w:szCs w:val="21"/>
        </w:rPr>
        <w:t>委员会只应指定一个成员国或联合研究中心提交了指定申请的专家实验室。</w:t>
      </w:r>
    </w:p>
    <w:p w14:paraId="553C47E1">
      <w:pPr>
        <w:pStyle w:val="8"/>
        <w:topLinePunct/>
        <w:snapToGrid w:val="0"/>
        <w:spacing w:beforeLines="25" w:line="300" w:lineRule="auto"/>
        <w:ind w:left="680"/>
        <w:jc w:val="both"/>
        <w:rPr>
          <w:kern w:val="2"/>
          <w:szCs w:val="21"/>
        </w:rPr>
      </w:pPr>
      <w:r>
        <w:rPr>
          <w:kern w:val="2"/>
          <w:szCs w:val="21"/>
        </w:rPr>
        <w:t>8.</w:t>
      </w:r>
      <w:r>
        <w:rPr>
          <w:kern w:val="2"/>
          <w:szCs w:val="21"/>
        </w:rPr>
        <w:tab/>
      </w:r>
      <w:r>
        <w:rPr>
          <w:kern w:val="2"/>
          <w:szCs w:val="21"/>
        </w:rPr>
        <w:t>专家实验室应满足以下标准：</w:t>
      </w:r>
    </w:p>
    <w:p w14:paraId="6B4639FF">
      <w:pPr>
        <w:pStyle w:val="32"/>
        <w:numPr>
          <w:ilvl w:val="1"/>
          <w:numId w:val="105"/>
        </w:numPr>
        <w:tabs>
          <w:tab w:val="left" w:pos="1248"/>
        </w:tabs>
        <w:topLinePunct/>
        <w:snapToGrid w:val="0"/>
        <w:spacing w:beforeLines="25" w:line="300" w:lineRule="auto"/>
        <w:ind w:left="839" w:hanging="113"/>
        <w:jc w:val="both"/>
        <w:rPr>
          <w:rFonts w:ascii="Times New Roman" w:hAnsi="Times New Roman"/>
          <w:kern w:val="2"/>
          <w:szCs w:val="21"/>
        </w:rPr>
      </w:pPr>
      <w:r>
        <w:rPr>
          <w:rFonts w:ascii="Times New Roman" w:hAnsi="Times New Roman"/>
          <w:kern w:val="2"/>
          <w:szCs w:val="21"/>
        </w:rPr>
        <w:t>拥有足够和合</w:t>
      </w:r>
      <w:r>
        <w:rPr>
          <w:rFonts w:hint="eastAsia" w:ascii="Times New Roman" w:hAnsi="Times New Roman"/>
          <w:kern w:val="2"/>
          <w:szCs w:val="21"/>
        </w:rPr>
        <w:t>资</w:t>
      </w:r>
      <w:r>
        <w:rPr>
          <w:rFonts w:ascii="Times New Roman" w:hAnsi="Times New Roman"/>
          <w:kern w:val="2"/>
          <w:szCs w:val="21"/>
        </w:rPr>
        <w:t>格的工作人员，在其受托的器械领域具有足够的知识和经验；</w:t>
      </w:r>
    </w:p>
    <w:p w14:paraId="6BB0BDA6">
      <w:pPr>
        <w:pStyle w:val="32"/>
        <w:numPr>
          <w:ilvl w:val="1"/>
          <w:numId w:val="105"/>
        </w:numPr>
        <w:tabs>
          <w:tab w:val="left" w:pos="1248"/>
        </w:tabs>
        <w:topLinePunct/>
        <w:snapToGrid w:val="0"/>
        <w:spacing w:beforeLines="25" w:line="300" w:lineRule="auto"/>
        <w:ind w:left="839" w:hanging="113"/>
        <w:jc w:val="both"/>
        <w:rPr>
          <w:rFonts w:ascii="Times New Roman" w:hAnsi="Times New Roman"/>
          <w:kern w:val="2"/>
          <w:szCs w:val="21"/>
        </w:rPr>
      </w:pPr>
      <w:r>
        <w:rPr>
          <w:rFonts w:ascii="Times New Roman" w:hAnsi="Times New Roman"/>
          <w:kern w:val="2"/>
          <w:szCs w:val="21"/>
        </w:rPr>
        <w:t>拥有必要的设备来执行分配给其任务；</w:t>
      </w:r>
    </w:p>
    <w:p w14:paraId="5107C237">
      <w:pPr>
        <w:pStyle w:val="32"/>
        <w:numPr>
          <w:ilvl w:val="1"/>
          <w:numId w:val="105"/>
        </w:numPr>
        <w:tabs>
          <w:tab w:val="left" w:pos="1248"/>
        </w:tabs>
        <w:topLinePunct/>
        <w:snapToGrid w:val="0"/>
        <w:spacing w:beforeLines="25" w:line="300" w:lineRule="auto"/>
        <w:ind w:left="839" w:hanging="113"/>
        <w:jc w:val="both"/>
        <w:rPr>
          <w:rFonts w:ascii="Times New Roman" w:hAnsi="Times New Roman"/>
          <w:kern w:val="2"/>
          <w:szCs w:val="21"/>
        </w:rPr>
      </w:pPr>
      <w:r>
        <w:rPr>
          <w:rFonts w:ascii="Times New Roman" w:hAnsi="Times New Roman"/>
          <w:kern w:val="2"/>
          <w:szCs w:val="21"/>
        </w:rPr>
        <w:t>具有国际标准和最佳方案的必要知识；</w:t>
      </w:r>
    </w:p>
    <w:p w14:paraId="272C201E">
      <w:pPr>
        <w:pStyle w:val="32"/>
        <w:numPr>
          <w:ilvl w:val="1"/>
          <w:numId w:val="105"/>
        </w:numPr>
        <w:tabs>
          <w:tab w:val="left" w:pos="1248"/>
        </w:tabs>
        <w:topLinePunct/>
        <w:snapToGrid w:val="0"/>
        <w:spacing w:beforeLines="25" w:line="300" w:lineRule="auto"/>
        <w:ind w:left="839" w:hanging="113"/>
        <w:jc w:val="both"/>
        <w:rPr>
          <w:rFonts w:ascii="Times New Roman" w:hAnsi="Times New Roman"/>
          <w:kern w:val="2"/>
          <w:szCs w:val="21"/>
        </w:rPr>
      </w:pPr>
      <w:r>
        <w:rPr>
          <w:rFonts w:ascii="Times New Roman" w:hAnsi="Times New Roman"/>
          <w:kern w:val="2"/>
          <w:szCs w:val="21"/>
        </w:rPr>
        <w:t>具有适当的行政组织和结构；</w:t>
      </w:r>
    </w:p>
    <w:p w14:paraId="2448919C">
      <w:pPr>
        <w:pStyle w:val="32"/>
        <w:numPr>
          <w:ilvl w:val="1"/>
          <w:numId w:val="105"/>
        </w:numPr>
        <w:tabs>
          <w:tab w:val="left" w:pos="1248"/>
        </w:tabs>
        <w:topLinePunct/>
        <w:snapToGrid w:val="0"/>
        <w:spacing w:beforeLines="25" w:line="300" w:lineRule="auto"/>
        <w:ind w:left="839" w:hanging="113"/>
        <w:jc w:val="both"/>
        <w:rPr>
          <w:rFonts w:ascii="Times New Roman" w:hAnsi="Times New Roman"/>
          <w:kern w:val="2"/>
          <w:szCs w:val="21"/>
        </w:rPr>
      </w:pPr>
      <w:r>
        <w:rPr>
          <w:rFonts w:ascii="Times New Roman" w:hAnsi="Times New Roman"/>
          <w:kern w:val="2"/>
          <w:szCs w:val="21"/>
        </w:rPr>
        <w:t>确保其工作人员在执行任务时遵守所获信息和数据的保密性规定；</w:t>
      </w:r>
    </w:p>
    <w:p w14:paraId="0078FF07">
      <w:pPr>
        <w:pStyle w:val="8"/>
        <w:tabs>
          <w:tab w:val="left" w:pos="681"/>
        </w:tabs>
        <w:topLinePunct/>
        <w:snapToGrid w:val="0"/>
        <w:spacing w:beforeLines="35" w:line="300" w:lineRule="auto"/>
        <w:ind w:hanging="568"/>
        <w:jc w:val="both"/>
        <w:rPr>
          <w:kern w:val="2"/>
          <w:szCs w:val="21"/>
        </w:rPr>
      </w:pPr>
      <w:r>
        <w:rPr>
          <w:kern w:val="2"/>
          <w:szCs w:val="21"/>
        </w:rPr>
        <w:br w:type="page"/>
      </w:r>
      <w:r>
        <w:rPr>
          <w:kern w:val="2"/>
          <w:szCs w:val="21"/>
        </w:rPr>
        <w:t>9.</w:t>
      </w:r>
      <w:r>
        <w:rPr>
          <w:kern w:val="2"/>
          <w:szCs w:val="21"/>
        </w:rPr>
        <w:tab/>
      </w:r>
      <w:r>
        <w:rPr>
          <w:kern w:val="2"/>
          <w:szCs w:val="21"/>
        </w:rPr>
        <w:t>任命在相关医疗领域进行临床研究的专家小组应完成第54（1）和61（2）条以及附录IX第5.1节或附录X第6节指定的任务（如适用）。</w:t>
      </w:r>
    </w:p>
    <w:p w14:paraId="2BD7189B">
      <w:pPr>
        <w:pStyle w:val="32"/>
        <w:tabs>
          <w:tab w:val="left" w:pos="682"/>
        </w:tabs>
        <w:topLinePunct/>
        <w:snapToGrid w:val="0"/>
        <w:spacing w:beforeLines="35" w:line="300" w:lineRule="auto"/>
        <w:ind w:left="113"/>
        <w:jc w:val="both"/>
        <w:rPr>
          <w:rFonts w:ascii="Times New Roman" w:hAnsi="Times New Roman"/>
          <w:kern w:val="2"/>
          <w:szCs w:val="21"/>
        </w:rPr>
      </w:pPr>
      <w:r>
        <w:rPr>
          <w:rFonts w:ascii="Times New Roman" w:hAnsi="Times New Roman"/>
          <w:kern w:val="2"/>
          <w:szCs w:val="21"/>
        </w:rPr>
        <w:t>10.</w:t>
      </w:r>
      <w:r>
        <w:rPr>
          <w:rFonts w:ascii="Times New Roman" w:hAnsi="Times New Roman"/>
          <w:kern w:val="2"/>
          <w:szCs w:val="21"/>
        </w:rPr>
        <w:tab/>
      </w:r>
      <w:r>
        <w:rPr>
          <w:rFonts w:ascii="Times New Roman" w:hAnsi="Times New Roman"/>
          <w:kern w:val="2"/>
          <w:szCs w:val="21"/>
        </w:rPr>
        <w:t>专家小组和专家实验室可能具有以下任务，具体取决于必要的需求：</w:t>
      </w:r>
    </w:p>
    <w:p w14:paraId="785B7B64">
      <w:pPr>
        <w:pStyle w:val="32"/>
        <w:numPr>
          <w:ilvl w:val="0"/>
          <w:numId w:val="106"/>
        </w:numPr>
        <w:tabs>
          <w:tab w:val="left" w:pos="1248"/>
        </w:tabs>
        <w:topLinePunct/>
        <w:snapToGrid w:val="0"/>
        <w:spacing w:beforeLines="35" w:line="300" w:lineRule="auto"/>
        <w:ind w:hanging="140"/>
        <w:jc w:val="both"/>
        <w:rPr>
          <w:rFonts w:ascii="Times New Roman" w:hAnsi="Times New Roman"/>
          <w:kern w:val="2"/>
          <w:szCs w:val="21"/>
        </w:rPr>
      </w:pPr>
      <w:r>
        <w:rPr>
          <w:rFonts w:ascii="Times New Roman" w:hAnsi="Times New Roman"/>
          <w:kern w:val="2"/>
          <w:szCs w:val="21"/>
        </w:rPr>
        <w:t>为委员会和MDCG在有关本法规实施方面提供科学、技术和临床援助；</w:t>
      </w:r>
    </w:p>
    <w:p w14:paraId="17068093">
      <w:pPr>
        <w:pStyle w:val="32"/>
        <w:numPr>
          <w:ilvl w:val="0"/>
          <w:numId w:val="106"/>
        </w:numPr>
        <w:tabs>
          <w:tab w:val="left" w:pos="1248"/>
        </w:tabs>
        <w:topLinePunct/>
        <w:snapToGrid w:val="0"/>
        <w:spacing w:beforeLines="35" w:line="300" w:lineRule="auto"/>
        <w:ind w:hanging="140"/>
        <w:jc w:val="both"/>
        <w:rPr>
          <w:rFonts w:ascii="Times New Roman" w:hAnsi="Times New Roman"/>
          <w:kern w:val="2"/>
          <w:szCs w:val="21"/>
        </w:rPr>
      </w:pPr>
      <w:r>
        <w:rPr>
          <w:rFonts w:ascii="Times New Roman" w:hAnsi="Times New Roman"/>
          <w:kern w:val="2"/>
          <w:szCs w:val="21"/>
        </w:rPr>
        <w:t>有助于制定和维护适当的指导和CS用于特定器械或一类或一组器械</w:t>
      </w:r>
    </w:p>
    <w:p w14:paraId="7161A204">
      <w:pPr>
        <w:pStyle w:val="32"/>
        <w:numPr>
          <w:ilvl w:val="1"/>
          <w:numId w:val="106"/>
        </w:numPr>
        <w:tabs>
          <w:tab w:val="left" w:pos="1248"/>
        </w:tabs>
        <w:topLinePunct/>
        <w:snapToGrid w:val="0"/>
        <w:spacing w:beforeLines="35" w:line="300" w:lineRule="auto"/>
        <w:ind w:firstLine="74"/>
        <w:jc w:val="both"/>
        <w:rPr>
          <w:rFonts w:ascii="Times New Roman" w:hAnsi="Times New Roman"/>
          <w:kern w:val="2"/>
          <w:szCs w:val="21"/>
        </w:rPr>
      </w:pPr>
      <w:r>
        <w:rPr>
          <w:rFonts w:ascii="Times New Roman" w:hAnsi="Times New Roman"/>
          <w:kern w:val="2"/>
          <w:szCs w:val="21"/>
        </w:rPr>
        <w:t>临床研究</w:t>
      </w:r>
      <w:r>
        <w:rPr>
          <w:rFonts w:hint="eastAsia" w:ascii="Times New Roman" w:hAnsi="Times New Roman"/>
          <w:kern w:val="2"/>
          <w:szCs w:val="21"/>
        </w:rPr>
        <w:t>，</w:t>
      </w:r>
    </w:p>
    <w:p w14:paraId="73F82797">
      <w:pPr>
        <w:pStyle w:val="32"/>
        <w:numPr>
          <w:ilvl w:val="1"/>
          <w:numId w:val="106"/>
        </w:numPr>
        <w:tabs>
          <w:tab w:val="left" w:pos="1248"/>
        </w:tabs>
        <w:topLinePunct/>
        <w:snapToGrid w:val="0"/>
        <w:spacing w:beforeLines="35" w:line="300" w:lineRule="auto"/>
        <w:ind w:firstLine="74"/>
        <w:jc w:val="both"/>
        <w:rPr>
          <w:rFonts w:ascii="Times New Roman" w:hAnsi="Times New Roman"/>
          <w:kern w:val="2"/>
          <w:szCs w:val="21"/>
        </w:rPr>
      </w:pPr>
      <w:r>
        <w:rPr>
          <w:rFonts w:ascii="Times New Roman" w:hAnsi="Times New Roman"/>
          <w:kern w:val="2"/>
          <w:szCs w:val="21"/>
        </w:rPr>
        <w:t>临床评价和PMCF</w:t>
      </w:r>
      <w:r>
        <w:rPr>
          <w:rFonts w:hint="eastAsia" w:ascii="Times New Roman" w:hAnsi="Times New Roman"/>
          <w:kern w:val="2"/>
          <w:szCs w:val="21"/>
          <w:lang w:val="en-US"/>
        </w:rPr>
        <w:t>，</w:t>
      </w:r>
    </w:p>
    <w:p w14:paraId="6A7ABE8E">
      <w:pPr>
        <w:pStyle w:val="32"/>
        <w:numPr>
          <w:ilvl w:val="1"/>
          <w:numId w:val="106"/>
        </w:numPr>
        <w:tabs>
          <w:tab w:val="left" w:pos="1248"/>
        </w:tabs>
        <w:topLinePunct/>
        <w:snapToGrid w:val="0"/>
        <w:spacing w:beforeLines="35" w:line="300" w:lineRule="auto"/>
        <w:ind w:firstLine="74"/>
        <w:jc w:val="both"/>
        <w:rPr>
          <w:rFonts w:ascii="Times New Roman" w:hAnsi="Times New Roman"/>
          <w:kern w:val="2"/>
          <w:szCs w:val="21"/>
        </w:rPr>
      </w:pPr>
      <w:r>
        <w:rPr>
          <w:rFonts w:ascii="Times New Roman" w:hAnsi="Times New Roman"/>
          <w:kern w:val="2"/>
          <w:szCs w:val="21"/>
        </w:rPr>
        <w:t>性能研究</w:t>
      </w:r>
      <w:r>
        <w:rPr>
          <w:rFonts w:hint="eastAsia" w:ascii="Times New Roman" w:hAnsi="Times New Roman"/>
          <w:kern w:val="2"/>
          <w:szCs w:val="21"/>
          <w:lang w:val="en-US"/>
        </w:rPr>
        <w:t>，</w:t>
      </w:r>
    </w:p>
    <w:p w14:paraId="09E1EF53">
      <w:pPr>
        <w:pStyle w:val="32"/>
        <w:numPr>
          <w:ilvl w:val="1"/>
          <w:numId w:val="106"/>
        </w:numPr>
        <w:tabs>
          <w:tab w:val="left" w:pos="1248"/>
        </w:tabs>
        <w:topLinePunct/>
        <w:snapToGrid w:val="0"/>
        <w:spacing w:beforeLines="35" w:line="300" w:lineRule="auto"/>
        <w:ind w:firstLine="74"/>
        <w:jc w:val="both"/>
        <w:rPr>
          <w:rFonts w:ascii="Times New Roman" w:hAnsi="Times New Roman"/>
          <w:kern w:val="2"/>
          <w:szCs w:val="21"/>
        </w:rPr>
      </w:pPr>
      <w:r>
        <w:rPr>
          <w:rFonts w:ascii="Times New Roman" w:hAnsi="Times New Roman"/>
          <w:kern w:val="2"/>
          <w:szCs w:val="21"/>
        </w:rPr>
        <w:t>性能评估和上市后性能</w:t>
      </w:r>
      <w:r>
        <w:rPr>
          <w:rFonts w:hint="eastAsia" w:ascii="Times New Roman" w:hAnsi="Times New Roman"/>
          <w:kern w:val="2"/>
          <w:szCs w:val="21"/>
          <w:lang w:val="en-US"/>
        </w:rPr>
        <w:t>跟踪，</w:t>
      </w:r>
    </w:p>
    <w:p w14:paraId="2D5A928C">
      <w:pPr>
        <w:pStyle w:val="32"/>
        <w:numPr>
          <w:ilvl w:val="1"/>
          <w:numId w:val="106"/>
        </w:numPr>
        <w:tabs>
          <w:tab w:val="left" w:pos="1248"/>
        </w:tabs>
        <w:topLinePunct/>
        <w:snapToGrid w:val="0"/>
        <w:spacing w:beforeLines="35" w:line="300" w:lineRule="auto"/>
        <w:ind w:firstLine="74"/>
        <w:jc w:val="both"/>
        <w:rPr>
          <w:rFonts w:ascii="Times New Roman" w:hAnsi="Times New Roman"/>
          <w:kern w:val="2"/>
          <w:szCs w:val="21"/>
        </w:rPr>
      </w:pPr>
      <w:r>
        <w:rPr>
          <w:rFonts w:ascii="Times New Roman" w:hAnsi="Times New Roman"/>
          <w:kern w:val="2"/>
          <w:szCs w:val="21"/>
        </w:rPr>
        <w:t>物理化学特征</w:t>
      </w:r>
      <w:r>
        <w:rPr>
          <w:rFonts w:hint="eastAsia" w:ascii="Times New Roman" w:hAnsi="Times New Roman"/>
          <w:kern w:val="2"/>
          <w:szCs w:val="21"/>
          <w:lang w:val="en-US"/>
        </w:rPr>
        <w:t>，</w:t>
      </w:r>
      <w:r>
        <w:rPr>
          <w:rFonts w:hint="eastAsia" w:ascii="Times New Roman" w:hAnsi="Times New Roman"/>
          <w:kern w:val="2"/>
          <w:szCs w:val="21"/>
        </w:rPr>
        <w:t>以及</w:t>
      </w:r>
    </w:p>
    <w:p w14:paraId="1DDA1599">
      <w:pPr>
        <w:pStyle w:val="32"/>
        <w:numPr>
          <w:ilvl w:val="1"/>
          <w:numId w:val="106"/>
        </w:numPr>
        <w:tabs>
          <w:tab w:val="left" w:pos="1248"/>
        </w:tabs>
        <w:topLinePunct/>
        <w:snapToGrid w:val="0"/>
        <w:spacing w:beforeLines="35" w:line="300" w:lineRule="auto"/>
        <w:ind w:firstLine="74"/>
        <w:jc w:val="both"/>
        <w:rPr>
          <w:rFonts w:ascii="Times New Roman" w:hAnsi="Times New Roman"/>
          <w:kern w:val="2"/>
          <w:szCs w:val="21"/>
        </w:rPr>
      </w:pPr>
      <w:r>
        <w:rPr>
          <w:rFonts w:ascii="Times New Roman" w:hAnsi="Times New Roman"/>
          <w:kern w:val="2"/>
          <w:szCs w:val="21"/>
        </w:rPr>
        <w:t>微生物、生物相容性、机械、电气、电子或非临床毒理学试验</w:t>
      </w:r>
    </w:p>
    <w:p w14:paraId="6C0C00AD">
      <w:pPr>
        <w:pStyle w:val="32"/>
        <w:numPr>
          <w:ilvl w:val="0"/>
          <w:numId w:val="106"/>
        </w:numPr>
        <w:tabs>
          <w:tab w:val="left" w:pos="1248"/>
        </w:tabs>
        <w:topLinePunct/>
        <w:snapToGrid w:val="0"/>
        <w:spacing w:beforeLines="35" w:line="300" w:lineRule="auto"/>
        <w:ind w:left="1258" w:hanging="561"/>
        <w:jc w:val="both"/>
        <w:rPr>
          <w:rFonts w:ascii="Times New Roman" w:hAnsi="Times New Roman"/>
          <w:kern w:val="2"/>
          <w:szCs w:val="21"/>
        </w:rPr>
      </w:pPr>
      <w:r>
        <w:rPr>
          <w:rFonts w:ascii="Times New Roman" w:hAnsi="Times New Roman"/>
          <w:kern w:val="2"/>
          <w:szCs w:val="21"/>
        </w:rPr>
        <w:t>制定和审查适用于符合性评估流程的现有性能，涉及到临床评价、性能评估、物理化学特征、微生物、生物相容性、机械、电气、电子和非临床毒理学试</w:t>
      </w:r>
      <w:r>
        <w:rPr>
          <w:rFonts w:hint="eastAsia" w:ascii="Times New Roman" w:hAnsi="Times New Roman"/>
          <w:kern w:val="2"/>
          <w:szCs w:val="21"/>
        </w:rPr>
        <w:t>的</w:t>
      </w:r>
      <w:r>
        <w:rPr>
          <w:rFonts w:ascii="Times New Roman" w:hAnsi="Times New Roman"/>
          <w:kern w:val="2"/>
          <w:szCs w:val="21"/>
        </w:rPr>
        <w:t>临床研究指导和性能研究指导原则验；</w:t>
      </w:r>
    </w:p>
    <w:p w14:paraId="54DCEADA">
      <w:pPr>
        <w:pStyle w:val="32"/>
        <w:numPr>
          <w:ilvl w:val="0"/>
          <w:numId w:val="106"/>
        </w:numPr>
        <w:tabs>
          <w:tab w:val="left" w:pos="1248"/>
        </w:tabs>
        <w:topLinePunct/>
        <w:snapToGrid w:val="0"/>
        <w:spacing w:beforeLines="35" w:line="300" w:lineRule="auto"/>
        <w:ind w:left="1258" w:hanging="561"/>
        <w:jc w:val="both"/>
        <w:rPr>
          <w:rFonts w:ascii="Times New Roman" w:hAnsi="Times New Roman"/>
          <w:kern w:val="2"/>
          <w:szCs w:val="21"/>
        </w:rPr>
      </w:pPr>
      <w:r>
        <w:rPr>
          <w:rFonts w:ascii="Times New Roman" w:hAnsi="Times New Roman"/>
          <w:kern w:val="2"/>
          <w:szCs w:val="21"/>
        </w:rPr>
        <w:t>有助于制定国际水平标准，确保该等标准反映最先进技术；</w:t>
      </w:r>
    </w:p>
    <w:p w14:paraId="2C8B2479">
      <w:pPr>
        <w:pStyle w:val="32"/>
        <w:numPr>
          <w:ilvl w:val="0"/>
          <w:numId w:val="106"/>
        </w:numPr>
        <w:tabs>
          <w:tab w:val="left" w:pos="1248"/>
        </w:tabs>
        <w:topLinePunct/>
        <w:snapToGrid w:val="0"/>
        <w:spacing w:beforeLines="35" w:line="300" w:lineRule="auto"/>
        <w:ind w:left="1258" w:hanging="561"/>
        <w:jc w:val="both"/>
        <w:rPr>
          <w:rFonts w:ascii="Times New Roman" w:hAnsi="Times New Roman"/>
          <w:kern w:val="2"/>
          <w:szCs w:val="21"/>
        </w:rPr>
      </w:pPr>
      <w:r>
        <w:rPr>
          <w:rFonts w:ascii="Times New Roman" w:hAnsi="Times New Roman"/>
          <w:szCs w:val="21"/>
        </w:rPr>
        <w:t>根据制造商按照第61（2），公告机构和成员国根据本条第11至13段进行的磋商提出意见。</w:t>
      </w:r>
    </w:p>
    <w:p w14:paraId="6CC75194">
      <w:pPr>
        <w:pStyle w:val="32"/>
        <w:numPr>
          <w:ilvl w:val="0"/>
          <w:numId w:val="106"/>
        </w:numPr>
        <w:tabs>
          <w:tab w:val="left" w:pos="1248"/>
        </w:tabs>
        <w:topLinePunct/>
        <w:snapToGrid w:val="0"/>
        <w:spacing w:beforeLines="35" w:line="300" w:lineRule="auto"/>
        <w:ind w:left="1258" w:hanging="561"/>
        <w:jc w:val="both"/>
        <w:rPr>
          <w:rFonts w:ascii="Times New Roman" w:hAnsi="Times New Roman"/>
          <w:kern w:val="2"/>
          <w:szCs w:val="21"/>
        </w:rPr>
      </w:pPr>
      <w:r>
        <w:rPr>
          <w:rFonts w:ascii="Times New Roman" w:hAnsi="Times New Roman"/>
          <w:kern w:val="2"/>
          <w:szCs w:val="21"/>
        </w:rPr>
        <w:t>有助于确定医疗器械安全与性能相关及新出现的问题；</w:t>
      </w:r>
    </w:p>
    <w:p w14:paraId="73EC9BAF">
      <w:pPr>
        <w:pStyle w:val="32"/>
        <w:numPr>
          <w:ilvl w:val="0"/>
          <w:numId w:val="106"/>
        </w:numPr>
        <w:tabs>
          <w:tab w:val="left" w:pos="1248"/>
        </w:tabs>
        <w:topLinePunct/>
        <w:snapToGrid w:val="0"/>
        <w:spacing w:beforeLines="35" w:line="300" w:lineRule="auto"/>
        <w:ind w:left="1258" w:hanging="561"/>
        <w:jc w:val="both"/>
        <w:rPr>
          <w:rFonts w:ascii="Times New Roman" w:hAnsi="Times New Roman"/>
          <w:kern w:val="2"/>
          <w:szCs w:val="21"/>
        </w:rPr>
      </w:pPr>
      <w:r>
        <w:rPr>
          <w:rFonts w:ascii="Times New Roman" w:hAnsi="Times New Roman"/>
          <w:kern w:val="2"/>
          <w:szCs w:val="21"/>
        </w:rPr>
        <w:t>根据关于特定体外诊断医疗器械性能评估的2017/</w:t>
      </w:r>
      <w:r>
        <w:rPr>
          <w:rFonts w:hint="eastAsia" w:ascii="Times New Roman" w:hAnsi="Times New Roman"/>
          <w:kern w:val="2"/>
          <w:szCs w:val="21"/>
        </w:rPr>
        <w:t>746</w:t>
      </w:r>
      <w:r>
        <w:rPr>
          <w:rFonts w:ascii="Times New Roman" w:hAnsi="Times New Roman"/>
          <w:kern w:val="2"/>
          <w:szCs w:val="21"/>
        </w:rPr>
        <w:t>号法规第48（4）条提供观点。</w:t>
      </w:r>
    </w:p>
    <w:p w14:paraId="59AC7F8D">
      <w:pPr>
        <w:pStyle w:val="32"/>
        <w:tabs>
          <w:tab w:val="left" w:pos="682"/>
        </w:tabs>
        <w:topLinePunct/>
        <w:snapToGrid w:val="0"/>
        <w:spacing w:beforeLines="35" w:line="300" w:lineRule="auto"/>
        <w:ind w:left="642" w:leftChars="73" w:hanging="489" w:hangingChars="233"/>
        <w:jc w:val="both"/>
        <w:rPr>
          <w:rFonts w:ascii="Times New Roman" w:hAnsi="Times New Roman"/>
          <w:kern w:val="2"/>
          <w:szCs w:val="21"/>
        </w:rPr>
      </w:pPr>
      <w:r>
        <w:rPr>
          <w:rFonts w:ascii="Times New Roman" w:hAnsi="Times New Roman"/>
          <w:kern w:val="2"/>
          <w:szCs w:val="21"/>
        </w:rPr>
        <w:t>11.</w:t>
      </w:r>
      <w:r>
        <w:rPr>
          <w:rFonts w:ascii="Times New Roman" w:hAnsi="Times New Roman"/>
          <w:kern w:val="2"/>
          <w:szCs w:val="21"/>
        </w:rPr>
        <w:tab/>
      </w:r>
      <w:r>
        <w:rPr>
          <w:rFonts w:ascii="Times New Roman" w:hAnsi="Times New Roman"/>
          <w:kern w:val="2"/>
          <w:szCs w:val="21"/>
        </w:rPr>
        <w:t>委员会应促进成员国以及公告机构和制造商获得相关专家小组和专家实验室提供的建议，尤其是关于器械符合性评估适当数据集的标准，特别是关于临床评价所需的临床数据以及关于物理化学特征以及微生物学、生物相容性、机械、电气、电子和非临床毒理学试验。</w:t>
      </w:r>
    </w:p>
    <w:p w14:paraId="08BE1690">
      <w:pPr>
        <w:pStyle w:val="32"/>
        <w:tabs>
          <w:tab w:val="left" w:pos="682"/>
        </w:tabs>
        <w:topLinePunct/>
        <w:snapToGrid w:val="0"/>
        <w:spacing w:beforeLines="35" w:line="300" w:lineRule="auto"/>
        <w:ind w:left="642" w:leftChars="73" w:hanging="489" w:hangingChars="233"/>
        <w:jc w:val="both"/>
        <w:rPr>
          <w:rFonts w:ascii="Times New Roman" w:hAnsi="Times New Roman"/>
          <w:kern w:val="2"/>
          <w:szCs w:val="21"/>
        </w:rPr>
      </w:pPr>
      <w:r>
        <w:rPr>
          <w:rFonts w:ascii="Times New Roman" w:hAnsi="Times New Roman"/>
          <w:kern w:val="2"/>
          <w:szCs w:val="21"/>
        </w:rPr>
        <w:t>12.</w:t>
      </w:r>
      <w:r>
        <w:rPr>
          <w:rFonts w:ascii="Times New Roman" w:hAnsi="Times New Roman"/>
          <w:kern w:val="2"/>
          <w:szCs w:val="21"/>
        </w:rPr>
        <w:tab/>
      </w:r>
      <w:r>
        <w:rPr>
          <w:rFonts w:ascii="Times New Roman" w:hAnsi="Times New Roman"/>
          <w:kern w:val="2"/>
          <w:szCs w:val="21"/>
        </w:rPr>
        <w:t>当根据第9段采用其科学意见时，专家小组的成员应尽其最大努力来达成共识。若无法达成共识，则专家小组应由其大多数成员决议，并且科学意见应所述分歧立场及其基于的理由。</w:t>
      </w:r>
    </w:p>
    <w:p w14:paraId="20EA17EC">
      <w:pPr>
        <w:pStyle w:val="8"/>
        <w:topLinePunct/>
        <w:snapToGrid w:val="0"/>
        <w:spacing w:beforeLines="35" w:line="300" w:lineRule="auto"/>
        <w:ind w:firstLine="0"/>
        <w:jc w:val="both"/>
        <w:rPr>
          <w:kern w:val="2"/>
          <w:szCs w:val="21"/>
        </w:rPr>
      </w:pPr>
      <w:r>
        <w:rPr>
          <w:kern w:val="2"/>
          <w:szCs w:val="21"/>
        </w:rPr>
        <w:t>委员会应公布根据本条第</w:t>
      </w:r>
      <w:r>
        <w:rPr>
          <w:rFonts w:hint="eastAsia"/>
          <w:kern w:val="2"/>
          <w:szCs w:val="21"/>
        </w:rPr>
        <w:t>9</w:t>
      </w:r>
      <w:r>
        <w:rPr>
          <w:kern w:val="2"/>
          <w:szCs w:val="21"/>
        </w:rPr>
        <w:t>和11段传递的科学意见和建议，确保考虑到第10</w:t>
      </w:r>
      <w:r>
        <w:rPr>
          <w:rFonts w:hint="eastAsia"/>
          <w:kern w:val="2"/>
          <w:szCs w:val="21"/>
        </w:rPr>
        <w:t>9</w:t>
      </w:r>
      <w:r>
        <w:rPr>
          <w:kern w:val="2"/>
          <w:szCs w:val="21"/>
        </w:rPr>
        <w:t>条的保密性问题。应在与MDCG咨询之后公布第10段（c）点所述的临床评价指南。</w:t>
      </w:r>
    </w:p>
    <w:p w14:paraId="56EDCAF7">
      <w:pPr>
        <w:pStyle w:val="8"/>
        <w:tabs>
          <w:tab w:val="left" w:pos="681"/>
        </w:tabs>
        <w:topLinePunct/>
        <w:snapToGrid w:val="0"/>
        <w:spacing w:beforeLines="35" w:line="300" w:lineRule="auto"/>
        <w:ind w:hanging="568"/>
        <w:jc w:val="both"/>
        <w:rPr>
          <w:kern w:val="2"/>
          <w:szCs w:val="21"/>
        </w:rPr>
      </w:pPr>
      <w:r>
        <w:rPr>
          <w:kern w:val="2"/>
          <w:szCs w:val="21"/>
        </w:rPr>
        <w:t>13.</w:t>
      </w:r>
      <w:r>
        <w:rPr>
          <w:kern w:val="2"/>
          <w:szCs w:val="21"/>
        </w:rPr>
        <w:tab/>
      </w:r>
      <w:r>
        <w:rPr>
          <w:kern w:val="2"/>
          <w:szCs w:val="21"/>
        </w:rPr>
        <w:t>委员会应要求制造商和公告机构向专家小组和专家实验室提供的建议向支付费用。在考虑到充分实施本法规、健康和安全性保护、支持创新和成本收益以及必须实现专家小组积极参与的目标下，应由委员会通过实施细则来采用费用</w:t>
      </w:r>
      <w:r>
        <w:rPr>
          <w:rFonts w:hint="eastAsia"/>
          <w:kern w:val="2"/>
          <w:szCs w:val="21"/>
        </w:rPr>
        <w:t>尺度和</w:t>
      </w:r>
      <w:r>
        <w:rPr>
          <w:kern w:val="2"/>
          <w:szCs w:val="21"/>
        </w:rPr>
        <w:t>结构以及可收回成本的规模和结构。并且应根据第114（3）条所述的审查程序通过实施细则。</w:t>
      </w:r>
    </w:p>
    <w:p w14:paraId="5B50D219">
      <w:pPr>
        <w:pStyle w:val="8"/>
        <w:tabs>
          <w:tab w:val="left" w:pos="681"/>
        </w:tabs>
        <w:topLinePunct/>
        <w:snapToGrid w:val="0"/>
        <w:spacing w:beforeLines="25" w:line="300" w:lineRule="auto"/>
        <w:ind w:hanging="568"/>
        <w:jc w:val="both"/>
        <w:rPr>
          <w:kern w:val="2"/>
          <w:szCs w:val="21"/>
        </w:rPr>
      </w:pPr>
      <w:r>
        <w:rPr>
          <w:kern w:val="2"/>
          <w:szCs w:val="21"/>
        </w:rPr>
        <w:t>14.</w:t>
      </w:r>
      <w:r>
        <w:rPr>
          <w:kern w:val="2"/>
          <w:szCs w:val="21"/>
        </w:rPr>
        <w:tab/>
      </w:r>
      <w:r>
        <w:rPr>
          <w:kern w:val="2"/>
          <w:szCs w:val="21"/>
        </w:rPr>
        <w:t>按照本条第13段的规程</w:t>
      </w:r>
      <w:r>
        <w:rPr>
          <w:rFonts w:hint="eastAsia"/>
          <w:kern w:val="2"/>
          <w:szCs w:val="21"/>
        </w:rPr>
        <w:t>规定</w:t>
      </w:r>
      <w:r>
        <w:rPr>
          <w:kern w:val="2"/>
          <w:szCs w:val="21"/>
        </w:rPr>
        <w:t>应付给委员会的费用应以透明的方式设定，并且基于所提供服务的成本，并在根据附录IX第5.1</w:t>
      </w:r>
      <w:r>
        <w:rPr>
          <w:rFonts w:hint="eastAsia"/>
          <w:kern w:val="2"/>
          <w:szCs w:val="21"/>
        </w:rPr>
        <w:t>节</w:t>
      </w:r>
      <w:r>
        <w:rPr>
          <w:kern w:val="2"/>
          <w:szCs w:val="21"/>
        </w:rPr>
        <w:t>（c）</w:t>
      </w:r>
      <w:r>
        <w:rPr>
          <w:rFonts w:hint="eastAsia"/>
          <w:kern w:val="2"/>
          <w:szCs w:val="21"/>
        </w:rPr>
        <w:t>点</w:t>
      </w:r>
      <w:r>
        <w:rPr>
          <w:kern w:val="2"/>
          <w:szCs w:val="21"/>
        </w:rPr>
        <w:t>（关于第2003/361/EC号建议所定义的微型、小型或中型企业的制造商）发起的临床评价咨询规程的情况下，应减少应付费用。</w:t>
      </w:r>
    </w:p>
    <w:p w14:paraId="344748B9">
      <w:pPr>
        <w:pStyle w:val="8"/>
        <w:tabs>
          <w:tab w:val="left" w:pos="681"/>
        </w:tabs>
        <w:topLinePunct/>
        <w:snapToGrid w:val="0"/>
        <w:spacing w:beforeLines="25" w:line="300" w:lineRule="auto"/>
        <w:ind w:hanging="568"/>
        <w:jc w:val="both"/>
        <w:rPr>
          <w:kern w:val="2"/>
          <w:szCs w:val="21"/>
        </w:rPr>
      </w:pPr>
      <w:r>
        <w:rPr>
          <w:kern w:val="2"/>
          <w:szCs w:val="21"/>
        </w:rPr>
        <w:t>15.</w:t>
      </w:r>
      <w:r>
        <w:rPr>
          <w:kern w:val="2"/>
          <w:szCs w:val="21"/>
        </w:rPr>
        <w:tab/>
      </w:r>
      <w:r>
        <w:rPr>
          <w:kern w:val="2"/>
          <w:szCs w:val="21"/>
        </w:rPr>
        <w:t>根据第115条，委员会应有权采用授权的法案，修订本条第10段中所述的专家小组和专家实验室的任务。</w:t>
      </w:r>
    </w:p>
    <w:p w14:paraId="481CBAA0">
      <w:pPr>
        <w:snapToGrid w:val="0"/>
        <w:spacing w:beforeLines="25" w:line="300" w:lineRule="auto"/>
        <w:rPr>
          <w:rFonts w:ascii="Times New Roman" w:hAnsi="Times New Roman"/>
          <w:kern w:val="2"/>
          <w:szCs w:val="21"/>
        </w:rPr>
      </w:pPr>
    </w:p>
    <w:p w14:paraId="088A130C">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第107条</w:t>
      </w:r>
    </w:p>
    <w:p w14:paraId="26899B49">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利益冲突</w:t>
      </w:r>
    </w:p>
    <w:p w14:paraId="76946015">
      <w:pPr>
        <w:pStyle w:val="32"/>
        <w:numPr>
          <w:ilvl w:val="0"/>
          <w:numId w:val="10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MDCG的成员、其分小组以及专家小组和专家实验室的成员不得在医疗器械行业具有可能影响其公正性的财务或其他利益。其应承诺出于公共利益并且以独立的方式行事。其应宣布其可能在医疗器械行业具有的任何直接或间接利益，并且每当相关变化发生时，更新此声明。应在委员会网站上公开利益声明。本条规定不适用于参与MDCG分小组的利益相关者组织的代表。</w:t>
      </w:r>
    </w:p>
    <w:p w14:paraId="44354656">
      <w:pPr>
        <w:pStyle w:val="32"/>
        <w:numPr>
          <w:ilvl w:val="0"/>
          <w:numId w:val="10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由MDCG以逐案的基准邀请的专家和其他第三方应宣布其可能在问题事项中的任何利益。</w:t>
      </w:r>
    </w:p>
    <w:p w14:paraId="3A26E73B">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第108条</w:t>
      </w:r>
    </w:p>
    <w:p w14:paraId="5561E780">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器械注册</w:t>
      </w:r>
      <w:r>
        <w:rPr>
          <w:rFonts w:hint="eastAsia" w:ascii="Times New Roman" w:hAnsi="Times New Roman"/>
          <w:b/>
          <w:kern w:val="2"/>
          <w:szCs w:val="21"/>
        </w:rPr>
        <w:t>机构</w:t>
      </w:r>
      <w:r>
        <w:rPr>
          <w:rFonts w:ascii="Times New Roman" w:hAnsi="Times New Roman"/>
          <w:b/>
          <w:kern w:val="2"/>
          <w:szCs w:val="21"/>
        </w:rPr>
        <w:t>和数据库</w:t>
      </w:r>
    </w:p>
    <w:p w14:paraId="78A7587F">
      <w:pPr>
        <w:pStyle w:val="8"/>
        <w:topLinePunct/>
        <w:snapToGrid w:val="0"/>
        <w:spacing w:beforeLines="25" w:line="300" w:lineRule="auto"/>
        <w:ind w:left="113" w:firstLine="0"/>
        <w:jc w:val="both"/>
        <w:rPr>
          <w:kern w:val="2"/>
          <w:szCs w:val="21"/>
        </w:rPr>
      </w:pPr>
      <w:r>
        <w:rPr>
          <w:kern w:val="2"/>
          <w:szCs w:val="21"/>
        </w:rPr>
        <w:t>委员会和成员国应采取一切适当措施来鼓励建立特定类型器械的登记表和数据库，设定通用原则来收集可比较的信息。此类登记表和数据库应有助于</w:t>
      </w:r>
      <w:r>
        <w:rPr>
          <w:rFonts w:hint="eastAsia"/>
          <w:kern w:val="2"/>
          <w:szCs w:val="21"/>
        </w:rPr>
        <w:t>器械</w:t>
      </w:r>
      <w:r>
        <w:rPr>
          <w:kern w:val="2"/>
          <w:szCs w:val="21"/>
        </w:rPr>
        <w:t>长期安全性以及性能</w:t>
      </w:r>
      <w:r>
        <w:rPr>
          <w:rFonts w:hint="eastAsia"/>
          <w:kern w:val="2"/>
          <w:szCs w:val="21"/>
        </w:rPr>
        <w:t>，或者</w:t>
      </w:r>
      <w:r>
        <w:rPr>
          <w:kern w:val="2"/>
          <w:szCs w:val="21"/>
          <w:lang w:val="en-US"/>
        </w:rPr>
        <w:t>可植入器械</w:t>
      </w:r>
      <w:r>
        <w:rPr>
          <w:kern w:val="2"/>
          <w:szCs w:val="21"/>
        </w:rPr>
        <w:t>可追溯性或所有此类特征的独立评估。</w:t>
      </w:r>
    </w:p>
    <w:p w14:paraId="4E1DE80A">
      <w:pPr>
        <w:pStyle w:val="2"/>
        <w:spacing w:beforeLines="25" w:line="300" w:lineRule="auto"/>
        <w:rPr>
          <w:sz w:val="21"/>
          <w:szCs w:val="21"/>
        </w:rPr>
      </w:pPr>
      <w:bookmarkStart w:id="128" w:name="_Toc477512410"/>
    </w:p>
    <w:p w14:paraId="1D173CF8">
      <w:pPr>
        <w:pStyle w:val="2"/>
        <w:spacing w:beforeLines="25" w:line="300" w:lineRule="auto"/>
        <w:rPr>
          <w:rStyle w:val="48"/>
          <w:sz w:val="24"/>
          <w:szCs w:val="24"/>
        </w:rPr>
      </w:pPr>
      <w:r>
        <w:rPr>
          <w:sz w:val="24"/>
          <w:szCs w:val="24"/>
        </w:rPr>
        <w:t>第IX章</w:t>
      </w:r>
      <w:r>
        <w:rPr>
          <w:sz w:val="24"/>
          <w:szCs w:val="24"/>
        </w:rPr>
        <w:br w:type="textWrapping"/>
      </w:r>
      <w:r>
        <w:rPr>
          <w:sz w:val="24"/>
          <w:szCs w:val="24"/>
        </w:rPr>
        <w:t>机密性、数据保护、资金来源</w:t>
      </w:r>
      <w:r>
        <w:rPr>
          <w:rFonts w:hint="eastAsia"/>
          <w:sz w:val="24"/>
          <w:szCs w:val="24"/>
        </w:rPr>
        <w:t>及</w:t>
      </w:r>
      <w:r>
        <w:rPr>
          <w:sz w:val="24"/>
          <w:szCs w:val="24"/>
        </w:rPr>
        <w:t>处罚</w:t>
      </w:r>
      <w:bookmarkEnd w:id="128"/>
    </w:p>
    <w:p w14:paraId="2D70F81F">
      <w:pPr>
        <w:snapToGrid w:val="0"/>
        <w:spacing w:beforeLines="25" w:line="300" w:lineRule="auto"/>
        <w:ind w:left="196"/>
        <w:jc w:val="center"/>
        <w:rPr>
          <w:rFonts w:ascii="Times New Roman" w:hAnsi="Times New Roman"/>
          <w:i/>
          <w:kern w:val="2"/>
          <w:szCs w:val="21"/>
        </w:rPr>
      </w:pPr>
      <w:r>
        <w:rPr>
          <w:rFonts w:ascii="Times New Roman" w:hAnsi="Times New Roman"/>
          <w:i/>
          <w:kern w:val="2"/>
          <w:szCs w:val="21"/>
        </w:rPr>
        <w:t>第109条</w:t>
      </w:r>
    </w:p>
    <w:p w14:paraId="21C62F4A">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机密性</w:t>
      </w:r>
    </w:p>
    <w:p w14:paraId="11AE3800">
      <w:pPr>
        <w:pStyle w:val="32"/>
        <w:numPr>
          <w:ilvl w:val="0"/>
          <w:numId w:val="10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除非本法规另有规定，且不影响成员国现有国家保密条款和惯例，否则，所有适用本法规的成员应在执行任务时遵守信息和所获数据的保密性规定，以保护以下内容：</w:t>
      </w:r>
    </w:p>
    <w:p w14:paraId="361C7AAD">
      <w:pPr>
        <w:pStyle w:val="32"/>
        <w:numPr>
          <w:ilvl w:val="1"/>
          <w:numId w:val="108"/>
        </w:numPr>
        <w:tabs>
          <w:tab w:val="left" w:pos="1248"/>
        </w:tabs>
        <w:topLinePunct/>
        <w:snapToGrid w:val="0"/>
        <w:spacing w:beforeLines="25" w:line="300" w:lineRule="auto"/>
        <w:ind w:left="1247"/>
        <w:jc w:val="both"/>
        <w:rPr>
          <w:rFonts w:ascii="Times New Roman" w:hAnsi="Times New Roman"/>
          <w:kern w:val="2"/>
          <w:szCs w:val="21"/>
        </w:rPr>
      </w:pPr>
      <w:bookmarkStart w:id="129" w:name="(a)_personal_data_in_compliance_with_Art"/>
      <w:bookmarkEnd w:id="129"/>
      <w:r>
        <w:rPr>
          <w:rFonts w:ascii="Times New Roman" w:hAnsi="Times New Roman"/>
          <w:kern w:val="2"/>
          <w:szCs w:val="21"/>
        </w:rPr>
        <w:t>符合第110条规定的个人数据；</w:t>
      </w:r>
    </w:p>
    <w:p w14:paraId="57C8AAF1">
      <w:pPr>
        <w:pStyle w:val="32"/>
        <w:numPr>
          <w:ilvl w:val="1"/>
          <w:numId w:val="108"/>
        </w:numPr>
        <w:tabs>
          <w:tab w:val="left" w:pos="1248"/>
        </w:tabs>
        <w:topLinePunct/>
        <w:snapToGrid w:val="0"/>
        <w:spacing w:beforeLines="25" w:line="300" w:lineRule="auto"/>
        <w:ind w:left="1247"/>
        <w:jc w:val="both"/>
        <w:rPr>
          <w:rFonts w:ascii="Times New Roman" w:hAnsi="Times New Roman"/>
          <w:kern w:val="2"/>
          <w:szCs w:val="21"/>
        </w:rPr>
      </w:pPr>
      <w:bookmarkStart w:id="130" w:name="(b)_commercially_confidential_informatio"/>
      <w:bookmarkEnd w:id="130"/>
      <w:r>
        <w:rPr>
          <w:rFonts w:ascii="Times New Roman" w:hAnsi="Times New Roman"/>
          <w:kern w:val="2"/>
          <w:szCs w:val="21"/>
        </w:rPr>
        <w:t>自然人或法人的商业保密信息和商业秘密，包括知识产权；符合公共利益的披露除外；</w:t>
      </w:r>
    </w:p>
    <w:p w14:paraId="3A6BC4B0">
      <w:pPr>
        <w:pStyle w:val="32"/>
        <w:numPr>
          <w:ilvl w:val="1"/>
          <w:numId w:val="108"/>
        </w:numPr>
        <w:tabs>
          <w:tab w:val="left" w:pos="1248"/>
        </w:tabs>
        <w:topLinePunct/>
        <w:snapToGrid w:val="0"/>
        <w:spacing w:beforeLines="25" w:line="300" w:lineRule="auto"/>
        <w:ind w:left="1247"/>
        <w:jc w:val="both"/>
        <w:rPr>
          <w:rFonts w:ascii="Times New Roman" w:hAnsi="Times New Roman"/>
          <w:kern w:val="2"/>
          <w:szCs w:val="21"/>
        </w:rPr>
      </w:pPr>
      <w:bookmarkStart w:id="131" w:name="(c)_the_effective_implementation_of_this"/>
      <w:bookmarkEnd w:id="131"/>
      <w:r>
        <w:rPr>
          <w:rFonts w:ascii="Times New Roman" w:hAnsi="Times New Roman"/>
          <w:kern w:val="2"/>
          <w:szCs w:val="21"/>
        </w:rPr>
        <w:t>本法规的有效执行，特别是以检查、调查或审计为目的。</w:t>
      </w:r>
    </w:p>
    <w:p w14:paraId="5FE7401A">
      <w:pPr>
        <w:pStyle w:val="32"/>
        <w:numPr>
          <w:ilvl w:val="0"/>
          <w:numId w:val="108"/>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在不影响第1段规定的情况下，未经发起机构事先同意，不得披露主管机构之间、主管机构与委员会之间处于保密状态的交流信息。</w:t>
      </w:r>
    </w:p>
    <w:p w14:paraId="57BCF17A">
      <w:pPr>
        <w:pStyle w:val="32"/>
        <w:numPr>
          <w:ilvl w:val="0"/>
          <w:numId w:val="10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第1和2段不得影响委员会、成员国和公告机构在信息交流和警戒信息传播方面的权利和义务，也不得影响根据刑法提供信息的有关人员的义务。</w:t>
      </w:r>
    </w:p>
    <w:p w14:paraId="45F3767F">
      <w:pPr>
        <w:pStyle w:val="32"/>
        <w:numPr>
          <w:ilvl w:val="0"/>
          <w:numId w:val="108"/>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委员会和成员国可与签订双边或多边保密协议的第三方监管机构交流机密信息。</w:t>
      </w:r>
    </w:p>
    <w:p w14:paraId="4AB12D79">
      <w:pPr>
        <w:snapToGrid w:val="0"/>
        <w:spacing w:beforeLines="20" w:line="300" w:lineRule="auto"/>
        <w:ind w:left="196"/>
        <w:jc w:val="center"/>
        <w:rPr>
          <w:rFonts w:ascii="Times New Roman" w:hAnsi="Times New Roman"/>
          <w:i/>
          <w:kern w:val="2"/>
          <w:szCs w:val="21"/>
        </w:rPr>
      </w:pPr>
    </w:p>
    <w:p w14:paraId="5472BA26">
      <w:pPr>
        <w:snapToGrid w:val="0"/>
        <w:spacing w:beforeLines="20" w:line="300" w:lineRule="auto"/>
        <w:ind w:left="196"/>
        <w:jc w:val="center"/>
        <w:rPr>
          <w:rFonts w:ascii="Times New Roman" w:hAnsi="Times New Roman"/>
          <w:i/>
          <w:kern w:val="2"/>
          <w:szCs w:val="21"/>
        </w:rPr>
      </w:pPr>
      <w:r>
        <w:rPr>
          <w:rFonts w:ascii="Times New Roman" w:hAnsi="Times New Roman"/>
          <w:i/>
          <w:kern w:val="2"/>
          <w:szCs w:val="21"/>
        </w:rPr>
        <w:t>第110条</w:t>
      </w:r>
    </w:p>
    <w:p w14:paraId="6AD0440E">
      <w:pPr>
        <w:snapToGrid w:val="0"/>
        <w:spacing w:beforeLines="20" w:line="300" w:lineRule="auto"/>
        <w:ind w:left="196"/>
        <w:jc w:val="center"/>
        <w:rPr>
          <w:rFonts w:ascii="Times New Roman" w:hAnsi="Times New Roman"/>
          <w:b/>
          <w:kern w:val="2"/>
          <w:szCs w:val="21"/>
        </w:rPr>
      </w:pPr>
      <w:r>
        <w:rPr>
          <w:rFonts w:ascii="Times New Roman" w:hAnsi="Times New Roman"/>
          <w:b/>
          <w:kern w:val="2"/>
          <w:szCs w:val="21"/>
        </w:rPr>
        <w:t>数据保护</w:t>
      </w:r>
      <w:bookmarkStart w:id="132" w:name="Data_protection"/>
      <w:bookmarkEnd w:id="132"/>
    </w:p>
    <w:p w14:paraId="32FF2366">
      <w:pPr>
        <w:pStyle w:val="32"/>
        <w:numPr>
          <w:ilvl w:val="0"/>
          <w:numId w:val="109"/>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成员国应适用第95/46/EC号指令，根据本法规规定在成员国内处理个人数据。</w:t>
      </w:r>
    </w:p>
    <w:p w14:paraId="5C06A996">
      <w:pPr>
        <w:pStyle w:val="32"/>
        <w:numPr>
          <w:ilvl w:val="0"/>
          <w:numId w:val="109"/>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第EC 45/2001号法规应适用于委员会按照本法规进行的个人数据处理。</w:t>
      </w:r>
    </w:p>
    <w:p w14:paraId="76DDB79A">
      <w:pPr>
        <w:snapToGrid w:val="0"/>
        <w:spacing w:beforeLines="20" w:line="300" w:lineRule="auto"/>
        <w:rPr>
          <w:rFonts w:ascii="Times New Roman" w:hAnsi="Times New Roman"/>
          <w:kern w:val="2"/>
          <w:szCs w:val="21"/>
        </w:rPr>
      </w:pPr>
    </w:p>
    <w:p w14:paraId="4DE83630">
      <w:pPr>
        <w:snapToGrid w:val="0"/>
        <w:spacing w:beforeLines="20" w:line="300" w:lineRule="auto"/>
        <w:ind w:left="196"/>
        <w:jc w:val="center"/>
        <w:rPr>
          <w:rFonts w:ascii="Times New Roman" w:hAnsi="Times New Roman"/>
          <w:i/>
          <w:kern w:val="2"/>
          <w:szCs w:val="21"/>
        </w:rPr>
      </w:pPr>
      <w:bookmarkStart w:id="133" w:name="Article_86"/>
      <w:bookmarkEnd w:id="133"/>
      <w:r>
        <w:rPr>
          <w:rFonts w:ascii="Times New Roman" w:hAnsi="Times New Roman"/>
          <w:i/>
          <w:kern w:val="2"/>
          <w:szCs w:val="21"/>
        </w:rPr>
        <w:t>第111条</w:t>
      </w:r>
      <w:bookmarkStart w:id="134" w:name="Levy_of_fees"/>
      <w:bookmarkEnd w:id="134"/>
    </w:p>
    <w:p w14:paraId="6A6D0E78">
      <w:pPr>
        <w:snapToGrid w:val="0"/>
        <w:spacing w:beforeLines="20" w:line="300" w:lineRule="auto"/>
        <w:ind w:left="196"/>
        <w:jc w:val="center"/>
        <w:rPr>
          <w:rFonts w:ascii="Times New Roman" w:hAnsi="Times New Roman"/>
          <w:b/>
          <w:kern w:val="2"/>
          <w:szCs w:val="21"/>
        </w:rPr>
      </w:pPr>
      <w:r>
        <w:rPr>
          <w:rFonts w:ascii="Times New Roman" w:hAnsi="Times New Roman"/>
          <w:b/>
          <w:kern w:val="2"/>
          <w:szCs w:val="21"/>
        </w:rPr>
        <w:t>收费</w:t>
      </w:r>
    </w:p>
    <w:p w14:paraId="1BC5B095">
      <w:pPr>
        <w:pStyle w:val="32"/>
        <w:numPr>
          <w:ilvl w:val="0"/>
          <w:numId w:val="110"/>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若费用水平透明，且基于成本回收原则，本规例不妨碍成员国就本法规所规定活动所征收的费用。</w:t>
      </w:r>
    </w:p>
    <w:p w14:paraId="2BA6DACB">
      <w:pPr>
        <w:pStyle w:val="32"/>
        <w:numPr>
          <w:ilvl w:val="0"/>
          <w:numId w:val="110"/>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成员国应在</w:t>
      </w:r>
      <w:r>
        <w:rPr>
          <w:rFonts w:hint="eastAsia" w:ascii="Times New Roman" w:hAnsi="Times New Roman"/>
          <w:kern w:val="2"/>
          <w:szCs w:val="21"/>
        </w:rPr>
        <w:t>采纳</w:t>
      </w:r>
      <w:r>
        <w:rPr>
          <w:rFonts w:ascii="Times New Roman" w:hAnsi="Times New Roman"/>
          <w:kern w:val="2"/>
          <w:szCs w:val="21"/>
        </w:rPr>
        <w:t>费用构成和收费水平前至少三个月通知委员会和其他成员国。费用结构和水平应按要求公开。</w:t>
      </w:r>
    </w:p>
    <w:p w14:paraId="17A91FD0">
      <w:pPr>
        <w:snapToGrid w:val="0"/>
        <w:spacing w:beforeLines="20" w:line="300" w:lineRule="auto"/>
        <w:ind w:left="196"/>
        <w:jc w:val="center"/>
        <w:rPr>
          <w:rFonts w:ascii="Times New Roman" w:hAnsi="Times New Roman"/>
          <w:i/>
          <w:kern w:val="2"/>
          <w:szCs w:val="21"/>
        </w:rPr>
      </w:pPr>
    </w:p>
    <w:p w14:paraId="18FF79F9">
      <w:pPr>
        <w:snapToGrid w:val="0"/>
        <w:spacing w:beforeLines="20" w:line="300" w:lineRule="auto"/>
        <w:ind w:left="196"/>
        <w:jc w:val="center"/>
        <w:rPr>
          <w:rStyle w:val="48"/>
          <w:b/>
          <w:szCs w:val="21"/>
        </w:rPr>
      </w:pPr>
      <w:r>
        <w:rPr>
          <w:rFonts w:ascii="Times New Roman" w:hAnsi="Times New Roman"/>
          <w:i/>
          <w:kern w:val="2"/>
          <w:szCs w:val="21"/>
        </w:rPr>
        <w:t>第112条</w:t>
      </w:r>
    </w:p>
    <w:p w14:paraId="65A7B3AD">
      <w:pPr>
        <w:snapToGrid w:val="0"/>
        <w:spacing w:beforeLines="20" w:line="300" w:lineRule="auto"/>
        <w:ind w:left="244"/>
        <w:jc w:val="center"/>
        <w:rPr>
          <w:rStyle w:val="48"/>
          <w:b/>
          <w:szCs w:val="21"/>
        </w:rPr>
      </w:pPr>
      <w:r>
        <w:rPr>
          <w:rFonts w:ascii="Times New Roman" w:hAnsi="Times New Roman"/>
          <w:b/>
          <w:kern w:val="2"/>
          <w:szCs w:val="21"/>
        </w:rPr>
        <w:t>指定公告机构和监控活动的资金</w:t>
      </w:r>
    </w:p>
    <w:p w14:paraId="28828B2E">
      <w:pPr>
        <w:pStyle w:val="8"/>
        <w:topLinePunct/>
        <w:snapToGrid w:val="0"/>
        <w:spacing w:beforeLines="20" w:line="300" w:lineRule="auto"/>
        <w:ind w:left="114" w:firstLine="0"/>
        <w:jc w:val="both"/>
        <w:rPr>
          <w:kern w:val="2"/>
          <w:szCs w:val="21"/>
        </w:rPr>
      </w:pPr>
      <w:r>
        <w:rPr>
          <w:kern w:val="2"/>
          <w:szCs w:val="21"/>
        </w:rPr>
        <w:t>委员会应通过实施细则规定可回收成本的比例和结构以及其他必要的实施细则。应按照第114(3)条中述及的审查流程来通过这些实施细则。</w:t>
      </w:r>
    </w:p>
    <w:p w14:paraId="0A4B1337">
      <w:pPr>
        <w:snapToGrid w:val="0"/>
        <w:spacing w:beforeLines="20" w:line="300" w:lineRule="auto"/>
        <w:ind w:left="196"/>
        <w:jc w:val="center"/>
        <w:rPr>
          <w:rFonts w:ascii="Times New Roman" w:hAnsi="Times New Roman"/>
          <w:i/>
          <w:kern w:val="2"/>
          <w:szCs w:val="21"/>
        </w:rPr>
      </w:pPr>
      <w:bookmarkStart w:id="135" w:name="_bookmark36"/>
      <w:bookmarkEnd w:id="135"/>
      <w:bookmarkStart w:id="136" w:name="Article_87_Penalties"/>
      <w:bookmarkEnd w:id="136"/>
    </w:p>
    <w:p w14:paraId="36512296">
      <w:pPr>
        <w:snapToGrid w:val="0"/>
        <w:spacing w:beforeLines="20" w:line="300" w:lineRule="auto"/>
        <w:ind w:left="196"/>
        <w:jc w:val="center"/>
        <w:rPr>
          <w:rFonts w:ascii="Times New Roman" w:hAnsi="Times New Roman"/>
          <w:i/>
          <w:kern w:val="2"/>
          <w:szCs w:val="21"/>
        </w:rPr>
      </w:pPr>
      <w:r>
        <w:rPr>
          <w:rFonts w:ascii="Times New Roman" w:hAnsi="Times New Roman"/>
          <w:i/>
          <w:kern w:val="2"/>
          <w:szCs w:val="21"/>
        </w:rPr>
        <w:t>第113条</w:t>
      </w:r>
    </w:p>
    <w:p w14:paraId="2FF70218">
      <w:pPr>
        <w:snapToGrid w:val="0"/>
        <w:spacing w:beforeLines="20" w:line="300" w:lineRule="auto"/>
        <w:ind w:left="196"/>
        <w:jc w:val="center"/>
        <w:rPr>
          <w:rFonts w:ascii="Times New Roman" w:hAnsi="Times New Roman"/>
          <w:b/>
          <w:kern w:val="2"/>
          <w:szCs w:val="21"/>
        </w:rPr>
      </w:pPr>
      <w:r>
        <w:rPr>
          <w:rFonts w:ascii="Times New Roman" w:hAnsi="Times New Roman"/>
          <w:b/>
          <w:kern w:val="2"/>
          <w:szCs w:val="21"/>
        </w:rPr>
        <w:t>处罚</w:t>
      </w:r>
    </w:p>
    <w:p w14:paraId="0775C1CF">
      <w:pPr>
        <w:pStyle w:val="8"/>
        <w:topLinePunct/>
        <w:snapToGrid w:val="0"/>
        <w:spacing w:beforeLines="20" w:line="300" w:lineRule="auto"/>
        <w:ind w:left="113" w:firstLine="0"/>
        <w:jc w:val="both"/>
        <w:rPr>
          <w:kern w:val="2"/>
          <w:szCs w:val="21"/>
        </w:rPr>
      </w:pPr>
      <w:r>
        <w:rPr>
          <w:kern w:val="2"/>
          <w:szCs w:val="21"/>
        </w:rPr>
        <w:t>各成员国应制定适用于违反本法规规定情况的处罚规定，并应采取一切必要措施，确保这些规定的实施。规定的惩罚应当有效、适度和具有劝阻性。成员国应在</w:t>
      </w:r>
      <w:r>
        <w:rPr>
          <w:rFonts w:hint="eastAsia"/>
          <w:kern w:val="2"/>
          <w:szCs w:val="21"/>
        </w:rPr>
        <w:t>2020年2月25日前</w:t>
      </w:r>
      <w:r>
        <w:rPr>
          <w:kern w:val="2"/>
          <w:szCs w:val="21"/>
        </w:rPr>
        <w:t>就此类条款规定通知委员会有关规定和措施，且应及时通知，以免影响任何后续修订。</w:t>
      </w:r>
    </w:p>
    <w:p w14:paraId="21DF662A">
      <w:pPr>
        <w:pStyle w:val="2"/>
        <w:spacing w:beforeLines="20" w:line="300" w:lineRule="auto"/>
        <w:rPr>
          <w:sz w:val="21"/>
          <w:szCs w:val="21"/>
        </w:rPr>
      </w:pPr>
      <w:bookmarkStart w:id="137" w:name="_Toc477512411"/>
    </w:p>
    <w:p w14:paraId="7A7C7C5E">
      <w:pPr>
        <w:pStyle w:val="2"/>
        <w:spacing w:beforeLines="20" w:line="300" w:lineRule="auto"/>
        <w:rPr>
          <w:sz w:val="24"/>
          <w:szCs w:val="24"/>
        </w:rPr>
      </w:pPr>
      <w:r>
        <w:rPr>
          <w:sz w:val="24"/>
          <w:szCs w:val="24"/>
        </w:rPr>
        <w:t>第X章</w:t>
      </w:r>
      <w:r>
        <w:rPr>
          <w:sz w:val="24"/>
          <w:szCs w:val="24"/>
        </w:rPr>
        <w:br w:type="textWrapping"/>
      </w:r>
      <w:r>
        <w:rPr>
          <w:sz w:val="24"/>
          <w:szCs w:val="24"/>
        </w:rPr>
        <w:t>最终条款</w:t>
      </w:r>
      <w:bookmarkEnd w:id="137"/>
    </w:p>
    <w:p w14:paraId="31F1FF78">
      <w:pPr>
        <w:snapToGrid w:val="0"/>
        <w:spacing w:beforeLines="20" w:line="300" w:lineRule="auto"/>
        <w:ind w:left="196"/>
        <w:jc w:val="center"/>
        <w:rPr>
          <w:rFonts w:ascii="Times New Roman" w:hAnsi="Times New Roman"/>
          <w:i/>
          <w:kern w:val="2"/>
          <w:szCs w:val="21"/>
        </w:rPr>
      </w:pPr>
      <w:r>
        <w:rPr>
          <w:rFonts w:ascii="Times New Roman" w:hAnsi="Times New Roman"/>
          <w:i/>
          <w:kern w:val="2"/>
          <w:szCs w:val="21"/>
        </w:rPr>
        <w:t>第114条</w:t>
      </w:r>
    </w:p>
    <w:p w14:paraId="4086D96B">
      <w:pPr>
        <w:snapToGrid w:val="0"/>
        <w:spacing w:beforeLines="20" w:line="300" w:lineRule="auto"/>
        <w:ind w:left="196"/>
        <w:jc w:val="center"/>
        <w:rPr>
          <w:rFonts w:ascii="Times New Roman" w:hAnsi="Times New Roman"/>
          <w:b/>
          <w:kern w:val="2"/>
          <w:szCs w:val="21"/>
        </w:rPr>
      </w:pPr>
      <w:r>
        <w:rPr>
          <w:rFonts w:ascii="Times New Roman" w:hAnsi="Times New Roman"/>
          <w:b/>
          <w:kern w:val="2"/>
          <w:szCs w:val="21"/>
        </w:rPr>
        <w:t>委员程序</w:t>
      </w:r>
    </w:p>
    <w:p w14:paraId="0BB5FA8D">
      <w:pPr>
        <w:pStyle w:val="32"/>
        <w:numPr>
          <w:ilvl w:val="0"/>
          <w:numId w:val="111"/>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委员会应由医疗器械委员会进行协助。该委员会为欧盟第182/2011号法规中所指委员会。</w:t>
      </w:r>
    </w:p>
    <w:p w14:paraId="5A8E8383">
      <w:pPr>
        <w:pStyle w:val="32"/>
        <w:numPr>
          <w:ilvl w:val="0"/>
          <w:numId w:val="111"/>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若该段应引用参考资料，则应适用欧盟第182/2011号法规第4条。</w:t>
      </w:r>
    </w:p>
    <w:p w14:paraId="77508B00">
      <w:pPr>
        <w:pStyle w:val="32"/>
        <w:numPr>
          <w:ilvl w:val="0"/>
          <w:numId w:val="111"/>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若该段应引用参考资料，则应适用欧盟第182/2011号法规第5条。</w:t>
      </w:r>
    </w:p>
    <w:p w14:paraId="6605A23F">
      <w:pPr>
        <w:pStyle w:val="8"/>
        <w:topLinePunct/>
        <w:snapToGrid w:val="0"/>
        <w:spacing w:beforeLines="20" w:line="300" w:lineRule="auto"/>
        <w:ind w:firstLine="0"/>
        <w:jc w:val="both"/>
        <w:rPr>
          <w:kern w:val="2"/>
          <w:szCs w:val="21"/>
        </w:rPr>
      </w:pPr>
      <w:r>
        <w:rPr>
          <w:kern w:val="2"/>
          <w:szCs w:val="21"/>
        </w:rPr>
        <w:t>若委员不发表意见，则委员会不得通过实施细则草案，且应适用欧盟第182/2011号法规第5(4)条中的第</w:t>
      </w:r>
      <w:r>
        <w:rPr>
          <w:rFonts w:hint="eastAsia"/>
          <w:kern w:val="2"/>
          <w:szCs w:val="21"/>
        </w:rPr>
        <w:t>三</w:t>
      </w:r>
      <w:r>
        <w:rPr>
          <w:kern w:val="2"/>
          <w:szCs w:val="21"/>
        </w:rPr>
        <w:t>子段。</w:t>
      </w:r>
    </w:p>
    <w:p w14:paraId="7E51DFAF">
      <w:pPr>
        <w:pStyle w:val="32"/>
        <w:numPr>
          <w:ilvl w:val="0"/>
          <w:numId w:val="111"/>
        </w:numPr>
        <w:tabs>
          <w:tab w:val="left" w:pos="682"/>
        </w:tabs>
        <w:topLinePunct/>
        <w:snapToGrid w:val="0"/>
        <w:spacing w:beforeLines="20" w:line="300" w:lineRule="auto"/>
        <w:ind w:hanging="567"/>
        <w:jc w:val="both"/>
        <w:rPr>
          <w:rFonts w:ascii="Times New Roman" w:hAnsi="Times New Roman"/>
          <w:kern w:val="2"/>
          <w:szCs w:val="21"/>
        </w:rPr>
      </w:pPr>
      <w:r>
        <w:rPr>
          <w:rFonts w:ascii="Times New Roman" w:hAnsi="Times New Roman"/>
          <w:kern w:val="2"/>
          <w:szCs w:val="21"/>
        </w:rPr>
        <w:t>参考本段时，同样适用欧盟第182/2011号法规第8条及第4或5条（如适用）。</w:t>
      </w:r>
    </w:p>
    <w:p w14:paraId="744970B6">
      <w:pPr>
        <w:snapToGrid w:val="0"/>
        <w:spacing w:beforeLines="25" w:line="300" w:lineRule="auto"/>
        <w:ind w:left="196"/>
        <w:jc w:val="center"/>
        <w:rPr>
          <w:rFonts w:ascii="Times New Roman" w:hAnsi="Times New Roman"/>
          <w:i/>
          <w:kern w:val="2"/>
          <w:szCs w:val="21"/>
        </w:rPr>
      </w:pPr>
      <w:bookmarkStart w:id="138" w:name="Article_89"/>
      <w:bookmarkEnd w:id="138"/>
      <w:r>
        <w:rPr>
          <w:rFonts w:ascii="Times New Roman" w:hAnsi="Times New Roman"/>
          <w:i/>
          <w:kern w:val="2"/>
          <w:szCs w:val="21"/>
        </w:rPr>
        <w:t>第115条</w:t>
      </w:r>
      <w:bookmarkStart w:id="139" w:name="Exercise_of_the_delegation"/>
      <w:bookmarkEnd w:id="139"/>
    </w:p>
    <w:p w14:paraId="7E6A1330">
      <w:pPr>
        <w:snapToGrid w:val="0"/>
        <w:spacing w:beforeLines="25" w:line="300" w:lineRule="auto"/>
        <w:ind w:left="196"/>
        <w:jc w:val="center"/>
        <w:rPr>
          <w:rFonts w:ascii="Times New Roman" w:hAnsi="Times New Roman"/>
          <w:b/>
          <w:kern w:val="2"/>
          <w:szCs w:val="21"/>
        </w:rPr>
      </w:pPr>
      <w:r>
        <w:rPr>
          <w:rFonts w:ascii="Times New Roman" w:hAnsi="Times New Roman"/>
          <w:b/>
          <w:kern w:val="2"/>
          <w:szCs w:val="21"/>
        </w:rPr>
        <w:t>授权</w:t>
      </w:r>
    </w:p>
    <w:p w14:paraId="1A094A9E">
      <w:pPr>
        <w:pStyle w:val="32"/>
        <w:numPr>
          <w:ilvl w:val="0"/>
          <w:numId w:val="11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根据本条款规定，授予委员会实施授权的权力。</w:t>
      </w:r>
    </w:p>
    <w:p w14:paraId="41672A8D">
      <w:pPr>
        <w:pStyle w:val="32"/>
        <w:numPr>
          <w:ilvl w:val="0"/>
          <w:numId w:val="11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第1(5)、3、10(4)、18(3)、19(4)、27(10)、44(11)、52(5)、56(6)、61(8)、70(8)和106(15)条所述采取授权行为的权力应自</w:t>
      </w:r>
      <w:r>
        <w:rPr>
          <w:rFonts w:hint="eastAsia" w:ascii="Times New Roman" w:hAnsi="Times New Roman"/>
          <w:kern w:val="2"/>
          <w:szCs w:val="21"/>
        </w:rPr>
        <w:t>2017年5月25日</w:t>
      </w:r>
      <w:r>
        <w:rPr>
          <w:rFonts w:ascii="Times New Roman" w:hAnsi="Times New Roman"/>
          <w:kern w:val="2"/>
          <w:szCs w:val="21"/>
        </w:rPr>
        <w:t>起授予委员会，其有效期为5年。委员会应在5年有效期结束前至少9个月就所授权力起草一份报告。默认转授权力应延长相同的期限，除非欧洲议会或者</w:t>
      </w:r>
      <w:r>
        <w:rPr>
          <w:rFonts w:hint="eastAsia" w:ascii="Times New Roman" w:hAnsi="Times New Roman"/>
          <w:kern w:val="2"/>
          <w:szCs w:val="21"/>
        </w:rPr>
        <w:t>理事会</w:t>
      </w:r>
      <w:r>
        <w:rPr>
          <w:rFonts w:ascii="Times New Roman" w:hAnsi="Times New Roman"/>
          <w:kern w:val="2"/>
          <w:szCs w:val="21"/>
        </w:rPr>
        <w:t>在各期限结束前三个月反对此类延时。</w:t>
      </w:r>
    </w:p>
    <w:p w14:paraId="334AB5F5">
      <w:pPr>
        <w:pStyle w:val="32"/>
        <w:numPr>
          <w:ilvl w:val="0"/>
          <w:numId w:val="11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第1(5)、3、10(4)、18(3)、19(4)、27(10)、44(11)、52(5)、56(6)、61(8)、70(8)和106(15)条所述授权可由欧洲议会</w:t>
      </w:r>
      <w:r>
        <w:rPr>
          <w:rFonts w:hint="eastAsia" w:ascii="Times New Roman" w:hAnsi="Times New Roman"/>
          <w:kern w:val="2"/>
          <w:szCs w:val="21"/>
        </w:rPr>
        <w:t>或者理事会</w:t>
      </w:r>
      <w:r>
        <w:rPr>
          <w:rFonts w:ascii="Times New Roman" w:hAnsi="Times New Roman"/>
          <w:kern w:val="2"/>
          <w:szCs w:val="21"/>
        </w:rPr>
        <w:t>随时撤销。撤销决议将终止该决议中指定的权力授予。其生效日期应当为欧盟官方公告发表该决议后或者在决议规定的一个后续日期。它对已生效的授权法案效力无任何影响。</w:t>
      </w:r>
    </w:p>
    <w:p w14:paraId="238624DE">
      <w:pPr>
        <w:pStyle w:val="32"/>
        <w:numPr>
          <w:ilvl w:val="0"/>
          <w:numId w:val="11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采取授权行为之前，委员会应根据改善立法机构于2016年4月13日签署的《机构间协议》所规定的原则，咨询各成员国指定的专家。</w:t>
      </w:r>
    </w:p>
    <w:p w14:paraId="55877F96">
      <w:pPr>
        <w:pStyle w:val="32"/>
        <w:numPr>
          <w:ilvl w:val="0"/>
          <w:numId w:val="11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在采用授权法案之后，委员会应同时通知欧洲议会和理事会。</w:t>
      </w:r>
    </w:p>
    <w:p w14:paraId="4F660114">
      <w:pPr>
        <w:pStyle w:val="32"/>
        <w:numPr>
          <w:ilvl w:val="0"/>
          <w:numId w:val="11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按照第1(5)、3、10(4)、18(3)、19(4)、27(10)、44(11</w:t>
      </w:r>
      <w:r>
        <w:rPr>
          <w:rFonts w:hint="eastAsia" w:ascii="Times New Roman" w:hAnsi="Times New Roman"/>
          <w:kern w:val="2"/>
          <w:szCs w:val="21"/>
        </w:rPr>
        <w:t>)</w:t>
      </w:r>
      <w:r>
        <w:rPr>
          <w:rFonts w:ascii="Times New Roman" w:hAnsi="Times New Roman"/>
          <w:kern w:val="2"/>
          <w:szCs w:val="21"/>
        </w:rPr>
        <w:t>、52(5)、56(6)、61(8)、70(8)和106(15)条通过的授权法案只有在欧洲议会或</w:t>
      </w:r>
      <w:r>
        <w:rPr>
          <w:rFonts w:hint="eastAsia" w:ascii="Times New Roman" w:hAnsi="Times New Roman"/>
          <w:kern w:val="2"/>
          <w:szCs w:val="21"/>
        </w:rPr>
        <w:t>理事会</w:t>
      </w:r>
      <w:r>
        <w:rPr>
          <w:rFonts w:ascii="Times New Roman" w:hAnsi="Times New Roman"/>
          <w:kern w:val="2"/>
          <w:szCs w:val="21"/>
        </w:rPr>
        <w:t>在收到该法案通知后三个月内未表示反对，或者在此期限期满前欧洲议会和理事会都通知委员会表示自己不反对时方可生效。欧洲议会或</w:t>
      </w:r>
      <w:r>
        <w:rPr>
          <w:rFonts w:hint="eastAsia" w:ascii="Times New Roman" w:hAnsi="Times New Roman"/>
          <w:kern w:val="2"/>
          <w:szCs w:val="21"/>
        </w:rPr>
        <w:t>理事会</w:t>
      </w:r>
      <w:r>
        <w:rPr>
          <w:rFonts w:ascii="Times New Roman" w:hAnsi="Times New Roman"/>
          <w:kern w:val="2"/>
          <w:szCs w:val="21"/>
        </w:rPr>
        <w:t>可主动将此期限延长三个月。</w:t>
      </w:r>
    </w:p>
    <w:p w14:paraId="66B0544D">
      <w:pPr>
        <w:snapToGrid w:val="0"/>
        <w:spacing w:beforeLines="25" w:line="300" w:lineRule="auto"/>
        <w:ind w:left="196"/>
        <w:jc w:val="center"/>
        <w:rPr>
          <w:rFonts w:ascii="Times New Roman" w:hAnsi="Times New Roman"/>
          <w:i/>
          <w:kern w:val="2"/>
          <w:szCs w:val="21"/>
        </w:rPr>
      </w:pPr>
    </w:p>
    <w:p w14:paraId="4A591BD8">
      <w:pPr>
        <w:snapToGrid w:val="0"/>
        <w:spacing w:beforeLines="25" w:line="300" w:lineRule="auto"/>
        <w:ind w:left="196"/>
        <w:jc w:val="center"/>
        <w:rPr>
          <w:rStyle w:val="48"/>
          <w:b/>
          <w:szCs w:val="21"/>
        </w:rPr>
      </w:pPr>
      <w:r>
        <w:rPr>
          <w:rFonts w:ascii="Times New Roman" w:hAnsi="Times New Roman"/>
          <w:i/>
          <w:kern w:val="2"/>
          <w:szCs w:val="21"/>
        </w:rPr>
        <w:t>第116条</w:t>
      </w:r>
    </w:p>
    <w:p w14:paraId="53463F22">
      <w:pPr>
        <w:snapToGrid w:val="0"/>
        <w:spacing w:beforeLines="25" w:line="300" w:lineRule="auto"/>
        <w:ind w:left="195"/>
        <w:jc w:val="center"/>
        <w:rPr>
          <w:rStyle w:val="48"/>
          <w:b/>
          <w:szCs w:val="21"/>
        </w:rPr>
      </w:pPr>
      <w:r>
        <w:rPr>
          <w:rFonts w:ascii="Times New Roman" w:hAnsi="Times New Roman"/>
          <w:b/>
          <w:kern w:val="2"/>
          <w:szCs w:val="21"/>
        </w:rPr>
        <w:t>不同授权的单独授权行为</w:t>
      </w:r>
    </w:p>
    <w:p w14:paraId="0D2F3C90">
      <w:pPr>
        <w:pStyle w:val="8"/>
        <w:topLinePunct/>
        <w:snapToGrid w:val="0"/>
        <w:spacing w:beforeLines="25" w:line="300" w:lineRule="auto"/>
        <w:ind w:left="113" w:firstLine="0"/>
        <w:jc w:val="both"/>
        <w:rPr>
          <w:kern w:val="2"/>
          <w:szCs w:val="21"/>
        </w:rPr>
      </w:pPr>
      <w:r>
        <w:rPr>
          <w:kern w:val="2"/>
          <w:szCs w:val="21"/>
        </w:rPr>
        <w:t>委员会应就根据本法规授予其每项权力采取单独的授权行为。</w:t>
      </w:r>
    </w:p>
    <w:p w14:paraId="55B697EA">
      <w:pPr>
        <w:snapToGrid w:val="0"/>
        <w:spacing w:beforeLines="25" w:line="300" w:lineRule="auto"/>
        <w:ind w:left="196"/>
        <w:jc w:val="center"/>
        <w:rPr>
          <w:rFonts w:ascii="Times New Roman" w:hAnsi="Times New Roman"/>
          <w:i/>
          <w:kern w:val="2"/>
          <w:szCs w:val="21"/>
        </w:rPr>
      </w:pPr>
      <w:bookmarkStart w:id="140" w:name="Article_91_Amendments_to_Directive_2001/"/>
      <w:bookmarkEnd w:id="140"/>
    </w:p>
    <w:p w14:paraId="3F803339">
      <w:pPr>
        <w:snapToGrid w:val="0"/>
        <w:spacing w:beforeLines="25" w:line="300" w:lineRule="auto"/>
        <w:ind w:left="196"/>
        <w:jc w:val="center"/>
        <w:rPr>
          <w:rStyle w:val="48"/>
          <w:b/>
          <w:szCs w:val="21"/>
        </w:rPr>
      </w:pPr>
      <w:r>
        <w:rPr>
          <w:rFonts w:ascii="Times New Roman" w:hAnsi="Times New Roman"/>
          <w:i/>
          <w:kern w:val="2"/>
          <w:szCs w:val="21"/>
        </w:rPr>
        <w:t>第117条</w:t>
      </w:r>
    </w:p>
    <w:p w14:paraId="68952BD8">
      <w:pPr>
        <w:snapToGrid w:val="0"/>
        <w:spacing w:beforeLines="25" w:line="300" w:lineRule="auto"/>
        <w:ind w:left="195"/>
        <w:jc w:val="center"/>
        <w:rPr>
          <w:rStyle w:val="48"/>
          <w:b/>
          <w:szCs w:val="21"/>
        </w:rPr>
      </w:pPr>
      <w:r>
        <w:rPr>
          <w:rFonts w:ascii="Times New Roman" w:hAnsi="Times New Roman"/>
          <w:b/>
          <w:kern w:val="2"/>
          <w:szCs w:val="21"/>
        </w:rPr>
        <w:t>第2001/83/EC号指令修订案</w:t>
      </w:r>
    </w:p>
    <w:p w14:paraId="7963FB62">
      <w:pPr>
        <w:pStyle w:val="8"/>
        <w:topLinePunct/>
        <w:snapToGrid w:val="0"/>
        <w:spacing w:beforeLines="25" w:line="300" w:lineRule="auto"/>
        <w:ind w:left="113" w:firstLine="0"/>
        <w:jc w:val="both"/>
        <w:rPr>
          <w:kern w:val="2"/>
          <w:szCs w:val="21"/>
        </w:rPr>
      </w:pPr>
      <w:r>
        <w:rPr>
          <w:kern w:val="2"/>
          <w:szCs w:val="21"/>
        </w:rPr>
        <w:t>在第2001/83/EC号指令的附录I中，第3.2节第12点替换为以下内容：</w:t>
      </w:r>
    </w:p>
    <w:p w14:paraId="5469C1FB">
      <w:pPr>
        <w:pStyle w:val="8"/>
        <w:topLinePunct/>
        <w:snapToGrid w:val="0"/>
        <w:spacing w:beforeLines="25" w:line="300" w:lineRule="auto"/>
        <w:ind w:left="711" w:leftChars="53" w:hanging="600" w:hangingChars="286"/>
        <w:jc w:val="both"/>
        <w:rPr>
          <w:kern w:val="2"/>
          <w:szCs w:val="21"/>
        </w:rPr>
      </w:pPr>
      <w:r>
        <w:rPr>
          <w:rFonts w:hint="eastAsia"/>
          <w:kern w:val="2"/>
          <w:szCs w:val="21"/>
        </w:rPr>
        <w:t>“</w:t>
      </w:r>
      <w:r>
        <w:rPr>
          <w:kern w:val="2"/>
          <w:szCs w:val="21"/>
        </w:rPr>
        <w:t>（12）若根据欧洲议会和理事会2017/</w:t>
      </w:r>
      <w:r>
        <w:rPr>
          <w:rFonts w:hint="eastAsia"/>
          <w:kern w:val="2"/>
          <w:szCs w:val="21"/>
        </w:rPr>
        <w:t>746</w:t>
      </w:r>
      <w:r>
        <w:rPr>
          <w:kern w:val="2"/>
          <w:szCs w:val="21"/>
        </w:rPr>
        <w:t>号法规第1（8）条第二子段或第1(9)条第二子段，产品受此指令管辖，则上市许可档案应包括（如可用）器械零部件符合性评估的结果以及制造商的EC符合性声明或公告机构发行的相关证书包含的此法规附录I的安全性和性能一般要求，</w:t>
      </w:r>
      <w:r>
        <w:rPr>
          <w:rFonts w:hint="eastAsia"/>
          <w:kern w:val="2"/>
          <w:szCs w:val="21"/>
        </w:rPr>
        <w:t>以便</w:t>
      </w:r>
      <w:r>
        <w:rPr>
          <w:kern w:val="2"/>
          <w:szCs w:val="21"/>
        </w:rPr>
        <w:t>允许制造商将CE标识贴附到医疗器械上。</w:t>
      </w:r>
    </w:p>
    <w:p w14:paraId="05977AC3">
      <w:pPr>
        <w:pStyle w:val="8"/>
        <w:topLinePunct/>
        <w:snapToGrid w:val="0"/>
        <w:spacing w:beforeLines="25" w:line="300" w:lineRule="auto"/>
        <w:ind w:firstLine="0"/>
        <w:jc w:val="both"/>
        <w:rPr>
          <w:kern w:val="2"/>
          <w:szCs w:val="21"/>
        </w:rPr>
      </w:pPr>
      <w:r>
        <w:rPr>
          <w:kern w:val="2"/>
          <w:szCs w:val="21"/>
        </w:rPr>
        <w:t>若档案不包括在第一子段中所述的符合性评估结果，并且若对于器械（若分别使用）的符合性评估，根据2017/</w:t>
      </w:r>
      <w:r>
        <w:rPr>
          <w:rFonts w:hint="eastAsia"/>
          <w:kern w:val="2"/>
          <w:szCs w:val="21"/>
        </w:rPr>
        <w:t>745</w:t>
      </w:r>
      <w:r>
        <w:rPr>
          <w:kern w:val="2"/>
          <w:szCs w:val="21"/>
        </w:rPr>
        <w:t>号法规需要公告机构参与，</w:t>
      </w:r>
      <w:r>
        <w:rPr>
          <w:rFonts w:hint="eastAsia"/>
          <w:kern w:val="2"/>
          <w:szCs w:val="21"/>
        </w:rPr>
        <w:t>则</w:t>
      </w:r>
      <w:r>
        <w:rPr>
          <w:kern w:val="2"/>
          <w:szCs w:val="21"/>
        </w:rPr>
        <w:t>管理机构应要求申请人根据问题器械类型适用法规指定的公告机构发布的此法规附录I相关的安全性和性能一般要求的符合性</w:t>
      </w:r>
      <w:r>
        <w:rPr>
          <w:rFonts w:hint="eastAsia"/>
          <w:kern w:val="2"/>
          <w:szCs w:val="21"/>
        </w:rPr>
        <w:t>，</w:t>
      </w:r>
      <w:r>
        <w:rPr>
          <w:kern w:val="2"/>
          <w:szCs w:val="21"/>
        </w:rPr>
        <w:t>就器械零部件与提出意见。</w:t>
      </w:r>
    </w:p>
    <w:p w14:paraId="5FB88CE4">
      <w:pPr>
        <w:pStyle w:val="8"/>
        <w:topLinePunct/>
        <w:snapToGrid w:val="0"/>
        <w:spacing w:beforeLines="25" w:line="300" w:lineRule="auto"/>
        <w:ind w:left="0" w:firstLine="0"/>
        <w:jc w:val="both"/>
        <w:rPr>
          <w:kern w:val="2"/>
          <w:szCs w:val="21"/>
        </w:rPr>
      </w:pPr>
      <w:r>
        <w:rPr>
          <w:rFonts w:hint="eastAsia"/>
          <w:kern w:val="2"/>
          <w:szCs w:val="21"/>
        </w:rPr>
        <w:t>______________________</w:t>
      </w:r>
    </w:p>
    <w:p w14:paraId="7170E305">
      <w:pPr>
        <w:snapToGrid w:val="0"/>
        <w:spacing w:line="264" w:lineRule="auto"/>
        <w:ind w:left="177" w:hanging="177" w:hangingChars="98"/>
        <w:rPr>
          <w:rFonts w:ascii="Times New Roman" w:hAnsi="Times New Roman"/>
          <w:kern w:val="2"/>
          <w:sz w:val="18"/>
          <w:szCs w:val="18"/>
        </w:rPr>
      </w:pPr>
      <w:r>
        <w:rPr>
          <w:rFonts w:ascii="Times New Roman" w:hAnsi="Times New Roman"/>
          <w:b/>
          <w:bCs/>
          <w:kern w:val="2"/>
          <w:sz w:val="18"/>
          <w:szCs w:val="18"/>
        </w:rPr>
        <w:t>*</w:t>
      </w:r>
      <w:r>
        <w:rPr>
          <w:rFonts w:ascii="Times New Roman" w:hAnsi="Times New Roman"/>
          <w:kern w:val="2"/>
          <w:sz w:val="18"/>
          <w:szCs w:val="18"/>
        </w:rPr>
        <w:t>欧洲议会和欧洲委员会</w:t>
      </w:r>
      <w:r>
        <w:rPr>
          <w:rFonts w:hint="eastAsia" w:ascii="Times New Roman" w:hAnsi="Times New Roman"/>
          <w:kern w:val="2"/>
          <w:sz w:val="18"/>
          <w:szCs w:val="18"/>
        </w:rPr>
        <w:t>于2017年4月5日签发的</w:t>
      </w:r>
      <w:r>
        <w:rPr>
          <w:rFonts w:ascii="Times New Roman" w:hAnsi="Times New Roman"/>
          <w:kern w:val="2"/>
          <w:sz w:val="18"/>
          <w:szCs w:val="18"/>
        </w:rPr>
        <w:t>关于医疗器械的第2017/</w:t>
      </w:r>
      <w:r>
        <w:rPr>
          <w:rFonts w:hint="eastAsia" w:ascii="Times New Roman" w:hAnsi="Times New Roman"/>
          <w:kern w:val="2"/>
          <w:sz w:val="18"/>
          <w:szCs w:val="18"/>
        </w:rPr>
        <w:t>746</w:t>
      </w:r>
      <w:r>
        <w:rPr>
          <w:rFonts w:ascii="Times New Roman" w:hAnsi="Times New Roman"/>
          <w:kern w:val="2"/>
          <w:sz w:val="18"/>
          <w:szCs w:val="18"/>
        </w:rPr>
        <w:t>号法规，修订了第2001/83/EC指令、第178/2002号法规和第1223/2009号法规，并废除了</w:t>
      </w:r>
      <w:r>
        <w:rPr>
          <w:rFonts w:hint="eastAsia" w:ascii="Times New Roman" w:hAnsi="Times New Roman"/>
          <w:kern w:val="2"/>
          <w:sz w:val="18"/>
          <w:szCs w:val="18"/>
        </w:rPr>
        <w:t>理事会</w:t>
      </w:r>
      <w:r>
        <w:rPr>
          <w:rFonts w:ascii="Times New Roman" w:hAnsi="Times New Roman"/>
          <w:kern w:val="2"/>
          <w:sz w:val="18"/>
          <w:szCs w:val="18"/>
        </w:rPr>
        <w:t>第90/385/EEC</w:t>
      </w:r>
      <w:r>
        <w:rPr>
          <w:rFonts w:hint="eastAsia" w:ascii="Times New Roman" w:hAnsi="Times New Roman"/>
          <w:kern w:val="2"/>
          <w:sz w:val="18"/>
          <w:szCs w:val="18"/>
        </w:rPr>
        <w:t>号</w:t>
      </w:r>
      <w:r>
        <w:rPr>
          <w:rFonts w:ascii="Times New Roman" w:hAnsi="Times New Roman"/>
          <w:kern w:val="2"/>
          <w:sz w:val="18"/>
          <w:szCs w:val="18"/>
        </w:rPr>
        <w:t>指令和第93/42/EEC号</w:t>
      </w:r>
      <w:r>
        <w:rPr>
          <w:rFonts w:hint="eastAsia" w:ascii="Times New Roman" w:hAnsi="Times New Roman"/>
          <w:kern w:val="2"/>
          <w:sz w:val="18"/>
          <w:szCs w:val="18"/>
        </w:rPr>
        <w:t>指令</w:t>
      </w:r>
      <w:r>
        <w:rPr>
          <w:rFonts w:ascii="Times New Roman" w:hAnsi="Times New Roman"/>
          <w:kern w:val="2"/>
          <w:sz w:val="18"/>
          <w:szCs w:val="18"/>
        </w:rPr>
        <w:t>（OJ L</w:t>
      </w:r>
      <w:r>
        <w:rPr>
          <w:rFonts w:ascii="Times New Roman" w:hAnsi="Times New Roman"/>
          <w:sz w:val="18"/>
          <w:szCs w:val="18"/>
        </w:rPr>
        <w:t>117, 5.5.2017, p. 1)。</w:t>
      </w:r>
      <w:r>
        <w:rPr>
          <w:rFonts w:hint="eastAsia" w:ascii="Times New Roman" w:hAnsi="Times New Roman"/>
          <w:kern w:val="2"/>
          <w:sz w:val="18"/>
          <w:szCs w:val="18"/>
        </w:rPr>
        <w:t>”</w:t>
      </w:r>
    </w:p>
    <w:p w14:paraId="55A0E508">
      <w:pPr>
        <w:snapToGrid w:val="0"/>
        <w:spacing w:beforeLines="15" w:line="300" w:lineRule="auto"/>
        <w:ind w:left="196"/>
        <w:jc w:val="center"/>
        <w:rPr>
          <w:rStyle w:val="48"/>
          <w:szCs w:val="21"/>
        </w:rPr>
      </w:pPr>
      <w:bookmarkStart w:id="141" w:name="_bookmark37"/>
      <w:bookmarkEnd w:id="141"/>
      <w:r>
        <w:rPr>
          <w:rFonts w:ascii="Times New Roman" w:hAnsi="Times New Roman"/>
          <w:i/>
          <w:kern w:val="2"/>
          <w:szCs w:val="21"/>
        </w:rPr>
        <w:t>第118条</w:t>
      </w:r>
    </w:p>
    <w:p w14:paraId="076ED488">
      <w:pPr>
        <w:snapToGrid w:val="0"/>
        <w:spacing w:beforeLines="15" w:line="300" w:lineRule="auto"/>
        <w:ind w:left="196"/>
        <w:jc w:val="center"/>
        <w:rPr>
          <w:rStyle w:val="48"/>
          <w:b/>
          <w:szCs w:val="21"/>
        </w:rPr>
      </w:pPr>
      <w:r>
        <w:rPr>
          <w:rFonts w:ascii="Times New Roman" w:hAnsi="Times New Roman"/>
          <w:b/>
          <w:kern w:val="2"/>
          <w:szCs w:val="21"/>
        </w:rPr>
        <w:t>欧洲委员会第178/2002号法规修订案</w:t>
      </w:r>
    </w:p>
    <w:p w14:paraId="309FF864">
      <w:pPr>
        <w:pStyle w:val="8"/>
        <w:topLinePunct/>
        <w:snapToGrid w:val="0"/>
        <w:spacing w:beforeLines="15" w:line="300" w:lineRule="auto"/>
        <w:ind w:left="113" w:firstLine="0"/>
        <w:jc w:val="both"/>
        <w:rPr>
          <w:kern w:val="2"/>
          <w:szCs w:val="21"/>
        </w:rPr>
      </w:pPr>
      <w:r>
        <w:rPr>
          <w:kern w:val="2"/>
          <w:szCs w:val="21"/>
        </w:rPr>
        <w:t>在第178/2002号法规第2条第三子段中，添加以下</w:t>
      </w:r>
      <w:r>
        <w:rPr>
          <w:rFonts w:hint="eastAsia"/>
          <w:kern w:val="2"/>
          <w:szCs w:val="21"/>
        </w:rPr>
        <w:t>各段</w:t>
      </w:r>
      <w:r>
        <w:rPr>
          <w:kern w:val="2"/>
          <w:szCs w:val="21"/>
        </w:rPr>
        <w:t>：</w:t>
      </w:r>
    </w:p>
    <w:p w14:paraId="5F078FF1">
      <w:pPr>
        <w:pStyle w:val="8"/>
        <w:tabs>
          <w:tab w:val="left" w:pos="681"/>
        </w:tabs>
        <w:topLinePunct/>
        <w:snapToGrid w:val="0"/>
        <w:spacing w:beforeLines="15" w:line="300" w:lineRule="auto"/>
        <w:ind w:left="113" w:firstLine="0"/>
        <w:jc w:val="both"/>
        <w:rPr>
          <w:kern w:val="2"/>
          <w:szCs w:val="21"/>
        </w:rPr>
      </w:pPr>
      <w:r>
        <w:rPr>
          <w:rFonts w:hint="eastAsia"/>
          <w:kern w:val="2"/>
          <w:szCs w:val="21"/>
          <w:lang w:val="en-US"/>
        </w:rPr>
        <w:t>“</w:t>
      </w:r>
      <w:r>
        <w:rPr>
          <w:kern w:val="2"/>
          <w:szCs w:val="21"/>
        </w:rPr>
        <w:t>(i)</w:t>
      </w:r>
      <w:r>
        <w:rPr>
          <w:kern w:val="2"/>
          <w:szCs w:val="21"/>
        </w:rPr>
        <w:tab/>
      </w:r>
      <w:r>
        <w:rPr>
          <w:kern w:val="2"/>
          <w:szCs w:val="21"/>
        </w:rPr>
        <w:t>欧洲议会和理事会第2017/</w:t>
      </w:r>
      <w:r>
        <w:rPr>
          <w:rFonts w:hint="eastAsia"/>
          <w:kern w:val="2"/>
          <w:szCs w:val="21"/>
        </w:rPr>
        <w:t>745</w:t>
      </w:r>
      <w:r>
        <w:rPr>
          <w:kern w:val="2"/>
          <w:szCs w:val="21"/>
        </w:rPr>
        <w:t>号法规规定的医疗器械</w:t>
      </w:r>
      <w:r>
        <w:rPr>
          <w:rFonts w:hint="eastAsia"/>
          <w:kern w:val="2"/>
          <w:szCs w:val="21"/>
        </w:rPr>
        <w:t>（*）。</w:t>
      </w:r>
    </w:p>
    <w:p w14:paraId="00CD9585">
      <w:pPr>
        <w:snapToGrid w:val="0"/>
        <w:spacing w:beforeLines="15" w:line="300" w:lineRule="auto"/>
        <w:rPr>
          <w:rFonts w:ascii="Times New Roman" w:hAnsi="Times New Roman"/>
          <w:b/>
          <w:bCs/>
          <w:kern w:val="2"/>
          <w:sz w:val="18"/>
          <w:szCs w:val="18"/>
        </w:rPr>
      </w:pPr>
      <w:r>
        <w:rPr>
          <w:rFonts w:hint="eastAsia" w:ascii="Times New Roman" w:hAnsi="Times New Roman"/>
          <w:b/>
          <w:bCs/>
          <w:kern w:val="2"/>
          <w:sz w:val="18"/>
          <w:szCs w:val="18"/>
        </w:rPr>
        <w:t>________________________</w:t>
      </w:r>
    </w:p>
    <w:p w14:paraId="4D3A8DE1">
      <w:pPr>
        <w:snapToGrid w:val="0"/>
        <w:spacing w:beforeLines="15" w:line="300" w:lineRule="auto"/>
        <w:ind w:left="177" w:hanging="177" w:hangingChars="98"/>
        <w:rPr>
          <w:rFonts w:ascii="Times New Roman" w:hAnsi="Times New Roman"/>
          <w:kern w:val="2"/>
          <w:sz w:val="18"/>
          <w:szCs w:val="18"/>
        </w:rPr>
      </w:pPr>
      <w:r>
        <w:rPr>
          <w:rFonts w:hint="eastAsia" w:ascii="Times New Roman" w:hAnsi="Times New Roman"/>
          <w:b/>
          <w:bCs/>
          <w:kern w:val="2"/>
          <w:sz w:val="18"/>
          <w:szCs w:val="18"/>
        </w:rPr>
        <w:t>(</w:t>
      </w:r>
      <w:r>
        <w:rPr>
          <w:rFonts w:ascii="Times New Roman" w:hAnsi="Times New Roman"/>
          <w:b/>
          <w:bCs/>
          <w:kern w:val="2"/>
          <w:sz w:val="18"/>
          <w:szCs w:val="18"/>
        </w:rPr>
        <w:t>*</w:t>
      </w:r>
      <w:r>
        <w:rPr>
          <w:rFonts w:hint="eastAsia" w:ascii="Times New Roman" w:hAnsi="Times New Roman"/>
          <w:b/>
          <w:bCs/>
          <w:kern w:val="2"/>
          <w:sz w:val="18"/>
          <w:szCs w:val="18"/>
        </w:rPr>
        <w:t>)</w:t>
      </w:r>
      <w:r>
        <w:rPr>
          <w:rFonts w:hint="eastAsia" w:ascii="Times New Roman" w:hAnsi="Times New Roman"/>
          <w:bCs/>
          <w:kern w:val="2"/>
          <w:sz w:val="18"/>
          <w:szCs w:val="18"/>
        </w:rPr>
        <w:t>2017年4月5日</w:t>
      </w:r>
      <w:r>
        <w:rPr>
          <w:rFonts w:ascii="Times New Roman" w:hAnsi="Times New Roman"/>
          <w:kern w:val="2"/>
          <w:sz w:val="18"/>
          <w:szCs w:val="18"/>
        </w:rPr>
        <w:t>欧洲议会和欧洲委员会关于医疗器械的第2017/</w:t>
      </w:r>
      <w:r>
        <w:rPr>
          <w:rFonts w:hint="eastAsia" w:ascii="Times New Roman" w:hAnsi="Times New Roman"/>
          <w:kern w:val="2"/>
          <w:sz w:val="18"/>
          <w:szCs w:val="18"/>
        </w:rPr>
        <w:t>745</w:t>
      </w:r>
      <w:r>
        <w:rPr>
          <w:rFonts w:ascii="Times New Roman" w:hAnsi="Times New Roman"/>
          <w:kern w:val="2"/>
          <w:sz w:val="18"/>
          <w:szCs w:val="18"/>
        </w:rPr>
        <w:t>号法规，修订了第2001/83/EC指令、第178/2002号法规和第1223/2009号法规，并废除了</w:t>
      </w:r>
      <w:r>
        <w:rPr>
          <w:rFonts w:hint="eastAsia" w:ascii="Times New Roman" w:hAnsi="Times New Roman"/>
          <w:kern w:val="2"/>
          <w:sz w:val="18"/>
          <w:szCs w:val="18"/>
        </w:rPr>
        <w:t>理事会</w:t>
      </w:r>
      <w:r>
        <w:rPr>
          <w:rFonts w:ascii="Times New Roman" w:hAnsi="Times New Roman"/>
          <w:kern w:val="2"/>
          <w:sz w:val="18"/>
          <w:szCs w:val="18"/>
        </w:rPr>
        <w:t>第90/385/EEC</w:t>
      </w:r>
      <w:r>
        <w:rPr>
          <w:rFonts w:hint="eastAsia" w:ascii="Times New Roman" w:hAnsi="Times New Roman"/>
          <w:kern w:val="2"/>
          <w:sz w:val="18"/>
          <w:szCs w:val="18"/>
        </w:rPr>
        <w:t>号</w:t>
      </w:r>
      <w:r>
        <w:rPr>
          <w:rFonts w:ascii="Times New Roman" w:hAnsi="Times New Roman"/>
          <w:kern w:val="2"/>
          <w:sz w:val="18"/>
          <w:szCs w:val="18"/>
        </w:rPr>
        <w:t>和第93/42/EEC号指令(OJ L 117, 5.5.2017, p. 1)</w:t>
      </w:r>
      <w:r>
        <w:rPr>
          <w:rFonts w:hint="eastAsia" w:ascii="Times New Roman" w:hAnsi="Times New Roman"/>
          <w:kern w:val="2"/>
          <w:sz w:val="18"/>
          <w:szCs w:val="18"/>
        </w:rPr>
        <w:t>。”</w:t>
      </w:r>
    </w:p>
    <w:p w14:paraId="12165C8B">
      <w:pPr>
        <w:snapToGrid w:val="0"/>
        <w:spacing w:beforeLines="15" w:line="300" w:lineRule="auto"/>
        <w:ind w:left="196"/>
        <w:jc w:val="center"/>
        <w:rPr>
          <w:rStyle w:val="48"/>
          <w:b/>
          <w:szCs w:val="21"/>
        </w:rPr>
      </w:pPr>
      <w:r>
        <w:rPr>
          <w:rFonts w:ascii="Times New Roman" w:hAnsi="Times New Roman"/>
          <w:i/>
          <w:kern w:val="2"/>
          <w:szCs w:val="21"/>
        </w:rPr>
        <w:t>第119条</w:t>
      </w:r>
    </w:p>
    <w:p w14:paraId="21C411DD">
      <w:pPr>
        <w:pStyle w:val="3"/>
        <w:spacing w:beforeLines="15" w:line="300" w:lineRule="auto"/>
        <w:rPr>
          <w:rStyle w:val="48"/>
          <w:b/>
          <w:i w:val="0"/>
          <w:szCs w:val="28"/>
        </w:rPr>
      </w:pPr>
      <w:r>
        <w:rPr>
          <w:b/>
          <w:i w:val="0"/>
        </w:rPr>
        <w:t>欧洲委员会第1223/2009号法规修订案</w:t>
      </w:r>
    </w:p>
    <w:p w14:paraId="2669B596">
      <w:pPr>
        <w:pStyle w:val="8"/>
        <w:topLinePunct/>
        <w:snapToGrid w:val="0"/>
        <w:spacing w:beforeLines="15" w:line="300" w:lineRule="auto"/>
        <w:ind w:left="113" w:firstLine="0"/>
        <w:jc w:val="both"/>
        <w:rPr>
          <w:rFonts w:hAnsi="宋体"/>
          <w:kern w:val="2"/>
          <w:szCs w:val="21"/>
        </w:rPr>
      </w:pPr>
      <w:r>
        <w:rPr>
          <w:rFonts w:hint="eastAsia" w:hAnsi="宋体"/>
          <w:kern w:val="2"/>
          <w:szCs w:val="21"/>
        </w:rPr>
        <w:t>在第</w:t>
      </w:r>
      <w:r>
        <w:rPr>
          <w:rFonts w:hAnsi="宋体"/>
          <w:kern w:val="2"/>
          <w:szCs w:val="21"/>
        </w:rPr>
        <w:t>1223/2009号</w:t>
      </w:r>
      <w:r>
        <w:rPr>
          <w:rFonts w:hint="eastAsia" w:hAnsi="宋体"/>
          <w:kern w:val="2"/>
          <w:szCs w:val="21"/>
        </w:rPr>
        <w:t>（</w:t>
      </w:r>
      <w:r>
        <w:rPr>
          <w:rFonts w:hAnsi="宋体"/>
          <w:kern w:val="2"/>
          <w:szCs w:val="21"/>
        </w:rPr>
        <w:t>EC</w:t>
      </w:r>
      <w:r>
        <w:rPr>
          <w:rFonts w:hint="eastAsia" w:hAnsi="宋体"/>
          <w:kern w:val="2"/>
          <w:szCs w:val="21"/>
        </w:rPr>
        <w:t>）</w:t>
      </w:r>
      <w:r>
        <w:rPr>
          <w:rFonts w:hAnsi="宋体"/>
          <w:kern w:val="2"/>
          <w:szCs w:val="21"/>
        </w:rPr>
        <w:t>法规第2条中，添加以下各段：</w:t>
      </w:r>
    </w:p>
    <w:p w14:paraId="37C9DA89">
      <w:pPr>
        <w:pStyle w:val="8"/>
        <w:tabs>
          <w:tab w:val="left" w:pos="681"/>
        </w:tabs>
        <w:topLinePunct/>
        <w:snapToGrid w:val="0"/>
        <w:spacing w:beforeLines="15" w:line="300" w:lineRule="auto"/>
        <w:ind w:hanging="568"/>
        <w:jc w:val="both"/>
        <w:rPr>
          <w:rFonts w:hAnsi="宋体"/>
          <w:kern w:val="2"/>
          <w:szCs w:val="21"/>
        </w:rPr>
      </w:pPr>
      <w:r>
        <w:rPr>
          <w:rFonts w:hint="eastAsia" w:hAnsi="宋体"/>
          <w:kern w:val="2"/>
          <w:szCs w:val="21"/>
        </w:rPr>
        <w:t>“4.</w:t>
      </w:r>
      <w:r>
        <w:rPr>
          <w:rFonts w:hAnsi="宋体"/>
          <w:kern w:val="2"/>
          <w:szCs w:val="21"/>
        </w:rPr>
        <w:tab/>
      </w:r>
      <w:r>
        <w:rPr>
          <w:rFonts w:hAnsi="宋体"/>
          <w:kern w:val="2"/>
          <w:szCs w:val="21"/>
        </w:rPr>
        <w:t>委员会可按照成员国的请求或自主行动，采用必要的措施确定特定产品或产品组是否处于</w:t>
      </w:r>
      <w:r>
        <w:rPr>
          <w:rFonts w:hint="eastAsia" w:hAnsi="宋体"/>
          <w:kern w:val="2"/>
          <w:szCs w:val="21"/>
        </w:rPr>
        <w:t>“</w:t>
      </w:r>
      <w:r>
        <w:rPr>
          <w:rFonts w:hAnsi="宋体"/>
          <w:kern w:val="2"/>
          <w:szCs w:val="21"/>
        </w:rPr>
        <w:t>美容产品</w:t>
      </w:r>
      <w:r>
        <w:rPr>
          <w:rFonts w:hint="eastAsia" w:hAnsi="宋体"/>
          <w:kern w:val="2"/>
          <w:szCs w:val="21"/>
        </w:rPr>
        <w:t>”</w:t>
      </w:r>
      <w:r>
        <w:rPr>
          <w:rFonts w:hAnsi="宋体"/>
          <w:kern w:val="2"/>
          <w:szCs w:val="21"/>
        </w:rPr>
        <w:t>定义范围内。并应根据第32(2)条所述的监管规程采用这些措施。</w:t>
      </w:r>
      <w:r>
        <w:rPr>
          <w:rFonts w:hint="eastAsia" w:hAnsi="宋体"/>
          <w:kern w:val="2"/>
          <w:szCs w:val="21"/>
        </w:rPr>
        <w:t>”</w:t>
      </w:r>
    </w:p>
    <w:p w14:paraId="74A687B7">
      <w:pPr>
        <w:snapToGrid w:val="0"/>
        <w:spacing w:beforeLines="15" w:line="300" w:lineRule="auto"/>
        <w:jc w:val="center"/>
        <w:rPr>
          <w:rFonts w:ascii="Times New Roman" w:hAnsi="Times New Roman"/>
          <w:kern w:val="2"/>
          <w:szCs w:val="21"/>
        </w:rPr>
      </w:pPr>
    </w:p>
    <w:p w14:paraId="17F275E3">
      <w:pPr>
        <w:snapToGrid w:val="0"/>
        <w:spacing w:beforeLines="15" w:line="300" w:lineRule="auto"/>
        <w:jc w:val="center"/>
        <w:rPr>
          <w:rFonts w:ascii="Times New Roman" w:hAnsi="Times New Roman"/>
          <w:i/>
          <w:kern w:val="2"/>
          <w:szCs w:val="21"/>
        </w:rPr>
      </w:pPr>
      <w:r>
        <w:rPr>
          <w:rFonts w:ascii="Times New Roman" w:hAnsi="Times New Roman"/>
          <w:i/>
          <w:kern w:val="2"/>
          <w:szCs w:val="21"/>
        </w:rPr>
        <w:t>第120条</w:t>
      </w:r>
    </w:p>
    <w:p w14:paraId="2E3144CC">
      <w:pPr>
        <w:snapToGrid w:val="0"/>
        <w:spacing w:beforeLines="15" w:line="300" w:lineRule="auto"/>
        <w:jc w:val="center"/>
        <w:rPr>
          <w:rFonts w:ascii="Times New Roman" w:hAnsi="Times New Roman"/>
          <w:b/>
          <w:kern w:val="2"/>
          <w:szCs w:val="21"/>
        </w:rPr>
      </w:pPr>
      <w:r>
        <w:rPr>
          <w:rFonts w:ascii="Times New Roman" w:hAnsi="Times New Roman"/>
          <w:b/>
          <w:kern w:val="2"/>
          <w:szCs w:val="21"/>
        </w:rPr>
        <w:t>过渡性条款</w:t>
      </w:r>
    </w:p>
    <w:p w14:paraId="68A64E42">
      <w:pPr>
        <w:pStyle w:val="32"/>
        <w:numPr>
          <w:ilvl w:val="0"/>
          <w:numId w:val="113"/>
        </w:numPr>
        <w:tabs>
          <w:tab w:val="left" w:pos="682"/>
        </w:tabs>
        <w:topLinePunct/>
        <w:snapToGrid w:val="0"/>
        <w:spacing w:beforeLines="15" w:line="300" w:lineRule="auto"/>
        <w:jc w:val="both"/>
        <w:rPr>
          <w:rFonts w:ascii="Times New Roman" w:hAnsi="Times New Roman"/>
          <w:kern w:val="2"/>
          <w:szCs w:val="21"/>
        </w:rPr>
      </w:pPr>
      <w:r>
        <w:rPr>
          <w:rFonts w:hint="eastAsia" w:ascii="Times New Roman" w:hAnsi="Times New Roman"/>
          <w:kern w:val="2"/>
          <w:szCs w:val="21"/>
        </w:rPr>
        <w:t>自2020年5月26日</w:t>
      </w:r>
      <w:r>
        <w:rPr>
          <w:rFonts w:ascii="Times New Roman" w:hAnsi="Times New Roman"/>
          <w:kern w:val="2"/>
          <w:szCs w:val="21"/>
        </w:rPr>
        <w:t>起，公告机构根据第90/385/EEC和93/42/EEC号指令发布的任何通知将失效。</w:t>
      </w:r>
    </w:p>
    <w:p w14:paraId="50BDB5D3">
      <w:pPr>
        <w:pStyle w:val="32"/>
        <w:numPr>
          <w:ilvl w:val="0"/>
          <w:numId w:val="113"/>
        </w:numPr>
        <w:tabs>
          <w:tab w:val="left" w:pos="682"/>
        </w:tabs>
        <w:topLinePunct/>
        <w:snapToGrid w:val="0"/>
        <w:spacing w:beforeLines="15" w:line="300" w:lineRule="auto"/>
        <w:ind w:left="680"/>
        <w:jc w:val="both"/>
        <w:rPr>
          <w:rFonts w:ascii="Times New Roman" w:hAnsi="Times New Roman"/>
          <w:kern w:val="2"/>
          <w:szCs w:val="21"/>
        </w:rPr>
      </w:pPr>
      <w:r>
        <w:rPr>
          <w:rFonts w:ascii="Times New Roman" w:hAnsi="Times New Roman"/>
          <w:kern w:val="2"/>
          <w:szCs w:val="21"/>
        </w:rPr>
        <w:t>在</w:t>
      </w:r>
      <w:r>
        <w:rPr>
          <w:rFonts w:hint="eastAsia" w:ascii="Times New Roman" w:hAnsi="Times New Roman"/>
          <w:kern w:val="2"/>
          <w:szCs w:val="21"/>
        </w:rPr>
        <w:t>2017年5月25日</w:t>
      </w:r>
      <w:r>
        <w:rPr>
          <w:rFonts w:ascii="Times New Roman" w:hAnsi="Times New Roman"/>
          <w:kern w:val="2"/>
          <w:szCs w:val="21"/>
        </w:rPr>
        <w:t>前根据第90/385/EEC和93/42/EEC号指令由公告机构发行的证书应保持有效，直至证书所示的期限结束，除了根据第90/385/EEC号指令附录4或第93/42/EEC号指令附录IV</w:t>
      </w:r>
      <w:r>
        <w:rPr>
          <w:rFonts w:hint="eastAsia" w:ascii="Times New Roman" w:hAnsi="Times New Roman"/>
          <w:kern w:val="2"/>
          <w:szCs w:val="21"/>
        </w:rPr>
        <w:t>颁发</w:t>
      </w:r>
      <w:r>
        <w:rPr>
          <w:rFonts w:ascii="Times New Roman" w:hAnsi="Times New Roman"/>
          <w:kern w:val="2"/>
          <w:szCs w:val="21"/>
        </w:rPr>
        <w:t>的证书（其应</w:t>
      </w:r>
      <w:r>
        <w:rPr>
          <w:rFonts w:hint="eastAsia" w:ascii="Times New Roman" w:hAnsi="Times New Roman"/>
          <w:kern w:val="2"/>
          <w:szCs w:val="21"/>
        </w:rPr>
        <w:t>于2022年5约7日</w:t>
      </w:r>
      <w:r>
        <w:rPr>
          <w:rFonts w:ascii="Times New Roman" w:hAnsi="Times New Roman"/>
          <w:kern w:val="2"/>
          <w:szCs w:val="21"/>
        </w:rPr>
        <w:t>自动失效）。</w:t>
      </w:r>
    </w:p>
    <w:p w14:paraId="6EB424F6">
      <w:pPr>
        <w:pStyle w:val="8"/>
        <w:topLinePunct/>
        <w:snapToGrid w:val="0"/>
        <w:spacing w:beforeLines="15" w:line="300" w:lineRule="auto"/>
        <w:ind w:left="680" w:firstLine="0"/>
        <w:jc w:val="both"/>
        <w:rPr>
          <w:kern w:val="2"/>
          <w:szCs w:val="21"/>
        </w:rPr>
      </w:pPr>
      <w:r>
        <w:rPr>
          <w:rFonts w:hint="eastAsia"/>
          <w:kern w:val="2"/>
          <w:szCs w:val="21"/>
        </w:rPr>
        <w:t>自2017年5月25日</w:t>
      </w:r>
      <w:r>
        <w:rPr>
          <w:kern w:val="2"/>
          <w:szCs w:val="21"/>
        </w:rPr>
        <w:t>起根据第90/385/EEC和93/42/EEC号指令由公告机构发行的证书应保持有效，直至证书所示的期限结束，从其交付日期起有效期不得超过五年。但其应</w:t>
      </w:r>
      <w:r>
        <w:rPr>
          <w:rFonts w:hint="eastAsia"/>
          <w:kern w:val="2"/>
          <w:szCs w:val="21"/>
        </w:rPr>
        <w:t>于2024年5月27日</w:t>
      </w:r>
      <w:r>
        <w:rPr>
          <w:kern w:val="2"/>
          <w:szCs w:val="21"/>
        </w:rPr>
        <w:t>失效。</w:t>
      </w:r>
    </w:p>
    <w:p w14:paraId="458C525A">
      <w:pPr>
        <w:pStyle w:val="32"/>
        <w:numPr>
          <w:ilvl w:val="0"/>
          <w:numId w:val="113"/>
        </w:numPr>
        <w:tabs>
          <w:tab w:val="left" w:pos="682"/>
        </w:tabs>
        <w:topLinePunct/>
        <w:snapToGrid w:val="0"/>
        <w:spacing w:beforeLines="15" w:line="300" w:lineRule="auto"/>
        <w:ind w:left="630" w:hanging="630" w:hangingChars="300"/>
        <w:jc w:val="both"/>
        <w:rPr>
          <w:rFonts w:ascii="Times New Roman" w:hAnsi="Times New Roman"/>
          <w:kern w:val="2"/>
          <w:szCs w:val="21"/>
        </w:rPr>
      </w:pPr>
      <w:r>
        <w:rPr>
          <w:rFonts w:ascii="Times New Roman" w:hAnsi="Times New Roman"/>
          <w:kern w:val="2"/>
          <w:szCs w:val="21"/>
        </w:rPr>
        <w:t>为豁免本规则第5条规定，具有根据第90/385/EEC号指令或第93/42/EEC号指令</w:t>
      </w:r>
      <w:r>
        <w:rPr>
          <w:rFonts w:hint="eastAsia" w:ascii="Times New Roman" w:hAnsi="Times New Roman"/>
          <w:kern w:val="2"/>
          <w:szCs w:val="21"/>
        </w:rPr>
        <w:t>颁发</w:t>
      </w:r>
      <w:r>
        <w:rPr>
          <w:rFonts w:ascii="Times New Roman" w:hAnsi="Times New Roman"/>
          <w:kern w:val="2"/>
          <w:szCs w:val="21"/>
        </w:rPr>
        <w:t>的以及本条第2段规定有效证书</w:t>
      </w:r>
      <w:r>
        <w:rPr>
          <w:rFonts w:hint="eastAsia" w:ascii="Times New Roman" w:hAnsi="Times New Roman"/>
          <w:kern w:val="2"/>
          <w:szCs w:val="21"/>
        </w:rPr>
        <w:t>的器械仅</w:t>
      </w:r>
      <w:r>
        <w:rPr>
          <w:rFonts w:ascii="Times New Roman" w:hAnsi="Times New Roman"/>
          <w:kern w:val="2"/>
          <w:szCs w:val="21"/>
        </w:rPr>
        <w:t>能投放市场或投入使用，前提是从本法规适用之日起，</w:t>
      </w:r>
      <w:r>
        <w:rPr>
          <w:rFonts w:hint="eastAsia" w:ascii="Times New Roman" w:hAnsi="Times New Roman"/>
          <w:kern w:val="2"/>
          <w:szCs w:val="21"/>
        </w:rPr>
        <w:t>此类</w:t>
      </w:r>
      <w:r>
        <w:rPr>
          <w:rFonts w:ascii="Times New Roman" w:hAnsi="Times New Roman"/>
          <w:kern w:val="2"/>
          <w:szCs w:val="21"/>
        </w:rPr>
        <w:t>器械仍遵守这些指令中的任一条，且设计和预期目的无重大变化。但本法规关于上市后监督、市场监督、警惕、经济运营商和器械注册的要求应适用于这些指令中的相应要求。</w:t>
      </w:r>
    </w:p>
    <w:p w14:paraId="1ADB8CC0">
      <w:pPr>
        <w:pStyle w:val="32"/>
        <w:tabs>
          <w:tab w:val="left" w:pos="682"/>
        </w:tabs>
        <w:topLinePunct/>
        <w:snapToGrid w:val="0"/>
        <w:spacing w:beforeLines="15" w:line="300" w:lineRule="auto"/>
        <w:ind w:left="630" w:leftChars="300"/>
        <w:jc w:val="both"/>
        <w:rPr>
          <w:rFonts w:ascii="Times New Roman" w:hAnsi="Times New Roman"/>
          <w:kern w:val="2"/>
          <w:szCs w:val="21"/>
        </w:rPr>
      </w:pPr>
      <w:r>
        <w:rPr>
          <w:rFonts w:ascii="Times New Roman" w:hAnsi="Times New Roman"/>
          <w:kern w:val="2"/>
          <w:szCs w:val="21"/>
        </w:rPr>
        <w:t>在不影响本条第IV章和第1段的情况下，</w:t>
      </w:r>
      <w:r>
        <w:rPr>
          <w:rFonts w:hint="eastAsia" w:ascii="Times New Roman" w:hAnsi="Times New Roman"/>
          <w:kern w:val="2"/>
          <w:szCs w:val="21"/>
        </w:rPr>
        <w:t>颁发</w:t>
      </w:r>
      <w:r>
        <w:rPr>
          <w:rFonts w:ascii="Times New Roman" w:hAnsi="Times New Roman"/>
          <w:kern w:val="2"/>
          <w:szCs w:val="21"/>
        </w:rPr>
        <w:t>第一子段所述证书的公告机构应继续负责对与其认证器械相关的所有适用要求进行适当监督。</w:t>
      </w:r>
    </w:p>
    <w:p w14:paraId="7F7936F2">
      <w:pPr>
        <w:pStyle w:val="32"/>
        <w:numPr>
          <w:ilvl w:val="0"/>
          <w:numId w:val="113"/>
        </w:numPr>
        <w:tabs>
          <w:tab w:val="left" w:pos="682"/>
        </w:tabs>
        <w:topLinePunct/>
        <w:snapToGrid w:val="0"/>
        <w:spacing w:beforeLines="15" w:line="300" w:lineRule="auto"/>
        <w:ind w:left="630" w:hanging="630" w:hangingChars="300"/>
        <w:jc w:val="both"/>
        <w:rPr>
          <w:rFonts w:ascii="Times New Roman" w:hAnsi="Times New Roman"/>
          <w:kern w:val="2"/>
          <w:szCs w:val="21"/>
        </w:rPr>
      </w:pPr>
      <w:r>
        <w:rPr>
          <w:rFonts w:ascii="Times New Roman" w:hAnsi="Times New Roman"/>
          <w:kern w:val="2"/>
          <w:szCs w:val="21"/>
        </w:rPr>
        <w:t>根据第90/385/EEC号指令和第93/42/EEC号指令在</w:t>
      </w:r>
      <w:r>
        <w:rPr>
          <w:rFonts w:hint="eastAsia" w:ascii="Times New Roman" w:hAnsi="Times New Roman"/>
          <w:kern w:val="2"/>
          <w:szCs w:val="21"/>
        </w:rPr>
        <w:t>2022年5月26日</w:t>
      </w:r>
      <w:r>
        <w:rPr>
          <w:rFonts w:ascii="Times New Roman" w:hAnsi="Times New Roman"/>
          <w:kern w:val="2"/>
          <w:szCs w:val="21"/>
        </w:rPr>
        <w:t>前合法投放市场的器械，以及</w:t>
      </w:r>
      <w:r>
        <w:rPr>
          <w:rFonts w:hint="eastAsia" w:ascii="Times New Roman" w:hAnsi="Times New Roman"/>
          <w:kern w:val="2"/>
          <w:szCs w:val="21"/>
        </w:rPr>
        <w:t>自2020年5月26日</w:t>
      </w:r>
      <w:r>
        <w:rPr>
          <w:rFonts w:ascii="Times New Roman" w:hAnsi="Times New Roman"/>
          <w:kern w:val="2"/>
          <w:szCs w:val="21"/>
        </w:rPr>
        <w:t>起投放市场并具有本条第2段所述证书的器械，可继续在市场上提供或投入使用，直至</w:t>
      </w:r>
      <w:r>
        <w:rPr>
          <w:rFonts w:hint="eastAsia" w:ascii="Times New Roman" w:hAnsi="Times New Roman"/>
          <w:kern w:val="2"/>
          <w:szCs w:val="21"/>
        </w:rPr>
        <w:t>2025年5月26日</w:t>
      </w:r>
      <w:r>
        <w:rPr>
          <w:rFonts w:ascii="Times New Roman" w:hAnsi="Times New Roman"/>
          <w:kern w:val="2"/>
          <w:szCs w:val="21"/>
        </w:rPr>
        <w:t>。</w:t>
      </w:r>
    </w:p>
    <w:p w14:paraId="56BC2F20">
      <w:pPr>
        <w:pStyle w:val="32"/>
        <w:topLinePunct/>
        <w:snapToGrid w:val="0"/>
        <w:spacing w:beforeLines="15" w:line="300" w:lineRule="auto"/>
        <w:ind w:left="546" w:hanging="546" w:hangingChars="260"/>
        <w:jc w:val="both"/>
        <w:rPr>
          <w:rFonts w:ascii="Times New Roman" w:hAnsi="Times New Roman"/>
          <w:kern w:val="2"/>
          <w:szCs w:val="21"/>
        </w:rPr>
      </w:pPr>
      <w:r>
        <w:rPr>
          <w:rFonts w:ascii="Times New Roman" w:hAnsi="Times New Roman"/>
          <w:kern w:val="2"/>
          <w:szCs w:val="21"/>
        </w:rPr>
        <w:t>5.</w:t>
      </w:r>
      <w:r>
        <w:rPr>
          <w:rFonts w:ascii="Times New Roman" w:hAnsi="Times New Roman"/>
          <w:kern w:val="2"/>
          <w:szCs w:val="21"/>
        </w:rPr>
        <w:tab/>
      </w:r>
      <w:r>
        <w:rPr>
          <w:rFonts w:ascii="Times New Roman" w:hAnsi="Times New Roman"/>
          <w:kern w:val="2"/>
          <w:szCs w:val="21"/>
        </w:rPr>
        <w:t>通过豁免第90/385/EEC和93/42/EEC号指令的方式，符合本法规的器械可在</w:t>
      </w:r>
      <w:r>
        <w:rPr>
          <w:rFonts w:hint="eastAsia" w:ascii="Times New Roman" w:hAnsi="Times New Roman"/>
          <w:kern w:val="2"/>
          <w:szCs w:val="21"/>
        </w:rPr>
        <w:t>2020年5月26日前</w:t>
      </w:r>
      <w:r>
        <w:rPr>
          <w:rFonts w:ascii="Times New Roman" w:hAnsi="Times New Roman"/>
          <w:kern w:val="2"/>
          <w:szCs w:val="21"/>
        </w:rPr>
        <w:t>投放市场。</w:t>
      </w:r>
    </w:p>
    <w:p w14:paraId="0E2601FD">
      <w:pPr>
        <w:pStyle w:val="32"/>
        <w:topLinePunct/>
        <w:snapToGrid w:val="0"/>
        <w:spacing w:beforeLines="15" w:line="300" w:lineRule="auto"/>
        <w:ind w:left="546" w:hanging="546" w:hangingChars="260"/>
        <w:jc w:val="both"/>
        <w:rPr>
          <w:rFonts w:ascii="Times New Roman" w:hAnsi="Times New Roman"/>
          <w:kern w:val="2"/>
          <w:szCs w:val="21"/>
        </w:rPr>
      </w:pPr>
      <w:r>
        <w:rPr>
          <w:rFonts w:ascii="Times New Roman" w:hAnsi="Times New Roman"/>
          <w:kern w:val="2"/>
          <w:szCs w:val="21"/>
        </w:rPr>
        <w:t>6.</w:t>
      </w:r>
      <w:r>
        <w:rPr>
          <w:rFonts w:ascii="Times New Roman" w:hAnsi="Times New Roman"/>
          <w:kern w:val="2"/>
          <w:szCs w:val="21"/>
        </w:rPr>
        <w:tab/>
      </w:r>
      <w:r>
        <w:rPr>
          <w:rFonts w:ascii="Times New Roman" w:hAnsi="Times New Roman"/>
          <w:kern w:val="2"/>
          <w:szCs w:val="21"/>
        </w:rPr>
        <w:t>通过豁免第90/385/EEC和93/42/EEC号指令的方式，可在</w:t>
      </w:r>
      <w:r>
        <w:rPr>
          <w:rFonts w:hint="eastAsia" w:ascii="Times New Roman" w:hAnsi="Times New Roman"/>
          <w:kern w:val="2"/>
          <w:szCs w:val="21"/>
        </w:rPr>
        <w:t>2020年5月26日</w:t>
      </w:r>
      <w:r>
        <w:rPr>
          <w:rFonts w:ascii="Times New Roman" w:hAnsi="Times New Roman"/>
          <w:kern w:val="2"/>
          <w:szCs w:val="21"/>
        </w:rPr>
        <w:t>前指定并通知符合该法规的符合性评估机构。根据本法规指定并通知的公告机构</w:t>
      </w:r>
      <w:r>
        <w:rPr>
          <w:rFonts w:hint="eastAsia" w:ascii="Times New Roman" w:hAnsi="Times New Roman"/>
          <w:kern w:val="2"/>
          <w:szCs w:val="21"/>
        </w:rPr>
        <w:t>，</w:t>
      </w:r>
      <w:r>
        <w:rPr>
          <w:rFonts w:ascii="Times New Roman" w:hAnsi="Times New Roman"/>
          <w:kern w:val="2"/>
          <w:szCs w:val="21"/>
        </w:rPr>
        <w:t>可在</w:t>
      </w:r>
      <w:r>
        <w:rPr>
          <w:rFonts w:hint="eastAsia" w:ascii="Times New Roman" w:hAnsi="Times New Roman"/>
          <w:kern w:val="2"/>
          <w:szCs w:val="21"/>
        </w:rPr>
        <w:t>2020年5月26日</w:t>
      </w:r>
      <w:r>
        <w:rPr>
          <w:rFonts w:ascii="Times New Roman" w:hAnsi="Times New Roman"/>
          <w:kern w:val="2"/>
          <w:szCs w:val="21"/>
        </w:rPr>
        <w:t>前，采用其规定的符合性评估流程并按照本法规</w:t>
      </w:r>
      <w:r>
        <w:rPr>
          <w:rFonts w:hint="eastAsia" w:ascii="Times New Roman" w:hAnsi="Times New Roman"/>
          <w:kern w:val="2"/>
          <w:szCs w:val="21"/>
        </w:rPr>
        <w:t>规定</w:t>
      </w:r>
      <w:r>
        <w:rPr>
          <w:rFonts w:ascii="Times New Roman" w:hAnsi="Times New Roman"/>
          <w:kern w:val="2"/>
          <w:szCs w:val="21"/>
        </w:rPr>
        <w:t>签发证书。</w:t>
      </w:r>
    </w:p>
    <w:p w14:paraId="68F08784">
      <w:pPr>
        <w:pStyle w:val="8"/>
        <w:topLinePunct/>
        <w:snapToGrid w:val="0"/>
        <w:spacing w:beforeLines="15" w:line="300" w:lineRule="auto"/>
        <w:ind w:left="546" w:hanging="546" w:hangingChars="260"/>
        <w:jc w:val="both"/>
        <w:rPr>
          <w:kern w:val="2"/>
          <w:szCs w:val="21"/>
        </w:rPr>
      </w:pPr>
      <w:r>
        <w:rPr>
          <w:kern w:val="2"/>
          <w:szCs w:val="21"/>
        </w:rPr>
        <w:t>7.</w:t>
      </w:r>
      <w:r>
        <w:rPr>
          <w:kern w:val="2"/>
          <w:szCs w:val="21"/>
        </w:rPr>
        <w:tab/>
      </w:r>
      <w:r>
        <w:rPr>
          <w:kern w:val="2"/>
          <w:szCs w:val="21"/>
        </w:rPr>
        <w:t>对于受限于第54条规定咨询规程的器械，本条第5段应适用，</w:t>
      </w:r>
      <w:r>
        <w:rPr>
          <w:rFonts w:hint="eastAsia"/>
          <w:kern w:val="2"/>
          <w:szCs w:val="21"/>
        </w:rPr>
        <w:t>前提</w:t>
      </w:r>
      <w:r>
        <w:rPr>
          <w:kern w:val="2"/>
          <w:szCs w:val="21"/>
        </w:rPr>
        <w:t>是已委派必要的MDCG、专家小组。</w:t>
      </w:r>
    </w:p>
    <w:p w14:paraId="43332CDB">
      <w:pPr>
        <w:pStyle w:val="32"/>
        <w:topLinePunct/>
        <w:snapToGrid w:val="0"/>
        <w:spacing w:beforeLines="15" w:line="300" w:lineRule="auto"/>
        <w:ind w:left="573" w:hanging="573" w:hangingChars="273"/>
        <w:jc w:val="both"/>
        <w:rPr>
          <w:rFonts w:ascii="Times New Roman" w:hAnsi="Times New Roman"/>
          <w:kern w:val="2"/>
          <w:szCs w:val="21"/>
        </w:rPr>
      </w:pPr>
      <w:r>
        <w:rPr>
          <w:rFonts w:ascii="Times New Roman" w:hAnsi="Times New Roman"/>
          <w:kern w:val="2"/>
          <w:szCs w:val="21"/>
        </w:rPr>
        <w:t>8.</w:t>
      </w:r>
      <w:r>
        <w:rPr>
          <w:rFonts w:ascii="Times New Roman" w:hAnsi="Times New Roman"/>
          <w:kern w:val="2"/>
          <w:szCs w:val="21"/>
        </w:rPr>
        <w:tab/>
      </w:r>
      <w:r>
        <w:rPr>
          <w:rFonts w:ascii="Times New Roman" w:hAnsi="Times New Roman"/>
          <w:kern w:val="2"/>
          <w:szCs w:val="21"/>
        </w:rPr>
        <w:t>分别根据第90/385/EEC号指令的第10a条或第93/42/EEC号指令的第14(1)和（2）条以及分别根据第90/385/EEC号指令第10b（1）条第（a）点或第93/42/EEC号指令第14a（1）条第（a）和（b）点，按照第2010/227/EU号决议的规定，通过豁免第90/385/EEC号指令的第10a条和第10b（1）条第（a）点以及第93/42/EEC号指令的第14(1)和（2）条和第14a（1）条的第（a）和（b）点，在第123（3）条（d）点所述日期和18个月结束期限内（以较晚者为准），符合本法规的第29（4）和56（5）条的制造商、授权代表、进口商和公告机构应视为符合成员国的法律法规。</w:t>
      </w:r>
    </w:p>
    <w:p w14:paraId="78BDFF40">
      <w:pPr>
        <w:pStyle w:val="32"/>
        <w:topLinePunct/>
        <w:snapToGrid w:val="0"/>
        <w:spacing w:beforeLines="15" w:line="300" w:lineRule="auto"/>
        <w:ind w:left="573" w:hanging="573" w:hangingChars="273"/>
        <w:jc w:val="both"/>
        <w:rPr>
          <w:rFonts w:ascii="Times New Roman" w:hAnsi="Times New Roman"/>
          <w:kern w:val="2"/>
          <w:szCs w:val="21"/>
        </w:rPr>
      </w:pPr>
      <w:r>
        <w:rPr>
          <w:rFonts w:ascii="Times New Roman" w:hAnsi="Times New Roman"/>
          <w:kern w:val="2"/>
          <w:szCs w:val="21"/>
          <w:lang w:val="en-US"/>
        </w:rPr>
        <w:t>9.</w:t>
      </w:r>
      <w:r>
        <w:rPr>
          <w:rFonts w:ascii="Times New Roman" w:hAnsi="Times New Roman"/>
          <w:kern w:val="2"/>
          <w:szCs w:val="21"/>
          <w:lang w:val="en-US"/>
        </w:rPr>
        <w:tab/>
      </w:r>
      <w:r>
        <w:rPr>
          <w:rFonts w:ascii="Times New Roman" w:hAnsi="Times New Roman"/>
          <w:kern w:val="2"/>
          <w:szCs w:val="21"/>
        </w:rPr>
        <w:t>成员国主管机构根据第90/385/EEC号指令第9(9)条或93/42/EEC号指令第11(13)条的授权在授权所注明期限内应继续有效</w:t>
      </w:r>
    </w:p>
    <w:p w14:paraId="3B2F353B">
      <w:pPr>
        <w:pStyle w:val="32"/>
        <w:topLinePunct/>
        <w:snapToGrid w:val="0"/>
        <w:spacing w:beforeLines="15" w:line="300" w:lineRule="auto"/>
        <w:ind w:left="573" w:hanging="573" w:hangingChars="273"/>
        <w:jc w:val="both"/>
        <w:rPr>
          <w:rFonts w:ascii="Times New Roman" w:hAnsi="Times New Roman"/>
          <w:kern w:val="2"/>
          <w:szCs w:val="21"/>
        </w:rPr>
      </w:pPr>
      <w:r>
        <w:rPr>
          <w:rFonts w:ascii="Times New Roman" w:hAnsi="Times New Roman"/>
          <w:kern w:val="2"/>
          <w:szCs w:val="21"/>
        </w:rPr>
        <w:t>10.</w:t>
      </w:r>
      <w:r>
        <w:rPr>
          <w:rFonts w:ascii="Times New Roman" w:hAnsi="Times New Roman"/>
          <w:kern w:val="2"/>
          <w:szCs w:val="21"/>
        </w:rPr>
        <w:tab/>
      </w:r>
      <w:r>
        <w:rPr>
          <w:rFonts w:ascii="Times New Roman" w:hAnsi="Times New Roman"/>
          <w:kern w:val="2"/>
          <w:szCs w:val="21"/>
        </w:rPr>
        <w:t>根据第1(6)条（f）点和（g）点，</w:t>
      </w:r>
      <w:r>
        <w:rPr>
          <w:rFonts w:hint="eastAsia" w:ascii="Times New Roman" w:hAnsi="Times New Roman"/>
          <w:kern w:val="2"/>
          <w:szCs w:val="21"/>
        </w:rPr>
        <w:t>在</w:t>
      </w:r>
      <w:r>
        <w:rPr>
          <w:rFonts w:ascii="Times New Roman" w:hAnsi="Times New Roman"/>
          <w:kern w:val="2"/>
          <w:szCs w:val="21"/>
        </w:rPr>
        <w:t>本法规范围内且在</w:t>
      </w:r>
      <w:r>
        <w:rPr>
          <w:rFonts w:hint="eastAsia" w:ascii="Times New Roman" w:hAnsi="Times New Roman"/>
          <w:kern w:val="2"/>
          <w:szCs w:val="21"/>
        </w:rPr>
        <w:t>2020年5月26日</w:t>
      </w:r>
      <w:r>
        <w:rPr>
          <w:rFonts w:ascii="Times New Roman" w:hAnsi="Times New Roman"/>
          <w:kern w:val="2"/>
          <w:szCs w:val="21"/>
        </w:rPr>
        <w:t>前根据成员国的有效规则合法投放市场或投入使用的器械可继续投放市场</w:t>
      </w:r>
      <w:r>
        <w:rPr>
          <w:rFonts w:hint="eastAsia" w:ascii="Times New Roman" w:hAnsi="Times New Roman"/>
          <w:kern w:val="2"/>
          <w:szCs w:val="21"/>
        </w:rPr>
        <w:t>以及可</w:t>
      </w:r>
      <w:r>
        <w:rPr>
          <w:rFonts w:ascii="Times New Roman" w:hAnsi="Times New Roman"/>
          <w:kern w:val="2"/>
          <w:szCs w:val="21"/>
        </w:rPr>
        <w:t>在有关成员国投入使用。</w:t>
      </w:r>
    </w:p>
    <w:p w14:paraId="452CC989">
      <w:pPr>
        <w:pStyle w:val="32"/>
        <w:topLinePunct/>
        <w:snapToGrid w:val="0"/>
        <w:spacing w:beforeLines="15" w:line="300" w:lineRule="auto"/>
        <w:ind w:left="573" w:hanging="573" w:hangingChars="273"/>
        <w:jc w:val="both"/>
        <w:rPr>
          <w:rFonts w:ascii="Times New Roman" w:hAnsi="Times New Roman"/>
          <w:kern w:val="2"/>
          <w:szCs w:val="21"/>
        </w:rPr>
      </w:pPr>
      <w:r>
        <w:rPr>
          <w:rFonts w:ascii="Times New Roman" w:hAnsi="Times New Roman"/>
          <w:kern w:val="2"/>
          <w:szCs w:val="21"/>
        </w:rPr>
        <w:t>11.</w:t>
      </w:r>
      <w:r>
        <w:rPr>
          <w:rFonts w:ascii="Times New Roman" w:hAnsi="Times New Roman"/>
          <w:kern w:val="2"/>
          <w:szCs w:val="21"/>
        </w:rPr>
        <w:tab/>
      </w:r>
      <w:r>
        <w:rPr>
          <w:rFonts w:ascii="Times New Roman" w:hAnsi="Times New Roman"/>
          <w:kern w:val="2"/>
          <w:szCs w:val="21"/>
        </w:rPr>
        <w:t>根据第90/385/EEC号指令第10条或第93/42/EEC号指令第15条在</w:t>
      </w:r>
      <w:r>
        <w:rPr>
          <w:rFonts w:hint="eastAsia" w:ascii="Times New Roman" w:hAnsi="Times New Roman"/>
          <w:kern w:val="2"/>
          <w:szCs w:val="21"/>
        </w:rPr>
        <w:t>2020年5月26日</w:t>
      </w:r>
      <w:r>
        <w:rPr>
          <w:rFonts w:ascii="Times New Roman" w:hAnsi="Times New Roman"/>
          <w:kern w:val="2"/>
          <w:szCs w:val="21"/>
        </w:rPr>
        <w:t>前已开始执行的临床研究可继续进行。但自</w:t>
      </w:r>
      <w:r>
        <w:rPr>
          <w:rFonts w:hint="eastAsia" w:ascii="Times New Roman" w:hAnsi="Times New Roman"/>
          <w:kern w:val="2"/>
          <w:szCs w:val="21"/>
        </w:rPr>
        <w:t>2020年5月26日</w:t>
      </w:r>
      <w:r>
        <w:rPr>
          <w:rFonts w:ascii="Times New Roman" w:hAnsi="Times New Roman"/>
          <w:kern w:val="2"/>
          <w:szCs w:val="21"/>
        </w:rPr>
        <w:t>起，应根据本法规</w:t>
      </w:r>
      <w:r>
        <w:rPr>
          <w:rFonts w:hint="eastAsia" w:ascii="Times New Roman" w:hAnsi="Times New Roman"/>
          <w:kern w:val="2"/>
          <w:szCs w:val="21"/>
        </w:rPr>
        <w:t>进行</w:t>
      </w:r>
      <w:r>
        <w:rPr>
          <w:rFonts w:ascii="Times New Roman" w:hAnsi="Times New Roman"/>
          <w:kern w:val="2"/>
          <w:szCs w:val="21"/>
        </w:rPr>
        <w:t>严重不良事件和器械缺陷的报告。</w:t>
      </w:r>
    </w:p>
    <w:p w14:paraId="307D8A1A">
      <w:pPr>
        <w:pStyle w:val="32"/>
        <w:topLinePunct/>
        <w:snapToGrid w:val="0"/>
        <w:spacing w:beforeLines="15" w:line="300" w:lineRule="auto"/>
        <w:ind w:left="573" w:hanging="573" w:hangingChars="273"/>
        <w:jc w:val="both"/>
        <w:rPr>
          <w:rFonts w:ascii="Times New Roman" w:hAnsi="Times New Roman"/>
          <w:kern w:val="2"/>
          <w:szCs w:val="21"/>
        </w:rPr>
      </w:pPr>
      <w:r>
        <w:rPr>
          <w:rFonts w:ascii="Times New Roman" w:hAnsi="Times New Roman"/>
          <w:kern w:val="2"/>
          <w:szCs w:val="21"/>
          <w:lang w:val="en-US"/>
        </w:rPr>
        <w:t>12.</w:t>
      </w:r>
      <w:r>
        <w:rPr>
          <w:rFonts w:ascii="Times New Roman" w:hAnsi="Times New Roman"/>
          <w:kern w:val="2"/>
          <w:szCs w:val="21"/>
          <w:lang w:val="en-US"/>
        </w:rPr>
        <w:tab/>
      </w:r>
      <w:r>
        <w:rPr>
          <w:rFonts w:ascii="Times New Roman" w:hAnsi="Times New Roman"/>
          <w:kern w:val="2"/>
          <w:szCs w:val="21"/>
        </w:rPr>
        <w:t>在委员会根据第27(2)条指定发行实体前，GS1、HIBCC和ICCBBA应被视为指定的发行实体。</w:t>
      </w:r>
    </w:p>
    <w:p w14:paraId="66B67B6A">
      <w:pPr>
        <w:pStyle w:val="8"/>
        <w:topLinePunct/>
        <w:snapToGrid w:val="0"/>
        <w:spacing w:beforeLines="15" w:line="300" w:lineRule="auto"/>
        <w:ind w:left="113" w:firstLine="0"/>
        <w:jc w:val="center"/>
        <w:rPr>
          <w:i/>
          <w:kern w:val="2"/>
          <w:szCs w:val="21"/>
        </w:rPr>
      </w:pPr>
      <w:r>
        <w:rPr>
          <w:i/>
          <w:kern w:val="2"/>
          <w:szCs w:val="21"/>
        </w:rPr>
        <w:t>第121条</w:t>
      </w:r>
    </w:p>
    <w:p w14:paraId="623BB92A">
      <w:pPr>
        <w:pStyle w:val="8"/>
        <w:topLinePunct/>
        <w:snapToGrid w:val="0"/>
        <w:spacing w:beforeLines="15" w:line="300" w:lineRule="auto"/>
        <w:ind w:left="113" w:firstLine="0"/>
        <w:jc w:val="center"/>
        <w:rPr>
          <w:b/>
          <w:kern w:val="2"/>
          <w:szCs w:val="21"/>
        </w:rPr>
      </w:pPr>
      <w:r>
        <w:rPr>
          <w:b/>
          <w:kern w:val="2"/>
          <w:szCs w:val="21"/>
        </w:rPr>
        <w:t>评估</w:t>
      </w:r>
    </w:p>
    <w:p w14:paraId="55E13BAD">
      <w:pPr>
        <w:pStyle w:val="8"/>
        <w:topLinePunct/>
        <w:snapToGrid w:val="0"/>
        <w:spacing w:beforeLines="15" w:line="300" w:lineRule="auto"/>
        <w:ind w:left="113" w:firstLine="0"/>
        <w:jc w:val="both"/>
        <w:rPr>
          <w:kern w:val="2"/>
          <w:szCs w:val="21"/>
        </w:rPr>
      </w:pPr>
      <w:r>
        <w:rPr>
          <w:kern w:val="2"/>
          <w:szCs w:val="21"/>
        </w:rPr>
        <w:t>在</w:t>
      </w:r>
      <w:r>
        <w:rPr>
          <w:rFonts w:hint="eastAsia"/>
          <w:kern w:val="2"/>
          <w:szCs w:val="21"/>
        </w:rPr>
        <w:t>2027年5月27日之前</w:t>
      </w:r>
      <w:r>
        <w:rPr>
          <w:kern w:val="2"/>
          <w:szCs w:val="21"/>
        </w:rPr>
        <w:t>，委员会应评估本法规的应用，并就实现法规目标的进展制定评估报告，包括实施本法规所需的资源评估。依据第27条，经济运营商、健康机构和健康专家应特别注意通过UDI对存储的器械进行追溯。</w:t>
      </w:r>
    </w:p>
    <w:p w14:paraId="2BECED4A">
      <w:pPr>
        <w:snapToGrid w:val="0"/>
        <w:spacing w:beforeLines="15" w:line="300" w:lineRule="auto"/>
        <w:rPr>
          <w:rFonts w:ascii="Times New Roman" w:hAnsi="Times New Roman"/>
          <w:kern w:val="2"/>
          <w:szCs w:val="21"/>
        </w:rPr>
      </w:pPr>
    </w:p>
    <w:p w14:paraId="4EB6FBAB">
      <w:pPr>
        <w:pStyle w:val="8"/>
        <w:topLinePunct/>
        <w:snapToGrid w:val="0"/>
        <w:spacing w:beforeLines="15" w:line="300" w:lineRule="auto"/>
        <w:ind w:left="113" w:firstLine="0"/>
        <w:jc w:val="center"/>
        <w:rPr>
          <w:i/>
          <w:kern w:val="2"/>
          <w:szCs w:val="21"/>
        </w:rPr>
      </w:pPr>
      <w:r>
        <w:rPr>
          <w:i/>
          <w:kern w:val="2"/>
          <w:szCs w:val="21"/>
        </w:rPr>
        <w:t>第122条</w:t>
      </w:r>
    </w:p>
    <w:p w14:paraId="799C5A67">
      <w:pPr>
        <w:pStyle w:val="8"/>
        <w:topLinePunct/>
        <w:snapToGrid w:val="0"/>
        <w:spacing w:beforeLines="15" w:line="300" w:lineRule="auto"/>
        <w:ind w:left="113" w:firstLine="0"/>
        <w:jc w:val="center"/>
        <w:rPr>
          <w:b/>
          <w:kern w:val="2"/>
          <w:szCs w:val="21"/>
        </w:rPr>
      </w:pPr>
      <w:r>
        <w:rPr>
          <w:b/>
          <w:kern w:val="2"/>
          <w:szCs w:val="21"/>
        </w:rPr>
        <w:t>废除</w:t>
      </w:r>
    </w:p>
    <w:p w14:paraId="390F0555">
      <w:pPr>
        <w:snapToGrid w:val="0"/>
        <w:spacing w:beforeLines="15" w:line="300" w:lineRule="auto"/>
        <w:ind w:left="114"/>
        <w:rPr>
          <w:rFonts w:ascii="Times New Roman" w:hAnsi="Times New Roman"/>
          <w:kern w:val="2"/>
          <w:szCs w:val="21"/>
        </w:rPr>
      </w:pPr>
      <w:r>
        <w:rPr>
          <w:rFonts w:ascii="Times New Roman" w:hAnsi="Times New Roman"/>
          <w:kern w:val="2"/>
          <w:szCs w:val="21"/>
        </w:rPr>
        <w:t>在不影响本法规第120（3）和（4）条规定以及在不影响成员国和制造商的警惕义务方面以及制造商在提供文件方面义务的情况下，</w:t>
      </w:r>
      <w:r>
        <w:rPr>
          <w:rFonts w:hint="eastAsia" w:ascii="Times New Roman" w:hAnsi="Times New Roman"/>
          <w:kern w:val="2"/>
          <w:szCs w:val="21"/>
        </w:rPr>
        <w:t>自2020年5月26日</w:t>
      </w:r>
      <w:r>
        <w:rPr>
          <w:rFonts w:ascii="Times New Roman" w:hAnsi="Times New Roman"/>
          <w:kern w:val="2"/>
          <w:szCs w:val="21"/>
        </w:rPr>
        <w:t>起，废除</w:t>
      </w:r>
      <w:r>
        <w:rPr>
          <w:rFonts w:hint="eastAsia" w:ascii="Times New Roman" w:hAnsi="Times New Roman"/>
          <w:kern w:val="2"/>
          <w:szCs w:val="21"/>
        </w:rPr>
        <w:t>理事会</w:t>
      </w:r>
      <w:r>
        <w:rPr>
          <w:rFonts w:ascii="Times New Roman" w:hAnsi="Times New Roman"/>
          <w:kern w:val="2"/>
          <w:szCs w:val="21"/>
        </w:rPr>
        <w:t>第90/385/EEC和93/42/EEC号指令，例外情况为</w:t>
      </w:r>
    </w:p>
    <w:p w14:paraId="49B4B51F">
      <w:pPr>
        <w:pStyle w:val="32"/>
        <w:numPr>
          <w:ilvl w:val="0"/>
          <w:numId w:val="114"/>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在本法规第123(3)条（d）点所述的两个日期之后（以较晚的为准），废除第90/385/EEC号指令的第8条、第10条、第10b（1）条的第（b）和（c）点、第10b（2）条和第10b（3）条，以及相应附录中规定与警惕和临床研究有关的义务。</w:t>
      </w:r>
    </w:p>
    <w:p w14:paraId="29CEA775">
      <w:pPr>
        <w:pStyle w:val="32"/>
        <w:numPr>
          <w:ilvl w:val="0"/>
          <w:numId w:val="114"/>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自本法规第123(3)条（d）点条所述两个日期中较晚日期后18个月起，废除第90/385/EEC号指令第10a条和第10b(1)条（a）点，以及与器械和经济运营商注册有关的义务及相应附录中规定的证书通知。</w:t>
      </w:r>
    </w:p>
    <w:p w14:paraId="78E5AF17">
      <w:pPr>
        <w:pStyle w:val="32"/>
        <w:numPr>
          <w:ilvl w:val="0"/>
          <w:numId w:val="114"/>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kern w:val="2"/>
          <w:szCs w:val="21"/>
        </w:rPr>
        <w:t>自本法规第123(3)条（d）点所述的两个日期之后（以较晚的为准），废除第93/42/EEC号指令第10条、第14a(1)条第(c)和(d)点、第14a(2)条、第14a(3)条以及第15条自第97(2)条和第97(3)(ba)条，以及相应附录中规定与警惕和临床研究有关的义务。</w:t>
      </w:r>
    </w:p>
    <w:p w14:paraId="1170BC5C">
      <w:pPr>
        <w:pStyle w:val="32"/>
        <w:numPr>
          <w:ilvl w:val="0"/>
          <w:numId w:val="11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自本法规第123(3)条（d）点条所述两个日期中较晚日期后18个月起，废除第93/42/EEC号指令第14(1)和(2)条以及第14a(1)条第(a)和(b)点自第97(2)条和第97(3)(ba)条，以及与器械和经济运营商注册有关的义务及相应附录中规定的证书通知。</w:t>
      </w:r>
    </w:p>
    <w:p w14:paraId="69571FD2">
      <w:pPr>
        <w:pStyle w:val="32"/>
        <w:tabs>
          <w:tab w:val="left" w:pos="682"/>
        </w:tabs>
        <w:topLinePunct/>
        <w:snapToGrid w:val="0"/>
        <w:spacing w:beforeLines="25" w:line="300" w:lineRule="auto"/>
        <w:ind w:left="114"/>
        <w:jc w:val="both"/>
        <w:rPr>
          <w:rFonts w:ascii="Times New Roman" w:hAnsi="Times New Roman"/>
          <w:kern w:val="2"/>
          <w:szCs w:val="21"/>
        </w:rPr>
      </w:pPr>
      <w:r>
        <w:rPr>
          <w:rFonts w:ascii="Times New Roman" w:hAnsi="Times New Roman"/>
          <w:kern w:val="2"/>
          <w:szCs w:val="21"/>
        </w:rPr>
        <w:t>关于本法规第120（3）和（4）条所述的器械，第一段所述的指令应继续适用，直至</w:t>
      </w:r>
      <w:r>
        <w:rPr>
          <w:rFonts w:hint="eastAsia" w:ascii="Times New Roman" w:hAnsi="Times New Roman"/>
          <w:kern w:val="2"/>
          <w:szCs w:val="21"/>
        </w:rPr>
        <w:t>2025年5月26日</w:t>
      </w:r>
      <w:r>
        <w:rPr>
          <w:rFonts w:ascii="Times New Roman" w:hAnsi="Times New Roman"/>
          <w:kern w:val="2"/>
          <w:szCs w:val="21"/>
        </w:rPr>
        <w:t>适用于这些段落规定。</w:t>
      </w:r>
    </w:p>
    <w:p w14:paraId="713DEB54">
      <w:pPr>
        <w:pStyle w:val="32"/>
        <w:tabs>
          <w:tab w:val="left" w:pos="682"/>
        </w:tabs>
        <w:topLinePunct/>
        <w:snapToGrid w:val="0"/>
        <w:spacing w:beforeLines="25" w:line="300" w:lineRule="auto"/>
        <w:ind w:left="114"/>
        <w:jc w:val="both"/>
        <w:rPr>
          <w:rFonts w:ascii="Times New Roman" w:hAnsi="Times New Roman"/>
          <w:kern w:val="2"/>
          <w:szCs w:val="21"/>
        </w:rPr>
      </w:pPr>
      <w:r>
        <w:rPr>
          <w:rFonts w:ascii="Times New Roman" w:hAnsi="Times New Roman"/>
          <w:kern w:val="2"/>
          <w:szCs w:val="21"/>
        </w:rPr>
        <w:t>尽管有第一段规定，第207/2012号法规和第722/2012号法规仍生效，并继续适用，除非并直至委员会根据本法规通过的实施细则废除。</w:t>
      </w:r>
    </w:p>
    <w:p w14:paraId="19B63BF4">
      <w:pPr>
        <w:pStyle w:val="8"/>
        <w:topLinePunct/>
        <w:snapToGrid w:val="0"/>
        <w:spacing w:beforeLines="25" w:line="300" w:lineRule="auto"/>
        <w:ind w:left="113" w:firstLine="0"/>
        <w:jc w:val="both"/>
        <w:rPr>
          <w:kern w:val="2"/>
          <w:szCs w:val="21"/>
        </w:rPr>
      </w:pPr>
      <w:r>
        <w:rPr>
          <w:kern w:val="2"/>
          <w:szCs w:val="21"/>
        </w:rPr>
        <w:t>应将废除的指令理解为对本法规的引用，并应按照本法规附录XVII中规定的对比表格进行阅读。</w:t>
      </w:r>
    </w:p>
    <w:p w14:paraId="171F4D68">
      <w:pPr>
        <w:snapToGrid w:val="0"/>
        <w:spacing w:beforeLines="25" w:line="300" w:lineRule="auto"/>
        <w:ind w:left="196"/>
        <w:jc w:val="center"/>
        <w:rPr>
          <w:rFonts w:ascii="Times New Roman" w:hAnsi="Times New Roman"/>
          <w:i/>
          <w:kern w:val="2"/>
          <w:szCs w:val="21"/>
        </w:rPr>
      </w:pPr>
    </w:p>
    <w:p w14:paraId="7B91ECAA">
      <w:pPr>
        <w:snapToGrid w:val="0"/>
        <w:spacing w:beforeLines="25" w:line="300" w:lineRule="auto"/>
        <w:ind w:left="196"/>
        <w:jc w:val="center"/>
        <w:rPr>
          <w:rStyle w:val="48"/>
          <w:b/>
          <w:szCs w:val="21"/>
        </w:rPr>
      </w:pPr>
      <w:r>
        <w:rPr>
          <w:rFonts w:ascii="Times New Roman" w:hAnsi="Times New Roman"/>
          <w:i/>
          <w:kern w:val="2"/>
          <w:szCs w:val="21"/>
        </w:rPr>
        <w:t>第123条</w:t>
      </w:r>
    </w:p>
    <w:p w14:paraId="79460321">
      <w:pPr>
        <w:snapToGrid w:val="0"/>
        <w:spacing w:beforeLines="25" w:line="300" w:lineRule="auto"/>
        <w:ind w:left="195"/>
        <w:jc w:val="center"/>
        <w:rPr>
          <w:rStyle w:val="48"/>
          <w:b/>
          <w:szCs w:val="21"/>
        </w:rPr>
      </w:pPr>
      <w:r>
        <w:rPr>
          <w:rFonts w:ascii="Times New Roman" w:hAnsi="Times New Roman"/>
          <w:b/>
          <w:kern w:val="2"/>
          <w:szCs w:val="21"/>
        </w:rPr>
        <w:t>生效与应用日期</w:t>
      </w:r>
    </w:p>
    <w:p w14:paraId="4722A10F">
      <w:pPr>
        <w:pStyle w:val="32"/>
        <w:numPr>
          <w:ilvl w:val="0"/>
          <w:numId w:val="11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本法规应在《欧盟官方公报》上公布后第20天生效。</w:t>
      </w:r>
    </w:p>
    <w:p w14:paraId="71F081D5">
      <w:pPr>
        <w:pStyle w:val="32"/>
        <w:numPr>
          <w:ilvl w:val="0"/>
          <w:numId w:val="11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自</w:t>
      </w:r>
      <w:r>
        <w:rPr>
          <w:rFonts w:hint="eastAsia" w:ascii="Times New Roman" w:hAnsi="Times New Roman"/>
          <w:kern w:val="2"/>
          <w:szCs w:val="21"/>
        </w:rPr>
        <w:t>2020年5月26日</w:t>
      </w:r>
      <w:r>
        <w:rPr>
          <w:rFonts w:ascii="Times New Roman" w:hAnsi="Times New Roman"/>
          <w:kern w:val="2"/>
          <w:szCs w:val="21"/>
        </w:rPr>
        <w:t>起适用。</w:t>
      </w:r>
    </w:p>
    <w:p w14:paraId="694F6C3A">
      <w:pPr>
        <w:pStyle w:val="32"/>
        <w:numPr>
          <w:ilvl w:val="0"/>
          <w:numId w:val="11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通过豁免第2段规定：</w:t>
      </w:r>
    </w:p>
    <w:p w14:paraId="02656F72">
      <w:pPr>
        <w:pStyle w:val="32"/>
        <w:numPr>
          <w:ilvl w:val="0"/>
          <w:numId w:val="116"/>
        </w:numPr>
        <w:topLinePunct/>
        <w:snapToGrid w:val="0"/>
        <w:spacing w:beforeLines="25" w:line="300" w:lineRule="auto"/>
        <w:ind w:left="1173" w:hanging="544"/>
        <w:jc w:val="both"/>
        <w:rPr>
          <w:rFonts w:ascii="Times New Roman" w:hAnsi="Times New Roman"/>
          <w:kern w:val="2"/>
          <w:szCs w:val="21"/>
        </w:rPr>
      </w:pPr>
      <w:r>
        <w:rPr>
          <w:rFonts w:ascii="Times New Roman" w:hAnsi="Times New Roman"/>
          <w:kern w:val="2"/>
          <w:szCs w:val="21"/>
        </w:rPr>
        <w:t>第35条至第50条自</w:t>
      </w:r>
      <w:r>
        <w:rPr>
          <w:rFonts w:hint="eastAsia" w:ascii="Times New Roman" w:hAnsi="Times New Roman"/>
          <w:kern w:val="2"/>
          <w:szCs w:val="21"/>
        </w:rPr>
        <w:t>2017年11月26日</w:t>
      </w:r>
      <w:r>
        <w:rPr>
          <w:rFonts w:ascii="Times New Roman" w:hAnsi="Times New Roman"/>
          <w:kern w:val="2"/>
          <w:szCs w:val="21"/>
        </w:rPr>
        <w:t>起适用。但是，在</w:t>
      </w:r>
      <w:r>
        <w:rPr>
          <w:rFonts w:hint="eastAsia" w:ascii="Times New Roman" w:hAnsi="Times New Roman"/>
          <w:kern w:val="2"/>
          <w:szCs w:val="21"/>
        </w:rPr>
        <w:t>2020年5月26日</w:t>
      </w:r>
      <w:r>
        <w:rPr>
          <w:rFonts w:ascii="Times New Roman" w:hAnsi="Times New Roman"/>
          <w:kern w:val="2"/>
          <w:szCs w:val="21"/>
        </w:rPr>
        <w:t>前，根据第35至50条规定所产生的公告机构义务应仅适用于根据第38条提交申请的机构；本法规</w:t>
      </w:r>
    </w:p>
    <w:p w14:paraId="152991B6">
      <w:pPr>
        <w:pStyle w:val="32"/>
        <w:numPr>
          <w:ilvl w:val="0"/>
          <w:numId w:val="116"/>
        </w:numPr>
        <w:topLinePunct/>
        <w:snapToGrid w:val="0"/>
        <w:spacing w:beforeLines="25" w:line="300" w:lineRule="auto"/>
        <w:ind w:left="1173" w:hanging="544"/>
        <w:jc w:val="both"/>
        <w:rPr>
          <w:rFonts w:ascii="Times New Roman" w:hAnsi="Times New Roman"/>
          <w:kern w:val="2"/>
          <w:szCs w:val="21"/>
        </w:rPr>
      </w:pPr>
      <w:r>
        <w:rPr>
          <w:rFonts w:ascii="Times New Roman" w:hAnsi="Times New Roman"/>
          <w:kern w:val="2"/>
          <w:szCs w:val="21"/>
        </w:rPr>
        <w:t>第101条和第103条自</w:t>
      </w:r>
      <w:r>
        <w:rPr>
          <w:rFonts w:hint="eastAsia" w:ascii="Times New Roman" w:hAnsi="Times New Roman"/>
          <w:kern w:val="2"/>
          <w:szCs w:val="21"/>
        </w:rPr>
        <w:t>2017年11月26日</w:t>
      </w:r>
      <w:r>
        <w:rPr>
          <w:rFonts w:ascii="Times New Roman" w:hAnsi="Times New Roman"/>
          <w:kern w:val="2"/>
          <w:szCs w:val="21"/>
        </w:rPr>
        <w:t>起适用。</w:t>
      </w:r>
    </w:p>
    <w:p w14:paraId="7906CA31">
      <w:pPr>
        <w:pStyle w:val="32"/>
        <w:numPr>
          <w:ilvl w:val="0"/>
          <w:numId w:val="116"/>
        </w:numPr>
        <w:topLinePunct/>
        <w:snapToGrid w:val="0"/>
        <w:spacing w:beforeLines="25" w:line="300" w:lineRule="auto"/>
        <w:ind w:left="1173" w:hanging="544"/>
        <w:jc w:val="both"/>
        <w:rPr>
          <w:rFonts w:ascii="Times New Roman" w:hAnsi="Times New Roman"/>
          <w:kern w:val="2"/>
          <w:szCs w:val="21"/>
        </w:rPr>
      </w:pPr>
      <w:r>
        <w:rPr>
          <w:rFonts w:ascii="Times New Roman" w:hAnsi="Times New Roman"/>
          <w:kern w:val="2"/>
          <w:szCs w:val="21"/>
        </w:rPr>
        <w:t>第102条自</w:t>
      </w:r>
      <w:r>
        <w:rPr>
          <w:rFonts w:hint="eastAsia" w:ascii="Times New Roman" w:hAnsi="Times New Roman"/>
          <w:kern w:val="2"/>
          <w:szCs w:val="21"/>
        </w:rPr>
        <w:t>2018年5月26日</w:t>
      </w:r>
      <w:r>
        <w:rPr>
          <w:rFonts w:ascii="Times New Roman" w:hAnsi="Times New Roman"/>
          <w:kern w:val="2"/>
          <w:szCs w:val="21"/>
        </w:rPr>
        <w:t>起适用；</w:t>
      </w:r>
    </w:p>
    <w:p w14:paraId="132C87F5">
      <w:pPr>
        <w:pStyle w:val="32"/>
        <w:numPr>
          <w:ilvl w:val="0"/>
          <w:numId w:val="116"/>
        </w:numPr>
        <w:topLinePunct/>
        <w:snapToGrid w:val="0"/>
        <w:spacing w:beforeLines="25" w:line="300" w:lineRule="auto"/>
        <w:ind w:left="1173" w:hanging="544"/>
        <w:jc w:val="both"/>
        <w:rPr>
          <w:rFonts w:ascii="Times New Roman" w:hAnsi="Times New Roman"/>
          <w:kern w:val="2"/>
          <w:szCs w:val="21"/>
        </w:rPr>
      </w:pPr>
      <w:r>
        <w:rPr>
          <w:rFonts w:ascii="Times New Roman" w:hAnsi="Times New Roman"/>
          <w:kern w:val="2"/>
          <w:szCs w:val="21"/>
        </w:rPr>
        <w:t>在不影响委员会根据第34条承担的义务情况下，由于在起草第34（1）条所述计划时无法合理预见的情况，Eudamed在</w:t>
      </w:r>
      <w:r>
        <w:rPr>
          <w:rFonts w:hint="eastAsia" w:ascii="Times New Roman" w:hAnsi="Times New Roman"/>
          <w:kern w:val="2"/>
          <w:szCs w:val="21"/>
        </w:rPr>
        <w:t>2020年5月26日</w:t>
      </w:r>
      <w:r>
        <w:rPr>
          <w:rFonts w:ascii="Times New Roman" w:hAnsi="Times New Roman"/>
          <w:kern w:val="2"/>
          <w:szCs w:val="21"/>
        </w:rPr>
        <w:t>，与Eudamed有关的义务和要求应适用于第34（3）条所述通知发布之日起六个月后的日期。上述句子所述的规定为：</w:t>
      </w:r>
    </w:p>
    <w:p w14:paraId="58599340">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第29条，</w:t>
      </w:r>
    </w:p>
    <w:p w14:paraId="1A213525">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第31条，</w:t>
      </w:r>
    </w:p>
    <w:p w14:paraId="67EB65FC">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第32条，</w:t>
      </w:r>
    </w:p>
    <w:p w14:paraId="144D4325">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第33(4)条，</w:t>
      </w:r>
    </w:p>
    <w:p w14:paraId="6E6128DA">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第40(2)条第二段，</w:t>
      </w:r>
    </w:p>
    <w:p w14:paraId="3BBF11B3">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第42(10)条，</w:t>
      </w:r>
    </w:p>
    <w:p w14:paraId="65B4F596">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第43(2)条，</w:t>
      </w:r>
    </w:p>
    <w:p w14:paraId="68B109DA">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第44(12)条第二子段，</w:t>
      </w:r>
    </w:p>
    <w:p w14:paraId="2387F31E">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第46(7)条(e)和(d)点，</w:t>
      </w:r>
    </w:p>
    <w:p w14:paraId="6C752FE2">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第53(2)条，</w:t>
      </w:r>
    </w:p>
    <w:p w14:paraId="1B155465">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第54(3)条，</w:t>
      </w:r>
    </w:p>
    <w:p w14:paraId="6DB0DD54">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第70至77条，</w:t>
      </w:r>
    </w:p>
    <w:p w14:paraId="3014A9CF">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第78条第1至13段，</w:t>
      </w:r>
    </w:p>
    <w:p w14:paraId="58E2CA7D">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第79至82条，</w:t>
      </w:r>
    </w:p>
    <w:p w14:paraId="6552DBBD">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第86(2)条，</w:t>
      </w:r>
    </w:p>
    <w:p w14:paraId="1B6B023E">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第87和88条，</w:t>
      </w:r>
    </w:p>
    <w:p w14:paraId="18E030B5">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第89(5)和(7)条以及第89(8)第三子段，</w:t>
      </w:r>
    </w:p>
    <w:p w14:paraId="07A9A7BE">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第90条，</w:t>
      </w:r>
    </w:p>
    <w:p w14:paraId="0B669018">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第93(4)、(7)和(8)条，</w:t>
      </w:r>
    </w:p>
    <w:p w14:paraId="1A796A64">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第95(2)和(4)条，</w:t>
      </w:r>
    </w:p>
    <w:p w14:paraId="4C0E1407">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第97(2)最后一段，</w:t>
      </w:r>
    </w:p>
    <w:p w14:paraId="025938D5">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第99 (4)条，</w:t>
      </w:r>
    </w:p>
    <w:p w14:paraId="41AEACAC">
      <w:pPr>
        <w:pStyle w:val="8"/>
        <w:numPr>
          <w:ilvl w:val="0"/>
          <w:numId w:val="117"/>
        </w:numPr>
        <w:tabs>
          <w:tab w:val="left" w:pos="1512"/>
        </w:tabs>
        <w:topLinePunct/>
        <w:snapToGrid w:val="0"/>
        <w:spacing w:beforeLines="25" w:line="300" w:lineRule="auto"/>
        <w:ind w:left="1542" w:hanging="380"/>
        <w:jc w:val="both"/>
        <w:rPr>
          <w:kern w:val="2"/>
          <w:szCs w:val="21"/>
        </w:rPr>
      </w:pPr>
      <w:r>
        <w:rPr>
          <w:kern w:val="2"/>
          <w:szCs w:val="21"/>
        </w:rPr>
        <w:t>第120(3)第一子段第二句，</w:t>
      </w:r>
    </w:p>
    <w:p w14:paraId="3882A120">
      <w:pPr>
        <w:pStyle w:val="8"/>
        <w:topLinePunct/>
        <w:snapToGrid w:val="0"/>
        <w:spacing w:beforeLines="25" w:line="300" w:lineRule="auto"/>
        <w:ind w:left="1100" w:leftChars="524" w:firstLine="0"/>
        <w:jc w:val="both"/>
        <w:rPr>
          <w:kern w:val="2"/>
          <w:szCs w:val="21"/>
        </w:rPr>
      </w:pPr>
      <w:r>
        <w:rPr>
          <w:kern w:val="2"/>
          <w:szCs w:val="21"/>
        </w:rPr>
        <w:t>在Eudamed全面运作之前，第90/385/EEC号指令和第93/42/EEC号指令的相应规定将继续适用于履行本点第一段关于信息交换条款中规定的义务，包括，特别是关于警戒报告、临床研究、器械和经济运营商的注册以及证书通知的信息。</w:t>
      </w:r>
    </w:p>
    <w:p w14:paraId="49AA5584">
      <w:pPr>
        <w:pStyle w:val="8"/>
        <w:numPr>
          <w:ilvl w:val="0"/>
          <w:numId w:val="118"/>
        </w:numPr>
        <w:topLinePunct/>
        <w:snapToGrid w:val="0"/>
        <w:spacing w:beforeLines="25" w:line="300" w:lineRule="auto"/>
        <w:jc w:val="both"/>
        <w:rPr>
          <w:kern w:val="2"/>
          <w:szCs w:val="21"/>
        </w:rPr>
      </w:pPr>
      <w:bookmarkStart w:id="142" w:name="(bb)_Article_24(3),_Article_24b,_Article"/>
      <w:bookmarkEnd w:id="142"/>
      <w:r>
        <w:rPr>
          <w:kern w:val="2"/>
          <w:szCs w:val="21"/>
        </w:rPr>
        <w:t>第29(4) 和第56(5)条条应自第（d）点所述日期起18个月后适用；</w:t>
      </w:r>
    </w:p>
    <w:p w14:paraId="7DEBCF03">
      <w:pPr>
        <w:pStyle w:val="32"/>
        <w:numPr>
          <w:ilvl w:val="0"/>
          <w:numId w:val="118"/>
        </w:numPr>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对于可植入器械和III类器械，第27(4)条应</w:t>
      </w:r>
      <w:r>
        <w:rPr>
          <w:rFonts w:hint="eastAsia" w:ascii="Times New Roman" w:hAnsi="Times New Roman"/>
          <w:kern w:val="2"/>
          <w:szCs w:val="21"/>
        </w:rPr>
        <w:t>自2021年5月26日起</w:t>
      </w:r>
      <w:r>
        <w:rPr>
          <w:rFonts w:ascii="Times New Roman" w:hAnsi="Times New Roman"/>
          <w:kern w:val="2"/>
          <w:szCs w:val="21"/>
        </w:rPr>
        <w:t>适用。对于IIa和IIb类器械，第27(4)条应</w:t>
      </w:r>
      <w:r>
        <w:rPr>
          <w:rFonts w:hint="eastAsia" w:ascii="Times New Roman" w:hAnsi="Times New Roman"/>
          <w:kern w:val="2"/>
          <w:szCs w:val="21"/>
        </w:rPr>
        <w:t>自2023年5月26日起</w:t>
      </w:r>
      <w:r>
        <w:rPr>
          <w:rFonts w:ascii="Times New Roman" w:hAnsi="Times New Roman"/>
          <w:kern w:val="2"/>
          <w:szCs w:val="21"/>
        </w:rPr>
        <w:t>适用。对于I类器械，第274(4)条应</w:t>
      </w:r>
      <w:r>
        <w:rPr>
          <w:rFonts w:hint="eastAsia" w:ascii="Times New Roman" w:hAnsi="Times New Roman"/>
          <w:kern w:val="2"/>
          <w:szCs w:val="21"/>
        </w:rPr>
        <w:t>自2025年5月26日起</w:t>
      </w:r>
      <w:r>
        <w:rPr>
          <w:rFonts w:ascii="Times New Roman" w:hAnsi="Times New Roman"/>
          <w:kern w:val="2"/>
          <w:szCs w:val="21"/>
        </w:rPr>
        <w:t>适用；</w:t>
      </w:r>
      <w:bookmarkStart w:id="143" w:name="(ca)_For_reusable_devices_that_shall_bea"/>
      <w:bookmarkEnd w:id="143"/>
    </w:p>
    <w:p w14:paraId="4D128A5F">
      <w:pPr>
        <w:pStyle w:val="32"/>
        <w:numPr>
          <w:ilvl w:val="0"/>
          <w:numId w:val="118"/>
        </w:numPr>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对于在器械本身带有UDI载体的可重复使用器械，第27(4)条应于该点规定相关类别器械段落(f)点所述之日起两年后适用；</w:t>
      </w:r>
      <w:bookmarkStart w:id="144" w:name="(d)_The_procedure_set_out_in_Article_58_"/>
      <w:bookmarkEnd w:id="144"/>
    </w:p>
    <w:p w14:paraId="2FA6DDB7">
      <w:pPr>
        <w:pStyle w:val="32"/>
        <w:numPr>
          <w:ilvl w:val="0"/>
          <w:numId w:val="118"/>
        </w:numPr>
        <w:topLinePunct/>
        <w:snapToGrid w:val="0"/>
        <w:spacing w:beforeLines="25" w:line="300" w:lineRule="auto"/>
        <w:jc w:val="both"/>
        <w:rPr>
          <w:rFonts w:ascii="Times New Roman" w:hAnsi="Times New Roman"/>
          <w:kern w:val="2"/>
          <w:szCs w:val="21"/>
        </w:rPr>
      </w:pPr>
      <w:r>
        <w:rPr>
          <w:rFonts w:ascii="Times New Roman" w:hAnsi="Times New Roman"/>
          <w:kern w:val="2"/>
          <w:szCs w:val="21"/>
        </w:rPr>
        <w:t>第78条规定程序应</w:t>
      </w:r>
      <w:r>
        <w:rPr>
          <w:rFonts w:hint="eastAsia" w:ascii="Times New Roman" w:hAnsi="Times New Roman"/>
          <w:kern w:val="2"/>
          <w:szCs w:val="21"/>
        </w:rPr>
        <w:t>自2027年5月26日起</w:t>
      </w:r>
      <w:r>
        <w:rPr>
          <w:rFonts w:ascii="Times New Roman" w:hAnsi="Times New Roman"/>
          <w:kern w:val="2"/>
          <w:szCs w:val="21"/>
        </w:rPr>
        <w:t>适用，但不影响第78（14）；</w:t>
      </w:r>
    </w:p>
    <w:p w14:paraId="66955B8C">
      <w:pPr>
        <w:pStyle w:val="32"/>
        <w:numPr>
          <w:ilvl w:val="0"/>
          <w:numId w:val="118"/>
        </w:numPr>
        <w:topLinePunct/>
        <w:snapToGrid w:val="0"/>
        <w:spacing w:beforeLines="25" w:line="300" w:lineRule="auto"/>
        <w:jc w:val="both"/>
        <w:rPr>
          <w:rFonts w:ascii="Times New Roman" w:hAnsi="Times New Roman"/>
          <w:kern w:val="2"/>
          <w:szCs w:val="21"/>
        </w:rPr>
      </w:pPr>
      <w:r>
        <w:rPr>
          <w:rFonts w:ascii="Times New Roman" w:hAnsi="Times New Roman"/>
          <w:kern w:val="2"/>
          <w:szCs w:val="21"/>
        </w:rPr>
        <w:t>第120(12)条应</w:t>
      </w:r>
      <w:r>
        <w:rPr>
          <w:rFonts w:hint="eastAsia" w:ascii="Times New Roman" w:hAnsi="Times New Roman"/>
          <w:kern w:val="2"/>
          <w:szCs w:val="21"/>
        </w:rPr>
        <w:t>自2019年5月26日起</w:t>
      </w:r>
      <w:r>
        <w:rPr>
          <w:rFonts w:ascii="Times New Roman" w:hAnsi="Times New Roman"/>
          <w:kern w:val="2"/>
          <w:szCs w:val="21"/>
        </w:rPr>
        <w:t>适用。</w:t>
      </w:r>
    </w:p>
    <w:p w14:paraId="52AB714E">
      <w:pPr>
        <w:pStyle w:val="8"/>
        <w:topLinePunct/>
        <w:snapToGrid w:val="0"/>
        <w:spacing w:beforeLines="25" w:line="300" w:lineRule="auto"/>
        <w:ind w:left="113" w:firstLine="0"/>
        <w:jc w:val="both"/>
        <w:rPr>
          <w:kern w:val="2"/>
          <w:szCs w:val="21"/>
        </w:rPr>
      </w:pPr>
      <w:r>
        <w:rPr>
          <w:kern w:val="2"/>
          <w:szCs w:val="21"/>
        </w:rPr>
        <w:t>本法规应整体具有约束力，并直接适用于所有成员国。</w:t>
      </w:r>
    </w:p>
    <w:p w14:paraId="62C289EA">
      <w:pPr>
        <w:pStyle w:val="8"/>
        <w:topLinePunct/>
        <w:snapToGrid w:val="0"/>
        <w:spacing w:beforeLines="25" w:line="300" w:lineRule="auto"/>
        <w:ind w:left="113" w:firstLine="0"/>
        <w:jc w:val="both"/>
        <w:rPr>
          <w:kern w:val="2"/>
          <w:szCs w:val="21"/>
        </w:rPr>
      </w:pPr>
      <w:r>
        <w:rPr>
          <w:kern w:val="2"/>
          <w:szCs w:val="21"/>
        </w:rPr>
        <w:t>于</w:t>
      </w:r>
      <w:r>
        <w:rPr>
          <w:rFonts w:hint="eastAsia"/>
          <w:kern w:val="2"/>
          <w:szCs w:val="21"/>
        </w:rPr>
        <w:t>2017年4月5日签发</w:t>
      </w:r>
      <w:r>
        <w:rPr>
          <w:kern w:val="2"/>
          <w:szCs w:val="21"/>
        </w:rPr>
        <w:t>……………</w:t>
      </w:r>
    </w:p>
    <w:p w14:paraId="61103B35">
      <w:pPr>
        <w:tabs>
          <w:tab w:val="left" w:pos="5529"/>
        </w:tabs>
        <w:snapToGrid w:val="0"/>
        <w:spacing w:beforeLines="25" w:line="300" w:lineRule="auto"/>
        <w:ind w:left="113" w:firstLine="453" w:firstLineChars="216"/>
        <w:rPr>
          <w:rStyle w:val="48"/>
          <w:b/>
          <w:szCs w:val="21"/>
        </w:rPr>
      </w:pPr>
      <w:r>
        <w:rPr>
          <w:rFonts w:ascii="Times New Roman" w:hAnsi="Times New Roman"/>
          <w:i/>
          <w:kern w:val="2"/>
          <w:szCs w:val="21"/>
        </w:rPr>
        <w:t>欧洲议会</w:t>
      </w:r>
      <w:r>
        <w:rPr>
          <w:rFonts w:ascii="Times New Roman" w:hAnsi="Times New Roman"/>
          <w:i/>
          <w:kern w:val="2"/>
          <w:szCs w:val="21"/>
        </w:rPr>
        <w:tab/>
      </w:r>
      <w:r>
        <w:rPr>
          <w:rFonts w:hint="eastAsia" w:ascii="Times New Roman" w:hAnsi="Times New Roman"/>
          <w:i/>
          <w:kern w:val="2"/>
          <w:szCs w:val="21"/>
        </w:rPr>
        <w:t>理事会</w:t>
      </w:r>
    </w:p>
    <w:p w14:paraId="02B94818">
      <w:pPr>
        <w:tabs>
          <w:tab w:val="left" w:pos="5529"/>
        </w:tabs>
        <w:snapToGrid w:val="0"/>
        <w:spacing w:beforeLines="25" w:line="300" w:lineRule="auto"/>
        <w:ind w:firstLine="453" w:firstLineChars="216"/>
        <w:rPr>
          <w:rFonts w:ascii="Times New Roman" w:hAnsi="Times New Roman"/>
          <w:i/>
          <w:kern w:val="2"/>
          <w:szCs w:val="21"/>
        </w:rPr>
      </w:pPr>
      <w:r>
        <w:rPr>
          <w:rFonts w:ascii="Times New Roman" w:hAnsi="Times New Roman"/>
          <w:i/>
          <w:kern w:val="2"/>
          <w:szCs w:val="21"/>
        </w:rPr>
        <w:t>会长</w:t>
      </w:r>
      <w:r>
        <w:rPr>
          <w:rFonts w:ascii="Times New Roman" w:hAnsi="Times New Roman"/>
          <w:i/>
          <w:kern w:val="2"/>
          <w:szCs w:val="21"/>
        </w:rPr>
        <w:tab/>
      </w:r>
      <w:r>
        <w:rPr>
          <w:rFonts w:ascii="Times New Roman" w:hAnsi="Times New Roman"/>
          <w:i/>
          <w:kern w:val="2"/>
          <w:szCs w:val="21"/>
        </w:rPr>
        <w:t>会长</w:t>
      </w:r>
    </w:p>
    <w:p w14:paraId="1A7915B4">
      <w:pPr>
        <w:tabs>
          <w:tab w:val="left" w:pos="4320"/>
        </w:tabs>
        <w:snapToGrid w:val="0"/>
        <w:spacing w:beforeLines="25" w:line="300" w:lineRule="auto"/>
        <w:ind w:firstLine="453" w:firstLineChars="216"/>
        <w:rPr>
          <w:rFonts w:ascii="Times New Roman" w:hAnsi="Times New Roman"/>
          <w:i/>
          <w:kern w:val="2"/>
          <w:szCs w:val="21"/>
        </w:rPr>
      </w:pPr>
      <w:r>
        <w:rPr>
          <w:rFonts w:ascii="Times New Roman" w:hAnsi="Times New Roman"/>
          <w:i/>
          <w:szCs w:val="21"/>
        </w:rPr>
        <w:t xml:space="preserve">A. TAJANI                                      </w:t>
      </w:r>
      <w:r>
        <w:rPr>
          <w:rFonts w:hint="eastAsia" w:ascii="Times New Roman" w:hAnsi="Times New Roman"/>
          <w:i/>
          <w:szCs w:val="21"/>
        </w:rPr>
        <w:t>I</w:t>
      </w:r>
      <w:r>
        <w:rPr>
          <w:rFonts w:ascii="Times New Roman" w:hAnsi="Times New Roman"/>
          <w:i/>
          <w:szCs w:val="21"/>
        </w:rPr>
        <w:t xml:space="preserve">. </w:t>
      </w:r>
      <w:r>
        <w:rPr>
          <w:rFonts w:hint="eastAsia" w:ascii="Times New Roman" w:hAnsi="Times New Roman"/>
          <w:i/>
          <w:szCs w:val="21"/>
        </w:rPr>
        <w:t>BORG</w:t>
      </w:r>
    </w:p>
    <w:p w14:paraId="33181359">
      <w:pPr>
        <w:tabs>
          <w:tab w:val="left" w:pos="4320"/>
        </w:tabs>
        <w:snapToGrid w:val="0"/>
        <w:spacing w:beforeLines="25" w:line="300" w:lineRule="auto"/>
        <w:jc w:val="center"/>
        <w:rPr>
          <w:rFonts w:ascii="Times New Roman" w:hAnsi="Times New Roman"/>
          <w:kern w:val="2"/>
          <w:szCs w:val="21"/>
        </w:rPr>
      </w:pPr>
      <w:r>
        <w:rPr>
          <w:rFonts w:hint="eastAsia" w:ascii="Times New Roman" w:hAnsi="Times New Roman"/>
          <w:kern w:val="2"/>
          <w:szCs w:val="21"/>
        </w:rPr>
        <w:t>________________</w:t>
      </w:r>
    </w:p>
    <w:p w14:paraId="1C435AE1">
      <w:pPr>
        <w:snapToGrid w:val="0"/>
        <w:spacing w:beforeLines="25" w:line="300" w:lineRule="auto"/>
        <w:jc w:val="center"/>
        <w:rPr>
          <w:rFonts w:ascii="Times New Roman" w:hAnsi="Times New Roman"/>
          <w:b/>
          <w:kern w:val="2"/>
          <w:sz w:val="24"/>
          <w:szCs w:val="24"/>
        </w:rPr>
      </w:pPr>
      <w:r>
        <w:rPr>
          <w:rFonts w:ascii="Times New Roman" w:hAnsi="Times New Roman"/>
          <w:i/>
          <w:kern w:val="2"/>
          <w:szCs w:val="21"/>
        </w:rPr>
        <w:br w:type="page"/>
      </w:r>
      <w:bookmarkStart w:id="145" w:name="_Toc472851380"/>
      <w:r>
        <w:rPr>
          <w:rFonts w:ascii="Times New Roman" w:hAnsi="Times New Roman"/>
          <w:b/>
          <w:kern w:val="2"/>
          <w:sz w:val="24"/>
          <w:szCs w:val="24"/>
        </w:rPr>
        <w:t>附录</w:t>
      </w:r>
      <w:bookmarkEnd w:id="145"/>
    </w:p>
    <w:p w14:paraId="7EED0FC9">
      <w:pPr>
        <w:pStyle w:val="8"/>
        <w:tabs>
          <w:tab w:val="left" w:pos="900"/>
        </w:tabs>
        <w:topLinePunct/>
        <w:snapToGrid w:val="0"/>
        <w:spacing w:beforeLines="25" w:line="300" w:lineRule="auto"/>
        <w:ind w:left="766" w:hanging="766" w:hangingChars="365"/>
        <w:jc w:val="both"/>
        <w:rPr>
          <w:kern w:val="2"/>
          <w:szCs w:val="21"/>
          <w:lang w:val="en-US"/>
        </w:rPr>
      </w:pPr>
      <w:r>
        <w:rPr>
          <w:kern w:val="2"/>
          <w:szCs w:val="21"/>
          <w:lang w:val="en-US"/>
        </w:rPr>
        <w:t>I</w:t>
      </w:r>
      <w:r>
        <w:rPr>
          <w:kern w:val="2"/>
          <w:szCs w:val="21"/>
          <w:lang w:val="en-US"/>
        </w:rPr>
        <w:tab/>
      </w:r>
      <w:r>
        <w:rPr>
          <w:kern w:val="2"/>
          <w:szCs w:val="21"/>
        </w:rPr>
        <w:t>通用安全与性能要求</w:t>
      </w:r>
    </w:p>
    <w:p w14:paraId="7D9BCF96">
      <w:pPr>
        <w:pStyle w:val="8"/>
        <w:tabs>
          <w:tab w:val="left" w:pos="900"/>
        </w:tabs>
        <w:topLinePunct/>
        <w:snapToGrid w:val="0"/>
        <w:spacing w:beforeLines="25" w:line="300" w:lineRule="auto"/>
        <w:ind w:left="766" w:hanging="766" w:hangingChars="365"/>
        <w:jc w:val="both"/>
        <w:rPr>
          <w:kern w:val="2"/>
          <w:szCs w:val="21"/>
          <w:lang w:val="en-US"/>
        </w:rPr>
      </w:pPr>
      <w:r>
        <w:rPr>
          <w:kern w:val="2"/>
          <w:szCs w:val="21"/>
          <w:lang w:val="en-US"/>
        </w:rPr>
        <w:t>II</w:t>
      </w:r>
      <w:r>
        <w:rPr>
          <w:kern w:val="2"/>
          <w:szCs w:val="21"/>
          <w:lang w:val="en-US"/>
        </w:rPr>
        <w:tab/>
      </w:r>
      <w:r>
        <w:rPr>
          <w:kern w:val="2"/>
          <w:szCs w:val="21"/>
        </w:rPr>
        <w:t>技术文件</w:t>
      </w:r>
    </w:p>
    <w:p w14:paraId="50A6B138">
      <w:pPr>
        <w:pStyle w:val="8"/>
        <w:tabs>
          <w:tab w:val="left" w:pos="900"/>
        </w:tabs>
        <w:topLinePunct/>
        <w:snapToGrid w:val="0"/>
        <w:spacing w:beforeLines="25" w:line="300" w:lineRule="auto"/>
        <w:ind w:left="766" w:hanging="766" w:hangingChars="365"/>
        <w:jc w:val="both"/>
        <w:rPr>
          <w:kern w:val="2"/>
          <w:szCs w:val="21"/>
          <w:lang w:val="en-US"/>
        </w:rPr>
      </w:pPr>
      <w:r>
        <w:rPr>
          <w:kern w:val="2"/>
          <w:szCs w:val="21"/>
          <w:lang w:val="en-US"/>
        </w:rPr>
        <w:t>III</w:t>
      </w:r>
      <w:r>
        <w:rPr>
          <w:kern w:val="2"/>
          <w:szCs w:val="21"/>
          <w:lang w:val="en-US"/>
        </w:rPr>
        <w:tab/>
      </w:r>
      <w:r>
        <w:rPr>
          <w:kern w:val="2"/>
          <w:szCs w:val="21"/>
        </w:rPr>
        <w:t>上市后监管技术文件</w:t>
      </w:r>
    </w:p>
    <w:p w14:paraId="297EC276">
      <w:pPr>
        <w:pStyle w:val="8"/>
        <w:tabs>
          <w:tab w:val="left" w:pos="900"/>
        </w:tabs>
        <w:topLinePunct/>
        <w:snapToGrid w:val="0"/>
        <w:spacing w:beforeLines="25" w:line="300" w:lineRule="auto"/>
        <w:ind w:left="766" w:hanging="766" w:hangingChars="365"/>
        <w:jc w:val="both"/>
        <w:rPr>
          <w:kern w:val="2"/>
          <w:szCs w:val="21"/>
          <w:lang w:val="en-US"/>
        </w:rPr>
      </w:pPr>
      <w:r>
        <w:rPr>
          <w:kern w:val="2"/>
          <w:szCs w:val="21"/>
          <w:lang w:val="en-US"/>
        </w:rPr>
        <w:t>IV</w:t>
      </w:r>
      <w:r>
        <w:rPr>
          <w:kern w:val="2"/>
          <w:szCs w:val="21"/>
          <w:lang w:val="en-US"/>
        </w:rPr>
        <w:tab/>
      </w:r>
      <w:r>
        <w:rPr>
          <w:kern w:val="2"/>
          <w:szCs w:val="21"/>
          <w:lang w:val="en-US"/>
        </w:rPr>
        <w:t>EC</w:t>
      </w:r>
      <w:r>
        <w:rPr>
          <w:kern w:val="2"/>
          <w:szCs w:val="21"/>
        </w:rPr>
        <w:t>符合性声明</w:t>
      </w:r>
    </w:p>
    <w:p w14:paraId="65137BFA">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V</w:t>
      </w:r>
      <w:r>
        <w:rPr>
          <w:rFonts w:hint="eastAsia"/>
          <w:kern w:val="2"/>
          <w:szCs w:val="21"/>
        </w:rPr>
        <w:tab/>
      </w:r>
      <w:r>
        <w:rPr>
          <w:kern w:val="2"/>
          <w:szCs w:val="21"/>
        </w:rPr>
        <w:t>CE符合性标识</w:t>
      </w:r>
    </w:p>
    <w:p w14:paraId="43381C0B">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VI</w:t>
      </w:r>
      <w:r>
        <w:rPr>
          <w:rFonts w:hint="eastAsia"/>
          <w:kern w:val="2"/>
          <w:szCs w:val="21"/>
        </w:rPr>
        <w:tab/>
      </w:r>
      <w:r>
        <w:rPr>
          <w:kern w:val="2"/>
          <w:szCs w:val="21"/>
        </w:rPr>
        <w:t>根据第29(4)和31条提交的注册器械和经济运营商信息</w:t>
      </w:r>
      <w:r>
        <w:rPr>
          <w:rFonts w:hint="eastAsia"/>
          <w:kern w:val="2"/>
          <w:szCs w:val="21"/>
        </w:rPr>
        <w:t>，</w:t>
      </w:r>
      <w:r>
        <w:rPr>
          <w:kern w:val="2"/>
          <w:szCs w:val="21"/>
        </w:rPr>
        <w:t>根据第28和29条提供给UDI数据库的核心数据元素</w:t>
      </w:r>
      <w:r>
        <w:rPr>
          <w:rFonts w:hint="eastAsia"/>
          <w:kern w:val="2"/>
          <w:szCs w:val="21"/>
        </w:rPr>
        <w:t>与</w:t>
      </w:r>
      <w:r>
        <w:rPr>
          <w:kern w:val="2"/>
          <w:szCs w:val="21"/>
        </w:rPr>
        <w:t>UDI-DI</w:t>
      </w:r>
      <w:r>
        <w:rPr>
          <w:rFonts w:hint="eastAsia"/>
          <w:kern w:val="2"/>
          <w:szCs w:val="21"/>
        </w:rPr>
        <w:t>，</w:t>
      </w:r>
      <w:r>
        <w:rPr>
          <w:kern w:val="2"/>
          <w:szCs w:val="21"/>
          <w:lang w:val="en-US"/>
        </w:rPr>
        <w:t>和UDI系统</w:t>
      </w:r>
    </w:p>
    <w:p w14:paraId="6C00A371">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VII</w:t>
      </w:r>
      <w:r>
        <w:rPr>
          <w:rFonts w:hint="eastAsia"/>
          <w:kern w:val="2"/>
          <w:szCs w:val="21"/>
        </w:rPr>
        <w:tab/>
      </w:r>
      <w:r>
        <w:rPr>
          <w:kern w:val="2"/>
          <w:szCs w:val="21"/>
        </w:rPr>
        <w:t>公告机构需满足的要求</w:t>
      </w:r>
    </w:p>
    <w:p w14:paraId="749C0128">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VIII</w:t>
      </w:r>
      <w:r>
        <w:rPr>
          <w:rFonts w:hint="eastAsia"/>
          <w:kern w:val="2"/>
          <w:szCs w:val="21"/>
        </w:rPr>
        <w:tab/>
      </w:r>
      <w:r>
        <w:rPr>
          <w:kern w:val="2"/>
          <w:szCs w:val="21"/>
        </w:rPr>
        <w:t>分类标准</w:t>
      </w:r>
    </w:p>
    <w:p w14:paraId="46EA47E0">
      <w:pPr>
        <w:pStyle w:val="8"/>
        <w:tabs>
          <w:tab w:val="left" w:pos="900"/>
        </w:tabs>
        <w:topLinePunct/>
        <w:snapToGrid w:val="0"/>
        <w:spacing w:beforeLines="25" w:line="300" w:lineRule="auto"/>
        <w:ind w:left="766" w:hanging="766" w:hangingChars="365"/>
        <w:jc w:val="both"/>
        <w:rPr>
          <w:kern w:val="2"/>
          <w:szCs w:val="21"/>
        </w:rPr>
      </w:pPr>
      <w:r>
        <w:rPr>
          <w:kern w:val="2"/>
          <w:szCs w:val="21"/>
        </w:rPr>
        <w:t>IX</w:t>
      </w:r>
      <w:r>
        <w:rPr>
          <w:rFonts w:hint="eastAsia"/>
          <w:kern w:val="2"/>
          <w:szCs w:val="21"/>
        </w:rPr>
        <w:tab/>
      </w:r>
      <w:r>
        <w:rPr>
          <w:kern w:val="2"/>
          <w:szCs w:val="21"/>
        </w:rPr>
        <w:t>基于质量管理体系的符合性评估和技术文件评估</w:t>
      </w:r>
    </w:p>
    <w:p w14:paraId="102F6B96">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X</w:t>
      </w:r>
      <w:r>
        <w:rPr>
          <w:rFonts w:hint="eastAsia"/>
          <w:kern w:val="2"/>
          <w:szCs w:val="21"/>
        </w:rPr>
        <w:tab/>
      </w:r>
      <w:r>
        <w:rPr>
          <w:kern w:val="2"/>
          <w:szCs w:val="21"/>
        </w:rPr>
        <w:t>基于型式检验的符合性评估</w:t>
      </w:r>
    </w:p>
    <w:p w14:paraId="1321C02A">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XI</w:t>
      </w:r>
      <w:r>
        <w:rPr>
          <w:rFonts w:hint="eastAsia"/>
          <w:kern w:val="2"/>
          <w:szCs w:val="21"/>
        </w:rPr>
        <w:tab/>
      </w:r>
      <w:r>
        <w:rPr>
          <w:kern w:val="2"/>
          <w:szCs w:val="21"/>
        </w:rPr>
        <w:t>基于产品符合性验证的符合性评估</w:t>
      </w:r>
    </w:p>
    <w:p w14:paraId="7B1896C9">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XII</w:t>
      </w:r>
      <w:r>
        <w:rPr>
          <w:rFonts w:hint="eastAsia"/>
          <w:kern w:val="2"/>
          <w:szCs w:val="21"/>
        </w:rPr>
        <w:tab/>
      </w:r>
      <w:r>
        <w:rPr>
          <w:kern w:val="2"/>
          <w:szCs w:val="21"/>
        </w:rPr>
        <w:t>由公告机构签发的证书</w:t>
      </w:r>
    </w:p>
    <w:p w14:paraId="32880B36">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XIII</w:t>
      </w:r>
      <w:r>
        <w:rPr>
          <w:rFonts w:hint="eastAsia"/>
          <w:kern w:val="2"/>
          <w:szCs w:val="21"/>
        </w:rPr>
        <w:tab/>
      </w:r>
      <w:r>
        <w:rPr>
          <w:kern w:val="2"/>
          <w:szCs w:val="21"/>
        </w:rPr>
        <w:t>定制器械的流程</w:t>
      </w:r>
    </w:p>
    <w:p w14:paraId="1655530E">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XIV</w:t>
      </w:r>
      <w:r>
        <w:rPr>
          <w:rFonts w:hint="eastAsia"/>
          <w:kern w:val="2"/>
          <w:szCs w:val="21"/>
        </w:rPr>
        <w:tab/>
      </w:r>
      <w:r>
        <w:rPr>
          <w:kern w:val="2"/>
          <w:szCs w:val="21"/>
        </w:rPr>
        <w:t>临床评价评价和上市后临床</w:t>
      </w:r>
      <w:r>
        <w:rPr>
          <w:rFonts w:hint="eastAsia"/>
          <w:kern w:val="2"/>
          <w:szCs w:val="21"/>
          <w:lang w:val="en-US"/>
        </w:rPr>
        <w:t>跟踪</w:t>
      </w:r>
    </w:p>
    <w:p w14:paraId="3E666D84">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XV</w:t>
      </w:r>
      <w:r>
        <w:rPr>
          <w:rFonts w:hint="eastAsia"/>
          <w:kern w:val="2"/>
          <w:szCs w:val="21"/>
        </w:rPr>
        <w:tab/>
      </w:r>
      <w:r>
        <w:rPr>
          <w:kern w:val="2"/>
          <w:szCs w:val="21"/>
        </w:rPr>
        <w:t>临床研究</w:t>
      </w:r>
    </w:p>
    <w:p w14:paraId="5EACE6D6">
      <w:pPr>
        <w:pStyle w:val="8"/>
        <w:tabs>
          <w:tab w:val="left" w:pos="900"/>
        </w:tabs>
        <w:topLinePunct/>
        <w:snapToGrid w:val="0"/>
        <w:spacing w:beforeLines="25" w:line="300" w:lineRule="auto"/>
        <w:ind w:left="766" w:hanging="766" w:hangingChars="365"/>
        <w:jc w:val="both"/>
        <w:rPr>
          <w:kern w:val="2"/>
          <w:szCs w:val="21"/>
        </w:rPr>
      </w:pPr>
      <w:r>
        <w:rPr>
          <w:kern w:val="2"/>
          <w:szCs w:val="21"/>
        </w:rPr>
        <w:t>XVI</w:t>
      </w:r>
      <w:r>
        <w:rPr>
          <w:kern w:val="2"/>
          <w:szCs w:val="21"/>
        </w:rPr>
        <w:tab/>
      </w:r>
      <w:r>
        <w:rPr>
          <w:kern w:val="2"/>
          <w:szCs w:val="21"/>
        </w:rPr>
        <w:t>在第1（2）条中所述无预期医疗目的之产品分组清单</w:t>
      </w:r>
    </w:p>
    <w:p w14:paraId="773E755D">
      <w:pPr>
        <w:pStyle w:val="8"/>
        <w:tabs>
          <w:tab w:val="left" w:pos="900"/>
        </w:tabs>
        <w:topLinePunct/>
        <w:snapToGrid w:val="0"/>
        <w:spacing w:beforeLines="25" w:line="300" w:lineRule="auto"/>
        <w:ind w:left="766" w:hanging="766" w:hangingChars="365"/>
        <w:jc w:val="both"/>
        <w:rPr>
          <w:kern w:val="2"/>
          <w:szCs w:val="21"/>
        </w:rPr>
      </w:pPr>
      <w:r>
        <w:rPr>
          <w:rFonts w:hint="eastAsia"/>
          <w:kern w:val="2"/>
          <w:szCs w:val="21"/>
        </w:rPr>
        <w:t>XVII</w:t>
      </w:r>
      <w:r>
        <w:rPr>
          <w:rFonts w:hint="eastAsia"/>
          <w:kern w:val="2"/>
          <w:szCs w:val="21"/>
        </w:rPr>
        <w:tab/>
      </w:r>
      <w:r>
        <w:rPr>
          <w:kern w:val="2"/>
          <w:szCs w:val="21"/>
        </w:rPr>
        <w:t>对比表</w:t>
      </w:r>
    </w:p>
    <w:p w14:paraId="1A93004E">
      <w:pPr>
        <w:pStyle w:val="8"/>
        <w:tabs>
          <w:tab w:val="left" w:pos="900"/>
        </w:tabs>
        <w:topLinePunct/>
        <w:snapToGrid w:val="0"/>
        <w:spacing w:beforeLines="25" w:line="300" w:lineRule="auto"/>
        <w:ind w:left="766" w:hanging="766" w:hangingChars="365"/>
        <w:jc w:val="center"/>
        <w:rPr>
          <w:kern w:val="2"/>
          <w:szCs w:val="21"/>
        </w:rPr>
      </w:pPr>
      <w:bookmarkStart w:id="146" w:name="_Toc477512412"/>
    </w:p>
    <w:p w14:paraId="7A1E9C36">
      <w:pPr>
        <w:pStyle w:val="8"/>
        <w:tabs>
          <w:tab w:val="left" w:pos="900"/>
        </w:tabs>
        <w:topLinePunct/>
        <w:snapToGrid w:val="0"/>
        <w:spacing w:beforeLines="25" w:line="300" w:lineRule="auto"/>
        <w:ind w:left="766" w:hanging="766" w:hangingChars="365"/>
        <w:jc w:val="center"/>
        <w:rPr>
          <w:kern w:val="2"/>
          <w:szCs w:val="21"/>
        </w:rPr>
      </w:pPr>
      <w:r>
        <w:rPr>
          <w:rFonts w:hint="eastAsia"/>
          <w:kern w:val="2"/>
          <w:szCs w:val="21"/>
        </w:rPr>
        <w:t>____________</w:t>
      </w:r>
    </w:p>
    <w:p w14:paraId="590EBE90">
      <w:pPr>
        <w:pStyle w:val="2"/>
        <w:spacing w:beforeLines="25" w:line="300" w:lineRule="auto"/>
        <w:rPr>
          <w:sz w:val="21"/>
          <w:szCs w:val="21"/>
        </w:rPr>
      </w:pPr>
    </w:p>
    <w:p w14:paraId="6559B717">
      <w:pPr>
        <w:pStyle w:val="2"/>
        <w:spacing w:beforeLines="25" w:line="300" w:lineRule="auto"/>
        <w:rPr>
          <w:sz w:val="21"/>
          <w:szCs w:val="21"/>
        </w:rPr>
      </w:pPr>
    </w:p>
    <w:p w14:paraId="03C0F750">
      <w:pPr>
        <w:pStyle w:val="2"/>
        <w:spacing w:beforeLines="25" w:line="300" w:lineRule="auto"/>
        <w:rPr>
          <w:sz w:val="21"/>
          <w:szCs w:val="21"/>
        </w:rPr>
      </w:pPr>
    </w:p>
    <w:p w14:paraId="69BF73C9">
      <w:pPr>
        <w:pStyle w:val="2"/>
        <w:spacing w:beforeLines="25" w:line="300" w:lineRule="auto"/>
        <w:rPr>
          <w:sz w:val="24"/>
          <w:szCs w:val="24"/>
          <w:lang w:val="zh-CN"/>
        </w:rPr>
      </w:pPr>
      <w:r>
        <w:rPr>
          <w:sz w:val="21"/>
          <w:szCs w:val="21"/>
        </w:rPr>
        <w:br w:type="page"/>
      </w:r>
      <w:r>
        <w:rPr>
          <w:sz w:val="24"/>
          <w:szCs w:val="24"/>
          <w:lang w:val="zh-CN"/>
        </w:rPr>
        <w:t>附录I</w:t>
      </w:r>
    </w:p>
    <w:p w14:paraId="0821AA62">
      <w:pPr>
        <w:snapToGrid w:val="0"/>
        <w:spacing w:beforeLines="25" w:line="300" w:lineRule="auto"/>
        <w:jc w:val="center"/>
        <w:rPr>
          <w:rFonts w:ascii="Times New Roman" w:hAnsi="Times New Roman"/>
          <w:kern w:val="2"/>
          <w:sz w:val="24"/>
          <w:szCs w:val="24"/>
          <w:lang w:val="zh-CN"/>
        </w:rPr>
      </w:pPr>
      <w:r>
        <w:rPr>
          <w:rFonts w:ascii="Times New Roman" w:hAnsi="Times New Roman"/>
          <w:b/>
          <w:kern w:val="2"/>
          <w:sz w:val="24"/>
          <w:szCs w:val="24"/>
          <w:lang w:val="zh-CN"/>
        </w:rPr>
        <w:t>通用安全与性能要求</w:t>
      </w:r>
    </w:p>
    <w:p w14:paraId="5C966EA6">
      <w:pPr>
        <w:snapToGrid w:val="0"/>
        <w:spacing w:beforeLines="25" w:line="300" w:lineRule="auto"/>
        <w:jc w:val="center"/>
        <w:rPr>
          <w:rFonts w:ascii="Times New Roman" w:hAnsi="Times New Roman"/>
          <w:b/>
          <w:kern w:val="2"/>
          <w:szCs w:val="21"/>
          <w:lang w:val="zh-CN"/>
        </w:rPr>
      </w:pPr>
    </w:p>
    <w:p w14:paraId="30726F55">
      <w:pPr>
        <w:snapToGrid w:val="0"/>
        <w:spacing w:beforeLines="25" w:line="300" w:lineRule="auto"/>
        <w:jc w:val="center"/>
        <w:rPr>
          <w:rFonts w:ascii="Times New Roman" w:hAnsi="Times New Roman"/>
          <w:b/>
          <w:kern w:val="2"/>
          <w:szCs w:val="21"/>
          <w:lang w:val="zh-CN"/>
        </w:rPr>
      </w:pPr>
      <w:r>
        <w:rPr>
          <w:rFonts w:ascii="Times New Roman" w:hAnsi="Times New Roman"/>
          <w:b/>
          <w:kern w:val="2"/>
          <w:szCs w:val="21"/>
          <w:lang w:val="zh-CN"/>
        </w:rPr>
        <w:t>第I章</w:t>
      </w:r>
      <w:r>
        <w:rPr>
          <w:rFonts w:hint="eastAsia" w:ascii="Times New Roman" w:hAnsi="Times New Roman"/>
          <w:b/>
          <w:kern w:val="2"/>
          <w:szCs w:val="21"/>
          <w:lang w:val="zh-CN"/>
        </w:rPr>
        <w:br w:type="textWrapping"/>
      </w:r>
      <w:r>
        <w:rPr>
          <w:rFonts w:hint="eastAsia" w:ascii="Times New Roman" w:hAnsi="Times New Roman"/>
          <w:b/>
          <w:kern w:val="2"/>
          <w:szCs w:val="21"/>
          <w:lang w:val="zh-CN"/>
        </w:rPr>
        <w:t>一般</w:t>
      </w:r>
      <w:r>
        <w:rPr>
          <w:rFonts w:ascii="Times New Roman" w:hAnsi="Times New Roman"/>
          <w:b/>
          <w:kern w:val="2"/>
          <w:szCs w:val="21"/>
          <w:lang w:val="zh-CN"/>
        </w:rPr>
        <w:t>要求</w:t>
      </w:r>
      <w:bookmarkEnd w:id="146"/>
    </w:p>
    <w:p w14:paraId="1C75AA78">
      <w:pPr>
        <w:pStyle w:val="32"/>
        <w:numPr>
          <w:ilvl w:val="1"/>
          <w:numId w:val="11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器械应具备制造商预期的性能，并确保其设计和结构在正常使用条件下适用于其预期用途。器械应安全有效，</w:t>
      </w:r>
      <w:r>
        <w:rPr>
          <w:rFonts w:hint="eastAsia" w:ascii="Times New Roman" w:hAnsi="Times New Roman"/>
          <w:kern w:val="2"/>
          <w:szCs w:val="21"/>
        </w:rPr>
        <w:t>且</w:t>
      </w:r>
      <w:r>
        <w:rPr>
          <w:rFonts w:ascii="Times New Roman" w:hAnsi="Times New Roman"/>
          <w:kern w:val="2"/>
          <w:szCs w:val="21"/>
        </w:rPr>
        <w:t>不得对患者的临床症状或安全或者使用者或其他人员（如适用）的安全和健康造成损害，在最大限度保护健康和安全的同时，器械使用的可接受风险与其对患者的益处相比，应在可接受范围内，并应考虑到符合现有认知水平。</w:t>
      </w:r>
    </w:p>
    <w:p w14:paraId="6B04854B">
      <w:pPr>
        <w:pStyle w:val="8"/>
        <w:topLinePunct/>
        <w:snapToGrid w:val="0"/>
        <w:spacing w:beforeLines="25" w:line="300" w:lineRule="auto"/>
        <w:ind w:hanging="568"/>
        <w:jc w:val="both"/>
        <w:rPr>
          <w:kern w:val="2"/>
          <w:szCs w:val="21"/>
        </w:rPr>
      </w:pPr>
      <w:r>
        <w:rPr>
          <w:kern w:val="2"/>
          <w:szCs w:val="21"/>
        </w:rPr>
        <w:t>2.</w:t>
      </w:r>
      <w:r>
        <w:rPr>
          <w:kern w:val="2"/>
          <w:szCs w:val="21"/>
        </w:rPr>
        <w:tab/>
      </w:r>
      <w:r>
        <w:rPr>
          <w:kern w:val="2"/>
          <w:szCs w:val="21"/>
        </w:rPr>
        <w:t>本附录中尽可能降低风险的要求指尽可能降低风险的同时不会对收益风险比产生不利影响。</w:t>
      </w:r>
    </w:p>
    <w:p w14:paraId="79C9F987">
      <w:pPr>
        <w:pStyle w:val="8"/>
        <w:tabs>
          <w:tab w:val="left" w:pos="681"/>
        </w:tabs>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制造商应建立、实施、记录和维护风险管理体系。</w:t>
      </w:r>
    </w:p>
    <w:p w14:paraId="5B4B7FD9">
      <w:pPr>
        <w:pStyle w:val="8"/>
        <w:topLinePunct/>
        <w:snapToGrid w:val="0"/>
        <w:spacing w:beforeLines="25" w:line="300" w:lineRule="auto"/>
        <w:ind w:firstLine="0"/>
        <w:jc w:val="both"/>
        <w:rPr>
          <w:kern w:val="2"/>
          <w:szCs w:val="21"/>
        </w:rPr>
      </w:pPr>
      <w:r>
        <w:rPr>
          <w:kern w:val="2"/>
          <w:szCs w:val="21"/>
        </w:rPr>
        <w:t>风险管理应理解为在器械整个生命周期中为连续迭代过程，需定期进行系统更新。进行风险管理制造商需做到：</w:t>
      </w:r>
    </w:p>
    <w:p w14:paraId="412F8257">
      <w:pPr>
        <w:pStyle w:val="32"/>
        <w:numPr>
          <w:ilvl w:val="2"/>
          <w:numId w:val="11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制定并记录各器械的风险管理计划；</w:t>
      </w:r>
    </w:p>
    <w:p w14:paraId="4E10CB83">
      <w:pPr>
        <w:pStyle w:val="32"/>
        <w:numPr>
          <w:ilvl w:val="2"/>
          <w:numId w:val="11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识别和分析与各器械相关的已知和可预见的危害；</w:t>
      </w:r>
    </w:p>
    <w:p w14:paraId="7971DD79">
      <w:pPr>
        <w:pStyle w:val="32"/>
        <w:numPr>
          <w:ilvl w:val="2"/>
          <w:numId w:val="11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估计和评价在预期使用时及在可合理预见的使用不当时产生的相关风险；</w:t>
      </w:r>
    </w:p>
    <w:p w14:paraId="3D0B8D7B">
      <w:pPr>
        <w:pStyle w:val="32"/>
        <w:numPr>
          <w:ilvl w:val="2"/>
          <w:numId w:val="11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根据第4节的要求消除或控制(c)点所述的这些风险；</w:t>
      </w:r>
    </w:p>
    <w:p w14:paraId="0C0D2024">
      <w:pPr>
        <w:pStyle w:val="32"/>
        <w:numPr>
          <w:ilvl w:val="2"/>
          <w:numId w:val="11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评估生产阶段，特别是上市后监管体系的信息、危害及其发生频率、评估其相关风险及总体风险、风险利益比和风险可接受性。</w:t>
      </w:r>
    </w:p>
    <w:p w14:paraId="34D3AE26">
      <w:pPr>
        <w:pStyle w:val="32"/>
        <w:numPr>
          <w:ilvl w:val="2"/>
          <w:numId w:val="119"/>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根据(</w:t>
      </w:r>
      <w:r>
        <w:rPr>
          <w:rFonts w:hint="eastAsia" w:ascii="Times New Roman" w:hAnsi="Times New Roman"/>
          <w:kern w:val="2"/>
          <w:szCs w:val="21"/>
        </w:rPr>
        <w:t>e</w:t>
      </w:r>
      <w:r>
        <w:rPr>
          <w:rFonts w:ascii="Times New Roman" w:hAnsi="Times New Roman"/>
          <w:kern w:val="2"/>
          <w:szCs w:val="21"/>
        </w:rPr>
        <w:t>)点所述信息影响的评估，必要时根据第4节的要求修改控制措施。</w:t>
      </w:r>
    </w:p>
    <w:p w14:paraId="2CF98D3C">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制造商就器械的设计和制造所采取的风险控制措施应符合安全原则，并考虑到现有的技术水平。为降低风险，制造商应对风险进行管理，使各危害相关的剩余风险及总剩余风险控制在可接受范围内。在选择最合适的解决方案时，制造商应依据下述优先级原则：</w:t>
      </w:r>
    </w:p>
    <w:p w14:paraId="4E32DB06">
      <w:pPr>
        <w:pStyle w:val="32"/>
        <w:numPr>
          <w:ilvl w:val="0"/>
          <w:numId w:val="120"/>
        </w:numPr>
        <w:tabs>
          <w:tab w:val="left" w:pos="1248"/>
        </w:tabs>
        <w:topLinePunct/>
        <w:snapToGrid w:val="0"/>
        <w:spacing w:beforeLines="25" w:line="300" w:lineRule="auto"/>
        <w:ind w:left="1260" w:hanging="532"/>
        <w:jc w:val="both"/>
        <w:rPr>
          <w:rFonts w:ascii="Times New Roman" w:hAnsi="Times New Roman"/>
          <w:kern w:val="2"/>
          <w:szCs w:val="21"/>
        </w:rPr>
      </w:pPr>
      <w:r>
        <w:rPr>
          <w:rFonts w:ascii="Times New Roman" w:hAnsi="Times New Roman"/>
          <w:kern w:val="2"/>
          <w:szCs w:val="21"/>
        </w:rPr>
        <w:t>通过安全的设计和制造尽可能消除或降低风险；</w:t>
      </w:r>
    </w:p>
    <w:p w14:paraId="01273562">
      <w:pPr>
        <w:pStyle w:val="32"/>
        <w:numPr>
          <w:ilvl w:val="0"/>
          <w:numId w:val="120"/>
        </w:numPr>
        <w:tabs>
          <w:tab w:val="left" w:pos="1248"/>
        </w:tabs>
        <w:topLinePunct/>
        <w:snapToGrid w:val="0"/>
        <w:spacing w:beforeLines="25" w:line="300" w:lineRule="auto"/>
        <w:ind w:left="1260" w:hanging="532"/>
        <w:jc w:val="both"/>
        <w:rPr>
          <w:rFonts w:ascii="Times New Roman" w:hAnsi="Times New Roman"/>
          <w:kern w:val="2"/>
          <w:szCs w:val="21"/>
        </w:rPr>
      </w:pPr>
      <w:r>
        <w:rPr>
          <w:rFonts w:ascii="Times New Roman" w:hAnsi="Times New Roman"/>
          <w:kern w:val="2"/>
          <w:szCs w:val="21"/>
        </w:rPr>
        <w:t>如适合，采取适当保护措施，关于无法消除的风险，包含必要时的报警；且</w:t>
      </w:r>
    </w:p>
    <w:p w14:paraId="0E64EDE9">
      <w:pPr>
        <w:pStyle w:val="32"/>
        <w:numPr>
          <w:ilvl w:val="0"/>
          <w:numId w:val="120"/>
        </w:numPr>
        <w:tabs>
          <w:tab w:val="left" w:pos="1248"/>
        </w:tabs>
        <w:topLinePunct/>
        <w:snapToGrid w:val="0"/>
        <w:spacing w:beforeLines="25" w:line="300" w:lineRule="auto"/>
        <w:ind w:left="1260" w:hanging="532"/>
        <w:jc w:val="both"/>
        <w:rPr>
          <w:rFonts w:ascii="Times New Roman" w:hAnsi="Times New Roman"/>
          <w:kern w:val="2"/>
          <w:szCs w:val="21"/>
        </w:rPr>
      </w:pPr>
      <w:r>
        <w:rPr>
          <w:rFonts w:ascii="Times New Roman" w:hAnsi="Times New Roman"/>
          <w:kern w:val="2"/>
          <w:szCs w:val="21"/>
        </w:rPr>
        <w:t>提供安全信息（警戒/预防措施/禁忌），并在适当情况下向使用者提供培训。</w:t>
      </w:r>
    </w:p>
    <w:p w14:paraId="65D98987">
      <w:pPr>
        <w:pStyle w:val="8"/>
        <w:topLinePunct/>
        <w:snapToGrid w:val="0"/>
        <w:spacing w:beforeLines="25" w:line="300" w:lineRule="auto"/>
        <w:ind w:left="1260" w:hanging="532"/>
        <w:jc w:val="both"/>
        <w:rPr>
          <w:kern w:val="2"/>
          <w:szCs w:val="21"/>
        </w:rPr>
      </w:pPr>
      <w:r>
        <w:rPr>
          <w:kern w:val="2"/>
          <w:szCs w:val="21"/>
        </w:rPr>
        <w:t>制造商应将剩余风险告知使用者。</w:t>
      </w:r>
    </w:p>
    <w:p w14:paraId="17A47A55">
      <w:pPr>
        <w:pStyle w:val="8"/>
        <w:tabs>
          <w:tab w:val="left" w:pos="681"/>
        </w:tabs>
        <w:topLinePunct/>
        <w:snapToGrid w:val="0"/>
        <w:spacing w:beforeLines="25" w:line="300" w:lineRule="auto"/>
        <w:ind w:hanging="568"/>
        <w:jc w:val="both"/>
        <w:rPr>
          <w:kern w:val="2"/>
          <w:szCs w:val="21"/>
        </w:rPr>
      </w:pPr>
      <w:r>
        <w:rPr>
          <w:kern w:val="2"/>
          <w:szCs w:val="21"/>
        </w:rPr>
        <w:t>5.</w:t>
      </w:r>
      <w:r>
        <w:rPr>
          <w:kern w:val="2"/>
          <w:szCs w:val="21"/>
        </w:rPr>
        <w:tab/>
      </w:r>
      <w:r>
        <w:rPr>
          <w:kern w:val="2"/>
          <w:szCs w:val="21"/>
        </w:rPr>
        <w:t>在消除或减少使用不当相关风险时，制造商应：</w:t>
      </w:r>
    </w:p>
    <w:p w14:paraId="384C276A">
      <w:pPr>
        <w:pStyle w:val="32"/>
        <w:tabs>
          <w:tab w:val="left" w:pos="1302"/>
        </w:tabs>
        <w:topLinePunct/>
        <w:snapToGrid w:val="0"/>
        <w:spacing w:beforeLines="25" w:line="300" w:lineRule="auto"/>
        <w:ind w:left="1310" w:leftChars="324" w:hanging="630" w:hangingChars="300"/>
        <w:jc w:val="both"/>
        <w:rPr>
          <w:rFonts w:ascii="Times New Roman" w:hAnsi="Times New Roman"/>
          <w:kern w:val="2"/>
          <w:szCs w:val="21"/>
        </w:rPr>
      </w:pPr>
      <w:r>
        <w:rPr>
          <w:rFonts w:hint="eastAsia" w:ascii="Times New Roman" w:hAnsi="Times New Roman"/>
          <w:kern w:val="2"/>
          <w:szCs w:val="21"/>
        </w:rPr>
        <w:t>(a)</w:t>
      </w:r>
      <w:r>
        <w:rPr>
          <w:rFonts w:hint="eastAsia" w:ascii="Times New Roman" w:hAnsi="Times New Roman"/>
          <w:kern w:val="2"/>
          <w:szCs w:val="21"/>
        </w:rPr>
        <w:tab/>
      </w:r>
      <w:r>
        <w:rPr>
          <w:rFonts w:ascii="Times New Roman" w:hAnsi="Times New Roman"/>
          <w:kern w:val="2"/>
          <w:szCs w:val="21"/>
        </w:rPr>
        <w:t>尽量降低因器械人体工程学特点及其预期使用环境所造成的风险（针对患者安全而设计），以及</w:t>
      </w:r>
    </w:p>
    <w:p w14:paraId="3597A4C4">
      <w:pPr>
        <w:pStyle w:val="32"/>
        <w:tabs>
          <w:tab w:val="left" w:pos="1302"/>
        </w:tabs>
        <w:topLinePunct/>
        <w:snapToGrid w:val="0"/>
        <w:spacing w:beforeLines="25" w:line="300" w:lineRule="auto"/>
        <w:ind w:left="1310" w:leftChars="324" w:hanging="630" w:hangingChars="300"/>
        <w:jc w:val="both"/>
        <w:rPr>
          <w:rFonts w:ascii="Times New Roman" w:hAnsi="Times New Roman"/>
          <w:kern w:val="2"/>
          <w:szCs w:val="21"/>
        </w:rPr>
      </w:pPr>
      <w:r>
        <w:rPr>
          <w:rFonts w:hint="eastAsia" w:ascii="Times New Roman" w:hAnsi="Times New Roman"/>
          <w:kern w:val="2"/>
          <w:szCs w:val="21"/>
        </w:rPr>
        <w:t>(b)</w:t>
      </w:r>
      <w:r>
        <w:rPr>
          <w:rFonts w:hint="eastAsia" w:ascii="Times New Roman" w:hAnsi="Times New Roman"/>
          <w:kern w:val="2"/>
          <w:szCs w:val="21"/>
        </w:rPr>
        <w:tab/>
      </w:r>
      <w:r>
        <w:rPr>
          <w:rFonts w:ascii="Times New Roman" w:hAnsi="Times New Roman"/>
          <w:kern w:val="2"/>
          <w:szCs w:val="21"/>
        </w:rPr>
        <w:t>针对技术知识、经验、教育、培训和使用环境，以及预期使用者医疗及身体条件（如适用）的注意事项（针对非专业、专业、残疾或其他使用者而设计）。</w:t>
      </w:r>
    </w:p>
    <w:p w14:paraId="120D348E">
      <w:pPr>
        <w:pStyle w:val="32"/>
        <w:numPr>
          <w:ilvl w:val="0"/>
          <w:numId w:val="121"/>
        </w:numPr>
        <w:tabs>
          <w:tab w:val="left" w:pos="682"/>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如器械在正常使用环境中使用并根据制造商的指示进行适当维护保养，在制造商声称的使用期限内</w:t>
      </w:r>
      <w:r>
        <w:rPr>
          <w:rStyle w:val="31"/>
          <w:rFonts w:hint="eastAsia" w:ascii="Times New Roman" w:hAnsi="Times New Roman"/>
          <w:kern w:val="2"/>
          <w:szCs w:val="21"/>
        </w:rPr>
        <w:t>器械</w:t>
      </w:r>
      <w:r>
        <w:rPr>
          <w:rStyle w:val="31"/>
          <w:rFonts w:ascii="Times New Roman" w:hAnsi="Times New Roman"/>
          <w:kern w:val="2"/>
          <w:szCs w:val="21"/>
        </w:rPr>
        <w:t>的特性和性能不得对患者、使用者</w:t>
      </w:r>
      <w:r>
        <w:rPr>
          <w:rFonts w:ascii="Times New Roman" w:hAnsi="Times New Roman"/>
          <w:kern w:val="2"/>
          <w:szCs w:val="21"/>
        </w:rPr>
        <w:t>或其他人员（如适用）</w:t>
      </w:r>
      <w:r>
        <w:rPr>
          <w:rStyle w:val="31"/>
          <w:rFonts w:ascii="Times New Roman" w:hAnsi="Times New Roman"/>
          <w:kern w:val="2"/>
          <w:szCs w:val="21"/>
        </w:rPr>
        <w:t>的健康或安全造成损害</w:t>
      </w:r>
      <w:r>
        <w:rPr>
          <w:rFonts w:ascii="Times New Roman" w:hAnsi="Times New Roman"/>
          <w:kern w:val="2"/>
          <w:szCs w:val="21"/>
        </w:rPr>
        <w:t>。</w:t>
      </w:r>
    </w:p>
    <w:p w14:paraId="31B5F692">
      <w:pPr>
        <w:pStyle w:val="32"/>
        <w:numPr>
          <w:ilvl w:val="0"/>
          <w:numId w:val="121"/>
        </w:numPr>
        <w:tabs>
          <w:tab w:val="left" w:pos="682"/>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器械的设计、制造和包装应确保在根据制造商提供的说明和信息进行运输和储存期间（如温度和湿度的波动），不会对器械在预期使用期间的特性和性能造成不利影响。</w:t>
      </w:r>
    </w:p>
    <w:p w14:paraId="30097446">
      <w:pPr>
        <w:pStyle w:val="32"/>
        <w:numPr>
          <w:ilvl w:val="0"/>
          <w:numId w:val="121"/>
        </w:numPr>
        <w:tabs>
          <w:tab w:val="left" w:pos="682"/>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与正常使用条件下器械预期性能对患者和/或使用者产生的潜在益处相比，所有已知和可预见的风险及任何不良影响应最小化并控制在可接受范围内。</w:t>
      </w:r>
    </w:p>
    <w:p w14:paraId="38318A66">
      <w:pPr>
        <w:pStyle w:val="32"/>
        <w:numPr>
          <w:ilvl w:val="0"/>
          <w:numId w:val="121"/>
        </w:numPr>
        <w:tabs>
          <w:tab w:val="left" w:pos="682"/>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对于在附录XVI中所列出的，制造商</w:t>
      </w:r>
      <w:r>
        <w:rPr>
          <w:rFonts w:hint="eastAsia" w:ascii="Times New Roman" w:hAnsi="Times New Roman"/>
          <w:kern w:val="2"/>
          <w:szCs w:val="21"/>
        </w:rPr>
        <w:t>未</w:t>
      </w:r>
      <w:r>
        <w:rPr>
          <w:rFonts w:ascii="Times New Roman" w:hAnsi="Times New Roman"/>
          <w:kern w:val="2"/>
          <w:szCs w:val="21"/>
        </w:rPr>
        <w:t>声称用于医疗目的之器械，应充分了解在第1节和第8节规定的通用安全要求，即在预期条件下</w:t>
      </w:r>
      <w:r>
        <w:rPr>
          <w:rFonts w:hint="eastAsia" w:ascii="Times New Roman" w:hAnsi="Times New Roman"/>
          <w:kern w:val="2"/>
          <w:szCs w:val="21"/>
        </w:rPr>
        <w:t>出于</w:t>
      </w:r>
      <w:r>
        <w:rPr>
          <w:rFonts w:ascii="Times New Roman" w:hAnsi="Times New Roman"/>
          <w:kern w:val="2"/>
          <w:szCs w:val="21"/>
        </w:rPr>
        <w:t>预期目的而使用器械时，器械不得出现任何风险，或出现不超过与产品使用相关的最大可接受风险，这符合高水平保障人员安全和健康原则一致。</w:t>
      </w:r>
    </w:p>
    <w:p w14:paraId="6612E7CF">
      <w:pPr>
        <w:pStyle w:val="4"/>
        <w:tabs>
          <w:tab w:val="left" w:pos="682"/>
        </w:tabs>
        <w:topLinePunct/>
        <w:snapToGrid w:val="0"/>
        <w:spacing w:beforeLines="50" w:line="300" w:lineRule="auto"/>
        <w:ind w:firstLine="0"/>
        <w:jc w:val="center"/>
        <w:rPr>
          <w:rFonts w:ascii="Times New Roman" w:hAnsi="Times New Roman"/>
          <w:kern w:val="2"/>
          <w:sz w:val="21"/>
          <w:szCs w:val="21"/>
        </w:rPr>
      </w:pPr>
    </w:p>
    <w:p w14:paraId="2EFAA3B4">
      <w:pPr>
        <w:pStyle w:val="4"/>
        <w:tabs>
          <w:tab w:val="left" w:pos="682"/>
        </w:tabs>
        <w:topLinePunct/>
        <w:snapToGrid w:val="0"/>
        <w:spacing w:beforeLines="50" w:line="300" w:lineRule="auto"/>
        <w:ind w:firstLine="0"/>
        <w:jc w:val="center"/>
        <w:rPr>
          <w:rFonts w:ascii="Times New Roman" w:hAnsi="Times New Roman"/>
          <w:b w:val="0"/>
          <w:bCs w:val="0"/>
          <w:kern w:val="2"/>
          <w:sz w:val="21"/>
          <w:szCs w:val="21"/>
        </w:rPr>
      </w:pPr>
      <w:r>
        <w:rPr>
          <w:rFonts w:ascii="Times New Roman" w:hAnsi="Times New Roman"/>
          <w:kern w:val="2"/>
          <w:sz w:val="21"/>
          <w:szCs w:val="21"/>
        </w:rPr>
        <w:t>第II章</w:t>
      </w:r>
      <w:r>
        <w:rPr>
          <w:rFonts w:hint="eastAsia" w:ascii="Times New Roman" w:hAnsi="Times New Roman"/>
          <w:kern w:val="2"/>
          <w:sz w:val="21"/>
          <w:szCs w:val="21"/>
        </w:rPr>
        <w:br w:type="textWrapping"/>
      </w:r>
      <w:r>
        <w:rPr>
          <w:rFonts w:ascii="Times New Roman" w:hAnsi="Times New Roman"/>
          <w:kern w:val="2"/>
          <w:sz w:val="21"/>
          <w:szCs w:val="21"/>
        </w:rPr>
        <w:t>设计和生产</w:t>
      </w:r>
      <w:r>
        <w:rPr>
          <w:rFonts w:ascii="Times New Roman" w:hAnsi="Times New Roman"/>
          <w:kern w:val="2"/>
          <w:sz w:val="21"/>
          <w:szCs w:val="21"/>
          <w:lang w:val="en-US"/>
        </w:rPr>
        <w:t>相关</w:t>
      </w:r>
      <w:r>
        <w:rPr>
          <w:rFonts w:ascii="Times New Roman" w:hAnsi="Times New Roman"/>
          <w:kern w:val="2"/>
          <w:sz w:val="21"/>
          <w:szCs w:val="21"/>
        </w:rPr>
        <w:t>要求</w:t>
      </w:r>
    </w:p>
    <w:p w14:paraId="6621C499">
      <w:pPr>
        <w:pStyle w:val="32"/>
        <w:numPr>
          <w:ilvl w:val="0"/>
          <w:numId w:val="122"/>
        </w:numPr>
        <w:tabs>
          <w:tab w:val="left" w:pos="682"/>
        </w:tabs>
        <w:topLinePunct/>
        <w:snapToGrid w:val="0"/>
        <w:spacing w:beforeLines="50" w:line="300" w:lineRule="auto"/>
        <w:jc w:val="both"/>
        <w:rPr>
          <w:rFonts w:ascii="Times New Roman" w:hAnsi="Times New Roman"/>
          <w:kern w:val="2"/>
          <w:szCs w:val="21"/>
        </w:rPr>
      </w:pPr>
      <w:r>
        <w:rPr>
          <w:rFonts w:ascii="Times New Roman" w:hAnsi="Times New Roman"/>
          <w:b/>
          <w:kern w:val="2"/>
          <w:szCs w:val="21"/>
        </w:rPr>
        <w:t>化学、物理和生物学特性</w:t>
      </w:r>
    </w:p>
    <w:p w14:paraId="251E4896">
      <w:pPr>
        <w:pStyle w:val="32"/>
        <w:numPr>
          <w:ilvl w:val="1"/>
          <w:numId w:val="122"/>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器械的设计和生产应当能确保符合第I章中所述的特性和性能</w:t>
      </w:r>
      <w:r>
        <w:rPr>
          <w:rFonts w:hint="eastAsia" w:ascii="Times New Roman" w:hAnsi="Times New Roman"/>
          <w:kern w:val="2"/>
          <w:szCs w:val="21"/>
        </w:rPr>
        <w:t>要求</w:t>
      </w:r>
      <w:r>
        <w:rPr>
          <w:rFonts w:ascii="Times New Roman" w:hAnsi="Times New Roman"/>
          <w:kern w:val="2"/>
          <w:szCs w:val="21"/>
        </w:rPr>
        <w:t>。特别注意：</w:t>
      </w:r>
    </w:p>
    <w:p w14:paraId="0BB3C4D9">
      <w:pPr>
        <w:pStyle w:val="32"/>
        <w:numPr>
          <w:ilvl w:val="2"/>
          <w:numId w:val="122"/>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使用材料和物质的选择，特别是毒性和易燃性（如适用）</w:t>
      </w:r>
    </w:p>
    <w:p w14:paraId="137954E0">
      <w:pPr>
        <w:pStyle w:val="32"/>
        <w:numPr>
          <w:ilvl w:val="2"/>
          <w:numId w:val="122"/>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所使用材料和物质与生物组织，细胞及体液间的相容性，及考虑到器械使用目的及相关的吸收、分布、新陈代谢和排泄；</w:t>
      </w:r>
    </w:p>
    <w:p w14:paraId="3360B60A">
      <w:pPr>
        <w:pStyle w:val="32"/>
        <w:numPr>
          <w:ilvl w:val="2"/>
          <w:numId w:val="122"/>
        </w:numPr>
        <w:tabs>
          <w:tab w:val="left" w:pos="1248"/>
        </w:tabs>
        <w:topLinePunct/>
        <w:snapToGrid w:val="0"/>
        <w:spacing w:beforeLines="50" w:line="300" w:lineRule="auto"/>
        <w:ind w:left="1247"/>
        <w:jc w:val="both"/>
        <w:rPr>
          <w:rFonts w:ascii="Times New Roman" w:hAnsi="Times New Roman"/>
          <w:kern w:val="2"/>
          <w:szCs w:val="21"/>
        </w:rPr>
      </w:pPr>
      <w:r>
        <w:rPr>
          <w:rFonts w:ascii="Times New Roman" w:hAnsi="Times New Roman"/>
          <w:kern w:val="2"/>
          <w:szCs w:val="21"/>
        </w:rPr>
        <w:t>器械不同部件之间的兼容性，该器械由多个可植入部件组成；</w:t>
      </w:r>
    </w:p>
    <w:p w14:paraId="29A1A766">
      <w:pPr>
        <w:pStyle w:val="32"/>
        <w:numPr>
          <w:ilvl w:val="2"/>
          <w:numId w:val="122"/>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过程对材料性能的影响；</w:t>
      </w:r>
    </w:p>
    <w:p w14:paraId="1E728267">
      <w:pPr>
        <w:pStyle w:val="32"/>
        <w:numPr>
          <w:ilvl w:val="2"/>
          <w:numId w:val="122"/>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如适用，生物物理学或建模研究结果有效性已事先获得证实；</w:t>
      </w:r>
    </w:p>
    <w:p w14:paraId="3BBDA7AF">
      <w:pPr>
        <w:pStyle w:val="32"/>
        <w:numPr>
          <w:ilvl w:val="2"/>
          <w:numId w:val="122"/>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所使用材料的机械性能，在适当情况下反映诸如强度、延展性、抗断裂性、耐磨性和耐疲劳强度等问题；</w:t>
      </w:r>
    </w:p>
    <w:p w14:paraId="42EF2793">
      <w:pPr>
        <w:pStyle w:val="32"/>
        <w:numPr>
          <w:ilvl w:val="2"/>
          <w:numId w:val="122"/>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表面活性；</w:t>
      </w:r>
    </w:p>
    <w:p w14:paraId="5C44FECF">
      <w:pPr>
        <w:pStyle w:val="32"/>
        <w:numPr>
          <w:ilvl w:val="2"/>
          <w:numId w:val="122"/>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确认该器械满足任何确定的化学和/或物理要求。</w:t>
      </w:r>
    </w:p>
    <w:p w14:paraId="200250A5">
      <w:pPr>
        <w:pStyle w:val="32"/>
        <w:numPr>
          <w:ilvl w:val="1"/>
          <w:numId w:val="122"/>
        </w:numPr>
        <w:tabs>
          <w:tab w:val="left" w:pos="682"/>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器械的设计、生产和包装应尽可能降低污染物和残留物对患者造成的风险，同时考虑到器械预期用途以及参与器械运输、储存和使用的人员。</w:t>
      </w:r>
    </w:p>
    <w:p w14:paraId="07CFBA5A">
      <w:pPr>
        <w:pStyle w:val="32"/>
        <w:tabs>
          <w:tab w:val="left" w:pos="682"/>
        </w:tabs>
        <w:topLinePunct/>
        <w:snapToGrid w:val="0"/>
        <w:spacing w:beforeLines="50" w:line="300" w:lineRule="auto"/>
        <w:ind w:left="681"/>
        <w:jc w:val="both"/>
        <w:rPr>
          <w:rFonts w:ascii="Times New Roman" w:hAnsi="Times New Roman"/>
          <w:kern w:val="2"/>
          <w:szCs w:val="21"/>
        </w:rPr>
      </w:pPr>
      <w:r>
        <w:rPr>
          <w:rFonts w:ascii="Times New Roman" w:hAnsi="Times New Roman"/>
          <w:kern w:val="2"/>
          <w:szCs w:val="21"/>
        </w:rPr>
        <w:t>应当特别注意暴露于这些污染物和残留物的组织以及暴露时间与频率。</w:t>
      </w:r>
    </w:p>
    <w:p w14:paraId="7CF81EBE">
      <w:pPr>
        <w:pStyle w:val="32"/>
        <w:numPr>
          <w:ilvl w:val="1"/>
          <w:numId w:val="122"/>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器械的设计和生产应以能使其可安全地与材料和物质（包括气体）一起使用，</w:t>
      </w:r>
      <w:r>
        <w:rPr>
          <w:rFonts w:hint="eastAsia" w:ascii="Times New Roman" w:hAnsi="Times New Roman"/>
          <w:kern w:val="2"/>
          <w:szCs w:val="21"/>
        </w:rPr>
        <w:t>且</w:t>
      </w:r>
      <w:r>
        <w:rPr>
          <w:rFonts w:ascii="Times New Roman" w:hAnsi="Times New Roman"/>
          <w:kern w:val="2"/>
          <w:szCs w:val="21"/>
        </w:rPr>
        <w:t>在预期使用时，这些材料和物质会与器械接触；若器械预期用于管理医疗产品，根据管理这些医疗产品的条款和限制，则</w:t>
      </w:r>
      <w:r>
        <w:rPr>
          <w:rFonts w:hint="eastAsia" w:ascii="Times New Roman" w:hAnsi="Times New Roman"/>
          <w:kern w:val="2"/>
          <w:szCs w:val="21"/>
        </w:rPr>
        <w:t>其</w:t>
      </w:r>
      <w:r>
        <w:rPr>
          <w:rFonts w:ascii="Times New Roman" w:hAnsi="Times New Roman"/>
          <w:kern w:val="2"/>
          <w:szCs w:val="21"/>
        </w:rPr>
        <w:t>设计和制造应使其能够与相关的医疗产品兼容，并应</w:t>
      </w:r>
      <w:r>
        <w:rPr>
          <w:rFonts w:hint="eastAsia" w:ascii="Times New Roman" w:hAnsi="Times New Roman"/>
          <w:kern w:val="2"/>
          <w:szCs w:val="21"/>
        </w:rPr>
        <w:t>可</w:t>
      </w:r>
      <w:r>
        <w:rPr>
          <w:rFonts w:ascii="Times New Roman" w:hAnsi="Times New Roman"/>
          <w:kern w:val="2"/>
          <w:szCs w:val="21"/>
        </w:rPr>
        <w:t>根据其相应的指示和预期用途维护医疗产品和器械的性能。</w:t>
      </w:r>
    </w:p>
    <w:p w14:paraId="545DA512">
      <w:pPr>
        <w:pStyle w:val="32"/>
        <w:numPr>
          <w:ilvl w:val="1"/>
          <w:numId w:val="122"/>
        </w:numPr>
        <w:tabs>
          <w:tab w:val="left" w:pos="965"/>
        </w:tabs>
        <w:topLinePunct/>
        <w:snapToGrid w:val="0"/>
        <w:spacing w:beforeLines="2" w:line="264" w:lineRule="auto"/>
        <w:ind w:left="964" w:hanging="850"/>
        <w:jc w:val="both"/>
        <w:rPr>
          <w:rFonts w:ascii="Times New Roman" w:hAnsi="Times New Roman"/>
          <w:kern w:val="2"/>
          <w:szCs w:val="21"/>
        </w:rPr>
      </w:pPr>
      <w:r>
        <w:rPr>
          <w:rFonts w:ascii="Times New Roman" w:hAnsi="Times New Roman"/>
          <w:kern w:val="2"/>
          <w:szCs w:val="21"/>
        </w:rPr>
        <w:t>物质</w:t>
      </w:r>
    </w:p>
    <w:p w14:paraId="68A0FDF7">
      <w:pPr>
        <w:pStyle w:val="32"/>
        <w:tabs>
          <w:tab w:val="left" w:pos="952"/>
        </w:tabs>
        <w:topLinePunct/>
        <w:snapToGrid w:val="0"/>
        <w:spacing w:beforeLines="2" w:line="264" w:lineRule="auto"/>
        <w:ind w:firstLine="105" w:firstLineChars="50"/>
        <w:jc w:val="both"/>
        <w:rPr>
          <w:rFonts w:ascii="Times New Roman" w:hAnsi="Times New Roman"/>
          <w:kern w:val="2"/>
          <w:szCs w:val="21"/>
        </w:rPr>
      </w:pPr>
      <w:r>
        <w:rPr>
          <w:rFonts w:ascii="Times New Roman" w:hAnsi="Times New Roman"/>
          <w:kern w:val="2"/>
          <w:szCs w:val="21"/>
        </w:rPr>
        <w:t>10.4.</w:t>
      </w:r>
      <w:r>
        <w:rPr>
          <w:rFonts w:hint="eastAsia" w:ascii="Times New Roman" w:hAnsi="Times New Roman"/>
          <w:kern w:val="2"/>
          <w:szCs w:val="21"/>
        </w:rPr>
        <w:t>1</w:t>
      </w:r>
      <w:r>
        <w:rPr>
          <w:rFonts w:ascii="Times New Roman" w:hAnsi="Times New Roman"/>
          <w:kern w:val="2"/>
          <w:szCs w:val="21"/>
        </w:rPr>
        <w:tab/>
      </w:r>
      <w:r>
        <w:rPr>
          <w:rFonts w:ascii="Times New Roman" w:hAnsi="Times New Roman"/>
          <w:kern w:val="2"/>
          <w:szCs w:val="21"/>
        </w:rPr>
        <w:t>器械的设计和生产</w:t>
      </w:r>
    </w:p>
    <w:p w14:paraId="0CAFE5FE">
      <w:pPr>
        <w:tabs>
          <w:tab w:val="left" w:pos="965"/>
        </w:tabs>
        <w:snapToGrid w:val="0"/>
        <w:spacing w:beforeLines="2" w:line="264" w:lineRule="auto"/>
        <w:ind w:left="882" w:leftChars="420"/>
        <w:rPr>
          <w:rFonts w:ascii="Times New Roman" w:hAnsi="Times New Roman"/>
          <w:kern w:val="2"/>
          <w:szCs w:val="21"/>
          <w:lang w:val="zh-CN"/>
        </w:rPr>
      </w:pPr>
      <w:r>
        <w:rPr>
          <w:rFonts w:ascii="Times New Roman" w:hAnsi="Times New Roman"/>
          <w:kern w:val="2"/>
          <w:szCs w:val="21"/>
        </w:rPr>
        <w:t>器械的设计和制造应尽可能降低由物质或颗粒（包括磨屑、降解产物</w:t>
      </w:r>
      <w:r>
        <w:rPr>
          <w:rFonts w:ascii="Times New Roman" w:hAnsi="Times New Roman"/>
          <w:kern w:val="2"/>
          <w:szCs w:val="21"/>
          <w:lang w:val="zh-CN"/>
        </w:rPr>
        <w:t>和加工残留物）造成的风险，而此类物质或颗粒可能由器械产生。</w:t>
      </w:r>
    </w:p>
    <w:p w14:paraId="5270AF4B">
      <w:pPr>
        <w:pStyle w:val="8"/>
        <w:topLinePunct/>
        <w:snapToGrid w:val="0"/>
        <w:spacing w:beforeLines="2" w:line="264" w:lineRule="auto"/>
        <w:ind w:left="964" w:firstLine="0"/>
        <w:jc w:val="both"/>
        <w:rPr>
          <w:kern w:val="2"/>
          <w:szCs w:val="21"/>
          <w:lang w:val="en-US"/>
        </w:rPr>
      </w:pPr>
      <w:r>
        <w:rPr>
          <w:kern w:val="2"/>
          <w:szCs w:val="21"/>
        </w:rPr>
        <w:t>器械或其部件或其使用的材料</w:t>
      </w:r>
      <w:r>
        <w:rPr>
          <w:kern w:val="2"/>
          <w:szCs w:val="21"/>
          <w:lang w:val="en-US"/>
        </w:rPr>
        <w:t>：</w:t>
      </w:r>
    </w:p>
    <w:p w14:paraId="0410FE98">
      <w:pPr>
        <w:pStyle w:val="32"/>
        <w:numPr>
          <w:ilvl w:val="3"/>
          <w:numId w:val="123"/>
        </w:numPr>
        <w:tabs>
          <w:tab w:val="left" w:pos="1533"/>
        </w:tabs>
        <w:topLinePunct/>
        <w:snapToGrid w:val="0"/>
        <w:spacing w:beforeLines="2" w:line="264" w:lineRule="auto"/>
        <w:jc w:val="both"/>
        <w:rPr>
          <w:rFonts w:ascii="Times New Roman" w:hAnsi="Times New Roman"/>
          <w:kern w:val="2"/>
          <w:szCs w:val="21"/>
          <w:lang w:val="en-US"/>
        </w:rPr>
      </w:pPr>
      <w:r>
        <w:rPr>
          <w:rFonts w:ascii="Times New Roman" w:hAnsi="Times New Roman"/>
          <w:kern w:val="2"/>
          <w:szCs w:val="21"/>
        </w:rPr>
        <w:t>具有侵入性</w:t>
      </w:r>
      <w:r>
        <w:rPr>
          <w:rFonts w:ascii="Times New Roman" w:hAnsi="Times New Roman"/>
          <w:kern w:val="2"/>
          <w:szCs w:val="21"/>
          <w:lang w:val="en-US"/>
        </w:rPr>
        <w:t>，</w:t>
      </w:r>
      <w:r>
        <w:rPr>
          <w:rFonts w:ascii="Times New Roman" w:hAnsi="Times New Roman"/>
          <w:kern w:val="2"/>
          <w:szCs w:val="21"/>
        </w:rPr>
        <w:t>并与人体直接接触</w:t>
      </w:r>
      <w:r>
        <w:rPr>
          <w:rFonts w:ascii="Times New Roman" w:hAnsi="Times New Roman"/>
          <w:kern w:val="2"/>
          <w:szCs w:val="21"/>
          <w:lang w:val="en-US"/>
        </w:rPr>
        <w:t>，</w:t>
      </w:r>
      <w:r>
        <w:rPr>
          <w:rFonts w:ascii="Times New Roman" w:hAnsi="Times New Roman"/>
          <w:kern w:val="2"/>
          <w:szCs w:val="21"/>
        </w:rPr>
        <w:t>或</w:t>
      </w:r>
    </w:p>
    <w:p w14:paraId="62E91CF2">
      <w:pPr>
        <w:pStyle w:val="32"/>
        <w:numPr>
          <w:ilvl w:val="3"/>
          <w:numId w:val="123"/>
        </w:numPr>
        <w:tabs>
          <w:tab w:val="left" w:pos="1533"/>
        </w:tabs>
        <w:topLinePunct/>
        <w:snapToGrid w:val="0"/>
        <w:spacing w:beforeLines="2" w:line="264" w:lineRule="auto"/>
        <w:jc w:val="both"/>
        <w:rPr>
          <w:rFonts w:ascii="Times New Roman" w:hAnsi="Times New Roman"/>
          <w:kern w:val="2"/>
          <w:szCs w:val="21"/>
        </w:rPr>
      </w:pPr>
      <w:r>
        <w:rPr>
          <w:rFonts w:ascii="Times New Roman" w:hAnsi="Times New Roman"/>
          <w:kern w:val="2"/>
          <w:szCs w:val="21"/>
        </w:rPr>
        <w:t>（重新）为人体输送药物、体液或其他物质（包括气体），或</w:t>
      </w:r>
    </w:p>
    <w:p w14:paraId="01DD71A5">
      <w:pPr>
        <w:pStyle w:val="32"/>
        <w:numPr>
          <w:ilvl w:val="3"/>
          <w:numId w:val="123"/>
        </w:numPr>
        <w:tabs>
          <w:tab w:val="left" w:pos="1533"/>
        </w:tabs>
        <w:topLinePunct/>
        <w:snapToGrid w:val="0"/>
        <w:spacing w:beforeLines="2" w:line="264" w:lineRule="auto"/>
        <w:jc w:val="both"/>
        <w:rPr>
          <w:rFonts w:ascii="Times New Roman" w:hAnsi="Times New Roman"/>
          <w:kern w:val="2"/>
          <w:szCs w:val="21"/>
        </w:rPr>
      </w:pPr>
      <w:r>
        <w:rPr>
          <w:rFonts w:ascii="Times New Roman" w:hAnsi="Times New Roman"/>
          <w:kern w:val="2"/>
          <w:szCs w:val="21"/>
        </w:rPr>
        <w:t>运输或储存待（重新）为人体输送药物、体液或物质（包括气体），</w:t>
      </w:r>
    </w:p>
    <w:p w14:paraId="383F12D6">
      <w:pPr>
        <w:pStyle w:val="32"/>
        <w:tabs>
          <w:tab w:val="left" w:pos="1533"/>
        </w:tabs>
        <w:topLinePunct/>
        <w:snapToGrid w:val="0"/>
        <w:spacing w:beforeLines="2" w:line="264" w:lineRule="auto"/>
        <w:ind w:left="964"/>
        <w:jc w:val="both"/>
        <w:rPr>
          <w:rFonts w:ascii="Times New Roman" w:hAnsi="Times New Roman"/>
          <w:kern w:val="2"/>
          <w:szCs w:val="21"/>
        </w:rPr>
      </w:pPr>
      <w:r>
        <w:rPr>
          <w:rFonts w:ascii="Times New Roman" w:hAnsi="Times New Roman"/>
          <w:kern w:val="2"/>
          <w:szCs w:val="21"/>
        </w:rPr>
        <w:t>在根据第10.4.2节进行调整时，应仅包含浓度高于0.1%重量比的以下物质：</w:t>
      </w:r>
    </w:p>
    <w:p w14:paraId="51D844A6">
      <w:pPr>
        <w:pStyle w:val="32"/>
        <w:numPr>
          <w:ilvl w:val="0"/>
          <w:numId w:val="124"/>
        </w:numPr>
        <w:tabs>
          <w:tab w:val="left" w:pos="1533"/>
        </w:tabs>
        <w:topLinePunct/>
        <w:snapToGrid w:val="0"/>
        <w:spacing w:beforeLines="2" w:line="264" w:lineRule="auto"/>
        <w:ind w:left="1531" w:hanging="567"/>
        <w:jc w:val="both"/>
        <w:rPr>
          <w:rFonts w:ascii="Times New Roman" w:hAnsi="Times New Roman"/>
          <w:kern w:val="2"/>
          <w:szCs w:val="21"/>
        </w:rPr>
      </w:pPr>
      <w:r>
        <w:rPr>
          <w:rFonts w:ascii="Times New Roman" w:hAnsi="Times New Roman"/>
          <w:kern w:val="2"/>
          <w:szCs w:val="21"/>
        </w:rPr>
        <w:t>1A或1B类有致癌、致突变或生育毒性('CMR')的物质，</w:t>
      </w:r>
      <w:r>
        <w:rPr>
          <w:rFonts w:hint="eastAsia" w:ascii="Times New Roman" w:hAnsi="Times New Roman"/>
          <w:kern w:val="2"/>
          <w:szCs w:val="21"/>
        </w:rPr>
        <w:t>依据</w:t>
      </w:r>
      <w:r>
        <w:rPr>
          <w:rFonts w:ascii="Times New Roman" w:hAnsi="Times New Roman"/>
          <w:kern w:val="2"/>
          <w:szCs w:val="21"/>
        </w:rPr>
        <w:t>欧洲议会和理事会第1272/2008号法规附录VI第3部分</w:t>
      </w:r>
      <w:r>
        <w:rPr>
          <w:rFonts w:hint="eastAsia" w:ascii="Times New Roman" w:hAnsi="Times New Roman"/>
          <w:kern w:val="2"/>
          <w:szCs w:val="21"/>
        </w:rPr>
        <w:t>判断，或</w:t>
      </w:r>
    </w:p>
    <w:p w14:paraId="39DE1795">
      <w:pPr>
        <w:pStyle w:val="32"/>
        <w:numPr>
          <w:ilvl w:val="0"/>
          <w:numId w:val="124"/>
        </w:numPr>
        <w:tabs>
          <w:tab w:val="left" w:pos="1533"/>
        </w:tabs>
        <w:topLinePunct/>
        <w:snapToGrid w:val="0"/>
        <w:spacing w:beforeLines="2" w:line="264" w:lineRule="auto"/>
        <w:ind w:left="1531" w:hanging="567"/>
        <w:jc w:val="both"/>
        <w:rPr>
          <w:rFonts w:ascii="Times New Roman" w:hAnsi="Times New Roman"/>
          <w:kern w:val="2"/>
          <w:szCs w:val="21"/>
        </w:rPr>
      </w:pPr>
      <w:r>
        <w:rPr>
          <w:rFonts w:ascii="Times New Roman" w:hAnsi="Times New Roman"/>
          <w:kern w:val="2"/>
          <w:szCs w:val="21"/>
        </w:rPr>
        <w:t>有科学证据证明可能对人类健康造成严重影响的具有内分泌干扰性质的物质</w:t>
      </w:r>
      <w:r>
        <w:rPr>
          <w:rFonts w:hint="eastAsia" w:ascii="Times New Roman" w:hAnsi="Times New Roman"/>
          <w:kern w:val="2"/>
          <w:szCs w:val="21"/>
        </w:rPr>
        <w:t>，</w:t>
      </w:r>
      <w:r>
        <w:rPr>
          <w:rFonts w:ascii="Times New Roman" w:hAnsi="Times New Roman"/>
          <w:kern w:val="2"/>
          <w:szCs w:val="21"/>
        </w:rPr>
        <w:t>根据欧洲议会和理事会第1907/2006号法规</w:t>
      </w:r>
      <w:r>
        <w:rPr>
          <w:rFonts w:hint="eastAsia" w:ascii="Times New Roman" w:hAnsi="Times New Roman"/>
          <w:kern w:val="2"/>
          <w:szCs w:val="21"/>
        </w:rPr>
        <w:t>（</w:t>
      </w:r>
      <w:r>
        <w:rPr>
          <w:rFonts w:ascii="Times New Roman" w:hAnsi="Times New Roman"/>
          <w:kern w:val="2"/>
          <w:szCs w:val="21"/>
          <w:vertAlign w:val="superscript"/>
        </w:rPr>
        <w:t>2</w:t>
      </w:r>
      <w:r>
        <w:rPr>
          <w:rFonts w:hint="eastAsia" w:ascii="Times New Roman" w:hAnsi="Times New Roman"/>
          <w:kern w:val="2"/>
          <w:szCs w:val="21"/>
        </w:rPr>
        <w:t>）</w:t>
      </w:r>
      <w:r>
        <w:rPr>
          <w:rFonts w:ascii="Times New Roman" w:hAnsi="Times New Roman"/>
          <w:kern w:val="2"/>
          <w:szCs w:val="21"/>
        </w:rPr>
        <w:t>第59条规定程序</w:t>
      </w:r>
      <w:r>
        <w:rPr>
          <w:rFonts w:hint="eastAsia" w:ascii="Times New Roman" w:hAnsi="Times New Roman"/>
          <w:kern w:val="2"/>
          <w:szCs w:val="21"/>
          <w:lang w:val="en-US"/>
        </w:rPr>
        <w:t>识别，</w:t>
      </w:r>
      <w:r>
        <w:rPr>
          <w:rFonts w:ascii="Times New Roman" w:hAnsi="Times New Roman"/>
          <w:kern w:val="2"/>
          <w:szCs w:val="21"/>
        </w:rPr>
        <w:t>或</w:t>
      </w:r>
      <w:r>
        <w:rPr>
          <w:rFonts w:hint="eastAsia" w:ascii="Times New Roman" w:hAnsi="Times New Roman"/>
          <w:kern w:val="2"/>
          <w:szCs w:val="21"/>
        </w:rPr>
        <w:t>者</w:t>
      </w:r>
      <w:r>
        <w:rPr>
          <w:rFonts w:ascii="Times New Roman" w:hAnsi="Times New Roman"/>
          <w:kern w:val="2"/>
          <w:szCs w:val="21"/>
        </w:rPr>
        <w:t>委员会根据欧洲议会和理事会第528/2012号法规</w:t>
      </w:r>
      <w:r>
        <w:rPr>
          <w:rFonts w:hint="eastAsia" w:ascii="Times New Roman" w:hAnsi="Times New Roman"/>
          <w:kern w:val="2"/>
          <w:szCs w:val="21"/>
        </w:rPr>
        <w:t>（</w:t>
      </w:r>
      <w:r>
        <w:rPr>
          <w:rFonts w:ascii="Times New Roman" w:hAnsi="Times New Roman"/>
          <w:kern w:val="2"/>
          <w:szCs w:val="21"/>
          <w:vertAlign w:val="superscript"/>
        </w:rPr>
        <w:t>3</w:t>
      </w:r>
      <w:r>
        <w:rPr>
          <w:rFonts w:hint="eastAsia" w:ascii="Times New Roman" w:hAnsi="Times New Roman"/>
          <w:kern w:val="2"/>
          <w:szCs w:val="21"/>
        </w:rPr>
        <w:t>）</w:t>
      </w:r>
      <w:r>
        <w:rPr>
          <w:rFonts w:ascii="Times New Roman" w:hAnsi="Times New Roman"/>
          <w:kern w:val="2"/>
          <w:szCs w:val="21"/>
        </w:rPr>
        <w:t>第5（3）条第一段通过授权法案</w:t>
      </w:r>
      <w:r>
        <w:rPr>
          <w:rFonts w:hint="eastAsia" w:ascii="Times New Roman" w:hAnsi="Times New Roman"/>
          <w:kern w:val="2"/>
          <w:szCs w:val="21"/>
        </w:rPr>
        <w:t>后，</w:t>
      </w:r>
      <w:r>
        <w:rPr>
          <w:rFonts w:ascii="Times New Roman" w:hAnsi="Times New Roman"/>
          <w:kern w:val="2"/>
          <w:szCs w:val="21"/>
          <w:lang w:val="en-US"/>
        </w:rPr>
        <w:t>根据</w:t>
      </w:r>
      <w:r>
        <w:rPr>
          <w:rFonts w:hint="eastAsia" w:ascii="Times New Roman" w:hAnsi="Times New Roman"/>
          <w:kern w:val="2"/>
          <w:szCs w:val="21"/>
          <w:lang w:val="en-US"/>
        </w:rPr>
        <w:t>本法规规定之</w:t>
      </w:r>
      <w:r>
        <w:rPr>
          <w:rFonts w:ascii="Times New Roman" w:hAnsi="Times New Roman"/>
          <w:kern w:val="2"/>
          <w:szCs w:val="21"/>
          <w:lang w:val="en-US"/>
        </w:rPr>
        <w:t>与人类健康相关准则</w:t>
      </w:r>
      <w:r>
        <w:rPr>
          <w:rFonts w:hint="eastAsia" w:ascii="Times New Roman" w:hAnsi="Times New Roman"/>
          <w:kern w:val="2"/>
          <w:szCs w:val="21"/>
          <w:lang w:val="en-US"/>
        </w:rPr>
        <w:t>识别</w:t>
      </w:r>
      <w:r>
        <w:rPr>
          <w:rFonts w:ascii="Times New Roman" w:hAnsi="Times New Roman"/>
          <w:kern w:val="2"/>
          <w:szCs w:val="21"/>
        </w:rPr>
        <w:t>。</w:t>
      </w:r>
    </w:p>
    <w:p w14:paraId="0838EDD1">
      <w:pPr>
        <w:pStyle w:val="32"/>
        <w:tabs>
          <w:tab w:val="left" w:pos="965"/>
        </w:tabs>
        <w:topLinePunct/>
        <w:snapToGrid w:val="0"/>
        <w:spacing w:beforeLines="2" w:line="264" w:lineRule="auto"/>
        <w:ind w:left="113"/>
        <w:jc w:val="both"/>
        <w:rPr>
          <w:rFonts w:ascii="Times New Roman" w:hAnsi="Times New Roman"/>
          <w:kern w:val="2"/>
          <w:szCs w:val="21"/>
        </w:rPr>
      </w:pPr>
      <w:r>
        <w:rPr>
          <w:rFonts w:ascii="Times New Roman" w:hAnsi="Times New Roman"/>
          <w:kern w:val="2"/>
          <w:szCs w:val="21"/>
        </w:rPr>
        <w:t>10.4.2.</w:t>
      </w:r>
      <w:r>
        <w:rPr>
          <w:rFonts w:ascii="Times New Roman" w:hAnsi="Times New Roman"/>
          <w:kern w:val="2"/>
          <w:szCs w:val="21"/>
        </w:rPr>
        <w:tab/>
      </w:r>
      <w:r>
        <w:rPr>
          <w:rFonts w:ascii="Times New Roman" w:hAnsi="Times New Roman"/>
          <w:kern w:val="2"/>
          <w:szCs w:val="21"/>
        </w:rPr>
        <w:t>关于存在CMR和/或内分泌干扰物的理由，存在此类物质的理由应基于：</w:t>
      </w:r>
    </w:p>
    <w:p w14:paraId="01519C03">
      <w:pPr>
        <w:pStyle w:val="32"/>
        <w:numPr>
          <w:ilvl w:val="3"/>
          <w:numId w:val="125"/>
        </w:numPr>
        <w:tabs>
          <w:tab w:val="left" w:pos="1533"/>
        </w:tabs>
        <w:topLinePunct/>
        <w:snapToGrid w:val="0"/>
        <w:spacing w:beforeLines="2" w:line="264" w:lineRule="auto"/>
        <w:ind w:left="1531" w:hanging="567"/>
        <w:jc w:val="both"/>
        <w:rPr>
          <w:rFonts w:ascii="Times New Roman" w:hAnsi="Times New Roman"/>
          <w:kern w:val="2"/>
          <w:szCs w:val="21"/>
        </w:rPr>
      </w:pPr>
      <w:r>
        <w:rPr>
          <w:rFonts w:ascii="Times New Roman" w:hAnsi="Times New Roman"/>
          <w:kern w:val="2"/>
          <w:szCs w:val="21"/>
        </w:rPr>
        <w:t>对潜在患者或使用者暴露于该物质下情况进行分析和判断；</w:t>
      </w:r>
    </w:p>
    <w:p w14:paraId="03D750BE">
      <w:pPr>
        <w:pStyle w:val="32"/>
        <w:numPr>
          <w:ilvl w:val="3"/>
          <w:numId w:val="125"/>
        </w:numPr>
        <w:tabs>
          <w:tab w:val="left" w:pos="1533"/>
        </w:tabs>
        <w:topLinePunct/>
        <w:snapToGrid w:val="0"/>
        <w:spacing w:beforeLines="2" w:line="264" w:lineRule="auto"/>
        <w:ind w:left="1531" w:hanging="567"/>
        <w:jc w:val="both"/>
        <w:rPr>
          <w:rFonts w:ascii="Times New Roman" w:hAnsi="Times New Roman"/>
          <w:kern w:val="2"/>
          <w:szCs w:val="21"/>
        </w:rPr>
      </w:pPr>
      <w:r>
        <w:rPr>
          <w:rFonts w:ascii="Times New Roman" w:hAnsi="Times New Roman"/>
          <w:kern w:val="2"/>
          <w:szCs w:val="21"/>
        </w:rPr>
        <w:t>对可能的替代物质、材料或设计进行的分析，（在可用时）包括有关独立研究、同等评审研究、相关科学委员会的科学意见等信息，以及对这些替代品可用性的分析；</w:t>
      </w:r>
    </w:p>
    <w:p w14:paraId="0FBBCE59">
      <w:pPr>
        <w:pStyle w:val="32"/>
        <w:numPr>
          <w:ilvl w:val="3"/>
          <w:numId w:val="125"/>
        </w:numPr>
        <w:tabs>
          <w:tab w:val="left" w:pos="1533"/>
        </w:tabs>
        <w:topLinePunct/>
        <w:snapToGrid w:val="0"/>
        <w:spacing w:beforeLines="2" w:line="264" w:lineRule="auto"/>
        <w:ind w:left="1531" w:hanging="567"/>
        <w:jc w:val="both"/>
        <w:rPr>
          <w:rFonts w:ascii="Times New Roman" w:hAnsi="Times New Roman"/>
          <w:kern w:val="2"/>
          <w:szCs w:val="21"/>
        </w:rPr>
      </w:pPr>
      <w:r>
        <w:rPr>
          <w:rFonts w:ascii="Times New Roman" w:hAnsi="Times New Roman"/>
          <w:kern w:val="2"/>
          <w:szCs w:val="21"/>
        </w:rPr>
        <w:t>论证可能的物质和/或材料替代品（如有）或设计变更（如可行）不适</w:t>
      </w:r>
      <w:r>
        <w:rPr>
          <w:rFonts w:hint="eastAsia" w:ascii="Times New Roman" w:hAnsi="Times New Roman"/>
          <w:kern w:val="2"/>
          <w:szCs w:val="21"/>
        </w:rPr>
        <w:t>用于</w:t>
      </w:r>
      <w:r>
        <w:rPr>
          <w:rFonts w:ascii="Times New Roman" w:hAnsi="Times New Roman"/>
          <w:kern w:val="2"/>
          <w:szCs w:val="21"/>
        </w:rPr>
        <w:t>维护产品功能、性能和利益-风险比的原因；包括要考虑这些器械的预期用途是否包括儿童治疗，或孕妇或哺乳妇女治疗，或对其他特别容易受到此类物质和/或材料影响的患者群体的治疗；</w:t>
      </w:r>
    </w:p>
    <w:p w14:paraId="3AA196A2">
      <w:pPr>
        <w:pStyle w:val="32"/>
        <w:numPr>
          <w:ilvl w:val="3"/>
          <w:numId w:val="125"/>
        </w:numPr>
        <w:tabs>
          <w:tab w:val="left" w:pos="1533"/>
        </w:tabs>
        <w:topLinePunct/>
        <w:snapToGrid w:val="0"/>
        <w:spacing w:beforeLines="2" w:line="264" w:lineRule="auto"/>
        <w:ind w:left="1531" w:hanging="567"/>
        <w:jc w:val="both"/>
        <w:rPr>
          <w:rFonts w:ascii="Times New Roman" w:hAnsi="Times New Roman"/>
          <w:kern w:val="2"/>
          <w:szCs w:val="21"/>
        </w:rPr>
      </w:pPr>
      <w:r>
        <w:rPr>
          <w:rFonts w:ascii="Times New Roman" w:hAnsi="Times New Roman"/>
          <w:kern w:val="2"/>
          <w:szCs w:val="21"/>
        </w:rPr>
        <w:t>如适用和可用时，基于根据第10.4.3节和10.4.4.节制定的最新相关的科学委员会指南。</w:t>
      </w:r>
    </w:p>
    <w:p w14:paraId="15569F3B">
      <w:pPr>
        <w:pStyle w:val="32"/>
        <w:tabs>
          <w:tab w:val="left" w:pos="965"/>
        </w:tabs>
        <w:topLinePunct/>
        <w:snapToGrid w:val="0"/>
        <w:spacing w:beforeLines="2" w:line="264" w:lineRule="auto"/>
        <w:ind w:left="113"/>
        <w:jc w:val="both"/>
        <w:rPr>
          <w:rFonts w:ascii="Times New Roman" w:hAnsi="Times New Roman"/>
          <w:kern w:val="2"/>
          <w:szCs w:val="21"/>
        </w:rPr>
      </w:pPr>
      <w:r>
        <w:rPr>
          <w:rFonts w:ascii="Times New Roman" w:hAnsi="Times New Roman"/>
          <w:kern w:val="2"/>
          <w:szCs w:val="21"/>
        </w:rPr>
        <w:t>10.4.3.</w:t>
      </w:r>
      <w:r>
        <w:rPr>
          <w:rFonts w:ascii="Times New Roman" w:hAnsi="Times New Roman"/>
          <w:kern w:val="2"/>
          <w:szCs w:val="21"/>
        </w:rPr>
        <w:tab/>
      </w:r>
      <w:r>
        <w:rPr>
          <w:rFonts w:ascii="Times New Roman" w:hAnsi="Times New Roman"/>
          <w:kern w:val="2"/>
          <w:szCs w:val="21"/>
        </w:rPr>
        <w:t>邻苯二甲酸酯使用指南</w:t>
      </w:r>
    </w:p>
    <w:p w14:paraId="156DD6DF">
      <w:pPr>
        <w:pStyle w:val="8"/>
        <w:topLinePunct/>
        <w:snapToGrid w:val="0"/>
        <w:spacing w:beforeLines="2" w:line="264" w:lineRule="auto"/>
        <w:ind w:left="964" w:firstLine="0"/>
        <w:jc w:val="both"/>
        <w:rPr>
          <w:kern w:val="2"/>
          <w:szCs w:val="21"/>
        </w:rPr>
      </w:pPr>
      <w:r>
        <w:rPr>
          <w:kern w:val="2"/>
          <w:szCs w:val="21"/>
        </w:rPr>
        <w:t>为达到该附录第10.4节的目的，委员会应尽快并于</w:t>
      </w:r>
      <w:r>
        <w:rPr>
          <w:rFonts w:hint="eastAsia"/>
          <w:kern w:val="2"/>
          <w:szCs w:val="21"/>
        </w:rPr>
        <w:t>2018年5月26日向</w:t>
      </w:r>
      <w:r>
        <w:rPr>
          <w:kern w:val="2"/>
          <w:szCs w:val="21"/>
        </w:rPr>
        <w:t>相关科学委员会提供任务以制定指南，</w:t>
      </w:r>
      <w:r>
        <w:rPr>
          <w:rFonts w:hint="eastAsia"/>
          <w:kern w:val="2"/>
          <w:szCs w:val="21"/>
        </w:rPr>
        <w:t>且</w:t>
      </w:r>
      <w:r>
        <w:rPr>
          <w:kern w:val="2"/>
          <w:szCs w:val="21"/>
        </w:rPr>
        <w:t>该指南应在</w:t>
      </w:r>
      <w:r>
        <w:rPr>
          <w:rFonts w:hint="eastAsia"/>
          <w:kern w:val="2"/>
          <w:szCs w:val="21"/>
        </w:rPr>
        <w:t>2020年5月26日</w:t>
      </w:r>
      <w:r>
        <w:rPr>
          <w:kern w:val="2"/>
          <w:szCs w:val="21"/>
        </w:rPr>
        <w:t>前</w:t>
      </w:r>
      <w:r>
        <w:rPr>
          <w:rFonts w:hint="eastAsia"/>
          <w:kern w:val="2"/>
          <w:szCs w:val="21"/>
        </w:rPr>
        <w:t>编制</w:t>
      </w:r>
      <w:r>
        <w:rPr>
          <w:kern w:val="2"/>
          <w:szCs w:val="21"/>
        </w:rPr>
        <w:t>好。委员会的任务至少应包含对邻苯二甲酸酯存在的利益风险评估，</w:t>
      </w:r>
      <w:r>
        <w:rPr>
          <w:rFonts w:hint="eastAsia"/>
          <w:kern w:val="2"/>
          <w:szCs w:val="21"/>
        </w:rPr>
        <w:t>其中</w:t>
      </w:r>
      <w:r>
        <w:rPr>
          <w:kern w:val="2"/>
          <w:szCs w:val="21"/>
        </w:rPr>
        <w:t>邻苯二甲酸酯属于第10.4.1节要点（a）和（b）中所所述物质组中的任何一组。利益风险评估应考虑器械、可用替代物质和替代材料、设计和/或药物治疗使用的预期目的和环境。虽然根据最新科学证据认为是适当的，但应至少每五年更新一次该指南。</w:t>
      </w:r>
    </w:p>
    <w:p w14:paraId="27BE15AA">
      <w:pPr>
        <w:snapToGrid w:val="0"/>
        <w:spacing w:beforeLines="25" w:line="300" w:lineRule="auto"/>
        <w:rPr>
          <w:rFonts w:ascii="Times New Roman" w:hAnsi="Times New Roman"/>
          <w:kern w:val="2"/>
          <w:szCs w:val="21"/>
        </w:rPr>
      </w:pPr>
      <w:r>
        <w:rPr>
          <w:rFonts w:hint="eastAsia" w:ascii="Times New Roman" w:hAnsi="Times New Roman"/>
          <w:kern w:val="2"/>
          <w:szCs w:val="21"/>
        </w:rPr>
        <w:t>_______________________</w:t>
      </w:r>
    </w:p>
    <w:p w14:paraId="3ABDC723">
      <w:pPr>
        <w:widowControl/>
        <w:snapToGrid w:val="0"/>
        <w:spacing w:line="252" w:lineRule="auto"/>
        <w:ind w:left="363" w:hanging="363" w:hangingChars="201"/>
        <w:rPr>
          <w:rFonts w:ascii="Times New Roman" w:hAnsi="Times New Roman"/>
          <w:kern w:val="2"/>
          <w:sz w:val="18"/>
          <w:szCs w:val="18"/>
        </w:rPr>
      </w:pPr>
      <w:bookmarkStart w:id="147" w:name="_bookmark39"/>
      <w:bookmarkEnd w:id="147"/>
      <w:r>
        <w:rPr>
          <w:rFonts w:hint="eastAsia" w:ascii="Times New Roman" w:hAnsi="Times New Roman"/>
          <w:b/>
          <w:kern w:val="2"/>
          <w:sz w:val="18"/>
          <w:szCs w:val="18"/>
        </w:rPr>
        <w:t>（1）</w:t>
      </w:r>
      <w:r>
        <w:rPr>
          <w:rFonts w:ascii="Times New Roman" w:hAnsi="Times New Roman"/>
          <w:b/>
          <w:kern w:val="2"/>
          <w:sz w:val="18"/>
          <w:szCs w:val="18"/>
        </w:rPr>
        <w:tab/>
      </w:r>
      <w:r>
        <w:rPr>
          <w:rFonts w:ascii="Times New Roman" w:hAnsi="Times New Roman"/>
          <w:kern w:val="2"/>
          <w:sz w:val="18"/>
          <w:szCs w:val="18"/>
        </w:rPr>
        <w:t>欧洲议会和理事会</w:t>
      </w:r>
      <w:r>
        <w:rPr>
          <w:rFonts w:hint="eastAsia" w:ascii="Times New Roman" w:hAnsi="Times New Roman"/>
          <w:kern w:val="2"/>
          <w:sz w:val="18"/>
          <w:szCs w:val="18"/>
        </w:rPr>
        <w:t>于</w:t>
      </w:r>
      <w:r>
        <w:rPr>
          <w:rFonts w:ascii="Times New Roman" w:hAnsi="Times New Roman"/>
          <w:kern w:val="2"/>
          <w:sz w:val="18"/>
          <w:szCs w:val="18"/>
        </w:rPr>
        <w:t>2008年12月16日</w:t>
      </w:r>
      <w:r>
        <w:rPr>
          <w:rFonts w:hint="eastAsia" w:ascii="Times New Roman" w:hAnsi="Times New Roman"/>
          <w:kern w:val="2"/>
          <w:sz w:val="18"/>
          <w:szCs w:val="18"/>
        </w:rPr>
        <w:t>签发的</w:t>
      </w:r>
      <w:r>
        <w:rPr>
          <w:rFonts w:ascii="Times New Roman" w:hAnsi="Times New Roman"/>
          <w:kern w:val="2"/>
          <w:sz w:val="18"/>
          <w:szCs w:val="18"/>
        </w:rPr>
        <w:t>关于物质和混合物分类、标签和包装的第1272/2008号法规，修订和废除第67/548/EEC号指令和第1999/45/EC号指令，并修订了第1907/2006号法规（OJ L 353, 31.12.2008, p. 1）。</w:t>
      </w:r>
    </w:p>
    <w:p w14:paraId="7BFF3492">
      <w:pPr>
        <w:widowControl/>
        <w:snapToGrid w:val="0"/>
        <w:spacing w:line="252" w:lineRule="auto"/>
        <w:ind w:left="363" w:hanging="363" w:hangingChars="201"/>
        <w:rPr>
          <w:rFonts w:ascii="Times New Roman" w:hAnsi="Times New Roman"/>
          <w:kern w:val="2"/>
          <w:sz w:val="18"/>
          <w:szCs w:val="18"/>
        </w:rPr>
      </w:pPr>
      <w:bookmarkStart w:id="148" w:name="_bookmark40"/>
      <w:bookmarkEnd w:id="148"/>
      <w:r>
        <w:rPr>
          <w:rFonts w:hint="eastAsia" w:ascii="Times New Roman" w:hAnsi="Times New Roman"/>
          <w:b/>
          <w:kern w:val="2"/>
          <w:sz w:val="18"/>
          <w:szCs w:val="18"/>
        </w:rPr>
        <w:t>（2）</w:t>
      </w:r>
      <w:r>
        <w:rPr>
          <w:rFonts w:ascii="Times New Roman" w:hAnsi="Times New Roman"/>
          <w:b/>
          <w:kern w:val="2"/>
          <w:sz w:val="18"/>
          <w:szCs w:val="18"/>
        </w:rPr>
        <w:tab/>
      </w:r>
      <w:r>
        <w:rPr>
          <w:rFonts w:ascii="Times New Roman" w:hAnsi="Times New Roman"/>
          <w:kern w:val="2"/>
          <w:sz w:val="18"/>
          <w:szCs w:val="18"/>
        </w:rPr>
        <w:t>欧洲议会和理事会</w:t>
      </w:r>
      <w:r>
        <w:rPr>
          <w:rFonts w:hint="eastAsia" w:ascii="Times New Roman" w:hAnsi="Times New Roman"/>
          <w:kern w:val="2"/>
          <w:sz w:val="18"/>
          <w:szCs w:val="18"/>
        </w:rPr>
        <w:t>于</w:t>
      </w:r>
      <w:r>
        <w:rPr>
          <w:rFonts w:ascii="Times New Roman" w:hAnsi="Times New Roman"/>
          <w:kern w:val="2"/>
          <w:sz w:val="18"/>
          <w:szCs w:val="18"/>
        </w:rPr>
        <w:t>2006年12月18日</w:t>
      </w:r>
      <w:r>
        <w:rPr>
          <w:rFonts w:hint="eastAsia" w:ascii="Times New Roman" w:hAnsi="Times New Roman"/>
          <w:kern w:val="2"/>
          <w:sz w:val="18"/>
          <w:szCs w:val="18"/>
        </w:rPr>
        <w:t>签发的</w:t>
      </w:r>
      <w:r>
        <w:rPr>
          <w:rFonts w:ascii="Times New Roman" w:hAnsi="Times New Roman"/>
          <w:kern w:val="2"/>
          <w:sz w:val="18"/>
          <w:szCs w:val="18"/>
        </w:rPr>
        <w:t>关于化学品注册、评估、授权和限制（REACH）的第1907/2006号法规（OJ L 396,30.12.2006, p. 1）。</w:t>
      </w:r>
    </w:p>
    <w:p w14:paraId="5E814B1A">
      <w:pPr>
        <w:widowControl/>
        <w:snapToGrid w:val="0"/>
        <w:spacing w:line="252" w:lineRule="auto"/>
        <w:ind w:left="363" w:hanging="363" w:hangingChars="201"/>
        <w:rPr>
          <w:rFonts w:ascii="Times New Roman" w:hAnsi="Times New Roman"/>
          <w:kern w:val="2"/>
          <w:sz w:val="18"/>
          <w:szCs w:val="18"/>
        </w:rPr>
      </w:pPr>
      <w:bookmarkStart w:id="149" w:name="_bookmark41"/>
      <w:bookmarkEnd w:id="149"/>
      <w:r>
        <w:rPr>
          <w:rFonts w:hint="eastAsia" w:ascii="Times New Roman" w:hAnsi="Times New Roman"/>
          <w:b/>
          <w:kern w:val="2"/>
          <w:sz w:val="18"/>
          <w:szCs w:val="18"/>
        </w:rPr>
        <w:t>（3）</w:t>
      </w:r>
      <w:r>
        <w:rPr>
          <w:rFonts w:ascii="Times New Roman" w:hAnsi="Times New Roman"/>
          <w:b/>
          <w:kern w:val="2"/>
          <w:sz w:val="18"/>
          <w:szCs w:val="18"/>
        </w:rPr>
        <w:tab/>
      </w:r>
      <w:r>
        <w:rPr>
          <w:rFonts w:ascii="Times New Roman" w:hAnsi="Times New Roman"/>
          <w:kern w:val="2"/>
          <w:sz w:val="18"/>
          <w:szCs w:val="18"/>
        </w:rPr>
        <w:t>欧洲议会和理事会</w:t>
      </w:r>
      <w:r>
        <w:rPr>
          <w:rFonts w:hint="eastAsia" w:ascii="Times New Roman" w:hAnsi="Times New Roman"/>
          <w:kern w:val="2"/>
          <w:sz w:val="18"/>
          <w:szCs w:val="18"/>
        </w:rPr>
        <w:t>于</w:t>
      </w:r>
      <w:r>
        <w:rPr>
          <w:rFonts w:ascii="Times New Roman" w:hAnsi="Times New Roman"/>
          <w:kern w:val="2"/>
          <w:sz w:val="18"/>
          <w:szCs w:val="18"/>
        </w:rPr>
        <w:t>2012年5月22日</w:t>
      </w:r>
      <w:r>
        <w:rPr>
          <w:rFonts w:hint="eastAsia" w:ascii="Times New Roman" w:hAnsi="Times New Roman"/>
          <w:kern w:val="2"/>
          <w:sz w:val="18"/>
          <w:szCs w:val="18"/>
        </w:rPr>
        <w:t>签发的</w:t>
      </w:r>
      <w:r>
        <w:rPr>
          <w:rFonts w:ascii="Times New Roman" w:hAnsi="Times New Roman"/>
          <w:kern w:val="2"/>
          <w:sz w:val="18"/>
          <w:szCs w:val="18"/>
        </w:rPr>
        <w:t>关于在市场上提供和使用杀生物产品的第528/2012号法规（OJ L 167，27.06.2012,p. 1）。</w:t>
      </w:r>
    </w:p>
    <w:p w14:paraId="661DE9F5">
      <w:pPr>
        <w:widowControl/>
        <w:snapToGrid w:val="0"/>
        <w:spacing w:beforeLines="25" w:line="300" w:lineRule="auto"/>
        <w:ind w:left="422" w:hanging="422" w:hangingChars="201"/>
        <w:rPr>
          <w:rFonts w:ascii="Times New Roman" w:hAnsi="Times New Roman"/>
          <w:kern w:val="2"/>
          <w:szCs w:val="21"/>
        </w:rPr>
      </w:pPr>
      <w:r>
        <w:rPr>
          <w:rFonts w:ascii="Times New Roman" w:hAnsi="Times New Roman"/>
          <w:kern w:val="2"/>
          <w:szCs w:val="21"/>
        </w:rPr>
        <w:br w:type="page"/>
      </w:r>
    </w:p>
    <w:p w14:paraId="0D5EEA56">
      <w:pPr>
        <w:pStyle w:val="32"/>
        <w:tabs>
          <w:tab w:val="left" w:pos="965"/>
        </w:tabs>
        <w:topLinePunct/>
        <w:snapToGrid w:val="0"/>
        <w:spacing w:beforeLines="50" w:line="300" w:lineRule="auto"/>
        <w:ind w:left="113"/>
        <w:jc w:val="both"/>
        <w:rPr>
          <w:rFonts w:ascii="Times New Roman" w:hAnsi="Times New Roman"/>
          <w:kern w:val="2"/>
          <w:szCs w:val="21"/>
        </w:rPr>
      </w:pPr>
      <w:r>
        <w:rPr>
          <w:rFonts w:ascii="Times New Roman" w:hAnsi="Times New Roman"/>
          <w:kern w:val="2"/>
          <w:szCs w:val="21"/>
        </w:rPr>
        <w:t>10.4.4.</w:t>
      </w:r>
      <w:r>
        <w:rPr>
          <w:rFonts w:ascii="Times New Roman" w:hAnsi="Times New Roman"/>
          <w:kern w:val="2"/>
          <w:szCs w:val="21"/>
        </w:rPr>
        <w:tab/>
      </w:r>
      <w:r>
        <w:rPr>
          <w:rFonts w:ascii="Times New Roman" w:hAnsi="Times New Roman"/>
          <w:kern w:val="2"/>
          <w:szCs w:val="21"/>
        </w:rPr>
        <w:t>其他CMR</w:t>
      </w:r>
      <w:r>
        <w:rPr>
          <w:rFonts w:hint="eastAsia" w:ascii="Times New Roman" w:hAnsi="Times New Roman"/>
          <w:kern w:val="2"/>
          <w:szCs w:val="21"/>
        </w:rPr>
        <w:t>和</w:t>
      </w:r>
      <w:r>
        <w:rPr>
          <w:rFonts w:ascii="Times New Roman" w:hAnsi="Times New Roman"/>
          <w:kern w:val="2"/>
          <w:szCs w:val="21"/>
        </w:rPr>
        <w:t>内分泌干扰物质的指南</w:t>
      </w:r>
    </w:p>
    <w:p w14:paraId="0BD61E51">
      <w:pPr>
        <w:pStyle w:val="8"/>
        <w:topLinePunct/>
        <w:snapToGrid w:val="0"/>
        <w:spacing w:beforeLines="50" w:line="300" w:lineRule="auto"/>
        <w:ind w:left="964" w:firstLine="0"/>
        <w:jc w:val="both"/>
        <w:rPr>
          <w:kern w:val="2"/>
          <w:szCs w:val="21"/>
        </w:rPr>
      </w:pPr>
      <w:r>
        <w:rPr>
          <w:kern w:val="2"/>
          <w:szCs w:val="21"/>
        </w:rPr>
        <w:t>随后，委员会应委任相关科学委员会按照第107.4.3中所述的要求，也为第10.4.1节要点（a）和（b）中所所述的其他物质制定指南。</w:t>
      </w:r>
    </w:p>
    <w:p w14:paraId="4DD6FE63">
      <w:pPr>
        <w:pStyle w:val="32"/>
        <w:tabs>
          <w:tab w:val="left" w:pos="965"/>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10.4.5</w:t>
      </w:r>
      <w:r>
        <w:rPr>
          <w:rFonts w:ascii="Times New Roman" w:hAnsi="Times New Roman"/>
          <w:kern w:val="2"/>
          <w:szCs w:val="21"/>
        </w:rPr>
        <w:tab/>
      </w:r>
      <w:r>
        <w:rPr>
          <w:rFonts w:ascii="Times New Roman" w:hAnsi="Times New Roman"/>
          <w:kern w:val="2"/>
          <w:szCs w:val="21"/>
        </w:rPr>
        <w:t>贴标</w:t>
      </w:r>
    </w:p>
    <w:p w14:paraId="372E8276">
      <w:pPr>
        <w:pStyle w:val="8"/>
        <w:topLinePunct/>
        <w:snapToGrid w:val="0"/>
        <w:spacing w:beforeLines="50" w:line="300" w:lineRule="auto"/>
        <w:ind w:left="964" w:firstLine="0"/>
        <w:jc w:val="both"/>
        <w:rPr>
          <w:kern w:val="2"/>
          <w:szCs w:val="21"/>
        </w:rPr>
      </w:pPr>
      <w:r>
        <w:rPr>
          <w:kern w:val="2"/>
          <w:szCs w:val="21"/>
        </w:rPr>
        <w:t>按照第</w:t>
      </w:r>
      <w:r>
        <w:rPr>
          <w:rFonts w:hint="eastAsia"/>
          <w:kern w:val="2"/>
          <w:szCs w:val="21"/>
        </w:rPr>
        <w:t>10</w:t>
      </w:r>
      <w:r>
        <w:rPr>
          <w:kern w:val="2"/>
          <w:szCs w:val="21"/>
        </w:rPr>
        <w:t>.4.1节所述的要求，若此中所使用的器械、其部件或材料，包含第</w:t>
      </w:r>
      <w:r>
        <w:rPr>
          <w:rFonts w:hint="eastAsia"/>
          <w:kern w:val="2"/>
          <w:szCs w:val="21"/>
        </w:rPr>
        <w:t>10</w:t>
      </w:r>
      <w:r>
        <w:rPr>
          <w:kern w:val="2"/>
          <w:szCs w:val="21"/>
        </w:rPr>
        <w:t>.4.1节中所述的浓度高于0.1%重量比的物质，则应在器械本身和/或各单元的包装上或，（适当时）在销售包装上把此类物质清单标记清楚。若此类器械的预期用途，包括儿童治疗，或孕妇或哺乳妇女治疗，或对视为特别易受到此类物质和/或材料影响的其他患者群体的治疗，则关于这些患者群体的残余风险、（如适用）预防措施信息，</w:t>
      </w:r>
      <w:r>
        <w:rPr>
          <w:rFonts w:hint="eastAsia"/>
          <w:kern w:val="2"/>
          <w:szCs w:val="21"/>
        </w:rPr>
        <w:t>均</w:t>
      </w:r>
      <w:r>
        <w:rPr>
          <w:kern w:val="2"/>
          <w:szCs w:val="21"/>
        </w:rPr>
        <w:t>应在使用说明中给出。</w:t>
      </w:r>
    </w:p>
    <w:p w14:paraId="3C86732C">
      <w:pPr>
        <w:pStyle w:val="8"/>
        <w:topLinePunct/>
        <w:snapToGrid w:val="0"/>
        <w:spacing w:beforeLines="50" w:line="300" w:lineRule="auto"/>
        <w:ind w:left="924" w:hanging="810"/>
        <w:jc w:val="both"/>
        <w:rPr>
          <w:kern w:val="2"/>
          <w:szCs w:val="21"/>
        </w:rPr>
      </w:pPr>
      <w:r>
        <w:rPr>
          <w:kern w:val="2"/>
          <w:szCs w:val="21"/>
        </w:rPr>
        <w:t>10.5.</w:t>
      </w:r>
      <w:r>
        <w:rPr>
          <w:kern w:val="2"/>
          <w:szCs w:val="21"/>
        </w:rPr>
        <w:tab/>
      </w:r>
      <w:r>
        <w:rPr>
          <w:kern w:val="2"/>
          <w:szCs w:val="21"/>
        </w:rPr>
        <w:t>必须合理设计及生产器械，以尽量降低因物质意外进入器械而造成的风险，并且应考虑到器械及其预期使用环境的性质。</w:t>
      </w:r>
    </w:p>
    <w:p w14:paraId="65B0F2FC">
      <w:pPr>
        <w:pStyle w:val="8"/>
        <w:topLinePunct/>
        <w:snapToGrid w:val="0"/>
        <w:spacing w:beforeLines="50" w:line="300" w:lineRule="auto"/>
        <w:ind w:left="924" w:hanging="810"/>
        <w:jc w:val="both"/>
        <w:rPr>
          <w:kern w:val="2"/>
          <w:szCs w:val="21"/>
        </w:rPr>
      </w:pPr>
      <w:r>
        <w:rPr>
          <w:kern w:val="2"/>
          <w:szCs w:val="21"/>
        </w:rPr>
        <w:t>10.6.</w:t>
      </w:r>
      <w:r>
        <w:rPr>
          <w:kern w:val="2"/>
          <w:szCs w:val="21"/>
        </w:rPr>
        <w:tab/>
      </w:r>
      <w:r>
        <w:rPr>
          <w:kern w:val="2"/>
          <w:szCs w:val="21"/>
        </w:rPr>
        <w:t>器械的设计和制造应尽可能减少与颗粒尺寸和性能相关的风险，除非这些颗粒接触到的是完好的皮肤，否则这些颗粒会位于或可释放到患者或使用者体内。应特别注意纳米材料。</w:t>
      </w:r>
    </w:p>
    <w:p w14:paraId="2B432C32">
      <w:pPr>
        <w:pStyle w:val="4"/>
        <w:numPr>
          <w:ilvl w:val="0"/>
          <w:numId w:val="122"/>
        </w:numPr>
        <w:tabs>
          <w:tab w:val="left" w:pos="682"/>
        </w:tabs>
        <w:topLinePunct/>
        <w:snapToGrid w:val="0"/>
        <w:spacing w:beforeLines="50"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感染及微生物污染</w:t>
      </w:r>
    </w:p>
    <w:p w14:paraId="2C58C209">
      <w:pPr>
        <w:pStyle w:val="32"/>
        <w:numPr>
          <w:ilvl w:val="1"/>
          <w:numId w:val="122"/>
        </w:numPr>
        <w:topLinePunct/>
        <w:snapToGrid w:val="0"/>
        <w:spacing w:beforeLines="50" w:line="300" w:lineRule="auto"/>
        <w:ind w:left="784" w:hanging="671"/>
        <w:jc w:val="both"/>
        <w:rPr>
          <w:rFonts w:ascii="Times New Roman" w:hAnsi="Times New Roman"/>
          <w:kern w:val="2"/>
          <w:szCs w:val="21"/>
        </w:rPr>
      </w:pPr>
      <w:r>
        <w:rPr>
          <w:rFonts w:ascii="Times New Roman" w:hAnsi="Times New Roman"/>
          <w:kern w:val="2"/>
          <w:szCs w:val="21"/>
        </w:rPr>
        <w:t>器械和制造过程的设计应尽可能消除或减少感染患者、使用者和（适用时）其他人的风险。设计应：</w:t>
      </w:r>
    </w:p>
    <w:p w14:paraId="3DF2AAA2">
      <w:pPr>
        <w:pStyle w:val="8"/>
        <w:topLinePunct/>
        <w:snapToGrid w:val="0"/>
        <w:spacing w:beforeLines="50" w:line="300" w:lineRule="auto"/>
        <w:ind w:left="1260" w:leftChars="406" w:hanging="407" w:hangingChars="194"/>
        <w:jc w:val="both"/>
        <w:rPr>
          <w:kern w:val="2"/>
          <w:szCs w:val="21"/>
        </w:rPr>
      </w:pPr>
      <w:r>
        <w:rPr>
          <w:rFonts w:hint="eastAsia"/>
          <w:kern w:val="2"/>
          <w:szCs w:val="21"/>
        </w:rPr>
        <w:t>(</w:t>
      </w:r>
      <w:r>
        <w:rPr>
          <w:kern w:val="2"/>
          <w:szCs w:val="21"/>
        </w:rPr>
        <w:t>a</w:t>
      </w:r>
      <w:r>
        <w:rPr>
          <w:rFonts w:hint="eastAsia"/>
          <w:kern w:val="2"/>
          <w:szCs w:val="21"/>
        </w:rPr>
        <w:t>)</w:t>
      </w:r>
      <w:r>
        <w:rPr>
          <w:kern w:val="2"/>
          <w:szCs w:val="21"/>
        </w:rPr>
        <w:tab/>
      </w:r>
      <w:r>
        <w:rPr>
          <w:kern w:val="2"/>
          <w:szCs w:val="21"/>
        </w:rPr>
        <w:t>尽可能减少并消除意外由于切割和刺破造成的风险，例如针刺损伤，</w:t>
      </w:r>
    </w:p>
    <w:p w14:paraId="758D23D8">
      <w:pPr>
        <w:pStyle w:val="32"/>
        <w:numPr>
          <w:ilvl w:val="2"/>
          <w:numId w:val="126"/>
        </w:numPr>
        <w:tabs>
          <w:tab w:val="left" w:pos="1248"/>
        </w:tabs>
        <w:topLinePunct/>
        <w:snapToGrid w:val="0"/>
        <w:spacing w:beforeLines="50" w:line="300" w:lineRule="auto"/>
        <w:ind w:left="1260" w:leftChars="406" w:hanging="407" w:hangingChars="194"/>
        <w:jc w:val="both"/>
        <w:rPr>
          <w:rFonts w:ascii="Times New Roman" w:hAnsi="Times New Roman"/>
          <w:kern w:val="2"/>
          <w:szCs w:val="21"/>
        </w:rPr>
      </w:pPr>
      <w:r>
        <w:rPr>
          <w:rFonts w:ascii="Times New Roman" w:hAnsi="Times New Roman"/>
          <w:kern w:val="2"/>
          <w:szCs w:val="21"/>
        </w:rPr>
        <w:t>使用便捷安全，</w:t>
      </w:r>
    </w:p>
    <w:p w14:paraId="34BFDC81">
      <w:pPr>
        <w:pStyle w:val="32"/>
        <w:numPr>
          <w:ilvl w:val="2"/>
          <w:numId w:val="126"/>
        </w:numPr>
        <w:tabs>
          <w:tab w:val="left" w:pos="1248"/>
        </w:tabs>
        <w:topLinePunct/>
        <w:snapToGrid w:val="0"/>
        <w:spacing w:beforeLines="50" w:line="300" w:lineRule="auto"/>
        <w:ind w:left="1260" w:leftChars="406" w:hanging="407" w:hangingChars="194"/>
        <w:jc w:val="both"/>
        <w:rPr>
          <w:rFonts w:ascii="Times New Roman" w:hAnsi="Times New Roman"/>
          <w:kern w:val="2"/>
          <w:szCs w:val="21"/>
        </w:rPr>
      </w:pPr>
      <w:r>
        <w:rPr>
          <w:rFonts w:ascii="Times New Roman" w:hAnsi="Times New Roman"/>
          <w:kern w:val="2"/>
          <w:szCs w:val="21"/>
        </w:rPr>
        <w:t>尽可能降低器械的微生物泄漏和/或使用过程中的微生物暴露，</w:t>
      </w:r>
    </w:p>
    <w:p w14:paraId="56D73518">
      <w:pPr>
        <w:pStyle w:val="32"/>
        <w:numPr>
          <w:ilvl w:val="2"/>
          <w:numId w:val="126"/>
        </w:numPr>
        <w:tabs>
          <w:tab w:val="left" w:pos="1248"/>
        </w:tabs>
        <w:topLinePunct/>
        <w:snapToGrid w:val="0"/>
        <w:spacing w:beforeLines="50" w:line="300" w:lineRule="auto"/>
        <w:ind w:left="1260" w:leftChars="406" w:hanging="407" w:hangingChars="194"/>
        <w:jc w:val="both"/>
        <w:rPr>
          <w:rFonts w:ascii="Times New Roman" w:hAnsi="Times New Roman"/>
          <w:kern w:val="2"/>
          <w:szCs w:val="21"/>
        </w:rPr>
      </w:pPr>
      <w:r>
        <w:rPr>
          <w:rFonts w:ascii="Times New Roman" w:hAnsi="Times New Roman"/>
          <w:kern w:val="2"/>
          <w:szCs w:val="21"/>
        </w:rPr>
        <w:t>防止器械或其所包含之物（例如样本或液体）受到微生物的污染。</w:t>
      </w:r>
    </w:p>
    <w:p w14:paraId="4073ADEA">
      <w:pPr>
        <w:pStyle w:val="8"/>
        <w:topLinePunct/>
        <w:snapToGrid w:val="0"/>
        <w:spacing w:beforeLines="50" w:line="300" w:lineRule="auto"/>
        <w:ind w:left="784" w:hanging="671"/>
        <w:jc w:val="both"/>
        <w:rPr>
          <w:kern w:val="2"/>
          <w:szCs w:val="21"/>
        </w:rPr>
      </w:pPr>
      <w:r>
        <w:rPr>
          <w:kern w:val="2"/>
          <w:szCs w:val="21"/>
        </w:rPr>
        <w:t>11.2</w:t>
      </w:r>
      <w:r>
        <w:rPr>
          <w:kern w:val="2"/>
          <w:szCs w:val="21"/>
        </w:rPr>
        <w:tab/>
      </w:r>
      <w:r>
        <w:rPr>
          <w:kern w:val="2"/>
          <w:szCs w:val="21"/>
        </w:rPr>
        <w:t>必要时，应将器械设计成便于进行安全清洁、消毒和/或再灭菌。</w:t>
      </w:r>
    </w:p>
    <w:p w14:paraId="22798E5E">
      <w:pPr>
        <w:pStyle w:val="32"/>
        <w:numPr>
          <w:ilvl w:val="1"/>
          <w:numId w:val="127"/>
        </w:numPr>
        <w:tabs>
          <w:tab w:val="left" w:pos="812"/>
        </w:tabs>
        <w:topLinePunct/>
        <w:snapToGrid w:val="0"/>
        <w:spacing w:beforeLines="50" w:line="300" w:lineRule="auto"/>
        <w:ind w:left="812" w:hanging="699"/>
        <w:jc w:val="both"/>
        <w:rPr>
          <w:rFonts w:ascii="Times New Roman" w:hAnsi="Times New Roman"/>
          <w:kern w:val="2"/>
          <w:szCs w:val="21"/>
        </w:rPr>
      </w:pPr>
      <w:r>
        <w:rPr>
          <w:rFonts w:ascii="Times New Roman" w:hAnsi="Times New Roman"/>
          <w:kern w:val="2"/>
          <w:szCs w:val="21"/>
        </w:rPr>
        <w:t>应对标记为具有特殊微生物种群的器械进行设计、制造和包装，以确保在投放到市场时，及在制造商规定的运输和储存条件下，器械依旧保持原样。</w:t>
      </w:r>
    </w:p>
    <w:p w14:paraId="5547B1DA">
      <w:pPr>
        <w:pStyle w:val="32"/>
        <w:tabs>
          <w:tab w:val="left" w:pos="812"/>
        </w:tabs>
        <w:topLinePunct/>
        <w:snapToGrid w:val="0"/>
        <w:spacing w:beforeLines="50" w:line="300" w:lineRule="auto"/>
        <w:ind w:left="812" w:hanging="699"/>
        <w:jc w:val="both"/>
        <w:rPr>
          <w:rFonts w:ascii="Times New Roman" w:hAnsi="Times New Roman"/>
          <w:kern w:val="2"/>
          <w:szCs w:val="21"/>
        </w:rPr>
      </w:pPr>
      <w:r>
        <w:rPr>
          <w:rFonts w:ascii="Times New Roman" w:hAnsi="Times New Roman"/>
          <w:kern w:val="2"/>
          <w:szCs w:val="21"/>
        </w:rPr>
        <w:t>11.4</w:t>
      </w:r>
      <w:r>
        <w:rPr>
          <w:rFonts w:ascii="Times New Roman" w:hAnsi="Times New Roman"/>
          <w:kern w:val="2"/>
          <w:szCs w:val="21"/>
        </w:rPr>
        <w:tab/>
      </w:r>
      <w:r>
        <w:rPr>
          <w:rFonts w:ascii="Times New Roman" w:hAnsi="Times New Roman"/>
          <w:kern w:val="2"/>
          <w:szCs w:val="21"/>
        </w:rPr>
        <w:t>应根据适当流程，对在无菌状态下运输的器械进行设计、制造和包装，以确保在投放到市场时，及在制造商指定的运输和储存条件下，器械能保持无菌状态，除非旨在保持其无菌状态的包装遭到损坏，仍保持无菌，直至保护包装破损或</w:t>
      </w:r>
      <w:r>
        <w:rPr>
          <w:rFonts w:hint="eastAsia" w:ascii="Times New Roman" w:hAnsi="Times New Roman"/>
          <w:kern w:val="2"/>
          <w:szCs w:val="21"/>
        </w:rPr>
        <w:t>出于</w:t>
      </w:r>
      <w:r>
        <w:rPr>
          <w:rFonts w:ascii="Times New Roman" w:hAnsi="Times New Roman"/>
          <w:kern w:val="2"/>
          <w:szCs w:val="21"/>
        </w:rPr>
        <w:t>使用</w:t>
      </w:r>
      <w:r>
        <w:rPr>
          <w:rFonts w:hint="eastAsia" w:ascii="Times New Roman" w:hAnsi="Times New Roman"/>
          <w:kern w:val="2"/>
          <w:szCs w:val="21"/>
        </w:rPr>
        <w:t>目的</w:t>
      </w:r>
      <w:r>
        <w:rPr>
          <w:rFonts w:ascii="Times New Roman" w:hAnsi="Times New Roman"/>
          <w:kern w:val="2"/>
          <w:szCs w:val="21"/>
        </w:rPr>
        <w:t>而打开时。这些措施应确保最终使用者</w:t>
      </w:r>
      <w:r>
        <w:rPr>
          <w:rFonts w:hint="eastAsia" w:ascii="Times New Roman" w:hAnsi="Times New Roman"/>
          <w:kern w:val="2"/>
          <w:szCs w:val="21"/>
        </w:rPr>
        <w:t>可</w:t>
      </w:r>
      <w:r>
        <w:rPr>
          <w:rFonts w:ascii="Times New Roman" w:hAnsi="Times New Roman"/>
          <w:kern w:val="2"/>
          <w:szCs w:val="21"/>
        </w:rPr>
        <w:t>清晰可见无菌包装的完整性。</w:t>
      </w:r>
    </w:p>
    <w:p w14:paraId="275B6F36">
      <w:pPr>
        <w:pStyle w:val="32"/>
        <w:numPr>
          <w:ilvl w:val="1"/>
          <w:numId w:val="128"/>
        </w:numPr>
        <w:tabs>
          <w:tab w:val="left" w:pos="812"/>
        </w:tabs>
        <w:topLinePunct/>
        <w:snapToGrid w:val="0"/>
        <w:spacing w:beforeLines="50" w:line="300" w:lineRule="auto"/>
        <w:ind w:left="810" w:hanging="697"/>
        <w:jc w:val="both"/>
        <w:rPr>
          <w:rFonts w:ascii="Times New Roman" w:hAnsi="Times New Roman"/>
          <w:kern w:val="2"/>
          <w:szCs w:val="21"/>
        </w:rPr>
      </w:pPr>
      <w:r>
        <w:rPr>
          <w:rFonts w:ascii="Times New Roman" w:hAnsi="Times New Roman"/>
          <w:kern w:val="2"/>
          <w:szCs w:val="21"/>
        </w:rPr>
        <w:t>应通过适当的经过验证的方法处理、制造、包装和灭菌标记为无菌器械。</w:t>
      </w:r>
    </w:p>
    <w:p w14:paraId="67815E33">
      <w:pPr>
        <w:pStyle w:val="32"/>
        <w:numPr>
          <w:ilvl w:val="1"/>
          <w:numId w:val="128"/>
        </w:numPr>
        <w:tabs>
          <w:tab w:val="left" w:pos="812"/>
        </w:tabs>
        <w:topLinePunct/>
        <w:snapToGrid w:val="0"/>
        <w:spacing w:beforeLines="50" w:line="300" w:lineRule="auto"/>
        <w:ind w:left="812" w:hanging="699"/>
        <w:jc w:val="both"/>
        <w:rPr>
          <w:rFonts w:ascii="Times New Roman" w:hAnsi="Times New Roman"/>
          <w:kern w:val="2"/>
          <w:szCs w:val="21"/>
        </w:rPr>
      </w:pPr>
      <w:r>
        <w:rPr>
          <w:rFonts w:ascii="Times New Roman" w:hAnsi="Times New Roman"/>
          <w:kern w:val="2"/>
          <w:szCs w:val="21"/>
        </w:rPr>
        <w:t>用于灭菌的器械应采用适当且可控条件和设备进行制造和包装。</w:t>
      </w:r>
    </w:p>
    <w:p w14:paraId="7805C448">
      <w:pPr>
        <w:pStyle w:val="32"/>
        <w:numPr>
          <w:ilvl w:val="1"/>
          <w:numId w:val="128"/>
        </w:numPr>
        <w:tabs>
          <w:tab w:val="left" w:pos="812"/>
        </w:tabs>
        <w:topLinePunct/>
        <w:snapToGrid w:val="0"/>
        <w:spacing w:beforeLines="50" w:line="300" w:lineRule="auto"/>
        <w:ind w:left="812" w:hanging="699"/>
        <w:jc w:val="both"/>
        <w:rPr>
          <w:rFonts w:ascii="Times New Roman" w:hAnsi="Times New Roman"/>
          <w:kern w:val="2"/>
          <w:szCs w:val="21"/>
        </w:rPr>
      </w:pPr>
      <w:r>
        <w:rPr>
          <w:rFonts w:ascii="Times New Roman" w:hAnsi="Times New Roman"/>
          <w:kern w:val="2"/>
          <w:szCs w:val="21"/>
        </w:rPr>
        <w:t>若器械在使用前灭菌，</w:t>
      </w:r>
      <w:r>
        <w:rPr>
          <w:rFonts w:hint="eastAsia" w:ascii="Times New Roman" w:hAnsi="Times New Roman"/>
          <w:kern w:val="2"/>
          <w:szCs w:val="21"/>
        </w:rPr>
        <w:t>则</w:t>
      </w:r>
      <w:r>
        <w:rPr>
          <w:rFonts w:ascii="Times New Roman" w:hAnsi="Times New Roman"/>
          <w:kern w:val="2"/>
          <w:szCs w:val="21"/>
        </w:rPr>
        <w:t>非无菌器械的包装系统应保持产品的完整性和清洁度，</w:t>
      </w:r>
      <w:r>
        <w:rPr>
          <w:rFonts w:hint="eastAsia" w:ascii="Times New Roman" w:hAnsi="Times New Roman"/>
          <w:kern w:val="2"/>
          <w:szCs w:val="21"/>
        </w:rPr>
        <w:t>以</w:t>
      </w:r>
      <w:r>
        <w:rPr>
          <w:rFonts w:ascii="Times New Roman" w:hAnsi="Times New Roman"/>
          <w:kern w:val="2"/>
          <w:szCs w:val="21"/>
        </w:rPr>
        <w:t>尽量减少微生物污染风险；</w:t>
      </w:r>
      <w:r>
        <w:rPr>
          <w:rFonts w:hint="eastAsia" w:ascii="Times New Roman" w:hAnsi="Times New Roman"/>
          <w:kern w:val="2"/>
          <w:szCs w:val="21"/>
        </w:rPr>
        <w:t>此外，</w:t>
      </w:r>
      <w:r>
        <w:rPr>
          <w:rFonts w:ascii="Times New Roman" w:hAnsi="Times New Roman"/>
          <w:kern w:val="2"/>
          <w:szCs w:val="21"/>
        </w:rPr>
        <w:t>包装系统应适当考虑制造商指定的灭菌方法。</w:t>
      </w:r>
    </w:p>
    <w:p w14:paraId="3C5C9A61">
      <w:pPr>
        <w:pStyle w:val="32"/>
        <w:numPr>
          <w:ilvl w:val="1"/>
          <w:numId w:val="128"/>
        </w:numPr>
        <w:tabs>
          <w:tab w:val="left" w:pos="812"/>
        </w:tabs>
        <w:topLinePunct/>
        <w:snapToGrid w:val="0"/>
        <w:spacing w:beforeLines="25" w:line="300" w:lineRule="auto"/>
        <w:ind w:left="812" w:hanging="699"/>
        <w:jc w:val="both"/>
        <w:rPr>
          <w:rFonts w:ascii="Times New Roman" w:hAnsi="Times New Roman"/>
          <w:kern w:val="2"/>
          <w:szCs w:val="21"/>
        </w:rPr>
      </w:pPr>
      <w:r>
        <w:rPr>
          <w:rFonts w:ascii="Times New Roman" w:hAnsi="Times New Roman"/>
          <w:kern w:val="2"/>
          <w:szCs w:val="21"/>
        </w:rPr>
        <w:t>器械标识除带有灭菌产品的指示符号外，还应可区别市场上相同或相似器械的灭菌和非灭菌状态。</w:t>
      </w:r>
    </w:p>
    <w:p w14:paraId="44DD8988">
      <w:pPr>
        <w:pStyle w:val="4"/>
        <w:numPr>
          <w:ilvl w:val="0"/>
          <w:numId w:val="128"/>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包含被认为是医药产品物质的器械，及由人体吸收或局部喷洒在人体上的物质或物质组合构成的器械</w:t>
      </w:r>
    </w:p>
    <w:p w14:paraId="30DA7835">
      <w:pPr>
        <w:pStyle w:val="32"/>
        <w:numPr>
          <w:ilvl w:val="1"/>
          <w:numId w:val="129"/>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第1(8)条第一子段所指的器械，若单独使用，则该物质的质量、安全性和可用性将被视为是符合第2001/83/EC号指令第1条(2)点的医药产品，则应按照本法规中适用的符合性评估流程的规定，使用与第2001/83/EC号指令附录I所规定方法相似的方法进行验证。</w:t>
      </w:r>
    </w:p>
    <w:p w14:paraId="310A381B">
      <w:pPr>
        <w:pStyle w:val="32"/>
        <w:numPr>
          <w:ilvl w:val="1"/>
          <w:numId w:val="129"/>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预期</w:t>
      </w:r>
      <w:r>
        <w:rPr>
          <w:rFonts w:hint="eastAsia" w:ascii="Times New Roman" w:hAnsi="Times New Roman"/>
          <w:kern w:val="2"/>
          <w:szCs w:val="21"/>
        </w:rPr>
        <w:t>植入</w:t>
      </w:r>
      <w:r>
        <w:rPr>
          <w:rFonts w:ascii="Times New Roman" w:hAnsi="Times New Roman"/>
          <w:kern w:val="2"/>
          <w:szCs w:val="21"/>
        </w:rPr>
        <w:t>到人体，</w:t>
      </w:r>
      <w:r>
        <w:rPr>
          <w:rFonts w:hint="eastAsia" w:ascii="Times New Roman" w:hAnsi="Times New Roman"/>
          <w:kern w:val="2"/>
          <w:szCs w:val="21"/>
        </w:rPr>
        <w:t>以</w:t>
      </w:r>
      <w:r>
        <w:rPr>
          <w:rFonts w:ascii="Times New Roman" w:hAnsi="Times New Roman"/>
          <w:kern w:val="2"/>
          <w:szCs w:val="21"/>
        </w:rPr>
        <w:t>及由人体吸收或局部喷洒在人体上的物质或物质组合构成的器械，应遵从，（适用时）并受限于本法规与第2001/83/EC号指令附录I中规定的相关要求未涵盖方面，而这些相关要求用于按照本法规适用的符合性评估流程，对吸收、分配、新陈代谢、排泄、局部耐受性、毒性，与其他器械、医药产品呼呼其他物质和相互影响，及副作用的潜在影响进行评估。</w:t>
      </w:r>
    </w:p>
    <w:p w14:paraId="713B33FB">
      <w:pPr>
        <w:pStyle w:val="4"/>
        <w:numPr>
          <w:ilvl w:val="0"/>
          <w:numId w:val="129"/>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包含生物来源材料的器械</w:t>
      </w:r>
    </w:p>
    <w:p w14:paraId="22409D23">
      <w:pPr>
        <w:pStyle w:val="32"/>
        <w:numPr>
          <w:ilvl w:val="1"/>
          <w:numId w:val="12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对于使用由本法规涵盖的非活性或处理为非活性人源生物组织或细胞制造成的器械，根据第1(6)条(g)点，适用以下规定：</w:t>
      </w:r>
    </w:p>
    <w:p w14:paraId="70396EA2">
      <w:pPr>
        <w:pStyle w:val="32"/>
        <w:numPr>
          <w:ilvl w:val="2"/>
          <w:numId w:val="13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对用于器械生产的人源组织和细胞的捐赠、购买和测试应根据第2004/23/EC号指令完成。</w:t>
      </w:r>
    </w:p>
    <w:p w14:paraId="4B5DF1E6">
      <w:pPr>
        <w:pStyle w:val="32"/>
        <w:numPr>
          <w:ilvl w:val="2"/>
          <w:numId w:val="13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应对那些组织和细胞或其衍生物进行处理、保存和任何其他操作，从而为患者、使用者、（适用时）其他人员提供安全保障。特别是，应通过适当的来源方法，</w:t>
      </w:r>
      <w:r>
        <w:rPr>
          <w:rFonts w:hint="eastAsia" w:ascii="Times New Roman" w:hAnsi="Times New Roman"/>
          <w:kern w:val="2"/>
          <w:szCs w:val="21"/>
        </w:rPr>
        <w:t>以</w:t>
      </w:r>
      <w:r>
        <w:rPr>
          <w:rFonts w:ascii="Times New Roman" w:hAnsi="Times New Roman"/>
          <w:kern w:val="2"/>
          <w:szCs w:val="21"/>
        </w:rPr>
        <w:t>及通过在制造过程中实施经验证的消除或失活方法处理与病毒和传染因子安全性相关的问题。</w:t>
      </w:r>
    </w:p>
    <w:p w14:paraId="2E41D44D">
      <w:pPr>
        <w:pStyle w:val="32"/>
        <w:numPr>
          <w:ilvl w:val="2"/>
          <w:numId w:val="13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这些器械的可追溯体系应与第2004/23/EC号指令和第2002/98/EC号指令所规定可溯源性和数据保护要求是互补和相兼容。</w:t>
      </w:r>
    </w:p>
    <w:p w14:paraId="562F59A6">
      <w:pPr>
        <w:pStyle w:val="32"/>
        <w:numPr>
          <w:ilvl w:val="1"/>
          <w:numId w:val="13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对于使用非活性或处理非活性动物源组织或细胞，或其衍生物制造的器械，应适用以下规定：</w:t>
      </w:r>
    </w:p>
    <w:p w14:paraId="5406F71B">
      <w:pPr>
        <w:pStyle w:val="32"/>
        <w:numPr>
          <w:ilvl w:val="2"/>
          <w:numId w:val="131"/>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在可行的情况下，考虑到动物物种，动物源组织和细胞或其衍生物应来自已经受兽医控制，即适合于组织预期使用的动物。由制造商保留动物地理来源信息。</w:t>
      </w:r>
    </w:p>
    <w:p w14:paraId="29BC10EA">
      <w:pPr>
        <w:pStyle w:val="32"/>
        <w:numPr>
          <w:ilvl w:val="2"/>
          <w:numId w:val="131"/>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应获取动物源组织、细胞和物质或其衍生物，并对其进行处理、保存、测试和操作，从而为患者、使用者和其他人员（如适用）提供安全保障。特别是关于病毒和其他传播因子的安全性，应通过在制造过程中，实施经验证的消除或病毒灭活方法来解决，除非此类方法的使用会导致不可接受的降解，损害器械的临床益处。</w:t>
      </w:r>
    </w:p>
    <w:p w14:paraId="40779A0B">
      <w:pPr>
        <w:pStyle w:val="32"/>
        <w:numPr>
          <w:ilvl w:val="2"/>
          <w:numId w:val="131"/>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在使用动物来源的组织或细胞或其衍生物制造的器械，如第722/2012号法规所述，应适用该法规规定的特别要求。</w:t>
      </w:r>
    </w:p>
    <w:p w14:paraId="250F5309">
      <w:pPr>
        <w:pStyle w:val="32"/>
        <w:numPr>
          <w:ilvl w:val="1"/>
          <w:numId w:val="130"/>
        </w:numPr>
        <w:tabs>
          <w:tab w:val="left" w:pos="682"/>
        </w:tabs>
        <w:topLinePunct/>
        <w:snapToGrid w:val="0"/>
        <w:spacing w:beforeLines="10" w:line="288" w:lineRule="auto"/>
        <w:ind w:hanging="567"/>
        <w:jc w:val="both"/>
        <w:rPr>
          <w:rFonts w:ascii="Times New Roman" w:hAnsi="Times New Roman"/>
          <w:kern w:val="2"/>
          <w:szCs w:val="21"/>
        </w:rPr>
      </w:pPr>
      <w:bookmarkStart w:id="150" w:name="_bookmark42"/>
      <w:bookmarkEnd w:id="150"/>
      <w:r>
        <w:rPr>
          <w:rFonts w:ascii="Times New Roman" w:hAnsi="Times New Roman"/>
          <w:kern w:val="2"/>
          <w:szCs w:val="21"/>
        </w:rPr>
        <w:t>对于使用其他非活性生物物质制造的器械，在第13.1和13.2节所述的情况下，应对这些物质的进行加工、保存、测定和处理，以便为患者、使用者和其他人（如适用）提供安全性，包括整条废物处理链。特别是，应通过适当的来源方法，及通过在生</w:t>
      </w:r>
      <w:r>
        <w:rPr>
          <w:rFonts w:hint="eastAsia" w:ascii="Times New Roman" w:hAnsi="Times New Roman"/>
          <w:kern w:val="2"/>
          <w:szCs w:val="21"/>
        </w:rPr>
        <w:t>产</w:t>
      </w:r>
      <w:r>
        <w:rPr>
          <w:rFonts w:ascii="Times New Roman" w:hAnsi="Times New Roman"/>
          <w:kern w:val="2"/>
          <w:szCs w:val="21"/>
        </w:rPr>
        <w:t>过程中实施经验证的消除或失活方法处理与病毒和传染因子安全性相关的问题。</w:t>
      </w:r>
    </w:p>
    <w:p w14:paraId="497366A9">
      <w:pPr>
        <w:pStyle w:val="4"/>
        <w:numPr>
          <w:ilvl w:val="0"/>
          <w:numId w:val="130"/>
        </w:numPr>
        <w:tabs>
          <w:tab w:val="left" w:pos="682"/>
        </w:tabs>
        <w:topLinePunct/>
        <w:snapToGrid w:val="0"/>
        <w:spacing w:beforeLines="10" w:line="288" w:lineRule="auto"/>
        <w:ind w:hanging="567"/>
        <w:jc w:val="both"/>
        <w:rPr>
          <w:rFonts w:ascii="Times New Roman" w:hAnsi="Times New Roman"/>
          <w:b w:val="0"/>
          <w:bCs w:val="0"/>
          <w:kern w:val="2"/>
          <w:sz w:val="21"/>
          <w:szCs w:val="21"/>
        </w:rPr>
      </w:pPr>
      <w:r>
        <w:rPr>
          <w:rFonts w:ascii="Times New Roman" w:hAnsi="Times New Roman"/>
          <w:kern w:val="2"/>
          <w:sz w:val="21"/>
          <w:szCs w:val="21"/>
        </w:rPr>
        <w:t>器械</w:t>
      </w:r>
      <w:r>
        <w:rPr>
          <w:rFonts w:ascii="Times New Roman" w:hAnsi="Times New Roman"/>
          <w:kern w:val="2"/>
          <w:sz w:val="21"/>
          <w:szCs w:val="21"/>
          <w:lang w:val="en-US"/>
        </w:rPr>
        <w:t>构造</w:t>
      </w:r>
      <w:r>
        <w:rPr>
          <w:rFonts w:ascii="Times New Roman" w:hAnsi="Times New Roman"/>
          <w:kern w:val="2"/>
          <w:sz w:val="21"/>
          <w:szCs w:val="21"/>
        </w:rPr>
        <w:t>及其</w:t>
      </w:r>
      <w:r>
        <w:rPr>
          <w:rFonts w:hint="eastAsia" w:ascii="Times New Roman" w:hAnsi="Times New Roman"/>
          <w:kern w:val="2"/>
          <w:sz w:val="21"/>
          <w:szCs w:val="21"/>
        </w:rPr>
        <w:t>与</w:t>
      </w:r>
      <w:r>
        <w:rPr>
          <w:rFonts w:ascii="Times New Roman" w:hAnsi="Times New Roman"/>
          <w:kern w:val="2"/>
          <w:sz w:val="21"/>
          <w:szCs w:val="21"/>
        </w:rPr>
        <w:t>环境</w:t>
      </w:r>
      <w:r>
        <w:rPr>
          <w:rFonts w:hint="eastAsia" w:ascii="Times New Roman" w:hAnsi="Times New Roman"/>
          <w:kern w:val="2"/>
          <w:sz w:val="21"/>
          <w:szCs w:val="21"/>
        </w:rPr>
        <w:t>之间的</w:t>
      </w:r>
      <w:r>
        <w:rPr>
          <w:rFonts w:ascii="Times New Roman" w:hAnsi="Times New Roman"/>
          <w:kern w:val="2"/>
          <w:sz w:val="21"/>
          <w:szCs w:val="21"/>
        </w:rPr>
        <w:t>相互作用</w:t>
      </w:r>
    </w:p>
    <w:p w14:paraId="5600582B">
      <w:pPr>
        <w:pStyle w:val="32"/>
        <w:numPr>
          <w:ilvl w:val="1"/>
          <w:numId w:val="130"/>
        </w:numPr>
        <w:tabs>
          <w:tab w:val="left" w:pos="682"/>
        </w:tabs>
        <w:topLinePunct/>
        <w:snapToGrid w:val="0"/>
        <w:spacing w:beforeLines="10" w:line="288" w:lineRule="auto"/>
        <w:ind w:left="680" w:hanging="567"/>
        <w:jc w:val="both"/>
        <w:rPr>
          <w:rFonts w:ascii="Times New Roman" w:hAnsi="Times New Roman"/>
          <w:kern w:val="2"/>
          <w:szCs w:val="21"/>
        </w:rPr>
      </w:pPr>
      <w:r>
        <w:rPr>
          <w:rFonts w:ascii="Times New Roman" w:hAnsi="Times New Roman"/>
          <w:kern w:val="2"/>
          <w:szCs w:val="21"/>
        </w:rPr>
        <w:t>若器械预定与其他器械或设备一起配合使用，必须保证整个系统（包括连接系统）具有安全性，同时不得改变本器械的指定性能。此类组合结构的任何使用限制应在标签和/或使用说明书上标明。应以尽量减少所有可能的风险（如误连接）的方式设计和构造使用者必须处理的连接件，例如流体、气体输送、电气或机械联轴节。</w:t>
      </w:r>
    </w:p>
    <w:p w14:paraId="2C998BAB">
      <w:pPr>
        <w:pStyle w:val="32"/>
        <w:numPr>
          <w:ilvl w:val="1"/>
          <w:numId w:val="130"/>
        </w:numPr>
        <w:tabs>
          <w:tab w:val="left" w:pos="682"/>
        </w:tabs>
        <w:topLinePunct/>
        <w:snapToGrid w:val="0"/>
        <w:spacing w:beforeLines="10" w:line="288" w:lineRule="auto"/>
        <w:ind w:hanging="567"/>
        <w:jc w:val="both"/>
        <w:rPr>
          <w:rFonts w:ascii="Times New Roman" w:hAnsi="Times New Roman"/>
          <w:kern w:val="2"/>
          <w:szCs w:val="21"/>
        </w:rPr>
      </w:pPr>
      <w:r>
        <w:rPr>
          <w:rFonts w:ascii="Times New Roman" w:hAnsi="Times New Roman"/>
          <w:kern w:val="2"/>
          <w:szCs w:val="21"/>
        </w:rPr>
        <w:t>应采用适当方式设计和制造器械，确保尽可能地避免或减少以下内容：</w:t>
      </w:r>
    </w:p>
    <w:p w14:paraId="6D2DFF2E">
      <w:pPr>
        <w:pStyle w:val="32"/>
        <w:numPr>
          <w:ilvl w:val="2"/>
          <w:numId w:val="130"/>
        </w:numPr>
        <w:tabs>
          <w:tab w:val="left" w:pos="1248"/>
        </w:tabs>
        <w:topLinePunct/>
        <w:snapToGrid w:val="0"/>
        <w:spacing w:beforeLines="10" w:line="288" w:lineRule="auto"/>
        <w:ind w:left="1247"/>
        <w:jc w:val="both"/>
        <w:rPr>
          <w:rFonts w:ascii="Times New Roman" w:hAnsi="Times New Roman"/>
          <w:kern w:val="2"/>
          <w:szCs w:val="21"/>
        </w:rPr>
      </w:pPr>
      <w:r>
        <w:rPr>
          <w:rFonts w:ascii="Times New Roman" w:hAnsi="Times New Roman"/>
          <w:kern w:val="2"/>
          <w:szCs w:val="21"/>
        </w:rPr>
        <w:t>与器械物理特征有关的伤害风险，包含体积/压力比、尺寸、和人体工程学特征（如适用）；</w:t>
      </w:r>
    </w:p>
    <w:p w14:paraId="351B3580">
      <w:pPr>
        <w:pStyle w:val="32"/>
        <w:numPr>
          <w:ilvl w:val="0"/>
          <w:numId w:val="132"/>
        </w:numPr>
        <w:tabs>
          <w:tab w:val="left" w:pos="1248"/>
        </w:tabs>
        <w:topLinePunct/>
        <w:snapToGrid w:val="0"/>
        <w:spacing w:beforeLines="10" w:line="288" w:lineRule="auto"/>
        <w:ind w:left="1247"/>
        <w:jc w:val="both"/>
        <w:rPr>
          <w:rFonts w:ascii="Times New Roman" w:hAnsi="Times New Roman"/>
          <w:kern w:val="2"/>
          <w:szCs w:val="21"/>
        </w:rPr>
      </w:pPr>
      <w:r>
        <w:rPr>
          <w:rFonts w:ascii="Times New Roman" w:hAnsi="Times New Roman"/>
          <w:kern w:val="2"/>
          <w:szCs w:val="21"/>
        </w:rPr>
        <w:t>与可合理预见的外部影响或环境条件相关的风险，例如磁场、外部电场和电磁效应、静电放电、诊断或治疗过程的辐射、压力、湿度、温度、压力变化和压力加速或者无线电信号干扰；</w:t>
      </w:r>
    </w:p>
    <w:p w14:paraId="5F913C2F">
      <w:pPr>
        <w:pStyle w:val="32"/>
        <w:numPr>
          <w:ilvl w:val="0"/>
          <w:numId w:val="132"/>
        </w:numPr>
        <w:tabs>
          <w:tab w:val="left" w:pos="1248"/>
        </w:tabs>
        <w:topLinePunct/>
        <w:snapToGrid w:val="0"/>
        <w:spacing w:beforeLines="10" w:line="288" w:lineRule="auto"/>
        <w:ind w:left="1247"/>
        <w:jc w:val="both"/>
        <w:rPr>
          <w:rFonts w:ascii="Times New Roman" w:hAnsi="Times New Roman"/>
          <w:kern w:val="2"/>
          <w:szCs w:val="21"/>
        </w:rPr>
      </w:pPr>
      <w:r>
        <w:rPr>
          <w:rFonts w:ascii="Times New Roman" w:hAnsi="Times New Roman"/>
          <w:kern w:val="2"/>
          <w:szCs w:val="21"/>
        </w:rPr>
        <w:t>与该器械使用相关的风险，当其接触材料、液体和物质时，包括其在正常使用条件下暴露接触的气体；</w:t>
      </w:r>
    </w:p>
    <w:p w14:paraId="0853B58B">
      <w:pPr>
        <w:pStyle w:val="32"/>
        <w:numPr>
          <w:ilvl w:val="0"/>
          <w:numId w:val="132"/>
        </w:numPr>
        <w:tabs>
          <w:tab w:val="left" w:pos="1248"/>
        </w:tabs>
        <w:topLinePunct/>
        <w:snapToGrid w:val="0"/>
        <w:spacing w:beforeLines="10" w:line="288" w:lineRule="auto"/>
        <w:ind w:left="1247"/>
        <w:jc w:val="both"/>
        <w:rPr>
          <w:rFonts w:ascii="Times New Roman" w:hAnsi="Times New Roman"/>
          <w:kern w:val="2"/>
          <w:szCs w:val="21"/>
        </w:rPr>
      </w:pPr>
      <w:r>
        <w:rPr>
          <w:rFonts w:ascii="Times New Roman" w:hAnsi="Times New Roman"/>
          <w:kern w:val="2"/>
          <w:szCs w:val="21"/>
        </w:rPr>
        <w:t>与软件和IT环境间的可能负相互作用相关的风险，器械在该IT环境内操作和相互作用；</w:t>
      </w:r>
    </w:p>
    <w:p w14:paraId="0A2938E7">
      <w:pPr>
        <w:pStyle w:val="32"/>
        <w:numPr>
          <w:ilvl w:val="0"/>
          <w:numId w:val="132"/>
        </w:numPr>
        <w:tabs>
          <w:tab w:val="left" w:pos="1248"/>
        </w:tabs>
        <w:topLinePunct/>
        <w:snapToGrid w:val="0"/>
        <w:spacing w:beforeLines="10" w:line="288" w:lineRule="auto"/>
        <w:ind w:left="1247"/>
        <w:jc w:val="both"/>
        <w:rPr>
          <w:rFonts w:ascii="Times New Roman" w:hAnsi="Times New Roman"/>
          <w:kern w:val="2"/>
          <w:szCs w:val="21"/>
        </w:rPr>
      </w:pPr>
      <w:r>
        <w:rPr>
          <w:rFonts w:ascii="Times New Roman" w:hAnsi="Times New Roman"/>
          <w:kern w:val="2"/>
          <w:szCs w:val="21"/>
        </w:rPr>
        <w:t>物质意外进入器械的风险；</w:t>
      </w:r>
    </w:p>
    <w:p w14:paraId="1A14FC0C">
      <w:pPr>
        <w:pStyle w:val="32"/>
        <w:numPr>
          <w:ilvl w:val="0"/>
          <w:numId w:val="132"/>
        </w:numPr>
        <w:tabs>
          <w:tab w:val="left" w:pos="1248"/>
        </w:tabs>
        <w:topLinePunct/>
        <w:snapToGrid w:val="0"/>
        <w:spacing w:beforeLines="10" w:line="288" w:lineRule="auto"/>
        <w:jc w:val="both"/>
        <w:rPr>
          <w:rFonts w:ascii="Times New Roman" w:hAnsi="Times New Roman"/>
          <w:kern w:val="2"/>
          <w:szCs w:val="21"/>
        </w:rPr>
      </w:pPr>
      <w:r>
        <w:rPr>
          <w:rFonts w:ascii="Times New Roman" w:hAnsi="Times New Roman"/>
          <w:kern w:val="2"/>
          <w:szCs w:val="21"/>
        </w:rPr>
        <w:t>在研究中正常使用或给予治疗期间，与其他器械相互干扰造成的风险；</w:t>
      </w:r>
    </w:p>
    <w:p w14:paraId="7A4039CC">
      <w:pPr>
        <w:pStyle w:val="32"/>
        <w:numPr>
          <w:ilvl w:val="0"/>
          <w:numId w:val="132"/>
        </w:numPr>
        <w:tabs>
          <w:tab w:val="left" w:pos="1248"/>
        </w:tabs>
        <w:topLinePunct/>
        <w:snapToGrid w:val="0"/>
        <w:spacing w:beforeLines="10" w:line="288" w:lineRule="auto"/>
        <w:ind w:left="1247"/>
        <w:jc w:val="both"/>
        <w:rPr>
          <w:rFonts w:ascii="Times New Roman" w:hAnsi="Times New Roman"/>
          <w:kern w:val="2"/>
          <w:szCs w:val="21"/>
        </w:rPr>
      </w:pPr>
      <w:r>
        <w:rPr>
          <w:rFonts w:ascii="Times New Roman" w:hAnsi="Times New Roman"/>
          <w:kern w:val="2"/>
          <w:szCs w:val="21"/>
        </w:rPr>
        <w:t>由于下面原因导致的风险：材料老化、测试或控制机能精准度下降而无法维修或校正（如植入人体后）器械。</w:t>
      </w:r>
    </w:p>
    <w:p w14:paraId="54FB653F">
      <w:pPr>
        <w:pStyle w:val="32"/>
        <w:numPr>
          <w:ilvl w:val="1"/>
          <w:numId w:val="130"/>
        </w:numPr>
        <w:tabs>
          <w:tab w:val="left" w:pos="682"/>
        </w:tabs>
        <w:topLinePunct/>
        <w:snapToGrid w:val="0"/>
        <w:spacing w:beforeLines="10" w:line="288" w:lineRule="auto"/>
        <w:ind w:hanging="567"/>
        <w:jc w:val="both"/>
        <w:rPr>
          <w:rFonts w:ascii="Times New Roman" w:hAnsi="Times New Roman"/>
          <w:kern w:val="2"/>
          <w:szCs w:val="21"/>
        </w:rPr>
      </w:pPr>
      <w:r>
        <w:rPr>
          <w:rFonts w:ascii="Times New Roman" w:hAnsi="Times New Roman"/>
          <w:kern w:val="2"/>
          <w:szCs w:val="21"/>
        </w:rPr>
        <w:t>必须适当地设计和制造器械，确保在正常使用期间和单一故障情形下尽量减少火灾或爆炸风险。应特别留意此类器械：其预期用途包括暴露于或与易燃易爆物质或可引燃物质结合使用的器械。</w:t>
      </w:r>
    </w:p>
    <w:p w14:paraId="5A9D6346">
      <w:pPr>
        <w:pStyle w:val="32"/>
        <w:numPr>
          <w:ilvl w:val="1"/>
          <w:numId w:val="130"/>
        </w:numPr>
        <w:tabs>
          <w:tab w:val="left" w:pos="682"/>
        </w:tabs>
        <w:topLinePunct/>
        <w:snapToGrid w:val="0"/>
        <w:spacing w:beforeLines="10" w:line="288" w:lineRule="auto"/>
        <w:ind w:hanging="567"/>
        <w:jc w:val="both"/>
        <w:rPr>
          <w:rFonts w:ascii="Times New Roman" w:hAnsi="Times New Roman"/>
          <w:kern w:val="2"/>
          <w:szCs w:val="21"/>
        </w:rPr>
      </w:pPr>
      <w:r>
        <w:rPr>
          <w:rFonts w:ascii="Times New Roman" w:hAnsi="Times New Roman"/>
          <w:kern w:val="2"/>
          <w:szCs w:val="21"/>
        </w:rPr>
        <w:t>器械的设计和制造应确保可安全且有效地进行调整、校准和维护。</w:t>
      </w:r>
    </w:p>
    <w:p w14:paraId="7AE744AC">
      <w:pPr>
        <w:pStyle w:val="32"/>
        <w:numPr>
          <w:ilvl w:val="1"/>
          <w:numId w:val="130"/>
        </w:numPr>
        <w:tabs>
          <w:tab w:val="left" w:pos="682"/>
        </w:tabs>
        <w:topLinePunct/>
        <w:snapToGrid w:val="0"/>
        <w:spacing w:beforeLines="10" w:line="288" w:lineRule="auto"/>
        <w:ind w:hanging="567"/>
        <w:jc w:val="both"/>
        <w:rPr>
          <w:rFonts w:ascii="Times New Roman" w:hAnsi="Times New Roman"/>
          <w:kern w:val="2"/>
          <w:szCs w:val="21"/>
        </w:rPr>
      </w:pPr>
      <w:r>
        <w:rPr>
          <w:rFonts w:ascii="Times New Roman" w:hAnsi="Times New Roman"/>
          <w:kern w:val="2"/>
          <w:szCs w:val="21"/>
        </w:rPr>
        <w:t>用于与其他器械或产品协同操作的器械设计和制造应确保其互通性和兼容性可靠且安全。</w:t>
      </w:r>
    </w:p>
    <w:p w14:paraId="24AE7E80">
      <w:pPr>
        <w:pStyle w:val="8"/>
        <w:topLinePunct/>
        <w:snapToGrid w:val="0"/>
        <w:spacing w:beforeLines="10" w:line="288" w:lineRule="auto"/>
        <w:ind w:hanging="568"/>
        <w:jc w:val="both"/>
        <w:rPr>
          <w:kern w:val="2"/>
          <w:szCs w:val="21"/>
        </w:rPr>
      </w:pPr>
      <w:r>
        <w:rPr>
          <w:kern w:val="2"/>
          <w:szCs w:val="21"/>
        </w:rPr>
        <w:t>14.6.</w:t>
      </w:r>
      <w:r>
        <w:rPr>
          <w:kern w:val="2"/>
          <w:szCs w:val="21"/>
        </w:rPr>
        <w:tab/>
      </w:r>
      <w:r>
        <w:rPr>
          <w:kern w:val="2"/>
          <w:szCs w:val="21"/>
        </w:rPr>
        <w:t>应根据人体工程学原理设计和制造任何测量、监测或显示器标度的器械，且考虑到器械的预期用途、使用者以及器械预期使用所在的环境条件。</w:t>
      </w:r>
    </w:p>
    <w:p w14:paraId="428C445B">
      <w:pPr>
        <w:pStyle w:val="8"/>
        <w:topLinePunct/>
        <w:snapToGrid w:val="0"/>
        <w:spacing w:beforeLines="10" w:line="288" w:lineRule="auto"/>
        <w:ind w:hanging="568"/>
        <w:jc w:val="both"/>
        <w:rPr>
          <w:kern w:val="2"/>
          <w:szCs w:val="21"/>
        </w:rPr>
      </w:pPr>
      <w:r>
        <w:rPr>
          <w:kern w:val="2"/>
          <w:szCs w:val="21"/>
        </w:rPr>
        <w:t>14.7.</w:t>
      </w:r>
      <w:r>
        <w:rPr>
          <w:kern w:val="2"/>
          <w:szCs w:val="21"/>
        </w:rPr>
        <w:tab/>
      </w:r>
      <w:r>
        <w:rPr>
          <w:kern w:val="2"/>
          <w:szCs w:val="21"/>
        </w:rPr>
        <w:t>应以此类方式设计和制造器械，以便于使用者、患者或其他人安全处置器械和/或相关废物。为此，制造商应研究并测试程序和措施，以便器械使用后可安全处置。这些程序应在使用说明中给出。</w:t>
      </w:r>
    </w:p>
    <w:p w14:paraId="7A1C2721">
      <w:pPr>
        <w:pStyle w:val="4"/>
        <w:numPr>
          <w:ilvl w:val="0"/>
          <w:numId w:val="130"/>
        </w:numPr>
        <w:tabs>
          <w:tab w:val="left" w:pos="682"/>
        </w:tabs>
        <w:topLinePunct/>
        <w:snapToGrid w:val="0"/>
        <w:spacing w:beforeLines="10" w:line="288" w:lineRule="auto"/>
        <w:ind w:hanging="567"/>
        <w:jc w:val="both"/>
        <w:rPr>
          <w:rFonts w:ascii="Times New Roman" w:hAnsi="Times New Roman"/>
          <w:b w:val="0"/>
          <w:bCs w:val="0"/>
          <w:kern w:val="2"/>
          <w:sz w:val="21"/>
          <w:szCs w:val="21"/>
        </w:rPr>
      </w:pPr>
      <w:r>
        <w:rPr>
          <w:rFonts w:ascii="Times New Roman" w:hAnsi="Times New Roman"/>
          <w:kern w:val="2"/>
          <w:sz w:val="21"/>
          <w:szCs w:val="21"/>
        </w:rPr>
        <w:t>具有诊断或测定功能的器械</w:t>
      </w:r>
    </w:p>
    <w:p w14:paraId="0E2D430E">
      <w:pPr>
        <w:pStyle w:val="32"/>
        <w:numPr>
          <w:ilvl w:val="1"/>
          <w:numId w:val="130"/>
        </w:numPr>
        <w:tabs>
          <w:tab w:val="left" w:pos="682"/>
        </w:tabs>
        <w:topLinePunct/>
        <w:snapToGrid w:val="0"/>
        <w:spacing w:beforeLines="10" w:line="288" w:lineRule="auto"/>
        <w:ind w:left="680" w:hanging="567"/>
        <w:jc w:val="both"/>
        <w:rPr>
          <w:rFonts w:ascii="Times New Roman" w:hAnsi="Times New Roman"/>
          <w:kern w:val="2"/>
          <w:szCs w:val="21"/>
        </w:rPr>
      </w:pPr>
      <w:r>
        <w:rPr>
          <w:rFonts w:ascii="Times New Roman" w:hAnsi="Times New Roman"/>
          <w:kern w:val="2"/>
          <w:szCs w:val="21"/>
        </w:rPr>
        <w:t>应以此类方式设计和制造具有测定功能的诊断器械和器械，应根据适当的科学和技术方法为其预期用途提供足够的准确度、精度和稳定性。准确度范围应由制造商指定。</w:t>
      </w:r>
    </w:p>
    <w:p w14:paraId="059E11CF">
      <w:pPr>
        <w:pStyle w:val="32"/>
        <w:numPr>
          <w:ilvl w:val="1"/>
          <w:numId w:val="130"/>
        </w:numPr>
        <w:tabs>
          <w:tab w:val="left" w:pos="682"/>
        </w:tabs>
        <w:topLinePunct/>
        <w:snapToGrid w:val="0"/>
        <w:spacing w:beforeLines="10" w:line="288" w:lineRule="auto"/>
        <w:ind w:hanging="567"/>
        <w:jc w:val="both"/>
        <w:rPr>
          <w:rFonts w:ascii="Times New Roman" w:hAnsi="Times New Roman"/>
          <w:kern w:val="2"/>
          <w:szCs w:val="21"/>
        </w:rPr>
      </w:pPr>
      <w:r>
        <w:rPr>
          <w:rFonts w:ascii="Times New Roman" w:hAnsi="Times New Roman"/>
          <w:kern w:val="2"/>
          <w:szCs w:val="21"/>
        </w:rPr>
        <w:t>具有监测功能的器械进行并且以合法单位表示的测量应符合理事会第80/181/EEC号指令关于成员国对于测量单位的相似法律以及废除第71/354/EEC号指令</w:t>
      </w:r>
      <w:r>
        <w:rPr>
          <w:rFonts w:hint="eastAsia" w:ascii="Times New Roman" w:hAnsi="Times New Roman"/>
          <w:kern w:val="2"/>
          <w:szCs w:val="21"/>
        </w:rPr>
        <w:t>（</w:t>
      </w:r>
      <w:r>
        <w:rPr>
          <w:rFonts w:ascii="Times New Roman" w:hAnsi="Times New Roman"/>
          <w:kern w:val="2"/>
          <w:szCs w:val="21"/>
          <w:vertAlign w:val="superscript"/>
        </w:rPr>
        <w:t>1</w:t>
      </w:r>
      <w:r>
        <w:rPr>
          <w:rFonts w:hint="eastAsia" w:ascii="Times New Roman" w:hAnsi="Times New Roman"/>
          <w:kern w:val="2"/>
          <w:szCs w:val="21"/>
        </w:rPr>
        <w:t>）</w:t>
      </w:r>
      <w:r>
        <w:rPr>
          <w:rFonts w:ascii="Times New Roman" w:hAnsi="Times New Roman"/>
          <w:kern w:val="2"/>
          <w:szCs w:val="21"/>
        </w:rPr>
        <w:t>的规定。</w:t>
      </w:r>
    </w:p>
    <w:p w14:paraId="0551AEF6">
      <w:pPr>
        <w:pStyle w:val="53"/>
        <w:spacing w:beforeLines="10" w:line="288" w:lineRule="auto"/>
        <w:ind w:left="473" w:hanging="473"/>
        <w:rPr>
          <w:sz w:val="21"/>
          <w:szCs w:val="21"/>
        </w:rPr>
      </w:pPr>
      <w:r>
        <w:rPr>
          <w:rFonts w:hint="eastAsia"/>
          <w:sz w:val="21"/>
          <w:szCs w:val="21"/>
        </w:rPr>
        <w:t>___________________________</w:t>
      </w:r>
    </w:p>
    <w:p w14:paraId="5D489746">
      <w:pPr>
        <w:pStyle w:val="53"/>
        <w:spacing w:beforeLines="10" w:line="288" w:lineRule="auto"/>
      </w:pPr>
      <w:bookmarkStart w:id="151" w:name="_bookmark43"/>
      <w:bookmarkEnd w:id="151"/>
      <w:r>
        <w:rPr>
          <w:rFonts w:hint="eastAsia"/>
        </w:rPr>
        <w:t>（</w:t>
      </w:r>
      <w:r>
        <w:rPr>
          <w:rFonts w:hint="eastAsia"/>
          <w:vertAlign w:val="superscript"/>
        </w:rPr>
        <w:t>1</w:t>
      </w:r>
      <w:r>
        <w:rPr>
          <w:rFonts w:hint="eastAsia"/>
        </w:rPr>
        <w:t>）</w:t>
      </w:r>
      <w:r>
        <w:rPr>
          <w:b/>
        </w:rPr>
        <w:tab/>
      </w:r>
      <w:r>
        <w:t>1979年12月20日关于成员国关于衡量单位法律的</w:t>
      </w:r>
      <w:r>
        <w:rPr>
          <w:rFonts w:hint="eastAsia"/>
        </w:rPr>
        <w:t>理事会</w:t>
      </w:r>
      <w:r>
        <w:t>第80/181/EEC号指令，并废除第71/354/EEC号指令。(OJ L 39, 15.2.1980, p. 40)</w:t>
      </w:r>
    </w:p>
    <w:p w14:paraId="4E2DD6C0">
      <w:pPr>
        <w:pStyle w:val="4"/>
        <w:numPr>
          <w:ilvl w:val="0"/>
          <w:numId w:val="130"/>
        </w:numPr>
        <w:tabs>
          <w:tab w:val="left" w:pos="682"/>
        </w:tabs>
        <w:topLinePunct/>
        <w:snapToGrid w:val="0"/>
        <w:spacing w:beforeLines="50"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辐射防护</w:t>
      </w:r>
    </w:p>
    <w:p w14:paraId="511BA756">
      <w:pPr>
        <w:pStyle w:val="32"/>
        <w:numPr>
          <w:ilvl w:val="1"/>
          <w:numId w:val="130"/>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总论</w:t>
      </w:r>
    </w:p>
    <w:p w14:paraId="73F9D6A0">
      <w:pPr>
        <w:pStyle w:val="32"/>
        <w:numPr>
          <w:ilvl w:val="2"/>
          <w:numId w:val="130"/>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必须适当地设计、制造和包装器械，确保在预定用途下尽量减少对患者、使用者和其他人员造成辐射，但在治疗和诊断目的使用下不对规定合理的剂量进行限制。</w:t>
      </w:r>
    </w:p>
    <w:p w14:paraId="09A789FC">
      <w:pPr>
        <w:pStyle w:val="32"/>
        <w:numPr>
          <w:ilvl w:val="2"/>
          <w:numId w:val="130"/>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发出有害或潜在危险辐射的器械的操作说明应包含关于发射辐射性质、保护患者和使用者的方法</w:t>
      </w:r>
      <w:r>
        <w:rPr>
          <w:rFonts w:hint="eastAsia" w:ascii="Times New Roman" w:hAnsi="Times New Roman"/>
          <w:kern w:val="2"/>
          <w:szCs w:val="21"/>
        </w:rPr>
        <w:t>，</w:t>
      </w:r>
      <w:r>
        <w:rPr>
          <w:rFonts w:ascii="Times New Roman" w:hAnsi="Times New Roman"/>
          <w:kern w:val="2"/>
          <w:szCs w:val="21"/>
        </w:rPr>
        <w:t>以及避免误用和尽可能和适当减少安装固有风险的详细信息。</w:t>
      </w:r>
      <w:r>
        <w:rPr>
          <w:rFonts w:hint="eastAsia" w:ascii="Times New Roman" w:hAnsi="Times New Roman"/>
          <w:kern w:val="2"/>
          <w:szCs w:val="21"/>
        </w:rPr>
        <w:t>此外，</w:t>
      </w:r>
      <w:r>
        <w:rPr>
          <w:rFonts w:ascii="Times New Roman" w:hAnsi="Times New Roman"/>
          <w:kern w:val="2"/>
          <w:szCs w:val="21"/>
        </w:rPr>
        <w:t>还应指定有关验收试验、性能试验、验收标准以及维修保养程序的信息。</w:t>
      </w:r>
    </w:p>
    <w:p w14:paraId="0EAEEA16">
      <w:pPr>
        <w:pStyle w:val="32"/>
        <w:tabs>
          <w:tab w:val="left" w:pos="682"/>
        </w:tabs>
        <w:topLinePunct/>
        <w:snapToGrid w:val="0"/>
        <w:spacing w:beforeLines="50" w:line="300" w:lineRule="auto"/>
        <w:ind w:left="113"/>
        <w:jc w:val="both"/>
        <w:rPr>
          <w:rFonts w:ascii="Times New Roman" w:hAnsi="Times New Roman"/>
          <w:kern w:val="2"/>
          <w:szCs w:val="21"/>
        </w:rPr>
      </w:pPr>
      <w:r>
        <w:rPr>
          <w:rFonts w:ascii="Times New Roman" w:hAnsi="Times New Roman"/>
          <w:kern w:val="2"/>
          <w:szCs w:val="21"/>
        </w:rPr>
        <w:t>16.2.</w:t>
      </w:r>
      <w:r>
        <w:rPr>
          <w:rFonts w:ascii="Times New Roman" w:hAnsi="Times New Roman"/>
          <w:kern w:val="2"/>
          <w:szCs w:val="21"/>
        </w:rPr>
        <w:tab/>
      </w:r>
      <w:r>
        <w:rPr>
          <w:rFonts w:ascii="Times New Roman" w:hAnsi="Times New Roman"/>
          <w:kern w:val="2"/>
          <w:szCs w:val="21"/>
        </w:rPr>
        <w:t>预期辐射</w:t>
      </w:r>
    </w:p>
    <w:p w14:paraId="0F2D12A8">
      <w:pPr>
        <w:pStyle w:val="32"/>
        <w:numPr>
          <w:ilvl w:val="2"/>
          <w:numId w:val="133"/>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若</w:t>
      </w:r>
      <w:r>
        <w:rPr>
          <w:rFonts w:hint="eastAsia" w:ascii="Times New Roman" w:hAnsi="Times New Roman"/>
          <w:kern w:val="2"/>
          <w:szCs w:val="21"/>
        </w:rPr>
        <w:t>器械</w:t>
      </w:r>
      <w:r>
        <w:rPr>
          <w:rFonts w:ascii="Times New Roman" w:hAnsi="Times New Roman"/>
          <w:kern w:val="2"/>
          <w:szCs w:val="21"/>
        </w:rPr>
        <w:t>因实现特定医疗目的而不可避免</w:t>
      </w:r>
      <w:r>
        <w:rPr>
          <w:rFonts w:hint="eastAsia" w:ascii="Times New Roman" w:hAnsi="Times New Roman"/>
          <w:kern w:val="2"/>
          <w:szCs w:val="21"/>
        </w:rPr>
        <w:t>地</w:t>
      </w:r>
      <w:r>
        <w:rPr>
          <w:rFonts w:ascii="Times New Roman" w:hAnsi="Times New Roman"/>
          <w:kern w:val="2"/>
          <w:szCs w:val="21"/>
        </w:rPr>
        <w:t>辐射危害</w:t>
      </w:r>
      <w:r>
        <w:rPr>
          <w:rFonts w:ascii="Times New Roman" w:hAnsi="Times New Roman"/>
          <w:kern w:val="2"/>
          <w:szCs w:val="21"/>
          <w:lang w:val="en-US"/>
        </w:rPr>
        <w:t>或</w:t>
      </w:r>
      <w:r>
        <w:rPr>
          <w:rFonts w:ascii="Times New Roman" w:hAnsi="Times New Roman"/>
          <w:kern w:val="2"/>
          <w:szCs w:val="21"/>
        </w:rPr>
        <w:t>潜在</w:t>
      </w:r>
      <w:r>
        <w:rPr>
          <w:rFonts w:hint="eastAsia" w:ascii="Times New Roman" w:hAnsi="Times New Roman"/>
          <w:kern w:val="2"/>
          <w:szCs w:val="21"/>
        </w:rPr>
        <w:t>危害</w:t>
      </w:r>
      <w:r>
        <w:rPr>
          <w:rFonts w:ascii="Times New Roman" w:hAnsi="Times New Roman"/>
          <w:kern w:val="2"/>
          <w:szCs w:val="21"/>
        </w:rPr>
        <w:t>水平</w:t>
      </w:r>
      <w:r>
        <w:rPr>
          <w:rFonts w:hint="eastAsia" w:ascii="Times New Roman" w:hAnsi="Times New Roman"/>
          <w:kern w:val="2"/>
          <w:szCs w:val="21"/>
        </w:rPr>
        <w:t>的</w:t>
      </w:r>
      <w:r>
        <w:rPr>
          <w:rFonts w:ascii="Times New Roman" w:hAnsi="Times New Roman"/>
          <w:kern w:val="2"/>
          <w:szCs w:val="21"/>
          <w:lang w:val="en-US"/>
        </w:rPr>
        <w:t>电离和/或非电离辐射</w:t>
      </w:r>
      <w:r>
        <w:rPr>
          <w:rFonts w:ascii="Times New Roman" w:hAnsi="Times New Roman"/>
          <w:kern w:val="2"/>
          <w:szCs w:val="21"/>
        </w:rPr>
        <w:t>，</w:t>
      </w:r>
      <w:r>
        <w:rPr>
          <w:rFonts w:hint="eastAsia" w:ascii="Times New Roman" w:hAnsi="Times New Roman"/>
          <w:kern w:val="2"/>
          <w:szCs w:val="21"/>
        </w:rPr>
        <w:t>并且</w:t>
      </w:r>
      <w:r>
        <w:rPr>
          <w:rFonts w:ascii="Times New Roman" w:hAnsi="Times New Roman"/>
          <w:kern w:val="2"/>
          <w:szCs w:val="21"/>
        </w:rPr>
        <w:t>其收益</w:t>
      </w:r>
      <w:r>
        <w:rPr>
          <w:rFonts w:hint="eastAsia" w:ascii="Times New Roman" w:hAnsi="Times New Roman"/>
          <w:kern w:val="2"/>
          <w:szCs w:val="21"/>
        </w:rPr>
        <w:t>一般视为</w:t>
      </w:r>
      <w:r>
        <w:rPr>
          <w:rFonts w:ascii="Times New Roman" w:hAnsi="Times New Roman"/>
          <w:kern w:val="2"/>
          <w:szCs w:val="21"/>
        </w:rPr>
        <w:t>超过该辐射内固有</w:t>
      </w:r>
      <w:r>
        <w:rPr>
          <w:rFonts w:hint="eastAsia" w:ascii="Times New Roman" w:hAnsi="Times New Roman"/>
          <w:kern w:val="2"/>
          <w:szCs w:val="21"/>
        </w:rPr>
        <w:t>的风险</w:t>
      </w:r>
      <w:r>
        <w:rPr>
          <w:rFonts w:ascii="Times New Roman" w:hAnsi="Times New Roman"/>
          <w:kern w:val="2"/>
          <w:szCs w:val="21"/>
        </w:rPr>
        <w:t>，</w:t>
      </w:r>
      <w:r>
        <w:rPr>
          <w:rFonts w:hint="eastAsia" w:ascii="Times New Roman" w:hAnsi="Times New Roman"/>
          <w:kern w:val="2"/>
          <w:szCs w:val="21"/>
        </w:rPr>
        <w:t>则</w:t>
      </w:r>
      <w:r>
        <w:rPr>
          <w:rFonts w:ascii="Times New Roman" w:hAnsi="Times New Roman"/>
          <w:kern w:val="2"/>
          <w:szCs w:val="21"/>
        </w:rPr>
        <w:t>使用者必须可控制辐射。此类器械的设计和制造应确保相关可变参数在可接受公差范围内的再现性。</w:t>
      </w:r>
    </w:p>
    <w:p w14:paraId="3B6956B4">
      <w:pPr>
        <w:pStyle w:val="32"/>
        <w:numPr>
          <w:ilvl w:val="2"/>
          <w:numId w:val="133"/>
        </w:numPr>
        <w:tabs>
          <w:tab w:val="left" w:pos="1248"/>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当器械用于发射有害或潜在危险的电离和/或非电离辐射时，应尽可能安装此类发射的可视显示器和/或声响报警信号。</w:t>
      </w:r>
    </w:p>
    <w:p w14:paraId="40F59CF1">
      <w:pPr>
        <w:pStyle w:val="32"/>
        <w:tabs>
          <w:tab w:val="left" w:pos="682"/>
        </w:tabs>
        <w:topLinePunct/>
        <w:snapToGrid w:val="0"/>
        <w:spacing w:beforeLines="50" w:line="300" w:lineRule="auto"/>
        <w:ind w:left="718" w:leftChars="66" w:hanging="579" w:hangingChars="276"/>
        <w:jc w:val="both"/>
        <w:rPr>
          <w:rFonts w:ascii="Times New Roman" w:hAnsi="Times New Roman"/>
          <w:kern w:val="2"/>
          <w:szCs w:val="21"/>
        </w:rPr>
      </w:pPr>
      <w:r>
        <w:rPr>
          <w:rFonts w:ascii="Times New Roman" w:hAnsi="Times New Roman"/>
          <w:kern w:val="2"/>
          <w:szCs w:val="21"/>
        </w:rPr>
        <w:t>16.3.</w:t>
      </w:r>
      <w:r>
        <w:rPr>
          <w:rFonts w:ascii="Times New Roman" w:hAnsi="Times New Roman"/>
          <w:kern w:val="2"/>
          <w:szCs w:val="21"/>
        </w:rPr>
        <w:tab/>
      </w:r>
      <w:r>
        <w:rPr>
          <w:rFonts w:ascii="Times New Roman" w:hAnsi="Times New Roman"/>
          <w:kern w:val="2"/>
          <w:szCs w:val="21"/>
        </w:rPr>
        <w:t>应采用适当方式设计和制造器械，确保尽可能降低患者、使用者和其他人员遭受非预期、漫辐射或散射辐射暴露。在可能和适当的情况下，应选择减少患者、使用者和可能受影响的其他人的辐射暴露方法。</w:t>
      </w:r>
    </w:p>
    <w:p w14:paraId="26D7864F">
      <w:pPr>
        <w:pStyle w:val="32"/>
        <w:tabs>
          <w:tab w:val="left" w:pos="682"/>
        </w:tabs>
        <w:topLinePunct/>
        <w:snapToGrid w:val="0"/>
        <w:spacing w:beforeLines="50" w:line="300" w:lineRule="auto"/>
        <w:ind w:left="113"/>
        <w:jc w:val="both"/>
        <w:rPr>
          <w:rFonts w:ascii="Times New Roman" w:hAnsi="Times New Roman"/>
          <w:kern w:val="2"/>
          <w:szCs w:val="21"/>
        </w:rPr>
      </w:pPr>
      <w:r>
        <w:rPr>
          <w:rFonts w:ascii="Times New Roman" w:hAnsi="Times New Roman"/>
          <w:kern w:val="2"/>
          <w:szCs w:val="21"/>
        </w:rPr>
        <w:t>16.4.</w:t>
      </w:r>
      <w:r>
        <w:rPr>
          <w:rFonts w:ascii="Times New Roman" w:hAnsi="Times New Roman"/>
          <w:kern w:val="2"/>
          <w:szCs w:val="21"/>
        </w:rPr>
        <w:tab/>
      </w:r>
      <w:r>
        <w:rPr>
          <w:rFonts w:ascii="Times New Roman" w:hAnsi="Times New Roman"/>
          <w:kern w:val="2"/>
          <w:szCs w:val="21"/>
        </w:rPr>
        <w:t>电离辐射</w:t>
      </w:r>
    </w:p>
    <w:p w14:paraId="05B4CE77">
      <w:pPr>
        <w:pStyle w:val="32"/>
        <w:numPr>
          <w:ilvl w:val="2"/>
          <w:numId w:val="134"/>
        </w:numPr>
        <w:tabs>
          <w:tab w:val="left" w:pos="1248"/>
        </w:tabs>
        <w:topLinePunct/>
        <w:snapToGrid w:val="0"/>
        <w:spacing w:beforeLines="50" w:line="300" w:lineRule="auto"/>
        <w:ind w:left="1247"/>
        <w:jc w:val="both"/>
        <w:rPr>
          <w:rFonts w:ascii="Times New Roman" w:hAnsi="Times New Roman"/>
          <w:kern w:val="2"/>
          <w:szCs w:val="21"/>
        </w:rPr>
      </w:pPr>
      <w:r>
        <w:rPr>
          <w:rFonts w:ascii="Times New Roman" w:hAnsi="Times New Roman"/>
          <w:kern w:val="2"/>
          <w:szCs w:val="21"/>
        </w:rPr>
        <w:t>旨在发射电离辐射的器械的设计和制造应考虑到第2013/59/Euratom号指令的要求，其中规定了防止由于暴露于电离辐射而产生危险的基本安全标准。</w:t>
      </w:r>
    </w:p>
    <w:p w14:paraId="1BB7C12A">
      <w:pPr>
        <w:pStyle w:val="32"/>
        <w:numPr>
          <w:ilvl w:val="2"/>
          <w:numId w:val="134"/>
        </w:numPr>
        <w:tabs>
          <w:tab w:val="left" w:pos="1248"/>
        </w:tabs>
        <w:topLinePunct/>
        <w:snapToGrid w:val="0"/>
        <w:spacing w:beforeLines="50" w:line="300" w:lineRule="auto"/>
        <w:ind w:left="1247"/>
        <w:jc w:val="both"/>
        <w:rPr>
          <w:rFonts w:ascii="Times New Roman" w:hAnsi="Times New Roman"/>
          <w:kern w:val="2"/>
          <w:szCs w:val="21"/>
        </w:rPr>
      </w:pPr>
      <w:r>
        <w:rPr>
          <w:rFonts w:ascii="Times New Roman" w:hAnsi="Times New Roman"/>
          <w:kern w:val="2"/>
          <w:szCs w:val="21"/>
        </w:rPr>
        <w:t>旨在发射电离辐射的器械的设计和制造应确保（如可能）考虑到可在治疗期间改变和控制和（如可能）监测所发射辐射的预期用途、数量、几何形状和质量。</w:t>
      </w:r>
    </w:p>
    <w:p w14:paraId="74E4CEBD">
      <w:pPr>
        <w:pStyle w:val="32"/>
        <w:numPr>
          <w:ilvl w:val="2"/>
          <w:numId w:val="134"/>
        </w:numPr>
        <w:tabs>
          <w:tab w:val="left" w:pos="1248"/>
        </w:tabs>
        <w:topLinePunct/>
        <w:snapToGrid w:val="0"/>
        <w:spacing w:beforeLines="50" w:line="300" w:lineRule="auto"/>
        <w:ind w:left="1247"/>
        <w:jc w:val="both"/>
        <w:rPr>
          <w:rFonts w:ascii="Times New Roman" w:hAnsi="Times New Roman"/>
          <w:kern w:val="2"/>
          <w:szCs w:val="21"/>
        </w:rPr>
      </w:pPr>
      <w:r>
        <w:rPr>
          <w:rFonts w:ascii="Times New Roman" w:hAnsi="Times New Roman"/>
          <w:kern w:val="2"/>
          <w:szCs w:val="21"/>
        </w:rPr>
        <w:t>若会发射离子辐射的器械预定用于放射医学诊断，</w:t>
      </w:r>
      <w:r>
        <w:rPr>
          <w:rFonts w:hint="eastAsia" w:ascii="Times New Roman" w:hAnsi="Times New Roman"/>
          <w:kern w:val="2"/>
          <w:szCs w:val="21"/>
        </w:rPr>
        <w:t>则</w:t>
      </w:r>
      <w:r>
        <w:rPr>
          <w:rFonts w:ascii="Times New Roman" w:hAnsi="Times New Roman"/>
          <w:kern w:val="2"/>
          <w:szCs w:val="21"/>
        </w:rPr>
        <w:t>应采用适当方式设计和制造器械，确保获得符合预期医疗用途的合适图像和/或输出质量，同时尽量减少对患者和使用者的辐射。</w:t>
      </w:r>
    </w:p>
    <w:p w14:paraId="5F1AB82F">
      <w:pPr>
        <w:pStyle w:val="32"/>
        <w:numPr>
          <w:ilvl w:val="2"/>
          <w:numId w:val="134"/>
        </w:numPr>
        <w:tabs>
          <w:tab w:val="left" w:pos="1248"/>
        </w:tabs>
        <w:topLinePunct/>
        <w:snapToGrid w:val="0"/>
        <w:spacing w:beforeLines="50" w:line="300" w:lineRule="auto"/>
        <w:ind w:left="1247"/>
        <w:jc w:val="both"/>
        <w:rPr>
          <w:rFonts w:ascii="Times New Roman" w:hAnsi="Times New Roman"/>
          <w:kern w:val="2"/>
          <w:szCs w:val="21"/>
        </w:rPr>
      </w:pPr>
      <w:r>
        <w:rPr>
          <w:rFonts w:ascii="Times New Roman" w:hAnsi="Times New Roman"/>
          <w:kern w:val="2"/>
          <w:szCs w:val="21"/>
        </w:rPr>
        <w:t>若会发射离子并预定用于放射医治的器械，</w:t>
      </w:r>
      <w:r>
        <w:rPr>
          <w:rFonts w:hint="eastAsia" w:ascii="Times New Roman" w:hAnsi="Times New Roman"/>
          <w:kern w:val="2"/>
          <w:szCs w:val="21"/>
        </w:rPr>
        <w:t>则</w:t>
      </w:r>
      <w:r>
        <w:rPr>
          <w:rFonts w:ascii="Times New Roman" w:hAnsi="Times New Roman"/>
          <w:kern w:val="2"/>
          <w:szCs w:val="21"/>
        </w:rPr>
        <w:t>应采用适当方式设计和制造器械，确保可监控和控制器械辐射剂量、光束类型和能量以及辐射质量（如适用）。</w:t>
      </w:r>
    </w:p>
    <w:p w14:paraId="77805CA1">
      <w:pPr>
        <w:pStyle w:val="4"/>
        <w:numPr>
          <w:ilvl w:val="0"/>
          <w:numId w:val="130"/>
        </w:numPr>
        <w:tabs>
          <w:tab w:val="left" w:pos="682"/>
        </w:tabs>
        <w:topLinePunct/>
        <w:snapToGrid w:val="0"/>
        <w:spacing w:beforeLines="50" w:line="300" w:lineRule="auto"/>
        <w:ind w:left="680" w:hanging="567"/>
        <w:jc w:val="both"/>
        <w:rPr>
          <w:rFonts w:ascii="Times New Roman" w:hAnsi="Times New Roman"/>
          <w:b w:val="0"/>
          <w:bCs w:val="0"/>
          <w:kern w:val="2"/>
          <w:sz w:val="21"/>
          <w:szCs w:val="21"/>
        </w:rPr>
      </w:pPr>
      <w:r>
        <w:rPr>
          <w:rFonts w:ascii="Times New Roman" w:hAnsi="Times New Roman"/>
          <w:kern w:val="2"/>
          <w:sz w:val="21"/>
          <w:szCs w:val="21"/>
        </w:rPr>
        <w:t>可编程电子系统——包含可编程电子系统</w:t>
      </w:r>
      <w:r>
        <w:rPr>
          <w:rFonts w:hint="eastAsia" w:ascii="Times New Roman" w:hAnsi="Times New Roman"/>
          <w:kern w:val="2"/>
          <w:sz w:val="21"/>
          <w:szCs w:val="21"/>
        </w:rPr>
        <w:t>的器械与本身就是器械的软件</w:t>
      </w:r>
    </w:p>
    <w:p w14:paraId="06513C2B">
      <w:pPr>
        <w:pStyle w:val="32"/>
        <w:numPr>
          <w:ilvl w:val="1"/>
          <w:numId w:val="130"/>
        </w:numPr>
        <w:tabs>
          <w:tab w:val="left" w:pos="682"/>
        </w:tabs>
        <w:topLinePunct/>
        <w:snapToGrid w:val="0"/>
        <w:spacing w:beforeLines="50" w:line="300" w:lineRule="auto"/>
        <w:ind w:left="680" w:hanging="567"/>
        <w:jc w:val="both"/>
        <w:rPr>
          <w:rFonts w:ascii="Times New Roman" w:hAnsi="Times New Roman"/>
          <w:kern w:val="2"/>
          <w:szCs w:val="21"/>
        </w:rPr>
      </w:pPr>
      <w:r>
        <w:rPr>
          <w:rFonts w:ascii="Times New Roman" w:hAnsi="Times New Roman"/>
          <w:kern w:val="2"/>
          <w:szCs w:val="21"/>
        </w:rPr>
        <w:t>包含</w:t>
      </w:r>
      <w:r>
        <w:rPr>
          <w:rFonts w:hint="eastAsia" w:ascii="Times New Roman" w:hAnsi="Times New Roman"/>
          <w:kern w:val="2"/>
          <w:szCs w:val="21"/>
          <w:lang w:val="en-US"/>
        </w:rPr>
        <w:t>可编程电子系统（包括</w:t>
      </w:r>
      <w:r>
        <w:rPr>
          <w:rFonts w:ascii="Times New Roman" w:hAnsi="Times New Roman"/>
          <w:kern w:val="2"/>
          <w:szCs w:val="21"/>
          <w:lang w:val="en-US"/>
        </w:rPr>
        <w:t>软件</w:t>
      </w:r>
      <w:r>
        <w:rPr>
          <w:rFonts w:hint="eastAsia" w:ascii="Times New Roman" w:hAnsi="Times New Roman"/>
          <w:kern w:val="2"/>
          <w:szCs w:val="21"/>
          <w:lang w:val="en-US"/>
        </w:rPr>
        <w:t>）</w:t>
      </w:r>
      <w:r>
        <w:rPr>
          <w:rFonts w:ascii="Times New Roman" w:hAnsi="Times New Roman"/>
          <w:kern w:val="2"/>
          <w:szCs w:val="21"/>
          <w:lang w:val="en-US"/>
        </w:rPr>
        <w:t>的器械或者自身为器械的软件，其设计应根据其预期用途确保相应可重复性、可靠性和性能。在单一故障条件下，应采取适当手段以尽可能消除或降低由此造成的风险或性能损害。</w:t>
      </w:r>
    </w:p>
    <w:p w14:paraId="167687BB">
      <w:pPr>
        <w:pStyle w:val="32"/>
        <w:numPr>
          <w:ilvl w:val="1"/>
          <w:numId w:val="130"/>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针对包含软件的器械或自身为器械的软件，</w:t>
      </w:r>
      <w:r>
        <w:rPr>
          <w:rFonts w:ascii="Times New Roman" w:hAnsi="Times New Roman"/>
          <w:kern w:val="2"/>
          <w:szCs w:val="21"/>
          <w:lang w:val="en-US"/>
        </w:rPr>
        <w:t>应根据现有技术开发和制造软件，</w:t>
      </w:r>
      <w:r>
        <w:rPr>
          <w:rFonts w:ascii="Times New Roman" w:hAnsi="Times New Roman"/>
          <w:kern w:val="2"/>
          <w:szCs w:val="21"/>
        </w:rPr>
        <w:t>同时考虑开发生命周期原则、风险管理，包括信息安全、验证和确认。</w:t>
      </w:r>
    </w:p>
    <w:p w14:paraId="0FB37829">
      <w:pPr>
        <w:pStyle w:val="32"/>
        <w:numPr>
          <w:ilvl w:val="1"/>
          <w:numId w:val="13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本节所指软件用于与移动计算平台结合使用，其设计和制作应考虑移动平台的具体特征（如，屏幕的大小和对比度）以及与其用途相关的外部因素（环境变化，如光照或噪声水平）。</w:t>
      </w:r>
    </w:p>
    <w:p w14:paraId="6179CA61">
      <w:pPr>
        <w:pStyle w:val="8"/>
        <w:topLinePunct/>
        <w:snapToGrid w:val="0"/>
        <w:spacing w:beforeLines="25" w:line="300" w:lineRule="auto"/>
        <w:ind w:left="714" w:hanging="601"/>
        <w:jc w:val="both"/>
        <w:rPr>
          <w:kern w:val="2"/>
          <w:szCs w:val="21"/>
        </w:rPr>
      </w:pPr>
      <w:r>
        <w:rPr>
          <w:kern w:val="2"/>
          <w:szCs w:val="21"/>
        </w:rPr>
        <w:t>17.4</w:t>
      </w:r>
      <w:r>
        <w:rPr>
          <w:kern w:val="2"/>
          <w:szCs w:val="21"/>
        </w:rPr>
        <w:tab/>
      </w:r>
      <w:r>
        <w:rPr>
          <w:kern w:val="2"/>
          <w:szCs w:val="21"/>
        </w:rPr>
        <w:t>制造商应规定有关硬件、IT网络特性和IT安全措施的最低要求，包括防止非授权访问、按预期运行软件的必要条件。</w:t>
      </w:r>
    </w:p>
    <w:p w14:paraId="01900486">
      <w:pPr>
        <w:pStyle w:val="4"/>
        <w:numPr>
          <w:ilvl w:val="0"/>
          <w:numId w:val="130"/>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有源器械和与其连接的器械</w:t>
      </w:r>
    </w:p>
    <w:p w14:paraId="0347C447">
      <w:pPr>
        <w:pStyle w:val="32"/>
        <w:numPr>
          <w:ilvl w:val="1"/>
          <w:numId w:val="130"/>
        </w:numPr>
        <w:tabs>
          <w:tab w:val="left" w:pos="682"/>
        </w:tabs>
        <w:topLinePunct/>
        <w:snapToGrid w:val="0"/>
        <w:spacing w:beforeLines="25" w:line="300" w:lineRule="auto"/>
        <w:ind w:left="680" w:hanging="567"/>
        <w:jc w:val="both"/>
        <w:rPr>
          <w:rFonts w:ascii="Times New Roman" w:hAnsi="Times New Roman"/>
          <w:kern w:val="2"/>
          <w:szCs w:val="21"/>
        </w:rPr>
      </w:pPr>
      <w:r>
        <w:rPr>
          <w:rFonts w:ascii="Times New Roman" w:hAnsi="Times New Roman"/>
          <w:kern w:val="2"/>
          <w:szCs w:val="21"/>
        </w:rPr>
        <w:t>对于非植入式有源器械，在出现单一故障情况时，应采取适当的措施尽可能消除或减少</w:t>
      </w:r>
      <w:r>
        <w:rPr>
          <w:rFonts w:ascii="Times New Roman" w:hAnsi="Times New Roman"/>
          <w:kern w:val="2"/>
          <w:szCs w:val="21"/>
          <w:lang w:val="en-US"/>
        </w:rPr>
        <w:t>由此产生</w:t>
      </w:r>
      <w:r>
        <w:rPr>
          <w:rFonts w:ascii="Times New Roman" w:hAnsi="Times New Roman"/>
          <w:kern w:val="2"/>
          <w:szCs w:val="21"/>
        </w:rPr>
        <w:t>的风险。</w:t>
      </w:r>
    </w:p>
    <w:p w14:paraId="03681693">
      <w:pPr>
        <w:pStyle w:val="32"/>
        <w:numPr>
          <w:ilvl w:val="1"/>
          <w:numId w:val="13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当患者的安全性</w:t>
      </w:r>
      <w:r>
        <w:rPr>
          <w:rFonts w:hint="eastAsia" w:ascii="Times New Roman" w:hAnsi="Times New Roman"/>
          <w:kern w:val="2"/>
          <w:szCs w:val="21"/>
        </w:rPr>
        <w:t>取决于</w:t>
      </w:r>
      <w:r>
        <w:rPr>
          <w:rFonts w:ascii="Times New Roman" w:hAnsi="Times New Roman"/>
          <w:kern w:val="2"/>
          <w:szCs w:val="21"/>
        </w:rPr>
        <w:t>内部电源</w:t>
      </w:r>
      <w:r>
        <w:rPr>
          <w:rFonts w:hint="eastAsia" w:ascii="Times New Roman" w:hAnsi="Times New Roman"/>
          <w:kern w:val="2"/>
          <w:szCs w:val="21"/>
        </w:rPr>
        <w:t>时</w:t>
      </w:r>
      <w:r>
        <w:rPr>
          <w:rFonts w:ascii="Times New Roman" w:hAnsi="Times New Roman"/>
          <w:kern w:val="2"/>
          <w:szCs w:val="21"/>
        </w:rPr>
        <w:t>，此类器械应</w:t>
      </w:r>
      <w:r>
        <w:rPr>
          <w:rFonts w:ascii="Times New Roman" w:hAnsi="Times New Roman"/>
          <w:kern w:val="2"/>
          <w:szCs w:val="21"/>
          <w:lang w:val="en-US"/>
        </w:rPr>
        <w:t>配备</w:t>
      </w:r>
      <w:r>
        <w:rPr>
          <w:rFonts w:ascii="Times New Roman" w:hAnsi="Times New Roman"/>
          <w:kern w:val="2"/>
          <w:szCs w:val="21"/>
        </w:rPr>
        <w:t>可确定电源状态的手段，并且当电源容量处于临界值时</w:t>
      </w:r>
      <w:r>
        <w:rPr>
          <w:rFonts w:hint="eastAsia" w:ascii="Times New Roman" w:hAnsi="Times New Roman"/>
          <w:kern w:val="2"/>
          <w:szCs w:val="21"/>
        </w:rPr>
        <w:t>。</w:t>
      </w:r>
      <w:r>
        <w:rPr>
          <w:rFonts w:ascii="Times New Roman" w:hAnsi="Times New Roman"/>
          <w:kern w:val="2"/>
          <w:szCs w:val="21"/>
        </w:rPr>
        <w:t>必要时应在电源容量变为临界值之前，提供适当警</w:t>
      </w:r>
      <w:r>
        <w:rPr>
          <w:rFonts w:hint="eastAsia" w:ascii="Times New Roman" w:hAnsi="Times New Roman"/>
          <w:kern w:val="2"/>
          <w:szCs w:val="21"/>
          <w:lang w:val="en-US"/>
        </w:rPr>
        <w:t>告</w:t>
      </w:r>
      <w:r>
        <w:rPr>
          <w:rFonts w:ascii="Times New Roman" w:hAnsi="Times New Roman"/>
          <w:kern w:val="2"/>
          <w:szCs w:val="21"/>
        </w:rPr>
        <w:t>或指示。</w:t>
      </w:r>
    </w:p>
    <w:p w14:paraId="7C17C24D">
      <w:pPr>
        <w:pStyle w:val="32"/>
        <w:numPr>
          <w:ilvl w:val="1"/>
          <w:numId w:val="13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若患者安全取决于外部供电，器械必须包含一个报警系统，用于指示任何电力故障。</w:t>
      </w:r>
    </w:p>
    <w:p w14:paraId="62BE55A2">
      <w:pPr>
        <w:pStyle w:val="32"/>
        <w:numPr>
          <w:ilvl w:val="1"/>
          <w:numId w:val="13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若器械预定用于监测患者内一个或多个临床参数，器械必须配备适当报警系统，用于提供有关可导致患者死亡或健康状态严重恶化的警戒信息给使用者。</w:t>
      </w:r>
    </w:p>
    <w:p w14:paraId="69AEDFE3">
      <w:pPr>
        <w:pStyle w:val="32"/>
        <w:numPr>
          <w:ilvl w:val="1"/>
          <w:numId w:val="13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器械的设计和制造应尽可能降低产生电磁干扰的风险，以免影响相关器械或该使用环境下其他器械或设备的操作。</w:t>
      </w:r>
    </w:p>
    <w:p w14:paraId="5AFABEE6">
      <w:pPr>
        <w:pStyle w:val="32"/>
        <w:numPr>
          <w:ilvl w:val="1"/>
          <w:numId w:val="13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器械的设计和制造应提供充足的抗电磁干扰天然免疫水平，使其足以使器械按预期操作。</w:t>
      </w:r>
    </w:p>
    <w:p w14:paraId="2A2A5161">
      <w:pPr>
        <w:pStyle w:val="32"/>
        <w:numPr>
          <w:ilvl w:val="1"/>
          <w:numId w:val="13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器械的设计和制造应尽可能避免在正常使用器械期间和在单一故障情况下对患者、使用者或任何其他人造成意外电击危险，但前提是器械</w:t>
      </w:r>
      <w:r>
        <w:rPr>
          <w:rFonts w:hint="eastAsia" w:ascii="Times New Roman" w:hAnsi="Times New Roman"/>
          <w:kern w:val="2"/>
          <w:szCs w:val="21"/>
        </w:rPr>
        <w:t>须</w:t>
      </w:r>
      <w:r>
        <w:rPr>
          <w:rFonts w:ascii="Times New Roman" w:hAnsi="Times New Roman"/>
          <w:kern w:val="2"/>
          <w:szCs w:val="21"/>
        </w:rPr>
        <w:t>按照制造商的指示安装和维护保养。</w:t>
      </w:r>
    </w:p>
    <w:p w14:paraId="3A553ED1">
      <w:pPr>
        <w:pStyle w:val="32"/>
        <w:numPr>
          <w:ilvl w:val="1"/>
          <w:numId w:val="13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器械的设计和制造应尽可能保护对器械的未经授权访问，以免器械无法正常运行。</w:t>
      </w:r>
    </w:p>
    <w:p w14:paraId="14A27373">
      <w:pPr>
        <w:pStyle w:val="8"/>
        <w:tabs>
          <w:tab w:val="left" w:pos="714"/>
        </w:tabs>
        <w:topLinePunct/>
        <w:snapToGrid w:val="0"/>
        <w:spacing w:beforeLines="25" w:line="300" w:lineRule="auto"/>
        <w:ind w:left="114" w:firstLine="0"/>
        <w:jc w:val="both"/>
        <w:rPr>
          <w:kern w:val="2"/>
          <w:szCs w:val="21"/>
        </w:rPr>
      </w:pPr>
      <w:r>
        <w:rPr>
          <w:kern w:val="2"/>
          <w:szCs w:val="21"/>
          <w:lang w:val="en-US"/>
        </w:rPr>
        <w:t>19.</w:t>
      </w:r>
      <w:r>
        <w:rPr>
          <w:kern w:val="2"/>
          <w:szCs w:val="21"/>
          <w:lang w:val="en-US"/>
        </w:rPr>
        <w:tab/>
      </w:r>
      <w:r>
        <w:rPr>
          <w:kern w:val="2"/>
          <w:szCs w:val="21"/>
        </w:rPr>
        <w:t>有源可植入器械的特殊要求</w:t>
      </w:r>
    </w:p>
    <w:p w14:paraId="43B609CD">
      <w:pPr>
        <w:pStyle w:val="8"/>
        <w:tabs>
          <w:tab w:val="left" w:pos="714"/>
        </w:tabs>
        <w:topLinePunct/>
        <w:snapToGrid w:val="0"/>
        <w:spacing w:beforeLines="25" w:line="300" w:lineRule="auto"/>
        <w:ind w:left="964" w:hanging="851"/>
        <w:jc w:val="both"/>
        <w:rPr>
          <w:kern w:val="2"/>
          <w:szCs w:val="21"/>
        </w:rPr>
      </w:pPr>
      <w:r>
        <w:rPr>
          <w:kern w:val="2"/>
          <w:szCs w:val="21"/>
        </w:rPr>
        <w:t>19.1.</w:t>
      </w:r>
      <w:r>
        <w:rPr>
          <w:kern w:val="2"/>
          <w:szCs w:val="21"/>
        </w:rPr>
        <w:tab/>
      </w:r>
      <w:r>
        <w:rPr>
          <w:kern w:val="2"/>
          <w:szCs w:val="21"/>
        </w:rPr>
        <w:t>应采用适当方式设计和制造有源可植入器械，确保尽可能地避免或减少：</w:t>
      </w:r>
    </w:p>
    <w:p w14:paraId="15730483">
      <w:pPr>
        <w:pStyle w:val="32"/>
        <w:numPr>
          <w:ilvl w:val="0"/>
          <w:numId w:val="135"/>
        </w:numPr>
        <w:tabs>
          <w:tab w:val="left" w:pos="1533"/>
        </w:tabs>
        <w:topLinePunct/>
        <w:snapToGrid w:val="0"/>
        <w:spacing w:beforeLines="20" w:line="300" w:lineRule="auto"/>
        <w:ind w:left="1554" w:hanging="532"/>
        <w:jc w:val="both"/>
        <w:rPr>
          <w:rFonts w:ascii="Times New Roman" w:hAnsi="Times New Roman"/>
          <w:kern w:val="2"/>
          <w:szCs w:val="21"/>
        </w:rPr>
      </w:pPr>
      <w:r>
        <w:rPr>
          <w:rFonts w:ascii="Times New Roman" w:hAnsi="Times New Roman"/>
          <w:kern w:val="2"/>
          <w:szCs w:val="21"/>
        </w:rPr>
        <w:t>根据特定参考文献，与使用能源相关的风险，如使用电力，器械的绝缘、漏泄电流和过热风险，</w:t>
      </w:r>
    </w:p>
    <w:p w14:paraId="468A9EEA">
      <w:pPr>
        <w:pStyle w:val="32"/>
        <w:numPr>
          <w:ilvl w:val="0"/>
          <w:numId w:val="135"/>
        </w:numPr>
        <w:tabs>
          <w:tab w:val="left" w:pos="1533"/>
        </w:tabs>
        <w:topLinePunct/>
        <w:snapToGrid w:val="0"/>
        <w:spacing w:beforeLines="20" w:line="300" w:lineRule="auto"/>
        <w:ind w:left="1554" w:hanging="532"/>
        <w:jc w:val="both"/>
        <w:rPr>
          <w:rFonts w:ascii="Times New Roman" w:hAnsi="Times New Roman"/>
          <w:kern w:val="2"/>
          <w:szCs w:val="21"/>
        </w:rPr>
      </w:pPr>
      <w:r>
        <w:rPr>
          <w:rFonts w:ascii="Times New Roman" w:hAnsi="Times New Roman"/>
          <w:kern w:val="2"/>
          <w:szCs w:val="21"/>
        </w:rPr>
        <w:t>与医疗有关的风险，特别是使用除颤器或高频外科手术</w:t>
      </w:r>
      <w:r>
        <w:rPr>
          <w:rFonts w:hint="eastAsia" w:ascii="Times New Roman" w:hAnsi="Times New Roman"/>
          <w:kern w:val="2"/>
          <w:szCs w:val="21"/>
          <w:lang w:val="en-US"/>
        </w:rPr>
        <w:t>器械</w:t>
      </w:r>
      <w:r>
        <w:rPr>
          <w:rFonts w:ascii="Times New Roman" w:hAnsi="Times New Roman"/>
          <w:kern w:val="2"/>
          <w:szCs w:val="21"/>
        </w:rPr>
        <w:t>产生的风险，</w:t>
      </w:r>
    </w:p>
    <w:p w14:paraId="3168781F">
      <w:pPr>
        <w:pStyle w:val="32"/>
        <w:numPr>
          <w:ilvl w:val="0"/>
          <w:numId w:val="135"/>
        </w:numPr>
        <w:tabs>
          <w:tab w:val="left" w:pos="1533"/>
        </w:tabs>
        <w:topLinePunct/>
        <w:snapToGrid w:val="0"/>
        <w:spacing w:beforeLines="20" w:line="300" w:lineRule="auto"/>
        <w:ind w:left="1554" w:hanging="532"/>
        <w:jc w:val="both"/>
        <w:rPr>
          <w:rFonts w:ascii="Times New Roman" w:hAnsi="Times New Roman"/>
          <w:kern w:val="2"/>
          <w:szCs w:val="21"/>
        </w:rPr>
      </w:pPr>
      <w:r>
        <w:rPr>
          <w:rFonts w:ascii="Times New Roman" w:hAnsi="Times New Roman"/>
          <w:kern w:val="2"/>
          <w:szCs w:val="21"/>
        </w:rPr>
        <w:t>在不可能进行维护和校准时可能出现的风险，包括：</w:t>
      </w:r>
    </w:p>
    <w:p w14:paraId="0C317565">
      <w:pPr>
        <w:pStyle w:val="8"/>
        <w:numPr>
          <w:ilvl w:val="0"/>
          <w:numId w:val="136"/>
        </w:numPr>
        <w:tabs>
          <w:tab w:val="left" w:pos="2098"/>
        </w:tabs>
        <w:topLinePunct/>
        <w:snapToGrid w:val="0"/>
        <w:spacing w:beforeLines="20" w:line="300" w:lineRule="auto"/>
        <w:jc w:val="both"/>
        <w:rPr>
          <w:kern w:val="2"/>
          <w:szCs w:val="21"/>
        </w:rPr>
      </w:pPr>
      <w:r>
        <w:rPr>
          <w:kern w:val="2"/>
          <w:szCs w:val="21"/>
        </w:rPr>
        <w:t>漏泄电流过度增大，</w:t>
      </w:r>
    </w:p>
    <w:p w14:paraId="42A0466C">
      <w:pPr>
        <w:pStyle w:val="8"/>
        <w:numPr>
          <w:ilvl w:val="0"/>
          <w:numId w:val="136"/>
        </w:numPr>
        <w:tabs>
          <w:tab w:val="left" w:pos="2098"/>
        </w:tabs>
        <w:topLinePunct/>
        <w:snapToGrid w:val="0"/>
        <w:spacing w:beforeLines="20" w:line="300" w:lineRule="auto"/>
        <w:jc w:val="both"/>
        <w:rPr>
          <w:kern w:val="2"/>
          <w:szCs w:val="21"/>
        </w:rPr>
      </w:pPr>
      <w:r>
        <w:rPr>
          <w:kern w:val="2"/>
          <w:szCs w:val="21"/>
        </w:rPr>
        <w:t>所使用材料的老化，</w:t>
      </w:r>
    </w:p>
    <w:p w14:paraId="34F95A4B">
      <w:pPr>
        <w:pStyle w:val="8"/>
        <w:numPr>
          <w:ilvl w:val="0"/>
          <w:numId w:val="136"/>
        </w:numPr>
        <w:tabs>
          <w:tab w:val="left" w:pos="2098"/>
        </w:tabs>
        <w:topLinePunct/>
        <w:snapToGrid w:val="0"/>
        <w:spacing w:beforeLines="20" w:line="300" w:lineRule="auto"/>
        <w:jc w:val="both"/>
        <w:rPr>
          <w:kern w:val="2"/>
          <w:szCs w:val="21"/>
        </w:rPr>
      </w:pPr>
      <w:r>
        <w:rPr>
          <w:kern w:val="2"/>
          <w:szCs w:val="21"/>
        </w:rPr>
        <w:t>器械产生的过热，</w:t>
      </w:r>
    </w:p>
    <w:p w14:paraId="2FCDF49D">
      <w:pPr>
        <w:pStyle w:val="8"/>
        <w:numPr>
          <w:ilvl w:val="0"/>
          <w:numId w:val="136"/>
        </w:numPr>
        <w:tabs>
          <w:tab w:val="left" w:pos="2098"/>
        </w:tabs>
        <w:topLinePunct/>
        <w:snapToGrid w:val="0"/>
        <w:spacing w:beforeLines="20" w:line="300" w:lineRule="auto"/>
        <w:jc w:val="both"/>
        <w:rPr>
          <w:kern w:val="2"/>
          <w:szCs w:val="21"/>
        </w:rPr>
      </w:pPr>
      <w:r>
        <w:rPr>
          <w:kern w:val="2"/>
          <w:szCs w:val="21"/>
        </w:rPr>
        <w:t>测量或控制机制准确性降低。</w:t>
      </w:r>
    </w:p>
    <w:p w14:paraId="45CF1954">
      <w:pPr>
        <w:pStyle w:val="8"/>
        <w:tabs>
          <w:tab w:val="left" w:pos="714"/>
        </w:tabs>
        <w:topLinePunct/>
        <w:snapToGrid w:val="0"/>
        <w:spacing w:beforeLines="20" w:line="300" w:lineRule="auto"/>
        <w:ind w:left="114" w:firstLine="0"/>
        <w:jc w:val="both"/>
        <w:rPr>
          <w:kern w:val="2"/>
          <w:szCs w:val="21"/>
        </w:rPr>
      </w:pPr>
      <w:r>
        <w:rPr>
          <w:kern w:val="2"/>
          <w:szCs w:val="21"/>
        </w:rPr>
        <w:t>19.2.</w:t>
      </w:r>
      <w:r>
        <w:rPr>
          <w:kern w:val="2"/>
          <w:szCs w:val="21"/>
        </w:rPr>
        <w:tab/>
      </w:r>
      <w:r>
        <w:rPr>
          <w:kern w:val="2"/>
          <w:szCs w:val="21"/>
        </w:rPr>
        <w:t>有源可植入器械的设计和制造应确保</w:t>
      </w:r>
    </w:p>
    <w:p w14:paraId="7C871FBD">
      <w:pPr>
        <w:pStyle w:val="32"/>
        <w:numPr>
          <w:ilvl w:val="0"/>
          <w:numId w:val="137"/>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如适当，器械与其预期施用物质的兼容性，</w:t>
      </w:r>
    </w:p>
    <w:p w14:paraId="347C9B60">
      <w:pPr>
        <w:pStyle w:val="32"/>
        <w:numPr>
          <w:ilvl w:val="0"/>
          <w:numId w:val="137"/>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能源的可靠性。</w:t>
      </w:r>
    </w:p>
    <w:p w14:paraId="65187079">
      <w:pPr>
        <w:pStyle w:val="8"/>
        <w:tabs>
          <w:tab w:val="left" w:pos="964"/>
        </w:tabs>
        <w:topLinePunct/>
        <w:snapToGrid w:val="0"/>
        <w:spacing w:beforeLines="50" w:line="300" w:lineRule="auto"/>
        <w:ind w:left="709" w:hanging="596"/>
        <w:jc w:val="both"/>
        <w:rPr>
          <w:kern w:val="2"/>
          <w:szCs w:val="21"/>
        </w:rPr>
      </w:pPr>
      <w:r>
        <w:rPr>
          <w:kern w:val="2"/>
          <w:szCs w:val="21"/>
        </w:rPr>
        <w:t>19.3.</w:t>
      </w:r>
      <w:r>
        <w:rPr>
          <w:kern w:val="2"/>
          <w:szCs w:val="21"/>
        </w:rPr>
        <w:tab/>
      </w:r>
      <w:r>
        <w:rPr>
          <w:kern w:val="2"/>
          <w:szCs w:val="21"/>
        </w:rPr>
        <w:t>有源可植入器械（如适当）及其组成部分应可识别，以便允许在发现与器械或其组成部分相关的潜在风险之后采取任何必要的措施。</w:t>
      </w:r>
    </w:p>
    <w:p w14:paraId="0FBAFA29">
      <w:pPr>
        <w:pStyle w:val="8"/>
        <w:tabs>
          <w:tab w:val="left" w:pos="964"/>
        </w:tabs>
        <w:topLinePunct/>
        <w:snapToGrid w:val="0"/>
        <w:spacing w:beforeLines="50" w:line="300" w:lineRule="auto"/>
        <w:ind w:left="709" w:hanging="596"/>
        <w:jc w:val="both"/>
        <w:rPr>
          <w:kern w:val="2"/>
          <w:szCs w:val="21"/>
        </w:rPr>
      </w:pPr>
      <w:r>
        <w:rPr>
          <w:kern w:val="2"/>
          <w:szCs w:val="21"/>
        </w:rPr>
        <w:t>19.4.</w:t>
      </w:r>
      <w:r>
        <w:rPr>
          <w:kern w:val="2"/>
          <w:szCs w:val="21"/>
        </w:rPr>
        <w:tab/>
      </w:r>
      <w:r>
        <w:rPr>
          <w:kern w:val="2"/>
          <w:szCs w:val="21"/>
        </w:rPr>
        <w:t>有源可植入器械应附带可明确识别自身及其制造商的代码（特别是关于器械的类型和制造年份）；若必要，应可读取该代码，而不需要进行外科手术。</w:t>
      </w:r>
    </w:p>
    <w:p w14:paraId="79ED421A">
      <w:pPr>
        <w:pStyle w:val="4"/>
        <w:numPr>
          <w:ilvl w:val="0"/>
          <w:numId w:val="138"/>
        </w:numPr>
        <w:tabs>
          <w:tab w:val="left" w:pos="682"/>
        </w:tabs>
        <w:topLinePunct/>
        <w:snapToGrid w:val="0"/>
        <w:spacing w:beforeLines="50" w:line="300" w:lineRule="auto"/>
        <w:jc w:val="both"/>
        <w:rPr>
          <w:rFonts w:ascii="Times New Roman" w:hAnsi="Times New Roman"/>
          <w:kern w:val="2"/>
          <w:sz w:val="21"/>
          <w:szCs w:val="21"/>
        </w:rPr>
      </w:pPr>
      <w:r>
        <w:rPr>
          <w:rFonts w:ascii="Times New Roman" w:hAnsi="Times New Roman"/>
          <w:kern w:val="2"/>
          <w:sz w:val="21"/>
          <w:szCs w:val="21"/>
        </w:rPr>
        <w:t>机械和热风险防护</w:t>
      </w:r>
    </w:p>
    <w:p w14:paraId="37B87B20">
      <w:pPr>
        <w:pStyle w:val="32"/>
        <w:numPr>
          <w:ilvl w:val="1"/>
          <w:numId w:val="138"/>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应采用适当方式设计和制造器械，确保防止患者和使用者遭受与机械特征有关的机械风险，例如：运动阻力、稳定性或运动部件等。</w:t>
      </w:r>
    </w:p>
    <w:p w14:paraId="3F4E2697">
      <w:pPr>
        <w:pStyle w:val="32"/>
        <w:numPr>
          <w:ilvl w:val="1"/>
          <w:numId w:val="138"/>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应采用适当方式设计和制造器械，确保尽量降低因器械振动引起的风险水平，并考虑利用先进技术和手段限制振动（尤其振动源处），除非振动是规定性能中一部分。</w:t>
      </w:r>
    </w:p>
    <w:p w14:paraId="190EEF70">
      <w:pPr>
        <w:pStyle w:val="32"/>
        <w:numPr>
          <w:ilvl w:val="1"/>
          <w:numId w:val="138"/>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应采用适当方式设计和制造器械，确保尽量降低因噪音释放而产生的风险水平，并考虑利用先进技术和手段减少噪音（尤其噪音源处），除非这种噪音是规定性能中组成部分。</w:t>
      </w:r>
    </w:p>
    <w:p w14:paraId="491370A4">
      <w:pPr>
        <w:pStyle w:val="32"/>
        <w:numPr>
          <w:ilvl w:val="1"/>
          <w:numId w:val="138"/>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若使用者或他人必须操作连接到电力、气体、液压或气动能量供给源的端子和连接器，应采用适当方式设计和构造此类端子和连接器，确保尽量降低任何潜在风险。</w:t>
      </w:r>
    </w:p>
    <w:p w14:paraId="1D924FD7">
      <w:pPr>
        <w:pStyle w:val="32"/>
        <w:numPr>
          <w:ilvl w:val="1"/>
          <w:numId w:val="138"/>
        </w:numPr>
        <w:tabs>
          <w:tab w:val="left" w:pos="682"/>
        </w:tabs>
        <w:topLinePunct/>
        <w:snapToGrid w:val="0"/>
        <w:spacing w:beforeLines="50" w:line="300" w:lineRule="auto"/>
        <w:ind w:left="680" w:hanging="567"/>
        <w:jc w:val="both"/>
        <w:rPr>
          <w:rFonts w:ascii="Times New Roman" w:hAnsi="Times New Roman"/>
          <w:kern w:val="2"/>
          <w:szCs w:val="21"/>
        </w:rPr>
      </w:pPr>
      <w:r>
        <w:rPr>
          <w:rFonts w:ascii="Times New Roman" w:hAnsi="Times New Roman"/>
          <w:kern w:val="2"/>
          <w:szCs w:val="21"/>
        </w:rPr>
        <w:t>当安装或重装某些部件时可能出现的失误将有可能成为风险的源头，此类部件的设计和构造应完全避免该风险，若无法实现，则应通过在部件和/或其外壳的信息说明。</w:t>
      </w:r>
    </w:p>
    <w:p w14:paraId="65E35DF1">
      <w:pPr>
        <w:pStyle w:val="8"/>
        <w:topLinePunct/>
        <w:snapToGrid w:val="0"/>
        <w:spacing w:beforeLines="50" w:line="300" w:lineRule="auto"/>
        <w:ind w:left="680" w:firstLine="0"/>
        <w:jc w:val="both"/>
        <w:rPr>
          <w:kern w:val="2"/>
          <w:szCs w:val="21"/>
        </w:rPr>
      </w:pPr>
      <w:r>
        <w:rPr>
          <w:kern w:val="2"/>
          <w:szCs w:val="21"/>
        </w:rPr>
        <w:t>当需要知道移动方向以避免风险，相同信息应在活动部件和/或其外壳说明。</w:t>
      </w:r>
    </w:p>
    <w:p w14:paraId="3085DED0">
      <w:pPr>
        <w:pStyle w:val="32"/>
        <w:numPr>
          <w:ilvl w:val="1"/>
          <w:numId w:val="138"/>
        </w:numPr>
        <w:tabs>
          <w:tab w:val="left" w:pos="682"/>
        </w:tabs>
        <w:topLinePunct/>
        <w:snapToGrid w:val="0"/>
        <w:spacing w:beforeLines="50" w:line="300" w:lineRule="auto"/>
        <w:ind w:left="680" w:hanging="567"/>
        <w:jc w:val="both"/>
        <w:rPr>
          <w:rFonts w:ascii="Times New Roman" w:hAnsi="Times New Roman"/>
          <w:kern w:val="2"/>
          <w:szCs w:val="21"/>
        </w:rPr>
      </w:pPr>
      <w:r>
        <w:rPr>
          <w:rFonts w:ascii="Times New Roman" w:hAnsi="Times New Roman"/>
          <w:kern w:val="2"/>
          <w:szCs w:val="21"/>
        </w:rPr>
        <w:t>在正常使用条件下，器械内可接触部件（不包括拟供热或达到给定温度的部件或区域）及其周围可触及部件不会达到造成危险的温度。</w:t>
      </w:r>
    </w:p>
    <w:p w14:paraId="315B9652">
      <w:pPr>
        <w:pStyle w:val="4"/>
        <w:numPr>
          <w:ilvl w:val="0"/>
          <w:numId w:val="138"/>
        </w:numPr>
        <w:tabs>
          <w:tab w:val="left" w:pos="682"/>
        </w:tabs>
        <w:topLinePunct/>
        <w:snapToGrid w:val="0"/>
        <w:spacing w:beforeLines="50" w:line="300" w:lineRule="auto"/>
        <w:ind w:left="680" w:hanging="567"/>
        <w:jc w:val="both"/>
        <w:rPr>
          <w:rFonts w:ascii="Times New Roman" w:hAnsi="Times New Roman"/>
          <w:b w:val="0"/>
          <w:bCs w:val="0"/>
          <w:kern w:val="2"/>
          <w:sz w:val="21"/>
          <w:szCs w:val="21"/>
        </w:rPr>
      </w:pPr>
      <w:r>
        <w:rPr>
          <w:rFonts w:ascii="Times New Roman" w:hAnsi="Times New Roman"/>
          <w:kern w:val="2"/>
          <w:sz w:val="21"/>
          <w:szCs w:val="21"/>
        </w:rPr>
        <w:t>通过器械供应能量或物质防止对患者或使用者造成危险</w:t>
      </w:r>
    </w:p>
    <w:p w14:paraId="75F436AC">
      <w:pPr>
        <w:pStyle w:val="32"/>
        <w:numPr>
          <w:ilvl w:val="1"/>
          <w:numId w:val="138"/>
        </w:numPr>
        <w:tabs>
          <w:tab w:val="left" w:pos="682"/>
        </w:tabs>
        <w:topLinePunct/>
        <w:snapToGrid w:val="0"/>
        <w:spacing w:beforeLines="50" w:line="300" w:lineRule="auto"/>
        <w:ind w:left="680" w:hanging="567"/>
        <w:jc w:val="both"/>
        <w:rPr>
          <w:rFonts w:ascii="Times New Roman" w:hAnsi="Times New Roman"/>
          <w:kern w:val="2"/>
          <w:szCs w:val="21"/>
        </w:rPr>
      </w:pPr>
      <w:r>
        <w:rPr>
          <w:rFonts w:ascii="Times New Roman" w:hAnsi="Times New Roman"/>
          <w:kern w:val="2"/>
          <w:szCs w:val="21"/>
        </w:rPr>
        <w:t>若器械预定用于为患者供给能量或物质，应采用适当方式设计和制造器械，确保能够准确地设置和维持输送量，从而足以保证患者和使用者的安全。</w:t>
      </w:r>
    </w:p>
    <w:p w14:paraId="5FF3B44F">
      <w:pPr>
        <w:pStyle w:val="32"/>
        <w:numPr>
          <w:ilvl w:val="1"/>
          <w:numId w:val="138"/>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器械应配备防止和/或指示输送可能产生危险的能量或物质数量方面的任何不足。器械必须集成适当手段，确保尽可能地防止危险等级的能源或物质从能源及/或物质来源中泄漏。</w:t>
      </w:r>
    </w:p>
    <w:p w14:paraId="3303860E">
      <w:pPr>
        <w:pStyle w:val="32"/>
        <w:numPr>
          <w:ilvl w:val="1"/>
          <w:numId w:val="138"/>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控制器和指示器功能必须明确地注明在器械上。若器械提供使用说明或者通过一个可视系统指示操作或调整参数，必须保证使用者和患者（如适用）易于理解这些信息。</w:t>
      </w:r>
    </w:p>
    <w:p w14:paraId="715EE796">
      <w:pPr>
        <w:pStyle w:val="4"/>
        <w:numPr>
          <w:ilvl w:val="0"/>
          <w:numId w:val="138"/>
        </w:numPr>
        <w:tabs>
          <w:tab w:val="left" w:pos="682"/>
        </w:tabs>
        <w:topLinePunct/>
        <w:snapToGrid w:val="0"/>
        <w:spacing w:beforeLines="50"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防止制造商预期用于非专业人员使用的医疗器械所造成的危险</w:t>
      </w:r>
    </w:p>
    <w:p w14:paraId="06F78701">
      <w:pPr>
        <w:pStyle w:val="32"/>
        <w:numPr>
          <w:ilvl w:val="1"/>
          <w:numId w:val="138"/>
        </w:numPr>
        <w:tabs>
          <w:tab w:val="left" w:pos="682"/>
        </w:tabs>
        <w:topLinePunct/>
        <w:snapToGrid w:val="0"/>
        <w:spacing w:beforeLines="50" w:line="300" w:lineRule="auto"/>
        <w:ind w:left="680" w:hanging="567"/>
        <w:jc w:val="both"/>
        <w:rPr>
          <w:rFonts w:ascii="Times New Roman" w:hAnsi="Times New Roman"/>
          <w:kern w:val="2"/>
          <w:szCs w:val="21"/>
        </w:rPr>
      </w:pPr>
      <w:r>
        <w:rPr>
          <w:rFonts w:ascii="Times New Roman" w:hAnsi="Times New Roman"/>
          <w:kern w:val="2"/>
          <w:szCs w:val="21"/>
        </w:rPr>
        <w:t>由非专业人员使用的器械的设计和制造应使其适用于预期用途，其中考虑到可用于专业人员的技能和方法以及在非专业人员的技术和环境中合理预期差异导致的影响。制造商提供的信息和说明应易于非专业人员理解和应用。</w:t>
      </w:r>
    </w:p>
    <w:p w14:paraId="1F727011">
      <w:pPr>
        <w:snapToGrid w:val="0"/>
        <w:spacing w:beforeLines="25" w:line="300" w:lineRule="auto"/>
        <w:rPr>
          <w:rFonts w:ascii="Times New Roman" w:hAnsi="Times New Roman"/>
          <w:kern w:val="2"/>
          <w:szCs w:val="21"/>
        </w:rPr>
      </w:pPr>
      <w:r>
        <w:rPr>
          <w:rFonts w:ascii="Times New Roman" w:hAnsi="Times New Roman"/>
          <w:kern w:val="2"/>
          <w:szCs w:val="21"/>
        </w:rPr>
        <w:br w:type="page"/>
      </w:r>
    </w:p>
    <w:p w14:paraId="2D887820">
      <w:pPr>
        <w:pStyle w:val="32"/>
        <w:numPr>
          <w:ilvl w:val="1"/>
          <w:numId w:val="138"/>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由非专业人员使用的器械的设计和制造应</w:t>
      </w:r>
      <w:r>
        <w:rPr>
          <w:rFonts w:hint="eastAsia" w:ascii="Times New Roman" w:hAnsi="Times New Roman"/>
          <w:kern w:val="2"/>
          <w:szCs w:val="21"/>
        </w:rPr>
        <w:t>：</w:t>
      </w:r>
    </w:p>
    <w:p w14:paraId="2D4F227F">
      <w:pPr>
        <w:pStyle w:val="32"/>
        <w:numPr>
          <w:ilvl w:val="0"/>
          <w:numId w:val="139"/>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确保目标使用者在适当训练和/或信息获得后的所有必要治疗阶段</w:t>
      </w:r>
      <w:r>
        <w:rPr>
          <w:rFonts w:hint="eastAsia" w:ascii="Times New Roman" w:hAnsi="Times New Roman"/>
          <w:kern w:val="2"/>
          <w:szCs w:val="21"/>
        </w:rPr>
        <w:t>均</w:t>
      </w:r>
      <w:r>
        <w:rPr>
          <w:rFonts w:ascii="Times New Roman" w:hAnsi="Times New Roman"/>
          <w:kern w:val="2"/>
          <w:szCs w:val="21"/>
        </w:rPr>
        <w:t>可安全且准确使用器械；</w:t>
      </w:r>
      <w:r>
        <w:rPr>
          <w:rFonts w:hint="eastAsia" w:ascii="Times New Roman" w:hAnsi="Times New Roman"/>
          <w:kern w:val="2"/>
          <w:szCs w:val="21"/>
        </w:rPr>
        <w:t>和</w:t>
      </w:r>
    </w:p>
    <w:p w14:paraId="78428817">
      <w:pPr>
        <w:pStyle w:val="32"/>
        <w:numPr>
          <w:ilvl w:val="0"/>
          <w:numId w:val="139"/>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尽可能减少并消除意外由于切割和刺破造成的风险，例如针刺损伤</w:t>
      </w:r>
      <w:r>
        <w:rPr>
          <w:rFonts w:hint="eastAsia" w:ascii="Times New Roman" w:hAnsi="Times New Roman"/>
          <w:kern w:val="2"/>
          <w:szCs w:val="21"/>
        </w:rPr>
        <w:t>；</w:t>
      </w:r>
      <w:r>
        <w:rPr>
          <w:rFonts w:ascii="Times New Roman" w:hAnsi="Times New Roman"/>
          <w:kern w:val="2"/>
          <w:szCs w:val="21"/>
        </w:rPr>
        <w:t>和</w:t>
      </w:r>
    </w:p>
    <w:p w14:paraId="6EC4CA36">
      <w:pPr>
        <w:pStyle w:val="32"/>
        <w:numPr>
          <w:ilvl w:val="0"/>
          <w:numId w:val="139"/>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尽可能减少预期使用者在处理器械以及（如适当）在结果解读中的错误风险。</w:t>
      </w:r>
    </w:p>
    <w:p w14:paraId="3B703219">
      <w:pPr>
        <w:pStyle w:val="32"/>
        <w:numPr>
          <w:ilvl w:val="1"/>
          <w:numId w:val="138"/>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由非专业人员使用的器械（如适当）应包括非专业人员使用的规程</w:t>
      </w:r>
    </w:p>
    <w:p w14:paraId="320CFC01">
      <w:pPr>
        <w:pStyle w:val="32"/>
        <w:numPr>
          <w:ilvl w:val="0"/>
          <w:numId w:val="140"/>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在使用时，可验证器械将按照制造商的意图工作，并且</w:t>
      </w:r>
    </w:p>
    <w:p w14:paraId="36FA1C8F">
      <w:pPr>
        <w:pStyle w:val="32"/>
        <w:numPr>
          <w:ilvl w:val="0"/>
          <w:numId w:val="140"/>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如适当，若器械未能提供有效的结果，则发出警告。</w:t>
      </w:r>
    </w:p>
    <w:p w14:paraId="4C9384A0">
      <w:pPr>
        <w:snapToGrid w:val="0"/>
        <w:spacing w:beforeLines="20" w:line="288" w:lineRule="auto"/>
        <w:rPr>
          <w:rFonts w:ascii="Times New Roman" w:hAnsi="Times New Roman"/>
          <w:kern w:val="2"/>
          <w:szCs w:val="21"/>
        </w:rPr>
      </w:pPr>
    </w:p>
    <w:p w14:paraId="09C32FF7">
      <w:pPr>
        <w:pStyle w:val="4"/>
        <w:tabs>
          <w:tab w:val="left" w:pos="681"/>
        </w:tabs>
        <w:topLinePunct/>
        <w:snapToGrid w:val="0"/>
        <w:spacing w:beforeLines="20" w:line="288" w:lineRule="auto"/>
        <w:ind w:left="114" w:firstLine="0"/>
        <w:jc w:val="center"/>
        <w:rPr>
          <w:rFonts w:ascii="Times New Roman" w:hAnsi="Times New Roman"/>
          <w:kern w:val="2"/>
          <w:sz w:val="21"/>
          <w:szCs w:val="21"/>
        </w:rPr>
      </w:pPr>
      <w:r>
        <w:rPr>
          <w:rFonts w:ascii="Times New Roman" w:hAnsi="Times New Roman"/>
          <w:kern w:val="2"/>
          <w:sz w:val="21"/>
          <w:szCs w:val="21"/>
        </w:rPr>
        <w:t>第III章.</w:t>
      </w:r>
    </w:p>
    <w:p w14:paraId="584AFF17">
      <w:pPr>
        <w:pStyle w:val="4"/>
        <w:tabs>
          <w:tab w:val="left" w:pos="681"/>
        </w:tabs>
        <w:topLinePunct/>
        <w:snapToGrid w:val="0"/>
        <w:spacing w:beforeLines="20" w:line="288" w:lineRule="auto"/>
        <w:ind w:left="114" w:firstLine="0"/>
        <w:jc w:val="center"/>
        <w:rPr>
          <w:rFonts w:ascii="Times New Roman" w:hAnsi="Times New Roman"/>
          <w:b w:val="0"/>
          <w:bCs w:val="0"/>
          <w:kern w:val="2"/>
          <w:sz w:val="21"/>
          <w:szCs w:val="21"/>
        </w:rPr>
      </w:pPr>
      <w:r>
        <w:rPr>
          <w:rFonts w:ascii="Times New Roman" w:hAnsi="Times New Roman"/>
          <w:kern w:val="2"/>
          <w:sz w:val="21"/>
          <w:szCs w:val="21"/>
        </w:rPr>
        <w:t>有关器械随附信息的要求</w:t>
      </w:r>
    </w:p>
    <w:p w14:paraId="3B9A0E48">
      <w:pPr>
        <w:pStyle w:val="32"/>
        <w:numPr>
          <w:ilvl w:val="0"/>
          <w:numId w:val="138"/>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b/>
          <w:kern w:val="2"/>
          <w:szCs w:val="21"/>
        </w:rPr>
        <w:t>标签和使用说明书</w:t>
      </w:r>
    </w:p>
    <w:p w14:paraId="033A6684">
      <w:pPr>
        <w:pStyle w:val="32"/>
        <w:tabs>
          <w:tab w:val="left" w:pos="682"/>
        </w:tabs>
        <w:topLinePunct/>
        <w:snapToGrid w:val="0"/>
        <w:spacing w:beforeLines="20" w:line="288" w:lineRule="auto"/>
        <w:ind w:left="113"/>
        <w:jc w:val="both"/>
        <w:rPr>
          <w:rFonts w:ascii="Times New Roman" w:hAnsi="Times New Roman"/>
          <w:kern w:val="2"/>
          <w:szCs w:val="21"/>
        </w:rPr>
      </w:pPr>
      <w:r>
        <w:rPr>
          <w:rFonts w:ascii="Times New Roman" w:hAnsi="Times New Roman"/>
          <w:kern w:val="2"/>
          <w:szCs w:val="21"/>
        </w:rPr>
        <w:t>23.1.</w:t>
      </w:r>
      <w:r>
        <w:rPr>
          <w:rFonts w:ascii="Times New Roman" w:hAnsi="Times New Roman"/>
          <w:kern w:val="2"/>
          <w:szCs w:val="21"/>
        </w:rPr>
        <w:tab/>
      </w:r>
      <w:r>
        <w:rPr>
          <w:rFonts w:hint="eastAsia" w:ascii="Times New Roman" w:hAnsi="Times New Roman"/>
          <w:b/>
          <w:kern w:val="2"/>
          <w:szCs w:val="21"/>
        </w:rPr>
        <w:t>制造商需提供的信息的一般要求</w:t>
      </w:r>
    </w:p>
    <w:p w14:paraId="2F368966">
      <w:pPr>
        <w:pStyle w:val="8"/>
        <w:topLinePunct/>
        <w:snapToGrid w:val="0"/>
        <w:spacing w:beforeLines="20" w:line="288" w:lineRule="auto"/>
        <w:ind w:firstLine="0"/>
        <w:jc w:val="both"/>
        <w:rPr>
          <w:kern w:val="2"/>
          <w:szCs w:val="21"/>
        </w:rPr>
      </w:pPr>
      <w:r>
        <w:rPr>
          <w:kern w:val="2"/>
          <w:szCs w:val="21"/>
        </w:rPr>
        <w:t>各器械应附有识别器械及其制造商所需的信息，并酌情将安全与性能信息传达给使用者或其他人。此类信息可能出现在器械本身、包装上或使用说明书中，若制造商有网站，则应在网站上提供并保持更新最新信息，同时考虑到以下因素：</w:t>
      </w:r>
    </w:p>
    <w:p w14:paraId="2FA3FF1F">
      <w:pPr>
        <w:pStyle w:val="32"/>
        <w:numPr>
          <w:ilvl w:val="2"/>
          <w:numId w:val="141"/>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标签和使用说明的介质、格式、内容、易读性和位置应适合于特定器械、其预期目的和对预期使用者的技术知识、经验、教育或培训。尤其是，使用说明书应以预期使用者容易理解的语言撰写，并且在适当时，补充图纸和图表。</w:t>
      </w:r>
    </w:p>
    <w:p w14:paraId="51062632">
      <w:pPr>
        <w:pStyle w:val="32"/>
        <w:numPr>
          <w:ilvl w:val="2"/>
          <w:numId w:val="141"/>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标签上所需的信息应在器械本身上提供。若不可行或不适当，则</w:t>
      </w:r>
      <w:r>
        <w:rPr>
          <w:rFonts w:hint="eastAsia" w:ascii="Times New Roman" w:hAnsi="Times New Roman"/>
          <w:kern w:val="2"/>
          <w:szCs w:val="21"/>
        </w:rPr>
        <w:t>某</w:t>
      </w:r>
      <w:r>
        <w:rPr>
          <w:rFonts w:ascii="Times New Roman" w:hAnsi="Times New Roman"/>
          <w:kern w:val="2"/>
          <w:szCs w:val="21"/>
        </w:rPr>
        <w:t>些或所有信息可</w:t>
      </w:r>
      <w:r>
        <w:rPr>
          <w:rFonts w:hint="eastAsia" w:ascii="Times New Roman" w:hAnsi="Times New Roman"/>
          <w:kern w:val="2"/>
          <w:szCs w:val="21"/>
        </w:rPr>
        <w:t>显示</w:t>
      </w:r>
      <w:r>
        <w:rPr>
          <w:rFonts w:ascii="Times New Roman" w:hAnsi="Times New Roman"/>
          <w:kern w:val="2"/>
          <w:szCs w:val="21"/>
        </w:rPr>
        <w:t>在各单元的包装上和/或多个器械的包装上。</w:t>
      </w:r>
    </w:p>
    <w:p w14:paraId="3D4006EB">
      <w:pPr>
        <w:pStyle w:val="8"/>
        <w:topLinePunct/>
        <w:snapToGrid w:val="0"/>
        <w:spacing w:beforeLines="20" w:line="288" w:lineRule="auto"/>
        <w:ind w:left="1248" w:firstLine="0"/>
        <w:jc w:val="both"/>
        <w:rPr>
          <w:kern w:val="2"/>
          <w:szCs w:val="21"/>
        </w:rPr>
      </w:pPr>
      <w:r>
        <w:rPr>
          <w:kern w:val="2"/>
          <w:szCs w:val="21"/>
        </w:rPr>
        <w:t>在向单个使用者和/或位置提供多个器械的情况下，若购买者如此同意，则可提供使用说明的单个副本，在任何情况下购买者可请求免费提供进一步的副本。</w:t>
      </w:r>
    </w:p>
    <w:p w14:paraId="447ABD8D">
      <w:pPr>
        <w:pStyle w:val="32"/>
        <w:numPr>
          <w:ilvl w:val="2"/>
          <w:numId w:val="141"/>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标签应以人类可读的格式提供，并可通过机器可读信息，例如射频识别（</w:t>
      </w:r>
      <w:r>
        <w:rPr>
          <w:rFonts w:hint="eastAsia" w:ascii="Times New Roman" w:hAnsi="Times New Roman"/>
          <w:kern w:val="2"/>
          <w:szCs w:val="21"/>
        </w:rPr>
        <w:t>“</w:t>
      </w:r>
      <w:r>
        <w:rPr>
          <w:rFonts w:ascii="Times New Roman" w:hAnsi="Times New Roman"/>
          <w:kern w:val="2"/>
          <w:szCs w:val="21"/>
        </w:rPr>
        <w:t>RFID</w:t>
      </w:r>
      <w:r>
        <w:rPr>
          <w:rFonts w:hint="eastAsia" w:ascii="Times New Roman" w:hAnsi="Times New Roman"/>
          <w:kern w:val="2"/>
          <w:szCs w:val="21"/>
        </w:rPr>
        <w:t>”</w:t>
      </w:r>
      <w:r>
        <w:rPr>
          <w:rFonts w:ascii="Times New Roman" w:hAnsi="Times New Roman"/>
          <w:kern w:val="2"/>
          <w:szCs w:val="21"/>
        </w:rPr>
        <w:t>）或条形码来补充。</w:t>
      </w:r>
    </w:p>
    <w:p w14:paraId="6ABEF6C7">
      <w:pPr>
        <w:pStyle w:val="32"/>
        <w:numPr>
          <w:ilvl w:val="2"/>
          <w:numId w:val="141"/>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使用说明应与</w:t>
      </w:r>
      <w:r>
        <w:rPr>
          <w:rFonts w:hint="eastAsia" w:ascii="Times New Roman" w:hAnsi="Times New Roman"/>
          <w:kern w:val="2"/>
          <w:szCs w:val="21"/>
          <w:lang w:val="en-US"/>
        </w:rPr>
        <w:t>器械</w:t>
      </w:r>
      <w:r>
        <w:rPr>
          <w:rFonts w:ascii="Times New Roman" w:hAnsi="Times New Roman"/>
          <w:kern w:val="2"/>
          <w:szCs w:val="21"/>
        </w:rPr>
        <w:t>一起提供。例外情形：对于I类和IIa类器械，若在无使用说明书的情形下同样可安全地使用器械，则无需此类使用说明书。除非本节其他地方另有规定。</w:t>
      </w:r>
    </w:p>
    <w:p w14:paraId="32B74D4B">
      <w:pPr>
        <w:pStyle w:val="32"/>
        <w:numPr>
          <w:ilvl w:val="2"/>
          <w:numId w:val="141"/>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当向单个使用者和/或位置提供多个器械时，若购买者同意，则可提供使用说明的单个副本，但购买者在任何情况下可请求免费提供其他副本。</w:t>
      </w:r>
    </w:p>
    <w:p w14:paraId="497927CF">
      <w:pPr>
        <w:pStyle w:val="32"/>
        <w:numPr>
          <w:ilvl w:val="2"/>
          <w:numId w:val="141"/>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若根据第207/2012号法规或根据本法规通过的任何后续实施规则中规定的条件，可向使用者提供非纸质格式（例如，电子格式）使用说明。。</w:t>
      </w:r>
    </w:p>
    <w:p w14:paraId="5B4B6021">
      <w:pPr>
        <w:pStyle w:val="32"/>
        <w:numPr>
          <w:ilvl w:val="2"/>
          <w:numId w:val="141"/>
        </w:numPr>
        <w:tabs>
          <w:tab w:val="left" w:pos="1248"/>
        </w:tabs>
        <w:topLinePunct/>
        <w:snapToGrid w:val="0"/>
        <w:spacing w:beforeLines="20" w:line="288" w:lineRule="auto"/>
        <w:ind w:left="1247"/>
        <w:jc w:val="both"/>
        <w:rPr>
          <w:rFonts w:ascii="Times New Roman" w:hAnsi="Times New Roman"/>
          <w:kern w:val="2"/>
          <w:szCs w:val="21"/>
        </w:rPr>
      </w:pPr>
      <w:r>
        <w:rPr>
          <w:rFonts w:ascii="Times New Roman" w:hAnsi="Times New Roman"/>
          <w:kern w:val="2"/>
          <w:szCs w:val="21"/>
        </w:rPr>
        <w:t>需要传达给使用者和/或其他人的剩余风险应包括作为制造商所提供信息中的限制、禁忌症、预防措施或警戒。</w:t>
      </w:r>
    </w:p>
    <w:p w14:paraId="63416432">
      <w:pPr>
        <w:pStyle w:val="32"/>
        <w:numPr>
          <w:ilvl w:val="2"/>
          <w:numId w:val="141"/>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如适当，制造商提供的信息应采用国际公认的符号形式。使用的任何符号或识别颜色应符合协调标准或CS。若</w:t>
      </w:r>
      <w:r>
        <w:rPr>
          <w:rFonts w:hint="eastAsia" w:ascii="Times New Roman" w:hAnsi="Times New Roman"/>
          <w:kern w:val="2"/>
          <w:szCs w:val="21"/>
        </w:rPr>
        <w:t>未</w:t>
      </w:r>
      <w:r>
        <w:rPr>
          <w:rFonts w:ascii="Times New Roman" w:hAnsi="Times New Roman"/>
          <w:kern w:val="2"/>
          <w:szCs w:val="21"/>
        </w:rPr>
        <w:t>协调标准或CS，符号和颜色应说明在随同器械提供的文件中。</w:t>
      </w:r>
    </w:p>
    <w:p w14:paraId="06C0A9F4">
      <w:pPr>
        <w:pStyle w:val="4"/>
        <w:tabs>
          <w:tab w:val="left" w:pos="682"/>
        </w:tabs>
        <w:topLinePunct/>
        <w:snapToGrid w:val="0"/>
        <w:spacing w:beforeLines="10" w:line="276" w:lineRule="auto"/>
        <w:ind w:left="113" w:firstLine="0"/>
        <w:jc w:val="both"/>
        <w:rPr>
          <w:rFonts w:ascii="Times New Roman" w:hAnsi="Times New Roman"/>
          <w:b w:val="0"/>
          <w:bCs w:val="0"/>
          <w:kern w:val="2"/>
          <w:sz w:val="21"/>
          <w:szCs w:val="21"/>
        </w:rPr>
      </w:pPr>
      <w:r>
        <w:rPr>
          <w:rFonts w:ascii="Times New Roman" w:hAnsi="Times New Roman"/>
          <w:b w:val="0"/>
          <w:kern w:val="2"/>
          <w:sz w:val="21"/>
          <w:szCs w:val="21"/>
        </w:rPr>
        <w:t>23.2.</w:t>
      </w:r>
      <w:r>
        <w:rPr>
          <w:rFonts w:ascii="Times New Roman" w:hAnsi="Times New Roman"/>
          <w:b w:val="0"/>
          <w:kern w:val="2"/>
          <w:sz w:val="21"/>
          <w:szCs w:val="21"/>
        </w:rPr>
        <w:tab/>
      </w:r>
      <w:r>
        <w:rPr>
          <w:rFonts w:ascii="Times New Roman" w:hAnsi="Times New Roman"/>
          <w:b w:val="0"/>
          <w:kern w:val="2"/>
          <w:sz w:val="21"/>
          <w:szCs w:val="21"/>
        </w:rPr>
        <w:t>标签上的信息</w:t>
      </w:r>
    </w:p>
    <w:p w14:paraId="61B3DBA6">
      <w:pPr>
        <w:pStyle w:val="8"/>
        <w:topLinePunct/>
        <w:snapToGrid w:val="0"/>
        <w:spacing w:beforeLines="10" w:line="276" w:lineRule="auto"/>
        <w:ind w:firstLine="0"/>
        <w:jc w:val="both"/>
        <w:rPr>
          <w:kern w:val="2"/>
          <w:szCs w:val="21"/>
        </w:rPr>
      </w:pPr>
      <w:r>
        <w:rPr>
          <w:kern w:val="2"/>
          <w:szCs w:val="21"/>
        </w:rPr>
        <w:t>标签必须注明下面全部事项：</w:t>
      </w:r>
    </w:p>
    <w:p w14:paraId="52AB849C">
      <w:pPr>
        <w:pStyle w:val="32"/>
        <w:numPr>
          <w:ilvl w:val="2"/>
          <w:numId w:val="142"/>
        </w:numPr>
        <w:tabs>
          <w:tab w:val="left" w:pos="1248"/>
        </w:tabs>
        <w:topLinePunct/>
        <w:snapToGrid w:val="0"/>
        <w:spacing w:beforeLines="10" w:line="276" w:lineRule="auto"/>
        <w:jc w:val="both"/>
        <w:rPr>
          <w:rFonts w:ascii="Times New Roman" w:hAnsi="Times New Roman"/>
          <w:kern w:val="2"/>
          <w:szCs w:val="21"/>
        </w:rPr>
      </w:pPr>
      <w:r>
        <w:rPr>
          <w:rFonts w:ascii="Times New Roman" w:hAnsi="Times New Roman"/>
          <w:kern w:val="2"/>
          <w:szCs w:val="21"/>
        </w:rPr>
        <w:t>器械的名称或商品名称；</w:t>
      </w:r>
    </w:p>
    <w:p w14:paraId="253D0AA4">
      <w:pPr>
        <w:pStyle w:val="32"/>
        <w:numPr>
          <w:ilvl w:val="2"/>
          <w:numId w:val="142"/>
        </w:numPr>
        <w:tabs>
          <w:tab w:val="left" w:pos="1248"/>
        </w:tabs>
        <w:topLinePunct/>
        <w:snapToGrid w:val="0"/>
        <w:spacing w:beforeLines="10" w:line="276" w:lineRule="auto"/>
        <w:jc w:val="both"/>
        <w:rPr>
          <w:rFonts w:ascii="Times New Roman" w:hAnsi="Times New Roman"/>
          <w:kern w:val="2"/>
          <w:szCs w:val="21"/>
        </w:rPr>
      </w:pPr>
      <w:r>
        <w:rPr>
          <w:rFonts w:ascii="Times New Roman" w:hAnsi="Times New Roman"/>
          <w:kern w:val="2"/>
          <w:szCs w:val="21"/>
        </w:rPr>
        <w:t>使用者识别器械所必需的详细信息、包装内容以及对于使用者不明显的器械预期用途；</w:t>
      </w:r>
    </w:p>
    <w:p w14:paraId="1320CF18">
      <w:pPr>
        <w:pStyle w:val="32"/>
        <w:numPr>
          <w:ilvl w:val="2"/>
          <w:numId w:val="142"/>
        </w:numPr>
        <w:tabs>
          <w:tab w:val="left" w:pos="1248"/>
        </w:tabs>
        <w:topLinePunct/>
        <w:snapToGrid w:val="0"/>
        <w:spacing w:beforeLines="10" w:line="276" w:lineRule="auto"/>
        <w:jc w:val="both"/>
        <w:rPr>
          <w:rFonts w:ascii="Times New Roman" w:hAnsi="Times New Roman"/>
          <w:kern w:val="2"/>
          <w:szCs w:val="21"/>
        </w:rPr>
      </w:pPr>
      <w:r>
        <w:rPr>
          <w:rFonts w:ascii="Times New Roman" w:hAnsi="Times New Roman"/>
          <w:kern w:val="2"/>
          <w:szCs w:val="21"/>
        </w:rPr>
        <w:t>制造商的名称、注册商号或注册商标及其注册营业地点的地址；</w:t>
      </w:r>
    </w:p>
    <w:p w14:paraId="129BFD3F">
      <w:pPr>
        <w:pStyle w:val="32"/>
        <w:numPr>
          <w:ilvl w:val="2"/>
          <w:numId w:val="142"/>
        </w:numPr>
        <w:tabs>
          <w:tab w:val="left" w:pos="1248"/>
        </w:tabs>
        <w:topLinePunct/>
        <w:snapToGrid w:val="0"/>
        <w:spacing w:beforeLines="10" w:line="276" w:lineRule="auto"/>
        <w:jc w:val="both"/>
        <w:rPr>
          <w:rFonts w:ascii="Times New Roman" w:hAnsi="Times New Roman"/>
          <w:kern w:val="2"/>
          <w:szCs w:val="21"/>
        </w:rPr>
      </w:pPr>
      <w:r>
        <w:rPr>
          <w:rFonts w:ascii="Times New Roman" w:hAnsi="Times New Roman"/>
          <w:kern w:val="2"/>
          <w:szCs w:val="21"/>
        </w:rPr>
        <w:t>授权代表的姓名和授权代表的注册营业地点地址（若制造商在欧盟以外有其注册营业地点）；</w:t>
      </w:r>
    </w:p>
    <w:p w14:paraId="7EC088EE">
      <w:pPr>
        <w:pStyle w:val="32"/>
        <w:numPr>
          <w:ilvl w:val="2"/>
          <w:numId w:val="142"/>
        </w:numPr>
        <w:tabs>
          <w:tab w:val="left" w:pos="1248"/>
        </w:tabs>
        <w:topLinePunct/>
        <w:snapToGrid w:val="0"/>
        <w:spacing w:beforeLines="10" w:line="276" w:lineRule="auto"/>
        <w:jc w:val="both"/>
        <w:rPr>
          <w:rFonts w:ascii="Times New Roman" w:hAnsi="Times New Roman"/>
          <w:kern w:val="2"/>
          <w:szCs w:val="21"/>
        </w:rPr>
      </w:pPr>
      <w:r>
        <w:rPr>
          <w:rFonts w:ascii="Times New Roman" w:hAnsi="Times New Roman"/>
          <w:kern w:val="2"/>
          <w:szCs w:val="21"/>
        </w:rPr>
        <w:t>如适当，器械包含或采用的指示信息，</w:t>
      </w:r>
    </w:p>
    <w:p w14:paraId="1B649C39">
      <w:pPr>
        <w:pStyle w:val="32"/>
        <w:numPr>
          <w:ilvl w:val="3"/>
          <w:numId w:val="142"/>
        </w:numPr>
        <w:tabs>
          <w:tab w:val="left" w:pos="1816"/>
        </w:tabs>
        <w:topLinePunct/>
        <w:snapToGrid w:val="0"/>
        <w:spacing w:beforeLines="10" w:line="276" w:lineRule="auto"/>
        <w:ind w:hanging="567"/>
        <w:jc w:val="both"/>
        <w:rPr>
          <w:rFonts w:ascii="Times New Roman" w:hAnsi="Times New Roman"/>
          <w:kern w:val="2"/>
          <w:szCs w:val="21"/>
        </w:rPr>
      </w:pPr>
      <w:r>
        <w:rPr>
          <w:rFonts w:ascii="Times New Roman" w:hAnsi="Times New Roman"/>
          <w:kern w:val="2"/>
          <w:szCs w:val="21"/>
        </w:rPr>
        <w:t>药物，包括人血或血浆衍生物或</w:t>
      </w:r>
    </w:p>
    <w:p w14:paraId="56B96739">
      <w:pPr>
        <w:pStyle w:val="32"/>
        <w:numPr>
          <w:ilvl w:val="3"/>
          <w:numId w:val="142"/>
        </w:numPr>
        <w:tabs>
          <w:tab w:val="left" w:pos="1816"/>
        </w:tabs>
        <w:topLinePunct/>
        <w:snapToGrid w:val="0"/>
        <w:spacing w:beforeLines="10" w:line="276" w:lineRule="auto"/>
        <w:ind w:hanging="567"/>
        <w:jc w:val="both"/>
        <w:rPr>
          <w:rFonts w:ascii="Times New Roman" w:hAnsi="Times New Roman"/>
          <w:kern w:val="2"/>
          <w:szCs w:val="21"/>
        </w:rPr>
      </w:pPr>
      <w:r>
        <w:rPr>
          <w:rFonts w:ascii="Times New Roman" w:hAnsi="Times New Roman"/>
          <w:kern w:val="2"/>
          <w:szCs w:val="21"/>
        </w:rPr>
        <w:t>人源的组织或细胞或其衍生物或</w:t>
      </w:r>
    </w:p>
    <w:p w14:paraId="22B4B6CD">
      <w:pPr>
        <w:pStyle w:val="32"/>
        <w:numPr>
          <w:ilvl w:val="3"/>
          <w:numId w:val="142"/>
        </w:numPr>
        <w:tabs>
          <w:tab w:val="left" w:pos="1816"/>
        </w:tabs>
        <w:topLinePunct/>
        <w:snapToGrid w:val="0"/>
        <w:spacing w:beforeLines="10" w:line="276" w:lineRule="auto"/>
        <w:ind w:hanging="567"/>
        <w:jc w:val="both"/>
        <w:rPr>
          <w:rFonts w:ascii="Times New Roman" w:hAnsi="Times New Roman"/>
          <w:kern w:val="2"/>
          <w:szCs w:val="21"/>
        </w:rPr>
      </w:pPr>
      <w:r>
        <w:rPr>
          <w:rFonts w:ascii="Times New Roman" w:hAnsi="Times New Roman"/>
          <w:kern w:val="2"/>
          <w:szCs w:val="21"/>
        </w:rPr>
        <w:t>动物源的组织或细胞或其衍生物，如第722/2012号法规所述。</w:t>
      </w:r>
    </w:p>
    <w:p w14:paraId="4D690C75">
      <w:pPr>
        <w:pStyle w:val="8"/>
        <w:tabs>
          <w:tab w:val="left" w:pos="1247"/>
        </w:tabs>
        <w:topLinePunct/>
        <w:snapToGrid w:val="0"/>
        <w:spacing w:beforeLines="10" w:line="276" w:lineRule="auto"/>
        <w:ind w:firstLine="0"/>
        <w:jc w:val="both"/>
        <w:rPr>
          <w:kern w:val="2"/>
          <w:szCs w:val="21"/>
        </w:rPr>
      </w:pPr>
      <w:r>
        <w:rPr>
          <w:kern w:val="2"/>
          <w:szCs w:val="21"/>
        </w:rPr>
        <w:t>(f)</w:t>
      </w:r>
      <w:r>
        <w:rPr>
          <w:kern w:val="2"/>
          <w:szCs w:val="21"/>
        </w:rPr>
        <w:tab/>
      </w:r>
      <w:r>
        <w:rPr>
          <w:kern w:val="2"/>
          <w:szCs w:val="21"/>
        </w:rPr>
        <w:t>如适当，标签信息应符合第10.4.5节</w:t>
      </w:r>
      <w:r>
        <w:rPr>
          <w:rFonts w:hint="eastAsia"/>
          <w:kern w:val="2"/>
          <w:szCs w:val="21"/>
        </w:rPr>
        <w:t>规定</w:t>
      </w:r>
      <w:r>
        <w:rPr>
          <w:kern w:val="2"/>
          <w:szCs w:val="21"/>
        </w:rPr>
        <w:t>；</w:t>
      </w:r>
    </w:p>
    <w:p w14:paraId="7EAE6683">
      <w:pPr>
        <w:pStyle w:val="32"/>
        <w:numPr>
          <w:ilvl w:val="0"/>
          <w:numId w:val="143"/>
        </w:numPr>
        <w:tabs>
          <w:tab w:val="left" w:pos="1248"/>
        </w:tabs>
        <w:topLinePunct/>
        <w:snapToGrid w:val="0"/>
        <w:spacing w:beforeLines="10" w:line="276" w:lineRule="auto"/>
        <w:jc w:val="both"/>
        <w:rPr>
          <w:rFonts w:ascii="Times New Roman" w:hAnsi="Times New Roman"/>
          <w:kern w:val="2"/>
          <w:szCs w:val="21"/>
        </w:rPr>
      </w:pPr>
      <w:r>
        <w:rPr>
          <w:rFonts w:ascii="Times New Roman" w:hAnsi="Times New Roman"/>
          <w:kern w:val="2"/>
          <w:szCs w:val="21"/>
        </w:rPr>
        <w:t>批号或前面带有词语LOTNUMBER或SERIAL NUMBER的器械的序列号或等效符号（如适用）；</w:t>
      </w:r>
    </w:p>
    <w:p w14:paraId="35BA5647">
      <w:pPr>
        <w:pStyle w:val="32"/>
        <w:numPr>
          <w:ilvl w:val="0"/>
          <w:numId w:val="143"/>
        </w:numPr>
        <w:tabs>
          <w:tab w:val="left" w:pos="1248"/>
        </w:tabs>
        <w:topLinePunct/>
        <w:snapToGrid w:val="0"/>
        <w:spacing w:beforeLines="10" w:line="276" w:lineRule="auto"/>
        <w:jc w:val="both"/>
        <w:rPr>
          <w:rFonts w:ascii="Times New Roman" w:hAnsi="Times New Roman"/>
          <w:kern w:val="2"/>
          <w:szCs w:val="21"/>
        </w:rPr>
      </w:pPr>
      <w:r>
        <w:rPr>
          <w:rFonts w:ascii="Times New Roman" w:hAnsi="Times New Roman"/>
          <w:kern w:val="2"/>
          <w:szCs w:val="21"/>
        </w:rPr>
        <w:t>根据第27(4)条和附录VII第C部分的UDI；</w:t>
      </w:r>
    </w:p>
    <w:p w14:paraId="7AF6D248">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bookmarkStart w:id="152" w:name="_bookmark44"/>
      <w:bookmarkEnd w:id="152"/>
      <w:r>
        <w:rPr>
          <w:rFonts w:ascii="Times New Roman" w:hAnsi="Times New Roman"/>
          <w:kern w:val="2"/>
          <w:szCs w:val="21"/>
        </w:rPr>
        <w:t>明确指示可安全使用或植入器械的时间限制，至少表示为与之相关的年份和月份；</w:t>
      </w:r>
    </w:p>
    <w:p w14:paraId="291D099E">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若没有指明可安全使用的日期，则指明制造日期。若日期清晰可辨，制造日期可作为批号或序列号的一部分。</w:t>
      </w:r>
    </w:p>
    <w:p w14:paraId="0BE907D6">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指明适用的任何特殊储存和/或处理条件；</w:t>
      </w:r>
    </w:p>
    <w:p w14:paraId="29A67D2C">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若以无菌方式提供器械，还应指示其无菌状态和灭菌方法；</w:t>
      </w:r>
    </w:p>
    <w:p w14:paraId="4F3A86DE">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需要立即引起器械使用者和任何其他人的注意、需要采取的警戒或预防措施。该信息可保持最小量，在这种情况下，更详细的信息将出现在使用说明中，同时考虑到预期使用者；</w:t>
      </w:r>
    </w:p>
    <w:p w14:paraId="42D6A8A8">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若器械用于一次性使用，则相应指明。制造商的一次性使用指示应在整个欧盟内保持一致；</w:t>
      </w:r>
    </w:p>
    <w:p w14:paraId="5F15696E">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若器械是已进行再处理的一次性使用器械，提供该事实的指示信息、已执行的再处理循环次数以及关于再处理循环次数的任何限制；</w:t>
      </w:r>
    </w:p>
    <w:p w14:paraId="6A35E51C">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若器械是定制的，则提供词语</w:t>
      </w:r>
      <w:r>
        <w:rPr>
          <w:rFonts w:hint="eastAsia" w:ascii="Times New Roman" w:hAnsi="Times New Roman"/>
          <w:kern w:val="2"/>
          <w:szCs w:val="21"/>
        </w:rPr>
        <w:t>“</w:t>
      </w:r>
      <w:r>
        <w:rPr>
          <w:rFonts w:ascii="Times New Roman" w:hAnsi="Times New Roman"/>
          <w:kern w:val="2"/>
          <w:szCs w:val="21"/>
        </w:rPr>
        <w:t>定制器械</w:t>
      </w:r>
      <w:r>
        <w:rPr>
          <w:rFonts w:hint="eastAsia" w:ascii="Times New Roman" w:hAnsi="Times New Roman"/>
          <w:kern w:val="2"/>
          <w:szCs w:val="21"/>
        </w:rPr>
        <w:t>”</w:t>
      </w:r>
      <w:r>
        <w:rPr>
          <w:rFonts w:ascii="Times New Roman" w:hAnsi="Times New Roman"/>
          <w:kern w:val="2"/>
          <w:szCs w:val="21"/>
        </w:rPr>
        <w:t>；</w:t>
      </w:r>
    </w:p>
    <w:p w14:paraId="0196723D">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一项指示信息，用于指示器械为医疗器械。若本器械仅预定用于临床研究，应标明</w:t>
      </w:r>
      <w:r>
        <w:rPr>
          <w:rFonts w:hint="eastAsia" w:ascii="Times New Roman" w:hAnsi="Times New Roman"/>
          <w:kern w:val="2"/>
          <w:szCs w:val="21"/>
        </w:rPr>
        <w:t>“</w:t>
      </w:r>
      <w:r>
        <w:rPr>
          <w:rFonts w:ascii="Times New Roman" w:hAnsi="Times New Roman"/>
          <w:kern w:val="2"/>
          <w:szCs w:val="21"/>
        </w:rPr>
        <w:t>临床研究专用</w:t>
      </w:r>
      <w:r>
        <w:rPr>
          <w:rFonts w:hint="eastAsia" w:ascii="Times New Roman" w:hAnsi="Times New Roman"/>
          <w:kern w:val="2"/>
          <w:szCs w:val="21"/>
        </w:rPr>
        <w:t>”</w:t>
      </w:r>
      <w:r>
        <w:rPr>
          <w:rFonts w:ascii="Times New Roman" w:hAnsi="Times New Roman"/>
          <w:kern w:val="2"/>
          <w:szCs w:val="21"/>
        </w:rPr>
        <w:t>；</w:t>
      </w:r>
    </w:p>
    <w:p w14:paraId="33BA0FAB">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若器械包含预计经由身体孔口引入人体或施加在皮肤上，并被人体吸收或局部喷洒在人体上</w:t>
      </w:r>
      <w:r>
        <w:rPr>
          <w:rFonts w:hint="eastAsia" w:ascii="Times New Roman" w:hAnsi="Times New Roman"/>
          <w:kern w:val="2"/>
          <w:szCs w:val="21"/>
        </w:rPr>
        <w:t>的</w:t>
      </w:r>
      <w:r>
        <w:rPr>
          <w:rFonts w:ascii="Times New Roman" w:hAnsi="Times New Roman"/>
          <w:kern w:val="2"/>
          <w:szCs w:val="21"/>
        </w:rPr>
        <w:t>物质或物质组合，则提供器械的整体定量成分和负责实现主要预期作用的主要成分的定量信息；</w:t>
      </w:r>
    </w:p>
    <w:p w14:paraId="454ECBE3">
      <w:pPr>
        <w:pStyle w:val="32"/>
        <w:numPr>
          <w:ilvl w:val="0"/>
          <w:numId w:val="143"/>
        </w:numPr>
        <w:tabs>
          <w:tab w:val="left" w:pos="1248"/>
        </w:tabs>
        <w:topLinePunct/>
        <w:snapToGrid w:val="0"/>
        <w:spacing w:beforeLines="10" w:line="276" w:lineRule="auto"/>
        <w:ind w:left="1247"/>
        <w:jc w:val="both"/>
        <w:rPr>
          <w:rFonts w:ascii="Times New Roman" w:hAnsi="Times New Roman"/>
          <w:kern w:val="2"/>
          <w:szCs w:val="21"/>
        </w:rPr>
      </w:pPr>
      <w:r>
        <w:rPr>
          <w:rFonts w:ascii="Times New Roman" w:hAnsi="Times New Roman"/>
          <w:kern w:val="2"/>
          <w:szCs w:val="21"/>
        </w:rPr>
        <w:t>对于有源可植入器械，提供序列号，对于其他可植入器械，提供序列号或批号。</w:t>
      </w:r>
    </w:p>
    <w:p w14:paraId="48C231AF">
      <w:pPr>
        <w:pStyle w:val="32"/>
        <w:tabs>
          <w:tab w:val="left" w:pos="535"/>
          <w:tab w:val="left" w:pos="964"/>
        </w:tabs>
        <w:topLinePunct/>
        <w:snapToGrid w:val="0"/>
        <w:spacing w:beforeLines="10" w:line="276" w:lineRule="auto"/>
        <w:jc w:val="both"/>
        <w:rPr>
          <w:rFonts w:ascii="Times New Roman" w:hAnsi="Times New Roman"/>
          <w:kern w:val="2"/>
          <w:szCs w:val="21"/>
        </w:rPr>
      </w:pPr>
      <w:r>
        <w:rPr>
          <w:rFonts w:ascii="Times New Roman" w:hAnsi="Times New Roman"/>
          <w:kern w:val="2"/>
          <w:szCs w:val="21"/>
        </w:rPr>
        <w:t>23.3.</w:t>
      </w:r>
      <w:r>
        <w:rPr>
          <w:rFonts w:ascii="Times New Roman" w:hAnsi="Times New Roman"/>
          <w:kern w:val="2"/>
          <w:szCs w:val="21"/>
        </w:rPr>
        <w:tab/>
      </w:r>
      <w:r>
        <w:rPr>
          <w:rFonts w:ascii="Times New Roman" w:hAnsi="Times New Roman"/>
          <w:kern w:val="2"/>
          <w:szCs w:val="21"/>
        </w:rPr>
        <w:t>.关于保持器械无菌条件的包装信息（</w:t>
      </w:r>
      <w:r>
        <w:rPr>
          <w:rFonts w:hint="eastAsia" w:ascii="Times New Roman" w:hAnsi="Times New Roman"/>
          <w:kern w:val="2"/>
          <w:szCs w:val="21"/>
        </w:rPr>
        <w:t>“</w:t>
      </w:r>
      <w:r>
        <w:rPr>
          <w:rFonts w:ascii="Times New Roman" w:hAnsi="Times New Roman"/>
          <w:kern w:val="2"/>
          <w:szCs w:val="21"/>
        </w:rPr>
        <w:t>无菌包装</w:t>
      </w:r>
      <w:r>
        <w:rPr>
          <w:rFonts w:hint="eastAsia" w:ascii="Times New Roman" w:hAnsi="Times New Roman"/>
          <w:kern w:val="2"/>
          <w:szCs w:val="21"/>
        </w:rPr>
        <w:t>”</w:t>
      </w:r>
      <w:r>
        <w:rPr>
          <w:rFonts w:ascii="Times New Roman" w:hAnsi="Times New Roman"/>
          <w:kern w:val="2"/>
          <w:szCs w:val="21"/>
        </w:rPr>
        <w:t>）：</w:t>
      </w:r>
    </w:p>
    <w:p w14:paraId="5152BF54">
      <w:pPr>
        <w:pStyle w:val="8"/>
        <w:topLinePunct/>
        <w:snapToGrid w:val="0"/>
        <w:spacing w:beforeLines="10" w:line="276" w:lineRule="auto"/>
        <w:ind w:left="628" w:leftChars="299" w:firstLine="0"/>
        <w:jc w:val="both"/>
        <w:rPr>
          <w:kern w:val="2"/>
          <w:szCs w:val="21"/>
        </w:rPr>
      </w:pPr>
      <w:bookmarkStart w:id="153" w:name="The_following_particulars_shall_appear_o"/>
      <w:bookmarkEnd w:id="153"/>
      <w:r>
        <w:rPr>
          <w:kern w:val="2"/>
          <w:szCs w:val="21"/>
        </w:rPr>
        <w:t>无菌包装上应出现以下细节：</w:t>
      </w:r>
    </w:p>
    <w:p w14:paraId="4F4228B9">
      <w:pPr>
        <w:pStyle w:val="32"/>
        <w:numPr>
          <w:ilvl w:val="2"/>
          <w:numId w:val="144"/>
        </w:numPr>
        <w:tabs>
          <w:tab w:val="left" w:pos="1260"/>
        </w:tabs>
        <w:topLinePunct/>
        <w:snapToGrid w:val="0"/>
        <w:spacing w:beforeLines="10" w:line="276" w:lineRule="auto"/>
        <w:ind w:left="628" w:leftChars="299" w:firstLine="0"/>
        <w:jc w:val="both"/>
        <w:rPr>
          <w:rFonts w:ascii="Times New Roman" w:hAnsi="Times New Roman"/>
          <w:kern w:val="2"/>
          <w:szCs w:val="21"/>
        </w:rPr>
      </w:pPr>
      <w:r>
        <w:rPr>
          <w:rFonts w:ascii="Times New Roman" w:hAnsi="Times New Roman"/>
          <w:kern w:val="2"/>
          <w:szCs w:val="21"/>
        </w:rPr>
        <w:t>指明无菌包装标识，</w:t>
      </w:r>
    </w:p>
    <w:p w14:paraId="1F775718">
      <w:pPr>
        <w:pStyle w:val="32"/>
        <w:numPr>
          <w:ilvl w:val="2"/>
          <w:numId w:val="144"/>
        </w:numPr>
        <w:tabs>
          <w:tab w:val="left" w:pos="1260"/>
        </w:tabs>
        <w:topLinePunct/>
        <w:snapToGrid w:val="0"/>
        <w:spacing w:beforeLines="10" w:line="276" w:lineRule="auto"/>
        <w:ind w:left="628" w:leftChars="299" w:firstLine="0"/>
        <w:jc w:val="both"/>
        <w:rPr>
          <w:rFonts w:ascii="Times New Roman" w:hAnsi="Times New Roman"/>
          <w:kern w:val="2"/>
          <w:szCs w:val="21"/>
        </w:rPr>
      </w:pPr>
      <w:r>
        <w:rPr>
          <w:rFonts w:ascii="Times New Roman" w:hAnsi="Times New Roman"/>
          <w:kern w:val="2"/>
          <w:szCs w:val="21"/>
        </w:rPr>
        <w:t>声明该器械处于无菌状态，</w:t>
      </w:r>
    </w:p>
    <w:p w14:paraId="1B524327">
      <w:pPr>
        <w:pStyle w:val="32"/>
        <w:numPr>
          <w:ilvl w:val="2"/>
          <w:numId w:val="144"/>
        </w:numPr>
        <w:tabs>
          <w:tab w:val="left" w:pos="1260"/>
        </w:tabs>
        <w:topLinePunct/>
        <w:snapToGrid w:val="0"/>
        <w:spacing w:beforeLines="25" w:line="300" w:lineRule="auto"/>
        <w:ind w:left="628" w:leftChars="299" w:firstLine="0"/>
        <w:jc w:val="both"/>
        <w:rPr>
          <w:rFonts w:ascii="Times New Roman" w:hAnsi="Times New Roman"/>
          <w:kern w:val="2"/>
          <w:szCs w:val="21"/>
        </w:rPr>
      </w:pPr>
      <w:r>
        <w:rPr>
          <w:rFonts w:ascii="Times New Roman" w:hAnsi="Times New Roman"/>
          <w:kern w:val="2"/>
          <w:szCs w:val="21"/>
        </w:rPr>
        <w:t>灭菌方法，</w:t>
      </w:r>
    </w:p>
    <w:p w14:paraId="5267EE44">
      <w:pPr>
        <w:pStyle w:val="32"/>
        <w:numPr>
          <w:ilvl w:val="2"/>
          <w:numId w:val="144"/>
        </w:numPr>
        <w:tabs>
          <w:tab w:val="left" w:pos="1260"/>
        </w:tabs>
        <w:topLinePunct/>
        <w:snapToGrid w:val="0"/>
        <w:spacing w:beforeLines="25" w:line="300" w:lineRule="auto"/>
        <w:ind w:left="628" w:leftChars="299" w:firstLine="0"/>
        <w:jc w:val="both"/>
        <w:rPr>
          <w:rFonts w:ascii="Times New Roman" w:hAnsi="Times New Roman"/>
          <w:kern w:val="2"/>
          <w:szCs w:val="21"/>
        </w:rPr>
      </w:pPr>
      <w:r>
        <w:rPr>
          <w:rFonts w:ascii="Times New Roman" w:hAnsi="Times New Roman"/>
          <w:kern w:val="2"/>
          <w:szCs w:val="21"/>
        </w:rPr>
        <w:br w:type="page"/>
      </w:r>
      <w:r>
        <w:rPr>
          <w:rFonts w:ascii="Times New Roman" w:hAnsi="Times New Roman"/>
          <w:kern w:val="2"/>
          <w:szCs w:val="21"/>
        </w:rPr>
        <w:t>制造商名称和地址，</w:t>
      </w:r>
    </w:p>
    <w:p w14:paraId="000C111C">
      <w:pPr>
        <w:pStyle w:val="32"/>
        <w:numPr>
          <w:ilvl w:val="2"/>
          <w:numId w:val="144"/>
        </w:numPr>
        <w:tabs>
          <w:tab w:val="left" w:pos="1260"/>
        </w:tabs>
        <w:topLinePunct/>
        <w:snapToGrid w:val="0"/>
        <w:spacing w:beforeLines="25" w:line="300" w:lineRule="auto"/>
        <w:ind w:left="628" w:leftChars="299" w:firstLine="0"/>
        <w:jc w:val="both"/>
        <w:rPr>
          <w:rFonts w:ascii="Times New Roman" w:hAnsi="Times New Roman"/>
          <w:kern w:val="2"/>
          <w:szCs w:val="21"/>
        </w:rPr>
      </w:pPr>
      <w:r>
        <w:rPr>
          <w:rFonts w:ascii="Times New Roman" w:hAnsi="Times New Roman"/>
          <w:kern w:val="2"/>
          <w:szCs w:val="21"/>
        </w:rPr>
        <w:t>器械说明，</w:t>
      </w:r>
    </w:p>
    <w:p w14:paraId="0A3D2240">
      <w:pPr>
        <w:pStyle w:val="32"/>
        <w:numPr>
          <w:ilvl w:val="2"/>
          <w:numId w:val="144"/>
        </w:numPr>
        <w:tabs>
          <w:tab w:val="left" w:pos="1260"/>
        </w:tabs>
        <w:topLinePunct/>
        <w:snapToGrid w:val="0"/>
        <w:spacing w:beforeLines="25" w:line="300" w:lineRule="auto"/>
        <w:ind w:left="628" w:leftChars="299" w:firstLine="0"/>
        <w:jc w:val="both"/>
        <w:rPr>
          <w:rFonts w:ascii="Times New Roman" w:hAnsi="Times New Roman"/>
          <w:kern w:val="2"/>
          <w:szCs w:val="21"/>
        </w:rPr>
      </w:pPr>
      <w:r>
        <w:rPr>
          <w:rFonts w:ascii="Times New Roman" w:hAnsi="Times New Roman"/>
          <w:kern w:val="2"/>
          <w:szCs w:val="21"/>
        </w:rPr>
        <w:t>若本器械仅预定用于临床研究，应标明</w:t>
      </w:r>
      <w:r>
        <w:rPr>
          <w:rFonts w:hint="eastAsia" w:ascii="Times New Roman" w:hAnsi="Times New Roman"/>
          <w:kern w:val="2"/>
          <w:szCs w:val="21"/>
        </w:rPr>
        <w:t>“</w:t>
      </w:r>
      <w:r>
        <w:rPr>
          <w:rFonts w:ascii="Times New Roman" w:hAnsi="Times New Roman"/>
          <w:kern w:val="2"/>
          <w:szCs w:val="21"/>
        </w:rPr>
        <w:t>临床研究专用</w:t>
      </w:r>
      <w:r>
        <w:rPr>
          <w:rFonts w:hint="eastAsia" w:ascii="Times New Roman" w:hAnsi="Times New Roman"/>
          <w:kern w:val="2"/>
          <w:szCs w:val="21"/>
        </w:rPr>
        <w:t>”</w:t>
      </w:r>
      <w:r>
        <w:rPr>
          <w:rFonts w:ascii="Times New Roman" w:hAnsi="Times New Roman"/>
          <w:kern w:val="2"/>
          <w:szCs w:val="21"/>
        </w:rPr>
        <w:t>，</w:t>
      </w:r>
    </w:p>
    <w:p w14:paraId="76B0B011">
      <w:pPr>
        <w:pStyle w:val="32"/>
        <w:numPr>
          <w:ilvl w:val="2"/>
          <w:numId w:val="144"/>
        </w:numPr>
        <w:tabs>
          <w:tab w:val="left" w:pos="1260"/>
        </w:tabs>
        <w:topLinePunct/>
        <w:snapToGrid w:val="0"/>
        <w:spacing w:beforeLines="25" w:line="300" w:lineRule="auto"/>
        <w:ind w:left="628" w:leftChars="299" w:firstLine="0"/>
        <w:jc w:val="both"/>
        <w:rPr>
          <w:rFonts w:ascii="Times New Roman" w:hAnsi="Times New Roman"/>
          <w:kern w:val="2"/>
          <w:szCs w:val="21"/>
        </w:rPr>
      </w:pPr>
      <w:r>
        <w:rPr>
          <w:rFonts w:ascii="Times New Roman" w:hAnsi="Times New Roman"/>
          <w:kern w:val="2"/>
          <w:szCs w:val="21"/>
        </w:rPr>
        <w:t>若属于定制器械，应标明</w:t>
      </w:r>
      <w:r>
        <w:rPr>
          <w:rFonts w:hint="eastAsia" w:ascii="Times New Roman" w:hAnsi="Times New Roman"/>
          <w:kern w:val="2"/>
          <w:szCs w:val="21"/>
        </w:rPr>
        <w:t>“</w:t>
      </w:r>
      <w:r>
        <w:rPr>
          <w:rFonts w:ascii="Times New Roman" w:hAnsi="Times New Roman"/>
          <w:kern w:val="2"/>
          <w:szCs w:val="21"/>
        </w:rPr>
        <w:t>定制器械</w:t>
      </w:r>
      <w:r>
        <w:rPr>
          <w:rFonts w:hint="eastAsia" w:ascii="Times New Roman" w:hAnsi="Times New Roman"/>
          <w:kern w:val="2"/>
          <w:szCs w:val="21"/>
        </w:rPr>
        <w:t>”</w:t>
      </w:r>
      <w:r>
        <w:rPr>
          <w:rFonts w:ascii="Times New Roman" w:hAnsi="Times New Roman"/>
          <w:kern w:val="2"/>
          <w:szCs w:val="21"/>
        </w:rPr>
        <w:t>，</w:t>
      </w:r>
    </w:p>
    <w:p w14:paraId="10E57A2D">
      <w:pPr>
        <w:pStyle w:val="32"/>
        <w:numPr>
          <w:ilvl w:val="2"/>
          <w:numId w:val="144"/>
        </w:numPr>
        <w:tabs>
          <w:tab w:val="left" w:pos="1260"/>
        </w:tabs>
        <w:topLinePunct/>
        <w:snapToGrid w:val="0"/>
        <w:spacing w:beforeLines="25" w:line="300" w:lineRule="auto"/>
        <w:ind w:left="628" w:leftChars="299" w:firstLine="0"/>
        <w:jc w:val="both"/>
        <w:rPr>
          <w:rFonts w:ascii="Times New Roman" w:hAnsi="Times New Roman"/>
          <w:kern w:val="2"/>
          <w:szCs w:val="21"/>
        </w:rPr>
      </w:pPr>
      <w:r>
        <w:rPr>
          <w:rFonts w:ascii="Times New Roman" w:hAnsi="Times New Roman"/>
          <w:kern w:val="2"/>
          <w:szCs w:val="21"/>
        </w:rPr>
        <w:t>制造月份和年份，</w:t>
      </w:r>
    </w:p>
    <w:p w14:paraId="0AEA4640">
      <w:pPr>
        <w:pStyle w:val="32"/>
        <w:numPr>
          <w:ilvl w:val="2"/>
          <w:numId w:val="144"/>
        </w:numPr>
        <w:tabs>
          <w:tab w:val="left" w:pos="1260"/>
        </w:tabs>
        <w:topLinePunct/>
        <w:snapToGrid w:val="0"/>
        <w:spacing w:beforeLines="25" w:line="300" w:lineRule="auto"/>
        <w:ind w:left="1260" w:leftChars="300" w:hanging="630" w:hangingChars="300"/>
        <w:jc w:val="both"/>
        <w:rPr>
          <w:rFonts w:ascii="Times New Roman" w:hAnsi="Times New Roman"/>
          <w:kern w:val="2"/>
          <w:szCs w:val="21"/>
        </w:rPr>
      </w:pPr>
      <w:r>
        <w:rPr>
          <w:rFonts w:ascii="Times New Roman" w:hAnsi="Times New Roman"/>
          <w:kern w:val="2"/>
          <w:szCs w:val="21"/>
        </w:rPr>
        <w:t>安全使用或植入器械的时间限制的明确指示信息，并表示为与之相关的年份和月份；</w:t>
      </w:r>
    </w:p>
    <w:p w14:paraId="6101832D">
      <w:pPr>
        <w:pStyle w:val="32"/>
        <w:numPr>
          <w:ilvl w:val="2"/>
          <w:numId w:val="144"/>
        </w:numPr>
        <w:tabs>
          <w:tab w:val="left" w:pos="1260"/>
        </w:tabs>
        <w:topLinePunct/>
        <w:snapToGrid w:val="0"/>
        <w:spacing w:beforeLines="25" w:line="300" w:lineRule="auto"/>
        <w:ind w:left="1260" w:leftChars="300" w:hanging="630" w:hangingChars="300"/>
        <w:jc w:val="both"/>
        <w:rPr>
          <w:rFonts w:ascii="Times New Roman" w:hAnsi="Times New Roman"/>
          <w:kern w:val="2"/>
          <w:szCs w:val="21"/>
        </w:rPr>
      </w:pPr>
      <w:r>
        <w:rPr>
          <w:rFonts w:ascii="Times New Roman" w:hAnsi="Times New Roman"/>
          <w:kern w:val="2"/>
          <w:szCs w:val="21"/>
        </w:rPr>
        <w:t>检查使用说明的说明，即若无菌包装损坏或在使用前不小心打开，该如何处理。</w:t>
      </w:r>
    </w:p>
    <w:p w14:paraId="23CDDD5F">
      <w:pPr>
        <w:pStyle w:val="4"/>
        <w:tabs>
          <w:tab w:val="left" w:pos="682"/>
        </w:tabs>
        <w:topLinePunct/>
        <w:snapToGrid w:val="0"/>
        <w:spacing w:beforeLines="25" w:line="300" w:lineRule="auto"/>
        <w:ind w:left="113" w:firstLine="0"/>
        <w:jc w:val="both"/>
        <w:rPr>
          <w:rFonts w:ascii="Times New Roman" w:hAnsi="Times New Roman"/>
          <w:b w:val="0"/>
          <w:bCs w:val="0"/>
          <w:kern w:val="2"/>
          <w:sz w:val="21"/>
          <w:szCs w:val="21"/>
        </w:rPr>
      </w:pPr>
      <w:r>
        <w:rPr>
          <w:rFonts w:ascii="Times New Roman" w:hAnsi="Times New Roman"/>
          <w:b w:val="0"/>
          <w:kern w:val="2"/>
          <w:sz w:val="21"/>
          <w:szCs w:val="21"/>
        </w:rPr>
        <w:t>23.4.</w:t>
      </w:r>
      <w:r>
        <w:rPr>
          <w:rFonts w:ascii="Times New Roman" w:hAnsi="Times New Roman"/>
          <w:b w:val="0"/>
          <w:kern w:val="2"/>
          <w:sz w:val="21"/>
          <w:szCs w:val="21"/>
        </w:rPr>
        <w:tab/>
      </w:r>
      <w:r>
        <w:rPr>
          <w:rFonts w:ascii="Times New Roman" w:hAnsi="Times New Roman"/>
          <w:b w:val="0"/>
          <w:kern w:val="2"/>
          <w:sz w:val="21"/>
          <w:szCs w:val="21"/>
        </w:rPr>
        <w:t>使用说明书中的信息</w:t>
      </w:r>
    </w:p>
    <w:p w14:paraId="6F55899F">
      <w:pPr>
        <w:pStyle w:val="8"/>
        <w:topLinePunct/>
        <w:snapToGrid w:val="0"/>
        <w:spacing w:beforeLines="25" w:line="300" w:lineRule="auto"/>
        <w:ind w:firstLine="0"/>
        <w:jc w:val="both"/>
        <w:rPr>
          <w:kern w:val="2"/>
          <w:szCs w:val="21"/>
        </w:rPr>
      </w:pPr>
      <w:r>
        <w:rPr>
          <w:kern w:val="2"/>
          <w:szCs w:val="21"/>
        </w:rPr>
        <w:t>使用说明应包含以下全部</w:t>
      </w:r>
      <w:r>
        <w:rPr>
          <w:rFonts w:hint="eastAsia"/>
          <w:kern w:val="2"/>
          <w:szCs w:val="21"/>
        </w:rPr>
        <w:t>详细规定</w:t>
      </w:r>
      <w:r>
        <w:rPr>
          <w:kern w:val="2"/>
          <w:szCs w:val="21"/>
        </w:rPr>
        <w:t>：</w:t>
      </w:r>
    </w:p>
    <w:p w14:paraId="20D99427">
      <w:pPr>
        <w:pStyle w:val="32"/>
        <w:numPr>
          <w:ilvl w:val="2"/>
          <w:numId w:val="145"/>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第23.2节第（a）、（c）、（e）、（f）、（k）、（l）、（n）和（r）点所述的</w:t>
      </w:r>
      <w:r>
        <w:rPr>
          <w:rFonts w:hint="eastAsia" w:ascii="Times New Roman" w:hAnsi="Times New Roman"/>
          <w:kern w:val="2"/>
          <w:szCs w:val="21"/>
        </w:rPr>
        <w:t>详细规定</w:t>
      </w:r>
      <w:r>
        <w:rPr>
          <w:rFonts w:hint="eastAsia" w:ascii="Times New Roman" w:hAnsi="Times New Roman"/>
          <w:kern w:val="2"/>
          <w:szCs w:val="21"/>
          <w:lang w:val="en-US"/>
        </w:rPr>
        <w:t>；</w:t>
      </w:r>
    </w:p>
    <w:p w14:paraId="33351D3A">
      <w:pPr>
        <w:pStyle w:val="32"/>
        <w:numPr>
          <w:ilvl w:val="2"/>
          <w:numId w:val="145"/>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器械的预期用途具有适应症、禁忌症、患者目标群体和预期使用者（如适用）的明确规范</w:t>
      </w:r>
      <w:r>
        <w:rPr>
          <w:rFonts w:hint="eastAsia" w:ascii="Times New Roman" w:hAnsi="Times New Roman"/>
          <w:kern w:val="2"/>
          <w:szCs w:val="21"/>
        </w:rPr>
        <w:t>；</w:t>
      </w:r>
    </w:p>
    <w:p w14:paraId="04D912BE">
      <w:pPr>
        <w:pStyle w:val="8"/>
        <w:topLinePunct/>
        <w:snapToGrid w:val="0"/>
        <w:spacing w:beforeLines="25" w:line="300" w:lineRule="auto"/>
        <w:ind w:left="210" w:leftChars="100" w:firstLine="420" w:firstLineChars="200"/>
        <w:jc w:val="both"/>
        <w:rPr>
          <w:kern w:val="2"/>
          <w:szCs w:val="21"/>
        </w:rPr>
      </w:pPr>
      <w:r>
        <w:rPr>
          <w:rFonts w:hint="eastAsia"/>
          <w:kern w:val="2"/>
          <w:szCs w:val="21"/>
        </w:rPr>
        <w:t>(</w:t>
      </w:r>
      <w:r>
        <w:rPr>
          <w:kern w:val="2"/>
          <w:szCs w:val="21"/>
        </w:rPr>
        <w:t>c</w:t>
      </w:r>
      <w:r>
        <w:rPr>
          <w:rFonts w:hint="eastAsia"/>
          <w:kern w:val="2"/>
          <w:szCs w:val="21"/>
        </w:rPr>
        <w:t>)</w:t>
      </w:r>
      <w:r>
        <w:rPr>
          <w:kern w:val="2"/>
          <w:szCs w:val="21"/>
        </w:rPr>
        <w:tab/>
      </w:r>
      <w:r>
        <w:rPr>
          <w:kern w:val="2"/>
          <w:szCs w:val="21"/>
        </w:rPr>
        <w:t>如适用，提供预期的临床收益规范</w:t>
      </w:r>
      <w:r>
        <w:rPr>
          <w:rFonts w:hint="eastAsia"/>
          <w:kern w:val="2"/>
          <w:szCs w:val="21"/>
          <w:lang w:val="en-US"/>
        </w:rPr>
        <w:t>；</w:t>
      </w:r>
    </w:p>
    <w:p w14:paraId="15CC4EA1">
      <w:pPr>
        <w:pStyle w:val="8"/>
        <w:topLinePunct/>
        <w:snapToGrid w:val="0"/>
        <w:spacing w:beforeLines="25" w:line="300" w:lineRule="auto"/>
        <w:ind w:left="210" w:leftChars="100" w:firstLine="420" w:firstLineChars="200"/>
        <w:jc w:val="both"/>
        <w:rPr>
          <w:kern w:val="2"/>
          <w:szCs w:val="21"/>
        </w:rPr>
      </w:pPr>
      <w:r>
        <w:rPr>
          <w:rFonts w:hint="eastAsia"/>
          <w:kern w:val="2"/>
          <w:szCs w:val="21"/>
        </w:rPr>
        <w:t>(</w:t>
      </w:r>
      <w:r>
        <w:rPr>
          <w:kern w:val="2"/>
          <w:szCs w:val="21"/>
        </w:rPr>
        <w:t>d</w:t>
      </w:r>
      <w:r>
        <w:rPr>
          <w:rFonts w:hint="eastAsia"/>
          <w:kern w:val="2"/>
          <w:szCs w:val="21"/>
        </w:rPr>
        <w:t>)</w:t>
      </w:r>
      <w:r>
        <w:rPr>
          <w:kern w:val="2"/>
          <w:szCs w:val="21"/>
        </w:rPr>
        <w:tab/>
      </w:r>
      <w:r>
        <w:rPr>
          <w:kern w:val="2"/>
          <w:szCs w:val="21"/>
        </w:rPr>
        <w:t>如适用，提供按照第32条的安全和临床性能总结链接</w:t>
      </w:r>
      <w:r>
        <w:rPr>
          <w:rFonts w:hint="eastAsia"/>
          <w:kern w:val="2"/>
          <w:szCs w:val="21"/>
          <w:lang w:val="en-US"/>
        </w:rPr>
        <w:t>；</w:t>
      </w:r>
    </w:p>
    <w:p w14:paraId="0DFE4881">
      <w:pPr>
        <w:pStyle w:val="32"/>
        <w:numPr>
          <w:ilvl w:val="2"/>
          <w:numId w:val="14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器械的性能特征</w:t>
      </w:r>
      <w:r>
        <w:rPr>
          <w:rFonts w:hint="eastAsia" w:ascii="Times New Roman" w:hAnsi="Times New Roman"/>
          <w:kern w:val="2"/>
          <w:szCs w:val="21"/>
          <w:lang w:val="en-US"/>
        </w:rPr>
        <w:t>；</w:t>
      </w:r>
    </w:p>
    <w:p w14:paraId="0770FBDD">
      <w:pPr>
        <w:pStyle w:val="32"/>
        <w:numPr>
          <w:ilvl w:val="2"/>
          <w:numId w:val="14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如适用，提供信息用于医疗保健专业人员验证器械是否合适，并选择相应的软件和附录</w:t>
      </w:r>
      <w:r>
        <w:rPr>
          <w:rFonts w:hint="eastAsia" w:ascii="Times New Roman" w:hAnsi="Times New Roman"/>
          <w:kern w:val="2"/>
          <w:szCs w:val="21"/>
          <w:lang w:val="en-US"/>
        </w:rPr>
        <w:t>；</w:t>
      </w:r>
    </w:p>
    <w:p w14:paraId="3269DFFE">
      <w:pPr>
        <w:pStyle w:val="32"/>
        <w:numPr>
          <w:ilvl w:val="2"/>
          <w:numId w:val="14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任何剩余风险、禁忌症和任何不良副作用，包括传达给患者的关于这方面的信息</w:t>
      </w:r>
      <w:r>
        <w:rPr>
          <w:rFonts w:hint="eastAsia" w:ascii="Times New Roman" w:hAnsi="Times New Roman"/>
          <w:kern w:val="2"/>
          <w:szCs w:val="21"/>
          <w:lang w:val="en-US"/>
        </w:rPr>
        <w:t>；</w:t>
      </w:r>
    </w:p>
    <w:p w14:paraId="17127962">
      <w:pPr>
        <w:pStyle w:val="32"/>
        <w:numPr>
          <w:ilvl w:val="2"/>
          <w:numId w:val="14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使用者适当地使用器械的要求规范，例如，若器械具有测定功能，提供其所要求的准确度</w:t>
      </w:r>
      <w:r>
        <w:rPr>
          <w:rFonts w:hint="eastAsia" w:ascii="Times New Roman" w:hAnsi="Times New Roman"/>
          <w:kern w:val="2"/>
          <w:szCs w:val="21"/>
          <w:lang w:val="en-US"/>
        </w:rPr>
        <w:t>；</w:t>
      </w:r>
    </w:p>
    <w:p w14:paraId="2EB01EDB">
      <w:pPr>
        <w:pStyle w:val="32"/>
        <w:numPr>
          <w:ilvl w:val="2"/>
          <w:numId w:val="14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在准备使用之前或在其使用（例如，灭菌、最终组装、校准等）期间器械的任何预处理或处理的细节，包括确保患者安全所需的消毒水平和实现那些消毒水平所需的所有可用方法</w:t>
      </w:r>
      <w:r>
        <w:rPr>
          <w:rFonts w:hint="eastAsia" w:ascii="Times New Roman" w:hAnsi="Times New Roman"/>
          <w:kern w:val="2"/>
          <w:szCs w:val="21"/>
          <w:lang w:val="en-US"/>
        </w:rPr>
        <w:t>；</w:t>
      </w:r>
    </w:p>
    <w:p w14:paraId="635DEEE4">
      <w:pPr>
        <w:pStyle w:val="32"/>
        <w:numPr>
          <w:ilvl w:val="2"/>
          <w:numId w:val="14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所有特殊设施的任何要求或特殊培训或器械使用者和/或其他人的特定资格</w:t>
      </w:r>
      <w:r>
        <w:rPr>
          <w:rFonts w:hint="eastAsia" w:ascii="Times New Roman" w:hAnsi="Times New Roman"/>
          <w:kern w:val="2"/>
          <w:szCs w:val="21"/>
          <w:lang w:val="en-US"/>
        </w:rPr>
        <w:t>；</w:t>
      </w:r>
    </w:p>
    <w:p w14:paraId="2B0A930A">
      <w:pPr>
        <w:pStyle w:val="32"/>
        <w:numPr>
          <w:ilvl w:val="2"/>
          <w:numId w:val="14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验证器械是否正确安装并是否准备好安全以及按制造商意图执行的信息（若相关）：</w:t>
      </w:r>
    </w:p>
    <w:p w14:paraId="3DAC7F8E">
      <w:pPr>
        <w:pStyle w:val="32"/>
        <w:numPr>
          <w:ilvl w:val="3"/>
          <w:numId w:val="148"/>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预防和定期维护以及任何预备清洁或消毒的性质和频率的详细信息；</w:t>
      </w:r>
    </w:p>
    <w:p w14:paraId="7EC83CDD">
      <w:pPr>
        <w:pStyle w:val="32"/>
        <w:numPr>
          <w:ilvl w:val="3"/>
          <w:numId w:val="148"/>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任何消耗部件的标识和更换方法；</w:t>
      </w:r>
    </w:p>
    <w:p w14:paraId="1BB63B82">
      <w:pPr>
        <w:pStyle w:val="32"/>
        <w:numPr>
          <w:ilvl w:val="3"/>
          <w:numId w:val="148"/>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任何必要的校准信息，其用以确保器械在其预期寿命期间正常和安全地工作；</w:t>
      </w:r>
    </w:p>
    <w:p w14:paraId="14C13573">
      <w:pPr>
        <w:pStyle w:val="32"/>
        <w:numPr>
          <w:ilvl w:val="3"/>
          <w:numId w:val="148"/>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消除参与安装、校准或维修器械的人所遇到风险的方法。</w:t>
      </w:r>
    </w:p>
    <w:p w14:paraId="2EB1AAD4">
      <w:pPr>
        <w:pStyle w:val="32"/>
        <w:numPr>
          <w:ilvl w:val="2"/>
          <w:numId w:val="14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若提供的器械是无菌的，则无菌包装在使用前被损坏或无意打开的情况下，应提供说明。</w:t>
      </w:r>
    </w:p>
    <w:p w14:paraId="1814CCA0">
      <w:pPr>
        <w:pStyle w:val="32"/>
        <w:numPr>
          <w:ilvl w:val="2"/>
          <w:numId w:val="14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若提供的器械是非无菌的，并且需要在使用前进行灭菌，应提供适当的灭菌说明。</w:t>
      </w:r>
    </w:p>
    <w:p w14:paraId="3E0E001E">
      <w:pPr>
        <w:pStyle w:val="32"/>
        <w:numPr>
          <w:ilvl w:val="2"/>
          <w:numId w:val="14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器械可重复使用，提供重复必需的适当处理过程的相关信息，包括清洁、消毒、包装以及（如适当）经过验证的适用于器械投放市场所在成员国的重新灭菌方法。应提供信息以识别该器械何时不得再使用，例如，材料劣化迹象或允许重复使用的最大数量。</w:t>
      </w:r>
    </w:p>
    <w:p w14:paraId="43DF4B47">
      <w:pPr>
        <w:pStyle w:val="8"/>
        <w:topLinePunct/>
        <w:snapToGrid w:val="0"/>
        <w:spacing w:beforeLines="25" w:line="300" w:lineRule="auto"/>
        <w:ind w:left="1248"/>
        <w:jc w:val="both"/>
        <w:rPr>
          <w:kern w:val="2"/>
          <w:szCs w:val="21"/>
        </w:rPr>
      </w:pPr>
      <w:r>
        <w:rPr>
          <w:kern w:val="2"/>
          <w:szCs w:val="21"/>
        </w:rPr>
        <w:t>（o）必要的指示信息，指示只有在制造商负责进行重新调整后符合通用安全与性能要求，方可重复使用该器械。</w:t>
      </w:r>
    </w:p>
    <w:p w14:paraId="57F8E3A8">
      <w:pPr>
        <w:pStyle w:val="32"/>
        <w:numPr>
          <w:ilvl w:val="2"/>
          <w:numId w:val="14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器械带有一次性使用指示，在重复使用器械的情形下，制造商已知的特性和技术因素相关信息可能会构成风险。此信息应基于制造商风险管理文档的特定部分，应详细说明这些特征和技术因素。若按照第23.1节(d)点无需任何使用说明，该信息必须按要求提供给使用者。</w:t>
      </w:r>
    </w:p>
    <w:p w14:paraId="62B53D9C">
      <w:pPr>
        <w:pStyle w:val="32"/>
        <w:numPr>
          <w:ilvl w:val="2"/>
          <w:numId w:val="14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对于旨在与其他器械和/或通用设备一起使用的器械：</w:t>
      </w:r>
    </w:p>
    <w:p w14:paraId="68938580">
      <w:pPr>
        <w:pStyle w:val="32"/>
        <w:numPr>
          <w:ilvl w:val="3"/>
          <w:numId w:val="14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信息用于识别这些器械或设备，以便获得安全组合，和/或</w:t>
      </w:r>
    </w:p>
    <w:p w14:paraId="79BB6772">
      <w:pPr>
        <w:pStyle w:val="32"/>
        <w:numPr>
          <w:ilvl w:val="3"/>
          <w:numId w:val="14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有关器械和设备组合的任何已知限制的信息。</w:t>
      </w:r>
    </w:p>
    <w:p w14:paraId="406E2A4C">
      <w:pPr>
        <w:pStyle w:val="32"/>
        <w:numPr>
          <w:ilvl w:val="2"/>
          <w:numId w:val="14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若器械发出辐射用于医疗用途：</w:t>
      </w:r>
    </w:p>
    <w:p w14:paraId="0658C71A">
      <w:pPr>
        <w:pStyle w:val="32"/>
        <w:numPr>
          <w:ilvl w:val="3"/>
          <w:numId w:val="14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关于发出辐射的性质、类型和（如适当）强度和分布的详细信息；</w:t>
      </w:r>
    </w:p>
    <w:p w14:paraId="3B20CBC3">
      <w:pPr>
        <w:pStyle w:val="32"/>
        <w:numPr>
          <w:ilvl w:val="3"/>
          <w:numId w:val="14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防止患者、使用者或其他人在使用器械期间受到意外辐射的方法。</w:t>
      </w:r>
    </w:p>
    <w:p w14:paraId="55A17C1F">
      <w:pPr>
        <w:pStyle w:val="32"/>
        <w:numPr>
          <w:ilvl w:val="2"/>
          <w:numId w:val="14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有关允许向使用者和/或患者通知任何警戒、预防措施、禁忌症、待采取措施以及与器械有关的使用限制信息。在相关情况下，此信息应允许使用者向患者简述所有警戒、预防措施、禁忌症、待采取措施以及与器械有关的使用限制。该信息应酌情包括：</w:t>
      </w:r>
    </w:p>
    <w:p w14:paraId="0AC0778A">
      <w:pPr>
        <w:pStyle w:val="32"/>
        <w:numPr>
          <w:ilvl w:val="3"/>
          <w:numId w:val="14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器械发生故障或可能会影响安全的性能变化时的警戒、预防措施和/或待采取措施；</w:t>
      </w:r>
    </w:p>
    <w:p w14:paraId="116D8AE0">
      <w:pPr>
        <w:pStyle w:val="32"/>
        <w:numPr>
          <w:ilvl w:val="3"/>
          <w:numId w:val="14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警戒、预防措施和/或就暴露于合理可预见的外部影响或环境条件采取的措施（例如磁场、外部电和电磁效应、静电放电、与诊断或治疗过程相关的辐射、压力、湿度、或温度；</w:t>
      </w:r>
    </w:p>
    <w:p w14:paraId="22427100">
      <w:pPr>
        <w:pStyle w:val="32"/>
        <w:numPr>
          <w:ilvl w:val="3"/>
          <w:numId w:val="14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在特定诊断研究、评估或治疗处理或其他程序（例如，由影响其他设备的器械所发出的电磁干扰）期间，器械的合理可预见存在所造成的干扰风险的警戒、预防措施和/或待采取措施；</w:t>
      </w:r>
    </w:p>
    <w:p w14:paraId="4B7E5B99">
      <w:pPr>
        <w:pStyle w:val="32"/>
        <w:numPr>
          <w:ilvl w:val="3"/>
          <w:numId w:val="14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若器械用于管理人或动物来源的生物物质药品、组织或细胞或其衍生物，则在选择交付物质时需考虑任何可能的限制或不相容性；</w:t>
      </w:r>
    </w:p>
    <w:p w14:paraId="56F20187">
      <w:pPr>
        <w:pStyle w:val="32"/>
        <w:numPr>
          <w:ilvl w:val="3"/>
          <w:numId w:val="14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结合到器械中作为器械组成部分的药物或生物材料相关的警戒、预防措施和/或限制；</w:t>
      </w:r>
    </w:p>
    <w:p w14:paraId="16C07877">
      <w:pPr>
        <w:pStyle w:val="32"/>
        <w:numPr>
          <w:ilvl w:val="3"/>
          <w:numId w:val="14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与纳入器械的CMR或具有内分泌干扰性质或可能导致患者或使用者的致敏或过敏反应的材料相关的预防措施；</w:t>
      </w:r>
    </w:p>
    <w:p w14:paraId="08EEA18A">
      <w:pPr>
        <w:pStyle w:val="8"/>
        <w:topLinePunct/>
        <w:snapToGrid w:val="0"/>
        <w:spacing w:beforeLines="25" w:line="300" w:lineRule="auto"/>
        <w:ind w:left="1248"/>
        <w:jc w:val="both"/>
        <w:rPr>
          <w:kern w:val="2"/>
          <w:szCs w:val="21"/>
        </w:rPr>
      </w:pPr>
      <w:r>
        <w:rPr>
          <w:rFonts w:hint="eastAsia"/>
          <w:kern w:val="2"/>
          <w:szCs w:val="21"/>
        </w:rPr>
        <w:t>(</w:t>
      </w:r>
      <w:r>
        <w:rPr>
          <w:kern w:val="2"/>
          <w:szCs w:val="21"/>
        </w:rPr>
        <w:t>t</w:t>
      </w:r>
      <w:r>
        <w:rPr>
          <w:rFonts w:hint="eastAsia"/>
          <w:kern w:val="2"/>
          <w:szCs w:val="21"/>
        </w:rPr>
        <w:t>)</w:t>
      </w:r>
      <w:r>
        <w:rPr>
          <w:rFonts w:hint="eastAsia"/>
          <w:kern w:val="2"/>
          <w:szCs w:val="21"/>
        </w:rPr>
        <w:tab/>
      </w:r>
      <w:r>
        <w:rPr>
          <w:kern w:val="2"/>
          <w:szCs w:val="21"/>
        </w:rPr>
        <w:t>若拟引入人体并由人体吸收或局部扩散在人体内的物质或物质组合构成，</w:t>
      </w:r>
      <w:r>
        <w:rPr>
          <w:rFonts w:hint="eastAsia"/>
          <w:kern w:val="2"/>
          <w:szCs w:val="21"/>
        </w:rPr>
        <w:t>则</w:t>
      </w:r>
      <w:r>
        <w:rPr>
          <w:kern w:val="2"/>
          <w:szCs w:val="21"/>
        </w:rPr>
        <w:t>该器械及其代谢产物产品与其他器械、药品和其他物质间相互作用的一般概况以及禁忌、不良副作用和过量风险的警戒和预防措施（如适用）。</w:t>
      </w:r>
    </w:p>
    <w:p w14:paraId="29B235A1">
      <w:pPr>
        <w:pStyle w:val="8"/>
        <w:topLinePunct/>
        <w:snapToGrid w:val="0"/>
        <w:spacing w:beforeLines="25" w:line="300" w:lineRule="auto"/>
        <w:ind w:left="1248"/>
        <w:jc w:val="both"/>
        <w:rPr>
          <w:kern w:val="2"/>
          <w:szCs w:val="21"/>
        </w:rPr>
      </w:pPr>
      <w:r>
        <w:rPr>
          <w:rFonts w:hint="eastAsia"/>
          <w:kern w:val="2"/>
          <w:szCs w:val="21"/>
        </w:rPr>
        <w:t>(</w:t>
      </w:r>
      <w:r>
        <w:rPr>
          <w:kern w:val="2"/>
          <w:szCs w:val="21"/>
        </w:rPr>
        <w:t>u</w:t>
      </w:r>
      <w:r>
        <w:rPr>
          <w:rFonts w:hint="eastAsia"/>
          <w:kern w:val="2"/>
          <w:szCs w:val="21"/>
        </w:rPr>
        <w:t>)</w:t>
      </w:r>
      <w:r>
        <w:rPr>
          <w:rFonts w:hint="eastAsia"/>
          <w:kern w:val="2"/>
          <w:szCs w:val="21"/>
        </w:rPr>
        <w:tab/>
      </w:r>
      <w:r>
        <w:rPr>
          <w:kern w:val="2"/>
          <w:szCs w:val="21"/>
        </w:rPr>
        <w:t>对于可植入器械，有关患者可暴露材料和物质的总体定性和定量信息。</w:t>
      </w:r>
    </w:p>
    <w:p w14:paraId="29686A7F">
      <w:pPr>
        <w:pStyle w:val="32"/>
        <w:numPr>
          <w:ilvl w:val="2"/>
          <w:numId w:val="15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为便于安全处理器械、其附录和与其一起使用的耗材（如有），应采取的警戒或预防措施。该信息应酌情包括：</w:t>
      </w:r>
    </w:p>
    <w:p w14:paraId="41A23826">
      <w:pPr>
        <w:pStyle w:val="32"/>
        <w:numPr>
          <w:ilvl w:val="3"/>
          <w:numId w:val="15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感染或微生物危害（例如，被人源潜在感染性物质污染的外植体、针或手术</w:t>
      </w:r>
      <w:r>
        <w:rPr>
          <w:rFonts w:hint="eastAsia" w:ascii="Times New Roman" w:hAnsi="Times New Roman"/>
          <w:kern w:val="2"/>
          <w:szCs w:val="21"/>
          <w:lang w:val="en-US"/>
        </w:rPr>
        <w:t>器械</w:t>
      </w:r>
      <w:r>
        <w:rPr>
          <w:rFonts w:ascii="Times New Roman" w:hAnsi="Times New Roman"/>
          <w:kern w:val="2"/>
          <w:szCs w:val="21"/>
        </w:rPr>
        <w:t>）；</w:t>
      </w:r>
    </w:p>
    <w:p w14:paraId="200E02AB">
      <w:pPr>
        <w:pStyle w:val="32"/>
        <w:numPr>
          <w:ilvl w:val="3"/>
          <w:numId w:val="15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物理性危害（例如来自尖锐物）。</w:t>
      </w:r>
    </w:p>
    <w:p w14:paraId="3B83A94B">
      <w:pPr>
        <w:pStyle w:val="32"/>
        <w:tabs>
          <w:tab w:val="left" w:pos="1816"/>
        </w:tabs>
        <w:topLinePunct/>
        <w:snapToGrid w:val="0"/>
        <w:spacing w:beforeLines="25" w:line="300" w:lineRule="auto"/>
        <w:ind w:left="1248"/>
        <w:jc w:val="both"/>
        <w:rPr>
          <w:rFonts w:ascii="Times New Roman" w:hAnsi="Times New Roman"/>
          <w:kern w:val="2"/>
          <w:szCs w:val="21"/>
        </w:rPr>
      </w:pPr>
      <w:r>
        <w:rPr>
          <w:rFonts w:ascii="Times New Roman" w:hAnsi="Times New Roman"/>
          <w:kern w:val="2"/>
          <w:szCs w:val="21"/>
        </w:rPr>
        <w:t>若可按照第23.1节（d）</w:t>
      </w:r>
      <w:r>
        <w:rPr>
          <w:rFonts w:hint="eastAsia" w:ascii="Times New Roman" w:hAnsi="Times New Roman"/>
          <w:kern w:val="2"/>
          <w:szCs w:val="21"/>
        </w:rPr>
        <w:t>点</w:t>
      </w:r>
      <w:r>
        <w:rPr>
          <w:rFonts w:ascii="Times New Roman" w:hAnsi="Times New Roman"/>
          <w:kern w:val="2"/>
          <w:szCs w:val="21"/>
        </w:rPr>
        <w:t>要求无使用说明，</w:t>
      </w:r>
      <w:r>
        <w:rPr>
          <w:rFonts w:hint="eastAsia" w:ascii="Times New Roman" w:hAnsi="Times New Roman"/>
          <w:kern w:val="2"/>
          <w:szCs w:val="21"/>
        </w:rPr>
        <w:t>则</w:t>
      </w:r>
      <w:r>
        <w:rPr>
          <w:rFonts w:ascii="Times New Roman" w:hAnsi="Times New Roman"/>
          <w:kern w:val="2"/>
          <w:szCs w:val="21"/>
        </w:rPr>
        <w:t>应根据要求将这些信息提供给使用者；</w:t>
      </w:r>
    </w:p>
    <w:p w14:paraId="49D52681">
      <w:pPr>
        <w:pStyle w:val="32"/>
        <w:numPr>
          <w:ilvl w:val="2"/>
          <w:numId w:val="15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对于非专业人员使用的器械，使用者应咨询医护专业人员。</w:t>
      </w:r>
    </w:p>
    <w:p w14:paraId="78F9BBF5">
      <w:pPr>
        <w:pStyle w:val="32"/>
        <w:numPr>
          <w:ilvl w:val="2"/>
          <w:numId w:val="15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对于根据本法规第1(2)条涵盖的器械，关于缺乏临床收益以及与</w:t>
      </w:r>
      <w:r>
        <w:rPr>
          <w:rFonts w:hint="eastAsia" w:ascii="Times New Roman" w:hAnsi="Times New Roman"/>
          <w:kern w:val="2"/>
          <w:szCs w:val="21"/>
          <w:lang w:val="en-US"/>
        </w:rPr>
        <w:t>器械</w:t>
      </w:r>
      <w:r>
        <w:rPr>
          <w:rFonts w:ascii="Times New Roman" w:hAnsi="Times New Roman"/>
          <w:kern w:val="2"/>
          <w:szCs w:val="21"/>
        </w:rPr>
        <w:t>使用相关的风险信息。</w:t>
      </w:r>
    </w:p>
    <w:p w14:paraId="21D619BD">
      <w:pPr>
        <w:pStyle w:val="32"/>
        <w:numPr>
          <w:ilvl w:val="2"/>
          <w:numId w:val="150"/>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使用说明的发布日期，若已修订，最新版本使用说明的发布日期和标识符。</w:t>
      </w:r>
    </w:p>
    <w:p w14:paraId="7D68E18F">
      <w:pPr>
        <w:pStyle w:val="32"/>
        <w:numPr>
          <w:ilvl w:val="2"/>
          <w:numId w:val="150"/>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向使用者和/或患者发出关于与器械有关的任何严重事件的通知，应报告给使用者和/或患者所在成员国的制造商和主管机构。</w:t>
      </w:r>
    </w:p>
    <w:p w14:paraId="0AFC859B">
      <w:pPr>
        <w:pStyle w:val="32"/>
        <w:numPr>
          <w:ilvl w:val="2"/>
          <w:numId w:val="150"/>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根据第18条向患者提供有关植入器械的信息。</w:t>
      </w:r>
    </w:p>
    <w:p w14:paraId="06BEF4CD">
      <w:pPr>
        <w:pStyle w:val="32"/>
        <w:tabs>
          <w:tab w:val="left" w:pos="1248"/>
        </w:tabs>
        <w:topLinePunct/>
        <w:snapToGrid w:val="0"/>
        <w:spacing w:beforeLines="25" w:line="300" w:lineRule="auto"/>
        <w:ind w:left="1310" w:leftChars="324" w:hanging="630" w:hangingChars="300"/>
        <w:jc w:val="both"/>
        <w:rPr>
          <w:rFonts w:ascii="Times New Roman" w:hAnsi="Times New Roman"/>
          <w:kern w:val="2"/>
          <w:szCs w:val="21"/>
        </w:rPr>
      </w:pPr>
      <w:r>
        <w:rPr>
          <w:rFonts w:hint="eastAsia" w:ascii="Times New Roman" w:hAnsi="Times New Roman"/>
          <w:kern w:val="2"/>
          <w:szCs w:val="21"/>
        </w:rPr>
        <w:t>(ab)</w:t>
      </w:r>
      <w:r>
        <w:rPr>
          <w:rFonts w:hint="eastAsia" w:ascii="Times New Roman" w:hAnsi="Times New Roman"/>
          <w:kern w:val="2"/>
          <w:szCs w:val="21"/>
        </w:rPr>
        <w:tab/>
      </w:r>
      <w:r>
        <w:rPr>
          <w:rFonts w:ascii="Times New Roman" w:hAnsi="Times New Roman"/>
          <w:kern w:val="2"/>
          <w:szCs w:val="21"/>
        </w:rPr>
        <w:t>对于结合可编程电子系统的器械，包括软件或器械本身是软件，有关硬件、IT网络特性和IT安全措施的最低要求（包括防止未经授权的访问）对于运行软件</w:t>
      </w:r>
      <w:r>
        <w:rPr>
          <w:rFonts w:hint="eastAsia" w:ascii="Times New Roman" w:hAnsi="Times New Roman"/>
          <w:kern w:val="2"/>
          <w:szCs w:val="21"/>
        </w:rPr>
        <w:t>来说</w:t>
      </w:r>
      <w:r>
        <w:rPr>
          <w:rFonts w:ascii="Times New Roman" w:hAnsi="Times New Roman"/>
          <w:kern w:val="2"/>
          <w:szCs w:val="21"/>
        </w:rPr>
        <w:t>所必要的。</w:t>
      </w:r>
    </w:p>
    <w:p w14:paraId="3423BE17">
      <w:pPr>
        <w:snapToGrid w:val="0"/>
        <w:spacing w:beforeLines="25" w:line="300" w:lineRule="auto"/>
        <w:jc w:val="center"/>
        <w:rPr>
          <w:rFonts w:ascii="Times New Roman" w:hAnsi="Times New Roman"/>
          <w:szCs w:val="21"/>
        </w:rPr>
      </w:pPr>
      <w:r>
        <w:rPr>
          <w:rFonts w:hint="eastAsia" w:ascii="Times New Roman" w:hAnsi="Times New Roman"/>
          <w:szCs w:val="21"/>
        </w:rPr>
        <w:t>_________________</w:t>
      </w:r>
    </w:p>
    <w:p w14:paraId="02502E4D">
      <w:pPr>
        <w:pStyle w:val="2"/>
        <w:spacing w:beforeLines="25" w:line="300" w:lineRule="auto"/>
        <w:rPr>
          <w:bCs/>
          <w:sz w:val="24"/>
          <w:szCs w:val="24"/>
        </w:rPr>
      </w:pPr>
      <w:bookmarkStart w:id="154" w:name="_Toc477512413"/>
      <w:r>
        <w:rPr>
          <w:sz w:val="21"/>
          <w:szCs w:val="21"/>
        </w:rPr>
        <w:br w:type="page"/>
      </w:r>
      <w:r>
        <w:rPr>
          <w:sz w:val="24"/>
          <w:szCs w:val="24"/>
        </w:rPr>
        <w:t>附录II</w:t>
      </w:r>
      <w:r>
        <w:rPr>
          <w:sz w:val="24"/>
          <w:szCs w:val="24"/>
        </w:rPr>
        <w:br w:type="textWrapping"/>
      </w:r>
      <w:r>
        <w:rPr>
          <w:sz w:val="24"/>
          <w:szCs w:val="24"/>
        </w:rPr>
        <w:t>技术文件</w:t>
      </w:r>
      <w:bookmarkEnd w:id="154"/>
    </w:p>
    <w:p w14:paraId="557CF75A">
      <w:pPr>
        <w:pStyle w:val="8"/>
        <w:topLinePunct/>
        <w:snapToGrid w:val="0"/>
        <w:spacing w:beforeLines="25" w:line="300" w:lineRule="auto"/>
        <w:ind w:left="114" w:firstLine="0"/>
        <w:jc w:val="both"/>
        <w:rPr>
          <w:kern w:val="2"/>
          <w:szCs w:val="21"/>
        </w:rPr>
      </w:pPr>
      <w:r>
        <w:rPr>
          <w:kern w:val="2"/>
          <w:szCs w:val="21"/>
        </w:rPr>
        <w:t>如适用，制造商应以清晰、有组织、易于检索和表达明确的方式提出其</w:t>
      </w:r>
      <w:r>
        <w:rPr>
          <w:rFonts w:hint="eastAsia"/>
          <w:kern w:val="2"/>
          <w:szCs w:val="21"/>
        </w:rPr>
        <w:t>编制</w:t>
      </w:r>
      <w:r>
        <w:rPr>
          <w:kern w:val="2"/>
          <w:szCs w:val="21"/>
        </w:rPr>
        <w:t>的技术文件及其总结，并应特别包括本附录中所述的以下要素：</w:t>
      </w:r>
    </w:p>
    <w:p w14:paraId="189DCC8C">
      <w:pPr>
        <w:pStyle w:val="4"/>
        <w:numPr>
          <w:ilvl w:val="0"/>
          <w:numId w:val="151"/>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器械</w:t>
      </w:r>
      <w:r>
        <w:rPr>
          <w:rFonts w:ascii="Times New Roman" w:hAnsi="Times New Roman"/>
          <w:kern w:val="2"/>
          <w:sz w:val="21"/>
          <w:szCs w:val="21"/>
          <w:lang w:val="en-US"/>
        </w:rPr>
        <w:t>说明与</w:t>
      </w:r>
      <w:r>
        <w:rPr>
          <w:rFonts w:hint="eastAsia" w:ascii="Times New Roman" w:hAnsi="Times New Roman"/>
          <w:kern w:val="2"/>
          <w:sz w:val="21"/>
          <w:szCs w:val="21"/>
          <w:lang w:val="en-US"/>
        </w:rPr>
        <w:t>性能指标</w:t>
      </w:r>
      <w:r>
        <w:rPr>
          <w:rFonts w:ascii="Times New Roman" w:hAnsi="Times New Roman"/>
          <w:kern w:val="2"/>
          <w:sz w:val="21"/>
          <w:szCs w:val="21"/>
        </w:rPr>
        <w:t>，包括</w:t>
      </w:r>
      <w:r>
        <w:rPr>
          <w:rFonts w:hint="eastAsia" w:ascii="Times New Roman" w:hAnsi="Times New Roman"/>
          <w:kern w:val="2"/>
          <w:sz w:val="21"/>
          <w:szCs w:val="21"/>
        </w:rPr>
        <w:t>变型</w:t>
      </w:r>
      <w:r>
        <w:rPr>
          <w:rFonts w:ascii="Times New Roman" w:hAnsi="Times New Roman"/>
          <w:kern w:val="2"/>
          <w:sz w:val="21"/>
          <w:szCs w:val="21"/>
        </w:rPr>
        <w:t>和附件</w:t>
      </w:r>
    </w:p>
    <w:p w14:paraId="62D56306">
      <w:pPr>
        <w:pStyle w:val="32"/>
        <w:numPr>
          <w:ilvl w:val="1"/>
          <w:numId w:val="151"/>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b/>
          <w:kern w:val="2"/>
          <w:szCs w:val="21"/>
        </w:rPr>
        <w:t>器械</w:t>
      </w:r>
      <w:r>
        <w:rPr>
          <w:rFonts w:hint="eastAsia" w:ascii="Times New Roman" w:hAnsi="Times New Roman"/>
          <w:b/>
          <w:kern w:val="2"/>
          <w:szCs w:val="21"/>
        </w:rPr>
        <w:t>说明与性能指标</w:t>
      </w:r>
    </w:p>
    <w:p w14:paraId="1AE5AB50">
      <w:pPr>
        <w:pStyle w:val="32"/>
        <w:numPr>
          <w:ilvl w:val="2"/>
          <w:numId w:val="15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产品或商品名和器械的一般</w:t>
      </w:r>
      <w:r>
        <w:rPr>
          <w:rFonts w:ascii="Times New Roman" w:hAnsi="Times New Roman"/>
          <w:kern w:val="2"/>
          <w:szCs w:val="21"/>
          <w:lang w:val="en-US"/>
        </w:rPr>
        <w:t>说明</w:t>
      </w:r>
      <w:r>
        <w:rPr>
          <w:rFonts w:ascii="Times New Roman" w:hAnsi="Times New Roman"/>
          <w:kern w:val="2"/>
          <w:szCs w:val="21"/>
        </w:rPr>
        <w:t>，包括其预期目的和预期使用者；</w:t>
      </w:r>
    </w:p>
    <w:p w14:paraId="18C4CC23">
      <w:pPr>
        <w:pStyle w:val="32"/>
        <w:numPr>
          <w:ilvl w:val="2"/>
          <w:numId w:val="15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在附录VI第C部分中所述的制造商对所讨论器械归结的基本UDI-DI，只要该器械的标识应基于UDI系统，或依靠产品代码、目录编号或其他可追溯的明确参考号来明确标识；</w:t>
      </w:r>
    </w:p>
    <w:p w14:paraId="689A78F4">
      <w:pPr>
        <w:pStyle w:val="32"/>
        <w:numPr>
          <w:ilvl w:val="2"/>
          <w:numId w:val="15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待诊断、治疗和/或监测的预期患者群体和医学病症以及其他考虑因素，例如患者选择标准、适应症、禁忌症、警戒；</w:t>
      </w:r>
    </w:p>
    <w:p w14:paraId="2C45C5D7">
      <w:pPr>
        <w:pStyle w:val="32"/>
        <w:numPr>
          <w:ilvl w:val="2"/>
          <w:numId w:val="15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器械操作原理及其进行科学证明的操作模式（如有必要）；</w:t>
      </w:r>
    </w:p>
    <w:p w14:paraId="1CC14787">
      <w:pPr>
        <w:pStyle w:val="8"/>
        <w:topLinePunct/>
        <w:snapToGrid w:val="0"/>
        <w:spacing w:beforeLines="25" w:line="300" w:lineRule="auto"/>
        <w:ind w:left="210" w:leftChars="100" w:firstLine="420" w:firstLineChars="200"/>
        <w:jc w:val="both"/>
        <w:rPr>
          <w:kern w:val="2"/>
          <w:szCs w:val="21"/>
        </w:rPr>
      </w:pPr>
      <w:r>
        <w:rPr>
          <w:rFonts w:hint="eastAsia"/>
          <w:kern w:val="2"/>
          <w:szCs w:val="21"/>
        </w:rPr>
        <w:t>(</w:t>
      </w:r>
      <w:r>
        <w:rPr>
          <w:kern w:val="2"/>
          <w:szCs w:val="21"/>
        </w:rPr>
        <w:t>e</w:t>
      </w:r>
      <w:r>
        <w:rPr>
          <w:rFonts w:hint="eastAsia"/>
          <w:kern w:val="2"/>
          <w:szCs w:val="21"/>
        </w:rPr>
        <w:t>)</w:t>
      </w:r>
      <w:r>
        <w:rPr>
          <w:kern w:val="2"/>
          <w:szCs w:val="21"/>
        </w:rPr>
        <w:tab/>
      </w:r>
      <w:r>
        <w:rPr>
          <w:kern w:val="2"/>
          <w:szCs w:val="21"/>
        </w:rPr>
        <w:t>器械产品的资格理由；</w:t>
      </w:r>
    </w:p>
    <w:p w14:paraId="2CF34682">
      <w:pPr>
        <w:pStyle w:val="32"/>
        <w:numPr>
          <w:ilvl w:val="2"/>
          <w:numId w:val="15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器械的风险等级和按照附录VIII应用的分类规则的理由；</w:t>
      </w:r>
    </w:p>
    <w:p w14:paraId="3BB7B49F">
      <w:pPr>
        <w:pStyle w:val="32"/>
        <w:numPr>
          <w:ilvl w:val="2"/>
          <w:numId w:val="15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任何新颖特征的说明；</w:t>
      </w:r>
    </w:p>
    <w:p w14:paraId="266BE884">
      <w:pPr>
        <w:pStyle w:val="32"/>
        <w:numPr>
          <w:ilvl w:val="2"/>
          <w:numId w:val="152"/>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器械附件、其他器械和非器械的其他与之配合使用产品的</w:t>
      </w:r>
      <w:r>
        <w:rPr>
          <w:rFonts w:ascii="Times New Roman" w:hAnsi="Times New Roman"/>
          <w:kern w:val="2"/>
          <w:szCs w:val="21"/>
          <w:lang w:val="en-US"/>
        </w:rPr>
        <w:t>说明</w:t>
      </w:r>
      <w:r>
        <w:rPr>
          <w:rFonts w:ascii="Times New Roman" w:hAnsi="Times New Roman"/>
          <w:kern w:val="2"/>
          <w:szCs w:val="21"/>
        </w:rPr>
        <w:t>；</w:t>
      </w:r>
    </w:p>
    <w:p w14:paraId="6F85BB0A">
      <w:pPr>
        <w:pStyle w:val="32"/>
        <w:numPr>
          <w:ilvl w:val="2"/>
          <w:numId w:val="152"/>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拟市售的各种器械配置/变异型的说明或完整列表；</w:t>
      </w:r>
    </w:p>
    <w:p w14:paraId="0AE7C67B">
      <w:pPr>
        <w:pStyle w:val="32"/>
        <w:numPr>
          <w:ilvl w:val="2"/>
          <w:numId w:val="152"/>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关键功能元件的一般说明，例如其部件/组件（包括软件，如适用），其形成、组成、功能以及相关的定性和定量组成。在适当情况下，应包括带标记的图形表示（例如图表、照片和图纸），清楚指示关键部件/组件，包括充分说明理解图纸和图表；</w:t>
      </w:r>
    </w:p>
    <w:p w14:paraId="5209E87D">
      <w:pPr>
        <w:pStyle w:val="32"/>
        <w:numPr>
          <w:ilvl w:val="2"/>
          <w:numId w:val="152"/>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结合到关键功能元件中的（原）材料说明以及与人体直接或间接接触的材料说明，例如在体液的体外循环期间；</w:t>
      </w:r>
    </w:p>
    <w:p w14:paraId="6B500A73">
      <w:pPr>
        <w:pStyle w:val="32"/>
        <w:numPr>
          <w:ilvl w:val="2"/>
          <w:numId w:val="152"/>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器械技术规范（特征、尺寸和性能属性）以及通常出现在使用者可用产品规范中（例如在小册子、目录和类似出版物）的任何变量/配置和附录。</w:t>
      </w:r>
    </w:p>
    <w:p w14:paraId="3256EF10">
      <w:pPr>
        <w:pStyle w:val="4"/>
        <w:numPr>
          <w:ilvl w:val="1"/>
          <w:numId w:val="152"/>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hint="eastAsia" w:ascii="Times New Roman" w:hAnsi="Times New Roman"/>
          <w:kern w:val="2"/>
          <w:sz w:val="21"/>
          <w:szCs w:val="21"/>
        </w:rPr>
        <w:t>对</w:t>
      </w:r>
      <w:r>
        <w:rPr>
          <w:rFonts w:ascii="Times New Roman" w:hAnsi="Times New Roman"/>
          <w:kern w:val="2"/>
          <w:sz w:val="21"/>
          <w:szCs w:val="21"/>
        </w:rPr>
        <w:t>前一代和类似器械的</w:t>
      </w:r>
      <w:r>
        <w:rPr>
          <w:rFonts w:hint="eastAsia" w:ascii="Times New Roman" w:hAnsi="Times New Roman"/>
          <w:kern w:val="2"/>
          <w:sz w:val="21"/>
          <w:szCs w:val="21"/>
        </w:rPr>
        <w:t>引用</w:t>
      </w:r>
    </w:p>
    <w:p w14:paraId="5FF3CCC8">
      <w:pPr>
        <w:pStyle w:val="32"/>
        <w:numPr>
          <w:ilvl w:val="2"/>
          <w:numId w:val="153"/>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制造商生产的前一代器械的概述，如有；</w:t>
      </w:r>
    </w:p>
    <w:p w14:paraId="2CD53E70">
      <w:pPr>
        <w:pStyle w:val="32"/>
        <w:numPr>
          <w:ilvl w:val="2"/>
          <w:numId w:val="153"/>
        </w:numPr>
        <w:tabs>
          <w:tab w:val="left" w:pos="1248"/>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在欧盟或国际市场上发现的类似器械的概述，如有。</w:t>
      </w:r>
    </w:p>
    <w:p w14:paraId="268355D0">
      <w:pPr>
        <w:pStyle w:val="4"/>
        <w:numPr>
          <w:ilvl w:val="0"/>
          <w:numId w:val="153"/>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制造商提供的信息</w:t>
      </w:r>
    </w:p>
    <w:p w14:paraId="33423C0A">
      <w:pPr>
        <w:pStyle w:val="32"/>
        <w:tabs>
          <w:tab w:val="left" w:pos="1248"/>
        </w:tabs>
        <w:topLinePunct/>
        <w:snapToGrid w:val="0"/>
        <w:spacing w:beforeLines="25" w:line="300" w:lineRule="auto"/>
        <w:ind w:left="-2" w:leftChars="-1" w:firstLine="718" w:firstLineChars="342"/>
        <w:jc w:val="both"/>
        <w:rPr>
          <w:rFonts w:ascii="Times New Roman" w:hAnsi="Times New Roman"/>
          <w:kern w:val="2"/>
          <w:szCs w:val="21"/>
        </w:rPr>
      </w:pPr>
      <w:r>
        <w:rPr>
          <w:rFonts w:ascii="Times New Roman" w:hAnsi="Times New Roman"/>
          <w:kern w:val="2"/>
          <w:szCs w:val="21"/>
        </w:rPr>
        <w:t>一整套</w:t>
      </w:r>
    </w:p>
    <w:p w14:paraId="6013F34D">
      <w:pPr>
        <w:pStyle w:val="32"/>
        <w:numPr>
          <w:ilvl w:val="1"/>
          <w:numId w:val="154"/>
        </w:numPr>
        <w:tabs>
          <w:tab w:val="left" w:pos="1260"/>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器械及其包装（在特定管理条件下的单机包装、销售包装、运输包装）上的标签（使用器械预期销售所在成员国可接受的语言）；</w:t>
      </w:r>
    </w:p>
    <w:p w14:paraId="6271D3F1">
      <w:pPr>
        <w:pStyle w:val="32"/>
        <w:numPr>
          <w:ilvl w:val="1"/>
          <w:numId w:val="154"/>
        </w:numPr>
        <w:tabs>
          <w:tab w:val="left" w:pos="1260"/>
        </w:tabs>
        <w:topLinePunct/>
        <w:snapToGrid w:val="0"/>
        <w:spacing w:beforeLines="40" w:line="300" w:lineRule="auto"/>
        <w:ind w:left="1260" w:hanging="540"/>
        <w:jc w:val="both"/>
        <w:rPr>
          <w:rFonts w:ascii="Times New Roman" w:hAnsi="Times New Roman"/>
          <w:kern w:val="2"/>
          <w:szCs w:val="21"/>
        </w:rPr>
      </w:pPr>
      <w:r>
        <w:rPr>
          <w:rFonts w:ascii="Times New Roman" w:hAnsi="Times New Roman"/>
          <w:kern w:val="2"/>
          <w:szCs w:val="21"/>
        </w:rPr>
        <w:br w:type="page"/>
      </w:r>
      <w:r>
        <w:rPr>
          <w:rFonts w:ascii="Times New Roman" w:hAnsi="Times New Roman"/>
          <w:kern w:val="2"/>
          <w:szCs w:val="21"/>
        </w:rPr>
        <w:t>使用说明（使用器械预期销售所在成员国可接受的语言）；</w:t>
      </w:r>
    </w:p>
    <w:p w14:paraId="417B14DC">
      <w:pPr>
        <w:pStyle w:val="4"/>
        <w:numPr>
          <w:ilvl w:val="0"/>
          <w:numId w:val="153"/>
        </w:numPr>
        <w:tabs>
          <w:tab w:val="left" w:pos="682"/>
        </w:tabs>
        <w:topLinePunct/>
        <w:snapToGrid w:val="0"/>
        <w:spacing w:beforeLines="40"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设计与制造信息</w:t>
      </w:r>
    </w:p>
    <w:p w14:paraId="0368B94B">
      <w:pPr>
        <w:pStyle w:val="32"/>
        <w:numPr>
          <w:ilvl w:val="0"/>
          <w:numId w:val="155"/>
        </w:numPr>
        <w:tabs>
          <w:tab w:val="left" w:pos="1248"/>
        </w:tabs>
        <w:topLinePunct/>
        <w:snapToGrid w:val="0"/>
        <w:spacing w:beforeLines="40" w:line="300" w:lineRule="auto"/>
        <w:ind w:firstLine="0"/>
        <w:jc w:val="both"/>
        <w:rPr>
          <w:rFonts w:ascii="Times New Roman" w:hAnsi="Times New Roman"/>
          <w:kern w:val="2"/>
          <w:szCs w:val="21"/>
        </w:rPr>
      </w:pPr>
      <w:r>
        <w:rPr>
          <w:rFonts w:ascii="Times New Roman" w:hAnsi="Times New Roman"/>
          <w:kern w:val="2"/>
          <w:szCs w:val="21"/>
        </w:rPr>
        <w:t>用于理解器械设计阶段的信息；</w:t>
      </w:r>
    </w:p>
    <w:p w14:paraId="65A3713F">
      <w:pPr>
        <w:pStyle w:val="32"/>
        <w:tabs>
          <w:tab w:val="left" w:pos="1248"/>
        </w:tabs>
        <w:topLinePunct/>
        <w:snapToGrid w:val="0"/>
        <w:spacing w:beforeLines="40" w:line="300" w:lineRule="auto"/>
        <w:ind w:left="1310" w:leftChars="324" w:hanging="630" w:hangingChars="300"/>
        <w:jc w:val="both"/>
        <w:rPr>
          <w:rFonts w:ascii="Times New Roman" w:hAnsi="Times New Roman"/>
          <w:kern w:val="2"/>
          <w:szCs w:val="21"/>
        </w:rPr>
      </w:pPr>
      <w:r>
        <w:rPr>
          <w:rFonts w:ascii="Times New Roman" w:hAnsi="Times New Roman"/>
          <w:kern w:val="2"/>
          <w:szCs w:val="21"/>
        </w:rPr>
        <w:t>(b)</w:t>
      </w:r>
      <w:r>
        <w:rPr>
          <w:rFonts w:ascii="Times New Roman" w:hAnsi="Times New Roman"/>
          <w:kern w:val="2"/>
          <w:szCs w:val="21"/>
        </w:rPr>
        <w:tab/>
      </w:r>
      <w:r>
        <w:rPr>
          <w:rFonts w:ascii="Times New Roman" w:hAnsi="Times New Roman"/>
          <w:kern w:val="2"/>
          <w:szCs w:val="21"/>
        </w:rPr>
        <w:t>完整信息和规范，包括制造过程及其验证、其佐药、连续监测和最终产品测试。应在技术文件中加入完整数据；</w:t>
      </w:r>
    </w:p>
    <w:p w14:paraId="7555B94D">
      <w:pPr>
        <w:pStyle w:val="32"/>
        <w:tabs>
          <w:tab w:val="left" w:pos="1248"/>
        </w:tabs>
        <w:topLinePunct/>
        <w:snapToGrid w:val="0"/>
        <w:spacing w:beforeLines="40" w:line="300" w:lineRule="auto"/>
        <w:ind w:left="114" w:firstLine="630" w:firstLineChars="300"/>
        <w:jc w:val="both"/>
        <w:rPr>
          <w:rFonts w:ascii="Times New Roman" w:hAnsi="Times New Roman"/>
          <w:kern w:val="2"/>
          <w:szCs w:val="21"/>
        </w:rPr>
      </w:pPr>
      <w:r>
        <w:rPr>
          <w:rFonts w:ascii="Times New Roman" w:hAnsi="Times New Roman"/>
          <w:kern w:val="2"/>
          <w:szCs w:val="21"/>
        </w:rPr>
        <w:t>(c)</w:t>
      </w:r>
      <w:r>
        <w:rPr>
          <w:rFonts w:ascii="Times New Roman" w:hAnsi="Times New Roman"/>
          <w:kern w:val="2"/>
          <w:szCs w:val="21"/>
        </w:rPr>
        <w:tab/>
      </w:r>
      <w:r>
        <w:rPr>
          <w:rFonts w:ascii="Times New Roman" w:hAnsi="Times New Roman"/>
          <w:kern w:val="2"/>
          <w:szCs w:val="21"/>
        </w:rPr>
        <w:t>确定进行设计和制造活动的所有场地，包括供应商和分包商。</w:t>
      </w:r>
    </w:p>
    <w:p w14:paraId="38062155">
      <w:pPr>
        <w:pStyle w:val="4"/>
        <w:numPr>
          <w:ilvl w:val="0"/>
          <w:numId w:val="153"/>
        </w:numPr>
        <w:tabs>
          <w:tab w:val="left" w:pos="682"/>
        </w:tabs>
        <w:topLinePunct/>
        <w:snapToGrid w:val="0"/>
        <w:spacing w:beforeLines="40"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通用安全与性能要求</w:t>
      </w:r>
    </w:p>
    <w:p w14:paraId="55C96D43">
      <w:pPr>
        <w:pStyle w:val="8"/>
        <w:topLinePunct/>
        <w:snapToGrid w:val="0"/>
        <w:spacing w:beforeLines="40" w:line="300" w:lineRule="auto"/>
        <w:ind w:firstLine="0"/>
        <w:jc w:val="both"/>
        <w:rPr>
          <w:kern w:val="2"/>
          <w:szCs w:val="21"/>
        </w:rPr>
      </w:pPr>
      <w:r>
        <w:rPr>
          <w:kern w:val="2"/>
          <w:szCs w:val="21"/>
        </w:rPr>
        <w:t>文件应包含其符合附录I提供的通用安全与性能要求的证明信息，这些均适用于器械并考虑到其预期目的，并包括符合那些要求而采用这些解决方案的理由、确认和验证。该合格证明应包括：</w:t>
      </w:r>
    </w:p>
    <w:p w14:paraId="7142B8C9">
      <w:pPr>
        <w:pStyle w:val="32"/>
        <w:numPr>
          <w:ilvl w:val="0"/>
          <w:numId w:val="156"/>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适用于器械的通用安全与性能要求和其他不适用的理由；</w:t>
      </w:r>
    </w:p>
    <w:p w14:paraId="123E2B54">
      <w:pPr>
        <w:pStyle w:val="32"/>
        <w:numPr>
          <w:ilvl w:val="0"/>
          <w:numId w:val="156"/>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证明其符合通用安全与性能要求的方法；</w:t>
      </w:r>
    </w:p>
    <w:p w14:paraId="5D433AC0">
      <w:pPr>
        <w:pStyle w:val="32"/>
        <w:numPr>
          <w:ilvl w:val="0"/>
          <w:numId w:val="156"/>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协调标准、CS或采用的其他解决方案；</w:t>
      </w:r>
    </w:p>
    <w:p w14:paraId="4F616205">
      <w:pPr>
        <w:pStyle w:val="32"/>
        <w:numPr>
          <w:ilvl w:val="0"/>
          <w:numId w:val="156"/>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受控文件的准确识别。该文件提供其符合各个协调标准、CS的证据或其他证明其符合通用安全与性能要求的方法。本点所述信息应包含在完整的技术文件中此类证据的位置的前后参照和综述技术文件（如适用）。</w:t>
      </w:r>
    </w:p>
    <w:p w14:paraId="704B5B57">
      <w:pPr>
        <w:pStyle w:val="4"/>
        <w:numPr>
          <w:ilvl w:val="0"/>
          <w:numId w:val="153"/>
        </w:numPr>
        <w:tabs>
          <w:tab w:val="left" w:pos="682"/>
        </w:tabs>
        <w:topLinePunct/>
        <w:snapToGrid w:val="0"/>
        <w:spacing w:beforeLines="40"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风险利益分析和风险管理</w:t>
      </w:r>
    </w:p>
    <w:p w14:paraId="5249D25F">
      <w:pPr>
        <w:pStyle w:val="8"/>
        <w:topLinePunct/>
        <w:snapToGrid w:val="0"/>
        <w:spacing w:beforeLines="40" w:line="300" w:lineRule="auto"/>
        <w:ind w:firstLine="0"/>
        <w:jc w:val="both"/>
        <w:rPr>
          <w:kern w:val="2"/>
          <w:szCs w:val="21"/>
        </w:rPr>
      </w:pPr>
      <w:r>
        <w:rPr>
          <w:kern w:val="2"/>
          <w:szCs w:val="21"/>
        </w:rPr>
        <w:t>文件应包含以下信息：</w:t>
      </w:r>
    </w:p>
    <w:p w14:paraId="2513E649">
      <w:pPr>
        <w:pStyle w:val="32"/>
        <w:numPr>
          <w:ilvl w:val="0"/>
          <w:numId w:val="157"/>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在附录I的第1和8节中所述的风险利益分析，</w:t>
      </w:r>
    </w:p>
    <w:p w14:paraId="63E2662A">
      <w:pPr>
        <w:pStyle w:val="32"/>
        <w:numPr>
          <w:ilvl w:val="0"/>
          <w:numId w:val="157"/>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所采用的解决方案和在附录I的第3节中所述的风险管理结果。</w:t>
      </w:r>
    </w:p>
    <w:p w14:paraId="71303162">
      <w:pPr>
        <w:pStyle w:val="4"/>
        <w:numPr>
          <w:ilvl w:val="0"/>
          <w:numId w:val="153"/>
        </w:numPr>
        <w:tabs>
          <w:tab w:val="left" w:pos="682"/>
        </w:tabs>
        <w:topLinePunct/>
        <w:snapToGrid w:val="0"/>
        <w:spacing w:beforeLines="40"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产品验证与确认</w:t>
      </w:r>
    </w:p>
    <w:p w14:paraId="29638762">
      <w:pPr>
        <w:pStyle w:val="8"/>
        <w:topLinePunct/>
        <w:snapToGrid w:val="0"/>
        <w:spacing w:beforeLines="40" w:line="300" w:lineRule="auto"/>
        <w:ind w:firstLine="0"/>
        <w:jc w:val="both"/>
        <w:rPr>
          <w:kern w:val="2"/>
          <w:szCs w:val="21"/>
        </w:rPr>
      </w:pPr>
      <w:r>
        <w:rPr>
          <w:kern w:val="2"/>
          <w:szCs w:val="21"/>
        </w:rPr>
        <w:t>文件应包含所进行的所有验证与确认测试和/或研究的结果和关键分析，以证明器械符合本法规的要求，特别是证明其符合适用的通用安全与性能要求。</w:t>
      </w:r>
    </w:p>
    <w:p w14:paraId="7A9363EA">
      <w:pPr>
        <w:pStyle w:val="4"/>
        <w:numPr>
          <w:ilvl w:val="1"/>
          <w:numId w:val="158"/>
        </w:numPr>
        <w:tabs>
          <w:tab w:val="left" w:pos="682"/>
        </w:tabs>
        <w:topLinePunct/>
        <w:snapToGrid w:val="0"/>
        <w:spacing w:beforeLines="40" w:line="300" w:lineRule="auto"/>
        <w:jc w:val="both"/>
        <w:rPr>
          <w:rFonts w:ascii="Times New Roman" w:hAnsi="Times New Roman"/>
          <w:b w:val="0"/>
          <w:bCs w:val="0"/>
          <w:kern w:val="2"/>
          <w:sz w:val="21"/>
          <w:szCs w:val="21"/>
        </w:rPr>
      </w:pPr>
      <w:r>
        <w:rPr>
          <w:rFonts w:ascii="Times New Roman" w:hAnsi="Times New Roman"/>
          <w:kern w:val="2"/>
          <w:sz w:val="21"/>
          <w:szCs w:val="21"/>
        </w:rPr>
        <w:t>临床前和临床数据</w:t>
      </w:r>
    </w:p>
    <w:p w14:paraId="795E2A2B">
      <w:pPr>
        <w:pStyle w:val="32"/>
        <w:numPr>
          <w:ilvl w:val="2"/>
          <w:numId w:val="158"/>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试验结果，如工程、实验室、模拟使用和动物试验，和适用于器械的公开文献评估，并考虑其预期目的或与器械临床前安全性及其与规范一致性基本相似的器械；</w:t>
      </w:r>
    </w:p>
    <w:p w14:paraId="5A78FF94">
      <w:pPr>
        <w:pStyle w:val="32"/>
        <w:numPr>
          <w:ilvl w:val="2"/>
          <w:numId w:val="158"/>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关于测试设计、完整测试或研究协议、数据分析方法的详细信息，数据摘要和测试结论除外，尤其与以下相关内容：</w:t>
      </w:r>
    </w:p>
    <w:p w14:paraId="08E4635A">
      <w:pPr>
        <w:pStyle w:val="32"/>
        <w:numPr>
          <w:ilvl w:val="3"/>
          <w:numId w:val="158"/>
        </w:numPr>
        <w:tabs>
          <w:tab w:val="left" w:pos="1816"/>
        </w:tabs>
        <w:topLinePunct/>
        <w:snapToGrid w:val="0"/>
        <w:spacing w:beforeLines="40" w:line="300" w:lineRule="auto"/>
        <w:ind w:hanging="567"/>
        <w:jc w:val="both"/>
        <w:rPr>
          <w:rFonts w:ascii="Times New Roman" w:hAnsi="Times New Roman"/>
          <w:kern w:val="2"/>
          <w:szCs w:val="21"/>
        </w:rPr>
      </w:pPr>
      <w:r>
        <w:rPr>
          <w:rFonts w:ascii="Times New Roman" w:hAnsi="Times New Roman"/>
          <w:kern w:val="2"/>
          <w:szCs w:val="21"/>
        </w:rPr>
        <w:t>器械生物相容性，包括与患者或使用者直接或间接接触的所有材料识别；</w:t>
      </w:r>
    </w:p>
    <w:p w14:paraId="700152B3">
      <w:pPr>
        <w:pStyle w:val="32"/>
        <w:numPr>
          <w:ilvl w:val="3"/>
          <w:numId w:val="158"/>
        </w:numPr>
        <w:tabs>
          <w:tab w:val="left" w:pos="1816"/>
        </w:tabs>
        <w:topLinePunct/>
        <w:snapToGrid w:val="0"/>
        <w:spacing w:beforeLines="40" w:line="300" w:lineRule="auto"/>
        <w:ind w:hanging="567"/>
        <w:jc w:val="both"/>
        <w:rPr>
          <w:rFonts w:ascii="Times New Roman" w:hAnsi="Times New Roman"/>
          <w:kern w:val="2"/>
          <w:szCs w:val="21"/>
        </w:rPr>
      </w:pPr>
      <w:r>
        <w:rPr>
          <w:rFonts w:ascii="Times New Roman" w:hAnsi="Times New Roman"/>
          <w:kern w:val="2"/>
          <w:szCs w:val="21"/>
        </w:rPr>
        <w:t>物理、化学和微生物表征；</w:t>
      </w:r>
    </w:p>
    <w:p w14:paraId="77FFA903">
      <w:pPr>
        <w:pStyle w:val="32"/>
        <w:numPr>
          <w:ilvl w:val="3"/>
          <w:numId w:val="158"/>
        </w:numPr>
        <w:tabs>
          <w:tab w:val="left" w:pos="1816"/>
        </w:tabs>
        <w:topLinePunct/>
        <w:snapToGrid w:val="0"/>
        <w:spacing w:beforeLines="40" w:line="300" w:lineRule="auto"/>
        <w:ind w:hanging="567"/>
        <w:jc w:val="both"/>
        <w:rPr>
          <w:rFonts w:ascii="Times New Roman" w:hAnsi="Times New Roman"/>
          <w:kern w:val="2"/>
          <w:szCs w:val="21"/>
        </w:rPr>
      </w:pPr>
      <w:r>
        <w:rPr>
          <w:rFonts w:ascii="Times New Roman" w:hAnsi="Times New Roman"/>
          <w:kern w:val="2"/>
          <w:szCs w:val="21"/>
        </w:rPr>
        <w:t>电气安全和电磁兼容性；</w:t>
      </w:r>
    </w:p>
    <w:p w14:paraId="008BF146">
      <w:pPr>
        <w:pStyle w:val="32"/>
        <w:numPr>
          <w:ilvl w:val="3"/>
          <w:numId w:val="158"/>
        </w:numPr>
        <w:tabs>
          <w:tab w:val="left" w:pos="1816"/>
        </w:tabs>
        <w:topLinePunct/>
        <w:snapToGrid w:val="0"/>
        <w:spacing w:beforeLines="20" w:line="293" w:lineRule="auto"/>
        <w:ind w:hanging="567"/>
        <w:jc w:val="both"/>
        <w:rPr>
          <w:rFonts w:ascii="Times New Roman" w:hAnsi="Times New Roman"/>
          <w:kern w:val="2"/>
          <w:szCs w:val="21"/>
        </w:rPr>
      </w:pPr>
      <w:r>
        <w:rPr>
          <w:rFonts w:ascii="Times New Roman" w:hAnsi="Times New Roman"/>
          <w:kern w:val="2"/>
          <w:szCs w:val="21"/>
        </w:rPr>
        <w:t>软件验证和确认（说明软件设计和开发过程以及在成品器械中所用的软件验证证明）。此信息通常包括在最终发布前在内部以及在模拟或实际使用者环境中执行的所有确认、验证和测试的总结结果。其还应涉及所有不同的硬件配置，并在适用情况下，由制造商提供信息中所确定的操作系统）；</w:t>
      </w:r>
    </w:p>
    <w:p w14:paraId="15221A3F">
      <w:pPr>
        <w:pStyle w:val="32"/>
        <w:numPr>
          <w:ilvl w:val="3"/>
          <w:numId w:val="158"/>
        </w:numPr>
        <w:tabs>
          <w:tab w:val="left" w:pos="1816"/>
        </w:tabs>
        <w:topLinePunct/>
        <w:snapToGrid w:val="0"/>
        <w:spacing w:beforeLines="20" w:line="293" w:lineRule="auto"/>
        <w:ind w:hanging="567"/>
        <w:jc w:val="both"/>
        <w:rPr>
          <w:rFonts w:ascii="Times New Roman" w:hAnsi="Times New Roman"/>
          <w:kern w:val="2"/>
          <w:szCs w:val="21"/>
        </w:rPr>
      </w:pPr>
      <w:r>
        <w:rPr>
          <w:rFonts w:ascii="Times New Roman" w:hAnsi="Times New Roman"/>
          <w:kern w:val="2"/>
          <w:szCs w:val="21"/>
        </w:rPr>
        <w:t>稳定性，包括产品有效期；</w:t>
      </w:r>
    </w:p>
    <w:p w14:paraId="6A3C83B3">
      <w:pPr>
        <w:pStyle w:val="32"/>
        <w:numPr>
          <w:ilvl w:val="3"/>
          <w:numId w:val="158"/>
        </w:numPr>
        <w:tabs>
          <w:tab w:val="left" w:pos="1816"/>
        </w:tabs>
        <w:topLinePunct/>
        <w:snapToGrid w:val="0"/>
        <w:spacing w:beforeLines="20" w:line="293" w:lineRule="auto"/>
        <w:ind w:hanging="567"/>
        <w:jc w:val="both"/>
        <w:rPr>
          <w:rFonts w:ascii="Times New Roman" w:hAnsi="Times New Roman"/>
          <w:kern w:val="2"/>
          <w:szCs w:val="21"/>
        </w:rPr>
      </w:pPr>
      <w:r>
        <w:rPr>
          <w:rFonts w:ascii="Times New Roman" w:hAnsi="Times New Roman"/>
          <w:kern w:val="2"/>
          <w:szCs w:val="21"/>
        </w:rPr>
        <w:t>性能和安全性。</w:t>
      </w:r>
    </w:p>
    <w:p w14:paraId="23F03953">
      <w:pPr>
        <w:pStyle w:val="8"/>
        <w:topLinePunct/>
        <w:snapToGrid w:val="0"/>
        <w:spacing w:beforeLines="20" w:line="293" w:lineRule="auto"/>
        <w:ind w:left="1248" w:firstLine="0"/>
        <w:jc w:val="both"/>
        <w:rPr>
          <w:kern w:val="2"/>
          <w:szCs w:val="21"/>
        </w:rPr>
      </w:pPr>
      <w:r>
        <w:rPr>
          <w:kern w:val="2"/>
          <w:szCs w:val="21"/>
        </w:rPr>
        <w:t>在适用情况下，应证明符合欧洲议会和理事会第2004/10/EC指令</w:t>
      </w:r>
      <w:r>
        <w:rPr>
          <w:rFonts w:hint="eastAsia"/>
          <w:kern w:val="2"/>
          <w:szCs w:val="21"/>
        </w:rPr>
        <w:t>（</w:t>
      </w:r>
      <w:r>
        <w:rPr>
          <w:kern w:val="2"/>
          <w:szCs w:val="21"/>
          <w:vertAlign w:val="superscript"/>
        </w:rPr>
        <w:t>1</w:t>
      </w:r>
      <w:r>
        <w:rPr>
          <w:rFonts w:hint="eastAsia"/>
          <w:kern w:val="2"/>
          <w:szCs w:val="21"/>
        </w:rPr>
        <w:t>）</w:t>
      </w:r>
      <w:r>
        <w:rPr>
          <w:kern w:val="2"/>
          <w:szCs w:val="21"/>
        </w:rPr>
        <w:t>的规定。</w:t>
      </w:r>
    </w:p>
    <w:p w14:paraId="327E6F32">
      <w:pPr>
        <w:pStyle w:val="8"/>
        <w:topLinePunct/>
        <w:snapToGrid w:val="0"/>
        <w:spacing w:beforeLines="20" w:line="293" w:lineRule="auto"/>
        <w:ind w:left="1248" w:firstLine="0"/>
        <w:jc w:val="both"/>
        <w:rPr>
          <w:kern w:val="2"/>
          <w:szCs w:val="21"/>
        </w:rPr>
      </w:pPr>
      <w:r>
        <w:rPr>
          <w:kern w:val="2"/>
          <w:szCs w:val="21"/>
        </w:rPr>
        <w:t>若未进行新测试，文件应包括该决策的基本原理，例如，当这些性能纳入已合法投放市场或投入使用的器械的先前版本中时，需对相同材料进行生物相容性测试；</w:t>
      </w:r>
    </w:p>
    <w:p w14:paraId="77735C61">
      <w:pPr>
        <w:pStyle w:val="32"/>
        <w:numPr>
          <w:ilvl w:val="2"/>
          <w:numId w:val="158"/>
        </w:numPr>
        <w:tabs>
          <w:tab w:val="left" w:pos="1248"/>
        </w:tabs>
        <w:topLinePunct/>
        <w:snapToGrid w:val="0"/>
        <w:spacing w:beforeLines="20" w:line="293" w:lineRule="auto"/>
        <w:ind w:left="1247"/>
        <w:jc w:val="both"/>
        <w:rPr>
          <w:rFonts w:ascii="Times New Roman" w:hAnsi="Times New Roman"/>
          <w:kern w:val="2"/>
          <w:szCs w:val="21"/>
        </w:rPr>
      </w:pPr>
      <w:r>
        <w:rPr>
          <w:rFonts w:ascii="Times New Roman" w:hAnsi="Times New Roman"/>
          <w:kern w:val="2"/>
          <w:szCs w:val="21"/>
        </w:rPr>
        <w:t>根据第61(12)条和附录XIV第A部分的临床评价报告及其更新版本以及临床评价计划；</w:t>
      </w:r>
    </w:p>
    <w:p w14:paraId="4AD6F937">
      <w:pPr>
        <w:pStyle w:val="32"/>
        <w:numPr>
          <w:ilvl w:val="2"/>
          <w:numId w:val="158"/>
        </w:numPr>
        <w:tabs>
          <w:tab w:val="left" w:pos="1248"/>
        </w:tabs>
        <w:topLinePunct/>
        <w:snapToGrid w:val="0"/>
        <w:spacing w:beforeLines="20" w:line="293" w:lineRule="auto"/>
        <w:jc w:val="both"/>
        <w:rPr>
          <w:rFonts w:ascii="Times New Roman" w:hAnsi="Times New Roman"/>
          <w:kern w:val="2"/>
          <w:szCs w:val="21"/>
        </w:rPr>
      </w:pPr>
      <w:r>
        <w:rPr>
          <w:rFonts w:ascii="Times New Roman" w:hAnsi="Times New Roman"/>
          <w:kern w:val="2"/>
          <w:szCs w:val="21"/>
        </w:rPr>
        <w:t>根据附录XIV第B部分的PMCF计划和PMCF评估报告或为何PMCF不适用的任何合理性。</w:t>
      </w:r>
    </w:p>
    <w:p w14:paraId="2607216A">
      <w:pPr>
        <w:pStyle w:val="4"/>
        <w:numPr>
          <w:ilvl w:val="1"/>
          <w:numId w:val="158"/>
        </w:numPr>
        <w:tabs>
          <w:tab w:val="left" w:pos="682"/>
        </w:tabs>
        <w:topLinePunct/>
        <w:snapToGrid w:val="0"/>
        <w:spacing w:beforeLines="20" w:line="293" w:lineRule="auto"/>
        <w:ind w:hanging="567"/>
        <w:jc w:val="both"/>
        <w:rPr>
          <w:rFonts w:ascii="Times New Roman" w:hAnsi="Times New Roman"/>
          <w:b w:val="0"/>
          <w:bCs w:val="0"/>
          <w:kern w:val="2"/>
          <w:sz w:val="21"/>
          <w:szCs w:val="21"/>
        </w:rPr>
      </w:pPr>
      <w:r>
        <w:rPr>
          <w:rFonts w:ascii="Times New Roman" w:hAnsi="Times New Roman"/>
          <w:kern w:val="2"/>
          <w:sz w:val="21"/>
          <w:szCs w:val="21"/>
        </w:rPr>
        <w:t>在特定情况下要求的附加信息</w:t>
      </w:r>
    </w:p>
    <w:p w14:paraId="1FBAA7BC">
      <w:pPr>
        <w:pStyle w:val="32"/>
        <w:numPr>
          <w:ilvl w:val="2"/>
          <w:numId w:val="158"/>
        </w:numPr>
        <w:tabs>
          <w:tab w:val="left" w:pos="1248"/>
        </w:tabs>
        <w:topLinePunct/>
        <w:snapToGrid w:val="0"/>
        <w:spacing w:beforeLines="20" w:line="293" w:lineRule="auto"/>
        <w:jc w:val="both"/>
        <w:rPr>
          <w:rFonts w:ascii="Times New Roman" w:hAnsi="Times New Roman"/>
          <w:kern w:val="2"/>
          <w:szCs w:val="21"/>
        </w:rPr>
      </w:pPr>
      <w:r>
        <w:rPr>
          <w:rFonts w:ascii="Times New Roman" w:hAnsi="Times New Roman"/>
          <w:kern w:val="2"/>
          <w:szCs w:val="21"/>
        </w:rPr>
        <w:t>若器械包含第2001/83/EC号指令第1条第2点规定含义内的药品物质（若单独使用），且作为组成部分，其中包括第1(8)条第一子段所述的人体血液或血浆来源药品，则应附有表明这一事实的说明。在此种情况下，本文件应确定该种物质来源，并包含测试数据以评估其安全性、质量和可用性，同时需考虑器械预期目的。</w:t>
      </w:r>
    </w:p>
    <w:p w14:paraId="0F3859DC">
      <w:pPr>
        <w:pStyle w:val="32"/>
        <w:numPr>
          <w:ilvl w:val="2"/>
          <w:numId w:val="158"/>
        </w:numPr>
        <w:tabs>
          <w:tab w:val="left" w:pos="1248"/>
        </w:tabs>
        <w:topLinePunct/>
        <w:snapToGrid w:val="0"/>
        <w:spacing w:beforeLines="20" w:line="293" w:lineRule="auto"/>
        <w:jc w:val="both"/>
        <w:rPr>
          <w:rFonts w:ascii="Times New Roman" w:hAnsi="Times New Roman"/>
          <w:kern w:val="2"/>
          <w:szCs w:val="21"/>
        </w:rPr>
      </w:pPr>
      <w:r>
        <w:rPr>
          <w:rFonts w:ascii="Times New Roman" w:hAnsi="Times New Roman"/>
          <w:kern w:val="2"/>
          <w:szCs w:val="21"/>
        </w:rPr>
        <w:t>若根据第1(6)条(f)和(g)点，利用本法规所涵盖的人体或动物来源的组织或细胞或其衍生物制造器械，或作为不可或缺部分，若器械包含人源组织或细胞或其衍生物，其具有辅助器械的功能并根据第1（10）条第一项涵盖在本法规中，则应附有表明这一事实的说明。在此种情况下，本文件应确定所有使用的人或动物源材料，并分别提供有关符合附录I第13.1节或第13.2节的详细信息。</w:t>
      </w:r>
    </w:p>
    <w:p w14:paraId="0FA136E1">
      <w:pPr>
        <w:pStyle w:val="8"/>
        <w:topLinePunct/>
        <w:snapToGrid w:val="0"/>
        <w:spacing w:beforeLines="20" w:line="293" w:lineRule="auto"/>
        <w:ind w:left="1248"/>
        <w:jc w:val="both"/>
        <w:rPr>
          <w:kern w:val="2"/>
          <w:szCs w:val="21"/>
        </w:rPr>
      </w:pPr>
      <w:bookmarkStart w:id="155" w:name="_bookmark56"/>
      <w:bookmarkEnd w:id="155"/>
      <w:r>
        <w:rPr>
          <w:rFonts w:hint="eastAsia"/>
          <w:kern w:val="2"/>
          <w:szCs w:val="21"/>
        </w:rPr>
        <w:t>(</w:t>
      </w:r>
      <w:r>
        <w:rPr>
          <w:kern w:val="2"/>
          <w:szCs w:val="21"/>
        </w:rPr>
        <w:t>c</w:t>
      </w:r>
      <w:r>
        <w:rPr>
          <w:rFonts w:hint="eastAsia"/>
          <w:kern w:val="2"/>
          <w:szCs w:val="21"/>
        </w:rPr>
        <w:t>)</w:t>
      </w:r>
      <w:r>
        <w:rPr>
          <w:kern w:val="2"/>
          <w:szCs w:val="21"/>
        </w:rPr>
        <w:tab/>
      </w:r>
      <w:r>
        <w:rPr>
          <w:kern w:val="2"/>
          <w:szCs w:val="21"/>
        </w:rPr>
        <w:t>在由旨在引入人体并由人体吸收或局部扩散至人体中的物质或物质组合构成器械的情况下，包括测试设计、完全测试或研究方案、数据分析方法的详细信息（数据摘要和测试结论除外），有关研究包括：</w:t>
      </w:r>
    </w:p>
    <w:p w14:paraId="24ADA436">
      <w:pPr>
        <w:pStyle w:val="32"/>
        <w:numPr>
          <w:ilvl w:val="3"/>
          <w:numId w:val="158"/>
        </w:numPr>
        <w:tabs>
          <w:tab w:val="left" w:pos="1816"/>
        </w:tabs>
        <w:topLinePunct/>
        <w:snapToGrid w:val="0"/>
        <w:spacing w:beforeLines="20" w:line="293" w:lineRule="auto"/>
        <w:ind w:hanging="567"/>
        <w:jc w:val="both"/>
        <w:rPr>
          <w:rFonts w:ascii="Times New Roman" w:hAnsi="Times New Roman"/>
          <w:kern w:val="2"/>
          <w:szCs w:val="21"/>
        </w:rPr>
      </w:pPr>
      <w:r>
        <w:rPr>
          <w:rFonts w:ascii="Times New Roman" w:hAnsi="Times New Roman"/>
          <w:kern w:val="2"/>
          <w:szCs w:val="21"/>
        </w:rPr>
        <w:t>吸收、分布、代谢和排泄；</w:t>
      </w:r>
    </w:p>
    <w:p w14:paraId="0E7947D6">
      <w:pPr>
        <w:pStyle w:val="32"/>
        <w:numPr>
          <w:ilvl w:val="3"/>
          <w:numId w:val="158"/>
        </w:numPr>
        <w:tabs>
          <w:tab w:val="left" w:pos="1816"/>
        </w:tabs>
        <w:topLinePunct/>
        <w:snapToGrid w:val="0"/>
        <w:spacing w:beforeLines="20" w:line="293" w:lineRule="auto"/>
        <w:ind w:hanging="567"/>
        <w:jc w:val="both"/>
        <w:rPr>
          <w:rFonts w:ascii="Times New Roman" w:hAnsi="Times New Roman"/>
          <w:kern w:val="2"/>
          <w:szCs w:val="21"/>
        </w:rPr>
      </w:pPr>
      <w:r>
        <w:rPr>
          <w:rFonts w:ascii="Times New Roman" w:hAnsi="Times New Roman"/>
          <w:kern w:val="2"/>
          <w:szCs w:val="21"/>
        </w:rPr>
        <w:t>考虑到目标人群及其相关医疗条件，该器械或人体内的物质或代谢产物与其他器械、药品或其他物质的可能相互作用；</w:t>
      </w:r>
    </w:p>
    <w:p w14:paraId="79A9AFD3">
      <w:pPr>
        <w:pStyle w:val="32"/>
        <w:numPr>
          <w:ilvl w:val="3"/>
          <w:numId w:val="158"/>
        </w:numPr>
        <w:tabs>
          <w:tab w:val="left" w:pos="1816"/>
        </w:tabs>
        <w:topLinePunct/>
        <w:snapToGrid w:val="0"/>
        <w:spacing w:beforeLines="20" w:line="293" w:lineRule="auto"/>
        <w:ind w:hanging="567"/>
        <w:jc w:val="both"/>
        <w:rPr>
          <w:rFonts w:ascii="Times New Roman" w:hAnsi="Times New Roman"/>
          <w:kern w:val="2"/>
          <w:szCs w:val="21"/>
        </w:rPr>
      </w:pPr>
      <w:r>
        <w:rPr>
          <w:rFonts w:ascii="Times New Roman" w:hAnsi="Times New Roman"/>
          <w:kern w:val="2"/>
          <w:szCs w:val="21"/>
        </w:rPr>
        <w:t>局部耐受性；</w:t>
      </w:r>
    </w:p>
    <w:p w14:paraId="6E151EE0">
      <w:pPr>
        <w:pStyle w:val="32"/>
        <w:numPr>
          <w:ilvl w:val="3"/>
          <w:numId w:val="158"/>
        </w:numPr>
        <w:tabs>
          <w:tab w:val="left" w:pos="1816"/>
        </w:tabs>
        <w:topLinePunct/>
        <w:snapToGrid w:val="0"/>
        <w:spacing w:beforeLines="20" w:line="293" w:lineRule="auto"/>
        <w:ind w:hanging="567"/>
        <w:jc w:val="both"/>
        <w:rPr>
          <w:rFonts w:ascii="Times New Roman" w:hAnsi="Times New Roman"/>
          <w:kern w:val="2"/>
          <w:szCs w:val="21"/>
        </w:rPr>
      </w:pPr>
      <w:r>
        <w:rPr>
          <w:rFonts w:ascii="Times New Roman" w:hAnsi="Times New Roman"/>
          <w:kern w:val="2"/>
          <w:szCs w:val="21"/>
        </w:rPr>
        <w:t>毒性，包括单剂量毒性、重复剂量毒性、遗传毒性、致癌性和生殖发育毒性（根据器械总体暴露程度和性质选择）。</w:t>
      </w:r>
    </w:p>
    <w:p w14:paraId="4DC82503">
      <w:pPr>
        <w:widowControl/>
        <w:snapToGrid w:val="0"/>
        <w:spacing w:beforeLines="25" w:line="300" w:lineRule="auto"/>
        <w:ind w:left="420" w:hanging="420" w:hangingChars="200"/>
        <w:rPr>
          <w:rStyle w:val="48"/>
          <w:b/>
          <w:szCs w:val="21"/>
        </w:rPr>
      </w:pPr>
      <w:r>
        <w:rPr>
          <w:rStyle w:val="48"/>
          <w:rFonts w:hint="eastAsia"/>
          <w:szCs w:val="21"/>
        </w:rPr>
        <w:t>__________________________</w:t>
      </w:r>
    </w:p>
    <w:p w14:paraId="0CCA69C8">
      <w:pPr>
        <w:widowControl/>
        <w:snapToGrid w:val="0"/>
        <w:spacing w:beforeLines="25" w:line="300" w:lineRule="auto"/>
        <w:ind w:left="360" w:hanging="360" w:hangingChars="200"/>
        <w:rPr>
          <w:rStyle w:val="48"/>
          <w:b/>
          <w:sz w:val="18"/>
          <w:szCs w:val="18"/>
        </w:rPr>
      </w:pPr>
      <w:r>
        <w:rPr>
          <w:rStyle w:val="48"/>
          <w:rFonts w:hint="eastAsia"/>
          <w:sz w:val="18"/>
          <w:szCs w:val="18"/>
        </w:rPr>
        <w:t>（</w:t>
      </w:r>
      <w:r>
        <w:rPr>
          <w:rStyle w:val="48"/>
          <w:sz w:val="18"/>
          <w:szCs w:val="18"/>
          <w:vertAlign w:val="superscript"/>
        </w:rPr>
        <w:t>1</w:t>
      </w:r>
      <w:r>
        <w:rPr>
          <w:rStyle w:val="48"/>
          <w:rFonts w:hint="eastAsia"/>
          <w:sz w:val="18"/>
          <w:szCs w:val="18"/>
        </w:rPr>
        <w:t>）</w:t>
      </w:r>
      <w:r>
        <w:rPr>
          <w:rStyle w:val="48"/>
          <w:sz w:val="18"/>
          <w:szCs w:val="18"/>
        </w:rPr>
        <w:tab/>
      </w:r>
      <w:r>
        <w:rPr>
          <w:rStyle w:val="48"/>
          <w:sz w:val="18"/>
          <w:szCs w:val="18"/>
        </w:rPr>
        <w:t>2004年2月11日欧洲议会和理事会关于统一有关适用良好实验室规范原则的法律、法规和行政规定以及化学物质试验应用验证的第2004/10/EC号指令（OJ L 50, 20.2.2004, p. 44）</w:t>
      </w:r>
    </w:p>
    <w:p w14:paraId="2E51DB5E">
      <w:pPr>
        <w:pStyle w:val="32"/>
        <w:tabs>
          <w:tab w:val="left" w:pos="1816"/>
        </w:tabs>
        <w:topLinePunct/>
        <w:snapToGrid w:val="0"/>
        <w:spacing w:beforeLines="25" w:line="300" w:lineRule="auto"/>
        <w:ind w:left="1247"/>
        <w:jc w:val="both"/>
        <w:rPr>
          <w:rFonts w:ascii="Times New Roman" w:hAnsi="Times New Roman"/>
          <w:kern w:val="2"/>
          <w:szCs w:val="21"/>
        </w:rPr>
      </w:pPr>
      <w:r>
        <w:rPr>
          <w:rFonts w:ascii="Times New Roman" w:hAnsi="Times New Roman"/>
          <w:kern w:val="2"/>
          <w:szCs w:val="21"/>
        </w:rPr>
        <w:t>在无此类研究的情况下，应提供理由。</w:t>
      </w:r>
    </w:p>
    <w:p w14:paraId="3CAB367B">
      <w:pPr>
        <w:pStyle w:val="8"/>
        <w:topLinePunct/>
        <w:snapToGrid w:val="0"/>
        <w:spacing w:beforeLines="25" w:line="300" w:lineRule="auto"/>
        <w:ind w:left="1248"/>
        <w:jc w:val="both"/>
        <w:rPr>
          <w:kern w:val="2"/>
          <w:szCs w:val="21"/>
        </w:rPr>
      </w:pPr>
      <w:r>
        <w:rPr>
          <w:rFonts w:hint="eastAsia"/>
          <w:kern w:val="2"/>
          <w:szCs w:val="21"/>
        </w:rPr>
        <w:t>(</w:t>
      </w:r>
      <w:r>
        <w:rPr>
          <w:kern w:val="2"/>
          <w:szCs w:val="21"/>
        </w:rPr>
        <w:t>d</w:t>
      </w:r>
      <w:r>
        <w:rPr>
          <w:rFonts w:hint="eastAsia"/>
          <w:kern w:val="2"/>
          <w:szCs w:val="21"/>
        </w:rPr>
        <w:t>)</w:t>
      </w:r>
      <w:r>
        <w:rPr>
          <w:kern w:val="2"/>
          <w:szCs w:val="21"/>
        </w:rPr>
        <w:tab/>
      </w:r>
      <w:r>
        <w:rPr>
          <w:kern w:val="2"/>
          <w:szCs w:val="21"/>
        </w:rPr>
        <w:t>对于附录I第10.4.1节所述含有CMR或内分泌物质的器械，应按照该附录第10.4.2节进行论证。</w:t>
      </w:r>
    </w:p>
    <w:p w14:paraId="49B5F873">
      <w:pPr>
        <w:pStyle w:val="32"/>
        <w:numPr>
          <w:ilvl w:val="2"/>
          <w:numId w:val="15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在无菌或定义的微生物条件下投放于市场的器械，其相关制造步骤的环境条件的说明。对于在无菌条件下投放于市场的器械，所用方法的说明，包括有关包装、消毒和无菌维护的确认报告。确认报告应所述生物负荷测试、热原测试和消毒剂残留物测试（如适用）。</w:t>
      </w:r>
    </w:p>
    <w:p w14:paraId="1E7F381B">
      <w:pPr>
        <w:pStyle w:val="32"/>
        <w:numPr>
          <w:ilvl w:val="2"/>
          <w:numId w:val="15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对于投放于市场的具有测定功能的器械，为确保规范准确性而用的方法的说明。</w:t>
      </w:r>
    </w:p>
    <w:p w14:paraId="19AF38A8">
      <w:pPr>
        <w:pStyle w:val="32"/>
        <w:numPr>
          <w:ilvl w:val="2"/>
          <w:numId w:val="15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若器械需连接至其他器械以便按预期操作，则该组合/配置的说明须包括证明其在连接至任何符合制造商规定特性的此种器械时，该器械符合通用安全与性能要求。</w:t>
      </w:r>
    </w:p>
    <w:p w14:paraId="4EBC12DA">
      <w:pPr>
        <w:snapToGrid w:val="0"/>
        <w:spacing w:beforeLines="25" w:line="300" w:lineRule="auto"/>
        <w:jc w:val="center"/>
        <w:rPr>
          <w:rFonts w:ascii="Times New Roman" w:hAnsi="Times New Roman"/>
          <w:szCs w:val="21"/>
        </w:rPr>
      </w:pPr>
      <w:r>
        <w:rPr>
          <w:rFonts w:hint="eastAsia" w:ascii="Times New Roman" w:hAnsi="Times New Roman"/>
          <w:szCs w:val="21"/>
        </w:rPr>
        <w:t>____________________</w:t>
      </w:r>
    </w:p>
    <w:p w14:paraId="7EB02988">
      <w:pPr>
        <w:pStyle w:val="2"/>
        <w:spacing w:beforeLines="25" w:line="300" w:lineRule="auto"/>
        <w:rPr>
          <w:rStyle w:val="48"/>
          <w:sz w:val="24"/>
          <w:szCs w:val="24"/>
        </w:rPr>
      </w:pPr>
      <w:bookmarkStart w:id="156" w:name="_Toc477512414"/>
      <w:r>
        <w:rPr>
          <w:sz w:val="21"/>
          <w:szCs w:val="21"/>
        </w:rPr>
        <w:br w:type="page"/>
      </w:r>
      <w:r>
        <w:rPr>
          <w:sz w:val="24"/>
          <w:szCs w:val="24"/>
        </w:rPr>
        <w:t xml:space="preserve">附录III  </w:t>
      </w:r>
      <w:r>
        <w:rPr>
          <w:sz w:val="24"/>
          <w:szCs w:val="24"/>
        </w:rPr>
        <w:br w:type="textWrapping"/>
      </w:r>
      <w:r>
        <w:rPr>
          <w:sz w:val="24"/>
          <w:szCs w:val="24"/>
        </w:rPr>
        <w:t>关于上市后监管的技术文件</w:t>
      </w:r>
      <w:bookmarkEnd w:id="156"/>
    </w:p>
    <w:p w14:paraId="7097A41A">
      <w:pPr>
        <w:pStyle w:val="8"/>
        <w:topLinePunct/>
        <w:snapToGrid w:val="0"/>
        <w:spacing w:beforeLines="25" w:line="300" w:lineRule="auto"/>
        <w:ind w:left="114" w:firstLine="0"/>
        <w:jc w:val="both"/>
        <w:rPr>
          <w:kern w:val="2"/>
          <w:szCs w:val="21"/>
        </w:rPr>
      </w:pPr>
      <w:r>
        <w:rPr>
          <w:kern w:val="2"/>
          <w:szCs w:val="21"/>
        </w:rPr>
        <w:t>应以清楚的、有组织的、易搜索的和明确的方式呈现按照第83至86节由制造商草拟的关于上市后监管的技术文件，特别是应该包括本附录所述</w:t>
      </w:r>
      <w:r>
        <w:rPr>
          <w:rFonts w:hint="eastAsia"/>
          <w:kern w:val="2"/>
          <w:szCs w:val="21"/>
        </w:rPr>
        <w:t>要</w:t>
      </w:r>
      <w:r>
        <w:rPr>
          <w:kern w:val="2"/>
          <w:szCs w:val="21"/>
        </w:rPr>
        <w:t>素：</w:t>
      </w:r>
    </w:p>
    <w:p w14:paraId="5E351C5F">
      <w:pPr>
        <w:pStyle w:val="32"/>
        <w:numPr>
          <w:ilvl w:val="1"/>
          <w:numId w:val="160"/>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根据第84条的上市后监管计划。</w:t>
      </w:r>
    </w:p>
    <w:p w14:paraId="1A84C4D5">
      <w:pPr>
        <w:pStyle w:val="8"/>
        <w:topLinePunct/>
        <w:snapToGrid w:val="0"/>
        <w:spacing w:beforeLines="25" w:line="300" w:lineRule="auto"/>
        <w:ind w:firstLine="0"/>
        <w:jc w:val="both"/>
        <w:rPr>
          <w:kern w:val="2"/>
          <w:szCs w:val="21"/>
        </w:rPr>
      </w:pPr>
      <w:r>
        <w:rPr>
          <w:kern w:val="2"/>
          <w:szCs w:val="21"/>
        </w:rPr>
        <w:t>在上市后监管计划中，制造商应证明其履行了第83条中所述的义务。</w:t>
      </w:r>
    </w:p>
    <w:p w14:paraId="345E7F8D">
      <w:pPr>
        <w:pStyle w:val="32"/>
        <w:numPr>
          <w:ilvl w:val="2"/>
          <w:numId w:val="16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上市后监管计划应所述可用信息的收集与利用，尤其是：</w:t>
      </w:r>
    </w:p>
    <w:p w14:paraId="2926EF8D">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有关严重事件的信息，包括PSUR的信息和现场安全纠正措施；</w:t>
      </w:r>
    </w:p>
    <w:p w14:paraId="29C87CAF">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所述非严重事件的记录和有关任何不良副作用的数据；，</w:t>
      </w:r>
    </w:p>
    <w:p w14:paraId="5D964DB4">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趋势报告的信息；</w:t>
      </w:r>
    </w:p>
    <w:p w14:paraId="26F14334">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相关专家或技术文献、数据库和/或登记表；</w:t>
      </w:r>
    </w:p>
    <w:p w14:paraId="292DB428">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信息，包括使用者、经销商和进口商提供的反馈和投诉；</w:t>
      </w:r>
      <w:r>
        <w:rPr>
          <w:rFonts w:hint="eastAsia" w:ascii="Times New Roman" w:hAnsi="Times New Roman"/>
          <w:kern w:val="2"/>
          <w:szCs w:val="21"/>
        </w:rPr>
        <w:t>和</w:t>
      </w:r>
    </w:p>
    <w:p w14:paraId="523140A2">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关于类似医疗器械的公用信息。</w:t>
      </w:r>
    </w:p>
    <w:p w14:paraId="268FA5E7">
      <w:pPr>
        <w:pStyle w:val="32"/>
        <w:numPr>
          <w:ilvl w:val="2"/>
          <w:numId w:val="16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上市后监管计划至少应包括：</w:t>
      </w:r>
    </w:p>
    <w:p w14:paraId="04034EEF">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收集（a）点中所述的所有信息的前瞻性与系统化流程。该流程应正确地说明器械的性能，并将该器械与投放于市场的类似产品进行比较；</w:t>
      </w:r>
    </w:p>
    <w:p w14:paraId="43ECA998">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有效且适当的方法与流程，用于评估所收集的数据；</w:t>
      </w:r>
    </w:p>
    <w:p w14:paraId="3F1D5AC6">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合适的指标和阈值，用于风险利益分析和风险管理连续的重新评估，如附录I第3节所所述的；</w:t>
      </w:r>
    </w:p>
    <w:p w14:paraId="2BBA3A48">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有效且适当的方法和工具，用于研究现场收集的投诉并分析市场相关经验；</w:t>
      </w:r>
    </w:p>
    <w:p w14:paraId="06AEC828">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方法和方案，用于管理那些受制于趋势报告的事件，如第</w:t>
      </w:r>
      <w:r>
        <w:rPr>
          <w:rFonts w:hint="eastAsia" w:ascii="Times New Roman" w:hAnsi="Times New Roman"/>
          <w:kern w:val="2"/>
          <w:szCs w:val="21"/>
        </w:rPr>
        <w:t>88</w:t>
      </w:r>
      <w:r>
        <w:rPr>
          <w:rFonts w:ascii="Times New Roman" w:hAnsi="Times New Roman"/>
          <w:kern w:val="2"/>
          <w:szCs w:val="21"/>
        </w:rPr>
        <w:t>条所提供的，包括在统计上事件发生频率或严重程度以及观察期的显著增加；</w:t>
      </w:r>
    </w:p>
    <w:p w14:paraId="3ABB678D">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方法和方案，用于与主管机构、认证机构、经济运营商和使用者有效沟通；</w:t>
      </w:r>
    </w:p>
    <w:p w14:paraId="46667741">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参考履行第83、84和86条规定的制造商义务步骤；</w:t>
      </w:r>
    </w:p>
    <w:p w14:paraId="7CDC0071">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系统化程序，用于确定并采取适当的措施，包括纠正措施；</w:t>
      </w:r>
    </w:p>
    <w:p w14:paraId="6FC1EF3A">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有效的工具，用于跟踪并确定哪些纠正措施所必需的器械；</w:t>
      </w:r>
    </w:p>
    <w:p w14:paraId="1437F145">
      <w:pPr>
        <w:pStyle w:val="32"/>
        <w:numPr>
          <w:ilvl w:val="3"/>
          <w:numId w:val="160"/>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根据附录XIV第B部分的PMCF计划，或为何不适用PMCF的理由。</w:t>
      </w:r>
    </w:p>
    <w:p w14:paraId="637AF50D">
      <w:pPr>
        <w:widowControl/>
        <w:snapToGrid w:val="0"/>
        <w:spacing w:beforeLines="25" w:line="300" w:lineRule="auto"/>
        <w:rPr>
          <w:rFonts w:ascii="Times New Roman" w:hAnsi="Times New Roman"/>
          <w:kern w:val="2"/>
          <w:szCs w:val="21"/>
        </w:rPr>
      </w:pPr>
      <w:r>
        <w:rPr>
          <w:rFonts w:ascii="Times New Roman" w:hAnsi="Times New Roman"/>
          <w:kern w:val="2"/>
          <w:szCs w:val="21"/>
        </w:rPr>
        <w:t>1.2</w:t>
      </w:r>
      <w:r>
        <w:rPr>
          <w:rFonts w:ascii="Times New Roman" w:hAnsi="Times New Roman"/>
          <w:kern w:val="2"/>
          <w:szCs w:val="21"/>
        </w:rPr>
        <w:tab/>
      </w:r>
      <w:r>
        <w:rPr>
          <w:rFonts w:ascii="Times New Roman" w:hAnsi="Times New Roman"/>
          <w:kern w:val="2"/>
          <w:szCs w:val="21"/>
        </w:rPr>
        <w:t>如第86条所述的PSUR和第85条的上市后监管报告。</w:t>
      </w:r>
    </w:p>
    <w:p w14:paraId="1A073E27">
      <w:pPr>
        <w:snapToGrid w:val="0"/>
        <w:spacing w:beforeLines="25" w:line="300" w:lineRule="auto"/>
        <w:jc w:val="center"/>
        <w:rPr>
          <w:rFonts w:ascii="Times New Roman" w:hAnsi="Times New Roman"/>
          <w:szCs w:val="21"/>
        </w:rPr>
      </w:pPr>
      <w:r>
        <w:rPr>
          <w:rFonts w:hint="eastAsia" w:ascii="Times New Roman" w:hAnsi="Times New Roman"/>
          <w:szCs w:val="21"/>
        </w:rPr>
        <w:t>__________________</w:t>
      </w:r>
    </w:p>
    <w:p w14:paraId="06879AE6">
      <w:pPr>
        <w:pStyle w:val="2"/>
        <w:spacing w:beforeLines="25" w:line="300" w:lineRule="auto"/>
        <w:rPr>
          <w:bCs/>
          <w:sz w:val="24"/>
          <w:szCs w:val="24"/>
        </w:rPr>
      </w:pPr>
      <w:bookmarkStart w:id="157" w:name="_Toc477512415"/>
      <w:r>
        <w:rPr>
          <w:sz w:val="21"/>
          <w:szCs w:val="21"/>
        </w:rPr>
        <w:br w:type="page"/>
      </w:r>
      <w:r>
        <w:rPr>
          <w:sz w:val="24"/>
          <w:szCs w:val="24"/>
        </w:rPr>
        <w:t xml:space="preserve">附录IV  </w:t>
      </w:r>
      <w:r>
        <w:rPr>
          <w:sz w:val="24"/>
          <w:szCs w:val="24"/>
        </w:rPr>
        <w:br w:type="textWrapping"/>
      </w:r>
      <w:r>
        <w:rPr>
          <w:sz w:val="24"/>
          <w:szCs w:val="24"/>
        </w:rPr>
        <w:t>欧盟符合性声明</w:t>
      </w:r>
      <w:bookmarkEnd w:id="157"/>
    </w:p>
    <w:p w14:paraId="5BC7ACAE">
      <w:pPr>
        <w:snapToGrid w:val="0"/>
        <w:spacing w:beforeLines="25" w:line="300" w:lineRule="auto"/>
        <w:rPr>
          <w:rFonts w:ascii="Times New Roman" w:hAnsi="Times New Roman"/>
          <w:bCs/>
          <w:kern w:val="2"/>
          <w:szCs w:val="21"/>
        </w:rPr>
      </w:pPr>
      <w:r>
        <w:rPr>
          <w:rFonts w:ascii="Times New Roman" w:hAnsi="Times New Roman"/>
          <w:bCs/>
          <w:kern w:val="2"/>
          <w:szCs w:val="21"/>
        </w:rPr>
        <w:t>欧盟符合性声明应包含以下所有信息：</w:t>
      </w:r>
    </w:p>
    <w:p w14:paraId="6F13ABE5">
      <w:pPr>
        <w:pStyle w:val="32"/>
        <w:numPr>
          <w:ilvl w:val="0"/>
          <w:numId w:val="16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在第31条中所述的制造商的名称、注册商品名或注册商标和SRN（如签发）及其授权代表（如适用）和注册营业地点的联系地址；</w:t>
      </w:r>
    </w:p>
    <w:p w14:paraId="55FB041C">
      <w:pPr>
        <w:pStyle w:val="32"/>
        <w:numPr>
          <w:ilvl w:val="0"/>
          <w:numId w:val="16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由制造商自行负责发出的欧盟符合性声明；</w:t>
      </w:r>
    </w:p>
    <w:p w14:paraId="1D1AF90E">
      <w:pPr>
        <w:pStyle w:val="32"/>
        <w:numPr>
          <w:ilvl w:val="0"/>
          <w:numId w:val="16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附录VI第C部分所所述的基本的UDI - DI；</w:t>
      </w:r>
    </w:p>
    <w:p w14:paraId="675C3C5F">
      <w:pPr>
        <w:pStyle w:val="32"/>
        <w:numPr>
          <w:ilvl w:val="0"/>
          <w:numId w:val="161"/>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产品和商品名、产品代码、目录编号或其他明确的参考号，包括欧盟符合性声明所涵盖的</w:t>
      </w:r>
      <w:r>
        <w:rPr>
          <w:rFonts w:hint="eastAsia" w:ascii="Times New Roman" w:hAnsi="Times New Roman"/>
          <w:kern w:val="2"/>
          <w:szCs w:val="21"/>
          <w:lang w:val="en-US"/>
        </w:rPr>
        <w:t>器械</w:t>
      </w:r>
      <w:r>
        <w:rPr>
          <w:rFonts w:ascii="Times New Roman" w:hAnsi="Times New Roman"/>
          <w:kern w:val="2"/>
          <w:szCs w:val="21"/>
        </w:rPr>
        <w:t>的识别和可追溯性，如适当照片以及其预期目的。除产品或商品名称外，如第3点所述的基本UDI - DI提供允许识别和可追溯性信息；</w:t>
      </w:r>
    </w:p>
    <w:p w14:paraId="387F3E12">
      <w:pPr>
        <w:pStyle w:val="32"/>
        <w:numPr>
          <w:ilvl w:val="0"/>
          <w:numId w:val="16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按照附录VIII提出的规则，器械风险等级；</w:t>
      </w:r>
    </w:p>
    <w:p w14:paraId="5CAF6E40">
      <w:pPr>
        <w:pStyle w:val="32"/>
        <w:numPr>
          <w:ilvl w:val="0"/>
          <w:numId w:val="16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当前声明所涵盖的器械符合本法规和其他相关的欧盟立法以及联盟立法（规定发布欧盟符合性声明的要求）（如适用）；</w:t>
      </w:r>
    </w:p>
    <w:p w14:paraId="668234FB">
      <w:pPr>
        <w:pStyle w:val="32"/>
        <w:numPr>
          <w:ilvl w:val="0"/>
          <w:numId w:val="16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关于合格声明所用的任何CS的参考文献；</w:t>
      </w:r>
    </w:p>
    <w:p w14:paraId="4ACE5E1A">
      <w:pPr>
        <w:pStyle w:val="32"/>
        <w:numPr>
          <w:ilvl w:val="0"/>
          <w:numId w:val="16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如适用，公告机构的名称和标识号，所执行的符合性评估程序的说明和所签发的证书的标识；</w:t>
      </w:r>
    </w:p>
    <w:p w14:paraId="222C8959">
      <w:pPr>
        <w:pStyle w:val="32"/>
        <w:numPr>
          <w:ilvl w:val="0"/>
          <w:numId w:val="16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如适用，额外的信息；</w:t>
      </w:r>
    </w:p>
    <w:p w14:paraId="35CD6230">
      <w:pPr>
        <w:pStyle w:val="32"/>
        <w:numPr>
          <w:ilvl w:val="0"/>
          <w:numId w:val="161"/>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签字人的声明，地址和日期、签字人姓名和职务、以及代签人签名。</w:t>
      </w:r>
    </w:p>
    <w:p w14:paraId="45B26613">
      <w:pPr>
        <w:snapToGrid w:val="0"/>
        <w:spacing w:beforeLines="25" w:line="300" w:lineRule="auto"/>
        <w:jc w:val="center"/>
        <w:rPr>
          <w:rFonts w:ascii="Times New Roman" w:hAnsi="Times New Roman"/>
          <w:szCs w:val="21"/>
        </w:rPr>
      </w:pPr>
      <w:r>
        <w:rPr>
          <w:rFonts w:hint="eastAsia" w:ascii="Times New Roman" w:hAnsi="Times New Roman"/>
          <w:szCs w:val="21"/>
        </w:rPr>
        <w:t>_________________</w:t>
      </w:r>
    </w:p>
    <w:p w14:paraId="468F7BBF">
      <w:pPr>
        <w:pStyle w:val="2"/>
        <w:spacing w:beforeLines="25" w:line="300" w:lineRule="auto"/>
        <w:rPr>
          <w:bCs/>
          <w:sz w:val="24"/>
          <w:szCs w:val="24"/>
        </w:rPr>
      </w:pPr>
      <w:bookmarkStart w:id="158" w:name="_Toc477512416"/>
      <w:r>
        <w:rPr>
          <w:sz w:val="21"/>
          <w:szCs w:val="21"/>
        </w:rPr>
        <w:br w:type="page"/>
      </w:r>
      <w:r>
        <w:rPr>
          <w:sz w:val="24"/>
          <w:szCs w:val="24"/>
        </w:rPr>
        <w:t>附录V</w:t>
      </w:r>
      <w:r>
        <w:rPr>
          <w:sz w:val="24"/>
          <w:szCs w:val="24"/>
        </w:rPr>
        <w:br w:type="textWrapping"/>
      </w:r>
      <w:r>
        <w:rPr>
          <w:sz w:val="24"/>
          <w:szCs w:val="24"/>
        </w:rPr>
        <w:t>CE</w:t>
      </w:r>
      <w:bookmarkEnd w:id="158"/>
      <w:r>
        <w:rPr>
          <w:sz w:val="24"/>
          <w:szCs w:val="24"/>
        </w:rPr>
        <w:t>符合性标志</w:t>
      </w:r>
    </w:p>
    <w:p w14:paraId="2A29312E">
      <w:pPr>
        <w:pStyle w:val="32"/>
        <w:numPr>
          <w:ilvl w:val="0"/>
          <w:numId w:val="162"/>
        </w:numPr>
        <w:tabs>
          <w:tab w:val="left" w:pos="682"/>
        </w:tabs>
        <w:topLinePunct/>
        <w:snapToGrid w:val="0"/>
        <w:spacing w:beforeLines="25" w:line="300" w:lineRule="auto"/>
        <w:ind w:hanging="567"/>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CE</w:t>
      </w:r>
      <w:r>
        <w:rPr>
          <w:rFonts w:hint="eastAsia" w:ascii="Times New Roman" w:hAnsi="Times New Roman"/>
          <w:kern w:val="2"/>
          <w:szCs w:val="21"/>
        </w:rPr>
        <w:t>”</w:t>
      </w:r>
      <w:r>
        <w:rPr>
          <w:rFonts w:ascii="Times New Roman" w:hAnsi="Times New Roman"/>
          <w:kern w:val="2"/>
          <w:szCs w:val="21"/>
        </w:rPr>
        <w:t>标识必须包含前缀</w:t>
      </w:r>
      <w:r>
        <w:rPr>
          <w:rFonts w:hint="eastAsia" w:ascii="Times New Roman" w:hAnsi="Times New Roman"/>
          <w:kern w:val="2"/>
          <w:szCs w:val="21"/>
        </w:rPr>
        <w:t>“</w:t>
      </w:r>
      <w:r>
        <w:rPr>
          <w:rFonts w:ascii="Times New Roman" w:hAnsi="Times New Roman"/>
          <w:kern w:val="2"/>
          <w:szCs w:val="21"/>
        </w:rPr>
        <w:t>CE</w:t>
      </w:r>
      <w:r>
        <w:rPr>
          <w:rFonts w:hint="eastAsia" w:ascii="Times New Roman" w:hAnsi="Times New Roman"/>
          <w:kern w:val="2"/>
          <w:szCs w:val="21"/>
        </w:rPr>
        <w:t>”</w:t>
      </w:r>
      <w:r>
        <w:rPr>
          <w:rFonts w:ascii="Times New Roman" w:hAnsi="Times New Roman"/>
          <w:kern w:val="2"/>
          <w:szCs w:val="21"/>
        </w:rPr>
        <w:t>，并采用下面形式：</w:t>
      </w:r>
    </w:p>
    <w:p w14:paraId="525107CB">
      <w:pPr>
        <w:snapToGrid w:val="0"/>
        <w:spacing w:beforeLines="25" w:line="300" w:lineRule="auto"/>
        <w:rPr>
          <w:rFonts w:ascii="Times New Roman" w:hAnsi="Times New Roman"/>
          <w:kern w:val="2"/>
          <w:szCs w:val="21"/>
        </w:rPr>
      </w:pPr>
    </w:p>
    <w:p w14:paraId="1D5EF7AA">
      <w:pPr>
        <w:snapToGrid w:val="0"/>
        <w:spacing w:beforeLines="25" w:line="300" w:lineRule="auto"/>
        <w:rPr>
          <w:rFonts w:ascii="Times New Roman" w:hAnsi="Times New Roman"/>
          <w:kern w:val="2"/>
          <w:szCs w:val="21"/>
        </w:rPr>
      </w:pPr>
      <w:r>
        <w:rPr>
          <w:rFonts w:ascii="Times New Roman" w:hAnsi="Times New Roman"/>
          <w:kern w:val="2"/>
          <w:szCs w:val="21"/>
        </w:rPr>
        <w:drawing>
          <wp:anchor distT="0" distB="0" distL="114300" distR="114300" simplePos="0" relativeHeight="251661312" behindDoc="1" locked="0" layoutInCell="1" allowOverlap="1">
            <wp:simplePos x="0" y="0"/>
            <wp:positionH relativeFrom="column">
              <wp:posOffset>1524000</wp:posOffset>
            </wp:positionH>
            <wp:positionV relativeFrom="paragraph">
              <wp:posOffset>12700</wp:posOffset>
            </wp:positionV>
            <wp:extent cx="2794000" cy="1583055"/>
            <wp:effectExtent l="0" t="0" r="6350" b="0"/>
            <wp:wrapNone/>
            <wp:docPr id="6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94000" cy="1583055"/>
                    </a:xfrm>
                    <a:prstGeom prst="rect">
                      <a:avLst/>
                    </a:prstGeom>
                    <a:noFill/>
                    <a:ln>
                      <a:noFill/>
                    </a:ln>
                  </pic:spPr>
                </pic:pic>
              </a:graphicData>
            </a:graphic>
          </wp:anchor>
        </w:drawing>
      </w:r>
    </w:p>
    <w:p w14:paraId="2A0DB37D">
      <w:pPr>
        <w:snapToGrid w:val="0"/>
        <w:spacing w:beforeLines="25" w:line="300" w:lineRule="auto"/>
        <w:rPr>
          <w:rFonts w:ascii="Times New Roman" w:hAnsi="Times New Roman"/>
          <w:kern w:val="2"/>
          <w:szCs w:val="21"/>
        </w:rPr>
      </w:pPr>
    </w:p>
    <w:p w14:paraId="234CC975">
      <w:pPr>
        <w:snapToGrid w:val="0"/>
        <w:spacing w:beforeLines="25" w:line="300" w:lineRule="auto"/>
        <w:rPr>
          <w:rFonts w:ascii="Times New Roman" w:hAnsi="Times New Roman"/>
          <w:kern w:val="2"/>
          <w:szCs w:val="21"/>
        </w:rPr>
      </w:pPr>
    </w:p>
    <w:p w14:paraId="1FDFBFC3">
      <w:pPr>
        <w:snapToGrid w:val="0"/>
        <w:spacing w:beforeLines="25" w:line="300" w:lineRule="auto"/>
        <w:rPr>
          <w:rFonts w:ascii="Times New Roman" w:hAnsi="Times New Roman"/>
          <w:kern w:val="2"/>
          <w:szCs w:val="21"/>
        </w:rPr>
      </w:pPr>
    </w:p>
    <w:p w14:paraId="084A0CD3">
      <w:pPr>
        <w:snapToGrid w:val="0"/>
        <w:spacing w:beforeLines="25" w:line="300" w:lineRule="auto"/>
        <w:rPr>
          <w:rFonts w:ascii="Times New Roman" w:hAnsi="Times New Roman"/>
          <w:kern w:val="2"/>
          <w:szCs w:val="21"/>
        </w:rPr>
      </w:pPr>
    </w:p>
    <w:p w14:paraId="5FDABFC0">
      <w:pPr>
        <w:snapToGrid w:val="0"/>
        <w:spacing w:beforeLines="25" w:line="300" w:lineRule="auto"/>
        <w:rPr>
          <w:rFonts w:ascii="Times New Roman" w:hAnsi="Times New Roman"/>
          <w:kern w:val="2"/>
          <w:szCs w:val="21"/>
        </w:rPr>
      </w:pPr>
    </w:p>
    <w:p w14:paraId="68000A11">
      <w:pPr>
        <w:snapToGrid w:val="0"/>
        <w:spacing w:beforeLines="25" w:line="300" w:lineRule="auto"/>
        <w:rPr>
          <w:rFonts w:ascii="Times New Roman" w:hAnsi="Times New Roman"/>
          <w:kern w:val="2"/>
          <w:szCs w:val="21"/>
        </w:rPr>
      </w:pPr>
    </w:p>
    <w:p w14:paraId="2FA3C8C3">
      <w:pPr>
        <w:snapToGrid w:val="0"/>
        <w:spacing w:beforeLines="25" w:line="300" w:lineRule="auto"/>
        <w:rPr>
          <w:rFonts w:ascii="Times New Roman" w:hAnsi="Times New Roman"/>
          <w:kern w:val="2"/>
          <w:szCs w:val="21"/>
        </w:rPr>
      </w:pPr>
    </w:p>
    <w:p w14:paraId="3076BC6A">
      <w:pPr>
        <w:pStyle w:val="32"/>
        <w:numPr>
          <w:ilvl w:val="0"/>
          <w:numId w:val="16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若缩小或放大CE标识，应遵守上述渐变图的比例。</w:t>
      </w:r>
    </w:p>
    <w:p w14:paraId="54651283">
      <w:pPr>
        <w:pStyle w:val="32"/>
        <w:numPr>
          <w:ilvl w:val="0"/>
          <w:numId w:val="16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在垂直方向上，CE标识的各个部分应具有基本相同的尺寸，</w:t>
      </w:r>
      <w:r>
        <w:rPr>
          <w:rFonts w:hint="eastAsia" w:ascii="Times New Roman" w:hAnsi="Times New Roman"/>
          <w:kern w:val="2"/>
          <w:szCs w:val="21"/>
        </w:rPr>
        <w:t>且</w:t>
      </w:r>
      <w:r>
        <w:rPr>
          <w:rFonts w:ascii="Times New Roman" w:hAnsi="Times New Roman"/>
          <w:kern w:val="2"/>
          <w:szCs w:val="21"/>
        </w:rPr>
        <w:t>不小于5 mm。此最小尺寸不针对小型器械。</w:t>
      </w:r>
    </w:p>
    <w:p w14:paraId="70FD5706">
      <w:pPr>
        <w:snapToGrid w:val="0"/>
        <w:spacing w:beforeLines="25" w:line="300" w:lineRule="auto"/>
        <w:jc w:val="center"/>
        <w:rPr>
          <w:rFonts w:ascii="Times New Roman" w:hAnsi="Times New Roman"/>
          <w:szCs w:val="21"/>
        </w:rPr>
      </w:pPr>
      <w:r>
        <w:rPr>
          <w:rFonts w:hint="eastAsia" w:ascii="Times New Roman" w:hAnsi="Times New Roman"/>
          <w:szCs w:val="21"/>
        </w:rPr>
        <w:t>________________</w:t>
      </w:r>
    </w:p>
    <w:p w14:paraId="2F600C8F">
      <w:pPr>
        <w:pStyle w:val="2"/>
        <w:spacing w:beforeLines="40" w:line="300" w:lineRule="auto"/>
        <w:rPr>
          <w:rStyle w:val="48"/>
          <w:b w:val="0"/>
          <w:sz w:val="24"/>
          <w:szCs w:val="24"/>
        </w:rPr>
      </w:pPr>
      <w:bookmarkStart w:id="159" w:name="_Toc477512417"/>
      <w:r>
        <w:rPr>
          <w:sz w:val="21"/>
          <w:szCs w:val="21"/>
        </w:rPr>
        <w:br w:type="page"/>
      </w:r>
      <w:r>
        <w:rPr>
          <w:sz w:val="24"/>
          <w:szCs w:val="24"/>
        </w:rPr>
        <w:t xml:space="preserve">附录VI  </w:t>
      </w:r>
      <w:r>
        <w:rPr>
          <w:sz w:val="24"/>
          <w:szCs w:val="24"/>
        </w:rPr>
        <w:br w:type="textWrapping"/>
      </w:r>
      <w:r>
        <w:rPr>
          <w:rFonts w:hint="eastAsia"/>
          <w:sz w:val="24"/>
          <w:szCs w:val="24"/>
        </w:rPr>
        <w:t>根据第29(4)和31条提交的注册器械和经济运营商信息，根据第28和29条提供给UDI数据库的核心数据元素与UDI-DI，和UDI系统</w:t>
      </w:r>
      <w:bookmarkEnd w:id="159"/>
    </w:p>
    <w:p w14:paraId="24B28E13">
      <w:pPr>
        <w:pStyle w:val="4"/>
        <w:topLinePunct/>
        <w:snapToGrid w:val="0"/>
        <w:spacing w:beforeLines="40" w:line="300" w:lineRule="auto"/>
        <w:ind w:left="195" w:firstLine="0"/>
        <w:jc w:val="center"/>
        <w:rPr>
          <w:rFonts w:ascii="Times New Roman" w:hAnsi="Times New Roman"/>
          <w:kern w:val="2"/>
          <w:sz w:val="21"/>
          <w:szCs w:val="21"/>
        </w:rPr>
      </w:pPr>
    </w:p>
    <w:p w14:paraId="11761222">
      <w:pPr>
        <w:pStyle w:val="4"/>
        <w:topLinePunct/>
        <w:snapToGrid w:val="0"/>
        <w:spacing w:beforeLines="40" w:line="300" w:lineRule="auto"/>
        <w:ind w:left="195" w:firstLine="0"/>
        <w:jc w:val="center"/>
        <w:rPr>
          <w:rFonts w:ascii="Times New Roman" w:hAnsi="Times New Roman"/>
          <w:b w:val="0"/>
          <w:bCs w:val="0"/>
          <w:kern w:val="2"/>
          <w:sz w:val="21"/>
          <w:szCs w:val="21"/>
        </w:rPr>
      </w:pPr>
      <w:r>
        <w:rPr>
          <w:rFonts w:ascii="Times New Roman" w:hAnsi="Times New Roman"/>
          <w:kern w:val="2"/>
          <w:sz w:val="21"/>
          <w:szCs w:val="21"/>
        </w:rPr>
        <w:t>第A部分</w:t>
      </w:r>
    </w:p>
    <w:p w14:paraId="5E1446EB">
      <w:pPr>
        <w:snapToGrid w:val="0"/>
        <w:spacing w:beforeLines="40" w:line="300" w:lineRule="auto"/>
        <w:ind w:left="198"/>
        <w:jc w:val="center"/>
        <w:rPr>
          <w:rStyle w:val="48"/>
          <w:b/>
          <w:szCs w:val="21"/>
        </w:rPr>
      </w:pPr>
      <w:r>
        <w:rPr>
          <w:rFonts w:hint="eastAsia" w:ascii="Times New Roman" w:hAnsi="Times New Roman"/>
          <w:b/>
          <w:kern w:val="2"/>
          <w:szCs w:val="21"/>
        </w:rPr>
        <w:t>根据</w:t>
      </w:r>
      <w:r>
        <w:rPr>
          <w:rFonts w:ascii="Times New Roman" w:hAnsi="Times New Roman"/>
          <w:b/>
          <w:kern w:val="2"/>
          <w:szCs w:val="21"/>
        </w:rPr>
        <w:t>第29(4)和31条提交的注册器械和</w:t>
      </w:r>
      <w:r>
        <w:rPr>
          <w:rFonts w:hint="eastAsia" w:ascii="Times New Roman" w:hAnsi="Times New Roman"/>
          <w:b/>
          <w:kern w:val="2"/>
          <w:szCs w:val="21"/>
        </w:rPr>
        <w:t>经济运营商</w:t>
      </w:r>
      <w:r>
        <w:rPr>
          <w:rFonts w:ascii="Times New Roman" w:hAnsi="Times New Roman"/>
          <w:b/>
          <w:kern w:val="2"/>
          <w:szCs w:val="21"/>
        </w:rPr>
        <w:t>信息</w:t>
      </w:r>
    </w:p>
    <w:p w14:paraId="46D6C5EC">
      <w:pPr>
        <w:pStyle w:val="8"/>
        <w:topLinePunct/>
        <w:snapToGrid w:val="0"/>
        <w:spacing w:beforeLines="40" w:line="300" w:lineRule="auto"/>
        <w:ind w:left="114" w:firstLine="0"/>
        <w:jc w:val="both"/>
        <w:rPr>
          <w:kern w:val="2"/>
          <w:szCs w:val="21"/>
        </w:rPr>
      </w:pPr>
      <w:r>
        <w:rPr>
          <w:kern w:val="2"/>
          <w:szCs w:val="21"/>
          <w:lang w:val="en-US"/>
        </w:rPr>
        <w:t>制造商、授权代表（如适用）、进口商（如适用）应提交第1节中所述的信息，</w:t>
      </w:r>
      <w:r>
        <w:rPr>
          <w:kern w:val="2"/>
          <w:szCs w:val="21"/>
        </w:rPr>
        <w:t>还应确保第2节中所述的有关其器械的信息是完整的和正确的，并由相关方更新。</w:t>
      </w:r>
    </w:p>
    <w:p w14:paraId="681CE195">
      <w:pPr>
        <w:pStyle w:val="4"/>
        <w:numPr>
          <w:ilvl w:val="0"/>
          <w:numId w:val="163"/>
        </w:numPr>
        <w:tabs>
          <w:tab w:val="left" w:pos="682"/>
        </w:tabs>
        <w:topLinePunct/>
        <w:snapToGrid w:val="0"/>
        <w:spacing w:beforeLines="40"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与</w:t>
      </w:r>
      <w:r>
        <w:rPr>
          <w:rFonts w:ascii="Times New Roman" w:hAnsi="Times New Roman"/>
          <w:kern w:val="2"/>
          <w:sz w:val="21"/>
          <w:szCs w:val="21"/>
          <w:lang w:val="en-US"/>
        </w:rPr>
        <w:t>经济运营商</w:t>
      </w:r>
      <w:r>
        <w:rPr>
          <w:rFonts w:ascii="Times New Roman" w:hAnsi="Times New Roman"/>
          <w:kern w:val="2"/>
          <w:sz w:val="21"/>
          <w:szCs w:val="21"/>
        </w:rPr>
        <w:t>有关的信息</w:t>
      </w:r>
    </w:p>
    <w:p w14:paraId="06F92192">
      <w:pPr>
        <w:pStyle w:val="32"/>
        <w:numPr>
          <w:ilvl w:val="1"/>
          <w:numId w:val="163"/>
        </w:numPr>
        <w:tabs>
          <w:tab w:val="left" w:pos="682"/>
        </w:tabs>
        <w:topLinePunct/>
        <w:snapToGrid w:val="0"/>
        <w:spacing w:beforeLines="40" w:line="300" w:lineRule="auto"/>
        <w:ind w:hanging="567"/>
        <w:jc w:val="both"/>
        <w:rPr>
          <w:rFonts w:ascii="Times New Roman" w:hAnsi="Times New Roman"/>
          <w:kern w:val="2"/>
          <w:szCs w:val="21"/>
        </w:rPr>
      </w:pPr>
      <w:r>
        <w:rPr>
          <w:rFonts w:ascii="Times New Roman" w:hAnsi="Times New Roman"/>
          <w:kern w:val="2"/>
          <w:szCs w:val="21"/>
        </w:rPr>
        <w:t>经济运营商</w:t>
      </w:r>
      <w:r>
        <w:rPr>
          <w:rFonts w:hint="eastAsia" w:ascii="Times New Roman" w:hAnsi="Times New Roman"/>
          <w:kern w:val="2"/>
          <w:szCs w:val="21"/>
        </w:rPr>
        <w:t>的</w:t>
      </w:r>
      <w:r>
        <w:rPr>
          <w:rFonts w:ascii="Times New Roman" w:hAnsi="Times New Roman"/>
          <w:kern w:val="2"/>
          <w:szCs w:val="21"/>
        </w:rPr>
        <w:t>类型（制造商、授权代表或进口商）；</w:t>
      </w:r>
    </w:p>
    <w:p w14:paraId="6EE786D5">
      <w:pPr>
        <w:pStyle w:val="32"/>
        <w:numPr>
          <w:ilvl w:val="1"/>
          <w:numId w:val="163"/>
        </w:numPr>
        <w:tabs>
          <w:tab w:val="left" w:pos="682"/>
        </w:tabs>
        <w:topLinePunct/>
        <w:snapToGrid w:val="0"/>
        <w:spacing w:beforeLines="40" w:line="300" w:lineRule="auto"/>
        <w:ind w:hanging="567"/>
        <w:jc w:val="both"/>
        <w:rPr>
          <w:rFonts w:ascii="Times New Roman" w:hAnsi="Times New Roman"/>
          <w:kern w:val="2"/>
          <w:szCs w:val="21"/>
        </w:rPr>
      </w:pPr>
      <w:r>
        <w:rPr>
          <w:rFonts w:ascii="Times New Roman" w:hAnsi="Times New Roman"/>
          <w:kern w:val="2"/>
          <w:szCs w:val="21"/>
          <w:lang w:val="en-US"/>
        </w:rPr>
        <w:t>经济运营商</w:t>
      </w:r>
      <w:r>
        <w:rPr>
          <w:rFonts w:ascii="Times New Roman" w:hAnsi="Times New Roman"/>
          <w:kern w:val="2"/>
          <w:szCs w:val="21"/>
        </w:rPr>
        <w:t>的名称、地址和联系方式；</w:t>
      </w:r>
    </w:p>
    <w:p w14:paraId="179E0E95">
      <w:pPr>
        <w:pStyle w:val="25"/>
        <w:numPr>
          <w:ilvl w:val="1"/>
          <w:numId w:val="163"/>
        </w:numPr>
        <w:tabs>
          <w:tab w:val="left" w:pos="682"/>
        </w:tabs>
        <w:topLinePunct/>
        <w:snapToGrid w:val="0"/>
        <w:spacing w:beforeLines="40" w:line="300" w:lineRule="auto"/>
        <w:jc w:val="both"/>
        <w:rPr>
          <w:kern w:val="2"/>
          <w:szCs w:val="21"/>
        </w:rPr>
      </w:pPr>
      <w:r>
        <w:rPr>
          <w:rFonts w:hint="eastAsia"/>
          <w:kern w:val="2"/>
          <w:szCs w:val="21"/>
          <w:lang w:bidi="ar-SA"/>
        </w:rPr>
        <w:t>若信息由</w:t>
      </w:r>
      <w:r>
        <w:rPr>
          <w:kern w:val="2"/>
          <w:szCs w:val="21"/>
          <w:lang w:bidi="ar-SA"/>
        </w:rPr>
        <w:t>1.1</w:t>
      </w:r>
      <w:r>
        <w:rPr>
          <w:rFonts w:hint="eastAsia"/>
          <w:kern w:val="2"/>
          <w:szCs w:val="21"/>
          <w:lang w:bidi="ar-SA"/>
        </w:rPr>
        <w:t>节中的其他角色代为提交，还应提供提交人的姓名、地址和联系方式；</w:t>
      </w:r>
    </w:p>
    <w:p w14:paraId="59DDD4FD">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hint="eastAsia" w:ascii="Times New Roman" w:hAnsi="Times New Roman"/>
          <w:kern w:val="2"/>
          <w:szCs w:val="21"/>
        </w:rPr>
        <w:t>第</w:t>
      </w:r>
      <w:r>
        <w:rPr>
          <w:rFonts w:hint="eastAsia" w:ascii="Times New Roman" w:hAnsi="Times New Roman"/>
          <w:kern w:val="2"/>
          <w:szCs w:val="21"/>
          <w:lang w:val="en-US"/>
        </w:rPr>
        <w:t>15</w:t>
      </w:r>
      <w:r>
        <w:rPr>
          <w:rFonts w:ascii="Times New Roman" w:hAnsi="Times New Roman"/>
          <w:kern w:val="2"/>
          <w:szCs w:val="21"/>
          <w:lang w:val="en-US"/>
        </w:rPr>
        <w:t>条</w:t>
      </w:r>
      <w:r>
        <w:rPr>
          <w:rFonts w:hint="eastAsia" w:ascii="Times New Roman" w:hAnsi="Times New Roman"/>
          <w:kern w:val="2"/>
          <w:szCs w:val="21"/>
          <w:lang w:val="en-US"/>
        </w:rPr>
        <w:t>中所述的法规符合性</w:t>
      </w:r>
      <w:r>
        <w:rPr>
          <w:rFonts w:ascii="Times New Roman" w:hAnsi="Times New Roman"/>
          <w:kern w:val="2"/>
          <w:szCs w:val="21"/>
          <w:lang w:val="en-US"/>
        </w:rPr>
        <w:t>负责人的姓名、地址和联系方式</w:t>
      </w:r>
      <w:r>
        <w:rPr>
          <w:rFonts w:ascii="Times New Roman" w:hAnsi="Times New Roman"/>
          <w:kern w:val="2"/>
          <w:szCs w:val="21"/>
        </w:rPr>
        <w:t>；</w:t>
      </w:r>
    </w:p>
    <w:p w14:paraId="57CB373A">
      <w:pPr>
        <w:pStyle w:val="4"/>
        <w:numPr>
          <w:ilvl w:val="0"/>
          <w:numId w:val="163"/>
        </w:numPr>
        <w:tabs>
          <w:tab w:val="left" w:pos="682"/>
        </w:tabs>
        <w:topLinePunct/>
        <w:snapToGrid w:val="0"/>
        <w:spacing w:beforeLines="40"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与器械有关的信息</w:t>
      </w:r>
    </w:p>
    <w:p w14:paraId="7B2A5076">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基本UDI-DI</w:t>
      </w:r>
    </w:p>
    <w:p w14:paraId="59B50C3C">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由公告机构签发证书的类型、编号和到期日以及该公告机构的名称或标识号，以及由公告机构和在公告机构和证书的电子系统中输入显示证书的信息链接。</w:t>
      </w:r>
    </w:p>
    <w:p w14:paraId="3DE7968F">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器械应投放或已经投放的市场所在的欧盟成员国；</w:t>
      </w:r>
    </w:p>
    <w:p w14:paraId="6556EEDD">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对于IIa、IIb或III类器械：该器械在该成员国中可用，</w:t>
      </w:r>
    </w:p>
    <w:p w14:paraId="23578091">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器械的风险等级；</w:t>
      </w:r>
    </w:p>
    <w:p w14:paraId="4793AD66">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回收一次性使用器械（是/否），</w:t>
      </w:r>
    </w:p>
    <w:p w14:paraId="0DFEFA1F">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存在某一单独使用时可认为是一种药品的物质以及该物质的名称，</w:t>
      </w:r>
    </w:p>
    <w:p w14:paraId="60FE8F8E">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存在某一单独使用时可认为是一种人体血液或血浆来源药品的物质以及该物质的名称，</w:t>
      </w:r>
    </w:p>
    <w:p w14:paraId="0CE4D5B0">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存在人体源组织或细胞或其衍生物（是/否），</w:t>
      </w:r>
    </w:p>
    <w:p w14:paraId="53B50CBA">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存在第722/2012号</w:t>
      </w:r>
      <w:r>
        <w:rPr>
          <w:rFonts w:ascii="Times New Roman" w:hAnsi="Times New Roman"/>
          <w:kern w:val="2"/>
          <w:szCs w:val="21"/>
          <w:lang w:val="en-US"/>
        </w:rPr>
        <w:t>法规</w:t>
      </w:r>
      <w:r>
        <w:rPr>
          <w:rFonts w:ascii="Times New Roman" w:hAnsi="Times New Roman"/>
          <w:kern w:val="2"/>
          <w:szCs w:val="21"/>
        </w:rPr>
        <w:t>所述动物源组织或细胞或其衍生物（是/否），</w:t>
      </w:r>
    </w:p>
    <w:p w14:paraId="7494B8D6">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如适用，与器械相关的临床研究唯一识别号（或在电子系统中与临床研究有关的临床研究登记链接），</w:t>
      </w:r>
    </w:p>
    <w:p w14:paraId="71BABA64">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对于附录XVI所列器械，规定器械预期目的是否为医疗用途，</w:t>
      </w:r>
    </w:p>
    <w:p w14:paraId="429AEBBA">
      <w:pPr>
        <w:pStyle w:val="32"/>
        <w:numPr>
          <w:ilvl w:val="1"/>
          <w:numId w:val="163"/>
        </w:numPr>
        <w:tabs>
          <w:tab w:val="left" w:pos="682"/>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若器械由第10(15)条中所述的另一个法人或自然人设计和制造，法人或自然人的名称、地址和联系方式；</w:t>
      </w:r>
    </w:p>
    <w:p w14:paraId="310BD3F9">
      <w:pPr>
        <w:pStyle w:val="32"/>
        <w:numPr>
          <w:ilvl w:val="1"/>
          <w:numId w:val="163"/>
        </w:numPr>
        <w:tabs>
          <w:tab w:val="left" w:pos="682"/>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对于III类器械或可植入器械，安全和临床性能总结，</w:t>
      </w:r>
    </w:p>
    <w:p w14:paraId="7DB3348E">
      <w:pPr>
        <w:pStyle w:val="32"/>
        <w:numPr>
          <w:ilvl w:val="1"/>
          <w:numId w:val="163"/>
        </w:numPr>
        <w:tabs>
          <w:tab w:val="left" w:pos="682"/>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器械的状态（在市场上、不再在市场上、召回、现场安全纠正措施启用）。</w:t>
      </w:r>
    </w:p>
    <w:p w14:paraId="6F8A38B9">
      <w:pPr>
        <w:pStyle w:val="4"/>
        <w:topLinePunct/>
        <w:snapToGrid w:val="0"/>
        <w:spacing w:beforeLines="35" w:line="300" w:lineRule="auto"/>
        <w:ind w:left="195" w:firstLine="0"/>
        <w:jc w:val="center"/>
        <w:rPr>
          <w:rFonts w:ascii="Times New Roman" w:hAnsi="Times New Roman"/>
          <w:kern w:val="2"/>
          <w:sz w:val="21"/>
          <w:szCs w:val="21"/>
        </w:rPr>
      </w:pPr>
    </w:p>
    <w:p w14:paraId="23D3052E">
      <w:pPr>
        <w:pStyle w:val="4"/>
        <w:topLinePunct/>
        <w:snapToGrid w:val="0"/>
        <w:spacing w:beforeLines="35" w:line="300" w:lineRule="auto"/>
        <w:ind w:left="195" w:firstLine="0"/>
        <w:jc w:val="center"/>
        <w:rPr>
          <w:rFonts w:ascii="Times New Roman" w:hAnsi="Times New Roman"/>
          <w:b w:val="0"/>
          <w:bCs w:val="0"/>
          <w:kern w:val="2"/>
          <w:sz w:val="21"/>
          <w:szCs w:val="21"/>
        </w:rPr>
      </w:pPr>
      <w:r>
        <w:rPr>
          <w:rFonts w:ascii="Times New Roman" w:hAnsi="Times New Roman"/>
          <w:kern w:val="2"/>
          <w:sz w:val="21"/>
          <w:szCs w:val="21"/>
        </w:rPr>
        <w:t>第B部分</w:t>
      </w:r>
    </w:p>
    <w:p w14:paraId="057F947D">
      <w:pPr>
        <w:snapToGrid w:val="0"/>
        <w:spacing w:beforeLines="35" w:line="300" w:lineRule="auto"/>
        <w:ind w:left="198"/>
        <w:jc w:val="center"/>
        <w:rPr>
          <w:rStyle w:val="48"/>
          <w:b/>
          <w:szCs w:val="21"/>
        </w:rPr>
      </w:pPr>
      <w:r>
        <w:rPr>
          <w:rFonts w:hint="eastAsia" w:ascii="Times New Roman" w:hAnsi="Times New Roman"/>
          <w:b/>
          <w:kern w:val="2"/>
          <w:szCs w:val="21"/>
        </w:rPr>
        <w:t>根据第28和29条提供给UDI数据库的核心数据元素与UDI-DI</w:t>
      </w:r>
    </w:p>
    <w:p w14:paraId="7ED1C9DC">
      <w:pPr>
        <w:pStyle w:val="8"/>
        <w:topLinePunct/>
        <w:snapToGrid w:val="0"/>
        <w:spacing w:beforeLines="35" w:line="300" w:lineRule="auto"/>
        <w:ind w:left="113" w:firstLine="0"/>
        <w:jc w:val="both"/>
        <w:rPr>
          <w:kern w:val="2"/>
          <w:szCs w:val="21"/>
        </w:rPr>
      </w:pPr>
      <w:r>
        <w:rPr>
          <w:kern w:val="2"/>
          <w:szCs w:val="21"/>
        </w:rPr>
        <w:t>制造商应向UDI数据库提供UDI-DI以及与制造商和器械相关的以下信息：</w:t>
      </w:r>
    </w:p>
    <w:p w14:paraId="46B08F28">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各程序包配置的数量，</w:t>
      </w:r>
    </w:p>
    <w:p w14:paraId="3DF6F178">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第29条所述的基本UDI - DI和额外UDI - D，</w:t>
      </w:r>
    </w:p>
    <w:p w14:paraId="6ECA4C03">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控制器械生产的方式（到期日期或生产日期、批号或批数、序列号）；</w:t>
      </w:r>
    </w:p>
    <w:p w14:paraId="5F12C37B">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如适用，</w:t>
      </w:r>
      <w:r>
        <w:rPr>
          <w:rFonts w:hint="eastAsia" w:ascii="Times New Roman" w:hAnsi="Times New Roman"/>
          <w:kern w:val="2"/>
          <w:szCs w:val="21"/>
        </w:rPr>
        <w:t>“</w:t>
      </w:r>
      <w:r>
        <w:rPr>
          <w:rFonts w:ascii="Times New Roman" w:hAnsi="Times New Roman"/>
          <w:kern w:val="2"/>
          <w:szCs w:val="21"/>
        </w:rPr>
        <w:t>UDI-DI</w:t>
      </w:r>
      <w:r>
        <w:rPr>
          <w:rFonts w:hint="eastAsia" w:ascii="Times New Roman" w:hAnsi="Times New Roman"/>
          <w:kern w:val="2"/>
          <w:szCs w:val="21"/>
          <w:lang w:val="en-US"/>
        </w:rPr>
        <w:t>”</w:t>
      </w:r>
      <w:r>
        <w:rPr>
          <w:rFonts w:ascii="Times New Roman" w:hAnsi="Times New Roman"/>
          <w:kern w:val="2"/>
          <w:szCs w:val="21"/>
        </w:rPr>
        <w:t>使用单位（未给器械标签UDI‘使用单位’时，应规定DI ‘使用单位’，以便将器械的使用与患者关联起来），</w:t>
      </w:r>
    </w:p>
    <w:p w14:paraId="69F264C4">
      <w:pPr>
        <w:pStyle w:val="32"/>
        <w:numPr>
          <w:ilvl w:val="0"/>
          <w:numId w:val="164"/>
        </w:numPr>
        <w:tabs>
          <w:tab w:val="left" w:pos="682"/>
        </w:tabs>
        <w:topLinePunct/>
        <w:snapToGrid w:val="0"/>
        <w:spacing w:beforeLines="35" w:line="300" w:lineRule="auto"/>
        <w:ind w:left="114" w:firstLine="0"/>
        <w:jc w:val="both"/>
        <w:rPr>
          <w:rFonts w:ascii="Times New Roman" w:hAnsi="Times New Roman"/>
          <w:kern w:val="2"/>
          <w:szCs w:val="21"/>
        </w:rPr>
      </w:pPr>
      <w:r>
        <w:rPr>
          <w:rFonts w:ascii="Times New Roman" w:hAnsi="Times New Roman"/>
          <w:kern w:val="2"/>
          <w:szCs w:val="21"/>
        </w:rPr>
        <w:t>制造商的名称和地址（如标签所示），</w:t>
      </w:r>
    </w:p>
    <w:p w14:paraId="15E9DBDA">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按照31(2)条签发的SRN</w:t>
      </w:r>
    </w:p>
    <w:p w14:paraId="57F5551D">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如适用，授权代表的名称和地址（如标签所示）</w:t>
      </w:r>
    </w:p>
    <w:p w14:paraId="4A4F84C6">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第</w:t>
      </w:r>
      <w:r>
        <w:rPr>
          <w:rFonts w:hint="eastAsia" w:ascii="Times New Roman" w:hAnsi="Times New Roman"/>
          <w:kern w:val="2"/>
          <w:szCs w:val="21"/>
        </w:rPr>
        <w:t>26</w:t>
      </w:r>
      <w:r>
        <w:rPr>
          <w:rFonts w:ascii="Times New Roman" w:hAnsi="Times New Roman"/>
          <w:kern w:val="2"/>
          <w:szCs w:val="21"/>
        </w:rPr>
        <w:t>条规定的医疗器械命名法规</w:t>
      </w:r>
    </w:p>
    <w:p w14:paraId="4DA795E3">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器械的风险等级；</w:t>
      </w:r>
    </w:p>
    <w:p w14:paraId="5EF8414A">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如适用，</w:t>
      </w:r>
      <w:r>
        <w:rPr>
          <w:rFonts w:hint="eastAsia" w:ascii="Times New Roman" w:hAnsi="Times New Roman"/>
          <w:kern w:val="2"/>
          <w:szCs w:val="21"/>
        </w:rPr>
        <w:t>商品名或</w:t>
      </w:r>
      <w:r>
        <w:rPr>
          <w:rFonts w:ascii="Times New Roman" w:hAnsi="Times New Roman"/>
          <w:kern w:val="2"/>
          <w:szCs w:val="21"/>
        </w:rPr>
        <w:t>商标名称；</w:t>
      </w:r>
    </w:p>
    <w:p w14:paraId="7A2159C8">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如适用，器械的型号、参考号或目录号；</w:t>
      </w:r>
    </w:p>
    <w:p w14:paraId="7E5D67ED">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如适用，临床尺寸（包括体积、长度、规范、直径），</w:t>
      </w:r>
    </w:p>
    <w:p w14:paraId="6F64DBE3">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额外的产品说明（可选）；</w:t>
      </w:r>
    </w:p>
    <w:p w14:paraId="15730220">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如适用，存储和/或处理条件（如标签或使用说明所示）；</w:t>
      </w:r>
    </w:p>
    <w:p w14:paraId="16EB3D14">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如适用，器械的额外商品名；</w:t>
      </w:r>
    </w:p>
    <w:p w14:paraId="5EE457C1">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标记为一次性使用器械（是/否）；</w:t>
      </w:r>
    </w:p>
    <w:p w14:paraId="3369DEB7">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如适用，重复</w:t>
      </w:r>
      <w:r>
        <w:rPr>
          <w:rFonts w:hint="eastAsia" w:ascii="Times New Roman" w:hAnsi="Times New Roman"/>
          <w:kern w:val="2"/>
          <w:szCs w:val="21"/>
        </w:rPr>
        <w:t>使用最大</w:t>
      </w:r>
      <w:r>
        <w:rPr>
          <w:rFonts w:ascii="Times New Roman" w:hAnsi="Times New Roman"/>
          <w:kern w:val="2"/>
          <w:szCs w:val="21"/>
        </w:rPr>
        <w:t>次数；</w:t>
      </w:r>
    </w:p>
    <w:p w14:paraId="6AA8D39B">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标记为无菌的器械（是/否）；</w:t>
      </w:r>
    </w:p>
    <w:p w14:paraId="26F87585">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使用前需消毒（是/否）；</w:t>
      </w:r>
    </w:p>
    <w:p w14:paraId="639103B3">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标记为含胶乳（是/否），</w:t>
      </w:r>
    </w:p>
    <w:p w14:paraId="04811664">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如适用，按照附录I第10.4.5节标记的信息。</w:t>
      </w:r>
    </w:p>
    <w:p w14:paraId="73CD7904">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额外信息的URL，如电子使用说明（可选）；</w:t>
      </w:r>
    </w:p>
    <w:p w14:paraId="756553EC">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重要警告或禁忌</w:t>
      </w:r>
      <w:r>
        <w:rPr>
          <w:rFonts w:hint="eastAsia" w:ascii="Times New Roman" w:hAnsi="Times New Roman"/>
          <w:kern w:val="2"/>
          <w:szCs w:val="21"/>
        </w:rPr>
        <w:t>（</w:t>
      </w:r>
      <w:r>
        <w:rPr>
          <w:rFonts w:ascii="Times New Roman" w:hAnsi="Times New Roman"/>
          <w:kern w:val="2"/>
          <w:szCs w:val="21"/>
        </w:rPr>
        <w:t>如适用</w:t>
      </w:r>
      <w:r>
        <w:rPr>
          <w:rFonts w:hint="eastAsia" w:ascii="Times New Roman" w:hAnsi="Times New Roman"/>
          <w:kern w:val="2"/>
          <w:szCs w:val="21"/>
        </w:rPr>
        <w:t>）</w:t>
      </w:r>
      <w:r>
        <w:rPr>
          <w:rFonts w:ascii="Times New Roman" w:hAnsi="Times New Roman"/>
          <w:kern w:val="2"/>
          <w:szCs w:val="21"/>
        </w:rPr>
        <w:t>。</w:t>
      </w:r>
    </w:p>
    <w:p w14:paraId="0A61FE87">
      <w:pPr>
        <w:pStyle w:val="32"/>
        <w:numPr>
          <w:ilvl w:val="0"/>
          <w:numId w:val="164"/>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器械状态（市售、不再市售、召回、现场安全纠正措施启用）</w:t>
      </w:r>
    </w:p>
    <w:p w14:paraId="4AED1DA9">
      <w:pPr>
        <w:pStyle w:val="4"/>
        <w:topLinePunct/>
        <w:snapToGrid w:val="0"/>
        <w:spacing w:beforeLines="25" w:line="300" w:lineRule="auto"/>
        <w:ind w:left="195" w:firstLine="0"/>
        <w:jc w:val="center"/>
        <w:rPr>
          <w:rFonts w:ascii="Times New Roman" w:hAnsi="Times New Roman"/>
          <w:b w:val="0"/>
          <w:bCs w:val="0"/>
          <w:kern w:val="2"/>
          <w:sz w:val="21"/>
          <w:szCs w:val="21"/>
        </w:rPr>
      </w:pPr>
      <w:r>
        <w:rPr>
          <w:rFonts w:ascii="Times New Roman" w:hAnsi="Times New Roman"/>
          <w:kern w:val="2"/>
          <w:sz w:val="21"/>
          <w:szCs w:val="21"/>
        </w:rPr>
        <w:t>第C部分</w:t>
      </w:r>
    </w:p>
    <w:p w14:paraId="1B4D37FE">
      <w:pPr>
        <w:snapToGrid w:val="0"/>
        <w:spacing w:beforeLines="25" w:line="300" w:lineRule="auto"/>
        <w:ind w:left="196"/>
        <w:jc w:val="center"/>
        <w:rPr>
          <w:rStyle w:val="48"/>
          <w:b/>
          <w:szCs w:val="21"/>
        </w:rPr>
      </w:pPr>
      <w:r>
        <w:rPr>
          <w:rFonts w:ascii="Times New Roman" w:hAnsi="Times New Roman"/>
          <w:b/>
          <w:kern w:val="2"/>
          <w:szCs w:val="21"/>
        </w:rPr>
        <w:t>UDI系统</w:t>
      </w:r>
    </w:p>
    <w:p w14:paraId="3F525BD5">
      <w:pPr>
        <w:pStyle w:val="32"/>
        <w:numPr>
          <w:ilvl w:val="0"/>
          <w:numId w:val="165"/>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b/>
          <w:kern w:val="2"/>
          <w:szCs w:val="21"/>
        </w:rPr>
        <w:t>定义</w:t>
      </w:r>
    </w:p>
    <w:p w14:paraId="234C526E">
      <w:pPr>
        <w:pStyle w:val="8"/>
        <w:topLinePunct/>
        <w:snapToGrid w:val="0"/>
        <w:spacing w:beforeLines="25" w:line="300" w:lineRule="auto"/>
        <w:ind w:firstLine="0"/>
        <w:jc w:val="both"/>
        <w:rPr>
          <w:kern w:val="2"/>
          <w:szCs w:val="21"/>
        </w:rPr>
      </w:pPr>
      <w:r>
        <w:rPr>
          <w:kern w:val="2"/>
          <w:szCs w:val="21"/>
        </w:rPr>
        <w:t>自动标识和数据捕获（</w:t>
      </w:r>
      <w:r>
        <w:rPr>
          <w:rFonts w:hint="eastAsia"/>
          <w:kern w:val="2"/>
          <w:szCs w:val="21"/>
        </w:rPr>
        <w:t>“</w:t>
      </w:r>
      <w:r>
        <w:rPr>
          <w:kern w:val="2"/>
          <w:szCs w:val="21"/>
        </w:rPr>
        <w:t>AIDC</w:t>
      </w:r>
      <w:r>
        <w:rPr>
          <w:rFonts w:hint="eastAsia"/>
          <w:kern w:val="2"/>
          <w:szCs w:val="21"/>
        </w:rPr>
        <w:t>”</w:t>
      </w:r>
      <w:r>
        <w:rPr>
          <w:kern w:val="2"/>
          <w:szCs w:val="21"/>
        </w:rPr>
        <w:t>）</w:t>
      </w:r>
    </w:p>
    <w:p w14:paraId="041789C1">
      <w:pPr>
        <w:pStyle w:val="8"/>
        <w:topLinePunct/>
        <w:snapToGrid w:val="0"/>
        <w:spacing w:beforeLines="25" w:line="300" w:lineRule="auto"/>
        <w:ind w:firstLine="0"/>
        <w:jc w:val="both"/>
        <w:rPr>
          <w:kern w:val="2"/>
          <w:szCs w:val="21"/>
        </w:rPr>
      </w:pPr>
      <w:r>
        <w:rPr>
          <w:kern w:val="2"/>
          <w:szCs w:val="21"/>
        </w:rPr>
        <w:t>AIDC是一种自动捕获数据的技术。AIDC技术包括条形码、智能卡、生物识别和RFID。</w:t>
      </w:r>
    </w:p>
    <w:p w14:paraId="5B600B72">
      <w:pPr>
        <w:pStyle w:val="8"/>
        <w:topLinePunct/>
        <w:snapToGrid w:val="0"/>
        <w:spacing w:beforeLines="25" w:line="300" w:lineRule="auto"/>
        <w:ind w:firstLine="0"/>
        <w:jc w:val="both"/>
        <w:rPr>
          <w:kern w:val="2"/>
          <w:szCs w:val="21"/>
          <w:lang w:val="en-US"/>
        </w:rPr>
      </w:pPr>
      <w:r>
        <w:rPr>
          <w:kern w:val="2"/>
          <w:szCs w:val="21"/>
        </w:rPr>
        <w:t>基本的</w:t>
      </w:r>
      <w:r>
        <w:rPr>
          <w:kern w:val="2"/>
          <w:szCs w:val="21"/>
          <w:lang w:val="en-US"/>
        </w:rPr>
        <w:t>UDI - DI</w:t>
      </w:r>
    </w:p>
    <w:p w14:paraId="64561D58">
      <w:pPr>
        <w:pStyle w:val="8"/>
        <w:topLinePunct/>
        <w:snapToGrid w:val="0"/>
        <w:spacing w:beforeLines="25" w:line="300" w:lineRule="auto"/>
        <w:ind w:firstLine="0"/>
        <w:jc w:val="both"/>
        <w:rPr>
          <w:kern w:val="2"/>
          <w:szCs w:val="21"/>
        </w:rPr>
      </w:pPr>
      <w:r>
        <w:rPr>
          <w:kern w:val="2"/>
          <w:szCs w:val="21"/>
        </w:rPr>
        <w:t>基本的</w:t>
      </w:r>
      <w:r>
        <w:rPr>
          <w:kern w:val="2"/>
          <w:szCs w:val="21"/>
          <w:lang w:val="en-US"/>
        </w:rPr>
        <w:t>UDI - DI</w:t>
      </w:r>
      <w:r>
        <w:rPr>
          <w:kern w:val="2"/>
          <w:szCs w:val="21"/>
        </w:rPr>
        <w:t>是器械模型的主要标识符。基本的</w:t>
      </w:r>
      <w:r>
        <w:rPr>
          <w:kern w:val="2"/>
          <w:szCs w:val="21"/>
          <w:lang w:val="en-US"/>
        </w:rPr>
        <w:t>UDI - DI</w:t>
      </w:r>
      <w:r>
        <w:rPr>
          <w:kern w:val="2"/>
          <w:szCs w:val="21"/>
        </w:rPr>
        <w:t>是在器械使用单位的层面上分配的</w:t>
      </w:r>
      <w:r>
        <w:rPr>
          <w:kern w:val="2"/>
          <w:szCs w:val="21"/>
          <w:lang w:val="en-US"/>
        </w:rPr>
        <w:t>DI</w:t>
      </w:r>
      <w:r>
        <w:rPr>
          <w:kern w:val="2"/>
          <w:szCs w:val="21"/>
        </w:rPr>
        <w:t>。基本的UDI - DI是在UDI数据库中记录的主键，也应在相关的证书和合格声明中引用。</w:t>
      </w:r>
    </w:p>
    <w:p w14:paraId="75EA1DFD">
      <w:pPr>
        <w:pStyle w:val="8"/>
        <w:topLinePunct/>
        <w:snapToGrid w:val="0"/>
        <w:spacing w:beforeLines="25" w:line="300" w:lineRule="auto"/>
        <w:ind w:firstLine="0"/>
        <w:jc w:val="both"/>
        <w:rPr>
          <w:kern w:val="2"/>
          <w:szCs w:val="21"/>
        </w:rPr>
      </w:pPr>
      <w:r>
        <w:rPr>
          <w:kern w:val="2"/>
          <w:szCs w:val="21"/>
        </w:rPr>
        <w:t>使用单位DI</w:t>
      </w:r>
    </w:p>
    <w:p w14:paraId="24F429B3">
      <w:pPr>
        <w:pStyle w:val="8"/>
        <w:topLinePunct/>
        <w:snapToGrid w:val="0"/>
        <w:spacing w:beforeLines="25" w:line="300" w:lineRule="auto"/>
        <w:ind w:firstLine="0"/>
        <w:jc w:val="both"/>
        <w:rPr>
          <w:kern w:val="2"/>
          <w:szCs w:val="21"/>
        </w:rPr>
      </w:pPr>
      <w:bookmarkStart w:id="160" w:name="The_Unit_of_Use_DI_serves_to_associate_t"/>
      <w:bookmarkEnd w:id="160"/>
      <w:r>
        <w:rPr>
          <w:kern w:val="2"/>
          <w:szCs w:val="21"/>
        </w:rPr>
        <w:t>当UDI未在个别器械使用单位级别上标记时，使用单元DI用于在某些情况下将器械与对患者/在患者上使用的数据相关联，例如在相同器械的若干单元的情况下包装在一起。</w:t>
      </w:r>
    </w:p>
    <w:p w14:paraId="128F1DF3">
      <w:pPr>
        <w:pStyle w:val="8"/>
        <w:topLinePunct/>
        <w:snapToGrid w:val="0"/>
        <w:spacing w:beforeLines="25" w:line="300" w:lineRule="auto"/>
        <w:ind w:firstLine="0"/>
        <w:jc w:val="both"/>
        <w:rPr>
          <w:kern w:val="2"/>
          <w:szCs w:val="21"/>
        </w:rPr>
      </w:pPr>
      <w:r>
        <w:rPr>
          <w:kern w:val="2"/>
          <w:szCs w:val="21"/>
        </w:rPr>
        <w:t>可配置的器械</w:t>
      </w:r>
    </w:p>
    <w:p w14:paraId="600C3E72">
      <w:pPr>
        <w:pStyle w:val="8"/>
        <w:topLinePunct/>
        <w:snapToGrid w:val="0"/>
        <w:spacing w:beforeLines="25" w:line="300" w:lineRule="auto"/>
        <w:ind w:firstLine="0"/>
        <w:jc w:val="both"/>
        <w:rPr>
          <w:kern w:val="2"/>
          <w:szCs w:val="21"/>
        </w:rPr>
      </w:pPr>
      <w:r>
        <w:rPr>
          <w:kern w:val="2"/>
          <w:szCs w:val="21"/>
        </w:rPr>
        <w:t>可配置的器械是一种由数个组件组成的器械。在多种配置中，这些组件可能由制造商组装。那些独立的组件可能本身就是器械。</w:t>
      </w:r>
    </w:p>
    <w:p w14:paraId="45EE00E8">
      <w:pPr>
        <w:pStyle w:val="8"/>
        <w:topLinePunct/>
        <w:snapToGrid w:val="0"/>
        <w:spacing w:beforeLines="25" w:line="300" w:lineRule="auto"/>
        <w:ind w:firstLine="0"/>
        <w:jc w:val="both"/>
        <w:rPr>
          <w:kern w:val="2"/>
          <w:szCs w:val="21"/>
        </w:rPr>
      </w:pPr>
      <w:r>
        <w:rPr>
          <w:kern w:val="2"/>
          <w:szCs w:val="21"/>
        </w:rPr>
        <w:t>可配置器械包括计算机断层扫描（CT）系统、超声系统、麻醉系统、生理监测系统、放射信息系统（RIS）。</w:t>
      </w:r>
    </w:p>
    <w:p w14:paraId="3FB0FADA">
      <w:pPr>
        <w:pStyle w:val="8"/>
        <w:topLinePunct/>
        <w:snapToGrid w:val="0"/>
        <w:spacing w:beforeLines="25" w:line="300" w:lineRule="auto"/>
        <w:ind w:firstLine="0"/>
        <w:jc w:val="both"/>
        <w:rPr>
          <w:kern w:val="2"/>
          <w:szCs w:val="21"/>
        </w:rPr>
      </w:pPr>
      <w:r>
        <w:rPr>
          <w:kern w:val="2"/>
          <w:szCs w:val="21"/>
        </w:rPr>
        <w:t>配置</w:t>
      </w:r>
    </w:p>
    <w:p w14:paraId="43526E9E">
      <w:pPr>
        <w:pStyle w:val="8"/>
        <w:topLinePunct/>
        <w:snapToGrid w:val="0"/>
        <w:spacing w:beforeLines="25" w:line="300" w:lineRule="auto"/>
        <w:ind w:firstLine="0"/>
        <w:jc w:val="both"/>
        <w:rPr>
          <w:kern w:val="2"/>
          <w:szCs w:val="21"/>
        </w:rPr>
      </w:pPr>
      <w:r>
        <w:rPr>
          <w:kern w:val="2"/>
          <w:szCs w:val="21"/>
        </w:rPr>
        <w:t>配置是</w:t>
      </w:r>
      <w:r>
        <w:rPr>
          <w:kern w:val="2"/>
          <w:szCs w:val="21"/>
          <w:lang w:val="en-US"/>
        </w:rPr>
        <w:t>由制造商指定</w:t>
      </w:r>
      <w:r>
        <w:rPr>
          <w:rFonts w:hint="eastAsia"/>
          <w:kern w:val="2"/>
          <w:szCs w:val="21"/>
          <w:lang w:val="en-US"/>
        </w:rPr>
        <w:t>的</w:t>
      </w:r>
      <w:r>
        <w:rPr>
          <w:kern w:val="2"/>
          <w:szCs w:val="21"/>
        </w:rPr>
        <w:t>设备项的组合，这些设备项一起运作</w:t>
      </w:r>
      <w:r>
        <w:rPr>
          <w:rFonts w:hint="eastAsia"/>
          <w:kern w:val="2"/>
          <w:szCs w:val="21"/>
        </w:rPr>
        <w:t>，相当于</w:t>
      </w:r>
      <w:r>
        <w:rPr>
          <w:kern w:val="2"/>
          <w:szCs w:val="21"/>
        </w:rPr>
        <w:t>一台器械，以达到预期目的。可修改、调整或定制设备项的组合，以满足特殊需求。</w:t>
      </w:r>
    </w:p>
    <w:p w14:paraId="33B61F0E">
      <w:pPr>
        <w:pStyle w:val="8"/>
        <w:topLinePunct/>
        <w:snapToGrid w:val="0"/>
        <w:spacing w:beforeLines="25" w:line="300" w:lineRule="auto"/>
        <w:ind w:firstLine="0"/>
        <w:jc w:val="both"/>
        <w:rPr>
          <w:kern w:val="2"/>
          <w:szCs w:val="21"/>
        </w:rPr>
      </w:pPr>
      <w:r>
        <w:rPr>
          <w:kern w:val="2"/>
          <w:szCs w:val="21"/>
        </w:rPr>
        <w:t>除其他以外，配置还包括：</w:t>
      </w:r>
    </w:p>
    <w:p w14:paraId="113EDDA6">
      <w:pPr>
        <w:pStyle w:val="32"/>
        <w:numPr>
          <w:ilvl w:val="0"/>
          <w:numId w:val="16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台架、管、工作台、控制台和其他可配置/组合以在计算机断层扫描中实现预期功能的设备项目。</w:t>
      </w:r>
    </w:p>
    <w:p w14:paraId="7FEDF77A">
      <w:pPr>
        <w:pStyle w:val="32"/>
        <w:numPr>
          <w:ilvl w:val="0"/>
          <w:numId w:val="166"/>
        </w:numPr>
        <w:tabs>
          <w:tab w:val="left" w:pos="1248"/>
        </w:tabs>
        <w:topLinePunct/>
        <w:snapToGrid w:val="0"/>
        <w:spacing w:beforeLines="25" w:line="300" w:lineRule="auto"/>
        <w:ind w:left="681" w:firstLine="0"/>
        <w:jc w:val="both"/>
        <w:rPr>
          <w:rFonts w:ascii="Times New Roman" w:hAnsi="Times New Roman"/>
          <w:kern w:val="2"/>
          <w:szCs w:val="21"/>
        </w:rPr>
      </w:pPr>
      <w:r>
        <w:rPr>
          <w:rFonts w:ascii="Times New Roman" w:hAnsi="Times New Roman"/>
          <w:kern w:val="2"/>
          <w:szCs w:val="21"/>
        </w:rPr>
        <w:t>提供组合呼吸机、呼吸管路、喷雾器用于麻醉的预期功能。</w:t>
      </w:r>
    </w:p>
    <w:p w14:paraId="26EE10D9">
      <w:pPr>
        <w:pStyle w:val="8"/>
        <w:topLinePunct/>
        <w:snapToGrid w:val="0"/>
        <w:spacing w:beforeLines="25" w:line="300" w:lineRule="auto"/>
        <w:ind w:firstLine="0"/>
        <w:jc w:val="both"/>
        <w:rPr>
          <w:kern w:val="2"/>
          <w:szCs w:val="21"/>
        </w:rPr>
      </w:pPr>
      <w:r>
        <w:rPr>
          <w:kern w:val="2"/>
          <w:szCs w:val="21"/>
        </w:rPr>
        <w:t>UDI - DI</w:t>
      </w:r>
    </w:p>
    <w:p w14:paraId="0656DF5C">
      <w:pPr>
        <w:pStyle w:val="8"/>
        <w:topLinePunct/>
        <w:snapToGrid w:val="0"/>
        <w:spacing w:beforeLines="25" w:line="300" w:lineRule="auto"/>
        <w:ind w:firstLine="0"/>
        <w:jc w:val="both"/>
        <w:rPr>
          <w:kern w:val="2"/>
          <w:szCs w:val="21"/>
        </w:rPr>
      </w:pPr>
      <w:r>
        <w:rPr>
          <w:kern w:val="2"/>
          <w:szCs w:val="21"/>
        </w:rPr>
        <w:t>UDI - DI是专用于器械模型的唯一数字或字母数字码，也被用作UDI数据库中所保存的信息的</w:t>
      </w:r>
      <w:r>
        <w:rPr>
          <w:rFonts w:hint="eastAsia"/>
          <w:kern w:val="2"/>
          <w:szCs w:val="21"/>
        </w:rPr>
        <w:t>“</w:t>
      </w:r>
      <w:r>
        <w:rPr>
          <w:kern w:val="2"/>
          <w:szCs w:val="21"/>
        </w:rPr>
        <w:t>存取键</w:t>
      </w:r>
      <w:r>
        <w:rPr>
          <w:rFonts w:hint="eastAsia"/>
          <w:kern w:val="2"/>
          <w:szCs w:val="21"/>
        </w:rPr>
        <w:t>”</w:t>
      </w:r>
      <w:r>
        <w:rPr>
          <w:kern w:val="2"/>
          <w:szCs w:val="21"/>
        </w:rPr>
        <w:t>。</w:t>
      </w:r>
    </w:p>
    <w:p w14:paraId="72C9E15B">
      <w:pPr>
        <w:pStyle w:val="8"/>
        <w:topLinePunct/>
        <w:snapToGrid w:val="0"/>
        <w:spacing w:beforeLines="25" w:line="300" w:lineRule="auto"/>
        <w:ind w:firstLine="0"/>
        <w:jc w:val="both"/>
        <w:rPr>
          <w:kern w:val="2"/>
          <w:szCs w:val="21"/>
        </w:rPr>
      </w:pPr>
      <w:r>
        <w:rPr>
          <w:kern w:val="2"/>
          <w:szCs w:val="21"/>
        </w:rPr>
        <w:t>人可读解释（</w:t>
      </w:r>
      <w:r>
        <w:rPr>
          <w:rFonts w:hint="eastAsia"/>
          <w:kern w:val="2"/>
          <w:szCs w:val="21"/>
        </w:rPr>
        <w:t>“</w:t>
      </w:r>
      <w:r>
        <w:rPr>
          <w:kern w:val="2"/>
          <w:szCs w:val="21"/>
        </w:rPr>
        <w:t>HRI</w:t>
      </w:r>
      <w:r>
        <w:rPr>
          <w:rFonts w:hint="eastAsia"/>
          <w:kern w:val="2"/>
          <w:szCs w:val="21"/>
        </w:rPr>
        <w:t>”</w:t>
      </w:r>
      <w:r>
        <w:rPr>
          <w:kern w:val="2"/>
          <w:szCs w:val="21"/>
        </w:rPr>
        <w:t>）</w:t>
      </w:r>
    </w:p>
    <w:p w14:paraId="700758E8">
      <w:pPr>
        <w:pStyle w:val="8"/>
        <w:topLinePunct/>
        <w:snapToGrid w:val="0"/>
        <w:spacing w:beforeLines="25" w:line="300" w:lineRule="auto"/>
        <w:ind w:firstLine="0"/>
        <w:jc w:val="both"/>
        <w:rPr>
          <w:kern w:val="2"/>
          <w:szCs w:val="21"/>
        </w:rPr>
      </w:pPr>
      <w:r>
        <w:rPr>
          <w:kern w:val="2"/>
          <w:szCs w:val="21"/>
        </w:rPr>
        <w:t>HRI是UDI载体中编码的数据字符的易读解释。</w:t>
      </w:r>
    </w:p>
    <w:p w14:paraId="0BCCC595">
      <w:pPr>
        <w:pStyle w:val="8"/>
        <w:topLinePunct/>
        <w:snapToGrid w:val="0"/>
        <w:spacing w:beforeLines="25" w:line="300" w:lineRule="auto"/>
        <w:ind w:firstLine="0"/>
        <w:jc w:val="both"/>
        <w:rPr>
          <w:kern w:val="2"/>
          <w:szCs w:val="21"/>
        </w:rPr>
      </w:pPr>
      <w:r>
        <w:rPr>
          <w:kern w:val="2"/>
          <w:szCs w:val="21"/>
        </w:rPr>
        <w:t>包装等级</w:t>
      </w:r>
    </w:p>
    <w:p w14:paraId="6C3C99AC">
      <w:pPr>
        <w:pStyle w:val="8"/>
        <w:topLinePunct/>
        <w:snapToGrid w:val="0"/>
        <w:spacing w:beforeLines="25" w:line="300" w:lineRule="auto"/>
        <w:ind w:firstLine="0"/>
        <w:jc w:val="both"/>
        <w:rPr>
          <w:kern w:val="2"/>
          <w:szCs w:val="21"/>
        </w:rPr>
      </w:pPr>
      <w:r>
        <w:rPr>
          <w:kern w:val="2"/>
          <w:szCs w:val="21"/>
        </w:rPr>
        <w:t>包装水平是指包含限定数量器械的各种水平器械包装，例如，各纸箱或箱子。</w:t>
      </w:r>
    </w:p>
    <w:p w14:paraId="31C41B47">
      <w:pPr>
        <w:pStyle w:val="8"/>
        <w:topLinePunct/>
        <w:snapToGrid w:val="0"/>
        <w:spacing w:beforeLines="25" w:line="300" w:lineRule="auto"/>
        <w:ind w:firstLine="0"/>
        <w:jc w:val="both"/>
        <w:rPr>
          <w:kern w:val="2"/>
          <w:szCs w:val="21"/>
        </w:rPr>
      </w:pPr>
      <w:r>
        <w:rPr>
          <w:kern w:val="2"/>
          <w:szCs w:val="21"/>
        </w:rPr>
        <w:t>UDI - PI</w:t>
      </w:r>
    </w:p>
    <w:p w14:paraId="453892F1">
      <w:pPr>
        <w:pStyle w:val="8"/>
        <w:topLinePunct/>
        <w:snapToGrid w:val="0"/>
        <w:spacing w:beforeLines="25" w:line="300" w:lineRule="auto"/>
        <w:ind w:firstLine="0"/>
        <w:jc w:val="both"/>
        <w:rPr>
          <w:kern w:val="2"/>
          <w:szCs w:val="21"/>
        </w:rPr>
      </w:pPr>
      <w:r>
        <w:rPr>
          <w:kern w:val="2"/>
          <w:szCs w:val="21"/>
        </w:rPr>
        <w:t>UDI - PI是一种数字或字母数字码，用于识别器械生产单位。</w:t>
      </w:r>
    </w:p>
    <w:p w14:paraId="50700D29">
      <w:pPr>
        <w:pStyle w:val="8"/>
        <w:topLinePunct/>
        <w:snapToGrid w:val="0"/>
        <w:spacing w:beforeLines="25" w:line="300" w:lineRule="auto"/>
        <w:ind w:firstLine="0"/>
        <w:jc w:val="both"/>
        <w:rPr>
          <w:kern w:val="2"/>
          <w:szCs w:val="21"/>
        </w:rPr>
      </w:pPr>
      <w:r>
        <w:rPr>
          <w:kern w:val="2"/>
          <w:szCs w:val="21"/>
        </w:rPr>
        <w:t>不同类型的UDI - PI包括序列号、批号、软件标识和/或制造和/或到期日或上述两种日期。</w:t>
      </w:r>
    </w:p>
    <w:p w14:paraId="3D2FA6CD">
      <w:pPr>
        <w:pStyle w:val="8"/>
        <w:topLinePunct/>
        <w:snapToGrid w:val="0"/>
        <w:spacing w:beforeLines="35" w:line="300" w:lineRule="auto"/>
        <w:ind w:left="680" w:firstLine="0"/>
        <w:jc w:val="both"/>
        <w:rPr>
          <w:kern w:val="2"/>
          <w:szCs w:val="21"/>
        </w:rPr>
      </w:pPr>
      <w:r>
        <w:rPr>
          <w:kern w:val="2"/>
          <w:szCs w:val="21"/>
        </w:rPr>
        <w:t>无线射频标识RFID</w:t>
      </w:r>
    </w:p>
    <w:p w14:paraId="5F291FBE">
      <w:pPr>
        <w:pStyle w:val="8"/>
        <w:topLinePunct/>
        <w:snapToGrid w:val="0"/>
        <w:spacing w:beforeLines="35" w:line="300" w:lineRule="auto"/>
        <w:ind w:left="680" w:firstLine="0"/>
        <w:jc w:val="both"/>
        <w:rPr>
          <w:kern w:val="2"/>
          <w:szCs w:val="21"/>
        </w:rPr>
      </w:pPr>
      <w:r>
        <w:rPr>
          <w:kern w:val="2"/>
          <w:szCs w:val="21"/>
        </w:rPr>
        <w:t>RFID是一种以标识为目的通过无线电波交换阅读器和电子追踪器之间的数据来进行通信的技术。</w:t>
      </w:r>
    </w:p>
    <w:p w14:paraId="447E9A2C">
      <w:pPr>
        <w:pStyle w:val="8"/>
        <w:topLinePunct/>
        <w:snapToGrid w:val="0"/>
        <w:spacing w:beforeLines="35" w:line="300" w:lineRule="auto"/>
        <w:ind w:left="680" w:firstLine="0"/>
        <w:jc w:val="both"/>
        <w:rPr>
          <w:kern w:val="2"/>
          <w:szCs w:val="21"/>
        </w:rPr>
      </w:pPr>
      <w:r>
        <w:rPr>
          <w:kern w:val="2"/>
          <w:szCs w:val="21"/>
        </w:rPr>
        <w:t>海运集装箱</w:t>
      </w:r>
    </w:p>
    <w:p w14:paraId="5AE70B8C">
      <w:pPr>
        <w:pStyle w:val="8"/>
        <w:topLinePunct/>
        <w:snapToGrid w:val="0"/>
        <w:spacing w:beforeLines="35" w:line="300" w:lineRule="auto"/>
        <w:ind w:left="680" w:firstLine="0"/>
        <w:jc w:val="both"/>
        <w:rPr>
          <w:kern w:val="2"/>
          <w:szCs w:val="21"/>
        </w:rPr>
      </w:pPr>
      <w:r>
        <w:rPr>
          <w:kern w:val="2"/>
          <w:szCs w:val="21"/>
        </w:rPr>
        <w:t>海运集装箱是一种利用物流系统专用流程控制溯源的集装箱。</w:t>
      </w:r>
    </w:p>
    <w:p w14:paraId="7639870F">
      <w:pPr>
        <w:pStyle w:val="8"/>
        <w:topLinePunct/>
        <w:snapToGrid w:val="0"/>
        <w:spacing w:beforeLines="35" w:line="300" w:lineRule="auto"/>
        <w:ind w:left="680" w:firstLine="0"/>
        <w:jc w:val="both"/>
        <w:rPr>
          <w:kern w:val="2"/>
          <w:szCs w:val="21"/>
        </w:rPr>
      </w:pPr>
      <w:r>
        <w:rPr>
          <w:kern w:val="2"/>
          <w:szCs w:val="21"/>
        </w:rPr>
        <w:t>唯一器械标识（</w:t>
      </w:r>
      <w:r>
        <w:rPr>
          <w:rFonts w:hint="eastAsia"/>
          <w:kern w:val="2"/>
          <w:szCs w:val="21"/>
        </w:rPr>
        <w:t>“</w:t>
      </w:r>
      <w:r>
        <w:rPr>
          <w:kern w:val="2"/>
          <w:szCs w:val="21"/>
        </w:rPr>
        <w:t>'UDI</w:t>
      </w:r>
      <w:r>
        <w:rPr>
          <w:rFonts w:hint="eastAsia"/>
          <w:kern w:val="2"/>
          <w:szCs w:val="21"/>
        </w:rPr>
        <w:t>”</w:t>
      </w:r>
      <w:r>
        <w:rPr>
          <w:kern w:val="2"/>
          <w:szCs w:val="21"/>
        </w:rPr>
        <w:t>）</w:t>
      </w:r>
    </w:p>
    <w:p w14:paraId="17DA33F8">
      <w:pPr>
        <w:pStyle w:val="8"/>
        <w:topLinePunct/>
        <w:snapToGrid w:val="0"/>
        <w:spacing w:beforeLines="35" w:line="300" w:lineRule="auto"/>
        <w:ind w:left="680" w:firstLine="0"/>
        <w:jc w:val="both"/>
        <w:rPr>
          <w:kern w:val="2"/>
          <w:szCs w:val="21"/>
        </w:rPr>
      </w:pPr>
      <w:r>
        <w:rPr>
          <w:kern w:val="2"/>
          <w:szCs w:val="21"/>
        </w:rPr>
        <w:t>UDI是通过全球接受的器械标识和编码标准来创建</w:t>
      </w:r>
      <w:r>
        <w:rPr>
          <w:rFonts w:hint="eastAsia"/>
          <w:kern w:val="2"/>
          <w:szCs w:val="21"/>
        </w:rPr>
        <w:t>的</w:t>
      </w:r>
      <w:r>
        <w:rPr>
          <w:kern w:val="2"/>
          <w:szCs w:val="21"/>
        </w:rPr>
        <w:t>一系列数字或字母数字字符，。在市场上，允许明确标识特定器械。UDI由UDI - DI和UDI - PI组成。</w:t>
      </w:r>
    </w:p>
    <w:p w14:paraId="0E98F2CC">
      <w:pPr>
        <w:pStyle w:val="8"/>
        <w:topLinePunct/>
        <w:snapToGrid w:val="0"/>
        <w:spacing w:beforeLines="35" w:line="300" w:lineRule="auto"/>
        <w:ind w:left="680" w:firstLine="0"/>
        <w:jc w:val="both"/>
        <w:rPr>
          <w:kern w:val="2"/>
          <w:szCs w:val="21"/>
        </w:rPr>
      </w:pPr>
      <w:r>
        <w:rPr>
          <w:rFonts w:hint="eastAsia"/>
          <w:kern w:val="2"/>
          <w:szCs w:val="21"/>
        </w:rPr>
        <w:t>“</w:t>
      </w:r>
      <w:r>
        <w:rPr>
          <w:kern w:val="2"/>
          <w:szCs w:val="21"/>
        </w:rPr>
        <w:t>唯一</w:t>
      </w:r>
      <w:r>
        <w:rPr>
          <w:rFonts w:hint="eastAsia"/>
          <w:kern w:val="2"/>
          <w:szCs w:val="21"/>
        </w:rPr>
        <w:t>”</w:t>
      </w:r>
      <w:r>
        <w:rPr>
          <w:kern w:val="2"/>
          <w:szCs w:val="21"/>
        </w:rPr>
        <w:t>这个词并不意味着各生产单位的序列化。</w:t>
      </w:r>
    </w:p>
    <w:p w14:paraId="7EDEC062">
      <w:pPr>
        <w:pStyle w:val="8"/>
        <w:topLinePunct/>
        <w:snapToGrid w:val="0"/>
        <w:spacing w:beforeLines="35" w:line="300" w:lineRule="auto"/>
        <w:ind w:left="680" w:firstLine="0"/>
        <w:jc w:val="both"/>
        <w:rPr>
          <w:kern w:val="2"/>
          <w:szCs w:val="21"/>
        </w:rPr>
      </w:pPr>
      <w:r>
        <w:rPr>
          <w:kern w:val="2"/>
          <w:szCs w:val="21"/>
        </w:rPr>
        <w:t>UDI载体</w:t>
      </w:r>
    </w:p>
    <w:p w14:paraId="465170C1">
      <w:pPr>
        <w:pStyle w:val="8"/>
        <w:topLinePunct/>
        <w:snapToGrid w:val="0"/>
        <w:spacing w:beforeLines="35" w:line="300" w:lineRule="auto"/>
        <w:ind w:left="680" w:firstLine="0"/>
        <w:jc w:val="both"/>
        <w:rPr>
          <w:kern w:val="2"/>
          <w:szCs w:val="21"/>
        </w:rPr>
      </w:pPr>
      <w:r>
        <w:rPr>
          <w:kern w:val="2"/>
          <w:szCs w:val="21"/>
        </w:rPr>
        <w:t>UDI载体是通过使用AIDC及其HRI（如适用）传达UDI的工具。</w:t>
      </w:r>
    </w:p>
    <w:p w14:paraId="60934DF7">
      <w:pPr>
        <w:pStyle w:val="8"/>
        <w:topLinePunct/>
        <w:snapToGrid w:val="0"/>
        <w:spacing w:beforeLines="35" w:line="300" w:lineRule="auto"/>
        <w:ind w:left="680" w:firstLine="0"/>
        <w:jc w:val="both"/>
        <w:rPr>
          <w:kern w:val="2"/>
          <w:szCs w:val="21"/>
        </w:rPr>
      </w:pPr>
      <w:r>
        <w:rPr>
          <w:kern w:val="2"/>
          <w:szCs w:val="21"/>
        </w:rPr>
        <w:t>除</w:t>
      </w:r>
      <w:r>
        <w:rPr>
          <w:rFonts w:hint="eastAsia"/>
          <w:kern w:val="2"/>
          <w:szCs w:val="21"/>
        </w:rPr>
        <w:t>此</w:t>
      </w:r>
      <w:r>
        <w:rPr>
          <w:kern w:val="2"/>
          <w:szCs w:val="21"/>
        </w:rPr>
        <w:t>以外，载体还包括ID /线性条形码、2D /矩阵条形码、RFID。</w:t>
      </w:r>
    </w:p>
    <w:p w14:paraId="5AEFC6C1">
      <w:pPr>
        <w:pStyle w:val="4"/>
        <w:numPr>
          <w:ilvl w:val="0"/>
          <w:numId w:val="165"/>
        </w:numPr>
        <w:tabs>
          <w:tab w:val="left" w:pos="682"/>
        </w:tabs>
        <w:topLinePunct/>
        <w:snapToGrid w:val="0"/>
        <w:spacing w:beforeLines="35" w:line="300" w:lineRule="auto"/>
        <w:ind w:left="680" w:hanging="567"/>
        <w:jc w:val="both"/>
        <w:rPr>
          <w:rFonts w:ascii="Times New Roman" w:hAnsi="Times New Roman"/>
          <w:b w:val="0"/>
          <w:bCs w:val="0"/>
          <w:kern w:val="2"/>
          <w:sz w:val="21"/>
          <w:szCs w:val="21"/>
        </w:rPr>
      </w:pPr>
      <w:r>
        <w:rPr>
          <w:rFonts w:ascii="Times New Roman" w:hAnsi="Times New Roman"/>
          <w:kern w:val="2"/>
          <w:sz w:val="21"/>
          <w:szCs w:val="21"/>
        </w:rPr>
        <w:t>一般要求</w:t>
      </w:r>
    </w:p>
    <w:p w14:paraId="401A9CC6">
      <w:pPr>
        <w:pStyle w:val="32"/>
        <w:numPr>
          <w:ilvl w:val="1"/>
          <w:numId w:val="165"/>
        </w:numPr>
        <w:tabs>
          <w:tab w:val="left" w:pos="682"/>
        </w:tabs>
        <w:topLinePunct/>
        <w:snapToGrid w:val="0"/>
        <w:spacing w:beforeLines="35" w:line="300" w:lineRule="auto"/>
        <w:ind w:left="680" w:hanging="567"/>
        <w:jc w:val="both"/>
        <w:rPr>
          <w:rFonts w:ascii="Times New Roman" w:hAnsi="Times New Roman"/>
          <w:kern w:val="2"/>
          <w:szCs w:val="21"/>
        </w:rPr>
      </w:pPr>
      <w:r>
        <w:rPr>
          <w:rFonts w:ascii="Times New Roman" w:hAnsi="Times New Roman"/>
          <w:kern w:val="2"/>
          <w:szCs w:val="21"/>
        </w:rPr>
        <w:t>标记UDI是额外要求  -  不</w:t>
      </w:r>
      <w:r>
        <w:rPr>
          <w:rFonts w:hint="eastAsia" w:ascii="Times New Roman" w:hAnsi="Times New Roman"/>
          <w:kern w:val="2"/>
          <w:szCs w:val="21"/>
        </w:rPr>
        <w:t>可</w:t>
      </w:r>
      <w:r>
        <w:rPr>
          <w:rFonts w:ascii="Times New Roman" w:hAnsi="Times New Roman"/>
          <w:kern w:val="2"/>
          <w:szCs w:val="21"/>
        </w:rPr>
        <w:t>替换本法规附录I所述的任何其他标记或标签要求。</w:t>
      </w:r>
    </w:p>
    <w:p w14:paraId="467C003F">
      <w:pPr>
        <w:pStyle w:val="32"/>
        <w:numPr>
          <w:ilvl w:val="1"/>
          <w:numId w:val="165"/>
        </w:numPr>
        <w:tabs>
          <w:tab w:val="left" w:pos="682"/>
        </w:tabs>
        <w:topLinePunct/>
        <w:snapToGrid w:val="0"/>
        <w:spacing w:beforeLines="35" w:line="300" w:lineRule="auto"/>
        <w:ind w:left="680" w:hanging="567"/>
        <w:jc w:val="both"/>
        <w:rPr>
          <w:rFonts w:ascii="Times New Roman" w:hAnsi="Times New Roman"/>
          <w:kern w:val="2"/>
          <w:szCs w:val="21"/>
        </w:rPr>
      </w:pPr>
      <w:r>
        <w:rPr>
          <w:rFonts w:ascii="Times New Roman" w:hAnsi="Times New Roman"/>
          <w:kern w:val="2"/>
          <w:szCs w:val="21"/>
        </w:rPr>
        <w:t>制造商应指定并维护其器械的唯一UDI。</w:t>
      </w:r>
    </w:p>
    <w:p w14:paraId="0248211C">
      <w:pPr>
        <w:pStyle w:val="32"/>
        <w:numPr>
          <w:ilvl w:val="1"/>
          <w:numId w:val="165"/>
        </w:numPr>
        <w:tabs>
          <w:tab w:val="left" w:pos="682"/>
        </w:tabs>
        <w:topLinePunct/>
        <w:snapToGrid w:val="0"/>
        <w:spacing w:beforeLines="35" w:line="300" w:lineRule="auto"/>
        <w:ind w:left="680" w:hanging="567"/>
        <w:jc w:val="both"/>
        <w:rPr>
          <w:rFonts w:ascii="Times New Roman" w:hAnsi="Times New Roman"/>
          <w:kern w:val="2"/>
          <w:szCs w:val="21"/>
        </w:rPr>
      </w:pPr>
      <w:r>
        <w:rPr>
          <w:rFonts w:ascii="Times New Roman" w:hAnsi="Times New Roman"/>
          <w:kern w:val="2"/>
          <w:szCs w:val="21"/>
        </w:rPr>
        <w:t>只有制造商可在其器械或包装上设置UDI。</w:t>
      </w:r>
    </w:p>
    <w:p w14:paraId="4005707E">
      <w:pPr>
        <w:pStyle w:val="32"/>
        <w:numPr>
          <w:ilvl w:val="1"/>
          <w:numId w:val="165"/>
        </w:numPr>
        <w:tabs>
          <w:tab w:val="left" w:pos="682"/>
        </w:tabs>
        <w:topLinePunct/>
        <w:snapToGrid w:val="0"/>
        <w:spacing w:beforeLines="35" w:line="300" w:lineRule="auto"/>
        <w:ind w:left="680" w:hanging="567"/>
        <w:jc w:val="both"/>
        <w:rPr>
          <w:rFonts w:ascii="Times New Roman" w:hAnsi="Times New Roman"/>
          <w:kern w:val="2"/>
          <w:szCs w:val="21"/>
        </w:rPr>
      </w:pPr>
      <w:r>
        <w:rPr>
          <w:rFonts w:ascii="Times New Roman" w:hAnsi="Times New Roman"/>
          <w:kern w:val="2"/>
          <w:szCs w:val="21"/>
        </w:rPr>
        <w:t>根据第27(2)条，只能使用由委员会所指定颁发实体提供的编码标准。</w:t>
      </w:r>
    </w:p>
    <w:p w14:paraId="4538A63B">
      <w:pPr>
        <w:pStyle w:val="4"/>
        <w:numPr>
          <w:ilvl w:val="0"/>
          <w:numId w:val="165"/>
        </w:numPr>
        <w:tabs>
          <w:tab w:val="left" w:pos="682"/>
        </w:tabs>
        <w:topLinePunct/>
        <w:snapToGrid w:val="0"/>
        <w:spacing w:beforeLines="35" w:line="300" w:lineRule="auto"/>
        <w:ind w:left="680" w:hanging="567"/>
        <w:jc w:val="both"/>
        <w:rPr>
          <w:rFonts w:ascii="Times New Roman" w:hAnsi="Times New Roman"/>
          <w:b w:val="0"/>
          <w:bCs w:val="0"/>
          <w:kern w:val="2"/>
          <w:sz w:val="21"/>
          <w:szCs w:val="21"/>
        </w:rPr>
      </w:pPr>
      <w:r>
        <w:rPr>
          <w:rFonts w:ascii="Times New Roman" w:hAnsi="Times New Roman"/>
          <w:kern w:val="2"/>
          <w:sz w:val="21"/>
          <w:szCs w:val="21"/>
        </w:rPr>
        <w:t>UDI（唯一器械标识）</w:t>
      </w:r>
    </w:p>
    <w:p w14:paraId="4F6BC18A">
      <w:pPr>
        <w:pStyle w:val="32"/>
        <w:numPr>
          <w:ilvl w:val="1"/>
          <w:numId w:val="165"/>
        </w:numPr>
        <w:tabs>
          <w:tab w:val="left" w:pos="682"/>
        </w:tabs>
        <w:topLinePunct/>
        <w:snapToGrid w:val="0"/>
        <w:spacing w:beforeLines="35" w:line="300" w:lineRule="auto"/>
        <w:ind w:left="680" w:hanging="567"/>
        <w:jc w:val="both"/>
        <w:rPr>
          <w:rFonts w:ascii="Times New Roman" w:hAnsi="Times New Roman"/>
          <w:kern w:val="2"/>
          <w:szCs w:val="21"/>
        </w:rPr>
      </w:pPr>
      <w:r>
        <w:rPr>
          <w:rFonts w:ascii="Times New Roman" w:hAnsi="Times New Roman"/>
          <w:kern w:val="2"/>
          <w:szCs w:val="21"/>
        </w:rPr>
        <w:t>UDI应位于器械本身或其包装上。更高级别的包装应有其自己的UDI。</w:t>
      </w:r>
    </w:p>
    <w:p w14:paraId="6911F1A2">
      <w:pPr>
        <w:pStyle w:val="32"/>
        <w:numPr>
          <w:ilvl w:val="1"/>
          <w:numId w:val="165"/>
        </w:numPr>
        <w:tabs>
          <w:tab w:val="left" w:pos="682"/>
        </w:tabs>
        <w:topLinePunct/>
        <w:snapToGrid w:val="0"/>
        <w:spacing w:beforeLines="35" w:line="300" w:lineRule="auto"/>
        <w:ind w:left="680" w:hanging="567"/>
        <w:jc w:val="both"/>
        <w:rPr>
          <w:rFonts w:ascii="Times New Roman" w:hAnsi="Times New Roman"/>
          <w:kern w:val="2"/>
          <w:szCs w:val="21"/>
        </w:rPr>
      </w:pPr>
      <w:r>
        <w:rPr>
          <w:rFonts w:ascii="Times New Roman" w:hAnsi="Times New Roman"/>
          <w:kern w:val="2"/>
          <w:szCs w:val="21"/>
        </w:rPr>
        <w:t>运输容器应豁免第3.1节要求。例如，物流设备上无需有UDI；当医疗服务机构订购多台使用UDI或单个器械型号的器械，而且制造商将这些器械放置在一个容器内运输或用以保护单独包装的器械时，不得要求运输容器（物流设备）上有UDI。</w:t>
      </w:r>
    </w:p>
    <w:p w14:paraId="381597F0">
      <w:pPr>
        <w:pStyle w:val="32"/>
        <w:numPr>
          <w:ilvl w:val="1"/>
          <w:numId w:val="165"/>
        </w:numPr>
        <w:tabs>
          <w:tab w:val="left" w:pos="682"/>
        </w:tabs>
        <w:topLinePunct/>
        <w:snapToGrid w:val="0"/>
        <w:spacing w:beforeLines="35" w:line="300" w:lineRule="auto"/>
        <w:ind w:left="680" w:hanging="567"/>
        <w:jc w:val="both"/>
        <w:rPr>
          <w:rFonts w:ascii="Times New Roman" w:hAnsi="Times New Roman"/>
          <w:kern w:val="2"/>
          <w:szCs w:val="21"/>
        </w:rPr>
      </w:pPr>
      <w:r>
        <w:rPr>
          <w:rFonts w:ascii="Times New Roman" w:hAnsi="Times New Roman"/>
          <w:kern w:val="2"/>
          <w:szCs w:val="21"/>
        </w:rPr>
        <w:t>UDI应包含两部分：UDI - DI和UDI - PI。</w:t>
      </w:r>
    </w:p>
    <w:p w14:paraId="60B332E7">
      <w:pPr>
        <w:pStyle w:val="32"/>
        <w:numPr>
          <w:ilvl w:val="1"/>
          <w:numId w:val="165"/>
        </w:numPr>
        <w:tabs>
          <w:tab w:val="left" w:pos="682"/>
        </w:tabs>
        <w:topLinePunct/>
        <w:snapToGrid w:val="0"/>
        <w:spacing w:beforeLines="35" w:line="300" w:lineRule="auto"/>
        <w:ind w:left="680" w:hanging="567"/>
        <w:jc w:val="both"/>
        <w:rPr>
          <w:rFonts w:ascii="Times New Roman" w:hAnsi="Times New Roman"/>
          <w:kern w:val="2"/>
          <w:szCs w:val="21"/>
        </w:rPr>
      </w:pPr>
      <w:r>
        <w:rPr>
          <w:rFonts w:ascii="Times New Roman" w:hAnsi="Times New Roman"/>
          <w:kern w:val="2"/>
          <w:szCs w:val="21"/>
        </w:rPr>
        <w:t>UDI - DI在各级别的器械包装上</w:t>
      </w:r>
      <w:r>
        <w:rPr>
          <w:rFonts w:hint="eastAsia" w:ascii="Times New Roman" w:hAnsi="Times New Roman"/>
          <w:kern w:val="2"/>
          <w:szCs w:val="21"/>
        </w:rPr>
        <w:t>均</w:t>
      </w:r>
      <w:r>
        <w:rPr>
          <w:rFonts w:ascii="Times New Roman" w:hAnsi="Times New Roman"/>
          <w:kern w:val="2"/>
          <w:szCs w:val="21"/>
        </w:rPr>
        <w:t>是唯一的。</w:t>
      </w:r>
    </w:p>
    <w:p w14:paraId="2003F4F2">
      <w:pPr>
        <w:pStyle w:val="32"/>
        <w:numPr>
          <w:ilvl w:val="1"/>
          <w:numId w:val="165"/>
        </w:numPr>
        <w:tabs>
          <w:tab w:val="left" w:pos="682"/>
        </w:tabs>
        <w:topLinePunct/>
        <w:snapToGrid w:val="0"/>
        <w:spacing w:beforeLines="35" w:line="300" w:lineRule="auto"/>
        <w:ind w:left="680" w:hanging="565"/>
        <w:jc w:val="both"/>
        <w:rPr>
          <w:rFonts w:ascii="Times New Roman" w:hAnsi="Times New Roman"/>
          <w:kern w:val="2"/>
          <w:szCs w:val="21"/>
        </w:rPr>
      </w:pPr>
      <w:r>
        <w:rPr>
          <w:rFonts w:ascii="Times New Roman" w:hAnsi="Times New Roman"/>
          <w:kern w:val="2"/>
          <w:szCs w:val="21"/>
        </w:rPr>
        <w:t>若标签上出现批号、序列号、软件标识或过期日期，则其将是UDI - PI一部分。若标签上同时还标有生产日期，则UDI - PI中无需包含生产日期。若在标签上只有生产日期，则应将其用作UDI - PI。</w:t>
      </w:r>
    </w:p>
    <w:p w14:paraId="70AB1952">
      <w:pPr>
        <w:pStyle w:val="32"/>
        <w:numPr>
          <w:ilvl w:val="1"/>
          <w:numId w:val="165"/>
        </w:numPr>
        <w:tabs>
          <w:tab w:val="left" w:pos="682"/>
        </w:tabs>
        <w:topLinePunct/>
        <w:snapToGrid w:val="0"/>
        <w:spacing w:beforeLines="35" w:line="300" w:lineRule="auto"/>
        <w:ind w:left="680" w:hanging="565"/>
        <w:jc w:val="both"/>
        <w:rPr>
          <w:rFonts w:ascii="Times New Roman" w:hAnsi="Times New Roman"/>
          <w:kern w:val="2"/>
          <w:szCs w:val="21"/>
        </w:rPr>
      </w:pPr>
      <w:r>
        <w:rPr>
          <w:rFonts w:ascii="Times New Roman" w:hAnsi="Times New Roman"/>
          <w:kern w:val="2"/>
          <w:szCs w:val="21"/>
        </w:rPr>
        <w:t>被视为器械且可在市场上购买的各组件应有其单独UDI，除非此类组件是以单独UDI销售的可配置器械的一部分。</w:t>
      </w:r>
    </w:p>
    <w:p w14:paraId="0997439F">
      <w:pPr>
        <w:pStyle w:val="32"/>
        <w:numPr>
          <w:ilvl w:val="1"/>
          <w:numId w:val="165"/>
        </w:numPr>
        <w:tabs>
          <w:tab w:val="left" w:pos="682"/>
        </w:tabs>
        <w:topLinePunct/>
        <w:snapToGrid w:val="0"/>
        <w:spacing w:beforeLines="35" w:line="300" w:lineRule="auto"/>
        <w:ind w:left="680" w:hanging="565"/>
        <w:jc w:val="both"/>
        <w:rPr>
          <w:rFonts w:ascii="Times New Roman" w:hAnsi="Times New Roman"/>
          <w:kern w:val="2"/>
          <w:szCs w:val="21"/>
        </w:rPr>
      </w:pPr>
      <w:r>
        <w:rPr>
          <w:rFonts w:ascii="Times New Roman" w:hAnsi="Times New Roman"/>
          <w:kern w:val="2"/>
          <w:szCs w:val="21"/>
        </w:rPr>
        <w:t>应分配第22条所述的系统和程序包并承担自身的UDI。</w:t>
      </w:r>
    </w:p>
    <w:p w14:paraId="46BDB71D">
      <w:pPr>
        <w:pStyle w:val="32"/>
        <w:numPr>
          <w:ilvl w:val="1"/>
          <w:numId w:val="165"/>
        </w:numPr>
        <w:tabs>
          <w:tab w:val="left" w:pos="682"/>
        </w:tabs>
        <w:topLinePunct/>
        <w:snapToGrid w:val="0"/>
        <w:spacing w:beforeLines="35" w:line="300" w:lineRule="auto"/>
        <w:ind w:left="680" w:hanging="565"/>
        <w:jc w:val="both"/>
        <w:rPr>
          <w:rFonts w:ascii="Times New Roman" w:hAnsi="Times New Roman"/>
          <w:kern w:val="2"/>
          <w:szCs w:val="21"/>
        </w:rPr>
      </w:pPr>
      <w:r>
        <w:rPr>
          <w:rFonts w:ascii="Times New Roman" w:hAnsi="Times New Roman"/>
          <w:kern w:val="2"/>
          <w:szCs w:val="21"/>
        </w:rPr>
        <w:t>制造商应根据以下编码标准为器械指定UDI。</w:t>
      </w:r>
    </w:p>
    <w:p w14:paraId="7314EF7A">
      <w:pPr>
        <w:pStyle w:val="32"/>
        <w:numPr>
          <w:ilvl w:val="1"/>
          <w:numId w:val="165"/>
        </w:numPr>
        <w:tabs>
          <w:tab w:val="left" w:pos="682"/>
        </w:tabs>
        <w:topLinePunct/>
        <w:snapToGrid w:val="0"/>
        <w:spacing w:beforeLines="20" w:line="288" w:lineRule="auto"/>
        <w:ind w:hanging="565"/>
        <w:jc w:val="both"/>
        <w:rPr>
          <w:rFonts w:ascii="Times New Roman" w:hAnsi="Times New Roman"/>
          <w:kern w:val="2"/>
          <w:szCs w:val="21"/>
        </w:rPr>
      </w:pPr>
      <w:r>
        <w:rPr>
          <w:rFonts w:ascii="Times New Roman" w:hAnsi="Times New Roman"/>
          <w:kern w:val="2"/>
          <w:szCs w:val="21"/>
        </w:rPr>
        <w:t>在有可能导致器械的错误识别和/或其追溯性不明确时，尤其是以下任何UDI数据库元素发生的变化需要新的UDI - DI时，将需要提供新的UDI - DI。</w:t>
      </w:r>
    </w:p>
    <w:p w14:paraId="0A066BF2">
      <w:pPr>
        <w:pStyle w:val="32"/>
        <w:numPr>
          <w:ilvl w:val="2"/>
          <w:numId w:val="167"/>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名称或商标名称，</w:t>
      </w:r>
    </w:p>
    <w:p w14:paraId="18FBEBAB">
      <w:pPr>
        <w:pStyle w:val="32"/>
        <w:numPr>
          <w:ilvl w:val="2"/>
          <w:numId w:val="167"/>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器械类型或型号，</w:t>
      </w:r>
    </w:p>
    <w:p w14:paraId="37EB0227">
      <w:pPr>
        <w:pStyle w:val="32"/>
        <w:numPr>
          <w:ilvl w:val="0"/>
          <w:numId w:val="16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标记为一次性使用</w:t>
      </w:r>
    </w:p>
    <w:p w14:paraId="1D2D1B78">
      <w:pPr>
        <w:pStyle w:val="32"/>
        <w:numPr>
          <w:ilvl w:val="0"/>
          <w:numId w:val="16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无菌包装，</w:t>
      </w:r>
    </w:p>
    <w:p w14:paraId="1311E0D0">
      <w:pPr>
        <w:pStyle w:val="32"/>
        <w:numPr>
          <w:ilvl w:val="0"/>
          <w:numId w:val="16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使用前需消毒，</w:t>
      </w:r>
    </w:p>
    <w:p w14:paraId="21E22B90">
      <w:pPr>
        <w:pStyle w:val="32"/>
        <w:numPr>
          <w:ilvl w:val="0"/>
          <w:numId w:val="16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包装中所提供器械的数量，</w:t>
      </w:r>
    </w:p>
    <w:p w14:paraId="7D5EAB28">
      <w:pPr>
        <w:pStyle w:val="32"/>
        <w:numPr>
          <w:ilvl w:val="0"/>
          <w:numId w:val="168"/>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重要警告或禁忌症：例如含胶乳或DEHP。</w:t>
      </w:r>
    </w:p>
    <w:p w14:paraId="4B03223E">
      <w:pPr>
        <w:pStyle w:val="8"/>
        <w:topLinePunct/>
        <w:snapToGrid w:val="0"/>
        <w:spacing w:beforeLines="20" w:line="288" w:lineRule="auto"/>
        <w:ind w:hanging="568"/>
        <w:jc w:val="both"/>
        <w:rPr>
          <w:kern w:val="2"/>
          <w:szCs w:val="21"/>
        </w:rPr>
      </w:pPr>
      <w:r>
        <w:rPr>
          <w:kern w:val="2"/>
          <w:szCs w:val="21"/>
        </w:rPr>
        <w:t>3.10.</w:t>
      </w:r>
      <w:r>
        <w:rPr>
          <w:kern w:val="2"/>
          <w:szCs w:val="21"/>
        </w:rPr>
        <w:tab/>
      </w:r>
      <w:r>
        <w:rPr>
          <w:kern w:val="2"/>
          <w:szCs w:val="21"/>
        </w:rPr>
        <w:t>.重新包装和/或重新安装器械的制造商，使用自身的标签，且应保留原始设备制造商（OEM）UDI的记录。</w:t>
      </w:r>
    </w:p>
    <w:p w14:paraId="008DC0E5">
      <w:pPr>
        <w:pStyle w:val="4"/>
        <w:numPr>
          <w:ilvl w:val="0"/>
          <w:numId w:val="165"/>
        </w:numPr>
        <w:tabs>
          <w:tab w:val="left" w:pos="682"/>
        </w:tabs>
        <w:topLinePunct/>
        <w:snapToGrid w:val="0"/>
        <w:spacing w:beforeLines="20" w:line="288" w:lineRule="auto"/>
        <w:ind w:hanging="567"/>
        <w:jc w:val="both"/>
        <w:rPr>
          <w:rFonts w:ascii="Times New Roman" w:hAnsi="Times New Roman"/>
          <w:b w:val="0"/>
          <w:bCs w:val="0"/>
          <w:kern w:val="2"/>
          <w:sz w:val="21"/>
          <w:szCs w:val="21"/>
        </w:rPr>
      </w:pPr>
      <w:r>
        <w:rPr>
          <w:rFonts w:ascii="Times New Roman" w:hAnsi="Times New Roman"/>
          <w:kern w:val="2"/>
          <w:sz w:val="21"/>
          <w:szCs w:val="21"/>
        </w:rPr>
        <w:t>UDI载体</w:t>
      </w:r>
    </w:p>
    <w:p w14:paraId="7CF67698">
      <w:pPr>
        <w:pStyle w:val="32"/>
        <w:numPr>
          <w:ilvl w:val="1"/>
          <w:numId w:val="165"/>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应将UDI载体（UID的AIDC和HRI标示）放置在标签上或器械本体上以及所有更高级别的器械包装上。更高级别的包装不包括运输容器。</w:t>
      </w:r>
    </w:p>
    <w:p w14:paraId="03FD499E">
      <w:pPr>
        <w:pStyle w:val="32"/>
        <w:numPr>
          <w:ilvl w:val="1"/>
          <w:numId w:val="165"/>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若使用包装的</w:t>
      </w:r>
      <w:r>
        <w:rPr>
          <w:rFonts w:hint="eastAsia" w:ascii="Times New Roman" w:hAnsi="Times New Roman"/>
          <w:kern w:val="2"/>
          <w:szCs w:val="21"/>
        </w:rPr>
        <w:t>器械</w:t>
      </w:r>
      <w:r>
        <w:rPr>
          <w:rFonts w:ascii="Times New Roman" w:hAnsi="Times New Roman"/>
          <w:kern w:val="2"/>
          <w:szCs w:val="21"/>
        </w:rPr>
        <w:t>上有明显的空间限制，UDI载体可放置在下一个更高级别的包装上。</w:t>
      </w:r>
    </w:p>
    <w:p w14:paraId="236D27C8">
      <w:pPr>
        <w:pStyle w:val="32"/>
        <w:numPr>
          <w:ilvl w:val="1"/>
          <w:numId w:val="165"/>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对于单独包装和贴标签的I和IIa类一次性使用器械，不得要求UDI载体出现在包装上，但应出现在更高级别的包装上，如包含几个单独包装器械的纸箱。但当医疗保健提供者不能获得（家庭保健设置）更高级别的器械包装，UDI应放置在个别器械的包装上。</w:t>
      </w:r>
    </w:p>
    <w:p w14:paraId="4532E396">
      <w:pPr>
        <w:pStyle w:val="32"/>
        <w:numPr>
          <w:ilvl w:val="1"/>
          <w:numId w:val="165"/>
        </w:numPr>
        <w:tabs>
          <w:tab w:val="left" w:pos="682"/>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对于专门用于零售销售点（POS）的器械，AIDC中的UDI-PI不需要出现在销售点包装上。</w:t>
      </w:r>
    </w:p>
    <w:p w14:paraId="2F5F213F">
      <w:pPr>
        <w:pStyle w:val="32"/>
        <w:numPr>
          <w:ilvl w:val="1"/>
          <w:numId w:val="165"/>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当除UDI载体外的AIDC载体是产品标签的一部分时，UDI载体应易于识别。</w:t>
      </w:r>
    </w:p>
    <w:p w14:paraId="45E5B713">
      <w:pPr>
        <w:pStyle w:val="32"/>
        <w:numPr>
          <w:ilvl w:val="1"/>
          <w:numId w:val="165"/>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若使用线性条形码，则UDI - DI和UDI - PI可在两个或更多的条形码中进行级联或非级联。线性条形码的所有部分和元素应是可区分和可识别的。</w:t>
      </w:r>
    </w:p>
    <w:p w14:paraId="0CD0BB3E">
      <w:pPr>
        <w:pStyle w:val="32"/>
        <w:numPr>
          <w:ilvl w:val="1"/>
          <w:numId w:val="165"/>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若存在限制在标签上使用AIDC和HRI的显著约束，则标签上只需要出现AIDC格式。对于预期在医疗服务机构以外使用的器械（例如家庭护理器械），应在标签上使用HRI格式，即使会导致无空间留给AIDC。</w:t>
      </w:r>
    </w:p>
    <w:p w14:paraId="029507B8">
      <w:pPr>
        <w:pStyle w:val="32"/>
        <w:numPr>
          <w:ilvl w:val="1"/>
          <w:numId w:val="165"/>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HRI格式应遵循UDI代码颁发实体的规则。</w:t>
      </w:r>
    </w:p>
    <w:p w14:paraId="1E5CD107">
      <w:pPr>
        <w:pStyle w:val="32"/>
        <w:numPr>
          <w:ilvl w:val="1"/>
          <w:numId w:val="165"/>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若制造商使用RFID技术，则应在标签上提供符合指定颁发实体所规定标准的线性或二维条形码。</w:t>
      </w:r>
    </w:p>
    <w:p w14:paraId="19474AA0">
      <w:pPr>
        <w:pStyle w:val="32"/>
        <w:numPr>
          <w:ilvl w:val="1"/>
          <w:numId w:val="165"/>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可重复使用的器械上应带有UDI载体。需要在患者使用之间进行消毒、灭菌或重新清理的可重复使用器械的UDI载体在每次进行处理以使器械准备好在器械的整个预期使用寿命内进行后续使用之后应是永久的和可读的。本节的规定不适用于满足以下任一条件的任何器械：</w:t>
      </w:r>
    </w:p>
    <w:p w14:paraId="16002D0B">
      <w:pPr>
        <w:pStyle w:val="32"/>
        <w:numPr>
          <w:ilvl w:val="2"/>
          <w:numId w:val="165"/>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任何类型的直接标记将对器械的安全或性能造成干扰；</w:t>
      </w:r>
    </w:p>
    <w:p w14:paraId="6E34D13E">
      <w:pPr>
        <w:pStyle w:val="32"/>
        <w:numPr>
          <w:ilvl w:val="2"/>
          <w:numId w:val="165"/>
        </w:numPr>
        <w:tabs>
          <w:tab w:val="left" w:pos="1248"/>
        </w:tabs>
        <w:topLinePunct/>
        <w:snapToGrid w:val="0"/>
        <w:spacing w:beforeLines="20" w:line="288" w:lineRule="auto"/>
        <w:jc w:val="both"/>
        <w:rPr>
          <w:rFonts w:ascii="Times New Roman" w:hAnsi="Times New Roman"/>
          <w:kern w:val="2"/>
          <w:szCs w:val="21"/>
        </w:rPr>
      </w:pPr>
      <w:r>
        <w:rPr>
          <w:rFonts w:ascii="Times New Roman" w:hAnsi="Times New Roman"/>
          <w:kern w:val="2"/>
          <w:szCs w:val="21"/>
        </w:rPr>
        <w:t>该器械不能直接标记，因为其在技术上并非切实可行。</w:t>
      </w:r>
    </w:p>
    <w:p w14:paraId="43EE27BB">
      <w:pPr>
        <w:pStyle w:val="32"/>
        <w:numPr>
          <w:ilvl w:val="1"/>
          <w:numId w:val="165"/>
        </w:numPr>
        <w:tabs>
          <w:tab w:val="left" w:pos="682"/>
        </w:tabs>
        <w:topLinePunct/>
        <w:snapToGrid w:val="0"/>
        <w:spacing w:beforeLines="20" w:line="288" w:lineRule="auto"/>
        <w:ind w:hanging="567"/>
        <w:jc w:val="both"/>
        <w:rPr>
          <w:rFonts w:ascii="Times New Roman" w:hAnsi="Times New Roman"/>
          <w:kern w:val="2"/>
          <w:szCs w:val="21"/>
        </w:rPr>
      </w:pPr>
      <w:r>
        <w:rPr>
          <w:rFonts w:ascii="Times New Roman" w:hAnsi="Times New Roman"/>
          <w:kern w:val="2"/>
          <w:szCs w:val="21"/>
        </w:rPr>
        <w:t>UDI载体在器械正常使用和预期使用寿命内应是可读的。</w:t>
      </w:r>
    </w:p>
    <w:p w14:paraId="4AD783E9">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若UDI载体容易通过器械的包装或在AIDC可扫描的情况下读取，则</w:t>
      </w:r>
      <w:r>
        <w:rPr>
          <w:rFonts w:hint="eastAsia" w:ascii="Times New Roman" w:hAnsi="Times New Roman"/>
          <w:kern w:val="2"/>
          <w:szCs w:val="21"/>
        </w:rPr>
        <w:t>无</w:t>
      </w:r>
      <w:r>
        <w:rPr>
          <w:rFonts w:ascii="Times New Roman" w:hAnsi="Times New Roman"/>
          <w:kern w:val="2"/>
          <w:szCs w:val="21"/>
        </w:rPr>
        <w:t>需将UDI载体放置在包装上。</w:t>
      </w:r>
    </w:p>
    <w:p w14:paraId="1F82A868">
      <w:pPr>
        <w:pStyle w:val="32"/>
        <w:numPr>
          <w:ilvl w:val="1"/>
          <w:numId w:val="165"/>
        </w:numPr>
        <w:tabs>
          <w:tab w:val="left" w:pos="682"/>
        </w:tabs>
        <w:topLinePunct/>
        <w:snapToGrid w:val="0"/>
        <w:spacing w:beforeLines="30" w:line="300" w:lineRule="auto"/>
        <w:jc w:val="both"/>
        <w:rPr>
          <w:rFonts w:ascii="Times New Roman" w:hAnsi="Times New Roman"/>
          <w:kern w:val="2"/>
          <w:szCs w:val="21"/>
        </w:rPr>
      </w:pPr>
      <w:r>
        <w:rPr>
          <w:rFonts w:ascii="Times New Roman" w:hAnsi="Times New Roman"/>
          <w:kern w:val="2"/>
          <w:szCs w:val="21"/>
        </w:rPr>
        <w:t>若由多个部件组成且在首次使用前必须完成装配，单独成品器械，则其将UDI载体仅放置在各器械的一个部分上。</w:t>
      </w:r>
    </w:p>
    <w:p w14:paraId="25CEB4C3">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UDI载体的位置应合理，以使在正常操作或储存期间可进行AIDC。</w:t>
      </w:r>
    </w:p>
    <w:p w14:paraId="6E41A7CB">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包括</w:t>
      </w:r>
      <w:r>
        <w:rPr>
          <w:rFonts w:hint="eastAsia" w:ascii="Times New Roman" w:hAnsi="Times New Roman"/>
          <w:kern w:val="2"/>
          <w:szCs w:val="21"/>
        </w:rPr>
        <w:t>“</w:t>
      </w:r>
      <w:r>
        <w:rPr>
          <w:rFonts w:ascii="Times New Roman" w:hAnsi="Times New Roman"/>
          <w:kern w:val="2"/>
          <w:szCs w:val="21"/>
        </w:rPr>
        <w:t>UDI - DI</w:t>
      </w:r>
      <w:r>
        <w:rPr>
          <w:rFonts w:hint="eastAsia" w:ascii="Times New Roman" w:hAnsi="Times New Roman"/>
          <w:kern w:val="2"/>
          <w:szCs w:val="21"/>
        </w:rPr>
        <w:t>”</w:t>
      </w:r>
      <w:r>
        <w:rPr>
          <w:rFonts w:ascii="Times New Roman" w:hAnsi="Times New Roman"/>
          <w:kern w:val="2"/>
          <w:szCs w:val="21"/>
        </w:rPr>
        <w:t>和</w:t>
      </w:r>
      <w:r>
        <w:rPr>
          <w:rFonts w:hint="eastAsia" w:ascii="Times New Roman" w:hAnsi="Times New Roman"/>
          <w:kern w:val="2"/>
          <w:szCs w:val="21"/>
        </w:rPr>
        <w:t>“</w:t>
      </w:r>
      <w:r>
        <w:rPr>
          <w:rFonts w:ascii="Times New Roman" w:hAnsi="Times New Roman"/>
          <w:kern w:val="2"/>
          <w:szCs w:val="21"/>
        </w:rPr>
        <w:t>UDI - PI</w:t>
      </w:r>
      <w:r>
        <w:rPr>
          <w:rFonts w:hint="eastAsia" w:ascii="Times New Roman" w:hAnsi="Times New Roman"/>
          <w:kern w:val="2"/>
          <w:szCs w:val="21"/>
        </w:rPr>
        <w:t>”</w:t>
      </w:r>
      <w:r>
        <w:rPr>
          <w:rFonts w:ascii="Times New Roman" w:hAnsi="Times New Roman"/>
          <w:kern w:val="2"/>
          <w:szCs w:val="21"/>
        </w:rPr>
        <w:t>的条形码载体还可包含器械操作的基本数据或其他数据。</w:t>
      </w:r>
    </w:p>
    <w:p w14:paraId="67286494">
      <w:pPr>
        <w:pStyle w:val="4"/>
        <w:numPr>
          <w:ilvl w:val="0"/>
          <w:numId w:val="165"/>
        </w:numPr>
        <w:tabs>
          <w:tab w:val="left" w:pos="682"/>
        </w:tabs>
        <w:topLinePunct/>
        <w:snapToGrid w:val="0"/>
        <w:spacing w:beforeLines="30"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UDI数据库的一般原则</w:t>
      </w:r>
    </w:p>
    <w:p w14:paraId="3CDB4174">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UDI数据库应支持本附录第B部分所述的所有UDI数据库核心数据元素的使用。</w:t>
      </w:r>
    </w:p>
    <w:p w14:paraId="757D05B8">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制造商应负责首次提交和更新UDI数据库中的识别信息和其他器械数据元素。</w:t>
      </w:r>
    </w:p>
    <w:p w14:paraId="319ADF6B">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应运用正确的方法和程序对提供的数据进行验证。</w:t>
      </w:r>
    </w:p>
    <w:p w14:paraId="0AD34DDE">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制造商应定期对与其投放到市场上的器械相关的所有数据进行核实，除非这些器械从市场上撤出。</w:t>
      </w:r>
    </w:p>
    <w:p w14:paraId="3AAB2F23">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UDI数据库中存在器械UDI – DI不得假设该器械符合本法规的规定。</w:t>
      </w:r>
    </w:p>
    <w:p w14:paraId="2F201F37">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数据库应允许器械不同包装级别的链接。</w:t>
      </w:r>
    </w:p>
    <w:p w14:paraId="424B33E6">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新的UDI - DI的数据应在器械投放市场时可用。</w:t>
      </w:r>
    </w:p>
    <w:p w14:paraId="31A68E7B">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当对不需要新UDI - DI的元素进行更改时，制造商应在30天内更新相关的UDI数据库记录。</w:t>
      </w:r>
    </w:p>
    <w:p w14:paraId="4E4A1FA2">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bookmarkStart w:id="161" w:name="5.11.__Internationally_accepted_standard"/>
      <w:bookmarkEnd w:id="161"/>
      <w:r>
        <w:rPr>
          <w:rFonts w:ascii="Times New Roman" w:hAnsi="Times New Roman"/>
          <w:kern w:val="2"/>
          <w:szCs w:val="21"/>
        </w:rPr>
        <w:t>在可能的情况下，UDI数据库应使用国际公认的数据提交和更新标准。</w:t>
      </w:r>
    </w:p>
    <w:p w14:paraId="0671FF77">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UDI数据库的使用者界面应适用于欧盟的所有官方语言。但为减少翻译，应尽可能减少自由文本字段的使用。</w:t>
      </w:r>
    </w:p>
    <w:p w14:paraId="3D96EE0D">
      <w:pPr>
        <w:pStyle w:val="32"/>
        <w:numPr>
          <w:ilvl w:val="1"/>
          <w:numId w:val="165"/>
        </w:numPr>
        <w:tabs>
          <w:tab w:val="left" w:pos="682"/>
        </w:tabs>
        <w:topLinePunct/>
        <w:snapToGrid w:val="0"/>
        <w:spacing w:beforeLines="30" w:line="300" w:lineRule="auto"/>
        <w:ind w:hanging="567"/>
        <w:jc w:val="both"/>
        <w:rPr>
          <w:rFonts w:ascii="Times New Roman" w:hAnsi="Times New Roman"/>
          <w:kern w:val="2"/>
          <w:szCs w:val="21"/>
        </w:rPr>
      </w:pPr>
      <w:r>
        <w:rPr>
          <w:rFonts w:ascii="Times New Roman" w:hAnsi="Times New Roman"/>
          <w:kern w:val="2"/>
          <w:szCs w:val="21"/>
        </w:rPr>
        <w:t>与市场上不再使用的器械相关的数据应保存在UDI数据库中。</w:t>
      </w:r>
    </w:p>
    <w:p w14:paraId="5DF162CC">
      <w:pPr>
        <w:pStyle w:val="4"/>
        <w:numPr>
          <w:ilvl w:val="0"/>
          <w:numId w:val="165"/>
        </w:numPr>
        <w:tabs>
          <w:tab w:val="left" w:pos="770"/>
        </w:tabs>
        <w:topLinePunct/>
        <w:snapToGrid w:val="0"/>
        <w:spacing w:beforeLines="30" w:line="300" w:lineRule="auto"/>
        <w:ind w:left="964" w:hanging="850"/>
        <w:jc w:val="both"/>
        <w:rPr>
          <w:rFonts w:ascii="Times New Roman" w:hAnsi="Times New Roman"/>
          <w:b w:val="0"/>
          <w:bCs w:val="0"/>
          <w:kern w:val="2"/>
          <w:sz w:val="21"/>
          <w:szCs w:val="21"/>
        </w:rPr>
      </w:pPr>
      <w:r>
        <w:rPr>
          <w:rFonts w:ascii="Times New Roman" w:hAnsi="Times New Roman"/>
          <w:kern w:val="2"/>
          <w:sz w:val="21"/>
          <w:szCs w:val="21"/>
        </w:rPr>
        <w:t>特定器械类型的规则</w:t>
      </w:r>
    </w:p>
    <w:p w14:paraId="1FBE597E">
      <w:pPr>
        <w:pStyle w:val="32"/>
        <w:numPr>
          <w:ilvl w:val="1"/>
          <w:numId w:val="165"/>
        </w:numPr>
        <w:tabs>
          <w:tab w:val="left" w:pos="770"/>
        </w:tabs>
        <w:topLinePunct/>
        <w:snapToGrid w:val="0"/>
        <w:spacing w:beforeLines="30" w:line="300" w:lineRule="auto"/>
        <w:ind w:left="964" w:hanging="850"/>
        <w:jc w:val="both"/>
        <w:rPr>
          <w:rFonts w:ascii="Times New Roman" w:hAnsi="Times New Roman"/>
          <w:kern w:val="2"/>
          <w:szCs w:val="21"/>
        </w:rPr>
      </w:pPr>
      <w:r>
        <w:rPr>
          <w:rFonts w:ascii="Times New Roman" w:hAnsi="Times New Roman"/>
          <w:kern w:val="2"/>
          <w:szCs w:val="21"/>
        </w:rPr>
        <w:t>可植入器械</w:t>
      </w:r>
    </w:p>
    <w:p w14:paraId="436E48F5">
      <w:pPr>
        <w:pStyle w:val="32"/>
        <w:numPr>
          <w:ilvl w:val="2"/>
          <w:numId w:val="169"/>
        </w:numPr>
        <w:tabs>
          <w:tab w:val="left" w:pos="770"/>
        </w:tabs>
        <w:topLinePunct/>
        <w:snapToGrid w:val="0"/>
        <w:spacing w:beforeLines="30" w:line="300" w:lineRule="auto"/>
        <w:ind w:left="770" w:hanging="657"/>
        <w:jc w:val="both"/>
        <w:rPr>
          <w:rFonts w:ascii="Times New Roman" w:hAnsi="Times New Roman"/>
          <w:kern w:val="2"/>
          <w:szCs w:val="21"/>
        </w:rPr>
      </w:pPr>
      <w:r>
        <w:rPr>
          <w:rFonts w:ascii="Times New Roman" w:hAnsi="Times New Roman"/>
          <w:kern w:val="2"/>
          <w:szCs w:val="21"/>
        </w:rPr>
        <w:t>可植入器械应在其最低包装水平（</w:t>
      </w:r>
      <w:r>
        <w:rPr>
          <w:rFonts w:hint="eastAsia" w:ascii="Times New Roman" w:hAnsi="Times New Roman"/>
          <w:kern w:val="2"/>
          <w:szCs w:val="21"/>
        </w:rPr>
        <w:t>“</w:t>
      </w:r>
      <w:r>
        <w:rPr>
          <w:rFonts w:ascii="Times New Roman" w:hAnsi="Times New Roman"/>
          <w:kern w:val="2"/>
          <w:szCs w:val="21"/>
        </w:rPr>
        <w:t>单位包装</w:t>
      </w:r>
      <w:r>
        <w:rPr>
          <w:rFonts w:hint="eastAsia" w:ascii="Times New Roman" w:hAnsi="Times New Roman"/>
          <w:kern w:val="2"/>
          <w:szCs w:val="21"/>
        </w:rPr>
        <w:t>”</w:t>
      </w:r>
      <w:r>
        <w:rPr>
          <w:rFonts w:ascii="Times New Roman" w:hAnsi="Times New Roman"/>
          <w:kern w:val="2"/>
          <w:szCs w:val="21"/>
        </w:rPr>
        <w:t>）下用UDI（UDI-DI + UDI-PI）或AIDC识别或标记；</w:t>
      </w:r>
    </w:p>
    <w:p w14:paraId="2D743D19">
      <w:pPr>
        <w:pStyle w:val="32"/>
        <w:numPr>
          <w:ilvl w:val="2"/>
          <w:numId w:val="169"/>
        </w:numPr>
        <w:tabs>
          <w:tab w:val="left" w:pos="784"/>
        </w:tabs>
        <w:topLinePunct/>
        <w:snapToGrid w:val="0"/>
        <w:spacing w:beforeLines="30" w:line="300" w:lineRule="auto"/>
        <w:ind w:hanging="850"/>
        <w:jc w:val="both"/>
        <w:rPr>
          <w:rFonts w:ascii="Times New Roman" w:hAnsi="Times New Roman"/>
          <w:kern w:val="2"/>
          <w:szCs w:val="21"/>
        </w:rPr>
      </w:pPr>
      <w:r>
        <w:rPr>
          <w:rFonts w:ascii="Times New Roman" w:hAnsi="Times New Roman"/>
          <w:kern w:val="2"/>
          <w:szCs w:val="21"/>
        </w:rPr>
        <w:t>UDI-PI应至少具有以下特征：</w:t>
      </w:r>
    </w:p>
    <w:p w14:paraId="4C5F0F6B">
      <w:pPr>
        <w:pStyle w:val="32"/>
        <w:numPr>
          <w:ilvl w:val="3"/>
          <w:numId w:val="169"/>
        </w:numPr>
        <w:tabs>
          <w:tab w:val="left" w:pos="1533"/>
        </w:tabs>
        <w:topLinePunct/>
        <w:snapToGrid w:val="0"/>
        <w:spacing w:beforeLines="30" w:line="300" w:lineRule="auto"/>
        <w:jc w:val="both"/>
        <w:rPr>
          <w:rFonts w:ascii="Times New Roman" w:hAnsi="Times New Roman"/>
          <w:kern w:val="2"/>
          <w:szCs w:val="21"/>
        </w:rPr>
      </w:pPr>
      <w:r>
        <w:rPr>
          <w:rFonts w:ascii="Times New Roman" w:hAnsi="Times New Roman"/>
          <w:kern w:val="2"/>
          <w:szCs w:val="21"/>
        </w:rPr>
        <w:t>有源可植入器械的序列号，</w:t>
      </w:r>
    </w:p>
    <w:p w14:paraId="0289DA29">
      <w:pPr>
        <w:pStyle w:val="32"/>
        <w:numPr>
          <w:ilvl w:val="3"/>
          <w:numId w:val="169"/>
        </w:numPr>
        <w:tabs>
          <w:tab w:val="left" w:pos="1533"/>
        </w:tabs>
        <w:topLinePunct/>
        <w:snapToGrid w:val="0"/>
        <w:spacing w:beforeLines="30" w:line="300" w:lineRule="auto"/>
        <w:jc w:val="both"/>
        <w:rPr>
          <w:rFonts w:ascii="Times New Roman" w:hAnsi="Times New Roman"/>
          <w:kern w:val="2"/>
          <w:szCs w:val="21"/>
        </w:rPr>
      </w:pPr>
      <w:r>
        <w:rPr>
          <w:rFonts w:ascii="Times New Roman" w:hAnsi="Times New Roman"/>
          <w:kern w:val="2"/>
          <w:szCs w:val="21"/>
        </w:rPr>
        <w:t>其他可植入器械的序列号或批号；</w:t>
      </w:r>
    </w:p>
    <w:p w14:paraId="07FDBF26">
      <w:pPr>
        <w:pStyle w:val="32"/>
        <w:numPr>
          <w:ilvl w:val="2"/>
          <w:numId w:val="169"/>
        </w:numPr>
        <w:tabs>
          <w:tab w:val="left" w:pos="784"/>
        </w:tabs>
        <w:topLinePunct/>
        <w:snapToGrid w:val="0"/>
        <w:spacing w:beforeLines="30" w:line="300" w:lineRule="auto"/>
        <w:ind w:left="784" w:hanging="670"/>
        <w:jc w:val="both"/>
        <w:rPr>
          <w:rFonts w:ascii="Times New Roman" w:hAnsi="Times New Roman"/>
          <w:kern w:val="2"/>
          <w:szCs w:val="21"/>
        </w:rPr>
      </w:pPr>
      <w:r>
        <w:rPr>
          <w:rFonts w:ascii="Times New Roman" w:hAnsi="Times New Roman"/>
          <w:kern w:val="2"/>
          <w:szCs w:val="21"/>
        </w:rPr>
        <w:t>可植入器械的UDI在植入前应是可识别的。</w:t>
      </w:r>
    </w:p>
    <w:p w14:paraId="1CF47439">
      <w:pPr>
        <w:pStyle w:val="32"/>
        <w:numPr>
          <w:ilvl w:val="1"/>
          <w:numId w:val="170"/>
        </w:numPr>
        <w:tabs>
          <w:tab w:val="left" w:pos="784"/>
        </w:tabs>
        <w:topLinePunct/>
        <w:snapToGrid w:val="0"/>
        <w:spacing w:beforeLines="30" w:line="300" w:lineRule="auto"/>
        <w:ind w:left="784" w:hanging="670"/>
        <w:jc w:val="both"/>
        <w:rPr>
          <w:rFonts w:ascii="Times New Roman" w:hAnsi="Times New Roman"/>
          <w:kern w:val="2"/>
          <w:szCs w:val="21"/>
        </w:rPr>
      </w:pPr>
      <w:r>
        <w:rPr>
          <w:rFonts w:ascii="Times New Roman" w:hAnsi="Times New Roman"/>
          <w:kern w:val="2"/>
          <w:szCs w:val="21"/>
        </w:rPr>
        <w:t>可重复使用的器械在使用期间需要清洁、消毒、灭菌或重新清理</w:t>
      </w:r>
    </w:p>
    <w:p w14:paraId="49CD6C19">
      <w:pPr>
        <w:pStyle w:val="32"/>
        <w:numPr>
          <w:ilvl w:val="2"/>
          <w:numId w:val="170"/>
        </w:numPr>
        <w:tabs>
          <w:tab w:val="left" w:pos="784"/>
        </w:tabs>
        <w:topLinePunct/>
        <w:snapToGrid w:val="0"/>
        <w:spacing w:beforeLines="30" w:line="300" w:lineRule="auto"/>
        <w:ind w:left="784" w:hanging="670"/>
        <w:jc w:val="both"/>
        <w:rPr>
          <w:rFonts w:ascii="Times New Roman" w:hAnsi="Times New Roman"/>
          <w:kern w:val="2"/>
          <w:szCs w:val="21"/>
        </w:rPr>
      </w:pPr>
      <w:r>
        <w:rPr>
          <w:rFonts w:ascii="Times New Roman" w:hAnsi="Times New Roman"/>
          <w:kern w:val="2"/>
          <w:szCs w:val="21"/>
        </w:rPr>
        <w:t>此类器械的UDI应置于器械上，而且在各操作程序后都是可读的，以便于器械的下次使用；</w:t>
      </w:r>
    </w:p>
    <w:p w14:paraId="6DF18BA2">
      <w:pPr>
        <w:pStyle w:val="32"/>
        <w:numPr>
          <w:ilvl w:val="2"/>
          <w:numId w:val="170"/>
        </w:numPr>
        <w:tabs>
          <w:tab w:val="left" w:pos="784"/>
        </w:tabs>
        <w:topLinePunct/>
        <w:snapToGrid w:val="0"/>
        <w:spacing w:beforeLines="30" w:line="300" w:lineRule="auto"/>
        <w:ind w:left="784" w:hanging="670"/>
        <w:jc w:val="both"/>
        <w:rPr>
          <w:rFonts w:ascii="Times New Roman" w:hAnsi="Times New Roman"/>
          <w:kern w:val="2"/>
          <w:szCs w:val="21"/>
        </w:rPr>
      </w:pPr>
      <w:r>
        <w:rPr>
          <w:rFonts w:ascii="Times New Roman" w:hAnsi="Times New Roman"/>
          <w:kern w:val="2"/>
          <w:szCs w:val="21"/>
        </w:rPr>
        <w:t>制造商应对UDI-PI的特性（例如批号或序列号）进行定义。</w:t>
      </w:r>
    </w:p>
    <w:p w14:paraId="2B35D89B">
      <w:pPr>
        <w:pStyle w:val="32"/>
        <w:numPr>
          <w:ilvl w:val="1"/>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第22条所述的系统和手术包</w:t>
      </w:r>
    </w:p>
    <w:p w14:paraId="7D017270">
      <w:pPr>
        <w:pStyle w:val="32"/>
        <w:numPr>
          <w:ilvl w:val="2"/>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第22条所述的自然人和法人应负责使用包括UDI - DI和UDI - PI的UDI来识别系统或手术包；</w:t>
      </w:r>
    </w:p>
    <w:p w14:paraId="1ED3CC7C">
      <w:pPr>
        <w:pStyle w:val="32"/>
        <w:numPr>
          <w:ilvl w:val="2"/>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系统或手术包的器械内件应将UDI载体置于其包装上或器械本身上。</w:t>
      </w:r>
    </w:p>
    <w:p w14:paraId="4927EFE8">
      <w:pPr>
        <w:pStyle w:val="8"/>
        <w:topLinePunct/>
        <w:snapToGrid w:val="0"/>
        <w:spacing w:beforeLines="25" w:line="300" w:lineRule="auto"/>
        <w:ind w:left="964" w:firstLine="0"/>
        <w:jc w:val="both"/>
        <w:rPr>
          <w:kern w:val="2"/>
          <w:szCs w:val="21"/>
        </w:rPr>
      </w:pPr>
      <w:r>
        <w:rPr>
          <w:kern w:val="2"/>
          <w:szCs w:val="21"/>
        </w:rPr>
        <w:t>豁免：</w:t>
      </w:r>
    </w:p>
    <w:p w14:paraId="20B88A93">
      <w:pPr>
        <w:pStyle w:val="32"/>
        <w:numPr>
          <w:ilvl w:val="3"/>
          <w:numId w:val="170"/>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对于系统或手术包内的单独一次性使用的一次性使用器械，其用途一般为其拟使用的人所知，并且不适用于在系统或手术包范围</w:t>
      </w:r>
      <w:r>
        <w:rPr>
          <w:rFonts w:hint="eastAsia" w:ascii="Times New Roman" w:hAnsi="Times New Roman"/>
          <w:kern w:val="2"/>
          <w:szCs w:val="21"/>
        </w:rPr>
        <w:t>以</w:t>
      </w:r>
      <w:r>
        <w:rPr>
          <w:rFonts w:ascii="Times New Roman" w:hAnsi="Times New Roman"/>
          <w:kern w:val="2"/>
          <w:szCs w:val="21"/>
        </w:rPr>
        <w:t>外的人员使用，则不需要在其上设置UDI载体。</w:t>
      </w:r>
    </w:p>
    <w:p w14:paraId="71C7427E">
      <w:pPr>
        <w:pStyle w:val="32"/>
        <w:numPr>
          <w:ilvl w:val="3"/>
          <w:numId w:val="170"/>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豁免在相关级别包装上设置UDI载体的器械，在加入系统或手术包内时，其上无需设置UDI载体。</w:t>
      </w:r>
    </w:p>
    <w:p w14:paraId="7DF4E2BC">
      <w:pPr>
        <w:pStyle w:val="32"/>
        <w:numPr>
          <w:ilvl w:val="2"/>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UDI载体设置在系统或手术包上：</w:t>
      </w:r>
    </w:p>
    <w:p w14:paraId="22F84E7D">
      <w:pPr>
        <w:pStyle w:val="32"/>
        <w:numPr>
          <w:ilvl w:val="3"/>
          <w:numId w:val="170"/>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系统或手术包的UDI载体通常应贴在包装外面；</w:t>
      </w:r>
    </w:p>
    <w:p w14:paraId="3584AF11">
      <w:pPr>
        <w:pStyle w:val="32"/>
        <w:numPr>
          <w:ilvl w:val="3"/>
          <w:numId w:val="170"/>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无论是放置在系统或手术包包装的外部，还是放在透明包装内，UDI载体都应是可读的，或可供AIDC扫描。</w:t>
      </w:r>
    </w:p>
    <w:p w14:paraId="6529D7B7">
      <w:pPr>
        <w:pStyle w:val="32"/>
        <w:numPr>
          <w:ilvl w:val="1"/>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可配置器械</w:t>
      </w:r>
    </w:p>
    <w:p w14:paraId="45D92574">
      <w:pPr>
        <w:pStyle w:val="32"/>
        <w:numPr>
          <w:ilvl w:val="2"/>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UDI应全部分配给可配置器械，并定名为可配置器械UDI。</w:t>
      </w:r>
    </w:p>
    <w:p w14:paraId="6DECD005">
      <w:pPr>
        <w:pStyle w:val="32"/>
        <w:numPr>
          <w:ilvl w:val="2"/>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可配置器械UDI - DI应分配给配置组，而不是组内的各配置。一组配置应定义为技术文件中所说明的给定器械的可能配置。</w:t>
      </w:r>
    </w:p>
    <w:p w14:paraId="53E67069">
      <w:pPr>
        <w:pStyle w:val="32"/>
        <w:numPr>
          <w:ilvl w:val="2"/>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应将可配置器械UDI - PI分配给各单独的可配置器械。</w:t>
      </w:r>
    </w:p>
    <w:p w14:paraId="2CCF5E8C">
      <w:pPr>
        <w:pStyle w:val="32"/>
        <w:numPr>
          <w:ilvl w:val="2"/>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可配置器械UDI的载体应放置在最不可能在系统使用期间进行更换的组件上，并且应认定为可配置器械UDI。</w:t>
      </w:r>
    </w:p>
    <w:p w14:paraId="656F6250">
      <w:pPr>
        <w:pStyle w:val="32"/>
        <w:numPr>
          <w:ilvl w:val="2"/>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各可视为器械并且可自行购买的组件应分配一个单独的UDI；</w:t>
      </w:r>
    </w:p>
    <w:p w14:paraId="2AE557DD">
      <w:pPr>
        <w:pStyle w:val="32"/>
        <w:numPr>
          <w:ilvl w:val="1"/>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器械软件</w:t>
      </w:r>
    </w:p>
    <w:p w14:paraId="003C4339">
      <w:pPr>
        <w:pStyle w:val="32"/>
        <w:numPr>
          <w:ilvl w:val="2"/>
          <w:numId w:val="170"/>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UDI指定标准</w:t>
      </w:r>
    </w:p>
    <w:p w14:paraId="0536FD5D">
      <w:pPr>
        <w:pStyle w:val="8"/>
        <w:topLinePunct/>
        <w:snapToGrid w:val="0"/>
        <w:spacing w:beforeLines="25" w:line="300" w:lineRule="auto"/>
        <w:ind w:left="964" w:firstLine="0"/>
        <w:jc w:val="both"/>
        <w:rPr>
          <w:kern w:val="2"/>
          <w:szCs w:val="21"/>
        </w:rPr>
      </w:pPr>
      <w:r>
        <w:rPr>
          <w:kern w:val="2"/>
          <w:szCs w:val="21"/>
        </w:rPr>
        <w:t>应按软件的系统级别指定UDI。只有可自行购买的软件和本身就是器械的软件才应遵循该要求。</w:t>
      </w:r>
    </w:p>
    <w:p w14:paraId="0673D28A">
      <w:pPr>
        <w:pStyle w:val="8"/>
        <w:topLinePunct/>
        <w:snapToGrid w:val="0"/>
        <w:spacing w:beforeLines="25" w:line="300" w:lineRule="auto"/>
        <w:ind w:left="964" w:firstLine="0"/>
        <w:jc w:val="both"/>
        <w:rPr>
          <w:kern w:val="2"/>
          <w:szCs w:val="21"/>
        </w:rPr>
      </w:pPr>
      <w:r>
        <w:rPr>
          <w:kern w:val="2"/>
          <w:szCs w:val="21"/>
        </w:rPr>
        <w:t>软件标识应视为制造控制机制，并显示在UDI - PI中。</w:t>
      </w:r>
    </w:p>
    <w:p w14:paraId="090F2853">
      <w:pPr>
        <w:pStyle w:val="32"/>
        <w:tabs>
          <w:tab w:val="left" w:pos="595"/>
          <w:tab w:val="left" w:pos="964"/>
        </w:tabs>
        <w:topLinePunct/>
        <w:snapToGrid w:val="0"/>
        <w:spacing w:beforeLines="25" w:line="300" w:lineRule="auto"/>
        <w:ind w:firstLine="210" w:firstLineChars="100"/>
        <w:jc w:val="both"/>
        <w:rPr>
          <w:rFonts w:ascii="Times New Roman" w:hAnsi="Times New Roman"/>
          <w:kern w:val="2"/>
          <w:szCs w:val="21"/>
        </w:rPr>
      </w:pPr>
      <w:r>
        <w:rPr>
          <w:rFonts w:ascii="Times New Roman" w:hAnsi="Times New Roman"/>
          <w:kern w:val="2"/>
          <w:szCs w:val="21"/>
        </w:rPr>
        <w:t>6.5.2</w:t>
      </w:r>
      <w:r>
        <w:rPr>
          <w:rFonts w:ascii="Times New Roman" w:hAnsi="Times New Roman"/>
          <w:kern w:val="2"/>
          <w:szCs w:val="21"/>
        </w:rPr>
        <w:tab/>
      </w:r>
      <w:r>
        <w:rPr>
          <w:rFonts w:ascii="Times New Roman" w:hAnsi="Times New Roman"/>
          <w:kern w:val="2"/>
          <w:szCs w:val="21"/>
        </w:rPr>
        <w:t>每当修改改变时，需要新的UDI - DI：</w:t>
      </w:r>
    </w:p>
    <w:p w14:paraId="233601FD">
      <w:pPr>
        <w:pStyle w:val="32"/>
        <w:numPr>
          <w:ilvl w:val="3"/>
          <w:numId w:val="171"/>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原始性能和疗效，</w:t>
      </w:r>
    </w:p>
    <w:p w14:paraId="5299B98A">
      <w:pPr>
        <w:pStyle w:val="32"/>
        <w:numPr>
          <w:ilvl w:val="3"/>
          <w:numId w:val="171"/>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软件安全或预期用途。</w:t>
      </w:r>
    </w:p>
    <w:p w14:paraId="1E742634">
      <w:pPr>
        <w:pStyle w:val="32"/>
        <w:numPr>
          <w:ilvl w:val="3"/>
          <w:numId w:val="171"/>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数据解释。</w:t>
      </w:r>
    </w:p>
    <w:p w14:paraId="21A59A03">
      <w:pPr>
        <w:pStyle w:val="8"/>
        <w:topLinePunct/>
        <w:snapToGrid w:val="0"/>
        <w:spacing w:beforeLines="25" w:line="300" w:lineRule="auto"/>
        <w:ind w:left="964" w:firstLine="0"/>
        <w:jc w:val="both"/>
        <w:rPr>
          <w:kern w:val="2"/>
          <w:szCs w:val="21"/>
        </w:rPr>
      </w:pPr>
      <w:r>
        <w:rPr>
          <w:kern w:val="2"/>
          <w:szCs w:val="21"/>
        </w:rPr>
        <w:t>此类变化可能包括新的或修改的算法、数据库结构、操作平台、架构、新的使用者界面或用于互操作性的新渠道。</w:t>
      </w:r>
    </w:p>
    <w:p w14:paraId="4B41F78F">
      <w:pPr>
        <w:pStyle w:val="8"/>
        <w:topLinePunct/>
        <w:snapToGrid w:val="0"/>
        <w:spacing w:beforeLines="25" w:line="300" w:lineRule="auto"/>
        <w:ind w:left="964" w:hanging="851"/>
        <w:jc w:val="both"/>
        <w:rPr>
          <w:kern w:val="2"/>
          <w:szCs w:val="21"/>
        </w:rPr>
      </w:pPr>
      <w:r>
        <w:rPr>
          <w:kern w:val="2"/>
          <w:szCs w:val="21"/>
        </w:rPr>
        <w:t>6.5.3.</w:t>
      </w:r>
      <w:r>
        <w:rPr>
          <w:kern w:val="2"/>
          <w:szCs w:val="21"/>
        </w:rPr>
        <w:tab/>
      </w:r>
      <w:r>
        <w:rPr>
          <w:kern w:val="2"/>
          <w:szCs w:val="21"/>
        </w:rPr>
        <w:t>次要软件修订版本应需要一个新的UDI - PI（而不是新的UDI - DI）：</w:t>
      </w:r>
    </w:p>
    <w:p w14:paraId="5B3F5EF2">
      <w:pPr>
        <w:pStyle w:val="8"/>
        <w:topLinePunct/>
        <w:snapToGrid w:val="0"/>
        <w:spacing w:beforeLines="25" w:line="300" w:lineRule="auto"/>
        <w:ind w:left="964" w:firstLine="0"/>
        <w:jc w:val="both"/>
        <w:rPr>
          <w:kern w:val="2"/>
          <w:szCs w:val="21"/>
        </w:rPr>
      </w:pPr>
      <w:r>
        <w:rPr>
          <w:kern w:val="2"/>
          <w:szCs w:val="21"/>
        </w:rPr>
        <w:t>次要软件修订版本通常与错误修复、可用性增强相关，而非出于安全目的、安全补丁或运行效率。</w:t>
      </w:r>
    </w:p>
    <w:p w14:paraId="777D29FB">
      <w:pPr>
        <w:pStyle w:val="8"/>
        <w:topLinePunct/>
        <w:snapToGrid w:val="0"/>
        <w:spacing w:beforeLines="25" w:line="300" w:lineRule="auto"/>
        <w:ind w:left="964" w:firstLine="0"/>
        <w:jc w:val="both"/>
        <w:rPr>
          <w:kern w:val="2"/>
          <w:szCs w:val="21"/>
        </w:rPr>
      </w:pPr>
      <w:r>
        <w:rPr>
          <w:kern w:val="2"/>
          <w:szCs w:val="21"/>
        </w:rPr>
        <w:t>次要软件修订版本应通过制造商的特定标识形式予以识别。</w:t>
      </w:r>
    </w:p>
    <w:p w14:paraId="4ED577E4">
      <w:pPr>
        <w:pStyle w:val="32"/>
        <w:numPr>
          <w:ilvl w:val="2"/>
          <w:numId w:val="172"/>
        </w:numPr>
        <w:tabs>
          <w:tab w:val="left" w:pos="965"/>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软件的UDI配置标准</w:t>
      </w:r>
    </w:p>
    <w:p w14:paraId="4AC7778B">
      <w:pPr>
        <w:pStyle w:val="32"/>
        <w:numPr>
          <w:ilvl w:val="3"/>
          <w:numId w:val="172"/>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当软件以CD或DVD等物理介质进行交付时，各包装级别应</w:t>
      </w:r>
      <w:r>
        <w:rPr>
          <w:rFonts w:hint="eastAsia" w:ascii="Times New Roman" w:hAnsi="Times New Roman"/>
          <w:kern w:val="2"/>
          <w:szCs w:val="21"/>
        </w:rPr>
        <w:t>以</w:t>
      </w:r>
      <w:r>
        <w:rPr>
          <w:rFonts w:ascii="Times New Roman" w:hAnsi="Times New Roman"/>
          <w:kern w:val="2"/>
          <w:szCs w:val="21"/>
        </w:rPr>
        <w:t>人类可读和完整UDI的AIDC表示。</w:t>
      </w:r>
      <w:r>
        <w:rPr>
          <w:rFonts w:hint="eastAsia" w:ascii="Times New Roman" w:hAnsi="Times New Roman"/>
          <w:kern w:val="2"/>
          <w:szCs w:val="21"/>
        </w:rPr>
        <w:t>且</w:t>
      </w:r>
      <w:r>
        <w:rPr>
          <w:rFonts w:ascii="Times New Roman" w:hAnsi="Times New Roman"/>
          <w:kern w:val="2"/>
          <w:szCs w:val="21"/>
        </w:rPr>
        <w:t>应用于包含软件及其包装的物理介质的UDI应与分配给系统级软件的UDI相同；</w:t>
      </w:r>
    </w:p>
    <w:p w14:paraId="0BFD9453">
      <w:pPr>
        <w:pStyle w:val="32"/>
        <w:numPr>
          <w:ilvl w:val="3"/>
          <w:numId w:val="172"/>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UDI应以容易读取的纯文本格式（例如，</w:t>
      </w:r>
      <w:r>
        <w:rPr>
          <w:rFonts w:hint="eastAsia" w:ascii="Times New Roman" w:hAnsi="Times New Roman"/>
          <w:kern w:val="2"/>
          <w:szCs w:val="21"/>
        </w:rPr>
        <w:t>“</w:t>
      </w:r>
      <w:r>
        <w:rPr>
          <w:rFonts w:ascii="Times New Roman" w:hAnsi="Times New Roman"/>
          <w:kern w:val="2"/>
          <w:szCs w:val="21"/>
        </w:rPr>
        <w:t>关于</w:t>
      </w:r>
      <w:r>
        <w:rPr>
          <w:rFonts w:hint="eastAsia" w:ascii="Times New Roman" w:hAnsi="Times New Roman"/>
          <w:kern w:val="2"/>
          <w:szCs w:val="21"/>
        </w:rPr>
        <w:t>”</w:t>
      </w:r>
      <w:r>
        <w:rPr>
          <w:rFonts w:ascii="Times New Roman" w:hAnsi="Times New Roman"/>
          <w:kern w:val="2"/>
          <w:szCs w:val="21"/>
        </w:rPr>
        <w:t>文件或包括在启动屏幕上）提供在使用者容易访问的屏幕上；</w:t>
      </w:r>
    </w:p>
    <w:p w14:paraId="760AFE9D">
      <w:pPr>
        <w:pStyle w:val="32"/>
        <w:numPr>
          <w:ilvl w:val="3"/>
          <w:numId w:val="172"/>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缺少使用者界面的软件（例如，用于图像转换的中间软件）应能够通过应用程序编程接口（API）发送UDI；</w:t>
      </w:r>
    </w:p>
    <w:p w14:paraId="7634D77F">
      <w:pPr>
        <w:pStyle w:val="32"/>
        <w:numPr>
          <w:ilvl w:val="3"/>
          <w:numId w:val="172"/>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软件的电子显示器上只需要UDI的人类可读部分。使用AIDC标记的UDI不得用于电子显示器，如</w:t>
      </w:r>
      <w:r>
        <w:rPr>
          <w:rFonts w:hint="eastAsia" w:ascii="Times New Roman" w:hAnsi="Times New Roman"/>
          <w:kern w:val="2"/>
          <w:szCs w:val="21"/>
        </w:rPr>
        <w:t>“</w:t>
      </w:r>
      <w:r>
        <w:rPr>
          <w:rFonts w:ascii="Times New Roman" w:hAnsi="Times New Roman"/>
          <w:kern w:val="2"/>
          <w:szCs w:val="21"/>
        </w:rPr>
        <w:t>关于</w:t>
      </w:r>
      <w:r>
        <w:rPr>
          <w:rFonts w:hint="eastAsia" w:ascii="Times New Roman" w:hAnsi="Times New Roman"/>
          <w:kern w:val="2"/>
          <w:szCs w:val="21"/>
        </w:rPr>
        <w:t>”</w:t>
      </w:r>
      <w:r>
        <w:rPr>
          <w:rFonts w:ascii="Times New Roman" w:hAnsi="Times New Roman"/>
          <w:kern w:val="2"/>
          <w:szCs w:val="21"/>
        </w:rPr>
        <w:t>菜单、欢迎界面等；</w:t>
      </w:r>
    </w:p>
    <w:p w14:paraId="357EA3A2">
      <w:pPr>
        <w:pStyle w:val="32"/>
        <w:numPr>
          <w:ilvl w:val="3"/>
          <w:numId w:val="172"/>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软件UDI的人类可读格式应包括颁发实体的所使用标准的应用标识符（AI），以便帮助使用者识别UDI并确定用来创建UDI的标准。</w:t>
      </w:r>
    </w:p>
    <w:p w14:paraId="4EDDDC1A">
      <w:pPr>
        <w:snapToGrid w:val="0"/>
        <w:spacing w:beforeLines="25" w:line="300" w:lineRule="auto"/>
        <w:jc w:val="center"/>
        <w:rPr>
          <w:rFonts w:ascii="Times New Roman" w:hAnsi="Times New Roman"/>
          <w:szCs w:val="21"/>
        </w:rPr>
      </w:pPr>
      <w:r>
        <w:rPr>
          <w:rFonts w:hint="eastAsia" w:ascii="Times New Roman" w:hAnsi="Times New Roman"/>
          <w:szCs w:val="21"/>
        </w:rPr>
        <w:t>_______________</w:t>
      </w:r>
    </w:p>
    <w:p w14:paraId="47733EA8">
      <w:pPr>
        <w:pStyle w:val="2"/>
        <w:spacing w:beforeLines="50" w:line="300" w:lineRule="auto"/>
        <w:rPr>
          <w:bCs/>
          <w:sz w:val="24"/>
          <w:szCs w:val="24"/>
        </w:rPr>
      </w:pPr>
      <w:bookmarkStart w:id="162" w:name="_Toc477512422"/>
      <w:r>
        <w:rPr>
          <w:sz w:val="21"/>
          <w:szCs w:val="21"/>
        </w:rPr>
        <w:br w:type="page"/>
      </w:r>
      <w:r>
        <w:rPr>
          <w:sz w:val="24"/>
          <w:szCs w:val="24"/>
        </w:rPr>
        <w:t xml:space="preserve">附录VII  </w:t>
      </w:r>
      <w:r>
        <w:rPr>
          <w:sz w:val="24"/>
          <w:szCs w:val="24"/>
        </w:rPr>
        <w:br w:type="textWrapping"/>
      </w:r>
      <w:r>
        <w:rPr>
          <w:sz w:val="24"/>
          <w:szCs w:val="24"/>
        </w:rPr>
        <w:t>公告机构需满足的要求</w:t>
      </w:r>
      <w:bookmarkEnd w:id="162"/>
    </w:p>
    <w:p w14:paraId="501B8B39">
      <w:pPr>
        <w:pStyle w:val="4"/>
        <w:numPr>
          <w:ilvl w:val="0"/>
          <w:numId w:val="173"/>
        </w:numPr>
        <w:tabs>
          <w:tab w:val="left" w:pos="965"/>
        </w:tabs>
        <w:topLinePunct/>
        <w:snapToGrid w:val="0"/>
        <w:spacing w:beforeLines="50" w:line="300" w:lineRule="auto"/>
        <w:ind w:hanging="850"/>
        <w:jc w:val="both"/>
        <w:rPr>
          <w:rFonts w:ascii="Times New Roman" w:hAnsi="Times New Roman"/>
          <w:b w:val="0"/>
          <w:bCs w:val="0"/>
          <w:kern w:val="2"/>
          <w:sz w:val="21"/>
          <w:szCs w:val="21"/>
        </w:rPr>
      </w:pPr>
      <w:r>
        <w:rPr>
          <w:rFonts w:ascii="Times New Roman" w:hAnsi="Times New Roman"/>
          <w:kern w:val="2"/>
          <w:sz w:val="21"/>
          <w:szCs w:val="21"/>
        </w:rPr>
        <w:t>组织和一般要求</w:t>
      </w:r>
    </w:p>
    <w:p w14:paraId="3DB1E690">
      <w:pPr>
        <w:pStyle w:val="32"/>
        <w:numPr>
          <w:ilvl w:val="1"/>
          <w:numId w:val="173"/>
        </w:numPr>
        <w:tabs>
          <w:tab w:val="left" w:pos="965"/>
        </w:tabs>
        <w:topLinePunct/>
        <w:snapToGrid w:val="0"/>
        <w:spacing w:beforeLines="50" w:line="300" w:lineRule="auto"/>
        <w:ind w:hanging="850"/>
        <w:jc w:val="both"/>
        <w:rPr>
          <w:rFonts w:ascii="Times New Roman" w:hAnsi="Times New Roman"/>
          <w:kern w:val="2"/>
          <w:szCs w:val="21"/>
        </w:rPr>
      </w:pPr>
      <w:r>
        <w:rPr>
          <w:rFonts w:ascii="Times New Roman" w:hAnsi="Times New Roman"/>
          <w:b/>
          <w:kern w:val="2"/>
          <w:szCs w:val="21"/>
        </w:rPr>
        <w:t>法人资格和组织结构</w:t>
      </w:r>
    </w:p>
    <w:p w14:paraId="1A776071">
      <w:pPr>
        <w:pStyle w:val="32"/>
        <w:numPr>
          <w:ilvl w:val="2"/>
          <w:numId w:val="173"/>
        </w:numPr>
        <w:tabs>
          <w:tab w:val="left" w:pos="965"/>
        </w:tabs>
        <w:topLinePunct/>
        <w:snapToGrid w:val="0"/>
        <w:spacing w:beforeLines="50" w:line="300" w:lineRule="auto"/>
        <w:ind w:hanging="850"/>
        <w:jc w:val="both"/>
        <w:rPr>
          <w:rFonts w:ascii="Times New Roman" w:hAnsi="Times New Roman"/>
          <w:kern w:val="2"/>
          <w:szCs w:val="21"/>
        </w:rPr>
      </w:pPr>
      <w:r>
        <w:rPr>
          <w:rFonts w:ascii="Times New Roman" w:hAnsi="Times New Roman"/>
          <w:kern w:val="2"/>
          <w:szCs w:val="21"/>
        </w:rPr>
        <w:t>应根据成员国的国内法，或根据与欧盟达成该方面协议的第三方国家的法律来建立各公告机构，并应对其法人资格和地位进行全面记录。此类记录应包括关于所有权和对公告机构行使控制权的法人或自然人的信息。</w:t>
      </w:r>
    </w:p>
    <w:p w14:paraId="3F7842F7">
      <w:pPr>
        <w:pStyle w:val="32"/>
        <w:numPr>
          <w:ilvl w:val="2"/>
          <w:numId w:val="173"/>
        </w:numPr>
        <w:tabs>
          <w:tab w:val="left" w:pos="965"/>
        </w:tabs>
        <w:topLinePunct/>
        <w:snapToGrid w:val="0"/>
        <w:spacing w:beforeLines="50" w:line="300" w:lineRule="auto"/>
        <w:ind w:hanging="850"/>
        <w:jc w:val="both"/>
        <w:rPr>
          <w:rFonts w:ascii="Times New Roman" w:hAnsi="Times New Roman"/>
          <w:kern w:val="2"/>
          <w:szCs w:val="21"/>
        </w:rPr>
      </w:pPr>
      <w:r>
        <w:rPr>
          <w:rFonts w:ascii="Times New Roman" w:hAnsi="Times New Roman"/>
          <w:kern w:val="2"/>
          <w:szCs w:val="21"/>
        </w:rPr>
        <w:t>若公告机构是作为较大组织一部分的法人实体，则该组织的活动及其组织结构和管理以及与公告机构的关系应清楚地记录在案。在这种情况下，第1.2节的要求适用于公告机构和其所属的组织。</w:t>
      </w:r>
    </w:p>
    <w:p w14:paraId="5692F287">
      <w:pPr>
        <w:pStyle w:val="32"/>
        <w:numPr>
          <w:ilvl w:val="2"/>
          <w:numId w:val="173"/>
        </w:numPr>
        <w:tabs>
          <w:tab w:val="left" w:pos="965"/>
        </w:tabs>
        <w:topLinePunct/>
        <w:snapToGrid w:val="0"/>
        <w:spacing w:beforeLines="50" w:line="300" w:lineRule="auto"/>
        <w:ind w:hanging="850"/>
        <w:jc w:val="both"/>
        <w:rPr>
          <w:rFonts w:ascii="Times New Roman" w:hAnsi="Times New Roman"/>
          <w:kern w:val="2"/>
          <w:szCs w:val="21"/>
        </w:rPr>
      </w:pPr>
      <w:r>
        <w:rPr>
          <w:rFonts w:ascii="Times New Roman" w:hAnsi="Times New Roman"/>
          <w:kern w:val="2"/>
          <w:szCs w:val="21"/>
        </w:rPr>
        <w:t>若公告机构全部或部分拥有在成员国或第三方国家建立的法人实体，或由另一法人实体所拥有，则应对这些实体的活动和责任，以及其与公告机构的法律和业务关系进行明确的定义和记录。根据本法规进行符合性评估活动的实体人员应遵守本法规的适用要求。</w:t>
      </w:r>
    </w:p>
    <w:p w14:paraId="4E3266FB">
      <w:pPr>
        <w:pStyle w:val="32"/>
        <w:numPr>
          <w:ilvl w:val="2"/>
          <w:numId w:val="173"/>
        </w:numPr>
        <w:tabs>
          <w:tab w:val="left" w:pos="965"/>
        </w:tabs>
        <w:topLinePunct/>
        <w:snapToGrid w:val="0"/>
        <w:spacing w:beforeLines="50" w:line="300" w:lineRule="auto"/>
        <w:ind w:hanging="850"/>
        <w:jc w:val="both"/>
        <w:rPr>
          <w:rFonts w:ascii="Times New Roman" w:hAnsi="Times New Roman"/>
          <w:kern w:val="2"/>
          <w:szCs w:val="21"/>
        </w:rPr>
      </w:pPr>
      <w:r>
        <w:rPr>
          <w:rFonts w:ascii="Times New Roman" w:hAnsi="Times New Roman"/>
          <w:kern w:val="2"/>
          <w:szCs w:val="21"/>
        </w:rPr>
        <w:t>公告机构的组织结构、责任分配、汇报程序和运作应能确保其对公告机构的性能所进行符合性评估活动的结果有信心。</w:t>
      </w:r>
    </w:p>
    <w:p w14:paraId="00829485">
      <w:pPr>
        <w:pStyle w:val="32"/>
        <w:numPr>
          <w:ilvl w:val="2"/>
          <w:numId w:val="173"/>
        </w:numPr>
        <w:tabs>
          <w:tab w:val="left" w:pos="965"/>
        </w:tabs>
        <w:topLinePunct/>
        <w:snapToGrid w:val="0"/>
        <w:spacing w:beforeLines="50" w:line="300" w:lineRule="auto"/>
        <w:ind w:hanging="850"/>
        <w:jc w:val="both"/>
        <w:rPr>
          <w:rFonts w:ascii="Times New Roman" w:hAnsi="Times New Roman"/>
          <w:kern w:val="2"/>
          <w:szCs w:val="21"/>
        </w:rPr>
      </w:pPr>
      <w:r>
        <w:rPr>
          <w:rFonts w:ascii="Times New Roman" w:hAnsi="Times New Roman"/>
          <w:kern w:val="2"/>
          <w:szCs w:val="21"/>
        </w:rPr>
        <w:t>公告机构应清楚地记录其组织结构、高层管理人员和其他可能影响公告机构的性能以及符合性评估活动结果的人员的职能、职责和权限。</w:t>
      </w:r>
    </w:p>
    <w:p w14:paraId="6CCE583C">
      <w:pPr>
        <w:pStyle w:val="32"/>
        <w:numPr>
          <w:ilvl w:val="2"/>
          <w:numId w:val="173"/>
        </w:numPr>
        <w:tabs>
          <w:tab w:val="left" w:pos="965"/>
        </w:tabs>
        <w:topLinePunct/>
        <w:snapToGrid w:val="0"/>
        <w:spacing w:beforeLines="50" w:line="300" w:lineRule="auto"/>
        <w:ind w:hanging="850"/>
        <w:jc w:val="both"/>
        <w:rPr>
          <w:rFonts w:ascii="Times New Roman" w:hAnsi="Times New Roman"/>
          <w:kern w:val="2"/>
          <w:szCs w:val="21"/>
        </w:rPr>
      </w:pPr>
      <w:r>
        <w:rPr>
          <w:rFonts w:ascii="Times New Roman" w:hAnsi="Times New Roman"/>
          <w:kern w:val="2"/>
          <w:szCs w:val="21"/>
        </w:rPr>
        <w:t>公告机构应确定对以下各项具有最高决策权和责任的高层管理人员：</w:t>
      </w:r>
    </w:p>
    <w:p w14:paraId="44E000A3">
      <w:pPr>
        <w:pStyle w:val="32"/>
        <w:numPr>
          <w:ilvl w:val="3"/>
          <w:numId w:val="173"/>
        </w:numPr>
        <w:tabs>
          <w:tab w:val="left" w:pos="1533"/>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为符合性评估活动提供足够的资源；</w:t>
      </w:r>
    </w:p>
    <w:p w14:paraId="43EC982E">
      <w:pPr>
        <w:pStyle w:val="32"/>
        <w:numPr>
          <w:ilvl w:val="3"/>
          <w:numId w:val="173"/>
        </w:numPr>
        <w:tabs>
          <w:tab w:val="left" w:pos="1533"/>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制定公告机构运作程序和政策；</w:t>
      </w:r>
    </w:p>
    <w:p w14:paraId="4E077883">
      <w:pPr>
        <w:pStyle w:val="32"/>
        <w:numPr>
          <w:ilvl w:val="3"/>
          <w:numId w:val="173"/>
        </w:numPr>
        <w:tabs>
          <w:tab w:val="left" w:pos="1533"/>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监管公告机构的监管程序、政策和质量管理体系；</w:t>
      </w:r>
    </w:p>
    <w:p w14:paraId="55FC0F19">
      <w:pPr>
        <w:pStyle w:val="32"/>
        <w:numPr>
          <w:ilvl w:val="3"/>
          <w:numId w:val="173"/>
        </w:numPr>
        <w:tabs>
          <w:tab w:val="left" w:pos="1533"/>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监管公告机构的财务；</w:t>
      </w:r>
    </w:p>
    <w:p w14:paraId="5411B374">
      <w:pPr>
        <w:pStyle w:val="32"/>
        <w:numPr>
          <w:ilvl w:val="3"/>
          <w:numId w:val="173"/>
        </w:numPr>
        <w:tabs>
          <w:tab w:val="left" w:pos="1533"/>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公告机构的活动和决议，包括合同协议；</w:t>
      </w:r>
    </w:p>
    <w:p w14:paraId="2768CD78">
      <w:pPr>
        <w:pStyle w:val="32"/>
        <w:numPr>
          <w:ilvl w:val="3"/>
          <w:numId w:val="173"/>
        </w:numPr>
        <w:tabs>
          <w:tab w:val="left" w:pos="1533"/>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在必要时向人员和（或）委员会授予执行既定活动的权力；和</w:t>
      </w:r>
    </w:p>
    <w:p w14:paraId="69FD4D87">
      <w:pPr>
        <w:pStyle w:val="32"/>
        <w:numPr>
          <w:ilvl w:val="3"/>
          <w:numId w:val="173"/>
        </w:numPr>
        <w:tabs>
          <w:tab w:val="left" w:pos="1533"/>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与负责公告机构的主管机构的互动，以及与其他主管机构、委员会和其他公告机构沟通的义务。</w:t>
      </w:r>
    </w:p>
    <w:p w14:paraId="7ED3D6FA">
      <w:pPr>
        <w:pStyle w:val="4"/>
        <w:numPr>
          <w:ilvl w:val="1"/>
          <w:numId w:val="173"/>
        </w:numPr>
        <w:tabs>
          <w:tab w:val="left" w:pos="965"/>
        </w:tabs>
        <w:topLinePunct/>
        <w:snapToGrid w:val="0"/>
        <w:spacing w:beforeLines="50" w:line="300" w:lineRule="auto"/>
        <w:ind w:hanging="850"/>
        <w:jc w:val="both"/>
        <w:rPr>
          <w:rFonts w:ascii="Times New Roman" w:hAnsi="Times New Roman"/>
          <w:b w:val="0"/>
          <w:bCs w:val="0"/>
          <w:kern w:val="2"/>
          <w:sz w:val="21"/>
          <w:szCs w:val="21"/>
        </w:rPr>
      </w:pPr>
      <w:r>
        <w:rPr>
          <w:rFonts w:ascii="Times New Roman" w:hAnsi="Times New Roman"/>
          <w:kern w:val="2"/>
          <w:sz w:val="21"/>
          <w:szCs w:val="21"/>
        </w:rPr>
        <w:t>独立性和公正性</w:t>
      </w:r>
    </w:p>
    <w:p w14:paraId="4622031E">
      <w:pPr>
        <w:pStyle w:val="32"/>
        <w:numPr>
          <w:ilvl w:val="2"/>
          <w:numId w:val="173"/>
        </w:numPr>
        <w:tabs>
          <w:tab w:val="left" w:pos="965"/>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公告机构应</w:t>
      </w:r>
      <w:r>
        <w:rPr>
          <w:rFonts w:hint="eastAsia" w:ascii="Times New Roman" w:hAnsi="Times New Roman"/>
          <w:kern w:val="2"/>
          <w:szCs w:val="21"/>
        </w:rPr>
        <w:t>为</w:t>
      </w:r>
      <w:r>
        <w:rPr>
          <w:rFonts w:ascii="Times New Roman" w:hAnsi="Times New Roman"/>
          <w:kern w:val="2"/>
          <w:szCs w:val="21"/>
        </w:rPr>
        <w:t>独立于进行符合性评估活动的器械制造商的第三方机构。公告机构也应独立于对</w:t>
      </w:r>
      <w:r>
        <w:rPr>
          <w:rFonts w:hint="eastAsia" w:ascii="Times New Roman" w:hAnsi="Times New Roman"/>
          <w:kern w:val="2"/>
          <w:szCs w:val="21"/>
        </w:rPr>
        <w:t>器械</w:t>
      </w:r>
      <w:r>
        <w:rPr>
          <w:rFonts w:ascii="Times New Roman" w:hAnsi="Times New Roman"/>
          <w:kern w:val="2"/>
          <w:szCs w:val="21"/>
        </w:rPr>
        <w:t>以及制造商的任何竞争对手有利害关系的任何其他经济运营商。这并不妨碍公告机构对竞争制造商的符合性评估活动。</w:t>
      </w:r>
    </w:p>
    <w:p w14:paraId="619B4D2E">
      <w:pPr>
        <w:pStyle w:val="32"/>
        <w:numPr>
          <w:ilvl w:val="2"/>
          <w:numId w:val="173"/>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br w:type="page"/>
      </w:r>
      <w:r>
        <w:rPr>
          <w:rFonts w:ascii="Times New Roman" w:hAnsi="Times New Roman"/>
          <w:kern w:val="2"/>
          <w:szCs w:val="21"/>
        </w:rPr>
        <w:t>公告机构的组织和运作应保障其活动的独立性、客观性和公正性。公告机构应记录和实施一种结构和程序，以保障其公正性，并在其整个组织、人员和评估活动中促进和使用公正性原则。此类程序应可识别、研究和解决任何情况，其中可能发生利益冲突，包括在公告机构开展工作之前参与器械领域的咨询服务。研究、结果及其解决方案应记录在案。</w:t>
      </w:r>
    </w:p>
    <w:p w14:paraId="2F56FA63">
      <w:pPr>
        <w:pStyle w:val="32"/>
        <w:numPr>
          <w:ilvl w:val="2"/>
          <w:numId w:val="173"/>
        </w:numPr>
        <w:tabs>
          <w:tab w:val="left" w:pos="824"/>
        </w:tabs>
        <w:topLinePunct/>
        <w:snapToGrid w:val="0"/>
        <w:spacing w:beforeLines="25" w:line="300" w:lineRule="auto"/>
        <w:ind w:left="823" w:hanging="709"/>
        <w:jc w:val="both"/>
        <w:rPr>
          <w:rFonts w:ascii="Times New Roman" w:hAnsi="Times New Roman"/>
          <w:kern w:val="2"/>
          <w:szCs w:val="21"/>
        </w:rPr>
      </w:pPr>
      <w:r>
        <w:rPr>
          <w:rFonts w:ascii="Times New Roman" w:hAnsi="Times New Roman"/>
          <w:kern w:val="2"/>
          <w:szCs w:val="21"/>
        </w:rPr>
        <w:t>公告机构、其高层管理人员及负责执行符合性评估任务的人员不得</w:t>
      </w:r>
    </w:p>
    <w:p w14:paraId="10ED488B">
      <w:pPr>
        <w:pStyle w:val="32"/>
        <w:numPr>
          <w:ilvl w:val="3"/>
          <w:numId w:val="170"/>
        </w:numPr>
        <w:tabs>
          <w:tab w:val="left" w:pos="1533"/>
        </w:tabs>
        <w:topLinePunct/>
        <w:snapToGrid w:val="0"/>
        <w:spacing w:beforeLines="25" w:line="300" w:lineRule="auto"/>
        <w:ind w:right="-334" w:rightChars="-159"/>
        <w:jc w:val="both"/>
        <w:rPr>
          <w:rFonts w:ascii="Times New Roman" w:hAnsi="Times New Roman"/>
          <w:kern w:val="2"/>
          <w:szCs w:val="21"/>
        </w:rPr>
      </w:pPr>
      <w:r>
        <w:rPr>
          <w:rFonts w:ascii="Times New Roman" w:hAnsi="Times New Roman"/>
          <w:kern w:val="2"/>
          <w:szCs w:val="21"/>
        </w:rPr>
        <w:t>是所评估器械的设计师、制造商、供应商、安装者、购买者、所有者或维护者，也不得是此类各方的授权代表。此类限制不妨碍购买和使用公告机构运营所必需的评估器械，以及进行符合性评估或为个人目的使用此类</w:t>
      </w:r>
      <w:r>
        <w:rPr>
          <w:rFonts w:hint="eastAsia" w:ascii="Times New Roman" w:hAnsi="Times New Roman"/>
          <w:kern w:val="2"/>
          <w:szCs w:val="21"/>
          <w:lang w:val="en-US"/>
        </w:rPr>
        <w:t>器械</w:t>
      </w:r>
      <w:r>
        <w:rPr>
          <w:rFonts w:ascii="Times New Roman" w:hAnsi="Times New Roman"/>
          <w:kern w:val="2"/>
          <w:szCs w:val="21"/>
        </w:rPr>
        <w:t>；</w:t>
      </w:r>
    </w:p>
    <w:p w14:paraId="62A3C0EC">
      <w:pPr>
        <w:pStyle w:val="32"/>
        <w:numPr>
          <w:ilvl w:val="3"/>
          <w:numId w:val="170"/>
        </w:numPr>
        <w:tabs>
          <w:tab w:val="left" w:pos="1533"/>
        </w:tabs>
        <w:topLinePunct/>
        <w:snapToGrid w:val="0"/>
        <w:spacing w:beforeLines="25" w:line="300" w:lineRule="auto"/>
        <w:ind w:right="-334" w:rightChars="-159"/>
        <w:jc w:val="both"/>
        <w:rPr>
          <w:rFonts w:ascii="Times New Roman" w:hAnsi="Times New Roman"/>
          <w:kern w:val="2"/>
          <w:szCs w:val="21"/>
        </w:rPr>
      </w:pPr>
      <w:r>
        <w:rPr>
          <w:rFonts w:ascii="Times New Roman" w:hAnsi="Times New Roman"/>
          <w:kern w:val="2"/>
          <w:szCs w:val="21"/>
        </w:rPr>
        <w:t>参与其指定器械的设计、制造或建造、营销、安装和使用或维护，也不得代表参与这些活动的各方。</w:t>
      </w:r>
    </w:p>
    <w:p w14:paraId="5283B619">
      <w:pPr>
        <w:pStyle w:val="32"/>
        <w:numPr>
          <w:ilvl w:val="3"/>
          <w:numId w:val="170"/>
        </w:numPr>
        <w:tabs>
          <w:tab w:val="left" w:pos="1533"/>
        </w:tabs>
        <w:topLinePunct/>
        <w:snapToGrid w:val="0"/>
        <w:spacing w:beforeLines="25" w:line="300" w:lineRule="auto"/>
        <w:ind w:right="-334" w:rightChars="-159"/>
        <w:jc w:val="both"/>
        <w:rPr>
          <w:rFonts w:ascii="Times New Roman" w:hAnsi="Times New Roman"/>
          <w:kern w:val="2"/>
          <w:szCs w:val="21"/>
        </w:rPr>
      </w:pPr>
      <w:r>
        <w:rPr>
          <w:rFonts w:ascii="Times New Roman" w:hAnsi="Times New Roman"/>
          <w:kern w:val="2"/>
          <w:szCs w:val="21"/>
        </w:rPr>
        <w:t>参与可能与其指定的符合性评估活动相关的判断或诚信发生冲突的任何活动；</w:t>
      </w:r>
    </w:p>
    <w:p w14:paraId="1875106B">
      <w:pPr>
        <w:pStyle w:val="32"/>
        <w:numPr>
          <w:ilvl w:val="3"/>
          <w:numId w:val="170"/>
        </w:numPr>
        <w:tabs>
          <w:tab w:val="left" w:pos="1533"/>
        </w:tabs>
        <w:topLinePunct/>
        <w:snapToGrid w:val="0"/>
        <w:spacing w:beforeLines="25" w:line="300" w:lineRule="auto"/>
        <w:ind w:right="-334" w:rightChars="-159"/>
        <w:jc w:val="both"/>
        <w:rPr>
          <w:rFonts w:ascii="Times New Roman" w:hAnsi="Times New Roman"/>
          <w:kern w:val="2"/>
          <w:szCs w:val="21"/>
        </w:rPr>
      </w:pPr>
      <w:r>
        <w:rPr>
          <w:rFonts w:ascii="Times New Roman" w:hAnsi="Times New Roman"/>
          <w:kern w:val="2"/>
          <w:szCs w:val="21"/>
        </w:rPr>
        <w:t>提供可能对其独立性、公正性或客观性的置信度产生损害的任何服务。特别是，其不得向制造商、其授权代表、供应商或商业竞争对手提供有关被评估</w:t>
      </w:r>
      <w:r>
        <w:rPr>
          <w:rFonts w:hint="eastAsia" w:ascii="Times New Roman" w:hAnsi="Times New Roman"/>
          <w:kern w:val="2"/>
          <w:szCs w:val="21"/>
          <w:lang w:val="en-US"/>
        </w:rPr>
        <w:t>器械</w:t>
      </w:r>
      <w:r>
        <w:rPr>
          <w:rFonts w:ascii="Times New Roman" w:hAnsi="Times New Roman"/>
          <w:kern w:val="2"/>
          <w:szCs w:val="21"/>
        </w:rPr>
        <w:t>或过程的设计、建造、销售或维护的咨询服务。</w:t>
      </w:r>
    </w:p>
    <w:p w14:paraId="1E7F8B82">
      <w:pPr>
        <w:pStyle w:val="32"/>
        <w:numPr>
          <w:ilvl w:val="3"/>
          <w:numId w:val="170"/>
        </w:numPr>
        <w:tabs>
          <w:tab w:val="left" w:pos="1533"/>
        </w:tabs>
        <w:topLinePunct/>
        <w:snapToGrid w:val="0"/>
        <w:spacing w:beforeLines="25" w:line="300" w:lineRule="auto"/>
        <w:ind w:right="-334" w:rightChars="-159"/>
        <w:jc w:val="both"/>
        <w:rPr>
          <w:rFonts w:ascii="Times New Roman" w:hAnsi="Times New Roman"/>
          <w:kern w:val="2"/>
          <w:szCs w:val="21"/>
        </w:rPr>
      </w:pPr>
      <w:r>
        <w:rPr>
          <w:rFonts w:ascii="Times New Roman" w:hAnsi="Times New Roman"/>
          <w:kern w:val="2"/>
          <w:szCs w:val="21"/>
        </w:rPr>
        <w:t>与任何本身能提供（d）点所述咨询服务的组织相联系。这并不妨碍非客户特定并涉及器械法规或相关标准相关的一般培训活动。</w:t>
      </w:r>
    </w:p>
    <w:p w14:paraId="6EDC8C07">
      <w:pPr>
        <w:pStyle w:val="8"/>
        <w:tabs>
          <w:tab w:val="left" w:pos="964"/>
        </w:tabs>
        <w:topLinePunct/>
        <w:snapToGrid w:val="0"/>
        <w:spacing w:beforeLines="25" w:line="300" w:lineRule="auto"/>
        <w:ind w:left="964" w:hanging="851"/>
        <w:jc w:val="both"/>
        <w:rPr>
          <w:kern w:val="2"/>
          <w:szCs w:val="21"/>
        </w:rPr>
      </w:pPr>
      <w:r>
        <w:rPr>
          <w:kern w:val="2"/>
          <w:szCs w:val="21"/>
        </w:rPr>
        <w:t>1.2.4.</w:t>
      </w:r>
      <w:r>
        <w:rPr>
          <w:kern w:val="2"/>
          <w:szCs w:val="21"/>
        </w:rPr>
        <w:tab/>
      </w:r>
      <w:r>
        <w:rPr>
          <w:kern w:val="2"/>
          <w:szCs w:val="21"/>
        </w:rPr>
        <w:t>在公告机构开展工作之前参与医疗器械领域的咨询服务应在雇佣时充分记录在案，并且应根据本附录对潜在的利益冲突进行监控和解决。在公告机构开展工作之前，不得为特定客户的前雇员提供器械领域的咨询服务的人员指派于该特定客户或属于同一组的公司的符合性评估活动，限期三年。</w:t>
      </w:r>
    </w:p>
    <w:p w14:paraId="748D0B42">
      <w:pPr>
        <w:pStyle w:val="32"/>
        <w:numPr>
          <w:ilvl w:val="2"/>
          <w:numId w:val="174"/>
        </w:numPr>
        <w:tabs>
          <w:tab w:val="left" w:pos="965"/>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应保证公告机构、其高层管理人员和评估人员的公正性。公告机构和参与评估活动分包商的高层管理人员和评估人员的薪酬水平不取决于评估结果。公告机构应公开其高层管理人员的利益申报。</w:t>
      </w:r>
    </w:p>
    <w:p w14:paraId="629F00B5">
      <w:pPr>
        <w:pStyle w:val="32"/>
        <w:numPr>
          <w:ilvl w:val="2"/>
          <w:numId w:val="174"/>
        </w:numPr>
        <w:tabs>
          <w:tab w:val="left" w:pos="965"/>
        </w:tabs>
        <w:topLinePunct/>
        <w:snapToGrid w:val="0"/>
        <w:spacing w:beforeLines="25" w:line="300" w:lineRule="auto"/>
        <w:ind w:hanging="850"/>
        <w:jc w:val="both"/>
        <w:rPr>
          <w:rFonts w:ascii="Times New Roman" w:hAnsi="Times New Roman"/>
          <w:kern w:val="2"/>
          <w:szCs w:val="21"/>
        </w:rPr>
      </w:pPr>
      <w:bookmarkStart w:id="163" w:name="1.2.5._If_a_notified_body_is_owned_by_a_"/>
      <w:bookmarkEnd w:id="163"/>
      <w:r>
        <w:rPr>
          <w:rFonts w:ascii="Times New Roman" w:hAnsi="Times New Roman"/>
          <w:kern w:val="2"/>
          <w:szCs w:val="21"/>
        </w:rPr>
        <w:t>若公告机构由公共实体或机构所有，则应确保和证明独立性和不存在任何利益冲突，一方面是负责公告机构和/或主管机构的机构，而另一方面是公告机构。</w:t>
      </w:r>
    </w:p>
    <w:p w14:paraId="2992CC74">
      <w:pPr>
        <w:pStyle w:val="32"/>
        <w:numPr>
          <w:ilvl w:val="2"/>
          <w:numId w:val="174"/>
        </w:numPr>
        <w:tabs>
          <w:tab w:val="left" w:pos="965"/>
        </w:tabs>
        <w:topLinePunct/>
        <w:snapToGrid w:val="0"/>
        <w:spacing w:beforeLines="25" w:line="300" w:lineRule="auto"/>
        <w:ind w:hanging="850"/>
        <w:jc w:val="both"/>
        <w:rPr>
          <w:rFonts w:ascii="Times New Roman" w:hAnsi="Times New Roman"/>
          <w:kern w:val="2"/>
          <w:szCs w:val="21"/>
        </w:rPr>
      </w:pPr>
      <w:bookmarkStart w:id="164" w:name="1.2.6._The_notified_body_shall_ensure_an"/>
      <w:bookmarkEnd w:id="164"/>
      <w:r>
        <w:rPr>
          <w:rFonts w:ascii="Times New Roman" w:hAnsi="Times New Roman"/>
          <w:kern w:val="2"/>
          <w:szCs w:val="21"/>
        </w:rPr>
        <w:t>公告机构应确保并记录其子公司、分包商或任何相关机构的活动，包括其所有者的活动，而且不影响其符合性评估活动的独立性、公正性或客观性。</w:t>
      </w:r>
    </w:p>
    <w:p w14:paraId="1AEFC5E7">
      <w:pPr>
        <w:pStyle w:val="32"/>
        <w:numPr>
          <w:ilvl w:val="2"/>
          <w:numId w:val="174"/>
        </w:numPr>
        <w:tabs>
          <w:tab w:val="left" w:pos="965"/>
        </w:tabs>
        <w:topLinePunct/>
        <w:snapToGrid w:val="0"/>
        <w:spacing w:beforeLines="25" w:line="300" w:lineRule="auto"/>
        <w:ind w:hanging="850"/>
        <w:jc w:val="both"/>
        <w:rPr>
          <w:rFonts w:ascii="Times New Roman" w:hAnsi="Times New Roman"/>
          <w:kern w:val="2"/>
          <w:szCs w:val="21"/>
        </w:rPr>
      </w:pPr>
      <w:bookmarkStart w:id="165" w:name="1.2.7._The_notified_body_shall_operate_i"/>
      <w:bookmarkEnd w:id="165"/>
      <w:r>
        <w:rPr>
          <w:rFonts w:ascii="Times New Roman" w:hAnsi="Times New Roman"/>
          <w:kern w:val="2"/>
          <w:szCs w:val="21"/>
        </w:rPr>
        <w:t>考虑到第2003/361/EC号建议中关于费用部分所定义的中小型企业的利益，公告机构应根据一套统一、公平合理的条款和条件运作。</w:t>
      </w:r>
    </w:p>
    <w:p w14:paraId="432F1D23">
      <w:pPr>
        <w:pStyle w:val="32"/>
        <w:numPr>
          <w:ilvl w:val="2"/>
          <w:numId w:val="174"/>
        </w:numPr>
        <w:tabs>
          <w:tab w:val="left" w:pos="965"/>
        </w:tabs>
        <w:topLinePunct/>
        <w:snapToGrid w:val="0"/>
        <w:spacing w:beforeLines="25" w:line="300" w:lineRule="auto"/>
        <w:ind w:hanging="850"/>
        <w:jc w:val="both"/>
        <w:rPr>
          <w:rFonts w:ascii="Times New Roman" w:hAnsi="Times New Roman"/>
          <w:kern w:val="2"/>
          <w:szCs w:val="21"/>
        </w:rPr>
      </w:pPr>
      <w:bookmarkStart w:id="166" w:name="1.2.8._The_requirements_of_this_section_"/>
      <w:bookmarkEnd w:id="166"/>
      <w:r>
        <w:rPr>
          <w:rFonts w:ascii="Times New Roman" w:hAnsi="Times New Roman"/>
          <w:kern w:val="2"/>
          <w:szCs w:val="21"/>
        </w:rPr>
        <w:t>本节要求绝不会妨碍公告机构和进行符合性评估的制造商之间对技术信息和规章指南的交流。</w:t>
      </w:r>
    </w:p>
    <w:p w14:paraId="41CAAF52">
      <w:pPr>
        <w:pStyle w:val="4"/>
        <w:numPr>
          <w:ilvl w:val="1"/>
          <w:numId w:val="174"/>
        </w:numPr>
        <w:tabs>
          <w:tab w:val="left" w:pos="965"/>
        </w:tabs>
        <w:topLinePunct/>
        <w:snapToGrid w:val="0"/>
        <w:spacing w:beforeLines="25" w:line="300" w:lineRule="auto"/>
        <w:ind w:hanging="850"/>
        <w:jc w:val="both"/>
        <w:rPr>
          <w:rFonts w:ascii="Times New Roman" w:hAnsi="Times New Roman"/>
          <w:b w:val="0"/>
          <w:bCs w:val="0"/>
          <w:kern w:val="2"/>
          <w:sz w:val="21"/>
          <w:szCs w:val="21"/>
        </w:rPr>
      </w:pPr>
      <w:r>
        <w:rPr>
          <w:rFonts w:ascii="Times New Roman" w:hAnsi="Times New Roman"/>
          <w:kern w:val="2"/>
          <w:sz w:val="21"/>
          <w:szCs w:val="21"/>
        </w:rPr>
        <w:t>保密性</w:t>
      </w:r>
    </w:p>
    <w:p w14:paraId="6C438A04">
      <w:pPr>
        <w:pStyle w:val="32"/>
        <w:numPr>
          <w:ilvl w:val="2"/>
          <w:numId w:val="175"/>
        </w:numPr>
        <w:tabs>
          <w:tab w:val="left" w:pos="965"/>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公告机构应制定文件化程序，确保其人员、委员会、子公司、分包商、任何外部相关机构或人员在符合性评估活动执行期间遵守其所拥有信息的保密性，除非法律要求披露时。</w:t>
      </w:r>
    </w:p>
    <w:p w14:paraId="0F829B8A">
      <w:pPr>
        <w:pStyle w:val="32"/>
        <w:numPr>
          <w:ilvl w:val="2"/>
          <w:numId w:val="175"/>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公告机构的人员应遵守有关根据本法规或任何生效的国家法律在实施其任务时的职业性秘密，有关负责公告机构的机构、负责成员国或委员会的医疗器械的主管机构除外。所有权应受到保护。为此，公告机构应制定本节要求的合适文件化程序。</w:t>
      </w:r>
    </w:p>
    <w:p w14:paraId="0B763EFE">
      <w:pPr>
        <w:pStyle w:val="4"/>
        <w:numPr>
          <w:ilvl w:val="1"/>
          <w:numId w:val="175"/>
        </w:numPr>
        <w:tabs>
          <w:tab w:val="left" w:pos="965"/>
        </w:tabs>
        <w:topLinePunct/>
        <w:snapToGrid w:val="0"/>
        <w:spacing w:beforeLines="25" w:line="300" w:lineRule="auto"/>
        <w:ind w:hanging="850"/>
        <w:jc w:val="both"/>
        <w:rPr>
          <w:rFonts w:ascii="Times New Roman" w:hAnsi="Times New Roman"/>
          <w:b w:val="0"/>
          <w:bCs w:val="0"/>
          <w:kern w:val="2"/>
          <w:sz w:val="21"/>
          <w:szCs w:val="21"/>
        </w:rPr>
      </w:pPr>
      <w:r>
        <w:rPr>
          <w:rFonts w:ascii="Times New Roman" w:hAnsi="Times New Roman"/>
          <w:kern w:val="2"/>
          <w:sz w:val="21"/>
          <w:szCs w:val="21"/>
        </w:rPr>
        <w:t>责任</w:t>
      </w:r>
    </w:p>
    <w:p w14:paraId="4146B36D">
      <w:pPr>
        <w:pStyle w:val="32"/>
        <w:numPr>
          <w:ilvl w:val="2"/>
          <w:numId w:val="175"/>
        </w:numPr>
        <w:tabs>
          <w:tab w:val="left" w:pos="965"/>
        </w:tabs>
        <w:topLinePunct/>
        <w:snapToGrid w:val="0"/>
        <w:spacing w:beforeLines="25" w:line="300" w:lineRule="auto"/>
        <w:ind w:hanging="850"/>
        <w:jc w:val="both"/>
        <w:rPr>
          <w:rFonts w:ascii="Times New Roman" w:hAnsi="Times New Roman"/>
          <w:kern w:val="2"/>
          <w:szCs w:val="21"/>
        </w:rPr>
      </w:pPr>
      <w:bookmarkStart w:id="167" w:name="1.4.1._The_notified_body_shall_take_out_"/>
      <w:bookmarkEnd w:id="167"/>
      <w:r>
        <w:rPr>
          <w:rFonts w:ascii="Times New Roman" w:hAnsi="Times New Roman"/>
          <w:kern w:val="2"/>
          <w:szCs w:val="21"/>
        </w:rPr>
        <w:t>公告机构应为其合适评估活动办理适当的责任保险，除非根据国家法律由相关成员国承担责任，或成员国对符合性评估直接负责。</w:t>
      </w:r>
    </w:p>
    <w:p w14:paraId="731B7B64">
      <w:pPr>
        <w:pStyle w:val="32"/>
        <w:numPr>
          <w:ilvl w:val="2"/>
          <w:numId w:val="175"/>
        </w:numPr>
        <w:tabs>
          <w:tab w:val="left" w:pos="965"/>
        </w:tabs>
        <w:topLinePunct/>
        <w:snapToGrid w:val="0"/>
        <w:spacing w:beforeLines="25" w:line="300" w:lineRule="auto"/>
        <w:ind w:hanging="850"/>
        <w:jc w:val="both"/>
        <w:rPr>
          <w:rFonts w:ascii="Times New Roman" w:hAnsi="Times New Roman"/>
          <w:kern w:val="2"/>
          <w:szCs w:val="21"/>
        </w:rPr>
      </w:pPr>
      <w:bookmarkStart w:id="168" w:name="1.4.2._The_scope_and_overall_financial_v"/>
      <w:bookmarkEnd w:id="168"/>
      <w:r>
        <w:rPr>
          <w:rFonts w:ascii="Times New Roman" w:hAnsi="Times New Roman"/>
          <w:kern w:val="2"/>
          <w:szCs w:val="21"/>
        </w:rPr>
        <w:t>责任保险的范围和总体财务价值应与公告机构活动的水平和地理范围相对应，并与公告机构所认证器械的风险状况相称。责任保险</w:t>
      </w:r>
      <w:r>
        <w:rPr>
          <w:rFonts w:hint="eastAsia" w:ascii="Times New Roman" w:hAnsi="Times New Roman"/>
          <w:kern w:val="2"/>
          <w:szCs w:val="21"/>
        </w:rPr>
        <w:t>范围</w:t>
      </w:r>
      <w:r>
        <w:rPr>
          <w:rFonts w:ascii="Times New Roman" w:hAnsi="Times New Roman"/>
          <w:kern w:val="2"/>
          <w:szCs w:val="21"/>
        </w:rPr>
        <w:t>应</w:t>
      </w:r>
      <w:r>
        <w:rPr>
          <w:rFonts w:hint="eastAsia" w:ascii="Times New Roman" w:hAnsi="Times New Roman"/>
          <w:kern w:val="2"/>
          <w:szCs w:val="21"/>
        </w:rPr>
        <w:t>包括</w:t>
      </w:r>
      <w:r>
        <w:rPr>
          <w:rFonts w:ascii="Times New Roman" w:hAnsi="Times New Roman"/>
          <w:kern w:val="2"/>
          <w:szCs w:val="21"/>
        </w:rPr>
        <w:t>公告机构可能有义务取消、限制或暂停证书的情况。</w:t>
      </w:r>
    </w:p>
    <w:p w14:paraId="2AC4E65A">
      <w:pPr>
        <w:pStyle w:val="4"/>
        <w:numPr>
          <w:ilvl w:val="1"/>
          <w:numId w:val="175"/>
        </w:numPr>
        <w:tabs>
          <w:tab w:val="left" w:pos="965"/>
        </w:tabs>
        <w:topLinePunct/>
        <w:snapToGrid w:val="0"/>
        <w:spacing w:beforeLines="25" w:line="300" w:lineRule="auto"/>
        <w:ind w:hanging="850"/>
        <w:jc w:val="both"/>
        <w:rPr>
          <w:rFonts w:ascii="Times New Roman" w:hAnsi="Times New Roman"/>
          <w:b w:val="0"/>
          <w:bCs w:val="0"/>
          <w:kern w:val="2"/>
          <w:sz w:val="21"/>
          <w:szCs w:val="21"/>
        </w:rPr>
      </w:pPr>
      <w:r>
        <w:rPr>
          <w:rFonts w:ascii="Times New Roman" w:hAnsi="Times New Roman"/>
          <w:kern w:val="2"/>
          <w:sz w:val="21"/>
          <w:szCs w:val="21"/>
        </w:rPr>
        <w:t>财务要求</w:t>
      </w:r>
    </w:p>
    <w:p w14:paraId="15F4B1AB">
      <w:pPr>
        <w:pStyle w:val="8"/>
        <w:topLinePunct/>
        <w:snapToGrid w:val="0"/>
        <w:spacing w:beforeLines="25" w:line="300" w:lineRule="auto"/>
        <w:ind w:left="964" w:firstLine="0"/>
        <w:jc w:val="both"/>
        <w:rPr>
          <w:kern w:val="2"/>
          <w:szCs w:val="21"/>
        </w:rPr>
      </w:pPr>
      <w:r>
        <w:rPr>
          <w:kern w:val="2"/>
          <w:szCs w:val="21"/>
        </w:rPr>
        <w:t>公告机构应</w:t>
      </w:r>
      <w:r>
        <w:rPr>
          <w:rFonts w:hint="eastAsia"/>
          <w:kern w:val="2"/>
          <w:szCs w:val="21"/>
        </w:rPr>
        <w:t>拥</w:t>
      </w:r>
      <w:r>
        <w:rPr>
          <w:kern w:val="2"/>
          <w:szCs w:val="21"/>
        </w:rPr>
        <w:t>有在其指定范围和相关业务活动中进行符合性评估活动所需的财政资源。考虑到初始启动阶段内的具体情况，公告机构应在初始启动阶段考虑到相关的任何具体情况下，记录并提供能证明其财政能力和长期经济可行性证据。</w:t>
      </w:r>
    </w:p>
    <w:p w14:paraId="06683971">
      <w:pPr>
        <w:pStyle w:val="4"/>
        <w:numPr>
          <w:ilvl w:val="1"/>
          <w:numId w:val="175"/>
        </w:numPr>
        <w:tabs>
          <w:tab w:val="left" w:pos="965"/>
        </w:tabs>
        <w:topLinePunct/>
        <w:snapToGrid w:val="0"/>
        <w:spacing w:beforeLines="25" w:line="300" w:lineRule="auto"/>
        <w:ind w:hanging="850"/>
        <w:jc w:val="both"/>
        <w:rPr>
          <w:rFonts w:ascii="Times New Roman" w:hAnsi="Times New Roman"/>
          <w:b w:val="0"/>
          <w:bCs w:val="0"/>
          <w:kern w:val="2"/>
          <w:sz w:val="21"/>
          <w:szCs w:val="21"/>
        </w:rPr>
      </w:pPr>
      <w:r>
        <w:rPr>
          <w:rFonts w:ascii="Times New Roman" w:hAnsi="Times New Roman"/>
          <w:kern w:val="2"/>
          <w:sz w:val="21"/>
          <w:szCs w:val="21"/>
        </w:rPr>
        <w:t>参与协调活动</w:t>
      </w:r>
    </w:p>
    <w:p w14:paraId="730C3581">
      <w:pPr>
        <w:pStyle w:val="32"/>
        <w:numPr>
          <w:ilvl w:val="2"/>
          <w:numId w:val="175"/>
        </w:numPr>
        <w:tabs>
          <w:tab w:val="left" w:pos="965"/>
        </w:tabs>
        <w:topLinePunct/>
        <w:snapToGrid w:val="0"/>
        <w:spacing w:beforeLines="25" w:line="300" w:lineRule="auto"/>
        <w:ind w:hanging="850"/>
        <w:jc w:val="both"/>
        <w:rPr>
          <w:rFonts w:ascii="Times New Roman" w:hAnsi="Times New Roman"/>
          <w:kern w:val="2"/>
          <w:szCs w:val="21"/>
        </w:rPr>
      </w:pPr>
      <w:bookmarkStart w:id="169" w:name="1.6.1._The_notified_body_shall_participa"/>
      <w:bookmarkEnd w:id="169"/>
      <w:r>
        <w:rPr>
          <w:rFonts w:ascii="Times New Roman" w:hAnsi="Times New Roman"/>
          <w:kern w:val="2"/>
          <w:szCs w:val="21"/>
        </w:rPr>
        <w:t>指定机构应参与或确保其评估人员获悉所有相关标准化活动和第4</w:t>
      </w:r>
      <w:r>
        <w:rPr>
          <w:rFonts w:hint="eastAsia" w:ascii="Times New Roman" w:hAnsi="Times New Roman"/>
          <w:kern w:val="2"/>
          <w:szCs w:val="21"/>
        </w:rPr>
        <w:t>9</w:t>
      </w:r>
      <w:r>
        <w:rPr>
          <w:rFonts w:ascii="Times New Roman" w:hAnsi="Times New Roman"/>
          <w:kern w:val="2"/>
          <w:szCs w:val="21"/>
        </w:rPr>
        <w:t>条所述的公告机构协调小组的活动，并向评估和决策人员通报本法规框架内的所有相关立法、指南和最佳实践文件。</w:t>
      </w:r>
    </w:p>
    <w:p w14:paraId="4705BD4C">
      <w:pPr>
        <w:pStyle w:val="8"/>
        <w:tabs>
          <w:tab w:val="left" w:pos="964"/>
        </w:tabs>
        <w:topLinePunct/>
        <w:snapToGrid w:val="0"/>
        <w:spacing w:beforeLines="25" w:line="300" w:lineRule="auto"/>
        <w:ind w:left="114" w:firstLine="0"/>
        <w:jc w:val="both"/>
        <w:rPr>
          <w:kern w:val="2"/>
          <w:szCs w:val="21"/>
        </w:rPr>
      </w:pPr>
      <w:bookmarkStart w:id="170" w:name="1.6.1a._The_notified_body_shall_take_int"/>
      <w:bookmarkEnd w:id="170"/>
      <w:r>
        <w:rPr>
          <w:kern w:val="2"/>
          <w:szCs w:val="21"/>
        </w:rPr>
        <w:t>1.6.2</w:t>
      </w:r>
      <w:r>
        <w:rPr>
          <w:kern w:val="2"/>
          <w:szCs w:val="21"/>
        </w:rPr>
        <w:tab/>
      </w:r>
      <w:r>
        <w:rPr>
          <w:kern w:val="2"/>
          <w:szCs w:val="21"/>
        </w:rPr>
        <w:t>公告机构应考虑到指南和最佳实践文件。</w:t>
      </w:r>
    </w:p>
    <w:p w14:paraId="4FAAFD6F">
      <w:pPr>
        <w:pStyle w:val="4"/>
        <w:numPr>
          <w:ilvl w:val="0"/>
          <w:numId w:val="175"/>
        </w:numPr>
        <w:tabs>
          <w:tab w:val="left" w:pos="965"/>
        </w:tabs>
        <w:topLinePunct/>
        <w:snapToGrid w:val="0"/>
        <w:spacing w:beforeLines="25" w:line="300" w:lineRule="auto"/>
        <w:ind w:hanging="850"/>
        <w:jc w:val="both"/>
        <w:rPr>
          <w:rFonts w:ascii="Times New Roman" w:hAnsi="Times New Roman"/>
          <w:b w:val="0"/>
          <w:bCs w:val="0"/>
          <w:kern w:val="2"/>
          <w:sz w:val="21"/>
          <w:szCs w:val="21"/>
        </w:rPr>
      </w:pPr>
      <w:bookmarkStart w:id="171" w:name="2._QUALITY_MANAGEMENT_REQUIREMENTS"/>
      <w:bookmarkEnd w:id="171"/>
      <w:r>
        <w:rPr>
          <w:rFonts w:ascii="Times New Roman" w:hAnsi="Times New Roman"/>
          <w:kern w:val="2"/>
          <w:sz w:val="21"/>
          <w:szCs w:val="21"/>
        </w:rPr>
        <w:t>质量管理要求</w:t>
      </w:r>
    </w:p>
    <w:p w14:paraId="01E37E25">
      <w:pPr>
        <w:pStyle w:val="32"/>
        <w:numPr>
          <w:ilvl w:val="1"/>
          <w:numId w:val="176"/>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公告机构应建立、记录、实施、维护和运行符合其符合性评估活动性质、区域和规模的质量管理体系，并能够符合和证明其与本法规要求的一致性。</w:t>
      </w:r>
    </w:p>
    <w:p w14:paraId="208B199D">
      <w:pPr>
        <w:pStyle w:val="32"/>
        <w:numPr>
          <w:ilvl w:val="1"/>
          <w:numId w:val="176"/>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公告机构的质量管理体系至少应包括以下方面：</w:t>
      </w:r>
    </w:p>
    <w:p w14:paraId="11C36F64">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bookmarkStart w:id="172" w:name="-_management_system_structure_and_docume"/>
      <w:bookmarkEnd w:id="172"/>
      <w:r>
        <w:rPr>
          <w:rFonts w:ascii="Times New Roman" w:hAnsi="Times New Roman"/>
          <w:kern w:val="2"/>
          <w:szCs w:val="21"/>
        </w:rPr>
        <w:t>管理体系结构和文件，包括其活动的策略和目标；</w:t>
      </w:r>
    </w:p>
    <w:p w14:paraId="5B14BDB8">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bookmarkStart w:id="173" w:name="-_policies_for_assignment_of_personnel_t"/>
      <w:bookmarkEnd w:id="173"/>
      <w:r>
        <w:rPr>
          <w:rFonts w:ascii="Times New Roman" w:hAnsi="Times New Roman"/>
          <w:kern w:val="2"/>
          <w:szCs w:val="21"/>
        </w:rPr>
        <w:t>有关活动人员分配及其职责的策略；</w:t>
      </w:r>
    </w:p>
    <w:p w14:paraId="119F2E94">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根据高层管理人员和其他公告机构人员的任务、职责和角色用进行的评估和决策过程；</w:t>
      </w:r>
    </w:p>
    <w:p w14:paraId="3944ABDA">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计划、执行、评估和在必要时修改其合格评估流程；</w:t>
      </w:r>
    </w:p>
    <w:p w14:paraId="1058A826">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文件控制；</w:t>
      </w:r>
    </w:p>
    <w:p w14:paraId="703FAB6E">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记录控制；</w:t>
      </w:r>
    </w:p>
    <w:p w14:paraId="35A9DA56">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管理评审；</w:t>
      </w:r>
    </w:p>
    <w:p w14:paraId="5E1D5F68">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内部审计；</w:t>
      </w:r>
    </w:p>
    <w:p w14:paraId="620FBBE4">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整改与预防措施；</w:t>
      </w:r>
    </w:p>
    <w:p w14:paraId="6785D495">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投诉和上诉；</w:t>
      </w:r>
    </w:p>
    <w:p w14:paraId="758FB650">
      <w:pPr>
        <w:pStyle w:val="32"/>
        <w:numPr>
          <w:ilvl w:val="2"/>
          <w:numId w:val="176"/>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持续培训。</w:t>
      </w:r>
    </w:p>
    <w:p w14:paraId="1FA543B8">
      <w:pPr>
        <w:pStyle w:val="8"/>
        <w:topLinePunct/>
        <w:snapToGrid w:val="0"/>
        <w:spacing w:beforeLines="25" w:line="300" w:lineRule="auto"/>
        <w:ind w:left="964" w:firstLine="0"/>
        <w:jc w:val="both"/>
        <w:rPr>
          <w:kern w:val="2"/>
          <w:szCs w:val="21"/>
        </w:rPr>
      </w:pPr>
      <w:r>
        <w:rPr>
          <w:kern w:val="2"/>
          <w:szCs w:val="21"/>
        </w:rPr>
        <w:t>若以多种语言使用文件，则公告机构应确保并控制此类文件具有相同的内容。</w:t>
      </w:r>
    </w:p>
    <w:p w14:paraId="430F577B">
      <w:pPr>
        <w:pStyle w:val="32"/>
        <w:numPr>
          <w:ilvl w:val="1"/>
          <w:numId w:val="176"/>
        </w:numPr>
        <w:tabs>
          <w:tab w:val="left" w:pos="954"/>
        </w:tabs>
        <w:topLinePunct/>
        <w:snapToGrid w:val="0"/>
        <w:spacing w:beforeLines="25" w:line="300" w:lineRule="auto"/>
        <w:ind w:left="954" w:hanging="840"/>
        <w:jc w:val="both"/>
        <w:rPr>
          <w:rFonts w:ascii="Times New Roman" w:hAnsi="Times New Roman"/>
          <w:kern w:val="2"/>
          <w:szCs w:val="21"/>
        </w:rPr>
      </w:pPr>
      <w:r>
        <w:rPr>
          <w:rFonts w:ascii="Times New Roman" w:hAnsi="Times New Roman"/>
          <w:kern w:val="2"/>
          <w:szCs w:val="21"/>
        </w:rPr>
        <w:t>公告机构高层的管理人员应确保整个公告机构组织（包括根据本法规参与符合性评估活动的子公司和分包商）都充分了解、实施和维护质量管理体系。</w:t>
      </w:r>
    </w:p>
    <w:p w14:paraId="2F768736">
      <w:pPr>
        <w:pStyle w:val="32"/>
        <w:numPr>
          <w:ilvl w:val="1"/>
          <w:numId w:val="176"/>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公告机构应要求所有人员通过签字或类似形式正式承诺其会遵守公告机构规定的章程。该承诺应涵盖与商业和其他利益的保密性和独立性相关的方面，以及与客户现有或之前的任何关联。人员需要填写书面声明，表明其遵守保密性、独立性和公正原则。</w:t>
      </w:r>
    </w:p>
    <w:p w14:paraId="18EACD2F">
      <w:pPr>
        <w:pStyle w:val="4"/>
        <w:numPr>
          <w:ilvl w:val="0"/>
          <w:numId w:val="175"/>
        </w:numPr>
        <w:tabs>
          <w:tab w:val="left" w:pos="965"/>
        </w:tabs>
        <w:topLinePunct/>
        <w:snapToGrid w:val="0"/>
        <w:spacing w:beforeLines="25" w:line="300" w:lineRule="auto"/>
        <w:ind w:hanging="850"/>
        <w:jc w:val="both"/>
        <w:rPr>
          <w:rFonts w:ascii="Times New Roman" w:hAnsi="Times New Roman"/>
          <w:b w:val="0"/>
          <w:bCs w:val="0"/>
          <w:kern w:val="2"/>
          <w:sz w:val="21"/>
          <w:szCs w:val="21"/>
        </w:rPr>
      </w:pPr>
      <w:r>
        <w:rPr>
          <w:rFonts w:ascii="Times New Roman" w:hAnsi="Times New Roman"/>
          <w:kern w:val="2"/>
          <w:sz w:val="21"/>
          <w:szCs w:val="21"/>
        </w:rPr>
        <w:t>资源要求</w:t>
      </w:r>
    </w:p>
    <w:p w14:paraId="2B27365D">
      <w:pPr>
        <w:pStyle w:val="32"/>
        <w:numPr>
          <w:ilvl w:val="1"/>
          <w:numId w:val="177"/>
        </w:numPr>
        <w:tabs>
          <w:tab w:val="left" w:pos="965"/>
        </w:tabs>
        <w:topLinePunct/>
        <w:snapToGrid w:val="0"/>
        <w:spacing w:beforeLines="25" w:line="300" w:lineRule="auto"/>
        <w:jc w:val="both"/>
        <w:rPr>
          <w:rFonts w:ascii="Times New Roman" w:hAnsi="Times New Roman"/>
          <w:kern w:val="2"/>
          <w:szCs w:val="21"/>
        </w:rPr>
      </w:pPr>
      <w:bookmarkStart w:id="174" w:name="3.1._General"/>
      <w:bookmarkEnd w:id="174"/>
      <w:r>
        <w:rPr>
          <w:rFonts w:hint="eastAsia" w:ascii="Times New Roman" w:hAnsi="Times New Roman"/>
          <w:b/>
          <w:kern w:val="2"/>
          <w:szCs w:val="21"/>
        </w:rPr>
        <w:t>总则</w:t>
      </w:r>
    </w:p>
    <w:p w14:paraId="0922D189">
      <w:pPr>
        <w:pStyle w:val="32"/>
        <w:numPr>
          <w:ilvl w:val="2"/>
          <w:numId w:val="177"/>
        </w:numPr>
        <w:tabs>
          <w:tab w:val="left" w:pos="965"/>
        </w:tabs>
        <w:topLinePunct/>
        <w:snapToGrid w:val="0"/>
        <w:spacing w:beforeLines="25" w:line="300" w:lineRule="auto"/>
        <w:ind w:hanging="850"/>
        <w:jc w:val="both"/>
        <w:rPr>
          <w:rFonts w:ascii="Times New Roman" w:hAnsi="Times New Roman"/>
          <w:kern w:val="2"/>
          <w:szCs w:val="21"/>
        </w:rPr>
      </w:pPr>
      <w:bookmarkStart w:id="175" w:name="3.1.1._A_notified_body_shall_be_capable_"/>
      <w:bookmarkEnd w:id="175"/>
      <w:r>
        <w:rPr>
          <w:rFonts w:ascii="Times New Roman" w:hAnsi="Times New Roman"/>
          <w:kern w:val="2"/>
          <w:szCs w:val="21"/>
        </w:rPr>
        <w:t>公告机构应能够以最高程度的职业操守和特定领域的必要能力来执行本法规赋予其所有任务，无论此类任务是否有其自己或代表其执行，并属于其职责范围。</w:t>
      </w:r>
    </w:p>
    <w:p w14:paraId="663536D8">
      <w:pPr>
        <w:pStyle w:val="8"/>
        <w:topLinePunct/>
        <w:snapToGrid w:val="0"/>
        <w:spacing w:beforeLines="25" w:line="300" w:lineRule="auto"/>
        <w:ind w:left="964" w:firstLine="0"/>
        <w:jc w:val="both"/>
        <w:rPr>
          <w:kern w:val="2"/>
          <w:szCs w:val="21"/>
        </w:rPr>
      </w:pPr>
      <w:r>
        <w:rPr>
          <w:kern w:val="2"/>
          <w:szCs w:val="21"/>
        </w:rPr>
        <w:t>特别是，公告机构其应拥有必要的人员，并拥有或能够使用指定符合性评估活动中的技术、科学和行政任务所需的所有设备、设施和权限。</w:t>
      </w:r>
    </w:p>
    <w:p w14:paraId="0587B09E">
      <w:pPr>
        <w:pStyle w:val="8"/>
        <w:topLinePunct/>
        <w:snapToGrid w:val="0"/>
        <w:spacing w:beforeLines="25" w:line="300" w:lineRule="auto"/>
        <w:ind w:left="964" w:firstLine="0"/>
        <w:jc w:val="both"/>
        <w:rPr>
          <w:kern w:val="2"/>
          <w:szCs w:val="21"/>
        </w:rPr>
      </w:pPr>
      <w:r>
        <w:rPr>
          <w:kern w:val="2"/>
          <w:szCs w:val="21"/>
        </w:rPr>
        <w:t>此类要求在任何时候和对于各合格评估流程及其指定的每种类型器械，均假定公告机构可永久获得有相关器械和相应技术方面的知识和经验的足够行政、技术和科研人员。考虑到本法规的规定，特别是载于附录I的规定，此类人员应达充分数量以确保相关公告机构可进行符合性评估任务，包括对医疗功能性的评估、对临床评价和器械的性能和安全的评估。</w:t>
      </w:r>
    </w:p>
    <w:p w14:paraId="58A0AF07">
      <w:pPr>
        <w:pStyle w:val="8"/>
        <w:topLinePunct/>
        <w:snapToGrid w:val="0"/>
        <w:spacing w:beforeLines="25" w:line="300" w:lineRule="auto"/>
        <w:ind w:left="964" w:firstLine="0"/>
        <w:jc w:val="both"/>
        <w:rPr>
          <w:kern w:val="2"/>
          <w:szCs w:val="21"/>
        </w:rPr>
      </w:pPr>
      <w:r>
        <w:rPr>
          <w:kern w:val="2"/>
          <w:szCs w:val="21"/>
        </w:rPr>
        <w:t>公告机构的累积职权必须使其可评定其指定类型的器械。公告机构必须具有足够的内部能力来严格评估外部专家的评估。公告机构无法分包的任务列于本附录第4.1节。</w:t>
      </w:r>
    </w:p>
    <w:p w14:paraId="6F0B9AF9">
      <w:pPr>
        <w:pStyle w:val="8"/>
        <w:topLinePunct/>
        <w:snapToGrid w:val="0"/>
        <w:spacing w:beforeLines="25" w:line="300" w:lineRule="auto"/>
        <w:ind w:left="964" w:firstLine="0"/>
        <w:jc w:val="both"/>
        <w:rPr>
          <w:kern w:val="2"/>
          <w:szCs w:val="21"/>
        </w:rPr>
      </w:pPr>
      <w:r>
        <w:rPr>
          <w:kern w:val="2"/>
          <w:szCs w:val="21"/>
        </w:rPr>
        <w:t>参与公告机构对器械符合性评估活动的管理运作的人员应具备适当的知识，以建立和运行用于选择评估和验证人员、验证其能力、授权及分配其任务、组织初始和持续培训、分配职责和监管其工作人员的系统，从而确保管理和执行评估和验证找错的人员有能力完成其所需的任务。</w:t>
      </w:r>
    </w:p>
    <w:p w14:paraId="6282D4F2">
      <w:pPr>
        <w:pStyle w:val="8"/>
        <w:topLinePunct/>
        <w:snapToGrid w:val="0"/>
        <w:spacing w:beforeLines="25" w:line="300" w:lineRule="auto"/>
        <w:ind w:left="964" w:firstLine="0"/>
        <w:jc w:val="both"/>
        <w:rPr>
          <w:kern w:val="2"/>
          <w:szCs w:val="21"/>
        </w:rPr>
      </w:pPr>
      <w:r>
        <w:rPr>
          <w:kern w:val="2"/>
          <w:szCs w:val="21"/>
        </w:rPr>
        <w:t>公告机构应确定至少一个其高级管理层内的个体，该个体对与器械有关的符合性评估活动负全责。</w:t>
      </w:r>
    </w:p>
    <w:p w14:paraId="3DBB4E19">
      <w:pPr>
        <w:pStyle w:val="8"/>
        <w:tabs>
          <w:tab w:val="left" w:pos="964"/>
        </w:tabs>
        <w:topLinePunct/>
        <w:snapToGrid w:val="0"/>
        <w:spacing w:beforeLines="25" w:line="300" w:lineRule="auto"/>
        <w:ind w:left="964" w:hanging="851"/>
        <w:jc w:val="both"/>
        <w:rPr>
          <w:kern w:val="2"/>
          <w:szCs w:val="21"/>
        </w:rPr>
      </w:pPr>
      <w:bookmarkStart w:id="176" w:name="3.1.2a._The_notified_body_shall_ensure_t"/>
      <w:bookmarkEnd w:id="176"/>
      <w:r>
        <w:rPr>
          <w:kern w:val="2"/>
          <w:szCs w:val="21"/>
        </w:rPr>
        <w:t>3.1.2..</w:t>
      </w:r>
      <w:r>
        <w:rPr>
          <w:kern w:val="2"/>
          <w:szCs w:val="21"/>
        </w:rPr>
        <w:tab/>
      </w:r>
      <w:r>
        <w:rPr>
          <w:kern w:val="2"/>
          <w:szCs w:val="21"/>
        </w:rPr>
        <w:t>公告机构应确保参与符合性评估活动的人员通过实施经验交流系统和持续培训以及教育计划能保持其资质和专业知识。</w:t>
      </w:r>
    </w:p>
    <w:p w14:paraId="445572E5">
      <w:pPr>
        <w:pStyle w:val="8"/>
        <w:tabs>
          <w:tab w:val="left" w:pos="964"/>
        </w:tabs>
        <w:topLinePunct/>
        <w:snapToGrid w:val="0"/>
        <w:spacing w:beforeLines="25" w:line="300" w:lineRule="auto"/>
        <w:ind w:left="964" w:hanging="850"/>
        <w:jc w:val="both"/>
        <w:rPr>
          <w:kern w:val="2"/>
          <w:szCs w:val="21"/>
        </w:rPr>
      </w:pPr>
      <w:bookmarkStart w:id="177" w:name="3.1.3._The_notified_body_shall_clearly_d"/>
      <w:bookmarkEnd w:id="177"/>
      <w:r>
        <w:rPr>
          <w:kern w:val="2"/>
          <w:szCs w:val="21"/>
        </w:rPr>
        <w:t>3.1.3.</w:t>
      </w:r>
      <w:r>
        <w:rPr>
          <w:kern w:val="2"/>
          <w:szCs w:val="21"/>
        </w:rPr>
        <w:tab/>
      </w:r>
      <w:r>
        <w:rPr>
          <w:kern w:val="2"/>
          <w:szCs w:val="21"/>
        </w:rPr>
        <w:t>公告机构应明确记录相关人员（包括符合性评估活动中涉及的任何分包商和外部专家）职责、责任和权限范围和限制，并相应地通知此类人员。</w:t>
      </w:r>
    </w:p>
    <w:p w14:paraId="71E3EE58">
      <w:pPr>
        <w:pStyle w:val="4"/>
        <w:numPr>
          <w:ilvl w:val="1"/>
          <w:numId w:val="178"/>
        </w:numPr>
        <w:tabs>
          <w:tab w:val="left" w:pos="965"/>
        </w:tabs>
        <w:topLinePunct/>
        <w:snapToGrid w:val="0"/>
        <w:spacing w:beforeLines="25" w:line="300" w:lineRule="auto"/>
        <w:ind w:hanging="850"/>
        <w:jc w:val="both"/>
        <w:rPr>
          <w:rFonts w:ascii="Times New Roman" w:hAnsi="Times New Roman"/>
          <w:b w:val="0"/>
          <w:bCs w:val="0"/>
          <w:kern w:val="2"/>
          <w:sz w:val="21"/>
          <w:szCs w:val="21"/>
        </w:rPr>
      </w:pPr>
      <w:r>
        <w:rPr>
          <w:rFonts w:ascii="Times New Roman" w:hAnsi="Times New Roman"/>
          <w:kern w:val="2"/>
          <w:sz w:val="21"/>
          <w:szCs w:val="21"/>
        </w:rPr>
        <w:t>相关人员的资格标准</w:t>
      </w:r>
    </w:p>
    <w:p w14:paraId="2C63B288">
      <w:pPr>
        <w:pStyle w:val="32"/>
        <w:numPr>
          <w:ilvl w:val="2"/>
          <w:numId w:val="178"/>
        </w:numPr>
        <w:tabs>
          <w:tab w:val="left" w:pos="965"/>
        </w:tabs>
        <w:topLinePunct/>
        <w:snapToGrid w:val="0"/>
        <w:spacing w:beforeLines="25" w:line="300" w:lineRule="auto"/>
        <w:ind w:hanging="850"/>
        <w:jc w:val="both"/>
        <w:rPr>
          <w:rFonts w:ascii="Times New Roman" w:hAnsi="Times New Roman"/>
          <w:kern w:val="2"/>
          <w:szCs w:val="21"/>
        </w:rPr>
      </w:pPr>
      <w:bookmarkStart w:id="178" w:name="3.2.1._The_Notified_Body_shall_establish"/>
      <w:bookmarkEnd w:id="178"/>
      <w:r>
        <w:rPr>
          <w:rFonts w:ascii="Times New Roman" w:hAnsi="Times New Roman"/>
          <w:kern w:val="2"/>
          <w:szCs w:val="21"/>
        </w:rPr>
        <w:t>公告机构应建立并记录资格标准和程序，以便选择和授权参与符合性评估活动的人员（包括所需的知识、经验和其他能力）和所需培训（初始和持续培训）。资格标准应涵盖符合性评估过程中的各种功能（如审计、产品评估/测试、技术文件审核、决策）以及器械、技术和指定范围内所涵盖的领域（如生物相容性、消毒、人类和动物来源的组织和细胞和临床评价）。</w:t>
      </w:r>
    </w:p>
    <w:p w14:paraId="08839A40">
      <w:pPr>
        <w:pStyle w:val="32"/>
        <w:numPr>
          <w:ilvl w:val="2"/>
          <w:numId w:val="178"/>
        </w:numPr>
        <w:tabs>
          <w:tab w:val="left" w:pos="965"/>
        </w:tabs>
        <w:topLinePunct/>
        <w:snapToGrid w:val="0"/>
        <w:spacing w:beforeLines="20" w:line="300" w:lineRule="auto"/>
        <w:ind w:hanging="850"/>
        <w:jc w:val="both"/>
        <w:rPr>
          <w:rFonts w:ascii="Times New Roman" w:hAnsi="Times New Roman"/>
          <w:kern w:val="2"/>
          <w:szCs w:val="21"/>
        </w:rPr>
      </w:pPr>
      <w:r>
        <w:rPr>
          <w:rFonts w:ascii="Times New Roman" w:hAnsi="Times New Roman"/>
          <w:kern w:val="2"/>
          <w:szCs w:val="21"/>
        </w:rPr>
        <w:t>第3.2.1节所述的资格标准应根据第42(3)条中由成员国使用的通知范围说明所述公告机构的指定范围，并提供范围说明细分部分中所规定资格的足够详细信息。</w:t>
      </w:r>
    </w:p>
    <w:p w14:paraId="07112B07">
      <w:pPr>
        <w:pStyle w:val="8"/>
        <w:topLinePunct/>
        <w:snapToGrid w:val="0"/>
        <w:spacing w:beforeLines="20" w:line="300" w:lineRule="auto"/>
        <w:ind w:left="964" w:firstLine="0"/>
        <w:jc w:val="both"/>
        <w:rPr>
          <w:kern w:val="2"/>
          <w:szCs w:val="21"/>
        </w:rPr>
      </w:pPr>
      <w:bookmarkStart w:id="179" w:name="Specific_qualification_criteria_shall_be"/>
      <w:bookmarkEnd w:id="179"/>
      <w:r>
        <w:rPr>
          <w:kern w:val="2"/>
          <w:szCs w:val="21"/>
        </w:rPr>
        <w:t>应至少为以下评估确定具体的资格标准：</w:t>
      </w:r>
    </w:p>
    <w:p w14:paraId="4A8A3B0C">
      <w:pPr>
        <w:pStyle w:val="8"/>
        <w:numPr>
          <w:ilvl w:val="0"/>
          <w:numId w:val="179"/>
        </w:numPr>
        <w:topLinePunct/>
        <w:snapToGrid w:val="0"/>
        <w:spacing w:beforeLines="20" w:line="300" w:lineRule="auto"/>
        <w:jc w:val="both"/>
        <w:rPr>
          <w:kern w:val="2"/>
          <w:szCs w:val="21"/>
        </w:rPr>
      </w:pPr>
      <w:r>
        <w:rPr>
          <w:kern w:val="2"/>
          <w:szCs w:val="21"/>
        </w:rPr>
        <w:t>临床前评估，</w:t>
      </w:r>
    </w:p>
    <w:p w14:paraId="73E7B24A">
      <w:pPr>
        <w:pStyle w:val="8"/>
        <w:numPr>
          <w:ilvl w:val="0"/>
          <w:numId w:val="179"/>
        </w:numPr>
        <w:topLinePunct/>
        <w:snapToGrid w:val="0"/>
        <w:spacing w:beforeLines="20" w:line="300" w:lineRule="auto"/>
        <w:jc w:val="both"/>
        <w:rPr>
          <w:kern w:val="2"/>
          <w:szCs w:val="21"/>
        </w:rPr>
      </w:pPr>
      <w:r>
        <w:rPr>
          <w:kern w:val="2"/>
          <w:szCs w:val="21"/>
        </w:rPr>
        <w:t>临床评价，</w:t>
      </w:r>
    </w:p>
    <w:p w14:paraId="3275B462">
      <w:pPr>
        <w:pStyle w:val="8"/>
        <w:numPr>
          <w:ilvl w:val="0"/>
          <w:numId w:val="179"/>
        </w:numPr>
        <w:topLinePunct/>
        <w:snapToGrid w:val="0"/>
        <w:spacing w:beforeLines="20" w:line="300" w:lineRule="auto"/>
        <w:jc w:val="both"/>
        <w:rPr>
          <w:kern w:val="2"/>
          <w:szCs w:val="21"/>
        </w:rPr>
      </w:pPr>
      <w:r>
        <w:rPr>
          <w:kern w:val="2"/>
          <w:szCs w:val="21"/>
        </w:rPr>
        <w:t>人类和动物来源的组织和细胞，</w:t>
      </w:r>
    </w:p>
    <w:p w14:paraId="3EC9A80F">
      <w:pPr>
        <w:pStyle w:val="8"/>
        <w:numPr>
          <w:ilvl w:val="0"/>
          <w:numId w:val="179"/>
        </w:numPr>
        <w:topLinePunct/>
        <w:snapToGrid w:val="0"/>
        <w:spacing w:beforeLines="20" w:line="300" w:lineRule="auto"/>
        <w:jc w:val="both"/>
        <w:rPr>
          <w:kern w:val="2"/>
          <w:szCs w:val="21"/>
        </w:rPr>
      </w:pPr>
      <w:r>
        <w:rPr>
          <w:kern w:val="2"/>
          <w:szCs w:val="21"/>
        </w:rPr>
        <w:t>功能安全，</w:t>
      </w:r>
    </w:p>
    <w:p w14:paraId="233E7C69">
      <w:pPr>
        <w:pStyle w:val="8"/>
        <w:numPr>
          <w:ilvl w:val="0"/>
          <w:numId w:val="179"/>
        </w:numPr>
        <w:topLinePunct/>
        <w:snapToGrid w:val="0"/>
        <w:spacing w:beforeLines="20" w:line="300" w:lineRule="auto"/>
        <w:jc w:val="both"/>
        <w:rPr>
          <w:kern w:val="2"/>
          <w:szCs w:val="21"/>
        </w:rPr>
      </w:pPr>
      <w:r>
        <w:rPr>
          <w:kern w:val="2"/>
          <w:szCs w:val="21"/>
        </w:rPr>
        <w:t>软件，</w:t>
      </w:r>
    </w:p>
    <w:p w14:paraId="043BB6EF">
      <w:pPr>
        <w:pStyle w:val="8"/>
        <w:numPr>
          <w:ilvl w:val="0"/>
          <w:numId w:val="179"/>
        </w:numPr>
        <w:topLinePunct/>
        <w:snapToGrid w:val="0"/>
        <w:spacing w:beforeLines="20" w:line="300" w:lineRule="auto"/>
        <w:jc w:val="both"/>
        <w:rPr>
          <w:kern w:val="2"/>
          <w:szCs w:val="21"/>
        </w:rPr>
      </w:pPr>
      <w:r>
        <w:rPr>
          <w:kern w:val="2"/>
          <w:szCs w:val="21"/>
        </w:rPr>
        <w:t>包装，</w:t>
      </w:r>
    </w:p>
    <w:p w14:paraId="64B4F198">
      <w:pPr>
        <w:pStyle w:val="8"/>
        <w:numPr>
          <w:ilvl w:val="0"/>
          <w:numId w:val="179"/>
        </w:numPr>
        <w:topLinePunct/>
        <w:snapToGrid w:val="0"/>
        <w:spacing w:beforeLines="20" w:line="300" w:lineRule="auto"/>
        <w:jc w:val="both"/>
        <w:rPr>
          <w:kern w:val="2"/>
          <w:szCs w:val="21"/>
        </w:rPr>
      </w:pPr>
      <w:r>
        <w:rPr>
          <w:kern w:val="2"/>
          <w:szCs w:val="21"/>
        </w:rPr>
        <w:t>作为药品主要部分并入的器械，</w:t>
      </w:r>
    </w:p>
    <w:p w14:paraId="5EB75FB2">
      <w:pPr>
        <w:pStyle w:val="8"/>
        <w:numPr>
          <w:ilvl w:val="0"/>
          <w:numId w:val="179"/>
        </w:numPr>
        <w:topLinePunct/>
        <w:snapToGrid w:val="0"/>
        <w:spacing w:beforeLines="20" w:line="300" w:lineRule="auto"/>
        <w:jc w:val="both"/>
        <w:rPr>
          <w:kern w:val="2"/>
          <w:szCs w:val="21"/>
        </w:rPr>
      </w:pPr>
      <w:r>
        <w:rPr>
          <w:kern w:val="2"/>
          <w:szCs w:val="21"/>
        </w:rPr>
        <w:t>由人体吸收或局部喷洒在人体上的物质或组合物质组成的器械</w:t>
      </w:r>
      <w:r>
        <w:rPr>
          <w:rFonts w:hint="eastAsia"/>
          <w:kern w:val="2"/>
          <w:szCs w:val="21"/>
        </w:rPr>
        <w:t>；</w:t>
      </w:r>
      <w:r>
        <w:rPr>
          <w:kern w:val="2"/>
          <w:szCs w:val="21"/>
        </w:rPr>
        <w:t>和</w:t>
      </w:r>
    </w:p>
    <w:p w14:paraId="1BE688EE">
      <w:pPr>
        <w:pStyle w:val="8"/>
        <w:numPr>
          <w:ilvl w:val="0"/>
          <w:numId w:val="179"/>
        </w:numPr>
        <w:topLinePunct/>
        <w:snapToGrid w:val="0"/>
        <w:spacing w:beforeLines="20" w:line="300" w:lineRule="auto"/>
        <w:jc w:val="both"/>
        <w:rPr>
          <w:kern w:val="2"/>
          <w:szCs w:val="21"/>
        </w:rPr>
      </w:pPr>
      <w:r>
        <w:rPr>
          <w:kern w:val="2"/>
          <w:szCs w:val="21"/>
        </w:rPr>
        <w:t>不同类型的灭菌过程。</w:t>
      </w:r>
    </w:p>
    <w:p w14:paraId="376DC094">
      <w:pPr>
        <w:pStyle w:val="32"/>
        <w:numPr>
          <w:ilvl w:val="2"/>
          <w:numId w:val="178"/>
        </w:numPr>
        <w:tabs>
          <w:tab w:val="left" w:pos="965"/>
        </w:tabs>
        <w:topLinePunct/>
        <w:snapToGrid w:val="0"/>
        <w:spacing w:beforeLines="20" w:line="300" w:lineRule="auto"/>
        <w:ind w:hanging="850"/>
        <w:jc w:val="both"/>
        <w:rPr>
          <w:rFonts w:ascii="Times New Roman" w:hAnsi="Times New Roman"/>
          <w:kern w:val="2"/>
          <w:szCs w:val="21"/>
        </w:rPr>
      </w:pPr>
      <w:r>
        <w:rPr>
          <w:rFonts w:ascii="Times New Roman" w:hAnsi="Times New Roman"/>
          <w:kern w:val="2"/>
          <w:szCs w:val="21"/>
        </w:rPr>
        <w:t>由公告机构雇用负责制定资格标准和授权其他人员进行具体符合性评估活动的人员，且不得是外部专家或分包商。</w:t>
      </w:r>
      <w:r>
        <w:rPr>
          <w:rFonts w:hint="eastAsia" w:ascii="Times New Roman" w:hAnsi="Times New Roman"/>
          <w:kern w:val="2"/>
          <w:szCs w:val="21"/>
        </w:rPr>
        <w:t>此外，</w:t>
      </w:r>
      <w:r>
        <w:rPr>
          <w:rFonts w:ascii="Times New Roman" w:hAnsi="Times New Roman"/>
          <w:kern w:val="2"/>
          <w:szCs w:val="21"/>
        </w:rPr>
        <w:t>此类人员应具备以下全部方面的足够知识和经验：</w:t>
      </w:r>
    </w:p>
    <w:p w14:paraId="65C08EDB">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欧盟器械法规和相关指导性文件；</w:t>
      </w:r>
    </w:p>
    <w:p w14:paraId="5C5754D0">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符合本法规规定的合格评估流程；</w:t>
      </w:r>
    </w:p>
    <w:p w14:paraId="4E0E8D79">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器械技术和器械的设计和制造广泛基础知识；</w:t>
      </w:r>
    </w:p>
    <w:p w14:paraId="2B3FEFC6">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公告机构质量管理体系、相关程序和所需的资格标准；</w:t>
      </w:r>
    </w:p>
    <w:p w14:paraId="35A049C1">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培训有关参与涉及器械的符合性评估活动的人员；</w:t>
      </w:r>
    </w:p>
    <w:p w14:paraId="326A924A">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具备与根据本法规或公告机构内先前适用法律进行的符合性评估相关的足够经验。</w:t>
      </w:r>
    </w:p>
    <w:p w14:paraId="47BBB62F">
      <w:pPr>
        <w:pStyle w:val="32"/>
        <w:numPr>
          <w:ilvl w:val="2"/>
          <w:numId w:val="178"/>
        </w:numPr>
        <w:tabs>
          <w:tab w:val="left" w:pos="965"/>
        </w:tabs>
        <w:topLinePunct/>
        <w:snapToGrid w:val="0"/>
        <w:spacing w:beforeLines="20" w:line="300" w:lineRule="auto"/>
        <w:ind w:hanging="850"/>
        <w:jc w:val="both"/>
        <w:rPr>
          <w:rFonts w:ascii="Times New Roman" w:hAnsi="Times New Roman"/>
          <w:kern w:val="2"/>
          <w:szCs w:val="21"/>
        </w:rPr>
      </w:pPr>
      <w:r>
        <w:rPr>
          <w:rFonts w:ascii="Times New Roman" w:hAnsi="Times New Roman"/>
          <w:kern w:val="2"/>
          <w:szCs w:val="21"/>
        </w:rPr>
        <w:t>公告机构应拥有具有相关临床专业知识的永久性人员（此类人员尽可能由公告机构雇用。）此类人员应在整个公告机构评估和决策过程中整合，以便：</w:t>
      </w:r>
    </w:p>
    <w:p w14:paraId="38D5573D">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确定需要专家投入到由制造商进行的临床评价的评定时间，以及相应确定合资格专家；</w:t>
      </w:r>
    </w:p>
    <w:p w14:paraId="52FEC106">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按照本法规的相关规定、CS、协调标准适当训练外部临床专家并确保外部临床专家均充分了解到环境和其评定和提出建议的影响；</w:t>
      </w:r>
    </w:p>
    <w:p w14:paraId="1A1DA24B">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能够审查和在科学上质疑包含在临床评价中的临床资料，以及任何相关的临床研究，并在制造商提供的临床评价的评定中适当引导外部临床专家；</w:t>
      </w:r>
    </w:p>
    <w:p w14:paraId="4C7F6022">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能够科学评估，（如有必要）质疑提供的临床评价以及外部临床专家对制造商的临床评价的评定结果；</w:t>
      </w:r>
    </w:p>
    <w:p w14:paraId="0DA751A2">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能够确定由临床专家进行的临床评价的评定可比性和一致性；</w:t>
      </w:r>
    </w:p>
    <w:p w14:paraId="7B6A0680">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能够评定制造商的临床评价和任何外部专家提供的对于临床判断的意见，并向公告机构的决策者提出建议；</w:t>
      </w:r>
    </w:p>
    <w:p w14:paraId="13CD1A9F">
      <w:pPr>
        <w:pStyle w:val="32"/>
        <w:numPr>
          <w:ilvl w:val="3"/>
          <w:numId w:val="17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能够制定记录和报告，以证明已执行相关的符合性评估活动。</w:t>
      </w:r>
    </w:p>
    <w:p w14:paraId="47C5699C">
      <w:pPr>
        <w:pStyle w:val="32"/>
        <w:numPr>
          <w:ilvl w:val="2"/>
          <w:numId w:val="178"/>
        </w:numPr>
        <w:tabs>
          <w:tab w:val="left" w:pos="965"/>
        </w:tabs>
        <w:topLinePunct/>
        <w:snapToGrid w:val="0"/>
        <w:spacing w:beforeLines="25" w:line="300" w:lineRule="auto"/>
        <w:ind w:hanging="850"/>
        <w:jc w:val="both"/>
        <w:rPr>
          <w:rFonts w:ascii="Times New Roman" w:hAnsi="Times New Roman"/>
          <w:kern w:val="2"/>
          <w:szCs w:val="21"/>
        </w:rPr>
      </w:pPr>
      <w:bookmarkStart w:id="180" w:name="3.2.5._The_personnel_(Product_Reviewers)"/>
      <w:bookmarkEnd w:id="180"/>
      <w:r>
        <w:rPr>
          <w:rFonts w:ascii="Times New Roman" w:hAnsi="Times New Roman"/>
          <w:kern w:val="2"/>
          <w:szCs w:val="21"/>
        </w:rPr>
        <w:t>负责对产品进行相关审核（如技术文件审查或包括临床评价、生物安全性、杀菌、软件验证等方面的类型检查）的人员（产品审查员）应具备以下经证实资格：</w:t>
      </w:r>
    </w:p>
    <w:p w14:paraId="7811AA38">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bookmarkStart w:id="181" w:name="-_successful_completion_of_a_university_"/>
      <w:bookmarkEnd w:id="181"/>
      <w:r>
        <w:rPr>
          <w:rFonts w:ascii="Times New Roman" w:hAnsi="Times New Roman"/>
          <w:kern w:val="2"/>
          <w:szCs w:val="21"/>
        </w:rPr>
        <w:t>成功获得相关专业的大学或大专学位或同等学历资格，例如，医学、制药学、工程或其他相关学科；</w:t>
      </w:r>
    </w:p>
    <w:p w14:paraId="025291FE">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在医疗保健品或相关部门（如制造，审计或研究）领域拥有四年专业经验，同时应在器械的设计、制造、测试或使用或进行评定或有关涉及科学方面评定的技术方面拥有两年经验；</w:t>
      </w:r>
    </w:p>
    <w:p w14:paraId="3E299E3B">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拥有器械法规方面的知识，包括附录I规定的一般安全与性能规定</w:t>
      </w:r>
    </w:p>
    <w:p w14:paraId="7D610DF6">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相关协调标准、CS和指导性文件的适当知识和经验；</w:t>
      </w:r>
    </w:p>
    <w:p w14:paraId="7C760611">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拥有风险管理及有关医疗器械标准和指导性文件方面的相应知识和经验；</w:t>
      </w:r>
    </w:p>
    <w:p w14:paraId="73514B86">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拥有临床评价方面的相应知识和经验；</w:t>
      </w:r>
    </w:p>
    <w:p w14:paraId="34B1B22A">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与其正在评估的器械相关的适当知识；</w:t>
      </w:r>
    </w:p>
    <w:p w14:paraId="254806FF">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附录IX至XI中所规定合格评估流程的适当知识和经验，特别获得授权的相关方面，以及执行此类评估的足够权限；</w:t>
      </w:r>
    </w:p>
    <w:p w14:paraId="0D7FA97D">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能够制定记录和报告，以证明已执行相关的符合性评估活动。</w:t>
      </w:r>
    </w:p>
    <w:p w14:paraId="545FC06C">
      <w:pPr>
        <w:pStyle w:val="32"/>
        <w:numPr>
          <w:ilvl w:val="2"/>
          <w:numId w:val="178"/>
        </w:numPr>
        <w:tabs>
          <w:tab w:val="left" w:pos="965"/>
        </w:tabs>
        <w:topLinePunct/>
        <w:snapToGrid w:val="0"/>
        <w:spacing w:beforeLines="25" w:line="300" w:lineRule="auto"/>
        <w:ind w:right="-191" w:rightChars="-91" w:hanging="850"/>
        <w:jc w:val="both"/>
        <w:rPr>
          <w:rFonts w:ascii="Times New Roman" w:hAnsi="Times New Roman"/>
          <w:kern w:val="2"/>
          <w:szCs w:val="21"/>
        </w:rPr>
      </w:pPr>
      <w:bookmarkStart w:id="182" w:name="3.2.6._The_personnel_(Site_Auditors)_res"/>
      <w:bookmarkEnd w:id="182"/>
      <w:r>
        <w:rPr>
          <w:rFonts w:ascii="Times New Roman" w:hAnsi="Times New Roman"/>
          <w:kern w:val="2"/>
          <w:szCs w:val="21"/>
        </w:rPr>
        <w:t>负责对制造商的质量管理体系进行审核的人员（现场审核员）应具有以下证明资格：</w:t>
      </w:r>
    </w:p>
    <w:p w14:paraId="5F770F40">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成功获得相关专业的大学或专科学院学位或同等学历资格，例如，医学、制药学、工程或其他相关学科；</w:t>
      </w:r>
    </w:p>
    <w:p w14:paraId="36747C73">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在医疗保健产品或相关行业（如制造，审计或研究）领域拥有四年专业经验，同时在这些领域有两年的质量管理经验；</w:t>
      </w:r>
    </w:p>
    <w:p w14:paraId="720A7284">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拥有器械法规及协调标准、CS和指导性文件方面的相应知识</w:t>
      </w:r>
    </w:p>
    <w:p w14:paraId="76EF35DB">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拥有风险管理及有关器械标准和指导性文件方面的相应知识和经验；</w:t>
      </w:r>
    </w:p>
    <w:p w14:paraId="36C49032">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拥有质量管理体系及相关标准和指导性文件方面的相应知识；</w:t>
      </w:r>
    </w:p>
    <w:p w14:paraId="679A4730">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附录IX至XI中所规定合格评估流程的适当知识和经验，特别获得授权的相关方面，以及执行此类审计的足够权限。</w:t>
      </w:r>
    </w:p>
    <w:p w14:paraId="33E3A3B5">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接受审计技术培训使其拥有质疑质量管理体系的能力。</w:t>
      </w:r>
    </w:p>
    <w:p w14:paraId="29B6BAA2">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能够制定记录和报告，以证明已执行相关的符合性评估活动。</w:t>
      </w:r>
    </w:p>
    <w:p w14:paraId="6A867FC8">
      <w:pPr>
        <w:pStyle w:val="32"/>
        <w:numPr>
          <w:ilvl w:val="2"/>
          <w:numId w:val="178"/>
        </w:numPr>
        <w:tabs>
          <w:tab w:val="left" w:pos="965"/>
        </w:tabs>
        <w:topLinePunct/>
        <w:snapToGrid w:val="0"/>
        <w:spacing w:beforeLines="25" w:line="300" w:lineRule="auto"/>
        <w:ind w:hanging="850"/>
        <w:jc w:val="both"/>
        <w:rPr>
          <w:rFonts w:ascii="Times New Roman" w:hAnsi="Times New Roman"/>
          <w:kern w:val="2"/>
          <w:szCs w:val="21"/>
        </w:rPr>
      </w:pPr>
      <w:bookmarkStart w:id="183" w:name="3.2.7._The_personnel_with_overall_respon"/>
      <w:bookmarkEnd w:id="183"/>
      <w:r>
        <w:rPr>
          <w:rFonts w:ascii="Times New Roman" w:hAnsi="Times New Roman"/>
          <w:kern w:val="2"/>
          <w:szCs w:val="21"/>
        </w:rPr>
        <w:t>负责最终审查和认证决议的人员应当是公告机构本身的雇员，而</w:t>
      </w:r>
      <w:r>
        <w:rPr>
          <w:rFonts w:hint="eastAsia" w:ascii="Times New Roman" w:hAnsi="Times New Roman"/>
          <w:kern w:val="2"/>
          <w:szCs w:val="21"/>
        </w:rPr>
        <w:t>非</w:t>
      </w:r>
      <w:r>
        <w:rPr>
          <w:rFonts w:ascii="Times New Roman" w:hAnsi="Times New Roman"/>
          <w:kern w:val="2"/>
          <w:szCs w:val="21"/>
        </w:rPr>
        <w:t>外部专家或分包合同。作为团体，所有这些人员，应具备以下经过考验的知识和全面经验：</w:t>
      </w:r>
    </w:p>
    <w:p w14:paraId="59D0E72F">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器械法规和相关指导性文件；</w:t>
      </w:r>
    </w:p>
    <w:p w14:paraId="68A74B59">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进行有关本法规的医疗器械符合性评估；</w:t>
      </w:r>
    </w:p>
    <w:p w14:paraId="7D5E2F19">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与器械符合性评估相关的资格类型、经验和专业知识；</w:t>
      </w:r>
    </w:p>
    <w:p w14:paraId="3DEE946F">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在器械技术方面拥有广泛基础，包括符合性评估最终认证审查器械的充足经验、器械行业和器械的设计和制造方面；</w:t>
      </w:r>
    </w:p>
    <w:p w14:paraId="0837C045">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公告机构质量管理体系、相关程序和涉及人员所需的资格。</w:t>
      </w:r>
    </w:p>
    <w:p w14:paraId="61B89F08">
      <w:pPr>
        <w:pStyle w:val="32"/>
        <w:numPr>
          <w:ilvl w:val="3"/>
          <w:numId w:val="178"/>
        </w:numPr>
        <w:tabs>
          <w:tab w:val="left" w:pos="1533"/>
        </w:tabs>
        <w:topLinePunct/>
        <w:snapToGrid w:val="0"/>
        <w:spacing w:beforeLines="25" w:line="300" w:lineRule="auto"/>
        <w:ind w:left="1554"/>
        <w:jc w:val="both"/>
        <w:rPr>
          <w:rFonts w:ascii="Times New Roman" w:hAnsi="Times New Roman"/>
          <w:kern w:val="2"/>
          <w:szCs w:val="21"/>
        </w:rPr>
      </w:pPr>
      <w:r>
        <w:rPr>
          <w:rFonts w:ascii="Times New Roman" w:hAnsi="Times New Roman"/>
          <w:kern w:val="2"/>
          <w:szCs w:val="21"/>
        </w:rPr>
        <w:t>能够制定记录和报告，以证明已执行的符合性评估活动。</w:t>
      </w:r>
    </w:p>
    <w:p w14:paraId="223AA4D5">
      <w:pPr>
        <w:pStyle w:val="4"/>
        <w:numPr>
          <w:ilvl w:val="1"/>
          <w:numId w:val="178"/>
        </w:numPr>
        <w:tabs>
          <w:tab w:val="left" w:pos="965"/>
        </w:tabs>
        <w:topLinePunct/>
        <w:snapToGrid w:val="0"/>
        <w:spacing w:beforeLines="25" w:line="300" w:lineRule="auto"/>
        <w:ind w:hanging="850"/>
        <w:jc w:val="both"/>
        <w:rPr>
          <w:rFonts w:ascii="Times New Roman" w:hAnsi="Times New Roman"/>
          <w:b w:val="0"/>
          <w:bCs w:val="0"/>
          <w:kern w:val="2"/>
          <w:sz w:val="21"/>
          <w:szCs w:val="21"/>
        </w:rPr>
      </w:pPr>
      <w:r>
        <w:rPr>
          <w:rFonts w:ascii="Times New Roman" w:hAnsi="Times New Roman"/>
          <w:kern w:val="2"/>
          <w:sz w:val="21"/>
          <w:szCs w:val="21"/>
        </w:rPr>
        <w:t>人员资格、培训和授权的证明文件</w:t>
      </w:r>
    </w:p>
    <w:p w14:paraId="3866AFB0">
      <w:pPr>
        <w:pStyle w:val="32"/>
        <w:numPr>
          <w:ilvl w:val="2"/>
          <w:numId w:val="178"/>
        </w:numPr>
        <w:tabs>
          <w:tab w:val="left" w:pos="965"/>
        </w:tabs>
        <w:topLinePunct/>
        <w:snapToGrid w:val="0"/>
        <w:spacing w:beforeLines="25" w:line="300" w:lineRule="auto"/>
        <w:ind w:hanging="850"/>
        <w:jc w:val="both"/>
        <w:rPr>
          <w:rFonts w:ascii="Times New Roman" w:hAnsi="Times New Roman"/>
          <w:kern w:val="2"/>
          <w:szCs w:val="21"/>
        </w:rPr>
      </w:pPr>
      <w:bookmarkStart w:id="184" w:name="3.3.1._The_notified_body_shall_have_a_pr"/>
      <w:bookmarkEnd w:id="184"/>
      <w:r>
        <w:rPr>
          <w:rFonts w:ascii="Times New Roman" w:hAnsi="Times New Roman"/>
          <w:kern w:val="2"/>
          <w:szCs w:val="21"/>
        </w:rPr>
        <w:t>公告机构应有一个程序，以充分记录参与符合性评估活动的各名人员的资格以及是否满足第3.2节中所述的资格标准。在特殊情况下，如无法充分证明是否满足第3.2节中规定的资格标准，公告机构应向负责公告机构的主管机构证明这些人员有权进行特定的符合性评估活动。</w:t>
      </w:r>
    </w:p>
    <w:p w14:paraId="16244F68">
      <w:pPr>
        <w:pStyle w:val="32"/>
        <w:numPr>
          <w:ilvl w:val="2"/>
          <w:numId w:val="178"/>
        </w:numPr>
        <w:tabs>
          <w:tab w:val="left" w:pos="965"/>
        </w:tabs>
        <w:topLinePunct/>
        <w:snapToGrid w:val="0"/>
        <w:spacing w:beforeLines="25" w:line="300" w:lineRule="auto"/>
        <w:ind w:hanging="850"/>
        <w:jc w:val="both"/>
        <w:rPr>
          <w:rFonts w:ascii="Times New Roman" w:hAnsi="Times New Roman"/>
          <w:kern w:val="2"/>
          <w:szCs w:val="21"/>
        </w:rPr>
      </w:pPr>
      <w:bookmarkStart w:id="185" w:name="3.3.2._For_all_of_its_personnel_referred"/>
      <w:bookmarkEnd w:id="185"/>
      <w:r>
        <w:rPr>
          <w:rFonts w:ascii="Times New Roman" w:hAnsi="Times New Roman"/>
          <w:kern w:val="2"/>
          <w:szCs w:val="21"/>
        </w:rPr>
        <w:t>对于第3.2.3到3.2.7节中所述的所有人员，公告机构应建立并保持最新的：</w:t>
      </w:r>
    </w:p>
    <w:p w14:paraId="1D989BAD">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详细说明符合性评估活动方面人员的授权和责任的模块；</w:t>
      </w:r>
    </w:p>
    <w:p w14:paraId="03D2EA27">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证明其获得授权的符合性评估活动所需的知识和经验的记录。记录文件应包含确定各评估人员合理的责任范围和各人进行的符合性评估活动的记录。</w:t>
      </w:r>
    </w:p>
    <w:p w14:paraId="2614C98D">
      <w:pPr>
        <w:pStyle w:val="4"/>
        <w:numPr>
          <w:ilvl w:val="1"/>
          <w:numId w:val="178"/>
        </w:numPr>
        <w:tabs>
          <w:tab w:val="left" w:pos="965"/>
        </w:tabs>
        <w:topLinePunct/>
        <w:snapToGrid w:val="0"/>
        <w:spacing w:beforeLines="25" w:line="300" w:lineRule="auto"/>
        <w:ind w:hanging="850"/>
        <w:jc w:val="both"/>
        <w:rPr>
          <w:rFonts w:ascii="Times New Roman" w:hAnsi="Times New Roman"/>
          <w:b w:val="0"/>
          <w:bCs w:val="0"/>
          <w:kern w:val="2"/>
          <w:sz w:val="21"/>
          <w:szCs w:val="21"/>
        </w:rPr>
      </w:pPr>
      <w:r>
        <w:rPr>
          <w:rFonts w:ascii="Times New Roman" w:hAnsi="Times New Roman"/>
          <w:kern w:val="2"/>
          <w:sz w:val="21"/>
          <w:szCs w:val="21"/>
        </w:rPr>
        <w:t>分包商和外部专家</w:t>
      </w:r>
    </w:p>
    <w:p w14:paraId="061F1A10">
      <w:pPr>
        <w:pStyle w:val="32"/>
        <w:numPr>
          <w:ilvl w:val="2"/>
          <w:numId w:val="178"/>
        </w:numPr>
        <w:tabs>
          <w:tab w:val="left" w:pos="965"/>
        </w:tabs>
        <w:topLinePunct/>
        <w:snapToGrid w:val="0"/>
        <w:spacing w:beforeLines="25" w:line="300" w:lineRule="auto"/>
        <w:ind w:hanging="850"/>
        <w:jc w:val="both"/>
        <w:rPr>
          <w:rFonts w:ascii="Times New Roman" w:hAnsi="Times New Roman"/>
          <w:kern w:val="2"/>
          <w:szCs w:val="21"/>
        </w:rPr>
      </w:pPr>
      <w:bookmarkStart w:id="186" w:name="3.4.1._Without_prejudice_to_the_limitati"/>
      <w:bookmarkEnd w:id="186"/>
      <w:r>
        <w:rPr>
          <w:rFonts w:ascii="Times New Roman" w:hAnsi="Times New Roman"/>
          <w:kern w:val="2"/>
          <w:szCs w:val="21"/>
        </w:rPr>
        <w:t>在不影响第3.2节的限制的情况下，公告机构可转包符合性评估活动的某些明确定义的组成部分。</w:t>
      </w:r>
    </w:p>
    <w:p w14:paraId="613851CD">
      <w:pPr>
        <w:pStyle w:val="8"/>
        <w:topLinePunct/>
        <w:snapToGrid w:val="0"/>
        <w:spacing w:beforeLines="25" w:line="300" w:lineRule="auto"/>
        <w:ind w:left="964" w:firstLine="0"/>
        <w:jc w:val="both"/>
        <w:rPr>
          <w:kern w:val="2"/>
          <w:szCs w:val="21"/>
        </w:rPr>
      </w:pPr>
      <w:r>
        <w:rPr>
          <w:kern w:val="2"/>
          <w:szCs w:val="21"/>
        </w:rPr>
        <w:t>不允许对整个质量管理体系或产品检验相关的审核进行分包，但这些活动的某些部分可由分包商和外部审核员以及专家代表公告机构执行。相关公告机构能够对提供分包商和专家实现其特定任务的能力的证据负全部责任，</w:t>
      </w:r>
      <w:r>
        <w:rPr>
          <w:rFonts w:hint="eastAsia"/>
          <w:kern w:val="2"/>
          <w:szCs w:val="21"/>
        </w:rPr>
        <w:t>并</w:t>
      </w:r>
      <w:r>
        <w:rPr>
          <w:kern w:val="2"/>
          <w:szCs w:val="21"/>
        </w:rPr>
        <w:t>保留对根据分包商评定</w:t>
      </w:r>
      <w:r>
        <w:rPr>
          <w:rFonts w:hint="eastAsia"/>
          <w:kern w:val="2"/>
          <w:szCs w:val="21"/>
        </w:rPr>
        <w:t>所</w:t>
      </w:r>
      <w:r>
        <w:rPr>
          <w:kern w:val="2"/>
          <w:szCs w:val="21"/>
        </w:rPr>
        <w:t>做出决策</w:t>
      </w:r>
      <w:r>
        <w:rPr>
          <w:rFonts w:hint="eastAsia"/>
          <w:kern w:val="2"/>
          <w:szCs w:val="21"/>
        </w:rPr>
        <w:t>应</w:t>
      </w:r>
      <w:r>
        <w:rPr>
          <w:kern w:val="2"/>
          <w:szCs w:val="21"/>
        </w:rPr>
        <w:t>负的责任，</w:t>
      </w:r>
      <w:r>
        <w:rPr>
          <w:rFonts w:hint="eastAsia"/>
          <w:kern w:val="2"/>
          <w:szCs w:val="21"/>
        </w:rPr>
        <w:t>以及</w:t>
      </w:r>
      <w:r>
        <w:rPr>
          <w:kern w:val="2"/>
          <w:szCs w:val="21"/>
        </w:rPr>
        <w:t>对分包商和专家代表其进行的工作负有全</w:t>
      </w:r>
      <w:r>
        <w:rPr>
          <w:rFonts w:hint="eastAsia"/>
          <w:kern w:val="2"/>
          <w:szCs w:val="21"/>
        </w:rPr>
        <w:t>部责任</w:t>
      </w:r>
      <w:r>
        <w:rPr>
          <w:kern w:val="2"/>
          <w:szCs w:val="21"/>
        </w:rPr>
        <w:t>。</w:t>
      </w:r>
    </w:p>
    <w:p w14:paraId="64E66F05">
      <w:pPr>
        <w:pStyle w:val="8"/>
        <w:topLinePunct/>
        <w:snapToGrid w:val="0"/>
        <w:spacing w:beforeLines="25" w:line="300" w:lineRule="auto"/>
        <w:ind w:left="964" w:firstLine="0"/>
        <w:jc w:val="both"/>
        <w:rPr>
          <w:kern w:val="2"/>
          <w:szCs w:val="21"/>
        </w:rPr>
      </w:pPr>
      <w:r>
        <w:rPr>
          <w:kern w:val="2"/>
          <w:szCs w:val="21"/>
        </w:rPr>
        <w:t>以下活动不得由公告机构转包：</w:t>
      </w:r>
    </w:p>
    <w:p w14:paraId="2A3AB79D">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审查外部专家的资格和监测其性能；</w:t>
      </w:r>
    </w:p>
    <w:p w14:paraId="790858DE">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涉及相关分包的审计或认证组织的审计及认证活动；</w:t>
      </w:r>
    </w:p>
    <w:p w14:paraId="57870DB3">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将工作分配给外部专家进行具体的符合性评估活动；</w:t>
      </w:r>
    </w:p>
    <w:p w14:paraId="6FABCD0B">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最终审查和决策职能。</w:t>
      </w:r>
    </w:p>
    <w:p w14:paraId="6609DD19">
      <w:pPr>
        <w:pStyle w:val="32"/>
        <w:numPr>
          <w:ilvl w:val="2"/>
          <w:numId w:val="178"/>
        </w:numPr>
        <w:tabs>
          <w:tab w:val="left" w:pos="965"/>
        </w:tabs>
        <w:topLinePunct/>
        <w:snapToGrid w:val="0"/>
        <w:spacing w:beforeLines="25" w:line="300" w:lineRule="auto"/>
        <w:ind w:hanging="850"/>
        <w:jc w:val="both"/>
        <w:rPr>
          <w:rFonts w:ascii="Times New Roman" w:hAnsi="Times New Roman"/>
          <w:kern w:val="2"/>
          <w:szCs w:val="21"/>
        </w:rPr>
      </w:pPr>
      <w:bookmarkStart w:id="187" w:name="3.4.2._Where_a_notified_body_subcontract"/>
      <w:bookmarkEnd w:id="187"/>
      <w:r>
        <w:rPr>
          <w:rFonts w:ascii="Times New Roman" w:hAnsi="Times New Roman"/>
          <w:kern w:val="2"/>
          <w:szCs w:val="21"/>
        </w:rPr>
        <w:t>若公告机构将某些符合性评估活动分包给某个组织或个人，则其应有一个说明允许进行分包的条件的政策，并应确保：</w:t>
      </w:r>
    </w:p>
    <w:p w14:paraId="5BC0D7F6">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bookmarkStart w:id="188" w:name="-_the_subcontractor_meets_the_relevant_r"/>
      <w:bookmarkEnd w:id="188"/>
      <w:r>
        <w:rPr>
          <w:rFonts w:ascii="Times New Roman" w:hAnsi="Times New Roman"/>
          <w:kern w:val="2"/>
          <w:szCs w:val="21"/>
        </w:rPr>
        <w:t>分包商符合本附录的有关规定；</w:t>
      </w:r>
    </w:p>
    <w:p w14:paraId="68ABB3F8">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分包商和外部专家不再将工作转包给组织或人员；</w:t>
      </w:r>
    </w:p>
    <w:p w14:paraId="4912032D">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第一和第二个缩进中所述的要求已经告知申请符合性评估的自然人或法人</w:t>
      </w:r>
    </w:p>
    <w:p w14:paraId="4BE4C0AA">
      <w:pPr>
        <w:pStyle w:val="8"/>
        <w:topLinePunct/>
        <w:snapToGrid w:val="0"/>
        <w:spacing w:beforeLines="25" w:line="300" w:lineRule="auto"/>
        <w:ind w:left="964" w:firstLine="0"/>
        <w:jc w:val="both"/>
        <w:rPr>
          <w:kern w:val="2"/>
          <w:szCs w:val="21"/>
        </w:rPr>
      </w:pPr>
      <w:r>
        <w:rPr>
          <w:kern w:val="2"/>
          <w:szCs w:val="21"/>
        </w:rPr>
        <w:t>外部人员的任何分包或咨询应有适当的文件记录，不得涉及任何中介人并应遵守直接的书面协议，其中包括保密性和利益冲突。相关公告机构应对分包商完成的任务承担全部责任。</w:t>
      </w:r>
    </w:p>
    <w:p w14:paraId="79354D75">
      <w:pPr>
        <w:pStyle w:val="32"/>
        <w:numPr>
          <w:ilvl w:val="2"/>
          <w:numId w:val="178"/>
        </w:numPr>
        <w:tabs>
          <w:tab w:val="left" w:pos="965"/>
        </w:tabs>
        <w:topLinePunct/>
        <w:snapToGrid w:val="0"/>
        <w:spacing w:beforeLines="25" w:line="300" w:lineRule="auto"/>
        <w:jc w:val="both"/>
        <w:rPr>
          <w:rFonts w:ascii="Times New Roman" w:hAnsi="Times New Roman"/>
          <w:kern w:val="2"/>
          <w:szCs w:val="21"/>
        </w:rPr>
      </w:pPr>
      <w:bookmarkStart w:id="189" w:name="3.4.3._Where_subcontractors_or_external_"/>
      <w:bookmarkEnd w:id="189"/>
      <w:r>
        <w:rPr>
          <w:rFonts w:ascii="Times New Roman" w:hAnsi="Times New Roman"/>
          <w:kern w:val="2"/>
          <w:szCs w:val="21"/>
        </w:rPr>
        <w:t>若由分包商或外部专家开展符合性评估（特别是有关异常性、侵入性和植入性的器械和技术），相关公告机构自身应在指定的各产品领域具有足够能力以引导整体符合性评估，以核实专家意见的恰当性和有效性并</w:t>
      </w:r>
      <w:r>
        <w:rPr>
          <w:rFonts w:hint="eastAsia" w:ascii="Times New Roman" w:hAnsi="Times New Roman"/>
          <w:kern w:val="2"/>
          <w:szCs w:val="21"/>
        </w:rPr>
        <w:t>做出</w:t>
      </w:r>
      <w:r>
        <w:rPr>
          <w:rFonts w:ascii="Times New Roman" w:hAnsi="Times New Roman"/>
          <w:kern w:val="2"/>
          <w:szCs w:val="21"/>
        </w:rPr>
        <w:t>认证决议。</w:t>
      </w:r>
    </w:p>
    <w:p w14:paraId="7A5A4B42">
      <w:pPr>
        <w:pStyle w:val="32"/>
        <w:numPr>
          <w:ilvl w:val="1"/>
          <w:numId w:val="178"/>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b/>
          <w:kern w:val="2"/>
          <w:szCs w:val="21"/>
        </w:rPr>
        <w:br w:type="page"/>
      </w:r>
      <w:r>
        <w:rPr>
          <w:rFonts w:ascii="Times New Roman" w:hAnsi="Times New Roman"/>
          <w:b/>
          <w:kern w:val="2"/>
          <w:szCs w:val="21"/>
        </w:rPr>
        <w:t>监测能力、培训和经验交流</w:t>
      </w:r>
    </w:p>
    <w:p w14:paraId="6C886B8A">
      <w:pPr>
        <w:pStyle w:val="32"/>
        <w:numPr>
          <w:ilvl w:val="2"/>
          <w:numId w:val="178"/>
        </w:numPr>
        <w:tabs>
          <w:tab w:val="left" w:pos="965"/>
        </w:tabs>
        <w:topLinePunct/>
        <w:snapToGrid w:val="0"/>
        <w:spacing w:beforeLines="25" w:line="300" w:lineRule="auto"/>
        <w:ind w:hanging="850"/>
        <w:jc w:val="both"/>
        <w:rPr>
          <w:rFonts w:ascii="Times New Roman" w:hAnsi="Times New Roman"/>
          <w:kern w:val="2"/>
          <w:szCs w:val="21"/>
        </w:rPr>
      </w:pPr>
      <w:bookmarkStart w:id="190" w:name="3.5.1._The_notified_body_shall_establish"/>
      <w:bookmarkEnd w:id="190"/>
      <w:r>
        <w:rPr>
          <w:rFonts w:ascii="Times New Roman" w:hAnsi="Times New Roman"/>
          <w:kern w:val="2"/>
          <w:szCs w:val="21"/>
        </w:rPr>
        <w:t>公告机构应制定程序，对符合性评估活动中涉及的所有内部和外部人员和分包商的能力，符合性评估活动和绩效进行初步评估和持续监测。</w:t>
      </w:r>
    </w:p>
    <w:p w14:paraId="632A87C3">
      <w:pPr>
        <w:pStyle w:val="32"/>
        <w:numPr>
          <w:ilvl w:val="2"/>
          <w:numId w:val="178"/>
        </w:numPr>
        <w:tabs>
          <w:tab w:val="left" w:pos="965"/>
        </w:tabs>
        <w:topLinePunct/>
        <w:snapToGrid w:val="0"/>
        <w:spacing w:beforeLines="25" w:line="300" w:lineRule="auto"/>
        <w:ind w:hanging="850"/>
        <w:jc w:val="both"/>
        <w:rPr>
          <w:rFonts w:ascii="Times New Roman" w:hAnsi="Times New Roman"/>
          <w:kern w:val="2"/>
          <w:szCs w:val="21"/>
        </w:rPr>
      </w:pPr>
      <w:r>
        <w:rPr>
          <w:rFonts w:ascii="Times New Roman" w:hAnsi="Times New Roman"/>
          <w:kern w:val="2"/>
          <w:szCs w:val="21"/>
        </w:rPr>
        <w:t>公告机构应定期审查其人员的能力，确定培训需求，并制定培训计划，以保持个</w:t>
      </w:r>
      <w:r>
        <w:rPr>
          <w:rFonts w:hint="eastAsia" w:ascii="Times New Roman" w:hAnsi="Times New Roman"/>
          <w:kern w:val="2"/>
          <w:szCs w:val="21"/>
        </w:rPr>
        <w:t>体</w:t>
      </w:r>
      <w:r>
        <w:rPr>
          <w:rFonts w:ascii="Times New Roman" w:hAnsi="Times New Roman"/>
          <w:kern w:val="2"/>
          <w:szCs w:val="21"/>
        </w:rPr>
        <w:t>人员所需的资格和知识水平。审查应至少核实人员：</w:t>
      </w:r>
    </w:p>
    <w:p w14:paraId="06381197">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bookmarkStart w:id="191" w:name="-_are_aware_of_the_current_medical_devic"/>
      <w:bookmarkEnd w:id="191"/>
      <w:r>
        <w:rPr>
          <w:rFonts w:ascii="Times New Roman" w:hAnsi="Times New Roman"/>
          <w:kern w:val="2"/>
          <w:szCs w:val="21"/>
        </w:rPr>
        <w:t>联盟和有关器械的国家法律，相关的协调标准，CS，指导性文件，和根据第1.6节的协调活动结果；</w:t>
      </w:r>
    </w:p>
    <w:p w14:paraId="22BF2743">
      <w:pPr>
        <w:pStyle w:val="32"/>
        <w:numPr>
          <w:ilvl w:val="3"/>
          <w:numId w:val="178"/>
        </w:numPr>
        <w:tabs>
          <w:tab w:val="left" w:pos="1533"/>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参与第3.1.2节所述的内部交流经验和持续培训及教育计划。</w:t>
      </w:r>
    </w:p>
    <w:p w14:paraId="2B1C32BE">
      <w:pPr>
        <w:pStyle w:val="4"/>
        <w:numPr>
          <w:ilvl w:val="0"/>
          <w:numId w:val="177"/>
        </w:numPr>
        <w:tabs>
          <w:tab w:val="left" w:pos="682"/>
        </w:tabs>
        <w:topLinePunct/>
        <w:snapToGrid w:val="0"/>
        <w:spacing w:beforeLines="25" w:line="300" w:lineRule="auto"/>
        <w:ind w:left="681" w:hanging="567"/>
        <w:jc w:val="both"/>
        <w:rPr>
          <w:rFonts w:ascii="Times New Roman" w:hAnsi="Times New Roman"/>
          <w:b w:val="0"/>
          <w:bCs w:val="0"/>
          <w:kern w:val="2"/>
          <w:sz w:val="21"/>
          <w:szCs w:val="21"/>
        </w:rPr>
      </w:pPr>
      <w:r>
        <w:rPr>
          <w:rFonts w:hint="eastAsia" w:ascii="Times New Roman" w:hAnsi="Times New Roman"/>
          <w:kern w:val="2"/>
          <w:sz w:val="21"/>
          <w:szCs w:val="21"/>
        </w:rPr>
        <w:t>程序</w:t>
      </w:r>
      <w:r>
        <w:rPr>
          <w:rFonts w:ascii="Times New Roman" w:hAnsi="Times New Roman"/>
          <w:kern w:val="2"/>
          <w:sz w:val="21"/>
          <w:szCs w:val="21"/>
        </w:rPr>
        <w:t>要求</w:t>
      </w:r>
    </w:p>
    <w:p w14:paraId="33596A02">
      <w:pPr>
        <w:pStyle w:val="32"/>
        <w:numPr>
          <w:ilvl w:val="1"/>
          <w:numId w:val="180"/>
        </w:numPr>
        <w:tabs>
          <w:tab w:val="left" w:pos="682"/>
        </w:tabs>
        <w:topLinePunct/>
        <w:snapToGrid w:val="0"/>
        <w:spacing w:beforeLines="25" w:line="300" w:lineRule="auto"/>
        <w:jc w:val="both"/>
        <w:rPr>
          <w:rFonts w:ascii="Times New Roman" w:hAnsi="Times New Roman"/>
          <w:kern w:val="2"/>
          <w:szCs w:val="21"/>
        </w:rPr>
      </w:pPr>
      <w:r>
        <w:rPr>
          <w:rFonts w:hint="eastAsia" w:ascii="Times New Roman" w:hAnsi="Times New Roman"/>
          <w:b/>
          <w:kern w:val="2"/>
          <w:szCs w:val="21"/>
        </w:rPr>
        <w:t>总则</w:t>
      </w:r>
    </w:p>
    <w:p w14:paraId="789590AB">
      <w:pPr>
        <w:pStyle w:val="8"/>
        <w:topLinePunct/>
        <w:snapToGrid w:val="0"/>
        <w:spacing w:beforeLines="25" w:line="300" w:lineRule="auto"/>
        <w:ind w:firstLine="0"/>
        <w:jc w:val="both"/>
        <w:rPr>
          <w:kern w:val="2"/>
          <w:szCs w:val="21"/>
        </w:rPr>
      </w:pPr>
      <w:r>
        <w:rPr>
          <w:kern w:val="2"/>
          <w:szCs w:val="21"/>
        </w:rPr>
        <w:t>公告机构应有指定的各符合性评估活动的文件化流程和足够详细的程序，包括从预申请活动到决议及监督的各个步骤，并在必要时考虑到器械的相应特性。</w:t>
      </w:r>
    </w:p>
    <w:p w14:paraId="511FFBD1">
      <w:pPr>
        <w:pStyle w:val="8"/>
        <w:topLinePunct/>
        <w:snapToGrid w:val="0"/>
        <w:spacing w:beforeLines="25" w:line="300" w:lineRule="auto"/>
        <w:ind w:firstLine="0"/>
        <w:jc w:val="both"/>
        <w:rPr>
          <w:kern w:val="2"/>
          <w:szCs w:val="21"/>
        </w:rPr>
      </w:pPr>
      <w:r>
        <w:rPr>
          <w:kern w:val="2"/>
          <w:szCs w:val="21"/>
        </w:rPr>
        <w:t>应符合第4.3、4.4、4.7和4.8节所述的要求以作为公告机构的内部活动一部分，且不得转包。</w:t>
      </w:r>
    </w:p>
    <w:p w14:paraId="25D2680D">
      <w:pPr>
        <w:pStyle w:val="4"/>
        <w:numPr>
          <w:ilvl w:val="1"/>
          <w:numId w:val="180"/>
        </w:numPr>
        <w:tabs>
          <w:tab w:val="left" w:pos="682"/>
        </w:tabs>
        <w:topLinePunct/>
        <w:snapToGrid w:val="0"/>
        <w:spacing w:beforeLines="25" w:line="300" w:lineRule="auto"/>
        <w:jc w:val="both"/>
        <w:rPr>
          <w:rFonts w:ascii="Times New Roman" w:hAnsi="Times New Roman"/>
          <w:b w:val="0"/>
          <w:bCs w:val="0"/>
          <w:kern w:val="2"/>
          <w:sz w:val="21"/>
          <w:szCs w:val="21"/>
        </w:rPr>
      </w:pPr>
      <w:r>
        <w:rPr>
          <w:rFonts w:ascii="Times New Roman" w:hAnsi="Times New Roman"/>
          <w:kern w:val="2"/>
          <w:sz w:val="21"/>
          <w:szCs w:val="21"/>
        </w:rPr>
        <w:t>公告机构报价和预申请活动</w:t>
      </w:r>
    </w:p>
    <w:p w14:paraId="5B2F300A">
      <w:pPr>
        <w:pStyle w:val="8"/>
        <w:topLinePunct/>
        <w:snapToGrid w:val="0"/>
        <w:spacing w:beforeLines="25" w:line="300" w:lineRule="auto"/>
        <w:ind w:firstLine="0"/>
        <w:jc w:val="both"/>
        <w:rPr>
          <w:kern w:val="2"/>
          <w:szCs w:val="21"/>
        </w:rPr>
      </w:pPr>
      <w:r>
        <w:rPr>
          <w:kern w:val="2"/>
          <w:szCs w:val="21"/>
        </w:rPr>
        <w:t>公告机构应</w:t>
      </w:r>
    </w:p>
    <w:p w14:paraId="35BAF3C9">
      <w:pPr>
        <w:pStyle w:val="32"/>
        <w:numPr>
          <w:ilvl w:val="3"/>
          <w:numId w:val="177"/>
        </w:numPr>
        <w:tabs>
          <w:tab w:val="left" w:pos="1248"/>
        </w:tabs>
        <w:topLinePunct/>
        <w:snapToGrid w:val="0"/>
        <w:spacing w:beforeLines="25" w:line="300" w:lineRule="auto"/>
        <w:ind w:left="1274" w:hanging="560"/>
        <w:jc w:val="both"/>
        <w:rPr>
          <w:rFonts w:ascii="Times New Roman" w:hAnsi="Times New Roman"/>
          <w:kern w:val="2"/>
          <w:szCs w:val="21"/>
        </w:rPr>
      </w:pPr>
      <w:r>
        <w:rPr>
          <w:rFonts w:ascii="Times New Roman" w:hAnsi="Times New Roman"/>
          <w:kern w:val="2"/>
          <w:szCs w:val="21"/>
        </w:rPr>
        <w:t>发布公开可用的申请程序说明，以便制造商通过说明获得公告机构认证。该说明应包括提交文件和任何相关信函可接受的语言；</w:t>
      </w:r>
    </w:p>
    <w:p w14:paraId="710248D3">
      <w:pPr>
        <w:pStyle w:val="32"/>
        <w:numPr>
          <w:ilvl w:val="3"/>
          <w:numId w:val="177"/>
        </w:numPr>
        <w:tabs>
          <w:tab w:val="left" w:pos="1248"/>
        </w:tabs>
        <w:topLinePunct/>
        <w:snapToGrid w:val="0"/>
        <w:spacing w:beforeLines="25" w:line="300" w:lineRule="auto"/>
        <w:ind w:left="1274" w:hanging="560"/>
        <w:jc w:val="both"/>
        <w:rPr>
          <w:rFonts w:ascii="Times New Roman" w:hAnsi="Times New Roman"/>
          <w:kern w:val="2"/>
          <w:szCs w:val="21"/>
        </w:rPr>
      </w:pPr>
      <w:r>
        <w:rPr>
          <w:rFonts w:ascii="Times New Roman" w:hAnsi="Times New Roman"/>
          <w:kern w:val="2"/>
          <w:szCs w:val="21"/>
        </w:rPr>
        <w:t>记录与特定符合性评估活动所收取的费用以及与其器械评估活动相关的任何其他财务状况；</w:t>
      </w:r>
    </w:p>
    <w:p w14:paraId="0635A821">
      <w:pPr>
        <w:pStyle w:val="32"/>
        <w:numPr>
          <w:ilvl w:val="3"/>
          <w:numId w:val="177"/>
        </w:numPr>
        <w:tabs>
          <w:tab w:val="left" w:pos="1248"/>
        </w:tabs>
        <w:topLinePunct/>
        <w:snapToGrid w:val="0"/>
        <w:spacing w:beforeLines="25" w:line="300" w:lineRule="auto"/>
        <w:ind w:left="1274" w:hanging="560"/>
        <w:jc w:val="both"/>
        <w:rPr>
          <w:rFonts w:ascii="Times New Roman" w:hAnsi="Times New Roman"/>
          <w:kern w:val="2"/>
          <w:szCs w:val="21"/>
        </w:rPr>
      </w:pPr>
      <w:r>
        <w:rPr>
          <w:rFonts w:ascii="Times New Roman" w:hAnsi="Times New Roman"/>
          <w:kern w:val="2"/>
          <w:szCs w:val="21"/>
        </w:rPr>
        <w:t>有关其符合性评估服务广告的书面程序。这些书面程序应确保广告或促销活动绝不暗示或可能导致推断其符合性评估将为制造商提供更早的市场准入，或者比其他指定机构更快、更容易或更不严格；</w:t>
      </w:r>
    </w:p>
    <w:p w14:paraId="076B682C">
      <w:pPr>
        <w:pStyle w:val="32"/>
        <w:numPr>
          <w:ilvl w:val="3"/>
          <w:numId w:val="177"/>
        </w:numPr>
        <w:tabs>
          <w:tab w:val="left" w:pos="1248"/>
        </w:tabs>
        <w:topLinePunct/>
        <w:snapToGrid w:val="0"/>
        <w:spacing w:beforeLines="25" w:line="300" w:lineRule="auto"/>
        <w:ind w:left="1274" w:hanging="560"/>
        <w:jc w:val="both"/>
        <w:rPr>
          <w:rFonts w:ascii="Times New Roman" w:hAnsi="Times New Roman"/>
          <w:kern w:val="2"/>
          <w:szCs w:val="21"/>
        </w:rPr>
      </w:pPr>
      <w:r>
        <w:rPr>
          <w:rFonts w:ascii="Times New Roman" w:hAnsi="Times New Roman"/>
          <w:kern w:val="2"/>
          <w:szCs w:val="21"/>
        </w:rPr>
        <w:t>有文件化的程序，要求审查预申请的信息，包括在本法规所涵盖产品的初步验证及其分类，然后向制造商发出关于特定符合性评估的报价；</w:t>
      </w:r>
    </w:p>
    <w:p w14:paraId="48CB59A9">
      <w:pPr>
        <w:pStyle w:val="32"/>
        <w:numPr>
          <w:ilvl w:val="3"/>
          <w:numId w:val="177"/>
        </w:numPr>
        <w:tabs>
          <w:tab w:val="left" w:pos="1248"/>
        </w:tabs>
        <w:topLinePunct/>
        <w:snapToGrid w:val="0"/>
        <w:spacing w:beforeLines="25" w:line="300" w:lineRule="auto"/>
        <w:ind w:left="1274" w:hanging="560"/>
        <w:jc w:val="both"/>
        <w:rPr>
          <w:rFonts w:ascii="Times New Roman" w:hAnsi="Times New Roman"/>
          <w:kern w:val="2"/>
          <w:szCs w:val="21"/>
        </w:rPr>
      </w:pPr>
      <w:r>
        <w:rPr>
          <w:rFonts w:ascii="Times New Roman" w:hAnsi="Times New Roman"/>
          <w:kern w:val="2"/>
          <w:szCs w:val="21"/>
        </w:rPr>
        <w:t>确保与本法规所涵盖的符合性评估活动有关的所有合同</w:t>
      </w:r>
      <w:r>
        <w:rPr>
          <w:rFonts w:hint="eastAsia" w:ascii="Times New Roman" w:hAnsi="Times New Roman"/>
          <w:kern w:val="2"/>
          <w:szCs w:val="21"/>
        </w:rPr>
        <w:t>均</w:t>
      </w:r>
      <w:r>
        <w:rPr>
          <w:rFonts w:ascii="Times New Roman" w:hAnsi="Times New Roman"/>
          <w:kern w:val="2"/>
          <w:szCs w:val="21"/>
        </w:rPr>
        <w:t>直接在制造商</w:t>
      </w:r>
      <w:r>
        <w:rPr>
          <w:rFonts w:hint="eastAsia" w:ascii="Times New Roman" w:hAnsi="Times New Roman"/>
          <w:kern w:val="2"/>
          <w:szCs w:val="21"/>
        </w:rPr>
        <w:t>与</w:t>
      </w:r>
      <w:r>
        <w:rPr>
          <w:rFonts w:ascii="Times New Roman" w:hAnsi="Times New Roman"/>
          <w:kern w:val="2"/>
          <w:szCs w:val="21"/>
        </w:rPr>
        <w:t>公告机构之间建立，而</w:t>
      </w:r>
      <w:r>
        <w:rPr>
          <w:rFonts w:hint="eastAsia" w:ascii="Times New Roman" w:hAnsi="Times New Roman"/>
          <w:kern w:val="2"/>
          <w:szCs w:val="21"/>
        </w:rPr>
        <w:t>非</w:t>
      </w:r>
      <w:r>
        <w:rPr>
          <w:rFonts w:ascii="Times New Roman" w:hAnsi="Times New Roman"/>
          <w:kern w:val="2"/>
          <w:szCs w:val="21"/>
        </w:rPr>
        <w:t>与任何其他组织建立。</w:t>
      </w:r>
    </w:p>
    <w:p w14:paraId="6F804351">
      <w:pPr>
        <w:pStyle w:val="4"/>
        <w:numPr>
          <w:ilvl w:val="1"/>
          <w:numId w:val="180"/>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申请审查</w:t>
      </w:r>
      <w:r>
        <w:rPr>
          <w:rFonts w:hint="eastAsia" w:ascii="Times New Roman" w:hAnsi="Times New Roman"/>
          <w:kern w:val="2"/>
          <w:sz w:val="21"/>
          <w:szCs w:val="21"/>
        </w:rPr>
        <w:t>与</w:t>
      </w:r>
      <w:r>
        <w:rPr>
          <w:rFonts w:ascii="Times New Roman" w:hAnsi="Times New Roman"/>
          <w:kern w:val="2"/>
          <w:sz w:val="21"/>
          <w:szCs w:val="21"/>
        </w:rPr>
        <w:t>合同</w:t>
      </w:r>
    </w:p>
    <w:p w14:paraId="46DC3A26">
      <w:pPr>
        <w:pStyle w:val="8"/>
        <w:topLinePunct/>
        <w:snapToGrid w:val="0"/>
        <w:spacing w:beforeLines="25" w:line="300" w:lineRule="auto"/>
        <w:ind w:firstLine="0"/>
        <w:jc w:val="both"/>
        <w:rPr>
          <w:kern w:val="2"/>
          <w:szCs w:val="21"/>
        </w:rPr>
      </w:pPr>
      <w:r>
        <w:rPr>
          <w:kern w:val="2"/>
          <w:szCs w:val="21"/>
        </w:rPr>
        <w:t>公告机构应要求（申请人）提供由制造商或授权代表签署的正式申请，其中应包含相关符合性评估附录IX至XI要求的所有信息和制造商的声明。</w:t>
      </w:r>
    </w:p>
    <w:p w14:paraId="5E63880C">
      <w:pPr>
        <w:pStyle w:val="8"/>
        <w:topLinePunct/>
        <w:snapToGrid w:val="0"/>
        <w:spacing w:beforeLines="25" w:line="300" w:lineRule="auto"/>
        <w:ind w:firstLine="0"/>
        <w:jc w:val="both"/>
        <w:rPr>
          <w:kern w:val="2"/>
          <w:szCs w:val="21"/>
        </w:rPr>
      </w:pPr>
      <w:r>
        <w:rPr>
          <w:kern w:val="2"/>
          <w:szCs w:val="21"/>
        </w:rPr>
        <w:t>公告机构与制造商之间的合同应采取双方签署的书面协议的形式。其应由公告机构保存。本合同应有明确的条款和条件，并包含使公告机构能够按照本法规的要求行事的义务，包括制造商有义务通知公告机构警戒报告，公告机构有权暂停、限制或取消发放的证书以及公告机构履行其信息义务的职责。</w:t>
      </w:r>
    </w:p>
    <w:p w14:paraId="12445837">
      <w:pPr>
        <w:pStyle w:val="8"/>
        <w:topLinePunct/>
        <w:snapToGrid w:val="0"/>
        <w:spacing w:beforeLines="25" w:line="300" w:lineRule="auto"/>
        <w:ind w:firstLine="0"/>
        <w:jc w:val="both"/>
        <w:rPr>
          <w:kern w:val="2"/>
          <w:szCs w:val="21"/>
        </w:rPr>
      </w:pPr>
      <w:r>
        <w:rPr>
          <w:kern w:val="2"/>
          <w:szCs w:val="21"/>
        </w:rPr>
        <w:br w:type="page"/>
      </w:r>
    </w:p>
    <w:p w14:paraId="0A908436">
      <w:pPr>
        <w:pStyle w:val="8"/>
        <w:topLinePunct/>
        <w:snapToGrid w:val="0"/>
        <w:spacing w:beforeLines="25" w:line="300" w:lineRule="auto"/>
        <w:ind w:firstLine="0"/>
        <w:jc w:val="both"/>
        <w:rPr>
          <w:kern w:val="2"/>
          <w:szCs w:val="21"/>
        </w:rPr>
      </w:pPr>
      <w:r>
        <w:rPr>
          <w:kern w:val="2"/>
          <w:szCs w:val="21"/>
        </w:rPr>
        <w:t>公告机构应有关于审查申请的书面程序，以便处理：</w:t>
      </w:r>
    </w:p>
    <w:p w14:paraId="6269CE46">
      <w:pPr>
        <w:pStyle w:val="32"/>
        <w:numPr>
          <w:ilvl w:val="0"/>
          <w:numId w:val="18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有关在请求批准下，在相应附录中所述的符合性评估程序要求的申请的完整性，</w:t>
      </w:r>
    </w:p>
    <w:p w14:paraId="670DF66A">
      <w:pPr>
        <w:pStyle w:val="32"/>
        <w:numPr>
          <w:ilvl w:val="0"/>
          <w:numId w:val="18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按照器械及其相应的分类对这些申请所涉及的产品进行资格验证，</w:t>
      </w:r>
    </w:p>
    <w:p w14:paraId="2C7D1D5F">
      <w:pPr>
        <w:pStyle w:val="32"/>
        <w:numPr>
          <w:ilvl w:val="0"/>
          <w:numId w:val="18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申请人选择的符合性评估程序是否适用于本法规规定的有关器械，</w:t>
      </w:r>
    </w:p>
    <w:p w14:paraId="04AB1561">
      <w:pPr>
        <w:pStyle w:val="32"/>
        <w:numPr>
          <w:ilvl w:val="0"/>
          <w:numId w:val="18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公告机构根据其委任来审核申请表的能力，以及</w:t>
      </w:r>
    </w:p>
    <w:p w14:paraId="57B205F5">
      <w:pPr>
        <w:pStyle w:val="32"/>
        <w:numPr>
          <w:ilvl w:val="0"/>
          <w:numId w:val="18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充足和适当资源的可用性。</w:t>
      </w:r>
    </w:p>
    <w:p w14:paraId="618D162F">
      <w:pPr>
        <w:pStyle w:val="8"/>
        <w:topLinePunct/>
        <w:snapToGrid w:val="0"/>
        <w:spacing w:beforeLines="25" w:line="300" w:lineRule="auto"/>
        <w:ind w:firstLine="0"/>
        <w:jc w:val="both"/>
        <w:rPr>
          <w:kern w:val="2"/>
          <w:szCs w:val="21"/>
        </w:rPr>
      </w:pPr>
      <w:r>
        <w:rPr>
          <w:kern w:val="2"/>
          <w:szCs w:val="21"/>
        </w:rPr>
        <w:t>每次申请审查的结果</w:t>
      </w:r>
      <w:r>
        <w:rPr>
          <w:rFonts w:hint="eastAsia"/>
          <w:kern w:val="2"/>
          <w:szCs w:val="21"/>
        </w:rPr>
        <w:t>均</w:t>
      </w:r>
      <w:r>
        <w:rPr>
          <w:kern w:val="2"/>
          <w:szCs w:val="21"/>
        </w:rPr>
        <w:t>应记录在案。拒绝或撤销申请应通知第57条所述的电子系统，其他指定机构应当有权访问相关数据。</w:t>
      </w:r>
    </w:p>
    <w:p w14:paraId="705F34C8">
      <w:pPr>
        <w:pStyle w:val="4"/>
        <w:numPr>
          <w:ilvl w:val="1"/>
          <w:numId w:val="180"/>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资源分配</w:t>
      </w:r>
    </w:p>
    <w:p w14:paraId="2EC21363">
      <w:pPr>
        <w:pStyle w:val="8"/>
        <w:topLinePunct/>
        <w:snapToGrid w:val="0"/>
        <w:spacing w:beforeLines="25" w:line="300" w:lineRule="auto"/>
        <w:ind w:firstLine="0"/>
        <w:jc w:val="both"/>
        <w:rPr>
          <w:kern w:val="2"/>
          <w:szCs w:val="21"/>
        </w:rPr>
      </w:pPr>
      <w:r>
        <w:rPr>
          <w:kern w:val="2"/>
          <w:szCs w:val="21"/>
        </w:rPr>
        <w:t>公告机构应有文件化程序，以确保所有符合性评估活动由经过适当授权和合格的人员进行，这些人员应具有足够的经验以对需要进行符合性评估的器械、系统和过程以及相关文档进行评估。</w:t>
      </w:r>
    </w:p>
    <w:p w14:paraId="2982CDD9">
      <w:pPr>
        <w:pStyle w:val="8"/>
        <w:topLinePunct/>
        <w:snapToGrid w:val="0"/>
        <w:spacing w:beforeLines="25" w:line="300" w:lineRule="auto"/>
        <w:ind w:firstLine="0"/>
        <w:jc w:val="both"/>
        <w:rPr>
          <w:kern w:val="2"/>
          <w:szCs w:val="21"/>
        </w:rPr>
      </w:pPr>
      <w:r>
        <w:rPr>
          <w:kern w:val="2"/>
          <w:szCs w:val="21"/>
        </w:rPr>
        <w:t>对于各应用，公告机构应确定所需资源，并指定某个人负责确保各应用的评估都根据相关程序进行并确保适当资源（包括人员在评估任务中的可用性）。作为符合性评估一部分进行所需的任务分配以及随后对此分配所做的任何更改都应记录在案。</w:t>
      </w:r>
    </w:p>
    <w:p w14:paraId="67CF4E7C">
      <w:pPr>
        <w:pStyle w:val="4"/>
        <w:numPr>
          <w:ilvl w:val="1"/>
          <w:numId w:val="180"/>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符合性评估活动</w:t>
      </w:r>
    </w:p>
    <w:p w14:paraId="7DA5BE76">
      <w:pPr>
        <w:pStyle w:val="8"/>
        <w:topLinePunct/>
        <w:snapToGrid w:val="0"/>
        <w:spacing w:beforeLines="25" w:line="300" w:lineRule="auto"/>
        <w:ind w:left="113" w:firstLine="0"/>
        <w:jc w:val="both"/>
        <w:rPr>
          <w:kern w:val="2"/>
          <w:szCs w:val="21"/>
        </w:rPr>
      </w:pPr>
      <w:r>
        <w:rPr>
          <w:kern w:val="2"/>
          <w:szCs w:val="21"/>
        </w:rPr>
        <w:t>4.5.1</w:t>
      </w:r>
      <w:r>
        <w:rPr>
          <w:kern w:val="2"/>
          <w:szCs w:val="21"/>
        </w:rPr>
        <w:tab/>
      </w:r>
      <w:r>
        <w:rPr>
          <w:rFonts w:hint="eastAsia"/>
          <w:kern w:val="2"/>
          <w:szCs w:val="21"/>
        </w:rPr>
        <w:t>总则</w:t>
      </w:r>
    </w:p>
    <w:p w14:paraId="5B6E36CA">
      <w:pPr>
        <w:pStyle w:val="8"/>
        <w:topLinePunct/>
        <w:snapToGrid w:val="0"/>
        <w:spacing w:beforeLines="25" w:line="300" w:lineRule="auto"/>
        <w:ind w:firstLine="0"/>
        <w:jc w:val="both"/>
        <w:rPr>
          <w:kern w:val="2"/>
          <w:szCs w:val="21"/>
        </w:rPr>
      </w:pPr>
      <w:r>
        <w:rPr>
          <w:kern w:val="2"/>
          <w:szCs w:val="21"/>
        </w:rPr>
        <w:t>公告机构及其人员应进行具有最高专业素质的符合性评估活动，并具备具体领域必要的技术和科学能力。</w:t>
      </w:r>
    </w:p>
    <w:p w14:paraId="51CBBD28">
      <w:pPr>
        <w:pStyle w:val="8"/>
        <w:topLinePunct/>
        <w:snapToGrid w:val="0"/>
        <w:spacing w:beforeLines="25" w:line="300" w:lineRule="auto"/>
        <w:ind w:firstLine="0"/>
        <w:jc w:val="both"/>
        <w:rPr>
          <w:kern w:val="2"/>
          <w:szCs w:val="21"/>
        </w:rPr>
      </w:pPr>
      <w:r>
        <w:rPr>
          <w:kern w:val="2"/>
          <w:szCs w:val="21"/>
        </w:rPr>
        <w:t>公告机构应具有足够的专业知识、设施和详细的文件化程序，以有效地进行相关公告机构指定的符合性评估活动，同时考虑到附录IX至XI中列出的具体要求，尤其是以下全部要求：</w:t>
      </w:r>
    </w:p>
    <w:p w14:paraId="1E0D938A">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适当规划各项目的行为；</w:t>
      </w:r>
    </w:p>
    <w:p w14:paraId="133139D5">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应确保所组成的评估小组有相关技术经验以及持续的客观性和独立性，并规定在适当的时间轮换评估小组成员，</w:t>
      </w:r>
    </w:p>
    <w:p w14:paraId="3511CCE5">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指定确定符合性评估活动完成时限的理由，</w:t>
      </w:r>
    </w:p>
    <w:p w14:paraId="77772F88">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评估制造商的技术文件和为满足附录I所列要求而采用的解决方案，</w:t>
      </w:r>
    </w:p>
    <w:p w14:paraId="6BA18247">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审查制造商有关临床前评估的程序和文件，</w:t>
      </w:r>
    </w:p>
    <w:p w14:paraId="28E65F17">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审查制造商有关临床评价的程序和文件，</w:t>
      </w:r>
    </w:p>
    <w:p w14:paraId="6FC9E410">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hint="eastAsia" w:ascii="Times New Roman" w:hAnsi="Times New Roman"/>
          <w:kern w:val="2"/>
          <w:szCs w:val="21"/>
        </w:rPr>
        <w:t>论述</w:t>
      </w:r>
      <w:r>
        <w:rPr>
          <w:rFonts w:ascii="Times New Roman" w:hAnsi="Times New Roman"/>
          <w:kern w:val="2"/>
          <w:szCs w:val="21"/>
        </w:rPr>
        <w:t>制造商风险管理程序</w:t>
      </w:r>
      <w:r>
        <w:rPr>
          <w:rFonts w:hint="eastAsia" w:ascii="Times New Roman" w:hAnsi="Times New Roman"/>
          <w:kern w:val="2"/>
          <w:szCs w:val="21"/>
        </w:rPr>
        <w:t>及</w:t>
      </w:r>
      <w:r>
        <w:rPr>
          <w:rFonts w:ascii="Times New Roman" w:hAnsi="Times New Roman"/>
          <w:kern w:val="2"/>
          <w:szCs w:val="21"/>
        </w:rPr>
        <w:t>其临床前和临床评价</w:t>
      </w:r>
      <w:r>
        <w:rPr>
          <w:rFonts w:hint="eastAsia" w:ascii="Times New Roman" w:hAnsi="Times New Roman"/>
          <w:kern w:val="2"/>
          <w:szCs w:val="21"/>
        </w:rPr>
        <w:t>的评价与分析之间的借口，藉此</w:t>
      </w:r>
      <w:r>
        <w:rPr>
          <w:rFonts w:ascii="Times New Roman" w:hAnsi="Times New Roman"/>
          <w:kern w:val="2"/>
          <w:szCs w:val="21"/>
        </w:rPr>
        <w:t>评估</w:t>
      </w:r>
      <w:r>
        <w:rPr>
          <w:rFonts w:hint="eastAsia" w:ascii="Times New Roman" w:hAnsi="Times New Roman"/>
          <w:kern w:val="2"/>
          <w:szCs w:val="21"/>
        </w:rPr>
        <w:t>其</w:t>
      </w:r>
      <w:r>
        <w:rPr>
          <w:rFonts w:ascii="Times New Roman" w:hAnsi="Times New Roman"/>
          <w:kern w:val="2"/>
          <w:szCs w:val="21"/>
        </w:rPr>
        <w:t>证实符合附录I要求的相关性，</w:t>
      </w:r>
    </w:p>
    <w:p w14:paraId="16228A29">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执行附件IX第5.2至5.4节所述的</w:t>
      </w:r>
      <w:r>
        <w:rPr>
          <w:rFonts w:hint="eastAsia" w:ascii="Times New Roman" w:hAnsi="Times New Roman"/>
          <w:kern w:val="2"/>
          <w:szCs w:val="21"/>
        </w:rPr>
        <w:t>“</w:t>
      </w:r>
      <w:r>
        <w:rPr>
          <w:rFonts w:ascii="Times New Roman" w:hAnsi="Times New Roman"/>
          <w:kern w:val="2"/>
          <w:szCs w:val="21"/>
        </w:rPr>
        <w:t>具体程序</w:t>
      </w:r>
      <w:r>
        <w:rPr>
          <w:rFonts w:hint="eastAsia" w:ascii="Times New Roman" w:hAnsi="Times New Roman"/>
          <w:kern w:val="2"/>
          <w:szCs w:val="21"/>
        </w:rPr>
        <w:t>”</w:t>
      </w:r>
    </w:p>
    <w:p w14:paraId="662BEDEE">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在器械分成IIa或IIb类的情况下，评估选定的器械技术文件，</w:t>
      </w:r>
    </w:p>
    <w:p w14:paraId="17E6DB72">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计划和定期进行适当的监督审核和评估，执行或要求进行某些测试，以验证质量管理体系的正常运作，并进行未事先通知的现场审核，</w:t>
      </w:r>
    </w:p>
    <w:p w14:paraId="1A5C82EC">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若涉及器械采样以验证制造的器械符合技术文件，此类要求应在采样前定义相关的采样标准和测试程序，</w:t>
      </w:r>
    </w:p>
    <w:p w14:paraId="0A8C22C3">
      <w:pPr>
        <w:pStyle w:val="32"/>
        <w:numPr>
          <w:ilvl w:val="0"/>
          <w:numId w:val="182"/>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评估和验证制造商的活动是否符合相关附录的要求。</w:t>
      </w:r>
    </w:p>
    <w:p w14:paraId="6C22A2AD">
      <w:pPr>
        <w:pStyle w:val="8"/>
        <w:topLinePunct/>
        <w:snapToGrid w:val="0"/>
        <w:spacing w:beforeLines="25" w:line="300" w:lineRule="auto"/>
        <w:ind w:firstLine="0"/>
        <w:jc w:val="both"/>
        <w:rPr>
          <w:kern w:val="2"/>
          <w:szCs w:val="21"/>
        </w:rPr>
      </w:pPr>
      <w:r>
        <w:rPr>
          <w:kern w:val="2"/>
          <w:szCs w:val="21"/>
        </w:rPr>
        <w:t>公告机构必要时应考虑可用的CS（通用规范）、指导和最佳的实践文件和协调标准，即使制造商没有声明法规符合性。</w:t>
      </w:r>
    </w:p>
    <w:p w14:paraId="03BAE6F6">
      <w:pPr>
        <w:pStyle w:val="32"/>
        <w:tabs>
          <w:tab w:val="left" w:pos="824"/>
        </w:tabs>
        <w:topLinePunct/>
        <w:snapToGrid w:val="0"/>
        <w:spacing w:beforeLines="25" w:line="300" w:lineRule="auto"/>
        <w:ind w:left="113"/>
        <w:jc w:val="both"/>
        <w:rPr>
          <w:rFonts w:ascii="Times New Roman" w:hAnsi="Times New Roman"/>
          <w:kern w:val="2"/>
          <w:szCs w:val="21"/>
        </w:rPr>
      </w:pPr>
      <w:r>
        <w:rPr>
          <w:rFonts w:ascii="Times New Roman" w:hAnsi="Times New Roman"/>
          <w:kern w:val="2"/>
          <w:szCs w:val="21"/>
        </w:rPr>
        <w:t>4.5.2</w:t>
      </w:r>
      <w:r>
        <w:rPr>
          <w:rFonts w:ascii="Times New Roman" w:hAnsi="Times New Roman"/>
          <w:kern w:val="2"/>
          <w:szCs w:val="21"/>
        </w:rPr>
        <w:tab/>
      </w:r>
      <w:r>
        <w:rPr>
          <w:rFonts w:ascii="Times New Roman" w:hAnsi="Times New Roman"/>
          <w:kern w:val="2"/>
          <w:szCs w:val="21"/>
        </w:rPr>
        <w:tab/>
      </w:r>
      <w:r>
        <w:rPr>
          <w:rFonts w:ascii="Times New Roman" w:hAnsi="Times New Roman"/>
          <w:kern w:val="2"/>
          <w:szCs w:val="21"/>
        </w:rPr>
        <w:t>质量管理体系审核</w:t>
      </w:r>
    </w:p>
    <w:p w14:paraId="0C71B4C3">
      <w:pPr>
        <w:pStyle w:val="32"/>
        <w:numPr>
          <w:ilvl w:val="3"/>
          <w:numId w:val="183"/>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作为质量管理体系评估的一部分，公告机构应在审计之前根据其书面程序：</w:t>
      </w:r>
    </w:p>
    <w:p w14:paraId="1AE9A385">
      <w:pPr>
        <w:pStyle w:val="32"/>
        <w:numPr>
          <w:ilvl w:val="4"/>
          <w:numId w:val="183"/>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根据相关符合性评估附录提交的文件进行评估并建立审核计划。该计划应清楚地显示完全覆盖制造商的质量管理体系所需的评估活动数量及顺序，并确定其是否符合本法规的要求，</w:t>
      </w:r>
    </w:p>
    <w:p w14:paraId="267FBB32">
      <w:pPr>
        <w:pStyle w:val="32"/>
        <w:numPr>
          <w:ilvl w:val="4"/>
          <w:numId w:val="183"/>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识别各个生产场所之间的链接和责任分配，以及识别制造商的相关供应商和/或分包商，并考虑是否需要对这些供应商或分包商或两者进行专门审计，</w:t>
      </w:r>
    </w:p>
    <w:p w14:paraId="5A95935A">
      <w:pPr>
        <w:pStyle w:val="32"/>
        <w:numPr>
          <w:ilvl w:val="4"/>
          <w:numId w:val="183"/>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为审计计划中确定的每项审计明确界定审计的目标、标准和范围；并拟订一项审计计划，以充分处理和考虑到所涉器械、技术和过程的具体要求，</w:t>
      </w:r>
    </w:p>
    <w:p w14:paraId="614330E0">
      <w:pPr>
        <w:pStyle w:val="32"/>
        <w:numPr>
          <w:ilvl w:val="4"/>
          <w:numId w:val="183"/>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对于IIa和IIb类器械，制定并保持最新的计划以评定附录II和III所述的技术文件，该文档涉及制造商申请所包含的这些范围的器械。该计划应确保证书所涵盖的所有器械在证书有效期内进行抽样，</w:t>
      </w:r>
    </w:p>
    <w:p w14:paraId="653830B8">
      <w:pPr>
        <w:pStyle w:val="32"/>
        <w:numPr>
          <w:ilvl w:val="4"/>
          <w:numId w:val="183"/>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选择和指派适当的合格授权人员进行个人审计。应清楚地定义和记录团队成员各自的职位、职责和权限。</w:t>
      </w:r>
    </w:p>
    <w:p w14:paraId="5DD10202">
      <w:pPr>
        <w:pStyle w:val="32"/>
        <w:numPr>
          <w:ilvl w:val="3"/>
          <w:numId w:val="183"/>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依照制定的审计计划，公告机构应根据其书面程序：</w:t>
      </w:r>
    </w:p>
    <w:p w14:paraId="60DAA501">
      <w:pPr>
        <w:pStyle w:val="32"/>
        <w:numPr>
          <w:ilvl w:val="4"/>
          <w:numId w:val="183"/>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审计制造商的质量管理体系，以便验证所涵盖的器械符合本规定的相关规定，本规定适用于从设计到最后质量控制直至持续监督的每一个阶段，并应确定是否达到本法规的规定，</w:t>
      </w:r>
    </w:p>
    <w:p w14:paraId="0618A401">
      <w:pPr>
        <w:pStyle w:val="32"/>
        <w:numPr>
          <w:ilvl w:val="4"/>
          <w:numId w:val="183"/>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根据相关技术文件，确定制造商是否符合相关符合性评估附录中所述的要求，并审查和审核制造商的过程和子系统，特别是：</w:t>
      </w:r>
    </w:p>
    <w:p w14:paraId="5EBE29E8">
      <w:pPr>
        <w:pStyle w:val="8"/>
        <w:numPr>
          <w:ilvl w:val="0"/>
          <w:numId w:val="184"/>
        </w:numPr>
        <w:tabs>
          <w:tab w:val="left" w:pos="2381"/>
        </w:tabs>
        <w:topLinePunct/>
        <w:snapToGrid w:val="0"/>
        <w:spacing w:beforeLines="25" w:line="300" w:lineRule="auto"/>
        <w:jc w:val="both"/>
        <w:rPr>
          <w:kern w:val="2"/>
          <w:szCs w:val="21"/>
        </w:rPr>
      </w:pPr>
      <w:r>
        <w:rPr>
          <w:kern w:val="2"/>
          <w:szCs w:val="21"/>
        </w:rPr>
        <w:t>设计和开发，</w:t>
      </w:r>
    </w:p>
    <w:p w14:paraId="565D2471">
      <w:pPr>
        <w:pStyle w:val="8"/>
        <w:numPr>
          <w:ilvl w:val="0"/>
          <w:numId w:val="184"/>
        </w:numPr>
        <w:tabs>
          <w:tab w:val="left" w:pos="2381"/>
        </w:tabs>
        <w:topLinePunct/>
        <w:snapToGrid w:val="0"/>
        <w:spacing w:beforeLines="25" w:line="300" w:lineRule="auto"/>
        <w:jc w:val="both"/>
        <w:rPr>
          <w:kern w:val="2"/>
          <w:szCs w:val="21"/>
        </w:rPr>
      </w:pPr>
      <w:r>
        <w:rPr>
          <w:kern w:val="2"/>
          <w:szCs w:val="21"/>
        </w:rPr>
        <w:t>生产过程控制，</w:t>
      </w:r>
    </w:p>
    <w:p w14:paraId="305257CA">
      <w:pPr>
        <w:pStyle w:val="8"/>
        <w:numPr>
          <w:ilvl w:val="0"/>
          <w:numId w:val="184"/>
        </w:numPr>
        <w:tabs>
          <w:tab w:val="left" w:pos="2381"/>
        </w:tabs>
        <w:topLinePunct/>
        <w:snapToGrid w:val="0"/>
        <w:spacing w:beforeLines="25" w:line="300" w:lineRule="auto"/>
        <w:jc w:val="both"/>
        <w:rPr>
          <w:kern w:val="2"/>
          <w:szCs w:val="21"/>
        </w:rPr>
      </w:pPr>
      <w:r>
        <w:rPr>
          <w:kern w:val="2"/>
          <w:szCs w:val="21"/>
        </w:rPr>
        <w:t>产品文档，</w:t>
      </w:r>
    </w:p>
    <w:p w14:paraId="46EB3A58">
      <w:pPr>
        <w:pStyle w:val="8"/>
        <w:numPr>
          <w:ilvl w:val="0"/>
          <w:numId w:val="184"/>
        </w:numPr>
        <w:tabs>
          <w:tab w:val="left" w:pos="2381"/>
        </w:tabs>
        <w:topLinePunct/>
        <w:snapToGrid w:val="0"/>
        <w:spacing w:beforeLines="25" w:line="300" w:lineRule="auto"/>
        <w:jc w:val="both"/>
        <w:rPr>
          <w:kern w:val="2"/>
          <w:szCs w:val="21"/>
        </w:rPr>
      </w:pPr>
      <w:r>
        <w:rPr>
          <w:kern w:val="2"/>
          <w:szCs w:val="21"/>
        </w:rPr>
        <w:t>采购控制，包括购买器械的检验，</w:t>
      </w:r>
    </w:p>
    <w:p w14:paraId="55A9F07E">
      <w:pPr>
        <w:pStyle w:val="8"/>
        <w:numPr>
          <w:ilvl w:val="0"/>
          <w:numId w:val="184"/>
        </w:numPr>
        <w:tabs>
          <w:tab w:val="left" w:pos="2381"/>
        </w:tabs>
        <w:topLinePunct/>
        <w:snapToGrid w:val="0"/>
        <w:spacing w:beforeLines="25" w:line="300" w:lineRule="auto"/>
        <w:jc w:val="both"/>
        <w:rPr>
          <w:kern w:val="2"/>
          <w:szCs w:val="21"/>
        </w:rPr>
      </w:pPr>
      <w:r>
        <w:rPr>
          <w:kern w:val="2"/>
          <w:szCs w:val="21"/>
        </w:rPr>
        <w:t>矫正和预防措施，包括上市后监管</w:t>
      </w:r>
      <w:r>
        <w:rPr>
          <w:rFonts w:hint="eastAsia"/>
          <w:kern w:val="2"/>
          <w:szCs w:val="21"/>
        </w:rPr>
        <w:t>；</w:t>
      </w:r>
      <w:r>
        <w:rPr>
          <w:kern w:val="2"/>
          <w:szCs w:val="21"/>
        </w:rPr>
        <w:t>和</w:t>
      </w:r>
    </w:p>
    <w:p w14:paraId="03512023">
      <w:pPr>
        <w:pStyle w:val="8"/>
        <w:numPr>
          <w:ilvl w:val="0"/>
          <w:numId w:val="184"/>
        </w:numPr>
        <w:tabs>
          <w:tab w:val="left" w:pos="2381"/>
        </w:tabs>
        <w:topLinePunct/>
        <w:snapToGrid w:val="0"/>
        <w:spacing w:beforeLines="25" w:line="300" w:lineRule="auto"/>
        <w:jc w:val="both"/>
        <w:rPr>
          <w:kern w:val="2"/>
          <w:szCs w:val="21"/>
        </w:rPr>
      </w:pPr>
      <w:r>
        <w:rPr>
          <w:kern w:val="2"/>
          <w:szCs w:val="21"/>
        </w:rPr>
        <w:t>PMCF</w:t>
      </w:r>
    </w:p>
    <w:p w14:paraId="00CD2636">
      <w:pPr>
        <w:pStyle w:val="8"/>
        <w:tabs>
          <w:tab w:val="left" w:pos="2381"/>
        </w:tabs>
        <w:topLinePunct/>
        <w:snapToGrid w:val="0"/>
        <w:spacing w:beforeLines="25" w:line="300" w:lineRule="auto"/>
        <w:ind w:left="1798" w:leftChars="856" w:firstLine="0"/>
        <w:jc w:val="both"/>
        <w:rPr>
          <w:kern w:val="2"/>
          <w:szCs w:val="21"/>
        </w:rPr>
      </w:pPr>
      <w:r>
        <w:rPr>
          <w:kern w:val="2"/>
          <w:szCs w:val="21"/>
        </w:rPr>
        <w:t>并审查和审核制造商通过的要求和规定，包括与履行附件I所载的一般安全和性能要求有关的要求和规定。</w:t>
      </w:r>
    </w:p>
    <w:p w14:paraId="204C8F77">
      <w:pPr>
        <w:pStyle w:val="8"/>
        <w:tabs>
          <w:tab w:val="left" w:pos="2381"/>
        </w:tabs>
        <w:topLinePunct/>
        <w:snapToGrid w:val="0"/>
        <w:spacing w:beforeLines="25" w:line="300" w:lineRule="auto"/>
        <w:ind w:left="1798" w:leftChars="856" w:firstLine="0"/>
        <w:jc w:val="both"/>
        <w:rPr>
          <w:kern w:val="2"/>
          <w:szCs w:val="21"/>
        </w:rPr>
      </w:pPr>
      <w:r>
        <w:rPr>
          <w:kern w:val="2"/>
          <w:szCs w:val="21"/>
        </w:rPr>
        <w:br w:type="page"/>
      </w:r>
      <w:r>
        <w:rPr>
          <w:kern w:val="2"/>
          <w:szCs w:val="21"/>
        </w:rPr>
        <w:t>应对文档进行抽样，以发现与器械的预期使用相关的风险、制造技术的复杂性、生产器械的范围和类别以及任何可用的上市后监控信息，</w:t>
      </w:r>
    </w:p>
    <w:p w14:paraId="027A093D">
      <w:pPr>
        <w:pStyle w:val="32"/>
        <w:numPr>
          <w:ilvl w:val="0"/>
          <w:numId w:val="185"/>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若尚未被审核计划覆盖，当成品器械的法规符合性受到多个供应商活动的显著影响时，尤其是制造商不能证明其对供应商拥有足够的控制权时，则将对制造商的供应商场所进行流程控制审核。</w:t>
      </w:r>
    </w:p>
    <w:p w14:paraId="26E68982">
      <w:pPr>
        <w:pStyle w:val="32"/>
        <w:numPr>
          <w:ilvl w:val="0"/>
          <w:numId w:val="185"/>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根据既抽样计划进行技术文件的评估，并考虑本附录第4.5.4和4.5.5节的临床前和临床评价。</w:t>
      </w:r>
    </w:p>
    <w:p w14:paraId="34E219DB">
      <w:pPr>
        <w:pStyle w:val="32"/>
        <w:numPr>
          <w:ilvl w:val="0"/>
          <w:numId w:val="185"/>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依照本法规的要求，并依照相关标准或由MDCG编订或通过的最佳实践文件，公告机构应确保审计结果进行适当且一致的分类。</w:t>
      </w:r>
    </w:p>
    <w:p w14:paraId="7FCED64B">
      <w:pPr>
        <w:pStyle w:val="32"/>
        <w:tabs>
          <w:tab w:val="left" w:pos="824"/>
        </w:tabs>
        <w:topLinePunct/>
        <w:snapToGrid w:val="0"/>
        <w:spacing w:beforeLines="25" w:line="300" w:lineRule="auto"/>
        <w:ind w:left="113"/>
        <w:jc w:val="both"/>
        <w:rPr>
          <w:rFonts w:ascii="Times New Roman" w:hAnsi="Times New Roman"/>
          <w:kern w:val="2"/>
          <w:szCs w:val="21"/>
        </w:rPr>
      </w:pPr>
      <w:r>
        <w:rPr>
          <w:rFonts w:ascii="Times New Roman" w:hAnsi="Times New Roman"/>
          <w:kern w:val="2"/>
          <w:szCs w:val="21"/>
        </w:rPr>
        <w:t>4.5.3</w:t>
      </w:r>
      <w:r>
        <w:rPr>
          <w:rFonts w:ascii="Times New Roman" w:hAnsi="Times New Roman"/>
          <w:kern w:val="2"/>
          <w:szCs w:val="21"/>
        </w:rPr>
        <w:tab/>
      </w:r>
      <w:r>
        <w:rPr>
          <w:rFonts w:ascii="Times New Roman" w:hAnsi="Times New Roman"/>
          <w:kern w:val="2"/>
          <w:szCs w:val="21"/>
        </w:rPr>
        <w:tab/>
      </w:r>
      <w:r>
        <w:rPr>
          <w:rFonts w:ascii="Times New Roman" w:hAnsi="Times New Roman"/>
          <w:kern w:val="2"/>
          <w:szCs w:val="21"/>
        </w:rPr>
        <w:t>产品验证</w:t>
      </w:r>
    </w:p>
    <w:p w14:paraId="4FF05F52">
      <w:pPr>
        <w:pStyle w:val="8"/>
        <w:topLinePunct/>
        <w:snapToGrid w:val="0"/>
        <w:spacing w:beforeLines="25" w:line="300" w:lineRule="auto"/>
        <w:ind w:left="823" w:firstLine="0"/>
        <w:jc w:val="both"/>
        <w:rPr>
          <w:kern w:val="2"/>
          <w:szCs w:val="21"/>
        </w:rPr>
      </w:pPr>
      <w:r>
        <w:rPr>
          <w:kern w:val="2"/>
          <w:szCs w:val="21"/>
        </w:rPr>
        <w:t>技术文件评估</w:t>
      </w:r>
    </w:p>
    <w:p w14:paraId="0D2BA1F0">
      <w:pPr>
        <w:pStyle w:val="8"/>
        <w:topLinePunct/>
        <w:snapToGrid w:val="0"/>
        <w:spacing w:beforeLines="25" w:line="300" w:lineRule="auto"/>
        <w:ind w:left="823" w:firstLine="0"/>
        <w:jc w:val="both"/>
        <w:rPr>
          <w:kern w:val="2"/>
          <w:szCs w:val="21"/>
        </w:rPr>
      </w:pPr>
      <w:r>
        <w:rPr>
          <w:kern w:val="2"/>
          <w:szCs w:val="21"/>
        </w:rPr>
        <w:t>为评估依据附录IX第II章而执行的技术文件，公告机构应具有足够的专业知识和设施，并提供详细书面程序：</w:t>
      </w:r>
    </w:p>
    <w:p w14:paraId="2E15C2FF">
      <w:pPr>
        <w:pStyle w:val="32"/>
        <w:numPr>
          <w:ilvl w:val="0"/>
          <w:numId w:val="18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具有合适资格和授权的人员的委任，以进行各个方面的检查，例如器械使用、生物相容性、临床评价、风险管理、杀菌等；</w:t>
      </w:r>
    </w:p>
    <w:p w14:paraId="171A5000">
      <w:pPr>
        <w:pStyle w:val="32"/>
        <w:numPr>
          <w:ilvl w:val="0"/>
          <w:numId w:val="18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评估是否符合本法规规定的设计并考虑第4.5.4至4.5.6节规定。该评估应包括检验进货、制程中和最终检查的执行情况和结果。若需要进一步测试或其他证据，以评估其是否符合本法规的要求，相关公告机构应当实施与器械有关的适当物理或实验室测试，或要求制造商实施这些测试。</w:t>
      </w:r>
    </w:p>
    <w:p w14:paraId="59590A5C">
      <w:pPr>
        <w:pStyle w:val="8"/>
        <w:topLinePunct/>
        <w:snapToGrid w:val="0"/>
        <w:spacing w:beforeLines="25" w:line="300" w:lineRule="auto"/>
        <w:ind w:left="823" w:firstLine="0"/>
        <w:jc w:val="both"/>
        <w:rPr>
          <w:kern w:val="2"/>
          <w:szCs w:val="21"/>
        </w:rPr>
      </w:pPr>
      <w:r>
        <w:rPr>
          <w:kern w:val="2"/>
          <w:szCs w:val="21"/>
        </w:rPr>
        <w:t>型式检验</w:t>
      </w:r>
    </w:p>
    <w:p w14:paraId="06977FD5">
      <w:pPr>
        <w:pStyle w:val="8"/>
        <w:topLinePunct/>
        <w:snapToGrid w:val="0"/>
        <w:spacing w:beforeLines="25" w:line="300" w:lineRule="auto"/>
        <w:ind w:left="823" w:firstLine="0"/>
        <w:jc w:val="both"/>
        <w:rPr>
          <w:kern w:val="2"/>
          <w:szCs w:val="21"/>
        </w:rPr>
      </w:pPr>
      <w:r>
        <w:rPr>
          <w:kern w:val="2"/>
          <w:szCs w:val="21"/>
        </w:rPr>
        <w:t>公告机构应具有用于器械型式检验（按照附录X进行）的书面程序、充分专业知识和设施，包括以下能力：</w:t>
      </w:r>
    </w:p>
    <w:p w14:paraId="4B692913">
      <w:pPr>
        <w:pStyle w:val="32"/>
        <w:numPr>
          <w:ilvl w:val="0"/>
          <w:numId w:val="18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考虑本附录第4.5.4到4.5.6节，检查和评估技术文件，并验证该类型已按照符合技术文件的要求制造；</w:t>
      </w:r>
    </w:p>
    <w:p w14:paraId="4BEEA7BF">
      <w:pPr>
        <w:pStyle w:val="32"/>
        <w:numPr>
          <w:ilvl w:val="0"/>
          <w:numId w:val="18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建立一个测试计划，确定公告机构需要测试或在其职责范围之内的所有相关和关键参数；</w:t>
      </w:r>
    </w:p>
    <w:p w14:paraId="42E16496">
      <w:pPr>
        <w:pStyle w:val="32"/>
        <w:numPr>
          <w:ilvl w:val="0"/>
          <w:numId w:val="18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记录选择这些参数的理由，</w:t>
      </w:r>
    </w:p>
    <w:p w14:paraId="74FD8CC7">
      <w:pPr>
        <w:pStyle w:val="32"/>
        <w:numPr>
          <w:ilvl w:val="0"/>
          <w:numId w:val="18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进行适当的检验和测试，以验证制造商采用的解决方案是否满足附录I规定的通用安全与性能要求。此种检验和测试应该包括所有必要的测试，以验证该制造商实际已选择使用的相关标准，</w:t>
      </w:r>
    </w:p>
    <w:p w14:paraId="62AF0B10">
      <w:pPr>
        <w:pStyle w:val="32"/>
        <w:numPr>
          <w:ilvl w:val="0"/>
          <w:numId w:val="18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若公告机构不直接进行这些测试，则需要与申请人协定必要测试的执行地点，</w:t>
      </w:r>
    </w:p>
    <w:p w14:paraId="0E25D73C">
      <w:pPr>
        <w:pStyle w:val="32"/>
        <w:numPr>
          <w:ilvl w:val="0"/>
          <w:numId w:val="18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对测试结果承担全部责任。</w:t>
      </w:r>
      <w:r>
        <w:rPr>
          <w:rFonts w:hint="eastAsia" w:ascii="Times New Roman" w:hAnsi="Times New Roman"/>
          <w:kern w:val="2"/>
          <w:szCs w:val="21"/>
        </w:rPr>
        <w:t>若其由具有资质以及独立于制造商的法规符合性评估机构颁发，应</w:t>
      </w:r>
      <w:r>
        <w:rPr>
          <w:rFonts w:ascii="Times New Roman" w:hAnsi="Times New Roman"/>
          <w:kern w:val="2"/>
          <w:szCs w:val="21"/>
        </w:rPr>
        <w:t>可考虑制造商提交的测试报告</w:t>
      </w:r>
      <w:r>
        <w:rPr>
          <w:rFonts w:hint="eastAsia" w:ascii="Times New Roman" w:hAnsi="Times New Roman"/>
          <w:kern w:val="2"/>
          <w:szCs w:val="21"/>
        </w:rPr>
        <w:t>。</w:t>
      </w:r>
    </w:p>
    <w:p w14:paraId="0DB15A75">
      <w:pPr>
        <w:pStyle w:val="8"/>
        <w:topLinePunct/>
        <w:snapToGrid w:val="0"/>
        <w:spacing w:beforeLines="25" w:line="300" w:lineRule="auto"/>
        <w:ind w:left="823" w:firstLine="0"/>
        <w:jc w:val="both"/>
        <w:rPr>
          <w:kern w:val="2"/>
          <w:szCs w:val="21"/>
        </w:rPr>
      </w:pPr>
      <w:r>
        <w:rPr>
          <w:kern w:val="2"/>
          <w:szCs w:val="21"/>
        </w:rPr>
        <w:t>通过检查和测试每一件产品来进行验证，公告机构应该：</w:t>
      </w:r>
    </w:p>
    <w:p w14:paraId="05E8D7E1">
      <w:pPr>
        <w:pStyle w:val="32"/>
        <w:numPr>
          <w:ilvl w:val="0"/>
          <w:numId w:val="187"/>
        </w:numPr>
        <w:tabs>
          <w:tab w:val="left" w:pos="1248"/>
        </w:tabs>
        <w:topLinePunct/>
        <w:snapToGrid w:val="0"/>
        <w:spacing w:beforeLines="25" w:line="300" w:lineRule="auto"/>
        <w:ind w:left="1260" w:hanging="406"/>
        <w:jc w:val="both"/>
        <w:rPr>
          <w:rFonts w:ascii="Times New Roman" w:hAnsi="Times New Roman"/>
          <w:kern w:val="2"/>
          <w:szCs w:val="21"/>
        </w:rPr>
      </w:pPr>
      <w:r>
        <w:rPr>
          <w:rFonts w:ascii="Times New Roman" w:hAnsi="Times New Roman"/>
          <w:kern w:val="2"/>
          <w:szCs w:val="21"/>
        </w:rPr>
        <w:t>具有记录程序、足够的专业知识和设施，已根据附录XI第B部分，通过检查和测试每一件产品来进行验证。</w:t>
      </w:r>
    </w:p>
    <w:p w14:paraId="47811D0C">
      <w:pPr>
        <w:pStyle w:val="32"/>
        <w:numPr>
          <w:ilvl w:val="0"/>
          <w:numId w:val="187"/>
        </w:numPr>
        <w:tabs>
          <w:tab w:val="left" w:pos="1248"/>
        </w:tabs>
        <w:topLinePunct/>
        <w:snapToGrid w:val="0"/>
        <w:spacing w:beforeLines="25" w:line="300" w:lineRule="auto"/>
        <w:ind w:left="1260" w:hanging="406"/>
        <w:jc w:val="both"/>
        <w:rPr>
          <w:rFonts w:ascii="Times New Roman" w:hAnsi="Times New Roman"/>
          <w:kern w:val="2"/>
          <w:szCs w:val="21"/>
        </w:rPr>
      </w:pPr>
      <w:r>
        <w:rPr>
          <w:rFonts w:ascii="Times New Roman" w:hAnsi="Times New Roman"/>
          <w:kern w:val="2"/>
          <w:szCs w:val="21"/>
        </w:rPr>
        <w:t>建立一个测试计划，确定公告机构需要测试或在其职责范围之内的所有相关和关键参数，以便：</w:t>
      </w:r>
    </w:p>
    <w:p w14:paraId="046CDDCA">
      <w:pPr>
        <w:pStyle w:val="8"/>
        <w:numPr>
          <w:ilvl w:val="0"/>
          <w:numId w:val="188"/>
        </w:numPr>
        <w:tabs>
          <w:tab w:val="left" w:pos="1815"/>
        </w:tabs>
        <w:topLinePunct/>
        <w:snapToGrid w:val="0"/>
        <w:spacing w:beforeLines="25" w:line="300" w:lineRule="auto"/>
        <w:jc w:val="both"/>
        <w:rPr>
          <w:kern w:val="2"/>
          <w:szCs w:val="21"/>
        </w:rPr>
      </w:pPr>
      <w:r>
        <w:rPr>
          <w:kern w:val="2"/>
          <w:szCs w:val="21"/>
        </w:rPr>
        <w:t>对于IIb类器械：验证器械是否符合欧盟型式检验证书说明的类型，及本法规中适用的要求。</w:t>
      </w:r>
    </w:p>
    <w:p w14:paraId="27C16ECC">
      <w:pPr>
        <w:pStyle w:val="8"/>
        <w:numPr>
          <w:ilvl w:val="0"/>
          <w:numId w:val="188"/>
        </w:numPr>
        <w:topLinePunct/>
        <w:snapToGrid w:val="0"/>
        <w:spacing w:beforeLines="25" w:line="300" w:lineRule="auto"/>
        <w:jc w:val="both"/>
        <w:rPr>
          <w:kern w:val="2"/>
          <w:szCs w:val="21"/>
        </w:rPr>
      </w:pPr>
      <w:r>
        <w:rPr>
          <w:kern w:val="2"/>
          <w:szCs w:val="21"/>
        </w:rPr>
        <w:t>-对于IIa类器械：确认是否符合附录II和III所述的技术文件，及本法规中适用于这些器械的要求，并记录其对这些参数的选择理由；</w:t>
      </w:r>
    </w:p>
    <w:p w14:paraId="66187FF2">
      <w:pPr>
        <w:pStyle w:val="32"/>
        <w:numPr>
          <w:ilvl w:val="0"/>
          <w:numId w:val="187"/>
        </w:numPr>
        <w:tabs>
          <w:tab w:val="left" w:pos="1248"/>
        </w:tabs>
        <w:topLinePunct/>
        <w:snapToGrid w:val="0"/>
        <w:spacing w:beforeLines="25" w:line="300" w:lineRule="auto"/>
        <w:ind w:left="1260" w:hanging="406"/>
        <w:jc w:val="both"/>
        <w:rPr>
          <w:rFonts w:ascii="Times New Roman" w:hAnsi="Times New Roman"/>
          <w:kern w:val="2"/>
          <w:szCs w:val="21"/>
        </w:rPr>
      </w:pPr>
      <w:r>
        <w:rPr>
          <w:rFonts w:ascii="Times New Roman" w:hAnsi="Times New Roman"/>
          <w:kern w:val="2"/>
          <w:szCs w:val="21"/>
        </w:rPr>
        <w:t>记录选择(b)点所述参数的理由；</w:t>
      </w:r>
    </w:p>
    <w:p w14:paraId="267ACB68">
      <w:pPr>
        <w:pStyle w:val="32"/>
        <w:numPr>
          <w:ilvl w:val="0"/>
          <w:numId w:val="187"/>
        </w:numPr>
        <w:tabs>
          <w:tab w:val="left" w:pos="1248"/>
        </w:tabs>
        <w:topLinePunct/>
        <w:snapToGrid w:val="0"/>
        <w:spacing w:beforeLines="25" w:line="300" w:lineRule="auto"/>
        <w:ind w:left="1260" w:hanging="406"/>
        <w:jc w:val="both"/>
        <w:rPr>
          <w:rFonts w:ascii="Times New Roman" w:hAnsi="Times New Roman"/>
          <w:kern w:val="2"/>
          <w:szCs w:val="21"/>
        </w:rPr>
      </w:pPr>
      <w:r>
        <w:rPr>
          <w:rFonts w:ascii="Times New Roman" w:hAnsi="Times New Roman"/>
          <w:kern w:val="2"/>
          <w:szCs w:val="21"/>
        </w:rPr>
        <w:t>有文件程序进行适当的评估和测试，以根据附录XI第15节的规定，通过检查和测试每一件产品，验证器械符合法规要求。</w:t>
      </w:r>
    </w:p>
    <w:p w14:paraId="68A8F9B8">
      <w:pPr>
        <w:pStyle w:val="32"/>
        <w:numPr>
          <w:ilvl w:val="0"/>
          <w:numId w:val="187"/>
        </w:numPr>
        <w:tabs>
          <w:tab w:val="left" w:pos="1248"/>
        </w:tabs>
        <w:topLinePunct/>
        <w:snapToGrid w:val="0"/>
        <w:spacing w:beforeLines="25" w:line="300" w:lineRule="auto"/>
        <w:ind w:left="1260" w:hanging="406"/>
        <w:jc w:val="both"/>
        <w:rPr>
          <w:rFonts w:ascii="Times New Roman" w:hAnsi="Times New Roman"/>
          <w:kern w:val="2"/>
          <w:szCs w:val="21"/>
        </w:rPr>
      </w:pPr>
      <w:r>
        <w:rPr>
          <w:rFonts w:ascii="Times New Roman" w:hAnsi="Times New Roman"/>
          <w:kern w:val="2"/>
          <w:szCs w:val="21"/>
        </w:rPr>
        <w:t>若公告机构自身不执行这些必要测试，</w:t>
      </w:r>
      <w:r>
        <w:rPr>
          <w:rFonts w:hint="eastAsia" w:ascii="Times New Roman" w:hAnsi="Times New Roman"/>
          <w:kern w:val="2"/>
          <w:szCs w:val="21"/>
        </w:rPr>
        <w:t>则</w:t>
      </w:r>
      <w:r>
        <w:rPr>
          <w:rFonts w:ascii="Times New Roman" w:hAnsi="Times New Roman"/>
          <w:kern w:val="2"/>
          <w:szCs w:val="21"/>
        </w:rPr>
        <w:t>应具有与申请人达成执行这些必要测试的时间和地点有关的书面程序</w:t>
      </w:r>
      <w:r>
        <w:rPr>
          <w:rFonts w:hint="eastAsia" w:ascii="Times New Roman" w:hAnsi="Times New Roman"/>
          <w:kern w:val="2"/>
          <w:szCs w:val="21"/>
        </w:rPr>
        <w:t>协议</w:t>
      </w:r>
      <w:r>
        <w:rPr>
          <w:rFonts w:ascii="Times New Roman" w:hAnsi="Times New Roman"/>
          <w:kern w:val="2"/>
          <w:szCs w:val="21"/>
        </w:rPr>
        <w:t>；</w:t>
      </w:r>
    </w:p>
    <w:p w14:paraId="18E0B575">
      <w:pPr>
        <w:pStyle w:val="32"/>
        <w:numPr>
          <w:ilvl w:val="0"/>
          <w:numId w:val="187"/>
        </w:numPr>
        <w:tabs>
          <w:tab w:val="left" w:pos="1248"/>
        </w:tabs>
        <w:topLinePunct/>
        <w:snapToGrid w:val="0"/>
        <w:spacing w:beforeLines="25" w:line="300" w:lineRule="auto"/>
        <w:ind w:left="1260" w:hanging="406"/>
        <w:jc w:val="both"/>
        <w:rPr>
          <w:rFonts w:ascii="Times New Roman" w:hAnsi="Times New Roman"/>
          <w:kern w:val="2"/>
          <w:szCs w:val="21"/>
        </w:rPr>
      </w:pPr>
      <w:r>
        <w:rPr>
          <w:rFonts w:ascii="Times New Roman" w:hAnsi="Times New Roman"/>
          <w:kern w:val="2"/>
          <w:szCs w:val="21"/>
        </w:rPr>
        <w:t>按照书面程序，对测试结果承担全部责任。可考虑制造商提交的测试报告，若它们由具有资质以及独立于制造商的法规符合性评估机构颁发。</w:t>
      </w:r>
    </w:p>
    <w:p w14:paraId="07695711">
      <w:pPr>
        <w:pStyle w:val="32"/>
        <w:tabs>
          <w:tab w:val="left" w:pos="824"/>
        </w:tabs>
        <w:topLinePunct/>
        <w:snapToGrid w:val="0"/>
        <w:spacing w:beforeLines="25" w:line="300" w:lineRule="auto"/>
        <w:ind w:left="113"/>
        <w:jc w:val="both"/>
        <w:rPr>
          <w:rFonts w:ascii="Times New Roman" w:hAnsi="Times New Roman"/>
          <w:kern w:val="2"/>
          <w:szCs w:val="21"/>
        </w:rPr>
      </w:pPr>
      <w:r>
        <w:rPr>
          <w:rFonts w:ascii="Times New Roman" w:hAnsi="Times New Roman"/>
          <w:kern w:val="2"/>
          <w:szCs w:val="21"/>
        </w:rPr>
        <w:t>4.5.4</w:t>
      </w:r>
      <w:r>
        <w:rPr>
          <w:rFonts w:ascii="Times New Roman" w:hAnsi="Times New Roman"/>
          <w:kern w:val="2"/>
          <w:szCs w:val="21"/>
        </w:rPr>
        <w:tab/>
      </w:r>
      <w:r>
        <w:rPr>
          <w:rFonts w:ascii="Times New Roman" w:hAnsi="Times New Roman"/>
          <w:kern w:val="2"/>
          <w:szCs w:val="21"/>
        </w:rPr>
        <w:tab/>
      </w:r>
      <w:r>
        <w:rPr>
          <w:rFonts w:ascii="Times New Roman" w:hAnsi="Times New Roman"/>
          <w:kern w:val="2"/>
          <w:szCs w:val="21"/>
        </w:rPr>
        <w:t>临床前</w:t>
      </w:r>
      <w:r>
        <w:rPr>
          <w:rFonts w:hint="eastAsia" w:ascii="Times New Roman" w:hAnsi="Times New Roman"/>
          <w:kern w:val="2"/>
          <w:szCs w:val="21"/>
        </w:rPr>
        <w:t>评估</w:t>
      </w:r>
      <w:r>
        <w:rPr>
          <w:rFonts w:ascii="Times New Roman" w:hAnsi="Times New Roman"/>
          <w:kern w:val="2"/>
          <w:szCs w:val="21"/>
        </w:rPr>
        <w:t>的</w:t>
      </w:r>
      <w:r>
        <w:rPr>
          <w:rFonts w:hint="eastAsia" w:ascii="Times New Roman" w:hAnsi="Times New Roman"/>
          <w:kern w:val="2"/>
          <w:szCs w:val="21"/>
        </w:rPr>
        <w:t>评定</w:t>
      </w:r>
    </w:p>
    <w:p w14:paraId="4A0741A4">
      <w:pPr>
        <w:pStyle w:val="8"/>
        <w:topLinePunct/>
        <w:snapToGrid w:val="0"/>
        <w:spacing w:beforeLines="25" w:line="300" w:lineRule="auto"/>
        <w:ind w:left="823" w:firstLine="0"/>
        <w:jc w:val="both"/>
        <w:rPr>
          <w:kern w:val="2"/>
          <w:szCs w:val="21"/>
        </w:rPr>
      </w:pPr>
      <w:r>
        <w:rPr>
          <w:kern w:val="2"/>
          <w:szCs w:val="21"/>
        </w:rPr>
        <w:t>公告机构应有文件程序，以对制造商进行有关临床前评价方面的程序和文件的审查。公告机构应检查、验证和确认制造商的程序和文件充分解决以下问题：</w:t>
      </w:r>
    </w:p>
    <w:p w14:paraId="459CD75C">
      <w:pPr>
        <w:pStyle w:val="32"/>
        <w:numPr>
          <w:ilvl w:val="3"/>
          <w:numId w:val="175"/>
        </w:numPr>
        <w:tabs>
          <w:tab w:val="left" w:pos="1440"/>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计划、执行、评估、报告，并在适当时更新临床前评价，特别是</w:t>
      </w:r>
    </w:p>
    <w:p w14:paraId="6A20C80E">
      <w:pPr>
        <w:pStyle w:val="8"/>
        <w:tabs>
          <w:tab w:val="left" w:pos="1815"/>
        </w:tabs>
        <w:topLinePunct/>
        <w:snapToGrid w:val="0"/>
        <w:spacing w:beforeLines="25" w:line="300" w:lineRule="auto"/>
        <w:ind w:left="1247" w:firstLine="0"/>
        <w:jc w:val="both"/>
        <w:rPr>
          <w:kern w:val="2"/>
          <w:szCs w:val="21"/>
        </w:rPr>
      </w:pPr>
      <w:r>
        <w:rPr>
          <w:rFonts w:hint="eastAsia"/>
          <w:kern w:val="2"/>
          <w:szCs w:val="21"/>
        </w:rPr>
        <w:t>-</w:t>
      </w:r>
      <w:r>
        <w:rPr>
          <w:kern w:val="2"/>
          <w:szCs w:val="21"/>
        </w:rPr>
        <w:t>科学的临床前文献检索</w:t>
      </w:r>
      <w:r>
        <w:rPr>
          <w:rFonts w:hint="eastAsia"/>
          <w:kern w:val="2"/>
          <w:szCs w:val="21"/>
        </w:rPr>
        <w:t>；</w:t>
      </w:r>
      <w:r>
        <w:rPr>
          <w:kern w:val="2"/>
          <w:szCs w:val="21"/>
        </w:rPr>
        <w:t>和</w:t>
      </w:r>
    </w:p>
    <w:p w14:paraId="02E51BD7">
      <w:pPr>
        <w:pStyle w:val="8"/>
        <w:tabs>
          <w:tab w:val="left" w:pos="1815"/>
        </w:tabs>
        <w:topLinePunct/>
        <w:snapToGrid w:val="0"/>
        <w:spacing w:beforeLines="25" w:line="300" w:lineRule="auto"/>
        <w:ind w:left="1815" w:hanging="568"/>
        <w:jc w:val="both"/>
        <w:rPr>
          <w:kern w:val="2"/>
          <w:szCs w:val="21"/>
        </w:rPr>
      </w:pPr>
      <w:r>
        <w:rPr>
          <w:rFonts w:hint="eastAsia"/>
          <w:kern w:val="2"/>
          <w:szCs w:val="21"/>
        </w:rPr>
        <w:t>-</w:t>
      </w:r>
      <w:r>
        <w:rPr>
          <w:kern w:val="2"/>
          <w:szCs w:val="21"/>
        </w:rPr>
        <w:t>实验室测试、模拟使用测试、计算机模拟、使用动物模型的临床前试验</w:t>
      </w:r>
    </w:p>
    <w:p w14:paraId="1AEBE456">
      <w:pPr>
        <w:pStyle w:val="32"/>
        <w:numPr>
          <w:ilvl w:val="3"/>
          <w:numId w:val="175"/>
        </w:numPr>
        <w:tabs>
          <w:tab w:val="left" w:pos="1440"/>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身体接触的性质和持续时间，和特定的相关生物风险。</w:t>
      </w:r>
    </w:p>
    <w:p w14:paraId="0302E398">
      <w:pPr>
        <w:pStyle w:val="32"/>
        <w:numPr>
          <w:ilvl w:val="3"/>
          <w:numId w:val="175"/>
        </w:numPr>
        <w:tabs>
          <w:tab w:val="left" w:pos="1440"/>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与风险管理程序的接口</w:t>
      </w:r>
      <w:r>
        <w:rPr>
          <w:rFonts w:hint="eastAsia" w:ascii="Times New Roman" w:hAnsi="Times New Roman"/>
          <w:kern w:val="2"/>
          <w:szCs w:val="21"/>
        </w:rPr>
        <w:t>；</w:t>
      </w:r>
      <w:r>
        <w:rPr>
          <w:rFonts w:ascii="Times New Roman" w:hAnsi="Times New Roman"/>
          <w:kern w:val="2"/>
          <w:szCs w:val="21"/>
        </w:rPr>
        <w:t>和</w:t>
      </w:r>
    </w:p>
    <w:p w14:paraId="4558DB13">
      <w:pPr>
        <w:pStyle w:val="32"/>
        <w:numPr>
          <w:ilvl w:val="3"/>
          <w:numId w:val="175"/>
        </w:numPr>
        <w:tabs>
          <w:tab w:val="left" w:pos="1440"/>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可用的临床前数据及其相关性的评价和分析，以证实符合附录I的有关要求。</w:t>
      </w:r>
    </w:p>
    <w:p w14:paraId="7B0CA2C5">
      <w:pPr>
        <w:pStyle w:val="8"/>
        <w:topLinePunct/>
        <w:snapToGrid w:val="0"/>
        <w:spacing w:beforeLines="25" w:line="300" w:lineRule="auto"/>
        <w:ind w:left="823" w:firstLine="0"/>
        <w:jc w:val="both"/>
        <w:rPr>
          <w:kern w:val="2"/>
          <w:szCs w:val="21"/>
        </w:rPr>
      </w:pPr>
      <w:r>
        <w:rPr>
          <w:kern w:val="2"/>
          <w:szCs w:val="21"/>
        </w:rPr>
        <w:t>公告机构对临床前评价程序和文件的评估，应说明文献检索结果和所有批准、验证和进行的测试、得出的结论，并应通常考虑替代材料和物质，及成品器械的包装、稳定性/保质期。若制造商没有进行新的测试或偏离了程序，相关公告机构应严格审查制造商提出的理由。</w:t>
      </w:r>
    </w:p>
    <w:p w14:paraId="24A8B9E9">
      <w:pPr>
        <w:pStyle w:val="32"/>
        <w:tabs>
          <w:tab w:val="left" w:pos="824"/>
        </w:tabs>
        <w:topLinePunct/>
        <w:snapToGrid w:val="0"/>
        <w:spacing w:beforeLines="25" w:line="300" w:lineRule="auto"/>
        <w:ind w:left="113"/>
        <w:jc w:val="both"/>
        <w:rPr>
          <w:rFonts w:ascii="Times New Roman" w:hAnsi="Times New Roman"/>
          <w:kern w:val="2"/>
          <w:szCs w:val="21"/>
        </w:rPr>
      </w:pPr>
      <w:r>
        <w:rPr>
          <w:rFonts w:ascii="Times New Roman" w:hAnsi="Times New Roman"/>
          <w:kern w:val="2"/>
          <w:szCs w:val="21"/>
        </w:rPr>
        <w:t>4.5.5</w:t>
      </w:r>
      <w:r>
        <w:rPr>
          <w:rFonts w:ascii="Times New Roman" w:hAnsi="Times New Roman"/>
          <w:kern w:val="2"/>
          <w:szCs w:val="21"/>
        </w:rPr>
        <w:tab/>
      </w:r>
      <w:r>
        <w:rPr>
          <w:rFonts w:ascii="Times New Roman" w:hAnsi="Times New Roman"/>
          <w:kern w:val="2"/>
          <w:szCs w:val="21"/>
        </w:rPr>
        <w:tab/>
      </w:r>
      <w:r>
        <w:rPr>
          <w:rFonts w:ascii="Times New Roman" w:hAnsi="Times New Roman"/>
          <w:kern w:val="2"/>
          <w:szCs w:val="21"/>
        </w:rPr>
        <w:t>临床评价的评估</w:t>
      </w:r>
    </w:p>
    <w:p w14:paraId="43080A2E">
      <w:pPr>
        <w:pStyle w:val="8"/>
        <w:topLinePunct/>
        <w:snapToGrid w:val="0"/>
        <w:spacing w:beforeLines="25" w:line="300" w:lineRule="auto"/>
        <w:ind w:left="823" w:firstLine="0"/>
        <w:jc w:val="both"/>
        <w:rPr>
          <w:kern w:val="2"/>
          <w:szCs w:val="21"/>
        </w:rPr>
      </w:pPr>
      <w:r>
        <w:rPr>
          <w:kern w:val="2"/>
          <w:szCs w:val="21"/>
        </w:rPr>
        <w:t>公告机构应当有文件程序，规定制造商的临床评价程序和文件评估，包括初始符合性评估，以及进行中评估。公告机构应检查、验证和确认制造商的程序和文件充分解决了以下问题：</w:t>
      </w:r>
    </w:p>
    <w:p w14:paraId="44D38618">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根据附录XIV来规划、执行、评估、报告和更新临床评价，</w:t>
      </w:r>
    </w:p>
    <w:p w14:paraId="63920C6E">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上市后监管和PMCF，</w:t>
      </w:r>
    </w:p>
    <w:p w14:paraId="535C83F9">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与风险管理流程的相互作用，</w:t>
      </w:r>
    </w:p>
    <w:p w14:paraId="21862C74">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可用数据及其相关性分析和评估，以便证明符合附录I中相关要求，</w:t>
      </w:r>
    </w:p>
    <w:p w14:paraId="7F0BF55C">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关于临床证据和制定临床评价报告得出的结论</w:t>
      </w:r>
    </w:p>
    <w:p w14:paraId="3269F52D">
      <w:pPr>
        <w:pStyle w:val="8"/>
        <w:topLinePunct/>
        <w:snapToGrid w:val="0"/>
        <w:spacing w:beforeLines="25" w:line="300" w:lineRule="auto"/>
        <w:ind w:left="823" w:firstLine="0"/>
        <w:jc w:val="both"/>
        <w:rPr>
          <w:kern w:val="2"/>
          <w:szCs w:val="21"/>
        </w:rPr>
      </w:pPr>
      <w:r>
        <w:rPr>
          <w:kern w:val="2"/>
          <w:szCs w:val="21"/>
        </w:rPr>
        <w:t>第一段所述程序应包含到现有CS、指导和最佳规程文件。</w:t>
      </w:r>
    </w:p>
    <w:p w14:paraId="3C50CC94">
      <w:pPr>
        <w:pStyle w:val="8"/>
        <w:topLinePunct/>
        <w:snapToGrid w:val="0"/>
        <w:spacing w:beforeLines="25" w:line="300" w:lineRule="auto"/>
        <w:ind w:left="823" w:firstLine="0"/>
        <w:jc w:val="both"/>
        <w:rPr>
          <w:kern w:val="2"/>
          <w:szCs w:val="21"/>
        </w:rPr>
      </w:pPr>
      <w:r>
        <w:rPr>
          <w:kern w:val="2"/>
          <w:szCs w:val="21"/>
        </w:rPr>
        <w:t>根据附录XIV，公告机构临床评价的评估应包括：</w:t>
      </w:r>
    </w:p>
    <w:p w14:paraId="797CC149">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制造商指定的预期用途，及其定义的器械声明，</w:t>
      </w:r>
    </w:p>
    <w:p w14:paraId="0D3C165F">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临床评价的规划，</w:t>
      </w:r>
    </w:p>
    <w:p w14:paraId="2CF78545">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文献检索方法，</w:t>
      </w:r>
    </w:p>
    <w:p w14:paraId="5FB31A6F">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从文献检索得到的相关文件，</w:t>
      </w:r>
    </w:p>
    <w:p w14:paraId="7CD756BB">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临床研究，</w:t>
      </w:r>
    </w:p>
    <w:p w14:paraId="10031206">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验证声称与其他相关器械等效的陈述，等效性证明，同等和类似器械的适用性和结论，</w:t>
      </w:r>
    </w:p>
    <w:p w14:paraId="53B58A10">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上市后监管和PMCF，</w:t>
      </w:r>
    </w:p>
    <w:p w14:paraId="2C742A4E">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临床评价报告，</w:t>
      </w:r>
    </w:p>
    <w:p w14:paraId="237E051B">
      <w:pPr>
        <w:pStyle w:val="32"/>
        <w:numPr>
          <w:ilvl w:val="0"/>
          <w:numId w:val="18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不执行临床研究或PMCF的理由</w:t>
      </w:r>
    </w:p>
    <w:p w14:paraId="1E24664D">
      <w:pPr>
        <w:pStyle w:val="8"/>
        <w:topLinePunct/>
        <w:snapToGrid w:val="0"/>
        <w:spacing w:beforeLines="25" w:line="300" w:lineRule="auto"/>
        <w:ind w:left="823" w:firstLine="0"/>
        <w:jc w:val="both"/>
        <w:rPr>
          <w:kern w:val="2"/>
          <w:szCs w:val="21"/>
        </w:rPr>
      </w:pPr>
      <w:r>
        <w:rPr>
          <w:kern w:val="2"/>
          <w:szCs w:val="21"/>
        </w:rPr>
        <w:t>关于从临床评价包含的临床研究中得到的临床数据，依据提交</w:t>
      </w:r>
      <w:r>
        <w:rPr>
          <w:rFonts w:hint="eastAsia"/>
          <w:kern w:val="2"/>
          <w:szCs w:val="21"/>
        </w:rPr>
        <w:t>的</w:t>
      </w:r>
      <w:r>
        <w:rPr>
          <w:kern w:val="2"/>
          <w:szCs w:val="21"/>
        </w:rPr>
        <w:t>批准临床研究计划，相关公告机构应确保制造商得出的结论是有效的。</w:t>
      </w:r>
    </w:p>
    <w:p w14:paraId="6D679044">
      <w:pPr>
        <w:pStyle w:val="8"/>
        <w:topLinePunct/>
        <w:snapToGrid w:val="0"/>
        <w:spacing w:beforeLines="25" w:line="300" w:lineRule="auto"/>
        <w:ind w:left="823" w:firstLine="0"/>
        <w:jc w:val="both"/>
        <w:rPr>
          <w:kern w:val="2"/>
          <w:szCs w:val="21"/>
        </w:rPr>
      </w:pPr>
      <w:r>
        <w:rPr>
          <w:kern w:val="2"/>
          <w:szCs w:val="21"/>
        </w:rPr>
        <w:t>公告机构应确保临床评价充分说明了附录I规定的相关安全与性能要求，这与按照附录XIV执行的风险管理、要求应适当一致，还应确保其适当反映在器械提供的信息中。</w:t>
      </w:r>
    </w:p>
    <w:p w14:paraId="621F92E0">
      <w:pPr>
        <w:pStyle w:val="32"/>
        <w:tabs>
          <w:tab w:val="left" w:pos="824"/>
        </w:tabs>
        <w:topLinePunct/>
        <w:snapToGrid w:val="0"/>
        <w:spacing w:beforeLines="25" w:line="300" w:lineRule="auto"/>
        <w:ind w:left="113"/>
        <w:jc w:val="both"/>
        <w:rPr>
          <w:rFonts w:ascii="Times New Roman" w:hAnsi="Times New Roman"/>
          <w:kern w:val="2"/>
          <w:szCs w:val="21"/>
        </w:rPr>
      </w:pPr>
      <w:r>
        <w:rPr>
          <w:rFonts w:ascii="Times New Roman" w:hAnsi="Times New Roman"/>
          <w:kern w:val="2"/>
          <w:szCs w:val="21"/>
        </w:rPr>
        <w:t>4.5.6</w:t>
      </w:r>
      <w:r>
        <w:rPr>
          <w:rFonts w:ascii="Times New Roman" w:hAnsi="Times New Roman"/>
          <w:kern w:val="2"/>
          <w:szCs w:val="21"/>
        </w:rPr>
        <w:tab/>
      </w:r>
      <w:r>
        <w:rPr>
          <w:rFonts w:hint="eastAsia" w:ascii="Times New Roman" w:hAnsi="Times New Roman"/>
          <w:kern w:val="2"/>
          <w:szCs w:val="21"/>
        </w:rPr>
        <w:t>“特殊流程”</w:t>
      </w:r>
    </w:p>
    <w:p w14:paraId="4920E4C5">
      <w:pPr>
        <w:pStyle w:val="8"/>
        <w:topLinePunct/>
        <w:snapToGrid w:val="0"/>
        <w:spacing w:beforeLines="25" w:line="300" w:lineRule="auto"/>
        <w:ind w:left="823" w:firstLine="0"/>
        <w:jc w:val="both"/>
        <w:rPr>
          <w:kern w:val="2"/>
          <w:szCs w:val="21"/>
        </w:rPr>
      </w:pPr>
      <w:r>
        <w:rPr>
          <w:rFonts w:hint="eastAsia"/>
          <w:kern w:val="2"/>
          <w:szCs w:val="21"/>
        </w:rPr>
        <w:t>针对</w:t>
      </w:r>
      <w:r>
        <w:rPr>
          <w:kern w:val="2"/>
          <w:szCs w:val="21"/>
        </w:rPr>
        <w:t>附录IX的第5和6节，附录X的第6节和附录XI的第16节</w:t>
      </w:r>
      <w:r>
        <w:rPr>
          <w:rFonts w:hint="eastAsia"/>
          <w:kern w:val="2"/>
          <w:szCs w:val="21"/>
        </w:rPr>
        <w:t>委任给公告机构的流程</w:t>
      </w:r>
      <w:r>
        <w:rPr>
          <w:kern w:val="2"/>
          <w:szCs w:val="21"/>
        </w:rPr>
        <w:t>，公告机构应有</w:t>
      </w:r>
      <w:r>
        <w:rPr>
          <w:kern w:val="2"/>
          <w:szCs w:val="21"/>
          <w:lang w:val="en-US"/>
        </w:rPr>
        <w:t>相应</w:t>
      </w:r>
      <w:r>
        <w:rPr>
          <w:kern w:val="2"/>
          <w:szCs w:val="21"/>
        </w:rPr>
        <w:t>的</w:t>
      </w:r>
      <w:r>
        <w:rPr>
          <w:kern w:val="2"/>
          <w:szCs w:val="21"/>
          <w:lang w:val="en-US"/>
        </w:rPr>
        <w:t>书面</w:t>
      </w:r>
      <w:r>
        <w:rPr>
          <w:kern w:val="2"/>
          <w:szCs w:val="21"/>
        </w:rPr>
        <w:t>程序、足够的专业知识和设施。</w:t>
      </w:r>
    </w:p>
    <w:p w14:paraId="4EEDCB6B">
      <w:pPr>
        <w:pStyle w:val="8"/>
        <w:topLinePunct/>
        <w:snapToGrid w:val="0"/>
        <w:spacing w:beforeLines="25" w:line="300" w:lineRule="auto"/>
        <w:ind w:left="823" w:firstLine="0"/>
        <w:jc w:val="both"/>
        <w:rPr>
          <w:kern w:val="2"/>
          <w:szCs w:val="21"/>
        </w:rPr>
      </w:pPr>
      <w:r>
        <w:rPr>
          <w:kern w:val="2"/>
          <w:szCs w:val="21"/>
        </w:rPr>
        <w:t>若要利用第722/2012号法规中所述的动物源组织或细胞制造的器械，如TSE易危种，公告机构应有文件程序，遵守以上法规的要求，并应编制总结评价报告，提交至有关主管机构。</w:t>
      </w:r>
    </w:p>
    <w:p w14:paraId="4B0C236A">
      <w:pPr>
        <w:pStyle w:val="4"/>
        <w:numPr>
          <w:ilvl w:val="1"/>
          <w:numId w:val="190"/>
        </w:numPr>
        <w:tabs>
          <w:tab w:val="left" w:pos="824"/>
        </w:tabs>
        <w:topLinePunct/>
        <w:snapToGrid w:val="0"/>
        <w:spacing w:beforeLines="25" w:line="300" w:lineRule="auto"/>
        <w:jc w:val="both"/>
        <w:rPr>
          <w:rFonts w:ascii="Times New Roman" w:hAnsi="Times New Roman"/>
          <w:b w:val="0"/>
          <w:bCs w:val="0"/>
          <w:kern w:val="2"/>
          <w:sz w:val="21"/>
          <w:szCs w:val="21"/>
        </w:rPr>
      </w:pPr>
      <w:r>
        <w:rPr>
          <w:rFonts w:ascii="Times New Roman" w:hAnsi="Times New Roman"/>
          <w:kern w:val="2"/>
          <w:sz w:val="21"/>
          <w:szCs w:val="21"/>
        </w:rPr>
        <w:t>报告</w:t>
      </w:r>
    </w:p>
    <w:p w14:paraId="4B28FA63">
      <w:pPr>
        <w:pStyle w:val="8"/>
        <w:topLinePunct/>
        <w:snapToGrid w:val="0"/>
        <w:spacing w:beforeLines="25" w:line="300" w:lineRule="auto"/>
        <w:ind w:left="823" w:firstLine="0"/>
        <w:jc w:val="both"/>
        <w:rPr>
          <w:kern w:val="2"/>
          <w:szCs w:val="21"/>
        </w:rPr>
      </w:pPr>
      <w:r>
        <w:rPr>
          <w:kern w:val="2"/>
          <w:szCs w:val="21"/>
        </w:rPr>
        <w:t>公告机构应：</w:t>
      </w:r>
    </w:p>
    <w:p w14:paraId="5335B350">
      <w:pPr>
        <w:pStyle w:val="32"/>
        <w:numPr>
          <w:ilvl w:val="2"/>
          <w:numId w:val="19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确保记录了法规符合性评估中的所有步骤，使得这些评估结论明确以及证明其符合本法规要求，为</w:t>
      </w:r>
      <w:r>
        <w:rPr>
          <w:rFonts w:hint="eastAsia" w:ascii="Times New Roman" w:hAnsi="Times New Roman"/>
          <w:kern w:val="2"/>
          <w:szCs w:val="21"/>
        </w:rPr>
        <w:t>未</w:t>
      </w:r>
      <w:r>
        <w:rPr>
          <w:rFonts w:ascii="Times New Roman" w:hAnsi="Times New Roman"/>
          <w:kern w:val="2"/>
          <w:szCs w:val="21"/>
        </w:rPr>
        <w:t>参与评估的人提供客观证据，如指定主管机构的工作人员，</w:t>
      </w:r>
    </w:p>
    <w:p w14:paraId="609B73CB">
      <w:pPr>
        <w:pStyle w:val="32"/>
        <w:numPr>
          <w:ilvl w:val="2"/>
          <w:numId w:val="19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确保足以提供清晰审核线索的质量管理体系审核记录可用，</w:t>
      </w:r>
    </w:p>
    <w:p w14:paraId="76A9DDAF">
      <w:pPr>
        <w:pStyle w:val="32"/>
        <w:numPr>
          <w:ilvl w:val="2"/>
          <w:numId w:val="19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在临床评估的评定报告中清楚地记录对临床评价的评估结论，</w:t>
      </w:r>
    </w:p>
    <w:p w14:paraId="0370DE8F">
      <w:pPr>
        <w:pStyle w:val="32"/>
        <w:numPr>
          <w:ilvl w:val="2"/>
          <w:numId w:val="19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对各具体项目，提供一份详细报告，</w:t>
      </w:r>
      <w:r>
        <w:rPr>
          <w:rFonts w:hint="eastAsia" w:ascii="Times New Roman" w:hAnsi="Times New Roman"/>
          <w:kern w:val="2"/>
          <w:szCs w:val="21"/>
        </w:rPr>
        <w:t>该</w:t>
      </w:r>
      <w:r>
        <w:rPr>
          <w:rFonts w:ascii="Times New Roman" w:hAnsi="Times New Roman"/>
          <w:kern w:val="2"/>
          <w:szCs w:val="21"/>
        </w:rPr>
        <w:t>报告应基于标准格式，包含MDCG决议的最少一组元素。</w:t>
      </w:r>
    </w:p>
    <w:p w14:paraId="07A5CC2E">
      <w:pPr>
        <w:pStyle w:val="8"/>
        <w:topLinePunct/>
        <w:snapToGrid w:val="0"/>
        <w:spacing w:beforeLines="40" w:line="300" w:lineRule="auto"/>
        <w:ind w:left="823" w:firstLine="0"/>
        <w:jc w:val="both"/>
        <w:rPr>
          <w:kern w:val="2"/>
          <w:szCs w:val="21"/>
        </w:rPr>
      </w:pPr>
      <w:r>
        <w:rPr>
          <w:kern w:val="2"/>
          <w:szCs w:val="21"/>
        </w:rPr>
        <w:br w:type="page"/>
      </w:r>
      <w:r>
        <w:rPr>
          <w:kern w:val="2"/>
          <w:szCs w:val="21"/>
        </w:rPr>
        <w:t>公告机构报告应：</w:t>
      </w:r>
    </w:p>
    <w:p w14:paraId="5B88DE0F">
      <w:pPr>
        <w:pStyle w:val="32"/>
        <w:numPr>
          <w:ilvl w:val="2"/>
          <w:numId w:val="190"/>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清楚地记录其评估结果，对制造商是否符合本法规要求给出明确结论，</w:t>
      </w:r>
    </w:p>
    <w:p w14:paraId="5466D54E">
      <w:pPr>
        <w:pStyle w:val="32"/>
        <w:numPr>
          <w:ilvl w:val="2"/>
          <w:numId w:val="190"/>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公告机构给出最终审查建议和最终决议；</w:t>
      </w:r>
      <w:r>
        <w:rPr>
          <w:rFonts w:hint="eastAsia" w:ascii="Times New Roman" w:hAnsi="Times New Roman"/>
          <w:kern w:val="2"/>
          <w:szCs w:val="21"/>
        </w:rPr>
        <w:t>此</w:t>
      </w:r>
      <w:r>
        <w:rPr>
          <w:rFonts w:ascii="Times New Roman" w:hAnsi="Times New Roman"/>
          <w:kern w:val="2"/>
          <w:szCs w:val="21"/>
        </w:rPr>
        <w:t>建议应由公告机构的负责人明确签字，</w:t>
      </w:r>
    </w:p>
    <w:p w14:paraId="1F9447DE">
      <w:pPr>
        <w:pStyle w:val="32"/>
        <w:numPr>
          <w:ilvl w:val="2"/>
          <w:numId w:val="190"/>
        </w:numPr>
        <w:tabs>
          <w:tab w:val="left" w:pos="1248"/>
        </w:tabs>
        <w:topLinePunct/>
        <w:snapToGrid w:val="0"/>
        <w:spacing w:beforeLines="40" w:line="300" w:lineRule="auto"/>
        <w:jc w:val="both"/>
        <w:rPr>
          <w:rFonts w:ascii="Times New Roman" w:hAnsi="Times New Roman"/>
          <w:kern w:val="2"/>
          <w:szCs w:val="21"/>
        </w:rPr>
      </w:pPr>
      <w:r>
        <w:rPr>
          <w:rFonts w:ascii="Times New Roman" w:hAnsi="Times New Roman"/>
          <w:kern w:val="2"/>
          <w:szCs w:val="21"/>
        </w:rPr>
        <w:t>提供给相关制造商。</w:t>
      </w:r>
    </w:p>
    <w:p w14:paraId="1C165690">
      <w:pPr>
        <w:pStyle w:val="4"/>
        <w:numPr>
          <w:ilvl w:val="1"/>
          <w:numId w:val="190"/>
        </w:numPr>
        <w:tabs>
          <w:tab w:val="left" w:pos="824"/>
        </w:tabs>
        <w:topLinePunct/>
        <w:snapToGrid w:val="0"/>
        <w:spacing w:beforeLines="40" w:line="300" w:lineRule="auto"/>
        <w:ind w:hanging="709"/>
        <w:jc w:val="both"/>
        <w:rPr>
          <w:rFonts w:ascii="Times New Roman" w:hAnsi="Times New Roman"/>
          <w:b w:val="0"/>
          <w:bCs w:val="0"/>
          <w:kern w:val="2"/>
          <w:sz w:val="21"/>
          <w:szCs w:val="21"/>
        </w:rPr>
      </w:pPr>
      <w:r>
        <w:rPr>
          <w:rFonts w:ascii="Times New Roman" w:hAnsi="Times New Roman"/>
          <w:kern w:val="2"/>
          <w:sz w:val="21"/>
          <w:szCs w:val="21"/>
        </w:rPr>
        <w:t>最终审查</w:t>
      </w:r>
    </w:p>
    <w:p w14:paraId="1A2222EC">
      <w:pPr>
        <w:pStyle w:val="8"/>
        <w:topLinePunct/>
        <w:snapToGrid w:val="0"/>
        <w:spacing w:beforeLines="40" w:line="300" w:lineRule="auto"/>
        <w:ind w:left="823" w:firstLine="0"/>
        <w:jc w:val="both"/>
        <w:rPr>
          <w:kern w:val="2"/>
          <w:szCs w:val="21"/>
        </w:rPr>
      </w:pPr>
      <w:r>
        <w:rPr>
          <w:kern w:val="2"/>
          <w:szCs w:val="21"/>
        </w:rPr>
        <w:t>在做出最后决定之前，公告机构应确保：</w:t>
      </w:r>
    </w:p>
    <w:p w14:paraId="6367BF2E">
      <w:pPr>
        <w:pStyle w:val="32"/>
        <w:numPr>
          <w:ilvl w:val="2"/>
          <w:numId w:val="190"/>
        </w:numPr>
        <w:tabs>
          <w:tab w:val="left" w:pos="1390"/>
        </w:tabs>
        <w:topLinePunct/>
        <w:snapToGrid w:val="0"/>
        <w:spacing w:beforeLines="40" w:line="300" w:lineRule="auto"/>
        <w:ind w:left="1389" w:hanging="566"/>
        <w:jc w:val="both"/>
        <w:rPr>
          <w:rFonts w:ascii="Times New Roman" w:hAnsi="Times New Roman"/>
          <w:kern w:val="2"/>
          <w:szCs w:val="21"/>
        </w:rPr>
      </w:pPr>
      <w:r>
        <w:rPr>
          <w:rFonts w:hint="eastAsia" w:ascii="Times New Roman" w:hAnsi="Times New Roman"/>
          <w:kern w:val="2"/>
          <w:szCs w:val="21"/>
        </w:rPr>
        <w:t>对偶</w:t>
      </w:r>
      <w:r>
        <w:rPr>
          <w:rFonts w:hint="eastAsia" w:ascii="Times New Roman" w:hAnsi="Times New Roman"/>
          <w:kern w:val="2"/>
          <w:szCs w:val="21"/>
          <w:lang w:val="en-US"/>
        </w:rPr>
        <w:t>于负责特定项目的最终审查和决定工作的人员应慎重选派，且不可与评估执行人员为同一人</w:t>
      </w:r>
      <w:r>
        <w:rPr>
          <w:rFonts w:ascii="Times New Roman" w:hAnsi="Times New Roman"/>
          <w:kern w:val="2"/>
          <w:szCs w:val="21"/>
        </w:rPr>
        <w:t>，</w:t>
      </w:r>
    </w:p>
    <w:p w14:paraId="550285D7">
      <w:pPr>
        <w:pStyle w:val="32"/>
        <w:numPr>
          <w:ilvl w:val="2"/>
          <w:numId w:val="190"/>
        </w:numPr>
        <w:tabs>
          <w:tab w:val="left" w:pos="1390"/>
        </w:tabs>
        <w:topLinePunct/>
        <w:snapToGrid w:val="0"/>
        <w:spacing w:beforeLines="40" w:line="300" w:lineRule="auto"/>
        <w:ind w:left="1389" w:hanging="566"/>
        <w:jc w:val="both"/>
        <w:rPr>
          <w:rFonts w:ascii="Times New Roman" w:hAnsi="Times New Roman"/>
          <w:kern w:val="2"/>
          <w:szCs w:val="21"/>
        </w:rPr>
      </w:pPr>
      <w:r>
        <w:rPr>
          <w:rFonts w:ascii="Times New Roman" w:hAnsi="Times New Roman"/>
          <w:kern w:val="2"/>
          <w:szCs w:val="21"/>
        </w:rPr>
        <w:t>验证</w:t>
      </w:r>
      <w:r>
        <w:rPr>
          <w:rFonts w:hint="eastAsia" w:ascii="Times New Roman" w:hAnsi="Times New Roman"/>
          <w:kern w:val="2"/>
          <w:szCs w:val="21"/>
          <w:lang w:val="en-US"/>
        </w:rPr>
        <w:t>做出决定所需的报告和支持文件，包括有关评估过程中对所申请范围内容提出的不符合项</w:t>
      </w:r>
      <w:r>
        <w:rPr>
          <w:rFonts w:hint="eastAsia" w:ascii="Times New Roman" w:hAnsi="Times New Roman"/>
          <w:kern w:val="2"/>
          <w:szCs w:val="21"/>
        </w:rPr>
        <w:t>，</w:t>
      </w:r>
    </w:p>
    <w:p w14:paraId="6E7FEDFD">
      <w:pPr>
        <w:pStyle w:val="32"/>
        <w:numPr>
          <w:ilvl w:val="2"/>
          <w:numId w:val="190"/>
        </w:numPr>
        <w:tabs>
          <w:tab w:val="left" w:pos="1390"/>
        </w:tabs>
        <w:topLinePunct/>
        <w:snapToGrid w:val="0"/>
        <w:spacing w:beforeLines="40" w:line="300" w:lineRule="auto"/>
        <w:ind w:left="1389" w:hanging="566"/>
        <w:jc w:val="both"/>
        <w:rPr>
          <w:rFonts w:ascii="Times New Roman" w:hAnsi="Times New Roman"/>
          <w:kern w:val="2"/>
          <w:szCs w:val="21"/>
        </w:rPr>
      </w:pPr>
      <w:r>
        <w:rPr>
          <w:rFonts w:hint="eastAsia" w:ascii="Times New Roman" w:hAnsi="Times New Roman"/>
          <w:kern w:val="2"/>
          <w:szCs w:val="21"/>
          <w:lang w:val="en-US"/>
        </w:rPr>
        <w:t>验证是否</w:t>
      </w:r>
      <w:r>
        <w:rPr>
          <w:rFonts w:ascii="Times New Roman" w:hAnsi="Times New Roman"/>
          <w:kern w:val="2"/>
          <w:szCs w:val="21"/>
          <w:lang w:val="en-US"/>
        </w:rPr>
        <w:t>存在任何悬而未决的、阻止欧盟证书签发的不符合项</w:t>
      </w:r>
      <w:r>
        <w:rPr>
          <w:rFonts w:ascii="Times New Roman" w:hAnsi="Times New Roman"/>
          <w:kern w:val="2"/>
          <w:szCs w:val="21"/>
        </w:rPr>
        <w:t>。</w:t>
      </w:r>
    </w:p>
    <w:p w14:paraId="6145CA1A">
      <w:pPr>
        <w:pStyle w:val="4"/>
        <w:numPr>
          <w:ilvl w:val="1"/>
          <w:numId w:val="190"/>
        </w:numPr>
        <w:tabs>
          <w:tab w:val="left" w:pos="824"/>
        </w:tabs>
        <w:topLinePunct/>
        <w:snapToGrid w:val="0"/>
        <w:spacing w:beforeLines="40" w:line="300" w:lineRule="auto"/>
        <w:ind w:hanging="709"/>
        <w:jc w:val="both"/>
        <w:rPr>
          <w:rFonts w:ascii="Times New Roman" w:hAnsi="Times New Roman"/>
          <w:b w:val="0"/>
          <w:bCs w:val="0"/>
          <w:kern w:val="2"/>
          <w:sz w:val="21"/>
          <w:szCs w:val="21"/>
        </w:rPr>
      </w:pPr>
      <w:r>
        <w:rPr>
          <w:rFonts w:ascii="Times New Roman" w:hAnsi="Times New Roman"/>
          <w:kern w:val="2"/>
          <w:sz w:val="21"/>
          <w:szCs w:val="21"/>
        </w:rPr>
        <w:t>决议和认证</w:t>
      </w:r>
    </w:p>
    <w:p w14:paraId="06EBE2ED">
      <w:pPr>
        <w:pStyle w:val="8"/>
        <w:topLinePunct/>
        <w:snapToGrid w:val="0"/>
        <w:spacing w:beforeLines="40" w:line="300" w:lineRule="auto"/>
        <w:ind w:left="964" w:firstLine="0"/>
        <w:jc w:val="both"/>
        <w:rPr>
          <w:kern w:val="2"/>
          <w:szCs w:val="21"/>
        </w:rPr>
      </w:pPr>
      <w:r>
        <w:rPr>
          <w:kern w:val="2"/>
          <w:szCs w:val="21"/>
        </w:rPr>
        <w:t>公告机构应当有关于决策的文件程序，包括签发、吊销、限制和撤销证书的责任分配。这些程序应包括根据本法规第V章规定的通知要求。这些程序应允许相关公告机构：</w:t>
      </w:r>
    </w:p>
    <w:p w14:paraId="22C03AD6">
      <w:pPr>
        <w:pStyle w:val="32"/>
        <w:numPr>
          <w:ilvl w:val="2"/>
          <w:numId w:val="190"/>
        </w:numPr>
        <w:tabs>
          <w:tab w:val="left" w:pos="1533"/>
        </w:tabs>
        <w:topLinePunct/>
        <w:snapToGrid w:val="0"/>
        <w:spacing w:beforeLines="40" w:line="300" w:lineRule="auto"/>
        <w:ind w:left="1532" w:hanging="568"/>
        <w:jc w:val="both"/>
        <w:rPr>
          <w:rFonts w:ascii="Times New Roman" w:hAnsi="Times New Roman"/>
          <w:kern w:val="2"/>
          <w:szCs w:val="21"/>
        </w:rPr>
      </w:pPr>
      <w:r>
        <w:rPr>
          <w:rFonts w:ascii="Times New Roman" w:hAnsi="Times New Roman"/>
          <w:kern w:val="2"/>
          <w:szCs w:val="21"/>
        </w:rPr>
        <w:t>基于评估文件和其他可获得的信息，判断是否满足法规要求，</w:t>
      </w:r>
    </w:p>
    <w:p w14:paraId="0507DB80">
      <w:pPr>
        <w:pStyle w:val="32"/>
        <w:numPr>
          <w:ilvl w:val="2"/>
          <w:numId w:val="190"/>
        </w:numPr>
        <w:tabs>
          <w:tab w:val="left" w:pos="1533"/>
        </w:tabs>
        <w:topLinePunct/>
        <w:snapToGrid w:val="0"/>
        <w:spacing w:beforeLines="40" w:line="300" w:lineRule="auto"/>
        <w:ind w:left="1532" w:hanging="568"/>
        <w:jc w:val="both"/>
        <w:rPr>
          <w:rFonts w:ascii="Times New Roman" w:hAnsi="Times New Roman"/>
          <w:kern w:val="2"/>
          <w:szCs w:val="21"/>
        </w:rPr>
      </w:pPr>
      <w:r>
        <w:rPr>
          <w:rFonts w:ascii="Times New Roman" w:hAnsi="Times New Roman"/>
          <w:kern w:val="2"/>
          <w:szCs w:val="21"/>
        </w:rPr>
        <w:t>基于其对临床评价和风险管理的评估结果，判断PMS计划（包括PMCF）是否充分，</w:t>
      </w:r>
    </w:p>
    <w:p w14:paraId="70A3F055">
      <w:pPr>
        <w:pStyle w:val="32"/>
        <w:numPr>
          <w:ilvl w:val="2"/>
          <w:numId w:val="190"/>
        </w:numPr>
        <w:tabs>
          <w:tab w:val="left" w:pos="1533"/>
        </w:tabs>
        <w:topLinePunct/>
        <w:snapToGrid w:val="0"/>
        <w:spacing w:beforeLines="40" w:line="300" w:lineRule="auto"/>
        <w:ind w:left="1532" w:hanging="568"/>
        <w:jc w:val="both"/>
        <w:rPr>
          <w:rFonts w:ascii="Times New Roman" w:hAnsi="Times New Roman"/>
          <w:kern w:val="2"/>
          <w:szCs w:val="21"/>
        </w:rPr>
      </w:pPr>
      <w:r>
        <w:rPr>
          <w:rFonts w:ascii="Times New Roman" w:hAnsi="Times New Roman"/>
          <w:kern w:val="2"/>
          <w:szCs w:val="21"/>
        </w:rPr>
        <w:t>判断是否满足具体的里程碑要求，以供公告机构对最新临床评价进一步审查，</w:t>
      </w:r>
    </w:p>
    <w:p w14:paraId="5D4584DD">
      <w:pPr>
        <w:pStyle w:val="32"/>
        <w:numPr>
          <w:ilvl w:val="2"/>
          <w:numId w:val="190"/>
        </w:numPr>
        <w:tabs>
          <w:tab w:val="left" w:pos="1533"/>
        </w:tabs>
        <w:topLinePunct/>
        <w:snapToGrid w:val="0"/>
        <w:spacing w:beforeLines="40" w:line="300" w:lineRule="auto"/>
        <w:ind w:left="1532" w:hanging="568"/>
        <w:jc w:val="both"/>
        <w:rPr>
          <w:rFonts w:ascii="Times New Roman" w:hAnsi="Times New Roman"/>
          <w:kern w:val="2"/>
          <w:szCs w:val="21"/>
        </w:rPr>
      </w:pPr>
      <w:r>
        <w:rPr>
          <w:rFonts w:ascii="Times New Roman" w:hAnsi="Times New Roman"/>
          <w:kern w:val="2"/>
          <w:szCs w:val="21"/>
        </w:rPr>
        <w:t>判断是否需要定义特定的条件或条款，</w:t>
      </w:r>
    </w:p>
    <w:p w14:paraId="5D7E5D39">
      <w:pPr>
        <w:pStyle w:val="32"/>
        <w:numPr>
          <w:ilvl w:val="2"/>
          <w:numId w:val="190"/>
        </w:numPr>
        <w:tabs>
          <w:tab w:val="left" w:pos="1533"/>
        </w:tabs>
        <w:topLinePunct/>
        <w:snapToGrid w:val="0"/>
        <w:spacing w:beforeLines="40" w:line="300" w:lineRule="auto"/>
        <w:ind w:left="1532" w:hanging="568"/>
        <w:jc w:val="both"/>
        <w:rPr>
          <w:rFonts w:ascii="Times New Roman" w:hAnsi="Times New Roman"/>
          <w:kern w:val="2"/>
          <w:szCs w:val="21"/>
        </w:rPr>
      </w:pPr>
      <w:r>
        <w:rPr>
          <w:rFonts w:ascii="Times New Roman" w:hAnsi="Times New Roman"/>
          <w:kern w:val="2"/>
          <w:szCs w:val="21"/>
        </w:rPr>
        <w:t>基于新颖性、风险分级、临床评价和器械风险分析的结果，决议一个不超过五年的认证周期，</w:t>
      </w:r>
    </w:p>
    <w:p w14:paraId="51CE65AD">
      <w:pPr>
        <w:pStyle w:val="32"/>
        <w:numPr>
          <w:ilvl w:val="2"/>
          <w:numId w:val="190"/>
        </w:numPr>
        <w:tabs>
          <w:tab w:val="left" w:pos="1533"/>
        </w:tabs>
        <w:topLinePunct/>
        <w:snapToGrid w:val="0"/>
        <w:spacing w:beforeLines="40" w:line="300" w:lineRule="auto"/>
        <w:ind w:left="1532" w:hanging="568"/>
        <w:jc w:val="both"/>
        <w:rPr>
          <w:rFonts w:ascii="Times New Roman" w:hAnsi="Times New Roman"/>
          <w:kern w:val="2"/>
          <w:szCs w:val="21"/>
        </w:rPr>
      </w:pPr>
      <w:r>
        <w:rPr>
          <w:rFonts w:ascii="Times New Roman" w:hAnsi="Times New Roman"/>
          <w:kern w:val="2"/>
          <w:szCs w:val="21"/>
        </w:rPr>
        <w:t>清楚地记录决议和审批的步骤，包括相关负责人员的签字批准，</w:t>
      </w:r>
    </w:p>
    <w:p w14:paraId="1FCA4C71">
      <w:pPr>
        <w:pStyle w:val="32"/>
        <w:numPr>
          <w:ilvl w:val="2"/>
          <w:numId w:val="190"/>
        </w:numPr>
        <w:tabs>
          <w:tab w:val="left" w:pos="1533"/>
        </w:tabs>
        <w:topLinePunct/>
        <w:snapToGrid w:val="0"/>
        <w:spacing w:beforeLines="40" w:line="300" w:lineRule="auto"/>
        <w:ind w:left="1532" w:hanging="568"/>
        <w:jc w:val="both"/>
        <w:rPr>
          <w:rFonts w:ascii="Times New Roman" w:hAnsi="Times New Roman"/>
          <w:kern w:val="2"/>
          <w:szCs w:val="21"/>
        </w:rPr>
      </w:pPr>
      <w:r>
        <w:rPr>
          <w:rFonts w:ascii="Times New Roman" w:hAnsi="Times New Roman"/>
          <w:kern w:val="2"/>
          <w:szCs w:val="21"/>
        </w:rPr>
        <w:t>清楚地记录决议通讯的职责和机制，特别是，若证书的最后签署者与决议者不同或不符合第3.2.7节中规定的要求，</w:t>
      </w:r>
    </w:p>
    <w:p w14:paraId="5560A3D4">
      <w:pPr>
        <w:pStyle w:val="32"/>
        <w:numPr>
          <w:ilvl w:val="2"/>
          <w:numId w:val="190"/>
        </w:numPr>
        <w:tabs>
          <w:tab w:val="left" w:pos="1533"/>
        </w:tabs>
        <w:topLinePunct/>
        <w:snapToGrid w:val="0"/>
        <w:spacing w:beforeLines="40" w:line="300" w:lineRule="auto"/>
        <w:ind w:left="1532" w:hanging="568"/>
        <w:jc w:val="both"/>
        <w:rPr>
          <w:rFonts w:ascii="Times New Roman" w:hAnsi="Times New Roman"/>
          <w:kern w:val="2"/>
          <w:szCs w:val="21"/>
        </w:rPr>
      </w:pPr>
      <w:r>
        <w:rPr>
          <w:rFonts w:ascii="Times New Roman" w:hAnsi="Times New Roman"/>
          <w:kern w:val="2"/>
          <w:szCs w:val="21"/>
        </w:rPr>
        <w:t>按照附录XII规定的最低要求签发证书，有效期不超过五年，并应说明是否有与认证相关的特定条件或限制，</w:t>
      </w:r>
    </w:p>
    <w:p w14:paraId="434B936E">
      <w:pPr>
        <w:pStyle w:val="32"/>
        <w:numPr>
          <w:ilvl w:val="2"/>
          <w:numId w:val="190"/>
        </w:numPr>
        <w:tabs>
          <w:tab w:val="left" w:pos="1533"/>
        </w:tabs>
        <w:topLinePunct/>
        <w:snapToGrid w:val="0"/>
        <w:spacing w:beforeLines="40" w:line="300" w:lineRule="auto"/>
        <w:ind w:left="1532" w:hanging="568"/>
        <w:jc w:val="both"/>
        <w:rPr>
          <w:rFonts w:ascii="Times New Roman" w:hAnsi="Times New Roman"/>
          <w:kern w:val="2"/>
          <w:szCs w:val="21"/>
        </w:rPr>
      </w:pPr>
      <w:r>
        <w:rPr>
          <w:rFonts w:ascii="Times New Roman" w:hAnsi="Times New Roman"/>
          <w:kern w:val="2"/>
          <w:szCs w:val="21"/>
        </w:rPr>
        <w:t>只为申请人颁发证书，并且不得颁发覆盖多个实体的证书，</w:t>
      </w:r>
    </w:p>
    <w:p w14:paraId="49555970">
      <w:pPr>
        <w:pStyle w:val="32"/>
        <w:numPr>
          <w:ilvl w:val="2"/>
          <w:numId w:val="190"/>
        </w:numPr>
        <w:tabs>
          <w:tab w:val="left" w:pos="1533"/>
        </w:tabs>
        <w:topLinePunct/>
        <w:snapToGrid w:val="0"/>
        <w:spacing w:beforeLines="40" w:line="300" w:lineRule="auto"/>
        <w:ind w:left="1532" w:hanging="568"/>
        <w:jc w:val="both"/>
        <w:rPr>
          <w:rFonts w:ascii="Times New Roman" w:hAnsi="Times New Roman"/>
          <w:kern w:val="2"/>
          <w:szCs w:val="21"/>
        </w:rPr>
      </w:pPr>
      <w:r>
        <w:rPr>
          <w:rFonts w:ascii="Times New Roman" w:hAnsi="Times New Roman"/>
          <w:kern w:val="2"/>
          <w:szCs w:val="21"/>
        </w:rPr>
        <w:t>确保将评估结果和最终决议通知制造商，并输入到第57条所述的电子系统。</w:t>
      </w:r>
    </w:p>
    <w:p w14:paraId="2C2B2179">
      <w:pPr>
        <w:pStyle w:val="4"/>
        <w:numPr>
          <w:ilvl w:val="1"/>
          <w:numId w:val="190"/>
        </w:numPr>
        <w:tabs>
          <w:tab w:val="left" w:pos="965"/>
        </w:tabs>
        <w:topLinePunct/>
        <w:snapToGrid w:val="0"/>
        <w:spacing w:beforeLines="25" w:line="300" w:lineRule="auto"/>
        <w:ind w:left="964" w:hanging="850"/>
        <w:jc w:val="both"/>
        <w:rPr>
          <w:rFonts w:ascii="Times New Roman" w:hAnsi="Times New Roman"/>
          <w:b w:val="0"/>
          <w:bCs w:val="0"/>
          <w:kern w:val="2"/>
          <w:sz w:val="21"/>
          <w:szCs w:val="21"/>
        </w:rPr>
      </w:pPr>
      <w:r>
        <w:rPr>
          <w:rFonts w:ascii="Times New Roman" w:hAnsi="Times New Roman"/>
          <w:kern w:val="2"/>
          <w:sz w:val="21"/>
          <w:szCs w:val="21"/>
        </w:rPr>
        <w:t>变更和修改</w:t>
      </w:r>
    </w:p>
    <w:p w14:paraId="4D40489D">
      <w:pPr>
        <w:pStyle w:val="8"/>
        <w:topLinePunct/>
        <w:snapToGrid w:val="0"/>
        <w:spacing w:beforeLines="25" w:line="300" w:lineRule="auto"/>
        <w:ind w:left="964" w:firstLine="0"/>
        <w:jc w:val="both"/>
        <w:rPr>
          <w:kern w:val="2"/>
          <w:szCs w:val="21"/>
        </w:rPr>
      </w:pPr>
      <w:r>
        <w:rPr>
          <w:kern w:val="2"/>
          <w:szCs w:val="21"/>
        </w:rPr>
        <w:t>关于信息责任和变化的评估，公告机构</w:t>
      </w:r>
      <w:r>
        <w:rPr>
          <w:rFonts w:hint="eastAsia"/>
          <w:kern w:val="2"/>
          <w:szCs w:val="21"/>
        </w:rPr>
        <w:t>与</w:t>
      </w:r>
      <w:r>
        <w:rPr>
          <w:kern w:val="2"/>
          <w:szCs w:val="21"/>
        </w:rPr>
        <w:t>制造商之间应该具有适当的书面程序和合同安排：</w:t>
      </w:r>
    </w:p>
    <w:p w14:paraId="0C4F0498">
      <w:pPr>
        <w:pStyle w:val="32"/>
        <w:numPr>
          <w:ilvl w:val="2"/>
          <w:numId w:val="190"/>
        </w:numPr>
        <w:tabs>
          <w:tab w:val="left" w:pos="1533"/>
        </w:tabs>
        <w:topLinePunct/>
        <w:snapToGrid w:val="0"/>
        <w:spacing w:beforeLines="25" w:line="300" w:lineRule="auto"/>
        <w:ind w:left="1532" w:hanging="568"/>
        <w:jc w:val="both"/>
        <w:rPr>
          <w:rFonts w:ascii="Times New Roman" w:hAnsi="Times New Roman"/>
          <w:kern w:val="2"/>
          <w:szCs w:val="21"/>
        </w:rPr>
      </w:pPr>
      <w:r>
        <w:rPr>
          <w:rFonts w:ascii="Times New Roman" w:hAnsi="Times New Roman"/>
          <w:kern w:val="2"/>
          <w:szCs w:val="21"/>
        </w:rPr>
        <w:t>经批准的质量管理体系或覆盖的产品范围，</w:t>
      </w:r>
    </w:p>
    <w:p w14:paraId="5226ABD4">
      <w:pPr>
        <w:pStyle w:val="32"/>
        <w:numPr>
          <w:ilvl w:val="2"/>
          <w:numId w:val="190"/>
        </w:numPr>
        <w:tabs>
          <w:tab w:val="left" w:pos="1533"/>
        </w:tabs>
        <w:topLinePunct/>
        <w:snapToGrid w:val="0"/>
        <w:spacing w:beforeLines="25" w:line="300" w:lineRule="auto"/>
        <w:ind w:left="1532" w:hanging="568"/>
        <w:jc w:val="both"/>
        <w:rPr>
          <w:rFonts w:ascii="Times New Roman" w:hAnsi="Times New Roman"/>
          <w:kern w:val="2"/>
          <w:szCs w:val="21"/>
        </w:rPr>
      </w:pPr>
      <w:r>
        <w:rPr>
          <w:rFonts w:ascii="Times New Roman" w:hAnsi="Times New Roman"/>
          <w:kern w:val="2"/>
          <w:szCs w:val="21"/>
        </w:rPr>
        <w:t>经批准的器械设计，</w:t>
      </w:r>
    </w:p>
    <w:p w14:paraId="732CEF3D">
      <w:pPr>
        <w:pStyle w:val="32"/>
        <w:numPr>
          <w:ilvl w:val="2"/>
          <w:numId w:val="190"/>
        </w:numPr>
        <w:tabs>
          <w:tab w:val="left" w:pos="1533"/>
        </w:tabs>
        <w:topLinePunct/>
        <w:snapToGrid w:val="0"/>
        <w:spacing w:beforeLines="25" w:line="300" w:lineRule="auto"/>
        <w:ind w:left="1532" w:hanging="568"/>
        <w:jc w:val="both"/>
        <w:rPr>
          <w:rFonts w:ascii="Times New Roman" w:hAnsi="Times New Roman"/>
          <w:kern w:val="2"/>
          <w:szCs w:val="21"/>
        </w:rPr>
      </w:pPr>
      <w:r>
        <w:rPr>
          <w:rFonts w:ascii="Times New Roman" w:hAnsi="Times New Roman"/>
          <w:kern w:val="2"/>
          <w:szCs w:val="21"/>
        </w:rPr>
        <w:t>预期器械用途或对器械提出的要求，</w:t>
      </w:r>
    </w:p>
    <w:p w14:paraId="41C3BD2E">
      <w:pPr>
        <w:pStyle w:val="32"/>
        <w:numPr>
          <w:ilvl w:val="2"/>
          <w:numId w:val="190"/>
        </w:numPr>
        <w:tabs>
          <w:tab w:val="left" w:pos="1533"/>
        </w:tabs>
        <w:topLinePunct/>
        <w:snapToGrid w:val="0"/>
        <w:spacing w:beforeLines="25" w:line="300" w:lineRule="auto"/>
        <w:ind w:left="1532" w:hanging="568"/>
        <w:jc w:val="both"/>
        <w:rPr>
          <w:rFonts w:ascii="Times New Roman" w:hAnsi="Times New Roman"/>
          <w:kern w:val="2"/>
          <w:szCs w:val="21"/>
        </w:rPr>
      </w:pPr>
      <w:r>
        <w:rPr>
          <w:rFonts w:ascii="Times New Roman" w:hAnsi="Times New Roman"/>
          <w:kern w:val="2"/>
          <w:szCs w:val="21"/>
        </w:rPr>
        <w:t>经批准的器械类型，</w:t>
      </w:r>
    </w:p>
    <w:p w14:paraId="3369B0BF">
      <w:pPr>
        <w:pStyle w:val="32"/>
        <w:numPr>
          <w:ilvl w:val="2"/>
          <w:numId w:val="190"/>
        </w:numPr>
        <w:tabs>
          <w:tab w:val="left" w:pos="1533"/>
        </w:tabs>
        <w:topLinePunct/>
        <w:snapToGrid w:val="0"/>
        <w:spacing w:beforeLines="25" w:line="300" w:lineRule="auto"/>
        <w:ind w:left="1532" w:hanging="568"/>
        <w:jc w:val="both"/>
        <w:rPr>
          <w:rFonts w:ascii="Times New Roman" w:hAnsi="Times New Roman"/>
          <w:kern w:val="2"/>
          <w:szCs w:val="21"/>
        </w:rPr>
      </w:pPr>
      <w:r>
        <w:rPr>
          <w:rFonts w:ascii="Times New Roman" w:hAnsi="Times New Roman"/>
          <w:kern w:val="2"/>
          <w:szCs w:val="21"/>
        </w:rPr>
        <w:t>纳入器械或用于制造器械的任何物质，并且根据第4.56节，受到</w:t>
      </w:r>
      <w:r>
        <w:rPr>
          <w:rFonts w:hint="eastAsia" w:ascii="Times New Roman" w:hAnsi="Times New Roman"/>
          <w:kern w:val="2"/>
          <w:szCs w:val="21"/>
        </w:rPr>
        <w:t>“</w:t>
      </w:r>
      <w:r>
        <w:rPr>
          <w:rFonts w:ascii="Times New Roman" w:hAnsi="Times New Roman"/>
          <w:kern w:val="2"/>
          <w:szCs w:val="21"/>
        </w:rPr>
        <w:t>具体程序</w:t>
      </w:r>
      <w:r>
        <w:rPr>
          <w:rFonts w:hint="eastAsia" w:ascii="Times New Roman" w:hAnsi="Times New Roman"/>
          <w:kern w:val="2"/>
          <w:szCs w:val="21"/>
        </w:rPr>
        <w:t>”</w:t>
      </w:r>
      <w:r>
        <w:rPr>
          <w:rFonts w:ascii="Times New Roman" w:hAnsi="Times New Roman"/>
          <w:kern w:val="2"/>
          <w:szCs w:val="21"/>
        </w:rPr>
        <w:t>的制约。</w:t>
      </w:r>
    </w:p>
    <w:p w14:paraId="5CC13BB7">
      <w:pPr>
        <w:pStyle w:val="8"/>
        <w:topLinePunct/>
        <w:snapToGrid w:val="0"/>
        <w:spacing w:beforeLines="25" w:line="300" w:lineRule="auto"/>
        <w:ind w:left="964" w:firstLine="0"/>
        <w:jc w:val="both"/>
        <w:rPr>
          <w:kern w:val="2"/>
          <w:szCs w:val="21"/>
        </w:rPr>
      </w:pPr>
      <w:r>
        <w:rPr>
          <w:kern w:val="2"/>
          <w:szCs w:val="21"/>
        </w:rPr>
        <w:t>第一段所述程序和合同协议应包括检查第一段所述变更的意义过程。</w:t>
      </w:r>
    </w:p>
    <w:p w14:paraId="599BB656">
      <w:pPr>
        <w:pStyle w:val="8"/>
        <w:topLinePunct/>
        <w:snapToGrid w:val="0"/>
        <w:spacing w:beforeLines="25" w:line="300" w:lineRule="auto"/>
        <w:ind w:left="964" w:firstLine="0"/>
        <w:jc w:val="both"/>
        <w:rPr>
          <w:kern w:val="2"/>
          <w:szCs w:val="21"/>
        </w:rPr>
      </w:pPr>
      <w:r>
        <w:rPr>
          <w:kern w:val="2"/>
          <w:szCs w:val="21"/>
        </w:rPr>
        <w:t>根据其书面程序，相关公告机构应：</w:t>
      </w:r>
    </w:p>
    <w:p w14:paraId="7255629A">
      <w:pPr>
        <w:pStyle w:val="32"/>
        <w:numPr>
          <w:ilvl w:val="2"/>
          <w:numId w:val="190"/>
        </w:numPr>
        <w:tabs>
          <w:tab w:val="left" w:pos="1533"/>
        </w:tabs>
        <w:topLinePunct/>
        <w:snapToGrid w:val="0"/>
        <w:spacing w:beforeLines="25" w:line="300" w:lineRule="auto"/>
        <w:ind w:left="1532" w:hanging="568"/>
        <w:jc w:val="both"/>
        <w:rPr>
          <w:rFonts w:ascii="Times New Roman" w:hAnsi="Times New Roman"/>
          <w:kern w:val="2"/>
          <w:szCs w:val="21"/>
        </w:rPr>
      </w:pPr>
      <w:r>
        <w:rPr>
          <w:rFonts w:ascii="Times New Roman" w:hAnsi="Times New Roman"/>
          <w:kern w:val="2"/>
          <w:szCs w:val="21"/>
        </w:rPr>
        <w:t>确保制造商在批准计划之前，第一段所述变更提交计划以及与此类变更相关的信息，</w:t>
      </w:r>
    </w:p>
    <w:p w14:paraId="096D05D8">
      <w:pPr>
        <w:pStyle w:val="32"/>
        <w:numPr>
          <w:ilvl w:val="2"/>
          <w:numId w:val="190"/>
        </w:numPr>
        <w:tabs>
          <w:tab w:val="left" w:pos="1533"/>
        </w:tabs>
        <w:topLinePunct/>
        <w:snapToGrid w:val="0"/>
        <w:spacing w:beforeLines="25" w:line="300" w:lineRule="auto"/>
        <w:ind w:left="1532" w:hanging="568"/>
        <w:jc w:val="both"/>
        <w:rPr>
          <w:rFonts w:ascii="Times New Roman" w:hAnsi="Times New Roman"/>
          <w:kern w:val="2"/>
          <w:szCs w:val="21"/>
        </w:rPr>
      </w:pPr>
      <w:r>
        <w:rPr>
          <w:rFonts w:ascii="Times New Roman" w:hAnsi="Times New Roman"/>
          <w:kern w:val="2"/>
          <w:szCs w:val="21"/>
        </w:rPr>
        <w:t>对提议的变化进行评估，并验证做出这些变化之后，质量管理体系或器械的设计或类型是否仍符合本法规的要求，</w:t>
      </w:r>
    </w:p>
    <w:p w14:paraId="1CA00876">
      <w:pPr>
        <w:pStyle w:val="32"/>
        <w:numPr>
          <w:ilvl w:val="2"/>
          <w:numId w:val="190"/>
        </w:numPr>
        <w:tabs>
          <w:tab w:val="left" w:pos="1533"/>
        </w:tabs>
        <w:topLinePunct/>
        <w:snapToGrid w:val="0"/>
        <w:spacing w:beforeLines="25" w:line="300" w:lineRule="auto"/>
        <w:ind w:left="1532" w:hanging="568"/>
        <w:jc w:val="both"/>
        <w:rPr>
          <w:rFonts w:ascii="Times New Roman" w:hAnsi="Times New Roman"/>
          <w:kern w:val="2"/>
          <w:szCs w:val="21"/>
        </w:rPr>
      </w:pPr>
      <w:r>
        <w:rPr>
          <w:rFonts w:ascii="Times New Roman" w:hAnsi="Times New Roman"/>
          <w:kern w:val="2"/>
          <w:szCs w:val="21"/>
        </w:rPr>
        <w:t>将其决议通知制造商并提供一份报告或补充报告（视情况而定），其中应包含其评估/审核的合理结论。</w:t>
      </w:r>
    </w:p>
    <w:p w14:paraId="15622BDC">
      <w:pPr>
        <w:pStyle w:val="4"/>
        <w:numPr>
          <w:ilvl w:val="1"/>
          <w:numId w:val="190"/>
        </w:numPr>
        <w:tabs>
          <w:tab w:val="left" w:pos="682"/>
        </w:tabs>
        <w:topLinePunct/>
        <w:snapToGrid w:val="0"/>
        <w:spacing w:beforeLines="25" w:line="300" w:lineRule="auto"/>
        <w:ind w:left="681" w:hanging="567"/>
        <w:jc w:val="both"/>
        <w:rPr>
          <w:rFonts w:ascii="Times New Roman" w:hAnsi="Times New Roman"/>
          <w:b w:val="0"/>
          <w:bCs w:val="0"/>
          <w:kern w:val="2"/>
          <w:sz w:val="21"/>
          <w:szCs w:val="21"/>
        </w:rPr>
      </w:pPr>
      <w:r>
        <w:rPr>
          <w:rFonts w:ascii="Times New Roman" w:hAnsi="Times New Roman"/>
          <w:kern w:val="2"/>
          <w:sz w:val="21"/>
          <w:szCs w:val="21"/>
        </w:rPr>
        <w:t>监管活动和认证后监控</w:t>
      </w:r>
    </w:p>
    <w:p w14:paraId="7D8F4006">
      <w:pPr>
        <w:pStyle w:val="8"/>
        <w:topLinePunct/>
        <w:snapToGrid w:val="0"/>
        <w:spacing w:beforeLines="25" w:line="300" w:lineRule="auto"/>
        <w:ind w:firstLine="0"/>
        <w:jc w:val="both"/>
        <w:rPr>
          <w:kern w:val="2"/>
          <w:szCs w:val="21"/>
        </w:rPr>
      </w:pPr>
      <w:r>
        <w:rPr>
          <w:kern w:val="2"/>
          <w:szCs w:val="21"/>
        </w:rPr>
        <w:t>公告机构应具有书面程序：</w:t>
      </w:r>
    </w:p>
    <w:p w14:paraId="6EE9E409">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确定制造商如何以及何时执行监管活动。这些程序应包括，对制造商以及实时的分包商和供应商，进行突击现场审核，实时产品测试，并监控制造商的任何条件是否符合相关的认证决议，例如，在特定的时间间隔，临床数据的更新，</w:t>
      </w:r>
    </w:p>
    <w:p w14:paraId="24556B86">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用于筛选相关来源的科学和临床数据，及其型号范围内相关的上市后信息。在规划和开展监管活动时，应考虑此类信息，</w:t>
      </w:r>
    </w:p>
    <w:p w14:paraId="6CB76D04">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根据第92（2）条审查可获取的警戒数据，以便估计其对现有证书有效性的影响（如有）。评估的结果和</w:t>
      </w:r>
      <w:r>
        <w:rPr>
          <w:rFonts w:hint="eastAsia" w:ascii="Times New Roman" w:hAnsi="Times New Roman"/>
          <w:kern w:val="2"/>
          <w:szCs w:val="21"/>
        </w:rPr>
        <w:t>做出</w:t>
      </w:r>
      <w:r>
        <w:rPr>
          <w:rFonts w:ascii="Times New Roman" w:hAnsi="Times New Roman"/>
          <w:kern w:val="2"/>
          <w:szCs w:val="21"/>
        </w:rPr>
        <w:t>的任何决议，应全面记录。</w:t>
      </w:r>
    </w:p>
    <w:p w14:paraId="6D40E5D3">
      <w:pPr>
        <w:pStyle w:val="8"/>
        <w:topLinePunct/>
        <w:snapToGrid w:val="0"/>
        <w:spacing w:beforeLines="25" w:line="300" w:lineRule="auto"/>
        <w:ind w:firstLine="0"/>
        <w:jc w:val="both"/>
        <w:rPr>
          <w:kern w:val="2"/>
          <w:szCs w:val="21"/>
        </w:rPr>
      </w:pPr>
      <w:r>
        <w:rPr>
          <w:kern w:val="2"/>
          <w:szCs w:val="21"/>
        </w:rPr>
        <w:t>相关公告机构收到来自制造商或主管机构的警戒案件信息之后，应对以下应用选项做出决议：</w:t>
      </w:r>
    </w:p>
    <w:p w14:paraId="5F6375A8">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无需采取行动，因为警戒案件与授权认证</w:t>
      </w:r>
      <w:r>
        <w:rPr>
          <w:rFonts w:hint="eastAsia" w:ascii="Times New Roman" w:hAnsi="Times New Roman"/>
          <w:kern w:val="2"/>
          <w:szCs w:val="21"/>
        </w:rPr>
        <w:t>无清晰关联</w:t>
      </w:r>
      <w:r>
        <w:rPr>
          <w:rFonts w:ascii="Times New Roman" w:hAnsi="Times New Roman"/>
          <w:kern w:val="2"/>
          <w:szCs w:val="21"/>
        </w:rPr>
        <w:t>，</w:t>
      </w:r>
    </w:p>
    <w:p w14:paraId="0693715F">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观察制造商和主管机构活动，制造商研究结果以便确定授权认证是否遭受威胁或是否已执行适当的纠正措施，</w:t>
      </w:r>
    </w:p>
    <w:p w14:paraId="1BA68FEB">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执行特殊监管措施，例如文件审查、临时通知或突击的审核、产品测试，以确定授权的认证是否遭受威胁，</w:t>
      </w:r>
    </w:p>
    <w:p w14:paraId="3110AC72">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加大监管审核的频率，</w:t>
      </w:r>
    </w:p>
    <w:p w14:paraId="3BEE6611">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在对制造商的下一次审核中，审查特定产品或工艺，或</w:t>
      </w:r>
    </w:p>
    <w:p w14:paraId="2612E1F3">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采取任何其他相关的措施。</w:t>
      </w:r>
    </w:p>
    <w:p w14:paraId="2708A4DA">
      <w:pPr>
        <w:pStyle w:val="8"/>
        <w:topLinePunct/>
        <w:snapToGrid w:val="0"/>
        <w:spacing w:beforeLines="25" w:line="300" w:lineRule="auto"/>
        <w:ind w:firstLine="0"/>
        <w:jc w:val="both"/>
        <w:rPr>
          <w:kern w:val="2"/>
          <w:szCs w:val="21"/>
        </w:rPr>
      </w:pPr>
      <w:r>
        <w:rPr>
          <w:kern w:val="2"/>
          <w:szCs w:val="21"/>
        </w:rPr>
        <w:t>关于制造商的监管审核，公告机构应具有书面程序：</w:t>
      </w:r>
    </w:p>
    <w:p w14:paraId="27DD045D">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对制造商的监管审核至少每年进行一次，并且其规划和实施应符合第4.5节中的相关要求，</w:t>
      </w:r>
    </w:p>
    <w:p w14:paraId="05179117">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确保充分地评估制造商的文件和应用，包括警戒规定和上市后监管和PMCF，</w:t>
      </w:r>
    </w:p>
    <w:p w14:paraId="39644C9A">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在审计期间，根据预定义的采样标准和测试程序，采样并测试器械和技术文件，以确保制造商持续采用经批准的质量管理体系，</w:t>
      </w:r>
    </w:p>
    <w:p w14:paraId="700F8DA7">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确保制造商符合本法规中相关附录所规定的文件和信息责任，并且其程序考虑到推行质量管理体系的最佳规程，</w:t>
      </w:r>
    </w:p>
    <w:p w14:paraId="7A5275D8">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确保制造商以正确的方式使用质量管理体系或器械审批，</w:t>
      </w:r>
    </w:p>
    <w:p w14:paraId="3476368B">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收集足够多的信息，以确定质量管理体系是否持续符合本法规的要求，</w:t>
      </w:r>
    </w:p>
    <w:p w14:paraId="7502E634">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若检测到不符合性，应要求制造商进行整改，当预防性措施可用时，采取纠正措施，并且</w:t>
      </w:r>
    </w:p>
    <w:p w14:paraId="59252EBC">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必要时，对相关证书施加特别的限制或中止或撤销它。</w:t>
      </w:r>
    </w:p>
    <w:p w14:paraId="2FE6BCDD">
      <w:pPr>
        <w:pStyle w:val="8"/>
        <w:topLinePunct/>
        <w:snapToGrid w:val="0"/>
        <w:spacing w:beforeLines="25" w:line="300" w:lineRule="auto"/>
        <w:ind w:firstLine="0"/>
        <w:jc w:val="both"/>
        <w:rPr>
          <w:kern w:val="2"/>
          <w:szCs w:val="21"/>
        </w:rPr>
      </w:pPr>
      <w:r>
        <w:rPr>
          <w:kern w:val="2"/>
          <w:szCs w:val="21"/>
        </w:rPr>
        <w:t>若归类为认证的条件之一，该公告机构应：</w:t>
      </w:r>
    </w:p>
    <w:p w14:paraId="634F8CE5">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基于上市后监管、PMC和有关器械治疗和类似器械的临床文献，开展制造商最新临床评价的深入审查，</w:t>
      </w:r>
    </w:p>
    <w:p w14:paraId="6D67B32E">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清楚地记录本次深度审查的结果，并解决制造商的任何具体问题或施加任何具体情况，</w:t>
      </w:r>
    </w:p>
    <w:p w14:paraId="41824FE5">
      <w:pPr>
        <w:pStyle w:val="32"/>
        <w:numPr>
          <w:ilvl w:val="2"/>
          <w:numId w:val="190"/>
        </w:numPr>
        <w:tabs>
          <w:tab w:val="left" w:pos="1248"/>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确保最新的临床评价适当地反映在使用说明及安全与性能数据总结中。</w:t>
      </w:r>
    </w:p>
    <w:p w14:paraId="13D8D8D9">
      <w:pPr>
        <w:pStyle w:val="4"/>
        <w:numPr>
          <w:ilvl w:val="1"/>
          <w:numId w:val="191"/>
        </w:numPr>
        <w:tabs>
          <w:tab w:val="left" w:pos="682"/>
        </w:tabs>
        <w:topLinePunct/>
        <w:snapToGrid w:val="0"/>
        <w:spacing w:beforeLines="25" w:line="300" w:lineRule="auto"/>
        <w:jc w:val="both"/>
        <w:rPr>
          <w:rFonts w:ascii="Times New Roman" w:hAnsi="Times New Roman"/>
          <w:b w:val="0"/>
          <w:bCs w:val="0"/>
          <w:kern w:val="2"/>
          <w:sz w:val="21"/>
          <w:szCs w:val="21"/>
        </w:rPr>
      </w:pPr>
      <w:r>
        <w:rPr>
          <w:rFonts w:ascii="Times New Roman" w:hAnsi="Times New Roman"/>
          <w:kern w:val="2"/>
          <w:sz w:val="21"/>
          <w:szCs w:val="21"/>
        </w:rPr>
        <w:t>再认证</w:t>
      </w:r>
    </w:p>
    <w:p w14:paraId="11896538">
      <w:pPr>
        <w:pStyle w:val="8"/>
        <w:topLinePunct/>
        <w:snapToGrid w:val="0"/>
        <w:spacing w:beforeLines="25" w:line="300" w:lineRule="auto"/>
        <w:ind w:firstLine="0"/>
        <w:jc w:val="both"/>
        <w:rPr>
          <w:kern w:val="2"/>
          <w:szCs w:val="21"/>
        </w:rPr>
      </w:pPr>
      <w:r>
        <w:rPr>
          <w:kern w:val="2"/>
          <w:szCs w:val="21"/>
        </w:rPr>
        <w:t>关于再认证审查和证书的续办，公告机构应具有适当的书面程序。对批准的质量管理体系或欧盟 - 技术文件，评估证书或欧盟型式检验证书的再认证，至少应每五年进行一次。</w:t>
      </w:r>
    </w:p>
    <w:p w14:paraId="7D9F9E83">
      <w:pPr>
        <w:pStyle w:val="8"/>
        <w:topLinePunct/>
        <w:snapToGrid w:val="0"/>
        <w:spacing w:beforeLines="25" w:line="300" w:lineRule="auto"/>
        <w:ind w:firstLine="0"/>
        <w:jc w:val="both"/>
        <w:rPr>
          <w:kern w:val="2"/>
          <w:szCs w:val="21"/>
        </w:rPr>
      </w:pPr>
      <w:r>
        <w:rPr>
          <w:kern w:val="2"/>
          <w:szCs w:val="21"/>
        </w:rPr>
        <w:t>对于欧盟技术文件评估的续办证书和欧盟型式检验证书，公告机构应具有相关的书面程序，这些程序要求制造商对做出的更改提交一份总结以及该器械的科学发现，包括：</w:t>
      </w:r>
    </w:p>
    <w:p w14:paraId="4D58E828">
      <w:pPr>
        <w:pStyle w:val="32"/>
        <w:numPr>
          <w:ilvl w:val="2"/>
          <w:numId w:val="19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对原始批准器械做出的更改，包括尚未通知的更改，</w:t>
      </w:r>
    </w:p>
    <w:p w14:paraId="2D943AB3">
      <w:pPr>
        <w:pStyle w:val="32"/>
        <w:numPr>
          <w:ilvl w:val="2"/>
          <w:numId w:val="19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从上市后监管获取的经验，</w:t>
      </w:r>
    </w:p>
    <w:p w14:paraId="3C289499">
      <w:pPr>
        <w:pStyle w:val="32"/>
        <w:numPr>
          <w:ilvl w:val="2"/>
          <w:numId w:val="19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从风险管理获取的经验，</w:t>
      </w:r>
    </w:p>
    <w:p w14:paraId="7D9AC0E0">
      <w:pPr>
        <w:pStyle w:val="32"/>
        <w:numPr>
          <w:ilvl w:val="2"/>
          <w:numId w:val="19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从更新证据，使之符合附录I规定的通用安全与性能要求获取的经验，</w:t>
      </w:r>
    </w:p>
    <w:p w14:paraId="6160CB96">
      <w:pPr>
        <w:pStyle w:val="32"/>
        <w:numPr>
          <w:ilvl w:val="2"/>
          <w:numId w:val="19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临床评价审查的经验，包括任何临床研究的结果和PMCF，</w:t>
      </w:r>
    </w:p>
    <w:p w14:paraId="28105D3F">
      <w:pPr>
        <w:pStyle w:val="32"/>
        <w:numPr>
          <w:ilvl w:val="2"/>
          <w:numId w:val="19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要求、器械零部件、科学或监管环境的变化，</w:t>
      </w:r>
    </w:p>
    <w:p w14:paraId="59E921DC">
      <w:pPr>
        <w:pStyle w:val="32"/>
        <w:numPr>
          <w:ilvl w:val="2"/>
          <w:numId w:val="19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已经采用的或新（协调）标准，CS或同等文件的变化，</w:t>
      </w:r>
    </w:p>
    <w:p w14:paraId="2FE2BB66">
      <w:pPr>
        <w:pStyle w:val="32"/>
        <w:numPr>
          <w:ilvl w:val="2"/>
          <w:numId w:val="19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医疗、科学和技术知识的变化，例如：</w:t>
      </w:r>
    </w:p>
    <w:p w14:paraId="089D2B5E">
      <w:pPr>
        <w:pStyle w:val="8"/>
        <w:numPr>
          <w:ilvl w:val="4"/>
          <w:numId w:val="192"/>
        </w:numPr>
        <w:tabs>
          <w:tab w:val="left" w:pos="1815"/>
        </w:tabs>
        <w:topLinePunct/>
        <w:snapToGrid w:val="0"/>
        <w:spacing w:beforeLines="25" w:line="300" w:lineRule="auto"/>
        <w:ind w:hanging="840"/>
        <w:jc w:val="both"/>
        <w:rPr>
          <w:kern w:val="2"/>
          <w:szCs w:val="21"/>
        </w:rPr>
      </w:pPr>
      <w:r>
        <w:rPr>
          <w:kern w:val="2"/>
          <w:szCs w:val="21"/>
        </w:rPr>
        <w:t>新疗法，</w:t>
      </w:r>
    </w:p>
    <w:p w14:paraId="0A37E0B7">
      <w:pPr>
        <w:pStyle w:val="8"/>
        <w:numPr>
          <w:ilvl w:val="4"/>
          <w:numId w:val="192"/>
        </w:numPr>
        <w:tabs>
          <w:tab w:val="left" w:pos="1815"/>
        </w:tabs>
        <w:topLinePunct/>
        <w:snapToGrid w:val="0"/>
        <w:spacing w:beforeLines="25" w:line="300" w:lineRule="auto"/>
        <w:ind w:hanging="840"/>
        <w:jc w:val="both"/>
        <w:rPr>
          <w:kern w:val="2"/>
          <w:szCs w:val="21"/>
        </w:rPr>
      </w:pPr>
      <w:r>
        <w:rPr>
          <w:kern w:val="2"/>
          <w:szCs w:val="21"/>
        </w:rPr>
        <w:t>测试方法的变化，</w:t>
      </w:r>
    </w:p>
    <w:p w14:paraId="42BEE491">
      <w:pPr>
        <w:pStyle w:val="8"/>
        <w:numPr>
          <w:ilvl w:val="4"/>
          <w:numId w:val="192"/>
        </w:numPr>
        <w:tabs>
          <w:tab w:val="left" w:pos="1815"/>
        </w:tabs>
        <w:topLinePunct/>
        <w:snapToGrid w:val="0"/>
        <w:spacing w:beforeLines="25" w:line="300" w:lineRule="auto"/>
        <w:ind w:hanging="840"/>
        <w:jc w:val="both"/>
        <w:rPr>
          <w:kern w:val="2"/>
          <w:szCs w:val="21"/>
        </w:rPr>
      </w:pPr>
      <w:r>
        <w:rPr>
          <w:kern w:val="2"/>
          <w:szCs w:val="21"/>
        </w:rPr>
        <w:t>材料和零部件的新科学发现，包括生物相容性，</w:t>
      </w:r>
    </w:p>
    <w:p w14:paraId="667F0301">
      <w:pPr>
        <w:pStyle w:val="8"/>
        <w:numPr>
          <w:ilvl w:val="4"/>
          <w:numId w:val="192"/>
        </w:numPr>
        <w:tabs>
          <w:tab w:val="left" w:pos="1815"/>
        </w:tabs>
        <w:topLinePunct/>
        <w:snapToGrid w:val="0"/>
        <w:spacing w:beforeLines="25" w:line="300" w:lineRule="auto"/>
        <w:ind w:hanging="840"/>
        <w:jc w:val="both"/>
        <w:rPr>
          <w:kern w:val="2"/>
          <w:szCs w:val="21"/>
        </w:rPr>
      </w:pPr>
      <w:r>
        <w:rPr>
          <w:kern w:val="2"/>
          <w:szCs w:val="21"/>
        </w:rPr>
        <w:t>从类似器械研究获取的经验，</w:t>
      </w:r>
    </w:p>
    <w:p w14:paraId="7A93F7E6">
      <w:pPr>
        <w:pStyle w:val="8"/>
        <w:numPr>
          <w:ilvl w:val="4"/>
          <w:numId w:val="192"/>
        </w:numPr>
        <w:tabs>
          <w:tab w:val="left" w:pos="1815"/>
        </w:tabs>
        <w:topLinePunct/>
        <w:snapToGrid w:val="0"/>
        <w:spacing w:beforeLines="25" w:line="300" w:lineRule="auto"/>
        <w:ind w:hanging="840"/>
        <w:jc w:val="both"/>
        <w:rPr>
          <w:kern w:val="2"/>
          <w:szCs w:val="21"/>
        </w:rPr>
      </w:pPr>
      <w:r>
        <w:rPr>
          <w:kern w:val="2"/>
          <w:szCs w:val="21"/>
        </w:rPr>
        <w:t>登记人/登记数据，</w:t>
      </w:r>
    </w:p>
    <w:p w14:paraId="6F0DED75">
      <w:pPr>
        <w:pStyle w:val="8"/>
        <w:numPr>
          <w:ilvl w:val="4"/>
          <w:numId w:val="192"/>
        </w:numPr>
        <w:tabs>
          <w:tab w:val="left" w:pos="1815"/>
        </w:tabs>
        <w:topLinePunct/>
        <w:snapToGrid w:val="0"/>
        <w:spacing w:beforeLines="25" w:line="300" w:lineRule="auto"/>
        <w:ind w:hanging="840"/>
        <w:jc w:val="both"/>
        <w:rPr>
          <w:kern w:val="2"/>
          <w:szCs w:val="21"/>
        </w:rPr>
      </w:pPr>
      <w:r>
        <w:rPr>
          <w:kern w:val="2"/>
          <w:szCs w:val="21"/>
        </w:rPr>
        <w:t>同类器械的临床研究经验。</w:t>
      </w:r>
    </w:p>
    <w:p w14:paraId="4CDE8B1D">
      <w:pPr>
        <w:pStyle w:val="8"/>
        <w:topLinePunct/>
        <w:snapToGrid w:val="0"/>
        <w:spacing w:beforeLines="25" w:line="300" w:lineRule="auto"/>
        <w:ind w:left="454" w:firstLine="0"/>
        <w:jc w:val="both"/>
        <w:rPr>
          <w:kern w:val="2"/>
          <w:szCs w:val="21"/>
        </w:rPr>
      </w:pPr>
      <w:r>
        <w:rPr>
          <w:kern w:val="2"/>
          <w:szCs w:val="21"/>
        </w:rPr>
        <w:t>公告机构应有文件程序，评估第二段所述的信息，并应特别注意自上一次认证或再认证以来的上市后监管和PMCF活动的临床数据，包括适当更新制造商的临床评价报告。</w:t>
      </w:r>
    </w:p>
    <w:p w14:paraId="24C50E35">
      <w:pPr>
        <w:pStyle w:val="8"/>
        <w:topLinePunct/>
        <w:snapToGrid w:val="0"/>
        <w:spacing w:beforeLines="25" w:line="300" w:lineRule="auto"/>
        <w:ind w:left="454" w:firstLine="0"/>
        <w:jc w:val="both"/>
        <w:rPr>
          <w:kern w:val="2"/>
          <w:szCs w:val="21"/>
        </w:rPr>
      </w:pPr>
      <w:r>
        <w:rPr>
          <w:kern w:val="2"/>
          <w:szCs w:val="21"/>
        </w:rPr>
        <w:t>对于再认证决议，相关公告机构应采用与原始证书决议相同的方法和原则。如必要，应建立独立再认证的形式，并考虑到上述步骤，例如，应用和应用审查。</w:t>
      </w:r>
    </w:p>
    <w:p w14:paraId="6C029A74">
      <w:pPr>
        <w:snapToGrid w:val="0"/>
        <w:spacing w:beforeLines="25" w:line="300" w:lineRule="auto"/>
        <w:jc w:val="center"/>
        <w:rPr>
          <w:rFonts w:ascii="Times New Roman" w:hAnsi="Times New Roman"/>
          <w:szCs w:val="21"/>
        </w:rPr>
      </w:pPr>
      <w:r>
        <w:rPr>
          <w:rFonts w:hint="eastAsia" w:ascii="Times New Roman" w:hAnsi="Times New Roman"/>
          <w:szCs w:val="21"/>
        </w:rPr>
        <w:t>________________</w:t>
      </w:r>
    </w:p>
    <w:p w14:paraId="7951BAAC">
      <w:pPr>
        <w:pStyle w:val="2"/>
        <w:spacing w:beforeLines="15" w:line="300" w:lineRule="auto"/>
        <w:rPr>
          <w:sz w:val="24"/>
          <w:szCs w:val="24"/>
        </w:rPr>
      </w:pPr>
      <w:bookmarkStart w:id="192" w:name="_Toc477512423"/>
      <w:r>
        <w:rPr>
          <w:sz w:val="21"/>
          <w:szCs w:val="21"/>
        </w:rPr>
        <w:br w:type="page"/>
      </w:r>
      <w:r>
        <w:rPr>
          <w:sz w:val="24"/>
          <w:szCs w:val="24"/>
        </w:rPr>
        <w:t xml:space="preserve">附录VIII  </w:t>
      </w:r>
      <w:r>
        <w:rPr>
          <w:sz w:val="24"/>
          <w:szCs w:val="24"/>
        </w:rPr>
        <w:br w:type="textWrapping"/>
      </w:r>
      <w:r>
        <w:rPr>
          <w:sz w:val="24"/>
          <w:szCs w:val="24"/>
        </w:rPr>
        <w:t>分类</w:t>
      </w:r>
      <w:r>
        <w:rPr>
          <w:rFonts w:hint="eastAsia"/>
          <w:sz w:val="24"/>
          <w:szCs w:val="24"/>
        </w:rPr>
        <w:t>规则</w:t>
      </w:r>
      <w:bookmarkEnd w:id="192"/>
    </w:p>
    <w:p w14:paraId="6D4EEBBF">
      <w:pPr>
        <w:pStyle w:val="2"/>
        <w:spacing w:beforeLines="15" w:line="300" w:lineRule="auto"/>
        <w:rPr>
          <w:bCs/>
          <w:sz w:val="24"/>
          <w:szCs w:val="24"/>
        </w:rPr>
      </w:pPr>
    </w:p>
    <w:p w14:paraId="34397B76">
      <w:pPr>
        <w:pStyle w:val="4"/>
        <w:tabs>
          <w:tab w:val="left" w:pos="682"/>
        </w:tabs>
        <w:topLinePunct/>
        <w:snapToGrid w:val="0"/>
        <w:spacing w:beforeLines="15" w:line="300" w:lineRule="auto"/>
        <w:jc w:val="center"/>
        <w:rPr>
          <w:rFonts w:ascii="Times New Roman" w:hAnsi="Times New Roman"/>
          <w:b w:val="0"/>
          <w:bCs w:val="0"/>
          <w:kern w:val="2"/>
          <w:sz w:val="21"/>
          <w:szCs w:val="21"/>
        </w:rPr>
      </w:pPr>
      <w:r>
        <w:rPr>
          <w:rFonts w:hint="eastAsia" w:ascii="Times New Roman" w:hAnsi="Times New Roman" w:eastAsia="Times New Roman"/>
          <w:kern w:val="2"/>
          <w:sz w:val="21"/>
          <w:szCs w:val="21"/>
        </w:rPr>
        <w:t>第</w:t>
      </w:r>
      <w:r>
        <w:rPr>
          <w:rFonts w:ascii="Times New Roman" w:hAnsi="Times New Roman"/>
          <w:kern w:val="2"/>
          <w:sz w:val="21"/>
          <w:szCs w:val="21"/>
        </w:rPr>
        <w:t>I</w:t>
      </w:r>
      <w:r>
        <w:rPr>
          <w:rFonts w:hint="eastAsia" w:ascii="Times New Roman" w:hAnsi="Times New Roman"/>
          <w:kern w:val="2"/>
          <w:sz w:val="21"/>
          <w:szCs w:val="21"/>
        </w:rPr>
        <w:t>章</w:t>
      </w:r>
      <w:r>
        <w:rPr>
          <w:rFonts w:hint="eastAsia" w:ascii="Times New Roman" w:hAnsi="Times New Roman"/>
          <w:kern w:val="2"/>
          <w:sz w:val="21"/>
          <w:szCs w:val="21"/>
        </w:rPr>
        <w:br w:type="textWrapping"/>
      </w:r>
      <w:r>
        <w:rPr>
          <w:rFonts w:ascii="Times New Roman" w:hAnsi="Times New Roman"/>
          <w:kern w:val="2"/>
          <w:sz w:val="21"/>
          <w:szCs w:val="21"/>
        </w:rPr>
        <w:t>分类规则的具体定义</w:t>
      </w:r>
    </w:p>
    <w:p w14:paraId="794A23D5">
      <w:pPr>
        <w:pStyle w:val="32"/>
        <w:numPr>
          <w:ilvl w:val="1"/>
          <w:numId w:val="193"/>
        </w:numPr>
        <w:tabs>
          <w:tab w:val="left" w:pos="682"/>
        </w:tabs>
        <w:topLinePunct/>
        <w:snapToGrid w:val="0"/>
        <w:spacing w:beforeLines="15" w:line="300" w:lineRule="auto"/>
        <w:ind w:hanging="567"/>
        <w:jc w:val="both"/>
        <w:rPr>
          <w:rFonts w:ascii="Times New Roman" w:hAnsi="Times New Roman"/>
          <w:kern w:val="2"/>
          <w:szCs w:val="21"/>
        </w:rPr>
      </w:pPr>
      <w:r>
        <w:rPr>
          <w:rFonts w:ascii="Times New Roman" w:hAnsi="Times New Roman"/>
          <w:b/>
          <w:kern w:val="2"/>
          <w:szCs w:val="21"/>
        </w:rPr>
        <w:t>使用持续时间</w:t>
      </w:r>
    </w:p>
    <w:p w14:paraId="14CFBE46">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短暂</w:t>
      </w:r>
      <w:r>
        <w:rPr>
          <w:rFonts w:hint="eastAsia" w:ascii="Times New Roman" w:hAnsi="Times New Roman"/>
          <w:kern w:val="2"/>
          <w:szCs w:val="21"/>
        </w:rPr>
        <w:t>”</w:t>
      </w:r>
      <w:r>
        <w:rPr>
          <w:rFonts w:ascii="Times New Roman" w:hAnsi="Times New Roman"/>
          <w:kern w:val="2"/>
          <w:szCs w:val="21"/>
        </w:rPr>
        <w:t>是指预期正常连续使用不超过60分钟。</w:t>
      </w:r>
    </w:p>
    <w:p w14:paraId="40C2FE87">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短期</w:t>
      </w:r>
      <w:r>
        <w:rPr>
          <w:rFonts w:hint="eastAsia" w:ascii="Times New Roman" w:hAnsi="Times New Roman"/>
          <w:kern w:val="2"/>
          <w:szCs w:val="21"/>
        </w:rPr>
        <w:t>”</w:t>
      </w:r>
      <w:r>
        <w:rPr>
          <w:rFonts w:ascii="Times New Roman" w:hAnsi="Times New Roman"/>
          <w:kern w:val="2"/>
          <w:szCs w:val="21"/>
        </w:rPr>
        <w:t>是指预期正常连续使用60分钟到30天之间。</w:t>
      </w:r>
    </w:p>
    <w:p w14:paraId="0DCDA8EE">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长期</w:t>
      </w:r>
      <w:r>
        <w:rPr>
          <w:rFonts w:hint="eastAsia" w:ascii="Times New Roman" w:hAnsi="Times New Roman"/>
          <w:kern w:val="2"/>
          <w:szCs w:val="21"/>
        </w:rPr>
        <w:t>”</w:t>
      </w:r>
      <w:r>
        <w:rPr>
          <w:rFonts w:ascii="Times New Roman" w:hAnsi="Times New Roman"/>
          <w:kern w:val="2"/>
          <w:szCs w:val="21"/>
        </w:rPr>
        <w:t>是指预期正常连续使用超过30天。</w:t>
      </w:r>
    </w:p>
    <w:p w14:paraId="02EDBD26">
      <w:pPr>
        <w:pStyle w:val="4"/>
        <w:numPr>
          <w:ilvl w:val="1"/>
          <w:numId w:val="193"/>
        </w:numPr>
        <w:tabs>
          <w:tab w:val="left" w:pos="682"/>
        </w:tabs>
        <w:topLinePunct/>
        <w:snapToGrid w:val="0"/>
        <w:spacing w:beforeLines="1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侵入性器械和有源器械</w:t>
      </w:r>
    </w:p>
    <w:p w14:paraId="0FEAF8D0">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身体孔口</w:t>
      </w:r>
      <w:r>
        <w:rPr>
          <w:rFonts w:hint="eastAsia" w:ascii="Times New Roman" w:hAnsi="Times New Roman"/>
          <w:kern w:val="2"/>
          <w:szCs w:val="21"/>
        </w:rPr>
        <w:t>”</w:t>
      </w:r>
      <w:r>
        <w:rPr>
          <w:rFonts w:ascii="Times New Roman" w:hAnsi="Times New Roman"/>
          <w:kern w:val="2"/>
          <w:szCs w:val="21"/>
        </w:rPr>
        <w:t>是指身体的任何天然开口，以及眼球的外表面，或者任何永久性人工开口，如造口。</w:t>
      </w:r>
    </w:p>
    <w:p w14:paraId="48725CE4">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外科侵入性器械</w:t>
      </w:r>
      <w:r>
        <w:rPr>
          <w:rFonts w:hint="eastAsia" w:ascii="Times New Roman" w:hAnsi="Times New Roman"/>
          <w:kern w:val="2"/>
          <w:szCs w:val="21"/>
        </w:rPr>
        <w:t>”</w:t>
      </w:r>
      <w:r>
        <w:rPr>
          <w:rFonts w:ascii="Times New Roman" w:hAnsi="Times New Roman"/>
          <w:kern w:val="2"/>
          <w:szCs w:val="21"/>
        </w:rPr>
        <w:t>是指</w:t>
      </w:r>
    </w:p>
    <w:p w14:paraId="4480C4C6">
      <w:pPr>
        <w:pStyle w:val="32"/>
        <w:numPr>
          <w:ilvl w:val="3"/>
          <w:numId w:val="193"/>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侵入性器械从身体表面穿透进身体，包括外科手术时通过身体孔口的粘膜穿透；</w:t>
      </w:r>
    </w:p>
    <w:p w14:paraId="2B6CE9AD">
      <w:pPr>
        <w:pStyle w:val="32"/>
        <w:numPr>
          <w:ilvl w:val="3"/>
          <w:numId w:val="193"/>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一种不通过身体孔口穿透的器械</w:t>
      </w:r>
    </w:p>
    <w:p w14:paraId="38CB48C6">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可重复使用的外科器械</w:t>
      </w:r>
      <w:r>
        <w:rPr>
          <w:rFonts w:hint="eastAsia" w:ascii="Times New Roman" w:hAnsi="Times New Roman"/>
          <w:kern w:val="2"/>
          <w:szCs w:val="21"/>
        </w:rPr>
        <w:t>”</w:t>
      </w:r>
      <w:r>
        <w:rPr>
          <w:rFonts w:ascii="Times New Roman" w:hAnsi="Times New Roman"/>
          <w:kern w:val="2"/>
          <w:szCs w:val="21"/>
        </w:rPr>
        <w:t>是指通过切割、钻、锯、刮、削、夹、收缩、剪切或类似方式用于外科使用的器械，不连接到任何有源医疗器械，制造商预期可通过适当的处理之后再次使用，如实施清洁、消毒和灭菌。</w:t>
      </w:r>
    </w:p>
    <w:p w14:paraId="136D43E7">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有源治疗器械</w:t>
      </w:r>
      <w:r>
        <w:rPr>
          <w:rFonts w:hint="eastAsia" w:ascii="Times New Roman" w:hAnsi="Times New Roman"/>
          <w:kern w:val="2"/>
          <w:szCs w:val="21"/>
        </w:rPr>
        <w:t>”</w:t>
      </w:r>
      <w:r>
        <w:rPr>
          <w:rFonts w:ascii="Times New Roman" w:hAnsi="Times New Roman"/>
          <w:kern w:val="2"/>
          <w:szCs w:val="21"/>
        </w:rPr>
        <w:t>是指任何有源器械，无论是单独使用或与其他器械联合使用，以支持、更改、替换或恢复生物学功能或结构，以期疾病、损伤或残障得到治疗或缓解。</w:t>
      </w:r>
    </w:p>
    <w:p w14:paraId="65A9917F">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用于诊断和监测的有源器械</w:t>
      </w:r>
      <w:r>
        <w:rPr>
          <w:rFonts w:hint="eastAsia" w:ascii="Times New Roman" w:hAnsi="Times New Roman"/>
          <w:kern w:val="2"/>
          <w:szCs w:val="21"/>
        </w:rPr>
        <w:t>”</w:t>
      </w:r>
      <w:r>
        <w:rPr>
          <w:rFonts w:ascii="Times New Roman" w:hAnsi="Times New Roman"/>
          <w:kern w:val="2"/>
          <w:szCs w:val="21"/>
        </w:rPr>
        <w:t>是指任何有源器械，无论是单独使用或与其他器械组合使用，用于为检测、诊断、监测或治疗生理病症、健康状况、疾病或先天畸形。</w:t>
      </w:r>
    </w:p>
    <w:p w14:paraId="6CEDC191">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bookmarkStart w:id="193" w:name="2.6._‘Central_circulatory_system’_means_"/>
      <w:bookmarkEnd w:id="193"/>
      <w:r>
        <w:rPr>
          <w:rFonts w:hint="eastAsia" w:ascii="Times New Roman" w:hAnsi="Times New Roman"/>
          <w:kern w:val="2"/>
          <w:szCs w:val="21"/>
        </w:rPr>
        <w:t>“</w:t>
      </w:r>
      <w:r>
        <w:rPr>
          <w:rFonts w:ascii="Times New Roman" w:hAnsi="Times New Roman"/>
          <w:kern w:val="2"/>
          <w:szCs w:val="21"/>
        </w:rPr>
        <w:t>中央循环系统</w:t>
      </w:r>
      <w:r>
        <w:rPr>
          <w:rFonts w:hint="eastAsia" w:ascii="Times New Roman" w:hAnsi="Times New Roman"/>
          <w:kern w:val="2"/>
          <w:szCs w:val="21"/>
        </w:rPr>
        <w:t>”</w:t>
      </w:r>
      <w:r>
        <w:rPr>
          <w:rFonts w:ascii="Times New Roman" w:hAnsi="Times New Roman"/>
          <w:kern w:val="2"/>
          <w:szCs w:val="21"/>
        </w:rPr>
        <w:t>是指以下血管：肺动脉、升主动脉、弓主动脉、动脉分岔的降主动脉、冠状动脉、颈总动脉、颈外动脉、颈内动脉、脑动脉、头臂干、心静脉、肺静脉、上腔静脉、下腔静脉。</w:t>
      </w:r>
    </w:p>
    <w:p w14:paraId="20A3E94F">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bookmarkStart w:id="194" w:name="2.7._‘Central_nervous_system’_means_the_"/>
      <w:bookmarkEnd w:id="194"/>
      <w:r>
        <w:rPr>
          <w:rFonts w:hint="eastAsia" w:ascii="Times New Roman" w:hAnsi="Times New Roman"/>
          <w:kern w:val="2"/>
          <w:szCs w:val="21"/>
        </w:rPr>
        <w:t>“</w:t>
      </w:r>
      <w:r>
        <w:rPr>
          <w:rFonts w:ascii="Times New Roman" w:hAnsi="Times New Roman"/>
          <w:kern w:val="2"/>
          <w:szCs w:val="21"/>
        </w:rPr>
        <w:t>中枢神经系统</w:t>
      </w:r>
      <w:r>
        <w:rPr>
          <w:rFonts w:hint="eastAsia" w:ascii="Times New Roman" w:hAnsi="Times New Roman"/>
          <w:kern w:val="2"/>
          <w:szCs w:val="21"/>
        </w:rPr>
        <w:t>”</w:t>
      </w:r>
      <w:r>
        <w:rPr>
          <w:rFonts w:ascii="Times New Roman" w:hAnsi="Times New Roman"/>
          <w:kern w:val="2"/>
          <w:szCs w:val="21"/>
        </w:rPr>
        <w:t>是指脑、脑膜和脊髓。</w:t>
      </w:r>
    </w:p>
    <w:p w14:paraId="4B7A9552">
      <w:pPr>
        <w:pStyle w:val="32"/>
        <w:numPr>
          <w:ilvl w:val="2"/>
          <w:numId w:val="193"/>
        </w:numPr>
        <w:tabs>
          <w:tab w:val="left" w:pos="682"/>
        </w:tabs>
        <w:topLinePunct/>
        <w:snapToGrid w:val="0"/>
        <w:spacing w:beforeLines="15" w:line="300" w:lineRule="auto"/>
        <w:ind w:hanging="567"/>
        <w:jc w:val="both"/>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损伤的皮肤或粘膜</w:t>
      </w:r>
      <w:r>
        <w:rPr>
          <w:rFonts w:hint="eastAsia" w:ascii="Times New Roman" w:hAnsi="Times New Roman"/>
          <w:kern w:val="2"/>
          <w:szCs w:val="21"/>
        </w:rPr>
        <w:t>”</w:t>
      </w:r>
      <w:r>
        <w:rPr>
          <w:rFonts w:ascii="Times New Roman" w:hAnsi="Times New Roman"/>
          <w:kern w:val="2"/>
          <w:szCs w:val="21"/>
        </w:rPr>
        <w:t>是指皮肤或粘膜呈现病理变化或带来疾病或伤口变化的区域。</w:t>
      </w:r>
    </w:p>
    <w:p w14:paraId="1FC77CBD">
      <w:pPr>
        <w:pStyle w:val="4"/>
        <w:tabs>
          <w:tab w:val="left" w:pos="682"/>
        </w:tabs>
        <w:topLinePunct/>
        <w:snapToGrid w:val="0"/>
        <w:spacing w:beforeLines="15" w:line="300" w:lineRule="auto"/>
        <w:ind w:left="0" w:firstLine="0"/>
        <w:jc w:val="center"/>
        <w:rPr>
          <w:rFonts w:ascii="Times New Roman" w:hAnsi="Times New Roman"/>
          <w:kern w:val="2"/>
          <w:sz w:val="21"/>
          <w:szCs w:val="21"/>
        </w:rPr>
      </w:pPr>
      <w:bookmarkStart w:id="195" w:name="II._IMPLEMENTING_RULES_FOR_THE_CLASSIFIC"/>
      <w:bookmarkEnd w:id="195"/>
    </w:p>
    <w:p w14:paraId="644141DD">
      <w:pPr>
        <w:pStyle w:val="4"/>
        <w:tabs>
          <w:tab w:val="left" w:pos="682"/>
        </w:tabs>
        <w:topLinePunct/>
        <w:snapToGrid w:val="0"/>
        <w:spacing w:beforeLines="15" w:line="300" w:lineRule="auto"/>
        <w:ind w:left="0" w:firstLine="0"/>
        <w:jc w:val="center"/>
        <w:rPr>
          <w:rFonts w:ascii="Times New Roman" w:hAnsi="Times New Roman"/>
          <w:b w:val="0"/>
          <w:bCs w:val="0"/>
          <w:kern w:val="2"/>
          <w:sz w:val="21"/>
          <w:szCs w:val="21"/>
        </w:rPr>
      </w:pPr>
      <w:r>
        <w:rPr>
          <w:rFonts w:ascii="Times New Roman" w:hAnsi="Times New Roman"/>
          <w:kern w:val="2"/>
          <w:sz w:val="21"/>
          <w:szCs w:val="21"/>
        </w:rPr>
        <w:t>第II章</w:t>
      </w:r>
      <w:r>
        <w:rPr>
          <w:rFonts w:hint="eastAsia" w:ascii="Times New Roman" w:hAnsi="Times New Roman"/>
          <w:kern w:val="2"/>
          <w:sz w:val="21"/>
          <w:szCs w:val="21"/>
        </w:rPr>
        <w:br w:type="textWrapping"/>
      </w:r>
      <w:r>
        <w:rPr>
          <w:rFonts w:ascii="Times New Roman" w:hAnsi="Times New Roman"/>
          <w:kern w:val="2"/>
          <w:sz w:val="21"/>
          <w:szCs w:val="21"/>
        </w:rPr>
        <w:t>实施规则</w:t>
      </w:r>
    </w:p>
    <w:p w14:paraId="52776C55">
      <w:pPr>
        <w:pStyle w:val="32"/>
        <w:tabs>
          <w:tab w:val="left" w:pos="682"/>
        </w:tabs>
        <w:topLinePunct/>
        <w:snapToGrid w:val="0"/>
        <w:spacing w:beforeLines="15" w:line="300" w:lineRule="auto"/>
        <w:ind w:left="113"/>
        <w:jc w:val="both"/>
        <w:rPr>
          <w:rFonts w:ascii="Times New Roman" w:hAnsi="Times New Roman"/>
          <w:kern w:val="2"/>
          <w:szCs w:val="21"/>
        </w:rPr>
      </w:pPr>
      <w:bookmarkStart w:id="196" w:name="1._Application_of_the_classification_rul"/>
      <w:bookmarkEnd w:id="196"/>
      <w:r>
        <w:rPr>
          <w:rFonts w:ascii="Times New Roman" w:hAnsi="Times New Roman"/>
          <w:kern w:val="2"/>
          <w:szCs w:val="21"/>
        </w:rPr>
        <w:t>3.1.</w:t>
      </w:r>
      <w:r>
        <w:rPr>
          <w:rFonts w:ascii="Times New Roman" w:hAnsi="Times New Roman"/>
          <w:kern w:val="2"/>
          <w:szCs w:val="21"/>
        </w:rPr>
        <w:tab/>
      </w:r>
      <w:r>
        <w:rPr>
          <w:rFonts w:ascii="Times New Roman" w:hAnsi="Times New Roman"/>
          <w:kern w:val="2"/>
          <w:szCs w:val="21"/>
        </w:rPr>
        <w:t>分类规则的使用应基于器械的预期目的。</w:t>
      </w:r>
    </w:p>
    <w:p w14:paraId="52A7CE53">
      <w:pPr>
        <w:pStyle w:val="32"/>
        <w:tabs>
          <w:tab w:val="left" w:pos="682"/>
        </w:tabs>
        <w:topLinePunct/>
        <w:snapToGrid w:val="0"/>
        <w:spacing w:beforeLines="15" w:line="300" w:lineRule="auto"/>
        <w:ind w:left="718" w:leftChars="60" w:hanging="592" w:hangingChars="282"/>
        <w:jc w:val="both"/>
        <w:rPr>
          <w:rFonts w:ascii="Times New Roman" w:hAnsi="Times New Roman"/>
          <w:kern w:val="2"/>
          <w:szCs w:val="21"/>
        </w:rPr>
      </w:pPr>
      <w:r>
        <w:rPr>
          <w:rFonts w:ascii="Times New Roman" w:hAnsi="Times New Roman"/>
          <w:kern w:val="2"/>
          <w:szCs w:val="21"/>
        </w:rPr>
        <w:t>3.2.</w:t>
      </w:r>
      <w:r>
        <w:rPr>
          <w:rFonts w:ascii="Times New Roman" w:hAnsi="Times New Roman"/>
          <w:kern w:val="2"/>
          <w:szCs w:val="21"/>
        </w:rPr>
        <w:tab/>
      </w:r>
      <w:r>
        <w:rPr>
          <w:rFonts w:ascii="Times New Roman" w:hAnsi="Times New Roman"/>
          <w:kern w:val="2"/>
          <w:szCs w:val="21"/>
        </w:rPr>
        <w:t>若相关器械将与其他器械共同使用，分类规则应分别适用于各器械。医疗器械和附录XVI所列产品的附件，应根据其自身因素进行分类，独立于它们所适用的器械。</w:t>
      </w:r>
    </w:p>
    <w:p w14:paraId="54626A15">
      <w:pPr>
        <w:pStyle w:val="32"/>
        <w:tabs>
          <w:tab w:val="left" w:pos="682"/>
        </w:tabs>
        <w:topLinePunct/>
        <w:snapToGrid w:val="0"/>
        <w:spacing w:beforeLines="15" w:line="300" w:lineRule="auto"/>
        <w:ind w:left="113"/>
        <w:jc w:val="both"/>
        <w:rPr>
          <w:rFonts w:ascii="Times New Roman" w:hAnsi="Times New Roman"/>
          <w:kern w:val="2"/>
          <w:szCs w:val="21"/>
        </w:rPr>
      </w:pPr>
      <w:bookmarkStart w:id="197" w:name="_bookmark46"/>
      <w:bookmarkEnd w:id="197"/>
      <w:r>
        <w:rPr>
          <w:rFonts w:ascii="Times New Roman" w:hAnsi="Times New Roman"/>
          <w:kern w:val="2"/>
          <w:szCs w:val="21"/>
        </w:rPr>
        <w:t>3.3.</w:t>
      </w:r>
      <w:r>
        <w:rPr>
          <w:rFonts w:ascii="Times New Roman" w:hAnsi="Times New Roman"/>
          <w:kern w:val="2"/>
          <w:szCs w:val="21"/>
        </w:rPr>
        <w:tab/>
      </w:r>
      <w:r>
        <w:rPr>
          <w:rFonts w:ascii="Times New Roman" w:hAnsi="Times New Roman"/>
          <w:kern w:val="2"/>
          <w:szCs w:val="21"/>
        </w:rPr>
        <w:t>驱动某一器械或影响器械使用的软件，应与该器械归为同一类别。</w:t>
      </w:r>
    </w:p>
    <w:p w14:paraId="48FD73C8">
      <w:pPr>
        <w:pStyle w:val="8"/>
        <w:topLinePunct/>
        <w:snapToGrid w:val="0"/>
        <w:spacing w:beforeLines="15" w:line="300" w:lineRule="auto"/>
        <w:ind w:firstLine="0"/>
        <w:jc w:val="both"/>
        <w:rPr>
          <w:kern w:val="2"/>
          <w:szCs w:val="21"/>
        </w:rPr>
      </w:pPr>
      <w:r>
        <w:rPr>
          <w:kern w:val="2"/>
          <w:szCs w:val="21"/>
        </w:rPr>
        <w:t>若该软件独立于任何其他器械，则应按照其本身进行分类。</w:t>
      </w:r>
    </w:p>
    <w:p w14:paraId="6667D0DD">
      <w:pPr>
        <w:pStyle w:val="32"/>
        <w:tabs>
          <w:tab w:val="left" w:pos="682"/>
        </w:tabs>
        <w:topLinePunct/>
        <w:snapToGrid w:val="0"/>
        <w:spacing w:beforeLines="15" w:line="300" w:lineRule="auto"/>
        <w:ind w:left="638" w:leftChars="54" w:hanging="525" w:hangingChars="250"/>
        <w:jc w:val="both"/>
        <w:rPr>
          <w:rFonts w:ascii="Times New Roman" w:hAnsi="Times New Roman"/>
          <w:kern w:val="2"/>
          <w:szCs w:val="21"/>
        </w:rPr>
      </w:pPr>
      <w:bookmarkStart w:id="198" w:name="4._If_the_device_is_not_intended_to_be_u"/>
      <w:bookmarkEnd w:id="198"/>
      <w:r>
        <w:rPr>
          <w:rFonts w:ascii="Times New Roman" w:hAnsi="Times New Roman"/>
          <w:kern w:val="2"/>
          <w:szCs w:val="21"/>
        </w:rPr>
        <w:t>3.4.</w:t>
      </w:r>
      <w:r>
        <w:rPr>
          <w:rFonts w:ascii="Times New Roman" w:hAnsi="Times New Roman"/>
          <w:kern w:val="2"/>
          <w:szCs w:val="21"/>
        </w:rPr>
        <w:tab/>
      </w:r>
      <w:r>
        <w:rPr>
          <w:rFonts w:ascii="Times New Roman" w:hAnsi="Times New Roman"/>
          <w:kern w:val="2"/>
          <w:szCs w:val="21"/>
        </w:rPr>
        <w:t>若该器械并不预期单独或主要作用于身体的特定部位，则它应基于其最关键的特定用途来考虑和分类。</w:t>
      </w:r>
    </w:p>
    <w:p w14:paraId="18F468C6">
      <w:pPr>
        <w:pStyle w:val="32"/>
        <w:tabs>
          <w:tab w:val="left" w:pos="682"/>
        </w:tabs>
        <w:topLinePunct/>
        <w:snapToGrid w:val="0"/>
        <w:spacing w:beforeLines="15" w:line="300" w:lineRule="auto"/>
        <w:ind w:left="638" w:leftChars="54" w:hanging="525" w:hangingChars="250"/>
        <w:jc w:val="both"/>
        <w:rPr>
          <w:rFonts w:ascii="Times New Roman" w:hAnsi="Times New Roman"/>
          <w:kern w:val="2"/>
          <w:szCs w:val="21"/>
        </w:rPr>
      </w:pPr>
      <w:bookmarkStart w:id="199" w:name="5._If_several_rules,_or_within_the_same_"/>
      <w:bookmarkEnd w:id="199"/>
      <w:r>
        <w:rPr>
          <w:rFonts w:ascii="Times New Roman" w:hAnsi="Times New Roman"/>
          <w:kern w:val="2"/>
          <w:szCs w:val="21"/>
        </w:rPr>
        <w:t>3.5</w:t>
      </w:r>
      <w:r>
        <w:rPr>
          <w:rFonts w:ascii="Times New Roman" w:hAnsi="Times New Roman"/>
          <w:kern w:val="2"/>
          <w:szCs w:val="21"/>
        </w:rPr>
        <w:tab/>
      </w:r>
      <w:r>
        <w:rPr>
          <w:rFonts w:ascii="Times New Roman" w:hAnsi="Times New Roman"/>
          <w:kern w:val="2"/>
          <w:szCs w:val="21"/>
        </w:rPr>
        <w:t>基于器械的预期目的，若多个规则</w:t>
      </w:r>
      <w:r>
        <w:rPr>
          <w:rFonts w:hint="eastAsia" w:ascii="Times New Roman" w:hAnsi="Times New Roman"/>
          <w:kern w:val="2"/>
          <w:szCs w:val="21"/>
        </w:rPr>
        <w:t>（</w:t>
      </w:r>
      <w:r>
        <w:rPr>
          <w:rFonts w:ascii="Times New Roman" w:hAnsi="Times New Roman"/>
          <w:kern w:val="2"/>
          <w:szCs w:val="21"/>
        </w:rPr>
        <w:t>或</w:t>
      </w:r>
      <w:r>
        <w:rPr>
          <w:rFonts w:hint="eastAsia" w:ascii="Times New Roman" w:hAnsi="Times New Roman"/>
          <w:kern w:val="2"/>
          <w:szCs w:val="21"/>
        </w:rPr>
        <w:t>同一</w:t>
      </w:r>
      <w:r>
        <w:rPr>
          <w:rFonts w:ascii="Times New Roman" w:hAnsi="Times New Roman"/>
          <w:kern w:val="2"/>
          <w:szCs w:val="21"/>
        </w:rPr>
        <w:t>规则的多个子规则</w:t>
      </w:r>
      <w:r>
        <w:rPr>
          <w:rFonts w:hint="eastAsia" w:ascii="Times New Roman" w:hAnsi="Times New Roman"/>
          <w:kern w:val="2"/>
          <w:szCs w:val="21"/>
          <w:lang w:val="en-US"/>
        </w:rPr>
        <w:t>）</w:t>
      </w:r>
      <w:r>
        <w:rPr>
          <w:rFonts w:ascii="Times New Roman" w:hAnsi="Times New Roman"/>
          <w:kern w:val="2"/>
          <w:szCs w:val="21"/>
        </w:rPr>
        <w:t>同时适用于同一器械，则应采用能带来更高分类等级的最严格规则和子规则。</w:t>
      </w:r>
    </w:p>
    <w:p w14:paraId="2786B0CC">
      <w:pPr>
        <w:pStyle w:val="32"/>
        <w:tabs>
          <w:tab w:val="left" w:pos="682"/>
        </w:tabs>
        <w:topLinePunct/>
        <w:snapToGrid w:val="0"/>
        <w:spacing w:beforeLines="15" w:line="300" w:lineRule="auto"/>
        <w:ind w:left="113"/>
        <w:jc w:val="both"/>
        <w:rPr>
          <w:rFonts w:ascii="Times New Roman" w:hAnsi="Times New Roman"/>
          <w:kern w:val="2"/>
          <w:szCs w:val="21"/>
        </w:rPr>
      </w:pPr>
      <w:r>
        <w:rPr>
          <w:rFonts w:ascii="Times New Roman" w:hAnsi="Times New Roman"/>
          <w:kern w:val="2"/>
          <w:szCs w:val="21"/>
        </w:rPr>
        <w:t>3.6.</w:t>
      </w:r>
      <w:r>
        <w:rPr>
          <w:rFonts w:ascii="Times New Roman" w:hAnsi="Times New Roman"/>
          <w:kern w:val="2"/>
          <w:szCs w:val="21"/>
        </w:rPr>
        <w:tab/>
      </w:r>
      <w:r>
        <w:rPr>
          <w:rFonts w:ascii="Times New Roman" w:hAnsi="Times New Roman"/>
          <w:kern w:val="2"/>
          <w:szCs w:val="21"/>
        </w:rPr>
        <w:t>依据第1节中所述的持续时间，持续使用是指：</w:t>
      </w:r>
    </w:p>
    <w:p w14:paraId="62C76165">
      <w:pPr>
        <w:pStyle w:val="32"/>
        <w:numPr>
          <w:ilvl w:val="2"/>
          <w:numId w:val="194"/>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使用相同器械的整个持续时间，而不考虑使用过程中的暂时中断，或有目的暂时移除，如器械的清洁或消毒。使用的中断或移除是否是临时性的，应根据中断使用或器械移除的这段期间之前和之后的使用持续时间来判断。</w:t>
      </w:r>
    </w:p>
    <w:p w14:paraId="47D51055">
      <w:pPr>
        <w:pStyle w:val="32"/>
        <w:numPr>
          <w:ilvl w:val="2"/>
          <w:numId w:val="194"/>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器械累积使用，即制造商预期器械使用过程中会由另一相同型号迅速替换。</w:t>
      </w:r>
    </w:p>
    <w:p w14:paraId="3480A7AF">
      <w:pPr>
        <w:pStyle w:val="32"/>
        <w:tabs>
          <w:tab w:val="left" w:pos="682"/>
        </w:tabs>
        <w:topLinePunct/>
        <w:snapToGrid w:val="0"/>
        <w:spacing w:beforeLines="15" w:line="300" w:lineRule="auto"/>
        <w:ind w:left="638" w:leftChars="54" w:hanging="525" w:hangingChars="250"/>
        <w:jc w:val="both"/>
        <w:rPr>
          <w:rFonts w:ascii="Times New Roman" w:hAnsi="Times New Roman"/>
          <w:kern w:val="2"/>
          <w:szCs w:val="21"/>
        </w:rPr>
      </w:pPr>
      <w:r>
        <w:rPr>
          <w:rFonts w:ascii="Times New Roman" w:hAnsi="Times New Roman"/>
          <w:kern w:val="2"/>
          <w:szCs w:val="21"/>
        </w:rPr>
        <w:t>3.7.</w:t>
      </w:r>
      <w:r>
        <w:rPr>
          <w:rFonts w:ascii="Times New Roman" w:hAnsi="Times New Roman"/>
          <w:kern w:val="2"/>
          <w:szCs w:val="21"/>
        </w:rPr>
        <w:tab/>
      </w:r>
      <w:r>
        <w:rPr>
          <w:rFonts w:ascii="Times New Roman" w:hAnsi="Times New Roman"/>
          <w:kern w:val="2"/>
          <w:szCs w:val="21"/>
        </w:rPr>
        <w:t>当器械本身提供相关疾病或病情的诊断时，或能够提供诊断的决议性信息时，器械可被认为允许提供直接诊断。</w:t>
      </w:r>
    </w:p>
    <w:p w14:paraId="74642495">
      <w:pPr>
        <w:pStyle w:val="4"/>
        <w:tabs>
          <w:tab w:val="left" w:pos="682"/>
        </w:tabs>
        <w:topLinePunct/>
        <w:snapToGrid w:val="0"/>
        <w:spacing w:beforeLines="15" w:line="300" w:lineRule="auto"/>
        <w:ind w:firstLine="0"/>
        <w:jc w:val="center"/>
        <w:rPr>
          <w:rFonts w:ascii="Times New Roman" w:hAnsi="Times New Roman"/>
          <w:kern w:val="2"/>
          <w:sz w:val="21"/>
          <w:szCs w:val="21"/>
        </w:rPr>
      </w:pPr>
    </w:p>
    <w:p w14:paraId="032C1F50">
      <w:pPr>
        <w:pStyle w:val="4"/>
        <w:tabs>
          <w:tab w:val="left" w:pos="682"/>
        </w:tabs>
        <w:topLinePunct/>
        <w:snapToGrid w:val="0"/>
        <w:spacing w:beforeLines="15" w:line="300" w:lineRule="auto"/>
        <w:ind w:firstLine="0"/>
        <w:jc w:val="center"/>
        <w:rPr>
          <w:rFonts w:ascii="Times New Roman" w:hAnsi="Times New Roman"/>
          <w:kern w:val="2"/>
          <w:sz w:val="21"/>
          <w:szCs w:val="21"/>
        </w:rPr>
      </w:pPr>
      <w:r>
        <w:rPr>
          <w:rFonts w:ascii="Times New Roman" w:hAnsi="Times New Roman"/>
          <w:kern w:val="2"/>
          <w:sz w:val="21"/>
          <w:szCs w:val="21"/>
        </w:rPr>
        <w:t>第III章</w:t>
      </w:r>
    </w:p>
    <w:p w14:paraId="5D276183">
      <w:pPr>
        <w:pStyle w:val="4"/>
        <w:tabs>
          <w:tab w:val="left" w:pos="682"/>
        </w:tabs>
        <w:topLinePunct/>
        <w:snapToGrid w:val="0"/>
        <w:spacing w:beforeLines="15" w:line="300" w:lineRule="auto"/>
        <w:ind w:firstLine="0"/>
        <w:jc w:val="center"/>
        <w:rPr>
          <w:rFonts w:ascii="Times New Roman" w:hAnsi="Times New Roman"/>
          <w:b w:val="0"/>
          <w:bCs w:val="0"/>
          <w:kern w:val="2"/>
          <w:sz w:val="21"/>
          <w:szCs w:val="21"/>
        </w:rPr>
      </w:pPr>
      <w:r>
        <w:rPr>
          <w:rFonts w:ascii="Times New Roman" w:hAnsi="Times New Roman"/>
          <w:kern w:val="2"/>
          <w:sz w:val="21"/>
          <w:szCs w:val="21"/>
        </w:rPr>
        <w:t>分类规划</w:t>
      </w:r>
    </w:p>
    <w:p w14:paraId="7F0611F4">
      <w:pPr>
        <w:pStyle w:val="32"/>
        <w:numPr>
          <w:ilvl w:val="1"/>
          <w:numId w:val="195"/>
        </w:numPr>
        <w:tabs>
          <w:tab w:val="left" w:pos="682"/>
        </w:tabs>
        <w:topLinePunct/>
        <w:snapToGrid w:val="0"/>
        <w:spacing w:beforeLines="15" w:line="300" w:lineRule="auto"/>
        <w:jc w:val="both"/>
        <w:rPr>
          <w:rFonts w:ascii="Times New Roman" w:hAnsi="Times New Roman"/>
          <w:kern w:val="2"/>
          <w:szCs w:val="21"/>
        </w:rPr>
      </w:pPr>
      <w:r>
        <w:rPr>
          <w:rFonts w:ascii="Times New Roman" w:hAnsi="Times New Roman"/>
          <w:b/>
          <w:kern w:val="2"/>
          <w:szCs w:val="21"/>
        </w:rPr>
        <w:t>无创器械</w:t>
      </w:r>
    </w:p>
    <w:p w14:paraId="1588E3D7">
      <w:pPr>
        <w:pStyle w:val="32"/>
        <w:tabs>
          <w:tab w:val="left" w:pos="682"/>
        </w:tabs>
        <w:topLinePunct/>
        <w:snapToGrid w:val="0"/>
        <w:spacing w:beforeLines="15" w:line="300" w:lineRule="auto"/>
        <w:ind w:left="113"/>
        <w:jc w:val="both"/>
        <w:rPr>
          <w:rFonts w:ascii="Times New Roman" w:hAnsi="Times New Roman"/>
          <w:kern w:val="2"/>
          <w:szCs w:val="21"/>
        </w:rPr>
      </w:pPr>
      <w:r>
        <w:rPr>
          <w:rFonts w:ascii="Times New Roman" w:hAnsi="Times New Roman"/>
          <w:b/>
          <w:kern w:val="2"/>
          <w:szCs w:val="21"/>
        </w:rPr>
        <w:t>4.1.</w:t>
      </w:r>
      <w:r>
        <w:rPr>
          <w:rFonts w:ascii="Times New Roman" w:hAnsi="Times New Roman"/>
          <w:b/>
          <w:kern w:val="2"/>
          <w:szCs w:val="21"/>
        </w:rPr>
        <w:tab/>
      </w:r>
      <w:r>
        <w:rPr>
          <w:rFonts w:ascii="Times New Roman" w:hAnsi="Times New Roman"/>
          <w:b/>
          <w:kern w:val="2"/>
          <w:szCs w:val="21"/>
        </w:rPr>
        <w:t>规则1</w:t>
      </w:r>
    </w:p>
    <w:p w14:paraId="2DE15057">
      <w:pPr>
        <w:pStyle w:val="8"/>
        <w:topLinePunct/>
        <w:snapToGrid w:val="0"/>
        <w:spacing w:beforeLines="15" w:line="300" w:lineRule="auto"/>
        <w:ind w:firstLine="0"/>
        <w:jc w:val="both"/>
        <w:rPr>
          <w:kern w:val="2"/>
          <w:szCs w:val="21"/>
        </w:rPr>
      </w:pPr>
      <w:r>
        <w:rPr>
          <w:kern w:val="2"/>
          <w:szCs w:val="21"/>
        </w:rPr>
        <w:t>所有非侵入性器械归类为I类，除非下文列出的某条规则适用。</w:t>
      </w:r>
    </w:p>
    <w:p w14:paraId="7E583759">
      <w:pPr>
        <w:pStyle w:val="4"/>
        <w:tabs>
          <w:tab w:val="left" w:pos="682"/>
        </w:tabs>
        <w:topLinePunct/>
        <w:snapToGrid w:val="0"/>
        <w:spacing w:beforeLines="15" w:line="300" w:lineRule="auto"/>
        <w:ind w:left="113" w:firstLine="0"/>
        <w:jc w:val="both"/>
        <w:rPr>
          <w:rFonts w:ascii="Times New Roman" w:hAnsi="Times New Roman"/>
          <w:b w:val="0"/>
          <w:bCs w:val="0"/>
          <w:kern w:val="2"/>
          <w:sz w:val="21"/>
          <w:szCs w:val="21"/>
        </w:rPr>
      </w:pPr>
      <w:r>
        <w:rPr>
          <w:rFonts w:ascii="Times New Roman" w:hAnsi="Times New Roman"/>
          <w:kern w:val="2"/>
          <w:sz w:val="21"/>
          <w:szCs w:val="21"/>
        </w:rPr>
        <w:t>4.2.</w:t>
      </w:r>
      <w:r>
        <w:rPr>
          <w:rFonts w:ascii="Times New Roman" w:hAnsi="Times New Roman"/>
          <w:kern w:val="2"/>
          <w:sz w:val="21"/>
          <w:szCs w:val="21"/>
        </w:rPr>
        <w:tab/>
      </w:r>
      <w:r>
        <w:rPr>
          <w:rFonts w:ascii="Times New Roman" w:hAnsi="Times New Roman"/>
          <w:kern w:val="2"/>
          <w:sz w:val="21"/>
          <w:szCs w:val="21"/>
        </w:rPr>
        <w:t>规则2</w:t>
      </w:r>
    </w:p>
    <w:p w14:paraId="28A01B0D">
      <w:pPr>
        <w:pStyle w:val="8"/>
        <w:topLinePunct/>
        <w:snapToGrid w:val="0"/>
        <w:spacing w:beforeLines="15" w:line="300" w:lineRule="auto"/>
        <w:ind w:firstLine="0"/>
        <w:jc w:val="both"/>
        <w:rPr>
          <w:kern w:val="2"/>
          <w:szCs w:val="21"/>
        </w:rPr>
      </w:pPr>
      <w:r>
        <w:rPr>
          <w:kern w:val="2"/>
          <w:szCs w:val="21"/>
        </w:rPr>
        <w:t>用于引导或储存血液、体液、细胞或组织、液体或气体，以便最终输注、施用或引入进入体内的所有非侵入器械归类为IIa类、IIb类或III类</w:t>
      </w:r>
      <w:r>
        <w:rPr>
          <w:rFonts w:hint="eastAsia"/>
          <w:kern w:val="2"/>
          <w:szCs w:val="21"/>
        </w:rPr>
        <w:t>有源</w:t>
      </w:r>
      <w:r>
        <w:rPr>
          <w:kern w:val="2"/>
          <w:szCs w:val="21"/>
        </w:rPr>
        <w:t>器械：</w:t>
      </w:r>
    </w:p>
    <w:p w14:paraId="6AEDBAA1">
      <w:pPr>
        <w:pStyle w:val="32"/>
        <w:numPr>
          <w:ilvl w:val="2"/>
          <w:numId w:val="196"/>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若其可连接至IIa类或更高类别的有源医疗器械，</w:t>
      </w:r>
    </w:p>
    <w:p w14:paraId="314542C3">
      <w:pPr>
        <w:pStyle w:val="32"/>
        <w:numPr>
          <w:ilvl w:val="2"/>
          <w:numId w:val="196"/>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若其用于输送或储存血液或其他体液或用于储存器官、器官的某个部分或身体细胞和组织，则归类为IIb类（血袋除外）。</w:t>
      </w:r>
    </w:p>
    <w:p w14:paraId="52DA34CC">
      <w:pPr>
        <w:pStyle w:val="8"/>
        <w:topLinePunct/>
        <w:snapToGrid w:val="0"/>
        <w:spacing w:beforeLines="15" w:line="300" w:lineRule="auto"/>
        <w:ind w:firstLine="0"/>
        <w:jc w:val="both"/>
        <w:rPr>
          <w:kern w:val="2"/>
          <w:szCs w:val="21"/>
        </w:rPr>
      </w:pPr>
      <w:r>
        <w:rPr>
          <w:kern w:val="2"/>
          <w:szCs w:val="21"/>
        </w:rPr>
        <w:t>在所有其他情形下，此类器械均归类为I类。</w:t>
      </w:r>
    </w:p>
    <w:p w14:paraId="4D62B982">
      <w:pPr>
        <w:pStyle w:val="4"/>
        <w:tabs>
          <w:tab w:val="left" w:pos="682"/>
        </w:tabs>
        <w:topLinePunct/>
        <w:snapToGrid w:val="0"/>
        <w:spacing w:beforeLines="15" w:line="300" w:lineRule="auto"/>
        <w:ind w:left="113" w:firstLine="0"/>
        <w:jc w:val="both"/>
        <w:rPr>
          <w:rFonts w:ascii="Times New Roman" w:hAnsi="Times New Roman"/>
          <w:b w:val="0"/>
          <w:bCs w:val="0"/>
          <w:kern w:val="2"/>
          <w:sz w:val="21"/>
          <w:szCs w:val="21"/>
        </w:rPr>
      </w:pPr>
      <w:r>
        <w:rPr>
          <w:rFonts w:ascii="Times New Roman" w:hAnsi="Times New Roman"/>
          <w:kern w:val="2"/>
          <w:sz w:val="21"/>
          <w:szCs w:val="21"/>
        </w:rPr>
        <w:t>4.3.</w:t>
      </w:r>
      <w:r>
        <w:rPr>
          <w:rFonts w:ascii="Times New Roman" w:hAnsi="Times New Roman"/>
          <w:kern w:val="2"/>
          <w:sz w:val="21"/>
          <w:szCs w:val="21"/>
        </w:rPr>
        <w:tab/>
      </w:r>
      <w:r>
        <w:rPr>
          <w:rFonts w:ascii="Times New Roman" w:hAnsi="Times New Roman"/>
          <w:kern w:val="2"/>
          <w:sz w:val="21"/>
          <w:szCs w:val="21"/>
        </w:rPr>
        <w:t>规则3</w:t>
      </w:r>
    </w:p>
    <w:p w14:paraId="187B1D77">
      <w:pPr>
        <w:pStyle w:val="8"/>
        <w:topLinePunct/>
        <w:snapToGrid w:val="0"/>
        <w:spacing w:beforeLines="15" w:line="300" w:lineRule="auto"/>
        <w:ind w:firstLine="0"/>
        <w:jc w:val="both"/>
        <w:rPr>
          <w:kern w:val="2"/>
          <w:szCs w:val="21"/>
        </w:rPr>
      </w:pPr>
      <w:r>
        <w:rPr>
          <w:kern w:val="2"/>
          <w:szCs w:val="21"/>
        </w:rPr>
        <w:t>所有用于更改人体组织或细胞、血液、其他体液或其他植入或注入体内的液体的生物或化学成分的非侵入性器械均归类为IIb类，除非该治疗包含过滤、离心或气体交换、加热，此类情形归类为IIa类。</w:t>
      </w:r>
    </w:p>
    <w:p w14:paraId="62D37801">
      <w:pPr>
        <w:pStyle w:val="8"/>
        <w:topLinePunct/>
        <w:snapToGrid w:val="0"/>
        <w:spacing w:beforeLines="15" w:line="300" w:lineRule="auto"/>
        <w:ind w:firstLine="0"/>
        <w:jc w:val="both"/>
        <w:rPr>
          <w:kern w:val="2"/>
          <w:szCs w:val="21"/>
        </w:rPr>
      </w:pPr>
      <w:r>
        <w:rPr>
          <w:kern w:val="2"/>
          <w:szCs w:val="21"/>
        </w:rPr>
        <w:t>对于所有含某种物质或混合物质的非侵入性器械，若其用于体外直接接触从人体或人类胚胎取下体外使用的人体细胞、组织或器官，之后再植入或注入体内，则归类为III类。</w:t>
      </w:r>
    </w:p>
    <w:p w14:paraId="44FC5685">
      <w:pPr>
        <w:pStyle w:val="4"/>
        <w:tabs>
          <w:tab w:val="left" w:pos="682"/>
        </w:tabs>
        <w:topLinePunct/>
        <w:snapToGrid w:val="0"/>
        <w:spacing w:beforeLines="15" w:line="300" w:lineRule="auto"/>
        <w:ind w:left="113" w:firstLine="0"/>
        <w:jc w:val="both"/>
        <w:rPr>
          <w:rFonts w:ascii="Times New Roman" w:hAnsi="Times New Roman"/>
          <w:b w:val="0"/>
          <w:bCs w:val="0"/>
          <w:kern w:val="2"/>
          <w:sz w:val="21"/>
          <w:szCs w:val="21"/>
        </w:rPr>
      </w:pPr>
      <w:r>
        <w:rPr>
          <w:rFonts w:ascii="Times New Roman" w:hAnsi="Times New Roman"/>
          <w:kern w:val="2"/>
          <w:sz w:val="21"/>
          <w:szCs w:val="21"/>
        </w:rPr>
        <w:t>4.4.</w:t>
      </w:r>
      <w:r>
        <w:rPr>
          <w:rFonts w:ascii="Times New Roman" w:hAnsi="Times New Roman"/>
          <w:kern w:val="2"/>
          <w:sz w:val="21"/>
          <w:szCs w:val="21"/>
        </w:rPr>
        <w:tab/>
      </w:r>
      <w:r>
        <w:rPr>
          <w:rFonts w:ascii="Times New Roman" w:hAnsi="Times New Roman"/>
          <w:kern w:val="2"/>
          <w:sz w:val="21"/>
          <w:szCs w:val="21"/>
        </w:rPr>
        <w:t>规则4</w:t>
      </w:r>
    </w:p>
    <w:p w14:paraId="0915D228">
      <w:pPr>
        <w:pStyle w:val="8"/>
        <w:topLinePunct/>
        <w:snapToGrid w:val="0"/>
        <w:spacing w:beforeLines="15" w:line="300" w:lineRule="auto"/>
        <w:ind w:firstLine="0"/>
        <w:jc w:val="both"/>
        <w:rPr>
          <w:kern w:val="2"/>
          <w:szCs w:val="21"/>
        </w:rPr>
      </w:pPr>
      <w:r>
        <w:rPr>
          <w:kern w:val="2"/>
          <w:szCs w:val="21"/>
        </w:rPr>
        <w:t>对于所有接触受伤皮肤或粘膜的非侵入性器械按以下归类：</w:t>
      </w:r>
    </w:p>
    <w:p w14:paraId="23F5518D">
      <w:pPr>
        <w:pStyle w:val="32"/>
        <w:numPr>
          <w:ilvl w:val="2"/>
          <w:numId w:val="196"/>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若其作为机械屏障使用，或用于压缩或渗液吸收，则归类为I类；</w:t>
      </w:r>
    </w:p>
    <w:p w14:paraId="21AAD9C3">
      <w:pPr>
        <w:pStyle w:val="32"/>
        <w:numPr>
          <w:ilvl w:val="2"/>
          <w:numId w:val="196"/>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若其主要用于伤及真皮且需要二期愈合治愈的皮肤或黏膜伤口，则归类为IIb类；</w:t>
      </w:r>
    </w:p>
    <w:p w14:paraId="5BFFB10F">
      <w:pPr>
        <w:pStyle w:val="32"/>
        <w:numPr>
          <w:ilvl w:val="2"/>
          <w:numId w:val="196"/>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在其他所有情形下，均归类为IIa类，包括主要用于管理受伤皮肤或粘膜微环境的器械；</w:t>
      </w:r>
    </w:p>
    <w:p w14:paraId="267F510C">
      <w:pPr>
        <w:pStyle w:val="32"/>
        <w:numPr>
          <w:ilvl w:val="2"/>
          <w:numId w:val="196"/>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在其他所有情形下，均归类为IIa类。</w:t>
      </w:r>
    </w:p>
    <w:p w14:paraId="7E8229E4">
      <w:pPr>
        <w:pStyle w:val="8"/>
        <w:topLinePunct/>
        <w:snapToGrid w:val="0"/>
        <w:spacing w:beforeLines="15" w:line="300" w:lineRule="auto"/>
        <w:ind w:firstLine="0"/>
        <w:jc w:val="both"/>
        <w:rPr>
          <w:kern w:val="2"/>
          <w:szCs w:val="21"/>
        </w:rPr>
      </w:pPr>
      <w:r>
        <w:rPr>
          <w:kern w:val="2"/>
          <w:szCs w:val="21"/>
        </w:rPr>
        <w:t>本规则亦适用于接触受伤粘膜的侵入性器械。</w:t>
      </w:r>
    </w:p>
    <w:p w14:paraId="36ADB965">
      <w:pPr>
        <w:pStyle w:val="4"/>
        <w:tabs>
          <w:tab w:val="left" w:pos="682"/>
        </w:tabs>
        <w:topLinePunct/>
        <w:snapToGrid w:val="0"/>
        <w:spacing w:beforeLines="15" w:line="300" w:lineRule="auto"/>
        <w:ind w:left="113" w:firstLine="0"/>
        <w:jc w:val="both"/>
        <w:rPr>
          <w:rFonts w:ascii="Times New Roman" w:hAnsi="Times New Roman"/>
          <w:b w:val="0"/>
          <w:bCs w:val="0"/>
          <w:kern w:val="2"/>
          <w:sz w:val="21"/>
          <w:szCs w:val="21"/>
        </w:rPr>
      </w:pPr>
      <w:r>
        <w:rPr>
          <w:rFonts w:ascii="Times New Roman" w:hAnsi="Times New Roman"/>
          <w:kern w:val="2"/>
          <w:sz w:val="21"/>
          <w:szCs w:val="21"/>
        </w:rPr>
        <w:t>5.</w:t>
      </w:r>
      <w:r>
        <w:rPr>
          <w:rFonts w:ascii="Times New Roman" w:hAnsi="Times New Roman"/>
          <w:kern w:val="2"/>
          <w:sz w:val="21"/>
          <w:szCs w:val="21"/>
        </w:rPr>
        <w:tab/>
      </w:r>
      <w:r>
        <w:rPr>
          <w:rFonts w:ascii="Times New Roman" w:hAnsi="Times New Roman"/>
          <w:kern w:val="2"/>
          <w:sz w:val="21"/>
          <w:szCs w:val="21"/>
        </w:rPr>
        <w:t>侵入性器械</w:t>
      </w:r>
    </w:p>
    <w:p w14:paraId="051A69F3">
      <w:pPr>
        <w:pStyle w:val="32"/>
        <w:tabs>
          <w:tab w:val="left" w:pos="682"/>
        </w:tabs>
        <w:topLinePunct/>
        <w:snapToGrid w:val="0"/>
        <w:spacing w:beforeLines="15" w:line="300" w:lineRule="auto"/>
        <w:ind w:left="113"/>
        <w:jc w:val="both"/>
        <w:rPr>
          <w:rFonts w:ascii="Times New Roman" w:hAnsi="Times New Roman"/>
          <w:kern w:val="2"/>
          <w:szCs w:val="21"/>
        </w:rPr>
      </w:pPr>
      <w:r>
        <w:rPr>
          <w:rFonts w:ascii="Times New Roman" w:hAnsi="Times New Roman"/>
          <w:b/>
          <w:kern w:val="2"/>
          <w:szCs w:val="21"/>
        </w:rPr>
        <w:t>5.1.</w:t>
      </w:r>
      <w:r>
        <w:rPr>
          <w:rFonts w:ascii="Times New Roman" w:hAnsi="Times New Roman"/>
          <w:b/>
          <w:kern w:val="2"/>
          <w:szCs w:val="21"/>
        </w:rPr>
        <w:tab/>
      </w:r>
      <w:r>
        <w:rPr>
          <w:rFonts w:ascii="Times New Roman" w:hAnsi="Times New Roman"/>
          <w:b/>
          <w:kern w:val="2"/>
          <w:szCs w:val="21"/>
        </w:rPr>
        <w:t>规则5</w:t>
      </w:r>
    </w:p>
    <w:p w14:paraId="4C5BABD5">
      <w:pPr>
        <w:pStyle w:val="8"/>
        <w:topLinePunct/>
        <w:snapToGrid w:val="0"/>
        <w:spacing w:beforeLines="15" w:line="300" w:lineRule="auto"/>
        <w:ind w:firstLine="0"/>
        <w:jc w:val="both"/>
        <w:rPr>
          <w:kern w:val="2"/>
          <w:szCs w:val="21"/>
        </w:rPr>
      </w:pPr>
      <w:r>
        <w:rPr>
          <w:kern w:val="2"/>
          <w:szCs w:val="21"/>
          <w:lang w:val="en-US" w:bidi="ar-SA"/>
        </w:rPr>
        <w:pict>
          <v:group id="组合 1" o:spid="_x0000_s1028" o:spt="203" style="position:absolute;left:0pt;margin-left:508.6pt;margin-top:19.85pt;height:0.1pt;width:3pt;mso-position-horizontal-relative:page;z-index:-251656192;mso-width-relative:page;mso-height-relative:page;" coordorigin="10172,397"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">
            <o:lock v:ext="edit"/>
            <v:shape id="Freeform 15" o:spid="_x0000_s1029" style="position:absolute;left:10172;top:397;height:2;width:60;" filled="f"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twsQA&#10;AADbAAAADwAAAGRycy9kb3ducmV2LnhtbESPMW/CQAyFd6T+h5ORWFBzIQNCgQtCqAUGlgILm5Uz&#10;SdScL8pdIfx7PCB1s/We3/u8Wg+uVXfqQ+PZwCxJQRGX3jZcGbicvz8XoEJEtth6JgNPCrAuPkYr&#10;zK1/8A/dT7FSEsIhRwN1jF2udShrchgS3xGLdvO9wyhrX2nb40PCXauzNJ1rhw1LQ40dbWsqf09/&#10;zkBM6Xjhr022v86m8+k1O+4Ot9KYyXjYLEFFGuK/+X19sIIv9PKLDK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E7cLEAAAA2wAAAA8AAAAAAAAAAAAAAAAAmAIAAGRycy9k&#10;b3ducmV2LnhtbFBLBQYAAAAABAAEAPUAAACJAwAAAAA=&#10;" path="m0,0l60,0e">
              <v:path arrowok="t" o:connecttype="custom" o:connectlocs="0,0;60,0" o:connectangles="0,0"/>
              <v:fill on="f" focussize="0,0"/>
              <v:stroke weight="1.14pt"/>
              <v:imagedata o:title=""/>
              <o:lock v:ext="edit"/>
            </v:shape>
          </v:group>
        </w:pict>
      </w:r>
      <w:r>
        <w:rPr>
          <w:kern w:val="2"/>
          <w:szCs w:val="21"/>
        </w:rPr>
        <w:t>除外科侵入性器械以外，所有不用于连接有源医疗器械或用于连接I类有源医疗器械且与身体孔口相关的侵入性器械：</w:t>
      </w:r>
    </w:p>
    <w:p w14:paraId="6FE9573A">
      <w:pPr>
        <w:pStyle w:val="32"/>
        <w:numPr>
          <w:ilvl w:val="2"/>
          <w:numId w:val="197"/>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若其为短暂使用，则归类为I类，</w:t>
      </w:r>
    </w:p>
    <w:p w14:paraId="7A6D9C11">
      <w:pPr>
        <w:pStyle w:val="32"/>
        <w:numPr>
          <w:ilvl w:val="2"/>
          <w:numId w:val="197"/>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若其为短期使用，则归类为IIa类，但用于咽部以上的口腔、耳鼓以外的耳道或鼻腔时除外，在此情形应下，应属于I类</w:t>
      </w:r>
    </w:p>
    <w:p w14:paraId="733DB8C4">
      <w:pPr>
        <w:pStyle w:val="32"/>
        <w:numPr>
          <w:ilvl w:val="2"/>
          <w:numId w:val="197"/>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若其为长期使用，则归类为IIb类，但用于咽部以上的口腔、耳鼓以外的耳道或鼻腔且不易通过粘膜吸收时除外，在此情形应下，应属于IIa类。</w:t>
      </w:r>
    </w:p>
    <w:p w14:paraId="198891DC">
      <w:pPr>
        <w:pStyle w:val="8"/>
        <w:topLinePunct/>
        <w:snapToGrid w:val="0"/>
        <w:spacing w:beforeLines="15" w:line="300" w:lineRule="auto"/>
        <w:ind w:firstLine="0"/>
        <w:jc w:val="both"/>
        <w:rPr>
          <w:kern w:val="2"/>
          <w:szCs w:val="21"/>
        </w:rPr>
      </w:pPr>
      <w:r>
        <w:rPr>
          <w:kern w:val="2"/>
          <w:szCs w:val="21"/>
        </w:rPr>
        <w:t>除外科侵入性器械以外，所有用于连接IIa类、Iib类或III类的</w:t>
      </w:r>
      <w:r>
        <w:rPr>
          <w:rFonts w:hint="eastAsia"/>
          <w:kern w:val="2"/>
          <w:szCs w:val="21"/>
        </w:rPr>
        <w:t>有源</w:t>
      </w:r>
      <w:r>
        <w:rPr>
          <w:kern w:val="2"/>
          <w:szCs w:val="21"/>
        </w:rPr>
        <w:t>器械，且与身体孔口相关的侵入性器械均归类为IIa类。</w:t>
      </w:r>
    </w:p>
    <w:p w14:paraId="088CA131">
      <w:pPr>
        <w:pStyle w:val="4"/>
        <w:tabs>
          <w:tab w:val="left" w:pos="682"/>
        </w:tabs>
        <w:topLinePunct/>
        <w:snapToGrid w:val="0"/>
        <w:spacing w:beforeLines="15" w:line="300" w:lineRule="auto"/>
        <w:ind w:left="113" w:firstLine="0"/>
        <w:jc w:val="both"/>
        <w:rPr>
          <w:rFonts w:ascii="Times New Roman" w:hAnsi="Times New Roman"/>
          <w:kern w:val="2"/>
          <w:sz w:val="21"/>
          <w:szCs w:val="21"/>
        </w:rPr>
      </w:pPr>
      <w:r>
        <w:rPr>
          <w:rFonts w:ascii="Times New Roman" w:hAnsi="Times New Roman"/>
          <w:kern w:val="2"/>
          <w:sz w:val="21"/>
          <w:szCs w:val="21"/>
        </w:rPr>
        <w:t>5.2.</w:t>
      </w:r>
      <w:r>
        <w:rPr>
          <w:rFonts w:ascii="Times New Roman" w:hAnsi="Times New Roman"/>
          <w:kern w:val="2"/>
          <w:sz w:val="21"/>
          <w:szCs w:val="21"/>
        </w:rPr>
        <w:tab/>
      </w:r>
      <w:r>
        <w:rPr>
          <w:rFonts w:ascii="Times New Roman" w:hAnsi="Times New Roman"/>
          <w:kern w:val="2"/>
          <w:sz w:val="21"/>
          <w:szCs w:val="21"/>
        </w:rPr>
        <w:t>规则6</w:t>
      </w:r>
    </w:p>
    <w:p w14:paraId="2B6A9E17">
      <w:pPr>
        <w:pStyle w:val="8"/>
        <w:topLinePunct/>
        <w:snapToGrid w:val="0"/>
        <w:spacing w:beforeLines="15" w:line="300" w:lineRule="auto"/>
        <w:ind w:firstLine="0"/>
        <w:jc w:val="both"/>
        <w:rPr>
          <w:kern w:val="2"/>
          <w:szCs w:val="21"/>
        </w:rPr>
      </w:pPr>
      <w:r>
        <w:rPr>
          <w:kern w:val="2"/>
          <w:szCs w:val="21"/>
        </w:rPr>
        <w:t>所有短暂使用的外科侵入性器械均归类为IIa类，除非其：</w:t>
      </w:r>
    </w:p>
    <w:p w14:paraId="3C434BAA">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专门用于通过直接接触身体的某个部位，以控制、诊断、监测或纠正心脏或中央循环系统的缺陷，在此情形应下，应归类为III类；</w:t>
      </w:r>
    </w:p>
    <w:p w14:paraId="440DDB59">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可重复使用的外科器械，在此情形下，应归类为I类；</w:t>
      </w:r>
    </w:p>
    <w:p w14:paraId="21A953FA">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专门用于直接接触心脏或中央循环系统或中央神经系统，在此情形下，应归类为III类；</w:t>
      </w:r>
    </w:p>
    <w:p w14:paraId="16F96F75">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用于以电离辐射形式供应能量，在此情形下，应归类为IIb类；</w:t>
      </w:r>
    </w:p>
    <w:p w14:paraId="0BA774F8">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具有生物效应或能够被完全吸收或大部分被吸收，在此情形下，应归类为IIb类；</w:t>
      </w:r>
    </w:p>
    <w:p w14:paraId="41BDE0A5">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用于通过传输系统的方法来施用医药产品，并且若考虑到应用方法，施用此类医药产品的执行方式存在潜在危险，在此情形下，应归类为IIb类。</w:t>
      </w:r>
    </w:p>
    <w:p w14:paraId="00F3EF49">
      <w:pPr>
        <w:pStyle w:val="4"/>
        <w:tabs>
          <w:tab w:val="left" w:pos="682"/>
        </w:tabs>
        <w:topLinePunct/>
        <w:snapToGrid w:val="0"/>
        <w:spacing w:beforeLines="15" w:line="300" w:lineRule="auto"/>
        <w:ind w:left="113" w:firstLine="0"/>
        <w:jc w:val="both"/>
        <w:rPr>
          <w:rFonts w:ascii="Times New Roman" w:hAnsi="Times New Roman"/>
          <w:kern w:val="2"/>
          <w:sz w:val="21"/>
          <w:szCs w:val="21"/>
        </w:rPr>
      </w:pPr>
      <w:r>
        <w:rPr>
          <w:rFonts w:ascii="Times New Roman" w:hAnsi="Times New Roman"/>
          <w:kern w:val="2"/>
          <w:sz w:val="21"/>
          <w:szCs w:val="21"/>
        </w:rPr>
        <w:t>5.3</w:t>
      </w:r>
      <w:r>
        <w:rPr>
          <w:rFonts w:ascii="Times New Roman" w:hAnsi="Times New Roman"/>
          <w:kern w:val="2"/>
          <w:sz w:val="21"/>
          <w:szCs w:val="21"/>
        </w:rPr>
        <w:tab/>
      </w:r>
      <w:r>
        <w:rPr>
          <w:rFonts w:ascii="Times New Roman" w:hAnsi="Times New Roman"/>
          <w:kern w:val="2"/>
          <w:sz w:val="21"/>
          <w:szCs w:val="21"/>
        </w:rPr>
        <w:t>规则7</w:t>
      </w:r>
    </w:p>
    <w:p w14:paraId="3E2D0597">
      <w:pPr>
        <w:pStyle w:val="8"/>
        <w:topLinePunct/>
        <w:snapToGrid w:val="0"/>
        <w:spacing w:beforeLines="15" w:line="300" w:lineRule="auto"/>
        <w:ind w:firstLine="0"/>
        <w:jc w:val="both"/>
        <w:rPr>
          <w:kern w:val="2"/>
          <w:szCs w:val="21"/>
        </w:rPr>
      </w:pPr>
      <w:r>
        <w:rPr>
          <w:kern w:val="2"/>
          <w:szCs w:val="21"/>
        </w:rPr>
        <w:t>所有短期使用的外科侵入性器械均归类为于IIa类，除非其：</w:t>
      </w:r>
    </w:p>
    <w:p w14:paraId="643DCCEA">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专门用于通过直接接触身体的某个部位，以控制、诊断、监测或纠正心脏或中央循环系统的缺陷，在此情形应下，应归类为III类；</w:t>
      </w:r>
    </w:p>
    <w:p w14:paraId="68FDB1D5">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专门用于直接接触心脏或中央循环系统或中枢神经系统，在此情形下，应归类为III类；</w:t>
      </w:r>
    </w:p>
    <w:p w14:paraId="5752AFE6">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用于以电离辐射形式供应能量，在此情形下，应归类为IIb类；</w:t>
      </w:r>
    </w:p>
    <w:p w14:paraId="2D752926">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具有生物效应或能够被完全吸收或大部分被吸收，在此情形下，应归类为III类；</w:t>
      </w:r>
    </w:p>
    <w:p w14:paraId="35578592">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用于在体内产生化学变化，但该器械放置在牙齿上除外，在此情形下，应归类为IIb类；</w:t>
      </w:r>
    </w:p>
    <w:p w14:paraId="0C46A50B">
      <w:pPr>
        <w:pStyle w:val="32"/>
        <w:numPr>
          <w:ilvl w:val="2"/>
          <w:numId w:val="198"/>
        </w:numPr>
        <w:tabs>
          <w:tab w:val="left" w:pos="1248"/>
        </w:tabs>
        <w:topLinePunct/>
        <w:snapToGrid w:val="0"/>
        <w:spacing w:beforeLines="15" w:line="300" w:lineRule="auto"/>
        <w:jc w:val="both"/>
        <w:rPr>
          <w:rFonts w:ascii="Times New Roman" w:hAnsi="Times New Roman"/>
          <w:kern w:val="2"/>
          <w:szCs w:val="21"/>
        </w:rPr>
      </w:pPr>
      <w:r>
        <w:rPr>
          <w:rFonts w:ascii="Times New Roman" w:hAnsi="Times New Roman"/>
          <w:kern w:val="2"/>
          <w:szCs w:val="21"/>
        </w:rPr>
        <w:t>用于施用药物时，在此情形下应归类为IIb类。</w:t>
      </w:r>
    </w:p>
    <w:p w14:paraId="3116FF1B">
      <w:pPr>
        <w:pStyle w:val="4"/>
        <w:tabs>
          <w:tab w:val="left" w:pos="682"/>
        </w:tabs>
        <w:topLinePunct/>
        <w:snapToGrid w:val="0"/>
        <w:spacing w:beforeLines="25" w:line="300" w:lineRule="auto"/>
        <w:ind w:left="113" w:firstLine="0"/>
        <w:jc w:val="both"/>
        <w:rPr>
          <w:rFonts w:ascii="Times New Roman" w:hAnsi="Times New Roman"/>
          <w:kern w:val="2"/>
          <w:sz w:val="21"/>
          <w:szCs w:val="21"/>
        </w:rPr>
      </w:pPr>
      <w:r>
        <w:rPr>
          <w:rFonts w:ascii="Times New Roman" w:hAnsi="Times New Roman"/>
          <w:kern w:val="2"/>
          <w:sz w:val="21"/>
          <w:szCs w:val="21"/>
        </w:rPr>
        <w:t>5.4.</w:t>
      </w:r>
      <w:r>
        <w:rPr>
          <w:rFonts w:ascii="Times New Roman" w:hAnsi="Times New Roman"/>
          <w:kern w:val="2"/>
          <w:sz w:val="21"/>
          <w:szCs w:val="21"/>
        </w:rPr>
        <w:tab/>
      </w:r>
      <w:r>
        <w:rPr>
          <w:rFonts w:ascii="Times New Roman" w:hAnsi="Times New Roman"/>
          <w:kern w:val="2"/>
          <w:sz w:val="21"/>
          <w:szCs w:val="21"/>
        </w:rPr>
        <w:t>规则8</w:t>
      </w:r>
    </w:p>
    <w:p w14:paraId="50EAD701">
      <w:pPr>
        <w:pStyle w:val="8"/>
        <w:topLinePunct/>
        <w:snapToGrid w:val="0"/>
        <w:spacing w:beforeLines="25" w:line="300" w:lineRule="auto"/>
        <w:ind w:firstLine="0"/>
        <w:jc w:val="both"/>
        <w:rPr>
          <w:kern w:val="2"/>
          <w:szCs w:val="21"/>
        </w:rPr>
      </w:pPr>
      <w:r>
        <w:rPr>
          <w:kern w:val="2"/>
          <w:szCs w:val="21"/>
        </w:rPr>
        <w:t>所有植入式器械和长期外科侵入性器械均归类为IIb类，除非其：</w:t>
      </w:r>
    </w:p>
    <w:p w14:paraId="493A4E1F">
      <w:pPr>
        <w:pStyle w:val="32"/>
        <w:numPr>
          <w:ilvl w:val="2"/>
          <w:numId w:val="19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放置在牙齿上，在此情形下，应归类为IIa类；</w:t>
      </w:r>
    </w:p>
    <w:p w14:paraId="47BCAA27">
      <w:pPr>
        <w:pStyle w:val="32"/>
        <w:numPr>
          <w:ilvl w:val="2"/>
          <w:numId w:val="19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用于直接接触心脏或中央循环系统或中枢神经系统，在此情形下，应归类为III类；</w:t>
      </w:r>
    </w:p>
    <w:p w14:paraId="0D139F6D">
      <w:pPr>
        <w:pStyle w:val="32"/>
        <w:numPr>
          <w:ilvl w:val="2"/>
          <w:numId w:val="19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具有生物效应或能够被完全吸收或大部分被吸收，在此情形下，应归类为III类；</w:t>
      </w:r>
    </w:p>
    <w:p w14:paraId="692ECAF3">
      <w:pPr>
        <w:pStyle w:val="32"/>
        <w:numPr>
          <w:ilvl w:val="2"/>
          <w:numId w:val="19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用于在体内产生化学变化，但该器械放置在牙齿上除外，在此情形下，应归类为III类；</w:t>
      </w:r>
    </w:p>
    <w:p w14:paraId="419BCE60">
      <w:pPr>
        <w:pStyle w:val="32"/>
        <w:numPr>
          <w:ilvl w:val="2"/>
          <w:numId w:val="19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用于施用医疗产品时，在此情形下，应归类为III类；</w:t>
      </w:r>
    </w:p>
    <w:p w14:paraId="7BE5E5F9">
      <w:pPr>
        <w:pStyle w:val="32"/>
        <w:numPr>
          <w:ilvl w:val="2"/>
          <w:numId w:val="19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为有源植入式器械或其相关附件，在此情形下，应归类III类；</w:t>
      </w:r>
    </w:p>
    <w:p w14:paraId="53C668BA">
      <w:pPr>
        <w:pStyle w:val="32"/>
        <w:numPr>
          <w:ilvl w:val="2"/>
          <w:numId w:val="19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为乳房植入物或心脏修补网状织物，在此情形下，应归类III类；</w:t>
      </w:r>
    </w:p>
    <w:p w14:paraId="27219742">
      <w:pPr>
        <w:pStyle w:val="32"/>
        <w:numPr>
          <w:ilvl w:val="2"/>
          <w:numId w:val="19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为完整或部分关节置换物，在此情形下，应归类III类，但辅助部件除外，如螺钉、楔、板和仪表；</w:t>
      </w:r>
    </w:p>
    <w:p w14:paraId="4F2BF1BD">
      <w:pPr>
        <w:pStyle w:val="32"/>
        <w:numPr>
          <w:ilvl w:val="2"/>
          <w:numId w:val="19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为直接与脊柱接触的椎间盘置换植入物或为植入器械，在此情形下，应归类III类，但辅助部件除外，如螺钉、楔、板和仪表。</w:t>
      </w:r>
    </w:p>
    <w:p w14:paraId="3F18CE3B">
      <w:pPr>
        <w:pStyle w:val="4"/>
        <w:numPr>
          <w:ilvl w:val="1"/>
          <w:numId w:val="200"/>
        </w:numPr>
        <w:tabs>
          <w:tab w:val="left" w:pos="682"/>
        </w:tabs>
        <w:topLinePunct/>
        <w:snapToGrid w:val="0"/>
        <w:spacing w:beforeLines="25" w:line="300" w:lineRule="auto"/>
        <w:jc w:val="both"/>
        <w:rPr>
          <w:rFonts w:ascii="Times New Roman" w:hAnsi="Times New Roman"/>
          <w:b w:val="0"/>
          <w:bCs w:val="0"/>
          <w:kern w:val="2"/>
          <w:sz w:val="21"/>
          <w:szCs w:val="21"/>
        </w:rPr>
      </w:pPr>
      <w:r>
        <w:rPr>
          <w:rFonts w:ascii="Times New Roman" w:hAnsi="Times New Roman"/>
          <w:kern w:val="2"/>
          <w:sz w:val="21"/>
          <w:szCs w:val="21"/>
        </w:rPr>
        <w:t>有源器械</w:t>
      </w:r>
    </w:p>
    <w:p w14:paraId="68CE168C">
      <w:pPr>
        <w:pStyle w:val="32"/>
        <w:tabs>
          <w:tab w:val="left" w:pos="682"/>
        </w:tabs>
        <w:topLinePunct/>
        <w:snapToGrid w:val="0"/>
        <w:spacing w:beforeLines="25" w:line="300" w:lineRule="auto"/>
        <w:ind w:left="113"/>
        <w:jc w:val="both"/>
        <w:rPr>
          <w:rFonts w:ascii="Times New Roman" w:hAnsi="Times New Roman"/>
          <w:kern w:val="2"/>
          <w:szCs w:val="21"/>
        </w:rPr>
      </w:pPr>
      <w:r>
        <w:rPr>
          <w:rFonts w:ascii="Times New Roman" w:hAnsi="Times New Roman"/>
          <w:b/>
          <w:kern w:val="2"/>
          <w:szCs w:val="21"/>
        </w:rPr>
        <w:t>6.1.</w:t>
      </w:r>
      <w:r>
        <w:rPr>
          <w:rFonts w:ascii="Times New Roman" w:hAnsi="Times New Roman"/>
          <w:b/>
          <w:kern w:val="2"/>
          <w:szCs w:val="21"/>
        </w:rPr>
        <w:tab/>
      </w:r>
      <w:r>
        <w:rPr>
          <w:rFonts w:ascii="Times New Roman" w:hAnsi="Times New Roman"/>
          <w:b/>
          <w:kern w:val="2"/>
          <w:szCs w:val="21"/>
        </w:rPr>
        <w:t>规则9</w:t>
      </w:r>
    </w:p>
    <w:p w14:paraId="504288E0">
      <w:pPr>
        <w:pStyle w:val="8"/>
        <w:topLinePunct/>
        <w:snapToGrid w:val="0"/>
        <w:spacing w:beforeLines="25" w:line="300" w:lineRule="auto"/>
        <w:ind w:firstLine="0"/>
        <w:jc w:val="both"/>
        <w:rPr>
          <w:kern w:val="2"/>
          <w:szCs w:val="21"/>
        </w:rPr>
      </w:pPr>
      <w:r>
        <w:rPr>
          <w:kern w:val="2"/>
          <w:szCs w:val="21"/>
        </w:rPr>
        <w:t>用于注入或交换能量的所有有源治疗器械均归类IIa类，除非它们向/从人体注入/吸收能量或与人体交换能量的同时可能会造成危害，并考虑到能量应用的密度和部位，此类器械应归类IIb类。</w:t>
      </w:r>
    </w:p>
    <w:p w14:paraId="26FA037B">
      <w:pPr>
        <w:pStyle w:val="8"/>
        <w:topLinePunct/>
        <w:snapToGrid w:val="0"/>
        <w:spacing w:beforeLines="25" w:line="300" w:lineRule="auto"/>
        <w:ind w:firstLine="0"/>
        <w:jc w:val="both"/>
        <w:rPr>
          <w:kern w:val="2"/>
          <w:szCs w:val="21"/>
        </w:rPr>
      </w:pPr>
      <w:r>
        <w:rPr>
          <w:kern w:val="2"/>
          <w:szCs w:val="21"/>
        </w:rPr>
        <w:t>所有用于控制或监测有源治疗IIb类器械性能或用于直接影响此类器械性能的有源器械均归类IIb类。</w:t>
      </w:r>
    </w:p>
    <w:p w14:paraId="7C3504F7">
      <w:pPr>
        <w:pStyle w:val="8"/>
        <w:topLinePunct/>
        <w:snapToGrid w:val="0"/>
        <w:spacing w:beforeLines="25" w:line="300" w:lineRule="auto"/>
        <w:ind w:firstLine="0"/>
        <w:jc w:val="both"/>
        <w:rPr>
          <w:kern w:val="2"/>
          <w:szCs w:val="21"/>
        </w:rPr>
      </w:pPr>
      <w:r>
        <w:rPr>
          <w:kern w:val="2"/>
          <w:szCs w:val="21"/>
        </w:rPr>
        <w:t>所有针对治疗目的释放电离辐射的有源器械均归类IIb类，这其中包括控制或监测此类器械或直接影响其性能的器械。</w:t>
      </w:r>
    </w:p>
    <w:p w14:paraId="6593CCB0">
      <w:pPr>
        <w:pStyle w:val="8"/>
        <w:topLinePunct/>
        <w:snapToGrid w:val="0"/>
        <w:spacing w:beforeLines="25" w:line="300" w:lineRule="auto"/>
        <w:ind w:firstLine="0"/>
        <w:jc w:val="both"/>
        <w:rPr>
          <w:kern w:val="2"/>
          <w:szCs w:val="21"/>
        </w:rPr>
      </w:pPr>
      <w:r>
        <w:rPr>
          <w:kern w:val="2"/>
          <w:szCs w:val="21"/>
        </w:rPr>
        <w:t>所有用于控制、监测或直接影响有源植入式器械性能的有源器械均归类III类。</w:t>
      </w:r>
    </w:p>
    <w:p w14:paraId="62B59A87">
      <w:pPr>
        <w:pStyle w:val="4"/>
        <w:tabs>
          <w:tab w:val="left" w:pos="682"/>
        </w:tabs>
        <w:topLinePunct/>
        <w:snapToGrid w:val="0"/>
        <w:spacing w:beforeLines="25" w:line="300" w:lineRule="auto"/>
        <w:ind w:left="113" w:firstLine="0"/>
        <w:jc w:val="both"/>
        <w:rPr>
          <w:rFonts w:ascii="Times New Roman" w:hAnsi="Times New Roman"/>
          <w:b w:val="0"/>
          <w:bCs w:val="0"/>
          <w:kern w:val="2"/>
          <w:sz w:val="21"/>
          <w:szCs w:val="21"/>
        </w:rPr>
      </w:pPr>
      <w:r>
        <w:rPr>
          <w:rFonts w:ascii="Times New Roman" w:hAnsi="Times New Roman"/>
          <w:kern w:val="2"/>
          <w:sz w:val="21"/>
          <w:szCs w:val="21"/>
        </w:rPr>
        <w:t>6.2.</w:t>
      </w:r>
      <w:r>
        <w:rPr>
          <w:rFonts w:ascii="Times New Roman" w:hAnsi="Times New Roman"/>
          <w:kern w:val="2"/>
          <w:sz w:val="21"/>
          <w:szCs w:val="21"/>
        </w:rPr>
        <w:tab/>
      </w:r>
      <w:r>
        <w:rPr>
          <w:rFonts w:ascii="Times New Roman" w:hAnsi="Times New Roman"/>
          <w:kern w:val="2"/>
          <w:sz w:val="21"/>
          <w:szCs w:val="21"/>
        </w:rPr>
        <w:t>规则10</w:t>
      </w:r>
    </w:p>
    <w:p w14:paraId="1A12A866">
      <w:pPr>
        <w:pStyle w:val="8"/>
        <w:topLinePunct/>
        <w:snapToGrid w:val="0"/>
        <w:spacing w:beforeLines="25" w:line="300" w:lineRule="auto"/>
        <w:ind w:firstLine="0"/>
        <w:jc w:val="both"/>
        <w:rPr>
          <w:kern w:val="2"/>
          <w:szCs w:val="21"/>
        </w:rPr>
      </w:pPr>
      <w:r>
        <w:rPr>
          <w:kern w:val="2"/>
          <w:szCs w:val="21"/>
        </w:rPr>
        <w:t>用于诊断和监测的有源器械均归类IIa类：</w:t>
      </w:r>
    </w:p>
    <w:p w14:paraId="6EEAADDA">
      <w:pPr>
        <w:pStyle w:val="32"/>
        <w:numPr>
          <w:ilvl w:val="2"/>
          <w:numId w:val="20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若其用于提供可被人体吸收的能量，但用于通过可见光谱照亮患者身体的器械除外，在此情形下，应归类I类；</w:t>
      </w:r>
    </w:p>
    <w:p w14:paraId="6A5AC2C8">
      <w:pPr>
        <w:pStyle w:val="32"/>
        <w:numPr>
          <w:ilvl w:val="2"/>
          <w:numId w:val="20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若其用于生成放射性药物的体内分布图像；</w:t>
      </w:r>
    </w:p>
    <w:p w14:paraId="02D35687">
      <w:pPr>
        <w:pStyle w:val="8"/>
        <w:tabs>
          <w:tab w:val="left" w:pos="1247"/>
        </w:tabs>
        <w:topLinePunct/>
        <w:snapToGrid w:val="0"/>
        <w:spacing w:beforeLines="25" w:line="300" w:lineRule="auto"/>
        <w:ind w:left="1247"/>
        <w:jc w:val="both"/>
        <w:rPr>
          <w:kern w:val="2"/>
          <w:szCs w:val="21"/>
        </w:rPr>
      </w:pPr>
      <w:r>
        <w:rPr>
          <w:i/>
          <w:kern w:val="2"/>
          <w:szCs w:val="21"/>
        </w:rPr>
        <w:t xml:space="preserve">- </w:t>
      </w:r>
      <w:r>
        <w:rPr>
          <w:i/>
          <w:kern w:val="2"/>
          <w:szCs w:val="21"/>
        </w:rPr>
        <w:tab/>
      </w:r>
      <w:r>
        <w:rPr>
          <w:kern w:val="2"/>
          <w:szCs w:val="21"/>
        </w:rPr>
        <w:t>若其用于直接诊断或监测重要生理过程，除非其专门用于监测重要生理参数，且这些参数变化性质可导致患者面临紧急危险，包括在患者面临紧急危险的临床情况下心脏功能、呼吸、中枢神经系统活动或诊断的变化，在此情形下，应归类IIb类。</w:t>
      </w:r>
    </w:p>
    <w:p w14:paraId="3DDC9999">
      <w:pPr>
        <w:pStyle w:val="8"/>
        <w:topLinePunct/>
        <w:snapToGrid w:val="0"/>
        <w:spacing w:beforeLines="35" w:line="300" w:lineRule="auto"/>
        <w:ind w:firstLine="0"/>
        <w:jc w:val="both"/>
        <w:rPr>
          <w:kern w:val="2"/>
          <w:szCs w:val="21"/>
        </w:rPr>
      </w:pPr>
      <w:r>
        <w:rPr>
          <w:kern w:val="2"/>
          <w:szCs w:val="21"/>
        </w:rPr>
        <w:t>用于释放电离辐射和预期用于诊断或治疗放射的有源器械，包括介入放射器械以及控制或监测此类器械或直接影响其性能的器械，均归类IIb类。</w:t>
      </w:r>
    </w:p>
    <w:p w14:paraId="0D98800A">
      <w:pPr>
        <w:pStyle w:val="4"/>
        <w:tabs>
          <w:tab w:val="left" w:pos="415"/>
        </w:tabs>
        <w:topLinePunct/>
        <w:snapToGrid w:val="0"/>
        <w:spacing w:beforeLines="35" w:line="300" w:lineRule="auto"/>
        <w:ind w:left="114" w:firstLine="0"/>
        <w:jc w:val="both"/>
        <w:rPr>
          <w:rFonts w:ascii="Times New Roman" w:hAnsi="Times New Roman"/>
          <w:b w:val="0"/>
          <w:bCs w:val="0"/>
          <w:kern w:val="2"/>
          <w:sz w:val="21"/>
          <w:szCs w:val="21"/>
        </w:rPr>
      </w:pPr>
      <w:r>
        <w:rPr>
          <w:rFonts w:ascii="Times New Roman" w:hAnsi="Times New Roman"/>
          <w:kern w:val="2"/>
          <w:sz w:val="21"/>
          <w:szCs w:val="21"/>
        </w:rPr>
        <w:t>6.3.</w:t>
      </w:r>
      <w:r>
        <w:rPr>
          <w:rFonts w:ascii="Times New Roman" w:hAnsi="Times New Roman"/>
          <w:kern w:val="2"/>
          <w:sz w:val="21"/>
          <w:szCs w:val="21"/>
        </w:rPr>
        <w:tab/>
      </w:r>
      <w:r>
        <w:rPr>
          <w:rFonts w:ascii="Times New Roman" w:hAnsi="Times New Roman"/>
          <w:kern w:val="2"/>
          <w:sz w:val="21"/>
          <w:szCs w:val="21"/>
        </w:rPr>
        <w:t>规则11</w:t>
      </w:r>
    </w:p>
    <w:p w14:paraId="34E12827">
      <w:pPr>
        <w:pStyle w:val="8"/>
        <w:topLinePunct/>
        <w:snapToGrid w:val="0"/>
        <w:spacing w:beforeLines="35" w:line="300" w:lineRule="auto"/>
        <w:ind w:firstLine="0"/>
        <w:jc w:val="both"/>
        <w:rPr>
          <w:kern w:val="2"/>
          <w:szCs w:val="21"/>
        </w:rPr>
      </w:pPr>
      <w:r>
        <w:rPr>
          <w:kern w:val="2"/>
          <w:szCs w:val="21"/>
        </w:rPr>
        <w:t>用于提供诊断或治疗目的决策信息的软件均归类IIa类，除非此类决策会导致以下影响：</w:t>
      </w:r>
    </w:p>
    <w:p w14:paraId="769EFF68">
      <w:pPr>
        <w:pStyle w:val="32"/>
        <w:numPr>
          <w:ilvl w:val="2"/>
          <w:numId w:val="202"/>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死亡或人员健康状况的不可逆恶化，在此情形下，应归类III类；</w:t>
      </w:r>
    </w:p>
    <w:p w14:paraId="64B81AD5">
      <w:pPr>
        <w:pStyle w:val="32"/>
        <w:numPr>
          <w:ilvl w:val="2"/>
          <w:numId w:val="202"/>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人员健康状况严重恶化或需要外科干预，在此情形下，应归类IIb类。</w:t>
      </w:r>
    </w:p>
    <w:p w14:paraId="555965C4">
      <w:pPr>
        <w:pStyle w:val="8"/>
        <w:topLinePunct/>
        <w:snapToGrid w:val="0"/>
        <w:spacing w:beforeLines="35" w:line="300" w:lineRule="auto"/>
        <w:ind w:firstLine="0"/>
        <w:jc w:val="both"/>
        <w:rPr>
          <w:kern w:val="2"/>
          <w:szCs w:val="21"/>
        </w:rPr>
      </w:pPr>
      <w:r>
        <w:rPr>
          <w:kern w:val="2"/>
          <w:szCs w:val="21"/>
        </w:rPr>
        <w:t>用于监测生理过程的软件均归类IIa类，除非其专门用于监测重要生理参数，且这些参数变化的性质可导致患者面临紧急危险，在此情形下，应归类IIb类。</w:t>
      </w:r>
    </w:p>
    <w:p w14:paraId="0E07074C">
      <w:pPr>
        <w:pStyle w:val="8"/>
        <w:topLinePunct/>
        <w:snapToGrid w:val="0"/>
        <w:spacing w:beforeLines="35" w:line="300" w:lineRule="auto"/>
        <w:ind w:firstLine="0"/>
        <w:jc w:val="both"/>
        <w:rPr>
          <w:kern w:val="2"/>
          <w:szCs w:val="21"/>
        </w:rPr>
      </w:pPr>
      <w:r>
        <w:rPr>
          <w:kern w:val="2"/>
          <w:szCs w:val="21"/>
        </w:rPr>
        <w:t>所有其他软件均归类I类</w:t>
      </w:r>
    </w:p>
    <w:p w14:paraId="40781B80">
      <w:pPr>
        <w:pStyle w:val="4"/>
        <w:tabs>
          <w:tab w:val="left" w:pos="682"/>
        </w:tabs>
        <w:topLinePunct/>
        <w:snapToGrid w:val="0"/>
        <w:spacing w:beforeLines="35" w:line="300" w:lineRule="auto"/>
        <w:ind w:left="113" w:firstLine="0"/>
        <w:jc w:val="both"/>
        <w:rPr>
          <w:rFonts w:ascii="Times New Roman" w:hAnsi="Times New Roman"/>
          <w:b w:val="0"/>
          <w:bCs w:val="0"/>
          <w:kern w:val="2"/>
          <w:sz w:val="21"/>
          <w:szCs w:val="21"/>
        </w:rPr>
      </w:pPr>
      <w:r>
        <w:rPr>
          <w:rFonts w:ascii="Times New Roman" w:hAnsi="Times New Roman"/>
          <w:kern w:val="2"/>
          <w:sz w:val="21"/>
          <w:szCs w:val="21"/>
        </w:rPr>
        <w:t>6.4.</w:t>
      </w:r>
      <w:r>
        <w:rPr>
          <w:rFonts w:ascii="Times New Roman" w:hAnsi="Times New Roman"/>
          <w:kern w:val="2"/>
          <w:sz w:val="21"/>
          <w:szCs w:val="21"/>
        </w:rPr>
        <w:tab/>
      </w:r>
      <w:r>
        <w:rPr>
          <w:rFonts w:ascii="Times New Roman" w:hAnsi="Times New Roman"/>
          <w:kern w:val="2"/>
          <w:sz w:val="21"/>
          <w:szCs w:val="21"/>
        </w:rPr>
        <w:t>规则12</w:t>
      </w:r>
    </w:p>
    <w:p w14:paraId="36A68726">
      <w:pPr>
        <w:pStyle w:val="8"/>
        <w:topLinePunct/>
        <w:snapToGrid w:val="0"/>
        <w:spacing w:beforeLines="35" w:line="300" w:lineRule="auto"/>
        <w:ind w:firstLine="0"/>
        <w:jc w:val="both"/>
        <w:rPr>
          <w:kern w:val="2"/>
          <w:szCs w:val="21"/>
        </w:rPr>
      </w:pPr>
      <w:r>
        <w:rPr>
          <w:kern w:val="2"/>
          <w:szCs w:val="21"/>
        </w:rPr>
        <w:t>所有向身体施用和/或从身体去除医疗产品、体液或其他物质的有源器械均归类IIa类，除非考虑到所涉及的物质性质、所涉及的身体任何部位以及应用方法，其执行方式具有潜在的风险，在此情形下，应归类IIb类。</w:t>
      </w:r>
    </w:p>
    <w:p w14:paraId="53C327A3">
      <w:pPr>
        <w:pStyle w:val="4"/>
        <w:tabs>
          <w:tab w:val="left" w:pos="682"/>
        </w:tabs>
        <w:topLinePunct/>
        <w:snapToGrid w:val="0"/>
        <w:spacing w:beforeLines="35" w:line="300" w:lineRule="auto"/>
        <w:ind w:left="113" w:firstLine="0"/>
        <w:jc w:val="both"/>
        <w:rPr>
          <w:rFonts w:ascii="Times New Roman" w:hAnsi="Times New Roman"/>
          <w:b w:val="0"/>
          <w:bCs w:val="0"/>
          <w:kern w:val="2"/>
          <w:sz w:val="21"/>
          <w:szCs w:val="21"/>
        </w:rPr>
      </w:pPr>
      <w:bookmarkStart w:id="200" w:name="5.4._Rule_12"/>
      <w:bookmarkEnd w:id="200"/>
      <w:r>
        <w:rPr>
          <w:rFonts w:ascii="Times New Roman" w:hAnsi="Times New Roman"/>
          <w:kern w:val="2"/>
          <w:sz w:val="21"/>
          <w:szCs w:val="21"/>
        </w:rPr>
        <w:t>6.5.</w:t>
      </w:r>
      <w:r>
        <w:rPr>
          <w:rFonts w:ascii="Times New Roman" w:hAnsi="Times New Roman"/>
          <w:kern w:val="2"/>
          <w:sz w:val="21"/>
          <w:szCs w:val="21"/>
        </w:rPr>
        <w:tab/>
      </w:r>
      <w:r>
        <w:rPr>
          <w:rFonts w:ascii="Times New Roman" w:hAnsi="Times New Roman"/>
          <w:kern w:val="2"/>
          <w:sz w:val="21"/>
          <w:szCs w:val="21"/>
        </w:rPr>
        <w:t>规则13</w:t>
      </w:r>
    </w:p>
    <w:p w14:paraId="020E421F">
      <w:pPr>
        <w:pStyle w:val="8"/>
        <w:topLinePunct/>
        <w:snapToGrid w:val="0"/>
        <w:spacing w:beforeLines="35" w:line="300" w:lineRule="auto"/>
        <w:ind w:firstLine="0"/>
        <w:jc w:val="both"/>
        <w:rPr>
          <w:kern w:val="2"/>
          <w:szCs w:val="21"/>
        </w:rPr>
      </w:pPr>
      <w:bookmarkStart w:id="201" w:name="All_other_active_devices_are_in_class_I."/>
      <w:bookmarkEnd w:id="201"/>
      <w:r>
        <w:rPr>
          <w:kern w:val="2"/>
          <w:szCs w:val="21"/>
        </w:rPr>
        <w:t>所有其他有源器械均归类I类。</w:t>
      </w:r>
    </w:p>
    <w:p w14:paraId="2576FE69">
      <w:pPr>
        <w:pStyle w:val="4"/>
        <w:numPr>
          <w:ilvl w:val="1"/>
          <w:numId w:val="200"/>
        </w:numPr>
        <w:tabs>
          <w:tab w:val="left" w:pos="682"/>
        </w:tabs>
        <w:topLinePunct/>
        <w:snapToGrid w:val="0"/>
        <w:spacing w:beforeLines="35" w:line="300" w:lineRule="auto"/>
        <w:ind w:hanging="567"/>
        <w:jc w:val="both"/>
        <w:rPr>
          <w:rFonts w:ascii="Times New Roman" w:hAnsi="Times New Roman"/>
          <w:b w:val="0"/>
          <w:bCs w:val="0"/>
          <w:kern w:val="2"/>
          <w:sz w:val="21"/>
          <w:szCs w:val="21"/>
        </w:rPr>
      </w:pPr>
      <w:bookmarkStart w:id="202" w:name="6._SPECIAL_RULES"/>
      <w:bookmarkEnd w:id="202"/>
      <w:r>
        <w:rPr>
          <w:rFonts w:ascii="Times New Roman" w:hAnsi="Times New Roman"/>
          <w:kern w:val="2"/>
          <w:sz w:val="21"/>
          <w:szCs w:val="21"/>
        </w:rPr>
        <w:t>特殊规则</w:t>
      </w:r>
    </w:p>
    <w:p w14:paraId="7AC5E820">
      <w:pPr>
        <w:pStyle w:val="32"/>
        <w:tabs>
          <w:tab w:val="left" w:pos="682"/>
        </w:tabs>
        <w:topLinePunct/>
        <w:snapToGrid w:val="0"/>
        <w:spacing w:beforeLines="35" w:line="300" w:lineRule="auto"/>
        <w:ind w:left="113"/>
        <w:jc w:val="both"/>
        <w:rPr>
          <w:rFonts w:ascii="Times New Roman" w:hAnsi="Times New Roman"/>
          <w:kern w:val="2"/>
          <w:szCs w:val="21"/>
        </w:rPr>
      </w:pPr>
      <w:bookmarkStart w:id="203" w:name="6.1._Rule_13"/>
      <w:bookmarkEnd w:id="203"/>
      <w:r>
        <w:rPr>
          <w:rFonts w:ascii="Times New Roman" w:hAnsi="Times New Roman"/>
          <w:b/>
          <w:kern w:val="2"/>
          <w:szCs w:val="21"/>
        </w:rPr>
        <w:t>7.1.</w:t>
      </w:r>
      <w:r>
        <w:rPr>
          <w:rFonts w:ascii="Times New Roman" w:hAnsi="Times New Roman"/>
          <w:b/>
          <w:kern w:val="2"/>
          <w:szCs w:val="21"/>
        </w:rPr>
        <w:tab/>
      </w:r>
      <w:r>
        <w:rPr>
          <w:rFonts w:ascii="Times New Roman" w:hAnsi="Times New Roman"/>
          <w:b/>
          <w:kern w:val="2"/>
          <w:szCs w:val="21"/>
        </w:rPr>
        <w:t>规则14</w:t>
      </w:r>
    </w:p>
    <w:p w14:paraId="593A39D6">
      <w:pPr>
        <w:pStyle w:val="8"/>
        <w:topLinePunct/>
        <w:snapToGrid w:val="0"/>
        <w:spacing w:beforeLines="35" w:line="300" w:lineRule="auto"/>
        <w:ind w:firstLine="0"/>
        <w:jc w:val="both"/>
        <w:rPr>
          <w:kern w:val="2"/>
          <w:szCs w:val="21"/>
        </w:rPr>
      </w:pPr>
      <w:bookmarkStart w:id="204" w:name="All_devices_incorporating,_as_an_integra"/>
      <w:bookmarkEnd w:id="204"/>
      <w:r>
        <w:rPr>
          <w:kern w:val="2"/>
          <w:szCs w:val="21"/>
        </w:rPr>
        <w:t>所有包括某种作为其构成整体所必需的部分的物质的器械，而这种物质根据第2001/83/EC号指令第1条第2点所规定，在单独使用时，可被视为一种医疗产品，包括该指令第1条第10点所定义的衍生自人体血液或血浆的医疗产品，且对该器械具有辅助作用，此类器械均归类为III类。</w:t>
      </w:r>
    </w:p>
    <w:p w14:paraId="6D5845BA">
      <w:pPr>
        <w:pStyle w:val="4"/>
        <w:tabs>
          <w:tab w:val="left" w:pos="682"/>
        </w:tabs>
        <w:topLinePunct/>
        <w:snapToGrid w:val="0"/>
        <w:spacing w:beforeLines="35" w:line="300" w:lineRule="auto"/>
        <w:ind w:left="113" w:firstLine="0"/>
        <w:jc w:val="both"/>
        <w:rPr>
          <w:rFonts w:ascii="Times New Roman" w:hAnsi="Times New Roman"/>
          <w:b w:val="0"/>
          <w:bCs w:val="0"/>
          <w:kern w:val="2"/>
          <w:sz w:val="21"/>
          <w:szCs w:val="21"/>
        </w:rPr>
      </w:pPr>
      <w:bookmarkStart w:id="205" w:name="6.2._Rule_14"/>
      <w:bookmarkEnd w:id="205"/>
      <w:r>
        <w:rPr>
          <w:rFonts w:ascii="Times New Roman" w:hAnsi="Times New Roman"/>
          <w:kern w:val="2"/>
          <w:sz w:val="21"/>
          <w:szCs w:val="21"/>
        </w:rPr>
        <w:t>7.2.</w:t>
      </w:r>
      <w:r>
        <w:rPr>
          <w:rFonts w:ascii="Times New Roman" w:hAnsi="Times New Roman"/>
          <w:kern w:val="2"/>
          <w:sz w:val="21"/>
          <w:szCs w:val="21"/>
        </w:rPr>
        <w:tab/>
      </w:r>
      <w:r>
        <w:rPr>
          <w:rFonts w:ascii="Times New Roman" w:hAnsi="Times New Roman"/>
          <w:kern w:val="2"/>
          <w:sz w:val="21"/>
          <w:szCs w:val="21"/>
        </w:rPr>
        <w:t>规则15</w:t>
      </w:r>
    </w:p>
    <w:p w14:paraId="4ED2BAE4">
      <w:pPr>
        <w:pStyle w:val="8"/>
        <w:topLinePunct/>
        <w:snapToGrid w:val="0"/>
        <w:spacing w:beforeLines="35" w:line="300" w:lineRule="auto"/>
        <w:ind w:firstLine="0"/>
        <w:jc w:val="both"/>
        <w:rPr>
          <w:kern w:val="2"/>
          <w:szCs w:val="21"/>
        </w:rPr>
      </w:pPr>
      <w:bookmarkStart w:id="206" w:name="All_devices_used_for_contraception_or_th"/>
      <w:bookmarkEnd w:id="206"/>
      <w:r>
        <w:rPr>
          <w:kern w:val="2"/>
          <w:szCs w:val="21"/>
        </w:rPr>
        <w:t>所有用于避孕或预防性病传播的器械均归类为IIb类，除非其为植入式或长期侵入性器械，在此情形下，应归类为III类。</w:t>
      </w:r>
    </w:p>
    <w:p w14:paraId="02111E85">
      <w:pPr>
        <w:pStyle w:val="4"/>
        <w:tabs>
          <w:tab w:val="left" w:pos="682"/>
        </w:tabs>
        <w:topLinePunct/>
        <w:snapToGrid w:val="0"/>
        <w:spacing w:beforeLines="35" w:line="300" w:lineRule="auto"/>
        <w:ind w:left="113" w:firstLine="0"/>
        <w:jc w:val="both"/>
        <w:rPr>
          <w:rFonts w:ascii="Times New Roman" w:hAnsi="Times New Roman"/>
          <w:b w:val="0"/>
          <w:bCs w:val="0"/>
          <w:kern w:val="2"/>
          <w:sz w:val="21"/>
          <w:szCs w:val="21"/>
        </w:rPr>
      </w:pPr>
      <w:r>
        <w:rPr>
          <w:rFonts w:ascii="Times New Roman" w:hAnsi="Times New Roman"/>
          <w:kern w:val="2"/>
          <w:sz w:val="21"/>
          <w:szCs w:val="21"/>
        </w:rPr>
        <w:t>7.3.</w:t>
      </w:r>
      <w:r>
        <w:rPr>
          <w:rFonts w:ascii="Times New Roman" w:hAnsi="Times New Roman"/>
          <w:kern w:val="2"/>
          <w:sz w:val="21"/>
          <w:szCs w:val="21"/>
        </w:rPr>
        <w:tab/>
      </w:r>
      <w:r>
        <w:rPr>
          <w:rFonts w:ascii="Times New Roman" w:hAnsi="Times New Roman"/>
          <w:kern w:val="2"/>
          <w:sz w:val="21"/>
          <w:szCs w:val="21"/>
        </w:rPr>
        <w:t>规则16</w:t>
      </w:r>
    </w:p>
    <w:p w14:paraId="067BE323">
      <w:pPr>
        <w:pStyle w:val="8"/>
        <w:topLinePunct/>
        <w:snapToGrid w:val="0"/>
        <w:spacing w:beforeLines="35" w:line="300" w:lineRule="auto"/>
        <w:ind w:firstLine="0"/>
        <w:jc w:val="both"/>
        <w:rPr>
          <w:kern w:val="2"/>
          <w:szCs w:val="21"/>
        </w:rPr>
      </w:pPr>
      <w:r>
        <w:rPr>
          <w:kern w:val="2"/>
          <w:szCs w:val="21"/>
        </w:rPr>
        <w:t>所有专门用于隐形眼镜的消毒、清洗、漂洗、或水合（如适用）的器械均归类为于IIb类。</w:t>
      </w:r>
    </w:p>
    <w:p w14:paraId="64406E78">
      <w:pPr>
        <w:pStyle w:val="8"/>
        <w:topLinePunct/>
        <w:snapToGrid w:val="0"/>
        <w:spacing w:beforeLines="35" w:line="300" w:lineRule="auto"/>
        <w:ind w:firstLine="0"/>
        <w:jc w:val="both"/>
        <w:rPr>
          <w:kern w:val="2"/>
          <w:szCs w:val="21"/>
        </w:rPr>
      </w:pPr>
      <w:r>
        <w:rPr>
          <w:kern w:val="2"/>
          <w:szCs w:val="21"/>
        </w:rPr>
        <w:t>所有用于医疗器械消毒或灭菌的器械均归类为于IIa类，除非其作为处理终点，是专门用于侵入性器械消毒的消毒溶液或清洗消毒器，在此情形下，应归类为IIb类。</w:t>
      </w:r>
    </w:p>
    <w:p w14:paraId="039C20AE">
      <w:pPr>
        <w:pStyle w:val="8"/>
        <w:topLinePunct/>
        <w:snapToGrid w:val="0"/>
        <w:spacing w:beforeLines="35" w:line="300" w:lineRule="auto"/>
        <w:ind w:firstLine="0"/>
        <w:jc w:val="both"/>
        <w:rPr>
          <w:kern w:val="2"/>
          <w:szCs w:val="21"/>
        </w:rPr>
      </w:pPr>
      <w:r>
        <w:rPr>
          <w:kern w:val="2"/>
          <w:szCs w:val="21"/>
        </w:rPr>
        <w:t>本规则并不适用于仅通过物理方法清洗，除隐形眼镜以外器械，的器械。</w:t>
      </w:r>
    </w:p>
    <w:p w14:paraId="2E365BA6">
      <w:pPr>
        <w:pStyle w:val="4"/>
        <w:tabs>
          <w:tab w:val="left" w:pos="682"/>
        </w:tabs>
        <w:topLinePunct/>
        <w:snapToGrid w:val="0"/>
        <w:spacing w:beforeLines="35" w:line="300" w:lineRule="auto"/>
        <w:ind w:left="113" w:firstLine="0"/>
        <w:jc w:val="both"/>
        <w:rPr>
          <w:rFonts w:ascii="Times New Roman" w:hAnsi="Times New Roman"/>
          <w:b w:val="0"/>
          <w:bCs w:val="0"/>
          <w:kern w:val="2"/>
          <w:sz w:val="21"/>
          <w:szCs w:val="21"/>
        </w:rPr>
      </w:pPr>
      <w:r>
        <w:rPr>
          <w:rFonts w:ascii="Times New Roman" w:hAnsi="Times New Roman"/>
          <w:kern w:val="2"/>
          <w:sz w:val="21"/>
          <w:szCs w:val="21"/>
        </w:rPr>
        <w:t>7.4.</w:t>
      </w:r>
      <w:r>
        <w:rPr>
          <w:rFonts w:ascii="Times New Roman" w:hAnsi="Times New Roman"/>
          <w:kern w:val="2"/>
          <w:sz w:val="21"/>
          <w:szCs w:val="21"/>
        </w:rPr>
        <w:tab/>
      </w:r>
      <w:r>
        <w:rPr>
          <w:rFonts w:ascii="Times New Roman" w:hAnsi="Times New Roman"/>
          <w:kern w:val="2"/>
          <w:sz w:val="21"/>
          <w:szCs w:val="21"/>
        </w:rPr>
        <w:t>规则17</w:t>
      </w:r>
    </w:p>
    <w:p w14:paraId="780D059F">
      <w:pPr>
        <w:pStyle w:val="8"/>
        <w:topLinePunct/>
        <w:snapToGrid w:val="0"/>
        <w:spacing w:beforeLines="35" w:line="300" w:lineRule="auto"/>
        <w:ind w:firstLine="0"/>
        <w:jc w:val="both"/>
        <w:rPr>
          <w:kern w:val="2"/>
          <w:szCs w:val="21"/>
        </w:rPr>
      </w:pPr>
      <w:r>
        <w:rPr>
          <w:kern w:val="2"/>
          <w:szCs w:val="21"/>
        </w:rPr>
        <w:t>专门用于记录X射线辐射生成的诊断图像的器械均归类为IIa类。</w:t>
      </w:r>
    </w:p>
    <w:p w14:paraId="04308A65">
      <w:pPr>
        <w:pStyle w:val="8"/>
        <w:topLinePunct/>
        <w:snapToGrid w:val="0"/>
        <w:spacing w:beforeLines="35" w:line="300" w:lineRule="auto"/>
        <w:ind w:firstLine="0"/>
        <w:jc w:val="both"/>
        <w:rPr>
          <w:kern w:val="2"/>
          <w:szCs w:val="21"/>
        </w:rPr>
      </w:pPr>
    </w:p>
    <w:p w14:paraId="3F638112">
      <w:pPr>
        <w:pStyle w:val="4"/>
        <w:tabs>
          <w:tab w:val="left" w:pos="682"/>
        </w:tabs>
        <w:topLinePunct/>
        <w:snapToGrid w:val="0"/>
        <w:spacing w:beforeLines="25" w:line="300" w:lineRule="auto"/>
        <w:ind w:left="113" w:firstLine="0"/>
        <w:jc w:val="both"/>
        <w:rPr>
          <w:rFonts w:ascii="Times New Roman" w:hAnsi="Times New Roman"/>
          <w:b w:val="0"/>
          <w:bCs w:val="0"/>
          <w:kern w:val="2"/>
          <w:sz w:val="21"/>
          <w:szCs w:val="21"/>
        </w:rPr>
      </w:pPr>
      <w:r>
        <w:rPr>
          <w:rFonts w:ascii="Times New Roman" w:hAnsi="Times New Roman"/>
          <w:kern w:val="2"/>
          <w:sz w:val="21"/>
          <w:szCs w:val="21"/>
        </w:rPr>
        <w:t>7.5.</w:t>
      </w:r>
      <w:r>
        <w:rPr>
          <w:rFonts w:ascii="Times New Roman" w:hAnsi="Times New Roman"/>
          <w:kern w:val="2"/>
          <w:sz w:val="21"/>
          <w:szCs w:val="21"/>
        </w:rPr>
        <w:tab/>
      </w:r>
      <w:r>
        <w:rPr>
          <w:rFonts w:ascii="Times New Roman" w:hAnsi="Times New Roman"/>
          <w:kern w:val="2"/>
          <w:sz w:val="21"/>
          <w:szCs w:val="21"/>
        </w:rPr>
        <w:t>规则18</w:t>
      </w:r>
    </w:p>
    <w:p w14:paraId="30F5D5E4">
      <w:pPr>
        <w:pStyle w:val="8"/>
        <w:topLinePunct/>
        <w:snapToGrid w:val="0"/>
        <w:spacing w:beforeLines="25" w:line="300" w:lineRule="auto"/>
        <w:ind w:firstLine="0"/>
        <w:jc w:val="both"/>
        <w:rPr>
          <w:kern w:val="2"/>
          <w:szCs w:val="21"/>
        </w:rPr>
      </w:pPr>
      <w:r>
        <w:rPr>
          <w:kern w:val="2"/>
          <w:szCs w:val="21"/>
        </w:rPr>
        <w:t>所有利用非活性或处理为非活性的人体或动物源组织或细胞或其他衍生物制成的器械均归类为III，除非此类器械仅用于直接接触无损皮肤。</w:t>
      </w:r>
    </w:p>
    <w:p w14:paraId="5ACEF472">
      <w:pPr>
        <w:pStyle w:val="4"/>
        <w:tabs>
          <w:tab w:val="left" w:pos="681"/>
        </w:tabs>
        <w:topLinePunct/>
        <w:snapToGrid w:val="0"/>
        <w:spacing w:beforeLines="25" w:line="300" w:lineRule="auto"/>
        <w:ind w:left="113" w:firstLine="0"/>
        <w:jc w:val="both"/>
        <w:rPr>
          <w:rFonts w:ascii="Times New Roman" w:hAnsi="Times New Roman"/>
          <w:b w:val="0"/>
          <w:bCs w:val="0"/>
          <w:kern w:val="2"/>
          <w:sz w:val="21"/>
          <w:szCs w:val="21"/>
        </w:rPr>
      </w:pPr>
      <w:r>
        <w:rPr>
          <w:rFonts w:ascii="Times New Roman" w:hAnsi="Times New Roman"/>
          <w:kern w:val="2"/>
          <w:sz w:val="21"/>
          <w:szCs w:val="21"/>
        </w:rPr>
        <w:t>7.6.</w:t>
      </w:r>
      <w:r>
        <w:rPr>
          <w:rFonts w:ascii="Times New Roman" w:hAnsi="Times New Roman"/>
          <w:kern w:val="2"/>
          <w:sz w:val="21"/>
          <w:szCs w:val="21"/>
        </w:rPr>
        <w:tab/>
      </w:r>
      <w:r>
        <w:rPr>
          <w:rFonts w:ascii="Times New Roman" w:hAnsi="Times New Roman"/>
          <w:kern w:val="2"/>
          <w:sz w:val="21"/>
          <w:szCs w:val="21"/>
        </w:rPr>
        <w:t>规则19</w:t>
      </w:r>
    </w:p>
    <w:p w14:paraId="072DB340">
      <w:pPr>
        <w:pStyle w:val="8"/>
        <w:topLinePunct/>
        <w:snapToGrid w:val="0"/>
        <w:spacing w:beforeLines="25" w:line="300" w:lineRule="auto"/>
        <w:ind w:firstLine="0"/>
        <w:jc w:val="both"/>
        <w:rPr>
          <w:kern w:val="2"/>
          <w:szCs w:val="21"/>
        </w:rPr>
      </w:pPr>
      <w:r>
        <w:rPr>
          <w:kern w:val="2"/>
          <w:szCs w:val="21"/>
        </w:rPr>
        <w:t>所有纳入或包含纳米材料的器械应归类为：</w:t>
      </w:r>
    </w:p>
    <w:p w14:paraId="2AF89647">
      <w:pPr>
        <w:pStyle w:val="8"/>
        <w:tabs>
          <w:tab w:val="left" w:pos="1247"/>
        </w:tabs>
        <w:topLinePunct/>
        <w:snapToGrid w:val="0"/>
        <w:spacing w:beforeLines="25" w:line="300" w:lineRule="auto"/>
        <w:ind w:firstLine="0"/>
        <w:jc w:val="both"/>
        <w:rPr>
          <w:kern w:val="2"/>
          <w:szCs w:val="21"/>
        </w:rPr>
      </w:pPr>
      <w:r>
        <w:rPr>
          <w:b/>
          <w:i/>
          <w:kern w:val="2"/>
          <w:szCs w:val="21"/>
        </w:rPr>
        <w:t xml:space="preserve">- </w:t>
      </w:r>
      <w:r>
        <w:rPr>
          <w:b/>
          <w:i/>
          <w:kern w:val="2"/>
          <w:szCs w:val="21"/>
        </w:rPr>
        <w:tab/>
      </w:r>
      <w:r>
        <w:rPr>
          <w:kern w:val="2"/>
          <w:szCs w:val="21"/>
        </w:rPr>
        <w:t>若其潜在内照射高或中等，则归类为III类；</w:t>
      </w:r>
    </w:p>
    <w:p w14:paraId="324E31C4">
      <w:pPr>
        <w:pStyle w:val="32"/>
        <w:numPr>
          <w:ilvl w:val="0"/>
          <w:numId w:val="203"/>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若其潜在内照射低，则归类为IIb类；</w:t>
      </w:r>
    </w:p>
    <w:p w14:paraId="55F61C77">
      <w:pPr>
        <w:pStyle w:val="32"/>
        <w:numPr>
          <w:ilvl w:val="0"/>
          <w:numId w:val="203"/>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若可忽略其潜在内照射，则归类为IIa类。</w:t>
      </w:r>
    </w:p>
    <w:p w14:paraId="3D122AC3">
      <w:pPr>
        <w:pStyle w:val="4"/>
        <w:tabs>
          <w:tab w:val="left" w:pos="682"/>
        </w:tabs>
        <w:topLinePunct/>
        <w:snapToGrid w:val="0"/>
        <w:spacing w:beforeLines="25" w:line="300" w:lineRule="auto"/>
        <w:ind w:left="113" w:firstLine="0"/>
        <w:jc w:val="both"/>
        <w:rPr>
          <w:rFonts w:ascii="Times New Roman" w:hAnsi="Times New Roman"/>
          <w:kern w:val="2"/>
          <w:sz w:val="21"/>
          <w:szCs w:val="21"/>
        </w:rPr>
      </w:pPr>
      <w:r>
        <w:rPr>
          <w:rFonts w:ascii="Times New Roman" w:hAnsi="Times New Roman"/>
          <w:kern w:val="2"/>
          <w:sz w:val="21"/>
          <w:szCs w:val="21"/>
        </w:rPr>
        <w:t>7.7.</w:t>
      </w:r>
      <w:r>
        <w:rPr>
          <w:rFonts w:ascii="Times New Roman" w:hAnsi="Times New Roman"/>
          <w:kern w:val="2"/>
          <w:sz w:val="21"/>
          <w:szCs w:val="21"/>
        </w:rPr>
        <w:tab/>
      </w:r>
      <w:r>
        <w:rPr>
          <w:rFonts w:ascii="Times New Roman" w:hAnsi="Times New Roman"/>
          <w:kern w:val="2"/>
          <w:sz w:val="21"/>
          <w:szCs w:val="21"/>
        </w:rPr>
        <w:t>规则20</w:t>
      </w:r>
    </w:p>
    <w:p w14:paraId="40574508">
      <w:pPr>
        <w:pStyle w:val="8"/>
        <w:topLinePunct/>
        <w:snapToGrid w:val="0"/>
        <w:spacing w:beforeLines="25" w:line="300" w:lineRule="auto"/>
        <w:ind w:firstLine="0"/>
        <w:jc w:val="both"/>
        <w:rPr>
          <w:kern w:val="2"/>
          <w:szCs w:val="21"/>
        </w:rPr>
      </w:pPr>
      <w:r>
        <w:rPr>
          <w:kern w:val="2"/>
          <w:szCs w:val="21"/>
        </w:rPr>
        <w:t>除外科侵入性器械外，所有预期通过吸入方式施用的，且与身体孔口相关的侵入性器械，属于IIa类，除非其作用方式对所施用的医疗产品的有效性和安全性具有显著影响以及那些预期用于治疗危及生命的情形的产品，在此情形下，应属于IIb类。</w:t>
      </w:r>
    </w:p>
    <w:p w14:paraId="42A8DDED">
      <w:pPr>
        <w:pStyle w:val="4"/>
        <w:tabs>
          <w:tab w:val="left" w:pos="682"/>
        </w:tabs>
        <w:topLinePunct/>
        <w:snapToGrid w:val="0"/>
        <w:spacing w:beforeLines="25" w:line="300" w:lineRule="auto"/>
        <w:ind w:left="113" w:firstLine="0"/>
        <w:jc w:val="both"/>
        <w:rPr>
          <w:rFonts w:ascii="Times New Roman" w:hAnsi="Times New Roman"/>
          <w:kern w:val="2"/>
          <w:sz w:val="21"/>
          <w:szCs w:val="21"/>
        </w:rPr>
      </w:pPr>
      <w:r>
        <w:rPr>
          <w:rFonts w:ascii="Times New Roman" w:hAnsi="Times New Roman"/>
          <w:kern w:val="2"/>
          <w:sz w:val="21"/>
          <w:szCs w:val="21"/>
        </w:rPr>
        <w:t>7.8.</w:t>
      </w:r>
      <w:r>
        <w:rPr>
          <w:rFonts w:ascii="Times New Roman" w:hAnsi="Times New Roman"/>
          <w:kern w:val="2"/>
          <w:sz w:val="21"/>
          <w:szCs w:val="21"/>
        </w:rPr>
        <w:tab/>
      </w:r>
      <w:r>
        <w:rPr>
          <w:rFonts w:ascii="Times New Roman" w:hAnsi="Times New Roman"/>
          <w:kern w:val="2"/>
          <w:sz w:val="21"/>
          <w:szCs w:val="21"/>
        </w:rPr>
        <w:t>规则21</w:t>
      </w:r>
    </w:p>
    <w:p w14:paraId="625198C1">
      <w:pPr>
        <w:pStyle w:val="8"/>
        <w:topLinePunct/>
        <w:snapToGrid w:val="0"/>
        <w:spacing w:beforeLines="25" w:line="300" w:lineRule="auto"/>
        <w:ind w:firstLine="0"/>
        <w:jc w:val="both"/>
        <w:rPr>
          <w:kern w:val="2"/>
          <w:szCs w:val="21"/>
        </w:rPr>
      </w:pPr>
      <w:r>
        <w:rPr>
          <w:kern w:val="2"/>
          <w:szCs w:val="21"/>
        </w:rPr>
        <w:t>由某种物质或混合物组成并通过身体孔口被引入人体或施加到皮肤上且可由人体吸收或局部喷洒在人体上的器械应归类为：</w:t>
      </w:r>
    </w:p>
    <w:p w14:paraId="057D7D7A">
      <w:pPr>
        <w:pStyle w:val="32"/>
        <w:numPr>
          <w:ilvl w:val="2"/>
          <w:numId w:val="204"/>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若其或其代谢物由人体系统性地吸收以实现预期用途，则归类为III类；</w:t>
      </w:r>
    </w:p>
    <w:p w14:paraId="19A1BD19">
      <w:pPr>
        <w:pStyle w:val="32"/>
        <w:numPr>
          <w:ilvl w:val="2"/>
          <w:numId w:val="204"/>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若其于胃或下消化道实现其预期用途或者其代谢物由人体系统性地吸收，则归类为III类；</w:t>
      </w:r>
    </w:p>
    <w:p w14:paraId="4CC8C360">
      <w:pPr>
        <w:pStyle w:val="32"/>
        <w:numPr>
          <w:ilvl w:val="2"/>
          <w:numId w:val="204"/>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若其施用于皮肤或若其应用于鼻腔或咽部以上的口腔并于此类腔体内实现其预期用途，应归类为IIa类；</w:t>
      </w:r>
    </w:p>
    <w:p w14:paraId="0ED215D4">
      <w:pPr>
        <w:pStyle w:val="32"/>
        <w:numPr>
          <w:ilvl w:val="2"/>
          <w:numId w:val="204"/>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在其他所有情形下，均归类为IIb类。</w:t>
      </w:r>
    </w:p>
    <w:p w14:paraId="596B9415">
      <w:pPr>
        <w:pStyle w:val="4"/>
        <w:tabs>
          <w:tab w:val="left" w:pos="682"/>
        </w:tabs>
        <w:topLinePunct/>
        <w:snapToGrid w:val="0"/>
        <w:spacing w:beforeLines="25" w:line="300" w:lineRule="auto"/>
        <w:ind w:left="113" w:firstLine="0"/>
        <w:jc w:val="both"/>
        <w:rPr>
          <w:rFonts w:ascii="Times New Roman" w:hAnsi="Times New Roman"/>
          <w:kern w:val="2"/>
          <w:sz w:val="21"/>
          <w:szCs w:val="21"/>
        </w:rPr>
      </w:pPr>
      <w:r>
        <w:rPr>
          <w:rFonts w:ascii="Times New Roman" w:hAnsi="Times New Roman"/>
          <w:kern w:val="2"/>
          <w:sz w:val="21"/>
          <w:szCs w:val="21"/>
        </w:rPr>
        <w:t>7.9.</w:t>
      </w:r>
      <w:r>
        <w:rPr>
          <w:rFonts w:ascii="Times New Roman" w:hAnsi="Times New Roman"/>
          <w:kern w:val="2"/>
          <w:sz w:val="21"/>
          <w:szCs w:val="21"/>
        </w:rPr>
        <w:tab/>
      </w:r>
      <w:r>
        <w:rPr>
          <w:rFonts w:ascii="Times New Roman" w:hAnsi="Times New Roman"/>
          <w:kern w:val="2"/>
          <w:sz w:val="21"/>
          <w:szCs w:val="21"/>
        </w:rPr>
        <w:t>规则22</w:t>
      </w:r>
    </w:p>
    <w:p w14:paraId="4AB6BE88">
      <w:pPr>
        <w:pStyle w:val="8"/>
        <w:topLinePunct/>
        <w:snapToGrid w:val="0"/>
        <w:spacing w:beforeLines="25" w:line="300" w:lineRule="auto"/>
        <w:ind w:firstLine="0"/>
        <w:jc w:val="both"/>
        <w:rPr>
          <w:kern w:val="2"/>
          <w:szCs w:val="21"/>
        </w:rPr>
      </w:pPr>
      <w:r>
        <w:rPr>
          <w:kern w:val="2"/>
          <w:szCs w:val="21"/>
        </w:rPr>
        <w:t>具有集成或合并诊断功能，此功能是患者采用此器械治疗的主要因素，的有源治疗器械，如闭环系统或自动体外除颤器，应归类为III类。</w:t>
      </w:r>
    </w:p>
    <w:p w14:paraId="3E1918B6">
      <w:pPr>
        <w:snapToGrid w:val="0"/>
        <w:spacing w:beforeLines="25" w:line="300" w:lineRule="auto"/>
        <w:jc w:val="center"/>
        <w:rPr>
          <w:rFonts w:ascii="Times New Roman" w:hAnsi="Times New Roman"/>
          <w:szCs w:val="21"/>
        </w:rPr>
      </w:pPr>
      <w:r>
        <w:rPr>
          <w:rFonts w:hint="eastAsia" w:ascii="Times New Roman" w:hAnsi="Times New Roman"/>
          <w:szCs w:val="21"/>
        </w:rPr>
        <w:t>________________</w:t>
      </w:r>
    </w:p>
    <w:p w14:paraId="0E7A42C2">
      <w:pPr>
        <w:pStyle w:val="2"/>
        <w:spacing w:beforeLines="25" w:line="300" w:lineRule="auto"/>
        <w:rPr>
          <w:bCs/>
          <w:sz w:val="24"/>
          <w:szCs w:val="24"/>
        </w:rPr>
      </w:pPr>
      <w:bookmarkStart w:id="207" w:name="_Toc477512424"/>
      <w:r>
        <w:rPr>
          <w:sz w:val="21"/>
          <w:szCs w:val="21"/>
        </w:rPr>
        <w:br w:type="page"/>
      </w:r>
      <w:r>
        <w:rPr>
          <w:sz w:val="24"/>
          <w:szCs w:val="24"/>
        </w:rPr>
        <w:t xml:space="preserve">附录IX </w:t>
      </w:r>
      <w:r>
        <w:rPr>
          <w:sz w:val="24"/>
          <w:szCs w:val="24"/>
        </w:rPr>
        <w:br w:type="textWrapping"/>
      </w:r>
      <w:r>
        <w:rPr>
          <w:sz w:val="24"/>
          <w:szCs w:val="24"/>
        </w:rPr>
        <w:t>基于质量管理体系和技术文件评估的符合性评估</w:t>
      </w:r>
      <w:bookmarkEnd w:id="207"/>
    </w:p>
    <w:p w14:paraId="768A448D">
      <w:pPr>
        <w:pStyle w:val="4"/>
        <w:topLinePunct/>
        <w:snapToGrid w:val="0"/>
        <w:spacing w:beforeLines="35" w:line="300" w:lineRule="auto"/>
        <w:ind w:left="196" w:firstLine="0"/>
        <w:jc w:val="center"/>
        <w:rPr>
          <w:rFonts w:ascii="Times New Roman" w:hAnsi="Times New Roman"/>
          <w:kern w:val="2"/>
          <w:sz w:val="21"/>
          <w:szCs w:val="21"/>
        </w:rPr>
      </w:pPr>
    </w:p>
    <w:p w14:paraId="7EC81E8A">
      <w:pPr>
        <w:pStyle w:val="4"/>
        <w:topLinePunct/>
        <w:snapToGrid w:val="0"/>
        <w:spacing w:beforeLines="35" w:line="300" w:lineRule="auto"/>
        <w:ind w:left="196" w:firstLine="0"/>
        <w:jc w:val="center"/>
        <w:rPr>
          <w:rFonts w:ascii="Times New Roman" w:hAnsi="Times New Roman"/>
          <w:kern w:val="2"/>
          <w:sz w:val="21"/>
          <w:szCs w:val="21"/>
        </w:rPr>
      </w:pPr>
      <w:r>
        <w:rPr>
          <w:rFonts w:ascii="Times New Roman" w:hAnsi="Times New Roman"/>
          <w:kern w:val="2"/>
          <w:sz w:val="21"/>
          <w:szCs w:val="21"/>
        </w:rPr>
        <w:t>第I章：</w:t>
      </w:r>
    </w:p>
    <w:p w14:paraId="47C81C98">
      <w:pPr>
        <w:pStyle w:val="4"/>
        <w:topLinePunct/>
        <w:snapToGrid w:val="0"/>
        <w:spacing w:beforeLines="35" w:line="300" w:lineRule="auto"/>
        <w:ind w:left="196" w:firstLine="0"/>
        <w:jc w:val="center"/>
        <w:rPr>
          <w:rFonts w:ascii="Times New Roman" w:hAnsi="Times New Roman"/>
          <w:b w:val="0"/>
          <w:bCs w:val="0"/>
          <w:kern w:val="2"/>
          <w:sz w:val="21"/>
          <w:szCs w:val="21"/>
        </w:rPr>
      </w:pPr>
      <w:r>
        <w:rPr>
          <w:rFonts w:ascii="Times New Roman" w:hAnsi="Times New Roman"/>
          <w:kern w:val="2"/>
          <w:sz w:val="21"/>
          <w:szCs w:val="21"/>
        </w:rPr>
        <w:t>质量管理体系</w:t>
      </w:r>
    </w:p>
    <w:p w14:paraId="3A9F610D">
      <w:pPr>
        <w:pStyle w:val="8"/>
        <w:tabs>
          <w:tab w:val="left" w:pos="681"/>
        </w:tabs>
        <w:topLinePunct/>
        <w:snapToGrid w:val="0"/>
        <w:spacing w:beforeLines="35" w:line="300" w:lineRule="auto"/>
        <w:ind w:hanging="568"/>
        <w:jc w:val="both"/>
        <w:rPr>
          <w:kern w:val="2"/>
          <w:szCs w:val="21"/>
        </w:rPr>
      </w:pPr>
      <w:r>
        <w:rPr>
          <w:kern w:val="2"/>
          <w:szCs w:val="21"/>
        </w:rPr>
        <w:t>1.</w:t>
      </w:r>
      <w:r>
        <w:rPr>
          <w:kern w:val="2"/>
          <w:szCs w:val="21"/>
        </w:rPr>
        <w:tab/>
      </w:r>
      <w:r>
        <w:rPr>
          <w:kern w:val="2"/>
          <w:szCs w:val="21"/>
        </w:rPr>
        <w:t>如第10(9)条所述，制造商应建立、记录和实施质量管理体系，并保持其在相关器械的整个生命周期内的有效性。制造商应确保质量管理体系的运行，如第2节规定，并根据第2.3和2.4节的规定进行审核，以及根据第3节的规定进行监管。</w:t>
      </w:r>
    </w:p>
    <w:p w14:paraId="58050D3D">
      <w:pPr>
        <w:pStyle w:val="4"/>
        <w:tabs>
          <w:tab w:val="left" w:pos="682"/>
        </w:tabs>
        <w:topLinePunct/>
        <w:snapToGrid w:val="0"/>
        <w:spacing w:beforeLines="35" w:line="300" w:lineRule="auto"/>
        <w:ind w:left="113" w:firstLine="0"/>
        <w:jc w:val="both"/>
        <w:rPr>
          <w:rFonts w:ascii="Times New Roman" w:hAnsi="Times New Roman"/>
          <w:b w:val="0"/>
          <w:bCs w:val="0"/>
          <w:kern w:val="2"/>
          <w:sz w:val="21"/>
          <w:szCs w:val="21"/>
        </w:rPr>
      </w:pPr>
      <w:r>
        <w:rPr>
          <w:rFonts w:hint="eastAsia" w:ascii="Times New Roman" w:hAnsi="Times New Roman"/>
          <w:kern w:val="2"/>
          <w:sz w:val="21"/>
          <w:szCs w:val="21"/>
        </w:rPr>
        <w:t>2.</w:t>
      </w:r>
      <w:r>
        <w:rPr>
          <w:rFonts w:hint="eastAsia" w:ascii="Times New Roman" w:hAnsi="Times New Roman"/>
          <w:kern w:val="2"/>
          <w:sz w:val="21"/>
          <w:szCs w:val="21"/>
        </w:rPr>
        <w:tab/>
      </w:r>
      <w:r>
        <w:rPr>
          <w:rFonts w:ascii="Times New Roman" w:hAnsi="Times New Roman"/>
          <w:kern w:val="2"/>
          <w:sz w:val="21"/>
          <w:szCs w:val="21"/>
        </w:rPr>
        <w:t>质量管理体系评估</w:t>
      </w:r>
    </w:p>
    <w:p w14:paraId="3F6590E6">
      <w:pPr>
        <w:pStyle w:val="32"/>
        <w:numPr>
          <w:ilvl w:val="1"/>
          <w:numId w:val="205"/>
        </w:numPr>
        <w:tabs>
          <w:tab w:val="left" w:pos="682"/>
          <w:tab w:val="clear" w:pos="473"/>
        </w:tabs>
        <w:topLinePunct/>
        <w:snapToGrid w:val="0"/>
        <w:spacing w:beforeLines="35" w:line="300" w:lineRule="auto"/>
        <w:ind w:left="720" w:hanging="607"/>
        <w:jc w:val="both"/>
        <w:rPr>
          <w:rFonts w:ascii="Times New Roman" w:hAnsi="Times New Roman"/>
          <w:kern w:val="2"/>
          <w:szCs w:val="21"/>
        </w:rPr>
      </w:pPr>
      <w:r>
        <w:rPr>
          <w:rFonts w:ascii="Times New Roman" w:hAnsi="Times New Roman"/>
          <w:kern w:val="2"/>
          <w:szCs w:val="21"/>
        </w:rPr>
        <w:t>制造商应向公告机构提出申请，评估自己的质量管理体系。申请应当包括：</w:t>
      </w:r>
    </w:p>
    <w:p w14:paraId="6FE880D6">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制造商企业的名称和注册办公室地址以及质量管理体系覆盖的任何其他生产场所，若制造商申请由授权代表提出，同时也需要提供授权代表的姓名以及其注册营业地点的地址，</w:t>
      </w:r>
    </w:p>
    <w:p w14:paraId="1213A588">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质量管理体系覆盖的器械或器械组的所有相关信息，</w:t>
      </w:r>
    </w:p>
    <w:p w14:paraId="0901F068">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一份书面声明，表明没有向其他公告机构，就同一器械相关的质量管理体系提交申请，或给出同一器械相关的质量管理体系以往的信息，</w:t>
      </w:r>
    </w:p>
    <w:p w14:paraId="0DDB56F6">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一份依据第19条和附录IV的欧盟符合性声明的草稿，针对符合性评估流程所覆盖的器械型号</w:t>
      </w:r>
    </w:p>
    <w:p w14:paraId="154CDF92">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制造商质量管理体系的文件，</w:t>
      </w:r>
    </w:p>
    <w:p w14:paraId="666EA8FE">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一份相关程序的书面说明，其中包括履行质量管理体系中提出的义务及本法规所载的要求，以及相关制造商对使用这些程序的保证，</w:t>
      </w:r>
    </w:p>
    <w:p w14:paraId="7C4C8A3B">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一份相关程序的说明，以确保保持质量管理体系的正确性和有效性，以及制造商对使用这些程序的保证，</w:t>
      </w:r>
    </w:p>
    <w:p w14:paraId="18AF1F7F">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制造商上市后监管体系和PMCF计划（如适用）的文档及适当的程序以保证其符合第87条至92条警戒规定的义务，</w:t>
      </w:r>
    </w:p>
    <w:p w14:paraId="30F95731">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一份相关程序的说明，以保持最新的上市后监管体系和PMCF计划（如适用），及适当的程序以保证其符合第87条至92条警示规定的义务，以及制造商对使用这些程序的保证，</w:t>
      </w:r>
    </w:p>
    <w:p w14:paraId="6C97F73A">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临床评估计划的文件，</w:t>
      </w:r>
    </w:p>
    <w:p w14:paraId="5B6D43BB">
      <w:pPr>
        <w:pStyle w:val="32"/>
        <w:numPr>
          <w:ilvl w:val="2"/>
          <w:numId w:val="206"/>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一份相关程序的说明，以保持临床评估计划的更新，并考虑目前工艺水平。</w:t>
      </w:r>
    </w:p>
    <w:p w14:paraId="77D32103">
      <w:pPr>
        <w:pStyle w:val="32"/>
        <w:tabs>
          <w:tab w:val="left" w:pos="682"/>
        </w:tabs>
        <w:topLinePunct/>
        <w:snapToGrid w:val="0"/>
        <w:spacing w:beforeLines="35" w:line="300" w:lineRule="auto"/>
        <w:ind w:left="638" w:leftChars="54" w:hanging="525" w:hangingChars="250"/>
        <w:jc w:val="both"/>
        <w:rPr>
          <w:rFonts w:ascii="Times New Roman" w:hAnsi="Times New Roman"/>
          <w:kern w:val="2"/>
          <w:szCs w:val="21"/>
        </w:rPr>
      </w:pPr>
      <w:r>
        <w:rPr>
          <w:rFonts w:ascii="Times New Roman" w:hAnsi="Times New Roman"/>
          <w:kern w:val="2"/>
          <w:szCs w:val="21"/>
        </w:rPr>
        <w:t>2.2</w:t>
      </w:r>
      <w:r>
        <w:rPr>
          <w:rFonts w:ascii="Times New Roman" w:hAnsi="Times New Roman"/>
          <w:kern w:val="2"/>
          <w:szCs w:val="21"/>
        </w:rPr>
        <w:tab/>
      </w:r>
      <w:r>
        <w:rPr>
          <w:rFonts w:ascii="Times New Roman" w:hAnsi="Times New Roman"/>
          <w:kern w:val="2"/>
          <w:szCs w:val="21"/>
        </w:rPr>
        <w:t>质量管理体系的实施应确保遵守本法规的规定。制造商为其质量管理体系而采用的所有要素、要求和规定，必须以系统和有序的方式记录在质量手册、书面政策和程序之中，例如质量程序、质量计划和质量记录。</w:t>
      </w:r>
    </w:p>
    <w:p w14:paraId="53B52E5B">
      <w:pPr>
        <w:pStyle w:val="8"/>
        <w:topLinePunct/>
        <w:snapToGrid w:val="0"/>
        <w:spacing w:beforeLines="25" w:line="300" w:lineRule="auto"/>
        <w:ind w:firstLine="0"/>
        <w:jc w:val="both"/>
        <w:rPr>
          <w:kern w:val="2"/>
          <w:szCs w:val="21"/>
        </w:rPr>
      </w:pPr>
      <w:r>
        <w:rPr>
          <w:kern w:val="2"/>
          <w:szCs w:val="21"/>
        </w:rPr>
        <w:br w:type="page"/>
      </w:r>
      <w:r>
        <w:rPr>
          <w:kern w:val="2"/>
          <w:szCs w:val="21"/>
        </w:rPr>
        <w:t>此外，为质量管理体系的评估而提交的文件应包括适当的说明，特别是：</w:t>
      </w:r>
    </w:p>
    <w:p w14:paraId="04353013">
      <w:pPr>
        <w:pStyle w:val="32"/>
        <w:numPr>
          <w:ilvl w:val="0"/>
          <w:numId w:val="20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制造商的质量目标；</w:t>
      </w:r>
    </w:p>
    <w:p w14:paraId="3F9C9E7A">
      <w:pPr>
        <w:pStyle w:val="32"/>
        <w:numPr>
          <w:ilvl w:val="0"/>
          <w:numId w:val="20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业务的组织，特别是：</w:t>
      </w:r>
    </w:p>
    <w:p w14:paraId="077536E0">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对关键程序、管理人员的职责和其组织权力具有明确任务分配的组织结构，</w:t>
      </w:r>
    </w:p>
    <w:p w14:paraId="5CEF8930">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监管质量管理体系是否有效运行的方法，特别是</w:t>
      </w:r>
      <w:r>
        <w:rPr>
          <w:rFonts w:hint="eastAsia" w:ascii="Times New Roman" w:hAnsi="Times New Roman"/>
          <w:kern w:val="2"/>
          <w:szCs w:val="21"/>
        </w:rPr>
        <w:t>其</w:t>
      </w:r>
      <w:r>
        <w:rPr>
          <w:rFonts w:ascii="Times New Roman" w:hAnsi="Times New Roman"/>
          <w:kern w:val="2"/>
          <w:szCs w:val="21"/>
        </w:rPr>
        <w:t>实现预期的设计和器械质量的能力，包括</w:t>
      </w:r>
      <w:r>
        <w:rPr>
          <w:rFonts w:hint="eastAsia" w:ascii="Times New Roman" w:hAnsi="Times New Roman"/>
          <w:kern w:val="2"/>
          <w:szCs w:val="21"/>
        </w:rPr>
        <w:t>管理</w:t>
      </w:r>
      <w:r>
        <w:rPr>
          <w:rFonts w:ascii="Times New Roman" w:hAnsi="Times New Roman"/>
          <w:kern w:val="2"/>
          <w:szCs w:val="21"/>
        </w:rPr>
        <w:t>未符合要求的器械，</w:t>
      </w:r>
    </w:p>
    <w:p w14:paraId="44B252AE">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器械的设计、制造和/或最终验证和测试，或这些程序的任何部分，由另一方承担，质量管理体系有效运行的监管方法，特别是对其中一方施加的控制类型和程度，</w:t>
      </w:r>
    </w:p>
    <w:p w14:paraId="3B94CC27">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若制造商在某个成员国没有注册营业地址，需提供一份授权草稿，任命一位授权代表，并且授权代表出具意向书，愿意接收这个授权；</w:t>
      </w:r>
    </w:p>
    <w:p w14:paraId="57BDC0C3">
      <w:pPr>
        <w:pStyle w:val="32"/>
        <w:numPr>
          <w:ilvl w:val="0"/>
          <w:numId w:val="20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用于监控、验证、确认和控制器械设计的程序和技术，相应的文件以及这些程序和技术所产生的数据和记录，这些程序和技术应具体着眼于以下：</w:t>
      </w:r>
    </w:p>
    <w:p w14:paraId="330F7EF4">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法规符合性策略，包括确定相关法律要求、资质、分类、等效性处理、符合性评估流程的选取和遵守的过程，</w:t>
      </w:r>
    </w:p>
    <w:p w14:paraId="076E737A">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确定适用的一般安全性与性能要求以及解决这些问题的方案，考虑采用适用的CS以及协调标准或其他适当的解决方案（如选择），</w:t>
      </w:r>
    </w:p>
    <w:p w14:paraId="3D74E204">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附录I第3节所述的风险管理，</w:t>
      </w:r>
    </w:p>
    <w:p w14:paraId="7CE13D98">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临床评估，根据第61条和附录XIV的规定，包括上市后的临床跟踪，</w:t>
      </w:r>
    </w:p>
    <w:p w14:paraId="02EF6021">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对于设计和构造，满足适用的具体要求，其解决方案包括适当的临床前评估，特别针对附录I第II章要求，</w:t>
      </w:r>
    </w:p>
    <w:p w14:paraId="5FE88CBF">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对于和器械一同提供的信息，满足适用的具体要求的解决方案，特别针对附录I第III章要求，</w:t>
      </w:r>
    </w:p>
    <w:p w14:paraId="02F12F2A">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草拟器械识别程序，在生产的每一个阶段，与图纸、规范或其他相关文件保持同步</w:t>
      </w:r>
    </w:p>
    <w:p w14:paraId="6253760A">
      <w:pPr>
        <w:pStyle w:val="32"/>
        <w:numPr>
          <w:ilvl w:val="1"/>
          <w:numId w:val="207"/>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设计的管理或质量管理体系的变更；</w:t>
      </w:r>
    </w:p>
    <w:p w14:paraId="3531B5F9">
      <w:pPr>
        <w:pStyle w:val="32"/>
        <w:numPr>
          <w:ilvl w:val="0"/>
          <w:numId w:val="20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生产环节的验证和质量保证技术，特别是</w:t>
      </w:r>
    </w:p>
    <w:p w14:paraId="046757F2">
      <w:pPr>
        <w:pStyle w:val="32"/>
        <w:numPr>
          <w:ilvl w:val="1"/>
          <w:numId w:val="20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将要使用的过程和流程，尤其是灭菌相关及相应文件，</w:t>
      </w:r>
    </w:p>
    <w:p w14:paraId="383972C8">
      <w:pPr>
        <w:pStyle w:val="32"/>
        <w:numPr>
          <w:ilvl w:val="0"/>
          <w:numId w:val="20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制造前、制造中和制造后将要实施的适用的测试和试验，其发生的频率和使用的测试设备，并应能充分地追溯测试设备的校准情况。</w:t>
      </w:r>
    </w:p>
    <w:p w14:paraId="1F85C391">
      <w:pPr>
        <w:pStyle w:val="8"/>
        <w:topLinePunct/>
        <w:snapToGrid w:val="0"/>
        <w:spacing w:beforeLines="25" w:line="300" w:lineRule="auto"/>
        <w:ind w:firstLine="0"/>
        <w:jc w:val="both"/>
        <w:rPr>
          <w:kern w:val="2"/>
          <w:szCs w:val="21"/>
        </w:rPr>
      </w:pPr>
      <w:r>
        <w:rPr>
          <w:kern w:val="2"/>
          <w:szCs w:val="21"/>
        </w:rPr>
        <w:t>此外，制造商应给予公告机构权利，获取附录II和II所述的技术文件。</w:t>
      </w:r>
    </w:p>
    <w:p w14:paraId="0C739DCF">
      <w:pPr>
        <w:pStyle w:val="32"/>
        <w:tabs>
          <w:tab w:val="left" w:pos="682"/>
        </w:tabs>
        <w:topLinePunct/>
        <w:snapToGrid w:val="0"/>
        <w:spacing w:beforeLines="25" w:line="300" w:lineRule="auto"/>
        <w:ind w:left="113"/>
        <w:jc w:val="both"/>
        <w:rPr>
          <w:rFonts w:ascii="Times New Roman" w:hAnsi="Times New Roman"/>
          <w:kern w:val="2"/>
          <w:szCs w:val="21"/>
        </w:rPr>
      </w:pPr>
      <w:r>
        <w:rPr>
          <w:rFonts w:ascii="Times New Roman" w:hAnsi="Times New Roman"/>
          <w:kern w:val="2"/>
          <w:szCs w:val="21"/>
        </w:rPr>
        <w:t>2.3.</w:t>
      </w:r>
      <w:r>
        <w:rPr>
          <w:rFonts w:ascii="Times New Roman" w:hAnsi="Times New Roman"/>
          <w:kern w:val="2"/>
          <w:szCs w:val="21"/>
        </w:rPr>
        <w:tab/>
      </w:r>
      <w:r>
        <w:rPr>
          <w:rFonts w:ascii="Times New Roman" w:hAnsi="Times New Roman"/>
          <w:kern w:val="2"/>
          <w:szCs w:val="21"/>
        </w:rPr>
        <w:t>审核</w:t>
      </w:r>
    </w:p>
    <w:p w14:paraId="3AF79FAD">
      <w:pPr>
        <w:pStyle w:val="32"/>
        <w:tabs>
          <w:tab w:val="left" w:pos="1248"/>
        </w:tabs>
        <w:topLinePunct/>
        <w:snapToGrid w:val="0"/>
        <w:spacing w:beforeLines="25" w:line="300" w:lineRule="auto"/>
        <w:ind w:left="681"/>
        <w:jc w:val="both"/>
        <w:rPr>
          <w:rFonts w:ascii="Times New Roman" w:hAnsi="Times New Roman"/>
          <w:kern w:val="2"/>
          <w:szCs w:val="21"/>
        </w:rPr>
      </w:pPr>
      <w:r>
        <w:rPr>
          <w:rFonts w:ascii="Times New Roman" w:hAnsi="Times New Roman"/>
          <w:kern w:val="2"/>
          <w:szCs w:val="21"/>
        </w:rPr>
        <w:t>公告机构应审核质量管理体系，以确定它是否满足第2.2节中所述的要求。关于质量管理体系，若制造商使用了协调标准或CS，公告机构应符合这些标准或CS。对于满足相关协调标准或CS的质量管理体系，公告机构应假设其符合这些标准或CS涵盖的要求，除非有充分证据不可如是行事。</w:t>
      </w:r>
    </w:p>
    <w:p w14:paraId="662BF220">
      <w:pPr>
        <w:pStyle w:val="32"/>
        <w:tabs>
          <w:tab w:val="left" w:pos="1248"/>
        </w:tabs>
        <w:topLinePunct/>
        <w:snapToGrid w:val="0"/>
        <w:spacing w:beforeLines="25" w:line="300" w:lineRule="auto"/>
        <w:ind w:left="681"/>
        <w:jc w:val="both"/>
        <w:rPr>
          <w:rFonts w:ascii="Times New Roman" w:hAnsi="Times New Roman"/>
          <w:kern w:val="2"/>
          <w:szCs w:val="21"/>
        </w:rPr>
      </w:pPr>
      <w:r>
        <w:rPr>
          <w:rFonts w:ascii="Times New Roman" w:hAnsi="Times New Roman"/>
          <w:kern w:val="2"/>
          <w:szCs w:val="21"/>
        </w:rPr>
        <w:t>根据附录VII的第4.3节至第4.5节，公告机构的审核小组应至少包括一位具有相关技术评估经验的成员。若这种经验不直观或不适用，公告机构应该提供包含该审团队的书面理由。评估流程应包括，基于制造商而做出的审核，如适用，应基于制造商的供应商和/或分包商，以验证制造和其他相关过程。</w:t>
      </w:r>
    </w:p>
    <w:p w14:paraId="3EF9CF10">
      <w:pPr>
        <w:pStyle w:val="32"/>
        <w:tabs>
          <w:tab w:val="left" w:pos="1248"/>
        </w:tabs>
        <w:topLinePunct/>
        <w:snapToGrid w:val="0"/>
        <w:spacing w:beforeLines="25" w:line="300" w:lineRule="auto"/>
        <w:ind w:left="681"/>
        <w:jc w:val="both"/>
        <w:rPr>
          <w:rFonts w:ascii="Times New Roman" w:hAnsi="Times New Roman"/>
          <w:kern w:val="2"/>
          <w:szCs w:val="21"/>
        </w:rPr>
      </w:pPr>
      <w:r>
        <w:rPr>
          <w:rFonts w:ascii="Times New Roman" w:hAnsi="Times New Roman"/>
          <w:kern w:val="2"/>
          <w:szCs w:val="21"/>
        </w:rPr>
        <w:t>此外，若为IIa或IIb类器械，质量管理体系评估应伴随着器械技术文件的评估，按照第4.4至第4.8节的规定，器械的选择应具有代表性。在选择代表性样本的过程中，公告机构应考虑MDCG根据第105条而设计和发布的指南，特别是技术创新性，包括设计、技术、制造和灭菌方法、预期用途以及之前有关评估的结果（如就物理、化学、生物或临床属性而言）执行。相关公告机构应记录其样品选择的理由。</w:t>
      </w:r>
    </w:p>
    <w:p w14:paraId="542D1CEF">
      <w:pPr>
        <w:pStyle w:val="32"/>
        <w:tabs>
          <w:tab w:val="left" w:pos="1248"/>
        </w:tabs>
        <w:topLinePunct/>
        <w:snapToGrid w:val="0"/>
        <w:spacing w:beforeLines="25" w:line="300" w:lineRule="auto"/>
        <w:ind w:left="681"/>
        <w:jc w:val="both"/>
        <w:rPr>
          <w:rFonts w:ascii="Times New Roman" w:hAnsi="Times New Roman"/>
          <w:kern w:val="2"/>
          <w:szCs w:val="21"/>
        </w:rPr>
      </w:pPr>
      <w:r>
        <w:rPr>
          <w:rFonts w:ascii="Times New Roman" w:hAnsi="Times New Roman"/>
          <w:kern w:val="2"/>
          <w:szCs w:val="21"/>
        </w:rPr>
        <w:t>若质量管理体系符合本法规的有关规定，公告机构将出具的欧盟质量管理体系证书。公告机构应通知制造商其颁发证书的决议。该决议应包括审核结论和理由报告。</w:t>
      </w:r>
    </w:p>
    <w:p w14:paraId="3717E892">
      <w:pPr>
        <w:pStyle w:val="8"/>
        <w:tabs>
          <w:tab w:val="left" w:pos="681"/>
        </w:tabs>
        <w:topLinePunct/>
        <w:snapToGrid w:val="0"/>
        <w:spacing w:beforeLines="25" w:line="300" w:lineRule="auto"/>
        <w:ind w:hanging="568"/>
        <w:jc w:val="both"/>
        <w:rPr>
          <w:kern w:val="2"/>
          <w:szCs w:val="21"/>
        </w:rPr>
      </w:pPr>
      <w:r>
        <w:rPr>
          <w:kern w:val="2"/>
          <w:szCs w:val="21"/>
        </w:rPr>
        <w:t>2.4.</w:t>
      </w:r>
      <w:r>
        <w:rPr>
          <w:kern w:val="2"/>
          <w:szCs w:val="21"/>
        </w:rPr>
        <w:tab/>
      </w:r>
      <w:r>
        <w:rPr>
          <w:kern w:val="2"/>
          <w:szCs w:val="21"/>
        </w:rPr>
        <w:t>相关制造商应通知公告机构（批准制造商的质量管理体系），其质量管理体系的任何重大变化计划，或涵盖的器械范围的变化。公告机构应评估拟定修改，确定是否需要额外审核，并核实这些更改后的质量管理体系是否仍符合第2.2节所述的要求。</w:t>
      </w:r>
      <w:r>
        <w:rPr>
          <w:rFonts w:hint="eastAsia"/>
          <w:kern w:val="2"/>
          <w:szCs w:val="21"/>
        </w:rPr>
        <w:t>此外，</w:t>
      </w:r>
      <w:r>
        <w:rPr>
          <w:kern w:val="2"/>
          <w:szCs w:val="21"/>
        </w:rPr>
        <w:t>应将包括评估结论</w:t>
      </w:r>
      <w:r>
        <w:rPr>
          <w:rFonts w:hint="eastAsia"/>
          <w:kern w:val="2"/>
          <w:szCs w:val="21"/>
        </w:rPr>
        <w:t>的</w:t>
      </w:r>
      <w:r>
        <w:rPr>
          <w:kern w:val="2"/>
          <w:szCs w:val="21"/>
        </w:rPr>
        <w:t>决议通知制造商，或在适用情况下，</w:t>
      </w:r>
      <w:r>
        <w:rPr>
          <w:rFonts w:hint="eastAsia"/>
          <w:kern w:val="2"/>
          <w:szCs w:val="21"/>
        </w:rPr>
        <w:t>包括</w:t>
      </w:r>
      <w:r>
        <w:rPr>
          <w:kern w:val="2"/>
          <w:szCs w:val="21"/>
        </w:rPr>
        <w:t>额外审核结论。对于质量管理体系或器械覆盖范围的重大改变，其批准过程应采取欧盟质量管理体系证书的补充形式。</w:t>
      </w:r>
    </w:p>
    <w:p w14:paraId="268B9210">
      <w:pPr>
        <w:pStyle w:val="4"/>
        <w:tabs>
          <w:tab w:val="left" w:pos="682"/>
        </w:tabs>
        <w:topLinePunct/>
        <w:snapToGrid w:val="0"/>
        <w:spacing w:beforeLines="25" w:line="300" w:lineRule="auto"/>
        <w:ind w:left="114" w:firstLine="0"/>
        <w:jc w:val="both"/>
        <w:rPr>
          <w:rFonts w:ascii="Times New Roman" w:hAnsi="Times New Roman"/>
          <w:kern w:val="2"/>
          <w:sz w:val="21"/>
          <w:szCs w:val="21"/>
        </w:rPr>
      </w:pPr>
      <w:r>
        <w:rPr>
          <w:rFonts w:hint="eastAsia" w:ascii="Times New Roman" w:hAnsi="Times New Roman"/>
          <w:kern w:val="2"/>
          <w:sz w:val="21"/>
          <w:szCs w:val="21"/>
        </w:rPr>
        <w:t>3.</w:t>
      </w:r>
      <w:r>
        <w:rPr>
          <w:rFonts w:hint="eastAsia" w:ascii="Times New Roman" w:hAnsi="Times New Roman"/>
          <w:kern w:val="2"/>
          <w:sz w:val="21"/>
          <w:szCs w:val="21"/>
        </w:rPr>
        <w:tab/>
      </w:r>
      <w:r>
        <w:rPr>
          <w:rFonts w:ascii="Times New Roman" w:hAnsi="Times New Roman"/>
          <w:kern w:val="2"/>
          <w:sz w:val="21"/>
          <w:szCs w:val="21"/>
        </w:rPr>
        <w:t>适用于IIa、IIb和III类器械的监管评估</w:t>
      </w:r>
    </w:p>
    <w:p w14:paraId="293100F2">
      <w:pPr>
        <w:pStyle w:val="32"/>
        <w:tabs>
          <w:tab w:val="left" w:pos="682"/>
        </w:tabs>
        <w:topLinePunct/>
        <w:snapToGrid w:val="0"/>
        <w:spacing w:beforeLines="25" w:line="300" w:lineRule="auto"/>
        <w:ind w:left="113"/>
        <w:jc w:val="both"/>
        <w:rPr>
          <w:rFonts w:ascii="Times New Roman" w:hAnsi="Times New Roman"/>
          <w:kern w:val="2"/>
          <w:szCs w:val="21"/>
        </w:rPr>
      </w:pPr>
      <w:r>
        <w:rPr>
          <w:rFonts w:ascii="Times New Roman" w:hAnsi="Times New Roman"/>
          <w:kern w:val="2"/>
          <w:szCs w:val="21"/>
        </w:rPr>
        <w:t>3.1.</w:t>
      </w:r>
      <w:r>
        <w:rPr>
          <w:rFonts w:ascii="Times New Roman" w:hAnsi="Times New Roman"/>
          <w:kern w:val="2"/>
          <w:szCs w:val="21"/>
        </w:rPr>
        <w:tab/>
      </w:r>
      <w:r>
        <w:rPr>
          <w:rFonts w:ascii="Times New Roman" w:hAnsi="Times New Roman"/>
          <w:kern w:val="2"/>
          <w:szCs w:val="21"/>
        </w:rPr>
        <w:t>监管目的是确保制造商充分履行批准后的质量管理体系所规定的义务。</w:t>
      </w:r>
    </w:p>
    <w:p w14:paraId="6CC1E607">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ascii="Times New Roman" w:hAnsi="Times New Roman"/>
          <w:kern w:val="2"/>
          <w:szCs w:val="21"/>
        </w:rPr>
        <w:t>3.2.</w:t>
      </w:r>
      <w:r>
        <w:rPr>
          <w:rFonts w:ascii="Times New Roman" w:hAnsi="Times New Roman"/>
          <w:kern w:val="2"/>
          <w:szCs w:val="21"/>
        </w:rPr>
        <w:tab/>
      </w:r>
      <w:r>
        <w:rPr>
          <w:rFonts w:ascii="Times New Roman" w:hAnsi="Times New Roman"/>
          <w:kern w:val="2"/>
          <w:szCs w:val="21"/>
        </w:rPr>
        <w:t>制造商应授权公告机构进行所有必要的审核，包括现场审核，并提供所有相关信息，特别是：</w:t>
      </w:r>
    </w:p>
    <w:p w14:paraId="351345D8">
      <w:pPr>
        <w:pStyle w:val="32"/>
        <w:numPr>
          <w:ilvl w:val="2"/>
          <w:numId w:val="20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质量管理体系的文件；</w:t>
      </w:r>
    </w:p>
    <w:p w14:paraId="5865E12B">
      <w:pPr>
        <w:pStyle w:val="32"/>
        <w:numPr>
          <w:ilvl w:val="2"/>
          <w:numId w:val="20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使用上市后监管计划而获取的任何调查结果和结论，包括器械代表性样品，进行PMCF计划，以及第87至第92条所述的警戒规定，</w:t>
      </w:r>
    </w:p>
    <w:p w14:paraId="4BF53A4A">
      <w:pPr>
        <w:pStyle w:val="32"/>
        <w:numPr>
          <w:ilvl w:val="2"/>
          <w:numId w:val="20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与设计相关的质量管理体系部分所规定的数据，例如分析、计算、试验的结果以及针对附录I第4节所述风险管理所采用的解决方案，</w:t>
      </w:r>
    </w:p>
    <w:p w14:paraId="74611851">
      <w:pPr>
        <w:pStyle w:val="32"/>
        <w:numPr>
          <w:ilvl w:val="2"/>
          <w:numId w:val="20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与制造相关的质量管理体系部分所规定的数据，例如，质量管理报告和试验数据、校准数据、相关人员的资质记录等。</w:t>
      </w:r>
    </w:p>
    <w:p w14:paraId="3D01F587">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ascii="Times New Roman" w:hAnsi="Times New Roman"/>
          <w:kern w:val="2"/>
          <w:szCs w:val="21"/>
        </w:rPr>
        <w:t>3.3.</w:t>
      </w:r>
      <w:r>
        <w:rPr>
          <w:rFonts w:ascii="Times New Roman" w:hAnsi="Times New Roman"/>
          <w:kern w:val="2"/>
          <w:szCs w:val="21"/>
        </w:rPr>
        <w:tab/>
      </w:r>
      <w:r>
        <w:rPr>
          <w:rFonts w:ascii="Times New Roman" w:hAnsi="Times New Roman"/>
          <w:kern w:val="2"/>
          <w:szCs w:val="21"/>
        </w:rPr>
        <w:t>公告机构应定期，至少每隔12月开展一次适当的审核和评估，以确保相关制造商采用批准的质量管理体系和上市后监管计划。该审核和评估应包括对制造商经营场所的审核，必要时，还包括对制造商的供应商和/或分包商经营场所的审核。在进行现场审核时，若必要，公告机构应进行或要求进行试验，以便检查质量管理体系是否恰当发挥了作用。并应为制造商提供监管审核报告。若已进行试验，则其应为制造商提供试验报告。</w:t>
      </w:r>
    </w:p>
    <w:p w14:paraId="129D713E">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ascii="Times New Roman" w:hAnsi="Times New Roman"/>
          <w:kern w:val="2"/>
          <w:szCs w:val="21"/>
        </w:rPr>
        <w:t>3.4.</w:t>
      </w:r>
      <w:r>
        <w:rPr>
          <w:rFonts w:ascii="Times New Roman" w:hAnsi="Times New Roman"/>
          <w:kern w:val="2"/>
          <w:szCs w:val="21"/>
        </w:rPr>
        <w:tab/>
      </w:r>
      <w:r>
        <w:rPr>
          <w:rFonts w:ascii="Times New Roman" w:hAnsi="Times New Roman"/>
          <w:kern w:val="2"/>
          <w:szCs w:val="21"/>
        </w:rPr>
        <w:t>公告机构至少应每隔五年随机对制造商进行一次现场突击审核，必要时，还应对制造商的供应商和/或分包商进行此类审核，并可结合第3.3节所述的定期监管评估或进行该监管评估以外的评估。公告机构应制定此类现场突击审核的计划，但不得向制造商披露。</w:t>
      </w:r>
    </w:p>
    <w:p w14:paraId="6BFF66B2">
      <w:pPr>
        <w:pStyle w:val="8"/>
        <w:topLinePunct/>
        <w:snapToGrid w:val="0"/>
        <w:spacing w:beforeLines="25" w:line="300" w:lineRule="auto"/>
        <w:ind w:firstLine="0"/>
        <w:jc w:val="both"/>
        <w:rPr>
          <w:kern w:val="2"/>
          <w:szCs w:val="21"/>
        </w:rPr>
      </w:pPr>
      <w:r>
        <w:rPr>
          <w:kern w:val="2"/>
          <w:szCs w:val="21"/>
        </w:rPr>
        <w:t>在进行此类现场突击审核时，公告机构应选取适当的生产器械或制造工艺的适当样品进行试验，以验证所制造的器械是否符合技术文件的要求，但第52(8)条第二段所述器械除外。在进行现场突击审核前，公告机构应规定相关取样标准和检验程序。</w:t>
      </w:r>
    </w:p>
    <w:p w14:paraId="2BC60883">
      <w:pPr>
        <w:pStyle w:val="8"/>
        <w:topLinePunct/>
        <w:snapToGrid w:val="0"/>
        <w:spacing w:beforeLines="25" w:line="300" w:lineRule="auto"/>
        <w:ind w:firstLine="0"/>
        <w:jc w:val="both"/>
        <w:rPr>
          <w:kern w:val="2"/>
          <w:szCs w:val="21"/>
        </w:rPr>
      </w:pPr>
      <w:r>
        <w:rPr>
          <w:kern w:val="2"/>
          <w:szCs w:val="21"/>
        </w:rPr>
        <w:t>除了第二段所述的取样以外，公告机构还应进行器械的市场取样，以验证所制造的器械是否符合技术文件的要求，但第52(8)条第二段所述的器械除外。在取样前，相关公告机构应规定相关取样标准和检验程序。</w:t>
      </w:r>
    </w:p>
    <w:p w14:paraId="215C6DA5">
      <w:pPr>
        <w:pStyle w:val="8"/>
        <w:topLinePunct/>
        <w:snapToGrid w:val="0"/>
        <w:spacing w:beforeLines="25" w:line="300" w:lineRule="auto"/>
        <w:ind w:firstLine="0"/>
        <w:jc w:val="both"/>
        <w:rPr>
          <w:kern w:val="2"/>
          <w:szCs w:val="21"/>
        </w:rPr>
      </w:pPr>
      <w:r>
        <w:rPr>
          <w:kern w:val="2"/>
          <w:szCs w:val="21"/>
        </w:rPr>
        <w:t>公告机构应为相关制造商提供现场审核报告，如适用，其中还应包括样品试验的结果。</w:t>
      </w:r>
    </w:p>
    <w:p w14:paraId="0D1BA996">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ascii="Times New Roman" w:hAnsi="Times New Roman"/>
          <w:kern w:val="2"/>
          <w:szCs w:val="21"/>
        </w:rPr>
        <w:t>3.5.</w:t>
      </w:r>
      <w:r>
        <w:rPr>
          <w:rFonts w:ascii="Times New Roman" w:hAnsi="Times New Roman"/>
          <w:kern w:val="2"/>
          <w:szCs w:val="21"/>
        </w:rPr>
        <w:tab/>
      </w:r>
      <w:r>
        <w:rPr>
          <w:rFonts w:ascii="Times New Roman" w:hAnsi="Times New Roman"/>
          <w:kern w:val="2"/>
          <w:szCs w:val="21"/>
        </w:rPr>
        <w:t>Iia和IIb类器械的监管评估还应包括第4.4至4.8节所述的相关器械技术文件的评估。评估需基于更具代表性的样品选取。而这些样品的选择依据是公告机构根据第2.3节第二段所述之基本原理。</w:t>
      </w:r>
    </w:p>
    <w:p w14:paraId="64E2377A">
      <w:pPr>
        <w:pStyle w:val="8"/>
        <w:topLinePunct/>
        <w:snapToGrid w:val="0"/>
        <w:spacing w:beforeLines="25" w:line="300" w:lineRule="auto"/>
        <w:ind w:firstLine="0"/>
        <w:jc w:val="both"/>
        <w:rPr>
          <w:kern w:val="2"/>
          <w:szCs w:val="21"/>
        </w:rPr>
      </w:pPr>
      <w:r>
        <w:rPr>
          <w:kern w:val="2"/>
          <w:szCs w:val="21"/>
        </w:rPr>
        <w:t>若为III类器械，则监管评估亦应包括对于器械完整性至关重要的批准零件和/或材料的测试，包括，如适用，应检验生产或采购的零件和/或材料数量以及相应的成品器械数量之间的一致性。</w:t>
      </w:r>
    </w:p>
    <w:p w14:paraId="032FBE45">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ascii="Times New Roman" w:hAnsi="Times New Roman"/>
          <w:kern w:val="2"/>
          <w:szCs w:val="21"/>
        </w:rPr>
        <w:t>3.6.</w:t>
      </w:r>
      <w:r>
        <w:rPr>
          <w:rFonts w:ascii="Times New Roman" w:hAnsi="Times New Roman"/>
          <w:kern w:val="2"/>
          <w:szCs w:val="21"/>
        </w:rPr>
        <w:tab/>
      </w:r>
      <w:r>
        <w:rPr>
          <w:rFonts w:ascii="Times New Roman" w:hAnsi="Times New Roman"/>
          <w:kern w:val="2"/>
          <w:szCs w:val="21"/>
        </w:rPr>
        <w:t>公告机构应确保审核小组的成员是否具备充分的器械、系统以及相关工艺的评估经验，且其评估具有持续的客观性和中立性，这应包括评估小组成员以适当的时间间隔轮流进行评估。一般而言，审核组组长连续领导和参与审核同一制造商的时间不得超过三年。</w:t>
      </w:r>
    </w:p>
    <w:p w14:paraId="536F0443">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ascii="Times New Roman" w:hAnsi="Times New Roman"/>
          <w:kern w:val="2"/>
          <w:szCs w:val="21"/>
        </w:rPr>
        <w:t>3.7.</w:t>
      </w:r>
      <w:r>
        <w:rPr>
          <w:rFonts w:ascii="Times New Roman" w:hAnsi="Times New Roman"/>
          <w:kern w:val="2"/>
          <w:szCs w:val="21"/>
        </w:rPr>
        <w:tab/>
      </w:r>
      <w:r>
        <w:rPr>
          <w:rFonts w:ascii="Times New Roman" w:hAnsi="Times New Roman"/>
          <w:kern w:val="2"/>
          <w:szCs w:val="21"/>
        </w:rPr>
        <w:t>若公告机构发现生产器械或市场样品与技术文件或批准设计所规定的规格之间存在差异，则</w:t>
      </w:r>
      <w:r>
        <w:rPr>
          <w:rFonts w:hint="eastAsia" w:ascii="Times New Roman" w:hAnsi="Times New Roman"/>
          <w:kern w:val="2"/>
          <w:szCs w:val="21"/>
        </w:rPr>
        <w:t>将</w:t>
      </w:r>
      <w:r>
        <w:rPr>
          <w:rFonts w:ascii="Times New Roman" w:hAnsi="Times New Roman"/>
          <w:kern w:val="2"/>
          <w:szCs w:val="21"/>
        </w:rPr>
        <w:t>吊销或撤销相关证书或对其施加限制。</w:t>
      </w:r>
    </w:p>
    <w:p w14:paraId="21ABF2F9">
      <w:pPr>
        <w:pStyle w:val="4"/>
        <w:topLinePunct/>
        <w:snapToGrid w:val="0"/>
        <w:spacing w:beforeLines="25" w:line="300" w:lineRule="auto"/>
        <w:ind w:left="0" w:firstLine="0"/>
        <w:jc w:val="center"/>
        <w:rPr>
          <w:rFonts w:ascii="Times New Roman" w:hAnsi="Times New Roman"/>
          <w:kern w:val="2"/>
          <w:sz w:val="21"/>
          <w:szCs w:val="21"/>
        </w:rPr>
      </w:pPr>
    </w:p>
    <w:p w14:paraId="36C4ADA3">
      <w:pPr>
        <w:pStyle w:val="4"/>
        <w:topLinePunct/>
        <w:snapToGrid w:val="0"/>
        <w:spacing w:beforeLines="25" w:line="300" w:lineRule="auto"/>
        <w:ind w:left="0" w:firstLine="0"/>
        <w:jc w:val="center"/>
        <w:rPr>
          <w:rFonts w:ascii="Times New Roman" w:hAnsi="Times New Roman"/>
          <w:kern w:val="2"/>
          <w:sz w:val="21"/>
          <w:szCs w:val="21"/>
        </w:rPr>
      </w:pPr>
      <w:r>
        <w:rPr>
          <w:rFonts w:ascii="Times New Roman" w:hAnsi="Times New Roman"/>
          <w:kern w:val="2"/>
          <w:sz w:val="21"/>
          <w:szCs w:val="21"/>
        </w:rPr>
        <w:t>第</w:t>
      </w:r>
      <w:r>
        <w:rPr>
          <w:rFonts w:hint="eastAsia" w:ascii="Times New Roman" w:hAnsi="Times New Roman"/>
          <w:kern w:val="2"/>
          <w:sz w:val="21"/>
          <w:szCs w:val="21"/>
        </w:rPr>
        <w:t>II</w:t>
      </w:r>
      <w:r>
        <w:rPr>
          <w:rFonts w:ascii="Times New Roman" w:hAnsi="Times New Roman"/>
          <w:kern w:val="2"/>
          <w:sz w:val="21"/>
          <w:szCs w:val="21"/>
        </w:rPr>
        <w:t>章：</w:t>
      </w:r>
    </w:p>
    <w:p w14:paraId="1E441A97">
      <w:pPr>
        <w:pStyle w:val="4"/>
        <w:topLinePunct/>
        <w:snapToGrid w:val="0"/>
        <w:spacing w:beforeLines="25" w:line="300" w:lineRule="auto"/>
        <w:ind w:left="0" w:firstLine="0"/>
        <w:jc w:val="center"/>
        <w:rPr>
          <w:rFonts w:ascii="Times New Roman" w:hAnsi="Times New Roman"/>
          <w:b w:val="0"/>
          <w:bCs w:val="0"/>
          <w:kern w:val="2"/>
          <w:sz w:val="21"/>
          <w:szCs w:val="21"/>
        </w:rPr>
      </w:pPr>
      <w:r>
        <w:rPr>
          <w:rFonts w:ascii="Times New Roman" w:hAnsi="Times New Roman"/>
          <w:kern w:val="2"/>
          <w:sz w:val="21"/>
          <w:szCs w:val="21"/>
        </w:rPr>
        <w:t>技术文件评估</w:t>
      </w:r>
    </w:p>
    <w:p w14:paraId="3DDBAD97">
      <w:pPr>
        <w:pStyle w:val="32"/>
        <w:numPr>
          <w:ilvl w:val="0"/>
          <w:numId w:val="206"/>
        </w:numPr>
        <w:tabs>
          <w:tab w:val="left" w:pos="682"/>
        </w:tabs>
        <w:topLinePunct/>
        <w:snapToGrid w:val="0"/>
        <w:spacing w:beforeLines="25" w:line="300" w:lineRule="auto"/>
        <w:ind w:hanging="567"/>
        <w:jc w:val="both"/>
        <w:rPr>
          <w:rFonts w:ascii="Times New Roman" w:hAnsi="Times New Roman"/>
          <w:b/>
          <w:kern w:val="2"/>
          <w:szCs w:val="21"/>
        </w:rPr>
      </w:pPr>
      <w:r>
        <w:rPr>
          <w:rFonts w:ascii="Times New Roman" w:hAnsi="Times New Roman"/>
          <w:b/>
          <w:kern w:val="2"/>
          <w:szCs w:val="21"/>
        </w:rPr>
        <w:t>适用于第52（4）条第二子段所述的III类和I</w:t>
      </w:r>
      <w:r>
        <w:rPr>
          <w:rFonts w:hint="eastAsia" w:ascii="Times New Roman" w:hAnsi="Times New Roman"/>
          <w:b/>
          <w:kern w:val="2"/>
          <w:szCs w:val="21"/>
        </w:rPr>
        <w:t>I</w:t>
      </w:r>
      <w:r>
        <w:rPr>
          <w:rFonts w:ascii="Times New Roman" w:hAnsi="Times New Roman"/>
          <w:b/>
          <w:kern w:val="2"/>
          <w:szCs w:val="21"/>
        </w:rPr>
        <w:t>b类器械的技术文件评估</w:t>
      </w:r>
    </w:p>
    <w:p w14:paraId="0A3F4ACF">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ascii="Times New Roman" w:hAnsi="Times New Roman"/>
          <w:kern w:val="2"/>
          <w:szCs w:val="21"/>
        </w:rPr>
        <w:t>4.1.</w:t>
      </w:r>
      <w:r>
        <w:rPr>
          <w:rFonts w:ascii="Times New Roman" w:hAnsi="Times New Roman"/>
          <w:kern w:val="2"/>
          <w:szCs w:val="21"/>
        </w:rPr>
        <w:tab/>
      </w:r>
      <w:r>
        <w:rPr>
          <w:rFonts w:ascii="Times New Roman" w:hAnsi="Times New Roman"/>
          <w:kern w:val="2"/>
          <w:szCs w:val="21"/>
        </w:rPr>
        <w:t>除第2节所规定的义务以外，制造商还应向公告机构申请进行相关器械技术文件评估。这些器械包括制造商计划出售或交付使用的器械以及第2节所述质量管理体系所涵盖的器械。</w:t>
      </w:r>
    </w:p>
    <w:p w14:paraId="6F2024C2">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ascii="Times New Roman" w:hAnsi="Times New Roman"/>
          <w:kern w:val="2"/>
          <w:szCs w:val="21"/>
        </w:rPr>
        <w:t>4.2.</w:t>
      </w:r>
      <w:r>
        <w:rPr>
          <w:rFonts w:ascii="Times New Roman" w:hAnsi="Times New Roman"/>
          <w:kern w:val="2"/>
          <w:szCs w:val="21"/>
        </w:rPr>
        <w:tab/>
      </w:r>
      <w:r>
        <w:rPr>
          <w:rFonts w:ascii="Times New Roman" w:hAnsi="Times New Roman"/>
          <w:kern w:val="2"/>
          <w:szCs w:val="21"/>
        </w:rPr>
        <w:t>申请书应说明相关器械的设计、制造和性能。其应包括附录II和III中所述的技术文件。</w:t>
      </w:r>
    </w:p>
    <w:p w14:paraId="77795368">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ascii="Times New Roman" w:hAnsi="Times New Roman"/>
          <w:kern w:val="2"/>
          <w:szCs w:val="21"/>
        </w:rPr>
        <w:t>4.3.</w:t>
      </w:r>
      <w:r>
        <w:rPr>
          <w:rFonts w:ascii="Times New Roman" w:hAnsi="Times New Roman"/>
          <w:kern w:val="2"/>
          <w:szCs w:val="21"/>
        </w:rPr>
        <w:tab/>
      </w:r>
      <w:r>
        <w:rPr>
          <w:rFonts w:ascii="Times New Roman" w:hAnsi="Times New Roman"/>
          <w:kern w:val="2"/>
          <w:szCs w:val="21"/>
        </w:rPr>
        <w:t>公告机构应针对相关技术和临床应用方面的公认知识和经验来审查职员聘任申请。公告机构可要求提供根据进一步实施的试验或请求其他证据所填写的申请书，以使评估符合本法规的相关要求。公告机构应进行与器械相关的充分的物理或实验室试验，或要求制造商进行此类试验。</w:t>
      </w:r>
    </w:p>
    <w:p w14:paraId="029461AA">
      <w:pPr>
        <w:pStyle w:val="8"/>
        <w:topLinePunct/>
        <w:snapToGrid w:val="0"/>
        <w:spacing w:beforeLines="20" w:line="300" w:lineRule="auto"/>
        <w:ind w:hanging="568"/>
        <w:jc w:val="both"/>
        <w:rPr>
          <w:kern w:val="2"/>
          <w:szCs w:val="21"/>
        </w:rPr>
      </w:pPr>
      <w:r>
        <w:rPr>
          <w:kern w:val="2"/>
          <w:szCs w:val="21"/>
        </w:rPr>
        <w:t>4.4.</w:t>
      </w:r>
      <w:r>
        <w:rPr>
          <w:kern w:val="2"/>
          <w:szCs w:val="21"/>
        </w:rPr>
        <w:tab/>
      </w:r>
      <w:r>
        <w:rPr>
          <w:kern w:val="2"/>
          <w:szCs w:val="21"/>
        </w:rPr>
        <w:t>公告机构应对制造商在临床评估报告中提交的临床证据，及相关临床评价报告进行审查。就该审查而言，公告机构应聘任临床专业知识丰富的器械审查员以及在相关器械临床应用方面或对器械所应用的临床病症方面具有直接和现有经验的外部临床专家</w:t>
      </w:r>
    </w:p>
    <w:p w14:paraId="79DDD95E">
      <w:pPr>
        <w:pStyle w:val="8"/>
        <w:topLinePunct/>
        <w:snapToGrid w:val="0"/>
        <w:spacing w:beforeLines="20" w:line="300" w:lineRule="auto"/>
        <w:ind w:hanging="568"/>
        <w:jc w:val="both"/>
        <w:rPr>
          <w:kern w:val="2"/>
          <w:szCs w:val="21"/>
        </w:rPr>
      </w:pPr>
      <w:r>
        <w:rPr>
          <w:kern w:val="2"/>
          <w:szCs w:val="21"/>
        </w:rPr>
        <w:t>4.5.</w:t>
      </w:r>
      <w:r>
        <w:rPr>
          <w:kern w:val="2"/>
          <w:szCs w:val="21"/>
        </w:rPr>
        <w:tab/>
      </w:r>
      <w:r>
        <w:rPr>
          <w:kern w:val="2"/>
          <w:szCs w:val="21"/>
        </w:rPr>
        <w:t>公告机构应部分或全部基于与评估器械等同器械的临床证据评估此类数据的适用性，同时还应考虑到新适应症和创新性等因素。公告机构应明确记录其对于所公布数据等效性、相关性和充分性的结论，以证明数据符合要求。对于制造商宣称的器械创新特征或新适应症，公告机构应通过特定的临床前和临床中数据及风险分析进行评估。</w:t>
      </w:r>
    </w:p>
    <w:p w14:paraId="6E7212CC">
      <w:pPr>
        <w:pStyle w:val="8"/>
        <w:topLinePunct/>
        <w:snapToGrid w:val="0"/>
        <w:spacing w:beforeLines="20" w:line="300" w:lineRule="auto"/>
        <w:ind w:hanging="568"/>
        <w:jc w:val="both"/>
        <w:rPr>
          <w:kern w:val="2"/>
          <w:szCs w:val="21"/>
        </w:rPr>
      </w:pPr>
      <w:r>
        <w:rPr>
          <w:kern w:val="2"/>
          <w:szCs w:val="21"/>
        </w:rPr>
        <w:t>4.6.</w:t>
      </w:r>
      <w:r>
        <w:rPr>
          <w:kern w:val="2"/>
          <w:szCs w:val="21"/>
        </w:rPr>
        <w:tab/>
      </w:r>
      <w:r>
        <w:rPr>
          <w:kern w:val="2"/>
          <w:szCs w:val="21"/>
        </w:rPr>
        <w:t>公告机构应验证临床证据和临床评价是否充分，并验证制造商所得出的结论是否符合一般安全性与性能要求。该验证应包括考虑分析与收益风险评定充分性、风险管理、使用说明书、使用者培训以及制造商的PMCF计划，如适用，还应包括审查拟定上市后临床跟踪的必要性和充分性。</w:t>
      </w:r>
    </w:p>
    <w:p w14:paraId="60E009A2">
      <w:pPr>
        <w:pStyle w:val="8"/>
        <w:topLinePunct/>
        <w:snapToGrid w:val="0"/>
        <w:spacing w:beforeLines="20" w:line="300" w:lineRule="auto"/>
        <w:ind w:hanging="568"/>
        <w:jc w:val="both"/>
        <w:rPr>
          <w:kern w:val="2"/>
          <w:szCs w:val="21"/>
        </w:rPr>
      </w:pPr>
      <w:r>
        <w:rPr>
          <w:kern w:val="2"/>
          <w:szCs w:val="21"/>
        </w:rPr>
        <w:t>4.7.</w:t>
      </w:r>
      <w:r>
        <w:rPr>
          <w:kern w:val="2"/>
          <w:szCs w:val="21"/>
        </w:rPr>
        <w:tab/>
      </w:r>
      <w:r>
        <w:rPr>
          <w:kern w:val="2"/>
          <w:szCs w:val="21"/>
        </w:rPr>
        <w:t>根据其对产品临床证据、临床评估、及风险与收益的综合评估，公告机构应考虑是否需要确定特定节点，以便公告机构根据上市后监管和PMCF数据对更新的临床证据进行审查。</w:t>
      </w:r>
    </w:p>
    <w:p w14:paraId="2EE4CE92">
      <w:pPr>
        <w:pStyle w:val="8"/>
        <w:topLinePunct/>
        <w:snapToGrid w:val="0"/>
        <w:spacing w:beforeLines="20" w:line="300" w:lineRule="auto"/>
        <w:ind w:hanging="568"/>
        <w:jc w:val="both"/>
        <w:rPr>
          <w:kern w:val="2"/>
          <w:szCs w:val="21"/>
        </w:rPr>
      </w:pPr>
      <w:r>
        <w:rPr>
          <w:kern w:val="2"/>
          <w:szCs w:val="21"/>
        </w:rPr>
        <w:t>4.8.</w:t>
      </w:r>
      <w:r>
        <w:rPr>
          <w:kern w:val="2"/>
          <w:szCs w:val="21"/>
        </w:rPr>
        <w:tab/>
      </w:r>
      <w:r>
        <w:rPr>
          <w:kern w:val="2"/>
          <w:szCs w:val="21"/>
        </w:rPr>
        <w:t>公告机构应在临床评估的评定报告中明确记录其评价结果。</w:t>
      </w:r>
    </w:p>
    <w:p w14:paraId="446EA7A1">
      <w:pPr>
        <w:pStyle w:val="32"/>
        <w:tabs>
          <w:tab w:val="left" w:pos="682"/>
        </w:tabs>
        <w:topLinePunct/>
        <w:snapToGrid w:val="0"/>
        <w:spacing w:beforeLines="20" w:line="300" w:lineRule="auto"/>
        <w:ind w:left="638" w:leftChars="54" w:hanging="525" w:hangingChars="250"/>
        <w:jc w:val="both"/>
        <w:rPr>
          <w:rFonts w:ascii="Times New Roman" w:hAnsi="Times New Roman"/>
          <w:kern w:val="2"/>
          <w:szCs w:val="21"/>
        </w:rPr>
      </w:pPr>
      <w:r>
        <w:rPr>
          <w:rFonts w:ascii="Times New Roman" w:hAnsi="Times New Roman"/>
          <w:kern w:val="2"/>
          <w:szCs w:val="21"/>
        </w:rPr>
        <w:t>4.9.</w:t>
      </w:r>
      <w:r>
        <w:rPr>
          <w:rFonts w:ascii="Times New Roman" w:hAnsi="Times New Roman"/>
          <w:kern w:val="2"/>
          <w:szCs w:val="21"/>
        </w:rPr>
        <w:tab/>
      </w:r>
      <w:r>
        <w:rPr>
          <w:rFonts w:ascii="Times New Roman" w:hAnsi="Times New Roman"/>
          <w:kern w:val="2"/>
          <w:szCs w:val="21"/>
        </w:rPr>
        <w:t>欧盟公告机构应向制造商提供技术文件评估报告，包括临床评估的评定报告。若器械符合本法规相关规定，则公告机构应颁发EU技术文件评估证书。证书中应包括技术文件评估结论、证书有效性条件、确定合格设计所需资料及，如适用，对器械预期目的说明。</w:t>
      </w:r>
    </w:p>
    <w:p w14:paraId="45B7C65F">
      <w:pPr>
        <w:pStyle w:val="32"/>
        <w:tabs>
          <w:tab w:val="left" w:pos="682"/>
        </w:tabs>
        <w:topLinePunct/>
        <w:snapToGrid w:val="0"/>
        <w:spacing w:beforeLines="20" w:line="300" w:lineRule="auto"/>
        <w:ind w:left="638" w:leftChars="54" w:hanging="525" w:hangingChars="250"/>
        <w:jc w:val="both"/>
        <w:rPr>
          <w:rFonts w:ascii="Times New Roman" w:hAnsi="Times New Roman"/>
          <w:kern w:val="2"/>
          <w:szCs w:val="21"/>
        </w:rPr>
      </w:pPr>
      <w:r>
        <w:rPr>
          <w:rFonts w:ascii="Times New Roman" w:hAnsi="Times New Roman"/>
          <w:kern w:val="2"/>
          <w:szCs w:val="21"/>
        </w:rPr>
        <w:t>4.10</w:t>
      </w:r>
      <w:r>
        <w:rPr>
          <w:rFonts w:ascii="Times New Roman" w:hAnsi="Times New Roman"/>
          <w:kern w:val="2"/>
          <w:szCs w:val="21"/>
        </w:rPr>
        <w:tab/>
      </w:r>
      <w:r>
        <w:rPr>
          <w:rFonts w:ascii="Times New Roman" w:hAnsi="Times New Roman"/>
          <w:kern w:val="2"/>
          <w:szCs w:val="21"/>
        </w:rPr>
        <w:t>若已批准器械发生会影响器械安全与性能的变更或器械的使用条件发生变更，则这些变更应需要获得颁发EU技术文件评估证书的公告机构的批准。若制造商计划进行任何上述变更，则其应通知本文件所述颁发EU技术文件评估证书的公告机构。公告机构应评估申请变更并确定是否需要根据第52条对申请变更重新进行符合性评估，或是否可通过EU技术文件评估证书的附件的形式予以说明。对于后者情况，公告机构应评估变更，并将其决议告知制造商，且若这些变更获得批准，则公告机构还应为制造商提供EU技术文件评估证书的附件。</w:t>
      </w:r>
    </w:p>
    <w:p w14:paraId="56929F44">
      <w:pPr>
        <w:pStyle w:val="4"/>
        <w:numPr>
          <w:ilvl w:val="0"/>
          <w:numId w:val="206"/>
        </w:numPr>
        <w:tabs>
          <w:tab w:val="left" w:pos="965"/>
        </w:tabs>
        <w:topLinePunct/>
        <w:snapToGrid w:val="0"/>
        <w:spacing w:beforeLines="20" w:line="300" w:lineRule="auto"/>
        <w:ind w:left="964" w:hanging="850"/>
        <w:jc w:val="both"/>
        <w:rPr>
          <w:rFonts w:ascii="Times New Roman" w:hAnsi="Times New Roman"/>
          <w:b w:val="0"/>
          <w:bCs w:val="0"/>
          <w:kern w:val="2"/>
          <w:sz w:val="21"/>
          <w:szCs w:val="21"/>
        </w:rPr>
      </w:pPr>
      <w:r>
        <w:rPr>
          <w:rFonts w:ascii="Times New Roman" w:hAnsi="Times New Roman"/>
          <w:kern w:val="2"/>
          <w:sz w:val="21"/>
          <w:szCs w:val="21"/>
        </w:rPr>
        <w:t>特殊程序</w:t>
      </w:r>
    </w:p>
    <w:p w14:paraId="03FF4248">
      <w:pPr>
        <w:pStyle w:val="32"/>
        <w:tabs>
          <w:tab w:val="left" w:pos="965"/>
        </w:tabs>
        <w:topLinePunct/>
        <w:snapToGrid w:val="0"/>
        <w:spacing w:beforeLines="20" w:line="300" w:lineRule="auto"/>
        <w:ind w:left="113"/>
        <w:jc w:val="both"/>
        <w:rPr>
          <w:rFonts w:ascii="Times New Roman" w:hAnsi="Times New Roman"/>
          <w:b/>
          <w:kern w:val="2"/>
          <w:szCs w:val="21"/>
        </w:rPr>
      </w:pPr>
      <w:r>
        <w:rPr>
          <w:rFonts w:ascii="Times New Roman" w:hAnsi="Times New Roman"/>
          <w:b/>
          <w:kern w:val="2"/>
          <w:szCs w:val="21"/>
        </w:rPr>
        <w:t>5.1.</w:t>
      </w:r>
      <w:r>
        <w:rPr>
          <w:rFonts w:ascii="Times New Roman" w:hAnsi="Times New Roman"/>
          <w:b/>
          <w:kern w:val="2"/>
          <w:szCs w:val="21"/>
        </w:rPr>
        <w:tab/>
      </w:r>
      <w:r>
        <w:rPr>
          <w:rFonts w:ascii="Times New Roman" w:hAnsi="Times New Roman"/>
          <w:b/>
          <w:kern w:val="2"/>
          <w:szCs w:val="21"/>
        </w:rPr>
        <w:t>特定III类和IIb类有源植入式器械的评估过程</w:t>
      </w:r>
    </w:p>
    <w:p w14:paraId="220C2D0E">
      <w:pPr>
        <w:pStyle w:val="32"/>
        <w:numPr>
          <w:ilvl w:val="2"/>
          <w:numId w:val="20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对于III类可植入装置，以及用于如在附录VIII第6.4节中（规则12）所述的用于施用和/或去除药品的IIb类有源装置。公告机构应参考第61（12）制造商提供的临床评价核实临床数据质量，并</w:t>
      </w:r>
      <w:r>
        <w:rPr>
          <w:rFonts w:hint="eastAsia" w:ascii="Times New Roman" w:hAnsi="Times New Roman"/>
          <w:kern w:val="2"/>
          <w:szCs w:val="21"/>
        </w:rPr>
        <w:t>编制</w:t>
      </w:r>
      <w:r>
        <w:rPr>
          <w:rFonts w:ascii="Times New Roman" w:hAnsi="Times New Roman"/>
          <w:kern w:val="2"/>
          <w:szCs w:val="21"/>
        </w:rPr>
        <w:t>临床评估的评定报告，特别针对收益风险判断及与预期用途证据的一致性，包括医学指征，以及</w:t>
      </w:r>
      <w:r>
        <w:rPr>
          <w:rFonts w:hint="eastAsia" w:ascii="Times New Roman" w:hAnsi="Times New Roman"/>
          <w:kern w:val="2"/>
          <w:szCs w:val="21"/>
          <w:lang w:val="en-US"/>
        </w:rPr>
        <w:t>第10（3）条和</w:t>
      </w:r>
      <w:r>
        <w:rPr>
          <w:rFonts w:ascii="Times New Roman" w:hAnsi="Times New Roman"/>
          <w:kern w:val="2"/>
          <w:szCs w:val="21"/>
        </w:rPr>
        <w:t>附录XIV第B部分中所述PMCF计划，生成临床评估的评定报告，就制造商提供的临床证据得出结论。</w:t>
      </w:r>
    </w:p>
    <w:p w14:paraId="06228AFC">
      <w:pPr>
        <w:pStyle w:val="8"/>
        <w:topLinePunct/>
        <w:snapToGrid w:val="0"/>
        <w:spacing w:beforeLines="20" w:line="300" w:lineRule="auto"/>
        <w:ind w:left="1532" w:firstLine="0"/>
        <w:jc w:val="both"/>
        <w:rPr>
          <w:kern w:val="2"/>
          <w:szCs w:val="21"/>
        </w:rPr>
      </w:pPr>
      <w:r>
        <w:rPr>
          <w:kern w:val="2"/>
          <w:szCs w:val="21"/>
        </w:rPr>
        <w:t>公告机构应将其临床评估的评定报告，与附录II第6.1（c）和（d）</w:t>
      </w:r>
      <w:r>
        <w:rPr>
          <w:rFonts w:hint="eastAsia"/>
          <w:kern w:val="2"/>
          <w:szCs w:val="21"/>
        </w:rPr>
        <w:t>点</w:t>
      </w:r>
      <w:r>
        <w:rPr>
          <w:kern w:val="2"/>
          <w:szCs w:val="21"/>
        </w:rPr>
        <w:t>所述制造商的临床评价文档一起提交给欧盟委员会。</w:t>
      </w:r>
    </w:p>
    <w:p w14:paraId="0E8EE6EE">
      <w:pPr>
        <w:pStyle w:val="8"/>
        <w:topLinePunct/>
        <w:snapToGrid w:val="0"/>
        <w:spacing w:beforeLines="20" w:line="300" w:lineRule="auto"/>
        <w:ind w:left="1532" w:firstLine="0"/>
        <w:jc w:val="both"/>
        <w:rPr>
          <w:kern w:val="2"/>
          <w:szCs w:val="21"/>
        </w:rPr>
      </w:pPr>
      <w:r>
        <w:rPr>
          <w:kern w:val="2"/>
          <w:szCs w:val="21"/>
        </w:rPr>
        <w:t>欧盟委员会应立即将这些文档发送至第106条所述的有关专家小组。</w:t>
      </w:r>
    </w:p>
    <w:p w14:paraId="399302E0">
      <w:pPr>
        <w:pStyle w:val="32"/>
        <w:numPr>
          <w:ilvl w:val="2"/>
          <w:numId w:val="208"/>
        </w:numPr>
        <w:tabs>
          <w:tab w:val="left" w:pos="1533"/>
        </w:tabs>
        <w:topLinePunct/>
        <w:snapToGrid w:val="0"/>
        <w:spacing w:beforeLines="20" w:line="300" w:lineRule="auto"/>
        <w:jc w:val="both"/>
        <w:rPr>
          <w:rFonts w:ascii="Times New Roman" w:hAnsi="Times New Roman"/>
          <w:kern w:val="2"/>
          <w:szCs w:val="21"/>
        </w:rPr>
      </w:pPr>
      <w:r>
        <w:rPr>
          <w:rFonts w:ascii="Times New Roman" w:hAnsi="Times New Roman"/>
          <w:kern w:val="2"/>
          <w:szCs w:val="21"/>
        </w:rPr>
        <w:t>公告机构可能被要求向相关专家小组出示(a)点所述的评估结论。</w:t>
      </w:r>
    </w:p>
    <w:p w14:paraId="4B501B96">
      <w:pPr>
        <w:pStyle w:val="32"/>
        <w:numPr>
          <w:ilvl w:val="2"/>
          <w:numId w:val="208"/>
        </w:numPr>
        <w:tabs>
          <w:tab w:val="left" w:pos="1533"/>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专家小组基于以下全部标准，在欧盟委员会的监督下</w:t>
      </w:r>
      <w:r>
        <w:rPr>
          <w:rFonts w:hint="eastAsia" w:ascii="Times New Roman" w:hAnsi="Times New Roman"/>
          <w:kern w:val="2"/>
          <w:szCs w:val="21"/>
        </w:rPr>
        <w:t>做出</w:t>
      </w:r>
      <w:r>
        <w:rPr>
          <w:rFonts w:ascii="Times New Roman" w:hAnsi="Times New Roman"/>
          <w:kern w:val="2"/>
          <w:szCs w:val="21"/>
        </w:rPr>
        <w:t>决议：</w:t>
      </w:r>
    </w:p>
    <w:p w14:paraId="5137770D">
      <w:pPr>
        <w:pStyle w:val="32"/>
        <w:numPr>
          <w:ilvl w:val="3"/>
          <w:numId w:val="208"/>
        </w:numPr>
        <w:tabs>
          <w:tab w:val="left" w:pos="2099"/>
        </w:tabs>
        <w:topLinePunct/>
        <w:snapToGrid w:val="0"/>
        <w:spacing w:beforeLines="50" w:line="300" w:lineRule="auto"/>
        <w:ind w:hanging="566"/>
        <w:jc w:val="both"/>
        <w:rPr>
          <w:rFonts w:ascii="Times New Roman" w:hAnsi="Times New Roman"/>
          <w:kern w:val="2"/>
          <w:szCs w:val="21"/>
        </w:rPr>
      </w:pPr>
      <w:r>
        <w:rPr>
          <w:rFonts w:ascii="Times New Roman" w:hAnsi="Times New Roman"/>
          <w:kern w:val="2"/>
          <w:szCs w:val="21"/>
        </w:rPr>
        <w:t>器械的创新性或可能涉及和主要临床影响或健康影响的相关临床操作；</w:t>
      </w:r>
    </w:p>
    <w:p w14:paraId="23714E12">
      <w:pPr>
        <w:pStyle w:val="32"/>
        <w:numPr>
          <w:ilvl w:val="3"/>
          <w:numId w:val="208"/>
        </w:numPr>
        <w:tabs>
          <w:tab w:val="left" w:pos="2099"/>
        </w:tabs>
        <w:topLinePunct/>
        <w:snapToGrid w:val="0"/>
        <w:spacing w:beforeLines="50" w:line="300" w:lineRule="auto"/>
        <w:ind w:hanging="566"/>
        <w:jc w:val="both"/>
        <w:rPr>
          <w:rFonts w:ascii="Times New Roman" w:hAnsi="Times New Roman"/>
          <w:kern w:val="2"/>
          <w:szCs w:val="21"/>
        </w:rPr>
      </w:pPr>
      <w:r>
        <w:rPr>
          <w:rFonts w:hint="eastAsia" w:ascii="Times New Roman" w:hAnsi="Times New Roman"/>
          <w:kern w:val="2"/>
          <w:szCs w:val="21"/>
        </w:rPr>
        <w:t>从</w:t>
      </w:r>
      <w:r>
        <w:rPr>
          <w:rFonts w:ascii="Times New Roman" w:hAnsi="Times New Roman"/>
          <w:kern w:val="2"/>
          <w:szCs w:val="21"/>
        </w:rPr>
        <w:t>特定品类器械或器械组收益风险比上</w:t>
      </w:r>
      <w:r>
        <w:rPr>
          <w:rFonts w:hint="eastAsia" w:ascii="Times New Roman" w:hAnsi="Times New Roman"/>
          <w:kern w:val="2"/>
          <w:szCs w:val="21"/>
        </w:rPr>
        <w:t>观察</w:t>
      </w:r>
      <w:r>
        <w:rPr>
          <w:rFonts w:ascii="Times New Roman" w:hAnsi="Times New Roman"/>
          <w:kern w:val="2"/>
          <w:szCs w:val="21"/>
        </w:rPr>
        <w:t>产生的显著有害变化，</w:t>
      </w:r>
      <w:r>
        <w:rPr>
          <w:rFonts w:hint="eastAsia" w:ascii="Times New Roman" w:hAnsi="Times New Roman"/>
          <w:kern w:val="2"/>
          <w:szCs w:val="21"/>
        </w:rPr>
        <w:t>是</w:t>
      </w:r>
      <w:r>
        <w:rPr>
          <w:rFonts w:ascii="Times New Roman" w:hAnsi="Times New Roman"/>
          <w:kern w:val="2"/>
          <w:szCs w:val="21"/>
        </w:rPr>
        <w:t>由有关组件或原材料，或有关器械故障的情况下对健康有影响的，科学有效的健康隐患</w:t>
      </w:r>
      <w:r>
        <w:rPr>
          <w:rFonts w:hint="eastAsia" w:ascii="Times New Roman" w:hAnsi="Times New Roman"/>
          <w:kern w:val="2"/>
          <w:szCs w:val="21"/>
        </w:rPr>
        <w:t>所</w:t>
      </w:r>
      <w:r>
        <w:rPr>
          <w:rFonts w:ascii="Times New Roman" w:hAnsi="Times New Roman"/>
          <w:kern w:val="2"/>
          <w:szCs w:val="21"/>
        </w:rPr>
        <w:t>引起；</w:t>
      </w:r>
    </w:p>
    <w:p w14:paraId="22105B6E">
      <w:pPr>
        <w:pStyle w:val="32"/>
        <w:numPr>
          <w:ilvl w:val="3"/>
          <w:numId w:val="208"/>
        </w:numPr>
        <w:tabs>
          <w:tab w:val="left" w:pos="2099"/>
        </w:tabs>
        <w:topLinePunct/>
        <w:snapToGrid w:val="0"/>
        <w:spacing w:beforeLines="50" w:line="300" w:lineRule="auto"/>
        <w:ind w:hanging="566"/>
        <w:jc w:val="both"/>
        <w:rPr>
          <w:rFonts w:ascii="Times New Roman" w:hAnsi="Times New Roman"/>
          <w:kern w:val="2"/>
          <w:szCs w:val="21"/>
        </w:rPr>
      </w:pPr>
      <w:r>
        <w:rPr>
          <w:rFonts w:ascii="Times New Roman" w:hAnsi="Times New Roman"/>
          <w:kern w:val="2"/>
          <w:szCs w:val="21"/>
        </w:rPr>
        <w:t>根据第87条，与特殊品类器械或器械组有关的严重不良事件报告的显著增加。</w:t>
      </w:r>
    </w:p>
    <w:p w14:paraId="327194FC">
      <w:pPr>
        <w:pStyle w:val="8"/>
        <w:topLinePunct/>
        <w:snapToGrid w:val="0"/>
        <w:spacing w:beforeLines="50" w:line="300" w:lineRule="auto"/>
        <w:ind w:left="1532" w:firstLine="0"/>
        <w:jc w:val="both"/>
        <w:rPr>
          <w:kern w:val="2"/>
          <w:szCs w:val="21"/>
        </w:rPr>
      </w:pPr>
      <w:r>
        <w:rPr>
          <w:kern w:val="2"/>
          <w:szCs w:val="21"/>
        </w:rPr>
        <w:t>若根据制造商提供的临床证据，针对公告机构的临床评估的评定报告发表科学意见，特别是关于收益/风险判断，及与医疗指征证据和PMCF计划的一致性。该科学意见应，自委员会提供(a)点所述的文件60天内给出。决议根据（i）、（ii）和（iii）点中所列标准提供科学意见的原因也应包括在科学意见内。</w:t>
      </w:r>
      <w:r>
        <w:rPr>
          <w:rFonts w:hint="eastAsia"/>
          <w:kern w:val="2"/>
          <w:szCs w:val="21"/>
        </w:rPr>
        <w:t>若</w:t>
      </w:r>
      <w:r>
        <w:rPr>
          <w:kern w:val="2"/>
          <w:szCs w:val="21"/>
        </w:rPr>
        <w:t>所提交的信息不够充分，专家小组无法得出结论，应在科学意见中予以说明。</w:t>
      </w:r>
    </w:p>
    <w:p w14:paraId="139B2EC4">
      <w:pPr>
        <w:pStyle w:val="8"/>
        <w:topLinePunct/>
        <w:snapToGrid w:val="0"/>
        <w:spacing w:beforeLines="50" w:line="300" w:lineRule="auto"/>
        <w:ind w:left="1532" w:hanging="568"/>
        <w:jc w:val="both"/>
        <w:rPr>
          <w:kern w:val="2"/>
          <w:szCs w:val="21"/>
        </w:rPr>
      </w:pPr>
      <w:r>
        <w:rPr>
          <w:kern w:val="2"/>
          <w:szCs w:val="21"/>
        </w:rPr>
        <w:t>(d）</w:t>
      </w:r>
      <w:r>
        <w:rPr>
          <w:kern w:val="2"/>
          <w:szCs w:val="21"/>
        </w:rPr>
        <w:tab/>
      </w:r>
      <w:r>
        <w:rPr>
          <w:kern w:val="2"/>
          <w:szCs w:val="21"/>
        </w:rPr>
        <w:t>专家小组可基于（c）点规定的标准，在欧盟委员会的监督下</w:t>
      </w:r>
      <w:r>
        <w:rPr>
          <w:rFonts w:hint="eastAsia"/>
          <w:kern w:val="2"/>
          <w:szCs w:val="21"/>
        </w:rPr>
        <w:t>，</w:t>
      </w:r>
      <w:r>
        <w:rPr>
          <w:kern w:val="2"/>
          <w:szCs w:val="21"/>
        </w:rPr>
        <w:t>决议不提供科学的意见，这种情况应在收到委员会(a)点所述的文档后21天内尽快通知公告机构。专家小组应在期限内向公告机构和欧盟委员会说明该决议原因，使公告机构可继续该器械的认证程序。</w:t>
      </w:r>
    </w:p>
    <w:p w14:paraId="2DD5D243">
      <w:pPr>
        <w:pStyle w:val="8"/>
        <w:topLinePunct/>
        <w:snapToGrid w:val="0"/>
        <w:spacing w:beforeLines="50" w:line="300" w:lineRule="auto"/>
        <w:ind w:left="1532" w:hanging="568"/>
        <w:jc w:val="both"/>
        <w:rPr>
          <w:kern w:val="2"/>
          <w:szCs w:val="21"/>
        </w:rPr>
      </w:pPr>
      <w:r>
        <w:rPr>
          <w:kern w:val="2"/>
          <w:szCs w:val="21"/>
        </w:rPr>
        <w:t>(e）</w:t>
      </w:r>
      <w:r>
        <w:rPr>
          <w:kern w:val="2"/>
          <w:szCs w:val="21"/>
        </w:rPr>
        <w:tab/>
      </w:r>
      <w:r>
        <w:rPr>
          <w:kern w:val="2"/>
          <w:szCs w:val="21"/>
        </w:rPr>
        <w:t>专家小组应在收到欧盟委员会文档后21天内，通过欧盟医疗器械数据库确定是否根据（c）点提供科学意见，或根据（ca）点不提供科学意见。</w:t>
      </w:r>
    </w:p>
    <w:p w14:paraId="5543DD21">
      <w:pPr>
        <w:pStyle w:val="8"/>
        <w:topLinePunct/>
        <w:snapToGrid w:val="0"/>
        <w:spacing w:beforeLines="50" w:line="300" w:lineRule="auto"/>
        <w:ind w:left="1532" w:hanging="568"/>
        <w:jc w:val="both"/>
        <w:rPr>
          <w:kern w:val="2"/>
          <w:szCs w:val="21"/>
        </w:rPr>
      </w:pPr>
      <w:r>
        <w:rPr>
          <w:kern w:val="2"/>
          <w:szCs w:val="21"/>
        </w:rPr>
        <w:t>(f）</w:t>
      </w:r>
      <w:r>
        <w:rPr>
          <w:kern w:val="2"/>
          <w:szCs w:val="21"/>
        </w:rPr>
        <w:tab/>
      </w:r>
      <w:r>
        <w:rPr>
          <w:kern w:val="2"/>
          <w:szCs w:val="21"/>
        </w:rPr>
        <w:t>如未在60天内提出意见，则公告机构可继续相关器械的认证程序。</w:t>
      </w:r>
    </w:p>
    <w:p w14:paraId="554066C1">
      <w:pPr>
        <w:pStyle w:val="32"/>
        <w:numPr>
          <w:ilvl w:val="2"/>
          <w:numId w:val="209"/>
        </w:numPr>
        <w:tabs>
          <w:tab w:val="left" w:pos="1533"/>
        </w:tabs>
        <w:topLinePunct/>
        <w:snapToGrid w:val="0"/>
        <w:spacing w:beforeLines="50" w:line="300" w:lineRule="auto"/>
        <w:jc w:val="both"/>
        <w:rPr>
          <w:rFonts w:ascii="Times New Roman" w:hAnsi="Times New Roman"/>
          <w:kern w:val="2"/>
          <w:szCs w:val="21"/>
        </w:rPr>
      </w:pPr>
      <w:r>
        <w:rPr>
          <w:rFonts w:ascii="Times New Roman" w:hAnsi="Times New Roman"/>
          <w:kern w:val="2"/>
          <w:szCs w:val="21"/>
        </w:rPr>
        <w:t>公告机构应适当考虑专家小组的科学意见中表达的观点。</w:t>
      </w:r>
      <w:r>
        <w:rPr>
          <w:rFonts w:hint="eastAsia" w:ascii="Times New Roman" w:hAnsi="Times New Roman"/>
          <w:kern w:val="2"/>
          <w:szCs w:val="21"/>
        </w:rPr>
        <w:t>若</w:t>
      </w:r>
      <w:r>
        <w:rPr>
          <w:rFonts w:ascii="Times New Roman" w:hAnsi="Times New Roman"/>
          <w:kern w:val="2"/>
          <w:szCs w:val="21"/>
        </w:rPr>
        <w:t>专家小组发现临床证据不足以判断收益/风险、</w:t>
      </w:r>
      <w:r>
        <w:rPr>
          <w:rFonts w:hint="eastAsia" w:ascii="Times New Roman" w:hAnsi="Times New Roman"/>
          <w:kern w:val="2"/>
          <w:szCs w:val="21"/>
        </w:rPr>
        <w:t>是否</w:t>
      </w:r>
      <w:r>
        <w:rPr>
          <w:rFonts w:ascii="Times New Roman" w:hAnsi="Times New Roman"/>
          <w:kern w:val="2"/>
          <w:szCs w:val="21"/>
        </w:rPr>
        <w:t>与预期用途证据的一致性，包括医学适应症和PMCF计划，或所产生的相关严重问题，必要时，公告机构应建议制造商限制器械用于特定患者或特定医学指征，和/或限制证书的有效期，进行特定PMCF研究以适应使用说明或安全性和临床总结，或限制其一致性评估报告（如适用）。</w:t>
      </w:r>
      <w:r>
        <w:rPr>
          <w:rFonts w:hint="eastAsia" w:ascii="Times New Roman" w:hAnsi="Times New Roman"/>
          <w:kern w:val="2"/>
          <w:szCs w:val="21"/>
        </w:rPr>
        <w:t>在</w:t>
      </w:r>
      <w:r>
        <w:rPr>
          <w:rFonts w:ascii="Times New Roman" w:hAnsi="Times New Roman"/>
          <w:kern w:val="2"/>
          <w:szCs w:val="21"/>
        </w:rPr>
        <w:t>公告机构未遵照其一致性评估报告时，应提供充分理由，</w:t>
      </w:r>
      <w:r>
        <w:rPr>
          <w:rFonts w:hint="eastAsia" w:ascii="Times New Roman" w:hAnsi="Times New Roman"/>
          <w:kern w:val="2"/>
          <w:szCs w:val="21"/>
        </w:rPr>
        <w:t>且</w:t>
      </w:r>
      <w:r>
        <w:rPr>
          <w:rFonts w:ascii="Times New Roman" w:hAnsi="Times New Roman"/>
          <w:kern w:val="2"/>
          <w:szCs w:val="21"/>
        </w:rPr>
        <w:t>欧盟委员会应在不影响第109条的情况下，通过欧盟医疗器械数据库公开专家小组的科学意见和公告机构的书面理由。</w:t>
      </w:r>
    </w:p>
    <w:p w14:paraId="637CCC0A">
      <w:pPr>
        <w:pStyle w:val="8"/>
        <w:topLinePunct/>
        <w:snapToGrid w:val="0"/>
        <w:spacing w:beforeLines="50" w:line="300" w:lineRule="auto"/>
        <w:ind w:left="1532" w:hanging="568"/>
        <w:jc w:val="both"/>
        <w:rPr>
          <w:kern w:val="2"/>
          <w:szCs w:val="21"/>
        </w:rPr>
      </w:pPr>
      <w:r>
        <w:rPr>
          <w:kern w:val="2"/>
          <w:szCs w:val="21"/>
        </w:rPr>
        <w:t>(h）</w:t>
      </w:r>
      <w:r>
        <w:rPr>
          <w:kern w:val="2"/>
          <w:szCs w:val="21"/>
        </w:rPr>
        <w:tab/>
      </w:r>
      <w:r>
        <w:rPr>
          <w:kern w:val="2"/>
          <w:szCs w:val="21"/>
        </w:rPr>
        <w:t>欧盟委员会与成员国及相关专家咨询后，应在</w:t>
      </w:r>
      <w:r>
        <w:rPr>
          <w:rFonts w:hint="eastAsia"/>
          <w:kern w:val="2"/>
          <w:szCs w:val="21"/>
        </w:rPr>
        <w:t>2020年5月26日</w:t>
      </w:r>
      <w:r>
        <w:rPr>
          <w:kern w:val="2"/>
          <w:szCs w:val="21"/>
        </w:rPr>
        <w:t>前向专家小组提供指导，并基于（c）点标准达成一致。</w:t>
      </w:r>
    </w:p>
    <w:p w14:paraId="212205D7">
      <w:pPr>
        <w:pStyle w:val="4"/>
        <w:tabs>
          <w:tab w:val="left" w:pos="682"/>
        </w:tabs>
        <w:topLinePunct/>
        <w:snapToGrid w:val="0"/>
        <w:spacing w:beforeLines="50" w:line="300" w:lineRule="auto"/>
        <w:ind w:left="113" w:firstLine="0"/>
        <w:jc w:val="both"/>
        <w:rPr>
          <w:rFonts w:ascii="Times New Roman" w:hAnsi="Times New Roman"/>
          <w:kern w:val="2"/>
          <w:sz w:val="21"/>
          <w:szCs w:val="21"/>
        </w:rPr>
      </w:pPr>
      <w:r>
        <w:rPr>
          <w:rFonts w:ascii="Times New Roman" w:hAnsi="Times New Roman"/>
          <w:kern w:val="2"/>
          <w:sz w:val="21"/>
          <w:szCs w:val="21"/>
        </w:rPr>
        <w:t>5.2.</w:t>
      </w:r>
      <w:r>
        <w:rPr>
          <w:rFonts w:ascii="Times New Roman" w:hAnsi="Times New Roman"/>
          <w:kern w:val="2"/>
          <w:sz w:val="21"/>
          <w:szCs w:val="21"/>
        </w:rPr>
        <w:tab/>
      </w:r>
      <w:r>
        <w:rPr>
          <w:rFonts w:ascii="Times New Roman" w:hAnsi="Times New Roman"/>
          <w:kern w:val="2"/>
          <w:sz w:val="21"/>
          <w:szCs w:val="21"/>
        </w:rPr>
        <w:t>与药物一同使用的器械的认证程序</w:t>
      </w:r>
    </w:p>
    <w:p w14:paraId="22CBD745">
      <w:pPr>
        <w:pStyle w:val="32"/>
        <w:numPr>
          <w:ilvl w:val="2"/>
          <w:numId w:val="210"/>
        </w:numPr>
        <w:tabs>
          <w:tab w:val="left" w:pos="1248"/>
        </w:tabs>
        <w:topLinePunct/>
        <w:snapToGrid w:val="0"/>
        <w:spacing w:beforeLines="50" w:line="300" w:lineRule="auto"/>
        <w:ind w:left="1248" w:hanging="567"/>
        <w:jc w:val="both"/>
        <w:rPr>
          <w:rFonts w:ascii="Times New Roman" w:hAnsi="Times New Roman"/>
          <w:kern w:val="2"/>
          <w:szCs w:val="21"/>
        </w:rPr>
      </w:pPr>
      <w:r>
        <w:rPr>
          <w:rFonts w:ascii="Times New Roman" w:hAnsi="Times New Roman"/>
          <w:kern w:val="2"/>
          <w:szCs w:val="21"/>
        </w:rPr>
        <w:t>如器械结合根据第2001/83/EC号指令第1条第2点内容可视为药品的物质一同使用时，包括人血或人血浆源医疗产品，须根据第2001/83/EC号指令附录I中指定的方法对该物质的质量、安全性和有效性进行验证。</w:t>
      </w:r>
    </w:p>
    <w:p w14:paraId="099E6C3C">
      <w:pPr>
        <w:pStyle w:val="32"/>
        <w:numPr>
          <w:ilvl w:val="2"/>
          <w:numId w:val="210"/>
        </w:numPr>
        <w:tabs>
          <w:tab w:val="left" w:pos="1248"/>
        </w:tabs>
        <w:topLinePunct/>
        <w:snapToGrid w:val="0"/>
        <w:spacing w:beforeLines="50" w:line="300" w:lineRule="auto"/>
        <w:ind w:left="1248" w:hanging="567"/>
        <w:jc w:val="both"/>
        <w:rPr>
          <w:rFonts w:ascii="Times New Roman" w:hAnsi="Times New Roman"/>
          <w:kern w:val="2"/>
          <w:szCs w:val="21"/>
        </w:rPr>
      </w:pPr>
      <w:r>
        <w:rPr>
          <w:rFonts w:ascii="Times New Roman" w:hAnsi="Times New Roman"/>
          <w:kern w:val="2"/>
          <w:szCs w:val="21"/>
        </w:rPr>
        <w:t>颁发欧盟技术文件评估证书前，公告机构应核实该物质作为器械一部分的有用性，考虑到器械的预期用途，寻求成员国根据第2001/83/EC号指令指定的主管机构或EMA提供的科学意见，特别本节根据此点咨询的</w:t>
      </w:r>
      <w:r>
        <w:rPr>
          <w:rFonts w:hint="eastAsia" w:ascii="Times New Roman" w:hAnsi="Times New Roman"/>
          <w:kern w:val="2"/>
          <w:szCs w:val="21"/>
        </w:rPr>
        <w:t>“</w:t>
      </w:r>
      <w:r>
        <w:rPr>
          <w:rFonts w:ascii="Times New Roman" w:hAnsi="Times New Roman"/>
          <w:kern w:val="2"/>
          <w:szCs w:val="21"/>
        </w:rPr>
        <w:t>药品产品权威咨询</w:t>
      </w:r>
      <w:r>
        <w:rPr>
          <w:rFonts w:hint="eastAsia" w:ascii="Times New Roman" w:hAnsi="Times New Roman"/>
          <w:kern w:val="2"/>
          <w:szCs w:val="21"/>
        </w:rPr>
        <w:t>”</w:t>
      </w:r>
      <w:r>
        <w:rPr>
          <w:rFonts w:ascii="Times New Roman" w:hAnsi="Times New Roman"/>
          <w:kern w:val="2"/>
          <w:szCs w:val="21"/>
        </w:rPr>
        <w:t>，包括器械结合物质使用的收益/风险。结合人血或人血浆衍生物使用时，如器械被视为欧洲委员会第726/2004号法规附录范围内的医疗产品，则公告机构应咨询EMA意见。</w:t>
      </w:r>
    </w:p>
    <w:p w14:paraId="288D09EE">
      <w:pPr>
        <w:pStyle w:val="32"/>
        <w:numPr>
          <w:ilvl w:val="2"/>
          <w:numId w:val="210"/>
        </w:numPr>
        <w:tabs>
          <w:tab w:val="left" w:pos="1248"/>
        </w:tabs>
        <w:topLinePunct/>
        <w:snapToGrid w:val="0"/>
        <w:spacing w:beforeLines="50" w:line="300" w:lineRule="auto"/>
        <w:ind w:left="1248" w:hanging="567"/>
        <w:jc w:val="both"/>
        <w:rPr>
          <w:rFonts w:ascii="Times New Roman" w:hAnsi="Times New Roman"/>
          <w:kern w:val="2"/>
          <w:szCs w:val="21"/>
        </w:rPr>
      </w:pPr>
      <w:r>
        <w:rPr>
          <w:rFonts w:ascii="Times New Roman" w:hAnsi="Times New Roman"/>
          <w:kern w:val="2"/>
          <w:szCs w:val="21"/>
        </w:rPr>
        <w:t>发布意见时，医疗产品咨询主管机构应考虑到公告机构确定的器械中所采用材料的可用性相关的制造工艺和数据。</w:t>
      </w:r>
    </w:p>
    <w:p w14:paraId="77895150">
      <w:pPr>
        <w:pStyle w:val="32"/>
        <w:numPr>
          <w:ilvl w:val="2"/>
          <w:numId w:val="210"/>
        </w:numPr>
        <w:tabs>
          <w:tab w:val="left" w:pos="1248"/>
        </w:tabs>
        <w:topLinePunct/>
        <w:snapToGrid w:val="0"/>
        <w:spacing w:beforeLines="50" w:line="300" w:lineRule="auto"/>
        <w:ind w:left="1248" w:hanging="567"/>
        <w:jc w:val="both"/>
        <w:rPr>
          <w:rFonts w:ascii="Times New Roman" w:hAnsi="Times New Roman"/>
          <w:kern w:val="2"/>
          <w:szCs w:val="21"/>
        </w:rPr>
      </w:pPr>
      <w:r>
        <w:rPr>
          <w:rFonts w:ascii="Times New Roman" w:hAnsi="Times New Roman"/>
          <w:kern w:val="2"/>
          <w:szCs w:val="21"/>
        </w:rPr>
        <w:t>医疗产品咨询主管机构应在收到所有必要文档210天内向公告机构提供意见。</w:t>
      </w:r>
    </w:p>
    <w:p w14:paraId="35CC4F26">
      <w:pPr>
        <w:pStyle w:val="32"/>
        <w:numPr>
          <w:ilvl w:val="2"/>
          <w:numId w:val="210"/>
        </w:numPr>
        <w:tabs>
          <w:tab w:val="left" w:pos="1248"/>
        </w:tabs>
        <w:topLinePunct/>
        <w:snapToGrid w:val="0"/>
        <w:spacing w:beforeLines="50" w:line="300" w:lineRule="auto"/>
        <w:ind w:left="1248" w:hanging="567"/>
        <w:jc w:val="both"/>
        <w:rPr>
          <w:rFonts w:ascii="Times New Roman" w:hAnsi="Times New Roman"/>
          <w:kern w:val="2"/>
          <w:szCs w:val="21"/>
        </w:rPr>
      </w:pPr>
      <w:r>
        <w:rPr>
          <w:rFonts w:ascii="Times New Roman" w:hAnsi="Times New Roman"/>
          <w:kern w:val="2"/>
          <w:szCs w:val="21"/>
        </w:rPr>
        <w:t>医疗产品咨询主管机构的科学意见及可能的更新应包含在公告机构有关该器械的文档中。公告机构</w:t>
      </w:r>
      <w:r>
        <w:rPr>
          <w:rFonts w:hint="eastAsia" w:ascii="Times New Roman" w:hAnsi="Times New Roman"/>
          <w:kern w:val="2"/>
          <w:szCs w:val="21"/>
        </w:rPr>
        <w:t>做出</w:t>
      </w:r>
      <w:r>
        <w:rPr>
          <w:rFonts w:ascii="Times New Roman" w:hAnsi="Times New Roman"/>
          <w:kern w:val="2"/>
          <w:szCs w:val="21"/>
        </w:rPr>
        <w:t>决议时，应适当考虑其科学意见所表达观点。如其科学意见表示反对，则公告机构不可颁发证明，且应向医药产品咨询当传达最终决议。</w:t>
      </w:r>
    </w:p>
    <w:p w14:paraId="12F9661C">
      <w:pPr>
        <w:pStyle w:val="32"/>
        <w:numPr>
          <w:ilvl w:val="2"/>
          <w:numId w:val="210"/>
        </w:numPr>
        <w:tabs>
          <w:tab w:val="left" w:pos="1248"/>
        </w:tabs>
        <w:topLinePunct/>
        <w:snapToGrid w:val="0"/>
        <w:spacing w:beforeLines="50" w:line="300" w:lineRule="auto"/>
        <w:ind w:left="1248" w:hanging="567"/>
        <w:jc w:val="both"/>
        <w:rPr>
          <w:rFonts w:ascii="Times New Roman" w:hAnsi="Times New Roman"/>
          <w:kern w:val="2"/>
          <w:szCs w:val="21"/>
        </w:rPr>
      </w:pPr>
      <w:r>
        <w:rPr>
          <w:rFonts w:ascii="Times New Roman" w:hAnsi="Times New Roman"/>
          <w:kern w:val="2"/>
          <w:szCs w:val="21"/>
        </w:rPr>
        <w:t>器械中结合的辅助物质发生改变之前，特别是其制造过程发生改变前，制造商应通知公告机构相应的变更。公告机构应寻求医疗产品咨询主管机构意见已确保该辅助物质的质量和安全性保持不变。医疗产品咨询主管机构应考虑有关公告机构确定该物质纳入器械的可用性数据，以便确保这些变更不会对先前建立的器械中添加物质相关临床收益或风险产生负面影响。医疗产品咨询主管机构应在收到有关变更的所有必要文档后60天内提出意见。如医疗产品咨询主管机构的科学意见表示反对，则公告机构不可提出EU技术文件评估报告之增补。公告机构应向相关主管机构传达最终决议。</w:t>
      </w:r>
    </w:p>
    <w:p w14:paraId="2AD2D33A">
      <w:pPr>
        <w:pStyle w:val="32"/>
        <w:numPr>
          <w:ilvl w:val="2"/>
          <w:numId w:val="210"/>
        </w:numPr>
        <w:tabs>
          <w:tab w:val="left" w:pos="1248"/>
        </w:tabs>
        <w:topLinePunct/>
        <w:snapToGrid w:val="0"/>
        <w:spacing w:beforeLines="50" w:line="300" w:lineRule="auto"/>
        <w:ind w:left="1248" w:hanging="567"/>
        <w:jc w:val="both"/>
        <w:rPr>
          <w:rFonts w:ascii="Times New Roman" w:hAnsi="Times New Roman"/>
          <w:kern w:val="2"/>
          <w:szCs w:val="21"/>
        </w:rPr>
      </w:pPr>
      <w:r>
        <w:rPr>
          <w:rFonts w:ascii="Times New Roman" w:hAnsi="Times New Roman"/>
          <w:kern w:val="2"/>
          <w:szCs w:val="21"/>
        </w:rPr>
        <w:t>若医疗产品咨询主管机构获得有关辅助物质的以下信息：该物质可能会对先前建立的器械中添加该物质相关临床收益或风险产生影响，应提供建议给公告机构，该信息是否影响已建立的器械中添加物质相关临床收益或风险。在重新审核的法规符合性评估流程中，公告机构应考虑该建议。</w:t>
      </w:r>
    </w:p>
    <w:p w14:paraId="476E910C">
      <w:pPr>
        <w:pStyle w:val="4"/>
        <w:tabs>
          <w:tab w:val="left" w:pos="682"/>
        </w:tabs>
        <w:topLinePunct/>
        <w:snapToGrid w:val="0"/>
        <w:spacing w:beforeLines="50" w:line="300" w:lineRule="auto"/>
        <w:ind w:left="630" w:leftChars="54" w:hanging="517" w:hangingChars="245"/>
        <w:jc w:val="both"/>
        <w:rPr>
          <w:rFonts w:ascii="Times New Roman" w:hAnsi="Times New Roman"/>
          <w:kern w:val="2"/>
          <w:sz w:val="21"/>
          <w:szCs w:val="21"/>
        </w:rPr>
      </w:pPr>
      <w:r>
        <w:rPr>
          <w:rFonts w:ascii="Times New Roman" w:hAnsi="Times New Roman"/>
          <w:kern w:val="2"/>
          <w:sz w:val="21"/>
          <w:szCs w:val="21"/>
        </w:rPr>
        <w:t>5.3.</w:t>
      </w:r>
      <w:r>
        <w:rPr>
          <w:rFonts w:ascii="Times New Roman" w:hAnsi="Times New Roman"/>
          <w:kern w:val="2"/>
          <w:sz w:val="21"/>
          <w:szCs w:val="21"/>
        </w:rPr>
        <w:tab/>
      </w:r>
      <w:r>
        <w:rPr>
          <w:rFonts w:ascii="Times New Roman" w:hAnsi="Times New Roman"/>
          <w:kern w:val="2"/>
          <w:sz w:val="21"/>
          <w:szCs w:val="21"/>
        </w:rPr>
        <w:t>利用非活性或处理为非活性的人类或动物源组织或细胞及其衍生物制造器械时的认证程序</w:t>
      </w:r>
    </w:p>
    <w:p w14:paraId="22ED053F">
      <w:pPr>
        <w:pStyle w:val="4"/>
        <w:tabs>
          <w:tab w:val="left" w:pos="682"/>
        </w:tabs>
        <w:topLinePunct/>
        <w:snapToGrid w:val="0"/>
        <w:spacing w:beforeLines="50" w:line="300" w:lineRule="auto"/>
        <w:ind w:left="113" w:firstLine="0"/>
        <w:jc w:val="both"/>
        <w:rPr>
          <w:rFonts w:ascii="Times New Roman" w:hAnsi="Times New Roman"/>
          <w:b w:val="0"/>
          <w:kern w:val="2"/>
          <w:sz w:val="21"/>
          <w:szCs w:val="21"/>
        </w:rPr>
      </w:pPr>
      <w:r>
        <w:rPr>
          <w:rFonts w:ascii="Times New Roman" w:hAnsi="Times New Roman"/>
          <w:b w:val="0"/>
          <w:kern w:val="2"/>
          <w:sz w:val="21"/>
          <w:szCs w:val="21"/>
        </w:rPr>
        <w:t>5.3.1</w:t>
      </w:r>
      <w:r>
        <w:rPr>
          <w:rFonts w:ascii="Times New Roman" w:hAnsi="Times New Roman"/>
          <w:b w:val="0"/>
          <w:kern w:val="2"/>
          <w:sz w:val="21"/>
          <w:szCs w:val="21"/>
        </w:rPr>
        <w:tab/>
      </w:r>
      <w:r>
        <w:rPr>
          <w:rFonts w:ascii="Times New Roman" w:hAnsi="Times New Roman"/>
          <w:b w:val="0"/>
          <w:kern w:val="2"/>
          <w:sz w:val="21"/>
          <w:szCs w:val="21"/>
        </w:rPr>
        <w:t>人类源组织或细胞及其衍生物</w:t>
      </w:r>
    </w:p>
    <w:p w14:paraId="55BB3AAF">
      <w:pPr>
        <w:pStyle w:val="32"/>
        <w:numPr>
          <w:ilvl w:val="2"/>
          <w:numId w:val="211"/>
        </w:numPr>
        <w:tabs>
          <w:tab w:val="left" w:pos="1248"/>
        </w:tabs>
        <w:topLinePunct/>
        <w:snapToGrid w:val="0"/>
        <w:spacing w:beforeLines="50" w:line="300" w:lineRule="auto"/>
        <w:ind w:left="1248" w:hanging="567"/>
        <w:jc w:val="both"/>
        <w:rPr>
          <w:rFonts w:ascii="Times New Roman" w:hAnsi="Times New Roman"/>
          <w:kern w:val="2"/>
          <w:szCs w:val="21"/>
        </w:rPr>
      </w:pPr>
      <w:r>
        <w:rPr>
          <w:rFonts w:ascii="Times New Roman" w:hAnsi="Times New Roman"/>
          <w:kern w:val="2"/>
          <w:szCs w:val="21"/>
        </w:rPr>
        <w:t>根据本法规第1(6)节（g）点，利用人类组织或细胞衍生物制造器械，或结合第2004/23/EC 号指令，使用组织或人类细胞及其衍生物的器械，公告机构应在颁发欧盟技术文件评估证书之前，应向成员国第2004/23/EC号指令指定的主管机构之一（</w:t>
      </w:r>
      <w:r>
        <w:rPr>
          <w:rFonts w:hint="eastAsia" w:ascii="Times New Roman" w:hAnsi="Times New Roman"/>
          <w:kern w:val="2"/>
          <w:szCs w:val="21"/>
        </w:rPr>
        <w:t>“</w:t>
      </w:r>
      <w:r>
        <w:rPr>
          <w:rFonts w:ascii="Times New Roman" w:hAnsi="Times New Roman"/>
          <w:kern w:val="2"/>
          <w:szCs w:val="21"/>
        </w:rPr>
        <w:t>人类组织和细胞主管机构</w:t>
      </w:r>
      <w:r>
        <w:rPr>
          <w:rFonts w:hint="eastAsia" w:ascii="Times New Roman" w:hAnsi="Times New Roman"/>
          <w:kern w:val="2"/>
          <w:szCs w:val="21"/>
        </w:rPr>
        <w:t>”</w:t>
      </w:r>
      <w:r>
        <w:rPr>
          <w:rFonts w:ascii="Times New Roman" w:hAnsi="Times New Roman"/>
          <w:kern w:val="2"/>
          <w:szCs w:val="21"/>
        </w:rPr>
        <w:t>）寻求有关人类组织或细胞或其衍生物的捐赠、采购和检测方面的科学意见。公告机构应提交初步符合性评估总结，说明及相应捐赠、采购和检测的人类组织或细胞无存活能力，，以及结合人类源组织或细胞及其衍生物使用的器械的风险或收益等相关信息：</w:t>
      </w:r>
    </w:p>
    <w:p w14:paraId="0707A516">
      <w:pPr>
        <w:pStyle w:val="32"/>
        <w:numPr>
          <w:ilvl w:val="2"/>
          <w:numId w:val="211"/>
        </w:numPr>
        <w:tabs>
          <w:tab w:val="left" w:pos="1248"/>
        </w:tabs>
        <w:topLinePunct/>
        <w:snapToGrid w:val="0"/>
        <w:spacing w:beforeLines="25" w:line="300" w:lineRule="auto"/>
        <w:ind w:left="1248" w:hanging="567"/>
        <w:jc w:val="both"/>
        <w:rPr>
          <w:rFonts w:ascii="Times New Roman" w:hAnsi="Times New Roman"/>
          <w:kern w:val="2"/>
          <w:szCs w:val="21"/>
        </w:rPr>
      </w:pPr>
      <w:r>
        <w:rPr>
          <w:rFonts w:ascii="Times New Roman" w:hAnsi="Times New Roman"/>
          <w:kern w:val="2"/>
          <w:szCs w:val="21"/>
        </w:rPr>
        <w:br w:type="page"/>
      </w:r>
      <w:r>
        <w:rPr>
          <w:rFonts w:ascii="Times New Roman" w:hAnsi="Times New Roman"/>
          <w:kern w:val="2"/>
          <w:szCs w:val="21"/>
        </w:rPr>
        <w:t>在收到所有必要文档后120天内，人类组织和细胞主管机构应向公告机构提供意见。</w:t>
      </w:r>
    </w:p>
    <w:p w14:paraId="21FD5A62">
      <w:pPr>
        <w:pStyle w:val="32"/>
        <w:numPr>
          <w:ilvl w:val="2"/>
          <w:numId w:val="211"/>
        </w:numPr>
        <w:tabs>
          <w:tab w:val="left" w:pos="1248"/>
        </w:tabs>
        <w:topLinePunct/>
        <w:snapToGrid w:val="0"/>
        <w:spacing w:beforeLines="25" w:line="300" w:lineRule="auto"/>
        <w:ind w:left="1248" w:hanging="567"/>
        <w:jc w:val="both"/>
        <w:rPr>
          <w:rFonts w:ascii="Times New Roman" w:hAnsi="Times New Roman"/>
          <w:kern w:val="2"/>
          <w:szCs w:val="21"/>
        </w:rPr>
      </w:pPr>
      <w:r>
        <w:rPr>
          <w:rFonts w:ascii="Times New Roman" w:hAnsi="Times New Roman"/>
          <w:kern w:val="2"/>
          <w:szCs w:val="21"/>
        </w:rPr>
        <w:t>人类组织和细胞主管机构的科学意见及可能更新都应包含在公告机构有关器械的文档中。公告机构</w:t>
      </w:r>
      <w:r>
        <w:rPr>
          <w:rFonts w:hint="eastAsia" w:ascii="Times New Roman" w:hAnsi="Times New Roman"/>
          <w:kern w:val="2"/>
          <w:szCs w:val="21"/>
        </w:rPr>
        <w:t>做出</w:t>
      </w:r>
      <w:r>
        <w:rPr>
          <w:rFonts w:ascii="Times New Roman" w:hAnsi="Times New Roman"/>
          <w:kern w:val="2"/>
          <w:szCs w:val="21"/>
        </w:rPr>
        <w:t>决议时，应适当考虑人类组织和细胞主管机构的科学意见所表达的观点。如科学意见表示反对，则公告机构不可颁发证书。应向相关人类组织和细胞主管机构传达最终决议。</w:t>
      </w:r>
    </w:p>
    <w:p w14:paraId="23FF0F39">
      <w:pPr>
        <w:pStyle w:val="32"/>
        <w:numPr>
          <w:ilvl w:val="2"/>
          <w:numId w:val="211"/>
        </w:numPr>
        <w:tabs>
          <w:tab w:val="left" w:pos="1248"/>
        </w:tabs>
        <w:topLinePunct/>
        <w:snapToGrid w:val="0"/>
        <w:spacing w:beforeLines="25" w:line="300" w:lineRule="auto"/>
        <w:ind w:left="1248" w:hanging="567"/>
        <w:jc w:val="both"/>
        <w:rPr>
          <w:rFonts w:ascii="Times New Roman" w:hAnsi="Times New Roman"/>
          <w:kern w:val="2"/>
          <w:szCs w:val="21"/>
        </w:rPr>
      </w:pPr>
      <w:r>
        <w:rPr>
          <w:rFonts w:hint="eastAsia" w:ascii="Times New Roman" w:hAnsi="Times New Roman"/>
          <w:kern w:val="2"/>
          <w:szCs w:val="21"/>
        </w:rPr>
        <w:t>在</w:t>
      </w:r>
      <w:r>
        <w:rPr>
          <w:rFonts w:ascii="Times New Roman" w:hAnsi="Times New Roman"/>
          <w:kern w:val="2"/>
          <w:szCs w:val="21"/>
        </w:rPr>
        <w:t>器械中结合的非活性人类源组织或细胞及其衍生物发生变更之前，特别是其捐赠、检验或采购过程发生变更前，制造商应通知公告机构相应变更。公告机构应咨询主管机构有关初次咨询的内容，以确保人类组织或细胞或其衍生物的质量和安全性。相关人类组织和细胞主管机构应考虑由公告机构所确定的与人类组织或细胞及其衍生物一同使用器械的可用性数据，以确保该项变更对器械中增加人类组织或细胞及其衍生物已确定的收益/风险比无负面影响。应在收到有关预期变更的所有比伊奥文档后60天内提出意见。</w:t>
      </w:r>
      <w:r>
        <w:rPr>
          <w:rFonts w:hint="eastAsia" w:ascii="Times New Roman" w:hAnsi="Times New Roman"/>
          <w:kern w:val="2"/>
          <w:szCs w:val="21"/>
        </w:rPr>
        <w:t>若</w:t>
      </w:r>
      <w:r>
        <w:rPr>
          <w:rFonts w:ascii="Times New Roman" w:hAnsi="Times New Roman"/>
          <w:kern w:val="2"/>
          <w:szCs w:val="21"/>
        </w:rPr>
        <w:t>科学意见表示反对，则公告机构不可颁发EU技术文件评估报告</w:t>
      </w:r>
      <w:r>
        <w:rPr>
          <w:rFonts w:hint="eastAsia" w:ascii="Times New Roman" w:hAnsi="Times New Roman"/>
          <w:kern w:val="2"/>
          <w:szCs w:val="21"/>
        </w:rPr>
        <w:t>的</w:t>
      </w:r>
      <w:r>
        <w:rPr>
          <w:rFonts w:ascii="Times New Roman" w:hAnsi="Times New Roman"/>
          <w:kern w:val="2"/>
          <w:szCs w:val="21"/>
        </w:rPr>
        <w:t>增补件，并应向相关人类组织和细胞主管机构传达最终决议。</w:t>
      </w:r>
    </w:p>
    <w:p w14:paraId="5DB1519D">
      <w:pPr>
        <w:pStyle w:val="32"/>
        <w:tabs>
          <w:tab w:val="left" w:pos="720"/>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5.3.2</w:t>
      </w:r>
      <w:r>
        <w:rPr>
          <w:rFonts w:ascii="Times New Roman" w:hAnsi="Times New Roman"/>
          <w:kern w:val="2"/>
          <w:szCs w:val="21"/>
        </w:rPr>
        <w:tab/>
      </w:r>
      <w:r>
        <w:rPr>
          <w:rFonts w:ascii="Times New Roman" w:hAnsi="Times New Roman"/>
          <w:kern w:val="2"/>
          <w:szCs w:val="21"/>
        </w:rPr>
        <w:t>动物源组织或细胞及其衍生物</w:t>
      </w:r>
    </w:p>
    <w:p w14:paraId="19C6F313">
      <w:pPr>
        <w:pStyle w:val="32"/>
        <w:topLinePunct/>
        <w:snapToGrid w:val="0"/>
        <w:spacing w:beforeLines="25" w:line="300" w:lineRule="auto"/>
        <w:ind w:left="718" w:leftChars="342"/>
        <w:jc w:val="both"/>
        <w:rPr>
          <w:rFonts w:ascii="Times New Roman" w:hAnsi="Times New Roman"/>
          <w:kern w:val="2"/>
          <w:szCs w:val="21"/>
        </w:rPr>
      </w:pPr>
      <w:r>
        <w:rPr>
          <w:rFonts w:ascii="Times New Roman" w:hAnsi="Times New Roman"/>
          <w:kern w:val="2"/>
          <w:szCs w:val="21"/>
        </w:rPr>
        <w:t>根据第722/2012号法对于利用源自动物组织的非活性或处理为非活性医疗产品利用动物组织制造的器械，公告机构应采用该法规规定的相关要求。</w:t>
      </w:r>
    </w:p>
    <w:p w14:paraId="7A9D4F6D">
      <w:pPr>
        <w:pStyle w:val="4"/>
        <w:tabs>
          <w:tab w:val="left" w:pos="682"/>
        </w:tabs>
        <w:topLinePunct/>
        <w:snapToGrid w:val="0"/>
        <w:spacing w:beforeLines="25" w:line="300" w:lineRule="auto"/>
        <w:ind w:left="0" w:firstLine="0"/>
        <w:jc w:val="both"/>
        <w:rPr>
          <w:rFonts w:ascii="Times New Roman" w:hAnsi="Times New Roman"/>
          <w:b w:val="0"/>
          <w:bCs w:val="0"/>
          <w:kern w:val="2"/>
          <w:sz w:val="21"/>
          <w:szCs w:val="21"/>
        </w:rPr>
      </w:pPr>
      <w:r>
        <w:rPr>
          <w:rFonts w:ascii="Times New Roman" w:hAnsi="Times New Roman"/>
          <w:kern w:val="2"/>
          <w:sz w:val="21"/>
          <w:szCs w:val="21"/>
        </w:rPr>
        <w:t>5.4.</w:t>
      </w:r>
      <w:r>
        <w:rPr>
          <w:rFonts w:ascii="Times New Roman" w:hAnsi="Times New Roman"/>
          <w:kern w:val="2"/>
          <w:sz w:val="21"/>
          <w:szCs w:val="21"/>
        </w:rPr>
        <w:tab/>
      </w:r>
      <w:r>
        <w:rPr>
          <w:rFonts w:ascii="Times New Roman" w:hAnsi="Times New Roman"/>
          <w:kern w:val="2"/>
          <w:sz w:val="21"/>
          <w:szCs w:val="21"/>
        </w:rPr>
        <w:t>对于包含可被人体吸收或局部喷洒在人体上的物质或物质组合的器械</w:t>
      </w:r>
    </w:p>
    <w:p w14:paraId="3B60DE6D">
      <w:pPr>
        <w:pStyle w:val="32"/>
        <w:numPr>
          <w:ilvl w:val="2"/>
          <w:numId w:val="212"/>
        </w:numPr>
        <w:tabs>
          <w:tab w:val="left" w:pos="1248"/>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器械包含可通过身体孔口进入人体，或涂敷在皮肤上被人体吸收，或局部喷洒在人体上的物质或物质组合时，应根据第2001/83/EC号指令附录I中关于器械吸收、分布、代谢、排泄、局部耐受性、毒性、与其他器械或医疗产品或其他物质相互作用及潜在不良反应的相关要求，验证该器械的质量和安全性是否适用于本法规，且不限于本法规的要求。</w:t>
      </w:r>
    </w:p>
    <w:p w14:paraId="0C9C831A">
      <w:pPr>
        <w:pStyle w:val="32"/>
        <w:numPr>
          <w:ilvl w:val="2"/>
          <w:numId w:val="212"/>
        </w:numPr>
        <w:tabs>
          <w:tab w:val="left" w:pos="1248"/>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同时，器械或其代谢产物可被人体吸收以实现预期用途时，公告机构应当就器械与第2001/83/EC号指令EMA寻求科学意见，其中根据此点上咨询内容，任一个在本节中称为</w:t>
      </w:r>
      <w:r>
        <w:rPr>
          <w:rFonts w:hint="eastAsia" w:ascii="Times New Roman" w:hAnsi="Times New Roman"/>
          <w:kern w:val="2"/>
          <w:szCs w:val="21"/>
        </w:rPr>
        <w:t>“</w:t>
      </w:r>
      <w:r>
        <w:rPr>
          <w:rFonts w:ascii="Times New Roman" w:hAnsi="Times New Roman"/>
          <w:kern w:val="2"/>
          <w:szCs w:val="21"/>
        </w:rPr>
        <w:t>咨询的药品产品权威</w:t>
      </w:r>
      <w:r>
        <w:rPr>
          <w:rFonts w:hint="eastAsia" w:ascii="Times New Roman" w:hAnsi="Times New Roman"/>
          <w:kern w:val="2"/>
          <w:szCs w:val="21"/>
        </w:rPr>
        <w:t>”</w:t>
      </w:r>
      <w:r>
        <w:rPr>
          <w:rFonts w:ascii="Times New Roman" w:hAnsi="Times New Roman"/>
          <w:kern w:val="2"/>
          <w:szCs w:val="21"/>
        </w:rPr>
        <w:t>，且该器械是否符合指令2001/83/EC附件I中规定的相关要求</w:t>
      </w:r>
    </w:p>
    <w:p w14:paraId="06D6F0FB">
      <w:pPr>
        <w:pStyle w:val="32"/>
        <w:numPr>
          <w:ilvl w:val="2"/>
          <w:numId w:val="212"/>
        </w:numPr>
        <w:tabs>
          <w:tab w:val="left" w:pos="1248"/>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医疗产品咨询主管机构应在收到所有必要文档后150天内提出意见。</w:t>
      </w:r>
    </w:p>
    <w:p w14:paraId="48A85345">
      <w:pPr>
        <w:pStyle w:val="32"/>
        <w:numPr>
          <w:ilvl w:val="2"/>
          <w:numId w:val="212"/>
        </w:numPr>
        <w:tabs>
          <w:tab w:val="left" w:pos="1248"/>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医疗产品咨询主管机构的科学意见及可能更新应包含在公告机构有关该器械的文档中。公告机构</w:t>
      </w:r>
      <w:r>
        <w:rPr>
          <w:rFonts w:hint="eastAsia" w:ascii="Times New Roman" w:hAnsi="Times New Roman"/>
          <w:kern w:val="2"/>
          <w:szCs w:val="21"/>
        </w:rPr>
        <w:t>做出</w:t>
      </w:r>
      <w:r>
        <w:rPr>
          <w:rFonts w:ascii="Times New Roman" w:hAnsi="Times New Roman"/>
          <w:kern w:val="2"/>
          <w:szCs w:val="21"/>
        </w:rPr>
        <w:t>决议时，应适当考虑科学意见所表达观点，并应向医疗产品咨询主管机构传达最终决议。</w:t>
      </w:r>
    </w:p>
    <w:p w14:paraId="6791D17A">
      <w:pPr>
        <w:pStyle w:val="4"/>
        <w:tabs>
          <w:tab w:val="left" w:pos="682"/>
        </w:tabs>
        <w:topLinePunct/>
        <w:snapToGrid w:val="0"/>
        <w:spacing w:beforeLines="25" w:line="300" w:lineRule="auto"/>
        <w:ind w:left="638" w:leftChars="54" w:hanging="525" w:hangingChars="250"/>
        <w:jc w:val="both"/>
        <w:rPr>
          <w:rFonts w:ascii="Times New Roman" w:hAnsi="Times New Roman"/>
          <w:b w:val="0"/>
          <w:bCs w:val="0"/>
          <w:kern w:val="2"/>
          <w:sz w:val="21"/>
          <w:szCs w:val="21"/>
        </w:rPr>
      </w:pPr>
      <w:r>
        <w:rPr>
          <w:rFonts w:hint="eastAsia" w:ascii="Times New Roman" w:hAnsi="Times New Roman"/>
          <w:b w:val="0"/>
          <w:kern w:val="2"/>
          <w:sz w:val="21"/>
          <w:szCs w:val="21"/>
        </w:rPr>
        <w:t>6.</w:t>
      </w:r>
      <w:r>
        <w:rPr>
          <w:rFonts w:hint="eastAsia" w:ascii="Times New Roman" w:hAnsi="Times New Roman"/>
          <w:b w:val="0"/>
          <w:kern w:val="2"/>
          <w:sz w:val="21"/>
          <w:szCs w:val="21"/>
        </w:rPr>
        <w:tab/>
      </w:r>
      <w:r>
        <w:rPr>
          <w:rFonts w:ascii="Times New Roman" w:hAnsi="Times New Roman"/>
          <w:b w:val="0"/>
          <w:kern w:val="2"/>
          <w:sz w:val="21"/>
          <w:szCs w:val="21"/>
        </w:rPr>
        <w:t>在器械包括药用物质作为组成部分的情况下的批量验证，若单独使用，可认为其是第1（8）条所述的人血或人血浆医疗产品</w:t>
      </w:r>
      <w:r>
        <w:rPr>
          <w:rFonts w:hint="eastAsia" w:ascii="Times New Roman" w:hAnsi="Times New Roman"/>
          <w:b w:val="0"/>
          <w:kern w:val="2"/>
          <w:sz w:val="21"/>
          <w:szCs w:val="21"/>
        </w:rPr>
        <w:t>。</w:t>
      </w:r>
    </w:p>
    <w:p w14:paraId="1C02BEC8">
      <w:pPr>
        <w:pStyle w:val="8"/>
        <w:topLinePunct/>
        <w:snapToGrid w:val="0"/>
        <w:spacing w:beforeLines="25" w:line="300" w:lineRule="auto"/>
        <w:ind w:firstLine="0"/>
        <w:jc w:val="both"/>
        <w:rPr>
          <w:kern w:val="2"/>
          <w:szCs w:val="21"/>
        </w:rPr>
      </w:pPr>
      <w:r>
        <w:rPr>
          <w:kern w:val="2"/>
          <w:szCs w:val="21"/>
        </w:rPr>
        <w:t>当结合人血或血浆源医疗产品使用时，根据第1(8)条第1段，器械制造完成后，制造商应告知公告机构器械批号，并向公告机构发送成员国国家实验室或根据第2001/83/EC号指令第114(2)节由成员国指定实验室所颁发的使用人血或血浆衍生物器械的官方证明。</w:t>
      </w:r>
    </w:p>
    <w:p w14:paraId="14B86FF5">
      <w:pPr>
        <w:pStyle w:val="4"/>
        <w:topLinePunct/>
        <w:snapToGrid w:val="0"/>
        <w:spacing w:beforeLines="25" w:line="300" w:lineRule="auto"/>
        <w:ind w:left="0" w:firstLine="0"/>
        <w:jc w:val="center"/>
        <w:rPr>
          <w:rFonts w:ascii="Times New Roman" w:hAnsi="Times New Roman"/>
          <w:kern w:val="2"/>
          <w:sz w:val="21"/>
          <w:szCs w:val="21"/>
        </w:rPr>
      </w:pPr>
      <w:r>
        <w:rPr>
          <w:rFonts w:ascii="Times New Roman" w:hAnsi="Times New Roman"/>
          <w:kern w:val="2"/>
          <w:sz w:val="21"/>
          <w:szCs w:val="21"/>
        </w:rPr>
        <w:t>第III章：</w:t>
      </w:r>
    </w:p>
    <w:p w14:paraId="3206E1BA">
      <w:pPr>
        <w:pStyle w:val="4"/>
        <w:topLinePunct/>
        <w:snapToGrid w:val="0"/>
        <w:spacing w:beforeLines="25" w:line="300" w:lineRule="auto"/>
        <w:ind w:left="0" w:firstLine="0"/>
        <w:jc w:val="center"/>
        <w:rPr>
          <w:rFonts w:ascii="Times New Roman" w:hAnsi="Times New Roman"/>
          <w:b w:val="0"/>
          <w:bCs w:val="0"/>
          <w:kern w:val="2"/>
          <w:sz w:val="21"/>
          <w:szCs w:val="21"/>
        </w:rPr>
      </w:pPr>
      <w:r>
        <w:rPr>
          <w:rFonts w:ascii="Times New Roman" w:hAnsi="Times New Roman"/>
          <w:kern w:val="2"/>
          <w:sz w:val="21"/>
          <w:szCs w:val="21"/>
          <w:lang w:val="en-US"/>
        </w:rPr>
        <w:t>行政管理规定</w:t>
      </w:r>
    </w:p>
    <w:p w14:paraId="7D9182C5">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hint="eastAsia" w:ascii="Times New Roman" w:hAnsi="Times New Roman"/>
          <w:kern w:val="2"/>
          <w:szCs w:val="21"/>
        </w:rPr>
        <w:t>7.</w:t>
      </w:r>
      <w:r>
        <w:rPr>
          <w:rFonts w:hint="eastAsia" w:ascii="Times New Roman" w:hAnsi="Times New Roman"/>
          <w:kern w:val="2"/>
          <w:szCs w:val="21"/>
        </w:rPr>
        <w:tab/>
      </w:r>
      <w:r>
        <w:rPr>
          <w:rFonts w:ascii="Times New Roman" w:hAnsi="Times New Roman"/>
          <w:kern w:val="2"/>
          <w:szCs w:val="21"/>
        </w:rPr>
        <w:t>制造商或其授权代表（如制造商在成员国内未登记营业场所）应在最后一个器械投放市场</w:t>
      </w:r>
      <w:r>
        <w:rPr>
          <w:rFonts w:hint="eastAsia" w:ascii="Times New Roman" w:hAnsi="Times New Roman"/>
          <w:kern w:val="2"/>
          <w:szCs w:val="21"/>
        </w:rPr>
        <w:t>至少10</w:t>
      </w:r>
      <w:r>
        <w:rPr>
          <w:rFonts w:ascii="Times New Roman" w:hAnsi="Times New Roman"/>
          <w:kern w:val="2"/>
          <w:szCs w:val="21"/>
        </w:rPr>
        <w:t>年</w:t>
      </w:r>
      <w:r>
        <w:rPr>
          <w:rFonts w:hint="eastAsia" w:ascii="Times New Roman" w:hAnsi="Times New Roman"/>
          <w:kern w:val="2"/>
          <w:szCs w:val="21"/>
        </w:rPr>
        <w:t>内（</w:t>
      </w:r>
      <w:r>
        <w:rPr>
          <w:rFonts w:ascii="Times New Roman" w:hAnsi="Times New Roman"/>
          <w:kern w:val="2"/>
          <w:szCs w:val="21"/>
        </w:rPr>
        <w:t>植入式器械</w:t>
      </w:r>
      <w:r>
        <w:rPr>
          <w:rFonts w:hint="eastAsia" w:ascii="Times New Roman" w:hAnsi="Times New Roman"/>
          <w:kern w:val="2"/>
          <w:szCs w:val="21"/>
        </w:rPr>
        <w:t>为至少15</w:t>
      </w:r>
      <w:r>
        <w:rPr>
          <w:rFonts w:ascii="Times New Roman" w:hAnsi="Times New Roman"/>
          <w:kern w:val="2"/>
          <w:szCs w:val="21"/>
        </w:rPr>
        <w:t>年</w:t>
      </w:r>
      <w:r>
        <w:rPr>
          <w:rFonts w:hint="eastAsia" w:ascii="Times New Roman" w:hAnsi="Times New Roman"/>
          <w:kern w:val="2"/>
          <w:szCs w:val="21"/>
        </w:rPr>
        <w:t>内）</w:t>
      </w:r>
      <w:r>
        <w:rPr>
          <w:rFonts w:ascii="Times New Roman" w:hAnsi="Times New Roman"/>
          <w:kern w:val="2"/>
          <w:szCs w:val="21"/>
        </w:rPr>
        <w:t>，</w:t>
      </w:r>
      <w:r>
        <w:rPr>
          <w:rFonts w:hint="eastAsia" w:ascii="Times New Roman" w:hAnsi="Times New Roman"/>
          <w:kern w:val="2"/>
          <w:szCs w:val="21"/>
          <w:lang w:val="en-US"/>
        </w:rPr>
        <w:t>按照</w:t>
      </w:r>
      <w:r>
        <w:rPr>
          <w:rFonts w:ascii="Times New Roman" w:hAnsi="Times New Roman"/>
          <w:kern w:val="2"/>
          <w:szCs w:val="21"/>
          <w:lang w:val="en-US"/>
        </w:rPr>
        <w:t>主管机构</w:t>
      </w:r>
      <w:r>
        <w:rPr>
          <w:rFonts w:hint="eastAsia" w:ascii="Times New Roman" w:hAnsi="Times New Roman"/>
          <w:kern w:val="2"/>
          <w:szCs w:val="21"/>
          <w:lang w:val="en-US"/>
        </w:rPr>
        <w:t>指示，保管以下文件</w:t>
      </w:r>
      <w:r>
        <w:rPr>
          <w:rFonts w:ascii="Times New Roman" w:hAnsi="Times New Roman"/>
          <w:kern w:val="2"/>
          <w:szCs w:val="21"/>
        </w:rPr>
        <w:t>：</w:t>
      </w:r>
    </w:p>
    <w:p w14:paraId="15E6789B">
      <w:pPr>
        <w:pStyle w:val="32"/>
        <w:numPr>
          <w:ilvl w:val="2"/>
          <w:numId w:val="20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EU符合性声明；</w:t>
      </w:r>
    </w:p>
    <w:p w14:paraId="06D3AA0F">
      <w:pPr>
        <w:pStyle w:val="32"/>
        <w:numPr>
          <w:ilvl w:val="2"/>
          <w:numId w:val="20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第2.1节第五段所述的文件，尤其是第2.2节第二段（c）点所述程序所产生的数据和记录，</w:t>
      </w:r>
    </w:p>
    <w:p w14:paraId="1A36B16D">
      <w:pPr>
        <w:pStyle w:val="32"/>
        <w:numPr>
          <w:ilvl w:val="2"/>
          <w:numId w:val="20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第2.4节所述变更，</w:t>
      </w:r>
    </w:p>
    <w:p w14:paraId="0C73D80D">
      <w:pPr>
        <w:pStyle w:val="32"/>
        <w:numPr>
          <w:ilvl w:val="2"/>
          <w:numId w:val="20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第4.2节所述文档，以及</w:t>
      </w:r>
    </w:p>
    <w:p w14:paraId="4109AD53">
      <w:pPr>
        <w:pStyle w:val="32"/>
        <w:numPr>
          <w:ilvl w:val="2"/>
          <w:numId w:val="206"/>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如本附录所述公告机构的决议和报告。</w:t>
      </w:r>
    </w:p>
    <w:p w14:paraId="1D75DF61">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hint="eastAsia" w:ascii="Times New Roman" w:hAnsi="Times New Roman"/>
          <w:kern w:val="2"/>
          <w:szCs w:val="21"/>
        </w:rPr>
        <w:t>8.</w:t>
      </w:r>
      <w:r>
        <w:rPr>
          <w:rFonts w:hint="eastAsia" w:ascii="Times New Roman" w:hAnsi="Times New Roman"/>
          <w:kern w:val="2"/>
          <w:szCs w:val="21"/>
        </w:rPr>
        <w:tab/>
      </w:r>
      <w:r>
        <w:rPr>
          <w:rFonts w:ascii="Times New Roman" w:hAnsi="Times New Roman"/>
          <w:kern w:val="2"/>
          <w:szCs w:val="21"/>
        </w:rPr>
        <w:t>各成员国应要求，若制造商或其在职权范围内所确定的授权代表在前段第一句所示期限到期前破产或停止其业务活动，则第7节所述文件在上述所述期间由主管机构保管。</w:t>
      </w:r>
    </w:p>
    <w:p w14:paraId="24DDDCEB">
      <w:pPr>
        <w:snapToGrid w:val="0"/>
        <w:spacing w:beforeLines="25" w:line="300" w:lineRule="auto"/>
        <w:jc w:val="center"/>
        <w:rPr>
          <w:rFonts w:ascii="Times New Roman" w:hAnsi="Times New Roman"/>
          <w:szCs w:val="21"/>
        </w:rPr>
      </w:pPr>
      <w:r>
        <w:rPr>
          <w:rFonts w:hint="eastAsia" w:ascii="Times New Roman" w:hAnsi="Times New Roman"/>
          <w:szCs w:val="21"/>
        </w:rPr>
        <w:t>_________________</w:t>
      </w:r>
    </w:p>
    <w:p w14:paraId="49C5E21B">
      <w:pPr>
        <w:pStyle w:val="2"/>
        <w:spacing w:beforeLines="25" w:line="300" w:lineRule="auto"/>
        <w:rPr>
          <w:bCs/>
          <w:sz w:val="24"/>
          <w:szCs w:val="24"/>
        </w:rPr>
      </w:pPr>
      <w:bookmarkStart w:id="208" w:name="_Toc477512425"/>
      <w:r>
        <w:rPr>
          <w:sz w:val="21"/>
          <w:szCs w:val="21"/>
        </w:rPr>
        <w:br w:type="page"/>
      </w:r>
      <w:r>
        <w:rPr>
          <w:sz w:val="24"/>
          <w:szCs w:val="24"/>
        </w:rPr>
        <w:t>附录X</w:t>
      </w:r>
      <w:r>
        <w:rPr>
          <w:sz w:val="24"/>
          <w:szCs w:val="24"/>
        </w:rPr>
        <w:br w:type="textWrapping"/>
      </w:r>
      <w:r>
        <w:rPr>
          <w:sz w:val="24"/>
          <w:szCs w:val="24"/>
        </w:rPr>
        <w:t>基于型式检验的符合性评估</w:t>
      </w:r>
      <w:bookmarkEnd w:id="208"/>
    </w:p>
    <w:p w14:paraId="6AF0B9BA">
      <w:pPr>
        <w:pStyle w:val="8"/>
        <w:tabs>
          <w:tab w:val="left" w:pos="681"/>
        </w:tabs>
        <w:topLinePunct/>
        <w:snapToGrid w:val="0"/>
        <w:spacing w:beforeLines="25" w:line="300" w:lineRule="auto"/>
        <w:ind w:hanging="568"/>
        <w:jc w:val="both"/>
        <w:rPr>
          <w:kern w:val="2"/>
          <w:szCs w:val="21"/>
        </w:rPr>
      </w:pPr>
      <w:r>
        <w:rPr>
          <w:kern w:val="2"/>
          <w:szCs w:val="21"/>
        </w:rPr>
        <w:t>1.</w:t>
      </w:r>
      <w:r>
        <w:rPr>
          <w:kern w:val="2"/>
          <w:szCs w:val="21"/>
        </w:rPr>
        <w:tab/>
      </w:r>
      <w:r>
        <w:rPr>
          <w:kern w:val="2"/>
          <w:szCs w:val="21"/>
        </w:rPr>
        <w:t>欧盟型式试验指的是欧盟公告机构确认器械性能并颁发合格证书的过程，包括其技术文件及相应符合本法规相关规定的器械代表性产品样品。</w:t>
      </w:r>
    </w:p>
    <w:p w14:paraId="6FED2E14">
      <w:pPr>
        <w:pStyle w:val="4"/>
        <w:tabs>
          <w:tab w:val="left" w:pos="682"/>
        </w:tabs>
        <w:topLinePunct/>
        <w:snapToGrid w:val="0"/>
        <w:spacing w:beforeLines="25" w:line="300" w:lineRule="auto"/>
        <w:ind w:left="114" w:firstLine="0"/>
        <w:jc w:val="both"/>
        <w:rPr>
          <w:rFonts w:ascii="Times New Roman" w:hAnsi="Times New Roman"/>
          <w:b w:val="0"/>
          <w:bCs w:val="0"/>
          <w:kern w:val="2"/>
          <w:sz w:val="21"/>
          <w:szCs w:val="21"/>
        </w:rPr>
      </w:pPr>
      <w:r>
        <w:rPr>
          <w:rFonts w:hint="eastAsia" w:ascii="Times New Roman" w:hAnsi="Times New Roman"/>
          <w:b w:val="0"/>
          <w:kern w:val="2"/>
          <w:sz w:val="21"/>
          <w:szCs w:val="21"/>
        </w:rPr>
        <w:t>2.</w:t>
      </w:r>
      <w:r>
        <w:rPr>
          <w:rFonts w:hint="eastAsia" w:ascii="Times New Roman" w:hAnsi="Times New Roman"/>
          <w:b w:val="0"/>
          <w:kern w:val="2"/>
          <w:sz w:val="21"/>
          <w:szCs w:val="21"/>
        </w:rPr>
        <w:tab/>
      </w:r>
      <w:r>
        <w:rPr>
          <w:rFonts w:ascii="Times New Roman" w:hAnsi="Times New Roman"/>
          <w:b w:val="0"/>
          <w:kern w:val="2"/>
          <w:sz w:val="21"/>
          <w:szCs w:val="21"/>
        </w:rPr>
        <w:t>申请表</w:t>
      </w:r>
    </w:p>
    <w:p w14:paraId="7D21A039">
      <w:pPr>
        <w:pStyle w:val="8"/>
        <w:topLinePunct/>
        <w:snapToGrid w:val="0"/>
        <w:spacing w:beforeLines="25" w:line="300" w:lineRule="auto"/>
        <w:ind w:firstLine="0"/>
        <w:jc w:val="both"/>
        <w:rPr>
          <w:kern w:val="2"/>
          <w:szCs w:val="21"/>
        </w:rPr>
      </w:pPr>
      <w:r>
        <w:rPr>
          <w:kern w:val="2"/>
          <w:szCs w:val="21"/>
        </w:rPr>
        <w:t>制造商应向认证机构提交评估申请。申请表应当包括：</w:t>
      </w:r>
    </w:p>
    <w:p w14:paraId="10B78F8A">
      <w:pPr>
        <w:pStyle w:val="32"/>
        <w:numPr>
          <w:ilvl w:val="1"/>
          <w:numId w:val="213"/>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制造商名称和注册地址，如由授权代表进行申请表，还须提供授权代表名字及其注册营业地点的地址，</w:t>
      </w:r>
    </w:p>
    <w:p w14:paraId="6D33D324">
      <w:pPr>
        <w:pStyle w:val="32"/>
        <w:numPr>
          <w:ilvl w:val="1"/>
          <w:numId w:val="213"/>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附录II和III所述技术文件。申请人应提供相关代表性器械生产样品，适用于公告机构的</w:t>
      </w:r>
      <w:r>
        <w:rPr>
          <w:rFonts w:hint="eastAsia" w:ascii="Times New Roman" w:hAnsi="Times New Roman"/>
          <w:kern w:val="2"/>
          <w:szCs w:val="21"/>
        </w:rPr>
        <w:t>“</w:t>
      </w:r>
      <w:r>
        <w:rPr>
          <w:rFonts w:ascii="Times New Roman" w:hAnsi="Times New Roman"/>
          <w:kern w:val="2"/>
          <w:szCs w:val="21"/>
        </w:rPr>
        <w:t>型式</w:t>
      </w:r>
      <w:r>
        <w:rPr>
          <w:rFonts w:hint="eastAsia" w:ascii="Times New Roman" w:hAnsi="Times New Roman"/>
          <w:kern w:val="2"/>
          <w:szCs w:val="21"/>
        </w:rPr>
        <w:t>”</w:t>
      </w:r>
      <w:r>
        <w:rPr>
          <w:rFonts w:ascii="Times New Roman" w:hAnsi="Times New Roman"/>
          <w:kern w:val="2"/>
          <w:szCs w:val="21"/>
        </w:rPr>
        <w:t>。必要时，公告机构可要求申请人提供其他样品；</w:t>
      </w:r>
    </w:p>
    <w:p w14:paraId="6EFD2C26">
      <w:pPr>
        <w:pStyle w:val="32"/>
        <w:numPr>
          <w:ilvl w:val="1"/>
          <w:numId w:val="213"/>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未向任何其他公告机构提出同一型式申请表的书面声明，或先前由另一公告机构驳回或在其他公告机构进行最终评估前制造商或其授权代表撤回的任何同一型式申请表的相关信息。</w:t>
      </w:r>
    </w:p>
    <w:p w14:paraId="7DE1AF5D">
      <w:pPr>
        <w:pStyle w:val="4"/>
        <w:tabs>
          <w:tab w:val="left" w:pos="682"/>
        </w:tabs>
        <w:topLinePunct/>
        <w:snapToGrid w:val="0"/>
        <w:spacing w:beforeLines="25" w:line="300" w:lineRule="auto"/>
        <w:ind w:left="114" w:firstLine="0"/>
        <w:jc w:val="both"/>
        <w:rPr>
          <w:rFonts w:ascii="Times New Roman" w:hAnsi="Times New Roman"/>
          <w:b w:val="0"/>
          <w:bCs w:val="0"/>
          <w:kern w:val="2"/>
          <w:sz w:val="21"/>
          <w:szCs w:val="21"/>
        </w:rPr>
      </w:pPr>
      <w:r>
        <w:rPr>
          <w:rFonts w:hint="eastAsia" w:ascii="Times New Roman" w:hAnsi="Times New Roman"/>
          <w:b w:val="0"/>
          <w:kern w:val="2"/>
          <w:sz w:val="21"/>
          <w:szCs w:val="21"/>
        </w:rPr>
        <w:t>3.</w:t>
      </w:r>
      <w:r>
        <w:rPr>
          <w:rFonts w:hint="eastAsia" w:ascii="Times New Roman" w:hAnsi="Times New Roman"/>
          <w:b w:val="0"/>
          <w:kern w:val="2"/>
          <w:sz w:val="21"/>
          <w:szCs w:val="21"/>
        </w:rPr>
        <w:tab/>
      </w:r>
      <w:r>
        <w:rPr>
          <w:rFonts w:ascii="Times New Roman" w:hAnsi="Times New Roman"/>
          <w:b w:val="0"/>
          <w:kern w:val="2"/>
          <w:sz w:val="21"/>
          <w:szCs w:val="21"/>
        </w:rPr>
        <w:t>评估</w:t>
      </w:r>
    </w:p>
    <w:p w14:paraId="41981827">
      <w:pPr>
        <w:pStyle w:val="8"/>
        <w:topLinePunct/>
        <w:snapToGrid w:val="0"/>
        <w:spacing w:beforeLines="25" w:line="300" w:lineRule="auto"/>
        <w:ind w:firstLine="0"/>
        <w:jc w:val="both"/>
        <w:rPr>
          <w:kern w:val="2"/>
          <w:szCs w:val="21"/>
        </w:rPr>
      </w:pPr>
      <w:bookmarkStart w:id="209" w:name="The_notified_body_shall:"/>
      <w:bookmarkEnd w:id="209"/>
      <w:r>
        <w:rPr>
          <w:kern w:val="2"/>
          <w:szCs w:val="21"/>
        </w:rPr>
        <w:t>公告机构应：</w:t>
      </w:r>
    </w:p>
    <w:p w14:paraId="3D730814">
      <w:pPr>
        <w:pStyle w:val="32"/>
        <w:numPr>
          <w:ilvl w:val="3"/>
          <w:numId w:val="20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现场检查制造商的雇员是否具有相关技术及其临床应用知识与丰富经验。欧盟公告机构可要求提供进行的进一步测试或请求提供其他证据评估器械是否符合法规有关规定，从而完成申请表。公告机构应进行与器械相关的适当物理或实验室试验，或要求制造商进行此类试验。</w:t>
      </w:r>
    </w:p>
    <w:p w14:paraId="127581B1">
      <w:pPr>
        <w:pStyle w:val="32"/>
        <w:numPr>
          <w:ilvl w:val="3"/>
          <w:numId w:val="20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审查和评估技术文件是否符合本法规中适用于器械的要求，并验证所生产的型式是否符合文件的要求；还应记录所设计的项目是否符合第8条或适用的CS所述标准的相关规范要求，以及记录未</w:t>
      </w:r>
      <w:r>
        <w:rPr>
          <w:rFonts w:hint="eastAsia" w:ascii="Times New Roman" w:hAnsi="Times New Roman"/>
          <w:kern w:val="2"/>
          <w:szCs w:val="21"/>
        </w:rPr>
        <w:t>涉及</w:t>
      </w:r>
      <w:r>
        <w:rPr>
          <w:rFonts w:ascii="Times New Roman" w:hAnsi="Times New Roman"/>
          <w:kern w:val="2"/>
          <w:szCs w:val="21"/>
        </w:rPr>
        <w:t>的项目是否基于第8条或相关CS所述标准的相关规定；</w:t>
      </w:r>
    </w:p>
    <w:p w14:paraId="1826CC69">
      <w:pPr>
        <w:pStyle w:val="32"/>
        <w:numPr>
          <w:ilvl w:val="3"/>
          <w:numId w:val="20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按照附录XIV第4节审查制造商提交的临床评价报告中的临床证据。欧盟公告机构应聘请具有足够临床经验的器械审查员以及在必要时使用具有相关器械或使用该器械的临床条件的直接和当前经验的外部临床专家；</w:t>
      </w:r>
    </w:p>
    <w:p w14:paraId="3F954EC0">
      <w:pPr>
        <w:pStyle w:val="32"/>
        <w:numPr>
          <w:ilvl w:val="3"/>
          <w:numId w:val="20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若临床证据全部或部分基于所公布器械的数据，且这些器械与所评估的器械类似或相同，则公告机构应评估此类数据的适用性，并考虑新趋势和创新等因素。公告机构应明确记录其对于所公布数据等效性、相关性和充分性的结论，以证明数据符合要求。</w:t>
      </w:r>
    </w:p>
    <w:p w14:paraId="5F5063CF">
      <w:pPr>
        <w:pStyle w:val="32"/>
        <w:numPr>
          <w:ilvl w:val="3"/>
          <w:numId w:val="20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根据第（i）点在临床前和临床评价报告中清楚记录评估结果，加入欧盟型式试验报告中。</w:t>
      </w:r>
    </w:p>
    <w:p w14:paraId="2B4A39B9">
      <w:pPr>
        <w:pStyle w:val="32"/>
        <w:numPr>
          <w:ilvl w:val="3"/>
          <w:numId w:val="20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进行或安排相应的评估以及必要的物理或实验室试验，以验证在未采用第8条或CS所述标准的情况下，制造商所采用的解决方案是否满足本法规的通用安全与性能要求；若器械运行需与其他器械相连接，则应证明在其与具有制造商所规定特性的任何此类器械相连接时，其符合通用安全与性能要求；</w:t>
      </w:r>
    </w:p>
    <w:p w14:paraId="103135C9">
      <w:pPr>
        <w:pStyle w:val="32"/>
        <w:numPr>
          <w:ilvl w:val="3"/>
          <w:numId w:val="20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进行或安排相应的评估以及必要的物理或实验室试验，以验证制造商所选择采用的相关协调标准是否得到了实际采用；</w:t>
      </w:r>
    </w:p>
    <w:p w14:paraId="5A2B0479">
      <w:pPr>
        <w:pStyle w:val="32"/>
        <w:numPr>
          <w:ilvl w:val="3"/>
          <w:numId w:val="20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与申请人商定进行必要评估和试验的场所；以及</w:t>
      </w:r>
    </w:p>
    <w:p w14:paraId="5CC691BB">
      <w:pPr>
        <w:pStyle w:val="32"/>
        <w:numPr>
          <w:ilvl w:val="3"/>
          <w:numId w:val="200"/>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根据第(a)至(g)点进行评估和测试，基于相关结果编制欧盟型式试验报告。</w:t>
      </w:r>
    </w:p>
    <w:p w14:paraId="147C7214">
      <w:pPr>
        <w:pStyle w:val="4"/>
        <w:tabs>
          <w:tab w:val="left" w:pos="682"/>
        </w:tabs>
        <w:topLinePunct/>
        <w:snapToGrid w:val="0"/>
        <w:spacing w:beforeLines="25" w:line="300" w:lineRule="auto"/>
        <w:ind w:left="114" w:firstLine="0"/>
        <w:jc w:val="both"/>
        <w:rPr>
          <w:rFonts w:ascii="Times New Roman" w:hAnsi="Times New Roman"/>
          <w:b w:val="0"/>
          <w:bCs w:val="0"/>
          <w:kern w:val="2"/>
          <w:sz w:val="21"/>
          <w:szCs w:val="21"/>
        </w:rPr>
      </w:pPr>
      <w:r>
        <w:rPr>
          <w:rFonts w:hint="eastAsia" w:ascii="Times New Roman" w:hAnsi="Times New Roman"/>
          <w:b w:val="0"/>
          <w:kern w:val="2"/>
          <w:sz w:val="21"/>
          <w:szCs w:val="21"/>
        </w:rPr>
        <w:t>4.</w:t>
      </w:r>
      <w:r>
        <w:rPr>
          <w:rFonts w:hint="eastAsia" w:ascii="Times New Roman" w:hAnsi="Times New Roman"/>
          <w:b w:val="0"/>
          <w:kern w:val="2"/>
          <w:sz w:val="21"/>
          <w:szCs w:val="21"/>
        </w:rPr>
        <w:tab/>
      </w:r>
      <w:r>
        <w:rPr>
          <w:rFonts w:ascii="Times New Roman" w:hAnsi="Times New Roman"/>
          <w:b w:val="0"/>
          <w:kern w:val="2"/>
          <w:sz w:val="21"/>
          <w:szCs w:val="21"/>
        </w:rPr>
        <w:t>证书</w:t>
      </w:r>
    </w:p>
    <w:p w14:paraId="26737E11">
      <w:pPr>
        <w:pStyle w:val="8"/>
        <w:topLinePunct/>
        <w:snapToGrid w:val="0"/>
        <w:spacing w:beforeLines="25" w:line="300" w:lineRule="auto"/>
        <w:ind w:firstLine="0"/>
        <w:jc w:val="both"/>
        <w:rPr>
          <w:kern w:val="2"/>
          <w:szCs w:val="21"/>
        </w:rPr>
      </w:pPr>
      <w:r>
        <w:rPr>
          <w:kern w:val="2"/>
          <w:szCs w:val="21"/>
        </w:rPr>
        <w:t>若型式符合本法规的规定，则公告机构应颁发EC型式检验证书。证书应包含制造商的名称和地址、型式试验评估结论、证书有效性条件以及批准型式标识所需的数据。根据附录XII编制证明。文件的相关部分应附于证书之后，且公告机构应保存其副本。</w:t>
      </w:r>
    </w:p>
    <w:p w14:paraId="1EC4EC4A">
      <w:pPr>
        <w:pStyle w:val="4"/>
        <w:tabs>
          <w:tab w:val="left" w:pos="682"/>
        </w:tabs>
        <w:topLinePunct/>
        <w:snapToGrid w:val="0"/>
        <w:spacing w:beforeLines="25" w:line="300" w:lineRule="auto"/>
        <w:ind w:left="114" w:firstLine="0"/>
        <w:jc w:val="both"/>
        <w:rPr>
          <w:rFonts w:ascii="Times New Roman" w:hAnsi="Times New Roman"/>
          <w:b w:val="0"/>
          <w:bCs w:val="0"/>
          <w:kern w:val="2"/>
          <w:sz w:val="21"/>
          <w:szCs w:val="21"/>
        </w:rPr>
      </w:pPr>
      <w:r>
        <w:rPr>
          <w:rFonts w:hint="eastAsia" w:ascii="Times New Roman" w:hAnsi="Times New Roman"/>
          <w:b w:val="0"/>
          <w:kern w:val="2"/>
          <w:sz w:val="21"/>
          <w:szCs w:val="21"/>
        </w:rPr>
        <w:t>5.</w:t>
      </w:r>
      <w:r>
        <w:rPr>
          <w:rFonts w:hint="eastAsia" w:ascii="Times New Roman" w:hAnsi="Times New Roman"/>
          <w:b w:val="0"/>
          <w:kern w:val="2"/>
          <w:sz w:val="21"/>
          <w:szCs w:val="21"/>
        </w:rPr>
        <w:tab/>
      </w:r>
      <w:r>
        <w:rPr>
          <w:rFonts w:ascii="Times New Roman" w:hAnsi="Times New Roman"/>
          <w:b w:val="0"/>
          <w:kern w:val="2"/>
          <w:sz w:val="21"/>
          <w:szCs w:val="21"/>
        </w:rPr>
        <w:t>型式变更</w:t>
      </w:r>
    </w:p>
    <w:p w14:paraId="6578F432">
      <w:pPr>
        <w:pStyle w:val="32"/>
        <w:numPr>
          <w:ilvl w:val="1"/>
          <w:numId w:val="21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申请人应将批准型式或其预期用途和使用条件的任何计划变更通知给颁发EC型式检验证书的公告机构。</w:t>
      </w:r>
    </w:p>
    <w:p w14:paraId="1287E80E">
      <w:pPr>
        <w:pStyle w:val="32"/>
        <w:numPr>
          <w:ilvl w:val="1"/>
          <w:numId w:val="214"/>
        </w:numPr>
        <w:tabs>
          <w:tab w:val="left" w:pos="834"/>
        </w:tabs>
        <w:topLinePunct/>
        <w:snapToGrid w:val="0"/>
        <w:spacing w:beforeLines="25" w:line="300" w:lineRule="auto"/>
        <w:ind w:left="834" w:hanging="720"/>
        <w:jc w:val="both"/>
        <w:rPr>
          <w:rFonts w:ascii="Times New Roman" w:hAnsi="Times New Roman"/>
          <w:kern w:val="2"/>
          <w:szCs w:val="21"/>
        </w:rPr>
      </w:pPr>
      <w:r>
        <w:rPr>
          <w:rFonts w:ascii="Times New Roman" w:hAnsi="Times New Roman"/>
          <w:kern w:val="2"/>
          <w:szCs w:val="21"/>
        </w:rPr>
        <w:t>经认可器械的变化，包括预期用途限制和使用条件等，如影响与通用安全与性能要求的一致性或产品的特定使用条件，则应需要经过欧盟公告机构的审批，由欧盟公告机构颁发EC型式检验证书。公告机构应审查计划的变更，将其决议告知制造商，并为其提供EU型式检验报告的附录。对批准型式任何变更的批准应作为EC型式检验证书的附录附于其后。</w:t>
      </w:r>
    </w:p>
    <w:p w14:paraId="53C5A671">
      <w:pPr>
        <w:pStyle w:val="32"/>
        <w:numPr>
          <w:ilvl w:val="1"/>
          <w:numId w:val="214"/>
        </w:numPr>
        <w:tabs>
          <w:tab w:val="left" w:pos="834"/>
        </w:tabs>
        <w:topLinePunct/>
        <w:snapToGrid w:val="0"/>
        <w:spacing w:beforeLines="25" w:line="300" w:lineRule="auto"/>
        <w:ind w:left="834" w:hanging="720"/>
        <w:jc w:val="both"/>
        <w:rPr>
          <w:rFonts w:ascii="Times New Roman" w:hAnsi="Times New Roman"/>
          <w:kern w:val="2"/>
          <w:szCs w:val="21"/>
        </w:rPr>
      </w:pPr>
      <w:r>
        <w:rPr>
          <w:rFonts w:ascii="Times New Roman" w:hAnsi="Times New Roman"/>
          <w:kern w:val="2"/>
          <w:szCs w:val="21"/>
        </w:rPr>
        <w:t>批准器械预期用途和使用条件（预期用途和使用条件的限制除外）的变更应必需重新申请表进行符合性评估。</w:t>
      </w:r>
    </w:p>
    <w:p w14:paraId="58A6C271">
      <w:pPr>
        <w:pStyle w:val="4"/>
        <w:tabs>
          <w:tab w:val="left" w:pos="682"/>
        </w:tabs>
        <w:topLinePunct/>
        <w:snapToGrid w:val="0"/>
        <w:spacing w:beforeLines="25" w:line="300" w:lineRule="auto"/>
        <w:ind w:left="114" w:firstLine="0"/>
        <w:jc w:val="both"/>
        <w:rPr>
          <w:rFonts w:ascii="Times New Roman" w:hAnsi="Times New Roman"/>
          <w:b w:val="0"/>
          <w:bCs w:val="0"/>
          <w:kern w:val="2"/>
          <w:sz w:val="21"/>
          <w:szCs w:val="21"/>
        </w:rPr>
      </w:pPr>
      <w:r>
        <w:rPr>
          <w:rFonts w:hint="eastAsia" w:ascii="Times New Roman" w:hAnsi="Times New Roman"/>
          <w:b w:val="0"/>
          <w:kern w:val="2"/>
          <w:sz w:val="21"/>
          <w:szCs w:val="21"/>
        </w:rPr>
        <w:t>6.</w:t>
      </w:r>
      <w:r>
        <w:rPr>
          <w:rFonts w:hint="eastAsia" w:ascii="Times New Roman" w:hAnsi="Times New Roman"/>
          <w:b w:val="0"/>
          <w:kern w:val="2"/>
          <w:sz w:val="21"/>
          <w:szCs w:val="21"/>
        </w:rPr>
        <w:tab/>
      </w:r>
      <w:r>
        <w:rPr>
          <w:rFonts w:ascii="Times New Roman" w:hAnsi="Times New Roman"/>
          <w:b w:val="0"/>
          <w:kern w:val="2"/>
          <w:sz w:val="21"/>
          <w:szCs w:val="21"/>
        </w:rPr>
        <w:t>具体程序</w:t>
      </w:r>
    </w:p>
    <w:p w14:paraId="09201B77">
      <w:pPr>
        <w:pStyle w:val="8"/>
        <w:topLinePunct/>
        <w:snapToGrid w:val="0"/>
        <w:spacing w:beforeLines="25" w:line="300" w:lineRule="auto"/>
        <w:ind w:firstLine="0"/>
        <w:jc w:val="both"/>
        <w:rPr>
          <w:kern w:val="2"/>
          <w:szCs w:val="21"/>
        </w:rPr>
      </w:pPr>
      <w:r>
        <w:rPr>
          <w:kern w:val="2"/>
          <w:szCs w:val="21"/>
        </w:rPr>
        <w:t>附录IX第5节应适用，但条件是应参考欧盟技术文件，且认定证书应理解为参考EC型式检验证书。</w:t>
      </w:r>
    </w:p>
    <w:p w14:paraId="0D963095">
      <w:pPr>
        <w:pStyle w:val="4"/>
        <w:tabs>
          <w:tab w:val="left" w:pos="682"/>
        </w:tabs>
        <w:topLinePunct/>
        <w:snapToGrid w:val="0"/>
        <w:spacing w:beforeLines="25" w:line="300" w:lineRule="auto"/>
        <w:jc w:val="both"/>
        <w:rPr>
          <w:rFonts w:ascii="Times New Roman" w:hAnsi="Times New Roman"/>
          <w:b w:val="0"/>
          <w:bCs w:val="0"/>
          <w:kern w:val="2"/>
          <w:sz w:val="21"/>
          <w:szCs w:val="21"/>
        </w:rPr>
      </w:pPr>
      <w:r>
        <w:rPr>
          <w:rFonts w:ascii="Times New Roman" w:hAnsi="Times New Roman"/>
          <w:b w:val="0"/>
          <w:kern w:val="2"/>
          <w:sz w:val="21"/>
          <w:szCs w:val="21"/>
        </w:rPr>
        <w:t>7.</w:t>
      </w:r>
      <w:r>
        <w:rPr>
          <w:rFonts w:ascii="Times New Roman" w:hAnsi="Times New Roman"/>
          <w:b w:val="0"/>
          <w:kern w:val="2"/>
          <w:sz w:val="21"/>
          <w:szCs w:val="21"/>
        </w:rPr>
        <w:tab/>
      </w:r>
      <w:r>
        <w:rPr>
          <w:rFonts w:ascii="Times New Roman" w:hAnsi="Times New Roman"/>
          <w:b w:val="0"/>
          <w:kern w:val="2"/>
          <w:sz w:val="21"/>
          <w:szCs w:val="21"/>
        </w:rPr>
        <w:tab/>
      </w:r>
      <w:r>
        <w:rPr>
          <w:rFonts w:ascii="Times New Roman" w:hAnsi="Times New Roman"/>
          <w:b w:val="0"/>
          <w:kern w:val="2"/>
          <w:sz w:val="21"/>
          <w:szCs w:val="21"/>
        </w:rPr>
        <w:t>行政管理规定</w:t>
      </w:r>
    </w:p>
    <w:p w14:paraId="6F7DFCB8">
      <w:pPr>
        <w:pStyle w:val="8"/>
        <w:topLinePunct/>
        <w:snapToGrid w:val="0"/>
        <w:spacing w:beforeLines="25" w:line="300" w:lineRule="auto"/>
        <w:ind w:firstLine="0"/>
        <w:jc w:val="both"/>
        <w:rPr>
          <w:kern w:val="2"/>
          <w:szCs w:val="21"/>
        </w:rPr>
      </w:pPr>
      <w:r>
        <w:rPr>
          <w:kern w:val="2"/>
          <w:szCs w:val="21"/>
        </w:rPr>
        <w:t>制造商或其授权代表（如制造商在成员国内未登记营业地）应在最后一个器械上市</w:t>
      </w:r>
      <w:r>
        <w:rPr>
          <w:rFonts w:hint="eastAsia"/>
          <w:kern w:val="2"/>
          <w:szCs w:val="21"/>
        </w:rPr>
        <w:t>至少10</w:t>
      </w:r>
      <w:r>
        <w:rPr>
          <w:kern w:val="2"/>
          <w:szCs w:val="21"/>
        </w:rPr>
        <w:t>年</w:t>
      </w:r>
      <w:r>
        <w:rPr>
          <w:rFonts w:hint="eastAsia"/>
          <w:kern w:val="2"/>
          <w:szCs w:val="21"/>
        </w:rPr>
        <w:t>内</w:t>
      </w:r>
      <w:r>
        <w:rPr>
          <w:kern w:val="2"/>
          <w:szCs w:val="21"/>
        </w:rPr>
        <w:t>（植入式器械</w:t>
      </w:r>
      <w:r>
        <w:rPr>
          <w:rFonts w:hint="eastAsia"/>
          <w:kern w:val="2"/>
          <w:szCs w:val="21"/>
        </w:rPr>
        <w:t>为至少15</w:t>
      </w:r>
      <w:r>
        <w:rPr>
          <w:kern w:val="2"/>
          <w:szCs w:val="21"/>
        </w:rPr>
        <w:t>年</w:t>
      </w:r>
      <w:r>
        <w:rPr>
          <w:rFonts w:hint="eastAsia"/>
          <w:kern w:val="2"/>
          <w:szCs w:val="21"/>
        </w:rPr>
        <w:t>内</w:t>
      </w:r>
      <w:r>
        <w:rPr>
          <w:kern w:val="2"/>
          <w:szCs w:val="21"/>
        </w:rPr>
        <w:t>）</w:t>
      </w:r>
      <w:r>
        <w:rPr>
          <w:rFonts w:hint="eastAsia"/>
          <w:kern w:val="2"/>
          <w:szCs w:val="21"/>
        </w:rPr>
        <w:t>，</w:t>
      </w:r>
      <w:r>
        <w:rPr>
          <w:rFonts w:hint="eastAsia"/>
          <w:kern w:val="2"/>
          <w:szCs w:val="21"/>
          <w:lang w:val="en-US"/>
        </w:rPr>
        <w:t>按照</w:t>
      </w:r>
      <w:r>
        <w:rPr>
          <w:kern w:val="2"/>
          <w:szCs w:val="21"/>
          <w:lang w:val="en-US"/>
        </w:rPr>
        <w:t>主管机构</w:t>
      </w:r>
      <w:r>
        <w:rPr>
          <w:rFonts w:hint="eastAsia"/>
          <w:kern w:val="2"/>
          <w:szCs w:val="21"/>
          <w:lang w:val="en-US"/>
        </w:rPr>
        <w:t>指示，保管以下文件</w:t>
      </w:r>
      <w:r>
        <w:rPr>
          <w:kern w:val="2"/>
          <w:szCs w:val="21"/>
        </w:rPr>
        <w:t>：</w:t>
      </w:r>
    </w:p>
    <w:p w14:paraId="0BD85714">
      <w:pPr>
        <w:pStyle w:val="32"/>
        <w:numPr>
          <w:ilvl w:val="0"/>
          <w:numId w:val="215"/>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第2节第二段所述的文件，</w:t>
      </w:r>
    </w:p>
    <w:p w14:paraId="6371FB31">
      <w:pPr>
        <w:pStyle w:val="32"/>
        <w:numPr>
          <w:ilvl w:val="0"/>
          <w:numId w:val="215"/>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如第5节所述的变更信息。</w:t>
      </w:r>
    </w:p>
    <w:p w14:paraId="6DE32E6C">
      <w:pPr>
        <w:pStyle w:val="32"/>
        <w:numPr>
          <w:ilvl w:val="0"/>
          <w:numId w:val="215"/>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EC型式检验证书副本、科学意见与报告及其附录/附录。</w:t>
      </w:r>
    </w:p>
    <w:p w14:paraId="7EABA9EF">
      <w:pPr>
        <w:pStyle w:val="8"/>
        <w:topLinePunct/>
        <w:snapToGrid w:val="0"/>
        <w:spacing w:beforeLines="25" w:line="300" w:lineRule="auto"/>
        <w:ind w:firstLine="0"/>
        <w:jc w:val="both"/>
        <w:rPr>
          <w:kern w:val="2"/>
          <w:szCs w:val="21"/>
        </w:rPr>
      </w:pPr>
      <w:r>
        <w:rPr>
          <w:kern w:val="2"/>
          <w:szCs w:val="21"/>
        </w:rPr>
        <w:t>附IX第8节应适用。</w:t>
      </w:r>
    </w:p>
    <w:p w14:paraId="77188301">
      <w:pPr>
        <w:snapToGrid w:val="0"/>
        <w:spacing w:beforeLines="25" w:line="300" w:lineRule="auto"/>
        <w:jc w:val="center"/>
        <w:rPr>
          <w:rFonts w:ascii="Times New Roman" w:hAnsi="Times New Roman"/>
          <w:szCs w:val="21"/>
        </w:rPr>
      </w:pPr>
      <w:r>
        <w:rPr>
          <w:rFonts w:hint="eastAsia" w:ascii="Times New Roman" w:hAnsi="Times New Roman"/>
          <w:szCs w:val="21"/>
        </w:rPr>
        <w:t>____________________</w:t>
      </w:r>
    </w:p>
    <w:p w14:paraId="414FDDE5">
      <w:pPr>
        <w:pStyle w:val="2"/>
        <w:spacing w:beforeLines="35" w:line="300" w:lineRule="auto"/>
        <w:rPr>
          <w:bCs/>
          <w:sz w:val="24"/>
          <w:szCs w:val="24"/>
        </w:rPr>
      </w:pPr>
      <w:bookmarkStart w:id="210" w:name="_Toc477512426"/>
      <w:r>
        <w:rPr>
          <w:sz w:val="21"/>
          <w:szCs w:val="21"/>
        </w:rPr>
        <w:br w:type="page"/>
      </w:r>
      <w:r>
        <w:rPr>
          <w:sz w:val="24"/>
          <w:szCs w:val="24"/>
        </w:rPr>
        <w:t xml:space="preserve">附录XI  </w:t>
      </w:r>
      <w:r>
        <w:rPr>
          <w:sz w:val="24"/>
          <w:szCs w:val="24"/>
        </w:rPr>
        <w:br w:type="textWrapping"/>
      </w:r>
      <w:r>
        <w:rPr>
          <w:sz w:val="24"/>
          <w:szCs w:val="24"/>
        </w:rPr>
        <w:t>基于产品</w:t>
      </w:r>
      <w:r>
        <w:rPr>
          <w:rFonts w:hint="eastAsia"/>
          <w:sz w:val="24"/>
          <w:szCs w:val="24"/>
        </w:rPr>
        <w:t>合规性验证的符合性评估</w:t>
      </w:r>
      <w:bookmarkEnd w:id="210"/>
    </w:p>
    <w:p w14:paraId="655DDE4E">
      <w:pPr>
        <w:pStyle w:val="32"/>
        <w:numPr>
          <w:ilvl w:val="0"/>
          <w:numId w:val="216"/>
        </w:numPr>
        <w:tabs>
          <w:tab w:val="left" w:pos="682"/>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基于</w:t>
      </w:r>
      <w:r>
        <w:rPr>
          <w:rFonts w:hint="eastAsia" w:ascii="Times New Roman" w:hAnsi="Times New Roman"/>
          <w:kern w:val="2"/>
          <w:szCs w:val="21"/>
        </w:rPr>
        <w:t>产品合规性验证的符合性评估</w:t>
      </w:r>
      <w:r>
        <w:rPr>
          <w:rFonts w:ascii="Times New Roman" w:hAnsi="Times New Roman"/>
          <w:kern w:val="2"/>
          <w:szCs w:val="21"/>
        </w:rPr>
        <w:t>的目的是确保器械符合已发布EC型式检验证书中所说明的形式，并满足本法规中的适用规定要求。</w:t>
      </w:r>
    </w:p>
    <w:p w14:paraId="24B709A7">
      <w:pPr>
        <w:pStyle w:val="32"/>
        <w:numPr>
          <w:ilvl w:val="0"/>
          <w:numId w:val="216"/>
        </w:numPr>
        <w:tabs>
          <w:tab w:val="left" w:pos="682"/>
        </w:tabs>
        <w:topLinePunct/>
        <w:snapToGrid w:val="0"/>
        <w:spacing w:beforeLines="35" w:line="300" w:lineRule="auto"/>
        <w:ind w:hanging="567"/>
        <w:jc w:val="both"/>
        <w:rPr>
          <w:rFonts w:ascii="Times New Roman" w:hAnsi="Times New Roman"/>
          <w:kern w:val="2"/>
          <w:szCs w:val="21"/>
        </w:rPr>
      </w:pPr>
      <w:r>
        <w:rPr>
          <w:rFonts w:ascii="Times New Roman" w:hAnsi="Times New Roman"/>
          <w:kern w:val="2"/>
          <w:szCs w:val="21"/>
        </w:rPr>
        <w:t>如已根据附录X颁发EC型式检验证书，制造商可申请表第A部分所述流程（生产质量保证），或本附录第B部分所述流程（产品验证）。</w:t>
      </w:r>
    </w:p>
    <w:p w14:paraId="0975DA14">
      <w:pPr>
        <w:pStyle w:val="32"/>
        <w:numPr>
          <w:ilvl w:val="0"/>
          <w:numId w:val="216"/>
        </w:numPr>
        <w:tabs>
          <w:tab w:val="left" w:pos="682"/>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通过豁免上述第1节和第2节，本附录所述程序加上附录II</w:t>
      </w:r>
      <w:r>
        <w:rPr>
          <w:rFonts w:hint="eastAsia" w:ascii="Times New Roman" w:hAnsi="Times New Roman"/>
          <w:kern w:val="2"/>
          <w:szCs w:val="21"/>
        </w:rPr>
        <w:t>和III</w:t>
      </w:r>
      <w:r>
        <w:rPr>
          <w:rFonts w:ascii="Times New Roman" w:hAnsi="Times New Roman"/>
          <w:kern w:val="2"/>
          <w:szCs w:val="21"/>
        </w:rPr>
        <w:t>所述技术文件也可适用于IIa类器械制造商。</w:t>
      </w:r>
    </w:p>
    <w:p w14:paraId="72FCBABE">
      <w:pPr>
        <w:pStyle w:val="4"/>
        <w:topLinePunct/>
        <w:snapToGrid w:val="0"/>
        <w:spacing w:beforeLines="35" w:line="300" w:lineRule="auto"/>
        <w:ind w:left="195" w:firstLine="0"/>
        <w:jc w:val="center"/>
        <w:rPr>
          <w:rFonts w:ascii="Times New Roman" w:hAnsi="Times New Roman"/>
          <w:kern w:val="2"/>
          <w:sz w:val="21"/>
          <w:szCs w:val="21"/>
        </w:rPr>
      </w:pPr>
    </w:p>
    <w:p w14:paraId="4D6CFCF9">
      <w:pPr>
        <w:pStyle w:val="4"/>
        <w:topLinePunct/>
        <w:snapToGrid w:val="0"/>
        <w:spacing w:beforeLines="35" w:line="300" w:lineRule="auto"/>
        <w:ind w:left="195" w:firstLine="0"/>
        <w:jc w:val="center"/>
        <w:rPr>
          <w:rFonts w:ascii="Times New Roman" w:hAnsi="Times New Roman"/>
          <w:kern w:val="2"/>
          <w:sz w:val="21"/>
          <w:szCs w:val="21"/>
        </w:rPr>
      </w:pPr>
      <w:r>
        <w:rPr>
          <w:rFonts w:ascii="Times New Roman" w:hAnsi="Times New Roman"/>
          <w:kern w:val="2"/>
          <w:sz w:val="21"/>
          <w:szCs w:val="21"/>
        </w:rPr>
        <w:t>第A部分：</w:t>
      </w:r>
    </w:p>
    <w:p w14:paraId="04394530">
      <w:pPr>
        <w:pStyle w:val="4"/>
        <w:topLinePunct/>
        <w:snapToGrid w:val="0"/>
        <w:spacing w:beforeLines="35" w:line="300" w:lineRule="auto"/>
        <w:ind w:left="195" w:firstLine="0"/>
        <w:jc w:val="center"/>
        <w:rPr>
          <w:rFonts w:ascii="Times New Roman" w:hAnsi="Times New Roman"/>
          <w:b w:val="0"/>
          <w:bCs w:val="0"/>
          <w:kern w:val="2"/>
          <w:sz w:val="21"/>
          <w:szCs w:val="21"/>
        </w:rPr>
      </w:pPr>
      <w:r>
        <w:rPr>
          <w:rFonts w:ascii="Times New Roman" w:hAnsi="Times New Roman"/>
          <w:kern w:val="2"/>
          <w:sz w:val="21"/>
          <w:szCs w:val="21"/>
        </w:rPr>
        <w:t>生产质量保证</w:t>
      </w:r>
    </w:p>
    <w:p w14:paraId="6CA4687A">
      <w:pPr>
        <w:pStyle w:val="32"/>
        <w:numPr>
          <w:ilvl w:val="0"/>
          <w:numId w:val="216"/>
        </w:numPr>
        <w:tabs>
          <w:tab w:val="left" w:pos="682"/>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制造商应确保实施批准的相关器械生产质量管理体系，并按照第6节的规定进行最终验证，且接受第7节所述的监管。</w:t>
      </w:r>
    </w:p>
    <w:p w14:paraId="50972CDB">
      <w:pPr>
        <w:pStyle w:val="32"/>
        <w:numPr>
          <w:ilvl w:val="0"/>
          <w:numId w:val="216"/>
        </w:numPr>
        <w:tabs>
          <w:tab w:val="left" w:pos="682"/>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制造商应履行第4节所规定的义务，并根据第19条和附录IV起草并保存符合性评估流程所涵盖器械型号的EU符合性声明。通过发布EC符合性声明，制造商应确定并声明有关器械是否符合EC型式检验证书中所说明的型式，以及是否满足本法规中的适用规定要求。</w:t>
      </w:r>
    </w:p>
    <w:p w14:paraId="2117211B">
      <w:pPr>
        <w:pStyle w:val="4"/>
        <w:tabs>
          <w:tab w:val="left" w:pos="682"/>
        </w:tabs>
        <w:topLinePunct/>
        <w:snapToGrid w:val="0"/>
        <w:spacing w:beforeLines="35" w:line="300" w:lineRule="auto"/>
        <w:ind w:left="113" w:firstLine="0"/>
        <w:jc w:val="both"/>
        <w:rPr>
          <w:rFonts w:ascii="Times New Roman" w:hAnsi="Times New Roman"/>
          <w:b w:val="0"/>
          <w:bCs w:val="0"/>
          <w:kern w:val="2"/>
          <w:sz w:val="21"/>
          <w:szCs w:val="21"/>
        </w:rPr>
      </w:pPr>
      <w:r>
        <w:rPr>
          <w:rFonts w:hint="eastAsia" w:ascii="Times New Roman" w:hAnsi="Times New Roman"/>
          <w:b w:val="0"/>
          <w:kern w:val="2"/>
          <w:sz w:val="21"/>
          <w:szCs w:val="21"/>
        </w:rPr>
        <w:t>6.</w:t>
      </w:r>
      <w:r>
        <w:rPr>
          <w:rFonts w:hint="eastAsia" w:ascii="Times New Roman" w:hAnsi="Times New Roman"/>
          <w:b w:val="0"/>
          <w:kern w:val="2"/>
          <w:sz w:val="21"/>
          <w:szCs w:val="21"/>
        </w:rPr>
        <w:tab/>
      </w:r>
      <w:r>
        <w:rPr>
          <w:rFonts w:ascii="Times New Roman" w:hAnsi="Times New Roman"/>
          <w:b w:val="0"/>
          <w:kern w:val="2"/>
          <w:sz w:val="21"/>
          <w:szCs w:val="21"/>
        </w:rPr>
        <w:t>质量管理体系</w:t>
      </w:r>
    </w:p>
    <w:p w14:paraId="55E040FB">
      <w:pPr>
        <w:pStyle w:val="32"/>
        <w:tabs>
          <w:tab w:val="left" w:pos="682"/>
        </w:tabs>
        <w:topLinePunct/>
        <w:snapToGrid w:val="0"/>
        <w:spacing w:beforeLines="35" w:line="300" w:lineRule="auto"/>
        <w:ind w:left="114"/>
        <w:jc w:val="both"/>
        <w:rPr>
          <w:rFonts w:ascii="Times New Roman" w:hAnsi="Times New Roman"/>
          <w:kern w:val="2"/>
          <w:szCs w:val="21"/>
        </w:rPr>
      </w:pPr>
      <w:r>
        <w:rPr>
          <w:rFonts w:hint="eastAsia" w:ascii="Times New Roman" w:hAnsi="Times New Roman"/>
          <w:kern w:val="2"/>
          <w:szCs w:val="21"/>
        </w:rPr>
        <w:t>6.1</w:t>
      </w:r>
      <w:r>
        <w:rPr>
          <w:rFonts w:hint="eastAsia" w:ascii="Times New Roman" w:hAnsi="Times New Roman"/>
          <w:kern w:val="2"/>
          <w:szCs w:val="21"/>
        </w:rPr>
        <w:tab/>
      </w:r>
      <w:r>
        <w:rPr>
          <w:rFonts w:ascii="Times New Roman" w:hAnsi="Times New Roman"/>
          <w:kern w:val="2"/>
          <w:szCs w:val="21"/>
        </w:rPr>
        <w:t>制造商应向公告机构提出申请表，评估自己的质量管理体系。申请表应当包括：</w:t>
      </w:r>
    </w:p>
    <w:p w14:paraId="60696CE7">
      <w:pPr>
        <w:pStyle w:val="32"/>
        <w:numPr>
          <w:ilvl w:val="2"/>
          <w:numId w:val="217"/>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附录IX第2.1节所列的所有要素；</w:t>
      </w:r>
    </w:p>
    <w:p w14:paraId="3373393F">
      <w:pPr>
        <w:pStyle w:val="32"/>
        <w:numPr>
          <w:ilvl w:val="2"/>
          <w:numId w:val="217"/>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附录II和III所述批准型式的技术文件；</w:t>
      </w:r>
    </w:p>
    <w:p w14:paraId="7924C4E4">
      <w:pPr>
        <w:pStyle w:val="32"/>
        <w:numPr>
          <w:ilvl w:val="2"/>
          <w:numId w:val="217"/>
        </w:numPr>
        <w:tabs>
          <w:tab w:val="left" w:pos="1248"/>
        </w:tabs>
        <w:topLinePunct/>
        <w:snapToGrid w:val="0"/>
        <w:spacing w:beforeLines="35" w:line="300" w:lineRule="auto"/>
        <w:jc w:val="both"/>
        <w:rPr>
          <w:rFonts w:ascii="Times New Roman" w:hAnsi="Times New Roman"/>
          <w:kern w:val="2"/>
          <w:szCs w:val="21"/>
        </w:rPr>
      </w:pPr>
      <w:r>
        <w:rPr>
          <w:rFonts w:ascii="Times New Roman" w:hAnsi="Times New Roman"/>
          <w:kern w:val="2"/>
          <w:szCs w:val="21"/>
        </w:rPr>
        <w:t>附录X第4节所述EC型式检验证书副本；若提出申请表后，EC型式检验证书由同一公告机构颁发，则技术文件及其更新信息和所颁发证书的参考资料应包含在申请中。</w:t>
      </w:r>
    </w:p>
    <w:p w14:paraId="269ED210">
      <w:pPr>
        <w:pStyle w:val="32"/>
        <w:numPr>
          <w:ilvl w:val="1"/>
          <w:numId w:val="169"/>
        </w:numPr>
        <w:tabs>
          <w:tab w:val="left" w:pos="682"/>
        </w:tabs>
        <w:topLinePunct/>
        <w:snapToGrid w:val="0"/>
        <w:spacing w:beforeLines="35" w:line="300" w:lineRule="auto"/>
        <w:ind w:left="720" w:hanging="607"/>
        <w:jc w:val="both"/>
        <w:rPr>
          <w:rFonts w:ascii="Times New Roman" w:hAnsi="Times New Roman"/>
          <w:kern w:val="2"/>
          <w:szCs w:val="21"/>
        </w:rPr>
      </w:pPr>
      <w:r>
        <w:rPr>
          <w:rFonts w:ascii="Times New Roman" w:hAnsi="Times New Roman"/>
          <w:kern w:val="2"/>
          <w:szCs w:val="21"/>
        </w:rPr>
        <w:t>质量管理体系的实施应确保器械是否符合EC型式检验证书中所说明的型式，以及是否满足本法规中的适用于各阶段器械的规定要求。制造商为其质量管理体系而采用的所有要素、要求和规定，必须以系统和有序的方式记录在质量手册、书面政策和程序之中，例如质量程序、质量计划和质量记录。</w:t>
      </w:r>
    </w:p>
    <w:p w14:paraId="2E5283B4">
      <w:pPr>
        <w:pStyle w:val="8"/>
        <w:topLinePunct/>
        <w:snapToGrid w:val="0"/>
        <w:spacing w:beforeLines="35" w:line="300" w:lineRule="auto"/>
        <w:ind w:firstLine="0"/>
        <w:jc w:val="both"/>
        <w:rPr>
          <w:kern w:val="2"/>
          <w:szCs w:val="21"/>
        </w:rPr>
      </w:pPr>
      <w:r>
        <w:rPr>
          <w:kern w:val="2"/>
          <w:szCs w:val="21"/>
        </w:rPr>
        <w:t>该文件尤其应包括对附录IX第2.2节（a）、（b）、（d）和（e）所列所有要素的适当说明。</w:t>
      </w:r>
    </w:p>
    <w:p w14:paraId="0838E7C8">
      <w:pPr>
        <w:pStyle w:val="32"/>
        <w:numPr>
          <w:ilvl w:val="1"/>
          <w:numId w:val="169"/>
        </w:numPr>
        <w:tabs>
          <w:tab w:val="left" w:pos="682"/>
        </w:tabs>
        <w:topLinePunct/>
        <w:snapToGrid w:val="0"/>
        <w:spacing w:beforeLines="35" w:line="300" w:lineRule="auto"/>
        <w:ind w:left="720" w:hanging="607"/>
        <w:jc w:val="both"/>
        <w:rPr>
          <w:rFonts w:ascii="Times New Roman" w:hAnsi="Times New Roman"/>
          <w:kern w:val="2"/>
          <w:szCs w:val="21"/>
        </w:rPr>
      </w:pPr>
      <w:r>
        <w:rPr>
          <w:rFonts w:ascii="Times New Roman" w:hAnsi="Times New Roman"/>
          <w:kern w:val="2"/>
          <w:szCs w:val="21"/>
        </w:rPr>
        <w:t>附录IX第2.3节</w:t>
      </w:r>
      <w:r>
        <w:rPr>
          <w:rFonts w:hint="eastAsia" w:ascii="Times New Roman" w:hAnsi="Times New Roman"/>
          <w:kern w:val="2"/>
          <w:szCs w:val="21"/>
        </w:rPr>
        <w:t>第一和</w:t>
      </w:r>
      <w:r>
        <w:rPr>
          <w:rFonts w:ascii="Times New Roman" w:hAnsi="Times New Roman"/>
          <w:kern w:val="2"/>
          <w:szCs w:val="21"/>
          <w:lang w:val="en-US"/>
        </w:rPr>
        <w:t>第</w:t>
      </w:r>
      <w:r>
        <w:rPr>
          <w:rFonts w:ascii="Times New Roman" w:hAnsi="Times New Roman"/>
          <w:kern w:val="2"/>
          <w:szCs w:val="21"/>
        </w:rPr>
        <w:t>二段的规定适用。</w:t>
      </w:r>
    </w:p>
    <w:p w14:paraId="5B749FFB">
      <w:pPr>
        <w:pStyle w:val="8"/>
        <w:topLinePunct/>
        <w:snapToGrid w:val="0"/>
        <w:spacing w:beforeLines="35" w:line="300" w:lineRule="auto"/>
        <w:ind w:firstLine="0"/>
        <w:jc w:val="both"/>
        <w:rPr>
          <w:kern w:val="2"/>
          <w:szCs w:val="21"/>
        </w:rPr>
      </w:pPr>
      <w:r>
        <w:rPr>
          <w:rFonts w:hint="eastAsia"/>
          <w:kern w:val="2"/>
          <w:szCs w:val="21"/>
        </w:rPr>
        <w:t>若</w:t>
      </w:r>
      <w:r>
        <w:rPr>
          <w:kern w:val="2"/>
          <w:szCs w:val="21"/>
        </w:rPr>
        <w:t>质量管理体系可确保器械符合EC型式检验证书中所说明的形式，并满足本法规中的适用规定要求，则欧盟公告机构应出具欧盟质量保证证书。公告机构应将该决议通知制造商。该决议应包含公告机构审核和合理评估的结论。</w:t>
      </w:r>
    </w:p>
    <w:p w14:paraId="4DBF61E4">
      <w:pPr>
        <w:pStyle w:val="32"/>
        <w:numPr>
          <w:ilvl w:val="1"/>
          <w:numId w:val="169"/>
        </w:numPr>
        <w:tabs>
          <w:tab w:val="left" w:pos="682"/>
        </w:tabs>
        <w:topLinePunct/>
        <w:snapToGrid w:val="0"/>
        <w:spacing w:beforeLines="50" w:line="336" w:lineRule="auto"/>
        <w:ind w:left="720" w:hanging="607"/>
        <w:jc w:val="both"/>
        <w:rPr>
          <w:rFonts w:ascii="Times New Roman" w:hAnsi="Times New Roman"/>
          <w:kern w:val="2"/>
          <w:szCs w:val="21"/>
        </w:rPr>
      </w:pPr>
      <w:r>
        <w:rPr>
          <w:rFonts w:ascii="Times New Roman" w:hAnsi="Times New Roman"/>
          <w:kern w:val="2"/>
          <w:szCs w:val="21"/>
        </w:rPr>
        <w:t>附录IX第2.4</w:t>
      </w:r>
      <w:r>
        <w:rPr>
          <w:rFonts w:hint="eastAsia" w:ascii="Times New Roman" w:hAnsi="Times New Roman"/>
          <w:kern w:val="2"/>
          <w:szCs w:val="21"/>
        </w:rPr>
        <w:t>节</w:t>
      </w:r>
      <w:r>
        <w:rPr>
          <w:rFonts w:ascii="Times New Roman" w:hAnsi="Times New Roman"/>
          <w:kern w:val="2"/>
          <w:szCs w:val="21"/>
        </w:rPr>
        <w:t>规定应适用。</w:t>
      </w:r>
    </w:p>
    <w:p w14:paraId="4242A2D8">
      <w:pPr>
        <w:pStyle w:val="4"/>
        <w:tabs>
          <w:tab w:val="left" w:pos="682"/>
        </w:tabs>
        <w:topLinePunct/>
        <w:snapToGrid w:val="0"/>
        <w:spacing w:beforeLines="50" w:line="336" w:lineRule="auto"/>
        <w:jc w:val="both"/>
        <w:rPr>
          <w:rFonts w:ascii="Times New Roman" w:hAnsi="Times New Roman"/>
          <w:b w:val="0"/>
          <w:bCs w:val="0"/>
          <w:kern w:val="2"/>
          <w:sz w:val="21"/>
          <w:szCs w:val="21"/>
        </w:rPr>
      </w:pPr>
      <w:r>
        <w:rPr>
          <w:rFonts w:hint="eastAsia" w:ascii="Times New Roman" w:hAnsi="Times New Roman"/>
          <w:b w:val="0"/>
          <w:kern w:val="2"/>
          <w:sz w:val="21"/>
          <w:szCs w:val="21"/>
        </w:rPr>
        <w:t>7.</w:t>
      </w:r>
      <w:r>
        <w:rPr>
          <w:rFonts w:hint="eastAsia" w:ascii="Times New Roman" w:hAnsi="Times New Roman"/>
          <w:b w:val="0"/>
          <w:kern w:val="2"/>
          <w:sz w:val="21"/>
          <w:szCs w:val="21"/>
        </w:rPr>
        <w:tab/>
      </w:r>
      <w:r>
        <w:rPr>
          <w:rFonts w:ascii="Times New Roman" w:hAnsi="Times New Roman"/>
          <w:b w:val="0"/>
          <w:kern w:val="2"/>
          <w:sz w:val="21"/>
          <w:szCs w:val="21"/>
        </w:rPr>
        <w:t>监测</w:t>
      </w:r>
    </w:p>
    <w:p w14:paraId="4D217A11">
      <w:pPr>
        <w:pStyle w:val="8"/>
        <w:topLinePunct/>
        <w:snapToGrid w:val="0"/>
        <w:spacing w:beforeLines="50" w:line="336" w:lineRule="auto"/>
        <w:ind w:firstLine="0"/>
        <w:jc w:val="both"/>
        <w:rPr>
          <w:kern w:val="2"/>
          <w:szCs w:val="21"/>
        </w:rPr>
      </w:pPr>
      <w:bookmarkStart w:id="211" w:name="The_provisions_of_Section_4.1.,_the_firs"/>
      <w:bookmarkEnd w:id="211"/>
      <w:r>
        <w:rPr>
          <w:kern w:val="2"/>
          <w:szCs w:val="21"/>
        </w:rPr>
        <w:t>附录IX</w:t>
      </w:r>
      <w:r>
        <w:rPr>
          <w:rFonts w:hint="eastAsia"/>
          <w:kern w:val="2"/>
          <w:szCs w:val="21"/>
        </w:rPr>
        <w:t>第3.1节、</w:t>
      </w:r>
      <w:r>
        <w:rPr>
          <w:kern w:val="2"/>
          <w:szCs w:val="21"/>
        </w:rPr>
        <w:t>第3.2节第一段、第二段和第四段、第3.3节、第3.4节、第3.6节和第4.7节的规定适用。</w:t>
      </w:r>
    </w:p>
    <w:p w14:paraId="415C54EF">
      <w:pPr>
        <w:pStyle w:val="8"/>
        <w:topLinePunct/>
        <w:snapToGrid w:val="0"/>
        <w:spacing w:beforeLines="50" w:line="336" w:lineRule="auto"/>
        <w:ind w:firstLine="0"/>
        <w:jc w:val="both"/>
        <w:rPr>
          <w:kern w:val="2"/>
          <w:szCs w:val="21"/>
        </w:rPr>
      </w:pPr>
      <w:bookmarkStart w:id="212" w:name="In_the_case_of_devices_classified_as_cla"/>
      <w:bookmarkEnd w:id="212"/>
      <w:r>
        <w:rPr>
          <w:kern w:val="2"/>
          <w:szCs w:val="21"/>
        </w:rPr>
        <w:t>对于III类器械，监管还应包括检查生产或购买原材料或批准用于该类型的关键部件的数量，且应与成品器械数量相对应。</w:t>
      </w:r>
    </w:p>
    <w:p w14:paraId="142B2D36">
      <w:pPr>
        <w:pStyle w:val="4"/>
        <w:tabs>
          <w:tab w:val="left" w:pos="682"/>
        </w:tabs>
        <w:topLinePunct/>
        <w:snapToGrid w:val="0"/>
        <w:spacing w:beforeLines="50" w:line="336" w:lineRule="auto"/>
        <w:jc w:val="both"/>
        <w:rPr>
          <w:rFonts w:ascii="Times New Roman" w:hAnsi="Times New Roman"/>
          <w:b w:val="0"/>
          <w:kern w:val="2"/>
          <w:sz w:val="21"/>
          <w:szCs w:val="21"/>
        </w:rPr>
      </w:pPr>
      <w:r>
        <w:rPr>
          <w:rFonts w:hint="eastAsia" w:ascii="Times New Roman" w:hAnsi="Times New Roman"/>
          <w:b w:val="0"/>
          <w:kern w:val="2"/>
          <w:sz w:val="21"/>
          <w:szCs w:val="21"/>
        </w:rPr>
        <w:t>8</w:t>
      </w:r>
      <w:r>
        <w:rPr>
          <w:rFonts w:hint="eastAsia" w:ascii="Times New Roman" w:hAnsi="Times New Roman"/>
          <w:b w:val="0"/>
          <w:kern w:val="2"/>
          <w:sz w:val="21"/>
          <w:szCs w:val="21"/>
        </w:rPr>
        <w:tab/>
      </w:r>
      <w:r>
        <w:rPr>
          <w:rFonts w:ascii="Times New Roman" w:hAnsi="Times New Roman"/>
          <w:b w:val="0"/>
          <w:kern w:val="2"/>
          <w:sz w:val="21"/>
          <w:szCs w:val="21"/>
        </w:rPr>
        <w:t>结合药物共同使用时，根据第1(8)条器械可被视为整体部分的人血样或血浆源医药产品按批次进行验证</w:t>
      </w:r>
    </w:p>
    <w:p w14:paraId="16EDDA03">
      <w:pPr>
        <w:pStyle w:val="8"/>
        <w:topLinePunct/>
        <w:snapToGrid w:val="0"/>
        <w:spacing w:beforeLines="50" w:line="336" w:lineRule="auto"/>
        <w:ind w:firstLine="0"/>
        <w:jc w:val="both"/>
        <w:rPr>
          <w:kern w:val="2"/>
          <w:szCs w:val="21"/>
        </w:rPr>
      </w:pPr>
      <w:r>
        <w:rPr>
          <w:kern w:val="2"/>
          <w:szCs w:val="21"/>
        </w:rPr>
        <w:t>结合药物共同使用，根据第1(8)条第一子段可被视为整体部分的人血样或血浆源医药产品的器械生产完成后，制造商应通知欧盟公告机构器械批号，并向欧盟公告机构发送成员国国家实验室或根据第2001/83/EC号指令第114(2)节由成员国指定实验室颁发的使用人血液或血浆衍生物器械的官方证明。</w:t>
      </w:r>
    </w:p>
    <w:p w14:paraId="0CFDE672">
      <w:pPr>
        <w:pStyle w:val="4"/>
        <w:tabs>
          <w:tab w:val="left" w:pos="682"/>
        </w:tabs>
        <w:topLinePunct/>
        <w:snapToGrid w:val="0"/>
        <w:spacing w:beforeLines="50" w:line="336" w:lineRule="auto"/>
        <w:jc w:val="both"/>
        <w:rPr>
          <w:rFonts w:ascii="Times New Roman" w:hAnsi="Times New Roman"/>
          <w:b w:val="0"/>
          <w:kern w:val="2"/>
          <w:sz w:val="21"/>
          <w:szCs w:val="21"/>
        </w:rPr>
      </w:pPr>
      <w:r>
        <w:rPr>
          <w:rFonts w:hint="eastAsia" w:ascii="Times New Roman" w:hAnsi="Times New Roman"/>
          <w:b w:val="0"/>
          <w:kern w:val="2"/>
          <w:sz w:val="21"/>
          <w:szCs w:val="21"/>
        </w:rPr>
        <w:t>9.</w:t>
      </w:r>
      <w:r>
        <w:rPr>
          <w:rFonts w:hint="eastAsia" w:ascii="Times New Roman" w:hAnsi="Times New Roman"/>
          <w:b w:val="0"/>
          <w:kern w:val="2"/>
          <w:sz w:val="21"/>
          <w:szCs w:val="21"/>
        </w:rPr>
        <w:tab/>
      </w:r>
      <w:r>
        <w:rPr>
          <w:rFonts w:ascii="Times New Roman" w:hAnsi="Times New Roman"/>
          <w:b w:val="0"/>
          <w:kern w:val="2"/>
          <w:sz w:val="21"/>
          <w:szCs w:val="21"/>
        </w:rPr>
        <w:t>行政管理规定</w:t>
      </w:r>
    </w:p>
    <w:p w14:paraId="72A9802A">
      <w:pPr>
        <w:pStyle w:val="8"/>
        <w:topLinePunct/>
        <w:snapToGrid w:val="0"/>
        <w:spacing w:beforeLines="50" w:line="336" w:lineRule="auto"/>
        <w:ind w:left="697" w:leftChars="319" w:hanging="27" w:hangingChars="13"/>
        <w:jc w:val="both"/>
        <w:rPr>
          <w:kern w:val="2"/>
          <w:szCs w:val="21"/>
        </w:rPr>
      </w:pPr>
      <w:r>
        <w:rPr>
          <w:kern w:val="2"/>
          <w:szCs w:val="21"/>
        </w:rPr>
        <w:t>制造商或其授权代表（如制造商在成员国内无注册地址）应在最后一个器械上市</w:t>
      </w:r>
      <w:r>
        <w:rPr>
          <w:rFonts w:hint="eastAsia"/>
          <w:kern w:val="2"/>
          <w:szCs w:val="21"/>
        </w:rPr>
        <w:t>至少10</w:t>
      </w:r>
      <w:r>
        <w:rPr>
          <w:kern w:val="2"/>
          <w:szCs w:val="21"/>
        </w:rPr>
        <w:t>年</w:t>
      </w:r>
      <w:r>
        <w:rPr>
          <w:rFonts w:hint="eastAsia"/>
          <w:kern w:val="2"/>
          <w:szCs w:val="21"/>
        </w:rPr>
        <w:t>内</w:t>
      </w:r>
      <w:r>
        <w:rPr>
          <w:kern w:val="2"/>
          <w:szCs w:val="21"/>
        </w:rPr>
        <w:t>（植入式器械</w:t>
      </w:r>
      <w:r>
        <w:rPr>
          <w:rFonts w:hint="eastAsia"/>
          <w:kern w:val="2"/>
          <w:szCs w:val="21"/>
        </w:rPr>
        <w:t>为至少15</w:t>
      </w:r>
      <w:r>
        <w:rPr>
          <w:kern w:val="2"/>
          <w:szCs w:val="21"/>
        </w:rPr>
        <w:t>年</w:t>
      </w:r>
      <w:r>
        <w:rPr>
          <w:rFonts w:hint="eastAsia"/>
          <w:kern w:val="2"/>
          <w:szCs w:val="21"/>
        </w:rPr>
        <w:t>内</w:t>
      </w:r>
      <w:r>
        <w:rPr>
          <w:kern w:val="2"/>
          <w:szCs w:val="21"/>
        </w:rPr>
        <w:t>）</w:t>
      </w:r>
      <w:r>
        <w:rPr>
          <w:rFonts w:hint="eastAsia"/>
          <w:kern w:val="2"/>
          <w:szCs w:val="21"/>
          <w:lang w:val="en-US"/>
        </w:rPr>
        <w:t>按照</w:t>
      </w:r>
      <w:r>
        <w:rPr>
          <w:kern w:val="2"/>
          <w:szCs w:val="21"/>
          <w:lang w:val="en-US"/>
        </w:rPr>
        <w:t>主管机构</w:t>
      </w:r>
      <w:r>
        <w:rPr>
          <w:rFonts w:hint="eastAsia"/>
          <w:kern w:val="2"/>
          <w:szCs w:val="21"/>
          <w:lang w:val="en-US"/>
        </w:rPr>
        <w:t>指示，保管以下文件</w:t>
      </w:r>
      <w:r>
        <w:rPr>
          <w:kern w:val="2"/>
          <w:szCs w:val="21"/>
        </w:rPr>
        <w:t>：</w:t>
      </w:r>
    </w:p>
    <w:p w14:paraId="593B0BFD">
      <w:pPr>
        <w:pStyle w:val="32"/>
        <w:numPr>
          <w:ilvl w:val="0"/>
          <w:numId w:val="218"/>
        </w:numPr>
        <w:tabs>
          <w:tab w:val="left" w:pos="1248"/>
        </w:tabs>
        <w:topLinePunct/>
        <w:snapToGrid w:val="0"/>
        <w:spacing w:beforeLines="50" w:line="336" w:lineRule="auto"/>
        <w:jc w:val="both"/>
        <w:rPr>
          <w:rFonts w:ascii="Times New Roman" w:hAnsi="Times New Roman"/>
          <w:kern w:val="2"/>
          <w:szCs w:val="21"/>
        </w:rPr>
      </w:pPr>
      <w:r>
        <w:rPr>
          <w:rFonts w:ascii="Times New Roman" w:hAnsi="Times New Roman"/>
          <w:kern w:val="2"/>
          <w:szCs w:val="21"/>
        </w:rPr>
        <w:t>EU符合性声明；</w:t>
      </w:r>
    </w:p>
    <w:p w14:paraId="5157ABBE">
      <w:pPr>
        <w:pStyle w:val="32"/>
        <w:numPr>
          <w:ilvl w:val="0"/>
          <w:numId w:val="218"/>
        </w:numPr>
        <w:tabs>
          <w:tab w:val="left" w:pos="1248"/>
        </w:tabs>
        <w:topLinePunct/>
        <w:snapToGrid w:val="0"/>
        <w:spacing w:beforeLines="50" w:line="336" w:lineRule="auto"/>
        <w:jc w:val="both"/>
        <w:rPr>
          <w:rFonts w:ascii="Times New Roman" w:hAnsi="Times New Roman"/>
          <w:kern w:val="2"/>
          <w:szCs w:val="21"/>
        </w:rPr>
      </w:pPr>
      <w:r>
        <w:rPr>
          <w:rFonts w:ascii="Times New Roman" w:hAnsi="Times New Roman"/>
          <w:kern w:val="2"/>
          <w:szCs w:val="21"/>
        </w:rPr>
        <w:t>附录IX第2.1节第五段所述的文件，</w:t>
      </w:r>
    </w:p>
    <w:p w14:paraId="3034FB88">
      <w:pPr>
        <w:pStyle w:val="32"/>
        <w:numPr>
          <w:ilvl w:val="0"/>
          <w:numId w:val="218"/>
        </w:numPr>
        <w:tabs>
          <w:tab w:val="left" w:pos="1248"/>
        </w:tabs>
        <w:topLinePunct/>
        <w:snapToGrid w:val="0"/>
        <w:spacing w:beforeLines="50" w:line="336" w:lineRule="auto"/>
        <w:jc w:val="both"/>
        <w:rPr>
          <w:rFonts w:ascii="Times New Roman" w:hAnsi="Times New Roman"/>
          <w:kern w:val="2"/>
          <w:szCs w:val="21"/>
        </w:rPr>
      </w:pPr>
      <w:r>
        <w:rPr>
          <w:rFonts w:ascii="Times New Roman" w:hAnsi="Times New Roman"/>
          <w:kern w:val="2"/>
          <w:szCs w:val="21"/>
        </w:rPr>
        <w:t>附录IX第2.1节第八段所述的文件，包括附录X所述的EC型式检验证书，</w:t>
      </w:r>
    </w:p>
    <w:p w14:paraId="463F4FB0">
      <w:pPr>
        <w:pStyle w:val="32"/>
        <w:numPr>
          <w:ilvl w:val="0"/>
          <w:numId w:val="218"/>
        </w:numPr>
        <w:tabs>
          <w:tab w:val="left" w:pos="1248"/>
        </w:tabs>
        <w:topLinePunct/>
        <w:snapToGrid w:val="0"/>
        <w:spacing w:beforeLines="50" w:line="336" w:lineRule="auto"/>
        <w:jc w:val="both"/>
        <w:rPr>
          <w:rFonts w:ascii="Times New Roman" w:hAnsi="Times New Roman"/>
          <w:kern w:val="2"/>
          <w:szCs w:val="21"/>
        </w:rPr>
      </w:pPr>
      <w:r>
        <w:rPr>
          <w:rFonts w:ascii="Times New Roman" w:hAnsi="Times New Roman"/>
          <w:kern w:val="2"/>
          <w:szCs w:val="21"/>
        </w:rPr>
        <w:t>附录IX第2.4节所述的变更信息；以及</w:t>
      </w:r>
    </w:p>
    <w:p w14:paraId="4405B1FE">
      <w:pPr>
        <w:pStyle w:val="32"/>
        <w:numPr>
          <w:ilvl w:val="0"/>
          <w:numId w:val="218"/>
        </w:numPr>
        <w:tabs>
          <w:tab w:val="left" w:pos="1248"/>
        </w:tabs>
        <w:topLinePunct/>
        <w:snapToGrid w:val="0"/>
        <w:spacing w:beforeLines="50" w:line="336" w:lineRule="auto"/>
        <w:jc w:val="both"/>
        <w:rPr>
          <w:rFonts w:ascii="Times New Roman" w:hAnsi="Times New Roman"/>
          <w:kern w:val="2"/>
          <w:szCs w:val="21"/>
        </w:rPr>
      </w:pPr>
      <w:r>
        <w:rPr>
          <w:rFonts w:ascii="Times New Roman" w:hAnsi="Times New Roman"/>
          <w:kern w:val="2"/>
          <w:szCs w:val="21"/>
        </w:rPr>
        <w:t>附录IX第2.3、3.3和3.4节所述的公告机构决议和报告。</w:t>
      </w:r>
    </w:p>
    <w:p w14:paraId="57FF5A39">
      <w:pPr>
        <w:pStyle w:val="8"/>
        <w:topLinePunct/>
        <w:snapToGrid w:val="0"/>
        <w:spacing w:beforeLines="50" w:line="336" w:lineRule="auto"/>
        <w:ind w:firstLine="0"/>
        <w:jc w:val="both"/>
        <w:rPr>
          <w:kern w:val="2"/>
          <w:szCs w:val="21"/>
        </w:rPr>
      </w:pPr>
      <w:r>
        <w:rPr>
          <w:kern w:val="2"/>
          <w:szCs w:val="21"/>
        </w:rPr>
        <w:t>附录IX第8节应适用。</w:t>
      </w:r>
    </w:p>
    <w:p w14:paraId="1CCEA39A">
      <w:pPr>
        <w:pStyle w:val="4"/>
        <w:numPr>
          <w:ilvl w:val="0"/>
          <w:numId w:val="219"/>
        </w:numPr>
        <w:tabs>
          <w:tab w:val="left" w:pos="682"/>
        </w:tabs>
        <w:topLinePunct/>
        <w:snapToGrid w:val="0"/>
        <w:spacing w:beforeLines="50" w:line="336" w:lineRule="auto"/>
        <w:jc w:val="both"/>
        <w:rPr>
          <w:rFonts w:ascii="Times New Roman" w:hAnsi="Times New Roman"/>
          <w:b w:val="0"/>
          <w:bCs w:val="0"/>
          <w:kern w:val="2"/>
          <w:sz w:val="21"/>
          <w:szCs w:val="21"/>
        </w:rPr>
      </w:pPr>
      <w:r>
        <w:rPr>
          <w:rFonts w:ascii="Times New Roman" w:hAnsi="Times New Roman"/>
          <w:b w:val="0"/>
          <w:kern w:val="2"/>
          <w:sz w:val="21"/>
          <w:szCs w:val="21"/>
        </w:rPr>
        <w:t>适用于IIa类器械</w:t>
      </w:r>
    </w:p>
    <w:p w14:paraId="31EEB02E">
      <w:pPr>
        <w:pStyle w:val="32"/>
        <w:numPr>
          <w:ilvl w:val="1"/>
          <w:numId w:val="219"/>
        </w:numPr>
        <w:tabs>
          <w:tab w:val="left" w:pos="682"/>
        </w:tabs>
        <w:topLinePunct/>
        <w:snapToGrid w:val="0"/>
        <w:spacing w:beforeLines="50" w:line="336" w:lineRule="auto"/>
        <w:ind w:left="697" w:hanging="557"/>
        <w:jc w:val="both"/>
        <w:rPr>
          <w:rFonts w:ascii="Times New Roman" w:hAnsi="Times New Roman"/>
          <w:kern w:val="2"/>
          <w:szCs w:val="21"/>
        </w:rPr>
      </w:pPr>
      <w:r>
        <w:rPr>
          <w:rFonts w:ascii="Times New Roman" w:hAnsi="Times New Roman"/>
          <w:kern w:val="2"/>
          <w:szCs w:val="21"/>
        </w:rPr>
        <w:t>通过豁免第5节，制造商可根据EC符合性</w:t>
      </w:r>
      <w:r>
        <w:rPr>
          <w:rFonts w:hint="eastAsia" w:ascii="Times New Roman" w:hAnsi="Times New Roman"/>
          <w:kern w:val="2"/>
          <w:szCs w:val="21"/>
        </w:rPr>
        <w:t>，</w:t>
      </w:r>
      <w:r>
        <w:rPr>
          <w:rFonts w:ascii="Times New Roman" w:hAnsi="Times New Roman"/>
          <w:kern w:val="2"/>
          <w:szCs w:val="21"/>
        </w:rPr>
        <w:t>确定并声明相关IIa类器械是否符合附录II和III所述技术文件，以及是否满足本法规中的适用规定要求。</w:t>
      </w:r>
    </w:p>
    <w:p w14:paraId="158FC4D5">
      <w:pPr>
        <w:pStyle w:val="32"/>
        <w:numPr>
          <w:ilvl w:val="1"/>
          <w:numId w:val="219"/>
        </w:numPr>
        <w:tabs>
          <w:tab w:val="left" w:pos="682"/>
        </w:tabs>
        <w:topLinePunct/>
        <w:snapToGrid w:val="0"/>
        <w:spacing w:beforeLines="50" w:line="336" w:lineRule="auto"/>
        <w:ind w:left="714" w:hanging="601"/>
        <w:jc w:val="both"/>
        <w:rPr>
          <w:rFonts w:ascii="Times New Roman" w:hAnsi="Times New Roman"/>
          <w:kern w:val="2"/>
          <w:szCs w:val="21"/>
        </w:rPr>
      </w:pPr>
      <w:r>
        <w:rPr>
          <w:rFonts w:ascii="Times New Roman" w:hAnsi="Times New Roman"/>
          <w:kern w:val="2"/>
          <w:szCs w:val="21"/>
        </w:rPr>
        <w:t>对于IIa类器械，作为第6.3节所述评估的一部分，欧盟公告机构应评估附录II和III所述技术文件中所选器械是否符合本法规规定。</w:t>
      </w:r>
    </w:p>
    <w:p w14:paraId="516E88CF">
      <w:pPr>
        <w:pStyle w:val="8"/>
        <w:topLinePunct/>
        <w:snapToGrid w:val="0"/>
        <w:spacing w:beforeLines="50" w:line="336" w:lineRule="auto"/>
        <w:ind w:firstLine="0"/>
        <w:jc w:val="both"/>
        <w:rPr>
          <w:kern w:val="2"/>
          <w:szCs w:val="21"/>
        </w:rPr>
      </w:pPr>
      <w:r>
        <w:rPr>
          <w:kern w:val="2"/>
          <w:szCs w:val="21"/>
        </w:rPr>
        <w:t>在选择器械的代表性样品时，欧盟公告机构应考虑到技术的创新性，设计、工艺、生产和灭菌方法的相似性，预期用途和之前根据本法规进行的有关评估结果（如物理、化学、生物或临床特性）。欧盟公告机构应记录其选择器械样品的理由。</w:t>
      </w:r>
    </w:p>
    <w:p w14:paraId="742ACD56">
      <w:pPr>
        <w:pStyle w:val="32"/>
        <w:numPr>
          <w:ilvl w:val="1"/>
          <w:numId w:val="219"/>
        </w:numPr>
        <w:tabs>
          <w:tab w:val="left" w:pos="682"/>
        </w:tabs>
        <w:topLinePunct/>
        <w:snapToGrid w:val="0"/>
        <w:spacing w:beforeLines="50" w:line="324" w:lineRule="auto"/>
        <w:ind w:left="714" w:hanging="601"/>
        <w:jc w:val="both"/>
        <w:rPr>
          <w:rFonts w:ascii="Times New Roman" w:hAnsi="Times New Roman"/>
          <w:kern w:val="2"/>
          <w:szCs w:val="21"/>
        </w:rPr>
      </w:pPr>
      <w:r>
        <w:rPr>
          <w:rFonts w:ascii="Times New Roman" w:hAnsi="Times New Roman"/>
          <w:kern w:val="2"/>
          <w:szCs w:val="21"/>
        </w:rPr>
        <w:t>如按照第10.2节进行评估，结果确认IIa类器械符合附录II和III所述技术文件，并满足本法规本部分中的适用规定要求，欧盟公告机构应根据本附录该节出具证明。</w:t>
      </w:r>
    </w:p>
    <w:p w14:paraId="7C34DAAB">
      <w:pPr>
        <w:pStyle w:val="32"/>
        <w:numPr>
          <w:ilvl w:val="1"/>
          <w:numId w:val="219"/>
        </w:numPr>
        <w:tabs>
          <w:tab w:val="left" w:pos="682"/>
        </w:tabs>
        <w:topLinePunct/>
        <w:snapToGrid w:val="0"/>
        <w:spacing w:beforeLines="50" w:line="324" w:lineRule="auto"/>
        <w:ind w:left="714" w:hanging="601"/>
        <w:jc w:val="both"/>
        <w:rPr>
          <w:rFonts w:ascii="Times New Roman" w:hAnsi="Times New Roman"/>
          <w:kern w:val="2"/>
          <w:szCs w:val="21"/>
        </w:rPr>
      </w:pPr>
      <w:r>
        <w:rPr>
          <w:rFonts w:ascii="Times New Roman" w:hAnsi="Times New Roman"/>
          <w:kern w:val="2"/>
          <w:szCs w:val="21"/>
        </w:rPr>
        <w:t>作为第7节所述监管评估的一部分，欧盟公告机构应对器械进行再次抽样评估。</w:t>
      </w:r>
    </w:p>
    <w:p w14:paraId="215FD716">
      <w:pPr>
        <w:pStyle w:val="32"/>
        <w:numPr>
          <w:ilvl w:val="1"/>
          <w:numId w:val="219"/>
        </w:numPr>
        <w:tabs>
          <w:tab w:val="left" w:pos="682"/>
        </w:tabs>
        <w:topLinePunct/>
        <w:snapToGrid w:val="0"/>
        <w:spacing w:beforeLines="50" w:line="324" w:lineRule="auto"/>
        <w:ind w:left="714" w:hanging="601"/>
        <w:jc w:val="both"/>
        <w:rPr>
          <w:rFonts w:ascii="Times New Roman" w:hAnsi="Times New Roman"/>
          <w:kern w:val="2"/>
          <w:szCs w:val="21"/>
        </w:rPr>
      </w:pPr>
      <w:r>
        <w:rPr>
          <w:rFonts w:ascii="Times New Roman" w:hAnsi="Times New Roman"/>
          <w:kern w:val="2"/>
          <w:szCs w:val="21"/>
        </w:rPr>
        <w:t>通过豁免第6节，制造商或其授权代表应在最后一个器械上市</w:t>
      </w:r>
      <w:r>
        <w:rPr>
          <w:rFonts w:hint="eastAsia" w:ascii="Times New Roman" w:hAnsi="Times New Roman"/>
          <w:kern w:val="2"/>
          <w:szCs w:val="21"/>
        </w:rPr>
        <w:t>至少10</w:t>
      </w:r>
      <w:r>
        <w:rPr>
          <w:rFonts w:ascii="Times New Roman" w:hAnsi="Times New Roman"/>
          <w:kern w:val="2"/>
          <w:szCs w:val="21"/>
        </w:rPr>
        <w:t>年</w:t>
      </w:r>
      <w:r>
        <w:rPr>
          <w:rFonts w:hint="eastAsia" w:ascii="Times New Roman" w:hAnsi="Times New Roman"/>
          <w:kern w:val="2"/>
          <w:szCs w:val="21"/>
        </w:rPr>
        <w:t>内，</w:t>
      </w:r>
      <w:r>
        <w:rPr>
          <w:rFonts w:hint="eastAsia" w:ascii="Times New Roman" w:hAnsi="Times New Roman"/>
          <w:kern w:val="2"/>
          <w:szCs w:val="21"/>
          <w:lang w:val="en-US"/>
        </w:rPr>
        <w:t>按照</w:t>
      </w:r>
      <w:r>
        <w:rPr>
          <w:rFonts w:ascii="Times New Roman" w:hAnsi="Times New Roman"/>
          <w:kern w:val="2"/>
          <w:szCs w:val="21"/>
          <w:lang w:val="en-US"/>
        </w:rPr>
        <w:t>主管机构</w:t>
      </w:r>
      <w:r>
        <w:rPr>
          <w:rFonts w:hint="eastAsia" w:ascii="Times New Roman" w:hAnsi="Times New Roman"/>
          <w:kern w:val="2"/>
          <w:szCs w:val="21"/>
          <w:lang w:val="en-US"/>
        </w:rPr>
        <w:t>指示，保管以下文件</w:t>
      </w:r>
      <w:r>
        <w:rPr>
          <w:rFonts w:ascii="Times New Roman" w:hAnsi="Times New Roman"/>
          <w:kern w:val="2"/>
          <w:szCs w:val="21"/>
        </w:rPr>
        <w:t>：</w:t>
      </w:r>
    </w:p>
    <w:p w14:paraId="70FA2EA7">
      <w:pPr>
        <w:pStyle w:val="32"/>
        <w:numPr>
          <w:ilvl w:val="2"/>
          <w:numId w:val="220"/>
        </w:numPr>
        <w:tabs>
          <w:tab w:val="left" w:pos="1107"/>
        </w:tabs>
        <w:topLinePunct/>
        <w:snapToGrid w:val="0"/>
        <w:spacing w:beforeLines="50" w:line="324" w:lineRule="auto"/>
        <w:ind w:firstLine="247"/>
        <w:jc w:val="both"/>
        <w:rPr>
          <w:rFonts w:ascii="Times New Roman" w:hAnsi="Times New Roman"/>
          <w:kern w:val="2"/>
          <w:szCs w:val="21"/>
        </w:rPr>
      </w:pPr>
      <w:r>
        <w:rPr>
          <w:rFonts w:ascii="Times New Roman" w:hAnsi="Times New Roman"/>
          <w:kern w:val="2"/>
          <w:szCs w:val="21"/>
        </w:rPr>
        <w:t>EC符合性声明；</w:t>
      </w:r>
    </w:p>
    <w:p w14:paraId="24995FFF">
      <w:pPr>
        <w:pStyle w:val="32"/>
        <w:numPr>
          <w:ilvl w:val="2"/>
          <w:numId w:val="220"/>
        </w:numPr>
        <w:tabs>
          <w:tab w:val="left" w:pos="1107"/>
        </w:tabs>
        <w:topLinePunct/>
        <w:snapToGrid w:val="0"/>
        <w:spacing w:beforeLines="50" w:line="324" w:lineRule="auto"/>
        <w:ind w:firstLine="247"/>
        <w:jc w:val="both"/>
        <w:rPr>
          <w:rFonts w:ascii="Times New Roman" w:hAnsi="Times New Roman"/>
          <w:kern w:val="2"/>
          <w:szCs w:val="21"/>
        </w:rPr>
      </w:pPr>
      <w:r>
        <w:rPr>
          <w:rFonts w:ascii="Times New Roman" w:hAnsi="Times New Roman"/>
          <w:kern w:val="2"/>
          <w:szCs w:val="21"/>
        </w:rPr>
        <w:t>附录II和III所述技术文件，</w:t>
      </w:r>
    </w:p>
    <w:p w14:paraId="150491F0">
      <w:pPr>
        <w:pStyle w:val="32"/>
        <w:numPr>
          <w:ilvl w:val="2"/>
          <w:numId w:val="220"/>
        </w:numPr>
        <w:tabs>
          <w:tab w:val="left" w:pos="1107"/>
        </w:tabs>
        <w:topLinePunct/>
        <w:snapToGrid w:val="0"/>
        <w:spacing w:beforeLines="50" w:line="324" w:lineRule="auto"/>
        <w:ind w:firstLine="247"/>
        <w:jc w:val="both"/>
        <w:rPr>
          <w:rFonts w:ascii="Times New Roman" w:hAnsi="Times New Roman"/>
          <w:kern w:val="2"/>
          <w:szCs w:val="21"/>
        </w:rPr>
      </w:pPr>
      <w:r>
        <w:rPr>
          <w:rFonts w:ascii="Times New Roman" w:hAnsi="Times New Roman"/>
          <w:kern w:val="2"/>
          <w:szCs w:val="21"/>
        </w:rPr>
        <w:t>第10</w:t>
      </w:r>
      <w:r>
        <w:rPr>
          <w:rFonts w:hint="eastAsia" w:ascii="Times New Roman" w:hAnsi="Times New Roman"/>
          <w:kern w:val="2"/>
          <w:szCs w:val="21"/>
        </w:rPr>
        <w:t>.</w:t>
      </w:r>
      <w:r>
        <w:rPr>
          <w:rFonts w:ascii="Times New Roman" w:hAnsi="Times New Roman"/>
          <w:kern w:val="2"/>
          <w:szCs w:val="21"/>
        </w:rPr>
        <w:t>3节所述证书。</w:t>
      </w:r>
    </w:p>
    <w:p w14:paraId="7DE33F95">
      <w:pPr>
        <w:pStyle w:val="32"/>
        <w:tabs>
          <w:tab w:val="left" w:pos="1107"/>
        </w:tabs>
        <w:topLinePunct/>
        <w:snapToGrid w:val="0"/>
        <w:spacing w:beforeLines="50" w:line="324" w:lineRule="auto"/>
        <w:ind w:left="473" w:leftChars="225" w:firstLine="210" w:firstLineChars="100"/>
        <w:jc w:val="both"/>
        <w:rPr>
          <w:rFonts w:ascii="Times New Roman" w:hAnsi="Times New Roman"/>
          <w:kern w:val="2"/>
          <w:szCs w:val="21"/>
        </w:rPr>
      </w:pPr>
      <w:r>
        <w:rPr>
          <w:rFonts w:ascii="Times New Roman" w:hAnsi="Times New Roman"/>
          <w:kern w:val="2"/>
          <w:szCs w:val="21"/>
        </w:rPr>
        <w:t>附录IX第8节应适用。</w:t>
      </w:r>
    </w:p>
    <w:p w14:paraId="1D8389B7">
      <w:pPr>
        <w:pStyle w:val="4"/>
        <w:topLinePunct/>
        <w:snapToGrid w:val="0"/>
        <w:spacing w:beforeLines="50" w:line="324" w:lineRule="auto"/>
        <w:ind w:left="2902" w:firstLine="0"/>
        <w:jc w:val="both"/>
        <w:rPr>
          <w:rFonts w:ascii="Times New Roman" w:hAnsi="Times New Roman"/>
          <w:kern w:val="2"/>
          <w:sz w:val="21"/>
          <w:szCs w:val="21"/>
        </w:rPr>
      </w:pPr>
    </w:p>
    <w:p w14:paraId="7E2B0B8E">
      <w:pPr>
        <w:pStyle w:val="4"/>
        <w:topLinePunct/>
        <w:snapToGrid w:val="0"/>
        <w:spacing w:beforeLines="50" w:line="324" w:lineRule="auto"/>
        <w:ind w:left="0" w:firstLine="0"/>
        <w:jc w:val="center"/>
        <w:rPr>
          <w:rFonts w:ascii="Times New Roman" w:hAnsi="Times New Roman"/>
          <w:kern w:val="2"/>
          <w:sz w:val="21"/>
          <w:szCs w:val="21"/>
        </w:rPr>
      </w:pPr>
      <w:r>
        <w:rPr>
          <w:rFonts w:ascii="Times New Roman" w:hAnsi="Times New Roman"/>
          <w:kern w:val="2"/>
          <w:sz w:val="21"/>
          <w:szCs w:val="21"/>
        </w:rPr>
        <w:t>第B部分：</w:t>
      </w:r>
    </w:p>
    <w:p w14:paraId="2D3876AA">
      <w:pPr>
        <w:pStyle w:val="4"/>
        <w:topLinePunct/>
        <w:snapToGrid w:val="0"/>
        <w:spacing w:beforeLines="50" w:line="324" w:lineRule="auto"/>
        <w:ind w:left="0" w:firstLine="0"/>
        <w:jc w:val="center"/>
        <w:rPr>
          <w:rFonts w:ascii="Times New Roman" w:hAnsi="Times New Roman"/>
          <w:b w:val="0"/>
          <w:bCs w:val="0"/>
          <w:kern w:val="2"/>
          <w:sz w:val="21"/>
          <w:szCs w:val="21"/>
        </w:rPr>
      </w:pPr>
      <w:r>
        <w:rPr>
          <w:rFonts w:ascii="Times New Roman" w:hAnsi="Times New Roman"/>
          <w:kern w:val="2"/>
          <w:sz w:val="21"/>
          <w:szCs w:val="21"/>
        </w:rPr>
        <w:t>产品验证</w:t>
      </w:r>
    </w:p>
    <w:p w14:paraId="57271681">
      <w:pPr>
        <w:pStyle w:val="32"/>
        <w:numPr>
          <w:ilvl w:val="0"/>
          <w:numId w:val="219"/>
        </w:numPr>
        <w:tabs>
          <w:tab w:val="left" w:pos="742"/>
        </w:tabs>
        <w:topLinePunct/>
        <w:snapToGrid w:val="0"/>
        <w:spacing w:beforeLines="50" w:line="324" w:lineRule="auto"/>
        <w:ind w:left="720" w:hanging="607"/>
        <w:jc w:val="both"/>
        <w:rPr>
          <w:rFonts w:ascii="Times New Roman" w:hAnsi="Times New Roman"/>
          <w:kern w:val="2"/>
          <w:szCs w:val="21"/>
        </w:rPr>
      </w:pPr>
      <w:bookmarkStart w:id="213" w:name="1._Product_verification_is_the_procedure"/>
      <w:bookmarkEnd w:id="213"/>
      <w:r>
        <w:rPr>
          <w:rFonts w:ascii="Times New Roman" w:hAnsi="Times New Roman"/>
          <w:kern w:val="2"/>
          <w:szCs w:val="21"/>
        </w:rPr>
        <w:t>产品验证应理解为指产品经制造商检查后，根据第19条和附录IV出具EC符合性声明，并依据第14节和第15节所述过程确定并声明并器械是否符合EC型式检验证书中所说明的形式，并满足本法规中适用规定要求的过程。</w:t>
      </w:r>
    </w:p>
    <w:p w14:paraId="50D9250D">
      <w:pPr>
        <w:pStyle w:val="32"/>
        <w:numPr>
          <w:ilvl w:val="0"/>
          <w:numId w:val="219"/>
        </w:numPr>
        <w:tabs>
          <w:tab w:val="left" w:pos="742"/>
        </w:tabs>
        <w:topLinePunct/>
        <w:snapToGrid w:val="0"/>
        <w:spacing w:beforeLines="50" w:line="324" w:lineRule="auto"/>
        <w:ind w:left="720" w:hanging="607"/>
        <w:jc w:val="both"/>
        <w:rPr>
          <w:rFonts w:ascii="Times New Roman" w:hAnsi="Times New Roman"/>
          <w:kern w:val="2"/>
          <w:szCs w:val="21"/>
        </w:rPr>
      </w:pPr>
      <w:r>
        <w:rPr>
          <w:rFonts w:ascii="Times New Roman" w:hAnsi="Times New Roman"/>
          <w:kern w:val="2"/>
          <w:szCs w:val="21"/>
        </w:rPr>
        <w:t>制造商应采取一切必要措施，以确保生产的器械均符合EC型式检验证书中所说明的形式，并满足本法规中适用规定的要求。生产开始前，制造商应</w:t>
      </w:r>
      <w:r>
        <w:rPr>
          <w:rFonts w:hint="eastAsia" w:ascii="Times New Roman" w:hAnsi="Times New Roman"/>
          <w:kern w:val="2"/>
          <w:szCs w:val="21"/>
        </w:rPr>
        <w:t>规定</w:t>
      </w:r>
      <w:r>
        <w:rPr>
          <w:rFonts w:ascii="Times New Roman" w:hAnsi="Times New Roman"/>
          <w:kern w:val="2"/>
          <w:szCs w:val="21"/>
        </w:rPr>
        <w:t>文档定义生产流程，特别是与必要消毒和所有预先确定的日常规定有关的流程，以保证生产同类产品，并符合EC型式检验证书中所说明的形式，且满足本法规中适用规定的要求（如适用）。</w:t>
      </w:r>
    </w:p>
    <w:p w14:paraId="442F7D5E">
      <w:pPr>
        <w:pStyle w:val="8"/>
        <w:topLinePunct/>
        <w:snapToGrid w:val="0"/>
        <w:spacing w:beforeLines="50" w:line="324" w:lineRule="auto"/>
        <w:ind w:firstLine="0"/>
        <w:jc w:val="both"/>
        <w:rPr>
          <w:kern w:val="2"/>
          <w:szCs w:val="21"/>
        </w:rPr>
      </w:pPr>
      <w:bookmarkStart w:id="214" w:name="In_addition,_for_devices_placed_on_the_m"/>
      <w:bookmarkEnd w:id="214"/>
      <w:r>
        <w:rPr>
          <w:kern w:val="2"/>
          <w:szCs w:val="21"/>
        </w:rPr>
        <w:t>此外，对于上市的无菌器械以及用于确保和维护无菌条件的生产过程，制造商应适用第6节和第7节的规定。</w:t>
      </w:r>
    </w:p>
    <w:p w14:paraId="0A4606FF">
      <w:pPr>
        <w:pStyle w:val="32"/>
        <w:numPr>
          <w:ilvl w:val="0"/>
          <w:numId w:val="219"/>
        </w:numPr>
        <w:tabs>
          <w:tab w:val="left" w:pos="742"/>
        </w:tabs>
        <w:topLinePunct/>
        <w:snapToGrid w:val="0"/>
        <w:spacing w:beforeLines="50" w:line="324" w:lineRule="auto"/>
        <w:ind w:left="720" w:hanging="607"/>
        <w:jc w:val="both"/>
        <w:rPr>
          <w:rFonts w:ascii="Times New Roman" w:hAnsi="Times New Roman"/>
          <w:kern w:val="2"/>
          <w:szCs w:val="21"/>
        </w:rPr>
      </w:pPr>
      <w:r>
        <w:rPr>
          <w:rFonts w:ascii="Times New Roman" w:hAnsi="Times New Roman"/>
          <w:kern w:val="2"/>
          <w:szCs w:val="21"/>
        </w:rPr>
        <w:t>制造商应组织并不断更新上市后监管计划，其中包括</w:t>
      </w:r>
      <w:r>
        <w:rPr>
          <w:rFonts w:hint="eastAsia" w:ascii="Times New Roman" w:hAnsi="Times New Roman"/>
          <w:kern w:val="2"/>
          <w:szCs w:val="21"/>
        </w:rPr>
        <w:t>PMCF计划</w:t>
      </w:r>
      <w:r>
        <w:rPr>
          <w:rFonts w:ascii="Times New Roman" w:hAnsi="Times New Roman"/>
          <w:kern w:val="2"/>
          <w:szCs w:val="21"/>
        </w:rPr>
        <w:t>和确保遵守制造商义务的过程，详见第VII章警醒症与上市后监管体系规定。</w:t>
      </w:r>
    </w:p>
    <w:p w14:paraId="4D851785">
      <w:pPr>
        <w:pStyle w:val="32"/>
        <w:numPr>
          <w:ilvl w:val="0"/>
          <w:numId w:val="219"/>
        </w:numPr>
        <w:tabs>
          <w:tab w:val="left" w:pos="742"/>
        </w:tabs>
        <w:topLinePunct/>
        <w:snapToGrid w:val="0"/>
        <w:spacing w:beforeLines="50" w:line="324" w:lineRule="auto"/>
        <w:ind w:left="720" w:hanging="607"/>
        <w:jc w:val="both"/>
        <w:rPr>
          <w:rFonts w:ascii="Times New Roman" w:hAnsi="Times New Roman"/>
          <w:kern w:val="2"/>
          <w:szCs w:val="21"/>
        </w:rPr>
      </w:pPr>
      <w:r>
        <w:rPr>
          <w:rFonts w:ascii="Times New Roman" w:hAnsi="Times New Roman"/>
          <w:kern w:val="2"/>
          <w:szCs w:val="21"/>
        </w:rPr>
        <w:t>欧盟公告机构应根据第15条所述方法进行适当的检查和测试，以验证器械符合法规要求。</w:t>
      </w:r>
    </w:p>
    <w:p w14:paraId="706104D1">
      <w:pPr>
        <w:pStyle w:val="8"/>
        <w:topLinePunct/>
        <w:snapToGrid w:val="0"/>
        <w:spacing w:beforeLines="50" w:line="324" w:lineRule="auto"/>
        <w:ind w:firstLine="0"/>
        <w:jc w:val="both"/>
        <w:rPr>
          <w:kern w:val="2"/>
          <w:szCs w:val="21"/>
        </w:rPr>
      </w:pPr>
      <w:r>
        <w:rPr>
          <w:kern w:val="2"/>
          <w:szCs w:val="21"/>
        </w:rPr>
        <w:t>本节第一段所述的检查和试验不适用于用于确保无菌条件的生产过程。</w:t>
      </w:r>
    </w:p>
    <w:p w14:paraId="7440F40D">
      <w:pPr>
        <w:pStyle w:val="4"/>
        <w:numPr>
          <w:ilvl w:val="0"/>
          <w:numId w:val="221"/>
        </w:numPr>
        <w:tabs>
          <w:tab w:val="left" w:pos="682"/>
        </w:tabs>
        <w:topLinePunct/>
        <w:snapToGrid w:val="0"/>
        <w:spacing w:beforeLines="50" w:line="324" w:lineRule="auto"/>
        <w:jc w:val="both"/>
        <w:rPr>
          <w:rFonts w:ascii="Times New Roman" w:hAnsi="Times New Roman"/>
          <w:b w:val="0"/>
          <w:bCs w:val="0"/>
          <w:kern w:val="2"/>
          <w:sz w:val="21"/>
          <w:szCs w:val="21"/>
        </w:rPr>
      </w:pPr>
      <w:r>
        <w:rPr>
          <w:rFonts w:ascii="Times New Roman" w:hAnsi="Times New Roman"/>
          <w:b w:val="0"/>
          <w:kern w:val="2"/>
          <w:sz w:val="21"/>
          <w:szCs w:val="21"/>
        </w:rPr>
        <w:t>通过检查和测试验证器械的符合性</w:t>
      </w:r>
    </w:p>
    <w:p w14:paraId="4E63A369">
      <w:pPr>
        <w:pStyle w:val="32"/>
        <w:numPr>
          <w:ilvl w:val="1"/>
          <w:numId w:val="221"/>
        </w:numPr>
        <w:tabs>
          <w:tab w:val="left" w:pos="682"/>
        </w:tabs>
        <w:topLinePunct/>
        <w:snapToGrid w:val="0"/>
        <w:spacing w:beforeLines="50" w:line="324" w:lineRule="auto"/>
        <w:ind w:hanging="567"/>
        <w:jc w:val="both"/>
        <w:rPr>
          <w:rFonts w:ascii="Times New Roman" w:hAnsi="Times New Roman"/>
          <w:kern w:val="2"/>
          <w:szCs w:val="21"/>
        </w:rPr>
      </w:pPr>
      <w:r>
        <w:rPr>
          <w:rFonts w:ascii="Times New Roman" w:hAnsi="Times New Roman"/>
          <w:kern w:val="2"/>
          <w:szCs w:val="21"/>
        </w:rPr>
        <w:t>对各器械进行单独检查，应进行第8条相关标准中定义的适当物理试验或实验室试验或同等测试和评估，以确定器械符合EC型式检验证书中所说明的形式，且满足本法规中适用规定的要求（如适用）。</w:t>
      </w:r>
    </w:p>
    <w:p w14:paraId="40A3FA4D">
      <w:pPr>
        <w:pStyle w:val="32"/>
        <w:numPr>
          <w:ilvl w:val="1"/>
          <w:numId w:val="22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欧盟公告机构应在每台认可器械上贴上标识号，并根据所进行的测试和评估出具欧盟产品验证证书。</w:t>
      </w:r>
    </w:p>
    <w:p w14:paraId="315C2A73">
      <w:pPr>
        <w:pStyle w:val="4"/>
        <w:numPr>
          <w:ilvl w:val="0"/>
          <w:numId w:val="221"/>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b w:val="0"/>
          <w:kern w:val="2"/>
          <w:sz w:val="21"/>
          <w:szCs w:val="21"/>
        </w:rPr>
        <w:t>结合药物共同使用时，根据第1(8)条器械可被视为作为整体部分的人血样或血浆源医药产品按批次进行验证</w:t>
      </w:r>
    </w:p>
    <w:p w14:paraId="3A256816">
      <w:pPr>
        <w:pStyle w:val="8"/>
        <w:topLinePunct/>
        <w:snapToGrid w:val="0"/>
        <w:spacing w:beforeLines="25" w:line="300" w:lineRule="auto"/>
        <w:ind w:firstLine="0"/>
        <w:jc w:val="both"/>
        <w:rPr>
          <w:kern w:val="2"/>
          <w:szCs w:val="21"/>
        </w:rPr>
      </w:pPr>
      <w:bookmarkStart w:id="215" w:name="Upon_completing_the_manufacture_of_each_"/>
      <w:bookmarkEnd w:id="215"/>
      <w:r>
        <w:rPr>
          <w:kern w:val="2"/>
          <w:szCs w:val="21"/>
        </w:rPr>
        <w:t>结合药物共同使用，根据第1(8)条第一子段可被视为作为整体部分的人血样或血浆源医药产品的器械生产完成后，制造商应通知欧盟公告机构器械批号，并向欧盟公告机构发送成员国实验室或根据第2001/83/EC号指令第114(2)节由成员国指定实验室颁发的使用人血液或血浆衍生物器械的官方证明。</w:t>
      </w:r>
    </w:p>
    <w:p w14:paraId="145FAFD8">
      <w:pPr>
        <w:pStyle w:val="4"/>
        <w:numPr>
          <w:ilvl w:val="0"/>
          <w:numId w:val="221"/>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b w:val="0"/>
          <w:kern w:val="2"/>
          <w:sz w:val="21"/>
          <w:szCs w:val="21"/>
        </w:rPr>
        <w:t>行政管理规定</w:t>
      </w:r>
    </w:p>
    <w:p w14:paraId="4466407C">
      <w:pPr>
        <w:pStyle w:val="8"/>
        <w:topLinePunct/>
        <w:snapToGrid w:val="0"/>
        <w:spacing w:beforeLines="25" w:line="300" w:lineRule="auto"/>
        <w:ind w:firstLine="0"/>
        <w:jc w:val="both"/>
        <w:rPr>
          <w:kern w:val="2"/>
          <w:szCs w:val="21"/>
        </w:rPr>
      </w:pPr>
      <w:bookmarkStart w:id="216" w:name="The_manufacturer_or_his_authorised_repre"/>
      <w:bookmarkEnd w:id="216"/>
      <w:r>
        <w:rPr>
          <w:kern w:val="2"/>
          <w:szCs w:val="21"/>
        </w:rPr>
        <w:t>制造商或其授权代表应在最后一个器械上市</w:t>
      </w:r>
      <w:r>
        <w:rPr>
          <w:rFonts w:hint="eastAsia"/>
          <w:kern w:val="2"/>
          <w:szCs w:val="21"/>
        </w:rPr>
        <w:t>至少10</w:t>
      </w:r>
      <w:r>
        <w:rPr>
          <w:kern w:val="2"/>
          <w:szCs w:val="21"/>
        </w:rPr>
        <w:t>年</w:t>
      </w:r>
      <w:r>
        <w:rPr>
          <w:rFonts w:hint="eastAsia"/>
          <w:kern w:val="2"/>
          <w:szCs w:val="21"/>
        </w:rPr>
        <w:t>内</w:t>
      </w:r>
      <w:r>
        <w:rPr>
          <w:kern w:val="2"/>
          <w:szCs w:val="21"/>
        </w:rPr>
        <w:t>（植入式器械</w:t>
      </w:r>
      <w:r>
        <w:rPr>
          <w:rFonts w:hint="eastAsia"/>
          <w:kern w:val="2"/>
          <w:szCs w:val="21"/>
        </w:rPr>
        <w:t>为至少15</w:t>
      </w:r>
      <w:r>
        <w:rPr>
          <w:kern w:val="2"/>
          <w:szCs w:val="21"/>
        </w:rPr>
        <w:t>年</w:t>
      </w:r>
      <w:r>
        <w:rPr>
          <w:rFonts w:hint="eastAsia"/>
          <w:kern w:val="2"/>
          <w:szCs w:val="21"/>
        </w:rPr>
        <w:t>内</w:t>
      </w:r>
      <w:r>
        <w:rPr>
          <w:kern w:val="2"/>
          <w:szCs w:val="21"/>
        </w:rPr>
        <w:t>），</w:t>
      </w:r>
      <w:r>
        <w:rPr>
          <w:rFonts w:hint="eastAsia"/>
          <w:kern w:val="2"/>
          <w:szCs w:val="21"/>
          <w:lang w:val="en-US"/>
        </w:rPr>
        <w:t>按照</w:t>
      </w:r>
      <w:r>
        <w:rPr>
          <w:kern w:val="2"/>
          <w:szCs w:val="21"/>
          <w:lang w:val="en-US"/>
        </w:rPr>
        <w:t>主管机构</w:t>
      </w:r>
      <w:r>
        <w:rPr>
          <w:rFonts w:hint="eastAsia"/>
          <w:kern w:val="2"/>
          <w:szCs w:val="21"/>
          <w:lang w:val="en-US"/>
        </w:rPr>
        <w:t>指示，保管以下文件</w:t>
      </w:r>
      <w:r>
        <w:rPr>
          <w:kern w:val="2"/>
          <w:szCs w:val="21"/>
        </w:rPr>
        <w:t>：</w:t>
      </w:r>
    </w:p>
    <w:p w14:paraId="303CAEED">
      <w:pPr>
        <w:pStyle w:val="32"/>
        <w:numPr>
          <w:ilvl w:val="0"/>
          <w:numId w:val="222"/>
        </w:numPr>
        <w:tabs>
          <w:tab w:val="left" w:pos="1248"/>
        </w:tabs>
        <w:topLinePunct/>
        <w:snapToGrid w:val="0"/>
        <w:spacing w:beforeLines="25" w:line="300" w:lineRule="auto"/>
        <w:ind w:firstLine="0"/>
        <w:jc w:val="both"/>
        <w:rPr>
          <w:rFonts w:ascii="Times New Roman" w:hAnsi="Times New Roman"/>
          <w:kern w:val="2"/>
          <w:szCs w:val="21"/>
        </w:rPr>
      </w:pPr>
      <w:r>
        <w:rPr>
          <w:rFonts w:ascii="Times New Roman" w:hAnsi="Times New Roman"/>
          <w:kern w:val="2"/>
          <w:szCs w:val="21"/>
        </w:rPr>
        <w:t>EU符合性声明；</w:t>
      </w:r>
    </w:p>
    <w:p w14:paraId="4074F135">
      <w:pPr>
        <w:pStyle w:val="32"/>
        <w:numPr>
          <w:ilvl w:val="0"/>
          <w:numId w:val="222"/>
        </w:numPr>
        <w:tabs>
          <w:tab w:val="left" w:pos="1248"/>
        </w:tabs>
        <w:topLinePunct/>
        <w:snapToGrid w:val="0"/>
        <w:spacing w:beforeLines="25" w:line="300" w:lineRule="auto"/>
        <w:ind w:left="1248"/>
        <w:jc w:val="both"/>
        <w:rPr>
          <w:rFonts w:ascii="Times New Roman" w:hAnsi="Times New Roman"/>
          <w:kern w:val="2"/>
          <w:szCs w:val="21"/>
        </w:rPr>
      </w:pPr>
      <w:r>
        <w:rPr>
          <w:rFonts w:ascii="Times New Roman" w:hAnsi="Times New Roman"/>
          <w:kern w:val="2"/>
          <w:szCs w:val="21"/>
        </w:rPr>
        <w:t>第12节所述文件，</w:t>
      </w:r>
    </w:p>
    <w:p w14:paraId="179F1E08">
      <w:pPr>
        <w:pStyle w:val="32"/>
        <w:numPr>
          <w:ilvl w:val="0"/>
          <w:numId w:val="222"/>
        </w:numPr>
        <w:tabs>
          <w:tab w:val="left" w:pos="1248"/>
        </w:tabs>
        <w:topLinePunct/>
        <w:snapToGrid w:val="0"/>
        <w:spacing w:beforeLines="25" w:line="300" w:lineRule="auto"/>
        <w:ind w:left="1248"/>
        <w:jc w:val="both"/>
        <w:rPr>
          <w:rFonts w:ascii="Times New Roman" w:hAnsi="Times New Roman"/>
          <w:kern w:val="2"/>
          <w:szCs w:val="21"/>
        </w:rPr>
      </w:pPr>
      <w:r>
        <w:rPr>
          <w:rFonts w:ascii="Times New Roman" w:hAnsi="Times New Roman"/>
          <w:kern w:val="2"/>
          <w:szCs w:val="21"/>
        </w:rPr>
        <w:t>第15.2节所述证书，</w:t>
      </w:r>
    </w:p>
    <w:p w14:paraId="7202640F">
      <w:pPr>
        <w:pStyle w:val="32"/>
        <w:numPr>
          <w:ilvl w:val="0"/>
          <w:numId w:val="222"/>
        </w:numPr>
        <w:tabs>
          <w:tab w:val="left" w:pos="1248"/>
        </w:tabs>
        <w:topLinePunct/>
        <w:snapToGrid w:val="0"/>
        <w:spacing w:beforeLines="25" w:line="300" w:lineRule="auto"/>
        <w:ind w:firstLine="0"/>
        <w:jc w:val="both"/>
        <w:rPr>
          <w:rFonts w:ascii="Times New Roman" w:hAnsi="Times New Roman"/>
          <w:kern w:val="2"/>
          <w:szCs w:val="21"/>
        </w:rPr>
      </w:pPr>
      <w:r>
        <w:rPr>
          <w:rFonts w:ascii="Times New Roman" w:hAnsi="Times New Roman"/>
          <w:kern w:val="2"/>
          <w:szCs w:val="21"/>
        </w:rPr>
        <w:t>附录X所述EC型式检验证书。</w:t>
      </w:r>
    </w:p>
    <w:p w14:paraId="7D20B775">
      <w:pPr>
        <w:pStyle w:val="32"/>
        <w:numPr>
          <w:ilvl w:val="0"/>
          <w:numId w:val="222"/>
        </w:numPr>
        <w:tabs>
          <w:tab w:val="left" w:pos="1248"/>
        </w:tabs>
        <w:topLinePunct/>
        <w:snapToGrid w:val="0"/>
        <w:spacing w:beforeLines="25" w:line="300" w:lineRule="auto"/>
        <w:ind w:firstLine="0"/>
        <w:jc w:val="both"/>
        <w:rPr>
          <w:rFonts w:ascii="Times New Roman" w:hAnsi="Times New Roman"/>
          <w:kern w:val="2"/>
          <w:szCs w:val="21"/>
        </w:rPr>
      </w:pPr>
      <w:r>
        <w:rPr>
          <w:rFonts w:ascii="Times New Roman" w:hAnsi="Times New Roman"/>
          <w:kern w:val="2"/>
          <w:szCs w:val="21"/>
        </w:rPr>
        <w:t>附录IX第8节应适用。</w:t>
      </w:r>
    </w:p>
    <w:p w14:paraId="53D6C9B9">
      <w:pPr>
        <w:pStyle w:val="4"/>
        <w:numPr>
          <w:ilvl w:val="0"/>
          <w:numId w:val="221"/>
        </w:numPr>
        <w:tabs>
          <w:tab w:val="left" w:pos="682"/>
        </w:tabs>
        <w:topLinePunct/>
        <w:snapToGrid w:val="0"/>
        <w:spacing w:beforeLines="25" w:line="300" w:lineRule="auto"/>
        <w:ind w:hanging="567"/>
        <w:jc w:val="both"/>
        <w:rPr>
          <w:rFonts w:ascii="Times New Roman" w:hAnsi="Times New Roman"/>
          <w:b w:val="0"/>
          <w:kern w:val="2"/>
          <w:sz w:val="21"/>
          <w:szCs w:val="21"/>
        </w:rPr>
      </w:pPr>
      <w:r>
        <w:rPr>
          <w:rFonts w:ascii="Times New Roman" w:hAnsi="Times New Roman"/>
          <w:b w:val="0"/>
          <w:kern w:val="2"/>
          <w:sz w:val="21"/>
          <w:szCs w:val="21"/>
        </w:rPr>
        <w:t>适用于IIa类器械</w:t>
      </w:r>
    </w:p>
    <w:p w14:paraId="603D0265">
      <w:pPr>
        <w:pStyle w:val="32"/>
        <w:numPr>
          <w:ilvl w:val="1"/>
          <w:numId w:val="22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通过豁免第11节，制造商可根据EC符合性</w:t>
      </w:r>
      <w:r>
        <w:rPr>
          <w:rFonts w:hint="eastAsia" w:ascii="Times New Roman" w:hAnsi="Times New Roman"/>
          <w:kern w:val="2"/>
          <w:szCs w:val="21"/>
        </w:rPr>
        <w:t>，</w:t>
      </w:r>
      <w:r>
        <w:rPr>
          <w:rFonts w:ascii="Times New Roman" w:hAnsi="Times New Roman"/>
          <w:kern w:val="2"/>
          <w:szCs w:val="21"/>
        </w:rPr>
        <w:t>确定并声明IIa类器械是否符合附录II和III所述技术文件，以及是否满足本法规中的相应规定要求。</w:t>
      </w:r>
    </w:p>
    <w:p w14:paraId="6B0A718C">
      <w:pPr>
        <w:pStyle w:val="32"/>
        <w:numPr>
          <w:ilvl w:val="1"/>
          <w:numId w:val="22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由欧盟公告机构按照第14节进行的器械验证是用于确认IIa类器械是否符合附录II和III所述技术文件，以及是否满足本法规中的相应规定要求。</w:t>
      </w:r>
    </w:p>
    <w:p w14:paraId="62B9E24E">
      <w:pPr>
        <w:pStyle w:val="32"/>
        <w:numPr>
          <w:ilvl w:val="1"/>
          <w:numId w:val="22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如按照第18.2节进行验证，结果确认IIa类器械是否符合附录II和III所述技术文件，以及是否满足本法规中的相应规定要求，欧盟公告机构应根据本附录该节出具证明。</w:t>
      </w:r>
    </w:p>
    <w:p w14:paraId="5CBC5D36">
      <w:pPr>
        <w:pStyle w:val="32"/>
        <w:numPr>
          <w:ilvl w:val="1"/>
          <w:numId w:val="221"/>
        </w:numPr>
        <w:tabs>
          <w:tab w:val="left" w:pos="682"/>
        </w:tabs>
        <w:topLinePunct/>
        <w:snapToGrid w:val="0"/>
        <w:spacing w:beforeLines="25" w:line="300" w:lineRule="auto"/>
        <w:ind w:hanging="567"/>
        <w:jc w:val="both"/>
        <w:rPr>
          <w:rFonts w:ascii="Times New Roman" w:hAnsi="Times New Roman"/>
          <w:kern w:val="2"/>
          <w:szCs w:val="21"/>
        </w:rPr>
      </w:pPr>
      <w:bookmarkStart w:id="217" w:name="8.4._By_way_of_derogation_from_Section_7"/>
      <w:bookmarkEnd w:id="217"/>
      <w:r>
        <w:rPr>
          <w:rFonts w:ascii="Times New Roman" w:hAnsi="Times New Roman"/>
          <w:kern w:val="2"/>
          <w:szCs w:val="21"/>
        </w:rPr>
        <w:t>通过豁免第17节，制造商或其授权代表应在最后一个器械上市</w:t>
      </w:r>
      <w:r>
        <w:rPr>
          <w:rFonts w:hint="eastAsia" w:ascii="Times New Roman" w:hAnsi="Times New Roman"/>
          <w:kern w:val="2"/>
          <w:szCs w:val="21"/>
        </w:rPr>
        <w:t>至少10</w:t>
      </w:r>
      <w:r>
        <w:rPr>
          <w:rFonts w:ascii="Times New Roman" w:hAnsi="Times New Roman"/>
          <w:kern w:val="2"/>
          <w:szCs w:val="21"/>
        </w:rPr>
        <w:t>年</w:t>
      </w:r>
      <w:r>
        <w:rPr>
          <w:rFonts w:hint="eastAsia" w:ascii="Times New Roman" w:hAnsi="Times New Roman"/>
          <w:kern w:val="2"/>
          <w:szCs w:val="21"/>
        </w:rPr>
        <w:t>内</w:t>
      </w:r>
      <w:r>
        <w:rPr>
          <w:rFonts w:ascii="Times New Roman" w:hAnsi="Times New Roman"/>
          <w:kern w:val="2"/>
          <w:szCs w:val="21"/>
        </w:rPr>
        <w:t>，</w:t>
      </w:r>
      <w:r>
        <w:rPr>
          <w:rFonts w:hint="eastAsia" w:ascii="Times New Roman" w:hAnsi="Times New Roman"/>
          <w:kern w:val="2"/>
          <w:szCs w:val="21"/>
        </w:rPr>
        <w:t>按照</w:t>
      </w:r>
      <w:r>
        <w:rPr>
          <w:rFonts w:ascii="Times New Roman" w:hAnsi="Times New Roman"/>
          <w:kern w:val="2"/>
          <w:szCs w:val="21"/>
        </w:rPr>
        <w:t>主管机构</w:t>
      </w:r>
      <w:r>
        <w:rPr>
          <w:rFonts w:hint="eastAsia" w:ascii="Times New Roman" w:hAnsi="Times New Roman"/>
          <w:kern w:val="2"/>
          <w:szCs w:val="21"/>
        </w:rPr>
        <w:t>指示，保管以下文件</w:t>
      </w:r>
      <w:r>
        <w:rPr>
          <w:rFonts w:ascii="Times New Roman" w:hAnsi="Times New Roman"/>
          <w:kern w:val="2"/>
          <w:szCs w:val="21"/>
        </w:rPr>
        <w:t>：</w:t>
      </w:r>
    </w:p>
    <w:p w14:paraId="29C8E038">
      <w:pPr>
        <w:pStyle w:val="32"/>
        <w:numPr>
          <w:ilvl w:val="2"/>
          <w:numId w:val="223"/>
        </w:numPr>
        <w:tabs>
          <w:tab w:val="left" w:pos="1248"/>
        </w:tabs>
        <w:topLinePunct/>
        <w:snapToGrid w:val="0"/>
        <w:spacing w:beforeLines="25" w:line="300" w:lineRule="auto"/>
        <w:ind w:firstLine="0"/>
        <w:jc w:val="both"/>
        <w:rPr>
          <w:rFonts w:ascii="Times New Roman" w:hAnsi="Times New Roman"/>
          <w:kern w:val="2"/>
          <w:szCs w:val="21"/>
        </w:rPr>
      </w:pPr>
      <w:r>
        <w:rPr>
          <w:rFonts w:ascii="Times New Roman" w:hAnsi="Times New Roman"/>
          <w:kern w:val="2"/>
          <w:szCs w:val="21"/>
        </w:rPr>
        <w:t>EU符合性声明；</w:t>
      </w:r>
    </w:p>
    <w:p w14:paraId="1EF5F62C">
      <w:pPr>
        <w:pStyle w:val="32"/>
        <w:numPr>
          <w:ilvl w:val="2"/>
          <w:numId w:val="223"/>
        </w:numPr>
        <w:tabs>
          <w:tab w:val="left" w:pos="1248"/>
        </w:tabs>
        <w:topLinePunct/>
        <w:snapToGrid w:val="0"/>
        <w:spacing w:beforeLines="25" w:line="300" w:lineRule="auto"/>
        <w:ind w:left="1248"/>
        <w:jc w:val="both"/>
        <w:rPr>
          <w:rFonts w:ascii="Times New Roman" w:hAnsi="Times New Roman"/>
          <w:kern w:val="2"/>
          <w:szCs w:val="21"/>
        </w:rPr>
      </w:pPr>
      <w:r>
        <w:rPr>
          <w:rFonts w:ascii="Times New Roman" w:hAnsi="Times New Roman"/>
          <w:kern w:val="2"/>
          <w:szCs w:val="21"/>
        </w:rPr>
        <w:t>附录II和III所述技术文件，</w:t>
      </w:r>
    </w:p>
    <w:p w14:paraId="5930FA6D">
      <w:pPr>
        <w:pStyle w:val="32"/>
        <w:numPr>
          <w:ilvl w:val="2"/>
          <w:numId w:val="223"/>
        </w:numPr>
        <w:tabs>
          <w:tab w:val="left" w:pos="1248"/>
        </w:tabs>
        <w:topLinePunct/>
        <w:snapToGrid w:val="0"/>
        <w:spacing w:beforeLines="25" w:line="300" w:lineRule="auto"/>
        <w:ind w:firstLine="0"/>
        <w:jc w:val="both"/>
        <w:rPr>
          <w:rFonts w:ascii="Times New Roman" w:hAnsi="Times New Roman"/>
          <w:kern w:val="2"/>
          <w:szCs w:val="21"/>
        </w:rPr>
      </w:pPr>
      <w:r>
        <w:rPr>
          <w:rFonts w:ascii="Times New Roman" w:hAnsi="Times New Roman"/>
          <w:kern w:val="2"/>
          <w:szCs w:val="21"/>
        </w:rPr>
        <w:t>第18.3节所述证书。</w:t>
      </w:r>
    </w:p>
    <w:p w14:paraId="28B2B2EF">
      <w:pPr>
        <w:pStyle w:val="32"/>
        <w:tabs>
          <w:tab w:val="left" w:pos="1248"/>
        </w:tabs>
        <w:topLinePunct/>
        <w:snapToGrid w:val="0"/>
        <w:spacing w:beforeLines="25" w:line="300" w:lineRule="auto"/>
        <w:ind w:left="681"/>
        <w:jc w:val="both"/>
        <w:rPr>
          <w:rFonts w:ascii="Times New Roman" w:hAnsi="Times New Roman"/>
          <w:kern w:val="2"/>
          <w:szCs w:val="21"/>
        </w:rPr>
      </w:pPr>
      <w:r>
        <w:rPr>
          <w:rFonts w:ascii="Times New Roman" w:hAnsi="Times New Roman"/>
          <w:kern w:val="2"/>
          <w:szCs w:val="21"/>
        </w:rPr>
        <w:t>附录IX第8节应适用。</w:t>
      </w:r>
    </w:p>
    <w:p w14:paraId="2CF9BEC3">
      <w:pPr>
        <w:pStyle w:val="32"/>
        <w:tabs>
          <w:tab w:val="left" w:pos="1248"/>
        </w:tabs>
        <w:topLinePunct/>
        <w:snapToGrid w:val="0"/>
        <w:spacing w:beforeLines="25" w:line="300" w:lineRule="auto"/>
        <w:jc w:val="center"/>
        <w:rPr>
          <w:rFonts w:ascii="Times New Roman" w:hAnsi="Times New Roman"/>
          <w:kern w:val="2"/>
          <w:szCs w:val="21"/>
        </w:rPr>
      </w:pPr>
      <w:r>
        <w:rPr>
          <w:rFonts w:hint="eastAsia" w:ascii="Times New Roman" w:hAnsi="Times New Roman"/>
          <w:kern w:val="2"/>
          <w:szCs w:val="21"/>
        </w:rPr>
        <w:t>_________________</w:t>
      </w:r>
    </w:p>
    <w:p w14:paraId="679321D3">
      <w:pPr>
        <w:pStyle w:val="2"/>
        <w:spacing w:beforeLines="25" w:line="300" w:lineRule="auto"/>
        <w:rPr>
          <w:bCs/>
          <w:sz w:val="24"/>
          <w:szCs w:val="24"/>
        </w:rPr>
      </w:pPr>
      <w:bookmarkStart w:id="218" w:name="Section_9._of_Annex_VIII_shall_apply."/>
      <w:bookmarkEnd w:id="218"/>
      <w:bookmarkStart w:id="219" w:name="The_manufacturer_shall_take_all_the_meas"/>
      <w:bookmarkEnd w:id="219"/>
      <w:bookmarkStart w:id="220" w:name="_Toc477512427"/>
      <w:r>
        <w:rPr>
          <w:sz w:val="21"/>
          <w:szCs w:val="21"/>
        </w:rPr>
        <w:br w:type="page"/>
      </w:r>
      <w:r>
        <w:rPr>
          <w:sz w:val="24"/>
          <w:szCs w:val="24"/>
        </w:rPr>
        <w:t>附录XII</w:t>
      </w:r>
      <w:r>
        <w:rPr>
          <w:sz w:val="24"/>
          <w:szCs w:val="24"/>
        </w:rPr>
        <w:br w:type="textWrapping"/>
      </w:r>
      <w:r>
        <w:rPr>
          <w:sz w:val="24"/>
          <w:szCs w:val="24"/>
        </w:rPr>
        <w:t>由公告机构签发的证书</w:t>
      </w:r>
      <w:bookmarkEnd w:id="220"/>
    </w:p>
    <w:p w14:paraId="7C759134">
      <w:pPr>
        <w:pStyle w:val="4"/>
        <w:tabs>
          <w:tab w:val="left" w:pos="682"/>
        </w:tabs>
        <w:topLinePunct/>
        <w:snapToGrid w:val="0"/>
        <w:spacing w:beforeLines="25" w:line="300" w:lineRule="auto"/>
        <w:ind w:left="0" w:firstLine="0"/>
        <w:jc w:val="center"/>
        <w:rPr>
          <w:rFonts w:ascii="Times New Roman" w:hAnsi="Times New Roman"/>
          <w:kern w:val="2"/>
          <w:sz w:val="21"/>
          <w:szCs w:val="21"/>
        </w:rPr>
      </w:pPr>
    </w:p>
    <w:p w14:paraId="10200F24">
      <w:pPr>
        <w:pStyle w:val="4"/>
        <w:tabs>
          <w:tab w:val="left" w:pos="682"/>
        </w:tabs>
        <w:topLinePunct/>
        <w:snapToGrid w:val="0"/>
        <w:spacing w:beforeLines="25" w:line="300" w:lineRule="auto"/>
        <w:ind w:left="0" w:firstLine="0"/>
        <w:jc w:val="center"/>
        <w:rPr>
          <w:rFonts w:ascii="Times New Roman" w:hAnsi="Times New Roman"/>
          <w:kern w:val="2"/>
          <w:sz w:val="21"/>
          <w:szCs w:val="21"/>
        </w:rPr>
      </w:pPr>
      <w:r>
        <w:rPr>
          <w:rFonts w:ascii="Times New Roman" w:hAnsi="Times New Roman"/>
          <w:kern w:val="2"/>
          <w:sz w:val="21"/>
          <w:szCs w:val="21"/>
        </w:rPr>
        <w:t>第I章</w:t>
      </w:r>
    </w:p>
    <w:p w14:paraId="7935AE49">
      <w:pPr>
        <w:pStyle w:val="4"/>
        <w:tabs>
          <w:tab w:val="left" w:pos="682"/>
        </w:tabs>
        <w:topLinePunct/>
        <w:snapToGrid w:val="0"/>
        <w:spacing w:beforeLines="25" w:line="300" w:lineRule="auto"/>
        <w:ind w:left="0" w:firstLine="0"/>
        <w:jc w:val="center"/>
        <w:rPr>
          <w:rFonts w:ascii="Times New Roman" w:hAnsi="Times New Roman"/>
          <w:b w:val="0"/>
          <w:bCs w:val="0"/>
          <w:kern w:val="2"/>
          <w:sz w:val="21"/>
          <w:szCs w:val="21"/>
        </w:rPr>
      </w:pPr>
      <w:r>
        <w:rPr>
          <w:rFonts w:ascii="Times New Roman" w:hAnsi="Times New Roman"/>
          <w:kern w:val="2"/>
          <w:sz w:val="21"/>
          <w:szCs w:val="21"/>
        </w:rPr>
        <w:t>一般要求</w:t>
      </w:r>
    </w:p>
    <w:p w14:paraId="38FE908E">
      <w:pPr>
        <w:pStyle w:val="32"/>
        <w:numPr>
          <w:ilvl w:val="1"/>
          <w:numId w:val="22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应用欧盟的其中一种官方语言起草证书；</w:t>
      </w:r>
    </w:p>
    <w:p w14:paraId="75F8BF37">
      <w:pPr>
        <w:pStyle w:val="32"/>
        <w:numPr>
          <w:ilvl w:val="1"/>
          <w:numId w:val="22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各证书均应仅参考一种符合性评估流程；</w:t>
      </w:r>
    </w:p>
    <w:p w14:paraId="4B60BFA6">
      <w:pPr>
        <w:pStyle w:val="32"/>
        <w:numPr>
          <w:ilvl w:val="1"/>
          <w:numId w:val="22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证书应仅颁发给一家制造商证书中包含的制造商名称和地址应与在第30条中所述的电子系统中注册的信息相同；</w:t>
      </w:r>
    </w:p>
    <w:p w14:paraId="6C3EA4A8">
      <w:pPr>
        <w:pStyle w:val="32"/>
        <w:numPr>
          <w:ilvl w:val="1"/>
          <w:numId w:val="22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证书适用范围的内容应明确说明所涵盖的器械：</w:t>
      </w:r>
    </w:p>
    <w:p w14:paraId="07023304">
      <w:pPr>
        <w:pStyle w:val="32"/>
        <w:numPr>
          <w:ilvl w:val="2"/>
          <w:numId w:val="224"/>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EU技术文件评估证书、EU型式检验证书和EU产品验证证书应包含明确标识，包括器械名称、型号、类型、预期用途（制造商在使用说明中包含的并已通过符合性评估流程进行评定的预期用途）、风险分类以及第27(6)条所述的基本UDI - DI号；</w:t>
      </w:r>
    </w:p>
    <w:p w14:paraId="653354E9">
      <w:pPr>
        <w:pStyle w:val="32"/>
        <w:numPr>
          <w:ilvl w:val="2"/>
          <w:numId w:val="224"/>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EU质量管理体系证书和EU质量保证证书应包括器械标识或器械组别、风险分类和IIb类器械的预期用途；</w:t>
      </w:r>
    </w:p>
    <w:p w14:paraId="64D32EC1">
      <w:pPr>
        <w:pStyle w:val="32"/>
        <w:numPr>
          <w:ilvl w:val="1"/>
          <w:numId w:val="22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公告机构应能够应要求说明证书所涵盖的（单一）器械。公告机构应说明能够确定证书所涵盖器械（包括其分类）的方法；</w:t>
      </w:r>
    </w:p>
    <w:p w14:paraId="37DE471E">
      <w:pPr>
        <w:pStyle w:val="32"/>
        <w:numPr>
          <w:ilvl w:val="1"/>
          <w:numId w:val="22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如适用，证书应包含本证书所涵盖器械的上市记录，还需根据本法规颁发的另一证书；</w:t>
      </w:r>
    </w:p>
    <w:p w14:paraId="08E7840D">
      <w:pPr>
        <w:pStyle w:val="32"/>
        <w:numPr>
          <w:ilvl w:val="1"/>
          <w:numId w:val="22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根据第52(7)条需要涉及公告机构的第I类器械的EU质量管理体系证书和EU质量保证证书应包含一份声明，声明公告机构已审核质量管理体系涉及该段中要求的方面。</w:t>
      </w:r>
    </w:p>
    <w:p w14:paraId="3CB2C9C8">
      <w:pPr>
        <w:pStyle w:val="32"/>
        <w:numPr>
          <w:ilvl w:val="1"/>
          <w:numId w:val="224"/>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若本证书代替先前证书，即增补、修改或重新颁发证书时，新证书应包含先前证书的参考资料及其颁发日期以及变更标识。</w:t>
      </w:r>
    </w:p>
    <w:p w14:paraId="2A729118">
      <w:pPr>
        <w:pStyle w:val="4"/>
        <w:tabs>
          <w:tab w:val="left" w:pos="682"/>
        </w:tabs>
        <w:topLinePunct/>
        <w:snapToGrid w:val="0"/>
        <w:spacing w:beforeLines="25" w:line="300" w:lineRule="auto"/>
        <w:ind w:firstLine="0"/>
        <w:jc w:val="center"/>
        <w:rPr>
          <w:rFonts w:ascii="Times New Roman" w:hAnsi="Times New Roman"/>
          <w:kern w:val="2"/>
          <w:sz w:val="21"/>
          <w:szCs w:val="21"/>
          <w:lang w:val="en-US"/>
        </w:rPr>
      </w:pPr>
    </w:p>
    <w:p w14:paraId="5505F523">
      <w:pPr>
        <w:pStyle w:val="4"/>
        <w:tabs>
          <w:tab w:val="left" w:pos="682"/>
        </w:tabs>
        <w:topLinePunct/>
        <w:snapToGrid w:val="0"/>
        <w:spacing w:beforeLines="25" w:line="300" w:lineRule="auto"/>
        <w:ind w:firstLine="0"/>
        <w:jc w:val="center"/>
        <w:rPr>
          <w:rFonts w:ascii="Times New Roman" w:hAnsi="Times New Roman"/>
          <w:kern w:val="2"/>
          <w:sz w:val="21"/>
          <w:szCs w:val="21"/>
          <w:lang w:val="en-US"/>
        </w:rPr>
      </w:pPr>
      <w:r>
        <w:rPr>
          <w:rFonts w:ascii="Times New Roman" w:hAnsi="Times New Roman"/>
          <w:kern w:val="2"/>
          <w:sz w:val="21"/>
          <w:szCs w:val="21"/>
          <w:lang w:val="en-US"/>
        </w:rPr>
        <w:t>第II章</w:t>
      </w:r>
    </w:p>
    <w:p w14:paraId="4934199E">
      <w:pPr>
        <w:pStyle w:val="4"/>
        <w:tabs>
          <w:tab w:val="left" w:pos="682"/>
        </w:tabs>
        <w:topLinePunct/>
        <w:snapToGrid w:val="0"/>
        <w:spacing w:beforeLines="25" w:line="300" w:lineRule="auto"/>
        <w:ind w:firstLine="0"/>
        <w:jc w:val="center"/>
        <w:rPr>
          <w:rFonts w:ascii="Times New Roman" w:hAnsi="Times New Roman"/>
          <w:b w:val="0"/>
          <w:bCs w:val="0"/>
          <w:kern w:val="2"/>
          <w:sz w:val="21"/>
          <w:szCs w:val="21"/>
        </w:rPr>
      </w:pPr>
      <w:r>
        <w:rPr>
          <w:rFonts w:ascii="Times New Roman" w:hAnsi="Times New Roman"/>
          <w:kern w:val="2"/>
          <w:sz w:val="21"/>
          <w:szCs w:val="21"/>
        </w:rPr>
        <w:t>证书的必需内容</w:t>
      </w:r>
    </w:p>
    <w:p w14:paraId="001BC778">
      <w:pPr>
        <w:pStyle w:val="32"/>
        <w:numPr>
          <w:ilvl w:val="0"/>
          <w:numId w:val="225"/>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公告机构名称、地址和标识号；</w:t>
      </w:r>
    </w:p>
    <w:p w14:paraId="477B0261">
      <w:pPr>
        <w:pStyle w:val="32"/>
        <w:numPr>
          <w:ilvl w:val="0"/>
          <w:numId w:val="225"/>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制造商和授权代表（如适用）的名称和地址；</w:t>
      </w:r>
    </w:p>
    <w:p w14:paraId="04EEB63B">
      <w:pPr>
        <w:pStyle w:val="32"/>
        <w:numPr>
          <w:ilvl w:val="0"/>
          <w:numId w:val="225"/>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证书的唯一标识号；</w:t>
      </w:r>
    </w:p>
    <w:p w14:paraId="0FDD2D6F">
      <w:pPr>
        <w:pStyle w:val="8"/>
        <w:tabs>
          <w:tab w:val="left" w:pos="681"/>
        </w:tabs>
        <w:topLinePunct/>
        <w:snapToGrid w:val="0"/>
        <w:spacing w:beforeLines="25" w:line="300" w:lineRule="auto"/>
        <w:ind w:left="113" w:firstLine="0"/>
        <w:jc w:val="both"/>
        <w:rPr>
          <w:kern w:val="2"/>
          <w:szCs w:val="21"/>
        </w:rPr>
      </w:pPr>
      <w:r>
        <w:rPr>
          <w:kern w:val="2"/>
          <w:szCs w:val="21"/>
        </w:rPr>
        <w:t>4.</w:t>
      </w:r>
      <w:r>
        <w:rPr>
          <w:kern w:val="2"/>
          <w:szCs w:val="21"/>
        </w:rPr>
        <w:tab/>
      </w:r>
      <w:r>
        <w:rPr>
          <w:kern w:val="2"/>
          <w:szCs w:val="21"/>
        </w:rPr>
        <w:t>第31(2)条所述的制造商</w:t>
      </w:r>
      <w:r>
        <w:rPr>
          <w:rFonts w:hint="eastAsia"/>
          <w:kern w:val="2"/>
          <w:szCs w:val="21"/>
        </w:rPr>
        <w:t>单</w:t>
      </w:r>
      <w:r>
        <w:rPr>
          <w:kern w:val="2"/>
          <w:szCs w:val="21"/>
        </w:rPr>
        <w:t>一注册号；</w:t>
      </w:r>
    </w:p>
    <w:p w14:paraId="183E049E">
      <w:pPr>
        <w:pStyle w:val="32"/>
        <w:numPr>
          <w:ilvl w:val="0"/>
          <w:numId w:val="226"/>
        </w:numPr>
        <w:tabs>
          <w:tab w:val="left" w:pos="682"/>
        </w:tabs>
        <w:topLinePunct/>
        <w:snapToGrid w:val="0"/>
        <w:spacing w:beforeLines="25" w:line="300" w:lineRule="auto"/>
        <w:jc w:val="both"/>
        <w:rPr>
          <w:rFonts w:ascii="Times New Roman" w:hAnsi="Times New Roman"/>
          <w:kern w:val="2"/>
          <w:szCs w:val="21"/>
        </w:rPr>
      </w:pPr>
      <w:r>
        <w:rPr>
          <w:rFonts w:hint="eastAsia" w:ascii="Times New Roman" w:hAnsi="Times New Roman"/>
          <w:kern w:val="2"/>
          <w:szCs w:val="21"/>
        </w:rPr>
        <w:t>颁发</w:t>
      </w:r>
      <w:r>
        <w:rPr>
          <w:rFonts w:ascii="Times New Roman" w:hAnsi="Times New Roman"/>
          <w:kern w:val="2"/>
          <w:szCs w:val="21"/>
        </w:rPr>
        <w:t>日期；</w:t>
      </w:r>
    </w:p>
    <w:p w14:paraId="0DC29656">
      <w:pPr>
        <w:pStyle w:val="32"/>
        <w:numPr>
          <w:ilvl w:val="0"/>
          <w:numId w:val="226"/>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失效日期；</w:t>
      </w:r>
    </w:p>
    <w:p w14:paraId="4E06E8D6">
      <w:pPr>
        <w:pStyle w:val="32"/>
        <w:numPr>
          <w:ilvl w:val="0"/>
          <w:numId w:val="226"/>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符合第I部分第4节规定的器械明确标识所需数据（如适用）；</w:t>
      </w:r>
    </w:p>
    <w:p w14:paraId="6E3692C6">
      <w:pPr>
        <w:pStyle w:val="8"/>
        <w:tabs>
          <w:tab w:val="left" w:pos="681"/>
        </w:tabs>
        <w:topLinePunct/>
        <w:snapToGrid w:val="0"/>
        <w:spacing w:beforeLines="25" w:line="300" w:lineRule="auto"/>
        <w:ind w:left="113" w:firstLine="0"/>
        <w:jc w:val="both"/>
        <w:rPr>
          <w:kern w:val="2"/>
          <w:szCs w:val="21"/>
        </w:rPr>
      </w:pPr>
      <w:r>
        <w:rPr>
          <w:kern w:val="2"/>
          <w:szCs w:val="21"/>
        </w:rPr>
        <w:t>8.</w:t>
      </w:r>
      <w:r>
        <w:rPr>
          <w:kern w:val="2"/>
          <w:szCs w:val="21"/>
        </w:rPr>
        <w:tab/>
      </w:r>
      <w:r>
        <w:rPr>
          <w:kern w:val="2"/>
          <w:szCs w:val="21"/>
        </w:rPr>
        <w:t>如适用，参照在第I章第8节指定的先前证书；</w:t>
      </w:r>
    </w:p>
    <w:p w14:paraId="51D415CB">
      <w:pPr>
        <w:pStyle w:val="32"/>
        <w:numPr>
          <w:ilvl w:val="0"/>
          <w:numId w:val="227"/>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符合所进行符合性评估要求的本法规和相关附录参考资料；</w:t>
      </w:r>
    </w:p>
    <w:p w14:paraId="385D6EE2">
      <w:pPr>
        <w:pStyle w:val="32"/>
        <w:numPr>
          <w:ilvl w:val="0"/>
          <w:numId w:val="22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所进行的检验和试验，例如相关CS、协调标准、检验报告和审核报告的参考资料；</w:t>
      </w:r>
    </w:p>
    <w:p w14:paraId="14336726">
      <w:pPr>
        <w:pStyle w:val="32"/>
        <w:numPr>
          <w:ilvl w:val="0"/>
          <w:numId w:val="22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涵盖器械上市所需技术文件相关部分或其他证书的参考资料（如适用）；</w:t>
      </w:r>
    </w:p>
    <w:p w14:paraId="5AE1F565">
      <w:pPr>
        <w:pStyle w:val="32"/>
        <w:numPr>
          <w:ilvl w:val="0"/>
          <w:numId w:val="22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公告机构的监管信息（如适用）；</w:t>
      </w:r>
    </w:p>
    <w:p w14:paraId="4A9E86E9">
      <w:pPr>
        <w:pStyle w:val="32"/>
        <w:numPr>
          <w:ilvl w:val="0"/>
          <w:numId w:val="22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公告机构针对相关附录的符合性评估结论；</w:t>
      </w:r>
    </w:p>
    <w:p w14:paraId="643865C6">
      <w:pPr>
        <w:pStyle w:val="32"/>
        <w:numPr>
          <w:ilvl w:val="0"/>
          <w:numId w:val="22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证书有效性的条件或限制；</w:t>
      </w:r>
    </w:p>
    <w:p w14:paraId="0EF6EB98">
      <w:pPr>
        <w:pStyle w:val="32"/>
        <w:numPr>
          <w:ilvl w:val="0"/>
          <w:numId w:val="22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符合相关国家法律要求且具有法律约束力的公告机构签名。</w:t>
      </w:r>
    </w:p>
    <w:p w14:paraId="20233358">
      <w:pPr>
        <w:snapToGrid w:val="0"/>
        <w:spacing w:beforeLines="25" w:line="300" w:lineRule="auto"/>
        <w:jc w:val="center"/>
        <w:rPr>
          <w:rFonts w:ascii="Times New Roman" w:hAnsi="Times New Roman"/>
          <w:szCs w:val="21"/>
        </w:rPr>
      </w:pPr>
      <w:r>
        <w:rPr>
          <w:rFonts w:hint="eastAsia" w:ascii="Times New Roman" w:hAnsi="Times New Roman"/>
          <w:szCs w:val="21"/>
        </w:rPr>
        <w:t>_________________</w:t>
      </w:r>
    </w:p>
    <w:p w14:paraId="2FB426A9">
      <w:pPr>
        <w:pStyle w:val="2"/>
        <w:spacing w:beforeLines="25" w:line="300" w:lineRule="auto"/>
        <w:rPr>
          <w:bCs/>
          <w:sz w:val="24"/>
          <w:szCs w:val="24"/>
        </w:rPr>
      </w:pPr>
      <w:bookmarkStart w:id="221" w:name="_Toc477512428"/>
      <w:r>
        <w:rPr>
          <w:sz w:val="21"/>
          <w:szCs w:val="21"/>
        </w:rPr>
        <w:br w:type="page"/>
      </w:r>
      <w:r>
        <w:rPr>
          <w:sz w:val="24"/>
          <w:szCs w:val="24"/>
        </w:rPr>
        <w:t>附录XIII</w:t>
      </w:r>
      <w:r>
        <w:rPr>
          <w:sz w:val="24"/>
          <w:szCs w:val="24"/>
        </w:rPr>
        <w:br w:type="textWrapping"/>
      </w:r>
      <w:bookmarkEnd w:id="221"/>
      <w:bookmarkStart w:id="222" w:name="_Toc477512429"/>
      <w:r>
        <w:rPr>
          <w:sz w:val="24"/>
          <w:szCs w:val="24"/>
        </w:rPr>
        <w:t>定制器械的步骤</w:t>
      </w:r>
      <w:bookmarkEnd w:id="222"/>
    </w:p>
    <w:p w14:paraId="40634115">
      <w:pPr>
        <w:pStyle w:val="32"/>
        <w:numPr>
          <w:ilvl w:val="0"/>
          <w:numId w:val="228"/>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对于定制器械，制造商或其授权代表应起草声明，包含以下信息：</w:t>
      </w:r>
    </w:p>
    <w:p w14:paraId="64D55CE4">
      <w:pPr>
        <w:pStyle w:val="32"/>
        <w:numPr>
          <w:ilvl w:val="1"/>
          <w:numId w:val="228"/>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制造商的名称和地址，以及其他生产场所，</w:t>
      </w:r>
    </w:p>
    <w:p w14:paraId="50D2EBE0">
      <w:pPr>
        <w:pStyle w:val="32"/>
        <w:numPr>
          <w:ilvl w:val="1"/>
          <w:numId w:val="228"/>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如适用，法定代表的姓名和地址，</w:t>
      </w:r>
    </w:p>
    <w:p w14:paraId="7EFB1A3C">
      <w:pPr>
        <w:pStyle w:val="32"/>
        <w:numPr>
          <w:ilvl w:val="1"/>
          <w:numId w:val="228"/>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标识问题器械的数据，</w:t>
      </w:r>
    </w:p>
    <w:p w14:paraId="76DB4FE2">
      <w:pPr>
        <w:pStyle w:val="32"/>
        <w:numPr>
          <w:ilvl w:val="1"/>
          <w:numId w:val="228"/>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声明器械经用于特定患者或使用者，按名称首字母缩写或数字代码标识，</w:t>
      </w:r>
    </w:p>
    <w:p w14:paraId="61036C29">
      <w:pPr>
        <w:pStyle w:val="32"/>
        <w:numPr>
          <w:ilvl w:val="1"/>
          <w:numId w:val="228"/>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由国家法律因其专业资格授权制定规定人士的姓名，及有关医疗机构的名称（如适用），</w:t>
      </w:r>
    </w:p>
    <w:p w14:paraId="6BDAECF3">
      <w:pPr>
        <w:pStyle w:val="32"/>
        <w:numPr>
          <w:ilvl w:val="1"/>
          <w:numId w:val="228"/>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规定中所述产品的具体特征，</w:t>
      </w:r>
    </w:p>
    <w:p w14:paraId="13483A43">
      <w:pPr>
        <w:pStyle w:val="32"/>
        <w:numPr>
          <w:ilvl w:val="1"/>
          <w:numId w:val="228"/>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声明问题器械符合附录I所述通用安全与性能要求，说明未完全符合的通用安全与性能要求（如适用），及理由，</w:t>
      </w:r>
    </w:p>
    <w:p w14:paraId="60706C93">
      <w:pPr>
        <w:pStyle w:val="32"/>
        <w:numPr>
          <w:ilvl w:val="1"/>
          <w:numId w:val="228"/>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该器械如</w:t>
      </w:r>
      <w:r>
        <w:rPr>
          <w:rFonts w:ascii="Times New Roman" w:hAnsi="Times New Roman"/>
          <w:kern w:val="2"/>
          <w:szCs w:val="21"/>
          <w:lang w:val="en-US"/>
        </w:rPr>
        <w:t>欧盟</w:t>
      </w:r>
      <w:r>
        <w:rPr>
          <w:rFonts w:ascii="Times New Roman" w:hAnsi="Times New Roman"/>
          <w:kern w:val="2"/>
          <w:szCs w:val="21"/>
        </w:rPr>
        <w:t>委员会第722/2012号法规所述包含药械组合，人血液或血浆的衍生物，人或动物来源的组织或细胞，。</w:t>
      </w:r>
    </w:p>
    <w:p w14:paraId="1487BC65">
      <w:pPr>
        <w:pStyle w:val="32"/>
        <w:numPr>
          <w:ilvl w:val="0"/>
          <w:numId w:val="228"/>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制造商应保证国家主管机构可随时查阅文档，说明生产场所，帮助理解产品的设计、生产和性能（包括预期性能），以便允许评估是否符合本法规要求进行评估。</w:t>
      </w:r>
    </w:p>
    <w:p w14:paraId="7FCDD755">
      <w:pPr>
        <w:pStyle w:val="8"/>
        <w:numPr>
          <w:ilvl w:val="0"/>
          <w:numId w:val="228"/>
        </w:numPr>
        <w:tabs>
          <w:tab w:val="left" w:pos="658"/>
        </w:tabs>
        <w:topLinePunct/>
        <w:snapToGrid w:val="0"/>
        <w:spacing w:beforeLines="25" w:line="300" w:lineRule="auto"/>
        <w:jc w:val="both"/>
        <w:rPr>
          <w:kern w:val="2"/>
          <w:szCs w:val="21"/>
        </w:rPr>
      </w:pPr>
      <w:r>
        <w:rPr>
          <w:kern w:val="2"/>
          <w:szCs w:val="21"/>
        </w:rPr>
        <w:t>制造商应采取一切必要的措施，确保依据生产工艺生产出的产品在生产过程中遵守第2节所述文件中的要求；</w:t>
      </w:r>
    </w:p>
    <w:p w14:paraId="2528E273">
      <w:pPr>
        <w:pStyle w:val="32"/>
        <w:numPr>
          <w:ilvl w:val="0"/>
          <w:numId w:val="228"/>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本附录有关声明中所含信息应在器械上市后保存至少</w:t>
      </w:r>
      <w:r>
        <w:rPr>
          <w:rFonts w:hint="eastAsia" w:ascii="Times New Roman" w:hAnsi="Times New Roman"/>
          <w:kern w:val="2"/>
          <w:szCs w:val="21"/>
        </w:rPr>
        <w:t>10</w:t>
      </w:r>
      <w:r>
        <w:rPr>
          <w:rFonts w:ascii="Times New Roman" w:hAnsi="Times New Roman"/>
          <w:kern w:val="2"/>
          <w:szCs w:val="21"/>
        </w:rPr>
        <w:t>年的时间。对于植入性器械，此期限应至少为15年。</w:t>
      </w:r>
    </w:p>
    <w:p w14:paraId="2A931B22">
      <w:pPr>
        <w:pStyle w:val="8"/>
        <w:topLinePunct/>
        <w:snapToGrid w:val="0"/>
        <w:spacing w:beforeLines="25" w:line="300" w:lineRule="auto"/>
        <w:ind w:firstLine="0"/>
        <w:jc w:val="both"/>
        <w:rPr>
          <w:kern w:val="2"/>
          <w:szCs w:val="21"/>
        </w:rPr>
      </w:pPr>
      <w:r>
        <w:rPr>
          <w:kern w:val="2"/>
          <w:szCs w:val="21"/>
        </w:rPr>
        <w:t>附录</w:t>
      </w:r>
      <w:r>
        <w:rPr>
          <w:rFonts w:hint="eastAsia"/>
          <w:kern w:val="2"/>
          <w:szCs w:val="21"/>
        </w:rPr>
        <w:t>IX</w:t>
      </w:r>
      <w:r>
        <w:rPr>
          <w:kern w:val="2"/>
          <w:szCs w:val="21"/>
        </w:rPr>
        <w:t>第</w:t>
      </w:r>
      <w:r>
        <w:rPr>
          <w:rFonts w:hint="eastAsia"/>
          <w:kern w:val="2"/>
          <w:szCs w:val="21"/>
        </w:rPr>
        <w:t>8</w:t>
      </w:r>
      <w:r>
        <w:rPr>
          <w:kern w:val="2"/>
          <w:szCs w:val="21"/>
        </w:rPr>
        <w:t>节应适用。</w:t>
      </w:r>
    </w:p>
    <w:p w14:paraId="623B0354">
      <w:pPr>
        <w:pStyle w:val="32"/>
        <w:numPr>
          <w:ilvl w:val="0"/>
          <w:numId w:val="228"/>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制造商应承诺审查并记录在生产后阶段中获得的经验，包括附录XIV第B部分中所述的PMCF，并采取适当的手段落实任何必要的纠正措施。</w:t>
      </w:r>
      <w:r>
        <w:rPr>
          <w:rFonts w:hint="eastAsia" w:ascii="Times New Roman" w:hAnsi="Times New Roman"/>
          <w:kern w:val="2"/>
          <w:szCs w:val="21"/>
        </w:rPr>
        <w:t>该</w:t>
      </w:r>
      <w:r>
        <w:rPr>
          <w:rFonts w:ascii="Times New Roman" w:hAnsi="Times New Roman"/>
          <w:kern w:val="2"/>
          <w:szCs w:val="21"/>
        </w:rPr>
        <w:t>承诺应包括制造商在获悉任何严重事件和/或现场安全纠正措施之后，立即根据第87(1)条向主管机构发送通知的义务。</w:t>
      </w:r>
    </w:p>
    <w:p w14:paraId="3F36D773">
      <w:pPr>
        <w:snapToGrid w:val="0"/>
        <w:spacing w:beforeLines="25" w:line="300" w:lineRule="auto"/>
        <w:jc w:val="center"/>
        <w:rPr>
          <w:rFonts w:ascii="Times New Roman" w:hAnsi="Times New Roman"/>
          <w:szCs w:val="21"/>
        </w:rPr>
      </w:pPr>
      <w:r>
        <w:rPr>
          <w:rFonts w:hint="eastAsia" w:ascii="Times New Roman" w:hAnsi="Times New Roman"/>
          <w:szCs w:val="21"/>
        </w:rPr>
        <w:t>_______________</w:t>
      </w:r>
    </w:p>
    <w:p w14:paraId="5386AEC0">
      <w:pPr>
        <w:pStyle w:val="2"/>
        <w:spacing w:beforeLines="25" w:line="300" w:lineRule="auto"/>
        <w:rPr>
          <w:sz w:val="24"/>
          <w:szCs w:val="24"/>
        </w:rPr>
      </w:pPr>
      <w:bookmarkStart w:id="223" w:name="_Toc477512430"/>
      <w:r>
        <w:rPr>
          <w:sz w:val="21"/>
          <w:szCs w:val="21"/>
        </w:rPr>
        <w:br w:type="page"/>
      </w:r>
      <w:r>
        <w:rPr>
          <w:sz w:val="24"/>
          <w:szCs w:val="24"/>
        </w:rPr>
        <w:t>附录XIV</w:t>
      </w:r>
      <w:r>
        <w:rPr>
          <w:sz w:val="24"/>
          <w:szCs w:val="24"/>
        </w:rPr>
        <w:br w:type="textWrapping"/>
      </w:r>
      <w:r>
        <w:rPr>
          <w:sz w:val="24"/>
          <w:szCs w:val="24"/>
        </w:rPr>
        <w:t>临床评价和上市后临床</w:t>
      </w:r>
      <w:bookmarkEnd w:id="223"/>
      <w:r>
        <w:rPr>
          <w:rFonts w:hint="eastAsia"/>
          <w:sz w:val="24"/>
          <w:szCs w:val="24"/>
        </w:rPr>
        <w:t>跟踪</w:t>
      </w:r>
    </w:p>
    <w:p w14:paraId="17D5160C">
      <w:pPr>
        <w:pStyle w:val="4"/>
        <w:topLinePunct/>
        <w:snapToGrid w:val="0"/>
        <w:spacing w:beforeLines="25" w:line="300" w:lineRule="auto"/>
        <w:ind w:left="0" w:firstLine="0"/>
        <w:jc w:val="center"/>
        <w:rPr>
          <w:rFonts w:ascii="Times New Roman" w:hAnsi="Times New Roman"/>
          <w:kern w:val="2"/>
          <w:sz w:val="21"/>
          <w:szCs w:val="21"/>
        </w:rPr>
      </w:pPr>
      <w:r>
        <w:rPr>
          <w:rFonts w:ascii="Times New Roman" w:hAnsi="Times New Roman"/>
          <w:kern w:val="2"/>
          <w:sz w:val="21"/>
          <w:szCs w:val="21"/>
        </w:rPr>
        <w:t>第A部分：</w:t>
      </w:r>
    </w:p>
    <w:p w14:paraId="308832BD">
      <w:pPr>
        <w:pStyle w:val="4"/>
        <w:topLinePunct/>
        <w:snapToGrid w:val="0"/>
        <w:spacing w:beforeLines="25" w:line="300" w:lineRule="auto"/>
        <w:ind w:left="0" w:firstLine="0"/>
        <w:jc w:val="center"/>
        <w:rPr>
          <w:rFonts w:ascii="Times New Roman" w:hAnsi="Times New Roman"/>
          <w:b w:val="0"/>
          <w:bCs w:val="0"/>
          <w:kern w:val="2"/>
          <w:sz w:val="21"/>
          <w:szCs w:val="21"/>
        </w:rPr>
      </w:pPr>
      <w:r>
        <w:rPr>
          <w:rFonts w:ascii="Times New Roman" w:hAnsi="Times New Roman"/>
          <w:kern w:val="2"/>
          <w:sz w:val="21"/>
          <w:szCs w:val="21"/>
        </w:rPr>
        <w:t>临床评价</w:t>
      </w:r>
    </w:p>
    <w:p w14:paraId="4683F5CB">
      <w:pPr>
        <w:pStyle w:val="32"/>
        <w:numPr>
          <w:ilvl w:val="0"/>
          <w:numId w:val="229"/>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如需计划、不断进行并记录临床评价，制造商应：</w:t>
      </w:r>
    </w:p>
    <w:p w14:paraId="54636B2B">
      <w:pPr>
        <w:pStyle w:val="32"/>
        <w:numPr>
          <w:ilvl w:val="1"/>
          <w:numId w:val="229"/>
        </w:numPr>
        <w:tabs>
          <w:tab w:val="left" w:pos="1248"/>
        </w:tabs>
        <w:topLinePunct/>
        <w:snapToGrid w:val="0"/>
        <w:spacing w:beforeLines="25" w:line="300" w:lineRule="auto"/>
        <w:jc w:val="both"/>
        <w:rPr>
          <w:rFonts w:ascii="Times New Roman" w:hAnsi="Times New Roman"/>
          <w:kern w:val="2"/>
          <w:szCs w:val="21"/>
        </w:rPr>
      </w:pPr>
      <w:bookmarkStart w:id="224" w:name="(a)_establish_and_update_a_clinical_eval"/>
      <w:bookmarkEnd w:id="224"/>
      <w:r>
        <w:rPr>
          <w:rFonts w:ascii="Times New Roman" w:hAnsi="Times New Roman"/>
          <w:kern w:val="2"/>
          <w:szCs w:val="21"/>
        </w:rPr>
        <w:t>建立并更新临床评价计划，该计划至少应包括：</w:t>
      </w:r>
    </w:p>
    <w:p w14:paraId="1B9CB5FC">
      <w:pPr>
        <w:pStyle w:val="32"/>
        <w:numPr>
          <w:ilvl w:val="2"/>
          <w:numId w:val="229"/>
        </w:numPr>
        <w:tabs>
          <w:tab w:val="left" w:pos="1816"/>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标识通用安全与性能要求（需要相关临床数据的支持）；</w:t>
      </w:r>
    </w:p>
    <w:p w14:paraId="6F17D165">
      <w:pPr>
        <w:pStyle w:val="32"/>
        <w:numPr>
          <w:ilvl w:val="2"/>
          <w:numId w:val="229"/>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器械的预期用途说明；</w:t>
      </w:r>
    </w:p>
    <w:p w14:paraId="6453EF33">
      <w:pPr>
        <w:pStyle w:val="32"/>
        <w:numPr>
          <w:ilvl w:val="2"/>
          <w:numId w:val="229"/>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明确预期使用者以及明确适应症和禁忌症；</w:t>
      </w:r>
    </w:p>
    <w:p w14:paraId="04E66C6A">
      <w:pPr>
        <w:pStyle w:val="32"/>
        <w:numPr>
          <w:ilvl w:val="2"/>
          <w:numId w:val="229"/>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对患者预期临床益处的详细说明以及相关和指定的临床结果参数；</w:t>
      </w:r>
    </w:p>
    <w:p w14:paraId="01690930">
      <w:pPr>
        <w:pStyle w:val="32"/>
        <w:numPr>
          <w:ilvl w:val="2"/>
          <w:numId w:val="229"/>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检验临床安全性的定性和定量方面的方法说明，并明确说明对剩余风险和副作用的确定方法；</w:t>
      </w:r>
    </w:p>
    <w:p w14:paraId="09E9B8E6">
      <w:pPr>
        <w:pStyle w:val="32"/>
        <w:numPr>
          <w:ilvl w:val="2"/>
          <w:numId w:val="229"/>
        </w:numPr>
        <w:tabs>
          <w:tab w:val="left" w:pos="181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根据医学中最先进的技术确定器械各种适应症和预期用途的收益风险比的可接受性所使用的参数的指示性清单和说明；</w:t>
      </w:r>
    </w:p>
    <w:p w14:paraId="390267A2">
      <w:pPr>
        <w:pStyle w:val="32"/>
        <w:numPr>
          <w:ilvl w:val="2"/>
          <w:numId w:val="229"/>
        </w:numPr>
        <w:tabs>
          <w:tab w:val="left" w:pos="1815"/>
        </w:tabs>
        <w:topLinePunct/>
        <w:snapToGrid w:val="0"/>
        <w:spacing w:beforeLines="25" w:line="300" w:lineRule="auto"/>
        <w:ind w:left="1814" w:hanging="567"/>
        <w:jc w:val="both"/>
        <w:rPr>
          <w:rFonts w:ascii="Times New Roman" w:hAnsi="Times New Roman"/>
          <w:kern w:val="2"/>
          <w:szCs w:val="21"/>
        </w:rPr>
      </w:pPr>
      <w:r>
        <w:rPr>
          <w:rFonts w:ascii="Times New Roman" w:hAnsi="Times New Roman"/>
          <w:kern w:val="2"/>
          <w:szCs w:val="21"/>
        </w:rPr>
        <w:t>如何解决特定方面（如药物、非活性动物或人体组织的使用）相关的风险利益问题的指示；</w:t>
      </w:r>
    </w:p>
    <w:p w14:paraId="205913F5">
      <w:pPr>
        <w:pStyle w:val="32"/>
        <w:numPr>
          <w:ilvl w:val="2"/>
          <w:numId w:val="229"/>
        </w:numPr>
        <w:tabs>
          <w:tab w:val="left" w:pos="1815"/>
        </w:tabs>
        <w:topLinePunct/>
        <w:snapToGrid w:val="0"/>
        <w:spacing w:beforeLines="25" w:line="300" w:lineRule="auto"/>
        <w:ind w:left="1814" w:hanging="567"/>
        <w:jc w:val="both"/>
        <w:rPr>
          <w:rFonts w:ascii="Times New Roman" w:hAnsi="Times New Roman"/>
          <w:kern w:val="2"/>
          <w:szCs w:val="21"/>
        </w:rPr>
      </w:pPr>
      <w:r>
        <w:rPr>
          <w:rFonts w:ascii="Times New Roman" w:hAnsi="Times New Roman"/>
          <w:kern w:val="2"/>
          <w:szCs w:val="21"/>
        </w:rPr>
        <w:t>一份用于指示从探索性研究（如首次人体研究、可行性研究、先导研究）到验证性研究（如关键的临床研究）进展过程的临床研发计划，以及符合本附录第B部分所述的PMCF，此PMCF需列出里程碑并说明潜在验收标准；</w:t>
      </w:r>
    </w:p>
    <w:p w14:paraId="765F2644">
      <w:pPr>
        <w:pStyle w:val="32"/>
        <w:numPr>
          <w:ilvl w:val="1"/>
          <w:numId w:val="22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确定器械相关的可用临床资料及其预期用途，以及通过系统的科学文献检索找到临床证据的缺口；</w:t>
      </w:r>
    </w:p>
    <w:p w14:paraId="30E53356">
      <w:pPr>
        <w:pStyle w:val="32"/>
        <w:numPr>
          <w:ilvl w:val="1"/>
          <w:numId w:val="22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通过评估临床数据在构建器械安全性和性能方面的适用性</w:t>
      </w:r>
      <w:r>
        <w:rPr>
          <w:rFonts w:hint="eastAsia" w:ascii="Times New Roman" w:hAnsi="Times New Roman"/>
          <w:kern w:val="2"/>
          <w:szCs w:val="21"/>
        </w:rPr>
        <w:t>，</w:t>
      </w:r>
      <w:r>
        <w:rPr>
          <w:rFonts w:ascii="Times New Roman" w:hAnsi="Times New Roman"/>
          <w:kern w:val="2"/>
          <w:szCs w:val="21"/>
        </w:rPr>
        <w:t>对全部相关临床数据</w:t>
      </w:r>
      <w:r>
        <w:rPr>
          <w:rFonts w:hint="eastAsia" w:ascii="Times New Roman" w:hAnsi="Times New Roman"/>
          <w:kern w:val="2"/>
          <w:szCs w:val="21"/>
        </w:rPr>
        <w:t>做出</w:t>
      </w:r>
      <w:r>
        <w:rPr>
          <w:rFonts w:ascii="Times New Roman" w:hAnsi="Times New Roman"/>
          <w:kern w:val="2"/>
          <w:szCs w:val="21"/>
        </w:rPr>
        <w:t>评价；</w:t>
      </w:r>
    </w:p>
    <w:p w14:paraId="482E57A5">
      <w:pPr>
        <w:pStyle w:val="32"/>
        <w:numPr>
          <w:ilvl w:val="1"/>
          <w:numId w:val="22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lang w:val="en-US"/>
        </w:rPr>
        <w:t>根据临床研发计划</w:t>
      </w:r>
      <w:r>
        <w:rPr>
          <w:rFonts w:hint="eastAsia" w:ascii="Times New Roman" w:hAnsi="Times New Roman"/>
          <w:kern w:val="2"/>
          <w:szCs w:val="21"/>
          <w:lang w:val="en-US"/>
        </w:rPr>
        <w:t>，</w:t>
      </w:r>
      <w:r>
        <w:rPr>
          <w:rFonts w:ascii="Times New Roman" w:hAnsi="Times New Roman"/>
          <w:kern w:val="2"/>
          <w:szCs w:val="21"/>
        </w:rPr>
        <w:t>通过合理设计的临床研究</w:t>
      </w:r>
      <w:r>
        <w:rPr>
          <w:rFonts w:hint="eastAsia" w:ascii="Times New Roman" w:hAnsi="Times New Roman"/>
          <w:kern w:val="2"/>
          <w:szCs w:val="21"/>
        </w:rPr>
        <w:t>，</w:t>
      </w:r>
      <w:r>
        <w:rPr>
          <w:rFonts w:ascii="Times New Roman" w:hAnsi="Times New Roman"/>
          <w:kern w:val="2"/>
          <w:szCs w:val="21"/>
        </w:rPr>
        <w:t>生成</w:t>
      </w:r>
      <w:r>
        <w:rPr>
          <w:rFonts w:hint="eastAsia" w:ascii="Times New Roman" w:hAnsi="Times New Roman"/>
          <w:kern w:val="2"/>
          <w:szCs w:val="21"/>
        </w:rPr>
        <w:t>解决现存问题所需的</w:t>
      </w:r>
      <w:r>
        <w:rPr>
          <w:rFonts w:ascii="Times New Roman" w:hAnsi="Times New Roman"/>
          <w:kern w:val="2"/>
          <w:szCs w:val="21"/>
        </w:rPr>
        <w:t>任何新的或</w:t>
      </w:r>
      <w:r>
        <w:rPr>
          <w:rFonts w:hint="eastAsia" w:ascii="Times New Roman" w:hAnsi="Times New Roman"/>
          <w:kern w:val="2"/>
          <w:szCs w:val="21"/>
        </w:rPr>
        <w:t>额外的</w:t>
      </w:r>
      <w:r>
        <w:rPr>
          <w:rFonts w:ascii="Times New Roman" w:hAnsi="Times New Roman"/>
          <w:kern w:val="2"/>
          <w:szCs w:val="21"/>
        </w:rPr>
        <w:t>临床数据；</w:t>
      </w:r>
    </w:p>
    <w:p w14:paraId="09DDB938">
      <w:pPr>
        <w:pStyle w:val="32"/>
        <w:numPr>
          <w:ilvl w:val="1"/>
          <w:numId w:val="229"/>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分析所有相关临床数据，以便得出器械的安全和临床性能（包括临床益处）方面的结论。</w:t>
      </w:r>
    </w:p>
    <w:p w14:paraId="79E86E9F">
      <w:pPr>
        <w:pStyle w:val="32"/>
        <w:tabs>
          <w:tab w:val="left" w:pos="682"/>
        </w:tabs>
        <w:topLinePunct/>
        <w:snapToGrid w:val="0"/>
        <w:spacing w:beforeLines="25" w:line="300" w:lineRule="auto"/>
        <w:ind w:left="638" w:leftChars="54" w:hanging="525" w:hangingChars="250"/>
        <w:jc w:val="both"/>
        <w:rPr>
          <w:rFonts w:ascii="Times New Roman" w:hAnsi="Times New Roman"/>
          <w:kern w:val="2"/>
          <w:szCs w:val="21"/>
        </w:rPr>
      </w:pPr>
      <w:r>
        <w:rPr>
          <w:rFonts w:ascii="Times New Roman" w:hAnsi="Times New Roman"/>
          <w:kern w:val="2"/>
          <w:szCs w:val="21"/>
        </w:rPr>
        <w:t>2.</w:t>
      </w:r>
      <w:r>
        <w:rPr>
          <w:rFonts w:ascii="Times New Roman" w:hAnsi="Times New Roman"/>
          <w:kern w:val="2"/>
          <w:szCs w:val="21"/>
        </w:rPr>
        <w:tab/>
      </w:r>
      <w:r>
        <w:rPr>
          <w:rFonts w:ascii="Times New Roman" w:hAnsi="Times New Roman"/>
          <w:kern w:val="2"/>
          <w:szCs w:val="21"/>
        </w:rPr>
        <w:t>临床评价应深入且客观，并同时兼顾有利和不利数据。其深度和程度应与所述器械的性质、分类、预期用途、制造商有关该器械的声明和风险相称。</w:t>
      </w:r>
    </w:p>
    <w:p w14:paraId="499FCA5F">
      <w:pPr>
        <w:pStyle w:val="8"/>
        <w:tabs>
          <w:tab w:val="left" w:pos="681"/>
        </w:tabs>
        <w:topLinePunct/>
        <w:snapToGrid w:val="0"/>
        <w:spacing w:beforeLines="25" w:line="300" w:lineRule="auto"/>
        <w:ind w:hanging="568"/>
        <w:jc w:val="both"/>
        <w:rPr>
          <w:kern w:val="2"/>
          <w:szCs w:val="21"/>
        </w:rPr>
      </w:pPr>
      <w:r>
        <w:rPr>
          <w:kern w:val="2"/>
          <w:szCs w:val="21"/>
        </w:rPr>
        <w:t>3.</w:t>
      </w:r>
      <w:r>
        <w:rPr>
          <w:kern w:val="2"/>
          <w:szCs w:val="21"/>
        </w:rPr>
        <w:tab/>
      </w:r>
      <w:r>
        <w:rPr>
          <w:kern w:val="2"/>
          <w:szCs w:val="21"/>
        </w:rPr>
        <w:t>临床评价只能基于可证明与所述器械同等的相关器械的临床数据。在证明同等性的过程中应考虑以下技术、生物和临床特点：</w:t>
      </w:r>
    </w:p>
    <w:p w14:paraId="50C5627F">
      <w:pPr>
        <w:pStyle w:val="32"/>
        <w:numPr>
          <w:ilvl w:val="1"/>
          <w:numId w:val="23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技术特点：具有类似设计的器械；在类似条件下使用；具有类似规格和特性，包括物理化学特性，如能源强度、拉伸强度、粘度、表面特征、波长、软件算法等；使用类似部署方法（如相关）；具有类似工作原理和关键性能要求。</w:t>
      </w:r>
    </w:p>
    <w:p w14:paraId="3E5DDE7D">
      <w:pPr>
        <w:pStyle w:val="32"/>
        <w:numPr>
          <w:ilvl w:val="1"/>
          <w:numId w:val="23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生物特点：对于类似类型、类似接触时间和类似的物质释放特征，包括降解产物和可溶出物，该器械使用相同的材料或物质接触相同的人体组织或体液。</w:t>
      </w:r>
    </w:p>
    <w:p w14:paraId="0512A87F">
      <w:pPr>
        <w:pStyle w:val="32"/>
        <w:numPr>
          <w:ilvl w:val="1"/>
          <w:numId w:val="230"/>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临床特点：该器械用于同一临床情况或目的，包括类似的疾病严重程度和阶段，针对身体的同一部位，用于类似人群，包括年龄、解剖学和生理学；具有相同类型的使用者，具有根据预期临床效果得出的类似的针对某一特定预期用途的相关关键性能。</w:t>
      </w:r>
    </w:p>
    <w:p w14:paraId="1D4FB2B8">
      <w:pPr>
        <w:pStyle w:val="8"/>
        <w:topLinePunct/>
        <w:snapToGrid w:val="0"/>
        <w:spacing w:beforeLines="25" w:line="300" w:lineRule="auto"/>
        <w:ind w:firstLine="0"/>
        <w:jc w:val="both"/>
        <w:rPr>
          <w:kern w:val="2"/>
          <w:szCs w:val="21"/>
        </w:rPr>
      </w:pPr>
      <w:r>
        <w:rPr>
          <w:kern w:val="2"/>
          <w:szCs w:val="21"/>
        </w:rPr>
        <w:t>第一段列出的特点的类似程度应使得器械的安全性和临床性能方面</w:t>
      </w:r>
      <w:r>
        <w:rPr>
          <w:rFonts w:hint="eastAsia"/>
          <w:kern w:val="2"/>
          <w:szCs w:val="21"/>
        </w:rPr>
        <w:t>无</w:t>
      </w:r>
      <w:r>
        <w:rPr>
          <w:kern w:val="2"/>
          <w:szCs w:val="21"/>
        </w:rPr>
        <w:t>显著的临床差异。对等同性的考虑必须始终基于合理的科学根据。为便于考察等同性，必须能够清楚地表明制造商有充分的条件获取具有等同性的相关器械上数据。</w:t>
      </w:r>
    </w:p>
    <w:p w14:paraId="70B0A6E5">
      <w:pPr>
        <w:pStyle w:val="8"/>
        <w:tabs>
          <w:tab w:val="left" w:pos="681"/>
        </w:tabs>
        <w:topLinePunct/>
        <w:snapToGrid w:val="0"/>
        <w:spacing w:beforeLines="25" w:line="300" w:lineRule="auto"/>
        <w:ind w:hanging="568"/>
        <w:jc w:val="both"/>
        <w:rPr>
          <w:kern w:val="2"/>
          <w:szCs w:val="21"/>
        </w:rPr>
      </w:pPr>
      <w:r>
        <w:rPr>
          <w:kern w:val="2"/>
          <w:szCs w:val="21"/>
        </w:rPr>
        <w:t>4.</w:t>
      </w:r>
      <w:r>
        <w:rPr>
          <w:kern w:val="2"/>
          <w:szCs w:val="21"/>
        </w:rPr>
        <w:tab/>
      </w:r>
      <w:r>
        <w:rPr>
          <w:kern w:val="2"/>
          <w:szCs w:val="21"/>
        </w:rPr>
        <w:t>临床评价的结果和其所基于的临床证据应记录在临床评价报告中，而此报告应作为器械符合性评估的证明。</w:t>
      </w:r>
    </w:p>
    <w:p w14:paraId="47CD93B6">
      <w:pPr>
        <w:pStyle w:val="8"/>
        <w:topLinePunct/>
        <w:snapToGrid w:val="0"/>
        <w:spacing w:beforeLines="25" w:line="300" w:lineRule="auto"/>
        <w:ind w:firstLine="0"/>
        <w:jc w:val="both"/>
        <w:rPr>
          <w:kern w:val="2"/>
          <w:szCs w:val="21"/>
        </w:rPr>
      </w:pPr>
      <w:bookmarkStart w:id="225" w:name="The_clinical_evidence_together_with_non-"/>
      <w:bookmarkEnd w:id="225"/>
      <w:r>
        <w:rPr>
          <w:kern w:val="2"/>
          <w:szCs w:val="21"/>
        </w:rPr>
        <w:t>临床证据和非临床检测方法得到的非临床数据以及其他相关文件一起，应足以允许制造商证明所述器械满足通用安全与性能要求，并应加入所述器械技术文件中。</w:t>
      </w:r>
    </w:p>
    <w:p w14:paraId="5E63AE66">
      <w:pPr>
        <w:pStyle w:val="8"/>
        <w:topLinePunct/>
        <w:snapToGrid w:val="0"/>
        <w:spacing w:beforeLines="25" w:line="300" w:lineRule="auto"/>
        <w:ind w:firstLine="0"/>
        <w:jc w:val="both"/>
        <w:rPr>
          <w:kern w:val="2"/>
          <w:szCs w:val="21"/>
        </w:rPr>
      </w:pPr>
      <w:bookmarkStart w:id="226" w:name="Favourable_and_unfavourable_data_conside"/>
      <w:bookmarkEnd w:id="226"/>
      <w:r>
        <w:rPr>
          <w:kern w:val="2"/>
          <w:szCs w:val="21"/>
        </w:rPr>
        <w:t>临床评价中参考的有利和不利数据也应全部包含在技术文件中。</w:t>
      </w:r>
    </w:p>
    <w:p w14:paraId="2A45A254">
      <w:pPr>
        <w:pStyle w:val="4"/>
        <w:topLinePunct/>
        <w:snapToGrid w:val="0"/>
        <w:spacing w:beforeLines="25" w:line="300" w:lineRule="auto"/>
        <w:ind w:left="0" w:firstLine="0"/>
        <w:jc w:val="center"/>
        <w:rPr>
          <w:rFonts w:ascii="Times New Roman" w:hAnsi="Times New Roman"/>
          <w:kern w:val="2"/>
          <w:sz w:val="21"/>
          <w:szCs w:val="21"/>
        </w:rPr>
      </w:pPr>
    </w:p>
    <w:p w14:paraId="6BD9831B">
      <w:pPr>
        <w:pStyle w:val="4"/>
        <w:topLinePunct/>
        <w:snapToGrid w:val="0"/>
        <w:spacing w:beforeLines="25" w:line="300" w:lineRule="auto"/>
        <w:ind w:left="0" w:firstLine="0"/>
        <w:jc w:val="center"/>
        <w:rPr>
          <w:rFonts w:ascii="Times New Roman" w:hAnsi="Times New Roman"/>
          <w:kern w:val="2"/>
          <w:sz w:val="21"/>
          <w:szCs w:val="21"/>
        </w:rPr>
      </w:pPr>
      <w:r>
        <w:rPr>
          <w:rFonts w:ascii="Times New Roman" w:hAnsi="Times New Roman"/>
          <w:kern w:val="2"/>
          <w:sz w:val="21"/>
          <w:szCs w:val="21"/>
        </w:rPr>
        <w:t>第B部分：</w:t>
      </w:r>
    </w:p>
    <w:p w14:paraId="1D291CC2">
      <w:pPr>
        <w:pStyle w:val="4"/>
        <w:topLinePunct/>
        <w:snapToGrid w:val="0"/>
        <w:spacing w:beforeLines="25" w:line="300" w:lineRule="auto"/>
        <w:ind w:left="0" w:firstLine="0"/>
        <w:jc w:val="center"/>
        <w:rPr>
          <w:rFonts w:ascii="Times New Roman" w:hAnsi="Times New Roman"/>
          <w:b w:val="0"/>
          <w:bCs w:val="0"/>
          <w:kern w:val="2"/>
          <w:sz w:val="21"/>
          <w:szCs w:val="21"/>
        </w:rPr>
      </w:pPr>
      <w:r>
        <w:rPr>
          <w:rFonts w:ascii="Times New Roman" w:hAnsi="Times New Roman"/>
          <w:kern w:val="2"/>
          <w:sz w:val="21"/>
          <w:szCs w:val="21"/>
        </w:rPr>
        <w:t>上市后临床跟踪</w:t>
      </w:r>
    </w:p>
    <w:p w14:paraId="06669529">
      <w:pPr>
        <w:pStyle w:val="32"/>
        <w:numPr>
          <w:ilvl w:val="0"/>
          <w:numId w:val="231"/>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PMCF是一个更新本附录A部分第61条中所述的临床评价的持续过程，并应加入制造商上市后监管计划中。在进行PMCF时，制造商应主动收集并评估器械的临床数据，此器械应有CE标识，上市后或在相关符合性申请表评估流程中所述的其预期用途范围内投入使用，旨在验证在整个器械的预期使用寿命中器械的安全性和性能、确定已识别风险的持续可接受性，以及旨在基于事实证据检测新出现的风险。</w:t>
      </w:r>
    </w:p>
    <w:p w14:paraId="024A2A72">
      <w:pPr>
        <w:pStyle w:val="32"/>
        <w:numPr>
          <w:ilvl w:val="0"/>
          <w:numId w:val="23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PMCF的执行应当遵循PMCF计划中规定并记录的方法。</w:t>
      </w:r>
    </w:p>
    <w:p w14:paraId="29EF6D77">
      <w:pPr>
        <w:pStyle w:val="32"/>
        <w:numPr>
          <w:ilvl w:val="1"/>
          <w:numId w:val="23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PMCF计划应规定方法和程序，以便主动收集和评估临床数据，旨在</w:t>
      </w:r>
    </w:p>
    <w:p w14:paraId="55A894FD">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确认器械在其预期使用寿命内的安全性和性能，</w:t>
      </w:r>
    </w:p>
    <w:p w14:paraId="4C158F1C">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识别之前未知的副作用并监控已识别的副作用和禁忌症，</w:t>
      </w:r>
    </w:p>
    <w:p w14:paraId="629DBCB8">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在事实证据的基础上标识并分析突发风险，</w:t>
      </w:r>
    </w:p>
    <w:p w14:paraId="2C28BF22">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确保在附录I第1节和第9节中所述的收益/风险比的持续可接受性，以及</w:t>
      </w:r>
    </w:p>
    <w:p w14:paraId="3FAA1F45">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确定器械可能的操作不当或超出标示使用，以验证其预期用途是否正确。</w:t>
      </w:r>
    </w:p>
    <w:p w14:paraId="3219860F">
      <w:pPr>
        <w:pStyle w:val="32"/>
        <w:numPr>
          <w:ilvl w:val="1"/>
          <w:numId w:val="231"/>
        </w:numPr>
        <w:tabs>
          <w:tab w:val="left" w:pos="682"/>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PMCF计划至少应包含：</w:t>
      </w:r>
    </w:p>
    <w:p w14:paraId="373881F1">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待采用的PMCF的通用方法和流程，如收集所获得的临床经验和使用者反馈，筛选科学文献和临床数据的其他来源；</w:t>
      </w:r>
    </w:p>
    <w:p w14:paraId="7AB940D7">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待采用的PMCF的专用方法和流程，如对相应注册人员或PMCF研究的评估；</w:t>
      </w:r>
    </w:p>
    <w:p w14:paraId="2F8699E1">
      <w:pPr>
        <w:pStyle w:val="32"/>
        <w:numPr>
          <w:ilvl w:val="2"/>
          <w:numId w:val="231"/>
        </w:numPr>
        <w:tabs>
          <w:tab w:val="left" w:pos="1248"/>
          <w:tab w:val="left" w:pos="1576"/>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（a）和（b）中所述的方法和流程的适当理由；</w:t>
      </w:r>
    </w:p>
    <w:p w14:paraId="0D30E793">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对第4节中所述的临床评价报告相关部分和附录I第3节中所述的风险管理的引用；</w:t>
      </w:r>
    </w:p>
    <w:p w14:paraId="6BBD5B69">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br w:type="page"/>
      </w:r>
      <w:r>
        <w:rPr>
          <w:rFonts w:ascii="Times New Roman" w:hAnsi="Times New Roman"/>
          <w:kern w:val="2"/>
          <w:szCs w:val="21"/>
        </w:rPr>
        <w:t>需通过PMCF完成的具体目标；</w:t>
      </w:r>
    </w:p>
    <w:p w14:paraId="38D4947B">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对等同或类似器械的相关临床数据的评估，</w:t>
      </w:r>
    </w:p>
    <w:p w14:paraId="719DFE30">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参考制造商使用的任何相关CS、协调标准和PMC F相关指南。</w:t>
      </w:r>
    </w:p>
    <w:p w14:paraId="57AF396B">
      <w:pPr>
        <w:pStyle w:val="32"/>
        <w:numPr>
          <w:ilvl w:val="2"/>
          <w:numId w:val="231"/>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对由制造商执行的PMCF活动（如对PMCF数据的分析和报告）的详细且充分合理的时间安排。</w:t>
      </w:r>
    </w:p>
    <w:p w14:paraId="1D1C3379">
      <w:pPr>
        <w:pStyle w:val="32"/>
        <w:numPr>
          <w:ilvl w:val="0"/>
          <w:numId w:val="23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制造商应分析PMCF的结果，并在PMCF评估报告中记录结果，而此PMCF评估报告应加入临床评价报告和技术文件中。</w:t>
      </w:r>
    </w:p>
    <w:p w14:paraId="1A972F30">
      <w:pPr>
        <w:pStyle w:val="32"/>
        <w:numPr>
          <w:ilvl w:val="0"/>
          <w:numId w:val="231"/>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和本附录第A部分第61条中所述的临床评价中以及附录I第3节中所述的风险管理中应考虑到PMCF评估报告的结论。若通过PMCF确定了预防和/或纠正措施的必要性，则制造商应实施此等措施。</w:t>
      </w:r>
    </w:p>
    <w:p w14:paraId="7C34183F">
      <w:pPr>
        <w:snapToGrid w:val="0"/>
        <w:spacing w:beforeLines="25" w:line="300" w:lineRule="auto"/>
        <w:jc w:val="center"/>
        <w:rPr>
          <w:rFonts w:ascii="Times New Roman" w:hAnsi="Times New Roman"/>
          <w:szCs w:val="21"/>
        </w:rPr>
      </w:pPr>
      <w:r>
        <w:rPr>
          <w:rFonts w:hint="eastAsia" w:ascii="Times New Roman" w:hAnsi="Times New Roman"/>
          <w:szCs w:val="21"/>
        </w:rPr>
        <w:t>__________________</w:t>
      </w:r>
    </w:p>
    <w:p w14:paraId="2E4B53E5">
      <w:pPr>
        <w:pStyle w:val="2"/>
        <w:spacing w:beforeLines="25" w:line="300" w:lineRule="auto"/>
        <w:rPr>
          <w:bCs/>
          <w:sz w:val="24"/>
          <w:szCs w:val="24"/>
        </w:rPr>
      </w:pPr>
      <w:bookmarkStart w:id="227" w:name="_Toc477512431"/>
      <w:r>
        <w:rPr>
          <w:sz w:val="21"/>
          <w:szCs w:val="21"/>
        </w:rPr>
        <w:br w:type="page"/>
      </w:r>
      <w:r>
        <w:rPr>
          <w:sz w:val="24"/>
          <w:szCs w:val="24"/>
        </w:rPr>
        <w:t>附录XV</w:t>
      </w:r>
      <w:r>
        <w:rPr>
          <w:sz w:val="24"/>
          <w:szCs w:val="24"/>
        </w:rPr>
        <w:br w:type="textWrapping"/>
      </w:r>
      <w:r>
        <w:rPr>
          <w:sz w:val="24"/>
          <w:szCs w:val="24"/>
        </w:rPr>
        <w:t>临床研究</w:t>
      </w:r>
      <w:bookmarkEnd w:id="227"/>
    </w:p>
    <w:p w14:paraId="54C1A4A8">
      <w:pPr>
        <w:pStyle w:val="4"/>
        <w:tabs>
          <w:tab w:val="left" w:pos="682"/>
        </w:tabs>
        <w:topLinePunct/>
        <w:snapToGrid w:val="0"/>
        <w:spacing w:beforeLines="25" w:line="300" w:lineRule="auto"/>
        <w:ind w:left="0" w:firstLine="0"/>
        <w:jc w:val="center"/>
        <w:rPr>
          <w:rFonts w:ascii="Times New Roman" w:hAnsi="Times New Roman"/>
          <w:kern w:val="2"/>
          <w:sz w:val="21"/>
          <w:szCs w:val="21"/>
        </w:rPr>
      </w:pPr>
    </w:p>
    <w:p w14:paraId="353CD4AC">
      <w:pPr>
        <w:pStyle w:val="4"/>
        <w:tabs>
          <w:tab w:val="left" w:pos="682"/>
        </w:tabs>
        <w:topLinePunct/>
        <w:snapToGrid w:val="0"/>
        <w:spacing w:beforeLines="25" w:line="300" w:lineRule="auto"/>
        <w:ind w:left="0" w:firstLine="0"/>
        <w:jc w:val="center"/>
        <w:rPr>
          <w:rFonts w:ascii="Times New Roman" w:hAnsi="Times New Roman"/>
          <w:kern w:val="2"/>
          <w:sz w:val="21"/>
          <w:szCs w:val="21"/>
        </w:rPr>
      </w:pPr>
      <w:r>
        <w:rPr>
          <w:rFonts w:ascii="Times New Roman" w:hAnsi="Times New Roman"/>
          <w:kern w:val="2"/>
          <w:sz w:val="21"/>
          <w:szCs w:val="21"/>
        </w:rPr>
        <w:t>第I章</w:t>
      </w:r>
    </w:p>
    <w:p w14:paraId="25C8F7B6">
      <w:pPr>
        <w:pStyle w:val="4"/>
        <w:tabs>
          <w:tab w:val="left" w:pos="682"/>
        </w:tabs>
        <w:topLinePunct/>
        <w:snapToGrid w:val="0"/>
        <w:spacing w:beforeLines="25" w:line="300" w:lineRule="auto"/>
        <w:ind w:left="0" w:firstLine="0"/>
        <w:jc w:val="center"/>
        <w:rPr>
          <w:rFonts w:ascii="Times New Roman" w:hAnsi="Times New Roman"/>
          <w:b w:val="0"/>
          <w:bCs w:val="0"/>
          <w:kern w:val="2"/>
          <w:sz w:val="21"/>
          <w:szCs w:val="21"/>
        </w:rPr>
      </w:pPr>
      <w:r>
        <w:rPr>
          <w:rFonts w:ascii="Times New Roman" w:hAnsi="Times New Roman"/>
          <w:kern w:val="2"/>
          <w:sz w:val="21"/>
          <w:szCs w:val="21"/>
        </w:rPr>
        <w:t>一般要求</w:t>
      </w:r>
    </w:p>
    <w:p w14:paraId="6E61F4C6">
      <w:pPr>
        <w:pStyle w:val="32"/>
        <w:numPr>
          <w:ilvl w:val="1"/>
          <w:numId w:val="23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b/>
          <w:kern w:val="2"/>
          <w:szCs w:val="21"/>
        </w:rPr>
        <w:t>伦理学原则</w:t>
      </w:r>
    </w:p>
    <w:p w14:paraId="145C5A26">
      <w:pPr>
        <w:pStyle w:val="8"/>
        <w:topLinePunct/>
        <w:snapToGrid w:val="0"/>
        <w:spacing w:beforeLines="25" w:line="300" w:lineRule="auto"/>
        <w:ind w:firstLine="0"/>
        <w:jc w:val="both"/>
        <w:rPr>
          <w:kern w:val="2"/>
          <w:szCs w:val="21"/>
        </w:rPr>
      </w:pPr>
      <w:bookmarkStart w:id="228" w:name="Every_step_in_the_clinical_investigation"/>
      <w:bookmarkEnd w:id="228"/>
      <w:r>
        <w:rPr>
          <w:kern w:val="2"/>
          <w:szCs w:val="21"/>
        </w:rPr>
        <w:t>临床研究中的每一步，从首先考虑研究的必要性和正当性到公布结果，均应符合公认的伦理原则。</w:t>
      </w:r>
    </w:p>
    <w:p w14:paraId="140976FB">
      <w:pPr>
        <w:pStyle w:val="4"/>
        <w:numPr>
          <w:ilvl w:val="1"/>
          <w:numId w:val="232"/>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方法</w:t>
      </w:r>
    </w:p>
    <w:p w14:paraId="4C04C6AD">
      <w:pPr>
        <w:pStyle w:val="32"/>
        <w:numPr>
          <w:ilvl w:val="2"/>
          <w:numId w:val="23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临床研究应在反映最新的科学和技术知识的适当研究方案的基础上进行，并进行定义以证实或驳斥第62(1)条中所所述器械相关的安全性、性能和有关风险-收益要求的制造商声明；这些临床研究应有足够的观察数量，来保证结论的科学有效性。设计和选择的统计方法的基本原理应按照本附录第II章第3.6节中的进一步说明进行说明。</w:t>
      </w:r>
    </w:p>
    <w:p w14:paraId="4BA0D0E3">
      <w:pPr>
        <w:pStyle w:val="32"/>
        <w:numPr>
          <w:ilvl w:val="2"/>
          <w:numId w:val="23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执行临床研究所用的流程应适合所研究的器械。</w:t>
      </w:r>
    </w:p>
    <w:p w14:paraId="5C1F4AC9">
      <w:pPr>
        <w:pStyle w:val="32"/>
        <w:numPr>
          <w:ilvl w:val="2"/>
          <w:numId w:val="23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执行研究所用的研究方法应适合所研究的器械。</w:t>
      </w:r>
    </w:p>
    <w:p w14:paraId="157229B8">
      <w:pPr>
        <w:pStyle w:val="32"/>
        <w:numPr>
          <w:ilvl w:val="2"/>
          <w:numId w:val="23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临床研究应由足够数量的预期使用者按照临床研究计划在可代表目标患者人群使用器械的预期正常条件的临床环境中执行。这些临床研究应与附录XIV第A部分中所述的临床评价计划一致。</w:t>
      </w:r>
    </w:p>
    <w:p w14:paraId="3DE11886">
      <w:pPr>
        <w:pStyle w:val="32"/>
        <w:numPr>
          <w:ilvl w:val="2"/>
          <w:numId w:val="23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器械的一切合适的技术和功能特征（特别是涉及安全性和性能方面的特征）以及其预期的临床结果的影响应由研究设计进行适当解决和检验。应提供一份列表，列明器械的技术和功能特征和相关预期的临床结果。</w:t>
      </w:r>
    </w:p>
    <w:p w14:paraId="3F75313A">
      <w:pPr>
        <w:pStyle w:val="32"/>
        <w:numPr>
          <w:ilvl w:val="2"/>
          <w:numId w:val="23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临床研究的终点应确定器械的预期用途、临床益处、性能和安全性。终点必须使用科学有效的方法来进行确定和评估。主要终点应与器械和临床相关性匹配。</w:t>
      </w:r>
    </w:p>
    <w:p w14:paraId="538A98F6">
      <w:pPr>
        <w:pStyle w:val="32"/>
        <w:numPr>
          <w:ilvl w:val="2"/>
          <w:numId w:val="23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研究者应有权使用器械相关的技术和临床数据。参与研究的人员应接受关于正确使用试验用器械、临床研究计划和《医疗器械临床试验质量管理规范》方面的指导和培训。此等培训应予以核实，并（在必要时）由申办方安排并正确记录。</w:t>
      </w:r>
    </w:p>
    <w:p w14:paraId="693350AE">
      <w:pPr>
        <w:pStyle w:val="32"/>
        <w:numPr>
          <w:ilvl w:val="2"/>
          <w:numId w:val="232"/>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由研究者签字的临床研究报告，应包括对临床研究过程中收集到的所有数据的严格评价，且应包括所有反向发现。</w:t>
      </w:r>
    </w:p>
    <w:p w14:paraId="3BBC27A3">
      <w:pPr>
        <w:pStyle w:val="4"/>
        <w:tabs>
          <w:tab w:val="left" w:pos="682"/>
        </w:tabs>
        <w:topLinePunct/>
        <w:snapToGrid w:val="0"/>
        <w:spacing w:beforeLines="25" w:line="300" w:lineRule="auto"/>
        <w:ind w:left="0" w:firstLine="0"/>
        <w:jc w:val="center"/>
        <w:rPr>
          <w:rFonts w:ascii="Times New Roman" w:hAnsi="Times New Roman"/>
          <w:kern w:val="2"/>
          <w:sz w:val="21"/>
          <w:szCs w:val="21"/>
        </w:rPr>
      </w:pPr>
    </w:p>
    <w:p w14:paraId="42285957">
      <w:pPr>
        <w:pStyle w:val="4"/>
        <w:tabs>
          <w:tab w:val="left" w:pos="682"/>
        </w:tabs>
        <w:topLinePunct/>
        <w:snapToGrid w:val="0"/>
        <w:spacing w:beforeLines="25" w:line="300" w:lineRule="auto"/>
        <w:ind w:left="0" w:firstLine="0"/>
        <w:jc w:val="center"/>
        <w:rPr>
          <w:rFonts w:ascii="Times New Roman" w:hAnsi="Times New Roman"/>
          <w:kern w:val="2"/>
          <w:sz w:val="21"/>
          <w:szCs w:val="21"/>
        </w:rPr>
      </w:pPr>
      <w:r>
        <w:rPr>
          <w:rFonts w:ascii="Times New Roman" w:hAnsi="Times New Roman"/>
          <w:kern w:val="2"/>
          <w:sz w:val="21"/>
          <w:szCs w:val="21"/>
        </w:rPr>
        <w:t>第II章</w:t>
      </w:r>
    </w:p>
    <w:p w14:paraId="379CD62C">
      <w:pPr>
        <w:pStyle w:val="4"/>
        <w:tabs>
          <w:tab w:val="left" w:pos="682"/>
        </w:tabs>
        <w:topLinePunct/>
        <w:snapToGrid w:val="0"/>
        <w:spacing w:beforeLines="25" w:line="300" w:lineRule="auto"/>
        <w:ind w:left="0" w:firstLine="0"/>
        <w:jc w:val="center"/>
        <w:rPr>
          <w:rFonts w:ascii="Times New Roman" w:hAnsi="Times New Roman"/>
          <w:b w:val="0"/>
          <w:bCs w:val="0"/>
          <w:kern w:val="2"/>
          <w:sz w:val="21"/>
          <w:szCs w:val="21"/>
        </w:rPr>
      </w:pPr>
      <w:r>
        <w:rPr>
          <w:rFonts w:ascii="Times New Roman" w:hAnsi="Times New Roman"/>
          <w:kern w:val="2"/>
          <w:sz w:val="21"/>
          <w:szCs w:val="21"/>
        </w:rPr>
        <w:t>临床研究申请表的有关文件</w:t>
      </w:r>
    </w:p>
    <w:p w14:paraId="3950DFFA">
      <w:pPr>
        <w:pStyle w:val="8"/>
        <w:topLinePunct/>
        <w:snapToGrid w:val="0"/>
        <w:spacing w:beforeLines="25" w:line="300" w:lineRule="auto"/>
        <w:ind w:left="114" w:firstLine="0"/>
        <w:jc w:val="both"/>
        <w:rPr>
          <w:kern w:val="2"/>
          <w:szCs w:val="21"/>
        </w:rPr>
      </w:pPr>
      <w:r>
        <w:rPr>
          <w:kern w:val="2"/>
          <w:szCs w:val="21"/>
        </w:rPr>
        <w:t>对于第62条中涵盖的试验用器械，申办方应当根据第70条之要求拟定申请表并与下列文件一起递交申请表：</w:t>
      </w:r>
    </w:p>
    <w:p w14:paraId="775AAF1E">
      <w:pPr>
        <w:pStyle w:val="4"/>
        <w:numPr>
          <w:ilvl w:val="1"/>
          <w:numId w:val="233"/>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申</w:t>
      </w:r>
      <w:r>
        <w:rPr>
          <w:rFonts w:hint="eastAsia" w:ascii="Times New Roman" w:hAnsi="Times New Roman"/>
          <w:kern w:val="2"/>
          <w:sz w:val="21"/>
          <w:szCs w:val="21"/>
        </w:rPr>
        <w:t>请</w:t>
      </w:r>
      <w:r>
        <w:rPr>
          <w:rFonts w:ascii="Times New Roman" w:hAnsi="Times New Roman"/>
          <w:kern w:val="2"/>
          <w:sz w:val="21"/>
          <w:szCs w:val="21"/>
        </w:rPr>
        <w:t>表</w:t>
      </w:r>
    </w:p>
    <w:p w14:paraId="72DAC3C6">
      <w:pPr>
        <w:pStyle w:val="8"/>
        <w:topLinePunct/>
        <w:snapToGrid w:val="0"/>
        <w:spacing w:beforeLines="25" w:line="300" w:lineRule="auto"/>
        <w:ind w:firstLine="0"/>
        <w:jc w:val="both"/>
        <w:rPr>
          <w:kern w:val="2"/>
          <w:szCs w:val="21"/>
        </w:rPr>
      </w:pPr>
      <w:bookmarkStart w:id="229" w:name="The_application_form_shall_be_duly_fille"/>
      <w:bookmarkEnd w:id="229"/>
      <w:r>
        <w:rPr>
          <w:kern w:val="2"/>
          <w:szCs w:val="21"/>
        </w:rPr>
        <w:t>申</w:t>
      </w:r>
      <w:r>
        <w:rPr>
          <w:rFonts w:hint="eastAsia"/>
          <w:kern w:val="2"/>
          <w:szCs w:val="21"/>
          <w:lang w:val="en-US"/>
        </w:rPr>
        <w:t>请表</w:t>
      </w:r>
      <w:r>
        <w:rPr>
          <w:kern w:val="2"/>
          <w:szCs w:val="21"/>
        </w:rPr>
        <w:t>应填写完整，包含以下信息：</w:t>
      </w:r>
    </w:p>
    <w:p w14:paraId="049D1F38">
      <w:pPr>
        <w:pStyle w:val="32"/>
        <w:numPr>
          <w:ilvl w:val="2"/>
          <w:numId w:val="233"/>
        </w:numPr>
        <w:topLinePunct/>
        <w:snapToGrid w:val="0"/>
        <w:spacing w:beforeLines="25" w:line="300" w:lineRule="auto"/>
        <w:ind w:left="1232" w:hanging="512"/>
        <w:jc w:val="both"/>
        <w:rPr>
          <w:rFonts w:ascii="Times New Roman" w:hAnsi="Times New Roman"/>
          <w:kern w:val="2"/>
          <w:szCs w:val="21"/>
        </w:rPr>
      </w:pPr>
      <w:r>
        <w:rPr>
          <w:rFonts w:ascii="Times New Roman" w:hAnsi="Times New Roman"/>
          <w:kern w:val="2"/>
          <w:szCs w:val="21"/>
        </w:rPr>
        <w:t>申办方的名称、地址和联系方式，和联系人/根据第62(2)条指定的其欧盟法定代理人的姓名、地址和联系方式（如适用）；</w:t>
      </w:r>
    </w:p>
    <w:p w14:paraId="3DD9251A">
      <w:pPr>
        <w:pStyle w:val="32"/>
        <w:numPr>
          <w:ilvl w:val="2"/>
          <w:numId w:val="233"/>
        </w:numPr>
        <w:tabs>
          <w:tab w:val="left" w:pos="682"/>
        </w:tabs>
        <w:topLinePunct/>
        <w:snapToGrid w:val="0"/>
        <w:spacing w:beforeLines="25" w:line="300" w:lineRule="auto"/>
        <w:ind w:left="1232" w:hanging="512"/>
        <w:jc w:val="both"/>
        <w:rPr>
          <w:rFonts w:ascii="Times New Roman" w:hAnsi="Times New Roman"/>
          <w:kern w:val="2"/>
          <w:szCs w:val="21"/>
        </w:rPr>
      </w:pPr>
      <w:r>
        <w:rPr>
          <w:rFonts w:ascii="Times New Roman" w:hAnsi="Times New Roman"/>
          <w:kern w:val="2"/>
          <w:szCs w:val="21"/>
        </w:rPr>
        <w:t>临床研究器械的制造商和其授权代表（如适用）的名称、地址和联系方式（若第1.1节不适用）；</w:t>
      </w:r>
    </w:p>
    <w:p w14:paraId="385C96BE">
      <w:pPr>
        <w:pStyle w:val="32"/>
        <w:numPr>
          <w:ilvl w:val="2"/>
          <w:numId w:val="233"/>
        </w:numPr>
        <w:tabs>
          <w:tab w:val="left" w:pos="682"/>
        </w:tabs>
        <w:topLinePunct/>
        <w:snapToGrid w:val="0"/>
        <w:spacing w:beforeLines="25" w:line="300" w:lineRule="auto"/>
        <w:ind w:left="1232" w:hanging="512"/>
        <w:jc w:val="both"/>
        <w:rPr>
          <w:rFonts w:ascii="Times New Roman" w:hAnsi="Times New Roman"/>
          <w:kern w:val="2"/>
          <w:szCs w:val="21"/>
        </w:rPr>
      </w:pPr>
      <w:r>
        <w:rPr>
          <w:rFonts w:ascii="Times New Roman" w:hAnsi="Times New Roman"/>
          <w:kern w:val="2"/>
          <w:szCs w:val="21"/>
        </w:rPr>
        <w:t>临床研究的题目；</w:t>
      </w:r>
    </w:p>
    <w:p w14:paraId="7F841DF9">
      <w:pPr>
        <w:pStyle w:val="32"/>
        <w:numPr>
          <w:ilvl w:val="2"/>
          <w:numId w:val="233"/>
        </w:numPr>
        <w:tabs>
          <w:tab w:val="left" w:pos="682"/>
        </w:tabs>
        <w:topLinePunct/>
        <w:snapToGrid w:val="0"/>
        <w:spacing w:beforeLines="25" w:line="300" w:lineRule="auto"/>
        <w:ind w:left="1232" w:hanging="512"/>
        <w:jc w:val="both"/>
        <w:rPr>
          <w:rFonts w:ascii="Times New Roman" w:hAnsi="Times New Roman"/>
          <w:kern w:val="2"/>
          <w:szCs w:val="21"/>
        </w:rPr>
      </w:pPr>
      <w:r>
        <w:rPr>
          <w:rFonts w:ascii="Times New Roman" w:hAnsi="Times New Roman"/>
          <w:kern w:val="2"/>
          <w:szCs w:val="21"/>
        </w:rPr>
        <w:t>临床研究申请表的状态（即第一次提交、再次提交和重大修改）；</w:t>
      </w:r>
    </w:p>
    <w:p w14:paraId="53F93CAC">
      <w:pPr>
        <w:pStyle w:val="32"/>
        <w:numPr>
          <w:ilvl w:val="2"/>
          <w:numId w:val="233"/>
        </w:numPr>
        <w:tabs>
          <w:tab w:val="left" w:pos="682"/>
        </w:tabs>
        <w:topLinePunct/>
        <w:snapToGrid w:val="0"/>
        <w:spacing w:beforeLines="25" w:line="300" w:lineRule="auto"/>
        <w:ind w:left="1232" w:hanging="512"/>
        <w:jc w:val="both"/>
        <w:rPr>
          <w:rFonts w:ascii="Times New Roman" w:hAnsi="Times New Roman"/>
          <w:kern w:val="2"/>
          <w:szCs w:val="21"/>
        </w:rPr>
      </w:pPr>
      <w:r>
        <w:rPr>
          <w:rFonts w:ascii="Times New Roman" w:hAnsi="Times New Roman"/>
          <w:kern w:val="2"/>
          <w:szCs w:val="21"/>
        </w:rPr>
        <w:t>临床评价计划的详情/说明；</w:t>
      </w:r>
    </w:p>
    <w:p w14:paraId="657483EC">
      <w:pPr>
        <w:pStyle w:val="32"/>
        <w:numPr>
          <w:ilvl w:val="2"/>
          <w:numId w:val="233"/>
        </w:numPr>
        <w:tabs>
          <w:tab w:val="left" w:pos="682"/>
        </w:tabs>
        <w:topLinePunct/>
        <w:snapToGrid w:val="0"/>
        <w:spacing w:beforeLines="25" w:line="300" w:lineRule="auto"/>
        <w:ind w:left="1232" w:hanging="512"/>
        <w:jc w:val="both"/>
        <w:rPr>
          <w:rFonts w:ascii="Times New Roman" w:hAnsi="Times New Roman"/>
          <w:kern w:val="2"/>
          <w:szCs w:val="21"/>
        </w:rPr>
      </w:pPr>
      <w:r>
        <w:rPr>
          <w:rFonts w:ascii="Times New Roman" w:hAnsi="Times New Roman"/>
          <w:kern w:val="2"/>
          <w:szCs w:val="21"/>
        </w:rPr>
        <w:t>关于同一器械，若重新提交之前已提交过的申请，则先前提交的先前日期和参考编号，或在重大修改的情况下，应参考原始申请。申办方应确定上次申请的所有变更以及该等变更的理由，特别是是否对以前的主管机构或伦理委员会审查结果进行了任何更改；</w:t>
      </w:r>
    </w:p>
    <w:p w14:paraId="55485973">
      <w:pPr>
        <w:pStyle w:val="32"/>
        <w:numPr>
          <w:ilvl w:val="2"/>
          <w:numId w:val="233"/>
        </w:numPr>
        <w:tabs>
          <w:tab w:val="left" w:pos="682"/>
        </w:tabs>
        <w:topLinePunct/>
        <w:snapToGrid w:val="0"/>
        <w:spacing w:beforeLines="25" w:line="300" w:lineRule="auto"/>
        <w:ind w:left="1232" w:hanging="512"/>
        <w:jc w:val="both"/>
        <w:rPr>
          <w:rFonts w:ascii="Times New Roman" w:hAnsi="Times New Roman"/>
          <w:kern w:val="2"/>
          <w:szCs w:val="21"/>
        </w:rPr>
      </w:pPr>
      <w:r>
        <w:rPr>
          <w:rFonts w:ascii="Times New Roman" w:hAnsi="Times New Roman"/>
          <w:kern w:val="2"/>
          <w:szCs w:val="21"/>
        </w:rPr>
        <w:t>若申请与根据第536/2014号法规的临床试验申请并行提交，请参考临床试验的正式注册号；</w:t>
      </w:r>
    </w:p>
    <w:p w14:paraId="2056C230">
      <w:pPr>
        <w:pStyle w:val="32"/>
        <w:numPr>
          <w:ilvl w:val="2"/>
          <w:numId w:val="233"/>
        </w:numPr>
        <w:tabs>
          <w:tab w:val="left" w:pos="682"/>
        </w:tabs>
        <w:topLinePunct/>
        <w:snapToGrid w:val="0"/>
        <w:spacing w:beforeLines="25" w:line="300" w:lineRule="auto"/>
        <w:ind w:left="1232" w:hanging="512"/>
        <w:jc w:val="both"/>
        <w:rPr>
          <w:rFonts w:ascii="Times New Roman" w:hAnsi="Times New Roman"/>
          <w:kern w:val="2"/>
          <w:szCs w:val="21"/>
        </w:rPr>
      </w:pPr>
      <w:r>
        <w:rPr>
          <w:rFonts w:ascii="Times New Roman" w:hAnsi="Times New Roman"/>
          <w:kern w:val="2"/>
          <w:szCs w:val="21"/>
        </w:rPr>
        <w:t>申请表时作为多中心或多国研究的一部分而进行的临床研究所在成员国和第三国的标识信息；</w:t>
      </w:r>
    </w:p>
    <w:p w14:paraId="4511AD7B">
      <w:pPr>
        <w:pStyle w:val="32"/>
        <w:numPr>
          <w:ilvl w:val="2"/>
          <w:numId w:val="233"/>
        </w:numPr>
        <w:tabs>
          <w:tab w:val="left" w:pos="682"/>
        </w:tabs>
        <w:topLinePunct/>
        <w:snapToGrid w:val="0"/>
        <w:spacing w:beforeLines="25" w:line="300" w:lineRule="auto"/>
        <w:ind w:left="1232" w:hanging="512"/>
        <w:jc w:val="both"/>
        <w:rPr>
          <w:rFonts w:ascii="Times New Roman" w:hAnsi="Times New Roman"/>
          <w:kern w:val="2"/>
          <w:szCs w:val="21"/>
        </w:rPr>
      </w:pPr>
      <w:r>
        <w:rPr>
          <w:rFonts w:ascii="Times New Roman" w:hAnsi="Times New Roman"/>
          <w:kern w:val="2"/>
          <w:szCs w:val="21"/>
        </w:rPr>
        <w:t>试验用器械的简要说明、分类和标识器械和器械类型所必要的其他信息；</w:t>
      </w:r>
    </w:p>
    <w:p w14:paraId="00C2CD64">
      <w:pPr>
        <w:pStyle w:val="32"/>
        <w:numPr>
          <w:ilvl w:val="2"/>
          <w:numId w:val="233"/>
        </w:numPr>
        <w:tabs>
          <w:tab w:val="left" w:pos="682"/>
        </w:tabs>
        <w:topLinePunct/>
        <w:snapToGrid w:val="0"/>
        <w:spacing w:beforeLines="25" w:line="300" w:lineRule="auto"/>
        <w:ind w:left="1232" w:hanging="512"/>
        <w:jc w:val="both"/>
        <w:rPr>
          <w:rFonts w:ascii="Times New Roman" w:hAnsi="Times New Roman"/>
          <w:kern w:val="2"/>
          <w:szCs w:val="21"/>
        </w:rPr>
      </w:pPr>
      <w:r>
        <w:rPr>
          <w:rFonts w:ascii="Times New Roman" w:hAnsi="Times New Roman"/>
          <w:kern w:val="2"/>
          <w:szCs w:val="21"/>
        </w:rPr>
        <w:t>器械是否使用药用物质，包括人体血液或血浆的衍生物，或者是否在生产时采用非活性人体或动物组织或细胞或其衍生物的相关信息；</w:t>
      </w:r>
    </w:p>
    <w:p w14:paraId="71904A25">
      <w:pPr>
        <w:pStyle w:val="32"/>
        <w:numPr>
          <w:ilvl w:val="2"/>
          <w:numId w:val="233"/>
        </w:numPr>
        <w:tabs>
          <w:tab w:val="left" w:pos="1260"/>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临床研究计划的总结，包括临床研究的对象、受试者的数量和性别、受试者选择标准、未满18周岁的受试者、研究的设计（如对照研究和/或随机研究）以及开始和完成临床研究的计划日期）；</w:t>
      </w:r>
    </w:p>
    <w:p w14:paraId="48021DA6">
      <w:pPr>
        <w:pStyle w:val="32"/>
        <w:numPr>
          <w:ilvl w:val="2"/>
          <w:numId w:val="233"/>
        </w:numPr>
        <w:tabs>
          <w:tab w:val="left" w:pos="1260"/>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若适用，关于比对器械的信息，用于标识比对器械所必需的分类信息和其他信息；</w:t>
      </w:r>
    </w:p>
    <w:p w14:paraId="54FE503B">
      <w:pPr>
        <w:pStyle w:val="32"/>
        <w:numPr>
          <w:ilvl w:val="2"/>
          <w:numId w:val="233"/>
        </w:numPr>
        <w:tabs>
          <w:tab w:val="left" w:pos="1260"/>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申办方提供的证据，证明临床研究者和试验场所具备按照临床研究计划进行临床研究的能力；</w:t>
      </w:r>
    </w:p>
    <w:p w14:paraId="1D33859D">
      <w:pPr>
        <w:pStyle w:val="32"/>
        <w:numPr>
          <w:ilvl w:val="2"/>
          <w:numId w:val="233"/>
        </w:numPr>
        <w:tabs>
          <w:tab w:val="left" w:pos="1260"/>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研究的预期开始日期和持续时间的详细信息；</w:t>
      </w:r>
    </w:p>
    <w:p w14:paraId="5BF76FA9">
      <w:pPr>
        <w:pStyle w:val="32"/>
        <w:numPr>
          <w:ilvl w:val="2"/>
          <w:numId w:val="233"/>
        </w:numPr>
        <w:tabs>
          <w:tab w:val="left" w:pos="1260"/>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用于确定公告机构的详细信息，若在临床研究申请阶段已涉及；</w:t>
      </w:r>
    </w:p>
    <w:p w14:paraId="69FCD569">
      <w:pPr>
        <w:pStyle w:val="32"/>
        <w:numPr>
          <w:ilvl w:val="2"/>
          <w:numId w:val="233"/>
        </w:numPr>
        <w:tabs>
          <w:tab w:val="left" w:pos="1260"/>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确认申办方知悉主管机构可与评估或已评估申请表的伦理委员会联系。</w:t>
      </w:r>
    </w:p>
    <w:p w14:paraId="1B87C1C0">
      <w:pPr>
        <w:pStyle w:val="32"/>
        <w:numPr>
          <w:ilvl w:val="2"/>
          <w:numId w:val="233"/>
        </w:numPr>
        <w:tabs>
          <w:tab w:val="left" w:pos="1260"/>
        </w:tabs>
        <w:topLinePunct/>
        <w:snapToGrid w:val="0"/>
        <w:spacing w:beforeLines="25" w:line="300" w:lineRule="auto"/>
        <w:ind w:left="1260" w:hanging="540"/>
        <w:jc w:val="both"/>
        <w:rPr>
          <w:rFonts w:ascii="Times New Roman" w:hAnsi="Times New Roman"/>
          <w:kern w:val="2"/>
          <w:szCs w:val="21"/>
        </w:rPr>
      </w:pPr>
      <w:r>
        <w:rPr>
          <w:rFonts w:ascii="Times New Roman" w:hAnsi="Times New Roman"/>
          <w:kern w:val="2"/>
          <w:szCs w:val="21"/>
        </w:rPr>
        <w:t>第4.1节所述的声明。</w:t>
      </w:r>
    </w:p>
    <w:p w14:paraId="55997C63">
      <w:pPr>
        <w:pStyle w:val="4"/>
        <w:numPr>
          <w:ilvl w:val="1"/>
          <w:numId w:val="233"/>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研究者手册</w:t>
      </w:r>
    </w:p>
    <w:p w14:paraId="2B80A29A">
      <w:pPr>
        <w:pStyle w:val="8"/>
        <w:topLinePunct/>
        <w:snapToGrid w:val="0"/>
        <w:spacing w:beforeLines="25" w:line="300" w:lineRule="auto"/>
        <w:ind w:firstLine="0"/>
        <w:jc w:val="both"/>
        <w:rPr>
          <w:kern w:val="2"/>
          <w:szCs w:val="21"/>
        </w:rPr>
      </w:pPr>
      <w:r>
        <w:rPr>
          <w:kern w:val="2"/>
          <w:szCs w:val="21"/>
        </w:rPr>
        <w:t>研究者手册（IB）应包含与研究相关并在申请表时提供的试验用器械的临床和非临床信息。对新出版的IB或其他相关信息的任何更新，应及时提请研究者注意。应明确标识IB，并特别包含以下信息：</w:t>
      </w:r>
    </w:p>
    <w:p w14:paraId="71960F07">
      <w:pPr>
        <w:pStyle w:val="32"/>
        <w:numPr>
          <w:ilvl w:val="2"/>
          <w:numId w:val="233"/>
        </w:numPr>
        <w:tabs>
          <w:tab w:val="left" w:pos="1218"/>
        </w:tabs>
        <w:topLinePunct/>
        <w:snapToGrid w:val="0"/>
        <w:spacing w:beforeLines="25" w:line="300" w:lineRule="auto"/>
        <w:ind w:left="1218" w:hanging="574"/>
        <w:jc w:val="both"/>
        <w:rPr>
          <w:rFonts w:ascii="Times New Roman" w:hAnsi="Times New Roman"/>
          <w:kern w:val="2"/>
          <w:szCs w:val="21"/>
        </w:rPr>
      </w:pPr>
      <w:r>
        <w:rPr>
          <w:rFonts w:ascii="Times New Roman" w:hAnsi="Times New Roman"/>
          <w:kern w:val="2"/>
          <w:szCs w:val="21"/>
        </w:rPr>
        <w:t>器械的标识和说明，包括关于预期目的信息、根据附录VIII的风险分类和适用的分类规则、器械的设计和生产以及</w:t>
      </w:r>
      <w:r>
        <w:rPr>
          <w:rFonts w:hint="eastAsia" w:ascii="Times New Roman" w:hAnsi="Times New Roman"/>
          <w:kern w:val="2"/>
          <w:szCs w:val="21"/>
        </w:rPr>
        <w:t>对</w:t>
      </w:r>
      <w:r>
        <w:rPr>
          <w:rFonts w:ascii="Times New Roman" w:hAnsi="Times New Roman"/>
          <w:kern w:val="2"/>
          <w:szCs w:val="21"/>
        </w:rPr>
        <w:t>前一代器械和类似器械的</w:t>
      </w:r>
      <w:r>
        <w:rPr>
          <w:rFonts w:hint="eastAsia" w:ascii="Times New Roman" w:hAnsi="Times New Roman"/>
          <w:kern w:val="2"/>
          <w:szCs w:val="21"/>
        </w:rPr>
        <w:t>引用</w:t>
      </w:r>
      <w:r>
        <w:rPr>
          <w:rFonts w:ascii="Times New Roman" w:hAnsi="Times New Roman"/>
          <w:kern w:val="2"/>
          <w:szCs w:val="21"/>
        </w:rPr>
        <w:t>。</w:t>
      </w:r>
    </w:p>
    <w:p w14:paraId="126A3F08">
      <w:pPr>
        <w:pStyle w:val="32"/>
        <w:numPr>
          <w:ilvl w:val="2"/>
          <w:numId w:val="233"/>
        </w:numPr>
        <w:tabs>
          <w:tab w:val="left" w:pos="1218"/>
        </w:tabs>
        <w:topLinePunct/>
        <w:snapToGrid w:val="0"/>
        <w:spacing w:beforeLines="25" w:line="300" w:lineRule="auto"/>
        <w:ind w:left="1218" w:hanging="574"/>
        <w:jc w:val="both"/>
        <w:rPr>
          <w:rFonts w:ascii="Times New Roman" w:hAnsi="Times New Roman"/>
          <w:kern w:val="2"/>
          <w:szCs w:val="21"/>
        </w:rPr>
      </w:pPr>
      <w:r>
        <w:rPr>
          <w:rFonts w:ascii="Times New Roman" w:hAnsi="Times New Roman"/>
          <w:kern w:val="2"/>
          <w:szCs w:val="21"/>
        </w:rPr>
        <w:t>制造商的安装、维护、维护卫生标准和使用说明（包括储存和处理要求），以及在提供此信息时，要贴在标签上的信息，以及在市售上时用于与器械一起提供的说明。此外，需要任何有关相关培训的信息。</w:t>
      </w:r>
    </w:p>
    <w:p w14:paraId="34357A94">
      <w:pPr>
        <w:pStyle w:val="32"/>
        <w:numPr>
          <w:ilvl w:val="2"/>
          <w:numId w:val="233"/>
        </w:numPr>
        <w:tabs>
          <w:tab w:val="left" w:pos="1218"/>
        </w:tabs>
        <w:topLinePunct/>
        <w:snapToGrid w:val="0"/>
        <w:spacing w:beforeLines="25" w:line="300" w:lineRule="auto"/>
        <w:ind w:left="1218" w:hanging="574"/>
        <w:jc w:val="both"/>
        <w:rPr>
          <w:rFonts w:ascii="Times New Roman" w:hAnsi="Times New Roman"/>
          <w:kern w:val="2"/>
          <w:szCs w:val="21"/>
        </w:rPr>
      </w:pPr>
      <w:r>
        <w:rPr>
          <w:rFonts w:ascii="Times New Roman" w:hAnsi="Times New Roman"/>
          <w:kern w:val="2"/>
          <w:szCs w:val="21"/>
        </w:rPr>
        <w:t>临床前评估基于相关的临床前试验和实验数据，特别是设计计算、体外试验、半体内试验、动物试验、机械或电气试验、可靠性试验、灭菌验证、软件验证和确认、性能测试以及对生物相容性和生物安全性的评估（如适用）。</w:t>
      </w:r>
    </w:p>
    <w:p w14:paraId="4E9CD265">
      <w:pPr>
        <w:pStyle w:val="32"/>
        <w:numPr>
          <w:ilvl w:val="2"/>
          <w:numId w:val="233"/>
        </w:numPr>
        <w:tabs>
          <w:tab w:val="left" w:pos="1218"/>
        </w:tabs>
        <w:topLinePunct/>
        <w:snapToGrid w:val="0"/>
        <w:spacing w:beforeLines="25" w:line="300" w:lineRule="auto"/>
        <w:ind w:left="1218" w:hanging="574"/>
        <w:jc w:val="both"/>
        <w:rPr>
          <w:rFonts w:ascii="Times New Roman" w:hAnsi="Times New Roman"/>
          <w:kern w:val="2"/>
          <w:szCs w:val="21"/>
        </w:rPr>
      </w:pPr>
      <w:r>
        <w:rPr>
          <w:rFonts w:ascii="Times New Roman" w:hAnsi="Times New Roman"/>
          <w:kern w:val="2"/>
          <w:szCs w:val="21"/>
        </w:rPr>
        <w:t>现有临床数据，特别是：</w:t>
      </w:r>
    </w:p>
    <w:p w14:paraId="0D5462C3">
      <w:pPr>
        <w:pStyle w:val="32"/>
        <w:numPr>
          <w:ilvl w:val="3"/>
          <w:numId w:val="234"/>
        </w:numPr>
        <w:tabs>
          <w:tab w:val="left" w:pos="1610"/>
        </w:tabs>
        <w:topLinePunct/>
        <w:snapToGrid w:val="0"/>
        <w:spacing w:beforeLines="25" w:line="300" w:lineRule="auto"/>
        <w:ind w:left="1610" w:hanging="378"/>
        <w:jc w:val="both"/>
        <w:rPr>
          <w:rFonts w:ascii="Times New Roman" w:hAnsi="Times New Roman"/>
          <w:kern w:val="2"/>
          <w:szCs w:val="21"/>
        </w:rPr>
      </w:pPr>
      <w:r>
        <w:rPr>
          <w:rFonts w:ascii="Times New Roman" w:hAnsi="Times New Roman"/>
          <w:kern w:val="2"/>
          <w:szCs w:val="21"/>
        </w:rPr>
        <w:t>器械和/或等同或类似器械的安全性、性能、患者的临床益处、设计特性和预期用途相关的现有相关科学文献；</w:t>
      </w:r>
    </w:p>
    <w:p w14:paraId="55A57F34">
      <w:pPr>
        <w:pStyle w:val="32"/>
        <w:numPr>
          <w:ilvl w:val="3"/>
          <w:numId w:val="234"/>
        </w:numPr>
        <w:tabs>
          <w:tab w:val="left" w:pos="1610"/>
        </w:tabs>
        <w:topLinePunct/>
        <w:snapToGrid w:val="0"/>
        <w:spacing w:beforeLines="25" w:line="300" w:lineRule="auto"/>
        <w:ind w:left="1610" w:hanging="378"/>
        <w:jc w:val="both"/>
        <w:rPr>
          <w:rFonts w:ascii="Times New Roman" w:hAnsi="Times New Roman"/>
          <w:kern w:val="2"/>
          <w:szCs w:val="21"/>
        </w:rPr>
      </w:pPr>
      <w:r>
        <w:rPr>
          <w:rFonts w:ascii="Times New Roman" w:hAnsi="Times New Roman"/>
          <w:kern w:val="2"/>
          <w:szCs w:val="21"/>
        </w:rPr>
        <w:t>同一制造商的等同或类似器械的安全性、性能、患者的临床益处、设计特性和预期用途相关的其他现有临床数据，包括上市时长与性能评价、临床效果与安全性相关问题以及采取的纠正措施；</w:t>
      </w:r>
    </w:p>
    <w:p w14:paraId="50DB6CD6">
      <w:pPr>
        <w:pStyle w:val="32"/>
        <w:numPr>
          <w:ilvl w:val="2"/>
          <w:numId w:val="233"/>
        </w:numPr>
        <w:tabs>
          <w:tab w:val="left" w:pos="1218"/>
        </w:tabs>
        <w:topLinePunct/>
        <w:snapToGrid w:val="0"/>
        <w:spacing w:beforeLines="25" w:line="300" w:lineRule="auto"/>
        <w:ind w:left="1218" w:hanging="574"/>
        <w:jc w:val="both"/>
        <w:rPr>
          <w:rFonts w:ascii="Times New Roman" w:hAnsi="Times New Roman"/>
          <w:kern w:val="2"/>
          <w:szCs w:val="21"/>
        </w:rPr>
      </w:pPr>
      <w:r>
        <w:rPr>
          <w:rFonts w:ascii="Times New Roman" w:hAnsi="Times New Roman"/>
          <w:kern w:val="2"/>
          <w:szCs w:val="21"/>
        </w:rPr>
        <w:t>风险利益分析与风险管理的总结，包括已知或可预见的风险相关的信息、任何不良反应、禁忌症和警告。</w:t>
      </w:r>
    </w:p>
    <w:p w14:paraId="2DBFE966">
      <w:pPr>
        <w:pStyle w:val="32"/>
        <w:numPr>
          <w:ilvl w:val="2"/>
          <w:numId w:val="233"/>
        </w:numPr>
        <w:tabs>
          <w:tab w:val="left" w:pos="1218"/>
        </w:tabs>
        <w:topLinePunct/>
        <w:snapToGrid w:val="0"/>
        <w:spacing w:beforeLines="25" w:line="300" w:lineRule="auto"/>
        <w:ind w:left="1218" w:hanging="574"/>
        <w:jc w:val="both"/>
        <w:rPr>
          <w:rFonts w:ascii="Times New Roman" w:hAnsi="Times New Roman"/>
          <w:kern w:val="2"/>
          <w:szCs w:val="21"/>
        </w:rPr>
      </w:pPr>
      <w:r>
        <w:rPr>
          <w:rFonts w:ascii="Times New Roman" w:hAnsi="Times New Roman"/>
          <w:kern w:val="2"/>
          <w:szCs w:val="21"/>
        </w:rPr>
        <w:t>对于药械组合的器械，包括人体血液或血浆的衍生物，或生产时利用非活性人体或动物组织或细胞或其衍生物，该药物或者组织或细胞或其衍生物的详细信息，或对通用安全与性能要求或药物、组织或细胞或其衍生物相关的特定风险管理的遵从性的详细信息，以及掺入这些成分对关于器械的临床效果和/或安全性的附加价值的证据。</w:t>
      </w:r>
    </w:p>
    <w:p w14:paraId="32E4D68F">
      <w:pPr>
        <w:pStyle w:val="32"/>
        <w:numPr>
          <w:ilvl w:val="2"/>
          <w:numId w:val="233"/>
        </w:numPr>
        <w:tabs>
          <w:tab w:val="left" w:pos="1218"/>
        </w:tabs>
        <w:topLinePunct/>
        <w:snapToGrid w:val="0"/>
        <w:spacing w:beforeLines="25" w:line="300" w:lineRule="auto"/>
        <w:ind w:left="1218" w:hanging="574"/>
        <w:jc w:val="both"/>
        <w:rPr>
          <w:rFonts w:ascii="Times New Roman" w:hAnsi="Times New Roman"/>
          <w:kern w:val="2"/>
          <w:szCs w:val="21"/>
        </w:rPr>
      </w:pPr>
      <w:r>
        <w:rPr>
          <w:rFonts w:ascii="Times New Roman" w:hAnsi="Times New Roman"/>
          <w:kern w:val="2"/>
          <w:szCs w:val="21"/>
        </w:rPr>
        <w:t>详细说明附录I所列相关一般安全性和性能要求的列表，包括全部或部分适用的标准和CS，以及符合（或不符合/仅部分符合这些标准和CS/缺乏）相关一般安全性和性能要求的解决方案说明。</w:t>
      </w:r>
    </w:p>
    <w:p w14:paraId="06A34D9B">
      <w:pPr>
        <w:pStyle w:val="32"/>
        <w:numPr>
          <w:ilvl w:val="2"/>
          <w:numId w:val="233"/>
        </w:numPr>
        <w:tabs>
          <w:tab w:val="left" w:pos="1218"/>
        </w:tabs>
        <w:topLinePunct/>
        <w:snapToGrid w:val="0"/>
        <w:spacing w:beforeLines="25" w:line="300" w:lineRule="auto"/>
        <w:ind w:left="1218" w:hanging="574"/>
        <w:jc w:val="both"/>
        <w:rPr>
          <w:rFonts w:ascii="Times New Roman" w:hAnsi="Times New Roman"/>
          <w:kern w:val="2"/>
          <w:szCs w:val="21"/>
        </w:rPr>
      </w:pPr>
      <w:r>
        <w:rPr>
          <w:rFonts w:ascii="Times New Roman" w:hAnsi="Times New Roman"/>
          <w:kern w:val="2"/>
          <w:szCs w:val="21"/>
        </w:rPr>
        <w:t>对临床研究过程中使用的临床流程和诊断测试的详细说明，以及（特别是）正常临床实践的任何相关偏差信息。</w:t>
      </w:r>
    </w:p>
    <w:p w14:paraId="3A526E2A">
      <w:pPr>
        <w:pStyle w:val="4"/>
        <w:numPr>
          <w:ilvl w:val="1"/>
          <w:numId w:val="233"/>
        </w:numPr>
        <w:tabs>
          <w:tab w:val="left" w:pos="682"/>
        </w:tabs>
        <w:topLinePunct/>
        <w:snapToGrid w:val="0"/>
        <w:spacing w:beforeLines="25" w:line="300" w:lineRule="auto"/>
        <w:ind w:hanging="567"/>
        <w:jc w:val="both"/>
        <w:rPr>
          <w:rFonts w:ascii="Times New Roman" w:hAnsi="Times New Roman"/>
          <w:b w:val="0"/>
          <w:bCs w:val="0"/>
          <w:kern w:val="2"/>
          <w:sz w:val="21"/>
          <w:szCs w:val="21"/>
        </w:rPr>
      </w:pPr>
      <w:r>
        <w:rPr>
          <w:rFonts w:ascii="Times New Roman" w:hAnsi="Times New Roman"/>
          <w:kern w:val="2"/>
          <w:sz w:val="21"/>
          <w:szCs w:val="21"/>
        </w:rPr>
        <w:t>临床研究计划</w:t>
      </w:r>
    </w:p>
    <w:p w14:paraId="7458644E">
      <w:pPr>
        <w:pStyle w:val="8"/>
        <w:topLinePunct/>
        <w:snapToGrid w:val="0"/>
        <w:spacing w:beforeLines="25" w:line="300" w:lineRule="auto"/>
        <w:ind w:firstLine="0"/>
        <w:jc w:val="both"/>
        <w:rPr>
          <w:kern w:val="2"/>
          <w:szCs w:val="21"/>
        </w:rPr>
      </w:pPr>
      <w:bookmarkStart w:id="230" w:name="The_clinical_investigation_plan_(CIP)_sh"/>
      <w:bookmarkEnd w:id="230"/>
      <w:r>
        <w:rPr>
          <w:kern w:val="2"/>
          <w:szCs w:val="21"/>
        </w:rPr>
        <w:t>临床研究计划（CIP）应规定临床研究的理论基础、目标、设计和拟定分析、方法论、监控、执行、记录保存以及临床研究分析方法。其应特别包含本附录所述的信息。若这部分资料以一份单独文件的方式提交，应在CIP中说明。</w:t>
      </w:r>
    </w:p>
    <w:p w14:paraId="5F2E8F15">
      <w:pPr>
        <w:pStyle w:val="32"/>
        <w:numPr>
          <w:ilvl w:val="2"/>
          <w:numId w:val="233"/>
        </w:numPr>
        <w:tabs>
          <w:tab w:val="left" w:pos="682"/>
        </w:tabs>
        <w:topLinePunct/>
        <w:snapToGrid w:val="0"/>
        <w:spacing w:beforeLines="25" w:line="300" w:lineRule="auto"/>
        <w:ind w:hanging="23"/>
        <w:jc w:val="both"/>
        <w:rPr>
          <w:rFonts w:ascii="Times New Roman" w:hAnsi="Times New Roman"/>
          <w:kern w:val="2"/>
          <w:szCs w:val="21"/>
        </w:rPr>
      </w:pPr>
      <w:r>
        <w:rPr>
          <w:rFonts w:hint="eastAsia" w:ascii="Times New Roman" w:hAnsi="Times New Roman"/>
          <w:kern w:val="2"/>
          <w:szCs w:val="21"/>
        </w:rPr>
        <w:t>总则</w:t>
      </w:r>
    </w:p>
    <w:p w14:paraId="49F99A94">
      <w:pPr>
        <w:pStyle w:val="32"/>
        <w:numPr>
          <w:ilvl w:val="2"/>
          <w:numId w:val="235"/>
        </w:numPr>
        <w:tabs>
          <w:tab w:val="left" w:pos="965"/>
        </w:tabs>
        <w:topLinePunct/>
        <w:snapToGrid w:val="0"/>
        <w:spacing w:beforeLines="25" w:line="300" w:lineRule="auto"/>
        <w:ind w:firstLine="296"/>
        <w:jc w:val="both"/>
        <w:rPr>
          <w:rFonts w:ascii="Times New Roman" w:hAnsi="Times New Roman"/>
          <w:kern w:val="2"/>
          <w:szCs w:val="21"/>
        </w:rPr>
      </w:pPr>
      <w:r>
        <w:rPr>
          <w:rFonts w:ascii="Times New Roman" w:hAnsi="Times New Roman"/>
          <w:kern w:val="2"/>
          <w:szCs w:val="21"/>
        </w:rPr>
        <w:t>第70(1)条所述的临床研究的唯一标识号。</w:t>
      </w:r>
    </w:p>
    <w:p w14:paraId="24C9C1D5">
      <w:pPr>
        <w:pStyle w:val="32"/>
        <w:numPr>
          <w:ilvl w:val="2"/>
          <w:numId w:val="235"/>
        </w:numPr>
        <w:tabs>
          <w:tab w:val="left" w:pos="2114"/>
        </w:tabs>
        <w:topLinePunct/>
        <w:snapToGrid w:val="0"/>
        <w:spacing w:beforeLines="25" w:line="300" w:lineRule="auto"/>
        <w:ind w:left="2128" w:hanging="868"/>
        <w:jc w:val="both"/>
        <w:rPr>
          <w:rFonts w:ascii="Times New Roman" w:hAnsi="Times New Roman"/>
          <w:kern w:val="2"/>
          <w:szCs w:val="21"/>
        </w:rPr>
      </w:pPr>
      <w:r>
        <w:rPr>
          <w:rFonts w:ascii="Times New Roman" w:hAnsi="Times New Roman"/>
          <w:kern w:val="2"/>
          <w:szCs w:val="21"/>
        </w:rPr>
        <w:t>根据第62(2)条，提供</w:t>
      </w:r>
      <w:r>
        <w:rPr>
          <w:rFonts w:hint="eastAsia" w:ascii="Times New Roman" w:hAnsi="Times New Roman"/>
          <w:kern w:val="2"/>
          <w:szCs w:val="21"/>
        </w:rPr>
        <w:t>来自</w:t>
      </w:r>
      <w:r>
        <w:rPr>
          <w:rFonts w:ascii="Times New Roman" w:hAnsi="Times New Roman"/>
          <w:kern w:val="2"/>
          <w:szCs w:val="21"/>
          <w:lang w:val="en-US"/>
        </w:rPr>
        <w:t>欧盟</w:t>
      </w:r>
      <w:r>
        <w:rPr>
          <w:rFonts w:hint="eastAsia" w:ascii="Times New Roman" w:hAnsi="Times New Roman"/>
          <w:kern w:val="2"/>
          <w:szCs w:val="21"/>
          <w:lang w:val="en-US"/>
        </w:rPr>
        <w:t>的</w:t>
      </w:r>
      <w:r>
        <w:rPr>
          <w:rFonts w:ascii="Times New Roman" w:hAnsi="Times New Roman"/>
          <w:kern w:val="2"/>
          <w:szCs w:val="21"/>
        </w:rPr>
        <w:t>申办方的标识信息——申办方联系人的名称、地址和联系方式，或指定的其法定代理人的姓名、地址和联系方式（如适用）。</w:t>
      </w:r>
    </w:p>
    <w:p w14:paraId="52056BB7">
      <w:pPr>
        <w:pStyle w:val="32"/>
        <w:numPr>
          <w:ilvl w:val="2"/>
          <w:numId w:val="235"/>
        </w:numPr>
        <w:tabs>
          <w:tab w:val="left" w:pos="2114"/>
        </w:tabs>
        <w:topLinePunct/>
        <w:snapToGrid w:val="0"/>
        <w:spacing w:beforeLines="25" w:line="300" w:lineRule="auto"/>
        <w:ind w:left="2128" w:hanging="868"/>
        <w:jc w:val="both"/>
        <w:rPr>
          <w:rFonts w:ascii="Times New Roman" w:hAnsi="Times New Roman"/>
          <w:kern w:val="2"/>
          <w:szCs w:val="21"/>
        </w:rPr>
      </w:pPr>
      <w:r>
        <w:rPr>
          <w:rFonts w:ascii="Times New Roman" w:hAnsi="Times New Roman"/>
          <w:kern w:val="2"/>
          <w:szCs w:val="21"/>
        </w:rPr>
        <w:t>各试验机构的主要研究者以及协调研究者的信息、各试验机构的地址信息以及各机构主要研究者的紧急联系方式。各类研究者的任务、职责和资质应在CIP中</w:t>
      </w:r>
      <w:r>
        <w:rPr>
          <w:rFonts w:hint="eastAsia" w:ascii="Times New Roman" w:hAnsi="Times New Roman"/>
          <w:kern w:val="2"/>
          <w:szCs w:val="21"/>
        </w:rPr>
        <w:t>做出</w:t>
      </w:r>
      <w:r>
        <w:rPr>
          <w:rFonts w:ascii="Times New Roman" w:hAnsi="Times New Roman"/>
          <w:kern w:val="2"/>
          <w:szCs w:val="21"/>
        </w:rPr>
        <w:t>规定。</w:t>
      </w:r>
    </w:p>
    <w:p w14:paraId="50984588">
      <w:pPr>
        <w:pStyle w:val="32"/>
        <w:numPr>
          <w:ilvl w:val="2"/>
          <w:numId w:val="235"/>
        </w:numPr>
        <w:tabs>
          <w:tab w:val="left" w:pos="2114"/>
        </w:tabs>
        <w:topLinePunct/>
        <w:snapToGrid w:val="0"/>
        <w:spacing w:beforeLines="25" w:line="300" w:lineRule="auto"/>
        <w:ind w:left="2128" w:hanging="868"/>
        <w:jc w:val="both"/>
        <w:rPr>
          <w:rFonts w:ascii="Times New Roman" w:hAnsi="Times New Roman"/>
          <w:kern w:val="2"/>
          <w:szCs w:val="21"/>
        </w:rPr>
      </w:pPr>
      <w:r>
        <w:rPr>
          <w:rFonts w:ascii="Times New Roman" w:hAnsi="Times New Roman"/>
          <w:kern w:val="2"/>
          <w:szCs w:val="21"/>
        </w:rPr>
        <w:br w:type="page"/>
      </w:r>
      <w:r>
        <w:rPr>
          <w:rFonts w:ascii="Times New Roman" w:hAnsi="Times New Roman"/>
          <w:kern w:val="2"/>
          <w:szCs w:val="21"/>
        </w:rPr>
        <w:t>对临床研究费用的简要说明和对申办方与机构之间所达成协议的简要说明。</w:t>
      </w:r>
    </w:p>
    <w:p w14:paraId="5825C9F7">
      <w:pPr>
        <w:pStyle w:val="32"/>
        <w:numPr>
          <w:ilvl w:val="2"/>
          <w:numId w:val="235"/>
        </w:numPr>
        <w:tabs>
          <w:tab w:val="left" w:pos="2114"/>
        </w:tabs>
        <w:topLinePunct/>
        <w:snapToGrid w:val="0"/>
        <w:spacing w:beforeLines="25" w:line="300" w:lineRule="auto"/>
        <w:ind w:left="2128" w:hanging="868"/>
        <w:jc w:val="both"/>
        <w:rPr>
          <w:rFonts w:ascii="Times New Roman" w:hAnsi="Times New Roman"/>
          <w:kern w:val="2"/>
          <w:szCs w:val="21"/>
        </w:rPr>
      </w:pPr>
      <w:r>
        <w:rPr>
          <w:rFonts w:ascii="Times New Roman" w:hAnsi="Times New Roman"/>
          <w:kern w:val="2"/>
          <w:szCs w:val="21"/>
        </w:rPr>
        <w:t>采用成员国确定的欧盟官方语言编写的临床研究概要；</w:t>
      </w:r>
    </w:p>
    <w:p w14:paraId="51C2854D">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器械的标识和说明（包括其预期用途、其制造商、其溯源性、其预期使用者、接触人体的材料、在其使用过程中涉及的医疗或外科手术、以及必要的使用培训和使用体验）、新器械的背景文献综述、应用领域中临床医学的现有技术发展水平和拟议效果。</w:t>
      </w:r>
    </w:p>
    <w:p w14:paraId="31C58402">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待检验器械的风险和临床益处，包括在临床研究计划中相应预期临床结果的适当证明。</w:t>
      </w:r>
    </w:p>
    <w:p w14:paraId="06DDCB34">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在临床实践的现有技术发展水平下对临床研究相关性的说明。</w:t>
      </w:r>
    </w:p>
    <w:p w14:paraId="5FEA2A6E">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临床研究的目标和假设。</w:t>
      </w:r>
    </w:p>
    <w:p w14:paraId="4190870B">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临床研究的设计，包括对其科学的可靠性和有效性的适当证明。</w:t>
      </w:r>
    </w:p>
    <w:p w14:paraId="575681CA">
      <w:pPr>
        <w:pStyle w:val="32"/>
        <w:numPr>
          <w:ilvl w:val="2"/>
          <w:numId w:val="225"/>
        </w:numPr>
        <w:tabs>
          <w:tab w:val="clear" w:pos="833"/>
        </w:tabs>
        <w:topLinePunct/>
        <w:snapToGrid w:val="0"/>
        <w:spacing w:beforeLines="25" w:line="300" w:lineRule="auto"/>
        <w:ind w:left="1974" w:hanging="714"/>
        <w:jc w:val="both"/>
        <w:rPr>
          <w:rFonts w:ascii="Times New Roman" w:hAnsi="Times New Roman"/>
          <w:kern w:val="2"/>
          <w:szCs w:val="21"/>
        </w:rPr>
      </w:pPr>
      <w:r>
        <w:rPr>
          <w:rFonts w:ascii="Times New Roman" w:hAnsi="Times New Roman"/>
          <w:kern w:val="2"/>
          <w:szCs w:val="21"/>
        </w:rPr>
        <w:t>基本信息，如研究的类型，并需说明临床评价计划中规定的各项选择、指标、变量的选用理由。</w:t>
      </w:r>
    </w:p>
    <w:p w14:paraId="4474EE0A">
      <w:pPr>
        <w:pStyle w:val="32"/>
        <w:numPr>
          <w:ilvl w:val="2"/>
          <w:numId w:val="225"/>
        </w:numPr>
        <w:tabs>
          <w:tab w:val="clear" w:pos="833"/>
        </w:tabs>
        <w:topLinePunct/>
        <w:snapToGrid w:val="0"/>
        <w:spacing w:beforeLines="25" w:line="300" w:lineRule="auto"/>
        <w:ind w:left="1974" w:hanging="714"/>
        <w:jc w:val="both"/>
        <w:rPr>
          <w:rFonts w:ascii="Times New Roman" w:hAnsi="Times New Roman"/>
          <w:kern w:val="2"/>
          <w:szCs w:val="21"/>
        </w:rPr>
      </w:pPr>
      <w:r>
        <w:rPr>
          <w:rFonts w:ascii="Times New Roman" w:hAnsi="Times New Roman"/>
          <w:kern w:val="2"/>
          <w:szCs w:val="21"/>
        </w:rPr>
        <w:t>临床研究中使用的试验用器械、任何比对器械和任何其他器械或药物的相关信息。</w:t>
      </w:r>
    </w:p>
    <w:p w14:paraId="39003AFC">
      <w:pPr>
        <w:pStyle w:val="32"/>
        <w:numPr>
          <w:ilvl w:val="2"/>
          <w:numId w:val="225"/>
        </w:numPr>
        <w:tabs>
          <w:tab w:val="clear" w:pos="833"/>
        </w:tabs>
        <w:topLinePunct/>
        <w:snapToGrid w:val="0"/>
        <w:spacing w:beforeLines="25" w:line="300" w:lineRule="auto"/>
        <w:ind w:left="1974" w:hanging="714"/>
        <w:jc w:val="both"/>
        <w:rPr>
          <w:rFonts w:ascii="Times New Roman" w:hAnsi="Times New Roman"/>
          <w:kern w:val="2"/>
          <w:szCs w:val="21"/>
        </w:rPr>
      </w:pPr>
      <w:r>
        <w:rPr>
          <w:rFonts w:ascii="Times New Roman" w:hAnsi="Times New Roman"/>
          <w:kern w:val="2"/>
          <w:szCs w:val="21"/>
        </w:rPr>
        <w:t>受试者相关的信息、选择标准、研究人群的规模、关于目标人群的研究人群代表，以及（如适用）所涉及弱势受试者相关的信息，例如孕妇、儿童、免疫力低下者、老年人等）。</w:t>
      </w:r>
    </w:p>
    <w:p w14:paraId="49BD6DF9">
      <w:pPr>
        <w:pStyle w:val="32"/>
        <w:numPr>
          <w:ilvl w:val="2"/>
          <w:numId w:val="225"/>
        </w:numPr>
        <w:tabs>
          <w:tab w:val="clear" w:pos="833"/>
        </w:tabs>
        <w:topLinePunct/>
        <w:snapToGrid w:val="0"/>
        <w:spacing w:beforeLines="25" w:line="300" w:lineRule="auto"/>
        <w:ind w:left="1974" w:hanging="714"/>
        <w:jc w:val="both"/>
        <w:rPr>
          <w:rFonts w:ascii="Times New Roman" w:hAnsi="Times New Roman"/>
          <w:kern w:val="2"/>
          <w:szCs w:val="21"/>
        </w:rPr>
      </w:pPr>
      <w:r>
        <w:rPr>
          <w:rFonts w:ascii="Times New Roman" w:hAnsi="Times New Roman"/>
          <w:kern w:val="2"/>
          <w:szCs w:val="21"/>
        </w:rPr>
        <w:t>尽量减少偏差（例如随机化）需采取的措施和对潜在混杂因素的管理的详细信息。</w:t>
      </w:r>
    </w:p>
    <w:p w14:paraId="7E224DFD">
      <w:pPr>
        <w:pStyle w:val="32"/>
        <w:numPr>
          <w:ilvl w:val="2"/>
          <w:numId w:val="225"/>
        </w:numPr>
        <w:tabs>
          <w:tab w:val="clear" w:pos="833"/>
        </w:tabs>
        <w:topLinePunct/>
        <w:snapToGrid w:val="0"/>
        <w:spacing w:beforeLines="25" w:line="300" w:lineRule="auto"/>
        <w:ind w:left="1974" w:hanging="714"/>
        <w:jc w:val="both"/>
        <w:rPr>
          <w:rFonts w:ascii="Times New Roman" w:hAnsi="Times New Roman"/>
          <w:kern w:val="2"/>
          <w:szCs w:val="21"/>
        </w:rPr>
      </w:pPr>
      <w:r>
        <w:rPr>
          <w:rFonts w:ascii="Times New Roman" w:hAnsi="Times New Roman"/>
          <w:kern w:val="2"/>
          <w:szCs w:val="21"/>
        </w:rPr>
        <w:t>对临床研究相关临床流程和诊断方法的说明，并特别突出与正常临床实践的任何偏差。</w:t>
      </w:r>
    </w:p>
    <w:p w14:paraId="1BDDD539">
      <w:pPr>
        <w:pStyle w:val="32"/>
        <w:numPr>
          <w:ilvl w:val="2"/>
          <w:numId w:val="225"/>
        </w:numPr>
        <w:tabs>
          <w:tab w:val="clear" w:pos="833"/>
        </w:tabs>
        <w:topLinePunct/>
        <w:snapToGrid w:val="0"/>
        <w:spacing w:beforeLines="25" w:line="300" w:lineRule="auto"/>
        <w:ind w:left="1974" w:hanging="714"/>
        <w:jc w:val="both"/>
        <w:rPr>
          <w:rFonts w:ascii="Times New Roman" w:hAnsi="Times New Roman"/>
          <w:kern w:val="2"/>
          <w:szCs w:val="21"/>
        </w:rPr>
      </w:pPr>
      <w:r>
        <w:rPr>
          <w:rFonts w:ascii="Times New Roman" w:hAnsi="Times New Roman"/>
          <w:kern w:val="2"/>
          <w:szCs w:val="21"/>
        </w:rPr>
        <w:t>监测计划。</w:t>
      </w:r>
    </w:p>
    <w:p w14:paraId="649EF11D">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统计方面的考虑，并说明其理由，包括样本量的检验效能（power）计算（如适用）。</w:t>
      </w:r>
    </w:p>
    <w:p w14:paraId="23EC802B">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数据管理。</w:t>
      </w:r>
    </w:p>
    <w:p w14:paraId="2F928614">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对CIP的任何修改信息。</w:t>
      </w:r>
    </w:p>
    <w:p w14:paraId="7D8E9986">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在试验机构</w:t>
      </w:r>
      <w:r>
        <w:rPr>
          <w:rFonts w:hint="eastAsia" w:ascii="Times New Roman" w:hAnsi="Times New Roman"/>
          <w:kern w:val="2"/>
          <w:szCs w:val="21"/>
          <w:lang w:val="en-US"/>
        </w:rPr>
        <w:t>跟踪</w:t>
      </w:r>
      <w:r>
        <w:rPr>
          <w:rFonts w:ascii="Times New Roman" w:hAnsi="Times New Roman"/>
          <w:kern w:val="2"/>
          <w:szCs w:val="21"/>
        </w:rPr>
        <w:t>和管理与CIP的任何偏差以及明确禁止CIP豁免相关的政策。</w:t>
      </w:r>
    </w:p>
    <w:p w14:paraId="5C144217">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对器械的责任，特别是控制对器械的使用，对临床研究中使用器械的追踪以及退还未使用、注册到期或有故障的器械。</w:t>
      </w:r>
    </w:p>
    <w:p w14:paraId="26FEAC6D">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遵守涉及人类的医学研究公认伦理原则</w:t>
      </w:r>
      <w:r>
        <w:rPr>
          <w:rFonts w:hint="eastAsia" w:ascii="Times New Roman" w:hAnsi="Times New Roman"/>
          <w:kern w:val="2"/>
          <w:szCs w:val="21"/>
        </w:rPr>
        <w:t>、《医疗器械</w:t>
      </w:r>
      <w:r>
        <w:rPr>
          <w:rFonts w:ascii="Times New Roman" w:hAnsi="Times New Roman"/>
          <w:kern w:val="2"/>
          <w:szCs w:val="21"/>
          <w:lang w:val="en-US"/>
        </w:rPr>
        <w:t>临床试验质量管理规范</w:t>
      </w:r>
      <w:r>
        <w:rPr>
          <w:rFonts w:hint="eastAsia" w:ascii="Times New Roman" w:hAnsi="Times New Roman"/>
          <w:kern w:val="2"/>
          <w:szCs w:val="21"/>
          <w:lang w:val="en-US"/>
        </w:rPr>
        <w:t>》</w:t>
      </w:r>
      <w:r>
        <w:rPr>
          <w:rFonts w:ascii="Times New Roman" w:hAnsi="Times New Roman"/>
          <w:kern w:val="2"/>
          <w:szCs w:val="21"/>
        </w:rPr>
        <w:t>以及适用的法规要求的声明。</w:t>
      </w:r>
    </w:p>
    <w:p w14:paraId="5B6A48FF">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对知情同意过程的说明。</w:t>
      </w:r>
    </w:p>
    <w:p w14:paraId="4C7C85E0">
      <w:pPr>
        <w:pStyle w:val="32"/>
        <w:numPr>
          <w:ilvl w:val="2"/>
          <w:numId w:val="233"/>
        </w:numPr>
        <w:tabs>
          <w:tab w:val="left" w:pos="1260"/>
        </w:tabs>
        <w:topLinePunct/>
        <w:snapToGrid w:val="0"/>
        <w:spacing w:beforeLines="25" w:line="300" w:lineRule="auto"/>
        <w:ind w:left="1274" w:hanging="616"/>
        <w:jc w:val="both"/>
        <w:rPr>
          <w:rFonts w:ascii="Times New Roman" w:hAnsi="Times New Roman"/>
          <w:kern w:val="2"/>
          <w:szCs w:val="21"/>
        </w:rPr>
      </w:pPr>
      <w:r>
        <w:rPr>
          <w:rFonts w:ascii="Times New Roman" w:hAnsi="Times New Roman"/>
          <w:kern w:val="2"/>
          <w:szCs w:val="21"/>
        </w:rPr>
        <w:t>安全性报告，包括对不良事件和严重不良事件的定义、报告的器械缺陷、流程和时间表。</w:t>
      </w:r>
    </w:p>
    <w:p w14:paraId="6EB2D8B9">
      <w:pPr>
        <w:pStyle w:val="32"/>
        <w:numPr>
          <w:ilvl w:val="2"/>
          <w:numId w:val="233"/>
        </w:numPr>
        <w:tabs>
          <w:tab w:val="left" w:pos="1260"/>
        </w:tabs>
        <w:topLinePunct/>
        <w:snapToGrid w:val="0"/>
        <w:spacing w:beforeLines="50" w:line="300" w:lineRule="auto"/>
        <w:ind w:left="1274" w:hanging="616"/>
        <w:jc w:val="both"/>
        <w:rPr>
          <w:rFonts w:ascii="Times New Roman" w:hAnsi="Times New Roman"/>
          <w:kern w:val="2"/>
          <w:szCs w:val="21"/>
        </w:rPr>
      </w:pPr>
      <w:r>
        <w:rPr>
          <w:rFonts w:ascii="Times New Roman" w:hAnsi="Times New Roman"/>
          <w:kern w:val="2"/>
          <w:szCs w:val="21"/>
        </w:rPr>
        <w:br w:type="page"/>
      </w:r>
      <w:r>
        <w:rPr>
          <w:rFonts w:ascii="Times New Roman" w:hAnsi="Times New Roman"/>
          <w:kern w:val="2"/>
          <w:szCs w:val="21"/>
        </w:rPr>
        <w:t>结束、暂时中断或提前终止研究之后对受试者进行跟踪、对撤回知情同意书的受试者进行</w:t>
      </w:r>
      <w:r>
        <w:rPr>
          <w:rFonts w:hint="eastAsia" w:ascii="Times New Roman" w:hAnsi="Times New Roman"/>
          <w:kern w:val="2"/>
          <w:szCs w:val="21"/>
          <w:lang w:val="en-US"/>
        </w:rPr>
        <w:t>跟踪，</w:t>
      </w:r>
      <w:r>
        <w:rPr>
          <w:rFonts w:ascii="Times New Roman" w:hAnsi="Times New Roman"/>
          <w:kern w:val="2"/>
          <w:szCs w:val="21"/>
        </w:rPr>
        <w:t>以及对失联受试者进行</w:t>
      </w:r>
      <w:r>
        <w:rPr>
          <w:rFonts w:hint="eastAsia" w:ascii="Times New Roman" w:hAnsi="Times New Roman"/>
          <w:kern w:val="2"/>
          <w:szCs w:val="21"/>
          <w:lang w:val="en-US"/>
        </w:rPr>
        <w:t>跟踪</w:t>
      </w:r>
      <w:r>
        <w:rPr>
          <w:rFonts w:ascii="Times New Roman" w:hAnsi="Times New Roman"/>
          <w:kern w:val="2"/>
          <w:szCs w:val="21"/>
        </w:rPr>
        <w:t>的准则和流程。对于植入性器械，此类流程必须包含可追溯性。</w:t>
      </w:r>
    </w:p>
    <w:p w14:paraId="1BBA0F76">
      <w:pPr>
        <w:pStyle w:val="32"/>
        <w:numPr>
          <w:ilvl w:val="2"/>
          <w:numId w:val="233"/>
        </w:numPr>
        <w:tabs>
          <w:tab w:val="left" w:pos="1260"/>
        </w:tabs>
        <w:topLinePunct/>
        <w:snapToGrid w:val="0"/>
        <w:spacing w:beforeLines="50" w:line="300" w:lineRule="auto"/>
        <w:ind w:left="1274" w:hanging="616"/>
        <w:jc w:val="both"/>
        <w:rPr>
          <w:rFonts w:ascii="Times New Roman" w:hAnsi="Times New Roman"/>
          <w:kern w:val="2"/>
          <w:szCs w:val="21"/>
        </w:rPr>
      </w:pPr>
      <w:r>
        <w:rPr>
          <w:rFonts w:ascii="Times New Roman" w:hAnsi="Times New Roman"/>
          <w:kern w:val="2"/>
          <w:szCs w:val="21"/>
        </w:rPr>
        <w:t>对临床研究结束后受试者照护安排的说明（当由于受试者对临床研究的参与使得额外照护很有必要时，或当情况偏离对所述医疗条件的正常预期时）。</w:t>
      </w:r>
    </w:p>
    <w:p w14:paraId="466586BF">
      <w:pPr>
        <w:pStyle w:val="32"/>
        <w:numPr>
          <w:ilvl w:val="2"/>
          <w:numId w:val="233"/>
        </w:numPr>
        <w:tabs>
          <w:tab w:val="left" w:pos="1260"/>
        </w:tabs>
        <w:topLinePunct/>
        <w:snapToGrid w:val="0"/>
        <w:spacing w:beforeLines="50" w:line="300" w:lineRule="auto"/>
        <w:ind w:left="1274" w:hanging="616"/>
        <w:jc w:val="both"/>
        <w:rPr>
          <w:rFonts w:ascii="Times New Roman" w:hAnsi="Times New Roman"/>
          <w:kern w:val="2"/>
          <w:szCs w:val="21"/>
        </w:rPr>
      </w:pPr>
      <w:r>
        <w:rPr>
          <w:rFonts w:ascii="Times New Roman" w:hAnsi="Times New Roman"/>
          <w:kern w:val="2"/>
          <w:szCs w:val="21"/>
        </w:rPr>
        <w:tab/>
      </w:r>
      <w:r>
        <w:rPr>
          <w:rFonts w:ascii="Times New Roman" w:hAnsi="Times New Roman"/>
          <w:kern w:val="2"/>
          <w:szCs w:val="21"/>
        </w:rPr>
        <w:t>按照第I章第1节中所述的法律要求和伦理原则制定临床研究报告和公布结果方面的政策</w:t>
      </w:r>
    </w:p>
    <w:p w14:paraId="38A8F23B">
      <w:pPr>
        <w:pStyle w:val="32"/>
        <w:numPr>
          <w:ilvl w:val="2"/>
          <w:numId w:val="233"/>
        </w:numPr>
        <w:tabs>
          <w:tab w:val="left" w:pos="1260"/>
        </w:tabs>
        <w:topLinePunct/>
        <w:snapToGrid w:val="0"/>
        <w:spacing w:beforeLines="50" w:line="300" w:lineRule="auto"/>
        <w:ind w:left="1274" w:hanging="616"/>
        <w:jc w:val="both"/>
        <w:rPr>
          <w:rFonts w:ascii="Times New Roman" w:hAnsi="Times New Roman"/>
          <w:kern w:val="2"/>
          <w:szCs w:val="21"/>
        </w:rPr>
      </w:pPr>
      <w:r>
        <w:rPr>
          <w:rFonts w:ascii="Times New Roman" w:hAnsi="Times New Roman"/>
          <w:kern w:val="2"/>
          <w:szCs w:val="21"/>
        </w:rPr>
        <w:t>器械的技术和功能特征列表，列明研究所涵盖的技术和功能特征。</w:t>
      </w:r>
    </w:p>
    <w:p w14:paraId="6F8F3502">
      <w:pPr>
        <w:pStyle w:val="32"/>
        <w:numPr>
          <w:ilvl w:val="2"/>
          <w:numId w:val="233"/>
        </w:numPr>
        <w:tabs>
          <w:tab w:val="left" w:pos="1260"/>
        </w:tabs>
        <w:topLinePunct/>
        <w:snapToGrid w:val="0"/>
        <w:spacing w:beforeLines="50" w:line="300" w:lineRule="auto"/>
        <w:ind w:left="1274" w:hanging="616"/>
        <w:jc w:val="both"/>
        <w:rPr>
          <w:rFonts w:ascii="Times New Roman" w:hAnsi="Times New Roman"/>
          <w:kern w:val="2"/>
          <w:szCs w:val="21"/>
        </w:rPr>
      </w:pPr>
      <w:r>
        <w:rPr>
          <w:rFonts w:ascii="Times New Roman" w:hAnsi="Times New Roman"/>
          <w:kern w:val="2"/>
          <w:szCs w:val="21"/>
        </w:rPr>
        <w:t>参考书目。</w:t>
      </w:r>
    </w:p>
    <w:p w14:paraId="4E4537A3">
      <w:pPr>
        <w:pStyle w:val="4"/>
        <w:numPr>
          <w:ilvl w:val="1"/>
          <w:numId w:val="233"/>
        </w:numPr>
        <w:tabs>
          <w:tab w:val="left" w:pos="682"/>
        </w:tabs>
        <w:topLinePunct/>
        <w:snapToGrid w:val="0"/>
        <w:spacing w:beforeLines="50" w:line="300" w:lineRule="auto"/>
        <w:ind w:hanging="567"/>
        <w:jc w:val="both"/>
        <w:rPr>
          <w:rFonts w:ascii="Times New Roman" w:hAnsi="Times New Roman"/>
          <w:b w:val="0"/>
          <w:bCs w:val="0"/>
          <w:kern w:val="2"/>
          <w:sz w:val="21"/>
          <w:szCs w:val="21"/>
        </w:rPr>
      </w:pPr>
      <w:bookmarkStart w:id="231" w:name="4._Other_information"/>
      <w:bookmarkEnd w:id="231"/>
      <w:r>
        <w:rPr>
          <w:rFonts w:ascii="Times New Roman" w:hAnsi="Times New Roman"/>
          <w:kern w:val="2"/>
          <w:sz w:val="21"/>
          <w:szCs w:val="21"/>
        </w:rPr>
        <w:t>其他信息</w:t>
      </w:r>
    </w:p>
    <w:p w14:paraId="64C8768E">
      <w:pPr>
        <w:pStyle w:val="32"/>
        <w:numPr>
          <w:ilvl w:val="2"/>
          <w:numId w:val="233"/>
        </w:numPr>
        <w:topLinePunct/>
        <w:snapToGrid w:val="0"/>
        <w:spacing w:beforeLines="50" w:line="300" w:lineRule="auto"/>
        <w:ind w:left="1260" w:hanging="588"/>
        <w:jc w:val="both"/>
        <w:rPr>
          <w:rFonts w:ascii="Times New Roman" w:hAnsi="Times New Roman"/>
          <w:kern w:val="2"/>
          <w:szCs w:val="21"/>
        </w:rPr>
      </w:pPr>
      <w:r>
        <w:rPr>
          <w:rFonts w:ascii="Times New Roman" w:hAnsi="Times New Roman"/>
          <w:kern w:val="2"/>
          <w:szCs w:val="21"/>
        </w:rPr>
        <w:t>负责生产试验用器械的自然人或法人签字的声明，声明除了临床研究所涵盖的方面外，所述器械的其他方面均符合通用安全与性能要求，并声明对于临床研究所涵盖的方面，也已采取一切预防措施来保护受试者的健康和安全。</w:t>
      </w:r>
    </w:p>
    <w:p w14:paraId="55D02492">
      <w:pPr>
        <w:pStyle w:val="32"/>
        <w:numPr>
          <w:ilvl w:val="2"/>
          <w:numId w:val="233"/>
        </w:numPr>
        <w:topLinePunct/>
        <w:snapToGrid w:val="0"/>
        <w:spacing w:beforeLines="50" w:line="300" w:lineRule="auto"/>
        <w:ind w:left="1260" w:hanging="588"/>
        <w:jc w:val="both"/>
        <w:rPr>
          <w:rFonts w:ascii="Times New Roman" w:hAnsi="Times New Roman"/>
          <w:kern w:val="2"/>
          <w:szCs w:val="21"/>
        </w:rPr>
      </w:pPr>
      <w:r>
        <w:rPr>
          <w:rFonts w:ascii="Times New Roman" w:hAnsi="Times New Roman"/>
          <w:kern w:val="2"/>
          <w:szCs w:val="21"/>
        </w:rPr>
        <w:t>根据国家法律规定（如适用）提交的一份相关伦理委员会的意见副本。如根据国家法律规定，不需要在提交申请表时提交伦理委员会的意见时，应在获得后尽快提交一份伦理委员会的意见副本。</w:t>
      </w:r>
    </w:p>
    <w:p w14:paraId="5E171165">
      <w:pPr>
        <w:pStyle w:val="32"/>
        <w:numPr>
          <w:ilvl w:val="2"/>
          <w:numId w:val="233"/>
        </w:numPr>
        <w:topLinePunct/>
        <w:snapToGrid w:val="0"/>
        <w:spacing w:beforeLines="50" w:line="300" w:lineRule="auto"/>
        <w:ind w:left="1260" w:hanging="588"/>
        <w:jc w:val="both"/>
        <w:rPr>
          <w:rFonts w:ascii="Times New Roman" w:hAnsi="Times New Roman"/>
          <w:kern w:val="2"/>
          <w:szCs w:val="21"/>
        </w:rPr>
      </w:pPr>
      <w:r>
        <w:rPr>
          <w:rFonts w:ascii="Times New Roman" w:hAnsi="Times New Roman"/>
          <w:kern w:val="2"/>
          <w:szCs w:val="21"/>
        </w:rPr>
        <w:t>在受试者受到人身伤害的情况下，根据第69条和相应的国家法律规定提交的投保或赔偿证明。</w:t>
      </w:r>
    </w:p>
    <w:p w14:paraId="39B4F621">
      <w:pPr>
        <w:pStyle w:val="32"/>
        <w:numPr>
          <w:ilvl w:val="2"/>
          <w:numId w:val="233"/>
        </w:numPr>
        <w:topLinePunct/>
        <w:snapToGrid w:val="0"/>
        <w:spacing w:beforeLines="50" w:line="300" w:lineRule="auto"/>
        <w:ind w:left="1260" w:hanging="588"/>
        <w:jc w:val="both"/>
        <w:rPr>
          <w:rFonts w:ascii="Times New Roman" w:hAnsi="Times New Roman"/>
          <w:kern w:val="2"/>
          <w:szCs w:val="21"/>
        </w:rPr>
      </w:pPr>
      <w:r>
        <w:rPr>
          <w:rFonts w:ascii="Times New Roman" w:hAnsi="Times New Roman"/>
          <w:kern w:val="2"/>
          <w:szCs w:val="21"/>
        </w:rPr>
        <w:t>用于获得知情同意书的文件，包括患者信息表和知情同意文件。</w:t>
      </w:r>
    </w:p>
    <w:p w14:paraId="58D05C4D">
      <w:pPr>
        <w:pStyle w:val="32"/>
        <w:numPr>
          <w:ilvl w:val="2"/>
          <w:numId w:val="233"/>
        </w:numPr>
        <w:topLinePunct/>
        <w:snapToGrid w:val="0"/>
        <w:spacing w:beforeLines="50" w:line="300" w:lineRule="auto"/>
        <w:ind w:left="1260" w:hanging="588"/>
        <w:jc w:val="both"/>
        <w:rPr>
          <w:rFonts w:ascii="Times New Roman" w:hAnsi="Times New Roman"/>
          <w:kern w:val="2"/>
          <w:szCs w:val="21"/>
        </w:rPr>
      </w:pPr>
      <w:r>
        <w:rPr>
          <w:rFonts w:ascii="Times New Roman" w:hAnsi="Times New Roman"/>
          <w:kern w:val="2"/>
          <w:szCs w:val="21"/>
        </w:rPr>
        <w:t>说明遵守关于个人资料保护和保密适用规则的安排，特别是：</w:t>
      </w:r>
    </w:p>
    <w:p w14:paraId="07D029CB">
      <w:pPr>
        <w:pStyle w:val="32"/>
        <w:numPr>
          <w:ilvl w:val="3"/>
          <w:numId w:val="236"/>
        </w:numPr>
        <w:topLinePunct/>
        <w:snapToGrid w:val="0"/>
        <w:spacing w:beforeLines="50" w:line="300" w:lineRule="auto"/>
        <w:ind w:left="1694" w:hanging="476"/>
        <w:jc w:val="both"/>
        <w:rPr>
          <w:rFonts w:ascii="Times New Roman" w:hAnsi="Times New Roman"/>
          <w:kern w:val="2"/>
          <w:szCs w:val="21"/>
        </w:rPr>
      </w:pPr>
      <w:r>
        <w:rPr>
          <w:rFonts w:ascii="Times New Roman" w:hAnsi="Times New Roman"/>
          <w:kern w:val="2"/>
          <w:szCs w:val="21"/>
        </w:rPr>
        <w:t>将实施的组织和技术安排，以避免未经授权地访问、披露、传播、变更或丢失已处理的信息和个人数据；</w:t>
      </w:r>
    </w:p>
    <w:p w14:paraId="6CD1FC27">
      <w:pPr>
        <w:pStyle w:val="32"/>
        <w:numPr>
          <w:ilvl w:val="3"/>
          <w:numId w:val="236"/>
        </w:numPr>
        <w:topLinePunct/>
        <w:snapToGrid w:val="0"/>
        <w:spacing w:beforeLines="50" w:line="300" w:lineRule="auto"/>
        <w:ind w:left="1694" w:hanging="476"/>
        <w:jc w:val="both"/>
        <w:rPr>
          <w:rFonts w:ascii="Times New Roman" w:hAnsi="Times New Roman"/>
          <w:kern w:val="2"/>
          <w:szCs w:val="21"/>
        </w:rPr>
      </w:pPr>
      <w:r>
        <w:rPr>
          <w:rFonts w:ascii="Times New Roman" w:hAnsi="Times New Roman"/>
          <w:kern w:val="2"/>
          <w:szCs w:val="21"/>
        </w:rPr>
        <w:t>为确保受试者的记录和个人资料保密而将被实施的各项措施的说明；</w:t>
      </w:r>
    </w:p>
    <w:p w14:paraId="153977DD">
      <w:pPr>
        <w:pStyle w:val="32"/>
        <w:numPr>
          <w:ilvl w:val="3"/>
          <w:numId w:val="236"/>
        </w:numPr>
        <w:topLinePunct/>
        <w:snapToGrid w:val="0"/>
        <w:spacing w:beforeLines="50" w:line="300" w:lineRule="auto"/>
        <w:ind w:left="1694" w:hanging="476"/>
        <w:jc w:val="both"/>
        <w:rPr>
          <w:rFonts w:ascii="Times New Roman" w:hAnsi="Times New Roman"/>
          <w:kern w:val="2"/>
          <w:szCs w:val="21"/>
        </w:rPr>
      </w:pPr>
      <w:r>
        <w:rPr>
          <w:rFonts w:ascii="Times New Roman" w:hAnsi="Times New Roman"/>
          <w:kern w:val="2"/>
          <w:szCs w:val="21"/>
        </w:rPr>
        <w:t>说明在数据安全漏洞的情况下将采取的措施，以减少可能的不利影响。</w:t>
      </w:r>
    </w:p>
    <w:p w14:paraId="4488FE8C">
      <w:pPr>
        <w:pStyle w:val="32"/>
        <w:numPr>
          <w:ilvl w:val="2"/>
          <w:numId w:val="233"/>
        </w:numPr>
        <w:topLinePunct/>
        <w:snapToGrid w:val="0"/>
        <w:spacing w:beforeLines="50" w:line="300" w:lineRule="auto"/>
        <w:ind w:left="1260" w:hanging="588"/>
        <w:jc w:val="both"/>
        <w:rPr>
          <w:rFonts w:ascii="Times New Roman" w:hAnsi="Times New Roman"/>
          <w:kern w:val="2"/>
          <w:szCs w:val="21"/>
        </w:rPr>
      </w:pPr>
      <w:r>
        <w:rPr>
          <w:rFonts w:ascii="Times New Roman" w:hAnsi="Times New Roman"/>
          <w:kern w:val="2"/>
          <w:szCs w:val="21"/>
        </w:rPr>
        <w:t>技术文件的全部细节（例如详细的风险分析/管理文件或特定测试报告）应按要求提交给主管机构，以便其审查申请表。</w:t>
      </w:r>
    </w:p>
    <w:p w14:paraId="080AD291">
      <w:pPr>
        <w:pStyle w:val="4"/>
        <w:tabs>
          <w:tab w:val="left" w:pos="682"/>
        </w:tabs>
        <w:topLinePunct/>
        <w:snapToGrid w:val="0"/>
        <w:spacing w:beforeLines="50" w:line="300" w:lineRule="auto"/>
        <w:ind w:firstLine="0"/>
        <w:jc w:val="center"/>
        <w:rPr>
          <w:rFonts w:ascii="Times New Roman" w:hAnsi="Times New Roman"/>
          <w:kern w:val="2"/>
          <w:sz w:val="21"/>
          <w:szCs w:val="21"/>
        </w:rPr>
      </w:pPr>
    </w:p>
    <w:p w14:paraId="4A8E2AA2">
      <w:pPr>
        <w:pStyle w:val="4"/>
        <w:tabs>
          <w:tab w:val="left" w:pos="682"/>
        </w:tabs>
        <w:topLinePunct/>
        <w:snapToGrid w:val="0"/>
        <w:spacing w:beforeLines="50" w:line="300" w:lineRule="auto"/>
        <w:ind w:firstLine="0"/>
        <w:jc w:val="center"/>
        <w:rPr>
          <w:rFonts w:ascii="Times New Roman" w:hAnsi="Times New Roman"/>
          <w:kern w:val="2"/>
          <w:sz w:val="21"/>
          <w:szCs w:val="21"/>
        </w:rPr>
      </w:pPr>
      <w:r>
        <w:rPr>
          <w:rFonts w:ascii="Times New Roman" w:hAnsi="Times New Roman"/>
          <w:kern w:val="2"/>
          <w:sz w:val="21"/>
          <w:szCs w:val="21"/>
        </w:rPr>
        <w:t>第III章</w:t>
      </w:r>
    </w:p>
    <w:p w14:paraId="2C44A659">
      <w:pPr>
        <w:pStyle w:val="4"/>
        <w:tabs>
          <w:tab w:val="left" w:pos="682"/>
        </w:tabs>
        <w:topLinePunct/>
        <w:snapToGrid w:val="0"/>
        <w:spacing w:beforeLines="50" w:line="300" w:lineRule="auto"/>
        <w:ind w:firstLine="0"/>
        <w:jc w:val="center"/>
        <w:rPr>
          <w:rFonts w:ascii="Times New Roman" w:hAnsi="Times New Roman"/>
          <w:b w:val="0"/>
          <w:bCs w:val="0"/>
          <w:kern w:val="2"/>
          <w:sz w:val="21"/>
          <w:szCs w:val="21"/>
        </w:rPr>
      </w:pPr>
      <w:r>
        <w:rPr>
          <w:rFonts w:ascii="Times New Roman" w:hAnsi="Times New Roman"/>
          <w:kern w:val="2"/>
          <w:sz w:val="21"/>
          <w:szCs w:val="21"/>
        </w:rPr>
        <w:t>申办方的其他义务</w:t>
      </w:r>
    </w:p>
    <w:p w14:paraId="7768536D">
      <w:pPr>
        <w:pStyle w:val="32"/>
        <w:numPr>
          <w:ilvl w:val="1"/>
          <w:numId w:val="237"/>
        </w:numPr>
        <w:tabs>
          <w:tab w:val="left" w:pos="682"/>
        </w:tabs>
        <w:topLinePunct/>
        <w:snapToGrid w:val="0"/>
        <w:spacing w:beforeLines="50" w:line="300" w:lineRule="auto"/>
        <w:ind w:hanging="567"/>
        <w:jc w:val="both"/>
        <w:rPr>
          <w:rFonts w:ascii="Times New Roman" w:hAnsi="Times New Roman"/>
          <w:kern w:val="2"/>
          <w:szCs w:val="21"/>
        </w:rPr>
      </w:pPr>
      <w:r>
        <w:rPr>
          <w:rFonts w:ascii="Times New Roman" w:hAnsi="Times New Roman"/>
          <w:kern w:val="2"/>
          <w:szCs w:val="21"/>
        </w:rPr>
        <w:t>申办方应承诺继续向</w:t>
      </w:r>
      <w:r>
        <w:rPr>
          <w:rFonts w:hint="eastAsia" w:ascii="Times New Roman" w:hAnsi="Times New Roman"/>
          <w:kern w:val="2"/>
          <w:szCs w:val="21"/>
        </w:rPr>
        <w:t>国家主管机构</w:t>
      </w:r>
      <w:r>
        <w:rPr>
          <w:rFonts w:ascii="Times New Roman" w:hAnsi="Times New Roman"/>
          <w:kern w:val="2"/>
          <w:szCs w:val="21"/>
        </w:rPr>
        <w:t>提供必需的任何文件，以便为本附录第II章中所述的文件提供证据。若申办方并非负责生产试验用器械的自然人或法人，则这一义务也可由申办方的法定代理人履行。</w:t>
      </w:r>
    </w:p>
    <w:p w14:paraId="5C8F5DA4">
      <w:pPr>
        <w:pStyle w:val="32"/>
        <w:numPr>
          <w:ilvl w:val="1"/>
          <w:numId w:val="23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br w:type="page"/>
      </w:r>
      <w:r>
        <w:rPr>
          <w:rFonts w:ascii="Times New Roman" w:hAnsi="Times New Roman"/>
          <w:kern w:val="2"/>
          <w:szCs w:val="21"/>
        </w:rPr>
        <w:t>申办方应达成一份协议，用来确保研究者及时向申办方报告第80(2)条中所述的严重不良事件或任何其他事件。</w:t>
      </w:r>
    </w:p>
    <w:p w14:paraId="7C183BC9">
      <w:pPr>
        <w:pStyle w:val="32"/>
        <w:numPr>
          <w:ilvl w:val="1"/>
          <w:numId w:val="23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本附录中所述的文件应在所述器械的临床研究结束后保存至少</w:t>
      </w:r>
      <w:r>
        <w:rPr>
          <w:rFonts w:hint="eastAsia" w:ascii="Times New Roman" w:hAnsi="Times New Roman"/>
          <w:kern w:val="2"/>
          <w:szCs w:val="21"/>
        </w:rPr>
        <w:t>10</w:t>
      </w:r>
      <w:r>
        <w:rPr>
          <w:rFonts w:ascii="Times New Roman" w:hAnsi="Times New Roman"/>
          <w:kern w:val="2"/>
          <w:szCs w:val="21"/>
        </w:rPr>
        <w:t>年，或者若器械随后上市，则应在最后一个器械上市</w:t>
      </w:r>
      <w:r>
        <w:rPr>
          <w:rFonts w:hint="eastAsia" w:ascii="Times New Roman" w:hAnsi="Times New Roman"/>
          <w:kern w:val="2"/>
          <w:szCs w:val="21"/>
        </w:rPr>
        <w:t>至少10年内（</w:t>
      </w:r>
      <w:r>
        <w:rPr>
          <w:rFonts w:ascii="Times New Roman" w:hAnsi="Times New Roman"/>
          <w:kern w:val="2"/>
          <w:szCs w:val="21"/>
        </w:rPr>
        <w:t>植入</w:t>
      </w:r>
      <w:r>
        <w:rPr>
          <w:rFonts w:hint="eastAsia" w:ascii="Times New Roman" w:hAnsi="Times New Roman"/>
          <w:kern w:val="2"/>
          <w:szCs w:val="21"/>
        </w:rPr>
        <w:t>式</w:t>
      </w:r>
      <w:r>
        <w:rPr>
          <w:rFonts w:ascii="Times New Roman" w:hAnsi="Times New Roman"/>
          <w:kern w:val="2"/>
          <w:szCs w:val="21"/>
        </w:rPr>
        <w:t>器械</w:t>
      </w:r>
      <w:r>
        <w:rPr>
          <w:rFonts w:hint="eastAsia" w:ascii="Times New Roman" w:hAnsi="Times New Roman"/>
          <w:kern w:val="2"/>
          <w:szCs w:val="21"/>
        </w:rPr>
        <w:t>为至少15年内）妥善保存</w:t>
      </w:r>
      <w:r>
        <w:rPr>
          <w:rFonts w:ascii="Times New Roman" w:hAnsi="Times New Roman"/>
          <w:kern w:val="2"/>
          <w:szCs w:val="21"/>
        </w:rPr>
        <w:t>。</w:t>
      </w:r>
    </w:p>
    <w:p w14:paraId="7853412C">
      <w:pPr>
        <w:pStyle w:val="8"/>
        <w:topLinePunct/>
        <w:snapToGrid w:val="0"/>
        <w:spacing w:beforeLines="25" w:line="300" w:lineRule="auto"/>
        <w:ind w:firstLine="0"/>
        <w:jc w:val="both"/>
        <w:rPr>
          <w:kern w:val="2"/>
          <w:szCs w:val="21"/>
        </w:rPr>
      </w:pPr>
      <w:r>
        <w:rPr>
          <w:kern w:val="2"/>
          <w:szCs w:val="21"/>
        </w:rPr>
        <w:t>各成员国应要求，本文件应保存第一子段所述明的期限以供主管机构处置，以防申办方或其联系人或根据第62(2)条指定的在其境内的法定代理人在此期限结束之前破产或停止其商业活动。</w:t>
      </w:r>
    </w:p>
    <w:p w14:paraId="2AEB2835">
      <w:pPr>
        <w:pStyle w:val="32"/>
        <w:numPr>
          <w:ilvl w:val="1"/>
          <w:numId w:val="23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申办方应任命一名独立于试验机构的监查员，以确保研究按照CIP、《医疗器械临床试验质量管理规范》和本法规的原则进行。</w:t>
      </w:r>
    </w:p>
    <w:p w14:paraId="5E8F56FE">
      <w:pPr>
        <w:pStyle w:val="32"/>
        <w:numPr>
          <w:ilvl w:val="1"/>
          <w:numId w:val="23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申办方应完成对研究受试者的跟踪。</w:t>
      </w:r>
    </w:p>
    <w:p w14:paraId="208D2CC0">
      <w:pPr>
        <w:pStyle w:val="32"/>
        <w:numPr>
          <w:ilvl w:val="1"/>
          <w:numId w:val="23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申办方应提供证据，以确保研究按照《医疗器械临床试验质量管理规范》进行，例如通过内部或外部检查。</w:t>
      </w:r>
    </w:p>
    <w:p w14:paraId="0925EE11">
      <w:pPr>
        <w:pStyle w:val="32"/>
        <w:numPr>
          <w:ilvl w:val="1"/>
          <w:numId w:val="237"/>
        </w:numPr>
        <w:tabs>
          <w:tab w:val="left" w:pos="682"/>
        </w:tabs>
        <w:topLinePunct/>
        <w:snapToGrid w:val="0"/>
        <w:spacing w:beforeLines="25" w:line="300" w:lineRule="auto"/>
        <w:ind w:hanging="567"/>
        <w:jc w:val="both"/>
        <w:rPr>
          <w:rFonts w:ascii="Times New Roman" w:hAnsi="Times New Roman"/>
          <w:kern w:val="2"/>
          <w:szCs w:val="21"/>
        </w:rPr>
      </w:pPr>
      <w:r>
        <w:rPr>
          <w:rFonts w:ascii="Times New Roman" w:hAnsi="Times New Roman"/>
          <w:kern w:val="2"/>
          <w:szCs w:val="21"/>
        </w:rPr>
        <w:t>申办方应编写一份临床研究报告，该报告应至少包含以下内容：</w:t>
      </w:r>
    </w:p>
    <w:p w14:paraId="110C657B">
      <w:pPr>
        <w:pStyle w:val="32"/>
        <w:numPr>
          <w:ilvl w:val="2"/>
          <w:numId w:val="23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封面/前言列出研究题目、试验用器械，唯一标识码、CIP数量和详细信息并由各试验场所协调研究者和主要研究者签字。</w:t>
      </w:r>
    </w:p>
    <w:p w14:paraId="439C42B4">
      <w:pPr>
        <w:pStyle w:val="32"/>
        <w:numPr>
          <w:ilvl w:val="2"/>
          <w:numId w:val="23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报告的作者和日期等详细信息。</w:t>
      </w:r>
    </w:p>
    <w:p w14:paraId="01CDDD46">
      <w:pPr>
        <w:pStyle w:val="32"/>
        <w:numPr>
          <w:ilvl w:val="2"/>
          <w:numId w:val="23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研究总结应包括题目、研究目的、研究说明、所使用的研究设计和方法、研究结果和研究结论。研究的完成日期，和（特别是）研究的提前终止、中断或暂停的具体信息。</w:t>
      </w:r>
    </w:p>
    <w:p w14:paraId="2DD1B87D">
      <w:pPr>
        <w:pStyle w:val="32"/>
        <w:numPr>
          <w:ilvl w:val="2"/>
          <w:numId w:val="23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试验用器械的说明，特别是明确界定的预期用途。</w:t>
      </w:r>
    </w:p>
    <w:p w14:paraId="72D6B703">
      <w:pPr>
        <w:pStyle w:val="32"/>
        <w:numPr>
          <w:ilvl w:val="2"/>
          <w:numId w:val="23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临床研究计划总结应包括目标、设计、伦理方面、监控和质量措施、选择标准、目标患者人群、样本量、治疗方案、</w:t>
      </w:r>
      <w:r>
        <w:rPr>
          <w:rFonts w:hint="eastAsia" w:ascii="Times New Roman" w:hAnsi="Times New Roman"/>
          <w:kern w:val="2"/>
          <w:szCs w:val="21"/>
          <w:lang w:val="en-US"/>
        </w:rPr>
        <w:t>跟踪</w:t>
      </w:r>
      <w:r>
        <w:rPr>
          <w:rFonts w:ascii="Times New Roman" w:hAnsi="Times New Roman"/>
          <w:kern w:val="2"/>
          <w:szCs w:val="21"/>
        </w:rPr>
        <w:t>持续时间、伴随治疗、统计计划书，包括假设、样本量计算和分析方法以及正当性证明。</w:t>
      </w:r>
    </w:p>
    <w:p w14:paraId="34530F03">
      <w:pPr>
        <w:pStyle w:val="32"/>
        <w:numPr>
          <w:ilvl w:val="2"/>
          <w:numId w:val="23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临床研究的结果包括，依据和正当性证明、受试者人口统计学、对所选终点结果的分析、亚组分析的详细信息、对CIP的遵从性以及对丢失数据的</w:t>
      </w:r>
      <w:r>
        <w:rPr>
          <w:rFonts w:hint="eastAsia" w:ascii="Times New Roman" w:hAnsi="Times New Roman"/>
          <w:kern w:val="2"/>
          <w:szCs w:val="21"/>
          <w:lang w:val="en-US"/>
        </w:rPr>
        <w:t>跟踪</w:t>
      </w:r>
      <w:r>
        <w:rPr>
          <w:rFonts w:ascii="Times New Roman" w:hAnsi="Times New Roman"/>
          <w:kern w:val="2"/>
          <w:szCs w:val="21"/>
        </w:rPr>
        <w:t>和对退出研究/失联患者的</w:t>
      </w:r>
      <w:r>
        <w:rPr>
          <w:rFonts w:hint="eastAsia" w:ascii="Times New Roman" w:hAnsi="Times New Roman"/>
          <w:kern w:val="2"/>
          <w:szCs w:val="21"/>
          <w:lang w:val="en-US"/>
        </w:rPr>
        <w:t>跟踪</w:t>
      </w:r>
      <w:r>
        <w:rPr>
          <w:rFonts w:ascii="Times New Roman" w:hAnsi="Times New Roman"/>
          <w:kern w:val="2"/>
          <w:szCs w:val="21"/>
        </w:rPr>
        <w:t>。</w:t>
      </w:r>
    </w:p>
    <w:p w14:paraId="33F073CD">
      <w:pPr>
        <w:pStyle w:val="32"/>
        <w:numPr>
          <w:ilvl w:val="2"/>
          <w:numId w:val="23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对严重不良事件、不良器械反应和器械缺陷以及任何相关的纠正措施的总结。</w:t>
      </w:r>
    </w:p>
    <w:p w14:paraId="1DD18BC2">
      <w:pPr>
        <w:pStyle w:val="32"/>
        <w:numPr>
          <w:ilvl w:val="2"/>
          <w:numId w:val="237"/>
        </w:numPr>
        <w:tabs>
          <w:tab w:val="left" w:pos="1248"/>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讨论和总体结论——安全性和性能结果、风险和临床益处的评估，按照临床技术发展水平对临床相关性的讨论、特定患者人群的任何针对性预防措施，对试验用器械的影响和研究的局限性。</w:t>
      </w:r>
    </w:p>
    <w:p w14:paraId="46795EF4">
      <w:pPr>
        <w:snapToGrid w:val="0"/>
        <w:spacing w:beforeLines="25" w:line="300" w:lineRule="auto"/>
        <w:jc w:val="center"/>
        <w:rPr>
          <w:rFonts w:ascii="Times New Roman" w:hAnsi="Times New Roman"/>
          <w:szCs w:val="21"/>
        </w:rPr>
      </w:pPr>
      <w:r>
        <w:rPr>
          <w:rFonts w:hint="eastAsia" w:ascii="Times New Roman" w:hAnsi="Times New Roman"/>
          <w:szCs w:val="21"/>
        </w:rPr>
        <w:t>_________________</w:t>
      </w:r>
    </w:p>
    <w:p w14:paraId="177E6898">
      <w:pPr>
        <w:pStyle w:val="2"/>
        <w:spacing w:beforeLines="25" w:line="300" w:lineRule="auto"/>
        <w:rPr>
          <w:bCs/>
          <w:sz w:val="24"/>
          <w:szCs w:val="24"/>
        </w:rPr>
      </w:pPr>
      <w:bookmarkStart w:id="232" w:name="_Toc477512432"/>
      <w:r>
        <w:rPr>
          <w:sz w:val="21"/>
          <w:szCs w:val="21"/>
        </w:rPr>
        <w:br w:type="page"/>
      </w:r>
      <w:r>
        <w:rPr>
          <w:sz w:val="24"/>
          <w:szCs w:val="24"/>
        </w:rPr>
        <w:t xml:space="preserve">附录XVI  </w:t>
      </w:r>
      <w:r>
        <w:rPr>
          <w:sz w:val="24"/>
          <w:szCs w:val="24"/>
        </w:rPr>
        <w:br w:type="textWrapping"/>
      </w:r>
      <w:r>
        <w:rPr>
          <w:sz w:val="24"/>
          <w:szCs w:val="24"/>
        </w:rPr>
        <w:t>在第1</w:t>
      </w:r>
      <w:r>
        <w:rPr>
          <w:rFonts w:hint="eastAsia"/>
          <w:sz w:val="24"/>
          <w:szCs w:val="24"/>
        </w:rPr>
        <w:t>（</w:t>
      </w:r>
      <w:r>
        <w:rPr>
          <w:sz w:val="24"/>
          <w:szCs w:val="24"/>
        </w:rPr>
        <w:t>2）条中所述无预期医疗目的产品分组清单</w:t>
      </w:r>
      <w:bookmarkEnd w:id="232"/>
    </w:p>
    <w:p w14:paraId="46E3CBE4">
      <w:pPr>
        <w:pStyle w:val="32"/>
        <w:numPr>
          <w:ilvl w:val="0"/>
          <w:numId w:val="238"/>
        </w:numPr>
        <w:tabs>
          <w:tab w:val="left" w:pos="684"/>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预期用于放入眼睛内或放到眼睛上的隐形眼镜或其他物品；</w:t>
      </w:r>
    </w:p>
    <w:p w14:paraId="23B11F91">
      <w:pPr>
        <w:pStyle w:val="32"/>
        <w:numPr>
          <w:ilvl w:val="0"/>
          <w:numId w:val="238"/>
        </w:numPr>
        <w:tabs>
          <w:tab w:val="left" w:pos="684"/>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为修改解剖学或固定身体部位通过手术创伤的方式整体或部分放入人体内的产品，但纹身产品和穿孔产品除外；</w:t>
      </w:r>
    </w:p>
    <w:p w14:paraId="2A4BBC6D">
      <w:pPr>
        <w:pStyle w:val="32"/>
        <w:numPr>
          <w:ilvl w:val="0"/>
          <w:numId w:val="238"/>
        </w:numPr>
        <w:tabs>
          <w:tab w:val="left" w:pos="684"/>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预期通过皮下、粘膜下或皮内注射的方式或其他进入方式用于面部或其他皮肤或粘膜填充的物质、物质组合或物品，但不包括纹身所用的物质；</w:t>
      </w:r>
    </w:p>
    <w:p w14:paraId="10592A8E">
      <w:pPr>
        <w:pStyle w:val="32"/>
        <w:numPr>
          <w:ilvl w:val="0"/>
          <w:numId w:val="238"/>
        </w:numPr>
        <w:tabs>
          <w:tab w:val="left" w:pos="684"/>
        </w:tabs>
        <w:topLinePunct/>
        <w:snapToGrid w:val="0"/>
        <w:spacing w:beforeLines="25" w:line="300" w:lineRule="auto"/>
        <w:jc w:val="both"/>
        <w:rPr>
          <w:rFonts w:ascii="Times New Roman" w:hAnsi="Times New Roman"/>
          <w:kern w:val="2"/>
          <w:szCs w:val="21"/>
        </w:rPr>
      </w:pPr>
      <w:r>
        <w:rPr>
          <w:rFonts w:ascii="Times New Roman" w:hAnsi="Times New Roman"/>
          <w:kern w:val="2"/>
          <w:szCs w:val="21"/>
        </w:rPr>
        <w:t>预期用于减少、去除或破坏脂肪组织的</w:t>
      </w:r>
      <w:r>
        <w:rPr>
          <w:rFonts w:hint="eastAsia" w:ascii="Times New Roman" w:hAnsi="Times New Roman"/>
          <w:kern w:val="2"/>
          <w:szCs w:val="21"/>
        </w:rPr>
        <w:t>器械</w:t>
      </w:r>
      <w:r>
        <w:rPr>
          <w:rFonts w:ascii="Times New Roman" w:hAnsi="Times New Roman"/>
          <w:kern w:val="2"/>
          <w:szCs w:val="21"/>
        </w:rPr>
        <w:t>，如吸脂术、脂肪分解或抽脂所用的器械；</w:t>
      </w:r>
    </w:p>
    <w:p w14:paraId="1914A692">
      <w:pPr>
        <w:pStyle w:val="8"/>
        <w:tabs>
          <w:tab w:val="left" w:pos="681"/>
        </w:tabs>
        <w:topLinePunct/>
        <w:snapToGrid w:val="0"/>
        <w:spacing w:beforeLines="25" w:line="300" w:lineRule="auto"/>
        <w:ind w:hanging="568"/>
        <w:jc w:val="both"/>
        <w:rPr>
          <w:kern w:val="2"/>
          <w:szCs w:val="21"/>
        </w:rPr>
      </w:pPr>
      <w:r>
        <w:rPr>
          <w:kern w:val="2"/>
          <w:szCs w:val="21"/>
        </w:rPr>
        <w:t>5.</w:t>
      </w:r>
      <w:r>
        <w:rPr>
          <w:kern w:val="2"/>
          <w:szCs w:val="21"/>
        </w:rPr>
        <w:tab/>
      </w:r>
      <w:r>
        <w:rPr>
          <w:kern w:val="2"/>
          <w:szCs w:val="21"/>
        </w:rPr>
        <w:t>发射高强度电磁辐射（例如，红外线、可见光和紫外线）用于在人体上进行磨皮、纹身或脱毛或其他皮肤治疗的</w:t>
      </w:r>
      <w:r>
        <w:rPr>
          <w:rFonts w:hint="eastAsia"/>
          <w:kern w:val="2"/>
          <w:szCs w:val="21"/>
          <w:lang w:val="en-US"/>
        </w:rPr>
        <w:t>器械</w:t>
      </w:r>
      <w:r>
        <w:rPr>
          <w:kern w:val="2"/>
          <w:szCs w:val="21"/>
        </w:rPr>
        <w:t>，包括相干和非相干光源、单色光谱和广谱，如激光和强脉冲光</w:t>
      </w:r>
      <w:r>
        <w:rPr>
          <w:rFonts w:hint="eastAsia"/>
          <w:kern w:val="2"/>
          <w:szCs w:val="21"/>
          <w:lang w:val="en-US"/>
        </w:rPr>
        <w:t>器械</w:t>
      </w:r>
      <w:r>
        <w:rPr>
          <w:kern w:val="2"/>
          <w:szCs w:val="21"/>
        </w:rPr>
        <w:t>；</w:t>
      </w:r>
    </w:p>
    <w:p w14:paraId="3962EBDD">
      <w:pPr>
        <w:pStyle w:val="8"/>
        <w:tabs>
          <w:tab w:val="left" w:pos="681"/>
        </w:tabs>
        <w:topLinePunct/>
        <w:snapToGrid w:val="0"/>
        <w:spacing w:beforeLines="25" w:line="300" w:lineRule="auto"/>
        <w:ind w:hanging="568"/>
        <w:jc w:val="both"/>
        <w:rPr>
          <w:kern w:val="2"/>
          <w:szCs w:val="21"/>
        </w:rPr>
      </w:pPr>
      <w:r>
        <w:rPr>
          <w:kern w:val="2"/>
          <w:szCs w:val="21"/>
        </w:rPr>
        <w:t>6.</w:t>
      </w:r>
      <w:r>
        <w:rPr>
          <w:kern w:val="2"/>
          <w:szCs w:val="21"/>
        </w:rPr>
        <w:tab/>
      </w:r>
      <w:r>
        <w:rPr>
          <w:kern w:val="2"/>
          <w:szCs w:val="21"/>
        </w:rPr>
        <w:t>预期使用电流或磁场或电磁场穿透颅骨来修改大脑中的神经元活动，以刺激脑部的</w:t>
      </w:r>
      <w:r>
        <w:rPr>
          <w:rFonts w:hint="eastAsia"/>
          <w:kern w:val="2"/>
          <w:szCs w:val="21"/>
          <w:lang w:val="en-US"/>
        </w:rPr>
        <w:t>器械</w:t>
      </w:r>
      <w:r>
        <w:rPr>
          <w:kern w:val="2"/>
          <w:szCs w:val="21"/>
        </w:rPr>
        <w:t>。</w:t>
      </w:r>
    </w:p>
    <w:p w14:paraId="013DD2C4">
      <w:pPr>
        <w:pStyle w:val="2"/>
        <w:spacing w:beforeLines="25" w:line="300" w:lineRule="auto"/>
        <w:rPr>
          <w:sz w:val="21"/>
          <w:szCs w:val="21"/>
          <w:lang w:val="zh-CN"/>
        </w:rPr>
      </w:pPr>
      <w:r>
        <w:rPr>
          <w:rFonts w:hint="eastAsia"/>
          <w:sz w:val="21"/>
          <w:szCs w:val="21"/>
          <w:lang w:val="zh-CN"/>
        </w:rPr>
        <w:t>____________</w:t>
      </w:r>
    </w:p>
    <w:p w14:paraId="647B4E6D">
      <w:pPr>
        <w:pStyle w:val="2"/>
        <w:spacing w:beforeLines="25" w:line="300" w:lineRule="auto"/>
        <w:rPr>
          <w:bCs/>
          <w:sz w:val="24"/>
          <w:szCs w:val="24"/>
        </w:rPr>
      </w:pPr>
      <w:bookmarkStart w:id="233" w:name="_Toc477512433"/>
      <w:r>
        <w:rPr>
          <w:sz w:val="21"/>
          <w:szCs w:val="21"/>
        </w:rPr>
        <w:br w:type="page"/>
      </w:r>
      <w:r>
        <w:rPr>
          <w:sz w:val="24"/>
          <w:szCs w:val="24"/>
        </w:rPr>
        <w:t xml:space="preserve">附录XVII  </w:t>
      </w:r>
      <w:r>
        <w:rPr>
          <w:sz w:val="24"/>
          <w:szCs w:val="24"/>
        </w:rPr>
        <w:br w:type="textWrapping"/>
      </w:r>
      <w:bookmarkEnd w:id="233"/>
      <w:r>
        <w:rPr>
          <w:sz w:val="24"/>
          <w:szCs w:val="24"/>
        </w:rPr>
        <w:t>对比表</w:t>
      </w:r>
    </w:p>
    <w:tbl>
      <w:tblPr>
        <w:tblStyle w:val="15"/>
        <w:tblW w:w="5000" w:type="pct"/>
        <w:jc w:val="center"/>
        <w:tblBorders>
          <w:top w:val="single" w:color="auto" w:sz="4"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842"/>
        <w:gridCol w:w="2843"/>
        <w:gridCol w:w="2843"/>
      </w:tblGrid>
      <w:tr w14:paraId="0501D12A">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PrEx>
        <w:trPr>
          <w:tblHeader/>
          <w:jc w:val="center"/>
        </w:trPr>
        <w:tc>
          <w:tcPr>
            <w:tcW w:w="1666" w:type="pct"/>
            <w:tcBorders>
              <w:top w:val="single" w:color="auto" w:sz="4" w:space="0"/>
              <w:bottom w:val="single" w:color="auto" w:sz="4" w:space="0"/>
            </w:tcBorders>
          </w:tcPr>
          <w:p w14:paraId="162F0594">
            <w:pPr>
              <w:pStyle w:val="26"/>
              <w:topLinePunct/>
              <w:snapToGrid w:val="0"/>
              <w:spacing w:beforeLines="20" w:line="276" w:lineRule="auto"/>
              <w:jc w:val="center"/>
              <w:rPr>
                <w:rFonts w:ascii="Times New Roman" w:hAnsi="Times New Roman"/>
                <w:kern w:val="2"/>
                <w:szCs w:val="21"/>
              </w:rPr>
            </w:pPr>
            <w:r>
              <w:rPr>
                <w:rFonts w:hint="eastAsia" w:ascii="Times New Roman" w:hAnsi="Times New Roman"/>
                <w:b/>
                <w:kern w:val="2"/>
                <w:szCs w:val="21"/>
                <w:lang w:val="en-US"/>
              </w:rPr>
              <w:t>理事会</w:t>
            </w:r>
            <w:r>
              <w:rPr>
                <w:rFonts w:ascii="Times New Roman" w:hAnsi="Times New Roman"/>
                <w:b/>
                <w:kern w:val="2"/>
                <w:szCs w:val="21"/>
              </w:rPr>
              <w:t>第90/385/EEC号指令</w:t>
            </w:r>
          </w:p>
        </w:tc>
        <w:tc>
          <w:tcPr>
            <w:tcW w:w="1667" w:type="pct"/>
            <w:tcBorders>
              <w:top w:val="single" w:color="auto" w:sz="4" w:space="0"/>
              <w:bottom w:val="single" w:color="auto" w:sz="4" w:space="0"/>
            </w:tcBorders>
          </w:tcPr>
          <w:p w14:paraId="5D4FD26E">
            <w:pPr>
              <w:pStyle w:val="26"/>
              <w:topLinePunct/>
              <w:snapToGrid w:val="0"/>
              <w:spacing w:beforeLines="20" w:line="276" w:lineRule="auto"/>
              <w:jc w:val="center"/>
              <w:rPr>
                <w:rFonts w:ascii="Times New Roman" w:hAnsi="Times New Roman"/>
                <w:kern w:val="2"/>
                <w:szCs w:val="21"/>
              </w:rPr>
            </w:pPr>
            <w:r>
              <w:rPr>
                <w:rFonts w:hint="eastAsia" w:ascii="Times New Roman" w:hAnsi="Times New Roman"/>
                <w:b/>
                <w:kern w:val="2"/>
                <w:szCs w:val="21"/>
              </w:rPr>
              <w:t>理事会</w:t>
            </w:r>
            <w:r>
              <w:rPr>
                <w:rFonts w:ascii="Times New Roman" w:hAnsi="Times New Roman"/>
                <w:b/>
                <w:kern w:val="2"/>
                <w:szCs w:val="21"/>
              </w:rPr>
              <w:t>第93/42/EEC号指令</w:t>
            </w:r>
          </w:p>
        </w:tc>
        <w:tc>
          <w:tcPr>
            <w:tcW w:w="1667" w:type="pct"/>
            <w:tcBorders>
              <w:top w:val="single" w:color="auto" w:sz="4" w:space="0"/>
              <w:bottom w:val="single" w:color="auto" w:sz="4" w:space="0"/>
            </w:tcBorders>
          </w:tcPr>
          <w:p w14:paraId="5AC9CA42">
            <w:pPr>
              <w:pStyle w:val="26"/>
              <w:topLinePunct/>
              <w:snapToGrid w:val="0"/>
              <w:spacing w:beforeLines="20" w:line="276" w:lineRule="auto"/>
              <w:jc w:val="center"/>
              <w:rPr>
                <w:rFonts w:ascii="Times New Roman" w:hAnsi="Times New Roman"/>
                <w:kern w:val="2"/>
                <w:szCs w:val="21"/>
              </w:rPr>
            </w:pPr>
            <w:r>
              <w:rPr>
                <w:rFonts w:ascii="Times New Roman" w:hAnsi="Times New Roman"/>
                <w:b/>
                <w:kern w:val="2"/>
                <w:szCs w:val="21"/>
              </w:rPr>
              <w:t>本法规</w:t>
            </w:r>
          </w:p>
        </w:tc>
      </w:tr>
      <w:tr w14:paraId="2C5360A5">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Borders>
              <w:top w:val="single" w:color="auto" w:sz="4" w:space="0"/>
            </w:tcBorders>
          </w:tcPr>
          <w:p w14:paraId="50414421">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第1(1)条</w:t>
            </w:r>
          </w:p>
        </w:tc>
        <w:tc>
          <w:tcPr>
            <w:tcW w:w="1667" w:type="pct"/>
            <w:tcBorders>
              <w:top w:val="single" w:color="auto" w:sz="4" w:space="0"/>
            </w:tcBorders>
          </w:tcPr>
          <w:p w14:paraId="51AAB3CF">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第1(1)条</w:t>
            </w:r>
          </w:p>
        </w:tc>
        <w:tc>
          <w:tcPr>
            <w:tcW w:w="1667" w:type="pct"/>
            <w:tcBorders>
              <w:top w:val="single" w:color="auto" w:sz="4" w:space="0"/>
            </w:tcBorders>
          </w:tcPr>
          <w:p w14:paraId="24DF2EB0">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第1(1)条</w:t>
            </w:r>
          </w:p>
        </w:tc>
      </w:tr>
      <w:tr w14:paraId="6BFB26E2">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6B545BEA">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第1(2)条</w:t>
            </w:r>
          </w:p>
        </w:tc>
        <w:tc>
          <w:tcPr>
            <w:tcW w:w="1667" w:type="pct"/>
          </w:tcPr>
          <w:p w14:paraId="3F07AC4D">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第1(2)条</w:t>
            </w:r>
          </w:p>
        </w:tc>
        <w:tc>
          <w:tcPr>
            <w:tcW w:w="1667" w:type="pct"/>
          </w:tcPr>
          <w:p w14:paraId="64F26F1A">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第2条</w:t>
            </w:r>
          </w:p>
        </w:tc>
      </w:tr>
      <w:tr w14:paraId="6B037BE8">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2606F818">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第1(3)条</w:t>
            </w:r>
          </w:p>
        </w:tc>
        <w:tc>
          <w:tcPr>
            <w:tcW w:w="1667" w:type="pct"/>
          </w:tcPr>
          <w:p w14:paraId="1151AB86">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第1(3)条第1子段</w:t>
            </w:r>
          </w:p>
        </w:tc>
        <w:tc>
          <w:tcPr>
            <w:tcW w:w="1667" w:type="pct"/>
          </w:tcPr>
          <w:p w14:paraId="0F4AF487">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第1(9)条第1子段</w:t>
            </w:r>
          </w:p>
        </w:tc>
      </w:tr>
      <w:tr w14:paraId="2B6A8804">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E41DEE5">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 xml:space="preserve"> - </w:t>
            </w:r>
          </w:p>
        </w:tc>
        <w:tc>
          <w:tcPr>
            <w:tcW w:w="1667" w:type="pct"/>
          </w:tcPr>
          <w:p w14:paraId="4688C680">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第1(3)条第2子段</w:t>
            </w:r>
          </w:p>
        </w:tc>
        <w:tc>
          <w:tcPr>
            <w:tcW w:w="1667" w:type="pct"/>
          </w:tcPr>
          <w:p w14:paraId="66CAFBF0">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第1(9)条第2子段</w:t>
            </w:r>
          </w:p>
        </w:tc>
      </w:tr>
      <w:tr w14:paraId="761840CD">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7DC46675">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第1(4)条和第（4a）条</w:t>
            </w:r>
          </w:p>
        </w:tc>
        <w:tc>
          <w:tcPr>
            <w:tcW w:w="1667" w:type="pct"/>
          </w:tcPr>
          <w:p w14:paraId="79566E00">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第1(4)条和第（4a）条</w:t>
            </w:r>
          </w:p>
        </w:tc>
        <w:tc>
          <w:tcPr>
            <w:tcW w:w="1667" w:type="pct"/>
          </w:tcPr>
          <w:p w14:paraId="19CBD753">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第1(8)条第1子段</w:t>
            </w:r>
          </w:p>
        </w:tc>
      </w:tr>
      <w:tr w14:paraId="5B54EB44">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2A33C350">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第1(5)条</w:t>
            </w:r>
          </w:p>
        </w:tc>
        <w:tc>
          <w:tcPr>
            <w:tcW w:w="1667" w:type="pct"/>
          </w:tcPr>
          <w:p w14:paraId="6F59EEAE">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第1(7)条</w:t>
            </w:r>
          </w:p>
        </w:tc>
        <w:tc>
          <w:tcPr>
            <w:tcW w:w="1667" w:type="pct"/>
          </w:tcPr>
          <w:p w14:paraId="088775BF">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第1(11)条</w:t>
            </w:r>
          </w:p>
        </w:tc>
      </w:tr>
      <w:tr w14:paraId="303ED85B">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202C5D49">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第1(6)条</w:t>
            </w:r>
          </w:p>
        </w:tc>
        <w:tc>
          <w:tcPr>
            <w:tcW w:w="1667" w:type="pct"/>
          </w:tcPr>
          <w:p w14:paraId="06315B17">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第1(5)条</w:t>
            </w:r>
          </w:p>
        </w:tc>
        <w:tc>
          <w:tcPr>
            <w:tcW w:w="1667" w:type="pct"/>
          </w:tcPr>
          <w:p w14:paraId="2D183975">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第1(6)条</w:t>
            </w:r>
          </w:p>
        </w:tc>
      </w:tr>
      <w:tr w14:paraId="23F0B48B">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22303B76">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 xml:space="preserve"> - </w:t>
            </w:r>
          </w:p>
        </w:tc>
        <w:tc>
          <w:tcPr>
            <w:tcW w:w="1667" w:type="pct"/>
          </w:tcPr>
          <w:p w14:paraId="455A8B7D">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第1(6)条</w:t>
            </w:r>
          </w:p>
        </w:tc>
        <w:tc>
          <w:tcPr>
            <w:tcW w:w="1667" w:type="pct"/>
          </w:tcPr>
          <w:p w14:paraId="16F818A3">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 xml:space="preserve"> - </w:t>
            </w:r>
          </w:p>
        </w:tc>
      </w:tr>
      <w:tr w14:paraId="74922DA4">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4638515F">
            <w:pPr>
              <w:snapToGrid w:val="0"/>
              <w:spacing w:beforeLines="20" w:line="276" w:lineRule="auto"/>
              <w:rPr>
                <w:rFonts w:ascii="Times New Roman" w:hAnsi="Times New Roman"/>
                <w:kern w:val="2"/>
                <w:szCs w:val="21"/>
                <w:lang w:val="zh-CN"/>
              </w:rPr>
            </w:pPr>
          </w:p>
        </w:tc>
        <w:tc>
          <w:tcPr>
            <w:tcW w:w="1667" w:type="pct"/>
          </w:tcPr>
          <w:p w14:paraId="24100C13">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第1(8)条</w:t>
            </w:r>
          </w:p>
        </w:tc>
        <w:tc>
          <w:tcPr>
            <w:tcW w:w="1667" w:type="pct"/>
          </w:tcPr>
          <w:p w14:paraId="7EDF2DA7">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第1(13)条</w:t>
            </w:r>
          </w:p>
        </w:tc>
      </w:tr>
      <w:tr w14:paraId="248DBD74">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2CD2FF4C">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第2条</w:t>
            </w:r>
          </w:p>
        </w:tc>
        <w:tc>
          <w:tcPr>
            <w:tcW w:w="1667" w:type="pct"/>
          </w:tcPr>
          <w:p w14:paraId="119E22CC">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第2条</w:t>
            </w:r>
          </w:p>
        </w:tc>
        <w:tc>
          <w:tcPr>
            <w:tcW w:w="1667" w:type="pct"/>
          </w:tcPr>
          <w:p w14:paraId="49B22E51">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第5(1)条</w:t>
            </w:r>
          </w:p>
        </w:tc>
      </w:tr>
      <w:tr w14:paraId="728D8FDB">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371E5B97">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第3条第1子段</w:t>
            </w:r>
          </w:p>
        </w:tc>
        <w:tc>
          <w:tcPr>
            <w:tcW w:w="1667" w:type="pct"/>
          </w:tcPr>
          <w:p w14:paraId="39908195">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第3条第1子段</w:t>
            </w:r>
          </w:p>
        </w:tc>
        <w:tc>
          <w:tcPr>
            <w:tcW w:w="1667" w:type="pct"/>
          </w:tcPr>
          <w:p w14:paraId="3F005709">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第5(2)条</w:t>
            </w:r>
          </w:p>
        </w:tc>
      </w:tr>
      <w:tr w14:paraId="3906B057">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1DAE695">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第3条第2子段</w:t>
            </w:r>
          </w:p>
        </w:tc>
        <w:tc>
          <w:tcPr>
            <w:tcW w:w="1667" w:type="pct"/>
          </w:tcPr>
          <w:p w14:paraId="774EC3A3">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第3条第2子段</w:t>
            </w:r>
          </w:p>
        </w:tc>
        <w:tc>
          <w:tcPr>
            <w:tcW w:w="1667" w:type="pct"/>
          </w:tcPr>
          <w:p w14:paraId="76EBE53E">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 xml:space="preserve">第1(12)条- </w:t>
            </w:r>
          </w:p>
        </w:tc>
      </w:tr>
      <w:tr w14:paraId="2BBCCCD1">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2158CFBC">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第4(1)条</w:t>
            </w:r>
          </w:p>
        </w:tc>
        <w:tc>
          <w:tcPr>
            <w:tcW w:w="1667" w:type="pct"/>
          </w:tcPr>
          <w:p w14:paraId="2EF0BA19">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第4(1)条</w:t>
            </w:r>
          </w:p>
        </w:tc>
        <w:tc>
          <w:tcPr>
            <w:tcW w:w="1667" w:type="pct"/>
          </w:tcPr>
          <w:p w14:paraId="51CE1963">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第24条</w:t>
            </w:r>
          </w:p>
        </w:tc>
      </w:tr>
      <w:tr w14:paraId="3B86AA2C">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203202A3">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第4(2)条</w:t>
            </w:r>
          </w:p>
        </w:tc>
        <w:tc>
          <w:tcPr>
            <w:tcW w:w="1667" w:type="pct"/>
          </w:tcPr>
          <w:p w14:paraId="20353673">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第4(2)条</w:t>
            </w:r>
          </w:p>
        </w:tc>
        <w:tc>
          <w:tcPr>
            <w:tcW w:w="1667" w:type="pct"/>
          </w:tcPr>
          <w:p w14:paraId="7F2D2DF6">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第21(1)和(2)条</w:t>
            </w:r>
          </w:p>
        </w:tc>
      </w:tr>
      <w:tr w14:paraId="11426568">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59B534B2">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第4(3)条</w:t>
            </w:r>
          </w:p>
        </w:tc>
        <w:tc>
          <w:tcPr>
            <w:tcW w:w="1667" w:type="pct"/>
          </w:tcPr>
          <w:p w14:paraId="7B3391EB">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第4(3)条</w:t>
            </w:r>
          </w:p>
        </w:tc>
        <w:tc>
          <w:tcPr>
            <w:tcW w:w="1667" w:type="pct"/>
          </w:tcPr>
          <w:p w14:paraId="3D52A1F6">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第21(3)条</w:t>
            </w:r>
          </w:p>
        </w:tc>
      </w:tr>
      <w:tr w14:paraId="4BFD5A83">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5E17691">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第4(4)条</w:t>
            </w:r>
          </w:p>
        </w:tc>
        <w:tc>
          <w:tcPr>
            <w:tcW w:w="1667" w:type="pct"/>
          </w:tcPr>
          <w:p w14:paraId="6B4357DB">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第4(4)条</w:t>
            </w:r>
          </w:p>
        </w:tc>
        <w:tc>
          <w:tcPr>
            <w:tcW w:w="1667" w:type="pct"/>
          </w:tcPr>
          <w:p w14:paraId="051B3DE9">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第10(11)条</w:t>
            </w:r>
          </w:p>
        </w:tc>
      </w:tr>
      <w:tr w14:paraId="2B79572A">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61ECBBB6">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第4(5)条（a）</w:t>
            </w:r>
          </w:p>
        </w:tc>
        <w:tc>
          <w:tcPr>
            <w:tcW w:w="1667" w:type="pct"/>
          </w:tcPr>
          <w:p w14:paraId="25CA45DC">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第4(5)条第1子段</w:t>
            </w:r>
          </w:p>
        </w:tc>
        <w:tc>
          <w:tcPr>
            <w:tcW w:w="1667" w:type="pct"/>
          </w:tcPr>
          <w:p w14:paraId="364FF6DF">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第20(6)条</w:t>
            </w:r>
          </w:p>
        </w:tc>
      </w:tr>
      <w:tr w14:paraId="4BADBE9D">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4F156DE2">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第4(5)条（b）</w:t>
            </w:r>
          </w:p>
        </w:tc>
        <w:tc>
          <w:tcPr>
            <w:tcW w:w="1667" w:type="pct"/>
          </w:tcPr>
          <w:p w14:paraId="31F68370">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第4(5)条第2子段</w:t>
            </w:r>
          </w:p>
        </w:tc>
        <w:tc>
          <w:tcPr>
            <w:tcW w:w="1667" w:type="pct"/>
          </w:tcPr>
          <w:p w14:paraId="2A3F6D3C">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 xml:space="preserve"> - </w:t>
            </w:r>
          </w:p>
        </w:tc>
      </w:tr>
      <w:tr w14:paraId="78B5F8B5">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128D6619">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第5(1)条</w:t>
            </w:r>
          </w:p>
        </w:tc>
        <w:tc>
          <w:tcPr>
            <w:tcW w:w="1667" w:type="pct"/>
          </w:tcPr>
          <w:p w14:paraId="3852127B">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第5(1)条</w:t>
            </w:r>
          </w:p>
        </w:tc>
        <w:tc>
          <w:tcPr>
            <w:tcW w:w="1667" w:type="pct"/>
          </w:tcPr>
          <w:p w14:paraId="2DAB76A7">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第8(1)条</w:t>
            </w:r>
          </w:p>
        </w:tc>
      </w:tr>
      <w:tr w14:paraId="56AD42E2">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56D29EB3">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第5(2)条</w:t>
            </w:r>
          </w:p>
        </w:tc>
        <w:tc>
          <w:tcPr>
            <w:tcW w:w="1667" w:type="pct"/>
          </w:tcPr>
          <w:p w14:paraId="16A7754A">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第5(2)条</w:t>
            </w:r>
          </w:p>
        </w:tc>
        <w:tc>
          <w:tcPr>
            <w:tcW w:w="1667" w:type="pct"/>
          </w:tcPr>
          <w:p w14:paraId="5F97BAC4">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第8(2)条</w:t>
            </w:r>
          </w:p>
        </w:tc>
      </w:tr>
      <w:tr w14:paraId="72240149">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6AACABCF">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第6(1)条</w:t>
            </w:r>
          </w:p>
        </w:tc>
        <w:tc>
          <w:tcPr>
            <w:tcW w:w="1667" w:type="pct"/>
          </w:tcPr>
          <w:p w14:paraId="58212839">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第5(3)条，第6条</w:t>
            </w:r>
          </w:p>
        </w:tc>
        <w:tc>
          <w:tcPr>
            <w:tcW w:w="1667" w:type="pct"/>
          </w:tcPr>
          <w:p w14:paraId="25BCBBF0">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 xml:space="preserve"> - </w:t>
            </w:r>
          </w:p>
        </w:tc>
      </w:tr>
      <w:tr w14:paraId="7CCE5C16">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7CA611D9">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第6(2)条</w:t>
            </w:r>
          </w:p>
        </w:tc>
        <w:tc>
          <w:tcPr>
            <w:tcW w:w="1667" w:type="pct"/>
          </w:tcPr>
          <w:p w14:paraId="0DE425FA">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第7(1)条</w:t>
            </w:r>
          </w:p>
        </w:tc>
        <w:tc>
          <w:tcPr>
            <w:tcW w:w="1667" w:type="pct"/>
          </w:tcPr>
          <w:p w14:paraId="1EDB040C">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第114条</w:t>
            </w:r>
          </w:p>
        </w:tc>
      </w:tr>
      <w:tr w14:paraId="253783AD">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C3D28AD">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第7条</w:t>
            </w:r>
          </w:p>
        </w:tc>
        <w:tc>
          <w:tcPr>
            <w:tcW w:w="1667" w:type="pct"/>
          </w:tcPr>
          <w:p w14:paraId="14DEE367">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第8条</w:t>
            </w:r>
          </w:p>
        </w:tc>
        <w:tc>
          <w:tcPr>
            <w:tcW w:w="1667" w:type="pct"/>
          </w:tcPr>
          <w:p w14:paraId="61703BD8">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第94至97条</w:t>
            </w:r>
          </w:p>
        </w:tc>
      </w:tr>
      <w:tr w14:paraId="1BC250C8">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6224A836">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 xml:space="preserve"> - </w:t>
            </w:r>
          </w:p>
        </w:tc>
        <w:tc>
          <w:tcPr>
            <w:tcW w:w="1667" w:type="pct"/>
          </w:tcPr>
          <w:p w14:paraId="70DDF59C">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第9条</w:t>
            </w:r>
          </w:p>
        </w:tc>
        <w:tc>
          <w:tcPr>
            <w:tcW w:w="1667" w:type="pct"/>
          </w:tcPr>
          <w:p w14:paraId="7E15158B">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第51条</w:t>
            </w:r>
          </w:p>
        </w:tc>
      </w:tr>
      <w:tr w14:paraId="6A648241">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644873F2">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第8(1)条</w:t>
            </w:r>
          </w:p>
        </w:tc>
        <w:tc>
          <w:tcPr>
            <w:tcW w:w="1667" w:type="pct"/>
          </w:tcPr>
          <w:p w14:paraId="43686324">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第10(1)条</w:t>
            </w:r>
          </w:p>
        </w:tc>
        <w:tc>
          <w:tcPr>
            <w:tcW w:w="1667" w:type="pct"/>
          </w:tcPr>
          <w:p w14:paraId="103F4DD8">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第87(1)条和第89(2)条</w:t>
            </w:r>
          </w:p>
        </w:tc>
      </w:tr>
      <w:tr w14:paraId="157E25A8">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39BAAAE3">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第8(2)条</w:t>
            </w:r>
          </w:p>
        </w:tc>
        <w:tc>
          <w:tcPr>
            <w:tcW w:w="1667" w:type="pct"/>
          </w:tcPr>
          <w:p w14:paraId="14B90999">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第10(2)条</w:t>
            </w:r>
          </w:p>
        </w:tc>
        <w:tc>
          <w:tcPr>
            <w:tcW w:w="1667" w:type="pct"/>
          </w:tcPr>
          <w:p w14:paraId="0B4542C5">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第87(10)条和第87(11)条第1子段</w:t>
            </w:r>
          </w:p>
        </w:tc>
      </w:tr>
      <w:tr w14:paraId="735AAF27">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0AC51CA">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第8(3)条</w:t>
            </w:r>
          </w:p>
        </w:tc>
        <w:tc>
          <w:tcPr>
            <w:tcW w:w="1667" w:type="pct"/>
          </w:tcPr>
          <w:p w14:paraId="3C0464E2">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第10(3)条</w:t>
            </w:r>
          </w:p>
        </w:tc>
        <w:tc>
          <w:tcPr>
            <w:tcW w:w="1667" w:type="pct"/>
          </w:tcPr>
          <w:p w14:paraId="54893E67">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第89(7)条</w:t>
            </w:r>
          </w:p>
        </w:tc>
      </w:tr>
      <w:tr w14:paraId="65F286EB">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AFD190A">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第8(4)条</w:t>
            </w:r>
          </w:p>
        </w:tc>
        <w:tc>
          <w:tcPr>
            <w:tcW w:w="1667" w:type="pct"/>
          </w:tcPr>
          <w:p w14:paraId="1F6D42F6">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第10(4)条</w:t>
            </w:r>
          </w:p>
        </w:tc>
        <w:tc>
          <w:tcPr>
            <w:tcW w:w="1667" w:type="pct"/>
          </w:tcPr>
          <w:p w14:paraId="0F440955">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第91条</w:t>
            </w:r>
          </w:p>
        </w:tc>
      </w:tr>
      <w:tr w14:paraId="667D068F">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6294CD02">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第9(1)条</w:t>
            </w:r>
          </w:p>
        </w:tc>
        <w:tc>
          <w:tcPr>
            <w:tcW w:w="1667" w:type="pct"/>
          </w:tcPr>
          <w:p w14:paraId="330C1468">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第11(1)条</w:t>
            </w:r>
          </w:p>
        </w:tc>
        <w:tc>
          <w:tcPr>
            <w:tcW w:w="1667" w:type="pct"/>
          </w:tcPr>
          <w:p w14:paraId="6C8DCCBA">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第52(3)条</w:t>
            </w:r>
          </w:p>
        </w:tc>
      </w:tr>
      <w:tr w14:paraId="626899A4">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C6D3991">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w:t>
            </w:r>
          </w:p>
        </w:tc>
        <w:tc>
          <w:tcPr>
            <w:tcW w:w="1667" w:type="pct"/>
          </w:tcPr>
          <w:p w14:paraId="3853F267">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第11(2)条</w:t>
            </w:r>
          </w:p>
        </w:tc>
        <w:tc>
          <w:tcPr>
            <w:tcW w:w="1667" w:type="pct"/>
          </w:tcPr>
          <w:p w14:paraId="60F5A952">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第52(6)条</w:t>
            </w:r>
          </w:p>
        </w:tc>
      </w:tr>
      <w:tr w14:paraId="0DCCBC8E">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859FC39">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w:t>
            </w:r>
          </w:p>
        </w:tc>
        <w:tc>
          <w:tcPr>
            <w:tcW w:w="1667" w:type="pct"/>
          </w:tcPr>
          <w:p w14:paraId="573A2A51">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第11(3)条</w:t>
            </w:r>
          </w:p>
        </w:tc>
        <w:tc>
          <w:tcPr>
            <w:tcW w:w="1667" w:type="pct"/>
          </w:tcPr>
          <w:p w14:paraId="12B0EE27">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第52(4)和（5）条</w:t>
            </w:r>
          </w:p>
        </w:tc>
      </w:tr>
      <w:tr w14:paraId="07FDE342">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67958E27">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w:t>
            </w:r>
          </w:p>
        </w:tc>
        <w:tc>
          <w:tcPr>
            <w:tcW w:w="1667" w:type="pct"/>
          </w:tcPr>
          <w:p w14:paraId="67DDAD88">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第11(4)条</w:t>
            </w:r>
          </w:p>
        </w:tc>
        <w:tc>
          <w:tcPr>
            <w:tcW w:w="1667" w:type="pct"/>
          </w:tcPr>
          <w:p w14:paraId="0D90F145">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w:t>
            </w:r>
          </w:p>
        </w:tc>
      </w:tr>
      <w:tr w14:paraId="764518E7">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41F13548">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w:t>
            </w:r>
          </w:p>
        </w:tc>
        <w:tc>
          <w:tcPr>
            <w:tcW w:w="1667" w:type="pct"/>
          </w:tcPr>
          <w:p w14:paraId="4C34206D">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第11(5)条</w:t>
            </w:r>
          </w:p>
        </w:tc>
        <w:tc>
          <w:tcPr>
            <w:tcW w:w="1667" w:type="pct"/>
          </w:tcPr>
          <w:p w14:paraId="7F0BF346">
            <w:pPr>
              <w:pStyle w:val="26"/>
              <w:topLinePunct/>
              <w:snapToGrid w:val="0"/>
              <w:spacing w:beforeLines="20" w:line="276" w:lineRule="auto"/>
              <w:jc w:val="both"/>
              <w:rPr>
                <w:rFonts w:ascii="Times New Roman" w:hAnsi="Times New Roman"/>
                <w:kern w:val="2"/>
                <w:szCs w:val="21"/>
              </w:rPr>
            </w:pPr>
            <w:r>
              <w:rPr>
                <w:rFonts w:ascii="Times New Roman" w:hAnsi="Times New Roman"/>
                <w:kern w:val="2"/>
                <w:szCs w:val="21"/>
              </w:rPr>
              <w:t>第52(7)条</w:t>
            </w:r>
          </w:p>
        </w:tc>
      </w:tr>
      <w:tr w14:paraId="1EECAF4A">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454D2E54">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第9(2)条</w:t>
            </w:r>
          </w:p>
        </w:tc>
        <w:tc>
          <w:tcPr>
            <w:tcW w:w="1667" w:type="pct"/>
          </w:tcPr>
          <w:p w14:paraId="54CFADFD">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第11(6)条</w:t>
            </w:r>
          </w:p>
        </w:tc>
        <w:tc>
          <w:tcPr>
            <w:tcW w:w="1667" w:type="pct"/>
          </w:tcPr>
          <w:p w14:paraId="2CC62305">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第52(8)条</w:t>
            </w:r>
          </w:p>
        </w:tc>
      </w:tr>
      <w:tr w14:paraId="4B250F1B">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11E566D1">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第9(3)条</w:t>
            </w:r>
          </w:p>
        </w:tc>
        <w:tc>
          <w:tcPr>
            <w:tcW w:w="1667" w:type="pct"/>
          </w:tcPr>
          <w:p w14:paraId="7A132DF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第11(8)条</w:t>
            </w:r>
          </w:p>
        </w:tc>
        <w:tc>
          <w:tcPr>
            <w:tcW w:w="1667" w:type="pct"/>
          </w:tcPr>
          <w:p w14:paraId="377B10A3">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第11(3)条</w:t>
            </w:r>
          </w:p>
        </w:tc>
      </w:tr>
      <w:tr w14:paraId="671FF6E6">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574A8AD4">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第9(4)条</w:t>
            </w:r>
          </w:p>
        </w:tc>
        <w:tc>
          <w:tcPr>
            <w:tcW w:w="1667" w:type="pct"/>
          </w:tcPr>
          <w:p w14:paraId="36C0ADAB">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第11(12)条</w:t>
            </w:r>
          </w:p>
        </w:tc>
        <w:tc>
          <w:tcPr>
            <w:tcW w:w="1667" w:type="pct"/>
          </w:tcPr>
          <w:p w14:paraId="56A5713C">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第52(12)条</w:t>
            </w:r>
          </w:p>
        </w:tc>
      </w:tr>
      <w:tr w14:paraId="41883458">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E86C373">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第9(5)条</w:t>
            </w:r>
          </w:p>
        </w:tc>
        <w:tc>
          <w:tcPr>
            <w:tcW w:w="1667" w:type="pct"/>
          </w:tcPr>
          <w:p w14:paraId="156CD50B">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第11(7)条</w:t>
            </w:r>
          </w:p>
        </w:tc>
        <w:tc>
          <w:tcPr>
            <w:tcW w:w="1667" w:type="pct"/>
          </w:tcPr>
          <w:p w14:paraId="6A653A7E">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w:t>
            </w:r>
          </w:p>
        </w:tc>
      </w:tr>
      <w:tr w14:paraId="01001A14">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43C30DC">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第9(6)条</w:t>
            </w:r>
          </w:p>
        </w:tc>
        <w:tc>
          <w:tcPr>
            <w:tcW w:w="1667" w:type="pct"/>
          </w:tcPr>
          <w:p w14:paraId="2C94D080">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第11(9)条</w:t>
            </w:r>
          </w:p>
        </w:tc>
        <w:tc>
          <w:tcPr>
            <w:tcW w:w="1667" w:type="pct"/>
          </w:tcPr>
          <w:p w14:paraId="526219C8">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第53(1)条</w:t>
            </w:r>
          </w:p>
        </w:tc>
      </w:tr>
      <w:tr w14:paraId="3C770DF1">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3A21780D">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第9(7)条</w:t>
            </w:r>
          </w:p>
        </w:tc>
        <w:tc>
          <w:tcPr>
            <w:tcW w:w="1667" w:type="pct"/>
          </w:tcPr>
          <w:p w14:paraId="00B43689">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第11(10)条</w:t>
            </w:r>
          </w:p>
        </w:tc>
        <w:tc>
          <w:tcPr>
            <w:tcW w:w="1667" w:type="pct"/>
          </w:tcPr>
          <w:p w14:paraId="17B9D5BC">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第23(4)条</w:t>
            </w:r>
          </w:p>
        </w:tc>
      </w:tr>
      <w:tr w14:paraId="0F535E85">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7FB1A1D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第9(8)条</w:t>
            </w:r>
          </w:p>
        </w:tc>
        <w:tc>
          <w:tcPr>
            <w:tcW w:w="1667" w:type="pct"/>
          </w:tcPr>
          <w:p w14:paraId="3E459335">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第11(11)条</w:t>
            </w:r>
          </w:p>
        </w:tc>
        <w:tc>
          <w:tcPr>
            <w:tcW w:w="1667" w:type="pct"/>
          </w:tcPr>
          <w:p w14:paraId="57CB9990">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第56(2)条</w:t>
            </w:r>
          </w:p>
        </w:tc>
      </w:tr>
      <w:tr w14:paraId="720CA34B">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BC818E8">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第9(9)条</w:t>
            </w:r>
          </w:p>
        </w:tc>
        <w:tc>
          <w:tcPr>
            <w:tcW w:w="1667" w:type="pct"/>
          </w:tcPr>
          <w:p w14:paraId="096EAE06">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第11(13)条</w:t>
            </w:r>
          </w:p>
        </w:tc>
        <w:tc>
          <w:tcPr>
            <w:tcW w:w="1667" w:type="pct"/>
          </w:tcPr>
          <w:p w14:paraId="7460F849">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第59条</w:t>
            </w:r>
          </w:p>
        </w:tc>
      </w:tr>
      <w:tr w14:paraId="34651B0F">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7A214B67">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第9(10)条</w:t>
            </w:r>
          </w:p>
        </w:tc>
        <w:tc>
          <w:tcPr>
            <w:tcW w:w="1667" w:type="pct"/>
          </w:tcPr>
          <w:p w14:paraId="10B60943">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第11(14)条</w:t>
            </w:r>
          </w:p>
        </w:tc>
        <w:tc>
          <w:tcPr>
            <w:tcW w:w="1667" w:type="pct"/>
          </w:tcPr>
          <w:p w14:paraId="4F2CB203">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第4(5)条和第122条第3段-</w:t>
            </w:r>
          </w:p>
        </w:tc>
      </w:tr>
      <w:tr w14:paraId="0B4C311C">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7E0A9521">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w:t>
            </w:r>
          </w:p>
        </w:tc>
        <w:tc>
          <w:tcPr>
            <w:tcW w:w="1667" w:type="pct"/>
          </w:tcPr>
          <w:p w14:paraId="7C44385E">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第12条</w:t>
            </w:r>
          </w:p>
        </w:tc>
        <w:tc>
          <w:tcPr>
            <w:tcW w:w="1667" w:type="pct"/>
          </w:tcPr>
          <w:p w14:paraId="3A1857F6">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第22条</w:t>
            </w:r>
          </w:p>
        </w:tc>
      </w:tr>
      <w:tr w14:paraId="73C441FB">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4CB90078">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w:t>
            </w:r>
          </w:p>
        </w:tc>
        <w:tc>
          <w:tcPr>
            <w:tcW w:w="1667" w:type="pct"/>
          </w:tcPr>
          <w:p w14:paraId="5B32E29E">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第12a条</w:t>
            </w:r>
          </w:p>
        </w:tc>
        <w:tc>
          <w:tcPr>
            <w:tcW w:w="1667" w:type="pct"/>
          </w:tcPr>
          <w:p w14:paraId="376C8386">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第17条</w:t>
            </w:r>
          </w:p>
        </w:tc>
      </w:tr>
      <w:tr w14:paraId="5F0987B0">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6C4FDE7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第9a（1）条第一项</w:t>
            </w:r>
          </w:p>
        </w:tc>
        <w:tc>
          <w:tcPr>
            <w:tcW w:w="1667" w:type="pct"/>
          </w:tcPr>
          <w:p w14:paraId="31D3097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第13(1)条（c）</w:t>
            </w:r>
          </w:p>
        </w:tc>
        <w:tc>
          <w:tcPr>
            <w:tcW w:w="1667" w:type="pct"/>
          </w:tcPr>
          <w:p w14:paraId="0CB44826">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w:t>
            </w:r>
          </w:p>
        </w:tc>
      </w:tr>
      <w:tr w14:paraId="223044A6">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Pr>
          <w:p w14:paraId="05759032">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第9a（1）条第二项</w:t>
            </w:r>
          </w:p>
        </w:tc>
        <w:tc>
          <w:tcPr>
            <w:tcW w:w="1667" w:type="pct"/>
          </w:tcPr>
          <w:p w14:paraId="456EAAE4">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第13(1)条（d）</w:t>
            </w:r>
          </w:p>
        </w:tc>
        <w:tc>
          <w:tcPr>
            <w:tcW w:w="1667" w:type="pct"/>
          </w:tcPr>
          <w:p w14:paraId="4E7CA897">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第4(1)条</w:t>
            </w:r>
          </w:p>
        </w:tc>
      </w:tr>
      <w:tr w14:paraId="048DB9FE">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6465588A">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w:t>
            </w:r>
          </w:p>
        </w:tc>
        <w:tc>
          <w:tcPr>
            <w:tcW w:w="1667" w:type="pct"/>
            <w:vAlign w:val="center"/>
          </w:tcPr>
          <w:p w14:paraId="19F4D826">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第13(1)条（a）</w:t>
            </w:r>
          </w:p>
        </w:tc>
        <w:tc>
          <w:tcPr>
            <w:tcW w:w="1667" w:type="pct"/>
            <w:vAlign w:val="center"/>
          </w:tcPr>
          <w:p w14:paraId="3EDA0D67">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第51(3)条(a)和第51(6)条</w:t>
            </w:r>
          </w:p>
        </w:tc>
      </w:tr>
      <w:tr w14:paraId="6DF8AFAD">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6991C15A">
            <w:pPr>
              <w:pStyle w:val="26"/>
              <w:topLinePunct/>
              <w:snapToGrid w:val="0"/>
              <w:spacing w:beforeLines="15" w:line="276" w:lineRule="auto"/>
              <w:jc w:val="both"/>
              <w:rPr>
                <w:rFonts w:ascii="Times New Roman" w:hAnsi="Times New Roman"/>
                <w:kern w:val="2"/>
                <w:szCs w:val="21"/>
              </w:rPr>
            </w:pPr>
          </w:p>
        </w:tc>
        <w:tc>
          <w:tcPr>
            <w:tcW w:w="1667" w:type="pct"/>
            <w:vAlign w:val="center"/>
          </w:tcPr>
          <w:p w14:paraId="074A7357">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第13(1)条（b）</w:t>
            </w:r>
          </w:p>
        </w:tc>
        <w:tc>
          <w:tcPr>
            <w:tcW w:w="1667" w:type="pct"/>
            <w:vAlign w:val="center"/>
          </w:tcPr>
          <w:p w14:paraId="1FB9F8D7">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第51(3)条(b)和第51(6)条</w:t>
            </w:r>
          </w:p>
        </w:tc>
      </w:tr>
      <w:tr w14:paraId="400D1F14">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1237242E">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第10条-</w:t>
            </w:r>
          </w:p>
        </w:tc>
        <w:tc>
          <w:tcPr>
            <w:tcW w:w="1667" w:type="pct"/>
            <w:vAlign w:val="center"/>
          </w:tcPr>
          <w:p w14:paraId="5DD75D35">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第15条</w:t>
            </w:r>
          </w:p>
        </w:tc>
        <w:tc>
          <w:tcPr>
            <w:tcW w:w="1667" w:type="pct"/>
            <w:vAlign w:val="center"/>
          </w:tcPr>
          <w:p w14:paraId="7914AF02">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第62至82条</w:t>
            </w:r>
          </w:p>
        </w:tc>
      </w:tr>
      <w:tr w14:paraId="78402397">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6F805C53">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第10a(1)条、第10a(2)条第2句和第10a(3)条</w:t>
            </w:r>
          </w:p>
        </w:tc>
        <w:tc>
          <w:tcPr>
            <w:tcW w:w="1667" w:type="pct"/>
            <w:vAlign w:val="center"/>
          </w:tcPr>
          <w:p w14:paraId="181B14A1">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第14(1)条、第14(2)条第2句和第14(3)条</w:t>
            </w:r>
          </w:p>
        </w:tc>
        <w:tc>
          <w:tcPr>
            <w:tcW w:w="1667" w:type="pct"/>
            <w:vAlign w:val="center"/>
          </w:tcPr>
          <w:p w14:paraId="2BEA4049">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第29(4)条、第30条和第31条</w:t>
            </w:r>
          </w:p>
        </w:tc>
      </w:tr>
      <w:tr w14:paraId="655389B2">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747B828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第10a(2)条第1句</w:t>
            </w:r>
          </w:p>
        </w:tc>
        <w:tc>
          <w:tcPr>
            <w:tcW w:w="1667" w:type="pct"/>
            <w:vAlign w:val="center"/>
          </w:tcPr>
          <w:p w14:paraId="1F4EAE20">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第14(2)条第1句</w:t>
            </w:r>
          </w:p>
        </w:tc>
        <w:tc>
          <w:tcPr>
            <w:tcW w:w="1667" w:type="pct"/>
          </w:tcPr>
          <w:p w14:paraId="560FD57A">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第11(1)条</w:t>
            </w:r>
          </w:p>
        </w:tc>
      </w:tr>
      <w:tr w14:paraId="5C5CCAFD">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0606FDD0">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第10b条</w:t>
            </w:r>
          </w:p>
        </w:tc>
        <w:tc>
          <w:tcPr>
            <w:tcW w:w="1667" w:type="pct"/>
            <w:vAlign w:val="center"/>
          </w:tcPr>
          <w:p w14:paraId="46A56C98">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第14a条</w:t>
            </w:r>
          </w:p>
        </w:tc>
        <w:tc>
          <w:tcPr>
            <w:tcW w:w="1667" w:type="pct"/>
            <w:vAlign w:val="center"/>
          </w:tcPr>
          <w:p w14:paraId="16556C9C">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第33和34条</w:t>
            </w:r>
          </w:p>
        </w:tc>
      </w:tr>
      <w:tr w14:paraId="468ABE75">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706FBC89">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第10</w:t>
            </w:r>
            <w:r>
              <w:rPr>
                <w:rFonts w:hint="eastAsia" w:ascii="Times New Roman" w:hAnsi="Times New Roman"/>
                <w:kern w:val="2"/>
                <w:szCs w:val="21"/>
              </w:rPr>
              <w:t>c</w:t>
            </w:r>
            <w:r>
              <w:rPr>
                <w:rFonts w:ascii="Times New Roman" w:hAnsi="Times New Roman"/>
                <w:kern w:val="2"/>
                <w:szCs w:val="21"/>
              </w:rPr>
              <w:t>条</w:t>
            </w:r>
          </w:p>
        </w:tc>
        <w:tc>
          <w:tcPr>
            <w:tcW w:w="1667" w:type="pct"/>
            <w:vAlign w:val="center"/>
          </w:tcPr>
          <w:p w14:paraId="76E73E41">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第14b条</w:t>
            </w:r>
          </w:p>
        </w:tc>
        <w:tc>
          <w:tcPr>
            <w:tcW w:w="1667" w:type="pct"/>
            <w:vAlign w:val="center"/>
          </w:tcPr>
          <w:p w14:paraId="393C0BD1">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第98条</w:t>
            </w:r>
          </w:p>
        </w:tc>
      </w:tr>
      <w:tr w14:paraId="13F24CA3">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3136BF29">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第11(1)条</w:t>
            </w:r>
          </w:p>
        </w:tc>
        <w:tc>
          <w:tcPr>
            <w:tcW w:w="1667" w:type="pct"/>
            <w:vAlign w:val="center"/>
          </w:tcPr>
          <w:p w14:paraId="4CCA228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第16(1)条</w:t>
            </w:r>
          </w:p>
        </w:tc>
        <w:tc>
          <w:tcPr>
            <w:tcW w:w="1667" w:type="pct"/>
            <w:vAlign w:val="center"/>
          </w:tcPr>
          <w:p w14:paraId="4B7ED951">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第42条和第43条</w:t>
            </w:r>
          </w:p>
        </w:tc>
      </w:tr>
      <w:tr w14:paraId="442F3537">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00F4926D">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第11(2)条</w:t>
            </w:r>
          </w:p>
        </w:tc>
        <w:tc>
          <w:tcPr>
            <w:tcW w:w="1667" w:type="pct"/>
            <w:vAlign w:val="center"/>
          </w:tcPr>
          <w:p w14:paraId="4E597F05">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第16(2)条</w:t>
            </w:r>
          </w:p>
        </w:tc>
        <w:tc>
          <w:tcPr>
            <w:tcW w:w="1667" w:type="pct"/>
            <w:vAlign w:val="center"/>
          </w:tcPr>
          <w:p w14:paraId="2607D2C1">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第36条</w:t>
            </w:r>
          </w:p>
        </w:tc>
      </w:tr>
      <w:tr w14:paraId="7E2A506D">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549EEFF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第11(3)条</w:t>
            </w:r>
          </w:p>
        </w:tc>
        <w:tc>
          <w:tcPr>
            <w:tcW w:w="1667" w:type="pct"/>
            <w:vAlign w:val="center"/>
          </w:tcPr>
          <w:p w14:paraId="6A2FBE22">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第16(3)条</w:t>
            </w:r>
          </w:p>
        </w:tc>
        <w:tc>
          <w:tcPr>
            <w:tcW w:w="1667" w:type="pct"/>
            <w:vAlign w:val="center"/>
          </w:tcPr>
          <w:p w14:paraId="364D3A6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第46(4)条</w:t>
            </w:r>
          </w:p>
        </w:tc>
      </w:tr>
      <w:tr w14:paraId="011D4BC4">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2E853D5D">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第11(4)条</w:t>
            </w:r>
          </w:p>
        </w:tc>
        <w:tc>
          <w:tcPr>
            <w:tcW w:w="1667" w:type="pct"/>
            <w:vAlign w:val="center"/>
          </w:tcPr>
          <w:p w14:paraId="50CA3A91">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第16(4)条</w:t>
            </w:r>
          </w:p>
        </w:tc>
        <w:tc>
          <w:tcPr>
            <w:tcW w:w="1667" w:type="pct"/>
            <w:vAlign w:val="center"/>
          </w:tcPr>
          <w:p w14:paraId="1CE72395">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 xml:space="preserve"> - </w:t>
            </w:r>
          </w:p>
        </w:tc>
      </w:tr>
      <w:tr w14:paraId="33936858">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20B23DF0">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第11(5)条</w:t>
            </w:r>
          </w:p>
        </w:tc>
        <w:tc>
          <w:tcPr>
            <w:tcW w:w="1667" w:type="pct"/>
            <w:vAlign w:val="center"/>
          </w:tcPr>
          <w:p w14:paraId="010A0547">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第16(5)条</w:t>
            </w:r>
          </w:p>
        </w:tc>
        <w:tc>
          <w:tcPr>
            <w:tcW w:w="1667" w:type="pct"/>
            <w:vAlign w:val="center"/>
          </w:tcPr>
          <w:p w14:paraId="78F4F4A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第56(5)条</w:t>
            </w:r>
          </w:p>
        </w:tc>
      </w:tr>
      <w:tr w14:paraId="7800DC49">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554AAF08">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第11(6)条</w:t>
            </w:r>
          </w:p>
        </w:tc>
        <w:tc>
          <w:tcPr>
            <w:tcW w:w="1667" w:type="pct"/>
            <w:vAlign w:val="center"/>
          </w:tcPr>
          <w:p w14:paraId="0AD4E305">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第16(6)条</w:t>
            </w:r>
          </w:p>
        </w:tc>
        <w:tc>
          <w:tcPr>
            <w:tcW w:w="1667" w:type="pct"/>
            <w:vAlign w:val="center"/>
          </w:tcPr>
          <w:p w14:paraId="0AFC771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第56(4)条</w:t>
            </w:r>
          </w:p>
        </w:tc>
      </w:tr>
      <w:tr w14:paraId="4977C3D7">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56F925BD">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第11(7)条</w:t>
            </w:r>
          </w:p>
        </w:tc>
        <w:tc>
          <w:tcPr>
            <w:tcW w:w="1667" w:type="pct"/>
            <w:vAlign w:val="center"/>
          </w:tcPr>
          <w:p w14:paraId="288356AA">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第16(7)条</w:t>
            </w:r>
          </w:p>
        </w:tc>
        <w:tc>
          <w:tcPr>
            <w:tcW w:w="1667" w:type="pct"/>
            <w:vAlign w:val="center"/>
          </w:tcPr>
          <w:p w14:paraId="7AE24515">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第38(2)条和第44(2)条</w:t>
            </w:r>
          </w:p>
        </w:tc>
      </w:tr>
      <w:tr w14:paraId="75F738C0">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1F7CDCA0">
            <w:pPr>
              <w:pStyle w:val="26"/>
              <w:topLinePunct/>
              <w:snapToGrid w:val="0"/>
              <w:spacing w:beforeLines="15" w:line="276" w:lineRule="auto"/>
              <w:ind w:left="1"/>
              <w:jc w:val="both"/>
              <w:rPr>
                <w:rFonts w:ascii="Times New Roman" w:hAnsi="Times New Roman"/>
                <w:kern w:val="2"/>
                <w:szCs w:val="21"/>
              </w:rPr>
            </w:pPr>
            <w:r>
              <w:rPr>
                <w:rFonts w:ascii="Times New Roman" w:hAnsi="Times New Roman"/>
                <w:kern w:val="2"/>
                <w:szCs w:val="21"/>
              </w:rPr>
              <w:t>第12条</w:t>
            </w:r>
          </w:p>
        </w:tc>
        <w:tc>
          <w:tcPr>
            <w:tcW w:w="1667" w:type="pct"/>
            <w:vAlign w:val="center"/>
          </w:tcPr>
          <w:p w14:paraId="7A6D652F">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第17条</w:t>
            </w:r>
          </w:p>
        </w:tc>
        <w:tc>
          <w:tcPr>
            <w:tcW w:w="1667" w:type="pct"/>
            <w:vAlign w:val="center"/>
          </w:tcPr>
          <w:p w14:paraId="06D3120C">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第20条</w:t>
            </w:r>
          </w:p>
        </w:tc>
      </w:tr>
      <w:tr w14:paraId="6B5967F2">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08CCF998">
            <w:pPr>
              <w:pStyle w:val="26"/>
              <w:topLinePunct/>
              <w:snapToGrid w:val="0"/>
              <w:spacing w:beforeLines="15" w:line="276" w:lineRule="auto"/>
              <w:ind w:left="1"/>
              <w:jc w:val="both"/>
              <w:rPr>
                <w:rFonts w:ascii="Times New Roman" w:hAnsi="Times New Roman"/>
                <w:kern w:val="2"/>
                <w:szCs w:val="21"/>
              </w:rPr>
            </w:pPr>
            <w:r>
              <w:rPr>
                <w:rFonts w:ascii="Times New Roman" w:hAnsi="Times New Roman"/>
                <w:kern w:val="2"/>
                <w:szCs w:val="21"/>
              </w:rPr>
              <w:t>第13条</w:t>
            </w:r>
          </w:p>
        </w:tc>
        <w:tc>
          <w:tcPr>
            <w:tcW w:w="1667" w:type="pct"/>
            <w:vAlign w:val="center"/>
          </w:tcPr>
          <w:p w14:paraId="5EBD546B">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第18条</w:t>
            </w:r>
          </w:p>
        </w:tc>
        <w:tc>
          <w:tcPr>
            <w:tcW w:w="1667" w:type="pct"/>
            <w:vAlign w:val="center"/>
          </w:tcPr>
          <w:p w14:paraId="2DDFF796">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第94至97条</w:t>
            </w:r>
          </w:p>
        </w:tc>
      </w:tr>
      <w:tr w14:paraId="6ABB0FB9">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6F9F10EA">
            <w:pPr>
              <w:pStyle w:val="26"/>
              <w:topLinePunct/>
              <w:snapToGrid w:val="0"/>
              <w:spacing w:beforeLines="15" w:line="276" w:lineRule="auto"/>
              <w:ind w:left="1"/>
              <w:jc w:val="both"/>
              <w:rPr>
                <w:rFonts w:ascii="Times New Roman" w:hAnsi="Times New Roman"/>
                <w:kern w:val="2"/>
                <w:szCs w:val="21"/>
              </w:rPr>
            </w:pPr>
            <w:r>
              <w:rPr>
                <w:rFonts w:ascii="Times New Roman" w:hAnsi="Times New Roman"/>
                <w:kern w:val="2"/>
                <w:szCs w:val="21"/>
              </w:rPr>
              <w:t>第14条</w:t>
            </w:r>
          </w:p>
        </w:tc>
        <w:tc>
          <w:tcPr>
            <w:tcW w:w="1667" w:type="pct"/>
            <w:vAlign w:val="center"/>
          </w:tcPr>
          <w:p w14:paraId="6EA60CCB">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第19条</w:t>
            </w:r>
          </w:p>
        </w:tc>
        <w:tc>
          <w:tcPr>
            <w:tcW w:w="1667" w:type="pct"/>
            <w:vAlign w:val="center"/>
          </w:tcPr>
          <w:p w14:paraId="3C696830">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第99条</w:t>
            </w:r>
          </w:p>
        </w:tc>
      </w:tr>
      <w:tr w14:paraId="50E9A557">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428FE558">
            <w:pPr>
              <w:pStyle w:val="26"/>
              <w:topLinePunct/>
              <w:snapToGrid w:val="0"/>
              <w:spacing w:beforeLines="15" w:line="276" w:lineRule="auto"/>
              <w:ind w:left="1"/>
              <w:jc w:val="both"/>
              <w:rPr>
                <w:rFonts w:ascii="Times New Roman" w:hAnsi="Times New Roman"/>
                <w:kern w:val="2"/>
                <w:szCs w:val="21"/>
              </w:rPr>
            </w:pPr>
            <w:r>
              <w:rPr>
                <w:rFonts w:ascii="Times New Roman" w:hAnsi="Times New Roman"/>
                <w:kern w:val="2"/>
                <w:szCs w:val="21"/>
              </w:rPr>
              <w:t>第15条</w:t>
            </w:r>
          </w:p>
        </w:tc>
        <w:tc>
          <w:tcPr>
            <w:tcW w:w="1667" w:type="pct"/>
            <w:vAlign w:val="center"/>
          </w:tcPr>
          <w:p w14:paraId="72FC5057">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第20条</w:t>
            </w:r>
          </w:p>
        </w:tc>
        <w:tc>
          <w:tcPr>
            <w:tcW w:w="1667" w:type="pct"/>
            <w:vAlign w:val="center"/>
          </w:tcPr>
          <w:p w14:paraId="6ADD76D8">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第109条</w:t>
            </w:r>
          </w:p>
        </w:tc>
      </w:tr>
      <w:tr w14:paraId="4607B81A">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4C6CDDBE">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第15a条</w:t>
            </w:r>
          </w:p>
        </w:tc>
        <w:tc>
          <w:tcPr>
            <w:tcW w:w="1667" w:type="pct"/>
            <w:vAlign w:val="center"/>
          </w:tcPr>
          <w:p w14:paraId="28CE463E">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第20a条</w:t>
            </w:r>
          </w:p>
        </w:tc>
        <w:tc>
          <w:tcPr>
            <w:tcW w:w="1667" w:type="pct"/>
            <w:vAlign w:val="center"/>
          </w:tcPr>
          <w:p w14:paraId="59B6150E">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第102条</w:t>
            </w:r>
          </w:p>
        </w:tc>
      </w:tr>
      <w:tr w14:paraId="281CA27D">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vAlign w:val="center"/>
          </w:tcPr>
          <w:p w14:paraId="4CECD852">
            <w:pPr>
              <w:pStyle w:val="26"/>
              <w:topLinePunct/>
              <w:snapToGrid w:val="0"/>
              <w:spacing w:beforeLines="15" w:line="276" w:lineRule="auto"/>
              <w:ind w:left="1"/>
              <w:jc w:val="both"/>
              <w:rPr>
                <w:rFonts w:ascii="Times New Roman" w:hAnsi="Times New Roman"/>
                <w:kern w:val="2"/>
                <w:szCs w:val="21"/>
              </w:rPr>
            </w:pPr>
            <w:r>
              <w:rPr>
                <w:rFonts w:ascii="Times New Roman" w:hAnsi="Times New Roman"/>
                <w:kern w:val="2"/>
                <w:szCs w:val="21"/>
              </w:rPr>
              <w:t>第16条</w:t>
            </w:r>
          </w:p>
        </w:tc>
        <w:tc>
          <w:tcPr>
            <w:tcW w:w="1667" w:type="pct"/>
            <w:vAlign w:val="center"/>
          </w:tcPr>
          <w:p w14:paraId="147DECFE">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第22条</w:t>
            </w:r>
          </w:p>
        </w:tc>
        <w:tc>
          <w:tcPr>
            <w:tcW w:w="1667" w:type="pct"/>
            <w:vAlign w:val="center"/>
          </w:tcPr>
          <w:p w14:paraId="3A49801B">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 xml:space="preserve"> - </w:t>
            </w:r>
          </w:p>
        </w:tc>
      </w:tr>
      <w:tr w14:paraId="7C477072">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Borders>
              <w:bottom w:val="nil"/>
            </w:tcBorders>
            <w:vAlign w:val="center"/>
          </w:tcPr>
          <w:p w14:paraId="05AABD2F">
            <w:pPr>
              <w:pStyle w:val="26"/>
              <w:topLinePunct/>
              <w:snapToGrid w:val="0"/>
              <w:spacing w:beforeLines="15" w:line="276" w:lineRule="auto"/>
              <w:ind w:left="1"/>
              <w:jc w:val="both"/>
              <w:rPr>
                <w:rFonts w:ascii="Times New Roman" w:hAnsi="Times New Roman"/>
                <w:kern w:val="2"/>
                <w:szCs w:val="21"/>
              </w:rPr>
            </w:pPr>
            <w:r>
              <w:rPr>
                <w:rFonts w:ascii="Times New Roman" w:hAnsi="Times New Roman"/>
                <w:kern w:val="2"/>
                <w:szCs w:val="21"/>
              </w:rPr>
              <w:t>第17条</w:t>
            </w:r>
          </w:p>
        </w:tc>
        <w:tc>
          <w:tcPr>
            <w:tcW w:w="1667" w:type="pct"/>
            <w:tcBorders>
              <w:bottom w:val="nil"/>
            </w:tcBorders>
            <w:vAlign w:val="center"/>
          </w:tcPr>
          <w:p w14:paraId="775B1A52">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第23条</w:t>
            </w:r>
          </w:p>
        </w:tc>
        <w:tc>
          <w:tcPr>
            <w:tcW w:w="1667" w:type="pct"/>
            <w:tcBorders>
              <w:bottom w:val="nil"/>
            </w:tcBorders>
            <w:vAlign w:val="center"/>
          </w:tcPr>
          <w:p w14:paraId="08933E44">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 xml:space="preserve"> - </w:t>
            </w:r>
          </w:p>
        </w:tc>
      </w:tr>
      <w:tr w14:paraId="6FF76949">
        <w:tblPrEx>
          <w:tblBorders>
            <w:top w:val="single" w:color="auto" w:sz="4"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666" w:type="pct"/>
            <w:tcBorders>
              <w:top w:val="nil"/>
              <w:bottom w:val="single" w:color="auto" w:sz="4" w:space="0"/>
            </w:tcBorders>
            <w:vAlign w:val="center"/>
          </w:tcPr>
          <w:p w14:paraId="4A823E6C">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 xml:space="preserve"> - </w:t>
            </w:r>
          </w:p>
        </w:tc>
        <w:tc>
          <w:tcPr>
            <w:tcW w:w="1667" w:type="pct"/>
            <w:tcBorders>
              <w:top w:val="nil"/>
              <w:bottom w:val="single" w:color="auto" w:sz="4" w:space="0"/>
            </w:tcBorders>
            <w:vAlign w:val="center"/>
          </w:tcPr>
          <w:p w14:paraId="06802F4C">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第21条</w:t>
            </w:r>
          </w:p>
        </w:tc>
        <w:tc>
          <w:tcPr>
            <w:tcW w:w="1667" w:type="pct"/>
            <w:tcBorders>
              <w:top w:val="nil"/>
              <w:bottom w:val="single" w:color="auto" w:sz="4" w:space="0"/>
            </w:tcBorders>
            <w:vAlign w:val="center"/>
          </w:tcPr>
          <w:p w14:paraId="6E36B008">
            <w:pPr>
              <w:pStyle w:val="26"/>
              <w:topLinePunct/>
              <w:snapToGrid w:val="0"/>
              <w:spacing w:beforeLines="15" w:line="276" w:lineRule="auto"/>
              <w:jc w:val="both"/>
              <w:rPr>
                <w:rFonts w:ascii="Times New Roman" w:hAnsi="Times New Roman"/>
                <w:kern w:val="2"/>
                <w:szCs w:val="21"/>
              </w:rPr>
            </w:pPr>
            <w:r>
              <w:rPr>
                <w:rFonts w:ascii="Times New Roman" w:hAnsi="Times New Roman"/>
                <w:kern w:val="2"/>
                <w:szCs w:val="21"/>
              </w:rPr>
              <w:t xml:space="preserve"> - </w:t>
            </w:r>
          </w:p>
        </w:tc>
      </w:tr>
    </w:tbl>
    <w:p w14:paraId="1A54E5FE">
      <w:pPr>
        <w:pStyle w:val="8"/>
        <w:snapToGrid w:val="0"/>
        <w:spacing w:beforeLines="50" w:line="300" w:lineRule="auto"/>
        <w:ind w:left="0" w:firstLine="0"/>
        <w:jc w:val="center"/>
        <w:rPr>
          <w:b/>
          <w:kern w:val="2"/>
          <w:sz w:val="28"/>
          <w:szCs w:val="28"/>
        </w:rPr>
        <w:sectPr>
          <w:headerReference r:id="rId12" w:type="first"/>
          <w:headerReference r:id="rId10" w:type="default"/>
          <w:headerReference r:id="rId11" w:type="even"/>
          <w:pgSz w:w="11906" w:h="16838"/>
          <w:pgMar w:top="1440" w:right="1797" w:bottom="1440" w:left="1797" w:header="720" w:footer="567" w:gutter="0"/>
          <w:pgNumType w:start="1"/>
          <w:cols w:space="425" w:num="1"/>
          <w:docGrid w:type="lines" w:linePitch="312" w:charSpace="0"/>
        </w:sectPr>
      </w:pPr>
    </w:p>
    <w:p w14:paraId="2128DC8A">
      <w:pPr>
        <w:pStyle w:val="8"/>
        <w:snapToGrid w:val="0"/>
        <w:spacing w:beforeLines="50" w:line="300" w:lineRule="auto"/>
        <w:ind w:left="0" w:firstLine="0"/>
        <w:jc w:val="center"/>
        <w:rPr>
          <w:vanish/>
          <w:kern w:val="2"/>
          <w:sz w:val="18"/>
          <w:szCs w:val="18"/>
        </w:rPr>
      </w:pPr>
    </w:p>
    <w:p w14:paraId="21C53BE3">
      <w:pPr>
        <w:snapToGrid w:val="0"/>
        <w:spacing w:line="360" w:lineRule="auto"/>
        <w:rPr>
          <w:rFonts w:hint="eastAsia" w:eastAsia="宋体"/>
          <w:lang w:eastAsia="zh-CN"/>
        </w:rPr>
      </w:pPr>
    </w:p>
    <w:p w14:paraId="239CEF7E">
      <w:pPr>
        <w:snapToGrid w:val="0"/>
        <w:spacing w:line="360" w:lineRule="auto"/>
        <w:jc w:val="center"/>
        <w:rPr>
          <w:rFonts w:hint="eastAsia" w:eastAsia="宋体"/>
          <w:lang w:eastAsia="zh-CN"/>
        </w:rPr>
      </w:pPr>
    </w:p>
    <w:p w14:paraId="0BDBCB9F">
      <w:pPr>
        <w:snapToGrid w:val="0"/>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7"/>
                    <a:stretch>
                      <a:fillRect/>
                    </a:stretch>
                  </pic:blipFill>
                  <pic:spPr>
                    <a:xfrm>
                      <a:off x="0" y="0"/>
                      <a:ext cx="5210175" cy="7343775"/>
                    </a:xfrm>
                    <a:prstGeom prst="rect">
                      <a:avLst/>
                    </a:prstGeom>
                  </pic:spPr>
                </pic:pic>
              </a:graphicData>
            </a:graphic>
          </wp:inline>
        </w:drawing>
      </w:r>
    </w:p>
    <w:sectPr>
      <w:headerReference r:id="rId13" w:type="first"/>
      <w:pgSz w:w="11906" w:h="16838"/>
      <w:pgMar w:top="1440" w:right="1797" w:bottom="1440" w:left="1797" w:header="72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327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CC4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75E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6000">
    <w:pPr>
      <w:pStyle w:val="11"/>
      <w:rPr>
        <w:rFonts w:ascii="Times New Roman" w:hAnsi="Times New Roman"/>
        <w:vanish/>
        <w:sz w:val="21"/>
        <w:szCs w:val="21"/>
      </w:rPr>
    </w:pPr>
    <w:r>
      <w:rPr>
        <w:rFonts w:ascii="Times New Roman" w:hAnsi="Times New Roman"/>
        <w:sz w:val="21"/>
        <w:szCs w:val="21"/>
      </w:rPr>
      <w:t>5.5.2017</w:t>
    </w:r>
    <w:r>
      <w:rPr>
        <w:rFonts w:ascii="Times New Roman" w:hAnsi="Times New Roman"/>
        <w:sz w:val="21"/>
        <w:szCs w:val="21"/>
        <w:bdr w:val="single" w:color="auto" w:sz="4" w:space="0"/>
      </w:rPr>
      <w:t xml:space="preserve"> EN </w:t>
    </w:r>
    <w:r>
      <w:rPr>
        <w:rFonts w:ascii="Times New Roman" w:hAnsi="Times New Roman"/>
        <w:sz w:val="21"/>
        <w:szCs w:val="21"/>
      </w:rPr>
      <w:t>欧盟官方公报</w:t>
    </w:r>
    <w:r>
      <w:rPr>
        <w:rFonts w:ascii="Times New Roman" w:hAnsi="Times New Roman"/>
        <w:sz w:val="21"/>
        <w:szCs w:val="21"/>
      </w:rPr>
      <w:tab/>
    </w:r>
    <w:r>
      <w:rPr>
        <w:rFonts w:ascii="Times New Roman" w:hAnsi="Times New Roman"/>
        <w:color w:val="000000"/>
        <w:sz w:val="21"/>
        <w:szCs w:val="21"/>
      </w:rPr>
      <w:t>L117/</w:t>
    </w:r>
    <w:r>
      <w:rPr>
        <w:rFonts w:ascii="Times New Roman" w:hAnsi="Times New Roman"/>
        <w:color w:val="000000"/>
        <w:sz w:val="21"/>
        <w:szCs w:val="21"/>
      </w:rPr>
      <w:fldChar w:fldCharType="begin"/>
    </w:r>
    <w:r>
      <w:rPr>
        <w:rFonts w:ascii="Times New Roman" w:hAnsi="Times New Roman"/>
        <w:color w:val="000000"/>
        <w:sz w:val="21"/>
        <w:szCs w:val="21"/>
      </w:rPr>
      <w:instrText xml:space="preserve">PAGE   \* MERGEFORMAT</w:instrText>
    </w:r>
    <w:r>
      <w:rPr>
        <w:rFonts w:ascii="Times New Roman" w:hAnsi="Times New Roman"/>
        <w:color w:val="000000"/>
        <w:sz w:val="21"/>
        <w:szCs w:val="21"/>
      </w:rPr>
      <w:fldChar w:fldCharType="separate"/>
    </w:r>
    <w:r>
      <w:rPr>
        <w:rFonts w:ascii="Times New Roman" w:hAnsi="Times New Roman"/>
        <w:color w:val="000000"/>
        <w:sz w:val="21"/>
        <w:szCs w:val="21"/>
      </w:rPr>
      <w:t>175</w:t>
    </w:r>
    <w:r>
      <w:rPr>
        <w:rFonts w:ascii="Times New Roman" w:hAnsi="Times New Roman"/>
        <w:color w:val="000000"/>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3CD97">
    <w:pPr>
      <w:pStyle w:val="11"/>
      <w:rPr>
        <w:rFonts w:ascii="Times New Roman" w:hAnsi="Times New Roman"/>
        <w:vanish/>
        <w:sz w:val="21"/>
        <w:szCs w:val="21"/>
      </w:rPr>
    </w:pPr>
    <w:r>
      <w:rPr>
        <w:rFonts w:ascii="Times New Roman" w:hAnsi="Times New Roman"/>
        <w:color w:val="000000"/>
        <w:sz w:val="21"/>
        <w:szCs w:val="21"/>
      </w:rPr>
      <w:t>L117/</w:t>
    </w:r>
    <w:r>
      <w:rPr>
        <w:rFonts w:ascii="Times New Roman" w:hAnsi="Times New Roman"/>
        <w:color w:val="000000"/>
        <w:sz w:val="21"/>
        <w:szCs w:val="21"/>
      </w:rPr>
      <w:fldChar w:fldCharType="begin"/>
    </w:r>
    <w:r>
      <w:rPr>
        <w:rFonts w:ascii="Times New Roman" w:hAnsi="Times New Roman"/>
        <w:color w:val="000000"/>
        <w:sz w:val="21"/>
        <w:szCs w:val="21"/>
      </w:rPr>
      <w:instrText xml:space="preserve">PAGE   \* MERGEFORMAT</w:instrText>
    </w:r>
    <w:r>
      <w:rPr>
        <w:rFonts w:ascii="Times New Roman" w:hAnsi="Times New Roman"/>
        <w:color w:val="000000"/>
        <w:sz w:val="21"/>
        <w:szCs w:val="21"/>
      </w:rPr>
      <w:fldChar w:fldCharType="separate"/>
    </w:r>
    <w:r>
      <w:rPr>
        <w:rFonts w:ascii="Times New Roman" w:hAnsi="Times New Roman"/>
        <w:color w:val="000000"/>
        <w:sz w:val="21"/>
        <w:szCs w:val="21"/>
      </w:rPr>
      <w:t>176</w:t>
    </w:r>
    <w:r>
      <w:rPr>
        <w:rFonts w:ascii="Times New Roman" w:hAnsi="Times New Roman"/>
        <w:color w:val="000000"/>
        <w:sz w:val="21"/>
        <w:szCs w:val="21"/>
      </w:rPr>
      <w:fldChar w:fldCharType="end"/>
    </w:r>
    <w:r>
      <w:rPr>
        <w:rFonts w:ascii="Times New Roman" w:hAnsi="Times New Roman"/>
        <w:sz w:val="21"/>
        <w:szCs w:val="21"/>
        <w:bdr w:val="single" w:color="auto" w:sz="4" w:space="0"/>
      </w:rPr>
      <w:t xml:space="preserve"> EN </w:t>
    </w:r>
    <w:r>
      <w:rPr>
        <w:rFonts w:ascii="Times New Roman" w:hAnsi="Times New Roman"/>
        <w:sz w:val="21"/>
        <w:szCs w:val="21"/>
      </w:rPr>
      <w:t>欧盟官方公报</w:t>
    </w:r>
    <w:r>
      <w:rPr>
        <w:rFonts w:ascii="Times New Roman" w:hAnsi="Times New Roman"/>
        <w:sz w:val="21"/>
        <w:szCs w:val="21"/>
      </w:rPr>
      <w:tab/>
    </w:r>
    <w:r>
      <w:rPr>
        <w:rFonts w:ascii="Times New Roman" w:hAnsi="Times New Roman"/>
        <w:sz w:val="21"/>
        <w:szCs w:val="21"/>
      </w:rPr>
      <w:t>5.5.2017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CDCDD">
    <w:pPr>
      <w:rPr>
        <w:rFonts w:ascii="Times New Roman" w:hAnsi="Times New Roman"/>
        <w:vanish/>
      </w:rPr>
    </w:pPr>
    <w:r>
      <w:drawing>
        <wp:anchor distT="0" distB="0" distL="114300" distR="114300" simplePos="0" relativeHeight="251663360" behindDoc="0" locked="0" layoutInCell="1" allowOverlap="1">
          <wp:simplePos x="0" y="0"/>
          <wp:positionH relativeFrom="column">
            <wp:posOffset>-1055370</wp:posOffset>
          </wp:positionH>
          <wp:positionV relativeFrom="paragraph">
            <wp:posOffset>-476250</wp:posOffset>
          </wp:positionV>
          <wp:extent cx="1609725" cy="9972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14648" cy="10003174"/>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504FF">
    <w:pPr>
      <w:rPr>
        <w:rFonts w:ascii="Times New Roman" w:hAnsi="Times New Roman"/>
        <w:vanis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EF41">
    <w:pPr>
      <w:pStyle w:val="11"/>
      <w:rPr>
        <w:rFonts w:ascii="Times New Roman" w:hAnsi="Times New Roman"/>
        <w:vanish/>
        <w:sz w:val="21"/>
        <w:szCs w:val="21"/>
      </w:rPr>
    </w:pPr>
    <w:r>
      <w:rPr>
        <w:rFonts w:ascii="Times New Roman" w:hAnsi="Times New Roman"/>
        <w:sz w:val="21"/>
        <w:szCs w:val="21"/>
      </w:rPr>
      <w:t>5.5.2017</w:t>
    </w:r>
    <w:r>
      <w:rPr>
        <w:rFonts w:ascii="Times New Roman" w:hAnsi="Times New Roman"/>
        <w:sz w:val="21"/>
        <w:szCs w:val="21"/>
        <w:bdr w:val="single" w:color="auto" w:sz="4" w:space="0"/>
      </w:rPr>
      <w:t xml:space="preserve"> EN </w:t>
    </w:r>
    <w:r>
      <w:rPr>
        <w:rFonts w:ascii="Times New Roman" w:hAnsi="Times New Roman"/>
        <w:sz w:val="21"/>
        <w:szCs w:val="21"/>
      </w:rPr>
      <w:t>欧盟官方公报</w:t>
    </w:r>
    <w:r>
      <w:rPr>
        <w:rFonts w:ascii="Times New Roman" w:hAnsi="Times New Roman"/>
        <w:sz w:val="21"/>
        <w:szCs w:val="21"/>
      </w:rPr>
      <w:tab/>
    </w:r>
    <w:r>
      <w:rPr>
        <w:rFonts w:ascii="Times New Roman" w:hAnsi="Times New Roman"/>
        <w:color w:val="000000"/>
        <w:sz w:val="21"/>
        <w:szCs w:val="21"/>
      </w:rPr>
      <w:t>L117/</w:t>
    </w:r>
    <w:r>
      <w:rPr>
        <w:rFonts w:ascii="Times New Roman" w:hAnsi="Times New Roman"/>
        <w:color w:val="000000"/>
        <w:sz w:val="21"/>
        <w:szCs w:val="21"/>
      </w:rPr>
      <w:fldChar w:fldCharType="begin"/>
    </w:r>
    <w:r>
      <w:rPr>
        <w:rFonts w:ascii="Times New Roman" w:hAnsi="Times New Roman"/>
        <w:color w:val="000000"/>
        <w:sz w:val="21"/>
        <w:szCs w:val="21"/>
      </w:rPr>
      <w:instrText xml:space="preserve">PAGE   \* MERGEFORMAT</w:instrText>
    </w:r>
    <w:r>
      <w:rPr>
        <w:rFonts w:ascii="Times New Roman" w:hAnsi="Times New Roman"/>
        <w:color w:val="000000"/>
        <w:sz w:val="21"/>
        <w:szCs w:val="21"/>
      </w:rPr>
      <w:fldChar w:fldCharType="separate"/>
    </w:r>
    <w:r>
      <w:rPr>
        <w:rFonts w:ascii="Times New Roman" w:hAnsi="Times New Roman"/>
        <w:color w:val="000000"/>
        <w:sz w:val="21"/>
        <w:szCs w:val="21"/>
        <w:lang w:val="zh-CN"/>
      </w:rPr>
      <w:t>175</w:t>
    </w:r>
    <w:r>
      <w:rPr>
        <w:rFonts w:ascii="Times New Roman" w:hAnsi="Times New Roman"/>
        <w:color w:val="000000"/>
        <w:sz w:val="21"/>
        <w:szCs w:val="2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85967">
    <w:pPr>
      <w:pStyle w:val="11"/>
      <w:rPr>
        <w:rFonts w:ascii="Times New Roman" w:hAnsi="Times New Roman"/>
        <w:vanish/>
        <w:sz w:val="21"/>
        <w:szCs w:val="21"/>
      </w:rPr>
    </w:pPr>
    <w:r>
      <w:rPr>
        <w:rFonts w:ascii="Times New Roman" w:hAnsi="Times New Roman"/>
        <w:color w:val="000000"/>
        <w:sz w:val="21"/>
        <w:szCs w:val="21"/>
      </w:rPr>
      <w:t>L117/</w:t>
    </w:r>
    <w:r>
      <w:rPr>
        <w:rFonts w:ascii="Times New Roman" w:hAnsi="Times New Roman"/>
        <w:color w:val="000000"/>
        <w:sz w:val="21"/>
        <w:szCs w:val="21"/>
      </w:rPr>
      <w:fldChar w:fldCharType="begin"/>
    </w:r>
    <w:r>
      <w:rPr>
        <w:rFonts w:ascii="Times New Roman" w:hAnsi="Times New Roman"/>
        <w:color w:val="000000"/>
        <w:sz w:val="21"/>
        <w:szCs w:val="21"/>
      </w:rPr>
      <w:instrText xml:space="preserve">PAGE   \* MERGEFORMAT</w:instrText>
    </w:r>
    <w:r>
      <w:rPr>
        <w:rFonts w:ascii="Times New Roman" w:hAnsi="Times New Roman"/>
        <w:color w:val="000000"/>
        <w:sz w:val="21"/>
        <w:szCs w:val="21"/>
      </w:rPr>
      <w:fldChar w:fldCharType="separate"/>
    </w:r>
    <w:r>
      <w:rPr>
        <w:rFonts w:ascii="Times New Roman" w:hAnsi="Times New Roman"/>
        <w:color w:val="000000"/>
        <w:sz w:val="21"/>
        <w:szCs w:val="21"/>
        <w:lang w:val="zh-CN"/>
      </w:rPr>
      <w:t>176</w:t>
    </w:r>
    <w:r>
      <w:rPr>
        <w:rFonts w:ascii="Times New Roman" w:hAnsi="Times New Roman"/>
        <w:color w:val="000000"/>
        <w:sz w:val="21"/>
        <w:szCs w:val="21"/>
      </w:rPr>
      <w:fldChar w:fldCharType="end"/>
    </w:r>
    <w:r>
      <w:rPr>
        <w:rFonts w:ascii="Times New Roman" w:hAnsi="Times New Roman"/>
        <w:sz w:val="21"/>
        <w:szCs w:val="21"/>
        <w:bdr w:val="single" w:color="auto" w:sz="4" w:space="0"/>
      </w:rPr>
      <w:t xml:space="preserve"> EN </w:t>
    </w:r>
    <w:r>
      <w:rPr>
        <w:rFonts w:ascii="Times New Roman" w:hAnsi="Times New Roman"/>
        <w:sz w:val="21"/>
        <w:szCs w:val="21"/>
      </w:rPr>
      <w:t>欧盟官方公报</w:t>
    </w:r>
    <w:r>
      <w:rPr>
        <w:rFonts w:ascii="Times New Roman" w:hAnsi="Times New Roman"/>
        <w:sz w:val="21"/>
        <w:szCs w:val="21"/>
      </w:rPr>
      <w:tab/>
    </w:r>
    <w:r>
      <w:rPr>
        <w:rFonts w:ascii="Times New Roman" w:hAnsi="Times New Roman"/>
        <w:sz w:val="21"/>
        <w:szCs w:val="21"/>
      </w:rPr>
      <w:t>5.5.2017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E630">
    <w:pPr>
      <w:rPr>
        <w:rFonts w:ascii="Times New Roman" w:hAnsi="Times New Roman"/>
        <w:vanis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E04E">
    <w:pPr>
      <w:rPr>
        <w:rFonts w:ascii="Times New Roman" w:hAnsi="Times New Roman"/>
        <w:vanish/>
      </w:rPr>
    </w:pPr>
    <w:r>
      <w:rPr>
        <w:rFonts w:ascii="Times New Roman" w:hAnsi="Times New Roman"/>
        <w:kern w:val="2"/>
        <w:sz w:val="18"/>
        <w:szCs w:val="18"/>
      </w:rPr>
      <w:drawing>
        <wp:anchor distT="0" distB="0" distL="114300" distR="114300" simplePos="0" relativeHeight="251662336" behindDoc="0" locked="0" layoutInCell="1" allowOverlap="1">
          <wp:simplePos x="0" y="0"/>
          <wp:positionH relativeFrom="column">
            <wp:posOffset>-769620</wp:posOffset>
          </wp:positionH>
          <wp:positionV relativeFrom="paragraph">
            <wp:posOffset>-219075</wp:posOffset>
          </wp:positionV>
          <wp:extent cx="6848475" cy="9674860"/>
          <wp:effectExtent l="0" t="0" r="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48475" cy="967488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C2A65"/>
    <w:multiLevelType w:val="multilevel"/>
    <w:tmpl w:val="016C2A65"/>
    <w:lvl w:ilvl="0" w:tentative="0">
      <w:start w:val="1"/>
      <w:numFmt w:val="decimal"/>
      <w:lvlText w:val="%1."/>
      <w:lvlJc w:val="left"/>
      <w:pPr>
        <w:ind w:left="681" w:hanging="570"/>
      </w:pPr>
      <w:rPr>
        <w:rFonts w:hint="default" w:ascii="Times New Roman" w:hAnsi="Times New Roman" w:eastAsia="Times New Roman" w:cs="Times New Roman"/>
        <w:spacing w:val="-2"/>
        <w:w w:val="100"/>
        <w:sz w:val="24"/>
        <w:szCs w:val="24"/>
      </w:rPr>
    </w:lvl>
    <w:lvl w:ilvl="1" w:tentative="0">
      <w:start w:val="1"/>
      <w:numFmt w:val="decimal"/>
      <w:lvlText w:val="(%2)"/>
      <w:lvlJc w:val="left"/>
      <w:pPr>
        <w:ind w:left="1248" w:hanging="567"/>
      </w:pPr>
      <w:rPr>
        <w:rFonts w:hint="default" w:ascii="Times New Roman" w:hAnsi="Times New Roman" w:eastAsia="Times New Roman" w:cs="Times New Roman"/>
        <w:spacing w:val="0"/>
        <w:w w:val="100"/>
        <w:sz w:val="21"/>
        <w:szCs w:val="21"/>
      </w:rPr>
    </w:lvl>
    <w:lvl w:ilvl="2" w:tentative="0">
      <w:start w:val="1"/>
      <w:numFmt w:val="bullet"/>
      <w:lvlText w:val="–"/>
      <w:lvlJc w:val="left"/>
      <w:pPr>
        <w:ind w:left="1815" w:hanging="568"/>
      </w:pPr>
      <w:rPr>
        <w:rFonts w:hint="default" w:ascii="Times New Roman" w:hAnsi="Times New Roman" w:eastAsia="Times New Roman"/>
        <w:spacing w:val="-2"/>
        <w:w w:val="100"/>
        <w:sz w:val="24"/>
      </w:rPr>
    </w:lvl>
    <w:lvl w:ilvl="3" w:tentative="0">
      <w:start w:val="1"/>
      <w:numFmt w:val="bullet"/>
      <w:lvlText w:val="•"/>
      <w:lvlJc w:val="left"/>
      <w:pPr>
        <w:ind w:left="2825" w:hanging="568"/>
      </w:pPr>
      <w:rPr>
        <w:rFonts w:hint="default"/>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
    <w:nsid w:val="01B069AC"/>
    <w:multiLevelType w:val="multilevel"/>
    <w:tmpl w:val="01B069AC"/>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
    <w:nsid w:val="01F94D8F"/>
    <w:multiLevelType w:val="multilevel"/>
    <w:tmpl w:val="01F94D8F"/>
    <w:lvl w:ilvl="0" w:tentative="0">
      <w:start w:val="1"/>
      <w:numFmt w:val="decimal"/>
      <w:lvlText w:val="%1."/>
      <w:lvlJc w:val="left"/>
      <w:pPr>
        <w:ind w:left="681" w:hanging="568"/>
      </w:pPr>
      <w:rPr>
        <w:rFonts w:hint="default" w:ascii="Times New Roman" w:hAnsi="Times New Roman" w:eastAsia="Times New Roman" w:cs="Times New Roman"/>
        <w:spacing w:val="-3"/>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3">
    <w:nsid w:val="02146721"/>
    <w:multiLevelType w:val="multilevel"/>
    <w:tmpl w:val="02146721"/>
    <w:lvl w:ilvl="0" w:tentative="0">
      <w:start w:val="3"/>
      <w:numFmt w:val="decimal"/>
      <w:lvlText w:val="%1"/>
      <w:lvlJc w:val="left"/>
      <w:pPr>
        <w:ind w:left="964" w:hanging="851"/>
      </w:pPr>
      <w:rPr>
        <w:rFonts w:hint="default" w:cs="Times New Roman"/>
      </w:rPr>
    </w:lvl>
    <w:lvl w:ilvl="1" w:tentative="0">
      <w:start w:val="1"/>
      <w:numFmt w:val="decimal"/>
      <w:lvlText w:val="%1.%2"/>
      <w:lvlJc w:val="left"/>
      <w:pPr>
        <w:ind w:left="964" w:hanging="851"/>
      </w:pPr>
      <w:rPr>
        <w:rFonts w:hint="default" w:cs="Times New Roman"/>
      </w:rPr>
    </w:lvl>
    <w:lvl w:ilvl="2" w:tentative="0">
      <w:start w:val="1"/>
      <w:numFmt w:val="decimal"/>
      <w:lvlText w:val="%1.%2.%3."/>
      <w:lvlJc w:val="left"/>
      <w:pPr>
        <w:ind w:left="964" w:hanging="851"/>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3632" w:hanging="851"/>
      </w:pPr>
      <w:rPr>
        <w:rFonts w:hint="default"/>
      </w:rPr>
    </w:lvl>
    <w:lvl w:ilvl="4" w:tentative="0">
      <w:start w:val="1"/>
      <w:numFmt w:val="bullet"/>
      <w:lvlText w:val="•"/>
      <w:lvlJc w:val="left"/>
      <w:pPr>
        <w:ind w:left="4523" w:hanging="851"/>
      </w:pPr>
      <w:rPr>
        <w:rFonts w:hint="default"/>
      </w:rPr>
    </w:lvl>
    <w:lvl w:ilvl="5" w:tentative="0">
      <w:start w:val="1"/>
      <w:numFmt w:val="bullet"/>
      <w:lvlText w:val="•"/>
      <w:lvlJc w:val="left"/>
      <w:pPr>
        <w:ind w:left="5413" w:hanging="851"/>
      </w:pPr>
      <w:rPr>
        <w:rFonts w:hint="default"/>
      </w:rPr>
    </w:lvl>
    <w:lvl w:ilvl="6" w:tentative="0">
      <w:start w:val="1"/>
      <w:numFmt w:val="bullet"/>
      <w:lvlText w:val="•"/>
      <w:lvlJc w:val="left"/>
      <w:pPr>
        <w:ind w:left="6304" w:hanging="851"/>
      </w:pPr>
      <w:rPr>
        <w:rFonts w:hint="default"/>
      </w:rPr>
    </w:lvl>
    <w:lvl w:ilvl="7" w:tentative="0">
      <w:start w:val="1"/>
      <w:numFmt w:val="bullet"/>
      <w:lvlText w:val="•"/>
      <w:lvlJc w:val="left"/>
      <w:pPr>
        <w:ind w:left="7195" w:hanging="851"/>
      </w:pPr>
      <w:rPr>
        <w:rFonts w:hint="default"/>
      </w:rPr>
    </w:lvl>
    <w:lvl w:ilvl="8" w:tentative="0">
      <w:start w:val="1"/>
      <w:numFmt w:val="bullet"/>
      <w:lvlText w:val="•"/>
      <w:lvlJc w:val="left"/>
      <w:pPr>
        <w:ind w:left="8086" w:hanging="851"/>
      </w:pPr>
      <w:rPr>
        <w:rFonts w:hint="default"/>
      </w:rPr>
    </w:lvl>
  </w:abstractNum>
  <w:abstractNum w:abstractNumId="4">
    <w:nsid w:val="0282752A"/>
    <w:multiLevelType w:val="multilevel"/>
    <w:tmpl w:val="0282752A"/>
    <w:lvl w:ilvl="0" w:tentative="0">
      <w:start w:val="6"/>
      <w:numFmt w:val="decimal"/>
      <w:lvlText w:val="%1"/>
      <w:lvlJc w:val="left"/>
      <w:pPr>
        <w:ind w:left="964" w:hanging="851"/>
      </w:pPr>
      <w:rPr>
        <w:rFonts w:hint="default" w:cs="Times New Roman"/>
      </w:rPr>
    </w:lvl>
    <w:lvl w:ilvl="1" w:tentative="0">
      <w:start w:val="1"/>
      <w:numFmt w:val="decimal"/>
      <w:lvlText w:val="%1.%2."/>
      <w:lvlJc w:val="left"/>
      <w:pPr>
        <w:ind w:left="964" w:hanging="851"/>
      </w:pPr>
      <w:rPr>
        <w:rFonts w:hint="default" w:ascii="Times New Roman" w:hAnsi="Times New Roman" w:eastAsia="Times New Roman" w:cs="Times New Roman"/>
        <w:b/>
        <w:bCs/>
        <w:spacing w:val="-2"/>
        <w:w w:val="100"/>
        <w:sz w:val="24"/>
        <w:szCs w:val="24"/>
      </w:rPr>
    </w:lvl>
    <w:lvl w:ilvl="2" w:tentative="0">
      <w:start w:val="1"/>
      <w:numFmt w:val="lowerLetter"/>
      <w:lvlText w:val="(%3)"/>
      <w:lvlJc w:val="left"/>
      <w:pPr>
        <w:ind w:left="1532" w:hanging="568"/>
      </w:pPr>
      <w:rPr>
        <w:rFonts w:hint="default" w:ascii="Times New Roman" w:hAnsi="Times New Roman" w:eastAsia="Times New Roman" w:cs="Times New Roman"/>
        <w:spacing w:val="-2"/>
        <w:w w:val="100"/>
        <w:sz w:val="21"/>
        <w:szCs w:val="21"/>
      </w:rPr>
    </w:lvl>
    <w:lvl w:ilvl="3" w:tentative="0">
      <w:start w:val="1"/>
      <w:numFmt w:val="lowerRoman"/>
      <w:lvlText w:val="(%4)"/>
      <w:lvlJc w:val="left"/>
      <w:pPr>
        <w:ind w:left="2098" w:hanging="567"/>
      </w:pPr>
      <w:rPr>
        <w:rFonts w:hint="default" w:ascii="Times New Roman" w:hAnsi="Times New Roman" w:eastAsia="Times New Roman" w:cs="Times New Roman"/>
        <w:spacing w:val="-2"/>
        <w:w w:val="100"/>
        <w:sz w:val="24"/>
        <w:szCs w:val="24"/>
      </w:rPr>
    </w:lvl>
    <w:lvl w:ilvl="4" w:tentative="0">
      <w:start w:val="1"/>
      <w:numFmt w:val="bullet"/>
      <w:lvlText w:val="•"/>
      <w:lvlJc w:val="left"/>
      <w:pPr>
        <w:ind w:left="3209" w:hanging="567"/>
      </w:pPr>
      <w:rPr>
        <w:rFonts w:hint="default"/>
      </w:rPr>
    </w:lvl>
    <w:lvl w:ilvl="5" w:tentative="0">
      <w:start w:val="1"/>
      <w:numFmt w:val="bullet"/>
      <w:lvlText w:val="•"/>
      <w:lvlJc w:val="left"/>
      <w:pPr>
        <w:ind w:left="4319" w:hanging="567"/>
      </w:pPr>
      <w:rPr>
        <w:rFonts w:hint="default"/>
      </w:rPr>
    </w:lvl>
    <w:lvl w:ilvl="6" w:tentative="0">
      <w:start w:val="1"/>
      <w:numFmt w:val="bullet"/>
      <w:lvlText w:val="•"/>
      <w:lvlJc w:val="left"/>
      <w:pPr>
        <w:ind w:left="5428" w:hanging="567"/>
      </w:pPr>
      <w:rPr>
        <w:rFonts w:hint="default"/>
      </w:rPr>
    </w:lvl>
    <w:lvl w:ilvl="7" w:tentative="0">
      <w:start w:val="1"/>
      <w:numFmt w:val="bullet"/>
      <w:lvlText w:val="•"/>
      <w:lvlJc w:val="left"/>
      <w:pPr>
        <w:ind w:left="6538" w:hanging="567"/>
      </w:pPr>
      <w:rPr>
        <w:rFonts w:hint="default"/>
      </w:rPr>
    </w:lvl>
    <w:lvl w:ilvl="8" w:tentative="0">
      <w:start w:val="1"/>
      <w:numFmt w:val="bullet"/>
      <w:lvlText w:val="•"/>
      <w:lvlJc w:val="left"/>
      <w:pPr>
        <w:ind w:left="7648" w:hanging="567"/>
      </w:pPr>
      <w:rPr>
        <w:rFonts w:hint="default"/>
      </w:rPr>
    </w:lvl>
  </w:abstractNum>
  <w:abstractNum w:abstractNumId="5">
    <w:nsid w:val="03B2646B"/>
    <w:multiLevelType w:val="multilevel"/>
    <w:tmpl w:val="03B2646B"/>
    <w:lvl w:ilvl="0" w:tentative="0">
      <w:start w:val="19"/>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宋体" w:cs="Times New Roman"/>
        <w:b/>
        <w:bCs/>
        <w:w w:val="100"/>
        <w:sz w:val="24"/>
        <w:szCs w:val="24"/>
      </w:rPr>
    </w:lvl>
    <w:lvl w:ilvl="2" w:tentative="0">
      <w:start w:val="22"/>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宋体"/>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6">
    <w:nsid w:val="04E56479"/>
    <w:multiLevelType w:val="multilevel"/>
    <w:tmpl w:val="04E56479"/>
    <w:lvl w:ilvl="0" w:tentative="0">
      <w:start w:val="3"/>
      <w:numFmt w:val="decimal"/>
      <w:lvlText w:val="%1."/>
      <w:lvlJc w:val="left"/>
      <w:pPr>
        <w:ind w:left="964" w:hanging="851"/>
      </w:pPr>
      <w:rPr>
        <w:rFonts w:hint="default" w:ascii="Times New Roman" w:hAnsi="Times New Roman" w:eastAsia="宋体" w:cs="Times New Roman"/>
        <w:b/>
        <w:bCs/>
        <w:spacing w:val="-1"/>
        <w:w w:val="100"/>
        <w:sz w:val="24"/>
        <w:szCs w:val="24"/>
      </w:rPr>
    </w:lvl>
    <w:lvl w:ilvl="1" w:tentative="0">
      <w:start w:val="1"/>
      <w:numFmt w:val="decimal"/>
      <w:lvlText w:val="%1.%2."/>
      <w:lvlJc w:val="left"/>
      <w:pPr>
        <w:ind w:left="964" w:hanging="851"/>
      </w:pPr>
      <w:rPr>
        <w:rFonts w:hint="default" w:ascii="Times New Roman" w:hAnsi="Times New Roman" w:eastAsia="宋体" w:cs="Times New Roman"/>
        <w:b/>
        <w:bCs/>
        <w:spacing w:val="-2"/>
        <w:w w:val="100"/>
        <w:sz w:val="21"/>
        <w:szCs w:val="21"/>
      </w:rPr>
    </w:lvl>
    <w:lvl w:ilvl="2" w:tentative="0">
      <w:start w:val="1"/>
      <w:numFmt w:val="decimal"/>
      <w:lvlText w:val="%1.%2.%3."/>
      <w:lvlJc w:val="left"/>
      <w:pPr>
        <w:ind w:left="964" w:hanging="851"/>
      </w:pPr>
      <w:rPr>
        <w:rFonts w:hint="default" w:ascii="Times New Roman" w:hAnsi="Times New Roman" w:eastAsia="宋体" w:cs="Times New Roman"/>
        <w:spacing w:val="-2"/>
        <w:w w:val="100"/>
        <w:sz w:val="21"/>
        <w:szCs w:val="21"/>
      </w:rPr>
    </w:lvl>
    <w:lvl w:ilvl="3" w:tentative="0">
      <w:start w:val="1"/>
      <w:numFmt w:val="lowerLetter"/>
      <w:lvlText w:val="(%4)"/>
      <w:lvlJc w:val="left"/>
      <w:pPr>
        <w:ind w:left="1532" w:hanging="568"/>
      </w:pPr>
      <w:rPr>
        <w:rFonts w:hint="default" w:ascii="Times New Roman" w:hAnsi="Times New Roman" w:eastAsia="宋体" w:cs="Times New Roman"/>
        <w:spacing w:val="-4"/>
        <w:w w:val="100"/>
        <w:sz w:val="21"/>
        <w:szCs w:val="21"/>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7">
    <w:nsid w:val="04FB408F"/>
    <w:multiLevelType w:val="multilevel"/>
    <w:tmpl w:val="04FB408F"/>
    <w:lvl w:ilvl="0" w:tentative="0">
      <w:start w:val="7"/>
      <w:numFmt w:val="decimal"/>
      <w:lvlText w:val="%1."/>
      <w:lvlJc w:val="left"/>
      <w:pPr>
        <w:ind w:left="681" w:hanging="568"/>
      </w:pPr>
      <w:rPr>
        <w:rFonts w:hint="default" w:ascii="Times New Roman" w:hAnsi="Times New Roman" w:eastAsia="Times New Roman" w:cs="Times New Roman"/>
        <w:spacing w:val="-2"/>
        <w:w w:val="100"/>
        <w:sz w:val="24"/>
        <w:szCs w:val="24"/>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8">
    <w:nsid w:val="05140B54"/>
    <w:multiLevelType w:val="multilevel"/>
    <w:tmpl w:val="05140B54"/>
    <w:lvl w:ilvl="0" w:tentative="0">
      <w:start w:val="10"/>
      <w:numFmt w:val="decimal"/>
      <w:lvlText w:val="%1."/>
      <w:lvlJc w:val="left"/>
      <w:pPr>
        <w:tabs>
          <w:tab w:val="left" w:pos="0"/>
        </w:tabs>
        <w:ind w:left="681" w:hanging="568"/>
      </w:pPr>
      <w:rPr>
        <w:rFonts w:hint="default" w:ascii="Times New Roman" w:hAnsi="Times New Roman" w:eastAsia="宋体" w:cs="Times New Roman"/>
        <w:b/>
        <w:bCs/>
        <w:spacing w:val="-2"/>
        <w:w w:val="100"/>
        <w:sz w:val="21"/>
        <w:szCs w:val="21"/>
      </w:rPr>
    </w:lvl>
    <w:lvl w:ilvl="1" w:tentative="0">
      <w:start w:val="1"/>
      <w:numFmt w:val="decimal"/>
      <w:lvlText w:val="%1.%2."/>
      <w:lvlJc w:val="left"/>
      <w:pPr>
        <w:tabs>
          <w:tab w:val="left" w:pos="0"/>
        </w:tabs>
        <w:ind w:left="681" w:hanging="568"/>
      </w:pPr>
      <w:rPr>
        <w:rFonts w:hint="default" w:ascii="Times New Roman" w:hAnsi="Times New Roman" w:eastAsia="宋体" w:cs="Times New Roman"/>
        <w:spacing w:val="-2"/>
        <w:w w:val="100"/>
        <w:sz w:val="21"/>
        <w:szCs w:val="21"/>
      </w:rPr>
    </w:lvl>
    <w:lvl w:ilvl="2" w:tentative="0">
      <w:start w:val="1"/>
      <w:numFmt w:val="lowerLetter"/>
      <w:lvlText w:val="(%3)"/>
      <w:lvlJc w:val="left"/>
      <w:pPr>
        <w:tabs>
          <w:tab w:val="left" w:pos="0"/>
        </w:tabs>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tabs>
          <w:tab w:val="left" w:pos="0"/>
        </w:tabs>
        <w:ind w:left="2318" w:hanging="567"/>
      </w:pPr>
      <w:rPr>
        <w:rFonts w:hint="default"/>
      </w:rPr>
    </w:lvl>
    <w:lvl w:ilvl="4" w:tentative="0">
      <w:start w:val="1"/>
      <w:numFmt w:val="bullet"/>
      <w:lvlText w:val="•"/>
      <w:lvlJc w:val="left"/>
      <w:pPr>
        <w:tabs>
          <w:tab w:val="left" w:pos="0"/>
        </w:tabs>
        <w:ind w:left="3396" w:hanging="567"/>
      </w:pPr>
      <w:rPr>
        <w:rFonts w:hint="default"/>
      </w:rPr>
    </w:lvl>
    <w:lvl w:ilvl="5" w:tentative="0">
      <w:start w:val="1"/>
      <w:numFmt w:val="bullet"/>
      <w:lvlText w:val="•"/>
      <w:lvlJc w:val="left"/>
      <w:pPr>
        <w:tabs>
          <w:tab w:val="left" w:pos="0"/>
        </w:tabs>
        <w:ind w:left="4475" w:hanging="567"/>
      </w:pPr>
      <w:rPr>
        <w:rFonts w:hint="default"/>
      </w:rPr>
    </w:lvl>
    <w:lvl w:ilvl="6" w:tentative="0">
      <w:start w:val="1"/>
      <w:numFmt w:val="bullet"/>
      <w:lvlText w:val="•"/>
      <w:lvlJc w:val="left"/>
      <w:pPr>
        <w:tabs>
          <w:tab w:val="left" w:pos="0"/>
        </w:tabs>
        <w:ind w:left="5553" w:hanging="567"/>
      </w:pPr>
      <w:rPr>
        <w:rFonts w:hint="default"/>
      </w:rPr>
    </w:lvl>
    <w:lvl w:ilvl="7" w:tentative="0">
      <w:start w:val="1"/>
      <w:numFmt w:val="bullet"/>
      <w:lvlText w:val="•"/>
      <w:lvlJc w:val="left"/>
      <w:pPr>
        <w:tabs>
          <w:tab w:val="left" w:pos="0"/>
        </w:tabs>
        <w:ind w:left="6632" w:hanging="567"/>
      </w:pPr>
      <w:rPr>
        <w:rFonts w:hint="default"/>
      </w:rPr>
    </w:lvl>
    <w:lvl w:ilvl="8" w:tentative="0">
      <w:start w:val="1"/>
      <w:numFmt w:val="bullet"/>
      <w:lvlText w:val="•"/>
      <w:lvlJc w:val="left"/>
      <w:pPr>
        <w:tabs>
          <w:tab w:val="left" w:pos="0"/>
        </w:tabs>
        <w:ind w:left="7710" w:hanging="567"/>
      </w:pPr>
      <w:rPr>
        <w:rFonts w:hint="default"/>
      </w:rPr>
    </w:lvl>
  </w:abstractNum>
  <w:abstractNum w:abstractNumId="9">
    <w:nsid w:val="052506E2"/>
    <w:multiLevelType w:val="multilevel"/>
    <w:tmpl w:val="052506E2"/>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1815" w:hanging="568"/>
      </w:pPr>
      <w:rPr>
        <w:rFonts w:hint="default" w:ascii="Times New Roman" w:hAnsi="Times New Roman" w:eastAsia="Times New Roman"/>
        <w:spacing w:val="-2"/>
        <w:w w:val="100"/>
        <w:sz w:val="24"/>
      </w:rPr>
    </w:lvl>
    <w:lvl w:ilvl="3" w:tentative="0">
      <w:start w:val="1"/>
      <w:numFmt w:val="bullet"/>
      <w:lvlText w:val="•"/>
      <w:lvlJc w:val="left"/>
      <w:pPr>
        <w:ind w:left="2825" w:hanging="568"/>
      </w:pPr>
      <w:rPr>
        <w:rFonts w:hint="default"/>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0">
    <w:nsid w:val="05537B21"/>
    <w:multiLevelType w:val="multilevel"/>
    <w:tmpl w:val="05537B21"/>
    <w:lvl w:ilvl="0" w:tentative="0">
      <w:start w:val="7"/>
      <w:numFmt w:val="decimal"/>
      <w:lvlText w:val="%1"/>
      <w:lvlJc w:val="left"/>
      <w:pPr>
        <w:ind w:left="964" w:hanging="851"/>
      </w:pPr>
      <w:rPr>
        <w:rFonts w:hint="default" w:cs="Times New Roman"/>
      </w:rPr>
    </w:lvl>
    <w:lvl w:ilvl="1" w:tentative="0">
      <w:start w:val="4"/>
      <w:numFmt w:val="decimal"/>
      <w:lvlText w:val="%1.%2"/>
      <w:lvlJc w:val="left"/>
      <w:pPr>
        <w:ind w:left="964" w:hanging="851"/>
      </w:pPr>
      <w:rPr>
        <w:rFonts w:hint="default" w:cs="Times New Roman"/>
      </w:rPr>
    </w:lvl>
    <w:lvl w:ilvl="2" w:tentative="0">
      <w:start w:val="1"/>
      <w:numFmt w:val="decimal"/>
      <w:lvlText w:val="%1.%2.%3."/>
      <w:lvlJc w:val="left"/>
      <w:pPr>
        <w:ind w:left="964" w:hanging="851"/>
      </w:pPr>
      <w:rPr>
        <w:rFonts w:hint="default" w:ascii="Times New Roman" w:hAnsi="Times New Roman" w:eastAsia="宋体" w:cs="Times New Roman"/>
        <w:spacing w:val="-2"/>
        <w:w w:val="100"/>
        <w:sz w:val="24"/>
        <w:szCs w:val="24"/>
      </w:rPr>
    </w:lvl>
    <w:lvl w:ilvl="3" w:tentative="0">
      <w:start w:val="1"/>
      <w:numFmt w:val="bullet"/>
      <w:lvlText w:val="-"/>
      <w:lvlJc w:val="left"/>
      <w:pPr>
        <w:ind w:left="1532" w:hanging="568"/>
      </w:pPr>
      <w:rPr>
        <w:rFonts w:hint="default" w:ascii="Times New Roman" w:hAnsi="Times New Roman" w:eastAsia="宋体"/>
        <w:spacing w:val="-2"/>
        <w:w w:val="100"/>
        <w:sz w:val="24"/>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11">
    <w:nsid w:val="078827ED"/>
    <w:multiLevelType w:val="multilevel"/>
    <w:tmpl w:val="078827ED"/>
    <w:lvl w:ilvl="0" w:tentative="0">
      <w:start w:val="1"/>
      <w:numFmt w:val="bullet"/>
      <w:lvlText w:val="-"/>
      <w:lvlJc w:val="left"/>
      <w:pPr>
        <w:ind w:left="1815" w:hanging="568"/>
      </w:pPr>
      <w:rPr>
        <w:rFonts w:hint="default" w:ascii="Times New Roman" w:hAnsi="Times New Roman" w:eastAsia="Times New Roman"/>
        <w:spacing w:val="-2"/>
        <w:w w:val="100"/>
        <w:sz w:val="24"/>
      </w:rPr>
    </w:lvl>
    <w:lvl w:ilvl="1" w:tentative="0">
      <w:start w:val="1"/>
      <w:numFmt w:val="bullet"/>
      <w:lvlText w:val="•"/>
      <w:lvlJc w:val="left"/>
      <w:pPr>
        <w:ind w:left="2624" w:hanging="568"/>
      </w:pPr>
      <w:rPr>
        <w:rFonts w:hint="default"/>
      </w:rPr>
    </w:lvl>
    <w:lvl w:ilvl="2" w:tentative="0">
      <w:start w:val="1"/>
      <w:numFmt w:val="bullet"/>
      <w:lvlText w:val="•"/>
      <w:lvlJc w:val="left"/>
      <w:pPr>
        <w:ind w:left="3429" w:hanging="568"/>
      </w:pPr>
      <w:rPr>
        <w:rFonts w:hint="default"/>
      </w:rPr>
    </w:lvl>
    <w:lvl w:ilvl="3" w:tentative="0">
      <w:start w:val="1"/>
      <w:numFmt w:val="bullet"/>
      <w:lvlText w:val="•"/>
      <w:lvlJc w:val="left"/>
      <w:pPr>
        <w:ind w:left="4234" w:hanging="568"/>
      </w:pPr>
      <w:rPr>
        <w:rFonts w:hint="default"/>
      </w:rPr>
    </w:lvl>
    <w:lvl w:ilvl="4" w:tentative="0">
      <w:start w:val="1"/>
      <w:numFmt w:val="bullet"/>
      <w:lvlText w:val="•"/>
      <w:lvlJc w:val="left"/>
      <w:pPr>
        <w:ind w:left="5039" w:hanging="568"/>
      </w:pPr>
      <w:rPr>
        <w:rFonts w:hint="default"/>
      </w:rPr>
    </w:lvl>
    <w:lvl w:ilvl="5" w:tentative="0">
      <w:start w:val="1"/>
      <w:numFmt w:val="bullet"/>
      <w:lvlText w:val="•"/>
      <w:lvlJc w:val="left"/>
      <w:pPr>
        <w:ind w:left="5843" w:hanging="568"/>
      </w:pPr>
      <w:rPr>
        <w:rFonts w:hint="default"/>
      </w:rPr>
    </w:lvl>
    <w:lvl w:ilvl="6" w:tentative="0">
      <w:start w:val="1"/>
      <w:numFmt w:val="bullet"/>
      <w:lvlText w:val="•"/>
      <w:lvlJc w:val="left"/>
      <w:pPr>
        <w:ind w:left="6648" w:hanging="568"/>
      </w:pPr>
      <w:rPr>
        <w:rFonts w:hint="default"/>
      </w:rPr>
    </w:lvl>
    <w:lvl w:ilvl="7" w:tentative="0">
      <w:start w:val="1"/>
      <w:numFmt w:val="bullet"/>
      <w:lvlText w:val="•"/>
      <w:lvlJc w:val="left"/>
      <w:pPr>
        <w:ind w:left="7453" w:hanging="568"/>
      </w:pPr>
      <w:rPr>
        <w:rFonts w:hint="default"/>
      </w:rPr>
    </w:lvl>
    <w:lvl w:ilvl="8" w:tentative="0">
      <w:start w:val="1"/>
      <w:numFmt w:val="bullet"/>
      <w:lvlText w:val="•"/>
      <w:lvlJc w:val="left"/>
      <w:pPr>
        <w:ind w:left="8258" w:hanging="568"/>
      </w:pPr>
      <w:rPr>
        <w:rFonts w:hint="default"/>
      </w:rPr>
    </w:lvl>
  </w:abstractNum>
  <w:abstractNum w:abstractNumId="12">
    <w:nsid w:val="07D41209"/>
    <w:multiLevelType w:val="multilevel"/>
    <w:tmpl w:val="07D41209"/>
    <w:lvl w:ilvl="0" w:tentative="0">
      <w:start w:val="1"/>
      <w:numFmt w:val="decimal"/>
      <w:lvlText w:val="%1."/>
      <w:lvlJc w:val="left"/>
      <w:pPr>
        <w:ind w:left="684" w:hanging="570"/>
      </w:pPr>
      <w:rPr>
        <w:rFonts w:hint="default" w:ascii="Times New Roman" w:hAnsi="Times New Roman" w:eastAsia="Times New Roman" w:cs="Times New Roman"/>
        <w:spacing w:val="-3"/>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3">
    <w:nsid w:val="08A95F29"/>
    <w:multiLevelType w:val="multilevel"/>
    <w:tmpl w:val="08A95F29"/>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4">
    <w:nsid w:val="09BB78A2"/>
    <w:multiLevelType w:val="multilevel"/>
    <w:tmpl w:val="09BB78A2"/>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5">
    <w:nsid w:val="0A2C711B"/>
    <w:multiLevelType w:val="multilevel"/>
    <w:tmpl w:val="0A2C711B"/>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6">
    <w:nsid w:val="0A406271"/>
    <w:multiLevelType w:val="multilevel"/>
    <w:tmpl w:val="0A406271"/>
    <w:lvl w:ilvl="0" w:tentative="0">
      <w:start w:val="6"/>
      <w:numFmt w:val="decimal"/>
      <w:lvlText w:val="%1"/>
      <w:lvlJc w:val="left"/>
      <w:pPr>
        <w:ind w:left="964" w:hanging="851"/>
      </w:pPr>
      <w:rPr>
        <w:rFonts w:hint="default" w:cs="Times New Roman"/>
      </w:rPr>
    </w:lvl>
    <w:lvl w:ilvl="1" w:tentative="0">
      <w:start w:val="5"/>
      <w:numFmt w:val="decimal"/>
      <w:lvlText w:val="%1.%2."/>
      <w:lvlJc w:val="left"/>
      <w:pPr>
        <w:ind w:left="964" w:hanging="851"/>
      </w:pPr>
      <w:rPr>
        <w:rFonts w:hint="default" w:ascii="Times New Roman" w:hAnsi="Times New Roman" w:eastAsia="宋体" w:cs="Times New Roman"/>
        <w:spacing w:val="-2"/>
        <w:w w:val="100"/>
        <w:sz w:val="24"/>
        <w:szCs w:val="24"/>
      </w:rPr>
    </w:lvl>
    <w:lvl w:ilvl="2" w:tentative="0">
      <w:start w:val="4"/>
      <w:numFmt w:val="decimal"/>
      <w:lvlText w:val="%1.%2.%3."/>
      <w:lvlJc w:val="left"/>
      <w:pPr>
        <w:ind w:left="964" w:hanging="851"/>
      </w:pPr>
      <w:rPr>
        <w:rFonts w:hint="default" w:ascii="Times New Roman" w:hAnsi="Times New Roman" w:eastAsia="宋体" w:cs="Times New Roman"/>
        <w:spacing w:val="-2"/>
        <w:w w:val="100"/>
        <w:sz w:val="21"/>
        <w:szCs w:val="21"/>
      </w:rPr>
    </w:lvl>
    <w:lvl w:ilvl="3" w:tentative="0">
      <w:start w:val="1"/>
      <w:numFmt w:val="lowerLetter"/>
      <w:lvlText w:val="(%4)"/>
      <w:lvlJc w:val="left"/>
      <w:pPr>
        <w:ind w:left="1532" w:hanging="568"/>
      </w:pPr>
      <w:rPr>
        <w:rFonts w:hint="default" w:ascii="Times New Roman" w:hAnsi="Times New Roman" w:eastAsia="宋体" w:cs="Times New Roman"/>
        <w:spacing w:val="-2"/>
        <w:w w:val="100"/>
        <w:sz w:val="21"/>
        <w:szCs w:val="21"/>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17">
    <w:nsid w:val="0B683882"/>
    <w:multiLevelType w:val="multilevel"/>
    <w:tmpl w:val="0B683882"/>
    <w:lvl w:ilvl="0" w:tentative="0">
      <w:start w:val="1"/>
      <w:numFmt w:val="decimal"/>
      <w:lvlText w:val="%1."/>
      <w:lvlJc w:val="left"/>
      <w:pPr>
        <w:ind w:left="681" w:hanging="568"/>
      </w:pPr>
      <w:rPr>
        <w:rFonts w:hint="default" w:ascii="Times New Roman" w:hAnsi="Times New Roman" w:eastAsia="Times New Roman" w:cs="Times New Roman"/>
        <w:spacing w:val="-2"/>
        <w:w w:val="100"/>
        <w:sz w:val="24"/>
        <w:szCs w:val="24"/>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8">
    <w:nsid w:val="0BFA2287"/>
    <w:multiLevelType w:val="multilevel"/>
    <w:tmpl w:val="0BFA2287"/>
    <w:lvl w:ilvl="0" w:tentative="0">
      <w:start w:val="1"/>
      <w:numFmt w:val="lowerLetter"/>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9">
    <w:nsid w:val="0CA3054E"/>
    <w:multiLevelType w:val="multilevel"/>
    <w:tmpl w:val="0CA3054E"/>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0">
    <w:nsid w:val="0CFC596B"/>
    <w:multiLevelType w:val="multilevel"/>
    <w:tmpl w:val="0CFC596B"/>
    <w:lvl w:ilvl="0" w:tentative="0">
      <w:start w:val="11"/>
      <w:numFmt w:val="decimal"/>
      <w:lvlText w:val="%1."/>
      <w:lvlJc w:val="left"/>
      <w:pPr>
        <w:ind w:left="681" w:hanging="568"/>
      </w:pPr>
      <w:rPr>
        <w:rFonts w:hint="default" w:ascii="Times New Roman" w:hAnsi="Times New Roman" w:eastAsia="宋体" w:cs="Times New Roman"/>
        <w:b/>
        <w:bCs/>
        <w:spacing w:val="-2"/>
        <w:w w:val="100"/>
        <w:sz w:val="24"/>
        <w:szCs w:val="24"/>
      </w:rPr>
    </w:lvl>
    <w:lvl w:ilvl="1" w:tentative="0">
      <w:start w:val="1"/>
      <w:numFmt w:val="decimal"/>
      <w:lvlText w:val="%1.%2."/>
      <w:lvlJc w:val="left"/>
      <w:pPr>
        <w:ind w:left="681" w:hanging="568"/>
      </w:pPr>
      <w:rPr>
        <w:rFonts w:hint="default" w:ascii="Times New Roman" w:hAnsi="Times New Roman" w:eastAsia="宋体" w:cs="Times New Roman"/>
        <w:spacing w:val="-2"/>
        <w:w w:val="100"/>
        <w:sz w:val="24"/>
        <w:szCs w:val="24"/>
      </w:rPr>
    </w:lvl>
    <w:lvl w:ilvl="2" w:tentative="0">
      <w:start w:val="2"/>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2318" w:hanging="567"/>
      </w:pPr>
      <w:rPr>
        <w:rFonts w:hint="default"/>
      </w:rPr>
    </w:lvl>
    <w:lvl w:ilvl="4" w:tentative="0">
      <w:start w:val="1"/>
      <w:numFmt w:val="bullet"/>
      <w:lvlText w:val="•"/>
      <w:lvlJc w:val="left"/>
      <w:pPr>
        <w:ind w:left="3396" w:hanging="567"/>
      </w:pPr>
      <w:rPr>
        <w:rFonts w:hint="default"/>
      </w:rPr>
    </w:lvl>
    <w:lvl w:ilvl="5" w:tentative="0">
      <w:start w:val="1"/>
      <w:numFmt w:val="bullet"/>
      <w:lvlText w:val="•"/>
      <w:lvlJc w:val="left"/>
      <w:pPr>
        <w:ind w:left="4475" w:hanging="567"/>
      </w:pPr>
      <w:rPr>
        <w:rFonts w:hint="default"/>
      </w:rPr>
    </w:lvl>
    <w:lvl w:ilvl="6" w:tentative="0">
      <w:start w:val="1"/>
      <w:numFmt w:val="bullet"/>
      <w:lvlText w:val="•"/>
      <w:lvlJc w:val="left"/>
      <w:pPr>
        <w:ind w:left="5553" w:hanging="567"/>
      </w:pPr>
      <w:rPr>
        <w:rFonts w:hint="default"/>
      </w:rPr>
    </w:lvl>
    <w:lvl w:ilvl="7" w:tentative="0">
      <w:start w:val="1"/>
      <w:numFmt w:val="bullet"/>
      <w:lvlText w:val="•"/>
      <w:lvlJc w:val="left"/>
      <w:pPr>
        <w:ind w:left="6632" w:hanging="567"/>
      </w:pPr>
      <w:rPr>
        <w:rFonts w:hint="default"/>
      </w:rPr>
    </w:lvl>
    <w:lvl w:ilvl="8" w:tentative="0">
      <w:start w:val="1"/>
      <w:numFmt w:val="bullet"/>
      <w:lvlText w:val="•"/>
      <w:lvlJc w:val="left"/>
      <w:pPr>
        <w:ind w:left="7710" w:hanging="567"/>
      </w:pPr>
      <w:rPr>
        <w:rFonts w:hint="default"/>
      </w:rPr>
    </w:lvl>
  </w:abstractNum>
  <w:abstractNum w:abstractNumId="21">
    <w:nsid w:val="0D4B3473"/>
    <w:multiLevelType w:val="multilevel"/>
    <w:tmpl w:val="0D4B3473"/>
    <w:lvl w:ilvl="0" w:tentative="0">
      <w:start w:val="1"/>
      <w:numFmt w:val="bullet"/>
      <w:lvlText w:val="-"/>
      <w:lvlJc w:val="left"/>
      <w:pPr>
        <w:ind w:left="1532" w:hanging="568"/>
      </w:pPr>
      <w:rPr>
        <w:rFonts w:hint="default" w:ascii="Times New Roman" w:hAnsi="Times New Roman" w:eastAsia="Times New Roman"/>
        <w:spacing w:val="-2"/>
        <w:w w:val="100"/>
        <w:sz w:val="24"/>
      </w:rPr>
    </w:lvl>
    <w:lvl w:ilvl="1" w:tentative="0">
      <w:start w:val="1"/>
      <w:numFmt w:val="bullet"/>
      <w:lvlText w:val="•"/>
      <w:lvlJc w:val="left"/>
      <w:pPr>
        <w:ind w:left="2372" w:hanging="568"/>
      </w:pPr>
      <w:rPr>
        <w:rFonts w:hint="default"/>
      </w:rPr>
    </w:lvl>
    <w:lvl w:ilvl="2" w:tentative="0">
      <w:start w:val="1"/>
      <w:numFmt w:val="bullet"/>
      <w:lvlText w:val="•"/>
      <w:lvlJc w:val="left"/>
      <w:pPr>
        <w:ind w:left="3205" w:hanging="568"/>
      </w:pPr>
      <w:rPr>
        <w:rFonts w:hint="default"/>
      </w:rPr>
    </w:lvl>
    <w:lvl w:ilvl="3" w:tentative="0">
      <w:start w:val="1"/>
      <w:numFmt w:val="bullet"/>
      <w:lvlText w:val="•"/>
      <w:lvlJc w:val="left"/>
      <w:pPr>
        <w:ind w:left="4038" w:hanging="568"/>
      </w:pPr>
      <w:rPr>
        <w:rFonts w:hint="default"/>
      </w:rPr>
    </w:lvl>
    <w:lvl w:ilvl="4" w:tentative="0">
      <w:start w:val="1"/>
      <w:numFmt w:val="bullet"/>
      <w:lvlText w:val="•"/>
      <w:lvlJc w:val="left"/>
      <w:pPr>
        <w:ind w:left="4871" w:hanging="568"/>
      </w:pPr>
      <w:rPr>
        <w:rFonts w:hint="default"/>
      </w:rPr>
    </w:lvl>
    <w:lvl w:ilvl="5" w:tentative="0">
      <w:start w:val="1"/>
      <w:numFmt w:val="bullet"/>
      <w:lvlText w:val="•"/>
      <w:lvlJc w:val="left"/>
      <w:pPr>
        <w:ind w:left="5703" w:hanging="568"/>
      </w:pPr>
      <w:rPr>
        <w:rFonts w:hint="default"/>
      </w:rPr>
    </w:lvl>
    <w:lvl w:ilvl="6" w:tentative="0">
      <w:start w:val="1"/>
      <w:numFmt w:val="bullet"/>
      <w:lvlText w:val="•"/>
      <w:lvlJc w:val="left"/>
      <w:pPr>
        <w:ind w:left="6536" w:hanging="568"/>
      </w:pPr>
      <w:rPr>
        <w:rFonts w:hint="default"/>
      </w:rPr>
    </w:lvl>
    <w:lvl w:ilvl="7" w:tentative="0">
      <w:start w:val="1"/>
      <w:numFmt w:val="bullet"/>
      <w:lvlText w:val="•"/>
      <w:lvlJc w:val="left"/>
      <w:pPr>
        <w:ind w:left="7369" w:hanging="568"/>
      </w:pPr>
      <w:rPr>
        <w:rFonts w:hint="default"/>
      </w:rPr>
    </w:lvl>
    <w:lvl w:ilvl="8" w:tentative="0">
      <w:start w:val="1"/>
      <w:numFmt w:val="bullet"/>
      <w:lvlText w:val="•"/>
      <w:lvlJc w:val="left"/>
      <w:pPr>
        <w:ind w:left="8202" w:hanging="568"/>
      </w:pPr>
      <w:rPr>
        <w:rFonts w:hint="default"/>
      </w:rPr>
    </w:lvl>
  </w:abstractNum>
  <w:abstractNum w:abstractNumId="22">
    <w:nsid w:val="0D7F0540"/>
    <w:multiLevelType w:val="multilevel"/>
    <w:tmpl w:val="0D7F0540"/>
    <w:lvl w:ilvl="0" w:tentative="0">
      <w:start w:val="1"/>
      <w:numFmt w:val="decimal"/>
      <w:lvlText w:val="%1."/>
      <w:lvlJc w:val="left"/>
      <w:pPr>
        <w:ind w:left="681" w:hanging="568"/>
      </w:pPr>
      <w:rPr>
        <w:rFonts w:hint="default" w:ascii="Times New Roman" w:hAnsi="Times New Roman" w:eastAsia="Times New Roman" w:cs="Times New Roman"/>
        <w:spacing w:val="-3"/>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3">
    <w:nsid w:val="0D896160"/>
    <w:multiLevelType w:val="multilevel"/>
    <w:tmpl w:val="0D896160"/>
    <w:lvl w:ilvl="0" w:tentative="0">
      <w:start w:val="19"/>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宋体" w:cs="Times New Roman"/>
        <w:b/>
        <w:bCs/>
        <w:w w:val="100"/>
        <w:sz w:val="24"/>
        <w:szCs w:val="24"/>
      </w:rPr>
    </w:lvl>
    <w:lvl w:ilvl="2" w:tentative="0">
      <w:start w:val="16"/>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宋体"/>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24">
    <w:nsid w:val="0EE2344B"/>
    <w:multiLevelType w:val="multilevel"/>
    <w:tmpl w:val="0EE2344B"/>
    <w:lvl w:ilvl="0" w:tentative="0">
      <w:start w:val="6"/>
      <w:numFmt w:val="decimal"/>
      <w:lvlText w:val="%1"/>
      <w:lvlJc w:val="left"/>
      <w:pPr>
        <w:ind w:left="964" w:hanging="851"/>
      </w:pPr>
      <w:rPr>
        <w:rFonts w:hint="default" w:cs="Times New Roman"/>
      </w:rPr>
    </w:lvl>
    <w:lvl w:ilvl="1" w:tentative="0">
      <w:start w:val="0"/>
      <w:numFmt w:val="decimal"/>
      <w:lvlText w:val="%1.%2."/>
      <w:lvlJc w:val="left"/>
      <w:pPr>
        <w:ind w:left="964" w:hanging="851"/>
      </w:pPr>
      <w:rPr>
        <w:rFonts w:hint="default" w:ascii="Times New Roman" w:hAnsi="Times New Roman" w:eastAsia="宋体" w:cs="Times New Roman"/>
        <w:b/>
        <w:bCs/>
        <w:spacing w:val="-2"/>
        <w:w w:val="100"/>
        <w:sz w:val="24"/>
        <w:szCs w:val="24"/>
      </w:rPr>
    </w:lvl>
    <w:lvl w:ilvl="2" w:tentative="0">
      <w:start w:val="7"/>
      <w:numFmt w:val="lowerLetter"/>
      <w:lvlText w:val="(%3)"/>
      <w:lvlJc w:val="left"/>
      <w:pPr>
        <w:ind w:left="1532" w:hanging="568"/>
      </w:pPr>
      <w:rPr>
        <w:rFonts w:hint="default" w:ascii="Times New Roman" w:hAnsi="Times New Roman" w:eastAsia="宋体" w:cs="Times New Roman"/>
        <w:spacing w:val="-2"/>
        <w:w w:val="100"/>
        <w:sz w:val="21"/>
        <w:szCs w:val="21"/>
      </w:rPr>
    </w:lvl>
    <w:lvl w:ilvl="3" w:tentative="0">
      <w:start w:val="1"/>
      <w:numFmt w:val="lowerRoman"/>
      <w:lvlText w:val="(%4)"/>
      <w:lvlJc w:val="left"/>
      <w:pPr>
        <w:ind w:left="2098" w:hanging="567"/>
      </w:pPr>
      <w:rPr>
        <w:rFonts w:hint="default" w:ascii="Times New Roman" w:hAnsi="Times New Roman" w:eastAsia="宋体" w:cs="Times New Roman"/>
        <w:spacing w:val="-2"/>
        <w:w w:val="100"/>
        <w:sz w:val="24"/>
        <w:szCs w:val="24"/>
      </w:rPr>
    </w:lvl>
    <w:lvl w:ilvl="4" w:tentative="0">
      <w:start w:val="1"/>
      <w:numFmt w:val="bullet"/>
      <w:lvlText w:val="•"/>
      <w:lvlJc w:val="left"/>
      <w:pPr>
        <w:ind w:left="3209" w:hanging="567"/>
      </w:pPr>
      <w:rPr>
        <w:rFonts w:hint="default"/>
      </w:rPr>
    </w:lvl>
    <w:lvl w:ilvl="5" w:tentative="0">
      <w:start w:val="1"/>
      <w:numFmt w:val="bullet"/>
      <w:lvlText w:val="•"/>
      <w:lvlJc w:val="left"/>
      <w:pPr>
        <w:ind w:left="4319" w:hanging="567"/>
      </w:pPr>
      <w:rPr>
        <w:rFonts w:hint="default"/>
      </w:rPr>
    </w:lvl>
    <w:lvl w:ilvl="6" w:tentative="0">
      <w:start w:val="1"/>
      <w:numFmt w:val="bullet"/>
      <w:lvlText w:val="•"/>
      <w:lvlJc w:val="left"/>
      <w:pPr>
        <w:ind w:left="5428" w:hanging="567"/>
      </w:pPr>
      <w:rPr>
        <w:rFonts w:hint="default"/>
      </w:rPr>
    </w:lvl>
    <w:lvl w:ilvl="7" w:tentative="0">
      <w:start w:val="1"/>
      <w:numFmt w:val="bullet"/>
      <w:lvlText w:val="•"/>
      <w:lvlJc w:val="left"/>
      <w:pPr>
        <w:ind w:left="6538" w:hanging="567"/>
      </w:pPr>
      <w:rPr>
        <w:rFonts w:hint="default"/>
      </w:rPr>
    </w:lvl>
    <w:lvl w:ilvl="8" w:tentative="0">
      <w:start w:val="1"/>
      <w:numFmt w:val="bullet"/>
      <w:lvlText w:val="•"/>
      <w:lvlJc w:val="left"/>
      <w:pPr>
        <w:ind w:left="7648" w:hanging="567"/>
      </w:pPr>
      <w:rPr>
        <w:rFonts w:hint="default"/>
      </w:rPr>
    </w:lvl>
  </w:abstractNum>
  <w:abstractNum w:abstractNumId="25">
    <w:nsid w:val="0F6B213F"/>
    <w:multiLevelType w:val="multilevel"/>
    <w:tmpl w:val="0F6B213F"/>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lang w:val="en-US"/>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26">
    <w:nsid w:val="0FD9342B"/>
    <w:multiLevelType w:val="multilevel"/>
    <w:tmpl w:val="0FD9342B"/>
    <w:lvl w:ilvl="0" w:tentative="0">
      <w:start w:val="1"/>
      <w:numFmt w:val="bullet"/>
      <w:lvlText w:val="-"/>
      <w:lvlJc w:val="left"/>
      <w:pPr>
        <w:ind w:left="681" w:hanging="567"/>
      </w:pPr>
      <w:rPr>
        <w:rFonts w:hint="default" w:ascii="Times New Roman" w:hAnsi="Times New Roman" w:eastAsia="Times New Roman"/>
        <w:spacing w:val="-2"/>
        <w:w w:val="100"/>
        <w:sz w:val="24"/>
      </w:rPr>
    </w:lvl>
    <w:lvl w:ilvl="1" w:tentative="0">
      <w:start w:val="1"/>
      <w:numFmt w:val="bullet"/>
      <w:lvlText w:val="•"/>
      <w:lvlJc w:val="left"/>
      <w:pPr>
        <w:ind w:left="1598" w:hanging="567"/>
      </w:pPr>
      <w:rPr>
        <w:rFonts w:hint="default"/>
      </w:rPr>
    </w:lvl>
    <w:lvl w:ilvl="2" w:tentative="0">
      <w:start w:val="1"/>
      <w:numFmt w:val="bullet"/>
      <w:lvlText w:val="•"/>
      <w:lvlJc w:val="left"/>
      <w:pPr>
        <w:ind w:left="2517" w:hanging="567"/>
      </w:pPr>
      <w:rPr>
        <w:rFonts w:hint="default"/>
      </w:rPr>
    </w:lvl>
    <w:lvl w:ilvl="3" w:tentative="0">
      <w:start w:val="1"/>
      <w:numFmt w:val="bullet"/>
      <w:lvlText w:val="•"/>
      <w:lvlJc w:val="left"/>
      <w:pPr>
        <w:ind w:left="3436" w:hanging="567"/>
      </w:pPr>
      <w:rPr>
        <w:rFonts w:hint="default"/>
      </w:rPr>
    </w:lvl>
    <w:lvl w:ilvl="4" w:tentative="0">
      <w:start w:val="1"/>
      <w:numFmt w:val="bullet"/>
      <w:lvlText w:val="•"/>
      <w:lvlJc w:val="left"/>
      <w:pPr>
        <w:ind w:left="4355" w:hanging="567"/>
      </w:pPr>
      <w:rPr>
        <w:rFonts w:hint="default"/>
      </w:rPr>
    </w:lvl>
    <w:lvl w:ilvl="5" w:tentative="0">
      <w:start w:val="1"/>
      <w:numFmt w:val="bullet"/>
      <w:lvlText w:val="•"/>
      <w:lvlJc w:val="left"/>
      <w:pPr>
        <w:ind w:left="5273" w:hanging="567"/>
      </w:pPr>
      <w:rPr>
        <w:rFonts w:hint="default"/>
      </w:rPr>
    </w:lvl>
    <w:lvl w:ilvl="6" w:tentative="0">
      <w:start w:val="1"/>
      <w:numFmt w:val="bullet"/>
      <w:lvlText w:val="•"/>
      <w:lvlJc w:val="left"/>
      <w:pPr>
        <w:ind w:left="6192" w:hanging="567"/>
      </w:pPr>
      <w:rPr>
        <w:rFonts w:hint="default"/>
      </w:rPr>
    </w:lvl>
    <w:lvl w:ilvl="7" w:tentative="0">
      <w:start w:val="1"/>
      <w:numFmt w:val="bullet"/>
      <w:lvlText w:val="•"/>
      <w:lvlJc w:val="left"/>
      <w:pPr>
        <w:ind w:left="7111" w:hanging="567"/>
      </w:pPr>
      <w:rPr>
        <w:rFonts w:hint="default"/>
      </w:rPr>
    </w:lvl>
    <w:lvl w:ilvl="8" w:tentative="0">
      <w:start w:val="1"/>
      <w:numFmt w:val="bullet"/>
      <w:lvlText w:val="•"/>
      <w:lvlJc w:val="left"/>
      <w:pPr>
        <w:ind w:left="8030" w:hanging="567"/>
      </w:pPr>
      <w:rPr>
        <w:rFonts w:hint="default"/>
      </w:rPr>
    </w:lvl>
  </w:abstractNum>
  <w:abstractNum w:abstractNumId="27">
    <w:nsid w:val="10D60BB6"/>
    <w:multiLevelType w:val="multilevel"/>
    <w:tmpl w:val="10D60BB6"/>
    <w:lvl w:ilvl="0" w:tentative="0">
      <w:start w:val="1"/>
      <w:numFmt w:val="decimal"/>
      <w:lvlText w:val="%1."/>
      <w:lvlJc w:val="left"/>
      <w:pPr>
        <w:ind w:left="681" w:hanging="568"/>
      </w:pPr>
      <w:rPr>
        <w:rFonts w:hint="default" w:ascii="Times New Roman" w:hAnsi="Times New Roman" w:eastAsia="宋体" w:cs="Times New Roman"/>
        <w:spacing w:val="-2"/>
        <w:w w:val="100"/>
        <w:sz w:val="21"/>
        <w:szCs w:val="21"/>
      </w:rPr>
    </w:lvl>
    <w:lvl w:ilvl="1" w:tentative="0">
      <w:start w:val="6"/>
      <w:numFmt w:val="decimal"/>
      <w:isLgl/>
      <w:lvlText w:val="%1.%2"/>
      <w:lvlJc w:val="left"/>
      <w:pPr>
        <w:tabs>
          <w:tab w:val="left" w:pos="533"/>
        </w:tabs>
        <w:ind w:left="533" w:hanging="420"/>
      </w:pPr>
      <w:rPr>
        <w:rFonts w:hint="default"/>
      </w:rPr>
    </w:lvl>
    <w:lvl w:ilvl="2" w:tentative="0">
      <w:start w:val="1"/>
      <w:numFmt w:val="decimal"/>
      <w:isLgl/>
      <w:lvlText w:val="%1.%2.%3"/>
      <w:lvlJc w:val="left"/>
      <w:pPr>
        <w:tabs>
          <w:tab w:val="left" w:pos="833"/>
        </w:tabs>
        <w:ind w:left="833" w:hanging="720"/>
      </w:pPr>
      <w:rPr>
        <w:rFonts w:hint="default"/>
      </w:rPr>
    </w:lvl>
    <w:lvl w:ilvl="3" w:tentative="0">
      <w:start w:val="1"/>
      <w:numFmt w:val="decimal"/>
      <w:isLgl/>
      <w:lvlText w:val="%1.%2.%3.%4"/>
      <w:lvlJc w:val="left"/>
      <w:pPr>
        <w:tabs>
          <w:tab w:val="left" w:pos="833"/>
        </w:tabs>
        <w:ind w:left="833" w:hanging="720"/>
      </w:pPr>
      <w:rPr>
        <w:rFonts w:hint="default"/>
      </w:rPr>
    </w:lvl>
    <w:lvl w:ilvl="4" w:tentative="0">
      <w:start w:val="1"/>
      <w:numFmt w:val="decimal"/>
      <w:isLgl/>
      <w:lvlText w:val="%1.%2.%3.%4.%5"/>
      <w:lvlJc w:val="left"/>
      <w:pPr>
        <w:tabs>
          <w:tab w:val="left" w:pos="1193"/>
        </w:tabs>
        <w:ind w:left="1193" w:hanging="1080"/>
      </w:pPr>
      <w:rPr>
        <w:rFonts w:hint="default"/>
      </w:rPr>
    </w:lvl>
    <w:lvl w:ilvl="5" w:tentative="0">
      <w:start w:val="1"/>
      <w:numFmt w:val="decimal"/>
      <w:isLgl/>
      <w:lvlText w:val="%1.%2.%3.%4.%5.%6"/>
      <w:lvlJc w:val="left"/>
      <w:pPr>
        <w:tabs>
          <w:tab w:val="left" w:pos="1193"/>
        </w:tabs>
        <w:ind w:left="1193" w:hanging="1080"/>
      </w:pPr>
      <w:rPr>
        <w:rFonts w:hint="default"/>
      </w:rPr>
    </w:lvl>
    <w:lvl w:ilvl="6" w:tentative="0">
      <w:start w:val="1"/>
      <w:numFmt w:val="decimal"/>
      <w:isLgl/>
      <w:lvlText w:val="%1.%2.%3.%4.%5.%6.%7"/>
      <w:lvlJc w:val="left"/>
      <w:pPr>
        <w:tabs>
          <w:tab w:val="left" w:pos="1193"/>
        </w:tabs>
        <w:ind w:left="1193" w:hanging="1080"/>
      </w:pPr>
      <w:rPr>
        <w:rFonts w:hint="default"/>
      </w:rPr>
    </w:lvl>
    <w:lvl w:ilvl="7" w:tentative="0">
      <w:start w:val="1"/>
      <w:numFmt w:val="decimal"/>
      <w:isLgl/>
      <w:lvlText w:val="%1.%2.%3.%4.%5.%6.%7.%8"/>
      <w:lvlJc w:val="left"/>
      <w:pPr>
        <w:tabs>
          <w:tab w:val="left" w:pos="1553"/>
        </w:tabs>
        <w:ind w:left="1553" w:hanging="1440"/>
      </w:pPr>
      <w:rPr>
        <w:rFonts w:hint="default"/>
      </w:rPr>
    </w:lvl>
    <w:lvl w:ilvl="8" w:tentative="0">
      <w:start w:val="1"/>
      <w:numFmt w:val="decimal"/>
      <w:isLgl/>
      <w:lvlText w:val="%1.%2.%3.%4.%5.%6.%7.%8.%9"/>
      <w:lvlJc w:val="left"/>
      <w:pPr>
        <w:tabs>
          <w:tab w:val="left" w:pos="1553"/>
        </w:tabs>
        <w:ind w:left="1553" w:hanging="1440"/>
      </w:pPr>
      <w:rPr>
        <w:rFonts w:hint="default"/>
      </w:rPr>
    </w:lvl>
  </w:abstractNum>
  <w:abstractNum w:abstractNumId="28">
    <w:nsid w:val="1153426E"/>
    <w:multiLevelType w:val="multilevel"/>
    <w:tmpl w:val="1153426E"/>
    <w:lvl w:ilvl="0" w:tentative="0">
      <w:start w:val="1"/>
      <w:numFmt w:val="lowerLetter"/>
      <w:lvlText w:val="(%1)"/>
      <w:lvlJc w:val="left"/>
      <w:pPr>
        <w:ind w:left="680" w:hanging="567"/>
      </w:pPr>
      <w:rPr>
        <w:rFonts w:hint="default" w:ascii="Times New Roman" w:hAnsi="Times New Roman" w:eastAsia="宋体" w:cs="Times New Roman"/>
        <w:spacing w:val="-2"/>
        <w:w w:val="10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18D0A95"/>
    <w:multiLevelType w:val="multilevel"/>
    <w:tmpl w:val="118D0A95"/>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30">
    <w:nsid w:val="11B34510"/>
    <w:multiLevelType w:val="multilevel"/>
    <w:tmpl w:val="11B34510"/>
    <w:lvl w:ilvl="0" w:tentative="0">
      <w:start w:val="6"/>
      <w:numFmt w:val="decimal"/>
      <w:lvlText w:val="%1"/>
      <w:lvlJc w:val="left"/>
      <w:pPr>
        <w:ind w:left="681" w:hanging="568"/>
      </w:pPr>
      <w:rPr>
        <w:rFonts w:hint="default" w:cs="Times New Roman"/>
      </w:rPr>
    </w:lvl>
    <w:lvl w:ilvl="1" w:tentative="0">
      <w:start w:val="9"/>
      <w:numFmt w:val="decimal"/>
      <w:lvlText w:val="%1.%2."/>
      <w:lvlJc w:val="left"/>
      <w:pPr>
        <w:ind w:left="681" w:hanging="568"/>
      </w:pPr>
      <w:rPr>
        <w:rFonts w:hint="default" w:ascii="Times New Roman" w:hAnsi="Times New Roman" w:eastAsia="Times New Roman" w:cs="Times New Roman"/>
        <w:b/>
        <w:bCs/>
        <w:spacing w:val="-1"/>
        <w:w w:val="100"/>
        <w:sz w:val="24"/>
        <w:szCs w:val="24"/>
      </w:rPr>
    </w:lvl>
    <w:lvl w:ilvl="2" w:tentative="0">
      <w:start w:val="1"/>
      <w:numFmt w:val="bullet"/>
      <w:lvlText w:val="-"/>
      <w:lvlJc w:val="left"/>
      <w:pPr>
        <w:ind w:left="1248" w:hanging="567"/>
      </w:pPr>
      <w:rPr>
        <w:rFonts w:hint="default" w:ascii="Times New Roman" w:hAnsi="Times New Roman" w:eastAsia="Times New Roman"/>
        <w:spacing w:val="-2"/>
        <w:w w:val="100"/>
        <w:sz w:val="24"/>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31">
    <w:nsid w:val="125C07DE"/>
    <w:multiLevelType w:val="multilevel"/>
    <w:tmpl w:val="125C07DE"/>
    <w:lvl w:ilvl="0" w:tentative="0">
      <w:start w:val="4"/>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Times New Roman" w:cs="Times New Roman"/>
        <w:b/>
        <w:bCs/>
        <w:spacing w:val="-1"/>
        <w:w w:val="100"/>
        <w:sz w:val="24"/>
        <w:szCs w:val="24"/>
      </w:rPr>
    </w:lvl>
    <w:lvl w:ilvl="2" w:tentative="0">
      <w:start w:val="1"/>
      <w:numFmt w:val="bullet"/>
      <w:lvlText w:val="-"/>
      <w:lvlJc w:val="left"/>
      <w:pPr>
        <w:ind w:left="1248" w:hanging="567"/>
      </w:pPr>
      <w:rPr>
        <w:rFonts w:hint="default" w:ascii="Times New Roman" w:hAnsi="Times New Roman" w:eastAsia="Times New Roman"/>
        <w:spacing w:val="-2"/>
        <w:w w:val="100"/>
        <w:sz w:val="24"/>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32">
    <w:nsid w:val="125C7C90"/>
    <w:multiLevelType w:val="multilevel"/>
    <w:tmpl w:val="125C7C90"/>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33">
    <w:nsid w:val="12847B1A"/>
    <w:multiLevelType w:val="multilevel"/>
    <w:tmpl w:val="12847B1A"/>
    <w:lvl w:ilvl="0" w:tentative="0">
      <w:start w:val="1"/>
      <w:numFmt w:val="decimal"/>
      <w:lvlText w:val="%1."/>
      <w:lvlJc w:val="left"/>
      <w:pPr>
        <w:ind w:left="684" w:hanging="570"/>
      </w:pPr>
      <w:rPr>
        <w:rFonts w:hint="default" w:ascii="Times New Roman" w:hAnsi="Times New Roman" w:eastAsia="Times New Roman" w:cs="Times New Roman"/>
        <w:spacing w:val="-2"/>
        <w:w w:val="99"/>
        <w:sz w:val="21"/>
        <w:szCs w:val="21"/>
      </w:rPr>
    </w:lvl>
    <w:lvl w:ilvl="1" w:tentative="0">
      <w:start w:val="1"/>
      <w:numFmt w:val="bullet"/>
      <w:lvlText w:val="•"/>
      <w:lvlJc w:val="left"/>
      <w:pPr>
        <w:ind w:left="1598" w:hanging="570"/>
      </w:pPr>
      <w:rPr>
        <w:rFonts w:hint="default"/>
      </w:rPr>
    </w:lvl>
    <w:lvl w:ilvl="2" w:tentative="0">
      <w:start w:val="1"/>
      <w:numFmt w:val="bullet"/>
      <w:lvlText w:val="•"/>
      <w:lvlJc w:val="left"/>
      <w:pPr>
        <w:ind w:left="2517" w:hanging="570"/>
      </w:pPr>
      <w:rPr>
        <w:rFonts w:hint="default"/>
      </w:rPr>
    </w:lvl>
    <w:lvl w:ilvl="3" w:tentative="0">
      <w:start w:val="1"/>
      <w:numFmt w:val="bullet"/>
      <w:lvlText w:val="•"/>
      <w:lvlJc w:val="left"/>
      <w:pPr>
        <w:ind w:left="3436" w:hanging="570"/>
      </w:pPr>
      <w:rPr>
        <w:rFonts w:hint="default"/>
      </w:rPr>
    </w:lvl>
    <w:lvl w:ilvl="4" w:tentative="0">
      <w:start w:val="1"/>
      <w:numFmt w:val="bullet"/>
      <w:lvlText w:val="•"/>
      <w:lvlJc w:val="left"/>
      <w:pPr>
        <w:ind w:left="4355" w:hanging="570"/>
      </w:pPr>
      <w:rPr>
        <w:rFonts w:hint="default"/>
      </w:rPr>
    </w:lvl>
    <w:lvl w:ilvl="5" w:tentative="0">
      <w:start w:val="1"/>
      <w:numFmt w:val="bullet"/>
      <w:lvlText w:val="•"/>
      <w:lvlJc w:val="left"/>
      <w:pPr>
        <w:ind w:left="5273" w:hanging="570"/>
      </w:pPr>
      <w:rPr>
        <w:rFonts w:hint="default"/>
      </w:rPr>
    </w:lvl>
    <w:lvl w:ilvl="6" w:tentative="0">
      <w:start w:val="1"/>
      <w:numFmt w:val="bullet"/>
      <w:lvlText w:val="•"/>
      <w:lvlJc w:val="left"/>
      <w:pPr>
        <w:ind w:left="6192" w:hanging="570"/>
      </w:pPr>
      <w:rPr>
        <w:rFonts w:hint="default"/>
      </w:rPr>
    </w:lvl>
    <w:lvl w:ilvl="7" w:tentative="0">
      <w:start w:val="1"/>
      <w:numFmt w:val="bullet"/>
      <w:lvlText w:val="•"/>
      <w:lvlJc w:val="left"/>
      <w:pPr>
        <w:ind w:left="7111" w:hanging="570"/>
      </w:pPr>
      <w:rPr>
        <w:rFonts w:hint="default"/>
      </w:rPr>
    </w:lvl>
    <w:lvl w:ilvl="8" w:tentative="0">
      <w:start w:val="1"/>
      <w:numFmt w:val="bullet"/>
      <w:lvlText w:val="•"/>
      <w:lvlJc w:val="left"/>
      <w:pPr>
        <w:ind w:left="8030" w:hanging="570"/>
      </w:pPr>
      <w:rPr>
        <w:rFonts w:hint="default"/>
      </w:rPr>
    </w:lvl>
  </w:abstractNum>
  <w:abstractNum w:abstractNumId="34">
    <w:nsid w:val="13332CD6"/>
    <w:multiLevelType w:val="multilevel"/>
    <w:tmpl w:val="13332CD6"/>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35">
    <w:nsid w:val="15225B78"/>
    <w:multiLevelType w:val="multilevel"/>
    <w:tmpl w:val="15225B78"/>
    <w:lvl w:ilvl="0" w:tentative="0">
      <w:start w:val="3"/>
      <w:numFmt w:val="decimal"/>
      <w:lvlText w:val="%1"/>
      <w:lvlJc w:val="left"/>
      <w:pPr>
        <w:ind w:left="681" w:hanging="568"/>
      </w:pPr>
      <w:rPr>
        <w:rFonts w:hint="default" w:cs="Times New Roman"/>
      </w:rPr>
    </w:lvl>
    <w:lvl w:ilvl="1" w:tentative="0">
      <w:start w:val="7"/>
      <w:numFmt w:val="decimal"/>
      <w:lvlText w:val="%1.%2."/>
      <w:lvlJc w:val="left"/>
      <w:pPr>
        <w:ind w:left="681" w:hanging="568"/>
      </w:pPr>
      <w:rPr>
        <w:rFonts w:hint="default" w:ascii="Times New Roman" w:hAnsi="Times New Roman" w:eastAsia="Times New Roman" w:cs="Times New Roman"/>
        <w:spacing w:val="-2"/>
        <w:w w:val="100"/>
        <w:sz w:val="24"/>
        <w:szCs w:val="24"/>
      </w:rPr>
    </w:lvl>
    <w:lvl w:ilvl="2" w:tentative="0">
      <w:start w:val="1"/>
      <w:numFmt w:val="lowerLetter"/>
      <w:lvlText w:val="(%3)"/>
      <w:lvlJc w:val="left"/>
      <w:pPr>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36">
    <w:nsid w:val="158A7D15"/>
    <w:multiLevelType w:val="multilevel"/>
    <w:tmpl w:val="158A7D15"/>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37">
    <w:nsid w:val="15E76875"/>
    <w:multiLevelType w:val="multilevel"/>
    <w:tmpl w:val="15E76875"/>
    <w:lvl w:ilvl="0" w:tentative="0">
      <w:start w:val="2"/>
      <w:numFmt w:val="lowerLetter"/>
      <w:lvlText w:val="（%1）"/>
      <w:lvlJc w:val="left"/>
      <w:pPr>
        <w:ind w:left="1968" w:hanging="720"/>
      </w:pPr>
      <w:rPr>
        <w:rFonts w:hint="default"/>
      </w:rPr>
    </w:lvl>
    <w:lvl w:ilvl="1" w:tentative="0">
      <w:start w:val="1"/>
      <w:numFmt w:val="lowerLetter"/>
      <w:lvlText w:val="%2)"/>
      <w:lvlJc w:val="left"/>
      <w:pPr>
        <w:ind w:left="2088" w:hanging="420"/>
      </w:pPr>
    </w:lvl>
    <w:lvl w:ilvl="2" w:tentative="0">
      <w:start w:val="1"/>
      <w:numFmt w:val="lowerRoman"/>
      <w:lvlText w:val="%3."/>
      <w:lvlJc w:val="right"/>
      <w:pPr>
        <w:ind w:left="2508" w:hanging="420"/>
      </w:pPr>
    </w:lvl>
    <w:lvl w:ilvl="3" w:tentative="0">
      <w:start w:val="1"/>
      <w:numFmt w:val="decimal"/>
      <w:lvlText w:val="%4."/>
      <w:lvlJc w:val="left"/>
      <w:pPr>
        <w:ind w:left="2928" w:hanging="420"/>
      </w:pPr>
    </w:lvl>
    <w:lvl w:ilvl="4" w:tentative="0">
      <w:start w:val="1"/>
      <w:numFmt w:val="lowerLetter"/>
      <w:lvlText w:val="%5)"/>
      <w:lvlJc w:val="left"/>
      <w:pPr>
        <w:ind w:left="3348" w:hanging="420"/>
      </w:pPr>
    </w:lvl>
    <w:lvl w:ilvl="5" w:tentative="0">
      <w:start w:val="1"/>
      <w:numFmt w:val="lowerRoman"/>
      <w:lvlText w:val="%6."/>
      <w:lvlJc w:val="right"/>
      <w:pPr>
        <w:ind w:left="3768" w:hanging="420"/>
      </w:pPr>
    </w:lvl>
    <w:lvl w:ilvl="6" w:tentative="0">
      <w:start w:val="1"/>
      <w:numFmt w:val="decimal"/>
      <w:lvlText w:val="%7."/>
      <w:lvlJc w:val="left"/>
      <w:pPr>
        <w:ind w:left="4188" w:hanging="420"/>
      </w:pPr>
    </w:lvl>
    <w:lvl w:ilvl="7" w:tentative="0">
      <w:start w:val="1"/>
      <w:numFmt w:val="lowerLetter"/>
      <w:lvlText w:val="%8)"/>
      <w:lvlJc w:val="left"/>
      <w:pPr>
        <w:ind w:left="4608" w:hanging="420"/>
      </w:pPr>
    </w:lvl>
    <w:lvl w:ilvl="8" w:tentative="0">
      <w:start w:val="1"/>
      <w:numFmt w:val="lowerRoman"/>
      <w:lvlText w:val="%9."/>
      <w:lvlJc w:val="right"/>
      <w:pPr>
        <w:ind w:left="5028" w:hanging="420"/>
      </w:pPr>
    </w:lvl>
  </w:abstractNum>
  <w:abstractNum w:abstractNumId="38">
    <w:nsid w:val="15E76C5F"/>
    <w:multiLevelType w:val="multilevel"/>
    <w:tmpl w:val="15E76C5F"/>
    <w:lvl w:ilvl="0" w:tentative="0">
      <w:start w:val="1"/>
      <w:numFmt w:val="lowerLetter"/>
      <w:lvlText w:val="(%1)"/>
      <w:lvlJc w:val="left"/>
      <w:pPr>
        <w:ind w:left="1106" w:hanging="425"/>
      </w:pPr>
      <w:rPr>
        <w:rFonts w:hint="default" w:ascii="Times New Roman" w:hAnsi="Times New Roman" w:eastAsia="宋体" w:cs="Times New Roman"/>
        <w:spacing w:val="-2"/>
        <w:w w:val="10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16D34F45"/>
    <w:multiLevelType w:val="multilevel"/>
    <w:tmpl w:val="16D34F45"/>
    <w:lvl w:ilvl="0" w:tentative="0">
      <w:start w:val="1"/>
      <w:numFmt w:val="upperRoman"/>
      <w:lvlText w:val="%1."/>
      <w:lvlJc w:val="left"/>
      <w:pPr>
        <w:ind w:left="681" w:hanging="568"/>
      </w:pPr>
      <w:rPr>
        <w:rFonts w:hint="default" w:ascii="Times New Roman" w:hAnsi="Times New Roman" w:eastAsia="Times New Roman" w:cs="Times New Roman"/>
        <w:b/>
        <w:bCs/>
        <w:spacing w:val="-1"/>
        <w:w w:val="100"/>
        <w:sz w:val="24"/>
        <w:szCs w:val="24"/>
      </w:rPr>
    </w:lvl>
    <w:lvl w:ilvl="1" w:tentative="0">
      <w:start w:val="1"/>
      <w:numFmt w:val="decimal"/>
      <w:lvlText w:val="%2."/>
      <w:lvlJc w:val="left"/>
      <w:pPr>
        <w:ind w:left="681" w:hanging="568"/>
      </w:pPr>
      <w:rPr>
        <w:rFonts w:hint="default" w:ascii="Times New Roman" w:hAnsi="Times New Roman" w:eastAsia="Times New Roman" w:cs="Times New Roman"/>
        <w:b/>
        <w:bCs/>
        <w:spacing w:val="-1"/>
        <w:w w:val="100"/>
        <w:sz w:val="21"/>
        <w:szCs w:val="21"/>
      </w:rPr>
    </w:lvl>
    <w:lvl w:ilvl="2" w:tentative="0">
      <w:start w:val="1"/>
      <w:numFmt w:val="decimal"/>
      <w:lvlText w:val="%2.%3."/>
      <w:lvlJc w:val="left"/>
      <w:pPr>
        <w:ind w:left="681" w:hanging="568"/>
      </w:pPr>
      <w:rPr>
        <w:rFonts w:hint="default" w:ascii="Times New Roman" w:hAnsi="Times New Roman" w:eastAsia="Times New Roman" w:cs="Times New Roman"/>
        <w:spacing w:val="-2"/>
        <w:w w:val="100"/>
        <w:sz w:val="21"/>
        <w:szCs w:val="21"/>
      </w:rPr>
    </w:lvl>
    <w:lvl w:ilvl="3" w:tentative="0">
      <w:start w:val="1"/>
      <w:numFmt w:val="lowerLetter"/>
      <w:lvlText w:val="(%4)"/>
      <w:lvlJc w:val="left"/>
      <w:pPr>
        <w:ind w:left="1248" w:hanging="567"/>
      </w:pPr>
      <w:rPr>
        <w:rFonts w:hint="default" w:ascii="Times New Roman" w:hAnsi="Times New Roman" w:eastAsia="Times New Roman" w:cs="Times New Roman"/>
        <w:spacing w:val="-2"/>
        <w:w w:val="100"/>
        <w:sz w:val="21"/>
        <w:szCs w:val="21"/>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40">
    <w:nsid w:val="17844D42"/>
    <w:multiLevelType w:val="multilevel"/>
    <w:tmpl w:val="17844D42"/>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41">
    <w:nsid w:val="191629EC"/>
    <w:multiLevelType w:val="multilevel"/>
    <w:tmpl w:val="191629EC"/>
    <w:lvl w:ilvl="0" w:tentative="0">
      <w:start w:val="1"/>
      <w:numFmt w:val="decimal"/>
      <w:lvlText w:val="%1."/>
      <w:lvlJc w:val="left"/>
      <w:pPr>
        <w:ind w:left="684" w:hanging="570"/>
      </w:pPr>
      <w:rPr>
        <w:rFonts w:hint="default" w:ascii="Times New Roman" w:hAnsi="Times New Roman" w:eastAsia="Times New Roman" w:cs="Times New Roman"/>
        <w:spacing w:val="-3"/>
        <w:w w:val="100"/>
        <w:sz w:val="24"/>
        <w:szCs w:val="24"/>
        <w:lang w:val="en-US"/>
      </w:rPr>
    </w:lvl>
    <w:lvl w:ilvl="1" w:tentative="0">
      <w:start w:val="1"/>
      <w:numFmt w:val="bullet"/>
      <w:lvlText w:val="•"/>
      <w:lvlJc w:val="left"/>
      <w:pPr>
        <w:ind w:left="1598" w:hanging="570"/>
      </w:pPr>
      <w:rPr>
        <w:rFonts w:hint="default"/>
      </w:rPr>
    </w:lvl>
    <w:lvl w:ilvl="2" w:tentative="0">
      <w:start w:val="1"/>
      <w:numFmt w:val="bullet"/>
      <w:lvlText w:val="•"/>
      <w:lvlJc w:val="left"/>
      <w:pPr>
        <w:ind w:left="2517" w:hanging="570"/>
      </w:pPr>
      <w:rPr>
        <w:rFonts w:hint="default"/>
      </w:rPr>
    </w:lvl>
    <w:lvl w:ilvl="3" w:tentative="0">
      <w:start w:val="1"/>
      <w:numFmt w:val="bullet"/>
      <w:lvlText w:val="•"/>
      <w:lvlJc w:val="left"/>
      <w:pPr>
        <w:ind w:left="3436" w:hanging="570"/>
      </w:pPr>
      <w:rPr>
        <w:rFonts w:hint="default"/>
      </w:rPr>
    </w:lvl>
    <w:lvl w:ilvl="4" w:tentative="0">
      <w:start w:val="1"/>
      <w:numFmt w:val="bullet"/>
      <w:lvlText w:val="•"/>
      <w:lvlJc w:val="left"/>
      <w:pPr>
        <w:ind w:left="4355" w:hanging="570"/>
      </w:pPr>
      <w:rPr>
        <w:rFonts w:hint="default"/>
      </w:rPr>
    </w:lvl>
    <w:lvl w:ilvl="5" w:tentative="0">
      <w:start w:val="1"/>
      <w:numFmt w:val="bullet"/>
      <w:lvlText w:val="•"/>
      <w:lvlJc w:val="left"/>
      <w:pPr>
        <w:ind w:left="5273" w:hanging="570"/>
      </w:pPr>
      <w:rPr>
        <w:rFonts w:hint="default"/>
      </w:rPr>
    </w:lvl>
    <w:lvl w:ilvl="6" w:tentative="0">
      <w:start w:val="1"/>
      <w:numFmt w:val="bullet"/>
      <w:lvlText w:val="•"/>
      <w:lvlJc w:val="left"/>
      <w:pPr>
        <w:ind w:left="6192" w:hanging="570"/>
      </w:pPr>
      <w:rPr>
        <w:rFonts w:hint="default"/>
      </w:rPr>
    </w:lvl>
    <w:lvl w:ilvl="7" w:tentative="0">
      <w:start w:val="1"/>
      <w:numFmt w:val="bullet"/>
      <w:lvlText w:val="•"/>
      <w:lvlJc w:val="left"/>
      <w:pPr>
        <w:ind w:left="7111" w:hanging="570"/>
      </w:pPr>
      <w:rPr>
        <w:rFonts w:hint="default"/>
      </w:rPr>
    </w:lvl>
    <w:lvl w:ilvl="8" w:tentative="0">
      <w:start w:val="1"/>
      <w:numFmt w:val="bullet"/>
      <w:lvlText w:val="•"/>
      <w:lvlJc w:val="left"/>
      <w:pPr>
        <w:ind w:left="8030" w:hanging="570"/>
      </w:pPr>
      <w:rPr>
        <w:rFonts w:hint="default"/>
      </w:rPr>
    </w:lvl>
  </w:abstractNum>
  <w:abstractNum w:abstractNumId="42">
    <w:nsid w:val="19BE3D1B"/>
    <w:multiLevelType w:val="multilevel"/>
    <w:tmpl w:val="19BE3D1B"/>
    <w:lvl w:ilvl="0" w:tentative="0">
      <w:start w:val="1"/>
      <w:numFmt w:val="lowerRoman"/>
      <w:lvlText w:val="(%1)"/>
      <w:lvlJc w:val="left"/>
      <w:pPr>
        <w:ind w:left="2382" w:hanging="567"/>
      </w:pPr>
      <w:rPr>
        <w:rFonts w:hint="default" w:ascii="Times New Roman" w:hAnsi="Times New Roman" w:eastAsia="Times New Roman" w:cs="Times New Roman"/>
        <w:spacing w:val="0"/>
        <w:w w:val="100"/>
        <w:sz w:val="21"/>
        <w:szCs w:val="21"/>
      </w:rPr>
    </w:lvl>
    <w:lvl w:ilvl="1" w:tentative="0">
      <w:start w:val="1"/>
      <w:numFmt w:val="bullet"/>
      <w:lvlText w:val="•"/>
      <w:lvlJc w:val="left"/>
      <w:pPr>
        <w:ind w:left="3128" w:hanging="567"/>
      </w:pPr>
      <w:rPr>
        <w:rFonts w:hint="default"/>
      </w:rPr>
    </w:lvl>
    <w:lvl w:ilvl="2" w:tentative="0">
      <w:start w:val="1"/>
      <w:numFmt w:val="bullet"/>
      <w:lvlText w:val="•"/>
      <w:lvlJc w:val="left"/>
      <w:pPr>
        <w:ind w:left="3877" w:hanging="567"/>
      </w:pPr>
      <w:rPr>
        <w:rFonts w:hint="default"/>
      </w:rPr>
    </w:lvl>
    <w:lvl w:ilvl="3" w:tentative="0">
      <w:start w:val="1"/>
      <w:numFmt w:val="bullet"/>
      <w:lvlText w:val="•"/>
      <w:lvlJc w:val="left"/>
      <w:pPr>
        <w:ind w:left="4626" w:hanging="567"/>
      </w:pPr>
      <w:rPr>
        <w:rFonts w:hint="default"/>
      </w:rPr>
    </w:lvl>
    <w:lvl w:ilvl="4" w:tentative="0">
      <w:start w:val="1"/>
      <w:numFmt w:val="bullet"/>
      <w:lvlText w:val="•"/>
      <w:lvlJc w:val="left"/>
      <w:pPr>
        <w:ind w:left="5375" w:hanging="567"/>
      </w:pPr>
      <w:rPr>
        <w:rFonts w:hint="default"/>
      </w:rPr>
    </w:lvl>
    <w:lvl w:ilvl="5" w:tentative="0">
      <w:start w:val="1"/>
      <w:numFmt w:val="bullet"/>
      <w:lvlText w:val="•"/>
      <w:lvlJc w:val="left"/>
      <w:pPr>
        <w:ind w:left="6123" w:hanging="567"/>
      </w:pPr>
      <w:rPr>
        <w:rFonts w:hint="default"/>
      </w:rPr>
    </w:lvl>
    <w:lvl w:ilvl="6" w:tentative="0">
      <w:start w:val="1"/>
      <w:numFmt w:val="bullet"/>
      <w:lvlText w:val="•"/>
      <w:lvlJc w:val="left"/>
      <w:pPr>
        <w:ind w:left="6872" w:hanging="567"/>
      </w:pPr>
      <w:rPr>
        <w:rFonts w:hint="default"/>
      </w:rPr>
    </w:lvl>
    <w:lvl w:ilvl="7" w:tentative="0">
      <w:start w:val="1"/>
      <w:numFmt w:val="bullet"/>
      <w:lvlText w:val="•"/>
      <w:lvlJc w:val="left"/>
      <w:pPr>
        <w:ind w:left="7621" w:hanging="567"/>
      </w:pPr>
      <w:rPr>
        <w:rFonts w:hint="default"/>
      </w:rPr>
    </w:lvl>
    <w:lvl w:ilvl="8" w:tentative="0">
      <w:start w:val="1"/>
      <w:numFmt w:val="bullet"/>
      <w:lvlText w:val="•"/>
      <w:lvlJc w:val="left"/>
      <w:pPr>
        <w:ind w:left="8370" w:hanging="567"/>
      </w:pPr>
      <w:rPr>
        <w:rFonts w:hint="default"/>
      </w:rPr>
    </w:lvl>
  </w:abstractNum>
  <w:abstractNum w:abstractNumId="43">
    <w:nsid w:val="19E235F0"/>
    <w:multiLevelType w:val="multilevel"/>
    <w:tmpl w:val="19E235F0"/>
    <w:lvl w:ilvl="0" w:tentative="0">
      <w:start w:val="5"/>
      <w:numFmt w:val="decimal"/>
      <w:lvlText w:val="%1."/>
      <w:lvlJc w:val="left"/>
      <w:pPr>
        <w:ind w:left="681" w:hanging="568"/>
      </w:pPr>
      <w:rPr>
        <w:rFonts w:hint="default" w:ascii="Times New Roman" w:hAnsi="Times New Roman" w:eastAsia="Times New Roman" w:cs="Times New Roman"/>
        <w:spacing w:val="-2"/>
        <w:w w:val="100"/>
        <w:sz w:val="24"/>
        <w:szCs w:val="24"/>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44">
    <w:nsid w:val="1A1F5B1C"/>
    <w:multiLevelType w:val="multilevel"/>
    <w:tmpl w:val="1A1F5B1C"/>
    <w:lvl w:ilvl="0" w:tentative="0">
      <w:start w:val="1"/>
      <w:numFmt w:val="decimal"/>
      <w:lvlText w:val="%1."/>
      <w:lvlJc w:val="left"/>
      <w:pPr>
        <w:ind w:left="964" w:hanging="851"/>
      </w:pPr>
      <w:rPr>
        <w:rFonts w:hint="default" w:ascii="Times New Roman" w:hAnsi="Times New Roman" w:eastAsia="Times New Roman" w:cs="Times New Roman"/>
        <w:b/>
        <w:bCs/>
        <w:spacing w:val="-1"/>
        <w:w w:val="100"/>
        <w:sz w:val="21"/>
        <w:szCs w:val="21"/>
      </w:rPr>
    </w:lvl>
    <w:lvl w:ilvl="1" w:tentative="0">
      <w:start w:val="1"/>
      <w:numFmt w:val="decimal"/>
      <w:lvlText w:val="%1.%2."/>
      <w:lvlJc w:val="left"/>
      <w:pPr>
        <w:ind w:left="964" w:hanging="851"/>
      </w:pPr>
      <w:rPr>
        <w:rFonts w:hint="default" w:ascii="Times New Roman" w:hAnsi="Times New Roman" w:eastAsia="Times New Roman" w:cs="Times New Roman"/>
        <w:b/>
        <w:bCs/>
        <w:spacing w:val="-2"/>
        <w:w w:val="100"/>
        <w:sz w:val="21"/>
        <w:szCs w:val="21"/>
      </w:rPr>
    </w:lvl>
    <w:lvl w:ilvl="2" w:tentative="0">
      <w:start w:val="1"/>
      <w:numFmt w:val="decimal"/>
      <w:lvlText w:val="%1.%2.%3."/>
      <w:lvlJc w:val="left"/>
      <w:pPr>
        <w:ind w:left="964" w:hanging="851"/>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1532" w:hanging="568"/>
      </w:pPr>
      <w:rPr>
        <w:rFonts w:hint="default" w:ascii="Times New Roman" w:hAnsi="Times New Roman" w:eastAsia="Times New Roman"/>
        <w:spacing w:val="-3"/>
        <w:w w:val="100"/>
        <w:sz w:val="24"/>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45">
    <w:nsid w:val="1A92000C"/>
    <w:multiLevelType w:val="multilevel"/>
    <w:tmpl w:val="1A92000C"/>
    <w:lvl w:ilvl="0" w:tentative="0">
      <w:start w:val="13"/>
      <w:numFmt w:val="decimal"/>
      <w:lvlText w:val="%1"/>
      <w:lvlJc w:val="left"/>
      <w:pPr>
        <w:ind w:left="681" w:hanging="568"/>
      </w:pPr>
      <w:rPr>
        <w:rFonts w:hint="default" w:cs="Times New Roman"/>
      </w:rPr>
    </w:lvl>
    <w:lvl w:ilvl="1" w:tentative="0">
      <w:start w:val="2"/>
      <w:numFmt w:val="decimal"/>
      <w:lvlText w:val="%1.%2"/>
      <w:lvlJc w:val="left"/>
      <w:pPr>
        <w:ind w:left="681" w:hanging="568"/>
      </w:pPr>
      <w:rPr>
        <w:rFonts w:hint="default" w:ascii="Times New Roman" w:hAnsi="Times New Roman" w:eastAsia="Times New Roman" w:cs="Times New Roman"/>
        <w:spacing w:val="-2"/>
        <w:w w:val="100"/>
        <w:sz w:val="24"/>
        <w:szCs w:val="24"/>
      </w:rPr>
    </w:lvl>
    <w:lvl w:ilvl="2" w:tentative="0">
      <w:start w:val="1"/>
      <w:numFmt w:val="lowerLetter"/>
      <w:lvlText w:val="(%3)"/>
      <w:lvlJc w:val="left"/>
      <w:pPr>
        <w:ind w:left="1248" w:hanging="566"/>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3157" w:hanging="566"/>
      </w:pPr>
      <w:rPr>
        <w:rFonts w:hint="default"/>
      </w:rPr>
    </w:lvl>
    <w:lvl w:ilvl="4" w:tentative="0">
      <w:start w:val="1"/>
      <w:numFmt w:val="bullet"/>
      <w:lvlText w:val="•"/>
      <w:lvlJc w:val="left"/>
      <w:pPr>
        <w:ind w:left="4115" w:hanging="566"/>
      </w:pPr>
      <w:rPr>
        <w:rFonts w:hint="default"/>
      </w:rPr>
    </w:lvl>
    <w:lvl w:ilvl="5" w:tentative="0">
      <w:start w:val="1"/>
      <w:numFmt w:val="bullet"/>
      <w:lvlText w:val="•"/>
      <w:lvlJc w:val="left"/>
      <w:pPr>
        <w:ind w:left="5074" w:hanging="566"/>
      </w:pPr>
      <w:rPr>
        <w:rFonts w:hint="default"/>
      </w:rPr>
    </w:lvl>
    <w:lvl w:ilvl="6" w:tentative="0">
      <w:start w:val="1"/>
      <w:numFmt w:val="bullet"/>
      <w:lvlText w:val="•"/>
      <w:lvlJc w:val="left"/>
      <w:pPr>
        <w:ind w:left="6033" w:hanging="566"/>
      </w:pPr>
      <w:rPr>
        <w:rFonts w:hint="default"/>
      </w:rPr>
    </w:lvl>
    <w:lvl w:ilvl="7" w:tentative="0">
      <w:start w:val="1"/>
      <w:numFmt w:val="bullet"/>
      <w:lvlText w:val="•"/>
      <w:lvlJc w:val="left"/>
      <w:pPr>
        <w:ind w:left="6991" w:hanging="566"/>
      </w:pPr>
      <w:rPr>
        <w:rFonts w:hint="default"/>
      </w:rPr>
    </w:lvl>
    <w:lvl w:ilvl="8" w:tentative="0">
      <w:start w:val="1"/>
      <w:numFmt w:val="bullet"/>
      <w:lvlText w:val="•"/>
      <w:lvlJc w:val="left"/>
      <w:pPr>
        <w:ind w:left="7950" w:hanging="566"/>
      </w:pPr>
      <w:rPr>
        <w:rFonts w:hint="default"/>
      </w:rPr>
    </w:lvl>
  </w:abstractNum>
  <w:abstractNum w:abstractNumId="46">
    <w:nsid w:val="1B397DD7"/>
    <w:multiLevelType w:val="multilevel"/>
    <w:tmpl w:val="1B397DD7"/>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47">
    <w:nsid w:val="1B3C14EF"/>
    <w:multiLevelType w:val="multilevel"/>
    <w:tmpl w:val="1B3C14EF"/>
    <w:lvl w:ilvl="0" w:tentative="0">
      <w:start w:val="1"/>
      <w:numFmt w:val="decimal"/>
      <w:lvlText w:val="%1."/>
      <w:lvlJc w:val="left"/>
      <w:pPr>
        <w:ind w:left="681" w:hanging="568"/>
      </w:pPr>
      <w:rPr>
        <w:rFonts w:hint="default"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48">
    <w:nsid w:val="1B596974"/>
    <w:multiLevelType w:val="multilevel"/>
    <w:tmpl w:val="1B596974"/>
    <w:lvl w:ilvl="0" w:tentative="0">
      <w:start w:val="1"/>
      <w:numFmt w:val="upperRoman"/>
      <w:lvlText w:val="%1."/>
      <w:lvlJc w:val="left"/>
      <w:pPr>
        <w:ind w:left="681" w:hanging="568"/>
      </w:pPr>
      <w:rPr>
        <w:rFonts w:hint="default" w:ascii="Times New Roman" w:hAnsi="Times New Roman" w:eastAsia="Times New Roman" w:cs="Times New Roman"/>
        <w:b/>
        <w:bCs/>
        <w:spacing w:val="-1"/>
        <w:w w:val="100"/>
        <w:sz w:val="24"/>
        <w:szCs w:val="24"/>
      </w:rPr>
    </w:lvl>
    <w:lvl w:ilvl="1" w:tentative="0">
      <w:start w:val="1"/>
      <w:numFmt w:val="decimal"/>
      <w:lvlText w:val="%2."/>
      <w:lvlJc w:val="left"/>
      <w:pPr>
        <w:ind w:left="681" w:hanging="568"/>
      </w:pPr>
      <w:rPr>
        <w:rFonts w:hint="default" w:ascii="Times New Roman" w:hAnsi="Times New Roman" w:eastAsia="Times New Roman" w:cs="Times New Roman"/>
        <w:spacing w:val="-2"/>
        <w:w w:val="100"/>
        <w:sz w:val="21"/>
        <w:szCs w:val="21"/>
      </w:rPr>
    </w:lvl>
    <w:lvl w:ilvl="2" w:tentative="0">
      <w:start w:val="1"/>
      <w:numFmt w:val="lowerLetter"/>
      <w:lvlText w:val="(%3)"/>
      <w:lvlJc w:val="left"/>
      <w:pPr>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49">
    <w:nsid w:val="1B5D7F9B"/>
    <w:multiLevelType w:val="multilevel"/>
    <w:tmpl w:val="1B5D7F9B"/>
    <w:lvl w:ilvl="0" w:tentative="0">
      <w:start w:val="3"/>
      <w:numFmt w:val="decimal"/>
      <w:lvlText w:val="%1."/>
      <w:lvlJc w:val="left"/>
      <w:pPr>
        <w:ind w:left="681" w:hanging="568"/>
      </w:pPr>
      <w:rPr>
        <w:rFonts w:hint="default" w:ascii="Times New Roman" w:hAnsi="Times New Roman" w:eastAsia="Times New Roman" w:cs="Times New Roman"/>
        <w:b/>
        <w:bCs/>
        <w:spacing w:val="-2"/>
        <w:w w:val="100"/>
        <w:sz w:val="24"/>
        <w:szCs w:val="24"/>
      </w:rPr>
    </w:lvl>
    <w:lvl w:ilvl="1" w:tentative="0">
      <w:start w:val="1"/>
      <w:numFmt w:val="decimal"/>
      <w:lvlText w:val="%1.%2."/>
      <w:lvlJc w:val="left"/>
      <w:pPr>
        <w:ind w:left="681" w:hanging="568"/>
      </w:pPr>
      <w:rPr>
        <w:rFonts w:hint="default" w:ascii="Times New Roman" w:hAnsi="Times New Roman" w:eastAsia="Times New Roman" w:cs="Times New Roman"/>
        <w:spacing w:val="-2"/>
        <w:w w:val="100"/>
        <w:sz w:val="24"/>
        <w:szCs w:val="24"/>
      </w:rPr>
    </w:lvl>
    <w:lvl w:ilvl="2" w:tentative="0">
      <w:start w:val="1"/>
      <w:numFmt w:val="bullet"/>
      <w:lvlText w:val="-"/>
      <w:lvlJc w:val="left"/>
      <w:pPr>
        <w:ind w:left="1248" w:hanging="567"/>
      </w:pPr>
      <w:rPr>
        <w:rFonts w:hint="default" w:ascii="Times New Roman" w:hAnsi="Times New Roman" w:eastAsia="Times New Roman"/>
        <w:spacing w:val="-2"/>
        <w:w w:val="100"/>
        <w:sz w:val="24"/>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50">
    <w:nsid w:val="1B720E10"/>
    <w:multiLevelType w:val="multilevel"/>
    <w:tmpl w:val="1B720E10"/>
    <w:lvl w:ilvl="0" w:tentative="0">
      <w:start w:val="1"/>
      <w:numFmt w:val="decimal"/>
      <w:lvlText w:val="%1."/>
      <w:lvlJc w:val="left"/>
      <w:pPr>
        <w:ind w:left="681" w:hanging="568"/>
      </w:pPr>
      <w:rPr>
        <w:rFonts w:hint="default" w:ascii="Times New Roman" w:hAnsi="Times New Roman" w:eastAsia="宋体" w:cs="Times New Roman"/>
        <w:b/>
        <w:bCs/>
        <w:spacing w:val="-1"/>
        <w:w w:val="100"/>
        <w:sz w:val="24"/>
        <w:szCs w:val="24"/>
      </w:rPr>
    </w:lvl>
    <w:lvl w:ilvl="1" w:tentative="0">
      <w:start w:val="1"/>
      <w:numFmt w:val="decimal"/>
      <w:lvlText w:val="%1.%2."/>
      <w:lvlJc w:val="left"/>
      <w:pPr>
        <w:ind w:left="681" w:hanging="568"/>
      </w:pPr>
      <w:rPr>
        <w:rFonts w:hint="default" w:ascii="Times New Roman" w:hAnsi="Times New Roman" w:eastAsia="宋体" w:cs="Times New Roman"/>
        <w:b/>
        <w:bCs/>
        <w:spacing w:val="-2"/>
        <w:w w:val="100"/>
        <w:sz w:val="21"/>
        <w:szCs w:val="21"/>
      </w:rPr>
    </w:lvl>
    <w:lvl w:ilvl="2" w:tentative="0">
      <w:start w:val="6"/>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宋体"/>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51">
    <w:nsid w:val="1BC75E69"/>
    <w:multiLevelType w:val="multilevel"/>
    <w:tmpl w:val="1BC75E69"/>
    <w:lvl w:ilvl="0" w:tentative="0">
      <w:start w:val="1"/>
      <w:numFmt w:val="decimal"/>
      <w:lvlText w:val="%1."/>
      <w:lvlJc w:val="left"/>
      <w:pPr>
        <w:ind w:left="681" w:hanging="568"/>
      </w:pPr>
      <w:rPr>
        <w:rFonts w:hint="default" w:ascii="Times New Roman" w:hAnsi="Times New Roman" w:eastAsia="Times New Roman" w:cs="Times New Roman"/>
        <w:spacing w:val="-3"/>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lowerRoman"/>
      <w:lvlText w:val="(%3)"/>
      <w:lvlJc w:val="left"/>
      <w:pPr>
        <w:ind w:left="1815" w:hanging="568"/>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2825" w:hanging="568"/>
      </w:pPr>
      <w:rPr>
        <w:rFonts w:hint="default"/>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52">
    <w:nsid w:val="1C3E320E"/>
    <w:multiLevelType w:val="multilevel"/>
    <w:tmpl w:val="1C3E320E"/>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53">
    <w:nsid w:val="1CBA3094"/>
    <w:multiLevelType w:val="multilevel"/>
    <w:tmpl w:val="1CBA3094"/>
    <w:lvl w:ilvl="0" w:tentative="0">
      <w:start w:val="19"/>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Times New Roman" w:cs="Times New Roman"/>
        <w:b/>
        <w:bCs/>
        <w:w w:val="100"/>
        <w:sz w:val="24"/>
        <w:szCs w:val="24"/>
      </w:rPr>
    </w:lvl>
    <w:lvl w:ilvl="2" w:tentative="0">
      <w:start w:val="1"/>
      <w:numFmt w:val="lowerLetter"/>
      <w:lvlText w:val="(%3)"/>
      <w:lvlJc w:val="left"/>
      <w:pPr>
        <w:ind w:left="1248" w:hanging="567"/>
      </w:pPr>
      <w:rPr>
        <w:rFonts w:hint="default" w:ascii="Times New Roman" w:hAnsi="Times New Roman" w:eastAsia="Times New Roman" w:cs="Times New Roman"/>
        <w:spacing w:val="-2"/>
        <w:w w:val="100"/>
        <w:sz w:val="24"/>
        <w:szCs w:val="24"/>
      </w:rPr>
    </w:lvl>
    <w:lvl w:ilvl="3" w:tentative="0">
      <w:start w:val="1"/>
      <w:numFmt w:val="bullet"/>
      <w:lvlText w:val="-"/>
      <w:lvlJc w:val="left"/>
      <w:pPr>
        <w:ind w:left="1815" w:hanging="568"/>
      </w:pPr>
      <w:rPr>
        <w:rFonts w:hint="default" w:ascii="Times New Roman" w:hAnsi="Times New Roman" w:eastAsia="Times New Roman"/>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54">
    <w:nsid w:val="1D0B57EB"/>
    <w:multiLevelType w:val="multilevel"/>
    <w:tmpl w:val="1D0B57EB"/>
    <w:lvl w:ilvl="0" w:tentative="0">
      <w:start w:val="1"/>
      <w:numFmt w:val="bullet"/>
      <w:lvlText w:val="-"/>
      <w:lvlJc w:val="left"/>
      <w:pPr>
        <w:ind w:left="1248" w:hanging="567"/>
      </w:pPr>
      <w:rPr>
        <w:rFonts w:hint="default" w:ascii="Times New Roman" w:hAnsi="Times New Roman" w:eastAsia="Times New Roman"/>
        <w:spacing w:val="-2"/>
        <w:w w:val="10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55">
    <w:nsid w:val="1DC375A6"/>
    <w:multiLevelType w:val="multilevel"/>
    <w:tmpl w:val="1DC375A6"/>
    <w:lvl w:ilvl="0" w:tentative="0">
      <w:start w:val="11"/>
      <w:numFmt w:val="decimal"/>
      <w:lvlText w:val="%1."/>
      <w:lvlJc w:val="left"/>
      <w:pPr>
        <w:ind w:left="681" w:hanging="568"/>
      </w:pPr>
      <w:rPr>
        <w:rFonts w:hint="default" w:ascii="Times New Roman" w:hAnsi="Times New Roman" w:eastAsia="宋体" w:cs="Times New Roman"/>
        <w:b/>
        <w:bCs/>
        <w:spacing w:val="-2"/>
        <w:w w:val="100"/>
        <w:sz w:val="24"/>
        <w:szCs w:val="24"/>
      </w:rPr>
    </w:lvl>
    <w:lvl w:ilvl="1" w:tentative="0">
      <w:start w:val="3"/>
      <w:numFmt w:val="decimal"/>
      <w:lvlText w:val="%1.%2."/>
      <w:lvlJc w:val="left"/>
      <w:pPr>
        <w:ind w:left="681" w:hanging="568"/>
      </w:pPr>
      <w:rPr>
        <w:rFonts w:hint="default" w:ascii="Times New Roman" w:hAnsi="Times New Roman" w:eastAsia="宋体" w:cs="Times New Roman"/>
        <w:spacing w:val="-2"/>
        <w:w w:val="100"/>
        <w:sz w:val="21"/>
        <w:szCs w:val="21"/>
      </w:rPr>
    </w:lvl>
    <w:lvl w:ilvl="2" w:tentative="0">
      <w:start w:val="2"/>
      <w:numFmt w:val="lowerLetter"/>
      <w:lvlText w:val="(%3)"/>
      <w:lvlJc w:val="left"/>
      <w:pPr>
        <w:ind w:left="1248" w:hanging="567"/>
      </w:pPr>
      <w:rPr>
        <w:rFonts w:hint="default" w:ascii="Times New Roman" w:hAnsi="Times New Roman" w:eastAsia="宋体" w:cs="Times New Roman"/>
        <w:spacing w:val="-2"/>
        <w:w w:val="100"/>
        <w:sz w:val="24"/>
        <w:szCs w:val="24"/>
      </w:rPr>
    </w:lvl>
    <w:lvl w:ilvl="3" w:tentative="0">
      <w:start w:val="1"/>
      <w:numFmt w:val="bullet"/>
      <w:lvlText w:val="•"/>
      <w:lvlJc w:val="left"/>
      <w:pPr>
        <w:ind w:left="2318" w:hanging="567"/>
      </w:pPr>
      <w:rPr>
        <w:rFonts w:hint="default"/>
      </w:rPr>
    </w:lvl>
    <w:lvl w:ilvl="4" w:tentative="0">
      <w:start w:val="1"/>
      <w:numFmt w:val="bullet"/>
      <w:lvlText w:val="•"/>
      <w:lvlJc w:val="left"/>
      <w:pPr>
        <w:ind w:left="3396" w:hanging="567"/>
      </w:pPr>
      <w:rPr>
        <w:rFonts w:hint="default"/>
      </w:rPr>
    </w:lvl>
    <w:lvl w:ilvl="5" w:tentative="0">
      <w:start w:val="1"/>
      <w:numFmt w:val="bullet"/>
      <w:lvlText w:val="•"/>
      <w:lvlJc w:val="left"/>
      <w:pPr>
        <w:ind w:left="4475" w:hanging="567"/>
      </w:pPr>
      <w:rPr>
        <w:rFonts w:hint="default"/>
      </w:rPr>
    </w:lvl>
    <w:lvl w:ilvl="6" w:tentative="0">
      <w:start w:val="1"/>
      <w:numFmt w:val="bullet"/>
      <w:lvlText w:val="•"/>
      <w:lvlJc w:val="left"/>
      <w:pPr>
        <w:ind w:left="5553" w:hanging="567"/>
      </w:pPr>
      <w:rPr>
        <w:rFonts w:hint="default"/>
      </w:rPr>
    </w:lvl>
    <w:lvl w:ilvl="7" w:tentative="0">
      <w:start w:val="1"/>
      <w:numFmt w:val="bullet"/>
      <w:lvlText w:val="•"/>
      <w:lvlJc w:val="left"/>
      <w:pPr>
        <w:ind w:left="6632" w:hanging="567"/>
      </w:pPr>
      <w:rPr>
        <w:rFonts w:hint="default"/>
      </w:rPr>
    </w:lvl>
    <w:lvl w:ilvl="8" w:tentative="0">
      <w:start w:val="1"/>
      <w:numFmt w:val="bullet"/>
      <w:lvlText w:val="•"/>
      <w:lvlJc w:val="left"/>
      <w:pPr>
        <w:ind w:left="7710" w:hanging="567"/>
      </w:pPr>
      <w:rPr>
        <w:rFonts w:hint="default"/>
      </w:rPr>
    </w:lvl>
  </w:abstractNum>
  <w:abstractNum w:abstractNumId="56">
    <w:nsid w:val="1DD406B3"/>
    <w:multiLevelType w:val="multilevel"/>
    <w:tmpl w:val="1DD406B3"/>
    <w:lvl w:ilvl="0" w:tentative="0">
      <w:start w:val="1"/>
      <w:numFmt w:val="decimal"/>
      <w:lvlText w:val="%1."/>
      <w:lvlJc w:val="left"/>
      <w:pPr>
        <w:ind w:left="744" w:hanging="630"/>
      </w:pPr>
      <w:rPr>
        <w:rFonts w:hint="default" w:ascii="Times New Roman" w:hAnsi="Times New Roman" w:eastAsia="Times New Roman" w:cs="Times New Roman"/>
        <w:spacing w:val="-3"/>
        <w:w w:val="100"/>
        <w:sz w:val="21"/>
        <w:szCs w:val="21"/>
      </w:rPr>
    </w:lvl>
    <w:lvl w:ilvl="1" w:tentative="0">
      <w:start w:val="1"/>
      <w:numFmt w:val="bullet"/>
      <w:lvlText w:val="•"/>
      <w:lvlJc w:val="left"/>
      <w:pPr>
        <w:ind w:left="1652" w:hanging="630"/>
      </w:pPr>
      <w:rPr>
        <w:rFonts w:hint="default"/>
      </w:rPr>
    </w:lvl>
    <w:lvl w:ilvl="2" w:tentative="0">
      <w:start w:val="1"/>
      <w:numFmt w:val="bullet"/>
      <w:lvlText w:val="•"/>
      <w:lvlJc w:val="left"/>
      <w:pPr>
        <w:ind w:left="2565" w:hanging="630"/>
      </w:pPr>
      <w:rPr>
        <w:rFonts w:hint="default"/>
      </w:rPr>
    </w:lvl>
    <w:lvl w:ilvl="3" w:tentative="0">
      <w:start w:val="1"/>
      <w:numFmt w:val="bullet"/>
      <w:lvlText w:val="•"/>
      <w:lvlJc w:val="left"/>
      <w:pPr>
        <w:ind w:left="3478" w:hanging="630"/>
      </w:pPr>
      <w:rPr>
        <w:rFonts w:hint="default"/>
      </w:rPr>
    </w:lvl>
    <w:lvl w:ilvl="4" w:tentative="0">
      <w:start w:val="1"/>
      <w:numFmt w:val="bullet"/>
      <w:lvlText w:val="•"/>
      <w:lvlJc w:val="left"/>
      <w:pPr>
        <w:ind w:left="4391" w:hanging="630"/>
      </w:pPr>
      <w:rPr>
        <w:rFonts w:hint="default"/>
      </w:rPr>
    </w:lvl>
    <w:lvl w:ilvl="5" w:tentative="0">
      <w:start w:val="1"/>
      <w:numFmt w:val="bullet"/>
      <w:lvlText w:val="•"/>
      <w:lvlJc w:val="left"/>
      <w:pPr>
        <w:ind w:left="5303" w:hanging="630"/>
      </w:pPr>
      <w:rPr>
        <w:rFonts w:hint="default"/>
      </w:rPr>
    </w:lvl>
    <w:lvl w:ilvl="6" w:tentative="0">
      <w:start w:val="1"/>
      <w:numFmt w:val="bullet"/>
      <w:lvlText w:val="•"/>
      <w:lvlJc w:val="left"/>
      <w:pPr>
        <w:ind w:left="6216" w:hanging="630"/>
      </w:pPr>
      <w:rPr>
        <w:rFonts w:hint="default"/>
      </w:rPr>
    </w:lvl>
    <w:lvl w:ilvl="7" w:tentative="0">
      <w:start w:val="1"/>
      <w:numFmt w:val="bullet"/>
      <w:lvlText w:val="•"/>
      <w:lvlJc w:val="left"/>
      <w:pPr>
        <w:ind w:left="7129" w:hanging="630"/>
      </w:pPr>
      <w:rPr>
        <w:rFonts w:hint="default"/>
      </w:rPr>
    </w:lvl>
    <w:lvl w:ilvl="8" w:tentative="0">
      <w:start w:val="1"/>
      <w:numFmt w:val="bullet"/>
      <w:lvlText w:val="•"/>
      <w:lvlJc w:val="left"/>
      <w:pPr>
        <w:ind w:left="8042" w:hanging="630"/>
      </w:pPr>
      <w:rPr>
        <w:rFonts w:hint="default"/>
      </w:rPr>
    </w:lvl>
  </w:abstractNum>
  <w:abstractNum w:abstractNumId="57">
    <w:nsid w:val="1EB81FC7"/>
    <w:multiLevelType w:val="multilevel"/>
    <w:tmpl w:val="1EB81FC7"/>
    <w:lvl w:ilvl="0" w:tentative="0">
      <w:start w:val="13"/>
      <w:numFmt w:val="decimal"/>
      <w:lvlText w:val="%1."/>
      <w:lvlJc w:val="left"/>
      <w:pPr>
        <w:ind w:left="681" w:hanging="568"/>
      </w:pPr>
      <w:rPr>
        <w:rFonts w:hint="default" w:ascii="Times New Roman" w:hAnsi="Times New Roman" w:eastAsia="宋体" w:cs="Times New Roman"/>
        <w:b/>
        <w:bCs/>
        <w:spacing w:val="-2"/>
        <w:w w:val="100"/>
        <w:sz w:val="21"/>
        <w:szCs w:val="21"/>
      </w:rPr>
    </w:lvl>
    <w:lvl w:ilvl="1" w:tentative="0">
      <w:start w:val="1"/>
      <w:numFmt w:val="decimal"/>
      <w:lvlText w:val="%1.%2."/>
      <w:lvlJc w:val="left"/>
      <w:pPr>
        <w:ind w:left="681" w:hanging="568"/>
      </w:pPr>
      <w:rPr>
        <w:rFonts w:hint="default" w:ascii="Times New Roman" w:hAnsi="Times New Roman" w:eastAsia="宋体" w:cs="Times New Roman"/>
        <w:spacing w:val="-2"/>
        <w:w w:val="100"/>
        <w:sz w:val="21"/>
        <w:szCs w:val="21"/>
        <w:lang w:val="en-US"/>
      </w:rPr>
    </w:lvl>
    <w:lvl w:ilvl="2" w:tentative="0">
      <w:start w:val="1"/>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2318" w:hanging="567"/>
      </w:pPr>
      <w:rPr>
        <w:rFonts w:hint="default"/>
      </w:rPr>
    </w:lvl>
    <w:lvl w:ilvl="4" w:tentative="0">
      <w:start w:val="1"/>
      <w:numFmt w:val="bullet"/>
      <w:lvlText w:val="•"/>
      <w:lvlJc w:val="left"/>
      <w:pPr>
        <w:ind w:left="3396" w:hanging="567"/>
      </w:pPr>
      <w:rPr>
        <w:rFonts w:hint="default"/>
      </w:rPr>
    </w:lvl>
    <w:lvl w:ilvl="5" w:tentative="0">
      <w:start w:val="1"/>
      <w:numFmt w:val="bullet"/>
      <w:lvlText w:val="•"/>
      <w:lvlJc w:val="left"/>
      <w:pPr>
        <w:ind w:left="4475" w:hanging="567"/>
      </w:pPr>
      <w:rPr>
        <w:rFonts w:hint="default"/>
      </w:rPr>
    </w:lvl>
    <w:lvl w:ilvl="6" w:tentative="0">
      <w:start w:val="1"/>
      <w:numFmt w:val="bullet"/>
      <w:lvlText w:val="•"/>
      <w:lvlJc w:val="left"/>
      <w:pPr>
        <w:ind w:left="5553" w:hanging="567"/>
      </w:pPr>
      <w:rPr>
        <w:rFonts w:hint="default"/>
      </w:rPr>
    </w:lvl>
    <w:lvl w:ilvl="7" w:tentative="0">
      <w:start w:val="1"/>
      <w:numFmt w:val="bullet"/>
      <w:lvlText w:val="•"/>
      <w:lvlJc w:val="left"/>
      <w:pPr>
        <w:ind w:left="6632" w:hanging="567"/>
      </w:pPr>
      <w:rPr>
        <w:rFonts w:hint="default"/>
      </w:rPr>
    </w:lvl>
    <w:lvl w:ilvl="8" w:tentative="0">
      <w:start w:val="1"/>
      <w:numFmt w:val="bullet"/>
      <w:lvlText w:val="•"/>
      <w:lvlJc w:val="left"/>
      <w:pPr>
        <w:ind w:left="7710" w:hanging="567"/>
      </w:pPr>
      <w:rPr>
        <w:rFonts w:hint="default"/>
      </w:rPr>
    </w:lvl>
  </w:abstractNum>
  <w:abstractNum w:abstractNumId="58">
    <w:nsid w:val="1F9000BC"/>
    <w:multiLevelType w:val="multilevel"/>
    <w:tmpl w:val="1F9000BC"/>
    <w:lvl w:ilvl="0" w:tentative="0">
      <w:start w:val="1"/>
      <w:numFmt w:val="lowerLetter"/>
      <w:lvlText w:val="(%1)"/>
      <w:lvlJc w:val="left"/>
      <w:pPr>
        <w:ind w:left="1248" w:hanging="567"/>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248" w:hanging="568"/>
      </w:pPr>
      <w:rPr>
        <w:rFonts w:hint="default" w:ascii="Times New Roman" w:hAnsi="Times New Roman" w:eastAsia="Times New Roman"/>
        <w:spacing w:val="-2"/>
        <w:w w:val="100"/>
        <w:sz w:val="24"/>
      </w:rPr>
    </w:lvl>
    <w:lvl w:ilvl="2" w:tentative="0">
      <w:start w:val="1"/>
      <w:numFmt w:val="bullet"/>
      <w:lvlText w:val="•"/>
      <w:lvlJc w:val="left"/>
      <w:pPr>
        <w:ind w:left="2965" w:hanging="568"/>
      </w:pPr>
      <w:rPr>
        <w:rFonts w:hint="default"/>
      </w:rPr>
    </w:lvl>
    <w:lvl w:ilvl="3" w:tentative="0">
      <w:start w:val="1"/>
      <w:numFmt w:val="bullet"/>
      <w:lvlText w:val="•"/>
      <w:lvlJc w:val="left"/>
      <w:pPr>
        <w:ind w:left="3828" w:hanging="568"/>
      </w:pPr>
      <w:rPr>
        <w:rFonts w:hint="default"/>
      </w:rPr>
    </w:lvl>
    <w:lvl w:ilvl="4" w:tentative="0">
      <w:start w:val="1"/>
      <w:numFmt w:val="bullet"/>
      <w:lvlText w:val="•"/>
      <w:lvlJc w:val="left"/>
      <w:pPr>
        <w:ind w:left="4691" w:hanging="568"/>
      </w:pPr>
      <w:rPr>
        <w:rFonts w:hint="default"/>
      </w:rPr>
    </w:lvl>
    <w:lvl w:ilvl="5" w:tentative="0">
      <w:start w:val="1"/>
      <w:numFmt w:val="bullet"/>
      <w:lvlText w:val="•"/>
      <w:lvlJc w:val="left"/>
      <w:pPr>
        <w:ind w:left="5553" w:hanging="568"/>
      </w:pPr>
      <w:rPr>
        <w:rFonts w:hint="default"/>
      </w:rPr>
    </w:lvl>
    <w:lvl w:ilvl="6" w:tentative="0">
      <w:start w:val="1"/>
      <w:numFmt w:val="bullet"/>
      <w:lvlText w:val="•"/>
      <w:lvlJc w:val="left"/>
      <w:pPr>
        <w:ind w:left="6416" w:hanging="568"/>
      </w:pPr>
      <w:rPr>
        <w:rFonts w:hint="default"/>
      </w:rPr>
    </w:lvl>
    <w:lvl w:ilvl="7" w:tentative="0">
      <w:start w:val="1"/>
      <w:numFmt w:val="bullet"/>
      <w:lvlText w:val="•"/>
      <w:lvlJc w:val="left"/>
      <w:pPr>
        <w:ind w:left="7279" w:hanging="568"/>
      </w:pPr>
      <w:rPr>
        <w:rFonts w:hint="default"/>
      </w:rPr>
    </w:lvl>
    <w:lvl w:ilvl="8" w:tentative="0">
      <w:start w:val="1"/>
      <w:numFmt w:val="bullet"/>
      <w:lvlText w:val="•"/>
      <w:lvlJc w:val="left"/>
      <w:pPr>
        <w:ind w:left="8142" w:hanging="568"/>
      </w:pPr>
      <w:rPr>
        <w:rFonts w:hint="default"/>
      </w:rPr>
    </w:lvl>
  </w:abstractNum>
  <w:abstractNum w:abstractNumId="59">
    <w:nsid w:val="20395203"/>
    <w:multiLevelType w:val="multilevel"/>
    <w:tmpl w:val="20395203"/>
    <w:lvl w:ilvl="0" w:tentative="0">
      <w:start w:val="1"/>
      <w:numFmt w:val="bullet"/>
      <w:lvlText w:val="-"/>
      <w:lvlJc w:val="left"/>
      <w:pPr>
        <w:ind w:left="1248" w:hanging="567"/>
      </w:pPr>
      <w:rPr>
        <w:rFonts w:hint="default" w:ascii="Times New Roman" w:hAnsi="Times New Roman" w:eastAsia="Times New Roman"/>
        <w:spacing w:val="-2"/>
        <w:w w:val="10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60">
    <w:nsid w:val="20A45F61"/>
    <w:multiLevelType w:val="multilevel"/>
    <w:tmpl w:val="20A45F61"/>
    <w:lvl w:ilvl="0" w:tentative="0">
      <w:start w:val="1"/>
      <w:numFmt w:val="decimal"/>
      <w:lvlText w:val="%1."/>
      <w:lvlJc w:val="left"/>
      <w:pPr>
        <w:ind w:left="686" w:hanging="573"/>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61">
    <w:nsid w:val="22276FF9"/>
    <w:multiLevelType w:val="multilevel"/>
    <w:tmpl w:val="22276FF9"/>
    <w:lvl w:ilvl="0" w:tentative="0">
      <w:start w:val="1"/>
      <w:numFmt w:val="decimal"/>
      <w:lvlText w:val="%1."/>
      <w:lvlJc w:val="left"/>
      <w:pPr>
        <w:ind w:left="681" w:hanging="568"/>
      </w:pPr>
      <w:rPr>
        <w:rFonts w:hint="default" w:ascii="Times New Roman" w:hAnsi="Times New Roman" w:eastAsia="Times New Roman" w:cs="Times New Roman"/>
        <w:spacing w:val="-2"/>
        <w:w w:val="100"/>
        <w:sz w:val="24"/>
        <w:szCs w:val="24"/>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62">
    <w:nsid w:val="22CD58DF"/>
    <w:multiLevelType w:val="multilevel"/>
    <w:tmpl w:val="22CD58DF"/>
    <w:lvl w:ilvl="0" w:tentative="0">
      <w:start w:val="1"/>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Times New Roman" w:cs="Times New Roman"/>
        <w:spacing w:val="-2"/>
        <w:w w:val="100"/>
        <w:sz w:val="24"/>
        <w:szCs w:val="24"/>
      </w:rPr>
    </w:lvl>
    <w:lvl w:ilvl="2" w:tentative="0">
      <w:start w:val="1"/>
      <w:numFmt w:val="lowerLetter"/>
      <w:lvlText w:val="(%3)"/>
      <w:lvlJc w:val="left"/>
      <w:pPr>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Times New Roman"/>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63">
    <w:nsid w:val="22D324B2"/>
    <w:multiLevelType w:val="multilevel"/>
    <w:tmpl w:val="22D324B2"/>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64">
    <w:nsid w:val="23A10010"/>
    <w:multiLevelType w:val="multilevel"/>
    <w:tmpl w:val="23A10010"/>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65">
    <w:nsid w:val="23CF69BA"/>
    <w:multiLevelType w:val="multilevel"/>
    <w:tmpl w:val="23CF69BA"/>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66">
    <w:nsid w:val="24464352"/>
    <w:multiLevelType w:val="multilevel"/>
    <w:tmpl w:val="24464352"/>
    <w:lvl w:ilvl="0" w:tentative="0">
      <w:start w:val="1"/>
      <w:numFmt w:val="lowerLetter"/>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67">
    <w:nsid w:val="2471427B"/>
    <w:multiLevelType w:val="multilevel"/>
    <w:tmpl w:val="2471427B"/>
    <w:lvl w:ilvl="0" w:tentative="0">
      <w:start w:val="1"/>
      <w:numFmt w:val="bullet"/>
      <w:lvlText w:val="-"/>
      <w:lvlJc w:val="left"/>
      <w:pPr>
        <w:ind w:left="1248" w:hanging="567"/>
      </w:pPr>
      <w:rPr>
        <w:rFonts w:hint="default" w:ascii="Times New Roman" w:hAnsi="Times New Roman" w:eastAsia="Times New Roman"/>
        <w:spacing w:val="-2"/>
        <w:w w:val="10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68">
    <w:nsid w:val="24980ADE"/>
    <w:multiLevelType w:val="multilevel"/>
    <w:tmpl w:val="24980ADE"/>
    <w:lvl w:ilvl="0" w:tentative="0">
      <w:start w:val="1"/>
      <w:numFmt w:val="bullet"/>
      <w:lvlText w:val="-"/>
      <w:lvlJc w:val="left"/>
      <w:pPr>
        <w:ind w:left="1248" w:hanging="425"/>
      </w:pPr>
      <w:rPr>
        <w:rFonts w:hint="default" w:ascii="Times New Roman" w:hAnsi="Times New Roman" w:eastAsia="Times New Roman"/>
        <w:spacing w:val="-2"/>
        <w:w w:val="100"/>
        <w:sz w:val="24"/>
      </w:rPr>
    </w:lvl>
    <w:lvl w:ilvl="1" w:tentative="0">
      <w:start w:val="1"/>
      <w:numFmt w:val="bullet"/>
      <w:lvlText w:val="•"/>
      <w:lvlJc w:val="left"/>
      <w:pPr>
        <w:ind w:left="2102" w:hanging="425"/>
      </w:pPr>
      <w:rPr>
        <w:rFonts w:hint="default"/>
      </w:rPr>
    </w:lvl>
    <w:lvl w:ilvl="2" w:tentative="0">
      <w:start w:val="1"/>
      <w:numFmt w:val="bullet"/>
      <w:lvlText w:val="•"/>
      <w:lvlJc w:val="left"/>
      <w:pPr>
        <w:ind w:left="2965" w:hanging="425"/>
      </w:pPr>
      <w:rPr>
        <w:rFonts w:hint="default"/>
      </w:rPr>
    </w:lvl>
    <w:lvl w:ilvl="3" w:tentative="0">
      <w:start w:val="1"/>
      <w:numFmt w:val="bullet"/>
      <w:lvlText w:val="•"/>
      <w:lvlJc w:val="left"/>
      <w:pPr>
        <w:ind w:left="3828" w:hanging="425"/>
      </w:pPr>
      <w:rPr>
        <w:rFonts w:hint="default"/>
      </w:rPr>
    </w:lvl>
    <w:lvl w:ilvl="4" w:tentative="0">
      <w:start w:val="1"/>
      <w:numFmt w:val="bullet"/>
      <w:lvlText w:val="•"/>
      <w:lvlJc w:val="left"/>
      <w:pPr>
        <w:ind w:left="4691" w:hanging="425"/>
      </w:pPr>
      <w:rPr>
        <w:rFonts w:hint="default"/>
      </w:rPr>
    </w:lvl>
    <w:lvl w:ilvl="5" w:tentative="0">
      <w:start w:val="1"/>
      <w:numFmt w:val="bullet"/>
      <w:lvlText w:val="•"/>
      <w:lvlJc w:val="left"/>
      <w:pPr>
        <w:ind w:left="5553" w:hanging="425"/>
      </w:pPr>
      <w:rPr>
        <w:rFonts w:hint="default"/>
      </w:rPr>
    </w:lvl>
    <w:lvl w:ilvl="6" w:tentative="0">
      <w:start w:val="1"/>
      <w:numFmt w:val="bullet"/>
      <w:lvlText w:val="•"/>
      <w:lvlJc w:val="left"/>
      <w:pPr>
        <w:ind w:left="6416" w:hanging="425"/>
      </w:pPr>
      <w:rPr>
        <w:rFonts w:hint="default"/>
      </w:rPr>
    </w:lvl>
    <w:lvl w:ilvl="7" w:tentative="0">
      <w:start w:val="1"/>
      <w:numFmt w:val="bullet"/>
      <w:lvlText w:val="•"/>
      <w:lvlJc w:val="left"/>
      <w:pPr>
        <w:ind w:left="7279" w:hanging="425"/>
      </w:pPr>
      <w:rPr>
        <w:rFonts w:hint="default"/>
      </w:rPr>
    </w:lvl>
    <w:lvl w:ilvl="8" w:tentative="0">
      <w:start w:val="1"/>
      <w:numFmt w:val="bullet"/>
      <w:lvlText w:val="•"/>
      <w:lvlJc w:val="left"/>
      <w:pPr>
        <w:ind w:left="8142" w:hanging="425"/>
      </w:pPr>
      <w:rPr>
        <w:rFonts w:hint="default"/>
      </w:rPr>
    </w:lvl>
  </w:abstractNum>
  <w:abstractNum w:abstractNumId="69">
    <w:nsid w:val="25794937"/>
    <w:multiLevelType w:val="multilevel"/>
    <w:tmpl w:val="25794937"/>
    <w:lvl w:ilvl="0" w:tentative="0">
      <w:start w:val="1"/>
      <w:numFmt w:val="lowerLetter"/>
      <w:lvlText w:val="(%1)"/>
      <w:lvlJc w:val="left"/>
      <w:pPr>
        <w:ind w:left="1532"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2372" w:hanging="568"/>
      </w:pPr>
      <w:rPr>
        <w:rFonts w:hint="default"/>
      </w:rPr>
    </w:lvl>
    <w:lvl w:ilvl="2" w:tentative="0">
      <w:start w:val="1"/>
      <w:numFmt w:val="bullet"/>
      <w:lvlText w:val="•"/>
      <w:lvlJc w:val="left"/>
      <w:pPr>
        <w:ind w:left="3205" w:hanging="568"/>
      </w:pPr>
      <w:rPr>
        <w:rFonts w:hint="default"/>
      </w:rPr>
    </w:lvl>
    <w:lvl w:ilvl="3" w:tentative="0">
      <w:start w:val="1"/>
      <w:numFmt w:val="bullet"/>
      <w:lvlText w:val="•"/>
      <w:lvlJc w:val="left"/>
      <w:pPr>
        <w:ind w:left="4038" w:hanging="568"/>
      </w:pPr>
      <w:rPr>
        <w:rFonts w:hint="default"/>
      </w:rPr>
    </w:lvl>
    <w:lvl w:ilvl="4" w:tentative="0">
      <w:start w:val="1"/>
      <w:numFmt w:val="bullet"/>
      <w:lvlText w:val="•"/>
      <w:lvlJc w:val="left"/>
      <w:pPr>
        <w:ind w:left="4871" w:hanging="568"/>
      </w:pPr>
      <w:rPr>
        <w:rFonts w:hint="default"/>
      </w:rPr>
    </w:lvl>
    <w:lvl w:ilvl="5" w:tentative="0">
      <w:start w:val="1"/>
      <w:numFmt w:val="bullet"/>
      <w:lvlText w:val="•"/>
      <w:lvlJc w:val="left"/>
      <w:pPr>
        <w:ind w:left="5703" w:hanging="568"/>
      </w:pPr>
      <w:rPr>
        <w:rFonts w:hint="default"/>
      </w:rPr>
    </w:lvl>
    <w:lvl w:ilvl="6" w:tentative="0">
      <w:start w:val="1"/>
      <w:numFmt w:val="bullet"/>
      <w:lvlText w:val="•"/>
      <w:lvlJc w:val="left"/>
      <w:pPr>
        <w:ind w:left="6536" w:hanging="568"/>
      </w:pPr>
      <w:rPr>
        <w:rFonts w:hint="default"/>
      </w:rPr>
    </w:lvl>
    <w:lvl w:ilvl="7" w:tentative="0">
      <w:start w:val="1"/>
      <w:numFmt w:val="bullet"/>
      <w:lvlText w:val="•"/>
      <w:lvlJc w:val="left"/>
      <w:pPr>
        <w:ind w:left="7369" w:hanging="568"/>
      </w:pPr>
      <w:rPr>
        <w:rFonts w:hint="default"/>
      </w:rPr>
    </w:lvl>
    <w:lvl w:ilvl="8" w:tentative="0">
      <w:start w:val="1"/>
      <w:numFmt w:val="bullet"/>
      <w:lvlText w:val="•"/>
      <w:lvlJc w:val="left"/>
      <w:pPr>
        <w:ind w:left="8202" w:hanging="568"/>
      </w:pPr>
      <w:rPr>
        <w:rFonts w:hint="default"/>
      </w:rPr>
    </w:lvl>
  </w:abstractNum>
  <w:abstractNum w:abstractNumId="70">
    <w:nsid w:val="25F15784"/>
    <w:multiLevelType w:val="multilevel"/>
    <w:tmpl w:val="25F15784"/>
    <w:lvl w:ilvl="0" w:tentative="0">
      <w:start w:val="1"/>
      <w:numFmt w:val="lowerLetter"/>
      <w:lvlText w:val="(%1)"/>
      <w:lvlJc w:val="left"/>
      <w:pPr>
        <w:ind w:left="1248" w:hanging="567"/>
      </w:pPr>
      <w:rPr>
        <w:rFonts w:hint="default" w:ascii="Times New Roman" w:hAnsi="Times New Roman" w:eastAsia="Times New Roman" w:cs="Times New Roman"/>
        <w:spacing w:val="-2"/>
        <w:w w:val="100"/>
        <w:sz w:val="24"/>
        <w:szCs w:val="24"/>
      </w:rPr>
    </w:lvl>
    <w:lvl w:ilvl="1" w:tentative="0">
      <w:start w:val="1"/>
      <w:numFmt w:val="bullet"/>
      <w:lvlText w:val="-"/>
      <w:lvlJc w:val="left"/>
      <w:pPr>
        <w:ind w:left="1815" w:hanging="568"/>
      </w:pPr>
      <w:rPr>
        <w:rFonts w:hint="default" w:ascii="Times New Roman" w:hAnsi="Times New Roman" w:eastAsia="Times New Roman"/>
        <w:spacing w:val="-2"/>
        <w:w w:val="100"/>
        <w:sz w:val="24"/>
      </w:rPr>
    </w:lvl>
    <w:lvl w:ilvl="2" w:tentative="0">
      <w:start w:val="1"/>
      <w:numFmt w:val="bullet"/>
      <w:lvlText w:val="•"/>
      <w:lvlJc w:val="left"/>
      <w:pPr>
        <w:ind w:left="2714" w:hanging="568"/>
      </w:pPr>
      <w:rPr>
        <w:rFonts w:hint="default"/>
      </w:rPr>
    </w:lvl>
    <w:lvl w:ilvl="3" w:tentative="0">
      <w:start w:val="1"/>
      <w:numFmt w:val="bullet"/>
      <w:lvlText w:val="•"/>
      <w:lvlJc w:val="left"/>
      <w:pPr>
        <w:ind w:left="3608" w:hanging="568"/>
      </w:pPr>
      <w:rPr>
        <w:rFonts w:hint="default"/>
      </w:rPr>
    </w:lvl>
    <w:lvl w:ilvl="4" w:tentative="0">
      <w:start w:val="1"/>
      <w:numFmt w:val="bullet"/>
      <w:lvlText w:val="•"/>
      <w:lvlJc w:val="left"/>
      <w:pPr>
        <w:ind w:left="4502" w:hanging="568"/>
      </w:pPr>
      <w:rPr>
        <w:rFonts w:hint="default"/>
      </w:rPr>
    </w:lvl>
    <w:lvl w:ilvl="5" w:tentative="0">
      <w:start w:val="1"/>
      <w:numFmt w:val="bullet"/>
      <w:lvlText w:val="•"/>
      <w:lvlJc w:val="left"/>
      <w:pPr>
        <w:ind w:left="5396" w:hanging="568"/>
      </w:pPr>
      <w:rPr>
        <w:rFonts w:hint="default"/>
      </w:rPr>
    </w:lvl>
    <w:lvl w:ilvl="6" w:tentative="0">
      <w:start w:val="1"/>
      <w:numFmt w:val="bullet"/>
      <w:lvlText w:val="•"/>
      <w:lvlJc w:val="left"/>
      <w:pPr>
        <w:ind w:left="6290" w:hanging="568"/>
      </w:pPr>
      <w:rPr>
        <w:rFonts w:hint="default"/>
      </w:rPr>
    </w:lvl>
    <w:lvl w:ilvl="7" w:tentative="0">
      <w:start w:val="1"/>
      <w:numFmt w:val="bullet"/>
      <w:lvlText w:val="•"/>
      <w:lvlJc w:val="left"/>
      <w:pPr>
        <w:ind w:left="7185" w:hanging="568"/>
      </w:pPr>
      <w:rPr>
        <w:rFonts w:hint="default"/>
      </w:rPr>
    </w:lvl>
    <w:lvl w:ilvl="8" w:tentative="0">
      <w:start w:val="1"/>
      <w:numFmt w:val="bullet"/>
      <w:lvlText w:val="•"/>
      <w:lvlJc w:val="left"/>
      <w:pPr>
        <w:ind w:left="8079" w:hanging="568"/>
      </w:pPr>
      <w:rPr>
        <w:rFonts w:hint="default"/>
      </w:rPr>
    </w:lvl>
  </w:abstractNum>
  <w:abstractNum w:abstractNumId="71">
    <w:nsid w:val="269F593D"/>
    <w:multiLevelType w:val="multilevel"/>
    <w:tmpl w:val="269F593D"/>
    <w:lvl w:ilvl="0" w:tentative="0">
      <w:start w:val="1"/>
      <w:numFmt w:val="lowerLetter"/>
      <w:lvlText w:val="(%1)"/>
      <w:lvlJc w:val="left"/>
      <w:pPr>
        <w:ind w:left="1248" w:hanging="567"/>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815" w:hanging="568"/>
      </w:pPr>
      <w:rPr>
        <w:rFonts w:hint="default" w:ascii="Times New Roman" w:hAnsi="Times New Roman" w:eastAsia="Times New Roman"/>
        <w:spacing w:val="-2"/>
        <w:w w:val="100"/>
        <w:sz w:val="24"/>
      </w:rPr>
    </w:lvl>
    <w:lvl w:ilvl="2" w:tentative="0">
      <w:start w:val="1"/>
      <w:numFmt w:val="bullet"/>
      <w:lvlText w:val="•"/>
      <w:lvlJc w:val="left"/>
      <w:pPr>
        <w:ind w:left="2714" w:hanging="568"/>
      </w:pPr>
      <w:rPr>
        <w:rFonts w:hint="default"/>
      </w:rPr>
    </w:lvl>
    <w:lvl w:ilvl="3" w:tentative="0">
      <w:start w:val="1"/>
      <w:numFmt w:val="bullet"/>
      <w:lvlText w:val="•"/>
      <w:lvlJc w:val="left"/>
      <w:pPr>
        <w:ind w:left="3608" w:hanging="568"/>
      </w:pPr>
      <w:rPr>
        <w:rFonts w:hint="default"/>
      </w:rPr>
    </w:lvl>
    <w:lvl w:ilvl="4" w:tentative="0">
      <w:start w:val="1"/>
      <w:numFmt w:val="bullet"/>
      <w:lvlText w:val="•"/>
      <w:lvlJc w:val="left"/>
      <w:pPr>
        <w:ind w:left="4502" w:hanging="568"/>
      </w:pPr>
      <w:rPr>
        <w:rFonts w:hint="default"/>
      </w:rPr>
    </w:lvl>
    <w:lvl w:ilvl="5" w:tentative="0">
      <w:start w:val="1"/>
      <w:numFmt w:val="bullet"/>
      <w:lvlText w:val="•"/>
      <w:lvlJc w:val="left"/>
      <w:pPr>
        <w:ind w:left="5396" w:hanging="568"/>
      </w:pPr>
      <w:rPr>
        <w:rFonts w:hint="default"/>
      </w:rPr>
    </w:lvl>
    <w:lvl w:ilvl="6" w:tentative="0">
      <w:start w:val="1"/>
      <w:numFmt w:val="bullet"/>
      <w:lvlText w:val="•"/>
      <w:lvlJc w:val="left"/>
      <w:pPr>
        <w:ind w:left="6290" w:hanging="568"/>
      </w:pPr>
      <w:rPr>
        <w:rFonts w:hint="default"/>
      </w:rPr>
    </w:lvl>
    <w:lvl w:ilvl="7" w:tentative="0">
      <w:start w:val="1"/>
      <w:numFmt w:val="bullet"/>
      <w:lvlText w:val="•"/>
      <w:lvlJc w:val="left"/>
      <w:pPr>
        <w:ind w:left="7185" w:hanging="568"/>
      </w:pPr>
      <w:rPr>
        <w:rFonts w:hint="default"/>
      </w:rPr>
    </w:lvl>
    <w:lvl w:ilvl="8" w:tentative="0">
      <w:start w:val="1"/>
      <w:numFmt w:val="bullet"/>
      <w:lvlText w:val="•"/>
      <w:lvlJc w:val="left"/>
      <w:pPr>
        <w:ind w:left="8079" w:hanging="568"/>
      </w:pPr>
      <w:rPr>
        <w:rFonts w:hint="default"/>
      </w:rPr>
    </w:lvl>
  </w:abstractNum>
  <w:abstractNum w:abstractNumId="72">
    <w:nsid w:val="26FA039F"/>
    <w:multiLevelType w:val="multilevel"/>
    <w:tmpl w:val="26FA039F"/>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1815" w:hanging="568"/>
      </w:pPr>
      <w:rPr>
        <w:rFonts w:hint="default" w:ascii="Times New Roman" w:hAnsi="Times New Roman" w:eastAsia="Times New Roman"/>
        <w:spacing w:val="-2"/>
        <w:w w:val="100"/>
        <w:sz w:val="24"/>
      </w:rPr>
    </w:lvl>
    <w:lvl w:ilvl="3" w:tentative="0">
      <w:start w:val="1"/>
      <w:numFmt w:val="bullet"/>
      <w:lvlText w:val="•"/>
      <w:lvlJc w:val="left"/>
      <w:pPr>
        <w:ind w:left="2825" w:hanging="568"/>
      </w:pPr>
      <w:rPr>
        <w:rFonts w:hint="default"/>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73">
    <w:nsid w:val="272B69C5"/>
    <w:multiLevelType w:val="multilevel"/>
    <w:tmpl w:val="272B69C5"/>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4"/>
        <w:szCs w:val="24"/>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74">
    <w:nsid w:val="274A6F2A"/>
    <w:multiLevelType w:val="multilevel"/>
    <w:tmpl w:val="274A6F2A"/>
    <w:lvl w:ilvl="0" w:tentative="0">
      <w:start w:val="5"/>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Times New Roman" w:cs="Times New Roman"/>
        <w:b/>
        <w:bCs/>
        <w:spacing w:val="-1"/>
        <w:w w:val="100"/>
        <w:sz w:val="24"/>
        <w:szCs w:val="24"/>
      </w:rPr>
    </w:lvl>
    <w:lvl w:ilvl="2" w:tentative="0">
      <w:start w:val="1"/>
      <w:numFmt w:val="bullet"/>
      <w:lvlText w:val="-"/>
      <w:lvlJc w:val="left"/>
      <w:pPr>
        <w:ind w:left="1248" w:hanging="567"/>
      </w:pPr>
      <w:rPr>
        <w:rFonts w:hint="default" w:ascii="Times New Roman" w:hAnsi="Times New Roman" w:eastAsia="Times New Roman"/>
        <w:spacing w:val="-2"/>
        <w:w w:val="100"/>
        <w:sz w:val="24"/>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75">
    <w:nsid w:val="27813415"/>
    <w:multiLevelType w:val="multilevel"/>
    <w:tmpl w:val="27813415"/>
    <w:lvl w:ilvl="0" w:tentative="0">
      <w:start w:val="1"/>
      <w:numFmt w:val="decimal"/>
      <w:lvlText w:val="%1."/>
      <w:lvlJc w:val="left"/>
      <w:pPr>
        <w:ind w:left="964" w:hanging="851"/>
      </w:pPr>
      <w:rPr>
        <w:rFonts w:hint="default" w:ascii="Times New Roman" w:hAnsi="Times New Roman" w:eastAsia="宋体" w:cs="Times New Roman"/>
        <w:b/>
        <w:bCs/>
        <w:spacing w:val="-1"/>
        <w:w w:val="100"/>
        <w:sz w:val="21"/>
        <w:szCs w:val="21"/>
      </w:rPr>
    </w:lvl>
    <w:lvl w:ilvl="1" w:tentative="0">
      <w:start w:val="3"/>
      <w:numFmt w:val="decimal"/>
      <w:lvlText w:val="%1.%2."/>
      <w:lvlJc w:val="left"/>
      <w:pPr>
        <w:ind w:left="964" w:hanging="851"/>
      </w:pPr>
      <w:rPr>
        <w:rFonts w:hint="default" w:ascii="Times New Roman" w:hAnsi="Times New Roman" w:eastAsia="宋体" w:cs="Times New Roman"/>
        <w:b/>
        <w:bCs/>
        <w:spacing w:val="-2"/>
        <w:w w:val="100"/>
        <w:sz w:val="21"/>
        <w:szCs w:val="21"/>
      </w:rPr>
    </w:lvl>
    <w:lvl w:ilvl="2" w:tentative="0">
      <w:start w:val="1"/>
      <w:numFmt w:val="decimal"/>
      <w:lvlText w:val="%1.%2.%3."/>
      <w:lvlJc w:val="left"/>
      <w:pPr>
        <w:ind w:left="964" w:hanging="851"/>
      </w:pPr>
      <w:rPr>
        <w:rFonts w:hint="default" w:ascii="Times New Roman" w:hAnsi="Times New Roman" w:eastAsia="宋体" w:cs="Times New Roman"/>
        <w:spacing w:val="-2"/>
        <w:w w:val="100"/>
        <w:sz w:val="21"/>
        <w:szCs w:val="21"/>
      </w:rPr>
    </w:lvl>
    <w:lvl w:ilvl="3" w:tentative="0">
      <w:start w:val="1"/>
      <w:numFmt w:val="lowerLetter"/>
      <w:lvlText w:val="(%4)"/>
      <w:lvlJc w:val="left"/>
      <w:pPr>
        <w:ind w:left="1532" w:hanging="568"/>
      </w:pPr>
      <w:rPr>
        <w:rFonts w:hint="default" w:ascii="Times New Roman" w:hAnsi="Times New Roman" w:eastAsia="宋体" w:cs="Times New Roman"/>
        <w:spacing w:val="-4"/>
        <w:w w:val="100"/>
        <w:sz w:val="21"/>
        <w:szCs w:val="21"/>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76">
    <w:nsid w:val="282E1ADC"/>
    <w:multiLevelType w:val="multilevel"/>
    <w:tmpl w:val="282E1ADC"/>
    <w:lvl w:ilvl="0" w:tentative="0">
      <w:start w:val="10"/>
      <w:numFmt w:val="decimal"/>
      <w:lvlText w:val="(%1)"/>
      <w:lvlJc w:val="left"/>
      <w:pPr>
        <w:ind w:left="1248" w:hanging="567"/>
      </w:pPr>
      <w:rPr>
        <w:rFonts w:hint="default" w:ascii="Times New Roman" w:hAnsi="Times New Roman" w:eastAsia="Times New Roman" w:cs="Times New Roman"/>
        <w:spacing w:val="-14"/>
        <w:w w:val="100"/>
        <w:sz w:val="24"/>
        <w:szCs w:val="24"/>
      </w:rPr>
    </w:lvl>
    <w:lvl w:ilvl="1" w:tentative="0">
      <w:start w:val="1"/>
      <w:numFmt w:val="bullet"/>
      <w:lvlText w:val="–"/>
      <w:lvlJc w:val="left"/>
      <w:pPr>
        <w:ind w:left="1674" w:hanging="425"/>
      </w:pPr>
      <w:rPr>
        <w:rFonts w:hint="default" w:ascii="Times New Roman" w:hAnsi="Times New Roman" w:eastAsia="Times New Roman"/>
        <w:spacing w:val="-2"/>
        <w:w w:val="100"/>
        <w:sz w:val="24"/>
      </w:rPr>
    </w:lvl>
    <w:lvl w:ilvl="2" w:tentative="0">
      <w:start w:val="1"/>
      <w:numFmt w:val="bullet"/>
      <w:lvlText w:val="•"/>
      <w:lvlJc w:val="left"/>
      <w:pPr>
        <w:ind w:left="1820" w:hanging="425"/>
      </w:pPr>
      <w:rPr>
        <w:rFonts w:hint="default"/>
      </w:rPr>
    </w:lvl>
    <w:lvl w:ilvl="3" w:tentative="0">
      <w:start w:val="1"/>
      <w:numFmt w:val="bullet"/>
      <w:lvlText w:val="•"/>
      <w:lvlJc w:val="left"/>
      <w:pPr>
        <w:ind w:left="2825" w:hanging="425"/>
      </w:pPr>
      <w:rPr>
        <w:rFonts w:hint="default"/>
      </w:rPr>
    </w:lvl>
    <w:lvl w:ilvl="4" w:tentative="0">
      <w:start w:val="1"/>
      <w:numFmt w:val="bullet"/>
      <w:lvlText w:val="•"/>
      <w:lvlJc w:val="left"/>
      <w:pPr>
        <w:ind w:left="3831" w:hanging="425"/>
      </w:pPr>
      <w:rPr>
        <w:rFonts w:hint="default"/>
      </w:rPr>
    </w:lvl>
    <w:lvl w:ilvl="5" w:tentative="0">
      <w:start w:val="1"/>
      <w:numFmt w:val="bullet"/>
      <w:lvlText w:val="•"/>
      <w:lvlJc w:val="left"/>
      <w:pPr>
        <w:ind w:left="4837" w:hanging="425"/>
      </w:pPr>
      <w:rPr>
        <w:rFonts w:hint="default"/>
      </w:rPr>
    </w:lvl>
    <w:lvl w:ilvl="6" w:tentative="0">
      <w:start w:val="1"/>
      <w:numFmt w:val="bullet"/>
      <w:lvlText w:val="•"/>
      <w:lvlJc w:val="left"/>
      <w:pPr>
        <w:ind w:left="5843" w:hanging="425"/>
      </w:pPr>
      <w:rPr>
        <w:rFonts w:hint="default"/>
      </w:rPr>
    </w:lvl>
    <w:lvl w:ilvl="7" w:tentative="0">
      <w:start w:val="1"/>
      <w:numFmt w:val="bullet"/>
      <w:lvlText w:val="•"/>
      <w:lvlJc w:val="left"/>
      <w:pPr>
        <w:ind w:left="6849" w:hanging="425"/>
      </w:pPr>
      <w:rPr>
        <w:rFonts w:hint="default"/>
      </w:rPr>
    </w:lvl>
    <w:lvl w:ilvl="8" w:tentative="0">
      <w:start w:val="1"/>
      <w:numFmt w:val="bullet"/>
      <w:lvlText w:val="•"/>
      <w:lvlJc w:val="left"/>
      <w:pPr>
        <w:ind w:left="7855" w:hanging="425"/>
      </w:pPr>
      <w:rPr>
        <w:rFonts w:hint="default"/>
      </w:rPr>
    </w:lvl>
  </w:abstractNum>
  <w:abstractNum w:abstractNumId="77">
    <w:nsid w:val="28C7126F"/>
    <w:multiLevelType w:val="multilevel"/>
    <w:tmpl w:val="28C7126F"/>
    <w:lvl w:ilvl="0" w:tentative="0">
      <w:start w:val="4"/>
      <w:numFmt w:val="decimal"/>
      <w:lvlText w:val="%1"/>
      <w:lvlJc w:val="left"/>
      <w:pPr>
        <w:tabs>
          <w:tab w:val="left" w:pos="0"/>
        </w:tabs>
        <w:ind w:left="823" w:hanging="710"/>
      </w:pPr>
      <w:rPr>
        <w:rFonts w:hint="default" w:cs="Times New Roman"/>
      </w:rPr>
    </w:lvl>
    <w:lvl w:ilvl="1" w:tentative="0">
      <w:start w:val="6"/>
      <w:numFmt w:val="decimal"/>
      <w:lvlText w:val="%1.%2."/>
      <w:lvlJc w:val="left"/>
      <w:pPr>
        <w:tabs>
          <w:tab w:val="left" w:pos="0"/>
        </w:tabs>
        <w:ind w:left="823" w:hanging="710"/>
      </w:pPr>
      <w:rPr>
        <w:rFonts w:hint="default" w:ascii="Times New Roman" w:hAnsi="Times New Roman" w:eastAsia="宋体" w:cs="Times New Roman"/>
        <w:b/>
        <w:bCs/>
        <w:spacing w:val="-1"/>
        <w:w w:val="100"/>
        <w:sz w:val="21"/>
        <w:szCs w:val="21"/>
      </w:rPr>
    </w:lvl>
    <w:lvl w:ilvl="2" w:tentative="0">
      <w:start w:val="1"/>
      <w:numFmt w:val="bullet"/>
      <w:lvlText w:val="-"/>
      <w:lvlJc w:val="left"/>
      <w:pPr>
        <w:tabs>
          <w:tab w:val="left" w:pos="0"/>
        </w:tabs>
        <w:ind w:left="1248" w:hanging="425"/>
      </w:pPr>
      <w:rPr>
        <w:rFonts w:hint="default" w:ascii="Times New Roman" w:hAnsi="Times New Roman" w:eastAsia="宋体"/>
        <w:spacing w:val="-3"/>
        <w:w w:val="100"/>
        <w:sz w:val="24"/>
      </w:rPr>
    </w:lvl>
    <w:lvl w:ilvl="3" w:tentative="0">
      <w:start w:val="1"/>
      <w:numFmt w:val="bullet"/>
      <w:lvlText w:val="•"/>
      <w:lvlJc w:val="left"/>
      <w:pPr>
        <w:tabs>
          <w:tab w:val="left" w:pos="0"/>
        </w:tabs>
        <w:ind w:left="1540" w:hanging="425"/>
      </w:pPr>
      <w:rPr>
        <w:rFonts w:hint="default"/>
      </w:rPr>
    </w:lvl>
    <w:lvl w:ilvl="4" w:tentative="0">
      <w:start w:val="1"/>
      <w:numFmt w:val="bullet"/>
      <w:lvlText w:val="•"/>
      <w:lvlJc w:val="left"/>
      <w:pPr>
        <w:tabs>
          <w:tab w:val="left" w:pos="0"/>
        </w:tabs>
        <w:ind w:left="2729" w:hanging="425"/>
      </w:pPr>
      <w:rPr>
        <w:rFonts w:hint="default"/>
      </w:rPr>
    </w:lvl>
    <w:lvl w:ilvl="5" w:tentative="0">
      <w:start w:val="1"/>
      <w:numFmt w:val="bullet"/>
      <w:lvlText w:val="•"/>
      <w:lvlJc w:val="left"/>
      <w:pPr>
        <w:tabs>
          <w:tab w:val="left" w:pos="0"/>
        </w:tabs>
        <w:ind w:left="3919" w:hanging="425"/>
      </w:pPr>
      <w:rPr>
        <w:rFonts w:hint="default"/>
      </w:rPr>
    </w:lvl>
    <w:lvl w:ilvl="6" w:tentative="0">
      <w:start w:val="1"/>
      <w:numFmt w:val="bullet"/>
      <w:lvlText w:val="•"/>
      <w:lvlJc w:val="left"/>
      <w:pPr>
        <w:tabs>
          <w:tab w:val="left" w:pos="0"/>
        </w:tabs>
        <w:ind w:left="5108" w:hanging="425"/>
      </w:pPr>
      <w:rPr>
        <w:rFonts w:hint="default"/>
      </w:rPr>
    </w:lvl>
    <w:lvl w:ilvl="7" w:tentative="0">
      <w:start w:val="1"/>
      <w:numFmt w:val="bullet"/>
      <w:lvlText w:val="•"/>
      <w:lvlJc w:val="left"/>
      <w:pPr>
        <w:tabs>
          <w:tab w:val="left" w:pos="0"/>
        </w:tabs>
        <w:ind w:left="6298" w:hanging="425"/>
      </w:pPr>
      <w:rPr>
        <w:rFonts w:hint="default"/>
      </w:rPr>
    </w:lvl>
    <w:lvl w:ilvl="8" w:tentative="0">
      <w:start w:val="1"/>
      <w:numFmt w:val="bullet"/>
      <w:lvlText w:val="•"/>
      <w:lvlJc w:val="left"/>
      <w:pPr>
        <w:tabs>
          <w:tab w:val="left" w:pos="0"/>
        </w:tabs>
        <w:ind w:left="7488" w:hanging="425"/>
      </w:pPr>
      <w:rPr>
        <w:rFonts w:hint="default"/>
      </w:rPr>
    </w:lvl>
  </w:abstractNum>
  <w:abstractNum w:abstractNumId="78">
    <w:nsid w:val="29AB4C1C"/>
    <w:multiLevelType w:val="multilevel"/>
    <w:tmpl w:val="29AB4C1C"/>
    <w:lvl w:ilvl="0" w:tentative="0">
      <w:start w:val="1"/>
      <w:numFmt w:val="lowerLetter"/>
      <w:lvlText w:val="(%1)"/>
      <w:lvlJc w:val="left"/>
      <w:pPr>
        <w:ind w:left="1248" w:hanging="567"/>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79">
    <w:nsid w:val="29D766AE"/>
    <w:multiLevelType w:val="multilevel"/>
    <w:tmpl w:val="29D766AE"/>
    <w:lvl w:ilvl="0" w:tentative="0">
      <w:start w:val="19"/>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宋体" w:cs="Times New Roman"/>
        <w:b/>
        <w:bCs/>
        <w:w w:val="100"/>
        <w:sz w:val="24"/>
        <w:szCs w:val="24"/>
      </w:rPr>
    </w:lvl>
    <w:lvl w:ilvl="2" w:tentative="0">
      <w:start w:val="7"/>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宋体"/>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80">
    <w:nsid w:val="29F83E12"/>
    <w:multiLevelType w:val="multilevel"/>
    <w:tmpl w:val="29F83E12"/>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81">
    <w:nsid w:val="29FD1715"/>
    <w:multiLevelType w:val="multilevel"/>
    <w:tmpl w:val="29FD1715"/>
    <w:lvl w:ilvl="0" w:tentative="0">
      <w:start w:val="1"/>
      <w:numFmt w:val="decimal"/>
      <w:lvlText w:val="%1."/>
      <w:lvlJc w:val="left"/>
      <w:pPr>
        <w:ind w:left="681" w:hanging="568"/>
      </w:pPr>
      <w:rPr>
        <w:rFonts w:hint="default" w:ascii="Times New Roman" w:hAnsi="Times New Roman" w:eastAsia="Times New Roman" w:cs="Times New Roman"/>
        <w:spacing w:val="-3"/>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82">
    <w:nsid w:val="2A0115A8"/>
    <w:multiLevelType w:val="multilevel"/>
    <w:tmpl w:val="2A0115A8"/>
    <w:lvl w:ilvl="0" w:tentative="0">
      <w:start w:val="1"/>
      <w:numFmt w:val="lowerLetter"/>
      <w:lvlText w:val="(%1)"/>
      <w:lvlJc w:val="left"/>
      <w:pPr>
        <w:ind w:left="1249" w:hanging="568"/>
      </w:pPr>
      <w:rPr>
        <w:rFonts w:hint="default" w:ascii="Times New Roman" w:hAnsi="Times New Roman" w:eastAsia="宋体" w:cs="Times New Roman"/>
        <w:spacing w:val="-2"/>
        <w:w w:val="10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2A63553B"/>
    <w:multiLevelType w:val="multilevel"/>
    <w:tmpl w:val="2A63553B"/>
    <w:lvl w:ilvl="0" w:tentative="0">
      <w:start w:val="1"/>
      <w:numFmt w:val="decimal"/>
      <w:lvlText w:val="%1."/>
      <w:lvlJc w:val="left"/>
      <w:pPr>
        <w:ind w:left="681" w:hanging="568"/>
      </w:pPr>
      <w:rPr>
        <w:rFonts w:hint="default" w:ascii="Times New Roman" w:hAnsi="Times New Roman" w:eastAsia="Times New Roman" w:cs="Times New Roman"/>
        <w:w w:val="105"/>
        <w:sz w:val="24"/>
        <w:szCs w:val="24"/>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84">
    <w:nsid w:val="2AAC375C"/>
    <w:multiLevelType w:val="multilevel"/>
    <w:tmpl w:val="2AAC375C"/>
    <w:lvl w:ilvl="0" w:tentative="0">
      <w:start w:val="1"/>
      <w:numFmt w:val="decimal"/>
      <w:lvlText w:val="%1."/>
      <w:lvlJc w:val="left"/>
      <w:pPr>
        <w:ind w:left="684" w:hanging="570"/>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70"/>
      </w:pPr>
      <w:rPr>
        <w:rFonts w:hint="default"/>
      </w:rPr>
    </w:lvl>
    <w:lvl w:ilvl="2" w:tentative="0">
      <w:start w:val="1"/>
      <w:numFmt w:val="bullet"/>
      <w:lvlText w:val="•"/>
      <w:lvlJc w:val="left"/>
      <w:pPr>
        <w:ind w:left="2517" w:hanging="570"/>
      </w:pPr>
      <w:rPr>
        <w:rFonts w:hint="default"/>
      </w:rPr>
    </w:lvl>
    <w:lvl w:ilvl="3" w:tentative="0">
      <w:start w:val="1"/>
      <w:numFmt w:val="bullet"/>
      <w:lvlText w:val="•"/>
      <w:lvlJc w:val="left"/>
      <w:pPr>
        <w:ind w:left="3436" w:hanging="570"/>
      </w:pPr>
      <w:rPr>
        <w:rFonts w:hint="default"/>
      </w:rPr>
    </w:lvl>
    <w:lvl w:ilvl="4" w:tentative="0">
      <w:start w:val="1"/>
      <w:numFmt w:val="bullet"/>
      <w:lvlText w:val="•"/>
      <w:lvlJc w:val="left"/>
      <w:pPr>
        <w:ind w:left="4355" w:hanging="570"/>
      </w:pPr>
      <w:rPr>
        <w:rFonts w:hint="default"/>
      </w:rPr>
    </w:lvl>
    <w:lvl w:ilvl="5" w:tentative="0">
      <w:start w:val="1"/>
      <w:numFmt w:val="bullet"/>
      <w:lvlText w:val="•"/>
      <w:lvlJc w:val="left"/>
      <w:pPr>
        <w:ind w:left="5273" w:hanging="570"/>
      </w:pPr>
      <w:rPr>
        <w:rFonts w:hint="default"/>
      </w:rPr>
    </w:lvl>
    <w:lvl w:ilvl="6" w:tentative="0">
      <w:start w:val="1"/>
      <w:numFmt w:val="bullet"/>
      <w:lvlText w:val="•"/>
      <w:lvlJc w:val="left"/>
      <w:pPr>
        <w:ind w:left="6192" w:hanging="570"/>
      </w:pPr>
      <w:rPr>
        <w:rFonts w:hint="default"/>
      </w:rPr>
    </w:lvl>
    <w:lvl w:ilvl="7" w:tentative="0">
      <w:start w:val="1"/>
      <w:numFmt w:val="bullet"/>
      <w:lvlText w:val="•"/>
      <w:lvlJc w:val="left"/>
      <w:pPr>
        <w:ind w:left="7111" w:hanging="570"/>
      </w:pPr>
      <w:rPr>
        <w:rFonts w:hint="default"/>
      </w:rPr>
    </w:lvl>
    <w:lvl w:ilvl="8" w:tentative="0">
      <w:start w:val="1"/>
      <w:numFmt w:val="bullet"/>
      <w:lvlText w:val="•"/>
      <w:lvlJc w:val="left"/>
      <w:pPr>
        <w:ind w:left="8030" w:hanging="570"/>
      </w:pPr>
      <w:rPr>
        <w:rFonts w:hint="default"/>
      </w:rPr>
    </w:lvl>
  </w:abstractNum>
  <w:abstractNum w:abstractNumId="85">
    <w:nsid w:val="2C3412F5"/>
    <w:multiLevelType w:val="multilevel"/>
    <w:tmpl w:val="2C3412F5"/>
    <w:lvl w:ilvl="0" w:tentative="0">
      <w:start w:val="1"/>
      <w:numFmt w:val="bullet"/>
      <w:lvlText w:val="-"/>
      <w:lvlJc w:val="left"/>
      <w:pPr>
        <w:ind w:left="420" w:hanging="420"/>
      </w:pPr>
      <w:rPr>
        <w:rFonts w:hint="default" w:ascii="Times New Roman" w:hAnsi="Times New Roman" w:eastAsia="Times New Roman"/>
        <w:w w:val="110"/>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Times New Roman" w:hAnsi="Times New Roman" w:eastAsia="Times New Roman"/>
        <w:w w:val="110"/>
        <w:sz w:val="24"/>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2C4045E9"/>
    <w:multiLevelType w:val="multilevel"/>
    <w:tmpl w:val="2C4045E9"/>
    <w:lvl w:ilvl="0" w:tentative="0">
      <w:start w:val="5"/>
      <w:numFmt w:val="decimal"/>
      <w:lvlText w:val="%1"/>
      <w:lvlJc w:val="left"/>
      <w:pPr>
        <w:ind w:left="415" w:hanging="301"/>
      </w:pPr>
      <w:rPr>
        <w:rFonts w:hint="default" w:cs="Times New Roman"/>
      </w:rPr>
    </w:lvl>
    <w:lvl w:ilvl="1" w:tentative="0">
      <w:start w:val="2"/>
      <w:numFmt w:val="decimal"/>
      <w:lvlText w:val="%1.%2"/>
      <w:lvlJc w:val="left"/>
      <w:pPr>
        <w:ind w:left="415" w:hanging="301"/>
      </w:pPr>
      <w:rPr>
        <w:rFonts w:hint="default" w:ascii="Times New Roman" w:hAnsi="Times New Roman" w:eastAsia="Times New Roman" w:cs="Times New Roman"/>
        <w:b/>
        <w:bCs/>
        <w:spacing w:val="-1"/>
        <w:w w:val="100"/>
        <w:sz w:val="24"/>
        <w:szCs w:val="24"/>
      </w:rPr>
    </w:lvl>
    <w:lvl w:ilvl="2" w:tentative="0">
      <w:start w:val="1"/>
      <w:numFmt w:val="bullet"/>
      <w:lvlText w:val="-"/>
      <w:lvlJc w:val="left"/>
      <w:pPr>
        <w:ind w:left="1248" w:hanging="567"/>
      </w:pPr>
      <w:rPr>
        <w:rFonts w:hint="default" w:ascii="Times New Roman" w:hAnsi="Times New Roman" w:eastAsia="Times New Roman"/>
        <w:spacing w:val="-2"/>
        <w:w w:val="100"/>
        <w:sz w:val="24"/>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87">
    <w:nsid w:val="2CD11915"/>
    <w:multiLevelType w:val="multilevel"/>
    <w:tmpl w:val="2CD11915"/>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88">
    <w:nsid w:val="2D1710E5"/>
    <w:multiLevelType w:val="multilevel"/>
    <w:tmpl w:val="2D1710E5"/>
    <w:lvl w:ilvl="0" w:tentative="0">
      <w:start w:val="6"/>
      <w:numFmt w:val="decimal"/>
      <w:lvlText w:val="%1"/>
      <w:lvlJc w:val="left"/>
      <w:pPr>
        <w:ind w:left="964" w:hanging="851"/>
      </w:pPr>
      <w:rPr>
        <w:rFonts w:hint="default" w:cs="Times New Roman"/>
      </w:rPr>
    </w:lvl>
    <w:lvl w:ilvl="1" w:tentative="0">
      <w:start w:val="1"/>
      <w:numFmt w:val="decimal"/>
      <w:lvlText w:val="%1.%2."/>
      <w:lvlJc w:val="left"/>
      <w:pPr>
        <w:ind w:left="964" w:hanging="851"/>
      </w:pPr>
      <w:rPr>
        <w:rFonts w:hint="default" w:ascii="Times New Roman" w:hAnsi="Times New Roman" w:eastAsia="宋体" w:cs="Times New Roman"/>
        <w:b/>
        <w:bCs/>
        <w:spacing w:val="-2"/>
        <w:w w:val="100"/>
        <w:sz w:val="24"/>
        <w:szCs w:val="24"/>
      </w:rPr>
    </w:lvl>
    <w:lvl w:ilvl="2" w:tentative="0">
      <w:start w:val="1"/>
      <w:numFmt w:val="lowerLetter"/>
      <w:lvlText w:val="(%3)"/>
      <w:lvlJc w:val="left"/>
      <w:pPr>
        <w:ind w:left="1532" w:hanging="568"/>
      </w:pPr>
      <w:rPr>
        <w:rFonts w:hint="default" w:ascii="Times New Roman" w:hAnsi="Times New Roman" w:eastAsia="宋体" w:cs="Times New Roman"/>
        <w:spacing w:val="-2"/>
        <w:w w:val="100"/>
        <w:sz w:val="21"/>
        <w:szCs w:val="21"/>
      </w:rPr>
    </w:lvl>
    <w:lvl w:ilvl="3" w:tentative="0">
      <w:start w:val="1"/>
      <w:numFmt w:val="lowerRoman"/>
      <w:lvlText w:val="(%4)"/>
      <w:lvlJc w:val="left"/>
      <w:pPr>
        <w:ind w:left="2098" w:hanging="567"/>
      </w:pPr>
      <w:rPr>
        <w:rFonts w:hint="default" w:ascii="Times New Roman" w:hAnsi="Times New Roman" w:eastAsia="宋体" w:cs="Times New Roman"/>
        <w:spacing w:val="-2"/>
        <w:w w:val="100"/>
        <w:sz w:val="24"/>
        <w:szCs w:val="24"/>
      </w:rPr>
    </w:lvl>
    <w:lvl w:ilvl="4" w:tentative="0">
      <w:start w:val="1"/>
      <w:numFmt w:val="bullet"/>
      <w:lvlText w:val="•"/>
      <w:lvlJc w:val="left"/>
      <w:pPr>
        <w:ind w:left="3209" w:hanging="567"/>
      </w:pPr>
      <w:rPr>
        <w:rFonts w:hint="default"/>
      </w:rPr>
    </w:lvl>
    <w:lvl w:ilvl="5" w:tentative="0">
      <w:start w:val="1"/>
      <w:numFmt w:val="bullet"/>
      <w:lvlText w:val="•"/>
      <w:lvlJc w:val="left"/>
      <w:pPr>
        <w:ind w:left="4319" w:hanging="567"/>
      </w:pPr>
      <w:rPr>
        <w:rFonts w:hint="default"/>
      </w:rPr>
    </w:lvl>
    <w:lvl w:ilvl="6" w:tentative="0">
      <w:start w:val="1"/>
      <w:numFmt w:val="bullet"/>
      <w:lvlText w:val="•"/>
      <w:lvlJc w:val="left"/>
      <w:pPr>
        <w:ind w:left="5428" w:hanging="567"/>
      </w:pPr>
      <w:rPr>
        <w:rFonts w:hint="default"/>
      </w:rPr>
    </w:lvl>
    <w:lvl w:ilvl="7" w:tentative="0">
      <w:start w:val="1"/>
      <w:numFmt w:val="bullet"/>
      <w:lvlText w:val="•"/>
      <w:lvlJc w:val="left"/>
      <w:pPr>
        <w:ind w:left="6538" w:hanging="567"/>
      </w:pPr>
      <w:rPr>
        <w:rFonts w:hint="default"/>
      </w:rPr>
    </w:lvl>
    <w:lvl w:ilvl="8" w:tentative="0">
      <w:start w:val="1"/>
      <w:numFmt w:val="bullet"/>
      <w:lvlText w:val="•"/>
      <w:lvlJc w:val="left"/>
      <w:pPr>
        <w:ind w:left="7648" w:hanging="567"/>
      </w:pPr>
      <w:rPr>
        <w:rFonts w:hint="default"/>
      </w:rPr>
    </w:lvl>
  </w:abstractNum>
  <w:abstractNum w:abstractNumId="89">
    <w:nsid w:val="2E5825D0"/>
    <w:multiLevelType w:val="multilevel"/>
    <w:tmpl w:val="2E5825D0"/>
    <w:lvl w:ilvl="0" w:tentative="0">
      <w:start w:val="4"/>
      <w:numFmt w:val="decimal"/>
      <w:lvlText w:val="%1"/>
      <w:lvlJc w:val="left"/>
      <w:pPr>
        <w:tabs>
          <w:tab w:val="left" w:pos="0"/>
        </w:tabs>
        <w:ind w:left="681" w:hanging="568"/>
      </w:pPr>
      <w:rPr>
        <w:rFonts w:hint="default" w:cs="Times New Roman"/>
      </w:rPr>
    </w:lvl>
    <w:lvl w:ilvl="1" w:tentative="0">
      <w:start w:val="1"/>
      <w:numFmt w:val="decimal"/>
      <w:lvlText w:val="%1.%2."/>
      <w:lvlJc w:val="left"/>
      <w:pPr>
        <w:tabs>
          <w:tab w:val="left" w:pos="0"/>
        </w:tabs>
        <w:ind w:left="681" w:hanging="568"/>
      </w:pPr>
      <w:rPr>
        <w:rFonts w:hint="default" w:ascii="Times New Roman" w:hAnsi="Times New Roman" w:eastAsia="宋体" w:cs="Times New Roman"/>
        <w:b/>
        <w:bCs/>
        <w:spacing w:val="-1"/>
        <w:w w:val="100"/>
        <w:sz w:val="21"/>
        <w:szCs w:val="21"/>
      </w:rPr>
    </w:lvl>
    <w:lvl w:ilvl="2" w:tentative="0">
      <w:start w:val="1"/>
      <w:numFmt w:val="bullet"/>
      <w:lvlText w:val="-"/>
      <w:lvlJc w:val="left"/>
      <w:pPr>
        <w:tabs>
          <w:tab w:val="left" w:pos="0"/>
        </w:tabs>
        <w:ind w:left="1248" w:hanging="567"/>
      </w:pPr>
      <w:rPr>
        <w:rFonts w:hint="default" w:ascii="Times New Roman" w:hAnsi="Times New Roman" w:eastAsia="宋体"/>
        <w:spacing w:val="-2"/>
        <w:w w:val="100"/>
        <w:sz w:val="24"/>
      </w:rPr>
    </w:lvl>
    <w:lvl w:ilvl="3" w:tentative="0">
      <w:start w:val="1"/>
      <w:numFmt w:val="bullet"/>
      <w:lvlText w:val="•"/>
      <w:lvlJc w:val="left"/>
      <w:pPr>
        <w:tabs>
          <w:tab w:val="left" w:pos="0"/>
        </w:tabs>
        <w:ind w:left="3157" w:hanging="567"/>
      </w:pPr>
      <w:rPr>
        <w:rFonts w:hint="default"/>
      </w:rPr>
    </w:lvl>
    <w:lvl w:ilvl="4" w:tentative="0">
      <w:start w:val="1"/>
      <w:numFmt w:val="bullet"/>
      <w:lvlText w:val="•"/>
      <w:lvlJc w:val="left"/>
      <w:pPr>
        <w:tabs>
          <w:tab w:val="left" w:pos="0"/>
        </w:tabs>
        <w:ind w:left="4115" w:hanging="567"/>
      </w:pPr>
      <w:rPr>
        <w:rFonts w:hint="default"/>
      </w:rPr>
    </w:lvl>
    <w:lvl w:ilvl="5" w:tentative="0">
      <w:start w:val="1"/>
      <w:numFmt w:val="bullet"/>
      <w:lvlText w:val="•"/>
      <w:lvlJc w:val="left"/>
      <w:pPr>
        <w:tabs>
          <w:tab w:val="left" w:pos="0"/>
        </w:tabs>
        <w:ind w:left="5074" w:hanging="567"/>
      </w:pPr>
      <w:rPr>
        <w:rFonts w:hint="default"/>
      </w:rPr>
    </w:lvl>
    <w:lvl w:ilvl="6" w:tentative="0">
      <w:start w:val="1"/>
      <w:numFmt w:val="bullet"/>
      <w:lvlText w:val="•"/>
      <w:lvlJc w:val="left"/>
      <w:pPr>
        <w:tabs>
          <w:tab w:val="left" w:pos="0"/>
        </w:tabs>
        <w:ind w:left="6033" w:hanging="567"/>
      </w:pPr>
      <w:rPr>
        <w:rFonts w:hint="default"/>
      </w:rPr>
    </w:lvl>
    <w:lvl w:ilvl="7" w:tentative="0">
      <w:start w:val="1"/>
      <w:numFmt w:val="bullet"/>
      <w:lvlText w:val="•"/>
      <w:lvlJc w:val="left"/>
      <w:pPr>
        <w:tabs>
          <w:tab w:val="left" w:pos="0"/>
        </w:tabs>
        <w:ind w:left="6991" w:hanging="567"/>
      </w:pPr>
      <w:rPr>
        <w:rFonts w:hint="default"/>
      </w:rPr>
    </w:lvl>
    <w:lvl w:ilvl="8" w:tentative="0">
      <w:start w:val="1"/>
      <w:numFmt w:val="bullet"/>
      <w:lvlText w:val="•"/>
      <w:lvlJc w:val="left"/>
      <w:pPr>
        <w:tabs>
          <w:tab w:val="left" w:pos="0"/>
        </w:tabs>
        <w:ind w:left="7950" w:hanging="567"/>
      </w:pPr>
      <w:rPr>
        <w:rFonts w:hint="default"/>
      </w:rPr>
    </w:lvl>
  </w:abstractNum>
  <w:abstractNum w:abstractNumId="90">
    <w:nsid w:val="2E594188"/>
    <w:multiLevelType w:val="multilevel"/>
    <w:tmpl w:val="2E594188"/>
    <w:lvl w:ilvl="0" w:tentative="0">
      <w:start w:val="3"/>
      <w:numFmt w:val="lowerLetter"/>
      <w:lvlText w:val="(%1)"/>
      <w:lvlJc w:val="left"/>
      <w:pPr>
        <w:ind w:left="681" w:hanging="568"/>
      </w:pPr>
      <w:rPr>
        <w:rFonts w:hint="default" w:ascii="Times New Roman" w:hAnsi="Times New Roman" w:eastAsia="Times New Roman" w:cs="Times New Roman"/>
        <w:spacing w:val="-2"/>
        <w:w w:val="100"/>
        <w:sz w:val="21"/>
        <w:szCs w:val="21"/>
      </w:rPr>
    </w:lvl>
    <w:lvl w:ilvl="1" w:tentative="0">
      <w:start w:val="2"/>
      <w:numFmt w:val="lowerLetter"/>
      <w:lvlText w:val="(%2)"/>
      <w:lvlJc w:val="left"/>
      <w:pPr>
        <w:ind w:left="1248" w:hanging="567"/>
      </w:pPr>
      <w:rPr>
        <w:rFonts w:hint="default" w:ascii="Times New Roman" w:hAnsi="Times New Roman" w:eastAsia="Times New Roman" w:cs="Times New Roman"/>
        <w:spacing w:val="-4"/>
        <w:w w:val="100"/>
        <w:sz w:val="24"/>
        <w:szCs w:val="24"/>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91">
    <w:nsid w:val="2ED25E47"/>
    <w:multiLevelType w:val="multilevel"/>
    <w:tmpl w:val="2ED25E47"/>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92">
    <w:nsid w:val="2F3674DA"/>
    <w:multiLevelType w:val="multilevel"/>
    <w:tmpl w:val="2F3674DA"/>
    <w:lvl w:ilvl="0" w:tentative="0">
      <w:start w:val="1"/>
      <w:numFmt w:val="bullet"/>
      <w:lvlText w:val="-"/>
      <w:lvlJc w:val="left"/>
      <w:pPr>
        <w:ind w:left="1248" w:hanging="567"/>
      </w:pPr>
      <w:rPr>
        <w:rFonts w:hint="default" w:ascii="Times New Roman" w:hAnsi="Times New Roman" w:eastAsia="Times New Roman"/>
        <w:spacing w:val="-2"/>
        <w:w w:val="10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93">
    <w:nsid w:val="2F981DDB"/>
    <w:multiLevelType w:val="multilevel"/>
    <w:tmpl w:val="2F981DDB"/>
    <w:lvl w:ilvl="0" w:tentative="0">
      <w:start w:val="1"/>
      <w:numFmt w:val="bullet"/>
      <w:lvlText w:val="-"/>
      <w:lvlJc w:val="left"/>
      <w:pPr>
        <w:ind w:left="1248" w:hanging="567"/>
      </w:pPr>
      <w:rPr>
        <w:rFonts w:hint="default" w:ascii="Times New Roman" w:hAnsi="Times New Roman" w:eastAsia="Times New Roman"/>
        <w:spacing w:val="-2"/>
        <w:w w:val="10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94">
    <w:nsid w:val="2FE35ACA"/>
    <w:multiLevelType w:val="multilevel"/>
    <w:tmpl w:val="2FE35ACA"/>
    <w:lvl w:ilvl="0" w:tentative="0">
      <w:start w:val="1"/>
      <w:numFmt w:val="decimal"/>
      <w:lvlText w:val="%1."/>
      <w:lvlJc w:val="left"/>
      <w:pPr>
        <w:ind w:left="964" w:hanging="851"/>
      </w:pPr>
      <w:rPr>
        <w:rFonts w:hint="default" w:ascii="Times New Roman" w:hAnsi="Times New Roman" w:eastAsia="宋体" w:cs="Times New Roman"/>
        <w:b/>
        <w:bCs/>
        <w:spacing w:val="-1"/>
        <w:w w:val="100"/>
        <w:sz w:val="24"/>
        <w:szCs w:val="24"/>
      </w:rPr>
    </w:lvl>
    <w:lvl w:ilvl="1" w:tentative="0">
      <w:start w:val="2"/>
      <w:numFmt w:val="decimal"/>
      <w:lvlText w:val="%1.%2."/>
      <w:lvlJc w:val="left"/>
      <w:pPr>
        <w:ind w:left="964" w:hanging="851"/>
      </w:pPr>
      <w:rPr>
        <w:rFonts w:hint="default" w:ascii="Times New Roman" w:hAnsi="Times New Roman" w:eastAsia="宋体" w:cs="Times New Roman"/>
        <w:b/>
        <w:bCs/>
        <w:spacing w:val="-2"/>
        <w:w w:val="100"/>
        <w:sz w:val="21"/>
        <w:szCs w:val="21"/>
      </w:rPr>
    </w:lvl>
    <w:lvl w:ilvl="2" w:tentative="0">
      <w:start w:val="5"/>
      <w:numFmt w:val="decimal"/>
      <w:lvlText w:val="%1.%2.%3."/>
      <w:lvlJc w:val="left"/>
      <w:pPr>
        <w:ind w:left="964" w:hanging="851"/>
      </w:pPr>
      <w:rPr>
        <w:rFonts w:hint="default" w:ascii="Times New Roman" w:hAnsi="Times New Roman" w:eastAsia="宋体" w:cs="Times New Roman"/>
        <w:spacing w:val="-2"/>
        <w:w w:val="100"/>
        <w:sz w:val="21"/>
        <w:szCs w:val="21"/>
      </w:rPr>
    </w:lvl>
    <w:lvl w:ilvl="3" w:tentative="0">
      <w:start w:val="1"/>
      <w:numFmt w:val="lowerLetter"/>
      <w:lvlText w:val="(%4)"/>
      <w:lvlJc w:val="left"/>
      <w:pPr>
        <w:ind w:left="1532" w:hanging="568"/>
      </w:pPr>
      <w:rPr>
        <w:rFonts w:hint="default" w:ascii="Times New Roman" w:hAnsi="Times New Roman" w:eastAsia="宋体" w:cs="Times New Roman"/>
        <w:spacing w:val="-4"/>
        <w:w w:val="100"/>
        <w:sz w:val="24"/>
        <w:szCs w:val="24"/>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95">
    <w:nsid w:val="2FF50810"/>
    <w:multiLevelType w:val="multilevel"/>
    <w:tmpl w:val="2FF50810"/>
    <w:lvl w:ilvl="0" w:tentative="0">
      <w:start w:val="1"/>
      <w:numFmt w:val="lowerLetter"/>
      <w:lvlText w:val="(%1)"/>
      <w:lvlJc w:val="left"/>
      <w:pPr>
        <w:ind w:left="1248" w:hanging="567"/>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96">
    <w:nsid w:val="31B34E13"/>
    <w:multiLevelType w:val="multilevel"/>
    <w:tmpl w:val="31B34E13"/>
    <w:lvl w:ilvl="0" w:tentative="0">
      <w:start w:val="4"/>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Times New Roman" w:cs="Times New Roman"/>
        <w:b/>
        <w:bCs/>
        <w:spacing w:val="-1"/>
        <w:w w:val="100"/>
        <w:sz w:val="24"/>
        <w:szCs w:val="24"/>
      </w:rPr>
    </w:lvl>
    <w:lvl w:ilvl="2" w:tentative="0">
      <w:start w:val="1"/>
      <w:numFmt w:val="bullet"/>
      <w:lvlText w:val="-"/>
      <w:lvlJc w:val="left"/>
      <w:pPr>
        <w:ind w:left="1248" w:hanging="567"/>
      </w:pPr>
      <w:rPr>
        <w:rFonts w:hint="default" w:ascii="Times New Roman" w:hAnsi="Times New Roman" w:eastAsia="Times New Roman"/>
        <w:spacing w:val="-2"/>
        <w:w w:val="100"/>
        <w:sz w:val="24"/>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97">
    <w:nsid w:val="340B3E67"/>
    <w:multiLevelType w:val="multilevel"/>
    <w:tmpl w:val="340B3E67"/>
    <w:lvl w:ilvl="0" w:tentative="0">
      <w:start w:val="1"/>
      <w:numFmt w:val="bullet"/>
      <w:lvlText w:val="-"/>
      <w:lvlJc w:val="left"/>
      <w:pPr>
        <w:ind w:left="1248" w:hanging="567"/>
      </w:pPr>
      <w:rPr>
        <w:rFonts w:hint="default" w:ascii="Times New Roman" w:hAnsi="Times New Roman" w:eastAsia="Times New Roman"/>
        <w:w w:val="11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98">
    <w:nsid w:val="347C3FCC"/>
    <w:multiLevelType w:val="multilevel"/>
    <w:tmpl w:val="347C3FCC"/>
    <w:lvl w:ilvl="0" w:tentative="0">
      <w:start w:val="7"/>
      <w:numFmt w:val="decimal"/>
      <w:lvlText w:val="%1."/>
      <w:lvlJc w:val="left"/>
      <w:pPr>
        <w:ind w:left="681" w:hanging="568"/>
      </w:pPr>
      <w:rPr>
        <w:rFonts w:hint="default" w:ascii="Times New Roman" w:hAnsi="Times New Roman" w:eastAsia="Times New Roman" w:cs="Times New Roman"/>
        <w:b/>
        <w:bCs/>
        <w:spacing w:val="-2"/>
        <w:w w:val="100"/>
        <w:sz w:val="24"/>
        <w:szCs w:val="24"/>
      </w:rPr>
    </w:lvl>
    <w:lvl w:ilvl="1" w:tentative="0">
      <w:start w:val="1"/>
      <w:numFmt w:val="decimal"/>
      <w:lvlText w:val="%1.%2."/>
      <w:lvlJc w:val="left"/>
      <w:pPr>
        <w:ind w:left="681" w:hanging="568"/>
      </w:pPr>
      <w:rPr>
        <w:rFonts w:hint="default" w:ascii="Times New Roman" w:hAnsi="Times New Roman" w:eastAsia="Times New Roman" w:cs="Times New Roman"/>
        <w:spacing w:val="-2"/>
        <w:w w:val="100"/>
        <w:sz w:val="24"/>
        <w:szCs w:val="24"/>
      </w:rPr>
    </w:lvl>
    <w:lvl w:ilvl="2" w:tentative="0">
      <w:start w:val="1"/>
      <w:numFmt w:val="lowerLetter"/>
      <w:lvlText w:val="(%3)"/>
      <w:lvlJc w:val="left"/>
      <w:pPr>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2318" w:hanging="567"/>
      </w:pPr>
      <w:rPr>
        <w:rFonts w:hint="default"/>
      </w:rPr>
    </w:lvl>
    <w:lvl w:ilvl="4" w:tentative="0">
      <w:start w:val="1"/>
      <w:numFmt w:val="bullet"/>
      <w:lvlText w:val="•"/>
      <w:lvlJc w:val="left"/>
      <w:pPr>
        <w:ind w:left="3396" w:hanging="567"/>
      </w:pPr>
      <w:rPr>
        <w:rFonts w:hint="default"/>
      </w:rPr>
    </w:lvl>
    <w:lvl w:ilvl="5" w:tentative="0">
      <w:start w:val="1"/>
      <w:numFmt w:val="bullet"/>
      <w:lvlText w:val="•"/>
      <w:lvlJc w:val="left"/>
      <w:pPr>
        <w:ind w:left="4475" w:hanging="567"/>
      </w:pPr>
      <w:rPr>
        <w:rFonts w:hint="default"/>
      </w:rPr>
    </w:lvl>
    <w:lvl w:ilvl="6" w:tentative="0">
      <w:start w:val="1"/>
      <w:numFmt w:val="bullet"/>
      <w:lvlText w:val="•"/>
      <w:lvlJc w:val="left"/>
      <w:pPr>
        <w:ind w:left="5553" w:hanging="567"/>
      </w:pPr>
      <w:rPr>
        <w:rFonts w:hint="default"/>
      </w:rPr>
    </w:lvl>
    <w:lvl w:ilvl="7" w:tentative="0">
      <w:start w:val="1"/>
      <w:numFmt w:val="bullet"/>
      <w:lvlText w:val="•"/>
      <w:lvlJc w:val="left"/>
      <w:pPr>
        <w:ind w:left="6632" w:hanging="567"/>
      </w:pPr>
      <w:rPr>
        <w:rFonts w:hint="default"/>
      </w:rPr>
    </w:lvl>
    <w:lvl w:ilvl="8" w:tentative="0">
      <w:start w:val="1"/>
      <w:numFmt w:val="bullet"/>
      <w:lvlText w:val="•"/>
      <w:lvlJc w:val="left"/>
      <w:pPr>
        <w:ind w:left="7710" w:hanging="567"/>
      </w:pPr>
      <w:rPr>
        <w:rFonts w:hint="default"/>
      </w:rPr>
    </w:lvl>
  </w:abstractNum>
  <w:abstractNum w:abstractNumId="99">
    <w:nsid w:val="35CA3D86"/>
    <w:multiLevelType w:val="multilevel"/>
    <w:tmpl w:val="35CA3D86"/>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00">
    <w:nsid w:val="362C018C"/>
    <w:multiLevelType w:val="multilevel"/>
    <w:tmpl w:val="362C018C"/>
    <w:lvl w:ilvl="0" w:tentative="0">
      <w:start w:val="1"/>
      <w:numFmt w:val="decimal"/>
      <w:lvlText w:val="%1."/>
      <w:lvlJc w:val="left"/>
      <w:pPr>
        <w:ind w:left="681" w:hanging="567"/>
      </w:pPr>
      <w:rPr>
        <w:rFonts w:hint="default" w:ascii="Times New Roman" w:hAnsi="Times New Roman" w:eastAsia="Times New Roman" w:cs="Times New Roman"/>
        <w:spacing w:val="-3"/>
        <w:w w:val="100"/>
        <w:sz w:val="21"/>
        <w:szCs w:val="21"/>
      </w:rPr>
    </w:lvl>
    <w:lvl w:ilvl="1" w:tentative="0">
      <w:start w:val="1"/>
      <w:numFmt w:val="bullet"/>
      <w:lvlText w:val="•"/>
      <w:lvlJc w:val="left"/>
      <w:pPr>
        <w:ind w:left="1598" w:hanging="567"/>
      </w:pPr>
      <w:rPr>
        <w:rFonts w:hint="default"/>
      </w:rPr>
    </w:lvl>
    <w:lvl w:ilvl="2" w:tentative="0">
      <w:start w:val="1"/>
      <w:numFmt w:val="bullet"/>
      <w:lvlText w:val="•"/>
      <w:lvlJc w:val="left"/>
      <w:pPr>
        <w:ind w:left="2517" w:hanging="567"/>
      </w:pPr>
      <w:rPr>
        <w:rFonts w:hint="default"/>
      </w:rPr>
    </w:lvl>
    <w:lvl w:ilvl="3" w:tentative="0">
      <w:start w:val="1"/>
      <w:numFmt w:val="bullet"/>
      <w:lvlText w:val="•"/>
      <w:lvlJc w:val="left"/>
      <w:pPr>
        <w:ind w:left="3436" w:hanging="567"/>
      </w:pPr>
      <w:rPr>
        <w:rFonts w:hint="default"/>
      </w:rPr>
    </w:lvl>
    <w:lvl w:ilvl="4" w:tentative="0">
      <w:start w:val="1"/>
      <w:numFmt w:val="bullet"/>
      <w:lvlText w:val="•"/>
      <w:lvlJc w:val="left"/>
      <w:pPr>
        <w:ind w:left="4355" w:hanging="567"/>
      </w:pPr>
      <w:rPr>
        <w:rFonts w:hint="default"/>
      </w:rPr>
    </w:lvl>
    <w:lvl w:ilvl="5" w:tentative="0">
      <w:start w:val="1"/>
      <w:numFmt w:val="bullet"/>
      <w:lvlText w:val="•"/>
      <w:lvlJc w:val="left"/>
      <w:pPr>
        <w:ind w:left="5273" w:hanging="567"/>
      </w:pPr>
      <w:rPr>
        <w:rFonts w:hint="default"/>
      </w:rPr>
    </w:lvl>
    <w:lvl w:ilvl="6" w:tentative="0">
      <w:start w:val="1"/>
      <w:numFmt w:val="bullet"/>
      <w:lvlText w:val="•"/>
      <w:lvlJc w:val="left"/>
      <w:pPr>
        <w:ind w:left="6192" w:hanging="567"/>
      </w:pPr>
      <w:rPr>
        <w:rFonts w:hint="default"/>
      </w:rPr>
    </w:lvl>
    <w:lvl w:ilvl="7" w:tentative="0">
      <w:start w:val="1"/>
      <w:numFmt w:val="bullet"/>
      <w:lvlText w:val="•"/>
      <w:lvlJc w:val="left"/>
      <w:pPr>
        <w:ind w:left="7111" w:hanging="567"/>
      </w:pPr>
      <w:rPr>
        <w:rFonts w:hint="default"/>
      </w:rPr>
    </w:lvl>
    <w:lvl w:ilvl="8" w:tentative="0">
      <w:start w:val="1"/>
      <w:numFmt w:val="bullet"/>
      <w:lvlText w:val="•"/>
      <w:lvlJc w:val="left"/>
      <w:pPr>
        <w:ind w:left="8030" w:hanging="567"/>
      </w:pPr>
      <w:rPr>
        <w:rFonts w:hint="default"/>
      </w:rPr>
    </w:lvl>
  </w:abstractNum>
  <w:abstractNum w:abstractNumId="101">
    <w:nsid w:val="3665784F"/>
    <w:multiLevelType w:val="multilevel"/>
    <w:tmpl w:val="3665784F"/>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248" w:hanging="567"/>
      </w:pPr>
      <w:rPr>
        <w:rFonts w:hint="default" w:ascii="Times New Roman" w:hAnsi="Times New Roman" w:eastAsia="Times New Roman"/>
        <w:spacing w:val="-2"/>
        <w:w w:val="100"/>
        <w:sz w:val="24"/>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02">
    <w:nsid w:val="36BD1C5C"/>
    <w:multiLevelType w:val="multilevel"/>
    <w:tmpl w:val="36BD1C5C"/>
    <w:lvl w:ilvl="0" w:tentative="0">
      <w:start w:val="1"/>
      <w:numFmt w:val="lowerLetter"/>
      <w:lvlText w:val="(%1)"/>
      <w:lvlJc w:val="left"/>
      <w:pPr>
        <w:ind w:left="1248" w:hanging="567"/>
      </w:pPr>
      <w:rPr>
        <w:rFonts w:ascii="Times New Roman" w:hAnsi="Times New Roman" w:eastAsia="Times New Roman" w:cs="Times New Roman"/>
        <w:spacing w:val="-2"/>
        <w:w w:val="100"/>
        <w:sz w:val="21"/>
        <w:szCs w:val="21"/>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103">
    <w:nsid w:val="375F78E1"/>
    <w:multiLevelType w:val="multilevel"/>
    <w:tmpl w:val="375F78E1"/>
    <w:lvl w:ilvl="0" w:tentative="0">
      <w:start w:val="1"/>
      <w:numFmt w:val="lowerLetter"/>
      <w:lvlText w:val="(%1)"/>
      <w:lvlJc w:val="left"/>
      <w:pPr>
        <w:ind w:left="533" w:hanging="420"/>
      </w:pPr>
      <w:rPr>
        <w:rFonts w:hint="default" w:ascii="Times New Roman" w:hAnsi="Times New Roman" w:eastAsia="宋体" w:cs="Times New Roman"/>
        <w:spacing w:val="-2"/>
        <w:w w:val="100"/>
        <w:sz w:val="24"/>
        <w:szCs w:val="24"/>
        <w:lang w:val="en-US"/>
      </w:rPr>
    </w:lvl>
    <w:lvl w:ilvl="1" w:tentative="0">
      <w:start w:val="1"/>
      <w:numFmt w:val="lowerLetter"/>
      <w:lvlText w:val="(%2)"/>
      <w:lvlJc w:val="left"/>
      <w:pPr>
        <w:ind w:left="840" w:hanging="420"/>
      </w:pPr>
      <w:rPr>
        <w:rFonts w:hint="default" w:ascii="Times New Roman" w:hAnsi="Times New Roman" w:eastAsia="宋体" w:cs="Times New Roman"/>
        <w:spacing w:val="-2"/>
        <w:w w:val="100"/>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37D40EF7"/>
    <w:multiLevelType w:val="multilevel"/>
    <w:tmpl w:val="37D40EF7"/>
    <w:lvl w:ilvl="0" w:tentative="0">
      <w:start w:val="1"/>
      <w:numFmt w:val="decimal"/>
      <w:lvlText w:val="%1."/>
      <w:lvlJc w:val="left"/>
      <w:pPr>
        <w:ind w:left="681" w:hanging="568"/>
      </w:pPr>
      <w:rPr>
        <w:rFonts w:hint="default" w:ascii="Times New Roman" w:hAnsi="Times New Roman" w:eastAsia="Times New Roman" w:cs="Times New Roman"/>
        <w:b/>
        <w:bCs/>
        <w:spacing w:val="-2"/>
        <w:w w:val="100"/>
        <w:sz w:val="21"/>
        <w:szCs w:val="21"/>
      </w:rPr>
    </w:lvl>
    <w:lvl w:ilvl="1" w:tentative="0">
      <w:start w:val="1"/>
      <w:numFmt w:val="decimal"/>
      <w:lvlText w:val="%1.%2."/>
      <w:lvlJc w:val="left"/>
      <w:pPr>
        <w:ind w:left="681" w:hanging="568"/>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05">
    <w:nsid w:val="38A67BEB"/>
    <w:multiLevelType w:val="multilevel"/>
    <w:tmpl w:val="38A67BEB"/>
    <w:lvl w:ilvl="0" w:tentative="0">
      <w:start w:val="1"/>
      <w:numFmt w:val="lowerLetter"/>
      <w:lvlText w:val="(%1)"/>
      <w:lvlJc w:val="left"/>
      <w:pPr>
        <w:ind w:left="840" w:hanging="420"/>
      </w:pPr>
      <w:rPr>
        <w:rFonts w:hint="default" w:ascii="Times New Roman" w:hAnsi="Times New Roman" w:eastAsia="宋体" w:cs="Times New Roman"/>
        <w:spacing w:val="-2"/>
        <w:w w:val="100"/>
        <w:sz w:val="21"/>
        <w:szCs w:val="21"/>
      </w:rPr>
    </w:lvl>
    <w:lvl w:ilvl="1" w:tentative="0">
      <w:start w:val="1"/>
      <w:numFmt w:val="bullet"/>
      <w:lvlText w:val="-"/>
      <w:lvlJc w:val="left"/>
      <w:pPr>
        <w:tabs>
          <w:tab w:val="left" w:pos="1200"/>
        </w:tabs>
        <w:ind w:left="1200" w:hanging="360"/>
      </w:pPr>
      <w:rPr>
        <w:rFonts w:hint="default" w:ascii="Arial" w:hAnsi="Arial" w:eastAsia="宋体" w:cs="Arial"/>
        <w:spacing w:val="-2"/>
        <w:w w:val="100"/>
        <w:sz w:val="21"/>
        <w:szCs w:val="21"/>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6">
    <w:nsid w:val="38C92D5A"/>
    <w:multiLevelType w:val="multilevel"/>
    <w:tmpl w:val="38C92D5A"/>
    <w:lvl w:ilvl="0" w:tentative="0">
      <w:start w:val="1"/>
      <w:numFmt w:val="decimal"/>
      <w:lvlText w:val="%1."/>
      <w:lvlJc w:val="left"/>
      <w:pPr>
        <w:ind w:left="681" w:hanging="568"/>
      </w:pPr>
      <w:rPr>
        <w:rFonts w:hint="default" w:ascii="Times New Roman" w:hAnsi="Times New Roman" w:eastAsia="Times New Roman" w:cs="Times New Roman"/>
        <w:spacing w:val="-2"/>
        <w:w w:val="100"/>
        <w:sz w:val="24"/>
        <w:szCs w:val="24"/>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07">
    <w:nsid w:val="39B356BF"/>
    <w:multiLevelType w:val="multilevel"/>
    <w:tmpl w:val="39B356BF"/>
    <w:lvl w:ilvl="0" w:tentative="0">
      <w:start w:val="1"/>
      <w:numFmt w:val="lowerLetter"/>
      <w:lvlText w:val="(%1)"/>
      <w:lvlJc w:val="left"/>
      <w:pPr>
        <w:ind w:left="681" w:hanging="567"/>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7"/>
      </w:pPr>
      <w:rPr>
        <w:rFonts w:hint="default"/>
      </w:rPr>
    </w:lvl>
    <w:lvl w:ilvl="2" w:tentative="0">
      <w:start w:val="1"/>
      <w:numFmt w:val="bullet"/>
      <w:lvlText w:val="•"/>
      <w:lvlJc w:val="left"/>
      <w:pPr>
        <w:ind w:left="2517" w:hanging="567"/>
      </w:pPr>
      <w:rPr>
        <w:rFonts w:hint="default"/>
      </w:rPr>
    </w:lvl>
    <w:lvl w:ilvl="3" w:tentative="0">
      <w:start w:val="1"/>
      <w:numFmt w:val="bullet"/>
      <w:lvlText w:val="•"/>
      <w:lvlJc w:val="left"/>
      <w:pPr>
        <w:ind w:left="3436" w:hanging="567"/>
      </w:pPr>
      <w:rPr>
        <w:rFonts w:hint="default"/>
      </w:rPr>
    </w:lvl>
    <w:lvl w:ilvl="4" w:tentative="0">
      <w:start w:val="1"/>
      <w:numFmt w:val="bullet"/>
      <w:lvlText w:val="•"/>
      <w:lvlJc w:val="left"/>
      <w:pPr>
        <w:ind w:left="4355" w:hanging="567"/>
      </w:pPr>
      <w:rPr>
        <w:rFonts w:hint="default"/>
      </w:rPr>
    </w:lvl>
    <w:lvl w:ilvl="5" w:tentative="0">
      <w:start w:val="1"/>
      <w:numFmt w:val="bullet"/>
      <w:lvlText w:val="•"/>
      <w:lvlJc w:val="left"/>
      <w:pPr>
        <w:ind w:left="5273" w:hanging="567"/>
      </w:pPr>
      <w:rPr>
        <w:rFonts w:hint="default"/>
      </w:rPr>
    </w:lvl>
    <w:lvl w:ilvl="6" w:tentative="0">
      <w:start w:val="1"/>
      <w:numFmt w:val="bullet"/>
      <w:lvlText w:val="•"/>
      <w:lvlJc w:val="left"/>
      <w:pPr>
        <w:ind w:left="6192" w:hanging="567"/>
      </w:pPr>
      <w:rPr>
        <w:rFonts w:hint="default"/>
      </w:rPr>
    </w:lvl>
    <w:lvl w:ilvl="7" w:tentative="0">
      <w:start w:val="1"/>
      <w:numFmt w:val="bullet"/>
      <w:lvlText w:val="•"/>
      <w:lvlJc w:val="left"/>
      <w:pPr>
        <w:ind w:left="7111" w:hanging="567"/>
      </w:pPr>
      <w:rPr>
        <w:rFonts w:hint="default"/>
      </w:rPr>
    </w:lvl>
    <w:lvl w:ilvl="8" w:tentative="0">
      <w:start w:val="1"/>
      <w:numFmt w:val="bullet"/>
      <w:lvlText w:val="•"/>
      <w:lvlJc w:val="left"/>
      <w:pPr>
        <w:ind w:left="8030" w:hanging="567"/>
      </w:pPr>
      <w:rPr>
        <w:rFonts w:hint="default"/>
      </w:rPr>
    </w:lvl>
  </w:abstractNum>
  <w:abstractNum w:abstractNumId="108">
    <w:nsid w:val="39B4769F"/>
    <w:multiLevelType w:val="multilevel"/>
    <w:tmpl w:val="39B4769F"/>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09">
    <w:nsid w:val="3A3C5E98"/>
    <w:multiLevelType w:val="multilevel"/>
    <w:tmpl w:val="3A3C5E98"/>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10">
    <w:nsid w:val="3AE10CC8"/>
    <w:multiLevelType w:val="multilevel"/>
    <w:tmpl w:val="3AE10CC8"/>
    <w:lvl w:ilvl="0" w:tentative="0">
      <w:start w:val="2"/>
      <w:numFmt w:val="upperRoman"/>
      <w:lvlText w:val="%1."/>
      <w:lvlJc w:val="left"/>
      <w:pPr>
        <w:ind w:left="681" w:hanging="568"/>
      </w:pPr>
      <w:rPr>
        <w:rFonts w:hint="default" w:ascii="Times New Roman" w:hAnsi="Times New Roman" w:eastAsia="Times New Roman" w:cs="Times New Roman"/>
        <w:b/>
        <w:bCs/>
        <w:spacing w:val="-2"/>
        <w:w w:val="100"/>
        <w:sz w:val="24"/>
        <w:szCs w:val="24"/>
      </w:rPr>
    </w:lvl>
    <w:lvl w:ilvl="1" w:tentative="0">
      <w:start w:val="1"/>
      <w:numFmt w:val="decimal"/>
      <w:lvlText w:val="%2."/>
      <w:lvlJc w:val="left"/>
      <w:pPr>
        <w:ind w:left="681" w:hanging="568"/>
      </w:pPr>
      <w:rPr>
        <w:rFonts w:hint="default" w:ascii="Times New Roman" w:hAnsi="Times New Roman" w:eastAsia="Times New Roman" w:cs="Times New Roman"/>
        <w:b/>
        <w:bCs/>
        <w:spacing w:val="-2"/>
        <w:w w:val="100"/>
        <w:sz w:val="21"/>
        <w:szCs w:val="21"/>
      </w:rPr>
    </w:lvl>
    <w:lvl w:ilvl="2" w:tentative="0">
      <w:start w:val="1"/>
      <w:numFmt w:val="decimal"/>
      <w:lvlText w:val="%2.%3."/>
      <w:lvlJc w:val="left"/>
      <w:pPr>
        <w:ind w:left="681" w:hanging="568"/>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1248" w:hanging="567"/>
      </w:pPr>
      <w:rPr>
        <w:rFonts w:hint="default" w:ascii="Times New Roman" w:hAnsi="Times New Roman" w:eastAsia="Times New Roman"/>
        <w:spacing w:val="-2"/>
        <w:w w:val="100"/>
        <w:sz w:val="24"/>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11">
    <w:nsid w:val="3BCE03B7"/>
    <w:multiLevelType w:val="multilevel"/>
    <w:tmpl w:val="3BCE03B7"/>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lang w:val="en-US"/>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12">
    <w:nsid w:val="3C513222"/>
    <w:multiLevelType w:val="multilevel"/>
    <w:tmpl w:val="3C513222"/>
    <w:lvl w:ilvl="0" w:tentative="0">
      <w:start w:val="3"/>
      <w:numFmt w:val="lowerLetter"/>
      <w:lvlText w:val="(%1)"/>
      <w:lvlJc w:val="left"/>
      <w:pPr>
        <w:ind w:left="1248" w:hanging="567"/>
      </w:pPr>
      <w:rPr>
        <w:rFonts w:hint="default" w:ascii="Times New Roman" w:hAnsi="Times New Roman" w:eastAsia="宋体" w:cs="Times New Roman"/>
        <w:spacing w:val="-2"/>
        <w:w w:val="10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3C7E77F6"/>
    <w:multiLevelType w:val="multilevel"/>
    <w:tmpl w:val="3C7E77F6"/>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lowerRoman"/>
      <w:lvlText w:val="(%3)"/>
      <w:lvlJc w:val="left"/>
      <w:pPr>
        <w:ind w:left="1815" w:hanging="568"/>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2825" w:hanging="568"/>
      </w:pPr>
      <w:rPr>
        <w:rFonts w:hint="default"/>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14">
    <w:nsid w:val="3D40066B"/>
    <w:multiLevelType w:val="multilevel"/>
    <w:tmpl w:val="3D40066B"/>
    <w:lvl w:ilvl="0" w:tentative="0">
      <w:start w:val="15"/>
      <w:numFmt w:val="decimal"/>
      <w:lvlText w:val="%1."/>
      <w:lvlJc w:val="left"/>
      <w:pPr>
        <w:tabs>
          <w:tab w:val="left" w:pos="0"/>
        </w:tabs>
        <w:ind w:left="681" w:hanging="568"/>
      </w:pPr>
      <w:rPr>
        <w:rFonts w:hint="default" w:ascii="Times New Roman" w:hAnsi="Times New Roman" w:eastAsia="宋体" w:cs="Times New Roman"/>
        <w:b w:val="0"/>
        <w:bCs/>
        <w:spacing w:val="-2"/>
        <w:w w:val="100"/>
        <w:sz w:val="21"/>
        <w:szCs w:val="21"/>
      </w:rPr>
    </w:lvl>
    <w:lvl w:ilvl="1" w:tentative="0">
      <w:start w:val="1"/>
      <w:numFmt w:val="decimal"/>
      <w:lvlText w:val="%1.%2."/>
      <w:lvlJc w:val="left"/>
      <w:pPr>
        <w:tabs>
          <w:tab w:val="left" w:pos="0"/>
        </w:tabs>
        <w:ind w:left="681" w:hanging="568"/>
      </w:pPr>
      <w:rPr>
        <w:rFonts w:hint="default" w:ascii="Times New Roman" w:hAnsi="Times New Roman" w:eastAsia="宋体" w:cs="Times New Roman"/>
        <w:spacing w:val="-3"/>
        <w:w w:val="100"/>
        <w:sz w:val="21"/>
        <w:szCs w:val="21"/>
      </w:rPr>
    </w:lvl>
    <w:lvl w:ilvl="2" w:tentative="0">
      <w:start w:val="1"/>
      <w:numFmt w:val="bullet"/>
      <w:lvlText w:val="-"/>
      <w:lvlJc w:val="left"/>
      <w:pPr>
        <w:tabs>
          <w:tab w:val="left" w:pos="0"/>
        </w:tabs>
        <w:ind w:left="681" w:hanging="567"/>
      </w:pPr>
      <w:rPr>
        <w:rFonts w:hint="default" w:ascii="Times New Roman" w:hAnsi="Times New Roman" w:eastAsia="宋体"/>
        <w:spacing w:val="-2"/>
        <w:w w:val="100"/>
        <w:sz w:val="24"/>
      </w:rPr>
    </w:lvl>
    <w:lvl w:ilvl="3" w:tentative="0">
      <w:start w:val="1"/>
      <w:numFmt w:val="bullet"/>
      <w:lvlText w:val="•"/>
      <w:lvlJc w:val="left"/>
      <w:pPr>
        <w:tabs>
          <w:tab w:val="left" w:pos="0"/>
        </w:tabs>
        <w:ind w:left="3436" w:hanging="567"/>
      </w:pPr>
      <w:rPr>
        <w:rFonts w:hint="default"/>
      </w:rPr>
    </w:lvl>
    <w:lvl w:ilvl="4" w:tentative="0">
      <w:start w:val="1"/>
      <w:numFmt w:val="bullet"/>
      <w:lvlText w:val="•"/>
      <w:lvlJc w:val="left"/>
      <w:pPr>
        <w:tabs>
          <w:tab w:val="left" w:pos="0"/>
        </w:tabs>
        <w:ind w:left="4355" w:hanging="567"/>
      </w:pPr>
      <w:rPr>
        <w:rFonts w:hint="default"/>
      </w:rPr>
    </w:lvl>
    <w:lvl w:ilvl="5" w:tentative="0">
      <w:start w:val="1"/>
      <w:numFmt w:val="bullet"/>
      <w:lvlText w:val="•"/>
      <w:lvlJc w:val="left"/>
      <w:pPr>
        <w:tabs>
          <w:tab w:val="left" w:pos="0"/>
        </w:tabs>
        <w:ind w:left="5273" w:hanging="567"/>
      </w:pPr>
      <w:rPr>
        <w:rFonts w:hint="default"/>
      </w:rPr>
    </w:lvl>
    <w:lvl w:ilvl="6" w:tentative="0">
      <w:start w:val="1"/>
      <w:numFmt w:val="bullet"/>
      <w:lvlText w:val="•"/>
      <w:lvlJc w:val="left"/>
      <w:pPr>
        <w:tabs>
          <w:tab w:val="left" w:pos="0"/>
        </w:tabs>
        <w:ind w:left="6192" w:hanging="567"/>
      </w:pPr>
      <w:rPr>
        <w:rFonts w:hint="default"/>
      </w:rPr>
    </w:lvl>
    <w:lvl w:ilvl="7" w:tentative="0">
      <w:start w:val="1"/>
      <w:numFmt w:val="bullet"/>
      <w:lvlText w:val="•"/>
      <w:lvlJc w:val="left"/>
      <w:pPr>
        <w:tabs>
          <w:tab w:val="left" w:pos="0"/>
        </w:tabs>
        <w:ind w:left="7111" w:hanging="567"/>
      </w:pPr>
      <w:rPr>
        <w:rFonts w:hint="default"/>
      </w:rPr>
    </w:lvl>
    <w:lvl w:ilvl="8" w:tentative="0">
      <w:start w:val="1"/>
      <w:numFmt w:val="bullet"/>
      <w:lvlText w:val="•"/>
      <w:lvlJc w:val="left"/>
      <w:pPr>
        <w:tabs>
          <w:tab w:val="left" w:pos="0"/>
        </w:tabs>
        <w:ind w:left="8030" w:hanging="567"/>
      </w:pPr>
      <w:rPr>
        <w:rFonts w:hint="default"/>
      </w:rPr>
    </w:lvl>
  </w:abstractNum>
  <w:abstractNum w:abstractNumId="115">
    <w:nsid w:val="3D704359"/>
    <w:multiLevelType w:val="multilevel"/>
    <w:tmpl w:val="3D704359"/>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4"/>
        <w:szCs w:val="24"/>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16">
    <w:nsid w:val="3D9C516D"/>
    <w:multiLevelType w:val="multilevel"/>
    <w:tmpl w:val="3D9C516D"/>
    <w:lvl w:ilvl="0" w:tentative="0">
      <w:start w:val="2"/>
      <w:numFmt w:val="decimal"/>
      <w:lvlText w:val="%1"/>
      <w:lvlJc w:val="left"/>
      <w:pPr>
        <w:ind w:left="964" w:hanging="851"/>
      </w:pPr>
      <w:rPr>
        <w:rFonts w:hint="default" w:cs="Times New Roman"/>
      </w:rPr>
    </w:lvl>
    <w:lvl w:ilvl="1" w:tentative="0">
      <w:start w:val="1"/>
      <w:numFmt w:val="decimal"/>
      <w:lvlText w:val="%1.%2."/>
      <w:lvlJc w:val="left"/>
      <w:pPr>
        <w:ind w:left="964" w:hanging="851"/>
      </w:pPr>
      <w:rPr>
        <w:rFonts w:hint="default" w:ascii="Times New Roman" w:hAnsi="Times New Roman" w:eastAsia="Times New Roman" w:cs="Times New Roman"/>
        <w:spacing w:val="-3"/>
        <w:w w:val="100"/>
        <w:sz w:val="21"/>
        <w:szCs w:val="21"/>
      </w:rPr>
    </w:lvl>
    <w:lvl w:ilvl="2" w:tentative="0">
      <w:start w:val="1"/>
      <w:numFmt w:val="bullet"/>
      <w:lvlText w:val="-"/>
      <w:lvlJc w:val="left"/>
      <w:pPr>
        <w:ind w:left="1532" w:hanging="568"/>
      </w:pPr>
      <w:rPr>
        <w:rFonts w:hint="default" w:ascii="Times New Roman" w:hAnsi="Times New Roman" w:eastAsia="Times New Roman"/>
        <w:spacing w:val="-2"/>
        <w:w w:val="100"/>
        <w:sz w:val="24"/>
      </w:rPr>
    </w:lvl>
    <w:lvl w:ilvl="3" w:tentative="0">
      <w:start w:val="1"/>
      <w:numFmt w:val="bullet"/>
      <w:lvlText w:val="•"/>
      <w:lvlJc w:val="left"/>
      <w:pPr>
        <w:ind w:left="3390" w:hanging="568"/>
      </w:pPr>
      <w:rPr>
        <w:rFonts w:hint="default"/>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117">
    <w:nsid w:val="3DCE48F1"/>
    <w:multiLevelType w:val="multilevel"/>
    <w:tmpl w:val="3DCE48F1"/>
    <w:lvl w:ilvl="0" w:tentative="0">
      <w:start w:val="6"/>
      <w:numFmt w:val="decimal"/>
      <w:lvlText w:val="%1."/>
      <w:lvlJc w:val="left"/>
      <w:pPr>
        <w:ind w:left="681" w:hanging="568"/>
      </w:pPr>
      <w:rPr>
        <w:rFonts w:hint="default" w:ascii="Times New Roman" w:hAnsi="Times New Roman" w:eastAsia="宋体" w:cs="Times New Roman"/>
        <w:b/>
        <w:bCs/>
        <w:spacing w:val="-1"/>
        <w:w w:val="100"/>
        <w:sz w:val="24"/>
        <w:szCs w:val="24"/>
      </w:rPr>
    </w:lvl>
    <w:lvl w:ilvl="1" w:tentative="0">
      <w:start w:val="3"/>
      <w:numFmt w:val="decimal"/>
      <w:lvlText w:val="%1.%2."/>
      <w:lvlJc w:val="left"/>
      <w:pPr>
        <w:ind w:left="681" w:hanging="568"/>
      </w:pPr>
      <w:rPr>
        <w:rFonts w:hint="default" w:ascii="Times New Roman" w:hAnsi="Times New Roman" w:eastAsia="宋体" w:cs="Times New Roman"/>
        <w:b/>
        <w:bCs/>
        <w:spacing w:val="-2"/>
        <w:w w:val="100"/>
        <w:sz w:val="24"/>
        <w:szCs w:val="24"/>
      </w:rPr>
    </w:lvl>
    <w:lvl w:ilvl="2" w:tentative="0">
      <w:start w:val="5"/>
      <w:numFmt w:val="lowerLetter"/>
      <w:lvlText w:val="(%3)"/>
      <w:lvlJc w:val="left"/>
      <w:pPr>
        <w:ind w:left="1248" w:hanging="567"/>
      </w:pPr>
      <w:rPr>
        <w:rFonts w:hint="default" w:ascii="Times New Roman" w:hAnsi="Times New Roman" w:eastAsia="宋体" w:cs="Times New Roman"/>
        <w:spacing w:val="-2"/>
        <w:w w:val="100"/>
        <w:sz w:val="24"/>
        <w:szCs w:val="24"/>
      </w:rPr>
    </w:lvl>
    <w:lvl w:ilvl="3" w:tentative="0">
      <w:start w:val="1"/>
      <w:numFmt w:val="bullet"/>
      <w:lvlText w:val="-"/>
      <w:lvlJc w:val="left"/>
      <w:pPr>
        <w:ind w:left="1815" w:hanging="568"/>
      </w:pPr>
      <w:rPr>
        <w:rFonts w:hint="default" w:ascii="Times New Roman" w:hAnsi="Times New Roman" w:eastAsia="宋体"/>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18">
    <w:nsid w:val="3DD9612E"/>
    <w:multiLevelType w:val="multilevel"/>
    <w:tmpl w:val="3DD9612E"/>
    <w:lvl w:ilvl="0" w:tentative="0">
      <w:start w:val="10"/>
      <w:numFmt w:val="decimal"/>
      <w:lvlText w:val="%1"/>
      <w:lvlJc w:val="left"/>
      <w:pPr>
        <w:tabs>
          <w:tab w:val="left" w:pos="0"/>
        </w:tabs>
        <w:ind w:left="964" w:hanging="851"/>
      </w:pPr>
      <w:rPr>
        <w:rFonts w:hint="default" w:cs="Times New Roman"/>
      </w:rPr>
    </w:lvl>
    <w:lvl w:ilvl="1" w:tentative="0">
      <w:start w:val="1"/>
      <w:numFmt w:val="decimal"/>
      <w:lvlText w:val="%1.%2"/>
      <w:lvlJc w:val="left"/>
      <w:pPr>
        <w:tabs>
          <w:tab w:val="left" w:pos="0"/>
        </w:tabs>
        <w:ind w:left="964" w:hanging="851"/>
      </w:pPr>
      <w:rPr>
        <w:rFonts w:hint="default" w:cs="Times New Roman"/>
      </w:rPr>
    </w:lvl>
    <w:lvl w:ilvl="2" w:tentative="0">
      <w:start w:val="1"/>
      <w:numFmt w:val="bullet"/>
      <w:lvlText w:val="-"/>
      <w:lvlJc w:val="left"/>
      <w:pPr>
        <w:tabs>
          <w:tab w:val="left" w:pos="473"/>
        </w:tabs>
        <w:ind w:left="473" w:hanging="360"/>
      </w:pPr>
      <w:rPr>
        <w:rFonts w:hint="default" w:ascii="Arial" w:hAnsi="Arial" w:eastAsia="宋体" w:cs="Arial"/>
      </w:rPr>
    </w:lvl>
    <w:lvl w:ilvl="3" w:tentative="0">
      <w:start w:val="1"/>
      <w:numFmt w:val="lowerLetter"/>
      <w:lvlText w:val="(%4)"/>
      <w:lvlJc w:val="left"/>
      <w:pPr>
        <w:tabs>
          <w:tab w:val="left" w:pos="0"/>
        </w:tabs>
        <w:ind w:left="1532" w:hanging="568"/>
      </w:pPr>
      <w:rPr>
        <w:rFonts w:hint="default" w:ascii="Times New Roman" w:hAnsi="Times New Roman" w:eastAsia="宋体" w:cs="Times New Roman"/>
        <w:spacing w:val="-2"/>
        <w:w w:val="100"/>
        <w:sz w:val="21"/>
        <w:szCs w:val="21"/>
      </w:rPr>
    </w:lvl>
    <w:lvl w:ilvl="4" w:tentative="0">
      <w:start w:val="1"/>
      <w:numFmt w:val="bullet"/>
      <w:lvlText w:val="•"/>
      <w:lvlJc w:val="left"/>
      <w:pPr>
        <w:tabs>
          <w:tab w:val="left" w:pos="0"/>
        </w:tabs>
        <w:ind w:left="4315" w:hanging="568"/>
      </w:pPr>
      <w:rPr>
        <w:rFonts w:hint="default"/>
      </w:rPr>
    </w:lvl>
    <w:lvl w:ilvl="5" w:tentative="0">
      <w:start w:val="1"/>
      <w:numFmt w:val="bullet"/>
      <w:lvlText w:val="•"/>
      <w:lvlJc w:val="left"/>
      <w:pPr>
        <w:tabs>
          <w:tab w:val="left" w:pos="0"/>
        </w:tabs>
        <w:ind w:left="5241" w:hanging="568"/>
      </w:pPr>
      <w:rPr>
        <w:rFonts w:hint="default"/>
      </w:rPr>
    </w:lvl>
    <w:lvl w:ilvl="6" w:tentative="0">
      <w:start w:val="1"/>
      <w:numFmt w:val="bullet"/>
      <w:lvlText w:val="•"/>
      <w:lvlJc w:val="left"/>
      <w:pPr>
        <w:tabs>
          <w:tab w:val="left" w:pos="0"/>
        </w:tabs>
        <w:ind w:left="6166" w:hanging="568"/>
      </w:pPr>
      <w:rPr>
        <w:rFonts w:hint="default"/>
      </w:rPr>
    </w:lvl>
    <w:lvl w:ilvl="7" w:tentative="0">
      <w:start w:val="1"/>
      <w:numFmt w:val="bullet"/>
      <w:lvlText w:val="•"/>
      <w:lvlJc w:val="left"/>
      <w:pPr>
        <w:tabs>
          <w:tab w:val="left" w:pos="0"/>
        </w:tabs>
        <w:ind w:left="7091" w:hanging="568"/>
      </w:pPr>
      <w:rPr>
        <w:rFonts w:hint="default"/>
      </w:rPr>
    </w:lvl>
    <w:lvl w:ilvl="8" w:tentative="0">
      <w:start w:val="1"/>
      <w:numFmt w:val="bullet"/>
      <w:lvlText w:val="•"/>
      <w:lvlJc w:val="left"/>
      <w:pPr>
        <w:tabs>
          <w:tab w:val="left" w:pos="0"/>
        </w:tabs>
        <w:ind w:left="8017" w:hanging="568"/>
      </w:pPr>
      <w:rPr>
        <w:rFonts w:hint="default"/>
      </w:rPr>
    </w:lvl>
  </w:abstractNum>
  <w:abstractNum w:abstractNumId="119">
    <w:nsid w:val="3DE40B69"/>
    <w:multiLevelType w:val="multilevel"/>
    <w:tmpl w:val="3DE40B69"/>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5" w:hanging="564"/>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4"/>
      </w:pPr>
      <w:rPr>
        <w:rFonts w:hint="default"/>
      </w:rPr>
    </w:lvl>
    <w:lvl w:ilvl="3" w:tentative="0">
      <w:start w:val="1"/>
      <w:numFmt w:val="bullet"/>
      <w:lvlText w:val="•"/>
      <w:lvlJc w:val="left"/>
      <w:pPr>
        <w:ind w:left="3157" w:hanging="564"/>
      </w:pPr>
      <w:rPr>
        <w:rFonts w:hint="default"/>
      </w:rPr>
    </w:lvl>
    <w:lvl w:ilvl="4" w:tentative="0">
      <w:start w:val="1"/>
      <w:numFmt w:val="bullet"/>
      <w:lvlText w:val="•"/>
      <w:lvlJc w:val="left"/>
      <w:pPr>
        <w:ind w:left="4115" w:hanging="564"/>
      </w:pPr>
      <w:rPr>
        <w:rFonts w:hint="default"/>
      </w:rPr>
    </w:lvl>
    <w:lvl w:ilvl="5" w:tentative="0">
      <w:start w:val="1"/>
      <w:numFmt w:val="bullet"/>
      <w:lvlText w:val="•"/>
      <w:lvlJc w:val="left"/>
      <w:pPr>
        <w:ind w:left="5074" w:hanging="564"/>
      </w:pPr>
      <w:rPr>
        <w:rFonts w:hint="default"/>
      </w:rPr>
    </w:lvl>
    <w:lvl w:ilvl="6" w:tentative="0">
      <w:start w:val="1"/>
      <w:numFmt w:val="bullet"/>
      <w:lvlText w:val="•"/>
      <w:lvlJc w:val="left"/>
      <w:pPr>
        <w:ind w:left="6033" w:hanging="564"/>
      </w:pPr>
      <w:rPr>
        <w:rFonts w:hint="default"/>
      </w:rPr>
    </w:lvl>
    <w:lvl w:ilvl="7" w:tentative="0">
      <w:start w:val="1"/>
      <w:numFmt w:val="bullet"/>
      <w:lvlText w:val="•"/>
      <w:lvlJc w:val="left"/>
      <w:pPr>
        <w:ind w:left="6991" w:hanging="564"/>
      </w:pPr>
      <w:rPr>
        <w:rFonts w:hint="default"/>
      </w:rPr>
    </w:lvl>
    <w:lvl w:ilvl="8" w:tentative="0">
      <w:start w:val="1"/>
      <w:numFmt w:val="bullet"/>
      <w:lvlText w:val="•"/>
      <w:lvlJc w:val="left"/>
      <w:pPr>
        <w:ind w:left="7950" w:hanging="564"/>
      </w:pPr>
      <w:rPr>
        <w:rFonts w:hint="default"/>
      </w:rPr>
    </w:lvl>
  </w:abstractNum>
  <w:abstractNum w:abstractNumId="120">
    <w:nsid w:val="40B811B8"/>
    <w:multiLevelType w:val="multilevel"/>
    <w:tmpl w:val="40B811B8"/>
    <w:lvl w:ilvl="0" w:tentative="0">
      <w:start w:val="5"/>
      <w:numFmt w:val="decimal"/>
      <w:lvlText w:val="%1."/>
      <w:lvlJc w:val="left"/>
      <w:pPr>
        <w:ind w:left="681" w:hanging="568"/>
      </w:pPr>
      <w:rPr>
        <w:rFonts w:hint="default" w:ascii="Times New Roman" w:hAnsi="Times New Roman" w:eastAsia="Times New Roman" w:cs="Times New Roman"/>
        <w:b/>
        <w:bCs/>
        <w:spacing w:val="-2"/>
        <w:w w:val="100"/>
        <w:sz w:val="24"/>
        <w:szCs w:val="24"/>
      </w:rPr>
    </w:lvl>
    <w:lvl w:ilvl="1" w:tentative="0">
      <w:start w:val="1"/>
      <w:numFmt w:val="decimal"/>
      <w:lvlText w:val="%1.%2."/>
      <w:lvlJc w:val="left"/>
      <w:pPr>
        <w:ind w:left="681" w:hanging="568"/>
      </w:pPr>
      <w:rPr>
        <w:rFonts w:hint="default" w:ascii="Times New Roman" w:hAnsi="Times New Roman" w:eastAsia="Times New Roman" w:cs="Times New Roman"/>
        <w:spacing w:val="-3"/>
        <w:w w:val="100"/>
        <w:sz w:val="24"/>
        <w:szCs w:val="24"/>
      </w:rPr>
    </w:lvl>
    <w:lvl w:ilvl="2" w:tentative="0">
      <w:start w:val="1"/>
      <w:numFmt w:val="bullet"/>
      <w:lvlText w:val="-"/>
      <w:lvlJc w:val="left"/>
      <w:pPr>
        <w:ind w:left="681" w:hanging="567"/>
      </w:pPr>
      <w:rPr>
        <w:rFonts w:hint="default" w:ascii="Times New Roman" w:hAnsi="Times New Roman" w:eastAsia="Times New Roman"/>
        <w:spacing w:val="-2"/>
        <w:w w:val="100"/>
        <w:sz w:val="24"/>
      </w:rPr>
    </w:lvl>
    <w:lvl w:ilvl="3" w:tentative="0">
      <w:start w:val="1"/>
      <w:numFmt w:val="bullet"/>
      <w:lvlText w:val="•"/>
      <w:lvlJc w:val="left"/>
      <w:pPr>
        <w:ind w:left="3436" w:hanging="567"/>
      </w:pPr>
      <w:rPr>
        <w:rFonts w:hint="default"/>
      </w:rPr>
    </w:lvl>
    <w:lvl w:ilvl="4" w:tentative="0">
      <w:start w:val="1"/>
      <w:numFmt w:val="bullet"/>
      <w:lvlText w:val="•"/>
      <w:lvlJc w:val="left"/>
      <w:pPr>
        <w:ind w:left="4355" w:hanging="567"/>
      </w:pPr>
      <w:rPr>
        <w:rFonts w:hint="default"/>
      </w:rPr>
    </w:lvl>
    <w:lvl w:ilvl="5" w:tentative="0">
      <w:start w:val="1"/>
      <w:numFmt w:val="bullet"/>
      <w:lvlText w:val="•"/>
      <w:lvlJc w:val="left"/>
      <w:pPr>
        <w:ind w:left="5273" w:hanging="567"/>
      </w:pPr>
      <w:rPr>
        <w:rFonts w:hint="default"/>
      </w:rPr>
    </w:lvl>
    <w:lvl w:ilvl="6" w:tentative="0">
      <w:start w:val="1"/>
      <w:numFmt w:val="bullet"/>
      <w:lvlText w:val="•"/>
      <w:lvlJc w:val="left"/>
      <w:pPr>
        <w:ind w:left="6192" w:hanging="567"/>
      </w:pPr>
      <w:rPr>
        <w:rFonts w:hint="default"/>
      </w:rPr>
    </w:lvl>
    <w:lvl w:ilvl="7" w:tentative="0">
      <w:start w:val="1"/>
      <w:numFmt w:val="bullet"/>
      <w:lvlText w:val="•"/>
      <w:lvlJc w:val="left"/>
      <w:pPr>
        <w:ind w:left="7111" w:hanging="567"/>
      </w:pPr>
      <w:rPr>
        <w:rFonts w:hint="default"/>
      </w:rPr>
    </w:lvl>
    <w:lvl w:ilvl="8" w:tentative="0">
      <w:start w:val="1"/>
      <w:numFmt w:val="bullet"/>
      <w:lvlText w:val="•"/>
      <w:lvlJc w:val="left"/>
      <w:pPr>
        <w:ind w:left="8030" w:hanging="567"/>
      </w:pPr>
      <w:rPr>
        <w:rFonts w:hint="default"/>
      </w:rPr>
    </w:lvl>
  </w:abstractNum>
  <w:abstractNum w:abstractNumId="121">
    <w:nsid w:val="40C74E7E"/>
    <w:multiLevelType w:val="multilevel"/>
    <w:tmpl w:val="40C74E7E"/>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22">
    <w:nsid w:val="40D90976"/>
    <w:multiLevelType w:val="multilevel"/>
    <w:tmpl w:val="40D90976"/>
    <w:lvl w:ilvl="0" w:tentative="0">
      <w:start w:val="7"/>
      <w:numFmt w:val="decimal"/>
      <w:lvlText w:val="(%1)"/>
      <w:lvlJc w:val="left"/>
      <w:pPr>
        <w:ind w:left="710" w:hanging="568"/>
      </w:pPr>
      <w:rPr>
        <w:rFonts w:hint="default" w:ascii="Times New Roman" w:hAnsi="Times New Roman" w:eastAsia="Times New Roman" w:cs="Times New Roman"/>
        <w:snapToGrid/>
        <w:spacing w:val="0"/>
        <w:w w:val="100"/>
        <w:kern w:val="21"/>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23">
    <w:nsid w:val="41191370"/>
    <w:multiLevelType w:val="multilevel"/>
    <w:tmpl w:val="41191370"/>
    <w:lvl w:ilvl="0" w:tentative="0">
      <w:start w:val="1"/>
      <w:numFmt w:val="decimal"/>
      <w:lvlText w:val="%1."/>
      <w:lvlJc w:val="left"/>
      <w:pPr>
        <w:ind w:left="681" w:hanging="568"/>
      </w:pPr>
      <w:rPr>
        <w:rFonts w:hint="default" w:ascii="Times New Roman" w:hAnsi="Times New Roman" w:eastAsia="Times New Roman" w:cs="Times New Roman"/>
        <w:spacing w:val="-2"/>
        <w:w w:val="100"/>
        <w:sz w:val="24"/>
        <w:szCs w:val="24"/>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24">
    <w:nsid w:val="41924CBC"/>
    <w:multiLevelType w:val="multilevel"/>
    <w:tmpl w:val="41924CBC"/>
    <w:lvl w:ilvl="0" w:tentative="0">
      <w:start w:val="1"/>
      <w:numFmt w:val="lowerLetter"/>
      <w:lvlText w:val="(%1)"/>
      <w:lvlJc w:val="left"/>
      <w:pPr>
        <w:ind w:left="681" w:hanging="568"/>
      </w:pPr>
      <w:rPr>
        <w:rFonts w:hint="default" w:ascii="Times New Roman" w:hAnsi="Times New Roman" w:eastAsia="Times New Roman" w:cs="Times New Roman"/>
        <w:spacing w:val="-3"/>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25">
    <w:nsid w:val="41AE6884"/>
    <w:multiLevelType w:val="multilevel"/>
    <w:tmpl w:val="41AE6884"/>
    <w:lvl w:ilvl="0" w:tentative="0">
      <w:start w:val="2"/>
      <w:numFmt w:val="upperRoman"/>
      <w:lvlText w:val="%1."/>
      <w:lvlJc w:val="left"/>
      <w:pPr>
        <w:ind w:left="681" w:hanging="568"/>
      </w:pPr>
      <w:rPr>
        <w:rFonts w:hint="default" w:ascii="Times New Roman" w:hAnsi="Times New Roman" w:eastAsia="Times New Roman" w:cs="Times New Roman"/>
        <w:b/>
        <w:bCs/>
        <w:spacing w:val="-2"/>
        <w:w w:val="100"/>
        <w:sz w:val="24"/>
        <w:szCs w:val="24"/>
      </w:rPr>
    </w:lvl>
    <w:lvl w:ilvl="1" w:tentative="0">
      <w:start w:val="1"/>
      <w:numFmt w:val="decimal"/>
      <w:lvlText w:val="%2."/>
      <w:lvlJc w:val="left"/>
      <w:pPr>
        <w:ind w:left="681" w:hanging="568"/>
      </w:pPr>
      <w:rPr>
        <w:rFonts w:hint="default" w:ascii="Times New Roman" w:hAnsi="Times New Roman" w:eastAsia="Times New Roman" w:cs="Times New Roman"/>
        <w:b/>
        <w:bCs/>
        <w:spacing w:val="-2"/>
        <w:w w:val="100"/>
        <w:sz w:val="24"/>
        <w:szCs w:val="24"/>
      </w:rPr>
    </w:lvl>
    <w:lvl w:ilvl="2" w:tentative="0">
      <w:start w:val="1"/>
      <w:numFmt w:val="decimal"/>
      <w:lvlText w:val="%2.%3."/>
      <w:lvlJc w:val="left"/>
      <w:pPr>
        <w:ind w:left="681" w:hanging="568"/>
      </w:pPr>
      <w:rPr>
        <w:rFonts w:hint="default" w:ascii="Times New Roman" w:hAnsi="Times New Roman" w:eastAsia="Times New Roman" w:cs="Times New Roman"/>
        <w:spacing w:val="-2"/>
        <w:w w:val="100"/>
        <w:sz w:val="24"/>
        <w:szCs w:val="24"/>
      </w:rPr>
    </w:lvl>
    <w:lvl w:ilvl="3" w:tentative="0">
      <w:start w:val="1"/>
      <w:numFmt w:val="bullet"/>
      <w:lvlText w:val="-"/>
      <w:lvlJc w:val="left"/>
      <w:pPr>
        <w:ind w:left="1248" w:hanging="567"/>
      </w:pPr>
      <w:rPr>
        <w:rFonts w:hint="default" w:ascii="Times New Roman" w:hAnsi="Times New Roman" w:eastAsia="Times New Roman"/>
        <w:spacing w:val="-2"/>
        <w:w w:val="100"/>
        <w:sz w:val="24"/>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26">
    <w:nsid w:val="42B97ACE"/>
    <w:multiLevelType w:val="multilevel"/>
    <w:tmpl w:val="42B97ACE"/>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4"/>
        <w:szCs w:val="24"/>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27">
    <w:nsid w:val="43717B34"/>
    <w:multiLevelType w:val="multilevel"/>
    <w:tmpl w:val="43717B34"/>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28">
    <w:nsid w:val="443D1E45"/>
    <w:multiLevelType w:val="multilevel"/>
    <w:tmpl w:val="443D1E45"/>
    <w:lvl w:ilvl="0" w:tentative="0">
      <w:start w:val="1"/>
      <w:numFmt w:val="bullet"/>
      <w:lvlText w:val="-"/>
      <w:lvlJc w:val="left"/>
      <w:pPr>
        <w:ind w:left="1667" w:hanging="420"/>
      </w:pPr>
      <w:rPr>
        <w:rFonts w:hint="default" w:ascii="Times New Roman" w:hAnsi="Times New Roman" w:eastAsia="Times New Roman"/>
        <w:w w:val="110"/>
        <w:sz w:val="24"/>
      </w:rPr>
    </w:lvl>
    <w:lvl w:ilvl="1" w:tentative="0">
      <w:start w:val="1"/>
      <w:numFmt w:val="bullet"/>
      <w:lvlText w:val=""/>
      <w:lvlJc w:val="left"/>
      <w:pPr>
        <w:ind w:left="2087" w:hanging="420"/>
      </w:pPr>
      <w:rPr>
        <w:rFonts w:hint="default" w:ascii="Wingdings" w:hAnsi="Wingdings"/>
      </w:rPr>
    </w:lvl>
    <w:lvl w:ilvl="2" w:tentative="0">
      <w:start w:val="1"/>
      <w:numFmt w:val="bullet"/>
      <w:lvlText w:val=""/>
      <w:lvlJc w:val="left"/>
      <w:pPr>
        <w:ind w:left="2507" w:hanging="420"/>
      </w:pPr>
      <w:rPr>
        <w:rFonts w:hint="default" w:ascii="Wingdings" w:hAnsi="Wingdings"/>
      </w:rPr>
    </w:lvl>
    <w:lvl w:ilvl="3" w:tentative="0">
      <w:start w:val="1"/>
      <w:numFmt w:val="bullet"/>
      <w:lvlText w:val=""/>
      <w:lvlJc w:val="left"/>
      <w:pPr>
        <w:ind w:left="2927" w:hanging="420"/>
      </w:pPr>
      <w:rPr>
        <w:rFonts w:hint="default" w:ascii="Wingdings" w:hAnsi="Wingdings"/>
      </w:rPr>
    </w:lvl>
    <w:lvl w:ilvl="4" w:tentative="0">
      <w:start w:val="1"/>
      <w:numFmt w:val="bullet"/>
      <w:lvlText w:val=""/>
      <w:lvlJc w:val="left"/>
      <w:pPr>
        <w:ind w:left="3347" w:hanging="420"/>
      </w:pPr>
      <w:rPr>
        <w:rFonts w:hint="default" w:ascii="Wingdings" w:hAnsi="Wingdings"/>
      </w:rPr>
    </w:lvl>
    <w:lvl w:ilvl="5" w:tentative="0">
      <w:start w:val="1"/>
      <w:numFmt w:val="bullet"/>
      <w:lvlText w:val=""/>
      <w:lvlJc w:val="left"/>
      <w:pPr>
        <w:ind w:left="3767" w:hanging="420"/>
      </w:pPr>
      <w:rPr>
        <w:rFonts w:hint="default" w:ascii="Wingdings" w:hAnsi="Wingdings"/>
      </w:rPr>
    </w:lvl>
    <w:lvl w:ilvl="6" w:tentative="0">
      <w:start w:val="1"/>
      <w:numFmt w:val="bullet"/>
      <w:lvlText w:val=""/>
      <w:lvlJc w:val="left"/>
      <w:pPr>
        <w:ind w:left="4187" w:hanging="420"/>
      </w:pPr>
      <w:rPr>
        <w:rFonts w:hint="default" w:ascii="Wingdings" w:hAnsi="Wingdings"/>
      </w:rPr>
    </w:lvl>
    <w:lvl w:ilvl="7" w:tentative="0">
      <w:start w:val="1"/>
      <w:numFmt w:val="bullet"/>
      <w:lvlText w:val=""/>
      <w:lvlJc w:val="left"/>
      <w:pPr>
        <w:ind w:left="4607" w:hanging="420"/>
      </w:pPr>
      <w:rPr>
        <w:rFonts w:hint="default" w:ascii="Wingdings" w:hAnsi="Wingdings"/>
      </w:rPr>
    </w:lvl>
    <w:lvl w:ilvl="8" w:tentative="0">
      <w:start w:val="1"/>
      <w:numFmt w:val="bullet"/>
      <w:lvlText w:val=""/>
      <w:lvlJc w:val="left"/>
      <w:pPr>
        <w:ind w:left="5027" w:hanging="420"/>
      </w:pPr>
      <w:rPr>
        <w:rFonts w:hint="default" w:ascii="Wingdings" w:hAnsi="Wingdings"/>
      </w:rPr>
    </w:lvl>
  </w:abstractNum>
  <w:abstractNum w:abstractNumId="129">
    <w:nsid w:val="454E75B7"/>
    <w:multiLevelType w:val="multilevel"/>
    <w:tmpl w:val="454E75B7"/>
    <w:lvl w:ilvl="0" w:tentative="0">
      <w:start w:val="1"/>
      <w:numFmt w:val="decimal"/>
      <w:lvlText w:val="%1."/>
      <w:lvlJc w:val="left"/>
      <w:pPr>
        <w:ind w:left="710" w:hanging="568"/>
      </w:pPr>
      <w:rPr>
        <w:rFonts w:hint="default" w:ascii="Times New Roman" w:hAnsi="Times New Roman" w:eastAsia="Times New Roman" w:cs="Times New Roman"/>
        <w:spacing w:val="-2"/>
        <w:w w:val="100"/>
        <w:sz w:val="24"/>
        <w:szCs w:val="24"/>
        <w:lang w:val="en-US"/>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30">
    <w:nsid w:val="459F2190"/>
    <w:multiLevelType w:val="multilevel"/>
    <w:tmpl w:val="459F2190"/>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lang w:val="en-US"/>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4"/>
        <w:szCs w:val="24"/>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31">
    <w:nsid w:val="460B656F"/>
    <w:multiLevelType w:val="multilevel"/>
    <w:tmpl w:val="460B656F"/>
    <w:lvl w:ilvl="0" w:tentative="0">
      <w:start w:val="1"/>
      <w:numFmt w:val="decimal"/>
      <w:lvlText w:val="%1."/>
      <w:lvlJc w:val="left"/>
      <w:pPr>
        <w:ind w:left="681" w:hanging="568"/>
      </w:pPr>
      <w:rPr>
        <w:rFonts w:hint="default" w:ascii="Times New Roman" w:hAnsi="Times New Roman" w:eastAsia="Times New Roman" w:cs="Times New Roman"/>
        <w:spacing w:val="-2"/>
        <w:w w:val="100"/>
        <w:sz w:val="24"/>
        <w:szCs w:val="24"/>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32">
    <w:nsid w:val="466B3CE6"/>
    <w:multiLevelType w:val="multilevel"/>
    <w:tmpl w:val="466B3CE6"/>
    <w:lvl w:ilvl="0" w:tentative="0">
      <w:start w:val="1"/>
      <w:numFmt w:val="bullet"/>
      <w:lvlText w:val="-"/>
      <w:lvlJc w:val="left"/>
      <w:pPr>
        <w:ind w:left="1248" w:hanging="567"/>
      </w:pPr>
      <w:rPr>
        <w:rFonts w:hint="default" w:ascii="Times New Roman" w:hAnsi="Times New Roman" w:eastAsia="Times New Roman"/>
        <w:spacing w:val="-2"/>
        <w:w w:val="10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133">
    <w:nsid w:val="46961D67"/>
    <w:multiLevelType w:val="multilevel"/>
    <w:tmpl w:val="46961D67"/>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681" w:hanging="567"/>
      </w:pPr>
      <w:rPr>
        <w:rFonts w:hint="default" w:ascii="Times New Roman" w:hAnsi="Times New Roman" w:eastAsia="Times New Roman"/>
        <w:spacing w:val="-2"/>
        <w:w w:val="100"/>
        <w:sz w:val="24"/>
      </w:rPr>
    </w:lvl>
    <w:lvl w:ilvl="2" w:tentative="0">
      <w:start w:val="1"/>
      <w:numFmt w:val="bullet"/>
      <w:lvlText w:val="•"/>
      <w:lvlJc w:val="left"/>
      <w:pPr>
        <w:ind w:left="2517" w:hanging="567"/>
      </w:pPr>
      <w:rPr>
        <w:rFonts w:hint="default"/>
      </w:rPr>
    </w:lvl>
    <w:lvl w:ilvl="3" w:tentative="0">
      <w:start w:val="1"/>
      <w:numFmt w:val="bullet"/>
      <w:lvlText w:val="•"/>
      <w:lvlJc w:val="left"/>
      <w:pPr>
        <w:ind w:left="3436" w:hanging="567"/>
      </w:pPr>
      <w:rPr>
        <w:rFonts w:hint="default"/>
      </w:rPr>
    </w:lvl>
    <w:lvl w:ilvl="4" w:tentative="0">
      <w:start w:val="1"/>
      <w:numFmt w:val="bullet"/>
      <w:lvlText w:val="•"/>
      <w:lvlJc w:val="left"/>
      <w:pPr>
        <w:ind w:left="4355" w:hanging="567"/>
      </w:pPr>
      <w:rPr>
        <w:rFonts w:hint="default"/>
      </w:rPr>
    </w:lvl>
    <w:lvl w:ilvl="5" w:tentative="0">
      <w:start w:val="1"/>
      <w:numFmt w:val="bullet"/>
      <w:lvlText w:val="•"/>
      <w:lvlJc w:val="left"/>
      <w:pPr>
        <w:ind w:left="5273" w:hanging="567"/>
      </w:pPr>
      <w:rPr>
        <w:rFonts w:hint="default"/>
      </w:rPr>
    </w:lvl>
    <w:lvl w:ilvl="6" w:tentative="0">
      <w:start w:val="1"/>
      <w:numFmt w:val="bullet"/>
      <w:lvlText w:val="•"/>
      <w:lvlJc w:val="left"/>
      <w:pPr>
        <w:ind w:left="6192" w:hanging="567"/>
      </w:pPr>
      <w:rPr>
        <w:rFonts w:hint="default"/>
      </w:rPr>
    </w:lvl>
    <w:lvl w:ilvl="7" w:tentative="0">
      <w:start w:val="1"/>
      <w:numFmt w:val="bullet"/>
      <w:lvlText w:val="•"/>
      <w:lvlJc w:val="left"/>
      <w:pPr>
        <w:ind w:left="7111" w:hanging="567"/>
      </w:pPr>
      <w:rPr>
        <w:rFonts w:hint="default"/>
      </w:rPr>
    </w:lvl>
    <w:lvl w:ilvl="8" w:tentative="0">
      <w:start w:val="1"/>
      <w:numFmt w:val="bullet"/>
      <w:lvlText w:val="•"/>
      <w:lvlJc w:val="left"/>
      <w:pPr>
        <w:ind w:left="8030" w:hanging="567"/>
      </w:pPr>
      <w:rPr>
        <w:rFonts w:hint="default"/>
      </w:rPr>
    </w:lvl>
  </w:abstractNum>
  <w:abstractNum w:abstractNumId="134">
    <w:nsid w:val="46AA2C67"/>
    <w:multiLevelType w:val="multilevel"/>
    <w:tmpl w:val="46AA2C67"/>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1815" w:hanging="568"/>
      </w:pPr>
      <w:rPr>
        <w:rFonts w:hint="default" w:ascii="Times New Roman" w:hAnsi="Times New Roman" w:eastAsia="Times New Roman"/>
        <w:w w:val="105"/>
        <w:sz w:val="24"/>
      </w:rPr>
    </w:lvl>
    <w:lvl w:ilvl="3" w:tentative="0">
      <w:start w:val="1"/>
      <w:numFmt w:val="bullet"/>
      <w:lvlText w:val="•"/>
      <w:lvlJc w:val="left"/>
      <w:pPr>
        <w:ind w:left="2825" w:hanging="568"/>
      </w:pPr>
      <w:rPr>
        <w:rFonts w:hint="default"/>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35">
    <w:nsid w:val="47070BF9"/>
    <w:multiLevelType w:val="multilevel"/>
    <w:tmpl w:val="47070BF9"/>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36">
    <w:nsid w:val="475E344D"/>
    <w:multiLevelType w:val="multilevel"/>
    <w:tmpl w:val="475E344D"/>
    <w:lvl w:ilvl="0" w:tentative="0">
      <w:start w:val="20"/>
      <w:numFmt w:val="decimal"/>
      <w:lvlText w:val="%1."/>
      <w:lvlJc w:val="left"/>
      <w:pPr>
        <w:ind w:left="681" w:hanging="568"/>
      </w:pPr>
      <w:rPr>
        <w:rFonts w:hint="default" w:ascii="Times New Roman" w:hAnsi="Times New Roman" w:eastAsia="宋体" w:cs="Times New Roman"/>
        <w:b/>
        <w:bCs/>
        <w:spacing w:val="-2"/>
        <w:w w:val="100"/>
        <w:sz w:val="21"/>
        <w:szCs w:val="21"/>
      </w:rPr>
    </w:lvl>
    <w:lvl w:ilvl="1" w:tentative="0">
      <w:start w:val="1"/>
      <w:numFmt w:val="decimal"/>
      <w:lvlText w:val="%1.%2."/>
      <w:lvlJc w:val="left"/>
      <w:pPr>
        <w:ind w:left="681" w:hanging="568"/>
      </w:pPr>
      <w:rPr>
        <w:rFonts w:hint="default" w:ascii="Times New Roman" w:hAnsi="Times New Roman" w:eastAsia="宋体" w:cs="Times New Roman"/>
        <w:spacing w:val="-2"/>
        <w:w w:val="100"/>
        <w:sz w:val="21"/>
        <w:szCs w:val="21"/>
      </w:rPr>
    </w:lvl>
    <w:lvl w:ilvl="2" w:tentative="0">
      <w:start w:val="1"/>
      <w:numFmt w:val="lowerLetter"/>
      <w:lvlText w:val="(%3)"/>
      <w:lvlJc w:val="left"/>
      <w:pPr>
        <w:ind w:left="1248" w:hanging="567"/>
      </w:pPr>
      <w:rPr>
        <w:rFonts w:hint="default" w:ascii="Times New Roman" w:hAnsi="Times New Roman" w:eastAsia="宋体" w:cs="Times New Roman"/>
        <w:spacing w:val="-2"/>
        <w:w w:val="100"/>
        <w:sz w:val="24"/>
        <w:szCs w:val="24"/>
      </w:rPr>
    </w:lvl>
    <w:lvl w:ilvl="3" w:tentative="0">
      <w:start w:val="1"/>
      <w:numFmt w:val="bullet"/>
      <w:lvlText w:val="•"/>
      <w:lvlJc w:val="left"/>
      <w:pPr>
        <w:ind w:left="2318" w:hanging="567"/>
      </w:pPr>
      <w:rPr>
        <w:rFonts w:hint="default"/>
      </w:rPr>
    </w:lvl>
    <w:lvl w:ilvl="4" w:tentative="0">
      <w:start w:val="1"/>
      <w:numFmt w:val="bullet"/>
      <w:lvlText w:val="•"/>
      <w:lvlJc w:val="left"/>
      <w:pPr>
        <w:ind w:left="3396" w:hanging="567"/>
      </w:pPr>
      <w:rPr>
        <w:rFonts w:hint="default"/>
      </w:rPr>
    </w:lvl>
    <w:lvl w:ilvl="5" w:tentative="0">
      <w:start w:val="1"/>
      <w:numFmt w:val="bullet"/>
      <w:lvlText w:val="•"/>
      <w:lvlJc w:val="left"/>
      <w:pPr>
        <w:ind w:left="4475" w:hanging="567"/>
      </w:pPr>
      <w:rPr>
        <w:rFonts w:hint="default"/>
      </w:rPr>
    </w:lvl>
    <w:lvl w:ilvl="6" w:tentative="0">
      <w:start w:val="1"/>
      <w:numFmt w:val="bullet"/>
      <w:lvlText w:val="•"/>
      <w:lvlJc w:val="left"/>
      <w:pPr>
        <w:ind w:left="5553" w:hanging="567"/>
      </w:pPr>
      <w:rPr>
        <w:rFonts w:hint="default"/>
      </w:rPr>
    </w:lvl>
    <w:lvl w:ilvl="7" w:tentative="0">
      <w:start w:val="1"/>
      <w:numFmt w:val="bullet"/>
      <w:lvlText w:val="•"/>
      <w:lvlJc w:val="left"/>
      <w:pPr>
        <w:ind w:left="6632" w:hanging="567"/>
      </w:pPr>
      <w:rPr>
        <w:rFonts w:hint="default"/>
      </w:rPr>
    </w:lvl>
    <w:lvl w:ilvl="8" w:tentative="0">
      <w:start w:val="1"/>
      <w:numFmt w:val="bullet"/>
      <w:lvlText w:val="•"/>
      <w:lvlJc w:val="left"/>
      <w:pPr>
        <w:ind w:left="7710" w:hanging="567"/>
      </w:pPr>
      <w:rPr>
        <w:rFonts w:hint="default"/>
      </w:rPr>
    </w:lvl>
  </w:abstractNum>
  <w:abstractNum w:abstractNumId="137">
    <w:nsid w:val="48301557"/>
    <w:multiLevelType w:val="multilevel"/>
    <w:tmpl w:val="48301557"/>
    <w:lvl w:ilvl="0" w:tentative="0">
      <w:start w:val="19"/>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宋体" w:cs="Times New Roman"/>
        <w:b/>
        <w:bCs/>
        <w:w w:val="100"/>
        <w:sz w:val="24"/>
        <w:szCs w:val="24"/>
      </w:rPr>
    </w:lvl>
    <w:lvl w:ilvl="2" w:tentative="0">
      <w:start w:val="1"/>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宋体"/>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38">
    <w:nsid w:val="49756045"/>
    <w:multiLevelType w:val="multilevel"/>
    <w:tmpl w:val="49756045"/>
    <w:lvl w:ilvl="0" w:tentative="0">
      <w:start w:val="10"/>
      <w:numFmt w:val="decimal"/>
      <w:lvlText w:val="%1"/>
      <w:lvlJc w:val="left"/>
      <w:pPr>
        <w:tabs>
          <w:tab w:val="left" w:pos="0"/>
        </w:tabs>
        <w:ind w:left="964" w:hanging="851"/>
      </w:pPr>
      <w:rPr>
        <w:rFonts w:hint="default" w:cs="Times New Roman"/>
      </w:rPr>
    </w:lvl>
    <w:lvl w:ilvl="1" w:tentative="0">
      <w:start w:val="1"/>
      <w:numFmt w:val="decimal"/>
      <w:lvlText w:val="%1.%2"/>
      <w:lvlJc w:val="left"/>
      <w:pPr>
        <w:tabs>
          <w:tab w:val="left" w:pos="0"/>
        </w:tabs>
        <w:ind w:left="964" w:hanging="851"/>
      </w:pPr>
      <w:rPr>
        <w:rFonts w:hint="default" w:cs="Times New Roman"/>
      </w:rPr>
    </w:lvl>
    <w:lvl w:ilvl="2" w:tentative="0">
      <w:start w:val="1"/>
      <w:numFmt w:val="decimal"/>
      <w:lvlText w:val="%1.%2.%3."/>
      <w:lvlJc w:val="left"/>
      <w:pPr>
        <w:tabs>
          <w:tab w:val="left" w:pos="0"/>
        </w:tabs>
        <w:ind w:left="964" w:hanging="851"/>
      </w:pPr>
      <w:rPr>
        <w:rFonts w:hint="default" w:ascii="Times New Roman" w:hAnsi="Times New Roman" w:eastAsia="宋体" w:cs="Times New Roman"/>
        <w:spacing w:val="-2"/>
        <w:w w:val="100"/>
        <w:sz w:val="21"/>
        <w:szCs w:val="21"/>
      </w:rPr>
    </w:lvl>
    <w:lvl w:ilvl="3" w:tentative="0">
      <w:start w:val="1"/>
      <w:numFmt w:val="lowerLetter"/>
      <w:lvlText w:val="(%4)"/>
      <w:lvlJc w:val="left"/>
      <w:pPr>
        <w:tabs>
          <w:tab w:val="left" w:pos="0"/>
        </w:tabs>
        <w:ind w:left="1532" w:hanging="568"/>
      </w:pPr>
      <w:rPr>
        <w:rFonts w:hint="default" w:ascii="Times New Roman" w:hAnsi="Times New Roman" w:eastAsia="宋体" w:cs="Times New Roman"/>
        <w:spacing w:val="-2"/>
        <w:w w:val="100"/>
        <w:sz w:val="21"/>
        <w:szCs w:val="21"/>
      </w:rPr>
    </w:lvl>
    <w:lvl w:ilvl="4" w:tentative="0">
      <w:start w:val="1"/>
      <w:numFmt w:val="bullet"/>
      <w:lvlText w:val="•"/>
      <w:lvlJc w:val="left"/>
      <w:pPr>
        <w:tabs>
          <w:tab w:val="left" w:pos="0"/>
        </w:tabs>
        <w:ind w:left="4315" w:hanging="568"/>
      </w:pPr>
      <w:rPr>
        <w:rFonts w:hint="default"/>
      </w:rPr>
    </w:lvl>
    <w:lvl w:ilvl="5" w:tentative="0">
      <w:start w:val="1"/>
      <w:numFmt w:val="bullet"/>
      <w:lvlText w:val="•"/>
      <w:lvlJc w:val="left"/>
      <w:pPr>
        <w:tabs>
          <w:tab w:val="left" w:pos="0"/>
        </w:tabs>
        <w:ind w:left="5241" w:hanging="568"/>
      </w:pPr>
      <w:rPr>
        <w:rFonts w:hint="default"/>
      </w:rPr>
    </w:lvl>
    <w:lvl w:ilvl="6" w:tentative="0">
      <w:start w:val="1"/>
      <w:numFmt w:val="bullet"/>
      <w:lvlText w:val="•"/>
      <w:lvlJc w:val="left"/>
      <w:pPr>
        <w:tabs>
          <w:tab w:val="left" w:pos="0"/>
        </w:tabs>
        <w:ind w:left="6166" w:hanging="568"/>
      </w:pPr>
      <w:rPr>
        <w:rFonts w:hint="default"/>
      </w:rPr>
    </w:lvl>
    <w:lvl w:ilvl="7" w:tentative="0">
      <w:start w:val="1"/>
      <w:numFmt w:val="bullet"/>
      <w:lvlText w:val="•"/>
      <w:lvlJc w:val="left"/>
      <w:pPr>
        <w:tabs>
          <w:tab w:val="left" w:pos="0"/>
        </w:tabs>
        <w:ind w:left="7091" w:hanging="568"/>
      </w:pPr>
      <w:rPr>
        <w:rFonts w:hint="default"/>
      </w:rPr>
    </w:lvl>
    <w:lvl w:ilvl="8" w:tentative="0">
      <w:start w:val="1"/>
      <w:numFmt w:val="bullet"/>
      <w:lvlText w:val="•"/>
      <w:lvlJc w:val="left"/>
      <w:pPr>
        <w:tabs>
          <w:tab w:val="left" w:pos="0"/>
        </w:tabs>
        <w:ind w:left="8017" w:hanging="568"/>
      </w:pPr>
      <w:rPr>
        <w:rFonts w:hint="default"/>
      </w:rPr>
    </w:lvl>
  </w:abstractNum>
  <w:abstractNum w:abstractNumId="139">
    <w:nsid w:val="49840903"/>
    <w:multiLevelType w:val="multilevel"/>
    <w:tmpl w:val="49840903"/>
    <w:lvl w:ilvl="0" w:tentative="0">
      <w:start w:val="1"/>
      <w:numFmt w:val="decimal"/>
      <w:lvlText w:val="(%1)"/>
      <w:lvlJc w:val="left"/>
      <w:pPr>
        <w:ind w:left="710" w:hanging="568"/>
      </w:pPr>
      <w:rPr>
        <w:rFonts w:hint="default" w:ascii="Times New Roman" w:hAnsi="Times New Roman" w:eastAsia="Times New Roman" w:cs="Times New Roman"/>
        <w:snapToGrid/>
        <w:spacing w:val="0"/>
        <w:w w:val="100"/>
        <w:kern w:val="21"/>
        <w:sz w:val="21"/>
        <w:szCs w:val="21"/>
        <w:lang w:val="en-US"/>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40">
    <w:nsid w:val="4A9D1EB1"/>
    <w:multiLevelType w:val="multilevel"/>
    <w:tmpl w:val="4A9D1EB1"/>
    <w:lvl w:ilvl="0" w:tentative="0">
      <w:start w:val="1"/>
      <w:numFmt w:val="decimal"/>
      <w:lvlText w:val="%1."/>
      <w:lvlJc w:val="left"/>
      <w:pPr>
        <w:ind w:left="568"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681" w:hanging="567"/>
      </w:pPr>
      <w:rPr>
        <w:rFonts w:hint="default" w:ascii="Times New Roman" w:hAnsi="Times New Roman" w:eastAsia="Times New Roman" w:cs="Times New Roman"/>
        <w:spacing w:val="-2"/>
        <w:w w:val="100"/>
        <w:sz w:val="24"/>
        <w:szCs w:val="24"/>
      </w:rPr>
    </w:lvl>
    <w:lvl w:ilvl="2" w:tentative="0">
      <w:start w:val="1"/>
      <w:numFmt w:val="bullet"/>
      <w:lvlText w:val="•"/>
      <w:lvlJc w:val="left"/>
      <w:pPr>
        <w:ind w:left="2517" w:hanging="567"/>
      </w:pPr>
      <w:rPr>
        <w:rFonts w:hint="default"/>
      </w:rPr>
    </w:lvl>
    <w:lvl w:ilvl="3" w:tentative="0">
      <w:start w:val="1"/>
      <w:numFmt w:val="bullet"/>
      <w:lvlText w:val="•"/>
      <w:lvlJc w:val="left"/>
      <w:pPr>
        <w:ind w:left="3436" w:hanging="567"/>
      </w:pPr>
      <w:rPr>
        <w:rFonts w:hint="default"/>
      </w:rPr>
    </w:lvl>
    <w:lvl w:ilvl="4" w:tentative="0">
      <w:start w:val="1"/>
      <w:numFmt w:val="bullet"/>
      <w:lvlText w:val="•"/>
      <w:lvlJc w:val="left"/>
      <w:pPr>
        <w:ind w:left="4355" w:hanging="567"/>
      </w:pPr>
      <w:rPr>
        <w:rFonts w:hint="default"/>
      </w:rPr>
    </w:lvl>
    <w:lvl w:ilvl="5" w:tentative="0">
      <w:start w:val="1"/>
      <w:numFmt w:val="bullet"/>
      <w:lvlText w:val="•"/>
      <w:lvlJc w:val="left"/>
      <w:pPr>
        <w:ind w:left="5273" w:hanging="567"/>
      </w:pPr>
      <w:rPr>
        <w:rFonts w:hint="default"/>
      </w:rPr>
    </w:lvl>
    <w:lvl w:ilvl="6" w:tentative="0">
      <w:start w:val="1"/>
      <w:numFmt w:val="bullet"/>
      <w:lvlText w:val="•"/>
      <w:lvlJc w:val="left"/>
      <w:pPr>
        <w:ind w:left="6192" w:hanging="567"/>
      </w:pPr>
      <w:rPr>
        <w:rFonts w:hint="default"/>
      </w:rPr>
    </w:lvl>
    <w:lvl w:ilvl="7" w:tentative="0">
      <w:start w:val="1"/>
      <w:numFmt w:val="bullet"/>
      <w:lvlText w:val="•"/>
      <w:lvlJc w:val="left"/>
      <w:pPr>
        <w:ind w:left="7111" w:hanging="567"/>
      </w:pPr>
      <w:rPr>
        <w:rFonts w:hint="default"/>
      </w:rPr>
    </w:lvl>
    <w:lvl w:ilvl="8" w:tentative="0">
      <w:start w:val="1"/>
      <w:numFmt w:val="bullet"/>
      <w:lvlText w:val="•"/>
      <w:lvlJc w:val="left"/>
      <w:pPr>
        <w:ind w:left="8030" w:hanging="567"/>
      </w:pPr>
      <w:rPr>
        <w:rFonts w:hint="default"/>
      </w:rPr>
    </w:lvl>
  </w:abstractNum>
  <w:abstractNum w:abstractNumId="141">
    <w:nsid w:val="4B0009B0"/>
    <w:multiLevelType w:val="multilevel"/>
    <w:tmpl w:val="4B0009B0"/>
    <w:lvl w:ilvl="0" w:tentative="0">
      <w:start w:val="6"/>
      <w:numFmt w:val="decimal"/>
      <w:lvlText w:val="%1."/>
      <w:lvlJc w:val="left"/>
      <w:pPr>
        <w:ind w:left="681" w:hanging="568"/>
      </w:pPr>
      <w:rPr>
        <w:rFonts w:hint="default" w:ascii="Times New Roman" w:hAnsi="Times New Roman" w:eastAsia="宋体" w:cs="Times New Roman"/>
        <w:spacing w:val="-2"/>
        <w:w w:val="10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2">
    <w:nsid w:val="4C243429"/>
    <w:multiLevelType w:val="multilevel"/>
    <w:tmpl w:val="4C243429"/>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43">
    <w:nsid w:val="4CB03737"/>
    <w:multiLevelType w:val="multilevel"/>
    <w:tmpl w:val="4CB03737"/>
    <w:lvl w:ilvl="0" w:tentative="0">
      <w:start w:val="2"/>
      <w:numFmt w:val="upperRoman"/>
      <w:lvlText w:val="%1."/>
      <w:lvlJc w:val="left"/>
      <w:pPr>
        <w:ind w:left="681" w:hanging="568"/>
      </w:pPr>
      <w:rPr>
        <w:rFonts w:hint="default" w:ascii="Times New Roman" w:hAnsi="Times New Roman" w:eastAsia="Times New Roman" w:cs="Times New Roman"/>
        <w:b/>
        <w:bCs/>
        <w:spacing w:val="-1"/>
        <w:w w:val="99"/>
        <w:sz w:val="24"/>
        <w:szCs w:val="24"/>
      </w:rPr>
    </w:lvl>
    <w:lvl w:ilvl="1" w:tentative="0">
      <w:start w:val="1"/>
      <w:numFmt w:val="decimal"/>
      <w:lvlText w:val="%2."/>
      <w:lvlJc w:val="left"/>
      <w:pPr>
        <w:ind w:left="681" w:hanging="568"/>
      </w:pPr>
      <w:rPr>
        <w:rFonts w:hint="default" w:ascii="Times New Roman" w:hAnsi="Times New Roman" w:eastAsia="Times New Roman" w:cs="Times New Roman"/>
        <w:spacing w:val="-2"/>
        <w:w w:val="100"/>
        <w:sz w:val="24"/>
        <w:szCs w:val="24"/>
      </w:rPr>
    </w:lvl>
    <w:lvl w:ilvl="2" w:tentative="0">
      <w:start w:val="1"/>
      <w:numFmt w:val="lowerLetter"/>
      <w:lvlText w:val="(%3)"/>
      <w:lvlJc w:val="left"/>
      <w:pPr>
        <w:ind w:left="1248" w:hanging="567"/>
      </w:pPr>
      <w:rPr>
        <w:rFonts w:hint="default" w:ascii="Times New Roman" w:hAnsi="Times New Roman" w:eastAsia="Times New Roman" w:cs="Times New Roman"/>
        <w:spacing w:val="-3"/>
        <w:w w:val="100"/>
        <w:sz w:val="21"/>
        <w:szCs w:val="21"/>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44">
    <w:nsid w:val="4CF924D7"/>
    <w:multiLevelType w:val="multilevel"/>
    <w:tmpl w:val="4CF924D7"/>
    <w:lvl w:ilvl="0" w:tentative="0">
      <w:start w:val="1"/>
      <w:numFmt w:val="lowerLetter"/>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45">
    <w:nsid w:val="4D700B7C"/>
    <w:multiLevelType w:val="multilevel"/>
    <w:tmpl w:val="4D700B7C"/>
    <w:lvl w:ilvl="0" w:tentative="0">
      <w:start w:val="1"/>
      <w:numFmt w:val="upperRoman"/>
      <w:lvlText w:val="%1."/>
      <w:lvlJc w:val="left"/>
      <w:pPr>
        <w:ind w:left="681" w:hanging="568"/>
      </w:pPr>
      <w:rPr>
        <w:rFonts w:hint="default" w:ascii="Times New Roman" w:hAnsi="Times New Roman" w:eastAsia="宋体" w:cs="Times New Roman"/>
        <w:b/>
        <w:bCs/>
        <w:spacing w:val="-1"/>
        <w:w w:val="100"/>
        <w:sz w:val="24"/>
        <w:szCs w:val="24"/>
      </w:rPr>
    </w:lvl>
    <w:lvl w:ilvl="1" w:tentative="0">
      <w:start w:val="4"/>
      <w:numFmt w:val="decimal"/>
      <w:lvlText w:val="%2."/>
      <w:lvlJc w:val="left"/>
      <w:pPr>
        <w:ind w:left="681" w:hanging="568"/>
      </w:pPr>
      <w:rPr>
        <w:rFonts w:hint="default" w:ascii="Times New Roman" w:hAnsi="Times New Roman" w:eastAsia="宋体" w:cs="Times New Roman"/>
        <w:b/>
        <w:bCs/>
        <w:spacing w:val="-1"/>
        <w:w w:val="100"/>
        <w:sz w:val="24"/>
        <w:szCs w:val="24"/>
      </w:rPr>
    </w:lvl>
    <w:lvl w:ilvl="2" w:tentative="0">
      <w:start w:val="1"/>
      <w:numFmt w:val="decimal"/>
      <w:lvlText w:val="%2.%3."/>
      <w:lvlJc w:val="left"/>
      <w:pPr>
        <w:ind w:left="681" w:hanging="568"/>
      </w:pPr>
      <w:rPr>
        <w:rFonts w:hint="default" w:ascii="Times New Roman" w:hAnsi="Times New Roman" w:eastAsia="宋体" w:cs="Times New Roman"/>
        <w:spacing w:val="-2"/>
        <w:w w:val="100"/>
        <w:sz w:val="24"/>
        <w:szCs w:val="24"/>
      </w:rPr>
    </w:lvl>
    <w:lvl w:ilvl="3" w:tentative="0">
      <w:start w:val="1"/>
      <w:numFmt w:val="lowerLetter"/>
      <w:lvlText w:val="(%4)"/>
      <w:lvlJc w:val="left"/>
      <w:pPr>
        <w:ind w:left="1248" w:hanging="567"/>
      </w:pPr>
      <w:rPr>
        <w:rFonts w:hint="default" w:ascii="Times New Roman" w:hAnsi="Times New Roman" w:eastAsia="宋体" w:cs="Times New Roman"/>
        <w:spacing w:val="-2"/>
        <w:w w:val="100"/>
        <w:sz w:val="24"/>
        <w:szCs w:val="24"/>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46">
    <w:nsid w:val="4E537B0C"/>
    <w:multiLevelType w:val="multilevel"/>
    <w:tmpl w:val="4E537B0C"/>
    <w:lvl w:ilvl="0" w:tentative="0">
      <w:start w:val="1"/>
      <w:numFmt w:val="bullet"/>
      <w:lvlText w:val="-"/>
      <w:lvlJc w:val="left"/>
      <w:pPr>
        <w:ind w:left="1952" w:hanging="420"/>
      </w:pPr>
      <w:rPr>
        <w:rFonts w:hint="default" w:ascii="Times New Roman" w:hAnsi="Times New Roman" w:eastAsia="Times New Roman"/>
        <w:w w:val="110"/>
        <w:sz w:val="24"/>
      </w:rPr>
    </w:lvl>
    <w:lvl w:ilvl="1" w:tentative="0">
      <w:start w:val="1"/>
      <w:numFmt w:val="bullet"/>
      <w:lvlText w:val=""/>
      <w:lvlJc w:val="left"/>
      <w:pPr>
        <w:ind w:left="2372" w:hanging="420"/>
      </w:pPr>
      <w:rPr>
        <w:rFonts w:hint="default" w:ascii="Wingdings" w:hAnsi="Wingdings"/>
      </w:rPr>
    </w:lvl>
    <w:lvl w:ilvl="2" w:tentative="0">
      <w:start w:val="1"/>
      <w:numFmt w:val="bullet"/>
      <w:lvlText w:val=""/>
      <w:lvlJc w:val="left"/>
      <w:pPr>
        <w:ind w:left="2792" w:hanging="420"/>
      </w:pPr>
      <w:rPr>
        <w:rFonts w:hint="default" w:ascii="Wingdings" w:hAnsi="Wingdings"/>
      </w:rPr>
    </w:lvl>
    <w:lvl w:ilvl="3" w:tentative="0">
      <w:start w:val="1"/>
      <w:numFmt w:val="bullet"/>
      <w:lvlText w:val=""/>
      <w:lvlJc w:val="left"/>
      <w:pPr>
        <w:ind w:left="3212" w:hanging="420"/>
      </w:pPr>
      <w:rPr>
        <w:rFonts w:hint="default" w:ascii="Wingdings" w:hAnsi="Wingdings"/>
      </w:rPr>
    </w:lvl>
    <w:lvl w:ilvl="4" w:tentative="0">
      <w:start w:val="1"/>
      <w:numFmt w:val="bullet"/>
      <w:lvlText w:val=""/>
      <w:lvlJc w:val="left"/>
      <w:pPr>
        <w:ind w:left="3632" w:hanging="420"/>
      </w:pPr>
      <w:rPr>
        <w:rFonts w:hint="default" w:ascii="Wingdings" w:hAnsi="Wingdings"/>
      </w:rPr>
    </w:lvl>
    <w:lvl w:ilvl="5" w:tentative="0">
      <w:start w:val="1"/>
      <w:numFmt w:val="bullet"/>
      <w:lvlText w:val=""/>
      <w:lvlJc w:val="left"/>
      <w:pPr>
        <w:ind w:left="4052" w:hanging="420"/>
      </w:pPr>
      <w:rPr>
        <w:rFonts w:hint="default" w:ascii="Wingdings" w:hAnsi="Wingdings"/>
      </w:rPr>
    </w:lvl>
    <w:lvl w:ilvl="6" w:tentative="0">
      <w:start w:val="1"/>
      <w:numFmt w:val="bullet"/>
      <w:lvlText w:val=""/>
      <w:lvlJc w:val="left"/>
      <w:pPr>
        <w:ind w:left="4472" w:hanging="420"/>
      </w:pPr>
      <w:rPr>
        <w:rFonts w:hint="default" w:ascii="Wingdings" w:hAnsi="Wingdings"/>
      </w:rPr>
    </w:lvl>
    <w:lvl w:ilvl="7" w:tentative="0">
      <w:start w:val="1"/>
      <w:numFmt w:val="bullet"/>
      <w:lvlText w:val=""/>
      <w:lvlJc w:val="left"/>
      <w:pPr>
        <w:ind w:left="4892" w:hanging="420"/>
      </w:pPr>
      <w:rPr>
        <w:rFonts w:hint="default" w:ascii="Wingdings" w:hAnsi="Wingdings"/>
      </w:rPr>
    </w:lvl>
    <w:lvl w:ilvl="8" w:tentative="0">
      <w:start w:val="1"/>
      <w:numFmt w:val="bullet"/>
      <w:lvlText w:val=""/>
      <w:lvlJc w:val="left"/>
      <w:pPr>
        <w:ind w:left="5312" w:hanging="420"/>
      </w:pPr>
      <w:rPr>
        <w:rFonts w:hint="default" w:ascii="Wingdings" w:hAnsi="Wingdings"/>
      </w:rPr>
    </w:lvl>
  </w:abstractNum>
  <w:abstractNum w:abstractNumId="147">
    <w:nsid w:val="4E705F13"/>
    <w:multiLevelType w:val="multilevel"/>
    <w:tmpl w:val="4E705F13"/>
    <w:lvl w:ilvl="0" w:tentative="0">
      <w:start w:val="4"/>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Times New Roman" w:cs="Times New Roman"/>
        <w:b/>
        <w:bCs/>
        <w:spacing w:val="-1"/>
        <w:w w:val="100"/>
        <w:sz w:val="24"/>
        <w:szCs w:val="24"/>
      </w:rPr>
    </w:lvl>
    <w:lvl w:ilvl="2" w:tentative="0">
      <w:start w:val="1"/>
      <w:numFmt w:val="bullet"/>
      <w:lvlText w:val="-"/>
      <w:lvlJc w:val="left"/>
      <w:pPr>
        <w:ind w:left="1248" w:hanging="567"/>
      </w:pPr>
      <w:rPr>
        <w:rFonts w:hint="default" w:ascii="Times New Roman" w:hAnsi="Times New Roman" w:eastAsia="Times New Roman"/>
        <w:spacing w:val="-2"/>
        <w:w w:val="100"/>
        <w:sz w:val="24"/>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48">
    <w:nsid w:val="4F0775E4"/>
    <w:multiLevelType w:val="multilevel"/>
    <w:tmpl w:val="4F0775E4"/>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49">
    <w:nsid w:val="4F744A81"/>
    <w:multiLevelType w:val="multilevel"/>
    <w:tmpl w:val="4F744A81"/>
    <w:lvl w:ilvl="0" w:tentative="0">
      <w:start w:val="3"/>
      <w:numFmt w:val="upperRoman"/>
      <w:lvlText w:val="%1."/>
      <w:lvlJc w:val="left"/>
      <w:pPr>
        <w:ind w:left="681" w:hanging="568"/>
      </w:pPr>
      <w:rPr>
        <w:rFonts w:hint="default" w:ascii="Times New Roman" w:hAnsi="Times New Roman" w:eastAsia="Times New Roman" w:cs="Times New Roman"/>
        <w:b/>
        <w:bCs/>
        <w:spacing w:val="-2"/>
        <w:w w:val="100"/>
        <w:sz w:val="24"/>
        <w:szCs w:val="24"/>
      </w:rPr>
    </w:lvl>
    <w:lvl w:ilvl="1" w:tentative="0">
      <w:start w:val="1"/>
      <w:numFmt w:val="decimal"/>
      <w:lvlText w:val="%2."/>
      <w:lvlJc w:val="left"/>
      <w:pPr>
        <w:ind w:left="681" w:hanging="568"/>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1248" w:hanging="567"/>
      </w:pPr>
      <w:rPr>
        <w:rFonts w:hint="default" w:ascii="Times New Roman" w:hAnsi="Times New Roman" w:eastAsia="Times New Roman"/>
        <w:spacing w:val="-2"/>
        <w:w w:val="100"/>
        <w:sz w:val="24"/>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50">
    <w:nsid w:val="500D493D"/>
    <w:multiLevelType w:val="multilevel"/>
    <w:tmpl w:val="500D493D"/>
    <w:lvl w:ilvl="0" w:tentative="0">
      <w:start w:val="3"/>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Times New Roman" w:cs="Times New Roman"/>
        <w:b/>
        <w:bCs/>
        <w:spacing w:val="-1"/>
        <w:w w:val="100"/>
        <w:sz w:val="24"/>
        <w:szCs w:val="24"/>
      </w:rPr>
    </w:lvl>
    <w:lvl w:ilvl="2" w:tentative="0">
      <w:start w:val="1"/>
      <w:numFmt w:val="bullet"/>
      <w:lvlText w:val="-"/>
      <w:lvlJc w:val="left"/>
      <w:pPr>
        <w:ind w:left="1248" w:hanging="567"/>
      </w:pPr>
      <w:rPr>
        <w:rFonts w:hint="default" w:ascii="Times New Roman" w:hAnsi="Times New Roman" w:eastAsia="Times New Roman"/>
        <w:spacing w:val="-2"/>
        <w:w w:val="100"/>
        <w:sz w:val="24"/>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51">
    <w:nsid w:val="50424762"/>
    <w:multiLevelType w:val="multilevel"/>
    <w:tmpl w:val="50424762"/>
    <w:lvl w:ilvl="0" w:tentative="0">
      <w:start w:val="1"/>
      <w:numFmt w:val="decimal"/>
      <w:lvlText w:val="%1."/>
      <w:lvlJc w:val="left"/>
      <w:pPr>
        <w:ind w:left="681" w:hanging="568"/>
      </w:pPr>
      <w:rPr>
        <w:rFonts w:hint="default" w:ascii="Times New Roman" w:hAnsi="Times New Roman" w:eastAsia="宋体" w:cs="Times New Roman"/>
        <w:b/>
        <w:bCs/>
        <w:spacing w:val="-1"/>
        <w:w w:val="100"/>
        <w:sz w:val="21"/>
        <w:szCs w:val="21"/>
      </w:rPr>
    </w:lvl>
    <w:lvl w:ilvl="1" w:tentative="0">
      <w:start w:val="2"/>
      <w:numFmt w:val="decimal"/>
      <w:lvlText w:val="%1.%2."/>
      <w:lvlJc w:val="left"/>
      <w:pPr>
        <w:ind w:left="681" w:hanging="568"/>
      </w:pPr>
      <w:rPr>
        <w:rFonts w:hint="default" w:ascii="Times New Roman" w:hAnsi="Times New Roman" w:eastAsia="宋体" w:cs="Times New Roman"/>
        <w:b/>
        <w:bCs/>
        <w:spacing w:val="-2"/>
        <w:w w:val="100"/>
        <w:sz w:val="24"/>
        <w:szCs w:val="24"/>
      </w:rPr>
    </w:lvl>
    <w:lvl w:ilvl="2" w:tentative="0">
      <w:start w:val="1"/>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宋体"/>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52">
    <w:nsid w:val="506F7C7B"/>
    <w:multiLevelType w:val="multilevel"/>
    <w:tmpl w:val="506F7C7B"/>
    <w:lvl w:ilvl="0" w:tentative="0">
      <w:start w:val="1"/>
      <w:numFmt w:val="upperRoman"/>
      <w:lvlText w:val="%1."/>
      <w:lvlJc w:val="left"/>
      <w:pPr>
        <w:ind w:left="681" w:hanging="568"/>
      </w:pPr>
      <w:rPr>
        <w:rFonts w:hint="default" w:ascii="Times New Roman" w:hAnsi="Times New Roman" w:eastAsia="宋体" w:cs="Times New Roman"/>
        <w:b/>
        <w:bCs/>
        <w:spacing w:val="-1"/>
        <w:w w:val="100"/>
        <w:sz w:val="24"/>
        <w:szCs w:val="24"/>
      </w:rPr>
    </w:lvl>
    <w:lvl w:ilvl="1" w:tentative="0">
      <w:start w:val="6"/>
      <w:numFmt w:val="decimal"/>
      <w:lvlText w:val="%2."/>
      <w:lvlJc w:val="left"/>
      <w:pPr>
        <w:ind w:left="681" w:hanging="568"/>
      </w:pPr>
      <w:rPr>
        <w:rFonts w:hint="default" w:ascii="Times New Roman" w:hAnsi="Times New Roman" w:eastAsia="宋体" w:cs="Times New Roman"/>
        <w:b/>
        <w:bCs/>
        <w:spacing w:val="-1"/>
        <w:w w:val="100"/>
        <w:sz w:val="21"/>
        <w:szCs w:val="21"/>
      </w:rPr>
    </w:lvl>
    <w:lvl w:ilvl="2" w:tentative="0">
      <w:start w:val="1"/>
      <w:numFmt w:val="decimal"/>
      <w:lvlText w:val="%2.%3."/>
      <w:lvlJc w:val="left"/>
      <w:pPr>
        <w:ind w:left="681" w:hanging="568"/>
      </w:pPr>
      <w:rPr>
        <w:rFonts w:hint="default" w:ascii="Times New Roman" w:hAnsi="Times New Roman" w:eastAsia="宋体" w:cs="Times New Roman"/>
        <w:spacing w:val="-2"/>
        <w:w w:val="100"/>
        <w:sz w:val="24"/>
        <w:szCs w:val="24"/>
      </w:rPr>
    </w:lvl>
    <w:lvl w:ilvl="3" w:tentative="0">
      <w:start w:val="1"/>
      <w:numFmt w:val="lowerLetter"/>
      <w:lvlText w:val="(%4)"/>
      <w:lvlJc w:val="left"/>
      <w:pPr>
        <w:ind w:left="1248" w:hanging="567"/>
      </w:pPr>
      <w:rPr>
        <w:rFonts w:hint="default" w:ascii="Times New Roman" w:hAnsi="Times New Roman" w:eastAsia="宋体" w:cs="Times New Roman"/>
        <w:spacing w:val="-2"/>
        <w:w w:val="100"/>
        <w:sz w:val="21"/>
        <w:szCs w:val="21"/>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53">
    <w:nsid w:val="508C5BA4"/>
    <w:multiLevelType w:val="multilevel"/>
    <w:tmpl w:val="508C5BA4"/>
    <w:lvl w:ilvl="0" w:tentative="0">
      <w:start w:val="1"/>
      <w:numFmt w:val="decimal"/>
      <w:lvlText w:val="%1"/>
      <w:lvlJc w:val="left"/>
      <w:pPr>
        <w:ind w:left="360" w:hanging="360"/>
      </w:pPr>
      <w:rPr>
        <w:rFonts w:ascii="Times New Roman" w:hAnsi="Times New Roman" w:eastAsia="宋体" w:cs="Times New Roman"/>
      </w:rPr>
    </w:lvl>
    <w:lvl w:ilvl="1" w:tentative="0">
      <w:start w:val="1"/>
      <w:numFmt w:val="decimal"/>
      <w:lvlText w:val="2.%2."/>
      <w:lvlJc w:val="left"/>
      <w:pPr>
        <w:tabs>
          <w:tab w:val="left" w:pos="473"/>
        </w:tabs>
        <w:ind w:left="473" w:hanging="360"/>
      </w:pPr>
      <w:rPr>
        <w:rFonts w:hint="eastAsia"/>
      </w:rPr>
    </w:lvl>
    <w:lvl w:ilvl="2" w:tentative="0">
      <w:start w:val="1"/>
      <w:numFmt w:val="decimal"/>
      <w:isLgl/>
      <w:lvlText w:val="%1.%2.%3"/>
      <w:lvlJc w:val="left"/>
      <w:pPr>
        <w:tabs>
          <w:tab w:val="left" w:pos="946"/>
        </w:tabs>
        <w:ind w:left="946" w:hanging="720"/>
      </w:pPr>
      <w:rPr>
        <w:rFonts w:hint="default"/>
      </w:rPr>
    </w:lvl>
    <w:lvl w:ilvl="3" w:tentative="0">
      <w:start w:val="1"/>
      <w:numFmt w:val="decimal"/>
      <w:isLgl/>
      <w:lvlText w:val="%1.%2.%3.%4"/>
      <w:lvlJc w:val="left"/>
      <w:pPr>
        <w:tabs>
          <w:tab w:val="left" w:pos="1059"/>
        </w:tabs>
        <w:ind w:left="1059" w:hanging="720"/>
      </w:pPr>
      <w:rPr>
        <w:rFonts w:hint="default"/>
      </w:rPr>
    </w:lvl>
    <w:lvl w:ilvl="4" w:tentative="0">
      <w:start w:val="1"/>
      <w:numFmt w:val="decimal"/>
      <w:isLgl/>
      <w:lvlText w:val="%1.%2.%3.%4.%5"/>
      <w:lvlJc w:val="left"/>
      <w:pPr>
        <w:tabs>
          <w:tab w:val="left" w:pos="1532"/>
        </w:tabs>
        <w:ind w:left="1532" w:hanging="1080"/>
      </w:pPr>
      <w:rPr>
        <w:rFonts w:hint="default"/>
      </w:rPr>
    </w:lvl>
    <w:lvl w:ilvl="5" w:tentative="0">
      <w:start w:val="1"/>
      <w:numFmt w:val="decimal"/>
      <w:isLgl/>
      <w:lvlText w:val="%1.%2.%3.%4.%5.%6"/>
      <w:lvlJc w:val="left"/>
      <w:pPr>
        <w:tabs>
          <w:tab w:val="left" w:pos="1645"/>
        </w:tabs>
        <w:ind w:left="1645" w:hanging="1080"/>
      </w:pPr>
      <w:rPr>
        <w:rFonts w:hint="default"/>
      </w:rPr>
    </w:lvl>
    <w:lvl w:ilvl="6" w:tentative="0">
      <w:start w:val="1"/>
      <w:numFmt w:val="decimal"/>
      <w:isLgl/>
      <w:lvlText w:val="%1.%2.%3.%4.%5.%6.%7"/>
      <w:lvlJc w:val="left"/>
      <w:pPr>
        <w:tabs>
          <w:tab w:val="left" w:pos="1758"/>
        </w:tabs>
        <w:ind w:left="1758" w:hanging="1080"/>
      </w:pPr>
      <w:rPr>
        <w:rFonts w:hint="default"/>
      </w:rPr>
    </w:lvl>
    <w:lvl w:ilvl="7" w:tentative="0">
      <w:start w:val="1"/>
      <w:numFmt w:val="decimal"/>
      <w:isLgl/>
      <w:lvlText w:val="%1.%2.%3.%4.%5.%6.%7.%8"/>
      <w:lvlJc w:val="left"/>
      <w:pPr>
        <w:tabs>
          <w:tab w:val="left" w:pos="2231"/>
        </w:tabs>
        <w:ind w:left="2231" w:hanging="1440"/>
      </w:pPr>
      <w:rPr>
        <w:rFonts w:hint="default"/>
      </w:rPr>
    </w:lvl>
    <w:lvl w:ilvl="8" w:tentative="0">
      <w:start w:val="1"/>
      <w:numFmt w:val="decimal"/>
      <w:isLgl/>
      <w:lvlText w:val="%1.%2.%3.%4.%5.%6.%7.%8.%9"/>
      <w:lvlJc w:val="left"/>
      <w:pPr>
        <w:tabs>
          <w:tab w:val="left" w:pos="2344"/>
        </w:tabs>
        <w:ind w:left="2344" w:hanging="1440"/>
      </w:pPr>
      <w:rPr>
        <w:rFonts w:hint="default"/>
      </w:rPr>
    </w:lvl>
  </w:abstractNum>
  <w:abstractNum w:abstractNumId="154">
    <w:nsid w:val="51CF294C"/>
    <w:multiLevelType w:val="multilevel"/>
    <w:tmpl w:val="51CF294C"/>
    <w:lvl w:ilvl="0" w:tentative="0">
      <w:start w:val="1"/>
      <w:numFmt w:val="decimal"/>
      <w:lvlText w:val="%1."/>
      <w:lvlJc w:val="left"/>
      <w:pPr>
        <w:ind w:left="681" w:hanging="569"/>
      </w:pPr>
      <w:rPr>
        <w:rFonts w:hint="default" w:ascii="Times New Roman" w:hAnsi="Times New Roman" w:eastAsia="Times New Roman" w:cs="Times New Roman"/>
        <w:spacing w:val="-5"/>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55">
    <w:nsid w:val="53467778"/>
    <w:multiLevelType w:val="multilevel"/>
    <w:tmpl w:val="53467778"/>
    <w:lvl w:ilvl="0" w:tentative="0">
      <w:start w:val="4"/>
      <w:numFmt w:val="lowerLetter"/>
      <w:lvlText w:val="(%1)"/>
      <w:lvlJc w:val="left"/>
      <w:pPr>
        <w:ind w:left="681" w:hanging="567"/>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7"/>
      </w:pPr>
      <w:rPr>
        <w:rFonts w:hint="default"/>
      </w:rPr>
    </w:lvl>
    <w:lvl w:ilvl="2" w:tentative="0">
      <w:start w:val="1"/>
      <w:numFmt w:val="bullet"/>
      <w:lvlText w:val="•"/>
      <w:lvlJc w:val="left"/>
      <w:pPr>
        <w:ind w:left="2517" w:hanging="567"/>
      </w:pPr>
      <w:rPr>
        <w:rFonts w:hint="default"/>
      </w:rPr>
    </w:lvl>
    <w:lvl w:ilvl="3" w:tentative="0">
      <w:start w:val="1"/>
      <w:numFmt w:val="bullet"/>
      <w:lvlText w:val="•"/>
      <w:lvlJc w:val="left"/>
      <w:pPr>
        <w:ind w:left="3436" w:hanging="567"/>
      </w:pPr>
      <w:rPr>
        <w:rFonts w:hint="default"/>
      </w:rPr>
    </w:lvl>
    <w:lvl w:ilvl="4" w:tentative="0">
      <w:start w:val="1"/>
      <w:numFmt w:val="bullet"/>
      <w:lvlText w:val="•"/>
      <w:lvlJc w:val="left"/>
      <w:pPr>
        <w:ind w:left="4355" w:hanging="567"/>
      </w:pPr>
      <w:rPr>
        <w:rFonts w:hint="default"/>
      </w:rPr>
    </w:lvl>
    <w:lvl w:ilvl="5" w:tentative="0">
      <w:start w:val="1"/>
      <w:numFmt w:val="bullet"/>
      <w:lvlText w:val="•"/>
      <w:lvlJc w:val="left"/>
      <w:pPr>
        <w:ind w:left="5273" w:hanging="567"/>
      </w:pPr>
      <w:rPr>
        <w:rFonts w:hint="default"/>
      </w:rPr>
    </w:lvl>
    <w:lvl w:ilvl="6" w:tentative="0">
      <w:start w:val="1"/>
      <w:numFmt w:val="bullet"/>
      <w:lvlText w:val="•"/>
      <w:lvlJc w:val="left"/>
      <w:pPr>
        <w:ind w:left="6192" w:hanging="567"/>
      </w:pPr>
      <w:rPr>
        <w:rFonts w:hint="default"/>
      </w:rPr>
    </w:lvl>
    <w:lvl w:ilvl="7" w:tentative="0">
      <w:start w:val="1"/>
      <w:numFmt w:val="bullet"/>
      <w:lvlText w:val="•"/>
      <w:lvlJc w:val="left"/>
      <w:pPr>
        <w:ind w:left="7111" w:hanging="567"/>
      </w:pPr>
      <w:rPr>
        <w:rFonts w:hint="default"/>
      </w:rPr>
    </w:lvl>
    <w:lvl w:ilvl="8" w:tentative="0">
      <w:start w:val="1"/>
      <w:numFmt w:val="bullet"/>
      <w:lvlText w:val="•"/>
      <w:lvlJc w:val="left"/>
      <w:pPr>
        <w:ind w:left="8030" w:hanging="567"/>
      </w:pPr>
      <w:rPr>
        <w:rFonts w:hint="default"/>
      </w:rPr>
    </w:lvl>
  </w:abstractNum>
  <w:abstractNum w:abstractNumId="156">
    <w:nsid w:val="5386766B"/>
    <w:multiLevelType w:val="multilevel"/>
    <w:tmpl w:val="5386766B"/>
    <w:lvl w:ilvl="0" w:tentative="0">
      <w:start w:val="3"/>
      <w:numFmt w:val="decimal"/>
      <w:lvlText w:val="%1."/>
      <w:lvlJc w:val="left"/>
      <w:pPr>
        <w:ind w:left="681" w:hanging="568"/>
      </w:pPr>
      <w:rPr>
        <w:rFonts w:hint="default" w:ascii="Times New Roman" w:hAnsi="Times New Roman" w:eastAsia="Times New Roman" w:cs="Times New Roman"/>
        <w:spacing w:val="-2"/>
        <w:w w:val="100"/>
        <w:sz w:val="24"/>
        <w:szCs w:val="24"/>
      </w:rPr>
    </w:lvl>
    <w:lvl w:ilvl="1" w:tentative="0">
      <w:start w:val="1"/>
      <w:numFmt w:val="bullet"/>
      <w:lvlText w:val="-"/>
      <w:lvlJc w:val="left"/>
      <w:pPr>
        <w:ind w:left="1248" w:hanging="567"/>
      </w:pPr>
      <w:rPr>
        <w:rFonts w:hint="default" w:ascii="Times New Roman" w:hAnsi="Times New Roman" w:eastAsia="Times New Roman"/>
        <w:spacing w:val="-2"/>
        <w:w w:val="100"/>
        <w:sz w:val="24"/>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57">
    <w:nsid w:val="54045799"/>
    <w:multiLevelType w:val="multilevel"/>
    <w:tmpl w:val="54045799"/>
    <w:lvl w:ilvl="0" w:tentative="0">
      <w:start w:val="1"/>
      <w:numFmt w:val="decimal"/>
      <w:lvlText w:val="%1."/>
      <w:lvlJc w:val="left"/>
      <w:pPr>
        <w:ind w:left="681" w:hanging="568"/>
      </w:pPr>
      <w:rPr>
        <w:rFonts w:hint="default" w:ascii="Times New Roman" w:hAnsi="Times New Roman" w:eastAsia="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58">
    <w:nsid w:val="558B05ED"/>
    <w:multiLevelType w:val="multilevel"/>
    <w:tmpl w:val="558B05ED"/>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lang w:val="en-US"/>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59">
    <w:nsid w:val="55FE3417"/>
    <w:multiLevelType w:val="multilevel"/>
    <w:tmpl w:val="55FE3417"/>
    <w:lvl w:ilvl="0" w:tentative="0">
      <w:start w:val="1"/>
      <w:numFmt w:val="lowerLetter"/>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60">
    <w:nsid w:val="56B22949"/>
    <w:multiLevelType w:val="multilevel"/>
    <w:tmpl w:val="56B22949"/>
    <w:lvl w:ilvl="0" w:tentative="0">
      <w:start w:val="1"/>
      <w:numFmt w:val="lowerLetter"/>
      <w:lvlText w:val="(%1)"/>
      <w:lvlJc w:val="left"/>
      <w:pPr>
        <w:ind w:left="1248" w:hanging="567"/>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161">
    <w:nsid w:val="579A651C"/>
    <w:multiLevelType w:val="multilevel"/>
    <w:tmpl w:val="579A651C"/>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62">
    <w:nsid w:val="5821366A"/>
    <w:multiLevelType w:val="multilevel"/>
    <w:tmpl w:val="5821366A"/>
    <w:lvl w:ilvl="0" w:tentative="0">
      <w:start w:val="2"/>
      <w:numFmt w:val="decimal"/>
      <w:lvlText w:val="%1."/>
      <w:lvlJc w:val="left"/>
      <w:pPr>
        <w:ind w:left="681" w:hanging="568"/>
      </w:pPr>
      <w:rPr>
        <w:rFonts w:hint="default" w:ascii="Times New Roman" w:hAnsi="Times New Roman" w:eastAsia="Times New Roman" w:cs="Times New Roman"/>
        <w:spacing w:val="-3"/>
        <w:w w:val="100"/>
        <w:sz w:val="24"/>
        <w:szCs w:val="24"/>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63">
    <w:nsid w:val="58FF0967"/>
    <w:multiLevelType w:val="multilevel"/>
    <w:tmpl w:val="58FF0967"/>
    <w:lvl w:ilvl="0" w:tentative="0">
      <w:start w:val="5"/>
      <w:numFmt w:val="decimal"/>
      <w:lvlText w:val="%1."/>
      <w:lvlJc w:val="left"/>
      <w:pPr>
        <w:ind w:left="681" w:hanging="568"/>
      </w:pPr>
      <w:rPr>
        <w:rFonts w:hint="default" w:ascii="Times New Roman" w:hAnsi="Times New Roman" w:eastAsia="宋体" w:cs="Times New Roman"/>
        <w:spacing w:val="-2"/>
        <w:w w:val="10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4">
    <w:nsid w:val="597229C6"/>
    <w:multiLevelType w:val="multilevel"/>
    <w:tmpl w:val="597229C6"/>
    <w:lvl w:ilvl="0" w:tentative="0">
      <w:start w:val="6"/>
      <w:numFmt w:val="decimal"/>
      <w:lvlText w:val="%1"/>
      <w:lvlJc w:val="left"/>
      <w:pPr>
        <w:ind w:left="595" w:hanging="481"/>
      </w:pPr>
      <w:rPr>
        <w:rFonts w:hint="default" w:cs="Times New Roman"/>
      </w:rPr>
    </w:lvl>
    <w:lvl w:ilvl="1" w:tentative="0">
      <w:start w:val="5"/>
      <w:numFmt w:val="decimal"/>
      <w:lvlText w:val="%1.%2"/>
      <w:lvlJc w:val="left"/>
      <w:pPr>
        <w:ind w:left="595" w:hanging="481"/>
      </w:pPr>
      <w:rPr>
        <w:rFonts w:hint="default" w:cs="Times New Roman"/>
      </w:rPr>
    </w:lvl>
    <w:lvl w:ilvl="2" w:tentative="0">
      <w:start w:val="1"/>
      <w:numFmt w:val="decimal"/>
      <w:lvlText w:val="%1.%2.%3"/>
      <w:lvlJc w:val="left"/>
      <w:pPr>
        <w:ind w:left="595" w:hanging="481"/>
      </w:pPr>
      <w:rPr>
        <w:rFonts w:hint="default" w:ascii="Times New Roman" w:hAnsi="Times New Roman" w:eastAsia="Times New Roman" w:cs="Times New Roman"/>
        <w:spacing w:val="-2"/>
        <w:w w:val="100"/>
        <w:sz w:val="24"/>
        <w:szCs w:val="24"/>
      </w:rPr>
    </w:lvl>
    <w:lvl w:ilvl="3" w:tentative="0">
      <w:start w:val="1"/>
      <w:numFmt w:val="lowerLetter"/>
      <w:lvlText w:val="(%4)"/>
      <w:lvlJc w:val="left"/>
      <w:pPr>
        <w:ind w:left="1532" w:hanging="568"/>
      </w:pPr>
      <w:rPr>
        <w:rFonts w:hint="default" w:ascii="Times New Roman" w:hAnsi="Times New Roman" w:eastAsia="Times New Roman" w:cs="Times New Roman"/>
        <w:spacing w:val="-2"/>
        <w:w w:val="100"/>
        <w:sz w:val="21"/>
        <w:szCs w:val="21"/>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165">
    <w:nsid w:val="597E06AC"/>
    <w:multiLevelType w:val="multilevel"/>
    <w:tmpl w:val="597E06AC"/>
    <w:lvl w:ilvl="0" w:tentative="0">
      <w:start w:val="7"/>
      <w:numFmt w:val="lowerLetter"/>
      <w:lvlText w:val="(%1)"/>
      <w:lvlJc w:val="left"/>
      <w:pPr>
        <w:ind w:left="1248" w:hanging="567"/>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166">
    <w:nsid w:val="59F144D0"/>
    <w:multiLevelType w:val="multilevel"/>
    <w:tmpl w:val="59F144D0"/>
    <w:lvl w:ilvl="0" w:tentative="0">
      <w:start w:val="6"/>
      <w:numFmt w:val="decimal"/>
      <w:lvlText w:val="%1."/>
      <w:lvlJc w:val="left"/>
      <w:pPr>
        <w:ind w:left="681" w:hanging="568"/>
      </w:pPr>
      <w:rPr>
        <w:rFonts w:hint="default" w:ascii="Times New Roman" w:hAnsi="Times New Roman" w:eastAsia="宋体" w:cs="Times New Roman"/>
        <w:b/>
        <w:bCs/>
        <w:spacing w:val="-1"/>
        <w:w w:val="100"/>
        <w:sz w:val="24"/>
        <w:szCs w:val="24"/>
      </w:rPr>
    </w:lvl>
    <w:lvl w:ilvl="1" w:tentative="0">
      <w:start w:val="1"/>
      <w:numFmt w:val="decimal"/>
      <w:lvlText w:val="%1.%2."/>
      <w:lvlJc w:val="left"/>
      <w:pPr>
        <w:ind w:left="681" w:hanging="568"/>
      </w:pPr>
      <w:rPr>
        <w:rFonts w:hint="default" w:ascii="Times New Roman" w:hAnsi="Times New Roman" w:eastAsia="宋体" w:cs="Times New Roman"/>
        <w:b/>
        <w:bCs/>
        <w:spacing w:val="-2"/>
        <w:w w:val="100"/>
        <w:sz w:val="21"/>
        <w:szCs w:val="21"/>
      </w:rPr>
    </w:lvl>
    <w:lvl w:ilvl="2" w:tentative="0">
      <w:start w:val="1"/>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宋体"/>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67">
    <w:nsid w:val="5A96798B"/>
    <w:multiLevelType w:val="multilevel"/>
    <w:tmpl w:val="5A96798B"/>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68">
    <w:nsid w:val="5B5925C0"/>
    <w:multiLevelType w:val="multilevel"/>
    <w:tmpl w:val="5B5925C0"/>
    <w:lvl w:ilvl="0" w:tentative="0">
      <w:start w:val="2"/>
      <w:numFmt w:val="upperRoman"/>
      <w:lvlText w:val="%1."/>
      <w:lvlJc w:val="left"/>
      <w:pPr>
        <w:ind w:left="681" w:hanging="568"/>
      </w:pPr>
      <w:rPr>
        <w:rFonts w:hint="default" w:ascii="Times New Roman" w:hAnsi="Times New Roman" w:eastAsia="Times New Roman" w:cs="Times New Roman"/>
        <w:b/>
        <w:bCs/>
        <w:spacing w:val="-2"/>
        <w:w w:val="100"/>
        <w:sz w:val="24"/>
        <w:szCs w:val="24"/>
      </w:rPr>
    </w:lvl>
    <w:lvl w:ilvl="1" w:tentative="0">
      <w:start w:val="1"/>
      <w:numFmt w:val="decimal"/>
      <w:lvlText w:val="%2."/>
      <w:lvlJc w:val="left"/>
      <w:pPr>
        <w:ind w:left="681" w:hanging="568"/>
      </w:pPr>
      <w:rPr>
        <w:rFonts w:hint="default" w:ascii="Times New Roman" w:hAnsi="Times New Roman" w:eastAsia="Times New Roman" w:cs="Times New Roman"/>
        <w:b/>
        <w:bCs/>
        <w:spacing w:val="-2"/>
        <w:w w:val="100"/>
        <w:sz w:val="24"/>
        <w:szCs w:val="24"/>
      </w:rPr>
    </w:lvl>
    <w:lvl w:ilvl="2" w:tentative="0">
      <w:start w:val="1"/>
      <w:numFmt w:val="decimal"/>
      <w:lvlText w:val="%2.%3."/>
      <w:lvlJc w:val="left"/>
      <w:pPr>
        <w:ind w:left="681" w:hanging="568"/>
      </w:pPr>
      <w:rPr>
        <w:rFonts w:hint="default" w:ascii="Times New Roman" w:hAnsi="Times New Roman" w:eastAsia="Times New Roman" w:cs="Times New Roman"/>
        <w:spacing w:val="-2"/>
        <w:w w:val="100"/>
        <w:sz w:val="24"/>
        <w:szCs w:val="24"/>
      </w:rPr>
    </w:lvl>
    <w:lvl w:ilvl="3" w:tentative="0">
      <w:start w:val="1"/>
      <w:numFmt w:val="bullet"/>
      <w:lvlText w:val="-"/>
      <w:lvlJc w:val="left"/>
      <w:pPr>
        <w:ind w:left="1248" w:hanging="567"/>
      </w:pPr>
      <w:rPr>
        <w:rFonts w:hint="default" w:ascii="Times New Roman" w:hAnsi="Times New Roman" w:eastAsia="Times New Roman"/>
        <w:spacing w:val="-2"/>
        <w:w w:val="100"/>
        <w:sz w:val="24"/>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69">
    <w:nsid w:val="5BCF4E27"/>
    <w:multiLevelType w:val="multilevel"/>
    <w:tmpl w:val="5BCF4E27"/>
    <w:lvl w:ilvl="0" w:tentative="0">
      <w:start w:val="1"/>
      <w:numFmt w:val="bullet"/>
      <w:lvlText w:val="-"/>
      <w:lvlJc w:val="left"/>
      <w:pPr>
        <w:tabs>
          <w:tab w:val="left" w:pos="473"/>
        </w:tabs>
        <w:ind w:left="473" w:hanging="360"/>
      </w:pPr>
      <w:rPr>
        <w:rFonts w:hint="default" w:ascii="Arial" w:hAnsi="Arial" w:eastAsia="宋体" w:cs="Arial"/>
      </w:rPr>
    </w:lvl>
    <w:lvl w:ilvl="1" w:tentative="0">
      <w:start w:val="1"/>
      <w:numFmt w:val="bullet"/>
      <w:lvlText w:val=""/>
      <w:lvlJc w:val="left"/>
      <w:pPr>
        <w:tabs>
          <w:tab w:val="left" w:pos="953"/>
        </w:tabs>
        <w:ind w:left="953" w:hanging="420"/>
      </w:pPr>
      <w:rPr>
        <w:rFonts w:hint="default" w:ascii="Wingdings" w:hAnsi="Wingdings"/>
      </w:rPr>
    </w:lvl>
    <w:lvl w:ilvl="2" w:tentative="0">
      <w:start w:val="1"/>
      <w:numFmt w:val="bullet"/>
      <w:lvlText w:val=""/>
      <w:lvlJc w:val="left"/>
      <w:pPr>
        <w:tabs>
          <w:tab w:val="left" w:pos="1373"/>
        </w:tabs>
        <w:ind w:left="1373" w:hanging="420"/>
      </w:pPr>
      <w:rPr>
        <w:rFonts w:hint="default" w:ascii="Wingdings" w:hAnsi="Wingdings"/>
      </w:rPr>
    </w:lvl>
    <w:lvl w:ilvl="3" w:tentative="0">
      <w:start w:val="1"/>
      <w:numFmt w:val="bullet"/>
      <w:lvlText w:val=""/>
      <w:lvlJc w:val="left"/>
      <w:pPr>
        <w:tabs>
          <w:tab w:val="left" w:pos="1793"/>
        </w:tabs>
        <w:ind w:left="1793" w:hanging="420"/>
      </w:pPr>
      <w:rPr>
        <w:rFonts w:hint="default" w:ascii="Wingdings" w:hAnsi="Wingdings"/>
      </w:rPr>
    </w:lvl>
    <w:lvl w:ilvl="4" w:tentative="0">
      <w:start w:val="1"/>
      <w:numFmt w:val="bullet"/>
      <w:lvlText w:val=""/>
      <w:lvlJc w:val="left"/>
      <w:pPr>
        <w:tabs>
          <w:tab w:val="left" w:pos="2213"/>
        </w:tabs>
        <w:ind w:left="2213" w:hanging="420"/>
      </w:pPr>
      <w:rPr>
        <w:rFonts w:hint="default" w:ascii="Wingdings" w:hAnsi="Wingdings"/>
      </w:rPr>
    </w:lvl>
    <w:lvl w:ilvl="5" w:tentative="0">
      <w:start w:val="1"/>
      <w:numFmt w:val="bullet"/>
      <w:lvlText w:val=""/>
      <w:lvlJc w:val="left"/>
      <w:pPr>
        <w:tabs>
          <w:tab w:val="left" w:pos="2633"/>
        </w:tabs>
        <w:ind w:left="2633" w:hanging="420"/>
      </w:pPr>
      <w:rPr>
        <w:rFonts w:hint="default" w:ascii="Wingdings" w:hAnsi="Wingdings"/>
      </w:rPr>
    </w:lvl>
    <w:lvl w:ilvl="6" w:tentative="0">
      <w:start w:val="1"/>
      <w:numFmt w:val="bullet"/>
      <w:lvlText w:val=""/>
      <w:lvlJc w:val="left"/>
      <w:pPr>
        <w:tabs>
          <w:tab w:val="left" w:pos="3053"/>
        </w:tabs>
        <w:ind w:left="3053" w:hanging="420"/>
      </w:pPr>
      <w:rPr>
        <w:rFonts w:hint="default" w:ascii="Wingdings" w:hAnsi="Wingdings"/>
      </w:rPr>
    </w:lvl>
    <w:lvl w:ilvl="7" w:tentative="0">
      <w:start w:val="1"/>
      <w:numFmt w:val="bullet"/>
      <w:lvlText w:val=""/>
      <w:lvlJc w:val="left"/>
      <w:pPr>
        <w:tabs>
          <w:tab w:val="left" w:pos="3473"/>
        </w:tabs>
        <w:ind w:left="3473" w:hanging="420"/>
      </w:pPr>
      <w:rPr>
        <w:rFonts w:hint="default" w:ascii="Wingdings" w:hAnsi="Wingdings"/>
      </w:rPr>
    </w:lvl>
    <w:lvl w:ilvl="8" w:tentative="0">
      <w:start w:val="1"/>
      <w:numFmt w:val="bullet"/>
      <w:lvlText w:val=""/>
      <w:lvlJc w:val="left"/>
      <w:pPr>
        <w:tabs>
          <w:tab w:val="left" w:pos="3893"/>
        </w:tabs>
        <w:ind w:left="3893" w:hanging="420"/>
      </w:pPr>
      <w:rPr>
        <w:rFonts w:hint="default" w:ascii="Wingdings" w:hAnsi="Wingdings"/>
      </w:rPr>
    </w:lvl>
  </w:abstractNum>
  <w:abstractNum w:abstractNumId="170">
    <w:nsid w:val="5C6601C8"/>
    <w:multiLevelType w:val="multilevel"/>
    <w:tmpl w:val="5C6601C8"/>
    <w:lvl w:ilvl="0" w:tentative="0">
      <w:start w:val="5"/>
      <w:numFmt w:val="decimal"/>
      <w:lvlText w:val="%1."/>
      <w:lvlJc w:val="left"/>
      <w:pPr>
        <w:tabs>
          <w:tab w:val="left" w:pos="0"/>
        </w:tabs>
        <w:ind w:left="681" w:hanging="568"/>
      </w:pPr>
      <w:rPr>
        <w:rFonts w:hint="default" w:ascii="Times New Roman" w:hAnsi="Times New Roman" w:eastAsia="宋体" w:cs="Times New Roman"/>
        <w:spacing w:val="-2"/>
        <w:w w:val="100"/>
        <w:sz w:val="21"/>
        <w:szCs w:val="21"/>
      </w:rPr>
    </w:lvl>
    <w:lvl w:ilvl="1" w:tentative="0">
      <w:start w:val="1"/>
      <w:numFmt w:val="decimal"/>
      <w:lvlText w:val="%1.%2."/>
      <w:lvlJc w:val="left"/>
      <w:pPr>
        <w:tabs>
          <w:tab w:val="left" w:pos="0"/>
        </w:tabs>
        <w:ind w:left="681" w:hanging="568"/>
      </w:pPr>
      <w:rPr>
        <w:rFonts w:hint="default" w:ascii="Times New Roman" w:hAnsi="Times New Roman" w:eastAsia="宋体" w:cs="Times New Roman"/>
        <w:spacing w:val="-2"/>
        <w:w w:val="100"/>
        <w:sz w:val="21"/>
        <w:szCs w:val="21"/>
      </w:rPr>
    </w:lvl>
    <w:lvl w:ilvl="2" w:tentative="0">
      <w:start w:val="1"/>
      <w:numFmt w:val="lowerLetter"/>
      <w:lvlText w:val="(%3)"/>
      <w:lvlJc w:val="left"/>
      <w:pPr>
        <w:tabs>
          <w:tab w:val="left" w:pos="0"/>
        </w:tabs>
        <w:ind w:left="1248" w:hanging="567"/>
      </w:pPr>
      <w:rPr>
        <w:rFonts w:hint="default" w:ascii="Times New Roman" w:hAnsi="Times New Roman" w:eastAsia="宋体" w:cs="Times New Roman"/>
        <w:spacing w:val="-2"/>
        <w:w w:val="100"/>
        <w:sz w:val="21"/>
        <w:szCs w:val="21"/>
      </w:rPr>
    </w:lvl>
    <w:lvl w:ilvl="3" w:tentative="0">
      <w:start w:val="1"/>
      <w:numFmt w:val="lowerLetter"/>
      <w:lvlText w:val="(%4)"/>
      <w:lvlJc w:val="left"/>
      <w:pPr>
        <w:tabs>
          <w:tab w:val="left" w:pos="0"/>
        </w:tabs>
        <w:ind w:left="1575" w:hanging="328"/>
      </w:pPr>
      <w:rPr>
        <w:rFonts w:hint="default" w:ascii="Times New Roman" w:hAnsi="Times New Roman" w:eastAsia="宋体" w:cs="Times New Roman"/>
        <w:spacing w:val="-2"/>
        <w:w w:val="100"/>
        <w:sz w:val="24"/>
        <w:szCs w:val="24"/>
      </w:rPr>
    </w:lvl>
    <w:lvl w:ilvl="4" w:tentative="0">
      <w:start w:val="1"/>
      <w:numFmt w:val="bullet"/>
      <w:lvlText w:val="•"/>
      <w:lvlJc w:val="left"/>
      <w:pPr>
        <w:tabs>
          <w:tab w:val="left" w:pos="0"/>
        </w:tabs>
        <w:ind w:left="3651" w:hanging="328"/>
      </w:pPr>
      <w:rPr>
        <w:rFonts w:hint="default"/>
      </w:rPr>
    </w:lvl>
    <w:lvl w:ilvl="5" w:tentative="0">
      <w:start w:val="1"/>
      <w:numFmt w:val="bullet"/>
      <w:lvlText w:val="•"/>
      <w:lvlJc w:val="left"/>
      <w:pPr>
        <w:tabs>
          <w:tab w:val="left" w:pos="0"/>
        </w:tabs>
        <w:ind w:left="4687" w:hanging="328"/>
      </w:pPr>
      <w:rPr>
        <w:rFonts w:hint="default"/>
      </w:rPr>
    </w:lvl>
    <w:lvl w:ilvl="6" w:tentative="0">
      <w:start w:val="1"/>
      <w:numFmt w:val="bullet"/>
      <w:lvlText w:val="•"/>
      <w:lvlJc w:val="left"/>
      <w:pPr>
        <w:tabs>
          <w:tab w:val="left" w:pos="0"/>
        </w:tabs>
        <w:ind w:left="5723" w:hanging="328"/>
      </w:pPr>
      <w:rPr>
        <w:rFonts w:hint="default"/>
      </w:rPr>
    </w:lvl>
    <w:lvl w:ilvl="7" w:tentative="0">
      <w:start w:val="1"/>
      <w:numFmt w:val="bullet"/>
      <w:lvlText w:val="•"/>
      <w:lvlJc w:val="left"/>
      <w:pPr>
        <w:tabs>
          <w:tab w:val="left" w:pos="0"/>
        </w:tabs>
        <w:ind w:left="6759" w:hanging="328"/>
      </w:pPr>
      <w:rPr>
        <w:rFonts w:hint="default"/>
      </w:rPr>
    </w:lvl>
    <w:lvl w:ilvl="8" w:tentative="0">
      <w:start w:val="1"/>
      <w:numFmt w:val="bullet"/>
      <w:lvlText w:val="•"/>
      <w:lvlJc w:val="left"/>
      <w:pPr>
        <w:tabs>
          <w:tab w:val="left" w:pos="0"/>
        </w:tabs>
        <w:ind w:left="7795" w:hanging="328"/>
      </w:pPr>
      <w:rPr>
        <w:rFonts w:hint="default"/>
      </w:rPr>
    </w:lvl>
  </w:abstractNum>
  <w:abstractNum w:abstractNumId="171">
    <w:nsid w:val="5C846BD3"/>
    <w:multiLevelType w:val="multilevel"/>
    <w:tmpl w:val="5C846BD3"/>
    <w:lvl w:ilvl="0" w:tentative="0">
      <w:start w:val="19"/>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宋体" w:cs="Times New Roman"/>
        <w:b/>
        <w:bCs/>
        <w:w w:val="100"/>
        <w:sz w:val="24"/>
        <w:szCs w:val="24"/>
      </w:rPr>
    </w:lvl>
    <w:lvl w:ilvl="2" w:tentative="0">
      <w:start w:val="5"/>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宋体"/>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72">
    <w:nsid w:val="5CB30EE5"/>
    <w:multiLevelType w:val="multilevel"/>
    <w:tmpl w:val="5CB30EE5"/>
    <w:lvl w:ilvl="0" w:tentative="0">
      <w:start w:val="5"/>
      <w:numFmt w:val="decimal"/>
      <w:lvlText w:val="%1."/>
      <w:lvlJc w:val="left"/>
      <w:pPr>
        <w:ind w:left="681" w:hanging="568"/>
      </w:pPr>
      <w:rPr>
        <w:rFonts w:hint="default" w:ascii="Times New Roman" w:hAnsi="Times New Roman" w:eastAsia="宋体" w:cs="Times New Roman"/>
        <w:spacing w:val="-2"/>
        <w:w w:val="100"/>
        <w:sz w:val="21"/>
        <w:szCs w:val="21"/>
      </w:rPr>
    </w:lvl>
    <w:lvl w:ilvl="1" w:tentative="0">
      <w:start w:val="4"/>
      <w:numFmt w:val="lowerLetter"/>
      <w:lvlText w:val="(%2)"/>
      <w:lvlJc w:val="left"/>
      <w:pPr>
        <w:ind w:left="840" w:hanging="420"/>
      </w:pPr>
      <w:rPr>
        <w:rFonts w:hint="default" w:ascii="Times New Roman" w:hAnsi="Times New Roman" w:eastAsia="Times New Roman" w:cs="Times New Roman"/>
        <w:spacing w:val="-2"/>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3">
    <w:nsid w:val="5EEB2642"/>
    <w:multiLevelType w:val="multilevel"/>
    <w:tmpl w:val="5EEB2642"/>
    <w:lvl w:ilvl="0" w:tentative="0">
      <w:start w:val="3"/>
      <w:numFmt w:val="decimal"/>
      <w:lvlText w:val="%1"/>
      <w:lvlJc w:val="left"/>
      <w:pPr>
        <w:ind w:left="964" w:hanging="851"/>
      </w:pPr>
      <w:rPr>
        <w:rFonts w:hint="default" w:cs="Times New Roman"/>
      </w:rPr>
    </w:lvl>
    <w:lvl w:ilvl="1" w:tentative="0">
      <w:start w:val="2"/>
      <w:numFmt w:val="decimal"/>
      <w:lvlText w:val="%1.%2."/>
      <w:lvlJc w:val="left"/>
      <w:pPr>
        <w:ind w:left="964" w:hanging="851"/>
      </w:pPr>
      <w:rPr>
        <w:rFonts w:hint="default" w:ascii="Times New Roman" w:hAnsi="Times New Roman" w:eastAsia="Times New Roman" w:cs="Times New Roman"/>
        <w:b/>
        <w:bCs/>
        <w:spacing w:val="-2"/>
        <w:w w:val="100"/>
        <w:sz w:val="21"/>
        <w:szCs w:val="21"/>
      </w:rPr>
    </w:lvl>
    <w:lvl w:ilvl="2" w:tentative="0">
      <w:start w:val="1"/>
      <w:numFmt w:val="decimal"/>
      <w:lvlText w:val="%1.%2.%3."/>
      <w:lvlJc w:val="left"/>
      <w:pPr>
        <w:ind w:left="964" w:hanging="851"/>
      </w:pPr>
      <w:rPr>
        <w:rFonts w:hint="default" w:ascii="Times New Roman" w:hAnsi="Times New Roman" w:eastAsia="Times New Roman" w:cs="Times New Roman"/>
        <w:spacing w:val="-3"/>
        <w:w w:val="100"/>
        <w:sz w:val="21"/>
        <w:szCs w:val="21"/>
      </w:rPr>
    </w:lvl>
    <w:lvl w:ilvl="3" w:tentative="0">
      <w:start w:val="1"/>
      <w:numFmt w:val="bullet"/>
      <w:lvlText w:val="-"/>
      <w:lvlJc w:val="left"/>
      <w:pPr>
        <w:ind w:left="1532" w:hanging="568"/>
      </w:pPr>
      <w:rPr>
        <w:rFonts w:hint="default" w:ascii="Times New Roman" w:hAnsi="Times New Roman" w:eastAsia="Times New Roman"/>
        <w:spacing w:val="-2"/>
        <w:w w:val="100"/>
        <w:sz w:val="24"/>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174">
    <w:nsid w:val="5F6904E5"/>
    <w:multiLevelType w:val="multilevel"/>
    <w:tmpl w:val="5F6904E5"/>
    <w:lvl w:ilvl="0" w:tentative="0">
      <w:start w:val="13"/>
      <w:numFmt w:val="decimal"/>
      <w:lvlText w:val="%1"/>
      <w:lvlJc w:val="left"/>
      <w:pPr>
        <w:ind w:left="681" w:hanging="568"/>
      </w:pPr>
      <w:rPr>
        <w:rFonts w:hint="default" w:cs="Times New Roman"/>
      </w:rPr>
    </w:lvl>
    <w:lvl w:ilvl="1" w:tentative="0">
      <w:start w:val="4"/>
      <w:numFmt w:val="decimal"/>
      <w:lvlText w:val="%1.%2."/>
      <w:lvlJc w:val="left"/>
      <w:pPr>
        <w:ind w:left="681" w:hanging="568"/>
      </w:pPr>
      <w:rPr>
        <w:rFonts w:hint="default" w:ascii="Times New Roman" w:hAnsi="Times New Roman" w:eastAsia="Times New Roman" w:cs="Times New Roman"/>
        <w:w w:val="100"/>
        <w:sz w:val="24"/>
        <w:szCs w:val="24"/>
      </w:rPr>
    </w:lvl>
    <w:lvl w:ilvl="2" w:tentative="0">
      <w:start w:val="1"/>
      <w:numFmt w:val="lowerLetter"/>
      <w:lvlText w:val="(%3)"/>
      <w:lvlJc w:val="left"/>
      <w:pPr>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75">
    <w:nsid w:val="5F994007"/>
    <w:multiLevelType w:val="multilevel"/>
    <w:tmpl w:val="5F994007"/>
    <w:lvl w:ilvl="0" w:tentative="0">
      <w:start w:val="1"/>
      <w:numFmt w:val="decimal"/>
      <w:lvlText w:val="%1."/>
      <w:lvlJc w:val="left"/>
      <w:pPr>
        <w:ind w:left="681" w:hanging="568"/>
      </w:pPr>
      <w:rPr>
        <w:rFonts w:hint="default" w:ascii="Times New Roman" w:hAnsi="Times New Roman" w:eastAsia="Times New Roman" w:cs="Times New Roman"/>
        <w:spacing w:val="-2"/>
        <w:w w:val="100"/>
        <w:sz w:val="24"/>
        <w:szCs w:val="24"/>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4"/>
        <w:szCs w:val="24"/>
      </w:rPr>
    </w:lvl>
    <w:lvl w:ilvl="2" w:tentative="0">
      <w:start w:val="1"/>
      <w:numFmt w:val="bullet"/>
      <w:lvlText w:val="-"/>
      <w:lvlJc w:val="left"/>
      <w:pPr>
        <w:ind w:left="1815" w:hanging="568"/>
      </w:pPr>
      <w:rPr>
        <w:rFonts w:hint="default" w:ascii="Times New Roman" w:hAnsi="Times New Roman" w:eastAsia="Times New Roman"/>
        <w:spacing w:val="-2"/>
        <w:w w:val="100"/>
        <w:sz w:val="24"/>
      </w:rPr>
    </w:lvl>
    <w:lvl w:ilvl="3" w:tentative="0">
      <w:start w:val="1"/>
      <w:numFmt w:val="bullet"/>
      <w:lvlText w:val="•"/>
      <w:lvlJc w:val="left"/>
      <w:pPr>
        <w:ind w:left="2825" w:hanging="568"/>
      </w:pPr>
      <w:rPr>
        <w:rFonts w:hint="default"/>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76">
    <w:nsid w:val="5FC96C1A"/>
    <w:multiLevelType w:val="multilevel"/>
    <w:tmpl w:val="5FC96C1A"/>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77">
    <w:nsid w:val="6016777C"/>
    <w:multiLevelType w:val="multilevel"/>
    <w:tmpl w:val="6016777C"/>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lang w:val="en-US"/>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4"/>
        <w:szCs w:val="24"/>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78">
    <w:nsid w:val="61EA1766"/>
    <w:multiLevelType w:val="multilevel"/>
    <w:tmpl w:val="61EA1766"/>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79">
    <w:nsid w:val="62203D3F"/>
    <w:multiLevelType w:val="multilevel"/>
    <w:tmpl w:val="62203D3F"/>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80">
    <w:nsid w:val="625D6069"/>
    <w:multiLevelType w:val="multilevel"/>
    <w:tmpl w:val="625D6069"/>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81">
    <w:nsid w:val="62CC78D3"/>
    <w:multiLevelType w:val="multilevel"/>
    <w:tmpl w:val="62CC78D3"/>
    <w:lvl w:ilvl="0" w:tentative="0">
      <w:start w:val="1"/>
      <w:numFmt w:val="decimal"/>
      <w:lvlText w:val="%1."/>
      <w:lvlJc w:val="left"/>
      <w:pPr>
        <w:ind w:left="681" w:hanging="568"/>
      </w:pPr>
      <w:rPr>
        <w:rFonts w:hint="default" w:ascii="Times New Roman" w:hAnsi="Times New Roman" w:eastAsia="Times New Roman" w:cs="Times New Roman"/>
        <w:spacing w:val="-20"/>
        <w:w w:val="99"/>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82">
    <w:nsid w:val="630F0996"/>
    <w:multiLevelType w:val="multilevel"/>
    <w:tmpl w:val="630F0996"/>
    <w:lvl w:ilvl="0" w:tentative="0">
      <w:start w:val="1"/>
      <w:numFmt w:val="bullet"/>
      <w:lvlText w:val="-"/>
      <w:lvlJc w:val="left"/>
      <w:pPr>
        <w:ind w:left="1248" w:hanging="567"/>
      </w:pPr>
      <w:rPr>
        <w:rFonts w:hint="default" w:ascii="Times New Roman" w:hAnsi="Times New Roman" w:eastAsia="Times New Roman"/>
        <w:spacing w:val="-2"/>
        <w:w w:val="10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183">
    <w:nsid w:val="63E22CD3"/>
    <w:multiLevelType w:val="multilevel"/>
    <w:tmpl w:val="63E22CD3"/>
    <w:lvl w:ilvl="0" w:tentative="0">
      <w:start w:val="1"/>
      <w:numFmt w:val="bullet"/>
      <w:lvlText w:val="-"/>
      <w:lvlJc w:val="left"/>
      <w:pPr>
        <w:ind w:left="680" w:hanging="420"/>
      </w:pPr>
      <w:rPr>
        <w:rFonts w:hint="default" w:ascii="Times New Roman" w:hAnsi="Times New Roman" w:eastAsia="Times New Roman"/>
        <w:w w:val="110"/>
        <w:sz w:val="24"/>
      </w:rPr>
    </w:lvl>
    <w:lvl w:ilvl="1" w:tentative="0">
      <w:start w:val="1"/>
      <w:numFmt w:val="bullet"/>
      <w:lvlText w:val=""/>
      <w:lvlJc w:val="left"/>
      <w:pPr>
        <w:ind w:left="1100" w:hanging="420"/>
      </w:pPr>
      <w:rPr>
        <w:rFonts w:hint="default" w:ascii="Wingdings" w:hAnsi="Wingdings"/>
      </w:rPr>
    </w:lvl>
    <w:lvl w:ilvl="2" w:tentative="0">
      <w:start w:val="1"/>
      <w:numFmt w:val="bullet"/>
      <w:lvlText w:val=""/>
      <w:lvlJc w:val="left"/>
      <w:pPr>
        <w:ind w:left="1520" w:hanging="420"/>
      </w:pPr>
      <w:rPr>
        <w:rFonts w:hint="default" w:ascii="Wingdings" w:hAnsi="Wingdings"/>
      </w:rPr>
    </w:lvl>
    <w:lvl w:ilvl="3" w:tentative="0">
      <w:start w:val="1"/>
      <w:numFmt w:val="bullet"/>
      <w:lvlText w:val=""/>
      <w:lvlJc w:val="left"/>
      <w:pPr>
        <w:ind w:left="1940" w:hanging="420"/>
      </w:pPr>
      <w:rPr>
        <w:rFonts w:hint="default" w:ascii="Wingdings" w:hAnsi="Wingdings"/>
      </w:rPr>
    </w:lvl>
    <w:lvl w:ilvl="4" w:tentative="0">
      <w:start w:val="1"/>
      <w:numFmt w:val="bullet"/>
      <w:lvlText w:val=""/>
      <w:lvlJc w:val="left"/>
      <w:pPr>
        <w:ind w:left="2360" w:hanging="420"/>
      </w:pPr>
      <w:rPr>
        <w:rFonts w:hint="default" w:ascii="Wingdings" w:hAnsi="Wingdings"/>
      </w:rPr>
    </w:lvl>
    <w:lvl w:ilvl="5" w:tentative="0">
      <w:start w:val="1"/>
      <w:numFmt w:val="bullet"/>
      <w:lvlText w:val=""/>
      <w:lvlJc w:val="left"/>
      <w:pPr>
        <w:ind w:left="2780" w:hanging="420"/>
      </w:pPr>
      <w:rPr>
        <w:rFonts w:hint="default" w:ascii="Wingdings" w:hAnsi="Wingdings"/>
      </w:rPr>
    </w:lvl>
    <w:lvl w:ilvl="6" w:tentative="0">
      <w:start w:val="1"/>
      <w:numFmt w:val="bullet"/>
      <w:lvlText w:val=""/>
      <w:lvlJc w:val="left"/>
      <w:pPr>
        <w:ind w:left="3200" w:hanging="420"/>
      </w:pPr>
      <w:rPr>
        <w:rFonts w:hint="default" w:ascii="Wingdings" w:hAnsi="Wingdings"/>
      </w:rPr>
    </w:lvl>
    <w:lvl w:ilvl="7" w:tentative="0">
      <w:start w:val="1"/>
      <w:numFmt w:val="bullet"/>
      <w:lvlText w:val=""/>
      <w:lvlJc w:val="left"/>
      <w:pPr>
        <w:ind w:left="3620" w:hanging="420"/>
      </w:pPr>
      <w:rPr>
        <w:rFonts w:hint="default" w:ascii="Wingdings" w:hAnsi="Wingdings"/>
      </w:rPr>
    </w:lvl>
    <w:lvl w:ilvl="8" w:tentative="0">
      <w:start w:val="1"/>
      <w:numFmt w:val="bullet"/>
      <w:lvlText w:val=""/>
      <w:lvlJc w:val="left"/>
      <w:pPr>
        <w:ind w:left="4040" w:hanging="420"/>
      </w:pPr>
      <w:rPr>
        <w:rFonts w:hint="default" w:ascii="Wingdings" w:hAnsi="Wingdings"/>
      </w:rPr>
    </w:lvl>
  </w:abstractNum>
  <w:abstractNum w:abstractNumId="184">
    <w:nsid w:val="64210DF7"/>
    <w:multiLevelType w:val="multilevel"/>
    <w:tmpl w:val="64210DF7"/>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85">
    <w:nsid w:val="649D2282"/>
    <w:multiLevelType w:val="multilevel"/>
    <w:tmpl w:val="649D2282"/>
    <w:lvl w:ilvl="0" w:tentative="0">
      <w:start w:val="1"/>
      <w:numFmt w:val="decimal"/>
      <w:lvlText w:val="%1."/>
      <w:lvlJc w:val="left"/>
      <w:pPr>
        <w:ind w:left="681" w:hanging="568"/>
      </w:pPr>
      <w:rPr>
        <w:rFonts w:hint="default" w:ascii="Times New Roman" w:hAnsi="Times New Roman" w:eastAsia="Times New Roman" w:cs="Times New Roman"/>
        <w:spacing w:val="-3"/>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86">
    <w:nsid w:val="651F31A5"/>
    <w:multiLevelType w:val="multilevel"/>
    <w:tmpl w:val="651F31A5"/>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87">
    <w:nsid w:val="657626AC"/>
    <w:multiLevelType w:val="multilevel"/>
    <w:tmpl w:val="657626AC"/>
    <w:lvl w:ilvl="0" w:tentative="0">
      <w:start w:val="3"/>
      <w:numFmt w:val="decimal"/>
      <w:lvlText w:val="%1."/>
      <w:lvlJc w:val="left"/>
      <w:pPr>
        <w:ind w:left="681" w:hanging="568"/>
      </w:pPr>
      <w:rPr>
        <w:rFonts w:hint="default" w:ascii="Times New Roman" w:hAnsi="Times New Roman" w:eastAsia="Times New Roman" w:cs="Times New Roman"/>
        <w:b/>
        <w:bCs/>
        <w:spacing w:val="-2"/>
        <w:w w:val="100"/>
        <w:sz w:val="21"/>
        <w:szCs w:val="21"/>
      </w:rPr>
    </w:lvl>
    <w:lvl w:ilvl="1" w:tentative="0">
      <w:start w:val="1"/>
      <w:numFmt w:val="decimal"/>
      <w:lvlText w:val="%1.%2."/>
      <w:lvlJc w:val="left"/>
      <w:pPr>
        <w:ind w:left="681" w:hanging="568"/>
      </w:pPr>
      <w:rPr>
        <w:rFonts w:hint="default" w:ascii="Times New Roman" w:hAnsi="Times New Roman" w:eastAsia="Times New Roman" w:cs="Times New Roman"/>
        <w:spacing w:val="-2"/>
        <w:w w:val="100"/>
        <w:sz w:val="24"/>
        <w:szCs w:val="24"/>
      </w:rPr>
    </w:lvl>
    <w:lvl w:ilvl="2" w:tentative="0">
      <w:start w:val="1"/>
      <w:numFmt w:val="bullet"/>
      <w:lvlText w:val="-"/>
      <w:lvlJc w:val="left"/>
      <w:pPr>
        <w:ind w:left="1248" w:hanging="567"/>
      </w:pPr>
      <w:rPr>
        <w:rFonts w:hint="default" w:ascii="Times New Roman" w:hAnsi="Times New Roman" w:eastAsia="Times New Roman"/>
        <w:spacing w:val="-2"/>
        <w:w w:val="100"/>
        <w:sz w:val="24"/>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88">
    <w:nsid w:val="65A06C3D"/>
    <w:multiLevelType w:val="multilevel"/>
    <w:tmpl w:val="65A06C3D"/>
    <w:lvl w:ilvl="0" w:tentative="0">
      <w:start w:val="1"/>
      <w:numFmt w:val="bullet"/>
      <w:lvlText w:val="-"/>
      <w:lvlJc w:val="left"/>
      <w:pPr>
        <w:ind w:left="1248" w:hanging="425"/>
      </w:pPr>
      <w:rPr>
        <w:rFonts w:hint="default" w:ascii="Times New Roman" w:hAnsi="Times New Roman" w:eastAsia="Times New Roman"/>
        <w:spacing w:val="-2"/>
        <w:w w:val="100"/>
        <w:sz w:val="24"/>
      </w:rPr>
    </w:lvl>
    <w:lvl w:ilvl="1" w:tentative="0">
      <w:start w:val="1"/>
      <w:numFmt w:val="bullet"/>
      <w:lvlText w:val="•"/>
      <w:lvlJc w:val="left"/>
      <w:pPr>
        <w:ind w:left="2102" w:hanging="425"/>
      </w:pPr>
      <w:rPr>
        <w:rFonts w:hint="default"/>
      </w:rPr>
    </w:lvl>
    <w:lvl w:ilvl="2" w:tentative="0">
      <w:start w:val="1"/>
      <w:numFmt w:val="bullet"/>
      <w:lvlText w:val="•"/>
      <w:lvlJc w:val="left"/>
      <w:pPr>
        <w:ind w:left="2965" w:hanging="425"/>
      </w:pPr>
      <w:rPr>
        <w:rFonts w:hint="default"/>
      </w:rPr>
    </w:lvl>
    <w:lvl w:ilvl="3" w:tentative="0">
      <w:start w:val="1"/>
      <w:numFmt w:val="bullet"/>
      <w:lvlText w:val="•"/>
      <w:lvlJc w:val="left"/>
      <w:pPr>
        <w:ind w:left="3828" w:hanging="425"/>
      </w:pPr>
      <w:rPr>
        <w:rFonts w:hint="default"/>
      </w:rPr>
    </w:lvl>
    <w:lvl w:ilvl="4" w:tentative="0">
      <w:start w:val="1"/>
      <w:numFmt w:val="bullet"/>
      <w:lvlText w:val="•"/>
      <w:lvlJc w:val="left"/>
      <w:pPr>
        <w:ind w:left="4691" w:hanging="425"/>
      </w:pPr>
      <w:rPr>
        <w:rFonts w:hint="default"/>
      </w:rPr>
    </w:lvl>
    <w:lvl w:ilvl="5" w:tentative="0">
      <w:start w:val="1"/>
      <w:numFmt w:val="bullet"/>
      <w:lvlText w:val="•"/>
      <w:lvlJc w:val="left"/>
      <w:pPr>
        <w:ind w:left="5553" w:hanging="425"/>
      </w:pPr>
      <w:rPr>
        <w:rFonts w:hint="default"/>
      </w:rPr>
    </w:lvl>
    <w:lvl w:ilvl="6" w:tentative="0">
      <w:start w:val="1"/>
      <w:numFmt w:val="bullet"/>
      <w:lvlText w:val="•"/>
      <w:lvlJc w:val="left"/>
      <w:pPr>
        <w:ind w:left="6416" w:hanging="425"/>
      </w:pPr>
      <w:rPr>
        <w:rFonts w:hint="default"/>
      </w:rPr>
    </w:lvl>
    <w:lvl w:ilvl="7" w:tentative="0">
      <w:start w:val="1"/>
      <w:numFmt w:val="bullet"/>
      <w:lvlText w:val="•"/>
      <w:lvlJc w:val="left"/>
      <w:pPr>
        <w:ind w:left="7279" w:hanging="425"/>
      </w:pPr>
      <w:rPr>
        <w:rFonts w:hint="default"/>
      </w:rPr>
    </w:lvl>
    <w:lvl w:ilvl="8" w:tentative="0">
      <w:start w:val="1"/>
      <w:numFmt w:val="bullet"/>
      <w:lvlText w:val="•"/>
      <w:lvlJc w:val="left"/>
      <w:pPr>
        <w:ind w:left="8142" w:hanging="425"/>
      </w:pPr>
      <w:rPr>
        <w:rFonts w:hint="default"/>
      </w:rPr>
    </w:lvl>
  </w:abstractNum>
  <w:abstractNum w:abstractNumId="189">
    <w:nsid w:val="66644DC8"/>
    <w:multiLevelType w:val="multilevel"/>
    <w:tmpl w:val="66644DC8"/>
    <w:lvl w:ilvl="0" w:tentative="0">
      <w:start w:val="1"/>
      <w:numFmt w:val="bullet"/>
      <w:lvlText w:val="-"/>
      <w:lvlJc w:val="left"/>
      <w:pPr>
        <w:ind w:left="1248" w:hanging="567"/>
      </w:pPr>
      <w:rPr>
        <w:rFonts w:hint="default" w:ascii="Times New Roman" w:hAnsi="Times New Roman" w:eastAsia="Times New Roman"/>
        <w:spacing w:val="-2"/>
        <w:w w:val="10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190">
    <w:nsid w:val="66CF6080"/>
    <w:multiLevelType w:val="multilevel"/>
    <w:tmpl w:val="66CF6080"/>
    <w:lvl w:ilvl="0" w:tentative="0">
      <w:start w:val="1"/>
      <w:numFmt w:val="lowerLetter"/>
      <w:lvlText w:val="(%1)"/>
      <w:lvlJc w:val="left"/>
      <w:pPr>
        <w:ind w:left="1248" w:hanging="567"/>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191">
    <w:nsid w:val="66F47421"/>
    <w:multiLevelType w:val="multilevel"/>
    <w:tmpl w:val="66F47421"/>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92">
    <w:nsid w:val="676D14BB"/>
    <w:multiLevelType w:val="multilevel"/>
    <w:tmpl w:val="676D14BB"/>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93">
    <w:nsid w:val="67724C5A"/>
    <w:multiLevelType w:val="multilevel"/>
    <w:tmpl w:val="67724C5A"/>
    <w:lvl w:ilvl="0" w:tentative="0">
      <w:start w:val="1"/>
      <w:numFmt w:val="bullet"/>
      <w:lvlText w:val="-"/>
      <w:lvlJc w:val="left"/>
      <w:pPr>
        <w:ind w:left="2234" w:hanging="420"/>
      </w:pPr>
      <w:rPr>
        <w:rFonts w:hint="default" w:ascii="Times New Roman" w:hAnsi="Times New Roman" w:eastAsia="Times New Roman"/>
        <w:spacing w:val="-2"/>
        <w:w w:val="100"/>
        <w:sz w:val="24"/>
      </w:rPr>
    </w:lvl>
    <w:lvl w:ilvl="1" w:tentative="0">
      <w:start w:val="1"/>
      <w:numFmt w:val="bullet"/>
      <w:lvlText w:val=""/>
      <w:lvlJc w:val="left"/>
      <w:pPr>
        <w:ind w:left="2654" w:hanging="420"/>
      </w:pPr>
      <w:rPr>
        <w:rFonts w:hint="default" w:ascii="Wingdings" w:hAnsi="Wingdings"/>
      </w:rPr>
    </w:lvl>
    <w:lvl w:ilvl="2" w:tentative="0">
      <w:start w:val="1"/>
      <w:numFmt w:val="bullet"/>
      <w:lvlText w:val=""/>
      <w:lvlJc w:val="left"/>
      <w:pPr>
        <w:ind w:left="3074" w:hanging="420"/>
      </w:pPr>
      <w:rPr>
        <w:rFonts w:hint="default" w:ascii="Wingdings" w:hAnsi="Wingdings"/>
      </w:rPr>
    </w:lvl>
    <w:lvl w:ilvl="3" w:tentative="0">
      <w:start w:val="1"/>
      <w:numFmt w:val="bullet"/>
      <w:lvlText w:val=""/>
      <w:lvlJc w:val="left"/>
      <w:pPr>
        <w:ind w:left="3494" w:hanging="420"/>
      </w:pPr>
      <w:rPr>
        <w:rFonts w:hint="default" w:ascii="Wingdings" w:hAnsi="Wingdings"/>
      </w:rPr>
    </w:lvl>
    <w:lvl w:ilvl="4" w:tentative="0">
      <w:start w:val="1"/>
      <w:numFmt w:val="bullet"/>
      <w:lvlText w:val=""/>
      <w:lvlJc w:val="left"/>
      <w:pPr>
        <w:ind w:left="3914" w:hanging="420"/>
      </w:pPr>
      <w:rPr>
        <w:rFonts w:hint="default" w:ascii="Wingdings" w:hAnsi="Wingdings"/>
      </w:rPr>
    </w:lvl>
    <w:lvl w:ilvl="5" w:tentative="0">
      <w:start w:val="1"/>
      <w:numFmt w:val="bullet"/>
      <w:lvlText w:val=""/>
      <w:lvlJc w:val="left"/>
      <w:pPr>
        <w:ind w:left="4334" w:hanging="420"/>
      </w:pPr>
      <w:rPr>
        <w:rFonts w:hint="default" w:ascii="Wingdings" w:hAnsi="Wingdings"/>
      </w:rPr>
    </w:lvl>
    <w:lvl w:ilvl="6" w:tentative="0">
      <w:start w:val="1"/>
      <w:numFmt w:val="bullet"/>
      <w:lvlText w:val=""/>
      <w:lvlJc w:val="left"/>
      <w:pPr>
        <w:ind w:left="4754" w:hanging="420"/>
      </w:pPr>
      <w:rPr>
        <w:rFonts w:hint="default" w:ascii="Wingdings" w:hAnsi="Wingdings"/>
      </w:rPr>
    </w:lvl>
    <w:lvl w:ilvl="7" w:tentative="0">
      <w:start w:val="1"/>
      <w:numFmt w:val="bullet"/>
      <w:lvlText w:val=""/>
      <w:lvlJc w:val="left"/>
      <w:pPr>
        <w:ind w:left="5174" w:hanging="420"/>
      </w:pPr>
      <w:rPr>
        <w:rFonts w:hint="default" w:ascii="Wingdings" w:hAnsi="Wingdings"/>
      </w:rPr>
    </w:lvl>
    <w:lvl w:ilvl="8" w:tentative="0">
      <w:start w:val="1"/>
      <w:numFmt w:val="bullet"/>
      <w:lvlText w:val=""/>
      <w:lvlJc w:val="left"/>
      <w:pPr>
        <w:ind w:left="5594" w:hanging="420"/>
      </w:pPr>
      <w:rPr>
        <w:rFonts w:hint="default" w:ascii="Wingdings" w:hAnsi="Wingdings"/>
      </w:rPr>
    </w:lvl>
  </w:abstractNum>
  <w:abstractNum w:abstractNumId="194">
    <w:nsid w:val="6789304E"/>
    <w:multiLevelType w:val="multilevel"/>
    <w:tmpl w:val="6789304E"/>
    <w:lvl w:ilvl="0" w:tentative="0">
      <w:start w:val="1"/>
      <w:numFmt w:val="upperRoman"/>
      <w:lvlText w:val="%1."/>
      <w:lvlJc w:val="left"/>
      <w:pPr>
        <w:ind w:left="681" w:hanging="568"/>
      </w:pPr>
      <w:rPr>
        <w:rFonts w:hint="default" w:ascii="Times New Roman" w:hAnsi="Times New Roman" w:eastAsia="Times New Roman" w:cs="Times New Roman"/>
        <w:b/>
        <w:bCs/>
        <w:spacing w:val="-1"/>
        <w:w w:val="100"/>
        <w:sz w:val="24"/>
        <w:szCs w:val="24"/>
      </w:rPr>
    </w:lvl>
    <w:lvl w:ilvl="1" w:tentative="0">
      <w:start w:val="1"/>
      <w:numFmt w:val="decimal"/>
      <w:lvlText w:val="%2."/>
      <w:lvlJc w:val="left"/>
      <w:pPr>
        <w:ind w:left="681" w:hanging="568"/>
      </w:pPr>
      <w:rPr>
        <w:rFonts w:hint="default" w:ascii="Times New Roman" w:hAnsi="Times New Roman" w:eastAsia="Times New Roman" w:cs="Times New Roman"/>
        <w:spacing w:val="-2"/>
        <w:w w:val="100"/>
        <w:sz w:val="21"/>
        <w:szCs w:val="21"/>
      </w:rPr>
    </w:lvl>
    <w:lvl w:ilvl="2" w:tentative="0">
      <w:start w:val="1"/>
      <w:numFmt w:val="lowerLetter"/>
      <w:lvlText w:val="(%3)"/>
      <w:lvlJc w:val="left"/>
      <w:pPr>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195">
    <w:nsid w:val="67FB5890"/>
    <w:multiLevelType w:val="multilevel"/>
    <w:tmpl w:val="67FB5890"/>
    <w:lvl w:ilvl="0" w:tentative="0">
      <w:start w:val="4"/>
      <w:numFmt w:val="decimal"/>
      <w:lvlText w:val="%1"/>
      <w:lvlJc w:val="left"/>
      <w:pPr>
        <w:tabs>
          <w:tab w:val="left" w:pos="0"/>
        </w:tabs>
        <w:ind w:left="681" w:hanging="568"/>
      </w:pPr>
      <w:rPr>
        <w:rFonts w:hint="default" w:cs="Times New Roman"/>
      </w:rPr>
    </w:lvl>
    <w:lvl w:ilvl="1" w:tentative="0">
      <w:start w:val="11"/>
      <w:numFmt w:val="decimal"/>
      <w:lvlText w:val="%1.%2"/>
      <w:lvlJc w:val="left"/>
      <w:pPr>
        <w:tabs>
          <w:tab w:val="left" w:pos="0"/>
        </w:tabs>
        <w:ind w:left="681" w:hanging="568"/>
      </w:pPr>
      <w:rPr>
        <w:rFonts w:hint="default" w:ascii="Times New Roman" w:hAnsi="Times New Roman" w:eastAsia="宋体" w:cs="Times New Roman"/>
        <w:b/>
        <w:bCs/>
        <w:spacing w:val="-2"/>
        <w:w w:val="100"/>
        <w:sz w:val="21"/>
        <w:szCs w:val="21"/>
      </w:rPr>
    </w:lvl>
    <w:lvl w:ilvl="2" w:tentative="0">
      <w:start w:val="1"/>
      <w:numFmt w:val="lowerLetter"/>
      <w:lvlText w:val="(%3)"/>
      <w:lvlJc w:val="left"/>
      <w:pPr>
        <w:tabs>
          <w:tab w:val="left" w:pos="0"/>
        </w:tabs>
        <w:ind w:left="1248" w:hanging="567"/>
      </w:pPr>
      <w:rPr>
        <w:rFonts w:ascii="Times New Roman" w:hAnsi="Times New Roman" w:eastAsia="宋体" w:cs="Times New Roman"/>
        <w:spacing w:val="-2"/>
        <w:w w:val="100"/>
        <w:sz w:val="21"/>
        <w:szCs w:val="21"/>
      </w:rPr>
    </w:lvl>
    <w:lvl w:ilvl="3" w:tentative="0">
      <w:start w:val="1"/>
      <w:numFmt w:val="bullet"/>
      <w:lvlText w:val="•"/>
      <w:lvlJc w:val="left"/>
      <w:pPr>
        <w:tabs>
          <w:tab w:val="left" w:pos="0"/>
        </w:tabs>
        <w:ind w:left="3157" w:hanging="567"/>
      </w:pPr>
      <w:rPr>
        <w:rFonts w:hint="default"/>
      </w:rPr>
    </w:lvl>
    <w:lvl w:ilvl="4" w:tentative="0">
      <w:start w:val="1"/>
      <w:numFmt w:val="bullet"/>
      <w:lvlText w:val="•"/>
      <w:lvlJc w:val="left"/>
      <w:pPr>
        <w:tabs>
          <w:tab w:val="left" w:pos="0"/>
        </w:tabs>
        <w:ind w:left="4115" w:hanging="567"/>
      </w:pPr>
      <w:rPr>
        <w:rFonts w:hint="default"/>
      </w:rPr>
    </w:lvl>
    <w:lvl w:ilvl="5" w:tentative="0">
      <w:start w:val="1"/>
      <w:numFmt w:val="bullet"/>
      <w:lvlText w:val="•"/>
      <w:lvlJc w:val="left"/>
      <w:pPr>
        <w:tabs>
          <w:tab w:val="left" w:pos="0"/>
        </w:tabs>
        <w:ind w:left="5074" w:hanging="567"/>
      </w:pPr>
      <w:rPr>
        <w:rFonts w:hint="default"/>
      </w:rPr>
    </w:lvl>
    <w:lvl w:ilvl="6" w:tentative="0">
      <w:start w:val="1"/>
      <w:numFmt w:val="bullet"/>
      <w:lvlText w:val="•"/>
      <w:lvlJc w:val="left"/>
      <w:pPr>
        <w:tabs>
          <w:tab w:val="left" w:pos="0"/>
        </w:tabs>
        <w:ind w:left="6033" w:hanging="567"/>
      </w:pPr>
      <w:rPr>
        <w:rFonts w:hint="default"/>
      </w:rPr>
    </w:lvl>
    <w:lvl w:ilvl="7" w:tentative="0">
      <w:start w:val="1"/>
      <w:numFmt w:val="bullet"/>
      <w:lvlText w:val="•"/>
      <w:lvlJc w:val="left"/>
      <w:pPr>
        <w:tabs>
          <w:tab w:val="left" w:pos="0"/>
        </w:tabs>
        <w:ind w:left="6991" w:hanging="567"/>
      </w:pPr>
      <w:rPr>
        <w:rFonts w:hint="default"/>
      </w:rPr>
    </w:lvl>
    <w:lvl w:ilvl="8" w:tentative="0">
      <w:start w:val="1"/>
      <w:numFmt w:val="bullet"/>
      <w:lvlText w:val="•"/>
      <w:lvlJc w:val="left"/>
      <w:pPr>
        <w:tabs>
          <w:tab w:val="left" w:pos="0"/>
        </w:tabs>
        <w:ind w:left="7950" w:hanging="567"/>
      </w:pPr>
      <w:rPr>
        <w:rFonts w:hint="default"/>
      </w:rPr>
    </w:lvl>
  </w:abstractNum>
  <w:abstractNum w:abstractNumId="196">
    <w:nsid w:val="68821F40"/>
    <w:multiLevelType w:val="multilevel"/>
    <w:tmpl w:val="68821F40"/>
    <w:lvl w:ilvl="0" w:tentative="0">
      <w:start w:val="19"/>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Times New Roman" w:cs="Times New Roman"/>
        <w:b/>
        <w:bCs/>
        <w:w w:val="100"/>
        <w:sz w:val="24"/>
        <w:szCs w:val="24"/>
      </w:rPr>
    </w:lvl>
    <w:lvl w:ilvl="2" w:tentative="0">
      <w:start w:val="1"/>
      <w:numFmt w:val="lowerLetter"/>
      <w:lvlText w:val="(%3)"/>
      <w:lvlJc w:val="left"/>
      <w:pPr>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Times New Roman"/>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197">
    <w:nsid w:val="68845E40"/>
    <w:multiLevelType w:val="multilevel"/>
    <w:tmpl w:val="68845E40"/>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98">
    <w:nsid w:val="68FD0B8F"/>
    <w:multiLevelType w:val="multilevel"/>
    <w:tmpl w:val="68FD0B8F"/>
    <w:lvl w:ilvl="0" w:tentative="0">
      <w:start w:val="1"/>
      <w:numFmt w:val="decimal"/>
      <w:lvlText w:val="%1."/>
      <w:lvlJc w:val="left"/>
      <w:pPr>
        <w:ind w:left="681" w:hanging="568"/>
      </w:pPr>
      <w:rPr>
        <w:rFonts w:hint="default" w:ascii="Times New Roman" w:hAnsi="Times New Roman" w:eastAsia="Times New Roman" w:cs="Times New Roman"/>
        <w:spacing w:val="-3"/>
        <w:w w:val="100"/>
        <w:sz w:val="21"/>
        <w:szCs w:val="21"/>
        <w:lang w:val="en-US"/>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199">
    <w:nsid w:val="6A410D92"/>
    <w:multiLevelType w:val="multilevel"/>
    <w:tmpl w:val="6A410D92"/>
    <w:lvl w:ilvl="0" w:tentative="0">
      <w:start w:val="1"/>
      <w:numFmt w:val="decimal"/>
      <w:lvlText w:val="%1."/>
      <w:lvlJc w:val="left"/>
      <w:pPr>
        <w:ind w:left="681" w:hanging="568"/>
      </w:pPr>
      <w:rPr>
        <w:rFonts w:hint="default" w:ascii="Times New Roman" w:hAnsi="Times New Roman" w:eastAsia="Times New Roman" w:cs="Times New Roman"/>
        <w:spacing w:val="-3"/>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00">
    <w:nsid w:val="6AC71C9A"/>
    <w:multiLevelType w:val="multilevel"/>
    <w:tmpl w:val="6AC71C9A"/>
    <w:lvl w:ilvl="0" w:tentative="0">
      <w:start w:val="7"/>
      <w:numFmt w:val="decimal"/>
      <w:lvlText w:val="%1"/>
      <w:lvlJc w:val="left"/>
      <w:pPr>
        <w:ind w:left="964" w:hanging="851"/>
      </w:pPr>
      <w:rPr>
        <w:rFonts w:hint="default" w:cs="Times New Roman"/>
      </w:rPr>
    </w:lvl>
    <w:lvl w:ilvl="1" w:tentative="0">
      <w:start w:val="4"/>
      <w:numFmt w:val="decimal"/>
      <w:lvlText w:val="%1.%2"/>
      <w:lvlJc w:val="left"/>
      <w:pPr>
        <w:ind w:left="964" w:hanging="851"/>
      </w:pPr>
      <w:rPr>
        <w:rFonts w:hint="default" w:cs="Times New Roman"/>
      </w:rPr>
    </w:lvl>
    <w:lvl w:ilvl="2" w:tentative="0">
      <w:start w:val="1"/>
      <w:numFmt w:val="decimal"/>
      <w:lvlText w:val="%1.%2.%3."/>
      <w:lvlJc w:val="left"/>
      <w:pPr>
        <w:ind w:left="964" w:hanging="851"/>
      </w:pPr>
      <w:rPr>
        <w:rFonts w:hint="default" w:ascii="Times New Roman" w:hAnsi="Times New Roman" w:eastAsia="宋体" w:cs="Times New Roman"/>
        <w:spacing w:val="-2"/>
        <w:w w:val="100"/>
        <w:sz w:val="24"/>
        <w:szCs w:val="24"/>
      </w:rPr>
    </w:lvl>
    <w:lvl w:ilvl="3" w:tentative="0">
      <w:start w:val="1"/>
      <w:numFmt w:val="lowerLetter"/>
      <w:lvlText w:val="(%4)"/>
      <w:lvlJc w:val="left"/>
      <w:pPr>
        <w:ind w:left="1532" w:hanging="568"/>
      </w:pPr>
      <w:rPr>
        <w:rFonts w:hint="default" w:ascii="Times New Roman" w:hAnsi="Times New Roman" w:eastAsia="宋体" w:cs="Times New Roman"/>
        <w:spacing w:val="-4"/>
        <w:w w:val="100"/>
        <w:sz w:val="21"/>
        <w:szCs w:val="21"/>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201">
    <w:nsid w:val="6BA5741F"/>
    <w:multiLevelType w:val="multilevel"/>
    <w:tmpl w:val="6BA5741F"/>
    <w:lvl w:ilvl="0" w:tentative="0">
      <w:start w:val="1"/>
      <w:numFmt w:val="bullet"/>
      <w:lvlText w:val="-"/>
      <w:lvlJc w:val="left"/>
      <w:pPr>
        <w:ind w:left="1248" w:hanging="567"/>
      </w:pPr>
      <w:rPr>
        <w:rFonts w:hint="default" w:ascii="Times New Roman" w:hAnsi="Times New Roman" w:eastAsia="Times New Roman"/>
        <w:spacing w:val="-2"/>
        <w:w w:val="10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202">
    <w:nsid w:val="6D070376"/>
    <w:multiLevelType w:val="multilevel"/>
    <w:tmpl w:val="6D070376"/>
    <w:lvl w:ilvl="0" w:tentative="0">
      <w:start w:val="11"/>
      <w:numFmt w:val="decimal"/>
      <w:lvlText w:val="%1."/>
      <w:lvlJc w:val="left"/>
      <w:pPr>
        <w:ind w:left="681" w:hanging="568"/>
      </w:pPr>
      <w:rPr>
        <w:rFonts w:hint="default" w:ascii="Times New Roman" w:hAnsi="Times New Roman" w:eastAsia="宋体" w:cs="Times New Roman"/>
        <w:b/>
        <w:bCs/>
        <w:spacing w:val="-2"/>
        <w:w w:val="100"/>
        <w:sz w:val="24"/>
        <w:szCs w:val="24"/>
      </w:rPr>
    </w:lvl>
    <w:lvl w:ilvl="1" w:tentative="0">
      <w:start w:val="5"/>
      <w:numFmt w:val="decimal"/>
      <w:lvlText w:val="%1.%2."/>
      <w:lvlJc w:val="left"/>
      <w:pPr>
        <w:ind w:left="681" w:hanging="568"/>
      </w:pPr>
      <w:rPr>
        <w:rFonts w:hint="default" w:ascii="Times New Roman" w:hAnsi="Times New Roman" w:eastAsia="宋体" w:cs="Times New Roman"/>
        <w:spacing w:val="-2"/>
        <w:w w:val="100"/>
        <w:sz w:val="21"/>
        <w:szCs w:val="21"/>
      </w:rPr>
    </w:lvl>
    <w:lvl w:ilvl="2" w:tentative="0">
      <w:start w:val="2"/>
      <w:numFmt w:val="lowerLetter"/>
      <w:lvlText w:val="(%3)"/>
      <w:lvlJc w:val="left"/>
      <w:pPr>
        <w:ind w:left="1248" w:hanging="567"/>
      </w:pPr>
      <w:rPr>
        <w:rFonts w:hint="default" w:ascii="Times New Roman" w:hAnsi="Times New Roman" w:eastAsia="宋体" w:cs="Times New Roman"/>
        <w:spacing w:val="-2"/>
        <w:w w:val="100"/>
        <w:sz w:val="24"/>
        <w:szCs w:val="24"/>
      </w:rPr>
    </w:lvl>
    <w:lvl w:ilvl="3" w:tentative="0">
      <w:start w:val="1"/>
      <w:numFmt w:val="bullet"/>
      <w:lvlText w:val="•"/>
      <w:lvlJc w:val="left"/>
      <w:pPr>
        <w:ind w:left="2318" w:hanging="567"/>
      </w:pPr>
      <w:rPr>
        <w:rFonts w:hint="default"/>
      </w:rPr>
    </w:lvl>
    <w:lvl w:ilvl="4" w:tentative="0">
      <w:start w:val="1"/>
      <w:numFmt w:val="bullet"/>
      <w:lvlText w:val="•"/>
      <w:lvlJc w:val="left"/>
      <w:pPr>
        <w:ind w:left="3396" w:hanging="567"/>
      </w:pPr>
      <w:rPr>
        <w:rFonts w:hint="default"/>
      </w:rPr>
    </w:lvl>
    <w:lvl w:ilvl="5" w:tentative="0">
      <w:start w:val="1"/>
      <w:numFmt w:val="bullet"/>
      <w:lvlText w:val="•"/>
      <w:lvlJc w:val="left"/>
      <w:pPr>
        <w:ind w:left="4475" w:hanging="567"/>
      </w:pPr>
      <w:rPr>
        <w:rFonts w:hint="default"/>
      </w:rPr>
    </w:lvl>
    <w:lvl w:ilvl="6" w:tentative="0">
      <w:start w:val="1"/>
      <w:numFmt w:val="bullet"/>
      <w:lvlText w:val="•"/>
      <w:lvlJc w:val="left"/>
      <w:pPr>
        <w:ind w:left="5553" w:hanging="567"/>
      </w:pPr>
      <w:rPr>
        <w:rFonts w:hint="default"/>
      </w:rPr>
    </w:lvl>
    <w:lvl w:ilvl="7" w:tentative="0">
      <w:start w:val="1"/>
      <w:numFmt w:val="bullet"/>
      <w:lvlText w:val="•"/>
      <w:lvlJc w:val="left"/>
      <w:pPr>
        <w:ind w:left="6632" w:hanging="567"/>
      </w:pPr>
      <w:rPr>
        <w:rFonts w:hint="default"/>
      </w:rPr>
    </w:lvl>
    <w:lvl w:ilvl="8" w:tentative="0">
      <w:start w:val="1"/>
      <w:numFmt w:val="bullet"/>
      <w:lvlText w:val="•"/>
      <w:lvlJc w:val="left"/>
      <w:pPr>
        <w:ind w:left="7710" w:hanging="567"/>
      </w:pPr>
      <w:rPr>
        <w:rFonts w:hint="default"/>
      </w:rPr>
    </w:lvl>
  </w:abstractNum>
  <w:abstractNum w:abstractNumId="203">
    <w:nsid w:val="6D657B11"/>
    <w:multiLevelType w:val="multilevel"/>
    <w:tmpl w:val="6D657B11"/>
    <w:lvl w:ilvl="0" w:tentative="0">
      <w:start w:val="5"/>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04">
    <w:nsid w:val="6D6B7611"/>
    <w:multiLevelType w:val="multilevel"/>
    <w:tmpl w:val="6D6B7611"/>
    <w:lvl w:ilvl="0" w:tentative="0">
      <w:start w:val="1"/>
      <w:numFmt w:val="bullet"/>
      <w:lvlText w:val="-"/>
      <w:lvlJc w:val="left"/>
      <w:pPr>
        <w:ind w:left="1384" w:hanging="420"/>
      </w:pPr>
      <w:rPr>
        <w:rFonts w:hint="default" w:ascii="Times New Roman" w:hAnsi="Times New Roman" w:eastAsia="Times New Roman"/>
        <w:w w:val="110"/>
        <w:sz w:val="24"/>
      </w:rPr>
    </w:lvl>
    <w:lvl w:ilvl="1" w:tentative="0">
      <w:start w:val="1"/>
      <w:numFmt w:val="bullet"/>
      <w:lvlText w:val=""/>
      <w:lvlJc w:val="left"/>
      <w:pPr>
        <w:ind w:left="1804" w:hanging="420"/>
      </w:pPr>
      <w:rPr>
        <w:rFonts w:hint="default" w:ascii="Wingdings" w:hAnsi="Wingdings"/>
      </w:rPr>
    </w:lvl>
    <w:lvl w:ilvl="2" w:tentative="0">
      <w:start w:val="1"/>
      <w:numFmt w:val="bullet"/>
      <w:lvlText w:val=""/>
      <w:lvlJc w:val="left"/>
      <w:pPr>
        <w:ind w:left="2224" w:hanging="420"/>
      </w:pPr>
      <w:rPr>
        <w:rFonts w:hint="default" w:ascii="Wingdings" w:hAnsi="Wingdings"/>
      </w:rPr>
    </w:lvl>
    <w:lvl w:ilvl="3" w:tentative="0">
      <w:start w:val="1"/>
      <w:numFmt w:val="bullet"/>
      <w:lvlText w:val=""/>
      <w:lvlJc w:val="left"/>
      <w:pPr>
        <w:ind w:left="2644" w:hanging="420"/>
      </w:pPr>
      <w:rPr>
        <w:rFonts w:hint="default" w:ascii="Wingdings" w:hAnsi="Wingdings"/>
      </w:rPr>
    </w:lvl>
    <w:lvl w:ilvl="4" w:tentative="0">
      <w:start w:val="1"/>
      <w:numFmt w:val="bullet"/>
      <w:lvlText w:val=""/>
      <w:lvlJc w:val="left"/>
      <w:pPr>
        <w:ind w:left="3064" w:hanging="420"/>
      </w:pPr>
      <w:rPr>
        <w:rFonts w:hint="default" w:ascii="Wingdings" w:hAnsi="Wingdings"/>
      </w:rPr>
    </w:lvl>
    <w:lvl w:ilvl="5" w:tentative="0">
      <w:start w:val="1"/>
      <w:numFmt w:val="bullet"/>
      <w:lvlText w:val=""/>
      <w:lvlJc w:val="left"/>
      <w:pPr>
        <w:ind w:left="3484" w:hanging="420"/>
      </w:pPr>
      <w:rPr>
        <w:rFonts w:hint="default" w:ascii="Wingdings" w:hAnsi="Wingdings"/>
      </w:rPr>
    </w:lvl>
    <w:lvl w:ilvl="6" w:tentative="0">
      <w:start w:val="1"/>
      <w:numFmt w:val="bullet"/>
      <w:lvlText w:val=""/>
      <w:lvlJc w:val="left"/>
      <w:pPr>
        <w:ind w:left="3904" w:hanging="420"/>
      </w:pPr>
      <w:rPr>
        <w:rFonts w:hint="default" w:ascii="Wingdings" w:hAnsi="Wingdings"/>
      </w:rPr>
    </w:lvl>
    <w:lvl w:ilvl="7" w:tentative="0">
      <w:start w:val="1"/>
      <w:numFmt w:val="bullet"/>
      <w:lvlText w:val=""/>
      <w:lvlJc w:val="left"/>
      <w:pPr>
        <w:ind w:left="4324" w:hanging="420"/>
      </w:pPr>
      <w:rPr>
        <w:rFonts w:hint="default" w:ascii="Wingdings" w:hAnsi="Wingdings"/>
      </w:rPr>
    </w:lvl>
    <w:lvl w:ilvl="8" w:tentative="0">
      <w:start w:val="1"/>
      <w:numFmt w:val="bullet"/>
      <w:lvlText w:val=""/>
      <w:lvlJc w:val="left"/>
      <w:pPr>
        <w:ind w:left="4744" w:hanging="420"/>
      </w:pPr>
      <w:rPr>
        <w:rFonts w:hint="default" w:ascii="Wingdings" w:hAnsi="Wingdings"/>
      </w:rPr>
    </w:lvl>
  </w:abstractNum>
  <w:abstractNum w:abstractNumId="205">
    <w:nsid w:val="6DAB0AF6"/>
    <w:multiLevelType w:val="multilevel"/>
    <w:tmpl w:val="6DAB0AF6"/>
    <w:lvl w:ilvl="0" w:tentative="0">
      <w:start w:val="6"/>
      <w:numFmt w:val="decimal"/>
      <w:lvlText w:val="%1"/>
      <w:lvlJc w:val="left"/>
      <w:pPr>
        <w:ind w:left="964" w:hanging="851"/>
      </w:pPr>
      <w:rPr>
        <w:rFonts w:hint="default" w:cs="Times New Roman"/>
      </w:rPr>
    </w:lvl>
    <w:lvl w:ilvl="1" w:tentative="0">
      <w:start w:val="1"/>
      <w:numFmt w:val="decimal"/>
      <w:lvlText w:val="%1.%2."/>
      <w:lvlJc w:val="left"/>
      <w:pPr>
        <w:ind w:left="964" w:hanging="851"/>
      </w:pPr>
      <w:rPr>
        <w:rFonts w:hint="default" w:ascii="Times New Roman" w:hAnsi="Times New Roman" w:eastAsia="Times New Roman" w:cs="Times New Roman"/>
        <w:b/>
        <w:bCs/>
        <w:spacing w:val="-2"/>
        <w:w w:val="100"/>
        <w:sz w:val="24"/>
        <w:szCs w:val="24"/>
      </w:rPr>
    </w:lvl>
    <w:lvl w:ilvl="2" w:tentative="0">
      <w:start w:val="1"/>
      <w:numFmt w:val="lowerLetter"/>
      <w:lvlText w:val="(%3)"/>
      <w:lvlJc w:val="left"/>
      <w:pPr>
        <w:ind w:left="1532" w:hanging="568"/>
      </w:pPr>
      <w:rPr>
        <w:rFonts w:hint="default" w:ascii="Times New Roman" w:hAnsi="Times New Roman" w:eastAsia="Times New Roman" w:cs="Times New Roman"/>
        <w:spacing w:val="-2"/>
        <w:w w:val="100"/>
        <w:sz w:val="21"/>
        <w:szCs w:val="21"/>
      </w:rPr>
    </w:lvl>
    <w:lvl w:ilvl="3" w:tentative="0">
      <w:start w:val="1"/>
      <w:numFmt w:val="lowerRoman"/>
      <w:lvlText w:val="(%4)"/>
      <w:lvlJc w:val="left"/>
      <w:pPr>
        <w:ind w:left="2098" w:hanging="567"/>
      </w:pPr>
      <w:rPr>
        <w:rFonts w:hint="default" w:ascii="Times New Roman" w:hAnsi="Times New Roman" w:eastAsia="Times New Roman" w:cs="Times New Roman"/>
        <w:spacing w:val="-2"/>
        <w:w w:val="100"/>
        <w:sz w:val="24"/>
        <w:szCs w:val="24"/>
      </w:rPr>
    </w:lvl>
    <w:lvl w:ilvl="4" w:tentative="0">
      <w:start w:val="1"/>
      <w:numFmt w:val="bullet"/>
      <w:lvlText w:val="•"/>
      <w:lvlJc w:val="left"/>
      <w:pPr>
        <w:ind w:left="3209" w:hanging="567"/>
      </w:pPr>
      <w:rPr>
        <w:rFonts w:hint="default"/>
      </w:rPr>
    </w:lvl>
    <w:lvl w:ilvl="5" w:tentative="0">
      <w:start w:val="1"/>
      <w:numFmt w:val="bullet"/>
      <w:lvlText w:val="•"/>
      <w:lvlJc w:val="left"/>
      <w:pPr>
        <w:ind w:left="4319" w:hanging="567"/>
      </w:pPr>
      <w:rPr>
        <w:rFonts w:hint="default"/>
      </w:rPr>
    </w:lvl>
    <w:lvl w:ilvl="6" w:tentative="0">
      <w:start w:val="1"/>
      <w:numFmt w:val="bullet"/>
      <w:lvlText w:val="•"/>
      <w:lvlJc w:val="left"/>
      <w:pPr>
        <w:ind w:left="5428" w:hanging="567"/>
      </w:pPr>
      <w:rPr>
        <w:rFonts w:hint="default"/>
      </w:rPr>
    </w:lvl>
    <w:lvl w:ilvl="7" w:tentative="0">
      <w:start w:val="1"/>
      <w:numFmt w:val="bullet"/>
      <w:lvlText w:val="•"/>
      <w:lvlJc w:val="left"/>
      <w:pPr>
        <w:ind w:left="6538" w:hanging="567"/>
      </w:pPr>
      <w:rPr>
        <w:rFonts w:hint="default"/>
      </w:rPr>
    </w:lvl>
    <w:lvl w:ilvl="8" w:tentative="0">
      <w:start w:val="1"/>
      <w:numFmt w:val="bullet"/>
      <w:lvlText w:val="•"/>
      <w:lvlJc w:val="left"/>
      <w:pPr>
        <w:ind w:left="7648" w:hanging="567"/>
      </w:pPr>
      <w:rPr>
        <w:rFonts w:hint="default"/>
      </w:rPr>
    </w:lvl>
  </w:abstractNum>
  <w:abstractNum w:abstractNumId="206">
    <w:nsid w:val="6F9C0AA1"/>
    <w:multiLevelType w:val="multilevel"/>
    <w:tmpl w:val="6F9C0AA1"/>
    <w:lvl w:ilvl="0" w:tentative="0">
      <w:start w:val="1"/>
      <w:numFmt w:val="decimal"/>
      <w:lvlText w:val="%1."/>
      <w:lvlJc w:val="left"/>
      <w:pPr>
        <w:ind w:left="681" w:hanging="568"/>
      </w:pPr>
      <w:rPr>
        <w:rFonts w:hint="default" w:ascii="Times New Roman" w:hAnsi="Times New Roman" w:eastAsia="Times New Roman" w:cs="Times New Roman"/>
        <w:spacing w:val="-3"/>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07">
    <w:nsid w:val="6FC239CC"/>
    <w:multiLevelType w:val="multilevel"/>
    <w:tmpl w:val="6FC239CC"/>
    <w:lvl w:ilvl="0" w:tentative="0">
      <w:start w:val="1"/>
      <w:numFmt w:val="decimal"/>
      <w:lvlText w:val="%1."/>
      <w:lvlJc w:val="left"/>
      <w:pPr>
        <w:ind w:left="681" w:hanging="568"/>
      </w:pPr>
      <w:rPr>
        <w:rFonts w:hint="default" w:ascii="Times New Roman" w:hAnsi="Times New Roman" w:eastAsia="Times New Roman" w:cs="Times New Roman"/>
        <w:b/>
        <w:bCs/>
        <w:spacing w:val="-1"/>
        <w:w w:val="100"/>
        <w:sz w:val="21"/>
        <w:szCs w:val="21"/>
      </w:rPr>
    </w:lvl>
    <w:lvl w:ilvl="1" w:tentative="0">
      <w:start w:val="1"/>
      <w:numFmt w:val="decimal"/>
      <w:lvlText w:val="%1.%2."/>
      <w:lvlJc w:val="left"/>
      <w:pPr>
        <w:ind w:left="681" w:hanging="568"/>
      </w:pPr>
      <w:rPr>
        <w:rFonts w:hint="default" w:ascii="Times New Roman" w:hAnsi="Times New Roman" w:eastAsia="Times New Roman" w:cs="Times New Roman"/>
        <w:b/>
        <w:bCs/>
        <w:spacing w:val="-2"/>
        <w:w w:val="100"/>
        <w:sz w:val="21"/>
        <w:szCs w:val="21"/>
      </w:rPr>
    </w:lvl>
    <w:lvl w:ilvl="2" w:tentative="0">
      <w:start w:val="1"/>
      <w:numFmt w:val="lowerLetter"/>
      <w:lvlText w:val="(%3)"/>
      <w:lvlJc w:val="left"/>
      <w:pPr>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Times New Roman"/>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208">
    <w:nsid w:val="70425CE0"/>
    <w:multiLevelType w:val="multilevel"/>
    <w:tmpl w:val="70425CE0"/>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209">
    <w:nsid w:val="710B12F2"/>
    <w:multiLevelType w:val="multilevel"/>
    <w:tmpl w:val="710B12F2"/>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248" w:hanging="567"/>
      </w:pPr>
      <w:rPr>
        <w:rFonts w:hint="default" w:ascii="Times New Roman" w:hAnsi="Times New Roman" w:eastAsia="Times New Roman"/>
        <w:spacing w:val="-2"/>
        <w:w w:val="100"/>
        <w:sz w:val="24"/>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210">
    <w:nsid w:val="72266B89"/>
    <w:multiLevelType w:val="multilevel"/>
    <w:tmpl w:val="72266B89"/>
    <w:lvl w:ilvl="0" w:tentative="0">
      <w:start w:val="1"/>
      <w:numFmt w:val="bullet"/>
      <w:lvlText w:val="-"/>
      <w:lvlJc w:val="left"/>
      <w:pPr>
        <w:ind w:left="681" w:hanging="568"/>
      </w:pPr>
      <w:rPr>
        <w:rFonts w:hint="default" w:ascii="Times New Roman" w:hAnsi="Times New Roman" w:eastAsia="Times New Roman"/>
        <w:spacing w:val="-2"/>
        <w:w w:val="100"/>
        <w:sz w:val="24"/>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11">
    <w:nsid w:val="73EB4904"/>
    <w:multiLevelType w:val="multilevel"/>
    <w:tmpl w:val="73EB4904"/>
    <w:lvl w:ilvl="0" w:tentative="0">
      <w:start w:val="1"/>
      <w:numFmt w:val="decimal"/>
      <w:lvlText w:val="%1."/>
      <w:lvlJc w:val="left"/>
      <w:pPr>
        <w:ind w:left="741" w:hanging="62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652" w:hanging="628"/>
      </w:pPr>
      <w:rPr>
        <w:rFonts w:hint="default"/>
      </w:rPr>
    </w:lvl>
    <w:lvl w:ilvl="2" w:tentative="0">
      <w:start w:val="1"/>
      <w:numFmt w:val="bullet"/>
      <w:lvlText w:val="•"/>
      <w:lvlJc w:val="left"/>
      <w:pPr>
        <w:ind w:left="2565" w:hanging="628"/>
      </w:pPr>
      <w:rPr>
        <w:rFonts w:hint="default"/>
      </w:rPr>
    </w:lvl>
    <w:lvl w:ilvl="3" w:tentative="0">
      <w:start w:val="1"/>
      <w:numFmt w:val="bullet"/>
      <w:lvlText w:val="•"/>
      <w:lvlJc w:val="left"/>
      <w:pPr>
        <w:ind w:left="3478" w:hanging="628"/>
      </w:pPr>
      <w:rPr>
        <w:rFonts w:hint="default"/>
      </w:rPr>
    </w:lvl>
    <w:lvl w:ilvl="4" w:tentative="0">
      <w:start w:val="1"/>
      <w:numFmt w:val="bullet"/>
      <w:lvlText w:val="•"/>
      <w:lvlJc w:val="left"/>
      <w:pPr>
        <w:ind w:left="4391" w:hanging="628"/>
      </w:pPr>
      <w:rPr>
        <w:rFonts w:hint="default"/>
      </w:rPr>
    </w:lvl>
    <w:lvl w:ilvl="5" w:tentative="0">
      <w:start w:val="1"/>
      <w:numFmt w:val="bullet"/>
      <w:lvlText w:val="•"/>
      <w:lvlJc w:val="left"/>
      <w:pPr>
        <w:ind w:left="5303" w:hanging="628"/>
      </w:pPr>
      <w:rPr>
        <w:rFonts w:hint="default"/>
      </w:rPr>
    </w:lvl>
    <w:lvl w:ilvl="6" w:tentative="0">
      <w:start w:val="1"/>
      <w:numFmt w:val="bullet"/>
      <w:lvlText w:val="•"/>
      <w:lvlJc w:val="left"/>
      <w:pPr>
        <w:ind w:left="6216" w:hanging="628"/>
      </w:pPr>
      <w:rPr>
        <w:rFonts w:hint="default"/>
      </w:rPr>
    </w:lvl>
    <w:lvl w:ilvl="7" w:tentative="0">
      <w:start w:val="1"/>
      <w:numFmt w:val="bullet"/>
      <w:lvlText w:val="•"/>
      <w:lvlJc w:val="left"/>
      <w:pPr>
        <w:ind w:left="7129" w:hanging="628"/>
      </w:pPr>
      <w:rPr>
        <w:rFonts w:hint="default"/>
      </w:rPr>
    </w:lvl>
    <w:lvl w:ilvl="8" w:tentative="0">
      <w:start w:val="1"/>
      <w:numFmt w:val="bullet"/>
      <w:lvlText w:val="•"/>
      <w:lvlJc w:val="left"/>
      <w:pPr>
        <w:ind w:left="8042" w:hanging="628"/>
      </w:pPr>
      <w:rPr>
        <w:rFonts w:hint="default"/>
      </w:rPr>
    </w:lvl>
  </w:abstractNum>
  <w:abstractNum w:abstractNumId="212">
    <w:nsid w:val="746B0EBF"/>
    <w:multiLevelType w:val="multilevel"/>
    <w:tmpl w:val="746B0EBF"/>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13">
    <w:nsid w:val="747B5E0A"/>
    <w:multiLevelType w:val="multilevel"/>
    <w:tmpl w:val="747B5E0A"/>
    <w:lvl w:ilvl="0" w:tentative="0">
      <w:start w:val="1"/>
      <w:numFmt w:val="decimal"/>
      <w:lvlText w:val="%1."/>
      <w:lvlJc w:val="left"/>
      <w:pPr>
        <w:ind w:left="681" w:hanging="568"/>
      </w:pPr>
      <w:rPr>
        <w:rFonts w:hint="default" w:ascii="Times New Roman" w:hAnsi="Times New Roman" w:eastAsia="Times New Roman" w:cs="Times New Roman"/>
        <w:b/>
        <w:bCs/>
        <w:spacing w:val="-1"/>
        <w:w w:val="100"/>
        <w:sz w:val="21"/>
        <w:szCs w:val="21"/>
      </w:rPr>
    </w:lvl>
    <w:lvl w:ilvl="1" w:tentative="0">
      <w:start w:val="1"/>
      <w:numFmt w:val="decimal"/>
      <w:lvlText w:val="%1.%2."/>
      <w:lvlJc w:val="left"/>
      <w:pPr>
        <w:ind w:left="681" w:hanging="568"/>
      </w:pPr>
      <w:rPr>
        <w:rFonts w:hint="default" w:ascii="Times New Roman" w:hAnsi="Times New Roman" w:eastAsia="Times New Roman" w:cs="Times New Roman"/>
        <w:spacing w:val="0"/>
        <w:w w:val="100"/>
        <w:sz w:val="21"/>
        <w:szCs w:val="21"/>
      </w:rPr>
    </w:lvl>
    <w:lvl w:ilvl="2" w:tentative="0">
      <w:start w:val="1"/>
      <w:numFmt w:val="lowerLetter"/>
      <w:lvlText w:val="(%3)"/>
      <w:lvlJc w:val="left"/>
      <w:pPr>
        <w:ind w:left="1248" w:hanging="567"/>
      </w:pPr>
      <w:rPr>
        <w:rFonts w:hint="default" w:ascii="Times New Roman" w:hAnsi="Times New Roman" w:eastAsia="Times New Roman" w:cs="Times New Roman"/>
        <w:spacing w:val="-2"/>
        <w:w w:val="100"/>
        <w:sz w:val="24"/>
        <w:szCs w:val="24"/>
      </w:rPr>
    </w:lvl>
    <w:lvl w:ilvl="3" w:tentative="0">
      <w:start w:val="1"/>
      <w:numFmt w:val="bullet"/>
      <w:lvlText w:val="•"/>
      <w:lvlJc w:val="left"/>
      <w:pPr>
        <w:ind w:left="2318" w:hanging="567"/>
      </w:pPr>
      <w:rPr>
        <w:rFonts w:hint="default"/>
      </w:rPr>
    </w:lvl>
    <w:lvl w:ilvl="4" w:tentative="0">
      <w:start w:val="1"/>
      <w:numFmt w:val="bullet"/>
      <w:lvlText w:val="•"/>
      <w:lvlJc w:val="left"/>
      <w:pPr>
        <w:ind w:left="3396" w:hanging="567"/>
      </w:pPr>
      <w:rPr>
        <w:rFonts w:hint="default"/>
      </w:rPr>
    </w:lvl>
    <w:lvl w:ilvl="5" w:tentative="0">
      <w:start w:val="1"/>
      <w:numFmt w:val="bullet"/>
      <w:lvlText w:val="•"/>
      <w:lvlJc w:val="left"/>
      <w:pPr>
        <w:ind w:left="4475" w:hanging="567"/>
      </w:pPr>
      <w:rPr>
        <w:rFonts w:hint="default"/>
      </w:rPr>
    </w:lvl>
    <w:lvl w:ilvl="6" w:tentative="0">
      <w:start w:val="1"/>
      <w:numFmt w:val="bullet"/>
      <w:lvlText w:val="•"/>
      <w:lvlJc w:val="left"/>
      <w:pPr>
        <w:ind w:left="5553" w:hanging="567"/>
      </w:pPr>
      <w:rPr>
        <w:rFonts w:hint="default"/>
      </w:rPr>
    </w:lvl>
    <w:lvl w:ilvl="7" w:tentative="0">
      <w:start w:val="1"/>
      <w:numFmt w:val="bullet"/>
      <w:lvlText w:val="•"/>
      <w:lvlJc w:val="left"/>
      <w:pPr>
        <w:ind w:left="6632" w:hanging="567"/>
      </w:pPr>
      <w:rPr>
        <w:rFonts w:hint="default"/>
      </w:rPr>
    </w:lvl>
    <w:lvl w:ilvl="8" w:tentative="0">
      <w:start w:val="1"/>
      <w:numFmt w:val="bullet"/>
      <w:lvlText w:val="•"/>
      <w:lvlJc w:val="left"/>
      <w:pPr>
        <w:ind w:left="7710" w:hanging="567"/>
      </w:pPr>
      <w:rPr>
        <w:rFonts w:hint="default"/>
      </w:rPr>
    </w:lvl>
  </w:abstractNum>
  <w:abstractNum w:abstractNumId="214">
    <w:nsid w:val="749E1338"/>
    <w:multiLevelType w:val="multilevel"/>
    <w:tmpl w:val="749E1338"/>
    <w:lvl w:ilvl="0" w:tentative="0">
      <w:start w:val="1"/>
      <w:numFmt w:val="lowerLetter"/>
      <w:lvlText w:val="(%1)"/>
      <w:lvlJc w:val="left"/>
      <w:pPr>
        <w:ind w:left="840" w:hanging="420"/>
      </w:pPr>
      <w:rPr>
        <w:rFonts w:hint="default" w:ascii="Times New Roman" w:hAnsi="Times New Roman" w:eastAsia="宋体" w:cs="Times New Roman"/>
        <w:spacing w:val="-4"/>
        <w:w w:val="10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5">
    <w:nsid w:val="751B59E1"/>
    <w:multiLevelType w:val="multilevel"/>
    <w:tmpl w:val="751B59E1"/>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216">
    <w:nsid w:val="775D7FA8"/>
    <w:multiLevelType w:val="multilevel"/>
    <w:tmpl w:val="775D7FA8"/>
    <w:lvl w:ilvl="0" w:tentative="0">
      <w:start w:val="2"/>
      <w:numFmt w:val="lowerLetter"/>
      <w:lvlText w:val="(%1)"/>
      <w:lvlJc w:val="left"/>
      <w:pPr>
        <w:ind w:left="1248" w:hanging="567"/>
      </w:pPr>
      <w:rPr>
        <w:rFonts w:hint="default" w:ascii="Times New Roman" w:hAnsi="Times New Roman" w:eastAsia="宋体" w:cs="Times New Roman"/>
        <w:spacing w:val="-2"/>
        <w:w w:val="10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7">
    <w:nsid w:val="77AE1DED"/>
    <w:multiLevelType w:val="multilevel"/>
    <w:tmpl w:val="77AE1DED"/>
    <w:lvl w:ilvl="0" w:tentative="0">
      <w:start w:val="6"/>
      <w:numFmt w:val="decimal"/>
      <w:lvlText w:val="%1"/>
      <w:lvlJc w:val="left"/>
      <w:pPr>
        <w:ind w:left="964" w:hanging="851"/>
      </w:pPr>
      <w:rPr>
        <w:rFonts w:hint="default" w:cs="Times New Roman"/>
      </w:rPr>
    </w:lvl>
    <w:lvl w:ilvl="1" w:tentative="0">
      <w:start w:val="2"/>
      <w:numFmt w:val="decimal"/>
      <w:lvlText w:val="%1.%2."/>
      <w:lvlJc w:val="left"/>
      <w:pPr>
        <w:ind w:left="964" w:hanging="851"/>
      </w:pPr>
      <w:rPr>
        <w:rFonts w:hint="default" w:ascii="Times New Roman" w:hAnsi="Times New Roman" w:eastAsia="Times New Roman" w:cs="Times New Roman"/>
        <w:spacing w:val="-2"/>
        <w:w w:val="100"/>
        <w:sz w:val="21"/>
        <w:szCs w:val="21"/>
      </w:rPr>
    </w:lvl>
    <w:lvl w:ilvl="2" w:tentative="0">
      <w:start w:val="1"/>
      <w:numFmt w:val="decimal"/>
      <w:lvlText w:val="%1.%2.%3."/>
      <w:lvlJc w:val="left"/>
      <w:pPr>
        <w:ind w:left="964" w:hanging="851"/>
      </w:pPr>
      <w:rPr>
        <w:rFonts w:hint="default" w:ascii="Times New Roman" w:hAnsi="Times New Roman" w:eastAsia="Times New Roman" w:cs="Times New Roman"/>
        <w:spacing w:val="-2"/>
        <w:w w:val="100"/>
        <w:sz w:val="21"/>
        <w:szCs w:val="21"/>
      </w:rPr>
    </w:lvl>
    <w:lvl w:ilvl="3" w:tentative="0">
      <w:start w:val="1"/>
      <w:numFmt w:val="lowerLetter"/>
      <w:lvlText w:val="(%4)"/>
      <w:lvlJc w:val="left"/>
      <w:pPr>
        <w:ind w:left="1532" w:hanging="568"/>
      </w:pPr>
      <w:rPr>
        <w:rFonts w:hint="default" w:ascii="Times New Roman" w:hAnsi="Times New Roman" w:eastAsia="Times New Roman" w:cs="Times New Roman"/>
        <w:spacing w:val="-2"/>
        <w:w w:val="100"/>
        <w:sz w:val="21"/>
        <w:szCs w:val="21"/>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218">
    <w:nsid w:val="78CF6FB3"/>
    <w:multiLevelType w:val="multilevel"/>
    <w:tmpl w:val="78CF6FB3"/>
    <w:lvl w:ilvl="0" w:tentative="0">
      <w:start w:val="5"/>
      <w:numFmt w:val="lowerLetter"/>
      <w:lvlText w:val="(%1)"/>
      <w:lvlJc w:val="left"/>
      <w:pPr>
        <w:ind w:left="840" w:hanging="420"/>
      </w:pPr>
      <w:rPr>
        <w:rFonts w:hint="default" w:ascii="Times New Roman" w:hAnsi="Times New Roman" w:eastAsia="宋体" w:cs="Times New Roman"/>
        <w:spacing w:val="-4"/>
        <w:w w:val="10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9">
    <w:nsid w:val="78E81EE9"/>
    <w:multiLevelType w:val="multilevel"/>
    <w:tmpl w:val="78E81EE9"/>
    <w:lvl w:ilvl="0" w:tentative="0">
      <w:start w:val="12"/>
      <w:numFmt w:val="decimal"/>
      <w:lvlText w:val="%1."/>
      <w:lvlJc w:val="left"/>
      <w:pPr>
        <w:ind w:left="681" w:hanging="568"/>
      </w:pPr>
      <w:rPr>
        <w:rFonts w:hint="default" w:ascii="Times New Roman" w:hAnsi="Times New Roman" w:eastAsia="宋体" w:cs="Times New Roman"/>
        <w:b/>
        <w:bCs/>
        <w:spacing w:val="-2"/>
        <w:w w:val="100"/>
        <w:sz w:val="24"/>
        <w:szCs w:val="24"/>
      </w:rPr>
    </w:lvl>
    <w:lvl w:ilvl="1" w:tentative="0">
      <w:start w:val="1"/>
      <w:numFmt w:val="decimal"/>
      <w:lvlText w:val="%1.%2."/>
      <w:lvlJc w:val="left"/>
      <w:pPr>
        <w:ind w:left="681" w:hanging="568"/>
      </w:pPr>
      <w:rPr>
        <w:rFonts w:hint="default" w:ascii="Times New Roman" w:hAnsi="Times New Roman" w:eastAsia="宋体" w:cs="Times New Roman"/>
        <w:spacing w:val="-2"/>
        <w:w w:val="100"/>
        <w:sz w:val="21"/>
        <w:szCs w:val="21"/>
      </w:rPr>
    </w:lvl>
    <w:lvl w:ilvl="2" w:tentative="0">
      <w:start w:val="2"/>
      <w:numFmt w:val="lowerLetter"/>
      <w:lvlText w:val="(%3)"/>
      <w:lvlJc w:val="left"/>
      <w:pPr>
        <w:ind w:left="1248" w:hanging="567"/>
      </w:pPr>
      <w:rPr>
        <w:rFonts w:hint="default" w:ascii="Times New Roman" w:hAnsi="Times New Roman" w:eastAsia="宋体" w:cs="Times New Roman"/>
        <w:spacing w:val="-2"/>
        <w:w w:val="100"/>
        <w:sz w:val="24"/>
        <w:szCs w:val="24"/>
      </w:rPr>
    </w:lvl>
    <w:lvl w:ilvl="3" w:tentative="0">
      <w:start w:val="1"/>
      <w:numFmt w:val="bullet"/>
      <w:lvlText w:val="•"/>
      <w:lvlJc w:val="left"/>
      <w:pPr>
        <w:ind w:left="2318" w:hanging="567"/>
      </w:pPr>
      <w:rPr>
        <w:rFonts w:hint="default"/>
      </w:rPr>
    </w:lvl>
    <w:lvl w:ilvl="4" w:tentative="0">
      <w:start w:val="1"/>
      <w:numFmt w:val="bullet"/>
      <w:lvlText w:val="•"/>
      <w:lvlJc w:val="left"/>
      <w:pPr>
        <w:ind w:left="3396" w:hanging="567"/>
      </w:pPr>
      <w:rPr>
        <w:rFonts w:hint="default"/>
      </w:rPr>
    </w:lvl>
    <w:lvl w:ilvl="5" w:tentative="0">
      <w:start w:val="1"/>
      <w:numFmt w:val="bullet"/>
      <w:lvlText w:val="•"/>
      <w:lvlJc w:val="left"/>
      <w:pPr>
        <w:ind w:left="4475" w:hanging="567"/>
      </w:pPr>
      <w:rPr>
        <w:rFonts w:hint="default"/>
      </w:rPr>
    </w:lvl>
    <w:lvl w:ilvl="6" w:tentative="0">
      <w:start w:val="1"/>
      <w:numFmt w:val="bullet"/>
      <w:lvlText w:val="•"/>
      <w:lvlJc w:val="left"/>
      <w:pPr>
        <w:ind w:left="5553" w:hanging="567"/>
      </w:pPr>
      <w:rPr>
        <w:rFonts w:hint="default"/>
      </w:rPr>
    </w:lvl>
    <w:lvl w:ilvl="7" w:tentative="0">
      <w:start w:val="1"/>
      <w:numFmt w:val="bullet"/>
      <w:lvlText w:val="•"/>
      <w:lvlJc w:val="left"/>
      <w:pPr>
        <w:ind w:left="6632" w:hanging="567"/>
      </w:pPr>
      <w:rPr>
        <w:rFonts w:hint="default"/>
      </w:rPr>
    </w:lvl>
    <w:lvl w:ilvl="8" w:tentative="0">
      <w:start w:val="1"/>
      <w:numFmt w:val="bullet"/>
      <w:lvlText w:val="•"/>
      <w:lvlJc w:val="left"/>
      <w:pPr>
        <w:ind w:left="7710" w:hanging="567"/>
      </w:pPr>
      <w:rPr>
        <w:rFonts w:hint="default"/>
      </w:rPr>
    </w:lvl>
  </w:abstractNum>
  <w:abstractNum w:abstractNumId="220">
    <w:nsid w:val="791E4F9C"/>
    <w:multiLevelType w:val="multilevel"/>
    <w:tmpl w:val="791E4F9C"/>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221">
    <w:nsid w:val="79324609"/>
    <w:multiLevelType w:val="multilevel"/>
    <w:tmpl w:val="79324609"/>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22">
    <w:nsid w:val="7A491A12"/>
    <w:multiLevelType w:val="multilevel"/>
    <w:tmpl w:val="7A491A12"/>
    <w:lvl w:ilvl="0" w:tentative="0">
      <w:start w:val="5"/>
      <w:numFmt w:val="decimal"/>
      <w:lvlText w:val="%1."/>
      <w:lvlJc w:val="left"/>
      <w:pPr>
        <w:ind w:left="681" w:hanging="568"/>
      </w:pPr>
      <w:rPr>
        <w:rFonts w:hint="default" w:ascii="Times New Roman" w:hAnsi="Times New Roman" w:eastAsia="Times New Roman" w:cs="Times New Roman"/>
        <w:spacing w:val="-2"/>
        <w:w w:val="100"/>
        <w:sz w:val="24"/>
        <w:szCs w:val="24"/>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223">
    <w:nsid w:val="7B4B320F"/>
    <w:multiLevelType w:val="multilevel"/>
    <w:tmpl w:val="7B4B320F"/>
    <w:lvl w:ilvl="0" w:tentative="0">
      <w:start w:val="19"/>
      <w:numFmt w:val="decimal"/>
      <w:lvlText w:val="%1"/>
      <w:lvlJc w:val="left"/>
      <w:pPr>
        <w:ind w:left="681" w:hanging="568"/>
      </w:pPr>
      <w:rPr>
        <w:rFonts w:hint="default" w:cs="Times New Roman"/>
      </w:rPr>
    </w:lvl>
    <w:lvl w:ilvl="1" w:tentative="0">
      <w:start w:val="1"/>
      <w:numFmt w:val="decimal"/>
      <w:lvlText w:val="%1.%2."/>
      <w:lvlJc w:val="left"/>
      <w:pPr>
        <w:ind w:left="681" w:hanging="568"/>
      </w:pPr>
      <w:rPr>
        <w:rFonts w:hint="default" w:ascii="Times New Roman" w:hAnsi="Times New Roman" w:eastAsia="宋体" w:cs="Times New Roman"/>
        <w:b/>
        <w:bCs/>
        <w:w w:val="100"/>
        <w:sz w:val="24"/>
        <w:szCs w:val="24"/>
      </w:rPr>
    </w:lvl>
    <w:lvl w:ilvl="2" w:tentative="0">
      <w:start w:val="1"/>
      <w:numFmt w:val="lowerLetter"/>
      <w:lvlText w:val="(%3)"/>
      <w:lvlJc w:val="left"/>
      <w:pPr>
        <w:ind w:left="1248" w:hanging="567"/>
      </w:pPr>
      <w:rPr>
        <w:rFonts w:hint="default" w:ascii="Times New Roman" w:hAnsi="Times New Roman" w:eastAsia="宋体" w:cs="Times New Roman"/>
        <w:spacing w:val="-2"/>
        <w:w w:val="100"/>
        <w:sz w:val="21"/>
        <w:szCs w:val="21"/>
      </w:rPr>
    </w:lvl>
    <w:lvl w:ilvl="3" w:tentative="0">
      <w:start w:val="1"/>
      <w:numFmt w:val="bullet"/>
      <w:lvlText w:val="-"/>
      <w:lvlJc w:val="left"/>
      <w:pPr>
        <w:ind w:left="1815" w:hanging="568"/>
      </w:pPr>
      <w:rPr>
        <w:rFonts w:hint="default" w:ascii="Times New Roman" w:hAnsi="Times New Roman" w:eastAsia="宋体"/>
        <w:spacing w:val="-2"/>
        <w:w w:val="100"/>
        <w:sz w:val="24"/>
      </w:rPr>
    </w:lvl>
    <w:lvl w:ilvl="4" w:tentative="0">
      <w:start w:val="1"/>
      <w:numFmt w:val="bullet"/>
      <w:lvlText w:val="•"/>
      <w:lvlJc w:val="left"/>
      <w:pPr>
        <w:ind w:left="3831" w:hanging="568"/>
      </w:pPr>
      <w:rPr>
        <w:rFonts w:hint="default"/>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224">
    <w:nsid w:val="7B7746B7"/>
    <w:multiLevelType w:val="multilevel"/>
    <w:tmpl w:val="7B7746B7"/>
    <w:lvl w:ilvl="0" w:tentative="0">
      <w:start w:val="4"/>
      <w:numFmt w:val="decimal"/>
      <w:lvlText w:val="%1"/>
      <w:lvlJc w:val="left"/>
      <w:pPr>
        <w:ind w:left="823" w:hanging="710"/>
      </w:pPr>
      <w:rPr>
        <w:rFonts w:hint="default" w:cs="Times New Roman"/>
      </w:rPr>
    </w:lvl>
    <w:lvl w:ilvl="1" w:tentative="0">
      <w:start w:val="6"/>
      <w:numFmt w:val="decimal"/>
      <w:lvlText w:val="%1.%2"/>
      <w:lvlJc w:val="left"/>
      <w:pPr>
        <w:ind w:left="823" w:hanging="710"/>
      </w:pPr>
      <w:rPr>
        <w:rFonts w:hint="default" w:cs="Times New Roman"/>
      </w:rPr>
    </w:lvl>
    <w:lvl w:ilvl="2" w:tentative="0">
      <w:start w:val="2"/>
      <w:numFmt w:val="decimal"/>
      <w:lvlText w:val="%1.%2.%3."/>
      <w:lvlJc w:val="left"/>
      <w:pPr>
        <w:ind w:left="823" w:hanging="710"/>
      </w:pPr>
      <w:rPr>
        <w:rFonts w:hint="default" w:ascii="Times New Roman" w:hAnsi="Times New Roman" w:eastAsia="Times New Roman" w:cs="Times New Roman"/>
        <w:spacing w:val="-11"/>
        <w:w w:val="100"/>
        <w:sz w:val="24"/>
        <w:szCs w:val="24"/>
      </w:rPr>
    </w:lvl>
    <w:lvl w:ilvl="3" w:tentative="0">
      <w:start w:val="1"/>
      <w:numFmt w:val="lowerLetter"/>
      <w:lvlText w:val="(%4)"/>
      <w:lvlJc w:val="left"/>
      <w:pPr>
        <w:ind w:left="1248" w:hanging="425"/>
      </w:pPr>
      <w:rPr>
        <w:rFonts w:hint="default" w:ascii="Times New Roman" w:hAnsi="Times New Roman" w:eastAsia="Times New Roman" w:cs="Times New Roman"/>
        <w:spacing w:val="0"/>
        <w:w w:val="100"/>
        <w:sz w:val="21"/>
        <w:szCs w:val="21"/>
      </w:rPr>
    </w:lvl>
    <w:lvl w:ilvl="4" w:tentative="0">
      <w:start w:val="1"/>
      <w:numFmt w:val="bullet"/>
      <w:lvlText w:val="-"/>
      <w:lvlJc w:val="left"/>
      <w:pPr>
        <w:ind w:left="1815" w:hanging="568"/>
      </w:pPr>
      <w:rPr>
        <w:rFonts w:hint="default" w:ascii="Times New Roman" w:hAnsi="Times New Roman" w:eastAsia="Times New Roman"/>
        <w:spacing w:val="-3"/>
        <w:w w:val="100"/>
        <w:sz w:val="24"/>
      </w:rPr>
    </w:lvl>
    <w:lvl w:ilvl="5" w:tentative="0">
      <w:start w:val="1"/>
      <w:numFmt w:val="bullet"/>
      <w:lvlText w:val="•"/>
      <w:lvlJc w:val="left"/>
      <w:pPr>
        <w:ind w:left="4837" w:hanging="568"/>
      </w:pPr>
      <w:rPr>
        <w:rFonts w:hint="default"/>
      </w:rPr>
    </w:lvl>
    <w:lvl w:ilvl="6" w:tentative="0">
      <w:start w:val="1"/>
      <w:numFmt w:val="bullet"/>
      <w:lvlText w:val="•"/>
      <w:lvlJc w:val="left"/>
      <w:pPr>
        <w:ind w:left="5843" w:hanging="568"/>
      </w:pPr>
      <w:rPr>
        <w:rFonts w:hint="default"/>
      </w:rPr>
    </w:lvl>
    <w:lvl w:ilvl="7" w:tentative="0">
      <w:start w:val="1"/>
      <w:numFmt w:val="bullet"/>
      <w:lvlText w:val="•"/>
      <w:lvlJc w:val="left"/>
      <w:pPr>
        <w:ind w:left="6849" w:hanging="568"/>
      </w:pPr>
      <w:rPr>
        <w:rFonts w:hint="default"/>
      </w:rPr>
    </w:lvl>
    <w:lvl w:ilvl="8" w:tentative="0">
      <w:start w:val="1"/>
      <w:numFmt w:val="bullet"/>
      <w:lvlText w:val="•"/>
      <w:lvlJc w:val="left"/>
      <w:pPr>
        <w:ind w:left="7855" w:hanging="568"/>
      </w:pPr>
      <w:rPr>
        <w:rFonts w:hint="default"/>
      </w:rPr>
    </w:lvl>
  </w:abstractNum>
  <w:abstractNum w:abstractNumId="225">
    <w:nsid w:val="7B7B78BF"/>
    <w:multiLevelType w:val="multilevel"/>
    <w:tmpl w:val="7B7B78BF"/>
    <w:lvl w:ilvl="0" w:tentative="0">
      <w:start w:val="1"/>
      <w:numFmt w:val="bullet"/>
      <w:lvlText w:val="-"/>
      <w:lvlJc w:val="left"/>
      <w:pPr>
        <w:ind w:left="1248" w:hanging="564"/>
      </w:pPr>
      <w:rPr>
        <w:rFonts w:hint="default" w:ascii="Times New Roman" w:hAnsi="Times New Roman" w:eastAsia="Times New Roman"/>
        <w:spacing w:val="-2"/>
        <w:w w:val="100"/>
        <w:sz w:val="24"/>
      </w:rPr>
    </w:lvl>
    <w:lvl w:ilvl="1" w:tentative="0">
      <w:start w:val="1"/>
      <w:numFmt w:val="bullet"/>
      <w:lvlText w:val="•"/>
      <w:lvlJc w:val="left"/>
      <w:pPr>
        <w:ind w:left="2102" w:hanging="564"/>
      </w:pPr>
      <w:rPr>
        <w:rFonts w:hint="default"/>
      </w:rPr>
    </w:lvl>
    <w:lvl w:ilvl="2" w:tentative="0">
      <w:start w:val="1"/>
      <w:numFmt w:val="bullet"/>
      <w:lvlText w:val="•"/>
      <w:lvlJc w:val="left"/>
      <w:pPr>
        <w:ind w:left="2965" w:hanging="564"/>
      </w:pPr>
      <w:rPr>
        <w:rFonts w:hint="default"/>
      </w:rPr>
    </w:lvl>
    <w:lvl w:ilvl="3" w:tentative="0">
      <w:start w:val="1"/>
      <w:numFmt w:val="bullet"/>
      <w:lvlText w:val="•"/>
      <w:lvlJc w:val="left"/>
      <w:pPr>
        <w:ind w:left="3828" w:hanging="564"/>
      </w:pPr>
      <w:rPr>
        <w:rFonts w:hint="default"/>
      </w:rPr>
    </w:lvl>
    <w:lvl w:ilvl="4" w:tentative="0">
      <w:start w:val="1"/>
      <w:numFmt w:val="bullet"/>
      <w:lvlText w:val="•"/>
      <w:lvlJc w:val="left"/>
      <w:pPr>
        <w:ind w:left="4691" w:hanging="564"/>
      </w:pPr>
      <w:rPr>
        <w:rFonts w:hint="default"/>
      </w:rPr>
    </w:lvl>
    <w:lvl w:ilvl="5" w:tentative="0">
      <w:start w:val="1"/>
      <w:numFmt w:val="bullet"/>
      <w:lvlText w:val="•"/>
      <w:lvlJc w:val="left"/>
      <w:pPr>
        <w:ind w:left="5553" w:hanging="564"/>
      </w:pPr>
      <w:rPr>
        <w:rFonts w:hint="default"/>
      </w:rPr>
    </w:lvl>
    <w:lvl w:ilvl="6" w:tentative="0">
      <w:start w:val="1"/>
      <w:numFmt w:val="bullet"/>
      <w:lvlText w:val="•"/>
      <w:lvlJc w:val="left"/>
      <w:pPr>
        <w:ind w:left="6416" w:hanging="564"/>
      </w:pPr>
      <w:rPr>
        <w:rFonts w:hint="default"/>
      </w:rPr>
    </w:lvl>
    <w:lvl w:ilvl="7" w:tentative="0">
      <w:start w:val="1"/>
      <w:numFmt w:val="bullet"/>
      <w:lvlText w:val="•"/>
      <w:lvlJc w:val="left"/>
      <w:pPr>
        <w:ind w:left="7279" w:hanging="564"/>
      </w:pPr>
      <w:rPr>
        <w:rFonts w:hint="default"/>
      </w:rPr>
    </w:lvl>
    <w:lvl w:ilvl="8" w:tentative="0">
      <w:start w:val="1"/>
      <w:numFmt w:val="bullet"/>
      <w:lvlText w:val="•"/>
      <w:lvlJc w:val="left"/>
      <w:pPr>
        <w:ind w:left="8142" w:hanging="564"/>
      </w:pPr>
      <w:rPr>
        <w:rFonts w:hint="default"/>
      </w:rPr>
    </w:lvl>
  </w:abstractNum>
  <w:abstractNum w:abstractNumId="226">
    <w:nsid w:val="7C581673"/>
    <w:multiLevelType w:val="multilevel"/>
    <w:tmpl w:val="7C581673"/>
    <w:lvl w:ilvl="0" w:tentative="0">
      <w:start w:val="19"/>
      <w:numFmt w:val="decimal"/>
      <w:lvlText w:val="%1"/>
      <w:lvlJc w:val="left"/>
      <w:pPr>
        <w:ind w:left="535" w:hanging="421"/>
      </w:pPr>
      <w:rPr>
        <w:rFonts w:hint="default" w:cs="Times New Roman"/>
      </w:rPr>
    </w:lvl>
    <w:lvl w:ilvl="1" w:tentative="0">
      <w:start w:val="2"/>
      <w:numFmt w:val="decimal"/>
      <w:lvlText w:val="%1.%2"/>
      <w:lvlJc w:val="left"/>
      <w:pPr>
        <w:ind w:left="535" w:hanging="421"/>
      </w:pPr>
      <w:rPr>
        <w:rFonts w:hint="default" w:ascii="Times New Roman" w:hAnsi="Times New Roman" w:eastAsia="Times New Roman" w:cs="Times New Roman"/>
        <w:spacing w:val="-2"/>
        <w:w w:val="100"/>
        <w:sz w:val="24"/>
        <w:szCs w:val="24"/>
      </w:rPr>
    </w:lvl>
    <w:lvl w:ilvl="2" w:tentative="0">
      <w:start w:val="1"/>
      <w:numFmt w:val="lowerLetter"/>
      <w:lvlText w:val="(%3)"/>
      <w:lvlJc w:val="left"/>
      <w:pPr>
        <w:ind w:left="1532" w:hanging="568"/>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3390" w:hanging="568"/>
      </w:pPr>
      <w:rPr>
        <w:rFonts w:hint="default"/>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227">
    <w:nsid w:val="7C581C8D"/>
    <w:multiLevelType w:val="multilevel"/>
    <w:tmpl w:val="7C581C8D"/>
    <w:lvl w:ilvl="0" w:tentative="0">
      <w:start w:val="1"/>
      <w:numFmt w:val="lowerLetter"/>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8">
    <w:nsid w:val="7C812BCB"/>
    <w:multiLevelType w:val="multilevel"/>
    <w:tmpl w:val="7C812BCB"/>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29">
    <w:nsid w:val="7CA76CBE"/>
    <w:multiLevelType w:val="multilevel"/>
    <w:tmpl w:val="7CA76CBE"/>
    <w:lvl w:ilvl="0" w:tentative="0">
      <w:start w:val="6"/>
      <w:numFmt w:val="decimal"/>
      <w:lvlText w:val="%1"/>
      <w:lvlJc w:val="left"/>
      <w:pPr>
        <w:ind w:left="964" w:hanging="851"/>
      </w:pPr>
      <w:rPr>
        <w:rFonts w:hint="default" w:cs="Times New Roman"/>
      </w:rPr>
    </w:lvl>
    <w:lvl w:ilvl="1" w:tentative="0">
      <w:start w:val="1"/>
      <w:numFmt w:val="decimal"/>
      <w:lvlText w:val="%1.%2"/>
      <w:lvlJc w:val="left"/>
      <w:pPr>
        <w:ind w:left="964" w:hanging="851"/>
      </w:pPr>
      <w:rPr>
        <w:rFonts w:hint="default" w:cs="Times New Roman"/>
      </w:rPr>
    </w:lvl>
    <w:lvl w:ilvl="2" w:tentative="0">
      <w:start w:val="1"/>
      <w:numFmt w:val="decimal"/>
      <w:lvlText w:val="%1.%2.%3."/>
      <w:lvlJc w:val="left"/>
      <w:pPr>
        <w:ind w:left="964" w:hanging="851"/>
      </w:pPr>
      <w:rPr>
        <w:rFonts w:hint="default" w:ascii="Times New Roman" w:hAnsi="Times New Roman" w:eastAsia="Times New Roman" w:cs="Times New Roman"/>
        <w:spacing w:val="-2"/>
        <w:w w:val="100"/>
        <w:sz w:val="21"/>
        <w:szCs w:val="21"/>
      </w:rPr>
    </w:lvl>
    <w:lvl w:ilvl="3" w:tentative="0">
      <w:start w:val="1"/>
      <w:numFmt w:val="lowerLetter"/>
      <w:lvlText w:val="(%4)"/>
      <w:lvlJc w:val="left"/>
      <w:pPr>
        <w:ind w:left="1532" w:hanging="568"/>
      </w:pPr>
      <w:rPr>
        <w:rFonts w:hint="default" w:ascii="Times New Roman" w:hAnsi="Times New Roman" w:eastAsia="Times New Roman" w:cs="Times New Roman"/>
        <w:spacing w:val="-2"/>
        <w:w w:val="100"/>
        <w:sz w:val="21"/>
        <w:szCs w:val="21"/>
      </w:rPr>
    </w:lvl>
    <w:lvl w:ilvl="4" w:tentative="0">
      <w:start w:val="1"/>
      <w:numFmt w:val="bullet"/>
      <w:lvlText w:val="•"/>
      <w:lvlJc w:val="left"/>
      <w:pPr>
        <w:ind w:left="4315" w:hanging="568"/>
      </w:pPr>
      <w:rPr>
        <w:rFonts w:hint="default"/>
      </w:rPr>
    </w:lvl>
    <w:lvl w:ilvl="5" w:tentative="0">
      <w:start w:val="1"/>
      <w:numFmt w:val="bullet"/>
      <w:lvlText w:val="•"/>
      <w:lvlJc w:val="left"/>
      <w:pPr>
        <w:ind w:left="5241" w:hanging="568"/>
      </w:pPr>
      <w:rPr>
        <w:rFonts w:hint="default"/>
      </w:rPr>
    </w:lvl>
    <w:lvl w:ilvl="6" w:tentative="0">
      <w:start w:val="1"/>
      <w:numFmt w:val="bullet"/>
      <w:lvlText w:val="•"/>
      <w:lvlJc w:val="left"/>
      <w:pPr>
        <w:ind w:left="6166" w:hanging="568"/>
      </w:pPr>
      <w:rPr>
        <w:rFonts w:hint="default"/>
      </w:rPr>
    </w:lvl>
    <w:lvl w:ilvl="7" w:tentative="0">
      <w:start w:val="1"/>
      <w:numFmt w:val="bullet"/>
      <w:lvlText w:val="•"/>
      <w:lvlJc w:val="left"/>
      <w:pPr>
        <w:ind w:left="7091" w:hanging="568"/>
      </w:pPr>
      <w:rPr>
        <w:rFonts w:hint="default"/>
      </w:rPr>
    </w:lvl>
    <w:lvl w:ilvl="8" w:tentative="0">
      <w:start w:val="1"/>
      <w:numFmt w:val="bullet"/>
      <w:lvlText w:val="•"/>
      <w:lvlJc w:val="left"/>
      <w:pPr>
        <w:ind w:left="8017" w:hanging="568"/>
      </w:pPr>
      <w:rPr>
        <w:rFonts w:hint="default"/>
      </w:rPr>
    </w:lvl>
  </w:abstractNum>
  <w:abstractNum w:abstractNumId="230">
    <w:nsid w:val="7CD838BD"/>
    <w:multiLevelType w:val="multilevel"/>
    <w:tmpl w:val="7CD838BD"/>
    <w:lvl w:ilvl="0" w:tentative="0">
      <w:start w:val="1"/>
      <w:numFmt w:val="upperRoman"/>
      <w:lvlText w:val="%1."/>
      <w:lvlJc w:val="left"/>
      <w:pPr>
        <w:ind w:left="681" w:hanging="568"/>
      </w:pPr>
      <w:rPr>
        <w:rFonts w:hint="default" w:ascii="Times New Roman" w:hAnsi="Times New Roman" w:eastAsia="Times New Roman" w:cs="Times New Roman"/>
        <w:b/>
        <w:bCs/>
        <w:spacing w:val="-1"/>
        <w:w w:val="100"/>
        <w:sz w:val="24"/>
        <w:szCs w:val="24"/>
      </w:rPr>
    </w:lvl>
    <w:lvl w:ilvl="1" w:tentative="0">
      <w:start w:val="1"/>
      <w:numFmt w:val="decimal"/>
      <w:lvlText w:val="%2."/>
      <w:lvlJc w:val="left"/>
      <w:pPr>
        <w:ind w:left="681" w:hanging="568"/>
      </w:pPr>
      <w:rPr>
        <w:rFonts w:hint="default" w:ascii="Times New Roman" w:hAnsi="Times New Roman" w:eastAsia="Times New Roman" w:cs="Times New Roman"/>
        <w:b/>
        <w:bCs/>
        <w:spacing w:val="-2"/>
        <w:w w:val="100"/>
        <w:sz w:val="21"/>
        <w:szCs w:val="21"/>
      </w:rPr>
    </w:lvl>
    <w:lvl w:ilvl="2" w:tentative="0">
      <w:start w:val="1"/>
      <w:numFmt w:val="decimal"/>
      <w:lvlText w:val="%2.%3."/>
      <w:lvlJc w:val="left"/>
      <w:pPr>
        <w:ind w:left="681" w:hanging="568"/>
      </w:pPr>
      <w:rPr>
        <w:rFonts w:hint="default" w:ascii="Times New Roman" w:hAnsi="Times New Roman" w:eastAsia="Times New Roman" w:cs="Times New Roman"/>
        <w:spacing w:val="-2"/>
        <w:w w:val="100"/>
        <w:sz w:val="21"/>
        <w:szCs w:val="21"/>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31">
    <w:nsid w:val="7DDF2B65"/>
    <w:multiLevelType w:val="multilevel"/>
    <w:tmpl w:val="7DDF2B65"/>
    <w:lvl w:ilvl="0" w:tentative="0">
      <w:start w:val="1"/>
      <w:numFmt w:val="bullet"/>
      <w:lvlText w:val="-"/>
      <w:lvlJc w:val="left"/>
      <w:pPr>
        <w:ind w:left="1248" w:hanging="567"/>
      </w:pPr>
      <w:rPr>
        <w:rFonts w:hint="default" w:ascii="Times New Roman" w:hAnsi="Times New Roman" w:eastAsia="Times New Roman"/>
        <w:w w:val="110"/>
        <w:sz w:val="24"/>
      </w:rPr>
    </w:lvl>
    <w:lvl w:ilvl="1" w:tentative="0">
      <w:start w:val="1"/>
      <w:numFmt w:val="bullet"/>
      <w:lvlText w:val="•"/>
      <w:lvlJc w:val="left"/>
      <w:pPr>
        <w:ind w:left="2102" w:hanging="567"/>
      </w:pPr>
      <w:rPr>
        <w:rFonts w:hint="default"/>
      </w:rPr>
    </w:lvl>
    <w:lvl w:ilvl="2" w:tentative="0">
      <w:start w:val="1"/>
      <w:numFmt w:val="bullet"/>
      <w:lvlText w:val="•"/>
      <w:lvlJc w:val="left"/>
      <w:pPr>
        <w:ind w:left="2965" w:hanging="567"/>
      </w:pPr>
      <w:rPr>
        <w:rFonts w:hint="default"/>
      </w:rPr>
    </w:lvl>
    <w:lvl w:ilvl="3" w:tentative="0">
      <w:start w:val="1"/>
      <w:numFmt w:val="bullet"/>
      <w:lvlText w:val="•"/>
      <w:lvlJc w:val="left"/>
      <w:pPr>
        <w:ind w:left="3828" w:hanging="567"/>
      </w:pPr>
      <w:rPr>
        <w:rFonts w:hint="default"/>
      </w:rPr>
    </w:lvl>
    <w:lvl w:ilvl="4" w:tentative="0">
      <w:start w:val="1"/>
      <w:numFmt w:val="bullet"/>
      <w:lvlText w:val="•"/>
      <w:lvlJc w:val="left"/>
      <w:pPr>
        <w:ind w:left="4691" w:hanging="567"/>
      </w:pPr>
      <w:rPr>
        <w:rFonts w:hint="default"/>
      </w:rPr>
    </w:lvl>
    <w:lvl w:ilvl="5" w:tentative="0">
      <w:start w:val="1"/>
      <w:numFmt w:val="bullet"/>
      <w:lvlText w:val="•"/>
      <w:lvlJc w:val="left"/>
      <w:pPr>
        <w:ind w:left="5553" w:hanging="567"/>
      </w:pPr>
      <w:rPr>
        <w:rFonts w:hint="default"/>
      </w:rPr>
    </w:lvl>
    <w:lvl w:ilvl="6" w:tentative="0">
      <w:start w:val="1"/>
      <w:numFmt w:val="bullet"/>
      <w:lvlText w:val="•"/>
      <w:lvlJc w:val="left"/>
      <w:pPr>
        <w:ind w:left="6416" w:hanging="567"/>
      </w:pPr>
      <w:rPr>
        <w:rFonts w:hint="default"/>
      </w:rPr>
    </w:lvl>
    <w:lvl w:ilvl="7" w:tentative="0">
      <w:start w:val="1"/>
      <w:numFmt w:val="bullet"/>
      <w:lvlText w:val="•"/>
      <w:lvlJc w:val="left"/>
      <w:pPr>
        <w:ind w:left="7279" w:hanging="567"/>
      </w:pPr>
      <w:rPr>
        <w:rFonts w:hint="default"/>
      </w:rPr>
    </w:lvl>
    <w:lvl w:ilvl="8" w:tentative="0">
      <w:start w:val="1"/>
      <w:numFmt w:val="bullet"/>
      <w:lvlText w:val="•"/>
      <w:lvlJc w:val="left"/>
      <w:pPr>
        <w:ind w:left="8142" w:hanging="567"/>
      </w:pPr>
      <w:rPr>
        <w:rFonts w:hint="default"/>
      </w:rPr>
    </w:lvl>
  </w:abstractNum>
  <w:abstractNum w:abstractNumId="232">
    <w:nsid w:val="7DE519A5"/>
    <w:multiLevelType w:val="multilevel"/>
    <w:tmpl w:val="7DE519A5"/>
    <w:lvl w:ilvl="0" w:tentative="0">
      <w:start w:val="9"/>
      <w:numFmt w:val="decimal"/>
      <w:lvlText w:val="%1."/>
      <w:lvlJc w:val="left"/>
      <w:pPr>
        <w:ind w:left="681" w:hanging="568"/>
      </w:pPr>
      <w:rPr>
        <w:rFonts w:hint="default" w:ascii="Times New Roman" w:hAnsi="Times New Roman" w:eastAsia="宋体" w:cs="Times New Roman"/>
        <w:spacing w:val="-3"/>
        <w:w w:val="10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3">
    <w:nsid w:val="7E764D68"/>
    <w:multiLevelType w:val="multilevel"/>
    <w:tmpl w:val="7E764D68"/>
    <w:lvl w:ilvl="0" w:tentative="0">
      <w:start w:val="2"/>
      <w:numFmt w:val="decimal"/>
      <w:lvlText w:val="%1."/>
      <w:lvlJc w:val="left"/>
      <w:pPr>
        <w:ind w:left="681" w:hanging="568"/>
      </w:pPr>
      <w:rPr>
        <w:rFonts w:hint="default" w:ascii="Times New Roman" w:hAnsi="Times New Roman" w:eastAsia="Times New Roman" w:cs="Times New Roman"/>
        <w:b/>
        <w:bCs/>
        <w:spacing w:val="-1"/>
        <w:w w:val="100"/>
        <w:sz w:val="24"/>
        <w:szCs w:val="24"/>
      </w:rPr>
    </w:lvl>
    <w:lvl w:ilvl="1" w:tentative="0">
      <w:start w:val="1"/>
      <w:numFmt w:val="bullet"/>
      <w:lvlText w:val="–"/>
      <w:lvlJc w:val="left"/>
      <w:pPr>
        <w:ind w:left="1248" w:hanging="567"/>
      </w:pPr>
      <w:rPr>
        <w:rFonts w:hint="default" w:ascii="Times New Roman" w:hAnsi="Times New Roman" w:eastAsia="Times New Roman"/>
        <w:spacing w:val="-2"/>
        <w:w w:val="100"/>
        <w:sz w:val="24"/>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234">
    <w:nsid w:val="7EE436A6"/>
    <w:multiLevelType w:val="multilevel"/>
    <w:tmpl w:val="7EE436A6"/>
    <w:lvl w:ilvl="0" w:tentative="0">
      <w:start w:val="1"/>
      <w:numFmt w:val="decimal"/>
      <w:lvlText w:val="%1."/>
      <w:lvlJc w:val="left"/>
      <w:pPr>
        <w:ind w:left="681" w:hanging="568"/>
      </w:pPr>
      <w:rPr>
        <w:rFonts w:hint="default" w:ascii="Times New Roman" w:hAnsi="Times New Roman" w:eastAsia="Times New Roman" w:cs="Times New Roman"/>
        <w:spacing w:val="-4"/>
        <w:w w:val="105"/>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35">
    <w:nsid w:val="7EEB5BDD"/>
    <w:multiLevelType w:val="multilevel"/>
    <w:tmpl w:val="7EEB5BDD"/>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bullet"/>
      <w:lvlText w:val="•"/>
      <w:lvlJc w:val="left"/>
      <w:pPr>
        <w:ind w:left="1598" w:hanging="568"/>
      </w:pPr>
      <w:rPr>
        <w:rFonts w:hint="default"/>
      </w:rPr>
    </w:lvl>
    <w:lvl w:ilvl="2" w:tentative="0">
      <w:start w:val="1"/>
      <w:numFmt w:val="bullet"/>
      <w:lvlText w:val="•"/>
      <w:lvlJc w:val="left"/>
      <w:pPr>
        <w:ind w:left="2517" w:hanging="568"/>
      </w:pPr>
      <w:rPr>
        <w:rFonts w:hint="default"/>
      </w:rPr>
    </w:lvl>
    <w:lvl w:ilvl="3" w:tentative="0">
      <w:start w:val="1"/>
      <w:numFmt w:val="bullet"/>
      <w:lvlText w:val="•"/>
      <w:lvlJc w:val="left"/>
      <w:pPr>
        <w:ind w:left="3436" w:hanging="568"/>
      </w:pPr>
      <w:rPr>
        <w:rFonts w:hint="default"/>
      </w:rPr>
    </w:lvl>
    <w:lvl w:ilvl="4" w:tentative="0">
      <w:start w:val="1"/>
      <w:numFmt w:val="bullet"/>
      <w:lvlText w:val="•"/>
      <w:lvlJc w:val="left"/>
      <w:pPr>
        <w:ind w:left="4355" w:hanging="568"/>
      </w:pPr>
      <w:rPr>
        <w:rFonts w:hint="default"/>
      </w:rPr>
    </w:lvl>
    <w:lvl w:ilvl="5" w:tentative="0">
      <w:start w:val="1"/>
      <w:numFmt w:val="bullet"/>
      <w:lvlText w:val="•"/>
      <w:lvlJc w:val="left"/>
      <w:pPr>
        <w:ind w:left="5273" w:hanging="568"/>
      </w:pPr>
      <w:rPr>
        <w:rFonts w:hint="default"/>
      </w:rPr>
    </w:lvl>
    <w:lvl w:ilvl="6" w:tentative="0">
      <w:start w:val="1"/>
      <w:numFmt w:val="bullet"/>
      <w:lvlText w:val="•"/>
      <w:lvlJc w:val="left"/>
      <w:pPr>
        <w:ind w:left="6192" w:hanging="568"/>
      </w:pPr>
      <w:rPr>
        <w:rFonts w:hint="default"/>
      </w:rPr>
    </w:lvl>
    <w:lvl w:ilvl="7" w:tentative="0">
      <w:start w:val="1"/>
      <w:numFmt w:val="bullet"/>
      <w:lvlText w:val="•"/>
      <w:lvlJc w:val="left"/>
      <w:pPr>
        <w:ind w:left="7111" w:hanging="568"/>
      </w:pPr>
      <w:rPr>
        <w:rFonts w:hint="default"/>
      </w:rPr>
    </w:lvl>
    <w:lvl w:ilvl="8" w:tentative="0">
      <w:start w:val="1"/>
      <w:numFmt w:val="bullet"/>
      <w:lvlText w:val="•"/>
      <w:lvlJc w:val="left"/>
      <w:pPr>
        <w:ind w:left="8030" w:hanging="568"/>
      </w:pPr>
      <w:rPr>
        <w:rFonts w:hint="default"/>
      </w:rPr>
    </w:lvl>
  </w:abstractNum>
  <w:abstractNum w:abstractNumId="236">
    <w:nsid w:val="7F2D2ADE"/>
    <w:multiLevelType w:val="multilevel"/>
    <w:tmpl w:val="7F2D2ADE"/>
    <w:lvl w:ilvl="0" w:tentative="0">
      <w:start w:val="1"/>
      <w:numFmt w:val="decimal"/>
      <w:lvlText w:val="%1."/>
      <w:lvlJc w:val="left"/>
      <w:pPr>
        <w:ind w:left="681" w:hanging="568"/>
      </w:pPr>
      <w:rPr>
        <w:rFonts w:hint="default" w:ascii="Times New Roman" w:hAnsi="Times New Roman" w:eastAsia="Times New Roman" w:cs="Times New Roman"/>
        <w:spacing w:val="-2"/>
        <w:w w:val="100"/>
        <w:sz w:val="21"/>
        <w:szCs w:val="21"/>
      </w:rPr>
    </w:lvl>
    <w:lvl w:ilvl="1" w:tentative="0">
      <w:start w:val="1"/>
      <w:numFmt w:val="lowerLetter"/>
      <w:lvlText w:val="(%2)"/>
      <w:lvlJc w:val="left"/>
      <w:pPr>
        <w:ind w:left="1248" w:hanging="567"/>
      </w:pPr>
      <w:rPr>
        <w:rFonts w:hint="default" w:ascii="Times New Roman" w:hAnsi="Times New Roman" w:eastAsia="Times New Roman" w:cs="Times New Roman"/>
        <w:spacing w:val="-2"/>
        <w:w w:val="100"/>
        <w:sz w:val="21"/>
        <w:szCs w:val="21"/>
      </w:rPr>
    </w:lvl>
    <w:lvl w:ilvl="2" w:tentative="0">
      <w:start w:val="1"/>
      <w:numFmt w:val="bullet"/>
      <w:lvlText w:val="•"/>
      <w:lvlJc w:val="left"/>
      <w:pPr>
        <w:ind w:left="2198" w:hanging="567"/>
      </w:pPr>
      <w:rPr>
        <w:rFonts w:hint="default"/>
      </w:rPr>
    </w:lvl>
    <w:lvl w:ilvl="3" w:tentative="0">
      <w:start w:val="1"/>
      <w:numFmt w:val="bullet"/>
      <w:lvlText w:val="•"/>
      <w:lvlJc w:val="left"/>
      <w:pPr>
        <w:ind w:left="3157" w:hanging="567"/>
      </w:pPr>
      <w:rPr>
        <w:rFonts w:hint="default"/>
      </w:rPr>
    </w:lvl>
    <w:lvl w:ilvl="4" w:tentative="0">
      <w:start w:val="1"/>
      <w:numFmt w:val="bullet"/>
      <w:lvlText w:val="•"/>
      <w:lvlJc w:val="left"/>
      <w:pPr>
        <w:ind w:left="4115" w:hanging="567"/>
      </w:pPr>
      <w:rPr>
        <w:rFonts w:hint="default"/>
      </w:rPr>
    </w:lvl>
    <w:lvl w:ilvl="5" w:tentative="0">
      <w:start w:val="1"/>
      <w:numFmt w:val="bullet"/>
      <w:lvlText w:val="•"/>
      <w:lvlJc w:val="left"/>
      <w:pPr>
        <w:ind w:left="5074" w:hanging="567"/>
      </w:pPr>
      <w:rPr>
        <w:rFonts w:hint="default"/>
      </w:rPr>
    </w:lvl>
    <w:lvl w:ilvl="6" w:tentative="0">
      <w:start w:val="1"/>
      <w:numFmt w:val="bullet"/>
      <w:lvlText w:val="•"/>
      <w:lvlJc w:val="left"/>
      <w:pPr>
        <w:ind w:left="6033" w:hanging="567"/>
      </w:pPr>
      <w:rPr>
        <w:rFonts w:hint="default"/>
      </w:rPr>
    </w:lvl>
    <w:lvl w:ilvl="7" w:tentative="0">
      <w:start w:val="1"/>
      <w:numFmt w:val="bullet"/>
      <w:lvlText w:val="•"/>
      <w:lvlJc w:val="left"/>
      <w:pPr>
        <w:ind w:left="6991" w:hanging="567"/>
      </w:pPr>
      <w:rPr>
        <w:rFonts w:hint="default"/>
      </w:rPr>
    </w:lvl>
    <w:lvl w:ilvl="8" w:tentative="0">
      <w:start w:val="1"/>
      <w:numFmt w:val="bullet"/>
      <w:lvlText w:val="•"/>
      <w:lvlJc w:val="left"/>
      <w:pPr>
        <w:ind w:left="7950" w:hanging="567"/>
      </w:pPr>
      <w:rPr>
        <w:rFonts w:hint="default"/>
      </w:rPr>
    </w:lvl>
  </w:abstractNum>
  <w:abstractNum w:abstractNumId="237">
    <w:nsid w:val="7FA1228B"/>
    <w:multiLevelType w:val="multilevel"/>
    <w:tmpl w:val="7FA1228B"/>
    <w:lvl w:ilvl="0" w:tentative="0">
      <w:start w:val="6"/>
      <w:numFmt w:val="decimal"/>
      <w:lvlText w:val="%1"/>
      <w:lvlJc w:val="left"/>
      <w:pPr>
        <w:ind w:left="964" w:hanging="851"/>
      </w:pPr>
      <w:rPr>
        <w:rFonts w:hint="default" w:cs="Times New Roman"/>
      </w:rPr>
    </w:lvl>
    <w:lvl w:ilvl="1" w:tentative="0">
      <w:start w:val="0"/>
      <w:numFmt w:val="decimal"/>
      <w:lvlText w:val="%1.%2."/>
      <w:lvlJc w:val="left"/>
      <w:pPr>
        <w:ind w:left="964" w:hanging="851"/>
      </w:pPr>
      <w:rPr>
        <w:rFonts w:hint="default" w:ascii="Times New Roman" w:hAnsi="Times New Roman" w:eastAsia="宋体" w:cs="Times New Roman"/>
        <w:b/>
        <w:bCs/>
        <w:spacing w:val="-2"/>
        <w:w w:val="100"/>
        <w:sz w:val="24"/>
        <w:szCs w:val="24"/>
      </w:rPr>
    </w:lvl>
    <w:lvl w:ilvl="2" w:tentative="0">
      <w:start w:val="1"/>
      <w:numFmt w:val="lowerLetter"/>
      <w:lvlText w:val="(%3)"/>
      <w:lvlJc w:val="left"/>
      <w:pPr>
        <w:ind w:left="1532" w:hanging="568"/>
      </w:pPr>
      <w:rPr>
        <w:rFonts w:hint="default" w:ascii="Times New Roman" w:hAnsi="Times New Roman" w:eastAsia="宋体" w:cs="Times New Roman"/>
        <w:spacing w:val="-2"/>
        <w:w w:val="100"/>
        <w:sz w:val="21"/>
        <w:szCs w:val="21"/>
      </w:rPr>
    </w:lvl>
    <w:lvl w:ilvl="3" w:tentative="0">
      <w:start w:val="1"/>
      <w:numFmt w:val="lowerRoman"/>
      <w:lvlText w:val="(%4)"/>
      <w:lvlJc w:val="left"/>
      <w:pPr>
        <w:ind w:left="2098" w:hanging="567"/>
      </w:pPr>
      <w:rPr>
        <w:rFonts w:hint="default" w:ascii="Times New Roman" w:hAnsi="Times New Roman" w:eastAsia="宋体" w:cs="Times New Roman"/>
        <w:spacing w:val="-2"/>
        <w:w w:val="100"/>
        <w:sz w:val="21"/>
        <w:szCs w:val="21"/>
      </w:rPr>
    </w:lvl>
    <w:lvl w:ilvl="4" w:tentative="0">
      <w:start w:val="1"/>
      <w:numFmt w:val="bullet"/>
      <w:lvlText w:val="•"/>
      <w:lvlJc w:val="left"/>
      <w:pPr>
        <w:ind w:left="3209" w:hanging="567"/>
      </w:pPr>
      <w:rPr>
        <w:rFonts w:hint="default"/>
      </w:rPr>
    </w:lvl>
    <w:lvl w:ilvl="5" w:tentative="0">
      <w:start w:val="1"/>
      <w:numFmt w:val="bullet"/>
      <w:lvlText w:val="•"/>
      <w:lvlJc w:val="left"/>
      <w:pPr>
        <w:ind w:left="4319" w:hanging="567"/>
      </w:pPr>
      <w:rPr>
        <w:rFonts w:hint="default"/>
      </w:rPr>
    </w:lvl>
    <w:lvl w:ilvl="6" w:tentative="0">
      <w:start w:val="1"/>
      <w:numFmt w:val="bullet"/>
      <w:lvlText w:val="•"/>
      <w:lvlJc w:val="left"/>
      <w:pPr>
        <w:ind w:left="5428" w:hanging="567"/>
      </w:pPr>
      <w:rPr>
        <w:rFonts w:hint="default"/>
      </w:rPr>
    </w:lvl>
    <w:lvl w:ilvl="7" w:tentative="0">
      <w:start w:val="1"/>
      <w:numFmt w:val="bullet"/>
      <w:lvlText w:val="•"/>
      <w:lvlJc w:val="left"/>
      <w:pPr>
        <w:ind w:left="6538" w:hanging="567"/>
      </w:pPr>
      <w:rPr>
        <w:rFonts w:hint="default"/>
      </w:rPr>
    </w:lvl>
    <w:lvl w:ilvl="8" w:tentative="0">
      <w:start w:val="1"/>
      <w:numFmt w:val="bullet"/>
      <w:lvlText w:val="•"/>
      <w:lvlJc w:val="left"/>
      <w:pPr>
        <w:ind w:left="7648" w:hanging="567"/>
      </w:pPr>
      <w:rPr>
        <w:rFonts w:hint="default"/>
      </w:rPr>
    </w:lvl>
  </w:abstractNum>
  <w:num w:numId="1">
    <w:abstractNumId w:val="139"/>
  </w:num>
  <w:num w:numId="2">
    <w:abstractNumId w:val="122"/>
  </w:num>
  <w:num w:numId="3">
    <w:abstractNumId w:val="208"/>
  </w:num>
  <w:num w:numId="4">
    <w:abstractNumId w:val="0"/>
  </w:num>
  <w:num w:numId="5">
    <w:abstractNumId w:val="76"/>
  </w:num>
  <w:num w:numId="6">
    <w:abstractNumId w:val="42"/>
  </w:num>
  <w:num w:numId="7">
    <w:abstractNumId w:val="100"/>
  </w:num>
  <w:num w:numId="8">
    <w:abstractNumId w:val="175"/>
  </w:num>
  <w:num w:numId="9">
    <w:abstractNumId w:val="91"/>
  </w:num>
  <w:num w:numId="10">
    <w:abstractNumId w:val="66"/>
  </w:num>
  <w:num w:numId="11">
    <w:abstractNumId w:val="63"/>
  </w:num>
  <w:num w:numId="12">
    <w:abstractNumId w:val="199"/>
  </w:num>
  <w:num w:numId="13">
    <w:abstractNumId w:val="140"/>
  </w:num>
  <w:num w:numId="14">
    <w:abstractNumId w:val="177"/>
  </w:num>
  <w:num w:numId="15">
    <w:abstractNumId w:val="159"/>
  </w:num>
  <w:num w:numId="16">
    <w:abstractNumId w:val="180"/>
  </w:num>
  <w:num w:numId="17">
    <w:abstractNumId w:val="87"/>
  </w:num>
  <w:num w:numId="18">
    <w:abstractNumId w:val="80"/>
  </w:num>
  <w:num w:numId="19">
    <w:abstractNumId w:val="37"/>
  </w:num>
  <w:num w:numId="20">
    <w:abstractNumId w:val="148"/>
  </w:num>
  <w:num w:numId="21">
    <w:abstractNumId w:val="9"/>
  </w:num>
  <w:num w:numId="22">
    <w:abstractNumId w:val="43"/>
  </w:num>
  <w:num w:numId="23">
    <w:abstractNumId w:val="73"/>
  </w:num>
  <w:num w:numId="24">
    <w:abstractNumId w:val="176"/>
  </w:num>
  <w:num w:numId="25">
    <w:abstractNumId w:val="197"/>
  </w:num>
  <w:num w:numId="26">
    <w:abstractNumId w:val="142"/>
  </w:num>
  <w:num w:numId="27">
    <w:abstractNumId w:val="119"/>
  </w:num>
  <w:num w:numId="28">
    <w:abstractNumId w:val="15"/>
  </w:num>
  <w:num w:numId="29">
    <w:abstractNumId w:val="32"/>
  </w:num>
  <w:num w:numId="30">
    <w:abstractNumId w:val="113"/>
  </w:num>
  <w:num w:numId="31">
    <w:abstractNumId w:val="92"/>
  </w:num>
  <w:num w:numId="32">
    <w:abstractNumId w:val="190"/>
  </w:num>
  <w:num w:numId="33">
    <w:abstractNumId w:val="7"/>
  </w:num>
  <w:num w:numId="34">
    <w:abstractNumId w:val="83"/>
  </w:num>
  <w:num w:numId="35">
    <w:abstractNumId w:val="234"/>
  </w:num>
  <w:num w:numId="36">
    <w:abstractNumId w:val="123"/>
  </w:num>
  <w:num w:numId="37">
    <w:abstractNumId w:val="161"/>
  </w:num>
  <w:num w:numId="38">
    <w:abstractNumId w:val="52"/>
  </w:num>
  <w:num w:numId="39">
    <w:abstractNumId w:val="33"/>
  </w:num>
  <w:num w:numId="40">
    <w:abstractNumId w:val="129"/>
  </w:num>
  <w:num w:numId="41">
    <w:abstractNumId w:val="41"/>
  </w:num>
  <w:num w:numId="42">
    <w:abstractNumId w:val="235"/>
  </w:num>
  <w:num w:numId="43">
    <w:abstractNumId w:val="19"/>
  </w:num>
  <w:num w:numId="44">
    <w:abstractNumId w:val="225"/>
  </w:num>
  <w:num w:numId="45">
    <w:abstractNumId w:val="22"/>
  </w:num>
  <w:num w:numId="46">
    <w:abstractNumId w:val="1"/>
  </w:num>
  <w:num w:numId="47">
    <w:abstractNumId w:val="81"/>
  </w:num>
  <w:num w:numId="48">
    <w:abstractNumId w:val="56"/>
  </w:num>
  <w:num w:numId="49">
    <w:abstractNumId w:val="126"/>
  </w:num>
  <w:num w:numId="50">
    <w:abstractNumId w:val="221"/>
  </w:num>
  <w:num w:numId="51">
    <w:abstractNumId w:val="167"/>
  </w:num>
  <w:num w:numId="52">
    <w:abstractNumId w:val="60"/>
  </w:num>
  <w:num w:numId="53">
    <w:abstractNumId w:val="12"/>
  </w:num>
  <w:num w:numId="54">
    <w:abstractNumId w:val="198"/>
  </w:num>
  <w:num w:numId="55">
    <w:abstractNumId w:val="133"/>
  </w:num>
  <w:num w:numId="56">
    <w:abstractNumId w:val="227"/>
  </w:num>
  <w:num w:numId="57">
    <w:abstractNumId w:val="158"/>
  </w:num>
  <w:num w:numId="58">
    <w:abstractNumId w:val="106"/>
  </w:num>
  <w:num w:numId="59">
    <w:abstractNumId w:val="215"/>
  </w:num>
  <w:num w:numId="60">
    <w:abstractNumId w:val="211"/>
  </w:num>
  <w:num w:numId="61">
    <w:abstractNumId w:val="185"/>
  </w:num>
  <w:num w:numId="62">
    <w:abstractNumId w:val="72"/>
  </w:num>
  <w:num w:numId="63">
    <w:abstractNumId w:val="182"/>
  </w:num>
  <w:num w:numId="64">
    <w:abstractNumId w:val="132"/>
  </w:num>
  <w:num w:numId="65">
    <w:abstractNumId w:val="58"/>
  </w:num>
  <w:num w:numId="66">
    <w:abstractNumId w:val="14"/>
  </w:num>
  <w:num w:numId="67">
    <w:abstractNumId w:val="222"/>
  </w:num>
  <w:num w:numId="68">
    <w:abstractNumId w:val="51"/>
  </w:num>
  <w:num w:numId="69">
    <w:abstractNumId w:val="108"/>
  </w:num>
  <w:num w:numId="70">
    <w:abstractNumId w:val="18"/>
  </w:num>
  <w:num w:numId="71">
    <w:abstractNumId w:val="186"/>
  </w:num>
  <w:num w:numId="72">
    <w:abstractNumId w:val="64"/>
  </w:num>
  <w:num w:numId="73">
    <w:abstractNumId w:val="162"/>
  </w:num>
  <w:num w:numId="74">
    <w:abstractNumId w:val="109"/>
  </w:num>
  <w:num w:numId="75">
    <w:abstractNumId w:val="13"/>
  </w:num>
  <w:num w:numId="76">
    <w:abstractNumId w:val="17"/>
  </w:num>
  <w:num w:numId="77">
    <w:abstractNumId w:val="206"/>
  </w:num>
  <w:num w:numId="78">
    <w:abstractNumId w:val="25"/>
  </w:num>
  <w:num w:numId="79">
    <w:abstractNumId w:val="61"/>
  </w:num>
  <w:num w:numId="80">
    <w:abstractNumId w:val="236"/>
  </w:num>
  <w:num w:numId="81">
    <w:abstractNumId w:val="78"/>
  </w:num>
  <w:num w:numId="82">
    <w:abstractNumId w:val="184"/>
  </w:num>
  <w:num w:numId="83">
    <w:abstractNumId w:val="124"/>
  </w:num>
  <w:num w:numId="84">
    <w:abstractNumId w:val="135"/>
  </w:num>
  <w:num w:numId="85">
    <w:abstractNumId w:val="220"/>
  </w:num>
  <w:num w:numId="86">
    <w:abstractNumId w:val="154"/>
  </w:num>
  <w:num w:numId="87">
    <w:abstractNumId w:val="46"/>
  </w:num>
  <w:num w:numId="88">
    <w:abstractNumId w:val="93"/>
  </w:num>
  <w:num w:numId="89">
    <w:abstractNumId w:val="144"/>
  </w:num>
  <w:num w:numId="90">
    <w:abstractNumId w:val="111"/>
  </w:num>
  <w:num w:numId="91">
    <w:abstractNumId w:val="155"/>
  </w:num>
  <w:num w:numId="92">
    <w:abstractNumId w:val="36"/>
  </w:num>
  <w:num w:numId="93">
    <w:abstractNumId w:val="65"/>
  </w:num>
  <w:num w:numId="94">
    <w:abstractNumId w:val="127"/>
  </w:num>
  <w:num w:numId="95">
    <w:abstractNumId w:val="178"/>
  </w:num>
  <w:num w:numId="96">
    <w:abstractNumId w:val="212"/>
  </w:num>
  <w:num w:numId="97">
    <w:abstractNumId w:val="2"/>
  </w:num>
  <w:num w:numId="98">
    <w:abstractNumId w:val="115"/>
  </w:num>
  <w:num w:numId="99">
    <w:abstractNumId w:val="228"/>
  </w:num>
  <w:num w:numId="100">
    <w:abstractNumId w:val="209"/>
  </w:num>
  <w:num w:numId="101">
    <w:abstractNumId w:val="90"/>
  </w:num>
  <w:num w:numId="102">
    <w:abstractNumId w:val="130"/>
  </w:num>
  <w:num w:numId="103">
    <w:abstractNumId w:val="172"/>
  </w:num>
  <w:num w:numId="104">
    <w:abstractNumId w:val="169"/>
  </w:num>
  <w:num w:numId="105">
    <w:abstractNumId w:val="103"/>
  </w:num>
  <w:num w:numId="106">
    <w:abstractNumId w:val="105"/>
  </w:num>
  <w:num w:numId="107">
    <w:abstractNumId w:val="192"/>
  </w:num>
  <w:num w:numId="108">
    <w:abstractNumId w:val="179"/>
  </w:num>
  <w:num w:numId="109">
    <w:abstractNumId w:val="181"/>
  </w:num>
  <w:num w:numId="110">
    <w:abstractNumId w:val="47"/>
  </w:num>
  <w:num w:numId="111">
    <w:abstractNumId w:val="29"/>
  </w:num>
  <w:num w:numId="112">
    <w:abstractNumId w:val="99"/>
  </w:num>
  <w:num w:numId="113">
    <w:abstractNumId w:val="157"/>
  </w:num>
  <w:num w:numId="114">
    <w:abstractNumId w:val="210"/>
  </w:num>
  <w:num w:numId="115">
    <w:abstractNumId w:val="40"/>
  </w:num>
  <w:num w:numId="116">
    <w:abstractNumId w:val="214"/>
  </w:num>
  <w:num w:numId="117">
    <w:abstractNumId w:val="183"/>
  </w:num>
  <w:num w:numId="118">
    <w:abstractNumId w:val="218"/>
  </w:num>
  <w:num w:numId="119">
    <w:abstractNumId w:val="194"/>
  </w:num>
  <w:num w:numId="120">
    <w:abstractNumId w:val="28"/>
  </w:num>
  <w:num w:numId="121">
    <w:abstractNumId w:val="141"/>
  </w:num>
  <w:num w:numId="122">
    <w:abstractNumId w:val="8"/>
  </w:num>
  <w:num w:numId="123">
    <w:abstractNumId w:val="10"/>
  </w:num>
  <w:num w:numId="124">
    <w:abstractNumId w:val="69"/>
  </w:num>
  <w:num w:numId="125">
    <w:abstractNumId w:val="200"/>
  </w:num>
  <w:num w:numId="126">
    <w:abstractNumId w:val="20"/>
  </w:num>
  <w:num w:numId="127">
    <w:abstractNumId w:val="55"/>
  </w:num>
  <w:num w:numId="128">
    <w:abstractNumId w:val="202"/>
  </w:num>
  <w:num w:numId="129">
    <w:abstractNumId w:val="219"/>
  </w:num>
  <w:num w:numId="130">
    <w:abstractNumId w:val="57"/>
  </w:num>
  <w:num w:numId="131">
    <w:abstractNumId w:val="98"/>
  </w:num>
  <w:num w:numId="132">
    <w:abstractNumId w:val="216"/>
  </w:num>
  <w:num w:numId="133">
    <w:abstractNumId w:val="45"/>
  </w:num>
  <w:num w:numId="134">
    <w:abstractNumId w:val="174"/>
  </w:num>
  <w:num w:numId="135">
    <w:abstractNumId w:val="82"/>
  </w:num>
  <w:num w:numId="136">
    <w:abstractNumId w:val="146"/>
  </w:num>
  <w:num w:numId="137">
    <w:abstractNumId w:val="21"/>
  </w:num>
  <w:num w:numId="138">
    <w:abstractNumId w:val="136"/>
  </w:num>
  <w:num w:numId="139">
    <w:abstractNumId w:val="231"/>
  </w:num>
  <w:num w:numId="140">
    <w:abstractNumId w:val="97"/>
  </w:num>
  <w:num w:numId="141">
    <w:abstractNumId w:val="196"/>
  </w:num>
  <w:num w:numId="142">
    <w:abstractNumId w:val="137"/>
  </w:num>
  <w:num w:numId="143">
    <w:abstractNumId w:val="165"/>
  </w:num>
  <w:num w:numId="144">
    <w:abstractNumId w:val="226"/>
  </w:num>
  <w:num w:numId="145">
    <w:abstractNumId w:val="223"/>
  </w:num>
  <w:num w:numId="146">
    <w:abstractNumId w:val="171"/>
  </w:num>
  <w:num w:numId="147">
    <w:abstractNumId w:val="79"/>
  </w:num>
  <w:num w:numId="148">
    <w:abstractNumId w:val="53"/>
  </w:num>
  <w:num w:numId="149">
    <w:abstractNumId w:val="23"/>
  </w:num>
  <w:num w:numId="150">
    <w:abstractNumId w:val="5"/>
  </w:num>
  <w:num w:numId="151">
    <w:abstractNumId w:val="207"/>
  </w:num>
  <w:num w:numId="152">
    <w:abstractNumId w:val="50"/>
  </w:num>
  <w:num w:numId="153">
    <w:abstractNumId w:val="151"/>
  </w:num>
  <w:num w:numId="154">
    <w:abstractNumId w:val="70"/>
  </w:num>
  <w:num w:numId="155">
    <w:abstractNumId w:val="107"/>
  </w:num>
  <w:num w:numId="156">
    <w:abstractNumId w:val="95"/>
  </w:num>
  <w:num w:numId="157">
    <w:abstractNumId w:val="160"/>
  </w:num>
  <w:num w:numId="158">
    <w:abstractNumId w:val="166"/>
  </w:num>
  <w:num w:numId="159">
    <w:abstractNumId w:val="117"/>
  </w:num>
  <w:num w:numId="160">
    <w:abstractNumId w:val="62"/>
  </w:num>
  <w:num w:numId="161">
    <w:abstractNumId w:val="121"/>
  </w:num>
  <w:num w:numId="162">
    <w:abstractNumId w:val="34"/>
  </w:num>
  <w:num w:numId="163">
    <w:abstractNumId w:val="104"/>
  </w:num>
  <w:num w:numId="164">
    <w:abstractNumId w:val="191"/>
  </w:num>
  <w:num w:numId="165">
    <w:abstractNumId w:val="213"/>
  </w:num>
  <w:num w:numId="166">
    <w:abstractNumId w:val="54"/>
  </w:num>
  <w:num w:numId="167">
    <w:abstractNumId w:val="35"/>
  </w:num>
  <w:num w:numId="168">
    <w:abstractNumId w:val="112"/>
  </w:num>
  <w:num w:numId="169">
    <w:abstractNumId w:val="229"/>
  </w:num>
  <w:num w:numId="170">
    <w:abstractNumId w:val="217"/>
  </w:num>
  <w:num w:numId="171">
    <w:abstractNumId w:val="164"/>
  </w:num>
  <w:num w:numId="172">
    <w:abstractNumId w:val="16"/>
  </w:num>
  <w:num w:numId="173">
    <w:abstractNumId w:val="44"/>
  </w:num>
  <w:num w:numId="174">
    <w:abstractNumId w:val="94"/>
  </w:num>
  <w:num w:numId="175">
    <w:abstractNumId w:val="75"/>
  </w:num>
  <w:num w:numId="176">
    <w:abstractNumId w:val="116"/>
  </w:num>
  <w:num w:numId="177">
    <w:abstractNumId w:val="6"/>
  </w:num>
  <w:num w:numId="178">
    <w:abstractNumId w:val="173"/>
  </w:num>
  <w:num w:numId="179">
    <w:abstractNumId w:val="204"/>
  </w:num>
  <w:num w:numId="180">
    <w:abstractNumId w:val="89"/>
  </w:num>
  <w:num w:numId="181">
    <w:abstractNumId w:val="102"/>
  </w:num>
  <w:num w:numId="182">
    <w:abstractNumId w:val="189"/>
  </w:num>
  <w:num w:numId="183">
    <w:abstractNumId w:val="224"/>
  </w:num>
  <w:num w:numId="184">
    <w:abstractNumId w:val="193"/>
  </w:num>
  <w:num w:numId="185">
    <w:abstractNumId w:val="11"/>
  </w:num>
  <w:num w:numId="186">
    <w:abstractNumId w:val="188"/>
  </w:num>
  <w:num w:numId="187">
    <w:abstractNumId w:val="38"/>
  </w:num>
  <w:num w:numId="188">
    <w:abstractNumId w:val="128"/>
  </w:num>
  <w:num w:numId="189">
    <w:abstractNumId w:val="68"/>
  </w:num>
  <w:num w:numId="190">
    <w:abstractNumId w:val="77"/>
  </w:num>
  <w:num w:numId="191">
    <w:abstractNumId w:val="195"/>
  </w:num>
  <w:num w:numId="192">
    <w:abstractNumId w:val="85"/>
  </w:num>
  <w:num w:numId="193">
    <w:abstractNumId w:val="39"/>
  </w:num>
  <w:num w:numId="194">
    <w:abstractNumId w:val="143"/>
  </w:num>
  <w:num w:numId="195">
    <w:abstractNumId w:val="145"/>
  </w:num>
  <w:num w:numId="196">
    <w:abstractNumId w:val="150"/>
  </w:num>
  <w:num w:numId="197">
    <w:abstractNumId w:val="96"/>
  </w:num>
  <w:num w:numId="198">
    <w:abstractNumId w:val="31"/>
  </w:num>
  <w:num w:numId="199">
    <w:abstractNumId w:val="147"/>
  </w:num>
  <w:num w:numId="200">
    <w:abstractNumId w:val="152"/>
  </w:num>
  <w:num w:numId="201">
    <w:abstractNumId w:val="74"/>
  </w:num>
  <w:num w:numId="202">
    <w:abstractNumId w:val="86"/>
  </w:num>
  <w:num w:numId="203">
    <w:abstractNumId w:val="201"/>
  </w:num>
  <w:num w:numId="204">
    <w:abstractNumId w:val="30"/>
  </w:num>
  <w:num w:numId="205">
    <w:abstractNumId w:val="153"/>
  </w:num>
  <w:num w:numId="206">
    <w:abstractNumId w:val="187"/>
  </w:num>
  <w:num w:numId="207">
    <w:abstractNumId w:val="71"/>
  </w:num>
  <w:num w:numId="208">
    <w:abstractNumId w:val="237"/>
  </w:num>
  <w:num w:numId="209">
    <w:abstractNumId w:val="24"/>
  </w:num>
  <w:num w:numId="210">
    <w:abstractNumId w:val="205"/>
  </w:num>
  <w:num w:numId="211">
    <w:abstractNumId w:val="4"/>
  </w:num>
  <w:num w:numId="212">
    <w:abstractNumId w:val="88"/>
  </w:num>
  <w:num w:numId="213">
    <w:abstractNumId w:val="233"/>
  </w:num>
  <w:num w:numId="214">
    <w:abstractNumId w:val="203"/>
  </w:num>
  <w:num w:numId="215">
    <w:abstractNumId w:val="59"/>
  </w:num>
  <w:num w:numId="216">
    <w:abstractNumId w:val="131"/>
  </w:num>
  <w:num w:numId="217">
    <w:abstractNumId w:val="49"/>
  </w:num>
  <w:num w:numId="218">
    <w:abstractNumId w:val="67"/>
  </w:num>
  <w:num w:numId="219">
    <w:abstractNumId w:val="138"/>
  </w:num>
  <w:num w:numId="220">
    <w:abstractNumId w:val="118"/>
  </w:num>
  <w:num w:numId="221">
    <w:abstractNumId w:val="114"/>
  </w:num>
  <w:num w:numId="222">
    <w:abstractNumId w:val="26"/>
  </w:num>
  <w:num w:numId="223">
    <w:abstractNumId w:val="120"/>
  </w:num>
  <w:num w:numId="224">
    <w:abstractNumId w:val="48"/>
  </w:num>
  <w:num w:numId="225">
    <w:abstractNumId w:val="27"/>
  </w:num>
  <w:num w:numId="226">
    <w:abstractNumId w:val="163"/>
  </w:num>
  <w:num w:numId="227">
    <w:abstractNumId w:val="232"/>
  </w:num>
  <w:num w:numId="228">
    <w:abstractNumId w:val="101"/>
  </w:num>
  <w:num w:numId="229">
    <w:abstractNumId w:val="134"/>
  </w:num>
  <w:num w:numId="230">
    <w:abstractNumId w:val="156"/>
  </w:num>
  <w:num w:numId="231">
    <w:abstractNumId w:val="170"/>
  </w:num>
  <w:num w:numId="232">
    <w:abstractNumId w:val="230"/>
  </w:num>
  <w:num w:numId="233">
    <w:abstractNumId w:val="110"/>
  </w:num>
  <w:num w:numId="234">
    <w:abstractNumId w:val="168"/>
  </w:num>
  <w:num w:numId="235">
    <w:abstractNumId w:val="3"/>
  </w:num>
  <w:num w:numId="236">
    <w:abstractNumId w:val="125"/>
  </w:num>
  <w:num w:numId="237">
    <w:abstractNumId w:val="149"/>
  </w:num>
  <w:num w:numId="238">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hideGrammatical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1C23"/>
    <w:rsid w:val="00000AF7"/>
    <w:rsid w:val="00000AFB"/>
    <w:rsid w:val="000032FA"/>
    <w:rsid w:val="00003AE1"/>
    <w:rsid w:val="0000403A"/>
    <w:rsid w:val="000044E2"/>
    <w:rsid w:val="00004F2F"/>
    <w:rsid w:val="000053F3"/>
    <w:rsid w:val="00006C3A"/>
    <w:rsid w:val="00007251"/>
    <w:rsid w:val="000072BB"/>
    <w:rsid w:val="000108DA"/>
    <w:rsid w:val="00010DA7"/>
    <w:rsid w:val="0001247A"/>
    <w:rsid w:val="0001467C"/>
    <w:rsid w:val="00014807"/>
    <w:rsid w:val="000150DB"/>
    <w:rsid w:val="000151D4"/>
    <w:rsid w:val="0001537F"/>
    <w:rsid w:val="00015925"/>
    <w:rsid w:val="00015A3B"/>
    <w:rsid w:val="00016448"/>
    <w:rsid w:val="0001663A"/>
    <w:rsid w:val="00017989"/>
    <w:rsid w:val="00017A4F"/>
    <w:rsid w:val="0002066A"/>
    <w:rsid w:val="00021DD6"/>
    <w:rsid w:val="00021DE6"/>
    <w:rsid w:val="0002230A"/>
    <w:rsid w:val="00022D9E"/>
    <w:rsid w:val="00025568"/>
    <w:rsid w:val="000310B0"/>
    <w:rsid w:val="00032212"/>
    <w:rsid w:val="00033266"/>
    <w:rsid w:val="0003344F"/>
    <w:rsid w:val="00034075"/>
    <w:rsid w:val="00036301"/>
    <w:rsid w:val="0003656C"/>
    <w:rsid w:val="00036A83"/>
    <w:rsid w:val="000374C3"/>
    <w:rsid w:val="00037ECB"/>
    <w:rsid w:val="000400E1"/>
    <w:rsid w:val="00040392"/>
    <w:rsid w:val="00040440"/>
    <w:rsid w:val="0004093B"/>
    <w:rsid w:val="00040D82"/>
    <w:rsid w:val="00041564"/>
    <w:rsid w:val="00041F1A"/>
    <w:rsid w:val="00042513"/>
    <w:rsid w:val="00042FA3"/>
    <w:rsid w:val="00043ACB"/>
    <w:rsid w:val="00043D34"/>
    <w:rsid w:val="00044DEE"/>
    <w:rsid w:val="000461F6"/>
    <w:rsid w:val="000474A0"/>
    <w:rsid w:val="000479D6"/>
    <w:rsid w:val="000502C6"/>
    <w:rsid w:val="00050E30"/>
    <w:rsid w:val="0005133E"/>
    <w:rsid w:val="000517C2"/>
    <w:rsid w:val="00052AEC"/>
    <w:rsid w:val="000535AB"/>
    <w:rsid w:val="000537CF"/>
    <w:rsid w:val="00054D07"/>
    <w:rsid w:val="00055317"/>
    <w:rsid w:val="00056139"/>
    <w:rsid w:val="000567E8"/>
    <w:rsid w:val="000567EE"/>
    <w:rsid w:val="00057AD6"/>
    <w:rsid w:val="00060936"/>
    <w:rsid w:val="00060A46"/>
    <w:rsid w:val="000614FF"/>
    <w:rsid w:val="000619BC"/>
    <w:rsid w:val="00064A8D"/>
    <w:rsid w:val="00064C03"/>
    <w:rsid w:val="00067577"/>
    <w:rsid w:val="00067E3E"/>
    <w:rsid w:val="00070FE9"/>
    <w:rsid w:val="00071992"/>
    <w:rsid w:val="000749C5"/>
    <w:rsid w:val="00077211"/>
    <w:rsid w:val="00077F7D"/>
    <w:rsid w:val="00080EE4"/>
    <w:rsid w:val="000819AC"/>
    <w:rsid w:val="00082037"/>
    <w:rsid w:val="0008251A"/>
    <w:rsid w:val="000839B0"/>
    <w:rsid w:val="00083F50"/>
    <w:rsid w:val="00084AA9"/>
    <w:rsid w:val="0008549A"/>
    <w:rsid w:val="00085892"/>
    <w:rsid w:val="00085CC4"/>
    <w:rsid w:val="0009036F"/>
    <w:rsid w:val="000908E9"/>
    <w:rsid w:val="00090FB5"/>
    <w:rsid w:val="0009225B"/>
    <w:rsid w:val="00094054"/>
    <w:rsid w:val="000941F7"/>
    <w:rsid w:val="0009423A"/>
    <w:rsid w:val="00094AA6"/>
    <w:rsid w:val="000951C2"/>
    <w:rsid w:val="00096419"/>
    <w:rsid w:val="00096A49"/>
    <w:rsid w:val="00097523"/>
    <w:rsid w:val="00097761"/>
    <w:rsid w:val="00097B17"/>
    <w:rsid w:val="000A0362"/>
    <w:rsid w:val="000A0A91"/>
    <w:rsid w:val="000A12C4"/>
    <w:rsid w:val="000A1C80"/>
    <w:rsid w:val="000A26F4"/>
    <w:rsid w:val="000A2CF2"/>
    <w:rsid w:val="000A30CD"/>
    <w:rsid w:val="000A3A80"/>
    <w:rsid w:val="000A553F"/>
    <w:rsid w:val="000A5F8A"/>
    <w:rsid w:val="000A640A"/>
    <w:rsid w:val="000A6470"/>
    <w:rsid w:val="000A6554"/>
    <w:rsid w:val="000B01CC"/>
    <w:rsid w:val="000B0FBA"/>
    <w:rsid w:val="000B13E7"/>
    <w:rsid w:val="000B1505"/>
    <w:rsid w:val="000B1D55"/>
    <w:rsid w:val="000B201B"/>
    <w:rsid w:val="000B2319"/>
    <w:rsid w:val="000B27A5"/>
    <w:rsid w:val="000B28A0"/>
    <w:rsid w:val="000B38A1"/>
    <w:rsid w:val="000B3A13"/>
    <w:rsid w:val="000B5248"/>
    <w:rsid w:val="000B5545"/>
    <w:rsid w:val="000B625D"/>
    <w:rsid w:val="000B73CB"/>
    <w:rsid w:val="000B787A"/>
    <w:rsid w:val="000C04DC"/>
    <w:rsid w:val="000C1B54"/>
    <w:rsid w:val="000C1B8C"/>
    <w:rsid w:val="000C3141"/>
    <w:rsid w:val="000C3FF0"/>
    <w:rsid w:val="000C44A1"/>
    <w:rsid w:val="000C4703"/>
    <w:rsid w:val="000C4E72"/>
    <w:rsid w:val="000C7374"/>
    <w:rsid w:val="000C7786"/>
    <w:rsid w:val="000C7EC3"/>
    <w:rsid w:val="000D0E07"/>
    <w:rsid w:val="000D2FE8"/>
    <w:rsid w:val="000D3065"/>
    <w:rsid w:val="000D315F"/>
    <w:rsid w:val="000D47DB"/>
    <w:rsid w:val="000D4F6B"/>
    <w:rsid w:val="000D643A"/>
    <w:rsid w:val="000D6958"/>
    <w:rsid w:val="000E1C1F"/>
    <w:rsid w:val="000E20E1"/>
    <w:rsid w:val="000E2C0B"/>
    <w:rsid w:val="000E34D0"/>
    <w:rsid w:val="000E35DB"/>
    <w:rsid w:val="000E36B9"/>
    <w:rsid w:val="000E37F8"/>
    <w:rsid w:val="000E3827"/>
    <w:rsid w:val="000E4B1F"/>
    <w:rsid w:val="000E6D3F"/>
    <w:rsid w:val="000E7C9A"/>
    <w:rsid w:val="000E7CBA"/>
    <w:rsid w:val="000F2827"/>
    <w:rsid w:val="000F2B7D"/>
    <w:rsid w:val="000F3BC9"/>
    <w:rsid w:val="000F5FD6"/>
    <w:rsid w:val="000F6B8E"/>
    <w:rsid w:val="000F6D78"/>
    <w:rsid w:val="000F7140"/>
    <w:rsid w:val="000F7BC5"/>
    <w:rsid w:val="001006F1"/>
    <w:rsid w:val="00100FE3"/>
    <w:rsid w:val="0010106B"/>
    <w:rsid w:val="00101B1E"/>
    <w:rsid w:val="001027D8"/>
    <w:rsid w:val="00103E28"/>
    <w:rsid w:val="00104749"/>
    <w:rsid w:val="001054B0"/>
    <w:rsid w:val="00105D04"/>
    <w:rsid w:val="00106D54"/>
    <w:rsid w:val="0011182D"/>
    <w:rsid w:val="00112985"/>
    <w:rsid w:val="00114778"/>
    <w:rsid w:val="0011599A"/>
    <w:rsid w:val="00116E68"/>
    <w:rsid w:val="00117573"/>
    <w:rsid w:val="001203F3"/>
    <w:rsid w:val="00120D29"/>
    <w:rsid w:val="0012217E"/>
    <w:rsid w:val="00122BE8"/>
    <w:rsid w:val="00124577"/>
    <w:rsid w:val="00125A67"/>
    <w:rsid w:val="0012659B"/>
    <w:rsid w:val="00132081"/>
    <w:rsid w:val="001329F5"/>
    <w:rsid w:val="001338FC"/>
    <w:rsid w:val="001341DF"/>
    <w:rsid w:val="00134BC4"/>
    <w:rsid w:val="00135122"/>
    <w:rsid w:val="001359FB"/>
    <w:rsid w:val="00136D2F"/>
    <w:rsid w:val="0013782C"/>
    <w:rsid w:val="0014004A"/>
    <w:rsid w:val="001413B5"/>
    <w:rsid w:val="0014144D"/>
    <w:rsid w:val="00141E69"/>
    <w:rsid w:val="00143170"/>
    <w:rsid w:val="00144EEA"/>
    <w:rsid w:val="001451D4"/>
    <w:rsid w:val="00145392"/>
    <w:rsid w:val="00150558"/>
    <w:rsid w:val="00150792"/>
    <w:rsid w:val="0015093A"/>
    <w:rsid w:val="001515FE"/>
    <w:rsid w:val="001518F8"/>
    <w:rsid w:val="00152837"/>
    <w:rsid w:val="00152E3F"/>
    <w:rsid w:val="0015303C"/>
    <w:rsid w:val="001553C0"/>
    <w:rsid w:val="00155A17"/>
    <w:rsid w:val="001572CC"/>
    <w:rsid w:val="001575F2"/>
    <w:rsid w:val="00157C4E"/>
    <w:rsid w:val="0016118A"/>
    <w:rsid w:val="00161929"/>
    <w:rsid w:val="0016391D"/>
    <w:rsid w:val="00164758"/>
    <w:rsid w:val="00164F70"/>
    <w:rsid w:val="001661BF"/>
    <w:rsid w:val="00167C5C"/>
    <w:rsid w:val="001715FB"/>
    <w:rsid w:val="0017171E"/>
    <w:rsid w:val="001729A4"/>
    <w:rsid w:val="00173B98"/>
    <w:rsid w:val="00173CC2"/>
    <w:rsid w:val="00174655"/>
    <w:rsid w:val="0017497D"/>
    <w:rsid w:val="001755EA"/>
    <w:rsid w:val="001758CB"/>
    <w:rsid w:val="00176291"/>
    <w:rsid w:val="001766CE"/>
    <w:rsid w:val="00177A1E"/>
    <w:rsid w:val="0018064A"/>
    <w:rsid w:val="00181671"/>
    <w:rsid w:val="00182255"/>
    <w:rsid w:val="00182340"/>
    <w:rsid w:val="0018642C"/>
    <w:rsid w:val="001872B3"/>
    <w:rsid w:val="001902B0"/>
    <w:rsid w:val="001903AC"/>
    <w:rsid w:val="0019164F"/>
    <w:rsid w:val="0019258B"/>
    <w:rsid w:val="001926F5"/>
    <w:rsid w:val="00192A56"/>
    <w:rsid w:val="00193054"/>
    <w:rsid w:val="001934C4"/>
    <w:rsid w:val="00194327"/>
    <w:rsid w:val="0019514D"/>
    <w:rsid w:val="00195F0F"/>
    <w:rsid w:val="001962CB"/>
    <w:rsid w:val="001A1557"/>
    <w:rsid w:val="001A2DCE"/>
    <w:rsid w:val="001A2F9E"/>
    <w:rsid w:val="001A549D"/>
    <w:rsid w:val="001A5A39"/>
    <w:rsid w:val="001A6395"/>
    <w:rsid w:val="001A7853"/>
    <w:rsid w:val="001A7C09"/>
    <w:rsid w:val="001B1182"/>
    <w:rsid w:val="001B12E4"/>
    <w:rsid w:val="001B1AAF"/>
    <w:rsid w:val="001B2618"/>
    <w:rsid w:val="001B26DA"/>
    <w:rsid w:val="001B28D6"/>
    <w:rsid w:val="001B31B2"/>
    <w:rsid w:val="001B3F63"/>
    <w:rsid w:val="001B537B"/>
    <w:rsid w:val="001B6001"/>
    <w:rsid w:val="001B720B"/>
    <w:rsid w:val="001C0078"/>
    <w:rsid w:val="001C055C"/>
    <w:rsid w:val="001C1E64"/>
    <w:rsid w:val="001C2029"/>
    <w:rsid w:val="001C297F"/>
    <w:rsid w:val="001C2A85"/>
    <w:rsid w:val="001C428B"/>
    <w:rsid w:val="001C60C4"/>
    <w:rsid w:val="001C62A7"/>
    <w:rsid w:val="001C7ED6"/>
    <w:rsid w:val="001D006D"/>
    <w:rsid w:val="001D0DBB"/>
    <w:rsid w:val="001D13CF"/>
    <w:rsid w:val="001D190F"/>
    <w:rsid w:val="001D4D18"/>
    <w:rsid w:val="001D5705"/>
    <w:rsid w:val="001D6ACA"/>
    <w:rsid w:val="001D6DE8"/>
    <w:rsid w:val="001D6E9B"/>
    <w:rsid w:val="001D7994"/>
    <w:rsid w:val="001E38D8"/>
    <w:rsid w:val="001E454D"/>
    <w:rsid w:val="001E63CD"/>
    <w:rsid w:val="001E7491"/>
    <w:rsid w:val="001F0C88"/>
    <w:rsid w:val="001F0F62"/>
    <w:rsid w:val="001F12B2"/>
    <w:rsid w:val="001F17C4"/>
    <w:rsid w:val="001F1A1E"/>
    <w:rsid w:val="001F255A"/>
    <w:rsid w:val="001F2643"/>
    <w:rsid w:val="001F33EB"/>
    <w:rsid w:val="001F36F3"/>
    <w:rsid w:val="001F4AD8"/>
    <w:rsid w:val="001F530D"/>
    <w:rsid w:val="001F5DE0"/>
    <w:rsid w:val="001F6821"/>
    <w:rsid w:val="00201C02"/>
    <w:rsid w:val="002025AA"/>
    <w:rsid w:val="00202A91"/>
    <w:rsid w:val="00202B34"/>
    <w:rsid w:val="00202E73"/>
    <w:rsid w:val="0020385E"/>
    <w:rsid w:val="00203E7A"/>
    <w:rsid w:val="0020414A"/>
    <w:rsid w:val="00205110"/>
    <w:rsid w:val="00206C60"/>
    <w:rsid w:val="00207916"/>
    <w:rsid w:val="0021033B"/>
    <w:rsid w:val="002109C9"/>
    <w:rsid w:val="002113EC"/>
    <w:rsid w:val="00212679"/>
    <w:rsid w:val="00212CC3"/>
    <w:rsid w:val="002134F6"/>
    <w:rsid w:val="00214A79"/>
    <w:rsid w:val="00214BC5"/>
    <w:rsid w:val="002154D7"/>
    <w:rsid w:val="0021568B"/>
    <w:rsid w:val="00216771"/>
    <w:rsid w:val="00216A71"/>
    <w:rsid w:val="00217932"/>
    <w:rsid w:val="00217AA8"/>
    <w:rsid w:val="00217EE5"/>
    <w:rsid w:val="00217EFF"/>
    <w:rsid w:val="00220006"/>
    <w:rsid w:val="00221F9E"/>
    <w:rsid w:val="002223EB"/>
    <w:rsid w:val="002227AC"/>
    <w:rsid w:val="002236AA"/>
    <w:rsid w:val="00223F49"/>
    <w:rsid w:val="002241CD"/>
    <w:rsid w:val="00224441"/>
    <w:rsid w:val="002254AC"/>
    <w:rsid w:val="0022587F"/>
    <w:rsid w:val="002262A9"/>
    <w:rsid w:val="00226C13"/>
    <w:rsid w:val="0022706F"/>
    <w:rsid w:val="002273CF"/>
    <w:rsid w:val="002308CC"/>
    <w:rsid w:val="00230962"/>
    <w:rsid w:val="0023449A"/>
    <w:rsid w:val="00235020"/>
    <w:rsid w:val="00236771"/>
    <w:rsid w:val="0023768B"/>
    <w:rsid w:val="002416FF"/>
    <w:rsid w:val="00241D75"/>
    <w:rsid w:val="00242FE2"/>
    <w:rsid w:val="00243947"/>
    <w:rsid w:val="00243E28"/>
    <w:rsid w:val="00243F6C"/>
    <w:rsid w:val="00244E8A"/>
    <w:rsid w:val="00245487"/>
    <w:rsid w:val="002457E9"/>
    <w:rsid w:val="002458A1"/>
    <w:rsid w:val="002458E5"/>
    <w:rsid w:val="00246261"/>
    <w:rsid w:val="0024670A"/>
    <w:rsid w:val="00247538"/>
    <w:rsid w:val="00247D20"/>
    <w:rsid w:val="00250C2F"/>
    <w:rsid w:val="0025162C"/>
    <w:rsid w:val="00251E2C"/>
    <w:rsid w:val="00253758"/>
    <w:rsid w:val="0025637A"/>
    <w:rsid w:val="002566B5"/>
    <w:rsid w:val="00260425"/>
    <w:rsid w:val="0026161B"/>
    <w:rsid w:val="00261658"/>
    <w:rsid w:val="0026194D"/>
    <w:rsid w:val="002625B4"/>
    <w:rsid w:val="002628A4"/>
    <w:rsid w:val="002629A1"/>
    <w:rsid w:val="00262A0C"/>
    <w:rsid w:val="00262CFE"/>
    <w:rsid w:val="00263382"/>
    <w:rsid w:val="00263E79"/>
    <w:rsid w:val="00264648"/>
    <w:rsid w:val="00264DA1"/>
    <w:rsid w:val="00265038"/>
    <w:rsid w:val="00267732"/>
    <w:rsid w:val="00267DD9"/>
    <w:rsid w:val="002712E6"/>
    <w:rsid w:val="00272142"/>
    <w:rsid w:val="002721FC"/>
    <w:rsid w:val="0027281F"/>
    <w:rsid w:val="002731CE"/>
    <w:rsid w:val="002749FC"/>
    <w:rsid w:val="00274B2E"/>
    <w:rsid w:val="00276A61"/>
    <w:rsid w:val="00276A65"/>
    <w:rsid w:val="00280FA4"/>
    <w:rsid w:val="00281110"/>
    <w:rsid w:val="00281586"/>
    <w:rsid w:val="002832F0"/>
    <w:rsid w:val="002839D4"/>
    <w:rsid w:val="00284124"/>
    <w:rsid w:val="00285179"/>
    <w:rsid w:val="00285D5E"/>
    <w:rsid w:val="00287C3D"/>
    <w:rsid w:val="00292378"/>
    <w:rsid w:val="002929F9"/>
    <w:rsid w:val="00292A8E"/>
    <w:rsid w:val="00292F62"/>
    <w:rsid w:val="0029339C"/>
    <w:rsid w:val="00293660"/>
    <w:rsid w:val="00293E02"/>
    <w:rsid w:val="00295272"/>
    <w:rsid w:val="002965A2"/>
    <w:rsid w:val="00297677"/>
    <w:rsid w:val="00297918"/>
    <w:rsid w:val="00297AB7"/>
    <w:rsid w:val="002A01FC"/>
    <w:rsid w:val="002A1D6F"/>
    <w:rsid w:val="002A2399"/>
    <w:rsid w:val="002A286C"/>
    <w:rsid w:val="002A3407"/>
    <w:rsid w:val="002A4CFB"/>
    <w:rsid w:val="002A7815"/>
    <w:rsid w:val="002B0299"/>
    <w:rsid w:val="002B02CA"/>
    <w:rsid w:val="002B0756"/>
    <w:rsid w:val="002B1119"/>
    <w:rsid w:val="002B4489"/>
    <w:rsid w:val="002B4C87"/>
    <w:rsid w:val="002B5C2B"/>
    <w:rsid w:val="002B5D19"/>
    <w:rsid w:val="002B5F62"/>
    <w:rsid w:val="002B675B"/>
    <w:rsid w:val="002B6A9E"/>
    <w:rsid w:val="002C07A0"/>
    <w:rsid w:val="002C1D9F"/>
    <w:rsid w:val="002C51E2"/>
    <w:rsid w:val="002C78BA"/>
    <w:rsid w:val="002D21F4"/>
    <w:rsid w:val="002D355D"/>
    <w:rsid w:val="002D4554"/>
    <w:rsid w:val="002D506E"/>
    <w:rsid w:val="002D607F"/>
    <w:rsid w:val="002D6F39"/>
    <w:rsid w:val="002D7862"/>
    <w:rsid w:val="002E083F"/>
    <w:rsid w:val="002E13F9"/>
    <w:rsid w:val="002E1DA1"/>
    <w:rsid w:val="002E3E15"/>
    <w:rsid w:val="002E6AB0"/>
    <w:rsid w:val="002F0C42"/>
    <w:rsid w:val="002F0C7B"/>
    <w:rsid w:val="002F1ED1"/>
    <w:rsid w:val="002F37C6"/>
    <w:rsid w:val="002F3970"/>
    <w:rsid w:val="002F3981"/>
    <w:rsid w:val="002F61C9"/>
    <w:rsid w:val="002F7052"/>
    <w:rsid w:val="00300D90"/>
    <w:rsid w:val="00303411"/>
    <w:rsid w:val="00305488"/>
    <w:rsid w:val="00306074"/>
    <w:rsid w:val="0030667A"/>
    <w:rsid w:val="00307112"/>
    <w:rsid w:val="00307C88"/>
    <w:rsid w:val="0031033F"/>
    <w:rsid w:val="00310F9C"/>
    <w:rsid w:val="0031129E"/>
    <w:rsid w:val="0031319A"/>
    <w:rsid w:val="003147B9"/>
    <w:rsid w:val="00314CE4"/>
    <w:rsid w:val="00315BC4"/>
    <w:rsid w:val="00317CE0"/>
    <w:rsid w:val="003207EF"/>
    <w:rsid w:val="00321070"/>
    <w:rsid w:val="003212CD"/>
    <w:rsid w:val="00321B23"/>
    <w:rsid w:val="00322756"/>
    <w:rsid w:val="00323145"/>
    <w:rsid w:val="00323F34"/>
    <w:rsid w:val="00323F3F"/>
    <w:rsid w:val="0032432F"/>
    <w:rsid w:val="0032523E"/>
    <w:rsid w:val="0032572F"/>
    <w:rsid w:val="003258F1"/>
    <w:rsid w:val="00325AE5"/>
    <w:rsid w:val="00330AD7"/>
    <w:rsid w:val="00331CAE"/>
    <w:rsid w:val="00331E73"/>
    <w:rsid w:val="00332CCB"/>
    <w:rsid w:val="00332D69"/>
    <w:rsid w:val="003338D8"/>
    <w:rsid w:val="003343A5"/>
    <w:rsid w:val="00334482"/>
    <w:rsid w:val="0033591F"/>
    <w:rsid w:val="003366E2"/>
    <w:rsid w:val="00336E89"/>
    <w:rsid w:val="00337EB9"/>
    <w:rsid w:val="0034090C"/>
    <w:rsid w:val="00340C14"/>
    <w:rsid w:val="003419C0"/>
    <w:rsid w:val="0034240B"/>
    <w:rsid w:val="00342BFE"/>
    <w:rsid w:val="003432DF"/>
    <w:rsid w:val="00343B4F"/>
    <w:rsid w:val="00344428"/>
    <w:rsid w:val="00344545"/>
    <w:rsid w:val="0034461A"/>
    <w:rsid w:val="00346E89"/>
    <w:rsid w:val="00347450"/>
    <w:rsid w:val="003476BA"/>
    <w:rsid w:val="003477A0"/>
    <w:rsid w:val="00347D43"/>
    <w:rsid w:val="00347F65"/>
    <w:rsid w:val="00350689"/>
    <w:rsid w:val="003506A6"/>
    <w:rsid w:val="00350E0E"/>
    <w:rsid w:val="00351145"/>
    <w:rsid w:val="00351374"/>
    <w:rsid w:val="00351398"/>
    <w:rsid w:val="00352CEE"/>
    <w:rsid w:val="00353C7F"/>
    <w:rsid w:val="00354286"/>
    <w:rsid w:val="00354B35"/>
    <w:rsid w:val="003551C1"/>
    <w:rsid w:val="00355A5D"/>
    <w:rsid w:val="00355A80"/>
    <w:rsid w:val="003562F8"/>
    <w:rsid w:val="00356A1D"/>
    <w:rsid w:val="00356C43"/>
    <w:rsid w:val="0035725E"/>
    <w:rsid w:val="003573F5"/>
    <w:rsid w:val="00357A76"/>
    <w:rsid w:val="003601E3"/>
    <w:rsid w:val="0036063B"/>
    <w:rsid w:val="00360D01"/>
    <w:rsid w:val="003610A3"/>
    <w:rsid w:val="0036198D"/>
    <w:rsid w:val="0036331A"/>
    <w:rsid w:val="00363B1C"/>
    <w:rsid w:val="00364375"/>
    <w:rsid w:val="00365727"/>
    <w:rsid w:val="00365BA8"/>
    <w:rsid w:val="00365FC1"/>
    <w:rsid w:val="003668AA"/>
    <w:rsid w:val="00367D9D"/>
    <w:rsid w:val="00367DA2"/>
    <w:rsid w:val="003709FA"/>
    <w:rsid w:val="0037363C"/>
    <w:rsid w:val="0037367D"/>
    <w:rsid w:val="00374251"/>
    <w:rsid w:val="0037425A"/>
    <w:rsid w:val="003743FB"/>
    <w:rsid w:val="0037494D"/>
    <w:rsid w:val="003758B1"/>
    <w:rsid w:val="00376E09"/>
    <w:rsid w:val="003777DF"/>
    <w:rsid w:val="00377F07"/>
    <w:rsid w:val="00381043"/>
    <w:rsid w:val="00382585"/>
    <w:rsid w:val="003827C3"/>
    <w:rsid w:val="00383810"/>
    <w:rsid w:val="00383889"/>
    <w:rsid w:val="00383972"/>
    <w:rsid w:val="00383CD1"/>
    <w:rsid w:val="00384982"/>
    <w:rsid w:val="003858A6"/>
    <w:rsid w:val="0038631C"/>
    <w:rsid w:val="003865EB"/>
    <w:rsid w:val="0038691F"/>
    <w:rsid w:val="003903D5"/>
    <w:rsid w:val="00392616"/>
    <w:rsid w:val="00394024"/>
    <w:rsid w:val="00394357"/>
    <w:rsid w:val="003965AE"/>
    <w:rsid w:val="003A0D76"/>
    <w:rsid w:val="003A0E73"/>
    <w:rsid w:val="003A12B1"/>
    <w:rsid w:val="003A17A8"/>
    <w:rsid w:val="003A4650"/>
    <w:rsid w:val="003A49BA"/>
    <w:rsid w:val="003A4C03"/>
    <w:rsid w:val="003A7060"/>
    <w:rsid w:val="003A729C"/>
    <w:rsid w:val="003A7A8B"/>
    <w:rsid w:val="003A7F1C"/>
    <w:rsid w:val="003B0E50"/>
    <w:rsid w:val="003B1049"/>
    <w:rsid w:val="003B208A"/>
    <w:rsid w:val="003B34CC"/>
    <w:rsid w:val="003B414A"/>
    <w:rsid w:val="003B41BA"/>
    <w:rsid w:val="003B485C"/>
    <w:rsid w:val="003B4D61"/>
    <w:rsid w:val="003B50E6"/>
    <w:rsid w:val="003B5657"/>
    <w:rsid w:val="003B6645"/>
    <w:rsid w:val="003B6A3A"/>
    <w:rsid w:val="003B7388"/>
    <w:rsid w:val="003C0627"/>
    <w:rsid w:val="003C0BAC"/>
    <w:rsid w:val="003C1861"/>
    <w:rsid w:val="003C2505"/>
    <w:rsid w:val="003C2EED"/>
    <w:rsid w:val="003C3B2D"/>
    <w:rsid w:val="003C3C00"/>
    <w:rsid w:val="003C3DF0"/>
    <w:rsid w:val="003C3E82"/>
    <w:rsid w:val="003C4190"/>
    <w:rsid w:val="003C5A87"/>
    <w:rsid w:val="003C5CB5"/>
    <w:rsid w:val="003C60BB"/>
    <w:rsid w:val="003C6657"/>
    <w:rsid w:val="003C675C"/>
    <w:rsid w:val="003C6A21"/>
    <w:rsid w:val="003C6B78"/>
    <w:rsid w:val="003C6F82"/>
    <w:rsid w:val="003C72CA"/>
    <w:rsid w:val="003D0B41"/>
    <w:rsid w:val="003D0DD1"/>
    <w:rsid w:val="003D214C"/>
    <w:rsid w:val="003D2612"/>
    <w:rsid w:val="003D3350"/>
    <w:rsid w:val="003D3627"/>
    <w:rsid w:val="003D614C"/>
    <w:rsid w:val="003D6644"/>
    <w:rsid w:val="003D66D1"/>
    <w:rsid w:val="003D7E56"/>
    <w:rsid w:val="003E00A9"/>
    <w:rsid w:val="003E1285"/>
    <w:rsid w:val="003E15A3"/>
    <w:rsid w:val="003E4C1D"/>
    <w:rsid w:val="003E53CA"/>
    <w:rsid w:val="003E5746"/>
    <w:rsid w:val="003E64FE"/>
    <w:rsid w:val="003F086C"/>
    <w:rsid w:val="003F28F3"/>
    <w:rsid w:val="003F3322"/>
    <w:rsid w:val="003F355D"/>
    <w:rsid w:val="003F5339"/>
    <w:rsid w:val="003F55E1"/>
    <w:rsid w:val="003F5A16"/>
    <w:rsid w:val="003F5F9D"/>
    <w:rsid w:val="003F641E"/>
    <w:rsid w:val="003F6538"/>
    <w:rsid w:val="003F79E5"/>
    <w:rsid w:val="003F7CA5"/>
    <w:rsid w:val="003F7FE7"/>
    <w:rsid w:val="004019FE"/>
    <w:rsid w:val="004022C3"/>
    <w:rsid w:val="00402701"/>
    <w:rsid w:val="00402798"/>
    <w:rsid w:val="00404F9C"/>
    <w:rsid w:val="0040590A"/>
    <w:rsid w:val="004061A4"/>
    <w:rsid w:val="00406F00"/>
    <w:rsid w:val="00407166"/>
    <w:rsid w:val="0040734C"/>
    <w:rsid w:val="0040753B"/>
    <w:rsid w:val="0040763C"/>
    <w:rsid w:val="00407926"/>
    <w:rsid w:val="00410563"/>
    <w:rsid w:val="004106BB"/>
    <w:rsid w:val="00412C5F"/>
    <w:rsid w:val="00413616"/>
    <w:rsid w:val="00413729"/>
    <w:rsid w:val="00413A76"/>
    <w:rsid w:val="00413DB1"/>
    <w:rsid w:val="00413F05"/>
    <w:rsid w:val="004140C3"/>
    <w:rsid w:val="004141E5"/>
    <w:rsid w:val="00415392"/>
    <w:rsid w:val="0041761F"/>
    <w:rsid w:val="004212E8"/>
    <w:rsid w:val="004214B1"/>
    <w:rsid w:val="0042180A"/>
    <w:rsid w:val="00422B03"/>
    <w:rsid w:val="00422E60"/>
    <w:rsid w:val="00423B4B"/>
    <w:rsid w:val="00423F6D"/>
    <w:rsid w:val="004240A3"/>
    <w:rsid w:val="004245F6"/>
    <w:rsid w:val="004254AD"/>
    <w:rsid w:val="0042559A"/>
    <w:rsid w:val="00426D04"/>
    <w:rsid w:val="00427B31"/>
    <w:rsid w:val="00427DBF"/>
    <w:rsid w:val="00427E6E"/>
    <w:rsid w:val="00430656"/>
    <w:rsid w:val="00430853"/>
    <w:rsid w:val="00430922"/>
    <w:rsid w:val="00432C53"/>
    <w:rsid w:val="00433B03"/>
    <w:rsid w:val="004358EB"/>
    <w:rsid w:val="00436EC3"/>
    <w:rsid w:val="00437C4D"/>
    <w:rsid w:val="004409C2"/>
    <w:rsid w:val="00440CED"/>
    <w:rsid w:val="00441652"/>
    <w:rsid w:val="004425F4"/>
    <w:rsid w:val="004426D3"/>
    <w:rsid w:val="004445FA"/>
    <w:rsid w:val="0044461E"/>
    <w:rsid w:val="0044500C"/>
    <w:rsid w:val="0044584E"/>
    <w:rsid w:val="0044699F"/>
    <w:rsid w:val="004471E2"/>
    <w:rsid w:val="00447F7E"/>
    <w:rsid w:val="004507BD"/>
    <w:rsid w:val="00450EAE"/>
    <w:rsid w:val="004512D9"/>
    <w:rsid w:val="00451519"/>
    <w:rsid w:val="00452185"/>
    <w:rsid w:val="00454324"/>
    <w:rsid w:val="00454B67"/>
    <w:rsid w:val="0045517E"/>
    <w:rsid w:val="00456C7A"/>
    <w:rsid w:val="0046133C"/>
    <w:rsid w:val="004616D9"/>
    <w:rsid w:val="00462457"/>
    <w:rsid w:val="00462604"/>
    <w:rsid w:val="00462A5F"/>
    <w:rsid w:val="00462F98"/>
    <w:rsid w:val="0046342C"/>
    <w:rsid w:val="00464FBA"/>
    <w:rsid w:val="004654DD"/>
    <w:rsid w:val="00465531"/>
    <w:rsid w:val="004660B1"/>
    <w:rsid w:val="0046693A"/>
    <w:rsid w:val="00467950"/>
    <w:rsid w:val="00467A6F"/>
    <w:rsid w:val="00467F2E"/>
    <w:rsid w:val="00470072"/>
    <w:rsid w:val="00471009"/>
    <w:rsid w:val="004713D6"/>
    <w:rsid w:val="00471F7E"/>
    <w:rsid w:val="00472A50"/>
    <w:rsid w:val="004733B4"/>
    <w:rsid w:val="00475085"/>
    <w:rsid w:val="004756AC"/>
    <w:rsid w:val="0047676B"/>
    <w:rsid w:val="00476A5D"/>
    <w:rsid w:val="00476BC5"/>
    <w:rsid w:val="00480CCE"/>
    <w:rsid w:val="004819FD"/>
    <w:rsid w:val="00481F53"/>
    <w:rsid w:val="0048282D"/>
    <w:rsid w:val="00482CB7"/>
    <w:rsid w:val="00483099"/>
    <w:rsid w:val="00483519"/>
    <w:rsid w:val="00483EB0"/>
    <w:rsid w:val="0048437A"/>
    <w:rsid w:val="004845DA"/>
    <w:rsid w:val="004846D5"/>
    <w:rsid w:val="00484850"/>
    <w:rsid w:val="00485260"/>
    <w:rsid w:val="0048568D"/>
    <w:rsid w:val="00485D9E"/>
    <w:rsid w:val="00485E8C"/>
    <w:rsid w:val="00486B8E"/>
    <w:rsid w:val="00486E58"/>
    <w:rsid w:val="00487952"/>
    <w:rsid w:val="00487B87"/>
    <w:rsid w:val="00487D66"/>
    <w:rsid w:val="00490B8D"/>
    <w:rsid w:val="00490CB0"/>
    <w:rsid w:val="0049189F"/>
    <w:rsid w:val="00491CB1"/>
    <w:rsid w:val="00492912"/>
    <w:rsid w:val="00492F53"/>
    <w:rsid w:val="00492FE2"/>
    <w:rsid w:val="00493320"/>
    <w:rsid w:val="00495E6C"/>
    <w:rsid w:val="0049691D"/>
    <w:rsid w:val="00496EDF"/>
    <w:rsid w:val="00497C61"/>
    <w:rsid w:val="004A0132"/>
    <w:rsid w:val="004A1AC4"/>
    <w:rsid w:val="004A1B5B"/>
    <w:rsid w:val="004A1B80"/>
    <w:rsid w:val="004A21E6"/>
    <w:rsid w:val="004A2220"/>
    <w:rsid w:val="004A3703"/>
    <w:rsid w:val="004A47CA"/>
    <w:rsid w:val="004A5E1E"/>
    <w:rsid w:val="004A758D"/>
    <w:rsid w:val="004B0A5B"/>
    <w:rsid w:val="004B0D74"/>
    <w:rsid w:val="004B2106"/>
    <w:rsid w:val="004B419D"/>
    <w:rsid w:val="004B45D2"/>
    <w:rsid w:val="004B4965"/>
    <w:rsid w:val="004B68B8"/>
    <w:rsid w:val="004B6DAC"/>
    <w:rsid w:val="004B7DF3"/>
    <w:rsid w:val="004C1B72"/>
    <w:rsid w:val="004C3006"/>
    <w:rsid w:val="004C3A69"/>
    <w:rsid w:val="004C4315"/>
    <w:rsid w:val="004C58EC"/>
    <w:rsid w:val="004C67CB"/>
    <w:rsid w:val="004C6A9F"/>
    <w:rsid w:val="004C6B5B"/>
    <w:rsid w:val="004C73CA"/>
    <w:rsid w:val="004C742D"/>
    <w:rsid w:val="004C7742"/>
    <w:rsid w:val="004D0BF3"/>
    <w:rsid w:val="004D0FDE"/>
    <w:rsid w:val="004D1359"/>
    <w:rsid w:val="004D49E4"/>
    <w:rsid w:val="004D51E7"/>
    <w:rsid w:val="004D53CD"/>
    <w:rsid w:val="004D5A3D"/>
    <w:rsid w:val="004D611E"/>
    <w:rsid w:val="004D61D5"/>
    <w:rsid w:val="004D687A"/>
    <w:rsid w:val="004D6ADA"/>
    <w:rsid w:val="004D73AD"/>
    <w:rsid w:val="004D7D2A"/>
    <w:rsid w:val="004E0236"/>
    <w:rsid w:val="004E12B9"/>
    <w:rsid w:val="004E2463"/>
    <w:rsid w:val="004E270B"/>
    <w:rsid w:val="004E29D5"/>
    <w:rsid w:val="004E2B6B"/>
    <w:rsid w:val="004E2FBD"/>
    <w:rsid w:val="004E3155"/>
    <w:rsid w:val="004E3211"/>
    <w:rsid w:val="004E34C6"/>
    <w:rsid w:val="004E3754"/>
    <w:rsid w:val="004E42C4"/>
    <w:rsid w:val="004E4EF3"/>
    <w:rsid w:val="004E526D"/>
    <w:rsid w:val="004E5360"/>
    <w:rsid w:val="004F0CF8"/>
    <w:rsid w:val="004F0DA1"/>
    <w:rsid w:val="004F2B29"/>
    <w:rsid w:val="004F3035"/>
    <w:rsid w:val="004F322D"/>
    <w:rsid w:val="004F33EB"/>
    <w:rsid w:val="004F3475"/>
    <w:rsid w:val="004F49B9"/>
    <w:rsid w:val="004F53DF"/>
    <w:rsid w:val="004F5415"/>
    <w:rsid w:val="004F5F05"/>
    <w:rsid w:val="004F6D80"/>
    <w:rsid w:val="00501926"/>
    <w:rsid w:val="00502F8C"/>
    <w:rsid w:val="005034DB"/>
    <w:rsid w:val="005043A0"/>
    <w:rsid w:val="00505257"/>
    <w:rsid w:val="00506243"/>
    <w:rsid w:val="00506EFA"/>
    <w:rsid w:val="00506F36"/>
    <w:rsid w:val="00510096"/>
    <w:rsid w:val="00511A0C"/>
    <w:rsid w:val="00511A50"/>
    <w:rsid w:val="00511B19"/>
    <w:rsid w:val="00511DCA"/>
    <w:rsid w:val="005142CD"/>
    <w:rsid w:val="00514303"/>
    <w:rsid w:val="0051608C"/>
    <w:rsid w:val="005162B1"/>
    <w:rsid w:val="00517090"/>
    <w:rsid w:val="0051786B"/>
    <w:rsid w:val="005179CD"/>
    <w:rsid w:val="00517B4A"/>
    <w:rsid w:val="00517BFD"/>
    <w:rsid w:val="00520571"/>
    <w:rsid w:val="0052131A"/>
    <w:rsid w:val="00521473"/>
    <w:rsid w:val="00521A1C"/>
    <w:rsid w:val="005222FA"/>
    <w:rsid w:val="005227A9"/>
    <w:rsid w:val="00523114"/>
    <w:rsid w:val="0052335A"/>
    <w:rsid w:val="00523FE8"/>
    <w:rsid w:val="0052465B"/>
    <w:rsid w:val="0052491F"/>
    <w:rsid w:val="00524E0A"/>
    <w:rsid w:val="0052517B"/>
    <w:rsid w:val="00525901"/>
    <w:rsid w:val="00526792"/>
    <w:rsid w:val="00526D06"/>
    <w:rsid w:val="00526E42"/>
    <w:rsid w:val="005301E2"/>
    <w:rsid w:val="00530E63"/>
    <w:rsid w:val="0053137D"/>
    <w:rsid w:val="00531D89"/>
    <w:rsid w:val="00532C48"/>
    <w:rsid w:val="0053470D"/>
    <w:rsid w:val="00535A5D"/>
    <w:rsid w:val="00535E8A"/>
    <w:rsid w:val="0053676D"/>
    <w:rsid w:val="00536A1F"/>
    <w:rsid w:val="00536AE8"/>
    <w:rsid w:val="00537266"/>
    <w:rsid w:val="005374DF"/>
    <w:rsid w:val="005377E1"/>
    <w:rsid w:val="00537B3A"/>
    <w:rsid w:val="00540190"/>
    <w:rsid w:val="0054025B"/>
    <w:rsid w:val="005405D8"/>
    <w:rsid w:val="00541E2E"/>
    <w:rsid w:val="005437E4"/>
    <w:rsid w:val="00543E91"/>
    <w:rsid w:val="00543F3F"/>
    <w:rsid w:val="00544132"/>
    <w:rsid w:val="00545ED5"/>
    <w:rsid w:val="005476F9"/>
    <w:rsid w:val="0055069F"/>
    <w:rsid w:val="00551C69"/>
    <w:rsid w:val="00551E0C"/>
    <w:rsid w:val="00551F86"/>
    <w:rsid w:val="00552062"/>
    <w:rsid w:val="0055215F"/>
    <w:rsid w:val="00552233"/>
    <w:rsid w:val="00552609"/>
    <w:rsid w:val="0055399C"/>
    <w:rsid w:val="00553F75"/>
    <w:rsid w:val="00554827"/>
    <w:rsid w:val="00554844"/>
    <w:rsid w:val="00554FBC"/>
    <w:rsid w:val="00555557"/>
    <w:rsid w:val="0055573E"/>
    <w:rsid w:val="00555892"/>
    <w:rsid w:val="00555E90"/>
    <w:rsid w:val="00557D50"/>
    <w:rsid w:val="00560179"/>
    <w:rsid w:val="00561155"/>
    <w:rsid w:val="0056137E"/>
    <w:rsid w:val="00564124"/>
    <w:rsid w:val="00564941"/>
    <w:rsid w:val="00566317"/>
    <w:rsid w:val="0056667A"/>
    <w:rsid w:val="005668C4"/>
    <w:rsid w:val="00567D36"/>
    <w:rsid w:val="00570083"/>
    <w:rsid w:val="005704D5"/>
    <w:rsid w:val="00570926"/>
    <w:rsid w:val="00570B5B"/>
    <w:rsid w:val="00570DBE"/>
    <w:rsid w:val="00574FB0"/>
    <w:rsid w:val="005777FF"/>
    <w:rsid w:val="00577F15"/>
    <w:rsid w:val="005800DF"/>
    <w:rsid w:val="005822C5"/>
    <w:rsid w:val="005828FF"/>
    <w:rsid w:val="0058341C"/>
    <w:rsid w:val="0058387E"/>
    <w:rsid w:val="00583932"/>
    <w:rsid w:val="00584973"/>
    <w:rsid w:val="0058555D"/>
    <w:rsid w:val="00585647"/>
    <w:rsid w:val="00585B90"/>
    <w:rsid w:val="0058618C"/>
    <w:rsid w:val="005863C9"/>
    <w:rsid w:val="0058755F"/>
    <w:rsid w:val="00590444"/>
    <w:rsid w:val="00590DFD"/>
    <w:rsid w:val="00591EF7"/>
    <w:rsid w:val="00592A96"/>
    <w:rsid w:val="00593158"/>
    <w:rsid w:val="00593BE1"/>
    <w:rsid w:val="00593C86"/>
    <w:rsid w:val="00593D3B"/>
    <w:rsid w:val="00594616"/>
    <w:rsid w:val="00595441"/>
    <w:rsid w:val="00595A0E"/>
    <w:rsid w:val="005A008D"/>
    <w:rsid w:val="005A01E5"/>
    <w:rsid w:val="005A0664"/>
    <w:rsid w:val="005A096B"/>
    <w:rsid w:val="005A467E"/>
    <w:rsid w:val="005A4BAD"/>
    <w:rsid w:val="005A4E7F"/>
    <w:rsid w:val="005A52E6"/>
    <w:rsid w:val="005A58F5"/>
    <w:rsid w:val="005A597D"/>
    <w:rsid w:val="005A716D"/>
    <w:rsid w:val="005B296C"/>
    <w:rsid w:val="005B2A5D"/>
    <w:rsid w:val="005B3838"/>
    <w:rsid w:val="005B3D11"/>
    <w:rsid w:val="005B4862"/>
    <w:rsid w:val="005B54CD"/>
    <w:rsid w:val="005B5E0F"/>
    <w:rsid w:val="005B7143"/>
    <w:rsid w:val="005C000C"/>
    <w:rsid w:val="005C05D1"/>
    <w:rsid w:val="005C4095"/>
    <w:rsid w:val="005D084B"/>
    <w:rsid w:val="005D10E6"/>
    <w:rsid w:val="005D12DA"/>
    <w:rsid w:val="005D1F37"/>
    <w:rsid w:val="005D2AA3"/>
    <w:rsid w:val="005D2AF3"/>
    <w:rsid w:val="005D3E55"/>
    <w:rsid w:val="005D3FEF"/>
    <w:rsid w:val="005D442D"/>
    <w:rsid w:val="005D7447"/>
    <w:rsid w:val="005D7A39"/>
    <w:rsid w:val="005E0804"/>
    <w:rsid w:val="005E1358"/>
    <w:rsid w:val="005E1D3A"/>
    <w:rsid w:val="005E1E02"/>
    <w:rsid w:val="005E2357"/>
    <w:rsid w:val="005E2ADE"/>
    <w:rsid w:val="005E2FAB"/>
    <w:rsid w:val="005E2FD8"/>
    <w:rsid w:val="005E307F"/>
    <w:rsid w:val="005E41B9"/>
    <w:rsid w:val="005E59DF"/>
    <w:rsid w:val="005E5E20"/>
    <w:rsid w:val="005E5EC2"/>
    <w:rsid w:val="005E64AA"/>
    <w:rsid w:val="005E791F"/>
    <w:rsid w:val="005F03E4"/>
    <w:rsid w:val="005F1640"/>
    <w:rsid w:val="005F16FF"/>
    <w:rsid w:val="005F3B0C"/>
    <w:rsid w:val="005F3C55"/>
    <w:rsid w:val="005F3C84"/>
    <w:rsid w:val="005F444D"/>
    <w:rsid w:val="005F5951"/>
    <w:rsid w:val="005F5D05"/>
    <w:rsid w:val="005F6560"/>
    <w:rsid w:val="00600FE0"/>
    <w:rsid w:val="00601074"/>
    <w:rsid w:val="00601EAA"/>
    <w:rsid w:val="00602121"/>
    <w:rsid w:val="00602C05"/>
    <w:rsid w:val="00602E08"/>
    <w:rsid w:val="00603B0C"/>
    <w:rsid w:val="00604DDD"/>
    <w:rsid w:val="00604E4A"/>
    <w:rsid w:val="0060530B"/>
    <w:rsid w:val="00605F76"/>
    <w:rsid w:val="006061C7"/>
    <w:rsid w:val="00606260"/>
    <w:rsid w:val="006065FB"/>
    <w:rsid w:val="006077DB"/>
    <w:rsid w:val="006078A9"/>
    <w:rsid w:val="00607D7E"/>
    <w:rsid w:val="006113BB"/>
    <w:rsid w:val="00611F2C"/>
    <w:rsid w:val="006120EB"/>
    <w:rsid w:val="006132E1"/>
    <w:rsid w:val="00613A64"/>
    <w:rsid w:val="00614F3A"/>
    <w:rsid w:val="00615362"/>
    <w:rsid w:val="00621E78"/>
    <w:rsid w:val="00622DFF"/>
    <w:rsid w:val="0062378E"/>
    <w:rsid w:val="006242D2"/>
    <w:rsid w:val="006246B6"/>
    <w:rsid w:val="00626D29"/>
    <w:rsid w:val="00627406"/>
    <w:rsid w:val="00627F29"/>
    <w:rsid w:val="00630F16"/>
    <w:rsid w:val="00631229"/>
    <w:rsid w:val="00631257"/>
    <w:rsid w:val="00632BF6"/>
    <w:rsid w:val="00633B41"/>
    <w:rsid w:val="00634821"/>
    <w:rsid w:val="00635394"/>
    <w:rsid w:val="006358E0"/>
    <w:rsid w:val="00636273"/>
    <w:rsid w:val="00636C22"/>
    <w:rsid w:val="00636C6D"/>
    <w:rsid w:val="006372C6"/>
    <w:rsid w:val="006373CF"/>
    <w:rsid w:val="00641024"/>
    <w:rsid w:val="00641A71"/>
    <w:rsid w:val="00641FFB"/>
    <w:rsid w:val="006441A2"/>
    <w:rsid w:val="006463FE"/>
    <w:rsid w:val="00646ABF"/>
    <w:rsid w:val="00646CAD"/>
    <w:rsid w:val="00646DDE"/>
    <w:rsid w:val="00646E6E"/>
    <w:rsid w:val="00651866"/>
    <w:rsid w:val="006531BD"/>
    <w:rsid w:val="0065337A"/>
    <w:rsid w:val="006536B2"/>
    <w:rsid w:val="00653F80"/>
    <w:rsid w:val="00654084"/>
    <w:rsid w:val="006549FC"/>
    <w:rsid w:val="00655151"/>
    <w:rsid w:val="006554FB"/>
    <w:rsid w:val="006561C6"/>
    <w:rsid w:val="00656480"/>
    <w:rsid w:val="00657069"/>
    <w:rsid w:val="006571F0"/>
    <w:rsid w:val="00657B1C"/>
    <w:rsid w:val="00657C81"/>
    <w:rsid w:val="00657F41"/>
    <w:rsid w:val="006601FD"/>
    <w:rsid w:val="0066102C"/>
    <w:rsid w:val="006612AF"/>
    <w:rsid w:val="00661896"/>
    <w:rsid w:val="00661A66"/>
    <w:rsid w:val="00661C50"/>
    <w:rsid w:val="006626D3"/>
    <w:rsid w:val="00662F7A"/>
    <w:rsid w:val="006645ED"/>
    <w:rsid w:val="00664A48"/>
    <w:rsid w:val="00665A6C"/>
    <w:rsid w:val="00666994"/>
    <w:rsid w:val="00670110"/>
    <w:rsid w:val="006731F2"/>
    <w:rsid w:val="006734AB"/>
    <w:rsid w:val="0067413B"/>
    <w:rsid w:val="00674EC1"/>
    <w:rsid w:val="00675D10"/>
    <w:rsid w:val="00676DBB"/>
    <w:rsid w:val="00681791"/>
    <w:rsid w:val="00681F3E"/>
    <w:rsid w:val="00682622"/>
    <w:rsid w:val="006833E9"/>
    <w:rsid w:val="00683AE7"/>
    <w:rsid w:val="006848C2"/>
    <w:rsid w:val="00685587"/>
    <w:rsid w:val="0068610E"/>
    <w:rsid w:val="0068672A"/>
    <w:rsid w:val="006872C6"/>
    <w:rsid w:val="00687DBE"/>
    <w:rsid w:val="00692C0A"/>
    <w:rsid w:val="0069351B"/>
    <w:rsid w:val="00693694"/>
    <w:rsid w:val="006939C8"/>
    <w:rsid w:val="0069401A"/>
    <w:rsid w:val="006950DA"/>
    <w:rsid w:val="00695AC7"/>
    <w:rsid w:val="00695D10"/>
    <w:rsid w:val="00695D50"/>
    <w:rsid w:val="00696FAE"/>
    <w:rsid w:val="006971B3"/>
    <w:rsid w:val="006A12E6"/>
    <w:rsid w:val="006A13CD"/>
    <w:rsid w:val="006A163D"/>
    <w:rsid w:val="006A235E"/>
    <w:rsid w:val="006A3055"/>
    <w:rsid w:val="006A4CB3"/>
    <w:rsid w:val="006A5702"/>
    <w:rsid w:val="006A5BA3"/>
    <w:rsid w:val="006A6674"/>
    <w:rsid w:val="006A6E7A"/>
    <w:rsid w:val="006B16E0"/>
    <w:rsid w:val="006B19B1"/>
    <w:rsid w:val="006B624C"/>
    <w:rsid w:val="006B6924"/>
    <w:rsid w:val="006B6AAA"/>
    <w:rsid w:val="006B6BA9"/>
    <w:rsid w:val="006B7FED"/>
    <w:rsid w:val="006C0EC6"/>
    <w:rsid w:val="006C10FE"/>
    <w:rsid w:val="006C283A"/>
    <w:rsid w:val="006C2EE4"/>
    <w:rsid w:val="006C4442"/>
    <w:rsid w:val="006C4504"/>
    <w:rsid w:val="006C4AB5"/>
    <w:rsid w:val="006C5E59"/>
    <w:rsid w:val="006C6740"/>
    <w:rsid w:val="006D0153"/>
    <w:rsid w:val="006D0DC5"/>
    <w:rsid w:val="006D181E"/>
    <w:rsid w:val="006D21E8"/>
    <w:rsid w:val="006D3054"/>
    <w:rsid w:val="006D3137"/>
    <w:rsid w:val="006D3F31"/>
    <w:rsid w:val="006D4DD7"/>
    <w:rsid w:val="006D5B13"/>
    <w:rsid w:val="006D5DDE"/>
    <w:rsid w:val="006D6FB1"/>
    <w:rsid w:val="006E028F"/>
    <w:rsid w:val="006E0E91"/>
    <w:rsid w:val="006E0EBB"/>
    <w:rsid w:val="006E266F"/>
    <w:rsid w:val="006E2DE9"/>
    <w:rsid w:val="006E4852"/>
    <w:rsid w:val="006E4D70"/>
    <w:rsid w:val="006E6092"/>
    <w:rsid w:val="006E6ABF"/>
    <w:rsid w:val="006E6B4D"/>
    <w:rsid w:val="006E73A7"/>
    <w:rsid w:val="006F0088"/>
    <w:rsid w:val="006F0DBB"/>
    <w:rsid w:val="006F0FC9"/>
    <w:rsid w:val="006F1068"/>
    <w:rsid w:val="006F2BBC"/>
    <w:rsid w:val="006F2FE2"/>
    <w:rsid w:val="006F34FA"/>
    <w:rsid w:val="006F3F85"/>
    <w:rsid w:val="006F4719"/>
    <w:rsid w:val="006F59B2"/>
    <w:rsid w:val="006F5BB6"/>
    <w:rsid w:val="006F718A"/>
    <w:rsid w:val="006F7AE4"/>
    <w:rsid w:val="00700209"/>
    <w:rsid w:val="00700DED"/>
    <w:rsid w:val="00700F68"/>
    <w:rsid w:val="00701BFA"/>
    <w:rsid w:val="007025BB"/>
    <w:rsid w:val="0070353A"/>
    <w:rsid w:val="00703942"/>
    <w:rsid w:val="0070476E"/>
    <w:rsid w:val="007054B5"/>
    <w:rsid w:val="007055D7"/>
    <w:rsid w:val="00705630"/>
    <w:rsid w:val="00705710"/>
    <w:rsid w:val="00705FF8"/>
    <w:rsid w:val="00706CF5"/>
    <w:rsid w:val="007077CD"/>
    <w:rsid w:val="00707C7A"/>
    <w:rsid w:val="0071050A"/>
    <w:rsid w:val="00711261"/>
    <w:rsid w:val="00711863"/>
    <w:rsid w:val="00714373"/>
    <w:rsid w:val="00714D91"/>
    <w:rsid w:val="00715165"/>
    <w:rsid w:val="00716A9B"/>
    <w:rsid w:val="00716AC7"/>
    <w:rsid w:val="00716D16"/>
    <w:rsid w:val="007170A9"/>
    <w:rsid w:val="007178DB"/>
    <w:rsid w:val="0072285E"/>
    <w:rsid w:val="007235BC"/>
    <w:rsid w:val="007260A1"/>
    <w:rsid w:val="00726EE4"/>
    <w:rsid w:val="00727B2B"/>
    <w:rsid w:val="00727B83"/>
    <w:rsid w:val="00730653"/>
    <w:rsid w:val="00730F97"/>
    <w:rsid w:val="00731CDC"/>
    <w:rsid w:val="0073425E"/>
    <w:rsid w:val="00734401"/>
    <w:rsid w:val="00734905"/>
    <w:rsid w:val="00735B90"/>
    <w:rsid w:val="00735CC7"/>
    <w:rsid w:val="00736325"/>
    <w:rsid w:val="00736713"/>
    <w:rsid w:val="00736ABD"/>
    <w:rsid w:val="00737945"/>
    <w:rsid w:val="00737959"/>
    <w:rsid w:val="007418B6"/>
    <w:rsid w:val="00741DDE"/>
    <w:rsid w:val="00742688"/>
    <w:rsid w:val="0074324B"/>
    <w:rsid w:val="00743503"/>
    <w:rsid w:val="007436C1"/>
    <w:rsid w:val="00743954"/>
    <w:rsid w:val="00743F79"/>
    <w:rsid w:val="007461D9"/>
    <w:rsid w:val="00746C80"/>
    <w:rsid w:val="00746CF7"/>
    <w:rsid w:val="0074700E"/>
    <w:rsid w:val="00747ADF"/>
    <w:rsid w:val="0075108E"/>
    <w:rsid w:val="007519D0"/>
    <w:rsid w:val="00752255"/>
    <w:rsid w:val="007533E2"/>
    <w:rsid w:val="00753F38"/>
    <w:rsid w:val="00754577"/>
    <w:rsid w:val="00756233"/>
    <w:rsid w:val="00756431"/>
    <w:rsid w:val="00756C46"/>
    <w:rsid w:val="0075741A"/>
    <w:rsid w:val="007576CC"/>
    <w:rsid w:val="00760BB9"/>
    <w:rsid w:val="007618B4"/>
    <w:rsid w:val="00762338"/>
    <w:rsid w:val="007625EA"/>
    <w:rsid w:val="00762E38"/>
    <w:rsid w:val="00763BE4"/>
    <w:rsid w:val="007665BE"/>
    <w:rsid w:val="00766F9F"/>
    <w:rsid w:val="007672F3"/>
    <w:rsid w:val="007677C4"/>
    <w:rsid w:val="00767E28"/>
    <w:rsid w:val="00770196"/>
    <w:rsid w:val="00770589"/>
    <w:rsid w:val="00770B5B"/>
    <w:rsid w:val="00772068"/>
    <w:rsid w:val="0077309B"/>
    <w:rsid w:val="00773530"/>
    <w:rsid w:val="00774078"/>
    <w:rsid w:val="00774565"/>
    <w:rsid w:val="007747B3"/>
    <w:rsid w:val="00774BA6"/>
    <w:rsid w:val="00774C71"/>
    <w:rsid w:val="0077577D"/>
    <w:rsid w:val="00777A47"/>
    <w:rsid w:val="00777B92"/>
    <w:rsid w:val="0078093E"/>
    <w:rsid w:val="0078185A"/>
    <w:rsid w:val="00784138"/>
    <w:rsid w:val="007842BB"/>
    <w:rsid w:val="00784810"/>
    <w:rsid w:val="007851DB"/>
    <w:rsid w:val="00786293"/>
    <w:rsid w:val="00786A19"/>
    <w:rsid w:val="007872FD"/>
    <w:rsid w:val="0078780A"/>
    <w:rsid w:val="00791D5C"/>
    <w:rsid w:val="00792332"/>
    <w:rsid w:val="007932B2"/>
    <w:rsid w:val="00793C8F"/>
    <w:rsid w:val="00793EEE"/>
    <w:rsid w:val="00794CDE"/>
    <w:rsid w:val="0079516D"/>
    <w:rsid w:val="00795C7B"/>
    <w:rsid w:val="00796439"/>
    <w:rsid w:val="007A0465"/>
    <w:rsid w:val="007A086B"/>
    <w:rsid w:val="007A0D04"/>
    <w:rsid w:val="007A2177"/>
    <w:rsid w:val="007A71D4"/>
    <w:rsid w:val="007A74B5"/>
    <w:rsid w:val="007A753A"/>
    <w:rsid w:val="007A7710"/>
    <w:rsid w:val="007A7786"/>
    <w:rsid w:val="007B0249"/>
    <w:rsid w:val="007B3840"/>
    <w:rsid w:val="007B424F"/>
    <w:rsid w:val="007B52EA"/>
    <w:rsid w:val="007B5E0C"/>
    <w:rsid w:val="007B68C0"/>
    <w:rsid w:val="007B6F67"/>
    <w:rsid w:val="007B7CF3"/>
    <w:rsid w:val="007C08D9"/>
    <w:rsid w:val="007C0C23"/>
    <w:rsid w:val="007C17A7"/>
    <w:rsid w:val="007C3A8C"/>
    <w:rsid w:val="007C40BD"/>
    <w:rsid w:val="007C4263"/>
    <w:rsid w:val="007C4370"/>
    <w:rsid w:val="007C4FBB"/>
    <w:rsid w:val="007C7B19"/>
    <w:rsid w:val="007D06AF"/>
    <w:rsid w:val="007D06EC"/>
    <w:rsid w:val="007D11CA"/>
    <w:rsid w:val="007D1915"/>
    <w:rsid w:val="007D23DC"/>
    <w:rsid w:val="007D2C4E"/>
    <w:rsid w:val="007D3D90"/>
    <w:rsid w:val="007D4EA5"/>
    <w:rsid w:val="007D5926"/>
    <w:rsid w:val="007D5A9B"/>
    <w:rsid w:val="007D647D"/>
    <w:rsid w:val="007E1C93"/>
    <w:rsid w:val="007E28BF"/>
    <w:rsid w:val="007E2957"/>
    <w:rsid w:val="007E2B0D"/>
    <w:rsid w:val="007E2FC6"/>
    <w:rsid w:val="007E3CE0"/>
    <w:rsid w:val="007E3F66"/>
    <w:rsid w:val="007E4432"/>
    <w:rsid w:val="007E5CA0"/>
    <w:rsid w:val="007E6FBA"/>
    <w:rsid w:val="007E712A"/>
    <w:rsid w:val="007E78B0"/>
    <w:rsid w:val="007F0649"/>
    <w:rsid w:val="007F0F37"/>
    <w:rsid w:val="007F1536"/>
    <w:rsid w:val="007F1569"/>
    <w:rsid w:val="007F164D"/>
    <w:rsid w:val="007F1783"/>
    <w:rsid w:val="007F1F91"/>
    <w:rsid w:val="007F2E63"/>
    <w:rsid w:val="007F3B04"/>
    <w:rsid w:val="007F5FA5"/>
    <w:rsid w:val="007F5FCA"/>
    <w:rsid w:val="007F77E8"/>
    <w:rsid w:val="008000F4"/>
    <w:rsid w:val="00800575"/>
    <w:rsid w:val="00800684"/>
    <w:rsid w:val="00801052"/>
    <w:rsid w:val="00801187"/>
    <w:rsid w:val="008019EC"/>
    <w:rsid w:val="00801FF8"/>
    <w:rsid w:val="00802972"/>
    <w:rsid w:val="008034D7"/>
    <w:rsid w:val="00803B59"/>
    <w:rsid w:val="008040A5"/>
    <w:rsid w:val="00804162"/>
    <w:rsid w:val="00804F79"/>
    <w:rsid w:val="00805041"/>
    <w:rsid w:val="00805598"/>
    <w:rsid w:val="008057B4"/>
    <w:rsid w:val="00805F65"/>
    <w:rsid w:val="0080677E"/>
    <w:rsid w:val="00807629"/>
    <w:rsid w:val="00807876"/>
    <w:rsid w:val="008078CB"/>
    <w:rsid w:val="008100AE"/>
    <w:rsid w:val="008108FE"/>
    <w:rsid w:val="00810B78"/>
    <w:rsid w:val="00811558"/>
    <w:rsid w:val="00812F21"/>
    <w:rsid w:val="008135CB"/>
    <w:rsid w:val="00815063"/>
    <w:rsid w:val="00815115"/>
    <w:rsid w:val="0081554C"/>
    <w:rsid w:val="00815B3C"/>
    <w:rsid w:val="00815CDC"/>
    <w:rsid w:val="00816229"/>
    <w:rsid w:val="00817E0C"/>
    <w:rsid w:val="008200A8"/>
    <w:rsid w:val="00820BCF"/>
    <w:rsid w:val="00822330"/>
    <w:rsid w:val="00824330"/>
    <w:rsid w:val="008260A5"/>
    <w:rsid w:val="00826C30"/>
    <w:rsid w:val="00827A36"/>
    <w:rsid w:val="00827DF0"/>
    <w:rsid w:val="00830973"/>
    <w:rsid w:val="00831480"/>
    <w:rsid w:val="0083149E"/>
    <w:rsid w:val="00833129"/>
    <w:rsid w:val="00833717"/>
    <w:rsid w:val="00834CEC"/>
    <w:rsid w:val="008350AF"/>
    <w:rsid w:val="00835C3D"/>
    <w:rsid w:val="008403F8"/>
    <w:rsid w:val="00841DF7"/>
    <w:rsid w:val="00842872"/>
    <w:rsid w:val="0085150E"/>
    <w:rsid w:val="00851549"/>
    <w:rsid w:val="00852842"/>
    <w:rsid w:val="0085304C"/>
    <w:rsid w:val="00853EFD"/>
    <w:rsid w:val="00853F8B"/>
    <w:rsid w:val="00855DD6"/>
    <w:rsid w:val="00855DE2"/>
    <w:rsid w:val="00856ED5"/>
    <w:rsid w:val="00857CCF"/>
    <w:rsid w:val="00862007"/>
    <w:rsid w:val="00862493"/>
    <w:rsid w:val="008637B5"/>
    <w:rsid w:val="00863C48"/>
    <w:rsid w:val="00864707"/>
    <w:rsid w:val="00864B02"/>
    <w:rsid w:val="00864D4D"/>
    <w:rsid w:val="00865CF6"/>
    <w:rsid w:val="00865D78"/>
    <w:rsid w:val="00865DA5"/>
    <w:rsid w:val="00866B4C"/>
    <w:rsid w:val="00870543"/>
    <w:rsid w:val="0087147B"/>
    <w:rsid w:val="008716C3"/>
    <w:rsid w:val="00873A23"/>
    <w:rsid w:val="00873EE7"/>
    <w:rsid w:val="00874142"/>
    <w:rsid w:val="00876634"/>
    <w:rsid w:val="0087687B"/>
    <w:rsid w:val="00882BBF"/>
    <w:rsid w:val="00883199"/>
    <w:rsid w:val="0088370C"/>
    <w:rsid w:val="00883CBC"/>
    <w:rsid w:val="00883EE2"/>
    <w:rsid w:val="0088449B"/>
    <w:rsid w:val="0088723A"/>
    <w:rsid w:val="00887F9D"/>
    <w:rsid w:val="00892DB2"/>
    <w:rsid w:val="00895972"/>
    <w:rsid w:val="00895BB3"/>
    <w:rsid w:val="00896320"/>
    <w:rsid w:val="0089640E"/>
    <w:rsid w:val="008A1684"/>
    <w:rsid w:val="008A29F5"/>
    <w:rsid w:val="008A3B73"/>
    <w:rsid w:val="008A4D28"/>
    <w:rsid w:val="008A53C7"/>
    <w:rsid w:val="008A594D"/>
    <w:rsid w:val="008A6A11"/>
    <w:rsid w:val="008A6C65"/>
    <w:rsid w:val="008A74C1"/>
    <w:rsid w:val="008A7CC7"/>
    <w:rsid w:val="008B0FEF"/>
    <w:rsid w:val="008B102E"/>
    <w:rsid w:val="008B36AF"/>
    <w:rsid w:val="008B3B34"/>
    <w:rsid w:val="008B43D6"/>
    <w:rsid w:val="008B53B4"/>
    <w:rsid w:val="008B65BA"/>
    <w:rsid w:val="008B77D6"/>
    <w:rsid w:val="008B7922"/>
    <w:rsid w:val="008B7F19"/>
    <w:rsid w:val="008C02A8"/>
    <w:rsid w:val="008C0454"/>
    <w:rsid w:val="008C078A"/>
    <w:rsid w:val="008C3C53"/>
    <w:rsid w:val="008C4DB1"/>
    <w:rsid w:val="008C537D"/>
    <w:rsid w:val="008C53DD"/>
    <w:rsid w:val="008C5F03"/>
    <w:rsid w:val="008C613E"/>
    <w:rsid w:val="008C762B"/>
    <w:rsid w:val="008D0259"/>
    <w:rsid w:val="008D215B"/>
    <w:rsid w:val="008D291F"/>
    <w:rsid w:val="008D305C"/>
    <w:rsid w:val="008D4328"/>
    <w:rsid w:val="008D52CD"/>
    <w:rsid w:val="008D64BC"/>
    <w:rsid w:val="008D6FC4"/>
    <w:rsid w:val="008D75A2"/>
    <w:rsid w:val="008D7D59"/>
    <w:rsid w:val="008E0E22"/>
    <w:rsid w:val="008E2FD8"/>
    <w:rsid w:val="008E3A60"/>
    <w:rsid w:val="008E4AC2"/>
    <w:rsid w:val="008E5565"/>
    <w:rsid w:val="008E57C2"/>
    <w:rsid w:val="008E5C9B"/>
    <w:rsid w:val="008E5E45"/>
    <w:rsid w:val="008E6801"/>
    <w:rsid w:val="008E6C6C"/>
    <w:rsid w:val="008E726B"/>
    <w:rsid w:val="008E7593"/>
    <w:rsid w:val="008E7773"/>
    <w:rsid w:val="008F09E5"/>
    <w:rsid w:val="008F11EB"/>
    <w:rsid w:val="008F2B09"/>
    <w:rsid w:val="008F3046"/>
    <w:rsid w:val="008F309A"/>
    <w:rsid w:val="008F4206"/>
    <w:rsid w:val="008F5506"/>
    <w:rsid w:val="008F56B1"/>
    <w:rsid w:val="008F5F14"/>
    <w:rsid w:val="008F5F67"/>
    <w:rsid w:val="008F700C"/>
    <w:rsid w:val="008F7246"/>
    <w:rsid w:val="008F73FB"/>
    <w:rsid w:val="008F750C"/>
    <w:rsid w:val="008F7E80"/>
    <w:rsid w:val="009006F9"/>
    <w:rsid w:val="00900A2A"/>
    <w:rsid w:val="0090169A"/>
    <w:rsid w:val="00901D2A"/>
    <w:rsid w:val="0090365F"/>
    <w:rsid w:val="00904401"/>
    <w:rsid w:val="00905703"/>
    <w:rsid w:val="009114C5"/>
    <w:rsid w:val="0091163E"/>
    <w:rsid w:val="009116DE"/>
    <w:rsid w:val="009119A2"/>
    <w:rsid w:val="0091283F"/>
    <w:rsid w:val="00912AAB"/>
    <w:rsid w:val="00912B22"/>
    <w:rsid w:val="00912B2C"/>
    <w:rsid w:val="00913FC5"/>
    <w:rsid w:val="00914F29"/>
    <w:rsid w:val="00916031"/>
    <w:rsid w:val="00916FD6"/>
    <w:rsid w:val="00917113"/>
    <w:rsid w:val="00917AD9"/>
    <w:rsid w:val="00921C50"/>
    <w:rsid w:val="0092268E"/>
    <w:rsid w:val="00924786"/>
    <w:rsid w:val="009254C0"/>
    <w:rsid w:val="00925B95"/>
    <w:rsid w:val="00925DF3"/>
    <w:rsid w:val="00927496"/>
    <w:rsid w:val="0092784E"/>
    <w:rsid w:val="009302E8"/>
    <w:rsid w:val="00930F65"/>
    <w:rsid w:val="009321E0"/>
    <w:rsid w:val="0093233B"/>
    <w:rsid w:val="00932E0A"/>
    <w:rsid w:val="0093360D"/>
    <w:rsid w:val="00933612"/>
    <w:rsid w:val="009342B8"/>
    <w:rsid w:val="00934AD9"/>
    <w:rsid w:val="0093705E"/>
    <w:rsid w:val="00937533"/>
    <w:rsid w:val="00940609"/>
    <w:rsid w:val="009414CC"/>
    <w:rsid w:val="00942692"/>
    <w:rsid w:val="009450AC"/>
    <w:rsid w:val="00946006"/>
    <w:rsid w:val="00947357"/>
    <w:rsid w:val="0094735D"/>
    <w:rsid w:val="00952B60"/>
    <w:rsid w:val="009538B9"/>
    <w:rsid w:val="009539CD"/>
    <w:rsid w:val="00954491"/>
    <w:rsid w:val="00954B03"/>
    <w:rsid w:val="00955A37"/>
    <w:rsid w:val="00955E0C"/>
    <w:rsid w:val="009569BE"/>
    <w:rsid w:val="00956DFA"/>
    <w:rsid w:val="00960FAF"/>
    <w:rsid w:val="00961B7F"/>
    <w:rsid w:val="00961D32"/>
    <w:rsid w:val="00962F43"/>
    <w:rsid w:val="00963076"/>
    <w:rsid w:val="00963143"/>
    <w:rsid w:val="00963C2A"/>
    <w:rsid w:val="009653F0"/>
    <w:rsid w:val="00970B82"/>
    <w:rsid w:val="00970BF1"/>
    <w:rsid w:val="009716BF"/>
    <w:rsid w:val="00971F3D"/>
    <w:rsid w:val="0097330B"/>
    <w:rsid w:val="009747C9"/>
    <w:rsid w:val="0097483C"/>
    <w:rsid w:val="00975286"/>
    <w:rsid w:val="00976E18"/>
    <w:rsid w:val="0097739F"/>
    <w:rsid w:val="0097767A"/>
    <w:rsid w:val="0098091A"/>
    <w:rsid w:val="00982179"/>
    <w:rsid w:val="009824F0"/>
    <w:rsid w:val="00982742"/>
    <w:rsid w:val="00982A68"/>
    <w:rsid w:val="00982FC7"/>
    <w:rsid w:val="009833F6"/>
    <w:rsid w:val="009845B1"/>
    <w:rsid w:val="00985785"/>
    <w:rsid w:val="0098718C"/>
    <w:rsid w:val="00987C2F"/>
    <w:rsid w:val="009908DB"/>
    <w:rsid w:val="00990FEF"/>
    <w:rsid w:val="00991000"/>
    <w:rsid w:val="00991139"/>
    <w:rsid w:val="009946E5"/>
    <w:rsid w:val="00994858"/>
    <w:rsid w:val="009948BF"/>
    <w:rsid w:val="009951B9"/>
    <w:rsid w:val="009954BB"/>
    <w:rsid w:val="00995C8D"/>
    <w:rsid w:val="009963E1"/>
    <w:rsid w:val="009976E2"/>
    <w:rsid w:val="009978F7"/>
    <w:rsid w:val="00997A6A"/>
    <w:rsid w:val="009A11F3"/>
    <w:rsid w:val="009A1931"/>
    <w:rsid w:val="009A1A4F"/>
    <w:rsid w:val="009A24F1"/>
    <w:rsid w:val="009A282C"/>
    <w:rsid w:val="009A450C"/>
    <w:rsid w:val="009A45A6"/>
    <w:rsid w:val="009A571E"/>
    <w:rsid w:val="009A5728"/>
    <w:rsid w:val="009A5849"/>
    <w:rsid w:val="009A5E6A"/>
    <w:rsid w:val="009B03C9"/>
    <w:rsid w:val="009B0539"/>
    <w:rsid w:val="009B0CE8"/>
    <w:rsid w:val="009B339F"/>
    <w:rsid w:val="009B6EAA"/>
    <w:rsid w:val="009B764C"/>
    <w:rsid w:val="009B7798"/>
    <w:rsid w:val="009B7979"/>
    <w:rsid w:val="009C07C6"/>
    <w:rsid w:val="009C096E"/>
    <w:rsid w:val="009C17D1"/>
    <w:rsid w:val="009C1D24"/>
    <w:rsid w:val="009C23E0"/>
    <w:rsid w:val="009C2719"/>
    <w:rsid w:val="009C2CDE"/>
    <w:rsid w:val="009C416F"/>
    <w:rsid w:val="009C655C"/>
    <w:rsid w:val="009C7067"/>
    <w:rsid w:val="009D1EEB"/>
    <w:rsid w:val="009D2182"/>
    <w:rsid w:val="009D227E"/>
    <w:rsid w:val="009D2A88"/>
    <w:rsid w:val="009D300F"/>
    <w:rsid w:val="009D552D"/>
    <w:rsid w:val="009D60A9"/>
    <w:rsid w:val="009D75CC"/>
    <w:rsid w:val="009E0F8D"/>
    <w:rsid w:val="009E2EF3"/>
    <w:rsid w:val="009E33F3"/>
    <w:rsid w:val="009E4886"/>
    <w:rsid w:val="009E4936"/>
    <w:rsid w:val="009E6214"/>
    <w:rsid w:val="009E6AA4"/>
    <w:rsid w:val="009E731D"/>
    <w:rsid w:val="009E7614"/>
    <w:rsid w:val="009F02E9"/>
    <w:rsid w:val="009F0304"/>
    <w:rsid w:val="009F0CDA"/>
    <w:rsid w:val="009F0D20"/>
    <w:rsid w:val="009F2C0D"/>
    <w:rsid w:val="009F3036"/>
    <w:rsid w:val="009F3349"/>
    <w:rsid w:val="009F34F8"/>
    <w:rsid w:val="009F3B82"/>
    <w:rsid w:val="009F3BDC"/>
    <w:rsid w:val="009F3BEE"/>
    <w:rsid w:val="009F3E86"/>
    <w:rsid w:val="009F77FB"/>
    <w:rsid w:val="00A007C8"/>
    <w:rsid w:val="00A00800"/>
    <w:rsid w:val="00A01AD8"/>
    <w:rsid w:val="00A01AD9"/>
    <w:rsid w:val="00A01CEF"/>
    <w:rsid w:val="00A0276F"/>
    <w:rsid w:val="00A0354A"/>
    <w:rsid w:val="00A03825"/>
    <w:rsid w:val="00A04345"/>
    <w:rsid w:val="00A05D60"/>
    <w:rsid w:val="00A062B6"/>
    <w:rsid w:val="00A06D77"/>
    <w:rsid w:val="00A07D30"/>
    <w:rsid w:val="00A113FE"/>
    <w:rsid w:val="00A114E1"/>
    <w:rsid w:val="00A139C4"/>
    <w:rsid w:val="00A15674"/>
    <w:rsid w:val="00A15910"/>
    <w:rsid w:val="00A161B9"/>
    <w:rsid w:val="00A17A80"/>
    <w:rsid w:val="00A211A7"/>
    <w:rsid w:val="00A22BD8"/>
    <w:rsid w:val="00A25B89"/>
    <w:rsid w:val="00A271BC"/>
    <w:rsid w:val="00A27B72"/>
    <w:rsid w:val="00A3038D"/>
    <w:rsid w:val="00A312F1"/>
    <w:rsid w:val="00A3156E"/>
    <w:rsid w:val="00A31F08"/>
    <w:rsid w:val="00A31FE8"/>
    <w:rsid w:val="00A32019"/>
    <w:rsid w:val="00A34356"/>
    <w:rsid w:val="00A348AF"/>
    <w:rsid w:val="00A357BE"/>
    <w:rsid w:val="00A35E42"/>
    <w:rsid w:val="00A3638C"/>
    <w:rsid w:val="00A36ED4"/>
    <w:rsid w:val="00A37620"/>
    <w:rsid w:val="00A37D70"/>
    <w:rsid w:val="00A412A2"/>
    <w:rsid w:val="00A421E1"/>
    <w:rsid w:val="00A42549"/>
    <w:rsid w:val="00A42D2D"/>
    <w:rsid w:val="00A43071"/>
    <w:rsid w:val="00A435CC"/>
    <w:rsid w:val="00A43D83"/>
    <w:rsid w:val="00A44014"/>
    <w:rsid w:val="00A4505E"/>
    <w:rsid w:val="00A45A9E"/>
    <w:rsid w:val="00A47705"/>
    <w:rsid w:val="00A5183B"/>
    <w:rsid w:val="00A52B37"/>
    <w:rsid w:val="00A53010"/>
    <w:rsid w:val="00A53296"/>
    <w:rsid w:val="00A5364C"/>
    <w:rsid w:val="00A5430B"/>
    <w:rsid w:val="00A54EB0"/>
    <w:rsid w:val="00A54EEF"/>
    <w:rsid w:val="00A54F36"/>
    <w:rsid w:val="00A55AA2"/>
    <w:rsid w:val="00A55DF1"/>
    <w:rsid w:val="00A55F89"/>
    <w:rsid w:val="00A569A9"/>
    <w:rsid w:val="00A56CD8"/>
    <w:rsid w:val="00A5747E"/>
    <w:rsid w:val="00A60745"/>
    <w:rsid w:val="00A60BAB"/>
    <w:rsid w:val="00A61BB4"/>
    <w:rsid w:val="00A6235F"/>
    <w:rsid w:val="00A62C00"/>
    <w:rsid w:val="00A62EE0"/>
    <w:rsid w:val="00A6319A"/>
    <w:rsid w:val="00A63B89"/>
    <w:rsid w:val="00A65082"/>
    <w:rsid w:val="00A6607D"/>
    <w:rsid w:val="00A66AB2"/>
    <w:rsid w:val="00A66E5D"/>
    <w:rsid w:val="00A677B1"/>
    <w:rsid w:val="00A70074"/>
    <w:rsid w:val="00A70279"/>
    <w:rsid w:val="00A703E4"/>
    <w:rsid w:val="00A70A9F"/>
    <w:rsid w:val="00A7156F"/>
    <w:rsid w:val="00A71801"/>
    <w:rsid w:val="00A71B38"/>
    <w:rsid w:val="00A71DFF"/>
    <w:rsid w:val="00A72D1C"/>
    <w:rsid w:val="00A741A8"/>
    <w:rsid w:val="00A74CB3"/>
    <w:rsid w:val="00A751CE"/>
    <w:rsid w:val="00A767C7"/>
    <w:rsid w:val="00A770A4"/>
    <w:rsid w:val="00A80DD1"/>
    <w:rsid w:val="00A818B0"/>
    <w:rsid w:val="00A81D78"/>
    <w:rsid w:val="00A82AEE"/>
    <w:rsid w:val="00A835B3"/>
    <w:rsid w:val="00A843A6"/>
    <w:rsid w:val="00A84EFD"/>
    <w:rsid w:val="00A85516"/>
    <w:rsid w:val="00A85596"/>
    <w:rsid w:val="00A85A72"/>
    <w:rsid w:val="00A86FFC"/>
    <w:rsid w:val="00A879D4"/>
    <w:rsid w:val="00A87E7E"/>
    <w:rsid w:val="00A910C9"/>
    <w:rsid w:val="00A91AB3"/>
    <w:rsid w:val="00A91CB2"/>
    <w:rsid w:val="00A9283D"/>
    <w:rsid w:val="00A93F97"/>
    <w:rsid w:val="00A94AA0"/>
    <w:rsid w:val="00A954F1"/>
    <w:rsid w:val="00A96162"/>
    <w:rsid w:val="00A968FE"/>
    <w:rsid w:val="00A9703B"/>
    <w:rsid w:val="00A97241"/>
    <w:rsid w:val="00AA0CBE"/>
    <w:rsid w:val="00AA1DE6"/>
    <w:rsid w:val="00AA1E5A"/>
    <w:rsid w:val="00AA1F01"/>
    <w:rsid w:val="00AA32B6"/>
    <w:rsid w:val="00AA5074"/>
    <w:rsid w:val="00AA5651"/>
    <w:rsid w:val="00AA609E"/>
    <w:rsid w:val="00AA60E1"/>
    <w:rsid w:val="00AA7654"/>
    <w:rsid w:val="00AA7D47"/>
    <w:rsid w:val="00AB005A"/>
    <w:rsid w:val="00AB00E6"/>
    <w:rsid w:val="00AB08A0"/>
    <w:rsid w:val="00AB0DDD"/>
    <w:rsid w:val="00AB0F62"/>
    <w:rsid w:val="00AB2896"/>
    <w:rsid w:val="00AB2FF8"/>
    <w:rsid w:val="00AB3929"/>
    <w:rsid w:val="00AB4ACB"/>
    <w:rsid w:val="00AB4F06"/>
    <w:rsid w:val="00AB66FC"/>
    <w:rsid w:val="00AB7390"/>
    <w:rsid w:val="00AC096B"/>
    <w:rsid w:val="00AC1571"/>
    <w:rsid w:val="00AC16FE"/>
    <w:rsid w:val="00AC4CCA"/>
    <w:rsid w:val="00AC5186"/>
    <w:rsid w:val="00AC5447"/>
    <w:rsid w:val="00AC5BB7"/>
    <w:rsid w:val="00AC5F84"/>
    <w:rsid w:val="00AC6C61"/>
    <w:rsid w:val="00AD0900"/>
    <w:rsid w:val="00AD0938"/>
    <w:rsid w:val="00AD0CB8"/>
    <w:rsid w:val="00AD0F29"/>
    <w:rsid w:val="00AD1205"/>
    <w:rsid w:val="00AD32FF"/>
    <w:rsid w:val="00AD600C"/>
    <w:rsid w:val="00AD6095"/>
    <w:rsid w:val="00AE02DE"/>
    <w:rsid w:val="00AE0500"/>
    <w:rsid w:val="00AE1AE6"/>
    <w:rsid w:val="00AE2402"/>
    <w:rsid w:val="00AE2803"/>
    <w:rsid w:val="00AE2E0F"/>
    <w:rsid w:val="00AE37D4"/>
    <w:rsid w:val="00AE3B46"/>
    <w:rsid w:val="00AE4882"/>
    <w:rsid w:val="00AE4BD5"/>
    <w:rsid w:val="00AE58BD"/>
    <w:rsid w:val="00AE6DB1"/>
    <w:rsid w:val="00AE6DCE"/>
    <w:rsid w:val="00AF1B8A"/>
    <w:rsid w:val="00AF399C"/>
    <w:rsid w:val="00AF4289"/>
    <w:rsid w:val="00AF5E16"/>
    <w:rsid w:val="00AF62F0"/>
    <w:rsid w:val="00B005A9"/>
    <w:rsid w:val="00B0137A"/>
    <w:rsid w:val="00B01578"/>
    <w:rsid w:val="00B01B74"/>
    <w:rsid w:val="00B021C2"/>
    <w:rsid w:val="00B0300F"/>
    <w:rsid w:val="00B03E6E"/>
    <w:rsid w:val="00B03FA4"/>
    <w:rsid w:val="00B059E3"/>
    <w:rsid w:val="00B103B0"/>
    <w:rsid w:val="00B10F4A"/>
    <w:rsid w:val="00B111FB"/>
    <w:rsid w:val="00B124E0"/>
    <w:rsid w:val="00B125D3"/>
    <w:rsid w:val="00B15414"/>
    <w:rsid w:val="00B15DC4"/>
    <w:rsid w:val="00B15E3A"/>
    <w:rsid w:val="00B207D3"/>
    <w:rsid w:val="00B20C95"/>
    <w:rsid w:val="00B20FB6"/>
    <w:rsid w:val="00B21C42"/>
    <w:rsid w:val="00B220C6"/>
    <w:rsid w:val="00B2280B"/>
    <w:rsid w:val="00B24398"/>
    <w:rsid w:val="00B248ED"/>
    <w:rsid w:val="00B2502B"/>
    <w:rsid w:val="00B25686"/>
    <w:rsid w:val="00B276BB"/>
    <w:rsid w:val="00B277F1"/>
    <w:rsid w:val="00B27B3B"/>
    <w:rsid w:val="00B306F1"/>
    <w:rsid w:val="00B3175E"/>
    <w:rsid w:val="00B31980"/>
    <w:rsid w:val="00B3218A"/>
    <w:rsid w:val="00B32846"/>
    <w:rsid w:val="00B32953"/>
    <w:rsid w:val="00B33BAB"/>
    <w:rsid w:val="00B33C60"/>
    <w:rsid w:val="00B33E98"/>
    <w:rsid w:val="00B345C8"/>
    <w:rsid w:val="00B35B34"/>
    <w:rsid w:val="00B3723C"/>
    <w:rsid w:val="00B404CB"/>
    <w:rsid w:val="00B40B43"/>
    <w:rsid w:val="00B40E8A"/>
    <w:rsid w:val="00B420F8"/>
    <w:rsid w:val="00B43F8D"/>
    <w:rsid w:val="00B4562E"/>
    <w:rsid w:val="00B45C50"/>
    <w:rsid w:val="00B47AB3"/>
    <w:rsid w:val="00B50E48"/>
    <w:rsid w:val="00B56341"/>
    <w:rsid w:val="00B56B2A"/>
    <w:rsid w:val="00B56BDA"/>
    <w:rsid w:val="00B56C1B"/>
    <w:rsid w:val="00B572CF"/>
    <w:rsid w:val="00B600BD"/>
    <w:rsid w:val="00B6023F"/>
    <w:rsid w:val="00B6127F"/>
    <w:rsid w:val="00B61327"/>
    <w:rsid w:val="00B6153B"/>
    <w:rsid w:val="00B61DD7"/>
    <w:rsid w:val="00B623E7"/>
    <w:rsid w:val="00B63EF3"/>
    <w:rsid w:val="00B70DF6"/>
    <w:rsid w:val="00B714CC"/>
    <w:rsid w:val="00B71575"/>
    <w:rsid w:val="00B71733"/>
    <w:rsid w:val="00B7276D"/>
    <w:rsid w:val="00B73062"/>
    <w:rsid w:val="00B73178"/>
    <w:rsid w:val="00B7324B"/>
    <w:rsid w:val="00B73638"/>
    <w:rsid w:val="00B73D96"/>
    <w:rsid w:val="00B74B23"/>
    <w:rsid w:val="00B750A5"/>
    <w:rsid w:val="00B75A22"/>
    <w:rsid w:val="00B777F9"/>
    <w:rsid w:val="00B8304A"/>
    <w:rsid w:val="00B86C61"/>
    <w:rsid w:val="00B8797D"/>
    <w:rsid w:val="00B87CD0"/>
    <w:rsid w:val="00B90016"/>
    <w:rsid w:val="00B902D9"/>
    <w:rsid w:val="00B907FD"/>
    <w:rsid w:val="00B938D3"/>
    <w:rsid w:val="00B93ED3"/>
    <w:rsid w:val="00B93F9F"/>
    <w:rsid w:val="00B94B85"/>
    <w:rsid w:val="00B953E2"/>
    <w:rsid w:val="00B95465"/>
    <w:rsid w:val="00B961BD"/>
    <w:rsid w:val="00B9656A"/>
    <w:rsid w:val="00B96FB0"/>
    <w:rsid w:val="00BA2A16"/>
    <w:rsid w:val="00BA39B6"/>
    <w:rsid w:val="00BA4758"/>
    <w:rsid w:val="00BA4B98"/>
    <w:rsid w:val="00BA5206"/>
    <w:rsid w:val="00BA5C87"/>
    <w:rsid w:val="00BA5CBD"/>
    <w:rsid w:val="00BA699A"/>
    <w:rsid w:val="00BA7263"/>
    <w:rsid w:val="00BA7972"/>
    <w:rsid w:val="00BB0091"/>
    <w:rsid w:val="00BB010E"/>
    <w:rsid w:val="00BB0999"/>
    <w:rsid w:val="00BB2B3B"/>
    <w:rsid w:val="00BB3F9A"/>
    <w:rsid w:val="00BB4329"/>
    <w:rsid w:val="00BB44AE"/>
    <w:rsid w:val="00BB4956"/>
    <w:rsid w:val="00BB54CD"/>
    <w:rsid w:val="00BB5EA8"/>
    <w:rsid w:val="00BB5FF7"/>
    <w:rsid w:val="00BC0F57"/>
    <w:rsid w:val="00BC145A"/>
    <w:rsid w:val="00BC15DF"/>
    <w:rsid w:val="00BC2429"/>
    <w:rsid w:val="00BC4747"/>
    <w:rsid w:val="00BC6F74"/>
    <w:rsid w:val="00BD0B06"/>
    <w:rsid w:val="00BD1235"/>
    <w:rsid w:val="00BD3BCD"/>
    <w:rsid w:val="00BD463D"/>
    <w:rsid w:val="00BD46F1"/>
    <w:rsid w:val="00BD4DE2"/>
    <w:rsid w:val="00BD548B"/>
    <w:rsid w:val="00BD7183"/>
    <w:rsid w:val="00BD7195"/>
    <w:rsid w:val="00BE10CC"/>
    <w:rsid w:val="00BE1A95"/>
    <w:rsid w:val="00BE1C6F"/>
    <w:rsid w:val="00BE1F01"/>
    <w:rsid w:val="00BE2214"/>
    <w:rsid w:val="00BE318C"/>
    <w:rsid w:val="00BE4052"/>
    <w:rsid w:val="00BE52E8"/>
    <w:rsid w:val="00BE5797"/>
    <w:rsid w:val="00BE63B7"/>
    <w:rsid w:val="00BE65D4"/>
    <w:rsid w:val="00BE6D43"/>
    <w:rsid w:val="00BE721A"/>
    <w:rsid w:val="00BF0F3C"/>
    <w:rsid w:val="00BF1A47"/>
    <w:rsid w:val="00BF1CAA"/>
    <w:rsid w:val="00BF21C1"/>
    <w:rsid w:val="00BF4D5A"/>
    <w:rsid w:val="00BF53DC"/>
    <w:rsid w:val="00BF542C"/>
    <w:rsid w:val="00BF58EC"/>
    <w:rsid w:val="00BF6A2A"/>
    <w:rsid w:val="00BF70D6"/>
    <w:rsid w:val="00BF72D1"/>
    <w:rsid w:val="00BF77AA"/>
    <w:rsid w:val="00C006ED"/>
    <w:rsid w:val="00C014D3"/>
    <w:rsid w:val="00C01B09"/>
    <w:rsid w:val="00C023B7"/>
    <w:rsid w:val="00C0374C"/>
    <w:rsid w:val="00C040FF"/>
    <w:rsid w:val="00C04D3B"/>
    <w:rsid w:val="00C04F54"/>
    <w:rsid w:val="00C06F1D"/>
    <w:rsid w:val="00C11D81"/>
    <w:rsid w:val="00C14007"/>
    <w:rsid w:val="00C14897"/>
    <w:rsid w:val="00C150D9"/>
    <w:rsid w:val="00C152A9"/>
    <w:rsid w:val="00C15477"/>
    <w:rsid w:val="00C165A8"/>
    <w:rsid w:val="00C2013E"/>
    <w:rsid w:val="00C202AB"/>
    <w:rsid w:val="00C2152F"/>
    <w:rsid w:val="00C221C6"/>
    <w:rsid w:val="00C22B52"/>
    <w:rsid w:val="00C23273"/>
    <w:rsid w:val="00C23825"/>
    <w:rsid w:val="00C2549C"/>
    <w:rsid w:val="00C2629E"/>
    <w:rsid w:val="00C2649A"/>
    <w:rsid w:val="00C2663C"/>
    <w:rsid w:val="00C27244"/>
    <w:rsid w:val="00C27661"/>
    <w:rsid w:val="00C27B99"/>
    <w:rsid w:val="00C313BE"/>
    <w:rsid w:val="00C31D3A"/>
    <w:rsid w:val="00C32854"/>
    <w:rsid w:val="00C3362A"/>
    <w:rsid w:val="00C33A2E"/>
    <w:rsid w:val="00C34F22"/>
    <w:rsid w:val="00C350CD"/>
    <w:rsid w:val="00C350F5"/>
    <w:rsid w:val="00C36E7C"/>
    <w:rsid w:val="00C3729C"/>
    <w:rsid w:val="00C40F91"/>
    <w:rsid w:val="00C436BA"/>
    <w:rsid w:val="00C4393A"/>
    <w:rsid w:val="00C44689"/>
    <w:rsid w:val="00C4592D"/>
    <w:rsid w:val="00C46596"/>
    <w:rsid w:val="00C466CA"/>
    <w:rsid w:val="00C468F6"/>
    <w:rsid w:val="00C50528"/>
    <w:rsid w:val="00C5092D"/>
    <w:rsid w:val="00C52903"/>
    <w:rsid w:val="00C531E2"/>
    <w:rsid w:val="00C553C0"/>
    <w:rsid w:val="00C563AD"/>
    <w:rsid w:val="00C56EA6"/>
    <w:rsid w:val="00C577AF"/>
    <w:rsid w:val="00C57AED"/>
    <w:rsid w:val="00C6063D"/>
    <w:rsid w:val="00C60AA4"/>
    <w:rsid w:val="00C611BE"/>
    <w:rsid w:val="00C61654"/>
    <w:rsid w:val="00C62E23"/>
    <w:rsid w:val="00C650A3"/>
    <w:rsid w:val="00C6537B"/>
    <w:rsid w:val="00C65A74"/>
    <w:rsid w:val="00C700C9"/>
    <w:rsid w:val="00C709D7"/>
    <w:rsid w:val="00C7150B"/>
    <w:rsid w:val="00C71B00"/>
    <w:rsid w:val="00C72913"/>
    <w:rsid w:val="00C72DCD"/>
    <w:rsid w:val="00C73211"/>
    <w:rsid w:val="00C73F87"/>
    <w:rsid w:val="00C74421"/>
    <w:rsid w:val="00C74783"/>
    <w:rsid w:val="00C75048"/>
    <w:rsid w:val="00C752EF"/>
    <w:rsid w:val="00C76465"/>
    <w:rsid w:val="00C765EB"/>
    <w:rsid w:val="00C76A54"/>
    <w:rsid w:val="00C77AAD"/>
    <w:rsid w:val="00C77C8E"/>
    <w:rsid w:val="00C815B2"/>
    <w:rsid w:val="00C82FB4"/>
    <w:rsid w:val="00C8366A"/>
    <w:rsid w:val="00C84B45"/>
    <w:rsid w:val="00C850EE"/>
    <w:rsid w:val="00C85DB6"/>
    <w:rsid w:val="00C85EF4"/>
    <w:rsid w:val="00C863DA"/>
    <w:rsid w:val="00C86541"/>
    <w:rsid w:val="00C86620"/>
    <w:rsid w:val="00C90277"/>
    <w:rsid w:val="00C91264"/>
    <w:rsid w:val="00C913D1"/>
    <w:rsid w:val="00C91836"/>
    <w:rsid w:val="00C920EB"/>
    <w:rsid w:val="00C94DC1"/>
    <w:rsid w:val="00C954C1"/>
    <w:rsid w:val="00C97562"/>
    <w:rsid w:val="00C97C7A"/>
    <w:rsid w:val="00CA053A"/>
    <w:rsid w:val="00CA1C0F"/>
    <w:rsid w:val="00CA2435"/>
    <w:rsid w:val="00CA2B0C"/>
    <w:rsid w:val="00CA3083"/>
    <w:rsid w:val="00CA344D"/>
    <w:rsid w:val="00CA3FEF"/>
    <w:rsid w:val="00CA50BA"/>
    <w:rsid w:val="00CA6C82"/>
    <w:rsid w:val="00CA77DF"/>
    <w:rsid w:val="00CA78C3"/>
    <w:rsid w:val="00CA7E26"/>
    <w:rsid w:val="00CB1C23"/>
    <w:rsid w:val="00CB302D"/>
    <w:rsid w:val="00CB422E"/>
    <w:rsid w:val="00CB42AD"/>
    <w:rsid w:val="00CB4A4C"/>
    <w:rsid w:val="00CB4B9E"/>
    <w:rsid w:val="00CB4C72"/>
    <w:rsid w:val="00CB579F"/>
    <w:rsid w:val="00CB5FC1"/>
    <w:rsid w:val="00CB60D3"/>
    <w:rsid w:val="00CB6A4F"/>
    <w:rsid w:val="00CB7111"/>
    <w:rsid w:val="00CC0033"/>
    <w:rsid w:val="00CC0B41"/>
    <w:rsid w:val="00CC15FD"/>
    <w:rsid w:val="00CC1CA6"/>
    <w:rsid w:val="00CC23CA"/>
    <w:rsid w:val="00CC4442"/>
    <w:rsid w:val="00CC46C3"/>
    <w:rsid w:val="00CC7C12"/>
    <w:rsid w:val="00CD0823"/>
    <w:rsid w:val="00CD0FD1"/>
    <w:rsid w:val="00CD25C9"/>
    <w:rsid w:val="00CD26D9"/>
    <w:rsid w:val="00CD27BF"/>
    <w:rsid w:val="00CD4966"/>
    <w:rsid w:val="00CD4F83"/>
    <w:rsid w:val="00CD5700"/>
    <w:rsid w:val="00CD589B"/>
    <w:rsid w:val="00CD6487"/>
    <w:rsid w:val="00CD7012"/>
    <w:rsid w:val="00CD7541"/>
    <w:rsid w:val="00CE038C"/>
    <w:rsid w:val="00CE0489"/>
    <w:rsid w:val="00CE1357"/>
    <w:rsid w:val="00CE1758"/>
    <w:rsid w:val="00CE1BBB"/>
    <w:rsid w:val="00CE3B4A"/>
    <w:rsid w:val="00CE42CE"/>
    <w:rsid w:val="00CE50CF"/>
    <w:rsid w:val="00CE5980"/>
    <w:rsid w:val="00CE5B32"/>
    <w:rsid w:val="00CE69CE"/>
    <w:rsid w:val="00CE6C5D"/>
    <w:rsid w:val="00CE793B"/>
    <w:rsid w:val="00CE7967"/>
    <w:rsid w:val="00CF1174"/>
    <w:rsid w:val="00CF1463"/>
    <w:rsid w:val="00CF1503"/>
    <w:rsid w:val="00CF1CC4"/>
    <w:rsid w:val="00CF3632"/>
    <w:rsid w:val="00CF38F4"/>
    <w:rsid w:val="00CF4A76"/>
    <w:rsid w:val="00CF57AD"/>
    <w:rsid w:val="00CF642A"/>
    <w:rsid w:val="00CF687F"/>
    <w:rsid w:val="00CF73D3"/>
    <w:rsid w:val="00CF74AE"/>
    <w:rsid w:val="00D00DAC"/>
    <w:rsid w:val="00D01FCD"/>
    <w:rsid w:val="00D02901"/>
    <w:rsid w:val="00D03951"/>
    <w:rsid w:val="00D05391"/>
    <w:rsid w:val="00D061EF"/>
    <w:rsid w:val="00D06FA9"/>
    <w:rsid w:val="00D103AB"/>
    <w:rsid w:val="00D1062D"/>
    <w:rsid w:val="00D106BE"/>
    <w:rsid w:val="00D12D83"/>
    <w:rsid w:val="00D1327F"/>
    <w:rsid w:val="00D1480C"/>
    <w:rsid w:val="00D15005"/>
    <w:rsid w:val="00D201E2"/>
    <w:rsid w:val="00D20B90"/>
    <w:rsid w:val="00D20E1B"/>
    <w:rsid w:val="00D2252D"/>
    <w:rsid w:val="00D22DFF"/>
    <w:rsid w:val="00D22FE6"/>
    <w:rsid w:val="00D244D3"/>
    <w:rsid w:val="00D252DA"/>
    <w:rsid w:val="00D255BC"/>
    <w:rsid w:val="00D2582D"/>
    <w:rsid w:val="00D2668F"/>
    <w:rsid w:val="00D26F77"/>
    <w:rsid w:val="00D27C2A"/>
    <w:rsid w:val="00D30D60"/>
    <w:rsid w:val="00D31382"/>
    <w:rsid w:val="00D3143C"/>
    <w:rsid w:val="00D318AE"/>
    <w:rsid w:val="00D318B0"/>
    <w:rsid w:val="00D32712"/>
    <w:rsid w:val="00D3374F"/>
    <w:rsid w:val="00D33D00"/>
    <w:rsid w:val="00D344E7"/>
    <w:rsid w:val="00D353CB"/>
    <w:rsid w:val="00D3575F"/>
    <w:rsid w:val="00D35D8F"/>
    <w:rsid w:val="00D35E98"/>
    <w:rsid w:val="00D36414"/>
    <w:rsid w:val="00D36757"/>
    <w:rsid w:val="00D42460"/>
    <w:rsid w:val="00D4271B"/>
    <w:rsid w:val="00D43A8D"/>
    <w:rsid w:val="00D444D5"/>
    <w:rsid w:val="00D44BFB"/>
    <w:rsid w:val="00D45604"/>
    <w:rsid w:val="00D47D2F"/>
    <w:rsid w:val="00D47D33"/>
    <w:rsid w:val="00D502D7"/>
    <w:rsid w:val="00D5170A"/>
    <w:rsid w:val="00D519BB"/>
    <w:rsid w:val="00D51E11"/>
    <w:rsid w:val="00D52031"/>
    <w:rsid w:val="00D5247F"/>
    <w:rsid w:val="00D526C9"/>
    <w:rsid w:val="00D531DF"/>
    <w:rsid w:val="00D54A28"/>
    <w:rsid w:val="00D5600C"/>
    <w:rsid w:val="00D5737C"/>
    <w:rsid w:val="00D61976"/>
    <w:rsid w:val="00D61B20"/>
    <w:rsid w:val="00D61F7A"/>
    <w:rsid w:val="00D62686"/>
    <w:rsid w:val="00D631E7"/>
    <w:rsid w:val="00D64D71"/>
    <w:rsid w:val="00D64FCC"/>
    <w:rsid w:val="00D65E10"/>
    <w:rsid w:val="00D6613D"/>
    <w:rsid w:val="00D67777"/>
    <w:rsid w:val="00D70571"/>
    <w:rsid w:val="00D7239C"/>
    <w:rsid w:val="00D77551"/>
    <w:rsid w:val="00D779CE"/>
    <w:rsid w:val="00D80C0D"/>
    <w:rsid w:val="00D80E15"/>
    <w:rsid w:val="00D811C3"/>
    <w:rsid w:val="00D8185F"/>
    <w:rsid w:val="00D8243E"/>
    <w:rsid w:val="00D83C9B"/>
    <w:rsid w:val="00D85F8D"/>
    <w:rsid w:val="00D866AB"/>
    <w:rsid w:val="00D9014C"/>
    <w:rsid w:val="00D908B1"/>
    <w:rsid w:val="00D90DDF"/>
    <w:rsid w:val="00D91FA5"/>
    <w:rsid w:val="00D922E3"/>
    <w:rsid w:val="00D92456"/>
    <w:rsid w:val="00D93115"/>
    <w:rsid w:val="00D93B56"/>
    <w:rsid w:val="00D941B2"/>
    <w:rsid w:val="00D94A18"/>
    <w:rsid w:val="00D953B7"/>
    <w:rsid w:val="00D967DC"/>
    <w:rsid w:val="00D96942"/>
    <w:rsid w:val="00D978C0"/>
    <w:rsid w:val="00DA1000"/>
    <w:rsid w:val="00DA1A6A"/>
    <w:rsid w:val="00DA1FDE"/>
    <w:rsid w:val="00DA2BEC"/>
    <w:rsid w:val="00DA2C0D"/>
    <w:rsid w:val="00DA439D"/>
    <w:rsid w:val="00DA63DD"/>
    <w:rsid w:val="00DA73E2"/>
    <w:rsid w:val="00DB07F0"/>
    <w:rsid w:val="00DB0F6F"/>
    <w:rsid w:val="00DB1B00"/>
    <w:rsid w:val="00DB38EA"/>
    <w:rsid w:val="00DB5215"/>
    <w:rsid w:val="00DB637B"/>
    <w:rsid w:val="00DB6460"/>
    <w:rsid w:val="00DB675D"/>
    <w:rsid w:val="00DB7626"/>
    <w:rsid w:val="00DB7742"/>
    <w:rsid w:val="00DC07AA"/>
    <w:rsid w:val="00DC0C5C"/>
    <w:rsid w:val="00DC1896"/>
    <w:rsid w:val="00DC2403"/>
    <w:rsid w:val="00DC2902"/>
    <w:rsid w:val="00DC2E9F"/>
    <w:rsid w:val="00DC2FEC"/>
    <w:rsid w:val="00DC340A"/>
    <w:rsid w:val="00DC3448"/>
    <w:rsid w:val="00DC36ED"/>
    <w:rsid w:val="00DC4504"/>
    <w:rsid w:val="00DC4736"/>
    <w:rsid w:val="00DC5591"/>
    <w:rsid w:val="00DC5944"/>
    <w:rsid w:val="00DC6347"/>
    <w:rsid w:val="00DC7397"/>
    <w:rsid w:val="00DD1037"/>
    <w:rsid w:val="00DD2242"/>
    <w:rsid w:val="00DD25B0"/>
    <w:rsid w:val="00DD3057"/>
    <w:rsid w:val="00DD30DC"/>
    <w:rsid w:val="00DD432B"/>
    <w:rsid w:val="00DD43A9"/>
    <w:rsid w:val="00DD443B"/>
    <w:rsid w:val="00DD463F"/>
    <w:rsid w:val="00DD516E"/>
    <w:rsid w:val="00DD5F2B"/>
    <w:rsid w:val="00DD616F"/>
    <w:rsid w:val="00DD6341"/>
    <w:rsid w:val="00DD6483"/>
    <w:rsid w:val="00DD6A91"/>
    <w:rsid w:val="00DD70EC"/>
    <w:rsid w:val="00DD7469"/>
    <w:rsid w:val="00DD7E45"/>
    <w:rsid w:val="00DE095B"/>
    <w:rsid w:val="00DE258D"/>
    <w:rsid w:val="00DE2CC5"/>
    <w:rsid w:val="00DE3839"/>
    <w:rsid w:val="00DE3D04"/>
    <w:rsid w:val="00DE4092"/>
    <w:rsid w:val="00DE4102"/>
    <w:rsid w:val="00DE41D0"/>
    <w:rsid w:val="00DE464B"/>
    <w:rsid w:val="00DE5AC9"/>
    <w:rsid w:val="00DE7509"/>
    <w:rsid w:val="00DE7A66"/>
    <w:rsid w:val="00DF1CC5"/>
    <w:rsid w:val="00DF2172"/>
    <w:rsid w:val="00DF2439"/>
    <w:rsid w:val="00DF2BD1"/>
    <w:rsid w:val="00DF3419"/>
    <w:rsid w:val="00DF39F1"/>
    <w:rsid w:val="00DF5328"/>
    <w:rsid w:val="00DF553E"/>
    <w:rsid w:val="00DF5C19"/>
    <w:rsid w:val="00E03097"/>
    <w:rsid w:val="00E030EA"/>
    <w:rsid w:val="00E03185"/>
    <w:rsid w:val="00E04890"/>
    <w:rsid w:val="00E0497F"/>
    <w:rsid w:val="00E04B4A"/>
    <w:rsid w:val="00E04FBE"/>
    <w:rsid w:val="00E05F69"/>
    <w:rsid w:val="00E0604A"/>
    <w:rsid w:val="00E06BED"/>
    <w:rsid w:val="00E11504"/>
    <w:rsid w:val="00E11807"/>
    <w:rsid w:val="00E11880"/>
    <w:rsid w:val="00E12660"/>
    <w:rsid w:val="00E12FF0"/>
    <w:rsid w:val="00E13F27"/>
    <w:rsid w:val="00E14D1C"/>
    <w:rsid w:val="00E17D4C"/>
    <w:rsid w:val="00E20AF0"/>
    <w:rsid w:val="00E20DFF"/>
    <w:rsid w:val="00E2138E"/>
    <w:rsid w:val="00E22D84"/>
    <w:rsid w:val="00E23BBA"/>
    <w:rsid w:val="00E243C6"/>
    <w:rsid w:val="00E24F71"/>
    <w:rsid w:val="00E25741"/>
    <w:rsid w:val="00E25D25"/>
    <w:rsid w:val="00E2726C"/>
    <w:rsid w:val="00E31639"/>
    <w:rsid w:val="00E316BD"/>
    <w:rsid w:val="00E31F09"/>
    <w:rsid w:val="00E32C59"/>
    <w:rsid w:val="00E32CCC"/>
    <w:rsid w:val="00E32E08"/>
    <w:rsid w:val="00E3521E"/>
    <w:rsid w:val="00E35A73"/>
    <w:rsid w:val="00E36A3A"/>
    <w:rsid w:val="00E37A7C"/>
    <w:rsid w:val="00E37C04"/>
    <w:rsid w:val="00E4097C"/>
    <w:rsid w:val="00E40F5F"/>
    <w:rsid w:val="00E4242F"/>
    <w:rsid w:val="00E42EBF"/>
    <w:rsid w:val="00E436F2"/>
    <w:rsid w:val="00E43866"/>
    <w:rsid w:val="00E43C49"/>
    <w:rsid w:val="00E45544"/>
    <w:rsid w:val="00E461FE"/>
    <w:rsid w:val="00E46A69"/>
    <w:rsid w:val="00E51736"/>
    <w:rsid w:val="00E55921"/>
    <w:rsid w:val="00E56135"/>
    <w:rsid w:val="00E567C2"/>
    <w:rsid w:val="00E567E8"/>
    <w:rsid w:val="00E575A0"/>
    <w:rsid w:val="00E611F2"/>
    <w:rsid w:val="00E6133A"/>
    <w:rsid w:val="00E61462"/>
    <w:rsid w:val="00E62CF9"/>
    <w:rsid w:val="00E62F03"/>
    <w:rsid w:val="00E63133"/>
    <w:rsid w:val="00E63764"/>
    <w:rsid w:val="00E639E5"/>
    <w:rsid w:val="00E6458E"/>
    <w:rsid w:val="00E64636"/>
    <w:rsid w:val="00E670F9"/>
    <w:rsid w:val="00E6749B"/>
    <w:rsid w:val="00E70168"/>
    <w:rsid w:val="00E70485"/>
    <w:rsid w:val="00E708F7"/>
    <w:rsid w:val="00E7106A"/>
    <w:rsid w:val="00E71447"/>
    <w:rsid w:val="00E72451"/>
    <w:rsid w:val="00E73BFF"/>
    <w:rsid w:val="00E7515A"/>
    <w:rsid w:val="00E755A4"/>
    <w:rsid w:val="00E75D56"/>
    <w:rsid w:val="00E762EE"/>
    <w:rsid w:val="00E801E1"/>
    <w:rsid w:val="00E821EB"/>
    <w:rsid w:val="00E82577"/>
    <w:rsid w:val="00E82789"/>
    <w:rsid w:val="00E83F3F"/>
    <w:rsid w:val="00E8402F"/>
    <w:rsid w:val="00E858A8"/>
    <w:rsid w:val="00E86E04"/>
    <w:rsid w:val="00E87C8E"/>
    <w:rsid w:val="00E9066E"/>
    <w:rsid w:val="00E91FEE"/>
    <w:rsid w:val="00E923A2"/>
    <w:rsid w:val="00E925B5"/>
    <w:rsid w:val="00E930A8"/>
    <w:rsid w:val="00E94917"/>
    <w:rsid w:val="00E94A9A"/>
    <w:rsid w:val="00E9633A"/>
    <w:rsid w:val="00E9745D"/>
    <w:rsid w:val="00EA02F3"/>
    <w:rsid w:val="00EA02F4"/>
    <w:rsid w:val="00EA06F8"/>
    <w:rsid w:val="00EA17D4"/>
    <w:rsid w:val="00EA3048"/>
    <w:rsid w:val="00EA374C"/>
    <w:rsid w:val="00EA37CB"/>
    <w:rsid w:val="00EA3F1D"/>
    <w:rsid w:val="00EA430F"/>
    <w:rsid w:val="00EA5079"/>
    <w:rsid w:val="00EA602F"/>
    <w:rsid w:val="00EA6509"/>
    <w:rsid w:val="00EB021A"/>
    <w:rsid w:val="00EB05C2"/>
    <w:rsid w:val="00EB278A"/>
    <w:rsid w:val="00EB2911"/>
    <w:rsid w:val="00EB3468"/>
    <w:rsid w:val="00EB3723"/>
    <w:rsid w:val="00EB55F4"/>
    <w:rsid w:val="00EB622E"/>
    <w:rsid w:val="00EC01EE"/>
    <w:rsid w:val="00EC269F"/>
    <w:rsid w:val="00EC6372"/>
    <w:rsid w:val="00EC65FE"/>
    <w:rsid w:val="00EC7AC6"/>
    <w:rsid w:val="00ED0A37"/>
    <w:rsid w:val="00ED2426"/>
    <w:rsid w:val="00ED31D8"/>
    <w:rsid w:val="00ED3570"/>
    <w:rsid w:val="00ED3D46"/>
    <w:rsid w:val="00ED4192"/>
    <w:rsid w:val="00ED41DF"/>
    <w:rsid w:val="00ED5719"/>
    <w:rsid w:val="00ED6D1C"/>
    <w:rsid w:val="00ED7A55"/>
    <w:rsid w:val="00ED7B71"/>
    <w:rsid w:val="00EE00E8"/>
    <w:rsid w:val="00EE06A9"/>
    <w:rsid w:val="00EE1069"/>
    <w:rsid w:val="00EE12D7"/>
    <w:rsid w:val="00EE1D35"/>
    <w:rsid w:val="00EE2BC2"/>
    <w:rsid w:val="00EE2D92"/>
    <w:rsid w:val="00EE4C98"/>
    <w:rsid w:val="00EE59CC"/>
    <w:rsid w:val="00EE5EA9"/>
    <w:rsid w:val="00EE7838"/>
    <w:rsid w:val="00EF018F"/>
    <w:rsid w:val="00EF02CB"/>
    <w:rsid w:val="00EF091E"/>
    <w:rsid w:val="00EF0FBE"/>
    <w:rsid w:val="00EF2BEF"/>
    <w:rsid w:val="00EF2FC6"/>
    <w:rsid w:val="00EF31BA"/>
    <w:rsid w:val="00EF4CCE"/>
    <w:rsid w:val="00EF5348"/>
    <w:rsid w:val="00EF5E9D"/>
    <w:rsid w:val="00EF5FA3"/>
    <w:rsid w:val="00EF6695"/>
    <w:rsid w:val="00EF702F"/>
    <w:rsid w:val="00EF73F9"/>
    <w:rsid w:val="00F0035C"/>
    <w:rsid w:val="00F0055A"/>
    <w:rsid w:val="00F00A4B"/>
    <w:rsid w:val="00F01593"/>
    <w:rsid w:val="00F02010"/>
    <w:rsid w:val="00F029F7"/>
    <w:rsid w:val="00F02C1D"/>
    <w:rsid w:val="00F02D3D"/>
    <w:rsid w:val="00F031B3"/>
    <w:rsid w:val="00F03378"/>
    <w:rsid w:val="00F03694"/>
    <w:rsid w:val="00F0402B"/>
    <w:rsid w:val="00F046E9"/>
    <w:rsid w:val="00F05505"/>
    <w:rsid w:val="00F05B87"/>
    <w:rsid w:val="00F05CA2"/>
    <w:rsid w:val="00F063D1"/>
    <w:rsid w:val="00F07295"/>
    <w:rsid w:val="00F07E8D"/>
    <w:rsid w:val="00F07FBE"/>
    <w:rsid w:val="00F101F3"/>
    <w:rsid w:val="00F117FE"/>
    <w:rsid w:val="00F11DEC"/>
    <w:rsid w:val="00F1292D"/>
    <w:rsid w:val="00F13474"/>
    <w:rsid w:val="00F138D4"/>
    <w:rsid w:val="00F13B7F"/>
    <w:rsid w:val="00F14A7D"/>
    <w:rsid w:val="00F14ED3"/>
    <w:rsid w:val="00F15592"/>
    <w:rsid w:val="00F157B0"/>
    <w:rsid w:val="00F15E23"/>
    <w:rsid w:val="00F15F89"/>
    <w:rsid w:val="00F1670A"/>
    <w:rsid w:val="00F1671B"/>
    <w:rsid w:val="00F16DB5"/>
    <w:rsid w:val="00F17EED"/>
    <w:rsid w:val="00F20869"/>
    <w:rsid w:val="00F227BB"/>
    <w:rsid w:val="00F22A33"/>
    <w:rsid w:val="00F23FBC"/>
    <w:rsid w:val="00F24AD3"/>
    <w:rsid w:val="00F262FF"/>
    <w:rsid w:val="00F26C6D"/>
    <w:rsid w:val="00F27E36"/>
    <w:rsid w:val="00F30CBF"/>
    <w:rsid w:val="00F31E35"/>
    <w:rsid w:val="00F32684"/>
    <w:rsid w:val="00F328EB"/>
    <w:rsid w:val="00F32C10"/>
    <w:rsid w:val="00F33008"/>
    <w:rsid w:val="00F33D5A"/>
    <w:rsid w:val="00F33E12"/>
    <w:rsid w:val="00F34128"/>
    <w:rsid w:val="00F344F1"/>
    <w:rsid w:val="00F345B9"/>
    <w:rsid w:val="00F35FB8"/>
    <w:rsid w:val="00F36AA1"/>
    <w:rsid w:val="00F41457"/>
    <w:rsid w:val="00F41E88"/>
    <w:rsid w:val="00F4223C"/>
    <w:rsid w:val="00F423DD"/>
    <w:rsid w:val="00F42C6B"/>
    <w:rsid w:val="00F437EA"/>
    <w:rsid w:val="00F43B79"/>
    <w:rsid w:val="00F44033"/>
    <w:rsid w:val="00F4487B"/>
    <w:rsid w:val="00F45602"/>
    <w:rsid w:val="00F474F7"/>
    <w:rsid w:val="00F47B5B"/>
    <w:rsid w:val="00F50524"/>
    <w:rsid w:val="00F512A5"/>
    <w:rsid w:val="00F55984"/>
    <w:rsid w:val="00F55CD8"/>
    <w:rsid w:val="00F57924"/>
    <w:rsid w:val="00F602D1"/>
    <w:rsid w:val="00F60749"/>
    <w:rsid w:val="00F6102E"/>
    <w:rsid w:val="00F6207F"/>
    <w:rsid w:val="00F62D9B"/>
    <w:rsid w:val="00F62E07"/>
    <w:rsid w:val="00F635B5"/>
    <w:rsid w:val="00F63936"/>
    <w:rsid w:val="00F63E0F"/>
    <w:rsid w:val="00F66C6C"/>
    <w:rsid w:val="00F66E41"/>
    <w:rsid w:val="00F66F6F"/>
    <w:rsid w:val="00F672E2"/>
    <w:rsid w:val="00F67E99"/>
    <w:rsid w:val="00F70F7F"/>
    <w:rsid w:val="00F712E4"/>
    <w:rsid w:val="00F71990"/>
    <w:rsid w:val="00F727FA"/>
    <w:rsid w:val="00F74113"/>
    <w:rsid w:val="00F74D06"/>
    <w:rsid w:val="00F74D43"/>
    <w:rsid w:val="00F80B88"/>
    <w:rsid w:val="00F82242"/>
    <w:rsid w:val="00F8353D"/>
    <w:rsid w:val="00F83798"/>
    <w:rsid w:val="00F84556"/>
    <w:rsid w:val="00F8615A"/>
    <w:rsid w:val="00F87949"/>
    <w:rsid w:val="00F92419"/>
    <w:rsid w:val="00F92517"/>
    <w:rsid w:val="00F92A8B"/>
    <w:rsid w:val="00F92EA0"/>
    <w:rsid w:val="00F944D3"/>
    <w:rsid w:val="00F94540"/>
    <w:rsid w:val="00F94BD8"/>
    <w:rsid w:val="00F94BE1"/>
    <w:rsid w:val="00F9543A"/>
    <w:rsid w:val="00F95CBC"/>
    <w:rsid w:val="00F95CCC"/>
    <w:rsid w:val="00F96287"/>
    <w:rsid w:val="00F9676B"/>
    <w:rsid w:val="00F96FD5"/>
    <w:rsid w:val="00FA1298"/>
    <w:rsid w:val="00FA1D38"/>
    <w:rsid w:val="00FA1F53"/>
    <w:rsid w:val="00FA36BA"/>
    <w:rsid w:val="00FA4EDE"/>
    <w:rsid w:val="00FA6891"/>
    <w:rsid w:val="00FA6A3F"/>
    <w:rsid w:val="00FA702E"/>
    <w:rsid w:val="00FA76F6"/>
    <w:rsid w:val="00FA7927"/>
    <w:rsid w:val="00FA7E32"/>
    <w:rsid w:val="00FB0294"/>
    <w:rsid w:val="00FB0A08"/>
    <w:rsid w:val="00FB14FE"/>
    <w:rsid w:val="00FB16F8"/>
    <w:rsid w:val="00FB2376"/>
    <w:rsid w:val="00FB28FF"/>
    <w:rsid w:val="00FB3C54"/>
    <w:rsid w:val="00FB468A"/>
    <w:rsid w:val="00FB5092"/>
    <w:rsid w:val="00FB6088"/>
    <w:rsid w:val="00FB6228"/>
    <w:rsid w:val="00FB65A3"/>
    <w:rsid w:val="00FC06A1"/>
    <w:rsid w:val="00FC1A0C"/>
    <w:rsid w:val="00FC1FA0"/>
    <w:rsid w:val="00FC235C"/>
    <w:rsid w:val="00FC4684"/>
    <w:rsid w:val="00FC6975"/>
    <w:rsid w:val="00FC6D6C"/>
    <w:rsid w:val="00FC763A"/>
    <w:rsid w:val="00FC7859"/>
    <w:rsid w:val="00FD033B"/>
    <w:rsid w:val="00FD08D2"/>
    <w:rsid w:val="00FD0B51"/>
    <w:rsid w:val="00FD12F0"/>
    <w:rsid w:val="00FD16CD"/>
    <w:rsid w:val="00FD244A"/>
    <w:rsid w:val="00FD3069"/>
    <w:rsid w:val="00FD493F"/>
    <w:rsid w:val="00FD5249"/>
    <w:rsid w:val="00FD5694"/>
    <w:rsid w:val="00FD5F35"/>
    <w:rsid w:val="00FD6D19"/>
    <w:rsid w:val="00FD7657"/>
    <w:rsid w:val="00FE2394"/>
    <w:rsid w:val="00FE379A"/>
    <w:rsid w:val="00FE395B"/>
    <w:rsid w:val="00FE6368"/>
    <w:rsid w:val="00FE6451"/>
    <w:rsid w:val="00FE691B"/>
    <w:rsid w:val="00FE71D5"/>
    <w:rsid w:val="00FE7FBE"/>
    <w:rsid w:val="00FF12DF"/>
    <w:rsid w:val="00FF17EC"/>
    <w:rsid w:val="00FF23E3"/>
    <w:rsid w:val="00FF253B"/>
    <w:rsid w:val="00FF2DC5"/>
    <w:rsid w:val="00FF2E2A"/>
    <w:rsid w:val="00FF3126"/>
    <w:rsid w:val="00FF3641"/>
    <w:rsid w:val="00FF3981"/>
    <w:rsid w:val="00FF3E18"/>
    <w:rsid w:val="00FF690D"/>
    <w:rsid w:val="00FF699F"/>
    <w:rsid w:val="00FF7D17"/>
    <w:rsid w:val="766D1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jc w:val="both"/>
    </w:pPr>
    <w:rPr>
      <w:rFonts w:ascii="Arial" w:hAnsi="Arial" w:eastAsia="宋体" w:cs="Times New Roman"/>
      <w:kern w:val="21"/>
      <w:sz w:val="21"/>
      <w:szCs w:val="22"/>
      <w:lang w:val="en-US" w:eastAsia="zh-CN" w:bidi="ar-SA"/>
    </w:rPr>
  </w:style>
  <w:style w:type="paragraph" w:styleId="2">
    <w:name w:val="heading 1"/>
    <w:basedOn w:val="1"/>
    <w:link w:val="43"/>
    <w:qFormat/>
    <w:uiPriority w:val="0"/>
    <w:pPr>
      <w:jc w:val="center"/>
      <w:outlineLvl w:val="0"/>
    </w:pPr>
    <w:rPr>
      <w:rFonts w:ascii="Times New Roman"/>
      <w:b/>
      <w:kern w:val="2"/>
      <w:sz w:val="28"/>
      <w:szCs w:val="28"/>
    </w:rPr>
  </w:style>
  <w:style w:type="paragraph" w:styleId="3">
    <w:name w:val="heading 2"/>
    <w:basedOn w:val="1"/>
    <w:link w:val="21"/>
    <w:qFormat/>
    <w:uiPriority w:val="0"/>
    <w:pPr>
      <w:snapToGrid w:val="0"/>
      <w:spacing w:beforeLines="25" w:line="360" w:lineRule="auto"/>
      <w:jc w:val="center"/>
      <w:outlineLvl w:val="1"/>
    </w:pPr>
    <w:rPr>
      <w:rFonts w:ascii="Times New Roman" w:hAnsi="Times New Roman"/>
      <w:i/>
      <w:kern w:val="2"/>
      <w:szCs w:val="21"/>
    </w:rPr>
  </w:style>
  <w:style w:type="paragraph" w:styleId="4">
    <w:name w:val="heading 3"/>
    <w:basedOn w:val="1"/>
    <w:link w:val="22"/>
    <w:qFormat/>
    <w:uiPriority w:val="0"/>
    <w:pPr>
      <w:topLinePunct w:val="0"/>
      <w:spacing w:before="145"/>
      <w:ind w:left="681" w:hanging="567"/>
      <w:jc w:val="left"/>
      <w:outlineLvl w:val="2"/>
    </w:pPr>
    <w:rPr>
      <w:rFonts w:ascii="宋体" w:hAnsi="宋体"/>
      <w:b/>
      <w:bCs/>
      <w:kern w:val="0"/>
      <w:sz w:val="24"/>
      <w:szCs w:val="24"/>
      <w:lang w:val="zh-CN" w:bidi="zh-CN"/>
    </w:rPr>
  </w:style>
  <w:style w:type="paragraph" w:styleId="5">
    <w:name w:val="heading 4"/>
    <w:basedOn w:val="1"/>
    <w:next w:val="1"/>
    <w:link w:val="54"/>
    <w:qFormat/>
    <w:uiPriority w:val="0"/>
    <w:pPr>
      <w:keepNext/>
      <w:spacing w:before="240" w:after="60"/>
      <w:outlineLvl w:val="3"/>
    </w:pPr>
    <w:rPr>
      <w:rFonts w:ascii="Calibri" w:hAnsi="Calibr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51"/>
    <w:qFormat/>
    <w:uiPriority w:val="0"/>
    <w:pPr>
      <w:shd w:val="clear" w:color="auto" w:fill="000080"/>
    </w:pPr>
    <w:rPr>
      <w:rFonts w:ascii="Times New Roman" w:hAnsi="Times New Roman"/>
    </w:rPr>
  </w:style>
  <w:style w:type="paragraph" w:styleId="7">
    <w:name w:val="annotation text"/>
    <w:basedOn w:val="1"/>
    <w:link w:val="45"/>
    <w:qFormat/>
    <w:uiPriority w:val="0"/>
    <w:pPr>
      <w:topLinePunct w:val="0"/>
      <w:jc w:val="left"/>
    </w:pPr>
    <w:rPr>
      <w:rFonts w:ascii="Calibri" w:hAnsi="Calibri"/>
      <w:kern w:val="2"/>
    </w:rPr>
  </w:style>
  <w:style w:type="paragraph" w:styleId="8">
    <w:name w:val="Body Text"/>
    <w:basedOn w:val="1"/>
    <w:link w:val="24"/>
    <w:semiHidden/>
    <w:qFormat/>
    <w:uiPriority w:val="0"/>
    <w:pPr>
      <w:topLinePunct w:val="0"/>
      <w:spacing w:before="5"/>
      <w:ind w:left="681" w:hanging="567"/>
      <w:jc w:val="left"/>
    </w:pPr>
    <w:rPr>
      <w:rFonts w:ascii="Times New Roman" w:hAnsi="Times New Roman"/>
      <w:kern w:val="0"/>
      <w:szCs w:val="24"/>
      <w:lang w:val="zh-CN" w:bidi="zh-CN"/>
    </w:rPr>
  </w:style>
  <w:style w:type="paragraph" w:styleId="9">
    <w:name w:val="Balloon Text"/>
    <w:basedOn w:val="1"/>
    <w:link w:val="27"/>
    <w:semiHidden/>
    <w:unhideWhenUsed/>
    <w:qFormat/>
    <w:uiPriority w:val="0"/>
    <w:pPr>
      <w:topLinePunct w:val="0"/>
      <w:jc w:val="left"/>
    </w:pPr>
    <w:rPr>
      <w:kern w:val="0"/>
      <w:sz w:val="18"/>
      <w:szCs w:val="18"/>
    </w:rPr>
  </w:style>
  <w:style w:type="paragraph" w:styleId="10">
    <w:name w:val="footer"/>
    <w:basedOn w:val="1"/>
    <w:link w:val="29"/>
    <w:unhideWhenUsed/>
    <w:qFormat/>
    <w:uiPriority w:val="0"/>
    <w:pPr>
      <w:tabs>
        <w:tab w:val="center" w:pos="4153"/>
        <w:tab w:val="right" w:pos="8306"/>
      </w:tabs>
      <w:topLinePunct w:val="0"/>
      <w:snapToGrid w:val="0"/>
      <w:jc w:val="left"/>
    </w:pPr>
    <w:rPr>
      <w:kern w:val="0"/>
      <w:sz w:val="18"/>
      <w:szCs w:val="18"/>
    </w:rPr>
  </w:style>
  <w:style w:type="paragraph" w:styleId="11">
    <w:name w:val="header"/>
    <w:basedOn w:val="1"/>
    <w:link w:val="28"/>
    <w:unhideWhenUsed/>
    <w:qFormat/>
    <w:uiPriority w:val="0"/>
    <w:pPr>
      <w:pBdr>
        <w:bottom w:val="single" w:color="auto" w:sz="6" w:space="1"/>
      </w:pBdr>
      <w:tabs>
        <w:tab w:val="center" w:pos="4153"/>
        <w:tab w:val="right" w:pos="8306"/>
      </w:tabs>
      <w:topLinePunct w:val="0"/>
      <w:snapToGrid w:val="0"/>
      <w:jc w:val="center"/>
    </w:pPr>
    <w:rPr>
      <w:kern w:val="0"/>
      <w:sz w:val="18"/>
      <w:szCs w:val="18"/>
    </w:rPr>
  </w:style>
  <w:style w:type="paragraph" w:styleId="12">
    <w:name w:val="toc 1"/>
    <w:basedOn w:val="1"/>
    <w:next w:val="1"/>
    <w:autoRedefine/>
    <w:qFormat/>
    <w:uiPriority w:val="39"/>
    <w:pPr>
      <w:tabs>
        <w:tab w:val="right" w:leader="dot" w:pos="8302"/>
      </w:tabs>
      <w:ind w:left="979" w:right="420" w:rightChars="200" w:hanging="979" w:hangingChars="466"/>
    </w:pPr>
    <w:rPr>
      <w:rFonts w:ascii="Times New Roman" w:hAnsi="Times New Roman"/>
    </w:rPr>
  </w:style>
  <w:style w:type="paragraph" w:styleId="13">
    <w:name w:val="toc 2"/>
    <w:basedOn w:val="1"/>
    <w:next w:val="1"/>
    <w:autoRedefine/>
    <w:qFormat/>
    <w:uiPriority w:val="39"/>
    <w:pPr>
      <w:ind w:left="420" w:leftChars="200"/>
    </w:pPr>
    <w:rPr>
      <w:rFonts w:ascii="Times New Roman" w:hAnsi="Times New Roman"/>
    </w:rPr>
  </w:style>
  <w:style w:type="paragraph" w:styleId="14">
    <w:name w:val="annotation subject"/>
    <w:basedOn w:val="7"/>
    <w:next w:val="7"/>
    <w:link w:val="46"/>
    <w:qFormat/>
    <w:uiPriority w:val="0"/>
    <w:rPr>
      <w:b/>
      <w:bCs/>
    </w:rPr>
  </w:style>
  <w:style w:type="table" w:styleId="16">
    <w:name w:val="Table Grid"/>
    <w:basedOn w:val="15"/>
    <w:semiHidden/>
    <w:qFormat/>
    <w:uiPriority w:val="0"/>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semiHidden/>
    <w:qFormat/>
    <w:uiPriority w:val="0"/>
  </w:style>
  <w:style w:type="character" w:styleId="19">
    <w:name w:val="Hyperlink"/>
    <w:qFormat/>
    <w:uiPriority w:val="99"/>
    <w:rPr>
      <w:color w:val="0000FF"/>
      <w:u w:val="single"/>
    </w:rPr>
  </w:style>
  <w:style w:type="character" w:styleId="20">
    <w:name w:val="annotation reference"/>
    <w:qFormat/>
    <w:uiPriority w:val="0"/>
    <w:rPr>
      <w:rFonts w:cs="Times New Roman"/>
      <w:sz w:val="21"/>
      <w:szCs w:val="21"/>
    </w:rPr>
  </w:style>
  <w:style w:type="character" w:customStyle="1" w:styleId="21">
    <w:name w:val="标题 2 Char"/>
    <w:link w:val="3"/>
    <w:qFormat/>
    <w:locked/>
    <w:uiPriority w:val="0"/>
    <w:rPr>
      <w:rFonts w:eastAsia="宋体"/>
      <w:i/>
      <w:kern w:val="2"/>
      <w:sz w:val="21"/>
      <w:szCs w:val="21"/>
      <w:lang w:val="en-US" w:eastAsia="zh-CN" w:bidi="ar-SA"/>
    </w:rPr>
  </w:style>
  <w:style w:type="character" w:customStyle="1" w:styleId="22">
    <w:name w:val="标题 3 Char"/>
    <w:link w:val="4"/>
    <w:locked/>
    <w:uiPriority w:val="0"/>
    <w:rPr>
      <w:rFonts w:ascii="宋体" w:hAnsi="宋体" w:eastAsia="宋体"/>
      <w:b/>
      <w:bCs/>
      <w:sz w:val="24"/>
      <w:szCs w:val="24"/>
      <w:lang w:val="zh-CN" w:eastAsia="zh-CN" w:bidi="zh-CN"/>
    </w:rPr>
  </w:style>
  <w:style w:type="table" w:customStyle="1" w:styleId="23">
    <w:name w:val="Table Normal"/>
    <w:semiHidden/>
    <w:unhideWhenUsed/>
    <w:qFormat/>
    <w:uiPriority w:val="0"/>
    <w:pPr>
      <w:widowControl w:val="0"/>
    </w:pPr>
    <w:rPr>
      <w:rFonts w:ascii="宋体" w:hAnsi="宋体"/>
      <w:sz w:val="22"/>
      <w:szCs w:val="22"/>
      <w:lang w:val="zh-CN" w:bidi="zh-CN"/>
    </w:rPr>
    <w:tblPr>
      <w:tblCellMar>
        <w:top w:w="0" w:type="dxa"/>
        <w:left w:w="0" w:type="dxa"/>
        <w:bottom w:w="0" w:type="dxa"/>
        <w:right w:w="0" w:type="dxa"/>
      </w:tblCellMar>
    </w:tblPr>
  </w:style>
  <w:style w:type="character" w:customStyle="1" w:styleId="24">
    <w:name w:val="正文文本 Char"/>
    <w:link w:val="8"/>
    <w:qFormat/>
    <w:locked/>
    <w:uiPriority w:val="0"/>
    <w:rPr>
      <w:rFonts w:ascii="Times New Roman" w:hAnsi="Times New Roman"/>
      <w:sz w:val="21"/>
      <w:szCs w:val="24"/>
      <w:lang w:val="zh-CN" w:bidi="zh-CN"/>
    </w:rPr>
  </w:style>
  <w:style w:type="paragraph" w:styleId="25">
    <w:name w:val="List Paragraph"/>
    <w:basedOn w:val="1"/>
    <w:qFormat/>
    <w:uiPriority w:val="1"/>
    <w:pPr>
      <w:topLinePunct w:val="0"/>
      <w:jc w:val="left"/>
    </w:pPr>
    <w:rPr>
      <w:rFonts w:ascii="Times New Roman" w:hAnsi="Times New Roman"/>
      <w:kern w:val="0"/>
      <w:lang w:val="zh-CN" w:bidi="zh-CN"/>
    </w:rPr>
  </w:style>
  <w:style w:type="paragraph" w:customStyle="1" w:styleId="26">
    <w:name w:val="Table Paragraph"/>
    <w:basedOn w:val="1"/>
    <w:semiHidden/>
    <w:qFormat/>
    <w:uiPriority w:val="0"/>
    <w:pPr>
      <w:topLinePunct w:val="0"/>
      <w:jc w:val="left"/>
    </w:pPr>
    <w:rPr>
      <w:kern w:val="0"/>
      <w:lang w:val="zh-CN" w:bidi="zh-CN"/>
    </w:rPr>
  </w:style>
  <w:style w:type="character" w:customStyle="1" w:styleId="27">
    <w:name w:val="批注框文本 Char"/>
    <w:link w:val="9"/>
    <w:semiHidden/>
    <w:qFormat/>
    <w:uiPriority w:val="0"/>
    <w:rPr>
      <w:rFonts w:ascii="Arial" w:hAnsi="Arial" w:eastAsia="宋体"/>
      <w:sz w:val="18"/>
      <w:szCs w:val="18"/>
      <w:lang w:bidi="ar-SA"/>
    </w:rPr>
  </w:style>
  <w:style w:type="character" w:customStyle="1" w:styleId="28">
    <w:name w:val="页眉 Char"/>
    <w:link w:val="11"/>
    <w:qFormat/>
    <w:uiPriority w:val="0"/>
    <w:rPr>
      <w:rFonts w:ascii="Arial" w:hAnsi="Arial" w:eastAsia="宋体"/>
      <w:sz w:val="18"/>
      <w:szCs w:val="18"/>
      <w:lang w:bidi="ar-SA"/>
    </w:rPr>
  </w:style>
  <w:style w:type="character" w:customStyle="1" w:styleId="29">
    <w:name w:val="页脚 Char"/>
    <w:link w:val="10"/>
    <w:qFormat/>
    <w:uiPriority w:val="0"/>
    <w:rPr>
      <w:rFonts w:ascii="Arial" w:hAnsi="Arial" w:eastAsia="宋体"/>
      <w:sz w:val="18"/>
      <w:szCs w:val="18"/>
      <w:lang w:bidi="ar-SA"/>
    </w:rPr>
  </w:style>
  <w:style w:type="character" w:customStyle="1" w:styleId="30">
    <w:name w:val="op_dict_text22"/>
    <w:semiHidden/>
    <w:qFormat/>
    <w:uiPriority w:val="0"/>
  </w:style>
  <w:style w:type="character" w:customStyle="1" w:styleId="31">
    <w:name w:val="short_text"/>
    <w:semiHidden/>
    <w:qFormat/>
    <w:uiPriority w:val="0"/>
  </w:style>
  <w:style w:type="paragraph" w:customStyle="1" w:styleId="32">
    <w:name w:val="列出段落1"/>
    <w:basedOn w:val="1"/>
    <w:semiHidden/>
    <w:qFormat/>
    <w:uiPriority w:val="0"/>
    <w:pPr>
      <w:topLinePunct w:val="0"/>
      <w:jc w:val="left"/>
    </w:pPr>
    <w:rPr>
      <w:kern w:val="0"/>
      <w:lang w:val="zh-CN"/>
    </w:rPr>
  </w:style>
  <w:style w:type="character" w:customStyle="1" w:styleId="33">
    <w:name w:val="Header Char"/>
    <w:semiHidden/>
    <w:qFormat/>
    <w:locked/>
    <w:uiPriority w:val="0"/>
    <w:rPr>
      <w:rFonts w:ascii="宋体" w:hAnsi="宋体" w:eastAsia="宋体"/>
      <w:sz w:val="18"/>
      <w:szCs w:val="18"/>
      <w:lang w:val="zh-CN" w:eastAsia="zh-CN" w:bidi="ar-SA"/>
    </w:rPr>
  </w:style>
  <w:style w:type="character" w:customStyle="1" w:styleId="34">
    <w:name w:val="Footer Char"/>
    <w:semiHidden/>
    <w:qFormat/>
    <w:locked/>
    <w:uiPriority w:val="0"/>
    <w:rPr>
      <w:rFonts w:ascii="宋体" w:hAnsi="宋体" w:eastAsia="宋体"/>
      <w:sz w:val="18"/>
      <w:szCs w:val="18"/>
      <w:lang w:val="zh-CN" w:eastAsia="zh-CN" w:bidi="ar-SA"/>
    </w:rPr>
  </w:style>
  <w:style w:type="paragraph" w:customStyle="1" w:styleId="35">
    <w:name w:val="标题1+1"/>
    <w:basedOn w:val="1"/>
    <w:qFormat/>
    <w:uiPriority w:val="0"/>
    <w:pPr>
      <w:snapToGrid w:val="0"/>
      <w:spacing w:beforeLines="25" w:line="360" w:lineRule="auto"/>
      <w:jc w:val="center"/>
    </w:pPr>
    <w:rPr>
      <w:rFonts w:ascii="Times New Roman" w:hAnsi="Times New Roman"/>
      <w:b/>
      <w:sz w:val="24"/>
      <w:szCs w:val="24"/>
    </w:rPr>
  </w:style>
  <w:style w:type="character" w:customStyle="1" w:styleId="36">
    <w:name w:val="Char Char6"/>
    <w:semiHidden/>
    <w:qFormat/>
    <w:locked/>
    <w:uiPriority w:val="0"/>
    <w:rPr>
      <w:rFonts w:ascii="宋体" w:hAnsi="宋体" w:eastAsia="宋体"/>
      <w:b/>
      <w:bCs/>
      <w:sz w:val="24"/>
      <w:szCs w:val="24"/>
      <w:lang w:val="zh-CN" w:eastAsia="zh-CN" w:bidi="zh-CN"/>
    </w:rPr>
  </w:style>
  <w:style w:type="paragraph" w:customStyle="1" w:styleId="37">
    <w:name w:val="List Paragraph1"/>
    <w:basedOn w:val="1"/>
    <w:semiHidden/>
    <w:qFormat/>
    <w:uiPriority w:val="0"/>
    <w:pPr>
      <w:topLinePunct w:val="0"/>
      <w:jc w:val="left"/>
    </w:pPr>
    <w:rPr>
      <w:kern w:val="0"/>
      <w:lang w:val="zh-CN"/>
    </w:rPr>
  </w:style>
  <w:style w:type="character" w:customStyle="1" w:styleId="38">
    <w:name w:val="fontstyle01"/>
    <w:qFormat/>
    <w:uiPriority w:val="0"/>
    <w:rPr>
      <w:rFonts w:hint="default" w:ascii="TimesNewRomanPSMT" w:hAnsi="TimesNewRomanPSMT"/>
      <w:color w:val="000000"/>
      <w:sz w:val="24"/>
      <w:szCs w:val="24"/>
    </w:rPr>
  </w:style>
  <w:style w:type="paragraph" w:customStyle="1" w:styleId="39">
    <w:name w:val="Revision"/>
    <w:hidden/>
    <w:semiHidden/>
    <w:qFormat/>
    <w:uiPriority w:val="99"/>
    <w:rPr>
      <w:rFonts w:ascii="Arial" w:hAnsi="Arial" w:eastAsia="宋体" w:cs="Times New Roman"/>
      <w:kern w:val="21"/>
      <w:sz w:val="21"/>
      <w:szCs w:val="22"/>
      <w:lang w:val="en-US" w:eastAsia="zh-CN" w:bidi="ar-SA"/>
    </w:rPr>
  </w:style>
  <w:style w:type="paragraph" w:customStyle="1" w:styleId="40">
    <w:name w:val="脚注"/>
    <w:basedOn w:val="1"/>
    <w:link w:val="42"/>
    <w:qFormat/>
    <w:uiPriority w:val="0"/>
    <w:pPr>
      <w:snapToGrid w:val="0"/>
      <w:spacing w:before="25" w:line="300" w:lineRule="auto"/>
      <w:ind w:left="408" w:hanging="408"/>
    </w:pPr>
    <w:rPr>
      <w:rFonts w:ascii="Times New Roman" w:hAnsi="Times New Roman"/>
      <w:kern w:val="18"/>
      <w:sz w:val="18"/>
      <w:szCs w:val="21"/>
      <w:lang w:bidi="zh-CN"/>
    </w:rPr>
  </w:style>
  <w:style w:type="paragraph" w:customStyle="1" w:styleId="41">
    <w:name w:val="脚"/>
    <w:basedOn w:val="1"/>
    <w:qFormat/>
    <w:uiPriority w:val="0"/>
    <w:pPr>
      <w:snapToGrid w:val="0"/>
      <w:spacing w:before="25" w:line="300" w:lineRule="auto"/>
      <w:ind w:left="408" w:hanging="408"/>
    </w:pPr>
    <w:rPr>
      <w:kern w:val="18"/>
      <w:sz w:val="18"/>
      <w:szCs w:val="18"/>
      <w:vertAlign w:val="superscript"/>
    </w:rPr>
  </w:style>
  <w:style w:type="character" w:customStyle="1" w:styleId="42">
    <w:name w:val="脚注 Char"/>
    <w:link w:val="40"/>
    <w:qFormat/>
    <w:uiPriority w:val="0"/>
    <w:rPr>
      <w:rFonts w:eastAsia="宋体"/>
      <w:kern w:val="18"/>
      <w:sz w:val="18"/>
      <w:szCs w:val="21"/>
      <w:lang w:val="en-US" w:eastAsia="zh-CN" w:bidi="zh-CN"/>
    </w:rPr>
  </w:style>
  <w:style w:type="character" w:customStyle="1" w:styleId="43">
    <w:name w:val="标题 1 Char"/>
    <w:link w:val="2"/>
    <w:qFormat/>
    <w:locked/>
    <w:uiPriority w:val="0"/>
    <w:rPr>
      <w:rFonts w:hAnsi="Arial"/>
      <w:b/>
      <w:kern w:val="2"/>
      <w:sz w:val="28"/>
      <w:szCs w:val="28"/>
    </w:rPr>
  </w:style>
  <w:style w:type="table" w:customStyle="1" w:styleId="44">
    <w:name w:val="Table Normal1"/>
    <w:semiHidden/>
    <w:qFormat/>
    <w:uiPriority w:val="0"/>
    <w:pPr>
      <w:widowControl w:val="0"/>
    </w:pPr>
    <w:rPr>
      <w:rFonts w:ascii="Calibri" w:hAnsi="Calibri"/>
      <w:sz w:val="22"/>
      <w:szCs w:val="22"/>
      <w:lang w:val="zh-CN"/>
    </w:rPr>
    <w:tblPr>
      <w:tblCellMar>
        <w:top w:w="0" w:type="dxa"/>
        <w:left w:w="0" w:type="dxa"/>
        <w:bottom w:w="0" w:type="dxa"/>
        <w:right w:w="0" w:type="dxa"/>
      </w:tblCellMar>
    </w:tblPr>
  </w:style>
  <w:style w:type="character" w:customStyle="1" w:styleId="45">
    <w:name w:val="批注文字 Char"/>
    <w:basedOn w:val="17"/>
    <w:link w:val="7"/>
    <w:qFormat/>
    <w:uiPriority w:val="0"/>
    <w:rPr>
      <w:rFonts w:ascii="Calibri" w:hAnsi="Calibri"/>
      <w:kern w:val="2"/>
      <w:sz w:val="21"/>
      <w:szCs w:val="22"/>
    </w:rPr>
  </w:style>
  <w:style w:type="character" w:customStyle="1" w:styleId="46">
    <w:name w:val="批注主题 Char"/>
    <w:basedOn w:val="45"/>
    <w:link w:val="14"/>
    <w:qFormat/>
    <w:uiPriority w:val="0"/>
    <w:rPr>
      <w:rFonts w:ascii="Calibri" w:hAnsi="Calibri"/>
      <w:b/>
      <w:bCs/>
      <w:kern w:val="2"/>
      <w:sz w:val="21"/>
      <w:szCs w:val="22"/>
    </w:rPr>
  </w:style>
  <w:style w:type="character" w:customStyle="1" w:styleId="47">
    <w:name w:val="Char Char"/>
    <w:semiHidden/>
    <w:qFormat/>
    <w:uiPriority w:val="0"/>
    <w:rPr>
      <w:rFonts w:ascii="Arial" w:hAnsi="Arial" w:eastAsia="宋体"/>
      <w:sz w:val="18"/>
      <w:szCs w:val="18"/>
      <w:lang w:bidi="ar-SA"/>
    </w:rPr>
  </w:style>
  <w:style w:type="character" w:customStyle="1" w:styleId="48">
    <w:name w:val="样式 正文 +"/>
    <w:semiHidden/>
    <w:qFormat/>
    <w:uiPriority w:val="0"/>
    <w:rPr>
      <w:rFonts w:ascii="Times New Roman" w:hAnsi="Times New Roman" w:eastAsia="宋体"/>
      <w:kern w:val="2"/>
      <w:sz w:val="21"/>
    </w:rPr>
  </w:style>
  <w:style w:type="paragraph" w:customStyle="1" w:styleId="49">
    <w:name w:val="样式 正文文本 + (符号) Arial"/>
    <w:basedOn w:val="8"/>
    <w:link w:val="50"/>
    <w:semiHidden/>
    <w:qFormat/>
    <w:uiPriority w:val="0"/>
    <w:rPr>
      <w:kern w:val="2"/>
      <w:lang w:bidi="ar-SA"/>
    </w:rPr>
  </w:style>
  <w:style w:type="character" w:customStyle="1" w:styleId="50">
    <w:name w:val="样式 正文文本 + (符号) Arial Char"/>
    <w:link w:val="49"/>
    <w:semiHidden/>
    <w:qFormat/>
    <w:uiPriority w:val="0"/>
    <w:rPr>
      <w:kern w:val="2"/>
      <w:sz w:val="21"/>
      <w:szCs w:val="24"/>
      <w:lang w:val="zh-CN"/>
    </w:rPr>
  </w:style>
  <w:style w:type="character" w:customStyle="1" w:styleId="51">
    <w:name w:val="文档结构图 Char"/>
    <w:basedOn w:val="17"/>
    <w:link w:val="6"/>
    <w:qFormat/>
    <w:uiPriority w:val="0"/>
    <w:rPr>
      <w:kern w:val="21"/>
      <w:sz w:val="21"/>
      <w:szCs w:val="22"/>
      <w:shd w:val="clear" w:color="auto" w:fill="000080"/>
    </w:rPr>
  </w:style>
  <w:style w:type="paragraph" w:customStyle="1" w:styleId="52">
    <w:name w:val="ordinary-output"/>
    <w:basedOn w:val="1"/>
    <w:qFormat/>
    <w:uiPriority w:val="0"/>
    <w:pPr>
      <w:widowControl/>
      <w:topLinePunct w:val="0"/>
      <w:spacing w:before="100" w:beforeAutospacing="1" w:after="100" w:afterAutospacing="1"/>
      <w:jc w:val="left"/>
    </w:pPr>
    <w:rPr>
      <w:rFonts w:ascii="宋体" w:hAnsi="宋体" w:cs="宋体"/>
      <w:kern w:val="0"/>
      <w:sz w:val="24"/>
      <w:szCs w:val="24"/>
    </w:rPr>
  </w:style>
  <w:style w:type="paragraph" w:customStyle="1" w:styleId="53">
    <w:name w:val="脚注的文字"/>
    <w:basedOn w:val="1"/>
    <w:qFormat/>
    <w:uiPriority w:val="0"/>
    <w:pPr>
      <w:snapToGrid w:val="0"/>
      <w:spacing w:line="300" w:lineRule="auto"/>
      <w:ind w:left="405" w:hanging="405" w:hangingChars="225"/>
    </w:pPr>
    <w:rPr>
      <w:rFonts w:ascii="Times New Roman" w:hAnsi="Times New Roman"/>
      <w:kern w:val="2"/>
      <w:sz w:val="18"/>
      <w:szCs w:val="18"/>
    </w:rPr>
  </w:style>
  <w:style w:type="character" w:customStyle="1" w:styleId="54">
    <w:name w:val="标题 4 Char"/>
    <w:basedOn w:val="17"/>
    <w:link w:val="5"/>
    <w:qFormat/>
    <w:uiPriority w:val="0"/>
    <w:rPr>
      <w:rFonts w:ascii="Calibri" w:hAnsi="Calibri"/>
      <w:b/>
      <w:bCs/>
      <w:kern w:val="21"/>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9AF04-25CA-477F-BF85-A5E6321CB90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178</Pages>
  <Words>24244</Words>
  <Characters>27385</Characters>
  <Lines>1134</Lines>
  <Paragraphs>319</Paragraphs>
  <TotalTime>2</TotalTime>
  <ScaleCrop>false</ScaleCrop>
  <LinksUpToDate>false</LinksUpToDate>
  <CharactersWithSpaces>27743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2017-06-12T03:09:00Z</dcterms:created>
  <dc:creator>SDWM</dc:creator>
  <cp:lastModifiedBy>太极箫客</cp:lastModifiedBy>
  <cp:lastPrinted>2017-02-22T05:09:00Z</cp:lastPrinted>
  <dcterms:modified xsi:type="dcterms:W3CDTF">2025-08-14T06:20:39Z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1F34A746A2E14899B85E7E6F833D829D_12</vt:lpwstr>
  </property>
</Properties>
</file>