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A78FA">
      <w:pPr>
        <w:ind w:left="-142" w:right="-284"/>
        <w:jc w:val="center"/>
        <w:rPr>
          <w:rFonts w:ascii="Arial" w:hAnsi="Arial" w:cs="Arial"/>
          <w:sz w:val="24"/>
          <w:szCs w:val="24"/>
        </w:rPr>
      </w:pPr>
      <w:bookmarkStart w:id="0" w:name="_GoBack"/>
      <w:bookmarkEnd w:id="0"/>
      <w:r>
        <w:rPr>
          <w:rFonts w:ascii="Arial" w:hAnsi="Arial" w:cs="Arial"/>
          <w:sz w:val="24"/>
          <w:szCs w:val="24"/>
        </w:rPr>
        <w:t>List of Standard Fees for Conformity Assessments Activities under the IVDR (2017/746)  Notified body XXXX (NB No)</w:t>
      </w:r>
    </w:p>
    <w:p w14:paraId="6CE4FBDE">
      <w:pPr>
        <w:jc w:val="center"/>
        <w:rPr>
          <w:rFonts w:ascii="Arial" w:hAnsi="Arial" w:cs="Arial"/>
          <w:sz w:val="24"/>
          <w:szCs w:val="24"/>
        </w:rPr>
      </w:pPr>
    </w:p>
    <w:tbl>
      <w:tblPr>
        <w:tblStyle w:val="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417"/>
        <w:gridCol w:w="1134"/>
        <w:gridCol w:w="3009"/>
        <w:gridCol w:w="1669"/>
      </w:tblGrid>
      <w:tr w14:paraId="48F2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6" w:type="dxa"/>
            <w:shd w:val="clear" w:color="auto" w:fill="FFFFFF" w:themeFill="background1"/>
          </w:tcPr>
          <w:p w14:paraId="29696126">
            <w:pPr>
              <w:spacing w:after="0" w:line="240" w:lineRule="auto"/>
              <w:ind w:left="-567" w:firstLine="567"/>
            </w:pPr>
          </w:p>
        </w:tc>
        <w:tc>
          <w:tcPr>
            <w:tcW w:w="1417" w:type="dxa"/>
            <w:tcBorders>
              <w:bottom w:val="single" w:color="auto" w:sz="4" w:space="0"/>
            </w:tcBorders>
            <w:shd w:val="clear" w:color="auto" w:fill="FFFFFF" w:themeFill="background1"/>
          </w:tcPr>
          <w:p w14:paraId="3EB0A411">
            <w:pPr>
              <w:spacing w:after="0" w:line="240" w:lineRule="auto"/>
              <w:jc w:val="center"/>
            </w:pPr>
            <w:r>
              <w:rPr>
                <w:u w:val="single"/>
              </w:rPr>
              <w:t>Type of Fee</w:t>
            </w:r>
            <w:r>
              <w:rPr>
                <w:rStyle w:val="9"/>
                <w:u w:val="single"/>
              </w:rPr>
              <w:endnoteReference w:id="0"/>
            </w:r>
          </w:p>
        </w:tc>
        <w:tc>
          <w:tcPr>
            <w:tcW w:w="1134" w:type="dxa"/>
            <w:tcBorders>
              <w:bottom w:val="single" w:color="auto" w:sz="4" w:space="0"/>
            </w:tcBorders>
            <w:shd w:val="clear" w:color="auto" w:fill="FFFFFF" w:themeFill="background1"/>
          </w:tcPr>
          <w:p w14:paraId="487C5CE8">
            <w:pPr>
              <w:spacing w:after="0" w:line="240" w:lineRule="auto"/>
              <w:jc w:val="center"/>
            </w:pPr>
            <w:r>
              <w:rPr>
                <w:u w:val="single"/>
              </w:rPr>
              <w:t>Fee</w:t>
            </w:r>
            <w:r>
              <w:t xml:space="preserve"> in local currency </w:t>
            </w:r>
          </w:p>
        </w:tc>
        <w:tc>
          <w:tcPr>
            <w:tcW w:w="3009" w:type="dxa"/>
            <w:tcBorders>
              <w:bottom w:val="single" w:color="auto" w:sz="4" w:space="0"/>
            </w:tcBorders>
            <w:shd w:val="clear" w:color="auto" w:fill="FFFFFF" w:themeFill="background1"/>
          </w:tcPr>
          <w:p w14:paraId="0DD9BF16">
            <w:pPr>
              <w:spacing w:after="0" w:line="240" w:lineRule="auto"/>
              <w:jc w:val="center"/>
            </w:pPr>
            <w:r>
              <w:t>Factors influencing the calculation of fee charged</w:t>
            </w:r>
            <w:r>
              <w:rPr>
                <w:rStyle w:val="10"/>
              </w:rPr>
              <w:t xml:space="preserve"> </w:t>
            </w:r>
            <w:r>
              <w:rPr>
                <w:rStyle w:val="9"/>
              </w:rPr>
              <w:endnoteReference w:id="1" w:customMarkFollows="1"/>
              <w:t>2</w:t>
            </w:r>
          </w:p>
        </w:tc>
        <w:tc>
          <w:tcPr>
            <w:tcW w:w="1669" w:type="dxa"/>
            <w:tcBorders>
              <w:bottom w:val="single" w:color="auto" w:sz="4" w:space="0"/>
            </w:tcBorders>
            <w:shd w:val="clear" w:color="auto" w:fill="FFFFFF" w:themeFill="background1"/>
          </w:tcPr>
          <w:p w14:paraId="4992140C">
            <w:pPr>
              <w:spacing w:after="0" w:line="240" w:lineRule="auto"/>
              <w:jc w:val="center"/>
            </w:pPr>
            <w:r>
              <w:t>Fee range (min-max)</w:t>
            </w:r>
            <w:r>
              <w:rPr>
                <w:rStyle w:val="10"/>
              </w:rPr>
              <w:t xml:space="preserve"> </w:t>
            </w:r>
            <w:r>
              <w:rPr>
                <w:rStyle w:val="9"/>
              </w:rPr>
              <w:endnoteReference w:id="2" w:customMarkFollows="1"/>
              <w:t>3</w:t>
            </w:r>
          </w:p>
        </w:tc>
      </w:tr>
      <w:tr w14:paraId="23B7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5FED657C">
            <w:pPr>
              <w:spacing w:after="0" w:line="240" w:lineRule="auto"/>
              <w:rPr>
                <w:u w:val="single"/>
              </w:rPr>
            </w:pPr>
            <w:r>
              <w:rPr>
                <w:b/>
              </w:rPr>
              <w:t>Administrative charges</w:t>
            </w:r>
          </w:p>
        </w:tc>
      </w:tr>
      <w:tr w14:paraId="33F8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042DA242">
            <w:pPr>
              <w:pStyle w:val="17"/>
              <w:numPr>
                <w:ilvl w:val="0"/>
                <w:numId w:val="1"/>
              </w:numPr>
              <w:ind w:left="458"/>
              <w:rPr>
                <w:sz w:val="20"/>
                <w:szCs w:val="20"/>
                <w:lang w:val="en-GB"/>
              </w:rPr>
            </w:pPr>
            <w:r>
              <w:rPr>
                <w:sz w:val="20"/>
                <w:szCs w:val="20"/>
                <w:lang w:val="en-GB"/>
              </w:rPr>
              <w:t>Application fee</w:t>
            </w:r>
          </w:p>
        </w:tc>
        <w:tc>
          <w:tcPr>
            <w:tcW w:w="1417" w:type="dxa"/>
            <w:shd w:val="clear" w:color="auto" w:fill="FFFFFF" w:themeFill="background1"/>
          </w:tcPr>
          <w:p w14:paraId="2ED511BE">
            <w:pPr>
              <w:spacing w:after="0" w:line="240" w:lineRule="auto"/>
              <w:jc w:val="center"/>
              <w:rPr>
                <w:sz w:val="16"/>
                <w:szCs w:val="16"/>
                <w:u w:val="single"/>
              </w:rPr>
            </w:pPr>
            <w:r>
              <w:rPr>
                <w:sz w:val="16"/>
                <w:szCs w:val="16"/>
                <w:u w:val="single"/>
              </w:rPr>
              <w:t xml:space="preserve">Flat </w:t>
            </w:r>
          </w:p>
          <w:p w14:paraId="61EA3E4F">
            <w:pPr>
              <w:spacing w:after="0" w:line="240" w:lineRule="auto"/>
              <w:jc w:val="center"/>
              <w:rPr>
                <w:sz w:val="16"/>
                <w:szCs w:val="16"/>
                <w:u w:val="single"/>
              </w:rPr>
            </w:pPr>
            <w:r>
              <w:rPr>
                <w:sz w:val="16"/>
                <w:szCs w:val="16"/>
                <w:u w:val="single"/>
              </w:rPr>
              <w:t>Hourly</w:t>
            </w:r>
          </w:p>
          <w:p w14:paraId="1B62C2EF">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70F1B455">
            <w:pPr>
              <w:spacing w:after="0" w:line="240" w:lineRule="auto"/>
              <w:jc w:val="center"/>
              <w:rPr>
                <w:u w:val="single"/>
              </w:rPr>
            </w:pPr>
          </w:p>
        </w:tc>
        <w:tc>
          <w:tcPr>
            <w:tcW w:w="3009" w:type="dxa"/>
            <w:shd w:val="clear" w:color="auto" w:fill="FFFFFF" w:themeFill="background1"/>
          </w:tcPr>
          <w:p w14:paraId="6362ED4D">
            <w:pPr>
              <w:spacing w:after="0" w:line="240" w:lineRule="auto"/>
              <w:jc w:val="center"/>
              <w:rPr>
                <w:u w:val="single"/>
              </w:rPr>
            </w:pPr>
          </w:p>
        </w:tc>
        <w:tc>
          <w:tcPr>
            <w:tcW w:w="1669" w:type="dxa"/>
            <w:shd w:val="clear" w:color="auto" w:fill="FFFFFF" w:themeFill="background1"/>
          </w:tcPr>
          <w:p w14:paraId="6E689D7F">
            <w:pPr>
              <w:spacing w:after="0" w:line="240" w:lineRule="auto"/>
              <w:jc w:val="center"/>
              <w:rPr>
                <w:u w:val="single"/>
              </w:rPr>
            </w:pPr>
          </w:p>
        </w:tc>
      </w:tr>
      <w:tr w14:paraId="677C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67A1A290">
            <w:pPr>
              <w:pStyle w:val="17"/>
              <w:numPr>
                <w:ilvl w:val="0"/>
                <w:numId w:val="1"/>
              </w:numPr>
              <w:ind w:left="458"/>
              <w:rPr>
                <w:sz w:val="20"/>
                <w:szCs w:val="20"/>
                <w:lang w:val="en-GB"/>
              </w:rPr>
            </w:pPr>
            <w:r>
              <w:rPr>
                <w:sz w:val="20"/>
                <w:szCs w:val="20"/>
                <w:lang w:val="en-GB"/>
              </w:rPr>
              <w:t xml:space="preserve">Administrative fee related to changes </w:t>
            </w:r>
          </w:p>
        </w:tc>
        <w:tc>
          <w:tcPr>
            <w:tcW w:w="1417" w:type="dxa"/>
          </w:tcPr>
          <w:p w14:paraId="69EC1715">
            <w:pPr>
              <w:spacing w:after="0" w:line="240" w:lineRule="auto"/>
              <w:jc w:val="center"/>
              <w:rPr>
                <w:sz w:val="16"/>
                <w:szCs w:val="16"/>
                <w:u w:val="single"/>
              </w:rPr>
            </w:pPr>
            <w:r>
              <w:rPr>
                <w:sz w:val="16"/>
                <w:szCs w:val="16"/>
                <w:u w:val="single"/>
              </w:rPr>
              <w:t xml:space="preserve">Flat </w:t>
            </w:r>
          </w:p>
          <w:p w14:paraId="1B64255C">
            <w:pPr>
              <w:spacing w:after="0" w:line="240" w:lineRule="auto"/>
              <w:jc w:val="center"/>
              <w:rPr>
                <w:sz w:val="16"/>
                <w:szCs w:val="16"/>
                <w:u w:val="single"/>
              </w:rPr>
            </w:pPr>
            <w:r>
              <w:rPr>
                <w:sz w:val="16"/>
                <w:szCs w:val="16"/>
                <w:u w:val="single"/>
              </w:rPr>
              <w:t>Hourly</w:t>
            </w:r>
          </w:p>
          <w:p w14:paraId="0CF83ECD">
            <w:pPr>
              <w:spacing w:after="0" w:line="240" w:lineRule="auto"/>
              <w:jc w:val="center"/>
              <w:rPr>
                <w:sz w:val="16"/>
                <w:szCs w:val="16"/>
                <w:u w:val="single"/>
              </w:rPr>
            </w:pPr>
            <w:r>
              <w:rPr>
                <w:sz w:val="16"/>
                <w:szCs w:val="16"/>
                <w:u w:val="single"/>
              </w:rPr>
              <w:t>Daily</w:t>
            </w:r>
          </w:p>
        </w:tc>
        <w:tc>
          <w:tcPr>
            <w:tcW w:w="1134" w:type="dxa"/>
          </w:tcPr>
          <w:p w14:paraId="1299F412">
            <w:pPr>
              <w:spacing w:after="0" w:line="240" w:lineRule="auto"/>
              <w:jc w:val="center"/>
              <w:rPr>
                <w:u w:val="single"/>
              </w:rPr>
            </w:pPr>
          </w:p>
        </w:tc>
        <w:tc>
          <w:tcPr>
            <w:tcW w:w="3009" w:type="dxa"/>
            <w:shd w:val="clear" w:color="auto" w:fill="FFFFFF" w:themeFill="background1"/>
          </w:tcPr>
          <w:p w14:paraId="5CB00665">
            <w:pPr>
              <w:spacing w:after="0" w:line="240" w:lineRule="auto"/>
              <w:jc w:val="center"/>
              <w:rPr>
                <w:u w:val="single"/>
              </w:rPr>
            </w:pPr>
          </w:p>
        </w:tc>
        <w:tc>
          <w:tcPr>
            <w:tcW w:w="1669" w:type="dxa"/>
            <w:shd w:val="clear" w:color="auto" w:fill="FFFFFF" w:themeFill="background1"/>
          </w:tcPr>
          <w:p w14:paraId="56BEF48D">
            <w:pPr>
              <w:spacing w:after="0" w:line="240" w:lineRule="auto"/>
              <w:jc w:val="center"/>
              <w:rPr>
                <w:u w:val="single"/>
              </w:rPr>
            </w:pPr>
          </w:p>
        </w:tc>
      </w:tr>
      <w:tr w14:paraId="55D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DC6B5E7">
            <w:pPr>
              <w:pStyle w:val="17"/>
              <w:numPr>
                <w:ilvl w:val="0"/>
                <w:numId w:val="1"/>
              </w:numPr>
              <w:ind w:left="458"/>
              <w:rPr>
                <w:sz w:val="20"/>
                <w:szCs w:val="20"/>
                <w:lang w:val="en-GB"/>
              </w:rPr>
            </w:pPr>
            <w:r>
              <w:rPr>
                <w:sz w:val="20"/>
                <w:szCs w:val="20"/>
                <w:lang w:val="en-GB"/>
              </w:rPr>
              <w:t>Annual certificate maintenance fee (please give details of activities covered)</w:t>
            </w:r>
          </w:p>
        </w:tc>
        <w:tc>
          <w:tcPr>
            <w:tcW w:w="1417" w:type="dxa"/>
          </w:tcPr>
          <w:p w14:paraId="79AB307F">
            <w:pPr>
              <w:spacing w:after="0" w:line="240" w:lineRule="auto"/>
              <w:jc w:val="center"/>
              <w:rPr>
                <w:sz w:val="16"/>
                <w:szCs w:val="16"/>
                <w:u w:val="single"/>
              </w:rPr>
            </w:pPr>
            <w:r>
              <w:rPr>
                <w:sz w:val="16"/>
                <w:szCs w:val="16"/>
                <w:u w:val="single"/>
              </w:rPr>
              <w:t xml:space="preserve">Flat </w:t>
            </w:r>
          </w:p>
          <w:p w14:paraId="567DCBB3">
            <w:pPr>
              <w:spacing w:after="0" w:line="240" w:lineRule="auto"/>
              <w:jc w:val="center"/>
              <w:rPr>
                <w:sz w:val="16"/>
                <w:szCs w:val="16"/>
                <w:u w:val="single"/>
              </w:rPr>
            </w:pPr>
            <w:r>
              <w:rPr>
                <w:sz w:val="16"/>
                <w:szCs w:val="16"/>
                <w:u w:val="single"/>
              </w:rPr>
              <w:t>Hourly</w:t>
            </w:r>
          </w:p>
          <w:p w14:paraId="3400A1C9">
            <w:pPr>
              <w:spacing w:after="0" w:line="240" w:lineRule="auto"/>
              <w:jc w:val="center"/>
              <w:rPr>
                <w:sz w:val="16"/>
                <w:szCs w:val="16"/>
                <w:u w:val="single"/>
              </w:rPr>
            </w:pPr>
            <w:r>
              <w:rPr>
                <w:sz w:val="16"/>
                <w:szCs w:val="16"/>
                <w:u w:val="single"/>
              </w:rPr>
              <w:t>Daily</w:t>
            </w:r>
          </w:p>
        </w:tc>
        <w:tc>
          <w:tcPr>
            <w:tcW w:w="1134" w:type="dxa"/>
          </w:tcPr>
          <w:p w14:paraId="0E1B5D33">
            <w:pPr>
              <w:spacing w:after="0" w:line="240" w:lineRule="auto"/>
              <w:jc w:val="center"/>
              <w:rPr>
                <w:u w:val="single"/>
              </w:rPr>
            </w:pPr>
          </w:p>
        </w:tc>
        <w:tc>
          <w:tcPr>
            <w:tcW w:w="3009" w:type="dxa"/>
          </w:tcPr>
          <w:p w14:paraId="03414F06">
            <w:pPr>
              <w:spacing w:after="0" w:line="240" w:lineRule="auto"/>
              <w:jc w:val="center"/>
              <w:rPr>
                <w:u w:val="single"/>
              </w:rPr>
            </w:pPr>
          </w:p>
        </w:tc>
        <w:tc>
          <w:tcPr>
            <w:tcW w:w="1669" w:type="dxa"/>
          </w:tcPr>
          <w:p w14:paraId="6F1BB690">
            <w:pPr>
              <w:spacing w:after="0" w:line="240" w:lineRule="auto"/>
              <w:jc w:val="center"/>
              <w:rPr>
                <w:u w:val="single"/>
              </w:rPr>
            </w:pPr>
          </w:p>
        </w:tc>
      </w:tr>
      <w:tr w14:paraId="6C72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AD932F7">
            <w:pPr>
              <w:pStyle w:val="17"/>
              <w:numPr>
                <w:ilvl w:val="0"/>
                <w:numId w:val="1"/>
              </w:numPr>
              <w:ind w:left="458"/>
              <w:rPr>
                <w:sz w:val="20"/>
                <w:szCs w:val="20"/>
                <w:lang w:val="en-GB"/>
              </w:rPr>
            </w:pPr>
            <w:r>
              <w:rPr>
                <w:sz w:val="20"/>
                <w:szCs w:val="20"/>
                <w:lang w:val="en-GB"/>
              </w:rPr>
              <w:t>Other (specify)</w:t>
            </w:r>
          </w:p>
        </w:tc>
        <w:tc>
          <w:tcPr>
            <w:tcW w:w="1417" w:type="dxa"/>
          </w:tcPr>
          <w:p w14:paraId="226F342E">
            <w:pPr>
              <w:spacing w:after="0" w:line="240" w:lineRule="auto"/>
              <w:jc w:val="center"/>
              <w:rPr>
                <w:sz w:val="16"/>
                <w:szCs w:val="16"/>
                <w:u w:val="single"/>
              </w:rPr>
            </w:pPr>
            <w:r>
              <w:rPr>
                <w:sz w:val="16"/>
                <w:szCs w:val="16"/>
                <w:u w:val="single"/>
              </w:rPr>
              <w:t xml:space="preserve">Flat </w:t>
            </w:r>
          </w:p>
          <w:p w14:paraId="51D1706C">
            <w:pPr>
              <w:spacing w:after="0" w:line="240" w:lineRule="auto"/>
              <w:jc w:val="center"/>
              <w:rPr>
                <w:sz w:val="16"/>
                <w:szCs w:val="16"/>
                <w:u w:val="single"/>
              </w:rPr>
            </w:pPr>
            <w:r>
              <w:rPr>
                <w:sz w:val="16"/>
                <w:szCs w:val="16"/>
                <w:u w:val="single"/>
              </w:rPr>
              <w:t>Hourly</w:t>
            </w:r>
          </w:p>
          <w:p w14:paraId="66B90CE7">
            <w:pPr>
              <w:spacing w:after="0" w:line="240" w:lineRule="auto"/>
              <w:jc w:val="center"/>
              <w:rPr>
                <w:sz w:val="16"/>
                <w:szCs w:val="16"/>
                <w:u w:val="single"/>
              </w:rPr>
            </w:pPr>
            <w:r>
              <w:rPr>
                <w:sz w:val="16"/>
                <w:szCs w:val="16"/>
                <w:u w:val="single"/>
              </w:rPr>
              <w:t>Daily</w:t>
            </w:r>
          </w:p>
        </w:tc>
        <w:tc>
          <w:tcPr>
            <w:tcW w:w="1134" w:type="dxa"/>
          </w:tcPr>
          <w:p w14:paraId="11705214">
            <w:pPr>
              <w:spacing w:after="0" w:line="240" w:lineRule="auto"/>
              <w:jc w:val="center"/>
              <w:rPr>
                <w:u w:val="single"/>
              </w:rPr>
            </w:pPr>
          </w:p>
        </w:tc>
        <w:tc>
          <w:tcPr>
            <w:tcW w:w="3009" w:type="dxa"/>
          </w:tcPr>
          <w:p w14:paraId="0BDCDC95">
            <w:pPr>
              <w:spacing w:after="0" w:line="240" w:lineRule="auto"/>
              <w:jc w:val="center"/>
              <w:rPr>
                <w:u w:val="single"/>
              </w:rPr>
            </w:pPr>
          </w:p>
        </w:tc>
        <w:tc>
          <w:tcPr>
            <w:tcW w:w="1669" w:type="dxa"/>
          </w:tcPr>
          <w:p w14:paraId="3473F630">
            <w:pPr>
              <w:spacing w:after="0" w:line="240" w:lineRule="auto"/>
              <w:jc w:val="center"/>
              <w:rPr>
                <w:u w:val="single"/>
              </w:rPr>
            </w:pPr>
          </w:p>
        </w:tc>
      </w:tr>
      <w:tr w14:paraId="5A60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548810EB">
            <w:pPr>
              <w:spacing w:after="0" w:line="240" w:lineRule="auto"/>
              <w:rPr>
                <w:sz w:val="20"/>
                <w:szCs w:val="20"/>
              </w:rPr>
            </w:pPr>
            <w:r>
              <w:rPr>
                <w:sz w:val="20"/>
                <w:szCs w:val="20"/>
              </w:rPr>
              <w:t>Travel timecosts (excluding expenses such as hotel costs)</w:t>
            </w:r>
          </w:p>
        </w:tc>
        <w:tc>
          <w:tcPr>
            <w:tcW w:w="1417" w:type="dxa"/>
            <w:tcBorders>
              <w:bottom w:val="single" w:color="auto" w:sz="4" w:space="0"/>
            </w:tcBorders>
            <w:shd w:val="clear" w:color="auto" w:fill="FFFFFF" w:themeFill="background1"/>
          </w:tcPr>
          <w:p w14:paraId="57635D41">
            <w:pPr>
              <w:spacing w:after="0" w:line="240" w:lineRule="auto"/>
              <w:jc w:val="center"/>
              <w:rPr>
                <w:sz w:val="16"/>
                <w:szCs w:val="16"/>
                <w:u w:val="single"/>
              </w:rPr>
            </w:pPr>
            <w:r>
              <w:rPr>
                <w:sz w:val="16"/>
                <w:szCs w:val="16"/>
                <w:u w:val="single"/>
              </w:rPr>
              <w:t xml:space="preserve">Flat </w:t>
            </w:r>
          </w:p>
          <w:p w14:paraId="155A7EC8">
            <w:pPr>
              <w:spacing w:after="0" w:line="240" w:lineRule="auto"/>
              <w:jc w:val="center"/>
              <w:rPr>
                <w:sz w:val="16"/>
                <w:szCs w:val="16"/>
                <w:u w:val="single"/>
              </w:rPr>
            </w:pPr>
            <w:r>
              <w:rPr>
                <w:sz w:val="16"/>
                <w:szCs w:val="16"/>
                <w:u w:val="single"/>
              </w:rPr>
              <w:t>Hourly</w:t>
            </w:r>
          </w:p>
          <w:p w14:paraId="687A1676">
            <w:pPr>
              <w:spacing w:after="0" w:line="240" w:lineRule="auto"/>
              <w:jc w:val="center"/>
              <w:rPr>
                <w:sz w:val="16"/>
                <w:szCs w:val="16"/>
                <w:u w:val="single"/>
              </w:rPr>
            </w:pPr>
            <w:r>
              <w:rPr>
                <w:sz w:val="16"/>
                <w:szCs w:val="16"/>
                <w:u w:val="single"/>
              </w:rPr>
              <w:t>Daily</w:t>
            </w:r>
          </w:p>
        </w:tc>
        <w:tc>
          <w:tcPr>
            <w:tcW w:w="1134" w:type="dxa"/>
            <w:tcBorders>
              <w:bottom w:val="single" w:color="auto" w:sz="4" w:space="0"/>
            </w:tcBorders>
            <w:shd w:val="clear" w:color="auto" w:fill="FFFFFF" w:themeFill="background1"/>
          </w:tcPr>
          <w:p w14:paraId="68DB64D9">
            <w:pPr>
              <w:spacing w:after="0" w:line="240" w:lineRule="auto"/>
              <w:jc w:val="center"/>
              <w:rPr>
                <w:u w:val="single"/>
              </w:rPr>
            </w:pPr>
          </w:p>
        </w:tc>
        <w:tc>
          <w:tcPr>
            <w:tcW w:w="3009" w:type="dxa"/>
            <w:tcBorders>
              <w:bottom w:val="single" w:color="auto" w:sz="4" w:space="0"/>
            </w:tcBorders>
            <w:shd w:val="clear" w:color="auto" w:fill="FFFFFF" w:themeFill="background1"/>
          </w:tcPr>
          <w:p w14:paraId="7114E86C">
            <w:pPr>
              <w:spacing w:after="0" w:line="240" w:lineRule="auto"/>
              <w:jc w:val="center"/>
              <w:rPr>
                <w:u w:val="single"/>
              </w:rPr>
            </w:pPr>
          </w:p>
        </w:tc>
        <w:tc>
          <w:tcPr>
            <w:tcW w:w="1669" w:type="dxa"/>
            <w:tcBorders>
              <w:bottom w:val="single" w:color="auto" w:sz="4" w:space="0"/>
            </w:tcBorders>
            <w:shd w:val="clear" w:color="auto" w:fill="FFFFFF" w:themeFill="background1"/>
          </w:tcPr>
          <w:p w14:paraId="235EFDDD">
            <w:pPr>
              <w:spacing w:after="0" w:line="240" w:lineRule="auto"/>
              <w:jc w:val="center"/>
              <w:rPr>
                <w:u w:val="single"/>
              </w:rPr>
            </w:pPr>
          </w:p>
        </w:tc>
      </w:tr>
      <w:tr w14:paraId="58FE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C25A322">
            <w:pPr>
              <w:spacing w:after="0" w:line="240" w:lineRule="auto"/>
              <w:rPr>
                <w:sz w:val="20"/>
                <w:szCs w:val="20"/>
              </w:rPr>
            </w:pPr>
            <w:r>
              <w:rPr>
                <w:sz w:val="20"/>
                <w:szCs w:val="20"/>
              </w:rPr>
              <w:t>Administrative costs related to handling of external services (laboratories, consultation or travel expenses)</w:t>
            </w:r>
          </w:p>
        </w:tc>
        <w:tc>
          <w:tcPr>
            <w:tcW w:w="1417" w:type="dxa"/>
            <w:tcBorders>
              <w:bottom w:val="single" w:color="auto" w:sz="4" w:space="0"/>
            </w:tcBorders>
            <w:shd w:val="clear" w:color="auto" w:fill="FFFFFF" w:themeFill="background1"/>
          </w:tcPr>
          <w:p w14:paraId="12BECD1B">
            <w:pPr>
              <w:spacing w:after="0" w:line="240" w:lineRule="auto"/>
              <w:jc w:val="center"/>
              <w:rPr>
                <w:sz w:val="16"/>
                <w:szCs w:val="16"/>
                <w:u w:val="single"/>
              </w:rPr>
            </w:pPr>
            <w:r>
              <w:rPr>
                <w:sz w:val="16"/>
                <w:szCs w:val="16"/>
                <w:u w:val="single"/>
              </w:rPr>
              <w:t xml:space="preserve">Flat </w:t>
            </w:r>
          </w:p>
          <w:p w14:paraId="2CCF0D79">
            <w:pPr>
              <w:spacing w:after="0" w:line="240" w:lineRule="auto"/>
              <w:jc w:val="center"/>
              <w:rPr>
                <w:sz w:val="16"/>
                <w:szCs w:val="16"/>
                <w:u w:val="single"/>
              </w:rPr>
            </w:pPr>
            <w:r>
              <w:rPr>
                <w:sz w:val="16"/>
                <w:szCs w:val="16"/>
                <w:u w:val="single"/>
              </w:rPr>
              <w:t>Hourly</w:t>
            </w:r>
          </w:p>
          <w:p w14:paraId="1F955F70">
            <w:pPr>
              <w:spacing w:after="0" w:line="240" w:lineRule="auto"/>
              <w:jc w:val="center"/>
              <w:rPr>
                <w:u w:val="single"/>
              </w:rPr>
            </w:pPr>
            <w:r>
              <w:rPr>
                <w:sz w:val="16"/>
                <w:szCs w:val="16"/>
                <w:u w:val="single"/>
              </w:rPr>
              <w:t>Daily</w:t>
            </w:r>
          </w:p>
        </w:tc>
        <w:tc>
          <w:tcPr>
            <w:tcW w:w="1134" w:type="dxa"/>
            <w:tcBorders>
              <w:bottom w:val="single" w:color="auto" w:sz="4" w:space="0"/>
            </w:tcBorders>
            <w:shd w:val="clear" w:color="auto" w:fill="FFFFFF" w:themeFill="background1"/>
          </w:tcPr>
          <w:p w14:paraId="00539DA1">
            <w:pPr>
              <w:spacing w:after="0" w:line="240" w:lineRule="auto"/>
              <w:jc w:val="center"/>
              <w:rPr>
                <w:u w:val="single"/>
              </w:rPr>
            </w:pPr>
          </w:p>
        </w:tc>
        <w:tc>
          <w:tcPr>
            <w:tcW w:w="3009" w:type="dxa"/>
            <w:tcBorders>
              <w:bottom w:val="single" w:color="auto" w:sz="4" w:space="0"/>
            </w:tcBorders>
            <w:shd w:val="clear" w:color="auto" w:fill="FFFFFF" w:themeFill="background1"/>
          </w:tcPr>
          <w:p w14:paraId="2BC14C44">
            <w:pPr>
              <w:spacing w:after="0" w:line="240" w:lineRule="auto"/>
              <w:jc w:val="center"/>
              <w:rPr>
                <w:u w:val="single"/>
              </w:rPr>
            </w:pPr>
          </w:p>
        </w:tc>
        <w:tc>
          <w:tcPr>
            <w:tcW w:w="1669" w:type="dxa"/>
            <w:tcBorders>
              <w:bottom w:val="single" w:color="auto" w:sz="4" w:space="0"/>
            </w:tcBorders>
            <w:shd w:val="clear" w:color="auto" w:fill="FFFFFF" w:themeFill="background1"/>
          </w:tcPr>
          <w:p w14:paraId="72FB55AF">
            <w:pPr>
              <w:spacing w:after="0" w:line="240" w:lineRule="auto"/>
              <w:jc w:val="center"/>
              <w:rPr>
                <w:u w:val="single"/>
              </w:rPr>
            </w:pPr>
          </w:p>
        </w:tc>
      </w:tr>
      <w:tr w14:paraId="34EE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2E69870F">
            <w:pPr>
              <w:spacing w:after="0" w:line="240" w:lineRule="auto"/>
              <w:rPr>
                <w:u w:val="single"/>
              </w:rPr>
            </w:pPr>
            <w:r>
              <w:rPr>
                <w:b/>
              </w:rPr>
              <w:t>Auditing</w:t>
            </w:r>
          </w:p>
        </w:tc>
      </w:tr>
      <w:tr w14:paraId="6399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1C5DFD8F">
            <w:pPr>
              <w:pStyle w:val="17"/>
              <w:numPr>
                <w:ilvl w:val="0"/>
                <w:numId w:val="2"/>
              </w:numPr>
              <w:ind w:left="458"/>
              <w:rPr>
                <w:sz w:val="20"/>
                <w:szCs w:val="20"/>
                <w:lang w:val="fr-BE"/>
              </w:rPr>
            </w:pPr>
            <w:r>
              <w:rPr>
                <w:sz w:val="20"/>
                <w:szCs w:val="20"/>
                <w:lang w:val="fr-BE"/>
              </w:rPr>
              <w:t xml:space="preserve">Audit (Certification; Recertification; Surveillance; Subcontractor/Supplier) </w:t>
            </w:r>
          </w:p>
        </w:tc>
        <w:tc>
          <w:tcPr>
            <w:tcW w:w="1417" w:type="dxa"/>
            <w:shd w:val="clear" w:color="auto" w:fill="FFFFFF" w:themeFill="background1"/>
          </w:tcPr>
          <w:p w14:paraId="7ABA614E">
            <w:pPr>
              <w:spacing w:after="0" w:line="240" w:lineRule="auto"/>
              <w:jc w:val="center"/>
              <w:rPr>
                <w:sz w:val="16"/>
                <w:szCs w:val="16"/>
                <w:u w:val="single"/>
              </w:rPr>
            </w:pPr>
            <w:r>
              <w:rPr>
                <w:sz w:val="16"/>
                <w:szCs w:val="16"/>
                <w:u w:val="single"/>
              </w:rPr>
              <w:t xml:space="preserve">Flat </w:t>
            </w:r>
          </w:p>
          <w:p w14:paraId="3FE803BB">
            <w:pPr>
              <w:spacing w:after="0" w:line="240" w:lineRule="auto"/>
              <w:jc w:val="center"/>
              <w:rPr>
                <w:sz w:val="16"/>
                <w:szCs w:val="16"/>
                <w:u w:val="single"/>
              </w:rPr>
            </w:pPr>
            <w:r>
              <w:rPr>
                <w:sz w:val="16"/>
                <w:szCs w:val="16"/>
                <w:u w:val="single"/>
              </w:rPr>
              <w:t>Hourly</w:t>
            </w:r>
          </w:p>
          <w:p w14:paraId="6A22CD3D">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0D20261A">
            <w:pPr>
              <w:spacing w:after="0" w:line="240" w:lineRule="auto"/>
              <w:jc w:val="center"/>
              <w:rPr>
                <w:u w:val="single"/>
              </w:rPr>
            </w:pPr>
          </w:p>
        </w:tc>
        <w:tc>
          <w:tcPr>
            <w:tcW w:w="3009" w:type="dxa"/>
            <w:shd w:val="clear" w:color="auto" w:fill="FFFFFF" w:themeFill="background1"/>
          </w:tcPr>
          <w:p w14:paraId="6B98FD19">
            <w:pPr>
              <w:spacing w:after="0" w:line="240" w:lineRule="auto"/>
              <w:jc w:val="center"/>
              <w:rPr>
                <w:u w:val="single"/>
              </w:rPr>
            </w:pPr>
          </w:p>
        </w:tc>
        <w:tc>
          <w:tcPr>
            <w:tcW w:w="1669" w:type="dxa"/>
            <w:shd w:val="clear" w:color="auto" w:fill="FFFFFF" w:themeFill="background1"/>
          </w:tcPr>
          <w:p w14:paraId="7B99E295">
            <w:pPr>
              <w:spacing w:after="0" w:line="240" w:lineRule="auto"/>
              <w:jc w:val="center"/>
              <w:rPr>
                <w:u w:val="single"/>
              </w:rPr>
            </w:pPr>
          </w:p>
        </w:tc>
      </w:tr>
      <w:tr w14:paraId="28FB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46FC839D">
            <w:pPr>
              <w:pStyle w:val="17"/>
              <w:numPr>
                <w:ilvl w:val="0"/>
                <w:numId w:val="2"/>
              </w:numPr>
              <w:ind w:left="458"/>
              <w:rPr>
                <w:sz w:val="20"/>
                <w:szCs w:val="20"/>
                <w:lang w:val="en-GB"/>
              </w:rPr>
            </w:pPr>
            <w:r>
              <w:rPr>
                <w:sz w:val="20"/>
                <w:szCs w:val="20"/>
                <w:lang w:val="en-GB"/>
              </w:rPr>
              <w:t>Unannounced Audit</w:t>
            </w:r>
          </w:p>
        </w:tc>
        <w:tc>
          <w:tcPr>
            <w:tcW w:w="1417" w:type="dxa"/>
            <w:shd w:val="clear" w:color="auto" w:fill="FFFFFF" w:themeFill="background1"/>
          </w:tcPr>
          <w:p w14:paraId="7CC1C98D">
            <w:pPr>
              <w:spacing w:after="0" w:line="240" w:lineRule="auto"/>
              <w:jc w:val="center"/>
              <w:rPr>
                <w:sz w:val="16"/>
                <w:szCs w:val="16"/>
                <w:u w:val="single"/>
              </w:rPr>
            </w:pPr>
            <w:r>
              <w:rPr>
                <w:sz w:val="16"/>
                <w:szCs w:val="16"/>
                <w:u w:val="single"/>
              </w:rPr>
              <w:t xml:space="preserve">Flat </w:t>
            </w:r>
          </w:p>
          <w:p w14:paraId="081678BA">
            <w:pPr>
              <w:spacing w:after="0" w:line="240" w:lineRule="auto"/>
              <w:jc w:val="center"/>
              <w:rPr>
                <w:sz w:val="16"/>
                <w:szCs w:val="16"/>
                <w:u w:val="single"/>
              </w:rPr>
            </w:pPr>
            <w:r>
              <w:rPr>
                <w:sz w:val="16"/>
                <w:szCs w:val="16"/>
                <w:u w:val="single"/>
              </w:rPr>
              <w:t>Hourly</w:t>
            </w:r>
          </w:p>
          <w:p w14:paraId="7916DAB1">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5B99DD78">
            <w:pPr>
              <w:spacing w:after="0" w:line="240" w:lineRule="auto"/>
              <w:jc w:val="center"/>
              <w:rPr>
                <w:u w:val="single"/>
              </w:rPr>
            </w:pPr>
          </w:p>
        </w:tc>
        <w:tc>
          <w:tcPr>
            <w:tcW w:w="3009" w:type="dxa"/>
            <w:shd w:val="clear" w:color="auto" w:fill="FFFFFF" w:themeFill="background1"/>
          </w:tcPr>
          <w:p w14:paraId="4D2E7DB8">
            <w:pPr>
              <w:spacing w:after="0" w:line="240" w:lineRule="auto"/>
              <w:jc w:val="center"/>
              <w:rPr>
                <w:u w:val="single"/>
              </w:rPr>
            </w:pPr>
          </w:p>
        </w:tc>
        <w:tc>
          <w:tcPr>
            <w:tcW w:w="1669" w:type="dxa"/>
            <w:shd w:val="clear" w:color="auto" w:fill="FFFFFF" w:themeFill="background1"/>
          </w:tcPr>
          <w:p w14:paraId="5C0D173D">
            <w:pPr>
              <w:spacing w:after="0" w:line="240" w:lineRule="auto"/>
              <w:jc w:val="center"/>
              <w:rPr>
                <w:u w:val="single"/>
              </w:rPr>
            </w:pPr>
          </w:p>
        </w:tc>
      </w:tr>
      <w:tr w14:paraId="4D94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5A554B62">
            <w:pPr>
              <w:spacing w:after="0" w:line="240" w:lineRule="auto"/>
              <w:rPr>
                <w:u w:val="single"/>
              </w:rPr>
            </w:pPr>
            <w:r>
              <w:rPr>
                <w:b/>
              </w:rPr>
              <w:t>Product testing</w:t>
            </w:r>
          </w:p>
        </w:tc>
      </w:tr>
      <w:tr w14:paraId="340B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bottom w:val="single" w:color="auto" w:sz="4" w:space="0"/>
            </w:tcBorders>
            <w:shd w:val="clear" w:color="auto" w:fill="FFFFFF" w:themeFill="background1"/>
          </w:tcPr>
          <w:p w14:paraId="1CB36AF5">
            <w:pPr>
              <w:pStyle w:val="17"/>
              <w:numPr>
                <w:ilvl w:val="0"/>
                <w:numId w:val="2"/>
              </w:numPr>
              <w:ind w:left="458"/>
              <w:rPr>
                <w:lang w:val="en-GB"/>
              </w:rPr>
            </w:pPr>
            <w:r>
              <w:rPr>
                <w:sz w:val="20"/>
                <w:szCs w:val="20"/>
                <w:lang w:val="en-GB"/>
              </w:rPr>
              <w:t>Laboratory testing for verification of performance (including preparation and reporting but excluding expenditures incurred for external tests</w:t>
            </w:r>
            <w:r>
              <w:rPr>
                <w:lang w:val="en-GB"/>
              </w:rPr>
              <w:t xml:space="preserve">) </w:t>
            </w:r>
          </w:p>
        </w:tc>
        <w:tc>
          <w:tcPr>
            <w:tcW w:w="1417" w:type="dxa"/>
            <w:tcBorders>
              <w:bottom w:val="single" w:color="auto" w:sz="4" w:space="0"/>
            </w:tcBorders>
            <w:shd w:val="clear" w:color="auto" w:fill="FFFFFF" w:themeFill="background1"/>
          </w:tcPr>
          <w:p w14:paraId="7E463218">
            <w:pPr>
              <w:spacing w:after="0" w:line="240" w:lineRule="auto"/>
              <w:jc w:val="center"/>
              <w:rPr>
                <w:sz w:val="16"/>
                <w:szCs w:val="16"/>
                <w:u w:val="single"/>
              </w:rPr>
            </w:pPr>
            <w:r>
              <w:rPr>
                <w:sz w:val="16"/>
                <w:szCs w:val="16"/>
                <w:u w:val="single"/>
              </w:rPr>
              <w:t xml:space="preserve">Flat </w:t>
            </w:r>
          </w:p>
          <w:p w14:paraId="5FD50393">
            <w:pPr>
              <w:spacing w:after="0" w:line="240" w:lineRule="auto"/>
              <w:jc w:val="center"/>
              <w:rPr>
                <w:sz w:val="16"/>
                <w:szCs w:val="16"/>
                <w:u w:val="single"/>
              </w:rPr>
            </w:pPr>
            <w:r>
              <w:rPr>
                <w:sz w:val="16"/>
                <w:szCs w:val="16"/>
                <w:u w:val="single"/>
              </w:rPr>
              <w:t>Hourly</w:t>
            </w:r>
          </w:p>
          <w:p w14:paraId="572F5E09">
            <w:pPr>
              <w:spacing w:after="0" w:line="240" w:lineRule="auto"/>
              <w:jc w:val="center"/>
              <w:rPr>
                <w:u w:val="single"/>
              </w:rPr>
            </w:pPr>
            <w:r>
              <w:rPr>
                <w:sz w:val="16"/>
                <w:szCs w:val="16"/>
                <w:u w:val="single"/>
              </w:rPr>
              <w:t>Daily</w:t>
            </w:r>
          </w:p>
        </w:tc>
        <w:tc>
          <w:tcPr>
            <w:tcW w:w="1134" w:type="dxa"/>
            <w:tcBorders>
              <w:bottom w:val="single" w:color="auto" w:sz="4" w:space="0"/>
            </w:tcBorders>
            <w:shd w:val="clear" w:color="auto" w:fill="FFFFFF" w:themeFill="background1"/>
          </w:tcPr>
          <w:p w14:paraId="1661843C">
            <w:pPr>
              <w:spacing w:after="0" w:line="240" w:lineRule="auto"/>
              <w:jc w:val="center"/>
              <w:rPr>
                <w:u w:val="single"/>
              </w:rPr>
            </w:pPr>
          </w:p>
        </w:tc>
        <w:tc>
          <w:tcPr>
            <w:tcW w:w="3009" w:type="dxa"/>
            <w:tcBorders>
              <w:bottom w:val="single" w:color="auto" w:sz="4" w:space="0"/>
            </w:tcBorders>
            <w:shd w:val="clear" w:color="auto" w:fill="FFFFFF" w:themeFill="background1"/>
          </w:tcPr>
          <w:p w14:paraId="7E51ADCC">
            <w:pPr>
              <w:spacing w:after="0" w:line="240" w:lineRule="auto"/>
              <w:jc w:val="center"/>
              <w:rPr>
                <w:u w:val="single"/>
              </w:rPr>
            </w:pPr>
          </w:p>
        </w:tc>
        <w:tc>
          <w:tcPr>
            <w:tcW w:w="1669" w:type="dxa"/>
            <w:tcBorders>
              <w:bottom w:val="single" w:color="auto" w:sz="4" w:space="0"/>
            </w:tcBorders>
            <w:shd w:val="clear" w:color="auto" w:fill="FFFFFF" w:themeFill="background1"/>
          </w:tcPr>
          <w:p w14:paraId="16C33D84">
            <w:pPr>
              <w:spacing w:after="0" w:line="240" w:lineRule="auto"/>
              <w:jc w:val="center"/>
              <w:rPr>
                <w:u w:val="single"/>
              </w:rPr>
            </w:pPr>
          </w:p>
        </w:tc>
      </w:tr>
      <w:tr w14:paraId="145E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bottom w:val="single" w:color="auto" w:sz="4" w:space="0"/>
            </w:tcBorders>
            <w:shd w:val="clear" w:color="auto" w:fill="FFFFFF" w:themeFill="background1"/>
          </w:tcPr>
          <w:p w14:paraId="5E71548E">
            <w:pPr>
              <w:pStyle w:val="17"/>
              <w:numPr>
                <w:ilvl w:val="0"/>
                <w:numId w:val="2"/>
              </w:numPr>
              <w:ind w:left="458"/>
              <w:rPr>
                <w:sz w:val="20"/>
                <w:szCs w:val="20"/>
                <w:lang w:val="en-GB"/>
              </w:rPr>
            </w:pPr>
            <w:r>
              <w:rPr>
                <w:sz w:val="20"/>
                <w:szCs w:val="20"/>
                <w:lang w:val="en-GB"/>
              </w:rPr>
              <w:t>Batch testing</w:t>
            </w:r>
          </w:p>
        </w:tc>
        <w:tc>
          <w:tcPr>
            <w:tcW w:w="1417" w:type="dxa"/>
            <w:tcBorders>
              <w:bottom w:val="single" w:color="auto" w:sz="4" w:space="0"/>
            </w:tcBorders>
            <w:shd w:val="clear" w:color="auto" w:fill="FFFFFF" w:themeFill="background1"/>
          </w:tcPr>
          <w:p w14:paraId="21FBD65C">
            <w:pPr>
              <w:spacing w:after="0" w:line="240" w:lineRule="auto"/>
              <w:jc w:val="center"/>
              <w:rPr>
                <w:sz w:val="16"/>
                <w:szCs w:val="16"/>
                <w:u w:val="single"/>
              </w:rPr>
            </w:pPr>
            <w:r>
              <w:rPr>
                <w:sz w:val="16"/>
                <w:szCs w:val="16"/>
                <w:u w:val="single"/>
              </w:rPr>
              <w:t xml:space="preserve">Flat </w:t>
            </w:r>
          </w:p>
          <w:p w14:paraId="48B47158">
            <w:pPr>
              <w:spacing w:after="0" w:line="240" w:lineRule="auto"/>
              <w:jc w:val="center"/>
              <w:rPr>
                <w:sz w:val="16"/>
                <w:szCs w:val="16"/>
                <w:u w:val="single"/>
              </w:rPr>
            </w:pPr>
            <w:r>
              <w:rPr>
                <w:sz w:val="16"/>
                <w:szCs w:val="16"/>
                <w:u w:val="single"/>
              </w:rPr>
              <w:t>Hourly</w:t>
            </w:r>
          </w:p>
          <w:p w14:paraId="33D0FC83">
            <w:pPr>
              <w:spacing w:after="0" w:line="240" w:lineRule="auto"/>
              <w:jc w:val="center"/>
              <w:rPr>
                <w:sz w:val="16"/>
                <w:szCs w:val="16"/>
                <w:u w:val="single"/>
              </w:rPr>
            </w:pPr>
            <w:r>
              <w:rPr>
                <w:sz w:val="16"/>
                <w:szCs w:val="16"/>
                <w:u w:val="single"/>
              </w:rPr>
              <w:t>Daily</w:t>
            </w:r>
          </w:p>
        </w:tc>
        <w:tc>
          <w:tcPr>
            <w:tcW w:w="1134" w:type="dxa"/>
            <w:tcBorders>
              <w:bottom w:val="single" w:color="auto" w:sz="4" w:space="0"/>
            </w:tcBorders>
            <w:shd w:val="clear" w:color="auto" w:fill="FFFFFF" w:themeFill="background1"/>
          </w:tcPr>
          <w:p w14:paraId="68D91E62">
            <w:pPr>
              <w:spacing w:after="0" w:line="240" w:lineRule="auto"/>
              <w:jc w:val="center"/>
              <w:rPr>
                <w:u w:val="single"/>
              </w:rPr>
            </w:pPr>
          </w:p>
        </w:tc>
        <w:tc>
          <w:tcPr>
            <w:tcW w:w="3009" w:type="dxa"/>
            <w:tcBorders>
              <w:bottom w:val="single" w:color="auto" w:sz="4" w:space="0"/>
            </w:tcBorders>
            <w:shd w:val="clear" w:color="auto" w:fill="FFFFFF" w:themeFill="background1"/>
          </w:tcPr>
          <w:p w14:paraId="1330BDA6">
            <w:pPr>
              <w:spacing w:after="0" w:line="240" w:lineRule="auto"/>
              <w:jc w:val="center"/>
              <w:rPr>
                <w:u w:val="single"/>
              </w:rPr>
            </w:pPr>
          </w:p>
        </w:tc>
        <w:tc>
          <w:tcPr>
            <w:tcW w:w="1669" w:type="dxa"/>
            <w:tcBorders>
              <w:bottom w:val="single" w:color="auto" w:sz="4" w:space="0"/>
            </w:tcBorders>
            <w:shd w:val="clear" w:color="auto" w:fill="FFFFFF" w:themeFill="background1"/>
          </w:tcPr>
          <w:p w14:paraId="27B4EE40">
            <w:pPr>
              <w:spacing w:after="0" w:line="240" w:lineRule="auto"/>
              <w:jc w:val="center"/>
              <w:rPr>
                <w:u w:val="single"/>
              </w:rPr>
            </w:pPr>
          </w:p>
        </w:tc>
      </w:tr>
      <w:tr w14:paraId="5A0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022B77D0">
            <w:pPr>
              <w:spacing w:after="0" w:line="240" w:lineRule="auto"/>
              <w:rPr>
                <w:u w:val="single"/>
              </w:rPr>
            </w:pPr>
            <w:r>
              <w:rPr>
                <w:b/>
              </w:rPr>
              <w:t>Documentation Review /Consultation</w:t>
            </w:r>
          </w:p>
        </w:tc>
      </w:tr>
      <w:tr w14:paraId="1160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44951E2A">
            <w:pPr>
              <w:pStyle w:val="17"/>
              <w:numPr>
                <w:ilvl w:val="0"/>
                <w:numId w:val="3"/>
              </w:numPr>
              <w:ind w:left="458"/>
              <w:rPr>
                <w:sz w:val="20"/>
                <w:szCs w:val="20"/>
                <w:lang w:val="en-GB"/>
              </w:rPr>
            </w:pPr>
            <w:r>
              <w:rPr>
                <w:sz w:val="20"/>
                <w:szCs w:val="20"/>
                <w:lang w:val="en-GB"/>
              </w:rPr>
              <w:t>Technical documentation assessment</w:t>
            </w:r>
            <w:r>
              <w:rPr>
                <w:rStyle w:val="9"/>
                <w:sz w:val="20"/>
                <w:szCs w:val="20"/>
                <w:lang w:val="en-GB"/>
              </w:rPr>
              <w:endnoteReference w:id="3" w:customMarkFollows="1"/>
              <w:t>4</w:t>
            </w:r>
          </w:p>
        </w:tc>
        <w:tc>
          <w:tcPr>
            <w:tcW w:w="1417" w:type="dxa"/>
            <w:shd w:val="clear" w:color="auto" w:fill="FFFFFF" w:themeFill="background1"/>
          </w:tcPr>
          <w:p w14:paraId="71E67079">
            <w:pPr>
              <w:spacing w:after="0" w:line="240" w:lineRule="auto"/>
              <w:jc w:val="center"/>
              <w:rPr>
                <w:sz w:val="16"/>
                <w:szCs w:val="16"/>
                <w:u w:val="single"/>
              </w:rPr>
            </w:pPr>
            <w:r>
              <w:rPr>
                <w:sz w:val="16"/>
                <w:szCs w:val="16"/>
                <w:u w:val="single"/>
              </w:rPr>
              <w:t xml:space="preserve">Flat </w:t>
            </w:r>
          </w:p>
          <w:p w14:paraId="1C50DA70">
            <w:pPr>
              <w:spacing w:after="0" w:line="240" w:lineRule="auto"/>
              <w:jc w:val="center"/>
              <w:rPr>
                <w:sz w:val="16"/>
                <w:szCs w:val="16"/>
                <w:u w:val="single"/>
              </w:rPr>
            </w:pPr>
            <w:r>
              <w:rPr>
                <w:sz w:val="16"/>
                <w:szCs w:val="16"/>
                <w:u w:val="single"/>
              </w:rPr>
              <w:t>Hourly</w:t>
            </w:r>
          </w:p>
          <w:p w14:paraId="7DB6EFFC">
            <w:pPr>
              <w:spacing w:after="0" w:line="240" w:lineRule="auto"/>
              <w:jc w:val="center"/>
              <w:rPr>
                <w:u w:val="single"/>
              </w:rPr>
            </w:pPr>
            <w:r>
              <w:rPr>
                <w:sz w:val="16"/>
                <w:szCs w:val="16"/>
                <w:u w:val="single"/>
              </w:rPr>
              <w:t>Daily</w:t>
            </w:r>
          </w:p>
        </w:tc>
        <w:tc>
          <w:tcPr>
            <w:tcW w:w="1134" w:type="dxa"/>
            <w:shd w:val="clear" w:color="auto" w:fill="FFFFFF" w:themeFill="background1"/>
          </w:tcPr>
          <w:p w14:paraId="408068F4">
            <w:pPr>
              <w:spacing w:after="0" w:line="240" w:lineRule="auto"/>
              <w:jc w:val="center"/>
              <w:rPr>
                <w:u w:val="single"/>
              </w:rPr>
            </w:pPr>
          </w:p>
        </w:tc>
        <w:tc>
          <w:tcPr>
            <w:tcW w:w="3009" w:type="dxa"/>
            <w:shd w:val="clear" w:color="auto" w:fill="FFFFFF" w:themeFill="background1"/>
          </w:tcPr>
          <w:p w14:paraId="01698053">
            <w:pPr>
              <w:spacing w:after="0" w:line="240" w:lineRule="auto"/>
              <w:jc w:val="center"/>
              <w:rPr>
                <w:u w:val="single"/>
              </w:rPr>
            </w:pPr>
          </w:p>
        </w:tc>
        <w:tc>
          <w:tcPr>
            <w:tcW w:w="1669" w:type="dxa"/>
            <w:shd w:val="clear" w:color="auto" w:fill="FFFFFF" w:themeFill="background1"/>
          </w:tcPr>
          <w:p w14:paraId="022CEFED">
            <w:pPr>
              <w:spacing w:after="0" w:line="240" w:lineRule="auto"/>
              <w:jc w:val="center"/>
              <w:rPr>
                <w:u w:val="single"/>
              </w:rPr>
            </w:pPr>
          </w:p>
        </w:tc>
      </w:tr>
      <w:tr w14:paraId="2E5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AC68694">
            <w:pPr>
              <w:pStyle w:val="17"/>
              <w:numPr>
                <w:ilvl w:val="0"/>
                <w:numId w:val="3"/>
              </w:numPr>
              <w:ind w:left="458"/>
              <w:rPr>
                <w:sz w:val="20"/>
                <w:szCs w:val="20"/>
                <w:lang w:val="en-GB"/>
              </w:rPr>
            </w:pPr>
            <w:r>
              <w:rPr>
                <w:sz w:val="20"/>
                <w:szCs w:val="20"/>
                <w:lang w:val="en-GB"/>
              </w:rPr>
              <w:t>Performance Evaluation Assessment Report (PEAR)</w:t>
            </w:r>
          </w:p>
        </w:tc>
        <w:tc>
          <w:tcPr>
            <w:tcW w:w="1417" w:type="dxa"/>
            <w:shd w:val="clear" w:color="auto" w:fill="FFFFFF" w:themeFill="background1"/>
          </w:tcPr>
          <w:p w14:paraId="2F99E867">
            <w:pPr>
              <w:spacing w:after="0" w:line="240" w:lineRule="auto"/>
              <w:jc w:val="center"/>
              <w:rPr>
                <w:sz w:val="16"/>
                <w:szCs w:val="16"/>
                <w:u w:val="single"/>
              </w:rPr>
            </w:pPr>
            <w:r>
              <w:rPr>
                <w:sz w:val="16"/>
                <w:szCs w:val="16"/>
                <w:u w:val="single"/>
              </w:rPr>
              <w:t xml:space="preserve">Flat </w:t>
            </w:r>
          </w:p>
          <w:p w14:paraId="179136B7">
            <w:pPr>
              <w:spacing w:after="0" w:line="240" w:lineRule="auto"/>
              <w:jc w:val="center"/>
              <w:rPr>
                <w:sz w:val="16"/>
                <w:szCs w:val="16"/>
                <w:u w:val="single"/>
              </w:rPr>
            </w:pPr>
            <w:r>
              <w:rPr>
                <w:sz w:val="16"/>
                <w:szCs w:val="16"/>
                <w:u w:val="single"/>
              </w:rPr>
              <w:t>Hourly</w:t>
            </w:r>
          </w:p>
          <w:p w14:paraId="1E6FDAA9">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464C54C0">
            <w:pPr>
              <w:spacing w:after="0" w:line="240" w:lineRule="auto"/>
              <w:jc w:val="center"/>
              <w:rPr>
                <w:u w:val="single"/>
              </w:rPr>
            </w:pPr>
          </w:p>
        </w:tc>
        <w:tc>
          <w:tcPr>
            <w:tcW w:w="3009" w:type="dxa"/>
            <w:shd w:val="clear" w:color="auto" w:fill="FFFFFF" w:themeFill="background1"/>
          </w:tcPr>
          <w:p w14:paraId="6F1A728B">
            <w:pPr>
              <w:spacing w:after="0" w:line="240" w:lineRule="auto"/>
              <w:jc w:val="center"/>
              <w:rPr>
                <w:u w:val="single"/>
              </w:rPr>
            </w:pPr>
          </w:p>
        </w:tc>
        <w:tc>
          <w:tcPr>
            <w:tcW w:w="1669" w:type="dxa"/>
            <w:shd w:val="clear" w:color="auto" w:fill="FFFFFF" w:themeFill="background1"/>
          </w:tcPr>
          <w:p w14:paraId="7674D13A">
            <w:pPr>
              <w:spacing w:after="0" w:line="240" w:lineRule="auto"/>
              <w:jc w:val="center"/>
              <w:rPr>
                <w:u w:val="single"/>
              </w:rPr>
            </w:pPr>
          </w:p>
        </w:tc>
      </w:tr>
      <w:tr w14:paraId="29A0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17D332C3">
            <w:pPr>
              <w:pStyle w:val="17"/>
              <w:numPr>
                <w:ilvl w:val="0"/>
                <w:numId w:val="3"/>
              </w:numPr>
              <w:ind w:left="458"/>
              <w:rPr>
                <w:sz w:val="20"/>
                <w:szCs w:val="20"/>
                <w:lang w:val="en-GB"/>
              </w:rPr>
            </w:pPr>
            <w:r>
              <w:rPr>
                <w:sz w:val="20"/>
                <w:szCs w:val="20"/>
                <w:lang w:val="en-GB"/>
              </w:rPr>
              <w:t>Expert panel consultation</w:t>
            </w:r>
            <w:r>
              <w:rPr>
                <w:rStyle w:val="10"/>
                <w:sz w:val="20"/>
                <w:szCs w:val="20"/>
                <w:lang w:val="en-GB"/>
              </w:rPr>
              <w:footnoteReference w:id="0" w:customMarkFollows="1"/>
              <w:t>5</w:t>
            </w:r>
            <w:r>
              <w:rPr>
                <w:sz w:val="20"/>
                <w:szCs w:val="20"/>
                <w:lang w:val="en-GB"/>
              </w:rPr>
              <w:t xml:space="preserve"> </w:t>
            </w:r>
          </w:p>
        </w:tc>
        <w:tc>
          <w:tcPr>
            <w:tcW w:w="1417" w:type="dxa"/>
            <w:shd w:val="clear" w:color="auto" w:fill="FFFFFF" w:themeFill="background1"/>
          </w:tcPr>
          <w:p w14:paraId="3111FE01">
            <w:pPr>
              <w:spacing w:after="0" w:line="240" w:lineRule="auto"/>
              <w:jc w:val="center"/>
              <w:rPr>
                <w:sz w:val="16"/>
                <w:szCs w:val="16"/>
                <w:u w:val="single"/>
              </w:rPr>
            </w:pPr>
            <w:r>
              <w:rPr>
                <w:sz w:val="16"/>
                <w:szCs w:val="16"/>
                <w:u w:val="single"/>
              </w:rPr>
              <w:t xml:space="preserve">Flat </w:t>
            </w:r>
          </w:p>
          <w:p w14:paraId="4507C174">
            <w:pPr>
              <w:spacing w:after="0" w:line="240" w:lineRule="auto"/>
              <w:jc w:val="center"/>
              <w:rPr>
                <w:sz w:val="16"/>
                <w:szCs w:val="16"/>
                <w:u w:val="single"/>
              </w:rPr>
            </w:pPr>
            <w:r>
              <w:rPr>
                <w:sz w:val="16"/>
                <w:szCs w:val="16"/>
                <w:u w:val="single"/>
              </w:rPr>
              <w:t>Hourly</w:t>
            </w:r>
          </w:p>
          <w:p w14:paraId="5A519A99">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309DFB9C">
            <w:pPr>
              <w:spacing w:after="0" w:line="240" w:lineRule="auto"/>
              <w:jc w:val="center"/>
              <w:rPr>
                <w:u w:val="single"/>
              </w:rPr>
            </w:pPr>
          </w:p>
        </w:tc>
        <w:tc>
          <w:tcPr>
            <w:tcW w:w="3009" w:type="dxa"/>
            <w:shd w:val="clear" w:color="auto" w:fill="FFFFFF" w:themeFill="background1"/>
          </w:tcPr>
          <w:p w14:paraId="1A829B65">
            <w:pPr>
              <w:spacing w:after="0" w:line="240" w:lineRule="auto"/>
              <w:jc w:val="center"/>
              <w:rPr>
                <w:u w:val="single"/>
              </w:rPr>
            </w:pPr>
          </w:p>
        </w:tc>
        <w:tc>
          <w:tcPr>
            <w:tcW w:w="1669" w:type="dxa"/>
            <w:shd w:val="clear" w:color="auto" w:fill="FFFFFF" w:themeFill="background1"/>
          </w:tcPr>
          <w:p w14:paraId="04C6E627">
            <w:pPr>
              <w:spacing w:after="0" w:line="240" w:lineRule="auto"/>
              <w:jc w:val="center"/>
              <w:rPr>
                <w:u w:val="single"/>
              </w:rPr>
            </w:pPr>
          </w:p>
        </w:tc>
      </w:tr>
      <w:tr w14:paraId="7102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62EEB24">
            <w:pPr>
              <w:pStyle w:val="17"/>
              <w:numPr>
                <w:ilvl w:val="0"/>
                <w:numId w:val="3"/>
              </w:numPr>
              <w:ind w:left="458"/>
              <w:rPr>
                <w:sz w:val="20"/>
                <w:szCs w:val="20"/>
                <w:lang w:val="en-GB"/>
              </w:rPr>
            </w:pPr>
            <w:r>
              <w:rPr>
                <w:sz w:val="20"/>
                <w:szCs w:val="20"/>
                <w:lang w:val="en-GB"/>
              </w:rPr>
              <w:t>Validation of the Summary of Safety and Performance (SSP)</w:t>
            </w:r>
          </w:p>
        </w:tc>
        <w:tc>
          <w:tcPr>
            <w:tcW w:w="1417" w:type="dxa"/>
            <w:shd w:val="clear" w:color="auto" w:fill="FFFFFF" w:themeFill="background1"/>
          </w:tcPr>
          <w:p w14:paraId="3C00CCB3">
            <w:pPr>
              <w:spacing w:after="0" w:line="240" w:lineRule="auto"/>
              <w:jc w:val="center"/>
              <w:rPr>
                <w:sz w:val="16"/>
                <w:szCs w:val="16"/>
                <w:u w:val="single"/>
              </w:rPr>
            </w:pPr>
            <w:r>
              <w:rPr>
                <w:sz w:val="16"/>
                <w:szCs w:val="16"/>
                <w:u w:val="single"/>
              </w:rPr>
              <w:t>Flat</w:t>
            </w:r>
          </w:p>
          <w:p w14:paraId="1E5BB667">
            <w:pPr>
              <w:spacing w:after="0" w:line="240" w:lineRule="auto"/>
              <w:jc w:val="center"/>
              <w:rPr>
                <w:sz w:val="16"/>
                <w:szCs w:val="16"/>
                <w:u w:val="single"/>
              </w:rPr>
            </w:pPr>
            <w:r>
              <w:rPr>
                <w:sz w:val="16"/>
                <w:szCs w:val="16"/>
                <w:u w:val="single"/>
              </w:rPr>
              <w:t>Hourly</w:t>
            </w:r>
          </w:p>
          <w:p w14:paraId="36FD3E65">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6986C21C">
            <w:pPr>
              <w:spacing w:after="0" w:line="240" w:lineRule="auto"/>
              <w:jc w:val="center"/>
              <w:rPr>
                <w:u w:val="single"/>
              </w:rPr>
            </w:pPr>
          </w:p>
        </w:tc>
        <w:tc>
          <w:tcPr>
            <w:tcW w:w="3009" w:type="dxa"/>
            <w:shd w:val="clear" w:color="auto" w:fill="FFFFFF" w:themeFill="background1"/>
          </w:tcPr>
          <w:p w14:paraId="43CDFDC7">
            <w:pPr>
              <w:spacing w:after="0" w:line="240" w:lineRule="auto"/>
              <w:jc w:val="center"/>
              <w:rPr>
                <w:u w:val="single"/>
              </w:rPr>
            </w:pPr>
          </w:p>
        </w:tc>
        <w:tc>
          <w:tcPr>
            <w:tcW w:w="1669" w:type="dxa"/>
            <w:shd w:val="clear" w:color="auto" w:fill="FFFFFF" w:themeFill="background1"/>
          </w:tcPr>
          <w:p w14:paraId="418FC536">
            <w:pPr>
              <w:spacing w:after="0" w:line="240" w:lineRule="auto"/>
              <w:jc w:val="center"/>
              <w:rPr>
                <w:u w:val="single"/>
              </w:rPr>
            </w:pPr>
          </w:p>
        </w:tc>
      </w:tr>
      <w:tr w14:paraId="2330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57E5CC4">
            <w:pPr>
              <w:pStyle w:val="17"/>
              <w:numPr>
                <w:ilvl w:val="0"/>
                <w:numId w:val="3"/>
              </w:numPr>
              <w:ind w:left="458"/>
              <w:rPr>
                <w:sz w:val="20"/>
                <w:szCs w:val="20"/>
                <w:lang w:val="en-GB"/>
              </w:rPr>
            </w:pPr>
            <w:r>
              <w:rPr>
                <w:sz w:val="20"/>
                <w:szCs w:val="20"/>
                <w:lang w:val="en-GB"/>
              </w:rPr>
              <w:t>Consultation of a medicinal product authority for a companion diagnostic</w:t>
            </w:r>
            <w:r>
              <w:rPr>
                <w:rStyle w:val="10"/>
                <w:sz w:val="20"/>
                <w:szCs w:val="20"/>
                <w:lang w:val="en-GB"/>
              </w:rPr>
              <w:footnoteReference w:id="1"/>
            </w:r>
          </w:p>
        </w:tc>
        <w:tc>
          <w:tcPr>
            <w:tcW w:w="1417" w:type="dxa"/>
            <w:shd w:val="clear" w:color="auto" w:fill="FFFFFF" w:themeFill="background1"/>
          </w:tcPr>
          <w:p w14:paraId="60EEBDC5">
            <w:pPr>
              <w:spacing w:after="0" w:line="240" w:lineRule="auto"/>
              <w:jc w:val="center"/>
              <w:rPr>
                <w:sz w:val="16"/>
                <w:szCs w:val="16"/>
                <w:u w:val="single"/>
              </w:rPr>
            </w:pPr>
            <w:r>
              <w:rPr>
                <w:sz w:val="16"/>
                <w:szCs w:val="16"/>
                <w:u w:val="single"/>
              </w:rPr>
              <w:t>Flat</w:t>
            </w:r>
          </w:p>
          <w:p w14:paraId="2B8813C5">
            <w:pPr>
              <w:spacing w:after="0" w:line="240" w:lineRule="auto"/>
              <w:jc w:val="center"/>
              <w:rPr>
                <w:sz w:val="16"/>
                <w:szCs w:val="16"/>
                <w:u w:val="single"/>
              </w:rPr>
            </w:pPr>
            <w:r>
              <w:rPr>
                <w:sz w:val="16"/>
                <w:szCs w:val="16"/>
                <w:u w:val="single"/>
              </w:rPr>
              <w:t>Hourly</w:t>
            </w:r>
          </w:p>
          <w:p w14:paraId="29AE0ED0">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77B79D91">
            <w:pPr>
              <w:spacing w:after="0" w:line="240" w:lineRule="auto"/>
              <w:jc w:val="center"/>
              <w:rPr>
                <w:u w:val="single"/>
              </w:rPr>
            </w:pPr>
          </w:p>
        </w:tc>
        <w:tc>
          <w:tcPr>
            <w:tcW w:w="3009" w:type="dxa"/>
            <w:shd w:val="clear" w:color="auto" w:fill="FFFFFF" w:themeFill="background1"/>
          </w:tcPr>
          <w:p w14:paraId="0D49D0F2">
            <w:pPr>
              <w:spacing w:after="0" w:line="240" w:lineRule="auto"/>
              <w:jc w:val="center"/>
              <w:rPr>
                <w:u w:val="single"/>
              </w:rPr>
            </w:pPr>
          </w:p>
        </w:tc>
        <w:tc>
          <w:tcPr>
            <w:tcW w:w="1669" w:type="dxa"/>
            <w:shd w:val="clear" w:color="auto" w:fill="FFFFFF" w:themeFill="background1"/>
          </w:tcPr>
          <w:p w14:paraId="1D414D43">
            <w:pPr>
              <w:spacing w:after="0" w:line="240" w:lineRule="auto"/>
              <w:jc w:val="center"/>
              <w:rPr>
                <w:u w:val="single"/>
              </w:rPr>
            </w:pPr>
          </w:p>
        </w:tc>
      </w:tr>
      <w:tr w14:paraId="0A4E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15816B1A">
            <w:pPr>
              <w:pStyle w:val="17"/>
              <w:numPr>
                <w:ilvl w:val="0"/>
                <w:numId w:val="3"/>
              </w:numPr>
              <w:ind w:left="458"/>
              <w:rPr>
                <w:sz w:val="20"/>
                <w:szCs w:val="20"/>
              </w:rPr>
            </w:pPr>
            <w:r>
              <w:rPr>
                <w:sz w:val="20"/>
                <w:szCs w:val="20"/>
              </w:rPr>
              <w:t>Consultation of an EU reference laboratory for performance verification</w:t>
            </w:r>
            <w:r>
              <w:rPr>
                <w:rStyle w:val="10"/>
                <w:sz w:val="20"/>
                <w:szCs w:val="20"/>
              </w:rPr>
              <w:footnoteReference w:id="2" w:customMarkFollows="1"/>
              <w:t>5</w:t>
            </w:r>
          </w:p>
        </w:tc>
        <w:tc>
          <w:tcPr>
            <w:tcW w:w="1417" w:type="dxa"/>
          </w:tcPr>
          <w:p w14:paraId="3E6FCFEE">
            <w:pPr>
              <w:spacing w:after="0" w:line="240" w:lineRule="auto"/>
              <w:jc w:val="center"/>
              <w:rPr>
                <w:sz w:val="16"/>
                <w:szCs w:val="16"/>
                <w:u w:val="single"/>
              </w:rPr>
            </w:pPr>
            <w:r>
              <w:rPr>
                <w:sz w:val="16"/>
                <w:szCs w:val="16"/>
                <w:u w:val="single"/>
              </w:rPr>
              <w:t>Flat</w:t>
            </w:r>
          </w:p>
          <w:p w14:paraId="76A906FA">
            <w:pPr>
              <w:spacing w:after="0" w:line="240" w:lineRule="auto"/>
              <w:jc w:val="center"/>
              <w:rPr>
                <w:sz w:val="16"/>
                <w:szCs w:val="16"/>
                <w:u w:val="single"/>
              </w:rPr>
            </w:pPr>
            <w:r>
              <w:rPr>
                <w:sz w:val="16"/>
                <w:szCs w:val="16"/>
                <w:u w:val="single"/>
              </w:rPr>
              <w:t>Hourly</w:t>
            </w:r>
          </w:p>
          <w:p w14:paraId="5D9987DA">
            <w:pPr>
              <w:spacing w:after="0" w:line="240" w:lineRule="auto"/>
              <w:jc w:val="center"/>
              <w:rPr>
                <w:sz w:val="16"/>
                <w:szCs w:val="16"/>
                <w:u w:val="single"/>
              </w:rPr>
            </w:pPr>
            <w:r>
              <w:rPr>
                <w:sz w:val="16"/>
                <w:szCs w:val="16"/>
                <w:u w:val="single"/>
              </w:rPr>
              <w:t>Daily</w:t>
            </w:r>
          </w:p>
        </w:tc>
        <w:tc>
          <w:tcPr>
            <w:tcW w:w="1134" w:type="dxa"/>
          </w:tcPr>
          <w:p w14:paraId="0ACC9629">
            <w:pPr>
              <w:spacing w:after="0" w:line="240" w:lineRule="auto"/>
              <w:jc w:val="center"/>
              <w:rPr>
                <w:u w:val="single"/>
              </w:rPr>
            </w:pPr>
          </w:p>
        </w:tc>
        <w:tc>
          <w:tcPr>
            <w:tcW w:w="3009" w:type="dxa"/>
          </w:tcPr>
          <w:p w14:paraId="1E511966">
            <w:pPr>
              <w:spacing w:after="0" w:line="240" w:lineRule="auto"/>
              <w:jc w:val="center"/>
              <w:rPr>
                <w:u w:val="single"/>
              </w:rPr>
            </w:pPr>
          </w:p>
        </w:tc>
        <w:tc>
          <w:tcPr>
            <w:tcW w:w="1669" w:type="dxa"/>
          </w:tcPr>
          <w:p w14:paraId="70F5EC90">
            <w:pPr>
              <w:spacing w:after="0" w:line="240" w:lineRule="auto"/>
              <w:jc w:val="center"/>
              <w:rPr>
                <w:u w:val="single"/>
              </w:rPr>
            </w:pPr>
          </w:p>
        </w:tc>
      </w:tr>
      <w:tr w14:paraId="6C2E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2AD0F187">
            <w:pPr>
              <w:pStyle w:val="17"/>
              <w:numPr>
                <w:ilvl w:val="0"/>
                <w:numId w:val="3"/>
              </w:numPr>
              <w:ind w:left="458"/>
              <w:rPr>
                <w:sz w:val="20"/>
                <w:szCs w:val="20"/>
              </w:rPr>
            </w:pPr>
            <w:r>
              <w:rPr>
                <w:sz w:val="20"/>
                <w:szCs w:val="20"/>
              </w:rPr>
              <w:t>Consultation of an EU reference laboratory for batch testing</w:t>
            </w:r>
            <w:r>
              <w:rPr>
                <w:rStyle w:val="10"/>
                <w:sz w:val="20"/>
                <w:szCs w:val="20"/>
              </w:rPr>
              <w:footnoteReference w:id="3" w:customMarkFollows="1"/>
              <w:t>5</w:t>
            </w:r>
          </w:p>
        </w:tc>
        <w:tc>
          <w:tcPr>
            <w:tcW w:w="1417" w:type="dxa"/>
          </w:tcPr>
          <w:p w14:paraId="47D604F0">
            <w:pPr>
              <w:spacing w:after="0" w:line="240" w:lineRule="auto"/>
              <w:jc w:val="center"/>
              <w:rPr>
                <w:sz w:val="16"/>
                <w:szCs w:val="16"/>
                <w:u w:val="single"/>
              </w:rPr>
            </w:pPr>
            <w:r>
              <w:rPr>
                <w:sz w:val="16"/>
                <w:szCs w:val="16"/>
                <w:u w:val="single"/>
              </w:rPr>
              <w:t>Flat</w:t>
            </w:r>
          </w:p>
          <w:p w14:paraId="2FCC42CA">
            <w:pPr>
              <w:spacing w:after="0" w:line="240" w:lineRule="auto"/>
              <w:jc w:val="center"/>
              <w:rPr>
                <w:sz w:val="16"/>
                <w:szCs w:val="16"/>
                <w:u w:val="single"/>
              </w:rPr>
            </w:pPr>
            <w:r>
              <w:rPr>
                <w:sz w:val="16"/>
                <w:szCs w:val="16"/>
                <w:u w:val="single"/>
              </w:rPr>
              <w:t>Hourly</w:t>
            </w:r>
          </w:p>
          <w:p w14:paraId="7C492BAC">
            <w:pPr>
              <w:spacing w:after="0" w:line="240" w:lineRule="auto"/>
              <w:jc w:val="center"/>
              <w:rPr>
                <w:sz w:val="16"/>
                <w:szCs w:val="16"/>
                <w:u w:val="single"/>
              </w:rPr>
            </w:pPr>
            <w:r>
              <w:rPr>
                <w:sz w:val="16"/>
                <w:szCs w:val="16"/>
                <w:u w:val="single"/>
              </w:rPr>
              <w:t>Daily</w:t>
            </w:r>
          </w:p>
        </w:tc>
        <w:tc>
          <w:tcPr>
            <w:tcW w:w="1134" w:type="dxa"/>
          </w:tcPr>
          <w:p w14:paraId="713AC4CC">
            <w:pPr>
              <w:spacing w:after="0" w:line="240" w:lineRule="auto"/>
              <w:jc w:val="center"/>
              <w:rPr>
                <w:u w:val="single"/>
              </w:rPr>
            </w:pPr>
          </w:p>
        </w:tc>
        <w:tc>
          <w:tcPr>
            <w:tcW w:w="3009" w:type="dxa"/>
          </w:tcPr>
          <w:p w14:paraId="3F5B68EB">
            <w:pPr>
              <w:spacing w:after="0" w:line="240" w:lineRule="auto"/>
              <w:jc w:val="center"/>
              <w:rPr>
                <w:u w:val="single"/>
              </w:rPr>
            </w:pPr>
          </w:p>
        </w:tc>
        <w:tc>
          <w:tcPr>
            <w:tcW w:w="1669" w:type="dxa"/>
          </w:tcPr>
          <w:p w14:paraId="288269F7">
            <w:pPr>
              <w:spacing w:after="0" w:line="240" w:lineRule="auto"/>
              <w:jc w:val="center"/>
              <w:rPr>
                <w:u w:val="single"/>
              </w:rPr>
            </w:pPr>
          </w:p>
        </w:tc>
      </w:tr>
      <w:tr w14:paraId="6B80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09080DE">
            <w:pPr>
              <w:pStyle w:val="17"/>
              <w:numPr>
                <w:ilvl w:val="0"/>
                <w:numId w:val="3"/>
              </w:numPr>
              <w:ind w:left="458"/>
              <w:rPr>
                <w:sz w:val="20"/>
                <w:szCs w:val="20"/>
                <w:lang w:val="en-GB"/>
              </w:rPr>
            </w:pPr>
            <w:r>
              <w:rPr>
                <w:sz w:val="20"/>
                <w:szCs w:val="20"/>
                <w:lang w:val="en-GB"/>
              </w:rPr>
              <w:t>Evaluation/review of the Periodic Safety Update Report (PSUR)</w:t>
            </w:r>
          </w:p>
        </w:tc>
        <w:tc>
          <w:tcPr>
            <w:tcW w:w="1417" w:type="dxa"/>
          </w:tcPr>
          <w:p w14:paraId="63AE834F">
            <w:pPr>
              <w:spacing w:after="0" w:line="240" w:lineRule="auto"/>
              <w:jc w:val="center"/>
              <w:rPr>
                <w:sz w:val="16"/>
                <w:szCs w:val="16"/>
                <w:u w:val="single"/>
              </w:rPr>
            </w:pPr>
            <w:r>
              <w:rPr>
                <w:sz w:val="16"/>
                <w:szCs w:val="16"/>
                <w:u w:val="single"/>
              </w:rPr>
              <w:t>Flat</w:t>
            </w:r>
          </w:p>
          <w:p w14:paraId="50E2397A">
            <w:pPr>
              <w:spacing w:after="0" w:line="240" w:lineRule="auto"/>
              <w:jc w:val="center"/>
              <w:rPr>
                <w:sz w:val="16"/>
                <w:szCs w:val="16"/>
                <w:u w:val="single"/>
              </w:rPr>
            </w:pPr>
            <w:r>
              <w:rPr>
                <w:sz w:val="16"/>
                <w:szCs w:val="16"/>
                <w:u w:val="single"/>
              </w:rPr>
              <w:t>Hourly</w:t>
            </w:r>
          </w:p>
          <w:p w14:paraId="3828B329">
            <w:pPr>
              <w:spacing w:after="0" w:line="240" w:lineRule="auto"/>
              <w:jc w:val="center"/>
              <w:rPr>
                <w:sz w:val="16"/>
                <w:szCs w:val="16"/>
                <w:u w:val="single"/>
              </w:rPr>
            </w:pPr>
            <w:r>
              <w:rPr>
                <w:sz w:val="16"/>
                <w:szCs w:val="16"/>
                <w:u w:val="single"/>
              </w:rPr>
              <w:t>Daily</w:t>
            </w:r>
          </w:p>
        </w:tc>
        <w:tc>
          <w:tcPr>
            <w:tcW w:w="1134" w:type="dxa"/>
          </w:tcPr>
          <w:p w14:paraId="3D1DD4F8">
            <w:pPr>
              <w:spacing w:after="0" w:line="240" w:lineRule="auto"/>
              <w:jc w:val="center"/>
              <w:rPr>
                <w:u w:val="single"/>
              </w:rPr>
            </w:pPr>
          </w:p>
        </w:tc>
        <w:tc>
          <w:tcPr>
            <w:tcW w:w="3009" w:type="dxa"/>
          </w:tcPr>
          <w:p w14:paraId="3502F09B">
            <w:pPr>
              <w:spacing w:after="0" w:line="240" w:lineRule="auto"/>
              <w:jc w:val="center"/>
              <w:rPr>
                <w:u w:val="single"/>
              </w:rPr>
            </w:pPr>
          </w:p>
        </w:tc>
        <w:tc>
          <w:tcPr>
            <w:tcW w:w="1669" w:type="dxa"/>
          </w:tcPr>
          <w:p w14:paraId="2BEBC28B">
            <w:pPr>
              <w:spacing w:after="0" w:line="240" w:lineRule="auto"/>
              <w:jc w:val="center"/>
              <w:rPr>
                <w:u w:val="single"/>
              </w:rPr>
            </w:pPr>
          </w:p>
        </w:tc>
      </w:tr>
      <w:tr w14:paraId="0748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098E659C">
            <w:pPr>
              <w:pStyle w:val="17"/>
              <w:numPr>
                <w:ilvl w:val="0"/>
                <w:numId w:val="3"/>
              </w:numPr>
              <w:ind w:left="458"/>
              <w:rPr>
                <w:sz w:val="20"/>
                <w:szCs w:val="20"/>
                <w:lang w:val="en-GB"/>
              </w:rPr>
            </w:pPr>
            <w:r>
              <w:rPr>
                <w:sz w:val="20"/>
                <w:szCs w:val="20"/>
                <w:lang w:val="en-GB"/>
              </w:rPr>
              <w:t xml:space="preserve">Assessment of changes </w:t>
            </w:r>
          </w:p>
        </w:tc>
        <w:tc>
          <w:tcPr>
            <w:tcW w:w="1417" w:type="dxa"/>
          </w:tcPr>
          <w:p w14:paraId="2DCAE218">
            <w:pPr>
              <w:spacing w:after="0" w:line="240" w:lineRule="auto"/>
              <w:jc w:val="center"/>
              <w:rPr>
                <w:sz w:val="16"/>
                <w:szCs w:val="16"/>
                <w:u w:val="single"/>
              </w:rPr>
            </w:pPr>
            <w:r>
              <w:rPr>
                <w:sz w:val="16"/>
                <w:szCs w:val="16"/>
                <w:u w:val="single"/>
              </w:rPr>
              <w:t>Flat</w:t>
            </w:r>
          </w:p>
          <w:p w14:paraId="1C40F62B">
            <w:pPr>
              <w:spacing w:after="0" w:line="240" w:lineRule="auto"/>
              <w:jc w:val="center"/>
              <w:rPr>
                <w:sz w:val="16"/>
                <w:szCs w:val="16"/>
                <w:u w:val="single"/>
              </w:rPr>
            </w:pPr>
            <w:r>
              <w:rPr>
                <w:sz w:val="16"/>
                <w:szCs w:val="16"/>
                <w:u w:val="single"/>
              </w:rPr>
              <w:t>Hourly</w:t>
            </w:r>
          </w:p>
          <w:p w14:paraId="2043EE80">
            <w:pPr>
              <w:spacing w:after="0" w:line="240" w:lineRule="auto"/>
              <w:jc w:val="center"/>
              <w:rPr>
                <w:sz w:val="16"/>
                <w:szCs w:val="16"/>
                <w:u w:val="single"/>
              </w:rPr>
            </w:pPr>
            <w:r>
              <w:rPr>
                <w:sz w:val="16"/>
                <w:szCs w:val="16"/>
                <w:u w:val="single"/>
              </w:rPr>
              <w:t>Daily</w:t>
            </w:r>
          </w:p>
        </w:tc>
        <w:tc>
          <w:tcPr>
            <w:tcW w:w="1134" w:type="dxa"/>
          </w:tcPr>
          <w:p w14:paraId="736F2D72">
            <w:pPr>
              <w:spacing w:after="0" w:line="240" w:lineRule="auto"/>
              <w:jc w:val="center"/>
              <w:rPr>
                <w:u w:val="single"/>
              </w:rPr>
            </w:pPr>
          </w:p>
        </w:tc>
        <w:tc>
          <w:tcPr>
            <w:tcW w:w="3009" w:type="dxa"/>
          </w:tcPr>
          <w:p w14:paraId="63E2FC43">
            <w:pPr>
              <w:spacing w:after="0" w:line="240" w:lineRule="auto"/>
              <w:jc w:val="center"/>
              <w:rPr>
                <w:u w:val="single"/>
              </w:rPr>
            </w:pPr>
          </w:p>
        </w:tc>
        <w:tc>
          <w:tcPr>
            <w:tcW w:w="1669" w:type="dxa"/>
          </w:tcPr>
          <w:p w14:paraId="28BBFB5E">
            <w:pPr>
              <w:spacing w:after="0" w:line="240" w:lineRule="auto"/>
              <w:jc w:val="center"/>
              <w:rPr>
                <w:u w:val="single"/>
              </w:rPr>
            </w:pPr>
          </w:p>
        </w:tc>
      </w:tr>
      <w:tr w14:paraId="0B2E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9C773CF">
            <w:pPr>
              <w:spacing w:after="0" w:line="240" w:lineRule="auto"/>
              <w:rPr>
                <w:b/>
              </w:rPr>
            </w:pPr>
            <w:r>
              <w:rPr>
                <w:b/>
              </w:rPr>
              <w:t>Reporting (if not covered above)</w:t>
            </w:r>
          </w:p>
        </w:tc>
        <w:tc>
          <w:tcPr>
            <w:tcW w:w="1417" w:type="dxa"/>
          </w:tcPr>
          <w:p w14:paraId="71D51617">
            <w:pPr>
              <w:spacing w:after="0" w:line="240" w:lineRule="auto"/>
              <w:jc w:val="center"/>
              <w:rPr>
                <w:sz w:val="16"/>
                <w:szCs w:val="16"/>
                <w:u w:val="single"/>
              </w:rPr>
            </w:pPr>
            <w:r>
              <w:rPr>
                <w:sz w:val="16"/>
                <w:szCs w:val="16"/>
                <w:u w:val="single"/>
              </w:rPr>
              <w:t>Flat</w:t>
            </w:r>
          </w:p>
          <w:p w14:paraId="277B3B08">
            <w:pPr>
              <w:spacing w:after="0" w:line="240" w:lineRule="auto"/>
              <w:jc w:val="center"/>
              <w:rPr>
                <w:sz w:val="16"/>
                <w:szCs w:val="16"/>
                <w:u w:val="single"/>
              </w:rPr>
            </w:pPr>
            <w:r>
              <w:rPr>
                <w:sz w:val="16"/>
                <w:szCs w:val="16"/>
                <w:u w:val="single"/>
              </w:rPr>
              <w:t>Hourly</w:t>
            </w:r>
          </w:p>
          <w:p w14:paraId="18867843">
            <w:pPr>
              <w:spacing w:after="0" w:line="240" w:lineRule="auto"/>
              <w:jc w:val="center"/>
              <w:rPr>
                <w:sz w:val="16"/>
                <w:szCs w:val="16"/>
                <w:u w:val="single"/>
                <w:vertAlign w:val="subscript"/>
              </w:rPr>
            </w:pPr>
            <w:r>
              <w:rPr>
                <w:sz w:val="16"/>
                <w:szCs w:val="16"/>
                <w:u w:val="single"/>
              </w:rPr>
              <w:t>Daily</w:t>
            </w:r>
          </w:p>
        </w:tc>
        <w:tc>
          <w:tcPr>
            <w:tcW w:w="1134" w:type="dxa"/>
          </w:tcPr>
          <w:p w14:paraId="7BDE6DF8">
            <w:pPr>
              <w:spacing w:after="0" w:line="240" w:lineRule="auto"/>
              <w:jc w:val="center"/>
              <w:rPr>
                <w:u w:val="single"/>
              </w:rPr>
            </w:pPr>
          </w:p>
        </w:tc>
        <w:tc>
          <w:tcPr>
            <w:tcW w:w="3009" w:type="dxa"/>
          </w:tcPr>
          <w:p w14:paraId="5BD31B94">
            <w:pPr>
              <w:spacing w:after="0" w:line="240" w:lineRule="auto"/>
              <w:jc w:val="center"/>
              <w:rPr>
                <w:u w:val="single"/>
              </w:rPr>
            </w:pPr>
          </w:p>
        </w:tc>
        <w:tc>
          <w:tcPr>
            <w:tcW w:w="1669" w:type="dxa"/>
          </w:tcPr>
          <w:p w14:paraId="06856D81">
            <w:pPr>
              <w:spacing w:after="0" w:line="240" w:lineRule="auto"/>
              <w:jc w:val="center"/>
              <w:rPr>
                <w:u w:val="single"/>
              </w:rPr>
            </w:pPr>
          </w:p>
        </w:tc>
      </w:tr>
    </w:tbl>
    <w:tbl>
      <w:tblPr>
        <w:tblStyle w:val="7"/>
        <w:tblpPr w:leftFromText="180" w:rightFromText="180" w:vertAnchor="text" w:horzAnchor="margin" w:tblpY="18"/>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7229"/>
      </w:tblGrid>
      <w:tr w14:paraId="7B5E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DBE5F1" w:themeFill="accent1" w:themeFillTint="33"/>
          </w:tcPr>
          <w:p w14:paraId="170323C5">
            <w:pPr>
              <w:shd w:val="clear" w:color="auto" w:fill="FFFFFF" w:themeFill="background1"/>
              <w:spacing w:before="60" w:after="60" w:line="240" w:lineRule="auto"/>
            </w:pPr>
            <w:r>
              <w:t>Special conditions for manufacturers belonging to SME as defined in Recommendation 2003/361/EC</w:t>
            </w:r>
            <w:r>
              <w:rPr>
                <w:rStyle w:val="9"/>
              </w:rPr>
              <w:endnoteReference w:id="4" w:customMarkFollows="1"/>
              <w:t>6</w:t>
            </w:r>
            <w:r>
              <w:t xml:space="preserve"> </w:t>
            </w:r>
          </w:p>
        </w:tc>
        <w:tc>
          <w:tcPr>
            <w:tcW w:w="7229" w:type="dxa"/>
            <w:shd w:val="clear" w:color="auto" w:fill="FFFFFF" w:themeFill="background1"/>
          </w:tcPr>
          <w:p w14:paraId="41FE677C">
            <w:pPr>
              <w:shd w:val="clear" w:color="auto" w:fill="FFFFFF" w:themeFill="background1"/>
              <w:spacing w:before="60" w:after="60" w:line="240" w:lineRule="auto"/>
              <w:rPr>
                <w:u w:val="single"/>
              </w:rPr>
            </w:pPr>
          </w:p>
        </w:tc>
      </w:tr>
    </w:tbl>
    <w:p w14:paraId="23F2DAE6">
      <w:pPr>
        <w:pStyle w:val="5"/>
      </w:pPr>
    </w:p>
    <w:p w14:paraId="397A8A38"/>
    <w:p w14:paraId="02C7101D">
      <w:pPr>
        <w:rPr>
          <w:rFonts w:ascii="Arial" w:hAnsi="Arial" w:cs="Arial"/>
          <w:b/>
          <w:color w:val="000000" w:themeColor="text1"/>
          <w:sz w:val="24"/>
          <w:szCs w:val="24"/>
          <w14:textFill>
            <w14:solidFill>
              <w14:schemeClr w14:val="tx1"/>
            </w14:solidFill>
          </w14:textFill>
        </w:rPr>
      </w:pPr>
    </w:p>
    <w:p w14:paraId="4A1A0CA5">
      <w:pPr>
        <w:ind w:left="-142" w:right="-284"/>
        <w:jc w:val="center"/>
        <w:rPr>
          <w:rFonts w:hint="eastAsia" w:eastAsia="宋体"/>
          <w:lang w:eastAsia="zh-CN"/>
        </w:rPr>
      </w:pPr>
    </w:p>
    <w:p w14:paraId="4FCB7305">
      <w:pPr>
        <w:ind w:left="-142" w:right="-284"/>
        <w:jc w:val="center"/>
        <w:rPr>
          <w:rFonts w:hint="eastAsia" w:eastAsia="宋体"/>
          <w:lang w:eastAsia="zh-CN"/>
        </w:rPr>
      </w:pPr>
    </w:p>
    <w:p w14:paraId="17DCA19C">
      <w:pPr>
        <w:ind w:left="-142" w:right="-28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0">
    <w:p>
      <w:pPr>
        <w:spacing w:line="240" w:lineRule="auto"/>
      </w:pPr>
      <w:r>
        <w:separator/>
      </w:r>
    </w:p>
  </w:endnote>
  <w:endnote w:type="continuationSeparator" w:id="11">
    <w:p>
      <w:pPr>
        <w:spacing w:line="240" w:lineRule="auto"/>
      </w:pPr>
      <w:r>
        <w:continuationSeparator/>
      </w:r>
    </w:p>
  </w:endnote>
  <w:endnote w:id="0">
    <w:p w14:paraId="0CC32636">
      <w:pPr>
        <w:pStyle w:val="2"/>
        <w:rPr>
          <w:lang w:val="en-IE"/>
        </w:rPr>
      </w:pPr>
    </w:p>
  </w:endnote>
  <w:endnote w:id="1">
    <w:p w14:paraId="4FE6DF67">
      <w:pPr>
        <w:pStyle w:val="5"/>
      </w:pPr>
    </w:p>
    <w:p w14:paraId="29B3EC3F">
      <w:pPr>
        <w:pStyle w:val="2"/>
        <w:rPr>
          <w:lang w:val="en-IE"/>
        </w:rPr>
      </w:pPr>
    </w:p>
  </w:endnote>
  <w:endnote w:id="2">
    <w:p w14:paraId="1F8F4D84">
      <w:pPr>
        <w:pStyle w:val="2"/>
        <w:rPr>
          <w:lang w:val="en-IE"/>
        </w:rPr>
      </w:pPr>
    </w:p>
  </w:endnote>
  <w:endnote w:id="3">
    <w:p w14:paraId="5783417E">
      <w:pPr>
        <w:pStyle w:val="2"/>
        <w:rPr>
          <w:lang w:val="en-IE"/>
        </w:rPr>
      </w:pPr>
    </w:p>
  </w:endnote>
  <w:endnote w:id="4">
    <w:p w14:paraId="0D599BC4">
      <w:pPr>
        <w:pStyle w:val="2"/>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143676"/>
      <w:docPartObj>
        <w:docPartGallery w:val="AutoText"/>
      </w:docPartObj>
    </w:sdtPr>
    <w:sdtContent>
      <w:sdt>
        <w:sdtPr>
          <w:id w:val="-1416395078"/>
          <w:docPartObj>
            <w:docPartGallery w:val="AutoText"/>
          </w:docPartObj>
        </w:sdtPr>
        <w:sdtContent>
          <w:p w14:paraId="2C88F95A">
            <w:pPr>
              <w:pStyle w:val="3"/>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w:t>
            </w:r>
            <w:r>
              <w:rPr>
                <w:b/>
                <w:bCs/>
                <w:sz w:val="24"/>
                <w:szCs w:val="24"/>
              </w:rPr>
              <w:fldChar w:fldCharType="end"/>
            </w:r>
          </w:p>
        </w:sdtContent>
      </w:sdt>
    </w:sdtContent>
  </w:sdt>
  <w:p w14:paraId="786DBBC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A2A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A384">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76" w:lineRule="auto"/>
      </w:pPr>
      <w:r>
        <w:separator/>
      </w:r>
    </w:p>
  </w:footnote>
  <w:footnote w:type="continuationSeparator" w:id="9">
    <w:p>
      <w:pPr>
        <w:spacing w:before="0" w:after="0" w:line="276" w:lineRule="auto"/>
      </w:pPr>
      <w:r>
        <w:continuationSeparator/>
      </w:r>
    </w:p>
  </w:footnote>
  <w:footnote w:id="0">
    <w:p w14:paraId="1A3C909E">
      <w:pPr>
        <w:pStyle w:val="5"/>
      </w:pPr>
    </w:p>
  </w:footnote>
  <w:footnote w:id="1">
    <w:p w14:paraId="64C089F8">
      <w:pPr>
        <w:pStyle w:val="5"/>
      </w:pPr>
      <w:r>
        <w:rPr>
          <w:rStyle w:val="10"/>
        </w:rPr>
        <w:t>1</w:t>
      </w:r>
      <w:r>
        <w:t>Please delete parts not applicable</w:t>
      </w:r>
    </w:p>
    <w:p w14:paraId="296124A4">
      <w:pPr>
        <w:pStyle w:val="5"/>
      </w:pPr>
      <w:r>
        <w:rPr>
          <w:rStyle w:val="10"/>
        </w:rPr>
        <w:t>1</w:t>
      </w:r>
      <w:r>
        <w:t>Please delete parts not applicable</w:t>
      </w:r>
    </w:p>
    <w:p w14:paraId="599E9D5A">
      <w:pPr>
        <w:pStyle w:val="5"/>
        <w:rPr>
          <w:lang w:val="en-IE"/>
        </w:rPr>
      </w:pPr>
      <w:r>
        <w:rPr>
          <w:rStyle w:val="9"/>
        </w:rPr>
        <w:t>2</w:t>
      </w:r>
      <w:r>
        <w:t xml:space="preserve"> Based on the notified body’s methodology for issuing quotations the relevant factors influencing the calculation should be indicated, for example the complexity of the device and the technical documentation, the volume, quality and completeness of the technical documentation, number nonconformities raised and rounds of reviews needed. These factors should be sufficiently clear for manufacturers to be able to estimate the approximate fee.</w:t>
      </w:r>
    </w:p>
    <w:p w14:paraId="54F8B4A4">
      <w:pPr>
        <w:rPr>
          <w:sz w:val="20"/>
          <w:szCs w:val="20"/>
        </w:rPr>
      </w:pPr>
      <w:r>
        <w:rPr>
          <w:rStyle w:val="9"/>
          <w:sz w:val="20"/>
          <w:szCs w:val="20"/>
        </w:rPr>
        <w:t>3</w:t>
      </w:r>
      <w:r>
        <w:rPr>
          <w:sz w:val="20"/>
          <w:szCs w:val="20"/>
        </w:rPr>
        <w:t xml:space="preserve">Range of expected fee to be paid: A minimum to maximum fee charged for the conformity assessment item. In special cases the fee can be different from the upper and lower limits indicated. For “flat fees” only to be filled if applicable. </w:t>
      </w:r>
    </w:p>
    <w:p w14:paraId="528D573A">
      <w:pPr>
        <w:rPr>
          <w:sz w:val="20"/>
          <w:szCs w:val="20"/>
          <w:lang w:val="en-IE"/>
        </w:rPr>
      </w:pPr>
      <w:r>
        <w:rPr>
          <w:rStyle w:val="9"/>
          <w:sz w:val="20"/>
          <w:szCs w:val="20"/>
        </w:rPr>
        <w:t>4</w:t>
      </w:r>
      <w:r>
        <w:rPr>
          <w:sz w:val="20"/>
          <w:szCs w:val="20"/>
        </w:rPr>
        <w:t xml:space="preserve"> In case rates may differ for onsite and offsite assessments or because of any other factors, these different rates should be shown. In cases fees differ for different types of assessments these should be shown separately. </w:t>
      </w:r>
    </w:p>
    <w:p w14:paraId="2468CC8A">
      <w:pPr>
        <w:pStyle w:val="5"/>
        <w:rPr>
          <w:lang w:val="en-IE"/>
        </w:rPr>
      </w:pPr>
      <w:r>
        <w:rPr>
          <w:rStyle w:val="10"/>
        </w:rPr>
        <w:t>5</w:t>
      </w:r>
      <w:r>
        <w:t xml:space="preserve"> If applicable, fees charged by notified bodies for conducting consultations with the relevant authorities / expert panels / EU reference laboratories, in case notified body charges fees in addition to fees payable to the consulted bodies </w:t>
      </w:r>
    </w:p>
  </w:footnote>
  <w:footnote w:id="2">
    <w:p w14:paraId="5935107F">
      <w:pPr>
        <w:rPr>
          <w:sz w:val="20"/>
          <w:szCs w:val="20"/>
        </w:rPr>
      </w:pPr>
      <w:r>
        <w:rPr>
          <w:rStyle w:val="9"/>
          <w:sz w:val="20"/>
          <w:szCs w:val="20"/>
        </w:rPr>
        <w:t>6</w:t>
      </w:r>
      <w:r>
        <w:rPr>
          <w:sz w:val="20"/>
          <w:szCs w:val="20"/>
        </w:rPr>
        <w:t xml:space="preserve"> Notified bodies should give an indication in their policy as to how the interests of SMEs are taken into consideration when setting the fees for these companies.</w:t>
      </w:r>
    </w:p>
    <w:p w14:paraId="2F8F3B7D">
      <w:pPr>
        <w:pStyle w:val="5"/>
        <w:rPr>
          <w:lang w:val="en-IE"/>
        </w:rPr>
      </w:pPr>
    </w:p>
  </w:footnote>
  <w:footnote w:id="3">
    <w:p w14:paraId="302F765A">
      <w:pPr>
        <w:pStyle w:val="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598A">
    <w:pPr>
      <w:pStyle w:val="4"/>
      <w:rPr>
        <w:rFonts w:ascii="Arial" w:hAnsi="Arial" w:cs="Arial"/>
        <w:color w:val="002060"/>
        <w:sz w:val="40"/>
        <w:szCs w:val="40"/>
        <w:lang w:val="fr-BE"/>
      </w:rPr>
    </w:pPr>
    <w:r>
      <w:rPr>
        <w:rFonts w:ascii="Arial" w:hAnsi="Arial" w:cs="Arial"/>
        <w:b/>
        <w:color w:val="002060"/>
        <w:sz w:val="40"/>
        <w:szCs w:val="40"/>
        <w:lang w:val="fr-BE"/>
      </w:rPr>
      <w:t>Medical Devices</w:t>
    </w:r>
    <w:r>
      <w:rPr>
        <w:rFonts w:ascii="Arial" w:hAnsi="Arial" w:cs="Arial"/>
        <w:color w:val="002060"/>
        <w:sz w:val="40"/>
        <w:szCs w:val="40"/>
        <w:lang w:val="fr-BE"/>
      </w:rPr>
      <w:tab/>
    </w:r>
    <w:r>
      <w:rPr>
        <w:rFonts w:ascii="Arial" w:hAnsi="Arial" w:cs="Arial"/>
        <w:color w:val="002060"/>
        <w:sz w:val="40"/>
        <w:szCs w:val="40"/>
        <w:lang w:val="fr-BE"/>
      </w:rPr>
      <w:t xml:space="preserve">    </w:t>
    </w:r>
  </w:p>
  <w:p w14:paraId="765F6F17">
    <w:pPr>
      <w:pStyle w:val="4"/>
      <w:pBdr>
        <w:bottom w:val="single" w:color="auto" w:sz="4" w:space="1"/>
      </w:pBdr>
      <w:rPr>
        <w:rFonts w:ascii="Arial" w:hAnsi="Arial" w:cs="Arial"/>
        <w:color w:val="002060"/>
        <w:sz w:val="28"/>
        <w:szCs w:val="28"/>
        <w:lang w:val="fr-BE"/>
      </w:rPr>
    </w:pPr>
    <w:r>
      <w:rPr>
        <w:rFonts w:ascii="Arial" w:hAnsi="Arial" w:cs="Arial"/>
        <w:color w:val="002060"/>
        <w:sz w:val="24"/>
        <w:szCs w:val="24"/>
        <w:lang w:val="fr-BE"/>
      </w:rPr>
      <w:t>Medical Device Coordination Group Document</w:t>
    </w:r>
    <w:r>
      <w:rPr>
        <w:rFonts w:ascii="Arial" w:hAnsi="Arial" w:cs="Arial"/>
        <w:color w:val="002060"/>
        <w:sz w:val="28"/>
        <w:szCs w:val="28"/>
        <w:lang w:val="fr-BE"/>
      </w:rPr>
      <w:t xml:space="preserve"> </w:t>
    </w:r>
    <w:r>
      <w:rPr>
        <w:rFonts w:ascii="Arial" w:hAnsi="Arial" w:cs="Arial"/>
        <w:color w:val="002060"/>
        <w:sz w:val="28"/>
        <w:szCs w:val="28"/>
        <w:lang w:val="fr-BE"/>
      </w:rPr>
      <w:tab/>
    </w:r>
    <w:r>
      <w:rPr>
        <w:rFonts w:ascii="Arial" w:hAnsi="Arial" w:cs="Arial"/>
        <w:color w:val="002060"/>
        <w:sz w:val="28"/>
        <w:szCs w:val="28"/>
        <w:lang w:val="fr-BE"/>
      </w:rPr>
      <w:t>MDCG  2023-2 IVDR form</w:t>
    </w:r>
  </w:p>
  <w:p w14:paraId="6A76827C">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96B1">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E5BC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A5D82"/>
    <w:multiLevelType w:val="multilevel"/>
    <w:tmpl w:val="33DA5D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4790738"/>
    <w:multiLevelType w:val="multilevel"/>
    <w:tmpl w:val="747907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B194AD6"/>
    <w:multiLevelType w:val="multilevel"/>
    <w:tmpl w:val="7B194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8"/>
    <w:footnote w:id="9"/>
  </w:footnotePr>
  <w:endnotePr>
    <w:endnote w:id="10"/>
    <w:endnote w:id="1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116357"/>
    <w:rsid w:val="00184E0D"/>
    <w:rsid w:val="0019430F"/>
    <w:rsid w:val="001A6A6A"/>
    <w:rsid w:val="001C00D1"/>
    <w:rsid w:val="00214B17"/>
    <w:rsid w:val="00236470"/>
    <w:rsid w:val="002C26B7"/>
    <w:rsid w:val="00306BE1"/>
    <w:rsid w:val="003B7E8C"/>
    <w:rsid w:val="003F5F19"/>
    <w:rsid w:val="00425294"/>
    <w:rsid w:val="004C5439"/>
    <w:rsid w:val="00550B2F"/>
    <w:rsid w:val="00553896"/>
    <w:rsid w:val="005B3BBD"/>
    <w:rsid w:val="005D35D6"/>
    <w:rsid w:val="00600D3B"/>
    <w:rsid w:val="00694735"/>
    <w:rsid w:val="00804E99"/>
    <w:rsid w:val="008B2664"/>
    <w:rsid w:val="009004B1"/>
    <w:rsid w:val="00903B5D"/>
    <w:rsid w:val="00937265"/>
    <w:rsid w:val="00A81404"/>
    <w:rsid w:val="00B06FF5"/>
    <w:rsid w:val="00B41A6C"/>
    <w:rsid w:val="00C073C7"/>
    <w:rsid w:val="00C40308"/>
    <w:rsid w:val="00C41E74"/>
    <w:rsid w:val="00C74468"/>
    <w:rsid w:val="00CA3EC6"/>
    <w:rsid w:val="00CE4715"/>
    <w:rsid w:val="00D13B8F"/>
    <w:rsid w:val="00D2607B"/>
    <w:rsid w:val="00D9786B"/>
    <w:rsid w:val="00F03DAB"/>
    <w:rsid w:val="00F165B9"/>
    <w:rsid w:val="00F96619"/>
    <w:rsid w:val="00FD34DB"/>
    <w:rsid w:val="00FD7186"/>
    <w:rsid w:val="5761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semiHidden/>
    <w:unhideWhenUsed/>
    <w:qFormat/>
    <w:uiPriority w:val="99"/>
    <w:pPr>
      <w:spacing w:after="0" w:line="240" w:lineRule="auto"/>
    </w:pPr>
    <w:rPr>
      <w:sz w:val="20"/>
      <w:szCs w:val="20"/>
    </w:rPr>
  </w:style>
  <w:style w:type="paragraph" w:styleId="3">
    <w:name w:val="footer"/>
    <w:basedOn w:val="1"/>
    <w:link w:val="12"/>
    <w:unhideWhenUsed/>
    <w:uiPriority w:val="99"/>
    <w:pPr>
      <w:tabs>
        <w:tab w:val="center" w:pos="4536"/>
        <w:tab w:val="right" w:pos="9072"/>
      </w:tabs>
      <w:spacing w:after="0" w:line="240" w:lineRule="auto"/>
    </w:pPr>
  </w:style>
  <w:style w:type="paragraph" w:styleId="4">
    <w:name w:val="header"/>
    <w:basedOn w:val="1"/>
    <w:link w:val="11"/>
    <w:unhideWhenUsed/>
    <w:qFormat/>
    <w:uiPriority w:val="99"/>
    <w:pPr>
      <w:tabs>
        <w:tab w:val="center" w:pos="4536"/>
        <w:tab w:val="right" w:pos="9072"/>
      </w:tabs>
      <w:spacing w:after="0" w:line="240" w:lineRule="auto"/>
    </w:pPr>
  </w:style>
  <w:style w:type="paragraph" w:styleId="5">
    <w:name w:val="footnote text"/>
    <w:basedOn w:val="1"/>
    <w:link w:val="14"/>
    <w:semiHidden/>
    <w:unhideWhenUsed/>
    <w:qFormat/>
    <w:uiPriority w:val="99"/>
    <w:pPr>
      <w:spacing w:after="0" w:line="240" w:lineRule="auto"/>
    </w:pPr>
    <w:rPr>
      <w:sz w:val="20"/>
      <w:szCs w:val="20"/>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semiHidden/>
    <w:unhideWhenUsed/>
    <w:uiPriority w:val="99"/>
    <w:rPr>
      <w:vertAlign w:val="superscript"/>
    </w:rPr>
  </w:style>
  <w:style w:type="character" w:styleId="10">
    <w:name w:val="footnote reference"/>
    <w:basedOn w:val="8"/>
    <w:semiHidden/>
    <w:unhideWhenUsed/>
    <w:qFormat/>
    <w:uiPriority w:val="99"/>
    <w:rPr>
      <w:vertAlign w:val="superscript"/>
    </w:rPr>
  </w:style>
  <w:style w:type="character" w:customStyle="1" w:styleId="11">
    <w:name w:val="Header Char"/>
    <w:basedOn w:val="8"/>
    <w:link w:val="4"/>
    <w:qFormat/>
    <w:uiPriority w:val="99"/>
  </w:style>
  <w:style w:type="character" w:customStyle="1" w:styleId="12">
    <w:name w:val="Footer Char"/>
    <w:basedOn w:val="8"/>
    <w:link w:val="3"/>
    <w:uiPriority w:val="99"/>
  </w:style>
  <w:style w:type="character" w:customStyle="1" w:styleId="13">
    <w:name w:val="Endnote Text Char"/>
    <w:basedOn w:val="8"/>
    <w:link w:val="2"/>
    <w:semiHidden/>
    <w:uiPriority w:val="99"/>
    <w:rPr>
      <w:sz w:val="20"/>
      <w:szCs w:val="20"/>
    </w:rPr>
  </w:style>
  <w:style w:type="character" w:customStyle="1" w:styleId="14">
    <w:name w:val="Footnote Text Char"/>
    <w:basedOn w:val="8"/>
    <w:link w:val="5"/>
    <w:semiHidden/>
    <w:uiPriority w:val="99"/>
    <w:rPr>
      <w:sz w:val="20"/>
      <w:szCs w:val="20"/>
    </w:rPr>
  </w:style>
  <w:style w:type="paragraph" w:styleId="15">
    <w:name w:val="No Spacing"/>
    <w:link w:val="16"/>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16">
    <w:name w:val="No Spacing Char"/>
    <w:basedOn w:val="8"/>
    <w:link w:val="15"/>
    <w:qFormat/>
    <w:uiPriority w:val="1"/>
    <w:rPr>
      <w:rFonts w:eastAsiaTheme="minorEastAsia"/>
      <w:lang w:val="en-US" w:eastAsia="ja-JP"/>
    </w:rPr>
  </w:style>
  <w:style w:type="paragraph" w:styleId="17">
    <w:name w:val="List Paragraph"/>
    <w:basedOn w:val="1"/>
    <w:qFormat/>
    <w:uiPriority w:val="34"/>
    <w:pPr>
      <w:spacing w:after="0" w:line="240" w:lineRule="auto"/>
      <w:ind w:left="720"/>
    </w:pPr>
    <w:rPr>
      <w:rFonts w:ascii="Calibri" w:hAnsi="Calibri" w:cs="Calibri"/>
      <w:lang w:val="en-US"/>
    </w:rPr>
  </w:style>
  <w:style w:type="paragraph" w:customStyle="1" w:styleId="18">
    <w:name w:val="CM1"/>
    <w:basedOn w:val="1"/>
    <w:next w:val="1"/>
    <w:qFormat/>
    <w:uiPriority w:val="99"/>
    <w:pPr>
      <w:autoSpaceDE w:val="0"/>
      <w:autoSpaceDN w:val="0"/>
      <w:adjustRightInd w:val="0"/>
      <w:spacing w:after="0" w:line="240" w:lineRule="auto"/>
    </w:pPr>
    <w:rPr>
      <w:rFonts w:ascii="Times New Roman" w:hAnsi="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DA53-6EC7-4779-B8DA-D67CD58CAFEC}">
  <ds:schemaRefs/>
</ds:datastoreItem>
</file>

<file path=docProps/app.xml><?xml version="1.0" encoding="utf-8"?>
<Properties xmlns="http://schemas.openxmlformats.org/officeDocument/2006/extended-properties" xmlns:vt="http://schemas.openxmlformats.org/officeDocument/2006/docPropsVTypes">
  <Template>Normal</Template>
  <Company>European Commission</Company>
  <Pages>3</Pages>
  <Words>251</Words>
  <Characters>1596</Characters>
  <Lines>210</Lines>
  <Paragraphs>107</Paragraphs>
  <TotalTime>2</TotalTime>
  <ScaleCrop>false</ScaleCrop>
  <LinksUpToDate>false</LinksUpToDate>
  <CharactersWithSpaces>1773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2023-01-12T09:11:00Z</dcterms:created>
  <dc:creator>TAMARIT BARRULL Anna (GROW)</dc:creator>
  <cp:lastModifiedBy>太极箫客</cp:lastModifiedBy>
  <cp:lastPrinted>2018-04-13T11:59:00Z</cp:lastPrinted>
  <dcterms:modified xsi:type="dcterms:W3CDTF">2025-08-14T06:20:13Z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E606CE4168914DE79933A931EA320E1E_12</vt:lpwstr>
  </property>
</Properties>
</file>