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1F69">
      <w:pPr>
        <w:widowControl/>
        <w:jc w:val="center"/>
        <w:rPr>
          <w:rFonts w:cs="宋体" w:eastAsiaTheme="minorHAnsi"/>
          <w:kern w:val="0"/>
          <w:sz w:val="32"/>
          <w:szCs w:val="32"/>
        </w:rPr>
      </w:pPr>
      <w:bookmarkStart w:id="0" w:name="_GoBack"/>
      <w:bookmarkEnd w:id="0"/>
      <w:r>
        <w:rPr>
          <w:rFonts w:cs="宋体" w:eastAsiaTheme="minorHAnsi"/>
          <w:b/>
          <w:bCs/>
          <w:kern w:val="0"/>
          <w:sz w:val="32"/>
          <w:szCs w:val="32"/>
        </w:rPr>
        <w:t>IVDR分类规则变化</w:t>
      </w:r>
    </w:p>
    <w:p w14:paraId="2DB4D4B7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0D51349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br w:type="textWrapping"/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1. 新法规IVDR对制造商的要求有重大改变，引入全新“</w:t>
      </w: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基于风险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”的分类规则，即：</w:t>
      </w: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Class A(低风险)、Class B、Class C、Class D(高风险)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四大类。</w:t>
      </w:r>
    </w:p>
    <w:p w14:paraId="7F5B62F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2. Class B/C/D涵盖：自测或床旁、伴随诊断、专业用途。</w:t>
      </w:r>
    </w:p>
    <w:p w14:paraId="6FF07CF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3. Class D产品认证需获得欧盟参考实验室EURL形式检测报告，并且上市后批次由公告机构定期抽检。</w:t>
      </w:r>
    </w:p>
    <w:p w14:paraId="77F6E47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4. Class C/D，经济运营商尤其是制造商应建立上市后监督体系,并定期更新上市后监督报告和定期安全更新报告。</w:t>
      </w:r>
    </w:p>
    <w:p w14:paraId="55A7E094">
      <w:pPr>
        <w:widowControl/>
        <w:spacing w:after="2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color w:val="000000"/>
          <w:kern w:val="0"/>
          <w:szCs w:val="21"/>
        </w:rPr>
        <w:br w:type="textWrapping"/>
      </w:r>
      <w:r>
        <w:rPr>
          <w:rFonts w:ascii="AlibabaPuHuiTiR" w:hAnsi="AlibabaPuHuiTiR" w:eastAsia="宋体" w:cs="宋体"/>
          <w:color w:val="000000"/>
          <w:kern w:val="0"/>
          <w:szCs w:val="21"/>
        </w:rPr>
        <w:br w:type="textWrapping"/>
      </w:r>
    </w:p>
    <w:p w14:paraId="245F79E4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IVDR产品适用范围</w:t>
      </w:r>
    </w:p>
    <w:p w14:paraId="7DD3D76C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42FC41E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√ 适用于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：</w:t>
      </w:r>
    </w:p>
    <w:p w14:paraId="6278CB2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试剂(液体、干粉)、试剂条、基因芯片等；</w:t>
      </w:r>
    </w:p>
    <w:p w14:paraId="4F17672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校准品、质控品、阴(阳)性对照品；</w:t>
      </w:r>
    </w:p>
    <w:p w14:paraId="4FDCE29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临床检验使用的耗材配件、样本保存容器；</w:t>
      </w:r>
    </w:p>
    <w:p w14:paraId="67EC8C4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临床检验实验室仪器、设备</w:t>
      </w:r>
    </w:p>
    <w:p w14:paraId="78CE2AB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独立分析软件和系统。</w:t>
      </w:r>
    </w:p>
    <w:p w14:paraId="1849FE7C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69B49783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×不适用于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：</w:t>
      </w:r>
    </w:p>
    <w:p w14:paraId="50256CD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科研用产品Research-Use Only(RUO产品)；</w:t>
      </w:r>
    </w:p>
    <w:p w14:paraId="46CD04F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直接接触人体的侵入性器械(如采血针、拭子)；</w:t>
      </w:r>
    </w:p>
    <w:p w14:paraId="42444C8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国际参考品、标准品、纯品；</w:t>
      </w:r>
    </w:p>
    <w:p w14:paraId="5139886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用于执法的器械(如毒品药品检测、亲子鉴定、法医鉴定)；</w:t>
      </w:r>
    </w:p>
    <w:p w14:paraId="2731ABD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·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兽用体外诊断试剂。</w:t>
      </w:r>
    </w:p>
    <w:p w14:paraId="3799E5DE">
      <w:pPr>
        <w:widowControl/>
        <w:spacing w:after="2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color w:val="000000"/>
          <w:kern w:val="0"/>
          <w:szCs w:val="21"/>
        </w:rPr>
        <w:br w:type="textWrapping"/>
      </w:r>
      <w:r>
        <w:rPr>
          <w:rFonts w:ascii="AlibabaPuHuiTiR" w:hAnsi="AlibabaPuHuiTiR" w:eastAsia="宋体" w:cs="宋体"/>
          <w:color w:val="000000"/>
          <w:kern w:val="0"/>
          <w:szCs w:val="21"/>
        </w:rPr>
        <w:br w:type="textWrapping"/>
      </w:r>
    </w:p>
    <w:p w14:paraId="2614472C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IVDR分类名词解释</w:t>
      </w:r>
    </w:p>
    <w:p w14:paraId="72FB2E6F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2931552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br w:type="textWrapping"/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br w:type="textWrapping"/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【</w:t>
      </w: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预期目的 Intended Purpose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】</w:t>
      </w:r>
    </w:p>
    <w:p w14:paraId="649CAAA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器械分类由制造商指定的预期目的所定义。因此，制造商应清晰说明器械预期目的，预期目的不同将导致同个器械被归为不同类型甚至高风险类别。</w:t>
      </w:r>
    </w:p>
    <w:p w14:paraId="694CDC8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如果引用特定分类依据作为产品预期目的，制造商必须在随附信息中清晰表明器械用于此类特定目的。</w:t>
      </w:r>
    </w:p>
    <w:p w14:paraId="44B528E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如果适用多个分类依据，则应充分说明器械预期目的以明确其分类，“模棱两可、不置可否”的描述可能导致器械被归为更高风险类别。</w:t>
      </w:r>
    </w:p>
    <w:p w14:paraId="74EEAAB6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0317F9F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【</w:t>
      </w: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监测器械/筛查器械 Devices for Monitoring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】</w:t>
      </w:r>
    </w:p>
    <w:p w14:paraId="49DC1C5E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用于测量分析物水平，以根据需要调整治疗/干预。</w:t>
      </w:r>
    </w:p>
    <w:p w14:paraId="1C39142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用于检测未表现出临床症状的个体、胚胎或胎儿样本中，疾病、紊乱或其他生理状态的存在或倾向。</w:t>
      </w:r>
    </w:p>
    <w:p w14:paraId="54C5CF2A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43A9594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【</w:t>
      </w: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独立软件 IVD Software</w:t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】</w:t>
      </w:r>
    </w:p>
    <w:p w14:paraId="52D386A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预期用途：即通过软件的图像处理、数据分析可作为诊断辅助、诊断依据。</w:t>
      </w:r>
    </w:p>
    <w:p w14:paraId="17E2CBC2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独立：软件载体为独立非内嵌式(如U盘\云盘\APP)。</w:t>
      </w:r>
    </w:p>
    <w:p w14:paraId="72AF7F54">
      <w:pPr>
        <w:widowControl/>
        <w:spacing w:after="2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 w14:paraId="51B4C003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IVDR分类系统</w:t>
      </w:r>
    </w:p>
    <w:p w14:paraId="1E370EBB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413CD507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 xml:space="preserve">分类依据 </w:t>
      </w:r>
    </w:p>
    <w:p w14:paraId="55C5571E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br w:type="textWrapping"/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br w:type="textWrapping"/>
      </w: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A. 分类规则的适用应依据产品预期目的(Intended Purpose)；</w:t>
      </w:r>
    </w:p>
    <w:p w14:paraId="0EABF11E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分类规则适用于所有技术(例:抗原、抗体、基因、POCT等)；</w:t>
      </w:r>
    </w:p>
    <w:p w14:paraId="754DCFD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分类规则适用于所有样本类型。</w:t>
      </w:r>
    </w:p>
    <w:p w14:paraId="452BFB1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B. 驱动设备或影响设备使用的软件或系统，应与设备被归为同一类；</w:t>
      </w:r>
    </w:p>
    <w:p w14:paraId="434CAF5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单独作用的软件或系统则根据其预期用途进行分类。</w:t>
      </w:r>
    </w:p>
    <w:p w14:paraId="6FEFA4D3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C. 检测试剂盒与对应检测仪器，应作为两种类型的产品进行分类。</w:t>
      </w:r>
    </w:p>
    <w:p w14:paraId="5793150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D. 制造商为产品声明多个预期用途，则产品可分为多个类别，应被归入最高风险的类别进行管理。</w:t>
      </w:r>
    </w:p>
    <w:p w14:paraId="409AC0C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E. 同一产品适用多个分类规则，则适用最高风险的分类规则。</w:t>
      </w:r>
    </w:p>
    <w:p w14:paraId="0BE26937">
      <w:pPr>
        <w:widowControl/>
        <w:spacing w:after="2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color w:val="000000"/>
          <w:kern w:val="0"/>
          <w:szCs w:val="21"/>
        </w:rPr>
        <w:br w:type="textWrapping"/>
      </w:r>
    </w:p>
    <w:p w14:paraId="07EB0B12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 xml:space="preserve">分类规则 </w:t>
      </w:r>
    </w:p>
    <w:p w14:paraId="5F146BD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br w:type="textWrapping"/>
      </w: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D类-Rule 1</w:t>
      </w:r>
    </w:p>
    <w:p w14:paraId="2D79B05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检测对象(血液、血液成分、细胞、组织或器官或其衍生物)中是否存在可传播物,以评估其是否适合用途(输血、移植或细胞处理)：</w:t>
      </w:r>
    </w:p>
    <w:p w14:paraId="306F751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-2002/98/EC(关于血液)、2006/17/EC(关于组织和细胞)；</w:t>
      </w:r>
    </w:p>
    <w:p w14:paraId="3EEAD72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-乙型肝炎病毒表面抗原(HBs-Ag)；</w:t>
      </w:r>
    </w:p>
    <w:p w14:paraId="524BF18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-丙型肝炎病毒(HCV)、人类免疫缺陷病毒(HIV-1/2)；</w:t>
      </w:r>
    </w:p>
    <w:p w14:paraId="467E3232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-2006/17/EC(关于组织和细胞)组织捐献者筛查疟疾(Malaria)、梅毒(Syphilis)、人类T淋巴细胞白血病病毒1型(HTLV-1)、巨细胞病毒(CMV)、弓形虫、克氏锥虫的抗原/PCR。</w:t>
      </w:r>
    </w:p>
    <w:p w14:paraId="725873B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检测是否存在威胁生命、具有高度或潜在高度传播风险的传染因子：</w:t>
      </w:r>
    </w:p>
    <w:p w14:paraId="465B2AB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丙型肝炎病毒(HCV)、丁型肝炎病毒(HDV)、出血热病毒(埃博拉、马尔堡、拉沙热)、高致病性流感病毒(甲型、乙型流感、H1N1)、中东呼吸综合征(MERS)、冠状病毒(SARS、新冠)、天花病毒、克雅氏病(用于人类检测的疯牛病)。</w:t>
      </w:r>
    </w:p>
    <w:p w14:paraId="32835B9E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检测威胁生命的疾病感染量(程度)，对患者管理过程中的监测至关重要：</w:t>
      </w:r>
    </w:p>
    <w:p w14:paraId="745E96C2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 病毒载量(通常以核酸扩增测试NAT进行)；</w:t>
      </w:r>
    </w:p>
    <w:p w14:paraId="6BCA92E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 艾滋病毒载量、乙型肝炎病毒载量、丙型肝炎病毒载量。</w:t>
      </w:r>
    </w:p>
    <w:p w14:paraId="55737114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</w:p>
    <w:p w14:paraId="48C5E42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C类-Rule 2</w:t>
      </w:r>
    </w:p>
    <w:p w14:paraId="6ACEAED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用于血液分型或组织分型,以确保用于输血\移植或细胞处理的血液\血制品\细胞\组织的免疫学相容性：</w:t>
      </w:r>
    </w:p>
    <w:p w14:paraId="161665E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-骨髓移植需筛查的HLA分型(人类白细胞分型)及HLA测序软件、红细胞标志物；</w:t>
      </w:r>
    </w:p>
    <w:p w14:paraId="7450ACE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-沙眼衣原体、人乳头瘤病毒HPV、梅毒Syphilis、淋病耐瑟氏菌、解脲支原体、阴道毛滴虫；</w:t>
      </w:r>
    </w:p>
    <w:p w14:paraId="56070804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-细菌性病原体：肺炎链球菌、B族链球菌、脑膜炎奈瑟氏菌、乙型流感嗜血杆菌、结核杆菌、病原真菌(新型隐球菌脑膜炎、曲霉菌肺炎)；</w:t>
      </w:r>
    </w:p>
    <w:p w14:paraId="66CB6E7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-病毒性病原体：单纯疱疹病毒1和2(HSV)、呼吸道合胞病毒、肠病毒、腺病毒、人类疱疹病毒6、水痘-带状疱疹病毒、登革热病毒、寨卡病毒、甲型肝炎病毒，戊型肝炎病毒。</w:t>
      </w:r>
    </w:p>
    <w:p w14:paraId="2559FCD0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</w:p>
    <w:p w14:paraId="08447DC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C类-Rule 3</w:t>
      </w:r>
    </w:p>
    <w:p w14:paraId="4699CFF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3a：适用于性传播为主，检测是否感染传播疾病：</w:t>
      </w:r>
    </w:p>
    <w:p w14:paraId="15CC626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沙眼衣原体、人乳头瘤病毒(HPV)、梅毒(Syphilis)、淋病耐瑟氏菌、解脲支原体、阴道毛滴虫。</w:t>
      </w:r>
    </w:p>
    <w:p w14:paraId="5CE7757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3b：检测脑脊液或血液中是否存在疑似高度传染风险的感染性病原体：</w:t>
      </w:r>
    </w:p>
    <w:p w14:paraId="36930A1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-细菌性病原体：肺炎链球菌、B族链球菌、脑膜炎奈瑟氏菌、乙型流感嗜血杆菌、结核杆菌；</w:t>
      </w:r>
    </w:p>
    <w:p w14:paraId="41F7BBD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病原真菌：新型隐球菌脑膜炎、曲霉菌肺炎、病毒性病原体（单纯疱疹病毒1和2(HSV)、呼吸道合胞病毒、肠病毒、腺病毒、人类疱疹病毒6、水痘-带状疱疹病毒、登革热病毒、寨卡病毒、甲型肝炎病毒，戊型肝炎病毒）；</w:t>
      </w:r>
    </w:p>
    <w:p w14:paraId="57EF42D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-不适用于传染因子抗体的检测；</w:t>
      </w:r>
    </w:p>
    <w:p w14:paraId="10E3EA0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-用于检测脑脊液或血液样本中相关传染因子的微生物培养基。</w:t>
      </w:r>
    </w:p>
    <w:p w14:paraId="1294EF2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3c：用于检测传染因子的存在，若检测结果错误具有导致个人或其胎儿、胎盘、后代死亡或严重残疾的重大风险，适用于所有样本类型：</w:t>
      </w:r>
    </w:p>
    <w:p w14:paraId="76A8376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-B型流感嗜血杆菌脑膜炎\麻风杆菌\风疹\麻疹\脊髓灰质炎\细小病毒B19\诺如病毒\小儿麻痹病毒三型\耐甲氧西林金黄色葡萄球菌\多药耐药肠杆菌；</w:t>
      </w:r>
    </w:p>
    <w:p w14:paraId="2E629B7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-不适用于传染因子抗体的检测。</w:t>
      </w:r>
    </w:p>
    <w:p w14:paraId="17F3533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3d：孕妇产前检查，以确定孕妇对可传染因子的免疫状态：</w:t>
      </w:r>
    </w:p>
    <w:p w14:paraId="6CCB374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本规则用于胎儿出生前对孕妇进行的筛查，以确定是否存在传染性病原体，以母婴传播路径为主：感染风疹病毒(RV)、弓形虫(TOX)、巨细胞病毒(CMV)、单纯疱疹病毒(HSV)等抗体类检测试剂。</w:t>
      </w:r>
    </w:p>
    <w:p w14:paraId="4B1536C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3e：用于检测传染病感染或免疫状态，若检测结果错误可能导致错误的临床诊断，从而威胁病人或病人后代生命：</w:t>
      </w:r>
    </w:p>
    <w:p w14:paraId="07E4285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免疫状态(病原体感染、疫苗接种、过敏反应、免疫毒性、自身免疫等)；</w:t>
      </w:r>
    </w:p>
    <w:p w14:paraId="56ED8C7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举 例:  粪便中伤寒沙门氏菌、风疹病毒IgM抗体检测或定量检测、戊型肝炎病毒IgM抗体检测或定量检测、病毒特异性核酸定量检测(肠病毒、巨细胞病毒、腺病毒)、新冠中和抗体、过敏原、IgA/IgM/IgG抗体检测。</w:t>
      </w:r>
    </w:p>
    <w:p w14:paraId="7231B34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3f：用于伴随诊断CDx,专业\自测血糖仪器。</w:t>
      </w:r>
    </w:p>
    <w:p w14:paraId="77B777A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3g：用于病程阶段诊断，若检测结果错误可能导致错误临床判断，从而威胁病人或病人后代：</w:t>
      </w:r>
    </w:p>
    <w:p w14:paraId="5476C30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B型脑钠肽(BNP)、肌钙蛋白(CtNI)、C肽、抗链球菌溶血素O(ASO)、类风湿(RF)、生成与纤维化水平相关的增强型肝纤维化(ELF)评分软件、终末期肝病(MELD)评分模型。</w:t>
      </w:r>
    </w:p>
    <w:p w14:paraId="6B257AC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3h：用于癌症或恶性肿瘤筛查\诊断或分期:</w:t>
      </w:r>
    </w:p>
    <w:p w14:paraId="17E4E35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FOB、PSA、CA125\CA153、FISH(淋巴瘤、多发性骨髓瘤、血友病)。</w:t>
      </w:r>
    </w:p>
    <w:p w14:paraId="42F24491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3i：用于人类基因测试：</w:t>
      </w:r>
    </w:p>
    <w:p w14:paraId="633D3ED9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18三体、21三体、乳腺癌/卵巢癌BRCA1或BRCA2基因、XY染色体疾病(血友病)</w:t>
      </w:r>
    </w:p>
    <w:p w14:paraId="3FA0F24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CYP2C9和CYP2C19(药物基因组学)、新生儿筛查、产前基因筛查、PGD基因检测(试管婴儿重要检测)。</w:t>
      </w:r>
    </w:p>
    <w:p w14:paraId="1C7C949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3j：用于监测药物或其他生物物质浓度，若检测结果错误可能导致错误临床诊断，从而威胁病人或病人后代生命：</w:t>
      </w:r>
    </w:p>
    <w:p w14:paraId="725E5C05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心肌标志物(CK-MB/CK)、皮质醇、血淀粉酶、胰淀粉酶、新生儿黄疸治疗中的胆红素监测、感染三指标(CRP、降钙素原PCT、白细胞介素6)。</w:t>
      </w:r>
    </w:p>
    <w:p w14:paraId="28FD17DD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3k：用于管理患有威胁生命疾病或处于生命危险状态的病人：</w:t>
      </w:r>
    </w:p>
    <w:p w14:paraId="1089506E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CD4/CD8(观察HIV免疫系统能力)、D-Dimer(血栓、脑梗、心梗)、HIV耐药试剂盒、B型脑钠肽(BNP)、肌钙蛋白(CtNI)、C肽、抗链球菌溶血素O(ASO)、类风湿(RF)、生成与纤维化水平相关的增强型肝纤维化(ELF)评分软件、终末期肝病(MELD)评分模型、凝血四项、糖化血红蛋白。</w:t>
      </w:r>
    </w:p>
    <w:p w14:paraId="7EDF48F3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3l &amp; 3m：</w:t>
      </w:r>
    </w:p>
    <w:p w14:paraId="56FE8CEF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AlibabaPuHuiTiR" w:hAnsi="AlibabaPuHuiTiR" w:eastAsia="宋体" w:cs="宋体"/>
          <w:color w:val="A5C8FF"/>
          <w:kern w:val="0"/>
          <w:szCs w:val="21"/>
        </w:rPr>
        <w:t>-</w:t>
      </w:r>
      <w:r>
        <w:rPr>
          <w:rFonts w:ascii="AlibabaPuHuiTiR" w:hAnsi="AlibabaPuHuiTiR" w:eastAsia="宋体" w:cs="宋体"/>
          <w:color w:val="000000"/>
          <w:kern w:val="0"/>
          <w:szCs w:val="21"/>
        </w:rPr>
        <w:t>用于筛查胚胎或胎儿中的先天性疾病；</w:t>
      </w:r>
      <w:r>
        <w:rPr>
          <w:rFonts w:ascii="AlibabaPuHuiTiR" w:hAnsi="AlibabaPuHuiTiR" w:eastAsia="宋体" w:cs="宋体"/>
          <w:color w:val="A5C8FF"/>
          <w:kern w:val="0"/>
          <w:szCs w:val="21"/>
        </w:rPr>
        <w:t>-</w:t>
      </w:r>
      <w:r>
        <w:rPr>
          <w:rFonts w:ascii="AlibabaPuHuiTiR" w:hAnsi="AlibabaPuHuiTiR" w:eastAsia="宋体" w:cs="宋体"/>
          <w:color w:val="000000"/>
          <w:kern w:val="0"/>
          <w:szCs w:val="21"/>
        </w:rPr>
        <w:t>用于筛查新生儿先天性疾病，以及随后的治疗不成功可能导致危及生命的情况或严重残疾：唐氏综合症、G6PD(蚕豆病)、半乳糖血症、13/18/21三体。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b/>
          <w:bCs/>
          <w:color w:val="021EAA"/>
          <w:kern w:val="0"/>
          <w:szCs w:val="21"/>
        </w:rPr>
        <w:br w:type="textWrapping"/>
      </w:r>
      <w:r>
        <w:rPr>
          <w:rFonts w:ascii="宋体" w:hAnsi="宋体" w:eastAsia="宋体" w:cs="宋体"/>
          <w:b/>
          <w:bCs/>
          <w:color w:val="021EAA"/>
          <w:kern w:val="0"/>
          <w:szCs w:val="21"/>
        </w:rPr>
        <w:t xml:space="preserve">B类-Rule 4 </w:t>
      </w:r>
      <w:r>
        <w:rPr>
          <w:rFonts w:ascii="宋体" w:hAnsi="宋体" w:eastAsia="宋体" w:cs="宋体"/>
          <w:color w:val="021EAA"/>
          <w:kern w:val="0"/>
          <w:szCs w:val="21"/>
        </w:rPr>
        <w:t>&amp;</w:t>
      </w:r>
      <w:r>
        <w:rPr>
          <w:rFonts w:ascii="宋体" w:hAnsi="宋体" w:eastAsia="宋体" w:cs="宋体"/>
          <w:b/>
          <w:bCs/>
          <w:color w:val="021EAA"/>
          <w:kern w:val="0"/>
          <w:szCs w:val="21"/>
        </w:rPr>
        <w:t xml:space="preserve"> Rule 6</w:t>
      </w:r>
      <w:r>
        <w:rPr>
          <w:rFonts w:ascii="宋体" w:hAnsi="宋体" w:eastAsia="宋体" w:cs="宋体"/>
          <w:b/>
          <w:bCs/>
          <w:color w:val="021EAA"/>
          <w:kern w:val="0"/>
          <w:szCs w:val="21"/>
        </w:rPr>
        <w:br w:type="textWrapping"/>
      </w:r>
      <w:r>
        <w:rPr>
          <w:rFonts w:ascii="AlibabaPuHuiTiR" w:hAnsi="AlibabaPuHuiTiR" w:eastAsia="宋体" w:cs="宋体"/>
          <w:color w:val="A5C8FF"/>
          <w:kern w:val="0"/>
          <w:szCs w:val="21"/>
        </w:rPr>
        <w:t xml:space="preserve">■ </w:t>
      </w:r>
      <w:r>
        <w:rPr>
          <w:rFonts w:ascii="AlibabaPuHuiTiR" w:hAnsi="AlibabaPuHuiTiR" w:eastAsia="宋体" w:cs="宋体"/>
          <w:color w:val="000000"/>
          <w:kern w:val="0"/>
          <w:szCs w:val="21"/>
        </w:rPr>
        <w:t>用于怀孕、生育、胆固醇水平、尿液中葡萄糖、乳酸、红细胞、白细胞、细菌的自测：如早早孕试纸。</w:t>
      </w:r>
    </w:p>
    <w:p w14:paraId="7E7193FF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注意：HIV、新冠自测归为Class D、输血前ABO兼容性测试卡(接受者床旁使用以预防不相容输血)为Class D、用于患者监测血糖的试纸为Class C。</w:t>
      </w:r>
    </w:p>
    <w:p w14:paraId="6647A268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未列入C和D类的产品：用于激素、维生素、酶、代谢标记物、电解质和底物的临床化学检测、大多数免疫组织化学病理检测、对个人有中度风险且不易传播的传染性病原体检测的体外诊断产品，都可能被归为此类。</w:t>
      </w:r>
    </w:p>
    <w:p w14:paraId="652E6AE3"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 w14:paraId="40C77103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b/>
          <w:bCs/>
          <w:color w:val="222222"/>
          <w:kern w:val="0"/>
          <w:sz w:val="23"/>
          <w:szCs w:val="23"/>
        </w:rPr>
        <w:t>A类-Rule 5</w:t>
      </w:r>
    </w:p>
    <w:p w14:paraId="3E47652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5a：制造商专门用于特定体外诊断项目的实验室常用产品或附件，规则不适用于一般实验室用品，除非其预期目的仅限于体外诊断使用。</w:t>
      </w:r>
    </w:p>
    <w:p w14:paraId="5400FDB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5b：专门用于体外诊断程序的仪器：免疫荧光仪、PCR仪、核酸提取仪、核酸扩增仪、生化仪、电解质分析仪、洗板机、酶标仪。</w:t>
      </w:r>
    </w:p>
    <w:p w14:paraId="4512EA5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■ Rule 5c：与特定检查有关的标本容器：采样管、唾液收集器、尿杯、粪便收集器</w:t>
      </w:r>
    </w:p>
    <w:p w14:paraId="77F13DF4">
      <w:pPr>
        <w:rPr>
          <w:rFonts w:hint="eastAsia"/>
        </w:rPr>
      </w:pPr>
      <w:r>
        <w:rPr>
          <w:rFonts w:ascii="&amp;quot;" w:hAnsi="&amp;quot;" w:eastAsia="宋体" w:cs="宋体"/>
          <w:color w:val="222222"/>
          <w:kern w:val="0"/>
          <w:sz w:val="23"/>
          <w:szCs w:val="23"/>
        </w:rPr>
        <w:t>注意:带针的真空取血管,因其灭菌需公告机构审核。</w:t>
      </w:r>
    </w:p>
    <w:p w14:paraId="48663EBB">
      <w:pPr>
        <w:widowControl/>
        <w:jc w:val="center"/>
        <w:rPr>
          <w:rFonts w:hint="eastAsia" w:eastAsia="等线"/>
          <w:lang w:eastAsia="zh-CN"/>
        </w:rPr>
      </w:pPr>
    </w:p>
    <w:p w14:paraId="119225DB">
      <w:pPr>
        <w:widowControl/>
        <w:jc w:val="center"/>
        <w:rPr>
          <w:rFonts w:hint="eastAsia" w:eastAsia="等线"/>
          <w:lang w:eastAsia="zh-CN"/>
        </w:rPr>
      </w:pPr>
    </w:p>
    <w:p w14:paraId="58A2FB17">
      <w:pPr>
        <w:widowControl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;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ibabaPuHuiTi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5"/>
    <w:rsid w:val="00100E20"/>
    <w:rsid w:val="00530A97"/>
    <w:rsid w:val="00D07243"/>
    <w:rsid w:val="00E12145"/>
    <w:rsid w:val="59A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3257</Words>
  <Characters>3817</Characters>
  <Lines>28</Lines>
  <Paragraphs>8</Paragraphs>
  <TotalTime>0</TotalTime>
  <ScaleCrop>false</ScaleCrop>
  <LinksUpToDate>false</LinksUpToDate>
  <CharactersWithSpaces>3898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2024-07-16T00:11:00Z</dcterms:created>
  <dc:creator>健春 韩</dc:creator>
  <cp:lastModifiedBy>太极箫客</cp:lastModifiedBy>
  <dcterms:modified xsi:type="dcterms:W3CDTF">2025-08-14T06:19:47Z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AC3DABFD4FE94D63B7F2DEB01ECEFA89_12</vt:lpwstr>
  </property>
</Properties>
</file>