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A191">
      <w:pPr>
        <w:widowControl/>
        <w:jc w:val="center"/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</w:rPr>
        <w:t>IVDR上市后性能跟踪PMPF解析</w:t>
      </w:r>
    </w:p>
    <w:p w14:paraId="2CE863FF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上市后性能跟踪的作用</w:t>
      </w:r>
    </w:p>
    <w:p w14:paraId="6A510839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b/>
          <w:bCs/>
          <w:color w:val="FF0000"/>
          <w:kern w:val="0"/>
          <w:sz w:val="23"/>
          <w:szCs w:val="23"/>
        </w:rPr>
        <w:t>IVDR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加强了上市前阶段进行性能评估的要求。此外，IVDR要求制造商在产品整个生命周期中持续监测产品性能。因此，在产品上市后阶段，需要开展上市后性能跟踪PMPF。而PMPF是上市后监督（以下简称PMS）的重要组成部分。产品一旦上市，PMS系统将主动和被动地收集产品的使用经验。IVDR要求制订PMS计划，并由制造商在其他经济运营商的帮助下执行，目的是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确定制造商是否需要采取纠正措施以提高设备的安全性和性能。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同样的，产品上市后PMPF将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持续收集与产品性能相关的所有数据，识别新的或突发的风险，并保持受益-风险比的可接受性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。PMPF通过对性能评价的持续跟踪，确保PMPF反映了当前技术水平。</w:t>
      </w:r>
    </w:p>
    <w:p w14:paraId="41B563B3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66BEA091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3A22D303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上市后性能跟踪的目标</w:t>
      </w:r>
    </w:p>
    <w:p w14:paraId="6505E8FD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① 确认产品在生命周期中的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安全和性能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；</w:t>
      </w:r>
    </w:p>
    <w:p w14:paraId="2EC81604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② 识别之前未知的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风险、性能限制、禁忌症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；</w:t>
      </w:r>
    </w:p>
    <w:p w14:paraId="4D0164B4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③ 根据事实证据识别分析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突发风险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；</w:t>
      </w:r>
    </w:p>
    <w:p w14:paraId="498131A5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④ 确保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临床证据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、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风险收益比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的可接受性；</w:t>
      </w:r>
    </w:p>
    <w:p w14:paraId="7C5A6220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⑤ 识别产品可能的</w:t>
      </w: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误用</w:t>
      </w:r>
      <w:r>
        <w:rPr>
          <w:rFonts w:ascii="&amp;quot" w:hAnsi="&amp;quot" w:eastAsia="宋体" w:cs="宋体"/>
          <w:color w:val="222222"/>
          <w:kern w:val="0"/>
          <w:sz w:val="26"/>
          <w:szCs w:val="26"/>
        </w:rPr>
        <w:t>。</w:t>
      </w:r>
    </w:p>
    <w:p w14:paraId="32736800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1069A3F1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3FC30328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" w:hAnsi="&amp;quot" w:eastAsia="宋体" w:cs="宋体"/>
          <w:b/>
          <w:bCs/>
          <w:color w:val="222222"/>
          <w:kern w:val="0"/>
          <w:sz w:val="26"/>
          <w:szCs w:val="26"/>
        </w:rPr>
        <w:t>上市后性能跟踪的内容</w:t>
      </w:r>
    </w:p>
    <w:p w14:paraId="375CEE9F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PMPF计划作为PMS的一部分，二者都是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产品技术文档的重要组成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。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PMPF计划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一旦开始实施，就必须建立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PMPF报告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，</w:t>
      </w:r>
      <w:r>
        <w:rPr>
          <w:rFonts w:ascii="AlibabaPuHuiTiR" w:hAnsi="AlibabaPuHuiTiR" w:eastAsia="宋体" w:cs="宋体"/>
          <w:b/>
          <w:bCs/>
          <w:color w:val="212121"/>
          <w:kern w:val="0"/>
          <w:sz w:val="23"/>
          <w:szCs w:val="23"/>
        </w:rPr>
        <w:t>PMPF的结论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也需要出现于性能评价报告中。此外，制造商应将PMS和PMPF计划整合至质量体系文件中。IVDR附录XIII part B部分，规定有详细的PMPF系统的建立步骤。制订PMPF计划时，可采用不同方式，例:使用同一个计划覆盖多个产品或产品族，或为每个产品建立PMPF计划。选择何种形式，取决于所覆盖产品的类型。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br w:type="textWrapping"/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AlibabaPuHuiTiR" w:hAnsi="AlibabaPuHuiTiR" w:eastAsia="宋体" w:cs="宋体"/>
          <w:b/>
          <w:bCs/>
          <w:kern w:val="0"/>
          <w:szCs w:val="21"/>
        </w:rPr>
        <w:t>上市后性能跟踪的更新</w:t>
      </w:r>
    </w:p>
    <w:p w14:paraId="40C068A1">
      <w:pPr>
        <w:rPr>
          <w:rFonts w:hint="eastAsia"/>
        </w:rPr>
      </w:pP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PMPF结论应被包含在性能评价报告中。而对高风险产品(C类\D类)，性能评价报告至少每年需要更新一次，PMPF报告也应进行相应的每年更新，PMPF报告的重要更新还需要被包含于PSUR和SSP中，应在必要时进行及时更新。可见，在文档管理过程中，相关文件需依照IVDR法规及时更新。因此，</w:t>
      </w:r>
      <w:r>
        <w:rPr>
          <w:rFonts w:ascii="AlibabaPuHuiTiR" w:hAnsi="AlibabaPuHuiTiR" w:eastAsia="宋体" w:cs="宋体"/>
          <w:color w:val="000000"/>
          <w:kern w:val="0"/>
          <w:sz w:val="23"/>
          <w:szCs w:val="23"/>
        </w:rPr>
        <w:t>建立健全的PMPF计划就显得尤为重要</w:t>
      </w:r>
      <w:r>
        <w:rPr>
          <w:rFonts w:ascii="AlibabaPuHuiTiR" w:hAnsi="AlibabaPuHuiTiR" w:eastAsia="宋体" w:cs="宋体"/>
          <w:color w:val="212121"/>
          <w:kern w:val="0"/>
          <w:sz w:val="23"/>
          <w:szCs w:val="23"/>
        </w:rPr>
        <w:t>。</w:t>
      </w:r>
    </w:p>
    <w:p w14:paraId="081D0F8C">
      <w:pPr>
        <w:widowControl/>
        <w:jc w:val="center"/>
        <w:rPr>
          <w:rFonts w:hint="eastAsia" w:eastAsia="等线"/>
          <w:lang w:eastAsia="zh-CN"/>
        </w:rPr>
      </w:pPr>
    </w:p>
    <w:p w14:paraId="029BCA90">
      <w:pPr>
        <w:widowControl/>
        <w:jc w:val="center"/>
        <w:rPr>
          <w:rFonts w:hint="eastAsia" w:eastAsia="等线"/>
          <w:lang w:eastAsia="zh-CN"/>
        </w:rPr>
      </w:pPr>
    </w:p>
    <w:p w14:paraId="63E820C0">
      <w:pPr>
        <w:widowControl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libabaPuHuiTi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D"/>
    <w:rsid w:val="00100E20"/>
    <w:rsid w:val="007A71AD"/>
    <w:rsid w:val="00822939"/>
    <w:rsid w:val="00854554"/>
    <w:rsid w:val="2A5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810</Characters>
  <Lines>5</Lines>
  <Paragraphs>1</Paragraphs>
  <TotalTime>1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2024-07-16T02:40:00Z</dcterms:created>
  <dc:creator>健春 韩</dc:creator>
  <cp:lastModifiedBy>太极箫客</cp:lastModifiedBy>
  <dcterms:modified xsi:type="dcterms:W3CDTF">2025-08-14T06:19:47Z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37DA76166E5F441C9B52EB14703D4900_12</vt:lpwstr>
  </property>
</Properties>
</file>