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0C130">
      <w:pPr>
        <w:pBdr>
          <w:top w:val="single" w:color="auto" w:sz="4" w:space="1"/>
        </w:pBdr>
        <w:topLinePunct/>
        <w:adjustRightInd w:val="0"/>
        <w:snapToGrid w:val="0"/>
        <w:spacing w:after="224" w:afterLines="75" w:line="288" w:lineRule="auto"/>
        <w:jc w:val="both"/>
        <w:rPr>
          <w:rFonts w:ascii="Arial" w:hAnsi="Arial" w:eastAsia="宋体" w:cs="Arial"/>
          <w:snapToGrid w:val="0"/>
          <w:sz w:val="24"/>
          <w:szCs w:val="7"/>
        </w:rPr>
      </w:pPr>
      <w:bookmarkStart w:id="8" w:name="_GoBack"/>
      <w:bookmarkEnd w:id="8"/>
    </w:p>
    <w:p w14:paraId="791983FB">
      <w:pPr>
        <w:topLinePunct/>
        <w:adjustRightInd w:val="0"/>
        <w:snapToGrid w:val="0"/>
        <w:spacing w:after="224" w:afterLines="75" w:line="288" w:lineRule="auto"/>
        <w:jc w:val="center"/>
        <w:rPr>
          <w:rFonts w:ascii="Arial" w:hAnsi="Arial" w:eastAsia="宋体" w:cs="Arial"/>
          <w:b/>
          <w:snapToGrid w:val="0"/>
          <w:sz w:val="52"/>
          <w:szCs w:val="48"/>
        </w:rPr>
      </w:pPr>
      <w:r>
        <w:rPr>
          <w:rFonts w:hint="eastAsia" w:ascii="Arial" w:hAnsi="Arial" w:eastAsia="宋体" w:cs="Arial"/>
          <w:b/>
          <w:snapToGrid w:val="0"/>
          <w:sz w:val="52"/>
          <w:szCs w:val="48"/>
        </w:rPr>
        <w:t>机构审查委员会、临床研究者及申办者指南</w:t>
      </w:r>
    </w:p>
    <w:p w14:paraId="16CCCB34">
      <w:pPr>
        <w:pStyle w:val="2"/>
        <w:topLinePunct/>
        <w:adjustRightInd w:val="0"/>
        <w:snapToGrid w:val="0"/>
        <w:spacing w:after="224" w:afterLines="75" w:line="288" w:lineRule="auto"/>
        <w:ind w:left="0" w:firstLine="0"/>
        <w:jc w:val="center"/>
        <w:rPr>
          <w:rFonts w:ascii="Arial" w:hAnsi="Arial" w:cs="Arial"/>
          <w:b/>
          <w:snapToGrid w:val="0"/>
          <w:sz w:val="44"/>
          <w:szCs w:val="48"/>
        </w:rPr>
      </w:pPr>
      <w:bookmarkStart w:id="0" w:name="OLE_LINK1"/>
      <w:bookmarkStart w:id="1" w:name="OLE_LINK2"/>
      <w:r>
        <w:rPr>
          <w:rFonts w:hint="eastAsia" w:ascii="Arial" w:hAnsi="Arial" w:cs="Arial"/>
          <w:b/>
          <w:snapToGrid w:val="0"/>
          <w:sz w:val="44"/>
          <w:szCs w:val="48"/>
        </w:rPr>
        <w:t>IRB审查研究者资格，研究中心适当性以及确定IND/IDE必要性的责任</w:t>
      </w:r>
    </w:p>
    <w:bookmarkEnd w:id="0"/>
    <w:bookmarkEnd w:id="1"/>
    <w:p w14:paraId="37557502">
      <w:pPr>
        <w:pStyle w:val="3"/>
        <w:topLinePunct/>
        <w:adjustRightInd w:val="0"/>
        <w:snapToGrid w:val="0"/>
        <w:spacing w:after="224" w:afterLines="75" w:line="288" w:lineRule="auto"/>
        <w:ind w:left="0"/>
        <w:jc w:val="both"/>
        <w:rPr>
          <w:rFonts w:ascii="Arial" w:hAnsi="Arial" w:cs="Arial"/>
          <w:snapToGrid w:val="0"/>
        </w:rPr>
      </w:pPr>
    </w:p>
    <w:p w14:paraId="3B40A6E1">
      <w:pPr>
        <w:pStyle w:val="3"/>
        <w:topLinePunct/>
        <w:adjustRightInd w:val="0"/>
        <w:snapToGrid w:val="0"/>
        <w:spacing w:after="224" w:afterLines="75" w:line="288" w:lineRule="auto"/>
        <w:ind w:left="0"/>
        <w:jc w:val="both"/>
        <w:rPr>
          <w:rFonts w:ascii="Arial" w:hAnsi="Arial" w:cs="Arial"/>
          <w:snapToGrid w:val="0"/>
        </w:rPr>
      </w:pPr>
    </w:p>
    <w:p w14:paraId="01E1C460">
      <w:pPr>
        <w:pStyle w:val="3"/>
        <w:topLinePunct/>
        <w:adjustRightInd w:val="0"/>
        <w:snapToGrid w:val="0"/>
        <w:spacing w:after="224" w:afterLines="75" w:line="288" w:lineRule="auto"/>
        <w:ind w:left="0"/>
        <w:jc w:val="both"/>
        <w:rPr>
          <w:rFonts w:ascii="Arial" w:hAnsi="Arial" w:cs="Arial"/>
          <w:snapToGrid w:val="0"/>
        </w:rPr>
      </w:pPr>
    </w:p>
    <w:p w14:paraId="07D65EC9">
      <w:pPr>
        <w:pStyle w:val="3"/>
        <w:topLinePunct/>
        <w:adjustRightInd w:val="0"/>
        <w:snapToGrid w:val="0"/>
        <w:spacing w:after="224" w:afterLines="75" w:line="288" w:lineRule="auto"/>
        <w:ind w:left="0"/>
        <w:jc w:val="both"/>
        <w:rPr>
          <w:rFonts w:ascii="Arial" w:hAnsi="Arial" w:cs="Arial"/>
          <w:snapToGrid w:val="0"/>
        </w:rPr>
      </w:pPr>
    </w:p>
    <w:p w14:paraId="2A8A88B7">
      <w:pPr>
        <w:pStyle w:val="3"/>
        <w:topLinePunct/>
        <w:adjustRightInd w:val="0"/>
        <w:snapToGrid w:val="0"/>
        <w:spacing w:after="224" w:afterLines="75" w:line="288" w:lineRule="auto"/>
        <w:ind w:left="0"/>
        <w:jc w:val="both"/>
        <w:rPr>
          <w:rFonts w:ascii="Arial" w:hAnsi="Arial" w:cs="Arial"/>
          <w:snapToGrid w:val="0"/>
        </w:rPr>
      </w:pPr>
    </w:p>
    <w:p w14:paraId="3C452BA9">
      <w:pPr>
        <w:pStyle w:val="3"/>
        <w:topLinePunct/>
        <w:adjustRightInd w:val="0"/>
        <w:snapToGrid w:val="0"/>
        <w:spacing w:after="224" w:afterLines="75" w:line="288" w:lineRule="auto"/>
        <w:ind w:left="0"/>
        <w:jc w:val="both"/>
        <w:rPr>
          <w:rFonts w:ascii="Arial" w:hAnsi="Arial" w:cs="Arial"/>
          <w:snapToGrid w:val="0"/>
        </w:rPr>
      </w:pPr>
    </w:p>
    <w:p w14:paraId="01108E37">
      <w:pPr>
        <w:pStyle w:val="3"/>
        <w:topLinePunct/>
        <w:adjustRightInd w:val="0"/>
        <w:snapToGrid w:val="0"/>
        <w:spacing w:after="224" w:afterLines="75" w:line="288" w:lineRule="auto"/>
        <w:ind w:left="0"/>
        <w:jc w:val="both"/>
        <w:rPr>
          <w:rFonts w:ascii="Arial" w:hAnsi="Arial" w:cs="Arial"/>
          <w:snapToGrid w:val="0"/>
        </w:rPr>
      </w:pPr>
    </w:p>
    <w:p w14:paraId="04487BD8">
      <w:pPr>
        <w:pStyle w:val="3"/>
        <w:topLinePunct/>
        <w:adjustRightInd w:val="0"/>
        <w:snapToGrid w:val="0"/>
        <w:spacing w:after="224" w:afterLines="75" w:line="288" w:lineRule="auto"/>
        <w:ind w:left="0"/>
        <w:jc w:val="both"/>
        <w:rPr>
          <w:rFonts w:ascii="Arial" w:hAnsi="Arial" w:cs="Arial"/>
          <w:snapToGrid w:val="0"/>
        </w:rPr>
      </w:pPr>
    </w:p>
    <w:p w14:paraId="3565739D">
      <w:pPr>
        <w:pStyle w:val="3"/>
        <w:topLinePunct/>
        <w:adjustRightInd w:val="0"/>
        <w:snapToGrid w:val="0"/>
        <w:spacing w:line="288" w:lineRule="auto"/>
        <w:ind w:left="0"/>
        <w:jc w:val="center"/>
        <w:rPr>
          <w:rFonts w:ascii="Arial" w:hAnsi="Arial" w:cs="Arial"/>
          <w:snapToGrid w:val="0"/>
        </w:rPr>
      </w:pPr>
      <w:r>
        <w:rPr>
          <w:rFonts w:hint="eastAsia" w:ascii="Arial" w:hAnsi="Arial" w:cs="Arial"/>
          <w:snapToGrid w:val="0"/>
        </w:rPr>
        <w:t>美国卫生和人类服务署</w:t>
      </w:r>
    </w:p>
    <w:p w14:paraId="5BB41FFD">
      <w:pPr>
        <w:pStyle w:val="3"/>
        <w:topLinePunct/>
        <w:adjustRightInd w:val="0"/>
        <w:snapToGrid w:val="0"/>
        <w:spacing w:line="288" w:lineRule="auto"/>
        <w:ind w:left="0"/>
        <w:jc w:val="center"/>
        <w:rPr>
          <w:rFonts w:ascii="Arial" w:hAnsi="Arial" w:cs="Arial"/>
          <w:b w:val="0"/>
          <w:bCs w:val="0"/>
          <w:snapToGrid w:val="0"/>
        </w:rPr>
      </w:pPr>
      <w:r>
        <w:rPr>
          <w:rFonts w:hint="eastAsia" w:ascii="Arial" w:hAnsi="Arial" w:cs="Arial"/>
          <w:snapToGrid w:val="0"/>
        </w:rPr>
        <w:t>食品药品监督管理局</w:t>
      </w:r>
    </w:p>
    <w:p w14:paraId="37589C3D">
      <w:pPr>
        <w:topLinePunct/>
        <w:adjustRightInd w:val="0"/>
        <w:snapToGrid w:val="0"/>
        <w:spacing w:line="288" w:lineRule="auto"/>
        <w:jc w:val="center"/>
        <w:rPr>
          <w:rFonts w:ascii="Arial" w:hAnsi="Arial" w:eastAsia="宋体" w:cs="Arial"/>
          <w:b/>
          <w:snapToGrid w:val="0"/>
          <w:sz w:val="24"/>
        </w:rPr>
      </w:pPr>
      <w:r>
        <w:rPr>
          <w:rFonts w:hint="eastAsia" w:ascii="Arial" w:hAnsi="Arial" w:eastAsia="宋体" w:cs="Arial"/>
          <w:b/>
          <w:snapToGrid w:val="0"/>
          <w:sz w:val="24"/>
        </w:rPr>
        <w:t>良好临床试验规范办公室（OGCP）</w:t>
      </w:r>
    </w:p>
    <w:p w14:paraId="72C9CAA7">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b/>
          <w:snapToGrid w:val="0"/>
          <w:sz w:val="24"/>
        </w:rPr>
        <w:t>药品评价和研究中心（CDER）</w:t>
      </w:r>
    </w:p>
    <w:p w14:paraId="2AF95642">
      <w:pPr>
        <w:topLinePunct/>
        <w:adjustRightInd w:val="0"/>
        <w:snapToGrid w:val="0"/>
        <w:spacing w:line="288" w:lineRule="auto"/>
        <w:jc w:val="center"/>
        <w:rPr>
          <w:rFonts w:ascii="Arial" w:hAnsi="Arial" w:eastAsia="宋体" w:cs="Arial"/>
          <w:b/>
          <w:snapToGrid w:val="0"/>
          <w:sz w:val="24"/>
        </w:rPr>
      </w:pPr>
      <w:r>
        <w:rPr>
          <w:rFonts w:hint="eastAsia" w:ascii="Arial" w:hAnsi="Arial" w:eastAsia="宋体" w:cs="Arial"/>
          <w:b/>
          <w:snapToGrid w:val="0"/>
          <w:sz w:val="24"/>
        </w:rPr>
        <w:t>生物制剂评价和研究中心（CBER）</w:t>
      </w:r>
    </w:p>
    <w:p w14:paraId="48ECF2AE">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b/>
          <w:snapToGrid w:val="0"/>
          <w:sz w:val="24"/>
        </w:rPr>
        <w:t>器械和放射卫生中心（CDRH）</w:t>
      </w:r>
    </w:p>
    <w:p w14:paraId="733EEC2E">
      <w:pPr>
        <w:topLinePunct/>
        <w:adjustRightInd w:val="0"/>
        <w:snapToGrid w:val="0"/>
        <w:spacing w:line="288" w:lineRule="auto"/>
        <w:jc w:val="center"/>
        <w:rPr>
          <w:rFonts w:ascii="Arial" w:hAnsi="Arial" w:eastAsia="宋体" w:cs="Arial"/>
          <w:b/>
          <w:snapToGrid w:val="0"/>
          <w:sz w:val="24"/>
        </w:rPr>
      </w:pPr>
    </w:p>
    <w:p w14:paraId="0E9DB9F5">
      <w:pPr>
        <w:topLinePunct/>
        <w:adjustRightInd w:val="0"/>
        <w:snapToGrid w:val="0"/>
        <w:spacing w:line="288" w:lineRule="auto"/>
        <w:jc w:val="center"/>
        <w:rPr>
          <w:rFonts w:ascii="Arial" w:hAnsi="Arial" w:eastAsia="宋体" w:cs="Arial"/>
          <w:b/>
          <w:snapToGrid w:val="0"/>
          <w:sz w:val="24"/>
        </w:rPr>
      </w:pPr>
    </w:p>
    <w:p w14:paraId="6FBC2DB0">
      <w:pPr>
        <w:topLinePunct/>
        <w:adjustRightInd w:val="0"/>
        <w:snapToGrid w:val="0"/>
        <w:spacing w:line="288" w:lineRule="auto"/>
        <w:jc w:val="center"/>
        <w:rPr>
          <w:rFonts w:ascii="Arial" w:hAnsi="Arial" w:eastAsia="宋体" w:cs="Arial"/>
          <w:b/>
          <w:snapToGrid w:val="0"/>
          <w:sz w:val="24"/>
        </w:rPr>
      </w:pPr>
    </w:p>
    <w:p w14:paraId="39536527">
      <w:pPr>
        <w:topLinePunct/>
        <w:adjustRightInd w:val="0"/>
        <w:snapToGrid w:val="0"/>
        <w:spacing w:line="288" w:lineRule="auto"/>
        <w:jc w:val="center"/>
        <w:rPr>
          <w:rFonts w:ascii="Arial" w:hAnsi="Arial" w:eastAsia="宋体" w:cs="Arial"/>
          <w:b/>
          <w:snapToGrid w:val="0"/>
          <w:sz w:val="24"/>
        </w:rPr>
      </w:pPr>
      <w:r>
        <w:rPr>
          <w:rFonts w:hint="eastAsia" w:ascii="Arial" w:hAnsi="Arial" w:eastAsia="宋体" w:cs="Arial"/>
          <w:b/>
          <w:snapToGrid w:val="0"/>
          <w:sz w:val="24"/>
        </w:rPr>
        <w:t>2013年8月</w:t>
      </w:r>
    </w:p>
    <w:p w14:paraId="0B5AA8BC">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b/>
          <w:snapToGrid w:val="0"/>
          <w:sz w:val="24"/>
        </w:rPr>
        <w:t>程序性</w:t>
      </w:r>
    </w:p>
    <w:p w14:paraId="7C9E699F">
      <w:pPr>
        <w:pStyle w:val="2"/>
        <w:topLinePunct/>
        <w:adjustRightInd w:val="0"/>
        <w:snapToGrid w:val="0"/>
        <w:spacing w:after="224" w:afterLines="75" w:line="288" w:lineRule="auto"/>
        <w:ind w:left="0" w:firstLine="0"/>
        <w:jc w:val="center"/>
        <w:rPr>
          <w:rFonts w:ascii="Arial" w:hAnsi="Arial" w:cs="Arial"/>
          <w:b/>
          <w:snapToGrid w:val="0"/>
          <w:sz w:val="44"/>
          <w:szCs w:val="48"/>
        </w:rPr>
      </w:pPr>
      <w:r>
        <w:rPr>
          <w:rFonts w:ascii="Arial" w:hAnsi="Arial" w:cs="Arial"/>
          <w:snapToGrid w:val="0"/>
          <w:sz w:val="24"/>
          <w:szCs w:val="24"/>
        </w:rPr>
        <w:br w:type="page"/>
      </w:r>
      <w:r>
        <w:rPr>
          <w:rFonts w:hint="eastAsia" w:ascii="Arial" w:hAnsi="Arial" w:cs="Arial"/>
          <w:b/>
          <w:snapToGrid w:val="0"/>
          <w:sz w:val="44"/>
          <w:szCs w:val="48"/>
        </w:rPr>
        <w:t>机构审查委员会、临床研究者及申办者指南</w:t>
      </w:r>
    </w:p>
    <w:p w14:paraId="16195DED">
      <w:pPr>
        <w:pStyle w:val="2"/>
        <w:topLinePunct/>
        <w:adjustRightInd w:val="0"/>
        <w:snapToGrid w:val="0"/>
        <w:spacing w:after="224" w:afterLines="75" w:line="288" w:lineRule="auto"/>
        <w:ind w:left="0" w:firstLine="0"/>
        <w:jc w:val="center"/>
        <w:rPr>
          <w:rFonts w:ascii="Arial" w:hAnsi="Arial" w:cs="Arial"/>
          <w:b/>
          <w:snapToGrid w:val="0"/>
          <w:sz w:val="44"/>
          <w:szCs w:val="48"/>
        </w:rPr>
      </w:pPr>
      <w:bookmarkStart w:id="2" w:name="OLE_LINK3"/>
      <w:bookmarkStart w:id="3" w:name="OLE_LINK4"/>
      <w:r>
        <w:rPr>
          <w:rFonts w:hint="eastAsia" w:ascii="Arial" w:hAnsi="Arial" w:cs="Arial"/>
          <w:b/>
          <w:snapToGrid w:val="0"/>
          <w:sz w:val="44"/>
          <w:szCs w:val="48"/>
        </w:rPr>
        <w:t>IRB审查研究者资格，研究中心适当性以及确定IND/IDE必要性的责任</w:t>
      </w:r>
    </w:p>
    <w:bookmarkEnd w:id="2"/>
    <w:bookmarkEnd w:id="3"/>
    <w:p w14:paraId="42D694FF">
      <w:pPr>
        <w:topLinePunct/>
        <w:adjustRightInd w:val="0"/>
        <w:snapToGrid w:val="0"/>
        <w:spacing w:line="288" w:lineRule="auto"/>
        <w:jc w:val="center"/>
        <w:rPr>
          <w:rFonts w:ascii="Arial" w:hAnsi="Arial" w:eastAsia="宋体" w:cs="Arial"/>
          <w:i/>
          <w:snapToGrid w:val="0"/>
          <w:sz w:val="20"/>
          <w:szCs w:val="20"/>
        </w:rPr>
      </w:pPr>
      <w:r>
        <w:rPr>
          <w:rFonts w:hint="eastAsia" w:ascii="Arial" w:hAnsi="Arial" w:eastAsia="宋体" w:cs="Arial"/>
          <w:i/>
          <w:snapToGrid w:val="0"/>
          <w:sz w:val="20"/>
          <w:szCs w:val="20"/>
        </w:rPr>
        <w:t>其他副本可从以下地址获得：</w:t>
      </w:r>
    </w:p>
    <w:p w14:paraId="48871BDB">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交流办公室</w:t>
      </w:r>
    </w:p>
    <w:p w14:paraId="1A6F8F4B">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药品信息部，WO51, Room 2201</w:t>
      </w:r>
    </w:p>
    <w:p w14:paraId="4318DEE4">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药品评价和研究中心</w:t>
      </w:r>
    </w:p>
    <w:p w14:paraId="26C5301B">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食品药品监督管理局</w:t>
      </w:r>
    </w:p>
    <w:p w14:paraId="10795F40">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10903 New Hampshire Ave.，Silver Spring，MD 20993</w:t>
      </w:r>
    </w:p>
    <w:p w14:paraId="354CA9EA">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电话：301-796-3400；传真：301-847-8714</w:t>
      </w:r>
    </w:p>
    <w:p w14:paraId="574F24AA">
      <w:pPr>
        <w:topLinePunct/>
        <w:adjustRightInd w:val="0"/>
        <w:snapToGrid w:val="0"/>
        <w:spacing w:line="288" w:lineRule="auto"/>
        <w:jc w:val="center"/>
        <w:rPr>
          <w:rFonts w:ascii="Arial" w:hAnsi="Arial" w:eastAsia="宋体" w:cs="Arial"/>
          <w:snapToGrid w:val="0"/>
          <w:sz w:val="20"/>
        </w:rPr>
      </w:pPr>
      <w:r>
        <w:fldChar w:fldCharType="begin"/>
      </w:r>
      <w:r>
        <w:instrText xml:space="preserve"> HYPERLINK "mailto:druginfo@fda.hhs.gov" \h </w:instrText>
      </w:r>
      <w:r>
        <w:fldChar w:fldCharType="separate"/>
      </w:r>
      <w:r>
        <w:rPr>
          <w:rFonts w:hint="eastAsia" w:ascii="Arial" w:hAnsi="Arial" w:eastAsia="宋体" w:cs="Arial"/>
          <w:i/>
          <w:snapToGrid w:val="0"/>
          <w:sz w:val="20"/>
        </w:rPr>
        <w:t>druginfo@fda.hhs.gov</w:t>
      </w:r>
      <w:r>
        <w:rPr>
          <w:rFonts w:hint="eastAsia" w:ascii="Arial" w:hAnsi="Arial" w:eastAsia="宋体" w:cs="Arial"/>
          <w:i/>
          <w:snapToGrid w:val="0"/>
          <w:sz w:val="20"/>
        </w:rPr>
        <w:fldChar w:fldCharType="end"/>
      </w:r>
      <w:r>
        <w:rPr>
          <w:rFonts w:hint="eastAsia" w:ascii="Arial" w:hAnsi="Arial" w:eastAsia="宋体" w:cs="Arial"/>
          <w:i/>
          <w:snapToGrid w:val="0"/>
          <w:sz w:val="20"/>
        </w:rPr>
        <w:t xml:space="preserve"> </w:t>
      </w:r>
      <w:r>
        <w:fldChar w:fldCharType="begin"/>
      </w:r>
      <w:r>
        <w:instrText xml:space="preserve"> HYPERLINK "http://www.fda.gov/Drugs/GuidanceComplianceRegulatoryInformation/Guidances/default.htm" \h </w:instrText>
      </w:r>
      <w:r>
        <w:fldChar w:fldCharType="separate"/>
      </w:r>
      <w:r>
        <w:rPr>
          <w:rFonts w:hint="eastAsia" w:ascii="Arial" w:hAnsi="Arial" w:eastAsia="宋体" w:cs="Arial"/>
          <w:i/>
          <w:snapToGrid w:val="0"/>
          <w:color w:val="0000FF"/>
          <w:sz w:val="20"/>
          <w:u w:val="single" w:color="0000FF"/>
        </w:rPr>
        <w:t xml:space="preserve">http://www.fda.gov/Drugs/GuidanceComplianceRegulatoryInformation/Guidances/default.htm </w:t>
      </w:r>
      <w:r>
        <w:rPr>
          <w:rFonts w:hint="eastAsia" w:ascii="Arial" w:hAnsi="Arial" w:eastAsia="宋体" w:cs="Arial"/>
          <w:i/>
          <w:snapToGrid w:val="0"/>
          <w:color w:val="0000FF"/>
          <w:sz w:val="20"/>
          <w:u w:val="single" w:color="0000FF"/>
        </w:rPr>
        <w:fldChar w:fldCharType="end"/>
      </w:r>
    </w:p>
    <w:p w14:paraId="28D53043">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和／或</w:t>
      </w:r>
    </w:p>
    <w:p w14:paraId="24B00C36">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交流、外联和开发办公室，HFM-40</w:t>
      </w:r>
    </w:p>
    <w:p w14:paraId="5D537C4F">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生物制剂评价和研究中心</w:t>
      </w:r>
    </w:p>
    <w:p w14:paraId="0E1E73D5">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食品药品监督管理局</w:t>
      </w:r>
    </w:p>
    <w:p w14:paraId="5971CFA6">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1401 Rockville Pike，Rockville，MD 20852-1448</w:t>
      </w:r>
    </w:p>
    <w:p w14:paraId="30A06DB4">
      <w:pPr>
        <w:topLinePunct/>
        <w:adjustRightInd w:val="0"/>
        <w:snapToGrid w:val="0"/>
        <w:spacing w:line="288" w:lineRule="auto"/>
        <w:jc w:val="center"/>
        <w:rPr>
          <w:rFonts w:ascii="Arial" w:hAnsi="Arial" w:eastAsia="宋体" w:cs="Arial"/>
          <w:snapToGrid w:val="0"/>
          <w:sz w:val="20"/>
        </w:rPr>
      </w:pPr>
      <w:r>
        <w:fldChar w:fldCharType="begin"/>
      </w:r>
      <w:r>
        <w:instrText xml:space="preserve"> HYPERLINK "http://www.fda.gov/BiologicsBloodVaccines/GuidanceComplianceRegulatoryInformation/Guidances/default.htm" \h </w:instrText>
      </w:r>
      <w:r>
        <w:fldChar w:fldCharType="separate"/>
      </w:r>
      <w:r>
        <w:rPr>
          <w:rFonts w:hint="eastAsia" w:ascii="Arial" w:hAnsi="Arial" w:eastAsia="宋体" w:cs="Arial"/>
          <w:i/>
          <w:snapToGrid w:val="0"/>
          <w:color w:val="0000FF"/>
          <w:sz w:val="20"/>
          <w:u w:val="single" w:color="0000FF"/>
        </w:rPr>
        <w:t xml:space="preserve">http://www.fda.gov/BiologicsBloodVaccines/GuidanceComplianceRegulatoryInformation/Guidances/default.htm </w:t>
      </w:r>
      <w:r>
        <w:rPr>
          <w:rFonts w:hint="eastAsia" w:ascii="Arial" w:hAnsi="Arial" w:eastAsia="宋体" w:cs="Arial"/>
          <w:i/>
          <w:snapToGrid w:val="0"/>
          <w:color w:val="0000FF"/>
          <w:sz w:val="20"/>
          <w:u w:val="single" w:color="0000FF"/>
        </w:rPr>
        <w:fldChar w:fldCharType="end"/>
      </w:r>
    </w:p>
    <w:p w14:paraId="4F708663">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（电话）800-835-4709或301-827-1800</w:t>
      </w:r>
    </w:p>
    <w:p w14:paraId="061A514E">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和／或</w:t>
      </w:r>
    </w:p>
    <w:p w14:paraId="2C30D176">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交流，教育和辐射计划办公室</w:t>
      </w:r>
    </w:p>
    <w:p w14:paraId="244DD5B5">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小型制造商援助部，WO66-4613</w:t>
      </w:r>
    </w:p>
    <w:p w14:paraId="4138502B">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器械和放射卫生中心</w:t>
      </w:r>
    </w:p>
    <w:p w14:paraId="2432E4C2">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食品药品监督管理局</w:t>
      </w:r>
    </w:p>
    <w:p w14:paraId="13646294">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10903 New Hampshire Ave.，Silver Spring，MD 20993</w:t>
      </w:r>
    </w:p>
    <w:p w14:paraId="0FC4BFA9">
      <w:pPr>
        <w:topLinePunct/>
        <w:adjustRightInd w:val="0"/>
        <w:snapToGrid w:val="0"/>
        <w:spacing w:line="288" w:lineRule="auto"/>
        <w:jc w:val="center"/>
        <w:rPr>
          <w:rFonts w:ascii="Arial" w:hAnsi="Arial" w:eastAsia="宋体" w:cs="Arial"/>
          <w:snapToGrid w:val="0"/>
          <w:sz w:val="20"/>
        </w:rPr>
      </w:pPr>
      <w:r>
        <w:fldChar w:fldCharType="begin"/>
      </w:r>
      <w:r>
        <w:instrText xml:space="preserve"> HYPERLINK "http://www.fda.gov/MedicalDevices/DeviceRegulationandGuidance/GuidanceDocuments/default.htm" \h </w:instrText>
      </w:r>
      <w:r>
        <w:fldChar w:fldCharType="separate"/>
      </w:r>
      <w:r>
        <w:rPr>
          <w:rFonts w:hint="eastAsia" w:ascii="Arial" w:hAnsi="Arial" w:eastAsia="宋体" w:cs="Arial"/>
          <w:i/>
          <w:snapToGrid w:val="0"/>
          <w:color w:val="0000FF"/>
          <w:sz w:val="20"/>
          <w:u w:val="single" w:color="0000FF"/>
        </w:rPr>
        <w:t xml:space="preserve">http：//www.fda.gov/MedicalDevices/DeviceRegulationandGuidance/GuidanceDocuments/default.htm </w:t>
      </w:r>
      <w:r>
        <w:rPr>
          <w:rFonts w:hint="eastAsia" w:ascii="Arial" w:hAnsi="Arial" w:eastAsia="宋体" w:cs="Arial"/>
          <w:i/>
          <w:snapToGrid w:val="0"/>
          <w:color w:val="0000FF"/>
          <w:sz w:val="20"/>
          <w:u w:val="single" w:color="0000FF"/>
        </w:rPr>
        <w:fldChar w:fldCharType="end"/>
      </w:r>
    </w:p>
    <w:p w14:paraId="121A4270">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电子邮箱：dsmica@cdrh.fda.gov；传真：301.847.8149</w:t>
      </w:r>
    </w:p>
    <w:p w14:paraId="1F66143D">
      <w:pPr>
        <w:topLinePunct/>
        <w:adjustRightInd w:val="0"/>
        <w:snapToGrid w:val="0"/>
        <w:spacing w:line="288" w:lineRule="auto"/>
        <w:jc w:val="center"/>
        <w:rPr>
          <w:rFonts w:ascii="Arial" w:hAnsi="Arial" w:eastAsia="宋体" w:cs="Arial"/>
          <w:i/>
          <w:snapToGrid w:val="0"/>
          <w:sz w:val="20"/>
        </w:rPr>
      </w:pPr>
      <w:r>
        <w:rPr>
          <w:rFonts w:hint="eastAsia" w:ascii="Arial" w:hAnsi="Arial" w:eastAsia="宋体" w:cs="Arial"/>
          <w:i/>
          <w:snapToGrid w:val="0"/>
          <w:sz w:val="20"/>
        </w:rPr>
        <w:t>（电话）制造商援助：800.638.2041或301.796.7100</w:t>
      </w:r>
    </w:p>
    <w:p w14:paraId="66EE23E5">
      <w:pPr>
        <w:topLinePunct/>
        <w:adjustRightInd w:val="0"/>
        <w:snapToGrid w:val="0"/>
        <w:spacing w:line="288" w:lineRule="auto"/>
        <w:jc w:val="center"/>
        <w:rPr>
          <w:rFonts w:ascii="Arial" w:hAnsi="Arial" w:eastAsia="宋体" w:cs="Arial"/>
          <w:snapToGrid w:val="0"/>
          <w:sz w:val="20"/>
          <w:szCs w:val="20"/>
        </w:rPr>
      </w:pPr>
      <w:r>
        <w:rPr>
          <w:rFonts w:hint="eastAsia" w:ascii="Arial" w:hAnsi="Arial" w:eastAsia="宋体" w:cs="Arial"/>
          <w:i/>
          <w:snapToGrid w:val="0"/>
          <w:sz w:val="20"/>
        </w:rPr>
        <w:t>（电话）国际工作人员电话：301.827.3993</w:t>
      </w:r>
    </w:p>
    <w:p w14:paraId="258D0F28">
      <w:pPr>
        <w:pStyle w:val="3"/>
        <w:topLinePunct/>
        <w:adjustRightInd w:val="0"/>
        <w:snapToGrid w:val="0"/>
        <w:spacing w:line="288" w:lineRule="auto"/>
        <w:ind w:left="0"/>
        <w:jc w:val="center"/>
        <w:rPr>
          <w:rFonts w:ascii="Arial" w:hAnsi="Arial" w:cs="Arial"/>
          <w:snapToGrid w:val="0"/>
          <w:sz w:val="20"/>
        </w:rPr>
      </w:pPr>
    </w:p>
    <w:p w14:paraId="3CE7E893">
      <w:pPr>
        <w:pStyle w:val="3"/>
        <w:topLinePunct/>
        <w:adjustRightInd w:val="0"/>
        <w:snapToGrid w:val="0"/>
        <w:spacing w:line="288" w:lineRule="auto"/>
        <w:ind w:left="0"/>
        <w:jc w:val="center"/>
        <w:rPr>
          <w:rFonts w:ascii="Arial" w:hAnsi="Arial" w:cs="Arial"/>
          <w:snapToGrid w:val="0"/>
          <w:sz w:val="20"/>
        </w:rPr>
      </w:pPr>
      <w:r>
        <w:rPr>
          <w:rFonts w:hint="eastAsia" w:ascii="Arial" w:hAnsi="Arial" w:cs="Arial"/>
          <w:snapToGrid w:val="0"/>
          <w:sz w:val="20"/>
        </w:rPr>
        <w:t>美国卫生和人类服务署</w:t>
      </w:r>
    </w:p>
    <w:p w14:paraId="1EDF3B95">
      <w:pPr>
        <w:pStyle w:val="3"/>
        <w:topLinePunct/>
        <w:adjustRightInd w:val="0"/>
        <w:snapToGrid w:val="0"/>
        <w:spacing w:line="288" w:lineRule="auto"/>
        <w:ind w:left="0"/>
        <w:jc w:val="center"/>
        <w:rPr>
          <w:rFonts w:ascii="Arial" w:hAnsi="Arial" w:cs="Arial"/>
          <w:b w:val="0"/>
          <w:bCs w:val="0"/>
          <w:snapToGrid w:val="0"/>
          <w:sz w:val="20"/>
        </w:rPr>
      </w:pPr>
      <w:r>
        <w:rPr>
          <w:rFonts w:hint="eastAsia" w:ascii="Arial" w:hAnsi="Arial" w:cs="Arial"/>
          <w:snapToGrid w:val="0"/>
          <w:sz w:val="20"/>
        </w:rPr>
        <w:t>食品药品监督管理局</w:t>
      </w:r>
    </w:p>
    <w:p w14:paraId="4F195B1E">
      <w:pPr>
        <w:topLinePunct/>
        <w:adjustRightInd w:val="0"/>
        <w:snapToGrid w:val="0"/>
        <w:spacing w:line="288" w:lineRule="auto"/>
        <w:jc w:val="center"/>
        <w:rPr>
          <w:rFonts w:ascii="Arial" w:hAnsi="Arial" w:eastAsia="宋体" w:cs="Arial"/>
          <w:snapToGrid w:val="0"/>
          <w:sz w:val="20"/>
          <w:szCs w:val="24"/>
        </w:rPr>
      </w:pPr>
      <w:r>
        <w:rPr>
          <w:rFonts w:hint="eastAsia" w:ascii="Arial" w:hAnsi="Arial" w:eastAsia="宋体" w:cs="Arial"/>
          <w:b/>
          <w:snapToGrid w:val="0"/>
          <w:sz w:val="20"/>
        </w:rPr>
        <w:t>良好临床试验规范办公室</w:t>
      </w:r>
    </w:p>
    <w:p w14:paraId="626C3119">
      <w:pPr>
        <w:topLinePunct/>
        <w:adjustRightInd w:val="0"/>
        <w:snapToGrid w:val="0"/>
        <w:spacing w:line="288" w:lineRule="auto"/>
        <w:jc w:val="center"/>
        <w:rPr>
          <w:rFonts w:ascii="Arial" w:hAnsi="Arial" w:eastAsia="宋体" w:cs="Arial"/>
          <w:b/>
          <w:snapToGrid w:val="0"/>
          <w:sz w:val="20"/>
        </w:rPr>
      </w:pPr>
      <w:r>
        <w:rPr>
          <w:rFonts w:hint="eastAsia" w:ascii="Arial" w:hAnsi="Arial" w:eastAsia="宋体" w:cs="Arial"/>
          <w:b/>
          <w:snapToGrid w:val="0"/>
          <w:sz w:val="20"/>
        </w:rPr>
        <w:t>药品评价和研究中心（CDER）</w:t>
      </w:r>
    </w:p>
    <w:p w14:paraId="3B83ECD9">
      <w:pPr>
        <w:topLinePunct/>
        <w:adjustRightInd w:val="0"/>
        <w:snapToGrid w:val="0"/>
        <w:spacing w:line="288" w:lineRule="auto"/>
        <w:jc w:val="center"/>
        <w:rPr>
          <w:rFonts w:ascii="Arial" w:hAnsi="Arial" w:eastAsia="宋体" w:cs="Arial"/>
          <w:b/>
          <w:snapToGrid w:val="0"/>
          <w:sz w:val="20"/>
        </w:rPr>
      </w:pPr>
      <w:r>
        <w:rPr>
          <w:rFonts w:hint="eastAsia" w:ascii="Arial" w:hAnsi="Arial" w:eastAsia="宋体" w:cs="Arial"/>
          <w:b/>
          <w:snapToGrid w:val="0"/>
          <w:sz w:val="20"/>
        </w:rPr>
        <w:t>生物制剂评价和研究中心（CBER）</w:t>
      </w:r>
    </w:p>
    <w:p w14:paraId="22E9026D">
      <w:pPr>
        <w:topLinePunct/>
        <w:adjustRightInd w:val="0"/>
        <w:snapToGrid w:val="0"/>
        <w:spacing w:line="288" w:lineRule="auto"/>
        <w:jc w:val="center"/>
        <w:rPr>
          <w:rFonts w:ascii="Arial" w:hAnsi="Arial" w:eastAsia="宋体" w:cs="Arial"/>
          <w:b/>
          <w:snapToGrid w:val="0"/>
          <w:sz w:val="20"/>
        </w:rPr>
      </w:pPr>
      <w:r>
        <w:rPr>
          <w:rFonts w:hint="eastAsia" w:ascii="Arial" w:hAnsi="Arial" w:eastAsia="宋体" w:cs="Arial"/>
          <w:b/>
          <w:snapToGrid w:val="0"/>
          <w:sz w:val="20"/>
        </w:rPr>
        <w:t>器械和放射卫生中心（CDRH）</w:t>
      </w:r>
    </w:p>
    <w:p w14:paraId="607E1AD1">
      <w:pPr>
        <w:topLinePunct/>
        <w:adjustRightInd w:val="0"/>
        <w:snapToGrid w:val="0"/>
        <w:spacing w:line="288" w:lineRule="auto"/>
        <w:jc w:val="center"/>
        <w:rPr>
          <w:rFonts w:ascii="Arial" w:hAnsi="Arial" w:eastAsia="宋体" w:cs="Arial"/>
          <w:b/>
          <w:snapToGrid w:val="0"/>
          <w:sz w:val="20"/>
        </w:rPr>
      </w:pPr>
    </w:p>
    <w:p w14:paraId="798D65B7">
      <w:pPr>
        <w:topLinePunct/>
        <w:adjustRightInd w:val="0"/>
        <w:snapToGrid w:val="0"/>
        <w:spacing w:line="288" w:lineRule="auto"/>
        <w:jc w:val="center"/>
        <w:rPr>
          <w:rFonts w:ascii="Arial" w:hAnsi="Arial" w:eastAsia="宋体" w:cs="Arial"/>
          <w:snapToGrid w:val="0"/>
          <w:sz w:val="20"/>
          <w:szCs w:val="24"/>
        </w:rPr>
      </w:pPr>
      <w:r>
        <w:rPr>
          <w:rFonts w:hint="eastAsia" w:ascii="Arial" w:hAnsi="Arial" w:eastAsia="宋体" w:cs="Arial"/>
          <w:b/>
          <w:snapToGrid w:val="0"/>
          <w:sz w:val="20"/>
        </w:rPr>
        <w:t>2013年8月</w:t>
      </w:r>
    </w:p>
    <w:p w14:paraId="6A8E3889">
      <w:pPr>
        <w:topLinePunct/>
        <w:adjustRightInd w:val="0"/>
        <w:snapToGrid w:val="0"/>
        <w:spacing w:line="288" w:lineRule="auto"/>
        <w:jc w:val="center"/>
        <w:rPr>
          <w:rFonts w:ascii="Arial" w:hAnsi="Arial" w:eastAsia="宋体" w:cs="Arial"/>
          <w:snapToGrid w:val="0"/>
          <w:sz w:val="20"/>
          <w:szCs w:val="24"/>
        </w:rPr>
      </w:pPr>
      <w:r>
        <w:rPr>
          <w:rFonts w:hint="eastAsia" w:ascii="Arial" w:hAnsi="Arial" w:eastAsia="宋体" w:cs="Arial"/>
          <w:b/>
          <w:snapToGrid w:val="0"/>
          <w:sz w:val="20"/>
        </w:rPr>
        <w:t>程序性</w:t>
      </w:r>
    </w:p>
    <w:p w14:paraId="164CF5AF">
      <w:pPr>
        <w:topLinePunct/>
        <w:adjustRightInd w:val="0"/>
        <w:snapToGrid w:val="0"/>
        <w:spacing w:after="224" w:afterLines="75" w:line="288" w:lineRule="auto"/>
        <w:jc w:val="both"/>
        <w:rPr>
          <w:rFonts w:ascii="Arial" w:hAnsi="Arial" w:eastAsia="宋体" w:cs="Arial"/>
          <w:snapToGrid w:val="0"/>
          <w:sz w:val="24"/>
          <w:szCs w:val="24"/>
        </w:rPr>
      </w:pPr>
    </w:p>
    <w:p w14:paraId="7F4E116E">
      <w:pPr>
        <w:topLinePunct/>
        <w:adjustRightInd w:val="0"/>
        <w:snapToGrid w:val="0"/>
        <w:spacing w:after="224" w:afterLines="75" w:line="288" w:lineRule="auto"/>
        <w:jc w:val="both"/>
        <w:rPr>
          <w:rFonts w:ascii="Arial" w:hAnsi="Arial" w:eastAsia="宋体" w:cs="Arial"/>
          <w:snapToGrid w:val="0"/>
          <w:sz w:val="24"/>
          <w:szCs w:val="24"/>
        </w:rPr>
        <w:sectPr>
          <w:headerReference r:id="rId4" w:type="default"/>
          <w:pgSz w:w="11906" w:h="16838"/>
          <w:pgMar w:top="1134" w:right="1440" w:bottom="1134" w:left="1440" w:header="720" w:footer="720" w:gutter="0"/>
          <w:cols w:space="720" w:num="1"/>
          <w:docGrid w:type="lines" w:linePitch="299" w:charSpace="0"/>
        </w:sectPr>
      </w:pPr>
    </w:p>
    <w:p w14:paraId="34547022">
      <w:pPr>
        <w:topLinePunct/>
        <w:adjustRightInd w:val="0"/>
        <w:snapToGrid w:val="0"/>
        <w:spacing w:after="224" w:afterLines="75" w:line="288" w:lineRule="auto"/>
        <w:jc w:val="center"/>
        <w:rPr>
          <w:rFonts w:ascii="Arial" w:hAnsi="Arial" w:eastAsia="宋体" w:cs="Arial"/>
          <w:snapToGrid w:val="0"/>
          <w:sz w:val="28"/>
          <w:szCs w:val="24"/>
        </w:rPr>
      </w:pPr>
      <w:r>
        <w:rPr>
          <w:rFonts w:hint="eastAsia" w:ascii="Arial" w:hAnsi="Arial" w:eastAsia="宋体" w:cs="Arial"/>
          <w:b/>
          <w:snapToGrid w:val="0"/>
          <w:sz w:val="28"/>
        </w:rPr>
        <w:t>目录</w:t>
      </w:r>
    </w:p>
    <w:sdt>
      <w:sdtPr>
        <w:rPr>
          <w:rFonts w:ascii="Arial" w:hAnsi="Arial" w:cs="Arial"/>
          <w:i/>
          <w:snapToGrid w:val="0"/>
          <w:sz w:val="22"/>
          <w:szCs w:val="22"/>
        </w:rPr>
        <w:id w:val="2130818255"/>
        <w:docPartObj>
          <w:docPartGallery w:val="Table of Contents"/>
          <w:docPartUnique/>
        </w:docPartObj>
      </w:sdtPr>
      <w:sdtEndPr>
        <w:rPr>
          <w:rFonts w:ascii="Arial" w:hAnsi="Arial" w:cs="Arial"/>
          <w:i/>
          <w:snapToGrid w:val="0"/>
          <w:sz w:val="22"/>
          <w:szCs w:val="22"/>
        </w:rPr>
      </w:sdtEndPr>
      <w:sdtContent>
        <w:p w14:paraId="297D9B67">
          <w:pPr>
            <w:pStyle w:val="9"/>
            <w:numPr>
              <w:ilvl w:val="0"/>
              <w:numId w:val="1"/>
            </w:numPr>
            <w:tabs>
              <w:tab w:val="left" w:pos="567"/>
              <w:tab w:val="right" w:leader="dot" w:pos="9029"/>
            </w:tabs>
            <w:topLinePunct/>
            <w:adjustRightInd w:val="0"/>
            <w:snapToGrid w:val="0"/>
            <w:spacing w:before="0" w:after="149" w:afterLines="50" w:line="288" w:lineRule="auto"/>
            <w:ind w:left="0" w:firstLine="0"/>
            <w:jc w:val="both"/>
            <w:rPr>
              <w:rFonts w:ascii="Arial" w:hAnsi="Arial" w:cs="Arial"/>
              <w:b w:val="0"/>
              <w:bCs w:val="0"/>
              <w:snapToGrid w:val="0"/>
            </w:rPr>
          </w:pPr>
          <w:r>
            <w:fldChar w:fldCharType="begin"/>
          </w:r>
          <w:r>
            <w:instrText xml:space="preserve"> HYPERLINK \l "_TOC_250003" </w:instrText>
          </w:r>
          <w:r>
            <w:fldChar w:fldCharType="separate"/>
          </w:r>
          <w:r>
            <w:rPr>
              <w:rFonts w:hint="eastAsia" w:ascii="Arial" w:hAnsi="Arial" w:cs="Arial"/>
              <w:snapToGrid w:val="0"/>
            </w:rPr>
            <w:t>引言.</w:t>
          </w:r>
          <w:r>
            <w:rPr>
              <w:rFonts w:hint="eastAsia" w:ascii="Arial" w:hAnsi="Arial" w:cs="Arial"/>
              <w:snapToGrid w:val="0"/>
            </w:rPr>
            <w:fldChar w:fldCharType="end"/>
          </w:r>
          <w:r>
            <w:fldChar w:fldCharType="begin"/>
          </w:r>
          <w:r>
            <w:instrText xml:space="preserve"> HYPERLINK \l "_TOC_250003" </w:instrText>
          </w:r>
          <w:r>
            <w:fldChar w:fldCharType="separate"/>
          </w:r>
          <w:r>
            <w:rPr>
              <w:rFonts w:hint="eastAsia" w:ascii="Arial" w:hAnsi="Arial" w:cs="Arial"/>
              <w:snapToGrid w:val="0"/>
            </w:rPr>
            <w:tab/>
          </w:r>
          <w:r>
            <w:rPr>
              <w:rFonts w:hint="eastAsia" w:ascii="Arial" w:hAnsi="Arial" w:cs="Arial"/>
              <w:snapToGrid w:val="0"/>
            </w:rPr>
            <w:t>1</w:t>
          </w:r>
          <w:r>
            <w:rPr>
              <w:rFonts w:hint="eastAsia" w:ascii="Arial" w:hAnsi="Arial" w:cs="Arial"/>
              <w:snapToGrid w:val="0"/>
            </w:rPr>
            <w:fldChar w:fldCharType="end"/>
          </w:r>
        </w:p>
        <w:p w14:paraId="68D613EA">
          <w:pPr>
            <w:pStyle w:val="9"/>
            <w:numPr>
              <w:ilvl w:val="0"/>
              <w:numId w:val="1"/>
            </w:numPr>
            <w:tabs>
              <w:tab w:val="left" w:pos="567"/>
              <w:tab w:val="right" w:leader="dot" w:pos="9029"/>
            </w:tabs>
            <w:topLinePunct/>
            <w:adjustRightInd w:val="0"/>
            <w:snapToGrid w:val="0"/>
            <w:spacing w:before="0" w:after="149" w:afterLines="50" w:line="288" w:lineRule="auto"/>
            <w:ind w:left="0" w:firstLine="0"/>
            <w:jc w:val="both"/>
            <w:rPr>
              <w:rFonts w:ascii="Arial" w:hAnsi="Arial" w:cs="Arial"/>
              <w:b w:val="0"/>
              <w:bCs w:val="0"/>
              <w:snapToGrid w:val="0"/>
            </w:rPr>
          </w:pPr>
          <w:r>
            <w:fldChar w:fldCharType="begin"/>
          </w:r>
          <w:r>
            <w:instrText xml:space="preserve"> HYPERLINK \l "_TOC_250002" </w:instrText>
          </w:r>
          <w:r>
            <w:fldChar w:fldCharType="separate"/>
          </w:r>
          <w:r>
            <w:rPr>
              <w:rFonts w:hint="eastAsia" w:ascii="Arial" w:hAnsi="Arial" w:cs="Arial"/>
              <w:snapToGrid w:val="0"/>
            </w:rPr>
            <w:t>背景</w:t>
          </w:r>
          <w:r>
            <w:rPr>
              <w:rFonts w:hint="eastAsia" w:ascii="Arial" w:hAnsi="Arial" w:cs="Arial"/>
              <w:snapToGrid w:val="0"/>
            </w:rPr>
            <w:tab/>
          </w:r>
          <w:r>
            <w:rPr>
              <w:rFonts w:hint="eastAsia" w:ascii="Arial" w:hAnsi="Arial" w:cs="Arial"/>
              <w:snapToGrid w:val="0"/>
            </w:rPr>
            <w:t>2</w:t>
          </w:r>
          <w:r>
            <w:rPr>
              <w:rFonts w:hint="eastAsia" w:ascii="Arial" w:hAnsi="Arial" w:cs="Arial"/>
              <w:snapToGrid w:val="0"/>
            </w:rPr>
            <w:fldChar w:fldCharType="end"/>
          </w:r>
        </w:p>
        <w:p w14:paraId="427DBC84">
          <w:pPr>
            <w:pStyle w:val="9"/>
            <w:numPr>
              <w:ilvl w:val="0"/>
              <w:numId w:val="1"/>
            </w:numPr>
            <w:tabs>
              <w:tab w:val="left" w:pos="567"/>
              <w:tab w:val="right" w:leader="dot" w:pos="9029"/>
            </w:tabs>
            <w:topLinePunct/>
            <w:adjustRightInd w:val="0"/>
            <w:snapToGrid w:val="0"/>
            <w:spacing w:before="0" w:after="149" w:afterLines="50" w:line="288" w:lineRule="auto"/>
            <w:ind w:left="0" w:firstLine="0"/>
            <w:jc w:val="both"/>
            <w:rPr>
              <w:rFonts w:ascii="Arial" w:hAnsi="Arial" w:cs="Arial"/>
              <w:b w:val="0"/>
              <w:bCs w:val="0"/>
              <w:snapToGrid w:val="0"/>
            </w:rPr>
          </w:pPr>
          <w:r>
            <w:fldChar w:fldCharType="begin"/>
          </w:r>
          <w:r>
            <w:instrText xml:space="preserve"> HYPERLINK \l "_TOC_250001" </w:instrText>
          </w:r>
          <w:r>
            <w:fldChar w:fldCharType="separate"/>
          </w:r>
          <w:r>
            <w:rPr>
              <w:rFonts w:hint="eastAsia" w:ascii="Arial" w:hAnsi="Arial" w:cs="Arial"/>
              <w:snapToGrid w:val="0"/>
            </w:rPr>
            <w:t>讨论</w:t>
          </w:r>
          <w:r>
            <w:rPr>
              <w:rFonts w:hint="eastAsia" w:ascii="Arial" w:hAnsi="Arial" w:cs="Arial"/>
              <w:snapToGrid w:val="0"/>
            </w:rPr>
            <w:tab/>
          </w:r>
          <w:r>
            <w:rPr>
              <w:rFonts w:hint="eastAsia" w:ascii="Arial" w:hAnsi="Arial" w:cs="Arial"/>
              <w:snapToGrid w:val="0"/>
            </w:rPr>
            <w:t>2</w:t>
          </w:r>
          <w:r>
            <w:rPr>
              <w:rFonts w:hint="eastAsia" w:ascii="Arial" w:hAnsi="Arial" w:cs="Arial"/>
              <w:snapToGrid w:val="0"/>
            </w:rPr>
            <w:fldChar w:fldCharType="end"/>
          </w:r>
        </w:p>
        <w:p w14:paraId="731D81C3">
          <w:pPr>
            <w:pStyle w:val="11"/>
            <w:numPr>
              <w:ilvl w:val="1"/>
              <w:numId w:val="1"/>
            </w:numPr>
            <w:tabs>
              <w:tab w:val="left" w:pos="961"/>
              <w:tab w:val="right" w:leader="dot" w:pos="9026"/>
            </w:tabs>
            <w:topLinePunct/>
            <w:adjustRightInd w:val="0"/>
            <w:snapToGrid w:val="0"/>
            <w:spacing w:before="0" w:after="149" w:afterLines="50" w:line="288" w:lineRule="auto"/>
            <w:ind w:left="565" w:leftChars="257" w:firstLine="0"/>
            <w:jc w:val="both"/>
            <w:rPr>
              <w:rFonts w:ascii="Arial" w:hAnsi="Arial" w:cs="Arial"/>
              <w:b w:val="0"/>
              <w:bCs w:val="0"/>
              <w:i w:val="0"/>
              <w:snapToGrid w:val="0"/>
              <w:sz w:val="24"/>
            </w:rPr>
          </w:pPr>
          <w:r>
            <w:rPr>
              <w:rFonts w:hint="eastAsia" w:ascii="Arial" w:hAnsi="Arial" w:cs="Arial"/>
              <w:snapToGrid w:val="0"/>
              <w:sz w:val="24"/>
            </w:rPr>
            <w:t>IRB是否必须审查执行FDA监管研究的临床研究者的资格？</w:t>
          </w:r>
          <w:r>
            <w:rPr>
              <w:rFonts w:hint="eastAsia" w:ascii="Arial" w:hAnsi="Arial" w:cs="Arial"/>
              <w:i w:val="0"/>
              <w:snapToGrid w:val="0"/>
              <w:sz w:val="24"/>
            </w:rPr>
            <w:tab/>
          </w:r>
          <w:r>
            <w:rPr>
              <w:rFonts w:hint="eastAsia" w:ascii="Arial" w:hAnsi="Arial" w:cs="Arial"/>
              <w:i w:val="0"/>
              <w:snapToGrid w:val="0"/>
              <w:sz w:val="24"/>
            </w:rPr>
            <w:t>2</w:t>
          </w:r>
        </w:p>
        <w:p w14:paraId="5443BA9F">
          <w:pPr>
            <w:pStyle w:val="11"/>
            <w:numPr>
              <w:ilvl w:val="1"/>
              <w:numId w:val="1"/>
            </w:numPr>
            <w:tabs>
              <w:tab w:val="left" w:pos="961"/>
              <w:tab w:val="right" w:leader="dot" w:pos="9026"/>
            </w:tabs>
            <w:topLinePunct/>
            <w:adjustRightInd w:val="0"/>
            <w:snapToGrid w:val="0"/>
            <w:spacing w:before="0" w:after="149" w:afterLines="50" w:line="288" w:lineRule="auto"/>
            <w:ind w:left="565" w:leftChars="257" w:firstLine="0"/>
            <w:jc w:val="both"/>
            <w:rPr>
              <w:rFonts w:ascii="Arial" w:hAnsi="Arial" w:cs="Arial"/>
              <w:b w:val="0"/>
              <w:bCs w:val="0"/>
              <w:i w:val="0"/>
              <w:snapToGrid w:val="0"/>
              <w:sz w:val="24"/>
            </w:rPr>
          </w:pPr>
          <w:r>
            <w:rPr>
              <w:rFonts w:hint="eastAsia" w:ascii="Arial" w:hAnsi="Arial" w:cs="Arial"/>
              <w:snapToGrid w:val="0"/>
              <w:sz w:val="24"/>
            </w:rPr>
            <w:t>FDA是否公开了关于临床研究者检查历史的任何信息？</w:t>
          </w:r>
          <w:r>
            <w:rPr>
              <w:rFonts w:hint="eastAsia" w:ascii="Arial" w:hAnsi="Arial" w:cs="Arial"/>
              <w:i w:val="0"/>
              <w:snapToGrid w:val="0"/>
              <w:sz w:val="24"/>
            </w:rPr>
            <w:tab/>
          </w:r>
          <w:r>
            <w:rPr>
              <w:rFonts w:hint="eastAsia" w:ascii="Arial" w:hAnsi="Arial" w:cs="Arial"/>
              <w:i w:val="0"/>
              <w:snapToGrid w:val="0"/>
              <w:sz w:val="24"/>
            </w:rPr>
            <w:t>4</w:t>
          </w:r>
        </w:p>
        <w:p w14:paraId="59653599">
          <w:pPr>
            <w:pStyle w:val="11"/>
            <w:numPr>
              <w:ilvl w:val="1"/>
              <w:numId w:val="1"/>
            </w:numPr>
            <w:tabs>
              <w:tab w:val="left" w:pos="961"/>
              <w:tab w:val="right" w:leader="dot" w:pos="9029"/>
            </w:tabs>
            <w:topLinePunct/>
            <w:adjustRightInd w:val="0"/>
            <w:snapToGrid w:val="0"/>
            <w:spacing w:before="0" w:after="149" w:afterLines="50" w:line="288" w:lineRule="auto"/>
            <w:ind w:left="565" w:leftChars="257" w:firstLine="0"/>
            <w:jc w:val="both"/>
            <w:rPr>
              <w:rFonts w:ascii="Arial" w:hAnsi="Arial" w:cs="Arial"/>
              <w:b w:val="0"/>
              <w:bCs w:val="0"/>
              <w:i w:val="0"/>
              <w:snapToGrid w:val="0"/>
              <w:sz w:val="24"/>
            </w:rPr>
          </w:pPr>
          <w:r>
            <w:fldChar w:fldCharType="begin"/>
          </w:r>
          <w:r>
            <w:instrText xml:space="preserve"> HYPERLINK \l "_TOC_250000" </w:instrText>
          </w:r>
          <w:r>
            <w:fldChar w:fldCharType="separate"/>
          </w:r>
          <w:r>
            <w:rPr>
              <w:rFonts w:hint="eastAsia" w:ascii="Arial" w:hAnsi="Arial" w:cs="Arial"/>
              <w:snapToGrid w:val="0"/>
              <w:sz w:val="24"/>
            </w:rPr>
            <w:t>IRB是否必须审查研究中心的适当性？</w:t>
          </w:r>
          <w:r>
            <w:rPr>
              <w:rFonts w:hint="eastAsia" w:ascii="Arial" w:hAnsi="Arial" w:cs="Arial"/>
              <w:i w:val="0"/>
              <w:snapToGrid w:val="0"/>
              <w:sz w:val="24"/>
            </w:rPr>
            <w:tab/>
          </w:r>
          <w:r>
            <w:rPr>
              <w:rFonts w:hint="eastAsia" w:ascii="Arial" w:hAnsi="Arial" w:cs="Arial"/>
              <w:i w:val="0"/>
              <w:snapToGrid w:val="0"/>
              <w:sz w:val="24"/>
            </w:rPr>
            <w:fldChar w:fldCharType="end"/>
          </w:r>
          <w:r>
            <w:fldChar w:fldCharType="begin"/>
          </w:r>
          <w:r>
            <w:instrText xml:space="preserve"> HYPERLINK \l "_TOC_250000" </w:instrText>
          </w:r>
          <w:r>
            <w:fldChar w:fldCharType="separate"/>
          </w:r>
          <w:r>
            <w:rPr>
              <w:rFonts w:hint="eastAsia" w:ascii="Arial" w:hAnsi="Arial" w:cs="Arial"/>
              <w:i w:val="0"/>
              <w:snapToGrid w:val="0"/>
              <w:sz w:val="24"/>
            </w:rPr>
            <w:t>4</w:t>
          </w:r>
          <w:r>
            <w:rPr>
              <w:rFonts w:hint="eastAsia" w:ascii="Arial" w:hAnsi="Arial" w:cs="Arial"/>
              <w:i w:val="0"/>
              <w:snapToGrid w:val="0"/>
              <w:sz w:val="24"/>
            </w:rPr>
            <w:fldChar w:fldCharType="end"/>
          </w:r>
        </w:p>
        <w:p w14:paraId="407EE36E">
          <w:pPr>
            <w:pStyle w:val="11"/>
            <w:numPr>
              <w:ilvl w:val="1"/>
              <w:numId w:val="1"/>
            </w:numPr>
            <w:tabs>
              <w:tab w:val="left" w:pos="961"/>
              <w:tab w:val="right" w:leader="dot" w:pos="9026"/>
            </w:tabs>
            <w:topLinePunct/>
            <w:adjustRightInd w:val="0"/>
            <w:snapToGrid w:val="0"/>
            <w:spacing w:before="0" w:after="149" w:afterLines="50" w:line="288" w:lineRule="auto"/>
            <w:ind w:left="565" w:leftChars="257" w:firstLine="0"/>
            <w:jc w:val="both"/>
            <w:rPr>
              <w:rFonts w:ascii="Arial" w:hAnsi="Arial" w:cs="Arial"/>
              <w:b w:val="0"/>
              <w:bCs w:val="0"/>
              <w:i w:val="0"/>
              <w:snapToGrid w:val="0"/>
              <w:sz w:val="24"/>
            </w:rPr>
          </w:pPr>
          <w:r>
            <w:rPr>
              <w:rFonts w:hint="eastAsia" w:ascii="Arial" w:hAnsi="Arial" w:cs="Arial"/>
              <w:snapToGrid w:val="0"/>
              <w:sz w:val="24"/>
            </w:rPr>
            <w:t>在确定FDA监管研究是否需要提交IND或IDE时，IRB负有哪些责任？</w:t>
          </w:r>
          <w:r>
            <w:rPr>
              <w:rFonts w:hint="eastAsia" w:ascii="Arial" w:hAnsi="Arial" w:cs="Arial"/>
              <w:i w:val="0"/>
              <w:snapToGrid w:val="0"/>
              <w:sz w:val="24"/>
            </w:rPr>
            <w:tab/>
          </w:r>
          <w:r>
            <w:rPr>
              <w:rFonts w:hint="eastAsia" w:ascii="Arial" w:hAnsi="Arial" w:cs="Arial"/>
              <w:i w:val="0"/>
              <w:snapToGrid w:val="0"/>
              <w:sz w:val="24"/>
            </w:rPr>
            <w:t>5</w:t>
          </w:r>
        </w:p>
      </w:sdtContent>
    </w:sdt>
    <w:p w14:paraId="062156AD">
      <w:pPr>
        <w:topLinePunct/>
        <w:adjustRightInd w:val="0"/>
        <w:snapToGrid w:val="0"/>
        <w:spacing w:after="224" w:afterLines="75" w:line="288" w:lineRule="auto"/>
        <w:jc w:val="both"/>
        <w:rPr>
          <w:rFonts w:ascii="Arial" w:hAnsi="Arial" w:eastAsia="宋体" w:cs="Arial"/>
          <w:snapToGrid w:val="0"/>
          <w:sz w:val="24"/>
        </w:rPr>
      </w:pPr>
    </w:p>
    <w:p w14:paraId="1F0B7474">
      <w:pPr>
        <w:topLinePunct/>
        <w:adjustRightInd w:val="0"/>
        <w:snapToGrid w:val="0"/>
        <w:spacing w:after="224" w:afterLines="75" w:line="288" w:lineRule="auto"/>
        <w:jc w:val="both"/>
        <w:rPr>
          <w:rFonts w:ascii="Arial" w:hAnsi="Arial" w:eastAsia="宋体" w:cs="Arial"/>
          <w:snapToGrid w:val="0"/>
          <w:sz w:val="24"/>
        </w:rPr>
      </w:pPr>
    </w:p>
    <w:p w14:paraId="6E856CA9">
      <w:pPr>
        <w:topLinePunct/>
        <w:adjustRightInd w:val="0"/>
        <w:snapToGrid w:val="0"/>
        <w:spacing w:after="224" w:afterLines="75" w:line="288" w:lineRule="auto"/>
        <w:jc w:val="both"/>
        <w:rPr>
          <w:rFonts w:ascii="Arial" w:hAnsi="Arial" w:eastAsia="宋体" w:cs="Arial"/>
          <w:snapToGrid w:val="0"/>
          <w:sz w:val="24"/>
        </w:rPr>
        <w:sectPr>
          <w:headerReference r:id="rId5" w:type="default"/>
          <w:footerReference r:id="rId6" w:type="default"/>
          <w:pgSz w:w="11906" w:h="16838"/>
          <w:pgMar w:top="1134" w:right="1440" w:bottom="1134" w:left="1440" w:header="720" w:footer="720" w:gutter="0"/>
          <w:cols w:space="720" w:num="1"/>
          <w:docGrid w:type="lines" w:linePitch="299" w:charSpace="0"/>
        </w:sectPr>
      </w:pPr>
    </w:p>
    <w:p w14:paraId="07812B71">
      <w:pPr>
        <w:topLinePunct/>
        <w:adjustRightInd w:val="0"/>
        <w:snapToGrid w:val="0"/>
        <w:spacing w:after="224" w:afterLines="75" w:line="288" w:lineRule="auto"/>
        <w:jc w:val="center"/>
        <w:rPr>
          <w:rFonts w:ascii="Arial" w:hAnsi="Arial" w:eastAsia="宋体" w:cs="Arial"/>
          <w:b/>
          <w:snapToGrid w:val="0"/>
          <w:sz w:val="28"/>
        </w:rPr>
      </w:pPr>
      <w:r>
        <w:rPr>
          <w:rFonts w:hint="eastAsia" w:ascii="Arial" w:hAnsi="Arial" w:eastAsia="宋体" w:cs="Arial"/>
          <w:b/>
          <w:snapToGrid w:val="0"/>
          <w:sz w:val="28"/>
        </w:rPr>
        <w:t>机构审查委员会、临床研究者及申办者指南</w:t>
      </w:r>
      <w:r>
        <w:rPr>
          <w:rStyle w:val="16"/>
          <w:rFonts w:ascii="Arial" w:hAnsi="Arial" w:eastAsia="宋体" w:cs="Arial"/>
          <w:b/>
          <w:snapToGrid w:val="0"/>
          <w:sz w:val="28"/>
        </w:rPr>
        <w:footnoteReference w:id="0"/>
      </w:r>
    </w:p>
    <w:p w14:paraId="239633E0">
      <w:pPr>
        <w:topLinePunct/>
        <w:adjustRightInd w:val="0"/>
        <w:snapToGrid w:val="0"/>
        <w:spacing w:after="224" w:afterLines="75" w:line="288" w:lineRule="auto"/>
        <w:jc w:val="both"/>
        <w:rPr>
          <w:rFonts w:ascii="Arial" w:hAnsi="Arial" w:eastAsia="宋体" w:cs="Arial"/>
          <w:snapToGrid w:val="0"/>
          <w:sz w:val="24"/>
        </w:rPr>
      </w:pPr>
      <w:r>
        <w:rPr>
          <w:rFonts w:hint="eastAsia" w:ascii="Arial" w:hAnsi="Arial" w:eastAsia="宋体" w:cs="Arial"/>
          <w:b/>
          <w:snapToGrid w:val="0"/>
          <w:sz w:val="28"/>
        </w:rPr>
        <w:t>IRB审查研究者资格，研究中心适当性以及确定IND/IDE必要性的责任</w:t>
      </w:r>
    </w:p>
    <w:p w14:paraId="4485145E">
      <w:pPr>
        <w:pBdr>
          <w:top w:val="thinThickSmallGap" w:color="auto" w:sz="24" w:space="1"/>
          <w:left w:val="thinThickSmallGap" w:color="auto" w:sz="24" w:space="4"/>
          <w:bottom w:val="thickThinSmallGap" w:color="auto" w:sz="24" w:space="1"/>
          <w:right w:val="thickThinSmallGap" w:color="auto" w:sz="24" w:space="4"/>
        </w:pBdr>
        <w:topLinePunct/>
        <w:adjustRightInd w:val="0"/>
        <w:snapToGrid w:val="0"/>
        <w:spacing w:before="149" w:beforeLines="50" w:line="300" w:lineRule="auto"/>
        <w:jc w:val="both"/>
        <w:rPr>
          <w:rFonts w:ascii="Arial" w:hAnsi="Arial" w:eastAsia="宋体" w:cs="Arial"/>
          <w:snapToGrid w:val="0"/>
          <w:sz w:val="24"/>
        </w:rPr>
      </w:pPr>
      <w:r>
        <w:rPr>
          <w:rFonts w:hint="eastAsia" w:ascii="Arial" w:hAnsi="Arial" w:eastAsia="宋体" w:cs="Arial"/>
          <w:snapToGrid w:val="0"/>
          <w:sz w:val="24"/>
        </w:rPr>
        <w:t>本指南代表食品药品监督管理局（FDA）目前关于该主题的思考。其不会为任何人创造或赋予任何权利，也不对FDA或公众具有约束力。如果替代方法满足适用法律、法规的要求，可以使用替代方法。如果您希望讨论一种替代方法，请联系负责实施本指南的FDA工作人员。如果您无法确定适当的FDA工作人员，请拨打本指南标题页上列出的合适的电话号码。</w:t>
      </w:r>
    </w:p>
    <w:p w14:paraId="07975EDF">
      <w:pPr>
        <w:topLinePunct/>
        <w:adjustRightInd w:val="0"/>
        <w:snapToGrid w:val="0"/>
        <w:spacing w:after="224" w:afterLines="75" w:line="288" w:lineRule="auto"/>
        <w:jc w:val="both"/>
        <w:rPr>
          <w:rFonts w:ascii="Arial" w:hAnsi="Arial" w:eastAsia="宋体" w:cs="Arial"/>
          <w:snapToGrid w:val="0"/>
          <w:sz w:val="24"/>
        </w:rPr>
      </w:pPr>
    </w:p>
    <w:p w14:paraId="277A5236">
      <w:pPr>
        <w:pStyle w:val="3"/>
        <w:numPr>
          <w:ilvl w:val="0"/>
          <w:numId w:val="2"/>
        </w:numPr>
        <w:tabs>
          <w:tab w:val="left" w:pos="1160"/>
        </w:tabs>
        <w:topLinePunct/>
        <w:adjustRightInd w:val="0"/>
        <w:snapToGrid w:val="0"/>
        <w:spacing w:after="224" w:afterLines="75" w:line="288" w:lineRule="auto"/>
        <w:ind w:left="0" w:firstLine="0"/>
        <w:jc w:val="both"/>
        <w:rPr>
          <w:rFonts w:ascii="Arial" w:hAnsi="Arial" w:cs="Arial"/>
          <w:b w:val="0"/>
          <w:bCs w:val="0"/>
          <w:snapToGrid w:val="0"/>
          <w:sz w:val="28"/>
        </w:rPr>
      </w:pPr>
      <w:bookmarkStart w:id="4" w:name="_TOC_250003"/>
      <w:r>
        <w:rPr>
          <w:rFonts w:hint="eastAsia" w:ascii="Arial" w:hAnsi="Arial" w:cs="Arial"/>
          <w:snapToGrid w:val="0"/>
          <w:sz w:val="28"/>
        </w:rPr>
        <w:t>引言</w:t>
      </w:r>
      <w:bookmarkEnd w:id="4"/>
    </w:p>
    <w:p w14:paraId="1A6BA9FD">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所有进行或监督生物医学研究的相关方——申办方、临床研究者和机构审查委员会（IRB）——都有责任确保研究符合适用的法律和法规，并保证将受试者风险降至最低。尽管主要由申办方负责选择临床研究者和研究中心，以及确定是否需要提交研究性新药申请（IND）或研究性器械豁免（IDE），但为了保障研究受试者的权利和福利，FDA发布本指南，以说明IRB与此类活动有关的责任并鼓励所有相关方共同努力。</w:t>
      </w:r>
    </w:p>
    <w:p w14:paraId="73EFF4D3">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FDA指导性文件，包括本指南在内，不构成具有法律强制力的责任。相反，指南表明了本机构目前关于某一主题的思考，除非引用具体的法规或法律要求，否则只应视为建议。在本审查机构指南中使用词语</w:t>
      </w:r>
      <w:r>
        <w:rPr>
          <w:rFonts w:hint="eastAsia" w:ascii="宋体" w:hAnsi="宋体" w:cs="Arial"/>
          <w:snapToGrid w:val="0"/>
        </w:rPr>
        <w:t>“</w:t>
      </w:r>
      <w:r>
        <w:rPr>
          <w:rFonts w:hint="eastAsia" w:ascii="Arial" w:hAnsi="Arial" w:cs="Arial"/>
          <w:snapToGrid w:val="0"/>
        </w:rPr>
        <w:t>应</w:t>
      </w:r>
      <w:r>
        <w:rPr>
          <w:rFonts w:hint="eastAsia" w:ascii="宋体" w:hAnsi="宋体" w:cs="Arial"/>
          <w:snapToGrid w:val="0"/>
        </w:rPr>
        <w:t>”</w:t>
      </w:r>
      <w:r>
        <w:rPr>
          <w:rFonts w:hint="eastAsia" w:ascii="Arial" w:hAnsi="Arial" w:cs="Arial"/>
          <w:snapToGrid w:val="0"/>
        </w:rPr>
        <w:t>是指建议或推荐进行某一事项，并非强制要求。</w:t>
      </w:r>
    </w:p>
    <w:p w14:paraId="39C0A738">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为加强对受试者的保护并减轻监管负担，卫生和人类服务署（HHS）、人类研究保护办公室（OHRP）和FDA一直在积极努力地协调机构对受试者研究的监管要求和指南。本指导性文件在OHRP的协助下完成编制，并作为此类工作的成果之一。</w:t>
      </w:r>
    </w:p>
    <w:p w14:paraId="755A8F66">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42316A2D">
      <w:pPr>
        <w:pStyle w:val="3"/>
        <w:numPr>
          <w:ilvl w:val="0"/>
          <w:numId w:val="2"/>
        </w:numPr>
        <w:tabs>
          <w:tab w:val="left" w:pos="1160"/>
        </w:tabs>
        <w:topLinePunct/>
        <w:adjustRightInd w:val="0"/>
        <w:snapToGrid w:val="0"/>
        <w:spacing w:after="224" w:afterLines="75" w:line="288" w:lineRule="auto"/>
        <w:ind w:left="0" w:firstLine="0"/>
        <w:jc w:val="both"/>
        <w:rPr>
          <w:rFonts w:ascii="Arial" w:hAnsi="Arial" w:cs="Arial"/>
          <w:b w:val="0"/>
          <w:bCs w:val="0"/>
          <w:snapToGrid w:val="0"/>
          <w:sz w:val="28"/>
        </w:rPr>
      </w:pPr>
      <w:bookmarkStart w:id="5" w:name="_TOC_250002"/>
      <w:r>
        <w:rPr>
          <w:rFonts w:hint="eastAsia" w:ascii="Arial" w:hAnsi="Arial" w:cs="Arial"/>
          <w:snapToGrid w:val="0"/>
          <w:sz w:val="28"/>
        </w:rPr>
        <w:t>背景</w:t>
      </w:r>
      <w:bookmarkEnd w:id="5"/>
    </w:p>
    <w:p w14:paraId="4086A5A6">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本指南中的许多建议已在其他FDA指导性文件</w:t>
      </w:r>
      <w:r>
        <w:rPr>
          <w:rStyle w:val="16"/>
          <w:rFonts w:ascii="Arial" w:hAnsi="Arial" w:cs="Arial"/>
          <w:snapToGrid w:val="0"/>
        </w:rPr>
        <w:footnoteReference w:id="1"/>
      </w:r>
      <w:r>
        <w:rPr>
          <w:rFonts w:hint="eastAsia" w:ascii="Arial" w:hAnsi="Arial" w:cs="Arial"/>
          <w:snapToGrid w:val="0"/>
        </w:rPr>
        <w:t>中提及，或者已经传达给与本机构直接联系，讨论此类问题的IRB。FDA还向现场研究者提供有关记录类型的说明，该记录应在IRB检查期间进行审查，以确定IRB是否对研究者资格，研究中心的适当性进行评价，并询问了是否需要提交IND或IDE。</w:t>
      </w:r>
      <w:r>
        <w:rPr>
          <w:rStyle w:val="16"/>
          <w:rFonts w:ascii="Arial" w:hAnsi="Arial" w:cs="Arial"/>
          <w:snapToGrid w:val="0"/>
        </w:rPr>
        <w:footnoteReference w:id="2"/>
      </w:r>
      <w:r>
        <w:rPr>
          <w:rFonts w:hint="eastAsia" w:ascii="Arial" w:hAnsi="Arial" w:cs="Arial"/>
          <w:snapToGrid w:val="0"/>
        </w:rPr>
        <w:t>FDA已将这些不同来源的建议编入本指南，确保所有IRB都可以访问。此外，FDA还提供有关IRB如何有效履行此类重要责任的指南。</w:t>
      </w:r>
    </w:p>
    <w:p w14:paraId="16B00CDA">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本指南中的建议适用于任何独立或机构附属IRB，无论其作为地方IRB还是其他多个IRB的中央IRB，或参与多中心研究集中式审查过程的机构。这些建议具有一般性，旨在方便IRB根据21 CFR 56.114制定合作研究协议。如</w:t>
      </w:r>
      <w:r>
        <w:rPr>
          <w:rFonts w:hint="eastAsia" w:ascii="宋体" w:hAnsi="宋体" w:cs="Arial"/>
          <w:snapToGrid w:val="0"/>
        </w:rPr>
        <w:t>“</w:t>
      </w:r>
      <w:r>
        <w:rPr>
          <w:rFonts w:hint="eastAsia" w:ascii="Arial" w:hAnsi="Arial" w:cs="Arial"/>
          <w:snapToGrid w:val="0"/>
        </w:rPr>
        <w:t>行业指南-在多中心临床试验中使用集中式IRB审查过程</w:t>
      </w:r>
      <w:r>
        <w:rPr>
          <w:rFonts w:hint="eastAsia" w:ascii="宋体" w:hAnsi="宋体" w:cs="Arial"/>
          <w:snapToGrid w:val="0"/>
        </w:rPr>
        <w:t>”</w:t>
      </w:r>
      <w:r>
        <w:rPr>
          <w:rFonts w:hint="eastAsia" w:ascii="Arial" w:hAnsi="Arial" w:cs="Arial"/>
          <w:snapToGrid w:val="0"/>
        </w:rPr>
        <w:t>中所述，</w:t>
      </w:r>
      <w:r>
        <w:rPr>
          <w:rStyle w:val="16"/>
          <w:rFonts w:ascii="Arial" w:hAnsi="Arial" w:cs="Arial"/>
          <w:snapToGrid w:val="0"/>
        </w:rPr>
        <w:footnoteReference w:id="3"/>
      </w:r>
      <w:r>
        <w:rPr>
          <w:rFonts w:hint="eastAsia" w:ascii="Arial" w:hAnsi="Arial" w:cs="Arial"/>
          <w:snapToGrid w:val="0"/>
        </w:rPr>
        <w:t>FDA建议参与集中式审查过程的IRB和机构就如何划分和执行这些责任达成一致，而且此类协议应以书面形式制定，以便确保研究受试者的权利和福利得到保护。</w:t>
      </w:r>
    </w:p>
    <w:p w14:paraId="676B6A2E">
      <w:pPr>
        <w:pStyle w:val="3"/>
        <w:numPr>
          <w:ilvl w:val="0"/>
          <w:numId w:val="2"/>
        </w:numPr>
        <w:tabs>
          <w:tab w:val="left" w:pos="1160"/>
        </w:tabs>
        <w:topLinePunct/>
        <w:adjustRightInd w:val="0"/>
        <w:snapToGrid w:val="0"/>
        <w:spacing w:after="224" w:afterLines="75" w:line="288" w:lineRule="auto"/>
        <w:ind w:left="0" w:firstLine="0"/>
        <w:jc w:val="both"/>
        <w:rPr>
          <w:rFonts w:ascii="Arial" w:hAnsi="Arial" w:cs="Arial"/>
          <w:b w:val="0"/>
          <w:bCs w:val="0"/>
          <w:snapToGrid w:val="0"/>
          <w:sz w:val="28"/>
        </w:rPr>
      </w:pPr>
      <w:bookmarkStart w:id="6" w:name="_TOC_250001"/>
      <w:r>
        <w:rPr>
          <w:rFonts w:hint="eastAsia" w:ascii="Arial" w:hAnsi="Arial" w:cs="Arial"/>
          <w:snapToGrid w:val="0"/>
          <w:sz w:val="28"/>
        </w:rPr>
        <w:t>讨论</w:t>
      </w:r>
      <w:bookmarkEnd w:id="6"/>
    </w:p>
    <w:p w14:paraId="12901FE8">
      <w:pPr>
        <w:pStyle w:val="4"/>
        <w:numPr>
          <w:ilvl w:val="0"/>
          <w:numId w:val="3"/>
        </w:numPr>
        <w:tabs>
          <w:tab w:val="left" w:pos="741"/>
        </w:tabs>
        <w:topLinePunct/>
        <w:adjustRightInd w:val="0"/>
        <w:snapToGrid w:val="0"/>
        <w:spacing w:after="224" w:afterLines="75" w:line="288" w:lineRule="auto"/>
        <w:ind w:left="0" w:firstLine="0"/>
        <w:jc w:val="both"/>
        <w:rPr>
          <w:rFonts w:ascii="Arial" w:hAnsi="Arial" w:cs="Arial"/>
          <w:b w:val="0"/>
          <w:bCs w:val="0"/>
          <w:i w:val="0"/>
          <w:snapToGrid w:val="0"/>
        </w:rPr>
      </w:pPr>
      <w:r>
        <w:rPr>
          <w:rFonts w:hint="eastAsia" w:ascii="Arial" w:hAnsi="Arial" w:cs="Arial"/>
          <w:snapToGrid w:val="0"/>
        </w:rPr>
        <w:t>IRB是否必须审查执行FDA监管研究的临床研究者的资格？</w:t>
      </w:r>
    </w:p>
    <w:p w14:paraId="4C3E848B">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是。尽管FDA法规要求申办方负责选择</w:t>
      </w:r>
      <w:r>
        <w:rPr>
          <w:rFonts w:hint="eastAsia" w:ascii="宋体" w:hAnsi="宋体" w:cs="Arial"/>
          <w:snapToGrid w:val="0"/>
        </w:rPr>
        <w:t>“</w:t>
      </w:r>
      <w:r>
        <w:rPr>
          <w:rFonts w:hint="eastAsia" w:ascii="Arial" w:hAnsi="Arial" w:cs="Arial"/>
          <w:snapToGrid w:val="0"/>
        </w:rPr>
        <w:t>具有合格培训和经验的专家作为临床研究者</w:t>
      </w:r>
      <w:r>
        <w:rPr>
          <w:rFonts w:hint="eastAsia" w:ascii="宋体" w:hAnsi="宋体" w:cs="Arial"/>
          <w:snapToGrid w:val="0"/>
        </w:rPr>
        <w:t>”</w:t>
      </w:r>
      <w:r>
        <w:rPr>
          <w:rFonts w:hint="eastAsia" w:ascii="Arial" w:hAnsi="Arial" w:cs="Arial"/>
          <w:snapToGrid w:val="0"/>
        </w:rPr>
        <w:t>来研究供试品，</w:t>
      </w:r>
      <w:r>
        <w:rPr>
          <w:rStyle w:val="16"/>
          <w:rFonts w:ascii="Arial" w:hAnsi="Arial" w:cs="Arial"/>
          <w:snapToGrid w:val="0"/>
        </w:rPr>
        <w:footnoteReference w:id="4"/>
      </w:r>
      <w:r>
        <w:rPr>
          <w:rFonts w:hint="eastAsia" w:ascii="Arial" w:hAnsi="Arial" w:cs="Arial"/>
          <w:snapToGrid w:val="0"/>
        </w:rPr>
        <w:t>但IRB也需要参与研究者资格审查。</w:t>
      </w:r>
      <w:r>
        <w:rPr>
          <w:rStyle w:val="16"/>
          <w:rFonts w:ascii="Arial" w:hAnsi="Arial" w:cs="Arial"/>
          <w:snapToGrid w:val="0"/>
        </w:rPr>
        <w:footnoteReference w:id="5"/>
      </w:r>
      <w:r>
        <w:rPr>
          <w:rFonts w:hint="eastAsia" w:ascii="Arial" w:hAnsi="Arial" w:cs="Arial"/>
          <w:snapToGrid w:val="0"/>
        </w:rPr>
        <w:t xml:space="preserve"> 21 CFR 56.107（a）中的法规要求IRB</w:t>
      </w:r>
      <w:r>
        <w:rPr>
          <w:rFonts w:hint="eastAsia" w:ascii="宋体" w:hAnsi="宋体" w:cs="Arial"/>
          <w:snapToGrid w:val="0"/>
        </w:rPr>
        <w:t>“</w:t>
      </w:r>
      <w:r>
        <w:rPr>
          <w:rFonts w:hint="eastAsia" w:ascii="Arial" w:hAnsi="Arial" w:cs="Arial"/>
          <w:snapToGrid w:val="0"/>
        </w:rPr>
        <w:t>...能够根据机构承诺和法规、适用法律以及专业行为和实践标准确定拟定研究的可接受性...</w:t>
      </w:r>
      <w:r>
        <w:rPr>
          <w:rFonts w:hint="eastAsia" w:ascii="宋体" w:hAnsi="宋体" w:cs="Arial"/>
          <w:snapToGrid w:val="0"/>
        </w:rPr>
        <w:t>”</w:t>
      </w:r>
      <w:r>
        <w:rPr>
          <w:rFonts w:hint="eastAsia" w:ascii="Arial" w:hAnsi="Arial" w:cs="Arial"/>
          <w:snapToGrid w:val="0"/>
        </w:rPr>
        <w:t>此外，根据21 CFR 56.111中的法规，IRB必须确定拟定研究符合批准标准，包括</w:t>
      </w:r>
      <w:r>
        <w:rPr>
          <w:rFonts w:hint="eastAsia" w:ascii="宋体" w:hAnsi="宋体" w:cs="Arial"/>
          <w:snapToGrid w:val="0"/>
        </w:rPr>
        <w:t>“</w:t>
      </w:r>
      <w:r>
        <w:rPr>
          <w:rFonts w:hint="eastAsia" w:ascii="Arial" w:hAnsi="Arial" w:cs="Arial"/>
          <w:snapToGrid w:val="0"/>
        </w:rPr>
        <w:t>...受试者风险降至最低...【且】与受试者预期收益相比（如果有），风险合理...</w:t>
      </w:r>
      <w:r>
        <w:rPr>
          <w:rFonts w:hint="eastAsia" w:ascii="宋体" w:hAnsi="宋体" w:cs="Arial"/>
          <w:snapToGrid w:val="0"/>
        </w:rPr>
        <w:t>”</w:t>
      </w:r>
      <w:r>
        <w:rPr>
          <w:rFonts w:hint="eastAsia" w:ascii="Arial" w:hAnsi="Arial" w:cs="Arial"/>
          <w:snapToGrid w:val="0"/>
        </w:rPr>
        <w:t>为了履行这些责任，IRB需要获取有关研究者进行和监督拟定研究的资格信息。根据拟定研究的性质和风险以及IRB与研究者或拟定研究所在机构之间的关系，这可能相对简单直接，或者可能需要更多的参与评估。</w:t>
      </w:r>
    </w:p>
    <w:p w14:paraId="1CC70473">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许多情况下，IRB可能拥有有关研究者或机构的先前经验，允许IRB能够快速确定临床研究者是否具有合适资格进行和监督拟定研究。在其他情况下，IRB可能需要获得附加信息；但是，IRB应该能够从该机构管理者处获得声明，证实研究者具有相关资格。例如，对于拟在医院进行的拟定研究，其中仅专业医院工作人员可以进行研究，IRB可以依靠该机构的另一个办公室（例如，资格审查办公室，临床研究者医务部）来获得有关临床研究者资格的信息。对于由大学教员（例如在附属医院或诊所）进行的拟定研究，IRB可以从研究者部门的主席获得关于研究者资格的声明。</w:t>
      </w:r>
    </w:p>
    <w:p w14:paraId="02EAC160">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另一方面，如果审查IRB不了解临床研究者或机构（例如，IRB不隶属于研究所在机构；IRB不具有研究者的先前经验），IRB可能需要采取其他步骤来评价研究者资格。适当情况下，此类步骤可包括审查研究者，下属研究者和其他必要研究人员的履历，核实专业协会和医疗执照，或审查相关出版物和研究者在良好临床试验规范方面的培训。</w:t>
      </w:r>
    </w:p>
    <w:p w14:paraId="327E810B">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IRB也可能需要评估研究者的培训和有关拟定研究的具体经验，特别是拟定研究涉及高风险、弱势受试者或新技术时。对于此类拟定研究，IRB在确定研究者具有相关资格时，可能需要审查研究者先前的具体经验（可通过近期展示或出版物证明），以及其先前有关供试品或研究相关程序的临床经验。此外，如果研究涉及以下一项或多项，则IRB应特别确定研究者是否有资格进行提交给IRB批准的研究：</w:t>
      </w:r>
    </w:p>
    <w:p w14:paraId="338D77DD">
      <w:pPr>
        <w:pStyle w:val="18"/>
        <w:numPr>
          <w:ilvl w:val="1"/>
          <w:numId w:val="3"/>
        </w:numPr>
        <w:tabs>
          <w:tab w:val="left" w:pos="1161"/>
        </w:tabs>
        <w:topLinePunct/>
        <w:adjustRightInd w:val="0"/>
        <w:snapToGrid w:val="0"/>
        <w:spacing w:after="224" w:afterLines="75" w:line="288" w:lineRule="auto"/>
        <w:ind w:left="849" w:leftChars="386" w:firstLine="0"/>
        <w:jc w:val="both"/>
        <w:rPr>
          <w:rFonts w:ascii="Arial" w:hAnsi="Arial" w:eastAsia="宋体" w:cs="Arial"/>
          <w:snapToGrid w:val="0"/>
          <w:sz w:val="24"/>
          <w:szCs w:val="16"/>
        </w:rPr>
      </w:pPr>
      <w:r>
        <w:rPr>
          <w:rFonts w:hint="eastAsia" w:ascii="Arial" w:hAnsi="Arial" w:eastAsia="宋体" w:cs="Arial"/>
          <w:snapToGrid w:val="0"/>
          <w:sz w:val="24"/>
        </w:rPr>
        <w:t>申办方-研究者；</w:t>
      </w:r>
      <w:r>
        <w:rPr>
          <w:rStyle w:val="16"/>
          <w:rFonts w:ascii="Arial" w:hAnsi="Arial" w:eastAsia="宋体" w:cs="Arial"/>
          <w:snapToGrid w:val="0"/>
          <w:sz w:val="24"/>
        </w:rPr>
        <w:footnoteReference w:id="6"/>
      </w:r>
    </w:p>
    <w:p w14:paraId="029776DA">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7D3E4775">
      <w:pPr>
        <w:pStyle w:val="18"/>
        <w:numPr>
          <w:ilvl w:val="1"/>
          <w:numId w:val="3"/>
        </w:numPr>
        <w:tabs>
          <w:tab w:val="left" w:pos="1161"/>
        </w:tabs>
        <w:topLinePunct/>
        <w:adjustRightInd w:val="0"/>
        <w:snapToGrid w:val="0"/>
        <w:spacing w:after="224" w:afterLines="75" w:line="288" w:lineRule="auto"/>
        <w:ind w:left="849" w:leftChars="386" w:firstLine="0"/>
        <w:jc w:val="both"/>
        <w:rPr>
          <w:rFonts w:ascii="Arial" w:hAnsi="Arial" w:eastAsia="宋体" w:cs="Arial"/>
          <w:snapToGrid w:val="0"/>
          <w:sz w:val="24"/>
          <w:szCs w:val="24"/>
        </w:rPr>
      </w:pPr>
      <w:r>
        <w:rPr>
          <w:rFonts w:hint="eastAsia" w:ascii="Arial" w:hAnsi="Arial" w:eastAsia="宋体" w:cs="Arial"/>
          <w:snapToGrid w:val="0"/>
          <w:sz w:val="24"/>
        </w:rPr>
        <w:t>超出研究者专业领域的研究；或</w:t>
      </w:r>
    </w:p>
    <w:p w14:paraId="0BF59D53">
      <w:pPr>
        <w:pStyle w:val="18"/>
        <w:numPr>
          <w:ilvl w:val="1"/>
          <w:numId w:val="3"/>
        </w:numPr>
        <w:tabs>
          <w:tab w:val="left" w:pos="1160"/>
        </w:tabs>
        <w:topLinePunct/>
        <w:adjustRightInd w:val="0"/>
        <w:snapToGrid w:val="0"/>
        <w:spacing w:after="224" w:afterLines="75" w:line="288" w:lineRule="auto"/>
        <w:ind w:left="849" w:leftChars="386" w:firstLine="0"/>
        <w:jc w:val="both"/>
        <w:rPr>
          <w:rFonts w:ascii="Arial" w:hAnsi="Arial" w:eastAsia="宋体" w:cs="Arial"/>
          <w:snapToGrid w:val="0"/>
          <w:sz w:val="24"/>
          <w:szCs w:val="24"/>
        </w:rPr>
      </w:pPr>
      <w:r>
        <w:rPr>
          <w:rFonts w:hint="eastAsia" w:ascii="Arial" w:hAnsi="Arial" w:eastAsia="宋体" w:cs="Arial"/>
          <w:snapToGrid w:val="0"/>
          <w:sz w:val="24"/>
        </w:rPr>
        <w:t>任何研究设计特征或其他可能显著增加受试者潜在风险的特性。</w:t>
      </w:r>
    </w:p>
    <w:p w14:paraId="4ED51DDD">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如果存在任何问题，IRB可以选择监督或者雇佣第三方监督同意过程和研究（21 CFR 56.109（f））。</w:t>
      </w:r>
    </w:p>
    <w:p w14:paraId="6C3D86BD">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经过适当培训的IRB支持人员可以协助获取和评估研究者资格信息。FDA建议，IRB的书面程序应介绍IRB评估研究者进行和监督研究的资格的过程。</w:t>
      </w:r>
    </w:p>
    <w:p w14:paraId="1A818E2F">
      <w:pPr>
        <w:pStyle w:val="4"/>
        <w:numPr>
          <w:ilvl w:val="0"/>
          <w:numId w:val="3"/>
        </w:numPr>
        <w:tabs>
          <w:tab w:val="left" w:pos="741"/>
        </w:tabs>
        <w:topLinePunct/>
        <w:adjustRightInd w:val="0"/>
        <w:snapToGrid w:val="0"/>
        <w:spacing w:after="224" w:afterLines="75" w:line="288" w:lineRule="auto"/>
        <w:ind w:left="0" w:firstLine="0"/>
        <w:jc w:val="both"/>
        <w:rPr>
          <w:rFonts w:ascii="Arial" w:hAnsi="Arial" w:cs="Arial"/>
          <w:b w:val="0"/>
          <w:bCs w:val="0"/>
          <w:i w:val="0"/>
          <w:snapToGrid w:val="0"/>
        </w:rPr>
      </w:pPr>
      <w:r>
        <w:rPr>
          <w:rFonts w:hint="eastAsia" w:ascii="Arial" w:hAnsi="Arial" w:cs="Arial"/>
          <w:snapToGrid w:val="0"/>
        </w:rPr>
        <w:t>FDA是否公开了关于临床研究者检查历史的任何信息？</w:t>
      </w:r>
    </w:p>
    <w:p w14:paraId="6ABF512B">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是。IRB可以查阅FDA网站上发布的列表，确定临床研究者是否是本机构检查</w:t>
      </w:r>
      <w:r>
        <w:rPr>
          <w:rStyle w:val="16"/>
          <w:rFonts w:ascii="Arial" w:hAnsi="Arial" w:cs="Arial"/>
          <w:snapToGrid w:val="0"/>
        </w:rPr>
        <w:footnoteReference w:id="7"/>
      </w:r>
      <w:r>
        <w:rPr>
          <w:rFonts w:hint="eastAsia" w:ascii="Arial" w:hAnsi="Arial" w:cs="Arial"/>
          <w:snapToGrid w:val="0"/>
        </w:rPr>
        <w:t>以及此类检查结果的对象（例如警告函）。</w:t>
      </w:r>
      <w:r>
        <w:rPr>
          <w:rStyle w:val="16"/>
          <w:rFonts w:ascii="Arial" w:hAnsi="Arial" w:cs="Arial"/>
          <w:snapToGrid w:val="0"/>
        </w:rPr>
        <w:footnoteReference w:id="8"/>
      </w:r>
      <w:r>
        <w:rPr>
          <w:rFonts w:hint="eastAsia" w:ascii="Arial" w:hAnsi="Arial" w:cs="Arial"/>
          <w:snapToGrid w:val="0"/>
        </w:rPr>
        <w:t xml:space="preserve"> FDA还在其网站上公布了所有已通知其启动取消资格程序或已被取消资格的研究者列表。</w:t>
      </w:r>
      <w:r>
        <w:rPr>
          <w:rStyle w:val="16"/>
          <w:rFonts w:ascii="Arial" w:hAnsi="Arial" w:cs="Arial"/>
          <w:snapToGrid w:val="0"/>
        </w:rPr>
        <w:footnoteReference w:id="9"/>
      </w:r>
      <w:r>
        <w:rPr>
          <w:rFonts w:hint="eastAsia" w:ascii="Arial" w:hAnsi="Arial" w:cs="Arial"/>
          <w:snapToGrid w:val="0"/>
        </w:rPr>
        <w:t xml:space="preserve"> FDA建议IRB经常查阅FDA的检查、合规、执行和刑事侦察网站</w:t>
      </w:r>
      <w:r>
        <w:rPr>
          <w:rStyle w:val="16"/>
          <w:rFonts w:ascii="Arial" w:hAnsi="Arial" w:cs="Arial"/>
          <w:snapToGrid w:val="0"/>
        </w:rPr>
        <w:footnoteReference w:id="10"/>
      </w:r>
      <w:r>
        <w:rPr>
          <w:rFonts w:hint="eastAsia" w:ascii="Arial" w:hAnsi="Arial" w:cs="Arial"/>
          <w:snapToGrid w:val="0"/>
        </w:rPr>
        <w:t>，获取与临床研究者检查、警告函、取消资格程序和禁令有关的信息。</w:t>
      </w:r>
    </w:p>
    <w:p w14:paraId="07C1F3C4">
      <w:pPr>
        <w:pStyle w:val="4"/>
        <w:numPr>
          <w:ilvl w:val="0"/>
          <w:numId w:val="3"/>
        </w:numPr>
        <w:tabs>
          <w:tab w:val="left" w:pos="741"/>
        </w:tabs>
        <w:topLinePunct/>
        <w:adjustRightInd w:val="0"/>
        <w:snapToGrid w:val="0"/>
        <w:spacing w:after="224" w:afterLines="75" w:line="288" w:lineRule="auto"/>
        <w:ind w:left="0" w:firstLine="0"/>
        <w:jc w:val="both"/>
        <w:rPr>
          <w:rFonts w:ascii="Arial" w:hAnsi="Arial" w:cs="Arial"/>
          <w:b w:val="0"/>
          <w:bCs w:val="0"/>
          <w:i w:val="0"/>
          <w:snapToGrid w:val="0"/>
        </w:rPr>
      </w:pPr>
      <w:bookmarkStart w:id="7" w:name="_TOC_250000"/>
      <w:r>
        <w:rPr>
          <w:rFonts w:hint="eastAsia" w:ascii="Arial" w:hAnsi="Arial" w:cs="Arial"/>
          <w:snapToGrid w:val="0"/>
        </w:rPr>
        <w:t>IRB是否必须审查研究中心的适当性？</w:t>
      </w:r>
      <w:r>
        <w:rPr>
          <w:rFonts w:hint="eastAsia" w:ascii="Arial" w:hAnsi="Arial" w:cs="Arial"/>
          <w:snapToGrid w:val="0"/>
        </w:rPr>
        <w:tab/>
      </w:r>
      <w:bookmarkEnd w:id="7"/>
    </w:p>
    <w:p w14:paraId="06B33412">
      <w:pPr>
        <w:pStyle w:val="5"/>
        <w:topLinePunct/>
        <w:adjustRightInd w:val="0"/>
        <w:snapToGrid w:val="0"/>
        <w:spacing w:after="224" w:afterLines="75" w:line="288" w:lineRule="auto"/>
        <w:ind w:left="0"/>
        <w:jc w:val="both"/>
        <w:rPr>
          <w:rFonts w:ascii="Arial" w:hAnsi="Arial" w:cs="Arial"/>
          <w:snapToGrid w:val="0"/>
          <w:szCs w:val="16"/>
        </w:rPr>
      </w:pPr>
      <w:r>
        <w:rPr>
          <w:rFonts w:hint="eastAsia" w:ascii="Arial" w:hAnsi="Arial" w:cs="Arial"/>
          <w:snapToGrid w:val="0"/>
        </w:rPr>
        <w:t>是。FDA法规规定，在IRB批准法规涵盖的研究之前，IRB必须</w:t>
      </w:r>
      <w:r>
        <w:rPr>
          <w:rFonts w:hint="eastAsia" w:ascii="宋体" w:hAnsi="宋体" w:cs="Arial"/>
          <w:snapToGrid w:val="0"/>
        </w:rPr>
        <w:t>“</w:t>
      </w:r>
      <w:r>
        <w:rPr>
          <w:rFonts w:hint="eastAsia" w:ascii="Arial" w:hAnsi="Arial" w:cs="Arial"/>
          <w:snapToGrid w:val="0"/>
        </w:rPr>
        <w:t>...能够根据机构承诺和法规、适用法律以及专业行为和实践标准确定拟定研究的可接受性...</w:t>
      </w:r>
      <w:r>
        <w:rPr>
          <w:rFonts w:hint="eastAsia" w:ascii="宋体" w:hAnsi="宋体" w:cs="Arial"/>
          <w:snapToGrid w:val="0"/>
        </w:rPr>
        <w:t>”</w:t>
      </w:r>
      <w:r>
        <w:rPr>
          <w:rStyle w:val="16"/>
          <w:rFonts w:ascii="宋体" w:hAnsi="宋体" w:cs="Arial"/>
          <w:snapToGrid w:val="0"/>
        </w:rPr>
        <w:footnoteReference w:id="11"/>
      </w:r>
      <w:r>
        <w:rPr>
          <w:rFonts w:hint="eastAsia" w:ascii="Arial" w:hAnsi="Arial" w:cs="Arial"/>
          <w:snapToGrid w:val="0"/>
        </w:rPr>
        <w:t>法规还规定，各IRB应获取足够信息来确定拟定研究是否符合批准标准。</w:t>
      </w:r>
      <w:r>
        <w:rPr>
          <w:rStyle w:val="16"/>
          <w:rFonts w:ascii="Arial" w:hAnsi="Arial" w:cs="Arial"/>
          <w:snapToGrid w:val="0"/>
        </w:rPr>
        <w:footnoteReference w:id="12"/>
      </w:r>
    </w:p>
    <w:p w14:paraId="4EBD4A9A">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4C98D30A">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绝大多数情况下，IRB已熟悉临床研究者拟进行研究的研究中心或机构；在此类情况下，无需对研究中心的适当性进行附加评估（例如，研究在IRB附属机构进行时）。在其他情况下，IRB可能需要获取附加信息，评估拟进行研究的研究中心，确保其能够充分执行方案要求。根据拟定研究的性质和风险，以及IRB先前对进行拟定研究的研究机构或其他研究中心的了解或与其之间的关系，这可能相对简单直接，或者可能需要更多的参与评估。</w:t>
      </w:r>
    </w:p>
    <w:p w14:paraId="793E886A">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例如，如果拟定临床研究需要由合格医疗保健提供者使用医疗设备施用医疗程序，则IRB应该准备在需要时，评估机构工作人员和设备的适当性，包括紧急护理或专门护理的可用性。如果拟定研究中心隶属于主要医疗机构，则IRB可以简单地指出该事实。但是，如果IRB不了解拟定研究中心（例如研究机构、医院、医师办公室、牙科诊所），则IRB可能需要确认该中心是否配有适当的人员和设备来进行拟定研究。IRB应该能够从研究中心或机构的适当人员获得声明，证明此类机构具有适当性。或者，IRB可以要求研究者描述研究所在机构，包括其与审查研究有关的人员和资源。</w:t>
      </w:r>
    </w:p>
    <w:p w14:paraId="305E9FFF">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经过适当培训的IRB支持人员可协助获取和评估有关研究中心是否适当的信息。FDA建议，IRB的书面程序应描述IRB进行此类评价的过程。</w:t>
      </w:r>
    </w:p>
    <w:p w14:paraId="2C2D3932">
      <w:pPr>
        <w:pStyle w:val="4"/>
        <w:numPr>
          <w:ilvl w:val="0"/>
          <w:numId w:val="3"/>
        </w:numPr>
        <w:tabs>
          <w:tab w:val="left" w:pos="740"/>
        </w:tabs>
        <w:topLinePunct/>
        <w:adjustRightInd w:val="0"/>
        <w:snapToGrid w:val="0"/>
        <w:spacing w:after="224" w:afterLines="75" w:line="288" w:lineRule="auto"/>
        <w:ind w:left="0" w:firstLine="0"/>
        <w:jc w:val="both"/>
        <w:rPr>
          <w:rFonts w:ascii="Arial" w:hAnsi="Arial" w:cs="Arial"/>
          <w:b w:val="0"/>
          <w:bCs w:val="0"/>
          <w:i w:val="0"/>
          <w:snapToGrid w:val="0"/>
        </w:rPr>
      </w:pPr>
      <w:r>
        <w:rPr>
          <w:rFonts w:hint="eastAsia" w:ascii="Arial" w:hAnsi="Arial" w:cs="Arial"/>
          <w:snapToGrid w:val="0"/>
        </w:rPr>
        <w:t>在确定FDA监管研究是否需要提交IND或IDE时，IRB负有哪些责任？</w:t>
      </w:r>
    </w:p>
    <w:p w14:paraId="6B639311">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一般来说，IRB应询问研究者是否认为需要提交IND或IDE，以及确定的依据。但是，IRB的具体责任可能会有所不同，具体取决于充当研究受试者的产品，如下所述。</w:t>
      </w:r>
    </w:p>
    <w:p w14:paraId="51BECD87">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b/>
          <w:snapToGrid w:val="0"/>
        </w:rPr>
        <w:t>药品和生物制剂研究。</w:t>
      </w:r>
      <w:r>
        <w:rPr>
          <w:rFonts w:hint="eastAsia" w:ascii="Arial" w:hAnsi="Arial" w:cs="Arial"/>
          <w:snapToGrid w:val="0"/>
        </w:rPr>
        <w:t>FDA法规规定，申办方</w:t>
      </w:r>
      <w:r>
        <w:rPr>
          <w:rStyle w:val="16"/>
          <w:rFonts w:ascii="Arial" w:hAnsi="Arial" w:cs="Arial"/>
          <w:snapToGrid w:val="0"/>
        </w:rPr>
        <w:footnoteReference w:id="13"/>
      </w:r>
      <w:r>
        <w:rPr>
          <w:rFonts w:hint="eastAsia" w:ascii="Arial" w:hAnsi="Arial" w:cs="Arial"/>
          <w:snapToGrid w:val="0"/>
        </w:rPr>
        <w:t>和申办方-研究者（个体研究者发起的研究）应确定特定研究是否需要IND。</w:t>
      </w:r>
      <w:r>
        <w:rPr>
          <w:rStyle w:val="16"/>
          <w:rFonts w:ascii="Arial" w:hAnsi="Arial" w:cs="Arial"/>
          <w:snapToGrid w:val="0"/>
        </w:rPr>
        <w:footnoteReference w:id="14"/>
      </w:r>
      <w:r>
        <w:rPr>
          <w:rFonts w:hint="eastAsia" w:ascii="Arial" w:hAnsi="Arial" w:cs="Arial"/>
          <w:snapToGrid w:val="0"/>
        </w:rPr>
        <w:t>申办方应该能够按照21 CFR 312.2（a）的要求，确定IND法规是否适用于计划临床研究。如果申办方不确定是否需要IND，本机构建议申办方联系适当FDA中心中合适的审查部门（即有关研究治疗领域的部门），获取相关建议（21 CFR 312.2（e））。</w:t>
      </w:r>
    </w:p>
    <w:p w14:paraId="3A955838">
      <w:pPr>
        <w:pStyle w:val="5"/>
        <w:topLinePunct/>
        <w:adjustRightInd w:val="0"/>
        <w:snapToGrid w:val="0"/>
        <w:spacing w:after="224" w:afterLines="75" w:line="288" w:lineRule="auto"/>
        <w:ind w:left="0"/>
        <w:jc w:val="both"/>
        <w:rPr>
          <w:rFonts w:ascii="Arial" w:hAnsi="Arial" w:cs="Arial"/>
          <w:snapToGrid w:val="0"/>
        </w:rPr>
      </w:pPr>
    </w:p>
    <w:p w14:paraId="44B4DED1">
      <w:pPr>
        <w:pStyle w:val="5"/>
        <w:topLinePunct/>
        <w:adjustRightInd w:val="0"/>
        <w:snapToGrid w:val="0"/>
        <w:spacing w:after="224" w:afterLines="75" w:line="288" w:lineRule="auto"/>
        <w:ind w:left="0"/>
        <w:jc w:val="both"/>
        <w:rPr>
          <w:rFonts w:ascii="Arial" w:hAnsi="Arial" w:cs="Arial"/>
          <w:snapToGrid w:val="0"/>
        </w:rPr>
      </w:pPr>
    </w:p>
    <w:p w14:paraId="300AEB2A">
      <w:pPr>
        <w:pStyle w:val="5"/>
        <w:topLinePunct/>
        <w:adjustRightInd w:val="0"/>
        <w:snapToGrid w:val="0"/>
        <w:spacing w:after="224" w:afterLines="75" w:line="288" w:lineRule="auto"/>
        <w:ind w:left="0"/>
        <w:jc w:val="both"/>
        <w:rPr>
          <w:rFonts w:ascii="Arial" w:hAnsi="Arial" w:cs="Arial"/>
          <w:snapToGrid w:val="0"/>
        </w:rPr>
      </w:pPr>
    </w:p>
    <w:p w14:paraId="75650984">
      <w:pPr>
        <w:pStyle w:val="5"/>
        <w:topLinePunct/>
        <w:adjustRightInd w:val="0"/>
        <w:snapToGrid w:val="0"/>
        <w:spacing w:after="224" w:afterLines="75" w:line="288" w:lineRule="auto"/>
        <w:ind w:left="0"/>
        <w:jc w:val="both"/>
        <w:rPr>
          <w:rFonts w:ascii="Arial" w:hAnsi="Arial" w:cs="Arial"/>
          <w:snapToGrid w:val="0"/>
        </w:rPr>
      </w:pPr>
    </w:p>
    <w:p w14:paraId="70C40F6B">
      <w:pPr>
        <w:topLinePunct/>
        <w:adjustRightInd w:val="0"/>
        <w:snapToGrid w:val="0"/>
        <w:spacing w:after="224" w:afterLines="75" w:line="288" w:lineRule="auto"/>
        <w:jc w:val="both"/>
        <w:rPr>
          <w:rFonts w:ascii="Arial" w:hAnsi="Arial" w:cs="Arial"/>
          <w:snapToGrid w:val="0"/>
          <w:szCs w:val="20"/>
        </w:rPr>
      </w:pPr>
      <w:r>
        <w:rPr>
          <w:rFonts w:ascii="Arial" w:hAnsi="Arial" w:eastAsia="宋体" w:cs="Arial"/>
          <w:snapToGrid w:val="0"/>
          <w:sz w:val="24"/>
          <w:szCs w:val="20"/>
        </w:rPr>
        <w:br w:type="page"/>
      </w:r>
    </w:p>
    <w:p w14:paraId="128A4E03">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FDA发布了</w:t>
      </w:r>
      <w:r>
        <w:rPr>
          <w:rFonts w:hint="eastAsia" w:ascii="Arial" w:hAnsi="Arial" w:cs="Arial"/>
          <w:i/>
          <w:snapToGrid w:val="0"/>
        </w:rPr>
        <w:t>行业指南草案：研究性新药申请（IND）——决定人类研究是否可以在未提交IND的情况下进行</w:t>
      </w:r>
      <w:r>
        <w:rPr>
          <w:rFonts w:hint="eastAsia" w:ascii="Arial" w:hAnsi="Arial" w:cs="Arial"/>
          <w:snapToGrid w:val="0"/>
        </w:rPr>
        <w:t>，</w:t>
      </w:r>
      <w:r>
        <w:rPr>
          <w:rStyle w:val="16"/>
          <w:rFonts w:ascii="Arial" w:hAnsi="Arial" w:cs="Arial"/>
          <w:snapToGrid w:val="0"/>
        </w:rPr>
        <w:footnoteReference w:id="15"/>
      </w:r>
      <w:r>
        <w:rPr>
          <w:rFonts w:hint="eastAsia" w:ascii="Arial" w:hAnsi="Arial" w:cs="Arial"/>
          <w:snapToGrid w:val="0"/>
        </w:rPr>
        <w:t>以征询公共建议。定稿时，指南将代表FDA目前关于该主题的思考。</w:t>
      </w:r>
    </w:p>
    <w:p w14:paraId="08E3E928">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审查拟定研究时，IRB应询问临床研究者，申办方是否已确定需要或不需要提交IND以及确定的依据。如果申办方确定不需要提交IND，IRB可以要求研究者提供任何可用支持性证明文件的副本（例如申办者或FDA的函件，以及其他确定依据）。如果在初步审查研究期间，IRB询问是否需要提交IND，但无法解决这个问题，则IRB应该遵循其程序来解决争议问题（例如，以书面形式通知临床研究者IRB的担忧</w:t>
      </w:r>
      <w:r>
        <w:rPr>
          <w:rStyle w:val="16"/>
          <w:rFonts w:ascii="Arial" w:hAnsi="Arial" w:cs="Arial"/>
          <w:snapToGrid w:val="0"/>
        </w:rPr>
        <w:footnoteReference w:id="16"/>
      </w:r>
      <w:r>
        <w:rPr>
          <w:rFonts w:hint="eastAsia" w:ascii="Arial" w:hAnsi="Arial" w:cs="Arial"/>
          <w:snapToGrid w:val="0"/>
          <w:szCs w:val="16"/>
        </w:rPr>
        <w:t>，</w:t>
      </w:r>
      <w:r>
        <w:rPr>
          <w:rFonts w:hint="eastAsia" w:ascii="Arial" w:hAnsi="Arial" w:cs="Arial"/>
          <w:snapToGrid w:val="0"/>
        </w:rPr>
        <w:t>以及推迟批准研究，直到问题解决为止）。</w:t>
      </w:r>
    </w:p>
    <w:p w14:paraId="15430B63">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FDA网站提供组织结构图，其中列出了药品评价和研究中心（CDER）和生物制剂评价与研究中心（CBER）的审查部门及其电话号码。</w:t>
      </w:r>
      <w:r>
        <w:rPr>
          <w:rStyle w:val="16"/>
          <w:rFonts w:ascii="Arial" w:hAnsi="Arial" w:cs="Arial"/>
          <w:snapToGrid w:val="0"/>
        </w:rPr>
        <w:footnoteReference w:id="17"/>
      </w:r>
      <w:r>
        <w:rPr>
          <w:rFonts w:hint="eastAsia" w:ascii="Arial" w:hAnsi="Arial" w:cs="Arial"/>
          <w:snapToGrid w:val="0"/>
        </w:rPr>
        <w:t>如果相关审查部门不详，申办方可直接联系CDER或CBER：</w:t>
      </w:r>
    </w:p>
    <w:p w14:paraId="22B335AC">
      <w:pPr>
        <w:pStyle w:val="5"/>
        <w:tabs>
          <w:tab w:val="left" w:pos="2060"/>
        </w:tabs>
        <w:topLinePunct/>
        <w:adjustRightInd w:val="0"/>
        <w:snapToGrid w:val="0"/>
        <w:spacing w:line="288" w:lineRule="auto"/>
        <w:ind w:left="0"/>
        <w:jc w:val="both"/>
        <w:rPr>
          <w:rFonts w:ascii="Arial" w:hAnsi="Arial" w:cs="Arial"/>
          <w:snapToGrid w:val="0"/>
        </w:rPr>
      </w:pPr>
      <w:r>
        <w:rPr>
          <w:rFonts w:hint="eastAsia" w:ascii="Arial" w:hAnsi="Arial" w:cs="Arial"/>
          <w:snapToGrid w:val="0"/>
        </w:rPr>
        <w:t>CDER</w:t>
      </w:r>
      <w:r>
        <w:rPr>
          <w:rFonts w:ascii="Arial" w:hAnsi="Arial" w:cs="Arial"/>
          <w:snapToGrid w:val="0"/>
        </w:rPr>
        <w:t>：</w:t>
      </w:r>
      <w:r>
        <w:rPr>
          <w:rFonts w:hint="eastAsia" w:ascii="Arial" w:hAnsi="Arial" w:cs="Arial"/>
          <w:snapToGrid w:val="0"/>
        </w:rPr>
        <w:tab/>
      </w:r>
      <w:r>
        <w:rPr>
          <w:rFonts w:hint="eastAsia" w:ascii="Arial" w:hAnsi="Arial" w:cs="Arial"/>
          <w:snapToGrid w:val="0"/>
        </w:rPr>
        <w:t>交流办公室，药品信息部</w:t>
      </w:r>
    </w:p>
    <w:p w14:paraId="4F26B49A">
      <w:pPr>
        <w:pStyle w:val="5"/>
        <w:tabs>
          <w:tab w:val="left" w:pos="2060"/>
        </w:tabs>
        <w:topLinePunct/>
        <w:adjustRightInd w:val="0"/>
        <w:snapToGrid w:val="0"/>
        <w:spacing w:line="288" w:lineRule="auto"/>
        <w:ind w:left="0"/>
        <w:jc w:val="both"/>
        <w:rPr>
          <w:rFonts w:ascii="Arial" w:hAnsi="Arial" w:cs="Arial"/>
          <w:snapToGrid w:val="0"/>
        </w:rPr>
      </w:pPr>
      <w:r>
        <w:rPr>
          <w:rFonts w:ascii="Arial" w:hAnsi="Arial" w:cs="Arial"/>
          <w:snapToGrid w:val="0"/>
        </w:rPr>
        <w:tab/>
      </w:r>
      <w:r>
        <w:rPr>
          <w:rFonts w:hint="eastAsia" w:ascii="Arial" w:hAnsi="Arial" w:cs="Arial"/>
          <w:snapToGrid w:val="0"/>
        </w:rPr>
        <w:t>药品评价和研究中心</w:t>
      </w:r>
    </w:p>
    <w:p w14:paraId="17FEDD9D">
      <w:pPr>
        <w:pStyle w:val="5"/>
        <w:tabs>
          <w:tab w:val="left" w:pos="2060"/>
        </w:tabs>
        <w:topLinePunct/>
        <w:adjustRightInd w:val="0"/>
        <w:snapToGrid w:val="0"/>
        <w:spacing w:line="288" w:lineRule="auto"/>
        <w:ind w:left="0"/>
        <w:jc w:val="both"/>
        <w:rPr>
          <w:rFonts w:ascii="Arial" w:hAnsi="Arial" w:cs="Arial"/>
          <w:snapToGrid w:val="0"/>
        </w:rPr>
      </w:pPr>
      <w:r>
        <w:rPr>
          <w:rFonts w:ascii="Arial" w:hAnsi="Arial" w:cs="Arial"/>
          <w:snapToGrid w:val="0"/>
        </w:rPr>
        <w:tab/>
      </w:r>
      <w:r>
        <w:rPr>
          <w:rFonts w:hint="eastAsia" w:ascii="Arial" w:hAnsi="Arial" w:cs="Arial"/>
          <w:snapToGrid w:val="0"/>
        </w:rPr>
        <w:t>食品药品监督管理局</w:t>
      </w:r>
    </w:p>
    <w:p w14:paraId="0E95EF08">
      <w:pPr>
        <w:pStyle w:val="5"/>
        <w:tabs>
          <w:tab w:val="left" w:pos="2060"/>
        </w:tabs>
        <w:topLinePunct/>
        <w:adjustRightInd w:val="0"/>
        <w:snapToGrid w:val="0"/>
        <w:spacing w:line="288" w:lineRule="auto"/>
        <w:ind w:left="2060" w:hanging="2060"/>
        <w:jc w:val="both"/>
        <w:rPr>
          <w:rFonts w:ascii="Arial" w:hAnsi="Arial" w:cs="Arial"/>
          <w:snapToGrid w:val="0"/>
        </w:rPr>
      </w:pPr>
      <w:r>
        <w:rPr>
          <w:rFonts w:ascii="Arial" w:hAnsi="Arial" w:cs="Arial"/>
          <w:snapToGrid w:val="0"/>
        </w:rPr>
        <w:tab/>
      </w:r>
      <w:r>
        <w:rPr>
          <w:rFonts w:hint="eastAsia" w:ascii="Arial" w:hAnsi="Arial" w:cs="Arial"/>
          <w:snapToGrid w:val="0"/>
        </w:rPr>
        <w:t>10001 New Hampshire Avenue，4</w:t>
      </w:r>
      <w:r>
        <w:rPr>
          <w:rFonts w:ascii="Arial" w:hAnsi="Arial" w:cs="Arial"/>
          <w:snapToGrid w:val="0"/>
          <w:vertAlign w:val="superscript"/>
        </w:rPr>
        <w:t>th</w:t>
      </w:r>
      <w:r>
        <w:rPr>
          <w:rFonts w:hint="eastAsia" w:ascii="Arial" w:hAnsi="Arial" w:cs="Arial"/>
          <w:snapToGrid w:val="0"/>
        </w:rPr>
        <w:t xml:space="preserve"> Floor </w:t>
      </w:r>
    </w:p>
    <w:p w14:paraId="771615E3">
      <w:pPr>
        <w:pStyle w:val="5"/>
        <w:tabs>
          <w:tab w:val="left" w:pos="2060"/>
        </w:tabs>
        <w:topLinePunct/>
        <w:adjustRightInd w:val="0"/>
        <w:snapToGrid w:val="0"/>
        <w:spacing w:line="288" w:lineRule="auto"/>
        <w:ind w:left="2060" w:hanging="2060"/>
        <w:jc w:val="both"/>
        <w:rPr>
          <w:rFonts w:ascii="Arial" w:hAnsi="Arial" w:cs="Arial"/>
          <w:snapToGrid w:val="0"/>
        </w:rPr>
      </w:pPr>
      <w:r>
        <w:rPr>
          <w:rFonts w:ascii="Arial" w:hAnsi="Arial" w:cs="Arial"/>
          <w:snapToGrid w:val="0"/>
        </w:rPr>
        <w:tab/>
      </w:r>
      <w:r>
        <w:rPr>
          <w:rFonts w:hint="eastAsia" w:ascii="Arial" w:hAnsi="Arial" w:cs="Arial"/>
          <w:snapToGrid w:val="0"/>
        </w:rPr>
        <w:t>Silver Spring，MD 20993</w:t>
      </w:r>
    </w:p>
    <w:p w14:paraId="7AC0167F">
      <w:pPr>
        <w:pStyle w:val="5"/>
        <w:tabs>
          <w:tab w:val="left" w:pos="2060"/>
        </w:tabs>
        <w:topLinePunct/>
        <w:adjustRightInd w:val="0"/>
        <w:snapToGrid w:val="0"/>
        <w:spacing w:after="299" w:afterLines="100" w:line="288" w:lineRule="auto"/>
        <w:ind w:left="0"/>
        <w:jc w:val="both"/>
        <w:rPr>
          <w:rFonts w:ascii="Arial" w:hAnsi="Arial" w:cs="Arial"/>
          <w:snapToGrid w:val="0"/>
        </w:rPr>
      </w:pPr>
      <w:r>
        <w:rPr>
          <w:rFonts w:ascii="Arial" w:hAnsi="Arial" w:cs="Arial"/>
          <w:snapToGrid w:val="0"/>
        </w:rPr>
        <w:tab/>
      </w:r>
      <w:r>
        <w:rPr>
          <w:rFonts w:hint="eastAsia" w:ascii="Arial" w:hAnsi="Arial" w:cs="Arial"/>
          <w:snapToGrid w:val="0"/>
        </w:rPr>
        <w:t>（电话）301-796-3400</w:t>
      </w:r>
    </w:p>
    <w:p w14:paraId="3B8B688A">
      <w:pPr>
        <w:pStyle w:val="5"/>
        <w:tabs>
          <w:tab w:val="left" w:pos="2061"/>
        </w:tabs>
        <w:topLinePunct/>
        <w:adjustRightInd w:val="0"/>
        <w:snapToGrid w:val="0"/>
        <w:spacing w:line="288" w:lineRule="auto"/>
        <w:ind w:left="0"/>
        <w:jc w:val="both"/>
        <w:rPr>
          <w:rFonts w:ascii="Arial" w:hAnsi="Arial" w:cs="Arial"/>
          <w:snapToGrid w:val="0"/>
        </w:rPr>
      </w:pPr>
      <w:r>
        <w:rPr>
          <w:rFonts w:hint="eastAsia" w:ascii="Arial" w:hAnsi="Arial" w:cs="Arial"/>
          <w:snapToGrid w:val="0"/>
        </w:rPr>
        <w:t>CBER</w:t>
      </w:r>
      <w:r>
        <w:rPr>
          <w:rFonts w:ascii="Arial" w:hAnsi="Arial" w:cs="Arial"/>
          <w:snapToGrid w:val="0"/>
        </w:rPr>
        <w:t>：</w:t>
      </w:r>
      <w:r>
        <w:rPr>
          <w:rFonts w:hint="eastAsia" w:ascii="Arial" w:hAnsi="Arial" w:cs="Arial"/>
          <w:snapToGrid w:val="0"/>
        </w:rPr>
        <w:tab/>
      </w:r>
      <w:r>
        <w:rPr>
          <w:rFonts w:hint="eastAsia" w:ascii="Arial" w:hAnsi="Arial" w:cs="Arial"/>
          <w:snapToGrid w:val="0"/>
        </w:rPr>
        <w:t>交流、外联和开发办公室</w:t>
      </w:r>
      <w:r>
        <w:rPr>
          <w:rStyle w:val="16"/>
          <w:rFonts w:ascii="Arial" w:hAnsi="Arial" w:cs="Arial"/>
          <w:snapToGrid w:val="0"/>
        </w:rPr>
        <w:footnoteReference w:id="18"/>
      </w:r>
    </w:p>
    <w:p w14:paraId="7770D9A4">
      <w:pPr>
        <w:pStyle w:val="5"/>
        <w:tabs>
          <w:tab w:val="left" w:pos="2061"/>
        </w:tabs>
        <w:topLinePunct/>
        <w:adjustRightInd w:val="0"/>
        <w:snapToGrid w:val="0"/>
        <w:spacing w:line="288" w:lineRule="auto"/>
        <w:ind w:left="0"/>
        <w:jc w:val="both"/>
        <w:rPr>
          <w:rFonts w:ascii="Arial" w:hAnsi="Arial" w:cs="Arial"/>
          <w:snapToGrid w:val="0"/>
        </w:rPr>
      </w:pPr>
      <w:r>
        <w:rPr>
          <w:rFonts w:ascii="Arial" w:hAnsi="Arial" w:cs="Arial"/>
          <w:snapToGrid w:val="0"/>
        </w:rPr>
        <w:tab/>
      </w:r>
      <w:r>
        <w:rPr>
          <w:rFonts w:hint="eastAsia" w:ascii="Arial" w:hAnsi="Arial" w:cs="Arial"/>
          <w:snapToGrid w:val="0"/>
        </w:rPr>
        <w:t>生物制剂评价和研究中心</w:t>
      </w:r>
    </w:p>
    <w:p w14:paraId="53BA499C">
      <w:pPr>
        <w:pStyle w:val="5"/>
        <w:tabs>
          <w:tab w:val="left" w:pos="2060"/>
        </w:tabs>
        <w:topLinePunct/>
        <w:adjustRightInd w:val="0"/>
        <w:snapToGrid w:val="0"/>
        <w:spacing w:line="288" w:lineRule="auto"/>
        <w:ind w:left="0"/>
        <w:jc w:val="both"/>
        <w:rPr>
          <w:rFonts w:ascii="Arial" w:hAnsi="Arial" w:cs="Arial"/>
          <w:snapToGrid w:val="0"/>
        </w:rPr>
      </w:pPr>
      <w:r>
        <w:rPr>
          <w:rFonts w:ascii="Arial" w:hAnsi="Arial" w:cs="Arial"/>
          <w:snapToGrid w:val="0"/>
        </w:rPr>
        <w:tab/>
      </w:r>
      <w:r>
        <w:rPr>
          <w:rFonts w:hint="eastAsia" w:ascii="Arial" w:hAnsi="Arial" w:cs="Arial"/>
          <w:snapToGrid w:val="0"/>
        </w:rPr>
        <w:t>食品药品监督管理局</w:t>
      </w:r>
    </w:p>
    <w:p w14:paraId="3BC41004">
      <w:pPr>
        <w:pStyle w:val="5"/>
        <w:tabs>
          <w:tab w:val="left" w:pos="2060"/>
        </w:tabs>
        <w:topLinePunct/>
        <w:adjustRightInd w:val="0"/>
        <w:snapToGrid w:val="0"/>
        <w:spacing w:line="288" w:lineRule="auto"/>
        <w:ind w:left="0"/>
        <w:jc w:val="both"/>
        <w:rPr>
          <w:rFonts w:ascii="Arial" w:hAnsi="Arial" w:cs="Arial"/>
          <w:snapToGrid w:val="0"/>
        </w:rPr>
      </w:pPr>
      <w:r>
        <w:rPr>
          <w:rFonts w:ascii="Arial" w:hAnsi="Arial" w:cs="Arial"/>
          <w:snapToGrid w:val="0"/>
        </w:rPr>
        <w:tab/>
      </w:r>
      <w:r>
        <w:rPr>
          <w:rFonts w:hint="eastAsia" w:ascii="Arial" w:hAnsi="Arial" w:cs="Arial"/>
          <w:snapToGrid w:val="0"/>
        </w:rPr>
        <w:t>1401 Rockville Pike，Suite 200N</w:t>
      </w:r>
    </w:p>
    <w:p w14:paraId="231B22D2">
      <w:pPr>
        <w:pStyle w:val="5"/>
        <w:tabs>
          <w:tab w:val="left" w:pos="2060"/>
        </w:tabs>
        <w:topLinePunct/>
        <w:adjustRightInd w:val="0"/>
        <w:snapToGrid w:val="0"/>
        <w:spacing w:line="288" w:lineRule="auto"/>
        <w:ind w:left="0"/>
        <w:jc w:val="both"/>
        <w:rPr>
          <w:rFonts w:ascii="Arial" w:hAnsi="Arial" w:cs="Arial"/>
          <w:snapToGrid w:val="0"/>
        </w:rPr>
      </w:pPr>
      <w:r>
        <w:rPr>
          <w:rFonts w:ascii="Arial" w:hAnsi="Arial" w:cs="Arial"/>
          <w:snapToGrid w:val="0"/>
        </w:rPr>
        <w:tab/>
      </w:r>
      <w:r>
        <w:rPr>
          <w:rFonts w:hint="eastAsia" w:ascii="Arial" w:hAnsi="Arial" w:cs="Arial"/>
          <w:snapToGrid w:val="0"/>
        </w:rPr>
        <w:t>Rockville，MD 20852-1448</w:t>
      </w:r>
    </w:p>
    <w:p w14:paraId="77D17AAF">
      <w:pPr>
        <w:pStyle w:val="5"/>
        <w:tabs>
          <w:tab w:val="left" w:pos="2060"/>
        </w:tabs>
        <w:topLinePunct/>
        <w:adjustRightInd w:val="0"/>
        <w:snapToGrid w:val="0"/>
        <w:spacing w:after="299" w:afterLines="100" w:line="288" w:lineRule="auto"/>
        <w:ind w:left="0"/>
        <w:jc w:val="both"/>
        <w:rPr>
          <w:rFonts w:ascii="Arial" w:hAnsi="Arial" w:cs="Arial"/>
          <w:snapToGrid w:val="0"/>
        </w:rPr>
      </w:pPr>
      <w:r>
        <w:rPr>
          <w:rFonts w:ascii="Arial" w:hAnsi="Arial" w:cs="Arial"/>
          <w:snapToGrid w:val="0"/>
        </w:rPr>
        <w:tab/>
      </w:r>
      <w:r>
        <w:rPr>
          <w:rFonts w:hint="eastAsia" w:ascii="Arial" w:hAnsi="Arial" w:cs="Arial"/>
          <w:snapToGrid w:val="0"/>
        </w:rPr>
        <w:t>（电话）800-835-4709或301-827-1800</w:t>
      </w:r>
    </w:p>
    <w:p w14:paraId="79A74C1E">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b/>
          <w:snapToGrid w:val="0"/>
        </w:rPr>
        <w:t>器械研究。</w:t>
      </w:r>
      <w:r>
        <w:rPr>
          <w:rFonts w:hint="eastAsia" w:ascii="Arial" w:hAnsi="Arial" w:cs="Arial"/>
          <w:snapToGrid w:val="0"/>
        </w:rPr>
        <w:t>对于涉及研究性器械的研究，在进行研究之前，由申办方</w:t>
      </w:r>
      <w:r>
        <w:rPr>
          <w:rStyle w:val="16"/>
          <w:rFonts w:ascii="Arial" w:hAnsi="Arial" w:cs="Arial"/>
          <w:snapToGrid w:val="0"/>
        </w:rPr>
        <w:footnoteReference w:id="19"/>
      </w:r>
      <w:r>
        <w:rPr>
          <w:rFonts w:hint="eastAsia" w:ascii="Arial" w:hAnsi="Arial" w:cs="Arial"/>
          <w:snapToGrid w:val="0"/>
        </w:rPr>
        <w:t>负责确定是否需要向FDA提交IDE申请。</w:t>
      </w:r>
      <w:r>
        <w:rPr>
          <w:rStyle w:val="16"/>
          <w:rFonts w:ascii="Arial" w:hAnsi="Arial" w:cs="Arial"/>
          <w:snapToGrid w:val="0"/>
        </w:rPr>
        <w:footnoteReference w:id="20"/>
      </w:r>
      <w:r>
        <w:rPr>
          <w:rFonts w:hint="eastAsia" w:ascii="Arial" w:hAnsi="Arial" w:cs="Arial"/>
          <w:snapToGrid w:val="0"/>
        </w:rPr>
        <w:t>IDE法规（21 CFR 812）规定了三种类型的器械研究：重大风险（SR），非显著性风险（NSR）和豁免研究</w:t>
      </w:r>
      <w:r>
        <w:rPr>
          <w:rStyle w:val="16"/>
          <w:rFonts w:ascii="Arial" w:hAnsi="Arial" w:cs="Arial"/>
          <w:snapToGrid w:val="0"/>
        </w:rPr>
        <w:footnoteReference w:id="21"/>
      </w:r>
      <w:r>
        <w:rPr>
          <w:rFonts w:hint="eastAsia" w:ascii="Arial" w:hAnsi="Arial" w:cs="Arial"/>
          <w:snapToGrid w:val="0"/>
        </w:rPr>
        <w:t>。SR器械研究必须提交FDA批准的IDE申请，且在进行研究之前，还必须获得IRB批准，此外，其必须遵循IDE的所有要求。</w:t>
      </w:r>
      <w:r>
        <w:rPr>
          <w:rStyle w:val="16"/>
          <w:rFonts w:ascii="Arial" w:hAnsi="Arial" w:cs="Arial"/>
          <w:snapToGrid w:val="0"/>
        </w:rPr>
        <w:footnoteReference w:id="22"/>
      </w:r>
      <w:r>
        <w:rPr>
          <w:rFonts w:hint="eastAsia" w:ascii="Arial" w:hAnsi="Arial" w:cs="Arial"/>
          <w:snapToGrid w:val="0"/>
        </w:rPr>
        <w:t>NSR器械研究必须遵循21 CFR 812.2（b）中的简化IDE要求，包括知情同意和IRB审查，但无需向FDA提交IDE申请。</w:t>
      </w:r>
    </w:p>
    <w:p w14:paraId="542A9C23">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申办方负责确定初始风险，即确定研究属于SR或NSR，并将其提交给IRB。</w:t>
      </w:r>
      <w:r>
        <w:rPr>
          <w:rStyle w:val="16"/>
          <w:rFonts w:ascii="Arial" w:hAnsi="Arial" w:cs="Arial"/>
          <w:snapToGrid w:val="0"/>
        </w:rPr>
        <w:footnoteReference w:id="23"/>
      </w:r>
      <w:r>
        <w:rPr>
          <w:rFonts w:hint="eastAsia" w:ascii="Arial" w:hAnsi="Arial" w:cs="Arial"/>
          <w:snapToGrid w:val="0"/>
        </w:rPr>
        <w:t>如果申办方确定器械研究属于NSR，IRB必须审查申办者的决定。</w:t>
      </w:r>
      <w:r>
        <w:rPr>
          <w:rStyle w:val="16"/>
          <w:rFonts w:ascii="Arial" w:hAnsi="Arial" w:cs="Arial"/>
          <w:snapToGrid w:val="0"/>
        </w:rPr>
        <w:footnoteReference w:id="24"/>
      </w:r>
      <w:r>
        <w:rPr>
          <w:rFonts w:hint="eastAsia" w:ascii="Arial" w:hAnsi="Arial" w:cs="Arial"/>
          <w:snapToGrid w:val="0"/>
        </w:rPr>
        <w:t>如果IRB不同意申办方的NSR评估，并决定研究属于SR，IRB必须通知临床研究者和申办方（如果适用）。</w:t>
      </w:r>
      <w:r>
        <w:rPr>
          <w:rStyle w:val="16"/>
          <w:rFonts w:ascii="Arial" w:hAnsi="Arial" w:cs="Arial"/>
          <w:snapToGrid w:val="0"/>
        </w:rPr>
        <w:footnoteReference w:id="25"/>
      </w:r>
      <w:r>
        <w:rPr>
          <w:rFonts w:hint="eastAsia" w:ascii="Arial" w:hAnsi="Arial" w:cs="Arial"/>
          <w:snapToGrid w:val="0"/>
          <w:szCs w:val="16"/>
        </w:rPr>
        <w:t xml:space="preserve"> </w:t>
      </w:r>
      <w:r>
        <w:rPr>
          <w:rFonts w:hint="eastAsia" w:ascii="Arial" w:hAnsi="Arial" w:cs="Arial"/>
          <w:snapToGrid w:val="0"/>
        </w:rPr>
        <w:t>IRB还应在IRB会议记录中记录其SR / NSR决定。</w:t>
      </w:r>
    </w:p>
    <w:p w14:paraId="25919E13">
      <w:pPr>
        <w:topLinePunct/>
        <w:adjustRightInd w:val="0"/>
        <w:snapToGrid w:val="0"/>
        <w:spacing w:after="224" w:afterLines="75" w:line="288" w:lineRule="auto"/>
        <w:jc w:val="both"/>
        <w:rPr>
          <w:rFonts w:ascii="Arial" w:hAnsi="Arial" w:eastAsia="宋体" w:cs="Arial"/>
          <w:snapToGrid w:val="0"/>
          <w:sz w:val="24"/>
          <w:szCs w:val="24"/>
        </w:rPr>
      </w:pPr>
      <w:r>
        <w:rPr>
          <w:rFonts w:hint="eastAsia" w:ascii="Arial" w:hAnsi="Arial" w:eastAsia="宋体" w:cs="Arial"/>
          <w:snapToGrid w:val="0"/>
          <w:sz w:val="24"/>
        </w:rPr>
        <w:t>FDA可以协助申办方、研究者和IRB做出此类决定。有关如何请求此类协助的信息，请参见指南</w:t>
      </w:r>
      <w:r>
        <w:rPr>
          <w:rFonts w:hint="eastAsia" w:ascii="宋体" w:hAnsi="宋体" w:eastAsia="宋体" w:cs="Arial"/>
          <w:snapToGrid w:val="0"/>
          <w:sz w:val="24"/>
        </w:rPr>
        <w:t>“</w:t>
      </w:r>
      <w:r>
        <w:rPr>
          <w:rFonts w:hint="eastAsia" w:ascii="Arial" w:hAnsi="Arial" w:eastAsia="宋体" w:cs="Arial"/>
          <w:snapToGrid w:val="0"/>
          <w:sz w:val="24"/>
        </w:rPr>
        <w:t>有关医疗器械研究是否需要提交研究性器械豁免申请的询问处理程序</w:t>
      </w:r>
      <w:r>
        <w:rPr>
          <w:rFonts w:hint="eastAsia" w:ascii="宋体" w:hAnsi="宋体" w:eastAsia="宋体" w:cs="Arial"/>
          <w:snapToGrid w:val="0"/>
          <w:sz w:val="24"/>
        </w:rPr>
        <w:t>”</w:t>
      </w:r>
      <w:r>
        <w:rPr>
          <w:rFonts w:hint="eastAsia" w:ascii="Arial" w:hAnsi="Arial" w:eastAsia="宋体" w:cs="Arial"/>
          <w:snapToGrid w:val="0"/>
          <w:sz w:val="24"/>
        </w:rPr>
        <w:t>。</w:t>
      </w:r>
      <w:r>
        <w:rPr>
          <w:rStyle w:val="16"/>
          <w:rFonts w:ascii="Arial" w:hAnsi="Arial" w:eastAsia="宋体" w:cs="Arial"/>
          <w:snapToGrid w:val="0"/>
          <w:sz w:val="24"/>
        </w:rPr>
        <w:footnoteReference w:id="26"/>
      </w:r>
      <w:r>
        <w:rPr>
          <w:rFonts w:hint="eastAsia" w:ascii="Arial" w:hAnsi="Arial" w:eastAsia="宋体" w:cs="Arial"/>
          <w:snapToGrid w:val="0"/>
          <w:sz w:val="24"/>
        </w:rPr>
        <w:t>如果需要协助确定医疗器械的风险，申办方、临床研究者和IRB也可以联系：</w:t>
      </w:r>
    </w:p>
    <w:p w14:paraId="28A8A911">
      <w:pPr>
        <w:pStyle w:val="5"/>
        <w:topLinePunct/>
        <w:adjustRightInd w:val="0"/>
        <w:snapToGrid w:val="0"/>
        <w:spacing w:line="288" w:lineRule="auto"/>
        <w:ind w:left="719" w:leftChars="327"/>
        <w:jc w:val="both"/>
        <w:rPr>
          <w:rFonts w:ascii="Arial" w:hAnsi="Arial" w:cs="Arial"/>
          <w:snapToGrid w:val="0"/>
        </w:rPr>
      </w:pPr>
      <w:r>
        <w:rPr>
          <w:rFonts w:hint="eastAsia" w:ascii="Arial" w:hAnsi="Arial" w:cs="Arial"/>
          <w:snapToGrid w:val="0"/>
        </w:rPr>
        <w:t>IDE工作人员</w:t>
      </w:r>
    </w:p>
    <w:p w14:paraId="503968EE">
      <w:pPr>
        <w:pStyle w:val="5"/>
        <w:topLinePunct/>
        <w:adjustRightInd w:val="0"/>
        <w:snapToGrid w:val="0"/>
        <w:spacing w:line="288" w:lineRule="auto"/>
        <w:ind w:left="719" w:leftChars="327"/>
        <w:jc w:val="both"/>
        <w:rPr>
          <w:rFonts w:ascii="Arial" w:hAnsi="Arial" w:cs="Arial"/>
          <w:snapToGrid w:val="0"/>
        </w:rPr>
      </w:pPr>
      <w:r>
        <w:rPr>
          <w:rFonts w:hint="eastAsia" w:ascii="Arial" w:hAnsi="Arial" w:cs="Arial"/>
          <w:snapToGrid w:val="0"/>
        </w:rPr>
        <w:t>器械评价办公室</w:t>
      </w:r>
    </w:p>
    <w:p w14:paraId="4DE5C1F1">
      <w:pPr>
        <w:pStyle w:val="5"/>
        <w:topLinePunct/>
        <w:adjustRightInd w:val="0"/>
        <w:snapToGrid w:val="0"/>
        <w:spacing w:line="288" w:lineRule="auto"/>
        <w:ind w:left="719" w:leftChars="327"/>
        <w:jc w:val="both"/>
        <w:rPr>
          <w:rFonts w:ascii="Arial" w:hAnsi="Arial" w:cs="Arial"/>
          <w:snapToGrid w:val="0"/>
        </w:rPr>
      </w:pPr>
      <w:r>
        <w:rPr>
          <w:rFonts w:hint="eastAsia" w:ascii="Arial" w:hAnsi="Arial" w:cs="Arial"/>
          <w:snapToGrid w:val="0"/>
        </w:rPr>
        <w:t>器械和放射卫生中心</w:t>
      </w:r>
    </w:p>
    <w:p w14:paraId="1122E5AD">
      <w:pPr>
        <w:pStyle w:val="5"/>
        <w:topLinePunct/>
        <w:adjustRightInd w:val="0"/>
        <w:snapToGrid w:val="0"/>
        <w:spacing w:line="288" w:lineRule="auto"/>
        <w:ind w:left="719" w:leftChars="327"/>
        <w:jc w:val="both"/>
        <w:rPr>
          <w:rFonts w:ascii="Arial" w:hAnsi="Arial" w:cs="Arial"/>
          <w:snapToGrid w:val="0"/>
        </w:rPr>
      </w:pPr>
      <w:r>
        <w:rPr>
          <w:rFonts w:hint="eastAsia" w:ascii="Arial" w:hAnsi="Arial" w:cs="Arial"/>
          <w:snapToGrid w:val="0"/>
        </w:rPr>
        <w:t>食品药品监督管理局</w:t>
      </w:r>
    </w:p>
    <w:p w14:paraId="379D4AAA">
      <w:pPr>
        <w:pStyle w:val="5"/>
        <w:topLinePunct/>
        <w:adjustRightInd w:val="0"/>
        <w:snapToGrid w:val="0"/>
        <w:spacing w:line="288" w:lineRule="auto"/>
        <w:ind w:left="719" w:leftChars="327"/>
        <w:jc w:val="both"/>
        <w:rPr>
          <w:rFonts w:ascii="Arial" w:hAnsi="Arial" w:cs="Arial"/>
          <w:snapToGrid w:val="0"/>
        </w:rPr>
      </w:pPr>
      <w:r>
        <w:rPr>
          <w:rFonts w:hint="eastAsia" w:ascii="Arial" w:hAnsi="Arial" w:cs="Arial"/>
          <w:snapToGrid w:val="0"/>
        </w:rPr>
        <w:t xml:space="preserve">10903 New Hampshire Avenue </w:t>
      </w:r>
    </w:p>
    <w:p w14:paraId="75230EBF">
      <w:pPr>
        <w:pStyle w:val="5"/>
        <w:topLinePunct/>
        <w:adjustRightInd w:val="0"/>
        <w:snapToGrid w:val="0"/>
        <w:spacing w:line="288" w:lineRule="auto"/>
        <w:ind w:left="719" w:leftChars="327"/>
        <w:jc w:val="both"/>
        <w:rPr>
          <w:rFonts w:ascii="Arial" w:hAnsi="Arial" w:cs="Arial"/>
          <w:snapToGrid w:val="0"/>
        </w:rPr>
      </w:pPr>
      <w:r>
        <w:rPr>
          <w:rFonts w:hint="eastAsia" w:ascii="Arial" w:hAnsi="Arial" w:cs="Arial"/>
          <w:snapToGrid w:val="0"/>
        </w:rPr>
        <w:t>Silver Spring，MD 20993-0002</w:t>
      </w:r>
    </w:p>
    <w:p w14:paraId="22AE9E5D">
      <w:pPr>
        <w:pStyle w:val="5"/>
        <w:topLinePunct/>
        <w:adjustRightInd w:val="0"/>
        <w:snapToGrid w:val="0"/>
        <w:spacing w:after="224" w:afterLines="75" w:line="288" w:lineRule="auto"/>
        <w:ind w:left="719" w:leftChars="327"/>
        <w:jc w:val="both"/>
        <w:rPr>
          <w:rFonts w:ascii="Arial" w:hAnsi="Arial" w:cs="Arial"/>
          <w:snapToGrid w:val="0"/>
        </w:rPr>
      </w:pPr>
      <w:r>
        <w:rPr>
          <w:rFonts w:hint="eastAsia" w:ascii="Arial" w:hAnsi="Arial" w:cs="Arial"/>
          <w:snapToGrid w:val="0"/>
        </w:rPr>
        <w:t>（电话）301-796-5640</w:t>
      </w:r>
    </w:p>
    <w:p w14:paraId="10870217">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根据所提供的信息，FDA将确定器械研究是否属于SR，NSR或可以豁免21 CFR第812部分中的IDE要求。如果FDA确定研究满足SR，NSR或豁免研究，则必须遵守本机构的决定。</w:t>
      </w:r>
    </w:p>
    <w:p w14:paraId="184C98A6">
      <w:pPr>
        <w:rPr>
          <w:rFonts w:ascii="Arial" w:hAnsi="Arial" w:eastAsia="宋体" w:cs="Arial"/>
          <w:snapToGrid w:val="0"/>
          <w:sz w:val="24"/>
        </w:rPr>
      </w:pPr>
      <w:r>
        <w:rPr>
          <w:rFonts w:ascii="Arial" w:hAnsi="Arial" w:eastAsia="宋体" w:cs="Arial"/>
          <w:snapToGrid w:val="0"/>
          <w:sz w:val="24"/>
        </w:rPr>
        <w:br w:type="page"/>
      </w:r>
    </w:p>
    <w:p w14:paraId="7F533A31">
      <w:pPr>
        <w:topLinePunct/>
        <w:adjustRightInd w:val="0"/>
        <w:snapToGrid w:val="0"/>
        <w:spacing w:after="224" w:afterLines="75" w:line="288" w:lineRule="auto"/>
        <w:jc w:val="both"/>
        <w:rPr>
          <w:rFonts w:ascii="Arial" w:hAnsi="Arial" w:eastAsia="宋体" w:cs="Arial"/>
          <w:snapToGrid w:val="0"/>
          <w:sz w:val="24"/>
          <w:szCs w:val="24"/>
        </w:rPr>
      </w:pPr>
      <w:r>
        <w:rPr>
          <w:rFonts w:hint="eastAsia" w:ascii="Arial" w:hAnsi="Arial" w:eastAsia="宋体" w:cs="Arial"/>
          <w:snapToGrid w:val="0"/>
          <w:sz w:val="24"/>
        </w:rPr>
        <w:t>有关更多信息，请参见</w:t>
      </w:r>
      <w:r>
        <w:rPr>
          <w:rFonts w:hint="eastAsia" w:ascii="宋体" w:hAnsi="宋体" w:eastAsia="宋体" w:cs="Arial"/>
          <w:snapToGrid w:val="0"/>
          <w:sz w:val="24"/>
        </w:rPr>
        <w:t>“</w:t>
      </w:r>
      <w:r>
        <w:rPr>
          <w:rFonts w:hint="eastAsia" w:ascii="Arial" w:hAnsi="Arial" w:eastAsia="宋体" w:cs="Arial"/>
          <w:snapToGrid w:val="0"/>
          <w:sz w:val="24"/>
        </w:rPr>
        <w:t>机构审查委员会、临床研究者和申办方的信息表指南-重大风险和非重大风险医疗器械研究。</w:t>
      </w:r>
      <w:r>
        <w:rPr>
          <w:rStyle w:val="16"/>
          <w:rFonts w:ascii="Arial" w:hAnsi="Arial" w:eastAsia="宋体" w:cs="Arial"/>
          <w:snapToGrid w:val="0"/>
          <w:sz w:val="24"/>
        </w:rPr>
        <w:footnoteReference w:id="27"/>
      </w:r>
    </w:p>
    <w:p w14:paraId="4218AD11">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FDA建议，IRB应制定书面程序，解释IRB如何确定研究属于SR / NSR。</w:t>
      </w:r>
    </w:p>
    <w:p w14:paraId="3E8F6B9F">
      <w:pPr>
        <w:topLinePunct/>
        <w:adjustRightInd w:val="0"/>
        <w:snapToGrid w:val="0"/>
        <w:spacing w:after="224" w:afterLines="75" w:line="288" w:lineRule="auto"/>
        <w:jc w:val="both"/>
        <w:rPr>
          <w:rFonts w:ascii="Arial" w:hAnsi="Arial" w:eastAsia="宋体" w:cs="Arial"/>
          <w:snapToGrid w:val="0"/>
          <w:sz w:val="24"/>
          <w:szCs w:val="20"/>
        </w:rPr>
      </w:pPr>
    </w:p>
    <w:p w14:paraId="13F8C6E5">
      <w:pPr>
        <w:pBdr>
          <w:top w:val="single" w:color="auto" w:sz="4" w:space="1"/>
        </w:pBdr>
        <w:topLinePunct/>
        <w:adjustRightInd w:val="0"/>
        <w:snapToGrid w:val="0"/>
        <w:spacing w:after="224" w:afterLines="75" w:line="288" w:lineRule="auto"/>
        <w:jc w:val="both"/>
        <w:rPr>
          <w:rFonts w:hint="eastAsia" w:eastAsia="宋体"/>
          <w:lang w:eastAsia="zh-CN"/>
        </w:rPr>
      </w:pPr>
    </w:p>
    <w:p w14:paraId="2B7BC336">
      <w:pPr>
        <w:pBdr>
          <w:top w:val="single" w:color="auto" w:sz="4" w:space="1"/>
        </w:pBdr>
        <w:topLinePunct/>
        <w:adjustRightInd w:val="0"/>
        <w:snapToGrid w:val="0"/>
        <w:spacing w:after="224" w:afterLines="75" w:line="288" w:lineRule="auto"/>
        <w:jc w:val="center"/>
        <w:rPr>
          <w:rFonts w:hint="eastAsia" w:eastAsia="宋体"/>
          <w:lang w:eastAsia="zh-CN"/>
        </w:rPr>
      </w:pPr>
    </w:p>
    <w:p w14:paraId="12DBB28A">
      <w:pPr>
        <w:pBdr>
          <w:top w:val="single" w:color="auto" w:sz="4" w:space="1"/>
        </w:pBdr>
        <w:topLinePunct/>
        <w:adjustRightInd w:val="0"/>
        <w:snapToGrid w:val="0"/>
        <w:spacing w:after="224" w:afterLines="75"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7" w:type="default"/>
      <w:footerReference r:id="rId8" w:type="default"/>
      <w:pgSz w:w="11906" w:h="16838"/>
      <w:pgMar w:top="1134" w:right="1440" w:bottom="1134" w:left="1440" w:header="720" w:footer="720" w:gutter="0"/>
      <w:pgNumType w:start="1"/>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66772">
    <w:pPr>
      <w:rPr>
        <w:rFonts w:ascii="Arial" w:hAnsi="Arial" w:eastAsia="宋体" w:cs="Arial"/>
        <w:sz w:val="21"/>
        <w:szCs w:val="20"/>
      </w:rPr>
    </w:pPr>
  </w:p>
  <w:p w14:paraId="2164C160">
    <w:pPr>
      <w:rPr>
        <w:rFonts w:ascii="Arial" w:hAnsi="Arial" w:eastAsia="宋体" w:cs="Arial"/>
        <w:sz w:val="21"/>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1CBD">
    <w:pPr>
      <w:jc w:val="center"/>
      <w:rPr>
        <w:rFonts w:ascii="Arial" w:hAnsi="Arial" w:eastAsia="宋体" w:cs="Arial"/>
        <w:sz w:val="21"/>
        <w:szCs w:val="20"/>
      </w:rPr>
    </w:pPr>
  </w:p>
  <w:p w14:paraId="0FB2751B">
    <w:pPr>
      <w:jc w:val="center"/>
      <w:rPr>
        <w:rFonts w:ascii="Arial" w:hAnsi="Arial" w:eastAsia="宋体" w:cs="Arial"/>
        <w:sz w:val="21"/>
        <w:szCs w:val="20"/>
      </w:rPr>
    </w:pPr>
    <w:r>
      <w:rPr>
        <w:rFonts w:ascii="Arial" w:hAnsi="Arial" w:eastAsia="宋体" w:cs="Arial"/>
        <w:sz w:val="21"/>
        <w:szCs w:val="20"/>
      </w:rPr>
      <w:fldChar w:fldCharType="begin"/>
    </w:r>
    <w:r>
      <w:rPr>
        <w:rFonts w:ascii="Arial" w:hAnsi="Arial" w:eastAsia="宋体" w:cs="Arial"/>
        <w:sz w:val="21"/>
        <w:szCs w:val="20"/>
      </w:rPr>
      <w:instrText xml:space="preserve">PAGE   \* MERGEFORMAT</w:instrText>
    </w:r>
    <w:r>
      <w:rPr>
        <w:rFonts w:ascii="Arial" w:hAnsi="Arial" w:eastAsia="宋体" w:cs="Arial"/>
        <w:sz w:val="21"/>
        <w:szCs w:val="20"/>
      </w:rPr>
      <w:fldChar w:fldCharType="separate"/>
    </w:r>
    <w:r>
      <w:rPr>
        <w:rFonts w:ascii="Arial" w:hAnsi="Arial" w:eastAsia="宋体" w:cs="Arial"/>
        <w:sz w:val="21"/>
        <w:szCs w:val="20"/>
        <w:lang w:val="zh-CN"/>
      </w:rPr>
      <w:t>8</w:t>
    </w:r>
    <w:r>
      <w:rPr>
        <w:rFonts w:ascii="Arial" w:hAnsi="Arial" w:eastAsia="宋体" w:cs="Arial"/>
        <w:sz w:val="21"/>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6">
    <w:p>
      <w:r>
        <w:separator/>
      </w:r>
    </w:p>
  </w:footnote>
  <w:footnote w:type="continuationSeparator" w:id="57">
    <w:p>
      <w:r>
        <w:continuationSeparator/>
      </w:r>
    </w:p>
  </w:footnote>
  <w:footnote w:id="0">
    <w:p w14:paraId="0345139E">
      <w:pPr>
        <w:pStyle w:val="10"/>
        <w:spacing w:line="300" w:lineRule="auto"/>
        <w:rPr>
          <w:sz w:val="21"/>
          <w:szCs w:val="21"/>
        </w:rPr>
      </w:pPr>
      <w:r>
        <w:rPr>
          <w:rStyle w:val="16"/>
          <w:sz w:val="21"/>
          <w:szCs w:val="21"/>
        </w:rPr>
        <w:footnoteRef/>
      </w:r>
      <w:r>
        <w:rPr>
          <w:sz w:val="21"/>
          <w:szCs w:val="21"/>
        </w:rPr>
        <w:t xml:space="preserve"> </w:t>
      </w:r>
      <w:r>
        <w:rPr>
          <w:rFonts w:hint="eastAsia" w:ascii="Arial" w:hAnsi="Arial" w:eastAsia="宋体" w:cs="Arial"/>
          <w:snapToGrid w:val="0"/>
          <w:sz w:val="21"/>
          <w:szCs w:val="21"/>
        </w:rPr>
        <w:t>本指南由委员办公室，临床试验管理规范办公室（OGCP）协同药品评价和研究中心（CDER）、生物制剂评价和研究中心（CBER）、器械和放射卫生中心（CDRH）及法规事务办公室（ORA）编制。</w:t>
      </w:r>
    </w:p>
  </w:footnote>
  <w:footnote w:id="1">
    <w:p w14:paraId="0EDB001F">
      <w:pPr>
        <w:pStyle w:val="10"/>
        <w:spacing w:line="300" w:lineRule="auto"/>
        <w:rPr>
          <w:rFonts w:ascii="Arial" w:hAnsi="Arial" w:eastAsia="宋体" w:cs="Arial"/>
          <w:i/>
          <w:snapToGrid w:val="0"/>
          <w:sz w:val="21"/>
          <w:szCs w:val="21"/>
        </w:rPr>
      </w:pPr>
      <w:r>
        <w:rPr>
          <w:rStyle w:val="16"/>
          <w:sz w:val="21"/>
          <w:szCs w:val="21"/>
        </w:rPr>
        <w:footnoteRef/>
      </w:r>
      <w:r>
        <w:rPr>
          <w:sz w:val="21"/>
          <w:szCs w:val="21"/>
        </w:rPr>
        <w:t xml:space="preserve"> </w:t>
      </w:r>
      <w:r>
        <w:rPr>
          <w:rFonts w:hint="eastAsia" w:ascii="Arial" w:hAnsi="Arial" w:eastAsia="宋体" w:cs="Arial"/>
          <w:snapToGrid w:val="0"/>
          <w:sz w:val="21"/>
          <w:szCs w:val="21"/>
        </w:rPr>
        <w:t>ICH E6</w:t>
      </w:r>
      <w:r>
        <w:rPr>
          <w:rFonts w:hint="eastAsia" w:ascii="Arial" w:hAnsi="Arial" w:eastAsia="宋体" w:cs="Arial"/>
          <w:i/>
          <w:snapToGrid w:val="0"/>
          <w:sz w:val="21"/>
          <w:szCs w:val="21"/>
        </w:rPr>
        <w:t xml:space="preserve">良好临床试验规范：综合指南，3.1.3和4.1.1 </w:t>
      </w:r>
    </w:p>
    <w:p w14:paraId="12734989">
      <w:pPr>
        <w:pStyle w:val="10"/>
        <w:spacing w:line="300" w:lineRule="auto"/>
        <w:rPr>
          <w:sz w:val="21"/>
          <w:szCs w:val="21"/>
        </w:rPr>
      </w:pPr>
      <w:r>
        <w:fldChar w:fldCharType="begin"/>
      </w:r>
      <w:r>
        <w:instrText xml:space="preserve"> HYPERLINK "http://www.fda.gov/downloads/Drugs/GuidanceComplianceRegulatoryInformation/Guidances/UCM07312" \h </w:instrText>
      </w:r>
      <w:r>
        <w:fldChar w:fldCharType="separate"/>
      </w:r>
      <w:r>
        <w:rPr>
          <w:rFonts w:hint="eastAsia" w:ascii="Arial" w:hAnsi="Arial" w:eastAsia="宋体" w:cs="Arial"/>
          <w:snapToGrid w:val="0"/>
          <w:color w:val="0000FF"/>
          <w:sz w:val="21"/>
          <w:szCs w:val="21"/>
          <w:u w:val="single" w:color="0000FF"/>
        </w:rPr>
        <w:t xml:space="preserve">http://www.fda.gov/downloads/Drugs/GuidanceComplianceRegulatoryInformation/Guidances/UCM07312 </w:t>
      </w:r>
      <w:r>
        <w:rPr>
          <w:rFonts w:hint="eastAsia" w:ascii="Arial" w:hAnsi="Arial" w:eastAsia="宋体" w:cs="Arial"/>
          <w:snapToGrid w:val="0"/>
          <w:color w:val="0000FF"/>
          <w:sz w:val="21"/>
          <w:szCs w:val="21"/>
          <w:u w:val="single" w:color="0000FF"/>
        </w:rPr>
        <w:fldChar w:fldCharType="end"/>
      </w:r>
      <w:r>
        <w:rPr>
          <w:rFonts w:hint="eastAsia" w:ascii="Arial" w:hAnsi="Arial" w:eastAsia="宋体" w:cs="Arial"/>
          <w:snapToGrid w:val="0"/>
          <w:color w:val="0000FF"/>
          <w:sz w:val="21"/>
          <w:szCs w:val="21"/>
          <w:u w:val="single" w:color="0000FF"/>
        </w:rPr>
        <w:t>2.pdf</w:t>
      </w:r>
      <w:r>
        <w:rPr>
          <w:rFonts w:hint="eastAsia" w:ascii="Arial" w:hAnsi="Arial" w:eastAsia="宋体" w:cs="Arial"/>
          <w:snapToGrid w:val="0"/>
          <w:sz w:val="21"/>
          <w:szCs w:val="21"/>
        </w:rPr>
        <w:t>.</w:t>
      </w:r>
    </w:p>
  </w:footnote>
  <w:footnote w:id="2">
    <w:p w14:paraId="70B24C4E">
      <w:pPr>
        <w:topLinePunct/>
        <w:adjustRightInd w:val="0"/>
        <w:snapToGrid w:val="0"/>
        <w:spacing w:line="300" w:lineRule="auto"/>
        <w:jc w:val="both"/>
        <w:rPr>
          <w:rFonts w:ascii="Arial" w:hAnsi="Arial" w:eastAsia="宋体" w:cs="Arial"/>
          <w:snapToGrid w:val="0"/>
          <w:sz w:val="21"/>
          <w:szCs w:val="21"/>
        </w:rPr>
      </w:pPr>
      <w:r>
        <w:rPr>
          <w:rStyle w:val="16"/>
          <w:sz w:val="21"/>
          <w:szCs w:val="21"/>
        </w:rPr>
        <w:footnoteRef/>
      </w:r>
      <w:r>
        <w:rPr>
          <w:sz w:val="21"/>
          <w:szCs w:val="21"/>
        </w:rPr>
        <w:t xml:space="preserve"> </w:t>
      </w:r>
      <w:r>
        <w:rPr>
          <w:rFonts w:hint="eastAsia" w:ascii="Arial" w:hAnsi="Arial" w:eastAsia="宋体" w:cs="Arial"/>
          <w:snapToGrid w:val="0"/>
          <w:sz w:val="21"/>
          <w:szCs w:val="21"/>
        </w:rPr>
        <w:t>符合性项目指南手册</w:t>
      </w:r>
      <w:r>
        <w:rPr>
          <w:rFonts w:ascii="Arial" w:hAnsi="Arial" w:eastAsia="宋体" w:cs="Arial"/>
          <w:snapToGrid w:val="0"/>
          <w:sz w:val="21"/>
          <w:szCs w:val="21"/>
        </w:rPr>
        <w:t>（</w:t>
      </w:r>
      <w:r>
        <w:rPr>
          <w:rFonts w:hint="eastAsia" w:ascii="Arial" w:hAnsi="Arial" w:eastAsia="宋体" w:cs="Arial"/>
          <w:snapToGrid w:val="0"/>
          <w:sz w:val="21"/>
          <w:szCs w:val="21"/>
        </w:rPr>
        <w:t>CPGM）7348.809，机构审查委员会，2011年11月28日，以及第III.J、K和U条；</w:t>
      </w:r>
    </w:p>
    <w:p w14:paraId="16C5F75A">
      <w:pPr>
        <w:topLinePunct/>
        <w:adjustRightInd w:val="0"/>
        <w:snapToGrid w:val="0"/>
        <w:spacing w:line="300" w:lineRule="auto"/>
        <w:jc w:val="both"/>
        <w:rPr>
          <w:sz w:val="21"/>
          <w:szCs w:val="21"/>
        </w:rPr>
      </w:pPr>
      <w:r>
        <w:fldChar w:fldCharType="begin"/>
      </w:r>
      <w:r>
        <w:instrText xml:space="preserve"> HYPERLINK "http://www.fda.gov/downloads/ICECI/EnforcementActions/BioresearchMonitoring/UCM133768.pdf" \h </w:instrText>
      </w:r>
      <w:r>
        <w:fldChar w:fldCharType="separate"/>
      </w:r>
      <w:r>
        <w:rPr>
          <w:rFonts w:hint="eastAsia" w:ascii="Arial" w:hAnsi="Arial" w:eastAsia="宋体" w:cs="Arial"/>
          <w:snapToGrid w:val="0"/>
          <w:color w:val="0000FF"/>
          <w:sz w:val="21"/>
          <w:szCs w:val="21"/>
          <w:u w:val="single" w:color="0000FF"/>
        </w:rPr>
        <w:t>http://www.fda.gov/downloads/ICECI/EnforcementActions/BioresearchMonitoring/UCM133768.pdf</w:t>
      </w:r>
      <w:r>
        <w:rPr>
          <w:rFonts w:hint="eastAsia" w:ascii="Arial" w:hAnsi="Arial" w:eastAsia="宋体" w:cs="Arial"/>
          <w:snapToGrid w:val="0"/>
          <w:color w:val="0000FF"/>
          <w:sz w:val="21"/>
          <w:szCs w:val="21"/>
          <w:u w:val="single" w:color="0000FF"/>
        </w:rPr>
        <w:fldChar w:fldCharType="end"/>
      </w:r>
    </w:p>
  </w:footnote>
  <w:footnote w:id="3">
    <w:p w14:paraId="3C7603BB">
      <w:pPr>
        <w:pStyle w:val="10"/>
        <w:spacing w:line="300" w:lineRule="auto"/>
        <w:rPr>
          <w:sz w:val="21"/>
          <w:szCs w:val="21"/>
        </w:rPr>
      </w:pPr>
      <w:r>
        <w:rPr>
          <w:rStyle w:val="16"/>
          <w:sz w:val="21"/>
          <w:szCs w:val="21"/>
        </w:rPr>
        <w:footnoteRef/>
      </w:r>
      <w:r>
        <w:rPr>
          <w:sz w:val="21"/>
          <w:szCs w:val="21"/>
        </w:rPr>
        <w:t xml:space="preserve"> </w:t>
      </w:r>
      <w:r>
        <w:fldChar w:fldCharType="begin"/>
      </w:r>
      <w:r>
        <w:instrText xml:space="preserve"> HYPERLINK "http://www.fda.gov/RegulatoryInformation/Guidances/ucm127004.htm" \h </w:instrText>
      </w:r>
      <w:r>
        <w:fldChar w:fldCharType="separate"/>
      </w:r>
      <w:r>
        <w:rPr>
          <w:rFonts w:hint="eastAsia" w:ascii="Arial" w:hAnsi="Arial" w:eastAsia="宋体" w:cs="Arial"/>
          <w:snapToGrid w:val="0"/>
          <w:color w:val="0000FF"/>
          <w:sz w:val="21"/>
          <w:szCs w:val="21"/>
          <w:u w:val="single" w:color="0000FF"/>
        </w:rPr>
        <w:t>.http：//www.fda.gov/RegulatoryInformation/Guidances/ucm127004.htm</w:t>
      </w:r>
      <w:r>
        <w:rPr>
          <w:rFonts w:hint="eastAsia" w:ascii="Arial" w:hAnsi="Arial" w:eastAsia="宋体" w:cs="Arial"/>
          <w:snapToGrid w:val="0"/>
          <w:color w:val="0000FF"/>
          <w:sz w:val="21"/>
          <w:szCs w:val="21"/>
          <w:u w:val="single" w:color="0000FF"/>
        </w:rPr>
        <w:fldChar w:fldCharType="end"/>
      </w:r>
    </w:p>
  </w:footnote>
  <w:footnote w:id="4">
    <w:p w14:paraId="55E4B70E">
      <w:pPr>
        <w:pStyle w:val="10"/>
        <w:spacing w:line="300" w:lineRule="auto"/>
        <w:rPr>
          <w:sz w:val="21"/>
          <w:szCs w:val="21"/>
        </w:rPr>
      </w:pPr>
      <w:r>
        <w:rPr>
          <w:rStyle w:val="16"/>
          <w:sz w:val="21"/>
          <w:szCs w:val="21"/>
        </w:rPr>
        <w:footnoteRef/>
      </w:r>
      <w:r>
        <w:rPr>
          <w:sz w:val="21"/>
          <w:szCs w:val="21"/>
        </w:rPr>
        <w:t xml:space="preserve"> </w:t>
      </w:r>
      <w:r>
        <w:rPr>
          <w:rFonts w:hint="eastAsia" w:ascii="Arial" w:hAnsi="Arial" w:eastAsia="宋体" w:cs="Arial"/>
          <w:snapToGrid w:val="0"/>
          <w:sz w:val="21"/>
          <w:szCs w:val="21"/>
        </w:rPr>
        <w:t>21 CFR 312.53（a）；另请参见21 CFR 812.43（a）。</w:t>
      </w:r>
    </w:p>
  </w:footnote>
  <w:footnote w:id="5">
    <w:p w14:paraId="7C5D01DA">
      <w:pPr>
        <w:pStyle w:val="10"/>
        <w:spacing w:line="300" w:lineRule="auto"/>
        <w:rPr>
          <w:rFonts w:ascii="Arial" w:hAnsi="Arial" w:eastAsia="宋体" w:cs="Arial"/>
          <w:snapToGrid w:val="0"/>
          <w:sz w:val="21"/>
          <w:szCs w:val="21"/>
        </w:rPr>
      </w:pPr>
      <w:r>
        <w:rPr>
          <w:rStyle w:val="16"/>
          <w:sz w:val="21"/>
          <w:szCs w:val="21"/>
        </w:rPr>
        <w:footnoteRef/>
      </w:r>
      <w:r>
        <w:rPr>
          <w:sz w:val="21"/>
          <w:szCs w:val="21"/>
        </w:rPr>
        <w:t xml:space="preserve"> </w:t>
      </w:r>
      <w:r>
        <w:rPr>
          <w:rFonts w:hint="eastAsia" w:ascii="Arial" w:hAnsi="Arial" w:eastAsia="宋体" w:cs="Arial"/>
          <w:snapToGrid w:val="0"/>
          <w:sz w:val="21"/>
          <w:szCs w:val="21"/>
        </w:rPr>
        <w:t>关于IRB、研究者和申办方的定义，请分别参见21 CFR 56.102（g），（h）和（j）；</w:t>
      </w:r>
    </w:p>
    <w:p w14:paraId="51E3C8DC">
      <w:pPr>
        <w:pStyle w:val="10"/>
        <w:spacing w:line="300" w:lineRule="auto"/>
        <w:rPr>
          <w:sz w:val="21"/>
          <w:szCs w:val="21"/>
        </w:rPr>
      </w:pPr>
      <w:r>
        <w:fldChar w:fldCharType="begin"/>
      </w:r>
      <w:r>
        <w:instrText xml:space="preserve"> HYPERLINK "http://www.fda.gov/ScienceResearch/SpecialTopics/RunningClinicalTrials/ucm155713.htm" \h </w:instrText>
      </w:r>
      <w:r>
        <w:fldChar w:fldCharType="separate"/>
      </w:r>
      <w:r>
        <w:rPr>
          <w:rFonts w:hint="eastAsia" w:ascii="Arial" w:hAnsi="Arial" w:eastAsia="宋体" w:cs="Arial"/>
          <w:snapToGrid w:val="0"/>
          <w:color w:val="0000FF"/>
          <w:sz w:val="21"/>
          <w:szCs w:val="21"/>
          <w:u w:val="single" w:color="0000FF"/>
        </w:rPr>
        <w:t>http：//www.fda.gov/ScienceResearch/SpecialTopics/RunningClinicalTrials/ucm155713.htm</w:t>
      </w:r>
      <w:r>
        <w:rPr>
          <w:rFonts w:hint="eastAsia" w:ascii="Arial" w:hAnsi="Arial" w:eastAsia="宋体" w:cs="Arial"/>
          <w:snapToGrid w:val="0"/>
          <w:color w:val="0000FF"/>
          <w:sz w:val="21"/>
          <w:szCs w:val="21"/>
          <w:u w:val="single" w:color="0000FF"/>
        </w:rPr>
        <w:fldChar w:fldCharType="end"/>
      </w:r>
    </w:p>
  </w:footnote>
  <w:footnote w:id="6">
    <w:p w14:paraId="09EE34EC">
      <w:pPr>
        <w:pStyle w:val="10"/>
        <w:spacing w:line="300" w:lineRule="auto"/>
        <w:jc w:val="both"/>
        <w:rPr>
          <w:sz w:val="21"/>
          <w:szCs w:val="21"/>
        </w:rPr>
      </w:pPr>
      <w:r>
        <w:rPr>
          <w:rStyle w:val="16"/>
          <w:sz w:val="21"/>
          <w:szCs w:val="21"/>
        </w:rPr>
        <w:footnoteRef/>
      </w:r>
      <w:r>
        <w:rPr>
          <w:sz w:val="21"/>
          <w:szCs w:val="21"/>
        </w:rPr>
        <w:t xml:space="preserve"> </w:t>
      </w:r>
      <w:r>
        <w:rPr>
          <w:rFonts w:hint="eastAsia" w:ascii="Arial" w:hAnsi="Arial" w:eastAsia="宋体" w:cs="Arial"/>
          <w:snapToGrid w:val="0"/>
          <w:sz w:val="21"/>
          <w:szCs w:val="21"/>
        </w:rPr>
        <w:t>FDA法规（21 CFR 312.53（a）和21 CFR 812.43（a））要求申办方选择具有</w:t>
      </w:r>
      <w:r>
        <w:rPr>
          <w:rFonts w:hint="eastAsia" w:ascii="宋体" w:hAnsi="宋体" w:eastAsia="宋体" w:cs="Arial"/>
          <w:snapToGrid w:val="0"/>
          <w:sz w:val="21"/>
          <w:szCs w:val="21"/>
        </w:rPr>
        <w:t>“</w:t>
      </w:r>
      <w:r>
        <w:rPr>
          <w:rFonts w:hint="eastAsia" w:ascii="Arial" w:hAnsi="Arial" w:eastAsia="宋体" w:cs="Arial"/>
          <w:snapToGrid w:val="0"/>
          <w:sz w:val="21"/>
          <w:szCs w:val="21"/>
        </w:rPr>
        <w:t>相关培训经验</w:t>
      </w:r>
      <w:r>
        <w:rPr>
          <w:rFonts w:hint="eastAsia" w:ascii="宋体" w:hAnsi="宋体" w:eastAsia="宋体" w:cs="Arial"/>
          <w:snapToGrid w:val="0"/>
          <w:sz w:val="21"/>
          <w:szCs w:val="21"/>
        </w:rPr>
        <w:t>”</w:t>
      </w:r>
      <w:r>
        <w:rPr>
          <w:rFonts w:hint="eastAsia" w:ascii="Arial" w:hAnsi="Arial" w:eastAsia="宋体" w:cs="Arial"/>
          <w:snapToGrid w:val="0"/>
          <w:sz w:val="21"/>
          <w:szCs w:val="21"/>
        </w:rPr>
        <w:t>的临床研究者来研究供试品。在申办方-研究者（S-I）临床试验中，S-I承担申办方和研究者两者的责任（请参见21 CFR 312.3（b）和21 CFR 812.3（o））；因此研究申办方无需对临床研究者资格进行独立评估。这种情况下，IRB必须对研究者资格进行审查，以便确定受试者风险已降至最低，且与受试者预期收益（如果有）相比，风险合理。</w:t>
      </w:r>
    </w:p>
  </w:footnote>
  <w:footnote w:id="7">
    <w:p w14:paraId="1D0DE7EB">
      <w:pPr>
        <w:topLinePunct/>
        <w:adjustRightInd w:val="0"/>
        <w:snapToGrid w:val="0"/>
        <w:spacing w:line="300" w:lineRule="auto"/>
        <w:jc w:val="both"/>
        <w:rPr>
          <w:rFonts w:ascii="Arial" w:hAnsi="Arial" w:eastAsia="宋体" w:cs="Arial"/>
          <w:snapToGrid w:val="0"/>
          <w:sz w:val="21"/>
          <w:szCs w:val="21"/>
        </w:rPr>
      </w:pPr>
      <w:r>
        <w:rPr>
          <w:rStyle w:val="16"/>
          <w:sz w:val="21"/>
          <w:szCs w:val="21"/>
        </w:rPr>
        <w:footnoteRef/>
      </w:r>
      <w:r>
        <w:rPr>
          <w:rFonts w:hint="eastAsia" w:ascii="Arial" w:hAnsi="Arial" w:eastAsia="宋体" w:cs="Arial"/>
          <w:snapToGrid w:val="0"/>
          <w:sz w:val="21"/>
          <w:szCs w:val="21"/>
        </w:rPr>
        <w:t>FDA为CDER检查的研究者列表发布于：</w:t>
      </w:r>
    </w:p>
    <w:p w14:paraId="4BD51E0E">
      <w:pPr>
        <w:topLinePunct/>
        <w:adjustRightInd w:val="0"/>
        <w:snapToGrid w:val="0"/>
        <w:spacing w:line="300" w:lineRule="auto"/>
        <w:jc w:val="both"/>
        <w:rPr>
          <w:rFonts w:ascii="Arial" w:hAnsi="Arial" w:eastAsia="宋体" w:cs="Arial"/>
          <w:snapToGrid w:val="0"/>
          <w:sz w:val="21"/>
          <w:szCs w:val="21"/>
        </w:rPr>
      </w:pPr>
      <w:r>
        <w:fldChar w:fldCharType="begin"/>
      </w:r>
      <w:r>
        <w:instrText xml:space="preserve"> HYPERLINK "http://www.fda.gov/ScienceResearch/SpecialTopics/RunningClinicalTrials/ComplianceEnforcement/defaul" \h </w:instrText>
      </w:r>
      <w:r>
        <w:fldChar w:fldCharType="separate"/>
      </w:r>
      <w:r>
        <w:rPr>
          <w:rFonts w:hint="eastAsia" w:ascii="Arial" w:hAnsi="Arial" w:eastAsia="宋体" w:cs="Arial"/>
          <w:snapToGrid w:val="0"/>
          <w:color w:val="0000FF"/>
          <w:sz w:val="21"/>
          <w:szCs w:val="21"/>
          <w:u w:val="single" w:color="0000FF"/>
        </w:rPr>
        <w:t xml:space="preserve">http://www.fda.gov/ScienceResearch/SpecialTopics/RunningClinicalTrials/ComplianceEnforcement/defaul </w:t>
      </w:r>
      <w:r>
        <w:rPr>
          <w:rFonts w:hint="eastAsia" w:ascii="Arial" w:hAnsi="Arial" w:eastAsia="宋体" w:cs="Arial"/>
          <w:snapToGrid w:val="0"/>
          <w:color w:val="0000FF"/>
          <w:sz w:val="21"/>
          <w:szCs w:val="21"/>
          <w:u w:val="single" w:color="0000FF"/>
        </w:rPr>
        <w:fldChar w:fldCharType="end"/>
      </w:r>
      <w:r>
        <w:rPr>
          <w:rFonts w:hint="eastAsia" w:ascii="Arial" w:hAnsi="Arial" w:eastAsia="宋体" w:cs="Arial"/>
          <w:snapToGrid w:val="0"/>
          <w:color w:val="0000FF"/>
          <w:sz w:val="21"/>
          <w:szCs w:val="21"/>
          <w:u w:val="single" w:color="0000FF"/>
        </w:rPr>
        <w:t>t.htm</w:t>
      </w:r>
      <w:r>
        <w:rPr>
          <w:rFonts w:hint="eastAsia" w:ascii="Arial" w:hAnsi="Arial" w:eastAsia="宋体" w:cs="Arial"/>
          <w:snapToGrid w:val="0"/>
          <w:sz w:val="21"/>
          <w:szCs w:val="21"/>
        </w:rPr>
        <w:t>;</w:t>
      </w:r>
    </w:p>
    <w:p w14:paraId="2DB09218">
      <w:pPr>
        <w:pStyle w:val="10"/>
        <w:spacing w:line="300" w:lineRule="auto"/>
        <w:rPr>
          <w:sz w:val="21"/>
          <w:szCs w:val="21"/>
        </w:rPr>
      </w:pPr>
      <w:r>
        <w:rPr>
          <w:rFonts w:hint="eastAsia" w:ascii="Arial" w:hAnsi="Arial" w:eastAsia="宋体" w:cs="Arial"/>
          <w:snapToGrid w:val="0"/>
          <w:sz w:val="21"/>
          <w:szCs w:val="21"/>
        </w:rPr>
        <w:t>对于CBER：</w:t>
      </w:r>
      <w:r>
        <w:fldChar w:fldCharType="begin"/>
      </w:r>
      <w:r>
        <w:instrText xml:space="preserve"> HYPERLINK "http://www.fda.gov/BiologicsBloodVaccines/GuidanceComplianceRegulatoryInformation/ComplianceActi" \h </w:instrText>
      </w:r>
      <w:r>
        <w:fldChar w:fldCharType="separate"/>
      </w:r>
      <w:r>
        <w:rPr>
          <w:rFonts w:hint="eastAsia" w:ascii="Arial" w:hAnsi="Arial" w:eastAsia="宋体" w:cs="Arial"/>
          <w:snapToGrid w:val="0"/>
          <w:color w:val="0000FF"/>
          <w:sz w:val="21"/>
          <w:szCs w:val="21"/>
          <w:u w:val="single" w:color="0000FF"/>
        </w:rPr>
        <w:t>http://www.fda.gov/BiologicsBloodVaccines/GuidanceComplianceRegulatoryInformation/ComplianceActi</w:t>
      </w:r>
      <w:r>
        <w:rPr>
          <w:rFonts w:hint="eastAsia" w:ascii="Arial" w:hAnsi="Arial" w:eastAsia="宋体" w:cs="Arial"/>
          <w:snapToGrid w:val="0"/>
          <w:color w:val="0000FF"/>
          <w:sz w:val="21"/>
          <w:szCs w:val="21"/>
          <w:u w:val="single" w:color="0000FF"/>
        </w:rPr>
        <w:fldChar w:fldCharType="end"/>
      </w:r>
      <w:r>
        <w:rPr>
          <w:rFonts w:hint="eastAsia" w:ascii="Arial" w:hAnsi="Arial" w:eastAsia="宋体" w:cs="Arial"/>
          <w:snapToGrid w:val="0"/>
          <w:color w:val="0000FF"/>
          <w:sz w:val="21"/>
          <w:szCs w:val="21"/>
          <w:u w:val="single" w:color="0000FF"/>
        </w:rPr>
        <w:t>vities/ucm165743.htm</w:t>
      </w:r>
      <w:r>
        <w:rPr>
          <w:rFonts w:hint="eastAsia" w:ascii="Arial" w:hAnsi="Arial" w:eastAsia="宋体" w:cs="Arial"/>
          <w:snapToGrid w:val="0"/>
          <w:sz w:val="21"/>
          <w:szCs w:val="21"/>
        </w:rPr>
        <w:t>从2009年至今进行器械研究的研究者已列入由FDA法规事务办公室维护的检查分类数据库，网址：</w:t>
      </w:r>
      <w:r>
        <w:fldChar w:fldCharType="begin"/>
      </w:r>
      <w:r>
        <w:instrText xml:space="preserve"> HYPERLINK "http://www.accessdata.fda.gov/scripts/inspsearch" \h </w:instrText>
      </w:r>
      <w:r>
        <w:fldChar w:fldCharType="separate"/>
      </w:r>
      <w:r>
        <w:rPr>
          <w:rFonts w:hint="eastAsia" w:ascii="Arial" w:hAnsi="Arial" w:eastAsia="宋体" w:cs="Arial"/>
          <w:snapToGrid w:val="0"/>
          <w:color w:val="0000FF"/>
          <w:sz w:val="21"/>
          <w:szCs w:val="21"/>
          <w:u w:val="single" w:color="0000FF"/>
        </w:rPr>
        <w:t>http：//www.accessdata.fda.gov/scripts/inspsearch</w:t>
      </w:r>
      <w:r>
        <w:rPr>
          <w:rFonts w:hint="eastAsia" w:ascii="Arial" w:hAnsi="Arial" w:eastAsia="宋体" w:cs="Arial"/>
          <w:snapToGrid w:val="0"/>
          <w:color w:val="0000FF"/>
          <w:sz w:val="21"/>
          <w:szCs w:val="21"/>
          <w:u w:val="single" w:color="0000FF"/>
        </w:rPr>
        <w:fldChar w:fldCharType="end"/>
      </w:r>
    </w:p>
  </w:footnote>
  <w:footnote w:id="8">
    <w:p w14:paraId="76209FA7">
      <w:pPr>
        <w:pStyle w:val="10"/>
        <w:spacing w:line="300" w:lineRule="auto"/>
        <w:rPr>
          <w:rFonts w:ascii="Arial" w:hAnsi="Arial" w:eastAsia="宋体" w:cs="Arial"/>
          <w:snapToGrid w:val="0"/>
          <w:sz w:val="21"/>
          <w:szCs w:val="21"/>
        </w:rPr>
      </w:pPr>
      <w:r>
        <w:rPr>
          <w:rStyle w:val="16"/>
          <w:sz w:val="21"/>
          <w:szCs w:val="21"/>
        </w:rPr>
        <w:footnoteRef/>
      </w:r>
      <w:r>
        <w:rPr>
          <w:sz w:val="21"/>
          <w:szCs w:val="21"/>
        </w:rPr>
        <w:t xml:space="preserve"> </w:t>
      </w:r>
      <w:r>
        <w:rPr>
          <w:rFonts w:hint="eastAsia" w:ascii="Arial" w:hAnsi="Arial" w:eastAsia="宋体" w:cs="Arial"/>
          <w:snapToGrid w:val="0"/>
          <w:sz w:val="21"/>
          <w:szCs w:val="21"/>
        </w:rPr>
        <w:t>请参见本机构的电子阅览室，包括警告函</w:t>
      </w:r>
    </w:p>
    <w:p w14:paraId="54FAF3B6">
      <w:pPr>
        <w:pStyle w:val="10"/>
        <w:spacing w:line="300" w:lineRule="auto"/>
        <w:rPr>
          <w:sz w:val="21"/>
          <w:szCs w:val="21"/>
        </w:rPr>
      </w:pPr>
      <w:r>
        <w:rPr>
          <w:rFonts w:hint="eastAsia" w:ascii="Arial" w:hAnsi="Arial" w:eastAsia="宋体" w:cs="Arial"/>
          <w:snapToGrid w:val="0"/>
          <w:sz w:val="21"/>
          <w:szCs w:val="21"/>
        </w:rPr>
        <w:t>（</w:t>
      </w:r>
      <w:r>
        <w:fldChar w:fldCharType="begin"/>
      </w:r>
      <w:r>
        <w:instrText xml:space="preserve"> HYPERLINK "http://www.fda.gov/ICECI/EnforcementActions/WarningLetters/default.htm)" \h </w:instrText>
      </w:r>
      <w:r>
        <w:fldChar w:fldCharType="separate"/>
      </w:r>
      <w:r>
        <w:rPr>
          <w:rFonts w:hint="eastAsia" w:ascii="Arial" w:hAnsi="Arial" w:eastAsia="宋体" w:cs="Arial"/>
          <w:snapToGrid w:val="0"/>
          <w:color w:val="0000FF"/>
          <w:sz w:val="21"/>
          <w:szCs w:val="21"/>
          <w:u w:val="single" w:color="0000FF"/>
        </w:rPr>
        <w:t>http：//www.fda.gov/ICECI/EnforcementActions/WarningLetters/default.htm</w:t>
      </w:r>
      <w:r>
        <w:rPr>
          <w:rFonts w:hint="eastAsia" w:ascii="Arial" w:hAnsi="Arial" w:eastAsia="宋体" w:cs="Arial"/>
          <w:snapToGrid w:val="0"/>
          <w:color w:val="0000FF"/>
          <w:sz w:val="21"/>
          <w:szCs w:val="21"/>
          <w:u w:val="single" w:color="0000FF"/>
        </w:rPr>
        <w:fldChar w:fldCharType="end"/>
      </w:r>
      <w:r>
        <w:rPr>
          <w:rFonts w:hint="eastAsia" w:ascii="Arial" w:hAnsi="Arial" w:eastAsia="宋体" w:cs="Arial"/>
          <w:snapToGrid w:val="0"/>
          <w:sz w:val="21"/>
          <w:szCs w:val="21"/>
          <w:u w:val="single" w:color="0000FF"/>
        </w:rPr>
        <w:t>）。</w:t>
      </w:r>
    </w:p>
  </w:footnote>
  <w:footnote w:id="9">
    <w:p w14:paraId="7BB88757">
      <w:pPr>
        <w:topLinePunct/>
        <w:adjustRightInd w:val="0"/>
        <w:snapToGrid w:val="0"/>
        <w:spacing w:line="300" w:lineRule="auto"/>
        <w:jc w:val="both"/>
        <w:rPr>
          <w:rFonts w:ascii="Arial" w:hAnsi="Arial" w:eastAsia="宋体" w:cs="Arial"/>
          <w:snapToGrid w:val="0"/>
          <w:sz w:val="21"/>
          <w:szCs w:val="21"/>
        </w:rPr>
      </w:pPr>
      <w:r>
        <w:rPr>
          <w:rStyle w:val="16"/>
          <w:sz w:val="21"/>
          <w:szCs w:val="21"/>
        </w:rPr>
        <w:footnoteRef/>
      </w:r>
      <w:r>
        <w:rPr>
          <w:sz w:val="21"/>
          <w:szCs w:val="21"/>
        </w:rPr>
        <w:t xml:space="preserve"> </w:t>
      </w:r>
      <w:r>
        <w:rPr>
          <w:rFonts w:hint="eastAsia" w:ascii="Arial" w:hAnsi="Arial" w:eastAsia="宋体" w:cs="Arial"/>
          <w:snapToGrid w:val="0"/>
          <w:color w:val="231F20"/>
          <w:sz w:val="21"/>
          <w:szCs w:val="21"/>
        </w:rPr>
        <w:t>请参见</w:t>
      </w:r>
    </w:p>
    <w:p w14:paraId="5FAC794F">
      <w:pPr>
        <w:pStyle w:val="10"/>
        <w:spacing w:line="300" w:lineRule="auto"/>
        <w:rPr>
          <w:sz w:val="21"/>
          <w:szCs w:val="21"/>
        </w:rPr>
      </w:pPr>
      <w:r>
        <w:fldChar w:fldCharType="begin"/>
      </w:r>
      <w:r>
        <w:instrText xml:space="preserve"> HYPERLINK "http://www.accessdata.fda.gov/scripts/SDA/sdNavigation.cfm?sd=clinicalinvestigatorsdisqualificationproc" \h </w:instrText>
      </w:r>
      <w:r>
        <w:fldChar w:fldCharType="separate"/>
      </w:r>
      <w:r>
        <w:rPr>
          <w:rFonts w:hint="eastAsia" w:ascii="Arial" w:hAnsi="Arial" w:eastAsia="宋体" w:cs="Arial"/>
          <w:snapToGrid w:val="0"/>
          <w:color w:val="0000FF"/>
          <w:sz w:val="21"/>
          <w:szCs w:val="21"/>
          <w:u w:val="single" w:color="0000FF"/>
        </w:rPr>
        <w:t>http://www.accessdata.fda.gov/scripts/SDA/sdNavigation.cfm?sd=clinicalinvestigatorsdisqualificationproc eedings&amp;previewMode=true&amp;displayAll=true</w:t>
      </w:r>
      <w:r>
        <w:rPr>
          <w:rFonts w:hint="eastAsia" w:ascii="Arial" w:hAnsi="Arial" w:eastAsia="宋体" w:cs="Arial"/>
          <w:snapToGrid w:val="0"/>
          <w:color w:val="0000FF"/>
          <w:sz w:val="21"/>
          <w:szCs w:val="21"/>
          <w:u w:val="single" w:color="0000FF"/>
        </w:rPr>
        <w:fldChar w:fldCharType="end"/>
      </w:r>
    </w:p>
  </w:footnote>
  <w:footnote w:id="10">
    <w:p w14:paraId="5D169524">
      <w:pPr>
        <w:pStyle w:val="10"/>
        <w:spacing w:line="300" w:lineRule="auto"/>
        <w:rPr>
          <w:sz w:val="21"/>
          <w:szCs w:val="21"/>
        </w:rPr>
      </w:pPr>
      <w:r>
        <w:rPr>
          <w:rStyle w:val="16"/>
          <w:sz w:val="21"/>
          <w:szCs w:val="21"/>
        </w:rPr>
        <w:footnoteRef/>
      </w:r>
      <w:r>
        <w:rPr>
          <w:sz w:val="21"/>
          <w:szCs w:val="21"/>
        </w:rPr>
        <w:t xml:space="preserve"> </w:t>
      </w:r>
      <w:r>
        <w:rPr>
          <w:rFonts w:hint="eastAsia" w:ascii="Arial" w:hAnsi="Arial" w:eastAsia="宋体" w:cs="Arial"/>
          <w:snapToGrid w:val="0"/>
          <w:sz w:val="21"/>
          <w:szCs w:val="21"/>
        </w:rPr>
        <w:t>请参见</w:t>
      </w:r>
      <w:r>
        <w:fldChar w:fldCharType="begin"/>
      </w:r>
      <w:r>
        <w:instrText xml:space="preserve"> HYPERLINK "http://www.fda.gov/ICECI/default.htm" \h </w:instrText>
      </w:r>
      <w:r>
        <w:fldChar w:fldCharType="separate"/>
      </w:r>
      <w:r>
        <w:rPr>
          <w:rFonts w:hint="eastAsia" w:ascii="Arial" w:hAnsi="Arial" w:eastAsia="宋体" w:cs="Arial"/>
          <w:snapToGrid w:val="0"/>
          <w:color w:val="0000FF"/>
          <w:sz w:val="21"/>
          <w:szCs w:val="21"/>
          <w:u w:val="single" w:color="0000FF"/>
        </w:rPr>
        <w:t>http：//www.fda.gov/ICECI/default.htm</w:t>
      </w:r>
      <w:r>
        <w:rPr>
          <w:rFonts w:hint="eastAsia" w:ascii="Arial" w:hAnsi="Arial" w:eastAsia="宋体" w:cs="Arial"/>
          <w:snapToGrid w:val="0"/>
          <w:color w:val="0000FF"/>
          <w:sz w:val="21"/>
          <w:szCs w:val="21"/>
          <w:u w:val="single" w:color="0000FF"/>
        </w:rPr>
        <w:fldChar w:fldCharType="end"/>
      </w:r>
    </w:p>
  </w:footnote>
  <w:footnote w:id="11">
    <w:p w14:paraId="559958B1">
      <w:pPr>
        <w:pStyle w:val="10"/>
        <w:spacing w:line="300" w:lineRule="auto"/>
        <w:rPr>
          <w:sz w:val="21"/>
          <w:szCs w:val="21"/>
        </w:rPr>
      </w:pPr>
      <w:r>
        <w:rPr>
          <w:rStyle w:val="16"/>
          <w:sz w:val="21"/>
          <w:szCs w:val="21"/>
        </w:rPr>
        <w:footnoteRef/>
      </w:r>
      <w:r>
        <w:rPr>
          <w:sz w:val="21"/>
          <w:szCs w:val="21"/>
        </w:rPr>
        <w:t xml:space="preserve"> </w:t>
      </w:r>
      <w:r>
        <w:rPr>
          <w:rFonts w:hint="eastAsia" w:ascii="Arial" w:hAnsi="Arial" w:eastAsia="宋体" w:cs="Arial"/>
          <w:snapToGrid w:val="0"/>
          <w:sz w:val="21"/>
          <w:szCs w:val="21"/>
        </w:rPr>
        <w:t>21 CFR 56.107（a）。</w:t>
      </w:r>
    </w:p>
  </w:footnote>
  <w:footnote w:id="12">
    <w:p w14:paraId="2CBCAC58">
      <w:pPr>
        <w:pStyle w:val="10"/>
        <w:spacing w:line="300" w:lineRule="auto"/>
        <w:rPr>
          <w:sz w:val="21"/>
          <w:szCs w:val="21"/>
        </w:rPr>
      </w:pPr>
      <w:r>
        <w:rPr>
          <w:rStyle w:val="16"/>
          <w:sz w:val="21"/>
          <w:szCs w:val="21"/>
        </w:rPr>
        <w:footnoteRef/>
      </w:r>
      <w:r>
        <w:rPr>
          <w:sz w:val="21"/>
          <w:szCs w:val="21"/>
        </w:rPr>
        <w:t xml:space="preserve"> </w:t>
      </w:r>
      <w:r>
        <w:rPr>
          <w:rFonts w:hint="eastAsia" w:ascii="Arial" w:hAnsi="Arial" w:eastAsia="宋体" w:cs="Arial"/>
          <w:snapToGrid w:val="0"/>
          <w:sz w:val="21"/>
          <w:szCs w:val="21"/>
        </w:rPr>
        <w:t>21 CFR 56.111（a）。</w:t>
      </w:r>
    </w:p>
  </w:footnote>
  <w:footnote w:id="13">
    <w:p w14:paraId="12D208F7">
      <w:pPr>
        <w:pStyle w:val="10"/>
        <w:spacing w:line="300" w:lineRule="auto"/>
        <w:rPr>
          <w:sz w:val="21"/>
          <w:szCs w:val="21"/>
        </w:rPr>
      </w:pPr>
      <w:r>
        <w:rPr>
          <w:rStyle w:val="16"/>
          <w:sz w:val="21"/>
          <w:szCs w:val="21"/>
        </w:rPr>
        <w:footnoteRef/>
      </w:r>
      <w:r>
        <w:rPr>
          <w:sz w:val="21"/>
          <w:szCs w:val="21"/>
        </w:rPr>
        <w:t xml:space="preserve"> </w:t>
      </w:r>
      <w:r>
        <w:rPr>
          <w:rFonts w:hint="eastAsia" w:ascii="Arial" w:hAnsi="Arial" w:eastAsia="宋体" w:cs="Arial"/>
          <w:snapToGrid w:val="0"/>
          <w:sz w:val="21"/>
          <w:szCs w:val="21"/>
        </w:rPr>
        <w:t>请参见21 CFR 312.3（b），</w:t>
      </w:r>
      <w:r>
        <w:rPr>
          <w:rFonts w:hint="eastAsia" w:ascii="宋体" w:hAnsi="宋体" w:eastAsia="宋体" w:cs="Arial"/>
          <w:snapToGrid w:val="0"/>
          <w:sz w:val="21"/>
          <w:szCs w:val="21"/>
        </w:rPr>
        <w:t>“</w:t>
      </w:r>
      <w:r>
        <w:rPr>
          <w:rFonts w:hint="eastAsia" w:ascii="Arial" w:hAnsi="Arial" w:eastAsia="宋体" w:cs="Arial"/>
          <w:snapToGrid w:val="0"/>
          <w:sz w:val="21"/>
          <w:szCs w:val="21"/>
        </w:rPr>
        <w:t>申办方-研究者</w:t>
      </w:r>
      <w:r>
        <w:rPr>
          <w:rFonts w:hint="eastAsia" w:ascii="宋体" w:hAnsi="宋体" w:eastAsia="宋体" w:cs="Arial"/>
          <w:snapToGrid w:val="0"/>
          <w:sz w:val="21"/>
          <w:szCs w:val="21"/>
        </w:rPr>
        <w:t>”</w:t>
      </w:r>
      <w:r>
        <w:rPr>
          <w:rFonts w:hint="eastAsia" w:ascii="Arial" w:hAnsi="Arial" w:eastAsia="宋体" w:cs="Arial"/>
          <w:snapToGrid w:val="0"/>
          <w:sz w:val="21"/>
          <w:szCs w:val="21"/>
        </w:rPr>
        <w:t>定义。在本节中，使用</w:t>
      </w:r>
      <w:r>
        <w:rPr>
          <w:rFonts w:hint="eastAsia" w:ascii="宋体" w:hAnsi="宋体" w:eastAsia="宋体" w:cs="Arial"/>
          <w:snapToGrid w:val="0"/>
          <w:sz w:val="21"/>
          <w:szCs w:val="21"/>
        </w:rPr>
        <w:t>“</w:t>
      </w:r>
      <w:r>
        <w:rPr>
          <w:rFonts w:hint="eastAsia" w:ascii="Arial" w:hAnsi="Arial" w:eastAsia="宋体" w:cs="Arial"/>
          <w:snapToGrid w:val="0"/>
          <w:sz w:val="21"/>
          <w:szCs w:val="21"/>
        </w:rPr>
        <w:t>申办方</w:t>
      </w:r>
      <w:r>
        <w:rPr>
          <w:rFonts w:hint="eastAsia" w:ascii="宋体" w:hAnsi="宋体" w:eastAsia="宋体" w:cs="Arial"/>
          <w:snapToGrid w:val="0"/>
          <w:sz w:val="21"/>
          <w:szCs w:val="21"/>
        </w:rPr>
        <w:t>”</w:t>
      </w:r>
      <w:r>
        <w:rPr>
          <w:rFonts w:hint="eastAsia" w:ascii="Arial" w:hAnsi="Arial" w:eastAsia="宋体" w:cs="Arial"/>
          <w:snapToGrid w:val="0"/>
          <w:sz w:val="21"/>
          <w:szCs w:val="21"/>
        </w:rPr>
        <w:t>时，该术语包括</w:t>
      </w:r>
      <w:r>
        <w:rPr>
          <w:rFonts w:hint="eastAsia" w:ascii="宋体" w:hAnsi="宋体" w:eastAsia="宋体" w:cs="Arial"/>
          <w:snapToGrid w:val="0"/>
          <w:sz w:val="21"/>
          <w:szCs w:val="21"/>
        </w:rPr>
        <w:t>“</w:t>
      </w:r>
      <w:r>
        <w:rPr>
          <w:rFonts w:hint="eastAsia" w:ascii="Arial" w:hAnsi="Arial" w:eastAsia="宋体" w:cs="Arial"/>
          <w:snapToGrid w:val="0"/>
          <w:sz w:val="21"/>
          <w:szCs w:val="21"/>
        </w:rPr>
        <w:t>申办方-研究者</w:t>
      </w:r>
      <w:r>
        <w:rPr>
          <w:rFonts w:hint="eastAsia" w:ascii="宋体" w:hAnsi="宋体" w:eastAsia="宋体" w:cs="Arial"/>
          <w:snapToGrid w:val="0"/>
          <w:sz w:val="21"/>
          <w:szCs w:val="21"/>
        </w:rPr>
        <w:t>”</w:t>
      </w:r>
      <w:r>
        <w:rPr>
          <w:rFonts w:hint="eastAsia" w:ascii="Arial" w:hAnsi="Arial" w:eastAsia="宋体" w:cs="Arial"/>
          <w:snapToGrid w:val="0"/>
          <w:sz w:val="21"/>
          <w:szCs w:val="21"/>
        </w:rPr>
        <w:t>。</w:t>
      </w:r>
    </w:p>
  </w:footnote>
  <w:footnote w:id="14">
    <w:p w14:paraId="673892E8">
      <w:pPr>
        <w:pStyle w:val="10"/>
        <w:spacing w:line="300" w:lineRule="auto"/>
        <w:rPr>
          <w:sz w:val="21"/>
          <w:szCs w:val="21"/>
        </w:rPr>
      </w:pPr>
      <w:r>
        <w:rPr>
          <w:rStyle w:val="16"/>
          <w:sz w:val="21"/>
          <w:szCs w:val="21"/>
        </w:rPr>
        <w:footnoteRef/>
      </w:r>
      <w:r>
        <w:rPr>
          <w:sz w:val="21"/>
          <w:szCs w:val="21"/>
        </w:rPr>
        <w:t xml:space="preserve"> </w:t>
      </w:r>
      <w:r>
        <w:rPr>
          <w:rFonts w:hint="eastAsia" w:ascii="Arial" w:hAnsi="Arial" w:eastAsia="宋体" w:cs="Arial"/>
          <w:snapToGrid w:val="0"/>
          <w:sz w:val="21"/>
          <w:szCs w:val="21"/>
        </w:rPr>
        <w:t>请参见21 CFR 312.2，312.20，312.50和320.31（c）。但是，已豁免IND要求的研究仍需遵守21 CFR第50部分（受试者保护）和第56部分（机构审查委员会）的规定。</w:t>
      </w:r>
    </w:p>
  </w:footnote>
  <w:footnote w:id="15">
    <w:p w14:paraId="7E873736">
      <w:pPr>
        <w:pStyle w:val="10"/>
        <w:spacing w:line="300" w:lineRule="auto"/>
        <w:rPr>
          <w:sz w:val="21"/>
          <w:szCs w:val="21"/>
        </w:rPr>
      </w:pPr>
      <w:r>
        <w:rPr>
          <w:rStyle w:val="16"/>
          <w:sz w:val="21"/>
          <w:szCs w:val="21"/>
        </w:rPr>
        <w:footnoteRef/>
      </w:r>
      <w:r>
        <w:rPr>
          <w:sz w:val="21"/>
          <w:szCs w:val="21"/>
        </w:rPr>
        <w:t xml:space="preserve"> </w:t>
      </w:r>
      <w:r>
        <w:fldChar w:fldCharType="begin"/>
      </w:r>
      <w:r>
        <w:instrText xml:space="preserve"> HYPERLINK "http://www.fda.gov/downloads/Drugs/GuidanceComplianceRegulatoryInformation/Guidances%20/UCM22917%20" </w:instrText>
      </w:r>
      <w:r>
        <w:fldChar w:fldCharType="separate"/>
      </w:r>
      <w:r>
        <w:rPr>
          <w:rStyle w:val="15"/>
          <w:rFonts w:hint="eastAsia" w:ascii="Arial" w:hAnsi="Arial" w:eastAsia="宋体" w:cs="Arial"/>
          <w:snapToGrid w:val="0"/>
          <w:sz w:val="21"/>
          <w:szCs w:val="21"/>
          <w:u w:color="0000FF"/>
        </w:rPr>
        <w:t xml:space="preserve">http://www.fda.gov/downloads/Drugs/GuidanceComplianceRegulatoryInformation/Guidances /UCM22917 </w:t>
      </w:r>
      <w:r>
        <w:rPr>
          <w:rStyle w:val="15"/>
          <w:rFonts w:hint="eastAsia" w:ascii="Arial" w:hAnsi="Arial" w:eastAsia="宋体" w:cs="Arial"/>
          <w:snapToGrid w:val="0"/>
          <w:sz w:val="21"/>
          <w:szCs w:val="21"/>
          <w:u w:color="0000FF"/>
        </w:rPr>
        <w:fldChar w:fldCharType="end"/>
      </w:r>
      <w:r>
        <w:rPr>
          <w:rFonts w:hint="eastAsia" w:ascii="Arial" w:hAnsi="Arial" w:eastAsia="宋体" w:cs="Arial"/>
          <w:snapToGrid w:val="0"/>
          <w:color w:val="0000FF"/>
          <w:sz w:val="21"/>
          <w:szCs w:val="21"/>
          <w:u w:val="single" w:color="0000FF"/>
        </w:rPr>
        <w:t>5.pdf</w:t>
      </w:r>
      <w:r>
        <w:rPr>
          <w:rFonts w:hint="eastAsia" w:ascii="Arial" w:hAnsi="Arial" w:eastAsia="宋体" w:cs="Arial"/>
          <w:snapToGrid w:val="0"/>
          <w:sz w:val="21"/>
          <w:szCs w:val="21"/>
        </w:rPr>
        <w:t>.</w:t>
      </w:r>
    </w:p>
  </w:footnote>
  <w:footnote w:id="16">
    <w:p w14:paraId="696C00BB">
      <w:pPr>
        <w:pStyle w:val="10"/>
        <w:spacing w:line="300" w:lineRule="auto"/>
        <w:rPr>
          <w:rFonts w:ascii="Arial" w:hAnsi="Arial" w:cs="Arial"/>
          <w:sz w:val="21"/>
          <w:szCs w:val="21"/>
        </w:rPr>
      </w:pPr>
      <w:r>
        <w:rPr>
          <w:rStyle w:val="16"/>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56.109 （e）</w:t>
      </w:r>
    </w:p>
  </w:footnote>
  <w:footnote w:id="17">
    <w:p w14:paraId="140363CA">
      <w:pPr>
        <w:pStyle w:val="10"/>
        <w:spacing w:line="300" w:lineRule="auto"/>
        <w:rPr>
          <w:rFonts w:ascii="Arial" w:hAnsi="Arial" w:cs="Arial"/>
          <w:sz w:val="21"/>
          <w:szCs w:val="21"/>
        </w:rPr>
      </w:pPr>
      <w:r>
        <w:rPr>
          <w:rStyle w:val="16"/>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CDER：</w:t>
      </w:r>
      <w:r>
        <w:fldChar w:fldCharType="begin"/>
      </w:r>
      <w:r>
        <w:instrText xml:space="preserve"> HYPERLINK "http://www.fda.gov/AboutFDA/CentersOffices/OrganizationCharts/ucm135674.htm;" \h </w:instrText>
      </w:r>
      <w:r>
        <w:fldChar w:fldCharType="separate"/>
      </w:r>
      <w:r>
        <w:rPr>
          <w:rFonts w:ascii="Arial" w:hAnsi="Arial" w:eastAsia="宋体" w:cs="Arial"/>
          <w:snapToGrid w:val="0"/>
          <w:color w:val="0000FF"/>
          <w:sz w:val="21"/>
          <w:szCs w:val="21"/>
          <w:u w:val="single" w:color="0000FF"/>
        </w:rPr>
        <w:t>;http：//www.fda.gov/AboutFDA/CentersOffices/OrganizationCharts/ucm135674.htm</w:t>
      </w:r>
      <w:r>
        <w:rPr>
          <w:rFonts w:ascii="Arial" w:hAnsi="Arial" w:eastAsia="宋体" w:cs="Arial"/>
          <w:snapToGrid w:val="0"/>
          <w:color w:val="0000FF"/>
          <w:sz w:val="21"/>
          <w:szCs w:val="21"/>
          <w:u w:val="single" w:color="0000FF"/>
        </w:rPr>
        <w:fldChar w:fldCharType="end"/>
      </w:r>
      <w:r>
        <w:rPr>
          <w:rFonts w:ascii="Arial" w:hAnsi="Arial" w:eastAsia="宋体" w:cs="Arial"/>
          <w:snapToGrid w:val="0"/>
          <w:sz w:val="21"/>
          <w:szCs w:val="21"/>
        </w:rPr>
        <w:t xml:space="preserve"> CBER：</w:t>
      </w:r>
      <w:r>
        <w:fldChar w:fldCharType="begin"/>
      </w:r>
      <w:r>
        <w:instrText xml:space="preserve"> HYPERLINK "http://www.fda.gov/AboutFDA/CentersOffices/OrganizationCharts/ucm135943.htm" \h </w:instrText>
      </w:r>
      <w:r>
        <w:fldChar w:fldCharType="separate"/>
      </w:r>
      <w:r>
        <w:rPr>
          <w:rFonts w:ascii="Arial" w:hAnsi="Arial" w:eastAsia="宋体" w:cs="Arial"/>
          <w:snapToGrid w:val="0"/>
          <w:color w:val="0000FF"/>
          <w:sz w:val="21"/>
          <w:szCs w:val="21"/>
          <w:u w:val="single" w:color="0000FF"/>
        </w:rPr>
        <w:t>.http：//www.fda.gov/AboutFDA/CentersOffices/OrganizationCharts/ucm135943.htm</w:t>
      </w:r>
      <w:r>
        <w:rPr>
          <w:rFonts w:ascii="Arial" w:hAnsi="Arial" w:eastAsia="宋体" w:cs="Arial"/>
          <w:snapToGrid w:val="0"/>
          <w:color w:val="0000FF"/>
          <w:sz w:val="21"/>
          <w:szCs w:val="21"/>
          <w:u w:val="single" w:color="0000FF"/>
        </w:rPr>
        <w:fldChar w:fldCharType="end"/>
      </w:r>
    </w:p>
  </w:footnote>
  <w:footnote w:id="18">
    <w:p w14:paraId="1476AC4A">
      <w:pPr>
        <w:pStyle w:val="10"/>
        <w:spacing w:line="300" w:lineRule="auto"/>
        <w:rPr>
          <w:sz w:val="21"/>
          <w:szCs w:val="21"/>
        </w:rPr>
      </w:pPr>
      <w:r>
        <w:rPr>
          <w:rStyle w:val="16"/>
          <w:rFonts w:ascii="Arial" w:hAnsi="Arial" w:cs="Arial"/>
          <w:sz w:val="21"/>
          <w:szCs w:val="21"/>
        </w:rPr>
        <w:footnoteRef/>
      </w:r>
      <w:r>
        <w:rPr>
          <w:rFonts w:ascii="Arial" w:hAnsi="Arial" w:cs="Arial"/>
          <w:sz w:val="21"/>
          <w:szCs w:val="21"/>
        </w:rPr>
        <w:t xml:space="preserve"> </w:t>
      </w:r>
      <w:r>
        <w:fldChar w:fldCharType="begin"/>
      </w:r>
      <w:r>
        <w:instrText xml:space="preserve"> HYPERLINK "http://www.fda.gov/AboutFDA/CentersOffices/OfficeofMedicalProductsandTobacco/CBER/ucm106001.ht" \h </w:instrText>
      </w:r>
      <w:r>
        <w:fldChar w:fldCharType="separate"/>
      </w:r>
      <w:r>
        <w:rPr>
          <w:rFonts w:ascii="Arial" w:hAnsi="Arial" w:eastAsia="宋体" w:cs="Arial"/>
          <w:snapToGrid w:val="0"/>
          <w:color w:val="0000FF"/>
          <w:sz w:val="21"/>
          <w:szCs w:val="21"/>
          <w:u w:val="single" w:color="0000FF"/>
        </w:rPr>
        <w:t>http//www.fda.gov/AboutFDA/CentersOffices/OfficeofMedicalProductsandTobacco/CBER</w:t>
      </w:r>
      <w:r>
        <w:rPr>
          <w:rFonts w:hint="eastAsia" w:ascii="Arial" w:hAnsi="Arial" w:eastAsia="宋体" w:cs="Arial"/>
          <w:snapToGrid w:val="0"/>
          <w:color w:val="0000FF"/>
          <w:sz w:val="21"/>
          <w:szCs w:val="21"/>
          <w:u w:val="single" w:color="0000FF"/>
        </w:rPr>
        <w:t xml:space="preserve"> </w:t>
      </w:r>
      <w:r>
        <w:rPr>
          <w:rFonts w:ascii="Arial" w:hAnsi="Arial" w:eastAsia="宋体" w:cs="Arial"/>
          <w:snapToGrid w:val="0"/>
          <w:color w:val="0000FF"/>
          <w:sz w:val="21"/>
          <w:szCs w:val="21"/>
          <w:u w:val="single" w:color="0000FF"/>
        </w:rPr>
        <w:t>/ucm106001.ht</w:t>
      </w:r>
      <w:r>
        <w:rPr>
          <w:rFonts w:hint="eastAsia" w:ascii="Arial" w:hAnsi="Arial" w:eastAsia="宋体" w:cs="Arial"/>
          <w:snapToGrid w:val="0"/>
          <w:color w:val="0000FF"/>
          <w:sz w:val="21"/>
          <w:szCs w:val="21"/>
          <w:u w:val="single" w:color="0000FF"/>
        </w:rPr>
        <w:t xml:space="preserve"> </w:t>
      </w:r>
      <w:r>
        <w:rPr>
          <w:rFonts w:hint="eastAsia" w:ascii="Arial" w:hAnsi="Arial" w:eastAsia="宋体" w:cs="Arial"/>
          <w:snapToGrid w:val="0"/>
          <w:color w:val="0000FF"/>
          <w:sz w:val="21"/>
          <w:szCs w:val="21"/>
          <w:u w:val="single" w:color="0000FF"/>
        </w:rPr>
        <w:fldChar w:fldCharType="end"/>
      </w:r>
      <w:r>
        <w:rPr>
          <w:rFonts w:hint="eastAsia" w:ascii="Arial" w:hAnsi="Arial" w:eastAsia="宋体" w:cs="Arial"/>
          <w:snapToGrid w:val="0"/>
          <w:color w:val="0000FF"/>
          <w:sz w:val="21"/>
          <w:szCs w:val="21"/>
          <w:u w:val="single" w:color="0000FF"/>
        </w:rPr>
        <w:t>m</w:t>
      </w:r>
      <w:r>
        <w:rPr>
          <w:rFonts w:hint="eastAsia" w:ascii="Arial" w:hAnsi="Arial" w:eastAsia="宋体" w:cs="Arial"/>
          <w:snapToGrid w:val="0"/>
          <w:sz w:val="21"/>
          <w:szCs w:val="21"/>
        </w:rPr>
        <w:t>.</w:t>
      </w:r>
    </w:p>
  </w:footnote>
  <w:footnote w:id="19">
    <w:p w14:paraId="44A09BF8">
      <w:pPr>
        <w:pStyle w:val="10"/>
        <w:spacing w:line="300" w:lineRule="auto"/>
        <w:rPr>
          <w:sz w:val="21"/>
          <w:szCs w:val="21"/>
        </w:rPr>
      </w:pPr>
      <w:r>
        <w:rPr>
          <w:rStyle w:val="16"/>
          <w:rFonts w:ascii="Arial" w:hAnsi="Arial" w:cs="Arial"/>
          <w:sz w:val="21"/>
          <w:szCs w:val="21"/>
        </w:rPr>
        <w:footnoteRef/>
      </w:r>
      <w:r>
        <w:rPr>
          <w:rFonts w:ascii="Arial" w:hAnsi="Arial" w:cs="Arial"/>
          <w:sz w:val="21"/>
          <w:szCs w:val="21"/>
        </w:rPr>
        <w:t xml:space="preserve"> </w:t>
      </w:r>
      <w:r>
        <w:rPr>
          <w:rFonts w:hint="eastAsia" w:ascii="Arial" w:hAnsi="Arial" w:eastAsia="宋体" w:cs="Arial"/>
          <w:snapToGrid w:val="0"/>
          <w:sz w:val="21"/>
          <w:szCs w:val="21"/>
        </w:rPr>
        <w:t>请参见21 CFR 812.3（n）和812.3（o）；在本节中，当使用</w:t>
      </w:r>
      <w:r>
        <w:rPr>
          <w:rFonts w:hint="eastAsia" w:ascii="宋体" w:hAnsi="宋体" w:eastAsia="宋体" w:cs="Arial"/>
          <w:snapToGrid w:val="0"/>
          <w:sz w:val="21"/>
          <w:szCs w:val="21"/>
        </w:rPr>
        <w:t>“</w:t>
      </w:r>
      <w:r>
        <w:rPr>
          <w:rFonts w:hint="eastAsia" w:ascii="Arial" w:hAnsi="Arial" w:eastAsia="宋体" w:cs="Arial"/>
          <w:snapToGrid w:val="0"/>
          <w:sz w:val="21"/>
          <w:szCs w:val="21"/>
        </w:rPr>
        <w:t>申办方</w:t>
      </w:r>
      <w:r>
        <w:rPr>
          <w:rFonts w:hint="eastAsia" w:ascii="宋体" w:hAnsi="宋体" w:eastAsia="宋体" w:cs="Arial"/>
          <w:snapToGrid w:val="0"/>
          <w:sz w:val="21"/>
          <w:szCs w:val="21"/>
        </w:rPr>
        <w:t>”</w:t>
      </w:r>
      <w:r>
        <w:rPr>
          <w:rFonts w:hint="eastAsia" w:ascii="Arial" w:hAnsi="Arial" w:eastAsia="宋体" w:cs="Arial"/>
          <w:snapToGrid w:val="0"/>
          <w:sz w:val="21"/>
          <w:szCs w:val="21"/>
        </w:rPr>
        <w:t>时，该术语包括</w:t>
      </w:r>
      <w:r>
        <w:rPr>
          <w:rFonts w:hint="eastAsia" w:ascii="宋体" w:hAnsi="宋体" w:eastAsia="宋体" w:cs="Arial"/>
          <w:snapToGrid w:val="0"/>
          <w:sz w:val="21"/>
          <w:szCs w:val="21"/>
        </w:rPr>
        <w:t>“</w:t>
      </w:r>
      <w:r>
        <w:rPr>
          <w:rFonts w:hint="eastAsia" w:ascii="Arial" w:hAnsi="Arial" w:eastAsia="宋体" w:cs="Arial"/>
          <w:snapToGrid w:val="0"/>
          <w:sz w:val="21"/>
          <w:szCs w:val="21"/>
        </w:rPr>
        <w:t>申办方-研究者</w:t>
      </w:r>
      <w:r>
        <w:rPr>
          <w:rFonts w:hint="eastAsia" w:ascii="宋体" w:hAnsi="宋体" w:eastAsia="宋体" w:cs="Arial"/>
          <w:snapToGrid w:val="0"/>
          <w:sz w:val="21"/>
          <w:szCs w:val="21"/>
        </w:rPr>
        <w:t>”</w:t>
      </w:r>
      <w:r>
        <w:rPr>
          <w:rFonts w:hint="eastAsia" w:ascii="Arial" w:hAnsi="Arial" w:eastAsia="宋体" w:cs="Arial"/>
          <w:snapToGrid w:val="0"/>
          <w:sz w:val="21"/>
          <w:szCs w:val="21"/>
        </w:rPr>
        <w:t>。</w:t>
      </w:r>
    </w:p>
  </w:footnote>
  <w:footnote w:id="20">
    <w:p w14:paraId="46E5D61B">
      <w:pPr>
        <w:pStyle w:val="10"/>
        <w:spacing w:line="300" w:lineRule="auto"/>
        <w:rPr>
          <w:sz w:val="21"/>
          <w:szCs w:val="21"/>
        </w:rPr>
      </w:pPr>
      <w:r>
        <w:rPr>
          <w:rStyle w:val="16"/>
          <w:rFonts w:ascii="Arial" w:hAnsi="Arial" w:cs="Arial"/>
          <w:sz w:val="21"/>
          <w:szCs w:val="21"/>
        </w:rPr>
        <w:footnoteRef/>
      </w:r>
      <w:r>
        <w:rPr>
          <w:sz w:val="21"/>
          <w:szCs w:val="21"/>
        </w:rPr>
        <w:t xml:space="preserve"> </w:t>
      </w:r>
      <w:r>
        <w:rPr>
          <w:rFonts w:hint="eastAsia" w:ascii="Arial" w:hAnsi="Arial" w:eastAsia="宋体" w:cs="Arial"/>
          <w:snapToGrid w:val="0"/>
          <w:sz w:val="21"/>
          <w:szCs w:val="21"/>
        </w:rPr>
        <w:t>21 CFR 812.2（b）（1）（ii）。</w:t>
      </w:r>
    </w:p>
  </w:footnote>
  <w:footnote w:id="21">
    <w:p w14:paraId="2FB6FED2">
      <w:pPr>
        <w:pStyle w:val="10"/>
        <w:spacing w:line="300" w:lineRule="auto"/>
        <w:rPr>
          <w:sz w:val="21"/>
          <w:szCs w:val="21"/>
        </w:rPr>
      </w:pPr>
      <w:r>
        <w:rPr>
          <w:rStyle w:val="16"/>
          <w:rFonts w:ascii="Arial" w:hAnsi="Arial" w:cs="Arial"/>
          <w:sz w:val="21"/>
          <w:szCs w:val="21"/>
        </w:rPr>
        <w:footnoteRef/>
      </w:r>
      <w:r>
        <w:rPr>
          <w:rFonts w:ascii="Arial" w:hAnsi="Arial" w:cs="Arial"/>
          <w:sz w:val="21"/>
          <w:szCs w:val="21"/>
        </w:rPr>
        <w:t xml:space="preserve"> </w:t>
      </w:r>
      <w:r>
        <w:rPr>
          <w:rFonts w:hint="eastAsia" w:ascii="Arial" w:hAnsi="Arial" w:eastAsia="宋体" w:cs="Arial"/>
          <w:snapToGrid w:val="0"/>
          <w:sz w:val="21"/>
          <w:szCs w:val="21"/>
        </w:rPr>
        <w:t>除21 CFR 812.119另有规定，豁免研究不受IDE法规监管。21 CFR 812.2（c）。豁免研究仍需遵守21 CFR第50部分（受试者保护）和第56部分（机构审查委员会）的规定。</w:t>
      </w:r>
    </w:p>
  </w:footnote>
  <w:footnote w:id="22">
    <w:p w14:paraId="382AE6C0">
      <w:pPr>
        <w:pStyle w:val="10"/>
        <w:spacing w:line="300" w:lineRule="auto"/>
        <w:rPr>
          <w:rFonts w:ascii="Arial" w:hAnsi="Arial" w:cs="Arial"/>
          <w:sz w:val="21"/>
          <w:szCs w:val="21"/>
        </w:rPr>
      </w:pPr>
      <w:r>
        <w:rPr>
          <w:rStyle w:val="16"/>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812.20 （a）（1）和（2）。</w:t>
      </w:r>
    </w:p>
  </w:footnote>
  <w:footnote w:id="23">
    <w:p w14:paraId="54FA17E0">
      <w:pPr>
        <w:pStyle w:val="10"/>
        <w:spacing w:line="300" w:lineRule="auto"/>
        <w:rPr>
          <w:rFonts w:ascii="Arial" w:hAnsi="Arial" w:cs="Arial"/>
          <w:sz w:val="21"/>
          <w:szCs w:val="21"/>
        </w:rPr>
      </w:pPr>
      <w:r>
        <w:rPr>
          <w:rStyle w:val="16"/>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812.2（b）（1）（ii）。</w:t>
      </w:r>
    </w:p>
  </w:footnote>
  <w:footnote w:id="24">
    <w:p w14:paraId="5607C5BC">
      <w:pPr>
        <w:pStyle w:val="10"/>
        <w:spacing w:line="300" w:lineRule="auto"/>
        <w:rPr>
          <w:rFonts w:ascii="Arial" w:hAnsi="Arial" w:cs="Arial"/>
          <w:sz w:val="21"/>
          <w:szCs w:val="21"/>
        </w:rPr>
      </w:pPr>
      <w:r>
        <w:rPr>
          <w:rStyle w:val="16"/>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Ibid。</w:t>
      </w:r>
    </w:p>
  </w:footnote>
  <w:footnote w:id="25">
    <w:p w14:paraId="7A8084E0">
      <w:pPr>
        <w:pStyle w:val="10"/>
        <w:spacing w:line="300" w:lineRule="auto"/>
        <w:rPr>
          <w:rFonts w:ascii="Arial" w:hAnsi="Arial" w:cs="Arial"/>
          <w:sz w:val="21"/>
          <w:szCs w:val="21"/>
        </w:rPr>
      </w:pPr>
      <w:r>
        <w:rPr>
          <w:rStyle w:val="16"/>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812.66。</w:t>
      </w:r>
    </w:p>
  </w:footnote>
  <w:footnote w:id="26">
    <w:p w14:paraId="2A979E87">
      <w:pPr>
        <w:pStyle w:val="10"/>
        <w:spacing w:line="300" w:lineRule="auto"/>
        <w:rPr>
          <w:sz w:val="21"/>
          <w:szCs w:val="21"/>
        </w:rPr>
      </w:pPr>
      <w:r>
        <w:rPr>
          <w:rStyle w:val="16"/>
          <w:rFonts w:ascii="Arial" w:hAnsi="Arial" w:cs="Arial"/>
          <w:sz w:val="21"/>
          <w:szCs w:val="21"/>
        </w:rPr>
        <w:footnoteRef/>
      </w:r>
      <w:r>
        <w:fldChar w:fldCharType="begin"/>
      </w:r>
      <w:r>
        <w:instrText xml:space="preserve"> HYPERLINK "http://www.fda.gov/MedicalDevices/DeviceRegulationandGuidance/GuidanceDocuments/ucm126598.htm" \h </w:instrText>
      </w:r>
      <w:r>
        <w:fldChar w:fldCharType="separate"/>
      </w:r>
      <w:r>
        <w:rPr>
          <w:rFonts w:ascii="Arial" w:hAnsi="Arial" w:eastAsia="宋体" w:cs="Arial"/>
          <w:snapToGrid w:val="0"/>
          <w:color w:val="0000FF"/>
          <w:sz w:val="21"/>
          <w:szCs w:val="21"/>
          <w:u w:val="single" w:color="0000FF"/>
        </w:rPr>
        <w:t>http://www.fda.gov/MedicalDevices/DeviceRegulationandGuidance/GuidanceDocuments/ucm126598.htm</w:t>
      </w:r>
      <w:r>
        <w:rPr>
          <w:rFonts w:ascii="Arial" w:hAnsi="Arial" w:eastAsia="宋体" w:cs="Arial"/>
          <w:snapToGrid w:val="0"/>
          <w:color w:val="0000FF"/>
          <w:sz w:val="21"/>
          <w:szCs w:val="21"/>
          <w:u w:val="single" w:color="0000FF"/>
        </w:rPr>
        <w:fldChar w:fldCharType="end"/>
      </w:r>
    </w:p>
  </w:footnote>
  <w:footnote w:id="27">
    <w:p w14:paraId="51645D71">
      <w:pPr>
        <w:pStyle w:val="10"/>
        <w:spacing w:line="300" w:lineRule="auto"/>
        <w:rPr>
          <w:sz w:val="21"/>
          <w:szCs w:val="21"/>
        </w:rPr>
      </w:pPr>
      <w:r>
        <w:rPr>
          <w:rStyle w:val="16"/>
          <w:rFonts w:ascii="Arial" w:hAnsi="Arial" w:cs="Arial"/>
          <w:sz w:val="21"/>
          <w:szCs w:val="21"/>
        </w:rPr>
        <w:footnoteRef/>
      </w:r>
      <w:r>
        <w:rPr>
          <w:sz w:val="21"/>
          <w:szCs w:val="21"/>
        </w:rPr>
        <w:t xml:space="preserve"> </w:t>
      </w:r>
      <w:r>
        <w:fldChar w:fldCharType="begin"/>
      </w:r>
      <w:r>
        <w:instrText xml:space="preserve"> HYPERLINK "http://www.fda.gov/downloads/RegulatoryInformation/Guidances/UCM126418.pdf" \h </w:instrText>
      </w:r>
      <w:r>
        <w:fldChar w:fldCharType="separate"/>
      </w:r>
      <w:r>
        <w:rPr>
          <w:rFonts w:hint="eastAsia" w:ascii="Arial" w:hAnsi="Arial" w:eastAsia="宋体" w:cs="Arial"/>
          <w:snapToGrid w:val="0"/>
          <w:color w:val="0000FF"/>
          <w:sz w:val="21"/>
          <w:szCs w:val="21"/>
          <w:u w:val="single" w:color="0000FF"/>
        </w:rPr>
        <w:t>.http：//www.fda.gov/downloads/RegulatoryInformation/Guidances/UCM126418.pdf</w:t>
      </w:r>
      <w:r>
        <w:rPr>
          <w:rFonts w:hint="eastAsia" w:ascii="Arial" w:hAnsi="Arial" w:eastAsia="宋体" w:cs="Arial"/>
          <w:snapToGrid w:val="0"/>
          <w:color w:val="0000FF"/>
          <w:sz w:val="21"/>
          <w:szCs w:val="21"/>
          <w:u w:val="single" w:color="0000FF"/>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FDDF2">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ECE5">
    <w:pPr>
      <w:pStyle w:val="8"/>
      <w:pBdr>
        <w:bottom w:val="none" w:color="auto" w:sz="0" w:space="0"/>
      </w:pBdr>
      <w:rPr>
        <w:rFonts w:ascii="Arial" w:hAnsi="Arial" w:eastAsia="宋体" w:cs="Arial"/>
        <w:b/>
        <w:i/>
        <w:snapToGrid w:val="0"/>
        <w:sz w:val="21"/>
      </w:rPr>
    </w:pPr>
    <w:r>
      <w:rPr>
        <w:rFonts w:hint="eastAsia" w:ascii="Arial" w:hAnsi="Arial" w:eastAsia="宋体" w:cs="Arial"/>
        <w:b/>
        <w:i/>
        <w:snapToGrid w:val="0"/>
        <w:sz w:val="21"/>
      </w:rPr>
      <w:t>所含建议不具约束力</w:t>
    </w:r>
  </w:p>
  <w:p w14:paraId="45AC0802">
    <w:pPr>
      <w:pStyle w:val="8"/>
      <w:pBdr>
        <w:bottom w:val="none" w:color="auto" w:sz="0" w:space="0"/>
      </w:pBdr>
      <w:rPr>
        <w:rFonts w:ascii="Arial" w:hAnsi="Arial" w:eastAsia="宋体" w:cs="Arial"/>
        <w:b/>
        <w:i/>
        <w:snapToGrid w:val="0"/>
        <w:sz w:val="24"/>
      </w:rPr>
    </w:pPr>
  </w:p>
  <w:p w14:paraId="63FCFA62">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861C4">
    <w:pPr>
      <w:pStyle w:val="8"/>
      <w:pBdr>
        <w:bottom w:val="none" w:color="auto" w:sz="0" w:space="0"/>
      </w:pBdr>
      <w:rPr>
        <w:rFonts w:ascii="Arial" w:hAnsi="Arial" w:eastAsia="宋体" w:cs="Arial"/>
        <w:b/>
        <w:i/>
        <w:snapToGrid w:val="0"/>
        <w:sz w:val="21"/>
      </w:rPr>
    </w:pPr>
    <w:r>
      <w:rPr>
        <w:rFonts w:hint="eastAsia" w:ascii="Arial" w:hAnsi="Arial" w:eastAsia="宋体" w:cs="Arial"/>
        <w:b/>
        <w:i/>
        <w:snapToGrid w:val="0"/>
        <w:sz w:val="21"/>
      </w:rPr>
      <w:t>所含建议不具约束力</w:t>
    </w:r>
  </w:p>
  <w:p w14:paraId="32549B62">
    <w:pPr>
      <w:pStyle w:val="8"/>
      <w:pBdr>
        <w:bottom w:val="none" w:color="auto" w:sz="0" w:space="0"/>
      </w:pBdr>
      <w:rPr>
        <w:rFonts w:ascii="Arial" w:hAnsi="Arial" w:eastAsia="宋体" w:cs="Arial"/>
        <w:b/>
        <w:i/>
        <w:snapToGrid w:val="0"/>
        <w:sz w:val="24"/>
      </w:rPr>
    </w:pPr>
  </w:p>
  <w:p w14:paraId="63799EF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D7FAD"/>
    <w:multiLevelType w:val="multilevel"/>
    <w:tmpl w:val="247D7FAD"/>
    <w:lvl w:ilvl="0" w:tentative="0">
      <w:start w:val="1"/>
      <w:numFmt w:val="upperRoman"/>
      <w:lvlText w:val="%1."/>
      <w:lvlJc w:val="left"/>
      <w:pPr>
        <w:ind w:left="1159" w:hanging="720"/>
        <w:jc w:val="left"/>
      </w:pPr>
      <w:rPr>
        <w:rFonts w:hint="default" w:ascii="Arial" w:hAnsi="Arial" w:eastAsia="Times New Roman" w:cs="Arial"/>
        <w:b/>
        <w:bCs/>
        <w:spacing w:val="-1"/>
        <w:w w:val="99"/>
        <w:sz w:val="28"/>
        <w:szCs w:val="24"/>
      </w:rPr>
    </w:lvl>
    <w:lvl w:ilvl="1" w:tentative="0">
      <w:start w:val="1"/>
      <w:numFmt w:val="bullet"/>
      <w:lvlText w:val="•"/>
      <w:lvlJc w:val="left"/>
      <w:pPr>
        <w:ind w:left="1980" w:hanging="720"/>
      </w:pPr>
      <w:rPr>
        <w:rFonts w:hint="default"/>
      </w:rPr>
    </w:lvl>
    <w:lvl w:ilvl="2" w:tentative="0">
      <w:start w:val="1"/>
      <w:numFmt w:val="bullet"/>
      <w:lvlText w:val="•"/>
      <w:lvlJc w:val="left"/>
      <w:pPr>
        <w:ind w:left="2800" w:hanging="720"/>
      </w:pPr>
      <w:rPr>
        <w:rFonts w:hint="default"/>
      </w:rPr>
    </w:lvl>
    <w:lvl w:ilvl="3" w:tentative="0">
      <w:start w:val="1"/>
      <w:numFmt w:val="bullet"/>
      <w:lvlText w:val="•"/>
      <w:lvlJc w:val="left"/>
      <w:pPr>
        <w:ind w:left="3620" w:hanging="720"/>
      </w:pPr>
      <w:rPr>
        <w:rFonts w:hint="default"/>
      </w:rPr>
    </w:lvl>
    <w:lvl w:ilvl="4" w:tentative="0">
      <w:start w:val="1"/>
      <w:numFmt w:val="bullet"/>
      <w:lvlText w:val="•"/>
      <w:lvlJc w:val="left"/>
      <w:pPr>
        <w:ind w:left="4440" w:hanging="720"/>
      </w:pPr>
      <w:rPr>
        <w:rFonts w:hint="default"/>
      </w:rPr>
    </w:lvl>
    <w:lvl w:ilvl="5" w:tentative="0">
      <w:start w:val="1"/>
      <w:numFmt w:val="bullet"/>
      <w:lvlText w:val="•"/>
      <w:lvlJc w:val="left"/>
      <w:pPr>
        <w:ind w:left="5260" w:hanging="720"/>
      </w:pPr>
      <w:rPr>
        <w:rFonts w:hint="default"/>
      </w:rPr>
    </w:lvl>
    <w:lvl w:ilvl="6" w:tentative="0">
      <w:start w:val="1"/>
      <w:numFmt w:val="bullet"/>
      <w:lvlText w:val="•"/>
      <w:lvlJc w:val="left"/>
      <w:pPr>
        <w:ind w:left="6080" w:hanging="720"/>
      </w:pPr>
      <w:rPr>
        <w:rFonts w:hint="default"/>
      </w:rPr>
    </w:lvl>
    <w:lvl w:ilvl="7" w:tentative="0">
      <w:start w:val="1"/>
      <w:numFmt w:val="bullet"/>
      <w:lvlText w:val="•"/>
      <w:lvlJc w:val="left"/>
      <w:pPr>
        <w:ind w:left="6900" w:hanging="720"/>
      </w:pPr>
      <w:rPr>
        <w:rFonts w:hint="default"/>
      </w:rPr>
    </w:lvl>
    <w:lvl w:ilvl="8" w:tentative="0">
      <w:start w:val="1"/>
      <w:numFmt w:val="bullet"/>
      <w:lvlText w:val="•"/>
      <w:lvlJc w:val="left"/>
      <w:pPr>
        <w:ind w:left="7720" w:hanging="720"/>
      </w:pPr>
      <w:rPr>
        <w:rFonts w:hint="default"/>
      </w:rPr>
    </w:lvl>
  </w:abstractNum>
  <w:abstractNum w:abstractNumId="1">
    <w:nsid w:val="35233C94"/>
    <w:multiLevelType w:val="multilevel"/>
    <w:tmpl w:val="35233C94"/>
    <w:lvl w:ilvl="0" w:tentative="0">
      <w:start w:val="1"/>
      <w:numFmt w:val="decimal"/>
      <w:lvlText w:val="%1."/>
      <w:lvlJc w:val="left"/>
      <w:pPr>
        <w:ind w:left="440" w:hanging="301"/>
        <w:jc w:val="left"/>
      </w:pPr>
      <w:rPr>
        <w:rFonts w:hint="default" w:ascii="Arial" w:hAnsi="Arial" w:eastAsia="Times New Roman" w:cs="Arial"/>
        <w:b/>
        <w:bCs/>
        <w:i/>
        <w:spacing w:val="-1"/>
        <w:w w:val="99"/>
        <w:sz w:val="24"/>
        <w:szCs w:val="24"/>
      </w:rPr>
    </w:lvl>
    <w:lvl w:ilvl="1" w:tentative="0">
      <w:start w:val="1"/>
      <w:numFmt w:val="bullet"/>
      <w:lvlText w:val="●"/>
      <w:lvlJc w:val="left"/>
      <w:pPr>
        <w:ind w:left="1160" w:hanging="361"/>
      </w:pPr>
      <w:rPr>
        <w:rFonts w:hint="default" w:ascii="Arial" w:hAnsi="Arial"/>
        <w:w w:val="99"/>
        <w:sz w:val="24"/>
        <w:szCs w:val="24"/>
      </w:rPr>
    </w:lvl>
    <w:lvl w:ilvl="2" w:tentative="0">
      <w:start w:val="1"/>
      <w:numFmt w:val="bullet"/>
      <w:lvlText w:val="•"/>
      <w:lvlJc w:val="left"/>
      <w:pPr>
        <w:ind w:left="2044" w:hanging="361"/>
      </w:pPr>
      <w:rPr>
        <w:rFonts w:hint="default"/>
      </w:rPr>
    </w:lvl>
    <w:lvl w:ilvl="3" w:tentative="0">
      <w:start w:val="1"/>
      <w:numFmt w:val="bullet"/>
      <w:lvlText w:val="•"/>
      <w:lvlJc w:val="left"/>
      <w:pPr>
        <w:ind w:left="2928" w:hanging="361"/>
      </w:pPr>
      <w:rPr>
        <w:rFonts w:hint="default"/>
      </w:rPr>
    </w:lvl>
    <w:lvl w:ilvl="4" w:tentative="0">
      <w:start w:val="1"/>
      <w:numFmt w:val="bullet"/>
      <w:lvlText w:val="•"/>
      <w:lvlJc w:val="left"/>
      <w:pPr>
        <w:ind w:left="3813" w:hanging="361"/>
      </w:pPr>
      <w:rPr>
        <w:rFonts w:hint="default"/>
      </w:rPr>
    </w:lvl>
    <w:lvl w:ilvl="5" w:tentative="0">
      <w:start w:val="1"/>
      <w:numFmt w:val="bullet"/>
      <w:lvlText w:val="•"/>
      <w:lvlJc w:val="left"/>
      <w:pPr>
        <w:ind w:left="4697" w:hanging="361"/>
      </w:pPr>
      <w:rPr>
        <w:rFonts w:hint="default"/>
      </w:rPr>
    </w:lvl>
    <w:lvl w:ilvl="6" w:tentative="0">
      <w:start w:val="1"/>
      <w:numFmt w:val="bullet"/>
      <w:lvlText w:val="•"/>
      <w:lvlJc w:val="left"/>
      <w:pPr>
        <w:ind w:left="5582" w:hanging="361"/>
      </w:pPr>
      <w:rPr>
        <w:rFonts w:hint="default"/>
      </w:rPr>
    </w:lvl>
    <w:lvl w:ilvl="7" w:tentative="0">
      <w:start w:val="1"/>
      <w:numFmt w:val="bullet"/>
      <w:lvlText w:val="•"/>
      <w:lvlJc w:val="left"/>
      <w:pPr>
        <w:ind w:left="6466" w:hanging="361"/>
      </w:pPr>
      <w:rPr>
        <w:rFonts w:hint="default"/>
      </w:rPr>
    </w:lvl>
    <w:lvl w:ilvl="8" w:tentative="0">
      <w:start w:val="1"/>
      <w:numFmt w:val="bullet"/>
      <w:lvlText w:val="•"/>
      <w:lvlJc w:val="left"/>
      <w:pPr>
        <w:ind w:left="7351" w:hanging="361"/>
      </w:pPr>
      <w:rPr>
        <w:rFonts w:hint="default"/>
      </w:rPr>
    </w:lvl>
  </w:abstractNum>
  <w:abstractNum w:abstractNumId="2">
    <w:nsid w:val="6C942834"/>
    <w:multiLevelType w:val="multilevel"/>
    <w:tmpl w:val="6C942834"/>
    <w:lvl w:ilvl="0" w:tentative="0">
      <w:start w:val="1"/>
      <w:numFmt w:val="upperRoman"/>
      <w:lvlText w:val="%1."/>
      <w:lvlJc w:val="left"/>
      <w:pPr>
        <w:ind w:left="1160" w:hanging="720"/>
        <w:jc w:val="left"/>
      </w:pPr>
      <w:rPr>
        <w:rFonts w:hint="default" w:ascii="Arial" w:hAnsi="Arial" w:eastAsia="Times New Roman" w:cs="Arial"/>
        <w:b/>
        <w:bCs/>
        <w:w w:val="99"/>
        <w:sz w:val="24"/>
        <w:szCs w:val="24"/>
      </w:rPr>
    </w:lvl>
    <w:lvl w:ilvl="1" w:tentative="0">
      <w:start w:val="1"/>
      <w:numFmt w:val="decimal"/>
      <w:lvlText w:val="%2."/>
      <w:lvlJc w:val="left"/>
      <w:pPr>
        <w:ind w:left="960" w:hanging="276"/>
        <w:jc w:val="left"/>
      </w:pPr>
      <w:rPr>
        <w:rFonts w:hint="default" w:ascii="Arial" w:hAnsi="Arial" w:eastAsia="Times New Roman" w:cs="Arial"/>
        <w:b/>
        <w:bCs/>
        <w:i/>
        <w:w w:val="100"/>
        <w:sz w:val="24"/>
        <w:szCs w:val="22"/>
      </w:rPr>
    </w:lvl>
    <w:lvl w:ilvl="2" w:tentative="0">
      <w:start w:val="1"/>
      <w:numFmt w:val="bullet"/>
      <w:lvlText w:val="•"/>
      <w:lvlJc w:val="left"/>
      <w:pPr>
        <w:ind w:left="2131" w:hanging="276"/>
      </w:pPr>
      <w:rPr>
        <w:rFonts w:hint="default"/>
      </w:rPr>
    </w:lvl>
    <w:lvl w:ilvl="3" w:tentative="0">
      <w:start w:val="1"/>
      <w:numFmt w:val="bullet"/>
      <w:lvlText w:val="•"/>
      <w:lvlJc w:val="left"/>
      <w:pPr>
        <w:ind w:left="3102" w:hanging="276"/>
      </w:pPr>
      <w:rPr>
        <w:rFonts w:hint="default"/>
      </w:rPr>
    </w:lvl>
    <w:lvl w:ilvl="4" w:tentative="0">
      <w:start w:val="1"/>
      <w:numFmt w:val="bullet"/>
      <w:lvlText w:val="•"/>
      <w:lvlJc w:val="left"/>
      <w:pPr>
        <w:ind w:left="4073" w:hanging="276"/>
      </w:pPr>
      <w:rPr>
        <w:rFonts w:hint="default"/>
      </w:rPr>
    </w:lvl>
    <w:lvl w:ilvl="5" w:tentative="0">
      <w:start w:val="1"/>
      <w:numFmt w:val="bullet"/>
      <w:lvlText w:val="•"/>
      <w:lvlJc w:val="left"/>
      <w:pPr>
        <w:ind w:left="5044" w:hanging="276"/>
      </w:pPr>
      <w:rPr>
        <w:rFonts w:hint="default"/>
      </w:rPr>
    </w:lvl>
    <w:lvl w:ilvl="6" w:tentative="0">
      <w:start w:val="1"/>
      <w:numFmt w:val="bullet"/>
      <w:lvlText w:val="•"/>
      <w:lvlJc w:val="left"/>
      <w:pPr>
        <w:ind w:left="6015" w:hanging="276"/>
      </w:pPr>
      <w:rPr>
        <w:rFonts w:hint="default"/>
      </w:rPr>
    </w:lvl>
    <w:lvl w:ilvl="7" w:tentative="0">
      <w:start w:val="1"/>
      <w:numFmt w:val="bullet"/>
      <w:lvlText w:val="•"/>
      <w:lvlJc w:val="left"/>
      <w:pPr>
        <w:ind w:left="6986" w:hanging="276"/>
      </w:pPr>
      <w:rPr>
        <w:rFonts w:hint="default"/>
      </w:rPr>
    </w:lvl>
    <w:lvl w:ilvl="8" w:tentative="0">
      <w:start w:val="1"/>
      <w:numFmt w:val="bullet"/>
      <w:lvlText w:val="•"/>
      <w:lvlJc w:val="left"/>
      <w:pPr>
        <w:ind w:left="7957" w:hanging="276"/>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19"/>
  <w:drawingGridHorizontalSpacing w:val="110"/>
  <w:drawingGridVerticalSpacing w:val="299"/>
  <w:displayHorizontalDrawingGridEvery w:val="2"/>
  <w:characterSpacingControl w:val="doNotCompress"/>
  <w:footnotePr>
    <w:footnote w:id="56"/>
    <w:footnote w:id="57"/>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73"/>
    <w:rsid w:val="0005255D"/>
    <w:rsid w:val="00071029"/>
    <w:rsid w:val="000B1BE1"/>
    <w:rsid w:val="00107A2C"/>
    <w:rsid w:val="00190B38"/>
    <w:rsid w:val="001A1DA1"/>
    <w:rsid w:val="00246C3B"/>
    <w:rsid w:val="00262CA2"/>
    <w:rsid w:val="00302761"/>
    <w:rsid w:val="00350BCF"/>
    <w:rsid w:val="0035119E"/>
    <w:rsid w:val="00383C92"/>
    <w:rsid w:val="00394EA7"/>
    <w:rsid w:val="003B37FA"/>
    <w:rsid w:val="003E4043"/>
    <w:rsid w:val="003E64D0"/>
    <w:rsid w:val="003F2FD9"/>
    <w:rsid w:val="004044A4"/>
    <w:rsid w:val="00410103"/>
    <w:rsid w:val="00467A86"/>
    <w:rsid w:val="004B1E0E"/>
    <w:rsid w:val="004E3574"/>
    <w:rsid w:val="00513569"/>
    <w:rsid w:val="00515373"/>
    <w:rsid w:val="005B0EA9"/>
    <w:rsid w:val="005B5742"/>
    <w:rsid w:val="005C51DC"/>
    <w:rsid w:val="006023FF"/>
    <w:rsid w:val="00652ED5"/>
    <w:rsid w:val="00662339"/>
    <w:rsid w:val="0069379D"/>
    <w:rsid w:val="0071585E"/>
    <w:rsid w:val="00723228"/>
    <w:rsid w:val="007421CC"/>
    <w:rsid w:val="007B256C"/>
    <w:rsid w:val="007B3655"/>
    <w:rsid w:val="007B57C2"/>
    <w:rsid w:val="007E3F14"/>
    <w:rsid w:val="00824EEB"/>
    <w:rsid w:val="008556C3"/>
    <w:rsid w:val="00876099"/>
    <w:rsid w:val="008C1561"/>
    <w:rsid w:val="0093329C"/>
    <w:rsid w:val="009E0F95"/>
    <w:rsid w:val="009F2203"/>
    <w:rsid w:val="00A07BC1"/>
    <w:rsid w:val="00A47991"/>
    <w:rsid w:val="00A56A5F"/>
    <w:rsid w:val="00A765CF"/>
    <w:rsid w:val="00AB7323"/>
    <w:rsid w:val="00B14ABB"/>
    <w:rsid w:val="00B548D5"/>
    <w:rsid w:val="00B54BDF"/>
    <w:rsid w:val="00B67C81"/>
    <w:rsid w:val="00BB77CF"/>
    <w:rsid w:val="00BC3540"/>
    <w:rsid w:val="00BE085B"/>
    <w:rsid w:val="00BE2C56"/>
    <w:rsid w:val="00C10B66"/>
    <w:rsid w:val="00C345D8"/>
    <w:rsid w:val="00C46A50"/>
    <w:rsid w:val="00C512C8"/>
    <w:rsid w:val="00CA42CD"/>
    <w:rsid w:val="00D35379"/>
    <w:rsid w:val="00D51636"/>
    <w:rsid w:val="00D65F6F"/>
    <w:rsid w:val="00DA4053"/>
    <w:rsid w:val="00DF7CC9"/>
    <w:rsid w:val="00E0571C"/>
    <w:rsid w:val="00E42D3E"/>
    <w:rsid w:val="00E54DFD"/>
    <w:rsid w:val="00EA1A10"/>
    <w:rsid w:val="00EE28CC"/>
    <w:rsid w:val="00F64222"/>
    <w:rsid w:val="00FA0545"/>
    <w:rsid w:val="00FA4E6F"/>
    <w:rsid w:val="00FB6E72"/>
    <w:rsid w:val="00FF2901"/>
    <w:rsid w:val="2416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654" w:hanging="1"/>
      <w:outlineLvl w:val="0"/>
    </w:pPr>
    <w:rPr>
      <w:rFonts w:ascii="Times New Roman" w:hAnsi="Times New Roman" w:eastAsia="宋体"/>
      <w:sz w:val="56"/>
      <w:szCs w:val="56"/>
    </w:rPr>
  </w:style>
  <w:style w:type="paragraph" w:styleId="3">
    <w:name w:val="heading 2"/>
    <w:basedOn w:val="1"/>
    <w:qFormat/>
    <w:uiPriority w:val="1"/>
    <w:pPr>
      <w:ind w:left="1159"/>
      <w:outlineLvl w:val="1"/>
    </w:pPr>
    <w:rPr>
      <w:rFonts w:ascii="Times New Roman" w:hAnsi="Times New Roman" w:eastAsia="宋体"/>
      <w:b/>
      <w:bCs/>
      <w:sz w:val="24"/>
      <w:szCs w:val="24"/>
    </w:rPr>
  </w:style>
  <w:style w:type="paragraph" w:styleId="4">
    <w:name w:val="heading 3"/>
    <w:basedOn w:val="1"/>
    <w:qFormat/>
    <w:uiPriority w:val="1"/>
    <w:pPr>
      <w:ind w:left="440"/>
      <w:outlineLvl w:val="2"/>
    </w:pPr>
    <w:rPr>
      <w:rFonts w:ascii="Times New Roman" w:hAnsi="Times New Roman" w:eastAsia="宋体"/>
      <w:b/>
      <w:bCs/>
      <w:i/>
      <w:sz w:val="24"/>
      <w:szCs w:val="24"/>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440"/>
    </w:pPr>
    <w:rPr>
      <w:rFonts w:ascii="Times New Roman" w:hAnsi="Times New Roman" w:eastAsia="宋体"/>
      <w:sz w:val="24"/>
      <w:szCs w:val="24"/>
    </w:rPr>
  </w:style>
  <w:style w:type="paragraph" w:styleId="6">
    <w:name w:val="Balloon Text"/>
    <w:basedOn w:val="1"/>
    <w:link w:val="20"/>
    <w:semiHidden/>
    <w:unhideWhenUsed/>
    <w:uiPriority w:val="99"/>
    <w:rPr>
      <w:sz w:val="18"/>
      <w:szCs w:val="18"/>
    </w:rPr>
  </w:style>
  <w:style w:type="paragraph" w:styleId="7">
    <w:name w:val="footer"/>
    <w:basedOn w:val="1"/>
    <w:link w:val="22"/>
    <w:unhideWhenUsed/>
    <w:uiPriority w:val="99"/>
    <w:pPr>
      <w:tabs>
        <w:tab w:val="center" w:pos="4153"/>
        <w:tab w:val="right" w:pos="8306"/>
      </w:tabs>
      <w:snapToGrid w:val="0"/>
    </w:pPr>
    <w:rPr>
      <w:sz w:val="18"/>
      <w:szCs w:val="18"/>
    </w:rPr>
  </w:style>
  <w:style w:type="paragraph" w:styleId="8">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1"/>
    <w:pPr>
      <w:spacing w:before="120"/>
      <w:ind w:left="1160" w:hanging="720"/>
    </w:pPr>
    <w:rPr>
      <w:rFonts w:ascii="Times New Roman" w:hAnsi="Times New Roman" w:eastAsia="宋体"/>
      <w:b/>
      <w:bCs/>
      <w:sz w:val="24"/>
      <w:szCs w:val="24"/>
    </w:rPr>
  </w:style>
  <w:style w:type="paragraph" w:styleId="10">
    <w:name w:val="footnote text"/>
    <w:basedOn w:val="1"/>
    <w:link w:val="23"/>
    <w:semiHidden/>
    <w:unhideWhenUsed/>
    <w:uiPriority w:val="99"/>
    <w:pPr>
      <w:snapToGrid w:val="0"/>
    </w:pPr>
    <w:rPr>
      <w:sz w:val="18"/>
      <w:szCs w:val="18"/>
    </w:rPr>
  </w:style>
  <w:style w:type="paragraph" w:styleId="11">
    <w:name w:val="toc 2"/>
    <w:basedOn w:val="1"/>
    <w:qFormat/>
    <w:uiPriority w:val="1"/>
    <w:pPr>
      <w:spacing w:before="126"/>
      <w:ind w:left="960" w:hanging="276"/>
    </w:pPr>
    <w:rPr>
      <w:rFonts w:ascii="Times New Roman" w:hAnsi="Times New Roman" w:eastAsia="宋体"/>
      <w:b/>
      <w:bCs/>
      <w:i/>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uiPriority w:val="99"/>
    <w:rPr>
      <w:color w:val="0000FF" w:themeColor="hyperlink"/>
      <w:u w:val="single"/>
      <w14:textFill>
        <w14:solidFill>
          <w14:schemeClr w14:val="hlink"/>
        </w14:solidFill>
      </w14:textFill>
    </w:rPr>
  </w:style>
  <w:style w:type="character" w:styleId="16">
    <w:name w:val="footnote reference"/>
    <w:basedOn w:val="14"/>
    <w:semiHidden/>
    <w:unhideWhenUsed/>
    <w:uiPriority w:val="99"/>
    <w:rPr>
      <w:vertAlign w:val="superscript"/>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批注框文本 Char"/>
    <w:basedOn w:val="14"/>
    <w:link w:val="6"/>
    <w:semiHidden/>
    <w:uiPriority w:val="99"/>
    <w:rPr>
      <w:sz w:val="18"/>
      <w:szCs w:val="18"/>
    </w:rPr>
  </w:style>
  <w:style w:type="character" w:customStyle="1" w:styleId="21">
    <w:name w:val="页眉 Char"/>
    <w:basedOn w:val="14"/>
    <w:link w:val="8"/>
    <w:uiPriority w:val="99"/>
    <w:rPr>
      <w:sz w:val="18"/>
      <w:szCs w:val="18"/>
    </w:rPr>
  </w:style>
  <w:style w:type="character" w:customStyle="1" w:styleId="22">
    <w:name w:val="页脚 Char"/>
    <w:basedOn w:val="14"/>
    <w:link w:val="7"/>
    <w:uiPriority w:val="99"/>
    <w:rPr>
      <w:sz w:val="18"/>
      <w:szCs w:val="18"/>
    </w:rPr>
  </w:style>
  <w:style w:type="character" w:customStyle="1" w:styleId="23">
    <w:name w:val="脚注文本 Char"/>
    <w:basedOn w:val="14"/>
    <w:link w:val="10"/>
    <w:semiHidden/>
    <w:uiPriority w:val="99"/>
    <w:rPr>
      <w:sz w:val="18"/>
      <w:szCs w:val="18"/>
    </w:rPr>
  </w:style>
  <w:style w:type="paragraph" w:customStyle="1" w:styleId="24">
    <w:name w:val="Revision"/>
    <w:hidden/>
    <w:semiHidden/>
    <w:uiPriority w:val="99"/>
    <w:pPr>
      <w:widowControl/>
    </w:pPr>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65535-1BE5-4CC7-BC99-B8BB2D7D56D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4634</Words>
  <Characters>5822</Characters>
  <Lines>46</Lines>
  <Paragraphs>13</Paragraphs>
  <TotalTime>0</TotalTime>
  <ScaleCrop>false</ScaleCrop>
  <LinksUpToDate>false</LinksUpToDate>
  <CharactersWithSpaces>5917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2017-12-15T09:54:00Z</dcterms:created>
  <dc:creator>Food and Drug Administration</dc:creator>
  <cp:keywords>guidance, IRB, clinical, IND, IDE</cp:keywords>
  <cp:lastModifiedBy>太极箫客</cp:lastModifiedBy>
  <dcterms:modified xsi:type="dcterms:W3CDTF">2025-08-14T06:19:26Z</dcterms:modified>
  <dc:subject>Guidance for IRBs, Clinical Investigators, and Sponsors: IRB Responsibilities for Reviewing the Qualifications of Investigators, Adequacy of Research Sites, and the Determination of Whether an IND/IDE is Needed</dc:subject>
  <dc:title>IRB Responsibilities for Reviewing the Qualifications of Investigators, Adequacy of Research Sites, and the Determination of Whether an IND/IDE is Needed</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2013-08-21T00:00:00Z</vt:filetime>
  </property>
  <property fmtid="{D5CDD505-2E9C-101B-9397-08002B2CF9AE}" pid="3" name="Creator">
    <vt:lpwstr>PScript5.dll Version 5.2.2</vt:lpwstr>
  </property>
  <property fmtid="{D5CDD505-2E9C-101B-9397-08002B2CF9AE}" pid="4" name="LastSaved">
    <vt:filetime>2017-11-06T00:00:00Z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1EC54F854A7647DF96C864FEF592081F_12</vt:lpwstr>
  </property>
</Properties>
</file>