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D8FD8">
      <w:pPr>
        <w:pBdr>
          <w:top w:val="single" w:color="auto" w:sz="4" w:space="1"/>
        </w:pBdr>
        <w:topLinePunct/>
        <w:adjustRightInd w:val="0"/>
        <w:snapToGrid w:val="0"/>
        <w:spacing w:after="224" w:afterLines="75" w:line="288" w:lineRule="auto"/>
        <w:jc w:val="both"/>
        <w:rPr>
          <w:rFonts w:ascii="Arial" w:hAnsi="Arial" w:eastAsia="宋体" w:cs="Arial"/>
          <w:snapToGrid w:val="0"/>
          <w:sz w:val="24"/>
          <w:szCs w:val="7"/>
        </w:rPr>
      </w:pPr>
      <w:bookmarkStart w:id="49" w:name="_GoBack"/>
      <w:bookmarkEnd w:id="49"/>
    </w:p>
    <w:p w14:paraId="079487BB">
      <w:pPr>
        <w:topLinePunct/>
        <w:adjustRightInd w:val="0"/>
        <w:snapToGrid w:val="0"/>
        <w:spacing w:after="224" w:afterLines="75" w:line="288" w:lineRule="auto"/>
        <w:jc w:val="center"/>
        <w:rPr>
          <w:rFonts w:ascii="Arial" w:hAnsi="Arial" w:eastAsia="宋体" w:cs="Arial"/>
          <w:snapToGrid w:val="0"/>
          <w:sz w:val="56"/>
          <w:szCs w:val="96"/>
        </w:rPr>
      </w:pPr>
      <w:r>
        <w:rPr>
          <w:rFonts w:hint="eastAsia" w:ascii="Arial" w:hAnsi="Arial" w:eastAsia="宋体" w:cs="Arial"/>
          <w:b/>
          <w:snapToGrid w:val="0"/>
          <w:sz w:val="56"/>
        </w:rPr>
        <w:t>机构审查委员会、临床研究者及申办者指南</w:t>
      </w:r>
    </w:p>
    <w:p w14:paraId="1AC32837">
      <w:pPr>
        <w:topLinePunct/>
        <w:adjustRightInd w:val="0"/>
        <w:snapToGrid w:val="0"/>
        <w:spacing w:after="224" w:afterLines="75" w:line="288" w:lineRule="auto"/>
        <w:jc w:val="center"/>
        <w:rPr>
          <w:rFonts w:ascii="Arial" w:hAnsi="Arial" w:eastAsia="宋体" w:cs="Arial"/>
          <w:b/>
          <w:snapToGrid w:val="0"/>
          <w:sz w:val="48"/>
        </w:rPr>
      </w:pPr>
    </w:p>
    <w:p w14:paraId="75086C2D">
      <w:pPr>
        <w:topLinePunct/>
        <w:adjustRightInd w:val="0"/>
        <w:snapToGrid w:val="0"/>
        <w:spacing w:after="224" w:afterLines="75" w:line="288" w:lineRule="auto"/>
        <w:jc w:val="center"/>
        <w:rPr>
          <w:rFonts w:ascii="Arial" w:hAnsi="Arial" w:eastAsia="宋体" w:cs="Arial"/>
          <w:snapToGrid w:val="0"/>
          <w:sz w:val="48"/>
          <w:szCs w:val="72"/>
        </w:rPr>
      </w:pPr>
      <w:r>
        <w:rPr>
          <w:rFonts w:hint="eastAsia" w:ascii="Arial" w:hAnsi="Arial" w:eastAsia="宋体" w:cs="Arial"/>
          <w:b/>
          <w:snapToGrid w:val="0"/>
          <w:sz w:val="48"/>
        </w:rPr>
        <w:t>IRB在批准临床研究后的持续审查</w:t>
      </w:r>
    </w:p>
    <w:p w14:paraId="07928188">
      <w:pPr>
        <w:topLinePunct/>
        <w:adjustRightInd w:val="0"/>
        <w:snapToGrid w:val="0"/>
        <w:spacing w:after="224" w:afterLines="75" w:line="288" w:lineRule="auto"/>
        <w:jc w:val="center"/>
        <w:rPr>
          <w:rFonts w:ascii="Arial" w:hAnsi="Arial" w:eastAsia="宋体" w:cs="Arial"/>
          <w:b/>
          <w:snapToGrid w:val="0"/>
          <w:sz w:val="24"/>
        </w:rPr>
      </w:pPr>
    </w:p>
    <w:p w14:paraId="5BE4E737">
      <w:pPr>
        <w:topLinePunct/>
        <w:adjustRightInd w:val="0"/>
        <w:snapToGrid w:val="0"/>
        <w:spacing w:after="224" w:afterLines="75" w:line="288" w:lineRule="auto"/>
        <w:jc w:val="center"/>
        <w:rPr>
          <w:rFonts w:ascii="Arial" w:hAnsi="Arial" w:eastAsia="宋体" w:cs="Arial"/>
          <w:b/>
          <w:snapToGrid w:val="0"/>
          <w:sz w:val="24"/>
        </w:rPr>
      </w:pPr>
    </w:p>
    <w:p w14:paraId="57DFE0CB">
      <w:pPr>
        <w:topLinePunct/>
        <w:adjustRightInd w:val="0"/>
        <w:snapToGrid w:val="0"/>
        <w:spacing w:after="224" w:afterLines="75" w:line="288" w:lineRule="auto"/>
        <w:jc w:val="center"/>
        <w:rPr>
          <w:rFonts w:ascii="Arial" w:hAnsi="Arial" w:eastAsia="宋体" w:cs="Arial"/>
          <w:b/>
          <w:snapToGrid w:val="0"/>
          <w:sz w:val="24"/>
        </w:rPr>
      </w:pPr>
    </w:p>
    <w:p w14:paraId="131A6980">
      <w:pPr>
        <w:topLinePunct/>
        <w:adjustRightInd w:val="0"/>
        <w:snapToGrid w:val="0"/>
        <w:spacing w:after="224" w:afterLines="75" w:line="288" w:lineRule="auto"/>
        <w:jc w:val="center"/>
        <w:rPr>
          <w:rFonts w:ascii="Arial" w:hAnsi="Arial" w:eastAsia="宋体" w:cs="Arial"/>
          <w:b/>
          <w:snapToGrid w:val="0"/>
          <w:sz w:val="24"/>
        </w:rPr>
      </w:pPr>
    </w:p>
    <w:p w14:paraId="4D3F29F6">
      <w:pPr>
        <w:topLinePunct/>
        <w:adjustRightInd w:val="0"/>
        <w:snapToGrid w:val="0"/>
        <w:spacing w:after="224" w:afterLines="75" w:line="288" w:lineRule="auto"/>
        <w:jc w:val="center"/>
        <w:rPr>
          <w:rFonts w:ascii="Arial" w:hAnsi="Arial" w:eastAsia="宋体" w:cs="Arial"/>
          <w:b/>
          <w:snapToGrid w:val="0"/>
          <w:sz w:val="24"/>
        </w:rPr>
      </w:pPr>
    </w:p>
    <w:p w14:paraId="79D56674">
      <w:pPr>
        <w:topLinePunct/>
        <w:adjustRightInd w:val="0"/>
        <w:snapToGrid w:val="0"/>
        <w:spacing w:after="224" w:afterLines="75" w:line="288" w:lineRule="auto"/>
        <w:jc w:val="center"/>
        <w:rPr>
          <w:rFonts w:ascii="Arial" w:hAnsi="Arial" w:eastAsia="宋体" w:cs="Arial"/>
          <w:b/>
          <w:snapToGrid w:val="0"/>
          <w:sz w:val="24"/>
        </w:rPr>
      </w:pPr>
    </w:p>
    <w:p w14:paraId="07472391">
      <w:pPr>
        <w:topLinePunct/>
        <w:adjustRightInd w:val="0"/>
        <w:snapToGrid w:val="0"/>
        <w:spacing w:after="224" w:afterLines="75" w:line="288" w:lineRule="auto"/>
        <w:jc w:val="center"/>
        <w:rPr>
          <w:rFonts w:ascii="Arial" w:hAnsi="Arial" w:eastAsia="宋体" w:cs="Arial"/>
          <w:b/>
          <w:snapToGrid w:val="0"/>
          <w:sz w:val="24"/>
        </w:rPr>
      </w:pPr>
    </w:p>
    <w:p w14:paraId="0979D8EA">
      <w:pPr>
        <w:topLinePunct/>
        <w:adjustRightInd w:val="0"/>
        <w:snapToGrid w:val="0"/>
        <w:spacing w:after="224" w:afterLines="75" w:line="288" w:lineRule="auto"/>
        <w:jc w:val="center"/>
        <w:rPr>
          <w:rFonts w:ascii="Arial" w:hAnsi="Arial" w:eastAsia="宋体" w:cs="Arial"/>
          <w:b/>
          <w:snapToGrid w:val="0"/>
          <w:sz w:val="24"/>
        </w:rPr>
      </w:pPr>
    </w:p>
    <w:p w14:paraId="3FD55AF1">
      <w:pPr>
        <w:topLinePunct/>
        <w:adjustRightInd w:val="0"/>
        <w:snapToGrid w:val="0"/>
        <w:spacing w:after="224" w:afterLines="75" w:line="288" w:lineRule="auto"/>
        <w:jc w:val="center"/>
        <w:rPr>
          <w:rFonts w:ascii="Arial" w:hAnsi="Arial" w:eastAsia="宋体" w:cs="Arial"/>
          <w:b/>
          <w:snapToGrid w:val="0"/>
          <w:sz w:val="24"/>
        </w:rPr>
      </w:pPr>
    </w:p>
    <w:p w14:paraId="28BE4765">
      <w:pPr>
        <w:topLinePunct/>
        <w:adjustRightInd w:val="0"/>
        <w:snapToGrid w:val="0"/>
        <w:spacing w:after="224" w:afterLines="75" w:line="288" w:lineRule="auto"/>
        <w:jc w:val="center"/>
        <w:rPr>
          <w:rFonts w:ascii="Arial" w:hAnsi="Arial" w:eastAsia="宋体" w:cs="Arial"/>
          <w:b/>
          <w:snapToGrid w:val="0"/>
          <w:sz w:val="24"/>
        </w:rPr>
      </w:pPr>
    </w:p>
    <w:p w14:paraId="73313070">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美国卫生和人类服务署</w:t>
      </w:r>
    </w:p>
    <w:p w14:paraId="78DC8139">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食品药品监督管理局</w:t>
      </w:r>
    </w:p>
    <w:p w14:paraId="61615071">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生物制剂评价和研究中心（CBER）</w:t>
      </w:r>
    </w:p>
    <w:p w14:paraId="0DB72F19">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器械和放射卫生中心（CDRH）</w:t>
      </w:r>
    </w:p>
    <w:p w14:paraId="0BE35A66">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药品评价和研究中心（CDER）</w:t>
      </w:r>
    </w:p>
    <w:p w14:paraId="0ED6953C">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良好临床试验规范办公室（OGCP）</w:t>
      </w:r>
    </w:p>
    <w:p w14:paraId="3DB780B5">
      <w:pPr>
        <w:topLinePunct/>
        <w:adjustRightInd w:val="0"/>
        <w:snapToGrid w:val="0"/>
        <w:spacing w:line="288" w:lineRule="auto"/>
        <w:jc w:val="center"/>
        <w:rPr>
          <w:rFonts w:ascii="Arial" w:hAnsi="Arial" w:eastAsia="宋体" w:cs="Arial"/>
          <w:b/>
          <w:snapToGrid w:val="0"/>
          <w:sz w:val="24"/>
        </w:rPr>
      </w:pPr>
    </w:p>
    <w:p w14:paraId="372FC176">
      <w:pPr>
        <w:topLinePunct/>
        <w:adjustRightInd w:val="0"/>
        <w:snapToGrid w:val="0"/>
        <w:spacing w:line="288" w:lineRule="auto"/>
        <w:jc w:val="center"/>
        <w:rPr>
          <w:rFonts w:ascii="Arial" w:hAnsi="Arial" w:eastAsia="宋体" w:cs="Arial"/>
          <w:b/>
          <w:snapToGrid w:val="0"/>
          <w:sz w:val="24"/>
        </w:rPr>
      </w:pPr>
    </w:p>
    <w:p w14:paraId="0413E8CA">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2012年2月</w:t>
      </w:r>
    </w:p>
    <w:p w14:paraId="4288EC5C">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程序性</w:t>
      </w:r>
    </w:p>
    <w:p w14:paraId="28A10389">
      <w:pPr>
        <w:topLinePunct/>
        <w:adjustRightInd w:val="0"/>
        <w:snapToGrid w:val="0"/>
        <w:spacing w:line="288" w:lineRule="auto"/>
        <w:jc w:val="center"/>
        <w:rPr>
          <w:rFonts w:ascii="Arial" w:hAnsi="Arial" w:eastAsia="宋体" w:cs="Arial"/>
          <w:snapToGrid w:val="0"/>
          <w:sz w:val="18"/>
          <w:szCs w:val="24"/>
        </w:rPr>
      </w:pPr>
    </w:p>
    <w:p w14:paraId="2EBF3352">
      <w:pPr>
        <w:pBdr>
          <w:bottom w:val="single" w:color="auto" w:sz="4" w:space="1"/>
        </w:pBdr>
        <w:topLinePunct/>
        <w:adjustRightInd w:val="0"/>
        <w:snapToGrid w:val="0"/>
        <w:spacing w:line="288" w:lineRule="auto"/>
        <w:jc w:val="center"/>
        <w:rPr>
          <w:rFonts w:ascii="Arial" w:hAnsi="Arial" w:eastAsia="宋体" w:cs="Arial"/>
          <w:snapToGrid w:val="0"/>
          <w:sz w:val="24"/>
          <w:szCs w:val="24"/>
        </w:rPr>
      </w:pPr>
    </w:p>
    <w:p w14:paraId="7B6A7F8E">
      <w:pPr>
        <w:topLinePunct/>
        <w:adjustRightInd w:val="0"/>
        <w:snapToGrid w:val="0"/>
        <w:spacing w:after="224" w:afterLines="75" w:line="288" w:lineRule="auto"/>
        <w:jc w:val="center"/>
        <w:rPr>
          <w:rFonts w:ascii="Arial" w:hAnsi="Arial" w:eastAsia="宋体" w:cs="Arial"/>
          <w:b/>
          <w:snapToGrid w:val="0"/>
          <w:sz w:val="48"/>
        </w:rPr>
      </w:pPr>
      <w:r>
        <w:rPr>
          <w:rFonts w:ascii="Arial" w:hAnsi="Arial" w:eastAsia="宋体" w:cs="Arial"/>
          <w:snapToGrid w:val="0"/>
          <w:sz w:val="24"/>
          <w:szCs w:val="4"/>
        </w:rPr>
        <w:br w:type="page"/>
      </w:r>
      <w:r>
        <w:rPr>
          <w:rFonts w:hint="eastAsia" w:ascii="Arial" w:hAnsi="Arial" w:eastAsia="宋体" w:cs="Arial"/>
          <w:b/>
          <w:snapToGrid w:val="0"/>
          <w:sz w:val="48"/>
        </w:rPr>
        <w:t>机构审查委员会、临床研究者及申办者指南</w:t>
      </w:r>
    </w:p>
    <w:p w14:paraId="0D1903EB">
      <w:pPr>
        <w:topLinePunct/>
        <w:adjustRightInd w:val="0"/>
        <w:snapToGrid w:val="0"/>
        <w:spacing w:after="224" w:afterLines="75" w:line="288" w:lineRule="auto"/>
        <w:jc w:val="center"/>
        <w:rPr>
          <w:rFonts w:ascii="Arial" w:hAnsi="Arial" w:eastAsia="宋体" w:cs="Arial"/>
          <w:b/>
          <w:snapToGrid w:val="0"/>
          <w:sz w:val="48"/>
        </w:rPr>
      </w:pPr>
      <w:r>
        <w:rPr>
          <w:rFonts w:hint="eastAsia" w:ascii="Arial" w:hAnsi="Arial" w:eastAsia="宋体" w:cs="Arial"/>
          <w:b/>
          <w:snapToGrid w:val="0"/>
          <w:sz w:val="48"/>
        </w:rPr>
        <w:t>IRB在批准临床研究后的持续审查</w:t>
      </w:r>
    </w:p>
    <w:p w14:paraId="473CEA39">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其他副本可从以下地址获得：</w:t>
      </w:r>
    </w:p>
    <w:p w14:paraId="2147BAE0">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交流办公室</w:t>
      </w:r>
    </w:p>
    <w:p w14:paraId="14F2E24E">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 xml:space="preserve">药品信息部，WO51，Room 2201 </w:t>
      </w:r>
    </w:p>
    <w:p w14:paraId="4609AB3B">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10903 New Hampshire Ave.</w:t>
      </w:r>
    </w:p>
    <w:p w14:paraId="4BA45582">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Silver Spring, MD 20993</w:t>
      </w:r>
    </w:p>
    <w:p w14:paraId="444FCCDE">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电子邮箱：</w:t>
      </w:r>
      <w:r>
        <w:fldChar w:fldCharType="begin"/>
      </w:r>
      <w:r>
        <w:instrText xml:space="preserve"> HYPERLINK "mailto:druginfo@fda.hhs.gov" \h </w:instrText>
      </w:r>
      <w:r>
        <w:fldChar w:fldCharType="separate"/>
      </w:r>
      <w:r>
        <w:rPr>
          <w:rFonts w:hint="eastAsia" w:ascii="Arial" w:hAnsi="Arial" w:eastAsia="宋体" w:cs="Arial"/>
          <w:i/>
          <w:snapToGrid w:val="0"/>
          <w:sz w:val="20"/>
        </w:rPr>
        <w:t>druginfo@fda.hhs.gov</w:t>
      </w:r>
      <w:r>
        <w:rPr>
          <w:rFonts w:hint="eastAsia" w:ascii="Arial" w:hAnsi="Arial" w:eastAsia="宋体" w:cs="Arial"/>
          <w:i/>
          <w:snapToGrid w:val="0"/>
          <w:sz w:val="20"/>
        </w:rPr>
        <w:fldChar w:fldCharType="end"/>
      </w:r>
    </w:p>
    <w:p w14:paraId="11886F40">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电话：301-796-3400；传真：301-847-8714</w:t>
      </w:r>
    </w:p>
    <w:p w14:paraId="426F5658">
      <w:pPr>
        <w:topLinePunct/>
        <w:adjustRightInd w:val="0"/>
        <w:snapToGrid w:val="0"/>
        <w:spacing w:line="288" w:lineRule="auto"/>
        <w:jc w:val="center"/>
        <w:rPr>
          <w:rFonts w:ascii="Arial" w:hAnsi="Arial" w:eastAsia="宋体" w:cs="Arial"/>
          <w:snapToGrid w:val="0"/>
          <w:sz w:val="20"/>
          <w:szCs w:val="18"/>
        </w:rPr>
      </w:pPr>
      <w:r>
        <w:fldChar w:fldCharType="begin"/>
      </w:r>
      <w:r>
        <w:instrText xml:space="preserve"> HYPERLINK "http://www.fda.gov/Drugs/GuidanceComplianceRegulatoryInformation/Guidances/default.htm" \h </w:instrText>
      </w:r>
      <w:r>
        <w:fldChar w:fldCharType="separate"/>
      </w:r>
      <w:r>
        <w:rPr>
          <w:rFonts w:hint="eastAsia" w:ascii="Arial" w:hAnsi="Arial" w:eastAsia="宋体" w:cs="Arial"/>
          <w:i/>
          <w:snapToGrid w:val="0"/>
          <w:color w:val="0000FF"/>
          <w:sz w:val="20"/>
          <w:u w:val="single" w:color="0000FF"/>
        </w:rPr>
        <w:t>http: //www.fda.gov/Drugs/GuidanceComplianceRegulatoryInformation/Guidances/default.htm</w:t>
      </w:r>
      <w:r>
        <w:rPr>
          <w:rFonts w:hint="eastAsia" w:ascii="Arial" w:hAnsi="Arial" w:eastAsia="宋体" w:cs="Arial"/>
          <w:i/>
          <w:snapToGrid w:val="0"/>
          <w:color w:val="0000FF"/>
          <w:sz w:val="20"/>
          <w:u w:val="single" w:color="0000FF"/>
        </w:rPr>
        <w:fldChar w:fldCharType="end"/>
      </w:r>
    </w:p>
    <w:p w14:paraId="33779C85">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和／或</w:t>
      </w:r>
    </w:p>
    <w:p w14:paraId="2CBD4848">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交流、外联和开发办公室，HFM-40</w:t>
      </w:r>
    </w:p>
    <w:p w14:paraId="4F30542E">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生物制剂评价和研究中心</w:t>
      </w:r>
    </w:p>
    <w:p w14:paraId="5A2BF978">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食品药品监督管理局</w:t>
      </w:r>
    </w:p>
    <w:p w14:paraId="0C453D59">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1401 Rockville Pike，</w:t>
      </w:r>
    </w:p>
    <w:p w14:paraId="613C0270">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Rockville，MD 20852-1448</w:t>
      </w:r>
    </w:p>
    <w:p w14:paraId="0E5032D6">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电子邮箱：</w:t>
      </w:r>
      <w:r>
        <w:fldChar w:fldCharType="begin"/>
      </w:r>
      <w:r>
        <w:instrText xml:space="preserve"> HYPERLINK "mailto:ocod@fda.hhs.gov" \h </w:instrText>
      </w:r>
      <w:r>
        <w:fldChar w:fldCharType="separate"/>
      </w:r>
      <w:r>
        <w:rPr>
          <w:rFonts w:hint="eastAsia" w:ascii="Arial" w:hAnsi="Arial" w:eastAsia="宋体" w:cs="Arial"/>
          <w:i/>
          <w:snapToGrid w:val="0"/>
          <w:sz w:val="20"/>
        </w:rPr>
        <w:t>ocod@fda.hhs.gov</w:t>
      </w:r>
      <w:r>
        <w:rPr>
          <w:rFonts w:ascii="Arial" w:hAnsi="Arial" w:eastAsia="宋体" w:cs="Arial"/>
          <w:i/>
          <w:snapToGrid w:val="0"/>
          <w:sz w:val="20"/>
        </w:rPr>
        <w:fldChar w:fldCharType="end"/>
      </w:r>
    </w:p>
    <w:p w14:paraId="23C0BDC9">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（电话）800-835-4709或301-827-1800</w:t>
      </w:r>
    </w:p>
    <w:p w14:paraId="2D18CD0D">
      <w:pPr>
        <w:topLinePunct/>
        <w:adjustRightInd w:val="0"/>
        <w:snapToGrid w:val="0"/>
        <w:spacing w:line="288" w:lineRule="auto"/>
        <w:jc w:val="center"/>
        <w:rPr>
          <w:rFonts w:ascii="Arial" w:hAnsi="Arial" w:eastAsia="宋体" w:cs="Arial"/>
          <w:snapToGrid w:val="0"/>
          <w:sz w:val="20"/>
          <w:szCs w:val="18"/>
        </w:rPr>
      </w:pPr>
      <w:r>
        <w:fldChar w:fldCharType="begin"/>
      </w:r>
      <w:r>
        <w:instrText xml:space="preserve"> HYPERLINK "http://www.fda.gov/BiologicsBloodVaccines/GuidanceComplianceRegulatoryInformation/Guidances/default.htm" \h </w:instrText>
      </w:r>
      <w:r>
        <w:fldChar w:fldCharType="separate"/>
      </w:r>
      <w:r>
        <w:rPr>
          <w:rFonts w:hint="eastAsia" w:ascii="Arial" w:hAnsi="Arial" w:eastAsia="宋体" w:cs="Arial"/>
          <w:i/>
          <w:snapToGrid w:val="0"/>
          <w:color w:val="0000FF"/>
          <w:sz w:val="20"/>
          <w:u w:val="single" w:color="0000FF"/>
        </w:rPr>
        <w:t>http://www.fda.gov/BiologicsBloodVaccines/GuidanceComplianceRegulatoryInformation/Guidances/default.htm</w:t>
      </w:r>
      <w:r>
        <w:rPr>
          <w:rFonts w:hint="eastAsia" w:ascii="Arial" w:hAnsi="Arial" w:eastAsia="宋体" w:cs="Arial"/>
          <w:i/>
          <w:snapToGrid w:val="0"/>
          <w:color w:val="0000FF"/>
          <w:sz w:val="20"/>
          <w:u w:val="single" w:color="0000FF"/>
        </w:rPr>
        <w:fldChar w:fldCharType="end"/>
      </w:r>
    </w:p>
    <w:p w14:paraId="43012BF0">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和／或</w:t>
      </w:r>
    </w:p>
    <w:p w14:paraId="57436319">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交流，教育和辐射项目办公室</w:t>
      </w:r>
    </w:p>
    <w:p w14:paraId="0710878F">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小型制造商、国际和消费者援助司，WO66-4613</w:t>
      </w:r>
    </w:p>
    <w:p w14:paraId="78276945">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器械和放射卫生中心</w:t>
      </w:r>
    </w:p>
    <w:p w14:paraId="404286A1">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食品药品监督管理局</w:t>
      </w:r>
    </w:p>
    <w:p w14:paraId="193F1AFC">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10903 New Hampshire Ave。</w:t>
      </w:r>
    </w:p>
    <w:p w14:paraId="49EAF98E">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Silver Spring, MD 20993</w:t>
      </w:r>
    </w:p>
    <w:p w14:paraId="012D6182">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电子邮箱：</w:t>
      </w:r>
      <w:r>
        <w:fldChar w:fldCharType="begin"/>
      </w:r>
      <w:r>
        <w:instrText xml:space="preserve"> HYPERLINK "mailto:dsmica@cdrh.fda.gov" \h </w:instrText>
      </w:r>
      <w:r>
        <w:fldChar w:fldCharType="separate"/>
      </w:r>
      <w:r>
        <w:rPr>
          <w:rFonts w:hint="eastAsia" w:ascii="Arial" w:hAnsi="Arial" w:eastAsia="宋体" w:cs="Arial"/>
          <w:i/>
          <w:snapToGrid w:val="0"/>
          <w:sz w:val="20"/>
        </w:rPr>
        <w:t>dsmica@cdrh.fda.gov</w:t>
      </w:r>
      <w:r>
        <w:rPr>
          <w:rFonts w:hint="eastAsia" w:ascii="Arial" w:hAnsi="Arial" w:eastAsia="宋体" w:cs="Arial"/>
          <w:i/>
          <w:snapToGrid w:val="0"/>
          <w:sz w:val="20"/>
        </w:rPr>
        <w:fldChar w:fldCharType="end"/>
      </w:r>
    </w:p>
    <w:p w14:paraId="240AB9F0">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（电话）制造商援助：800.638.2041或301.796.7100</w:t>
      </w:r>
    </w:p>
    <w:p w14:paraId="5C0B9302">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（电话）国际工作人员电话：301.796.5708；传真：301.827.8149</w:t>
      </w:r>
    </w:p>
    <w:p w14:paraId="386BCDA8">
      <w:pPr>
        <w:topLinePunct/>
        <w:adjustRightInd w:val="0"/>
        <w:snapToGrid w:val="0"/>
        <w:spacing w:line="288" w:lineRule="auto"/>
        <w:jc w:val="center"/>
        <w:rPr>
          <w:rFonts w:ascii="Arial" w:hAnsi="Arial" w:eastAsia="宋体" w:cs="Arial"/>
          <w:snapToGrid w:val="0"/>
          <w:sz w:val="20"/>
          <w:szCs w:val="18"/>
        </w:rPr>
      </w:pPr>
      <w:r>
        <w:fldChar w:fldCharType="begin"/>
      </w:r>
      <w:r>
        <w:instrText xml:space="preserve"> HYPERLINK "http://www.fda.gov/MedicalDevices/DeviceRegulationandGuidance/GuidanceDocuments/default.htm" \h </w:instrText>
      </w:r>
      <w:r>
        <w:fldChar w:fldCharType="separate"/>
      </w:r>
      <w:r>
        <w:rPr>
          <w:rFonts w:hint="eastAsia" w:ascii="Arial" w:hAnsi="Arial" w:eastAsia="宋体" w:cs="Arial"/>
          <w:i/>
          <w:snapToGrid w:val="0"/>
          <w:color w:val="0000FF"/>
          <w:sz w:val="20"/>
          <w:u w:val="single" w:color="0000FF"/>
        </w:rPr>
        <w:t>http: //www.fda.gov/MedicalDevices/DeviceRegulationandGuidance/GuidanceDocuments/default.htm</w:t>
      </w:r>
      <w:r>
        <w:rPr>
          <w:rFonts w:hint="eastAsia" w:ascii="Arial" w:hAnsi="Arial" w:eastAsia="宋体" w:cs="Arial"/>
          <w:i/>
          <w:snapToGrid w:val="0"/>
          <w:color w:val="0000FF"/>
          <w:sz w:val="20"/>
          <w:u w:val="single" w:color="0000FF"/>
        </w:rPr>
        <w:fldChar w:fldCharType="end"/>
      </w:r>
    </w:p>
    <w:p w14:paraId="78CCDC53">
      <w:pPr>
        <w:topLinePunct/>
        <w:adjustRightInd w:val="0"/>
        <w:snapToGrid w:val="0"/>
        <w:spacing w:line="288" w:lineRule="auto"/>
        <w:jc w:val="center"/>
        <w:rPr>
          <w:rFonts w:ascii="Arial" w:hAnsi="Arial" w:eastAsia="宋体" w:cs="Arial"/>
          <w:b/>
          <w:snapToGrid w:val="0"/>
          <w:sz w:val="20"/>
        </w:rPr>
      </w:pPr>
    </w:p>
    <w:p w14:paraId="0BA031DD">
      <w:pPr>
        <w:topLinePunct/>
        <w:adjustRightInd w:val="0"/>
        <w:snapToGrid w:val="0"/>
        <w:spacing w:line="288" w:lineRule="auto"/>
        <w:jc w:val="center"/>
        <w:rPr>
          <w:rFonts w:ascii="Arial" w:hAnsi="Arial" w:eastAsia="宋体" w:cs="Arial"/>
          <w:b/>
          <w:snapToGrid w:val="0"/>
          <w:sz w:val="20"/>
        </w:rPr>
      </w:pPr>
      <w:r>
        <w:rPr>
          <w:rFonts w:hint="eastAsia" w:ascii="Arial" w:hAnsi="Arial" w:eastAsia="宋体" w:cs="Arial"/>
          <w:b/>
          <w:snapToGrid w:val="0"/>
          <w:sz w:val="20"/>
        </w:rPr>
        <w:t>美国卫生和人类服务署</w:t>
      </w:r>
    </w:p>
    <w:p w14:paraId="262C2268">
      <w:pPr>
        <w:topLinePunct/>
        <w:adjustRightInd w:val="0"/>
        <w:snapToGrid w:val="0"/>
        <w:spacing w:line="288" w:lineRule="auto"/>
        <w:jc w:val="center"/>
        <w:rPr>
          <w:rFonts w:ascii="Arial" w:hAnsi="Arial" w:eastAsia="宋体" w:cs="Arial"/>
          <w:snapToGrid w:val="0"/>
          <w:sz w:val="20"/>
        </w:rPr>
      </w:pPr>
      <w:r>
        <w:rPr>
          <w:rFonts w:hint="eastAsia" w:ascii="Arial" w:hAnsi="Arial" w:eastAsia="宋体" w:cs="Arial"/>
          <w:b/>
          <w:snapToGrid w:val="0"/>
          <w:sz w:val="20"/>
        </w:rPr>
        <w:t>食品药品监督管理局</w:t>
      </w:r>
    </w:p>
    <w:p w14:paraId="54DC222C">
      <w:pPr>
        <w:topLinePunct/>
        <w:adjustRightInd w:val="0"/>
        <w:snapToGrid w:val="0"/>
        <w:spacing w:line="288" w:lineRule="auto"/>
        <w:jc w:val="center"/>
        <w:rPr>
          <w:rFonts w:ascii="Arial" w:hAnsi="Arial" w:eastAsia="宋体" w:cs="Arial"/>
          <w:b/>
          <w:snapToGrid w:val="0"/>
          <w:sz w:val="20"/>
        </w:rPr>
      </w:pPr>
      <w:r>
        <w:rPr>
          <w:rFonts w:hint="eastAsia" w:ascii="Arial" w:hAnsi="Arial" w:eastAsia="宋体" w:cs="Arial"/>
          <w:b/>
          <w:snapToGrid w:val="0"/>
          <w:sz w:val="20"/>
        </w:rPr>
        <w:t>生物制剂评价和研究中心（CBER）</w:t>
      </w:r>
    </w:p>
    <w:p w14:paraId="79589BF0">
      <w:pPr>
        <w:topLinePunct/>
        <w:adjustRightInd w:val="0"/>
        <w:snapToGrid w:val="0"/>
        <w:spacing w:line="288" w:lineRule="auto"/>
        <w:jc w:val="center"/>
        <w:rPr>
          <w:rFonts w:ascii="Arial" w:hAnsi="Arial" w:eastAsia="宋体" w:cs="Arial"/>
          <w:b/>
          <w:snapToGrid w:val="0"/>
          <w:sz w:val="20"/>
        </w:rPr>
      </w:pPr>
      <w:r>
        <w:rPr>
          <w:rFonts w:hint="eastAsia" w:ascii="Arial" w:hAnsi="Arial" w:eastAsia="宋体" w:cs="Arial"/>
          <w:b/>
          <w:snapToGrid w:val="0"/>
          <w:sz w:val="20"/>
        </w:rPr>
        <w:t>器械和放射卫生中心（CDRH）</w:t>
      </w:r>
    </w:p>
    <w:p w14:paraId="12D04784">
      <w:pPr>
        <w:topLinePunct/>
        <w:adjustRightInd w:val="0"/>
        <w:snapToGrid w:val="0"/>
        <w:spacing w:line="288" w:lineRule="auto"/>
        <w:jc w:val="center"/>
        <w:rPr>
          <w:rFonts w:ascii="Arial" w:hAnsi="Arial" w:eastAsia="宋体" w:cs="Arial"/>
          <w:b/>
          <w:snapToGrid w:val="0"/>
          <w:sz w:val="20"/>
        </w:rPr>
      </w:pPr>
      <w:r>
        <w:rPr>
          <w:rFonts w:hint="eastAsia" w:ascii="Arial" w:hAnsi="Arial" w:eastAsia="宋体" w:cs="Arial"/>
          <w:b/>
          <w:snapToGrid w:val="0"/>
          <w:sz w:val="20"/>
        </w:rPr>
        <w:t>药品评价和研究中心（CDER）</w:t>
      </w:r>
    </w:p>
    <w:p w14:paraId="6019192F">
      <w:pPr>
        <w:topLinePunct/>
        <w:adjustRightInd w:val="0"/>
        <w:snapToGrid w:val="0"/>
        <w:spacing w:line="288" w:lineRule="auto"/>
        <w:jc w:val="center"/>
        <w:rPr>
          <w:rFonts w:ascii="Arial" w:hAnsi="Arial" w:eastAsia="宋体" w:cs="Arial"/>
          <w:snapToGrid w:val="0"/>
          <w:sz w:val="20"/>
        </w:rPr>
      </w:pPr>
      <w:r>
        <w:rPr>
          <w:rFonts w:hint="eastAsia" w:ascii="Arial" w:hAnsi="Arial" w:eastAsia="宋体" w:cs="Arial"/>
          <w:b/>
          <w:snapToGrid w:val="0"/>
          <w:sz w:val="20"/>
        </w:rPr>
        <w:t>良好临床试验规范办公室（OGCP）</w:t>
      </w:r>
    </w:p>
    <w:p w14:paraId="54A37825">
      <w:pPr>
        <w:topLinePunct/>
        <w:adjustRightInd w:val="0"/>
        <w:snapToGrid w:val="0"/>
        <w:spacing w:line="288" w:lineRule="auto"/>
        <w:jc w:val="center"/>
        <w:rPr>
          <w:rFonts w:ascii="Arial" w:hAnsi="Arial" w:eastAsia="宋体" w:cs="Arial"/>
          <w:b/>
          <w:snapToGrid w:val="0"/>
          <w:sz w:val="20"/>
        </w:rPr>
      </w:pPr>
    </w:p>
    <w:p w14:paraId="4FD11AB0">
      <w:pPr>
        <w:topLinePunct/>
        <w:adjustRightInd w:val="0"/>
        <w:snapToGrid w:val="0"/>
        <w:spacing w:line="288" w:lineRule="auto"/>
        <w:jc w:val="center"/>
        <w:rPr>
          <w:rFonts w:ascii="Arial" w:hAnsi="Arial" w:eastAsia="宋体" w:cs="Arial"/>
          <w:b/>
          <w:snapToGrid w:val="0"/>
          <w:sz w:val="20"/>
        </w:rPr>
      </w:pPr>
      <w:r>
        <w:rPr>
          <w:rFonts w:hint="eastAsia" w:ascii="Arial" w:hAnsi="Arial" w:eastAsia="宋体" w:cs="Arial"/>
          <w:b/>
          <w:snapToGrid w:val="0"/>
          <w:sz w:val="20"/>
        </w:rPr>
        <w:t>2012年2月</w:t>
      </w:r>
    </w:p>
    <w:p w14:paraId="4EB2DB05">
      <w:pPr>
        <w:topLinePunct/>
        <w:adjustRightInd w:val="0"/>
        <w:snapToGrid w:val="0"/>
        <w:spacing w:line="288" w:lineRule="auto"/>
        <w:jc w:val="center"/>
        <w:rPr>
          <w:rFonts w:ascii="Arial" w:hAnsi="Arial" w:eastAsia="宋体" w:cs="Arial"/>
          <w:snapToGrid w:val="0"/>
          <w:sz w:val="20"/>
        </w:rPr>
      </w:pPr>
      <w:r>
        <w:rPr>
          <w:rFonts w:hint="eastAsia" w:ascii="Arial" w:hAnsi="Arial" w:eastAsia="宋体" w:cs="Arial"/>
          <w:b/>
          <w:snapToGrid w:val="0"/>
          <w:sz w:val="20"/>
        </w:rPr>
        <w:t>程序性</w:t>
      </w:r>
    </w:p>
    <w:p w14:paraId="1A627B73">
      <w:pPr>
        <w:topLinePunct/>
        <w:adjustRightInd w:val="0"/>
        <w:snapToGrid w:val="0"/>
        <w:spacing w:after="224" w:afterLines="75" w:line="288" w:lineRule="auto"/>
        <w:jc w:val="both"/>
        <w:rPr>
          <w:rFonts w:ascii="Arial" w:hAnsi="Arial" w:eastAsia="宋体" w:cs="Arial"/>
          <w:snapToGrid w:val="0"/>
          <w:sz w:val="24"/>
        </w:rPr>
        <w:sectPr>
          <w:headerReference r:id="rId4" w:type="default"/>
          <w:pgSz w:w="11906" w:h="16838"/>
          <w:pgMar w:top="1134" w:right="1440" w:bottom="1134" w:left="1440" w:header="720" w:footer="720" w:gutter="0"/>
          <w:cols w:space="720" w:num="1"/>
          <w:docGrid w:type="lines" w:linePitch="299" w:charSpace="0"/>
        </w:sectPr>
      </w:pPr>
    </w:p>
    <w:p w14:paraId="37BC122B">
      <w:pPr>
        <w:topLinePunct/>
        <w:adjustRightInd w:val="0"/>
        <w:snapToGrid w:val="0"/>
        <w:spacing w:after="224" w:afterLines="75" w:line="288" w:lineRule="auto"/>
        <w:jc w:val="both"/>
        <w:rPr>
          <w:rFonts w:ascii="Arial" w:hAnsi="Arial" w:eastAsia="宋体" w:cs="Arial"/>
          <w:snapToGrid w:val="0"/>
          <w:sz w:val="24"/>
          <w:szCs w:val="24"/>
        </w:rPr>
      </w:pPr>
    </w:p>
    <w:sdt>
      <w:sdtPr>
        <w:rPr>
          <w:rFonts w:ascii="Arial" w:hAnsi="Arial" w:eastAsia="宋体" w:cs="Arial"/>
          <w:snapToGrid w:val="0"/>
          <w:color w:val="auto"/>
          <w:sz w:val="24"/>
          <w:szCs w:val="22"/>
          <w:lang w:val="zh-CN"/>
        </w:rPr>
        <w:id w:val="253258308"/>
        <w:docPartObj>
          <w:docPartGallery w:val="Table of Contents"/>
          <w:docPartUnique/>
        </w:docPartObj>
      </w:sdtPr>
      <w:sdtEndPr>
        <w:rPr>
          <w:rFonts w:ascii="Arial" w:hAnsi="Arial" w:eastAsia="宋体" w:cs="Arial"/>
          <w:b/>
          <w:bCs/>
          <w:snapToGrid w:val="0"/>
          <w:color w:val="auto"/>
          <w:sz w:val="24"/>
          <w:szCs w:val="22"/>
          <w:lang w:val="zh-CN"/>
        </w:rPr>
      </w:sdtEndPr>
      <w:sdtContent>
        <w:p w14:paraId="717C4E5F">
          <w:pPr>
            <w:pStyle w:val="23"/>
            <w:keepNext w:val="0"/>
            <w:keepLines w:val="0"/>
            <w:widowControl w:val="0"/>
            <w:topLinePunct/>
            <w:adjustRightInd w:val="0"/>
            <w:snapToGrid w:val="0"/>
            <w:spacing w:before="0" w:after="224" w:afterLines="75" w:line="288" w:lineRule="auto"/>
            <w:jc w:val="center"/>
            <w:rPr>
              <w:rFonts w:ascii="Arial" w:hAnsi="Arial" w:eastAsia="宋体" w:cs="Arial"/>
              <w:b/>
              <w:snapToGrid w:val="0"/>
              <w:color w:val="auto"/>
              <w:sz w:val="28"/>
            </w:rPr>
          </w:pPr>
          <w:r>
            <w:rPr>
              <w:rFonts w:ascii="Arial" w:hAnsi="Arial" w:eastAsia="宋体" w:cs="Arial"/>
              <w:b/>
              <w:snapToGrid w:val="0"/>
              <w:color w:val="auto"/>
              <w:sz w:val="28"/>
              <w:lang w:val="zh-CN"/>
            </w:rPr>
            <w:t>目录</w:t>
          </w:r>
        </w:p>
        <w:p w14:paraId="433B35F9">
          <w:pPr>
            <w:pStyle w:val="13"/>
            <w:tabs>
              <w:tab w:val="left" w:pos="820"/>
              <w:tab w:val="right" w:leader="dot" w:pos="9016"/>
            </w:tabs>
            <w:rPr>
              <w:rFonts w:ascii="Arial" w:hAnsi="Arial" w:cs="Arial" w:eastAsiaTheme="minorEastAsia"/>
              <w:b w:val="0"/>
              <w:bCs w:val="0"/>
              <w:kern w:val="2"/>
              <w:sz w:val="21"/>
            </w:rPr>
          </w:pPr>
          <w:r>
            <w:rPr>
              <w:rFonts w:ascii="Arial" w:hAnsi="Arial" w:cs="Arial"/>
              <w:snapToGrid w:val="0"/>
              <w:sz w:val="24"/>
            </w:rPr>
            <w:fldChar w:fldCharType="begin"/>
          </w:r>
          <w:r>
            <w:rPr>
              <w:rFonts w:ascii="Arial" w:hAnsi="Arial" w:cs="Arial"/>
              <w:snapToGrid w:val="0"/>
              <w:sz w:val="24"/>
            </w:rPr>
            <w:instrText xml:space="preserve"> TOC \o "1-3" \h \z \u </w:instrText>
          </w:r>
          <w:r>
            <w:rPr>
              <w:rFonts w:ascii="Arial" w:hAnsi="Arial" w:cs="Arial"/>
              <w:snapToGrid w:val="0"/>
              <w:sz w:val="24"/>
            </w:rPr>
            <w:fldChar w:fldCharType="separate"/>
          </w:r>
          <w:r>
            <w:fldChar w:fldCharType="begin"/>
          </w:r>
          <w:r>
            <w:instrText xml:space="preserve"> HYPERLINK \l "_Toc499306988" </w:instrText>
          </w:r>
          <w:r>
            <w:fldChar w:fldCharType="separate"/>
          </w:r>
          <w:r>
            <w:rPr>
              <w:rStyle w:val="17"/>
              <w:rFonts w:ascii="Arial" w:hAnsi="Arial" w:eastAsia="Times New Roman" w:cs="Arial"/>
              <w:snapToGrid w:val="0"/>
              <w:spacing w:val="-1"/>
              <w:w w:val="99"/>
            </w:rPr>
            <w:t>I.</w:t>
          </w:r>
          <w:r>
            <w:rPr>
              <w:rFonts w:ascii="Arial" w:hAnsi="Arial" w:cs="Arial" w:eastAsiaTheme="minorEastAsia"/>
              <w:b w:val="0"/>
              <w:bCs w:val="0"/>
              <w:kern w:val="2"/>
              <w:sz w:val="21"/>
            </w:rPr>
            <w:tab/>
          </w:r>
          <w:r>
            <w:rPr>
              <w:rStyle w:val="17"/>
              <w:rFonts w:ascii="Arial" w:hAnsi="Arial" w:cs="Arial"/>
              <w:snapToGrid w:val="0"/>
            </w:rPr>
            <w:t>引言</w:t>
          </w:r>
          <w:r>
            <w:rPr>
              <w:rFonts w:ascii="Arial" w:hAnsi="Arial" w:cs="Arial"/>
            </w:rPr>
            <w:tab/>
          </w:r>
          <w:r>
            <w:rPr>
              <w:rFonts w:ascii="Arial" w:hAnsi="Arial" w:cs="Arial"/>
            </w:rPr>
            <w:fldChar w:fldCharType="begin"/>
          </w:r>
          <w:r>
            <w:rPr>
              <w:rFonts w:ascii="Arial" w:hAnsi="Arial" w:cs="Arial"/>
            </w:rPr>
            <w:instrText xml:space="preserve"> PAGEREF _Toc499306988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18F2EB2B">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"_Toc499306989" </w:instrText>
          </w:r>
          <w:r>
            <w:fldChar w:fldCharType="separate"/>
          </w:r>
          <w:r>
            <w:rPr>
              <w:rStyle w:val="17"/>
              <w:rFonts w:ascii="Arial" w:hAnsi="Arial" w:eastAsia="Times New Roman" w:cs="Arial"/>
              <w:snapToGrid w:val="0"/>
              <w:spacing w:val="-1"/>
              <w:w w:val="99"/>
            </w:rPr>
            <w:t>II.</w:t>
          </w:r>
          <w:r>
            <w:rPr>
              <w:rFonts w:ascii="Arial" w:hAnsi="Arial" w:cs="Arial" w:eastAsiaTheme="minorEastAsia"/>
              <w:b w:val="0"/>
              <w:bCs w:val="0"/>
              <w:kern w:val="2"/>
              <w:sz w:val="21"/>
            </w:rPr>
            <w:tab/>
          </w:r>
          <w:r>
            <w:rPr>
              <w:rStyle w:val="17"/>
              <w:rFonts w:ascii="Arial" w:hAnsi="Arial" w:cs="Arial"/>
              <w:snapToGrid w:val="0"/>
            </w:rPr>
            <w:t>背景</w:t>
          </w:r>
          <w:r>
            <w:rPr>
              <w:rFonts w:ascii="Arial" w:hAnsi="Arial" w:cs="Arial"/>
            </w:rPr>
            <w:tab/>
          </w:r>
          <w:r>
            <w:rPr>
              <w:rFonts w:ascii="Arial" w:hAnsi="Arial" w:cs="Arial"/>
            </w:rPr>
            <w:fldChar w:fldCharType="begin"/>
          </w:r>
          <w:r>
            <w:rPr>
              <w:rFonts w:ascii="Arial" w:hAnsi="Arial" w:cs="Arial"/>
            </w:rPr>
            <w:instrText xml:space="preserve"> PAGEREF _Toc499306989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49632DAF">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"_Toc499306990" </w:instrText>
          </w:r>
          <w:r>
            <w:fldChar w:fldCharType="separate"/>
          </w:r>
          <w:r>
            <w:rPr>
              <w:rStyle w:val="17"/>
              <w:rFonts w:ascii="Arial" w:hAnsi="Arial" w:eastAsia="Times New Roman" w:cs="Arial"/>
              <w:snapToGrid w:val="0"/>
              <w:spacing w:val="-1"/>
              <w:w w:val="99"/>
            </w:rPr>
            <w:t>III.</w:t>
          </w:r>
          <w:r>
            <w:rPr>
              <w:rFonts w:ascii="Arial" w:hAnsi="Arial" w:cs="Arial" w:eastAsiaTheme="minorEastAsia"/>
              <w:b w:val="0"/>
              <w:bCs w:val="0"/>
              <w:kern w:val="2"/>
              <w:sz w:val="21"/>
            </w:rPr>
            <w:tab/>
          </w:r>
          <w:r>
            <w:rPr>
              <w:rStyle w:val="17"/>
              <w:rFonts w:ascii="Arial" w:hAnsi="Arial" w:cs="Arial"/>
              <w:snapToGrid w:val="0"/>
            </w:rPr>
            <w:t>讨论</w:t>
          </w:r>
          <w:r>
            <w:rPr>
              <w:rFonts w:ascii="Arial" w:hAnsi="Arial" w:cs="Arial"/>
            </w:rPr>
            <w:tab/>
          </w:r>
          <w:r>
            <w:rPr>
              <w:rFonts w:ascii="Arial" w:hAnsi="Arial" w:cs="Arial"/>
            </w:rPr>
            <w:fldChar w:fldCharType="begin"/>
          </w:r>
          <w:r>
            <w:rPr>
              <w:rFonts w:ascii="Arial" w:hAnsi="Arial" w:cs="Arial"/>
            </w:rPr>
            <w:instrText xml:space="preserve"> PAGEREF _Toc499306990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31000F6A">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"_Toc499306991" </w:instrText>
          </w:r>
          <w:r>
            <w:fldChar w:fldCharType="separate"/>
          </w:r>
          <w:r>
            <w:rPr>
              <w:rStyle w:val="17"/>
              <w:rFonts w:ascii="Arial" w:hAnsi="Arial" w:eastAsia="Times New Roman" w:cs="Arial"/>
              <w:snapToGrid w:val="0"/>
              <w:w w:val="99"/>
            </w:rPr>
            <w:t>A.</w:t>
          </w:r>
          <w:r>
            <w:rPr>
              <w:rFonts w:ascii="Arial" w:hAnsi="Arial" w:cs="Arial" w:eastAsiaTheme="minorEastAsia"/>
              <w:b w:val="0"/>
              <w:bCs w:val="0"/>
              <w:kern w:val="2"/>
              <w:sz w:val="21"/>
            </w:rPr>
            <w:tab/>
          </w:r>
          <w:r>
            <w:rPr>
              <w:rStyle w:val="17"/>
              <w:rFonts w:ascii="Arial" w:hAnsi="Arial" w:cs="Arial"/>
              <w:snapToGrid w:val="0"/>
            </w:rPr>
            <w:t>持续审查期间批准研究的标准</w:t>
          </w:r>
          <w:r>
            <w:rPr>
              <w:rFonts w:ascii="Arial" w:hAnsi="Arial" w:cs="Arial"/>
            </w:rPr>
            <w:tab/>
          </w:r>
          <w:r>
            <w:rPr>
              <w:rFonts w:ascii="Arial" w:hAnsi="Arial" w:cs="Arial"/>
            </w:rPr>
            <w:fldChar w:fldCharType="begin"/>
          </w:r>
          <w:r>
            <w:rPr>
              <w:rFonts w:ascii="Arial" w:hAnsi="Arial" w:cs="Arial"/>
            </w:rPr>
            <w:instrText xml:space="preserve"> PAGEREF _Toc499306991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6657C7CD">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"_Toc499306992" </w:instrText>
          </w:r>
          <w:r>
            <w:fldChar w:fldCharType="separate"/>
          </w:r>
          <w:r>
            <w:rPr>
              <w:rStyle w:val="17"/>
              <w:rFonts w:ascii="Arial" w:hAnsi="Arial" w:eastAsia="Times New Roman" w:cs="Arial"/>
              <w:snapToGrid w:val="0"/>
              <w:w w:val="99"/>
            </w:rPr>
            <w:t>B.</w:t>
          </w:r>
          <w:r>
            <w:rPr>
              <w:rFonts w:ascii="Arial" w:hAnsi="Arial" w:cs="Arial" w:eastAsiaTheme="minorEastAsia"/>
              <w:b w:val="0"/>
              <w:bCs w:val="0"/>
              <w:kern w:val="2"/>
              <w:sz w:val="21"/>
            </w:rPr>
            <w:tab/>
          </w:r>
          <w:r>
            <w:rPr>
              <w:rStyle w:val="17"/>
              <w:rFonts w:ascii="Arial" w:hAnsi="Arial" w:cs="Arial"/>
              <w:snapToGrid w:val="0"/>
            </w:rPr>
            <w:t>进行持续审查的过程</w:t>
          </w:r>
          <w:r>
            <w:rPr>
              <w:rFonts w:ascii="Arial" w:hAnsi="Arial" w:cs="Arial"/>
            </w:rPr>
            <w:tab/>
          </w:r>
          <w:r>
            <w:rPr>
              <w:rFonts w:ascii="Arial" w:hAnsi="Arial" w:cs="Arial"/>
            </w:rPr>
            <w:fldChar w:fldCharType="begin"/>
          </w:r>
          <w:r>
            <w:rPr>
              <w:rFonts w:ascii="Arial" w:hAnsi="Arial" w:cs="Arial"/>
            </w:rPr>
            <w:instrText xml:space="preserve"> PAGEREF _Toc499306992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2B120D9C">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"_Toc499306993" </w:instrText>
          </w:r>
          <w:r>
            <w:fldChar w:fldCharType="separate"/>
          </w:r>
          <w:r>
            <w:rPr>
              <w:rStyle w:val="17"/>
              <w:rFonts w:ascii="Arial" w:hAnsi="Arial" w:eastAsia="Times New Roman" w:cs="Arial"/>
              <w:snapToGrid w:val="0"/>
              <w:w w:val="99"/>
            </w:rPr>
            <w:t>C.</w:t>
          </w:r>
          <w:r>
            <w:rPr>
              <w:rFonts w:ascii="Arial" w:hAnsi="Arial" w:cs="Arial" w:eastAsiaTheme="minorEastAsia"/>
              <w:b w:val="0"/>
              <w:bCs w:val="0"/>
              <w:kern w:val="2"/>
              <w:sz w:val="21"/>
            </w:rPr>
            <w:tab/>
          </w:r>
          <w:r>
            <w:rPr>
              <w:rStyle w:val="17"/>
              <w:rFonts w:ascii="Arial" w:hAnsi="Arial" w:cs="Arial"/>
              <w:snapToGrid w:val="0"/>
            </w:rPr>
            <w:t>持续审查中应考虑的关键主题</w:t>
          </w:r>
          <w:r>
            <w:rPr>
              <w:rFonts w:ascii="Arial" w:hAnsi="Arial" w:cs="Arial"/>
            </w:rPr>
            <w:tab/>
          </w:r>
          <w:r>
            <w:rPr>
              <w:rFonts w:ascii="Arial" w:hAnsi="Arial" w:cs="Arial"/>
            </w:rPr>
            <w:fldChar w:fldCharType="begin"/>
          </w:r>
          <w:r>
            <w:rPr>
              <w:rFonts w:ascii="Arial" w:hAnsi="Arial" w:cs="Arial"/>
            </w:rPr>
            <w:instrText xml:space="preserve"> PAGEREF _Toc499306993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65908F12">
          <w:pPr>
            <w:pStyle w:val="6"/>
            <w:tabs>
              <w:tab w:val="left" w:pos="1050"/>
              <w:tab w:val="right" w:leader="dot" w:pos="9016"/>
            </w:tabs>
            <w:rPr>
              <w:rFonts w:ascii="Arial" w:hAnsi="Arial" w:cs="Arial" w:eastAsiaTheme="minorEastAsia"/>
              <w:b w:val="0"/>
              <w:bCs w:val="0"/>
              <w:kern w:val="2"/>
              <w:sz w:val="21"/>
            </w:rPr>
          </w:pPr>
          <w:r>
            <w:fldChar w:fldCharType="begin"/>
          </w:r>
          <w:r>
            <w:instrText xml:space="preserve"> HYPERLINK \l "_Toc499306994" </w:instrText>
          </w:r>
          <w:r>
            <w:fldChar w:fldCharType="separate"/>
          </w:r>
          <w:r>
            <w:rPr>
              <w:rStyle w:val="17"/>
              <w:rFonts w:ascii="Arial" w:hAnsi="Arial" w:eastAsia="Times New Roman" w:cs="Arial"/>
              <w:snapToGrid w:val="0"/>
              <w:w w:val="99"/>
            </w:rPr>
            <w:t>1.</w:t>
          </w:r>
          <w:r>
            <w:rPr>
              <w:rFonts w:ascii="Arial" w:hAnsi="Arial" w:cs="Arial" w:eastAsiaTheme="minorEastAsia"/>
              <w:b w:val="0"/>
              <w:bCs w:val="0"/>
              <w:kern w:val="2"/>
              <w:sz w:val="21"/>
            </w:rPr>
            <w:tab/>
          </w:r>
          <w:r>
            <w:rPr>
              <w:rStyle w:val="17"/>
              <w:rFonts w:ascii="Arial" w:hAnsi="Arial" w:cs="Arial"/>
              <w:snapToGrid w:val="0"/>
            </w:rPr>
            <w:t>风险评估</w:t>
          </w:r>
          <w:r>
            <w:rPr>
              <w:rFonts w:ascii="Arial" w:hAnsi="Arial" w:cs="Arial"/>
            </w:rPr>
            <w:tab/>
          </w:r>
          <w:r>
            <w:rPr>
              <w:rFonts w:ascii="Arial" w:hAnsi="Arial" w:cs="Arial"/>
            </w:rPr>
            <w:fldChar w:fldCharType="begin"/>
          </w:r>
          <w:r>
            <w:rPr>
              <w:rFonts w:ascii="Arial" w:hAnsi="Arial" w:cs="Arial"/>
            </w:rPr>
            <w:instrText xml:space="preserve"> PAGEREF _Toc499306994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43BE4B28">
          <w:pPr>
            <w:pStyle w:val="6"/>
            <w:tabs>
              <w:tab w:val="left" w:pos="1050"/>
              <w:tab w:val="right" w:leader="dot" w:pos="9016"/>
            </w:tabs>
            <w:rPr>
              <w:rFonts w:ascii="Arial" w:hAnsi="Arial" w:cs="Arial" w:eastAsiaTheme="minorEastAsia"/>
              <w:b w:val="0"/>
              <w:bCs w:val="0"/>
              <w:kern w:val="2"/>
              <w:sz w:val="21"/>
            </w:rPr>
          </w:pPr>
          <w:r>
            <w:fldChar w:fldCharType="begin"/>
          </w:r>
          <w:r>
            <w:instrText xml:space="preserve"> HYPERLINK \l "_Toc499306995" </w:instrText>
          </w:r>
          <w:r>
            <w:fldChar w:fldCharType="separate"/>
          </w:r>
          <w:r>
            <w:rPr>
              <w:rStyle w:val="17"/>
              <w:rFonts w:ascii="Arial" w:hAnsi="Arial" w:eastAsia="Times New Roman" w:cs="Arial"/>
              <w:snapToGrid w:val="0"/>
              <w:w w:val="99"/>
            </w:rPr>
            <w:t>2.</w:t>
          </w:r>
          <w:r>
            <w:rPr>
              <w:rFonts w:ascii="Arial" w:hAnsi="Arial" w:cs="Arial" w:eastAsiaTheme="minorEastAsia"/>
              <w:b w:val="0"/>
              <w:bCs w:val="0"/>
              <w:kern w:val="2"/>
              <w:sz w:val="21"/>
            </w:rPr>
            <w:tab/>
          </w:r>
          <w:r>
            <w:rPr>
              <w:rStyle w:val="17"/>
              <w:rFonts w:ascii="Arial" w:hAnsi="Arial" w:cs="Arial"/>
              <w:snapToGrid w:val="0"/>
            </w:rPr>
            <w:t>知情同意的充分性</w:t>
          </w:r>
          <w:r>
            <w:rPr>
              <w:rFonts w:ascii="Arial" w:hAnsi="Arial" w:cs="Arial"/>
            </w:rPr>
            <w:tab/>
          </w:r>
          <w:r>
            <w:rPr>
              <w:rFonts w:ascii="Arial" w:hAnsi="Arial" w:cs="Arial"/>
            </w:rPr>
            <w:fldChar w:fldCharType="begin"/>
          </w:r>
          <w:r>
            <w:rPr>
              <w:rFonts w:ascii="Arial" w:hAnsi="Arial" w:cs="Arial"/>
            </w:rPr>
            <w:instrText xml:space="preserve"> PAGEREF _Toc499306995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10EED179">
          <w:pPr>
            <w:pStyle w:val="6"/>
            <w:tabs>
              <w:tab w:val="left" w:pos="1050"/>
              <w:tab w:val="right" w:leader="dot" w:pos="9016"/>
            </w:tabs>
            <w:rPr>
              <w:rFonts w:ascii="Arial" w:hAnsi="Arial" w:cs="Arial" w:eastAsiaTheme="minorEastAsia"/>
              <w:b w:val="0"/>
              <w:bCs w:val="0"/>
              <w:kern w:val="2"/>
              <w:sz w:val="21"/>
            </w:rPr>
          </w:pPr>
          <w:r>
            <w:fldChar w:fldCharType="begin"/>
          </w:r>
          <w:r>
            <w:instrText xml:space="preserve"> HYPERLINK \l "_Toc499306996" </w:instrText>
          </w:r>
          <w:r>
            <w:fldChar w:fldCharType="separate"/>
          </w:r>
          <w:r>
            <w:rPr>
              <w:rStyle w:val="17"/>
              <w:rFonts w:ascii="Arial" w:hAnsi="Arial" w:eastAsia="Times New Roman" w:cs="Arial"/>
              <w:snapToGrid w:val="0"/>
              <w:w w:val="99"/>
            </w:rPr>
            <w:t>3.</w:t>
          </w:r>
          <w:r>
            <w:rPr>
              <w:rFonts w:ascii="Arial" w:hAnsi="Arial" w:cs="Arial" w:eastAsiaTheme="minorEastAsia"/>
              <w:b w:val="0"/>
              <w:bCs w:val="0"/>
              <w:kern w:val="2"/>
              <w:sz w:val="21"/>
            </w:rPr>
            <w:tab/>
          </w:r>
          <w:r>
            <w:rPr>
              <w:rStyle w:val="17"/>
              <w:rFonts w:ascii="Arial" w:hAnsi="Arial" w:cs="Arial"/>
              <w:snapToGrid w:val="0"/>
            </w:rPr>
            <w:t>地方问题</w:t>
          </w:r>
          <w:r>
            <w:rPr>
              <w:rFonts w:ascii="Arial" w:hAnsi="Arial" w:cs="Arial"/>
            </w:rPr>
            <w:tab/>
          </w:r>
          <w:r>
            <w:rPr>
              <w:rFonts w:ascii="Arial" w:hAnsi="Arial" w:cs="Arial"/>
            </w:rPr>
            <w:fldChar w:fldCharType="begin"/>
          </w:r>
          <w:r>
            <w:rPr>
              <w:rFonts w:ascii="Arial" w:hAnsi="Arial" w:cs="Arial"/>
            </w:rPr>
            <w:instrText xml:space="preserve"> PAGEREF _Toc499306996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2E6A0EBB">
          <w:pPr>
            <w:pStyle w:val="6"/>
            <w:tabs>
              <w:tab w:val="left" w:pos="1050"/>
              <w:tab w:val="right" w:leader="dot" w:pos="9016"/>
            </w:tabs>
            <w:rPr>
              <w:rFonts w:ascii="Arial" w:hAnsi="Arial" w:cs="Arial" w:eastAsiaTheme="minorEastAsia"/>
              <w:b w:val="0"/>
              <w:bCs w:val="0"/>
              <w:kern w:val="2"/>
              <w:sz w:val="21"/>
            </w:rPr>
          </w:pPr>
          <w:r>
            <w:fldChar w:fldCharType="begin"/>
          </w:r>
          <w:r>
            <w:instrText xml:space="preserve"> HYPERLINK \l "_Toc499306997" </w:instrText>
          </w:r>
          <w:r>
            <w:fldChar w:fldCharType="separate"/>
          </w:r>
          <w:r>
            <w:rPr>
              <w:rStyle w:val="17"/>
              <w:rFonts w:ascii="Arial" w:hAnsi="Arial" w:eastAsia="Times New Roman" w:cs="Arial"/>
              <w:snapToGrid w:val="0"/>
              <w:w w:val="99"/>
            </w:rPr>
            <w:t>4.</w:t>
          </w:r>
          <w:r>
            <w:rPr>
              <w:rFonts w:ascii="Arial" w:hAnsi="Arial" w:cs="Arial" w:eastAsiaTheme="minorEastAsia"/>
              <w:b w:val="0"/>
              <w:bCs w:val="0"/>
              <w:kern w:val="2"/>
              <w:sz w:val="21"/>
            </w:rPr>
            <w:tab/>
          </w:r>
          <w:r>
            <w:rPr>
              <w:rStyle w:val="17"/>
              <w:rFonts w:ascii="Arial" w:hAnsi="Arial" w:cs="Arial"/>
              <w:snapToGrid w:val="0"/>
            </w:rPr>
            <w:t>试验进展</w:t>
          </w:r>
          <w:r>
            <w:rPr>
              <w:rFonts w:ascii="Arial" w:hAnsi="Arial" w:cs="Arial"/>
            </w:rPr>
            <w:tab/>
          </w:r>
          <w:r>
            <w:rPr>
              <w:rFonts w:ascii="Arial" w:hAnsi="Arial" w:cs="Arial"/>
            </w:rPr>
            <w:fldChar w:fldCharType="begin"/>
          </w:r>
          <w:r>
            <w:rPr>
              <w:rFonts w:ascii="Arial" w:hAnsi="Arial" w:cs="Arial"/>
            </w:rPr>
            <w:instrText xml:space="preserve"> PAGEREF _Toc499306997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16484594">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"_Toc499306998" </w:instrText>
          </w:r>
          <w:r>
            <w:fldChar w:fldCharType="separate"/>
          </w:r>
          <w:r>
            <w:rPr>
              <w:rStyle w:val="17"/>
              <w:rFonts w:ascii="Arial" w:hAnsi="Arial" w:eastAsia="Times New Roman" w:cs="Arial"/>
              <w:snapToGrid w:val="0"/>
              <w:w w:val="99"/>
            </w:rPr>
            <w:t>D.</w:t>
          </w:r>
          <w:r>
            <w:rPr>
              <w:rFonts w:ascii="Arial" w:hAnsi="Arial" w:cs="Arial" w:eastAsiaTheme="minorEastAsia"/>
              <w:b w:val="0"/>
              <w:bCs w:val="0"/>
              <w:kern w:val="2"/>
              <w:sz w:val="21"/>
            </w:rPr>
            <w:tab/>
          </w:r>
          <w:r>
            <w:rPr>
              <w:rStyle w:val="17"/>
              <w:rFonts w:ascii="Arial" w:hAnsi="Arial" w:cs="Arial"/>
              <w:snapToGrid w:val="0"/>
            </w:rPr>
            <w:t>快速审查程序何时可用于持续审查</w:t>
          </w:r>
          <w:r>
            <w:rPr>
              <w:rFonts w:ascii="Arial" w:hAnsi="Arial" w:cs="Arial"/>
            </w:rPr>
            <w:tab/>
          </w:r>
          <w:r>
            <w:rPr>
              <w:rFonts w:ascii="Arial" w:hAnsi="Arial" w:cs="Arial"/>
            </w:rPr>
            <w:fldChar w:fldCharType="begin"/>
          </w:r>
          <w:r>
            <w:rPr>
              <w:rFonts w:ascii="Arial" w:hAnsi="Arial" w:cs="Arial"/>
            </w:rPr>
            <w:instrText xml:space="preserve"> PAGEREF _Toc499306998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46426166">
          <w:pPr>
            <w:pStyle w:val="6"/>
            <w:tabs>
              <w:tab w:val="left" w:pos="1050"/>
              <w:tab w:val="right" w:leader="dot" w:pos="9016"/>
            </w:tabs>
            <w:rPr>
              <w:rFonts w:ascii="Arial" w:hAnsi="Arial" w:cs="Arial" w:eastAsiaTheme="minorEastAsia"/>
              <w:b w:val="0"/>
              <w:bCs w:val="0"/>
              <w:kern w:val="2"/>
              <w:sz w:val="21"/>
            </w:rPr>
          </w:pPr>
          <w:r>
            <w:fldChar w:fldCharType="begin"/>
          </w:r>
          <w:r>
            <w:instrText xml:space="preserve"> HYPERLINK \l "_Toc499306999" </w:instrText>
          </w:r>
          <w:r>
            <w:fldChar w:fldCharType="separate"/>
          </w:r>
          <w:r>
            <w:rPr>
              <w:rStyle w:val="17"/>
              <w:rFonts w:ascii="Arial" w:hAnsi="Arial" w:eastAsia="Times New Roman" w:cs="Arial"/>
              <w:snapToGrid w:val="0"/>
              <w:spacing w:val="-2"/>
            </w:rPr>
            <w:t>1.</w:t>
          </w:r>
          <w:r>
            <w:rPr>
              <w:rFonts w:ascii="Arial" w:hAnsi="Arial" w:cs="Arial" w:eastAsiaTheme="minorEastAsia"/>
              <w:b w:val="0"/>
              <w:bCs w:val="0"/>
              <w:kern w:val="2"/>
              <w:sz w:val="21"/>
            </w:rPr>
            <w:tab/>
          </w:r>
          <w:r>
            <w:rPr>
              <w:rStyle w:val="17"/>
              <w:rFonts w:ascii="Arial" w:hAnsi="Arial" w:cs="Arial"/>
              <w:snapToGrid w:val="0"/>
            </w:rPr>
            <w:t>快速审查类别（8）</w:t>
          </w:r>
          <w:r>
            <w:rPr>
              <w:rFonts w:ascii="Arial" w:hAnsi="Arial" w:cs="Arial"/>
            </w:rPr>
            <w:tab/>
          </w:r>
          <w:r>
            <w:rPr>
              <w:rFonts w:ascii="Arial" w:hAnsi="Arial" w:cs="Arial"/>
            </w:rPr>
            <w:fldChar w:fldCharType="begin"/>
          </w:r>
          <w:r>
            <w:rPr>
              <w:rFonts w:ascii="Arial" w:hAnsi="Arial" w:cs="Arial"/>
            </w:rPr>
            <w:instrText xml:space="preserve"> PAGEREF _Toc499306999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263A1D32">
          <w:pPr>
            <w:pStyle w:val="6"/>
            <w:tabs>
              <w:tab w:val="left" w:pos="1050"/>
              <w:tab w:val="right" w:leader="dot" w:pos="9016"/>
            </w:tabs>
            <w:rPr>
              <w:rFonts w:ascii="Arial" w:hAnsi="Arial" w:cs="Arial" w:eastAsiaTheme="minorEastAsia"/>
              <w:b w:val="0"/>
              <w:bCs w:val="0"/>
              <w:kern w:val="2"/>
              <w:sz w:val="21"/>
            </w:rPr>
          </w:pPr>
          <w:r>
            <w:fldChar w:fldCharType="begin"/>
          </w:r>
          <w:r>
            <w:instrText xml:space="preserve"> HYPERLINK \l "_Toc499307000" </w:instrText>
          </w:r>
          <w:r>
            <w:fldChar w:fldCharType="separate"/>
          </w:r>
          <w:r>
            <w:rPr>
              <w:rStyle w:val="17"/>
              <w:rFonts w:ascii="Arial" w:hAnsi="Arial" w:eastAsia="Times New Roman" w:cs="Arial"/>
              <w:snapToGrid w:val="0"/>
              <w:spacing w:val="-2"/>
            </w:rPr>
            <w:t>2.</w:t>
          </w:r>
          <w:r>
            <w:rPr>
              <w:rFonts w:ascii="Arial" w:hAnsi="Arial" w:cs="Arial" w:eastAsiaTheme="minorEastAsia"/>
              <w:b w:val="0"/>
              <w:bCs w:val="0"/>
              <w:kern w:val="2"/>
              <w:sz w:val="21"/>
            </w:rPr>
            <w:tab/>
          </w:r>
          <w:r>
            <w:rPr>
              <w:rStyle w:val="17"/>
              <w:rFonts w:ascii="Arial" w:hAnsi="Arial" w:cs="Arial"/>
              <w:snapToGrid w:val="0"/>
            </w:rPr>
            <w:t>快速审查类别（9）</w:t>
          </w:r>
          <w:r>
            <w:rPr>
              <w:rFonts w:ascii="Arial" w:hAnsi="Arial" w:cs="Arial"/>
            </w:rPr>
            <w:tab/>
          </w:r>
          <w:r>
            <w:rPr>
              <w:rFonts w:ascii="Arial" w:hAnsi="Arial" w:cs="Arial"/>
            </w:rPr>
            <w:fldChar w:fldCharType="begin"/>
          </w:r>
          <w:r>
            <w:rPr>
              <w:rFonts w:ascii="Arial" w:hAnsi="Arial" w:cs="Arial"/>
            </w:rPr>
            <w:instrText xml:space="preserve"> PAGEREF _Toc499307000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51B87272">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"_Toc499307001" </w:instrText>
          </w:r>
          <w:r>
            <w:fldChar w:fldCharType="separate"/>
          </w:r>
          <w:r>
            <w:rPr>
              <w:rStyle w:val="17"/>
              <w:rFonts w:ascii="Arial" w:hAnsi="Arial" w:eastAsia="Times New Roman" w:cs="Arial"/>
              <w:snapToGrid w:val="0"/>
              <w:w w:val="99"/>
            </w:rPr>
            <w:t>E.</w:t>
          </w:r>
          <w:r>
            <w:rPr>
              <w:rFonts w:ascii="Arial" w:hAnsi="Arial" w:cs="Arial" w:eastAsiaTheme="minorEastAsia"/>
              <w:b w:val="0"/>
              <w:bCs w:val="0"/>
              <w:kern w:val="2"/>
              <w:sz w:val="21"/>
            </w:rPr>
            <w:tab/>
          </w:r>
          <w:r>
            <w:rPr>
              <w:rStyle w:val="17"/>
              <w:rFonts w:ascii="Arial" w:hAnsi="Arial" w:cs="Arial"/>
              <w:snapToGrid w:val="0"/>
            </w:rPr>
            <w:t>持续审查的频率</w:t>
          </w:r>
          <w:r>
            <w:rPr>
              <w:rFonts w:ascii="Arial" w:hAnsi="Arial" w:cs="Arial"/>
            </w:rPr>
            <w:tab/>
          </w:r>
          <w:r>
            <w:rPr>
              <w:rFonts w:ascii="Arial" w:hAnsi="Arial" w:cs="Arial"/>
            </w:rPr>
            <w:fldChar w:fldCharType="begin"/>
          </w:r>
          <w:r>
            <w:rPr>
              <w:rFonts w:ascii="Arial" w:hAnsi="Arial" w:cs="Arial"/>
            </w:rPr>
            <w:instrText xml:space="preserve"> PAGEREF _Toc499307001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034FDD00">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"_Toc499307002" </w:instrText>
          </w:r>
          <w:r>
            <w:fldChar w:fldCharType="separate"/>
          </w:r>
          <w:r>
            <w:rPr>
              <w:rStyle w:val="17"/>
              <w:rFonts w:ascii="Arial" w:hAnsi="Arial" w:eastAsia="Times New Roman" w:cs="Arial"/>
              <w:snapToGrid w:val="0"/>
              <w:w w:val="99"/>
            </w:rPr>
            <w:t>F.</w:t>
          </w:r>
          <w:r>
            <w:rPr>
              <w:rFonts w:ascii="Arial" w:hAnsi="Arial" w:cs="Arial" w:eastAsiaTheme="minorEastAsia"/>
              <w:b w:val="0"/>
              <w:bCs w:val="0"/>
              <w:kern w:val="2"/>
              <w:sz w:val="21"/>
            </w:rPr>
            <w:tab/>
          </w:r>
          <w:r>
            <w:rPr>
              <w:rStyle w:val="17"/>
              <w:rFonts w:ascii="Arial" w:hAnsi="Arial" w:cs="Arial"/>
              <w:snapToGrid w:val="0"/>
            </w:rPr>
            <w:t>确定初始IRB批准生效日期和持续审查日期</w:t>
          </w:r>
          <w:r>
            <w:rPr>
              <w:rFonts w:ascii="Arial" w:hAnsi="Arial" w:cs="Arial"/>
            </w:rPr>
            <w:tab/>
          </w:r>
          <w:r>
            <w:rPr>
              <w:rFonts w:ascii="Arial" w:hAnsi="Arial" w:cs="Arial"/>
            </w:rPr>
            <w:fldChar w:fldCharType="begin"/>
          </w:r>
          <w:r>
            <w:rPr>
              <w:rFonts w:ascii="Arial" w:hAnsi="Arial" w:cs="Arial"/>
            </w:rPr>
            <w:instrText xml:space="preserve"> PAGEREF _Toc499307002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307BBEB1">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"_Toc499307003" </w:instrText>
          </w:r>
          <w:r>
            <w:fldChar w:fldCharType="separate"/>
          </w:r>
          <w:r>
            <w:rPr>
              <w:rStyle w:val="17"/>
              <w:rFonts w:ascii="Arial" w:hAnsi="Arial" w:eastAsia="Times New Roman" w:cs="Arial"/>
              <w:snapToGrid w:val="0"/>
              <w:w w:val="99"/>
            </w:rPr>
            <w:t>G.</w:t>
          </w:r>
          <w:r>
            <w:rPr>
              <w:rFonts w:ascii="Arial" w:hAnsi="Arial" w:cs="Arial" w:eastAsiaTheme="minorEastAsia"/>
              <w:b w:val="0"/>
              <w:bCs w:val="0"/>
              <w:kern w:val="2"/>
              <w:sz w:val="21"/>
            </w:rPr>
            <w:tab/>
          </w:r>
          <w:r>
            <w:rPr>
              <w:rStyle w:val="17"/>
              <w:rFonts w:ascii="Arial" w:hAnsi="Arial" w:cs="Arial"/>
              <w:snapToGrid w:val="0"/>
            </w:rPr>
            <w:t>传达IRB的持续审查决定</w:t>
          </w:r>
          <w:r>
            <w:rPr>
              <w:rFonts w:ascii="Arial" w:hAnsi="Arial" w:cs="Arial"/>
            </w:rPr>
            <w:tab/>
          </w:r>
          <w:r>
            <w:rPr>
              <w:rFonts w:ascii="Arial" w:hAnsi="Arial" w:cs="Arial"/>
            </w:rPr>
            <w:fldChar w:fldCharType="begin"/>
          </w:r>
          <w:r>
            <w:rPr>
              <w:rFonts w:ascii="Arial" w:hAnsi="Arial" w:cs="Arial"/>
            </w:rPr>
            <w:instrText xml:space="preserve"> PAGEREF _Toc499307003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4E5ADC16">
          <w:pPr>
            <w:pStyle w:val="13"/>
            <w:tabs>
              <w:tab w:val="left" w:pos="820"/>
              <w:tab w:val="right" w:leader="dot" w:pos="9016"/>
            </w:tabs>
            <w:rPr>
              <w:rFonts w:ascii="Arial" w:hAnsi="Arial" w:cs="Arial" w:eastAsiaTheme="minorEastAsia"/>
              <w:b w:val="0"/>
              <w:bCs w:val="0"/>
              <w:kern w:val="2"/>
              <w:sz w:val="21"/>
            </w:rPr>
          </w:pPr>
          <w:r>
            <w:fldChar w:fldCharType="begin"/>
          </w:r>
          <w:r>
            <w:instrText xml:space="preserve"> HYPERLINK \l "_Toc499307004" </w:instrText>
          </w:r>
          <w:r>
            <w:fldChar w:fldCharType="separate"/>
          </w:r>
          <w:r>
            <w:rPr>
              <w:rStyle w:val="17"/>
              <w:rFonts w:ascii="Arial" w:hAnsi="Arial" w:eastAsia="Times New Roman" w:cs="Arial"/>
              <w:snapToGrid w:val="0"/>
              <w:w w:val="99"/>
            </w:rPr>
            <w:t>H.</w:t>
          </w:r>
          <w:r>
            <w:rPr>
              <w:rFonts w:ascii="Arial" w:hAnsi="Arial" w:cs="Arial" w:eastAsiaTheme="minorEastAsia"/>
              <w:b w:val="0"/>
              <w:bCs w:val="0"/>
              <w:kern w:val="2"/>
              <w:sz w:val="21"/>
            </w:rPr>
            <w:tab/>
          </w:r>
          <w:r>
            <w:rPr>
              <w:rStyle w:val="17"/>
              <w:rFonts w:ascii="Arial" w:hAnsi="Arial" w:cs="Arial"/>
              <w:snapToGrid w:val="0"/>
            </w:rPr>
            <w:t>IRB研究批准的失效、暂停或终止</w:t>
          </w:r>
          <w:r>
            <w:rPr>
              <w:rFonts w:ascii="Arial" w:hAnsi="Arial" w:cs="Arial"/>
            </w:rPr>
            <w:tab/>
          </w:r>
          <w:r>
            <w:rPr>
              <w:rFonts w:ascii="Arial" w:hAnsi="Arial" w:cs="Arial"/>
            </w:rPr>
            <w:fldChar w:fldCharType="begin"/>
          </w:r>
          <w:r>
            <w:rPr>
              <w:rFonts w:ascii="Arial" w:hAnsi="Arial" w:cs="Arial"/>
            </w:rPr>
            <w:instrText xml:space="preserve"> PAGEREF _Toc499307004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1D8CF89D">
          <w:pPr>
            <w:pStyle w:val="6"/>
            <w:tabs>
              <w:tab w:val="left" w:pos="1050"/>
              <w:tab w:val="right" w:leader="dot" w:pos="9016"/>
            </w:tabs>
            <w:rPr>
              <w:rFonts w:ascii="Arial" w:hAnsi="Arial" w:cs="Arial" w:eastAsiaTheme="minorEastAsia"/>
              <w:b w:val="0"/>
              <w:bCs w:val="0"/>
              <w:kern w:val="2"/>
              <w:sz w:val="21"/>
            </w:rPr>
          </w:pPr>
          <w:r>
            <w:fldChar w:fldCharType="begin"/>
          </w:r>
          <w:r>
            <w:instrText xml:space="preserve"> HYPERLINK \l "_Toc499307005" </w:instrText>
          </w:r>
          <w:r>
            <w:fldChar w:fldCharType="separate"/>
          </w:r>
          <w:r>
            <w:rPr>
              <w:rStyle w:val="17"/>
              <w:rFonts w:ascii="Arial" w:hAnsi="Arial" w:eastAsia="Times New Roman" w:cs="Arial"/>
              <w:snapToGrid w:val="0"/>
            </w:rPr>
            <w:t>1.</w:t>
          </w:r>
          <w:r>
            <w:rPr>
              <w:rFonts w:ascii="Arial" w:hAnsi="Arial" w:cs="Arial" w:eastAsiaTheme="minorEastAsia"/>
              <w:b w:val="0"/>
              <w:bCs w:val="0"/>
              <w:kern w:val="2"/>
              <w:sz w:val="21"/>
            </w:rPr>
            <w:tab/>
          </w:r>
          <w:r>
            <w:rPr>
              <w:rStyle w:val="17"/>
              <w:rFonts w:ascii="Arial" w:hAnsi="Arial" w:cs="Arial"/>
              <w:snapToGrid w:val="0"/>
            </w:rPr>
            <w:t>IRB批准的失效</w:t>
          </w:r>
          <w:r>
            <w:rPr>
              <w:rFonts w:ascii="Arial" w:hAnsi="Arial" w:cs="Arial"/>
            </w:rPr>
            <w:tab/>
          </w:r>
          <w:r>
            <w:rPr>
              <w:rFonts w:ascii="Arial" w:hAnsi="Arial" w:cs="Arial"/>
            </w:rPr>
            <w:fldChar w:fldCharType="begin"/>
          </w:r>
          <w:r>
            <w:rPr>
              <w:rFonts w:ascii="Arial" w:hAnsi="Arial" w:cs="Arial"/>
            </w:rPr>
            <w:instrText xml:space="preserve"> PAGEREF _Toc499307005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300BC855">
          <w:pPr>
            <w:pStyle w:val="6"/>
            <w:tabs>
              <w:tab w:val="left" w:pos="1050"/>
              <w:tab w:val="right" w:leader="dot" w:pos="9016"/>
            </w:tabs>
            <w:rPr>
              <w:rFonts w:ascii="Arial" w:hAnsi="Arial" w:cs="Arial" w:eastAsiaTheme="minorEastAsia"/>
              <w:b w:val="0"/>
              <w:bCs w:val="0"/>
              <w:kern w:val="2"/>
              <w:sz w:val="21"/>
            </w:rPr>
          </w:pPr>
          <w:r>
            <w:fldChar w:fldCharType="begin"/>
          </w:r>
          <w:r>
            <w:instrText xml:space="preserve"> HYPERLINK \l "_Toc499307006" </w:instrText>
          </w:r>
          <w:r>
            <w:fldChar w:fldCharType="separate"/>
          </w:r>
          <w:r>
            <w:rPr>
              <w:rStyle w:val="17"/>
              <w:rFonts w:ascii="Arial" w:hAnsi="Arial" w:eastAsia="Times New Roman" w:cs="Arial"/>
              <w:snapToGrid w:val="0"/>
            </w:rPr>
            <w:t>2.</w:t>
          </w:r>
          <w:r>
            <w:rPr>
              <w:rFonts w:ascii="Arial" w:hAnsi="Arial" w:cs="Arial" w:eastAsiaTheme="minorEastAsia"/>
              <w:b w:val="0"/>
              <w:bCs w:val="0"/>
              <w:kern w:val="2"/>
              <w:sz w:val="21"/>
            </w:rPr>
            <w:tab/>
          </w:r>
          <w:r>
            <w:rPr>
              <w:rStyle w:val="17"/>
              <w:rFonts w:ascii="Arial" w:hAnsi="Arial" w:cs="Arial"/>
              <w:snapToGrid w:val="0"/>
            </w:rPr>
            <w:t>IRB批准的暂停或终止</w:t>
          </w:r>
          <w:r>
            <w:rPr>
              <w:rFonts w:ascii="Arial" w:hAnsi="Arial" w:cs="Arial"/>
            </w:rPr>
            <w:tab/>
          </w:r>
          <w:r>
            <w:rPr>
              <w:rFonts w:ascii="Arial" w:hAnsi="Arial" w:cs="Arial"/>
            </w:rPr>
            <w:fldChar w:fldCharType="begin"/>
          </w:r>
          <w:r>
            <w:rPr>
              <w:rFonts w:ascii="Arial" w:hAnsi="Arial" w:cs="Arial"/>
            </w:rPr>
            <w:instrText xml:space="preserve"> PAGEREF _Toc499307006 \h </w:instrText>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rPr>
            <w:fldChar w:fldCharType="end"/>
          </w:r>
        </w:p>
        <w:p w14:paraId="0EB83C1B">
          <w:pPr>
            <w:pStyle w:val="13"/>
            <w:tabs>
              <w:tab w:val="right" w:leader="dot" w:pos="9016"/>
            </w:tabs>
            <w:rPr>
              <w:rFonts w:ascii="Arial" w:hAnsi="Arial" w:cs="Arial" w:eastAsiaTheme="minorEastAsia"/>
              <w:b w:val="0"/>
              <w:bCs w:val="0"/>
              <w:kern w:val="2"/>
              <w:sz w:val="21"/>
            </w:rPr>
          </w:pPr>
          <w:r>
            <w:fldChar w:fldCharType="begin"/>
          </w:r>
          <w:r>
            <w:instrText xml:space="preserve"> HYPERLINK \l "_Toc499307007" </w:instrText>
          </w:r>
          <w:r>
            <w:fldChar w:fldCharType="separate"/>
          </w:r>
          <w:r>
            <w:rPr>
              <w:rStyle w:val="17"/>
              <w:rFonts w:ascii="Arial" w:hAnsi="Arial" w:cs="Arial"/>
              <w:snapToGrid w:val="0"/>
            </w:rPr>
            <w:t>附录 可由机构审查委员会（IRB）通过快速审查程序进行审查的研究类别</w:t>
          </w:r>
          <w:r>
            <w:rPr>
              <w:rStyle w:val="17"/>
              <w:rFonts w:ascii="Arial" w:hAnsi="Arial" w:cs="Arial"/>
              <w:snapToGrid w:val="0"/>
              <w:vertAlign w:val="superscript"/>
            </w:rPr>
            <w:t>\1</w:t>
          </w:r>
          <w:r>
            <w:rPr>
              <w:rFonts w:ascii="Arial" w:hAnsi="Arial" w:cs="Arial"/>
            </w:rPr>
            <w:tab/>
          </w:r>
          <w:r>
            <w:rPr>
              <w:rFonts w:ascii="Arial" w:hAnsi="Arial" w:cs="Arial"/>
            </w:rPr>
            <w:fldChar w:fldCharType="begin"/>
          </w:r>
          <w:r>
            <w:rPr>
              <w:rFonts w:ascii="Arial" w:hAnsi="Arial" w:cs="Arial"/>
            </w:rPr>
            <w:instrText xml:space="preserve"> PAGEREF _Toc499307007 \h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fldChar w:fldCharType="end"/>
          </w:r>
        </w:p>
        <w:p w14:paraId="1F595FA7">
          <w:pPr>
            <w:topLinePunct/>
            <w:adjustRightInd w:val="0"/>
            <w:snapToGrid w:val="0"/>
            <w:spacing w:line="288" w:lineRule="auto"/>
            <w:jc w:val="both"/>
            <w:rPr>
              <w:rFonts w:ascii="Arial" w:hAnsi="Arial" w:eastAsia="宋体" w:cs="Arial"/>
              <w:snapToGrid w:val="0"/>
              <w:sz w:val="24"/>
            </w:rPr>
          </w:pPr>
          <w:r>
            <w:rPr>
              <w:rFonts w:ascii="Arial" w:hAnsi="Arial" w:eastAsia="宋体" w:cs="Arial"/>
              <w:b/>
              <w:bCs/>
              <w:snapToGrid w:val="0"/>
              <w:sz w:val="24"/>
              <w:lang w:val="zh-CN"/>
            </w:rPr>
            <w:fldChar w:fldCharType="end"/>
          </w:r>
        </w:p>
      </w:sdtContent>
    </w:sdt>
    <w:p w14:paraId="49763D6C">
      <w:pPr>
        <w:pStyle w:val="21"/>
        <w:topLinePunct/>
        <w:adjustRightInd w:val="0"/>
        <w:snapToGrid w:val="0"/>
        <w:spacing w:line="288" w:lineRule="auto"/>
        <w:jc w:val="both"/>
        <w:rPr>
          <w:rFonts w:ascii="Arial" w:hAnsi="Arial" w:eastAsia="宋体" w:cs="Arial"/>
          <w:snapToGrid w:val="0"/>
          <w:sz w:val="24"/>
        </w:rPr>
        <w:sectPr>
          <w:headerReference r:id="rId5" w:type="default"/>
          <w:footerReference r:id="rId6" w:type="default"/>
          <w:pgSz w:w="11906" w:h="16838"/>
          <w:pgMar w:top="1134" w:right="1440" w:bottom="1134" w:left="1440" w:header="720" w:footer="720" w:gutter="0"/>
          <w:pgNumType w:fmt="lowerRoman" w:start="1"/>
          <w:cols w:space="720" w:num="1"/>
          <w:docGrid w:type="lines" w:linePitch="299" w:charSpace="0"/>
        </w:sectPr>
      </w:pPr>
    </w:p>
    <w:p w14:paraId="7EC045DA">
      <w:pPr>
        <w:pStyle w:val="21"/>
        <w:topLinePunct/>
        <w:adjustRightInd w:val="0"/>
        <w:snapToGrid w:val="0"/>
        <w:spacing w:line="288" w:lineRule="auto"/>
        <w:jc w:val="center"/>
        <w:rPr>
          <w:rFonts w:ascii="Arial" w:hAnsi="Arial" w:eastAsia="宋体" w:cs="Arial"/>
          <w:b/>
          <w:bCs/>
          <w:snapToGrid w:val="0"/>
          <w:sz w:val="32"/>
          <w:szCs w:val="21"/>
        </w:rPr>
      </w:pPr>
      <w:r>
        <w:rPr>
          <w:rFonts w:hint="eastAsia" w:ascii="Arial" w:hAnsi="Arial" w:eastAsia="宋体" w:cs="Arial"/>
          <w:b/>
          <w:snapToGrid w:val="0"/>
          <w:sz w:val="32"/>
        </w:rPr>
        <w:t>机构审查委员会、临床研究者及申办者指南</w:t>
      </w:r>
      <w:r>
        <w:rPr>
          <w:rStyle w:val="18"/>
          <w:rFonts w:ascii="Arial" w:hAnsi="Arial" w:eastAsia="宋体" w:cs="Arial"/>
          <w:b/>
          <w:snapToGrid w:val="0"/>
          <w:sz w:val="32"/>
        </w:rPr>
        <w:footnoteReference w:id="0"/>
      </w:r>
    </w:p>
    <w:p w14:paraId="019E2A88">
      <w:pPr>
        <w:topLinePunct/>
        <w:adjustRightInd w:val="0"/>
        <w:snapToGrid w:val="0"/>
        <w:spacing w:after="224" w:afterLines="75" w:line="288" w:lineRule="auto"/>
        <w:jc w:val="center"/>
        <w:rPr>
          <w:rFonts w:ascii="Arial" w:hAnsi="Arial" w:eastAsia="宋体" w:cs="Arial"/>
          <w:snapToGrid w:val="0"/>
          <w:sz w:val="32"/>
          <w:szCs w:val="32"/>
        </w:rPr>
      </w:pPr>
      <w:r>
        <w:rPr>
          <w:rFonts w:hint="eastAsia" w:ascii="Arial" w:hAnsi="Arial" w:eastAsia="宋体" w:cs="Arial"/>
          <w:b/>
          <w:snapToGrid w:val="0"/>
          <w:sz w:val="32"/>
        </w:rPr>
        <w:t>IRB在批准临床研究后的持续审查</w:t>
      </w:r>
    </w:p>
    <w:p w14:paraId="552CD3D0">
      <w:pPr>
        <w:topLinePunct/>
        <w:adjustRightInd w:val="0"/>
        <w:snapToGrid w:val="0"/>
        <w:spacing w:after="224" w:afterLines="75" w:line="288" w:lineRule="auto"/>
        <w:jc w:val="both"/>
        <w:rPr>
          <w:rFonts w:ascii="Arial" w:hAnsi="Arial" w:eastAsia="宋体" w:cs="Arial"/>
          <w:snapToGrid w:val="0"/>
          <w:sz w:val="24"/>
          <w:szCs w:val="20"/>
        </w:rPr>
      </w:pPr>
    </w:p>
    <w:p w14:paraId="72C981E6">
      <w:pPr>
        <w:pBdr>
          <w:top w:val="thinThickSmallGap" w:color="auto" w:sz="24" w:space="1"/>
          <w:left w:val="thinThickSmallGap" w:color="auto" w:sz="24" w:space="4"/>
          <w:bottom w:val="thickThinSmallGap" w:color="auto" w:sz="24" w:space="1"/>
          <w:right w:val="thickThinSmallGap" w:color="auto" w:sz="24" w:space="4"/>
        </w:pBdr>
        <w:topLinePunct/>
        <w:adjustRightInd w:val="0"/>
        <w:snapToGrid w:val="0"/>
        <w:spacing w:before="149" w:beforeLines="50" w:line="300" w:lineRule="auto"/>
        <w:jc w:val="both"/>
        <w:rPr>
          <w:rFonts w:ascii="Arial" w:hAnsi="Arial" w:eastAsia="宋体" w:cs="Arial"/>
          <w:snapToGrid w:val="0"/>
          <w:sz w:val="24"/>
          <w:szCs w:val="20"/>
        </w:rPr>
      </w:pPr>
      <w:r>
        <w:rPr>
          <w:rFonts w:hint="eastAsia" w:ascii="Arial" w:hAnsi="Arial" w:eastAsia="宋体" w:cs="Arial"/>
          <w:snapToGrid w:val="0"/>
          <w:sz w:val="24"/>
          <w:szCs w:val="20"/>
        </w:rPr>
        <w:t>本指南代表食品药品监督管理局（FDA）目前关于该主题的思考。其不会为任何人创造或赋予任何权利，也不对FDA或公众具有约束力。如果替代方法满足适用法律、法规的要求，可以使用替代方法。如果您希望讨论一种替代方法，请联系负责实施本指南的FDA工作人员。如果您无法确定适当的FDA工作人员，请拨打本指南标题页上列出的合适的电话号码。</w:t>
      </w:r>
    </w:p>
    <w:p w14:paraId="13FA0AF7">
      <w:pPr>
        <w:topLinePunct/>
        <w:adjustRightInd w:val="0"/>
        <w:snapToGrid w:val="0"/>
        <w:spacing w:after="224" w:afterLines="75" w:line="288" w:lineRule="auto"/>
        <w:jc w:val="both"/>
        <w:rPr>
          <w:rFonts w:ascii="Arial" w:hAnsi="Arial" w:eastAsia="宋体" w:cs="Arial"/>
          <w:snapToGrid w:val="0"/>
          <w:sz w:val="24"/>
          <w:szCs w:val="20"/>
        </w:rPr>
      </w:pPr>
    </w:p>
    <w:p w14:paraId="21C1A6CC">
      <w:pPr>
        <w:pStyle w:val="3"/>
        <w:numPr>
          <w:ilvl w:val="0"/>
          <w:numId w:val="1"/>
        </w:numPr>
        <w:tabs>
          <w:tab w:val="left" w:pos="999"/>
          <w:tab w:val="left" w:pos="1000"/>
        </w:tabs>
        <w:topLinePunct/>
        <w:adjustRightInd w:val="0"/>
        <w:snapToGrid w:val="0"/>
        <w:spacing w:after="224" w:afterLines="75" w:line="288" w:lineRule="auto"/>
        <w:ind w:left="0" w:firstLine="0"/>
        <w:jc w:val="both"/>
        <w:rPr>
          <w:rFonts w:ascii="Arial" w:hAnsi="Arial" w:cs="Arial"/>
          <w:b w:val="0"/>
          <w:bCs w:val="0"/>
          <w:snapToGrid w:val="0"/>
          <w:sz w:val="28"/>
        </w:rPr>
      </w:pPr>
      <w:bookmarkStart w:id="0" w:name="I._INTRODUCTION_"/>
      <w:bookmarkEnd w:id="0"/>
      <w:bookmarkStart w:id="1" w:name="_Toc499306988"/>
      <w:r>
        <w:rPr>
          <w:rFonts w:hint="eastAsia" w:ascii="Arial" w:hAnsi="Arial" w:cs="Arial"/>
          <w:snapToGrid w:val="0"/>
          <w:sz w:val="28"/>
        </w:rPr>
        <w:t>引言</w:t>
      </w:r>
      <w:bookmarkEnd w:id="1"/>
    </w:p>
    <w:p w14:paraId="1129C306">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本指南旨在提供有关持续审查的标准、过程和频率的建议，协助机构审查委员会（IRB）履行21 CFR 56.108（a）和56.109（f）规定的持续审查责任，其中，进行持续审查的目的是确保参与临床研究的受试者的权利和福利。本指南还将帮助临床研究者和申办方进一步了解其与持续审查相关的责任。本文档将取代信息表</w:t>
      </w:r>
      <w:r>
        <w:rPr>
          <w:rFonts w:hint="eastAsia" w:ascii="宋体" w:hAnsi="宋体" w:cs="Arial"/>
          <w:snapToGrid w:val="0"/>
        </w:rPr>
        <w:t>“</w:t>
      </w:r>
      <w:r>
        <w:rPr>
          <w:rFonts w:hint="eastAsia" w:ascii="Arial" w:hAnsi="Arial" w:cs="Arial"/>
          <w:snapToGrid w:val="0"/>
        </w:rPr>
        <w:t>批准研究后进行持续审查</w:t>
      </w:r>
      <w:r>
        <w:rPr>
          <w:rFonts w:hint="eastAsia" w:ascii="宋体" w:hAnsi="宋体" w:cs="Arial"/>
          <w:snapToGrid w:val="0"/>
        </w:rPr>
        <w:t>”</w:t>
      </w:r>
      <w:r>
        <w:rPr>
          <w:rFonts w:hint="eastAsia" w:ascii="Arial" w:hAnsi="Arial" w:cs="Arial"/>
          <w:snapToGrid w:val="0"/>
        </w:rPr>
        <w:t>（1998年9月，FDA，卫生事务办公室）。为加强受试者保护，减少监管负担，卫生和人类服务署（HHS），人类研究保护办公室（OHRP）和FDA一直在积极努力协调各机构的监管要求和受试者研究指南。本指导性文件正是此类工作的成果之一。</w:t>
      </w:r>
      <w:r>
        <w:rPr>
          <w:rStyle w:val="18"/>
          <w:rFonts w:ascii="Arial" w:hAnsi="Arial" w:cs="Arial"/>
          <w:snapToGrid w:val="0"/>
        </w:rPr>
        <w:footnoteReference w:id="1"/>
      </w:r>
    </w:p>
    <w:p w14:paraId="4A4D3A7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FDA指导性文件，包括本指南在内，不构成具有法律强制力的责任。相反，指南表明了本机构目前关于某一主题的思考，除非引用具体的法规或法律要求，否则只应视为建议。在本审查机构指南中使用词语</w:t>
      </w:r>
      <w:r>
        <w:rPr>
          <w:rFonts w:hint="eastAsia" w:ascii="宋体" w:hAnsi="宋体" w:cs="Arial"/>
          <w:snapToGrid w:val="0"/>
        </w:rPr>
        <w:t>“</w:t>
      </w:r>
      <w:r>
        <w:rPr>
          <w:rFonts w:hint="eastAsia" w:ascii="Arial" w:hAnsi="Arial" w:cs="Arial"/>
          <w:snapToGrid w:val="0"/>
        </w:rPr>
        <w:t>应</w:t>
      </w:r>
      <w:r>
        <w:rPr>
          <w:rFonts w:hint="eastAsia" w:ascii="宋体" w:hAnsi="宋体" w:cs="Arial"/>
          <w:snapToGrid w:val="0"/>
        </w:rPr>
        <w:t>”</w:t>
      </w:r>
      <w:r>
        <w:rPr>
          <w:rFonts w:hint="eastAsia" w:ascii="Arial" w:hAnsi="Arial" w:cs="Arial"/>
          <w:snapToGrid w:val="0"/>
        </w:rPr>
        <w:t>是指建议或推荐进行某一事项，并非强制要求。</w:t>
      </w:r>
    </w:p>
    <w:p w14:paraId="5CFE576C">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2FC8B39E">
      <w:pPr>
        <w:pStyle w:val="3"/>
        <w:numPr>
          <w:ilvl w:val="0"/>
          <w:numId w:val="1"/>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2" w:name="II._BACKGROUND"/>
      <w:bookmarkEnd w:id="2"/>
      <w:bookmarkStart w:id="3" w:name="_Toc499306989"/>
      <w:r>
        <w:rPr>
          <w:rFonts w:hint="eastAsia" w:ascii="Arial" w:hAnsi="Arial" w:cs="Arial"/>
          <w:snapToGrid w:val="0"/>
          <w:sz w:val="28"/>
        </w:rPr>
        <w:t>背景</w:t>
      </w:r>
      <w:bookmarkEnd w:id="3"/>
    </w:p>
    <w:p w14:paraId="541E7259">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的IRB法规于1981年首次发布，当时，临床试验一般采用单个研究者——单中心研究形式，且主要由了解研究所有方面的研究者负责向IRB进行报告。自此，多中心研究逐渐流行起来。虽然单个研究者会通知IRB在该研究者中心发生的事件，但研究者和IRB通常无法获得可反映所有研究中心事件的充分数据。因此，IRB在对此类研究进行审查和监督时，会面临许多挑战。鉴于进行临床研究的方式已发生变更，本指南将提供具体建议，协助IRB进行持续审查。</w:t>
      </w:r>
    </w:p>
    <w:p w14:paraId="656D332D">
      <w:pPr>
        <w:pStyle w:val="3"/>
        <w:numPr>
          <w:ilvl w:val="0"/>
          <w:numId w:val="1"/>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4" w:name="_III._DISCUSSION"/>
      <w:bookmarkEnd w:id="4"/>
      <w:bookmarkStart w:id="5" w:name="_Toc499306990"/>
      <w:r>
        <w:rPr>
          <w:rFonts w:hint="eastAsia" w:ascii="Arial" w:hAnsi="Arial" w:cs="Arial"/>
          <w:snapToGrid w:val="0"/>
          <w:sz w:val="28"/>
        </w:rPr>
        <w:t>讨论</w:t>
      </w:r>
      <w:bookmarkEnd w:id="5"/>
    </w:p>
    <w:p w14:paraId="74393F0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关于持续审查，FDA法规要求IRB制定和遵循以下书面程序：</w:t>
      </w:r>
    </w:p>
    <w:p w14:paraId="4287BADA">
      <w:pPr>
        <w:pStyle w:val="20"/>
        <w:numPr>
          <w:ilvl w:val="0"/>
          <w:numId w:val="2"/>
        </w:numPr>
        <w:topLinePunct/>
        <w:adjustRightInd w:val="0"/>
        <w:snapToGrid w:val="0"/>
        <w:spacing w:after="224" w:afterLines="75" w:line="288" w:lineRule="auto"/>
        <w:ind w:left="1132" w:leftChars="326" w:hanging="415"/>
        <w:jc w:val="both"/>
        <w:rPr>
          <w:rFonts w:ascii="Arial" w:hAnsi="Arial" w:eastAsia="宋体" w:cs="Arial"/>
          <w:snapToGrid w:val="0"/>
          <w:sz w:val="24"/>
          <w:szCs w:val="24"/>
        </w:rPr>
      </w:pPr>
      <w:r>
        <w:rPr>
          <w:rFonts w:hint="eastAsia" w:ascii="Arial" w:hAnsi="Arial" w:eastAsia="宋体" w:cs="Arial"/>
          <w:snapToGrid w:val="0"/>
          <w:sz w:val="24"/>
          <w:szCs w:val="24"/>
        </w:rPr>
        <w:t>根据风险程度，以适当间隔对研究进行持续审查，但每年不得少于一次（21 CFR 56.108（a）（1）和56.109（f））；</w:t>
      </w:r>
    </w:p>
    <w:p w14:paraId="114613AE">
      <w:pPr>
        <w:pStyle w:val="20"/>
        <w:numPr>
          <w:ilvl w:val="0"/>
          <w:numId w:val="2"/>
        </w:numPr>
        <w:topLinePunct/>
        <w:adjustRightInd w:val="0"/>
        <w:snapToGrid w:val="0"/>
        <w:spacing w:after="224" w:afterLines="75" w:line="288" w:lineRule="auto"/>
        <w:ind w:left="1132" w:leftChars="326" w:hanging="415"/>
        <w:jc w:val="both"/>
        <w:rPr>
          <w:rFonts w:ascii="Arial" w:hAnsi="Arial" w:eastAsia="宋体" w:cs="Arial"/>
          <w:snapToGrid w:val="0"/>
          <w:sz w:val="24"/>
          <w:szCs w:val="24"/>
        </w:rPr>
      </w:pPr>
      <w:r>
        <w:rPr>
          <w:rFonts w:hint="eastAsia" w:ascii="Arial" w:hAnsi="Arial" w:eastAsia="宋体" w:cs="Arial"/>
          <w:snapToGrid w:val="0"/>
          <w:sz w:val="24"/>
          <w:szCs w:val="24"/>
        </w:rPr>
        <w:t>确定需要每年审查多次的临床研究（21 CFR 56.108（a）（2））；</w:t>
      </w:r>
    </w:p>
    <w:p w14:paraId="2A781E84">
      <w:pPr>
        <w:pStyle w:val="20"/>
        <w:numPr>
          <w:ilvl w:val="0"/>
          <w:numId w:val="2"/>
        </w:numPr>
        <w:topLinePunct/>
        <w:adjustRightInd w:val="0"/>
        <w:snapToGrid w:val="0"/>
        <w:spacing w:after="224" w:afterLines="75" w:line="288" w:lineRule="auto"/>
        <w:ind w:left="1132" w:leftChars="326" w:hanging="415"/>
        <w:jc w:val="both"/>
        <w:rPr>
          <w:rFonts w:ascii="Arial" w:hAnsi="Arial" w:eastAsia="宋体" w:cs="Arial"/>
          <w:snapToGrid w:val="0"/>
          <w:sz w:val="24"/>
          <w:szCs w:val="24"/>
        </w:rPr>
      </w:pPr>
      <w:r>
        <w:rPr>
          <w:rFonts w:hint="eastAsia" w:ascii="Arial" w:hAnsi="Arial" w:eastAsia="宋体" w:cs="Arial"/>
          <w:snapToGrid w:val="0"/>
          <w:sz w:val="24"/>
          <w:szCs w:val="24"/>
        </w:rPr>
        <w:t>确定需要从临床研究者以外的其他来源获得验证，即确认自上一次IRB审查以来，研究未发生重大变更的临床研究（21 CFR 56.108（a）（2））；以及</w:t>
      </w:r>
    </w:p>
    <w:p w14:paraId="2ACDEF53">
      <w:pPr>
        <w:pStyle w:val="20"/>
        <w:numPr>
          <w:ilvl w:val="0"/>
          <w:numId w:val="2"/>
        </w:numPr>
        <w:topLinePunct/>
        <w:adjustRightInd w:val="0"/>
        <w:snapToGrid w:val="0"/>
        <w:spacing w:after="224" w:afterLines="75" w:line="288" w:lineRule="auto"/>
        <w:ind w:left="1132" w:leftChars="326" w:hanging="415"/>
        <w:jc w:val="both"/>
        <w:rPr>
          <w:rFonts w:ascii="Arial" w:hAnsi="Arial" w:eastAsia="宋体" w:cs="Arial"/>
          <w:snapToGrid w:val="0"/>
          <w:sz w:val="24"/>
          <w:szCs w:val="24"/>
        </w:rPr>
      </w:pPr>
      <w:r>
        <w:rPr>
          <w:rFonts w:hint="eastAsia" w:ascii="Arial" w:hAnsi="Arial" w:eastAsia="宋体" w:cs="Arial"/>
          <w:snapToGrid w:val="0"/>
          <w:sz w:val="24"/>
          <w:szCs w:val="24"/>
        </w:rPr>
        <w:t>确保及时向</w:t>
      </w:r>
      <w:r>
        <w:rPr>
          <w:rFonts w:hint="eastAsia" w:ascii="Arial" w:hAnsi="Arial" w:eastAsia="宋体" w:cs="Arial"/>
          <w:snapToGrid w:val="0"/>
          <w:sz w:val="24"/>
        </w:rPr>
        <w:t>IRB</w:t>
      </w:r>
      <w:r>
        <w:rPr>
          <w:rFonts w:hint="eastAsia" w:ascii="Arial" w:hAnsi="Arial" w:eastAsia="宋体" w:cs="Arial"/>
          <w:snapToGrid w:val="0"/>
          <w:sz w:val="24"/>
          <w:szCs w:val="24"/>
        </w:rPr>
        <w:t>报告研究活动变更，并确保在已获得IRB批准的期间，如果未经IRB审查和批准，不会对核准研究进行变更，除非为消除对受试者的明显直接危害，需要进行此类变更（21 CFR 56.108（a）（3）和（4））。</w:t>
      </w:r>
    </w:p>
    <w:p w14:paraId="482C8412">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书面程序旨在确保IRB拥有用于定期审查FDA监管产品（如药品，包括生物制剂和器械）临床研究的框架。FDA法规并未具体说明IRB应如何建立自己的规则。法规允许机构和IRB根据IRB的需要制定自己的程序或附加要求。</w:t>
      </w:r>
    </w:p>
    <w:p w14:paraId="6B106C9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进行临床研究期间，IRB将审查并考虑其收到的研究变更，包括方案修正。</w:t>
      </w:r>
      <w:r>
        <w:rPr>
          <w:rStyle w:val="18"/>
          <w:rFonts w:ascii="Arial" w:hAnsi="Arial" w:cs="Arial"/>
          <w:snapToGrid w:val="0"/>
        </w:rPr>
        <w:footnoteReference w:id="2"/>
      </w:r>
      <w:r>
        <w:rPr>
          <w:rFonts w:hint="eastAsia" w:ascii="Arial" w:hAnsi="Arial" w:cs="Arial"/>
          <w:snapToGrid w:val="0"/>
        </w:rPr>
        <w:t>IRB还将审查知情同意书变更，</w:t>
      </w:r>
      <w:r>
        <w:rPr>
          <w:rStyle w:val="18"/>
          <w:rFonts w:ascii="Arial" w:hAnsi="Arial" w:cs="Arial"/>
          <w:snapToGrid w:val="0"/>
        </w:rPr>
        <w:footnoteReference w:id="3"/>
      </w:r>
      <w:r>
        <w:rPr>
          <w:rFonts w:hint="eastAsia" w:ascii="Arial" w:hAnsi="Arial" w:cs="Arial"/>
          <w:snapToGrid w:val="0"/>
        </w:rPr>
        <w:t>研究者或申办方的非预期问题报告，</w:t>
      </w:r>
      <w:r>
        <w:rPr>
          <w:rStyle w:val="18"/>
          <w:rFonts w:ascii="Arial" w:hAnsi="Arial" w:cs="Arial"/>
          <w:snapToGrid w:val="0"/>
        </w:rPr>
        <w:footnoteReference w:id="4"/>
      </w:r>
      <w:r>
        <w:rPr>
          <w:rFonts w:hint="eastAsia" w:ascii="Arial" w:hAnsi="Arial" w:cs="Arial"/>
          <w:snapToGrid w:val="0"/>
        </w:rPr>
        <w:t>以及其他研究相关信息。IRB对授权批准期拟定研究变更进行的审查并不构成对整个研究的持续审查，因此不会延长必须进行持续审查的日期（例如，初步批准或近期持续审查批准有效期后一年以上）。尽管IRB可能熟悉研究行为的各个方面，但这并不能使IRB豁免进行持续审查的责任，因为持续审查允许对整个研究进行重新评估，并确保除其他事项外，（1）受试者风险已降至最低，（2）与受试者预期收益（如果有）以及可能获得的知识的重要性相比，受试者风险仍然合理（21 CFR 56.111（a）（1）和（2））。</w:t>
      </w:r>
    </w:p>
    <w:p w14:paraId="51C41286">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本指南主要涉及根据21 CFR 56.109（f）对研究工作进行的正式审查。IRB必须每年对先前批准研究进行至少一次审查（21 CFR 56.109（f））。审查必须在召集会议上进行，且绝大多数IRB成员需出席会议，其中包括至少一名其主要问题涉及非科学领域的成员，除非研究符合快速审查要求（21 CFR 56.108（c）和56.110）。有关将快速审查程序应用于持续审查的更多信息，请参见本指南第III.D.节。</w:t>
      </w:r>
    </w:p>
    <w:p w14:paraId="567ABBE9">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参与多中心研究的IRB可能无法仅使用从其管辖中心获得的数据进行彻底审查，并可能需要获取整个研究信息。申办方一般拥有有关整个研究的信息，</w:t>
      </w:r>
      <w:r>
        <w:rPr>
          <w:rStyle w:val="18"/>
          <w:rFonts w:ascii="Arial" w:hAnsi="Arial" w:cs="Arial"/>
          <w:snapToGrid w:val="0"/>
        </w:rPr>
        <w:footnoteReference w:id="5"/>
      </w:r>
      <w:r>
        <w:rPr>
          <w:rFonts w:hint="eastAsia" w:ascii="Arial" w:hAnsi="Arial" w:cs="Arial"/>
          <w:snapToGrid w:val="0"/>
        </w:rPr>
        <w:t>并可以将其提供给研究者，然后，研究者再将其提供给IRB。FDA法规并不禁止申办方直接向IRB提供整个研究信息。</w:t>
      </w:r>
      <w:r>
        <w:rPr>
          <w:rStyle w:val="18"/>
          <w:rFonts w:ascii="Arial" w:hAnsi="Arial" w:cs="Arial"/>
          <w:snapToGrid w:val="0"/>
        </w:rPr>
        <w:footnoteReference w:id="6"/>
      </w:r>
      <w:r>
        <w:rPr>
          <w:rFonts w:hint="eastAsia" w:ascii="Arial" w:hAnsi="Arial" w:cs="Arial"/>
          <w:snapToGrid w:val="0"/>
        </w:rPr>
        <w:t xml:space="preserve"> FDA鼓励研究者和申办方确保IRB获得有效的整个研究信息，特别是当此类工作可以帮助IRB审查研究和保护受试者时。</w:t>
      </w:r>
    </w:p>
    <w:p w14:paraId="1FB618B2">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根据21 CFR 56.114，如果需要在对多中心研究进行有效持续审查的同时，减少或消除重复工作，可以使用合作审查协议或其他机制（例如，使用中心IRB审查程序）。合作协议可能在进行持续审查的方式方面有所不同。例如，某些协议可能会指定具体IRB来负责对研究进行持续审查。</w:t>
      </w:r>
      <w:r>
        <w:rPr>
          <w:rStyle w:val="18"/>
          <w:rFonts w:ascii="Arial" w:hAnsi="Arial" w:cs="Arial"/>
          <w:snapToGrid w:val="0"/>
        </w:rPr>
        <w:footnoteReference w:id="7"/>
      </w:r>
      <w:r>
        <w:rPr>
          <w:rFonts w:hint="eastAsia" w:ascii="Arial" w:hAnsi="Arial" w:cs="Arial"/>
          <w:snapToGrid w:val="0"/>
        </w:rPr>
        <w:t>其他协议可能要求机构IRB负责地方问题，但仍要求中心IRB负责持续审查的其余方面。</w:t>
      </w:r>
    </w:p>
    <w:p w14:paraId="2DE57DD3">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无论如何安排，在整个研究中获得并审查信息有助于IRB对多中心研究进行持续审查。有关进一步讨论，请参阅本指南第III.B节。</w:t>
      </w:r>
    </w:p>
    <w:p w14:paraId="6E9E17B0">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7E9E2E34">
      <w:pPr>
        <w:pStyle w:val="3"/>
        <w:numPr>
          <w:ilvl w:val="0"/>
          <w:numId w:val="3"/>
        </w:numPr>
        <w:tabs>
          <w:tab w:val="left" w:pos="474"/>
        </w:tabs>
        <w:topLinePunct/>
        <w:adjustRightInd w:val="0"/>
        <w:snapToGrid w:val="0"/>
        <w:spacing w:after="224" w:afterLines="75" w:line="288" w:lineRule="auto"/>
        <w:ind w:left="0" w:firstLine="0"/>
        <w:jc w:val="both"/>
        <w:rPr>
          <w:rFonts w:ascii="Arial" w:hAnsi="Arial" w:cs="Arial"/>
          <w:b w:val="0"/>
          <w:bCs w:val="0"/>
          <w:snapToGrid w:val="0"/>
        </w:rPr>
      </w:pPr>
      <w:bookmarkStart w:id="6" w:name="A.__Criteria_for_Approving_Research_Duri"/>
      <w:bookmarkEnd w:id="6"/>
      <w:bookmarkStart w:id="7" w:name="_Toc499306991"/>
      <w:r>
        <w:rPr>
          <w:rFonts w:hint="eastAsia" w:ascii="Arial" w:hAnsi="Arial" w:cs="Arial"/>
          <w:snapToGrid w:val="0"/>
        </w:rPr>
        <w:t>持续审查期间批准研究的标准</w:t>
      </w:r>
      <w:bookmarkEnd w:id="7"/>
    </w:p>
    <w:p w14:paraId="31196CA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FDA法规规定了IRB批准研究的标准（21 CFR 56.111）。此类标准适用于初始审查和持续审查。如需批准研究，IRB必须确定以下所有要求已得到满足：</w:t>
      </w:r>
    </w:p>
    <w:p w14:paraId="56AD512B">
      <w:pPr>
        <w:pStyle w:val="20"/>
        <w:numPr>
          <w:ilvl w:val="1"/>
          <w:numId w:val="3"/>
        </w:numPr>
        <w:topLinePunct/>
        <w:adjustRightInd w:val="0"/>
        <w:snapToGrid w:val="0"/>
        <w:spacing w:after="149" w:afterLines="50" w:line="288" w:lineRule="auto"/>
        <w:ind w:left="813" w:leftChars="194" w:hanging="386" w:hangingChars="161"/>
        <w:jc w:val="both"/>
        <w:rPr>
          <w:rFonts w:ascii="Arial" w:hAnsi="Arial" w:eastAsia="宋体" w:cs="Arial"/>
          <w:snapToGrid w:val="0"/>
          <w:sz w:val="24"/>
          <w:szCs w:val="24"/>
        </w:rPr>
      </w:pPr>
      <w:r>
        <w:rPr>
          <w:rFonts w:hint="eastAsia" w:ascii="Arial" w:hAnsi="Arial" w:eastAsia="宋体" w:cs="Arial"/>
          <w:snapToGrid w:val="0"/>
          <w:sz w:val="24"/>
          <w:szCs w:val="24"/>
        </w:rPr>
        <w:t>受试者风险已降至最低；</w:t>
      </w:r>
    </w:p>
    <w:p w14:paraId="6BAC65AB">
      <w:pPr>
        <w:pStyle w:val="20"/>
        <w:numPr>
          <w:ilvl w:val="1"/>
          <w:numId w:val="3"/>
        </w:numPr>
        <w:topLinePunct/>
        <w:adjustRightInd w:val="0"/>
        <w:snapToGrid w:val="0"/>
        <w:spacing w:after="149" w:afterLines="50" w:line="288" w:lineRule="auto"/>
        <w:ind w:left="813" w:leftChars="194" w:hanging="386" w:hangingChars="161"/>
        <w:jc w:val="both"/>
        <w:rPr>
          <w:rFonts w:ascii="Arial" w:hAnsi="Arial" w:eastAsia="宋体" w:cs="Arial"/>
          <w:snapToGrid w:val="0"/>
          <w:sz w:val="24"/>
          <w:szCs w:val="24"/>
        </w:rPr>
      </w:pPr>
      <w:r>
        <w:rPr>
          <w:rFonts w:hint="eastAsia" w:ascii="Arial" w:hAnsi="Arial" w:eastAsia="宋体" w:cs="Arial"/>
          <w:snapToGrid w:val="0"/>
          <w:sz w:val="24"/>
          <w:szCs w:val="24"/>
        </w:rPr>
        <w:t>与受试者预期收益（如果有）以及可能获得的知识的重要性相比，受试者风险合理；</w:t>
      </w:r>
    </w:p>
    <w:p w14:paraId="46B5E47D">
      <w:pPr>
        <w:pStyle w:val="20"/>
        <w:numPr>
          <w:ilvl w:val="1"/>
          <w:numId w:val="3"/>
        </w:numPr>
        <w:topLinePunct/>
        <w:adjustRightInd w:val="0"/>
        <w:snapToGrid w:val="0"/>
        <w:spacing w:after="149" w:afterLines="50" w:line="288" w:lineRule="auto"/>
        <w:ind w:left="813" w:leftChars="194" w:hanging="386" w:hangingChars="161"/>
        <w:jc w:val="both"/>
        <w:rPr>
          <w:rFonts w:ascii="Arial" w:hAnsi="Arial" w:eastAsia="宋体" w:cs="Arial"/>
          <w:snapToGrid w:val="0"/>
          <w:sz w:val="24"/>
          <w:szCs w:val="24"/>
        </w:rPr>
      </w:pPr>
      <w:r>
        <w:rPr>
          <w:rFonts w:hint="eastAsia" w:ascii="Arial" w:hAnsi="Arial" w:eastAsia="宋体" w:cs="Arial"/>
          <w:snapToGrid w:val="0"/>
          <w:sz w:val="24"/>
          <w:szCs w:val="24"/>
        </w:rPr>
        <w:t>受试者选择合理；</w:t>
      </w:r>
    </w:p>
    <w:p w14:paraId="3B6FF838">
      <w:pPr>
        <w:pStyle w:val="20"/>
        <w:numPr>
          <w:ilvl w:val="1"/>
          <w:numId w:val="3"/>
        </w:numPr>
        <w:topLinePunct/>
        <w:adjustRightInd w:val="0"/>
        <w:snapToGrid w:val="0"/>
        <w:spacing w:after="149" w:afterLines="50" w:line="288" w:lineRule="auto"/>
        <w:ind w:left="813" w:leftChars="194" w:hanging="386" w:hangingChars="161"/>
        <w:jc w:val="both"/>
        <w:rPr>
          <w:rFonts w:ascii="Arial" w:hAnsi="Arial" w:eastAsia="宋体" w:cs="Arial"/>
          <w:snapToGrid w:val="0"/>
          <w:sz w:val="24"/>
          <w:szCs w:val="24"/>
        </w:rPr>
      </w:pPr>
      <w:r>
        <w:rPr>
          <w:rFonts w:hint="eastAsia" w:ascii="Arial" w:hAnsi="Arial" w:eastAsia="宋体" w:cs="Arial"/>
          <w:snapToGrid w:val="0"/>
          <w:sz w:val="24"/>
          <w:szCs w:val="24"/>
        </w:rPr>
        <w:t>将征求每个潜在受试者或受试者合法授权代表的知情同意，并适当记录；</w:t>
      </w:r>
    </w:p>
    <w:p w14:paraId="14F7B6DB">
      <w:pPr>
        <w:pStyle w:val="20"/>
        <w:numPr>
          <w:ilvl w:val="1"/>
          <w:numId w:val="3"/>
        </w:numPr>
        <w:topLinePunct/>
        <w:adjustRightInd w:val="0"/>
        <w:snapToGrid w:val="0"/>
        <w:spacing w:after="149" w:afterLines="50" w:line="288" w:lineRule="auto"/>
        <w:ind w:left="813" w:leftChars="194" w:hanging="386" w:hangingChars="161"/>
        <w:jc w:val="both"/>
        <w:rPr>
          <w:rFonts w:ascii="Arial" w:hAnsi="Arial" w:eastAsia="宋体" w:cs="Arial"/>
          <w:snapToGrid w:val="0"/>
          <w:sz w:val="24"/>
          <w:szCs w:val="24"/>
        </w:rPr>
      </w:pPr>
      <w:r>
        <w:rPr>
          <w:rFonts w:hint="eastAsia" w:ascii="Arial" w:hAnsi="Arial" w:eastAsia="宋体" w:cs="Arial"/>
          <w:snapToGrid w:val="0"/>
          <w:sz w:val="24"/>
          <w:szCs w:val="24"/>
        </w:rPr>
        <w:t>如果适用，研究计划可充分监测所收集的数据，确保受试者安全；</w:t>
      </w:r>
    </w:p>
    <w:p w14:paraId="19A408E5">
      <w:pPr>
        <w:pStyle w:val="20"/>
        <w:numPr>
          <w:ilvl w:val="1"/>
          <w:numId w:val="3"/>
        </w:numPr>
        <w:topLinePunct/>
        <w:adjustRightInd w:val="0"/>
        <w:snapToGrid w:val="0"/>
        <w:spacing w:after="149" w:afterLines="50" w:line="288" w:lineRule="auto"/>
        <w:ind w:left="813" w:leftChars="194" w:hanging="386" w:hangingChars="161"/>
        <w:jc w:val="both"/>
        <w:rPr>
          <w:rFonts w:ascii="Arial" w:hAnsi="Arial" w:eastAsia="宋体" w:cs="Arial"/>
          <w:snapToGrid w:val="0"/>
          <w:sz w:val="24"/>
          <w:szCs w:val="24"/>
        </w:rPr>
      </w:pPr>
      <w:r>
        <w:rPr>
          <w:rFonts w:hint="eastAsia" w:ascii="Arial" w:hAnsi="Arial" w:eastAsia="宋体" w:cs="Arial"/>
          <w:snapToGrid w:val="0"/>
          <w:sz w:val="24"/>
          <w:szCs w:val="24"/>
        </w:rPr>
        <w:t>如果适用，已制定充分条款来保护受试者的隐私并保持数据的机密性；</w:t>
      </w:r>
    </w:p>
    <w:p w14:paraId="083A3C84">
      <w:pPr>
        <w:pStyle w:val="20"/>
        <w:numPr>
          <w:ilvl w:val="1"/>
          <w:numId w:val="3"/>
        </w:numPr>
        <w:topLinePunct/>
        <w:adjustRightInd w:val="0"/>
        <w:snapToGrid w:val="0"/>
        <w:spacing w:after="149" w:afterLines="50" w:line="288" w:lineRule="auto"/>
        <w:ind w:left="813" w:leftChars="194" w:hanging="386" w:hangingChars="161"/>
        <w:jc w:val="both"/>
        <w:rPr>
          <w:rFonts w:ascii="Arial" w:hAnsi="Arial" w:eastAsia="宋体" w:cs="Arial"/>
          <w:snapToGrid w:val="0"/>
          <w:sz w:val="24"/>
          <w:szCs w:val="24"/>
        </w:rPr>
      </w:pPr>
      <w:r>
        <w:rPr>
          <w:rFonts w:hint="eastAsia" w:ascii="Arial" w:hAnsi="Arial" w:eastAsia="宋体" w:cs="Arial"/>
          <w:snapToGrid w:val="0"/>
          <w:sz w:val="24"/>
          <w:szCs w:val="24"/>
        </w:rPr>
        <w:t>已提供适当的附加保护措施来保护弱势受试者；和</w:t>
      </w:r>
    </w:p>
    <w:p w14:paraId="788516A1">
      <w:pPr>
        <w:pStyle w:val="20"/>
        <w:numPr>
          <w:ilvl w:val="1"/>
          <w:numId w:val="3"/>
        </w:numPr>
        <w:topLinePunct/>
        <w:adjustRightInd w:val="0"/>
        <w:snapToGrid w:val="0"/>
        <w:spacing w:after="224" w:afterLines="75" w:line="288" w:lineRule="auto"/>
        <w:ind w:left="813" w:leftChars="194" w:hanging="386" w:hangingChars="161"/>
        <w:jc w:val="both"/>
        <w:rPr>
          <w:rFonts w:ascii="Arial" w:hAnsi="Arial" w:eastAsia="宋体" w:cs="Arial"/>
          <w:snapToGrid w:val="0"/>
          <w:sz w:val="24"/>
          <w:szCs w:val="24"/>
        </w:rPr>
      </w:pPr>
      <w:r>
        <w:rPr>
          <w:rFonts w:hint="eastAsia" w:ascii="Arial" w:hAnsi="Arial" w:eastAsia="宋体" w:cs="Arial"/>
          <w:snapToGrid w:val="0"/>
          <w:sz w:val="24"/>
          <w:szCs w:val="24"/>
        </w:rPr>
        <w:t>研究涉及儿童时，研究符合21 CFR第50部分第D节的规定。</w:t>
      </w:r>
    </w:p>
    <w:p w14:paraId="54CFE492">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在确定需进行持续审查前，IRB应考虑是否有新信息会影响IRB的先前发现，即研究符合21 CFR 56.111的标准。IRB有权拒绝或要求修改（以重新授予批准）不符合上述任何标准的研究活动（例如，全部研究或其任何部分，如方案、广告变更；21 CFR 56.109（a））</w:t>
      </w:r>
    </w:p>
    <w:p w14:paraId="2DE2C77F">
      <w:pPr>
        <w:pStyle w:val="3"/>
        <w:numPr>
          <w:ilvl w:val="0"/>
          <w:numId w:val="3"/>
        </w:numPr>
        <w:tabs>
          <w:tab w:val="left" w:pos="481"/>
        </w:tabs>
        <w:topLinePunct/>
        <w:adjustRightInd w:val="0"/>
        <w:snapToGrid w:val="0"/>
        <w:spacing w:after="224" w:afterLines="75" w:line="288" w:lineRule="auto"/>
        <w:ind w:left="0" w:firstLine="0"/>
        <w:jc w:val="both"/>
        <w:rPr>
          <w:rFonts w:ascii="Arial" w:hAnsi="Arial" w:cs="Arial"/>
          <w:b w:val="0"/>
          <w:bCs w:val="0"/>
          <w:snapToGrid w:val="0"/>
        </w:rPr>
      </w:pPr>
      <w:bookmarkStart w:id="8" w:name="B.__Process_for_Conducting_Continuing_Re"/>
      <w:bookmarkEnd w:id="8"/>
      <w:bookmarkStart w:id="9" w:name="_Toc499306992"/>
      <w:r>
        <w:rPr>
          <w:rFonts w:hint="eastAsia" w:ascii="Arial" w:hAnsi="Arial" w:cs="Arial"/>
          <w:snapToGrid w:val="0"/>
        </w:rPr>
        <w:t>进行持续审查的过程</w:t>
      </w:r>
      <w:bookmarkEnd w:id="9"/>
    </w:p>
    <w:p w14:paraId="435543CC">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持续审查应于IRB的召集会议上进行，除非符合21 CFR 56.110.的快速审查标准（请参见21 CFR 56.110（21 CFR 56.108（c）和本指南第III.D.节）。IRB需要审查研究（21 CFR 56.109（f）），并且必须保存其持续审查活动的记录，包括进行此类活动的会议记录（21 CFR 56.115（a）（2）和（3））。会议记录必须详细说明IRB所采取的行动以及有关此类行动的投票，并总结讨论争议问题及其解决方案（21 CFR 56.115（a）（2））。为了批准研究，出席会议的大多数IRB成员必须投同意票（21 CFR 56.108（c））。</w:t>
      </w:r>
    </w:p>
    <w:p w14:paraId="128BD882">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IRB必须确保，如果成员在项目中具有冲突利益，则不得参与IRB对此类项目进行的持续审查，除非提供了IRB要求的信息（21 CFR 56.107（e））。会议记录必须反映会议出席人数、投票数以及争议问题的讨论和解决方案总结，并应提供证据证明有冲突的成员未参与IRB对其研究进行的持续审查（21 CFR 56.115（（a）（2））。FDA建议，如果IRB成员在项目中存在冲突利益，则在IRB对该项目进行持续审查时，其应回避，即退出会议室，除非IRB要求其在场以便提供信息。在记录IRB行动相关投票时，应在IRB会议记录中注明IRB成员的回避情况。</w:t>
      </w:r>
    </w:p>
    <w:p w14:paraId="63A276B3">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为对研究进行持续审查，IRB必须保持并遵循书面程序（21 CFR 56.108（a）（1）和56.115 （a)（6））。在制定持续审查程序时，IRB应考虑使用模板、清单或其他工具来标准化信息请求或在持续审查时提供给IRB的材料列表。</w:t>
      </w:r>
    </w:p>
    <w:p w14:paraId="0807505B">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研究者负责确保其研究符合适用的法规要求。</w:t>
      </w:r>
      <w:r>
        <w:rPr>
          <w:rStyle w:val="18"/>
          <w:rFonts w:ascii="Arial" w:hAnsi="Arial" w:cs="Arial"/>
          <w:snapToGrid w:val="0"/>
        </w:rPr>
        <w:footnoteReference w:id="8"/>
      </w:r>
      <w:r>
        <w:rPr>
          <w:rFonts w:hint="eastAsia" w:ascii="Arial" w:hAnsi="Arial" w:cs="Arial"/>
          <w:snapToGrid w:val="0"/>
        </w:rPr>
        <w:t>为确保审查IRB可以在现有IRB批准到期之前进行审查，研究者应该遵循IRB关于IRB持续审查研究的政策和程序（21 CFR 56.108（a）（1）要求的程序），特别是提交IRB要求的材料和信息。FDA鼓励IRB通过各种让研究者了解IRB的程序，例如在通知研究者IRB决定的信函中附上副本，或在网站上公布信息。</w:t>
      </w:r>
    </w:p>
    <w:p w14:paraId="0D2A939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FDA建议，IRB的书面程序应要求提交以下信息，供IRB在持续审查时进行考虑（如果IRB尚未获得此类信息，并纳入现有IRB研究记录）：</w:t>
      </w:r>
      <w:r>
        <w:rPr>
          <w:rStyle w:val="18"/>
          <w:rFonts w:ascii="Arial" w:hAnsi="Arial" w:cs="Arial"/>
          <w:snapToGrid w:val="0"/>
        </w:rPr>
        <w:footnoteReference w:id="9"/>
      </w:r>
    </w:p>
    <w:p w14:paraId="1125E8A0">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rPr>
        <w:t>包括以下内容或参考向IRB提供的其他文档的书面进度报告／简要项目总结：</w:t>
      </w:r>
    </w:p>
    <w:p w14:paraId="0ADBC9CD">
      <w:pPr>
        <w:pStyle w:val="20"/>
        <w:numPr>
          <w:ilvl w:val="2"/>
          <w:numId w:val="3"/>
        </w:numPr>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累计受试者数量；（对于多中心研究，应提供地方研究中心的累计受试者数量和整个研究的累计数量（如果有））。</w:t>
      </w:r>
    </w:p>
    <w:p w14:paraId="05EE62D9">
      <w:pPr>
        <w:pStyle w:val="20"/>
        <w:numPr>
          <w:ilvl w:val="2"/>
          <w:numId w:val="3"/>
        </w:numPr>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自IRB初始审查或上次持续审查以来，对IRB批准研究进行的任何修正的简要总结；</w:t>
      </w:r>
    </w:p>
    <w:p w14:paraId="5E88CF11">
      <w:pPr>
        <w:pStyle w:val="20"/>
        <w:numPr>
          <w:ilvl w:val="2"/>
          <w:numId w:val="3"/>
        </w:numPr>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自上次IRB审查以来，发布或未发布的任何新信息和相关信息，特别是有关研究相关风险的信息；（请注意，FDA不要求IRB对正接受持续审查的特定研究项目的有关科学文献进行独立审查。）</w:t>
      </w:r>
    </w:p>
    <w:p w14:paraId="2CC97AB9">
      <w:pPr>
        <w:pStyle w:val="20"/>
        <w:numPr>
          <w:ilvl w:val="2"/>
          <w:numId w:val="3"/>
        </w:numPr>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任何非预期问题的总结。</w:t>
      </w:r>
      <w:r>
        <w:rPr>
          <w:rStyle w:val="18"/>
          <w:rFonts w:ascii="Arial" w:hAnsi="Arial" w:eastAsia="宋体" w:cs="Arial"/>
          <w:snapToGrid w:val="0"/>
          <w:sz w:val="24"/>
          <w:szCs w:val="24"/>
        </w:rPr>
        <w:footnoteReference w:id="10"/>
      </w:r>
      <w:r>
        <w:rPr>
          <w:rFonts w:hint="eastAsia" w:ascii="Arial" w:hAnsi="Arial" w:eastAsia="宋体" w:cs="Arial"/>
          <w:snapToGrid w:val="0"/>
          <w:sz w:val="24"/>
          <w:szCs w:val="24"/>
        </w:rPr>
        <w:t>在许多情况下，这种总结仅需包含简要陈述，即无非预期问题（即所发生的不良事件符合研究方案、知情同意书和研究者手册（如适用）中记录的预期频率和严重程度）</w:t>
      </w:r>
    </w:p>
    <w:p w14:paraId="7280DAB5">
      <w:pPr>
        <w:pStyle w:val="20"/>
        <w:numPr>
          <w:ilvl w:val="2"/>
          <w:numId w:val="3"/>
        </w:numPr>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自上次IRB审查以来，受试者退出研究的情况总结以及退出原因（如果已知）；以及</w:t>
      </w:r>
    </w:p>
    <w:p w14:paraId="3647D46F">
      <w:pPr>
        <w:pStyle w:val="20"/>
        <w:numPr>
          <w:ilvl w:val="2"/>
          <w:numId w:val="3"/>
        </w:numPr>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自上次IRB审查以来，地方研究中心招募的受试者对研究的任何投诉的总结；</w:t>
      </w:r>
    </w:p>
    <w:p w14:paraId="30477839">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研究中心使用的方案最新版本和样本知情同意书；</w:t>
      </w:r>
    </w:p>
    <w:p w14:paraId="07B4A9B0">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对知情同意书或方案的任何拟定修改；</w:t>
      </w:r>
    </w:p>
    <w:p w14:paraId="70E4785C">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现有研究者手册（如果有），包括任何修改；</w:t>
      </w:r>
    </w:p>
    <w:p w14:paraId="653E6A86">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与受试者风险相关的任何其他重要信息，例如来自数据监测委员会（DMC）的最新报告（如果有）；</w:t>
      </w:r>
      <w:r>
        <w:rPr>
          <w:rStyle w:val="18"/>
          <w:rFonts w:ascii="Arial" w:hAnsi="Arial" w:eastAsia="宋体" w:cs="Arial"/>
          <w:snapToGrid w:val="0"/>
          <w:sz w:val="24"/>
          <w:szCs w:val="24"/>
        </w:rPr>
        <w:footnoteReference w:id="11"/>
      </w:r>
      <w:r>
        <w:rPr>
          <w:rFonts w:hint="eastAsia" w:ascii="Arial" w:hAnsi="Arial" w:eastAsia="宋体" w:cs="Arial"/>
          <w:snapToGrid w:val="0"/>
          <w:sz w:val="24"/>
          <w:szCs w:val="24"/>
        </w:rPr>
        <w:t>（此外，申办方应确保IRB已获悉DMC会面日期，即使未发现问题，且DMC建议按设计继续进行研究。此类信息可以由研究者或由申办方直接转达）以及</w:t>
      </w:r>
    </w:p>
    <w:p w14:paraId="301C5371">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自上次审查以来发生的，可能影响安全性和风险评估的相关监管行动的综合信息（例如，根据安全性在任何国家撤销或暂停销售，21 CFR 812.150（b）要求的召回和器械处置报告）（6））。</w:t>
      </w:r>
    </w:p>
    <w:p w14:paraId="640A775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如果上述信息尚未纳入现有报告（报告由申办方为其他目的或实体编制）</w:t>
      </w:r>
      <w:r>
        <w:rPr>
          <w:rStyle w:val="18"/>
          <w:rFonts w:ascii="Arial" w:hAnsi="Arial" w:cs="Arial"/>
          <w:snapToGrid w:val="0"/>
        </w:rPr>
        <w:footnoteReference w:id="12"/>
      </w:r>
      <w:r>
        <w:rPr>
          <w:rFonts w:hint="eastAsia" w:ascii="Arial" w:hAnsi="Arial" w:cs="Arial"/>
          <w:snapToGrid w:val="0"/>
        </w:rPr>
        <w:t>，则应编制单独进度报告并提交给IRB，以便对该研究进行持续审查。但是，如果上述信息已纳入现有报告，则此报告可以改作他用，并在对该研究进行持续审查时提交给IRB。例如，如上所述，21 CFR312.33规定，研究性药品研究申办方应向FDA提交关于其研究进展的年度报告。研究性器械研究申办方也需要向所有审查IRB提供进展报告，至少每年需提交一次（21 CFR 812.150（b）（5））。</w:t>
      </w:r>
    </w:p>
    <w:p w14:paraId="0AB0045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提交药品研究年度报告或器械研究进度报告是IRB获得有关信息，以便在持续审查时加以考虑的重要途径。此类报告（可能需进行少量修改或无需进行修改）通常会包含上述信息，并且可以进行编辑，使得在提交给IRB之前，已从报告中删除与持续审查无关的专有信息和其他研究相关信息。</w:t>
      </w:r>
    </w:p>
    <w:p w14:paraId="0EF7333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进行持续审查时，IRB应该对调查有所了解，包括与方案修正先前临时或定期审查有关的材料、研究者手册或涉及受试者风险的非预期问题。在召开会议，进行持续审查前，应将IRB文件（包括相关IRB会议记录）提供给IRB成员。在讨论研究的会议期间，也应提供该文件，以便成员解决任何可能出现的问题。</w:t>
      </w:r>
    </w:p>
    <w:p w14:paraId="4BD5047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对于多中心研究，</w:t>
      </w:r>
      <w:r>
        <w:rPr>
          <w:rFonts w:ascii="Arial" w:hAnsi="Arial" w:cs="Arial"/>
          <w:snapToGrid w:val="0"/>
        </w:rPr>
        <w:t>IRB</w:t>
      </w:r>
      <w:r>
        <w:rPr>
          <w:rFonts w:hint="eastAsia" w:ascii="Arial" w:hAnsi="Arial" w:cs="Arial"/>
          <w:snapToGrid w:val="0"/>
        </w:rPr>
        <w:t>应该获得整个研究信息、</w:t>
      </w:r>
      <w:r>
        <w:rPr>
          <w:rFonts w:ascii="Arial" w:hAnsi="Arial" w:cs="Arial"/>
          <w:snapToGrid w:val="0"/>
        </w:rPr>
        <w:t>DMC</w:t>
      </w:r>
      <w:r>
        <w:rPr>
          <w:rFonts w:hint="eastAsia" w:ascii="Arial" w:hAnsi="Arial" w:cs="Arial"/>
          <w:snapToGrid w:val="0"/>
        </w:rPr>
        <w:t>报告以及任何其他与</w:t>
      </w:r>
      <w:r>
        <w:rPr>
          <w:rFonts w:ascii="Arial" w:hAnsi="Arial" w:cs="Arial"/>
          <w:snapToGrid w:val="0"/>
        </w:rPr>
        <w:t>IRB</w:t>
      </w:r>
      <w:r>
        <w:rPr>
          <w:rFonts w:hint="eastAsia" w:ascii="Arial" w:hAnsi="Arial" w:cs="Arial"/>
          <w:snapToGrid w:val="0"/>
        </w:rPr>
        <w:t>持续审查相关的供试品信息。研究者可以将此类信息提供给</w:t>
      </w:r>
      <w:r>
        <w:rPr>
          <w:rFonts w:ascii="Arial" w:hAnsi="Arial" w:cs="Arial"/>
          <w:snapToGrid w:val="0"/>
        </w:rPr>
        <w:t>IRB</w:t>
      </w:r>
      <w:r>
        <w:rPr>
          <w:rFonts w:hint="eastAsia" w:ascii="Arial" w:hAnsi="Arial" w:cs="Arial"/>
          <w:snapToGrid w:val="0"/>
        </w:rPr>
        <w:t>，但首先，其应从申办方获得此类信息。研究者和申办方可以商定，由申办方将此类信息直接提交给</w:t>
      </w:r>
      <w:r>
        <w:rPr>
          <w:rFonts w:ascii="Arial" w:hAnsi="Arial" w:cs="Arial"/>
          <w:snapToGrid w:val="0"/>
        </w:rPr>
        <w:t>IRB</w:t>
      </w:r>
      <w:r>
        <w:rPr>
          <w:rFonts w:hint="eastAsia" w:ascii="Arial" w:hAnsi="Arial" w:cs="Arial"/>
          <w:snapToGrid w:val="0"/>
        </w:rPr>
        <w:t>。申办方一般可获得所有研究中心的信息、DMC中期评估以及从任何国外或国内来源获得或此类来源以其他方式提供的安全信息（例如，从任何临床或流行病学研究、动物研究、商业营销经验、已公布或未公布来源的相关文章、非美国监管机构报告获得的信息），而这些信息可以帮助</w:t>
      </w:r>
      <w:r>
        <w:rPr>
          <w:rFonts w:ascii="Arial" w:hAnsi="Arial" w:cs="Arial"/>
          <w:snapToGrid w:val="0"/>
        </w:rPr>
        <w:t>IRB</w:t>
      </w:r>
      <w:r>
        <w:rPr>
          <w:rFonts w:hint="eastAsia" w:ascii="Arial" w:hAnsi="Arial" w:cs="Arial"/>
          <w:snapToGrid w:val="0"/>
        </w:rPr>
        <w:t>审查研究和保护受试者。</w:t>
      </w:r>
      <w:r>
        <w:rPr>
          <w:rStyle w:val="18"/>
          <w:rFonts w:ascii="Arial" w:hAnsi="Arial" w:cs="Arial"/>
          <w:snapToGrid w:val="0"/>
        </w:rPr>
        <w:footnoteReference w:id="13"/>
      </w:r>
    </w:p>
    <w:p w14:paraId="5DBCE61E">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研究进行初始审查的IRB可能最适合于对该研究进行持续审查，因为其了解研究和／或先前审查。但是，FDA意识到，一些机构已经指定一个或多个IRB来进行持续审查。FDA法规规定，可以不使用进行初始审查的IRB，而使用其他IRB来对研究进行持续审查，但进行持续审查的IRB必须满足法规要求（例如，21 CFR 56.107规定的IRB成员资格要求），此外，其还需满足进行持续审查的法规要求。进行持续审查的IRB也应可以使用所有先前的相关IRB记录。</w:t>
      </w:r>
    </w:p>
    <w:p w14:paraId="1239A22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FDA建议，如果可能，IRB的书面程序应包括各种措施来减轻负担，并允许IRB有效地完成其持续审查工作量。例如，IRB书面程序可以允许：</w:t>
      </w:r>
    </w:p>
    <w:p w14:paraId="76B03808">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受过适当培训的工作人员对研究材料进行预先审查，确保已提交持续审查所需文档，且文件完整；和</w:t>
      </w:r>
    </w:p>
    <w:p w14:paraId="7B11DCEF">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一名或多名有经验的IRB成员对持续审查文件和报告进行初步审查，总结其他成员的变更或关键问题，并在召集会议上展开讨论（例如，</w:t>
      </w:r>
      <w:r>
        <w:rPr>
          <w:rFonts w:hint="eastAsia" w:ascii="宋体" w:hAnsi="宋体" w:eastAsia="宋体" w:cs="Arial"/>
          <w:snapToGrid w:val="0"/>
          <w:sz w:val="24"/>
          <w:szCs w:val="24"/>
        </w:rPr>
        <w:t>“</w:t>
      </w:r>
      <w:r>
        <w:rPr>
          <w:rFonts w:hint="eastAsia" w:ascii="Arial" w:hAnsi="Arial" w:eastAsia="宋体" w:cs="Arial"/>
          <w:snapToGrid w:val="0"/>
          <w:sz w:val="24"/>
          <w:szCs w:val="24"/>
        </w:rPr>
        <w:t>自上次持续审查以来没有变更／仅有微小变更</w:t>
      </w:r>
      <w:r>
        <w:rPr>
          <w:rFonts w:hint="eastAsia" w:ascii="宋体" w:hAnsi="宋体" w:eastAsia="宋体" w:cs="Arial"/>
          <w:snapToGrid w:val="0"/>
          <w:sz w:val="24"/>
          <w:szCs w:val="24"/>
        </w:rPr>
        <w:t>”</w:t>
      </w:r>
      <w:r>
        <w:rPr>
          <w:rFonts w:hint="eastAsia" w:ascii="Arial" w:hAnsi="Arial" w:eastAsia="宋体" w:cs="Arial"/>
          <w:snapToGrid w:val="0"/>
          <w:sz w:val="24"/>
          <w:szCs w:val="24"/>
        </w:rPr>
        <w:t>；</w:t>
      </w:r>
      <w:r>
        <w:rPr>
          <w:rFonts w:hint="eastAsia" w:ascii="宋体" w:hAnsi="宋体" w:eastAsia="宋体" w:cs="Arial"/>
          <w:snapToGrid w:val="0"/>
          <w:sz w:val="24"/>
          <w:szCs w:val="24"/>
        </w:rPr>
        <w:t>“</w:t>
      </w:r>
      <w:r>
        <w:rPr>
          <w:rFonts w:hint="eastAsia" w:ascii="Arial" w:hAnsi="Arial" w:eastAsia="宋体" w:cs="Arial"/>
          <w:snapToGrid w:val="0"/>
          <w:sz w:val="24"/>
          <w:szCs w:val="24"/>
        </w:rPr>
        <w:t>AE报告的类型和频率符合现行研究者手册或知情同意书规定；当前无需进行变更</w:t>
      </w:r>
      <w:r>
        <w:rPr>
          <w:rFonts w:hint="eastAsia" w:ascii="宋体" w:hAnsi="宋体" w:eastAsia="宋体" w:cs="Arial"/>
          <w:snapToGrid w:val="0"/>
          <w:sz w:val="24"/>
          <w:szCs w:val="24"/>
        </w:rPr>
        <w:t>”</w:t>
      </w:r>
      <w:r>
        <w:rPr>
          <w:rFonts w:hint="eastAsia" w:ascii="Arial" w:hAnsi="Arial" w:eastAsia="宋体" w:cs="Arial"/>
          <w:snapToGrid w:val="0"/>
          <w:sz w:val="24"/>
          <w:szCs w:val="24"/>
        </w:rPr>
        <w:t>）。</w:t>
      </w:r>
    </w:p>
    <w:p w14:paraId="59D0D024">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48D0AAD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FDA意识到，在某些情况下，IRB会对几组研究进行投票（有时称为</w:t>
      </w:r>
      <w:r>
        <w:rPr>
          <w:rFonts w:hint="eastAsia" w:ascii="宋体" w:hAnsi="宋体" w:cs="Arial"/>
          <w:snapToGrid w:val="0"/>
        </w:rPr>
        <w:t>“</w:t>
      </w:r>
      <w:bookmarkStart w:id="10" w:name="OLE_LINK3"/>
      <w:bookmarkStart w:id="11" w:name="OLE_LINK2"/>
      <w:r>
        <w:rPr>
          <w:rFonts w:hint="eastAsia" w:ascii="Arial" w:hAnsi="Arial" w:cs="Arial"/>
          <w:snapToGrid w:val="0"/>
        </w:rPr>
        <w:t>集团投票</w:t>
      </w:r>
      <w:bookmarkEnd w:id="10"/>
      <w:bookmarkEnd w:id="11"/>
      <w:r>
        <w:rPr>
          <w:rFonts w:hint="eastAsia" w:ascii="宋体" w:hAnsi="宋体" w:cs="Arial"/>
          <w:snapToGrid w:val="0"/>
        </w:rPr>
        <w:t>”</w:t>
      </w:r>
      <w:r>
        <w:rPr>
          <w:rFonts w:hint="eastAsia" w:ascii="Arial" w:hAnsi="Arial" w:cs="Arial"/>
          <w:snapToGrid w:val="0"/>
        </w:rPr>
        <w:t>）。如果使用集团投票，FDA建议，IRB的程序应充分允许IRB成员在投票之前，仔细考虑和分别讨论研究以及提出问题。IRB的程序应允许成员对某些研究投赞成票，对其他研究投反对票或弃权票。</w:t>
      </w:r>
    </w:p>
    <w:p w14:paraId="62008524">
      <w:pPr>
        <w:pStyle w:val="3"/>
        <w:numPr>
          <w:ilvl w:val="0"/>
          <w:numId w:val="3"/>
        </w:numPr>
        <w:tabs>
          <w:tab w:val="left" w:pos="474"/>
        </w:tabs>
        <w:topLinePunct/>
        <w:adjustRightInd w:val="0"/>
        <w:snapToGrid w:val="0"/>
        <w:spacing w:after="224" w:afterLines="75" w:line="288" w:lineRule="auto"/>
        <w:ind w:left="0" w:firstLine="0"/>
        <w:jc w:val="both"/>
        <w:rPr>
          <w:rFonts w:ascii="Arial" w:hAnsi="Arial" w:cs="Arial"/>
          <w:b w:val="0"/>
          <w:bCs w:val="0"/>
          <w:snapToGrid w:val="0"/>
        </w:rPr>
      </w:pPr>
      <w:bookmarkStart w:id="12" w:name="C.__Key_Topics_to_Consider_During_Contin"/>
      <w:bookmarkEnd w:id="12"/>
      <w:bookmarkStart w:id="13" w:name="_Toc499306993"/>
      <w:r>
        <w:rPr>
          <w:rFonts w:hint="eastAsia" w:ascii="Arial" w:hAnsi="Arial" w:cs="Arial"/>
          <w:snapToGrid w:val="0"/>
        </w:rPr>
        <w:t>持续审查中应考虑的关键主题</w:t>
      </w:r>
      <w:bookmarkEnd w:id="13"/>
    </w:p>
    <w:p w14:paraId="0995CDE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进行持续审查时，IRB应先假定，先前批准的研究满足21 CFR 56.111规定的所有标准。如果研究者或申办方提供的新信息可能会改变IRB先前的决定，IRB应该关注此类信息，特别是在此类信息会影响IRB先前对受试者潜在收益或风险的评价时。IRB还应评估是否有任何新信息需要修改方案和／或知情同意书。如果IRB确定，研究活动不再符合21 CFR 56.111的批准标准，则IRB不得重新批准，但可以驳回或要求进行修改以便重新授予批准（21 CFR 56.109（a））。</w:t>
      </w:r>
    </w:p>
    <w:p w14:paraId="258EF6BE">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如下所述，在进行持续审查和评价研究是否继续满足IRB批准研究的标准时，IRB应特别注意以下几个方面：1）风险评估；2）知情同意的充分性；3）地方问题，4）试验进展。</w:t>
      </w:r>
    </w:p>
    <w:p w14:paraId="40EF34C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RB在持续审查某项研究上花费的时间将取决于研究的性质和复杂性，提交给IRB的新信息数量和类型以及研究者是否要求批准对研究方案或知情同意书进行的实质性变更。对于大部分研究，持续审查可以相当简单，IRB应该能够及时完成审议和审查。</w:t>
      </w:r>
    </w:p>
    <w:p w14:paraId="3295F80C">
      <w:pPr>
        <w:pStyle w:val="4"/>
        <w:numPr>
          <w:ilvl w:val="0"/>
          <w:numId w:val="4"/>
        </w:numPr>
        <w:tabs>
          <w:tab w:val="left" w:pos="481"/>
        </w:tabs>
        <w:topLinePunct/>
        <w:adjustRightInd w:val="0"/>
        <w:snapToGrid w:val="0"/>
        <w:spacing w:after="224" w:afterLines="75" w:line="288" w:lineRule="auto"/>
        <w:ind w:left="0" w:firstLine="0"/>
        <w:jc w:val="both"/>
        <w:rPr>
          <w:rFonts w:ascii="Arial" w:hAnsi="Arial" w:cs="Arial"/>
          <w:b w:val="0"/>
          <w:bCs w:val="0"/>
          <w:i w:val="0"/>
          <w:snapToGrid w:val="0"/>
        </w:rPr>
      </w:pPr>
      <w:bookmarkStart w:id="14" w:name="1.__Risk_Assessment_"/>
      <w:bookmarkEnd w:id="14"/>
      <w:bookmarkStart w:id="15" w:name="_Toc499306994"/>
      <w:r>
        <w:rPr>
          <w:rFonts w:hint="eastAsia" w:ascii="Arial" w:hAnsi="Arial" w:cs="Arial"/>
          <w:snapToGrid w:val="0"/>
        </w:rPr>
        <w:t>风险评估</w:t>
      </w:r>
      <w:bookmarkEnd w:id="15"/>
    </w:p>
    <w:p w14:paraId="16C6653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持续审查期间，IRB必须确定21 CFR 56.111规定的IRB批准标准已得到满足。这包括确定持续审查时提供的信息是否会改变以下结论：1）受试者风险已降至最低，或2）与预期收益相比，受试者风险合理（21 CFR 56.111（a）（1）和（2））。根据21 CFR 56.108，IRB的审查程序应确保IRB将考虑自IRB上次审查研究后，其收到的任何新信息（例如，申办方的年度报告、定期汇总报告、自此以后由申办方进行的任何分析）。请参见本指南第III.B.节。</w:t>
      </w:r>
    </w:p>
    <w:p w14:paraId="4BC25584">
      <w:pPr>
        <w:pStyle w:val="4"/>
        <w:numPr>
          <w:ilvl w:val="0"/>
          <w:numId w:val="4"/>
        </w:numPr>
        <w:tabs>
          <w:tab w:val="left" w:pos="480"/>
        </w:tabs>
        <w:topLinePunct/>
        <w:adjustRightInd w:val="0"/>
        <w:snapToGrid w:val="0"/>
        <w:spacing w:after="224" w:afterLines="75" w:line="288" w:lineRule="auto"/>
        <w:ind w:left="0" w:firstLine="0"/>
        <w:jc w:val="both"/>
        <w:rPr>
          <w:rFonts w:ascii="Arial" w:hAnsi="Arial" w:cs="Arial"/>
          <w:b w:val="0"/>
          <w:bCs w:val="0"/>
          <w:i w:val="0"/>
          <w:snapToGrid w:val="0"/>
        </w:rPr>
      </w:pPr>
      <w:bookmarkStart w:id="16" w:name="2.__Adequacy_of_Informed_Consent_"/>
      <w:bookmarkEnd w:id="16"/>
      <w:bookmarkStart w:id="17" w:name="_Toc499306995"/>
      <w:r>
        <w:rPr>
          <w:rFonts w:hint="eastAsia" w:ascii="Arial" w:hAnsi="Arial" w:cs="Arial"/>
          <w:snapToGrid w:val="0"/>
        </w:rPr>
        <w:t>知情同意的充分性</w:t>
      </w:r>
      <w:bookmarkEnd w:id="17"/>
    </w:p>
    <w:p w14:paraId="2CFB533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进行持续审查时，IRB应审查知情同意书，验证该研究中心是否使用最近核准版本，并评价该文档是否包含关于该研究的准确最新信息。FDA建议使用允许IRB轻易识别知情同意书最新版本的方法，例如，使用日期戳或初始化和标明文档日期来指示版本批准日期。</w:t>
      </w:r>
    </w:p>
    <w:p w14:paraId="72A645F7">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rPr>
        <w:br w:type="page"/>
      </w:r>
    </w:p>
    <w:p w14:paraId="296F26F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在审查知情同意书时，IRB必须评价当前核准同意书或寻求批准的任何修订同意书是否包含有关该研究的准确最新信息（即符合21 CFR 50.25规定的标准，其中包括提供任何合理可预见风险的要求。请参见21 CFR 56.109（b）和56.111 （a)（4-5））。特别是IRB的持续审查可能发现新的风险信息时，需要更新知情同意材料，以便满足这些要求。尽管在向IRB提交新信息或方案修正时，IRB可能已经审查了知情同意书，但即使进行了此类审查，仍需在持续审查期间对知情同意书进行审查。此外，IRB应确保，将向入选受试者（例如，重要的毒性信息或在分析所有站点的报告期间识别的不良事件信息）提供自上次持续审查以来确定的，可能会影响受试者继续参与研究意愿的任何重要新发现。</w:t>
      </w:r>
    </w:p>
    <w:p w14:paraId="26A8C17F">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多中心研究中，可能由中心IRB审查知情同意的充分性，具体取决于地方IRB和中心IRB之间的协议。中心IRB可以通过审查模型／模板知情同意书或在一个、多个或全部个别研究中心使用的中心特定知情同意书来确定其是否充分。</w:t>
      </w:r>
      <w:r>
        <w:rPr>
          <w:rStyle w:val="18"/>
          <w:rFonts w:ascii="Arial" w:hAnsi="Arial" w:cs="Arial"/>
          <w:snapToGrid w:val="0"/>
        </w:rPr>
        <w:footnoteReference w:id="14"/>
      </w:r>
    </w:p>
    <w:p w14:paraId="33D767A7">
      <w:pPr>
        <w:pStyle w:val="4"/>
        <w:numPr>
          <w:ilvl w:val="0"/>
          <w:numId w:val="4"/>
        </w:numPr>
        <w:tabs>
          <w:tab w:val="left" w:pos="421"/>
        </w:tabs>
        <w:topLinePunct/>
        <w:adjustRightInd w:val="0"/>
        <w:snapToGrid w:val="0"/>
        <w:spacing w:after="224" w:afterLines="75" w:line="288" w:lineRule="auto"/>
        <w:ind w:left="0" w:firstLine="0"/>
        <w:jc w:val="both"/>
        <w:rPr>
          <w:rFonts w:ascii="Arial" w:hAnsi="Arial" w:cs="Arial"/>
          <w:b w:val="0"/>
          <w:bCs w:val="0"/>
          <w:i w:val="0"/>
          <w:snapToGrid w:val="0"/>
        </w:rPr>
      </w:pPr>
      <w:bookmarkStart w:id="18" w:name="3.__Local_Issues"/>
      <w:bookmarkEnd w:id="18"/>
      <w:bookmarkStart w:id="19" w:name="_Toc499306996"/>
      <w:r>
        <w:rPr>
          <w:rFonts w:hint="eastAsia" w:ascii="Arial" w:hAnsi="Arial" w:cs="Arial"/>
          <w:snapToGrid w:val="0"/>
        </w:rPr>
        <w:t>地方问题</w:t>
      </w:r>
      <w:bookmarkEnd w:id="19"/>
      <w:r>
        <w:rPr>
          <w:rFonts w:hint="eastAsia" w:ascii="Arial" w:hAnsi="Arial" w:cs="Arial"/>
          <w:snapToGrid w:val="0"/>
        </w:rPr>
        <w:t xml:space="preserve"> </w:t>
      </w:r>
    </w:p>
    <w:p w14:paraId="68CF95B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在初始和持续审查期间，审查IRB均应考虑地方问题，其中包括：</w:t>
      </w:r>
    </w:p>
    <w:p w14:paraId="1E64C997">
      <w:pPr>
        <w:pStyle w:val="20"/>
        <w:numPr>
          <w:ilvl w:val="1"/>
          <w:numId w:val="3"/>
        </w:numPr>
        <w:topLinePunct/>
        <w:adjustRightInd w:val="0"/>
        <w:snapToGrid w:val="0"/>
        <w:spacing w:after="149" w:afterLines="50"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研究者处境或资格的变更（例如，暂停医院特权，行医执照；参与大量临床试验）；</w:t>
      </w:r>
    </w:p>
    <w:p w14:paraId="745E03F9">
      <w:pPr>
        <w:pStyle w:val="20"/>
        <w:numPr>
          <w:ilvl w:val="1"/>
          <w:numId w:val="3"/>
        </w:numPr>
        <w:topLinePunct/>
        <w:adjustRightInd w:val="0"/>
        <w:snapToGrid w:val="0"/>
        <w:spacing w:after="149" w:afterLines="50"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研究相关投诉的评价、研究和解决方法；</w:t>
      </w:r>
    </w:p>
    <w:p w14:paraId="26E7F475">
      <w:pPr>
        <w:pStyle w:val="20"/>
        <w:numPr>
          <w:ilvl w:val="1"/>
          <w:numId w:val="3"/>
        </w:numPr>
        <w:topLinePunct/>
        <w:adjustRightInd w:val="0"/>
        <w:snapToGrid w:val="0"/>
        <w:spacing w:after="149" w:afterLines="50"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拟定研究的可接受性变更，具体体现在机构承诺（如人员和财务资源，机构的适当性）和法规，适用的州和地方法律，或专业行为或实践标准等</w:t>
      </w:r>
      <w:r>
        <w:rPr>
          <w:rFonts w:hint="eastAsia" w:ascii="Arial" w:hAnsi="Arial" w:eastAsia="宋体" w:cs="Arial"/>
          <w:snapToGrid w:val="0"/>
          <w:sz w:val="24"/>
        </w:rPr>
        <w:t>方面</w:t>
      </w:r>
      <w:r>
        <w:rPr>
          <w:rFonts w:hint="eastAsia" w:ascii="Arial" w:hAnsi="Arial" w:eastAsia="宋体" w:cs="Arial"/>
          <w:snapToGrid w:val="0"/>
          <w:sz w:val="24"/>
          <w:szCs w:val="24"/>
        </w:rPr>
        <w:t>；</w:t>
      </w:r>
    </w:p>
    <w:p w14:paraId="12FC7DD6">
      <w:pPr>
        <w:pStyle w:val="20"/>
        <w:numPr>
          <w:ilvl w:val="1"/>
          <w:numId w:val="3"/>
        </w:numPr>
        <w:topLinePunct/>
        <w:adjustRightInd w:val="0"/>
        <w:snapToGrid w:val="0"/>
        <w:spacing w:after="149" w:afterLines="50"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第三方根据21 CFR 56.109（f）监督研究后生成的报告（包括知情同意过程）；和</w:t>
      </w:r>
    </w:p>
    <w:p w14:paraId="333F8424">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研究者对地方研究中心试验行为的担忧（例如，研究协调员不起作用，受试者无法理解机构政策所要求的知情同意书部分）。</w:t>
      </w:r>
    </w:p>
    <w:p w14:paraId="2E2DD674">
      <w:pPr>
        <w:pStyle w:val="5"/>
        <w:topLinePunct/>
        <w:adjustRightInd w:val="0"/>
        <w:snapToGrid w:val="0"/>
        <w:spacing w:after="224" w:afterLines="75" w:line="288" w:lineRule="auto"/>
        <w:ind w:left="0"/>
        <w:jc w:val="both"/>
        <w:rPr>
          <w:rFonts w:ascii="Arial" w:hAnsi="Arial" w:cs="Arial"/>
          <w:snapToGrid w:val="0"/>
          <w:szCs w:val="20"/>
        </w:rPr>
      </w:pPr>
      <w:r>
        <w:rPr>
          <w:rFonts w:hint="eastAsia" w:ascii="Arial" w:hAnsi="Arial" w:cs="Arial"/>
          <w:snapToGrid w:val="0"/>
        </w:rPr>
        <w:t>如果合作协议要求共同承担研究的审查责任，则书面协议应该明确协议涵盖的责任以及相应负责人员。</w:t>
      </w:r>
      <w:bookmarkStart w:id="20" w:name="_bookmark23"/>
      <w:bookmarkEnd w:id="20"/>
      <w:r>
        <w:rPr>
          <w:rFonts w:ascii="Arial" w:hAnsi="Arial" w:cs="Arial"/>
          <w:snapToGrid w:val="0"/>
          <w:szCs w:val="20"/>
        </w:rPr>
        <w:br w:type="page"/>
      </w:r>
    </w:p>
    <w:p w14:paraId="23784E2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由中心IRB负责进行持续审查（包括对地方问题进行评价），则中心IRB的程序应确保地方问题得到解决。例如，中心IRB可能会要求研究者提供更多关于受试者退出研究的信息，或决定访问特定研究中心，确定事实，以便确保研究受试者的安全和福利。</w:t>
      </w:r>
    </w:p>
    <w:p w14:paraId="782FB008">
      <w:pPr>
        <w:pStyle w:val="4"/>
        <w:numPr>
          <w:ilvl w:val="0"/>
          <w:numId w:val="4"/>
        </w:numPr>
        <w:tabs>
          <w:tab w:val="left" w:pos="361"/>
        </w:tabs>
        <w:topLinePunct/>
        <w:adjustRightInd w:val="0"/>
        <w:snapToGrid w:val="0"/>
        <w:spacing w:after="224" w:afterLines="75" w:line="288" w:lineRule="auto"/>
        <w:ind w:left="0" w:firstLine="0"/>
        <w:jc w:val="both"/>
        <w:rPr>
          <w:rFonts w:ascii="Arial" w:hAnsi="Arial" w:cs="Arial"/>
          <w:b w:val="0"/>
          <w:bCs w:val="0"/>
          <w:i w:val="0"/>
          <w:snapToGrid w:val="0"/>
        </w:rPr>
      </w:pPr>
      <w:bookmarkStart w:id="21" w:name="4._Trial_Progress_"/>
      <w:bookmarkEnd w:id="21"/>
      <w:bookmarkStart w:id="22" w:name="_Toc499306997"/>
      <w:r>
        <w:rPr>
          <w:rFonts w:hint="eastAsia" w:ascii="Arial" w:hAnsi="Arial" w:cs="Arial"/>
          <w:snapToGrid w:val="0"/>
        </w:rPr>
        <w:t>试验进展</w:t>
      </w:r>
      <w:bookmarkEnd w:id="22"/>
    </w:p>
    <w:p w14:paraId="5B8086D6">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b/>
          <w:snapToGrid w:val="0"/>
        </w:rPr>
        <w:t>总受试者招募数量</w:t>
      </w:r>
      <w:r>
        <w:rPr>
          <w:rFonts w:hint="eastAsia" w:ascii="Arial" w:hAnsi="Arial" w:cs="Arial"/>
          <w:snapToGrid w:val="0"/>
        </w:rPr>
        <w:t>。主要由申办方负责监测研究。但是，在保护人类受试者的同时，IRB还应对试验进展进行审查。例如，大多数研究一般都需要确定预期入选率和中途退出率。如果实际和预期入选率和中途退出率之间存在差异（无论是在个别研究中心，还是在整个研究中），则可能表明需要对问题进行进一步研究。</w:t>
      </w:r>
    </w:p>
    <w:p w14:paraId="218DC05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进行初始审查时，IRB将批准方案，其中，方案通常应包括特定研究中心预计将招募的受试者数量。如果研究者招募的受试者数量超过了该研究中心所允许的数量，则可能违反了研究方案或由IRB或FDA设定的条件。</w:t>
      </w:r>
    </w:p>
    <w:p w14:paraId="5A350139">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有关整个研究招募的受试者数量信息可以允许IRB确定招募数量是否与核准方案所述计划受试者数量一致。如果整个研究招募的受试者数量过低（因为受试者招募数量过低或受试者退出率太高），则可能没有理由继续让受试者暴露于供试品相关风险，因为研究本身可能无法提供足够的数据来解答现有科学问题（请参见21 CFR 56.111 （a)（2）。）</w:t>
      </w:r>
    </w:p>
    <w:p w14:paraId="6F1C7F9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了解决招募数量过低的问题，IRB可以建议探索招募数量过低背后的原因，并采取适当措施来补救这种情况（例如，建议修改招募规范，调整入选标准，评价退出率过高的原因）。在多中心研究中，参与研究中心可能会在不同时间招募受试者。在这种情况下，可以汇总所有研究中心的招募数量信息，以便证明即使地方招募数量较低，也应继续在个别研究中心进行临床研究。IRB应注意，研究招募完成后，研究不得过分延长。</w:t>
      </w:r>
      <w:r>
        <w:rPr>
          <w:rStyle w:val="18"/>
          <w:rFonts w:ascii="Arial" w:hAnsi="Arial" w:cs="Arial"/>
          <w:snapToGrid w:val="0"/>
        </w:rPr>
        <w:footnoteReference w:id="15"/>
      </w:r>
    </w:p>
    <w:p w14:paraId="4CEC436F">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b/>
          <w:snapToGrid w:val="0"/>
        </w:rPr>
        <w:t>受试者退出</w:t>
      </w:r>
      <w:r>
        <w:rPr>
          <w:rFonts w:hint="eastAsia" w:ascii="Arial" w:hAnsi="Arial" w:cs="Arial"/>
          <w:snapToGrid w:val="0"/>
        </w:rPr>
        <w:t>。由于各种原因（例如，严重不良事件，与研究中心工作人员冲突，交通问题），受试者可能退出研究。</w:t>
      </w:r>
    </w:p>
    <w:p w14:paraId="3F8C441F">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IRB持续审查程序应要求对以下内容进行审查：</w:t>
      </w:r>
    </w:p>
    <w:p w14:paraId="0173B8D7">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与其他研究中心相比，退出</w:t>
      </w:r>
      <w:bookmarkStart w:id="23" w:name="OLE_LINK5"/>
      <w:bookmarkStart w:id="24" w:name="OLE_LINK4"/>
      <w:r>
        <w:rPr>
          <w:rFonts w:hint="eastAsia" w:ascii="Arial" w:hAnsi="Arial" w:eastAsia="宋体" w:cs="Arial"/>
          <w:snapToGrid w:val="0"/>
          <w:sz w:val="24"/>
          <w:szCs w:val="24"/>
        </w:rPr>
        <w:t>地方研究中心研究</w:t>
      </w:r>
      <w:bookmarkEnd w:id="23"/>
      <w:bookmarkEnd w:id="24"/>
      <w:r>
        <w:rPr>
          <w:rFonts w:hint="eastAsia" w:ascii="Arial" w:hAnsi="Arial" w:eastAsia="宋体" w:cs="Arial"/>
          <w:snapToGrid w:val="0"/>
          <w:sz w:val="24"/>
          <w:szCs w:val="24"/>
        </w:rPr>
        <w:t>的受试者数量，以及</w:t>
      </w:r>
    </w:p>
    <w:p w14:paraId="1FBC19E1">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受试者退出地方研究的原因总结。</w:t>
      </w:r>
    </w:p>
    <w:p w14:paraId="7C1A6514">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609CA6F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关于受试者退出的信息可能在IRB或机构文件中提供，或从其他来源获得（例如投诉文件、申办方、临床研究者、合同研究组织（CRO））。IRB对这些信息进行审查可以了解有关地方研究中心研究行为的问题。</w:t>
      </w:r>
    </w:p>
    <w:p w14:paraId="0C47196E">
      <w:pPr>
        <w:pStyle w:val="3"/>
        <w:numPr>
          <w:ilvl w:val="0"/>
          <w:numId w:val="3"/>
        </w:numPr>
        <w:tabs>
          <w:tab w:val="left" w:pos="481"/>
        </w:tabs>
        <w:topLinePunct/>
        <w:adjustRightInd w:val="0"/>
        <w:snapToGrid w:val="0"/>
        <w:spacing w:after="224" w:afterLines="75" w:line="288" w:lineRule="auto"/>
        <w:ind w:left="0" w:firstLine="0"/>
        <w:jc w:val="both"/>
        <w:rPr>
          <w:rFonts w:ascii="Arial" w:hAnsi="Arial" w:cs="Arial"/>
          <w:b w:val="0"/>
          <w:bCs w:val="0"/>
          <w:snapToGrid w:val="0"/>
        </w:rPr>
      </w:pPr>
      <w:bookmarkStart w:id="25" w:name="D.___When_Expedited_Review_Procedures_Ma"/>
      <w:bookmarkEnd w:id="25"/>
      <w:bookmarkStart w:id="26" w:name="_Toc499306998"/>
      <w:r>
        <w:rPr>
          <w:rFonts w:hint="eastAsia" w:ascii="Arial" w:hAnsi="Arial" w:cs="Arial"/>
          <w:snapToGrid w:val="0"/>
        </w:rPr>
        <w:t>快速审查程序何时可用于持续审查</w:t>
      </w:r>
      <w:bookmarkEnd w:id="26"/>
    </w:p>
    <w:p w14:paraId="5D73854E">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21 CFR 56.110（b）允许对研究进行快速审查，但此类研究需位于联邦公报公布的类别列表内，</w:t>
      </w:r>
      <w:r>
        <w:rPr>
          <w:rStyle w:val="18"/>
          <w:rFonts w:ascii="Arial" w:hAnsi="Arial" w:cs="Arial"/>
          <w:snapToGrid w:val="0"/>
        </w:rPr>
        <w:footnoteReference w:id="16"/>
      </w:r>
      <w:r>
        <w:rPr>
          <w:rFonts w:hint="eastAsia" w:ascii="Arial" w:hAnsi="Arial" w:cs="Arial"/>
          <w:snapToGrid w:val="0"/>
        </w:rPr>
        <w:t>且不会超出最低风险。本法规允许使用快速程序进行持续审查，条件是此类要求已得到满足。</w:t>
      </w:r>
    </w:p>
    <w:p w14:paraId="0478816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如果研究符合快速审查资格，审查可以由IRB主席或由主席从IRB成员中指定一位或多位有经验的审查员进行，然后由其告知成员作出的决定（请参见21 CFR 56.110（b）和（c））。</w:t>
      </w:r>
    </w:p>
    <w:p w14:paraId="23D8FD2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进行持续审查时，仅可在召集会议上驳回研究，而不得通过快速审查过程进行驳回。IRB主席或其指定人员可以批准研究或要求对研究进行修改以便授予批准，但不得使用快速程序驳回研究（21 CFR 56.110（b））。</w:t>
      </w:r>
    </w:p>
    <w:p w14:paraId="4801CE1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目前符合快速审查资格的研究列表确定了九类研究，其中最后两类（8和9）仅适用于持续审查先前由召集IRB批准的研究（也就是说，先前并未通过快速审查批准）。这两种类别将在下面进一步讨论（有关符合快速IRB审查资格的研究类别列表，请参见附录）。</w:t>
      </w:r>
    </w:p>
    <w:p w14:paraId="02BAC8D6">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现有列表，在审查时满足类别（1）至（7）要求的研究可能符合快速审查资格（无论是初始审查还是持续审查）。一般来说，在初始审查时，有资格根据这七种类别中一种进行快速审查的研究将持续符合快速持续审查资格。但是，IRB应意识到，在某些情况下，先前通过快速审查程序批准的研究可能需要IRB在召集会议上进行持续审查。例如，如果信息表明该研究不再适合该类别，或者不再仅涉及不超过最低限度的风险，则先前有资格根据类别（1）-（7）进行快速审查的研究可能需要由召集IRB进行审查。相反，如果以及符合类别（8）或（9），在持续审查时，先前需要由IRB在召集会议上进行审查（初始或持续）的研究可能符合快速评审资格。</w:t>
      </w:r>
    </w:p>
    <w:p w14:paraId="4078C5EF">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5A7D8750">
      <w:pPr>
        <w:pStyle w:val="4"/>
        <w:numPr>
          <w:ilvl w:val="0"/>
          <w:numId w:val="5"/>
        </w:numPr>
        <w:tabs>
          <w:tab w:val="left" w:pos="481"/>
        </w:tabs>
        <w:topLinePunct/>
        <w:adjustRightInd w:val="0"/>
        <w:snapToGrid w:val="0"/>
        <w:spacing w:after="224" w:afterLines="75" w:line="288" w:lineRule="auto"/>
        <w:ind w:left="0" w:firstLine="0"/>
        <w:jc w:val="both"/>
        <w:rPr>
          <w:rFonts w:ascii="Arial" w:hAnsi="Arial" w:cs="Arial"/>
          <w:b w:val="0"/>
          <w:bCs w:val="0"/>
          <w:i w:val="0"/>
          <w:snapToGrid w:val="0"/>
        </w:rPr>
      </w:pPr>
      <w:bookmarkStart w:id="27" w:name="1._Expedited_Review_Category_(8)"/>
      <w:bookmarkEnd w:id="27"/>
      <w:bookmarkStart w:id="28" w:name="_Toc499306999"/>
      <w:r>
        <w:rPr>
          <w:rFonts w:hint="eastAsia" w:ascii="Arial" w:hAnsi="Arial" w:cs="Arial"/>
          <w:snapToGrid w:val="0"/>
        </w:rPr>
        <w:t>快速审查类别（8）</w:t>
      </w:r>
      <w:bookmarkEnd w:id="28"/>
    </w:p>
    <w:p w14:paraId="051579C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仅适用于持续审查的类别（8）规定，持续审查先前由召集IRB批准的研究（例如，最初不符合快速审查资格）时，可以使用快速审查过程：</w:t>
      </w:r>
    </w:p>
    <w:p w14:paraId="1ABDD109">
      <w:pPr>
        <w:pStyle w:val="20"/>
        <w:numPr>
          <w:ilvl w:val="1"/>
          <w:numId w:val="5"/>
        </w:numPr>
        <w:tabs>
          <w:tab w:val="left" w:pos="868"/>
        </w:tabs>
        <w:topLinePunct/>
        <w:adjustRightInd w:val="0"/>
        <w:snapToGrid w:val="0"/>
        <w:spacing w:line="288" w:lineRule="auto"/>
        <w:ind w:left="425" w:leftChars="193" w:firstLine="0"/>
        <w:jc w:val="both"/>
        <w:rPr>
          <w:rFonts w:ascii="Arial" w:hAnsi="Arial" w:eastAsia="宋体" w:cs="Arial"/>
          <w:snapToGrid w:val="0"/>
          <w:sz w:val="24"/>
          <w:szCs w:val="24"/>
        </w:rPr>
      </w:pPr>
      <w:r>
        <w:rPr>
          <w:rFonts w:hint="eastAsia" w:ascii="Arial" w:hAnsi="Arial" w:eastAsia="宋体" w:cs="Arial"/>
          <w:snapToGrid w:val="0"/>
          <w:sz w:val="24"/>
          <w:szCs w:val="24"/>
        </w:rPr>
        <w:t>其中</w:t>
      </w:r>
    </w:p>
    <w:p w14:paraId="1CF2B637">
      <w:pPr>
        <w:pStyle w:val="20"/>
        <w:numPr>
          <w:ilvl w:val="2"/>
          <w:numId w:val="5"/>
        </w:numPr>
        <w:tabs>
          <w:tab w:val="left" w:pos="1561"/>
        </w:tabs>
        <w:topLinePunct/>
        <w:adjustRightInd w:val="0"/>
        <w:snapToGrid w:val="0"/>
        <w:spacing w:line="288" w:lineRule="auto"/>
        <w:ind w:left="1133" w:leftChars="515" w:firstLine="0"/>
        <w:jc w:val="both"/>
        <w:rPr>
          <w:rFonts w:ascii="Arial" w:hAnsi="Arial" w:eastAsia="宋体" w:cs="Arial"/>
          <w:snapToGrid w:val="0"/>
          <w:sz w:val="24"/>
          <w:szCs w:val="24"/>
        </w:rPr>
      </w:pPr>
      <w:r>
        <w:rPr>
          <w:rFonts w:hint="eastAsia" w:ascii="Arial" w:hAnsi="Arial" w:eastAsia="宋体" w:cs="Arial"/>
          <w:snapToGrid w:val="0"/>
          <w:sz w:val="24"/>
          <w:szCs w:val="24"/>
        </w:rPr>
        <w:t>研究永远不再招募新受试者；</w:t>
      </w:r>
    </w:p>
    <w:p w14:paraId="3B8F7F4A">
      <w:pPr>
        <w:pStyle w:val="20"/>
        <w:numPr>
          <w:ilvl w:val="2"/>
          <w:numId w:val="5"/>
        </w:numPr>
        <w:tabs>
          <w:tab w:val="left" w:pos="1561"/>
        </w:tabs>
        <w:topLinePunct/>
        <w:adjustRightInd w:val="0"/>
        <w:snapToGrid w:val="0"/>
        <w:spacing w:line="288" w:lineRule="auto"/>
        <w:ind w:left="1133" w:leftChars="515" w:firstLine="0"/>
        <w:jc w:val="both"/>
        <w:rPr>
          <w:rFonts w:ascii="Arial" w:hAnsi="Arial" w:eastAsia="宋体" w:cs="Arial"/>
          <w:snapToGrid w:val="0"/>
          <w:sz w:val="24"/>
          <w:szCs w:val="24"/>
        </w:rPr>
      </w:pPr>
      <w:r>
        <w:rPr>
          <w:rFonts w:hint="eastAsia" w:ascii="Arial" w:hAnsi="Arial" w:eastAsia="宋体" w:cs="Arial"/>
          <w:snapToGrid w:val="0"/>
          <w:sz w:val="24"/>
          <w:szCs w:val="24"/>
        </w:rPr>
        <w:t>所有受试者均已完成所有研究相关干预；以及</w:t>
      </w:r>
    </w:p>
    <w:p w14:paraId="3E597299">
      <w:pPr>
        <w:pStyle w:val="20"/>
        <w:numPr>
          <w:ilvl w:val="2"/>
          <w:numId w:val="5"/>
        </w:numPr>
        <w:tabs>
          <w:tab w:val="left" w:pos="1561"/>
        </w:tabs>
        <w:topLinePunct/>
        <w:adjustRightInd w:val="0"/>
        <w:snapToGrid w:val="0"/>
        <w:spacing w:line="288" w:lineRule="auto"/>
        <w:ind w:left="1133" w:leftChars="515" w:firstLine="0"/>
        <w:jc w:val="both"/>
        <w:rPr>
          <w:rFonts w:ascii="Arial" w:hAnsi="Arial" w:eastAsia="宋体" w:cs="Arial"/>
          <w:snapToGrid w:val="0"/>
          <w:sz w:val="24"/>
          <w:szCs w:val="24"/>
        </w:rPr>
      </w:pPr>
      <w:r>
        <w:rPr>
          <w:rFonts w:hint="eastAsia" w:ascii="Arial" w:hAnsi="Arial" w:eastAsia="宋体" w:cs="Arial"/>
          <w:snapToGrid w:val="0"/>
          <w:sz w:val="24"/>
          <w:szCs w:val="24"/>
        </w:rPr>
        <w:t>研究仅对受试者进行积极长期随访；或</w:t>
      </w:r>
    </w:p>
    <w:p w14:paraId="61E2BD19">
      <w:pPr>
        <w:pStyle w:val="20"/>
        <w:numPr>
          <w:ilvl w:val="1"/>
          <w:numId w:val="5"/>
        </w:numPr>
        <w:tabs>
          <w:tab w:val="left" w:pos="867"/>
        </w:tabs>
        <w:topLinePunct/>
        <w:adjustRightInd w:val="0"/>
        <w:snapToGrid w:val="0"/>
        <w:spacing w:line="288" w:lineRule="auto"/>
        <w:ind w:left="425" w:leftChars="193" w:firstLine="0"/>
        <w:jc w:val="both"/>
        <w:rPr>
          <w:rFonts w:ascii="Arial" w:hAnsi="Arial" w:eastAsia="宋体" w:cs="Arial"/>
          <w:snapToGrid w:val="0"/>
          <w:sz w:val="24"/>
        </w:rPr>
      </w:pPr>
      <w:r>
        <w:rPr>
          <w:rFonts w:hint="eastAsia" w:ascii="Arial" w:hAnsi="Arial" w:eastAsia="宋体" w:cs="Arial"/>
          <w:snapToGrid w:val="0"/>
          <w:sz w:val="24"/>
        </w:rPr>
        <w:t>未入选任何受试者，以及未发现附加风险；或</w:t>
      </w:r>
    </w:p>
    <w:p w14:paraId="71049D22">
      <w:pPr>
        <w:pStyle w:val="20"/>
        <w:numPr>
          <w:ilvl w:val="1"/>
          <w:numId w:val="5"/>
        </w:numPr>
        <w:tabs>
          <w:tab w:val="left" w:pos="867"/>
        </w:tabs>
        <w:topLinePunct/>
        <w:adjustRightInd w:val="0"/>
        <w:snapToGrid w:val="0"/>
        <w:spacing w:after="224" w:afterLines="75" w:line="288" w:lineRule="auto"/>
        <w:ind w:left="425" w:leftChars="193" w:firstLine="0"/>
        <w:jc w:val="both"/>
        <w:rPr>
          <w:rFonts w:ascii="Arial" w:hAnsi="Arial" w:eastAsia="宋体" w:cs="Arial"/>
          <w:snapToGrid w:val="0"/>
          <w:sz w:val="24"/>
        </w:rPr>
      </w:pPr>
      <w:r>
        <w:rPr>
          <w:rFonts w:hint="eastAsia" w:ascii="Arial" w:hAnsi="Arial" w:eastAsia="宋体" w:cs="Arial"/>
          <w:snapToGrid w:val="0"/>
          <w:sz w:val="24"/>
        </w:rPr>
        <w:t>剩余研究活动仅限于数据分析。</w:t>
      </w:r>
      <w:r>
        <w:rPr>
          <w:rStyle w:val="18"/>
          <w:rFonts w:ascii="Arial" w:hAnsi="Arial" w:eastAsia="宋体" w:cs="Arial"/>
          <w:snapToGrid w:val="0"/>
          <w:sz w:val="24"/>
        </w:rPr>
        <w:footnoteReference w:id="17"/>
      </w:r>
    </w:p>
    <w:p w14:paraId="4256AA5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对于多中心研究，如果接受持续审查的研究满足类别（8）（a），（b）或（c）的条件，则IRB可以使用快速审查程序。</w:t>
      </w:r>
    </w:p>
    <w:p w14:paraId="4BDBD4FE">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于多中心研究，不同研究中心可能会有不同的开始日期和入选率，因此可能会处于试验的不同阶段。因此，符合快速审查类别标准的研究中心的IRB（8）可以使用快速审查程序来进行持续审查，而不符合此类标准的研究中心的IRB则需要召开会议，对该研究进行持续审查。执行长期随访或数据分析等持续活动的研究中心（例如，运营研究协调中心或统计中心的研究中心）的IRB需要确保，每年至少对此类研究中心的研究进行一次持续审查。多中心研究中的其他研究中心可能已经完成研究，且其无需进行进一步数据分析或在该试验中未负有其他责任，则可以关闭此类研究中心；无需再对此类研究中心进行持续审查。</w:t>
      </w:r>
    </w:p>
    <w:p w14:paraId="64FD089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对于设有中心IRB的多中心研究，应签订书面协议，规定中心IRB和地方IRB的责任。</w:t>
      </w:r>
      <w:r>
        <w:fldChar w:fldCharType="begin"/>
      </w:r>
      <w:r>
        <w:instrText xml:space="preserve"> HYPERLINK \l "_bookmark30" </w:instrText>
      </w:r>
      <w:r>
        <w:fldChar w:fldCharType="separate"/>
      </w:r>
      <w:r>
        <w:rPr>
          <w:rStyle w:val="18"/>
        </w:rPr>
        <w:footnoteReference w:id="18"/>
      </w:r>
      <w:r>
        <w:rPr>
          <w:rStyle w:val="18"/>
        </w:rPr>
        <w:fldChar w:fldCharType="end"/>
      </w:r>
      <w:r>
        <w:rPr>
          <w:rFonts w:hint="eastAsia" w:ascii="Arial" w:hAnsi="Arial" w:cs="Arial"/>
          <w:snapToGrid w:val="0"/>
        </w:rPr>
        <w:t>根据地方IRB和中心IRB之间任何审查协议的条款，中心IRB可以使用快速审查程序为多个研究中心的研究提供持续审查。</w:t>
      </w:r>
    </w:p>
    <w:p w14:paraId="27226493">
      <w:pPr>
        <w:topLinePunct/>
        <w:adjustRightInd w:val="0"/>
        <w:snapToGrid w:val="0"/>
        <w:spacing w:after="224" w:afterLines="75" w:line="288" w:lineRule="auto"/>
        <w:jc w:val="both"/>
        <w:rPr>
          <w:rFonts w:ascii="Arial" w:hAnsi="Arial" w:eastAsia="宋体" w:cs="Arial"/>
          <w:i/>
          <w:snapToGrid w:val="0"/>
          <w:sz w:val="24"/>
          <w:szCs w:val="24"/>
          <w:u w:val="single" w:color="000000"/>
        </w:rPr>
      </w:pPr>
      <w:r>
        <w:rPr>
          <w:rFonts w:hint="eastAsia" w:ascii="Arial" w:hAnsi="Arial" w:eastAsia="宋体" w:cs="Arial"/>
          <w:i/>
          <w:snapToGrid w:val="0"/>
          <w:sz w:val="24"/>
          <w:szCs w:val="24"/>
          <w:u w:val="single" w:color="000000"/>
        </w:rPr>
        <w:t>快速审查类别（8）（a）和</w:t>
      </w:r>
      <w:r>
        <w:rPr>
          <w:rFonts w:hint="eastAsia" w:ascii="宋体" w:hAnsi="宋体" w:eastAsia="宋体" w:cs="Arial"/>
          <w:i/>
          <w:snapToGrid w:val="0"/>
          <w:sz w:val="24"/>
          <w:szCs w:val="24"/>
          <w:u w:val="single" w:color="000000"/>
        </w:rPr>
        <w:t>“</w:t>
      </w:r>
      <w:r>
        <w:rPr>
          <w:rFonts w:hint="eastAsia" w:ascii="Arial" w:hAnsi="Arial" w:eastAsia="宋体" w:cs="Arial"/>
          <w:i/>
          <w:snapToGrid w:val="0"/>
          <w:sz w:val="24"/>
          <w:szCs w:val="24"/>
          <w:u w:val="single" w:color="000000"/>
        </w:rPr>
        <w:t>长期随访</w:t>
      </w:r>
      <w:r>
        <w:rPr>
          <w:rFonts w:hint="eastAsia" w:ascii="宋体" w:hAnsi="宋体" w:eastAsia="宋体" w:cs="Arial"/>
          <w:i/>
          <w:snapToGrid w:val="0"/>
          <w:sz w:val="24"/>
          <w:szCs w:val="24"/>
          <w:u w:val="single" w:color="000000"/>
        </w:rPr>
        <w:t>”</w:t>
      </w:r>
      <w:r>
        <w:rPr>
          <w:rFonts w:hint="eastAsia" w:ascii="Arial" w:hAnsi="Arial" w:eastAsia="宋体" w:cs="Arial"/>
          <w:i/>
          <w:snapToGrid w:val="0"/>
          <w:sz w:val="24"/>
          <w:szCs w:val="24"/>
          <w:u w:val="single" w:color="000000"/>
        </w:rPr>
        <w:t>的含义</w:t>
      </w:r>
    </w:p>
    <w:p w14:paraId="6EF3B9AC">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根据快速审查类别（8）（a），FDA认为，</w:t>
      </w:r>
      <w:r>
        <w:rPr>
          <w:rFonts w:hint="eastAsia" w:ascii="宋体" w:hAnsi="宋体" w:cs="Arial"/>
          <w:snapToGrid w:val="0"/>
        </w:rPr>
        <w:t>“</w:t>
      </w:r>
      <w:r>
        <w:rPr>
          <w:rFonts w:hint="eastAsia" w:ascii="Arial" w:hAnsi="Arial" w:cs="Arial"/>
          <w:snapToGrid w:val="0"/>
        </w:rPr>
        <w:t>长期随访</w:t>
      </w:r>
      <w:r>
        <w:rPr>
          <w:rFonts w:hint="eastAsia" w:ascii="宋体" w:hAnsi="宋体" w:cs="Arial"/>
          <w:snapToGrid w:val="0"/>
        </w:rPr>
        <w:t>”</w:t>
      </w:r>
      <w:r>
        <w:rPr>
          <w:rFonts w:hint="eastAsia" w:ascii="Arial" w:hAnsi="Arial" w:cs="Arial"/>
          <w:snapToGrid w:val="0"/>
        </w:rPr>
        <w:t>应包括：</w:t>
      </w:r>
    </w:p>
    <w:p w14:paraId="79A1523B">
      <w:pPr>
        <w:pStyle w:val="20"/>
        <w:numPr>
          <w:ilvl w:val="0"/>
          <w:numId w:val="6"/>
        </w:numPr>
        <w:topLinePunct/>
        <w:adjustRightInd w:val="0"/>
        <w:snapToGrid w:val="0"/>
        <w:spacing w:line="288" w:lineRule="auto"/>
        <w:ind w:left="977" w:leftChars="25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进行仅会对受试者构成不超过最低限度的风险的研究互动（例如生活质量调查）</w:t>
      </w:r>
      <w:r>
        <w:rPr>
          <w:rFonts w:ascii="Arial" w:hAnsi="Arial" w:eastAsia="宋体" w:cs="Arial"/>
          <w:snapToGrid w:val="0"/>
          <w:sz w:val="24"/>
          <w:szCs w:val="24"/>
        </w:rPr>
        <w:t>；</w:t>
      </w:r>
      <w:r>
        <w:rPr>
          <w:rFonts w:hint="eastAsia" w:ascii="Arial" w:hAnsi="Arial" w:eastAsia="宋体" w:cs="Arial"/>
          <w:snapToGrid w:val="0"/>
          <w:sz w:val="24"/>
          <w:szCs w:val="24"/>
        </w:rPr>
        <w:t>以及</w:t>
      </w:r>
    </w:p>
    <w:p w14:paraId="2C312850">
      <w:pPr>
        <w:pStyle w:val="20"/>
        <w:numPr>
          <w:ilvl w:val="0"/>
          <w:numId w:val="6"/>
        </w:numPr>
        <w:topLinePunct/>
        <w:adjustRightInd w:val="0"/>
        <w:snapToGrid w:val="0"/>
        <w:spacing w:line="288" w:lineRule="auto"/>
        <w:ind w:left="977" w:leftChars="25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收集程序或干预的随访数据，其中，此类程序或干预应作为常规临床试验规范进行，旨在监测受试者的疾病进展或复发情况，不论研究方案是否涉及此类程序或干预。</w:t>
      </w:r>
    </w:p>
    <w:p w14:paraId="318B753E">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相反，FDA认为</w:t>
      </w:r>
      <w:r>
        <w:rPr>
          <w:rFonts w:hint="eastAsia" w:ascii="宋体" w:hAnsi="宋体" w:cs="Arial"/>
          <w:snapToGrid w:val="0"/>
        </w:rPr>
        <w:t>“</w:t>
      </w:r>
      <w:r>
        <w:rPr>
          <w:rFonts w:hint="eastAsia" w:ascii="Arial" w:hAnsi="Arial" w:cs="Arial"/>
          <w:snapToGrid w:val="0"/>
        </w:rPr>
        <w:t>长期随访</w:t>
      </w:r>
      <w:r>
        <w:rPr>
          <w:rFonts w:hint="eastAsia" w:ascii="宋体" w:hAnsi="宋体" w:cs="Arial"/>
          <w:snapToGrid w:val="0"/>
        </w:rPr>
        <w:t>”</w:t>
      </w:r>
      <w:r>
        <w:rPr>
          <w:rFonts w:hint="eastAsia" w:ascii="Arial" w:hAnsi="Arial" w:cs="Arial"/>
          <w:snapToGrid w:val="0"/>
        </w:rPr>
        <w:t>不包括：</w:t>
      </w:r>
    </w:p>
    <w:p w14:paraId="027ED139">
      <w:pPr>
        <w:pStyle w:val="20"/>
        <w:numPr>
          <w:ilvl w:val="0"/>
          <w:numId w:val="6"/>
        </w:numPr>
        <w:topLinePunct/>
        <w:adjustRightInd w:val="0"/>
        <w:snapToGrid w:val="0"/>
        <w:spacing w:after="224" w:afterLines="75" w:line="288" w:lineRule="auto"/>
        <w:ind w:left="977" w:leftChars="257" w:hanging="412" w:hangingChars="172"/>
        <w:jc w:val="both"/>
        <w:rPr>
          <w:rFonts w:ascii="Arial" w:hAnsi="Arial" w:eastAsia="宋体" w:cs="Arial"/>
          <w:snapToGrid w:val="0"/>
          <w:sz w:val="24"/>
          <w:szCs w:val="24"/>
        </w:rPr>
      </w:pPr>
      <w:r>
        <w:rPr>
          <w:rFonts w:hint="eastAsia" w:ascii="Arial" w:hAnsi="Arial" w:eastAsia="宋体" w:cs="Arial"/>
          <w:snapToGrid w:val="0"/>
          <w:sz w:val="24"/>
        </w:rPr>
        <w:t>进行与临床实验无关的研究干预，即使此类研究干预只涉及不超过最低限度的风险。</w:t>
      </w:r>
    </w:p>
    <w:p w14:paraId="7A12FFFF">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请注意，有些研究先前可能不符合根据类别（8）（a）进行快速审查的条件，但在持续审查时，其可能有资格根据其他快速审查类别之一进行快速审查。例如，如果研究的唯一剩余活动涉及对受试者进行长期随访，而随访方式是每年抽取15毫升血液，以用于不属于常规临床试验规范的试验，则此类研究不得根据</w:t>
      </w:r>
      <w:bookmarkStart w:id="29" w:name="OLE_LINK6"/>
      <w:bookmarkStart w:id="30" w:name="OLE_LINK7"/>
      <w:r>
        <w:rPr>
          <w:rFonts w:hint="eastAsia" w:ascii="Arial" w:hAnsi="Arial" w:cs="Arial"/>
          <w:snapToGrid w:val="0"/>
        </w:rPr>
        <w:t>类</w:t>
      </w:r>
      <w:bookmarkEnd w:id="29"/>
      <w:bookmarkEnd w:id="30"/>
      <w:r>
        <w:rPr>
          <w:rFonts w:hint="eastAsia" w:ascii="Arial" w:hAnsi="Arial" w:cs="Arial"/>
          <w:snapToGrid w:val="0"/>
        </w:rPr>
        <w:t>别（8）（a）进行快速审查，但可以根据类别（2）进行快速审查。</w:t>
      </w:r>
    </w:p>
    <w:p w14:paraId="1E0D9BE4">
      <w:pPr>
        <w:topLinePunct/>
        <w:adjustRightInd w:val="0"/>
        <w:snapToGrid w:val="0"/>
        <w:spacing w:after="224" w:afterLines="75" w:line="288" w:lineRule="auto"/>
        <w:jc w:val="both"/>
        <w:rPr>
          <w:rFonts w:ascii="Arial" w:hAnsi="Arial" w:eastAsia="宋体" w:cs="Arial"/>
          <w:snapToGrid w:val="0"/>
          <w:sz w:val="24"/>
          <w:szCs w:val="24"/>
        </w:rPr>
      </w:pPr>
      <w:r>
        <w:rPr>
          <w:rFonts w:hint="eastAsia" w:ascii="Arial" w:hAnsi="Arial" w:eastAsia="宋体" w:cs="Arial"/>
          <w:i/>
          <w:snapToGrid w:val="0"/>
          <w:sz w:val="24"/>
          <w:u w:val="single" w:color="000000"/>
        </w:rPr>
        <w:t>快速审查类别（8）（b）</w:t>
      </w:r>
    </w:p>
    <w:p w14:paraId="670BC4D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进行持续审查的IRB应意识到，如果研究先前根据类别（8）（b）进行快速持续审查，但现在已经开始招募受试者，则可能需要将该研究呈交给IRB，供其在召集会议上进行审查。</w:t>
      </w:r>
      <w:r>
        <w:rPr>
          <w:rFonts w:ascii="Arial" w:hAnsi="Arial" w:cs="Arial"/>
          <w:snapToGrid w:val="0"/>
        </w:rPr>
        <w:t>FDA</w:t>
      </w:r>
      <w:r>
        <w:rPr>
          <w:rFonts w:hint="eastAsia" w:ascii="Arial" w:hAnsi="Arial" w:cs="Arial"/>
          <w:snapToGrid w:val="0"/>
        </w:rPr>
        <w:t>认为，标准</w:t>
      </w:r>
      <w:r>
        <w:rPr>
          <w:rFonts w:hint="eastAsia" w:ascii="宋体" w:hAnsi="宋体" w:cs="Arial"/>
          <w:snapToGrid w:val="0"/>
        </w:rPr>
        <w:t>“</w:t>
      </w:r>
      <w:r>
        <w:rPr>
          <w:rFonts w:hint="eastAsia" w:ascii="Arial" w:hAnsi="Arial" w:cs="Arial"/>
          <w:snapToGrid w:val="0"/>
        </w:rPr>
        <w:t>未发现附加风险</w:t>
      </w:r>
      <w:r>
        <w:rPr>
          <w:rFonts w:hint="eastAsia" w:ascii="宋体" w:hAnsi="宋体" w:cs="Arial"/>
          <w:snapToGrid w:val="0"/>
        </w:rPr>
        <w:t>”</w:t>
      </w:r>
      <w:r>
        <w:rPr>
          <w:rFonts w:hint="eastAsia" w:ascii="Arial" w:hAnsi="Arial" w:cs="Arial"/>
          <w:snapToGrid w:val="0"/>
        </w:rPr>
        <w:t>是指自IRB最近一次审查以来，研究者或IRB未从任何相关来源</w:t>
      </w:r>
      <w:r>
        <w:rPr>
          <w:rStyle w:val="18"/>
          <w:rFonts w:ascii="Arial" w:hAnsi="Arial" w:cs="Arial"/>
          <w:snapToGrid w:val="0"/>
        </w:rPr>
        <w:footnoteReference w:id="19"/>
      </w:r>
      <w:r>
        <w:rPr>
          <w:rFonts w:hint="eastAsia" w:ascii="Arial" w:hAnsi="Arial" w:cs="Arial"/>
          <w:snapToGrid w:val="0"/>
        </w:rPr>
        <w:t>发现任何其他风险。</w:t>
      </w:r>
    </w:p>
    <w:p w14:paraId="6E907924">
      <w:pPr>
        <w:topLinePunct/>
        <w:adjustRightInd w:val="0"/>
        <w:snapToGrid w:val="0"/>
        <w:spacing w:after="224" w:afterLines="75" w:line="288" w:lineRule="auto"/>
        <w:jc w:val="both"/>
        <w:rPr>
          <w:rFonts w:ascii="Arial" w:hAnsi="Arial" w:eastAsia="宋体" w:cs="Arial"/>
          <w:snapToGrid w:val="0"/>
          <w:sz w:val="24"/>
          <w:szCs w:val="24"/>
        </w:rPr>
      </w:pPr>
      <w:r>
        <w:rPr>
          <w:rFonts w:hint="eastAsia" w:ascii="Arial" w:hAnsi="Arial" w:eastAsia="宋体" w:cs="Arial"/>
          <w:i/>
          <w:snapToGrid w:val="0"/>
          <w:sz w:val="24"/>
          <w:u w:val="single" w:color="000000"/>
        </w:rPr>
        <w:t>快速审查类别（8）（c）</w:t>
      </w:r>
    </w:p>
    <w:p w14:paraId="2A9D3DC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指出，如果研究符合快速审查类别（8）（c），则对其进行持续审查时，可以使用简单的简化过程。例如，如果研究不再招募受试者，所有受试者均已完成方案要求的所有探访，未收集新的数据，且研究者进行的唯一活动是数据分析，则在接受持续审查时，研究者可以针对研究向IRB作出以下声明：</w:t>
      </w:r>
      <w:r>
        <w:rPr>
          <w:rFonts w:hint="eastAsia" w:ascii="宋体" w:hAnsi="宋体" w:cs="Arial"/>
          <w:snapToGrid w:val="0"/>
        </w:rPr>
        <w:t>“</w:t>
      </w:r>
      <w:r>
        <w:rPr>
          <w:rFonts w:hint="eastAsia" w:ascii="Arial" w:hAnsi="Arial" w:cs="Arial"/>
          <w:snapToGrid w:val="0"/>
        </w:rPr>
        <w:t>该研究仅涉及数据分析，且按照IRB批准的研究方案进行，因此，没有任何问题可以报告。</w:t>
      </w:r>
      <w:r>
        <w:rPr>
          <w:rFonts w:hint="eastAsia" w:ascii="宋体" w:hAnsi="宋体" w:cs="Arial"/>
          <w:snapToGrid w:val="0"/>
        </w:rPr>
        <w:t>”</w:t>
      </w:r>
      <w:r>
        <w:rPr>
          <w:rFonts w:hint="eastAsia" w:ascii="Arial" w:hAnsi="Arial" w:cs="Arial"/>
          <w:snapToGrid w:val="0"/>
        </w:rPr>
        <w:t>此声明可以通过电子邮件或在标准持续审查申请表中提供。在从研究者收到的这种陈述后，根据快速审查程序，IRB主席或主席指定的其他成员可以批准继续研究项目，批准有效期为一年，期间无需进行进一步审议或审查。</w:t>
      </w:r>
    </w:p>
    <w:p w14:paraId="40E9F68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成功从所有试验研究中心收集数据，整个研究结果数据库已锁定，且唯一剩余活动是研究申办方对汇总数据进行分析后，通常无需对研究进行进一步的持续审查。</w:t>
      </w:r>
    </w:p>
    <w:p w14:paraId="10D84623">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5F0FDFDB">
      <w:pPr>
        <w:pStyle w:val="4"/>
        <w:numPr>
          <w:ilvl w:val="0"/>
          <w:numId w:val="5"/>
        </w:numPr>
        <w:tabs>
          <w:tab w:val="left" w:pos="481"/>
        </w:tabs>
        <w:topLinePunct/>
        <w:adjustRightInd w:val="0"/>
        <w:snapToGrid w:val="0"/>
        <w:spacing w:after="224" w:afterLines="75" w:line="288" w:lineRule="auto"/>
        <w:ind w:left="0" w:firstLine="0"/>
        <w:jc w:val="both"/>
        <w:rPr>
          <w:rFonts w:ascii="Arial" w:hAnsi="Arial" w:cs="Arial"/>
          <w:b w:val="0"/>
          <w:bCs w:val="0"/>
          <w:i w:val="0"/>
          <w:snapToGrid w:val="0"/>
        </w:rPr>
      </w:pPr>
      <w:bookmarkStart w:id="31" w:name="2._Expedited_Review_Category_(9)"/>
      <w:bookmarkEnd w:id="31"/>
      <w:bookmarkStart w:id="32" w:name="_Toc499307000"/>
      <w:r>
        <w:rPr>
          <w:rFonts w:hint="eastAsia" w:ascii="Arial" w:hAnsi="Arial" w:cs="Arial"/>
          <w:snapToGrid w:val="0"/>
        </w:rPr>
        <w:t>快速审查类别（9）</w:t>
      </w:r>
      <w:bookmarkEnd w:id="32"/>
    </w:p>
    <w:p w14:paraId="40F624EF">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类别（9）的初始审查与审查类别（1）</w:t>
      </w:r>
      <w:r>
        <w:rPr>
          <w:rStyle w:val="18"/>
          <w:rFonts w:ascii="Arial" w:hAnsi="Arial" w:cs="Arial"/>
          <w:snapToGrid w:val="0"/>
        </w:rPr>
        <w:footnoteReference w:id="20"/>
      </w:r>
      <w:r>
        <w:rPr>
          <w:rFonts w:hint="eastAsia" w:ascii="Arial" w:hAnsi="Arial" w:cs="Arial"/>
          <w:snapToGrid w:val="0"/>
        </w:rPr>
        <w:t>类似，在类别（9）下，如果研究先前已由IRB在召集会议上批准，且满足以下条件，则可以使用快速审查程序进行持续审查：</w:t>
      </w:r>
    </w:p>
    <w:p w14:paraId="1D71FD64">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研究未根据研究性新药（IND）申请或研究性器械豁免（IDE）进行；</w:t>
      </w:r>
    </w:p>
    <w:p w14:paraId="30FD48F8">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快速审查类别（2）至（8）不适用于该研究；</w:t>
      </w:r>
    </w:p>
    <w:p w14:paraId="0F199A85">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IRB在召集会议上确定，研究仅会对受试者构成不超过最低限度的风险；以及</w:t>
      </w:r>
    </w:p>
    <w:p w14:paraId="517B2594">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未确定附加风险。</w:t>
      </w:r>
    </w:p>
    <w:p w14:paraId="4FBF85D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于第三个条件，IRB在召集会议上必须确定：（a）整个研究项目仅涉及不超过最低限度的风险，或（b）剩余研究活动对受试者构成不超过最低限度的风险。对于多中心研究，第四个条件（即）是指自IRB最近一次审查以来，根据从参与该研究项目的其他机构或任何其他相关来源获得的信息，研究者和特定机构的IRB未发现研究涉及任何附加风险。</w:t>
      </w:r>
    </w:p>
    <w:p w14:paraId="1356D5BB">
      <w:pPr>
        <w:pStyle w:val="3"/>
        <w:numPr>
          <w:ilvl w:val="0"/>
          <w:numId w:val="3"/>
        </w:numPr>
        <w:tabs>
          <w:tab w:val="left" w:pos="481"/>
        </w:tabs>
        <w:topLinePunct/>
        <w:adjustRightInd w:val="0"/>
        <w:snapToGrid w:val="0"/>
        <w:spacing w:after="224" w:afterLines="75" w:line="288" w:lineRule="auto"/>
        <w:ind w:left="0" w:firstLine="0"/>
        <w:jc w:val="both"/>
        <w:rPr>
          <w:rFonts w:ascii="Arial" w:hAnsi="Arial" w:cs="Arial"/>
          <w:b w:val="0"/>
          <w:bCs w:val="0"/>
          <w:snapToGrid w:val="0"/>
        </w:rPr>
      </w:pPr>
      <w:bookmarkStart w:id="33" w:name="E.__Frequency_of_Continuing_Review_"/>
      <w:bookmarkEnd w:id="33"/>
      <w:bookmarkStart w:id="34" w:name="_Toc499307001"/>
      <w:r>
        <w:rPr>
          <w:rFonts w:hint="eastAsia" w:ascii="Arial" w:hAnsi="Arial" w:cs="Arial"/>
          <w:snapToGrid w:val="0"/>
        </w:rPr>
        <w:t>持续审查的频率</w:t>
      </w:r>
      <w:bookmarkEnd w:id="34"/>
    </w:p>
    <w:p w14:paraId="315B26F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根据21 CFR 56.108 （a)（2）和56.109（f）的规定，IRB必须确定对各临床研究进行持续审查的频率，以便确保研究对象的权利和福利持续得到保护。21 CFR 56.109（f）中FDA法规规定，IRB应根据受试者风险程度，确定适当间隔来研究进行持续输出，但每年不得少于一次。</w:t>
      </w:r>
    </w:p>
    <w:p w14:paraId="047C4926">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如果受试者风险要求进行密切监测时，可以更频繁地进行审查（例如，每年一次以上）。在决定适当的持续审查间隔时，IRB应考虑下列因素。此类因素应在IRB关于决定持续审查频率的书面程序中概述：</w:t>
      </w:r>
    </w:p>
    <w:p w14:paraId="7D8417E8">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临床研究的性质及其带来的风险；</w:t>
      </w:r>
    </w:p>
    <w:p w14:paraId="4022D365">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所涉风险的不确定性程度；</w:t>
      </w:r>
    </w:p>
    <w:p w14:paraId="151C8BFD">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7A8FE474">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受试者人群的脆弱性；</w:t>
      </w:r>
    </w:p>
    <w:p w14:paraId="69419A5D">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临床研究者进行临床研究方面的经验；</w:t>
      </w:r>
    </w:p>
    <w:p w14:paraId="318C8544">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IRB关于研究者和／或申办方的先前经历（例如，符合性历史，研究者获得知情同意的先前问题，以及受试者先前提出的研究者相关投诉）；</w:t>
      </w:r>
    </w:p>
    <w:p w14:paraId="2E1DA6A1">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预计入选率；以及</w:t>
      </w:r>
    </w:p>
    <w:p w14:paraId="55715ACB">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研究是否涉及新型疗法。</w:t>
      </w:r>
    </w:p>
    <w:p w14:paraId="0608F9E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建议，在初步批准研究后，IRB应通知研究者持续审查的间隔（至少每年一次）和必须进行持续审查的日期。同样，在持续审查时，IRB应考虑目前对研究进行持续审查的频率是否适当或应该调整。除指定时间间隔外，IRB还可以指定受试者招募数量作为确定持续审查进行时间的阈值。例如，在初始审查和批准高风险临床试验时，IRB可能要求在6个月内或在入选5个受试者后（以较早者为准）进行持续审查。但是，如果持续审查间隔根据受试者招募数量确定，则每年应至少进行一次持续审查，不论当时受试者入选数量如何；因此，不应仅根据受试者入选数量来确定审查间隔。IRB会议记录应清楚记录批准期（持续审查间隔）。</w:t>
      </w:r>
    </w:p>
    <w:p w14:paraId="740DE6AE">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在决定批准研究后，IRB必须以书面形式向研究者通知该决定（21 CFR 56.109（e））。书面决定还应通知研究者持续审查的规定间隔和预期日期。</w:t>
      </w:r>
    </w:p>
    <w:p w14:paraId="35DAED61">
      <w:pPr>
        <w:pStyle w:val="3"/>
        <w:numPr>
          <w:ilvl w:val="0"/>
          <w:numId w:val="3"/>
        </w:numPr>
        <w:tabs>
          <w:tab w:val="left" w:pos="481"/>
        </w:tabs>
        <w:topLinePunct/>
        <w:adjustRightInd w:val="0"/>
        <w:snapToGrid w:val="0"/>
        <w:spacing w:after="224" w:afterLines="75" w:line="288" w:lineRule="auto"/>
        <w:ind w:left="0" w:firstLine="0"/>
        <w:jc w:val="both"/>
        <w:rPr>
          <w:rFonts w:ascii="Arial" w:hAnsi="Arial" w:cs="Arial"/>
          <w:b w:val="0"/>
          <w:bCs w:val="0"/>
          <w:snapToGrid w:val="0"/>
        </w:rPr>
      </w:pPr>
      <w:bookmarkStart w:id="35" w:name="F.___Determining_the_Effective_Date_of_I"/>
      <w:bookmarkEnd w:id="35"/>
      <w:bookmarkStart w:id="36" w:name="_Toc499307002"/>
      <w:r>
        <w:rPr>
          <w:rFonts w:hint="eastAsia" w:ascii="Arial" w:hAnsi="Arial" w:cs="Arial"/>
          <w:snapToGrid w:val="0"/>
        </w:rPr>
        <w:t>确定初始IRB批准生效日期和持续审查日期</w:t>
      </w:r>
      <w:bookmarkEnd w:id="36"/>
    </w:p>
    <w:p w14:paraId="3F5416F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必须以根据风险程度确定的间隔进行持续审查，但每年不能少于一次（21 CFR 56.109（f））。IRB应制定书面程序，通知研究者有关持续审查要求的FDA法规和IRB自己的政策和程序（请参见21 CFR 56.108 （a)（1）和（2））。不论通过召集IRB审查还是通过快速程序进行审查，上述要求均适用。</w:t>
      </w:r>
    </w:p>
    <w:p w14:paraId="2A78B4A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IRB的书面程序应说明IRB如何确定研究批准的生效日期，以及如何将日期和批准周期传达给临床研究者。</w:t>
      </w:r>
    </w:p>
    <w:p w14:paraId="4F28B945">
      <w:pPr>
        <w:pStyle w:val="20"/>
        <w:numPr>
          <w:ilvl w:val="0"/>
          <w:numId w:val="7"/>
        </w:numPr>
        <w:topLinePunct/>
        <w:adjustRightInd w:val="0"/>
        <w:snapToGrid w:val="0"/>
        <w:spacing w:after="224" w:afterLines="75" w:line="288" w:lineRule="auto"/>
        <w:ind w:left="1175" w:leftChars="327" w:hanging="456" w:hangingChars="190"/>
        <w:jc w:val="both"/>
        <w:rPr>
          <w:rFonts w:ascii="Arial" w:hAnsi="Arial" w:eastAsia="宋体" w:cs="Arial"/>
          <w:snapToGrid w:val="0"/>
          <w:sz w:val="24"/>
          <w:szCs w:val="24"/>
        </w:rPr>
      </w:pPr>
      <w:r>
        <w:rPr>
          <w:rFonts w:hint="eastAsia" w:ascii="Arial" w:hAnsi="Arial" w:eastAsia="宋体" w:cs="Arial"/>
          <w:snapToGrid w:val="0"/>
          <w:sz w:val="24"/>
        </w:rPr>
        <w:t>IRB在召集会议时审查并初步批准了研究，且未附带任何条件时</w:t>
      </w:r>
    </w:p>
    <w:p w14:paraId="69E4B82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RB在召集会议上对研究进行初始审查并批准研究，且批准有效期为一年，此外，IRB不要求（a）更改方案或知情同意书，或（b）提交说明或其他文件，则初步批准的生效日期是IRB会议的召开日期。在此类情况下，初步批准期的到期日期和首次持续审查的开始日期可能最迟为IRB召开会议，并初步批准研究后一年（21 CFR 56.109（f））。</w:t>
      </w:r>
    </w:p>
    <w:p w14:paraId="243F0D37">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rPr>
        <w:br w:type="page"/>
      </w:r>
    </w:p>
    <w:p w14:paraId="629DDDD3">
      <w:pPr>
        <w:pStyle w:val="20"/>
        <w:numPr>
          <w:ilvl w:val="0"/>
          <w:numId w:val="7"/>
        </w:numPr>
        <w:topLinePunct/>
        <w:adjustRightInd w:val="0"/>
        <w:snapToGrid w:val="0"/>
        <w:spacing w:after="224" w:afterLines="75" w:line="288" w:lineRule="auto"/>
        <w:ind w:left="1175" w:leftChars="327" w:hanging="456" w:hangingChars="190"/>
        <w:jc w:val="both"/>
        <w:rPr>
          <w:rFonts w:ascii="Arial" w:hAnsi="Arial" w:eastAsia="宋体" w:cs="Arial"/>
          <w:snapToGrid w:val="0"/>
          <w:sz w:val="24"/>
          <w:szCs w:val="24"/>
        </w:rPr>
      </w:pPr>
      <w:r>
        <w:rPr>
          <w:rFonts w:hint="eastAsia" w:ascii="Arial" w:hAnsi="Arial" w:eastAsia="宋体" w:cs="Arial"/>
          <w:snapToGrid w:val="0"/>
          <w:sz w:val="24"/>
        </w:rPr>
        <w:t>IRB在召集会议上审查并初步批准了研究，其中，尽管IRB附带了一些条件，但不要求在后续召集会议上进行进一步审查时</w:t>
      </w:r>
    </w:p>
    <w:p w14:paraId="0DC14CF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通常，IRB在召集会议上对研究项目进行初步审查时，会采取以下一系列措施：</w:t>
      </w:r>
    </w:p>
    <w:p w14:paraId="69B06197">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批准项目，有效期持续一年；</w:t>
      </w:r>
    </w:p>
    <w:p w14:paraId="0F5C126D">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作为批准条件，要求研究者（a）对研究方案或知情同意书进行规定变更，（b）确认IRB对研究进行方式的具体假设或理解，或（c）提交附加文档证明，假设此类条件得到满足后，IRB能够根据法规作出批准所需的所有决定；以及</w:t>
      </w:r>
    </w:p>
    <w:p w14:paraId="50E602EA">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指示IRB主席（或由IRB指定的其他个人）代表IRB审查和确定研究者提交的变更、说明和／或其他文档是否令人满意。</w:t>
      </w:r>
    </w:p>
    <w:p w14:paraId="6EFABE3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当IRB在召集会议上审查并初步批准了研究，其中，尽管IRB附带了一些条件，但不要求在后续召集会议上进行进一步审查时，初步批准的生效日期是IRB主席（或由IRB指定的其他个人）已经审查并确定，IRB要求研究者作出的方案或知情同意书或任何其他响应材料变更令人满意的日期。在此类情况下，初步批准期的到期日期（即首次持续审查的开始日期）可能最迟为初始IRB批准生效后一年（请参见21 CFR 56.109（f））（但是，IRB可以选择将初步批准期的到期日期设定为IRB召开会议，并以条件性方式初步批准研究项目后一年。）</w:t>
      </w:r>
    </w:p>
    <w:p w14:paraId="670055D3">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IRB记录必须包括IRB主席（或IRB指定的其他个人）确定所有IRB批准条件已经满足且批准生效的日期，以及初始IRB批准的到期日期（即首次持续审查的开始日期，请参见21 CFR 56.115（a））。</w:t>
      </w:r>
    </w:p>
    <w:p w14:paraId="07577EE4">
      <w:pPr>
        <w:pStyle w:val="20"/>
        <w:numPr>
          <w:ilvl w:val="0"/>
          <w:numId w:val="7"/>
        </w:numPr>
        <w:topLinePunct/>
        <w:adjustRightInd w:val="0"/>
        <w:snapToGrid w:val="0"/>
        <w:spacing w:after="224" w:afterLines="75" w:line="288" w:lineRule="auto"/>
        <w:ind w:left="1175" w:leftChars="327" w:hanging="456" w:hangingChars="190"/>
        <w:jc w:val="both"/>
        <w:rPr>
          <w:rFonts w:ascii="Arial" w:hAnsi="Arial" w:eastAsia="宋体" w:cs="Arial"/>
          <w:snapToGrid w:val="0"/>
          <w:sz w:val="24"/>
          <w:szCs w:val="24"/>
        </w:rPr>
      </w:pPr>
      <w:r>
        <w:rPr>
          <w:rFonts w:hint="eastAsia" w:ascii="Arial" w:hAnsi="Arial" w:eastAsia="宋体" w:cs="Arial"/>
          <w:snapToGrid w:val="0"/>
          <w:sz w:val="24"/>
        </w:rPr>
        <w:t>确定对IRB于召集会议上审查并批准（</w:t>
      </w:r>
      <w:r>
        <w:rPr>
          <w:rFonts w:hint="eastAsia" w:ascii="Arial" w:hAnsi="Arial" w:eastAsia="宋体" w:cs="Arial"/>
          <w:snapToGrid w:val="0"/>
          <w:sz w:val="24"/>
          <w:szCs w:val="24"/>
        </w:rPr>
        <w:t>有效期持续一年</w:t>
      </w:r>
      <w:r>
        <w:rPr>
          <w:rFonts w:hint="eastAsia" w:ascii="Arial" w:hAnsi="Arial" w:eastAsia="宋体" w:cs="Arial"/>
          <w:snapToGrid w:val="0"/>
          <w:sz w:val="24"/>
        </w:rPr>
        <w:t>）的研究进行第二次以及后续所有持续审查的日期，包括如何维持年度IRB批准到期的固定周年日期</w:t>
      </w:r>
    </w:p>
    <w:p w14:paraId="506AEE06">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IRB必须以根据风险程度确定的间隔进行持续审查，但每年不能少于一次（21 CFR 56.109（f））。根据此要求，必须认识到，使用IRB批准的</w:t>
      </w:r>
      <w:r>
        <w:rPr>
          <w:rFonts w:hint="eastAsia" w:ascii="宋体" w:hAnsi="宋体" w:cs="Arial"/>
          <w:snapToGrid w:val="0"/>
        </w:rPr>
        <w:t>“</w:t>
      </w:r>
      <w:r>
        <w:rPr>
          <w:rFonts w:hint="eastAsia" w:ascii="Arial" w:hAnsi="Arial" w:cs="Arial"/>
          <w:snapToGrid w:val="0"/>
        </w:rPr>
        <w:t>生效日期</w:t>
      </w:r>
      <w:r>
        <w:rPr>
          <w:rFonts w:hint="eastAsia" w:ascii="宋体" w:hAnsi="宋体" w:cs="Arial"/>
          <w:snapToGrid w:val="0"/>
        </w:rPr>
        <w:t>”</w:t>
      </w:r>
      <w:r>
        <w:rPr>
          <w:rFonts w:hint="eastAsia" w:ascii="Arial" w:hAnsi="Arial" w:cs="Arial"/>
          <w:snapToGrid w:val="0"/>
        </w:rPr>
        <w:t>（即IRB主席或由IRB指定的任何其他个人确定批准条件已经满足的日期）——此日期与IRB召开会议，以条件性方式批准研究的日期不同，如上所述——确定持续审查的最新允许日期仅适用于</w:t>
      </w:r>
      <w:r>
        <w:rPr>
          <w:rFonts w:hint="eastAsia" w:ascii="Arial" w:hAnsi="Arial" w:cs="Arial"/>
          <w:b/>
          <w:bCs/>
          <w:i/>
          <w:snapToGrid w:val="0"/>
        </w:rPr>
        <w:t>首次持续审查</w:t>
      </w:r>
      <w:r>
        <w:rPr>
          <w:rFonts w:hint="eastAsia" w:ascii="Arial" w:hAnsi="Arial" w:cs="Arial"/>
          <w:snapToGrid w:val="0"/>
        </w:rPr>
        <w:t>。</w:t>
      </w:r>
    </w:p>
    <w:p w14:paraId="7A812D38">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rPr>
        <w:br w:type="page"/>
      </w:r>
    </w:p>
    <w:p w14:paraId="78616B1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于研究的所有后续持续审查（即第二次和所有后续持续审查的日期），如果IRB未遵循维持固定周年日期的程序，则应使用IRB召开会议，对研究进行持续审查和批准（条件性或非条件性）的日期确定下次持续审查的最新允许日期。</w:t>
      </w:r>
    </w:p>
    <w:p w14:paraId="4EB6566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认为，保证IRB批准期到期日期在整个研究期间始终保持不变具有一定的物流优势。因此，当（a）IRB在每次持续审查时授予一年的批准期，b）IRB在IRB批准期到期前的30天内进行了持续审查并重新批准了（条件性或非条件性）研究时，IRB可保留初始IRB批准到期的周年日期作为各后续一年批准期的到期日期。</w:t>
      </w:r>
    </w:p>
    <w:p w14:paraId="620C738B">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IRB采用程序来维持每年IRB批准的固定周年日期，则其应在其书面程序中对此程序进行说明。如果在先前IRB批准期到期前进行持续审查时，IRB条件性地批准了研究，且研究者及时处理并满足处理条件，则如果在先前IRB批准期到期后，研究者需要一些额外时间来满足部分或全部IRB条件，FDA将不会提出反对。FDA不要求IRB向机构报告此类情况。</w:t>
      </w:r>
    </w:p>
    <w:p w14:paraId="543EC41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根据21 CFR 56.110，如果IRB确定每年必须对研究进行多次持续审查时，以及IRB通过快速审查程序审查和批准研究时，用于确定持续审查日期的相同指南将适用。</w:t>
      </w:r>
    </w:p>
    <w:p w14:paraId="3595C36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进行持续审查时，IRB必须考虑目前对研究进行持续审查的频率是否适合风险程度，或者应该调整（21 CFR 56.109（f））。例如，如果IRB初步批准了研究，有效期为一年，但在首次年度持续审查时确定，受试者风险已经显著增加，则在确定21 CFR 56.111的批准标准仍然满足之后，IRB可以重新批准该项目，但必须在6个月内进行下一次持续审查。</w:t>
      </w:r>
    </w:p>
    <w:p w14:paraId="3E667819">
      <w:pPr>
        <w:topLinePunct/>
        <w:adjustRightInd w:val="0"/>
        <w:snapToGrid w:val="0"/>
        <w:spacing w:after="224" w:afterLines="75" w:line="288" w:lineRule="auto"/>
        <w:jc w:val="both"/>
        <w:rPr>
          <w:rFonts w:ascii="Arial" w:hAnsi="Arial" w:eastAsia="宋体" w:cs="Arial"/>
          <w:snapToGrid w:val="0"/>
          <w:sz w:val="24"/>
          <w:szCs w:val="24"/>
        </w:rPr>
      </w:pPr>
      <w:r>
        <w:rPr>
          <w:rFonts w:hint="eastAsia" w:ascii="Arial" w:hAnsi="Arial" w:cs="Arial"/>
          <w:snapToGrid w:val="0"/>
          <w:sz w:val="24"/>
          <w:szCs w:val="24"/>
        </w:rPr>
        <w:t>FDA建议，IRB的书面程序应向研究者提供足够的预先通知，确保在确定的下一次持续审查周年日期或其他日期之前，持续审查要求已得到满足。IRB还应制定管理程序，确保持续审查会议不仅需定期召开，而且应在必要日期之前进行，此外，IRB可以使用跟踪系统，减少IRB批准的意外到期。但是，FDA规定，如果研究者提交材料以进行持续审查的时间过分早于IRB批准的到期日，则在实际进行持续审查前，此类材料可能不会影响研究现状。因此，IRB应尽可能及时地紧密联系：1）IRB收到持续审查资料；2）IRB对此类材料的审查；3）IRB批准的近期到期日。</w:t>
      </w:r>
      <w:r>
        <w:rPr>
          <w:rFonts w:ascii="Arial" w:hAnsi="Arial" w:eastAsia="宋体" w:cs="Arial"/>
          <w:snapToGrid w:val="0"/>
          <w:sz w:val="24"/>
          <w:szCs w:val="24"/>
        </w:rPr>
        <w:br w:type="page"/>
      </w:r>
    </w:p>
    <w:p w14:paraId="44FDE91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但是，研究者有责任确保研究符合适用的规定。</w:t>
      </w:r>
      <w:r>
        <w:rPr>
          <w:rStyle w:val="18"/>
          <w:rFonts w:ascii="Arial" w:hAnsi="Arial" w:cs="Arial"/>
          <w:snapToGrid w:val="0"/>
        </w:rPr>
        <w:footnoteReference w:id="21"/>
      </w:r>
      <w:r>
        <w:rPr>
          <w:rFonts w:hint="eastAsia" w:ascii="Arial" w:hAnsi="Arial" w:cs="Arial"/>
          <w:snapToGrid w:val="0"/>
        </w:rPr>
        <w:t>因此，为确保持续获得IRB批准（未获得批准前，研究不能继续），研究者应向IRB提供所需信息以便其及时完整地履行其持续审查职能，不论IRB是否提供任何提醒。</w:t>
      </w:r>
    </w:p>
    <w:p w14:paraId="7FCE5542">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在授权批准期间审查方案修正并不构成对整个研究进行持续审查，因此不会延长必须进行审查的日期（即不超过原始批准日期或最近持续审查批准日期后一年）。</w:t>
      </w:r>
    </w:p>
    <w:p w14:paraId="2BA31C4C">
      <w:pPr>
        <w:pStyle w:val="3"/>
        <w:numPr>
          <w:ilvl w:val="0"/>
          <w:numId w:val="3"/>
        </w:numPr>
        <w:tabs>
          <w:tab w:val="left" w:pos="487"/>
        </w:tabs>
        <w:topLinePunct/>
        <w:adjustRightInd w:val="0"/>
        <w:snapToGrid w:val="0"/>
        <w:spacing w:after="224" w:afterLines="75" w:line="288" w:lineRule="auto"/>
        <w:ind w:left="0" w:firstLine="0"/>
        <w:jc w:val="both"/>
        <w:rPr>
          <w:rFonts w:ascii="Arial" w:hAnsi="Arial" w:cs="Arial"/>
          <w:b w:val="0"/>
          <w:bCs w:val="0"/>
          <w:snapToGrid w:val="0"/>
        </w:rPr>
      </w:pPr>
      <w:bookmarkStart w:id="37" w:name="G.__Communicating_the_IRB’s_Continuing_R"/>
      <w:bookmarkEnd w:id="37"/>
      <w:bookmarkStart w:id="38" w:name="_Toc499307003"/>
      <w:r>
        <w:rPr>
          <w:rFonts w:hint="eastAsia" w:ascii="Arial" w:hAnsi="Arial" w:cs="Arial"/>
          <w:snapToGrid w:val="0"/>
        </w:rPr>
        <w:t>传达IRB的持续审查决定</w:t>
      </w:r>
      <w:bookmarkEnd w:id="38"/>
    </w:p>
    <w:p w14:paraId="23264886">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根据21 CFR 56.109（e）的规定，IRB必须</w:t>
      </w:r>
      <w:r>
        <w:rPr>
          <w:rFonts w:hint="eastAsia" w:ascii="宋体" w:hAnsi="宋体" w:cs="Arial"/>
          <w:snapToGrid w:val="0"/>
        </w:rPr>
        <w:t>“</w:t>
      </w:r>
      <w:r>
        <w:rPr>
          <w:rFonts w:hint="eastAsia" w:ascii="Arial" w:hAnsi="Arial" w:cs="Arial"/>
          <w:snapToGrid w:val="0"/>
        </w:rPr>
        <w:t>以书面形式通知研究者和机构，其决定批准或驳回拟定研究活动，或者要求进行修改，以便其批准研究活动。如果IRB决定驳回研究活动，其应在其书面通知中声明其决定理由，并允许研究者亲自或以书面形式作出答复。</w:t>
      </w:r>
      <w:r>
        <w:rPr>
          <w:rFonts w:hint="eastAsia" w:ascii="宋体" w:hAnsi="宋体" w:cs="Arial"/>
          <w:snapToGrid w:val="0"/>
        </w:rPr>
        <w:t>”</w:t>
      </w:r>
    </w:p>
    <w:p w14:paraId="10797A1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完成持续审查后，IRB必须提供书面通知，通知研究者其决定（例如批准、要求修改以便批准，驳回）；21 CFR 56.109（e））。对于批准继续的研究，FDA建议，通知应明确说明批准生效的日期，批准继续进行该研究的期间和下一持续审查日期。</w:t>
      </w:r>
    </w:p>
    <w:p w14:paraId="3C345E6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持续审查时，如果条件性地批准了研究，则IRB的通知应说明是否需要满足任何条件，以便研究者可以继续进行与此类条件相关的特定研究活动。例如，如果在持续审查时，IRB要求研究者改变研究方案，纳入特定的新程序来筛选潜在受试者，则IRB可以批准研究，并附带以下条件：当前已招募受试者的研究活动可以继续进行，但在指定IRB成员审查修订方案，并确定该方案包括新的筛选程序前，不得招募新的受试者（请注意，FDA认为，在持续审查时暂停招募受试者与暂停IRB批准不同，因为暂停IRB批准后，需要根据21 CFR 56.113向适当的机构官员、进行或支持该研究的机构领导（或指定人员）或FDA进行报告。</w:t>
      </w:r>
    </w:p>
    <w:p w14:paraId="1E7839A0">
      <w:pPr>
        <w:topLinePunct/>
        <w:adjustRightInd w:val="0"/>
        <w:snapToGrid w:val="0"/>
        <w:spacing w:after="224" w:afterLines="75" w:line="288" w:lineRule="auto"/>
        <w:jc w:val="both"/>
        <w:rPr>
          <w:rFonts w:ascii="Arial" w:hAnsi="Arial" w:eastAsia="宋体" w:cs="Arial"/>
          <w:snapToGrid w:val="0"/>
          <w:sz w:val="24"/>
          <w:szCs w:val="20"/>
        </w:rPr>
      </w:pPr>
      <w:r>
        <w:rPr>
          <w:rFonts w:hint="eastAsia" w:ascii="Arial" w:hAnsi="Arial" w:cs="Arial"/>
          <w:snapToGrid w:val="0"/>
          <w:sz w:val="24"/>
          <w:szCs w:val="24"/>
        </w:rPr>
        <w:t>FDA建议，如果IRB决定驳回研究，则其应通知申办方其驳回决定及理由（尽管一般不要求IRB进行通知）。</w:t>
      </w:r>
      <w:r>
        <w:rPr>
          <w:rFonts w:ascii="Arial" w:hAnsi="Arial" w:eastAsia="宋体" w:cs="Arial"/>
          <w:snapToGrid w:val="0"/>
          <w:sz w:val="24"/>
          <w:szCs w:val="20"/>
        </w:rPr>
        <w:br w:type="page"/>
      </w:r>
    </w:p>
    <w:p w14:paraId="1CD26DD1">
      <w:pPr>
        <w:pStyle w:val="5"/>
        <w:topLinePunct/>
        <w:adjustRightInd w:val="0"/>
        <w:snapToGrid w:val="0"/>
        <w:spacing w:after="224" w:afterLines="75" w:line="288" w:lineRule="auto"/>
        <w:ind w:left="0"/>
        <w:jc w:val="both"/>
        <w:rPr>
          <w:rFonts w:ascii="Arial" w:hAnsi="Arial" w:cs="Arial"/>
          <w:snapToGrid w:val="0"/>
        </w:rPr>
      </w:pPr>
      <w:r>
        <w:rPr>
          <w:rStyle w:val="18"/>
          <w:rFonts w:ascii="Arial" w:hAnsi="Arial" w:cs="Arial"/>
          <w:snapToGrid w:val="0"/>
        </w:rPr>
        <w:footnoteReference w:id="22"/>
      </w:r>
      <w:r>
        <w:rPr>
          <w:rFonts w:hint="eastAsia" w:ascii="Arial" w:hAnsi="Arial" w:cs="Arial"/>
          <w:snapToGrid w:val="0"/>
        </w:rPr>
        <w:t xml:space="preserve"> FDA鼓励申办方、临床研究者和IRB相互沟通，保护受试者的权利和福利。</w:t>
      </w:r>
    </w:p>
    <w:p w14:paraId="4FB6703D">
      <w:pPr>
        <w:pStyle w:val="3"/>
        <w:numPr>
          <w:ilvl w:val="0"/>
          <w:numId w:val="3"/>
        </w:numPr>
        <w:tabs>
          <w:tab w:val="left" w:pos="480"/>
        </w:tabs>
        <w:topLinePunct/>
        <w:adjustRightInd w:val="0"/>
        <w:snapToGrid w:val="0"/>
        <w:spacing w:after="224" w:afterLines="75" w:line="288" w:lineRule="auto"/>
        <w:ind w:left="0" w:firstLine="0"/>
        <w:jc w:val="both"/>
        <w:rPr>
          <w:rFonts w:ascii="Arial" w:hAnsi="Arial" w:cs="Arial"/>
          <w:b w:val="0"/>
          <w:bCs w:val="0"/>
          <w:snapToGrid w:val="0"/>
        </w:rPr>
      </w:pPr>
      <w:bookmarkStart w:id="39" w:name="H.__Lapse,_Suspension,_or_Termination_of"/>
      <w:bookmarkEnd w:id="39"/>
      <w:bookmarkStart w:id="40" w:name="_Toc499307004"/>
      <w:r>
        <w:rPr>
          <w:rFonts w:hint="eastAsia" w:ascii="Arial" w:hAnsi="Arial" w:cs="Arial"/>
          <w:snapToGrid w:val="0"/>
        </w:rPr>
        <w:t>IRB研究批准的失效、暂停或终止</w:t>
      </w:r>
      <w:bookmarkEnd w:id="40"/>
    </w:p>
    <w:p w14:paraId="631F4AB0">
      <w:pPr>
        <w:pStyle w:val="4"/>
        <w:numPr>
          <w:ilvl w:val="0"/>
          <w:numId w:val="8"/>
        </w:numPr>
        <w:tabs>
          <w:tab w:val="left" w:pos="481"/>
        </w:tabs>
        <w:topLinePunct/>
        <w:adjustRightInd w:val="0"/>
        <w:snapToGrid w:val="0"/>
        <w:spacing w:after="224" w:afterLines="75" w:line="288" w:lineRule="auto"/>
        <w:ind w:left="0" w:firstLine="0"/>
        <w:jc w:val="both"/>
        <w:rPr>
          <w:rFonts w:ascii="Arial" w:hAnsi="Arial" w:cs="Arial"/>
          <w:b w:val="0"/>
          <w:bCs w:val="0"/>
          <w:i w:val="0"/>
          <w:snapToGrid w:val="0"/>
        </w:rPr>
      </w:pPr>
      <w:bookmarkStart w:id="41" w:name="1._Lapse_of_IRB_Approval"/>
      <w:bookmarkEnd w:id="41"/>
      <w:bookmarkStart w:id="42" w:name="_Toc499307005"/>
      <w:r>
        <w:rPr>
          <w:rFonts w:hint="eastAsia" w:ascii="Arial" w:hAnsi="Arial" w:cs="Arial"/>
          <w:snapToGrid w:val="0"/>
        </w:rPr>
        <w:t>IRB批准的失效</w:t>
      </w:r>
      <w:bookmarkEnd w:id="42"/>
    </w:p>
    <w:p w14:paraId="6704936C">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前所述，本机构建议IRB和研究者提前计划，确保在IRB指定的批准期结束之前，已对研究进行持续审查和重新批准。FDA进一步建议，IRB的书面程序应向研究者提供足够的预先通知，确保在批准到期之前，持续审查要求已得到满足。</w:t>
      </w:r>
    </w:p>
    <w:p w14:paraId="091D978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21 CFR第56部分中的FDA法规并未就IRB批准到期后，延长研究行为的任何宽限期制定规定。如果未在IRB规定的批准期结束之前对研究进行持续审查，IRB批准将自动失效。如果研究者未能向IRB提供持续审查信息，或者IRB未在IRB批准到期前进行持续审查和重新批准研究，则IRB研究批准失败。在此类情况下，所有涉及受试者的研究活动都必须停止。在IRB批准到期后，不得再次招募新的受试者。</w:t>
      </w:r>
      <w:r>
        <w:rPr>
          <w:rStyle w:val="18"/>
          <w:rFonts w:ascii="Arial" w:hAnsi="Arial" w:cs="Arial"/>
          <w:snapToGrid w:val="0"/>
        </w:rPr>
        <w:footnoteReference w:id="23"/>
      </w:r>
    </w:p>
    <w:p w14:paraId="6445C499">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希望研究者遵循IRB程序，减少IRB批准失败的发生率。但是，在IRB批准失效期间，如果受试者已入选研究项目，则必须或可以允许暂时其继续参与该研究项目，例如，当研究干预可能对受试者产生直接收益时（例如，肿瘤学试验中的研究性化疗方案），或者当停止此类干预会增加受试者风险时。</w:t>
      </w:r>
      <w:r>
        <w:rPr>
          <w:rStyle w:val="18"/>
          <w:rFonts w:ascii="Arial" w:hAnsi="Arial" w:cs="Arial"/>
          <w:snapToGrid w:val="0"/>
        </w:rPr>
        <w:footnoteReference w:id="24"/>
      </w:r>
      <w:r>
        <w:rPr>
          <w:rFonts w:hint="eastAsia" w:ascii="Arial" w:hAnsi="Arial" w:cs="Arial"/>
          <w:snapToGrid w:val="0"/>
        </w:rPr>
        <w:t>如果IRB决定，已入选受试者应该继续接受根据研究方案施用给受试者的干预措施，数据收集（特别是安全信息）也应针对此类受试者继续进行（例如需要长期随访的植入式器械）。</w:t>
      </w:r>
    </w:p>
    <w:p w14:paraId="09099975">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研究者最初确定，在IRB批准到期后允许已入选受试者继续参与研究是否符合最佳利益，则研究者应咨询主治医师（如果研究者不是治疗医师）。可以针对整个入选受试者组或个体受试者作出此决定。在所有情况下，研究者应该尽快验证IRB是否同意这一决定。</w:t>
      </w:r>
    </w:p>
    <w:p w14:paraId="2EA02E92">
      <w:pPr>
        <w:topLinePunct/>
        <w:adjustRightInd w:val="0"/>
        <w:snapToGrid w:val="0"/>
        <w:spacing w:after="224" w:afterLines="75" w:line="288" w:lineRule="auto"/>
        <w:jc w:val="both"/>
        <w:rPr>
          <w:rFonts w:ascii="Arial" w:hAnsi="Arial" w:eastAsia="宋体" w:cs="Arial"/>
          <w:snapToGrid w:val="0"/>
          <w:sz w:val="24"/>
          <w:szCs w:val="20"/>
        </w:rPr>
      </w:pPr>
      <w:bookmarkStart w:id="43" w:name="_bookmark40"/>
      <w:bookmarkEnd w:id="43"/>
      <w:r>
        <w:rPr>
          <w:rFonts w:ascii="Arial" w:hAnsi="Arial" w:eastAsia="宋体" w:cs="Arial"/>
          <w:snapToGrid w:val="0"/>
          <w:sz w:val="24"/>
          <w:szCs w:val="20"/>
        </w:rPr>
        <w:br w:type="page"/>
      </w:r>
    </w:p>
    <w:p w14:paraId="11BF0082">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本机构建议，IRB程序应规定审查研究者决定的方式。FDA建议，程序应介绍由进行IRB审查的方式，即由IRB主席、IRB主席指定的IRB成员或IRB成员组成员或在IRB召集会议进行。此外，程序还应说明研究者决定是否适用于一个或多个个体或所有入选受试者，时间框架等。</w:t>
      </w:r>
    </w:p>
    <w:p w14:paraId="5D7EF8F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当IRB对进行中研究的批准失效，且研究者想要继续进行研究时，IRB应该尽快完成对该研究的持续审查。研究者可以在IRB进行持续审查并授予批准之后重新开始研究。IRB应该记录失效原因（例如，IRB会议的数量不足以容纳所有持续审查，研究者未能回复批准周年日期的提醒通知，研究者未能提供信息以便IRB进行持续审查），并确定可防止未来失效的措施（例如修改书面程序，增加更多IRB会议）。</w:t>
      </w:r>
    </w:p>
    <w:p w14:paraId="33C6FC9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当IRB对进行中研究的批准失效，但IRB随后重新批准了该研究时，IRB可以批准该研究一年，并针对后续批准期的到期日确定新的周年日期。IRB也可以重新批准研究，但所规定的有效期少于1年，以便保留先前批准期限到期的原始周年日期，或处理研究风险（在这种情况下，可能会设定新的持续审查日期）。</w:t>
      </w:r>
    </w:p>
    <w:p w14:paraId="0F65AB42">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为方便根据21 CFR 56.113.26进行报告，如果因未能在需求批准到期之前完成持续审查并获得重新批准而使IRB批准失效，则此类失效并不会自动构成IRB批准暂停或终止。</w:t>
      </w:r>
      <w:r>
        <w:rPr>
          <w:rStyle w:val="18"/>
          <w:rFonts w:ascii="Arial" w:hAnsi="Arial" w:cs="Arial"/>
          <w:snapToGrid w:val="0"/>
        </w:rPr>
        <w:footnoteReference w:id="25"/>
      </w:r>
      <w:r>
        <w:rPr>
          <w:rFonts w:hint="eastAsia" w:ascii="Arial" w:hAnsi="Arial" w:cs="Arial"/>
          <w:snapToGrid w:val="0"/>
        </w:rPr>
        <w:t>但是，如果未能满足持续审查义务，则可以根据21 CFR 56.113（如下所述）施加暂停或终止，特别是在研究中多次出现批准失效的情况时。如果IRB发现未符合持续审查要求（例如，研究者反复或故意忽略提交及时进行持续审查所需的材料或IRB本身未遵守持续审查日期），IRB应确定不符合的原因并采取适当的纠正措施。IRB必须向FDA报告严重或持续不符合FDA规定或IRB要求或决定的情况，以及IRB批准的暂停或终止情况（21 CFR 56.108（b）（2）和（3）以及56.113）。FDA将评价此类报告，并酌情对研究中心、研究者或IRB进行检查，评估是否符合FDA的受试者保护法规。</w:t>
      </w:r>
      <w:bookmarkStart w:id="44" w:name="_bookmark43"/>
      <w:bookmarkEnd w:id="44"/>
    </w:p>
    <w:p w14:paraId="6370BB50">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70C8CE2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FDA还建议，IRB应向申办方通知任何严重或持续不遵守FDA法规或IRB要求或决定的情况，以及IRB批准的暂停或终止情况。根据申办方所承担的一般责任，其应确保研究得到适当监测（21 CFR 312.50和21 CFR 812.40）以及所选择的研究者具有相应责任（21 CFR 312.53（a）和21 CFR 812.43（a））。向申办方通知研究者违规或IRB暂停或终止研究后，申办方可以着手解决这些问题。例如，申办方可以与研究者合作，将受试者转移到当地的另一个研究中心，在现有研究中心找到替代研究者，或者确保研究有序终止。</w:t>
      </w:r>
    </w:p>
    <w:p w14:paraId="266B5B27">
      <w:pPr>
        <w:pStyle w:val="4"/>
        <w:numPr>
          <w:ilvl w:val="0"/>
          <w:numId w:val="8"/>
        </w:numPr>
        <w:tabs>
          <w:tab w:val="left" w:pos="480"/>
        </w:tabs>
        <w:topLinePunct/>
        <w:adjustRightInd w:val="0"/>
        <w:snapToGrid w:val="0"/>
        <w:spacing w:after="224" w:afterLines="75" w:line="288" w:lineRule="auto"/>
        <w:ind w:left="0" w:firstLine="0"/>
        <w:jc w:val="both"/>
        <w:rPr>
          <w:rFonts w:ascii="Arial" w:hAnsi="Arial" w:cs="Arial"/>
          <w:b w:val="0"/>
          <w:bCs w:val="0"/>
          <w:i w:val="0"/>
          <w:snapToGrid w:val="0"/>
        </w:rPr>
      </w:pPr>
      <w:bookmarkStart w:id="45" w:name="2.__Suspension_or_Termination_of_IRB_App"/>
      <w:bookmarkEnd w:id="45"/>
      <w:bookmarkStart w:id="46" w:name="_Toc499307006"/>
      <w:r>
        <w:rPr>
          <w:rFonts w:hint="eastAsia" w:ascii="Arial" w:hAnsi="Arial" w:cs="Arial"/>
          <w:snapToGrid w:val="0"/>
        </w:rPr>
        <w:t>IRB批准的暂停或终止</w:t>
      </w:r>
      <w:bookmarkEnd w:id="46"/>
    </w:p>
    <w:p w14:paraId="3AC58D4C">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如果出现以下情况，IRB有权暂停或终止临床研究的批准：</w:t>
      </w:r>
    </w:p>
    <w:p w14:paraId="1715A0EE">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研究未按照IRB的要求进行（21 CFR 56.113）；或</w:t>
      </w:r>
    </w:p>
    <w:p w14:paraId="1C100A0C">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研究会对受试者构成意外的严重损害（21 CFR 56.113）。</w:t>
      </w:r>
    </w:p>
    <w:p w14:paraId="0FE0C6C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首次发现重大问题且IRB对该问题展开研究时，可以暂停批准。例如，如果发现研究者行为不当或需要进一步研究和评价的安全问题，则在问题得到解决之前，IRB可能会决定暂停研究。此外，IRB可能会决定是否应该通知受试者，如果决定通知，则应在IRB首次发现该问题时发出通知（此时，可能无法获得完整信息）。</w:t>
      </w:r>
    </w:p>
    <w:p w14:paraId="13653CD8">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于多中心研究（其中，地方IRB负责审查某一研究中心的研究），地方IRB暂停或终止研究批准的决定仅适用于在其审查的研究中心内进行的研究项目。另一方面，如果参与多中心研究的大部分或全部研究中心均需要中心IRB审查研究，则中心IRB可以根据某一研究中心的研究行为问题，暂停或终止该研究中心的研究批准，或根据整个研究问题暂停其审查的所有站点的研究批准。如果IRB（其权限仅限于一个研究中心）认为，其发现的问题可能存在于其他研究中心，则IRB应在暂停或终止通知中向FDA通知其担忧。</w:t>
      </w:r>
    </w:p>
    <w:p w14:paraId="1D4C045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暂停或终止IRB批准后，IRB必须提供其采取此类行动的原因，并及时向临床研究者、机构官员和FDA报告（21 CFR 56.113）。IRB必须遵循书面程序，确保进行此类报告（21 CFR 56.108（b）（3））。</w:t>
      </w:r>
    </w:p>
    <w:p w14:paraId="51C8D5D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向FDA报告IRB批准暂停或终止情况时，IRB应提供：</w:t>
      </w:r>
    </w:p>
    <w:p w14:paraId="1EC9964F">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药品、生物制剂或器械的名称；</w:t>
      </w:r>
    </w:p>
    <w:p w14:paraId="063BEB96">
      <w:pPr>
        <w:rPr>
          <w:rFonts w:ascii="Arial" w:hAnsi="Arial" w:eastAsia="宋体" w:cs="Arial"/>
          <w:snapToGrid w:val="0"/>
          <w:sz w:val="24"/>
          <w:szCs w:val="24"/>
        </w:rPr>
      </w:pPr>
      <w:r>
        <w:rPr>
          <w:rFonts w:ascii="Arial" w:hAnsi="Arial" w:eastAsia="宋体" w:cs="Arial"/>
          <w:snapToGrid w:val="0"/>
          <w:sz w:val="24"/>
          <w:szCs w:val="24"/>
        </w:rPr>
        <w:br w:type="page"/>
      </w:r>
    </w:p>
    <w:p w14:paraId="280BF70B">
      <w:pPr>
        <w:pStyle w:val="20"/>
        <w:numPr>
          <w:ilvl w:val="1"/>
          <w:numId w:val="3"/>
        </w:numPr>
        <w:topLinePunct/>
        <w:adjustRightInd w:val="0"/>
        <w:snapToGrid w:val="0"/>
        <w:spacing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IND编号；或器械的IDE编号／非重大风险（NSR）状态；</w:t>
      </w:r>
    </w:p>
    <w:p w14:paraId="781CA0B4">
      <w:pPr>
        <w:pStyle w:val="20"/>
        <w:numPr>
          <w:ilvl w:val="1"/>
          <w:numId w:val="3"/>
        </w:numPr>
        <w:topLinePunct/>
        <w:adjustRightInd w:val="0"/>
        <w:snapToGrid w:val="0"/>
        <w:spacing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研究方案的全名；</w:t>
      </w:r>
    </w:p>
    <w:p w14:paraId="41545641">
      <w:pPr>
        <w:pStyle w:val="20"/>
        <w:numPr>
          <w:ilvl w:val="1"/>
          <w:numId w:val="3"/>
        </w:numPr>
        <w:topLinePunct/>
        <w:adjustRightInd w:val="0"/>
        <w:snapToGrid w:val="0"/>
        <w:spacing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临床研究者的姓名和地址；</w:t>
      </w:r>
    </w:p>
    <w:p w14:paraId="0B73C87B">
      <w:pPr>
        <w:pStyle w:val="20"/>
        <w:numPr>
          <w:ilvl w:val="1"/>
          <w:numId w:val="3"/>
        </w:numPr>
        <w:topLinePunct/>
        <w:adjustRightInd w:val="0"/>
        <w:snapToGrid w:val="0"/>
        <w:spacing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暂停或终止的原因；以及</w:t>
      </w:r>
    </w:p>
    <w:p w14:paraId="56D9F0B0">
      <w:pPr>
        <w:pStyle w:val="20"/>
        <w:numPr>
          <w:ilvl w:val="1"/>
          <w:numId w:val="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有关IRB研究和旨在防止／解决未来违规行为的行动计划的信息。</w:t>
      </w:r>
    </w:p>
    <w:p w14:paraId="109CE98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如果对暂停或终止研究批准感到担忧，IRB可随时联系FDA，讨论此类问题。</w:t>
      </w:r>
      <w:r>
        <w:rPr>
          <w:rStyle w:val="18"/>
          <w:rFonts w:ascii="Arial" w:hAnsi="Arial" w:cs="Arial"/>
          <w:snapToGrid w:val="0"/>
        </w:rPr>
        <w:footnoteReference w:id="26"/>
      </w:r>
    </w:p>
    <w:p w14:paraId="63B7E0E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w:t>
      </w:r>
      <w:r>
        <w:rPr>
          <w:rFonts w:ascii="Arial" w:hAnsi="Arial" w:cs="Arial"/>
          <w:snapToGrid w:val="0"/>
        </w:rPr>
        <w:t>IRB</w:t>
      </w:r>
      <w:r>
        <w:rPr>
          <w:rFonts w:hint="eastAsia" w:ascii="Arial" w:hAnsi="Arial" w:cs="Arial"/>
          <w:snapToGrid w:val="0"/>
        </w:rPr>
        <w:t>认为暂停或终止研究，其应该考虑是否需要向当前或先前入选研究受试者通知其行动（如果适用）。此外，</w:t>
      </w:r>
      <w:r>
        <w:rPr>
          <w:rFonts w:ascii="Arial" w:hAnsi="Arial" w:cs="Arial"/>
          <w:snapToGrid w:val="0"/>
        </w:rPr>
        <w:t>IRB</w:t>
      </w:r>
      <w:r>
        <w:rPr>
          <w:rFonts w:hint="eastAsia" w:ascii="Arial" w:hAnsi="Arial" w:cs="Arial"/>
          <w:snapToGrid w:val="0"/>
        </w:rPr>
        <w:t>应已制定程序，以便（</w:t>
      </w:r>
      <w:r>
        <w:rPr>
          <w:rFonts w:ascii="Arial" w:hAnsi="Arial" w:cs="Arial"/>
          <w:snapToGrid w:val="0"/>
        </w:rPr>
        <w:t>a</w:t>
      </w:r>
      <w:r>
        <w:rPr>
          <w:rFonts w:hint="eastAsia" w:ascii="Arial" w:hAnsi="Arial" w:cs="Arial"/>
          <w:snapToGrid w:val="0"/>
        </w:rPr>
        <w:t>）在</w:t>
      </w:r>
      <w:r>
        <w:rPr>
          <w:rFonts w:ascii="Arial" w:hAnsi="Arial" w:cs="Arial"/>
          <w:snapToGrid w:val="0"/>
        </w:rPr>
        <w:t>IRB</w:t>
      </w:r>
      <w:r>
        <w:rPr>
          <w:rFonts w:hint="eastAsia" w:ascii="Arial" w:hAnsi="Arial" w:cs="Arial"/>
          <w:snapToGrid w:val="0"/>
        </w:rPr>
        <w:t>授予批准期间，其应暂停或终止其批准时，或（</w:t>
      </w:r>
      <w:r>
        <w:rPr>
          <w:rFonts w:ascii="Arial" w:hAnsi="Arial" w:cs="Arial"/>
          <w:snapToGrid w:val="0"/>
        </w:rPr>
        <w:t>b</w:t>
      </w:r>
      <w:r>
        <w:rPr>
          <w:rFonts w:hint="eastAsia" w:ascii="Arial" w:hAnsi="Arial" w:cs="Arial"/>
          <w:snapToGrid w:val="0"/>
        </w:rPr>
        <w:t>）在持续审查期间，其决定驳回研究时，确保当前入选受试者的权利和福利得到保护，受试者未处于风险之中，以及受试者得到适当照顾（如果需要）。例如，在咨询研究者和受试者的治疗医师（如果不是研究者）后，</w:t>
      </w:r>
      <w:r>
        <w:rPr>
          <w:rFonts w:ascii="Arial" w:hAnsi="Arial" w:cs="Arial"/>
          <w:snapToGrid w:val="0"/>
        </w:rPr>
        <w:t>IRB</w:t>
      </w:r>
      <w:r>
        <w:rPr>
          <w:rFonts w:hint="eastAsia" w:ascii="Arial" w:hAnsi="Arial" w:cs="Arial"/>
          <w:snapToGrid w:val="0"/>
        </w:rPr>
        <w:t>可能需要确定，使（</w:t>
      </w:r>
      <w:r>
        <w:rPr>
          <w:rFonts w:ascii="Arial" w:hAnsi="Arial" w:cs="Arial"/>
          <w:snapToGrid w:val="0"/>
        </w:rPr>
        <w:t>a</w:t>
      </w:r>
      <w:r>
        <w:rPr>
          <w:rFonts w:hint="eastAsia" w:ascii="Arial" w:hAnsi="Arial" w:cs="Arial"/>
          <w:snapToGrid w:val="0"/>
        </w:rPr>
        <w:t>）当前入选受试者继续接受在当前研究中心施用于研究受试者的干预，（</w:t>
      </w:r>
      <w:r>
        <w:rPr>
          <w:rFonts w:ascii="Arial" w:hAnsi="Arial" w:cs="Arial"/>
          <w:snapToGrid w:val="0"/>
        </w:rPr>
        <w:t>b</w:t>
      </w:r>
      <w:r>
        <w:rPr>
          <w:rFonts w:hint="eastAsia" w:ascii="Arial" w:hAnsi="Arial" w:cs="Arial"/>
          <w:snapToGrid w:val="0"/>
        </w:rPr>
        <w:t>）转移到另一研究中心，以便其可以继续参与研究，或者（</w:t>
      </w:r>
      <w:r>
        <w:rPr>
          <w:rFonts w:ascii="Arial" w:hAnsi="Arial" w:cs="Arial"/>
          <w:snapToGrid w:val="0"/>
        </w:rPr>
        <w:t>c</w:t>
      </w:r>
      <w:r>
        <w:rPr>
          <w:rFonts w:hint="eastAsia" w:ascii="Arial" w:hAnsi="Arial" w:cs="Arial"/>
          <w:snapToGrid w:val="0"/>
        </w:rPr>
        <w:t>）退出研究，接受药物治疗是否符合其最佳利益。例如，当供试品可能对研究对象产生直接收益时，或停止施用供试品可能会增加研究对象风险时，可以继续向受试者施用供试品。如果IRB决定，入选受试者应继续接受供试品，其还应确保继续针对此类受试者进行数据收集（特别是安全信息）。如果需要对当前入选受试者进行随访来确保其权利、安全或福利，IRB应确保研究者告知受试者，并向IRB、申办方和FDA报告任何非预期问题（请参见21 CFR 56.108（b））。</w:t>
      </w:r>
    </w:p>
    <w:p w14:paraId="054622D4">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31FBD3F9">
      <w:pPr>
        <w:pStyle w:val="3"/>
        <w:topLinePunct/>
        <w:adjustRightInd w:val="0"/>
        <w:snapToGrid w:val="0"/>
        <w:spacing w:after="224" w:afterLines="75" w:line="288" w:lineRule="auto"/>
        <w:ind w:left="0" w:firstLine="0"/>
        <w:jc w:val="center"/>
        <w:rPr>
          <w:rFonts w:ascii="Arial" w:hAnsi="Arial" w:cs="Arial"/>
          <w:b w:val="0"/>
          <w:bCs w:val="0"/>
          <w:snapToGrid w:val="0"/>
          <w:sz w:val="28"/>
        </w:rPr>
      </w:pPr>
      <w:bookmarkStart w:id="47" w:name="_Toc499307007"/>
      <w:r>
        <w:rPr>
          <w:rFonts w:hint="eastAsia" w:ascii="Arial" w:hAnsi="Arial" w:cs="Arial"/>
          <w:snapToGrid w:val="0"/>
          <w:sz w:val="28"/>
        </w:rPr>
        <w:t>附录</w:t>
      </w:r>
      <w:r>
        <w:rPr>
          <w:rFonts w:ascii="Arial" w:hAnsi="Arial" w:cs="Arial"/>
          <w:snapToGrid w:val="0"/>
          <w:sz w:val="28"/>
        </w:rPr>
        <w:br w:type="textWrapping"/>
      </w:r>
      <w:r>
        <w:rPr>
          <w:rFonts w:hint="eastAsia" w:ascii="Arial" w:hAnsi="Arial" w:cs="Arial"/>
          <w:snapToGrid w:val="0"/>
          <w:sz w:val="28"/>
        </w:rPr>
        <w:t>可由机构审查委员会（IRB）通过快速审查程序进行审查的研究类别</w:t>
      </w:r>
      <w:r>
        <w:fldChar w:fldCharType="begin"/>
      </w:r>
      <w:r>
        <w:instrText xml:space="preserve"> HYPERLINK \l "_bookmark47" </w:instrText>
      </w:r>
      <w:r>
        <w:fldChar w:fldCharType="separate"/>
      </w:r>
      <w:r>
        <w:rPr>
          <w:rFonts w:ascii="Arial" w:hAnsi="Arial" w:cs="Arial"/>
          <w:snapToGrid w:val="0"/>
          <w:sz w:val="28"/>
          <w:vertAlign w:val="superscript"/>
        </w:rPr>
        <w:t>\1\</w:t>
      </w:r>
      <w:r>
        <w:rPr>
          <w:rFonts w:ascii="Arial" w:hAnsi="Arial" w:cs="Arial"/>
          <w:snapToGrid w:val="0"/>
          <w:sz w:val="28"/>
          <w:vertAlign w:val="superscript"/>
        </w:rPr>
        <w:fldChar w:fldCharType="end"/>
      </w:r>
      <w:r>
        <w:rPr>
          <w:rStyle w:val="18"/>
          <w:rFonts w:ascii="Arial" w:hAnsi="Arial" w:cs="Arial"/>
          <w:snapToGrid w:val="0"/>
          <w:sz w:val="28"/>
        </w:rPr>
        <w:footnoteReference w:id="27" w:customMarkFollows="1"/>
        <w:sym w:font="Symbol" w:char="F020"/>
      </w:r>
      <w:bookmarkEnd w:id="47"/>
    </w:p>
    <w:p w14:paraId="78B01E09">
      <w:pPr>
        <w:pStyle w:val="5"/>
        <w:topLinePunct/>
        <w:adjustRightInd w:val="0"/>
        <w:snapToGrid w:val="0"/>
        <w:spacing w:after="224" w:afterLines="75" w:line="288" w:lineRule="auto"/>
        <w:ind w:left="0"/>
        <w:jc w:val="both"/>
        <w:rPr>
          <w:rFonts w:ascii="Arial" w:hAnsi="Arial" w:cs="Arial"/>
          <w:snapToGrid w:val="0"/>
          <w:szCs w:val="16"/>
        </w:rPr>
      </w:pPr>
      <w:r>
        <w:rPr>
          <w:rFonts w:hint="eastAsia" w:ascii="Arial" w:hAnsi="Arial" w:cs="Arial"/>
          <w:snapToGrid w:val="0"/>
        </w:rPr>
        <w:t>【联邦公报：1998年11月9日（第63卷，第216期）】 【通知】 【页码：60353-60356】*</w:t>
      </w:r>
    </w:p>
    <w:p w14:paraId="5877911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第56.110（a）节中引用的列表最初公布于1981年1月27日的联邦公报（46 FR 8980）中，旨在通知可由IRB通过FDA法规规定的快速审查程序进行审查的研究活动列表。OPRR编制了单独法典，其中引用了适用于卫生和人类服务署（HHS）管辖事项的快速审查列表（45 CFR第46部分）。HHS列表已于1981年1月26日在联邦公报中公布（46 FR 8392）。1981年公布的FDA和HHS列表略有不同，其中，HHS列表中关于个人或集体研究行为的第9条仅涉及45 CFR 46.110。由于FDA并未具体监管行为研究，该类别未被列入FDA公布的列表中。</w:t>
      </w:r>
    </w:p>
    <w:p w14:paraId="6D73609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适用性</w:t>
      </w:r>
    </w:p>
    <w:p w14:paraId="4D69F218">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（A）如果研究活动：（1）仅对受试者构成不超过最低限度的风险；（2）仅涉及以下一个或多个类别中列出的程序，则可由IRB通过45 CFR 46.110和21 CFR</w:t>
      </w:r>
      <w:r>
        <w:rPr>
          <w:rFonts w:ascii="Arial" w:hAnsi="Arial" w:cs="Arial"/>
          <w:snapToGrid w:val="0"/>
        </w:rPr>
        <w:t xml:space="preserve"> </w:t>
      </w:r>
      <w:r>
        <w:rPr>
          <w:rFonts w:hint="eastAsia" w:ascii="Arial" w:hAnsi="Arial" w:cs="Arial"/>
          <w:snapToGrid w:val="0"/>
        </w:rPr>
        <w:t>56.110规定的快速审查程序进行审查。虽然其已列入此列表，但不应认为所列活动仅会带来最低风险。列入此列表仅表示，如果拟定研究的具体情况仅对受试者构成不超过最低限度的风险，则可以通过快速审查程序审查活动。（B）除非另有说明，不论受试者的年龄如何，此列表中的类别均适用；（C）如果识别受试者和／或其答复将会使其受到刑事或民事责任，或者损害受试者的财务状况、就业能力、可保性、声誉，或者使受试者被诬蔑，则不得使用快速审查程序，除非将实施合理和适当的保护措施，使得侵犯隐私和违反保密的风险降低。（D）快速审查程序不得用于涉及受试者的分类研究。（E）在此提醒IRB，不论其使用的审查类型如何（快速或召集），知情同意的标准要求均适用（或其豁免、变更或例外）。（F）类别1至类别7涉及初始和持续IRB审查。</w:t>
      </w:r>
    </w:p>
    <w:p w14:paraId="5C3393AF">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47FED9A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研究类别</w:t>
      </w:r>
    </w:p>
    <w:p w14:paraId="1D9D5FE2">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药品和医疗器械临床研究，但需满足条件（a）或（b）：（a）无需研究性新药申请（21CFR第312部分）的药品研究；</w:t>
      </w:r>
    </w:p>
    <w:p w14:paraId="041A09D2">
      <w:pPr>
        <w:pStyle w:val="20"/>
        <w:tabs>
          <w:tab w:val="left" w:pos="521"/>
        </w:tabs>
        <w:topLinePunct/>
        <w:adjustRightInd w:val="0"/>
        <w:snapToGrid w:val="0"/>
        <w:spacing w:after="224" w:afterLines="75" w:line="288" w:lineRule="auto"/>
        <w:jc w:val="both"/>
        <w:rPr>
          <w:rFonts w:ascii="Arial" w:hAnsi="Arial" w:eastAsia="宋体" w:cs="Arial"/>
          <w:snapToGrid w:val="0"/>
          <w:sz w:val="24"/>
        </w:rPr>
      </w:pPr>
      <w:r>
        <w:rPr>
          <w:rFonts w:hint="eastAsia" w:ascii="Arial" w:hAnsi="Arial" w:eastAsia="宋体" w:cs="Arial"/>
          <w:snapToGrid w:val="0"/>
          <w:sz w:val="24"/>
        </w:rPr>
        <w:t>（备注：如果上市药品研究显著增加了风险或降低了与产品使用有关的风险的可接受性，则其不适用于快速审查。）</w:t>
      </w:r>
    </w:p>
    <w:p w14:paraId="09232021">
      <w:pPr>
        <w:pStyle w:val="20"/>
        <w:tabs>
          <w:tab w:val="left" w:pos="521"/>
        </w:tabs>
        <w:topLinePunct/>
        <w:adjustRightInd w:val="0"/>
        <w:snapToGrid w:val="0"/>
        <w:spacing w:after="224" w:afterLines="75" w:line="288" w:lineRule="auto"/>
        <w:jc w:val="both"/>
        <w:rPr>
          <w:rFonts w:ascii="Arial" w:hAnsi="Arial" w:eastAsia="宋体" w:cs="Arial"/>
          <w:snapToGrid w:val="0"/>
          <w:sz w:val="24"/>
        </w:rPr>
      </w:pPr>
      <w:r>
        <w:rPr>
          <w:rFonts w:hint="eastAsia" w:ascii="Arial" w:hAnsi="Arial" w:eastAsia="宋体" w:cs="Arial"/>
          <w:snapToGrid w:val="0"/>
          <w:sz w:val="24"/>
        </w:rPr>
        <w:t>（b）（i）无需研究性器械豁免申请（21 CFR第812部分）；或（ii）医疗器械已许可／批准上市，且医疗器械正按照其许可／批准标签使用的医疗器械研究。</w:t>
      </w:r>
    </w:p>
    <w:p w14:paraId="0B9C864E">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通过手指针刺、足跟针刺、耳朵针刺或静脉穿刺采集血液样本，具体如下：从体重至少为110磅的健康非妊娠成人采集。对于此类受试者，8周内的抽取量不得超过550毫升，且每周采集次数不得超过两次；或（b）从其他成人和儿童采集，</w:t>
      </w:r>
      <w:r>
        <w:fldChar w:fldCharType="begin"/>
      </w:r>
      <w:r>
        <w:instrText xml:space="preserve"> HYPERLINK \l "_bookmark49" </w:instrText>
      </w:r>
      <w:r>
        <w:fldChar w:fldCharType="separate"/>
      </w:r>
      <w:r>
        <w:rPr>
          <w:rFonts w:hint="eastAsia" w:ascii="Arial" w:hAnsi="Arial" w:eastAsia="宋体" w:cs="Arial"/>
          <w:snapToGrid w:val="0"/>
          <w:sz w:val="24"/>
          <w:vertAlign w:val="superscript"/>
        </w:rPr>
        <w:t>\2\</w:t>
      </w:r>
      <w:r>
        <w:rPr>
          <w:rFonts w:hint="eastAsia" w:ascii="Arial" w:hAnsi="Arial" w:eastAsia="宋体" w:cs="Arial"/>
          <w:snapToGrid w:val="0"/>
          <w:sz w:val="24"/>
          <w:vertAlign w:val="superscript"/>
        </w:rPr>
        <w:fldChar w:fldCharType="end"/>
      </w:r>
      <w:r>
        <w:rPr>
          <w:rFonts w:hint="eastAsia" w:ascii="Arial" w:hAnsi="Arial" w:eastAsia="宋体" w:cs="Arial"/>
          <w:snapToGrid w:val="0"/>
          <w:sz w:val="24"/>
        </w:rPr>
        <w:t>此时，应考虑受试者的年龄、体重和健康状况、采集程序、采集血液的量以及采集频率。对于此类受试者，8周内的抽取量不得超过每公斤50毫升或3毫升，且每周采集次数不得超过两次。</w:t>
      </w:r>
      <w:r>
        <w:rPr>
          <w:rStyle w:val="18"/>
          <w:rFonts w:ascii="Arial" w:hAnsi="Arial" w:eastAsia="宋体" w:cs="Arial"/>
          <w:snapToGrid w:val="0"/>
          <w:sz w:val="24"/>
        </w:rPr>
        <w:footnoteReference w:id="28" w:customMarkFollows="1"/>
        <w:sym w:font="Symbol" w:char="F020"/>
      </w:r>
    </w:p>
    <w:p w14:paraId="5135450E">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通过非侵入性手段前瞻性地采集用于研究的生物样本。示例：（a）以非损伤性方法采集毛发和剪下来的指甲；（b）脱落时采集或在常规患者护理要求时，拔出乳牙；（c）在常规患者护理要求时，拔出恒牙；（d）排泄物和外部分泌物（包括汗液）；（e）以非刺激方式，或通过咀嚼口香糖或蜡状物，或通过向舌头施用稀柠檬酸溶液来提供刺激，收集未插管唾液；（f）在分娩时取走胎盘；（g）待产前或待产期间，在膜破裂时获得羊水；（h）龈上和龈下牙菌斑和牙结石，但该采集程序的侵入性低于牙齿的常规预防性刮治术，且该过程按照公认预防技术完成；（i）通过口腔刮擦或拭子、皮肤拭子或漱口水收集粘膜和皮肤细胞；（j）盐雾雾化后收集痰。</w:t>
      </w:r>
    </w:p>
    <w:p w14:paraId="59C4E69C">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通过常用于临床实验规范的无创手术（不涉及全身麻醉或镇静）收集数据，不包括涉及X射线或微波的手术。如果使用医疗器械，其必须已许可／批准上市（如果研究旨在评价医疗器械的安全性和有效性，其通常不适用于快速受测，包括用于新适应症的已许可医疗器械研究。）示例：（a）在身体表面或距其一定距离应用，但不会向受试者输入大量的能量或侵犯受试者隐私的物理传感器；（b）称重或试验感觉敏度；（c）磁共振成像；（d）心电图、脑电图、热成像、自然发生的放射性检测、视网膜电图、超声、诊断性红外成像、多普勒血流和超声心动图；（e）适当运动、肌肉力量试验、身体成分评估以及适当的柔软度试验，其中应适当考虑到个人的年龄、体重和健康状态。</w:t>
      </w:r>
    </w:p>
    <w:p w14:paraId="28C40B6F">
      <w:pPr>
        <w:pStyle w:val="5"/>
        <w:topLinePunct/>
        <w:adjustRightInd w:val="0"/>
        <w:snapToGrid w:val="0"/>
        <w:spacing w:after="224" w:afterLines="75" w:line="288" w:lineRule="auto"/>
        <w:ind w:left="0"/>
        <w:jc w:val="both"/>
        <w:rPr>
          <w:rFonts w:ascii="Arial" w:hAnsi="Arial" w:cs="Arial"/>
          <w:snapToGrid w:val="0"/>
        </w:rPr>
      </w:pPr>
      <w:r>
        <w:rPr>
          <w:rFonts w:ascii="Arial" w:hAnsi="Arial" w:cs="Arial"/>
          <w:snapToGrid w:val="0"/>
          <w:szCs w:val="20"/>
        </w:rPr>
        <w:br w:type="page"/>
      </w:r>
    </w:p>
    <w:p w14:paraId="0C982C52">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涉及已收集或将收集，但仅用于非研究目的（如医疗或诊断）的材料（数据、文档、记录或样本）的研究。</w:t>
      </w:r>
    </w:p>
    <w:p w14:paraId="59B797A3">
      <w:pPr>
        <w:pStyle w:val="20"/>
        <w:tabs>
          <w:tab w:val="left" w:pos="521"/>
        </w:tabs>
        <w:topLinePunct/>
        <w:adjustRightInd w:val="0"/>
        <w:snapToGrid w:val="0"/>
        <w:spacing w:after="224" w:afterLines="75" w:line="288" w:lineRule="auto"/>
        <w:jc w:val="both"/>
        <w:rPr>
          <w:rFonts w:ascii="Arial" w:hAnsi="Arial" w:eastAsia="宋体" w:cs="Arial"/>
          <w:snapToGrid w:val="0"/>
          <w:sz w:val="24"/>
        </w:rPr>
      </w:pPr>
      <w:r>
        <w:rPr>
          <w:rFonts w:hint="eastAsia" w:ascii="Arial" w:hAnsi="Arial" w:eastAsia="宋体" w:cs="Arial"/>
          <w:snapToGrid w:val="0"/>
          <w:sz w:val="24"/>
        </w:rPr>
        <w:t>（备注：此类别的一些研究可能已豁免HHS的受试者保护法规。5 CFR 46.101 （b）（4）。本列表仅涉及未获得豁免的研究。</w:t>
      </w:r>
    </w:p>
    <w:p w14:paraId="74122E5B">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为研究目的收集来自语音、视频、数字或图像记录的数据。</w:t>
      </w:r>
    </w:p>
    <w:p w14:paraId="2844C9A6">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个人或群体特性或行为研究（包括但不限于对感知、认知、动机、身份、语言、交流、文化信仰或规范以及社会行为的研究），或采用调查、访谈、口述历史、焦点小组、项目评价、人为因素评价或质量保证方法进行的。</w:t>
      </w:r>
    </w:p>
    <w:p w14:paraId="4C717BA0">
      <w:pPr>
        <w:pStyle w:val="20"/>
        <w:tabs>
          <w:tab w:val="left" w:pos="521"/>
        </w:tabs>
        <w:topLinePunct/>
        <w:adjustRightInd w:val="0"/>
        <w:snapToGrid w:val="0"/>
        <w:spacing w:after="224" w:afterLines="75" w:line="288" w:lineRule="auto"/>
        <w:jc w:val="both"/>
        <w:rPr>
          <w:rFonts w:ascii="Arial" w:hAnsi="Arial" w:eastAsia="宋体" w:cs="Arial"/>
          <w:snapToGrid w:val="0"/>
          <w:sz w:val="24"/>
        </w:rPr>
      </w:pPr>
      <w:r>
        <w:rPr>
          <w:rFonts w:hint="eastAsia" w:ascii="Arial" w:hAnsi="Arial" w:eastAsia="宋体" w:cs="Arial"/>
          <w:snapToGrid w:val="0"/>
          <w:sz w:val="24"/>
        </w:rPr>
        <w:t>（备注：此类别的一些研究可能已豁免HHS的受试者保护法规。45 CFR 46.101 （b）（2）和（b）（3）。本列表仅涉及未获得豁免的研究。）</w:t>
      </w:r>
    </w:p>
    <w:p w14:paraId="0A62CFFB">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对先前由召集IRB批准的研究进行的持续审查，具体如下：（i）研究永远不再招募新受试者；（ii）所有受试者均已完成所有研究相关干预；以及（iii）研究仅对受试者进行积极长期随访；或（b）未入选任何受试者，以及未发现附加风险；或（c）剩余研究活动仅限于数据分析。</w:t>
      </w:r>
    </w:p>
    <w:p w14:paraId="0A9C42A9">
      <w:pPr>
        <w:pStyle w:val="20"/>
        <w:numPr>
          <w:ilvl w:val="0"/>
          <w:numId w:val="9"/>
        </w:numPr>
        <w:tabs>
          <w:tab w:val="left" w:pos="521"/>
        </w:tabs>
        <w:topLinePunct/>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rPr>
        <w:t>对未提供研究性新药申请或研究性器械豁免的研究进行的持续审查，其中类别2至类别8不再适用，但IRB已在召集会议上确定并记录，该研究仅构成不超过最低限度的风险，且未发现附加风险。</w:t>
      </w:r>
    </w:p>
    <w:p w14:paraId="52EFFEF8">
      <w:pPr>
        <w:pBdr>
          <w:top w:val="single" w:color="auto" w:sz="4" w:space="1"/>
        </w:pBdr>
        <w:topLinePunct/>
        <w:adjustRightInd w:val="0"/>
        <w:snapToGrid w:val="0"/>
        <w:spacing w:after="224" w:afterLines="75" w:line="288" w:lineRule="auto"/>
        <w:jc w:val="both"/>
        <w:rPr>
          <w:rFonts w:hint="eastAsia" w:eastAsia="宋体"/>
          <w:lang w:eastAsia="zh-CN"/>
        </w:rPr>
      </w:pPr>
    </w:p>
    <w:p w14:paraId="00687169">
      <w:pPr>
        <w:pBdr>
          <w:top w:val="single" w:color="auto" w:sz="4" w:space="1"/>
        </w:pBdr>
        <w:topLinePunct/>
        <w:adjustRightInd w:val="0"/>
        <w:snapToGrid w:val="0"/>
        <w:spacing w:after="224" w:afterLines="75" w:line="288" w:lineRule="auto"/>
        <w:jc w:val="center"/>
        <w:rPr>
          <w:rFonts w:hint="eastAsia" w:eastAsia="宋体"/>
          <w:lang w:eastAsia="zh-CN"/>
        </w:rPr>
      </w:pPr>
    </w:p>
    <w:p w14:paraId="4EBE7E3B">
      <w:pPr>
        <w:pBdr>
          <w:top w:val="single" w:color="auto" w:sz="4" w:space="1"/>
        </w:pBdr>
        <w:topLinePunct/>
        <w:adjustRightInd w:val="0"/>
        <w:snapToGrid w:val="0"/>
        <w:spacing w:after="22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134" w:right="1440" w:bottom="1134" w:left="1440" w:header="720" w:footer="720" w:gutter="0"/>
      <w:pgNumType w:start="1"/>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B229">
    <w:pPr>
      <w:rPr>
        <w:rFonts w:ascii="Arial" w:hAnsi="Arial" w:eastAsia="宋体" w:cs="Arial"/>
        <w:sz w:val="21"/>
        <w:szCs w:val="20"/>
      </w:rPr>
    </w:pPr>
  </w:p>
  <w:p w14:paraId="56F22678">
    <w:pPr>
      <w:jc w:val="center"/>
      <w:rPr>
        <w:rFonts w:ascii="Arial" w:hAnsi="Arial" w:eastAsia="宋体" w:cs="Arial"/>
        <w:sz w:val="21"/>
        <w:szCs w:val="20"/>
      </w:rPr>
    </w:pPr>
    <w:r>
      <w:rPr>
        <w:rFonts w:ascii="Arial" w:hAnsi="Arial" w:eastAsia="宋体" w:cs="Arial"/>
        <w:sz w:val="21"/>
        <w:szCs w:val="20"/>
      </w:rPr>
      <w:fldChar w:fldCharType="begin"/>
    </w:r>
    <w:r>
      <w:rPr>
        <w:rFonts w:ascii="Arial" w:hAnsi="Arial" w:eastAsia="宋体" w:cs="Arial"/>
        <w:sz w:val="21"/>
        <w:szCs w:val="20"/>
      </w:rPr>
      <w:instrText xml:space="preserve">PAGE   \* MERGEFORMAT</w:instrText>
    </w:r>
    <w:r>
      <w:rPr>
        <w:rFonts w:ascii="Arial" w:hAnsi="Arial" w:eastAsia="宋体" w:cs="Arial"/>
        <w:sz w:val="21"/>
        <w:szCs w:val="20"/>
      </w:rPr>
      <w:fldChar w:fldCharType="separate"/>
    </w:r>
    <w:r>
      <w:rPr>
        <w:rFonts w:ascii="Arial" w:hAnsi="Arial" w:eastAsia="宋体" w:cs="Arial"/>
        <w:sz w:val="21"/>
        <w:szCs w:val="20"/>
        <w:lang w:val="zh-CN"/>
      </w:rPr>
      <w:t>i</w:t>
    </w:r>
    <w:r>
      <w:rPr>
        <w:rFonts w:ascii="Arial" w:hAnsi="Arial" w:eastAsia="宋体" w:cs="Arial"/>
        <w:sz w:val="21"/>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E7E6">
    <w:pPr>
      <w:rPr>
        <w:rFonts w:ascii="Arial" w:hAnsi="Arial" w:eastAsia="宋体" w:cs="Arial"/>
        <w:sz w:val="21"/>
        <w:szCs w:val="20"/>
      </w:rPr>
    </w:pPr>
  </w:p>
  <w:p w14:paraId="36946A0E">
    <w:pPr>
      <w:jc w:val="center"/>
      <w:rPr>
        <w:rFonts w:ascii="Arial" w:hAnsi="Arial" w:eastAsia="宋体" w:cs="Arial"/>
        <w:sz w:val="21"/>
        <w:szCs w:val="20"/>
      </w:rPr>
    </w:pPr>
    <w:r>
      <w:rPr>
        <w:rFonts w:ascii="Arial" w:hAnsi="Arial" w:eastAsia="宋体" w:cs="Arial"/>
        <w:sz w:val="21"/>
        <w:szCs w:val="20"/>
      </w:rPr>
      <w:fldChar w:fldCharType="begin"/>
    </w:r>
    <w:r>
      <w:rPr>
        <w:rFonts w:ascii="Arial" w:hAnsi="Arial" w:eastAsia="宋体" w:cs="Arial"/>
        <w:sz w:val="21"/>
        <w:szCs w:val="20"/>
      </w:rPr>
      <w:instrText xml:space="preserve">PAGE   \* MERGEFORMAT</w:instrText>
    </w:r>
    <w:r>
      <w:rPr>
        <w:rFonts w:ascii="Arial" w:hAnsi="Arial" w:eastAsia="宋体" w:cs="Arial"/>
        <w:sz w:val="21"/>
        <w:szCs w:val="20"/>
      </w:rPr>
      <w:fldChar w:fldCharType="separate"/>
    </w:r>
    <w:r>
      <w:rPr>
        <w:rFonts w:ascii="Arial" w:hAnsi="Arial" w:eastAsia="宋体" w:cs="Arial"/>
        <w:sz w:val="21"/>
        <w:szCs w:val="20"/>
        <w:lang w:val="zh-CN"/>
      </w:rPr>
      <w:t>25</w:t>
    </w:r>
    <w:r>
      <w:rPr>
        <w:rFonts w:ascii="Arial" w:hAnsi="Arial" w:eastAsia="宋体"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8">
    <w:p>
      <w:r>
        <w:separator/>
      </w:r>
    </w:p>
  </w:footnote>
  <w:footnote w:type="continuationSeparator" w:id="59">
    <w:p>
      <w:r>
        <w:continuationSeparator/>
      </w:r>
    </w:p>
  </w:footnote>
  <w:footnote w:id="0">
    <w:p w14:paraId="1220ACEE">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本指南由FDA机构审查委员会工作组编写，该工作组包括来自FDA委员办公室、生物制剂评价和研究中心（CBER）、药品评价和研究中心（CDER）以及器械和放射卫生中心（CDRH）的代表。</w:t>
      </w:r>
    </w:p>
  </w:footnote>
  <w:footnote w:id="1">
    <w:p w14:paraId="013BBFB9">
      <w:pPr>
        <w:pStyle w:val="12"/>
        <w:spacing w:line="300" w:lineRule="auto"/>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对于符合45 CFR第46部分的研究（即由HHS资助、进行或支持的研究），OHRP已经发布了IRB持续审查指南。请参见</w:t>
      </w:r>
      <w:r>
        <w:rPr>
          <w:rFonts w:hint="eastAsia" w:ascii="宋体" w:hAnsi="宋体" w:eastAsia="宋体" w:cs="Arial"/>
          <w:snapToGrid w:val="0"/>
          <w:sz w:val="21"/>
          <w:szCs w:val="21"/>
        </w:rPr>
        <w:t>“</w:t>
      </w:r>
      <w:r>
        <w:rPr>
          <w:rFonts w:hint="eastAsia" w:ascii="Arial" w:hAnsi="Arial" w:eastAsia="宋体" w:cs="Arial"/>
          <w:snapToGrid w:val="0"/>
          <w:sz w:val="21"/>
          <w:szCs w:val="21"/>
        </w:rPr>
        <w:t>IRB持续审查研究指南</w:t>
      </w:r>
      <w:r>
        <w:rPr>
          <w:rFonts w:hint="eastAsia" w:ascii="宋体" w:hAnsi="宋体" w:eastAsia="宋体" w:cs="Arial"/>
          <w:snapToGrid w:val="0"/>
          <w:sz w:val="21"/>
          <w:szCs w:val="21"/>
        </w:rPr>
        <w:t>”，</w:t>
      </w:r>
      <w:r>
        <w:fldChar w:fldCharType="begin"/>
      </w:r>
      <w:r>
        <w:instrText xml:space="preserve"> HYPERLINK "http://www.hhs.gov/ohrp/policy/continuingreview2010.pdf%20" </w:instrText>
      </w:r>
      <w:r>
        <w:fldChar w:fldCharType="separate"/>
      </w:r>
      <w:r>
        <w:rPr>
          <w:rStyle w:val="17"/>
          <w:rFonts w:hint="eastAsia" w:ascii="Arial" w:hAnsi="Arial" w:eastAsia="宋体" w:cs="Arial"/>
          <w:snapToGrid w:val="0"/>
          <w:sz w:val="21"/>
          <w:szCs w:val="21"/>
          <w:u w:color="0000FF"/>
        </w:rPr>
        <w:t xml:space="preserve">http://www.hhs.gov/ohrp/policy/continuingreview2010.pdf </w:t>
      </w:r>
      <w:r>
        <w:rPr>
          <w:rStyle w:val="17"/>
          <w:rFonts w:hint="eastAsia" w:ascii="Arial" w:hAnsi="Arial" w:eastAsia="宋体" w:cs="Arial"/>
          <w:snapToGrid w:val="0"/>
          <w:sz w:val="21"/>
          <w:szCs w:val="21"/>
          <w:u w:color="0000FF"/>
        </w:rPr>
        <w:fldChar w:fldCharType="end"/>
      </w:r>
      <w:r>
        <w:rPr>
          <w:rFonts w:hint="eastAsia" w:ascii="Arial" w:hAnsi="Arial" w:eastAsia="宋体" w:cs="Arial"/>
          <w:snapToGrid w:val="0"/>
          <w:sz w:val="21"/>
          <w:szCs w:val="21"/>
        </w:rPr>
        <w:t>和</w:t>
      </w:r>
      <w:r>
        <w:rPr>
          <w:rFonts w:hint="eastAsia" w:ascii="宋体" w:hAnsi="宋体" w:eastAsia="宋体" w:cs="Arial"/>
          <w:snapToGrid w:val="0"/>
          <w:sz w:val="21"/>
          <w:szCs w:val="21"/>
        </w:rPr>
        <w:t>“</w:t>
      </w:r>
      <w:r>
        <w:rPr>
          <w:rFonts w:hint="eastAsia" w:ascii="Arial" w:hAnsi="Arial" w:eastAsia="宋体" w:cs="Arial"/>
          <w:snapToGrid w:val="0"/>
          <w:sz w:val="21"/>
          <w:szCs w:val="21"/>
        </w:rPr>
        <w:t>IRB条件性批准研究指南</w:t>
      </w:r>
      <w:r>
        <w:rPr>
          <w:rFonts w:hint="eastAsia" w:ascii="宋体" w:hAnsi="宋体" w:eastAsia="宋体" w:cs="Arial"/>
          <w:snapToGrid w:val="0"/>
          <w:sz w:val="21"/>
          <w:szCs w:val="21"/>
        </w:rPr>
        <w:t>”</w:t>
      </w:r>
      <w:r>
        <w:fldChar w:fldCharType="begin"/>
      </w:r>
      <w:r>
        <w:instrText xml:space="preserve"> HYPERLINK "http://www.hhs.gov/ohrp/policy/conditionalapproval2010.html" </w:instrText>
      </w:r>
      <w:r>
        <w:fldChar w:fldCharType="separate"/>
      </w:r>
      <w:r>
        <w:rPr>
          <w:rStyle w:val="17"/>
          <w:rFonts w:hint="eastAsia" w:ascii="Arial" w:hAnsi="Arial" w:eastAsia="宋体" w:cs="Arial"/>
          <w:snapToGrid w:val="0"/>
          <w:sz w:val="21"/>
          <w:szCs w:val="21"/>
          <w:u w:color="0000FF"/>
        </w:rPr>
        <w:t>http://www.hhs.gov/ohrp/policy/conditionalapproval2010.html</w:t>
      </w:r>
      <w:r>
        <w:rPr>
          <w:rStyle w:val="17"/>
          <w:rFonts w:hint="eastAsia" w:ascii="Arial" w:hAnsi="Arial" w:eastAsia="宋体" w:cs="Arial"/>
          <w:snapToGrid w:val="0"/>
          <w:sz w:val="21"/>
          <w:szCs w:val="21"/>
          <w:u w:color="0000FF"/>
        </w:rPr>
        <w:fldChar w:fldCharType="end"/>
      </w:r>
      <w:r>
        <w:rPr>
          <w:rFonts w:hint="eastAsia" w:ascii="Arial" w:hAnsi="Arial" w:eastAsia="宋体" w:cs="Arial"/>
          <w:snapToGrid w:val="0"/>
          <w:sz w:val="21"/>
          <w:szCs w:val="21"/>
        </w:rPr>
        <w:t>。</w:t>
      </w:r>
    </w:p>
  </w:footnote>
  <w:footnote w:id="2">
    <w:p w14:paraId="00328E40">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请参见21 CFR 56.108（a）（3）和（4），56.109（a）和56.110 （b）（2）。</w:t>
      </w:r>
    </w:p>
  </w:footnote>
  <w:footnote w:id="3">
    <w:p w14:paraId="57F149C3">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请参见21 CFR 56.109（b）。</w:t>
      </w:r>
    </w:p>
  </w:footnote>
  <w:footnote w:id="4">
    <w:p w14:paraId="1823F6DE">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请参见21 CFR 56.108（b）（1）。</w:t>
      </w:r>
    </w:p>
  </w:footnote>
  <w:footnote w:id="5">
    <w:p w14:paraId="06B3436F">
      <w:pPr>
        <w:pStyle w:val="12"/>
        <w:spacing w:line="300" w:lineRule="auto"/>
        <w:rPr>
          <w:sz w:val="21"/>
          <w:szCs w:val="21"/>
        </w:rPr>
      </w:pPr>
      <w:r>
        <w:rPr>
          <w:rStyle w:val="18"/>
          <w:sz w:val="21"/>
          <w:szCs w:val="21"/>
        </w:rPr>
        <w:footnoteRef/>
      </w:r>
      <w:r>
        <w:rPr>
          <w:rFonts w:hint="eastAsia" w:ascii="Arial" w:hAnsi="Arial" w:eastAsia="宋体" w:cs="Arial"/>
          <w:snapToGrid w:val="0"/>
          <w:sz w:val="21"/>
          <w:szCs w:val="21"/>
        </w:rPr>
        <w:t>请参见FDA的行业指南，</w:t>
      </w:r>
      <w:r>
        <w:rPr>
          <w:rFonts w:hint="eastAsia" w:ascii="宋体" w:hAnsi="宋体" w:eastAsia="宋体" w:cs="Arial"/>
          <w:snapToGrid w:val="0"/>
          <w:sz w:val="21"/>
          <w:szCs w:val="21"/>
        </w:rPr>
        <w:t>“</w:t>
      </w:r>
      <w:r>
        <w:rPr>
          <w:rFonts w:hint="eastAsia" w:ascii="Arial" w:hAnsi="Arial" w:eastAsia="宋体" w:cs="Arial"/>
          <w:snapToGrid w:val="0"/>
          <w:sz w:val="21"/>
          <w:szCs w:val="21"/>
        </w:rPr>
        <w:t>向IRB报告不良事件-改善受试者保护</w:t>
      </w:r>
      <w:r>
        <w:rPr>
          <w:rFonts w:hint="eastAsia" w:ascii="宋体" w:hAnsi="宋体" w:eastAsia="宋体" w:cs="Arial"/>
          <w:snapToGrid w:val="0"/>
          <w:sz w:val="21"/>
          <w:szCs w:val="21"/>
        </w:rPr>
        <w:t>”</w:t>
      </w:r>
      <w:r>
        <w:rPr>
          <w:rFonts w:hint="eastAsia" w:ascii="Arial" w:hAnsi="Arial" w:eastAsia="宋体" w:cs="Arial"/>
          <w:snapToGrid w:val="0"/>
          <w:sz w:val="21"/>
          <w:szCs w:val="21"/>
        </w:rPr>
        <w:t>，</w:t>
      </w:r>
      <w:r>
        <w:fldChar w:fldCharType="begin"/>
      </w:r>
      <w:r>
        <w:instrText xml:space="preserve"> HYPERLINK "http://www.fda.gov/downloads/RegulatoryInformation/Guidances/UCM126572.pdf" </w:instrText>
      </w:r>
      <w:r>
        <w:fldChar w:fldCharType="separate"/>
      </w:r>
      <w:r>
        <w:rPr>
          <w:rStyle w:val="17"/>
          <w:rFonts w:hint="eastAsia" w:ascii="Arial" w:hAnsi="Arial" w:eastAsia="宋体" w:cs="Arial"/>
          <w:snapToGrid w:val="0"/>
          <w:sz w:val="21"/>
          <w:szCs w:val="21"/>
          <w:u w:color="0000FF"/>
        </w:rPr>
        <w:t>http://www.fda.gov/downloads/RegulatoryInformation/Guidances/UCM126572.pdf</w:t>
      </w:r>
      <w:r>
        <w:rPr>
          <w:rStyle w:val="17"/>
          <w:rFonts w:hint="eastAsia" w:ascii="Arial" w:hAnsi="Arial" w:eastAsia="宋体" w:cs="Arial"/>
          <w:snapToGrid w:val="0"/>
          <w:sz w:val="21"/>
          <w:szCs w:val="21"/>
          <w:u w:color="0000FF"/>
        </w:rPr>
        <w:fldChar w:fldCharType="end"/>
      </w:r>
      <w:r>
        <w:rPr>
          <w:rFonts w:hint="eastAsia" w:ascii="Arial" w:hAnsi="Arial" w:eastAsia="宋体" w:cs="Arial"/>
          <w:snapToGrid w:val="0"/>
          <w:sz w:val="21"/>
          <w:szCs w:val="21"/>
        </w:rPr>
        <w:t>。</w:t>
      </w:r>
    </w:p>
  </w:footnote>
  <w:footnote w:id="6">
    <w:p w14:paraId="6D67455D">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请注意，FDA的器械研究法规明确要求申办方</w:t>
      </w:r>
      <w:r>
        <w:rPr>
          <w:rFonts w:hint="eastAsia" w:ascii="宋体" w:hAnsi="宋体" w:eastAsia="宋体" w:cs="Arial"/>
          <w:snapToGrid w:val="0"/>
          <w:sz w:val="21"/>
          <w:szCs w:val="21"/>
        </w:rPr>
        <w:t>“</w:t>
      </w:r>
      <w:r>
        <w:rPr>
          <w:rFonts w:hint="eastAsia" w:ascii="Arial" w:hAnsi="Arial" w:eastAsia="宋体" w:cs="Arial"/>
          <w:snapToGrid w:val="0"/>
          <w:sz w:val="21"/>
          <w:szCs w:val="21"/>
        </w:rPr>
        <w:t>......确保已获得IRB审查和批准，并确保任何审查IRB和FDA及时获悉有关研究的重要新信息......</w:t>
      </w:r>
      <w:r>
        <w:rPr>
          <w:rFonts w:hint="eastAsia" w:ascii="宋体" w:hAnsi="宋体" w:eastAsia="宋体" w:cs="Arial"/>
          <w:snapToGrid w:val="0"/>
          <w:sz w:val="21"/>
          <w:szCs w:val="21"/>
        </w:rPr>
        <w:t>”</w:t>
      </w:r>
    </w:p>
  </w:footnote>
  <w:footnote w:id="7">
    <w:p w14:paraId="628D7620">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请参见FDA的行业指南，</w:t>
      </w:r>
      <w:r>
        <w:rPr>
          <w:rFonts w:hint="eastAsia" w:ascii="宋体" w:hAnsi="宋体" w:eastAsia="宋体" w:cs="Arial"/>
          <w:snapToGrid w:val="0"/>
          <w:sz w:val="21"/>
          <w:szCs w:val="21"/>
        </w:rPr>
        <w:t>“</w:t>
      </w:r>
      <w:r>
        <w:rPr>
          <w:rFonts w:hint="eastAsia" w:ascii="Arial" w:hAnsi="Arial" w:eastAsia="宋体" w:cs="Arial"/>
          <w:snapToGrid w:val="0"/>
          <w:sz w:val="21"/>
          <w:szCs w:val="21"/>
        </w:rPr>
        <w:t>在多中心临床试验中使用集中式IRB审查程序</w:t>
      </w:r>
      <w:r>
        <w:rPr>
          <w:rFonts w:hint="eastAsia" w:ascii="宋体" w:hAnsi="宋体" w:eastAsia="宋体" w:cs="Arial"/>
          <w:snapToGrid w:val="0"/>
          <w:sz w:val="21"/>
          <w:szCs w:val="21"/>
        </w:rPr>
        <w:t>”</w:t>
      </w:r>
      <w:r>
        <w:rPr>
          <w:rFonts w:hint="eastAsia" w:ascii="Arial" w:hAnsi="Arial" w:eastAsia="宋体" w:cs="Arial"/>
          <w:snapToGrid w:val="0"/>
          <w:sz w:val="21"/>
          <w:szCs w:val="21"/>
        </w:rPr>
        <w:t>，</w:t>
      </w:r>
      <w:r>
        <w:fldChar w:fldCharType="begin"/>
      </w:r>
      <w:r>
        <w:instrText xml:space="preserve"> HYPERLINK "http://www.fda.gov/downloads/Drugs/GuidanceComplianceRegulatoryInformation/Guidances/ucm080606.pdf" \h </w:instrText>
      </w:r>
      <w:r>
        <w:fldChar w:fldCharType="separate"/>
      </w:r>
      <w:r>
        <w:rPr>
          <w:rFonts w:hint="eastAsia" w:ascii="Arial" w:hAnsi="Arial" w:eastAsia="宋体" w:cs="Arial"/>
          <w:snapToGrid w:val="0"/>
          <w:color w:val="0000FF"/>
          <w:sz w:val="21"/>
          <w:szCs w:val="21"/>
          <w:u w:val="single" w:color="0000FF"/>
        </w:rPr>
        <w:t>http: //www.fda.gov/downloads/Drugs/GuidanceComplianceRegulatoryInformation/Guidances/ucm080606.pdf</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sz w:val="21"/>
          <w:szCs w:val="21"/>
        </w:rPr>
        <w:t>。</w:t>
      </w:r>
    </w:p>
  </w:footnote>
  <w:footnote w:id="8">
    <w:p w14:paraId="4B2340A1">
      <w:pPr>
        <w:pStyle w:val="12"/>
        <w:spacing w:line="300" w:lineRule="auto"/>
        <w:rPr>
          <w:sz w:val="21"/>
          <w:szCs w:val="21"/>
        </w:rPr>
      </w:pPr>
      <w:r>
        <w:rPr>
          <w:rStyle w:val="18"/>
          <w:sz w:val="21"/>
          <w:szCs w:val="21"/>
        </w:rPr>
        <w:footnoteRef/>
      </w:r>
      <w:r>
        <w:rPr>
          <w:rFonts w:hint="eastAsia" w:ascii="Arial" w:hAnsi="Arial" w:eastAsia="宋体" w:cs="Arial"/>
          <w:snapToGrid w:val="0"/>
          <w:sz w:val="21"/>
          <w:szCs w:val="21"/>
        </w:rPr>
        <w:t>请参见21 CFR 312.53（c）（1）（vii），312.60,312.66,812.36（c）（viii），812.100,812.110（b），812.40和812.43（c）（4）（i）。</w:t>
      </w:r>
    </w:p>
  </w:footnote>
  <w:footnote w:id="9">
    <w:p w14:paraId="58CC9BFC">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此类信息中的一部分可能来自申办方，因为申办方可以访问所有研究中心的数据。申办方可以直接将信息提供给IRB或临床研究者，然后由临床研究者将此类信息提供给IRB。</w:t>
      </w:r>
    </w:p>
  </w:footnote>
  <w:footnote w:id="10">
    <w:p w14:paraId="3BEA3849">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IRB程序必须确保及时向IRB报告可对受试者或他人构成风险的非预期问题（21 CFR 56.108（b）（1））。请参见</w:t>
      </w:r>
      <w:r>
        <w:rPr>
          <w:rFonts w:hint="eastAsia" w:ascii="宋体" w:hAnsi="宋体" w:eastAsia="宋体" w:cs="Arial"/>
          <w:snapToGrid w:val="0"/>
          <w:sz w:val="21"/>
          <w:szCs w:val="21"/>
        </w:rPr>
        <w:t>“</w:t>
      </w:r>
      <w:r>
        <w:rPr>
          <w:rFonts w:hint="eastAsia" w:ascii="Arial" w:hAnsi="Arial" w:eastAsia="宋体" w:cs="Arial"/>
          <w:snapToGrid w:val="0"/>
          <w:sz w:val="21"/>
          <w:szCs w:val="21"/>
        </w:rPr>
        <w:t>临床研究者、申办方和IRB指南：向IRB报告不良事件-改善受试者保护，</w:t>
      </w:r>
      <w:r>
        <w:fldChar w:fldCharType="begin"/>
      </w:r>
      <w:r>
        <w:instrText xml:space="preserve"> HYPERLINK "http://www.fda.gov/downloads/RegulatoryInformation/Guidances/UCM126572.pdf" \h </w:instrText>
      </w:r>
      <w:r>
        <w:fldChar w:fldCharType="separate"/>
      </w:r>
      <w:r>
        <w:rPr>
          <w:rFonts w:hint="eastAsia" w:ascii="Arial" w:hAnsi="Arial" w:eastAsia="宋体" w:cs="Arial"/>
          <w:snapToGrid w:val="0"/>
          <w:color w:val="0000FF"/>
          <w:sz w:val="21"/>
          <w:szCs w:val="21"/>
          <w:u w:val="single" w:color="0000FF"/>
        </w:rPr>
        <w:t>http: //www.fda.gov/downloads/RegulatoryInformation/Guidances/UCM126572.pdf</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sz w:val="21"/>
          <w:szCs w:val="21"/>
        </w:rPr>
        <w:t>。</w:t>
      </w:r>
    </w:p>
  </w:footnote>
  <w:footnote w:id="11">
    <w:p w14:paraId="6F17E0C1">
      <w:pPr>
        <w:pStyle w:val="12"/>
        <w:spacing w:line="300" w:lineRule="auto"/>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请参见FDA</w:t>
      </w:r>
      <w:r>
        <w:rPr>
          <w:rFonts w:hint="eastAsia" w:ascii="宋体" w:hAnsi="宋体" w:eastAsia="宋体" w:cs="Arial"/>
          <w:snapToGrid w:val="0"/>
          <w:sz w:val="21"/>
          <w:szCs w:val="21"/>
        </w:rPr>
        <w:t>“</w:t>
      </w:r>
      <w:r>
        <w:rPr>
          <w:rFonts w:hint="eastAsia" w:ascii="Arial" w:hAnsi="Arial" w:eastAsia="宋体" w:cs="Arial"/>
          <w:snapToGrid w:val="0"/>
          <w:sz w:val="21"/>
          <w:szCs w:val="21"/>
        </w:rPr>
        <w:t>临床试验申办方指南，临床试验数据监测委员会的建立和运行</w:t>
      </w:r>
      <w:r>
        <w:rPr>
          <w:rFonts w:hint="eastAsia" w:ascii="宋体" w:hAnsi="宋体" w:eastAsia="宋体" w:cs="Arial"/>
          <w:snapToGrid w:val="0"/>
          <w:sz w:val="21"/>
          <w:szCs w:val="21"/>
        </w:rPr>
        <w:t>”</w:t>
      </w:r>
      <w:r>
        <w:fldChar w:fldCharType="begin"/>
      </w:r>
      <w:r>
        <w:instrText xml:space="preserve"> HYPERLINK "http://www.fda.gov/downloads/RegulatoryInformation/Guidances/ucm127073.pdf%20" </w:instrText>
      </w:r>
      <w:r>
        <w:fldChar w:fldCharType="separate"/>
      </w:r>
      <w:r>
        <w:rPr>
          <w:rStyle w:val="17"/>
          <w:rFonts w:hint="eastAsia" w:ascii="Arial" w:hAnsi="Arial" w:eastAsia="宋体" w:cs="Arial"/>
          <w:snapToGrid w:val="0"/>
          <w:sz w:val="21"/>
          <w:szCs w:val="21"/>
          <w:u w:color="0000FF"/>
        </w:rPr>
        <w:t xml:space="preserve">http://www.fda.gov/downloads/RegulatoryInformation/Guidances/ucm127073.pdf </w:t>
      </w:r>
      <w:r>
        <w:rPr>
          <w:rStyle w:val="17"/>
          <w:rFonts w:hint="eastAsia" w:ascii="Arial" w:hAnsi="Arial" w:eastAsia="宋体" w:cs="Arial"/>
          <w:snapToGrid w:val="0"/>
          <w:sz w:val="21"/>
          <w:szCs w:val="21"/>
          <w:u w:color="0000FF"/>
        </w:rPr>
        <w:fldChar w:fldCharType="end"/>
      </w:r>
      <w:r>
        <w:rPr>
          <w:rFonts w:hint="eastAsia" w:ascii="Arial" w:hAnsi="Arial" w:eastAsia="宋体" w:cs="Arial"/>
          <w:snapToGrid w:val="0"/>
          <w:sz w:val="21"/>
          <w:szCs w:val="21"/>
        </w:rPr>
        <w:t>。</w:t>
      </w:r>
    </w:p>
  </w:footnote>
  <w:footnote w:id="12">
    <w:p w14:paraId="4A1E00CF">
      <w:pPr>
        <w:pStyle w:val="12"/>
        <w:spacing w:line="300" w:lineRule="auto"/>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FDA收到了许多评论，其中建议国际监管机构要求向独立伦理委员会（IECs）提交定期汇总报告。由于全球研究均已生成并编写此类报告以便提交给IRB/IEC，因此，建议使用此类报告来减轻负担和协调跨国试验要求，同时向IRB提供必要信息【请参见案卷编号FDA-2009-D-0605，网址：www.regulations.gov】FDA不反对这种做法。对于涉及药品和生物制剂的临床研究，IRB可以要求提供发展安全更新报告（DSUR）执行总结（如果有）。DSUR的主要目标是对研究药品相关报告期内收集的相关安全信息进行全面详细的年度审查和评估，不论该药品是否已获得上市批准。请参见ICH</w:t>
      </w:r>
      <w:r>
        <w:rPr>
          <w:rFonts w:hint="eastAsia" w:ascii="宋体" w:hAnsi="宋体" w:eastAsia="宋体" w:cs="Arial"/>
          <w:snapToGrid w:val="0"/>
          <w:sz w:val="21"/>
          <w:szCs w:val="21"/>
        </w:rPr>
        <w:t>“</w:t>
      </w:r>
      <w:r>
        <w:rPr>
          <w:rFonts w:hint="eastAsia" w:ascii="Arial" w:hAnsi="Arial" w:eastAsia="宋体" w:cs="Arial"/>
          <w:snapToGrid w:val="0"/>
          <w:sz w:val="21"/>
          <w:szCs w:val="21"/>
        </w:rPr>
        <w:t>行业指南，E2F发展安全更新报告</w:t>
      </w:r>
      <w:r>
        <w:rPr>
          <w:rFonts w:hint="eastAsia" w:ascii="宋体" w:hAnsi="宋体" w:eastAsia="宋体" w:cs="Arial"/>
          <w:snapToGrid w:val="0"/>
          <w:sz w:val="21"/>
          <w:szCs w:val="21"/>
        </w:rPr>
        <w:t>”</w:t>
      </w:r>
      <w:r>
        <w:rPr>
          <w:rFonts w:hint="eastAsia" w:ascii="Arial" w:hAnsi="Arial" w:eastAsia="宋体" w:cs="Arial"/>
          <w:snapToGrid w:val="0"/>
          <w:sz w:val="21"/>
          <w:szCs w:val="21"/>
        </w:rPr>
        <w:t>，</w:t>
      </w:r>
      <w:r>
        <w:fldChar w:fldCharType="begin"/>
      </w:r>
      <w:r>
        <w:instrText xml:space="preserve"> HYPERLINK "http://www.fda.gov/downloads/Drugs/GuidanceComplianceRegulatoryInformation/Guidances/UCM073109.pdf%20" </w:instrText>
      </w:r>
      <w:r>
        <w:fldChar w:fldCharType="separate"/>
      </w:r>
      <w:r>
        <w:rPr>
          <w:rStyle w:val="17"/>
          <w:rFonts w:hint="eastAsia" w:ascii="Arial" w:hAnsi="Arial" w:eastAsia="宋体" w:cs="Arial"/>
          <w:snapToGrid w:val="0"/>
          <w:sz w:val="21"/>
          <w:szCs w:val="21"/>
          <w:u w:color="0000FF"/>
        </w:rPr>
        <w:t xml:space="preserve">http://www.fda.gov/downloads/Drugs/GuidanceComplianceRegulatoryInformation/Guidances/UCM073109.pdf </w:t>
      </w:r>
      <w:r>
        <w:rPr>
          <w:rStyle w:val="17"/>
          <w:rFonts w:hint="eastAsia" w:ascii="Arial" w:hAnsi="Arial" w:eastAsia="宋体" w:cs="Arial"/>
          <w:snapToGrid w:val="0"/>
          <w:sz w:val="21"/>
          <w:szCs w:val="21"/>
          <w:u w:color="0000FF"/>
        </w:rPr>
        <w:fldChar w:fldCharType="end"/>
      </w:r>
      <w:r>
        <w:rPr>
          <w:rFonts w:hint="eastAsia" w:ascii="Arial" w:hAnsi="Arial" w:eastAsia="宋体" w:cs="Arial"/>
          <w:snapToGrid w:val="0"/>
          <w:sz w:val="21"/>
          <w:szCs w:val="21"/>
        </w:rPr>
        <w:t>。</w:t>
      </w:r>
    </w:p>
  </w:footnote>
  <w:footnote w:id="13">
    <w:p w14:paraId="5E27A6D1">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w:t>
      </w:r>
      <w:r>
        <w:rPr>
          <w:rFonts w:hint="eastAsia" w:ascii="宋体" w:hAnsi="宋体" w:eastAsia="宋体" w:cs="Arial"/>
          <w:snapToGrid w:val="0"/>
          <w:sz w:val="21"/>
          <w:szCs w:val="21"/>
        </w:rPr>
        <w:t>“</w:t>
      </w:r>
      <w:r>
        <w:rPr>
          <w:rFonts w:hint="eastAsia" w:ascii="Arial" w:hAnsi="Arial" w:eastAsia="宋体" w:cs="Arial"/>
          <w:snapToGrid w:val="0"/>
          <w:sz w:val="21"/>
          <w:szCs w:val="21"/>
        </w:rPr>
        <w:t>临床研究者、申办方和IRB指南：向IRB报告不良事件-改善受试者保护</w:t>
      </w:r>
      <w:r>
        <w:rPr>
          <w:rFonts w:hint="eastAsia" w:ascii="宋体" w:hAnsi="宋体" w:eastAsia="宋体" w:cs="Arial"/>
          <w:snapToGrid w:val="0"/>
          <w:sz w:val="21"/>
          <w:szCs w:val="21"/>
        </w:rPr>
        <w:t>”</w:t>
      </w:r>
      <w:r>
        <w:rPr>
          <w:rFonts w:hint="eastAsia" w:ascii="Arial" w:hAnsi="Arial" w:eastAsia="宋体" w:cs="Arial"/>
          <w:snapToGrid w:val="0"/>
          <w:sz w:val="21"/>
          <w:szCs w:val="21"/>
        </w:rPr>
        <w:t>，</w:t>
      </w:r>
      <w:r>
        <w:fldChar w:fldCharType="begin"/>
      </w:r>
      <w:r>
        <w:instrText xml:space="preserve"> HYPERLINK "http://www.fda.gov/downloads/RegulatoryInformation/Guidances/UCM126572.pdf%20" </w:instrText>
      </w:r>
      <w:r>
        <w:fldChar w:fldCharType="separate"/>
      </w:r>
      <w:r>
        <w:rPr>
          <w:rStyle w:val="17"/>
          <w:rFonts w:hint="eastAsia" w:ascii="Arial" w:hAnsi="Arial" w:eastAsia="宋体" w:cs="Arial"/>
          <w:snapToGrid w:val="0"/>
          <w:sz w:val="21"/>
          <w:szCs w:val="21"/>
          <w:u w:color="0000FF"/>
        </w:rPr>
        <w:t xml:space="preserve">http://www.fda.gov/downloads/RegulatoryInformation/Guidances/UCM126572.pdf </w:t>
      </w:r>
      <w:r>
        <w:rPr>
          <w:rStyle w:val="17"/>
          <w:rFonts w:hint="eastAsia" w:ascii="Arial" w:hAnsi="Arial" w:eastAsia="宋体" w:cs="Arial"/>
          <w:snapToGrid w:val="0"/>
          <w:sz w:val="21"/>
          <w:szCs w:val="21"/>
          <w:u w:color="0000FF"/>
        </w:rPr>
        <w:fldChar w:fldCharType="end"/>
      </w:r>
      <w:r>
        <w:rPr>
          <w:rFonts w:hint="eastAsia" w:ascii="Arial" w:hAnsi="Arial" w:eastAsia="宋体" w:cs="Arial"/>
          <w:snapToGrid w:val="0"/>
          <w:sz w:val="21"/>
          <w:szCs w:val="21"/>
        </w:rPr>
        <w:t>。</w:t>
      </w:r>
    </w:p>
  </w:footnote>
  <w:footnote w:id="14">
    <w:p w14:paraId="2D7A7AD4">
      <w:pPr>
        <w:pStyle w:val="12"/>
        <w:spacing w:line="300" w:lineRule="auto"/>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w:t>
      </w:r>
      <w:r>
        <w:rPr>
          <w:rFonts w:hint="eastAsia" w:ascii="宋体" w:hAnsi="宋体" w:eastAsia="宋体" w:cs="Arial"/>
          <w:snapToGrid w:val="0"/>
          <w:sz w:val="21"/>
          <w:szCs w:val="21"/>
        </w:rPr>
        <w:t>“</w:t>
      </w:r>
      <w:r>
        <w:rPr>
          <w:rFonts w:hint="eastAsia" w:ascii="Arial" w:hAnsi="Arial" w:eastAsia="宋体" w:cs="Arial"/>
          <w:snapToGrid w:val="0"/>
          <w:sz w:val="21"/>
          <w:szCs w:val="21"/>
        </w:rPr>
        <w:t>行业指南：在多中心临床试验中使用集中式IRB审查过程</w:t>
      </w:r>
      <w:r>
        <w:rPr>
          <w:rFonts w:hint="eastAsia" w:ascii="宋体" w:hAnsi="宋体" w:eastAsia="宋体" w:cs="Arial"/>
          <w:snapToGrid w:val="0"/>
          <w:sz w:val="21"/>
          <w:szCs w:val="21"/>
        </w:rPr>
        <w:t>”</w:t>
      </w:r>
      <w:r>
        <w:rPr>
          <w:rFonts w:hint="eastAsia" w:ascii="Arial" w:hAnsi="Arial" w:eastAsia="宋体" w:cs="Arial"/>
          <w:snapToGrid w:val="0"/>
          <w:sz w:val="21"/>
          <w:szCs w:val="21"/>
        </w:rPr>
        <w:t>，</w:t>
      </w:r>
      <w:r>
        <w:fldChar w:fldCharType="begin"/>
      </w:r>
      <w:r>
        <w:instrText xml:space="preserve"> HYPERLINK "http://www.fda.gov/downloads/Drugs/GuidanceComplianceRegulatoryInformation/Guidances/ucm080606.pdf" </w:instrText>
      </w:r>
      <w:r>
        <w:fldChar w:fldCharType="separate"/>
      </w:r>
      <w:r>
        <w:rPr>
          <w:rStyle w:val="17"/>
          <w:rFonts w:hint="eastAsia" w:ascii="Arial" w:hAnsi="Arial" w:eastAsia="宋体" w:cs="Arial"/>
          <w:snapToGrid w:val="0"/>
          <w:sz w:val="21"/>
          <w:szCs w:val="21"/>
        </w:rPr>
        <w:t>http://www.fda.gov/downloads/Drugs/GuidanceComplianceRegulatoryInformation/Guidances/ucm080606.pdf</w:t>
      </w:r>
      <w:r>
        <w:rPr>
          <w:rStyle w:val="17"/>
          <w:rFonts w:hint="eastAsia" w:ascii="Arial" w:hAnsi="Arial" w:eastAsia="宋体" w:cs="Arial"/>
          <w:snapToGrid w:val="0"/>
          <w:sz w:val="21"/>
          <w:szCs w:val="21"/>
        </w:rPr>
        <w:fldChar w:fldCharType="end"/>
      </w:r>
      <w:r>
        <w:rPr>
          <w:rFonts w:hint="eastAsia" w:ascii="Arial" w:hAnsi="Arial" w:eastAsia="宋体" w:cs="Arial"/>
          <w:snapToGrid w:val="0"/>
          <w:sz w:val="21"/>
          <w:szCs w:val="21"/>
        </w:rPr>
        <w:t>。</w:t>
      </w:r>
    </w:p>
  </w:footnote>
  <w:footnote w:id="15">
    <w:p w14:paraId="7EF2C4F7">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请参见21 CFR 312.7（c）和21 CFR 812.7（c）。</w:t>
      </w:r>
    </w:p>
  </w:footnote>
  <w:footnote w:id="16">
    <w:p w14:paraId="58F3E920">
      <w:pPr>
        <w:pStyle w:val="12"/>
        <w:spacing w:line="300" w:lineRule="auto"/>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有关1998年11月9日发布的63 FR 60353文本，请参见附录，或访问网址：</w:t>
      </w:r>
      <w:r>
        <w:fldChar w:fldCharType="begin"/>
      </w:r>
      <w:r>
        <w:instrText xml:space="preserve"> HYPERLINK "http://frwebgate.access.gpo.gov/cgi-bin/getdoc.cgi?dbname=1998_register&amp;amp;docid=98-29748-filed.pdf" \h </w:instrText>
      </w:r>
      <w:r>
        <w:fldChar w:fldCharType="separate"/>
      </w:r>
      <w:r>
        <w:rPr>
          <w:rFonts w:hint="eastAsia" w:ascii="Arial" w:hAnsi="Arial" w:eastAsia="宋体" w:cs="Arial"/>
          <w:snapToGrid w:val="0"/>
          <w:sz w:val="21"/>
          <w:szCs w:val="21"/>
          <w:u w:val="single" w:color="000000"/>
        </w:rPr>
        <w:t xml:space="preserve">http: //frwebgate.access.gpo.gov/cgi-bin/getdoc.cgi?dbname=1998_register&amp;docid=98-29748-filed.pdf </w:t>
      </w:r>
      <w:r>
        <w:rPr>
          <w:rFonts w:ascii="Arial" w:hAnsi="Arial" w:eastAsia="宋体" w:cs="Arial"/>
          <w:snapToGrid w:val="0"/>
          <w:sz w:val="21"/>
          <w:szCs w:val="21"/>
          <w:u w:val="single" w:color="000000"/>
        </w:rPr>
        <w:fldChar w:fldCharType="end"/>
      </w:r>
      <w:r>
        <w:rPr>
          <w:rFonts w:hint="eastAsia" w:ascii="Arial" w:hAnsi="Arial" w:eastAsia="宋体" w:cs="Arial"/>
          <w:snapToGrid w:val="0"/>
          <w:sz w:val="21"/>
          <w:szCs w:val="21"/>
        </w:rPr>
        <w:t>。</w:t>
      </w:r>
    </w:p>
  </w:footnote>
  <w:footnote w:id="17">
    <w:p w14:paraId="6B335678">
      <w:pPr>
        <w:topLinePunct/>
        <w:adjustRightInd w:val="0"/>
        <w:snapToGrid w:val="0"/>
        <w:spacing w:line="300" w:lineRule="auto"/>
        <w:jc w:val="both"/>
        <w:rPr>
          <w:rFonts w:ascii="Arial" w:hAnsi="Arial" w:eastAsia="宋体" w:cs="Arial"/>
          <w:snapToGrid w:val="0"/>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请参见1998年11月9日发布的63 FR 60356，网址：</w:t>
      </w:r>
    </w:p>
    <w:p w14:paraId="11E5D539">
      <w:pPr>
        <w:pStyle w:val="12"/>
        <w:spacing w:line="300" w:lineRule="auto"/>
        <w:jc w:val="both"/>
        <w:rPr>
          <w:sz w:val="21"/>
          <w:szCs w:val="21"/>
        </w:rPr>
      </w:pPr>
      <w:r>
        <w:fldChar w:fldCharType="begin"/>
      </w:r>
      <w:r>
        <w:instrText xml:space="preserve"> HYPERLINK "http://frwebgate.access.gpo.gov/cgi-bin/getdoc.cgi?dbname=1998_register&amp;amp;docid=98-29748-filed.pdf" \h </w:instrText>
      </w:r>
      <w:r>
        <w:fldChar w:fldCharType="separate"/>
      </w:r>
      <w:r>
        <w:rPr>
          <w:rFonts w:hint="eastAsia" w:ascii="Arial" w:hAnsi="Arial" w:eastAsia="宋体" w:cs="Arial"/>
          <w:snapToGrid w:val="0"/>
          <w:color w:val="0000FF"/>
          <w:sz w:val="21"/>
          <w:szCs w:val="21"/>
          <w:u w:val="single" w:color="0000FF"/>
        </w:rPr>
        <w:t>http://frwebgate.access.gpo.gov/cgi-bin/getdoc.cgi?dbname=1998_register&amp;docid=98-29748-filed.pdf</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sz w:val="21"/>
          <w:szCs w:val="21"/>
        </w:rPr>
        <w:t>。</w:t>
      </w:r>
    </w:p>
  </w:footnote>
  <w:footnote w:id="18">
    <w:p w14:paraId="6CEDD4BC">
      <w:pPr>
        <w:pStyle w:val="12"/>
        <w:spacing w:line="300" w:lineRule="auto"/>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w:t>
      </w:r>
      <w:r>
        <w:rPr>
          <w:rFonts w:hint="eastAsia" w:ascii="宋体" w:hAnsi="宋体" w:eastAsia="宋体" w:cs="Arial"/>
          <w:snapToGrid w:val="0"/>
          <w:sz w:val="21"/>
          <w:szCs w:val="21"/>
        </w:rPr>
        <w:t>“</w:t>
      </w:r>
      <w:r>
        <w:rPr>
          <w:rFonts w:hint="eastAsia" w:ascii="Arial" w:hAnsi="Arial" w:eastAsia="宋体" w:cs="Arial"/>
          <w:snapToGrid w:val="0"/>
          <w:sz w:val="21"/>
          <w:szCs w:val="21"/>
        </w:rPr>
        <w:t>行业指南-在多中心临床试验中使用集中式IRB审查过程</w:t>
      </w:r>
      <w:r>
        <w:rPr>
          <w:rFonts w:hint="eastAsia" w:ascii="宋体" w:hAnsi="宋体" w:eastAsia="宋体" w:cs="Arial"/>
          <w:snapToGrid w:val="0"/>
          <w:sz w:val="21"/>
          <w:szCs w:val="21"/>
        </w:rPr>
        <w:t>”</w:t>
      </w:r>
      <w:r>
        <w:rPr>
          <w:rFonts w:hint="eastAsia" w:ascii="Arial" w:hAnsi="Arial" w:eastAsia="宋体" w:cs="Arial"/>
          <w:snapToGrid w:val="0"/>
          <w:sz w:val="21"/>
          <w:szCs w:val="21"/>
        </w:rPr>
        <w:t>，</w:t>
      </w:r>
      <w:r>
        <w:fldChar w:fldCharType="begin"/>
      </w:r>
      <w:r>
        <w:instrText xml:space="preserve"> HYPERLINK "http://www.fda.gov/RegulatoryInformation/Guidances/ucm127004.htm" </w:instrText>
      </w:r>
      <w:r>
        <w:fldChar w:fldCharType="separate"/>
      </w:r>
      <w:r>
        <w:rPr>
          <w:rStyle w:val="17"/>
          <w:rFonts w:hint="eastAsia" w:ascii="Arial" w:hAnsi="Arial" w:eastAsia="宋体" w:cs="Arial"/>
          <w:snapToGrid w:val="0"/>
          <w:sz w:val="21"/>
          <w:szCs w:val="21"/>
        </w:rPr>
        <w:t>http://www.fda.gov/RegulatoryInformation/Guidances/ucm127004.htm</w:t>
      </w:r>
      <w:r>
        <w:rPr>
          <w:rStyle w:val="17"/>
          <w:rFonts w:hint="eastAsia" w:ascii="Arial" w:hAnsi="Arial" w:eastAsia="宋体" w:cs="Arial"/>
          <w:snapToGrid w:val="0"/>
          <w:sz w:val="21"/>
          <w:szCs w:val="21"/>
        </w:rPr>
        <w:fldChar w:fldCharType="end"/>
      </w:r>
      <w:r>
        <w:rPr>
          <w:rFonts w:hint="eastAsia" w:ascii="Arial" w:hAnsi="Arial" w:eastAsia="宋体" w:cs="Arial"/>
          <w:snapToGrid w:val="0"/>
          <w:sz w:val="21"/>
          <w:szCs w:val="21"/>
        </w:rPr>
        <w:t>。</w:t>
      </w:r>
    </w:p>
  </w:footnote>
  <w:footnote w:id="19">
    <w:p w14:paraId="00529A4C">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例如，</w:t>
      </w:r>
      <w:r>
        <w:rPr>
          <w:rFonts w:hint="eastAsia" w:ascii="宋体" w:hAnsi="宋体" w:eastAsia="宋体" w:cs="Arial"/>
          <w:snapToGrid w:val="0"/>
          <w:sz w:val="21"/>
          <w:szCs w:val="21"/>
        </w:rPr>
        <w:t>“</w:t>
      </w:r>
      <w:r>
        <w:rPr>
          <w:rFonts w:hint="eastAsia" w:ascii="Arial" w:hAnsi="Arial" w:eastAsia="宋体" w:cs="Arial"/>
          <w:snapToGrid w:val="0"/>
          <w:sz w:val="21"/>
          <w:szCs w:val="21"/>
        </w:rPr>
        <w:t>任何相关来源</w:t>
      </w:r>
      <w:r>
        <w:rPr>
          <w:rFonts w:hint="eastAsia" w:ascii="宋体" w:hAnsi="宋体" w:eastAsia="宋体" w:cs="Arial"/>
          <w:snapToGrid w:val="0"/>
          <w:sz w:val="21"/>
          <w:szCs w:val="21"/>
        </w:rPr>
        <w:t>”</w:t>
      </w:r>
      <w:r>
        <w:rPr>
          <w:rFonts w:hint="eastAsia" w:ascii="Arial" w:hAnsi="Arial" w:eastAsia="宋体" w:cs="Arial"/>
          <w:snapToGrid w:val="0"/>
          <w:sz w:val="21"/>
          <w:szCs w:val="21"/>
        </w:rPr>
        <w:t>将包括IRB或研究者对科学文献或不良事件报告的审查，以及与FDA或申办方的沟通。</w:t>
      </w:r>
    </w:p>
  </w:footnote>
  <w:footnote w:id="20">
    <w:p w14:paraId="74C5F518">
      <w:pPr>
        <w:topLinePunct/>
        <w:adjustRightInd w:val="0"/>
        <w:snapToGrid w:val="0"/>
        <w:spacing w:line="300" w:lineRule="auto"/>
        <w:jc w:val="both"/>
        <w:rPr>
          <w:rFonts w:ascii="Arial" w:hAnsi="Arial" w:eastAsia="宋体" w:cs="Arial"/>
          <w:snapToGrid w:val="0"/>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类别1研究包括“（1）药品和医疗器械临床研究，但需满足条件（a）或（b）：（a）无需研究性新药申请（21CFR第312部分）的药品研究（备注：如果上市药品研究显著增加了风险或降低了与产品使用有关的风险的可接受性，则其不适用于快速审查。）</w:t>
      </w:r>
    </w:p>
    <w:p w14:paraId="7C3FD88C">
      <w:pPr>
        <w:pStyle w:val="12"/>
        <w:spacing w:line="300" w:lineRule="auto"/>
        <w:jc w:val="both"/>
      </w:pPr>
      <w:r>
        <w:rPr>
          <w:rFonts w:hint="eastAsia" w:ascii="Arial" w:hAnsi="Arial" w:eastAsia="宋体" w:cs="Arial"/>
          <w:snapToGrid w:val="0"/>
          <w:sz w:val="21"/>
          <w:szCs w:val="21"/>
        </w:rPr>
        <w:t>（b）（i）无需研究性器械豁免申请（21 CFR第812部分）；或（ii）医疗器械已许可／批准上市，且医疗器械正按照其许可／批准标签使用的医疗器械研究。</w:t>
      </w:r>
      <w:r>
        <w:rPr>
          <w:rFonts w:hint="eastAsia" w:ascii="宋体" w:hAnsi="宋体" w:eastAsia="宋体" w:cs="Arial"/>
          <w:snapToGrid w:val="0"/>
          <w:sz w:val="21"/>
          <w:szCs w:val="21"/>
        </w:rPr>
        <w:t>”</w:t>
      </w:r>
      <w:r>
        <w:rPr>
          <w:rFonts w:hint="eastAsia" w:ascii="Arial" w:hAnsi="Arial" w:eastAsia="宋体" w:cs="Arial"/>
          <w:snapToGrid w:val="0"/>
          <w:sz w:val="21"/>
          <w:szCs w:val="21"/>
        </w:rPr>
        <w:t>（60355的63 FR 60353，1998年11月9日）</w:t>
      </w:r>
    </w:p>
  </w:footnote>
  <w:footnote w:id="21">
    <w:p w14:paraId="6FBFE6BC">
      <w:pPr>
        <w:pStyle w:val="12"/>
        <w:rPr>
          <w:sz w:val="21"/>
          <w:szCs w:val="21"/>
        </w:rPr>
      </w:pPr>
    </w:p>
    <w:p w14:paraId="2EBCDE65">
      <w:pPr>
        <w:pStyle w:val="12"/>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请参见21 CFR 312.53（c）（1）（vii） ;312.60;312.66; 812.36 （c） （viii），812.100，812.110（b），812.40和812.43（c）（4）（i）。</w:t>
      </w:r>
    </w:p>
  </w:footnote>
  <w:footnote w:id="22">
    <w:p w14:paraId="4A0866E2">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对于已根据21 CFR 50.24豁免知情同意的紧急研究，IRB必须书面通知临床研究者和申办方IRB关于其不能批准研究的决定（21 CFR 50.24（e）和56.109（E））。</w:t>
      </w:r>
    </w:p>
  </w:footnote>
  <w:footnote w:id="23">
    <w:p w14:paraId="74767BFF">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例如，请参见，例如，21 CFR 56.103（a）（如果研究必须符合第312、812和813部分中预提交材料要求，</w:t>
      </w:r>
      <w:r>
        <w:rPr>
          <w:rFonts w:hint="eastAsia" w:ascii="宋体" w:hAnsi="宋体" w:eastAsia="宋体" w:cs="Arial"/>
          <w:snapToGrid w:val="0"/>
          <w:sz w:val="21"/>
          <w:szCs w:val="21"/>
        </w:rPr>
        <w:t>“</w:t>
      </w:r>
      <w:r>
        <w:rPr>
          <w:rFonts w:hint="eastAsia" w:ascii="Arial" w:hAnsi="Arial" w:eastAsia="宋体" w:cs="Arial"/>
          <w:snapToGrid w:val="0"/>
          <w:sz w:val="21"/>
          <w:szCs w:val="21"/>
        </w:rPr>
        <w:t>则在符合本部分要求的IRB已进行审查并授予批准，以及仍需由其进行持续审查前，不得启动</w:t>
      </w:r>
      <w:r>
        <w:rPr>
          <w:rFonts w:hint="eastAsia" w:ascii="宋体" w:hAnsi="宋体" w:eastAsia="宋体" w:cs="Arial"/>
          <w:snapToGrid w:val="0"/>
          <w:sz w:val="21"/>
          <w:szCs w:val="21"/>
        </w:rPr>
        <w:t>”</w:t>
      </w:r>
      <w:r>
        <w:rPr>
          <w:rFonts w:hint="eastAsia" w:ascii="Arial" w:hAnsi="Arial" w:eastAsia="宋体" w:cs="Arial"/>
          <w:snapToGrid w:val="0"/>
          <w:sz w:val="21"/>
          <w:szCs w:val="21"/>
        </w:rPr>
        <w:t>）；21 CFR 812.110（a）（在获得IRB和FDA批准前，研究者不得要求任何受试者授予书面知情同意，表明其同意参与研究，且不得让任何受试者参与研究）；21 CFR 312.66（要求研究者确保，研究将由满足第56部分要求的IRB进行持续审查）。</w:t>
      </w:r>
    </w:p>
  </w:footnote>
  <w:footnote w:id="24">
    <w:p w14:paraId="7F6465DC">
      <w:pPr>
        <w:pStyle w:val="12"/>
        <w:spacing w:line="300" w:lineRule="auto"/>
        <w:jc w:val="both"/>
      </w:pPr>
      <w:r>
        <w:rPr>
          <w:rStyle w:val="18"/>
          <w:sz w:val="21"/>
          <w:szCs w:val="21"/>
        </w:rPr>
        <w:footnoteRef/>
      </w:r>
      <w:r>
        <w:rPr>
          <w:sz w:val="21"/>
          <w:szCs w:val="21"/>
        </w:rPr>
        <w:t xml:space="preserve"> </w:t>
      </w:r>
      <w:r>
        <w:rPr>
          <w:rFonts w:hint="eastAsia" w:ascii="Arial" w:hAnsi="Arial" w:eastAsia="宋体" w:cs="Arial"/>
          <w:snapToGrid w:val="0"/>
          <w:sz w:val="21"/>
          <w:szCs w:val="21"/>
        </w:rPr>
        <w:t>请参见21 CFR 56.102（g）。</w:t>
      </w:r>
    </w:p>
  </w:footnote>
  <w:footnote w:id="25">
    <w:p w14:paraId="35374F94">
      <w:pPr>
        <w:pStyle w:val="12"/>
        <w:spacing w:line="300" w:lineRule="auto"/>
        <w:jc w:val="both"/>
        <w:rPr>
          <w:sz w:val="21"/>
          <w:szCs w:val="21"/>
        </w:rPr>
      </w:pPr>
      <w:r>
        <w:rPr>
          <w:rStyle w:val="18"/>
          <w:sz w:val="21"/>
          <w:szCs w:val="21"/>
        </w:rPr>
        <w:footnoteRef/>
      </w:r>
      <w:r>
        <w:rPr>
          <w:sz w:val="21"/>
          <w:szCs w:val="21"/>
        </w:rPr>
        <w:t xml:space="preserve"> </w:t>
      </w:r>
      <w:r>
        <w:rPr>
          <w:rFonts w:hint="eastAsia" w:ascii="Arial" w:hAnsi="Arial" w:eastAsia="宋体" w:cs="Arial"/>
          <w:snapToGrid w:val="0"/>
          <w:sz w:val="21"/>
          <w:szCs w:val="21"/>
        </w:rPr>
        <w:t>但是，根据FDA法规，在批准失效后进行IRB监督的研究将违背研究者的职责。请参见21 CFR 312.60（研究者应负责确保，根据所签署的研究者声明、研究计划和适用法规进行研究）；312.66（要求研究者确保，研究将由满足第56部分要求的IRB进行持续审查）； 21 CFR 812.100（研究者必须确保，研究按照适用的FDA法规和IRB批准条件进行）；812.110（a）（在获得IRB和FDA批准前，研究者不得要求任何受试者授予书面知情同意，表明其同意参与研究，且不得让任何受试者参与研究）；21 CFR 56.103（a）（如果研究必须符合第312、812和813部分中预提交材料要求，</w:t>
      </w:r>
      <w:r>
        <w:rPr>
          <w:rFonts w:hint="eastAsia" w:ascii="宋体" w:hAnsi="宋体" w:eastAsia="宋体" w:cs="Arial"/>
          <w:snapToGrid w:val="0"/>
          <w:sz w:val="21"/>
          <w:szCs w:val="21"/>
        </w:rPr>
        <w:t>“</w:t>
      </w:r>
      <w:r>
        <w:rPr>
          <w:rFonts w:hint="eastAsia" w:ascii="Arial" w:hAnsi="Arial" w:eastAsia="宋体" w:cs="Arial"/>
          <w:snapToGrid w:val="0"/>
          <w:sz w:val="21"/>
          <w:szCs w:val="21"/>
        </w:rPr>
        <w:t>则在符合本部分要求的IRB已进行审查并授予批准，以及仍需由其进行持续审查前，不得启动</w:t>
      </w:r>
      <w:r>
        <w:rPr>
          <w:rFonts w:hint="eastAsia" w:ascii="宋体" w:hAnsi="宋体" w:eastAsia="宋体" w:cs="Arial"/>
          <w:snapToGrid w:val="0"/>
          <w:sz w:val="21"/>
          <w:szCs w:val="21"/>
        </w:rPr>
        <w:t>”</w:t>
      </w:r>
      <w:r>
        <w:rPr>
          <w:rFonts w:hint="eastAsia" w:ascii="Arial" w:hAnsi="Arial" w:eastAsia="宋体" w:cs="Arial"/>
          <w:snapToGrid w:val="0"/>
          <w:sz w:val="21"/>
          <w:szCs w:val="21"/>
        </w:rPr>
        <w:t>）。</w:t>
      </w:r>
    </w:p>
  </w:footnote>
  <w:footnote w:id="26">
    <w:p w14:paraId="1BFE9862">
      <w:pPr>
        <w:pStyle w:val="12"/>
      </w:pPr>
      <w:r>
        <w:rPr>
          <w:rStyle w:val="18"/>
          <w:sz w:val="15"/>
        </w:rPr>
        <w:footnoteRef/>
      </w:r>
      <w:r>
        <w:rPr>
          <w:sz w:val="15"/>
        </w:rPr>
        <w:t xml:space="preserve"> </w:t>
      </w:r>
      <w:r>
        <w:rPr>
          <w:rFonts w:hint="eastAsia" w:ascii="Arial" w:hAnsi="Arial" w:eastAsia="宋体" w:cs="Arial"/>
          <w:snapToGrid w:val="0"/>
          <w:sz w:val="21"/>
        </w:rPr>
        <w:t>有关可以向其报告IRB暂停或终止的FDA联络点，请参见</w:t>
      </w:r>
      <w:r>
        <w:fldChar w:fldCharType="begin"/>
      </w:r>
      <w:r>
        <w:instrText xml:space="preserve"> HYPERLINK "http://www.fda.gov/ScienceResearch/SpecialTopics/RunningClinicalTrials/ucm134493.htm" \h </w:instrText>
      </w:r>
      <w:r>
        <w:fldChar w:fldCharType="separate"/>
      </w:r>
      <w:r>
        <w:rPr>
          <w:rFonts w:hint="eastAsia" w:ascii="Arial" w:hAnsi="Arial" w:eastAsia="宋体" w:cs="Arial"/>
          <w:snapToGrid w:val="0"/>
          <w:color w:val="0000FF"/>
          <w:sz w:val="21"/>
          <w:u w:val="single" w:color="0000FF"/>
        </w:rPr>
        <w:t>http: //www.fda.gov/ScienceResearch/SpecialTopics/RunningClinicalTrials/ucm134493.htm</w:t>
      </w:r>
      <w:r>
        <w:rPr>
          <w:rFonts w:hint="eastAsia" w:ascii="Arial" w:hAnsi="Arial" w:eastAsia="宋体" w:cs="Arial"/>
          <w:snapToGrid w:val="0"/>
          <w:color w:val="0000FF"/>
          <w:sz w:val="21"/>
          <w:u w:val="single" w:color="0000FF"/>
        </w:rPr>
        <w:fldChar w:fldCharType="end"/>
      </w:r>
      <w:r>
        <w:rPr>
          <w:rFonts w:hint="eastAsia" w:ascii="Arial" w:hAnsi="Arial" w:eastAsia="宋体" w:cs="Arial"/>
          <w:snapToGrid w:val="0"/>
          <w:sz w:val="21"/>
        </w:rPr>
        <w:t>。</w:t>
      </w:r>
    </w:p>
  </w:footnote>
  <w:footnote w:id="27">
    <w:p w14:paraId="71BEE6F9">
      <w:pPr>
        <w:topLinePunct/>
        <w:adjustRightInd w:val="0"/>
        <w:snapToGrid w:val="0"/>
        <w:spacing w:line="300" w:lineRule="auto"/>
        <w:jc w:val="both"/>
        <w:rPr>
          <w:rFonts w:ascii="Arial" w:hAnsi="Arial" w:eastAsia="宋体" w:cs="Arial"/>
          <w:snapToGrid w:val="0"/>
          <w:sz w:val="21"/>
          <w:szCs w:val="21"/>
        </w:rPr>
      </w:pPr>
      <w:r>
        <w:rPr>
          <w:rFonts w:hint="eastAsia" w:ascii="Arial" w:hAnsi="Arial" w:eastAsia="宋体" w:cs="Arial"/>
          <w:snapToGrid w:val="0"/>
          <w:sz w:val="21"/>
          <w:szCs w:val="21"/>
          <w:vertAlign w:val="superscript"/>
        </w:rPr>
        <w:t>\1\</w:t>
      </w:r>
      <w:r>
        <w:rPr>
          <w:rFonts w:hint="eastAsia" w:ascii="Arial" w:hAnsi="Arial" w:eastAsia="宋体" w:cs="Arial"/>
          <w:snapToGrid w:val="0"/>
          <w:sz w:val="21"/>
          <w:szCs w:val="21"/>
        </w:rPr>
        <w:t>快速审查程序包括IRB主席或主席根据45 CFR 46.110要求从IRB中指定一位或多位经验丰富的审查员对涉及受试者的研究进行审查。</w:t>
      </w:r>
    </w:p>
    <w:p w14:paraId="11723A2B">
      <w:pPr>
        <w:pStyle w:val="12"/>
        <w:spacing w:line="300" w:lineRule="auto"/>
      </w:pPr>
      <w:bookmarkStart w:id="48" w:name="_bookmark48"/>
      <w:bookmarkEnd w:id="48"/>
      <w:r>
        <w:rPr>
          <w:rFonts w:hint="eastAsia" w:ascii="Arial" w:hAnsi="Arial" w:eastAsia="宋体" w:cs="Arial"/>
          <w:snapToGrid w:val="0"/>
          <w:sz w:val="21"/>
          <w:szCs w:val="21"/>
        </w:rPr>
        <w:t>*此列表可以通过GPO Access在线查看，网址：</w:t>
      </w:r>
      <w:r>
        <w:fldChar w:fldCharType="begin"/>
      </w:r>
      <w:r>
        <w:instrText xml:space="preserve"> HYPERLINK "http://frwebgate.access.gpo.gov/cgi-bin/getdoc.cgi?dbname=1998_register&amp;amp;docid=98-29748-filed.pdf" \h </w:instrText>
      </w:r>
      <w:r>
        <w:fldChar w:fldCharType="separate"/>
      </w:r>
      <w:r>
        <w:rPr>
          <w:rFonts w:hint="eastAsia" w:ascii="Arial" w:hAnsi="Arial" w:eastAsia="宋体" w:cs="Arial"/>
          <w:snapToGrid w:val="0"/>
          <w:sz w:val="21"/>
          <w:szCs w:val="21"/>
          <w:u w:val="single" w:color="000000"/>
        </w:rPr>
        <w:t>http: //frwebgate.access.gpo.gov/cgi-</w:t>
      </w:r>
      <w:r>
        <w:rPr>
          <w:rFonts w:hint="eastAsia" w:ascii="Arial" w:hAnsi="Arial" w:eastAsia="宋体" w:cs="Arial"/>
          <w:snapToGrid w:val="0"/>
          <w:sz w:val="21"/>
          <w:szCs w:val="21"/>
          <w:u w:val="single" w:color="000000"/>
        </w:rPr>
        <w:fldChar w:fldCharType="end"/>
      </w:r>
      <w:r>
        <w:rPr>
          <w:rFonts w:hint="eastAsia" w:ascii="Arial" w:hAnsi="Arial" w:eastAsia="宋体" w:cs="Arial"/>
          <w:snapToGrid w:val="0"/>
          <w:sz w:val="21"/>
          <w:szCs w:val="21"/>
        </w:rPr>
        <w:t xml:space="preserve"> </w:t>
      </w:r>
      <w:r>
        <w:fldChar w:fldCharType="begin"/>
      </w:r>
      <w:r>
        <w:instrText xml:space="preserve"> HYPERLINK "http://frwebgate.access.gpo.gov/cgi-bin/getdoc.cgi?dbname=1998_register&amp;amp;docid=98-29748-filed.pdf" \h </w:instrText>
      </w:r>
      <w:r>
        <w:fldChar w:fldCharType="separate"/>
      </w:r>
      <w:r>
        <w:rPr>
          <w:rFonts w:hint="eastAsia" w:ascii="Arial" w:hAnsi="Arial" w:eastAsia="宋体" w:cs="Arial"/>
          <w:snapToGrid w:val="0"/>
          <w:sz w:val="21"/>
          <w:szCs w:val="21"/>
          <w:u w:val="single" w:color="000000"/>
        </w:rPr>
        <w:t>bin/getdoc.cgi?dbname=1998_register&amp;docid=98-29748-filed.pdf</w:t>
      </w:r>
      <w:r>
        <w:rPr>
          <w:rFonts w:hint="eastAsia" w:ascii="Arial" w:hAnsi="Arial" w:eastAsia="宋体" w:cs="Arial"/>
          <w:snapToGrid w:val="0"/>
          <w:sz w:val="21"/>
          <w:szCs w:val="21"/>
          <w:u w:val="single" w:color="000000"/>
        </w:rPr>
        <w:fldChar w:fldCharType="end"/>
      </w:r>
    </w:p>
  </w:footnote>
  <w:footnote w:id="28">
    <w:p w14:paraId="3F10C59E">
      <w:pPr>
        <w:pStyle w:val="12"/>
        <w:spacing w:line="300" w:lineRule="auto"/>
        <w:rPr>
          <w:sz w:val="15"/>
        </w:rPr>
      </w:pPr>
      <w:r>
        <w:rPr>
          <w:rFonts w:hint="eastAsia" w:ascii="Arial" w:hAnsi="Arial" w:eastAsia="宋体" w:cs="Arial"/>
          <w:snapToGrid w:val="0"/>
          <w:sz w:val="21"/>
          <w:vertAlign w:val="superscript"/>
        </w:rPr>
        <w:t>\2\</w:t>
      </w:r>
      <w:r>
        <w:rPr>
          <w:rFonts w:hint="eastAsia" w:ascii="Arial" w:hAnsi="Arial" w:eastAsia="宋体" w:cs="Arial"/>
          <w:snapToGrid w:val="0"/>
          <w:sz w:val="21"/>
        </w:rPr>
        <w:t>根据HHS法规，儿童的定义为</w:t>
      </w:r>
      <w:r>
        <w:rPr>
          <w:rFonts w:hint="eastAsia" w:ascii="宋体" w:hAnsi="宋体" w:eastAsia="宋体" w:cs="Arial"/>
          <w:snapToGrid w:val="0"/>
          <w:sz w:val="21"/>
        </w:rPr>
        <w:t>“</w:t>
      </w:r>
      <w:r>
        <w:rPr>
          <w:rFonts w:hint="eastAsia" w:ascii="Arial" w:hAnsi="Arial" w:eastAsia="宋体" w:cs="Arial"/>
          <w:snapToGrid w:val="0"/>
          <w:sz w:val="21"/>
        </w:rPr>
        <w:t>根据研究所在司法管辖区的适用法律，尚未达到法定年龄，无法同意参与研究所涉治疗或程序的人员</w:t>
      </w:r>
      <w:r>
        <w:rPr>
          <w:rFonts w:hint="eastAsia" w:ascii="宋体" w:hAnsi="宋体" w:eastAsia="宋体" w:cs="Arial"/>
          <w:snapToGrid w:val="0"/>
          <w:sz w:val="21"/>
        </w:rPr>
        <w:t>”</w:t>
      </w:r>
      <w:r>
        <w:rPr>
          <w:rFonts w:hint="eastAsia" w:ascii="Arial" w:hAnsi="Arial" w:eastAsia="宋体" w:cs="Arial"/>
          <w:snapToGrid w:val="0"/>
          <w:sz w:val="21"/>
        </w:rPr>
        <w:t>。45 CFR 46.402（a）。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244E">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0F09">
    <w:pPr>
      <w:pStyle w:val="9"/>
      <w:pBdr>
        <w:bottom w:val="none" w:color="auto" w:sz="0" w:space="0"/>
      </w:pBdr>
      <w:rPr>
        <w:rFonts w:ascii="Arial" w:hAnsi="Arial" w:eastAsia="宋体" w:cs="Arial"/>
        <w:b/>
        <w:i/>
        <w:snapToGrid w:val="0"/>
        <w:sz w:val="21"/>
      </w:rPr>
    </w:pPr>
    <w:r>
      <w:rPr>
        <w:rFonts w:hint="eastAsia" w:ascii="Arial" w:hAnsi="Arial" w:eastAsia="宋体" w:cs="Arial"/>
        <w:b/>
        <w:i/>
        <w:snapToGrid w:val="0"/>
        <w:sz w:val="21"/>
      </w:rPr>
      <w:t>所含建议不具约束力</w:t>
    </w:r>
  </w:p>
  <w:p w14:paraId="2E0D9F66">
    <w:pPr>
      <w:pStyle w:val="9"/>
      <w:pBdr>
        <w:bottom w:val="none" w:color="auto" w:sz="0" w:space="0"/>
      </w:pBdr>
      <w:rPr>
        <w:rFonts w:ascii="Arial" w:hAnsi="Arial" w:eastAsia="宋体" w:cs="Arial"/>
        <w:b/>
        <w:i/>
        <w:snapToGrid w:val="0"/>
        <w:sz w:val="24"/>
      </w:rPr>
    </w:pPr>
  </w:p>
  <w:p w14:paraId="2912EA28">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251A">
    <w:pPr>
      <w:pStyle w:val="9"/>
      <w:pBdr>
        <w:bottom w:val="none" w:color="auto" w:sz="0" w:space="0"/>
      </w:pBdr>
      <w:rPr>
        <w:rFonts w:ascii="Arial" w:hAnsi="Arial" w:eastAsia="宋体" w:cs="Arial"/>
        <w:b/>
        <w:i/>
        <w:snapToGrid w:val="0"/>
        <w:sz w:val="21"/>
      </w:rPr>
    </w:pPr>
    <w:r>
      <w:rPr>
        <w:rFonts w:hint="eastAsia" w:ascii="Arial" w:hAnsi="Arial" w:eastAsia="宋体" w:cs="Arial"/>
        <w:b/>
        <w:i/>
        <w:snapToGrid w:val="0"/>
        <w:sz w:val="21"/>
      </w:rPr>
      <w:t>所含建议不具约束力</w:t>
    </w:r>
  </w:p>
  <w:p w14:paraId="0F8A7F21">
    <w:pPr>
      <w:pStyle w:val="9"/>
      <w:pBdr>
        <w:bottom w:val="none" w:color="auto" w:sz="0" w:space="0"/>
      </w:pBdr>
      <w:rPr>
        <w:rFonts w:ascii="Arial" w:hAnsi="Arial" w:eastAsia="宋体" w:cs="Arial"/>
        <w:b/>
        <w:i/>
        <w:snapToGrid w:val="0"/>
        <w:sz w:val="24"/>
      </w:rPr>
    </w:pPr>
  </w:p>
  <w:p w14:paraId="44F54B7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91B37"/>
    <w:multiLevelType w:val="multilevel"/>
    <w:tmpl w:val="0D691B37"/>
    <w:lvl w:ilvl="0" w:tentative="0">
      <w:start w:val="1"/>
      <w:numFmt w:val="upperLetter"/>
      <w:lvlText w:val="%1."/>
      <w:lvlJc w:val="left"/>
      <w:pPr>
        <w:ind w:left="480" w:hanging="354"/>
      </w:pPr>
      <w:rPr>
        <w:rFonts w:hint="default" w:ascii="Arial" w:hAnsi="Arial" w:eastAsia="Times New Roman" w:cs="Arial"/>
        <w:b/>
        <w:bCs/>
        <w:w w:val="99"/>
        <w:sz w:val="24"/>
        <w:szCs w:val="24"/>
      </w:rPr>
    </w:lvl>
    <w:lvl w:ilvl="1" w:tentative="0">
      <w:start w:val="1"/>
      <w:numFmt w:val="bullet"/>
      <w:lvlText w:val=""/>
      <w:lvlJc w:val="left"/>
      <w:pPr>
        <w:ind w:left="840" w:hanging="360"/>
      </w:pPr>
      <w:rPr>
        <w:rFonts w:hint="default" w:ascii="Symbol" w:hAnsi="Symbol" w:eastAsia="Symbol"/>
        <w:w w:val="100"/>
        <w:sz w:val="24"/>
        <w:szCs w:val="24"/>
      </w:rPr>
    </w:lvl>
    <w:lvl w:ilvl="2" w:tentative="0">
      <w:start w:val="1"/>
      <w:numFmt w:val="bullet"/>
      <w:lvlText w:val="o"/>
      <w:lvlJc w:val="left"/>
      <w:pPr>
        <w:ind w:left="1560" w:hanging="360"/>
      </w:pPr>
      <w:rPr>
        <w:rFonts w:hint="default" w:ascii="Courier New" w:hAnsi="Courier New" w:eastAsia="Courier New"/>
        <w:w w:val="99"/>
        <w:sz w:val="24"/>
        <w:szCs w:val="24"/>
      </w:rPr>
    </w:lvl>
    <w:lvl w:ilvl="3" w:tentative="0">
      <w:start w:val="1"/>
      <w:numFmt w:val="bullet"/>
      <w:lvlText w:val="•"/>
      <w:lvlJc w:val="left"/>
      <w:pPr>
        <w:ind w:left="2560" w:hanging="360"/>
      </w:pPr>
      <w:rPr>
        <w:rFonts w:hint="default"/>
      </w:rPr>
    </w:lvl>
    <w:lvl w:ilvl="4" w:tentative="0">
      <w:start w:val="1"/>
      <w:numFmt w:val="bullet"/>
      <w:lvlText w:val="•"/>
      <w:lvlJc w:val="left"/>
      <w:pPr>
        <w:ind w:left="3560" w:hanging="360"/>
      </w:pPr>
      <w:rPr>
        <w:rFonts w:hint="default"/>
      </w:rPr>
    </w:lvl>
    <w:lvl w:ilvl="5" w:tentative="0">
      <w:start w:val="1"/>
      <w:numFmt w:val="bullet"/>
      <w:lvlText w:val="•"/>
      <w:lvlJc w:val="left"/>
      <w:pPr>
        <w:ind w:left="4560" w:hanging="360"/>
      </w:pPr>
      <w:rPr>
        <w:rFonts w:hint="default"/>
      </w:rPr>
    </w:lvl>
    <w:lvl w:ilvl="6" w:tentative="0">
      <w:start w:val="1"/>
      <w:numFmt w:val="bullet"/>
      <w:lvlText w:val="•"/>
      <w:lvlJc w:val="left"/>
      <w:pPr>
        <w:ind w:left="5560" w:hanging="360"/>
      </w:pPr>
      <w:rPr>
        <w:rFonts w:hint="default"/>
      </w:rPr>
    </w:lvl>
    <w:lvl w:ilvl="7" w:tentative="0">
      <w:start w:val="1"/>
      <w:numFmt w:val="bullet"/>
      <w:lvlText w:val="•"/>
      <w:lvlJc w:val="left"/>
      <w:pPr>
        <w:ind w:left="6560" w:hanging="360"/>
      </w:pPr>
      <w:rPr>
        <w:rFonts w:hint="default"/>
      </w:rPr>
    </w:lvl>
    <w:lvl w:ilvl="8" w:tentative="0">
      <w:start w:val="1"/>
      <w:numFmt w:val="bullet"/>
      <w:lvlText w:val="•"/>
      <w:lvlJc w:val="left"/>
      <w:pPr>
        <w:ind w:left="7560" w:hanging="360"/>
      </w:pPr>
      <w:rPr>
        <w:rFonts w:hint="default"/>
      </w:rPr>
    </w:lvl>
  </w:abstractNum>
  <w:abstractNum w:abstractNumId="1">
    <w:nsid w:val="189C4389"/>
    <w:multiLevelType w:val="multilevel"/>
    <w:tmpl w:val="189C4389"/>
    <w:lvl w:ilvl="0" w:tentative="0">
      <w:start w:val="1"/>
      <w:numFmt w:val="decimal"/>
      <w:lvlText w:val="(%1)"/>
      <w:lvlJc w:val="left"/>
      <w:pPr>
        <w:ind w:left="120" w:hanging="340"/>
        <w:jc w:val="right"/>
      </w:pPr>
      <w:rPr>
        <w:rFonts w:hint="default" w:ascii="Arial" w:hAnsi="Arial" w:eastAsia="Times New Roman" w:cs="Arial"/>
        <w:w w:val="100"/>
        <w:sz w:val="24"/>
        <w:szCs w:val="24"/>
      </w:rPr>
    </w:lvl>
    <w:lvl w:ilvl="1" w:tentative="0">
      <w:start w:val="1"/>
      <w:numFmt w:val="lowerLetter"/>
      <w:lvlText w:val="(%2)"/>
      <w:lvlJc w:val="left"/>
      <w:pPr>
        <w:ind w:left="120" w:hanging="327"/>
      </w:pPr>
      <w:rPr>
        <w:rFonts w:hint="default" w:ascii="Times New Roman" w:hAnsi="Times New Roman" w:eastAsia="Times New Roman"/>
        <w:spacing w:val="-12"/>
        <w:w w:val="99"/>
        <w:sz w:val="24"/>
        <w:szCs w:val="24"/>
      </w:rPr>
    </w:lvl>
    <w:lvl w:ilvl="2" w:tentative="0">
      <w:start w:val="1"/>
      <w:numFmt w:val="bullet"/>
      <w:lvlText w:val="•"/>
      <w:lvlJc w:val="left"/>
      <w:pPr>
        <w:ind w:left="2012" w:hanging="327"/>
      </w:pPr>
      <w:rPr>
        <w:rFonts w:hint="default"/>
      </w:rPr>
    </w:lvl>
    <w:lvl w:ilvl="3" w:tentative="0">
      <w:start w:val="1"/>
      <w:numFmt w:val="bullet"/>
      <w:lvlText w:val="•"/>
      <w:lvlJc w:val="left"/>
      <w:pPr>
        <w:ind w:left="2958" w:hanging="327"/>
      </w:pPr>
      <w:rPr>
        <w:rFonts w:hint="default"/>
      </w:rPr>
    </w:lvl>
    <w:lvl w:ilvl="4" w:tentative="0">
      <w:start w:val="1"/>
      <w:numFmt w:val="bullet"/>
      <w:lvlText w:val="•"/>
      <w:lvlJc w:val="left"/>
      <w:pPr>
        <w:ind w:left="3904" w:hanging="327"/>
      </w:pPr>
      <w:rPr>
        <w:rFonts w:hint="default"/>
      </w:rPr>
    </w:lvl>
    <w:lvl w:ilvl="5" w:tentative="0">
      <w:start w:val="1"/>
      <w:numFmt w:val="bullet"/>
      <w:lvlText w:val="•"/>
      <w:lvlJc w:val="left"/>
      <w:pPr>
        <w:ind w:left="4850" w:hanging="327"/>
      </w:pPr>
      <w:rPr>
        <w:rFonts w:hint="default"/>
      </w:rPr>
    </w:lvl>
    <w:lvl w:ilvl="6" w:tentative="0">
      <w:start w:val="1"/>
      <w:numFmt w:val="bullet"/>
      <w:lvlText w:val="•"/>
      <w:lvlJc w:val="left"/>
      <w:pPr>
        <w:ind w:left="5796" w:hanging="327"/>
      </w:pPr>
      <w:rPr>
        <w:rFonts w:hint="default"/>
      </w:rPr>
    </w:lvl>
    <w:lvl w:ilvl="7" w:tentative="0">
      <w:start w:val="1"/>
      <w:numFmt w:val="bullet"/>
      <w:lvlText w:val="•"/>
      <w:lvlJc w:val="left"/>
      <w:pPr>
        <w:ind w:left="6742" w:hanging="327"/>
      </w:pPr>
      <w:rPr>
        <w:rFonts w:hint="default"/>
      </w:rPr>
    </w:lvl>
    <w:lvl w:ilvl="8" w:tentative="0">
      <w:start w:val="1"/>
      <w:numFmt w:val="bullet"/>
      <w:lvlText w:val="•"/>
      <w:lvlJc w:val="left"/>
      <w:pPr>
        <w:ind w:left="7688" w:hanging="327"/>
      </w:pPr>
      <w:rPr>
        <w:rFonts w:hint="default"/>
      </w:rPr>
    </w:lvl>
  </w:abstractNum>
  <w:abstractNum w:abstractNumId="2">
    <w:nsid w:val="26FC5DA3"/>
    <w:multiLevelType w:val="multilevel"/>
    <w:tmpl w:val="26FC5DA3"/>
    <w:lvl w:ilvl="0" w:tentative="0">
      <w:start w:val="1"/>
      <w:numFmt w:val="decimal"/>
      <w:lvlText w:val="%1."/>
      <w:lvlJc w:val="left"/>
      <w:pPr>
        <w:ind w:left="480" w:hanging="361"/>
      </w:pPr>
      <w:rPr>
        <w:rFonts w:hint="default" w:ascii="Arial" w:hAnsi="Arial" w:eastAsia="Times New Roman" w:cs="Arial"/>
        <w:b/>
        <w:bCs/>
        <w:i/>
        <w:w w:val="99"/>
        <w:sz w:val="24"/>
        <w:szCs w:val="24"/>
      </w:rPr>
    </w:lvl>
    <w:lvl w:ilvl="1" w:tentative="0">
      <w:start w:val="1"/>
      <w:numFmt w:val="bullet"/>
      <w:lvlText w:val=""/>
      <w:lvlJc w:val="left"/>
      <w:pPr>
        <w:ind w:left="840" w:hanging="360"/>
      </w:pPr>
      <w:rPr>
        <w:rFonts w:hint="default" w:ascii="Symbol" w:hAnsi="Symbol" w:eastAsia="Symbol"/>
        <w:w w:val="100"/>
        <w:sz w:val="24"/>
        <w:szCs w:val="24"/>
      </w:rPr>
    </w:lvl>
    <w:lvl w:ilvl="2" w:tentative="0">
      <w:start w:val="1"/>
      <w:numFmt w:val="bullet"/>
      <w:lvlText w:val="•"/>
      <w:lvlJc w:val="left"/>
      <w:pPr>
        <w:ind w:left="900" w:hanging="360"/>
      </w:pPr>
      <w:rPr>
        <w:rFonts w:hint="default"/>
      </w:rPr>
    </w:lvl>
    <w:lvl w:ilvl="3" w:tentative="0">
      <w:start w:val="1"/>
      <w:numFmt w:val="bullet"/>
      <w:lvlText w:val="•"/>
      <w:lvlJc w:val="left"/>
      <w:pPr>
        <w:ind w:left="1977" w:hanging="360"/>
      </w:pPr>
      <w:rPr>
        <w:rFonts w:hint="default"/>
      </w:rPr>
    </w:lvl>
    <w:lvl w:ilvl="4" w:tentative="0">
      <w:start w:val="1"/>
      <w:numFmt w:val="bullet"/>
      <w:lvlText w:val="•"/>
      <w:lvlJc w:val="left"/>
      <w:pPr>
        <w:ind w:left="3055" w:hanging="360"/>
      </w:pPr>
      <w:rPr>
        <w:rFonts w:hint="default"/>
      </w:rPr>
    </w:lvl>
    <w:lvl w:ilvl="5" w:tentative="0">
      <w:start w:val="1"/>
      <w:numFmt w:val="bullet"/>
      <w:lvlText w:val="•"/>
      <w:lvlJc w:val="left"/>
      <w:pPr>
        <w:ind w:left="4132" w:hanging="360"/>
      </w:pPr>
      <w:rPr>
        <w:rFonts w:hint="default"/>
      </w:rPr>
    </w:lvl>
    <w:lvl w:ilvl="6" w:tentative="0">
      <w:start w:val="1"/>
      <w:numFmt w:val="bullet"/>
      <w:lvlText w:val="•"/>
      <w:lvlJc w:val="left"/>
      <w:pPr>
        <w:ind w:left="5210" w:hanging="360"/>
      </w:pPr>
      <w:rPr>
        <w:rFonts w:hint="default"/>
      </w:rPr>
    </w:lvl>
    <w:lvl w:ilvl="7" w:tentative="0">
      <w:start w:val="1"/>
      <w:numFmt w:val="bullet"/>
      <w:lvlText w:val="•"/>
      <w:lvlJc w:val="left"/>
      <w:pPr>
        <w:ind w:left="6287" w:hanging="360"/>
      </w:pPr>
      <w:rPr>
        <w:rFonts w:hint="default"/>
      </w:rPr>
    </w:lvl>
    <w:lvl w:ilvl="8" w:tentative="0">
      <w:start w:val="1"/>
      <w:numFmt w:val="bullet"/>
      <w:lvlText w:val="•"/>
      <w:lvlJc w:val="left"/>
      <w:pPr>
        <w:ind w:left="7365" w:hanging="360"/>
      </w:pPr>
      <w:rPr>
        <w:rFonts w:hint="default"/>
      </w:rPr>
    </w:lvl>
  </w:abstractNum>
  <w:abstractNum w:abstractNumId="3">
    <w:nsid w:val="32FC2D5F"/>
    <w:multiLevelType w:val="multilevel"/>
    <w:tmpl w:val="32FC2D5F"/>
    <w:lvl w:ilvl="0" w:tentative="0">
      <w:start w:val="1"/>
      <w:numFmt w:val="bullet"/>
      <w:lvlText w:val=""/>
      <w:lvlJc w:val="left"/>
      <w:pPr>
        <w:ind w:left="840" w:hanging="360"/>
      </w:pPr>
      <w:rPr>
        <w:rFonts w:hint="default" w:ascii="Wingdings" w:hAnsi="Wingdings" w:eastAsia="Wingdings"/>
        <w:w w:val="100"/>
        <w:sz w:val="24"/>
        <w:szCs w:val="24"/>
      </w:rPr>
    </w:lvl>
    <w:lvl w:ilvl="1" w:tentative="0">
      <w:start w:val="1"/>
      <w:numFmt w:val="bullet"/>
      <w:lvlText w:val="•"/>
      <w:lvlJc w:val="left"/>
      <w:pPr>
        <w:ind w:left="1710" w:hanging="360"/>
      </w:pPr>
      <w:rPr>
        <w:rFonts w:hint="default"/>
      </w:rPr>
    </w:lvl>
    <w:lvl w:ilvl="2" w:tentative="0">
      <w:start w:val="1"/>
      <w:numFmt w:val="bullet"/>
      <w:lvlText w:val="•"/>
      <w:lvlJc w:val="left"/>
      <w:pPr>
        <w:ind w:left="2580" w:hanging="360"/>
      </w:pPr>
      <w:rPr>
        <w:rFonts w:hint="default"/>
      </w:rPr>
    </w:lvl>
    <w:lvl w:ilvl="3" w:tentative="0">
      <w:start w:val="1"/>
      <w:numFmt w:val="bullet"/>
      <w:lvlText w:val="•"/>
      <w:lvlJc w:val="left"/>
      <w:pPr>
        <w:ind w:left="3450" w:hanging="360"/>
      </w:pPr>
      <w:rPr>
        <w:rFonts w:hint="default"/>
      </w:rPr>
    </w:lvl>
    <w:lvl w:ilvl="4" w:tentative="0">
      <w:start w:val="1"/>
      <w:numFmt w:val="bullet"/>
      <w:lvlText w:val="•"/>
      <w:lvlJc w:val="left"/>
      <w:pPr>
        <w:ind w:left="4320" w:hanging="360"/>
      </w:pPr>
      <w:rPr>
        <w:rFonts w:hint="default"/>
      </w:rPr>
    </w:lvl>
    <w:lvl w:ilvl="5" w:tentative="0">
      <w:start w:val="1"/>
      <w:numFmt w:val="bullet"/>
      <w:lvlText w:val="•"/>
      <w:lvlJc w:val="left"/>
      <w:pPr>
        <w:ind w:left="5190" w:hanging="360"/>
      </w:pPr>
      <w:rPr>
        <w:rFonts w:hint="default"/>
      </w:rPr>
    </w:lvl>
    <w:lvl w:ilvl="6" w:tentative="0">
      <w:start w:val="1"/>
      <w:numFmt w:val="bullet"/>
      <w:lvlText w:val="•"/>
      <w:lvlJc w:val="left"/>
      <w:pPr>
        <w:ind w:left="6060" w:hanging="360"/>
      </w:pPr>
      <w:rPr>
        <w:rFonts w:hint="default"/>
      </w:rPr>
    </w:lvl>
    <w:lvl w:ilvl="7" w:tentative="0">
      <w:start w:val="1"/>
      <w:numFmt w:val="bullet"/>
      <w:lvlText w:val="•"/>
      <w:lvlJc w:val="left"/>
      <w:pPr>
        <w:ind w:left="6930" w:hanging="360"/>
      </w:pPr>
      <w:rPr>
        <w:rFonts w:hint="default"/>
      </w:rPr>
    </w:lvl>
    <w:lvl w:ilvl="8" w:tentative="0">
      <w:start w:val="1"/>
      <w:numFmt w:val="bullet"/>
      <w:lvlText w:val="•"/>
      <w:lvlJc w:val="left"/>
      <w:pPr>
        <w:ind w:left="7800" w:hanging="360"/>
      </w:pPr>
      <w:rPr>
        <w:rFonts w:hint="default"/>
      </w:rPr>
    </w:lvl>
  </w:abstractNum>
  <w:abstractNum w:abstractNumId="4">
    <w:nsid w:val="36B90EF9"/>
    <w:multiLevelType w:val="multilevel"/>
    <w:tmpl w:val="36B90EF9"/>
    <w:lvl w:ilvl="0" w:tentative="0">
      <w:start w:val="1"/>
      <w:numFmt w:val="decimal"/>
      <w:lvlText w:val="%1."/>
      <w:lvlJc w:val="left"/>
      <w:pPr>
        <w:ind w:left="480" w:hanging="301"/>
      </w:pPr>
      <w:rPr>
        <w:rFonts w:hint="default" w:ascii="Arial" w:hAnsi="Arial" w:eastAsia="Times New Roman" w:cs="Arial"/>
        <w:spacing w:val="0"/>
        <w:w w:val="100"/>
        <w:sz w:val="24"/>
        <w:szCs w:val="24"/>
      </w:rPr>
    </w:lvl>
    <w:lvl w:ilvl="1" w:tentative="0">
      <w:start w:val="1"/>
      <w:numFmt w:val="bullet"/>
      <w:lvlText w:val="•"/>
      <w:lvlJc w:val="left"/>
      <w:pPr>
        <w:ind w:left="1390" w:hanging="301"/>
      </w:pPr>
      <w:rPr>
        <w:rFonts w:hint="default"/>
      </w:rPr>
    </w:lvl>
    <w:lvl w:ilvl="2" w:tentative="0">
      <w:start w:val="1"/>
      <w:numFmt w:val="bullet"/>
      <w:lvlText w:val="•"/>
      <w:lvlJc w:val="left"/>
      <w:pPr>
        <w:ind w:left="2300" w:hanging="301"/>
      </w:pPr>
      <w:rPr>
        <w:rFonts w:hint="default"/>
      </w:rPr>
    </w:lvl>
    <w:lvl w:ilvl="3" w:tentative="0">
      <w:start w:val="1"/>
      <w:numFmt w:val="bullet"/>
      <w:lvlText w:val="•"/>
      <w:lvlJc w:val="left"/>
      <w:pPr>
        <w:ind w:left="3210" w:hanging="301"/>
      </w:pPr>
      <w:rPr>
        <w:rFonts w:hint="default"/>
      </w:rPr>
    </w:lvl>
    <w:lvl w:ilvl="4" w:tentative="0">
      <w:start w:val="1"/>
      <w:numFmt w:val="bullet"/>
      <w:lvlText w:val="•"/>
      <w:lvlJc w:val="left"/>
      <w:pPr>
        <w:ind w:left="4120" w:hanging="301"/>
      </w:pPr>
      <w:rPr>
        <w:rFonts w:hint="default"/>
      </w:rPr>
    </w:lvl>
    <w:lvl w:ilvl="5" w:tentative="0">
      <w:start w:val="1"/>
      <w:numFmt w:val="bullet"/>
      <w:lvlText w:val="•"/>
      <w:lvlJc w:val="left"/>
      <w:pPr>
        <w:ind w:left="5030" w:hanging="301"/>
      </w:pPr>
      <w:rPr>
        <w:rFonts w:hint="default"/>
      </w:rPr>
    </w:lvl>
    <w:lvl w:ilvl="6" w:tentative="0">
      <w:start w:val="1"/>
      <w:numFmt w:val="bullet"/>
      <w:lvlText w:val="•"/>
      <w:lvlJc w:val="left"/>
      <w:pPr>
        <w:ind w:left="5940" w:hanging="301"/>
      </w:pPr>
      <w:rPr>
        <w:rFonts w:hint="default"/>
      </w:rPr>
    </w:lvl>
    <w:lvl w:ilvl="7" w:tentative="0">
      <w:start w:val="1"/>
      <w:numFmt w:val="bullet"/>
      <w:lvlText w:val="•"/>
      <w:lvlJc w:val="left"/>
      <w:pPr>
        <w:ind w:left="6850" w:hanging="301"/>
      </w:pPr>
      <w:rPr>
        <w:rFonts w:hint="default"/>
      </w:rPr>
    </w:lvl>
    <w:lvl w:ilvl="8" w:tentative="0">
      <w:start w:val="1"/>
      <w:numFmt w:val="bullet"/>
      <w:lvlText w:val="•"/>
      <w:lvlJc w:val="left"/>
      <w:pPr>
        <w:ind w:left="7760" w:hanging="301"/>
      </w:pPr>
      <w:rPr>
        <w:rFonts w:hint="default"/>
      </w:rPr>
    </w:lvl>
  </w:abstractNum>
  <w:abstractNum w:abstractNumId="5">
    <w:nsid w:val="4F8F54F8"/>
    <w:multiLevelType w:val="multilevel"/>
    <w:tmpl w:val="4F8F54F8"/>
    <w:lvl w:ilvl="0" w:tentative="0">
      <w:start w:val="1"/>
      <w:numFmt w:val="bullet"/>
      <w:lvlText w:val=""/>
      <w:lvlJc w:val="left"/>
      <w:pPr>
        <w:ind w:left="840" w:hanging="360"/>
      </w:pPr>
      <w:rPr>
        <w:rFonts w:hint="default" w:ascii="Symbol" w:hAnsi="Symbol" w:eastAsia="Symbol"/>
        <w:w w:val="100"/>
        <w:sz w:val="24"/>
        <w:szCs w:val="24"/>
      </w:rPr>
    </w:lvl>
    <w:lvl w:ilvl="1" w:tentative="0">
      <w:start w:val="1"/>
      <w:numFmt w:val="bullet"/>
      <w:lvlText w:val="•"/>
      <w:lvlJc w:val="left"/>
      <w:pPr>
        <w:ind w:left="1710" w:hanging="360"/>
      </w:pPr>
      <w:rPr>
        <w:rFonts w:hint="default"/>
      </w:rPr>
    </w:lvl>
    <w:lvl w:ilvl="2" w:tentative="0">
      <w:start w:val="1"/>
      <w:numFmt w:val="bullet"/>
      <w:lvlText w:val="•"/>
      <w:lvlJc w:val="left"/>
      <w:pPr>
        <w:ind w:left="2580" w:hanging="360"/>
      </w:pPr>
      <w:rPr>
        <w:rFonts w:hint="default"/>
      </w:rPr>
    </w:lvl>
    <w:lvl w:ilvl="3" w:tentative="0">
      <w:start w:val="1"/>
      <w:numFmt w:val="bullet"/>
      <w:lvlText w:val="•"/>
      <w:lvlJc w:val="left"/>
      <w:pPr>
        <w:ind w:left="3450" w:hanging="360"/>
      </w:pPr>
      <w:rPr>
        <w:rFonts w:hint="default"/>
      </w:rPr>
    </w:lvl>
    <w:lvl w:ilvl="4" w:tentative="0">
      <w:start w:val="1"/>
      <w:numFmt w:val="bullet"/>
      <w:lvlText w:val="•"/>
      <w:lvlJc w:val="left"/>
      <w:pPr>
        <w:ind w:left="4320" w:hanging="360"/>
      </w:pPr>
      <w:rPr>
        <w:rFonts w:hint="default"/>
      </w:rPr>
    </w:lvl>
    <w:lvl w:ilvl="5" w:tentative="0">
      <w:start w:val="1"/>
      <w:numFmt w:val="bullet"/>
      <w:lvlText w:val="•"/>
      <w:lvlJc w:val="left"/>
      <w:pPr>
        <w:ind w:left="5190" w:hanging="360"/>
      </w:pPr>
      <w:rPr>
        <w:rFonts w:hint="default"/>
      </w:rPr>
    </w:lvl>
    <w:lvl w:ilvl="6" w:tentative="0">
      <w:start w:val="1"/>
      <w:numFmt w:val="bullet"/>
      <w:lvlText w:val="•"/>
      <w:lvlJc w:val="left"/>
      <w:pPr>
        <w:ind w:left="6060" w:hanging="360"/>
      </w:pPr>
      <w:rPr>
        <w:rFonts w:hint="default"/>
      </w:rPr>
    </w:lvl>
    <w:lvl w:ilvl="7" w:tentative="0">
      <w:start w:val="1"/>
      <w:numFmt w:val="bullet"/>
      <w:lvlText w:val="•"/>
      <w:lvlJc w:val="left"/>
      <w:pPr>
        <w:ind w:left="6930" w:hanging="360"/>
      </w:pPr>
      <w:rPr>
        <w:rFonts w:hint="default"/>
      </w:rPr>
    </w:lvl>
    <w:lvl w:ilvl="8" w:tentative="0">
      <w:start w:val="1"/>
      <w:numFmt w:val="bullet"/>
      <w:lvlText w:val="•"/>
      <w:lvlJc w:val="left"/>
      <w:pPr>
        <w:ind w:left="7800" w:hanging="360"/>
      </w:pPr>
      <w:rPr>
        <w:rFonts w:hint="default"/>
      </w:rPr>
    </w:lvl>
  </w:abstractNum>
  <w:abstractNum w:abstractNumId="6">
    <w:nsid w:val="5CC53599"/>
    <w:multiLevelType w:val="multilevel"/>
    <w:tmpl w:val="5CC53599"/>
    <w:lvl w:ilvl="0" w:tentative="0">
      <w:start w:val="1"/>
      <w:numFmt w:val="upperRoman"/>
      <w:lvlText w:val="%1."/>
      <w:lvlJc w:val="left"/>
      <w:pPr>
        <w:ind w:left="999" w:hanging="720"/>
        <w:jc w:val="right"/>
      </w:pPr>
      <w:rPr>
        <w:rFonts w:hint="default" w:ascii="Arial" w:hAnsi="Arial" w:eastAsia="Times New Roman" w:cs="Arial"/>
        <w:b/>
        <w:bCs/>
        <w:spacing w:val="-1"/>
        <w:w w:val="99"/>
        <w:sz w:val="28"/>
        <w:szCs w:val="24"/>
      </w:rPr>
    </w:lvl>
    <w:lvl w:ilvl="1" w:tentative="0">
      <w:start w:val="1"/>
      <w:numFmt w:val="bullet"/>
      <w:lvlText w:val="•"/>
      <w:lvlJc w:val="left"/>
      <w:pPr>
        <w:ind w:left="1892" w:hanging="720"/>
      </w:pPr>
      <w:rPr>
        <w:rFonts w:hint="default"/>
      </w:rPr>
    </w:lvl>
    <w:lvl w:ilvl="2" w:tentative="0">
      <w:start w:val="1"/>
      <w:numFmt w:val="bullet"/>
      <w:lvlText w:val="•"/>
      <w:lvlJc w:val="left"/>
      <w:pPr>
        <w:ind w:left="2784" w:hanging="720"/>
      </w:pPr>
      <w:rPr>
        <w:rFonts w:hint="default"/>
      </w:rPr>
    </w:lvl>
    <w:lvl w:ilvl="3" w:tentative="0">
      <w:start w:val="1"/>
      <w:numFmt w:val="bullet"/>
      <w:lvlText w:val="•"/>
      <w:lvlJc w:val="left"/>
      <w:pPr>
        <w:ind w:left="3676" w:hanging="720"/>
      </w:pPr>
      <w:rPr>
        <w:rFonts w:hint="default"/>
      </w:rPr>
    </w:lvl>
    <w:lvl w:ilvl="4" w:tentative="0">
      <w:start w:val="1"/>
      <w:numFmt w:val="bullet"/>
      <w:lvlText w:val="•"/>
      <w:lvlJc w:val="left"/>
      <w:pPr>
        <w:ind w:left="4568" w:hanging="720"/>
      </w:pPr>
      <w:rPr>
        <w:rFonts w:hint="default"/>
      </w:rPr>
    </w:lvl>
    <w:lvl w:ilvl="5" w:tentative="0">
      <w:start w:val="1"/>
      <w:numFmt w:val="bullet"/>
      <w:lvlText w:val="•"/>
      <w:lvlJc w:val="left"/>
      <w:pPr>
        <w:ind w:left="5460" w:hanging="720"/>
      </w:pPr>
      <w:rPr>
        <w:rFonts w:hint="default"/>
      </w:rPr>
    </w:lvl>
    <w:lvl w:ilvl="6" w:tentative="0">
      <w:start w:val="1"/>
      <w:numFmt w:val="bullet"/>
      <w:lvlText w:val="•"/>
      <w:lvlJc w:val="left"/>
      <w:pPr>
        <w:ind w:left="6352" w:hanging="720"/>
      </w:pPr>
      <w:rPr>
        <w:rFonts w:hint="default"/>
      </w:rPr>
    </w:lvl>
    <w:lvl w:ilvl="7" w:tentative="0">
      <w:start w:val="1"/>
      <w:numFmt w:val="bullet"/>
      <w:lvlText w:val="•"/>
      <w:lvlJc w:val="left"/>
      <w:pPr>
        <w:ind w:left="7244" w:hanging="720"/>
      </w:pPr>
      <w:rPr>
        <w:rFonts w:hint="default"/>
      </w:rPr>
    </w:lvl>
    <w:lvl w:ilvl="8" w:tentative="0">
      <w:start w:val="1"/>
      <w:numFmt w:val="bullet"/>
      <w:lvlText w:val="•"/>
      <w:lvlJc w:val="left"/>
      <w:pPr>
        <w:ind w:left="8136" w:hanging="720"/>
      </w:pPr>
      <w:rPr>
        <w:rFonts w:hint="default"/>
      </w:rPr>
    </w:lvl>
  </w:abstractNum>
  <w:abstractNum w:abstractNumId="7">
    <w:nsid w:val="72A91E63"/>
    <w:multiLevelType w:val="multilevel"/>
    <w:tmpl w:val="72A91E63"/>
    <w:lvl w:ilvl="0" w:tentative="0">
      <w:start w:val="1"/>
      <w:numFmt w:val="decimal"/>
      <w:lvlText w:val="%1."/>
      <w:lvlJc w:val="left"/>
      <w:pPr>
        <w:ind w:left="480" w:hanging="361"/>
      </w:pPr>
      <w:rPr>
        <w:rFonts w:hint="default" w:ascii="Arial" w:hAnsi="Arial" w:eastAsia="Times New Roman" w:cs="Arial"/>
        <w:b/>
        <w:bCs/>
        <w:i/>
        <w:spacing w:val="0"/>
        <w:w w:val="100"/>
        <w:sz w:val="24"/>
        <w:szCs w:val="24"/>
      </w:rPr>
    </w:lvl>
    <w:lvl w:ilvl="1" w:tentative="0">
      <w:start w:val="1"/>
      <w:numFmt w:val="bullet"/>
      <w:lvlText w:val=""/>
      <w:lvlJc w:val="left"/>
      <w:pPr>
        <w:ind w:left="930" w:hanging="450"/>
      </w:pPr>
      <w:rPr>
        <w:rFonts w:hint="default" w:ascii="Symbol" w:hAnsi="Symbol" w:eastAsia="Symbol"/>
        <w:w w:val="100"/>
        <w:sz w:val="24"/>
        <w:szCs w:val="24"/>
      </w:rPr>
    </w:lvl>
    <w:lvl w:ilvl="2" w:tentative="0">
      <w:start w:val="1"/>
      <w:numFmt w:val="bullet"/>
      <w:lvlText w:val=""/>
      <w:lvlJc w:val="left"/>
      <w:pPr>
        <w:ind w:left="1260" w:hanging="360"/>
      </w:pPr>
      <w:rPr>
        <w:rFonts w:hint="default" w:ascii="Symbol" w:hAnsi="Symbol" w:eastAsia="Symbol"/>
        <w:w w:val="100"/>
        <w:sz w:val="18"/>
        <w:szCs w:val="18"/>
      </w:rPr>
    </w:lvl>
    <w:lvl w:ilvl="3" w:tentative="0">
      <w:start w:val="1"/>
      <w:numFmt w:val="bullet"/>
      <w:lvlText w:val="•"/>
      <w:lvlJc w:val="left"/>
      <w:pPr>
        <w:ind w:left="2297" w:hanging="360"/>
      </w:pPr>
      <w:rPr>
        <w:rFonts w:hint="default"/>
      </w:rPr>
    </w:lvl>
    <w:lvl w:ilvl="4" w:tentative="0">
      <w:start w:val="1"/>
      <w:numFmt w:val="bullet"/>
      <w:lvlText w:val="•"/>
      <w:lvlJc w:val="left"/>
      <w:pPr>
        <w:ind w:left="3335" w:hanging="360"/>
      </w:pPr>
      <w:rPr>
        <w:rFonts w:hint="default"/>
      </w:rPr>
    </w:lvl>
    <w:lvl w:ilvl="5" w:tentative="0">
      <w:start w:val="1"/>
      <w:numFmt w:val="bullet"/>
      <w:lvlText w:val="•"/>
      <w:lvlJc w:val="left"/>
      <w:pPr>
        <w:ind w:left="4372" w:hanging="360"/>
      </w:pPr>
      <w:rPr>
        <w:rFonts w:hint="default"/>
      </w:rPr>
    </w:lvl>
    <w:lvl w:ilvl="6" w:tentative="0">
      <w:start w:val="1"/>
      <w:numFmt w:val="bullet"/>
      <w:lvlText w:val="•"/>
      <w:lvlJc w:val="left"/>
      <w:pPr>
        <w:ind w:left="5410" w:hanging="360"/>
      </w:pPr>
      <w:rPr>
        <w:rFonts w:hint="default"/>
      </w:rPr>
    </w:lvl>
    <w:lvl w:ilvl="7" w:tentative="0">
      <w:start w:val="1"/>
      <w:numFmt w:val="bullet"/>
      <w:lvlText w:val="•"/>
      <w:lvlJc w:val="left"/>
      <w:pPr>
        <w:ind w:left="6447" w:hanging="360"/>
      </w:pPr>
      <w:rPr>
        <w:rFonts w:hint="default"/>
      </w:rPr>
    </w:lvl>
    <w:lvl w:ilvl="8" w:tentative="0">
      <w:start w:val="1"/>
      <w:numFmt w:val="bullet"/>
      <w:lvlText w:val="•"/>
      <w:lvlJc w:val="left"/>
      <w:pPr>
        <w:ind w:left="7485" w:hanging="360"/>
      </w:pPr>
      <w:rPr>
        <w:rFonts w:hint="default"/>
      </w:rPr>
    </w:lvl>
  </w:abstractNum>
  <w:abstractNum w:abstractNumId="8">
    <w:nsid w:val="735854BD"/>
    <w:multiLevelType w:val="multilevel"/>
    <w:tmpl w:val="735854BD"/>
    <w:lvl w:ilvl="0" w:tentative="0">
      <w:start w:val="1"/>
      <w:numFmt w:val="decimal"/>
      <w:lvlText w:val="%1."/>
      <w:lvlJc w:val="left"/>
      <w:pPr>
        <w:ind w:left="480" w:hanging="361"/>
      </w:pPr>
      <w:rPr>
        <w:rFonts w:hint="default" w:ascii="Arial" w:hAnsi="Arial" w:eastAsia="Times New Roman" w:cs="Arial"/>
        <w:b/>
        <w:bCs/>
        <w:i/>
        <w:spacing w:val="-2"/>
        <w:w w:val="100"/>
        <w:sz w:val="24"/>
        <w:szCs w:val="24"/>
      </w:rPr>
    </w:lvl>
    <w:lvl w:ilvl="1" w:tentative="0">
      <w:start w:val="1"/>
      <w:numFmt w:val="lowerLetter"/>
      <w:lvlText w:val="(%2)"/>
      <w:lvlJc w:val="left"/>
      <w:pPr>
        <w:ind w:left="867" w:hanging="388"/>
      </w:pPr>
      <w:rPr>
        <w:rFonts w:hint="default" w:ascii="Arial" w:hAnsi="Arial" w:eastAsia="Times New Roman" w:cs="Arial"/>
        <w:spacing w:val="0"/>
        <w:w w:val="100"/>
        <w:sz w:val="24"/>
        <w:szCs w:val="24"/>
      </w:rPr>
    </w:lvl>
    <w:lvl w:ilvl="2" w:tentative="0">
      <w:start w:val="1"/>
      <w:numFmt w:val="lowerRoman"/>
      <w:lvlText w:val="(%3)"/>
      <w:lvlJc w:val="left"/>
      <w:pPr>
        <w:ind w:left="1559" w:hanging="540"/>
      </w:pPr>
      <w:rPr>
        <w:rFonts w:hint="default" w:ascii="Arial" w:hAnsi="Arial" w:eastAsia="Times New Roman" w:cs="Arial"/>
        <w:spacing w:val="0"/>
        <w:w w:val="100"/>
        <w:sz w:val="24"/>
        <w:szCs w:val="24"/>
      </w:rPr>
    </w:lvl>
    <w:lvl w:ilvl="3" w:tentative="0">
      <w:start w:val="1"/>
      <w:numFmt w:val="bullet"/>
      <w:lvlText w:val="•"/>
      <w:lvlJc w:val="left"/>
      <w:pPr>
        <w:ind w:left="2557" w:hanging="540"/>
      </w:pPr>
      <w:rPr>
        <w:rFonts w:hint="default"/>
      </w:rPr>
    </w:lvl>
    <w:lvl w:ilvl="4" w:tentative="0">
      <w:start w:val="1"/>
      <w:numFmt w:val="bullet"/>
      <w:lvlText w:val="•"/>
      <w:lvlJc w:val="left"/>
      <w:pPr>
        <w:ind w:left="3555" w:hanging="540"/>
      </w:pPr>
      <w:rPr>
        <w:rFonts w:hint="default"/>
      </w:rPr>
    </w:lvl>
    <w:lvl w:ilvl="5" w:tentative="0">
      <w:start w:val="1"/>
      <w:numFmt w:val="bullet"/>
      <w:lvlText w:val="•"/>
      <w:lvlJc w:val="left"/>
      <w:pPr>
        <w:ind w:left="4552" w:hanging="540"/>
      </w:pPr>
      <w:rPr>
        <w:rFonts w:hint="default"/>
      </w:rPr>
    </w:lvl>
    <w:lvl w:ilvl="6" w:tentative="0">
      <w:start w:val="1"/>
      <w:numFmt w:val="bullet"/>
      <w:lvlText w:val="•"/>
      <w:lvlJc w:val="left"/>
      <w:pPr>
        <w:ind w:left="5550" w:hanging="540"/>
      </w:pPr>
      <w:rPr>
        <w:rFonts w:hint="default"/>
      </w:rPr>
    </w:lvl>
    <w:lvl w:ilvl="7" w:tentative="0">
      <w:start w:val="1"/>
      <w:numFmt w:val="bullet"/>
      <w:lvlText w:val="•"/>
      <w:lvlJc w:val="left"/>
      <w:pPr>
        <w:ind w:left="6547" w:hanging="540"/>
      </w:pPr>
      <w:rPr>
        <w:rFonts w:hint="default"/>
      </w:rPr>
    </w:lvl>
    <w:lvl w:ilvl="8" w:tentative="0">
      <w:start w:val="1"/>
      <w:numFmt w:val="bullet"/>
      <w:lvlText w:val="•"/>
      <w:lvlJc w:val="left"/>
      <w:pPr>
        <w:ind w:left="7545" w:hanging="540"/>
      </w:pPr>
      <w:rPr>
        <w:rFonts w:hint="default"/>
      </w:rPr>
    </w:lvl>
  </w:abstractNum>
  <w:num w:numId="1">
    <w:abstractNumId w:val="6"/>
  </w:num>
  <w:num w:numId="2">
    <w:abstractNumId w:val="5"/>
  </w:num>
  <w:num w:numId="3">
    <w:abstractNumId w:val="0"/>
  </w:num>
  <w:num w:numId="4">
    <w:abstractNumId w:val="2"/>
  </w:num>
  <w:num w:numId="5">
    <w:abstractNumId w:val="8"/>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rawingGridVerticalSpacing w:val="299"/>
  <w:displayHorizontalDrawingGridEvery w:val="2"/>
  <w:characterSpacingControl w:val="doNotCompress"/>
  <w:footnotePr>
    <w:footnote w:id="58"/>
    <w:footnote w:id="59"/>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32"/>
    <w:rsid w:val="00003C27"/>
    <w:rsid w:val="000076CE"/>
    <w:rsid w:val="00007E74"/>
    <w:rsid w:val="000215D8"/>
    <w:rsid w:val="0003596E"/>
    <w:rsid w:val="000437D8"/>
    <w:rsid w:val="000554F9"/>
    <w:rsid w:val="0006227F"/>
    <w:rsid w:val="0007248B"/>
    <w:rsid w:val="00097E56"/>
    <w:rsid w:val="000B1537"/>
    <w:rsid w:val="000B53E1"/>
    <w:rsid w:val="000B69E9"/>
    <w:rsid w:val="00115738"/>
    <w:rsid w:val="00123ABB"/>
    <w:rsid w:val="00140A2E"/>
    <w:rsid w:val="00161EA3"/>
    <w:rsid w:val="001659B1"/>
    <w:rsid w:val="001703BF"/>
    <w:rsid w:val="0018579B"/>
    <w:rsid w:val="00186F93"/>
    <w:rsid w:val="00187C4A"/>
    <w:rsid w:val="00187D18"/>
    <w:rsid w:val="00190F8E"/>
    <w:rsid w:val="001A0D56"/>
    <w:rsid w:val="001A425B"/>
    <w:rsid w:val="001B02CA"/>
    <w:rsid w:val="001D05D5"/>
    <w:rsid w:val="001F662C"/>
    <w:rsid w:val="0021365D"/>
    <w:rsid w:val="00256D58"/>
    <w:rsid w:val="002822B9"/>
    <w:rsid w:val="002A15CA"/>
    <w:rsid w:val="002A2113"/>
    <w:rsid w:val="002A30BD"/>
    <w:rsid w:val="002A4653"/>
    <w:rsid w:val="002B05AC"/>
    <w:rsid w:val="002B5327"/>
    <w:rsid w:val="002C13D2"/>
    <w:rsid w:val="002C6E27"/>
    <w:rsid w:val="002D72FC"/>
    <w:rsid w:val="002E1901"/>
    <w:rsid w:val="002E7834"/>
    <w:rsid w:val="00315D43"/>
    <w:rsid w:val="003235CD"/>
    <w:rsid w:val="003255CD"/>
    <w:rsid w:val="003359A8"/>
    <w:rsid w:val="00342526"/>
    <w:rsid w:val="003477E7"/>
    <w:rsid w:val="0035097B"/>
    <w:rsid w:val="003569C4"/>
    <w:rsid w:val="00361A18"/>
    <w:rsid w:val="003775BC"/>
    <w:rsid w:val="003775C5"/>
    <w:rsid w:val="003A538D"/>
    <w:rsid w:val="003C2C33"/>
    <w:rsid w:val="003D6E23"/>
    <w:rsid w:val="003D7A60"/>
    <w:rsid w:val="00406606"/>
    <w:rsid w:val="0042017D"/>
    <w:rsid w:val="00420861"/>
    <w:rsid w:val="004215A7"/>
    <w:rsid w:val="00426D27"/>
    <w:rsid w:val="004476DC"/>
    <w:rsid w:val="00463522"/>
    <w:rsid w:val="0046619F"/>
    <w:rsid w:val="00476873"/>
    <w:rsid w:val="00493BF5"/>
    <w:rsid w:val="00494936"/>
    <w:rsid w:val="004B44F9"/>
    <w:rsid w:val="004C3F65"/>
    <w:rsid w:val="004C53D5"/>
    <w:rsid w:val="004D1BC0"/>
    <w:rsid w:val="004E3ACD"/>
    <w:rsid w:val="005042A9"/>
    <w:rsid w:val="00514D7E"/>
    <w:rsid w:val="00554632"/>
    <w:rsid w:val="0056284F"/>
    <w:rsid w:val="00591026"/>
    <w:rsid w:val="00596B6A"/>
    <w:rsid w:val="005A6CEF"/>
    <w:rsid w:val="005B48E0"/>
    <w:rsid w:val="005C1F2D"/>
    <w:rsid w:val="005C3A66"/>
    <w:rsid w:val="005D746E"/>
    <w:rsid w:val="005F2488"/>
    <w:rsid w:val="00605956"/>
    <w:rsid w:val="00620A99"/>
    <w:rsid w:val="00633167"/>
    <w:rsid w:val="00675BF7"/>
    <w:rsid w:val="00676132"/>
    <w:rsid w:val="006823D3"/>
    <w:rsid w:val="00682BF9"/>
    <w:rsid w:val="006A6E16"/>
    <w:rsid w:val="006C3215"/>
    <w:rsid w:val="006E062C"/>
    <w:rsid w:val="006F352F"/>
    <w:rsid w:val="007119C8"/>
    <w:rsid w:val="0072284A"/>
    <w:rsid w:val="0073204B"/>
    <w:rsid w:val="00743ACA"/>
    <w:rsid w:val="007621C2"/>
    <w:rsid w:val="00782872"/>
    <w:rsid w:val="00797801"/>
    <w:rsid w:val="007B0BDD"/>
    <w:rsid w:val="007D7D43"/>
    <w:rsid w:val="00800FFC"/>
    <w:rsid w:val="00804D03"/>
    <w:rsid w:val="0080716E"/>
    <w:rsid w:val="00812CD7"/>
    <w:rsid w:val="00814A7B"/>
    <w:rsid w:val="00830614"/>
    <w:rsid w:val="0083290F"/>
    <w:rsid w:val="008360B3"/>
    <w:rsid w:val="00867D15"/>
    <w:rsid w:val="00886291"/>
    <w:rsid w:val="008A5E04"/>
    <w:rsid w:val="008B2A41"/>
    <w:rsid w:val="008C0437"/>
    <w:rsid w:val="008E152F"/>
    <w:rsid w:val="008E623B"/>
    <w:rsid w:val="0090165F"/>
    <w:rsid w:val="00924E4D"/>
    <w:rsid w:val="00936FCA"/>
    <w:rsid w:val="00941887"/>
    <w:rsid w:val="00946085"/>
    <w:rsid w:val="00970B59"/>
    <w:rsid w:val="0097219C"/>
    <w:rsid w:val="009A36A9"/>
    <w:rsid w:val="009C4B24"/>
    <w:rsid w:val="009D4EC8"/>
    <w:rsid w:val="009E4ABF"/>
    <w:rsid w:val="009F5BD1"/>
    <w:rsid w:val="009F6649"/>
    <w:rsid w:val="00A03813"/>
    <w:rsid w:val="00A117AA"/>
    <w:rsid w:val="00A16D27"/>
    <w:rsid w:val="00A243A9"/>
    <w:rsid w:val="00A30F4D"/>
    <w:rsid w:val="00A51BB7"/>
    <w:rsid w:val="00A53083"/>
    <w:rsid w:val="00A6173C"/>
    <w:rsid w:val="00A82CDA"/>
    <w:rsid w:val="00A979A4"/>
    <w:rsid w:val="00AA4375"/>
    <w:rsid w:val="00AA67F2"/>
    <w:rsid w:val="00AC6583"/>
    <w:rsid w:val="00AE1EC7"/>
    <w:rsid w:val="00B10D13"/>
    <w:rsid w:val="00B12709"/>
    <w:rsid w:val="00B26F06"/>
    <w:rsid w:val="00B52D11"/>
    <w:rsid w:val="00B52EC6"/>
    <w:rsid w:val="00B5744D"/>
    <w:rsid w:val="00B72922"/>
    <w:rsid w:val="00B83C8B"/>
    <w:rsid w:val="00B96039"/>
    <w:rsid w:val="00BC6CAF"/>
    <w:rsid w:val="00BD718D"/>
    <w:rsid w:val="00BE5824"/>
    <w:rsid w:val="00C432A4"/>
    <w:rsid w:val="00C460AA"/>
    <w:rsid w:val="00C87B17"/>
    <w:rsid w:val="00C9599A"/>
    <w:rsid w:val="00CE5B0F"/>
    <w:rsid w:val="00D33337"/>
    <w:rsid w:val="00D3733F"/>
    <w:rsid w:val="00D66A9F"/>
    <w:rsid w:val="00D8060A"/>
    <w:rsid w:val="00D85E02"/>
    <w:rsid w:val="00D90307"/>
    <w:rsid w:val="00D92497"/>
    <w:rsid w:val="00DA1361"/>
    <w:rsid w:val="00DC1317"/>
    <w:rsid w:val="00DC3371"/>
    <w:rsid w:val="00DD2791"/>
    <w:rsid w:val="00DD6F27"/>
    <w:rsid w:val="00DE0F47"/>
    <w:rsid w:val="00DF2709"/>
    <w:rsid w:val="00E00F90"/>
    <w:rsid w:val="00E21FC8"/>
    <w:rsid w:val="00E2763E"/>
    <w:rsid w:val="00E71046"/>
    <w:rsid w:val="00EB3DD1"/>
    <w:rsid w:val="00EC32AD"/>
    <w:rsid w:val="00EC5168"/>
    <w:rsid w:val="00EF7B7F"/>
    <w:rsid w:val="00F0147F"/>
    <w:rsid w:val="00F053BB"/>
    <w:rsid w:val="00F12A7F"/>
    <w:rsid w:val="00F2030F"/>
    <w:rsid w:val="00F27833"/>
    <w:rsid w:val="00F52BD2"/>
    <w:rsid w:val="00F72B86"/>
    <w:rsid w:val="00F8022B"/>
    <w:rsid w:val="00F83C89"/>
    <w:rsid w:val="00F8770B"/>
    <w:rsid w:val="00FA1F97"/>
    <w:rsid w:val="00FA24F2"/>
    <w:rsid w:val="00FB14B9"/>
    <w:rsid w:val="00FB23FD"/>
    <w:rsid w:val="00FE4ADA"/>
    <w:rsid w:val="00FE7DE0"/>
    <w:rsid w:val="00FE7F17"/>
    <w:rsid w:val="1217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765"/>
      <w:outlineLvl w:val="0"/>
    </w:pPr>
    <w:rPr>
      <w:rFonts w:ascii="Times New Roman" w:hAnsi="Times New Roman" w:eastAsia="宋体"/>
      <w:b/>
      <w:bCs/>
      <w:sz w:val="32"/>
      <w:szCs w:val="32"/>
    </w:rPr>
  </w:style>
  <w:style w:type="paragraph" w:styleId="3">
    <w:name w:val="heading 2"/>
    <w:basedOn w:val="1"/>
    <w:qFormat/>
    <w:uiPriority w:val="1"/>
    <w:pPr>
      <w:ind w:left="480" w:hanging="360"/>
      <w:outlineLvl w:val="1"/>
    </w:pPr>
    <w:rPr>
      <w:rFonts w:ascii="Times New Roman" w:hAnsi="Times New Roman" w:eastAsia="宋体"/>
      <w:b/>
      <w:bCs/>
      <w:sz w:val="24"/>
      <w:szCs w:val="24"/>
    </w:rPr>
  </w:style>
  <w:style w:type="paragraph" w:styleId="4">
    <w:name w:val="heading 3"/>
    <w:basedOn w:val="1"/>
    <w:qFormat/>
    <w:uiPriority w:val="1"/>
    <w:pPr>
      <w:ind w:left="480" w:hanging="360"/>
      <w:outlineLvl w:val="2"/>
    </w:pPr>
    <w:rPr>
      <w:rFonts w:ascii="Times New Roman" w:hAnsi="Times New Roman" w:eastAsia="宋体"/>
      <w:b/>
      <w:bCs/>
      <w:i/>
      <w:sz w:val="24"/>
      <w:szCs w:val="2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120"/>
    </w:pPr>
    <w:rPr>
      <w:rFonts w:ascii="Times New Roman" w:hAnsi="Times New Roman" w:eastAsia="宋体"/>
      <w:sz w:val="24"/>
      <w:szCs w:val="24"/>
    </w:rPr>
  </w:style>
  <w:style w:type="paragraph" w:styleId="6">
    <w:name w:val="toc 3"/>
    <w:basedOn w:val="1"/>
    <w:qFormat/>
    <w:uiPriority w:val="39"/>
    <w:pPr>
      <w:spacing w:before="126"/>
      <w:ind w:left="820" w:hanging="245"/>
    </w:pPr>
    <w:rPr>
      <w:rFonts w:ascii="Times New Roman" w:hAnsi="Times New Roman" w:eastAsia="宋体"/>
      <w:b/>
      <w:bCs/>
    </w:rPr>
  </w:style>
  <w:style w:type="paragraph" w:styleId="7">
    <w:name w:val="Balloon Text"/>
    <w:basedOn w:val="1"/>
    <w:link w:val="24"/>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qFormat/>
    <w:uiPriority w:val="39"/>
    <w:pPr>
      <w:spacing w:before="120"/>
      <w:ind w:left="820" w:hanging="720"/>
    </w:pPr>
    <w:rPr>
      <w:rFonts w:ascii="Times New Roman" w:hAnsi="Times New Roman" w:eastAsia="宋体"/>
      <w:b/>
      <w:bCs/>
      <w:sz w:val="24"/>
      <w:szCs w:val="24"/>
    </w:rPr>
  </w:style>
  <w:style w:type="paragraph" w:styleId="11">
    <w:name w:val="toc 4"/>
    <w:basedOn w:val="1"/>
    <w:qFormat/>
    <w:uiPriority w:val="1"/>
    <w:pPr>
      <w:spacing w:before="126"/>
      <w:ind w:left="762"/>
    </w:pPr>
    <w:rPr>
      <w:rFonts w:ascii="Times New Roman" w:hAnsi="Times New Roman" w:eastAsia="宋体"/>
      <w:b/>
      <w:bCs/>
    </w:rPr>
  </w:style>
  <w:style w:type="paragraph" w:styleId="12">
    <w:name w:val="footnote text"/>
    <w:basedOn w:val="1"/>
    <w:link w:val="27"/>
    <w:semiHidden/>
    <w:unhideWhenUsed/>
    <w:uiPriority w:val="99"/>
    <w:pPr>
      <w:snapToGrid w:val="0"/>
    </w:pPr>
    <w:rPr>
      <w:sz w:val="18"/>
      <w:szCs w:val="18"/>
    </w:rPr>
  </w:style>
  <w:style w:type="paragraph" w:styleId="13">
    <w:name w:val="toc 2"/>
    <w:basedOn w:val="1"/>
    <w:qFormat/>
    <w:uiPriority w:val="39"/>
    <w:pPr>
      <w:spacing w:before="126"/>
      <w:ind w:left="730" w:hanging="386"/>
    </w:pPr>
    <w:rPr>
      <w:rFonts w:ascii="Times New Roman" w:hAnsi="Times New Roman" w:eastAsia="宋体"/>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footnote reference"/>
    <w:basedOn w:val="16"/>
    <w:semiHidden/>
    <w:unhideWhenUsed/>
    <w:qFormat/>
    <w:uiPriority w:val="99"/>
    <w:rPr>
      <w:vertAlign w:val="superscript"/>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Unresolved Mention"/>
    <w:basedOn w:val="16"/>
    <w:semiHidden/>
    <w:unhideWhenUsed/>
    <w:uiPriority w:val="99"/>
    <w:rPr>
      <w:color w:val="808080"/>
      <w:shd w:val="clear" w:color="auto" w:fill="E6E6E6"/>
    </w:rPr>
  </w:style>
  <w:style w:type="paragraph" w:customStyle="1" w:styleId="23">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rPr>
  </w:style>
  <w:style w:type="character" w:customStyle="1" w:styleId="24">
    <w:name w:val="批注框文本 Char"/>
    <w:basedOn w:val="16"/>
    <w:link w:val="7"/>
    <w:semiHidden/>
    <w:qFormat/>
    <w:uiPriority w:val="99"/>
    <w:rPr>
      <w:sz w:val="18"/>
      <w:szCs w:val="18"/>
    </w:rPr>
  </w:style>
  <w:style w:type="character" w:customStyle="1" w:styleId="25">
    <w:name w:val="页眉 Char"/>
    <w:basedOn w:val="16"/>
    <w:link w:val="9"/>
    <w:uiPriority w:val="99"/>
    <w:rPr>
      <w:sz w:val="18"/>
      <w:szCs w:val="18"/>
    </w:rPr>
  </w:style>
  <w:style w:type="character" w:customStyle="1" w:styleId="26">
    <w:name w:val="页脚 Char"/>
    <w:basedOn w:val="16"/>
    <w:link w:val="8"/>
    <w:qFormat/>
    <w:uiPriority w:val="99"/>
    <w:rPr>
      <w:sz w:val="18"/>
      <w:szCs w:val="18"/>
    </w:rPr>
  </w:style>
  <w:style w:type="character" w:customStyle="1" w:styleId="27">
    <w:name w:val="脚注文本 Char"/>
    <w:basedOn w:val="16"/>
    <w:link w:val="1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DC9A-DBB0-400A-9F4B-1F2D52D7E2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18450</Words>
  <Characters>20837</Characters>
  <Lines>163</Lines>
  <Paragraphs>46</Paragraphs>
  <TotalTime>0</TotalTime>
  <ScaleCrop>false</ScaleCrop>
  <LinksUpToDate>false</LinksUpToDate>
  <CharactersWithSpaces>21139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2017-12-15T09:50:00Z</dcterms:created>
  <dc:creator>Food and Drug Administration</dc:creator>
  <cp:keywords>guidance, GCP, IRB, continuing review, clinical, investigation</cp:keywords>
  <cp:lastModifiedBy>太极箫客</cp:lastModifiedBy>
  <dcterms:modified xsi:type="dcterms:W3CDTF">2025-08-14T06:19:25Z</dcterms:modified>
  <dc:subject>Giudance for IRBs, Clinical Investigators, and Sponsors: IRB Continuing Review After Clinical Investigation</dc:subject>
  <dc:title>IRB Continuing Review After Clinical Investigation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2012-03-22T00:00:00Z</vt:filetime>
  </property>
  <property fmtid="{D5CDD505-2E9C-101B-9397-08002B2CF9AE}" pid="3" name="Creator">
    <vt:lpwstr>Acrobat PDFMaker 10.1 for Word</vt:lpwstr>
  </property>
  <property fmtid="{D5CDD505-2E9C-101B-9397-08002B2CF9AE}" pid="4" name="LastSaved">
    <vt:filetime>2017-11-06T00:00:00Z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001F2F6608554AFF9D8B85BB60075146_12</vt:lpwstr>
  </property>
</Properties>
</file>