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649C8">
      <w:pPr>
        <w:snapToGrid w:val="0"/>
        <w:spacing w:line="300" w:lineRule="auto"/>
        <w:jc w:val="center"/>
        <w:rPr>
          <w:rFonts w:ascii="Arial" w:hAnsi="Arial" w:eastAsia="宋体" w:cs="Arial"/>
          <w:b/>
          <w:sz w:val="36"/>
          <w:szCs w:val="36"/>
        </w:rPr>
      </w:pPr>
      <w:bookmarkStart w:id="10" w:name="_GoBack"/>
      <w:bookmarkEnd w:id="10"/>
      <w:r>
        <w:rPr>
          <w:rFonts w:ascii="Arial" w:hAnsi="Arial" w:eastAsia="宋体" w:cs="Arial"/>
          <w:b/>
          <w:sz w:val="36"/>
          <w:szCs w:val="36"/>
        </w:rPr>
        <w:t>B型钠尿肽上市前通告用II类特殊控制指导性文件；行业和食品药品监督管理局审查员用最终指南</w:t>
      </w:r>
    </w:p>
    <w:p w14:paraId="440ACA79">
      <w:pPr>
        <w:snapToGrid w:val="0"/>
        <w:spacing w:line="300" w:lineRule="auto"/>
        <w:rPr>
          <w:rFonts w:ascii="Arial" w:hAnsi="Arial" w:eastAsia="宋体" w:cs="Arial"/>
        </w:rPr>
      </w:pPr>
    </w:p>
    <w:p w14:paraId="4B8E7CB3">
      <w:pPr>
        <w:snapToGrid w:val="0"/>
        <w:spacing w:line="300" w:lineRule="auto"/>
        <w:rPr>
          <w:rFonts w:ascii="Arial" w:hAnsi="Arial" w:eastAsia="宋体" w:cs="Arial"/>
        </w:rPr>
      </w:pPr>
      <w:r>
        <w:rPr>
          <w:rFonts w:ascii="Arial" w:hAnsi="Arial" w:eastAsia="宋体" w:cs="Arial"/>
        </w:rPr>
        <w:t>文件发布日期：2000年11月30日</w:t>
      </w:r>
    </w:p>
    <w:p w14:paraId="366CCFC6">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125095</wp:posOffset>
                </wp:positionV>
                <wp:extent cx="1551305" cy="12636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51398" cy="12637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506F4">
                            <w:r>
                              <w:rPr>
                                <w:rFonts w:ascii="Arial" w:hAnsi="Arial" w:eastAsia="宋体" w:cs="Arial"/>
                                <w:color w:val="000000"/>
                                <w:kern w:val="0"/>
                                <w:sz w:val="18"/>
                                <w:szCs w:val="18"/>
                              </w:rPr>
                              <w:drawing>
                                <wp:inline distT="0" distB="0" distL="0" distR="0">
                                  <wp:extent cx="923925" cy="952500"/>
                                  <wp:effectExtent l="19050" t="0" r="9525" b="0"/>
                                  <wp:docPr id="3" name="图片 3"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RH Logo"/>
                                          <pic:cNvPicPr>
                                            <a:picLocks noChangeAspect="1" noChangeArrowheads="1"/>
                                          </pic:cNvPicPr>
                                        </pic:nvPicPr>
                                        <pic:blipFill>
                                          <a:blip r:embed="rId4"/>
                                          <a:srcRect/>
                                          <a:stretch>
                                            <a:fillRect/>
                                          </a:stretch>
                                        </pic:blipFill>
                                        <pic:spPr>
                                          <a:xfrm>
                                            <a:off x="0" y="0"/>
                                            <a:ext cx="923925" cy="95250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pt;margin-top:9.85pt;height:99.5pt;width:122.15pt;z-index:251659264;mso-width-relative:page;mso-height-relative:page;" filled="f" stroked="f" coordsize="21600,21600" o:gfxdata="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7I0rt9kAAAAIAQAADwAAAAAAAAABACAAAAAi&#10;AAAAZHJzL2Rvd25yZXYueG1sUEsBAhQAFAAAAAgAh07iQHHzj5hCAgAAdQQAAA4AAAAAAAAAAQAg&#10;AAAAKAEAAGRycy9lMm9Eb2MueG1sUEsFBgAAAAAGAAYAWQEAANwFAAAAAA==&#10;">
                <v:fill on="f" focussize="0,0"/>
                <v:stroke on="f" weight="0.5pt"/>
                <v:imagedata o:title=""/>
                <o:lock v:ext="edit" aspectratio="f"/>
                <v:textbox>
                  <w:txbxContent>
                    <w:p w14:paraId="1E9506F4">
                      <w:r>
                        <w:rPr>
                          <w:rFonts w:ascii="Arial" w:hAnsi="Arial" w:eastAsia="宋体" w:cs="Arial"/>
                          <w:color w:val="000000"/>
                          <w:kern w:val="0"/>
                          <w:sz w:val="18"/>
                          <w:szCs w:val="18"/>
                        </w:rPr>
                        <w:drawing>
                          <wp:inline distT="0" distB="0" distL="0" distR="0">
                            <wp:extent cx="923925" cy="952500"/>
                            <wp:effectExtent l="19050" t="0" r="9525" b="0"/>
                            <wp:docPr id="3" name="图片 3"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RH Logo"/>
                                    <pic:cNvPicPr>
                                      <a:picLocks noChangeAspect="1" noChangeArrowheads="1"/>
                                    </pic:cNvPicPr>
                                  </pic:nvPicPr>
                                  <pic:blipFill>
                                    <a:blip r:embed="rId4"/>
                                    <a:srcRect/>
                                    <a:stretch>
                                      <a:fillRect/>
                                    </a:stretch>
                                  </pic:blipFill>
                                  <pic:spPr>
                                    <a:xfrm>
                                      <a:off x="0" y="0"/>
                                      <a:ext cx="923925" cy="952500"/>
                                    </a:xfrm>
                                    <a:prstGeom prst="rect">
                                      <a:avLst/>
                                    </a:prstGeom>
                                    <a:noFill/>
                                    <a:ln w="9525">
                                      <a:noFill/>
                                      <a:miter lim="800000"/>
                                      <a:headEnd/>
                                      <a:tailEnd/>
                                    </a:ln>
                                  </pic:spPr>
                                </pic:pic>
                              </a:graphicData>
                            </a:graphic>
                          </wp:inline>
                        </w:drawing>
                      </w:r>
                    </w:p>
                  </w:txbxContent>
                </v:textbox>
              </v:shape>
            </w:pict>
          </mc:Fallback>
        </mc:AlternateContent>
      </w:r>
    </w:p>
    <w:p w14:paraId="3E39D0B6">
      <w:pPr>
        <w:snapToGrid w:val="0"/>
        <w:spacing w:line="300" w:lineRule="auto"/>
        <w:jc w:val="right"/>
        <w:rPr>
          <w:rFonts w:ascii="Arial" w:hAnsi="Arial" w:eastAsia="宋体" w:cs="Arial"/>
        </w:rPr>
      </w:pPr>
      <w:r>
        <w:rPr>
          <w:rFonts w:ascii="Arial" w:hAnsi="Arial" w:eastAsia="宋体" w:cs="Arial"/>
        </w:rPr>
        <w:t>美国卫生与公众服务部</w:t>
      </w:r>
    </w:p>
    <w:p w14:paraId="45E80DD0">
      <w:pPr>
        <w:snapToGrid w:val="0"/>
        <w:spacing w:line="300" w:lineRule="auto"/>
        <w:jc w:val="right"/>
        <w:rPr>
          <w:rFonts w:ascii="Arial" w:hAnsi="Arial" w:eastAsia="宋体" w:cs="Arial"/>
        </w:rPr>
      </w:pPr>
      <w:bookmarkStart w:id="0" w:name="OLE_LINK42"/>
      <w:bookmarkStart w:id="1" w:name="OLE_LINK43"/>
      <w:r>
        <w:rPr>
          <w:rFonts w:ascii="Arial" w:hAnsi="Arial" w:eastAsia="宋体" w:cs="Arial"/>
        </w:rPr>
        <w:t>食品药品监督管理局</w:t>
      </w:r>
    </w:p>
    <w:bookmarkEnd w:id="0"/>
    <w:bookmarkEnd w:id="1"/>
    <w:p w14:paraId="16F285A9">
      <w:pPr>
        <w:snapToGrid w:val="0"/>
        <w:spacing w:line="300" w:lineRule="auto"/>
        <w:jc w:val="right"/>
        <w:rPr>
          <w:rFonts w:ascii="Arial" w:hAnsi="Arial" w:eastAsia="宋体" w:cs="Arial"/>
        </w:rPr>
      </w:pPr>
      <w:r>
        <w:rPr>
          <w:rFonts w:ascii="Arial" w:hAnsi="Arial" w:eastAsia="宋体" w:cs="Arial"/>
        </w:rPr>
        <w:t>器械与放射健康中心</w:t>
      </w:r>
    </w:p>
    <w:p w14:paraId="03E81355">
      <w:pPr>
        <w:snapToGrid w:val="0"/>
        <w:spacing w:line="300" w:lineRule="auto"/>
        <w:jc w:val="right"/>
        <w:rPr>
          <w:rFonts w:ascii="Arial" w:hAnsi="Arial" w:eastAsia="宋体" w:cs="Arial"/>
        </w:rPr>
      </w:pPr>
      <w:r>
        <w:rPr>
          <w:rFonts w:ascii="Arial" w:hAnsi="Arial" w:eastAsia="宋体" w:cs="Arial"/>
        </w:rPr>
        <w:t>临床化学和毒理学处</w:t>
      </w:r>
    </w:p>
    <w:p w14:paraId="6A1F9973">
      <w:pPr>
        <w:snapToGrid w:val="0"/>
        <w:spacing w:line="300" w:lineRule="auto"/>
        <w:jc w:val="right"/>
        <w:rPr>
          <w:rFonts w:ascii="Arial" w:hAnsi="Arial" w:eastAsia="宋体" w:cs="Arial"/>
        </w:rPr>
      </w:pPr>
      <w:r>
        <w:rPr>
          <w:rFonts w:ascii="Arial" w:hAnsi="Arial" w:eastAsia="宋体" w:cs="Arial"/>
        </w:rPr>
        <w:t>临床实验室器械部</w:t>
      </w:r>
    </w:p>
    <w:p w14:paraId="1361AC14">
      <w:pPr>
        <w:snapToGrid w:val="0"/>
        <w:spacing w:line="300" w:lineRule="auto"/>
        <w:jc w:val="right"/>
        <w:rPr>
          <w:rFonts w:ascii="Arial" w:hAnsi="Arial" w:eastAsia="宋体" w:cs="Arial"/>
        </w:rPr>
      </w:pPr>
      <w:r>
        <w:rPr>
          <w:rFonts w:ascii="Arial" w:hAnsi="Arial" w:eastAsia="宋体" w:cs="Arial"/>
        </w:rPr>
        <w:t>器械评估办公室</w:t>
      </w:r>
    </w:p>
    <w:p w14:paraId="09E06C1D">
      <w:pPr>
        <w:snapToGrid w:val="0"/>
        <w:spacing w:line="300" w:lineRule="auto"/>
        <w:rPr>
          <w:rFonts w:ascii="Arial" w:hAnsi="Arial" w:eastAsia="宋体" w:cs="Arial"/>
        </w:rPr>
      </w:pPr>
    </w:p>
    <w:p w14:paraId="0F5BC409">
      <w:pPr>
        <w:snapToGrid w:val="0"/>
        <w:spacing w:line="300" w:lineRule="auto"/>
        <w:rPr>
          <w:rFonts w:ascii="Arial" w:hAnsi="Arial" w:eastAsia="宋体" w:cs="Arial"/>
          <w:sz w:val="28"/>
          <w:szCs w:val="28"/>
        </w:rPr>
      </w:pPr>
      <w:r>
        <w:rPr>
          <w:rFonts w:ascii="Arial" w:hAnsi="Arial" w:eastAsia="宋体" w:cs="Arial"/>
          <w:b/>
          <w:sz w:val="28"/>
          <w:szCs w:val="28"/>
        </w:rPr>
        <w:t>前言</w:t>
      </w:r>
    </w:p>
    <w:p w14:paraId="19370AE5">
      <w:pPr>
        <w:snapToGrid w:val="0"/>
        <w:spacing w:line="300" w:lineRule="auto"/>
        <w:rPr>
          <w:rFonts w:ascii="Arial" w:hAnsi="Arial" w:eastAsia="宋体" w:cs="Arial"/>
          <w:b/>
          <w:sz w:val="28"/>
          <w:szCs w:val="28"/>
        </w:rPr>
      </w:pPr>
      <w:r>
        <w:rPr>
          <w:rFonts w:ascii="Arial" w:hAnsi="Arial" w:eastAsia="宋体" w:cs="Arial"/>
          <w:b/>
          <w:sz w:val="28"/>
          <w:szCs w:val="28"/>
        </w:rPr>
        <w:t>公众评论</w:t>
      </w:r>
    </w:p>
    <w:p w14:paraId="676E2A55">
      <w:pPr>
        <w:snapToGrid w:val="0"/>
        <w:spacing w:line="300" w:lineRule="auto"/>
        <w:rPr>
          <w:rFonts w:ascii="Arial" w:hAnsi="Arial" w:eastAsia="宋体" w:cs="Arial"/>
        </w:rPr>
      </w:pPr>
    </w:p>
    <w:p w14:paraId="00B2F78C">
      <w:pPr>
        <w:snapToGrid w:val="0"/>
        <w:spacing w:line="300" w:lineRule="auto"/>
        <w:rPr>
          <w:rFonts w:ascii="Arial" w:hAnsi="Arial" w:eastAsia="宋体" w:cs="Arial"/>
        </w:rPr>
      </w:pPr>
      <w:r>
        <w:rPr>
          <w:rFonts w:ascii="Arial" w:hAnsi="Arial" w:eastAsia="宋体" w:cs="Arial"/>
        </w:rPr>
        <w:t>可随时向食品药品监督管理局人力资源和管理服务办公室管理制度和政策部门待审问题管理科提交评论和建议，供部门审议。通讯地址：</w:t>
      </w:r>
      <w:r>
        <w:rPr>
          <w:rFonts w:ascii="Arial" w:hAnsi="Arial" w:eastAsia="宋体" w:cs="Arial"/>
          <w:color w:val="000000"/>
          <w:kern w:val="0"/>
          <w:sz w:val="18"/>
          <w:szCs w:val="18"/>
        </w:rPr>
        <w:t>5630 Fishers Lane</w:t>
      </w:r>
      <w:r>
        <w:rPr>
          <w:rFonts w:ascii="Arial" w:hAnsi="Arial" w:eastAsia="宋体" w:cs="Arial"/>
        </w:rPr>
        <w:t>，</w:t>
      </w:r>
      <w:r>
        <w:rPr>
          <w:rFonts w:ascii="Arial" w:hAnsi="Arial" w:eastAsia="宋体" w:cs="Arial"/>
          <w:color w:val="000000"/>
          <w:kern w:val="0"/>
          <w:sz w:val="18"/>
          <w:szCs w:val="18"/>
        </w:rPr>
        <w:t>Room 1061</w:t>
      </w:r>
      <w:r>
        <w:rPr>
          <w:rFonts w:ascii="Arial" w:hAnsi="Arial" w:eastAsia="宋体" w:cs="Arial"/>
        </w:rPr>
        <w:t>，</w:t>
      </w:r>
      <w:r>
        <w:rPr>
          <w:rFonts w:ascii="Arial" w:hAnsi="Arial" w:eastAsia="宋体" w:cs="Arial"/>
          <w:color w:val="000000"/>
          <w:kern w:val="0"/>
          <w:sz w:val="18"/>
          <w:szCs w:val="18"/>
        </w:rPr>
        <w:t>(HFA-305)</w:t>
      </w:r>
      <w:r>
        <w:rPr>
          <w:rFonts w:ascii="Arial" w:hAnsi="Arial" w:eastAsia="宋体" w:cs="Arial"/>
        </w:rPr>
        <w:t>，</w:t>
      </w:r>
      <w:r>
        <w:rPr>
          <w:rFonts w:ascii="Arial" w:hAnsi="Arial" w:eastAsia="宋体" w:cs="Arial"/>
          <w:color w:val="000000"/>
          <w:kern w:val="0"/>
          <w:sz w:val="18"/>
          <w:szCs w:val="18"/>
        </w:rPr>
        <w:t>Rockville</w:t>
      </w:r>
      <w:r>
        <w:rPr>
          <w:rFonts w:ascii="Arial" w:hAnsi="Arial" w:eastAsia="宋体" w:cs="Arial"/>
        </w:rPr>
        <w:t>，邮政编码：20852。提交评论时，请注明本指导性文件的准确标题。可能直到文件下次修订或更新时，评论才会被机构受理。</w:t>
      </w:r>
    </w:p>
    <w:p w14:paraId="4B84FAD2">
      <w:pPr>
        <w:snapToGrid w:val="0"/>
        <w:spacing w:line="300" w:lineRule="auto"/>
        <w:rPr>
          <w:rFonts w:ascii="Arial" w:hAnsi="Arial" w:eastAsia="宋体" w:cs="Arial"/>
          <w:szCs w:val="21"/>
        </w:rPr>
      </w:pPr>
      <w:r>
        <w:rPr>
          <w:rFonts w:ascii="Arial" w:hAnsi="Arial" w:eastAsia="宋体" w:cs="Arial"/>
          <w:szCs w:val="21"/>
        </w:rPr>
        <w:t>有关本指导性文件的使用或解释问题，请与Ruth Chesler联系。联系电话：301-796-6140，电子信箱：</w:t>
      </w:r>
      <w:r>
        <w:fldChar w:fldCharType="begin"/>
      </w:r>
      <w:r>
        <w:instrText xml:space="preserve"> HYPERLINK "mailto:ruth.chesler@fda.hhs.gov" </w:instrText>
      </w:r>
      <w:r>
        <w:fldChar w:fldCharType="separate"/>
      </w:r>
      <w:r>
        <w:rPr>
          <w:rFonts w:ascii="Arial" w:hAnsi="Arial" w:eastAsia="宋体" w:cs="Arial"/>
          <w:color w:val="800080"/>
          <w:kern w:val="0"/>
          <w:szCs w:val="21"/>
          <w:u w:val="single"/>
        </w:rPr>
        <w:t>ruth.chesler@fda.hhs.gov</w:t>
      </w:r>
      <w:r>
        <w:rPr>
          <w:rFonts w:ascii="Arial" w:hAnsi="Arial" w:eastAsia="宋体" w:cs="Arial"/>
          <w:color w:val="800080"/>
          <w:kern w:val="0"/>
          <w:szCs w:val="21"/>
          <w:u w:val="single"/>
        </w:rPr>
        <w:fldChar w:fldCharType="end"/>
      </w:r>
      <w:r>
        <w:rPr>
          <w:rFonts w:ascii="Arial" w:hAnsi="Arial" w:eastAsia="宋体" w:cs="Arial"/>
          <w:szCs w:val="21"/>
        </w:rPr>
        <w:t>。</w:t>
      </w:r>
    </w:p>
    <w:p w14:paraId="16B400E2">
      <w:pPr>
        <w:snapToGrid w:val="0"/>
        <w:spacing w:line="300" w:lineRule="auto"/>
        <w:rPr>
          <w:rFonts w:ascii="Arial" w:hAnsi="Arial" w:eastAsia="宋体" w:cs="Arial"/>
        </w:rPr>
      </w:pPr>
    </w:p>
    <w:p w14:paraId="67336875">
      <w:pPr>
        <w:snapToGrid w:val="0"/>
        <w:spacing w:line="300" w:lineRule="auto"/>
        <w:rPr>
          <w:rFonts w:ascii="Arial" w:hAnsi="Arial" w:eastAsia="宋体" w:cs="Arial"/>
          <w:b/>
          <w:sz w:val="28"/>
          <w:szCs w:val="28"/>
        </w:rPr>
      </w:pPr>
      <w:r>
        <w:rPr>
          <w:rFonts w:ascii="Arial" w:hAnsi="Arial" w:eastAsia="宋体" w:cs="Arial"/>
          <w:b/>
          <w:sz w:val="28"/>
          <w:szCs w:val="28"/>
        </w:rPr>
        <w:t>其他副本</w:t>
      </w:r>
    </w:p>
    <w:p w14:paraId="55AA1A40">
      <w:pPr>
        <w:snapToGrid w:val="0"/>
        <w:spacing w:line="300" w:lineRule="auto"/>
        <w:rPr>
          <w:rFonts w:ascii="Arial" w:hAnsi="Arial" w:eastAsia="宋体" w:cs="Arial"/>
        </w:rPr>
      </w:pPr>
    </w:p>
    <w:p w14:paraId="0CAC951B">
      <w:pPr>
        <w:snapToGrid w:val="0"/>
        <w:spacing w:line="300" w:lineRule="auto"/>
        <w:rPr>
          <w:rFonts w:ascii="Arial" w:hAnsi="Arial" w:eastAsia="宋体" w:cs="Arial"/>
        </w:rPr>
      </w:pPr>
      <w:r>
        <w:rPr>
          <w:rFonts w:ascii="Arial" w:hAnsi="Arial" w:eastAsia="宋体" w:cs="Arial"/>
        </w:rPr>
        <w:t>额外副本可在网上下载。贵公司还可发送电邮申请至</w:t>
      </w:r>
      <w:r>
        <w:rPr>
          <w:rFonts w:ascii="Arial" w:hAnsi="Arial" w:eastAsia="宋体" w:cs="Arial"/>
          <w:color w:val="800080"/>
          <w:kern w:val="0"/>
          <w:sz w:val="18"/>
          <w:u w:val="single"/>
        </w:rPr>
        <w:t>to</w:t>
      </w:r>
      <w:r>
        <w:fldChar w:fldCharType="begin"/>
      </w:r>
      <w:r>
        <w:instrText xml:space="preserve"> HYPERLINK "mailto:dsmica@fda.hhs.gov" </w:instrText>
      </w:r>
      <w:r>
        <w:fldChar w:fldCharType="separate"/>
      </w:r>
      <w:r>
        <w:rPr>
          <w:rFonts w:ascii="Arial" w:hAnsi="Arial" w:eastAsia="宋体" w:cs="Arial"/>
          <w:color w:val="800080"/>
          <w:kern w:val="0"/>
          <w:sz w:val="18"/>
          <w:u w:val="single"/>
        </w:rPr>
        <w:t>dsmica@fda.hhs.gov</w:t>
      </w:r>
      <w:r>
        <w:rPr>
          <w:rFonts w:ascii="Arial" w:hAnsi="Arial" w:eastAsia="宋体" w:cs="Arial"/>
          <w:color w:val="800080"/>
          <w:kern w:val="0"/>
          <w:sz w:val="18"/>
          <w:u w:val="single"/>
        </w:rPr>
        <w:fldChar w:fldCharType="end"/>
      </w:r>
      <w:r>
        <w:rPr>
          <w:rFonts w:ascii="Arial" w:hAnsi="Arial" w:eastAsia="宋体" w:cs="Arial"/>
        </w:rPr>
        <w:t>获取本指南的电子副本或发送传真申请至301-827-8149获取复印件。请用文件编号（1072）确认贵公司申请的指南。</w:t>
      </w:r>
    </w:p>
    <w:p w14:paraId="7CE63481">
      <w:pPr>
        <w:snapToGrid w:val="0"/>
        <w:spacing w:line="300" w:lineRule="auto"/>
        <w:rPr>
          <w:rFonts w:ascii="Arial" w:hAnsi="Arial" w:eastAsia="宋体" w:cs="Arial"/>
        </w:rPr>
      </w:pPr>
    </w:p>
    <w:p w14:paraId="635830A6">
      <w:pPr>
        <w:snapToGrid w:val="0"/>
        <w:spacing w:line="300" w:lineRule="auto"/>
        <w:jc w:val="center"/>
        <w:rPr>
          <w:rFonts w:ascii="Arial" w:hAnsi="Arial" w:eastAsia="宋体" w:cs="Arial"/>
          <w:b/>
          <w:sz w:val="30"/>
          <w:szCs w:val="30"/>
        </w:rPr>
      </w:pPr>
      <w:bookmarkStart w:id="2" w:name="OLE_LINK27"/>
      <w:bookmarkStart w:id="3" w:name="OLE_LINK26"/>
      <w:bookmarkStart w:id="4" w:name="OLE_LINK25"/>
      <w:bookmarkStart w:id="5" w:name="OLE_LINK20"/>
      <w:bookmarkStart w:id="6" w:name="OLE_LINK21"/>
      <w:r>
        <w:rPr>
          <w:rFonts w:ascii="Arial" w:hAnsi="Arial" w:eastAsia="宋体" w:cs="Arial"/>
          <w:b/>
          <w:sz w:val="30"/>
          <w:szCs w:val="30"/>
        </w:rPr>
        <w:t>B型钠尿肽</w:t>
      </w:r>
      <w:bookmarkEnd w:id="2"/>
      <w:bookmarkEnd w:id="3"/>
      <w:bookmarkEnd w:id="4"/>
      <w:r>
        <w:rPr>
          <w:rFonts w:ascii="Arial" w:hAnsi="Arial" w:eastAsia="宋体" w:cs="Arial"/>
          <w:b/>
          <w:sz w:val="30"/>
          <w:szCs w:val="30"/>
        </w:rPr>
        <w:t>上市前通告用II类特殊控制指导性文件；行业和食品药品监督管理局审查员用最终指南</w:t>
      </w:r>
    </w:p>
    <w:bookmarkEnd w:id="5"/>
    <w:bookmarkEnd w:id="6"/>
    <w:p w14:paraId="5DDADB8B">
      <w:pPr>
        <w:snapToGrid w:val="0"/>
        <w:spacing w:line="300" w:lineRule="auto"/>
        <w:rPr>
          <w:rFonts w:ascii="Arial" w:hAnsi="Arial" w:eastAsia="宋体" w:cs="Arial"/>
        </w:rPr>
      </w:pPr>
    </w:p>
    <w:p w14:paraId="5ADA9CC4">
      <w:pPr>
        <w:snapToGrid w:val="0"/>
        <w:spacing w:line="300" w:lineRule="auto"/>
        <w:rPr>
          <w:rFonts w:ascii="Arial" w:hAnsi="Arial" w:eastAsia="宋体" w:cs="Arial"/>
          <w:b/>
          <w:sz w:val="28"/>
          <w:szCs w:val="28"/>
        </w:rPr>
      </w:pPr>
      <w:r>
        <w:rPr>
          <w:rFonts w:ascii="Arial" w:hAnsi="Arial" w:eastAsia="宋体" w:cs="Arial"/>
          <w:b/>
          <w:sz w:val="28"/>
          <w:szCs w:val="28"/>
        </w:rPr>
        <w:t>背景</w:t>
      </w:r>
    </w:p>
    <w:p w14:paraId="5517CD8D">
      <w:pPr>
        <w:snapToGrid w:val="0"/>
        <w:spacing w:line="300" w:lineRule="auto"/>
        <w:rPr>
          <w:rFonts w:ascii="Arial" w:hAnsi="Arial" w:eastAsia="宋体" w:cs="Arial"/>
        </w:rPr>
      </w:pPr>
    </w:p>
    <w:p w14:paraId="329F4036">
      <w:pPr>
        <w:snapToGrid w:val="0"/>
        <w:spacing w:line="300" w:lineRule="auto"/>
        <w:rPr>
          <w:rFonts w:ascii="Arial" w:hAnsi="Arial" w:eastAsia="宋体" w:cs="Arial"/>
        </w:rPr>
      </w:pPr>
      <w:r>
        <w:rPr>
          <w:rFonts w:ascii="Arial" w:hAnsi="Arial" w:eastAsia="宋体" w:cs="Arial"/>
        </w:rPr>
        <w:t>2000年11月20日，食品药品监督管理局将B型钠尿肽体外诊断器械的认定类别从III类更改为II类。</w:t>
      </w:r>
    </w:p>
    <w:p w14:paraId="016DBDE7">
      <w:pPr>
        <w:snapToGrid w:val="0"/>
        <w:spacing w:line="300" w:lineRule="auto"/>
        <w:rPr>
          <w:rFonts w:ascii="Arial" w:hAnsi="Arial" w:eastAsia="宋体" w:cs="Arial"/>
        </w:rPr>
      </w:pPr>
    </w:p>
    <w:p w14:paraId="69BA31EF">
      <w:pPr>
        <w:widowControl/>
        <w:jc w:val="left"/>
        <w:rPr>
          <w:rFonts w:ascii="Arial" w:hAnsi="Arial" w:eastAsia="宋体" w:cs="Arial"/>
        </w:rPr>
      </w:pPr>
      <w:r>
        <w:rPr>
          <w:rFonts w:ascii="Arial" w:hAnsi="Arial" w:eastAsia="宋体" w:cs="Arial"/>
        </w:rPr>
        <w:br w:type="page"/>
      </w:r>
    </w:p>
    <w:p w14:paraId="2339CACA">
      <w:pPr>
        <w:snapToGrid w:val="0"/>
        <w:spacing w:line="300" w:lineRule="auto"/>
        <w:rPr>
          <w:rFonts w:ascii="Arial" w:hAnsi="Arial" w:eastAsia="宋体" w:cs="Arial"/>
          <w:spacing w:val="-2"/>
        </w:rPr>
      </w:pPr>
      <w:r>
        <w:rPr>
          <w:rFonts w:ascii="Arial" w:hAnsi="Arial" w:eastAsia="宋体" w:cs="Arial"/>
          <w:spacing w:val="-2"/>
        </w:rPr>
        <w:t>本指导性文件描述了</w:t>
      </w:r>
      <w:bookmarkStart w:id="7" w:name="OLE_LINK30"/>
      <w:bookmarkStart w:id="8" w:name="OLE_LINK31"/>
      <w:bookmarkStart w:id="9" w:name="OLE_LINK40"/>
      <w:r>
        <w:rPr>
          <w:rFonts w:ascii="Arial" w:hAnsi="Arial" w:eastAsia="宋体" w:cs="Arial"/>
          <w:spacing w:val="-2"/>
        </w:rPr>
        <w:t>B型钠尿肽</w:t>
      </w:r>
      <w:bookmarkEnd w:id="7"/>
      <w:bookmarkEnd w:id="8"/>
      <w:bookmarkEnd w:id="9"/>
      <w:r>
        <w:rPr>
          <w:rFonts w:ascii="Arial" w:hAnsi="Arial" w:eastAsia="宋体" w:cs="Arial"/>
          <w:spacing w:val="-2"/>
        </w:rPr>
        <w:t>体外诊断器械遵从II类特殊控制要求的一种方法。本指导性文件是特殊控制要求，其名称意味着B型钠尿肽体外诊断器械制造商提交上市前通告文件（简称510（k））并收到其器械“实质等同”的裁决后可销售其器械。器械制造商在其器械进入美国商业流通前应遵从本文件所列的推荐规范。公司必须说明其器械解决了本指南中确认的安全性和有效性问题。其解决问题的方式既可是符合本指导性文件提供的推荐规范，亦可是采用能提供安全性和有效性等同保证的某些其它方法。</w:t>
      </w:r>
    </w:p>
    <w:p w14:paraId="197D2580">
      <w:pPr>
        <w:snapToGrid w:val="0"/>
        <w:spacing w:line="300" w:lineRule="auto"/>
        <w:rPr>
          <w:rFonts w:ascii="Arial" w:hAnsi="Arial" w:eastAsia="宋体" w:cs="Arial"/>
        </w:rPr>
      </w:pPr>
    </w:p>
    <w:p w14:paraId="074F19A3">
      <w:pPr>
        <w:snapToGrid w:val="0"/>
        <w:spacing w:line="300" w:lineRule="auto"/>
        <w:rPr>
          <w:rFonts w:ascii="Arial" w:hAnsi="Arial" w:eastAsia="宋体" w:cs="Arial"/>
          <w:b/>
          <w:sz w:val="28"/>
          <w:szCs w:val="28"/>
        </w:rPr>
      </w:pPr>
      <w:r>
        <w:rPr>
          <w:rFonts w:ascii="Arial" w:hAnsi="Arial" w:eastAsia="宋体" w:cs="Arial"/>
          <w:b/>
          <w:sz w:val="28"/>
          <w:szCs w:val="28"/>
        </w:rPr>
        <w:t>最小负担法</w:t>
      </w:r>
    </w:p>
    <w:p w14:paraId="6DE47056">
      <w:pPr>
        <w:snapToGrid w:val="0"/>
        <w:spacing w:line="300" w:lineRule="auto"/>
        <w:rPr>
          <w:rFonts w:ascii="Arial" w:hAnsi="Arial" w:eastAsia="宋体" w:cs="Arial"/>
        </w:rPr>
      </w:pPr>
    </w:p>
    <w:p w14:paraId="7F7AC0C7">
      <w:pPr>
        <w:snapToGrid w:val="0"/>
        <w:spacing w:line="300" w:lineRule="auto"/>
        <w:rPr>
          <w:rFonts w:ascii="Arial" w:hAnsi="Arial" w:eastAsia="宋体" w:cs="Arial"/>
        </w:rPr>
      </w:pPr>
      <w:r>
        <w:rPr>
          <w:rFonts w:ascii="Arial" w:hAnsi="Arial" w:eastAsia="宋体" w:cs="Arial"/>
        </w:rPr>
        <w:t>本指南中确认的问题是我们认为贵公司的器械获批/得到上市许可前需解决的问题。在编制指南的过程中，我们仔细斟酌了机构决策采用的相关法定标准。另外，我们还斟酌了贵公司们在尝试遵从指南并解决我们所确认问题的过程中可能产生的负担。我们认为，我们已考虑采用最小负担法解决本指导性文件出现的问题。然而，如果贵公司认为要求提供的信息与贵公司们待批申请的法规决定无关或有负担更小的方法可用于解决这些问题，贵公司应遵守“</w:t>
      </w:r>
      <w:r>
        <w:rPr>
          <w:rFonts w:ascii="Arial" w:hAnsi="Arial" w:eastAsia="宋体" w:cs="Arial"/>
          <w:color w:val="800080"/>
          <w:u w:val="single"/>
        </w:rPr>
        <w:t>解决最小负担问题的建议方法</w:t>
      </w:r>
      <w:r>
        <w:rPr>
          <w:rFonts w:ascii="Arial" w:hAnsi="Arial" w:eastAsia="宋体" w:cs="Arial"/>
        </w:rPr>
        <w:t>”文件中描述的规程。</w:t>
      </w:r>
    </w:p>
    <w:p w14:paraId="190284CF">
      <w:pPr>
        <w:snapToGrid w:val="0"/>
        <w:spacing w:line="300" w:lineRule="auto"/>
        <w:rPr>
          <w:rFonts w:ascii="Arial" w:hAnsi="Arial" w:eastAsia="宋体" w:cs="Arial"/>
        </w:rPr>
      </w:pPr>
    </w:p>
    <w:p w14:paraId="6D63B785">
      <w:pPr>
        <w:snapToGrid w:val="0"/>
        <w:spacing w:line="300" w:lineRule="auto"/>
        <w:rPr>
          <w:rFonts w:ascii="Arial" w:hAnsi="Arial" w:eastAsia="宋体" w:cs="Arial"/>
          <w:b/>
          <w:sz w:val="28"/>
          <w:szCs w:val="28"/>
        </w:rPr>
      </w:pPr>
      <w:r>
        <w:rPr>
          <w:rFonts w:ascii="Arial" w:hAnsi="Arial" w:eastAsia="宋体" w:cs="Arial"/>
          <w:b/>
          <w:sz w:val="28"/>
          <w:szCs w:val="28"/>
        </w:rPr>
        <w:t>范围</w:t>
      </w:r>
    </w:p>
    <w:p w14:paraId="09D9F638">
      <w:pPr>
        <w:snapToGrid w:val="0"/>
        <w:spacing w:line="300" w:lineRule="auto"/>
        <w:rPr>
          <w:rFonts w:ascii="Arial" w:hAnsi="Arial" w:eastAsia="宋体" w:cs="Arial"/>
        </w:rPr>
      </w:pPr>
    </w:p>
    <w:p w14:paraId="1E8B8474">
      <w:pPr>
        <w:snapToGrid w:val="0"/>
        <w:spacing w:line="300" w:lineRule="auto"/>
        <w:rPr>
          <w:rFonts w:ascii="Arial" w:hAnsi="Arial" w:eastAsia="宋体" w:cs="Arial"/>
        </w:rPr>
      </w:pPr>
      <w:r>
        <w:rPr>
          <w:rFonts w:ascii="Arial" w:hAnsi="Arial" w:eastAsia="宋体" w:cs="Arial"/>
        </w:rPr>
        <w:t>食品药品监督管理局将该属性类型的器械确认为21 CFR §862.1117条款所包含的临床化学器械，其产品代码为NBC。该属性类型的器械（即B型钠尿肽体外诊断器械）可用作对充血性心衰患者做出诊断的辅助器械。</w:t>
      </w:r>
    </w:p>
    <w:p w14:paraId="3E320ED7">
      <w:pPr>
        <w:snapToGrid w:val="0"/>
        <w:spacing w:line="300" w:lineRule="auto"/>
        <w:rPr>
          <w:rFonts w:ascii="Arial" w:hAnsi="Arial" w:eastAsia="宋体" w:cs="Arial"/>
        </w:rPr>
      </w:pPr>
    </w:p>
    <w:p w14:paraId="5C78D594">
      <w:pPr>
        <w:snapToGrid w:val="0"/>
        <w:spacing w:line="300" w:lineRule="auto"/>
        <w:rPr>
          <w:rFonts w:ascii="Arial" w:hAnsi="Arial" w:eastAsia="宋体" w:cs="Arial"/>
          <w:b/>
          <w:sz w:val="28"/>
          <w:szCs w:val="28"/>
        </w:rPr>
      </w:pPr>
      <w:r>
        <w:rPr>
          <w:rFonts w:ascii="Arial" w:hAnsi="Arial" w:eastAsia="宋体" w:cs="Arial"/>
          <w:b/>
          <w:sz w:val="28"/>
          <w:szCs w:val="28"/>
        </w:rPr>
        <w:t>健康风险</w:t>
      </w:r>
    </w:p>
    <w:p w14:paraId="619BB51F">
      <w:pPr>
        <w:snapToGrid w:val="0"/>
        <w:spacing w:line="300" w:lineRule="auto"/>
        <w:rPr>
          <w:rFonts w:ascii="Arial" w:hAnsi="Arial" w:eastAsia="宋体" w:cs="Arial"/>
        </w:rPr>
      </w:pPr>
    </w:p>
    <w:p w14:paraId="49689338">
      <w:pPr>
        <w:snapToGrid w:val="0"/>
        <w:spacing w:line="300" w:lineRule="auto"/>
        <w:rPr>
          <w:rFonts w:ascii="Arial" w:hAnsi="Arial" w:eastAsia="宋体" w:cs="Arial"/>
        </w:rPr>
      </w:pPr>
      <w:r>
        <w:rPr>
          <w:rFonts w:ascii="Arial" w:hAnsi="Arial" w:eastAsia="宋体" w:cs="Arial"/>
        </w:rPr>
        <w:t>食品药品监督管理局已确认两个与该类型器械有关的健康风险，即钠尿肽假性降低和钠尿肽假性升高。钠尿肽假性降低有可能延迟充血性心衰的诊断和治疗，但该风险通常主要见于无症状患者。这些患者因疾病进展最终会出现症状，此时应开展进一步的检测和治疗。钠尿肽假性升高可导致对未患充血性心衰的患者进行不必要的额外检测，如无创性超声心动图检查。对已知与钠尿肽水平升高有关的身体状况加以排除可降低这种可能性。在预期用途的目标人群中开展有统计学有效和年龄匹配对照的临床研究进行上市前评价可将该风险降至最低。在标签上注明对这些研究所得数据进行分析获得的灵敏度、特异度、受试者工作特征曲线下面积与可信区间，也有助于将该风险降至最低。</w:t>
      </w:r>
    </w:p>
    <w:p w14:paraId="4E081D99">
      <w:pPr>
        <w:snapToGrid w:val="0"/>
        <w:spacing w:line="300" w:lineRule="auto"/>
        <w:rPr>
          <w:rFonts w:ascii="Arial" w:hAnsi="Arial" w:eastAsia="宋体" w:cs="Arial"/>
        </w:rPr>
      </w:pPr>
    </w:p>
    <w:p w14:paraId="023BA762">
      <w:pPr>
        <w:widowControl/>
        <w:jc w:val="left"/>
        <w:rPr>
          <w:rFonts w:ascii="Arial" w:hAnsi="Arial" w:eastAsia="宋体" w:cs="Arial"/>
          <w:b/>
          <w:sz w:val="28"/>
          <w:szCs w:val="28"/>
        </w:rPr>
      </w:pPr>
      <w:r>
        <w:rPr>
          <w:rFonts w:ascii="Arial" w:hAnsi="Arial" w:eastAsia="宋体" w:cs="Arial"/>
          <w:b/>
          <w:sz w:val="28"/>
          <w:szCs w:val="28"/>
        </w:rPr>
        <w:br w:type="page"/>
      </w:r>
    </w:p>
    <w:p w14:paraId="3722D92C">
      <w:pPr>
        <w:snapToGrid w:val="0"/>
        <w:spacing w:line="300" w:lineRule="auto"/>
        <w:rPr>
          <w:rFonts w:ascii="Arial" w:hAnsi="Arial" w:eastAsia="宋体" w:cs="Arial"/>
          <w:b/>
          <w:sz w:val="28"/>
          <w:szCs w:val="28"/>
        </w:rPr>
      </w:pPr>
      <w:r>
        <w:rPr>
          <w:rFonts w:ascii="Arial" w:hAnsi="Arial" w:eastAsia="宋体" w:cs="Arial"/>
          <w:b/>
          <w:sz w:val="28"/>
          <w:szCs w:val="28"/>
        </w:rPr>
        <w:t>特殊控制指南</w:t>
      </w:r>
    </w:p>
    <w:p w14:paraId="5EDDDF6B">
      <w:pPr>
        <w:snapToGrid w:val="0"/>
        <w:spacing w:line="300" w:lineRule="auto"/>
        <w:rPr>
          <w:rFonts w:ascii="Arial" w:hAnsi="Arial" w:eastAsia="宋体" w:cs="Arial"/>
        </w:rPr>
      </w:pPr>
    </w:p>
    <w:p w14:paraId="429AFF2D">
      <w:pPr>
        <w:snapToGrid w:val="0"/>
        <w:spacing w:line="300" w:lineRule="auto"/>
        <w:rPr>
          <w:rFonts w:ascii="Arial" w:hAnsi="Arial" w:eastAsia="宋体" w:cs="Arial"/>
        </w:rPr>
      </w:pPr>
      <w:r>
        <w:rPr>
          <w:rFonts w:ascii="Arial" w:hAnsi="Arial" w:eastAsia="宋体" w:cs="Arial"/>
        </w:rPr>
        <w:t>食品药品监督管理局认为，下列控制措施与联邦食品、药品和化妆品法案的一般控制措施联合使用可对该类型器械的安全性和有效性提供合理保证：标签、设计控制和临床信息。</w:t>
      </w:r>
    </w:p>
    <w:p w14:paraId="1DEAEBF8">
      <w:pPr>
        <w:snapToGrid w:val="0"/>
        <w:spacing w:line="300" w:lineRule="auto"/>
        <w:rPr>
          <w:rFonts w:ascii="Arial" w:hAnsi="Arial" w:eastAsia="宋体" w:cs="Arial"/>
        </w:rPr>
      </w:pPr>
    </w:p>
    <w:p w14:paraId="07EB268B">
      <w:pPr>
        <w:snapToGrid w:val="0"/>
        <w:spacing w:line="300" w:lineRule="auto"/>
        <w:rPr>
          <w:rFonts w:ascii="Arial" w:hAnsi="Arial" w:eastAsia="宋体" w:cs="Arial"/>
        </w:rPr>
      </w:pPr>
      <w:r>
        <w:rPr>
          <w:rFonts w:ascii="Arial" w:hAnsi="Arial" w:eastAsia="宋体" w:cs="Arial"/>
        </w:rPr>
        <w:t>1. 根据21 CFR §801.109的规定，该器械的销售、交付和使用受处方用途局限。</w:t>
      </w:r>
    </w:p>
    <w:p w14:paraId="10D1290C">
      <w:pPr>
        <w:snapToGrid w:val="0"/>
        <w:spacing w:line="300" w:lineRule="auto"/>
        <w:rPr>
          <w:rFonts w:ascii="Arial" w:hAnsi="Arial" w:eastAsia="宋体" w:cs="Arial"/>
        </w:rPr>
      </w:pPr>
      <w:r>
        <w:rPr>
          <w:rFonts w:ascii="Arial" w:hAnsi="Arial" w:eastAsia="宋体" w:cs="Arial"/>
        </w:rPr>
        <w:t>2. 按21 CFR §809.10 (b)的规定进行贴标。另外，标签应包括：</w:t>
      </w:r>
    </w:p>
    <w:p w14:paraId="0AB8FE90">
      <w:pPr>
        <w:snapToGrid w:val="0"/>
        <w:spacing w:line="300" w:lineRule="auto"/>
        <w:rPr>
          <w:rFonts w:ascii="Arial" w:hAnsi="Arial" w:eastAsia="宋体" w:cs="Arial"/>
        </w:rPr>
      </w:pPr>
    </w:p>
    <w:p w14:paraId="4AE2F968">
      <w:pPr>
        <w:pStyle w:val="9"/>
        <w:numPr>
          <w:ilvl w:val="0"/>
          <w:numId w:val="1"/>
        </w:numPr>
        <w:snapToGrid w:val="0"/>
        <w:spacing w:line="300" w:lineRule="auto"/>
        <w:ind w:left="560" w:hanging="294" w:firstLineChars="0"/>
        <w:rPr>
          <w:rFonts w:ascii="Arial" w:hAnsi="Arial" w:eastAsia="宋体" w:cs="Arial"/>
        </w:rPr>
      </w:pPr>
      <w:r>
        <w:rPr>
          <w:rFonts w:ascii="Arial" w:hAnsi="Arial" w:eastAsia="宋体" w:cs="Arial"/>
        </w:rPr>
        <w:t>适当的文献标引</w:t>
      </w:r>
    </w:p>
    <w:p w14:paraId="31F77260">
      <w:pPr>
        <w:pStyle w:val="9"/>
        <w:numPr>
          <w:ilvl w:val="0"/>
          <w:numId w:val="1"/>
        </w:numPr>
        <w:snapToGrid w:val="0"/>
        <w:spacing w:line="300" w:lineRule="auto"/>
        <w:ind w:left="560" w:hanging="294" w:firstLineChars="0"/>
        <w:rPr>
          <w:rFonts w:ascii="Arial" w:hAnsi="Arial" w:eastAsia="宋体" w:cs="Arial"/>
        </w:rPr>
      </w:pPr>
      <w:r>
        <w:rPr>
          <w:rFonts w:ascii="Arial" w:hAnsi="Arial" w:eastAsia="宋体" w:cs="Arial"/>
        </w:rPr>
        <w:t>预期用途描述，包括检测方法和样品类型</w:t>
      </w:r>
    </w:p>
    <w:p w14:paraId="2791ED6C">
      <w:pPr>
        <w:pStyle w:val="9"/>
        <w:numPr>
          <w:ilvl w:val="0"/>
          <w:numId w:val="1"/>
        </w:numPr>
        <w:snapToGrid w:val="0"/>
        <w:spacing w:line="300" w:lineRule="auto"/>
        <w:ind w:left="560" w:hanging="294" w:firstLineChars="0"/>
        <w:rPr>
          <w:rFonts w:ascii="Arial" w:hAnsi="Arial" w:eastAsia="宋体" w:cs="Arial"/>
        </w:rPr>
      </w:pPr>
      <w:r>
        <w:rPr>
          <w:rFonts w:ascii="Arial" w:hAnsi="Arial" w:eastAsia="宋体" w:cs="Arial"/>
        </w:rPr>
        <w:t>在结果解释和参考值范围方面对纽约心脏学会（New York Heart Association，NYHA）分类给出适当描述</w:t>
      </w:r>
    </w:p>
    <w:p w14:paraId="7ABC9659">
      <w:pPr>
        <w:pStyle w:val="9"/>
        <w:numPr>
          <w:ilvl w:val="0"/>
          <w:numId w:val="1"/>
        </w:numPr>
        <w:snapToGrid w:val="0"/>
        <w:spacing w:line="300" w:lineRule="auto"/>
        <w:ind w:left="560" w:hanging="294" w:firstLineChars="0"/>
        <w:rPr>
          <w:rFonts w:ascii="Arial" w:hAnsi="Arial" w:eastAsia="宋体" w:cs="Arial"/>
        </w:rPr>
      </w:pPr>
      <w:r>
        <w:rPr>
          <w:rFonts w:ascii="Arial" w:hAnsi="Arial" w:eastAsia="宋体" w:cs="Arial"/>
        </w:rPr>
        <w:t>临床研究结果概要</w:t>
      </w:r>
    </w:p>
    <w:p w14:paraId="48BB74B1">
      <w:pPr>
        <w:pStyle w:val="9"/>
        <w:numPr>
          <w:ilvl w:val="0"/>
          <w:numId w:val="1"/>
        </w:numPr>
        <w:snapToGrid w:val="0"/>
        <w:spacing w:line="300" w:lineRule="auto"/>
        <w:ind w:left="560" w:hanging="294" w:firstLineChars="0"/>
        <w:rPr>
          <w:rFonts w:ascii="Arial" w:hAnsi="Arial" w:eastAsia="宋体" w:cs="Arial"/>
        </w:rPr>
      </w:pPr>
      <w:r>
        <w:rPr>
          <w:rFonts w:ascii="Arial" w:hAnsi="Arial" w:eastAsia="宋体" w:cs="Arial"/>
        </w:rPr>
        <w:t>描述性统计信息：灵敏度、特异性、ROC曲线下面积和可信区间</w:t>
      </w:r>
    </w:p>
    <w:p w14:paraId="48C47E0C">
      <w:pPr>
        <w:pStyle w:val="9"/>
        <w:numPr>
          <w:ilvl w:val="0"/>
          <w:numId w:val="1"/>
        </w:numPr>
        <w:snapToGrid w:val="0"/>
        <w:spacing w:line="300" w:lineRule="auto"/>
        <w:ind w:left="560" w:hanging="294" w:firstLineChars="0"/>
        <w:rPr>
          <w:rFonts w:ascii="Arial" w:hAnsi="Arial" w:eastAsia="宋体" w:cs="Arial"/>
        </w:rPr>
      </w:pPr>
      <w:r>
        <w:rPr>
          <w:rFonts w:ascii="Arial" w:hAnsi="Arial" w:eastAsia="宋体" w:cs="Arial"/>
        </w:rPr>
        <w:t>各亚组（包括健康人群组、患有其它疾病的非充血性心衰人群组和充血性心衰人群组）的描述性统计信息</w:t>
      </w:r>
    </w:p>
    <w:p w14:paraId="63043D55">
      <w:pPr>
        <w:snapToGrid w:val="0"/>
        <w:spacing w:line="300" w:lineRule="auto"/>
        <w:rPr>
          <w:rFonts w:ascii="Arial" w:hAnsi="Arial" w:eastAsia="宋体" w:cs="Arial"/>
        </w:rPr>
      </w:pPr>
      <w:r>
        <w:rPr>
          <w:rFonts w:ascii="Arial" w:hAnsi="Arial" w:eastAsia="宋体" w:cs="Arial"/>
        </w:rPr>
        <w:t>3. 提交资料中的临床研究信息应包括：</w:t>
      </w:r>
    </w:p>
    <w:p w14:paraId="0AEDDA3F">
      <w:pPr>
        <w:pStyle w:val="9"/>
        <w:numPr>
          <w:ilvl w:val="0"/>
          <w:numId w:val="1"/>
        </w:numPr>
        <w:snapToGrid w:val="0"/>
        <w:spacing w:line="300" w:lineRule="auto"/>
        <w:ind w:left="560" w:hanging="294" w:firstLineChars="0"/>
        <w:rPr>
          <w:rFonts w:ascii="Arial" w:hAnsi="Arial" w:eastAsia="宋体" w:cs="Arial"/>
        </w:rPr>
      </w:pPr>
      <w:r>
        <w:rPr>
          <w:rFonts w:ascii="Arial" w:hAnsi="Arial" w:eastAsia="宋体" w:cs="Arial"/>
        </w:rPr>
        <w:t>统计学上有效且年龄匹配的对照</w:t>
      </w:r>
    </w:p>
    <w:p w14:paraId="461FED2D">
      <w:pPr>
        <w:pStyle w:val="9"/>
        <w:numPr>
          <w:ilvl w:val="0"/>
          <w:numId w:val="1"/>
        </w:numPr>
        <w:snapToGrid w:val="0"/>
        <w:spacing w:line="300" w:lineRule="auto"/>
        <w:ind w:left="560" w:hanging="294" w:firstLineChars="0"/>
        <w:rPr>
          <w:rFonts w:ascii="Arial" w:hAnsi="Arial" w:eastAsia="宋体" w:cs="Arial"/>
        </w:rPr>
      </w:pPr>
      <w:r>
        <w:rPr>
          <w:rFonts w:ascii="Arial" w:hAnsi="Arial" w:eastAsia="宋体" w:cs="Arial"/>
        </w:rPr>
        <w:t>纽约心脏学会分类</w:t>
      </w:r>
    </w:p>
    <w:p w14:paraId="330CA8F8">
      <w:pPr>
        <w:pStyle w:val="9"/>
        <w:numPr>
          <w:ilvl w:val="0"/>
          <w:numId w:val="1"/>
        </w:numPr>
        <w:snapToGrid w:val="0"/>
        <w:spacing w:line="300" w:lineRule="auto"/>
        <w:ind w:left="560" w:hanging="294" w:firstLineChars="0"/>
        <w:rPr>
          <w:rFonts w:ascii="Arial" w:hAnsi="Arial" w:eastAsia="宋体" w:cs="Arial"/>
        </w:rPr>
      </w:pPr>
      <w:r>
        <w:rPr>
          <w:rFonts w:ascii="Arial" w:hAnsi="Arial" w:eastAsia="宋体" w:cs="Arial"/>
        </w:rPr>
        <w:t>每个种族和性别亚组统计学上有效的样本量</w:t>
      </w:r>
    </w:p>
    <w:p w14:paraId="5CD4F769">
      <w:pPr>
        <w:snapToGrid w:val="0"/>
        <w:spacing w:line="300" w:lineRule="auto"/>
        <w:rPr>
          <w:rFonts w:ascii="Arial" w:hAnsi="Arial" w:eastAsia="宋体" w:cs="Arial"/>
        </w:rPr>
      </w:pPr>
      <w:r>
        <w:rPr>
          <w:rFonts w:ascii="Arial" w:hAnsi="Arial" w:eastAsia="宋体" w:cs="Arial"/>
        </w:rPr>
        <w:t>4.分析/实验室性能研究应包括：</w:t>
      </w:r>
    </w:p>
    <w:p w14:paraId="3EFEB51D">
      <w:pPr>
        <w:pStyle w:val="9"/>
        <w:numPr>
          <w:ilvl w:val="0"/>
          <w:numId w:val="1"/>
        </w:numPr>
        <w:snapToGrid w:val="0"/>
        <w:spacing w:line="300" w:lineRule="auto"/>
        <w:ind w:left="560" w:hanging="294" w:firstLineChars="0"/>
        <w:rPr>
          <w:rFonts w:ascii="Arial" w:hAnsi="Arial" w:eastAsia="宋体" w:cs="Arial"/>
        </w:rPr>
      </w:pPr>
      <w:r>
        <w:rPr>
          <w:rFonts w:ascii="Arial" w:hAnsi="Arial" w:eastAsia="宋体" w:cs="Arial"/>
        </w:rPr>
        <w:t>预期值</w:t>
      </w:r>
    </w:p>
    <w:p w14:paraId="2D570BC1">
      <w:pPr>
        <w:pStyle w:val="9"/>
        <w:numPr>
          <w:ilvl w:val="0"/>
          <w:numId w:val="1"/>
        </w:numPr>
        <w:snapToGrid w:val="0"/>
        <w:spacing w:line="300" w:lineRule="auto"/>
        <w:ind w:left="560" w:hanging="294" w:firstLineChars="0"/>
        <w:rPr>
          <w:rFonts w:ascii="Arial" w:hAnsi="Arial" w:eastAsia="宋体" w:cs="Arial"/>
        </w:rPr>
      </w:pPr>
      <w:r>
        <w:rPr>
          <w:rFonts w:ascii="Arial" w:hAnsi="Arial" w:eastAsia="宋体" w:cs="Arial"/>
        </w:rPr>
        <w:t>精密度估计</w:t>
      </w:r>
    </w:p>
    <w:p w14:paraId="1B750AF8">
      <w:pPr>
        <w:pStyle w:val="9"/>
        <w:numPr>
          <w:ilvl w:val="0"/>
          <w:numId w:val="1"/>
        </w:numPr>
        <w:snapToGrid w:val="0"/>
        <w:spacing w:line="300" w:lineRule="auto"/>
        <w:ind w:left="560" w:hanging="294" w:firstLineChars="0"/>
        <w:rPr>
          <w:rFonts w:ascii="Arial" w:hAnsi="Arial" w:eastAsia="宋体" w:cs="Arial"/>
        </w:rPr>
      </w:pPr>
      <w:r>
        <w:rPr>
          <w:rFonts w:ascii="Arial" w:hAnsi="Arial" w:eastAsia="宋体" w:cs="Arial"/>
        </w:rPr>
        <w:t>特异性、交叉反应性、干扰物质测定</w:t>
      </w:r>
    </w:p>
    <w:p w14:paraId="6A81E4D7">
      <w:pPr>
        <w:pStyle w:val="9"/>
        <w:numPr>
          <w:ilvl w:val="0"/>
          <w:numId w:val="1"/>
        </w:numPr>
        <w:snapToGrid w:val="0"/>
        <w:spacing w:line="300" w:lineRule="auto"/>
        <w:ind w:left="560" w:hanging="294" w:firstLineChars="0"/>
        <w:rPr>
          <w:rFonts w:ascii="Arial" w:hAnsi="Arial" w:eastAsia="宋体" w:cs="Arial"/>
        </w:rPr>
      </w:pPr>
      <w:r>
        <w:rPr>
          <w:rFonts w:ascii="Arial" w:hAnsi="Arial" w:eastAsia="宋体" w:cs="Arial"/>
        </w:rPr>
        <w:t>线性关系/回收率</w:t>
      </w:r>
    </w:p>
    <w:p w14:paraId="088AEE6B">
      <w:pPr>
        <w:pStyle w:val="9"/>
        <w:numPr>
          <w:ilvl w:val="0"/>
          <w:numId w:val="1"/>
        </w:numPr>
        <w:snapToGrid w:val="0"/>
        <w:spacing w:line="300" w:lineRule="auto"/>
        <w:ind w:left="560" w:hanging="294" w:firstLineChars="0"/>
        <w:rPr>
          <w:rFonts w:ascii="Arial" w:hAnsi="Arial" w:eastAsia="宋体" w:cs="Arial"/>
        </w:rPr>
      </w:pPr>
      <w:r>
        <w:rPr>
          <w:rFonts w:ascii="Arial" w:hAnsi="Arial" w:eastAsia="宋体" w:cs="Arial"/>
        </w:rPr>
        <w:t>方法和试剂描述</w:t>
      </w:r>
    </w:p>
    <w:p w14:paraId="4AF797D1">
      <w:pPr>
        <w:pStyle w:val="9"/>
        <w:numPr>
          <w:ilvl w:val="0"/>
          <w:numId w:val="1"/>
        </w:numPr>
        <w:snapToGrid w:val="0"/>
        <w:spacing w:line="300" w:lineRule="auto"/>
        <w:ind w:left="560" w:hanging="294" w:firstLineChars="0"/>
        <w:rPr>
          <w:rFonts w:ascii="Arial" w:hAnsi="Arial" w:eastAsia="宋体" w:cs="Arial"/>
        </w:rPr>
      </w:pPr>
      <w:r>
        <w:rPr>
          <w:rFonts w:ascii="Arial" w:hAnsi="Arial" w:eastAsia="宋体" w:cs="Arial"/>
        </w:rPr>
        <w:t>校准品标准化方法的描述</w:t>
      </w:r>
    </w:p>
    <w:p w14:paraId="00017647">
      <w:pPr>
        <w:pStyle w:val="9"/>
        <w:numPr>
          <w:ilvl w:val="0"/>
          <w:numId w:val="1"/>
        </w:numPr>
        <w:snapToGrid w:val="0"/>
        <w:spacing w:line="300" w:lineRule="auto"/>
        <w:ind w:left="560" w:hanging="294" w:firstLineChars="0"/>
        <w:rPr>
          <w:rFonts w:ascii="Arial" w:hAnsi="Arial" w:eastAsia="宋体" w:cs="Arial"/>
        </w:rPr>
      </w:pPr>
      <w:r>
        <w:rPr>
          <w:rFonts w:ascii="Arial" w:hAnsi="Arial" w:eastAsia="宋体" w:cs="Arial"/>
        </w:rPr>
        <w:t>试剂盒稳定性信息</w:t>
      </w:r>
    </w:p>
    <w:p w14:paraId="744CC336">
      <w:pPr>
        <w:snapToGrid w:val="0"/>
        <w:spacing w:line="300" w:lineRule="auto"/>
        <w:rPr>
          <w:rFonts w:ascii="Arial" w:hAnsi="Arial" w:eastAsia="宋体" w:cs="Arial"/>
        </w:rPr>
      </w:pPr>
    </w:p>
    <w:p w14:paraId="2B485B57">
      <w:pPr>
        <w:snapToGrid w:val="0"/>
        <w:spacing w:line="300" w:lineRule="auto"/>
        <w:rPr>
          <w:rFonts w:ascii="Arial" w:hAnsi="Arial" w:eastAsia="宋体" w:cs="Arial"/>
          <w:b/>
          <w:sz w:val="28"/>
          <w:szCs w:val="28"/>
        </w:rPr>
      </w:pPr>
      <w:r>
        <w:rPr>
          <w:rFonts w:ascii="Arial" w:hAnsi="Arial" w:eastAsia="宋体" w:cs="Arial"/>
          <w:b/>
          <w:sz w:val="28"/>
          <w:szCs w:val="28"/>
        </w:rPr>
        <w:t>上市前通告</w:t>
      </w:r>
    </w:p>
    <w:p w14:paraId="0957E088">
      <w:pPr>
        <w:snapToGrid w:val="0"/>
        <w:spacing w:line="300" w:lineRule="auto"/>
        <w:rPr>
          <w:rFonts w:ascii="Arial" w:hAnsi="Arial" w:eastAsia="宋体" w:cs="Arial"/>
        </w:rPr>
      </w:pPr>
    </w:p>
    <w:p w14:paraId="4EC7F189">
      <w:pPr>
        <w:snapToGrid w:val="0"/>
        <w:spacing w:line="300" w:lineRule="auto"/>
        <w:rPr>
          <w:rFonts w:ascii="Arial" w:hAnsi="Arial" w:eastAsia="宋体" w:cs="Arial"/>
        </w:rPr>
      </w:pPr>
      <w:r>
        <w:rPr>
          <w:rFonts w:ascii="Arial" w:hAnsi="Arial" w:eastAsia="宋体" w:cs="Arial"/>
        </w:rPr>
        <w:t>食品药品监督管理局判定，上市前通告有必要对该属性类型器械的安全性和有效性提供合理保证，因此该器械类型不豁免上市前通告要求。有意销售该类型器械的公司需向食品药品监督管理局提交上市前通告，收到机构许可后即可销售该器械。</w:t>
      </w:r>
    </w:p>
    <w:p w14:paraId="4D12CA89">
      <w:pPr>
        <w:snapToGrid w:val="0"/>
        <w:spacing w:line="300" w:lineRule="auto"/>
        <w:rPr>
          <w:rFonts w:ascii="Arial" w:hAnsi="Arial" w:eastAsia="宋体" w:cs="Arial"/>
        </w:rPr>
      </w:pPr>
    </w:p>
    <w:p w14:paraId="5333F5B3">
      <w:pPr>
        <w:snapToGrid w:val="0"/>
        <w:spacing w:line="300" w:lineRule="auto"/>
        <w:rPr>
          <w:rFonts w:ascii="Arial" w:hAnsi="Arial" w:eastAsia="宋体" w:cs="Arial"/>
        </w:rPr>
      </w:pPr>
    </w:p>
    <w:p w14:paraId="72CDA8E4">
      <w:pPr>
        <w:snapToGrid w:val="0"/>
        <w:spacing w:line="300" w:lineRule="auto"/>
        <w:rPr>
          <w:rFonts w:ascii="Arial" w:hAnsi="Arial" w:eastAsia="宋体" w:cs="Arial"/>
        </w:rPr>
      </w:pPr>
    </w:p>
    <w:p w14:paraId="1C6EF783">
      <w:pPr>
        <w:snapToGrid w:val="0"/>
        <w:spacing w:line="300" w:lineRule="auto"/>
        <w:rPr>
          <w:rFonts w:ascii="Arial" w:hAnsi="Arial" w:eastAsia="宋体" w:cs="Arial"/>
        </w:rPr>
      </w:pPr>
    </w:p>
    <w:p w14:paraId="343C96A7">
      <w:pPr>
        <w:snapToGrid w:val="0"/>
        <w:spacing w:line="300" w:lineRule="auto"/>
        <w:jc w:val="center"/>
        <w:rPr>
          <w:rFonts w:hint="eastAsia" w:eastAsia="宋体"/>
          <w:lang w:eastAsia="zh-CN"/>
        </w:rPr>
      </w:pPr>
    </w:p>
    <w:p w14:paraId="1C933BA2">
      <w:pPr>
        <w:snapToGrid w:val="0"/>
        <w:spacing w:line="300" w:lineRule="auto"/>
        <w:jc w:val="center"/>
        <w:rPr>
          <w:rFonts w:hint="eastAsia" w:eastAsia="宋体"/>
          <w:lang w:eastAsia="zh-CN"/>
        </w:rPr>
      </w:pPr>
    </w:p>
    <w:p w14:paraId="33AC8328">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5630B"/>
    <w:multiLevelType w:val="multilevel"/>
    <w:tmpl w:val="2465630B"/>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DE"/>
    <w:rsid w:val="00023C11"/>
    <w:rsid w:val="00034E1E"/>
    <w:rsid w:val="00047C7A"/>
    <w:rsid w:val="00060981"/>
    <w:rsid w:val="000B0B4D"/>
    <w:rsid w:val="000B2A96"/>
    <w:rsid w:val="000C2E8F"/>
    <w:rsid w:val="000D2979"/>
    <w:rsid w:val="000E50B1"/>
    <w:rsid w:val="000F5B52"/>
    <w:rsid w:val="0011259F"/>
    <w:rsid w:val="00116DB2"/>
    <w:rsid w:val="00151FDD"/>
    <w:rsid w:val="001724D0"/>
    <w:rsid w:val="001758D1"/>
    <w:rsid w:val="001910D7"/>
    <w:rsid w:val="001B7387"/>
    <w:rsid w:val="001C1873"/>
    <w:rsid w:val="00221A6D"/>
    <w:rsid w:val="00222619"/>
    <w:rsid w:val="00230006"/>
    <w:rsid w:val="00233AB5"/>
    <w:rsid w:val="00242449"/>
    <w:rsid w:val="00261D82"/>
    <w:rsid w:val="0029153B"/>
    <w:rsid w:val="002A183E"/>
    <w:rsid w:val="002C3DB1"/>
    <w:rsid w:val="002C7198"/>
    <w:rsid w:val="002D296A"/>
    <w:rsid w:val="002D3C40"/>
    <w:rsid w:val="002D68E4"/>
    <w:rsid w:val="002E5860"/>
    <w:rsid w:val="002F2D68"/>
    <w:rsid w:val="003608DE"/>
    <w:rsid w:val="00363447"/>
    <w:rsid w:val="00363CEB"/>
    <w:rsid w:val="003B1044"/>
    <w:rsid w:val="003E3EFD"/>
    <w:rsid w:val="003F0508"/>
    <w:rsid w:val="00403BCD"/>
    <w:rsid w:val="00405C5A"/>
    <w:rsid w:val="0042097C"/>
    <w:rsid w:val="004335E2"/>
    <w:rsid w:val="00444C95"/>
    <w:rsid w:val="00465AF7"/>
    <w:rsid w:val="004727B9"/>
    <w:rsid w:val="004959C2"/>
    <w:rsid w:val="004979DA"/>
    <w:rsid w:val="004B4AEE"/>
    <w:rsid w:val="004B61CF"/>
    <w:rsid w:val="004D3826"/>
    <w:rsid w:val="00522779"/>
    <w:rsid w:val="0053087A"/>
    <w:rsid w:val="00550312"/>
    <w:rsid w:val="005649D1"/>
    <w:rsid w:val="005779BB"/>
    <w:rsid w:val="005E5DAD"/>
    <w:rsid w:val="005E7819"/>
    <w:rsid w:val="00622EB3"/>
    <w:rsid w:val="006325C9"/>
    <w:rsid w:val="006415DF"/>
    <w:rsid w:val="00661E6A"/>
    <w:rsid w:val="006916EE"/>
    <w:rsid w:val="006D4AC4"/>
    <w:rsid w:val="007279CA"/>
    <w:rsid w:val="00752375"/>
    <w:rsid w:val="00752D65"/>
    <w:rsid w:val="00777E8A"/>
    <w:rsid w:val="007826CF"/>
    <w:rsid w:val="007907B7"/>
    <w:rsid w:val="00791B4F"/>
    <w:rsid w:val="007B168B"/>
    <w:rsid w:val="007B4A9D"/>
    <w:rsid w:val="007E43F2"/>
    <w:rsid w:val="007F0211"/>
    <w:rsid w:val="00805614"/>
    <w:rsid w:val="008072BC"/>
    <w:rsid w:val="00815D92"/>
    <w:rsid w:val="00822DE9"/>
    <w:rsid w:val="00846A20"/>
    <w:rsid w:val="00865214"/>
    <w:rsid w:val="008723B2"/>
    <w:rsid w:val="008A56E7"/>
    <w:rsid w:val="008C6233"/>
    <w:rsid w:val="008E69AD"/>
    <w:rsid w:val="0090670B"/>
    <w:rsid w:val="009254F4"/>
    <w:rsid w:val="00940112"/>
    <w:rsid w:val="009440B4"/>
    <w:rsid w:val="009744B9"/>
    <w:rsid w:val="009A43C1"/>
    <w:rsid w:val="009B2741"/>
    <w:rsid w:val="009B5EA5"/>
    <w:rsid w:val="009D6825"/>
    <w:rsid w:val="009F7F7F"/>
    <w:rsid w:val="00A27E53"/>
    <w:rsid w:val="00A5200F"/>
    <w:rsid w:val="00A52B1F"/>
    <w:rsid w:val="00A648D0"/>
    <w:rsid w:val="00A9309F"/>
    <w:rsid w:val="00A94F59"/>
    <w:rsid w:val="00AB1E3C"/>
    <w:rsid w:val="00AC4075"/>
    <w:rsid w:val="00AE146B"/>
    <w:rsid w:val="00AF61AF"/>
    <w:rsid w:val="00AF6BD1"/>
    <w:rsid w:val="00B11FF9"/>
    <w:rsid w:val="00B2330E"/>
    <w:rsid w:val="00B5115F"/>
    <w:rsid w:val="00B54796"/>
    <w:rsid w:val="00B60033"/>
    <w:rsid w:val="00B62883"/>
    <w:rsid w:val="00B675B3"/>
    <w:rsid w:val="00B703D2"/>
    <w:rsid w:val="00B80EBF"/>
    <w:rsid w:val="00B9458B"/>
    <w:rsid w:val="00B948A2"/>
    <w:rsid w:val="00BC151D"/>
    <w:rsid w:val="00BC482D"/>
    <w:rsid w:val="00BE6F54"/>
    <w:rsid w:val="00C347E4"/>
    <w:rsid w:val="00C40F9F"/>
    <w:rsid w:val="00C61444"/>
    <w:rsid w:val="00C830E6"/>
    <w:rsid w:val="00C953AB"/>
    <w:rsid w:val="00C975A0"/>
    <w:rsid w:val="00CA5164"/>
    <w:rsid w:val="00CA6E61"/>
    <w:rsid w:val="00CA7218"/>
    <w:rsid w:val="00CB3576"/>
    <w:rsid w:val="00D12049"/>
    <w:rsid w:val="00D16F7D"/>
    <w:rsid w:val="00D579A7"/>
    <w:rsid w:val="00D75BF3"/>
    <w:rsid w:val="00D80B37"/>
    <w:rsid w:val="00DB018F"/>
    <w:rsid w:val="00DC2968"/>
    <w:rsid w:val="00DC3CA1"/>
    <w:rsid w:val="00DD231F"/>
    <w:rsid w:val="00DE7EAB"/>
    <w:rsid w:val="00E0109F"/>
    <w:rsid w:val="00E10C72"/>
    <w:rsid w:val="00E11EB4"/>
    <w:rsid w:val="00E160D9"/>
    <w:rsid w:val="00E31B99"/>
    <w:rsid w:val="00E41419"/>
    <w:rsid w:val="00E45522"/>
    <w:rsid w:val="00E47176"/>
    <w:rsid w:val="00E50D06"/>
    <w:rsid w:val="00E54B77"/>
    <w:rsid w:val="00E62449"/>
    <w:rsid w:val="00E6471A"/>
    <w:rsid w:val="00E650F6"/>
    <w:rsid w:val="00E95A84"/>
    <w:rsid w:val="00EB0AE2"/>
    <w:rsid w:val="00ED75A0"/>
    <w:rsid w:val="00F46E5B"/>
    <w:rsid w:val="00F63F56"/>
    <w:rsid w:val="00F81804"/>
    <w:rsid w:val="00F91E9D"/>
    <w:rsid w:val="00FB40B1"/>
    <w:rsid w:val="00FC1F86"/>
    <w:rsid w:val="00FE1346"/>
    <w:rsid w:val="00FE6DAD"/>
    <w:rsid w:val="14835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1806</Words>
  <Characters>2016</Characters>
  <Lines>15</Lines>
  <Paragraphs>4</Paragraphs>
  <TotalTime>0</TotalTime>
  <ScaleCrop>false</ScaleCrop>
  <LinksUpToDate>false</LinksUpToDate>
  <CharactersWithSpaces>2033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2017-04-06T10:55:00Z</dcterms:created>
  <dc:creator>BH</dc:creator>
  <cp:lastModifiedBy>太极箫客</cp:lastModifiedBy>
  <dcterms:modified xsi:type="dcterms:W3CDTF">2025-08-14T06:17:47Z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42608551D581480D868D4740108E57F8_12</vt:lpwstr>
  </property>
</Properties>
</file>