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449D5">
      <w:pPr>
        <w:snapToGrid w:val="0"/>
        <w:spacing w:line="300" w:lineRule="auto"/>
        <w:jc w:val="center"/>
        <w:rPr>
          <w:rFonts w:ascii="Arial" w:hAnsi="Arial" w:eastAsia="宋体" w:cs="Arial"/>
          <w:b/>
          <w:sz w:val="28"/>
          <w:szCs w:val="28"/>
        </w:rPr>
      </w:pPr>
      <w:bookmarkStart w:id="40" w:name="_GoBack"/>
      <w:bookmarkEnd w:id="40"/>
      <w:bookmarkStart w:id="0" w:name="OLE_LINK22"/>
      <w:bookmarkStart w:id="1" w:name="OLE_LINK23"/>
      <w:bookmarkStart w:id="2" w:name="OLE_LINK48"/>
      <w:bookmarkStart w:id="3" w:name="OLE_LINK47"/>
      <w:r>
        <w:rPr>
          <w:rFonts w:ascii="Arial" w:hAnsi="Arial" w:eastAsia="宋体" w:cs="Arial"/>
          <w:b/>
          <w:sz w:val="28"/>
          <w:szCs w:val="28"/>
        </w:rPr>
        <w:t>行业和食品药品监督管理局工作人员</w:t>
      </w:r>
      <w:r>
        <w:rPr>
          <w:rFonts w:hint="eastAsia" w:ascii="Arial" w:hAnsi="Arial" w:eastAsia="宋体" w:cs="Arial"/>
          <w:b/>
          <w:sz w:val="28"/>
          <w:szCs w:val="28"/>
        </w:rPr>
        <w:t>指南</w:t>
      </w:r>
    </w:p>
    <w:p w14:paraId="34D3237D">
      <w:pPr>
        <w:snapToGrid w:val="0"/>
        <w:spacing w:line="300" w:lineRule="auto"/>
        <w:jc w:val="center"/>
        <w:rPr>
          <w:rFonts w:ascii="Arial" w:hAnsi="Arial" w:eastAsia="宋体" w:cs="Arial"/>
          <w:b/>
          <w:sz w:val="28"/>
          <w:szCs w:val="28"/>
        </w:rPr>
      </w:pPr>
      <w:r>
        <w:rPr>
          <w:rFonts w:ascii="Arial" w:hAnsi="Arial" w:eastAsia="宋体" w:cs="Arial"/>
          <w:b/>
          <w:sz w:val="28"/>
          <w:szCs w:val="28"/>
        </w:rPr>
        <w:t>－II类特殊控制指导性文件：血管和神经血管栓塞治疗器械</w:t>
      </w:r>
    </w:p>
    <w:bookmarkEnd w:id="0"/>
    <w:bookmarkEnd w:id="1"/>
    <w:p w14:paraId="436DE8B2">
      <w:pPr>
        <w:snapToGrid w:val="0"/>
        <w:spacing w:line="300" w:lineRule="auto"/>
        <w:rPr>
          <w:rFonts w:ascii="Arial" w:hAnsi="Arial" w:eastAsia="宋体" w:cs="Arial"/>
          <w:szCs w:val="21"/>
        </w:rPr>
      </w:pPr>
    </w:p>
    <w:p w14:paraId="4DEC5E5B">
      <w:pPr>
        <w:pStyle w:val="12"/>
        <w:widowControl/>
        <w:numPr>
          <w:ilvl w:val="0"/>
          <w:numId w:val="1"/>
        </w:numPr>
        <w:snapToGrid w:val="0"/>
        <w:spacing w:line="300" w:lineRule="auto"/>
        <w:ind w:firstLineChars="0"/>
        <w:jc w:val="left"/>
        <w:rPr>
          <w:rFonts w:ascii="Arial" w:hAnsi="Arial" w:eastAsia="宋体" w:cs="Arial"/>
          <w:color w:val="333333"/>
          <w:kern w:val="0"/>
          <w:szCs w:val="21"/>
          <w:lang w:val="en"/>
        </w:rPr>
      </w:pPr>
      <w:r>
        <w:fldChar w:fldCharType="begin"/>
      </w:r>
      <w:r>
        <w:instrText xml:space="preserve"> HYPERLINK "https://www.fda.gov/MedicalDevices/DeviceRegulationandGuidance/GuidanceDocuments/ucm072013.htm" \l "more-shares" </w:instrText>
      </w:r>
      <w:r>
        <w:fldChar w:fldCharType="separate"/>
      </w:r>
      <w:r>
        <w:rPr>
          <w:rFonts w:ascii="Arial" w:hAnsi="Arial" w:eastAsia="宋体" w:cs="Arial"/>
          <w:caps/>
          <w:color w:val="000000"/>
          <w:kern w:val="0"/>
          <w:szCs w:val="21"/>
          <w:lang w:val="en"/>
        </w:rPr>
        <w:t>更多分享选项</w:t>
      </w:r>
      <w:r>
        <w:rPr>
          <w:rFonts w:ascii="Arial" w:hAnsi="Arial" w:eastAsia="宋体" w:cs="Arial"/>
          <w:caps/>
          <w:color w:val="000000"/>
          <w:kern w:val="0"/>
          <w:szCs w:val="21"/>
          <w:lang w:val="en"/>
        </w:rPr>
        <w:fldChar w:fldCharType="end"/>
      </w:r>
    </w:p>
    <w:p w14:paraId="10CC39AA">
      <w:pPr>
        <w:pStyle w:val="12"/>
        <w:widowControl/>
        <w:numPr>
          <w:ilvl w:val="0"/>
          <w:numId w:val="2"/>
        </w:numPr>
        <w:snapToGrid w:val="0"/>
        <w:spacing w:line="300" w:lineRule="auto"/>
        <w:ind w:firstLineChars="0"/>
        <w:jc w:val="left"/>
        <w:rPr>
          <w:rFonts w:ascii="Arial" w:hAnsi="Arial" w:eastAsia="宋体" w:cs="Arial"/>
          <w:color w:val="333333"/>
          <w:kern w:val="0"/>
          <w:szCs w:val="21"/>
          <w:lang w:val="en"/>
        </w:rPr>
      </w:pPr>
      <w:r>
        <w:rPr>
          <w:rFonts w:hint="eastAsia"/>
        </w:rPr>
        <w:t>LINKEDIN</w:t>
      </w:r>
    </w:p>
    <w:p w14:paraId="773C44B7">
      <w:pPr>
        <w:pStyle w:val="12"/>
        <w:widowControl/>
        <w:numPr>
          <w:ilvl w:val="0"/>
          <w:numId w:val="2"/>
        </w:numPr>
        <w:snapToGrid w:val="0"/>
        <w:spacing w:line="300" w:lineRule="auto"/>
        <w:ind w:firstLineChars="0"/>
        <w:jc w:val="left"/>
        <w:rPr>
          <w:rFonts w:ascii="Arial" w:hAnsi="Arial" w:eastAsia="宋体" w:cs="Arial"/>
          <w:color w:val="333333"/>
          <w:kern w:val="0"/>
          <w:szCs w:val="21"/>
          <w:lang w:val="en"/>
        </w:rPr>
      </w:pPr>
      <w:r>
        <w:rPr>
          <w:rFonts w:hint="eastAsia"/>
        </w:rPr>
        <w:t>快捷方式</w:t>
      </w:r>
    </w:p>
    <w:p w14:paraId="3E469FAE">
      <w:pPr>
        <w:snapToGrid w:val="0"/>
        <w:spacing w:line="300" w:lineRule="auto"/>
        <w:rPr>
          <w:rFonts w:ascii="Arial" w:hAnsi="Arial" w:eastAsia="宋体" w:cs="Arial"/>
          <w:szCs w:val="21"/>
        </w:rPr>
      </w:pPr>
    </w:p>
    <w:p w14:paraId="05904895">
      <w:pPr>
        <w:snapToGrid w:val="0"/>
        <w:spacing w:line="300" w:lineRule="auto"/>
        <w:rPr>
          <w:rFonts w:ascii="Arial" w:hAnsi="Arial" w:eastAsia="宋体" w:cs="Arial"/>
          <w:b/>
          <w:szCs w:val="21"/>
        </w:rPr>
      </w:pPr>
      <w:r>
        <w:rPr>
          <w:rFonts w:ascii="Arial" w:hAnsi="Arial" w:eastAsia="宋体" w:cs="Arial"/>
          <w:b/>
          <w:szCs w:val="21"/>
        </w:rPr>
        <w:t>文件发布日期：2004年12月29日</w:t>
      </w:r>
    </w:p>
    <w:p w14:paraId="63B0CC43">
      <w:pPr>
        <w:snapToGrid w:val="0"/>
        <w:spacing w:line="300" w:lineRule="auto"/>
        <w:rPr>
          <w:rFonts w:ascii="Arial" w:hAnsi="Arial" w:eastAsia="宋体" w:cs="Arial"/>
          <w:szCs w:val="21"/>
        </w:rPr>
      </w:pPr>
      <w:r>
        <w:rPr>
          <w:rFonts w:ascii="Arial" w:hAnsi="Arial" w:eastAsia="宋体" w:cs="Arial"/>
          <w:szCs w:val="21"/>
        </w:rPr>
        <w:t>对本文件若有疑问，请联系：</w:t>
      </w:r>
    </w:p>
    <w:p w14:paraId="4E39F512">
      <w:pPr>
        <w:pStyle w:val="12"/>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Peter L. Hudson, Ph.D.，整形与重建外科器械科，电话：301-796-6440或电子邮箱：</w:t>
      </w:r>
      <w:r>
        <w:fldChar w:fldCharType="begin"/>
      </w:r>
      <w:r>
        <w:instrText xml:space="preserve"> HYPERLINK "mailto:peter.hudson@fda.hhs.gov" </w:instrText>
      </w:r>
      <w:r>
        <w:fldChar w:fldCharType="separate"/>
      </w:r>
      <w:r>
        <w:rPr>
          <w:rStyle w:val="8"/>
          <w:rFonts w:ascii="Arial" w:hAnsi="Arial" w:eastAsia="宋体" w:cs="Arial"/>
          <w:szCs w:val="21"/>
          <w:u w:val="none"/>
        </w:rPr>
        <w:t>peter.hudson@fda.hhs.gov</w:t>
      </w:r>
      <w:r>
        <w:rPr>
          <w:rStyle w:val="8"/>
          <w:rFonts w:ascii="Arial" w:hAnsi="Arial" w:eastAsia="宋体" w:cs="Arial"/>
          <w:szCs w:val="21"/>
          <w:u w:val="none"/>
        </w:rPr>
        <w:fldChar w:fldCharType="end"/>
      </w:r>
    </w:p>
    <w:p w14:paraId="47829AD3">
      <w:pPr>
        <w:pStyle w:val="12"/>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Doyle Gantt，外周血管器械科，电话：301-796-6372或电子邮箱：</w:t>
      </w:r>
      <w:r>
        <w:rPr>
          <w:rFonts w:ascii="Arial" w:hAnsi="Arial" w:eastAsia="宋体" w:cs="Arial"/>
          <w:color w:val="0000FF"/>
          <w:szCs w:val="21"/>
        </w:rPr>
        <w:t>a.gantt@fda.hhs.gov</w:t>
      </w:r>
    </w:p>
    <w:p w14:paraId="072DD9D8">
      <w:pPr>
        <w:pStyle w:val="12"/>
        <w:numPr>
          <w:ilvl w:val="0"/>
          <w:numId w:val="3"/>
        </w:numPr>
        <w:snapToGrid w:val="0"/>
        <w:spacing w:line="300" w:lineRule="auto"/>
        <w:ind w:firstLineChars="0"/>
        <w:rPr>
          <w:rFonts w:ascii="Arial" w:hAnsi="Arial" w:eastAsia="宋体" w:cs="Arial"/>
          <w:szCs w:val="21"/>
        </w:rPr>
      </w:pPr>
      <w:r>
        <w:rPr>
          <w:rFonts w:ascii="Arial" w:hAnsi="Arial" w:eastAsia="宋体" w:cs="Arial"/>
          <w:szCs w:val="21"/>
        </w:rPr>
        <w:t>Jill Brown妇产科器械科，电话：301-796-6252或电子邮箱：</w:t>
      </w:r>
      <w:r>
        <w:fldChar w:fldCharType="begin"/>
      </w:r>
      <w:r>
        <w:instrText xml:space="preserve"> HYPERLINK "mailto:jill.brown@fda.hhs.gov" </w:instrText>
      </w:r>
      <w:r>
        <w:fldChar w:fldCharType="separate"/>
      </w:r>
      <w:r>
        <w:rPr>
          <w:rStyle w:val="8"/>
          <w:rFonts w:ascii="Arial" w:hAnsi="Arial" w:eastAsia="宋体" w:cs="Arial"/>
          <w:szCs w:val="21"/>
          <w:u w:val="none"/>
        </w:rPr>
        <w:t>jill.brown@fda.hhs.gov</w:t>
      </w:r>
      <w:r>
        <w:rPr>
          <w:rStyle w:val="8"/>
          <w:rFonts w:ascii="Arial" w:hAnsi="Arial" w:eastAsia="宋体" w:cs="Arial"/>
          <w:szCs w:val="21"/>
          <w:u w:val="none"/>
        </w:rPr>
        <w:fldChar w:fldCharType="end"/>
      </w:r>
      <w:r>
        <w:rPr>
          <w:rFonts w:ascii="Arial" w:hAnsi="Arial" w:eastAsia="宋体" w:cs="Arial"/>
          <w:szCs w:val="21"/>
        </w:rPr>
        <w:t>。</w:t>
      </w:r>
    </w:p>
    <w:p w14:paraId="42970B08">
      <w:pPr>
        <w:snapToGrid w:val="0"/>
        <w:spacing w:line="300" w:lineRule="auto"/>
        <w:rPr>
          <w:rFonts w:ascii="Arial" w:hAnsi="Arial" w:eastAsia="宋体" w:cs="Arial"/>
          <w:szCs w:val="21"/>
        </w:rPr>
      </w:pPr>
    </w:p>
    <w:p w14:paraId="0D93E8C7">
      <w:pPr>
        <w:snapToGrid w:val="0"/>
        <w:spacing w:line="300" w:lineRule="auto"/>
        <w:rPr>
          <w:rFonts w:ascii="Arial" w:hAnsi="Arial" w:eastAsia="宋体" w:cs="Arial"/>
          <w:b/>
          <w:szCs w:val="21"/>
        </w:rPr>
      </w:pPr>
      <w:r>
        <w:rPr>
          <w:rFonts w:ascii="Arial" w:hAnsi="Arial" w:eastAsia="宋体" w:cs="Arial"/>
          <w:b/>
          <w:szCs w:val="21"/>
        </w:rPr>
        <w:t>本文件将取代2000年11月1日发布的</w:t>
      </w:r>
      <w:r>
        <w:rPr>
          <w:rFonts w:hint="eastAsia" w:ascii="宋体" w:hAnsi="宋体" w:eastAsia="宋体" w:cs="Arial"/>
          <w:b/>
          <w:szCs w:val="21"/>
        </w:rPr>
        <w:t>《</w:t>
      </w:r>
      <w:r>
        <w:rPr>
          <w:rFonts w:ascii="Arial" w:hAnsi="Arial" w:eastAsia="宋体" w:cs="Arial"/>
          <w:b/>
          <w:szCs w:val="21"/>
        </w:rPr>
        <w:t>神经栓塞治疗器械</w:t>
      </w:r>
      <w:r>
        <w:rPr>
          <w:rFonts w:hint="eastAsia" w:ascii="Arial" w:hAnsi="Arial" w:eastAsia="宋体" w:cs="Arial"/>
          <w:b/>
          <w:szCs w:val="21"/>
        </w:rPr>
        <w:t>指南</w:t>
      </w:r>
      <w:r>
        <w:rPr>
          <w:rFonts w:hint="eastAsia" w:ascii="宋体" w:hAnsi="宋体" w:eastAsia="宋体" w:cs="Arial"/>
          <w:b/>
          <w:szCs w:val="21"/>
        </w:rPr>
        <w:t>》</w:t>
      </w:r>
      <w:r>
        <w:rPr>
          <w:rFonts w:ascii="Arial" w:hAnsi="Arial" w:eastAsia="宋体" w:cs="Arial"/>
          <w:b/>
          <w:szCs w:val="21"/>
        </w:rPr>
        <w:t>和2004年2月25日发布的</w:t>
      </w:r>
      <w:r>
        <w:rPr>
          <w:rFonts w:hint="eastAsia" w:ascii="宋体" w:hAnsi="宋体" w:eastAsia="宋体" w:cs="Arial"/>
          <w:b/>
          <w:szCs w:val="21"/>
        </w:rPr>
        <w:t>《</w:t>
      </w:r>
      <w:r>
        <w:rPr>
          <w:rFonts w:ascii="Arial" w:hAnsi="Arial" w:eastAsia="宋体" w:cs="Arial"/>
          <w:b/>
          <w:szCs w:val="21"/>
        </w:rPr>
        <w:t>II类特殊控制</w:t>
      </w:r>
      <w:r>
        <w:rPr>
          <w:rFonts w:hint="eastAsia" w:ascii="Arial" w:hAnsi="Arial" w:eastAsia="宋体" w:cs="Arial"/>
          <w:b/>
          <w:szCs w:val="21"/>
        </w:rPr>
        <w:t>指南</w:t>
      </w:r>
      <w:r>
        <w:rPr>
          <w:rFonts w:ascii="Arial" w:hAnsi="Arial" w:eastAsia="宋体" w:cs="Arial"/>
          <w:b/>
          <w:szCs w:val="21"/>
        </w:rPr>
        <w:t>：血管和神经血管栓塞治疗器械</w:t>
      </w:r>
      <w:r>
        <w:rPr>
          <w:rFonts w:hint="eastAsia" w:ascii="宋体" w:hAnsi="宋体" w:eastAsia="宋体" w:cs="Arial"/>
          <w:b/>
          <w:szCs w:val="21"/>
        </w:rPr>
        <w:t>》</w:t>
      </w:r>
      <w:r>
        <w:rPr>
          <w:rFonts w:ascii="Arial" w:hAnsi="Arial" w:eastAsia="宋体" w:cs="Arial"/>
          <w:b/>
          <w:szCs w:val="21"/>
        </w:rPr>
        <w:t>草案</w:t>
      </w:r>
    </w:p>
    <w:p w14:paraId="70DAC91C">
      <w:pPr>
        <w:snapToGrid w:val="0"/>
        <w:spacing w:line="300" w:lineRule="auto"/>
        <w:rPr>
          <w:rFonts w:ascii="Arial" w:hAnsi="Arial" w:eastAsia="宋体" w:cs="Arial"/>
          <w:szCs w:val="21"/>
        </w:rPr>
      </w:pPr>
    </w:p>
    <w:p w14:paraId="0EE5F8F0">
      <w:pPr>
        <w:snapToGrid w:val="0"/>
        <w:spacing w:line="300" w:lineRule="auto"/>
        <w:rPr>
          <w:rFonts w:ascii="Arial" w:hAnsi="Arial" w:eastAsia="宋体" w:cs="Arial"/>
          <w:szCs w:val="21"/>
        </w:rPr>
      </w:pPr>
      <w:r>
        <w:rPr>
          <w:rFonts w:ascii="Arial" w:hAnsi="Arial" w:eastAsia="宋体" w:cs="Arial"/>
          <w:color w:val="333333"/>
          <w:kern w:val="0"/>
          <w:szCs w:val="21"/>
        </w:rPr>
        <w:drawing>
          <wp:inline distT="0" distB="0" distL="0" distR="0">
            <wp:extent cx="688975" cy="709295"/>
            <wp:effectExtent l="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of 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89336" cy="709764"/>
                    </a:xfrm>
                    <a:prstGeom prst="rect">
                      <a:avLst/>
                    </a:prstGeom>
                    <a:noFill/>
                    <a:ln>
                      <a:noFill/>
                    </a:ln>
                  </pic:spPr>
                </pic:pic>
              </a:graphicData>
            </a:graphic>
          </wp:inline>
        </w:drawing>
      </w:r>
    </w:p>
    <w:p w14:paraId="4EC38423">
      <w:pPr>
        <w:snapToGrid w:val="0"/>
        <w:spacing w:line="300" w:lineRule="auto"/>
        <w:jc w:val="right"/>
        <w:rPr>
          <w:rFonts w:ascii="Arial" w:hAnsi="Arial" w:eastAsia="宋体" w:cs="Arial"/>
          <w:b/>
          <w:szCs w:val="21"/>
        </w:rPr>
      </w:pPr>
      <w:r>
        <w:rPr>
          <w:rFonts w:ascii="Arial" w:hAnsi="Arial" w:eastAsia="宋体" w:cs="Arial"/>
          <w:b/>
          <w:szCs w:val="21"/>
        </w:rPr>
        <w:t>美国卫生</w:t>
      </w:r>
      <w:r>
        <w:rPr>
          <w:rFonts w:hint="eastAsia" w:ascii="Arial" w:hAnsi="Arial" w:eastAsia="宋体" w:cs="Arial"/>
          <w:b/>
          <w:szCs w:val="21"/>
        </w:rPr>
        <w:t>与公众</w:t>
      </w:r>
      <w:r>
        <w:rPr>
          <w:rFonts w:ascii="Arial" w:hAnsi="Arial" w:eastAsia="宋体" w:cs="Arial"/>
          <w:b/>
          <w:szCs w:val="21"/>
        </w:rPr>
        <w:t>服务部</w:t>
      </w:r>
    </w:p>
    <w:p w14:paraId="2EAD07A0">
      <w:pPr>
        <w:snapToGrid w:val="0"/>
        <w:spacing w:line="300" w:lineRule="auto"/>
        <w:jc w:val="right"/>
        <w:rPr>
          <w:rFonts w:ascii="Arial" w:hAnsi="Arial" w:eastAsia="宋体" w:cs="Arial"/>
          <w:b/>
          <w:szCs w:val="21"/>
        </w:rPr>
      </w:pPr>
      <w:r>
        <w:rPr>
          <w:rFonts w:ascii="Arial" w:hAnsi="Arial" w:eastAsia="宋体" w:cs="Arial"/>
          <w:b/>
          <w:szCs w:val="21"/>
        </w:rPr>
        <w:t>食品药品监督管理局</w:t>
      </w:r>
    </w:p>
    <w:p w14:paraId="2C931FC3">
      <w:pPr>
        <w:snapToGrid w:val="0"/>
        <w:spacing w:line="300" w:lineRule="auto"/>
        <w:jc w:val="right"/>
        <w:rPr>
          <w:rFonts w:ascii="Arial" w:hAnsi="Arial" w:eastAsia="宋体" w:cs="Arial"/>
          <w:b/>
          <w:szCs w:val="21"/>
        </w:rPr>
      </w:pPr>
      <w:r>
        <w:rPr>
          <w:rFonts w:ascii="Arial" w:hAnsi="Arial" w:eastAsia="宋体" w:cs="Arial"/>
          <w:b/>
          <w:szCs w:val="21"/>
        </w:rPr>
        <w:t>器械</w:t>
      </w:r>
      <w:r>
        <w:rPr>
          <w:rFonts w:hint="eastAsia" w:ascii="Arial" w:hAnsi="Arial" w:eastAsia="宋体" w:cs="Arial"/>
          <w:b/>
          <w:szCs w:val="21"/>
        </w:rPr>
        <w:t>与</w:t>
      </w:r>
      <w:r>
        <w:rPr>
          <w:rFonts w:ascii="Arial" w:hAnsi="Arial" w:eastAsia="宋体" w:cs="Arial"/>
          <w:b/>
          <w:szCs w:val="21"/>
        </w:rPr>
        <w:t>放射健康中心</w:t>
      </w:r>
    </w:p>
    <w:p w14:paraId="63A71BC7">
      <w:pPr>
        <w:snapToGrid w:val="0"/>
        <w:spacing w:line="300" w:lineRule="auto"/>
        <w:jc w:val="right"/>
        <w:rPr>
          <w:rFonts w:ascii="Arial" w:hAnsi="Arial" w:eastAsia="宋体" w:cs="Arial"/>
          <w:b/>
          <w:szCs w:val="21"/>
        </w:rPr>
      </w:pPr>
      <w:r>
        <w:rPr>
          <w:rFonts w:ascii="Arial" w:hAnsi="Arial" w:eastAsia="宋体" w:cs="Arial"/>
          <w:b/>
          <w:szCs w:val="21"/>
        </w:rPr>
        <w:t>器械评估办公室</w:t>
      </w:r>
    </w:p>
    <w:p w14:paraId="4FD99866">
      <w:pPr>
        <w:snapToGrid w:val="0"/>
        <w:spacing w:line="300" w:lineRule="auto"/>
        <w:jc w:val="right"/>
        <w:rPr>
          <w:rFonts w:ascii="Arial" w:hAnsi="Arial" w:eastAsia="宋体" w:cs="Arial"/>
          <w:b/>
          <w:szCs w:val="21"/>
        </w:rPr>
      </w:pPr>
      <w:r>
        <w:rPr>
          <w:rFonts w:hint="eastAsia" w:ascii="Arial" w:hAnsi="Arial" w:eastAsia="宋体" w:cs="Arial"/>
          <w:b/>
          <w:szCs w:val="21"/>
        </w:rPr>
        <w:t>通用</w:t>
      </w:r>
      <w:r>
        <w:rPr>
          <w:rFonts w:ascii="Arial" w:hAnsi="Arial" w:eastAsia="宋体" w:cs="Arial"/>
          <w:b/>
          <w:szCs w:val="21"/>
        </w:rPr>
        <w:t>、恢复和神经器械科</w:t>
      </w:r>
    </w:p>
    <w:p w14:paraId="560E2A36">
      <w:pPr>
        <w:snapToGrid w:val="0"/>
        <w:spacing w:line="300" w:lineRule="auto"/>
        <w:jc w:val="right"/>
        <w:rPr>
          <w:rFonts w:ascii="Arial" w:hAnsi="Arial" w:eastAsia="宋体" w:cs="Arial"/>
          <w:b/>
          <w:szCs w:val="21"/>
        </w:rPr>
      </w:pPr>
      <w:r>
        <w:rPr>
          <w:rFonts w:ascii="Arial" w:hAnsi="Arial" w:eastAsia="宋体" w:cs="Arial"/>
          <w:b/>
          <w:szCs w:val="21"/>
        </w:rPr>
        <w:t>整形和重建外科器械科</w:t>
      </w:r>
    </w:p>
    <w:p w14:paraId="348F900E">
      <w:pPr>
        <w:snapToGrid w:val="0"/>
        <w:spacing w:line="300" w:lineRule="auto"/>
        <w:jc w:val="right"/>
        <w:rPr>
          <w:rFonts w:ascii="Arial" w:hAnsi="Arial" w:eastAsia="宋体" w:cs="Arial"/>
          <w:b/>
          <w:szCs w:val="21"/>
        </w:rPr>
      </w:pPr>
      <w:r>
        <w:rPr>
          <w:rFonts w:ascii="Arial" w:hAnsi="Arial" w:eastAsia="宋体" w:cs="Arial"/>
          <w:b/>
          <w:szCs w:val="21"/>
        </w:rPr>
        <w:t>心血管器械科</w:t>
      </w:r>
    </w:p>
    <w:p w14:paraId="181DB1C9">
      <w:pPr>
        <w:snapToGrid w:val="0"/>
        <w:spacing w:line="300" w:lineRule="auto"/>
        <w:jc w:val="right"/>
        <w:rPr>
          <w:rFonts w:ascii="Arial" w:hAnsi="Arial" w:eastAsia="宋体" w:cs="Arial"/>
          <w:b/>
          <w:szCs w:val="21"/>
        </w:rPr>
      </w:pPr>
      <w:r>
        <w:rPr>
          <w:rFonts w:ascii="Arial" w:hAnsi="Arial" w:eastAsia="宋体" w:cs="Arial"/>
          <w:b/>
          <w:szCs w:val="21"/>
        </w:rPr>
        <w:t>外周血管器械部</w:t>
      </w:r>
    </w:p>
    <w:p w14:paraId="388D26DB">
      <w:pPr>
        <w:snapToGrid w:val="0"/>
        <w:spacing w:line="300" w:lineRule="auto"/>
        <w:jc w:val="right"/>
        <w:rPr>
          <w:rFonts w:ascii="Arial" w:hAnsi="Arial" w:eastAsia="宋体" w:cs="Arial"/>
          <w:b/>
          <w:szCs w:val="21"/>
        </w:rPr>
      </w:pPr>
      <w:r>
        <w:rPr>
          <w:rFonts w:ascii="Arial" w:hAnsi="Arial" w:eastAsia="宋体" w:cs="Arial"/>
          <w:b/>
          <w:szCs w:val="21"/>
        </w:rPr>
        <w:t>生殖、腹部和放射器械科</w:t>
      </w:r>
    </w:p>
    <w:p w14:paraId="70440114">
      <w:pPr>
        <w:snapToGrid w:val="0"/>
        <w:spacing w:line="300" w:lineRule="auto"/>
        <w:jc w:val="right"/>
        <w:rPr>
          <w:rFonts w:ascii="Arial" w:hAnsi="Arial" w:eastAsia="宋体" w:cs="Arial"/>
          <w:b/>
          <w:szCs w:val="21"/>
        </w:rPr>
      </w:pPr>
      <w:r>
        <w:rPr>
          <w:rFonts w:ascii="Arial" w:hAnsi="Arial" w:eastAsia="宋体" w:cs="Arial"/>
          <w:b/>
          <w:szCs w:val="21"/>
        </w:rPr>
        <w:t>妇产科器械部</w:t>
      </w:r>
    </w:p>
    <w:p w14:paraId="56C881B6">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128270</wp:posOffset>
                </wp:positionV>
                <wp:extent cx="5288280" cy="0"/>
                <wp:effectExtent l="0" t="0" r="27305" b="19050"/>
                <wp:wrapNone/>
                <wp:docPr id="2" name="直接连接符 2"/>
                <wp:cNvGraphicFramePr/>
                <a:graphic xmlns:a="http://schemas.openxmlformats.org/drawingml/2006/main">
                  <a:graphicData uri="http://schemas.microsoft.com/office/word/2010/wordprocessingShape">
                    <wps:wsp>
                      <wps:cNvCnPr/>
                      <wps:spPr>
                        <a:xfrm>
                          <a:off x="0" y="0"/>
                          <a:ext cx="5287993"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0.1pt;height:0pt;width:416.4pt;z-index:251659264;mso-width-relative:page;mso-height-relative:page;" filled="f" stroked="t" coordsize="21600,21600" o:gfxdata="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UH2A0AAAAAYB&#10;AAAPAAAAAAAAAAEAIAAAACIAAABkcnMvZG93bnJldi54bWxQSwECFAAUAAAACACHTuJAS7oN+eoB&#10;AAC9AwAADgAAAAAAAAABACAAAAAfAQAAZHJzL2Uyb0RvYy54bWxQSwUGAAAAAAYABgBZAQAAewUA&#10;AAAA&#10;">
                <v:fill on="f" focussize="0,0"/>
                <v:stroke weight="1.5pt" color="#808080 [1612]" joinstyle="round"/>
                <v:imagedata o:title=""/>
                <o:lock v:ext="edit" aspectratio="f"/>
              </v:line>
            </w:pict>
          </mc:Fallback>
        </mc:AlternateContent>
      </w:r>
    </w:p>
    <w:p w14:paraId="37B03FDF">
      <w:pPr>
        <w:snapToGrid w:val="0"/>
        <w:spacing w:line="300" w:lineRule="auto"/>
        <w:rPr>
          <w:rFonts w:ascii="Arial" w:hAnsi="Arial" w:eastAsia="宋体" w:cs="Arial"/>
          <w:szCs w:val="21"/>
        </w:rPr>
      </w:pPr>
    </w:p>
    <w:p w14:paraId="682E93F0">
      <w:pPr>
        <w:snapToGrid w:val="0"/>
        <w:spacing w:line="300" w:lineRule="auto"/>
        <w:rPr>
          <w:rFonts w:ascii="Arial" w:hAnsi="Arial" w:eastAsia="宋体" w:cs="Arial"/>
          <w:szCs w:val="21"/>
        </w:rPr>
      </w:pPr>
    </w:p>
    <w:p w14:paraId="79BC976E">
      <w:pPr>
        <w:widowControl/>
        <w:snapToGrid w:val="0"/>
        <w:spacing w:line="300" w:lineRule="auto"/>
        <w:jc w:val="left"/>
        <w:rPr>
          <w:rFonts w:ascii="Arial" w:hAnsi="Arial" w:eastAsia="宋体" w:cs="Arial"/>
          <w:b/>
          <w:sz w:val="30"/>
          <w:szCs w:val="30"/>
        </w:rPr>
      </w:pPr>
      <w:r>
        <w:rPr>
          <w:rFonts w:ascii="Arial" w:hAnsi="Arial" w:eastAsia="宋体" w:cs="Arial"/>
          <w:b/>
          <w:sz w:val="30"/>
          <w:szCs w:val="30"/>
        </w:rPr>
        <w:br w:type="page"/>
      </w:r>
    </w:p>
    <w:p w14:paraId="58A01AD1">
      <w:pPr>
        <w:snapToGrid w:val="0"/>
        <w:spacing w:line="300" w:lineRule="auto"/>
        <w:jc w:val="center"/>
        <w:rPr>
          <w:rFonts w:ascii="Arial" w:hAnsi="Arial" w:eastAsia="宋体" w:cs="Arial"/>
          <w:b/>
          <w:sz w:val="30"/>
          <w:szCs w:val="30"/>
        </w:rPr>
      </w:pPr>
      <w:r>
        <w:rPr>
          <w:rFonts w:ascii="Arial" w:hAnsi="Arial" w:eastAsia="宋体" w:cs="Arial"/>
          <w:b/>
          <w:sz w:val="30"/>
          <w:szCs w:val="30"/>
        </w:rPr>
        <w:t>序言</w:t>
      </w:r>
    </w:p>
    <w:p w14:paraId="75413888">
      <w:pPr>
        <w:snapToGrid w:val="0"/>
        <w:spacing w:line="300" w:lineRule="auto"/>
        <w:rPr>
          <w:rFonts w:ascii="Arial" w:hAnsi="Arial" w:eastAsia="宋体" w:cs="Arial"/>
          <w:szCs w:val="21"/>
        </w:rPr>
      </w:pPr>
    </w:p>
    <w:p w14:paraId="2C086925">
      <w:pPr>
        <w:snapToGrid w:val="0"/>
        <w:spacing w:line="300" w:lineRule="auto"/>
        <w:rPr>
          <w:rFonts w:ascii="Arial" w:hAnsi="Arial" w:eastAsia="宋体" w:cs="Arial"/>
          <w:b/>
          <w:szCs w:val="21"/>
        </w:rPr>
      </w:pPr>
      <w:r>
        <w:rPr>
          <w:rFonts w:ascii="Arial" w:hAnsi="Arial" w:eastAsia="宋体" w:cs="Arial"/>
          <w:b/>
          <w:szCs w:val="21"/>
        </w:rPr>
        <w:t>公众评论</w:t>
      </w:r>
    </w:p>
    <w:p w14:paraId="228D2B92">
      <w:pPr>
        <w:snapToGrid w:val="0"/>
        <w:spacing w:line="300" w:lineRule="auto"/>
        <w:rPr>
          <w:rFonts w:ascii="Arial" w:hAnsi="Arial" w:eastAsia="宋体" w:cs="Arial"/>
          <w:szCs w:val="21"/>
        </w:rPr>
      </w:pPr>
    </w:p>
    <w:p w14:paraId="31498FF1">
      <w:pPr>
        <w:snapToGrid w:val="0"/>
        <w:spacing w:line="300" w:lineRule="auto"/>
        <w:rPr>
          <w:rFonts w:ascii="Arial" w:hAnsi="Arial" w:eastAsia="宋体" w:cs="Arial"/>
          <w:szCs w:val="21"/>
        </w:rPr>
      </w:pPr>
      <w:r>
        <w:rPr>
          <w:rFonts w:ascii="Arial" w:hAnsi="Arial" w:eastAsia="宋体" w:cs="Arial"/>
          <w:szCs w:val="21"/>
        </w:rPr>
        <w:t>书面评论和建议可随时提交至食品药品监督管理局文档管理</w:t>
      </w:r>
      <w:r>
        <w:rPr>
          <w:rFonts w:hint="eastAsia" w:ascii="Arial" w:hAnsi="Arial" w:eastAsia="宋体" w:cs="Arial"/>
          <w:szCs w:val="21"/>
        </w:rPr>
        <w:t>部，</w:t>
      </w:r>
      <w:r>
        <w:rPr>
          <w:rFonts w:ascii="Arial" w:hAnsi="Arial" w:eastAsia="宋体" w:cs="Arial"/>
          <w:szCs w:val="21"/>
        </w:rPr>
        <w:t>供</w:t>
      </w:r>
      <w:r>
        <w:rPr>
          <w:rFonts w:hint="eastAsia" w:ascii="Arial" w:hAnsi="Arial" w:eastAsia="宋体" w:cs="Arial"/>
          <w:szCs w:val="21"/>
        </w:rPr>
        <w:t>机构审议</w:t>
      </w:r>
      <w:r>
        <w:rPr>
          <w:rFonts w:ascii="Arial" w:hAnsi="Arial" w:eastAsia="宋体" w:cs="Arial"/>
          <w:szCs w:val="21"/>
        </w:rPr>
        <w:t>。通讯地址：5630 Fishers Lane, Room 1061, （HFA-305）, Rockville, MD, 20852。电子评论可提交至</w:t>
      </w:r>
      <w:r>
        <w:rPr>
          <w:rFonts w:ascii="Arial" w:hAnsi="Arial" w:eastAsia="宋体" w:cs="Arial"/>
          <w:color w:val="0000FF"/>
          <w:szCs w:val="21"/>
        </w:rPr>
        <w:t>Regulations.gov</w:t>
      </w:r>
      <w:r>
        <w:rPr>
          <w:rFonts w:ascii="Arial" w:hAnsi="Arial" w:eastAsia="宋体" w:cs="Arial"/>
          <w:szCs w:val="21"/>
        </w:rPr>
        <w:t>网站。提交评论时请参考</w:t>
      </w:r>
      <w:r>
        <w:rPr>
          <w:rFonts w:ascii="Arial" w:hAnsi="Arial" w:eastAsia="宋体" w:cs="Arial"/>
          <w:b/>
          <w:szCs w:val="21"/>
        </w:rPr>
        <w:t>文件编号2003D-0568</w:t>
      </w:r>
      <w:r>
        <w:rPr>
          <w:rFonts w:ascii="Arial" w:hAnsi="Arial" w:eastAsia="宋体" w:cs="Arial"/>
          <w:szCs w:val="21"/>
        </w:rPr>
        <w:t>。可能直至文件下次修订或更新时，评论才会被机构受理。</w:t>
      </w:r>
    </w:p>
    <w:p w14:paraId="0E11EFB7">
      <w:pPr>
        <w:snapToGrid w:val="0"/>
        <w:spacing w:line="300" w:lineRule="auto"/>
        <w:rPr>
          <w:rFonts w:ascii="Arial" w:hAnsi="Arial" w:eastAsia="宋体" w:cs="Arial"/>
          <w:szCs w:val="21"/>
        </w:rPr>
      </w:pPr>
    </w:p>
    <w:p w14:paraId="086D7716">
      <w:pPr>
        <w:snapToGrid w:val="0"/>
        <w:spacing w:line="300" w:lineRule="auto"/>
        <w:rPr>
          <w:rFonts w:ascii="Arial" w:hAnsi="Arial" w:eastAsia="宋体" w:cs="Arial"/>
          <w:b/>
          <w:szCs w:val="21"/>
        </w:rPr>
      </w:pPr>
      <w:r>
        <w:rPr>
          <w:rFonts w:ascii="Arial" w:hAnsi="Arial" w:eastAsia="宋体" w:cs="Arial"/>
          <w:b/>
          <w:szCs w:val="21"/>
        </w:rPr>
        <w:t>其他副本</w:t>
      </w:r>
    </w:p>
    <w:p w14:paraId="0444690C">
      <w:pPr>
        <w:snapToGrid w:val="0"/>
        <w:spacing w:line="300" w:lineRule="auto"/>
        <w:rPr>
          <w:rFonts w:ascii="Arial" w:hAnsi="Arial" w:eastAsia="宋体" w:cs="Arial"/>
          <w:szCs w:val="21"/>
        </w:rPr>
      </w:pPr>
    </w:p>
    <w:p w14:paraId="69509EAD">
      <w:pPr>
        <w:snapToGrid w:val="0"/>
        <w:spacing w:line="300" w:lineRule="auto"/>
        <w:rPr>
          <w:rFonts w:ascii="Arial" w:hAnsi="Arial" w:eastAsia="宋体" w:cs="Arial"/>
          <w:szCs w:val="21"/>
        </w:rPr>
      </w:pPr>
      <w:r>
        <w:rPr>
          <w:rFonts w:ascii="Arial" w:hAnsi="Arial" w:eastAsia="宋体" w:cs="Arial"/>
          <w:szCs w:val="21"/>
        </w:rPr>
        <w:t>其他副本可从互联网下载。</w:t>
      </w:r>
      <w:r>
        <w:fldChar w:fldCharType="begin"/>
      </w:r>
      <w:r>
        <w:instrText xml:space="preserve"> HYPERLINK "mailto:贵公司也可向CDRH-Guidance@fda.hhs.gov" </w:instrText>
      </w:r>
      <w:r>
        <w:fldChar w:fldCharType="separate"/>
      </w:r>
      <w:r>
        <w:rPr>
          <w:rFonts w:hint="eastAsia"/>
        </w:rPr>
        <w:t>贵公司也可向</w:t>
      </w:r>
      <w:r>
        <w:rPr>
          <w:rStyle w:val="8"/>
          <w:rFonts w:ascii="Arial" w:hAnsi="Arial" w:eastAsia="宋体" w:cs="Arial"/>
          <w:szCs w:val="21"/>
          <w:u w:val="none"/>
        </w:rPr>
        <w:t>CDRH-Guidance@fda.hhs.gov</w:t>
      </w:r>
      <w:r>
        <w:rPr>
          <w:rStyle w:val="8"/>
          <w:rFonts w:ascii="Arial" w:hAnsi="Arial" w:eastAsia="宋体" w:cs="Arial"/>
          <w:szCs w:val="21"/>
          <w:u w:val="none"/>
        </w:rPr>
        <w:fldChar w:fldCharType="end"/>
      </w:r>
      <w:r>
        <w:rPr>
          <w:rFonts w:ascii="Arial" w:hAnsi="Arial" w:eastAsia="宋体" w:cs="Arial"/>
          <w:szCs w:val="21"/>
        </w:rPr>
        <w:t>发送电子邮件请求获取本指导性文件的副本。请使用文件编号1234确认贵公司请求的指导性文件。</w:t>
      </w:r>
    </w:p>
    <w:p w14:paraId="172FA454">
      <w:pPr>
        <w:snapToGrid w:val="0"/>
        <w:spacing w:line="300" w:lineRule="auto"/>
        <w:rPr>
          <w:rFonts w:ascii="Arial" w:hAnsi="Arial" w:eastAsia="宋体" w:cs="Arial"/>
          <w:szCs w:val="21"/>
        </w:rPr>
      </w:pPr>
    </w:p>
    <w:p w14:paraId="32DB1C6E">
      <w:pPr>
        <w:snapToGrid w:val="0"/>
        <w:spacing w:line="300" w:lineRule="auto"/>
        <w:jc w:val="center"/>
        <w:rPr>
          <w:rFonts w:ascii="Arial" w:hAnsi="Arial" w:eastAsia="宋体" w:cs="Arial"/>
          <w:b/>
          <w:szCs w:val="21"/>
        </w:rPr>
      </w:pPr>
      <w:r>
        <w:rPr>
          <w:rFonts w:ascii="Arial" w:hAnsi="Arial" w:eastAsia="宋体" w:cs="Arial"/>
          <w:b/>
          <w:szCs w:val="21"/>
        </w:rPr>
        <w:t>目录</w:t>
      </w:r>
    </w:p>
    <w:p w14:paraId="177EF10A">
      <w:pPr>
        <w:snapToGrid w:val="0"/>
        <w:spacing w:line="300" w:lineRule="auto"/>
        <w:rPr>
          <w:rFonts w:ascii="Arial" w:hAnsi="Arial" w:eastAsia="宋体" w:cs="Arial"/>
          <w:szCs w:val="21"/>
        </w:rPr>
      </w:pPr>
    </w:p>
    <w:p w14:paraId="5CC27C8D">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前言</w:t>
      </w:r>
    </w:p>
    <w:p w14:paraId="21024C0A">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背景</w:t>
      </w:r>
    </w:p>
    <w:p w14:paraId="04B12923">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简化510（k）提交资料的内容和格式</w:t>
      </w:r>
    </w:p>
    <w:p w14:paraId="57142101">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适用范围</w:t>
      </w:r>
    </w:p>
    <w:p w14:paraId="7210E57A">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器械描述</w:t>
      </w:r>
    </w:p>
    <w:p w14:paraId="7174E995">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健康风险</w:t>
      </w:r>
    </w:p>
    <w:p w14:paraId="36B4AD83">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临床前研究</w:t>
      </w:r>
    </w:p>
    <w:p w14:paraId="78A22CE0">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无菌</w:t>
      </w:r>
    </w:p>
    <w:p w14:paraId="52C49609">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动物试验</w:t>
      </w:r>
    </w:p>
    <w:p w14:paraId="65C3EC97">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临床试验</w:t>
      </w:r>
    </w:p>
    <w:p w14:paraId="377196C0">
      <w:pPr>
        <w:pStyle w:val="12"/>
        <w:numPr>
          <w:ilvl w:val="0"/>
          <w:numId w:val="4"/>
        </w:numPr>
        <w:snapToGrid w:val="0"/>
        <w:spacing w:line="300" w:lineRule="auto"/>
        <w:ind w:firstLineChars="0"/>
        <w:rPr>
          <w:rFonts w:ascii="Arial" w:hAnsi="Arial" w:eastAsia="宋体" w:cs="Arial"/>
          <w:color w:val="0000FF"/>
          <w:szCs w:val="21"/>
        </w:rPr>
      </w:pPr>
      <w:r>
        <w:rPr>
          <w:rFonts w:ascii="Arial" w:hAnsi="Arial" w:eastAsia="宋体" w:cs="Arial"/>
          <w:color w:val="0000FF"/>
          <w:szCs w:val="21"/>
        </w:rPr>
        <w:t>标签</w:t>
      </w:r>
    </w:p>
    <w:p w14:paraId="11B0A344">
      <w:pPr>
        <w:snapToGrid w:val="0"/>
        <w:spacing w:line="300" w:lineRule="auto"/>
        <w:rPr>
          <w:rFonts w:ascii="Arial" w:hAnsi="Arial" w:eastAsia="宋体" w:cs="Arial"/>
          <w:szCs w:val="21"/>
        </w:rPr>
      </w:pPr>
    </w:p>
    <w:p w14:paraId="36DC79C5">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43815</wp:posOffset>
                </wp:positionV>
                <wp:extent cx="5287645" cy="0"/>
                <wp:effectExtent l="0" t="0" r="27305" b="19050"/>
                <wp:wrapNone/>
                <wp:docPr id="4" name="直接连接符 4"/>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5pt;margin-top:3.45pt;height:0pt;width:416.35pt;z-index:251660288;mso-width-relative:page;mso-height-relative:page;" filled="f" stroked="t" coordsize="21600,21600" o:gfxdata="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5wUw3RAAAA&#10;BQEAAA8AAAAAAAAAAQAgAAAAIgAAAGRycy9kb3ducmV2LnhtbFBLAQIUABQAAAAIAIdO4kDFBkgC&#10;6wEAAL0DAAAOAAAAAAAAAAEAIAAAACABAABkcnMvZTJvRG9jLnhtbFBLBQYAAAAABgAGAFkBAAB9&#10;BQAAAAA=&#10;">
                <v:fill on="f" focussize="0,0"/>
                <v:stroke weight="1.5pt" color="#808080 [1612]" joinstyle="round"/>
                <v:imagedata o:title=""/>
                <o:lock v:ext="edit" aspectratio="f"/>
              </v:line>
            </w:pict>
          </mc:Fallback>
        </mc:AlternateContent>
      </w:r>
    </w:p>
    <w:p w14:paraId="44D8E89E">
      <w:pPr>
        <w:widowControl/>
        <w:jc w:val="left"/>
        <w:rPr>
          <w:rFonts w:ascii="Arial" w:hAnsi="Arial" w:eastAsia="宋体" w:cs="Arial"/>
          <w:b/>
          <w:sz w:val="28"/>
          <w:szCs w:val="28"/>
        </w:rPr>
      </w:pPr>
      <w:r>
        <w:rPr>
          <w:rFonts w:ascii="Arial" w:hAnsi="Arial" w:eastAsia="宋体" w:cs="Arial"/>
          <w:b/>
          <w:sz w:val="28"/>
          <w:szCs w:val="28"/>
        </w:rPr>
        <w:br w:type="page"/>
      </w:r>
    </w:p>
    <w:p w14:paraId="7136F2F3">
      <w:pPr>
        <w:snapToGrid w:val="0"/>
        <w:spacing w:line="300" w:lineRule="auto"/>
        <w:jc w:val="center"/>
        <w:rPr>
          <w:rFonts w:ascii="Arial" w:hAnsi="Arial" w:eastAsia="宋体" w:cs="Arial"/>
          <w:b/>
          <w:sz w:val="28"/>
          <w:szCs w:val="28"/>
        </w:rPr>
      </w:pPr>
      <w:r>
        <w:rPr>
          <w:rFonts w:ascii="Arial" w:hAnsi="Arial" w:eastAsia="宋体" w:cs="Arial"/>
          <w:b/>
          <w:sz w:val="28"/>
          <w:szCs w:val="28"/>
        </w:rPr>
        <w:t>行业和食品药品监督管理局工作人员</w:t>
      </w:r>
      <w:r>
        <w:rPr>
          <w:rFonts w:hint="eastAsia" w:ascii="Arial" w:hAnsi="Arial" w:eastAsia="宋体" w:cs="Arial"/>
          <w:b/>
          <w:sz w:val="28"/>
          <w:szCs w:val="28"/>
        </w:rPr>
        <w:t>指南</w:t>
      </w:r>
    </w:p>
    <w:p w14:paraId="6D45D2E8">
      <w:pPr>
        <w:snapToGrid w:val="0"/>
        <w:spacing w:line="300" w:lineRule="auto"/>
        <w:jc w:val="center"/>
        <w:rPr>
          <w:rFonts w:ascii="Arial" w:hAnsi="Arial" w:eastAsia="宋体" w:cs="Arial"/>
          <w:b/>
          <w:sz w:val="28"/>
          <w:szCs w:val="28"/>
        </w:rPr>
      </w:pPr>
      <w:r>
        <w:rPr>
          <w:rFonts w:ascii="Arial" w:hAnsi="Arial" w:eastAsia="宋体" w:cs="Arial"/>
          <w:b/>
          <w:sz w:val="28"/>
          <w:szCs w:val="28"/>
        </w:rPr>
        <w:t>－II类特殊控制指导性文件：血管和神经血管栓塞治疗器械</w:t>
      </w:r>
    </w:p>
    <w:p w14:paraId="5480C31A">
      <w:pPr>
        <w:snapToGrid w:val="0"/>
        <w:spacing w:line="300" w:lineRule="auto"/>
        <w:rPr>
          <w:rFonts w:ascii="Arial" w:hAnsi="Arial" w:eastAsia="宋体" w:cs="Arial"/>
          <w:szCs w:val="21"/>
        </w:rPr>
      </w:pPr>
    </w:p>
    <w:p w14:paraId="4F7D329E">
      <w:pPr>
        <w:pStyle w:val="12"/>
        <w:numPr>
          <w:ilvl w:val="0"/>
          <w:numId w:val="5"/>
        </w:numPr>
        <w:snapToGrid w:val="0"/>
        <w:spacing w:line="300" w:lineRule="auto"/>
        <w:ind w:firstLineChars="0"/>
        <w:rPr>
          <w:rFonts w:ascii="Arial" w:hAnsi="Arial" w:eastAsia="宋体" w:cs="Arial"/>
          <w:b/>
          <w:szCs w:val="21"/>
        </w:rPr>
      </w:pPr>
      <w:r>
        <w:rPr>
          <w:rFonts w:ascii="Arial" w:hAnsi="Arial" w:eastAsia="宋体" w:cs="Arial"/>
          <w:b/>
          <w:szCs w:val="21"/>
        </w:rPr>
        <w:t>前言</w:t>
      </w:r>
    </w:p>
    <w:p w14:paraId="45DF10CE">
      <w:pPr>
        <w:snapToGrid w:val="0"/>
        <w:spacing w:line="300" w:lineRule="auto"/>
        <w:rPr>
          <w:rFonts w:ascii="Arial" w:hAnsi="Arial" w:eastAsia="宋体" w:cs="Arial"/>
          <w:szCs w:val="21"/>
        </w:rPr>
      </w:pPr>
    </w:p>
    <w:p w14:paraId="306AC3FD">
      <w:pPr>
        <w:snapToGrid w:val="0"/>
        <w:spacing w:line="300" w:lineRule="auto"/>
        <w:rPr>
          <w:rFonts w:ascii="Arial" w:hAnsi="Arial" w:eastAsia="宋体" w:cs="Arial"/>
          <w:szCs w:val="21"/>
        </w:rPr>
      </w:pPr>
      <w:r>
        <w:rPr>
          <w:rFonts w:ascii="Arial" w:hAnsi="Arial" w:eastAsia="宋体" w:cs="Arial"/>
          <w:szCs w:val="21"/>
        </w:rPr>
        <w:t>本指导性文件是作为特殊控制指导性文件而编制，目的是支持</w:t>
      </w:r>
      <w:bookmarkStart w:id="4" w:name="OLE_LINK39"/>
      <w:bookmarkStart w:id="5" w:name="OLE_LINK40"/>
      <w:r>
        <w:rPr>
          <w:rFonts w:ascii="Arial" w:hAnsi="Arial" w:eastAsia="宋体" w:cs="Arial"/>
          <w:szCs w:val="21"/>
        </w:rPr>
        <w:t>对</w:t>
      </w:r>
      <w:bookmarkStart w:id="6" w:name="OLE_LINK30"/>
      <w:bookmarkStart w:id="7" w:name="OLE_LINK29"/>
      <w:r>
        <w:rPr>
          <w:rFonts w:ascii="Arial" w:hAnsi="Arial" w:eastAsia="宋体" w:cs="Arial"/>
          <w:szCs w:val="21"/>
        </w:rPr>
        <w:t>血管和神经血管</w:t>
      </w:r>
      <w:bookmarkEnd w:id="6"/>
      <w:bookmarkEnd w:id="7"/>
      <w:r>
        <w:rPr>
          <w:rFonts w:ascii="Arial" w:hAnsi="Arial" w:eastAsia="宋体" w:cs="Arial"/>
          <w:szCs w:val="21"/>
        </w:rPr>
        <w:t>栓塞治疗器械进行再分类</w:t>
      </w:r>
      <w:bookmarkEnd w:id="4"/>
      <w:bookmarkEnd w:id="5"/>
      <w:r>
        <w:rPr>
          <w:rFonts w:ascii="Arial" w:hAnsi="Arial" w:eastAsia="宋体" w:cs="Arial"/>
          <w:szCs w:val="21"/>
        </w:rPr>
        <w:t>并将其归入II类器械。血管栓塞治疗器械旨在控制动脉瘤、某些类型的肿瘤（如肾肿瘤、肝肿瘤和子宫肌瘤）和动静脉畸形所致出血。拟将神经血管栓塞治疗器械用于</w:t>
      </w:r>
      <w:bookmarkStart w:id="8" w:name="OLE_LINK134"/>
      <w:bookmarkStart w:id="9" w:name="OLE_LINK135"/>
      <w:r>
        <w:rPr>
          <w:rFonts w:ascii="Arial" w:hAnsi="Arial" w:eastAsia="宋体" w:cs="Arial"/>
          <w:szCs w:val="21"/>
        </w:rPr>
        <w:t>永久阻断脑动脉瘤和脑动静脉畸形的血流供应</w:t>
      </w:r>
      <w:bookmarkEnd w:id="8"/>
      <w:bookmarkEnd w:id="9"/>
      <w:r>
        <w:rPr>
          <w:rFonts w:ascii="Arial" w:hAnsi="Arial" w:eastAsia="宋体" w:cs="Arial"/>
          <w:szCs w:val="21"/>
        </w:rPr>
        <w:t>。食品药品监督管理局（FDA）认为与血管栓塞和神经血管栓塞治疗器械的预期用途相关的健康风险是相同的。因此，FDA认为一份指导性文件可作为两种器械类型的特殊控制功能。</w:t>
      </w:r>
    </w:p>
    <w:p w14:paraId="2C9CA61F">
      <w:pPr>
        <w:snapToGrid w:val="0"/>
        <w:spacing w:line="300" w:lineRule="auto"/>
        <w:rPr>
          <w:rFonts w:ascii="Arial" w:hAnsi="Arial" w:eastAsia="宋体" w:cs="Arial"/>
          <w:szCs w:val="21"/>
        </w:rPr>
      </w:pPr>
    </w:p>
    <w:p w14:paraId="3C92717B">
      <w:pPr>
        <w:snapToGrid w:val="0"/>
        <w:spacing w:line="300" w:lineRule="auto"/>
        <w:rPr>
          <w:rFonts w:ascii="Arial" w:hAnsi="Arial" w:eastAsia="宋体" w:cs="Arial"/>
          <w:szCs w:val="21"/>
        </w:rPr>
      </w:pPr>
      <w:r>
        <w:rPr>
          <w:rFonts w:ascii="Arial" w:hAnsi="Arial" w:eastAsia="宋体" w:cs="Arial"/>
          <w:szCs w:val="21"/>
        </w:rPr>
        <w:t>本指导性文件与联邦公报通告同时发布并宣布对</w:t>
      </w:r>
      <w:bookmarkStart w:id="10" w:name="OLE_LINK41"/>
      <w:bookmarkStart w:id="11" w:name="OLE_LINK43"/>
      <w:bookmarkStart w:id="12" w:name="OLE_LINK61"/>
      <w:r>
        <w:rPr>
          <w:rFonts w:ascii="Arial" w:hAnsi="Arial" w:eastAsia="宋体" w:cs="Arial"/>
          <w:szCs w:val="21"/>
        </w:rPr>
        <w:t>血管栓塞治疗器械和神经血管</w:t>
      </w:r>
      <w:bookmarkEnd w:id="10"/>
      <w:bookmarkEnd w:id="11"/>
      <w:bookmarkEnd w:id="12"/>
      <w:r>
        <w:rPr>
          <w:rFonts w:ascii="Arial" w:hAnsi="Arial" w:eastAsia="宋体" w:cs="Arial"/>
          <w:szCs w:val="21"/>
        </w:rPr>
        <w:t>栓塞治疗器械的再分类。对这些器械进行再分类的最终规定生效后，提交血管栓塞治疗器械或神经血管栓塞治疗器械（510（k））提交资料的任何公司均需对本特殊控制指导性文件所包含的问题予以妥善解决。然而，公司仅需说明其器械符合本指导性文件的建议规范或以某种其他方式提供安全性和有效性的等同保证。</w:t>
      </w:r>
    </w:p>
    <w:p w14:paraId="3E8E90B3">
      <w:pPr>
        <w:snapToGrid w:val="0"/>
        <w:spacing w:line="300" w:lineRule="auto"/>
        <w:rPr>
          <w:rFonts w:ascii="Arial" w:hAnsi="Arial" w:eastAsia="宋体" w:cs="Arial"/>
          <w:szCs w:val="21"/>
        </w:rPr>
      </w:pPr>
    </w:p>
    <w:p w14:paraId="722A0B57">
      <w:pPr>
        <w:snapToGrid w:val="0"/>
        <w:spacing w:line="300" w:lineRule="auto"/>
        <w:rPr>
          <w:rFonts w:ascii="Arial" w:hAnsi="Arial" w:eastAsia="宋体" w:cs="Arial"/>
          <w:szCs w:val="21"/>
        </w:rPr>
      </w:pPr>
      <w:r>
        <w:rPr>
          <w:rFonts w:ascii="Arial" w:hAnsi="Arial" w:eastAsia="宋体" w:cs="Arial"/>
          <w:szCs w:val="21"/>
        </w:rPr>
        <w:t>公司必须说明其器械通过满足本指导性文件建议规范或通过提供安全性和有效性等同保证的其他方法解决了本指导性文件确认的安全性和有效性问题。</w:t>
      </w:r>
    </w:p>
    <w:p w14:paraId="26DC196F">
      <w:pPr>
        <w:snapToGrid w:val="0"/>
        <w:spacing w:line="300" w:lineRule="auto"/>
        <w:rPr>
          <w:rFonts w:ascii="Arial" w:hAnsi="Arial" w:eastAsia="宋体" w:cs="Arial"/>
          <w:szCs w:val="21"/>
        </w:rPr>
      </w:pPr>
    </w:p>
    <w:p w14:paraId="7897B9F8">
      <w:pPr>
        <w:snapToGrid w:val="0"/>
        <w:spacing w:line="300" w:lineRule="auto"/>
        <w:rPr>
          <w:rFonts w:ascii="Arial" w:hAnsi="Arial" w:eastAsia="宋体" w:cs="Arial"/>
          <w:b/>
          <w:szCs w:val="21"/>
        </w:rPr>
      </w:pPr>
      <w:r>
        <w:rPr>
          <w:rFonts w:ascii="Arial" w:hAnsi="Arial" w:eastAsia="宋体" w:cs="Arial"/>
          <w:b/>
          <w:szCs w:val="21"/>
        </w:rPr>
        <w:t>最小负担法</w:t>
      </w:r>
    </w:p>
    <w:p w14:paraId="441663CE">
      <w:pPr>
        <w:snapToGrid w:val="0"/>
        <w:spacing w:line="300" w:lineRule="auto"/>
        <w:rPr>
          <w:rFonts w:ascii="Arial" w:hAnsi="Arial" w:eastAsia="宋体" w:cs="Arial"/>
          <w:szCs w:val="21"/>
        </w:rPr>
      </w:pPr>
    </w:p>
    <w:p w14:paraId="1AF001B5">
      <w:pPr>
        <w:snapToGrid w:val="0"/>
        <w:spacing w:line="300" w:lineRule="auto"/>
        <w:rPr>
          <w:rFonts w:ascii="Arial" w:hAnsi="Arial" w:eastAsia="宋体" w:cs="Arial"/>
          <w:szCs w:val="21"/>
        </w:rPr>
      </w:pPr>
      <w:r>
        <w:rPr>
          <w:rFonts w:ascii="Arial" w:hAnsi="Arial" w:eastAsia="宋体" w:cs="Arial"/>
          <w:szCs w:val="21"/>
        </w:rPr>
        <w:t>本指导性文件确认的问题代表我们认为在贵公司的器械上市前应解决的问题。在编制本指导性文件时，我们仔细考虑了本局决策采用的相关法定标准。另外，我们还考虑了贵公司在尝试遵循本指导性文件努力解决我们所确认问题的过程中可能产生的负担。我们认为我们已考虑采用最小负担法解决本指导性文件提出的问题。但是，如果贵公司认为有负担更小的方法可用于解决这些问题，贵公司应遵循</w:t>
      </w:r>
      <w:r>
        <w:rPr>
          <w:rFonts w:hint="eastAsia" w:ascii="Arial" w:hAnsi="Arial" w:eastAsia="宋体" w:cs="Arial"/>
          <w:szCs w:val="21"/>
        </w:rPr>
        <w:t>《</w:t>
      </w:r>
      <w:r>
        <w:rPr>
          <w:rFonts w:ascii="Arial" w:hAnsi="Arial" w:eastAsia="宋体" w:cs="Arial"/>
          <w:color w:val="0000FF"/>
          <w:szCs w:val="21"/>
        </w:rPr>
        <w:t>解决最小负担问题的建议方法</w:t>
      </w:r>
      <w:r>
        <w:rPr>
          <w:rFonts w:hint="eastAsia" w:ascii="Arial" w:hAnsi="Arial" w:eastAsia="宋体" w:cs="Arial"/>
          <w:szCs w:val="21"/>
        </w:rPr>
        <w:t>》</w:t>
      </w:r>
      <w:r>
        <w:rPr>
          <w:rFonts w:ascii="Arial" w:hAnsi="Arial" w:eastAsia="宋体" w:cs="Arial"/>
          <w:szCs w:val="21"/>
        </w:rPr>
        <w:t>文件中描述的程序予以实施。</w:t>
      </w:r>
    </w:p>
    <w:p w14:paraId="3D011F1C">
      <w:pPr>
        <w:snapToGrid w:val="0"/>
        <w:spacing w:line="300" w:lineRule="auto"/>
        <w:rPr>
          <w:rFonts w:ascii="Arial" w:hAnsi="Arial" w:eastAsia="宋体" w:cs="Arial"/>
          <w:szCs w:val="21"/>
        </w:rPr>
      </w:pPr>
    </w:p>
    <w:p w14:paraId="5C31CF8D">
      <w:pPr>
        <w:widowControl/>
        <w:snapToGrid w:val="0"/>
        <w:spacing w:line="300" w:lineRule="auto"/>
        <w:jc w:val="left"/>
        <w:rPr>
          <w:rFonts w:ascii="Arial" w:hAnsi="Arial" w:eastAsia="宋体" w:cs="Arial"/>
          <w:b/>
          <w:color w:val="333333"/>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b/>
          <w:color w:val="005F9F"/>
          <w:kern w:val="0"/>
          <w:szCs w:val="21"/>
          <w:lang w:val="en"/>
        </w:rPr>
        <w:t>返回顶部</w:t>
      </w:r>
      <w:r>
        <w:rPr>
          <w:rFonts w:ascii="Arial" w:hAnsi="Arial" w:eastAsia="宋体" w:cs="Arial"/>
          <w:b/>
          <w:color w:val="005F9F"/>
          <w:kern w:val="0"/>
          <w:szCs w:val="21"/>
          <w:lang w:val="en"/>
        </w:rPr>
        <w:fldChar w:fldCharType="end"/>
      </w:r>
    </w:p>
    <w:p w14:paraId="422076AF">
      <w:pPr>
        <w:snapToGrid w:val="0"/>
        <w:spacing w:line="300" w:lineRule="auto"/>
        <w:rPr>
          <w:rFonts w:ascii="Arial" w:hAnsi="Arial" w:eastAsia="宋体" w:cs="Arial"/>
          <w:szCs w:val="21"/>
        </w:rPr>
      </w:pPr>
    </w:p>
    <w:p w14:paraId="35234703">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8890</wp:posOffset>
                </wp:positionV>
                <wp:extent cx="5288280" cy="0"/>
                <wp:effectExtent l="0" t="0" r="27305" b="19050"/>
                <wp:wrapNone/>
                <wp:docPr id="5" name="直接连接符 5"/>
                <wp:cNvGraphicFramePr/>
                <a:graphic xmlns:a="http://schemas.openxmlformats.org/drawingml/2006/main">
                  <a:graphicData uri="http://schemas.microsoft.com/office/word/2010/wordprocessingShape">
                    <wps:wsp>
                      <wps:cNvCnPr/>
                      <wps:spPr>
                        <a:xfrm>
                          <a:off x="0" y="0"/>
                          <a:ext cx="5287993"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0.7pt;height:0pt;width:416.4pt;z-index:251661312;mso-width-relative:page;mso-height-relative:page;" filled="f" stroked="t" coordsize="21600,21600" o:gfxdata="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l79M0AAAAAYB&#10;AAAPAAAAAAAAAAEAIAAAACIAAABkcnMvZG93bnJldi54bWxQSwECFAAUAAAACACHTuJAs2PtKeoB&#10;AAC9AwAADgAAAAAAAAABACAAAAAfAQAAZHJzL2Uyb0RvYy54bWxQSwUGAAAAAAYABgBZAQAAewUA&#10;AAAA&#10;">
                <v:fill on="f" focussize="0,0"/>
                <v:stroke weight="1.5pt" color="#808080 [1612]" joinstyle="round"/>
                <v:imagedata o:title=""/>
                <o:lock v:ext="edit" aspectratio="f"/>
              </v:line>
            </w:pict>
          </mc:Fallback>
        </mc:AlternateContent>
      </w:r>
    </w:p>
    <w:p w14:paraId="0F5223DE">
      <w:pPr>
        <w:widowControl/>
        <w:jc w:val="left"/>
        <w:rPr>
          <w:rFonts w:ascii="Arial" w:hAnsi="Arial" w:eastAsia="宋体" w:cs="Arial"/>
          <w:b/>
          <w:szCs w:val="21"/>
        </w:rPr>
      </w:pPr>
      <w:r>
        <w:rPr>
          <w:rFonts w:ascii="Arial" w:hAnsi="Arial" w:eastAsia="宋体" w:cs="Arial"/>
          <w:b/>
          <w:szCs w:val="21"/>
        </w:rPr>
        <w:br w:type="page"/>
      </w:r>
    </w:p>
    <w:p w14:paraId="532E64C8">
      <w:pPr>
        <w:snapToGrid w:val="0"/>
        <w:spacing w:line="300" w:lineRule="auto"/>
        <w:rPr>
          <w:rFonts w:ascii="Arial" w:hAnsi="Arial" w:eastAsia="宋体" w:cs="Arial"/>
          <w:b/>
          <w:szCs w:val="21"/>
        </w:rPr>
      </w:pPr>
      <w:r>
        <w:rPr>
          <w:rFonts w:ascii="Arial" w:hAnsi="Arial" w:eastAsia="宋体" w:cs="Arial"/>
          <w:b/>
          <w:szCs w:val="21"/>
        </w:rPr>
        <w:t>2. 背景</w:t>
      </w:r>
    </w:p>
    <w:p w14:paraId="4E6E5511">
      <w:pPr>
        <w:snapToGrid w:val="0"/>
        <w:spacing w:line="300" w:lineRule="auto"/>
        <w:rPr>
          <w:rFonts w:ascii="Arial" w:hAnsi="Arial" w:eastAsia="宋体" w:cs="Arial"/>
          <w:szCs w:val="21"/>
        </w:rPr>
      </w:pPr>
    </w:p>
    <w:p w14:paraId="374C8E73">
      <w:pPr>
        <w:snapToGrid w:val="0"/>
        <w:spacing w:line="300" w:lineRule="auto"/>
        <w:rPr>
          <w:rFonts w:ascii="Arial" w:hAnsi="Arial" w:eastAsia="宋体" w:cs="Arial"/>
          <w:szCs w:val="21"/>
        </w:rPr>
      </w:pPr>
      <w:r>
        <w:rPr>
          <w:rFonts w:ascii="Arial" w:hAnsi="Arial" w:eastAsia="宋体" w:cs="Arial"/>
          <w:szCs w:val="21"/>
        </w:rPr>
        <w:t>FDA认为，特殊控制措施与通用控制措施相结合足以对</w:t>
      </w:r>
      <w:bookmarkStart w:id="13" w:name="OLE_LINK96"/>
      <w:bookmarkStart w:id="14" w:name="OLE_LINK97"/>
      <w:r>
        <w:rPr>
          <w:rFonts w:ascii="Arial" w:hAnsi="Arial" w:eastAsia="宋体" w:cs="Arial"/>
          <w:szCs w:val="21"/>
        </w:rPr>
        <w:t>血管栓塞治疗器械和神经血管</w:t>
      </w:r>
      <w:bookmarkEnd w:id="13"/>
      <w:bookmarkEnd w:id="14"/>
      <w:r>
        <w:rPr>
          <w:rFonts w:ascii="Arial" w:hAnsi="Arial" w:eastAsia="宋体" w:cs="Arial"/>
          <w:szCs w:val="21"/>
        </w:rPr>
        <w:t xml:space="preserve">栓塞治疗器械的安全性与有效性提供合理保证。因此，预计上市这些属性类型中一种器械的制造商应（1）遵循联邦食品、药品和化妆品法案（简称法案）规定的通用控制要求，包括 </w:t>
      </w:r>
      <w:r>
        <w:rPr>
          <w:rFonts w:ascii="Arial" w:hAnsi="Arial" w:eastAsia="宋体" w:cs="Arial"/>
          <w:color w:val="0000FF"/>
          <w:szCs w:val="21"/>
        </w:rPr>
        <w:t>21 CFR 807 子部分E</w:t>
      </w:r>
      <w:r>
        <w:rPr>
          <w:rFonts w:ascii="Arial" w:hAnsi="Arial" w:eastAsia="宋体" w:cs="Arial"/>
          <w:szCs w:val="21"/>
        </w:rPr>
        <w:t>描述的上市前通告要求，（2）解决本指导性文件确定的与</w:t>
      </w:r>
      <w:bookmarkStart w:id="15" w:name="OLE_LINK71"/>
      <w:bookmarkStart w:id="16" w:name="OLE_LINK70"/>
      <w:r>
        <w:rPr>
          <w:rFonts w:ascii="Arial" w:hAnsi="Arial" w:eastAsia="宋体" w:cs="Arial"/>
          <w:szCs w:val="21"/>
        </w:rPr>
        <w:t>这些</w:t>
      </w:r>
      <w:bookmarkEnd w:id="15"/>
      <w:bookmarkEnd w:id="16"/>
      <w:r>
        <w:rPr>
          <w:rFonts w:ascii="Arial" w:hAnsi="Arial" w:eastAsia="宋体" w:cs="Arial"/>
          <w:szCs w:val="21"/>
        </w:rPr>
        <w:t>器械相关的特定健康风险，（3）于上市该器械前从FDA获得实质等同测定。</w:t>
      </w:r>
    </w:p>
    <w:p w14:paraId="02F6C634">
      <w:pPr>
        <w:snapToGrid w:val="0"/>
        <w:spacing w:line="300" w:lineRule="auto"/>
        <w:rPr>
          <w:rFonts w:ascii="Arial" w:hAnsi="Arial" w:eastAsia="宋体" w:cs="Arial"/>
          <w:szCs w:val="21"/>
        </w:rPr>
      </w:pPr>
    </w:p>
    <w:p w14:paraId="73DE7A7D">
      <w:pPr>
        <w:snapToGrid w:val="0"/>
        <w:spacing w:line="300" w:lineRule="auto"/>
        <w:rPr>
          <w:rFonts w:ascii="Arial" w:hAnsi="Arial" w:eastAsia="宋体" w:cs="Arial"/>
          <w:szCs w:val="21"/>
        </w:rPr>
      </w:pPr>
      <w:r>
        <w:rPr>
          <w:rFonts w:ascii="Arial" w:hAnsi="Arial" w:eastAsia="宋体" w:cs="Arial"/>
          <w:szCs w:val="21"/>
        </w:rPr>
        <w:t>本指导性文件确定了这些器械的分类</w:t>
      </w:r>
      <w:r>
        <w:rPr>
          <w:rFonts w:hint="eastAsia" w:ascii="Arial" w:hAnsi="Arial" w:eastAsia="宋体" w:cs="Arial"/>
          <w:szCs w:val="21"/>
        </w:rPr>
        <w:t>法规</w:t>
      </w:r>
      <w:r>
        <w:rPr>
          <w:rFonts w:ascii="Arial" w:hAnsi="Arial" w:eastAsia="宋体" w:cs="Arial"/>
          <w:szCs w:val="21"/>
        </w:rPr>
        <w:t>和产品代码（参考第4节－适用范围）。另外，本特殊控制指导性文件在其他部分列出了FDA确定的健康风险并描述了相应的控制措施。制造商如果遵循这些措施并与通用控制措施相结合，通常可解决与这些器械相关的健康风险并可使510（k）提交资料及时获得审查和许可。本指导性文件补充了关于510（k）提交资料所含内容的其他FDA文件。贵公司还应参考医疗器械和放射卫生中心的</w:t>
      </w:r>
      <w:r>
        <w:rPr>
          <w:rFonts w:ascii="宋体" w:hAnsi="宋体" w:eastAsia="宋体" w:cs="Arial"/>
          <w:szCs w:val="21"/>
        </w:rPr>
        <w:t>“</w:t>
      </w:r>
      <w:r>
        <w:rPr>
          <w:rFonts w:ascii="Arial" w:hAnsi="Arial" w:eastAsia="宋体" w:cs="Arial"/>
          <w:szCs w:val="21"/>
        </w:rPr>
        <w:t>器械建议</w:t>
      </w:r>
      <w:r>
        <w:rPr>
          <w:rFonts w:ascii="宋体" w:hAnsi="宋体" w:eastAsia="宋体" w:cs="Arial"/>
          <w:szCs w:val="21"/>
        </w:rPr>
        <w:t>”</w:t>
      </w:r>
      <w:r>
        <w:rPr>
          <w:rFonts w:ascii="Arial" w:hAnsi="Arial" w:eastAsia="宋体" w:cs="Arial"/>
          <w:szCs w:val="21"/>
        </w:rPr>
        <w:t>和 21 CFR § 807.87的相关规定。</w:t>
      </w:r>
    </w:p>
    <w:p w14:paraId="57232B5B">
      <w:pPr>
        <w:snapToGrid w:val="0"/>
        <w:spacing w:line="300" w:lineRule="auto"/>
        <w:rPr>
          <w:rFonts w:ascii="Arial" w:hAnsi="Arial" w:eastAsia="宋体" w:cs="Arial"/>
          <w:szCs w:val="21"/>
        </w:rPr>
      </w:pPr>
    </w:p>
    <w:p w14:paraId="67D757DB">
      <w:pPr>
        <w:snapToGrid w:val="0"/>
        <w:spacing w:line="300" w:lineRule="auto"/>
        <w:rPr>
          <w:rFonts w:ascii="Arial" w:hAnsi="Arial" w:eastAsia="宋体" w:cs="Arial"/>
          <w:szCs w:val="21"/>
        </w:rPr>
      </w:pPr>
      <w:r>
        <w:rPr>
          <w:rFonts w:ascii="Arial" w:hAnsi="Arial" w:eastAsia="宋体" w:cs="Arial"/>
          <w:szCs w:val="21"/>
        </w:rPr>
        <w:t>如题为</w:t>
      </w:r>
      <w:r>
        <w:rPr>
          <w:rFonts w:hint="eastAsia" w:ascii="宋体" w:hAnsi="宋体" w:eastAsia="宋体" w:cs="Arial"/>
          <w:szCs w:val="21"/>
        </w:rPr>
        <w:t>《</w:t>
      </w:r>
      <w:r>
        <w:rPr>
          <w:rFonts w:ascii="Arial" w:hAnsi="Arial" w:eastAsia="宋体" w:cs="Arial"/>
          <w:color w:val="0000FF"/>
          <w:szCs w:val="21"/>
        </w:rPr>
        <w:t>510（k）新范本－在上市前通告中证明实质等同的备选方法；最终</w:t>
      </w:r>
      <w:r>
        <w:rPr>
          <w:rFonts w:hint="eastAsia" w:ascii="Arial" w:hAnsi="Arial" w:eastAsia="宋体" w:cs="Arial"/>
          <w:color w:val="0000FF"/>
          <w:szCs w:val="21"/>
        </w:rPr>
        <w:t>指南</w:t>
      </w:r>
      <w:r>
        <w:rPr>
          <w:rFonts w:hint="eastAsia" w:ascii="宋体" w:hAnsi="宋体" w:eastAsia="宋体" w:cs="Arial"/>
          <w:szCs w:val="21"/>
        </w:rPr>
        <w:t>》</w:t>
      </w:r>
      <w:r>
        <w:rPr>
          <w:rFonts w:ascii="Arial" w:hAnsi="Arial" w:eastAsia="宋体" w:cs="Arial"/>
          <w:szCs w:val="21"/>
        </w:rPr>
        <w:t>的指导性文件所述，制造商可提交传统510（k）提交资料，或选择提交简化510（k）提交资料或特别510（k）提交资料。FDA认为，简化510（k）提交资料提供了证明新器械实质等同的最小负担法，特别是一旦发布II类特殊控制指导性文件后。考虑对自己已获许可器械做出更改的制造商提交特别510（k）提交资料可减轻监管负担。</w:t>
      </w:r>
    </w:p>
    <w:p w14:paraId="144F575F">
      <w:pPr>
        <w:snapToGrid w:val="0"/>
        <w:spacing w:line="300" w:lineRule="auto"/>
        <w:rPr>
          <w:rStyle w:val="8"/>
          <w:rFonts w:ascii="Arial" w:hAnsi="Arial" w:eastAsia="宋体" w:cs="Arial"/>
          <w:b/>
          <w:szCs w:val="21"/>
          <w:u w:val="none"/>
          <w:lang w:val="en"/>
        </w:rPr>
      </w:pPr>
      <w:r>
        <w:rPr>
          <w:rFonts w:ascii="Arial" w:hAnsi="Arial" w:eastAsia="宋体" w:cs="Arial"/>
          <w:b/>
          <w:szCs w:val="21"/>
        </w:rPr>
        <w:fldChar w:fldCharType="begin"/>
      </w:r>
      <w:r>
        <w:rPr>
          <w:rFonts w:ascii="Arial" w:hAnsi="Arial" w:eastAsia="宋体" w:cs="Arial"/>
          <w:b/>
          <w:szCs w:val="21"/>
        </w:rPr>
        <w:instrText xml:space="preserve"> HYPERLINK "https://www.fda.gov/MedicalDevices/DeviceRegulationandGuidance/GuidanceDocuments/ucm072013.htm" \l "top" </w:instrText>
      </w:r>
      <w:r>
        <w:rPr>
          <w:rFonts w:ascii="Arial" w:hAnsi="Arial" w:eastAsia="宋体" w:cs="Arial"/>
          <w:b/>
          <w:szCs w:val="21"/>
        </w:rPr>
        <w:fldChar w:fldCharType="separate"/>
      </w:r>
    </w:p>
    <w:p w14:paraId="66A312E3">
      <w:pPr>
        <w:snapToGrid w:val="0"/>
        <w:spacing w:line="300" w:lineRule="auto"/>
        <w:rPr>
          <w:rFonts w:ascii="Arial" w:hAnsi="Arial" w:eastAsia="宋体" w:cs="Arial"/>
          <w:b/>
          <w:szCs w:val="21"/>
          <w:lang w:val="en"/>
        </w:rPr>
      </w:pPr>
      <w:r>
        <w:rPr>
          <w:rStyle w:val="8"/>
          <w:rFonts w:ascii="Arial" w:hAnsi="Arial" w:eastAsia="宋体" w:cs="Arial"/>
          <w:b/>
          <w:szCs w:val="21"/>
          <w:u w:val="none"/>
          <w:lang w:val="en"/>
        </w:rPr>
        <w:t>返回顶部</w:t>
      </w:r>
      <w:r>
        <w:rPr>
          <w:rFonts w:ascii="Arial" w:hAnsi="Arial" w:eastAsia="宋体" w:cs="Arial"/>
          <w:b/>
          <w:szCs w:val="21"/>
        </w:rPr>
        <w:fldChar w:fldCharType="end"/>
      </w:r>
    </w:p>
    <w:p w14:paraId="2FB591C7">
      <w:pPr>
        <w:snapToGrid w:val="0"/>
        <w:spacing w:line="300" w:lineRule="auto"/>
        <w:rPr>
          <w:rFonts w:ascii="Arial" w:hAnsi="Arial" w:eastAsia="宋体" w:cs="Arial"/>
          <w:szCs w:val="21"/>
        </w:rPr>
      </w:pPr>
    </w:p>
    <w:p w14:paraId="0F2A156E">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12700</wp:posOffset>
                </wp:positionV>
                <wp:extent cx="5287645" cy="0"/>
                <wp:effectExtent l="0" t="0" r="27305" b="19050"/>
                <wp:wrapNone/>
                <wp:docPr id="6" name="直接连接符 6"/>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pt;height:0pt;width:416.35pt;z-index:251662336;mso-width-relative:page;mso-height-relative:page;" filled="f" stroked="t" coordsize="21600,21600" o:gfxdata="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j91y9EAAAAG&#10;AQAADwAAAAAAAAABACAAAAAiAAAAZHJzL2Rvd25yZXYueG1sUEsBAhQAFAAAAAgAh07iQGPi897q&#10;AQAAvQMAAA4AAAAAAAAAAQAgAAAAIAEAAGRycy9lMm9Eb2MueG1sUEsFBgAAAAAGAAYAWQEAAHwF&#10;AAAAAA==&#10;">
                <v:fill on="f" focussize="0,0"/>
                <v:stroke weight="1.5pt" color="#808080 [1612]" joinstyle="round"/>
                <v:imagedata o:title=""/>
                <o:lock v:ext="edit" aspectratio="f"/>
              </v:line>
            </w:pict>
          </mc:Fallback>
        </mc:AlternateContent>
      </w:r>
    </w:p>
    <w:p w14:paraId="383B942B">
      <w:pPr>
        <w:snapToGrid w:val="0"/>
        <w:spacing w:line="300" w:lineRule="auto"/>
        <w:rPr>
          <w:rFonts w:ascii="Arial" w:hAnsi="Arial" w:eastAsia="宋体" w:cs="Arial"/>
          <w:b/>
          <w:szCs w:val="21"/>
        </w:rPr>
      </w:pPr>
      <w:r>
        <w:rPr>
          <w:rFonts w:ascii="Arial" w:hAnsi="Arial" w:eastAsia="宋体" w:cs="Arial"/>
          <w:b/>
          <w:szCs w:val="21"/>
        </w:rPr>
        <w:t>3. 简化510（k）提交资料的内容和格式</w:t>
      </w:r>
    </w:p>
    <w:p w14:paraId="2D299D6C">
      <w:pPr>
        <w:snapToGrid w:val="0"/>
        <w:spacing w:line="300" w:lineRule="auto"/>
        <w:rPr>
          <w:rFonts w:ascii="Arial" w:hAnsi="Arial" w:eastAsia="宋体" w:cs="Arial"/>
          <w:szCs w:val="21"/>
        </w:rPr>
      </w:pPr>
    </w:p>
    <w:p w14:paraId="2C9A809C">
      <w:pPr>
        <w:widowControl/>
        <w:jc w:val="left"/>
        <w:rPr>
          <w:rFonts w:ascii="Arial" w:hAnsi="Arial" w:eastAsia="宋体" w:cs="Arial"/>
          <w:szCs w:val="21"/>
        </w:rPr>
      </w:pPr>
      <w:r>
        <w:rPr>
          <w:rFonts w:ascii="Arial" w:hAnsi="Arial" w:eastAsia="宋体" w:cs="Arial"/>
          <w:szCs w:val="21"/>
        </w:rPr>
        <w:br w:type="page"/>
      </w:r>
    </w:p>
    <w:p w14:paraId="394431DC">
      <w:pPr>
        <w:snapToGrid w:val="0"/>
        <w:spacing w:line="300" w:lineRule="auto"/>
        <w:rPr>
          <w:rFonts w:ascii="Arial" w:hAnsi="Arial" w:eastAsia="宋体" w:cs="Arial"/>
          <w:szCs w:val="21"/>
        </w:rPr>
      </w:pPr>
      <w:r>
        <w:rPr>
          <w:rFonts w:ascii="Arial" w:hAnsi="Arial" w:eastAsia="宋体" w:cs="Arial"/>
          <w:szCs w:val="21"/>
        </w:rPr>
        <w:t>简化510（k）提交资料必须包括 21 CFR 807.87确认的必要元素，包括足以描述器械、预期用途和使用说明的建议标签。在简化510（k）提交资料中，FDA可能会考虑总结报告的内容是否适当支持了CFR 807.87（f）或（g）条款意图之内的数据。因此，我们建议贵公司在提交资料中包括总结报告。该报告应对器械开发和测试期间如何使用本特殊控制指导性文件做出描述并对所用方法或测试做出简要描述。我们还建议贵公司在提交资料中包括测试数据概要或对验收标准的描述。验收标准用于处理本文件确认的健康风险以及贵公司的器械所特有的任何其他风险。本节提供信息的目的是为了满足21 CFR 807.87的某些要求以及我们建议贵公司将其包含在简化510（k）提交资料中的某些其他要求。</w:t>
      </w:r>
    </w:p>
    <w:p w14:paraId="2482CF86">
      <w:pPr>
        <w:snapToGrid w:val="0"/>
        <w:spacing w:line="300" w:lineRule="auto"/>
        <w:rPr>
          <w:rFonts w:ascii="Arial" w:hAnsi="Arial" w:eastAsia="宋体" w:cs="Arial"/>
          <w:szCs w:val="21"/>
        </w:rPr>
      </w:pPr>
    </w:p>
    <w:p w14:paraId="7C899C21">
      <w:pPr>
        <w:snapToGrid w:val="0"/>
        <w:spacing w:line="300" w:lineRule="auto"/>
        <w:rPr>
          <w:rFonts w:ascii="Arial" w:hAnsi="Arial" w:eastAsia="宋体" w:cs="Arial"/>
          <w:b/>
          <w:szCs w:val="21"/>
        </w:rPr>
      </w:pPr>
      <w:r>
        <w:rPr>
          <w:rFonts w:ascii="Arial" w:hAnsi="Arial" w:eastAsia="宋体" w:cs="Arial"/>
          <w:b/>
          <w:szCs w:val="21"/>
        </w:rPr>
        <w:t>封面</w:t>
      </w:r>
    </w:p>
    <w:p w14:paraId="17668B18">
      <w:pPr>
        <w:snapToGrid w:val="0"/>
        <w:spacing w:line="300" w:lineRule="auto"/>
        <w:rPr>
          <w:rFonts w:ascii="Arial" w:hAnsi="Arial" w:eastAsia="宋体" w:cs="Arial"/>
          <w:szCs w:val="21"/>
        </w:rPr>
      </w:pPr>
    </w:p>
    <w:p w14:paraId="50E0A6AF">
      <w:pPr>
        <w:snapToGrid w:val="0"/>
        <w:spacing w:line="300" w:lineRule="auto"/>
        <w:rPr>
          <w:rFonts w:ascii="Arial" w:hAnsi="Arial" w:eastAsia="宋体" w:cs="Arial"/>
          <w:szCs w:val="21"/>
        </w:rPr>
      </w:pPr>
      <w:r>
        <w:rPr>
          <w:rFonts w:ascii="Arial" w:hAnsi="Arial" w:eastAsia="宋体" w:cs="Arial"/>
          <w:szCs w:val="21"/>
        </w:rPr>
        <w:t>在封面上应以醒目方式说明本提交资料为简化510（k）提交资料并注明本特殊控制指导性文件的标题。</w:t>
      </w:r>
    </w:p>
    <w:p w14:paraId="39D58D1E">
      <w:pPr>
        <w:snapToGrid w:val="0"/>
        <w:spacing w:line="300" w:lineRule="auto"/>
        <w:rPr>
          <w:rFonts w:ascii="Arial" w:hAnsi="Arial" w:eastAsia="宋体" w:cs="Arial"/>
          <w:szCs w:val="21"/>
        </w:rPr>
      </w:pPr>
    </w:p>
    <w:p w14:paraId="6E4DF2BC">
      <w:pPr>
        <w:snapToGrid w:val="0"/>
        <w:spacing w:line="300" w:lineRule="auto"/>
        <w:rPr>
          <w:rFonts w:ascii="Arial" w:hAnsi="Arial" w:eastAsia="宋体" w:cs="Arial"/>
          <w:b/>
          <w:szCs w:val="21"/>
        </w:rPr>
      </w:pPr>
      <w:r>
        <w:rPr>
          <w:rFonts w:ascii="Arial" w:hAnsi="Arial" w:eastAsia="宋体" w:cs="Arial"/>
          <w:b/>
          <w:szCs w:val="21"/>
        </w:rPr>
        <w:t>建议标签</w:t>
      </w:r>
    </w:p>
    <w:p w14:paraId="7D85BBBF">
      <w:pPr>
        <w:snapToGrid w:val="0"/>
        <w:spacing w:line="300" w:lineRule="auto"/>
        <w:rPr>
          <w:rFonts w:ascii="Arial" w:hAnsi="Arial" w:eastAsia="宋体" w:cs="Arial"/>
          <w:szCs w:val="21"/>
        </w:rPr>
      </w:pPr>
    </w:p>
    <w:p w14:paraId="55FFDEF8">
      <w:pPr>
        <w:snapToGrid w:val="0"/>
        <w:spacing w:line="300" w:lineRule="auto"/>
        <w:rPr>
          <w:rFonts w:ascii="Arial" w:hAnsi="Arial" w:eastAsia="宋体" w:cs="Arial"/>
          <w:szCs w:val="21"/>
        </w:rPr>
      </w:pPr>
      <w:r>
        <w:rPr>
          <w:rFonts w:ascii="Arial" w:hAnsi="Arial" w:eastAsia="宋体" w:cs="Arial"/>
          <w:szCs w:val="21"/>
        </w:rPr>
        <w:t>建议标签应足以描述器械、预期用途和使用说明（关于包含在本指导性文件所含器械类型标签中的具体信息，请参考第11节）。</w:t>
      </w:r>
    </w:p>
    <w:p w14:paraId="4408C2D6">
      <w:pPr>
        <w:snapToGrid w:val="0"/>
        <w:spacing w:line="300" w:lineRule="auto"/>
        <w:rPr>
          <w:rFonts w:ascii="Arial" w:hAnsi="Arial" w:eastAsia="宋体" w:cs="Arial"/>
          <w:szCs w:val="21"/>
        </w:rPr>
      </w:pPr>
    </w:p>
    <w:p w14:paraId="70CD7C82">
      <w:pPr>
        <w:snapToGrid w:val="0"/>
        <w:spacing w:line="300" w:lineRule="auto"/>
        <w:rPr>
          <w:rFonts w:ascii="Arial" w:hAnsi="Arial" w:eastAsia="宋体" w:cs="Arial"/>
          <w:b/>
          <w:szCs w:val="21"/>
        </w:rPr>
      </w:pPr>
      <w:r>
        <w:rPr>
          <w:rFonts w:ascii="Arial" w:hAnsi="Arial" w:eastAsia="宋体" w:cs="Arial"/>
          <w:b/>
          <w:szCs w:val="21"/>
        </w:rPr>
        <w:t>总结报告</w:t>
      </w:r>
    </w:p>
    <w:p w14:paraId="6770B10D">
      <w:pPr>
        <w:snapToGrid w:val="0"/>
        <w:spacing w:line="300" w:lineRule="auto"/>
        <w:rPr>
          <w:rFonts w:ascii="Arial" w:hAnsi="Arial" w:eastAsia="宋体" w:cs="Arial"/>
          <w:szCs w:val="21"/>
        </w:rPr>
      </w:pPr>
    </w:p>
    <w:p w14:paraId="527D0472">
      <w:pPr>
        <w:snapToGrid w:val="0"/>
        <w:spacing w:line="300" w:lineRule="auto"/>
        <w:rPr>
          <w:rFonts w:ascii="Arial" w:hAnsi="Arial" w:eastAsia="宋体" w:cs="Arial"/>
          <w:szCs w:val="21"/>
        </w:rPr>
      </w:pPr>
      <w:r>
        <w:rPr>
          <w:rFonts w:ascii="Arial" w:hAnsi="Arial" w:eastAsia="宋体" w:cs="Arial"/>
          <w:szCs w:val="21"/>
        </w:rPr>
        <w:t>我们建议在总结报告中包含下列内容：</w:t>
      </w:r>
    </w:p>
    <w:p w14:paraId="3A829FC9">
      <w:pPr>
        <w:snapToGrid w:val="0"/>
        <w:spacing w:line="300" w:lineRule="auto"/>
        <w:rPr>
          <w:rFonts w:ascii="Arial" w:hAnsi="Arial" w:eastAsia="宋体" w:cs="Arial"/>
          <w:szCs w:val="21"/>
        </w:rPr>
      </w:pPr>
    </w:p>
    <w:p w14:paraId="6E2AAC2F">
      <w:pPr>
        <w:snapToGrid w:val="0"/>
        <w:spacing w:line="300" w:lineRule="auto"/>
        <w:rPr>
          <w:rFonts w:ascii="Arial" w:hAnsi="Arial" w:eastAsia="宋体" w:cs="Arial"/>
          <w:b/>
          <w:szCs w:val="21"/>
        </w:rPr>
      </w:pPr>
      <w:r>
        <w:rPr>
          <w:rFonts w:ascii="Arial" w:hAnsi="Arial" w:eastAsia="宋体" w:cs="Arial"/>
          <w:b/>
          <w:szCs w:val="21"/>
        </w:rPr>
        <w:t>器械描述及其预期用途</w:t>
      </w:r>
    </w:p>
    <w:p w14:paraId="763A49DE">
      <w:pPr>
        <w:snapToGrid w:val="0"/>
        <w:spacing w:line="300" w:lineRule="auto"/>
        <w:rPr>
          <w:rFonts w:ascii="Arial" w:hAnsi="Arial" w:eastAsia="宋体" w:cs="Arial"/>
          <w:szCs w:val="21"/>
        </w:rPr>
      </w:pPr>
    </w:p>
    <w:p w14:paraId="7283CB5C">
      <w:pPr>
        <w:snapToGrid w:val="0"/>
        <w:spacing w:line="300" w:lineRule="auto"/>
        <w:rPr>
          <w:rFonts w:ascii="Arial" w:hAnsi="Arial" w:eastAsia="宋体" w:cs="Arial"/>
          <w:szCs w:val="21"/>
        </w:rPr>
      </w:pPr>
      <w:r>
        <w:rPr>
          <w:rFonts w:ascii="Arial" w:hAnsi="Arial" w:eastAsia="宋体" w:cs="Arial"/>
          <w:szCs w:val="21"/>
        </w:rPr>
        <w:t>我们建议在描述中包含对性能参数的全面讨论，适当的时候还要包含详细标签的器械图纸（关于我们建议贵公司包含在本指导性文件所含器械类型的器械描述中的具体信息，请参考</w:t>
      </w:r>
      <w:r>
        <w:rPr>
          <w:rFonts w:ascii="Arial" w:hAnsi="Arial" w:eastAsia="宋体" w:cs="Arial"/>
          <w:color w:val="0000FF"/>
          <w:szCs w:val="21"/>
        </w:rPr>
        <w:t>第5节</w:t>
      </w:r>
      <w:r>
        <w:rPr>
          <w:rFonts w:ascii="Arial" w:hAnsi="Arial" w:eastAsia="宋体" w:cs="Arial"/>
          <w:szCs w:val="21"/>
        </w:rPr>
        <w:t>器械描述</w:t>
      </w:r>
      <w:bookmarkStart w:id="17" w:name="OLE_LINK58"/>
      <w:r>
        <w:rPr>
          <w:rFonts w:ascii="Arial" w:hAnsi="Arial" w:eastAsia="宋体" w:cs="Arial"/>
          <w:szCs w:val="21"/>
        </w:rPr>
        <w:t>）</w:t>
      </w:r>
      <w:bookmarkEnd w:id="17"/>
      <w:r>
        <w:rPr>
          <w:rFonts w:ascii="Arial" w:hAnsi="Arial" w:eastAsia="宋体" w:cs="Arial"/>
          <w:szCs w:val="21"/>
        </w:rPr>
        <w:t>。贵公司还应提交一份</w:t>
      </w:r>
      <w:r>
        <w:rPr>
          <w:rFonts w:ascii="宋体" w:hAnsi="宋体" w:eastAsia="宋体" w:cs="Arial"/>
          <w:szCs w:val="21"/>
        </w:rPr>
        <w:t>“</w:t>
      </w:r>
      <w:r>
        <w:rPr>
          <w:rFonts w:ascii="Arial" w:hAnsi="Arial" w:eastAsia="宋体" w:cs="Arial"/>
          <w:szCs w:val="21"/>
        </w:rPr>
        <w:t>适应症</w:t>
      </w:r>
      <w:r>
        <w:rPr>
          <w:rFonts w:ascii="宋体" w:hAnsi="宋体" w:eastAsia="宋体" w:cs="Arial"/>
          <w:szCs w:val="21"/>
        </w:rPr>
        <w:t>”</w:t>
      </w:r>
      <w:r>
        <w:rPr>
          <w:rFonts w:ascii="Arial" w:hAnsi="Arial" w:eastAsia="宋体" w:cs="Arial"/>
          <w:szCs w:val="21"/>
        </w:rPr>
        <w:t>附件。</w:t>
      </w:r>
      <w:r>
        <w:rPr>
          <w:rFonts w:ascii="Arial" w:hAnsi="Arial" w:eastAsia="宋体" w:cs="Arial"/>
          <w:szCs w:val="21"/>
          <w:vertAlign w:val="superscript"/>
        </w:rPr>
        <w:t>1</w:t>
      </w:r>
    </w:p>
    <w:p w14:paraId="3C266FE5">
      <w:pPr>
        <w:snapToGrid w:val="0"/>
        <w:spacing w:line="300" w:lineRule="auto"/>
        <w:rPr>
          <w:rFonts w:ascii="Arial" w:hAnsi="Arial" w:eastAsia="宋体" w:cs="Arial"/>
          <w:szCs w:val="21"/>
        </w:rPr>
      </w:pPr>
    </w:p>
    <w:p w14:paraId="3F88DE5F">
      <w:pPr>
        <w:snapToGrid w:val="0"/>
        <w:spacing w:line="300" w:lineRule="auto"/>
        <w:rPr>
          <w:rFonts w:ascii="Arial" w:hAnsi="Arial" w:eastAsia="宋体" w:cs="Arial"/>
          <w:b/>
          <w:szCs w:val="21"/>
        </w:rPr>
      </w:pPr>
      <w:r>
        <w:rPr>
          <w:rFonts w:ascii="Arial" w:hAnsi="Arial" w:eastAsia="宋体" w:cs="Arial"/>
          <w:b/>
          <w:szCs w:val="21"/>
        </w:rPr>
        <w:t>描述器械设计要求</w:t>
      </w:r>
    </w:p>
    <w:p w14:paraId="78DA129C">
      <w:pPr>
        <w:snapToGrid w:val="0"/>
        <w:spacing w:line="300" w:lineRule="auto"/>
        <w:rPr>
          <w:rFonts w:ascii="Arial" w:hAnsi="Arial" w:eastAsia="宋体" w:cs="Arial"/>
          <w:szCs w:val="21"/>
        </w:rPr>
      </w:pPr>
    </w:p>
    <w:p w14:paraId="096CFF10">
      <w:pPr>
        <w:snapToGrid w:val="0"/>
        <w:spacing w:line="300" w:lineRule="auto"/>
        <w:rPr>
          <w:rFonts w:ascii="Arial" w:hAnsi="Arial" w:eastAsia="宋体" w:cs="Arial"/>
          <w:szCs w:val="21"/>
        </w:rPr>
      </w:pPr>
      <w:r>
        <w:rPr>
          <w:rFonts w:ascii="Arial" w:hAnsi="Arial" w:eastAsia="宋体" w:cs="Arial"/>
          <w:szCs w:val="21"/>
        </w:rPr>
        <w:t>我们建议贵公司包括器械设计要求的简要说明。</w:t>
      </w:r>
    </w:p>
    <w:p w14:paraId="645E3C3F">
      <w:pPr>
        <w:snapToGrid w:val="0"/>
        <w:spacing w:line="300" w:lineRule="auto"/>
        <w:rPr>
          <w:rFonts w:ascii="Arial" w:hAnsi="Arial" w:eastAsia="宋体" w:cs="Arial"/>
          <w:szCs w:val="21"/>
        </w:rPr>
      </w:pPr>
    </w:p>
    <w:p w14:paraId="5CE761BD">
      <w:pPr>
        <w:snapToGrid w:val="0"/>
        <w:spacing w:line="300" w:lineRule="auto"/>
        <w:rPr>
          <w:rFonts w:ascii="Arial" w:hAnsi="Arial" w:eastAsia="宋体" w:cs="Arial"/>
          <w:b/>
          <w:szCs w:val="21"/>
        </w:rPr>
      </w:pPr>
      <w:r>
        <w:rPr>
          <w:rFonts w:ascii="Arial" w:hAnsi="Arial" w:eastAsia="宋体" w:cs="Arial"/>
          <w:b/>
          <w:szCs w:val="21"/>
        </w:rPr>
        <w:t>风险分析方法确定</w:t>
      </w:r>
    </w:p>
    <w:p w14:paraId="7D387020">
      <w:pPr>
        <w:snapToGrid w:val="0"/>
        <w:spacing w:line="300" w:lineRule="auto"/>
        <w:rPr>
          <w:rFonts w:ascii="Arial" w:hAnsi="Arial" w:eastAsia="宋体" w:cs="Arial"/>
          <w:szCs w:val="21"/>
        </w:rPr>
      </w:pPr>
    </w:p>
    <w:p w14:paraId="4537CF99">
      <w:pPr>
        <w:snapToGrid w:val="0"/>
        <w:spacing w:line="300" w:lineRule="auto"/>
        <w:rPr>
          <w:rFonts w:ascii="Arial" w:hAnsi="Arial" w:eastAsia="宋体" w:cs="Arial"/>
          <w:szCs w:val="21"/>
        </w:rPr>
      </w:pPr>
      <w:r>
        <w:rPr>
          <w:rFonts w:ascii="Arial" w:hAnsi="Arial" w:eastAsia="宋体" w:cs="Arial"/>
          <w:szCs w:val="21"/>
        </w:rPr>
        <w:t>我们建议贵公司确定通常用于评估风险状况的风险分析方法以及具体器械的设计和分析结果（经FDA确定的通常与本器械使用相关的健康风险，请参考</w:t>
      </w:r>
      <w:r>
        <w:rPr>
          <w:rFonts w:ascii="Arial" w:hAnsi="Arial" w:eastAsia="宋体" w:cs="Arial"/>
          <w:color w:val="0000FF"/>
          <w:szCs w:val="21"/>
        </w:rPr>
        <w:t>第6节</w:t>
      </w:r>
      <w:r>
        <w:rPr>
          <w:rFonts w:ascii="Arial" w:hAnsi="Arial" w:eastAsia="宋体" w:cs="Arial"/>
          <w:szCs w:val="21"/>
        </w:rPr>
        <w:t>健康风险）。</w:t>
      </w:r>
    </w:p>
    <w:p w14:paraId="627F5796">
      <w:pPr>
        <w:snapToGrid w:val="0"/>
        <w:spacing w:line="300" w:lineRule="auto"/>
        <w:rPr>
          <w:rFonts w:ascii="Arial" w:hAnsi="Arial" w:eastAsia="宋体" w:cs="Arial"/>
          <w:szCs w:val="21"/>
        </w:rPr>
      </w:pPr>
    </w:p>
    <w:p w14:paraId="74EDDF27">
      <w:pPr>
        <w:snapToGrid w:val="0"/>
        <w:spacing w:line="300" w:lineRule="auto"/>
        <w:rPr>
          <w:rFonts w:ascii="Arial" w:hAnsi="Arial" w:eastAsia="宋体" w:cs="Arial"/>
          <w:b/>
          <w:szCs w:val="21"/>
        </w:rPr>
      </w:pPr>
      <w:r>
        <w:rPr>
          <w:rFonts w:ascii="Arial" w:hAnsi="Arial" w:eastAsia="宋体" w:cs="Arial"/>
          <w:b/>
          <w:szCs w:val="21"/>
        </w:rPr>
        <w:t>器械特征讨论</w:t>
      </w:r>
    </w:p>
    <w:p w14:paraId="4F556DD8">
      <w:pPr>
        <w:snapToGrid w:val="0"/>
        <w:spacing w:line="300" w:lineRule="auto"/>
        <w:rPr>
          <w:rFonts w:ascii="Arial" w:hAnsi="Arial" w:eastAsia="宋体" w:cs="Arial"/>
          <w:szCs w:val="21"/>
        </w:rPr>
      </w:pPr>
    </w:p>
    <w:p w14:paraId="4A200AA4">
      <w:pPr>
        <w:snapToGrid w:val="0"/>
        <w:spacing w:line="300" w:lineRule="auto"/>
        <w:rPr>
          <w:rFonts w:ascii="Arial" w:hAnsi="Arial" w:eastAsia="宋体" w:cs="Arial"/>
          <w:szCs w:val="21"/>
        </w:rPr>
      </w:pPr>
      <w:r>
        <w:rPr>
          <w:rFonts w:ascii="Arial" w:hAnsi="Arial" w:eastAsia="宋体" w:cs="Arial"/>
          <w:szCs w:val="21"/>
        </w:rPr>
        <w:t>我们建议贵公司对器械特征进行讨论。这些特征用于解决本II类特殊控制指导性文件确定的健康风险与贵公司在风险分析中确定的任何其他风险。</w:t>
      </w:r>
    </w:p>
    <w:p w14:paraId="1F891A84">
      <w:pPr>
        <w:snapToGrid w:val="0"/>
        <w:spacing w:line="300" w:lineRule="auto"/>
        <w:rPr>
          <w:rFonts w:ascii="Arial" w:hAnsi="Arial" w:eastAsia="宋体" w:cs="Arial"/>
          <w:szCs w:val="21"/>
        </w:rPr>
      </w:pPr>
    </w:p>
    <w:p w14:paraId="1271D8F6">
      <w:pPr>
        <w:snapToGrid w:val="0"/>
        <w:spacing w:line="300" w:lineRule="auto"/>
        <w:rPr>
          <w:rFonts w:ascii="Arial" w:hAnsi="Arial" w:eastAsia="宋体" w:cs="Arial"/>
          <w:b/>
          <w:szCs w:val="21"/>
        </w:rPr>
      </w:pPr>
      <w:r>
        <w:rPr>
          <w:rFonts w:ascii="Arial" w:hAnsi="Arial" w:eastAsia="宋体" w:cs="Arial"/>
          <w:b/>
          <w:szCs w:val="21"/>
        </w:rPr>
        <w:t>性能方面描述</w:t>
      </w:r>
    </w:p>
    <w:p w14:paraId="13593EA8">
      <w:pPr>
        <w:snapToGrid w:val="0"/>
        <w:spacing w:line="300" w:lineRule="auto"/>
        <w:rPr>
          <w:rFonts w:ascii="Arial" w:hAnsi="Arial" w:eastAsia="宋体" w:cs="Arial"/>
          <w:szCs w:val="21"/>
        </w:rPr>
      </w:pPr>
    </w:p>
    <w:p w14:paraId="5837A649">
      <w:pPr>
        <w:snapToGrid w:val="0"/>
        <w:spacing w:line="300" w:lineRule="auto"/>
        <w:rPr>
          <w:rFonts w:ascii="Arial" w:hAnsi="Arial" w:eastAsia="宋体" w:cs="Arial"/>
          <w:szCs w:val="21"/>
        </w:rPr>
      </w:pPr>
      <w:r>
        <w:rPr>
          <w:rFonts w:ascii="Arial" w:hAnsi="Arial" w:eastAsia="宋体" w:cs="Arial"/>
          <w:szCs w:val="21"/>
        </w:rPr>
        <w:t>我们建议贵公司在报告中包含对贵公司已经用于或预计用于解决本II类特殊控制指导性文件第7-10节确定的每个性能方面测试方法的简要描述。如果贵公司遵循所建议的测试方法进行了测试，贵公司可引用该方法而不必对其做出描述。如果贵公司对所建议的测试方法进行了更改，贵公司可引用该方法，但应提供足够信息对更改的性质和理由做出解释。对每种测试方法，贵公司可（1）以清晰、简洁的方式（如表格）简要呈现测试产生的数据，或（2）描述将要用于自身测试结果的验收标准</w:t>
      </w:r>
      <w:r>
        <w:rPr>
          <w:rFonts w:ascii="Arial" w:hAnsi="Arial" w:eastAsia="宋体" w:cs="Arial"/>
          <w:szCs w:val="21"/>
          <w:vertAlign w:val="superscript"/>
        </w:rPr>
        <w:t>2</w:t>
      </w:r>
      <w:r>
        <w:rPr>
          <w:rFonts w:ascii="Arial" w:hAnsi="Arial" w:eastAsia="宋体" w:cs="Arial"/>
          <w:szCs w:val="21"/>
        </w:rPr>
        <w:t>（另见21 CFR 820.30子部分C－质量体系法规设计控制）。</w:t>
      </w:r>
    </w:p>
    <w:p w14:paraId="63C9BEAF">
      <w:pPr>
        <w:snapToGrid w:val="0"/>
        <w:spacing w:line="300" w:lineRule="auto"/>
        <w:rPr>
          <w:rFonts w:ascii="Arial" w:hAnsi="Arial" w:eastAsia="宋体" w:cs="Arial"/>
          <w:szCs w:val="21"/>
        </w:rPr>
      </w:pPr>
    </w:p>
    <w:p w14:paraId="34C48F1D">
      <w:pPr>
        <w:snapToGrid w:val="0"/>
        <w:spacing w:line="300" w:lineRule="auto"/>
        <w:rPr>
          <w:rFonts w:ascii="Arial" w:hAnsi="Arial" w:eastAsia="宋体" w:cs="Arial"/>
          <w:b/>
          <w:szCs w:val="21"/>
        </w:rPr>
      </w:pPr>
      <w:r>
        <w:rPr>
          <w:rFonts w:ascii="Arial" w:hAnsi="Arial" w:eastAsia="宋体" w:cs="Arial"/>
          <w:b/>
          <w:szCs w:val="21"/>
        </w:rPr>
        <w:t>依赖标准</w:t>
      </w:r>
    </w:p>
    <w:p w14:paraId="263AAD41">
      <w:pPr>
        <w:snapToGrid w:val="0"/>
        <w:spacing w:line="300" w:lineRule="auto"/>
        <w:rPr>
          <w:rFonts w:ascii="Arial" w:hAnsi="Arial" w:eastAsia="宋体" w:cs="Arial"/>
          <w:szCs w:val="21"/>
        </w:rPr>
      </w:pPr>
    </w:p>
    <w:p w14:paraId="6C8BF276">
      <w:pPr>
        <w:snapToGrid w:val="0"/>
        <w:spacing w:line="300" w:lineRule="auto"/>
        <w:rPr>
          <w:rFonts w:ascii="Arial" w:hAnsi="Arial" w:eastAsia="宋体" w:cs="Arial"/>
          <w:szCs w:val="21"/>
        </w:rPr>
      </w:pPr>
      <w:r>
        <w:rPr>
          <w:rFonts w:ascii="Arial" w:hAnsi="Arial" w:eastAsia="宋体" w:cs="Arial"/>
          <w:szCs w:val="21"/>
        </w:rPr>
        <w:t>如果贵公司选择器械设计或测试的任何部分均依赖公认标准，贵公司应包含下列一项内容：</w:t>
      </w:r>
    </w:p>
    <w:p w14:paraId="4A849CE8">
      <w:pPr>
        <w:snapToGrid w:val="0"/>
        <w:spacing w:line="300" w:lineRule="auto"/>
        <w:rPr>
          <w:rFonts w:ascii="Arial" w:hAnsi="Arial" w:eastAsia="宋体" w:cs="Arial"/>
          <w:szCs w:val="21"/>
        </w:rPr>
      </w:pPr>
    </w:p>
    <w:p w14:paraId="0770D6D4">
      <w:pPr>
        <w:pStyle w:val="12"/>
        <w:numPr>
          <w:ilvl w:val="0"/>
          <w:numId w:val="6"/>
        </w:numPr>
        <w:snapToGrid w:val="0"/>
        <w:spacing w:line="300" w:lineRule="auto"/>
        <w:ind w:firstLineChars="0"/>
        <w:rPr>
          <w:rFonts w:ascii="Arial" w:hAnsi="Arial" w:eastAsia="宋体" w:cs="Arial"/>
          <w:szCs w:val="21"/>
        </w:rPr>
      </w:pPr>
      <w:r>
        <w:rPr>
          <w:rFonts w:ascii="Arial" w:hAnsi="Arial" w:eastAsia="宋体" w:cs="Arial"/>
          <w:szCs w:val="21"/>
        </w:rPr>
        <w:t>产品上市前将进行测试且测试将满足指定验收标准的声明</w:t>
      </w:r>
    </w:p>
    <w:p w14:paraId="0C988716">
      <w:pPr>
        <w:pStyle w:val="12"/>
        <w:numPr>
          <w:ilvl w:val="0"/>
          <w:numId w:val="6"/>
        </w:numPr>
        <w:snapToGrid w:val="0"/>
        <w:spacing w:line="300" w:lineRule="auto"/>
        <w:ind w:firstLineChars="0"/>
        <w:rPr>
          <w:rFonts w:ascii="Arial" w:hAnsi="Arial" w:eastAsia="宋体" w:cs="Arial"/>
          <w:szCs w:val="21"/>
        </w:rPr>
      </w:pPr>
      <w:r>
        <w:rPr>
          <w:rFonts w:ascii="Arial" w:hAnsi="Arial" w:eastAsia="宋体" w:cs="Arial"/>
          <w:szCs w:val="21"/>
        </w:rPr>
        <w:t>标准符合性声明</w:t>
      </w:r>
      <w:r>
        <w:rPr>
          <w:rFonts w:ascii="Arial" w:hAnsi="Arial" w:eastAsia="宋体" w:cs="Arial"/>
          <w:szCs w:val="21"/>
          <w:vertAlign w:val="superscript"/>
        </w:rPr>
        <w:t>3</w:t>
      </w:r>
    </w:p>
    <w:p w14:paraId="3112A0B6">
      <w:pPr>
        <w:snapToGrid w:val="0"/>
        <w:spacing w:line="300" w:lineRule="auto"/>
        <w:rPr>
          <w:rFonts w:ascii="Arial" w:hAnsi="Arial" w:eastAsia="宋体" w:cs="Arial"/>
          <w:szCs w:val="21"/>
        </w:rPr>
      </w:pPr>
    </w:p>
    <w:p w14:paraId="697309E6">
      <w:pPr>
        <w:snapToGrid w:val="0"/>
        <w:spacing w:line="300" w:lineRule="auto"/>
        <w:rPr>
          <w:rFonts w:ascii="Arial" w:hAnsi="Arial" w:eastAsia="宋体" w:cs="Arial"/>
          <w:szCs w:val="21"/>
        </w:rPr>
      </w:pPr>
      <w:r>
        <w:rPr>
          <w:rFonts w:ascii="Arial" w:hAnsi="Arial" w:eastAsia="宋体" w:cs="Arial"/>
          <w:szCs w:val="21"/>
        </w:rPr>
        <w:t>由于符合性声明是基于测试结果，我们认为贵公司在完成该标准描述测试之前无法正确提交符合性声明。关于更多信息，请参考前述法案的第514（c）（1）（B）部分和FDA指导性文件</w:t>
      </w:r>
      <w:r>
        <w:rPr>
          <w:rFonts w:hint="eastAsia" w:ascii="宋体" w:hAnsi="宋体" w:eastAsia="宋体" w:cs="Arial"/>
          <w:szCs w:val="21"/>
        </w:rPr>
        <w:t>《</w:t>
      </w:r>
      <w:r>
        <w:rPr>
          <w:rFonts w:ascii="Arial" w:hAnsi="Arial" w:eastAsia="宋体" w:cs="Arial"/>
          <w:color w:val="0000FF"/>
          <w:szCs w:val="21"/>
        </w:rPr>
        <w:t>实质等同测定标准使用；行业和FDA最终</w:t>
      </w:r>
      <w:r>
        <w:rPr>
          <w:rFonts w:hint="eastAsia" w:ascii="Arial" w:hAnsi="Arial" w:eastAsia="宋体" w:cs="Arial"/>
          <w:color w:val="0000FF"/>
          <w:szCs w:val="21"/>
        </w:rPr>
        <w:t>指南</w:t>
      </w:r>
      <w:r>
        <w:rPr>
          <w:rFonts w:hint="eastAsia" w:ascii="宋体" w:hAnsi="宋体" w:eastAsia="宋体" w:cs="Arial"/>
          <w:szCs w:val="21"/>
        </w:rPr>
        <w:t>》</w:t>
      </w:r>
      <w:r>
        <w:rPr>
          <w:rFonts w:ascii="Arial" w:hAnsi="Arial" w:eastAsia="宋体" w:cs="Arial"/>
          <w:szCs w:val="21"/>
        </w:rPr>
        <w:t>。</w:t>
      </w:r>
    </w:p>
    <w:p w14:paraId="504B5942">
      <w:pPr>
        <w:snapToGrid w:val="0"/>
        <w:spacing w:line="300" w:lineRule="auto"/>
        <w:rPr>
          <w:rFonts w:ascii="Arial" w:hAnsi="Arial" w:eastAsia="宋体" w:cs="Arial"/>
          <w:szCs w:val="21"/>
        </w:rPr>
      </w:pPr>
    </w:p>
    <w:p w14:paraId="1A77CD47">
      <w:pPr>
        <w:snapToGrid w:val="0"/>
        <w:spacing w:line="300" w:lineRule="auto"/>
        <w:rPr>
          <w:rFonts w:ascii="Arial" w:hAnsi="Arial" w:eastAsia="宋体" w:cs="Arial"/>
          <w:szCs w:val="21"/>
        </w:rPr>
      </w:pPr>
      <w:r>
        <w:rPr>
          <w:rFonts w:ascii="Arial" w:hAnsi="Arial" w:eastAsia="宋体" w:cs="Arial"/>
          <w:szCs w:val="21"/>
        </w:rPr>
        <w:t>如果我们不清楚贵公司是如何解决FDA确定的风险或通过风险分析确定的其他风险，我们可能会要求贵公司提供关于器械性能特征方面的补充信息。如果需要补充信息来评估贵公司所用的验收标准是否合适，我们也可能会要求贵公司予以提供（根据 21 CFR § 807.87（l）的规定，我们可能会要求提供达成实质等同测定所必需的任何补充信息）。</w:t>
      </w:r>
    </w:p>
    <w:p w14:paraId="0BD9E497">
      <w:pPr>
        <w:snapToGrid w:val="0"/>
        <w:spacing w:line="300" w:lineRule="auto"/>
        <w:rPr>
          <w:rFonts w:ascii="Arial" w:hAnsi="Arial" w:eastAsia="宋体" w:cs="Arial"/>
          <w:szCs w:val="21"/>
        </w:rPr>
      </w:pPr>
    </w:p>
    <w:p w14:paraId="240920D8">
      <w:pPr>
        <w:snapToGrid w:val="0"/>
        <w:spacing w:line="300" w:lineRule="auto"/>
        <w:rPr>
          <w:rFonts w:ascii="Arial" w:hAnsi="Arial" w:eastAsia="宋体" w:cs="Arial"/>
          <w:szCs w:val="21"/>
        </w:rPr>
      </w:pPr>
      <w:r>
        <w:rPr>
          <w:rFonts w:ascii="Arial" w:hAnsi="Arial" w:eastAsia="宋体" w:cs="Arial"/>
          <w:szCs w:val="21"/>
        </w:rPr>
        <w:t>作为提交简化510（k）提交资料的替代办法，贵公司可提交传统510（k）提交资料。该版本的文件可提供21 CFR § 807.87要求的并在本指导性文件中描述的所有信息与数据。在传统510（k）提交资料中应包含贵公司的方法、数据、验收标准和结论。考虑对自己已获许可器械进行某些更改的制造商应考虑提交特别</w:t>
      </w:r>
      <w:bookmarkStart w:id="18" w:name="OLE_LINK99"/>
      <w:bookmarkStart w:id="19" w:name="OLE_LINK98"/>
      <w:r>
        <w:rPr>
          <w:rFonts w:ascii="Arial" w:hAnsi="Arial" w:eastAsia="宋体" w:cs="Arial"/>
          <w:szCs w:val="21"/>
        </w:rPr>
        <w:t>510（k）提交资料</w:t>
      </w:r>
      <w:bookmarkEnd w:id="18"/>
      <w:bookmarkEnd w:id="19"/>
      <w:r>
        <w:rPr>
          <w:rFonts w:ascii="Arial" w:hAnsi="Arial" w:eastAsia="宋体" w:cs="Arial"/>
          <w:szCs w:val="21"/>
        </w:rPr>
        <w:t>。</w:t>
      </w:r>
    </w:p>
    <w:p w14:paraId="7FA698C7">
      <w:pPr>
        <w:snapToGrid w:val="0"/>
        <w:spacing w:line="300" w:lineRule="auto"/>
        <w:rPr>
          <w:rFonts w:ascii="Arial" w:hAnsi="Arial" w:eastAsia="宋体" w:cs="Arial"/>
          <w:szCs w:val="21"/>
        </w:rPr>
      </w:pPr>
    </w:p>
    <w:p w14:paraId="6B74F3CC">
      <w:pPr>
        <w:snapToGrid w:val="0"/>
        <w:spacing w:line="300" w:lineRule="auto"/>
        <w:rPr>
          <w:rFonts w:ascii="Arial" w:hAnsi="Arial" w:eastAsia="宋体" w:cs="Arial"/>
          <w:szCs w:val="21"/>
        </w:rPr>
      </w:pPr>
      <w:r>
        <w:rPr>
          <w:rFonts w:ascii="Arial" w:hAnsi="Arial" w:eastAsia="宋体" w:cs="Arial"/>
          <w:szCs w:val="21"/>
        </w:rPr>
        <w:t>上述一般讨论适用于受特殊控制指导性文件监管的任何器械。以下将专门讨论贵公司在提交血管栓塞治疗器械或神经血管栓塞治疗器械510（k）提交资料时应如何使用本特殊控制指导性文件。本指导性文件提出的建议规范适用于两种器械，除非对血管栓塞治疗器械或神经血管栓塞治疗器械有专门规定。</w:t>
      </w:r>
    </w:p>
    <w:p w14:paraId="44BB65F2">
      <w:pPr>
        <w:snapToGrid w:val="0"/>
        <w:spacing w:line="300" w:lineRule="auto"/>
        <w:rPr>
          <w:rFonts w:ascii="Arial" w:hAnsi="Arial" w:eastAsia="宋体" w:cs="Arial"/>
          <w:szCs w:val="21"/>
        </w:rPr>
      </w:pPr>
    </w:p>
    <w:p w14:paraId="1BA58A7F">
      <w:pPr>
        <w:widowControl/>
        <w:snapToGrid w:val="0"/>
        <w:spacing w:line="300" w:lineRule="auto"/>
        <w:jc w:val="left"/>
        <w:rPr>
          <w:rFonts w:ascii="Arial" w:hAnsi="Arial" w:eastAsia="宋体" w:cs="Arial"/>
          <w:b/>
          <w:color w:val="333333"/>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b/>
          <w:color w:val="005F9F"/>
          <w:kern w:val="0"/>
          <w:szCs w:val="21"/>
          <w:lang w:val="en"/>
        </w:rPr>
        <w:t>返回顶部</w:t>
      </w:r>
      <w:r>
        <w:rPr>
          <w:rFonts w:ascii="Arial" w:hAnsi="Arial" w:eastAsia="宋体" w:cs="Arial"/>
          <w:b/>
          <w:color w:val="005F9F"/>
          <w:kern w:val="0"/>
          <w:szCs w:val="21"/>
          <w:lang w:val="en"/>
        </w:rPr>
        <w:fldChar w:fldCharType="end"/>
      </w:r>
    </w:p>
    <w:p w14:paraId="7B4B0567">
      <w:pPr>
        <w:snapToGrid w:val="0"/>
        <w:spacing w:line="300" w:lineRule="auto"/>
        <w:rPr>
          <w:rFonts w:ascii="Arial" w:hAnsi="Arial" w:eastAsia="宋体" w:cs="Arial"/>
          <w:szCs w:val="21"/>
        </w:rPr>
      </w:pPr>
    </w:p>
    <w:p w14:paraId="386DA579">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22225</wp:posOffset>
                </wp:positionV>
                <wp:extent cx="5287645" cy="0"/>
                <wp:effectExtent l="0" t="0" r="27305" b="19050"/>
                <wp:wrapNone/>
                <wp:docPr id="7" name="直接连接符 7"/>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75pt;height:0pt;width:416.35pt;z-index:251663360;mso-width-relative:page;mso-height-relative:page;" filled="f" stroked="t" coordsize="21600,21600" o:gfxdata="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uaM1rPAAAABAEA&#10;AA8AAAAAAAAAAQAgAAAAIgAAAGRycy9kb3ducmV2LnhtbFBLAQIUABQAAAAIAIdO4kAwEK6w6gEA&#10;AL0DAAAOAAAAAAAAAAEAIAAAAB4BAABkcnMvZTJvRG9jLnhtbFBLBQYAAAAABgAGAFkBAAB6BQAA&#10;AAA=&#10;">
                <v:fill on="f" focussize="0,0"/>
                <v:stroke weight="1.5pt" color="#808080 [1612]" joinstyle="round"/>
                <v:imagedata o:title=""/>
                <o:lock v:ext="edit" aspectratio="f"/>
              </v:line>
            </w:pict>
          </mc:Fallback>
        </mc:AlternateContent>
      </w:r>
    </w:p>
    <w:p w14:paraId="4FB94865">
      <w:pPr>
        <w:widowControl/>
        <w:jc w:val="left"/>
        <w:rPr>
          <w:rFonts w:ascii="Arial" w:hAnsi="Arial" w:eastAsia="宋体" w:cs="Arial"/>
          <w:b/>
          <w:szCs w:val="21"/>
        </w:rPr>
      </w:pPr>
      <w:r>
        <w:rPr>
          <w:rFonts w:ascii="Arial" w:hAnsi="Arial" w:eastAsia="宋体" w:cs="Arial"/>
          <w:b/>
          <w:szCs w:val="21"/>
        </w:rPr>
        <w:br w:type="page"/>
      </w:r>
    </w:p>
    <w:p w14:paraId="529FF3C5">
      <w:pPr>
        <w:snapToGrid w:val="0"/>
        <w:spacing w:line="300" w:lineRule="auto"/>
        <w:rPr>
          <w:rFonts w:ascii="Arial" w:hAnsi="Arial" w:eastAsia="宋体" w:cs="Arial"/>
          <w:b/>
          <w:szCs w:val="21"/>
        </w:rPr>
      </w:pPr>
      <w:r>
        <w:rPr>
          <w:rFonts w:ascii="Arial" w:hAnsi="Arial" w:eastAsia="宋体" w:cs="Arial"/>
          <w:b/>
          <w:szCs w:val="21"/>
        </w:rPr>
        <w:t>4. 适用范围</w:t>
      </w:r>
    </w:p>
    <w:p w14:paraId="2064BD37">
      <w:pPr>
        <w:snapToGrid w:val="0"/>
        <w:spacing w:line="300" w:lineRule="auto"/>
        <w:rPr>
          <w:rFonts w:ascii="Arial" w:hAnsi="Arial" w:eastAsia="宋体" w:cs="Arial"/>
          <w:szCs w:val="21"/>
        </w:rPr>
      </w:pPr>
    </w:p>
    <w:p w14:paraId="2B63A97C">
      <w:pPr>
        <w:snapToGrid w:val="0"/>
        <w:spacing w:line="300" w:lineRule="auto"/>
        <w:rPr>
          <w:rFonts w:ascii="Arial" w:hAnsi="Arial" w:eastAsia="宋体" w:cs="Arial"/>
          <w:szCs w:val="21"/>
        </w:rPr>
      </w:pPr>
      <w:r>
        <w:rPr>
          <w:rFonts w:ascii="Arial" w:hAnsi="Arial" w:eastAsia="宋体" w:cs="Arial"/>
          <w:szCs w:val="21"/>
        </w:rPr>
        <w:t>本文件的适用范围限于下列两种器械类型：</w:t>
      </w:r>
    </w:p>
    <w:p w14:paraId="3B05AA7B">
      <w:pPr>
        <w:snapToGrid w:val="0"/>
        <w:spacing w:line="300" w:lineRule="auto"/>
        <w:rPr>
          <w:rFonts w:ascii="Arial" w:hAnsi="Arial" w:eastAsia="宋体" w:cs="Arial"/>
          <w:szCs w:val="21"/>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1843"/>
        <w:gridCol w:w="2597"/>
        <w:gridCol w:w="2131"/>
      </w:tblGrid>
      <w:tr w14:paraId="1443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Align w:val="center"/>
          </w:tcPr>
          <w:p w14:paraId="53F1BA8F">
            <w:pPr>
              <w:snapToGrid w:val="0"/>
              <w:spacing w:before="31" w:beforeLines="10" w:after="31" w:afterLines="10" w:line="240" w:lineRule="exact"/>
              <w:jc w:val="left"/>
              <w:rPr>
                <w:rFonts w:ascii="Arial" w:hAnsi="Arial" w:eastAsia="宋体" w:cs="Arial"/>
                <w:b/>
                <w:sz w:val="18"/>
                <w:szCs w:val="18"/>
              </w:rPr>
            </w:pPr>
            <w:r>
              <w:rPr>
                <w:rFonts w:ascii="Arial" w:hAnsi="Arial" w:eastAsia="宋体" w:cs="Arial"/>
                <w:b/>
                <w:sz w:val="18"/>
                <w:szCs w:val="18"/>
              </w:rPr>
              <w:t>器械类型</w:t>
            </w:r>
          </w:p>
        </w:tc>
        <w:tc>
          <w:tcPr>
            <w:tcW w:w="1843" w:type="dxa"/>
            <w:vAlign w:val="center"/>
          </w:tcPr>
          <w:p w14:paraId="1D844727">
            <w:pPr>
              <w:snapToGrid w:val="0"/>
              <w:spacing w:before="31" w:beforeLines="10" w:after="31" w:afterLines="10" w:line="240" w:lineRule="exact"/>
              <w:jc w:val="left"/>
              <w:rPr>
                <w:rFonts w:ascii="Arial" w:hAnsi="Arial" w:eastAsia="宋体" w:cs="Arial"/>
                <w:b/>
                <w:sz w:val="18"/>
                <w:szCs w:val="18"/>
              </w:rPr>
            </w:pPr>
            <w:r>
              <w:rPr>
                <w:rFonts w:ascii="Arial" w:hAnsi="Arial" w:eastAsia="宋体" w:cs="Arial"/>
                <w:b/>
                <w:sz w:val="18"/>
                <w:szCs w:val="18"/>
              </w:rPr>
              <w:t>分类法规（21 CFR）</w:t>
            </w:r>
          </w:p>
        </w:tc>
        <w:tc>
          <w:tcPr>
            <w:tcW w:w="2597" w:type="dxa"/>
            <w:vAlign w:val="center"/>
          </w:tcPr>
          <w:p w14:paraId="53DCB973">
            <w:pPr>
              <w:snapToGrid w:val="0"/>
              <w:spacing w:before="31" w:beforeLines="10" w:after="31" w:afterLines="10" w:line="240" w:lineRule="exact"/>
              <w:jc w:val="left"/>
              <w:rPr>
                <w:rFonts w:ascii="Arial" w:hAnsi="Arial" w:eastAsia="宋体" w:cs="Arial"/>
                <w:b/>
                <w:sz w:val="18"/>
                <w:szCs w:val="18"/>
              </w:rPr>
            </w:pPr>
            <w:r>
              <w:rPr>
                <w:rFonts w:ascii="Arial" w:hAnsi="Arial" w:eastAsia="宋体" w:cs="Arial"/>
                <w:b/>
                <w:sz w:val="18"/>
                <w:szCs w:val="18"/>
              </w:rPr>
              <w:t>产品代码</w:t>
            </w:r>
          </w:p>
        </w:tc>
        <w:tc>
          <w:tcPr>
            <w:tcW w:w="2131" w:type="dxa"/>
            <w:vAlign w:val="center"/>
          </w:tcPr>
          <w:p w14:paraId="260203AB">
            <w:pPr>
              <w:snapToGrid w:val="0"/>
              <w:spacing w:before="31" w:beforeLines="10" w:after="31" w:afterLines="10" w:line="240" w:lineRule="exact"/>
              <w:jc w:val="left"/>
              <w:rPr>
                <w:rFonts w:ascii="Arial" w:hAnsi="Arial" w:eastAsia="宋体" w:cs="Arial"/>
                <w:b/>
                <w:sz w:val="18"/>
                <w:szCs w:val="18"/>
              </w:rPr>
            </w:pPr>
            <w:r>
              <w:rPr>
                <w:rFonts w:ascii="Arial" w:hAnsi="Arial" w:eastAsia="宋体" w:cs="Arial"/>
                <w:b/>
                <w:sz w:val="18"/>
                <w:szCs w:val="18"/>
              </w:rPr>
              <w:t>实例</w:t>
            </w:r>
          </w:p>
        </w:tc>
      </w:tr>
      <w:tr w14:paraId="56DD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Merge w:val="restart"/>
          </w:tcPr>
          <w:p w14:paraId="4A4A8CFE">
            <w:pPr>
              <w:snapToGrid w:val="0"/>
              <w:spacing w:before="31" w:beforeLines="10" w:after="31" w:afterLines="10" w:line="240" w:lineRule="exact"/>
              <w:rPr>
                <w:rFonts w:ascii="Arial" w:hAnsi="Arial" w:eastAsia="宋体" w:cs="Arial"/>
                <w:sz w:val="18"/>
                <w:szCs w:val="18"/>
              </w:rPr>
            </w:pPr>
          </w:p>
          <w:p w14:paraId="605DC6B8">
            <w:pPr>
              <w:snapToGrid w:val="0"/>
              <w:spacing w:before="31" w:beforeLines="10" w:after="31" w:afterLines="10" w:line="240" w:lineRule="exact"/>
              <w:rPr>
                <w:rFonts w:ascii="Arial" w:hAnsi="Arial" w:eastAsia="宋体" w:cs="Arial"/>
                <w:sz w:val="18"/>
                <w:szCs w:val="18"/>
              </w:rPr>
            </w:pPr>
          </w:p>
          <w:p w14:paraId="02CE9D45">
            <w:pPr>
              <w:snapToGrid w:val="0"/>
              <w:spacing w:before="31" w:beforeLines="10" w:after="31" w:afterLines="10" w:line="240" w:lineRule="exact"/>
              <w:rPr>
                <w:rFonts w:ascii="Arial" w:hAnsi="Arial" w:eastAsia="宋体" w:cs="Arial"/>
                <w:sz w:val="18"/>
                <w:szCs w:val="18"/>
              </w:rPr>
            </w:pPr>
          </w:p>
          <w:p w14:paraId="254D7C31">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血管栓塞治疗器械</w:t>
            </w:r>
          </w:p>
        </w:tc>
        <w:tc>
          <w:tcPr>
            <w:tcW w:w="1843" w:type="dxa"/>
            <w:vMerge w:val="restart"/>
            <w:vAlign w:val="center"/>
          </w:tcPr>
          <w:p w14:paraId="159D583E">
            <w:pPr>
              <w:snapToGrid w:val="0"/>
              <w:spacing w:before="31" w:beforeLines="10" w:after="31" w:afterLines="10" w:line="240" w:lineRule="exact"/>
              <w:jc w:val="center"/>
              <w:rPr>
                <w:rFonts w:ascii="Arial" w:hAnsi="Arial" w:eastAsia="宋体" w:cs="Arial"/>
                <w:sz w:val="18"/>
                <w:szCs w:val="18"/>
              </w:rPr>
            </w:pPr>
            <w:r>
              <w:rPr>
                <w:rFonts w:ascii="Arial" w:hAnsi="Arial" w:eastAsia="宋体" w:cs="Arial"/>
                <w:sz w:val="18"/>
                <w:szCs w:val="18"/>
              </w:rPr>
              <w:t>§ 870.3300</w:t>
            </w:r>
          </w:p>
        </w:tc>
        <w:tc>
          <w:tcPr>
            <w:tcW w:w="2597" w:type="dxa"/>
            <w:vAlign w:val="center"/>
          </w:tcPr>
          <w:p w14:paraId="1AB3818A">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KRD（器械、栓塞、动脉）</w:t>
            </w:r>
          </w:p>
        </w:tc>
        <w:tc>
          <w:tcPr>
            <w:tcW w:w="2131" w:type="dxa"/>
          </w:tcPr>
          <w:p w14:paraId="32FAEC1B">
            <w:pPr>
              <w:snapToGrid w:val="0"/>
              <w:spacing w:before="31" w:beforeLines="10" w:after="31" w:afterLines="10" w:line="240" w:lineRule="exact"/>
              <w:rPr>
                <w:rFonts w:ascii="Arial" w:hAnsi="Arial" w:eastAsia="宋体" w:cs="Arial"/>
                <w:sz w:val="18"/>
                <w:szCs w:val="18"/>
              </w:rPr>
            </w:pPr>
            <w:bookmarkStart w:id="20" w:name="OLE_LINK123"/>
            <w:bookmarkStart w:id="21" w:name="OLE_LINK122"/>
            <w:r>
              <w:rPr>
                <w:rFonts w:ascii="Arial" w:hAnsi="Arial" w:eastAsia="宋体" w:cs="Arial"/>
                <w:sz w:val="18"/>
                <w:szCs w:val="18"/>
              </w:rPr>
              <w:t>·栓塞弹簧圈</w:t>
            </w:r>
          </w:p>
          <w:p w14:paraId="192F81EE">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·可拆卸球囊</w:t>
            </w:r>
          </w:p>
          <w:p w14:paraId="3AF357CB">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·聚乙烯醇微粒</w:t>
            </w:r>
          </w:p>
          <w:p w14:paraId="447950BB">
            <w:pPr>
              <w:snapToGrid w:val="0"/>
              <w:spacing w:before="31" w:beforeLines="10" w:after="31" w:afterLines="10" w:line="240" w:lineRule="exact"/>
              <w:rPr>
                <w:rFonts w:ascii="Arial" w:hAnsi="Arial" w:eastAsia="宋体" w:cs="Arial"/>
                <w:sz w:val="18"/>
                <w:szCs w:val="18"/>
              </w:rPr>
            </w:pPr>
            <w:bookmarkStart w:id="22" w:name="OLE_LINK118"/>
            <w:bookmarkStart w:id="23" w:name="OLE_LINK119"/>
            <w:r>
              <w:rPr>
                <w:rFonts w:ascii="Arial" w:hAnsi="Arial" w:eastAsia="宋体" w:cs="Arial"/>
                <w:sz w:val="18"/>
                <w:szCs w:val="18"/>
              </w:rPr>
              <w:t>·不可再吸收微粒</w:t>
            </w:r>
            <w:bookmarkEnd w:id="20"/>
            <w:bookmarkEnd w:id="21"/>
            <w:bookmarkEnd w:id="22"/>
            <w:bookmarkEnd w:id="23"/>
          </w:p>
        </w:tc>
      </w:tr>
      <w:tr w14:paraId="042D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Merge w:val="continue"/>
          </w:tcPr>
          <w:p w14:paraId="1962D3DE">
            <w:pPr>
              <w:snapToGrid w:val="0"/>
              <w:spacing w:before="31" w:beforeLines="10" w:after="31" w:afterLines="10" w:line="240" w:lineRule="exact"/>
              <w:rPr>
                <w:rFonts w:ascii="Arial" w:hAnsi="Arial" w:eastAsia="宋体" w:cs="Arial"/>
                <w:sz w:val="18"/>
                <w:szCs w:val="18"/>
              </w:rPr>
            </w:pPr>
          </w:p>
        </w:tc>
        <w:tc>
          <w:tcPr>
            <w:tcW w:w="1843" w:type="dxa"/>
            <w:vMerge w:val="continue"/>
          </w:tcPr>
          <w:p w14:paraId="0EEAFCB4">
            <w:pPr>
              <w:snapToGrid w:val="0"/>
              <w:spacing w:before="31" w:beforeLines="10" w:after="31" w:afterLines="10" w:line="240" w:lineRule="exact"/>
              <w:rPr>
                <w:rFonts w:ascii="Arial" w:hAnsi="Arial" w:eastAsia="宋体" w:cs="Arial"/>
                <w:sz w:val="18"/>
                <w:szCs w:val="18"/>
              </w:rPr>
            </w:pPr>
          </w:p>
        </w:tc>
        <w:tc>
          <w:tcPr>
            <w:tcW w:w="2597" w:type="dxa"/>
            <w:vAlign w:val="center"/>
          </w:tcPr>
          <w:p w14:paraId="41B1D2A9">
            <w:pPr>
              <w:snapToGrid w:val="0"/>
              <w:spacing w:before="31" w:beforeLines="10" w:after="31" w:afterLines="10" w:line="240" w:lineRule="exact"/>
              <w:rPr>
                <w:rFonts w:ascii="Arial" w:hAnsi="Arial" w:eastAsia="宋体" w:cs="Arial"/>
                <w:sz w:val="18"/>
                <w:szCs w:val="18"/>
              </w:rPr>
            </w:pPr>
          </w:p>
          <w:p w14:paraId="72BDC3FA">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NAJ（媒介、栓塞、用于治疗子宫纤维瘤）</w:t>
            </w:r>
          </w:p>
        </w:tc>
        <w:tc>
          <w:tcPr>
            <w:tcW w:w="2131" w:type="dxa"/>
          </w:tcPr>
          <w:p w14:paraId="3C5939EB">
            <w:pPr>
              <w:snapToGrid w:val="0"/>
              <w:spacing w:before="31" w:beforeLines="10" w:after="31" w:afterLines="10" w:line="240" w:lineRule="exact"/>
              <w:rPr>
                <w:rFonts w:ascii="Arial" w:hAnsi="Arial" w:eastAsia="宋体" w:cs="Arial"/>
                <w:sz w:val="18"/>
                <w:szCs w:val="18"/>
              </w:rPr>
            </w:pPr>
          </w:p>
          <w:p w14:paraId="1034E467">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·不可再吸收微粒</w:t>
            </w:r>
          </w:p>
        </w:tc>
      </w:tr>
      <w:tr w14:paraId="22A1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Merge w:val="restart"/>
          </w:tcPr>
          <w:p w14:paraId="76BF0800">
            <w:pPr>
              <w:snapToGrid w:val="0"/>
              <w:spacing w:before="31" w:beforeLines="10" w:after="31" w:afterLines="10" w:line="240" w:lineRule="exact"/>
              <w:rPr>
                <w:rFonts w:ascii="Arial" w:hAnsi="Arial" w:eastAsia="宋体" w:cs="Arial"/>
                <w:sz w:val="18"/>
                <w:szCs w:val="18"/>
              </w:rPr>
            </w:pPr>
          </w:p>
          <w:p w14:paraId="1127BB5C">
            <w:pPr>
              <w:snapToGrid w:val="0"/>
              <w:spacing w:before="31" w:beforeLines="10" w:after="31" w:afterLines="10" w:line="240" w:lineRule="exact"/>
              <w:rPr>
                <w:rFonts w:ascii="Arial" w:hAnsi="Arial" w:eastAsia="宋体" w:cs="Arial"/>
                <w:sz w:val="18"/>
                <w:szCs w:val="18"/>
              </w:rPr>
            </w:pPr>
          </w:p>
          <w:p w14:paraId="16E65531">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神经血管栓塞治疗器械</w:t>
            </w:r>
          </w:p>
        </w:tc>
        <w:tc>
          <w:tcPr>
            <w:tcW w:w="1843" w:type="dxa"/>
            <w:vMerge w:val="restart"/>
            <w:vAlign w:val="center"/>
          </w:tcPr>
          <w:p w14:paraId="475D259C">
            <w:pPr>
              <w:snapToGrid w:val="0"/>
              <w:spacing w:before="31" w:beforeLines="10" w:after="31" w:afterLines="10" w:line="240" w:lineRule="exact"/>
              <w:jc w:val="center"/>
              <w:rPr>
                <w:rFonts w:ascii="Arial" w:hAnsi="Arial" w:eastAsia="宋体" w:cs="Arial"/>
                <w:sz w:val="18"/>
                <w:szCs w:val="18"/>
              </w:rPr>
            </w:pPr>
          </w:p>
          <w:p w14:paraId="4720A3B7">
            <w:pPr>
              <w:snapToGrid w:val="0"/>
              <w:spacing w:before="31" w:beforeLines="10" w:after="31" w:afterLines="10" w:line="240" w:lineRule="exact"/>
              <w:jc w:val="center"/>
              <w:rPr>
                <w:rFonts w:ascii="Arial" w:hAnsi="Arial" w:eastAsia="宋体" w:cs="Arial"/>
                <w:sz w:val="18"/>
                <w:szCs w:val="18"/>
              </w:rPr>
            </w:pPr>
            <w:r>
              <w:rPr>
                <w:rFonts w:ascii="Arial" w:hAnsi="Arial" w:eastAsia="宋体" w:cs="Arial"/>
                <w:sz w:val="18"/>
                <w:szCs w:val="18"/>
              </w:rPr>
              <w:t>§ 882.5950</w:t>
            </w:r>
          </w:p>
        </w:tc>
        <w:tc>
          <w:tcPr>
            <w:tcW w:w="2597" w:type="dxa"/>
            <w:vAlign w:val="center"/>
          </w:tcPr>
          <w:p w14:paraId="18386816">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HCG（器械、人工栓塞）</w:t>
            </w:r>
          </w:p>
        </w:tc>
        <w:tc>
          <w:tcPr>
            <w:tcW w:w="2131" w:type="dxa"/>
          </w:tcPr>
          <w:p w14:paraId="6A233FE0">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·栓塞弹簧圈</w:t>
            </w:r>
          </w:p>
          <w:p w14:paraId="3F69C7AB">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·聚乙烯醇微粒</w:t>
            </w:r>
          </w:p>
          <w:p w14:paraId="7F14053A">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·不可再吸收微粒</w:t>
            </w:r>
          </w:p>
        </w:tc>
      </w:tr>
      <w:tr w14:paraId="5B12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vMerge w:val="continue"/>
          </w:tcPr>
          <w:p w14:paraId="51B12DDA">
            <w:pPr>
              <w:snapToGrid w:val="0"/>
              <w:spacing w:before="31" w:beforeLines="10" w:after="31" w:afterLines="10" w:line="240" w:lineRule="exact"/>
              <w:rPr>
                <w:rFonts w:ascii="Arial" w:hAnsi="Arial" w:eastAsia="宋体" w:cs="Arial"/>
                <w:sz w:val="18"/>
                <w:szCs w:val="18"/>
              </w:rPr>
            </w:pPr>
          </w:p>
        </w:tc>
        <w:tc>
          <w:tcPr>
            <w:tcW w:w="1843" w:type="dxa"/>
            <w:vMerge w:val="continue"/>
          </w:tcPr>
          <w:p w14:paraId="2C9F1D9B">
            <w:pPr>
              <w:snapToGrid w:val="0"/>
              <w:spacing w:before="31" w:beforeLines="10" w:after="31" w:afterLines="10" w:line="240" w:lineRule="exact"/>
              <w:rPr>
                <w:rFonts w:ascii="Arial" w:hAnsi="Arial" w:eastAsia="宋体" w:cs="Arial"/>
                <w:sz w:val="18"/>
                <w:szCs w:val="18"/>
              </w:rPr>
            </w:pPr>
          </w:p>
        </w:tc>
        <w:tc>
          <w:tcPr>
            <w:tcW w:w="2597" w:type="dxa"/>
            <w:vAlign w:val="center"/>
          </w:tcPr>
          <w:p w14:paraId="24681872">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MZQ（球囊、可拆卸、用于神经血管闭塞）</w:t>
            </w:r>
          </w:p>
        </w:tc>
        <w:tc>
          <w:tcPr>
            <w:tcW w:w="2131" w:type="dxa"/>
          </w:tcPr>
          <w:p w14:paraId="14EAD98A">
            <w:pPr>
              <w:snapToGrid w:val="0"/>
              <w:spacing w:before="31" w:beforeLines="10" w:after="31" w:afterLines="10" w:line="240" w:lineRule="exact"/>
              <w:rPr>
                <w:rFonts w:ascii="Arial" w:hAnsi="Arial" w:eastAsia="宋体" w:cs="Arial"/>
                <w:sz w:val="18"/>
                <w:szCs w:val="18"/>
              </w:rPr>
            </w:pPr>
            <w:r>
              <w:rPr>
                <w:rFonts w:ascii="Arial" w:hAnsi="Arial" w:eastAsia="宋体" w:cs="Arial"/>
                <w:sz w:val="18"/>
                <w:szCs w:val="18"/>
              </w:rPr>
              <w:t>·可拆卸球囊</w:t>
            </w:r>
          </w:p>
        </w:tc>
      </w:tr>
    </w:tbl>
    <w:p w14:paraId="298F7689">
      <w:pPr>
        <w:snapToGrid w:val="0"/>
        <w:spacing w:line="300" w:lineRule="auto"/>
        <w:rPr>
          <w:rFonts w:ascii="Arial" w:hAnsi="Arial" w:eastAsia="宋体" w:cs="Arial"/>
          <w:szCs w:val="21"/>
        </w:rPr>
      </w:pPr>
    </w:p>
    <w:p w14:paraId="28924DBC">
      <w:pPr>
        <w:snapToGrid w:val="0"/>
        <w:spacing w:line="300" w:lineRule="auto"/>
        <w:rPr>
          <w:rFonts w:ascii="Arial" w:hAnsi="Arial" w:eastAsia="宋体" w:cs="Arial"/>
          <w:szCs w:val="21"/>
        </w:rPr>
      </w:pPr>
      <w:r>
        <w:rPr>
          <w:rFonts w:ascii="Arial" w:hAnsi="Arial" w:eastAsia="宋体" w:cs="Arial"/>
          <w:szCs w:val="21"/>
        </w:rPr>
        <w:t>如下所述，FDA正在最终规定手册中修改这些栓塞治疗器械类型的名称与鉴定（§ 870.3300和§ 882.5950）。</w:t>
      </w:r>
    </w:p>
    <w:p w14:paraId="0F7189A7">
      <w:pPr>
        <w:snapToGrid w:val="0"/>
        <w:spacing w:line="300" w:lineRule="auto"/>
        <w:rPr>
          <w:rFonts w:ascii="Arial" w:hAnsi="Arial" w:eastAsia="宋体" w:cs="Arial"/>
          <w:szCs w:val="21"/>
        </w:rPr>
      </w:pPr>
    </w:p>
    <w:p w14:paraId="6582C0DD">
      <w:pPr>
        <w:snapToGrid w:val="0"/>
        <w:spacing w:line="300" w:lineRule="auto"/>
        <w:rPr>
          <w:rFonts w:ascii="Arial" w:hAnsi="Arial" w:eastAsia="宋体" w:cs="Arial"/>
          <w:b/>
          <w:szCs w:val="21"/>
        </w:rPr>
      </w:pPr>
      <w:r>
        <w:rPr>
          <w:rFonts w:ascii="Arial" w:hAnsi="Arial" w:eastAsia="宋体" w:cs="Arial"/>
          <w:b/>
          <w:szCs w:val="21"/>
        </w:rPr>
        <w:t>§ 870.3300－血管栓塞治疗器械</w:t>
      </w:r>
    </w:p>
    <w:p w14:paraId="3C37A4B9">
      <w:pPr>
        <w:snapToGrid w:val="0"/>
        <w:spacing w:line="300" w:lineRule="auto"/>
        <w:rPr>
          <w:rFonts w:ascii="Arial" w:hAnsi="Arial" w:eastAsia="宋体" w:cs="Arial"/>
          <w:szCs w:val="21"/>
        </w:rPr>
      </w:pPr>
    </w:p>
    <w:p w14:paraId="0EBBF31D">
      <w:pPr>
        <w:snapToGrid w:val="0"/>
        <w:spacing w:line="300" w:lineRule="auto"/>
        <w:rPr>
          <w:rFonts w:ascii="Arial" w:hAnsi="Arial" w:eastAsia="宋体" w:cs="Arial"/>
          <w:szCs w:val="21"/>
        </w:rPr>
      </w:pPr>
      <w:r>
        <w:rPr>
          <w:rFonts w:ascii="Arial" w:hAnsi="Arial" w:eastAsia="宋体" w:cs="Arial"/>
          <w:szCs w:val="21"/>
        </w:rPr>
        <w:t>（a）鉴定：血管栓塞治疗器械是一种旨在控制由于动脉瘤、某些类型的肿瘤（如肾肿瘤、肝肿瘤和子宫肌瘤）和动静脉畸形所致出血的血管内植入物。</w:t>
      </w:r>
      <w:bookmarkStart w:id="24" w:name="OLE_LINK137"/>
      <w:bookmarkStart w:id="25" w:name="OLE_LINK136"/>
      <w:r>
        <w:rPr>
          <w:rFonts w:ascii="Arial" w:hAnsi="Arial" w:eastAsia="宋体" w:cs="Arial"/>
          <w:szCs w:val="21"/>
        </w:rPr>
        <w:t>这种器械不包括通过聚合与沉淀而发挥作用的氰基丙烯酸盐粘合剂和其他栓塞制剂。</w:t>
      </w:r>
      <w:bookmarkEnd w:id="24"/>
      <w:bookmarkEnd w:id="25"/>
      <w:r>
        <w:rPr>
          <w:rFonts w:ascii="Arial" w:hAnsi="Arial" w:eastAsia="宋体" w:cs="Arial"/>
          <w:szCs w:val="21"/>
        </w:rPr>
        <w:t>在神经血管应用中使用的栓塞治疗器械亦不包括在这个类别的器械中。参见21 CFR 882.5950。</w:t>
      </w:r>
    </w:p>
    <w:p w14:paraId="5ED5A622">
      <w:pPr>
        <w:snapToGrid w:val="0"/>
        <w:spacing w:line="300" w:lineRule="auto"/>
        <w:rPr>
          <w:rFonts w:ascii="Arial" w:hAnsi="Arial" w:eastAsia="宋体" w:cs="Arial"/>
          <w:szCs w:val="21"/>
        </w:rPr>
      </w:pPr>
    </w:p>
    <w:p w14:paraId="5DCCBD1E">
      <w:pPr>
        <w:widowControl/>
        <w:jc w:val="left"/>
        <w:rPr>
          <w:rFonts w:ascii="Arial" w:hAnsi="Arial" w:eastAsia="宋体" w:cs="Arial"/>
          <w:szCs w:val="21"/>
        </w:rPr>
      </w:pPr>
      <w:r>
        <w:rPr>
          <w:rFonts w:ascii="Arial" w:hAnsi="Arial" w:eastAsia="宋体" w:cs="Arial"/>
          <w:szCs w:val="21"/>
        </w:rPr>
        <w:br w:type="page"/>
      </w:r>
    </w:p>
    <w:p w14:paraId="5E42CFF4">
      <w:pPr>
        <w:snapToGrid w:val="0"/>
        <w:spacing w:line="300" w:lineRule="auto"/>
        <w:rPr>
          <w:rFonts w:ascii="Arial" w:hAnsi="Arial" w:eastAsia="宋体" w:cs="Arial"/>
          <w:szCs w:val="21"/>
        </w:rPr>
      </w:pPr>
      <w:r>
        <w:rPr>
          <w:rFonts w:ascii="Arial" w:hAnsi="Arial" w:eastAsia="宋体" w:cs="Arial"/>
          <w:szCs w:val="21"/>
        </w:rPr>
        <w:t>（b）分类：II类器械（特殊控制）。</w:t>
      </w:r>
      <w:bookmarkStart w:id="26" w:name="OLE_LINK138"/>
      <w:bookmarkStart w:id="27" w:name="OLE_LINK139"/>
      <w:r>
        <w:rPr>
          <w:rFonts w:ascii="Arial" w:hAnsi="Arial" w:eastAsia="宋体" w:cs="Arial"/>
          <w:szCs w:val="21"/>
        </w:rPr>
        <w:t>该器械的特殊控制是FDA指导性文件</w:t>
      </w:r>
      <w:r>
        <w:rPr>
          <w:rFonts w:hint="eastAsia" w:ascii="宋体" w:hAnsi="宋体" w:eastAsia="宋体" w:cs="Arial"/>
          <w:szCs w:val="21"/>
        </w:rPr>
        <w:t>《</w:t>
      </w:r>
      <w:r>
        <w:rPr>
          <w:rFonts w:ascii="Arial" w:hAnsi="Arial" w:eastAsia="宋体" w:cs="Arial"/>
          <w:szCs w:val="21"/>
        </w:rPr>
        <w:t>II类特殊控制指导性文件：血管和神经血管栓塞治疗器械</w:t>
      </w:r>
      <w:r>
        <w:rPr>
          <w:rFonts w:hint="eastAsia" w:ascii="宋体" w:hAnsi="宋体" w:eastAsia="宋体" w:cs="Arial"/>
          <w:szCs w:val="21"/>
        </w:rPr>
        <w:t>》</w:t>
      </w:r>
      <w:r>
        <w:rPr>
          <w:rFonts w:ascii="Arial" w:hAnsi="Arial" w:eastAsia="宋体" w:cs="Arial"/>
          <w:szCs w:val="21"/>
        </w:rPr>
        <w:t>。</w:t>
      </w:r>
    </w:p>
    <w:bookmarkEnd w:id="26"/>
    <w:bookmarkEnd w:id="27"/>
    <w:p w14:paraId="14E8B6EB">
      <w:pPr>
        <w:snapToGrid w:val="0"/>
        <w:spacing w:line="300" w:lineRule="auto"/>
        <w:rPr>
          <w:rFonts w:ascii="Arial" w:hAnsi="Arial" w:eastAsia="宋体" w:cs="Arial"/>
          <w:szCs w:val="21"/>
        </w:rPr>
      </w:pPr>
    </w:p>
    <w:p w14:paraId="3DBC0C02">
      <w:pPr>
        <w:snapToGrid w:val="0"/>
        <w:spacing w:line="300" w:lineRule="auto"/>
        <w:rPr>
          <w:rFonts w:ascii="Arial" w:hAnsi="Arial" w:eastAsia="宋体" w:cs="Arial"/>
          <w:b/>
          <w:szCs w:val="21"/>
        </w:rPr>
      </w:pPr>
      <w:r>
        <w:rPr>
          <w:rFonts w:ascii="Arial" w:hAnsi="Arial" w:eastAsia="宋体" w:cs="Arial"/>
          <w:b/>
          <w:szCs w:val="21"/>
        </w:rPr>
        <w:t>§ 882.5950－神经血管栓塞治疗器械</w:t>
      </w:r>
    </w:p>
    <w:p w14:paraId="7FE98FFC">
      <w:pPr>
        <w:snapToGrid w:val="0"/>
        <w:spacing w:line="300" w:lineRule="auto"/>
        <w:rPr>
          <w:rFonts w:ascii="Arial" w:hAnsi="Arial" w:eastAsia="宋体" w:cs="Arial"/>
          <w:szCs w:val="21"/>
        </w:rPr>
      </w:pPr>
    </w:p>
    <w:p w14:paraId="24C575DD">
      <w:pPr>
        <w:snapToGrid w:val="0"/>
        <w:spacing w:line="300" w:lineRule="auto"/>
        <w:rPr>
          <w:rFonts w:ascii="Arial" w:hAnsi="Arial" w:eastAsia="宋体" w:cs="Arial"/>
          <w:szCs w:val="21"/>
        </w:rPr>
      </w:pPr>
      <w:r>
        <w:rPr>
          <w:rFonts w:ascii="Arial" w:hAnsi="Arial" w:eastAsia="宋体" w:cs="Arial"/>
          <w:szCs w:val="21"/>
        </w:rPr>
        <w:t>（a）鉴定：神经血管栓塞治疗器械是一种旨在永久性阻断脑动脉瘤和脑动静脉畸形的血液流体的血管内植入物。这种器械不包括</w:t>
      </w:r>
      <w:bookmarkStart w:id="28" w:name="OLE_LINK143"/>
      <w:bookmarkStart w:id="29" w:name="OLE_LINK142"/>
      <w:r>
        <w:rPr>
          <w:rFonts w:ascii="Arial" w:hAnsi="Arial" w:eastAsia="宋体" w:cs="Arial"/>
          <w:szCs w:val="21"/>
        </w:rPr>
        <w:t>通过聚合与沉淀而发挥作用的</w:t>
      </w:r>
      <w:bookmarkEnd w:id="28"/>
      <w:bookmarkEnd w:id="29"/>
      <w:r>
        <w:rPr>
          <w:rFonts w:ascii="Arial" w:hAnsi="Arial" w:eastAsia="宋体" w:cs="Arial"/>
          <w:szCs w:val="21"/>
        </w:rPr>
        <w:t>丙烯酸树脂基粘结剂和其他栓塞制剂。在其他血管应用中使用的栓塞治疗器械也不包括在本类别的器械中。参见21 CFR 870.3300。</w:t>
      </w:r>
    </w:p>
    <w:p w14:paraId="460E914A">
      <w:pPr>
        <w:snapToGrid w:val="0"/>
        <w:spacing w:line="300" w:lineRule="auto"/>
        <w:rPr>
          <w:rFonts w:ascii="Arial" w:hAnsi="Arial" w:eastAsia="宋体" w:cs="Arial"/>
          <w:szCs w:val="21"/>
        </w:rPr>
      </w:pPr>
    </w:p>
    <w:p w14:paraId="72779462">
      <w:pPr>
        <w:snapToGrid w:val="0"/>
        <w:spacing w:line="300" w:lineRule="auto"/>
        <w:rPr>
          <w:rFonts w:ascii="Arial" w:hAnsi="Arial" w:eastAsia="宋体" w:cs="Arial"/>
          <w:szCs w:val="21"/>
        </w:rPr>
      </w:pPr>
      <w:r>
        <w:rPr>
          <w:rFonts w:ascii="Arial" w:hAnsi="Arial" w:eastAsia="宋体" w:cs="Arial"/>
          <w:szCs w:val="21"/>
        </w:rPr>
        <w:t>（b）分类：II类器械（特殊控制）。该器械的特殊控制是FDA指导性文件</w:t>
      </w:r>
      <w:r>
        <w:rPr>
          <w:rFonts w:hint="eastAsia" w:ascii="宋体" w:hAnsi="宋体" w:eastAsia="宋体" w:cs="Arial"/>
          <w:szCs w:val="21"/>
        </w:rPr>
        <w:t>《</w:t>
      </w:r>
      <w:r>
        <w:rPr>
          <w:rFonts w:ascii="Arial" w:hAnsi="Arial" w:eastAsia="宋体" w:cs="Arial"/>
          <w:szCs w:val="21"/>
        </w:rPr>
        <w:t>II类特殊控制指导性文件：血管和神经血管栓塞治疗器械</w:t>
      </w:r>
      <w:r>
        <w:rPr>
          <w:rFonts w:hint="eastAsia" w:ascii="宋体" w:hAnsi="宋体" w:eastAsia="宋体" w:cs="Arial"/>
          <w:szCs w:val="21"/>
        </w:rPr>
        <w:t>》</w:t>
      </w:r>
      <w:r>
        <w:rPr>
          <w:rFonts w:ascii="Arial" w:hAnsi="Arial" w:eastAsia="宋体" w:cs="Arial"/>
          <w:szCs w:val="21"/>
        </w:rPr>
        <w:t>。</w:t>
      </w:r>
    </w:p>
    <w:p w14:paraId="14B890FF">
      <w:pPr>
        <w:snapToGrid w:val="0"/>
        <w:spacing w:line="300" w:lineRule="auto"/>
        <w:rPr>
          <w:rFonts w:ascii="Arial" w:hAnsi="Arial" w:eastAsia="宋体" w:cs="Arial"/>
          <w:szCs w:val="21"/>
        </w:rPr>
      </w:pPr>
    </w:p>
    <w:p w14:paraId="78962591">
      <w:pPr>
        <w:snapToGrid w:val="0"/>
        <w:spacing w:line="300" w:lineRule="auto"/>
        <w:rPr>
          <w:rFonts w:ascii="Arial" w:hAnsi="Arial" w:eastAsia="宋体" w:cs="Arial"/>
          <w:szCs w:val="21"/>
        </w:rPr>
      </w:pPr>
      <w:r>
        <w:rPr>
          <w:rFonts w:ascii="Arial" w:hAnsi="Arial" w:eastAsia="宋体" w:cs="Arial"/>
          <w:szCs w:val="21"/>
        </w:rPr>
        <w:t>通过聚合与沉淀而发挥作用的丙烯酸树脂基粘结剂和其他栓塞治疗器械（产品代码：NPE）继续作为修订后III类器械接受监管且需提交上市前批准（PMA）申请。</w:t>
      </w:r>
    </w:p>
    <w:p w14:paraId="06784E56">
      <w:pPr>
        <w:snapToGrid w:val="0"/>
        <w:spacing w:line="300" w:lineRule="auto"/>
        <w:rPr>
          <w:rFonts w:ascii="Arial" w:hAnsi="Arial" w:eastAsia="宋体" w:cs="Arial"/>
          <w:szCs w:val="21"/>
        </w:rPr>
      </w:pPr>
    </w:p>
    <w:p w14:paraId="56CD1529">
      <w:pPr>
        <w:snapToGrid w:val="0"/>
        <w:spacing w:line="300" w:lineRule="auto"/>
        <w:rPr>
          <w:rFonts w:ascii="Arial" w:hAnsi="Arial" w:eastAsia="宋体" w:cs="Arial"/>
          <w:b/>
          <w:szCs w:val="21"/>
          <w:lang w:val="en"/>
        </w:rPr>
      </w:pPr>
      <w:r>
        <w:fldChar w:fldCharType="begin"/>
      </w:r>
      <w:r>
        <w:instrText xml:space="preserve"> HYPERLINK "https://www.fda.gov/MedicalDevices/DeviceRegulationandGuidance/GuidanceDocuments/ucm072013.htm" \l "top" </w:instrText>
      </w:r>
      <w:r>
        <w:fldChar w:fldCharType="separate"/>
      </w:r>
      <w:r>
        <w:rPr>
          <w:rStyle w:val="8"/>
          <w:rFonts w:ascii="Arial" w:hAnsi="Arial" w:eastAsia="宋体" w:cs="Arial"/>
          <w:b/>
          <w:szCs w:val="21"/>
          <w:u w:val="none"/>
          <w:lang w:val="en"/>
        </w:rPr>
        <w:t>返回顶部</w:t>
      </w:r>
      <w:r>
        <w:rPr>
          <w:rStyle w:val="8"/>
          <w:rFonts w:ascii="Arial" w:hAnsi="Arial" w:eastAsia="宋体" w:cs="Arial"/>
          <w:b/>
          <w:szCs w:val="21"/>
          <w:u w:val="none"/>
          <w:lang w:val="en"/>
        </w:rPr>
        <w:fldChar w:fldCharType="end"/>
      </w:r>
    </w:p>
    <w:p w14:paraId="27CF0078">
      <w:pPr>
        <w:snapToGrid w:val="0"/>
        <w:spacing w:line="300" w:lineRule="auto"/>
        <w:rPr>
          <w:rFonts w:ascii="Arial" w:hAnsi="Arial" w:eastAsia="宋体" w:cs="Arial"/>
          <w:szCs w:val="21"/>
        </w:rPr>
      </w:pPr>
    </w:p>
    <w:p w14:paraId="6545D40C">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10795</wp:posOffset>
                </wp:positionV>
                <wp:extent cx="5287645" cy="0"/>
                <wp:effectExtent l="0" t="0" r="27305" b="19050"/>
                <wp:wrapNone/>
                <wp:docPr id="8" name="直接连接符 8"/>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0.85pt;height:0pt;width:416.35pt;z-index:251664384;mso-width-relative:page;mso-height-relative:page;" filled="f" stroked="t" coordsize="21600,21600" o:gfxdata="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s6UR0AAAAAUB&#10;AAAPAAAAAAAAAAEAIAAAACIAAABkcnMvZG93bnJldi54bWxQSwECFAAUAAAACACHTuJA0ldDpOoB&#10;AAC9AwAADgAAAAAAAAABACAAAAAfAQAAZHJzL2Uyb0RvYy54bWxQSwUGAAAAAAYABgBZAQAAewUA&#10;AAAA&#10;">
                <v:fill on="f" focussize="0,0"/>
                <v:stroke weight="1.5pt" color="#808080 [1612]" joinstyle="round"/>
                <v:imagedata o:title=""/>
                <o:lock v:ext="edit" aspectratio="f"/>
              </v:line>
            </w:pict>
          </mc:Fallback>
        </mc:AlternateContent>
      </w:r>
    </w:p>
    <w:p w14:paraId="152BA1CE">
      <w:pPr>
        <w:snapToGrid w:val="0"/>
        <w:spacing w:line="300" w:lineRule="auto"/>
        <w:rPr>
          <w:rFonts w:ascii="Arial" w:hAnsi="Arial" w:eastAsia="宋体" w:cs="Arial"/>
          <w:b/>
          <w:szCs w:val="21"/>
        </w:rPr>
      </w:pPr>
      <w:r>
        <w:rPr>
          <w:rFonts w:ascii="Arial" w:hAnsi="Arial" w:eastAsia="宋体" w:cs="Arial"/>
          <w:b/>
          <w:szCs w:val="21"/>
        </w:rPr>
        <w:t>5. 器械描述</w:t>
      </w:r>
    </w:p>
    <w:p w14:paraId="485CE1F4">
      <w:pPr>
        <w:snapToGrid w:val="0"/>
        <w:spacing w:line="300" w:lineRule="auto"/>
        <w:rPr>
          <w:rFonts w:ascii="Arial" w:hAnsi="Arial" w:eastAsia="宋体" w:cs="Arial"/>
          <w:szCs w:val="21"/>
        </w:rPr>
      </w:pPr>
    </w:p>
    <w:p w14:paraId="69CE9400">
      <w:pPr>
        <w:snapToGrid w:val="0"/>
        <w:spacing w:line="300" w:lineRule="auto"/>
        <w:rPr>
          <w:rFonts w:ascii="Arial" w:hAnsi="Arial" w:eastAsia="宋体" w:cs="Arial"/>
          <w:szCs w:val="21"/>
        </w:rPr>
      </w:pPr>
      <w:r>
        <w:rPr>
          <w:rFonts w:ascii="Arial" w:hAnsi="Arial" w:eastAsia="宋体" w:cs="Arial"/>
          <w:szCs w:val="21"/>
        </w:rPr>
        <w:t>我们建议贵公司通过规则编号和产品代码识别器械并在提交资料中包含下列信息：</w:t>
      </w:r>
    </w:p>
    <w:p w14:paraId="2F6C65AA">
      <w:pPr>
        <w:snapToGrid w:val="0"/>
        <w:spacing w:line="300" w:lineRule="auto"/>
        <w:rPr>
          <w:rFonts w:ascii="Arial" w:hAnsi="Arial" w:eastAsia="宋体" w:cs="Arial"/>
          <w:szCs w:val="21"/>
        </w:rPr>
      </w:pPr>
    </w:p>
    <w:p w14:paraId="710EF74A">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器械制造过程中所使用试剂和原材料（如试剂来源、纯度、分析证明书（CoA）或材料安全性数据表（MSDS）的特性，以及任何自选的材料符合性标准</w:t>
      </w:r>
    </w:p>
    <w:p w14:paraId="0C4EE7D0">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具有潜在毒性的任何制造试剂（如有机溶剂、重金属和器械中残留的交联试剂）的特性和数量</w:t>
      </w:r>
    </w:p>
    <w:p w14:paraId="6A071C62">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对器械组件及其装配的描述</w:t>
      </w:r>
    </w:p>
    <w:p w14:paraId="5A3DE6F2">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对与该器械组合使用的任何附件和辅助器械（如输送导管）的描述</w:t>
      </w:r>
    </w:p>
    <w:p w14:paraId="65FB8295">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尺寸、形状和器械设计的范围</w:t>
      </w:r>
    </w:p>
    <w:p w14:paraId="0635F289">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工程图纸</w:t>
      </w:r>
    </w:p>
    <w:p w14:paraId="4E5BE825">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对工作原理的描述（即安放和栓塞方法）</w:t>
      </w:r>
    </w:p>
    <w:p w14:paraId="4F828751">
      <w:pPr>
        <w:pStyle w:val="12"/>
        <w:numPr>
          <w:ilvl w:val="0"/>
          <w:numId w:val="7"/>
        </w:numPr>
        <w:snapToGrid w:val="0"/>
        <w:spacing w:line="300" w:lineRule="auto"/>
        <w:ind w:firstLineChars="0"/>
        <w:rPr>
          <w:rFonts w:ascii="Arial" w:hAnsi="Arial" w:eastAsia="宋体" w:cs="Arial"/>
          <w:szCs w:val="21"/>
        </w:rPr>
      </w:pPr>
      <w:r>
        <w:rPr>
          <w:rFonts w:ascii="Arial" w:hAnsi="Arial" w:eastAsia="宋体" w:cs="Arial"/>
          <w:szCs w:val="21"/>
        </w:rPr>
        <w:t>对器械供应方式的描述（如无菌、装配、一次性使用）</w:t>
      </w:r>
    </w:p>
    <w:p w14:paraId="127026FA">
      <w:pPr>
        <w:snapToGrid w:val="0"/>
        <w:spacing w:line="300" w:lineRule="auto"/>
        <w:rPr>
          <w:rFonts w:ascii="Arial" w:hAnsi="Arial" w:eastAsia="宋体" w:cs="Arial"/>
          <w:szCs w:val="21"/>
        </w:rPr>
      </w:pPr>
    </w:p>
    <w:p w14:paraId="7D456A61">
      <w:pPr>
        <w:snapToGrid w:val="0"/>
        <w:spacing w:line="300" w:lineRule="auto"/>
        <w:rPr>
          <w:rFonts w:ascii="Arial" w:hAnsi="Arial" w:eastAsia="宋体" w:cs="Arial"/>
          <w:b/>
          <w:szCs w:val="21"/>
          <w:lang w:val="en"/>
        </w:rPr>
      </w:pPr>
      <w:r>
        <w:fldChar w:fldCharType="begin"/>
      </w:r>
      <w:r>
        <w:instrText xml:space="preserve"> HYPERLINK "https://www.fda.gov/MedicalDevices/DeviceRegulationandGuidance/GuidanceDocuments/ucm072013.htm" \l "top" </w:instrText>
      </w:r>
      <w:r>
        <w:fldChar w:fldCharType="separate"/>
      </w:r>
      <w:r>
        <w:rPr>
          <w:rStyle w:val="8"/>
          <w:rFonts w:ascii="Arial" w:hAnsi="Arial" w:eastAsia="宋体" w:cs="Arial"/>
          <w:b/>
          <w:szCs w:val="21"/>
          <w:u w:val="none"/>
          <w:lang w:val="en"/>
        </w:rPr>
        <w:t>返回顶部</w:t>
      </w:r>
      <w:r>
        <w:rPr>
          <w:rStyle w:val="8"/>
          <w:rFonts w:ascii="Arial" w:hAnsi="Arial" w:eastAsia="宋体" w:cs="Arial"/>
          <w:b/>
          <w:szCs w:val="21"/>
          <w:u w:val="none"/>
          <w:lang w:val="en"/>
        </w:rPr>
        <w:fldChar w:fldCharType="end"/>
      </w:r>
    </w:p>
    <w:p w14:paraId="5090D907">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177800</wp:posOffset>
                </wp:positionV>
                <wp:extent cx="5287645" cy="0"/>
                <wp:effectExtent l="0" t="0" r="27305" b="19050"/>
                <wp:wrapNone/>
                <wp:docPr id="9" name="直接连接符 9"/>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4pt;height:0pt;width:416.35pt;z-index:251665408;mso-width-relative:page;mso-height-relative:page;" filled="f" stroked="t" coordsize="21600,21600" o:gfxdata="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j3ovPSAAAA&#10;BwEAAA8AAAAAAAAAAQAgAAAAIgAAAGRycy9kb3ducmV2LnhtbFBLAQIUABQAAAAIAIdO4kCBpR7K&#10;6gEAAL0DAAAOAAAAAAAAAAEAIAAAACEBAABkcnMvZTJvRG9jLnhtbFBLBQYAAAAABgAGAFkBAAB9&#10;BQAAAAA=&#10;">
                <v:fill on="f" focussize="0,0"/>
                <v:stroke weight="1.5pt" color="#808080 [1612]" joinstyle="round"/>
                <v:imagedata o:title=""/>
                <o:lock v:ext="edit" aspectratio="f"/>
              </v:line>
            </w:pict>
          </mc:Fallback>
        </mc:AlternateContent>
      </w:r>
    </w:p>
    <w:p w14:paraId="4F0EF7B0">
      <w:pPr>
        <w:snapToGrid w:val="0"/>
        <w:spacing w:line="300" w:lineRule="auto"/>
        <w:rPr>
          <w:rFonts w:ascii="Arial" w:hAnsi="Arial" w:eastAsia="宋体" w:cs="Arial"/>
          <w:szCs w:val="21"/>
        </w:rPr>
      </w:pPr>
    </w:p>
    <w:p w14:paraId="23B13E45">
      <w:pPr>
        <w:widowControl/>
        <w:jc w:val="left"/>
        <w:rPr>
          <w:rFonts w:ascii="Arial" w:hAnsi="Arial" w:eastAsia="宋体" w:cs="Arial"/>
          <w:b/>
          <w:szCs w:val="21"/>
        </w:rPr>
      </w:pPr>
      <w:r>
        <w:rPr>
          <w:rFonts w:ascii="Arial" w:hAnsi="Arial" w:eastAsia="宋体" w:cs="Arial"/>
          <w:b/>
          <w:szCs w:val="21"/>
        </w:rPr>
        <w:br w:type="page"/>
      </w:r>
    </w:p>
    <w:p w14:paraId="2CCE0524">
      <w:pPr>
        <w:snapToGrid w:val="0"/>
        <w:spacing w:line="300" w:lineRule="auto"/>
        <w:rPr>
          <w:rFonts w:ascii="Arial" w:hAnsi="Arial" w:eastAsia="宋体" w:cs="Arial"/>
          <w:b/>
          <w:szCs w:val="21"/>
        </w:rPr>
      </w:pPr>
      <w:r>
        <w:rPr>
          <w:rFonts w:ascii="Arial" w:hAnsi="Arial" w:eastAsia="宋体" w:cs="Arial"/>
          <w:b/>
          <w:szCs w:val="21"/>
        </w:rPr>
        <w:t>6. 健康风险</w:t>
      </w:r>
    </w:p>
    <w:p w14:paraId="631D9EBC">
      <w:pPr>
        <w:snapToGrid w:val="0"/>
        <w:spacing w:line="300" w:lineRule="auto"/>
        <w:rPr>
          <w:rFonts w:ascii="Arial" w:hAnsi="Arial" w:eastAsia="宋体" w:cs="Arial"/>
          <w:szCs w:val="21"/>
        </w:rPr>
      </w:pPr>
    </w:p>
    <w:p w14:paraId="47A1415B">
      <w:pPr>
        <w:snapToGrid w:val="0"/>
        <w:spacing w:line="300" w:lineRule="auto"/>
        <w:rPr>
          <w:rFonts w:ascii="Arial" w:hAnsi="Arial" w:eastAsia="宋体" w:cs="Arial"/>
          <w:szCs w:val="21"/>
        </w:rPr>
      </w:pPr>
      <w:r>
        <w:rPr>
          <w:rFonts w:ascii="Arial" w:hAnsi="Arial" w:eastAsia="宋体" w:cs="Arial"/>
          <w:szCs w:val="21"/>
        </w:rPr>
        <w:t>FDA已确定了通常与使用本文件中所述器械相关的健康风险。在本指导性文件中给出了为缓解这些确定风险而建议采取的控制措施，如下表所示。我们建议贵公司在提交510（k）提交资料前进行风险分析，确定器械所特有的任何其他风险。例如，一种具有妇科适应症的器械可能导致如子宫壁损伤、弥漫性子宫坏死、原发性卵巢衰竭、生殖毒性或致癌性以及与子宫环境中的化学、毒理学和愈合反应相关的其他风险。在510（k）提交资料中应对风险分析方法进行描述。如果选择使用替代方法解决本文件中确定特殊风险或已确定本文件所述风险的其他风险，则应提供足够细节支持用来解决该风险的方法。</w:t>
      </w:r>
    </w:p>
    <w:p w14:paraId="6409721B">
      <w:pPr>
        <w:snapToGrid w:val="0"/>
        <w:spacing w:line="300" w:lineRule="auto"/>
        <w:rPr>
          <w:rFonts w:ascii="Arial" w:hAnsi="Arial" w:eastAsia="宋体" w:cs="Arial"/>
          <w:szCs w:val="21"/>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3AB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shd w:val="clear" w:color="auto" w:fill="0000FF"/>
          </w:tcPr>
          <w:p w14:paraId="0495CFC4">
            <w:pPr>
              <w:snapToGrid w:val="0"/>
              <w:spacing w:line="300" w:lineRule="auto"/>
              <w:rPr>
                <w:rFonts w:ascii="Arial" w:hAnsi="Arial" w:eastAsia="宋体" w:cs="Arial"/>
                <w:b/>
                <w:color w:val="000000" w:themeColor="text1"/>
                <w:sz w:val="18"/>
                <w:szCs w:val="18"/>
                <w14:textFill>
                  <w14:solidFill>
                    <w14:schemeClr w14:val="tx1"/>
                  </w14:solidFill>
                </w14:textFill>
              </w:rPr>
            </w:pPr>
            <w:r>
              <w:rPr>
                <w:rFonts w:ascii="Arial" w:hAnsi="Arial" w:eastAsia="宋体" w:cs="Arial"/>
                <w:b/>
                <w:color w:val="000000" w:themeColor="text1"/>
                <w:sz w:val="18"/>
                <w:szCs w:val="18"/>
                <w14:textFill>
                  <w14:solidFill>
                    <w14:schemeClr w14:val="tx1"/>
                  </w14:solidFill>
                </w14:textFill>
              </w:rPr>
              <w:t>确定风险</w:t>
            </w:r>
          </w:p>
        </w:tc>
        <w:tc>
          <w:tcPr>
            <w:tcW w:w="4261" w:type="dxa"/>
            <w:shd w:val="clear" w:color="auto" w:fill="0000FF"/>
          </w:tcPr>
          <w:p w14:paraId="1258D4C5">
            <w:pPr>
              <w:snapToGrid w:val="0"/>
              <w:spacing w:line="300" w:lineRule="auto"/>
              <w:rPr>
                <w:rFonts w:ascii="Arial" w:hAnsi="Arial" w:eastAsia="宋体" w:cs="Arial"/>
                <w:b/>
                <w:color w:val="000000" w:themeColor="text1"/>
                <w:sz w:val="18"/>
                <w:szCs w:val="18"/>
                <w14:textFill>
                  <w14:solidFill>
                    <w14:schemeClr w14:val="tx1"/>
                  </w14:solidFill>
                </w14:textFill>
              </w:rPr>
            </w:pPr>
            <w:r>
              <w:rPr>
                <w:rFonts w:ascii="Arial" w:hAnsi="Arial" w:eastAsia="宋体" w:cs="Arial"/>
                <w:b/>
                <w:color w:val="000000" w:themeColor="text1"/>
                <w:sz w:val="18"/>
                <w:szCs w:val="18"/>
                <w14:textFill>
                  <w14:solidFill>
                    <w14:schemeClr w14:val="tx1"/>
                  </w14:solidFill>
                </w14:textFill>
              </w:rPr>
              <w:t>建议采取的缓解措施</w:t>
            </w:r>
          </w:p>
        </w:tc>
      </w:tr>
      <w:tr w14:paraId="1556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7ED03E0">
            <w:pPr>
              <w:snapToGrid w:val="0"/>
              <w:spacing w:line="300" w:lineRule="auto"/>
              <w:rPr>
                <w:rFonts w:ascii="Arial" w:hAnsi="Arial" w:eastAsia="宋体" w:cs="Arial"/>
                <w:sz w:val="18"/>
                <w:szCs w:val="18"/>
              </w:rPr>
            </w:pPr>
            <w:r>
              <w:rPr>
                <w:rFonts w:ascii="Arial" w:hAnsi="Arial" w:eastAsia="宋体" w:cs="Arial"/>
                <w:sz w:val="18"/>
                <w:szCs w:val="18"/>
              </w:rPr>
              <w:t>血管穿孔或破裂</w:t>
            </w:r>
          </w:p>
        </w:tc>
        <w:tc>
          <w:tcPr>
            <w:tcW w:w="4261" w:type="dxa"/>
          </w:tcPr>
          <w:p w14:paraId="59350F23">
            <w:pPr>
              <w:snapToGrid w:val="0"/>
              <w:spacing w:line="300" w:lineRule="auto"/>
              <w:rPr>
                <w:rFonts w:ascii="Arial" w:hAnsi="Arial" w:eastAsia="宋体" w:cs="Arial"/>
                <w:sz w:val="18"/>
                <w:szCs w:val="18"/>
              </w:rPr>
            </w:pPr>
            <w:bookmarkStart w:id="30" w:name="OLE_LINK33"/>
            <w:bookmarkStart w:id="31" w:name="OLE_LINK32"/>
            <w:r>
              <w:rPr>
                <w:rFonts w:ascii="Arial" w:hAnsi="Arial" w:eastAsia="宋体" w:cs="Arial"/>
                <w:sz w:val="18"/>
                <w:szCs w:val="18"/>
              </w:rPr>
              <w:t>第7节：临床前试验</w:t>
            </w:r>
          </w:p>
          <w:p w14:paraId="596C7581">
            <w:pPr>
              <w:snapToGrid w:val="0"/>
              <w:spacing w:line="300" w:lineRule="auto"/>
              <w:rPr>
                <w:rFonts w:ascii="Arial" w:hAnsi="Arial" w:eastAsia="宋体" w:cs="Arial"/>
                <w:sz w:val="18"/>
                <w:szCs w:val="18"/>
              </w:rPr>
            </w:pPr>
            <w:r>
              <w:rPr>
                <w:rFonts w:ascii="Arial" w:hAnsi="Arial" w:eastAsia="宋体" w:cs="Arial"/>
                <w:sz w:val="18"/>
                <w:szCs w:val="18"/>
              </w:rPr>
              <w:t>第9节：动物试验</w:t>
            </w:r>
          </w:p>
          <w:p w14:paraId="2C7B4558">
            <w:pPr>
              <w:snapToGrid w:val="0"/>
              <w:spacing w:line="300" w:lineRule="auto"/>
              <w:rPr>
                <w:rFonts w:ascii="Arial" w:hAnsi="Arial" w:eastAsia="宋体" w:cs="Arial"/>
                <w:sz w:val="18"/>
                <w:szCs w:val="18"/>
              </w:rPr>
            </w:pPr>
            <w:r>
              <w:rPr>
                <w:rFonts w:ascii="Arial" w:hAnsi="Arial" w:eastAsia="宋体" w:cs="Arial"/>
                <w:sz w:val="18"/>
                <w:szCs w:val="18"/>
              </w:rPr>
              <w:t>第10节：临床试验</w:t>
            </w:r>
          </w:p>
          <w:p w14:paraId="0AB86A8B">
            <w:pPr>
              <w:snapToGrid w:val="0"/>
              <w:spacing w:line="300" w:lineRule="auto"/>
              <w:rPr>
                <w:rFonts w:ascii="Arial" w:hAnsi="Arial" w:eastAsia="宋体" w:cs="Arial"/>
                <w:sz w:val="18"/>
                <w:szCs w:val="18"/>
              </w:rPr>
            </w:pPr>
            <w:r>
              <w:rPr>
                <w:rFonts w:ascii="Arial" w:hAnsi="Arial" w:eastAsia="宋体" w:cs="Arial"/>
                <w:sz w:val="18"/>
                <w:szCs w:val="18"/>
              </w:rPr>
              <w:t>第11节：标签</w:t>
            </w:r>
            <w:bookmarkEnd w:id="30"/>
            <w:bookmarkEnd w:id="31"/>
          </w:p>
        </w:tc>
      </w:tr>
      <w:tr w14:paraId="7C7A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924D76B">
            <w:pPr>
              <w:snapToGrid w:val="0"/>
              <w:spacing w:line="300" w:lineRule="auto"/>
              <w:rPr>
                <w:rFonts w:ascii="Arial" w:hAnsi="Arial" w:eastAsia="宋体" w:cs="Arial"/>
                <w:sz w:val="18"/>
                <w:szCs w:val="18"/>
              </w:rPr>
            </w:pPr>
            <w:r>
              <w:rPr>
                <w:rFonts w:ascii="Arial" w:hAnsi="Arial" w:eastAsia="宋体" w:cs="Arial"/>
                <w:sz w:val="18"/>
                <w:szCs w:val="18"/>
              </w:rPr>
              <w:t>非预期血栓形成</w:t>
            </w:r>
          </w:p>
        </w:tc>
        <w:tc>
          <w:tcPr>
            <w:tcW w:w="4261" w:type="dxa"/>
          </w:tcPr>
          <w:p w14:paraId="79F8409D">
            <w:pPr>
              <w:snapToGrid w:val="0"/>
              <w:spacing w:line="300" w:lineRule="auto"/>
              <w:rPr>
                <w:rFonts w:ascii="Arial" w:hAnsi="Arial" w:eastAsia="宋体" w:cs="Arial"/>
                <w:sz w:val="18"/>
                <w:szCs w:val="18"/>
              </w:rPr>
            </w:pPr>
            <w:r>
              <w:rPr>
                <w:rFonts w:ascii="Arial" w:hAnsi="Arial" w:eastAsia="宋体" w:cs="Arial"/>
                <w:sz w:val="18"/>
                <w:szCs w:val="18"/>
              </w:rPr>
              <w:t>第7节：临床前试验</w:t>
            </w:r>
          </w:p>
          <w:p w14:paraId="0BF8F62E">
            <w:pPr>
              <w:snapToGrid w:val="0"/>
              <w:spacing w:line="300" w:lineRule="auto"/>
              <w:rPr>
                <w:rFonts w:ascii="Arial" w:hAnsi="Arial" w:eastAsia="宋体" w:cs="Arial"/>
                <w:sz w:val="18"/>
                <w:szCs w:val="18"/>
              </w:rPr>
            </w:pPr>
            <w:r>
              <w:rPr>
                <w:rFonts w:ascii="Arial" w:hAnsi="Arial" w:eastAsia="宋体" w:cs="Arial"/>
                <w:sz w:val="18"/>
                <w:szCs w:val="18"/>
              </w:rPr>
              <w:t>第9节：动物试验</w:t>
            </w:r>
          </w:p>
          <w:p w14:paraId="2F101863">
            <w:pPr>
              <w:snapToGrid w:val="0"/>
              <w:spacing w:line="300" w:lineRule="auto"/>
              <w:rPr>
                <w:rFonts w:ascii="Arial" w:hAnsi="Arial" w:eastAsia="宋体" w:cs="Arial"/>
                <w:sz w:val="18"/>
                <w:szCs w:val="18"/>
              </w:rPr>
            </w:pPr>
            <w:r>
              <w:rPr>
                <w:rFonts w:ascii="Arial" w:hAnsi="Arial" w:eastAsia="宋体" w:cs="Arial"/>
                <w:sz w:val="18"/>
                <w:szCs w:val="18"/>
              </w:rPr>
              <w:t>第10节：临床试验</w:t>
            </w:r>
          </w:p>
          <w:p w14:paraId="5B8A1FA4">
            <w:pPr>
              <w:snapToGrid w:val="0"/>
              <w:spacing w:line="300" w:lineRule="auto"/>
              <w:rPr>
                <w:rFonts w:ascii="Arial" w:hAnsi="Arial" w:eastAsia="宋体" w:cs="Arial"/>
                <w:sz w:val="18"/>
                <w:szCs w:val="18"/>
              </w:rPr>
            </w:pPr>
            <w:r>
              <w:rPr>
                <w:rFonts w:ascii="Arial" w:hAnsi="Arial" w:eastAsia="宋体" w:cs="Arial"/>
                <w:sz w:val="18"/>
                <w:szCs w:val="18"/>
              </w:rPr>
              <w:t>第11节：标签</w:t>
            </w:r>
          </w:p>
        </w:tc>
      </w:tr>
      <w:tr w14:paraId="3457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0BE5ED6">
            <w:pPr>
              <w:snapToGrid w:val="0"/>
              <w:spacing w:line="300" w:lineRule="auto"/>
              <w:rPr>
                <w:rFonts w:ascii="Arial" w:hAnsi="Arial" w:eastAsia="宋体" w:cs="Arial"/>
                <w:sz w:val="18"/>
                <w:szCs w:val="18"/>
              </w:rPr>
            </w:pPr>
            <w:r>
              <w:rPr>
                <w:rFonts w:ascii="Arial" w:hAnsi="Arial" w:eastAsia="宋体" w:cs="Arial"/>
                <w:sz w:val="18"/>
                <w:szCs w:val="18"/>
              </w:rPr>
              <w:t>不良组织反应</w:t>
            </w:r>
          </w:p>
        </w:tc>
        <w:tc>
          <w:tcPr>
            <w:tcW w:w="4261" w:type="dxa"/>
          </w:tcPr>
          <w:p w14:paraId="5453F3E4">
            <w:pPr>
              <w:snapToGrid w:val="0"/>
              <w:spacing w:line="300" w:lineRule="auto"/>
              <w:rPr>
                <w:rFonts w:ascii="Arial" w:hAnsi="Arial" w:eastAsia="宋体" w:cs="Arial"/>
                <w:sz w:val="18"/>
                <w:szCs w:val="18"/>
              </w:rPr>
            </w:pPr>
            <w:r>
              <w:rPr>
                <w:rFonts w:ascii="Arial" w:hAnsi="Arial" w:eastAsia="宋体" w:cs="Arial"/>
                <w:sz w:val="18"/>
                <w:szCs w:val="18"/>
              </w:rPr>
              <w:t>第7节：临床前试验</w:t>
            </w:r>
          </w:p>
          <w:p w14:paraId="02289E02">
            <w:pPr>
              <w:snapToGrid w:val="0"/>
              <w:spacing w:line="300" w:lineRule="auto"/>
              <w:rPr>
                <w:rFonts w:ascii="Arial" w:hAnsi="Arial" w:eastAsia="宋体" w:cs="Arial"/>
                <w:sz w:val="18"/>
                <w:szCs w:val="18"/>
              </w:rPr>
            </w:pPr>
            <w:r>
              <w:rPr>
                <w:rFonts w:ascii="Arial" w:hAnsi="Arial" w:eastAsia="宋体" w:cs="Arial"/>
                <w:sz w:val="18"/>
                <w:szCs w:val="18"/>
              </w:rPr>
              <w:t>第9节：动物试验</w:t>
            </w:r>
          </w:p>
          <w:p w14:paraId="35499FA3">
            <w:pPr>
              <w:snapToGrid w:val="0"/>
              <w:spacing w:line="300" w:lineRule="auto"/>
              <w:rPr>
                <w:rFonts w:ascii="Arial" w:hAnsi="Arial" w:eastAsia="宋体" w:cs="Arial"/>
                <w:sz w:val="18"/>
                <w:szCs w:val="18"/>
              </w:rPr>
            </w:pPr>
            <w:r>
              <w:rPr>
                <w:rFonts w:ascii="Arial" w:hAnsi="Arial" w:eastAsia="宋体" w:cs="Arial"/>
                <w:sz w:val="18"/>
                <w:szCs w:val="18"/>
              </w:rPr>
              <w:t>第10节：临床试验</w:t>
            </w:r>
          </w:p>
        </w:tc>
      </w:tr>
      <w:tr w14:paraId="3F65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FA00412">
            <w:pPr>
              <w:snapToGrid w:val="0"/>
              <w:spacing w:line="300" w:lineRule="auto"/>
              <w:rPr>
                <w:rFonts w:ascii="Arial" w:hAnsi="Arial" w:eastAsia="宋体" w:cs="Arial"/>
                <w:sz w:val="18"/>
                <w:szCs w:val="18"/>
              </w:rPr>
            </w:pPr>
            <w:r>
              <w:rPr>
                <w:rFonts w:ascii="Arial" w:hAnsi="Arial" w:eastAsia="宋体" w:cs="Arial"/>
                <w:sz w:val="18"/>
                <w:szCs w:val="18"/>
              </w:rPr>
              <w:t>感染</w:t>
            </w:r>
          </w:p>
        </w:tc>
        <w:tc>
          <w:tcPr>
            <w:tcW w:w="4261" w:type="dxa"/>
          </w:tcPr>
          <w:p w14:paraId="54B70E9A">
            <w:pPr>
              <w:snapToGrid w:val="0"/>
              <w:spacing w:line="300" w:lineRule="auto"/>
              <w:rPr>
                <w:rFonts w:ascii="Arial" w:hAnsi="Arial" w:eastAsia="宋体" w:cs="Arial"/>
                <w:sz w:val="18"/>
                <w:szCs w:val="18"/>
              </w:rPr>
            </w:pPr>
            <w:r>
              <w:rPr>
                <w:rFonts w:ascii="Arial" w:hAnsi="Arial" w:eastAsia="宋体" w:cs="Arial"/>
                <w:sz w:val="18"/>
                <w:szCs w:val="18"/>
              </w:rPr>
              <w:t>第8节：无菌</w:t>
            </w:r>
          </w:p>
        </w:tc>
      </w:tr>
      <w:tr w14:paraId="4EC9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705A76F">
            <w:pPr>
              <w:snapToGrid w:val="0"/>
              <w:spacing w:line="300" w:lineRule="auto"/>
              <w:rPr>
                <w:rFonts w:ascii="Arial" w:hAnsi="Arial" w:eastAsia="宋体" w:cs="Arial"/>
                <w:sz w:val="18"/>
                <w:szCs w:val="18"/>
              </w:rPr>
            </w:pPr>
            <w:r>
              <w:rPr>
                <w:rFonts w:ascii="Arial" w:hAnsi="Arial" w:eastAsia="宋体" w:cs="Arial"/>
                <w:sz w:val="18"/>
                <w:szCs w:val="18"/>
              </w:rPr>
              <w:t>血肿形成</w:t>
            </w:r>
          </w:p>
        </w:tc>
        <w:tc>
          <w:tcPr>
            <w:tcW w:w="4261" w:type="dxa"/>
          </w:tcPr>
          <w:p w14:paraId="121E924D">
            <w:pPr>
              <w:snapToGrid w:val="0"/>
              <w:spacing w:line="300" w:lineRule="auto"/>
              <w:rPr>
                <w:rFonts w:ascii="Arial" w:hAnsi="Arial" w:eastAsia="宋体" w:cs="Arial"/>
                <w:sz w:val="18"/>
                <w:szCs w:val="18"/>
              </w:rPr>
            </w:pPr>
            <w:r>
              <w:rPr>
                <w:rFonts w:ascii="Arial" w:hAnsi="Arial" w:eastAsia="宋体" w:cs="Arial"/>
                <w:sz w:val="18"/>
                <w:szCs w:val="18"/>
              </w:rPr>
              <w:t>第7节：临床前试验</w:t>
            </w:r>
          </w:p>
          <w:p w14:paraId="1BED4103">
            <w:pPr>
              <w:snapToGrid w:val="0"/>
              <w:spacing w:line="300" w:lineRule="auto"/>
              <w:rPr>
                <w:rFonts w:ascii="Arial" w:hAnsi="Arial" w:eastAsia="宋体" w:cs="Arial"/>
                <w:sz w:val="18"/>
                <w:szCs w:val="18"/>
              </w:rPr>
            </w:pPr>
            <w:r>
              <w:rPr>
                <w:rFonts w:ascii="Arial" w:hAnsi="Arial" w:eastAsia="宋体" w:cs="Arial"/>
                <w:sz w:val="18"/>
                <w:szCs w:val="18"/>
              </w:rPr>
              <w:t>第9节：动物试验</w:t>
            </w:r>
          </w:p>
          <w:p w14:paraId="71591BC9">
            <w:pPr>
              <w:snapToGrid w:val="0"/>
              <w:spacing w:line="300" w:lineRule="auto"/>
              <w:rPr>
                <w:rFonts w:ascii="Arial" w:hAnsi="Arial" w:eastAsia="宋体" w:cs="Arial"/>
                <w:sz w:val="18"/>
                <w:szCs w:val="18"/>
              </w:rPr>
            </w:pPr>
            <w:r>
              <w:rPr>
                <w:rFonts w:ascii="Arial" w:hAnsi="Arial" w:eastAsia="宋体" w:cs="Arial"/>
                <w:sz w:val="18"/>
                <w:szCs w:val="18"/>
              </w:rPr>
              <w:t>第10节：临床试验</w:t>
            </w:r>
          </w:p>
          <w:p w14:paraId="30B6BBCF">
            <w:pPr>
              <w:snapToGrid w:val="0"/>
              <w:spacing w:line="300" w:lineRule="auto"/>
              <w:rPr>
                <w:rFonts w:ascii="Arial" w:hAnsi="Arial" w:eastAsia="宋体" w:cs="Arial"/>
                <w:sz w:val="18"/>
                <w:szCs w:val="18"/>
              </w:rPr>
            </w:pPr>
            <w:r>
              <w:rPr>
                <w:rFonts w:ascii="Arial" w:hAnsi="Arial" w:eastAsia="宋体" w:cs="Arial"/>
                <w:sz w:val="18"/>
                <w:szCs w:val="18"/>
              </w:rPr>
              <w:t>第11节：标签</w:t>
            </w:r>
          </w:p>
        </w:tc>
      </w:tr>
    </w:tbl>
    <w:p w14:paraId="477C14F2">
      <w:pPr>
        <w:snapToGrid w:val="0"/>
        <w:spacing w:line="300" w:lineRule="auto"/>
        <w:rPr>
          <w:rFonts w:ascii="Arial" w:hAnsi="Arial" w:eastAsia="宋体" w:cs="Arial"/>
          <w:szCs w:val="21"/>
        </w:rPr>
      </w:pPr>
    </w:p>
    <w:p w14:paraId="5045CF04">
      <w:pPr>
        <w:widowControl/>
        <w:snapToGrid w:val="0"/>
        <w:spacing w:line="300" w:lineRule="auto"/>
        <w:jc w:val="left"/>
        <w:rPr>
          <w:rFonts w:ascii="Arial" w:hAnsi="Arial" w:eastAsia="宋体" w:cs="Arial"/>
          <w:b/>
          <w:color w:val="333333"/>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b/>
          <w:color w:val="005F9F"/>
          <w:kern w:val="0"/>
          <w:szCs w:val="21"/>
          <w:lang w:val="en"/>
        </w:rPr>
        <w:t>返回顶部</w:t>
      </w:r>
      <w:r>
        <w:rPr>
          <w:rFonts w:ascii="Arial" w:hAnsi="Arial" w:eastAsia="宋体" w:cs="Arial"/>
          <w:b/>
          <w:color w:val="005F9F"/>
          <w:kern w:val="0"/>
          <w:szCs w:val="21"/>
          <w:lang w:val="en"/>
        </w:rPr>
        <w:fldChar w:fldCharType="end"/>
      </w:r>
    </w:p>
    <w:p w14:paraId="58A4CEE7">
      <w:pPr>
        <w:snapToGrid w:val="0"/>
        <w:spacing w:line="300" w:lineRule="auto"/>
        <w:rPr>
          <w:rFonts w:ascii="Arial" w:hAnsi="Arial" w:eastAsia="宋体" w:cs="Arial"/>
          <w:szCs w:val="21"/>
        </w:rPr>
      </w:pPr>
    </w:p>
    <w:p w14:paraId="1B657501">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6432" behindDoc="0" locked="0" layoutInCell="1" allowOverlap="1">
                <wp:simplePos x="0" y="0"/>
                <wp:positionH relativeFrom="column">
                  <wp:posOffset>14605</wp:posOffset>
                </wp:positionH>
                <wp:positionV relativeFrom="paragraph">
                  <wp:posOffset>66040</wp:posOffset>
                </wp:positionV>
                <wp:extent cx="5287645" cy="0"/>
                <wp:effectExtent l="0" t="0" r="27305" b="19050"/>
                <wp:wrapNone/>
                <wp:docPr id="10" name="直接连接符 10"/>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5.2pt;height:0pt;width:416.35pt;z-index:251666432;mso-width-relative:page;mso-height-relative:page;" filled="f" stroked="t" coordsize="21600,21600" o:gfxdata="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4ly8PSAAAA&#10;BwEAAA8AAAAAAAAAAQAgAAAAIgAAAGRycy9kb3ducmV2LnhtbFBLAQIUABQAAAAIAIdO4kBGQ68x&#10;6gEAAL8DAAAOAAAAAAAAAAEAIAAAACEBAABkcnMvZTJvRG9jLnhtbFBLBQYAAAAABgAGAFkBAAB9&#10;BQAAAAA=&#10;">
                <v:fill on="f" focussize="0,0"/>
                <v:stroke weight="1.5pt" color="#808080 [1612]" joinstyle="round"/>
                <v:imagedata o:title=""/>
                <o:lock v:ext="edit" aspectratio="f"/>
              </v:line>
            </w:pict>
          </mc:Fallback>
        </mc:AlternateContent>
      </w:r>
    </w:p>
    <w:p w14:paraId="3584008F">
      <w:pPr>
        <w:snapToGrid w:val="0"/>
        <w:spacing w:line="300" w:lineRule="auto"/>
        <w:rPr>
          <w:rFonts w:ascii="Arial" w:hAnsi="Arial" w:eastAsia="宋体" w:cs="Arial"/>
          <w:szCs w:val="21"/>
        </w:rPr>
      </w:pPr>
    </w:p>
    <w:p w14:paraId="7DD9D593">
      <w:pPr>
        <w:widowControl/>
        <w:jc w:val="left"/>
        <w:rPr>
          <w:rFonts w:ascii="Arial" w:hAnsi="Arial" w:eastAsia="宋体" w:cs="Arial"/>
          <w:b/>
          <w:szCs w:val="21"/>
        </w:rPr>
      </w:pPr>
      <w:r>
        <w:rPr>
          <w:rFonts w:ascii="Arial" w:hAnsi="Arial" w:eastAsia="宋体" w:cs="Arial"/>
          <w:b/>
          <w:szCs w:val="21"/>
        </w:rPr>
        <w:br w:type="page"/>
      </w:r>
    </w:p>
    <w:p w14:paraId="42516C3B">
      <w:pPr>
        <w:snapToGrid w:val="0"/>
        <w:spacing w:line="300" w:lineRule="auto"/>
        <w:rPr>
          <w:rFonts w:ascii="Arial" w:hAnsi="Arial" w:eastAsia="宋体" w:cs="Arial"/>
          <w:b/>
          <w:szCs w:val="21"/>
        </w:rPr>
      </w:pPr>
      <w:r>
        <w:rPr>
          <w:rFonts w:ascii="Arial" w:hAnsi="Arial" w:eastAsia="宋体" w:cs="Arial"/>
          <w:b/>
          <w:szCs w:val="21"/>
        </w:rPr>
        <w:t>7. 临床前试验</w:t>
      </w:r>
    </w:p>
    <w:p w14:paraId="284016E3">
      <w:pPr>
        <w:snapToGrid w:val="0"/>
        <w:spacing w:line="300" w:lineRule="auto"/>
        <w:rPr>
          <w:rFonts w:ascii="Arial" w:hAnsi="Arial" w:eastAsia="宋体" w:cs="Arial"/>
          <w:szCs w:val="21"/>
        </w:rPr>
      </w:pPr>
    </w:p>
    <w:p w14:paraId="2FA061B0">
      <w:pPr>
        <w:snapToGrid w:val="0"/>
        <w:spacing w:line="300" w:lineRule="auto"/>
        <w:rPr>
          <w:rFonts w:ascii="Arial" w:hAnsi="Arial" w:eastAsia="宋体" w:cs="Arial"/>
          <w:szCs w:val="21"/>
        </w:rPr>
      </w:pPr>
      <w:r>
        <w:rPr>
          <w:rFonts w:ascii="Arial" w:hAnsi="Arial" w:eastAsia="宋体" w:cs="Arial"/>
          <w:szCs w:val="21"/>
        </w:rPr>
        <w:t>我们建议贵公司通过进行一下临床前试验确定器械的性能特征。</w:t>
      </w:r>
    </w:p>
    <w:p w14:paraId="34575CD9">
      <w:pPr>
        <w:snapToGrid w:val="0"/>
        <w:spacing w:line="300" w:lineRule="auto"/>
        <w:rPr>
          <w:rFonts w:ascii="Arial" w:hAnsi="Arial" w:eastAsia="宋体" w:cs="Arial"/>
          <w:szCs w:val="21"/>
        </w:rPr>
      </w:pPr>
    </w:p>
    <w:p w14:paraId="1B6863B6">
      <w:pPr>
        <w:snapToGrid w:val="0"/>
        <w:spacing w:line="300" w:lineRule="auto"/>
        <w:rPr>
          <w:rFonts w:ascii="Arial" w:hAnsi="Arial" w:eastAsia="宋体" w:cs="Arial"/>
          <w:b/>
          <w:szCs w:val="21"/>
        </w:rPr>
      </w:pPr>
      <w:r>
        <w:rPr>
          <w:rFonts w:ascii="Arial" w:hAnsi="Arial" w:eastAsia="宋体" w:cs="Arial"/>
          <w:b/>
          <w:szCs w:val="21"/>
        </w:rPr>
        <w:t>聚乙烯醇（PVA）微粒试验</w:t>
      </w:r>
    </w:p>
    <w:p w14:paraId="2B0853A3">
      <w:pPr>
        <w:snapToGrid w:val="0"/>
        <w:spacing w:line="300" w:lineRule="auto"/>
        <w:rPr>
          <w:rFonts w:ascii="Arial" w:hAnsi="Arial" w:eastAsia="宋体" w:cs="Arial"/>
          <w:szCs w:val="21"/>
        </w:rPr>
      </w:pPr>
    </w:p>
    <w:p w14:paraId="55F7580B">
      <w:pPr>
        <w:snapToGrid w:val="0"/>
        <w:spacing w:line="300" w:lineRule="auto"/>
        <w:rPr>
          <w:rFonts w:ascii="Arial" w:hAnsi="Arial" w:eastAsia="宋体" w:cs="Arial"/>
          <w:szCs w:val="21"/>
        </w:rPr>
      </w:pPr>
      <w:r>
        <w:rPr>
          <w:rFonts w:ascii="Arial" w:hAnsi="Arial" w:eastAsia="宋体" w:cs="Arial"/>
          <w:szCs w:val="21"/>
        </w:rPr>
        <w:t>我们建议贵公司提供聚乙烯醇微粒的下列信息：</w:t>
      </w:r>
    </w:p>
    <w:p w14:paraId="37AE0205">
      <w:pPr>
        <w:snapToGrid w:val="0"/>
        <w:spacing w:line="300" w:lineRule="auto"/>
        <w:rPr>
          <w:rFonts w:ascii="Arial" w:hAnsi="Arial" w:eastAsia="宋体" w:cs="Arial"/>
          <w:szCs w:val="21"/>
        </w:rPr>
      </w:pPr>
    </w:p>
    <w:p w14:paraId="204B924A">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对最终的无菌器械的化学分析，包括任何处理添加剂、污染物等的鉴定和定量。</w:t>
      </w:r>
    </w:p>
    <w:p w14:paraId="561AFC63">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对如何从微粒中去除甲醛和/或其他处理材料的说明以及对去除流程进行评价的数据（如果适用的话）。</w:t>
      </w:r>
    </w:p>
    <w:p w14:paraId="38DF4CAF">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微粒的尺寸范围</w:t>
      </w:r>
    </w:p>
    <w:p w14:paraId="1EB35F00">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对微粒尺寸与所推荐输送导管相容性的评估</w:t>
      </w:r>
    </w:p>
    <w:p w14:paraId="2CFA40CF">
      <w:pPr>
        <w:pStyle w:val="12"/>
        <w:numPr>
          <w:ilvl w:val="0"/>
          <w:numId w:val="8"/>
        </w:numPr>
        <w:snapToGrid w:val="0"/>
        <w:spacing w:line="300" w:lineRule="auto"/>
        <w:ind w:firstLineChars="0"/>
        <w:rPr>
          <w:rFonts w:ascii="Arial" w:hAnsi="Arial" w:eastAsia="宋体" w:cs="Arial"/>
          <w:szCs w:val="21"/>
        </w:rPr>
      </w:pPr>
      <w:r>
        <w:rPr>
          <w:rFonts w:ascii="Arial" w:hAnsi="Arial" w:eastAsia="宋体" w:cs="Arial"/>
          <w:szCs w:val="21"/>
        </w:rPr>
        <w:t>根据标签说明与所推荐对照媒介或其他互动材料混合时对微粒均匀散布和悬浮状况的评价</w:t>
      </w:r>
    </w:p>
    <w:p w14:paraId="7B040E21">
      <w:pPr>
        <w:snapToGrid w:val="0"/>
        <w:spacing w:line="300" w:lineRule="auto"/>
        <w:rPr>
          <w:rFonts w:ascii="Arial" w:hAnsi="Arial" w:eastAsia="宋体" w:cs="Arial"/>
          <w:szCs w:val="21"/>
        </w:rPr>
      </w:pPr>
    </w:p>
    <w:p w14:paraId="2835FB72">
      <w:pPr>
        <w:snapToGrid w:val="0"/>
        <w:spacing w:line="300" w:lineRule="auto"/>
        <w:rPr>
          <w:rFonts w:ascii="Arial" w:hAnsi="Arial" w:eastAsia="宋体" w:cs="Arial"/>
          <w:b/>
          <w:szCs w:val="21"/>
        </w:rPr>
      </w:pPr>
      <w:r>
        <w:rPr>
          <w:rFonts w:ascii="Arial" w:hAnsi="Arial" w:eastAsia="宋体" w:cs="Arial"/>
          <w:b/>
          <w:szCs w:val="21"/>
        </w:rPr>
        <w:t>可拆卸球囊试验</w:t>
      </w:r>
    </w:p>
    <w:p w14:paraId="1AE4C237">
      <w:pPr>
        <w:snapToGrid w:val="0"/>
        <w:spacing w:line="300" w:lineRule="auto"/>
        <w:rPr>
          <w:rFonts w:ascii="Arial" w:hAnsi="Arial" w:eastAsia="宋体" w:cs="Arial"/>
          <w:szCs w:val="21"/>
        </w:rPr>
      </w:pPr>
    </w:p>
    <w:p w14:paraId="73D54908">
      <w:pPr>
        <w:snapToGrid w:val="0"/>
        <w:spacing w:line="300" w:lineRule="auto"/>
        <w:rPr>
          <w:rFonts w:ascii="Arial" w:hAnsi="Arial" w:eastAsia="宋体" w:cs="Arial"/>
          <w:szCs w:val="21"/>
        </w:rPr>
      </w:pPr>
      <w:r>
        <w:rPr>
          <w:rFonts w:ascii="Arial" w:hAnsi="Arial" w:eastAsia="宋体" w:cs="Arial"/>
          <w:szCs w:val="21"/>
        </w:rPr>
        <w:t>我们建议贵公司提供可拆卸球囊的下列信息：</w:t>
      </w:r>
    </w:p>
    <w:p w14:paraId="7856EAC8">
      <w:pPr>
        <w:snapToGrid w:val="0"/>
        <w:spacing w:line="300" w:lineRule="auto"/>
        <w:rPr>
          <w:rFonts w:ascii="Arial" w:hAnsi="Arial" w:eastAsia="宋体" w:cs="Arial"/>
          <w:szCs w:val="21"/>
        </w:rPr>
      </w:pPr>
    </w:p>
    <w:p w14:paraId="37FE5318">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每个尺寸球囊的扩张/回缩率</w:t>
      </w:r>
    </w:p>
    <w:p w14:paraId="6DB07E66">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球囊破裂所需压力和容积以及最大扩张压力和容积的释放参数</w:t>
      </w:r>
    </w:p>
    <w:p w14:paraId="3D117E1B">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容积与扩张压力的关系</w:t>
      </w:r>
    </w:p>
    <w:p w14:paraId="0D84C20E">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拆卸球囊所需力度</w:t>
      </w:r>
    </w:p>
    <w:p w14:paraId="20F772B0">
      <w:pPr>
        <w:pStyle w:val="12"/>
        <w:numPr>
          <w:ilvl w:val="0"/>
          <w:numId w:val="9"/>
        </w:numPr>
        <w:snapToGrid w:val="0"/>
        <w:spacing w:line="300" w:lineRule="auto"/>
        <w:ind w:firstLineChars="0"/>
        <w:rPr>
          <w:rFonts w:ascii="Arial" w:hAnsi="Arial" w:eastAsia="宋体" w:cs="Arial"/>
          <w:szCs w:val="21"/>
        </w:rPr>
      </w:pPr>
      <w:bookmarkStart w:id="32" w:name="OLE_LINK38"/>
      <w:bookmarkStart w:id="33" w:name="OLE_LINK42"/>
      <w:r>
        <w:rPr>
          <w:rFonts w:ascii="Arial" w:hAnsi="Arial" w:eastAsia="宋体" w:cs="Arial"/>
          <w:szCs w:val="21"/>
        </w:rPr>
        <w:t>与所</w:t>
      </w:r>
      <w:bookmarkEnd w:id="32"/>
      <w:bookmarkEnd w:id="33"/>
      <w:r>
        <w:rPr>
          <w:rFonts w:ascii="Arial" w:hAnsi="Arial" w:eastAsia="宋体" w:cs="Arial"/>
          <w:szCs w:val="21"/>
        </w:rPr>
        <w:t>推荐对照相比球囊的渗透性</w:t>
      </w:r>
    </w:p>
    <w:p w14:paraId="4B8E8BF7">
      <w:pPr>
        <w:pStyle w:val="12"/>
        <w:numPr>
          <w:ilvl w:val="0"/>
          <w:numId w:val="9"/>
        </w:numPr>
        <w:snapToGrid w:val="0"/>
        <w:spacing w:line="300" w:lineRule="auto"/>
        <w:ind w:firstLineChars="0"/>
        <w:rPr>
          <w:rFonts w:ascii="Arial" w:hAnsi="Arial" w:eastAsia="宋体" w:cs="Arial"/>
          <w:szCs w:val="21"/>
        </w:rPr>
      </w:pPr>
      <w:r>
        <w:rPr>
          <w:rFonts w:ascii="Arial" w:hAnsi="Arial" w:eastAsia="宋体" w:cs="Arial"/>
          <w:szCs w:val="21"/>
        </w:rPr>
        <w:t>拆卸机制的可靠性</w:t>
      </w:r>
    </w:p>
    <w:p w14:paraId="1695026C">
      <w:pPr>
        <w:snapToGrid w:val="0"/>
        <w:spacing w:line="300" w:lineRule="auto"/>
        <w:rPr>
          <w:rFonts w:ascii="Arial" w:hAnsi="Arial" w:eastAsia="宋体" w:cs="Arial"/>
          <w:szCs w:val="21"/>
        </w:rPr>
      </w:pPr>
    </w:p>
    <w:p w14:paraId="2003AC71">
      <w:pPr>
        <w:snapToGrid w:val="0"/>
        <w:spacing w:line="300" w:lineRule="auto"/>
        <w:rPr>
          <w:rFonts w:ascii="Arial" w:hAnsi="Arial" w:eastAsia="宋体" w:cs="Arial"/>
          <w:b/>
          <w:szCs w:val="21"/>
        </w:rPr>
      </w:pPr>
      <w:r>
        <w:rPr>
          <w:rFonts w:ascii="Arial" w:hAnsi="Arial" w:eastAsia="宋体" w:cs="Arial"/>
          <w:b/>
          <w:szCs w:val="21"/>
        </w:rPr>
        <w:t>栓塞弹簧圈试验</w:t>
      </w:r>
    </w:p>
    <w:p w14:paraId="401C8AC0">
      <w:pPr>
        <w:snapToGrid w:val="0"/>
        <w:spacing w:line="300" w:lineRule="auto"/>
        <w:rPr>
          <w:rFonts w:ascii="Arial" w:hAnsi="Arial" w:eastAsia="宋体" w:cs="Arial"/>
          <w:szCs w:val="21"/>
        </w:rPr>
      </w:pPr>
    </w:p>
    <w:p w14:paraId="6C03313E">
      <w:pPr>
        <w:snapToGrid w:val="0"/>
        <w:spacing w:line="300" w:lineRule="auto"/>
        <w:rPr>
          <w:rFonts w:ascii="Arial" w:hAnsi="Arial" w:eastAsia="宋体" w:cs="Arial"/>
          <w:szCs w:val="21"/>
        </w:rPr>
      </w:pPr>
      <w:r>
        <w:rPr>
          <w:rFonts w:ascii="Arial" w:hAnsi="Arial" w:eastAsia="宋体" w:cs="Arial"/>
          <w:szCs w:val="21"/>
        </w:rPr>
        <w:t>我们建议贵公司提供栓塞弹簧圈的下列信息：</w:t>
      </w:r>
    </w:p>
    <w:p w14:paraId="70F0FB80">
      <w:pPr>
        <w:snapToGrid w:val="0"/>
        <w:spacing w:line="300" w:lineRule="auto"/>
        <w:rPr>
          <w:rFonts w:ascii="Arial" w:hAnsi="Arial" w:eastAsia="宋体" w:cs="Arial"/>
          <w:szCs w:val="21"/>
        </w:rPr>
      </w:pPr>
    </w:p>
    <w:p w14:paraId="500EC00A">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弹簧圈强度（即使弹簧圈变形所需力度－初始直径、继发直径、弹簧圈抗张强度、抗扭强度和疲劳）</w:t>
      </w:r>
    </w:p>
    <w:p w14:paraId="528386A0">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输送便利度。通过一个以模拟方式放置的推荐导管推进和/或拉回弹簧圈时产生的摩擦力进行测定。</w:t>
      </w:r>
    </w:p>
    <w:p w14:paraId="63369662">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弹簧圈外敷纤维时的弯曲度。对纤维附着机制和拉出力度的描述。</w:t>
      </w:r>
    </w:p>
    <w:p w14:paraId="773F146C">
      <w:pPr>
        <w:widowControl/>
        <w:jc w:val="left"/>
        <w:rPr>
          <w:rFonts w:ascii="Arial" w:hAnsi="Arial" w:eastAsia="宋体" w:cs="Arial"/>
          <w:szCs w:val="21"/>
        </w:rPr>
      </w:pPr>
      <w:r>
        <w:rPr>
          <w:rFonts w:ascii="Arial" w:hAnsi="Arial" w:eastAsia="宋体" w:cs="Arial"/>
          <w:szCs w:val="21"/>
        </w:rPr>
        <w:br w:type="page"/>
      </w:r>
    </w:p>
    <w:p w14:paraId="31F767E5">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对拆卸机制和拆卸时间数据的描述</w:t>
      </w:r>
    </w:p>
    <w:p w14:paraId="39EFF47E">
      <w:pPr>
        <w:pStyle w:val="12"/>
        <w:numPr>
          <w:ilvl w:val="0"/>
          <w:numId w:val="10"/>
        </w:numPr>
        <w:snapToGrid w:val="0"/>
        <w:spacing w:line="300" w:lineRule="auto"/>
        <w:ind w:firstLineChars="0"/>
        <w:rPr>
          <w:rFonts w:ascii="Arial" w:hAnsi="Arial" w:eastAsia="宋体" w:cs="Arial"/>
          <w:szCs w:val="21"/>
        </w:rPr>
      </w:pPr>
      <w:r>
        <w:rPr>
          <w:rFonts w:ascii="Arial" w:hAnsi="Arial" w:eastAsia="宋体" w:cs="Arial"/>
          <w:szCs w:val="21"/>
        </w:rPr>
        <w:t>拆卸机制的可靠性</w:t>
      </w:r>
    </w:p>
    <w:p w14:paraId="3858CA48">
      <w:pPr>
        <w:snapToGrid w:val="0"/>
        <w:spacing w:line="300" w:lineRule="auto"/>
        <w:rPr>
          <w:rFonts w:ascii="Arial" w:hAnsi="Arial" w:eastAsia="宋体" w:cs="Arial"/>
          <w:szCs w:val="21"/>
        </w:rPr>
      </w:pPr>
    </w:p>
    <w:p w14:paraId="21E4BBD8">
      <w:pPr>
        <w:snapToGrid w:val="0"/>
        <w:spacing w:line="300" w:lineRule="auto"/>
        <w:rPr>
          <w:rFonts w:ascii="Arial" w:hAnsi="Arial" w:eastAsia="宋体" w:cs="Arial"/>
          <w:b/>
          <w:szCs w:val="21"/>
        </w:rPr>
      </w:pPr>
      <w:r>
        <w:rPr>
          <w:rFonts w:ascii="Arial" w:hAnsi="Arial" w:eastAsia="宋体" w:cs="Arial"/>
          <w:b/>
          <w:szCs w:val="21"/>
        </w:rPr>
        <w:t>输送导管试验</w:t>
      </w:r>
    </w:p>
    <w:p w14:paraId="4D12B9E7">
      <w:pPr>
        <w:snapToGrid w:val="0"/>
        <w:spacing w:line="300" w:lineRule="auto"/>
        <w:rPr>
          <w:rFonts w:ascii="Arial" w:hAnsi="Arial" w:eastAsia="宋体" w:cs="Arial"/>
          <w:szCs w:val="21"/>
        </w:rPr>
      </w:pPr>
    </w:p>
    <w:p w14:paraId="48FAA76B">
      <w:pPr>
        <w:snapToGrid w:val="0"/>
        <w:spacing w:line="300" w:lineRule="auto"/>
        <w:rPr>
          <w:rFonts w:ascii="Arial" w:hAnsi="Arial" w:eastAsia="宋体" w:cs="Arial"/>
          <w:szCs w:val="21"/>
        </w:rPr>
      </w:pPr>
      <w:r>
        <w:rPr>
          <w:rFonts w:ascii="Arial" w:hAnsi="Arial" w:eastAsia="宋体" w:cs="Arial"/>
          <w:szCs w:val="21"/>
        </w:rPr>
        <w:t>如果在贵公司的510（k）提交资料中包含新的输送导管，我们建议提供该导管的以下信息：</w:t>
      </w:r>
    </w:p>
    <w:p w14:paraId="5295D577">
      <w:pPr>
        <w:snapToGrid w:val="0"/>
        <w:spacing w:line="300" w:lineRule="auto"/>
        <w:rPr>
          <w:rFonts w:ascii="Arial" w:hAnsi="Arial" w:eastAsia="宋体" w:cs="Arial"/>
          <w:szCs w:val="21"/>
        </w:rPr>
      </w:pPr>
    </w:p>
    <w:p w14:paraId="28A36EC3">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导管的长度和外径</w:t>
      </w:r>
    </w:p>
    <w:p w14:paraId="50FF36F2">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抗张强度</w:t>
      </w:r>
    </w:p>
    <w:p w14:paraId="13609577">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导管的爆裂压和渗漏压</w:t>
      </w:r>
    </w:p>
    <w:p w14:paraId="1F4B08D1">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柔韧度</w:t>
      </w:r>
    </w:p>
    <w:p w14:paraId="5B4D2155">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对液体通过导管的流量与液体施加于导管的内部压力的比较图</w:t>
      </w:r>
    </w:p>
    <w:p w14:paraId="0525A6B6">
      <w:pPr>
        <w:pStyle w:val="12"/>
        <w:numPr>
          <w:ilvl w:val="0"/>
          <w:numId w:val="11"/>
        </w:numPr>
        <w:snapToGrid w:val="0"/>
        <w:spacing w:line="300" w:lineRule="auto"/>
        <w:ind w:firstLineChars="0"/>
        <w:rPr>
          <w:rFonts w:ascii="Arial" w:hAnsi="Arial" w:eastAsia="宋体" w:cs="Arial"/>
          <w:szCs w:val="21"/>
        </w:rPr>
      </w:pPr>
      <w:r>
        <w:rPr>
          <w:rFonts w:hint="eastAsia" w:ascii="Arial" w:hAnsi="Arial" w:eastAsia="宋体" w:cs="Arial"/>
          <w:szCs w:val="21"/>
        </w:rPr>
        <w:t>管座</w:t>
      </w:r>
      <w:r>
        <w:rPr>
          <w:rFonts w:ascii="Arial" w:hAnsi="Arial" w:eastAsia="宋体" w:cs="Arial"/>
          <w:szCs w:val="21"/>
        </w:rPr>
        <w:t>附着强度</w:t>
      </w:r>
    </w:p>
    <w:bookmarkEnd w:id="2"/>
    <w:bookmarkEnd w:id="3"/>
    <w:p w14:paraId="570C8A92">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扭结阻力</w:t>
      </w:r>
    </w:p>
    <w:p w14:paraId="31A48706">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放射不透性</w:t>
      </w:r>
    </w:p>
    <w:p w14:paraId="484AF02F">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导管外表面的摩擦系数</w:t>
      </w:r>
    </w:p>
    <w:p w14:paraId="67EDF88B">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如果导管有涂层，对涂层材料、涂层工艺和支持涂层用途的数据做出的描述。</w:t>
      </w:r>
    </w:p>
    <w:p w14:paraId="4A79D7AC">
      <w:pPr>
        <w:pStyle w:val="12"/>
        <w:numPr>
          <w:ilvl w:val="0"/>
          <w:numId w:val="11"/>
        </w:numPr>
        <w:snapToGrid w:val="0"/>
        <w:spacing w:line="300" w:lineRule="auto"/>
        <w:ind w:firstLineChars="0"/>
        <w:rPr>
          <w:rFonts w:ascii="Arial" w:hAnsi="Arial" w:eastAsia="宋体" w:cs="Arial"/>
          <w:szCs w:val="21"/>
        </w:rPr>
      </w:pPr>
      <w:r>
        <w:rPr>
          <w:rFonts w:ascii="Arial" w:hAnsi="Arial" w:eastAsia="宋体" w:cs="Arial"/>
          <w:szCs w:val="21"/>
        </w:rPr>
        <w:t>耐腐蚀性</w:t>
      </w:r>
    </w:p>
    <w:p w14:paraId="24AA1F35">
      <w:pPr>
        <w:snapToGrid w:val="0"/>
        <w:spacing w:line="300" w:lineRule="auto"/>
        <w:rPr>
          <w:rFonts w:ascii="Arial" w:hAnsi="Arial" w:eastAsia="宋体" w:cs="Arial"/>
          <w:szCs w:val="21"/>
        </w:rPr>
      </w:pPr>
    </w:p>
    <w:p w14:paraId="41EA98B4">
      <w:pPr>
        <w:snapToGrid w:val="0"/>
        <w:spacing w:line="300" w:lineRule="auto"/>
        <w:rPr>
          <w:rFonts w:ascii="Arial" w:hAnsi="Arial" w:eastAsia="宋体" w:cs="Arial"/>
          <w:szCs w:val="21"/>
        </w:rPr>
      </w:pPr>
      <w:r>
        <w:rPr>
          <w:rFonts w:ascii="Arial" w:hAnsi="Arial" w:eastAsia="宋体" w:cs="Arial"/>
          <w:szCs w:val="21"/>
        </w:rPr>
        <w:t>关于导管信息和测试的其他细节，FDA建议贵公司参考</w:t>
      </w:r>
      <w:r>
        <w:rPr>
          <w:rFonts w:hint="eastAsia" w:ascii="宋体" w:hAnsi="宋体" w:eastAsia="宋体" w:cs="Arial"/>
          <w:szCs w:val="21"/>
        </w:rPr>
        <w:t>《</w:t>
      </w:r>
      <w:r>
        <w:rPr>
          <w:rFonts w:ascii="Arial" w:hAnsi="Arial" w:eastAsia="宋体" w:cs="Arial"/>
          <w:b/>
          <w:szCs w:val="21"/>
        </w:rPr>
        <w:t>国际标准ISO-10555一次性无菌血管内导管</w:t>
      </w:r>
      <w:r>
        <w:rPr>
          <w:rFonts w:hint="eastAsia" w:ascii="宋体" w:hAnsi="宋体" w:eastAsia="宋体" w:cs="Arial"/>
          <w:szCs w:val="21"/>
        </w:rPr>
        <w:t>》</w:t>
      </w:r>
      <w:r>
        <w:rPr>
          <w:rFonts w:ascii="Arial" w:hAnsi="Arial" w:eastAsia="宋体" w:cs="Arial"/>
          <w:szCs w:val="21"/>
        </w:rPr>
        <w:t>。</w:t>
      </w:r>
    </w:p>
    <w:p w14:paraId="55C703D7">
      <w:pPr>
        <w:snapToGrid w:val="0"/>
        <w:spacing w:line="300" w:lineRule="auto"/>
        <w:rPr>
          <w:rFonts w:ascii="Arial" w:hAnsi="Arial" w:eastAsia="宋体" w:cs="Arial"/>
          <w:szCs w:val="21"/>
        </w:rPr>
      </w:pPr>
    </w:p>
    <w:p w14:paraId="217F6C81">
      <w:pPr>
        <w:snapToGrid w:val="0"/>
        <w:spacing w:line="300" w:lineRule="auto"/>
        <w:rPr>
          <w:rFonts w:ascii="Arial" w:hAnsi="Arial" w:eastAsia="宋体" w:cs="Arial"/>
          <w:b/>
          <w:szCs w:val="21"/>
        </w:rPr>
      </w:pPr>
      <w:r>
        <w:rPr>
          <w:rFonts w:ascii="Arial" w:hAnsi="Arial" w:eastAsia="宋体" w:cs="Arial"/>
          <w:b/>
          <w:szCs w:val="21"/>
        </w:rPr>
        <w:t>货架寿命</w:t>
      </w:r>
    </w:p>
    <w:p w14:paraId="338BC2B4">
      <w:pPr>
        <w:snapToGrid w:val="0"/>
        <w:spacing w:line="300" w:lineRule="auto"/>
        <w:rPr>
          <w:rFonts w:ascii="Arial" w:hAnsi="Arial" w:eastAsia="宋体" w:cs="Arial"/>
          <w:szCs w:val="21"/>
        </w:rPr>
      </w:pPr>
    </w:p>
    <w:p w14:paraId="55416940">
      <w:pPr>
        <w:snapToGrid w:val="0"/>
        <w:spacing w:line="300" w:lineRule="auto"/>
        <w:rPr>
          <w:rFonts w:ascii="Arial" w:hAnsi="Arial" w:eastAsia="宋体" w:cs="Arial"/>
          <w:szCs w:val="21"/>
        </w:rPr>
      </w:pPr>
      <w:r>
        <w:rPr>
          <w:rFonts w:ascii="Arial" w:hAnsi="Arial" w:eastAsia="宋体" w:cs="Arial"/>
          <w:szCs w:val="21"/>
        </w:rPr>
        <w:t>我们建议贵公司进行临床前试验和包装试验，以确立器械的货架寿命（即有效期）作为质量体系法规（21 CFR 第820部）所要求的验证工作的一部分。加速测试结果应由验证的测试信息的支持，并根据器械组件的不同，加速测试结果还由实时测试数据的支持。关于力学试验，贵公司应对有代表性的老化样品进行临床前和包装试验。关于包装试验，我们建议贵公司对最终的产品包装进行测试，测定包装的初始完好性和完好性的维持情况。我们建议贵公司使用经过验证的测试方法或标准化测试方法。这些验证工作的证明文件必须保存在器械的设计历史档案中（21 CFR§ 820.30）。</w:t>
      </w:r>
    </w:p>
    <w:p w14:paraId="2A83364F">
      <w:pPr>
        <w:snapToGrid w:val="0"/>
        <w:spacing w:line="300" w:lineRule="auto"/>
        <w:rPr>
          <w:rFonts w:ascii="Arial" w:hAnsi="Arial" w:eastAsia="宋体" w:cs="Arial"/>
          <w:szCs w:val="21"/>
        </w:rPr>
      </w:pPr>
    </w:p>
    <w:p w14:paraId="2393A9C6">
      <w:pPr>
        <w:snapToGrid w:val="0"/>
        <w:spacing w:line="300" w:lineRule="auto"/>
        <w:rPr>
          <w:rFonts w:ascii="Arial" w:hAnsi="Arial" w:eastAsia="宋体" w:cs="Arial"/>
          <w:b/>
          <w:szCs w:val="21"/>
        </w:rPr>
      </w:pPr>
      <w:r>
        <w:rPr>
          <w:rFonts w:ascii="Arial" w:hAnsi="Arial" w:eastAsia="宋体" w:cs="Arial"/>
          <w:b/>
          <w:szCs w:val="21"/>
        </w:rPr>
        <w:t>生物相容性</w:t>
      </w:r>
    </w:p>
    <w:p w14:paraId="2D0873EA">
      <w:pPr>
        <w:snapToGrid w:val="0"/>
        <w:spacing w:line="300" w:lineRule="auto"/>
        <w:rPr>
          <w:rFonts w:ascii="Arial" w:hAnsi="Arial" w:eastAsia="宋体" w:cs="Arial"/>
          <w:szCs w:val="21"/>
        </w:rPr>
      </w:pPr>
    </w:p>
    <w:p w14:paraId="570ED696">
      <w:pPr>
        <w:snapToGrid w:val="0"/>
        <w:spacing w:line="300" w:lineRule="auto"/>
        <w:rPr>
          <w:rFonts w:ascii="Arial" w:hAnsi="Arial" w:eastAsia="宋体" w:cs="Arial"/>
          <w:szCs w:val="21"/>
        </w:rPr>
      </w:pPr>
      <w:r>
        <w:rPr>
          <w:rFonts w:ascii="Arial" w:hAnsi="Arial" w:eastAsia="宋体" w:cs="Arial"/>
          <w:szCs w:val="21"/>
        </w:rPr>
        <w:t>FDA建议贵公司选择的试验方法应适合于与组织/骨骼和血液接触的植入式器械，如FDA修订的</w:t>
      </w:r>
      <w:r>
        <w:rPr>
          <w:rFonts w:hint="eastAsia" w:ascii="宋体" w:hAnsi="宋体" w:eastAsia="宋体" w:cs="Arial"/>
          <w:szCs w:val="21"/>
        </w:rPr>
        <w:t>《</w:t>
      </w:r>
      <w:r>
        <w:rPr>
          <w:rFonts w:ascii="Arial" w:hAnsi="Arial" w:eastAsia="宋体" w:cs="Arial"/>
          <w:color w:val="0000FF"/>
          <w:szCs w:val="21"/>
        </w:rPr>
        <w:t>国际标准ISO-10993的使用，医疗器械第1部分生物学评估：评估与测试</w:t>
      </w:r>
      <w:r>
        <w:rPr>
          <w:rFonts w:hint="eastAsia" w:ascii="宋体" w:hAnsi="宋体" w:eastAsia="宋体" w:cs="Arial"/>
          <w:szCs w:val="21"/>
        </w:rPr>
        <w:t>》</w:t>
      </w:r>
      <w:r>
        <w:rPr>
          <w:rFonts w:ascii="Arial" w:hAnsi="Arial" w:eastAsia="宋体" w:cs="Arial"/>
          <w:szCs w:val="21"/>
        </w:rPr>
        <w:t>中所述。</w:t>
      </w:r>
    </w:p>
    <w:p w14:paraId="441948C1">
      <w:pPr>
        <w:snapToGrid w:val="0"/>
        <w:spacing w:line="300" w:lineRule="auto"/>
        <w:rPr>
          <w:rFonts w:ascii="Arial" w:hAnsi="Arial" w:eastAsia="宋体" w:cs="Arial"/>
          <w:szCs w:val="21"/>
        </w:rPr>
      </w:pPr>
    </w:p>
    <w:p w14:paraId="186B3004">
      <w:pPr>
        <w:snapToGrid w:val="0"/>
        <w:spacing w:line="300" w:lineRule="auto"/>
        <w:rPr>
          <w:rFonts w:ascii="Arial" w:hAnsi="Arial" w:eastAsia="宋体" w:cs="Arial"/>
          <w:szCs w:val="21"/>
        </w:rPr>
      </w:pPr>
      <w:r>
        <w:rPr>
          <w:rFonts w:ascii="Arial" w:hAnsi="Arial" w:eastAsia="宋体" w:cs="Arial"/>
          <w:szCs w:val="21"/>
        </w:rPr>
        <w:t>我们建议贵公司对这些器械进行致癌性研究。通过该研究曾获得过阳性基因毒性测试结果。我们建议贵公司在评估潜在致癌性时考虑化学成分的特性和关于其毒性的现有信息。</w:t>
      </w:r>
    </w:p>
    <w:p w14:paraId="47134F3B">
      <w:pPr>
        <w:snapToGrid w:val="0"/>
        <w:spacing w:line="300" w:lineRule="auto"/>
        <w:rPr>
          <w:rFonts w:ascii="Arial" w:hAnsi="Arial" w:eastAsia="宋体" w:cs="Arial"/>
          <w:szCs w:val="21"/>
        </w:rPr>
      </w:pPr>
    </w:p>
    <w:p w14:paraId="4913E650">
      <w:pPr>
        <w:snapToGrid w:val="0"/>
        <w:spacing w:line="300" w:lineRule="auto"/>
        <w:rPr>
          <w:rFonts w:ascii="Arial" w:hAnsi="Arial" w:eastAsia="宋体" w:cs="Arial"/>
          <w:szCs w:val="21"/>
        </w:rPr>
      </w:pPr>
      <w:r>
        <w:rPr>
          <w:rFonts w:ascii="Arial" w:hAnsi="Arial" w:eastAsia="宋体" w:cs="Arial"/>
          <w:szCs w:val="21"/>
        </w:rPr>
        <w:t>对于神经血管栓塞治疗器械，由于环氧乙烷（EO）可导致神经毒性，因此，对经过环氧乙烷杀菌处理的器械成品，除了测定环氧乙烷残留水平外，我们建议贵公司通过采用颅内植入法评估任何不良组织反应或引用经过环氧乙烷杀菌处理且合法上市的其他等价比较产品而提供该器械的生物相容性信息。贵公司应证明器械中残留的杀菌剂水平不会对产品的安全使用产生影响。</w:t>
      </w:r>
    </w:p>
    <w:p w14:paraId="47FBDDB8">
      <w:pPr>
        <w:snapToGrid w:val="0"/>
        <w:spacing w:line="300" w:lineRule="auto"/>
        <w:rPr>
          <w:rFonts w:ascii="Arial" w:hAnsi="Arial" w:eastAsia="宋体" w:cs="Arial"/>
          <w:szCs w:val="21"/>
        </w:rPr>
      </w:pPr>
    </w:p>
    <w:p w14:paraId="110AE772">
      <w:pPr>
        <w:snapToGrid w:val="0"/>
        <w:spacing w:line="300" w:lineRule="auto"/>
        <w:rPr>
          <w:rFonts w:ascii="Arial" w:hAnsi="Arial" w:eastAsia="宋体" w:cs="Arial"/>
          <w:b/>
          <w:szCs w:val="21"/>
        </w:rPr>
      </w:pPr>
      <w:r>
        <w:rPr>
          <w:rFonts w:ascii="Arial" w:hAnsi="Arial" w:eastAsia="宋体" w:cs="Arial"/>
          <w:b/>
          <w:szCs w:val="21"/>
        </w:rPr>
        <w:t>产热原性</w:t>
      </w:r>
    </w:p>
    <w:p w14:paraId="2774A4A4">
      <w:pPr>
        <w:snapToGrid w:val="0"/>
        <w:spacing w:line="300" w:lineRule="auto"/>
        <w:rPr>
          <w:rFonts w:ascii="Arial" w:hAnsi="Arial" w:eastAsia="宋体" w:cs="Arial"/>
          <w:szCs w:val="21"/>
        </w:rPr>
      </w:pPr>
    </w:p>
    <w:p w14:paraId="2FD61BDA">
      <w:pPr>
        <w:snapToGrid w:val="0"/>
        <w:spacing w:line="300" w:lineRule="auto"/>
        <w:rPr>
          <w:rFonts w:ascii="Arial" w:hAnsi="Arial" w:eastAsia="宋体" w:cs="Arial"/>
          <w:szCs w:val="21"/>
        </w:rPr>
      </w:pPr>
      <w:r>
        <w:rPr>
          <w:rFonts w:ascii="Arial" w:hAnsi="Arial" w:eastAsia="宋体" w:cs="Arial"/>
          <w:szCs w:val="21"/>
        </w:rPr>
        <w:t>由于可能接触到鞘内腔，因此，经过最终灭菌处理的神经血管栓塞治疗器械产品中内毒素的含量应低于0.06内毒素单位（EU）/毫升；血管栓塞治疗器械中则应低于0.5EU。1987年12月发布的</w:t>
      </w:r>
      <w:r>
        <w:rPr>
          <w:rFonts w:hint="eastAsia" w:ascii="宋体" w:hAnsi="宋体" w:eastAsia="宋体" w:cs="Arial"/>
          <w:szCs w:val="21"/>
        </w:rPr>
        <w:t>《</w:t>
      </w:r>
      <w:r>
        <w:rPr>
          <w:rFonts w:ascii="Arial" w:hAnsi="Arial" w:eastAsia="宋体" w:cs="Arial"/>
          <w:color w:val="0000FF"/>
          <w:szCs w:val="21"/>
        </w:rPr>
        <w:t>采用鲎变形细胞溶解物测试作为制成品内毒素测试法验证人类和动物肠胃外药物、生物制品和医疗器械操作指南</w:t>
      </w:r>
      <w:r>
        <w:rPr>
          <w:rFonts w:hint="eastAsia" w:ascii="宋体" w:hAnsi="宋体" w:eastAsia="宋体" w:cs="Arial"/>
          <w:szCs w:val="21"/>
        </w:rPr>
        <w:t>》</w:t>
      </w:r>
      <w:r>
        <w:rPr>
          <w:rFonts w:ascii="Arial" w:hAnsi="Arial" w:eastAsia="宋体" w:cs="Arial"/>
          <w:szCs w:val="21"/>
        </w:rPr>
        <w:t>中对这些推荐规范进行了描述。</w:t>
      </w:r>
    </w:p>
    <w:p w14:paraId="07DE2C45">
      <w:pPr>
        <w:snapToGrid w:val="0"/>
        <w:spacing w:line="300" w:lineRule="auto"/>
        <w:rPr>
          <w:rFonts w:ascii="Arial" w:hAnsi="Arial" w:eastAsia="宋体" w:cs="Arial"/>
          <w:szCs w:val="21"/>
        </w:rPr>
      </w:pPr>
    </w:p>
    <w:p w14:paraId="2FD4BC5D">
      <w:pPr>
        <w:widowControl/>
        <w:snapToGrid w:val="0"/>
        <w:spacing w:line="300" w:lineRule="auto"/>
        <w:jc w:val="left"/>
        <w:rPr>
          <w:rFonts w:ascii="Arial" w:hAnsi="Arial" w:eastAsia="宋体" w:cs="Arial"/>
          <w:color w:val="005F9F"/>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color w:val="005F9F"/>
          <w:kern w:val="0"/>
          <w:szCs w:val="21"/>
          <w:lang w:val="en"/>
        </w:rPr>
        <w:t>返回顶部</w:t>
      </w:r>
      <w:r>
        <w:rPr>
          <w:rFonts w:ascii="Arial" w:hAnsi="Arial" w:eastAsia="宋体" w:cs="Arial"/>
          <w:color w:val="005F9F"/>
          <w:kern w:val="0"/>
          <w:szCs w:val="21"/>
          <w:lang w:val="en"/>
        </w:rPr>
        <w:fldChar w:fldCharType="end"/>
      </w:r>
    </w:p>
    <w:p w14:paraId="3D351A0E">
      <w:pPr>
        <w:widowControl/>
        <w:snapToGrid w:val="0"/>
        <w:spacing w:line="300" w:lineRule="auto"/>
        <w:jc w:val="left"/>
        <w:rPr>
          <w:rFonts w:ascii="Arial" w:hAnsi="Arial" w:eastAsia="宋体" w:cs="Arial"/>
          <w:color w:val="005F9F"/>
          <w:kern w:val="0"/>
          <w:szCs w:val="21"/>
          <w:lang w:val="en"/>
        </w:rPr>
      </w:pPr>
    </w:p>
    <w:p w14:paraId="2F21E584">
      <w:pPr>
        <w:widowControl/>
        <w:snapToGrid w:val="0"/>
        <w:spacing w:line="300" w:lineRule="auto"/>
        <w:jc w:val="left"/>
        <w:rPr>
          <w:rFonts w:ascii="Arial" w:hAnsi="Arial" w:eastAsia="宋体" w:cs="Arial"/>
          <w:color w:val="333333"/>
          <w:kern w:val="0"/>
          <w:szCs w:val="21"/>
          <w:lang w:val="en"/>
        </w:rPr>
      </w:pPr>
      <w:r>
        <w:rPr>
          <w:rFonts w:ascii="Arial" w:hAnsi="Arial" w:eastAsia="宋体" w:cs="Arial"/>
          <w:szCs w:val="21"/>
        </w:rPr>
        <mc:AlternateContent>
          <mc:Choice Requires="wps">
            <w:drawing>
              <wp:anchor distT="0" distB="0" distL="114300" distR="114300" simplePos="0" relativeHeight="251667456" behindDoc="0" locked="0" layoutInCell="1" allowOverlap="1">
                <wp:simplePos x="0" y="0"/>
                <wp:positionH relativeFrom="column">
                  <wp:posOffset>31750</wp:posOffset>
                </wp:positionH>
                <wp:positionV relativeFrom="paragraph">
                  <wp:posOffset>109855</wp:posOffset>
                </wp:positionV>
                <wp:extent cx="5287645" cy="0"/>
                <wp:effectExtent l="0" t="0" r="27305" b="19050"/>
                <wp:wrapNone/>
                <wp:docPr id="11" name="直接连接符 11"/>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pt;margin-top:8.65pt;height:0pt;width:416.35pt;z-index:251667456;mso-width-relative:page;mso-height-relative:page;" filled="f" stroked="t" coordsize="21600,21600" o:gfxdata="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Y/Vz0gAA&#10;AAcBAAAPAAAAAAAAAAEAIAAAACIAAABkcnMvZG93bnJldi54bWxQSwECFAAUAAAACACHTuJAai4d&#10;fOsBAAC/AwAADgAAAAAAAAABACAAAAAhAQAAZHJzL2Uyb0RvYy54bWxQSwUGAAAAAAYABgBZAQAA&#10;fgUAAAAA&#10;">
                <v:fill on="f" focussize="0,0"/>
                <v:stroke weight="1.5pt" color="#808080 [1612]" joinstyle="round"/>
                <v:imagedata o:title=""/>
                <o:lock v:ext="edit" aspectratio="f"/>
              </v:line>
            </w:pict>
          </mc:Fallback>
        </mc:AlternateContent>
      </w:r>
    </w:p>
    <w:p w14:paraId="6F7E7192">
      <w:pPr>
        <w:snapToGrid w:val="0"/>
        <w:spacing w:line="300" w:lineRule="auto"/>
        <w:rPr>
          <w:rFonts w:ascii="Arial" w:hAnsi="Arial" w:eastAsia="宋体" w:cs="Arial"/>
          <w:szCs w:val="21"/>
        </w:rPr>
      </w:pPr>
    </w:p>
    <w:p w14:paraId="4A68EE0E">
      <w:pPr>
        <w:snapToGrid w:val="0"/>
        <w:spacing w:line="300" w:lineRule="auto"/>
        <w:rPr>
          <w:rFonts w:ascii="Arial" w:hAnsi="Arial" w:eastAsia="宋体" w:cs="Arial"/>
          <w:b/>
          <w:szCs w:val="21"/>
        </w:rPr>
      </w:pPr>
      <w:r>
        <w:rPr>
          <w:rFonts w:ascii="Arial" w:hAnsi="Arial" w:eastAsia="宋体" w:cs="Arial"/>
          <w:b/>
          <w:szCs w:val="21"/>
        </w:rPr>
        <w:t>8. 无菌处理</w:t>
      </w:r>
    </w:p>
    <w:p w14:paraId="337AA50D">
      <w:pPr>
        <w:snapToGrid w:val="0"/>
        <w:spacing w:line="300" w:lineRule="auto"/>
        <w:rPr>
          <w:rFonts w:ascii="Arial" w:hAnsi="Arial" w:eastAsia="宋体" w:cs="Arial"/>
          <w:szCs w:val="21"/>
        </w:rPr>
      </w:pPr>
    </w:p>
    <w:p w14:paraId="2579557B">
      <w:pPr>
        <w:snapToGrid w:val="0"/>
        <w:spacing w:line="300" w:lineRule="auto"/>
        <w:rPr>
          <w:rFonts w:ascii="Arial" w:hAnsi="Arial" w:eastAsia="宋体" w:cs="Arial"/>
          <w:szCs w:val="21"/>
        </w:rPr>
      </w:pPr>
      <w:r>
        <w:rPr>
          <w:rFonts w:ascii="Arial" w:hAnsi="Arial" w:eastAsia="宋体" w:cs="Arial"/>
          <w:szCs w:val="21"/>
        </w:rPr>
        <w:t>FDA建议贵公司提供</w:t>
      </w:r>
      <w:r>
        <w:rPr>
          <w:rFonts w:hint="eastAsia" w:ascii="宋体" w:hAnsi="宋体" w:eastAsia="宋体" w:cs="Arial"/>
          <w:szCs w:val="21"/>
        </w:rPr>
        <w:t>《</w:t>
      </w:r>
      <w:r>
        <w:rPr>
          <w:rFonts w:ascii="Arial" w:hAnsi="Arial" w:eastAsia="宋体" w:cs="Arial"/>
          <w:szCs w:val="21"/>
        </w:rPr>
        <w:t>更新版510（k）无菌处理审查</w:t>
      </w:r>
      <w:r>
        <w:rPr>
          <w:rFonts w:hint="eastAsia" w:ascii="Arial" w:hAnsi="Arial" w:eastAsia="宋体" w:cs="Arial"/>
          <w:szCs w:val="21"/>
        </w:rPr>
        <w:t>指南</w:t>
      </w:r>
      <w:r>
        <w:rPr>
          <w:rFonts w:ascii="Arial" w:hAnsi="Arial" w:eastAsia="宋体" w:cs="Arial"/>
          <w:szCs w:val="21"/>
        </w:rPr>
        <w:t>K90-1；行业和FDA最终指南</w:t>
      </w:r>
      <w:r>
        <w:rPr>
          <w:rFonts w:hint="eastAsia" w:ascii="宋体" w:hAnsi="宋体" w:eastAsia="宋体" w:cs="Arial"/>
          <w:szCs w:val="21"/>
        </w:rPr>
        <w:t>》</w:t>
      </w:r>
      <w:r>
        <w:rPr>
          <w:rFonts w:ascii="Arial" w:hAnsi="Arial" w:eastAsia="宋体" w:cs="Arial"/>
          <w:szCs w:val="21"/>
        </w:rPr>
        <w:t>描述的无菌处理信息。该器械应是无菌的，无菌保证水平（SAL）应达1×10</w:t>
      </w:r>
      <w:r>
        <w:rPr>
          <w:rFonts w:ascii="Arial" w:hAnsi="Arial" w:eastAsia="宋体" w:cs="Arial"/>
          <w:szCs w:val="21"/>
          <w:vertAlign w:val="superscript"/>
        </w:rPr>
        <w:t>-6</w:t>
      </w:r>
      <w:r>
        <w:rPr>
          <w:rFonts w:ascii="Arial" w:hAnsi="Arial" w:eastAsia="宋体" w:cs="Arial"/>
          <w:szCs w:val="21"/>
        </w:rPr>
        <w:t>。与环氧乙烷灭菌器械有关的测试见上述生物相容性一节。</w:t>
      </w:r>
    </w:p>
    <w:p w14:paraId="06558CE5">
      <w:pPr>
        <w:snapToGrid w:val="0"/>
        <w:spacing w:line="300" w:lineRule="auto"/>
        <w:rPr>
          <w:rFonts w:ascii="Arial" w:hAnsi="Arial" w:eastAsia="宋体" w:cs="Arial"/>
          <w:szCs w:val="21"/>
        </w:rPr>
      </w:pPr>
    </w:p>
    <w:p w14:paraId="2C9F39AE">
      <w:pPr>
        <w:widowControl/>
        <w:snapToGrid w:val="0"/>
        <w:spacing w:line="300" w:lineRule="auto"/>
        <w:jc w:val="left"/>
        <w:rPr>
          <w:rFonts w:ascii="Arial" w:hAnsi="Arial" w:eastAsia="宋体" w:cs="Arial"/>
          <w:color w:val="333333"/>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color w:val="005F9F"/>
          <w:kern w:val="0"/>
          <w:szCs w:val="21"/>
          <w:lang w:val="en"/>
        </w:rPr>
        <w:t>返回顶部</w:t>
      </w:r>
      <w:r>
        <w:rPr>
          <w:rFonts w:ascii="Arial" w:hAnsi="Arial" w:eastAsia="宋体" w:cs="Arial"/>
          <w:color w:val="005F9F"/>
          <w:kern w:val="0"/>
          <w:szCs w:val="21"/>
          <w:lang w:val="en"/>
        </w:rPr>
        <w:fldChar w:fldCharType="end"/>
      </w:r>
    </w:p>
    <w:p w14:paraId="63B710EF">
      <w:pPr>
        <w:snapToGrid w:val="0"/>
        <w:spacing w:line="300" w:lineRule="auto"/>
        <w:rPr>
          <w:rFonts w:ascii="Arial" w:hAnsi="Arial" w:eastAsia="宋体" w:cs="Arial"/>
          <w:szCs w:val="21"/>
        </w:rPr>
      </w:pPr>
    </w:p>
    <w:p w14:paraId="06DAD84A">
      <w:pPr>
        <w:snapToGrid w:val="0"/>
        <w:spacing w:line="300" w:lineRule="auto"/>
        <w:rPr>
          <w:rFonts w:ascii="Arial" w:hAnsi="Arial" w:eastAsia="宋体" w:cs="Arial"/>
          <w:b/>
          <w:szCs w:val="21"/>
        </w:rPr>
      </w:pPr>
      <w:r>
        <w:rPr>
          <w:rFonts w:ascii="Arial" w:hAnsi="Arial" w:eastAsia="宋体" w:cs="Arial"/>
          <w:b/>
          <w:szCs w:val="21"/>
        </w:rPr>
        <w:t>9. 动物试验</w:t>
      </w:r>
    </w:p>
    <w:p w14:paraId="087BF16B">
      <w:pPr>
        <w:snapToGrid w:val="0"/>
        <w:spacing w:line="300" w:lineRule="auto"/>
        <w:rPr>
          <w:rFonts w:ascii="Arial" w:hAnsi="Arial" w:eastAsia="宋体" w:cs="Arial"/>
          <w:szCs w:val="21"/>
        </w:rPr>
      </w:pPr>
    </w:p>
    <w:p w14:paraId="61CEE0E9">
      <w:pPr>
        <w:snapToGrid w:val="0"/>
        <w:spacing w:line="300" w:lineRule="auto"/>
        <w:rPr>
          <w:rFonts w:ascii="Arial" w:hAnsi="Arial" w:eastAsia="宋体" w:cs="Arial"/>
          <w:szCs w:val="21"/>
        </w:rPr>
      </w:pPr>
      <w:r>
        <w:rPr>
          <w:rFonts w:ascii="Arial" w:hAnsi="Arial" w:eastAsia="宋体" w:cs="Arial"/>
          <w:szCs w:val="21"/>
        </w:rPr>
        <w:t>通常我们建议贵公司做一次临床前动物模型评估，以评估这些器械，以此表明贵公司已充分解决了本指导性文件确定的风险。在缺乏适当的实验室测试时应考虑进行动物试验。对于影响栓塞剂本身（如弹簧圈涂层、弹簧圈的结构设计、弹簧圈材料、微粒材料、微粒形状、大小）、拆卸机制或导管本身的器械设计新特性，我们建议贵公司通过动物研究对以下事项做出评价：</w:t>
      </w:r>
    </w:p>
    <w:p w14:paraId="7E56F35C">
      <w:pPr>
        <w:snapToGrid w:val="0"/>
        <w:spacing w:line="300" w:lineRule="auto"/>
        <w:rPr>
          <w:rFonts w:ascii="Arial" w:hAnsi="Arial" w:eastAsia="宋体" w:cs="Arial"/>
          <w:szCs w:val="21"/>
        </w:rPr>
      </w:pPr>
    </w:p>
    <w:p w14:paraId="0E8A1E18">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输送便利度（摩擦和弯曲度）</w:t>
      </w:r>
    </w:p>
    <w:p w14:paraId="60B48056">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急性并发症（如血管破裂或刺穿）</w:t>
      </w:r>
    </w:p>
    <w:p w14:paraId="73CEB9F7">
      <w:pPr>
        <w:widowControl/>
        <w:jc w:val="left"/>
        <w:rPr>
          <w:rFonts w:ascii="Arial" w:hAnsi="Arial" w:eastAsia="宋体" w:cs="Arial"/>
          <w:szCs w:val="21"/>
        </w:rPr>
      </w:pPr>
      <w:r>
        <w:rPr>
          <w:rFonts w:ascii="Arial" w:hAnsi="Arial" w:eastAsia="宋体" w:cs="Arial"/>
          <w:szCs w:val="21"/>
        </w:rPr>
        <w:br w:type="page"/>
      </w:r>
    </w:p>
    <w:p w14:paraId="755BE405">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血管再通/闭塞持久性</w:t>
      </w:r>
    </w:p>
    <w:p w14:paraId="5D59920F">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局部和全身异物反应</w:t>
      </w:r>
    </w:p>
    <w:p w14:paraId="6B14BBAB">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器械移位</w:t>
      </w:r>
    </w:p>
    <w:p w14:paraId="4D4615B1">
      <w:pPr>
        <w:pStyle w:val="12"/>
        <w:numPr>
          <w:ilvl w:val="0"/>
          <w:numId w:val="12"/>
        </w:numPr>
        <w:snapToGrid w:val="0"/>
        <w:spacing w:line="300" w:lineRule="auto"/>
        <w:ind w:firstLineChars="0"/>
        <w:rPr>
          <w:rFonts w:ascii="Arial" w:hAnsi="Arial" w:eastAsia="宋体" w:cs="Arial"/>
          <w:szCs w:val="21"/>
        </w:rPr>
      </w:pPr>
      <w:r>
        <w:rPr>
          <w:rFonts w:ascii="Arial" w:hAnsi="Arial" w:eastAsia="宋体" w:cs="Arial"/>
          <w:szCs w:val="21"/>
        </w:rPr>
        <w:t>有效性</w:t>
      </w:r>
    </w:p>
    <w:p w14:paraId="21AB018A">
      <w:pPr>
        <w:snapToGrid w:val="0"/>
        <w:spacing w:line="300" w:lineRule="auto"/>
        <w:rPr>
          <w:rFonts w:ascii="Arial" w:hAnsi="Arial" w:eastAsia="宋体" w:cs="Arial"/>
          <w:szCs w:val="21"/>
        </w:rPr>
      </w:pPr>
    </w:p>
    <w:p w14:paraId="707787F0">
      <w:pPr>
        <w:snapToGrid w:val="0"/>
        <w:spacing w:line="300" w:lineRule="auto"/>
        <w:rPr>
          <w:rFonts w:ascii="Arial" w:hAnsi="Arial" w:eastAsia="宋体" w:cs="Arial"/>
          <w:szCs w:val="21"/>
        </w:rPr>
      </w:pPr>
      <w:r>
        <w:rPr>
          <w:rFonts w:ascii="Arial" w:hAnsi="Arial" w:eastAsia="宋体" w:cs="Arial"/>
          <w:szCs w:val="21"/>
        </w:rPr>
        <w:t>由于栓塞剂设计和结构材料的变更可能影响栓塞部位的愈合过程，我们建议贵公司以适当频率进行随访评估，并在经历足够时间后对急性毒性和慢性毒性进行评估。慢性毒性评估有助于确保对栓塞剂的反应达到稳定状态或处于溶解过程中。我们还建议贵公司通过任何相关参考文献书目和/或支持性测试对动物模型如何与人体状态相关提供说明。</w:t>
      </w:r>
    </w:p>
    <w:p w14:paraId="37013CB8">
      <w:pPr>
        <w:snapToGrid w:val="0"/>
        <w:spacing w:line="300" w:lineRule="auto"/>
        <w:rPr>
          <w:rFonts w:ascii="Arial" w:hAnsi="Arial" w:eastAsia="宋体" w:cs="Arial"/>
          <w:szCs w:val="21"/>
        </w:rPr>
      </w:pPr>
    </w:p>
    <w:p w14:paraId="05BB89C3">
      <w:pPr>
        <w:snapToGrid w:val="0"/>
        <w:spacing w:line="300" w:lineRule="auto"/>
        <w:rPr>
          <w:rFonts w:ascii="Arial" w:hAnsi="Arial" w:eastAsia="宋体" w:cs="Arial"/>
          <w:szCs w:val="21"/>
          <w:lang w:val="en"/>
        </w:rPr>
      </w:pPr>
      <w:r>
        <w:fldChar w:fldCharType="begin"/>
      </w:r>
      <w:r>
        <w:instrText xml:space="preserve"> HYPERLINK "https://www.fda.gov/MedicalDevices/DeviceRegulationandGuidance/GuidanceDocuments/ucm072013.htm" \l "top" </w:instrText>
      </w:r>
      <w:r>
        <w:fldChar w:fldCharType="separate"/>
      </w:r>
      <w:r>
        <w:rPr>
          <w:rStyle w:val="8"/>
          <w:rFonts w:ascii="Arial" w:hAnsi="Arial" w:eastAsia="宋体" w:cs="Arial"/>
          <w:szCs w:val="21"/>
          <w:u w:val="none"/>
          <w:lang w:val="en"/>
        </w:rPr>
        <w:t>返回顶部</w:t>
      </w:r>
      <w:r>
        <w:rPr>
          <w:rStyle w:val="8"/>
          <w:rFonts w:ascii="Arial" w:hAnsi="Arial" w:eastAsia="宋体" w:cs="Arial"/>
          <w:szCs w:val="21"/>
          <w:u w:val="none"/>
          <w:lang w:val="en"/>
        </w:rPr>
        <w:fldChar w:fldCharType="end"/>
      </w:r>
    </w:p>
    <w:p w14:paraId="24ECCD41">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182880</wp:posOffset>
                </wp:positionV>
                <wp:extent cx="5287645" cy="0"/>
                <wp:effectExtent l="0" t="0" r="27305" b="19050"/>
                <wp:wrapNone/>
                <wp:docPr id="12" name="直接连接符 12"/>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4.4pt;height:0pt;width:416.35pt;z-index:251668480;mso-width-relative:page;mso-height-relative:page;" filled="f" stroked="t" coordsize="21600,21600" o:gfxdata="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Nbo4rRAAAA&#10;BwEAAA8AAAAAAAAAAQAgAAAAIgAAAGRycy9kb3ducmV2LnhtbFBLAQIUABQAAAAIAIdO4kAemcuq&#10;6wEAAL8DAAAOAAAAAAAAAAEAIAAAACABAABkcnMvZTJvRG9jLnhtbFBLBQYAAAAABgAGAFkBAAB9&#10;BQAAAAA=&#10;">
                <v:fill on="f" focussize="0,0"/>
                <v:stroke weight="1.5pt" color="#808080 [1612]" joinstyle="round"/>
                <v:imagedata o:title=""/>
                <o:lock v:ext="edit" aspectratio="f"/>
              </v:line>
            </w:pict>
          </mc:Fallback>
        </mc:AlternateContent>
      </w:r>
    </w:p>
    <w:p w14:paraId="1F262A70">
      <w:pPr>
        <w:snapToGrid w:val="0"/>
        <w:spacing w:line="300" w:lineRule="auto"/>
        <w:rPr>
          <w:rFonts w:ascii="Arial" w:hAnsi="Arial" w:eastAsia="宋体" w:cs="Arial"/>
          <w:szCs w:val="21"/>
        </w:rPr>
      </w:pPr>
    </w:p>
    <w:p w14:paraId="497A51CD">
      <w:pPr>
        <w:snapToGrid w:val="0"/>
        <w:spacing w:line="300" w:lineRule="auto"/>
        <w:rPr>
          <w:rFonts w:ascii="Arial" w:hAnsi="Arial" w:eastAsia="宋体" w:cs="Arial"/>
          <w:b/>
          <w:szCs w:val="21"/>
        </w:rPr>
      </w:pPr>
      <w:r>
        <w:rPr>
          <w:rFonts w:ascii="Arial" w:hAnsi="Arial" w:eastAsia="宋体" w:cs="Arial"/>
          <w:b/>
          <w:szCs w:val="21"/>
        </w:rPr>
        <w:t>10. 临床试验</w:t>
      </w:r>
    </w:p>
    <w:p w14:paraId="240D32EB">
      <w:pPr>
        <w:snapToGrid w:val="0"/>
        <w:spacing w:line="300" w:lineRule="auto"/>
        <w:rPr>
          <w:rFonts w:ascii="Arial" w:hAnsi="Arial" w:eastAsia="宋体" w:cs="Arial"/>
          <w:szCs w:val="21"/>
        </w:rPr>
      </w:pPr>
    </w:p>
    <w:p w14:paraId="3BDD8283">
      <w:pPr>
        <w:snapToGrid w:val="0"/>
        <w:spacing w:line="300" w:lineRule="auto"/>
        <w:rPr>
          <w:rFonts w:ascii="Arial" w:hAnsi="Arial" w:eastAsia="宋体" w:cs="Arial"/>
          <w:szCs w:val="21"/>
        </w:rPr>
      </w:pPr>
      <w:r>
        <w:rPr>
          <w:rFonts w:ascii="Arial" w:hAnsi="Arial" w:eastAsia="宋体" w:cs="Arial"/>
          <w:szCs w:val="21"/>
        </w:rPr>
        <w:t>根据前述法案的最小负担规定，FDA将根据精心设计的实验室和/或动物试验而不需对新器械进行临床研究，除非有特殊的正当理由要求提供临床信息支持实质等同测定。一般来说，尽管大多数血管或神经血管栓塞治疗器械不需进行临床研究，但FDA可能会建议收集血管或神经血管栓塞治疗器械的以下临床数据：</w:t>
      </w:r>
    </w:p>
    <w:p w14:paraId="12D24F45">
      <w:pPr>
        <w:snapToGrid w:val="0"/>
        <w:spacing w:line="300" w:lineRule="auto"/>
        <w:rPr>
          <w:rFonts w:ascii="Arial" w:hAnsi="Arial" w:eastAsia="宋体" w:cs="Arial"/>
          <w:szCs w:val="21"/>
        </w:rPr>
      </w:pPr>
    </w:p>
    <w:p w14:paraId="7EB9ACF7">
      <w:pPr>
        <w:pStyle w:val="12"/>
        <w:numPr>
          <w:ilvl w:val="0"/>
          <w:numId w:val="13"/>
        </w:numPr>
        <w:snapToGrid w:val="0"/>
        <w:spacing w:line="300" w:lineRule="auto"/>
        <w:ind w:firstLineChars="0"/>
        <w:rPr>
          <w:rFonts w:ascii="Arial" w:hAnsi="Arial" w:eastAsia="宋体" w:cs="Arial"/>
          <w:szCs w:val="21"/>
        </w:rPr>
      </w:pPr>
      <w:r>
        <w:rPr>
          <w:rFonts w:ascii="Arial" w:hAnsi="Arial" w:eastAsia="宋体" w:cs="Arial"/>
          <w:szCs w:val="21"/>
        </w:rPr>
        <w:t>与</w:t>
      </w:r>
      <w:bookmarkStart w:id="34" w:name="OLE_LINK87"/>
      <w:bookmarkStart w:id="35" w:name="OLE_LINK88"/>
      <w:r>
        <w:rPr>
          <w:rFonts w:ascii="Arial" w:hAnsi="Arial" w:eastAsia="宋体" w:cs="Arial"/>
          <w:szCs w:val="21"/>
        </w:rPr>
        <w:t>相同类型合法上市器械中使用的</w:t>
      </w:r>
      <w:bookmarkEnd w:id="34"/>
      <w:bookmarkEnd w:id="35"/>
      <w:r>
        <w:rPr>
          <w:rFonts w:ascii="Arial" w:hAnsi="Arial" w:eastAsia="宋体" w:cs="Arial"/>
          <w:szCs w:val="21"/>
        </w:rPr>
        <w:t>设计或材料配方不同的设计或材料配方（如弹簧圈涂层、弹簧圈结构设计、弹簧圈材料、微粒材料、微粒形状、大小、拆卸机制、新导管设计）</w:t>
      </w:r>
    </w:p>
    <w:p w14:paraId="717E80BA">
      <w:pPr>
        <w:pStyle w:val="12"/>
        <w:numPr>
          <w:ilvl w:val="0"/>
          <w:numId w:val="13"/>
        </w:numPr>
        <w:snapToGrid w:val="0"/>
        <w:spacing w:line="300" w:lineRule="auto"/>
        <w:ind w:firstLineChars="0"/>
        <w:rPr>
          <w:rFonts w:ascii="Arial" w:hAnsi="Arial" w:eastAsia="宋体" w:cs="Arial"/>
          <w:szCs w:val="21"/>
        </w:rPr>
      </w:pPr>
      <w:r>
        <w:rPr>
          <w:rFonts w:ascii="Arial" w:hAnsi="Arial" w:eastAsia="宋体" w:cs="Arial"/>
          <w:szCs w:val="21"/>
        </w:rPr>
        <w:t>新技术（即与相同类型合法上市器械所用技术不同的技术）</w:t>
      </w:r>
    </w:p>
    <w:p w14:paraId="39198D7E">
      <w:pPr>
        <w:pStyle w:val="12"/>
        <w:numPr>
          <w:ilvl w:val="0"/>
          <w:numId w:val="13"/>
        </w:numPr>
        <w:snapToGrid w:val="0"/>
        <w:spacing w:line="300" w:lineRule="auto"/>
        <w:ind w:firstLineChars="0"/>
        <w:rPr>
          <w:rFonts w:ascii="Arial" w:hAnsi="Arial" w:eastAsia="宋体" w:cs="Arial"/>
          <w:szCs w:val="21"/>
        </w:rPr>
      </w:pPr>
      <w:r>
        <w:rPr>
          <w:rFonts w:ascii="Arial" w:hAnsi="Arial" w:eastAsia="宋体" w:cs="Arial"/>
          <w:szCs w:val="21"/>
        </w:rPr>
        <w:t>不同于相同类型器械的适应症</w:t>
      </w:r>
    </w:p>
    <w:p w14:paraId="52A961F3">
      <w:pPr>
        <w:snapToGrid w:val="0"/>
        <w:spacing w:line="300" w:lineRule="auto"/>
        <w:rPr>
          <w:rFonts w:ascii="Arial" w:hAnsi="Arial" w:eastAsia="宋体" w:cs="Arial"/>
          <w:szCs w:val="21"/>
        </w:rPr>
      </w:pPr>
    </w:p>
    <w:p w14:paraId="19C7E937">
      <w:pPr>
        <w:snapToGrid w:val="0"/>
        <w:spacing w:line="300" w:lineRule="auto"/>
        <w:rPr>
          <w:rFonts w:ascii="Arial" w:hAnsi="Arial" w:eastAsia="宋体" w:cs="Arial"/>
          <w:szCs w:val="21"/>
        </w:rPr>
      </w:pPr>
      <w:r>
        <w:rPr>
          <w:rFonts w:ascii="Arial" w:hAnsi="Arial" w:eastAsia="宋体" w:cs="Arial"/>
          <w:szCs w:val="21"/>
        </w:rPr>
        <w:t>血管和神经血管栓塞治疗器械被归入不同的器械属性类型，因此，FDA在上述标准中不将其视为相同类型的器械。</w:t>
      </w:r>
    </w:p>
    <w:p w14:paraId="534740AE">
      <w:pPr>
        <w:snapToGrid w:val="0"/>
        <w:spacing w:line="300" w:lineRule="auto"/>
        <w:rPr>
          <w:rFonts w:ascii="Arial" w:hAnsi="Arial" w:eastAsia="宋体" w:cs="Arial"/>
          <w:szCs w:val="21"/>
        </w:rPr>
      </w:pPr>
    </w:p>
    <w:p w14:paraId="6611A529">
      <w:pPr>
        <w:snapToGrid w:val="0"/>
        <w:spacing w:line="300" w:lineRule="auto"/>
        <w:rPr>
          <w:rFonts w:ascii="Arial" w:hAnsi="Arial" w:eastAsia="宋体" w:cs="Arial"/>
          <w:szCs w:val="21"/>
        </w:rPr>
      </w:pPr>
      <w:r>
        <w:rPr>
          <w:rFonts w:ascii="Arial" w:hAnsi="Arial" w:eastAsia="宋体" w:cs="Arial"/>
          <w:szCs w:val="21"/>
        </w:rPr>
        <w:t>当有一个适当的科学原理支持所推荐的替代方法时，FDA将始终考虑将替代方法用于临床试验。在开始研究前，可与本指导性文件封面上确定的审查部门讨论任何临床试验问题。</w:t>
      </w:r>
    </w:p>
    <w:p w14:paraId="04228DEB">
      <w:pPr>
        <w:snapToGrid w:val="0"/>
        <w:spacing w:line="300" w:lineRule="auto"/>
        <w:rPr>
          <w:rFonts w:ascii="Arial" w:hAnsi="Arial" w:eastAsia="宋体" w:cs="Arial"/>
          <w:szCs w:val="21"/>
        </w:rPr>
      </w:pPr>
    </w:p>
    <w:p w14:paraId="67C0762A">
      <w:pPr>
        <w:widowControl/>
        <w:jc w:val="left"/>
        <w:rPr>
          <w:rFonts w:ascii="Arial" w:hAnsi="Arial" w:eastAsia="宋体" w:cs="Arial"/>
          <w:szCs w:val="21"/>
        </w:rPr>
      </w:pPr>
      <w:r>
        <w:rPr>
          <w:rFonts w:ascii="Arial" w:hAnsi="Arial" w:eastAsia="宋体" w:cs="Arial"/>
          <w:szCs w:val="21"/>
        </w:rPr>
        <w:br w:type="page"/>
      </w:r>
    </w:p>
    <w:p w14:paraId="64B89D95">
      <w:pPr>
        <w:snapToGrid w:val="0"/>
        <w:spacing w:line="300" w:lineRule="auto"/>
        <w:rPr>
          <w:rFonts w:ascii="Arial" w:hAnsi="Arial" w:eastAsia="宋体" w:cs="Arial"/>
          <w:szCs w:val="21"/>
        </w:rPr>
      </w:pPr>
      <w:r>
        <w:rPr>
          <w:rFonts w:ascii="Arial" w:hAnsi="Arial" w:eastAsia="宋体" w:cs="Arial"/>
          <w:szCs w:val="21"/>
        </w:rPr>
        <w:t>如果需进行临床研究来证明实质等同（即在器械获得510（k）许可前进行），该研究必须根据21 CFR第812部的研究性器械豁免（IDE）规则予以实施。FDA认为本指导性文件所应对的血管和神经血管栓塞治疗器械是21 CFR § 812.3（m）条款定义的重大风险器械。</w:t>
      </w:r>
      <w:r>
        <w:rPr>
          <w:rFonts w:ascii="Arial" w:hAnsi="Arial" w:eastAsia="宋体" w:cs="Arial"/>
          <w:szCs w:val="21"/>
          <w:vertAlign w:val="superscript"/>
        </w:rPr>
        <w:t>4</w:t>
      </w:r>
      <w:r>
        <w:rPr>
          <w:rFonts w:ascii="Arial" w:hAnsi="Arial" w:eastAsia="宋体" w:cs="Arial"/>
          <w:szCs w:val="21"/>
        </w:rPr>
        <w:t>除要求拥有FDA批准的研究性</w:t>
      </w:r>
      <w:bookmarkStart w:id="36" w:name="OLE_LINK11"/>
      <w:bookmarkStart w:id="37" w:name="OLE_LINK12"/>
      <w:r>
        <w:rPr>
          <w:rFonts w:ascii="Arial" w:hAnsi="Arial" w:eastAsia="宋体" w:cs="Arial"/>
          <w:szCs w:val="21"/>
        </w:rPr>
        <w:t>器械豁免</w:t>
      </w:r>
      <w:bookmarkEnd w:id="36"/>
      <w:bookmarkEnd w:id="37"/>
      <w:r>
        <w:rPr>
          <w:rFonts w:ascii="Arial" w:hAnsi="Arial" w:eastAsia="宋体" w:cs="Arial"/>
          <w:szCs w:val="21"/>
        </w:rPr>
        <w:t>外，此类实验的申办方必须遵循监管机构审查委员会（</w:t>
      </w:r>
      <w:bookmarkStart w:id="38" w:name="OLE_LINK14"/>
      <w:bookmarkStart w:id="39" w:name="OLE_LINK13"/>
      <w:r>
        <w:rPr>
          <w:rFonts w:ascii="Arial" w:hAnsi="Arial" w:eastAsia="宋体" w:cs="Arial"/>
          <w:szCs w:val="21"/>
        </w:rPr>
        <w:t>21 CFR第56部</w:t>
      </w:r>
      <w:bookmarkEnd w:id="38"/>
      <w:bookmarkEnd w:id="39"/>
      <w:r>
        <w:rPr>
          <w:rFonts w:ascii="Arial" w:hAnsi="Arial" w:eastAsia="宋体" w:cs="Arial"/>
          <w:szCs w:val="21"/>
        </w:rPr>
        <w:t>）和知情同意（21 CFR第50部）的法规。</w:t>
      </w:r>
    </w:p>
    <w:p w14:paraId="133E7725">
      <w:pPr>
        <w:snapToGrid w:val="0"/>
        <w:spacing w:line="300" w:lineRule="auto"/>
        <w:rPr>
          <w:rFonts w:ascii="Arial" w:hAnsi="Arial" w:eastAsia="宋体" w:cs="Arial"/>
          <w:szCs w:val="21"/>
        </w:rPr>
      </w:pPr>
    </w:p>
    <w:p w14:paraId="27FEEDF3">
      <w:pPr>
        <w:snapToGrid w:val="0"/>
        <w:spacing w:line="300" w:lineRule="auto"/>
        <w:rPr>
          <w:rFonts w:ascii="Arial" w:hAnsi="Arial" w:eastAsia="宋体" w:cs="Arial"/>
          <w:szCs w:val="21"/>
        </w:rPr>
      </w:pPr>
      <w:r>
        <w:rPr>
          <w:rFonts w:ascii="Arial" w:hAnsi="Arial" w:eastAsia="宋体" w:cs="Arial"/>
          <w:szCs w:val="21"/>
        </w:rPr>
        <w:t>FDA判定该器械实质等同后，根据已批准的适应症进行临床研究（包括根据质量体系法规进行的临床设计验证研究），免除了研究器械豁免（IDE）要求。然而，此类研究必须符合21 CFR第56部和第50部的要求。</w:t>
      </w:r>
    </w:p>
    <w:p w14:paraId="46427006">
      <w:pPr>
        <w:snapToGrid w:val="0"/>
        <w:spacing w:line="300" w:lineRule="auto"/>
        <w:rPr>
          <w:rFonts w:ascii="Arial" w:hAnsi="Arial" w:eastAsia="宋体" w:cs="Arial"/>
          <w:szCs w:val="21"/>
        </w:rPr>
      </w:pPr>
    </w:p>
    <w:p w14:paraId="2F1F055B">
      <w:pPr>
        <w:snapToGrid w:val="0"/>
        <w:spacing w:line="300" w:lineRule="auto"/>
        <w:rPr>
          <w:rFonts w:ascii="Arial" w:hAnsi="Arial" w:eastAsia="宋体" w:cs="Arial"/>
          <w:szCs w:val="21"/>
        </w:rPr>
      </w:pPr>
      <w:r>
        <w:rPr>
          <w:rFonts w:ascii="Arial" w:hAnsi="Arial" w:eastAsia="宋体" w:cs="Arial"/>
          <w:szCs w:val="21"/>
        </w:rPr>
        <w:t>我们建议贵公司考虑针对栓塞临床研究的以下信息。</w:t>
      </w:r>
    </w:p>
    <w:p w14:paraId="1E81B204">
      <w:pPr>
        <w:snapToGrid w:val="0"/>
        <w:spacing w:line="300" w:lineRule="auto"/>
        <w:rPr>
          <w:rFonts w:ascii="Arial" w:hAnsi="Arial" w:eastAsia="宋体" w:cs="Arial"/>
          <w:szCs w:val="21"/>
        </w:rPr>
      </w:pPr>
    </w:p>
    <w:p w14:paraId="1F8E04C3">
      <w:pPr>
        <w:snapToGrid w:val="0"/>
        <w:spacing w:line="300" w:lineRule="auto"/>
        <w:rPr>
          <w:rFonts w:ascii="Arial" w:hAnsi="Arial" w:eastAsia="宋体" w:cs="Arial"/>
          <w:b/>
          <w:szCs w:val="21"/>
        </w:rPr>
      </w:pPr>
      <w:r>
        <w:rPr>
          <w:rFonts w:ascii="Arial" w:hAnsi="Arial" w:eastAsia="宋体" w:cs="Arial"/>
          <w:b/>
          <w:szCs w:val="21"/>
        </w:rPr>
        <w:t>终点</w:t>
      </w:r>
    </w:p>
    <w:p w14:paraId="0148DD3A">
      <w:pPr>
        <w:snapToGrid w:val="0"/>
        <w:spacing w:line="300" w:lineRule="auto"/>
        <w:rPr>
          <w:rFonts w:ascii="Arial" w:hAnsi="Arial" w:eastAsia="宋体" w:cs="Arial"/>
          <w:szCs w:val="21"/>
        </w:rPr>
      </w:pPr>
    </w:p>
    <w:p w14:paraId="088CC473">
      <w:pPr>
        <w:snapToGrid w:val="0"/>
        <w:spacing w:line="300" w:lineRule="auto"/>
        <w:rPr>
          <w:rFonts w:ascii="Arial" w:hAnsi="Arial" w:eastAsia="宋体" w:cs="Arial"/>
          <w:szCs w:val="21"/>
        </w:rPr>
      </w:pPr>
      <w:r>
        <w:rPr>
          <w:rFonts w:ascii="Arial" w:hAnsi="Arial" w:eastAsia="宋体" w:cs="Arial"/>
          <w:szCs w:val="21"/>
        </w:rPr>
        <w:t>我们建议在研究方案中包含明确定义的该研究的主要终点和次要终点以及具体的成功/失败标准。我们建议贵公司对所有不良事件做出定义并予以报告。</w:t>
      </w:r>
    </w:p>
    <w:p w14:paraId="50DDBE8B">
      <w:pPr>
        <w:snapToGrid w:val="0"/>
        <w:spacing w:line="300" w:lineRule="auto"/>
        <w:rPr>
          <w:rFonts w:ascii="Arial" w:hAnsi="Arial" w:eastAsia="宋体" w:cs="Arial"/>
          <w:szCs w:val="21"/>
        </w:rPr>
      </w:pPr>
    </w:p>
    <w:p w14:paraId="1A591D94">
      <w:pPr>
        <w:snapToGrid w:val="0"/>
        <w:spacing w:line="300" w:lineRule="auto"/>
        <w:rPr>
          <w:rFonts w:ascii="Arial" w:hAnsi="Arial" w:eastAsia="宋体" w:cs="Arial"/>
          <w:szCs w:val="21"/>
        </w:rPr>
      </w:pPr>
      <w:r>
        <w:rPr>
          <w:rFonts w:ascii="Arial" w:hAnsi="Arial" w:eastAsia="宋体" w:cs="Arial"/>
          <w:szCs w:val="21"/>
        </w:rPr>
        <w:t>我们建议在有效性终点中包含采用血管造影术测定的血管病变体积缩小、动脉瘤闭塞百分比降低或根源血管闭塞百分比降低。我们还建议贵公司考虑其他终点，如血管栓塞病变再通率和/或临床效益验证。例如，对用于术前栓塞的器械，手术时间缩短和失血量降低可能是合适的终点。</w:t>
      </w:r>
    </w:p>
    <w:p w14:paraId="38F483ED">
      <w:pPr>
        <w:snapToGrid w:val="0"/>
        <w:spacing w:line="300" w:lineRule="auto"/>
        <w:rPr>
          <w:rFonts w:ascii="Arial" w:hAnsi="Arial" w:eastAsia="宋体" w:cs="Arial"/>
          <w:szCs w:val="21"/>
        </w:rPr>
      </w:pPr>
    </w:p>
    <w:p w14:paraId="73FB5423">
      <w:pPr>
        <w:snapToGrid w:val="0"/>
        <w:spacing w:line="300" w:lineRule="auto"/>
        <w:rPr>
          <w:rFonts w:ascii="Arial" w:hAnsi="Arial" w:eastAsia="宋体" w:cs="Arial"/>
          <w:szCs w:val="21"/>
        </w:rPr>
      </w:pPr>
      <w:r>
        <w:rPr>
          <w:rFonts w:ascii="Arial" w:hAnsi="Arial" w:eastAsia="宋体" w:cs="Arial"/>
          <w:szCs w:val="21"/>
        </w:rPr>
        <w:t>对于神经血管栓塞治疗器械，我们建议安全性评估包含：</w:t>
      </w:r>
    </w:p>
    <w:p w14:paraId="7D5C2767">
      <w:pPr>
        <w:snapToGrid w:val="0"/>
        <w:spacing w:line="300" w:lineRule="auto"/>
        <w:rPr>
          <w:rFonts w:ascii="Arial" w:hAnsi="Arial" w:eastAsia="宋体" w:cs="Arial"/>
          <w:szCs w:val="21"/>
        </w:rPr>
      </w:pPr>
    </w:p>
    <w:p w14:paraId="485D3CED">
      <w:pPr>
        <w:pStyle w:val="12"/>
        <w:numPr>
          <w:ilvl w:val="0"/>
          <w:numId w:val="14"/>
        </w:numPr>
        <w:snapToGrid w:val="0"/>
        <w:spacing w:line="300" w:lineRule="auto"/>
        <w:ind w:firstLineChars="0"/>
        <w:rPr>
          <w:rFonts w:ascii="Arial" w:hAnsi="Arial" w:eastAsia="宋体" w:cs="Arial"/>
          <w:szCs w:val="21"/>
        </w:rPr>
      </w:pPr>
      <w:r>
        <w:rPr>
          <w:rFonts w:ascii="Arial" w:hAnsi="Arial" w:eastAsia="宋体" w:cs="Arial"/>
          <w:szCs w:val="21"/>
        </w:rPr>
        <w:t>新发神经功能缺陷（暂时性和永久性）的发生率</w:t>
      </w:r>
    </w:p>
    <w:p w14:paraId="59E592BC">
      <w:pPr>
        <w:pStyle w:val="12"/>
        <w:numPr>
          <w:ilvl w:val="0"/>
          <w:numId w:val="14"/>
        </w:numPr>
        <w:snapToGrid w:val="0"/>
        <w:spacing w:line="300" w:lineRule="auto"/>
        <w:ind w:firstLineChars="0"/>
        <w:rPr>
          <w:rFonts w:ascii="Arial" w:hAnsi="Arial" w:eastAsia="宋体" w:cs="Arial"/>
          <w:szCs w:val="21"/>
        </w:rPr>
      </w:pPr>
      <w:r>
        <w:rPr>
          <w:rFonts w:ascii="Arial" w:hAnsi="Arial" w:eastAsia="宋体" w:cs="Arial"/>
          <w:szCs w:val="21"/>
        </w:rPr>
        <w:t>神经功能结局评估</w:t>
      </w:r>
    </w:p>
    <w:p w14:paraId="5E7D8D83">
      <w:pPr>
        <w:pStyle w:val="12"/>
        <w:numPr>
          <w:ilvl w:val="0"/>
          <w:numId w:val="14"/>
        </w:numPr>
        <w:snapToGrid w:val="0"/>
        <w:spacing w:line="300" w:lineRule="auto"/>
        <w:ind w:firstLineChars="0"/>
        <w:rPr>
          <w:rFonts w:ascii="Arial" w:hAnsi="Arial" w:eastAsia="宋体" w:cs="Arial"/>
          <w:szCs w:val="21"/>
        </w:rPr>
      </w:pPr>
      <w:r>
        <w:rPr>
          <w:rFonts w:ascii="Arial" w:hAnsi="Arial" w:eastAsia="宋体" w:cs="Arial"/>
          <w:szCs w:val="21"/>
        </w:rPr>
        <w:t>神经性并发症和非神经性并发症的发生率</w:t>
      </w:r>
    </w:p>
    <w:p w14:paraId="7EA410CD">
      <w:pPr>
        <w:pStyle w:val="12"/>
        <w:numPr>
          <w:ilvl w:val="0"/>
          <w:numId w:val="14"/>
        </w:numPr>
        <w:snapToGrid w:val="0"/>
        <w:spacing w:line="300" w:lineRule="auto"/>
        <w:ind w:firstLineChars="0"/>
        <w:rPr>
          <w:rFonts w:ascii="Arial" w:hAnsi="Arial" w:eastAsia="宋体" w:cs="Arial"/>
          <w:szCs w:val="21"/>
        </w:rPr>
      </w:pPr>
      <w:r>
        <w:rPr>
          <w:rFonts w:ascii="Arial" w:hAnsi="Arial" w:eastAsia="宋体" w:cs="Arial"/>
          <w:szCs w:val="21"/>
        </w:rPr>
        <w:t>特殊材料的远端移位</w:t>
      </w:r>
    </w:p>
    <w:p w14:paraId="558DF890">
      <w:pPr>
        <w:snapToGrid w:val="0"/>
        <w:spacing w:line="300" w:lineRule="auto"/>
        <w:rPr>
          <w:rFonts w:ascii="Arial" w:hAnsi="Arial" w:eastAsia="宋体" w:cs="Arial"/>
          <w:szCs w:val="21"/>
        </w:rPr>
      </w:pPr>
    </w:p>
    <w:p w14:paraId="3A909D8C">
      <w:pPr>
        <w:snapToGrid w:val="0"/>
        <w:spacing w:line="300" w:lineRule="auto"/>
        <w:rPr>
          <w:rFonts w:ascii="Arial" w:hAnsi="Arial" w:eastAsia="宋体" w:cs="Arial"/>
          <w:szCs w:val="21"/>
        </w:rPr>
      </w:pPr>
      <w:r>
        <w:rPr>
          <w:rFonts w:ascii="Arial" w:hAnsi="Arial" w:eastAsia="宋体" w:cs="Arial"/>
          <w:szCs w:val="21"/>
        </w:rPr>
        <w:t>我们建议贵公司确定用于评估患者神经功能终点的测量工具。我们建议贵公司对处于最低损害、栓塞前、即刻栓塞后的所有患者进行评估，并使用标准的神经系统检查进行随访检查：</w:t>
      </w:r>
    </w:p>
    <w:p w14:paraId="046FAC9C">
      <w:pPr>
        <w:snapToGrid w:val="0"/>
        <w:spacing w:line="300" w:lineRule="auto"/>
        <w:rPr>
          <w:rFonts w:ascii="Arial" w:hAnsi="Arial" w:eastAsia="宋体" w:cs="Arial"/>
          <w:szCs w:val="21"/>
        </w:rPr>
      </w:pPr>
    </w:p>
    <w:p w14:paraId="2DB5134E">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颅神经</w:t>
      </w:r>
    </w:p>
    <w:p w14:paraId="4904AD57">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感觉功能</w:t>
      </w:r>
    </w:p>
    <w:p w14:paraId="0417A156">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运动功能和反射作用</w:t>
      </w:r>
    </w:p>
    <w:p w14:paraId="7AC3BCE0">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步态和协调性</w:t>
      </w:r>
    </w:p>
    <w:p w14:paraId="119F0795">
      <w:pPr>
        <w:pStyle w:val="12"/>
        <w:numPr>
          <w:ilvl w:val="0"/>
          <w:numId w:val="15"/>
        </w:numPr>
        <w:snapToGrid w:val="0"/>
        <w:spacing w:line="300" w:lineRule="auto"/>
        <w:ind w:firstLineChars="0"/>
        <w:rPr>
          <w:rFonts w:ascii="Arial" w:hAnsi="Arial" w:eastAsia="宋体" w:cs="Arial"/>
          <w:szCs w:val="21"/>
        </w:rPr>
      </w:pPr>
      <w:r>
        <w:rPr>
          <w:rFonts w:ascii="Arial" w:hAnsi="Arial" w:eastAsia="宋体" w:cs="Arial"/>
          <w:szCs w:val="21"/>
        </w:rPr>
        <w:t>心理状态</w:t>
      </w:r>
    </w:p>
    <w:p w14:paraId="292E000D">
      <w:pPr>
        <w:snapToGrid w:val="0"/>
        <w:spacing w:line="300" w:lineRule="auto"/>
        <w:rPr>
          <w:rFonts w:ascii="Arial" w:hAnsi="Arial" w:eastAsia="宋体" w:cs="Arial"/>
          <w:szCs w:val="21"/>
        </w:rPr>
      </w:pPr>
    </w:p>
    <w:p w14:paraId="57AB027A">
      <w:pPr>
        <w:snapToGrid w:val="0"/>
        <w:spacing w:line="300" w:lineRule="auto"/>
        <w:rPr>
          <w:rFonts w:ascii="Arial" w:hAnsi="Arial" w:eastAsia="宋体" w:cs="Arial"/>
          <w:szCs w:val="21"/>
        </w:rPr>
      </w:pPr>
      <w:r>
        <w:rPr>
          <w:rFonts w:ascii="Arial" w:hAnsi="Arial" w:eastAsia="宋体" w:cs="Arial"/>
          <w:szCs w:val="21"/>
        </w:rPr>
        <w:t>我们建议贵公司以病例报告表形式提供神经病学检查副本。临床医生将在病例报告表上记录结果。测量终点的其他方法可包括：</w:t>
      </w:r>
    </w:p>
    <w:p w14:paraId="7B2F7DA0">
      <w:pPr>
        <w:snapToGrid w:val="0"/>
        <w:spacing w:line="300" w:lineRule="auto"/>
        <w:rPr>
          <w:rFonts w:ascii="Arial" w:hAnsi="Arial" w:eastAsia="宋体" w:cs="Arial"/>
          <w:szCs w:val="21"/>
        </w:rPr>
      </w:pPr>
    </w:p>
    <w:p w14:paraId="6F8620F1">
      <w:pPr>
        <w:pStyle w:val="12"/>
        <w:numPr>
          <w:ilvl w:val="0"/>
          <w:numId w:val="16"/>
        </w:numPr>
        <w:snapToGrid w:val="0"/>
        <w:spacing w:line="300" w:lineRule="auto"/>
        <w:ind w:firstLineChars="0"/>
        <w:rPr>
          <w:rFonts w:ascii="Arial" w:hAnsi="Arial" w:eastAsia="宋体" w:cs="Arial"/>
          <w:szCs w:val="21"/>
        </w:rPr>
      </w:pPr>
      <w:r>
        <w:rPr>
          <w:rFonts w:ascii="Arial" w:hAnsi="Arial" w:eastAsia="宋体" w:cs="Arial"/>
          <w:szCs w:val="21"/>
        </w:rPr>
        <w:t>功能性结局量表</w:t>
      </w:r>
    </w:p>
    <w:p w14:paraId="21DDC7FC">
      <w:pPr>
        <w:pStyle w:val="12"/>
        <w:numPr>
          <w:ilvl w:val="0"/>
          <w:numId w:val="16"/>
        </w:numPr>
        <w:snapToGrid w:val="0"/>
        <w:spacing w:line="300" w:lineRule="auto"/>
        <w:ind w:firstLineChars="0"/>
        <w:rPr>
          <w:rFonts w:ascii="Arial" w:hAnsi="Arial" w:eastAsia="宋体" w:cs="Arial"/>
          <w:szCs w:val="21"/>
        </w:rPr>
      </w:pPr>
      <w:r>
        <w:rPr>
          <w:rFonts w:ascii="Arial" w:hAnsi="Arial" w:eastAsia="宋体" w:cs="Arial"/>
          <w:szCs w:val="21"/>
        </w:rPr>
        <w:t>患者自我报告</w:t>
      </w:r>
    </w:p>
    <w:p w14:paraId="485B7B8C">
      <w:pPr>
        <w:pStyle w:val="12"/>
        <w:numPr>
          <w:ilvl w:val="0"/>
          <w:numId w:val="16"/>
        </w:numPr>
        <w:snapToGrid w:val="0"/>
        <w:spacing w:line="300" w:lineRule="auto"/>
        <w:ind w:firstLineChars="0"/>
        <w:rPr>
          <w:rFonts w:ascii="Arial" w:hAnsi="Arial" w:eastAsia="宋体" w:cs="Arial"/>
          <w:szCs w:val="21"/>
        </w:rPr>
      </w:pPr>
      <w:r>
        <w:rPr>
          <w:rFonts w:ascii="Arial" w:hAnsi="Arial" w:eastAsia="宋体" w:cs="Arial"/>
          <w:szCs w:val="21"/>
        </w:rPr>
        <w:t>临床医生或外科医生自我报告：世界神经外科医生联盟分级（WFNS）、格拉斯哥结局量表（GOS）、格拉斯哥昏迷量表（GCS）、美国国立卫生研究院（NIH）脑卒中量表和/或巴塞尔指数（Barthel Index）</w:t>
      </w:r>
    </w:p>
    <w:p w14:paraId="3080B172">
      <w:pPr>
        <w:snapToGrid w:val="0"/>
        <w:spacing w:line="300" w:lineRule="auto"/>
        <w:rPr>
          <w:rFonts w:ascii="Arial" w:hAnsi="Arial" w:eastAsia="宋体" w:cs="Arial"/>
          <w:szCs w:val="21"/>
        </w:rPr>
      </w:pPr>
    </w:p>
    <w:p w14:paraId="525A4244">
      <w:pPr>
        <w:snapToGrid w:val="0"/>
        <w:spacing w:line="300" w:lineRule="auto"/>
        <w:rPr>
          <w:rFonts w:ascii="Arial" w:hAnsi="Arial" w:eastAsia="宋体" w:cs="Arial"/>
          <w:szCs w:val="21"/>
        </w:rPr>
      </w:pPr>
      <w:r>
        <w:rPr>
          <w:rFonts w:ascii="Arial" w:hAnsi="Arial" w:eastAsia="宋体" w:cs="Arial"/>
          <w:szCs w:val="21"/>
        </w:rPr>
        <w:t>我们建议采用盲法设计独立进行终点评价。对使用的所有量表，我们建议将测试中判定数值的方法作为病例报告表的组成部分并在填入分值的病例报告表上注明标度范围。</w:t>
      </w:r>
    </w:p>
    <w:p w14:paraId="3A5BC858">
      <w:pPr>
        <w:snapToGrid w:val="0"/>
        <w:spacing w:line="300" w:lineRule="auto"/>
        <w:rPr>
          <w:rFonts w:ascii="Arial" w:hAnsi="Arial" w:eastAsia="宋体" w:cs="Arial"/>
          <w:szCs w:val="21"/>
        </w:rPr>
      </w:pPr>
    </w:p>
    <w:p w14:paraId="04DB5EE6">
      <w:pPr>
        <w:snapToGrid w:val="0"/>
        <w:spacing w:line="300" w:lineRule="auto"/>
        <w:rPr>
          <w:rFonts w:ascii="Arial" w:hAnsi="Arial" w:eastAsia="宋体" w:cs="Arial"/>
          <w:b/>
          <w:szCs w:val="21"/>
        </w:rPr>
      </w:pPr>
      <w:r>
        <w:rPr>
          <w:rFonts w:ascii="Arial" w:hAnsi="Arial" w:eastAsia="宋体" w:cs="Arial"/>
          <w:b/>
          <w:szCs w:val="21"/>
        </w:rPr>
        <w:t>栓塞程序描述</w:t>
      </w:r>
    </w:p>
    <w:p w14:paraId="44FEB4B0">
      <w:pPr>
        <w:snapToGrid w:val="0"/>
        <w:spacing w:line="300" w:lineRule="auto"/>
        <w:rPr>
          <w:rFonts w:ascii="Arial" w:hAnsi="Arial" w:eastAsia="宋体" w:cs="Arial"/>
          <w:szCs w:val="21"/>
        </w:rPr>
      </w:pPr>
    </w:p>
    <w:p w14:paraId="3D66D208">
      <w:pPr>
        <w:snapToGrid w:val="0"/>
        <w:spacing w:line="300" w:lineRule="auto"/>
        <w:rPr>
          <w:rFonts w:ascii="Arial" w:hAnsi="Arial" w:eastAsia="宋体" w:cs="Arial"/>
          <w:szCs w:val="21"/>
        </w:rPr>
      </w:pPr>
      <w:r>
        <w:rPr>
          <w:rFonts w:ascii="Arial" w:hAnsi="Arial" w:eastAsia="宋体" w:cs="Arial"/>
          <w:szCs w:val="21"/>
        </w:rPr>
        <w:t>我们建议在研究方案中对栓塞程序提供完整描述，包括：</w:t>
      </w:r>
    </w:p>
    <w:p w14:paraId="1B56E67C">
      <w:pPr>
        <w:snapToGrid w:val="0"/>
        <w:spacing w:line="300" w:lineRule="auto"/>
        <w:rPr>
          <w:rFonts w:ascii="Arial" w:hAnsi="Arial" w:eastAsia="宋体" w:cs="Arial"/>
          <w:szCs w:val="21"/>
        </w:rPr>
      </w:pPr>
    </w:p>
    <w:p w14:paraId="7F768E9F">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器械/组件的装配和准备</w:t>
      </w:r>
    </w:p>
    <w:p w14:paraId="23277DE6">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抗凝药物的使用（如药物、剂量）</w:t>
      </w:r>
    </w:p>
    <w:p w14:paraId="5CE97187">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抗生素的使用</w:t>
      </w:r>
    </w:p>
    <w:p w14:paraId="312FDE1A">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手术期间可能使用辅助栓塞治疗器械的情形</w:t>
      </w:r>
    </w:p>
    <w:p w14:paraId="44F851EF">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是否有分段栓塞计划与该计划的特点</w:t>
      </w:r>
    </w:p>
    <w:p w14:paraId="45F2BB47">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栓塞手术期间发生脑卒中或其他并发症时可供利用的治疗方法</w:t>
      </w:r>
    </w:p>
    <w:p w14:paraId="00604396">
      <w:pPr>
        <w:pStyle w:val="12"/>
        <w:numPr>
          <w:ilvl w:val="0"/>
          <w:numId w:val="17"/>
        </w:numPr>
        <w:snapToGrid w:val="0"/>
        <w:spacing w:line="300" w:lineRule="auto"/>
        <w:ind w:firstLineChars="0"/>
        <w:rPr>
          <w:rFonts w:ascii="Arial" w:hAnsi="Arial" w:eastAsia="宋体" w:cs="Arial"/>
          <w:szCs w:val="21"/>
        </w:rPr>
      </w:pPr>
      <w:r>
        <w:rPr>
          <w:rFonts w:ascii="Arial" w:hAnsi="Arial" w:eastAsia="宋体" w:cs="Arial"/>
          <w:szCs w:val="21"/>
        </w:rPr>
        <w:t>如果栓塞是一种术前操作，栓塞和最后切除之间的时间间隔</w:t>
      </w:r>
    </w:p>
    <w:p w14:paraId="6AF336FE">
      <w:pPr>
        <w:snapToGrid w:val="0"/>
        <w:spacing w:line="300" w:lineRule="auto"/>
        <w:rPr>
          <w:rFonts w:ascii="Arial" w:hAnsi="Arial" w:eastAsia="宋体" w:cs="Arial"/>
          <w:szCs w:val="21"/>
        </w:rPr>
      </w:pPr>
    </w:p>
    <w:p w14:paraId="4F33AD26">
      <w:pPr>
        <w:snapToGrid w:val="0"/>
        <w:spacing w:line="300" w:lineRule="auto"/>
        <w:rPr>
          <w:rFonts w:ascii="Arial" w:hAnsi="Arial" w:eastAsia="宋体" w:cs="Arial"/>
          <w:szCs w:val="21"/>
        </w:rPr>
      </w:pPr>
      <w:r>
        <w:rPr>
          <w:rFonts w:ascii="Arial" w:hAnsi="Arial" w:eastAsia="宋体" w:cs="Arial"/>
          <w:szCs w:val="21"/>
        </w:rPr>
        <w:t>另外，我们建议贵公司在局部麻醉状态下将神经血管栓塞治疗器械植入患者体内的过程中对神经功能进行监控。</w:t>
      </w:r>
    </w:p>
    <w:p w14:paraId="2E1DBDB1">
      <w:pPr>
        <w:snapToGrid w:val="0"/>
        <w:spacing w:line="300" w:lineRule="auto"/>
        <w:rPr>
          <w:rFonts w:ascii="Arial" w:hAnsi="Arial" w:eastAsia="宋体" w:cs="Arial"/>
          <w:szCs w:val="21"/>
        </w:rPr>
      </w:pPr>
    </w:p>
    <w:p w14:paraId="6CA870AD">
      <w:pPr>
        <w:snapToGrid w:val="0"/>
        <w:spacing w:line="300" w:lineRule="auto"/>
        <w:rPr>
          <w:rFonts w:ascii="Arial" w:hAnsi="Arial" w:eastAsia="宋体" w:cs="Arial"/>
          <w:b/>
          <w:szCs w:val="21"/>
        </w:rPr>
      </w:pPr>
      <w:r>
        <w:rPr>
          <w:rFonts w:ascii="Arial" w:hAnsi="Arial" w:eastAsia="宋体" w:cs="Arial"/>
          <w:b/>
          <w:szCs w:val="21"/>
        </w:rPr>
        <w:t>成像</w:t>
      </w:r>
    </w:p>
    <w:p w14:paraId="5C32E364">
      <w:pPr>
        <w:snapToGrid w:val="0"/>
        <w:spacing w:line="300" w:lineRule="auto"/>
        <w:rPr>
          <w:rFonts w:ascii="Arial" w:hAnsi="Arial" w:eastAsia="宋体" w:cs="Arial"/>
          <w:szCs w:val="21"/>
        </w:rPr>
      </w:pPr>
    </w:p>
    <w:p w14:paraId="673BFB5B">
      <w:pPr>
        <w:snapToGrid w:val="0"/>
        <w:spacing w:line="300" w:lineRule="auto"/>
        <w:rPr>
          <w:rFonts w:ascii="Arial" w:hAnsi="Arial" w:eastAsia="宋体" w:cs="Arial"/>
          <w:szCs w:val="21"/>
        </w:rPr>
      </w:pPr>
      <w:r>
        <w:rPr>
          <w:rFonts w:ascii="Arial" w:hAnsi="Arial" w:eastAsia="宋体" w:cs="Arial"/>
          <w:szCs w:val="21"/>
        </w:rPr>
        <w:t>对需做栓塞的患者来说，术前成像是治疗的标准操作。对具有新设计特点的栓塞媒介进行评估时，除术前评估外，可能适合进行栓塞后血管造影术以及短期和长期随访成像扫描。我们建议贵公司对测量病变所用方法（如血管造影术、磁共振成像、磁共振血管造影、CT）以及随访间隔做出描述。由于血管疾病和器械使用可能决定使用哪种成像工具与随访时限和间隔，我们建议贵公司提供这些方案要素的基本原理，同时提供任何支持性文献/研究。</w:t>
      </w:r>
    </w:p>
    <w:p w14:paraId="64CCD9D8">
      <w:pPr>
        <w:snapToGrid w:val="0"/>
        <w:spacing w:line="300" w:lineRule="auto"/>
        <w:rPr>
          <w:rFonts w:ascii="Arial" w:hAnsi="Arial" w:eastAsia="宋体" w:cs="Arial"/>
          <w:szCs w:val="21"/>
        </w:rPr>
      </w:pPr>
    </w:p>
    <w:p w14:paraId="4E3E9CAC">
      <w:pPr>
        <w:snapToGrid w:val="0"/>
        <w:spacing w:line="300" w:lineRule="auto"/>
        <w:rPr>
          <w:rFonts w:ascii="Arial" w:hAnsi="Arial" w:eastAsia="宋体" w:cs="Arial"/>
          <w:b/>
          <w:szCs w:val="21"/>
        </w:rPr>
      </w:pPr>
      <w:r>
        <w:rPr>
          <w:rFonts w:ascii="Arial" w:hAnsi="Arial" w:eastAsia="宋体" w:cs="Arial"/>
          <w:b/>
          <w:szCs w:val="21"/>
        </w:rPr>
        <w:t>患者随访</w:t>
      </w:r>
    </w:p>
    <w:p w14:paraId="6647BADC">
      <w:pPr>
        <w:snapToGrid w:val="0"/>
        <w:spacing w:line="300" w:lineRule="auto"/>
        <w:rPr>
          <w:rFonts w:ascii="Arial" w:hAnsi="Arial" w:eastAsia="宋体" w:cs="Arial"/>
          <w:szCs w:val="21"/>
        </w:rPr>
      </w:pPr>
    </w:p>
    <w:p w14:paraId="3AB31E64">
      <w:pPr>
        <w:snapToGrid w:val="0"/>
        <w:spacing w:line="300" w:lineRule="auto"/>
        <w:rPr>
          <w:rFonts w:ascii="Arial" w:hAnsi="Arial" w:eastAsia="宋体" w:cs="Arial"/>
          <w:szCs w:val="21"/>
        </w:rPr>
      </w:pPr>
      <w:r>
        <w:rPr>
          <w:rFonts w:ascii="Arial" w:hAnsi="Arial" w:eastAsia="宋体" w:cs="Arial"/>
          <w:szCs w:val="21"/>
        </w:rPr>
        <w:t>我们建议贵公司对随访期间对患者进行评估的频率做出详细描述。</w:t>
      </w:r>
    </w:p>
    <w:p w14:paraId="2302D546">
      <w:pPr>
        <w:snapToGrid w:val="0"/>
        <w:spacing w:line="300" w:lineRule="auto"/>
        <w:rPr>
          <w:rFonts w:ascii="Arial" w:hAnsi="Arial" w:eastAsia="宋体" w:cs="Arial"/>
          <w:szCs w:val="21"/>
        </w:rPr>
      </w:pPr>
    </w:p>
    <w:p w14:paraId="693B16F6">
      <w:pPr>
        <w:widowControl/>
        <w:snapToGrid w:val="0"/>
        <w:spacing w:line="300" w:lineRule="auto"/>
        <w:jc w:val="left"/>
        <w:rPr>
          <w:rFonts w:ascii="Arial" w:hAnsi="Arial" w:eastAsia="宋体" w:cs="Arial"/>
          <w:b/>
          <w:color w:val="005F9F"/>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b/>
          <w:color w:val="005F9F"/>
          <w:kern w:val="0"/>
          <w:szCs w:val="21"/>
          <w:lang w:val="en"/>
        </w:rPr>
        <w:t>返回顶部</w:t>
      </w:r>
      <w:r>
        <w:rPr>
          <w:rFonts w:ascii="Arial" w:hAnsi="Arial" w:eastAsia="宋体" w:cs="Arial"/>
          <w:b/>
          <w:color w:val="005F9F"/>
          <w:kern w:val="0"/>
          <w:szCs w:val="21"/>
          <w:lang w:val="en"/>
        </w:rPr>
        <w:fldChar w:fldCharType="end"/>
      </w:r>
    </w:p>
    <w:p w14:paraId="655F8283">
      <w:pPr>
        <w:widowControl/>
        <w:snapToGrid w:val="0"/>
        <w:spacing w:line="300" w:lineRule="auto"/>
        <w:jc w:val="left"/>
        <w:rPr>
          <w:rFonts w:ascii="Arial" w:hAnsi="Arial" w:eastAsia="宋体" w:cs="Arial"/>
          <w:b/>
          <w:color w:val="333333"/>
          <w:kern w:val="0"/>
          <w:szCs w:val="21"/>
          <w:lang w:val="en"/>
        </w:rPr>
      </w:pPr>
      <w:r>
        <w:rPr>
          <w:rFonts w:ascii="Arial" w:hAnsi="Arial" w:eastAsia="宋体" w:cs="Arial"/>
          <w:szCs w:val="21"/>
        </w:rPr>
        <mc:AlternateContent>
          <mc:Choice Requires="wps">
            <w:drawing>
              <wp:anchor distT="0" distB="0" distL="114300" distR="114300" simplePos="0" relativeHeight="251669504" behindDoc="0" locked="0" layoutInCell="1" allowOverlap="1">
                <wp:simplePos x="0" y="0"/>
                <wp:positionH relativeFrom="column">
                  <wp:posOffset>23495</wp:posOffset>
                </wp:positionH>
                <wp:positionV relativeFrom="paragraph">
                  <wp:posOffset>185420</wp:posOffset>
                </wp:positionV>
                <wp:extent cx="5287645" cy="0"/>
                <wp:effectExtent l="0" t="0" r="27305" b="19050"/>
                <wp:wrapNone/>
                <wp:docPr id="13" name="直接连接符 13"/>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4.6pt;height:0pt;width:416.35pt;z-index:251669504;mso-width-relative:page;mso-height-relative:page;" filled="f" stroked="t" coordsize="21600,21600" o:gfxdata="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qWJt0gAA&#10;AAcBAAAPAAAAAAAAAAEAIAAAACIAAABkcnMvZG93bnJldi54bWxQSwECFAAUAAAACACHTuJAMvR5&#10;5+sBAAC/AwAADgAAAAAAAAABACAAAAAhAQAAZHJzL2Uyb0RvYy54bWxQSwUGAAAAAAYABgBZAQAA&#10;fgUAAAAA&#10;">
                <v:fill on="f" focussize="0,0"/>
                <v:stroke weight="1.5pt" color="#808080 [1612]" joinstyle="round"/>
                <v:imagedata o:title=""/>
                <o:lock v:ext="edit" aspectratio="f"/>
              </v:line>
            </w:pict>
          </mc:Fallback>
        </mc:AlternateContent>
      </w:r>
    </w:p>
    <w:p w14:paraId="09B4B24D">
      <w:pPr>
        <w:snapToGrid w:val="0"/>
        <w:spacing w:line="300" w:lineRule="auto"/>
        <w:rPr>
          <w:rFonts w:ascii="Arial" w:hAnsi="Arial" w:eastAsia="宋体" w:cs="Arial"/>
          <w:szCs w:val="21"/>
        </w:rPr>
      </w:pPr>
    </w:p>
    <w:p w14:paraId="7B368D08">
      <w:pPr>
        <w:snapToGrid w:val="0"/>
        <w:spacing w:line="300" w:lineRule="auto"/>
        <w:rPr>
          <w:rFonts w:ascii="Arial" w:hAnsi="Arial" w:eastAsia="宋体" w:cs="Arial"/>
          <w:b/>
          <w:szCs w:val="21"/>
        </w:rPr>
      </w:pPr>
      <w:r>
        <w:rPr>
          <w:rFonts w:ascii="Arial" w:hAnsi="Arial" w:eastAsia="宋体" w:cs="Arial"/>
          <w:b/>
          <w:szCs w:val="21"/>
        </w:rPr>
        <w:t>11. 标签</w:t>
      </w:r>
    </w:p>
    <w:p w14:paraId="213BBC24">
      <w:pPr>
        <w:snapToGrid w:val="0"/>
        <w:spacing w:line="300" w:lineRule="auto"/>
        <w:rPr>
          <w:rFonts w:ascii="Arial" w:hAnsi="Arial" w:eastAsia="宋体" w:cs="Arial"/>
          <w:szCs w:val="21"/>
        </w:rPr>
      </w:pPr>
    </w:p>
    <w:p w14:paraId="589DF682">
      <w:pPr>
        <w:widowControl/>
        <w:jc w:val="left"/>
        <w:rPr>
          <w:rFonts w:ascii="Arial" w:hAnsi="Arial" w:eastAsia="宋体" w:cs="Arial"/>
          <w:szCs w:val="21"/>
        </w:rPr>
      </w:pPr>
      <w:r>
        <w:rPr>
          <w:rFonts w:ascii="Arial" w:hAnsi="Arial" w:eastAsia="宋体" w:cs="Arial"/>
          <w:szCs w:val="21"/>
        </w:rPr>
        <w:br w:type="page"/>
      </w:r>
    </w:p>
    <w:p w14:paraId="487D6834">
      <w:pPr>
        <w:snapToGrid w:val="0"/>
        <w:spacing w:line="300" w:lineRule="auto"/>
        <w:rPr>
          <w:rFonts w:ascii="Arial" w:hAnsi="Arial" w:eastAsia="宋体" w:cs="Arial"/>
          <w:szCs w:val="21"/>
        </w:rPr>
      </w:pPr>
      <w:r>
        <w:rPr>
          <w:rFonts w:ascii="Arial" w:hAnsi="Arial" w:eastAsia="宋体" w:cs="Arial"/>
          <w:szCs w:val="21"/>
        </w:rPr>
        <w:t>在510（k）提交资料中应包含足够详细的符合</w:t>
      </w:r>
      <w:r>
        <w:rPr>
          <w:rFonts w:ascii="Arial" w:hAnsi="Arial" w:eastAsia="宋体" w:cs="Arial"/>
          <w:color w:val="333333"/>
          <w:kern w:val="0"/>
          <w:szCs w:val="21"/>
          <w:lang w:val="en"/>
        </w:rPr>
        <w:t>21 CFR § 807.87</w:t>
      </w:r>
      <w:r>
        <w:rPr>
          <w:rFonts w:ascii="Arial" w:hAnsi="Arial" w:eastAsia="宋体" w:cs="Arial"/>
          <w:szCs w:val="21"/>
        </w:rPr>
        <w:t>（e）条款要求的标签。以下建议旨在帮助贵公司准备符合美国联邦法规</w:t>
      </w:r>
      <w:r>
        <w:rPr>
          <w:rFonts w:ascii="Arial" w:hAnsi="Arial" w:eastAsia="宋体" w:cs="Arial"/>
          <w:color w:val="333333"/>
          <w:kern w:val="0"/>
          <w:szCs w:val="21"/>
          <w:lang w:val="en"/>
        </w:rPr>
        <w:t>21 CFR</w:t>
      </w:r>
      <w:r>
        <w:rPr>
          <w:rFonts w:ascii="Arial" w:hAnsi="Arial" w:eastAsia="宋体" w:cs="Arial"/>
          <w:szCs w:val="21"/>
        </w:rPr>
        <w:t>第801部要求的标签。</w:t>
      </w:r>
    </w:p>
    <w:p w14:paraId="79D74303">
      <w:pPr>
        <w:snapToGrid w:val="0"/>
        <w:spacing w:line="300" w:lineRule="auto"/>
        <w:rPr>
          <w:rFonts w:ascii="Arial" w:hAnsi="Arial" w:eastAsia="宋体" w:cs="Arial"/>
          <w:szCs w:val="21"/>
        </w:rPr>
      </w:pPr>
    </w:p>
    <w:p w14:paraId="5AC135A8">
      <w:pPr>
        <w:snapToGrid w:val="0"/>
        <w:spacing w:line="300" w:lineRule="auto"/>
        <w:rPr>
          <w:rFonts w:ascii="Arial" w:hAnsi="Arial" w:eastAsia="宋体" w:cs="Arial"/>
          <w:b/>
          <w:szCs w:val="21"/>
        </w:rPr>
      </w:pPr>
      <w:r>
        <w:rPr>
          <w:rFonts w:ascii="Arial" w:hAnsi="Arial" w:eastAsia="宋体" w:cs="Arial"/>
          <w:b/>
          <w:szCs w:val="21"/>
        </w:rPr>
        <w:t>处方使用</w:t>
      </w:r>
    </w:p>
    <w:p w14:paraId="5A554209">
      <w:pPr>
        <w:snapToGrid w:val="0"/>
        <w:spacing w:line="300" w:lineRule="auto"/>
        <w:rPr>
          <w:rFonts w:ascii="Arial" w:hAnsi="Arial" w:eastAsia="宋体" w:cs="Arial"/>
          <w:szCs w:val="21"/>
        </w:rPr>
      </w:pPr>
    </w:p>
    <w:p w14:paraId="32E4DD92">
      <w:pPr>
        <w:snapToGrid w:val="0"/>
        <w:spacing w:line="300" w:lineRule="auto"/>
        <w:rPr>
          <w:rFonts w:ascii="Arial" w:hAnsi="Arial" w:eastAsia="宋体" w:cs="Arial"/>
          <w:szCs w:val="21"/>
        </w:rPr>
      </w:pPr>
      <w:r>
        <w:rPr>
          <w:rFonts w:ascii="Arial" w:hAnsi="Arial" w:eastAsia="宋体" w:cs="Arial"/>
          <w:szCs w:val="21"/>
        </w:rPr>
        <w:t>作为一种根据</w:t>
      </w:r>
      <w:r>
        <w:rPr>
          <w:rFonts w:ascii="Arial" w:hAnsi="Arial" w:eastAsia="宋体" w:cs="Arial"/>
          <w:color w:val="333333"/>
          <w:kern w:val="0"/>
          <w:szCs w:val="21"/>
          <w:lang w:val="en"/>
        </w:rPr>
        <w:t>1 CFR § 801.109</w:t>
      </w:r>
      <w:r>
        <w:rPr>
          <w:rFonts w:ascii="Arial" w:hAnsi="Arial" w:eastAsia="宋体" w:cs="Arial"/>
          <w:szCs w:val="21"/>
        </w:rPr>
        <w:t>条款的规定凭处方购买的器械，该器械享受配备傻瓜式用法说明豁免待遇。然而，根据21 CFR§807.87（e）条款的规定，我们期望看到明确而简洁的使用说明。在使用说明中应对具体器械的技术特性以及如何在患者身上使用该器械做出描述。在使用说明中应鼓励举办为使用户熟悉该器械的特性以及熟悉如何以安全、有效的方式使用该器械而设计的培训项目。</w:t>
      </w:r>
    </w:p>
    <w:p w14:paraId="277C113E">
      <w:pPr>
        <w:snapToGrid w:val="0"/>
        <w:spacing w:line="300" w:lineRule="auto"/>
        <w:rPr>
          <w:rFonts w:ascii="Arial" w:hAnsi="Arial" w:eastAsia="宋体" w:cs="Arial"/>
          <w:szCs w:val="21"/>
        </w:rPr>
      </w:pPr>
    </w:p>
    <w:p w14:paraId="792E74B2">
      <w:pPr>
        <w:snapToGrid w:val="0"/>
        <w:spacing w:line="300" w:lineRule="auto"/>
        <w:rPr>
          <w:rFonts w:ascii="Arial" w:hAnsi="Arial" w:eastAsia="宋体" w:cs="Arial"/>
          <w:b/>
          <w:szCs w:val="21"/>
        </w:rPr>
      </w:pPr>
      <w:r>
        <w:rPr>
          <w:rFonts w:ascii="Arial" w:hAnsi="Arial" w:eastAsia="宋体" w:cs="Arial"/>
          <w:b/>
          <w:szCs w:val="21"/>
        </w:rPr>
        <w:t>使用说明</w:t>
      </w:r>
    </w:p>
    <w:p w14:paraId="10B7F96D">
      <w:pPr>
        <w:snapToGrid w:val="0"/>
        <w:spacing w:line="300" w:lineRule="auto"/>
        <w:rPr>
          <w:rFonts w:ascii="Arial" w:hAnsi="Arial" w:eastAsia="宋体" w:cs="Arial"/>
          <w:szCs w:val="21"/>
        </w:rPr>
      </w:pPr>
    </w:p>
    <w:p w14:paraId="089D4203">
      <w:pPr>
        <w:snapToGrid w:val="0"/>
        <w:spacing w:line="300" w:lineRule="auto"/>
        <w:rPr>
          <w:rFonts w:ascii="Arial" w:hAnsi="Arial" w:eastAsia="宋体" w:cs="Arial"/>
          <w:szCs w:val="21"/>
        </w:rPr>
      </w:pPr>
      <w:r>
        <w:rPr>
          <w:rFonts w:ascii="Arial" w:hAnsi="Arial" w:eastAsia="宋体" w:cs="Arial"/>
          <w:szCs w:val="21"/>
        </w:rPr>
        <w:t>我们建议在使用说明中包含：</w:t>
      </w:r>
    </w:p>
    <w:p w14:paraId="652ADE27">
      <w:pPr>
        <w:snapToGrid w:val="0"/>
        <w:spacing w:line="300" w:lineRule="auto"/>
        <w:rPr>
          <w:rFonts w:ascii="Arial" w:hAnsi="Arial" w:eastAsia="宋体" w:cs="Arial"/>
          <w:szCs w:val="21"/>
        </w:rPr>
      </w:pPr>
    </w:p>
    <w:p w14:paraId="19EDE4B5">
      <w:pPr>
        <w:pStyle w:val="12"/>
        <w:numPr>
          <w:ilvl w:val="0"/>
          <w:numId w:val="18"/>
        </w:numPr>
        <w:snapToGrid w:val="0"/>
        <w:spacing w:line="300" w:lineRule="auto"/>
        <w:ind w:firstLineChars="0"/>
        <w:rPr>
          <w:rFonts w:ascii="Arial" w:hAnsi="Arial" w:eastAsia="宋体" w:cs="Arial"/>
          <w:szCs w:val="21"/>
        </w:rPr>
      </w:pPr>
      <w:r>
        <w:rPr>
          <w:rFonts w:ascii="Arial" w:hAnsi="Arial" w:eastAsia="宋体" w:cs="Arial"/>
          <w:szCs w:val="21"/>
        </w:rPr>
        <w:t>栓塞输送导管的最小和最大内径</w:t>
      </w:r>
    </w:p>
    <w:p w14:paraId="76445D0D">
      <w:pPr>
        <w:pStyle w:val="12"/>
        <w:numPr>
          <w:ilvl w:val="0"/>
          <w:numId w:val="18"/>
        </w:numPr>
        <w:snapToGrid w:val="0"/>
        <w:spacing w:line="300" w:lineRule="auto"/>
        <w:ind w:firstLineChars="0"/>
        <w:rPr>
          <w:rFonts w:ascii="Arial" w:hAnsi="Arial" w:eastAsia="宋体" w:cs="Arial"/>
          <w:szCs w:val="21"/>
        </w:rPr>
      </w:pPr>
      <w:r>
        <w:rPr>
          <w:rFonts w:ascii="Arial" w:hAnsi="Arial" w:eastAsia="宋体" w:cs="Arial"/>
          <w:szCs w:val="21"/>
        </w:rPr>
        <w:t>关于您的器械使用的任何造影剂和冲洗剂的信息</w:t>
      </w:r>
    </w:p>
    <w:p w14:paraId="40A86282">
      <w:pPr>
        <w:pStyle w:val="12"/>
        <w:numPr>
          <w:ilvl w:val="0"/>
          <w:numId w:val="18"/>
        </w:numPr>
        <w:snapToGrid w:val="0"/>
        <w:spacing w:line="300" w:lineRule="auto"/>
        <w:ind w:firstLineChars="0"/>
        <w:rPr>
          <w:rFonts w:ascii="Arial" w:hAnsi="Arial" w:eastAsia="宋体" w:cs="Arial"/>
          <w:szCs w:val="21"/>
        </w:rPr>
      </w:pPr>
      <w:r>
        <w:rPr>
          <w:rFonts w:ascii="Arial" w:hAnsi="Arial" w:eastAsia="宋体" w:cs="Arial"/>
          <w:szCs w:val="21"/>
        </w:rPr>
        <w:t>对于可拆卸球囊，球囊破裂所需的压力以及最大扩张压力和容积参数。</w:t>
      </w:r>
    </w:p>
    <w:p w14:paraId="1A5A353A">
      <w:pPr>
        <w:snapToGrid w:val="0"/>
        <w:spacing w:line="300" w:lineRule="auto"/>
        <w:rPr>
          <w:rFonts w:ascii="Arial" w:hAnsi="Arial" w:eastAsia="宋体" w:cs="Arial"/>
          <w:szCs w:val="21"/>
        </w:rPr>
      </w:pPr>
    </w:p>
    <w:p w14:paraId="70457DB8">
      <w:pPr>
        <w:widowControl/>
        <w:snapToGrid w:val="0"/>
        <w:spacing w:line="300" w:lineRule="auto"/>
        <w:jc w:val="left"/>
        <w:rPr>
          <w:rFonts w:ascii="Arial" w:hAnsi="Arial" w:eastAsia="宋体" w:cs="Arial"/>
          <w:color w:val="0000FF"/>
          <w:kern w:val="0"/>
          <w:szCs w:val="21"/>
          <w:lang w:val="en"/>
        </w:rPr>
      </w:pPr>
      <w:r>
        <w:fldChar w:fldCharType="begin"/>
      </w:r>
      <w:r>
        <w:instrText xml:space="preserve"> HYPERLINK "https://www.fda.gov/MedicalDevices/DeviceRegulationandGuidance/GuidanceDocuments/ucm072013.htm" \l "top" </w:instrText>
      </w:r>
      <w:r>
        <w:fldChar w:fldCharType="separate"/>
      </w:r>
      <w:r>
        <w:rPr>
          <w:rFonts w:ascii="Arial" w:hAnsi="Arial" w:eastAsia="宋体" w:cs="Arial"/>
          <w:color w:val="0000FF"/>
          <w:kern w:val="0"/>
          <w:szCs w:val="21"/>
          <w:lang w:val="en"/>
        </w:rPr>
        <w:t>返回顶部</w:t>
      </w:r>
      <w:r>
        <w:rPr>
          <w:rFonts w:ascii="Arial" w:hAnsi="Arial" w:eastAsia="宋体" w:cs="Arial"/>
          <w:color w:val="0000FF"/>
          <w:kern w:val="0"/>
          <w:szCs w:val="21"/>
          <w:lang w:val="en"/>
        </w:rPr>
        <w:fldChar w:fldCharType="end"/>
      </w:r>
    </w:p>
    <w:p w14:paraId="13B012D0">
      <w:pPr>
        <w:snapToGrid w:val="0"/>
        <w:spacing w:line="300" w:lineRule="auto"/>
        <w:rPr>
          <w:rFonts w:ascii="Arial" w:hAnsi="Arial" w:eastAsia="宋体" w:cs="Arial"/>
          <w:szCs w:val="21"/>
          <w:vertAlign w:val="superscript"/>
        </w:rPr>
      </w:pPr>
      <w:r>
        <w:rPr>
          <w:rFonts w:ascii="Arial" w:hAnsi="Arial" w:eastAsia="宋体" w:cs="Arial"/>
          <w:szCs w:val="21"/>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173355</wp:posOffset>
                </wp:positionV>
                <wp:extent cx="5287645" cy="0"/>
                <wp:effectExtent l="0" t="0" r="27305" b="19050"/>
                <wp:wrapNone/>
                <wp:docPr id="14" name="直接连接符 14"/>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13.65pt;height:0pt;width:416.35pt;z-index:251670528;mso-width-relative:page;mso-height-relative:page;" filled="f" stroked="t" coordsize="21600,21600" o:gfxdata="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wMU20gAA&#10;AAcBAAAPAAAAAAAAAAEAIAAAACIAAABkcnMvZG93bnJldi54bWxQSwECFAAUAAAACACHTuJAt/EX&#10;3OsBAAC/AwAADgAAAAAAAAABACAAAAAhAQAAZHJzL2Uyb0RvYy54bWxQSwUGAAAAAAYABgBZAQAA&#10;fgUAAAAA&#10;">
                <v:fill on="f" focussize="0,0"/>
                <v:stroke weight="1.5pt" color="#808080 [1612]" joinstyle="round"/>
                <v:imagedata o:title=""/>
                <o:lock v:ext="edit" aspectratio="f"/>
              </v:line>
            </w:pict>
          </mc:Fallback>
        </mc:AlternateContent>
      </w:r>
    </w:p>
    <w:p w14:paraId="13B6D0AF">
      <w:pPr>
        <w:snapToGrid w:val="0"/>
        <w:spacing w:line="300" w:lineRule="auto"/>
        <w:rPr>
          <w:rFonts w:ascii="Arial" w:hAnsi="Arial" w:eastAsia="宋体" w:cs="Arial"/>
          <w:szCs w:val="21"/>
          <w:vertAlign w:val="superscript"/>
        </w:rPr>
      </w:pPr>
    </w:p>
    <w:p w14:paraId="41FE1BBE">
      <w:pPr>
        <w:snapToGrid w:val="0"/>
        <w:spacing w:line="300" w:lineRule="auto"/>
        <w:rPr>
          <w:rFonts w:ascii="Arial" w:hAnsi="Arial" w:eastAsia="宋体" w:cs="Arial"/>
          <w:szCs w:val="21"/>
        </w:rPr>
      </w:pPr>
      <w:r>
        <w:rPr>
          <w:rFonts w:ascii="Arial" w:hAnsi="Arial" w:eastAsia="宋体" w:cs="Arial"/>
          <w:szCs w:val="21"/>
          <w:vertAlign w:val="superscript"/>
        </w:rPr>
        <w:t>1</w:t>
      </w:r>
      <w:r>
        <w:rPr>
          <w:rFonts w:ascii="Arial" w:hAnsi="Arial" w:eastAsia="宋体" w:cs="Arial"/>
          <w:szCs w:val="21"/>
        </w:rPr>
        <w:t>推荐格式参见：</w:t>
      </w:r>
      <w:r>
        <w:rPr>
          <w:rFonts w:ascii="Arial" w:hAnsi="Arial" w:eastAsia="宋体" w:cs="Arial"/>
          <w:color w:val="0000FF"/>
          <w:szCs w:val="21"/>
        </w:rPr>
        <w:t>适应症表</w:t>
      </w:r>
      <w:r>
        <w:rPr>
          <w:rFonts w:ascii="Arial" w:hAnsi="Arial" w:eastAsia="宋体" w:cs="Arial"/>
          <w:szCs w:val="21"/>
        </w:rPr>
        <w:t>（PDF文件大小：1.03MB）。</w:t>
      </w:r>
    </w:p>
    <w:p w14:paraId="27FBF105">
      <w:pPr>
        <w:snapToGrid w:val="0"/>
        <w:spacing w:line="300" w:lineRule="auto"/>
        <w:rPr>
          <w:rFonts w:ascii="Arial" w:hAnsi="Arial" w:eastAsia="宋体" w:cs="Arial"/>
          <w:szCs w:val="21"/>
        </w:rPr>
      </w:pPr>
      <w:r>
        <w:rPr>
          <w:rFonts w:ascii="Arial" w:hAnsi="Arial" w:eastAsia="宋体" w:cs="Arial"/>
          <w:szCs w:val="21"/>
          <w:vertAlign w:val="superscript"/>
        </w:rPr>
        <w:t>2</w:t>
      </w:r>
      <w:r>
        <w:rPr>
          <w:rFonts w:ascii="Arial" w:hAnsi="Arial" w:eastAsia="宋体" w:cs="Arial"/>
          <w:szCs w:val="21"/>
        </w:rPr>
        <w:t>如果FDA根据验收标准做出实质等同测定，将送审器械引入洲际贸易前应对其进行测试，测试结果应表明送审器械符合这些验收标准。如果成品器械不符合验收标准并因此不同于已获许可510（k）提交资料所描述的器械，FDA建议申请人采用与评估合法上市器械更改相同的标准（21 CFR §807.81（a）（3）条款）确定上市成品器械是否需要新的510（k）许可。</w:t>
      </w:r>
    </w:p>
    <w:p w14:paraId="5E6F4DA2">
      <w:pPr>
        <w:snapToGrid w:val="0"/>
        <w:spacing w:line="300" w:lineRule="auto"/>
        <w:rPr>
          <w:rFonts w:ascii="Arial" w:hAnsi="Arial" w:eastAsia="宋体" w:cs="Arial"/>
          <w:szCs w:val="21"/>
        </w:rPr>
      </w:pPr>
      <w:r>
        <w:rPr>
          <w:rFonts w:ascii="Arial" w:hAnsi="Arial" w:eastAsia="宋体" w:cs="Arial"/>
          <w:szCs w:val="21"/>
          <w:vertAlign w:val="superscript"/>
        </w:rPr>
        <w:t>3</w:t>
      </w:r>
      <w:r>
        <w:rPr>
          <w:rFonts w:ascii="Arial" w:hAnsi="Arial" w:eastAsia="宋体" w:cs="Arial"/>
          <w:szCs w:val="21"/>
        </w:rPr>
        <w:t>参见</w:t>
      </w:r>
      <w:r>
        <w:rPr>
          <w:rFonts w:ascii="Arial" w:hAnsi="Arial" w:eastAsia="宋体" w:cs="Arial"/>
          <w:color w:val="0000FF"/>
          <w:szCs w:val="21"/>
        </w:rPr>
        <w:t>符合公认标准声明的必需要素</w:t>
      </w:r>
      <w:r>
        <w:rPr>
          <w:rFonts w:ascii="Arial" w:hAnsi="Arial" w:eastAsia="宋体" w:cs="Arial"/>
          <w:szCs w:val="21"/>
        </w:rPr>
        <w:t>（所有上市前通告510（k）提交资料筛选检查表）。</w:t>
      </w:r>
    </w:p>
    <w:p w14:paraId="552BA8F4">
      <w:pPr>
        <w:snapToGrid w:val="0"/>
        <w:spacing w:line="300" w:lineRule="auto"/>
        <w:rPr>
          <w:rFonts w:ascii="Arial" w:hAnsi="Arial" w:eastAsia="宋体" w:cs="Arial"/>
          <w:szCs w:val="21"/>
        </w:rPr>
      </w:pPr>
      <w:r>
        <w:rPr>
          <w:rFonts w:ascii="Arial" w:hAnsi="Arial" w:eastAsia="宋体" w:cs="Arial"/>
          <w:szCs w:val="21"/>
          <w:vertAlign w:val="superscript"/>
        </w:rPr>
        <w:t>4</w:t>
      </w:r>
      <w:r>
        <w:rPr>
          <w:rFonts w:ascii="Arial" w:hAnsi="Arial" w:eastAsia="宋体" w:cs="Arial"/>
          <w:szCs w:val="21"/>
        </w:rPr>
        <w:t>参见题为</w:t>
      </w:r>
      <w:r>
        <w:rPr>
          <w:rFonts w:hint="eastAsia" w:ascii="Arial" w:hAnsi="Arial" w:eastAsia="宋体" w:cs="Arial"/>
          <w:szCs w:val="21"/>
        </w:rPr>
        <w:t>《</w:t>
      </w:r>
      <w:r>
        <w:rPr>
          <w:rFonts w:ascii="Arial" w:hAnsi="Arial" w:eastAsia="宋体" w:cs="Arial"/>
          <w:color w:val="0000FF"/>
          <w:szCs w:val="21"/>
        </w:rPr>
        <w:t>医疗器械的重大风险和非重大风险研究</w:t>
      </w:r>
      <w:r>
        <w:rPr>
          <w:rFonts w:hint="eastAsia" w:ascii="Arial" w:hAnsi="Arial" w:eastAsia="宋体" w:cs="Arial"/>
          <w:szCs w:val="21"/>
        </w:rPr>
        <w:t>》</w:t>
      </w:r>
      <w:r>
        <w:rPr>
          <w:rFonts w:ascii="Arial" w:hAnsi="Arial" w:eastAsia="宋体" w:cs="Arial"/>
          <w:szCs w:val="21"/>
        </w:rPr>
        <w:t>蓝皮书备忘录。</w:t>
      </w:r>
    </w:p>
    <w:p w14:paraId="0F081B34">
      <w:pPr>
        <w:snapToGrid w:val="0"/>
        <w:spacing w:line="300" w:lineRule="auto"/>
        <w:rPr>
          <w:rFonts w:ascii="Arial" w:hAnsi="Arial" w:eastAsia="宋体" w:cs="Arial"/>
          <w:szCs w:val="21"/>
        </w:rPr>
      </w:pPr>
      <w:r>
        <w:rPr>
          <w:rFonts w:ascii="Arial" w:hAnsi="Arial" w:eastAsia="宋体" w:cs="Arial"/>
          <w:szCs w:val="21"/>
          <w:vertAlign w:val="superscript"/>
        </w:rPr>
        <w:t>5</w:t>
      </w:r>
      <w:r>
        <w:rPr>
          <w:rFonts w:ascii="Arial" w:hAnsi="Arial" w:eastAsia="宋体" w:cs="Arial"/>
          <w:szCs w:val="21"/>
        </w:rPr>
        <w:t>尽管510（k）许可不要求最终标签，但在将一种医疗器械引入洲际贸易前，最终标签必须遵循21 CFR第801部的要求。另外，处方医疗器械的最终标签必须遵循21 CFR第21篇§ 801.109的规定。本指导性文件中的标签推荐规范与第801部的要求一致。</w:t>
      </w:r>
    </w:p>
    <w:p w14:paraId="009C1D40">
      <w:pPr>
        <w:snapToGrid w:val="0"/>
        <w:spacing w:line="300" w:lineRule="auto"/>
        <w:rPr>
          <w:rFonts w:ascii="Arial" w:hAnsi="Arial" w:eastAsia="宋体" w:cs="Arial"/>
          <w:szCs w:val="21"/>
        </w:rPr>
      </w:pPr>
    </w:p>
    <w:p w14:paraId="1B304DC2">
      <w:pPr>
        <w:widowControl/>
        <w:jc w:val="left"/>
        <w:rPr>
          <w:rFonts w:ascii="Arial" w:hAnsi="Arial" w:eastAsia="宋体" w:cs="Arial"/>
          <w:szCs w:val="21"/>
        </w:rPr>
      </w:pPr>
      <w:r>
        <w:rPr>
          <w:rFonts w:ascii="Arial" w:hAnsi="Arial" w:eastAsia="宋体" w:cs="Arial"/>
          <w:szCs w:val="21"/>
        </w:rPr>
        <w:br w:type="page"/>
      </w:r>
    </w:p>
    <w:p w14:paraId="7FCA8F4E">
      <w:pPr>
        <w:snapToGrid w:val="0"/>
        <w:spacing w:line="300" w:lineRule="auto"/>
        <w:rPr>
          <w:rFonts w:ascii="Arial" w:hAnsi="Arial" w:eastAsia="宋体" w:cs="Arial"/>
          <w:szCs w:val="21"/>
          <w:lang w:val="en"/>
        </w:rPr>
      </w:pPr>
      <w:r>
        <w:fldChar w:fldCharType="begin"/>
      </w:r>
      <w:r>
        <w:instrText xml:space="preserve"> HYPERLINK "https://www.fda.gov/MedicalDevices/DeviceRegulationandGuidance/GuidanceDocuments/ucm072013.htm" \l "top" </w:instrText>
      </w:r>
      <w:r>
        <w:fldChar w:fldCharType="separate"/>
      </w:r>
      <w:r>
        <w:rPr>
          <w:rStyle w:val="8"/>
          <w:rFonts w:ascii="Arial" w:hAnsi="Arial" w:eastAsia="宋体" w:cs="Arial"/>
          <w:szCs w:val="21"/>
          <w:u w:val="none"/>
          <w:lang w:val="en"/>
        </w:rPr>
        <w:t>返回顶部</w:t>
      </w:r>
      <w:r>
        <w:rPr>
          <w:rStyle w:val="8"/>
          <w:rFonts w:ascii="Arial" w:hAnsi="Arial" w:eastAsia="宋体" w:cs="Arial"/>
          <w:szCs w:val="21"/>
          <w:u w:val="none"/>
          <w:lang w:val="en"/>
        </w:rPr>
        <w:fldChar w:fldCharType="end"/>
      </w:r>
    </w:p>
    <w:p w14:paraId="4571214B">
      <w:pPr>
        <w:snapToGrid w:val="0"/>
        <w:spacing w:line="300" w:lineRule="auto"/>
        <w:rPr>
          <w:rFonts w:ascii="Arial" w:hAnsi="Arial" w:eastAsia="宋体" w:cs="Arial"/>
          <w:szCs w:val="21"/>
        </w:rPr>
      </w:pPr>
    </w:p>
    <w:p w14:paraId="0E1C7C94">
      <w:pPr>
        <w:snapToGrid w:val="0"/>
        <w:spacing w:line="300" w:lineRule="auto"/>
        <w:rPr>
          <w:rFonts w:ascii="Arial" w:hAnsi="Arial" w:eastAsia="宋体" w:cs="Arial"/>
          <w:szCs w:val="21"/>
        </w:rPr>
      </w:pPr>
      <w:r>
        <w:rPr>
          <w:rFonts w:ascii="Arial" w:hAnsi="Arial" w:eastAsia="宋体" w:cs="Arial"/>
          <w:szCs w:val="21"/>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-635</wp:posOffset>
                </wp:positionV>
                <wp:extent cx="5287645" cy="0"/>
                <wp:effectExtent l="0" t="0" r="27305" b="19050"/>
                <wp:wrapNone/>
                <wp:docPr id="15" name="直接连接符 15"/>
                <wp:cNvGraphicFramePr/>
                <a:graphic xmlns:a="http://schemas.openxmlformats.org/drawingml/2006/main">
                  <a:graphicData uri="http://schemas.microsoft.com/office/word/2010/wordprocessingShape">
                    <wps:wsp>
                      <wps:cNvCnPr/>
                      <wps:spPr>
                        <a:xfrm>
                          <a:off x="0" y="0"/>
                          <a:ext cx="5287645"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0.05pt;height:0pt;width:416.35pt;z-index:251671552;mso-width-relative:page;mso-height-relative:page;" filled="f" stroked="t" coordsize="21600,21600" o:gfxdata="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N8+l9AAAAAE&#10;AQAADwAAAAAAAAABACAAAAAiAAAAZHJzL2Rvd25yZXYueG1sUEsBAhQAFAAAAAgAh07iQJucpZHr&#10;AQAAvwMAAA4AAAAAAAAAAQAgAAAAHwEAAGRycy9lMm9Eb2MueG1sUEsFBgAAAAAGAAYAWQEAAHwF&#10;AAAAAA==&#10;">
                <v:fill on="f" focussize="0,0"/>
                <v:stroke weight="1.5pt" color="#808080 [1612]" joinstyle="round"/>
                <v:imagedata o:title=""/>
                <o:lock v:ext="edit" aspectratio="f"/>
              </v:line>
            </w:pict>
          </mc:Fallback>
        </mc:AlternateContent>
      </w:r>
    </w:p>
    <w:p w14:paraId="710082E4">
      <w:pPr>
        <w:snapToGrid w:val="0"/>
        <w:spacing w:line="300" w:lineRule="auto"/>
        <w:rPr>
          <w:rFonts w:ascii="Arial" w:hAnsi="Arial" w:eastAsia="宋体" w:cs="Arial"/>
          <w:szCs w:val="21"/>
        </w:rPr>
      </w:pPr>
      <w:r>
        <w:rPr>
          <w:rFonts w:ascii="Arial" w:hAnsi="Arial" w:eastAsia="宋体" w:cs="Arial"/>
          <w:szCs w:val="21"/>
        </w:rPr>
        <w:t>https://www.fda.gov/MedicalDevices/DeviceRegulationandGuidance/GuidanceDocuments/ucm072013.htm</w:t>
      </w:r>
    </w:p>
    <w:p w14:paraId="7FFC768E">
      <w:pPr>
        <w:snapToGrid w:val="0"/>
        <w:spacing w:line="300" w:lineRule="auto"/>
        <w:rPr>
          <w:rFonts w:ascii="Arial" w:hAnsi="Arial" w:eastAsia="宋体" w:cs="Arial"/>
          <w:szCs w:val="21"/>
        </w:rPr>
      </w:pPr>
    </w:p>
    <w:p w14:paraId="25FE9BBC">
      <w:pPr>
        <w:snapToGrid w:val="0"/>
        <w:spacing w:line="300" w:lineRule="auto"/>
        <w:rPr>
          <w:rFonts w:ascii="Arial" w:hAnsi="Arial" w:eastAsia="宋体" w:cs="Arial"/>
          <w:szCs w:val="21"/>
        </w:rPr>
      </w:pPr>
    </w:p>
    <w:p w14:paraId="6C1ED654">
      <w:pPr>
        <w:snapToGrid w:val="0"/>
        <w:spacing w:line="300" w:lineRule="auto"/>
        <w:jc w:val="center"/>
        <w:rPr>
          <w:rFonts w:hint="eastAsia" w:eastAsia="宋体"/>
          <w:lang w:eastAsia="zh-CN"/>
        </w:rPr>
      </w:pPr>
    </w:p>
    <w:p w14:paraId="30FB6A03">
      <w:pPr>
        <w:snapToGrid w:val="0"/>
        <w:spacing w:line="300" w:lineRule="auto"/>
        <w:jc w:val="center"/>
        <w:rPr>
          <w:rFonts w:hint="eastAsia" w:eastAsia="宋体"/>
          <w:lang w:eastAsia="zh-CN"/>
        </w:rPr>
      </w:pPr>
    </w:p>
    <w:p w14:paraId="28820C04">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91042"/>
    <w:multiLevelType w:val="multilevel"/>
    <w:tmpl w:val="14C910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BFC0E2B"/>
    <w:multiLevelType w:val="multilevel"/>
    <w:tmpl w:val="2BFC0E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732DF9"/>
    <w:multiLevelType w:val="multilevel"/>
    <w:tmpl w:val="2E732DF9"/>
    <w:lvl w:ilvl="0" w:tentative="0">
      <w:start w:val="1"/>
      <w:numFmt w:val="bullet"/>
      <w:lvlText w:val=""/>
      <w:lvlJc w:val="left"/>
      <w:pPr>
        <w:ind w:left="390" w:hanging="420"/>
      </w:pPr>
      <w:rPr>
        <w:rFonts w:hint="default" w:ascii="Wingdings" w:hAnsi="Wingdings"/>
      </w:rPr>
    </w:lvl>
    <w:lvl w:ilvl="1" w:tentative="0">
      <w:start w:val="1"/>
      <w:numFmt w:val="bullet"/>
      <w:lvlText w:val=""/>
      <w:lvlJc w:val="left"/>
      <w:pPr>
        <w:ind w:left="810" w:hanging="420"/>
      </w:pPr>
      <w:rPr>
        <w:rFonts w:hint="default" w:ascii="Wingdings" w:hAnsi="Wingdings"/>
      </w:rPr>
    </w:lvl>
    <w:lvl w:ilvl="2" w:tentative="0">
      <w:start w:val="1"/>
      <w:numFmt w:val="bullet"/>
      <w:lvlText w:val=""/>
      <w:lvlJc w:val="left"/>
      <w:pPr>
        <w:ind w:left="1230" w:hanging="420"/>
      </w:pPr>
      <w:rPr>
        <w:rFonts w:hint="default" w:ascii="Wingdings" w:hAnsi="Wingdings"/>
      </w:rPr>
    </w:lvl>
    <w:lvl w:ilvl="3" w:tentative="0">
      <w:start w:val="1"/>
      <w:numFmt w:val="bullet"/>
      <w:lvlText w:val=""/>
      <w:lvlJc w:val="left"/>
      <w:pPr>
        <w:ind w:left="1650" w:hanging="420"/>
      </w:pPr>
      <w:rPr>
        <w:rFonts w:hint="default" w:ascii="Wingdings" w:hAnsi="Wingdings"/>
      </w:rPr>
    </w:lvl>
    <w:lvl w:ilvl="4" w:tentative="0">
      <w:start w:val="1"/>
      <w:numFmt w:val="bullet"/>
      <w:lvlText w:val=""/>
      <w:lvlJc w:val="left"/>
      <w:pPr>
        <w:ind w:left="2070" w:hanging="420"/>
      </w:pPr>
      <w:rPr>
        <w:rFonts w:hint="default" w:ascii="Wingdings" w:hAnsi="Wingdings"/>
      </w:rPr>
    </w:lvl>
    <w:lvl w:ilvl="5" w:tentative="0">
      <w:start w:val="1"/>
      <w:numFmt w:val="bullet"/>
      <w:lvlText w:val=""/>
      <w:lvlJc w:val="left"/>
      <w:pPr>
        <w:ind w:left="2490" w:hanging="420"/>
      </w:pPr>
      <w:rPr>
        <w:rFonts w:hint="default" w:ascii="Wingdings" w:hAnsi="Wingdings"/>
      </w:rPr>
    </w:lvl>
    <w:lvl w:ilvl="6" w:tentative="0">
      <w:start w:val="1"/>
      <w:numFmt w:val="bullet"/>
      <w:lvlText w:val=""/>
      <w:lvlJc w:val="left"/>
      <w:pPr>
        <w:ind w:left="2910" w:hanging="420"/>
      </w:pPr>
      <w:rPr>
        <w:rFonts w:hint="default" w:ascii="Wingdings" w:hAnsi="Wingdings"/>
      </w:rPr>
    </w:lvl>
    <w:lvl w:ilvl="7" w:tentative="0">
      <w:start w:val="1"/>
      <w:numFmt w:val="bullet"/>
      <w:lvlText w:val=""/>
      <w:lvlJc w:val="left"/>
      <w:pPr>
        <w:ind w:left="3330" w:hanging="420"/>
      </w:pPr>
      <w:rPr>
        <w:rFonts w:hint="default" w:ascii="Wingdings" w:hAnsi="Wingdings"/>
      </w:rPr>
    </w:lvl>
    <w:lvl w:ilvl="8" w:tentative="0">
      <w:start w:val="1"/>
      <w:numFmt w:val="bullet"/>
      <w:lvlText w:val=""/>
      <w:lvlJc w:val="left"/>
      <w:pPr>
        <w:ind w:left="3750" w:hanging="420"/>
      </w:pPr>
      <w:rPr>
        <w:rFonts w:hint="default" w:ascii="Wingdings" w:hAnsi="Wingdings"/>
      </w:rPr>
    </w:lvl>
  </w:abstractNum>
  <w:abstractNum w:abstractNumId="3">
    <w:nsid w:val="2EB23054"/>
    <w:multiLevelType w:val="multilevel"/>
    <w:tmpl w:val="2EB23054"/>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58075F"/>
    <w:multiLevelType w:val="multilevel"/>
    <w:tmpl w:val="2F58075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37B3055"/>
    <w:multiLevelType w:val="multilevel"/>
    <w:tmpl w:val="337B30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65C20A6"/>
    <w:multiLevelType w:val="multilevel"/>
    <w:tmpl w:val="365C20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4B87D4C"/>
    <w:multiLevelType w:val="multilevel"/>
    <w:tmpl w:val="44B87D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5D25797"/>
    <w:multiLevelType w:val="multilevel"/>
    <w:tmpl w:val="45D257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77049BC"/>
    <w:multiLevelType w:val="multilevel"/>
    <w:tmpl w:val="477049BC"/>
    <w:lvl w:ilvl="0" w:tentative="0">
      <w:start w:val="1"/>
      <w:numFmt w:val="bullet"/>
      <w:lvlText w:val="○"/>
      <w:lvlJc w:val="left"/>
      <w:pPr>
        <w:ind w:left="39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4B976E9"/>
    <w:multiLevelType w:val="multilevel"/>
    <w:tmpl w:val="54B976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6B51A40"/>
    <w:multiLevelType w:val="multilevel"/>
    <w:tmpl w:val="56B51A4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72C72F6"/>
    <w:multiLevelType w:val="multilevel"/>
    <w:tmpl w:val="572C72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9291963"/>
    <w:multiLevelType w:val="multilevel"/>
    <w:tmpl w:val="692919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C5676FC"/>
    <w:multiLevelType w:val="multilevel"/>
    <w:tmpl w:val="6C5676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14365DA"/>
    <w:multiLevelType w:val="multilevel"/>
    <w:tmpl w:val="714365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4554087"/>
    <w:multiLevelType w:val="multilevel"/>
    <w:tmpl w:val="7455408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A28158D"/>
    <w:multiLevelType w:val="multilevel"/>
    <w:tmpl w:val="7A28158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9"/>
  </w:num>
  <w:num w:numId="3">
    <w:abstractNumId w:val="12"/>
  </w:num>
  <w:num w:numId="4">
    <w:abstractNumId w:val="3"/>
  </w:num>
  <w:num w:numId="5">
    <w:abstractNumId w:val="1"/>
  </w:num>
  <w:num w:numId="6">
    <w:abstractNumId w:val="4"/>
  </w:num>
  <w:num w:numId="7">
    <w:abstractNumId w:val="15"/>
  </w:num>
  <w:num w:numId="8">
    <w:abstractNumId w:val="7"/>
  </w:num>
  <w:num w:numId="9">
    <w:abstractNumId w:val="0"/>
  </w:num>
  <w:num w:numId="10">
    <w:abstractNumId w:val="11"/>
  </w:num>
  <w:num w:numId="11">
    <w:abstractNumId w:val="14"/>
  </w:num>
  <w:num w:numId="12">
    <w:abstractNumId w:val="16"/>
  </w:num>
  <w:num w:numId="13">
    <w:abstractNumId w:val="8"/>
  </w:num>
  <w:num w:numId="14">
    <w:abstractNumId w:val="13"/>
  </w:num>
  <w:num w:numId="15">
    <w:abstractNumId w:val="10"/>
  </w:num>
  <w:num w:numId="16">
    <w:abstractNumId w:val="5"/>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A4"/>
    <w:rsid w:val="000014DA"/>
    <w:rsid w:val="0001343B"/>
    <w:rsid w:val="00060964"/>
    <w:rsid w:val="000609EB"/>
    <w:rsid w:val="0009142E"/>
    <w:rsid w:val="000A1A94"/>
    <w:rsid w:val="000C2EC7"/>
    <w:rsid w:val="000D3341"/>
    <w:rsid w:val="00101847"/>
    <w:rsid w:val="001151DB"/>
    <w:rsid w:val="00121995"/>
    <w:rsid w:val="00133D0F"/>
    <w:rsid w:val="00134407"/>
    <w:rsid w:val="00136FD8"/>
    <w:rsid w:val="001424FA"/>
    <w:rsid w:val="00150208"/>
    <w:rsid w:val="0015440F"/>
    <w:rsid w:val="001548F9"/>
    <w:rsid w:val="00155401"/>
    <w:rsid w:val="0015672D"/>
    <w:rsid w:val="00164B88"/>
    <w:rsid w:val="001674B7"/>
    <w:rsid w:val="001678AC"/>
    <w:rsid w:val="00173016"/>
    <w:rsid w:val="00176672"/>
    <w:rsid w:val="00177A39"/>
    <w:rsid w:val="00180583"/>
    <w:rsid w:val="00187CEE"/>
    <w:rsid w:val="0019743D"/>
    <w:rsid w:val="001C0433"/>
    <w:rsid w:val="001C291A"/>
    <w:rsid w:val="001C2934"/>
    <w:rsid w:val="001C7102"/>
    <w:rsid w:val="001E79C7"/>
    <w:rsid w:val="001F4AEA"/>
    <w:rsid w:val="00201CD8"/>
    <w:rsid w:val="002071CB"/>
    <w:rsid w:val="002102CC"/>
    <w:rsid w:val="00210C19"/>
    <w:rsid w:val="00210EF8"/>
    <w:rsid w:val="00221684"/>
    <w:rsid w:val="002247A1"/>
    <w:rsid w:val="00237C02"/>
    <w:rsid w:val="002457FB"/>
    <w:rsid w:val="002577F3"/>
    <w:rsid w:val="0029160C"/>
    <w:rsid w:val="00294D9D"/>
    <w:rsid w:val="002A0BB0"/>
    <w:rsid w:val="002A4D43"/>
    <w:rsid w:val="002C1118"/>
    <w:rsid w:val="002C2E48"/>
    <w:rsid w:val="002D06CF"/>
    <w:rsid w:val="002E2AC5"/>
    <w:rsid w:val="002E4D29"/>
    <w:rsid w:val="00303C54"/>
    <w:rsid w:val="00313FFB"/>
    <w:rsid w:val="00322E02"/>
    <w:rsid w:val="003238A7"/>
    <w:rsid w:val="00333F52"/>
    <w:rsid w:val="00334200"/>
    <w:rsid w:val="003414E6"/>
    <w:rsid w:val="003449D2"/>
    <w:rsid w:val="00354439"/>
    <w:rsid w:val="00355A59"/>
    <w:rsid w:val="00355D41"/>
    <w:rsid w:val="00361681"/>
    <w:rsid w:val="003636E5"/>
    <w:rsid w:val="00365981"/>
    <w:rsid w:val="00367999"/>
    <w:rsid w:val="0037761A"/>
    <w:rsid w:val="003839AA"/>
    <w:rsid w:val="00386288"/>
    <w:rsid w:val="0039383E"/>
    <w:rsid w:val="003960CA"/>
    <w:rsid w:val="003A5149"/>
    <w:rsid w:val="003B5779"/>
    <w:rsid w:val="003E550D"/>
    <w:rsid w:val="003E708F"/>
    <w:rsid w:val="003F1763"/>
    <w:rsid w:val="00400545"/>
    <w:rsid w:val="00401DD3"/>
    <w:rsid w:val="00411A10"/>
    <w:rsid w:val="0043020D"/>
    <w:rsid w:val="0044640A"/>
    <w:rsid w:val="00461F31"/>
    <w:rsid w:val="0047394C"/>
    <w:rsid w:val="00477A81"/>
    <w:rsid w:val="00490756"/>
    <w:rsid w:val="004A39DF"/>
    <w:rsid w:val="004A7149"/>
    <w:rsid w:val="004B2D36"/>
    <w:rsid w:val="004B696D"/>
    <w:rsid w:val="004C2674"/>
    <w:rsid w:val="004C5B8B"/>
    <w:rsid w:val="004D1454"/>
    <w:rsid w:val="004E08F7"/>
    <w:rsid w:val="004F6BC1"/>
    <w:rsid w:val="00511EF5"/>
    <w:rsid w:val="00524E16"/>
    <w:rsid w:val="005256BE"/>
    <w:rsid w:val="005260F1"/>
    <w:rsid w:val="005321AA"/>
    <w:rsid w:val="0053693B"/>
    <w:rsid w:val="00543AFF"/>
    <w:rsid w:val="00544D8A"/>
    <w:rsid w:val="00553267"/>
    <w:rsid w:val="00554828"/>
    <w:rsid w:val="00554B88"/>
    <w:rsid w:val="005609D0"/>
    <w:rsid w:val="00564985"/>
    <w:rsid w:val="00575D90"/>
    <w:rsid w:val="00580C14"/>
    <w:rsid w:val="005A3A6A"/>
    <w:rsid w:val="005A4C2C"/>
    <w:rsid w:val="005C4A79"/>
    <w:rsid w:val="005C7753"/>
    <w:rsid w:val="005C792A"/>
    <w:rsid w:val="005E012D"/>
    <w:rsid w:val="00603A47"/>
    <w:rsid w:val="00622416"/>
    <w:rsid w:val="006408FE"/>
    <w:rsid w:val="00650E1A"/>
    <w:rsid w:val="0066016E"/>
    <w:rsid w:val="00662921"/>
    <w:rsid w:val="00665C3F"/>
    <w:rsid w:val="00675EA1"/>
    <w:rsid w:val="0068360A"/>
    <w:rsid w:val="00685E6C"/>
    <w:rsid w:val="00687BAB"/>
    <w:rsid w:val="0069237C"/>
    <w:rsid w:val="00697F73"/>
    <w:rsid w:val="006A21CB"/>
    <w:rsid w:val="006A5CFB"/>
    <w:rsid w:val="006B31E1"/>
    <w:rsid w:val="006C35EA"/>
    <w:rsid w:val="006C3652"/>
    <w:rsid w:val="006E0668"/>
    <w:rsid w:val="006E0D48"/>
    <w:rsid w:val="006E16F6"/>
    <w:rsid w:val="006E5814"/>
    <w:rsid w:val="006E6883"/>
    <w:rsid w:val="006E6D7A"/>
    <w:rsid w:val="006F471A"/>
    <w:rsid w:val="0070161E"/>
    <w:rsid w:val="00704BA9"/>
    <w:rsid w:val="007164AD"/>
    <w:rsid w:val="00716F62"/>
    <w:rsid w:val="007350F8"/>
    <w:rsid w:val="00745CEC"/>
    <w:rsid w:val="00747741"/>
    <w:rsid w:val="00750512"/>
    <w:rsid w:val="00755B98"/>
    <w:rsid w:val="007659B2"/>
    <w:rsid w:val="00774652"/>
    <w:rsid w:val="00796678"/>
    <w:rsid w:val="007B0B7C"/>
    <w:rsid w:val="007B161F"/>
    <w:rsid w:val="007B4F4A"/>
    <w:rsid w:val="007C160F"/>
    <w:rsid w:val="007C3316"/>
    <w:rsid w:val="007C5091"/>
    <w:rsid w:val="007E4F8C"/>
    <w:rsid w:val="007F1412"/>
    <w:rsid w:val="00806F00"/>
    <w:rsid w:val="00815C77"/>
    <w:rsid w:val="00880683"/>
    <w:rsid w:val="008878E2"/>
    <w:rsid w:val="0089395C"/>
    <w:rsid w:val="008967B2"/>
    <w:rsid w:val="008A0A9A"/>
    <w:rsid w:val="008A7A94"/>
    <w:rsid w:val="008B722D"/>
    <w:rsid w:val="008C105F"/>
    <w:rsid w:val="008C4576"/>
    <w:rsid w:val="008D302A"/>
    <w:rsid w:val="008E0312"/>
    <w:rsid w:val="008E2230"/>
    <w:rsid w:val="009030DF"/>
    <w:rsid w:val="00910B76"/>
    <w:rsid w:val="009214C6"/>
    <w:rsid w:val="009236A5"/>
    <w:rsid w:val="00931DB7"/>
    <w:rsid w:val="0093615A"/>
    <w:rsid w:val="00956255"/>
    <w:rsid w:val="00957337"/>
    <w:rsid w:val="00966E3F"/>
    <w:rsid w:val="00973F9B"/>
    <w:rsid w:val="009812FF"/>
    <w:rsid w:val="009A6C39"/>
    <w:rsid w:val="009B226A"/>
    <w:rsid w:val="009B7FEF"/>
    <w:rsid w:val="009D16FA"/>
    <w:rsid w:val="009D3B90"/>
    <w:rsid w:val="009D6DD5"/>
    <w:rsid w:val="009E3EEA"/>
    <w:rsid w:val="009F1E98"/>
    <w:rsid w:val="009F34CC"/>
    <w:rsid w:val="00A0559C"/>
    <w:rsid w:val="00A0680F"/>
    <w:rsid w:val="00A11744"/>
    <w:rsid w:val="00A16CFD"/>
    <w:rsid w:val="00A20FE4"/>
    <w:rsid w:val="00A21AF9"/>
    <w:rsid w:val="00A24BA6"/>
    <w:rsid w:val="00A32DC1"/>
    <w:rsid w:val="00A44CAB"/>
    <w:rsid w:val="00A45DB6"/>
    <w:rsid w:val="00A4691A"/>
    <w:rsid w:val="00A547D5"/>
    <w:rsid w:val="00A563DD"/>
    <w:rsid w:val="00A6154A"/>
    <w:rsid w:val="00A906F2"/>
    <w:rsid w:val="00A96481"/>
    <w:rsid w:val="00AA73B9"/>
    <w:rsid w:val="00AC4837"/>
    <w:rsid w:val="00AC4CDB"/>
    <w:rsid w:val="00AD4397"/>
    <w:rsid w:val="00AE25B9"/>
    <w:rsid w:val="00AE7B29"/>
    <w:rsid w:val="00B0724F"/>
    <w:rsid w:val="00B157C7"/>
    <w:rsid w:val="00B17536"/>
    <w:rsid w:val="00B2171A"/>
    <w:rsid w:val="00B3475B"/>
    <w:rsid w:val="00B44562"/>
    <w:rsid w:val="00B46D58"/>
    <w:rsid w:val="00B55790"/>
    <w:rsid w:val="00B678BF"/>
    <w:rsid w:val="00B74A9A"/>
    <w:rsid w:val="00B74ED5"/>
    <w:rsid w:val="00B80148"/>
    <w:rsid w:val="00B9516F"/>
    <w:rsid w:val="00B968C7"/>
    <w:rsid w:val="00BB4C2E"/>
    <w:rsid w:val="00BC1771"/>
    <w:rsid w:val="00BC2C93"/>
    <w:rsid w:val="00BD3E9F"/>
    <w:rsid w:val="00BD4140"/>
    <w:rsid w:val="00BE2641"/>
    <w:rsid w:val="00BF2DD4"/>
    <w:rsid w:val="00BF5B2D"/>
    <w:rsid w:val="00C0335B"/>
    <w:rsid w:val="00C10867"/>
    <w:rsid w:val="00C14E8D"/>
    <w:rsid w:val="00C17CFF"/>
    <w:rsid w:val="00C21BC0"/>
    <w:rsid w:val="00C2443E"/>
    <w:rsid w:val="00C25DE5"/>
    <w:rsid w:val="00C35ACF"/>
    <w:rsid w:val="00C41A66"/>
    <w:rsid w:val="00C46BE6"/>
    <w:rsid w:val="00C516E8"/>
    <w:rsid w:val="00C70DA4"/>
    <w:rsid w:val="00C72A33"/>
    <w:rsid w:val="00C74B56"/>
    <w:rsid w:val="00C95D29"/>
    <w:rsid w:val="00CC3FCD"/>
    <w:rsid w:val="00CD2305"/>
    <w:rsid w:val="00CD356A"/>
    <w:rsid w:val="00CD6C80"/>
    <w:rsid w:val="00CE6A7B"/>
    <w:rsid w:val="00CF6A15"/>
    <w:rsid w:val="00D0022B"/>
    <w:rsid w:val="00D07FB9"/>
    <w:rsid w:val="00D22430"/>
    <w:rsid w:val="00D231B5"/>
    <w:rsid w:val="00D27688"/>
    <w:rsid w:val="00D36D8B"/>
    <w:rsid w:val="00D4090C"/>
    <w:rsid w:val="00D4148C"/>
    <w:rsid w:val="00D424E0"/>
    <w:rsid w:val="00D5010D"/>
    <w:rsid w:val="00D50C1C"/>
    <w:rsid w:val="00D72124"/>
    <w:rsid w:val="00D83A96"/>
    <w:rsid w:val="00D852DA"/>
    <w:rsid w:val="00D86BBC"/>
    <w:rsid w:val="00DA2447"/>
    <w:rsid w:val="00DA33AC"/>
    <w:rsid w:val="00DC58B8"/>
    <w:rsid w:val="00DD415A"/>
    <w:rsid w:val="00DD5612"/>
    <w:rsid w:val="00DD74D3"/>
    <w:rsid w:val="00DE66D3"/>
    <w:rsid w:val="00DF16F4"/>
    <w:rsid w:val="00DF2EBD"/>
    <w:rsid w:val="00E031DE"/>
    <w:rsid w:val="00E20807"/>
    <w:rsid w:val="00E22D09"/>
    <w:rsid w:val="00E23728"/>
    <w:rsid w:val="00E247B0"/>
    <w:rsid w:val="00E2598F"/>
    <w:rsid w:val="00E25B72"/>
    <w:rsid w:val="00E4309F"/>
    <w:rsid w:val="00E47F2C"/>
    <w:rsid w:val="00E56236"/>
    <w:rsid w:val="00E63189"/>
    <w:rsid w:val="00E65438"/>
    <w:rsid w:val="00E6703C"/>
    <w:rsid w:val="00E75AC4"/>
    <w:rsid w:val="00E80A64"/>
    <w:rsid w:val="00EA2BCE"/>
    <w:rsid w:val="00EA7E71"/>
    <w:rsid w:val="00EC41E7"/>
    <w:rsid w:val="00ED4483"/>
    <w:rsid w:val="00ED69C5"/>
    <w:rsid w:val="00EF3029"/>
    <w:rsid w:val="00F00FAB"/>
    <w:rsid w:val="00F11F9E"/>
    <w:rsid w:val="00F16D31"/>
    <w:rsid w:val="00F40797"/>
    <w:rsid w:val="00F531F9"/>
    <w:rsid w:val="00F57234"/>
    <w:rsid w:val="00F66C1D"/>
    <w:rsid w:val="00F83F15"/>
    <w:rsid w:val="00F8486E"/>
    <w:rsid w:val="00F918BC"/>
    <w:rsid w:val="00F92277"/>
    <w:rsid w:val="00FA3690"/>
    <w:rsid w:val="00FB69D8"/>
    <w:rsid w:val="00FC69E0"/>
    <w:rsid w:val="00FE6340"/>
    <w:rsid w:val="14E1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9091</Words>
  <Characters>9989</Characters>
  <Lines>86</Lines>
  <Paragraphs>24</Paragraphs>
  <TotalTime>0</TotalTime>
  <ScaleCrop>false</ScaleCrop>
  <LinksUpToDate>false</LinksUpToDate>
  <CharactersWithSpaces>10071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2017-06-09T07:45:00Z</dcterms:created>
  <dc:creator>donghaiyangbo</dc:creator>
  <cp:lastModifiedBy>太极箫客</cp:lastModifiedBy>
  <dcterms:modified xsi:type="dcterms:W3CDTF">2025-08-14T06:18:08Z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3501FEEF432E4BF8BB35562D6AFE5AE8_12</vt:lpwstr>
  </property>
</Properties>
</file>