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A207">
      <w:pPr>
        <w:snapToGrid w:val="0"/>
        <w:spacing w:line="300" w:lineRule="auto"/>
        <w:jc w:val="center"/>
        <w:rPr>
          <w:rFonts w:ascii="Arial" w:hAnsi="Arial" w:eastAsia="宋体" w:cs="Arial"/>
          <w:b/>
          <w:sz w:val="36"/>
          <w:szCs w:val="36"/>
        </w:rPr>
      </w:pPr>
      <w:bookmarkStart w:id="0" w:name="OLE_LINK36"/>
      <w:bookmarkStart w:id="1" w:name="OLE_LINK35"/>
      <w:bookmarkStart w:id="2" w:name="OLE_LINK18"/>
      <w:bookmarkStart w:id="3" w:name="OLE_LINK15"/>
      <w:bookmarkStart w:id="76" w:name="_GoBack"/>
      <w:bookmarkEnd w:id="76"/>
      <w:r>
        <w:rPr>
          <w:rFonts w:ascii="Arial" w:hAnsi="Arial" w:eastAsia="宋体" w:cs="Arial"/>
          <w:b/>
          <w:sz w:val="36"/>
          <w:szCs w:val="36"/>
        </w:rPr>
        <w:t>行业和FDA工作人员指南</w:t>
      </w:r>
    </w:p>
    <w:p w14:paraId="18500B93">
      <w:pPr>
        <w:snapToGrid w:val="0"/>
        <w:spacing w:line="300" w:lineRule="auto"/>
        <w:jc w:val="center"/>
        <w:rPr>
          <w:rFonts w:ascii="Arial" w:hAnsi="Arial" w:eastAsia="宋体" w:cs="Arial"/>
          <w:b/>
          <w:sz w:val="36"/>
          <w:szCs w:val="36"/>
        </w:rPr>
      </w:pPr>
      <w:r>
        <w:rPr>
          <w:rFonts w:ascii="Arial" w:hAnsi="Arial" w:eastAsia="宋体" w:cs="Arial"/>
          <w:b/>
          <w:sz w:val="36"/>
          <w:szCs w:val="36"/>
        </w:rPr>
        <w:t>－II类特殊控制指导性文件：荧光原位杂交（FISH）自动化计数系统</w:t>
      </w:r>
    </w:p>
    <w:bookmarkEnd w:id="0"/>
    <w:bookmarkEnd w:id="1"/>
    <w:p w14:paraId="55C54A37">
      <w:pPr>
        <w:snapToGrid w:val="0"/>
        <w:spacing w:line="300" w:lineRule="auto"/>
        <w:rPr>
          <w:rFonts w:ascii="Arial" w:hAnsi="Arial" w:eastAsia="宋体" w:cs="Arial"/>
        </w:rPr>
      </w:pPr>
    </w:p>
    <w:p w14:paraId="2B9B9474">
      <w:pPr>
        <w:snapToGrid w:val="0"/>
        <w:spacing w:line="300" w:lineRule="auto"/>
        <w:rPr>
          <w:rFonts w:ascii="Arial" w:hAnsi="Arial" w:eastAsia="宋体" w:cs="Arial"/>
        </w:rPr>
      </w:pPr>
      <w:r>
        <w:rPr>
          <w:rFonts w:ascii="Arial" w:hAnsi="Arial" w:eastAsia="宋体" w:cs="Arial"/>
        </w:rPr>
        <w:t>发布日期：2005年3月23日</w:t>
      </w:r>
    </w:p>
    <w:p w14:paraId="056808AE">
      <w:pPr>
        <w:snapToGrid w:val="0"/>
        <w:spacing w:line="300" w:lineRule="auto"/>
        <w:rPr>
          <w:rFonts w:ascii="Arial" w:hAnsi="Arial" w:eastAsia="宋体" w:cs="Arial"/>
        </w:rPr>
      </w:pPr>
    </w:p>
    <w:p w14:paraId="23415B45">
      <w:pPr>
        <w:snapToGrid w:val="0"/>
        <w:spacing w:line="300" w:lineRule="auto"/>
        <w:rPr>
          <w:rFonts w:ascii="Arial" w:hAnsi="Arial" w:eastAsia="宋体" w:cs="Arial"/>
        </w:rPr>
      </w:pPr>
      <w:r>
        <w:rPr>
          <w:rFonts w:ascii="Arial" w:hAnsi="Arial" w:eastAsia="宋体" w:cs="Arial"/>
        </w:rPr>
        <w:t>若对本指南有疑问，请与Kevin Lorick联系。联系电话：301-796-6696，电子信箱：</w:t>
      </w:r>
      <w:r>
        <w:rPr>
          <w:rFonts w:ascii="Arial" w:hAnsi="Arial" w:eastAsia="宋体" w:cs="Arial"/>
          <w:color w:val="800080"/>
          <w:u w:val="single"/>
        </w:rPr>
        <w:t>kevin.lorick@fda.hhs.gov</w:t>
      </w:r>
    </w:p>
    <w:p w14:paraId="33A5D823">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123190</wp:posOffset>
                </wp:positionV>
                <wp:extent cx="1248410" cy="1081405"/>
                <wp:effectExtent l="0" t="0" r="0" b="4445"/>
                <wp:wrapNone/>
                <wp:docPr id="1" name="文本框 1"/>
                <wp:cNvGraphicFramePr/>
                <a:graphic xmlns:a="http://schemas.openxmlformats.org/drawingml/2006/main">
                  <a:graphicData uri="http://schemas.microsoft.com/office/word/2010/wordprocessingShape">
                    <wps:wsp>
                      <wps:cNvSpPr txBox="1"/>
                      <wps:spPr>
                        <a:xfrm>
                          <a:off x="0" y="0"/>
                          <a:ext cx="1248697" cy="1081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93045">
                            <w:r>
                              <w:rPr>
                                <w:rFonts w:ascii="宋体" w:hAnsi="宋体" w:eastAsia="宋体" w:cs="宋体"/>
                                <w:kern w:val="0"/>
                                <w:sz w:val="24"/>
                                <w:szCs w:val="24"/>
                              </w:rPr>
                              <w:drawing>
                                <wp:inline distT="0" distB="0" distL="0" distR="0">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9.7pt;height:85.15pt;width:98.3pt;z-index:251659264;mso-width-relative:page;mso-height-relative:page;" filled="f" stroked="f" coordsize="21600,21600" o:gfxdata="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g9VtfZAAAACAEAAA8AAAAAAAAAAQAgAAAA&#10;IgAAAGRycy9kb3ducmV2LnhtbFBLAQIUABQAAAAIAIdO4kDc1eTuQwIAAHUEAAAOAAAAAAAAAAEA&#10;IAAAACgBAABkcnMvZTJvRG9jLnhtbFBLBQYAAAAABgAGAFkBAADdBQAAAAA=&#10;">
                <v:fill on="f" focussize="0,0"/>
                <v:stroke on="f" weight="0.5pt"/>
                <v:imagedata o:title=""/>
                <o:lock v:ext="edit" aspectratio="f"/>
                <v:textbox>
                  <w:txbxContent>
                    <w:p w14:paraId="34B93045">
                      <w:r>
                        <w:rPr>
                          <w:rFonts w:ascii="宋体" w:hAnsi="宋体" w:eastAsia="宋体" w:cs="宋体"/>
                          <w:kern w:val="0"/>
                          <w:sz w:val="24"/>
                          <w:szCs w:val="24"/>
                        </w:rPr>
                        <w:drawing>
                          <wp:inline distT="0" distB="0" distL="0" distR="0">
                            <wp:extent cx="923925" cy="952500"/>
                            <wp:effectExtent l="19050" t="0" r="9525" b="0"/>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14:paraId="07AA0970">
      <w:pPr>
        <w:snapToGrid w:val="0"/>
        <w:spacing w:line="300" w:lineRule="auto"/>
        <w:ind w:firstLine="2085" w:firstLineChars="993"/>
        <w:rPr>
          <w:rFonts w:ascii="Arial" w:hAnsi="Arial" w:eastAsia="宋体" w:cs="Arial"/>
        </w:rPr>
      </w:pPr>
      <w:r>
        <w:rPr>
          <w:rFonts w:ascii="Arial" w:hAnsi="Arial" w:eastAsia="宋体" w:cs="Arial"/>
        </w:rPr>
        <w:t>美国卫生</w:t>
      </w:r>
      <w:r>
        <w:rPr>
          <w:rFonts w:hint="eastAsia" w:ascii="Arial" w:hAnsi="Arial" w:eastAsia="宋体" w:cs="Arial"/>
        </w:rPr>
        <w:t>与</w:t>
      </w:r>
      <w:r>
        <w:rPr>
          <w:rFonts w:ascii="Arial" w:hAnsi="Arial" w:eastAsia="宋体" w:cs="Arial"/>
        </w:rPr>
        <w:t>公众服务部</w:t>
      </w:r>
    </w:p>
    <w:p w14:paraId="38D28C9F">
      <w:pPr>
        <w:snapToGrid w:val="0"/>
        <w:spacing w:line="300" w:lineRule="auto"/>
        <w:ind w:firstLine="2085" w:firstLineChars="993"/>
        <w:rPr>
          <w:rFonts w:ascii="Arial" w:hAnsi="Arial" w:eastAsia="宋体" w:cs="Arial"/>
        </w:rPr>
      </w:pPr>
      <w:r>
        <w:rPr>
          <w:rFonts w:ascii="Arial" w:hAnsi="Arial" w:eastAsia="宋体" w:cs="Arial"/>
        </w:rPr>
        <w:t>食品药品监督管理局</w:t>
      </w:r>
    </w:p>
    <w:p w14:paraId="38FF5C07">
      <w:pPr>
        <w:snapToGrid w:val="0"/>
        <w:spacing w:line="300" w:lineRule="auto"/>
        <w:ind w:firstLine="2085" w:firstLineChars="993"/>
        <w:rPr>
          <w:rFonts w:ascii="Arial" w:hAnsi="Arial" w:eastAsia="宋体" w:cs="Arial"/>
        </w:rPr>
      </w:pPr>
      <w:r>
        <w:rPr>
          <w:rFonts w:ascii="Arial" w:hAnsi="Arial" w:eastAsia="宋体" w:cs="Arial"/>
        </w:rPr>
        <w:t>器械</w:t>
      </w:r>
      <w:r>
        <w:rPr>
          <w:rFonts w:hint="eastAsia" w:ascii="Arial" w:hAnsi="Arial" w:eastAsia="宋体" w:cs="Arial"/>
        </w:rPr>
        <w:t>与</w:t>
      </w:r>
      <w:r>
        <w:rPr>
          <w:rFonts w:ascii="Arial" w:hAnsi="Arial" w:eastAsia="宋体" w:cs="Arial"/>
        </w:rPr>
        <w:t>放射健康中心</w:t>
      </w:r>
    </w:p>
    <w:p w14:paraId="546966BF">
      <w:pPr>
        <w:snapToGrid w:val="0"/>
        <w:spacing w:line="300" w:lineRule="auto"/>
        <w:ind w:firstLine="2085" w:firstLineChars="993"/>
        <w:rPr>
          <w:rFonts w:ascii="Arial" w:hAnsi="Arial" w:eastAsia="宋体" w:cs="Arial"/>
        </w:rPr>
      </w:pPr>
      <w:r>
        <w:rPr>
          <w:rFonts w:ascii="Arial" w:hAnsi="Arial" w:eastAsia="宋体" w:cs="Arial"/>
        </w:rPr>
        <w:t>体外诊断器械评估和安全办公室</w:t>
      </w:r>
    </w:p>
    <w:p w14:paraId="3C2E82B0">
      <w:pPr>
        <w:snapToGrid w:val="0"/>
        <w:spacing w:line="300" w:lineRule="auto"/>
        <w:ind w:firstLine="2085" w:firstLineChars="993"/>
        <w:rPr>
          <w:rFonts w:ascii="Arial" w:hAnsi="Arial" w:eastAsia="宋体" w:cs="Arial"/>
        </w:rPr>
      </w:pPr>
      <w:r>
        <w:rPr>
          <w:rFonts w:ascii="Arial" w:hAnsi="Arial" w:eastAsia="宋体" w:cs="Arial"/>
        </w:rPr>
        <w:t>免疫学和血液学器械部</w:t>
      </w:r>
    </w:p>
    <w:bookmarkEnd w:id="2"/>
    <w:bookmarkEnd w:id="3"/>
    <w:p w14:paraId="551D032C">
      <w:pPr>
        <w:snapToGrid w:val="0"/>
        <w:spacing w:line="300" w:lineRule="auto"/>
        <w:rPr>
          <w:rFonts w:ascii="Arial" w:hAnsi="Arial" w:eastAsia="宋体" w:cs="Arial"/>
        </w:rPr>
      </w:pPr>
    </w:p>
    <w:p w14:paraId="0A2E6C70">
      <w:pPr>
        <w:snapToGrid w:val="0"/>
        <w:spacing w:line="300" w:lineRule="auto"/>
        <w:rPr>
          <w:rFonts w:ascii="Arial" w:hAnsi="Arial" w:eastAsia="宋体" w:cs="Arial"/>
          <w:b/>
        </w:rPr>
      </w:pPr>
      <w:bookmarkStart w:id="4" w:name="OLE_LINK30"/>
      <w:r>
        <w:rPr>
          <w:rFonts w:ascii="Arial" w:hAnsi="Arial" w:eastAsia="宋体" w:cs="Arial"/>
          <w:b/>
        </w:rPr>
        <w:t>前言</w:t>
      </w:r>
    </w:p>
    <w:p w14:paraId="094A13D2">
      <w:pPr>
        <w:snapToGrid w:val="0"/>
        <w:spacing w:line="300" w:lineRule="auto"/>
        <w:rPr>
          <w:rFonts w:ascii="Arial" w:hAnsi="Arial" w:eastAsia="宋体" w:cs="Arial"/>
          <w:b/>
        </w:rPr>
      </w:pPr>
      <w:r>
        <w:rPr>
          <w:rFonts w:ascii="Arial" w:hAnsi="Arial" w:eastAsia="宋体" w:cs="Arial"/>
          <w:b/>
        </w:rPr>
        <w:t>公众评论：</w:t>
      </w:r>
    </w:p>
    <w:p w14:paraId="6BC7F857">
      <w:pPr>
        <w:snapToGrid w:val="0"/>
        <w:spacing w:line="300" w:lineRule="auto"/>
        <w:rPr>
          <w:rFonts w:ascii="Arial" w:hAnsi="Arial" w:eastAsia="宋体" w:cs="Arial"/>
        </w:rPr>
      </w:pPr>
    </w:p>
    <w:p w14:paraId="36B7D34D">
      <w:pPr>
        <w:snapToGrid w:val="0"/>
        <w:spacing w:line="300" w:lineRule="auto"/>
        <w:rPr>
          <w:rFonts w:ascii="Arial" w:hAnsi="Arial" w:eastAsia="宋体" w:cs="Arial"/>
          <w:szCs w:val="21"/>
        </w:rPr>
      </w:pPr>
      <w:r>
        <w:rPr>
          <w:rFonts w:ascii="Arial" w:hAnsi="Arial" w:eastAsia="宋体" w:cs="Arial"/>
          <w:szCs w:val="21"/>
        </w:rPr>
        <w:t>书面评论和建议可随时提交至食品药品监督管理局文档管理部</w:t>
      </w:r>
      <w:r>
        <w:rPr>
          <w:rFonts w:hint="eastAsia" w:ascii="Arial" w:hAnsi="Arial" w:eastAsia="宋体" w:cs="Arial"/>
          <w:szCs w:val="21"/>
        </w:rPr>
        <w:t>，</w:t>
      </w:r>
      <w:r>
        <w:rPr>
          <w:rFonts w:ascii="Arial" w:hAnsi="Arial" w:eastAsia="宋体" w:cs="Arial"/>
          <w:szCs w:val="21"/>
        </w:rPr>
        <w:t>供机构审议。通讯地址：</w:t>
      </w:r>
      <w:r>
        <w:rPr>
          <w:rFonts w:ascii="Arial" w:hAnsi="Arial" w:eastAsia="宋体" w:cs="Arial"/>
          <w:color w:val="000000"/>
          <w:kern w:val="0"/>
          <w:szCs w:val="21"/>
        </w:rPr>
        <w:t>5630 Fishers Lane，Room 1061，(HFA-305)，Rockville，MD，20852</w:t>
      </w:r>
      <w:r>
        <w:rPr>
          <w:rFonts w:ascii="Arial" w:hAnsi="Arial" w:eastAsia="宋体" w:cs="Arial"/>
          <w:szCs w:val="21"/>
        </w:rPr>
        <w:t>。电子评论可提交至</w:t>
      </w:r>
      <w:r>
        <w:rPr>
          <w:rFonts w:ascii="Arial" w:hAnsi="Arial" w:eastAsia="宋体" w:cs="Arial"/>
          <w:color w:val="800080"/>
          <w:szCs w:val="21"/>
          <w:u w:val="single"/>
        </w:rPr>
        <w:t>Regulations.gov</w:t>
      </w:r>
      <w:r>
        <w:rPr>
          <w:rFonts w:ascii="Arial" w:hAnsi="Arial" w:eastAsia="宋体" w:cs="Arial"/>
          <w:szCs w:val="21"/>
        </w:rPr>
        <w:t>。提交评论时，请注明文档编号2005D-0082。</w:t>
      </w:r>
      <w:r>
        <w:rPr>
          <w:rFonts w:hint="eastAsia" w:ascii="Arial" w:hAnsi="Arial" w:eastAsia="宋体" w:cs="Arial"/>
          <w:szCs w:val="21"/>
        </w:rPr>
        <w:t>可能直到文件下次修订或更新时，评论才会被机构受理。</w:t>
      </w:r>
    </w:p>
    <w:bookmarkEnd w:id="4"/>
    <w:p w14:paraId="660B628D">
      <w:pPr>
        <w:snapToGrid w:val="0"/>
        <w:spacing w:line="300" w:lineRule="auto"/>
        <w:rPr>
          <w:rFonts w:ascii="Arial" w:hAnsi="Arial" w:eastAsia="宋体" w:cs="Arial"/>
        </w:rPr>
      </w:pPr>
    </w:p>
    <w:p w14:paraId="5F99062B">
      <w:pPr>
        <w:snapToGrid w:val="0"/>
        <w:spacing w:line="300" w:lineRule="auto"/>
        <w:rPr>
          <w:rFonts w:ascii="Arial" w:hAnsi="Arial" w:eastAsia="宋体" w:cs="Arial"/>
          <w:b/>
        </w:rPr>
      </w:pPr>
      <w:bookmarkStart w:id="5" w:name="OLE_LINK32"/>
      <w:bookmarkStart w:id="6" w:name="OLE_LINK33"/>
      <w:r>
        <w:rPr>
          <w:rFonts w:ascii="Arial" w:hAnsi="Arial" w:eastAsia="宋体" w:cs="Arial"/>
          <w:b/>
        </w:rPr>
        <w:t>其他副本</w:t>
      </w:r>
    </w:p>
    <w:p w14:paraId="7309F4CE">
      <w:pPr>
        <w:snapToGrid w:val="0"/>
        <w:spacing w:line="300" w:lineRule="auto"/>
        <w:rPr>
          <w:rFonts w:ascii="Arial" w:hAnsi="Arial" w:eastAsia="宋体" w:cs="Arial"/>
        </w:rPr>
      </w:pPr>
    </w:p>
    <w:p w14:paraId="3ABC4099">
      <w:pPr>
        <w:snapToGrid w:val="0"/>
        <w:spacing w:line="300" w:lineRule="auto"/>
        <w:rPr>
          <w:rFonts w:ascii="Arial" w:hAnsi="Arial" w:eastAsia="宋体" w:cs="Arial"/>
        </w:rPr>
      </w:pPr>
      <w:r>
        <w:rPr>
          <w:rFonts w:ascii="Arial" w:hAnsi="Arial" w:eastAsia="宋体" w:cs="Arial"/>
        </w:rPr>
        <w:t>其他副本可在网上下载。贵公司还可发送电邮申请至</w:t>
      </w:r>
      <w:r>
        <w:rPr>
          <w:rFonts w:ascii="Arial" w:hAnsi="Arial" w:eastAsia="宋体" w:cs="Arial"/>
          <w:color w:val="800080"/>
          <w:u w:val="single"/>
        </w:rPr>
        <w:t>todsmica@fda.hhs.gov</w:t>
      </w:r>
      <w:r>
        <w:rPr>
          <w:rFonts w:ascii="Arial" w:hAnsi="Arial" w:eastAsia="宋体" w:cs="Arial"/>
        </w:rPr>
        <w:t>获取本指导性文件的电子副本或发送传真申请至301-827-8149获取复印件。请用文件编号（1550）确认贵公司索取的指导性文件。</w:t>
      </w:r>
    </w:p>
    <w:bookmarkEnd w:id="5"/>
    <w:bookmarkEnd w:id="6"/>
    <w:p w14:paraId="6E847523">
      <w:pPr>
        <w:snapToGrid w:val="0"/>
        <w:spacing w:line="300" w:lineRule="auto"/>
        <w:rPr>
          <w:rFonts w:ascii="Arial" w:hAnsi="Arial" w:eastAsia="宋体" w:cs="Arial"/>
        </w:rPr>
      </w:pPr>
    </w:p>
    <w:p w14:paraId="01F70F6B">
      <w:pPr>
        <w:snapToGrid w:val="0"/>
        <w:spacing w:line="300" w:lineRule="auto"/>
        <w:rPr>
          <w:rFonts w:ascii="Arial" w:hAnsi="Arial" w:eastAsia="宋体" w:cs="Arial"/>
          <w:b/>
        </w:rPr>
      </w:pPr>
      <w:r>
        <w:rPr>
          <w:rFonts w:ascii="Arial" w:hAnsi="Arial" w:eastAsia="宋体" w:cs="Arial"/>
          <w:b/>
        </w:rPr>
        <w:t>目录</w:t>
      </w:r>
    </w:p>
    <w:p w14:paraId="77DBE514">
      <w:pPr>
        <w:snapToGrid w:val="0"/>
        <w:spacing w:line="300" w:lineRule="auto"/>
        <w:rPr>
          <w:rFonts w:ascii="Arial" w:hAnsi="Arial" w:eastAsia="宋体" w:cs="Arial"/>
        </w:rPr>
      </w:pPr>
    </w:p>
    <w:p w14:paraId="06101CF7">
      <w:pPr>
        <w:snapToGrid w:val="0"/>
        <w:spacing w:line="300" w:lineRule="auto"/>
        <w:rPr>
          <w:rFonts w:ascii="Arial" w:hAnsi="Arial" w:eastAsia="宋体" w:cs="Arial"/>
          <w:color w:val="800080"/>
          <w:u w:val="single"/>
        </w:rPr>
      </w:pPr>
      <w:r>
        <w:rPr>
          <w:rFonts w:ascii="Arial" w:hAnsi="Arial" w:eastAsia="宋体" w:cs="Arial"/>
          <w:color w:val="800080"/>
          <w:u w:val="single"/>
        </w:rPr>
        <w:t>介绍</w:t>
      </w:r>
    </w:p>
    <w:p w14:paraId="5369D727">
      <w:pPr>
        <w:snapToGrid w:val="0"/>
        <w:spacing w:line="300" w:lineRule="auto"/>
        <w:rPr>
          <w:rFonts w:ascii="Arial" w:hAnsi="Arial" w:eastAsia="宋体" w:cs="Arial"/>
          <w:color w:val="800080"/>
          <w:u w:val="single"/>
        </w:rPr>
      </w:pPr>
      <w:r>
        <w:rPr>
          <w:rFonts w:ascii="Arial" w:hAnsi="Arial" w:eastAsia="宋体" w:cs="Arial"/>
          <w:color w:val="800080"/>
          <w:u w:val="single"/>
        </w:rPr>
        <w:t>背景</w:t>
      </w:r>
    </w:p>
    <w:p w14:paraId="18D8F0A1">
      <w:pPr>
        <w:snapToGrid w:val="0"/>
        <w:spacing w:line="300" w:lineRule="auto"/>
        <w:rPr>
          <w:rFonts w:ascii="Arial" w:hAnsi="Arial" w:eastAsia="宋体" w:cs="Arial"/>
          <w:color w:val="800080"/>
          <w:u w:val="single"/>
        </w:rPr>
      </w:pPr>
      <w:bookmarkStart w:id="7" w:name="OLE_LINK34"/>
      <w:bookmarkStart w:id="8" w:name="OLE_LINK37"/>
      <w:r>
        <w:rPr>
          <w:rFonts w:ascii="Arial" w:hAnsi="Arial" w:eastAsia="宋体" w:cs="Arial"/>
          <w:color w:val="800080"/>
          <w:u w:val="single"/>
        </w:rPr>
        <w:t>简化510（k）提交资料的内容和格式</w:t>
      </w:r>
    </w:p>
    <w:bookmarkEnd w:id="7"/>
    <w:bookmarkEnd w:id="8"/>
    <w:p w14:paraId="1DF6C2BE">
      <w:pPr>
        <w:snapToGrid w:val="0"/>
        <w:spacing w:line="300" w:lineRule="auto"/>
        <w:rPr>
          <w:rFonts w:ascii="Arial" w:hAnsi="Arial" w:eastAsia="宋体" w:cs="Arial"/>
          <w:color w:val="800080"/>
          <w:u w:val="single"/>
        </w:rPr>
      </w:pPr>
      <w:r>
        <w:rPr>
          <w:rFonts w:ascii="Arial" w:hAnsi="Arial" w:eastAsia="宋体" w:cs="Arial"/>
          <w:color w:val="800080"/>
          <w:u w:val="single"/>
        </w:rPr>
        <w:t>适用范围</w:t>
      </w:r>
    </w:p>
    <w:p w14:paraId="6F958B13">
      <w:pPr>
        <w:snapToGrid w:val="0"/>
        <w:spacing w:line="300" w:lineRule="auto"/>
        <w:rPr>
          <w:rFonts w:ascii="Arial" w:hAnsi="Arial" w:eastAsia="宋体" w:cs="Arial"/>
          <w:color w:val="800080"/>
          <w:u w:val="single"/>
        </w:rPr>
      </w:pPr>
      <w:r>
        <w:rPr>
          <w:rFonts w:ascii="Arial" w:hAnsi="Arial" w:eastAsia="宋体" w:cs="Arial"/>
          <w:color w:val="800080"/>
          <w:u w:val="single"/>
        </w:rPr>
        <w:t>健康风险</w:t>
      </w:r>
    </w:p>
    <w:p w14:paraId="5357FD7A">
      <w:pPr>
        <w:snapToGrid w:val="0"/>
        <w:spacing w:line="300" w:lineRule="auto"/>
        <w:rPr>
          <w:rFonts w:ascii="Arial" w:hAnsi="Arial" w:eastAsia="宋体" w:cs="Arial"/>
          <w:color w:val="800080"/>
          <w:u w:val="single"/>
        </w:rPr>
      </w:pPr>
      <w:r>
        <w:rPr>
          <w:rFonts w:ascii="Arial" w:hAnsi="Arial" w:eastAsia="宋体" w:cs="Arial"/>
          <w:color w:val="800080"/>
          <w:u w:val="single"/>
        </w:rPr>
        <w:t>性能特征</w:t>
      </w:r>
    </w:p>
    <w:p w14:paraId="66C67D19">
      <w:pPr>
        <w:snapToGrid w:val="0"/>
        <w:spacing w:line="300" w:lineRule="auto"/>
        <w:rPr>
          <w:rFonts w:ascii="Arial" w:hAnsi="Arial" w:eastAsia="宋体" w:cs="Arial"/>
          <w:color w:val="800080"/>
          <w:u w:val="single"/>
        </w:rPr>
      </w:pPr>
      <w:r>
        <w:rPr>
          <w:rFonts w:ascii="Arial" w:hAnsi="Arial" w:eastAsia="宋体" w:cs="Arial"/>
          <w:color w:val="800080"/>
          <w:u w:val="single"/>
        </w:rPr>
        <w:t>方法比较</w:t>
      </w:r>
    </w:p>
    <w:p w14:paraId="05F95523">
      <w:pPr>
        <w:snapToGrid w:val="0"/>
        <w:spacing w:line="300" w:lineRule="auto"/>
        <w:rPr>
          <w:rFonts w:ascii="Arial" w:hAnsi="Arial" w:eastAsia="宋体" w:cs="Arial"/>
          <w:color w:val="800080"/>
          <w:u w:val="single"/>
        </w:rPr>
      </w:pPr>
      <w:r>
        <w:rPr>
          <w:rFonts w:ascii="Arial" w:hAnsi="Arial" w:eastAsia="宋体" w:cs="Arial"/>
          <w:color w:val="800080"/>
          <w:u w:val="single"/>
        </w:rPr>
        <w:t>标签</w:t>
      </w:r>
    </w:p>
    <w:p w14:paraId="17D55EED">
      <w:pPr>
        <w:snapToGrid w:val="0"/>
        <w:spacing w:line="300" w:lineRule="auto"/>
        <w:rPr>
          <w:rFonts w:ascii="Arial" w:hAnsi="Arial" w:eastAsia="宋体" w:cs="Arial"/>
          <w:b/>
        </w:rPr>
      </w:pPr>
      <w:r>
        <w:rPr>
          <w:rFonts w:ascii="Arial" w:hAnsi="Arial" w:eastAsia="宋体" w:cs="Arial"/>
          <w:b/>
        </w:rPr>
        <w:t>行业和FDA工作人员指南</w:t>
      </w:r>
    </w:p>
    <w:p w14:paraId="631863C9">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107950</wp:posOffset>
                </wp:positionV>
                <wp:extent cx="5280025" cy="0"/>
                <wp:effectExtent l="0" t="0" r="35560" b="19050"/>
                <wp:wrapNone/>
                <wp:docPr id="3" name="直接连接符 3"/>
                <wp:cNvGraphicFramePr/>
                <a:graphic xmlns:a="http://schemas.openxmlformats.org/drawingml/2006/main">
                  <a:graphicData uri="http://schemas.microsoft.com/office/word/2010/wordprocessingShape">
                    <wps:wsp>
                      <wps:cNvCnPr/>
                      <wps:spPr>
                        <a:xfrm>
                          <a:off x="0" y="0"/>
                          <a:ext cx="52799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8.5pt;height:0pt;width:415.75pt;z-index:251660288;mso-width-relative:page;mso-height-relative:page;" filled="f" stroked="t" coordsize="21600,21600" o:gfxdata="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0dgMtQAAAAHAQAADwAAAAAAAAABACAA&#10;AAAiAAAAZHJzL2Rvd25yZXYueG1sUEsBAhQAFAAAAAgAh07iQGRVr7/YAQAAmgMAAA4AAAAAAAAA&#10;AQAgAAAAIwEAAGRycy9lMm9Eb2MueG1sUEsFBgAAAAAGAAYAWQEAAG0FAAAAAA==&#10;">
                <v:fill on="f" focussize="0,0"/>
                <v:stroke color="#000000 [3213]" joinstyle="round"/>
                <v:imagedata o:title=""/>
                <o:lock v:ext="edit" aspectratio="f"/>
              </v:line>
            </w:pict>
          </mc:Fallback>
        </mc:AlternateContent>
      </w:r>
    </w:p>
    <w:p w14:paraId="42C595F8">
      <w:pPr>
        <w:snapToGrid w:val="0"/>
        <w:spacing w:line="300" w:lineRule="auto"/>
        <w:jc w:val="center"/>
        <w:rPr>
          <w:rFonts w:ascii="Arial" w:hAnsi="Arial" w:eastAsia="宋体" w:cs="Arial"/>
          <w:b/>
        </w:rPr>
      </w:pPr>
      <w:r>
        <w:rPr>
          <w:rFonts w:ascii="Arial" w:hAnsi="Arial" w:eastAsia="宋体" w:cs="Arial"/>
          <w:b/>
        </w:rPr>
        <w:t>II类特殊控制指导性文件：荧光原位杂交（FISH）自动化计数系统</w:t>
      </w:r>
    </w:p>
    <w:p w14:paraId="571A51AC">
      <w:pPr>
        <w:snapToGrid w:val="0"/>
        <w:spacing w:line="300" w:lineRule="auto"/>
        <w:rPr>
          <w:rFonts w:ascii="Arial" w:hAnsi="Arial" w:eastAsia="宋体" w:cs="Arial"/>
        </w:rPr>
      </w:pPr>
    </w:p>
    <w:p w14:paraId="0C38567A">
      <w:pPr>
        <w:snapToGrid w:val="0"/>
        <w:spacing w:line="300" w:lineRule="auto"/>
        <w:rPr>
          <w:rFonts w:ascii="Arial" w:hAnsi="Arial" w:eastAsia="宋体" w:cs="Arial"/>
          <w:b/>
        </w:rPr>
      </w:pPr>
      <w:r>
        <w:rPr>
          <w:rFonts w:ascii="Arial" w:hAnsi="Arial" w:eastAsia="宋体" w:cs="Arial"/>
          <w:b/>
        </w:rPr>
        <w:t>1. 前言</w:t>
      </w:r>
    </w:p>
    <w:p w14:paraId="19C5B082">
      <w:pPr>
        <w:snapToGrid w:val="0"/>
        <w:spacing w:line="300" w:lineRule="auto"/>
        <w:rPr>
          <w:rFonts w:ascii="Arial" w:hAnsi="Arial" w:eastAsia="宋体" w:cs="Arial"/>
        </w:rPr>
      </w:pPr>
    </w:p>
    <w:p w14:paraId="790AA76A">
      <w:pPr>
        <w:snapToGrid w:val="0"/>
        <w:spacing w:line="300" w:lineRule="auto"/>
        <w:rPr>
          <w:rFonts w:ascii="Arial" w:hAnsi="Arial" w:eastAsia="宋体" w:cs="Arial"/>
        </w:rPr>
      </w:pPr>
      <w:bookmarkStart w:id="9" w:name="OLE_LINK45"/>
      <w:bookmarkStart w:id="10" w:name="OLE_LINK48"/>
      <w:r>
        <w:rPr>
          <w:rFonts w:ascii="Arial" w:hAnsi="Arial" w:eastAsia="宋体" w:cs="Arial"/>
        </w:rPr>
        <w:t>本指导性文件作为特殊控制指南编制，目的是支持将</w:t>
      </w:r>
      <w:bookmarkStart w:id="11" w:name="OLE_LINK39"/>
      <w:bookmarkStart w:id="12" w:name="OLE_LINK40"/>
      <w:bookmarkStart w:id="13" w:name="OLE_LINK111"/>
      <w:r>
        <w:rPr>
          <w:rFonts w:ascii="Arial" w:hAnsi="Arial" w:eastAsia="宋体" w:cs="Arial"/>
        </w:rPr>
        <w:t>荧光原位杂交（FISH）自动化计数系统</w:t>
      </w:r>
      <w:bookmarkEnd w:id="11"/>
      <w:bookmarkEnd w:id="12"/>
      <w:bookmarkEnd w:id="13"/>
      <w:r>
        <w:rPr>
          <w:rFonts w:ascii="Arial" w:hAnsi="Arial" w:eastAsia="宋体" w:cs="Arial"/>
        </w:rPr>
        <w:t>归入II类器械（特殊控制）。</w:t>
      </w:r>
      <w:bookmarkEnd w:id="9"/>
      <w:bookmarkEnd w:id="10"/>
      <w:bookmarkStart w:id="14" w:name="OLE_LINK41"/>
      <w:bookmarkStart w:id="15" w:name="OLE_LINK42"/>
      <w:bookmarkStart w:id="16" w:name="OLE_LINK113"/>
      <w:bookmarkStart w:id="17" w:name="OLE_LINK112"/>
      <w:r>
        <w:rPr>
          <w:rFonts w:ascii="Arial" w:hAnsi="Arial" w:eastAsia="宋体" w:cs="Arial"/>
        </w:rPr>
        <w:t>FISH自动化计数系统</w:t>
      </w:r>
      <w:bookmarkEnd w:id="14"/>
      <w:bookmarkEnd w:id="15"/>
      <w:r>
        <w:rPr>
          <w:rFonts w:ascii="Arial" w:hAnsi="Arial" w:eastAsia="宋体" w:cs="Arial"/>
        </w:rPr>
        <w:t>是由自动扫描显微镜和图像分析系统组成的一种器械，</w:t>
      </w:r>
      <w:bookmarkStart w:id="18" w:name="OLE_LINK117"/>
      <w:bookmarkStart w:id="19" w:name="OLE_LINK116"/>
      <w:r>
        <w:rPr>
          <w:rFonts w:ascii="Arial" w:hAnsi="Arial" w:eastAsia="宋体" w:cs="Arial"/>
        </w:rPr>
        <w:t>用于检测并计算福尔马林固定和石蜡包埋人类组织试样的间期细胞核中的FISH信号。</w:t>
      </w:r>
      <w:bookmarkEnd w:id="18"/>
      <w:bookmarkEnd w:id="19"/>
      <w:r>
        <w:rPr>
          <w:rFonts w:ascii="Arial" w:hAnsi="Arial" w:eastAsia="宋体" w:cs="Arial"/>
        </w:rPr>
        <w:t>该系统还包含普通硬件和软件平台以及为FISH检测器械定制的软件应用程序。</w:t>
      </w:r>
      <w:bookmarkEnd w:id="16"/>
      <w:bookmarkEnd w:id="17"/>
      <w:bookmarkStart w:id="20" w:name="OLE_LINK46"/>
      <w:bookmarkStart w:id="21" w:name="OLE_LINK47"/>
      <w:bookmarkStart w:id="22" w:name="OLE_LINK52"/>
      <w:bookmarkStart w:id="23" w:name="OLE_LINK114"/>
      <w:bookmarkStart w:id="24" w:name="OLE_LINK115"/>
      <w:r>
        <w:rPr>
          <w:rFonts w:ascii="Arial" w:hAnsi="Arial" w:eastAsia="宋体" w:cs="Arial"/>
        </w:rPr>
        <w:t>FISH自动化计数系统</w:t>
      </w:r>
      <w:bookmarkEnd w:id="20"/>
      <w:bookmarkEnd w:id="21"/>
      <w:bookmarkEnd w:id="22"/>
      <w:r>
        <w:rPr>
          <w:rFonts w:ascii="Arial" w:hAnsi="Arial" w:eastAsia="宋体" w:cs="Arial"/>
        </w:rPr>
        <w:t>的预期使用是配合FISH检测器械进行体外诊断，其根据对细胞色彩、大小和形状的识别辅助进行细胞的检测、计数和分类。</w:t>
      </w:r>
      <w:bookmarkStart w:id="25" w:name="OLE_LINK43"/>
      <w:bookmarkStart w:id="26" w:name="OLE_LINK44"/>
      <w:r>
        <w:rPr>
          <w:rFonts w:ascii="Arial" w:hAnsi="Arial" w:eastAsia="宋体" w:cs="Arial"/>
        </w:rPr>
        <w:t>相比于FISH</w:t>
      </w:r>
      <w:bookmarkEnd w:id="25"/>
      <w:bookmarkEnd w:id="26"/>
      <w:r>
        <w:rPr>
          <w:rFonts w:ascii="Arial" w:hAnsi="Arial" w:eastAsia="宋体" w:cs="Arial"/>
        </w:rPr>
        <w:t>检测器械的手工计数，使用自动化系统可减少手工操作时间。</w:t>
      </w:r>
    </w:p>
    <w:bookmarkEnd w:id="23"/>
    <w:bookmarkEnd w:id="24"/>
    <w:p w14:paraId="259C05B9">
      <w:pPr>
        <w:snapToGrid w:val="0"/>
        <w:spacing w:line="300" w:lineRule="auto"/>
        <w:rPr>
          <w:rFonts w:ascii="Arial" w:hAnsi="Arial" w:eastAsia="宋体" w:cs="Arial"/>
        </w:rPr>
      </w:pPr>
    </w:p>
    <w:p w14:paraId="7A1697A9">
      <w:pPr>
        <w:snapToGrid w:val="0"/>
        <w:spacing w:line="300" w:lineRule="auto"/>
        <w:rPr>
          <w:rFonts w:ascii="Arial" w:hAnsi="Arial" w:eastAsia="宋体" w:cs="Arial"/>
        </w:rPr>
      </w:pPr>
      <w:bookmarkStart w:id="27" w:name="OLE_LINK61"/>
      <w:bookmarkStart w:id="28" w:name="OLE_LINK62"/>
      <w:r>
        <w:rPr>
          <w:rFonts w:ascii="Arial" w:hAnsi="Arial" w:eastAsia="宋体" w:cs="Arial"/>
        </w:rPr>
        <w:t>本指南将与联邦公报的通告同时发布，宣布FISH计数系统的分类。</w:t>
      </w:r>
      <w:bookmarkEnd w:id="27"/>
      <w:bookmarkEnd w:id="28"/>
      <w:bookmarkStart w:id="29" w:name="OLE_LINK68"/>
      <w:r>
        <w:rPr>
          <w:rFonts w:ascii="Arial" w:hAnsi="Arial" w:eastAsia="宋体" w:cs="Arial"/>
        </w:rPr>
        <w:t>提交</w:t>
      </w:r>
      <w:bookmarkStart w:id="30" w:name="OLE_LINK64"/>
      <w:bookmarkStart w:id="31" w:name="OLE_LINK65"/>
      <w:r>
        <w:rPr>
          <w:rFonts w:ascii="Arial" w:hAnsi="Arial" w:eastAsia="宋体" w:cs="Arial"/>
        </w:rPr>
        <w:t>FISH自动化计数系统</w:t>
      </w:r>
      <w:bookmarkEnd w:id="30"/>
      <w:bookmarkEnd w:id="31"/>
      <w:r>
        <w:rPr>
          <w:rFonts w:ascii="Arial" w:hAnsi="Arial" w:eastAsia="宋体" w:cs="Arial"/>
        </w:rPr>
        <w:t>上市前通告（510（k））的任何公司均需对本特殊控制指导性文件所包含的问题予以妥善解决。然而，公司仅需说明其器械符合本指南的推荐规范或以其它方式提供安全性和有效性的等同保证。</w:t>
      </w:r>
    </w:p>
    <w:bookmarkEnd w:id="29"/>
    <w:p w14:paraId="70D00B07">
      <w:pPr>
        <w:snapToGrid w:val="0"/>
        <w:spacing w:line="300" w:lineRule="auto"/>
        <w:rPr>
          <w:rFonts w:ascii="Arial" w:hAnsi="Arial" w:eastAsia="宋体" w:cs="Arial"/>
        </w:rPr>
      </w:pPr>
    </w:p>
    <w:p w14:paraId="62BCFCC2">
      <w:pPr>
        <w:snapToGrid w:val="0"/>
        <w:spacing w:line="300" w:lineRule="auto"/>
        <w:rPr>
          <w:rFonts w:ascii="Arial" w:hAnsi="Arial" w:eastAsia="宋体" w:cs="Arial"/>
        </w:rPr>
      </w:pPr>
      <w:bookmarkStart w:id="32" w:name="OLE_LINK75"/>
      <w:r>
        <w:rPr>
          <w:rFonts w:ascii="Arial" w:hAnsi="Arial" w:eastAsia="宋体" w:cs="Arial"/>
        </w:rPr>
        <w:t>公司必须说明其器械解决了本指南识别的安全性和有效性问题。其解决问题的方式既可遵从本指导性文件提供的推荐规范，亦可采用能提供安全性和有效性等同保证的某些其它方法。</w:t>
      </w:r>
    </w:p>
    <w:bookmarkEnd w:id="32"/>
    <w:p w14:paraId="3E09EE3E">
      <w:pPr>
        <w:snapToGrid w:val="0"/>
        <w:spacing w:line="300" w:lineRule="auto"/>
        <w:rPr>
          <w:rFonts w:ascii="Arial" w:hAnsi="Arial" w:eastAsia="宋体" w:cs="Arial"/>
        </w:rPr>
      </w:pPr>
    </w:p>
    <w:p w14:paraId="6C5411E9">
      <w:pPr>
        <w:snapToGrid w:val="0"/>
        <w:spacing w:line="300" w:lineRule="auto"/>
        <w:rPr>
          <w:rFonts w:ascii="Arial" w:hAnsi="Arial" w:eastAsia="宋体" w:cs="Arial"/>
          <w:b/>
        </w:rPr>
      </w:pPr>
      <w:bookmarkStart w:id="33" w:name="OLE_LINK77"/>
      <w:r>
        <w:rPr>
          <w:rFonts w:ascii="Arial" w:hAnsi="Arial" w:eastAsia="宋体" w:cs="Arial"/>
          <w:b/>
        </w:rPr>
        <w:t>最小负担方法</w:t>
      </w:r>
    </w:p>
    <w:p w14:paraId="30BEF798">
      <w:pPr>
        <w:snapToGrid w:val="0"/>
        <w:spacing w:line="300" w:lineRule="auto"/>
        <w:rPr>
          <w:rFonts w:ascii="Arial" w:hAnsi="Arial" w:eastAsia="宋体" w:cs="Arial"/>
        </w:rPr>
      </w:pPr>
    </w:p>
    <w:p w14:paraId="172C93AF">
      <w:pPr>
        <w:snapToGrid w:val="0"/>
        <w:spacing w:line="300" w:lineRule="auto"/>
        <w:rPr>
          <w:rFonts w:ascii="Arial" w:hAnsi="Arial" w:eastAsia="宋体" w:cs="Arial"/>
        </w:rPr>
      </w:pPr>
      <w:r>
        <w:rPr>
          <w:rFonts w:ascii="Arial" w:hAnsi="Arial" w:eastAsia="宋体" w:cs="Arial"/>
        </w:rPr>
        <w:t>本指南识别的问题是我们认为贵公司的器械上市前应解决的问题。在编制本指南的过程中，我们仔细考虑了机构决策采用的相关法规标准。另外，我们还考虑了贵公司在采用本指南建议的方式努力遵从法律和法规标准并努力解决我们识别的问题过程中可能产生的负担。我们认为，我们已考虑采用最小负担方法解决本指南呈现的问题。然而，如果贵公司认为有负担更小的方法可用于解决这些问题，应遵守“</w:t>
      </w:r>
      <w:r>
        <w:rPr>
          <w:rFonts w:ascii="Arial" w:hAnsi="Arial" w:eastAsia="宋体" w:cs="Arial"/>
          <w:color w:val="800080"/>
          <w:u w:val="single"/>
        </w:rPr>
        <w:t>解决最小负担问题的建议方法</w:t>
      </w:r>
      <w:r>
        <w:rPr>
          <w:rFonts w:ascii="Arial" w:hAnsi="Arial" w:eastAsia="宋体" w:cs="Arial"/>
        </w:rPr>
        <w:t>”文件中描述的程序予以实施。</w:t>
      </w:r>
    </w:p>
    <w:bookmarkEnd w:id="33"/>
    <w:p w14:paraId="17EB9EFA">
      <w:pPr>
        <w:snapToGrid w:val="0"/>
        <w:spacing w:line="300" w:lineRule="auto"/>
        <w:rPr>
          <w:rFonts w:ascii="Arial" w:hAnsi="Arial" w:eastAsia="宋体" w:cs="Arial"/>
        </w:rPr>
      </w:pPr>
    </w:p>
    <w:p w14:paraId="49E1F537">
      <w:pPr>
        <w:snapToGrid w:val="0"/>
        <w:spacing w:line="300" w:lineRule="auto"/>
        <w:rPr>
          <w:rFonts w:ascii="Arial" w:hAnsi="Arial" w:eastAsia="宋体" w:cs="Arial"/>
          <w:b/>
        </w:rPr>
      </w:pPr>
      <w:r>
        <w:rPr>
          <w:rFonts w:ascii="Arial" w:hAnsi="Arial" w:eastAsia="宋体" w:cs="Arial"/>
          <w:b/>
        </w:rPr>
        <w:t>2. 背景</w:t>
      </w:r>
    </w:p>
    <w:p w14:paraId="48230AF1">
      <w:pPr>
        <w:snapToGrid w:val="0"/>
        <w:spacing w:line="300" w:lineRule="auto"/>
        <w:rPr>
          <w:rFonts w:ascii="Arial" w:hAnsi="Arial" w:eastAsia="宋体" w:cs="Arial"/>
        </w:rPr>
      </w:pPr>
    </w:p>
    <w:p w14:paraId="2A6C51B7">
      <w:pPr>
        <w:snapToGrid w:val="0"/>
        <w:spacing w:line="300" w:lineRule="auto"/>
        <w:rPr>
          <w:rFonts w:ascii="Arial" w:hAnsi="Arial" w:eastAsia="宋体" w:cs="Arial"/>
        </w:rPr>
      </w:pPr>
      <w:r>
        <w:rPr>
          <w:rFonts w:ascii="Arial" w:hAnsi="Arial" w:eastAsia="宋体" w:cs="Arial"/>
        </w:rPr>
        <w:t>FDA认为，特殊控制措施与通用控制措施相结合足以对</w:t>
      </w:r>
      <w:bookmarkStart w:id="34" w:name="OLE_LINK67"/>
      <w:bookmarkStart w:id="35" w:name="OLE_LINK102"/>
      <w:bookmarkStart w:id="36" w:name="OLE_LINK66"/>
      <w:r>
        <w:rPr>
          <w:rFonts w:ascii="Arial" w:hAnsi="Arial" w:eastAsia="宋体" w:cs="Arial"/>
        </w:rPr>
        <w:t>FISH自动化计数系统</w:t>
      </w:r>
      <w:bookmarkEnd w:id="34"/>
      <w:bookmarkEnd w:id="35"/>
      <w:bookmarkEnd w:id="36"/>
      <w:r>
        <w:rPr>
          <w:rFonts w:ascii="Arial" w:hAnsi="Arial" w:eastAsia="宋体" w:cs="Arial"/>
        </w:rPr>
        <w:t>的安全性和有效性提供合理保证。拟销售该通用类型器械的制造商应（1）遵从联邦食品、药品和化妆品法案（简称法案）规定的通用控制措施，包括</w:t>
      </w:r>
      <w:r>
        <w:rPr>
          <w:rFonts w:ascii="Arial" w:hAnsi="Arial" w:eastAsia="宋体" w:cs="Arial"/>
          <w:color w:val="800080"/>
          <w:u w:val="single"/>
        </w:rPr>
        <w:t>21 CFR 第807</w:t>
      </w:r>
      <w:r>
        <w:rPr>
          <w:rFonts w:ascii="Arial" w:hAnsi="Arial" w:eastAsia="宋体" w:cs="Arial"/>
        </w:rPr>
        <w:t>部分第E子部分描述的上市前通告要求，（2）解决本指南识别的与</w:t>
      </w:r>
      <w:bookmarkStart w:id="37" w:name="OLE_LINK71"/>
      <w:bookmarkStart w:id="38" w:name="OLE_LINK70"/>
      <w:r>
        <w:rPr>
          <w:rFonts w:ascii="Arial" w:hAnsi="Arial" w:eastAsia="宋体" w:cs="Arial"/>
        </w:rPr>
        <w:t>FISH自动化计数系统</w:t>
      </w:r>
      <w:bookmarkEnd w:id="37"/>
      <w:bookmarkEnd w:id="38"/>
      <w:r>
        <w:rPr>
          <w:rFonts w:ascii="Arial" w:hAnsi="Arial" w:eastAsia="宋体" w:cs="Arial"/>
        </w:rPr>
        <w:t>有关的特定健康风险，（3）于销售该器械前获得FDA做出的实质等同认定。</w:t>
      </w:r>
    </w:p>
    <w:p w14:paraId="0DE5841A">
      <w:pPr>
        <w:snapToGrid w:val="0"/>
        <w:spacing w:line="300" w:lineRule="auto"/>
        <w:rPr>
          <w:rFonts w:ascii="Arial" w:hAnsi="Arial" w:eastAsia="宋体" w:cs="Arial"/>
        </w:rPr>
      </w:pPr>
    </w:p>
    <w:p w14:paraId="4CE9C061">
      <w:pPr>
        <w:widowControl/>
        <w:jc w:val="left"/>
        <w:rPr>
          <w:rFonts w:ascii="Arial" w:hAnsi="Arial" w:eastAsia="宋体" w:cs="Arial"/>
        </w:rPr>
      </w:pPr>
      <w:r>
        <w:rPr>
          <w:rFonts w:ascii="Arial" w:hAnsi="Arial" w:eastAsia="宋体" w:cs="Arial"/>
        </w:rPr>
        <w:br w:type="page"/>
      </w:r>
    </w:p>
    <w:p w14:paraId="43C52557">
      <w:pPr>
        <w:snapToGrid w:val="0"/>
        <w:spacing w:line="300" w:lineRule="auto"/>
        <w:rPr>
          <w:rFonts w:ascii="Arial" w:hAnsi="Arial" w:eastAsia="宋体" w:cs="Arial"/>
        </w:rPr>
      </w:pPr>
      <w:r>
        <w:rPr>
          <w:rFonts w:ascii="Arial" w:hAnsi="Arial" w:eastAsia="宋体" w:cs="Arial"/>
        </w:rPr>
        <w:t>本指导性文件确认识别了</w:t>
      </w:r>
      <w:bookmarkStart w:id="39" w:name="OLE_LINK72"/>
      <w:r>
        <w:rPr>
          <w:rFonts w:ascii="Arial" w:hAnsi="Arial" w:eastAsia="宋体" w:cs="Arial"/>
        </w:rPr>
        <w:t>FISH自动化计数系统</w:t>
      </w:r>
      <w:bookmarkEnd w:id="39"/>
      <w:r>
        <w:rPr>
          <w:rFonts w:ascii="Arial" w:hAnsi="Arial" w:eastAsia="宋体" w:cs="Arial"/>
        </w:rPr>
        <w:t>的分类法规和产品代码（参考</w:t>
      </w:r>
      <w:r>
        <w:rPr>
          <w:rFonts w:ascii="Arial" w:hAnsi="Arial" w:eastAsia="宋体" w:cs="Arial"/>
          <w:color w:val="800080"/>
          <w:u w:val="single"/>
        </w:rPr>
        <w:t>第4节－适用范围</w:t>
      </w:r>
      <w:r>
        <w:rPr>
          <w:rFonts w:ascii="Arial" w:hAnsi="Arial" w:eastAsia="宋体" w:cs="Arial"/>
        </w:rPr>
        <w:t>）。另外，本指导性文件在其它部分识别了健康风险并描述了相应的控制措施。制造商若遵从这些措施并与通用控制措施相结合，通常可解决与FISH自动化计数系统相关的健康风险并可使510（k）提交资料及时获得审查和许可。本文件在上市前通告提交资料所含特殊内容要求方面弥补了FDA其它文件的不足之处。贵公司还应参考</w:t>
      </w:r>
      <w:r>
        <w:rPr>
          <w:rFonts w:ascii="Arial" w:hAnsi="Arial" w:eastAsia="宋体" w:cs="Arial"/>
          <w:color w:val="800080"/>
          <w:u w:val="single"/>
        </w:rPr>
        <w:t>21 CFR 807.87</w:t>
      </w:r>
      <w:r>
        <w:rPr>
          <w:rFonts w:ascii="Arial" w:hAnsi="Arial" w:eastAsia="宋体" w:cs="Arial"/>
        </w:rPr>
        <w:t>和FDA关于该主题的其它文件，如</w:t>
      </w:r>
      <w:r>
        <w:rPr>
          <w:rFonts w:ascii="Arial" w:hAnsi="Arial" w:eastAsia="宋体" w:cs="Arial"/>
          <w:color w:val="800080"/>
          <w:u w:val="single"/>
        </w:rPr>
        <w:t>上市前通告510（k）</w:t>
      </w:r>
      <w:r>
        <w:rPr>
          <w:rFonts w:ascii="Arial" w:hAnsi="Arial" w:eastAsia="宋体" w:cs="Arial"/>
        </w:rPr>
        <w:t>。</w:t>
      </w:r>
    </w:p>
    <w:p w14:paraId="1600BDC0">
      <w:pPr>
        <w:snapToGrid w:val="0"/>
        <w:spacing w:line="300" w:lineRule="auto"/>
        <w:rPr>
          <w:rFonts w:ascii="Arial" w:hAnsi="Arial" w:eastAsia="宋体" w:cs="Arial"/>
        </w:rPr>
      </w:pPr>
    </w:p>
    <w:p w14:paraId="35942A70">
      <w:pPr>
        <w:snapToGrid w:val="0"/>
        <w:spacing w:line="300" w:lineRule="auto"/>
        <w:rPr>
          <w:rFonts w:ascii="Arial" w:hAnsi="Arial" w:eastAsia="宋体" w:cs="Arial"/>
        </w:rPr>
      </w:pPr>
      <w:r>
        <w:rPr>
          <w:rFonts w:ascii="Arial" w:hAnsi="Arial" w:eastAsia="宋体" w:cs="Arial"/>
        </w:rPr>
        <w:t>如“</w:t>
      </w:r>
      <w:r>
        <w:rPr>
          <w:rFonts w:ascii="Arial" w:hAnsi="Arial" w:eastAsia="宋体" w:cs="Arial"/>
          <w:b/>
        </w:rPr>
        <w:t>新510（k）范本－在上市前通告中证明实质等同的替代方法；最终指南</w:t>
      </w:r>
      <w:r>
        <w:rPr>
          <w:rFonts w:ascii="Arial" w:hAnsi="Arial" w:eastAsia="宋体" w:cs="Arial"/>
        </w:rPr>
        <w:t>”所述，</w:t>
      </w:r>
      <w:r>
        <w:rPr>
          <w:rFonts w:ascii="Arial" w:hAnsi="Arial" w:eastAsia="宋体" w:cs="Arial"/>
          <w:vertAlign w:val="superscript"/>
        </w:rPr>
        <w:t>1</w:t>
      </w:r>
      <w:r>
        <w:rPr>
          <w:rFonts w:ascii="Arial" w:hAnsi="Arial" w:eastAsia="宋体" w:cs="Arial"/>
        </w:rPr>
        <w:t>制造商既可提交传统510（k）提交资料，亦可提交简化510（k）提交资料。FDA认为，简化510（k）提交资料提供了证明新器械实质等同的最小负担方法，FDA发布了指导性文件后尤其如此。该指导性文件提供了在提交器械提交资料时应解决哪些问题的推荐规范。另外，考虑对获得许可器械进行修改的制造商提交特殊510（k）提交可减轻法规负担。</w:t>
      </w:r>
    </w:p>
    <w:p w14:paraId="5907E3D7">
      <w:pPr>
        <w:snapToGrid w:val="0"/>
        <w:spacing w:line="300" w:lineRule="auto"/>
        <w:rPr>
          <w:rFonts w:ascii="Arial" w:hAnsi="Arial" w:eastAsia="宋体" w:cs="Arial"/>
        </w:rPr>
      </w:pPr>
    </w:p>
    <w:p w14:paraId="047D5433">
      <w:pPr>
        <w:snapToGrid w:val="0"/>
        <w:spacing w:line="300" w:lineRule="auto"/>
        <w:rPr>
          <w:rFonts w:ascii="Arial" w:hAnsi="Arial" w:eastAsia="宋体" w:cs="Arial"/>
          <w:b/>
        </w:rPr>
      </w:pPr>
      <w:r>
        <w:rPr>
          <w:rFonts w:ascii="Arial" w:hAnsi="Arial" w:eastAsia="宋体" w:cs="Arial"/>
          <w:b/>
        </w:rPr>
        <w:t>3. 简化510（k）提交资料的内容和格式</w:t>
      </w:r>
    </w:p>
    <w:p w14:paraId="245438EB">
      <w:pPr>
        <w:snapToGrid w:val="0"/>
        <w:spacing w:line="300" w:lineRule="auto"/>
        <w:rPr>
          <w:rFonts w:ascii="Arial" w:hAnsi="Arial" w:eastAsia="宋体" w:cs="Arial"/>
        </w:rPr>
      </w:pPr>
    </w:p>
    <w:p w14:paraId="76365A32">
      <w:pPr>
        <w:snapToGrid w:val="0"/>
        <w:spacing w:line="300" w:lineRule="auto"/>
        <w:rPr>
          <w:rFonts w:ascii="Arial" w:hAnsi="Arial" w:eastAsia="宋体" w:cs="Arial"/>
        </w:rPr>
      </w:pPr>
      <w:r>
        <w:rPr>
          <w:rFonts w:ascii="Arial" w:hAnsi="Arial" w:eastAsia="宋体" w:cs="Arial"/>
        </w:rPr>
        <w:t>简化510（k）提交资料必须包括21 CFR 807.87识别的必要元素（包括足以描述器械、预期使用和使用说明的拟定标签）。在简化510（k）提交资料中，FDA会考虑总结报告的内容是否适当支持了符合21 CFR 807.87(f)或(g)意义的数据。因此，我们建议贵公司在该文件中包括总结报告。该报告应对器械开发和检测期间如何使用本指导性文件做出说明并描述所用方法或实验。报告还应包括实验数据汇总或对验收标准的描述。验收标准适用于处理本文件确认的健康风险以及贵公司的器械所特有的任何其它风险。本节提供信息的目的是为了满足807.87部分的某些要求以及我们建议贵公司将其包含在简化510（k）提交资料中的某些其它项目。</w:t>
      </w:r>
    </w:p>
    <w:p w14:paraId="21949BB3">
      <w:pPr>
        <w:snapToGrid w:val="0"/>
        <w:spacing w:line="300" w:lineRule="auto"/>
        <w:rPr>
          <w:rFonts w:ascii="Arial" w:hAnsi="Arial" w:eastAsia="宋体" w:cs="Arial"/>
        </w:rPr>
      </w:pPr>
    </w:p>
    <w:p w14:paraId="056F2BA1">
      <w:pPr>
        <w:snapToGrid w:val="0"/>
        <w:spacing w:line="300" w:lineRule="auto"/>
        <w:rPr>
          <w:rFonts w:ascii="Arial" w:hAnsi="Arial" w:eastAsia="宋体" w:cs="Arial"/>
          <w:b/>
        </w:rPr>
      </w:pPr>
      <w:r>
        <w:rPr>
          <w:rFonts w:ascii="Arial" w:hAnsi="Arial" w:eastAsia="宋体" w:cs="Arial"/>
          <w:b/>
        </w:rPr>
        <w:t>封面</w:t>
      </w:r>
    </w:p>
    <w:p w14:paraId="2347CD89">
      <w:pPr>
        <w:snapToGrid w:val="0"/>
        <w:spacing w:line="300" w:lineRule="auto"/>
        <w:rPr>
          <w:rFonts w:ascii="Arial" w:hAnsi="Arial" w:eastAsia="宋体" w:cs="Arial"/>
        </w:rPr>
      </w:pPr>
    </w:p>
    <w:p w14:paraId="2FB8B001">
      <w:pPr>
        <w:snapToGrid w:val="0"/>
        <w:spacing w:line="300" w:lineRule="auto"/>
        <w:rPr>
          <w:rFonts w:ascii="Arial" w:hAnsi="Arial" w:eastAsia="宋体" w:cs="Arial"/>
        </w:rPr>
      </w:pPr>
      <w:r>
        <w:rPr>
          <w:rFonts w:ascii="Arial" w:hAnsi="Arial" w:eastAsia="宋体" w:cs="Arial"/>
        </w:rPr>
        <w:t>在封面上应以醒目方式显示本提交资料为简化510（k）提交资料并注明本指导性文件的标题。</w:t>
      </w:r>
    </w:p>
    <w:p w14:paraId="72257870">
      <w:pPr>
        <w:snapToGrid w:val="0"/>
        <w:spacing w:line="300" w:lineRule="auto"/>
        <w:rPr>
          <w:rFonts w:ascii="Arial" w:hAnsi="Arial" w:eastAsia="宋体" w:cs="Arial"/>
        </w:rPr>
      </w:pPr>
    </w:p>
    <w:p w14:paraId="4B7F0A59">
      <w:pPr>
        <w:snapToGrid w:val="0"/>
        <w:spacing w:line="300" w:lineRule="auto"/>
        <w:rPr>
          <w:rFonts w:ascii="Arial" w:hAnsi="Arial" w:eastAsia="宋体" w:cs="Arial"/>
          <w:b/>
        </w:rPr>
      </w:pPr>
      <w:r>
        <w:rPr>
          <w:rFonts w:ascii="Arial" w:hAnsi="Arial" w:eastAsia="宋体" w:cs="Arial"/>
          <w:b/>
        </w:rPr>
        <w:t>拟定标签</w:t>
      </w:r>
    </w:p>
    <w:p w14:paraId="7BA2C193">
      <w:pPr>
        <w:snapToGrid w:val="0"/>
        <w:spacing w:line="300" w:lineRule="auto"/>
        <w:rPr>
          <w:rFonts w:ascii="Arial" w:hAnsi="Arial" w:eastAsia="宋体" w:cs="Arial"/>
        </w:rPr>
      </w:pPr>
    </w:p>
    <w:p w14:paraId="76ECEBE4">
      <w:pPr>
        <w:snapToGrid w:val="0"/>
        <w:spacing w:line="300" w:lineRule="auto"/>
        <w:rPr>
          <w:rFonts w:ascii="Arial" w:hAnsi="Arial" w:eastAsia="宋体" w:cs="Arial"/>
        </w:rPr>
      </w:pPr>
      <w:r>
        <w:rPr>
          <w:rFonts w:ascii="Arial" w:hAnsi="Arial" w:eastAsia="宋体" w:cs="Arial"/>
        </w:rPr>
        <w:t>拟定标签应足以描述该器械、其预期使用和使用说明。（</w:t>
      </w:r>
      <w:bookmarkStart w:id="40" w:name="OLE_LINK1"/>
      <w:bookmarkStart w:id="41" w:name="OLE_LINK3"/>
      <w:bookmarkStart w:id="42" w:name="OLE_LINK4"/>
      <w:r>
        <w:rPr>
          <w:rFonts w:ascii="Arial" w:hAnsi="Arial" w:eastAsia="宋体" w:cs="Arial"/>
        </w:rPr>
        <w:t>具体信息见第8节，贵公司应将这些信息包含在该类型器械的标签中</w:t>
      </w:r>
      <w:bookmarkEnd w:id="40"/>
      <w:bookmarkEnd w:id="41"/>
      <w:bookmarkEnd w:id="42"/>
      <w:r>
        <w:rPr>
          <w:rFonts w:ascii="Arial" w:hAnsi="Arial" w:eastAsia="宋体" w:cs="Arial"/>
        </w:rPr>
        <w:t>）</w:t>
      </w:r>
    </w:p>
    <w:p w14:paraId="0BAAE121">
      <w:pPr>
        <w:snapToGrid w:val="0"/>
        <w:spacing w:line="300" w:lineRule="auto"/>
        <w:rPr>
          <w:rFonts w:ascii="Arial" w:hAnsi="Arial" w:eastAsia="宋体" w:cs="Arial"/>
        </w:rPr>
      </w:pPr>
    </w:p>
    <w:p w14:paraId="7577CE10">
      <w:pPr>
        <w:snapToGrid w:val="0"/>
        <w:spacing w:line="300" w:lineRule="auto"/>
        <w:rPr>
          <w:rFonts w:ascii="Arial" w:hAnsi="Arial" w:eastAsia="宋体" w:cs="Arial"/>
          <w:b/>
        </w:rPr>
      </w:pPr>
      <w:r>
        <w:rPr>
          <w:rFonts w:ascii="Arial" w:hAnsi="Arial" w:eastAsia="宋体" w:cs="Arial"/>
          <w:b/>
        </w:rPr>
        <w:t>总结报告</w:t>
      </w:r>
    </w:p>
    <w:p w14:paraId="3A07EAD1">
      <w:pPr>
        <w:snapToGrid w:val="0"/>
        <w:spacing w:line="300" w:lineRule="auto"/>
        <w:rPr>
          <w:rFonts w:ascii="Arial" w:hAnsi="Arial" w:eastAsia="宋体" w:cs="Arial"/>
        </w:rPr>
      </w:pPr>
    </w:p>
    <w:p w14:paraId="649CFB88">
      <w:pPr>
        <w:snapToGrid w:val="0"/>
        <w:spacing w:line="300" w:lineRule="auto"/>
        <w:rPr>
          <w:rFonts w:ascii="Arial" w:hAnsi="Arial" w:eastAsia="宋体" w:cs="Arial"/>
        </w:rPr>
      </w:pPr>
      <w:r>
        <w:rPr>
          <w:rFonts w:ascii="Arial" w:hAnsi="Arial" w:eastAsia="宋体" w:cs="Arial"/>
        </w:rPr>
        <w:t>我们建议在总结报告中包含下列内容：</w:t>
      </w:r>
    </w:p>
    <w:p w14:paraId="6DE1E7FC">
      <w:pPr>
        <w:snapToGrid w:val="0"/>
        <w:spacing w:line="300" w:lineRule="auto"/>
        <w:rPr>
          <w:rFonts w:ascii="Arial" w:hAnsi="Arial" w:eastAsia="宋体" w:cs="Arial"/>
        </w:rPr>
      </w:pPr>
    </w:p>
    <w:p w14:paraId="7892EE5F">
      <w:pPr>
        <w:pStyle w:val="11"/>
        <w:numPr>
          <w:ilvl w:val="0"/>
          <w:numId w:val="1"/>
        </w:numPr>
        <w:snapToGrid w:val="0"/>
        <w:spacing w:line="300" w:lineRule="auto"/>
        <w:ind w:firstLineChars="0"/>
        <w:rPr>
          <w:rFonts w:ascii="Arial" w:hAnsi="Arial" w:eastAsia="宋体" w:cs="Arial"/>
        </w:rPr>
      </w:pPr>
      <w:r>
        <w:rPr>
          <w:rFonts w:ascii="Arial" w:hAnsi="Arial" w:eastAsia="宋体" w:cs="Arial"/>
        </w:rPr>
        <w:t>对该器械及其预期使用的描述。贵公司还应提交一份“适应症”附件。</w:t>
      </w:r>
      <w:r>
        <w:rPr>
          <w:rFonts w:ascii="Arial" w:hAnsi="Arial" w:eastAsia="宋体" w:cs="Arial"/>
          <w:vertAlign w:val="superscript"/>
        </w:rPr>
        <w:t>2</w:t>
      </w:r>
    </w:p>
    <w:p w14:paraId="50E0798D">
      <w:pPr>
        <w:pStyle w:val="11"/>
        <w:numPr>
          <w:ilvl w:val="0"/>
          <w:numId w:val="1"/>
        </w:numPr>
        <w:snapToGrid w:val="0"/>
        <w:spacing w:line="300" w:lineRule="auto"/>
        <w:ind w:firstLineChars="0"/>
        <w:rPr>
          <w:rFonts w:ascii="Arial" w:hAnsi="Arial" w:eastAsia="宋体" w:cs="Arial"/>
        </w:rPr>
      </w:pPr>
      <w:bookmarkStart w:id="43" w:name="OLE_LINK90"/>
      <w:bookmarkStart w:id="44" w:name="OLE_LINK89"/>
      <w:r>
        <w:rPr>
          <w:rFonts w:ascii="Arial" w:hAnsi="Arial" w:eastAsia="宋体" w:cs="Arial"/>
        </w:rPr>
        <w:t>对器械设计的描述。我们建议在描述中包含对性能参数的全面讨论，适当的时候还要包含该器械详细、有标识的图纸。</w:t>
      </w:r>
    </w:p>
    <w:bookmarkEnd w:id="43"/>
    <w:bookmarkEnd w:id="44"/>
    <w:p w14:paraId="6A5B56C9">
      <w:pPr>
        <w:pStyle w:val="11"/>
        <w:numPr>
          <w:ilvl w:val="0"/>
          <w:numId w:val="1"/>
        </w:numPr>
        <w:snapToGrid w:val="0"/>
        <w:spacing w:line="300" w:lineRule="auto"/>
        <w:ind w:firstLineChars="0"/>
        <w:rPr>
          <w:rFonts w:ascii="Arial" w:hAnsi="Arial" w:eastAsia="宋体" w:cs="Arial"/>
        </w:rPr>
      </w:pPr>
      <w:r>
        <w:rPr>
          <w:rFonts w:ascii="Arial" w:hAnsi="Arial" w:eastAsia="宋体" w:cs="Arial"/>
        </w:rPr>
        <w:t>对器械设计的描述。我们建议在描述中包含对性能参数的全面讨论，适当的时候还要包含该器械详细、有标识的草图。对风险分析方法的识别。通常采用这些方法评估风险状况以及具体器械的设计和分析结果（通常与使用该器械有关的健康风险见第5节）。</w:t>
      </w:r>
    </w:p>
    <w:p w14:paraId="3DF65177">
      <w:pPr>
        <w:pStyle w:val="11"/>
        <w:numPr>
          <w:ilvl w:val="0"/>
          <w:numId w:val="1"/>
        </w:numPr>
        <w:snapToGrid w:val="0"/>
        <w:spacing w:line="300" w:lineRule="auto"/>
        <w:ind w:firstLineChars="0"/>
        <w:rPr>
          <w:rFonts w:ascii="Arial" w:hAnsi="Arial" w:eastAsia="宋体" w:cs="Arial"/>
        </w:rPr>
      </w:pPr>
      <w:r>
        <w:rPr>
          <w:rFonts w:ascii="Arial" w:hAnsi="Arial" w:eastAsia="宋体" w:cs="Arial"/>
        </w:rPr>
        <w:t>对器械特征的讨论。利用这些特征可解决本II类指导性文件确认识别的风险问题以及在贵公司的风险分析中识别的任何其它风险问题。</w:t>
      </w:r>
    </w:p>
    <w:p w14:paraId="5DE43832">
      <w:pPr>
        <w:pStyle w:val="11"/>
        <w:numPr>
          <w:ilvl w:val="0"/>
          <w:numId w:val="1"/>
        </w:numPr>
        <w:snapToGrid w:val="0"/>
        <w:spacing w:line="300" w:lineRule="auto"/>
        <w:ind w:firstLineChars="0"/>
        <w:rPr>
          <w:rFonts w:ascii="Arial" w:hAnsi="Arial" w:eastAsia="宋体" w:cs="Arial"/>
          <w:vertAlign w:val="superscript"/>
        </w:rPr>
      </w:pPr>
      <w:r>
        <w:rPr>
          <w:rFonts w:ascii="Arial" w:hAnsi="Arial" w:eastAsia="宋体" w:cs="Arial"/>
        </w:rPr>
        <w:t>·对试验方法的简要描述。贵公司已经使用或打算使用这些方法解决本指导性文件第6-7节识别的每个性能问题。如果贵公司遵从所建议的试验方法进行了试验，可引用该方法而不需对其进行描述。如果贵公司对所建议的试验方法做过更改，可引用该方法，但应提供足够信息对更改的性质和理由做出解释。对每种试验方法，贵公司既可（1）以清晰、简洁的方式（如表格）简要呈现试验产生的数据，亦可（2）描述将要用于自身试验结果的验收标准（亦见</w:t>
      </w:r>
      <w:r>
        <w:rPr>
          <w:rFonts w:ascii="Arial" w:hAnsi="Arial" w:eastAsia="宋体" w:cs="Arial"/>
          <w:color w:val="800080"/>
          <w:u w:val="single"/>
        </w:rPr>
        <w:t>21 CFR 820.30</w:t>
      </w:r>
      <w:r>
        <w:rPr>
          <w:rFonts w:ascii="Arial" w:hAnsi="Arial" w:eastAsia="宋体" w:cs="Arial"/>
        </w:rPr>
        <w:t>第Ｃ子部分－适用于质量体系法规的设计控制）。</w:t>
      </w:r>
      <w:r>
        <w:rPr>
          <w:rFonts w:ascii="Arial" w:hAnsi="Arial" w:eastAsia="宋体" w:cs="Arial"/>
          <w:vertAlign w:val="superscript"/>
        </w:rPr>
        <w:t>3</w:t>
      </w:r>
    </w:p>
    <w:p w14:paraId="0FFE0F28">
      <w:pPr>
        <w:pStyle w:val="11"/>
        <w:numPr>
          <w:ilvl w:val="0"/>
          <w:numId w:val="1"/>
        </w:numPr>
        <w:snapToGrid w:val="0"/>
        <w:spacing w:line="300" w:lineRule="auto"/>
        <w:ind w:firstLineChars="0"/>
        <w:rPr>
          <w:rFonts w:ascii="Arial" w:hAnsi="Arial" w:eastAsia="宋体" w:cs="Arial"/>
        </w:rPr>
      </w:pPr>
      <w:r>
        <w:rPr>
          <w:rFonts w:ascii="Arial" w:hAnsi="Arial" w:eastAsia="宋体" w:cs="Arial"/>
        </w:rPr>
        <w:t>如果贵公司决定器械设计或检测的任何部分都依赖一个公认标准，贵公司既可包含（１）产品上市前贵公司将进行检测且检测将满足规定验收标准的陈述，亦可包含（２）符合该标准的声明。</w:t>
      </w:r>
      <w:r>
        <w:rPr>
          <w:rFonts w:ascii="Arial" w:hAnsi="Arial" w:eastAsia="宋体" w:cs="Arial"/>
          <w:vertAlign w:val="superscript"/>
        </w:rPr>
        <w:t>４</w:t>
      </w:r>
      <w:r>
        <w:rPr>
          <w:rFonts w:ascii="Arial" w:hAnsi="Arial" w:eastAsia="宋体" w:cs="Arial"/>
        </w:rPr>
        <w:t>由于遵从声明建立在检测结果的基础之上，我们认为贵公司在完成该标准描述的检测之前无法正确提交符合声明。若欲了解更多信息，请参考上述法案的第514(c)(1)(B)部分和FDA指南“</w:t>
      </w:r>
      <w:r>
        <w:rPr>
          <w:rFonts w:ascii="Arial" w:hAnsi="Arial" w:eastAsia="宋体" w:cs="Arial"/>
          <w:b/>
          <w:color w:val="800080"/>
        </w:rPr>
        <w:t>标准在实质等同认定过程中的应用；行业和FDA用最终指南</w:t>
      </w:r>
      <w:r>
        <w:rPr>
          <w:rFonts w:ascii="Arial" w:hAnsi="Arial" w:eastAsia="宋体" w:cs="Arial"/>
        </w:rPr>
        <w:t>”。</w:t>
      </w:r>
    </w:p>
    <w:p w14:paraId="31323315">
      <w:pPr>
        <w:snapToGrid w:val="0"/>
        <w:spacing w:line="300" w:lineRule="auto"/>
        <w:rPr>
          <w:rFonts w:ascii="Arial" w:hAnsi="Arial" w:eastAsia="宋体" w:cs="Arial"/>
        </w:rPr>
      </w:pPr>
    </w:p>
    <w:p w14:paraId="3528FB21">
      <w:pPr>
        <w:snapToGrid w:val="0"/>
        <w:spacing w:line="300" w:lineRule="auto"/>
        <w:rPr>
          <w:rFonts w:ascii="Arial" w:hAnsi="Arial" w:eastAsia="宋体" w:cs="Arial"/>
        </w:rPr>
      </w:pPr>
      <w:r>
        <w:rPr>
          <w:rFonts w:ascii="Arial" w:hAnsi="Arial" w:eastAsia="宋体" w:cs="Arial"/>
        </w:rPr>
        <w:t>对于FDA确认的风险或贵公司在风险分析过程中确认的风险，如果贵公司不清楚是如何处理的，我们可以要求贵公司提供关于器械性能特征各方面的其它信息。如果需要其它信息用来评估贵公司所用验收标准是否合适，我们亦会要求贵公司予以提供（根据21 CFR 807.87(l)的规定，我们可以要求贵公司提供做出实质等同认定所必需的任何其它信息）。</w:t>
      </w:r>
    </w:p>
    <w:p w14:paraId="0D364742">
      <w:pPr>
        <w:snapToGrid w:val="0"/>
        <w:spacing w:line="300" w:lineRule="auto"/>
        <w:rPr>
          <w:rFonts w:ascii="Arial" w:hAnsi="Arial" w:eastAsia="宋体" w:cs="Arial"/>
        </w:rPr>
      </w:pPr>
    </w:p>
    <w:p w14:paraId="4A0EF177">
      <w:pPr>
        <w:snapToGrid w:val="0"/>
        <w:spacing w:line="300" w:lineRule="auto"/>
        <w:rPr>
          <w:rFonts w:ascii="Arial" w:hAnsi="Arial" w:eastAsia="宋体" w:cs="Arial"/>
        </w:rPr>
      </w:pPr>
      <w:r>
        <w:rPr>
          <w:rFonts w:ascii="Arial" w:hAnsi="Arial" w:eastAsia="宋体" w:cs="Arial"/>
        </w:rPr>
        <w:t>作为提交简化510（k）提交资料的替代办法，贵公司可提交传统510（k）提交资料。该版本的文件可提供21 CFR 807.87规定要求并在本指导性文件中描述的信息与数据。传统510（k）提交资料中应包含贵公司的方法、数据、验收标准和结论。考虑对获得许可器械进行更改的制造商应考虑提交特殊510（k）提交资料。</w:t>
      </w:r>
    </w:p>
    <w:p w14:paraId="2104BD92">
      <w:pPr>
        <w:snapToGrid w:val="0"/>
        <w:spacing w:line="300" w:lineRule="auto"/>
        <w:rPr>
          <w:rFonts w:ascii="Arial" w:hAnsi="Arial" w:eastAsia="宋体" w:cs="Arial"/>
        </w:rPr>
      </w:pPr>
    </w:p>
    <w:p w14:paraId="0CC649DF">
      <w:pPr>
        <w:snapToGrid w:val="0"/>
        <w:spacing w:line="300" w:lineRule="auto"/>
        <w:rPr>
          <w:rFonts w:ascii="Arial" w:hAnsi="Arial" w:eastAsia="宋体" w:cs="Arial"/>
        </w:rPr>
      </w:pPr>
      <w:r>
        <w:rPr>
          <w:rFonts w:ascii="Arial" w:hAnsi="Arial" w:eastAsia="宋体" w:cs="Arial"/>
        </w:rPr>
        <w:t>上述一般讨论适用于应遵从特殊控制指导性文件的任何器械。下面将专门讨论贵公司在提交FISH自动化计数系统的上市前通告时应如何使用该特殊控制指导性文件。</w:t>
      </w:r>
    </w:p>
    <w:p w14:paraId="64128F9A">
      <w:pPr>
        <w:snapToGrid w:val="0"/>
        <w:spacing w:line="300" w:lineRule="auto"/>
        <w:rPr>
          <w:rFonts w:ascii="Arial" w:hAnsi="Arial" w:eastAsia="宋体" w:cs="Arial"/>
        </w:rPr>
      </w:pPr>
    </w:p>
    <w:p w14:paraId="375A6FB4">
      <w:pPr>
        <w:snapToGrid w:val="0"/>
        <w:spacing w:line="300" w:lineRule="auto"/>
        <w:rPr>
          <w:rFonts w:ascii="Arial" w:hAnsi="Arial" w:eastAsia="宋体" w:cs="Arial"/>
          <w:b/>
        </w:rPr>
      </w:pPr>
      <w:r>
        <w:rPr>
          <w:rFonts w:ascii="Arial" w:hAnsi="Arial" w:eastAsia="宋体" w:cs="Arial"/>
          <w:b/>
        </w:rPr>
        <w:t>4. 适用范围</w:t>
      </w:r>
    </w:p>
    <w:p w14:paraId="02E357F1">
      <w:pPr>
        <w:snapToGrid w:val="0"/>
        <w:spacing w:line="300" w:lineRule="auto"/>
        <w:rPr>
          <w:rFonts w:ascii="Arial" w:hAnsi="Arial" w:eastAsia="宋体" w:cs="Arial"/>
        </w:rPr>
      </w:pPr>
    </w:p>
    <w:p w14:paraId="6E7D34C3">
      <w:pPr>
        <w:snapToGrid w:val="0"/>
        <w:spacing w:line="300" w:lineRule="auto"/>
        <w:rPr>
          <w:rFonts w:ascii="Arial" w:hAnsi="Arial" w:eastAsia="宋体" w:cs="Arial"/>
        </w:rPr>
      </w:pPr>
      <w:r>
        <w:rPr>
          <w:rFonts w:ascii="Arial" w:hAnsi="Arial" w:eastAsia="宋体" w:cs="Arial"/>
        </w:rPr>
        <w:t>本文件的适用范围限于在21 CFR 866.4700中描述的下列器械（产品代码：NTH）：</w:t>
      </w:r>
    </w:p>
    <w:p w14:paraId="4322350E">
      <w:pPr>
        <w:snapToGrid w:val="0"/>
        <w:spacing w:line="300" w:lineRule="auto"/>
        <w:rPr>
          <w:rFonts w:ascii="Arial" w:hAnsi="Arial" w:eastAsia="宋体" w:cs="Arial"/>
        </w:rPr>
      </w:pPr>
    </w:p>
    <w:p w14:paraId="0F258795">
      <w:pPr>
        <w:snapToGrid w:val="0"/>
        <w:spacing w:line="300" w:lineRule="auto"/>
        <w:rPr>
          <w:rFonts w:ascii="Arial" w:hAnsi="Arial" w:eastAsia="宋体" w:cs="Arial"/>
        </w:rPr>
      </w:pPr>
      <w:r>
        <w:rPr>
          <w:rFonts w:ascii="Arial" w:hAnsi="Arial" w:eastAsia="宋体" w:cs="Arial"/>
        </w:rPr>
        <w:t>21 CFR 866.4700：荧光原位杂交（FISH）自动化计数系统。</w:t>
      </w:r>
      <w:bookmarkStart w:id="45" w:name="OLE_LINK7"/>
      <w:bookmarkStart w:id="46" w:name="OLE_LINK8"/>
      <w:r>
        <w:rPr>
          <w:rFonts w:ascii="Arial" w:hAnsi="Arial" w:eastAsia="宋体" w:cs="Arial"/>
        </w:rPr>
        <w:t>FISH自动化计数系统</w:t>
      </w:r>
      <w:bookmarkEnd w:id="45"/>
      <w:bookmarkEnd w:id="46"/>
      <w:r>
        <w:rPr>
          <w:rFonts w:ascii="Arial" w:hAnsi="Arial" w:eastAsia="宋体" w:cs="Arial"/>
        </w:rPr>
        <w:t>是由自动扫描显微镜、图像分析系统和为FISH检测器械定制的软件应用程序组成的一种器械。该器械的预期使用是配合FISH检测器械进行体外诊断，其根据对细胞色彩、大小和形状的识别辅助进行细胞的探查、计数和分类，同时还辅助对福尔马林固定和石蜡包埋人类组织试样间期细胞核中的FISH信号进行检测和计算。</w:t>
      </w:r>
    </w:p>
    <w:p w14:paraId="2D3A470A">
      <w:pPr>
        <w:snapToGrid w:val="0"/>
        <w:spacing w:line="300" w:lineRule="auto"/>
        <w:rPr>
          <w:rFonts w:ascii="Arial" w:hAnsi="Arial" w:eastAsia="宋体" w:cs="Arial"/>
        </w:rPr>
      </w:pPr>
    </w:p>
    <w:p w14:paraId="4E67D2E8">
      <w:pPr>
        <w:widowControl/>
        <w:jc w:val="left"/>
        <w:rPr>
          <w:rFonts w:ascii="Arial" w:hAnsi="Arial" w:eastAsia="宋体" w:cs="Arial"/>
          <w:b/>
        </w:rPr>
      </w:pPr>
    </w:p>
    <w:p w14:paraId="1CCA8B2C">
      <w:pPr>
        <w:snapToGrid w:val="0"/>
        <w:spacing w:line="300" w:lineRule="auto"/>
        <w:rPr>
          <w:rFonts w:ascii="Arial" w:hAnsi="Arial" w:eastAsia="宋体" w:cs="Arial"/>
          <w:b/>
        </w:rPr>
      </w:pPr>
      <w:r>
        <w:rPr>
          <w:rFonts w:ascii="Arial" w:hAnsi="Arial" w:eastAsia="宋体" w:cs="Arial"/>
          <w:b/>
        </w:rPr>
        <w:t>5. 健康风险</w:t>
      </w:r>
    </w:p>
    <w:p w14:paraId="0CC52C14">
      <w:pPr>
        <w:snapToGrid w:val="0"/>
        <w:spacing w:line="300" w:lineRule="auto"/>
        <w:rPr>
          <w:rFonts w:ascii="Arial" w:hAnsi="Arial" w:eastAsia="宋体" w:cs="Arial"/>
        </w:rPr>
      </w:pPr>
    </w:p>
    <w:p w14:paraId="701D7CD9">
      <w:pPr>
        <w:snapToGrid w:val="0"/>
        <w:spacing w:line="300" w:lineRule="auto"/>
        <w:rPr>
          <w:rFonts w:ascii="Arial" w:hAnsi="Arial" w:eastAsia="宋体" w:cs="Arial"/>
        </w:rPr>
      </w:pPr>
      <w:bookmarkStart w:id="47" w:name="OLE_LINK96"/>
      <w:bookmarkStart w:id="48" w:name="OLE_LINK97"/>
      <w:r>
        <w:rPr>
          <w:rFonts w:ascii="Arial" w:hAnsi="Arial" w:eastAsia="宋体" w:cs="Arial"/>
        </w:rPr>
        <w:t>FDA已确认了与该类型器械有关的健康风险。该风险是按说明操作时出现故障或对结果解释错误造成的，可导致患者管理不当，其中包括漏诊和不当治疗。假的低荧光信号计数或假阴性结果可导致延迟发现疾病、疾病复发和疾病预后或虚假的治疗反应指征。虚假的高荧光信号计数或假阳性结果可导致不必要监测、不当治疗决策或不充分治疗。另外，在不考虑其它临床因素的情况下应用测定结果调整治疗方案可造成风险。</w:t>
      </w:r>
    </w:p>
    <w:bookmarkEnd w:id="47"/>
    <w:bookmarkEnd w:id="48"/>
    <w:p w14:paraId="3AED0827">
      <w:pPr>
        <w:snapToGrid w:val="0"/>
        <w:spacing w:line="300" w:lineRule="auto"/>
        <w:rPr>
          <w:rFonts w:ascii="Arial" w:hAnsi="Arial" w:eastAsia="宋体" w:cs="Arial"/>
        </w:rPr>
      </w:pPr>
    </w:p>
    <w:p w14:paraId="311B65E3">
      <w:pPr>
        <w:snapToGrid w:val="0"/>
        <w:spacing w:line="300" w:lineRule="auto"/>
        <w:rPr>
          <w:rFonts w:ascii="Arial" w:hAnsi="Arial" w:eastAsia="宋体" w:cs="Arial"/>
        </w:rPr>
      </w:pPr>
      <w:bookmarkStart w:id="49" w:name="OLE_LINK107"/>
      <w:bookmarkStart w:id="50" w:name="OLE_LINK108"/>
      <w:r>
        <w:rPr>
          <w:rFonts w:ascii="Arial" w:hAnsi="Arial" w:eastAsia="宋体" w:cs="Arial"/>
        </w:rPr>
        <w:t>FDA在下表中确认了本文件要解决的通常与使用</w:t>
      </w:r>
      <w:bookmarkStart w:id="51" w:name="OLE_LINK50"/>
      <w:bookmarkStart w:id="52" w:name="OLE_LINK51"/>
      <w:bookmarkStart w:id="53" w:name="OLE_LINK53"/>
      <w:r>
        <w:rPr>
          <w:rFonts w:ascii="Arial" w:hAnsi="Arial" w:eastAsia="宋体" w:cs="Arial"/>
        </w:rPr>
        <w:t>FISH自动化计数系统</w:t>
      </w:r>
      <w:bookmarkEnd w:id="51"/>
      <w:bookmarkEnd w:id="52"/>
      <w:bookmarkEnd w:id="53"/>
      <w:r>
        <w:rPr>
          <w:rFonts w:ascii="Arial" w:hAnsi="Arial" w:eastAsia="宋体" w:cs="Arial"/>
        </w:rPr>
        <w:t>有关的健康风险。如下表所示，本指导性文件对用来减轻该确认风险的推荐控制措施进行了描述。贵公司在提交上市前通告前应进行风险分析，识别贵公司的器械特有的任何其它风险。在上市前通告中应对风险分析方法加以描述。如果贵公司选择采用替代方法处理本文件确认的特定风险或确认了这些风险的附加风险，应提供足够细节支持贵公司处理风险所采用的方法。</w:t>
      </w:r>
    </w:p>
    <w:bookmarkEnd w:id="49"/>
    <w:bookmarkEnd w:id="50"/>
    <w:p w14:paraId="1649C183">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C1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A7FF95">
            <w:pPr>
              <w:snapToGrid w:val="0"/>
              <w:spacing w:line="300" w:lineRule="auto"/>
              <w:rPr>
                <w:rFonts w:ascii="Arial" w:hAnsi="Arial" w:eastAsia="宋体" w:cs="Arial"/>
                <w:b/>
              </w:rPr>
            </w:pPr>
            <w:bookmarkStart w:id="54" w:name="OLE_LINK118"/>
            <w:r>
              <w:rPr>
                <w:rFonts w:ascii="Arial" w:hAnsi="Arial" w:eastAsia="宋体" w:cs="Arial"/>
                <w:b/>
              </w:rPr>
              <w:t>确认风险</w:t>
            </w:r>
          </w:p>
        </w:tc>
        <w:tc>
          <w:tcPr>
            <w:tcW w:w="4261" w:type="dxa"/>
          </w:tcPr>
          <w:p w14:paraId="10AACBF8">
            <w:pPr>
              <w:snapToGrid w:val="0"/>
              <w:spacing w:line="300" w:lineRule="auto"/>
              <w:rPr>
                <w:rFonts w:ascii="Arial" w:hAnsi="Arial" w:eastAsia="宋体" w:cs="Arial"/>
                <w:b/>
              </w:rPr>
            </w:pPr>
            <w:r>
              <w:rPr>
                <w:rFonts w:ascii="Arial" w:hAnsi="Arial" w:eastAsia="宋体" w:cs="Arial"/>
                <w:b/>
              </w:rPr>
              <w:t>建议采取的</w:t>
            </w:r>
            <w:r>
              <w:rPr>
                <w:rFonts w:hint="eastAsia" w:ascii="Arial" w:hAnsi="Arial" w:eastAsia="宋体" w:cs="Arial"/>
                <w:b/>
              </w:rPr>
              <w:t>缓解</w:t>
            </w:r>
            <w:r>
              <w:rPr>
                <w:rFonts w:ascii="Arial" w:hAnsi="Arial" w:eastAsia="宋体" w:cs="Arial"/>
                <w:b/>
              </w:rPr>
              <w:t>措施</w:t>
            </w:r>
          </w:p>
        </w:tc>
      </w:tr>
      <w:tr w14:paraId="2771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8AB1EB">
            <w:pPr>
              <w:snapToGrid w:val="0"/>
              <w:spacing w:line="300" w:lineRule="auto"/>
              <w:rPr>
                <w:rFonts w:ascii="Arial" w:hAnsi="Arial" w:eastAsia="宋体" w:cs="Arial"/>
              </w:rPr>
            </w:pPr>
            <w:r>
              <w:rPr>
                <w:rFonts w:ascii="Arial" w:hAnsi="Arial" w:eastAsia="宋体" w:cs="Arial"/>
              </w:rPr>
              <w:t>患者管理不当</w:t>
            </w:r>
          </w:p>
        </w:tc>
        <w:tc>
          <w:tcPr>
            <w:tcW w:w="4261" w:type="dxa"/>
          </w:tcPr>
          <w:p w14:paraId="09434B0F">
            <w:pPr>
              <w:snapToGrid w:val="0"/>
              <w:spacing w:line="300" w:lineRule="auto"/>
              <w:rPr>
                <w:rFonts w:ascii="Arial" w:hAnsi="Arial" w:eastAsia="宋体" w:cs="Arial"/>
              </w:rPr>
            </w:pPr>
            <w:r>
              <w:rPr>
                <w:rFonts w:ascii="Arial" w:hAnsi="Arial" w:eastAsia="宋体" w:cs="Arial"/>
              </w:rPr>
              <w:t>第6、7、8节</w:t>
            </w:r>
          </w:p>
        </w:tc>
      </w:tr>
      <w:bookmarkEnd w:id="54"/>
    </w:tbl>
    <w:p w14:paraId="3F1B9495">
      <w:pPr>
        <w:snapToGrid w:val="0"/>
        <w:spacing w:line="300" w:lineRule="auto"/>
        <w:rPr>
          <w:rFonts w:ascii="Arial" w:hAnsi="Arial" w:eastAsia="宋体" w:cs="Arial"/>
        </w:rPr>
      </w:pPr>
    </w:p>
    <w:p w14:paraId="7D3EDFAA">
      <w:pPr>
        <w:snapToGrid w:val="0"/>
        <w:spacing w:line="300" w:lineRule="auto"/>
        <w:rPr>
          <w:rFonts w:ascii="Arial" w:hAnsi="Arial" w:eastAsia="宋体" w:cs="Arial"/>
          <w:b/>
        </w:rPr>
      </w:pPr>
      <w:r>
        <w:rPr>
          <w:rFonts w:ascii="Arial" w:hAnsi="Arial" w:eastAsia="宋体" w:cs="Arial"/>
          <w:b/>
        </w:rPr>
        <w:t>6. 性能特征</w:t>
      </w:r>
    </w:p>
    <w:p w14:paraId="0D37B392">
      <w:pPr>
        <w:snapToGrid w:val="0"/>
        <w:spacing w:line="300" w:lineRule="auto"/>
        <w:rPr>
          <w:rFonts w:ascii="Arial" w:hAnsi="Arial" w:eastAsia="宋体" w:cs="Arial"/>
        </w:rPr>
      </w:pPr>
    </w:p>
    <w:p w14:paraId="74B6B855">
      <w:pPr>
        <w:snapToGrid w:val="0"/>
        <w:spacing w:line="300" w:lineRule="auto"/>
        <w:rPr>
          <w:rFonts w:ascii="Arial" w:hAnsi="Arial" w:eastAsia="宋体" w:cs="Arial"/>
          <w:b/>
        </w:rPr>
      </w:pPr>
      <w:r>
        <w:rPr>
          <w:rFonts w:ascii="Arial" w:hAnsi="Arial" w:eastAsia="宋体" w:cs="Arial"/>
          <w:b/>
        </w:rPr>
        <w:t>器械描述</w:t>
      </w:r>
    </w:p>
    <w:p w14:paraId="612AF1EB">
      <w:pPr>
        <w:snapToGrid w:val="0"/>
        <w:spacing w:line="300" w:lineRule="auto"/>
        <w:rPr>
          <w:rFonts w:ascii="Arial" w:hAnsi="Arial" w:eastAsia="宋体" w:cs="Arial"/>
        </w:rPr>
      </w:pPr>
    </w:p>
    <w:p w14:paraId="7F66A79F">
      <w:pPr>
        <w:snapToGrid w:val="0"/>
        <w:spacing w:line="300" w:lineRule="auto"/>
        <w:rPr>
          <w:rFonts w:ascii="Arial" w:hAnsi="Arial" w:eastAsia="宋体" w:cs="Arial"/>
        </w:rPr>
      </w:pPr>
      <w:r>
        <w:rPr>
          <w:rFonts w:ascii="Arial" w:hAnsi="Arial" w:eastAsia="宋体" w:cs="Arial"/>
        </w:rPr>
        <w:t>我们建议贵公司在510（k）提交资料中包含对FISH方法的描述。贵公司采用该方法发现疾病或感兴趣的身体状况。贵公司在文件中还应包含对特定FISH检测试剂盒中试剂成分的描述。</w:t>
      </w:r>
    </w:p>
    <w:p w14:paraId="48CE55BD">
      <w:pPr>
        <w:snapToGrid w:val="0"/>
        <w:spacing w:line="300" w:lineRule="auto"/>
        <w:rPr>
          <w:rFonts w:ascii="Arial" w:hAnsi="Arial" w:eastAsia="宋体" w:cs="Arial"/>
        </w:rPr>
      </w:pPr>
    </w:p>
    <w:p w14:paraId="6BA81485">
      <w:pPr>
        <w:snapToGrid w:val="0"/>
        <w:spacing w:line="300" w:lineRule="auto"/>
        <w:rPr>
          <w:rFonts w:ascii="Arial" w:hAnsi="Arial" w:eastAsia="宋体" w:cs="Arial"/>
          <w:b/>
        </w:rPr>
      </w:pPr>
      <w:r>
        <w:rPr>
          <w:rFonts w:ascii="Arial" w:hAnsi="Arial" w:eastAsia="宋体" w:cs="Arial"/>
          <w:b/>
        </w:rPr>
        <w:t>通用研究建议</w:t>
      </w:r>
    </w:p>
    <w:p w14:paraId="7B245E51">
      <w:pPr>
        <w:snapToGrid w:val="0"/>
        <w:spacing w:line="300" w:lineRule="auto"/>
        <w:rPr>
          <w:rFonts w:ascii="Arial" w:hAnsi="Arial" w:eastAsia="宋体" w:cs="Arial"/>
        </w:rPr>
      </w:pPr>
    </w:p>
    <w:p w14:paraId="747B2E08">
      <w:pPr>
        <w:snapToGrid w:val="0"/>
        <w:spacing w:line="300" w:lineRule="auto"/>
        <w:rPr>
          <w:rFonts w:ascii="Arial" w:hAnsi="Arial" w:eastAsia="宋体" w:cs="Arial"/>
        </w:rPr>
      </w:pPr>
      <w:r>
        <w:rPr>
          <w:rFonts w:ascii="Arial" w:hAnsi="Arial" w:eastAsia="宋体" w:cs="Arial"/>
        </w:rPr>
        <w:t>贵公司为提交510（k）提交资料而对贵公司的</w:t>
      </w:r>
      <w:bookmarkStart w:id="55" w:name="OLE_LINK74"/>
      <w:bookmarkStart w:id="56" w:name="OLE_LINK73"/>
      <w:r>
        <w:rPr>
          <w:rFonts w:ascii="Arial" w:hAnsi="Arial" w:eastAsia="宋体" w:cs="Arial"/>
        </w:rPr>
        <w:t>FISH自动化计数系统</w:t>
      </w:r>
      <w:bookmarkEnd w:id="55"/>
      <w:bookmarkEnd w:id="56"/>
      <w:r>
        <w:rPr>
          <w:rFonts w:ascii="Arial" w:hAnsi="Arial" w:eastAsia="宋体" w:cs="Arial"/>
        </w:rPr>
        <w:t>进行确认时所使用的检测器械应为合法销售的（经FDA许可或批准）FISH检测器械。对下面描述的临床前性能研究而言，我们建议只要可能贵公司就应包含采自预期使用人群（如乳腺癌患者）的患者样品。不可能做到这一点时，可使用加标正常样品或采自代表性阳性和阴性培养细胞的样品。然而，我们警告在评价时不要将加标样品或培养细胞样品作为唯一</w:t>
      </w:r>
      <w:r>
        <w:rPr>
          <w:rFonts w:hint="eastAsia" w:ascii="Arial" w:hAnsi="Arial" w:eastAsia="宋体" w:cs="Arial"/>
        </w:rPr>
        <w:t>基质</w:t>
      </w:r>
      <w:r>
        <w:rPr>
          <w:rFonts w:ascii="Arial" w:hAnsi="Arial" w:eastAsia="宋体" w:cs="Arial"/>
        </w:rPr>
        <w:t>。这是因为它们不可能对性能特征提供准确评定。在临床研究中应包含采自预期使用人群（如乳腺癌患者）和相应对照组的患者样品。我们建议贵公司至少在3个外部场所对这种检测器械进行评价。通常贵公司应在器械最终使用的检测环境中（即中心实验室）由将要在临床实践中从事检验工作的人员对器械性能进行评定。贵公司首先应对来自不同场所的数据分别进行分析，对任何场所内差异做出评价，并将分析结果包含在510（k）总结报告中。如果贵公司能证明各场所的结果无明显差异，可将各场所的结果合并后放在包装说明书中。开始临床研究前，贵公司可与免疫学和血液学检测器械部联系。</w:t>
      </w:r>
    </w:p>
    <w:p w14:paraId="58B7D73E">
      <w:pPr>
        <w:snapToGrid w:val="0"/>
        <w:spacing w:line="300" w:lineRule="auto"/>
        <w:rPr>
          <w:rFonts w:ascii="Arial" w:hAnsi="Arial" w:eastAsia="宋体" w:cs="Arial"/>
        </w:rPr>
      </w:pPr>
    </w:p>
    <w:p w14:paraId="45F68CD6">
      <w:pPr>
        <w:widowControl/>
        <w:jc w:val="left"/>
        <w:rPr>
          <w:rFonts w:ascii="Arial" w:hAnsi="Arial" w:eastAsia="宋体" w:cs="Arial"/>
        </w:rPr>
      </w:pPr>
      <w:r>
        <w:rPr>
          <w:rFonts w:ascii="Arial" w:hAnsi="Arial" w:eastAsia="宋体" w:cs="Arial"/>
        </w:rPr>
        <w:br w:type="page"/>
      </w:r>
    </w:p>
    <w:p w14:paraId="5A952AD1">
      <w:pPr>
        <w:snapToGrid w:val="0"/>
        <w:spacing w:line="300" w:lineRule="auto"/>
        <w:rPr>
          <w:rFonts w:ascii="Arial" w:hAnsi="Arial" w:eastAsia="宋体" w:cs="Arial"/>
        </w:rPr>
      </w:pPr>
      <w:r>
        <w:rPr>
          <w:rFonts w:ascii="Arial" w:hAnsi="Arial" w:eastAsia="宋体" w:cs="Arial"/>
        </w:rPr>
        <w:t>为方便我们在审查期间能理解验收标准或数据汇总，我们建议贵公司适当提供有关研究方案的具体信息。例如，在提及</w:t>
      </w:r>
      <w:bookmarkStart w:id="57" w:name="OLE_LINK104"/>
      <w:bookmarkStart w:id="58" w:name="OLE_LINK105"/>
      <w:bookmarkStart w:id="59" w:name="OLE_LINK106"/>
      <w:r>
        <w:rPr>
          <w:rFonts w:ascii="Arial" w:hAnsi="Arial" w:eastAsia="宋体" w:cs="Arial"/>
        </w:rPr>
        <w:t>国家临床实验室标准委员会（NCCLS）</w:t>
      </w:r>
      <w:bookmarkEnd w:id="57"/>
      <w:bookmarkEnd w:id="58"/>
      <w:bookmarkEnd w:id="59"/>
      <w:r>
        <w:rPr>
          <w:rFonts w:ascii="Arial" w:hAnsi="Arial" w:eastAsia="宋体" w:cs="Arial"/>
        </w:rPr>
        <w:t>的研究方案或操作指南时，我们建议贵公司指出贵公司遵从了研究方案或操作指南中的哪些具体内容。我们还建议贵公司在标签中包含研究方案的具体信息，这对帮助用户理解标签信息可能是必要的。</w:t>
      </w:r>
    </w:p>
    <w:p w14:paraId="54AE4A74">
      <w:pPr>
        <w:snapToGrid w:val="0"/>
        <w:spacing w:line="300" w:lineRule="auto"/>
        <w:rPr>
          <w:rFonts w:ascii="Arial" w:hAnsi="Arial" w:eastAsia="宋体" w:cs="Arial"/>
        </w:rPr>
      </w:pPr>
    </w:p>
    <w:p w14:paraId="39EC453D">
      <w:pPr>
        <w:snapToGrid w:val="0"/>
        <w:spacing w:line="300" w:lineRule="auto"/>
        <w:rPr>
          <w:rFonts w:ascii="Arial" w:hAnsi="Arial" w:eastAsia="宋体" w:cs="Arial"/>
          <w:b/>
        </w:rPr>
      </w:pPr>
      <w:r>
        <w:rPr>
          <w:rFonts w:ascii="Arial" w:hAnsi="Arial" w:eastAsia="宋体" w:cs="Arial"/>
          <w:b/>
        </w:rPr>
        <w:t>软件确认</w:t>
      </w:r>
    </w:p>
    <w:p w14:paraId="0F807710">
      <w:pPr>
        <w:snapToGrid w:val="0"/>
        <w:spacing w:line="300" w:lineRule="auto"/>
        <w:rPr>
          <w:rFonts w:ascii="Arial" w:hAnsi="Arial" w:eastAsia="宋体" w:cs="Arial"/>
        </w:rPr>
      </w:pPr>
    </w:p>
    <w:p w14:paraId="5A25BB2F">
      <w:pPr>
        <w:snapToGrid w:val="0"/>
        <w:spacing w:line="300" w:lineRule="auto"/>
        <w:rPr>
          <w:rFonts w:ascii="Arial" w:hAnsi="Arial" w:eastAsia="宋体" w:cs="Arial"/>
        </w:rPr>
      </w:pPr>
      <w:r>
        <w:rPr>
          <w:rFonts w:ascii="Arial" w:hAnsi="Arial" w:eastAsia="宋体" w:cs="Arial"/>
        </w:rPr>
        <w:t>关于该器械有关的所有程序，贵公司均应提供软件确认的证明文件。在FDA指南“</w:t>
      </w:r>
      <w:r>
        <w:rPr>
          <w:rFonts w:ascii="Arial" w:hAnsi="Arial" w:eastAsia="宋体" w:cs="Arial"/>
          <w:b/>
          <w:color w:val="800080"/>
          <w:u w:val="single"/>
        </w:rPr>
        <w:t>医疗器械软件上市前审查需提交的内容指南；终稿</w:t>
      </w:r>
      <w:r>
        <w:rPr>
          <w:rFonts w:ascii="Arial" w:hAnsi="Arial" w:eastAsia="宋体" w:cs="Arial"/>
        </w:rPr>
        <w:t>”和“</w:t>
      </w:r>
      <w:r>
        <w:rPr>
          <w:rFonts w:ascii="Arial" w:hAnsi="Arial" w:eastAsia="宋体" w:cs="Arial"/>
          <w:b/>
          <w:color w:val="800080"/>
          <w:u w:val="single"/>
        </w:rPr>
        <w:t>医疗器械现有软件使用指南；终稿</w:t>
      </w:r>
      <w:r>
        <w:rPr>
          <w:rFonts w:ascii="Arial" w:hAnsi="Arial" w:eastAsia="宋体" w:cs="Arial"/>
        </w:rPr>
        <w:t>”中包含了推荐证明文件的信息。</w:t>
      </w:r>
    </w:p>
    <w:p w14:paraId="2E63C72D">
      <w:pPr>
        <w:snapToGrid w:val="0"/>
        <w:spacing w:line="300" w:lineRule="auto"/>
        <w:rPr>
          <w:rFonts w:ascii="Arial" w:hAnsi="Arial" w:eastAsia="宋体" w:cs="Arial"/>
        </w:rPr>
      </w:pPr>
    </w:p>
    <w:p w14:paraId="3ED9D0C5">
      <w:pPr>
        <w:snapToGrid w:val="0"/>
        <w:spacing w:line="300" w:lineRule="auto"/>
        <w:rPr>
          <w:rFonts w:ascii="Arial" w:hAnsi="Arial" w:eastAsia="宋体" w:cs="Arial"/>
        </w:rPr>
      </w:pPr>
      <w:r>
        <w:rPr>
          <w:rFonts w:ascii="Arial" w:hAnsi="Arial" w:eastAsia="宋体" w:cs="Arial"/>
        </w:rPr>
        <w:t>我们认为在II类</w:t>
      </w:r>
      <w:bookmarkStart w:id="60" w:name="OLE_LINK9"/>
      <w:bookmarkStart w:id="61" w:name="OLE_LINK6"/>
      <w:r>
        <w:rPr>
          <w:rFonts w:ascii="Arial" w:hAnsi="Arial" w:eastAsia="宋体" w:cs="Arial"/>
        </w:rPr>
        <w:t>FISH自动化计数系统</w:t>
      </w:r>
      <w:bookmarkEnd w:id="60"/>
      <w:bookmarkEnd w:id="61"/>
      <w:r>
        <w:rPr>
          <w:rFonts w:ascii="Arial" w:hAnsi="Arial" w:eastAsia="宋体" w:cs="Arial"/>
        </w:rPr>
        <w:t>中使用的软件可能符合这些器械指导性文件中给出的定义，但有较低或中等水平的关注，这取决于具体被测物与软件应用程序对诊断的影响。因此，贵公司应提供对该器械的关注处于适当水平的证明文件。</w:t>
      </w:r>
    </w:p>
    <w:p w14:paraId="509DD625">
      <w:pPr>
        <w:snapToGrid w:val="0"/>
        <w:spacing w:line="300" w:lineRule="auto"/>
        <w:rPr>
          <w:rFonts w:ascii="Arial" w:hAnsi="Arial" w:eastAsia="宋体" w:cs="Arial"/>
        </w:rPr>
      </w:pPr>
    </w:p>
    <w:p w14:paraId="7601198A">
      <w:pPr>
        <w:snapToGrid w:val="0"/>
        <w:spacing w:line="300" w:lineRule="auto"/>
        <w:rPr>
          <w:rFonts w:ascii="Arial" w:hAnsi="Arial" w:eastAsia="宋体" w:cs="Arial"/>
          <w:b/>
        </w:rPr>
      </w:pPr>
      <w:r>
        <w:rPr>
          <w:rFonts w:ascii="Arial" w:hAnsi="Arial" w:eastAsia="宋体" w:cs="Arial"/>
          <w:b/>
        </w:rPr>
        <w:t>具体性能特征</w:t>
      </w:r>
    </w:p>
    <w:p w14:paraId="012E7162">
      <w:pPr>
        <w:snapToGrid w:val="0"/>
        <w:spacing w:line="300" w:lineRule="auto"/>
        <w:rPr>
          <w:rFonts w:ascii="Arial" w:hAnsi="Arial" w:eastAsia="宋体" w:cs="Arial"/>
        </w:rPr>
      </w:pPr>
    </w:p>
    <w:p w14:paraId="24FCB142">
      <w:pPr>
        <w:snapToGrid w:val="0"/>
        <w:spacing w:line="300" w:lineRule="auto"/>
        <w:rPr>
          <w:rFonts w:ascii="Arial" w:hAnsi="Arial" w:eastAsia="宋体" w:cs="Arial"/>
          <w:b/>
        </w:rPr>
      </w:pPr>
      <w:r>
        <w:rPr>
          <w:rFonts w:ascii="Arial" w:hAnsi="Arial" w:eastAsia="宋体" w:cs="Arial"/>
          <w:b/>
        </w:rPr>
        <w:t>重现性</w:t>
      </w:r>
    </w:p>
    <w:p w14:paraId="0772157C">
      <w:pPr>
        <w:snapToGrid w:val="0"/>
        <w:spacing w:line="300" w:lineRule="auto"/>
        <w:rPr>
          <w:rFonts w:ascii="Arial" w:hAnsi="Arial" w:eastAsia="宋体" w:cs="Arial"/>
        </w:rPr>
      </w:pPr>
    </w:p>
    <w:p w14:paraId="1D98FC7F">
      <w:pPr>
        <w:snapToGrid w:val="0"/>
        <w:spacing w:line="300" w:lineRule="auto"/>
        <w:rPr>
          <w:rFonts w:ascii="Arial" w:hAnsi="Arial" w:eastAsia="宋体" w:cs="Arial"/>
        </w:rPr>
      </w:pPr>
      <w:r>
        <w:rPr>
          <w:rFonts w:ascii="Arial" w:hAnsi="Arial" w:eastAsia="宋体" w:cs="Arial"/>
        </w:rPr>
        <w:t>我们建议贵公司对该器械的批内重现性、日间重现性和场所间重现性特征加以描述。我们建议在可能情况下采用患者样品评定重现性。含有已知数量代表性阳性和阴性细胞的培养细胞样品亦可用来补充这些研究之不足。这些样品覆盖的范围应适合于贵公司的器械。贵公司还应对相关细胞计数的重现性进行评价，包括接近医疗决策截断点和接近可报告范围限值的测定结果。</w:t>
      </w:r>
    </w:p>
    <w:p w14:paraId="67C86E6C">
      <w:pPr>
        <w:snapToGrid w:val="0"/>
        <w:spacing w:line="300" w:lineRule="auto"/>
        <w:rPr>
          <w:rFonts w:ascii="Arial" w:hAnsi="Arial" w:eastAsia="宋体" w:cs="Arial"/>
        </w:rPr>
      </w:pPr>
    </w:p>
    <w:p w14:paraId="29DBEBDA">
      <w:pPr>
        <w:snapToGrid w:val="0"/>
        <w:spacing w:line="300" w:lineRule="auto"/>
        <w:rPr>
          <w:rFonts w:ascii="Arial" w:hAnsi="Arial" w:eastAsia="宋体" w:cs="Arial"/>
        </w:rPr>
      </w:pPr>
      <w:r>
        <w:rPr>
          <w:rFonts w:ascii="Arial" w:hAnsi="Arial" w:eastAsia="宋体" w:cs="Arial"/>
        </w:rPr>
        <w:t>我们建议贵公司在研究描述中包含下列内容：</w:t>
      </w:r>
    </w:p>
    <w:p w14:paraId="31C82A9C">
      <w:pPr>
        <w:snapToGrid w:val="0"/>
        <w:spacing w:line="300" w:lineRule="auto"/>
        <w:rPr>
          <w:rFonts w:ascii="Arial" w:hAnsi="Arial" w:eastAsia="宋体" w:cs="Arial"/>
        </w:rPr>
      </w:pPr>
    </w:p>
    <w:p w14:paraId="58EB1E53">
      <w:pPr>
        <w:pStyle w:val="11"/>
        <w:numPr>
          <w:ilvl w:val="0"/>
          <w:numId w:val="2"/>
        </w:numPr>
        <w:snapToGrid w:val="0"/>
        <w:spacing w:line="300" w:lineRule="auto"/>
        <w:ind w:firstLineChars="0"/>
        <w:rPr>
          <w:rFonts w:ascii="Arial" w:hAnsi="Arial" w:eastAsia="宋体" w:cs="Arial"/>
        </w:rPr>
      </w:pPr>
      <w:bookmarkStart w:id="62" w:name="OLE_LINK120"/>
      <w:bookmarkStart w:id="63" w:name="OLE_LINK119"/>
      <w:r>
        <w:rPr>
          <w:rFonts w:ascii="Arial" w:hAnsi="Arial" w:eastAsia="宋体" w:cs="Arial"/>
        </w:rPr>
        <w:t>样品类型（如福尔马林固定乳腺癌试样、石蜡包埋乳腺癌试样）</w:t>
      </w:r>
    </w:p>
    <w:p w14:paraId="6DC158B8">
      <w:pPr>
        <w:pStyle w:val="11"/>
        <w:numPr>
          <w:ilvl w:val="0"/>
          <w:numId w:val="2"/>
        </w:numPr>
        <w:snapToGrid w:val="0"/>
        <w:spacing w:line="300" w:lineRule="auto"/>
        <w:ind w:firstLineChars="0"/>
        <w:rPr>
          <w:rFonts w:ascii="Arial" w:hAnsi="Arial" w:eastAsia="宋体" w:cs="Arial"/>
        </w:rPr>
      </w:pPr>
      <w:r>
        <w:rPr>
          <w:rFonts w:ascii="Arial" w:hAnsi="Arial" w:eastAsia="宋体" w:cs="Arial"/>
        </w:rPr>
        <w:t>批内重现性、日间重现性和场所间重现性的平均值、标准差和变异系数</w:t>
      </w:r>
    </w:p>
    <w:p w14:paraId="32D25A94">
      <w:pPr>
        <w:pStyle w:val="11"/>
        <w:numPr>
          <w:ilvl w:val="0"/>
          <w:numId w:val="2"/>
        </w:numPr>
        <w:snapToGrid w:val="0"/>
        <w:spacing w:line="300" w:lineRule="auto"/>
        <w:ind w:firstLineChars="0"/>
        <w:rPr>
          <w:rFonts w:ascii="Arial" w:hAnsi="Arial" w:eastAsia="宋体" w:cs="Arial"/>
        </w:rPr>
      </w:pPr>
      <w:r>
        <w:rPr>
          <w:rFonts w:ascii="Arial" w:hAnsi="Arial" w:eastAsia="宋体" w:cs="Arial"/>
        </w:rPr>
        <w:t>重现性研究方案的运行场所</w:t>
      </w:r>
    </w:p>
    <w:p w14:paraId="13FEB68B">
      <w:pPr>
        <w:pStyle w:val="11"/>
        <w:numPr>
          <w:ilvl w:val="0"/>
          <w:numId w:val="2"/>
        </w:numPr>
        <w:snapToGrid w:val="0"/>
        <w:spacing w:line="300" w:lineRule="auto"/>
        <w:ind w:firstLineChars="0"/>
        <w:rPr>
          <w:rFonts w:ascii="Arial" w:hAnsi="Arial" w:eastAsia="宋体" w:cs="Arial"/>
        </w:rPr>
      </w:pPr>
      <w:r>
        <w:rPr>
          <w:rFonts w:ascii="Arial" w:hAnsi="Arial" w:eastAsia="宋体" w:cs="Arial"/>
        </w:rPr>
        <w:t>天数、测定次数和观察值数</w:t>
      </w:r>
    </w:p>
    <w:bookmarkEnd w:id="62"/>
    <w:bookmarkEnd w:id="63"/>
    <w:p w14:paraId="3A5230DB">
      <w:pPr>
        <w:snapToGrid w:val="0"/>
        <w:spacing w:line="300" w:lineRule="auto"/>
        <w:rPr>
          <w:rFonts w:ascii="Arial" w:hAnsi="Arial" w:eastAsia="宋体" w:cs="Arial"/>
        </w:rPr>
      </w:pPr>
    </w:p>
    <w:p w14:paraId="3CFB488B">
      <w:pPr>
        <w:snapToGrid w:val="0"/>
        <w:spacing w:line="300" w:lineRule="auto"/>
        <w:rPr>
          <w:rFonts w:ascii="Arial" w:hAnsi="Arial" w:eastAsia="宋体" w:cs="Arial"/>
        </w:rPr>
      </w:pPr>
      <w:bookmarkStart w:id="64" w:name="OLE_LINK86"/>
      <w:bookmarkStart w:id="65" w:name="OLE_LINK87"/>
      <w:r>
        <w:rPr>
          <w:rFonts w:ascii="Arial" w:hAnsi="Arial" w:eastAsia="宋体" w:cs="Arial"/>
        </w:rPr>
        <w:t>贵公司应确认哪些因素在评价期间保持不变，哪些因素有所变化，并描述计算方法或适当引用国家临床实验室标准委员会（NCCLS）操作指南。</w:t>
      </w:r>
    </w:p>
    <w:bookmarkEnd w:id="64"/>
    <w:bookmarkEnd w:id="65"/>
    <w:p w14:paraId="5D8D03F0">
      <w:pPr>
        <w:snapToGrid w:val="0"/>
        <w:spacing w:line="300" w:lineRule="auto"/>
        <w:rPr>
          <w:rFonts w:ascii="Arial" w:hAnsi="Arial" w:eastAsia="宋体" w:cs="Arial"/>
        </w:rPr>
      </w:pPr>
    </w:p>
    <w:p w14:paraId="57BC27F6">
      <w:pPr>
        <w:snapToGrid w:val="0"/>
        <w:spacing w:line="300" w:lineRule="auto"/>
        <w:rPr>
          <w:rFonts w:ascii="Arial" w:hAnsi="Arial" w:eastAsia="宋体" w:cs="Arial"/>
          <w:b/>
        </w:rPr>
      </w:pPr>
      <w:r>
        <w:rPr>
          <w:rFonts w:ascii="Arial" w:hAnsi="Arial" w:eastAsia="宋体" w:cs="Arial"/>
          <w:b/>
        </w:rPr>
        <w:t>对照确认</w:t>
      </w:r>
    </w:p>
    <w:p w14:paraId="26F6F09E">
      <w:pPr>
        <w:snapToGrid w:val="0"/>
        <w:spacing w:line="300" w:lineRule="auto"/>
        <w:rPr>
          <w:rFonts w:ascii="Arial" w:hAnsi="Arial" w:eastAsia="宋体" w:cs="Arial"/>
        </w:rPr>
      </w:pPr>
    </w:p>
    <w:p w14:paraId="57D07E2D">
      <w:pPr>
        <w:snapToGrid w:val="0"/>
        <w:spacing w:line="300" w:lineRule="auto"/>
        <w:rPr>
          <w:rFonts w:ascii="Arial" w:hAnsi="Arial" w:eastAsia="宋体" w:cs="Arial"/>
        </w:rPr>
      </w:pPr>
      <w:r>
        <w:rPr>
          <w:rFonts w:ascii="Arial" w:hAnsi="Arial" w:eastAsia="宋体" w:cs="Arial"/>
        </w:rPr>
        <w:t>如果可能的话，贵公司应提供适当对照用于该器械。对用于该器械的对照样品，应根据可接受的研究方案进行开发和确认。对照应对阴性和阳性样品具有代表性且接近医疗决策点。</w:t>
      </w:r>
    </w:p>
    <w:p w14:paraId="111F6FCF">
      <w:pPr>
        <w:snapToGrid w:val="0"/>
        <w:spacing w:line="300" w:lineRule="auto"/>
        <w:rPr>
          <w:rFonts w:ascii="Arial" w:hAnsi="Arial" w:eastAsia="宋体" w:cs="Arial"/>
        </w:rPr>
      </w:pPr>
    </w:p>
    <w:p w14:paraId="05DE696B">
      <w:pPr>
        <w:snapToGrid w:val="0"/>
        <w:spacing w:line="300" w:lineRule="auto"/>
        <w:rPr>
          <w:rFonts w:ascii="Arial" w:hAnsi="Arial" w:eastAsia="宋体" w:cs="Arial"/>
        </w:rPr>
      </w:pPr>
      <w:r>
        <w:rPr>
          <w:rFonts w:ascii="Arial" w:hAnsi="Arial" w:eastAsia="宋体" w:cs="Arial"/>
        </w:rPr>
        <w:t>我们建议贵公司在对照材料描述中包含下列内容：</w:t>
      </w:r>
    </w:p>
    <w:p w14:paraId="3C003169">
      <w:pPr>
        <w:snapToGrid w:val="0"/>
        <w:spacing w:line="300" w:lineRule="auto"/>
        <w:rPr>
          <w:rFonts w:ascii="Arial" w:hAnsi="Arial" w:eastAsia="宋体" w:cs="Arial"/>
        </w:rPr>
      </w:pPr>
    </w:p>
    <w:p w14:paraId="0E395A09">
      <w:pPr>
        <w:pStyle w:val="11"/>
        <w:numPr>
          <w:ilvl w:val="0"/>
          <w:numId w:val="2"/>
        </w:numPr>
        <w:snapToGrid w:val="0"/>
        <w:spacing w:line="300" w:lineRule="auto"/>
        <w:ind w:firstLineChars="0"/>
        <w:rPr>
          <w:rFonts w:ascii="Arial" w:hAnsi="Arial" w:eastAsia="宋体" w:cs="Arial"/>
        </w:rPr>
      </w:pPr>
      <w:r>
        <w:rPr>
          <w:rFonts w:ascii="Arial" w:hAnsi="Arial" w:eastAsia="宋体" w:cs="Arial"/>
        </w:rPr>
        <w:t>所开发对照的类型和水平</w:t>
      </w:r>
    </w:p>
    <w:p w14:paraId="7C34298D">
      <w:pPr>
        <w:pStyle w:val="11"/>
        <w:numPr>
          <w:ilvl w:val="0"/>
          <w:numId w:val="2"/>
        </w:numPr>
        <w:snapToGrid w:val="0"/>
        <w:spacing w:line="300" w:lineRule="auto"/>
        <w:ind w:firstLineChars="0"/>
        <w:rPr>
          <w:rFonts w:ascii="Arial" w:hAnsi="Arial" w:eastAsia="宋体" w:cs="Arial"/>
        </w:rPr>
      </w:pPr>
      <w:r>
        <w:rPr>
          <w:rFonts w:ascii="Arial" w:hAnsi="Arial" w:eastAsia="宋体" w:cs="Arial"/>
        </w:rPr>
        <w:t>样品类型（如福尔马林固定培养细胞株、石蜡包埋培养细胞株）</w:t>
      </w:r>
    </w:p>
    <w:p w14:paraId="57A9C164">
      <w:pPr>
        <w:pStyle w:val="11"/>
        <w:numPr>
          <w:ilvl w:val="0"/>
          <w:numId w:val="2"/>
        </w:numPr>
        <w:snapToGrid w:val="0"/>
        <w:spacing w:line="300" w:lineRule="auto"/>
        <w:ind w:firstLineChars="0"/>
        <w:rPr>
          <w:rFonts w:ascii="Arial" w:hAnsi="Arial" w:eastAsia="宋体" w:cs="Arial"/>
        </w:rPr>
      </w:pPr>
      <w:r>
        <w:rPr>
          <w:rFonts w:ascii="Arial" w:hAnsi="Arial" w:eastAsia="宋体" w:cs="Arial"/>
        </w:rPr>
        <w:t>样品中加标细胞的数量（如果适用的话）</w:t>
      </w:r>
    </w:p>
    <w:p w14:paraId="65F32BAA">
      <w:pPr>
        <w:pStyle w:val="11"/>
        <w:numPr>
          <w:ilvl w:val="0"/>
          <w:numId w:val="2"/>
        </w:numPr>
        <w:snapToGrid w:val="0"/>
        <w:spacing w:line="300" w:lineRule="auto"/>
        <w:ind w:firstLineChars="0"/>
        <w:rPr>
          <w:rFonts w:ascii="Arial" w:hAnsi="Arial" w:eastAsia="宋体" w:cs="Arial"/>
        </w:rPr>
      </w:pPr>
      <w:r>
        <w:rPr>
          <w:rFonts w:ascii="Arial" w:hAnsi="Arial" w:eastAsia="宋体" w:cs="Arial"/>
        </w:rPr>
        <w:t>确认方法</w:t>
      </w:r>
    </w:p>
    <w:p w14:paraId="6C50FC82">
      <w:pPr>
        <w:pStyle w:val="11"/>
        <w:numPr>
          <w:ilvl w:val="0"/>
          <w:numId w:val="2"/>
        </w:numPr>
        <w:snapToGrid w:val="0"/>
        <w:spacing w:line="300" w:lineRule="auto"/>
        <w:ind w:firstLineChars="0"/>
        <w:rPr>
          <w:rFonts w:ascii="Arial" w:hAnsi="Arial" w:eastAsia="宋体" w:cs="Arial"/>
        </w:rPr>
      </w:pPr>
      <w:r>
        <w:rPr>
          <w:rFonts w:ascii="Arial" w:hAnsi="Arial" w:eastAsia="宋体" w:cs="Arial"/>
        </w:rPr>
        <w:t>预期值</w:t>
      </w:r>
    </w:p>
    <w:p w14:paraId="6E0B181C">
      <w:pPr>
        <w:snapToGrid w:val="0"/>
        <w:spacing w:line="300" w:lineRule="auto"/>
        <w:rPr>
          <w:rFonts w:ascii="Arial" w:hAnsi="Arial" w:eastAsia="宋体" w:cs="Arial"/>
        </w:rPr>
      </w:pPr>
    </w:p>
    <w:p w14:paraId="6340FD52">
      <w:pPr>
        <w:snapToGrid w:val="0"/>
        <w:spacing w:line="300" w:lineRule="auto"/>
        <w:rPr>
          <w:rFonts w:ascii="Arial" w:hAnsi="Arial" w:eastAsia="宋体" w:cs="Arial"/>
          <w:b/>
        </w:rPr>
      </w:pPr>
      <w:r>
        <w:rPr>
          <w:rFonts w:ascii="Arial" w:hAnsi="Arial" w:eastAsia="宋体" w:cs="Arial"/>
          <w:b/>
        </w:rPr>
        <w:t>7. 方法比较</w:t>
      </w:r>
    </w:p>
    <w:p w14:paraId="1E83FF29">
      <w:pPr>
        <w:snapToGrid w:val="0"/>
        <w:spacing w:line="300" w:lineRule="auto"/>
        <w:rPr>
          <w:rFonts w:ascii="Arial" w:hAnsi="Arial" w:eastAsia="宋体" w:cs="Arial"/>
        </w:rPr>
      </w:pPr>
    </w:p>
    <w:p w14:paraId="636456B1">
      <w:pPr>
        <w:snapToGrid w:val="0"/>
        <w:spacing w:line="300" w:lineRule="auto"/>
        <w:rPr>
          <w:rFonts w:ascii="Arial" w:hAnsi="Arial" w:eastAsia="宋体" w:cs="Arial"/>
        </w:rPr>
      </w:pPr>
      <w:r>
        <w:rPr>
          <w:rFonts w:ascii="Arial" w:hAnsi="Arial" w:eastAsia="宋体" w:cs="Arial"/>
        </w:rPr>
        <w:t>不同的细胞选择和计数系统可能建立在不同的生物学选择和检测试剂的基础之上，不同器械的检测仪表可能存在很大差异，因此，FDA建议贵公司将自己的FISH自动化计数系统的结果与比较器械所用参比方法（如获得许可的手工计数法）的结果进行比较。另外，贵公司为提交510（k）提交资料而对自己的FISH计数系统进行确认时所用的检测器械应为合法销售的FISH检测器械。</w:t>
      </w:r>
      <w:bookmarkStart w:id="66" w:name="OLE_LINK16"/>
      <w:bookmarkStart w:id="67" w:name="OLE_LINK17"/>
      <w:bookmarkStart w:id="68" w:name="OLE_LINK10"/>
      <w:bookmarkStart w:id="69" w:name="OLE_LINK11"/>
      <w:r>
        <w:rPr>
          <w:rFonts w:ascii="Arial" w:hAnsi="Arial" w:eastAsia="宋体" w:cs="Arial"/>
        </w:rPr>
        <w:t>开始比较研究前，贵公司可与免疫学、血液学和病理学检测器械部联系，征求</w:t>
      </w:r>
      <w:bookmarkStart w:id="70" w:name="OLE_LINK12"/>
      <w:bookmarkStart w:id="71" w:name="OLE_LINK13"/>
      <w:r>
        <w:rPr>
          <w:rFonts w:ascii="Arial" w:hAnsi="Arial" w:eastAsia="宋体" w:cs="Arial"/>
        </w:rPr>
        <w:t>FDA对贵公司研究计划</w:t>
      </w:r>
      <w:bookmarkEnd w:id="70"/>
      <w:bookmarkEnd w:id="71"/>
      <w:r>
        <w:rPr>
          <w:rFonts w:ascii="Arial" w:hAnsi="Arial" w:eastAsia="宋体" w:cs="Arial"/>
        </w:rPr>
        <w:t>的意见。</w:t>
      </w:r>
    </w:p>
    <w:bookmarkEnd w:id="66"/>
    <w:bookmarkEnd w:id="67"/>
    <w:p w14:paraId="4D161F57">
      <w:pPr>
        <w:snapToGrid w:val="0"/>
        <w:spacing w:line="300" w:lineRule="auto"/>
        <w:rPr>
          <w:rFonts w:ascii="Arial" w:hAnsi="Arial" w:eastAsia="宋体" w:cs="Arial"/>
        </w:rPr>
      </w:pPr>
    </w:p>
    <w:p w14:paraId="1842D641">
      <w:pPr>
        <w:snapToGrid w:val="0"/>
        <w:spacing w:line="300" w:lineRule="auto"/>
        <w:rPr>
          <w:rFonts w:ascii="Arial" w:hAnsi="Arial" w:eastAsia="宋体" w:cs="Arial"/>
          <w:b/>
        </w:rPr>
      </w:pPr>
      <w:r>
        <w:rPr>
          <w:rFonts w:ascii="Arial" w:hAnsi="Arial" w:eastAsia="宋体" w:cs="Arial"/>
          <w:b/>
        </w:rPr>
        <w:t>临床研究</w:t>
      </w:r>
    </w:p>
    <w:p w14:paraId="21B972DE">
      <w:pPr>
        <w:snapToGrid w:val="0"/>
        <w:spacing w:line="300" w:lineRule="auto"/>
        <w:rPr>
          <w:rFonts w:ascii="Arial" w:hAnsi="Arial" w:eastAsia="宋体" w:cs="Arial"/>
        </w:rPr>
      </w:pPr>
    </w:p>
    <w:p w14:paraId="602560BD">
      <w:pPr>
        <w:snapToGrid w:val="0"/>
        <w:spacing w:line="300" w:lineRule="auto"/>
        <w:rPr>
          <w:rFonts w:ascii="Arial" w:hAnsi="Arial" w:eastAsia="宋体" w:cs="Arial"/>
        </w:rPr>
      </w:pPr>
      <w:r>
        <w:rPr>
          <w:rFonts w:ascii="Arial" w:hAnsi="Arial" w:eastAsia="宋体" w:cs="Arial"/>
        </w:rPr>
        <w:t>贵公司应通过统计学分析对贵公司的器械和手工计数法在荧光信号选择和计数方面的异同进行比较，从而证明FISH检测器械手工计数法和自动计数法的临床等同性。为了证明这一点，贵公司可按照NCCLS指导性文件EP9-A“采用患者样品进行方法比较和偏差估计”的描述，对1份合适的患者样品进行检测，然后采用手工计数法和自动计数法对它们进行评价。根据设计方案的要求，贵公司应采用适当的统计检验法确定灵敏度、特异性和一致性或阳性率、阴性率和总一致率。贵公司想得到的任何其它结论（如与手工评价相比评价时间缩短）均应得到临床确认研究的支持。</w:t>
      </w:r>
    </w:p>
    <w:p w14:paraId="40FB819F">
      <w:pPr>
        <w:snapToGrid w:val="0"/>
        <w:spacing w:line="300" w:lineRule="auto"/>
        <w:rPr>
          <w:rFonts w:ascii="Arial" w:hAnsi="Arial" w:eastAsia="宋体" w:cs="Arial"/>
        </w:rPr>
      </w:pPr>
    </w:p>
    <w:p w14:paraId="021C8BE6">
      <w:pPr>
        <w:snapToGrid w:val="0"/>
        <w:spacing w:line="300" w:lineRule="auto"/>
        <w:rPr>
          <w:rFonts w:ascii="Arial" w:hAnsi="Arial" w:eastAsia="宋体" w:cs="Arial"/>
        </w:rPr>
      </w:pPr>
      <w:r>
        <w:rPr>
          <w:rFonts w:ascii="Arial" w:hAnsi="Arial" w:eastAsia="宋体" w:cs="Arial"/>
        </w:rPr>
        <w:t>我们建议贵公司在临床确认研究计划中包含下列内容：</w:t>
      </w:r>
    </w:p>
    <w:p w14:paraId="48B5B8E4">
      <w:pPr>
        <w:snapToGrid w:val="0"/>
        <w:spacing w:line="300" w:lineRule="auto"/>
        <w:rPr>
          <w:rFonts w:ascii="Arial" w:hAnsi="Arial" w:eastAsia="宋体" w:cs="Arial"/>
        </w:rPr>
      </w:pPr>
    </w:p>
    <w:p w14:paraId="1C1CAADA">
      <w:pPr>
        <w:pStyle w:val="11"/>
        <w:numPr>
          <w:ilvl w:val="0"/>
          <w:numId w:val="3"/>
        </w:numPr>
        <w:snapToGrid w:val="0"/>
        <w:spacing w:line="300" w:lineRule="auto"/>
        <w:ind w:firstLineChars="0"/>
        <w:rPr>
          <w:rFonts w:ascii="Arial" w:hAnsi="Arial" w:eastAsia="宋体" w:cs="Arial"/>
        </w:rPr>
      </w:pPr>
      <w:r>
        <w:rPr>
          <w:rFonts w:ascii="Arial" w:hAnsi="Arial" w:eastAsia="宋体" w:cs="Arial"/>
        </w:rPr>
        <w:t>各个评价场所均有3个或3个以上研究人员参加研究，其中1个或1个以上在美国。</w:t>
      </w:r>
    </w:p>
    <w:p w14:paraId="1F506B7A">
      <w:pPr>
        <w:pStyle w:val="11"/>
        <w:numPr>
          <w:ilvl w:val="0"/>
          <w:numId w:val="3"/>
        </w:numPr>
        <w:snapToGrid w:val="0"/>
        <w:spacing w:line="300" w:lineRule="auto"/>
        <w:ind w:firstLineChars="0"/>
        <w:rPr>
          <w:rFonts w:ascii="Arial" w:hAnsi="Arial" w:eastAsia="宋体" w:cs="Arial"/>
        </w:rPr>
      </w:pPr>
      <w:r>
        <w:rPr>
          <w:rFonts w:ascii="Arial" w:hAnsi="Arial" w:eastAsia="宋体" w:cs="Arial"/>
        </w:rPr>
        <w:t>研究开始前对外部评价场所建立统一的研究方案。在收集数据的整个过程中均应遵从研究方案。必须做出更改时，应将更改内容记录在案并做出合理说明，以便能正确解释数据。</w:t>
      </w:r>
    </w:p>
    <w:p w14:paraId="15848C8E">
      <w:pPr>
        <w:pStyle w:val="11"/>
        <w:numPr>
          <w:ilvl w:val="0"/>
          <w:numId w:val="3"/>
        </w:numPr>
        <w:snapToGrid w:val="0"/>
        <w:spacing w:line="300" w:lineRule="auto"/>
        <w:ind w:firstLineChars="0"/>
        <w:rPr>
          <w:rFonts w:ascii="Arial" w:hAnsi="Arial" w:eastAsia="宋体" w:cs="Arial"/>
        </w:rPr>
      </w:pPr>
      <w:r>
        <w:rPr>
          <w:rFonts w:ascii="Arial" w:hAnsi="Arial" w:eastAsia="宋体" w:cs="Arial"/>
        </w:rPr>
        <w:t>在所有研究中采用适当方法进行质量控制。</w:t>
      </w:r>
    </w:p>
    <w:p w14:paraId="16456E9F">
      <w:pPr>
        <w:pStyle w:val="11"/>
        <w:numPr>
          <w:ilvl w:val="0"/>
          <w:numId w:val="3"/>
        </w:numPr>
        <w:snapToGrid w:val="0"/>
        <w:spacing w:line="300" w:lineRule="auto"/>
        <w:ind w:firstLineChars="0"/>
        <w:rPr>
          <w:rFonts w:ascii="Arial" w:hAnsi="Arial" w:eastAsia="宋体" w:cs="Arial"/>
        </w:rPr>
      </w:pPr>
      <w:r>
        <w:rPr>
          <w:rFonts w:ascii="Arial" w:hAnsi="Arial" w:eastAsia="宋体" w:cs="Arial"/>
        </w:rPr>
        <w:t>要求机构审查委员会（IRB）进行监督时，由IRB对评价研究的执行情况进行审查。</w:t>
      </w:r>
    </w:p>
    <w:bookmarkEnd w:id="68"/>
    <w:bookmarkEnd w:id="69"/>
    <w:p w14:paraId="46259FD6">
      <w:pPr>
        <w:pStyle w:val="11"/>
        <w:numPr>
          <w:ilvl w:val="0"/>
          <w:numId w:val="3"/>
        </w:numPr>
        <w:snapToGrid w:val="0"/>
        <w:spacing w:line="300" w:lineRule="auto"/>
        <w:ind w:firstLineChars="0"/>
        <w:rPr>
          <w:rFonts w:ascii="Arial" w:hAnsi="Arial" w:eastAsia="宋体" w:cs="Arial"/>
        </w:rPr>
      </w:pPr>
      <w:r>
        <w:rPr>
          <w:rFonts w:ascii="Arial" w:hAnsi="Arial" w:eastAsia="宋体" w:cs="Arial"/>
        </w:rPr>
        <w:t>采用适当的知情同意书招募患者；如果使用临床试样，确保根据要求获取适当的知情同意书。</w:t>
      </w:r>
    </w:p>
    <w:p w14:paraId="41E1EF3D">
      <w:pPr>
        <w:snapToGrid w:val="0"/>
        <w:spacing w:line="300" w:lineRule="auto"/>
        <w:rPr>
          <w:rFonts w:ascii="Arial" w:hAnsi="Arial" w:eastAsia="宋体" w:cs="Arial"/>
        </w:rPr>
      </w:pPr>
    </w:p>
    <w:p w14:paraId="0D4E4ED1">
      <w:pPr>
        <w:snapToGrid w:val="0"/>
        <w:spacing w:line="300" w:lineRule="auto"/>
        <w:rPr>
          <w:rFonts w:ascii="Arial" w:hAnsi="Arial" w:eastAsia="宋体" w:cs="Arial"/>
        </w:rPr>
      </w:pPr>
      <w:r>
        <w:rPr>
          <w:rFonts w:ascii="Arial" w:hAnsi="Arial" w:eastAsia="宋体" w:cs="Arial"/>
        </w:rPr>
        <w:t>关于贵公司研究的样本量和样本选择，我们提出以下建议：</w:t>
      </w:r>
    </w:p>
    <w:p w14:paraId="48721282">
      <w:pPr>
        <w:snapToGrid w:val="0"/>
        <w:spacing w:line="300" w:lineRule="auto"/>
        <w:rPr>
          <w:rFonts w:ascii="Arial" w:hAnsi="Arial" w:eastAsia="宋体" w:cs="Arial"/>
        </w:rPr>
      </w:pPr>
    </w:p>
    <w:p w14:paraId="34C0D50F">
      <w:pPr>
        <w:pStyle w:val="11"/>
        <w:numPr>
          <w:ilvl w:val="0"/>
          <w:numId w:val="4"/>
        </w:numPr>
        <w:snapToGrid w:val="0"/>
        <w:spacing w:line="300" w:lineRule="auto"/>
        <w:ind w:firstLineChars="0"/>
        <w:rPr>
          <w:rFonts w:ascii="Arial" w:hAnsi="Arial" w:eastAsia="宋体" w:cs="Arial"/>
        </w:rPr>
      </w:pPr>
      <w:r>
        <w:rPr>
          <w:rFonts w:ascii="Arial" w:hAnsi="Arial" w:eastAsia="宋体" w:cs="Arial"/>
        </w:rPr>
        <w:t>开始临床研究前，贵公司应确定样本量和样本选择方法（如纳入和排除标准）。样本量应有足够的统计效力或能力发现临床意义的差异。对于患病率低的疾病或健康状况，采用交替逼近法可能比较合适。</w:t>
      </w:r>
    </w:p>
    <w:p w14:paraId="34E62B91">
      <w:pPr>
        <w:pStyle w:val="11"/>
        <w:numPr>
          <w:ilvl w:val="0"/>
          <w:numId w:val="4"/>
        </w:numPr>
        <w:snapToGrid w:val="0"/>
        <w:spacing w:line="300" w:lineRule="auto"/>
        <w:ind w:firstLineChars="0"/>
        <w:rPr>
          <w:rFonts w:ascii="Arial" w:hAnsi="Arial" w:eastAsia="宋体" w:cs="Arial"/>
        </w:rPr>
      </w:pPr>
      <w:r>
        <w:rPr>
          <w:rFonts w:ascii="Arial" w:hAnsi="Arial" w:eastAsia="宋体" w:cs="Arial"/>
        </w:rPr>
        <w:t>贵公司应充分采集预期使用描述中要求的所有临床试样</w:t>
      </w:r>
      <w:r>
        <w:rPr>
          <w:rFonts w:hint="eastAsia" w:ascii="Arial" w:hAnsi="Arial" w:eastAsia="宋体" w:cs="Arial"/>
        </w:rPr>
        <w:t>基质</w:t>
      </w:r>
      <w:r>
        <w:rPr>
          <w:rFonts w:ascii="Arial" w:hAnsi="Arial" w:eastAsia="宋体" w:cs="Arial"/>
        </w:rPr>
        <w:t>（如福尔马林固定乳腺癌组织、石蜡包埋乳腺癌组织）。我们还建议贵公司对如何选择样本以及选择样本时是否考虑特定临床结局或其它特征提供清晰描述。</w:t>
      </w:r>
    </w:p>
    <w:p w14:paraId="21E6BB19">
      <w:pPr>
        <w:snapToGrid w:val="0"/>
        <w:spacing w:line="300" w:lineRule="auto"/>
        <w:rPr>
          <w:rFonts w:ascii="Arial" w:hAnsi="Arial" w:eastAsia="宋体" w:cs="Arial"/>
        </w:rPr>
      </w:pPr>
    </w:p>
    <w:p w14:paraId="3D0C5540">
      <w:pPr>
        <w:snapToGrid w:val="0"/>
        <w:spacing w:line="300" w:lineRule="auto"/>
        <w:rPr>
          <w:rFonts w:ascii="Arial" w:hAnsi="Arial" w:eastAsia="宋体" w:cs="Arial"/>
        </w:rPr>
      </w:pPr>
      <w:r>
        <w:rPr>
          <w:rFonts w:ascii="Arial" w:hAnsi="Arial" w:eastAsia="宋体" w:cs="Arial"/>
        </w:rPr>
        <w:t>在贵公司的510（k）提交资料中应包含对内部场所（即制造商的场所）和外部场所研究方案的描述与结果。贵公司还应对如何解决上述研究计划和样本选择方面的问题做出描述。贵公司还应描述下列事项：</w:t>
      </w:r>
    </w:p>
    <w:p w14:paraId="6889C9F8">
      <w:pPr>
        <w:snapToGrid w:val="0"/>
        <w:spacing w:line="300" w:lineRule="auto"/>
        <w:rPr>
          <w:rFonts w:ascii="Arial" w:hAnsi="Arial" w:eastAsia="宋体" w:cs="Arial"/>
        </w:rPr>
      </w:pPr>
    </w:p>
    <w:p w14:paraId="1F4B633C">
      <w:pPr>
        <w:pStyle w:val="11"/>
        <w:numPr>
          <w:ilvl w:val="0"/>
          <w:numId w:val="5"/>
        </w:numPr>
        <w:snapToGrid w:val="0"/>
        <w:spacing w:line="300" w:lineRule="auto"/>
        <w:ind w:firstLineChars="0"/>
        <w:rPr>
          <w:rFonts w:ascii="Arial" w:hAnsi="Arial" w:eastAsia="宋体" w:cs="Arial"/>
        </w:rPr>
      </w:pPr>
      <w:r>
        <w:rPr>
          <w:rFonts w:ascii="Arial" w:hAnsi="Arial" w:eastAsia="宋体" w:cs="Arial"/>
        </w:rPr>
        <w:t>比较器械或参比方法（金标准比较）。</w:t>
      </w:r>
    </w:p>
    <w:p w14:paraId="6DE9A9C0">
      <w:pPr>
        <w:pStyle w:val="11"/>
        <w:numPr>
          <w:ilvl w:val="0"/>
          <w:numId w:val="5"/>
        </w:numPr>
        <w:snapToGrid w:val="0"/>
        <w:spacing w:line="300" w:lineRule="auto"/>
        <w:ind w:firstLineChars="0"/>
        <w:rPr>
          <w:rFonts w:ascii="Arial" w:hAnsi="Arial" w:eastAsia="宋体" w:cs="Arial"/>
        </w:rPr>
      </w:pPr>
      <w:r>
        <w:rPr>
          <w:rFonts w:ascii="Arial" w:hAnsi="Arial" w:eastAsia="宋体" w:cs="Arial"/>
        </w:rPr>
        <w:t>患者样品（纳入/排除标准、临床状态或按何标准诊断、人口特征和患病率、试样类型、患者编号、每个患者的</w:t>
      </w:r>
      <w:r>
        <w:rPr>
          <w:rFonts w:hint="eastAsia" w:ascii="Arial" w:hAnsi="Arial" w:eastAsia="宋体" w:cs="Arial"/>
        </w:rPr>
        <w:t>样品</w:t>
      </w:r>
      <w:r>
        <w:rPr>
          <w:rFonts w:ascii="Arial" w:hAnsi="Arial" w:eastAsia="宋体" w:cs="Arial"/>
        </w:rPr>
        <w:t>编号）。</w:t>
      </w:r>
    </w:p>
    <w:p w14:paraId="0D6C4A6F">
      <w:pPr>
        <w:pStyle w:val="11"/>
        <w:numPr>
          <w:ilvl w:val="0"/>
          <w:numId w:val="5"/>
        </w:numPr>
        <w:snapToGrid w:val="0"/>
        <w:spacing w:line="300" w:lineRule="auto"/>
        <w:ind w:firstLineChars="0"/>
        <w:rPr>
          <w:rFonts w:ascii="Arial" w:hAnsi="Arial" w:eastAsia="宋体" w:cs="Arial"/>
        </w:rPr>
      </w:pPr>
      <w:r>
        <w:rPr>
          <w:rFonts w:ascii="Arial" w:hAnsi="Arial" w:eastAsia="宋体" w:cs="Arial"/>
        </w:rPr>
        <w:t>参与分析的试验数据，每个研究人员做出的结论，如果统计学和临床上证明合理，将所有研究人员的结果加以合并后做出的结论。</w:t>
      </w:r>
    </w:p>
    <w:p w14:paraId="59454D1D">
      <w:pPr>
        <w:pStyle w:val="11"/>
        <w:numPr>
          <w:ilvl w:val="0"/>
          <w:numId w:val="5"/>
        </w:numPr>
        <w:snapToGrid w:val="0"/>
        <w:spacing w:line="300" w:lineRule="auto"/>
        <w:ind w:firstLineChars="0"/>
        <w:rPr>
          <w:rFonts w:ascii="Arial" w:hAnsi="Arial" w:eastAsia="宋体" w:cs="Arial"/>
        </w:rPr>
      </w:pPr>
      <w:r>
        <w:rPr>
          <w:rFonts w:ascii="Arial" w:hAnsi="Arial" w:eastAsia="宋体" w:cs="Arial"/>
        </w:rPr>
        <w:t>对贵公司所用统计方法的描述</w:t>
      </w:r>
    </w:p>
    <w:p w14:paraId="3B2ACFDB">
      <w:pPr>
        <w:pStyle w:val="11"/>
        <w:numPr>
          <w:ilvl w:val="0"/>
          <w:numId w:val="5"/>
        </w:numPr>
        <w:snapToGrid w:val="0"/>
        <w:spacing w:line="300" w:lineRule="auto"/>
        <w:ind w:firstLineChars="0"/>
        <w:rPr>
          <w:rFonts w:ascii="Arial" w:hAnsi="Arial" w:eastAsia="宋体" w:cs="Arial"/>
        </w:rPr>
      </w:pPr>
      <w:r>
        <w:rPr>
          <w:rFonts w:ascii="Arial" w:hAnsi="Arial" w:eastAsia="宋体" w:cs="Arial"/>
        </w:rPr>
        <w:t>与该器械有关的已发表信息和/或临床数据的总结（如果贵公司认为该总结支持贵公司的主张）。</w:t>
      </w:r>
    </w:p>
    <w:p w14:paraId="5684B7F0">
      <w:pPr>
        <w:pStyle w:val="11"/>
        <w:numPr>
          <w:ilvl w:val="0"/>
          <w:numId w:val="5"/>
        </w:numPr>
        <w:snapToGrid w:val="0"/>
        <w:spacing w:line="300" w:lineRule="auto"/>
        <w:ind w:firstLineChars="0"/>
        <w:rPr>
          <w:rFonts w:ascii="Arial" w:hAnsi="Arial" w:eastAsia="宋体" w:cs="Arial"/>
        </w:rPr>
      </w:pPr>
      <w:r>
        <w:rPr>
          <w:rFonts w:ascii="Arial" w:hAnsi="Arial" w:eastAsia="宋体" w:cs="Arial"/>
        </w:rPr>
        <w:t>采用贵公司的器械所得自动计数结果与参比方法所得结果（如手工计数）的比较。根据NCCLS EP9-A2第4.1-8.3部分描述的方法计算比较结果。</w:t>
      </w:r>
    </w:p>
    <w:p w14:paraId="2AA697E5">
      <w:pPr>
        <w:pStyle w:val="11"/>
        <w:numPr>
          <w:ilvl w:val="0"/>
          <w:numId w:val="5"/>
        </w:numPr>
        <w:snapToGrid w:val="0"/>
        <w:spacing w:line="300" w:lineRule="auto"/>
        <w:ind w:firstLineChars="0"/>
        <w:rPr>
          <w:rFonts w:ascii="Arial" w:hAnsi="Arial" w:eastAsia="宋体" w:cs="Arial"/>
        </w:rPr>
      </w:pPr>
      <w:r>
        <w:rPr>
          <w:rFonts w:ascii="Arial" w:hAnsi="Arial" w:eastAsia="宋体" w:cs="Arial"/>
        </w:rPr>
        <w:t>数据分层和按临床状态（如阳性</w:t>
      </w:r>
      <w:bookmarkStart w:id="72" w:name="OLE_LINK26"/>
      <w:bookmarkStart w:id="73" w:name="OLE_LINK27"/>
      <w:r>
        <w:rPr>
          <w:rFonts w:ascii="Arial" w:hAnsi="Arial" w:eastAsia="宋体" w:cs="Arial"/>
        </w:rPr>
        <w:t>或阴性）所做分析</w:t>
      </w:r>
      <w:bookmarkEnd w:id="72"/>
      <w:bookmarkEnd w:id="73"/>
      <w:r>
        <w:rPr>
          <w:rFonts w:ascii="Arial" w:hAnsi="Arial" w:eastAsia="宋体" w:cs="Arial"/>
        </w:rPr>
        <w:t>。</w:t>
      </w:r>
    </w:p>
    <w:p w14:paraId="5A1C8D8A">
      <w:pPr>
        <w:pStyle w:val="11"/>
        <w:numPr>
          <w:ilvl w:val="0"/>
          <w:numId w:val="5"/>
        </w:numPr>
        <w:snapToGrid w:val="0"/>
        <w:spacing w:line="300" w:lineRule="auto"/>
        <w:ind w:firstLineChars="0"/>
        <w:rPr>
          <w:rFonts w:ascii="Arial" w:hAnsi="Arial" w:eastAsia="宋体" w:cs="Arial"/>
        </w:rPr>
      </w:pPr>
      <w:r>
        <w:rPr>
          <w:rFonts w:ascii="Arial" w:hAnsi="Arial" w:eastAsia="宋体" w:cs="Arial"/>
        </w:rPr>
        <w:t>根据贵公司的设计情况对灵敏度、特异度和一致性或阳性率、阴性率和总一致率置信区间的确定。</w:t>
      </w:r>
    </w:p>
    <w:p w14:paraId="55ED170F">
      <w:pPr>
        <w:snapToGrid w:val="0"/>
        <w:spacing w:line="300" w:lineRule="auto"/>
        <w:rPr>
          <w:rFonts w:ascii="Arial" w:hAnsi="Arial" w:eastAsia="宋体" w:cs="Arial"/>
        </w:rPr>
      </w:pPr>
    </w:p>
    <w:p w14:paraId="7950B70F">
      <w:pPr>
        <w:snapToGrid w:val="0"/>
        <w:spacing w:line="300" w:lineRule="auto"/>
        <w:rPr>
          <w:rFonts w:ascii="Arial" w:hAnsi="Arial" w:eastAsia="宋体" w:cs="Arial"/>
          <w:b/>
        </w:rPr>
      </w:pPr>
      <w:r>
        <w:rPr>
          <w:rFonts w:ascii="Arial" w:hAnsi="Arial" w:eastAsia="宋体" w:cs="Arial"/>
          <w:b/>
        </w:rPr>
        <w:t>8. 标签</w:t>
      </w:r>
    </w:p>
    <w:p w14:paraId="63242A4C">
      <w:pPr>
        <w:snapToGrid w:val="0"/>
        <w:spacing w:line="300" w:lineRule="auto"/>
        <w:rPr>
          <w:rFonts w:ascii="Arial" w:hAnsi="Arial" w:eastAsia="宋体" w:cs="Arial"/>
        </w:rPr>
      </w:pPr>
    </w:p>
    <w:p w14:paraId="2AD2AE7A">
      <w:pPr>
        <w:snapToGrid w:val="0"/>
        <w:spacing w:line="300" w:lineRule="auto"/>
        <w:rPr>
          <w:rFonts w:ascii="Arial" w:hAnsi="Arial" w:eastAsia="宋体" w:cs="Arial"/>
        </w:rPr>
      </w:pPr>
      <w:r>
        <w:rPr>
          <w:rFonts w:ascii="Arial" w:hAnsi="Arial" w:eastAsia="宋体" w:cs="Arial"/>
        </w:rPr>
        <w:t>上市前通告中应包含符合21 CFR 807.87(e)要求、有足够细节的标签。下列建议的目的是帮助贵公司准备符合这些要求的标签。尽管批准510（k）提交资料不需要最终标签，但将医疗器械引入州际贸易前，其最终标签必须符合</w:t>
      </w:r>
      <w:bookmarkStart w:id="74" w:name="OLE_LINK5"/>
      <w:bookmarkStart w:id="75" w:name="OLE_LINK14"/>
      <w:r>
        <w:rPr>
          <w:rFonts w:ascii="Arial" w:hAnsi="Arial" w:eastAsia="宋体" w:cs="Arial"/>
        </w:rPr>
        <w:t>21 CFR第801部分和21 CFR 809.10</w:t>
      </w:r>
      <w:bookmarkEnd w:id="74"/>
      <w:bookmarkEnd w:id="75"/>
      <w:r>
        <w:rPr>
          <w:rFonts w:ascii="Arial" w:hAnsi="Arial" w:eastAsia="宋体" w:cs="Arial"/>
        </w:rPr>
        <w:t>部分的要求。本指导性文件中的标签推荐规范与21 CFR第801部分和21 CFR 809.10部分的要求一致。</w:t>
      </w:r>
    </w:p>
    <w:p w14:paraId="3B88D8DF">
      <w:pPr>
        <w:snapToGrid w:val="0"/>
        <w:spacing w:line="300" w:lineRule="auto"/>
        <w:rPr>
          <w:rFonts w:ascii="Arial" w:hAnsi="Arial" w:eastAsia="宋体" w:cs="Arial"/>
        </w:rPr>
      </w:pPr>
    </w:p>
    <w:p w14:paraId="7E9EC537">
      <w:pPr>
        <w:snapToGrid w:val="0"/>
        <w:spacing w:line="300" w:lineRule="auto"/>
        <w:rPr>
          <w:rFonts w:ascii="Arial" w:hAnsi="Arial" w:eastAsia="宋体" w:cs="Arial"/>
          <w:b/>
        </w:rPr>
      </w:pPr>
      <w:r>
        <w:rPr>
          <w:rFonts w:ascii="Arial" w:hAnsi="Arial" w:eastAsia="宋体" w:cs="Arial"/>
          <w:b/>
        </w:rPr>
        <w:t>使用说明</w:t>
      </w:r>
    </w:p>
    <w:p w14:paraId="670D4598">
      <w:pPr>
        <w:snapToGrid w:val="0"/>
        <w:spacing w:line="300" w:lineRule="auto"/>
        <w:rPr>
          <w:rFonts w:ascii="Arial" w:hAnsi="Arial" w:eastAsia="宋体" w:cs="Arial"/>
        </w:rPr>
      </w:pPr>
    </w:p>
    <w:p w14:paraId="49021AF3">
      <w:pPr>
        <w:snapToGrid w:val="0"/>
        <w:spacing w:line="300" w:lineRule="auto"/>
        <w:rPr>
          <w:rFonts w:ascii="Arial" w:hAnsi="Arial" w:eastAsia="宋体" w:cs="Arial"/>
        </w:rPr>
      </w:pPr>
      <w:r>
        <w:rPr>
          <w:rFonts w:ascii="Arial" w:hAnsi="Arial" w:eastAsia="宋体" w:cs="Arial"/>
        </w:rPr>
        <w:t>为符合21 CFR 807.87部分的要求，贵公司应提供清晰、简洁的使用说明。在使用说明中应对具体器械的技术特征和如何使用该器械处理为FISH分析制备的载玻片做出描述，并强调对当地/机构培训项目的需求。这些项目是为方便用户熟悉器械特点和如何以安全、有效的方式使用器械而设计的。</w:t>
      </w:r>
    </w:p>
    <w:p w14:paraId="54B55409">
      <w:pPr>
        <w:snapToGrid w:val="0"/>
        <w:spacing w:line="300" w:lineRule="auto"/>
        <w:rPr>
          <w:rFonts w:ascii="Arial" w:hAnsi="Arial" w:eastAsia="宋体" w:cs="Arial"/>
        </w:rPr>
      </w:pPr>
    </w:p>
    <w:p w14:paraId="3B3547E8">
      <w:pPr>
        <w:snapToGrid w:val="0"/>
        <w:spacing w:line="300" w:lineRule="auto"/>
        <w:rPr>
          <w:rFonts w:ascii="Arial" w:hAnsi="Arial" w:eastAsia="宋体" w:cs="Arial"/>
          <w:b/>
        </w:rPr>
      </w:pPr>
      <w:r>
        <w:rPr>
          <w:rFonts w:ascii="Arial" w:hAnsi="Arial" w:eastAsia="宋体" w:cs="Arial"/>
          <w:b/>
        </w:rPr>
        <w:t>局限性</w:t>
      </w:r>
    </w:p>
    <w:p w14:paraId="72A7F283">
      <w:pPr>
        <w:snapToGrid w:val="0"/>
        <w:spacing w:line="300" w:lineRule="auto"/>
        <w:rPr>
          <w:rFonts w:ascii="Arial" w:hAnsi="Arial" w:eastAsia="宋体" w:cs="Arial"/>
        </w:rPr>
      </w:pPr>
    </w:p>
    <w:p w14:paraId="407E0C8E">
      <w:pPr>
        <w:snapToGrid w:val="0"/>
        <w:spacing w:line="300" w:lineRule="auto"/>
        <w:rPr>
          <w:rFonts w:ascii="Arial" w:hAnsi="Arial" w:eastAsia="宋体" w:cs="Arial"/>
        </w:rPr>
      </w:pPr>
      <w:r>
        <w:rPr>
          <w:rFonts w:ascii="Arial" w:hAnsi="Arial" w:eastAsia="宋体" w:cs="Arial"/>
        </w:rPr>
        <w:t>我们建议贵公司在标签中提供有关该器械局限性的信息，对在什么条件下可能改变测定结果做出描述。</w:t>
      </w:r>
    </w:p>
    <w:p w14:paraId="4CD78E8C">
      <w:pPr>
        <w:snapToGrid w:val="0"/>
        <w:spacing w:line="300" w:lineRule="auto"/>
        <w:rPr>
          <w:rFonts w:ascii="Arial" w:hAnsi="Arial" w:eastAsia="宋体" w:cs="Arial"/>
        </w:rPr>
      </w:pPr>
    </w:p>
    <w:p w14:paraId="1D980795">
      <w:pPr>
        <w:widowControl/>
        <w:jc w:val="left"/>
        <w:rPr>
          <w:rFonts w:ascii="Arial" w:hAnsi="Arial" w:eastAsia="宋体" w:cs="Arial"/>
          <w:b/>
        </w:rPr>
      </w:pPr>
      <w:r>
        <w:rPr>
          <w:rFonts w:ascii="Arial" w:hAnsi="Arial" w:eastAsia="宋体" w:cs="Arial"/>
          <w:b/>
        </w:rPr>
        <w:br w:type="page"/>
      </w:r>
    </w:p>
    <w:p w14:paraId="650C2100">
      <w:pPr>
        <w:snapToGrid w:val="0"/>
        <w:spacing w:line="300" w:lineRule="auto"/>
        <w:rPr>
          <w:rFonts w:ascii="Arial" w:hAnsi="Arial" w:eastAsia="宋体" w:cs="Arial"/>
          <w:b/>
        </w:rPr>
      </w:pPr>
      <w:r>
        <w:rPr>
          <w:rFonts w:ascii="Arial" w:hAnsi="Arial" w:eastAsia="宋体" w:cs="Arial"/>
          <w:b/>
        </w:rPr>
        <w:t>质量控制</w:t>
      </w:r>
    </w:p>
    <w:p w14:paraId="0D39F065">
      <w:pPr>
        <w:snapToGrid w:val="0"/>
        <w:spacing w:line="300" w:lineRule="auto"/>
        <w:rPr>
          <w:rFonts w:ascii="Arial" w:hAnsi="Arial" w:eastAsia="宋体" w:cs="Arial"/>
        </w:rPr>
      </w:pPr>
    </w:p>
    <w:p w14:paraId="13E9267F">
      <w:pPr>
        <w:snapToGrid w:val="0"/>
        <w:spacing w:line="300" w:lineRule="auto"/>
        <w:rPr>
          <w:rFonts w:ascii="Arial" w:hAnsi="Arial" w:eastAsia="宋体" w:cs="Arial"/>
        </w:rPr>
      </w:pPr>
      <w:r>
        <w:rPr>
          <w:rFonts w:ascii="Arial" w:hAnsi="Arial" w:eastAsia="宋体" w:cs="Arial"/>
        </w:rPr>
        <w:t>为减轻结果不准确造成的风险并帮助用户验证该测定方法和器械工作状况正常，我们建议贵公司在标签中提供对质控推荐规范的描述。</w:t>
      </w:r>
    </w:p>
    <w:p w14:paraId="2E6A947A">
      <w:pPr>
        <w:snapToGrid w:val="0"/>
        <w:spacing w:line="300" w:lineRule="auto"/>
        <w:rPr>
          <w:rFonts w:ascii="Arial" w:hAnsi="Arial" w:eastAsia="宋体" w:cs="Arial"/>
        </w:rPr>
      </w:pPr>
    </w:p>
    <w:p w14:paraId="5255CD89">
      <w:pPr>
        <w:snapToGrid w:val="0"/>
        <w:spacing w:line="300" w:lineRule="auto"/>
        <w:rPr>
          <w:rFonts w:ascii="Arial" w:hAnsi="Arial" w:eastAsia="宋体" w:cs="Arial"/>
          <w:b/>
        </w:rPr>
      </w:pPr>
      <w:r>
        <w:rPr>
          <w:rFonts w:ascii="Arial" w:hAnsi="Arial" w:eastAsia="宋体" w:cs="Arial"/>
          <w:b/>
        </w:rPr>
        <w:t>注意事项和警告</w:t>
      </w:r>
    </w:p>
    <w:p w14:paraId="0E28C087">
      <w:pPr>
        <w:snapToGrid w:val="0"/>
        <w:spacing w:line="300" w:lineRule="auto"/>
        <w:rPr>
          <w:rFonts w:ascii="Arial" w:hAnsi="Arial" w:eastAsia="宋体" w:cs="Arial"/>
        </w:rPr>
      </w:pPr>
    </w:p>
    <w:p w14:paraId="38D8AD87">
      <w:pPr>
        <w:snapToGrid w:val="0"/>
        <w:spacing w:line="300" w:lineRule="auto"/>
        <w:rPr>
          <w:rFonts w:ascii="Arial" w:hAnsi="Arial" w:eastAsia="宋体" w:cs="Arial"/>
        </w:rPr>
      </w:pPr>
      <w:r>
        <w:rPr>
          <w:rFonts w:ascii="Arial" w:hAnsi="Arial" w:eastAsia="宋体" w:cs="Arial"/>
        </w:rPr>
        <w:t>我们建议贵公司在标签中强调不应仅根据利用该器械获得的结果做出患者管理和治疗的决定，而是始终结合其它可接受的临床评定方法做出决定。</w:t>
      </w:r>
    </w:p>
    <w:p w14:paraId="04239A30">
      <w:pPr>
        <w:snapToGrid w:val="0"/>
        <w:spacing w:line="300" w:lineRule="auto"/>
        <w:rPr>
          <w:rFonts w:ascii="Arial" w:hAnsi="Arial" w:eastAsia="宋体" w:cs="Arial"/>
        </w:rPr>
      </w:pPr>
    </w:p>
    <w:p w14:paraId="4D619A48">
      <w:pPr>
        <w:snapToGrid w:val="0"/>
        <w:spacing w:line="300" w:lineRule="auto"/>
        <w:rPr>
          <w:rFonts w:ascii="Arial" w:hAnsi="Arial" w:eastAsia="宋体" w:cs="Arial"/>
        </w:rPr>
      </w:pPr>
    </w:p>
    <w:p w14:paraId="1C624E22">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114300</wp:posOffset>
                </wp:positionV>
                <wp:extent cx="1251585" cy="0"/>
                <wp:effectExtent l="0" t="0" r="24765" b="19050"/>
                <wp:wrapNone/>
                <wp:docPr id="4" name="直接连接符 4"/>
                <wp:cNvGraphicFramePr/>
                <a:graphic xmlns:a="http://schemas.openxmlformats.org/drawingml/2006/main">
                  <a:graphicData uri="http://schemas.microsoft.com/office/word/2010/wordprocessingShape">
                    <wps:wsp>
                      <wps:cNvCnPr/>
                      <wps:spPr>
                        <a:xfrm>
                          <a:off x="0" y="0"/>
                          <a:ext cx="12517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pt;height:0pt;width:98.55pt;z-index:251661312;mso-width-relative:page;mso-height-relative:page;" filled="f" stroked="t" coordsize="21600,21600" o:gfxdata="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MKNTNMAAAAHAQAADwAAAAAAAAABACAA&#10;AAAiAAAAZHJzL2Rvd25yZXYueG1sUEsBAhQAFAAAAAgAh07iQJOC8HrZAQAAmgMAAA4AAAAAAAAA&#10;AQAgAAAAIgEAAGRycy9lMm9Eb2MueG1sUEsFBgAAAAAGAAYAWQEAAG0FAAAAAA==&#10;">
                <v:fill on="f" focussize="0,0"/>
                <v:stroke color="#000000 [3213]" joinstyle="round"/>
                <v:imagedata o:title=""/>
                <o:lock v:ext="edit" aspectratio="f"/>
              </v:line>
            </w:pict>
          </mc:Fallback>
        </mc:AlternateContent>
      </w:r>
    </w:p>
    <w:p w14:paraId="06274F58">
      <w:pPr>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color w:val="800080"/>
          <w:u w:val="single"/>
        </w:rPr>
        <w:t>新510（k）范本</w:t>
      </w:r>
    </w:p>
    <w:p w14:paraId="1C8758A9">
      <w:pPr>
        <w:snapToGrid w:val="0"/>
        <w:spacing w:line="300" w:lineRule="auto"/>
        <w:rPr>
          <w:rFonts w:ascii="Arial" w:hAnsi="Arial" w:eastAsia="宋体" w:cs="Arial"/>
        </w:rPr>
      </w:pPr>
      <w:r>
        <w:rPr>
          <w:rFonts w:ascii="Arial" w:hAnsi="Arial" w:eastAsia="宋体" w:cs="Arial"/>
          <w:vertAlign w:val="superscript"/>
        </w:rPr>
        <w:t>2</w:t>
      </w:r>
      <w:r>
        <w:rPr>
          <w:rFonts w:ascii="Arial" w:hAnsi="Arial" w:eastAsia="宋体" w:cs="Arial"/>
        </w:rPr>
        <w:t>推荐格式见</w:t>
      </w:r>
      <w:r>
        <w:rPr>
          <w:rFonts w:ascii="Arial" w:hAnsi="Arial" w:eastAsia="宋体" w:cs="Arial"/>
          <w:color w:val="800080"/>
          <w:u w:val="single"/>
        </w:rPr>
        <w:t>使用说明表格</w:t>
      </w:r>
      <w:r>
        <w:rPr>
          <w:rFonts w:ascii="Arial" w:hAnsi="Arial" w:eastAsia="宋体" w:cs="Arial"/>
        </w:rPr>
        <w:t>（PDF文件大小：1.03 MB）。</w:t>
      </w:r>
    </w:p>
    <w:p w14:paraId="5D7E2922">
      <w:pPr>
        <w:snapToGrid w:val="0"/>
        <w:spacing w:line="300" w:lineRule="auto"/>
        <w:rPr>
          <w:rFonts w:ascii="Arial" w:hAnsi="Arial" w:eastAsia="宋体" w:cs="Arial"/>
        </w:rPr>
      </w:pPr>
      <w:r>
        <w:rPr>
          <w:rFonts w:ascii="Arial" w:hAnsi="Arial" w:eastAsia="宋体" w:cs="Arial"/>
          <w:vertAlign w:val="superscript"/>
        </w:rPr>
        <w:t>3</w:t>
      </w:r>
      <w:r>
        <w:rPr>
          <w:rFonts w:ascii="Arial" w:hAnsi="Arial" w:eastAsia="宋体" w:cs="Arial"/>
        </w:rPr>
        <w:t>如果FDA根据验收标准做出了实质等同认定，在将目标器械引入州际贸易前应对其进行检测并表明符合这些验收标准。如果成品器械不符合这些验收标准并从而与获得许可的510（k）提交资料中描述的器械存在差异，FDA建议文件提交者采用相同标准评定对合法销售器械的修改部分（21 CFR 807.81(a)(3)），判定销售成品器械前是否需要提交新510（k）提交资料并获得许可。</w:t>
      </w:r>
    </w:p>
    <w:p w14:paraId="3429A68D">
      <w:pPr>
        <w:snapToGrid w:val="0"/>
        <w:spacing w:line="300" w:lineRule="auto"/>
        <w:rPr>
          <w:rFonts w:ascii="Arial" w:hAnsi="Arial" w:eastAsia="宋体" w:cs="Arial"/>
        </w:rPr>
      </w:pPr>
      <w:r>
        <w:rPr>
          <w:rFonts w:ascii="Arial" w:hAnsi="Arial" w:eastAsia="宋体" w:cs="Arial"/>
          <w:vertAlign w:val="superscript"/>
        </w:rPr>
        <w:t>4</w:t>
      </w:r>
      <w:r>
        <w:rPr>
          <w:rFonts w:ascii="Arial" w:hAnsi="Arial" w:eastAsia="宋体" w:cs="Arial"/>
        </w:rPr>
        <w:t>见</w:t>
      </w:r>
      <w:r>
        <w:rPr>
          <w:rFonts w:ascii="Arial" w:hAnsi="Arial" w:eastAsia="宋体" w:cs="Arial"/>
          <w:color w:val="800080"/>
          <w:u w:val="single"/>
        </w:rPr>
        <w:t>符合公认标准声明的必要元素</w:t>
      </w:r>
      <w:r>
        <w:rPr>
          <w:rFonts w:ascii="Arial" w:hAnsi="Arial" w:eastAsia="宋体" w:cs="Arial"/>
        </w:rPr>
        <w:t>（适用于所有上市前通告510（k）提交资料的清单）。</w:t>
      </w:r>
    </w:p>
    <w:p w14:paraId="53179CF4">
      <w:pPr>
        <w:snapToGrid w:val="0"/>
        <w:spacing w:line="300" w:lineRule="auto"/>
        <w:rPr>
          <w:rFonts w:ascii="Arial" w:hAnsi="Arial" w:eastAsia="宋体" w:cs="Arial"/>
        </w:rPr>
      </w:pPr>
    </w:p>
    <w:p w14:paraId="4E061FE8">
      <w:pPr>
        <w:snapToGrid w:val="0"/>
        <w:spacing w:line="300" w:lineRule="auto"/>
        <w:rPr>
          <w:rFonts w:ascii="Arial" w:hAnsi="Arial" w:eastAsia="宋体" w:cs="Arial"/>
        </w:rPr>
      </w:pPr>
    </w:p>
    <w:p w14:paraId="76E1E55A">
      <w:pPr>
        <w:snapToGrid w:val="0"/>
        <w:spacing w:line="300" w:lineRule="auto"/>
        <w:jc w:val="center"/>
        <w:rPr>
          <w:rFonts w:hint="eastAsia" w:eastAsia="宋体"/>
          <w:lang w:eastAsia="zh-CN"/>
        </w:rPr>
      </w:pPr>
    </w:p>
    <w:p w14:paraId="5D79C701">
      <w:pPr>
        <w:snapToGrid w:val="0"/>
        <w:spacing w:line="300" w:lineRule="auto"/>
        <w:jc w:val="center"/>
        <w:rPr>
          <w:rFonts w:hint="eastAsia" w:eastAsia="宋体"/>
          <w:lang w:eastAsia="zh-CN"/>
        </w:rPr>
      </w:pPr>
    </w:p>
    <w:p w14:paraId="3A7CC1E7">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513AC"/>
    <w:multiLevelType w:val="multilevel"/>
    <w:tmpl w:val="24A513AC"/>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4403BE"/>
    <w:multiLevelType w:val="multilevel"/>
    <w:tmpl w:val="284403BE"/>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451E03"/>
    <w:multiLevelType w:val="multilevel"/>
    <w:tmpl w:val="33451E03"/>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3C7385"/>
    <w:multiLevelType w:val="multilevel"/>
    <w:tmpl w:val="4B3C738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1130A5A"/>
    <w:multiLevelType w:val="multilevel"/>
    <w:tmpl w:val="51130A5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0E"/>
    <w:rsid w:val="00006781"/>
    <w:rsid w:val="000304C3"/>
    <w:rsid w:val="000334E4"/>
    <w:rsid w:val="00036803"/>
    <w:rsid w:val="00036904"/>
    <w:rsid w:val="00037B67"/>
    <w:rsid w:val="000421DC"/>
    <w:rsid w:val="00047C7A"/>
    <w:rsid w:val="00051AF9"/>
    <w:rsid w:val="000623A1"/>
    <w:rsid w:val="00065028"/>
    <w:rsid w:val="000656CC"/>
    <w:rsid w:val="00085B3C"/>
    <w:rsid w:val="000B2A96"/>
    <w:rsid w:val="000C07BC"/>
    <w:rsid w:val="000C2E8F"/>
    <w:rsid w:val="000D545B"/>
    <w:rsid w:val="000E002E"/>
    <w:rsid w:val="000F00D6"/>
    <w:rsid w:val="001150C4"/>
    <w:rsid w:val="001235DD"/>
    <w:rsid w:val="00154A4B"/>
    <w:rsid w:val="00162BC7"/>
    <w:rsid w:val="00172A27"/>
    <w:rsid w:val="001757AB"/>
    <w:rsid w:val="001758D1"/>
    <w:rsid w:val="00175C8C"/>
    <w:rsid w:val="001A4CA8"/>
    <w:rsid w:val="001B233D"/>
    <w:rsid w:val="001B300B"/>
    <w:rsid w:val="001B55E9"/>
    <w:rsid w:val="001C1873"/>
    <w:rsid w:val="001C3618"/>
    <w:rsid w:val="001C3E5F"/>
    <w:rsid w:val="001E30AB"/>
    <w:rsid w:val="001E3750"/>
    <w:rsid w:val="002059C4"/>
    <w:rsid w:val="00210BC8"/>
    <w:rsid w:val="00210EB5"/>
    <w:rsid w:val="002216EE"/>
    <w:rsid w:val="00221A6D"/>
    <w:rsid w:val="00233AB5"/>
    <w:rsid w:val="0025150A"/>
    <w:rsid w:val="002623A0"/>
    <w:rsid w:val="00283880"/>
    <w:rsid w:val="0028593B"/>
    <w:rsid w:val="002B1A86"/>
    <w:rsid w:val="002B1E07"/>
    <w:rsid w:val="002B30D1"/>
    <w:rsid w:val="002C25A2"/>
    <w:rsid w:val="002D0AAC"/>
    <w:rsid w:val="002D3C0D"/>
    <w:rsid w:val="002D49D1"/>
    <w:rsid w:val="002D5FF0"/>
    <w:rsid w:val="002E75F3"/>
    <w:rsid w:val="0032177A"/>
    <w:rsid w:val="003416E2"/>
    <w:rsid w:val="00347A0E"/>
    <w:rsid w:val="003634A0"/>
    <w:rsid w:val="003634C5"/>
    <w:rsid w:val="003665FB"/>
    <w:rsid w:val="003862C1"/>
    <w:rsid w:val="00390146"/>
    <w:rsid w:val="00393571"/>
    <w:rsid w:val="00395A63"/>
    <w:rsid w:val="003A0943"/>
    <w:rsid w:val="003A5281"/>
    <w:rsid w:val="003B6684"/>
    <w:rsid w:val="003C1CD5"/>
    <w:rsid w:val="003C45EE"/>
    <w:rsid w:val="003E3EFD"/>
    <w:rsid w:val="003F58F3"/>
    <w:rsid w:val="00400C9B"/>
    <w:rsid w:val="00403BCD"/>
    <w:rsid w:val="00415562"/>
    <w:rsid w:val="00417025"/>
    <w:rsid w:val="004356A8"/>
    <w:rsid w:val="00436A85"/>
    <w:rsid w:val="00444C95"/>
    <w:rsid w:val="00454125"/>
    <w:rsid w:val="004802A3"/>
    <w:rsid w:val="0048533F"/>
    <w:rsid w:val="004D1CCD"/>
    <w:rsid w:val="004D2867"/>
    <w:rsid w:val="004D3826"/>
    <w:rsid w:val="004E2887"/>
    <w:rsid w:val="004E73F6"/>
    <w:rsid w:val="004F10F9"/>
    <w:rsid w:val="005149F5"/>
    <w:rsid w:val="00517A13"/>
    <w:rsid w:val="00527A0E"/>
    <w:rsid w:val="00530B36"/>
    <w:rsid w:val="00533667"/>
    <w:rsid w:val="00540150"/>
    <w:rsid w:val="00541B19"/>
    <w:rsid w:val="005437EA"/>
    <w:rsid w:val="00552F85"/>
    <w:rsid w:val="00554D99"/>
    <w:rsid w:val="00565871"/>
    <w:rsid w:val="00572568"/>
    <w:rsid w:val="00572CD3"/>
    <w:rsid w:val="0058017E"/>
    <w:rsid w:val="005818CC"/>
    <w:rsid w:val="0058551F"/>
    <w:rsid w:val="00593FBB"/>
    <w:rsid w:val="005A6D6D"/>
    <w:rsid w:val="005B123C"/>
    <w:rsid w:val="005B15C0"/>
    <w:rsid w:val="005B7DD7"/>
    <w:rsid w:val="005C2EBE"/>
    <w:rsid w:val="005D4220"/>
    <w:rsid w:val="005E5DAD"/>
    <w:rsid w:val="005E6D65"/>
    <w:rsid w:val="005E7819"/>
    <w:rsid w:val="005F0960"/>
    <w:rsid w:val="006013D7"/>
    <w:rsid w:val="006112D2"/>
    <w:rsid w:val="0061359B"/>
    <w:rsid w:val="00622EB3"/>
    <w:rsid w:val="00623CA3"/>
    <w:rsid w:val="00633E43"/>
    <w:rsid w:val="00641924"/>
    <w:rsid w:val="006423BA"/>
    <w:rsid w:val="00642C67"/>
    <w:rsid w:val="00646FB3"/>
    <w:rsid w:val="00664C4F"/>
    <w:rsid w:val="00667852"/>
    <w:rsid w:val="00670536"/>
    <w:rsid w:val="00690BEE"/>
    <w:rsid w:val="00695E57"/>
    <w:rsid w:val="006A0EC4"/>
    <w:rsid w:val="006C3A36"/>
    <w:rsid w:val="006C400E"/>
    <w:rsid w:val="006D2B50"/>
    <w:rsid w:val="006D6AE6"/>
    <w:rsid w:val="006F021F"/>
    <w:rsid w:val="006F39B5"/>
    <w:rsid w:val="00721392"/>
    <w:rsid w:val="0073135E"/>
    <w:rsid w:val="00737A0C"/>
    <w:rsid w:val="00752375"/>
    <w:rsid w:val="0076115F"/>
    <w:rsid w:val="0076405D"/>
    <w:rsid w:val="00773EAA"/>
    <w:rsid w:val="00774F5E"/>
    <w:rsid w:val="0077694E"/>
    <w:rsid w:val="00792A79"/>
    <w:rsid w:val="00796552"/>
    <w:rsid w:val="007A6469"/>
    <w:rsid w:val="007B168B"/>
    <w:rsid w:val="007C397D"/>
    <w:rsid w:val="007D3AE8"/>
    <w:rsid w:val="00805614"/>
    <w:rsid w:val="00821A8C"/>
    <w:rsid w:val="00823995"/>
    <w:rsid w:val="0082578A"/>
    <w:rsid w:val="00844863"/>
    <w:rsid w:val="008530B6"/>
    <w:rsid w:val="008573EC"/>
    <w:rsid w:val="00865214"/>
    <w:rsid w:val="008723B2"/>
    <w:rsid w:val="008747EE"/>
    <w:rsid w:val="00882CA3"/>
    <w:rsid w:val="00884621"/>
    <w:rsid w:val="008A56E7"/>
    <w:rsid w:val="008A792B"/>
    <w:rsid w:val="008E69AD"/>
    <w:rsid w:val="008F10D3"/>
    <w:rsid w:val="00901557"/>
    <w:rsid w:val="00902715"/>
    <w:rsid w:val="0090780E"/>
    <w:rsid w:val="00910701"/>
    <w:rsid w:val="00912CEF"/>
    <w:rsid w:val="00916677"/>
    <w:rsid w:val="00922EEE"/>
    <w:rsid w:val="00924A9C"/>
    <w:rsid w:val="009378A1"/>
    <w:rsid w:val="00947524"/>
    <w:rsid w:val="00950BA4"/>
    <w:rsid w:val="009638AD"/>
    <w:rsid w:val="0096575B"/>
    <w:rsid w:val="00972F12"/>
    <w:rsid w:val="009744B9"/>
    <w:rsid w:val="009848DD"/>
    <w:rsid w:val="00991AE9"/>
    <w:rsid w:val="00994F85"/>
    <w:rsid w:val="009B3B9A"/>
    <w:rsid w:val="009B65EC"/>
    <w:rsid w:val="009C496E"/>
    <w:rsid w:val="009D7114"/>
    <w:rsid w:val="009D7A4D"/>
    <w:rsid w:val="009E67B9"/>
    <w:rsid w:val="009F0C11"/>
    <w:rsid w:val="009F44B2"/>
    <w:rsid w:val="009F62A2"/>
    <w:rsid w:val="00A045D4"/>
    <w:rsid w:val="00A14501"/>
    <w:rsid w:val="00A24BED"/>
    <w:rsid w:val="00A24EE1"/>
    <w:rsid w:val="00A27E53"/>
    <w:rsid w:val="00A32EC6"/>
    <w:rsid w:val="00A35CCB"/>
    <w:rsid w:val="00A367A9"/>
    <w:rsid w:val="00A369DB"/>
    <w:rsid w:val="00A40CD4"/>
    <w:rsid w:val="00A51972"/>
    <w:rsid w:val="00A61CF3"/>
    <w:rsid w:val="00AA7ACA"/>
    <w:rsid w:val="00AB1E3C"/>
    <w:rsid w:val="00AB314F"/>
    <w:rsid w:val="00AB40E3"/>
    <w:rsid w:val="00AC4E92"/>
    <w:rsid w:val="00AD35FC"/>
    <w:rsid w:val="00AE3F83"/>
    <w:rsid w:val="00B0449A"/>
    <w:rsid w:val="00B13F0D"/>
    <w:rsid w:val="00B14A46"/>
    <w:rsid w:val="00B26106"/>
    <w:rsid w:val="00B34F3D"/>
    <w:rsid w:val="00B41D6E"/>
    <w:rsid w:val="00B5568D"/>
    <w:rsid w:val="00B56150"/>
    <w:rsid w:val="00B6145C"/>
    <w:rsid w:val="00B62883"/>
    <w:rsid w:val="00B72728"/>
    <w:rsid w:val="00B77342"/>
    <w:rsid w:val="00B777EC"/>
    <w:rsid w:val="00B77D60"/>
    <w:rsid w:val="00B77F37"/>
    <w:rsid w:val="00B80EBF"/>
    <w:rsid w:val="00B83059"/>
    <w:rsid w:val="00B832E4"/>
    <w:rsid w:val="00B869F8"/>
    <w:rsid w:val="00B9277E"/>
    <w:rsid w:val="00B946E1"/>
    <w:rsid w:val="00B948A2"/>
    <w:rsid w:val="00BA3BFC"/>
    <w:rsid w:val="00BA719E"/>
    <w:rsid w:val="00BC3C1F"/>
    <w:rsid w:val="00BC482D"/>
    <w:rsid w:val="00BC7245"/>
    <w:rsid w:val="00BC7FCA"/>
    <w:rsid w:val="00BD3097"/>
    <w:rsid w:val="00BE6F54"/>
    <w:rsid w:val="00C01FCE"/>
    <w:rsid w:val="00C14324"/>
    <w:rsid w:val="00C161BE"/>
    <w:rsid w:val="00C17453"/>
    <w:rsid w:val="00C25786"/>
    <w:rsid w:val="00C27EF6"/>
    <w:rsid w:val="00C27FC5"/>
    <w:rsid w:val="00C347E4"/>
    <w:rsid w:val="00C40F9F"/>
    <w:rsid w:val="00C45112"/>
    <w:rsid w:val="00C4749A"/>
    <w:rsid w:val="00C6742E"/>
    <w:rsid w:val="00C70422"/>
    <w:rsid w:val="00C8289F"/>
    <w:rsid w:val="00C86A16"/>
    <w:rsid w:val="00C91EFB"/>
    <w:rsid w:val="00C94A99"/>
    <w:rsid w:val="00C975A0"/>
    <w:rsid w:val="00CA7218"/>
    <w:rsid w:val="00CB3576"/>
    <w:rsid w:val="00CB67AD"/>
    <w:rsid w:val="00CD4261"/>
    <w:rsid w:val="00CD60C6"/>
    <w:rsid w:val="00CF08AD"/>
    <w:rsid w:val="00CF08C7"/>
    <w:rsid w:val="00D12049"/>
    <w:rsid w:val="00D1391C"/>
    <w:rsid w:val="00D13C48"/>
    <w:rsid w:val="00D3498A"/>
    <w:rsid w:val="00D35856"/>
    <w:rsid w:val="00D40244"/>
    <w:rsid w:val="00D56E15"/>
    <w:rsid w:val="00D80B37"/>
    <w:rsid w:val="00D81B4E"/>
    <w:rsid w:val="00D94B15"/>
    <w:rsid w:val="00DD231F"/>
    <w:rsid w:val="00DD3792"/>
    <w:rsid w:val="00DE7EAB"/>
    <w:rsid w:val="00DF6A76"/>
    <w:rsid w:val="00E066D4"/>
    <w:rsid w:val="00E06F97"/>
    <w:rsid w:val="00E10529"/>
    <w:rsid w:val="00E10C72"/>
    <w:rsid w:val="00E22A5C"/>
    <w:rsid w:val="00E32488"/>
    <w:rsid w:val="00E3400E"/>
    <w:rsid w:val="00E40920"/>
    <w:rsid w:val="00E42400"/>
    <w:rsid w:val="00E47176"/>
    <w:rsid w:val="00E50D06"/>
    <w:rsid w:val="00E6471A"/>
    <w:rsid w:val="00E650F6"/>
    <w:rsid w:val="00E807DC"/>
    <w:rsid w:val="00E866AB"/>
    <w:rsid w:val="00E90118"/>
    <w:rsid w:val="00E9294C"/>
    <w:rsid w:val="00E93701"/>
    <w:rsid w:val="00EA3643"/>
    <w:rsid w:val="00EA70FC"/>
    <w:rsid w:val="00EB3569"/>
    <w:rsid w:val="00EB4977"/>
    <w:rsid w:val="00EB797D"/>
    <w:rsid w:val="00EC6018"/>
    <w:rsid w:val="00EC6E41"/>
    <w:rsid w:val="00EC76CA"/>
    <w:rsid w:val="00ED1FFD"/>
    <w:rsid w:val="00ED309D"/>
    <w:rsid w:val="00EF259A"/>
    <w:rsid w:val="00EF5213"/>
    <w:rsid w:val="00F057B8"/>
    <w:rsid w:val="00F3551D"/>
    <w:rsid w:val="00F37223"/>
    <w:rsid w:val="00F46E5B"/>
    <w:rsid w:val="00F47C2A"/>
    <w:rsid w:val="00F64856"/>
    <w:rsid w:val="00F6506E"/>
    <w:rsid w:val="00F652AE"/>
    <w:rsid w:val="00F675BA"/>
    <w:rsid w:val="00F77DD4"/>
    <w:rsid w:val="00F804F9"/>
    <w:rsid w:val="00F91E9D"/>
    <w:rsid w:val="00FA39E6"/>
    <w:rsid w:val="00FA486D"/>
    <w:rsid w:val="00FB2288"/>
    <w:rsid w:val="00FB40B1"/>
    <w:rsid w:val="00FB6AF6"/>
    <w:rsid w:val="00FC46D6"/>
    <w:rsid w:val="00FD5EEB"/>
    <w:rsid w:val="00FF323C"/>
    <w:rsid w:val="3C17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7078</Words>
  <Characters>7657</Characters>
  <Lines>55</Lines>
  <Paragraphs>15</Paragraphs>
  <TotalTime>1</TotalTime>
  <ScaleCrop>false</ScaleCrop>
  <LinksUpToDate>false</LinksUpToDate>
  <CharactersWithSpaces>7701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2017-04-10T01:23:00Z</dcterms:created>
  <dc:creator>BH</dc:creator>
  <cp:lastModifiedBy>太极箫客</cp:lastModifiedBy>
  <dcterms:modified xsi:type="dcterms:W3CDTF">2025-08-14T06:18:06Z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6E4CC7D9711F44EDB116507DA988E3DF_12</vt:lpwstr>
  </property>
</Properties>
</file>