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C842C">
      <w:pPr>
        <w:pStyle w:val="18"/>
        <w:shd w:val="clear" w:color="auto" w:fill="auto"/>
        <w:snapToGrid w:val="0"/>
        <w:spacing w:line="300" w:lineRule="auto"/>
        <w:rPr>
          <w:rFonts w:ascii="Arial" w:hAnsi="Arial" w:eastAsia="宋体" w:cs="Arial"/>
          <w:lang w:eastAsia="zh-CN"/>
        </w:rPr>
      </w:pPr>
      <w:bookmarkStart w:id="2" w:name="_GoBack"/>
      <w:bookmarkEnd w:id="2"/>
      <w:r>
        <w:rPr>
          <w:rFonts w:ascii="Arial" w:hAnsi="Arial" w:eastAsia="宋体" w:cs="Arial"/>
          <w:lang w:eastAsia="zh-CN"/>
        </w:rPr>
        <w:t>行业和食品药品监督管理局工作人员指南</w:t>
      </w:r>
      <w:r>
        <w:rPr>
          <w:rFonts w:hint="eastAsia" w:ascii="Arial" w:hAnsi="Arial" w:eastAsia="宋体" w:cs="Arial"/>
          <w:lang w:eastAsia="zh-CN"/>
        </w:rPr>
        <w:t>草案</w:t>
      </w:r>
    </w:p>
    <w:p w14:paraId="2CF028D4">
      <w:pPr>
        <w:pStyle w:val="18"/>
        <w:shd w:val="clear" w:color="auto" w:fill="auto"/>
        <w:snapToGrid w:val="0"/>
        <w:spacing w:line="300" w:lineRule="auto"/>
        <w:jc w:val="both"/>
        <w:rPr>
          <w:rFonts w:ascii="Arial" w:hAnsi="Arial" w:eastAsia="宋体" w:cs="Arial"/>
          <w:lang w:eastAsia="zh-CN"/>
        </w:rPr>
      </w:pPr>
      <w:r>
        <w:rPr>
          <w:rFonts w:ascii="Arial" w:hAnsi="Arial" w:eastAsia="宋体" w:cs="Arial"/>
          <w:lang w:eastAsia="zh-CN"/>
        </w:rPr>
        <w:t>____________________________</w:t>
      </w:r>
    </w:p>
    <w:p w14:paraId="30A895F2">
      <w:pPr>
        <w:pStyle w:val="18"/>
        <w:shd w:val="clear" w:color="auto" w:fill="auto"/>
        <w:snapToGrid w:val="0"/>
        <w:spacing w:line="300" w:lineRule="auto"/>
        <w:rPr>
          <w:rFonts w:ascii="Arial" w:hAnsi="Arial" w:eastAsia="宋体" w:cs="Arial"/>
          <w:lang w:eastAsia="zh-CN"/>
        </w:rPr>
      </w:pPr>
      <w:r>
        <w:rPr>
          <w:rFonts w:ascii="Arial" w:hAnsi="Arial" w:eastAsia="宋体" w:cs="Arial"/>
          <w:lang w:eastAsia="zh-CN"/>
        </w:rPr>
        <w:t>II类特殊控制</w:t>
      </w:r>
      <w:r>
        <w:rPr>
          <w:rFonts w:hint="eastAsia" w:ascii="Arial" w:hAnsi="Arial" w:eastAsia="宋体" w:cs="Arial"/>
          <w:lang w:eastAsia="zh-CN"/>
        </w:rPr>
        <w:t>指导性文件</w:t>
      </w:r>
      <w:r>
        <w:rPr>
          <w:rFonts w:ascii="Arial" w:hAnsi="Arial" w:eastAsia="宋体" w:cs="Arial"/>
          <w:lang w:eastAsia="zh-CN"/>
        </w:rPr>
        <w:t>：</w:t>
      </w:r>
    </w:p>
    <w:p w14:paraId="0F70D523">
      <w:pPr>
        <w:pStyle w:val="18"/>
        <w:shd w:val="clear" w:color="auto" w:fill="auto"/>
        <w:snapToGrid w:val="0"/>
        <w:spacing w:line="300" w:lineRule="auto"/>
        <w:rPr>
          <w:rFonts w:ascii="Arial" w:hAnsi="Arial" w:eastAsia="宋体" w:cs="Arial"/>
          <w:sz w:val="56"/>
          <w:szCs w:val="56"/>
          <w:lang w:eastAsia="zh-CN"/>
        </w:rPr>
      </w:pPr>
      <w:r>
        <w:rPr>
          <w:rFonts w:ascii="Arial" w:hAnsi="Arial" w:eastAsia="宋体" w:cs="Arial"/>
          <w:sz w:val="56"/>
          <w:szCs w:val="56"/>
          <w:lang w:eastAsia="zh-CN"/>
        </w:rPr>
        <w:t>芽孢杆菌检测的体外诊断器械</w:t>
      </w:r>
    </w:p>
    <w:p w14:paraId="27B8D292">
      <w:pPr>
        <w:pStyle w:val="21"/>
        <w:shd w:val="clear" w:color="auto" w:fill="auto"/>
        <w:snapToGrid w:val="0"/>
        <w:spacing w:after="0" w:line="300" w:lineRule="auto"/>
        <w:rPr>
          <w:rFonts w:ascii="Arial" w:hAnsi="Arial" w:eastAsia="宋体" w:cs="Arial"/>
          <w:lang w:eastAsia="zh-CN"/>
        </w:rPr>
      </w:pPr>
      <w:r>
        <w:rPr>
          <w:rFonts w:ascii="Arial" w:hAnsi="Arial" w:eastAsia="宋体" w:cs="Arial"/>
          <w:lang w:eastAsia="zh-CN"/>
        </w:rPr>
        <w:t>指南</w:t>
      </w:r>
      <w:r>
        <w:rPr>
          <w:rFonts w:hint="eastAsia" w:ascii="Arial" w:hAnsi="Arial" w:eastAsia="宋体" w:cs="Arial"/>
          <w:lang w:eastAsia="zh-CN"/>
        </w:rPr>
        <w:t>草案</w:t>
      </w:r>
    </w:p>
    <w:p w14:paraId="5928C30A">
      <w:pPr>
        <w:pStyle w:val="23"/>
        <w:keepNext/>
        <w:keepLines/>
        <w:shd w:val="clear" w:color="auto" w:fill="auto"/>
        <w:adjustRightInd w:val="0"/>
        <w:snapToGrid w:val="0"/>
        <w:spacing w:before="0" w:after="0" w:line="300" w:lineRule="auto"/>
        <w:jc w:val="center"/>
        <w:rPr>
          <w:rFonts w:ascii="Arial" w:hAnsi="Arial" w:eastAsia="宋体" w:cs="Arial"/>
          <w:lang w:eastAsia="zh-CN"/>
        </w:rPr>
      </w:pPr>
      <w:r>
        <w:rPr>
          <w:rFonts w:ascii="Arial" w:hAnsi="Arial" w:eastAsia="宋体" w:cs="Arial"/>
          <w:lang w:eastAsia="zh-CN"/>
        </w:rPr>
        <w:t>本指南</w:t>
      </w:r>
      <w:r>
        <w:rPr>
          <w:rFonts w:hint="eastAsia" w:ascii="Arial" w:hAnsi="Arial" w:eastAsia="宋体" w:cs="Arial"/>
          <w:lang w:eastAsia="zh-CN"/>
        </w:rPr>
        <w:t>发行</w:t>
      </w:r>
      <w:r>
        <w:rPr>
          <w:rFonts w:ascii="Arial" w:hAnsi="Arial" w:eastAsia="宋体" w:cs="Arial"/>
          <w:lang w:eastAsia="zh-CN"/>
        </w:rPr>
        <w:t>仅用于评论。</w:t>
      </w:r>
    </w:p>
    <w:p w14:paraId="4EB7B2BF">
      <w:pPr>
        <w:pStyle w:val="23"/>
        <w:keepNext/>
        <w:keepLines/>
        <w:shd w:val="clear" w:color="auto" w:fill="auto"/>
        <w:adjustRightInd w:val="0"/>
        <w:snapToGrid w:val="0"/>
        <w:spacing w:before="0" w:after="0" w:line="300" w:lineRule="auto"/>
        <w:jc w:val="center"/>
        <w:rPr>
          <w:rFonts w:ascii="Arial" w:hAnsi="Arial" w:eastAsia="宋体" w:cs="Arial"/>
          <w:lang w:eastAsia="zh-CN"/>
        </w:rPr>
      </w:pPr>
      <w:r>
        <w:rPr>
          <w:rFonts w:ascii="Arial" w:hAnsi="Arial" w:eastAsia="宋体" w:cs="Arial"/>
          <w:lang w:eastAsia="zh-CN"/>
        </w:rPr>
        <w:t>文件发布日期：2011年5月18日</w:t>
      </w:r>
    </w:p>
    <w:p w14:paraId="49289A74">
      <w:pPr>
        <w:pStyle w:val="25"/>
        <w:shd w:val="clear" w:color="auto" w:fill="auto"/>
        <w:snapToGrid w:val="0"/>
        <w:spacing w:before="0" w:line="300" w:lineRule="auto"/>
        <w:ind w:firstLine="420" w:firstLineChars="200"/>
        <w:jc w:val="both"/>
        <w:rPr>
          <w:rFonts w:ascii="Arial" w:hAnsi="Arial" w:eastAsia="宋体" w:cs="Arial"/>
          <w:sz w:val="21"/>
          <w:szCs w:val="21"/>
          <w:lang w:eastAsia="zh-CN"/>
        </w:rPr>
      </w:pPr>
    </w:p>
    <w:p w14:paraId="19D5A8F2">
      <w:pPr>
        <w:pStyle w:val="25"/>
        <w:shd w:val="clear" w:color="auto" w:fill="auto"/>
        <w:snapToGrid w:val="0"/>
        <w:spacing w:before="0" w:line="300" w:lineRule="auto"/>
        <w:ind w:firstLine="0"/>
        <w:jc w:val="both"/>
        <w:rPr>
          <w:rFonts w:ascii="Arial" w:hAnsi="Arial" w:eastAsia="宋体" w:cs="Arial"/>
          <w:sz w:val="21"/>
          <w:szCs w:val="21"/>
          <w:lang w:eastAsia="zh-CN"/>
        </w:rPr>
      </w:pPr>
      <w:r>
        <w:rPr>
          <w:rFonts w:ascii="Arial" w:hAnsi="Arial" w:eastAsia="宋体" w:cs="Arial"/>
          <w:sz w:val="21"/>
          <w:szCs w:val="21"/>
          <w:lang w:eastAsia="zh-CN"/>
        </w:rPr>
        <w:t>贵公司应在</w:t>
      </w:r>
      <w:r>
        <w:rPr>
          <w:rFonts w:ascii="Arial" w:hAnsi="Arial" w:eastAsia="宋体" w:cs="Arial"/>
          <w:i/>
          <w:sz w:val="21"/>
          <w:szCs w:val="21"/>
          <w:lang w:eastAsia="zh-CN"/>
        </w:rPr>
        <w:t>联邦公报</w:t>
      </w:r>
      <w:r>
        <w:rPr>
          <w:rFonts w:ascii="Arial" w:hAnsi="Arial" w:eastAsia="宋体" w:cs="Arial"/>
          <w:sz w:val="21"/>
          <w:szCs w:val="21"/>
          <w:lang w:eastAsia="zh-CN"/>
        </w:rPr>
        <w:t>上公告宣布本指南可用性的90天内提交关于本文件草案的意见和建议。书面意见提交至文档管理部(HFA-305)，食品药品监督管理局，5630 Fishers Lane, rm. 1061, Rockville, MD 20852；电子版意见提交至</w:t>
      </w:r>
      <w:r>
        <w:fldChar w:fldCharType="begin"/>
      </w:r>
      <w:r>
        <w:instrText xml:space="preserve"> HYPERLINK "http://www.regulations.gov" </w:instrText>
      </w:r>
      <w:r>
        <w:fldChar w:fldCharType="separate"/>
      </w:r>
      <w:r>
        <w:rPr>
          <w:rStyle w:val="15"/>
          <w:rFonts w:ascii="Arial" w:hAnsi="Arial" w:eastAsia="宋体" w:cs="Arial"/>
          <w:color w:val="000000" w:themeColor="text1"/>
          <w:sz w:val="21"/>
          <w:szCs w:val="21"/>
          <w:lang w:eastAsia="zh-CN"/>
          <w14:textFill>
            <w14:solidFill>
              <w14:schemeClr w14:val="tx1"/>
            </w14:solidFill>
          </w14:textFill>
        </w:rPr>
        <w:t>http://www.regulations.gov</w:t>
      </w:r>
      <w:r>
        <w:rPr>
          <w:rStyle w:val="15"/>
          <w:rFonts w:ascii="Arial" w:hAnsi="Arial" w:eastAsia="宋体" w:cs="Arial"/>
          <w:color w:val="000000" w:themeColor="text1"/>
          <w:sz w:val="21"/>
          <w:szCs w:val="21"/>
          <w:lang w:eastAsia="zh-CN"/>
          <w14:textFill>
            <w14:solidFill>
              <w14:schemeClr w14:val="tx1"/>
            </w14:solidFill>
          </w14:textFill>
        </w:rPr>
        <w:fldChar w:fldCharType="end"/>
      </w:r>
      <w:r>
        <w:rPr>
          <w:rFonts w:ascii="Arial" w:hAnsi="Arial" w:eastAsia="宋体" w:cs="Arial"/>
          <w:sz w:val="21"/>
          <w:szCs w:val="21"/>
          <w:lang w:eastAsia="zh-CN"/>
        </w:rPr>
        <w:t>。所有意见应使用在联邦公报上公布的可用性通知中列出的案卷号加以标识。</w:t>
      </w:r>
    </w:p>
    <w:p w14:paraId="6C991642">
      <w:pPr>
        <w:pStyle w:val="25"/>
        <w:shd w:val="clear" w:color="auto" w:fill="auto"/>
        <w:snapToGrid w:val="0"/>
        <w:spacing w:before="0" w:line="300" w:lineRule="auto"/>
        <w:ind w:firstLine="0"/>
        <w:jc w:val="both"/>
        <w:rPr>
          <w:rFonts w:ascii="Arial" w:hAnsi="Arial" w:eastAsia="宋体" w:cs="Arial"/>
          <w:color w:val="000000" w:themeColor="text1"/>
          <w:sz w:val="21"/>
          <w:szCs w:val="21"/>
          <w:lang w:eastAsia="zh-CN"/>
          <w14:textFill>
            <w14:solidFill>
              <w14:schemeClr w14:val="tx1"/>
            </w14:solidFill>
          </w14:textFill>
        </w:rPr>
      </w:pPr>
      <w:r>
        <w:rPr>
          <w:rFonts w:ascii="Arial" w:hAnsi="Arial" w:eastAsia="宋体" w:cs="Arial"/>
          <w:color w:val="000000" w:themeColor="text1"/>
          <w:sz w:val="21"/>
          <w:szCs w:val="21"/>
          <w:lang w:eastAsia="zh-CN"/>
          <w14:textFill>
            <w14:solidFill>
              <w14:schemeClr w14:val="tx1"/>
            </w14:solidFill>
          </w14:textFill>
        </w:rPr>
        <w:t>有关本文件的任何疑问，请联系微生物学器械部的Beena Puri博士，电话：301-796-6202 或 电子邮件：</w:t>
      </w:r>
      <w:r>
        <w:fldChar w:fldCharType="begin"/>
      </w:r>
      <w:r>
        <w:instrText xml:space="preserve"> HYPERLINK "mailto:beena.puri@fda.hhs.gov" </w:instrText>
      </w:r>
      <w:r>
        <w:fldChar w:fldCharType="separate"/>
      </w:r>
      <w:r>
        <w:rPr>
          <w:rStyle w:val="15"/>
          <w:rFonts w:ascii="Arial" w:hAnsi="Arial" w:eastAsia="宋体" w:cs="Arial"/>
          <w:color w:val="000000" w:themeColor="text1"/>
          <w:sz w:val="21"/>
          <w:szCs w:val="21"/>
          <w:u w:val="none"/>
          <w:lang w:eastAsia="zh-CN"/>
          <w14:textFill>
            <w14:solidFill>
              <w14:schemeClr w14:val="tx1"/>
            </w14:solidFill>
          </w14:textFill>
        </w:rPr>
        <w:t>beena.puri@fda.hhs.gov</w:t>
      </w:r>
      <w:r>
        <w:rPr>
          <w:rStyle w:val="15"/>
          <w:rFonts w:ascii="Arial" w:hAnsi="Arial" w:eastAsia="宋体" w:cs="Arial"/>
          <w:color w:val="000000" w:themeColor="text1"/>
          <w:sz w:val="21"/>
          <w:szCs w:val="21"/>
          <w:u w:val="none"/>
          <w:lang w:eastAsia="zh-CN"/>
          <w14:textFill>
            <w14:solidFill>
              <w14:schemeClr w14:val="tx1"/>
            </w14:solidFill>
          </w14:textFill>
        </w:rPr>
        <w:fldChar w:fldCharType="end"/>
      </w:r>
      <w:r>
        <w:rPr>
          <w:rFonts w:ascii="Arial" w:hAnsi="Arial" w:eastAsia="宋体" w:cs="Arial"/>
          <w:color w:val="000000" w:themeColor="text1"/>
          <w:sz w:val="21"/>
          <w:szCs w:val="21"/>
          <w:lang w:eastAsia="zh-CN"/>
          <w14:textFill>
            <w14:solidFill>
              <w14:schemeClr w14:val="tx1"/>
            </w14:solidFill>
          </w14:textFill>
        </w:rPr>
        <w:t>。</w:t>
      </w:r>
    </w:p>
    <w:p w14:paraId="13E32025">
      <w:pPr>
        <w:pStyle w:val="25"/>
        <w:shd w:val="clear" w:color="auto" w:fill="auto"/>
        <w:snapToGrid w:val="0"/>
        <w:spacing w:before="0" w:line="300" w:lineRule="auto"/>
        <w:ind w:firstLine="0"/>
        <w:jc w:val="both"/>
        <w:rPr>
          <w:rFonts w:ascii="Arial" w:hAnsi="Arial" w:eastAsia="宋体" w:cs="Arial"/>
          <w:sz w:val="21"/>
          <w:szCs w:val="21"/>
          <w:lang w:eastAsia="zh-CN"/>
        </w:rPr>
      </w:pPr>
    </w:p>
    <w:p w14:paraId="79D12A90">
      <w:pPr>
        <w:pStyle w:val="25"/>
        <w:shd w:val="clear" w:color="auto" w:fill="auto"/>
        <w:snapToGrid w:val="0"/>
        <w:spacing w:before="0" w:line="300" w:lineRule="auto"/>
        <w:ind w:firstLine="420" w:firstLineChars="200"/>
        <w:jc w:val="both"/>
        <w:rPr>
          <w:rFonts w:ascii="Arial" w:hAnsi="Arial" w:eastAsia="宋体" w:cs="Arial"/>
          <w:sz w:val="21"/>
          <w:szCs w:val="21"/>
          <w:lang w:eastAsia="zh-CN"/>
        </w:rPr>
      </w:pPr>
    </w:p>
    <w:p w14:paraId="17969B66">
      <w:pPr>
        <w:pStyle w:val="25"/>
        <w:shd w:val="clear" w:color="auto" w:fill="auto"/>
        <w:snapToGrid w:val="0"/>
        <w:spacing w:before="0" w:line="300" w:lineRule="auto"/>
        <w:ind w:firstLine="420" w:firstLineChars="200"/>
        <w:jc w:val="both"/>
        <w:rPr>
          <w:rFonts w:ascii="Arial" w:hAnsi="Arial" w:eastAsia="宋体" w:cs="Arial"/>
          <w:sz w:val="21"/>
          <w:szCs w:val="21"/>
          <w:lang w:eastAsia="zh-CN"/>
        </w:rPr>
      </w:pPr>
    </w:p>
    <w:p w14:paraId="766635AD">
      <w:pPr>
        <w:pStyle w:val="25"/>
        <w:shd w:val="clear" w:color="auto" w:fill="auto"/>
        <w:snapToGrid w:val="0"/>
        <w:spacing w:before="0" w:line="300" w:lineRule="auto"/>
        <w:ind w:firstLine="420" w:firstLineChars="200"/>
        <w:jc w:val="both"/>
        <w:rPr>
          <w:rFonts w:ascii="Arial" w:hAnsi="Arial" w:eastAsia="宋体" w:cs="Arial"/>
          <w:sz w:val="21"/>
          <w:szCs w:val="21"/>
          <w:lang w:eastAsia="zh-CN"/>
        </w:rPr>
      </w:pPr>
    </w:p>
    <w:p w14:paraId="18540B55">
      <w:pPr>
        <w:pStyle w:val="25"/>
        <w:shd w:val="clear" w:color="auto" w:fill="auto"/>
        <w:snapToGrid w:val="0"/>
        <w:spacing w:before="0" w:line="300" w:lineRule="auto"/>
        <w:ind w:firstLine="420" w:firstLineChars="200"/>
        <w:jc w:val="both"/>
        <w:rPr>
          <w:rFonts w:ascii="Arial" w:hAnsi="Arial" w:eastAsia="宋体" w:cs="Arial"/>
          <w:sz w:val="21"/>
          <w:szCs w:val="21"/>
          <w:lang w:eastAsia="zh-CN"/>
        </w:rPr>
      </w:pPr>
    </w:p>
    <w:p w14:paraId="1C0B8013">
      <w:pPr>
        <w:pStyle w:val="25"/>
        <w:shd w:val="clear" w:color="auto" w:fill="auto"/>
        <w:snapToGrid w:val="0"/>
        <w:spacing w:before="0" w:line="300" w:lineRule="auto"/>
        <w:ind w:firstLine="420" w:firstLineChars="200"/>
        <w:jc w:val="both"/>
        <w:rPr>
          <w:rFonts w:ascii="Arial" w:hAnsi="Arial" w:eastAsia="宋体" w:cs="Arial"/>
          <w:sz w:val="21"/>
          <w:szCs w:val="21"/>
          <w:lang w:eastAsia="zh-CN"/>
        </w:rPr>
      </w:pPr>
      <w:r>
        <w:rPr>
          <w:rFonts w:hint="eastAsia" w:ascii="Arial" w:hAnsi="Arial" w:eastAsia="宋体" w:cs="Arial"/>
          <w:sz w:val="21"/>
          <w:szCs w:val="21"/>
          <w:lang w:eastAsia="zh-CN" w:bidi="ar-SA"/>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48895</wp:posOffset>
                </wp:positionV>
                <wp:extent cx="1774190" cy="12846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774371" cy="1284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FB819">
                            <w:r>
                              <w:rPr>
                                <w:lang w:eastAsia="zh-CN" w:bidi="ar-SA"/>
                              </w:rPr>
                              <w:drawing>
                                <wp:inline distT="0" distB="0" distL="0" distR="0">
                                  <wp:extent cx="883920" cy="987425"/>
                                  <wp:effectExtent l="0" t="0" r="0" b="3175"/>
                                  <wp:docPr id="13" name="图片 2" descr="image1"/>
                                  <wp:cNvGraphicFramePr/>
                                  <a:graphic xmlns:a="http://schemas.openxmlformats.org/drawingml/2006/main">
                                    <a:graphicData uri="http://schemas.openxmlformats.org/drawingml/2006/picture">
                                      <pic:pic xmlns:pic="http://schemas.openxmlformats.org/drawingml/2006/picture">
                                        <pic:nvPicPr>
                                          <pic:cNvPr id="13" name="图片 2" descr="image1"/>
                                          <pic:cNvPicPr/>
                                        </pic:nvPicPr>
                                        <pic:blipFill>
                                          <a:blip r:embed="rId13">
                                            <a:extLst>
                                              <a:ext uri="{28A0092B-C50C-407E-A947-70E740481C1C}">
                                                <a14:useLocalDpi xmlns:a14="http://schemas.microsoft.com/office/drawing/2010/main" val="0"/>
                                              </a:ext>
                                            </a:extLst>
                                          </a:blip>
                                          <a:srcRect/>
                                          <a:stretch>
                                            <a:fillRect/>
                                          </a:stretch>
                                        </pic:blipFill>
                                        <pic:spPr>
                                          <a:xfrm>
                                            <a:off x="0" y="0"/>
                                            <a:ext cx="883920" cy="9874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5pt;margin-top:3.85pt;height:101.15pt;width:139.7pt;z-index:251659264;mso-width-relative:page;mso-height-relative:page;" filled="f" stroked="f" coordsize="21600,21600" o:gfxdata="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Ly0R7aAAAACAEAAA8AAAAAAAAAAQAgAAAA&#10;IgAAAGRycy9kb3ducmV2LnhtbFBLAQIUABQAAAAIAIdO4kAlR95HQgIAAHUEAAAOAAAAAAAAAAEA&#10;IAAAACkBAABkcnMvZTJvRG9jLnhtbFBLBQYAAAAABgAGAFkBAADdBQAAAAA=&#10;">
                <v:fill on="f" focussize="0,0"/>
                <v:stroke on="f" weight="0.5pt"/>
                <v:imagedata o:title=""/>
                <o:lock v:ext="edit" aspectratio="f"/>
                <v:textbox>
                  <w:txbxContent>
                    <w:p w14:paraId="49EFB819">
                      <w:r>
                        <w:rPr>
                          <w:lang w:eastAsia="zh-CN" w:bidi="ar-SA"/>
                        </w:rPr>
                        <w:drawing>
                          <wp:inline distT="0" distB="0" distL="0" distR="0">
                            <wp:extent cx="883920" cy="987425"/>
                            <wp:effectExtent l="0" t="0" r="0" b="3175"/>
                            <wp:docPr id="13" name="图片 2" descr="image1"/>
                            <wp:cNvGraphicFramePr/>
                            <a:graphic xmlns:a="http://schemas.openxmlformats.org/drawingml/2006/main">
                              <a:graphicData uri="http://schemas.openxmlformats.org/drawingml/2006/picture">
                                <pic:pic xmlns:pic="http://schemas.openxmlformats.org/drawingml/2006/picture">
                                  <pic:nvPicPr>
                                    <pic:cNvPr id="13" name="图片 2" descr="image1"/>
                                    <pic:cNvPicPr/>
                                  </pic:nvPicPr>
                                  <pic:blipFill>
                                    <a:blip r:embed="rId13">
                                      <a:extLst>
                                        <a:ext uri="{28A0092B-C50C-407E-A947-70E740481C1C}">
                                          <a14:useLocalDpi xmlns:a14="http://schemas.microsoft.com/office/drawing/2010/main" val="0"/>
                                        </a:ext>
                                      </a:extLst>
                                    </a:blip>
                                    <a:srcRect/>
                                    <a:stretch>
                                      <a:fillRect/>
                                    </a:stretch>
                                  </pic:blipFill>
                                  <pic:spPr>
                                    <a:xfrm>
                                      <a:off x="0" y="0"/>
                                      <a:ext cx="883920" cy="987425"/>
                                    </a:xfrm>
                                    <a:prstGeom prst="rect">
                                      <a:avLst/>
                                    </a:prstGeom>
                                    <a:noFill/>
                                  </pic:spPr>
                                </pic:pic>
                              </a:graphicData>
                            </a:graphic>
                          </wp:inline>
                        </w:drawing>
                      </w:r>
                    </w:p>
                  </w:txbxContent>
                </v:textbox>
              </v:shape>
            </w:pict>
          </mc:Fallback>
        </mc:AlternateContent>
      </w:r>
    </w:p>
    <w:p w14:paraId="13FE2AF8">
      <w:pPr>
        <w:pStyle w:val="28"/>
        <w:snapToGrid w:val="0"/>
        <w:spacing w:before="0" w:line="300" w:lineRule="auto"/>
        <w:ind w:firstLine="3778" w:firstLineChars="1568"/>
        <w:rPr>
          <w:rFonts w:ascii="Arial" w:hAnsi="Arial" w:eastAsia="宋体" w:cs="Arial"/>
          <w:lang w:eastAsia="zh-CN" w:bidi="ar-SA"/>
        </w:rPr>
      </w:pPr>
      <w:r>
        <w:rPr>
          <w:rFonts w:ascii="Arial" w:hAnsi="Arial" w:eastAsia="宋体" w:cs="Arial"/>
          <w:lang w:eastAsia="zh-CN" w:bidi="ar-SA"/>
        </w:rPr>
        <w:t>美国卫生</w:t>
      </w:r>
      <w:r>
        <w:rPr>
          <w:rFonts w:hint="eastAsia" w:ascii="Arial" w:hAnsi="Arial" w:eastAsia="宋体" w:cs="Arial"/>
          <w:lang w:eastAsia="zh-CN" w:bidi="ar-SA"/>
        </w:rPr>
        <w:t>与</w:t>
      </w:r>
      <w:r>
        <w:rPr>
          <w:rFonts w:ascii="Arial" w:hAnsi="Arial" w:eastAsia="宋体" w:cs="Arial"/>
          <w:lang w:eastAsia="zh-CN" w:bidi="ar-SA"/>
        </w:rPr>
        <w:t>公众服务部</w:t>
      </w:r>
    </w:p>
    <w:p w14:paraId="05B4C9BA">
      <w:pPr>
        <w:pStyle w:val="28"/>
        <w:shd w:val="clear" w:color="auto" w:fill="auto"/>
        <w:snapToGrid w:val="0"/>
        <w:spacing w:before="0" w:line="300" w:lineRule="auto"/>
        <w:ind w:firstLine="3778" w:firstLineChars="1568"/>
        <w:rPr>
          <w:rFonts w:ascii="Arial" w:hAnsi="Arial" w:eastAsia="宋体" w:cs="Arial"/>
          <w:lang w:eastAsia="zh-CN"/>
        </w:rPr>
      </w:pPr>
      <w:r>
        <w:rPr>
          <w:rFonts w:ascii="Arial" w:hAnsi="Arial" w:eastAsia="宋体" w:cs="Arial"/>
          <w:lang w:eastAsia="zh-CN"/>
        </w:rPr>
        <w:t>食品药品监督管理局</w:t>
      </w:r>
    </w:p>
    <w:p w14:paraId="4465F939">
      <w:pPr>
        <w:pStyle w:val="28"/>
        <w:shd w:val="clear" w:color="auto" w:fill="auto"/>
        <w:snapToGrid w:val="0"/>
        <w:spacing w:before="0" w:line="300" w:lineRule="auto"/>
        <w:ind w:firstLine="3778" w:firstLineChars="1568"/>
        <w:rPr>
          <w:rFonts w:ascii="Arial" w:hAnsi="Arial" w:eastAsia="宋体" w:cs="Arial"/>
          <w:lang w:eastAsia="zh-CN"/>
        </w:rPr>
      </w:pPr>
      <w:r>
        <w:rPr>
          <w:rFonts w:ascii="Arial" w:hAnsi="Arial" w:eastAsia="宋体" w:cs="Arial"/>
          <w:lang w:eastAsia="zh-CN"/>
        </w:rPr>
        <w:t>器械</w:t>
      </w:r>
      <w:r>
        <w:rPr>
          <w:rFonts w:hint="eastAsia" w:ascii="Arial" w:hAnsi="Arial" w:eastAsia="宋体" w:cs="Arial"/>
          <w:lang w:eastAsia="zh-CN"/>
        </w:rPr>
        <w:t>与</w:t>
      </w:r>
      <w:r>
        <w:rPr>
          <w:rFonts w:ascii="Arial" w:hAnsi="Arial" w:eastAsia="宋体" w:cs="Arial"/>
          <w:lang w:eastAsia="zh-CN"/>
        </w:rPr>
        <w:t>放射健康中心</w:t>
      </w:r>
    </w:p>
    <w:p w14:paraId="02CA6419">
      <w:pPr>
        <w:pStyle w:val="28"/>
        <w:snapToGrid w:val="0"/>
        <w:spacing w:before="0" w:line="300" w:lineRule="auto"/>
        <w:ind w:firstLine="3778" w:firstLineChars="1568"/>
        <w:rPr>
          <w:rFonts w:ascii="Arial" w:hAnsi="Arial" w:eastAsia="宋体" w:cs="Arial"/>
          <w:lang w:eastAsia="zh-CN"/>
        </w:rPr>
      </w:pPr>
      <w:r>
        <w:rPr>
          <w:rFonts w:ascii="Arial" w:hAnsi="Arial" w:eastAsia="宋体" w:cs="Arial"/>
          <w:lang w:eastAsia="zh-CN"/>
        </w:rPr>
        <w:t>体外诊断器械</w:t>
      </w:r>
      <w:r>
        <w:rPr>
          <w:rFonts w:hint="eastAsia" w:ascii="Arial" w:hAnsi="Arial" w:eastAsia="宋体" w:cs="Arial"/>
          <w:lang w:eastAsia="zh-CN"/>
        </w:rPr>
        <w:t>评估</w:t>
      </w:r>
      <w:r>
        <w:rPr>
          <w:rFonts w:ascii="Arial" w:hAnsi="Arial" w:eastAsia="宋体" w:cs="Arial"/>
          <w:lang w:eastAsia="zh-CN"/>
        </w:rPr>
        <w:t>和安全办公室</w:t>
      </w:r>
    </w:p>
    <w:p w14:paraId="4E1BBEBB">
      <w:pPr>
        <w:pStyle w:val="28"/>
        <w:snapToGrid w:val="0"/>
        <w:spacing w:before="0" w:line="300" w:lineRule="auto"/>
        <w:ind w:firstLine="3778" w:firstLineChars="1568"/>
        <w:rPr>
          <w:rFonts w:ascii="Arial" w:hAnsi="Arial" w:eastAsia="宋体" w:cs="Arial"/>
          <w:lang w:eastAsia="zh-CN"/>
        </w:rPr>
      </w:pPr>
      <w:r>
        <w:rPr>
          <w:rFonts w:ascii="Arial" w:hAnsi="Arial" w:eastAsia="宋体" w:cs="Arial"/>
          <w:lang w:eastAsia="zh-CN"/>
        </w:rPr>
        <w:t>微生物检测器械</w:t>
      </w:r>
      <w:r>
        <w:rPr>
          <w:rFonts w:hint="eastAsia" w:ascii="Arial" w:hAnsi="Arial" w:eastAsia="宋体" w:cs="Arial"/>
          <w:lang w:eastAsia="zh-CN"/>
        </w:rPr>
        <w:t>部</w:t>
      </w:r>
    </w:p>
    <w:p w14:paraId="2FF34D41">
      <w:pPr>
        <w:pStyle w:val="28"/>
        <w:shd w:val="clear" w:color="auto" w:fill="auto"/>
        <w:snapToGrid w:val="0"/>
        <w:spacing w:before="0" w:line="300" w:lineRule="auto"/>
        <w:jc w:val="both"/>
        <w:rPr>
          <w:rFonts w:ascii="Arial" w:hAnsi="Arial" w:eastAsia="宋体" w:cs="Arial"/>
          <w:lang w:eastAsia="zh-CN"/>
        </w:rPr>
      </w:pPr>
      <w:r>
        <w:rPr>
          <w:rFonts w:ascii="Arial" w:hAnsi="Arial" w:eastAsia="宋体" w:cs="Arial"/>
          <w:lang w:eastAsia="zh-CN"/>
        </w:rPr>
        <w:t xml:space="preserve"> </w:t>
      </w:r>
      <w:r>
        <w:rPr>
          <w:rFonts w:ascii="Arial" w:hAnsi="Arial" w:eastAsia="宋体" w:cs="Arial"/>
          <w:lang w:eastAsia="zh-CN"/>
        </w:rPr>
        <w:br w:type="page"/>
      </w:r>
    </w:p>
    <w:p w14:paraId="5C4B0994">
      <w:pPr>
        <w:pStyle w:val="30"/>
        <w:keepNext/>
        <w:keepLines/>
        <w:shd w:val="clear" w:color="auto" w:fill="auto"/>
        <w:snapToGrid w:val="0"/>
        <w:spacing w:after="646" w:line="300" w:lineRule="auto"/>
        <w:outlineLvl w:val="9"/>
        <w:rPr>
          <w:rFonts w:ascii="Arial" w:hAnsi="Arial" w:eastAsia="宋体" w:cs="Arial"/>
          <w:lang w:eastAsia="zh-CN"/>
        </w:rPr>
      </w:pPr>
      <w:r>
        <w:rPr>
          <w:rFonts w:ascii="Arial" w:hAnsi="Arial" w:eastAsia="宋体" w:cs="Arial"/>
          <w:lang w:eastAsia="zh-CN"/>
        </w:rPr>
        <w:t>前言</w:t>
      </w:r>
    </w:p>
    <w:p w14:paraId="66A7DE9A">
      <w:pPr>
        <w:pStyle w:val="25"/>
        <w:shd w:val="clear" w:color="auto" w:fill="auto"/>
        <w:snapToGrid w:val="0"/>
        <w:spacing w:before="0" w:line="300" w:lineRule="auto"/>
        <w:ind w:firstLine="0"/>
        <w:jc w:val="both"/>
        <w:rPr>
          <w:rFonts w:ascii="Arial" w:hAnsi="Arial" w:eastAsia="宋体" w:cs="Arial"/>
          <w:lang w:eastAsia="zh-CN"/>
        </w:rPr>
      </w:pPr>
    </w:p>
    <w:p w14:paraId="0BD0AE3D">
      <w:pPr>
        <w:snapToGrid w:val="0"/>
        <w:spacing w:line="300" w:lineRule="auto"/>
        <w:jc w:val="both"/>
        <w:rPr>
          <w:rFonts w:ascii="Arial" w:hAnsi="Arial" w:eastAsia="宋体" w:cs="Arial"/>
          <w:b/>
          <w:sz w:val="32"/>
          <w:szCs w:val="32"/>
          <w:lang w:eastAsia="zh-CN"/>
        </w:rPr>
      </w:pPr>
      <w:r>
        <w:rPr>
          <w:rFonts w:ascii="Arial" w:hAnsi="Arial" w:eastAsia="宋体" w:cs="Arial"/>
          <w:b/>
          <w:sz w:val="32"/>
          <w:szCs w:val="32"/>
          <w:lang w:eastAsia="zh-CN"/>
        </w:rPr>
        <w:t>其他副本</w:t>
      </w:r>
    </w:p>
    <w:p w14:paraId="2C54EB1F">
      <w:pPr>
        <w:snapToGrid w:val="0"/>
        <w:spacing w:line="300" w:lineRule="auto"/>
        <w:jc w:val="both"/>
        <w:rPr>
          <w:rFonts w:ascii="Arial" w:hAnsi="Arial" w:eastAsia="宋体" w:cs="Arial"/>
          <w:lang w:eastAsia="zh-CN"/>
        </w:rPr>
      </w:pPr>
      <w:r>
        <w:rPr>
          <w:rFonts w:ascii="Arial" w:hAnsi="Arial" w:eastAsia="宋体" w:cs="Arial"/>
          <w:lang w:eastAsia="zh-CN"/>
        </w:rPr>
        <w:t>其他副本可从互联网获得。贵公司还可以发送电子邮件请求本指南的电子副本：</w:t>
      </w:r>
      <w:r>
        <w:fldChar w:fldCharType="begin"/>
      </w:r>
      <w:r>
        <w:instrText xml:space="preserve"> HYPERLINK "mailto:dsmica@fda.hhs.gov" </w:instrText>
      </w:r>
      <w:r>
        <w:fldChar w:fldCharType="separate"/>
      </w:r>
      <w:r>
        <w:rPr>
          <w:rStyle w:val="15"/>
          <w:rFonts w:ascii="Arial" w:hAnsi="Arial" w:eastAsia="宋体" w:cs="Arial"/>
          <w:lang w:eastAsia="zh-CN"/>
        </w:rPr>
        <w:t>dsmica@fda.hhs.gov</w:t>
      </w:r>
      <w:r>
        <w:rPr>
          <w:rStyle w:val="15"/>
          <w:rFonts w:ascii="Arial" w:hAnsi="Arial" w:eastAsia="宋体" w:cs="Arial"/>
          <w:lang w:eastAsia="zh-CN"/>
        </w:rPr>
        <w:fldChar w:fldCharType="end"/>
      </w:r>
      <w:r>
        <w:rPr>
          <w:rStyle w:val="15"/>
          <w:rFonts w:ascii="Arial" w:hAnsi="Arial" w:eastAsia="宋体" w:cs="Arial"/>
          <w:color w:val="auto"/>
          <w:u w:val="none"/>
          <w:lang w:eastAsia="zh-CN"/>
        </w:rPr>
        <w:t>，</w:t>
      </w:r>
      <w:r>
        <w:rPr>
          <w:rFonts w:ascii="Arial" w:hAnsi="Arial" w:eastAsia="宋体" w:cs="Arial"/>
          <w:lang w:eastAsia="zh-CN"/>
        </w:rPr>
        <w:t>或向301-847-8149发送传真请求以接收复印件。在贵公司提出请求时，请使用本指南的文档编号（1667）以供识别。</w:t>
      </w:r>
    </w:p>
    <w:p w14:paraId="6298892F">
      <w:pPr>
        <w:snapToGrid w:val="0"/>
        <w:spacing w:line="300" w:lineRule="auto"/>
        <w:jc w:val="both"/>
        <w:rPr>
          <w:rFonts w:ascii="Arial" w:hAnsi="Arial" w:eastAsia="宋体" w:cs="Arial"/>
          <w:lang w:eastAsia="zh-CN"/>
        </w:rPr>
      </w:pPr>
    </w:p>
    <w:p w14:paraId="416E9E24">
      <w:pPr>
        <w:snapToGrid w:val="0"/>
        <w:spacing w:line="300" w:lineRule="auto"/>
        <w:jc w:val="both"/>
        <w:rPr>
          <w:rFonts w:ascii="Arial" w:hAnsi="Arial" w:eastAsia="宋体" w:cs="Arial"/>
          <w:lang w:eastAsia="zh-CN"/>
        </w:rPr>
      </w:pPr>
    </w:p>
    <w:p w14:paraId="514C8716">
      <w:pPr>
        <w:snapToGrid w:val="0"/>
        <w:spacing w:line="300" w:lineRule="auto"/>
        <w:jc w:val="both"/>
        <w:rPr>
          <w:rFonts w:ascii="Arial" w:hAnsi="Arial" w:eastAsia="宋体" w:cs="Arial"/>
          <w:i/>
          <w:iCs/>
          <w:lang w:eastAsia="zh-CN"/>
        </w:rPr>
      </w:pPr>
      <w:r>
        <w:rPr>
          <w:rFonts w:ascii="Arial" w:hAnsi="Arial" w:eastAsia="宋体" w:cs="Arial"/>
          <w:lang w:eastAsia="zh-CN"/>
        </w:rPr>
        <w:br w:type="page"/>
      </w:r>
    </w:p>
    <w:p w14:paraId="0E525975">
      <w:pPr>
        <w:pStyle w:val="36"/>
        <w:keepNext/>
        <w:keepLines/>
        <w:shd w:val="clear" w:color="auto" w:fill="auto"/>
        <w:snapToGrid w:val="0"/>
        <w:spacing w:before="0" w:after="176" w:line="300" w:lineRule="auto"/>
        <w:ind w:firstLine="0"/>
        <w:jc w:val="center"/>
        <w:outlineLvl w:val="9"/>
        <w:rPr>
          <w:rFonts w:ascii="Arial" w:hAnsi="Arial" w:eastAsia="宋体" w:cs="Arial"/>
          <w:lang w:eastAsia="zh-CN"/>
        </w:rPr>
      </w:pPr>
      <w:r>
        <w:rPr>
          <w:rFonts w:ascii="Arial" w:hAnsi="Arial" w:eastAsia="宋体" w:cs="Arial"/>
          <w:lang w:eastAsia="zh-CN"/>
        </w:rPr>
        <w:t>目录</w:t>
      </w:r>
    </w:p>
    <w:p w14:paraId="1C74AA86">
      <w:pPr>
        <w:pStyle w:val="36"/>
        <w:keepNext/>
        <w:keepLines/>
        <w:shd w:val="clear" w:color="auto" w:fill="auto"/>
        <w:snapToGrid w:val="0"/>
        <w:spacing w:before="0" w:after="176" w:line="300" w:lineRule="auto"/>
        <w:ind w:firstLine="0"/>
        <w:jc w:val="both"/>
        <w:rPr>
          <w:rFonts w:ascii="Arial" w:hAnsi="Arial" w:eastAsia="宋体" w:cs="Arial"/>
          <w:lang w:eastAsia="zh-CN"/>
        </w:rPr>
      </w:pPr>
    </w:p>
    <w:p w14:paraId="661F9A51">
      <w:pPr>
        <w:pStyle w:val="9"/>
        <w:numPr>
          <w:ilvl w:val="0"/>
          <w:numId w:val="1"/>
        </w:numPr>
        <w:shd w:val="clear" w:color="auto" w:fill="auto"/>
        <w:tabs>
          <w:tab w:val="left" w:pos="536"/>
          <w:tab w:val="right" w:leader="dot" w:pos="9333"/>
        </w:tabs>
        <w:snapToGrid w:val="0"/>
        <w:spacing w:before="0" w:line="300" w:lineRule="auto"/>
        <w:rPr>
          <w:rFonts w:ascii="Arial" w:hAnsi="Arial" w:eastAsia="宋体" w:cs="Arial"/>
          <w:sz w:val="21"/>
          <w:szCs w:val="21"/>
        </w:rPr>
      </w:pPr>
      <w:r>
        <w:rPr>
          <w:rFonts w:ascii="Arial" w:hAnsi="Arial" w:eastAsia="宋体" w:cs="Arial"/>
          <w:sz w:val="21"/>
          <w:szCs w:val="21"/>
        </w:rPr>
        <w:fldChar w:fldCharType="begin"/>
      </w:r>
      <w:r>
        <w:rPr>
          <w:rFonts w:ascii="Arial" w:hAnsi="Arial" w:eastAsia="宋体" w:cs="Arial"/>
          <w:sz w:val="21"/>
          <w:szCs w:val="21"/>
        </w:rPr>
        <w:instrText xml:space="preserve"> TOC \o "1-5" \h \z </w:instrText>
      </w:r>
      <w:r>
        <w:rPr>
          <w:rFonts w:ascii="Arial" w:hAnsi="Arial" w:eastAsia="宋体" w:cs="Arial"/>
          <w:sz w:val="21"/>
          <w:szCs w:val="21"/>
        </w:rPr>
        <w:fldChar w:fldCharType="separate"/>
      </w:r>
      <w:r>
        <w:fldChar w:fldCharType="begin"/>
      </w:r>
      <w:r>
        <w:instrText xml:space="preserve"> HYPERLINK \l "bookmark8" \o "Current Document" \h </w:instrText>
      </w:r>
      <w:r>
        <w:fldChar w:fldCharType="separate"/>
      </w:r>
      <w:r>
        <w:rPr>
          <w:rFonts w:ascii="Arial" w:hAnsi="Arial" w:eastAsia="宋体" w:cs="Arial"/>
          <w:sz w:val="21"/>
          <w:szCs w:val="21"/>
          <w:lang w:eastAsia="zh-CN"/>
        </w:rPr>
        <w:t>简介</w:t>
      </w:r>
      <w:r>
        <w:rPr>
          <w:rFonts w:ascii="Arial" w:hAnsi="Arial" w:eastAsia="宋体" w:cs="Arial"/>
          <w:sz w:val="21"/>
          <w:szCs w:val="21"/>
        </w:rPr>
        <w:tab/>
      </w:r>
      <w:r>
        <w:rPr>
          <w:rFonts w:ascii="Arial" w:hAnsi="Arial" w:eastAsia="宋体" w:cs="Arial"/>
          <w:sz w:val="21"/>
          <w:szCs w:val="21"/>
        </w:rPr>
        <w:t>4</w:t>
      </w:r>
      <w:r>
        <w:rPr>
          <w:rFonts w:ascii="Arial" w:hAnsi="Arial" w:eastAsia="宋体" w:cs="Arial"/>
          <w:sz w:val="21"/>
          <w:szCs w:val="21"/>
        </w:rPr>
        <w:fldChar w:fldCharType="end"/>
      </w:r>
    </w:p>
    <w:p w14:paraId="78CAA342">
      <w:pPr>
        <w:pStyle w:val="9"/>
        <w:numPr>
          <w:ilvl w:val="0"/>
          <w:numId w:val="1"/>
        </w:numPr>
        <w:shd w:val="clear" w:color="auto" w:fill="auto"/>
        <w:tabs>
          <w:tab w:val="left" w:pos="536"/>
          <w:tab w:val="right" w:leader="dot" w:pos="9333"/>
        </w:tabs>
        <w:snapToGrid w:val="0"/>
        <w:spacing w:before="0" w:line="300" w:lineRule="auto"/>
        <w:rPr>
          <w:rFonts w:ascii="Arial" w:hAnsi="Arial" w:eastAsia="宋体" w:cs="Arial"/>
          <w:sz w:val="21"/>
          <w:szCs w:val="21"/>
        </w:rPr>
      </w:pPr>
      <w:r>
        <w:fldChar w:fldCharType="begin"/>
      </w:r>
      <w:r>
        <w:instrText xml:space="preserve"> HYPERLINK \l "bookmark9" \o "Current Document" \h </w:instrText>
      </w:r>
      <w:r>
        <w:fldChar w:fldCharType="separate"/>
      </w:r>
      <w:r>
        <w:rPr>
          <w:rFonts w:ascii="Arial" w:hAnsi="Arial" w:eastAsia="宋体" w:cs="Arial"/>
          <w:sz w:val="21"/>
          <w:szCs w:val="21"/>
          <w:lang w:eastAsia="zh-CN"/>
        </w:rPr>
        <w:t>芽孢杆菌</w:t>
      </w:r>
      <w:r>
        <w:rPr>
          <w:rFonts w:ascii="Arial" w:hAnsi="Arial" w:eastAsia="宋体" w:cs="Arial"/>
          <w:sz w:val="21"/>
          <w:szCs w:val="21"/>
        </w:rPr>
        <w:t xml:space="preserve"> – </w:t>
      </w:r>
      <w:r>
        <w:rPr>
          <w:rFonts w:ascii="Arial" w:hAnsi="Arial" w:eastAsia="宋体" w:cs="Arial"/>
          <w:sz w:val="21"/>
          <w:szCs w:val="21"/>
          <w:lang w:eastAsia="zh-CN"/>
        </w:rPr>
        <w:t>背景</w:t>
      </w:r>
      <w:r>
        <w:rPr>
          <w:rFonts w:ascii="Arial" w:hAnsi="Arial" w:eastAsia="宋体" w:cs="Arial"/>
          <w:sz w:val="21"/>
          <w:szCs w:val="21"/>
        </w:rPr>
        <w:tab/>
      </w:r>
      <w:r>
        <w:rPr>
          <w:rFonts w:ascii="Arial" w:hAnsi="Arial" w:eastAsia="宋体" w:cs="Arial"/>
          <w:sz w:val="21"/>
          <w:szCs w:val="21"/>
        </w:rPr>
        <w:t>4</w:t>
      </w:r>
      <w:r>
        <w:rPr>
          <w:rFonts w:ascii="Arial" w:hAnsi="Arial" w:eastAsia="宋体" w:cs="Arial"/>
          <w:sz w:val="21"/>
          <w:szCs w:val="21"/>
        </w:rPr>
        <w:fldChar w:fldCharType="end"/>
      </w:r>
    </w:p>
    <w:p w14:paraId="3BEE62FF">
      <w:pPr>
        <w:pStyle w:val="9"/>
        <w:numPr>
          <w:ilvl w:val="0"/>
          <w:numId w:val="1"/>
        </w:numPr>
        <w:shd w:val="clear" w:color="auto" w:fill="auto"/>
        <w:tabs>
          <w:tab w:val="left" w:pos="536"/>
          <w:tab w:val="right" w:leader="dot" w:pos="9333"/>
        </w:tabs>
        <w:snapToGrid w:val="0"/>
        <w:spacing w:before="0" w:line="300" w:lineRule="auto"/>
        <w:rPr>
          <w:rFonts w:ascii="Arial" w:hAnsi="Arial" w:eastAsia="宋体" w:cs="Arial"/>
          <w:sz w:val="21"/>
          <w:szCs w:val="21"/>
        </w:rPr>
      </w:pPr>
      <w:r>
        <w:fldChar w:fldCharType="begin"/>
      </w:r>
      <w:r>
        <w:instrText xml:space="preserve"> HYPERLINK \l "bookmark11" \o "Current Document" \h </w:instrText>
      </w:r>
      <w:r>
        <w:fldChar w:fldCharType="separate"/>
      </w:r>
      <w:r>
        <w:rPr>
          <w:rFonts w:ascii="Arial" w:hAnsi="Arial" w:eastAsia="宋体" w:cs="Arial"/>
          <w:sz w:val="21"/>
          <w:szCs w:val="21"/>
          <w:lang w:eastAsia="zh-CN"/>
        </w:rPr>
        <w:t>上市前通告</w:t>
      </w:r>
      <w:r>
        <w:rPr>
          <w:rFonts w:ascii="Arial" w:hAnsi="Arial" w:eastAsia="宋体" w:cs="Arial"/>
          <w:sz w:val="21"/>
          <w:szCs w:val="21"/>
        </w:rPr>
        <w:t xml:space="preserve"> – </w:t>
      </w:r>
      <w:r>
        <w:rPr>
          <w:rFonts w:ascii="Arial" w:hAnsi="Arial" w:eastAsia="宋体" w:cs="Arial"/>
          <w:sz w:val="21"/>
          <w:szCs w:val="21"/>
          <w:lang w:eastAsia="zh-CN"/>
        </w:rPr>
        <w:t>背景</w:t>
      </w:r>
      <w:r>
        <w:rPr>
          <w:rFonts w:ascii="Arial" w:hAnsi="Arial" w:eastAsia="宋体" w:cs="Arial"/>
          <w:sz w:val="21"/>
          <w:szCs w:val="21"/>
        </w:rPr>
        <w:tab/>
      </w:r>
      <w:r>
        <w:rPr>
          <w:rFonts w:ascii="Arial" w:hAnsi="Arial" w:eastAsia="宋体" w:cs="Arial"/>
          <w:sz w:val="21"/>
          <w:szCs w:val="21"/>
        </w:rPr>
        <w:t>5</w:t>
      </w:r>
      <w:r>
        <w:rPr>
          <w:rFonts w:ascii="Arial" w:hAnsi="Arial" w:eastAsia="宋体" w:cs="Arial"/>
          <w:sz w:val="21"/>
          <w:szCs w:val="21"/>
        </w:rPr>
        <w:fldChar w:fldCharType="end"/>
      </w:r>
    </w:p>
    <w:p w14:paraId="41461C40">
      <w:pPr>
        <w:pStyle w:val="9"/>
        <w:numPr>
          <w:ilvl w:val="0"/>
          <w:numId w:val="1"/>
        </w:numPr>
        <w:shd w:val="clear" w:color="auto" w:fill="auto"/>
        <w:tabs>
          <w:tab w:val="left" w:pos="536"/>
          <w:tab w:val="right" w:leader="dot" w:pos="9333"/>
        </w:tabs>
        <w:snapToGrid w:val="0"/>
        <w:spacing w:before="0" w:line="300" w:lineRule="auto"/>
        <w:rPr>
          <w:rFonts w:ascii="Arial" w:hAnsi="Arial" w:eastAsia="宋体" w:cs="Arial"/>
          <w:sz w:val="21"/>
          <w:szCs w:val="21"/>
        </w:rPr>
      </w:pPr>
      <w:r>
        <w:fldChar w:fldCharType="begin"/>
      </w:r>
      <w:r>
        <w:instrText xml:space="preserve"> HYPERLINK \l "bookmark12" \o "Current Document" \h </w:instrText>
      </w:r>
      <w:r>
        <w:fldChar w:fldCharType="separate"/>
      </w:r>
      <w:r>
        <w:rPr>
          <w:rFonts w:ascii="Arial" w:hAnsi="Arial" w:eastAsia="宋体" w:cs="Arial"/>
          <w:sz w:val="21"/>
          <w:szCs w:val="21"/>
          <w:lang w:eastAsia="zh-CN"/>
        </w:rPr>
        <w:t>范围</w:t>
      </w:r>
      <w:r>
        <w:rPr>
          <w:rFonts w:ascii="Arial" w:hAnsi="Arial" w:eastAsia="宋体" w:cs="Arial"/>
          <w:sz w:val="21"/>
          <w:szCs w:val="21"/>
        </w:rPr>
        <w:tab/>
      </w:r>
      <w:r>
        <w:rPr>
          <w:rFonts w:ascii="Arial" w:hAnsi="Arial" w:eastAsia="宋体" w:cs="Arial"/>
          <w:sz w:val="21"/>
          <w:szCs w:val="21"/>
        </w:rPr>
        <w:t>5</w:t>
      </w:r>
      <w:r>
        <w:rPr>
          <w:rFonts w:ascii="Arial" w:hAnsi="Arial" w:eastAsia="宋体" w:cs="Arial"/>
          <w:sz w:val="21"/>
          <w:szCs w:val="21"/>
        </w:rPr>
        <w:fldChar w:fldCharType="end"/>
      </w:r>
    </w:p>
    <w:p w14:paraId="692CFB54">
      <w:pPr>
        <w:pStyle w:val="9"/>
        <w:numPr>
          <w:ilvl w:val="0"/>
          <w:numId w:val="1"/>
        </w:numPr>
        <w:shd w:val="clear" w:color="auto" w:fill="auto"/>
        <w:tabs>
          <w:tab w:val="left" w:pos="536"/>
          <w:tab w:val="right" w:leader="dot" w:pos="9333"/>
        </w:tabs>
        <w:snapToGrid w:val="0"/>
        <w:spacing w:before="0" w:line="300" w:lineRule="auto"/>
        <w:rPr>
          <w:rFonts w:ascii="Arial" w:hAnsi="Arial" w:eastAsia="宋体" w:cs="Arial"/>
          <w:sz w:val="21"/>
          <w:szCs w:val="21"/>
        </w:rPr>
      </w:pPr>
      <w:r>
        <w:fldChar w:fldCharType="begin"/>
      </w:r>
      <w:r>
        <w:instrText xml:space="preserve"> HYPERLINK \l "bookmark15" \o "Current Document" \h </w:instrText>
      </w:r>
      <w:r>
        <w:fldChar w:fldCharType="separate"/>
      </w:r>
      <w:r>
        <w:rPr>
          <w:rFonts w:ascii="Arial" w:hAnsi="Arial" w:eastAsia="宋体" w:cs="Arial"/>
          <w:sz w:val="21"/>
          <w:szCs w:val="21"/>
        </w:rPr>
        <w:t>需要特殊控制的安全</w:t>
      </w:r>
      <w:r>
        <w:rPr>
          <w:rFonts w:ascii="Arial" w:hAnsi="Arial" w:eastAsia="宋体" w:cs="Arial"/>
          <w:sz w:val="21"/>
          <w:szCs w:val="21"/>
          <w:lang w:eastAsia="zh-CN"/>
        </w:rPr>
        <w:t>性</w:t>
      </w:r>
      <w:r>
        <w:rPr>
          <w:rFonts w:ascii="Arial" w:hAnsi="Arial" w:eastAsia="宋体" w:cs="Arial"/>
          <w:sz w:val="21"/>
          <w:szCs w:val="21"/>
        </w:rPr>
        <w:t>和有效性问题</w:t>
      </w:r>
      <w:r>
        <w:rPr>
          <w:rFonts w:ascii="Arial" w:hAnsi="Arial" w:eastAsia="宋体" w:cs="Arial"/>
          <w:sz w:val="21"/>
          <w:szCs w:val="21"/>
        </w:rPr>
        <w:tab/>
      </w:r>
      <w:r>
        <w:rPr>
          <w:rFonts w:ascii="Arial" w:hAnsi="Arial" w:eastAsia="宋体" w:cs="Arial"/>
          <w:sz w:val="21"/>
          <w:szCs w:val="21"/>
        </w:rPr>
        <w:t>6</w:t>
      </w:r>
      <w:r>
        <w:rPr>
          <w:rFonts w:ascii="Arial" w:hAnsi="Arial" w:eastAsia="宋体" w:cs="Arial"/>
          <w:sz w:val="21"/>
          <w:szCs w:val="21"/>
        </w:rPr>
        <w:fldChar w:fldCharType="end"/>
      </w:r>
    </w:p>
    <w:p w14:paraId="26BC34B0">
      <w:pPr>
        <w:pStyle w:val="9"/>
        <w:numPr>
          <w:ilvl w:val="0"/>
          <w:numId w:val="1"/>
        </w:numPr>
        <w:shd w:val="clear" w:color="auto" w:fill="auto"/>
        <w:tabs>
          <w:tab w:val="left" w:pos="536"/>
          <w:tab w:val="right" w:leader="dot" w:pos="9333"/>
        </w:tabs>
        <w:snapToGrid w:val="0"/>
        <w:spacing w:before="0" w:line="300" w:lineRule="auto"/>
        <w:rPr>
          <w:rFonts w:ascii="Arial" w:hAnsi="Arial" w:eastAsia="宋体" w:cs="Arial"/>
          <w:sz w:val="21"/>
          <w:szCs w:val="21"/>
        </w:rPr>
      </w:pPr>
      <w:r>
        <w:fldChar w:fldCharType="begin"/>
      </w:r>
      <w:r>
        <w:instrText xml:space="preserve"> HYPERLINK \l "bookmark17" \o "Current Document" \h </w:instrText>
      </w:r>
      <w:r>
        <w:fldChar w:fldCharType="separate"/>
      </w:r>
      <w:r>
        <w:rPr>
          <w:rFonts w:ascii="Arial" w:hAnsi="Arial" w:eastAsia="宋体" w:cs="Arial"/>
          <w:sz w:val="21"/>
          <w:szCs w:val="21"/>
          <w:lang w:eastAsia="zh-CN"/>
        </w:rPr>
        <w:t>器械描述</w:t>
      </w:r>
      <w:r>
        <w:rPr>
          <w:rFonts w:ascii="Arial" w:hAnsi="Arial" w:eastAsia="宋体" w:cs="Arial"/>
          <w:sz w:val="21"/>
          <w:szCs w:val="21"/>
        </w:rPr>
        <w:tab/>
      </w:r>
      <w:r>
        <w:rPr>
          <w:rFonts w:ascii="Arial" w:hAnsi="Arial" w:eastAsia="宋体" w:cs="Arial"/>
          <w:sz w:val="21"/>
          <w:szCs w:val="21"/>
        </w:rPr>
        <w:t>8</w:t>
      </w:r>
      <w:r>
        <w:rPr>
          <w:rFonts w:ascii="Arial" w:hAnsi="Arial" w:eastAsia="宋体" w:cs="Arial"/>
          <w:sz w:val="21"/>
          <w:szCs w:val="21"/>
        </w:rPr>
        <w:fldChar w:fldCharType="end"/>
      </w:r>
    </w:p>
    <w:p w14:paraId="04BCB3FD">
      <w:pPr>
        <w:pStyle w:val="9"/>
        <w:numPr>
          <w:ilvl w:val="0"/>
          <w:numId w:val="1"/>
        </w:numPr>
        <w:shd w:val="clear" w:color="auto" w:fill="auto"/>
        <w:tabs>
          <w:tab w:val="left" w:pos="536"/>
          <w:tab w:val="right" w:leader="dot" w:pos="9333"/>
        </w:tabs>
        <w:snapToGrid w:val="0"/>
        <w:spacing w:before="0" w:line="300" w:lineRule="auto"/>
        <w:rPr>
          <w:rFonts w:ascii="Arial" w:hAnsi="Arial" w:eastAsia="宋体" w:cs="Arial"/>
          <w:sz w:val="21"/>
          <w:szCs w:val="21"/>
        </w:rPr>
      </w:pPr>
      <w:r>
        <w:fldChar w:fldCharType="begin"/>
      </w:r>
      <w:r>
        <w:instrText xml:space="preserve"> HYPERLINK \l "bookmark19" \o "Current Document" \h </w:instrText>
      </w:r>
      <w:r>
        <w:fldChar w:fldCharType="separate"/>
      </w:r>
      <w:r>
        <w:rPr>
          <w:rFonts w:ascii="Arial" w:hAnsi="Arial" w:eastAsia="宋体" w:cs="Arial"/>
          <w:sz w:val="21"/>
          <w:szCs w:val="21"/>
          <w:lang w:eastAsia="zh-CN"/>
        </w:rPr>
        <w:t>性能研究</w:t>
      </w:r>
      <w:r>
        <w:rPr>
          <w:rFonts w:ascii="Arial" w:hAnsi="Arial" w:eastAsia="宋体" w:cs="Arial"/>
          <w:sz w:val="21"/>
          <w:szCs w:val="21"/>
        </w:rPr>
        <w:tab/>
      </w:r>
      <w:r>
        <w:rPr>
          <w:rFonts w:ascii="Arial" w:hAnsi="Arial" w:eastAsia="宋体" w:cs="Arial"/>
          <w:sz w:val="21"/>
          <w:szCs w:val="21"/>
        </w:rPr>
        <w:t>9</w:t>
      </w:r>
      <w:r>
        <w:rPr>
          <w:rFonts w:ascii="Arial" w:hAnsi="Arial" w:eastAsia="宋体" w:cs="Arial"/>
          <w:sz w:val="21"/>
          <w:szCs w:val="21"/>
        </w:rPr>
        <w:fldChar w:fldCharType="end"/>
      </w:r>
    </w:p>
    <w:p w14:paraId="0D8F6229">
      <w:pPr>
        <w:pStyle w:val="9"/>
        <w:numPr>
          <w:ilvl w:val="0"/>
          <w:numId w:val="1"/>
        </w:numPr>
        <w:shd w:val="clear" w:color="auto" w:fill="auto"/>
        <w:tabs>
          <w:tab w:val="left" w:pos="536"/>
          <w:tab w:val="right" w:leader="dot" w:pos="9333"/>
        </w:tabs>
        <w:snapToGrid w:val="0"/>
        <w:spacing w:before="0" w:line="300" w:lineRule="auto"/>
        <w:rPr>
          <w:rFonts w:ascii="Arial" w:hAnsi="Arial" w:eastAsia="宋体" w:cs="Arial"/>
          <w:sz w:val="21"/>
          <w:szCs w:val="21"/>
        </w:rPr>
      </w:pPr>
      <w:r>
        <w:fldChar w:fldCharType="begin"/>
      </w:r>
      <w:r>
        <w:instrText xml:space="preserve"> HYPERLINK \l "bookmark27" \o "Current Document" \h </w:instrText>
      </w:r>
      <w:r>
        <w:fldChar w:fldCharType="separate"/>
      </w:r>
      <w:r>
        <w:rPr>
          <w:rFonts w:ascii="Arial" w:hAnsi="Arial" w:eastAsia="宋体" w:cs="Arial"/>
          <w:sz w:val="21"/>
          <w:szCs w:val="21"/>
        </w:rPr>
        <w:t>标签</w:t>
      </w:r>
      <w:r>
        <w:rPr>
          <w:rFonts w:ascii="Arial" w:hAnsi="Arial" w:eastAsia="宋体" w:cs="Arial"/>
          <w:sz w:val="21"/>
          <w:szCs w:val="21"/>
        </w:rPr>
        <w:tab/>
      </w:r>
      <w:r>
        <w:rPr>
          <w:rFonts w:ascii="Arial" w:hAnsi="Arial" w:eastAsia="宋体" w:cs="Arial"/>
          <w:sz w:val="21"/>
          <w:szCs w:val="21"/>
        </w:rPr>
        <w:t>12</w:t>
      </w:r>
      <w:r>
        <w:rPr>
          <w:rFonts w:ascii="Arial" w:hAnsi="Arial" w:eastAsia="宋体" w:cs="Arial"/>
          <w:sz w:val="21"/>
          <w:szCs w:val="21"/>
        </w:rPr>
        <w:fldChar w:fldCharType="end"/>
      </w:r>
    </w:p>
    <w:p w14:paraId="78AFB533">
      <w:pPr>
        <w:pStyle w:val="9"/>
        <w:numPr>
          <w:ilvl w:val="0"/>
          <w:numId w:val="1"/>
        </w:numPr>
        <w:shd w:val="clear" w:color="auto" w:fill="auto"/>
        <w:tabs>
          <w:tab w:val="left" w:pos="536"/>
          <w:tab w:val="right" w:leader="dot" w:pos="9333"/>
        </w:tabs>
        <w:snapToGrid w:val="0"/>
        <w:spacing w:before="0" w:line="300" w:lineRule="auto"/>
        <w:rPr>
          <w:rFonts w:ascii="Arial" w:hAnsi="Arial" w:eastAsia="宋体" w:cs="Arial"/>
          <w:sz w:val="21"/>
          <w:szCs w:val="21"/>
          <w:lang w:eastAsia="zh-CN"/>
        </w:rPr>
      </w:pPr>
      <w:r>
        <w:rPr>
          <w:rFonts w:ascii="Arial" w:hAnsi="Arial" w:eastAsia="宋体" w:cs="Arial"/>
          <w:sz w:val="21"/>
          <w:szCs w:val="21"/>
          <w:lang w:eastAsia="zh-CN"/>
        </w:rPr>
        <w:t>使用核酸扩增的芽孢杆菌器械的特殊考虑事项</w:t>
      </w:r>
      <w:r>
        <w:rPr>
          <w:rFonts w:ascii="Arial" w:hAnsi="Arial" w:eastAsia="宋体" w:cs="Arial"/>
          <w:sz w:val="21"/>
          <w:szCs w:val="21"/>
          <w:lang w:eastAsia="zh-CN"/>
        </w:rPr>
        <w:tab/>
      </w:r>
      <w:r>
        <w:rPr>
          <w:rFonts w:ascii="Arial" w:hAnsi="Arial" w:eastAsia="宋体" w:cs="Arial"/>
          <w:sz w:val="21"/>
          <w:szCs w:val="21"/>
          <w:lang w:eastAsia="zh-CN"/>
        </w:rPr>
        <w:t>15</w:t>
      </w:r>
    </w:p>
    <w:p w14:paraId="4BAC45B4">
      <w:pPr>
        <w:pStyle w:val="9"/>
        <w:numPr>
          <w:ilvl w:val="0"/>
          <w:numId w:val="1"/>
        </w:numPr>
        <w:shd w:val="clear" w:color="auto" w:fill="auto"/>
        <w:tabs>
          <w:tab w:val="left" w:pos="536"/>
          <w:tab w:val="right" w:leader="dot" w:pos="9333"/>
        </w:tabs>
        <w:snapToGrid w:val="0"/>
        <w:spacing w:before="0" w:line="300" w:lineRule="auto"/>
        <w:rPr>
          <w:rFonts w:ascii="Arial" w:hAnsi="Arial" w:eastAsia="宋体" w:cs="Arial"/>
          <w:sz w:val="21"/>
          <w:szCs w:val="21"/>
        </w:rPr>
        <w:sectPr>
          <w:headerReference r:id="rId5" w:type="default"/>
          <w:headerReference r:id="rId6" w:type="even"/>
          <w:footerReference r:id="rId7" w:type="even"/>
          <w:pgSz w:w="12240" w:h="15840"/>
          <w:pgMar w:top="1012" w:right="1430" w:bottom="1012" w:left="1411" w:header="0" w:footer="567" w:gutter="0"/>
          <w:cols w:space="720" w:num="1"/>
          <w:titlePg/>
          <w:docGrid w:linePitch="360" w:charSpace="0"/>
        </w:sectPr>
      </w:pPr>
      <w:r>
        <w:fldChar w:fldCharType="begin"/>
      </w:r>
      <w:r>
        <w:instrText xml:space="preserve"> HYPERLINK \l "bookmark49" \o "Current Document" \h </w:instrText>
      </w:r>
      <w:r>
        <w:fldChar w:fldCharType="separate"/>
      </w:r>
      <w:r>
        <w:rPr>
          <w:rFonts w:ascii="Arial" w:hAnsi="Arial" w:eastAsia="宋体" w:cs="Arial"/>
          <w:sz w:val="21"/>
          <w:szCs w:val="21"/>
          <w:lang w:eastAsia="zh-CN"/>
        </w:rPr>
        <w:t>参考文件</w:t>
      </w:r>
      <w:r>
        <w:rPr>
          <w:rFonts w:ascii="Arial" w:hAnsi="Arial" w:eastAsia="宋体" w:cs="Arial"/>
          <w:sz w:val="21"/>
          <w:szCs w:val="21"/>
        </w:rPr>
        <w:tab/>
      </w:r>
      <w:r>
        <w:rPr>
          <w:rFonts w:ascii="Arial" w:hAnsi="Arial" w:eastAsia="宋体" w:cs="Arial"/>
          <w:sz w:val="21"/>
          <w:szCs w:val="21"/>
        </w:rPr>
        <w:t>21</w:t>
      </w:r>
      <w:r>
        <w:rPr>
          <w:rFonts w:ascii="Arial" w:hAnsi="Arial" w:eastAsia="宋体" w:cs="Arial"/>
          <w:sz w:val="21"/>
          <w:szCs w:val="21"/>
        </w:rPr>
        <w:fldChar w:fldCharType="end"/>
      </w:r>
      <w:r>
        <w:rPr>
          <w:rFonts w:ascii="Arial" w:hAnsi="Arial" w:eastAsia="宋体" w:cs="Arial"/>
          <w:sz w:val="21"/>
          <w:szCs w:val="21"/>
        </w:rPr>
        <w:fldChar w:fldCharType="end"/>
      </w:r>
    </w:p>
    <w:p w14:paraId="293CED9D">
      <w:pPr>
        <w:pStyle w:val="18"/>
        <w:shd w:val="clear" w:color="auto" w:fill="auto"/>
        <w:snapToGrid w:val="0"/>
        <w:spacing w:before="720" w:beforeLines="300" w:line="300" w:lineRule="auto"/>
        <w:rPr>
          <w:rFonts w:ascii="Arial" w:hAnsi="Arial" w:eastAsia="宋体" w:cs="Arial"/>
          <w:lang w:eastAsia="zh-CN"/>
        </w:rPr>
      </w:pPr>
      <w:bookmarkStart w:id="0" w:name="bookmark8"/>
      <w:r>
        <w:rPr>
          <w:rFonts w:ascii="Arial" w:hAnsi="Arial" w:eastAsia="宋体" w:cs="Arial"/>
          <w:lang w:eastAsia="zh-CN"/>
        </w:rPr>
        <w:t>行业和食品药品监督管理局工作人员指南</w:t>
      </w:r>
    </w:p>
    <w:p w14:paraId="3FDC0EE7">
      <w:pPr>
        <w:pStyle w:val="18"/>
        <w:shd w:val="clear" w:color="auto" w:fill="auto"/>
        <w:snapToGrid w:val="0"/>
        <w:spacing w:before="480" w:beforeLines="200" w:line="300" w:lineRule="auto"/>
        <w:rPr>
          <w:rFonts w:ascii="Arial" w:hAnsi="Arial" w:eastAsia="宋体" w:cs="Arial"/>
          <w:sz w:val="40"/>
          <w:szCs w:val="40"/>
          <w:lang w:eastAsia="zh-CN"/>
        </w:rPr>
      </w:pPr>
      <w:r>
        <w:rPr>
          <w:rFonts w:ascii="Arial" w:hAnsi="Arial" w:eastAsia="宋体" w:cs="Arial"/>
          <w:lang w:eastAsia="zh-CN" w:bidi="ar-SA"/>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48895</wp:posOffset>
                </wp:positionV>
                <wp:extent cx="6007100" cy="0"/>
                <wp:effectExtent l="0" t="0" r="31750" b="19050"/>
                <wp:wrapNone/>
                <wp:docPr id="10" name="直接连接符 10"/>
                <wp:cNvGraphicFramePr/>
                <a:graphic xmlns:a="http://schemas.openxmlformats.org/drawingml/2006/main">
                  <a:graphicData uri="http://schemas.microsoft.com/office/word/2010/wordprocessingShape">
                    <wps:wsp>
                      <wps:cNvCnPr/>
                      <wps:spPr>
                        <a:xfrm>
                          <a:off x="0" y="0"/>
                          <a:ext cx="600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5pt;margin-top:3.85pt;height:0pt;width:473pt;z-index:251660288;mso-width-relative:page;mso-height-relative:page;" filled="f" stroked="t" coordsize="21600,21600" o:gfxdata="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O2530wAAAAYBAAAPAAAAAAAAAAEAIAAA&#10;ACIAAABkcnMvZG93bnJldi54bWxQSwECFAAUAAAACACHTuJAXCpPDdgBAACcAwAADgAAAAAAAAAB&#10;ACAAAAAiAQAAZHJzL2Uyb0RvYy54bWxQSwUGAAAAAAYABgBZAQAAbAUAAAAA&#10;">
                <v:fill on="f" focussize="0,0"/>
                <v:stroke color="#000000 [3213]" joinstyle="round"/>
                <v:imagedata o:title=""/>
                <o:lock v:ext="edit" aspectratio="f"/>
              </v:line>
            </w:pict>
          </mc:Fallback>
        </mc:AlternateContent>
      </w:r>
      <w:r>
        <w:rPr>
          <w:rFonts w:ascii="Arial" w:hAnsi="Arial" w:eastAsia="宋体" w:cs="Arial"/>
          <w:sz w:val="40"/>
          <w:szCs w:val="40"/>
          <w:lang w:eastAsia="zh-CN"/>
        </w:rPr>
        <w:t>II类特殊控制</w:t>
      </w:r>
      <w:r>
        <w:rPr>
          <w:rFonts w:hint="eastAsia" w:ascii="Arial" w:hAnsi="Arial" w:eastAsia="宋体" w:cs="Arial"/>
          <w:sz w:val="40"/>
          <w:szCs w:val="40"/>
          <w:lang w:eastAsia="zh-CN"/>
        </w:rPr>
        <w:t>指导性文件</w:t>
      </w:r>
      <w:r>
        <w:rPr>
          <w:rFonts w:ascii="Arial" w:hAnsi="Arial" w:eastAsia="宋体" w:cs="Arial"/>
          <w:sz w:val="40"/>
          <w:szCs w:val="40"/>
          <w:lang w:eastAsia="zh-CN"/>
        </w:rPr>
        <w:t>：</w:t>
      </w:r>
    </w:p>
    <w:p w14:paraId="44755A3B">
      <w:pPr>
        <w:pStyle w:val="18"/>
        <w:shd w:val="clear" w:color="auto" w:fill="auto"/>
        <w:snapToGrid w:val="0"/>
        <w:spacing w:line="300" w:lineRule="auto"/>
        <w:rPr>
          <w:rFonts w:ascii="Arial" w:hAnsi="Arial" w:eastAsia="宋体" w:cs="Arial"/>
          <w:sz w:val="40"/>
          <w:szCs w:val="40"/>
          <w:lang w:eastAsia="zh-CN"/>
        </w:rPr>
      </w:pPr>
      <w:r>
        <w:rPr>
          <w:rFonts w:ascii="Arial" w:hAnsi="Arial" w:eastAsia="宋体" w:cs="Arial"/>
          <w:sz w:val="40"/>
          <w:szCs w:val="40"/>
          <w:lang w:eastAsia="zh-CN"/>
        </w:rPr>
        <w:t>芽孢杆菌检测的体外诊断器械</w:t>
      </w:r>
    </w:p>
    <w:bookmarkEnd w:id="0"/>
    <w:p w14:paraId="63EA2F83">
      <w:pPr>
        <w:pStyle w:val="36"/>
        <w:keepNext/>
        <w:keepLines/>
        <w:numPr>
          <w:ilvl w:val="0"/>
          <w:numId w:val="2"/>
        </w:numPr>
        <w:shd w:val="clear" w:color="auto" w:fill="auto"/>
        <w:tabs>
          <w:tab w:val="left" w:pos="713"/>
        </w:tabs>
        <w:snapToGrid w:val="0"/>
        <w:spacing w:before="0" w:after="100" w:line="300" w:lineRule="auto"/>
        <w:ind w:firstLine="0"/>
        <w:jc w:val="both"/>
        <w:rPr>
          <w:rFonts w:ascii="Arial" w:hAnsi="Arial" w:eastAsia="宋体" w:cs="Arial"/>
        </w:rPr>
      </w:pPr>
      <w:r>
        <w:rPr>
          <w:rFonts w:ascii="Arial" w:hAnsi="Arial" w:eastAsia="宋体" w:cs="Arial"/>
          <w:lang w:eastAsia="zh-CN"/>
        </w:rPr>
        <w:t>简介</w:t>
      </w:r>
    </w:p>
    <w:p w14:paraId="48B27A18">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为支持芽孢杆菌检测的体外诊断器械的建议分类，制定了该特殊控制的指南草案。根据2002年3月7日微生物学器械咨询小组的建议，将医疗器械修正案前未分类的该器械归为II类。</w:t>
      </w:r>
    </w:p>
    <w:p w14:paraId="64721B0A">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定稿时，将该指南指定为特殊控制意味着，任何公司已销售的、或打算销售的用于芽孢杆菌检测的体外诊断器械，必须解决在特殊控制指南中涵盖的问题。公司需证明其器械解决了指南中确定的安全性和有效性的问题，可通过符合指南建议的方式或其他方式，提交安全性和有效性的等同性保证。</w:t>
      </w:r>
    </w:p>
    <w:p w14:paraId="6A24E4B5">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在最终规章生效后，器械必须符合分类规定中作为一种特殊控制规定的分销限制。（见提案21 CFR 866.3045（b）（2）和 本文件第3节和第8节）。</w:t>
      </w:r>
    </w:p>
    <w:p w14:paraId="5FFED224">
      <w:pPr>
        <w:pStyle w:val="25"/>
        <w:shd w:val="clear" w:color="auto" w:fill="auto"/>
        <w:snapToGrid w:val="0"/>
        <w:spacing w:before="0" w:line="300" w:lineRule="auto"/>
        <w:ind w:firstLine="0"/>
        <w:jc w:val="both"/>
        <w:rPr>
          <w:rFonts w:ascii="Arial" w:hAnsi="Arial" w:eastAsia="宋体" w:cs="Arial"/>
          <w:lang w:eastAsia="zh-CN"/>
        </w:rPr>
      </w:pPr>
    </w:p>
    <w:p w14:paraId="1209D4CF">
      <w:pPr>
        <w:pStyle w:val="36"/>
        <w:keepNext/>
        <w:keepLines/>
        <w:numPr>
          <w:ilvl w:val="0"/>
          <w:numId w:val="2"/>
        </w:numPr>
        <w:shd w:val="clear" w:color="auto" w:fill="auto"/>
        <w:tabs>
          <w:tab w:val="left" w:pos="713"/>
        </w:tabs>
        <w:snapToGrid w:val="0"/>
        <w:spacing w:before="0" w:after="100" w:line="300" w:lineRule="auto"/>
        <w:ind w:firstLine="0"/>
        <w:jc w:val="both"/>
        <w:rPr>
          <w:rFonts w:ascii="Arial" w:hAnsi="Arial" w:eastAsia="宋体" w:cs="Arial"/>
          <w:u w:val="single"/>
        </w:rPr>
      </w:pPr>
      <w:r>
        <w:rPr>
          <w:rFonts w:ascii="Arial" w:hAnsi="Arial" w:eastAsia="宋体" w:cs="Arial"/>
          <w:u w:val="single"/>
        </w:rPr>
        <w:t>芽孢杆菌</w:t>
      </w:r>
      <w:r>
        <w:rPr>
          <w:rFonts w:ascii="Arial" w:hAnsi="Arial" w:eastAsia="宋体" w:cs="Arial"/>
          <w:u w:val="single"/>
          <w:lang w:eastAsia="zh-CN"/>
        </w:rPr>
        <w:t xml:space="preserve"> - 背景</w:t>
      </w:r>
    </w:p>
    <w:p w14:paraId="7BD349B9">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芽孢杆菌检测的体外诊断器械用于检测和鉴别芽孢杆菌，推测鉴定来自于培养的分离菌株或临床标本的炭疽芽孢杆菌和其他芽孢杆菌，并作为诊断炭疽和由芽孢杆菌引起的其它疾病的辅助手段。该器械可以包括：与荧光染料(免疫荧光试剂) 偶联的芽孢杆菌抗血清，用于在临床标本中推测鉴定芽孢杆菌样的微生物；或基于炭疽芽孢杆菌对噬菌体的细胞裂解作用敏感，用于从其他芽孢杆菌中鉴别出炭疽芽孢杆菌的噬菌体；或用于鉴别血清中的炭疽芽孢杆菌抗体的抗原。该指南包括了为所有此类型器械满足所提议的特殊控制的要求而给出的建议，既包括了如上所述的修正案前的技术，又包括了基于核酸扩增技术的炭疽芽孢杆菌测定。通过510(k)程序，食品药品监督管理局已经确定了其中的几种实质等同于此类型的其他器械，也将被归为II类器械，且受到所提议分类项下的特殊控制。</w:t>
      </w:r>
    </w:p>
    <w:p w14:paraId="028AAE44">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炭疽是由炭疽芽孢杆菌引起的人畜共患的疾病。人类的感染在临床表现上的不同，取决于染菌途径。最常见的形式是皮肤炭疽，其通过皮肤上的切口或擦伤进入； 肠炭疽是由于摄入了受污染的肉类或其他食品引起的；肺炭疽是由吸入了孢子引起的，如果未行治疗，则是致命的。蜡样芽孢杆菌是胃肠道疾病(通常为自限性疾病)的致病因子； 在非胃肠道的感染也会发生，通常与创伤或手术、植入物、导管和分流器有关。</w:t>
      </w:r>
    </w:p>
    <w:p w14:paraId="1FF5A13D">
      <w:pPr>
        <w:pStyle w:val="25"/>
        <w:shd w:val="clear" w:color="auto" w:fill="auto"/>
        <w:snapToGrid w:val="0"/>
        <w:spacing w:before="0" w:line="300" w:lineRule="auto"/>
        <w:ind w:firstLine="0"/>
        <w:jc w:val="both"/>
        <w:rPr>
          <w:rFonts w:ascii="Arial" w:hAnsi="Arial" w:eastAsia="宋体" w:cs="Arial"/>
          <w:lang w:eastAsia="zh-CN"/>
        </w:rPr>
      </w:pPr>
    </w:p>
    <w:p w14:paraId="4074F98A">
      <w:pPr>
        <w:pStyle w:val="36"/>
        <w:keepNext/>
        <w:keepLines/>
        <w:numPr>
          <w:ilvl w:val="0"/>
          <w:numId w:val="2"/>
        </w:numPr>
        <w:shd w:val="clear" w:color="auto" w:fill="auto"/>
        <w:tabs>
          <w:tab w:val="left" w:pos="725"/>
        </w:tabs>
        <w:snapToGrid w:val="0"/>
        <w:spacing w:before="0" w:after="182" w:line="300" w:lineRule="auto"/>
        <w:ind w:firstLine="0"/>
        <w:jc w:val="both"/>
        <w:rPr>
          <w:rFonts w:ascii="Arial" w:hAnsi="Arial" w:eastAsia="宋体" w:cs="Arial"/>
          <w:u w:val="single"/>
        </w:rPr>
      </w:pPr>
      <w:r>
        <w:rPr>
          <w:rFonts w:ascii="Arial" w:hAnsi="Arial" w:eastAsia="宋体" w:cs="Arial"/>
          <w:u w:val="single"/>
        </w:rPr>
        <w:t>上市前通告 - 背景</w:t>
      </w:r>
    </w:p>
    <w:p w14:paraId="4DEAC021">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食品药品监督管理局认为，在与一般控制联合使用时，特殊控制将足以为芽孢杆菌检测的体外诊断器械的安全性和有效性提供合理的保证。该指南指定为特殊控制意味着，计划销售此类器械的生产商应：(1) 符合联邦食品、药品和化妆品法案（FD&amp;C法案）的一般控制，包括在21 CFR 807 E子部分中所述的上市前通告要求，(2) 解决本指南中确定的安全性和有效性的特殊问题，(3) 满足21 CFR 866.3045（b）中规定的其他特殊控制，以及(4)  在该器械上市之前，获得食品药品监督管理局的实质等同性认定。</w:t>
      </w:r>
    </w:p>
    <w:p w14:paraId="7B48C51A">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本指南草案确定了芽孢杆菌检测的体外诊断器械的建议分类规则和相关产品代码。（参见第3节 - 范围）。此外，本指南草案的其他部分列出了安全性和有效性的问题，并描述了应对措施，即，如果生产商遵循并与一般控制的措施相结合，通常可解决与这些器械相关的问题，促使上市前通告[510(k)]及时的审查和许可。本草案文件最终定稿时，将补充其他的食品药品监督管理局关于上市前通告提交的具体内容要求的文件。贵公司还应参考21 CFR 807.87和CDRH的器械建议</w:t>
      </w:r>
      <w:r>
        <w:rPr>
          <w:rFonts w:ascii="Arial" w:hAnsi="Arial" w:cs="Arial"/>
          <w:color w:val="0000FF"/>
          <w:sz w:val="23"/>
          <w:szCs w:val="23"/>
          <w:u w:val="single"/>
          <w:lang w:eastAsia="zh-CN"/>
        </w:rPr>
        <w:t>http://www.fda.gov/MedicalDevices/DeviceRegulationandGuidance/default.htm</w:t>
      </w:r>
    </w:p>
    <w:p w14:paraId="31D8DB09">
      <w:pPr>
        <w:pStyle w:val="25"/>
        <w:shd w:val="clear" w:color="auto" w:fill="auto"/>
        <w:snapToGrid w:val="0"/>
        <w:spacing w:before="0" w:line="300" w:lineRule="auto"/>
        <w:ind w:firstLine="0"/>
        <w:jc w:val="both"/>
        <w:rPr>
          <w:rFonts w:ascii="Arial" w:hAnsi="Arial" w:eastAsia="宋体" w:cs="Arial"/>
          <w:lang w:eastAsia="zh-CN"/>
        </w:rPr>
      </w:pPr>
    </w:p>
    <w:p w14:paraId="6B0C8397">
      <w:pPr>
        <w:pStyle w:val="36"/>
        <w:keepNext/>
        <w:keepLines/>
        <w:numPr>
          <w:ilvl w:val="0"/>
          <w:numId w:val="2"/>
        </w:numPr>
        <w:shd w:val="clear" w:color="auto" w:fill="auto"/>
        <w:tabs>
          <w:tab w:val="left" w:pos="725"/>
        </w:tabs>
        <w:snapToGrid w:val="0"/>
        <w:spacing w:before="0" w:after="178" w:line="300" w:lineRule="auto"/>
        <w:ind w:firstLine="0"/>
        <w:jc w:val="both"/>
        <w:rPr>
          <w:rFonts w:ascii="Arial" w:hAnsi="Arial" w:eastAsia="宋体" w:cs="Arial"/>
        </w:rPr>
      </w:pPr>
      <w:r>
        <w:rPr>
          <w:rFonts w:ascii="Arial" w:hAnsi="Arial" w:eastAsia="宋体" w:cs="Arial"/>
          <w:lang w:eastAsia="zh-CN"/>
        </w:rPr>
        <w:t>范围</w:t>
      </w:r>
    </w:p>
    <w:p w14:paraId="6C1A2903">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文件的范围仅限于提议的21 CFR 866.3045中描述的器械，其具有以下产品代码：</w:t>
      </w:r>
    </w:p>
    <w:p w14:paraId="1EEBA622">
      <w:pPr>
        <w:pStyle w:val="25"/>
        <w:shd w:val="clear" w:color="auto" w:fill="auto"/>
        <w:snapToGrid w:val="0"/>
        <w:spacing w:before="0" w:line="300" w:lineRule="auto"/>
        <w:ind w:firstLine="0"/>
        <w:jc w:val="both"/>
        <w:rPr>
          <w:rFonts w:ascii="Arial" w:hAnsi="Arial" w:eastAsia="宋体" w:cs="Arial"/>
          <w:lang w:eastAsia="zh-CN"/>
        </w:rPr>
      </w:pPr>
      <w:r>
        <w:rPr>
          <w:rStyle w:val="44"/>
          <w:rFonts w:ascii="Arial" w:hAnsi="Arial" w:eastAsia="宋体" w:cs="Arial"/>
          <w:lang w:eastAsia="zh-CN"/>
        </w:rPr>
        <w:t xml:space="preserve">NVQ </w:t>
      </w:r>
      <w:r>
        <w:rPr>
          <w:rFonts w:ascii="Arial" w:hAnsi="Arial" w:eastAsia="宋体" w:cs="Arial"/>
          <w:lang w:eastAsia="zh-CN"/>
        </w:rPr>
        <w:t xml:space="preserve"> [噬菌体和对照品，炭疽芽孢杆菌裂解]</w:t>
      </w:r>
    </w:p>
    <w:p w14:paraId="5E9485CE">
      <w:pPr>
        <w:pStyle w:val="25"/>
        <w:shd w:val="clear" w:color="auto" w:fill="auto"/>
        <w:snapToGrid w:val="0"/>
        <w:spacing w:before="0" w:line="300" w:lineRule="auto"/>
        <w:ind w:firstLine="0"/>
        <w:jc w:val="both"/>
        <w:rPr>
          <w:rStyle w:val="44"/>
          <w:rFonts w:ascii="Arial" w:hAnsi="Arial" w:eastAsia="宋体" w:cs="Arial"/>
          <w:lang w:eastAsia="zh-CN"/>
        </w:rPr>
      </w:pPr>
      <w:bookmarkStart w:id="1" w:name="bookmark13"/>
    </w:p>
    <w:p w14:paraId="00D5D5A4">
      <w:pPr>
        <w:rPr>
          <w:rStyle w:val="44"/>
          <w:rFonts w:ascii="Arial" w:hAnsi="Arial" w:eastAsia="宋体" w:cs="Arial"/>
          <w:lang w:eastAsia="zh-CN"/>
        </w:rPr>
      </w:pPr>
      <w:r>
        <w:rPr>
          <w:rStyle w:val="44"/>
          <w:rFonts w:ascii="Arial" w:hAnsi="Arial" w:eastAsia="宋体" w:cs="Arial"/>
          <w:lang w:eastAsia="zh-CN"/>
        </w:rPr>
        <w:br w:type="page"/>
      </w:r>
    </w:p>
    <w:p w14:paraId="190E93D7">
      <w:pPr>
        <w:pStyle w:val="25"/>
        <w:shd w:val="clear" w:color="auto" w:fill="auto"/>
        <w:snapToGrid w:val="0"/>
        <w:spacing w:before="0" w:line="300" w:lineRule="auto"/>
        <w:ind w:firstLine="0"/>
        <w:jc w:val="both"/>
        <w:rPr>
          <w:rFonts w:ascii="Arial" w:hAnsi="Arial" w:eastAsia="宋体" w:cs="Arial"/>
          <w:lang w:eastAsia="zh-CN"/>
        </w:rPr>
      </w:pPr>
      <w:r>
        <w:rPr>
          <w:rStyle w:val="44"/>
          <w:rFonts w:ascii="Arial" w:hAnsi="Arial" w:eastAsia="宋体" w:cs="Arial"/>
          <w:lang w:eastAsia="zh-CN"/>
        </w:rPr>
        <w:t>NPO [</w:t>
      </w:r>
      <w:r>
        <w:rPr>
          <w:rFonts w:ascii="Arial" w:hAnsi="Arial" w:eastAsia="宋体" w:cs="Arial"/>
          <w:lang w:eastAsia="zh-CN"/>
        </w:rPr>
        <w:t>试剂盒，免疫色谱技术，炭疽芽孢杆菌鉴别抗体]</w:t>
      </w:r>
      <w:bookmarkEnd w:id="1"/>
    </w:p>
    <w:p w14:paraId="09899CE8">
      <w:pPr>
        <w:pStyle w:val="25"/>
        <w:shd w:val="clear" w:color="auto" w:fill="auto"/>
        <w:snapToGrid w:val="0"/>
        <w:spacing w:before="0" w:line="300" w:lineRule="auto"/>
        <w:ind w:firstLine="0"/>
        <w:jc w:val="both"/>
        <w:rPr>
          <w:rStyle w:val="43"/>
          <w:rFonts w:ascii="Arial" w:hAnsi="Arial" w:eastAsia="宋体" w:cs="Arial"/>
          <w:lang w:eastAsia="zh-CN"/>
        </w:rPr>
      </w:pPr>
      <w:r>
        <w:rPr>
          <w:rStyle w:val="44"/>
          <w:rFonts w:ascii="Arial" w:hAnsi="Arial" w:eastAsia="宋体" w:cs="Arial"/>
          <w:lang w:eastAsia="zh-CN"/>
        </w:rPr>
        <w:t xml:space="preserve">NRL </w:t>
      </w:r>
      <w:r>
        <w:rPr>
          <w:rFonts w:ascii="Arial" w:hAnsi="Arial" w:eastAsia="宋体" w:cs="Arial"/>
          <w:lang w:eastAsia="zh-CN"/>
        </w:rPr>
        <w:t>[酶联免疫吸附测定，抗体，炭疽芽孢杆菌</w:t>
      </w:r>
      <w:r>
        <w:rPr>
          <w:rStyle w:val="43"/>
          <w:rFonts w:ascii="Arial" w:hAnsi="Arial" w:eastAsia="宋体" w:cs="Arial"/>
          <w:i w:val="0"/>
          <w:lang w:eastAsia="zh-CN"/>
        </w:rPr>
        <w:t>]</w:t>
      </w:r>
    </w:p>
    <w:p w14:paraId="304C45B7">
      <w:pPr>
        <w:pStyle w:val="25"/>
        <w:shd w:val="clear" w:color="auto" w:fill="auto"/>
        <w:snapToGrid w:val="0"/>
        <w:spacing w:before="0" w:line="300" w:lineRule="auto"/>
        <w:ind w:firstLine="0"/>
        <w:jc w:val="both"/>
        <w:rPr>
          <w:rStyle w:val="43"/>
          <w:rFonts w:ascii="Arial" w:hAnsi="Arial" w:eastAsia="宋体" w:cs="Arial"/>
          <w:lang w:eastAsia="zh-CN"/>
        </w:rPr>
      </w:pPr>
      <w:r>
        <w:rPr>
          <w:rStyle w:val="44"/>
          <w:rFonts w:ascii="Arial" w:hAnsi="Arial" w:eastAsia="宋体" w:cs="Arial"/>
          <w:lang w:eastAsia="zh-CN"/>
        </w:rPr>
        <w:t xml:space="preserve">NHT </w:t>
      </w:r>
      <w:r>
        <w:rPr>
          <w:rFonts w:ascii="Arial" w:hAnsi="Arial" w:eastAsia="宋体" w:cs="Arial"/>
          <w:lang w:eastAsia="zh-CN"/>
        </w:rPr>
        <w:t>[测试，核酸扩增，炭疽芽孢杆菌</w:t>
      </w:r>
      <w:r>
        <w:rPr>
          <w:rStyle w:val="43"/>
          <w:rFonts w:ascii="Arial" w:hAnsi="Arial" w:eastAsia="宋体" w:cs="Arial"/>
          <w:i w:val="0"/>
          <w:lang w:eastAsia="zh-CN"/>
        </w:rPr>
        <w:t>]</w:t>
      </w:r>
    </w:p>
    <w:p w14:paraId="3A0397BA">
      <w:pPr>
        <w:pStyle w:val="25"/>
        <w:shd w:val="clear" w:color="auto" w:fill="auto"/>
        <w:snapToGrid w:val="0"/>
        <w:spacing w:before="0" w:after="352" w:line="300" w:lineRule="auto"/>
        <w:ind w:firstLine="0"/>
        <w:jc w:val="both"/>
        <w:rPr>
          <w:rFonts w:ascii="Arial" w:hAnsi="Arial" w:eastAsia="宋体" w:cs="Arial"/>
          <w:lang w:eastAsia="zh-CN"/>
        </w:rPr>
      </w:pPr>
      <w:r>
        <w:rPr>
          <w:rStyle w:val="44"/>
          <w:rFonts w:ascii="Arial" w:hAnsi="Arial" w:eastAsia="宋体" w:cs="Arial"/>
          <w:lang w:eastAsia="zh-CN"/>
        </w:rPr>
        <w:t xml:space="preserve">NWZ </w:t>
      </w:r>
      <w:r>
        <w:rPr>
          <w:rFonts w:ascii="Arial" w:hAnsi="Arial" w:eastAsia="宋体" w:cs="Arial"/>
          <w:lang w:eastAsia="zh-CN"/>
        </w:rPr>
        <w:t>[气相色谱法，炭疽芽孢杆菌的膜脂肪酸]</w:t>
      </w:r>
    </w:p>
    <w:p w14:paraId="1B306946">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本指南并不旨在解决检测环境的样品、或为了收集样品通过粘膜、皮肤或其他表面上孢子的存在/不存在来评估暴露的具体问题。单独用于特异性检测孢子的方法和过程不在本指南的范围之内。</w:t>
      </w:r>
    </w:p>
    <w:p w14:paraId="52D036DD">
      <w:pPr>
        <w:pStyle w:val="25"/>
        <w:shd w:val="clear" w:color="auto" w:fill="auto"/>
        <w:snapToGrid w:val="0"/>
        <w:spacing w:before="0" w:line="300" w:lineRule="auto"/>
        <w:ind w:firstLine="0"/>
        <w:jc w:val="both"/>
        <w:rPr>
          <w:rFonts w:ascii="Arial" w:hAnsi="Arial" w:eastAsia="宋体" w:cs="Arial"/>
          <w:lang w:eastAsia="zh-CN"/>
        </w:rPr>
      </w:pPr>
    </w:p>
    <w:p w14:paraId="5B2BC951">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在同时建议的规章中，食品药品监督管理局将这些器械标识如下，并建议将它们分类为II类：</w:t>
      </w:r>
    </w:p>
    <w:p w14:paraId="0C279C76">
      <w:pPr>
        <w:pStyle w:val="47"/>
        <w:keepNext/>
        <w:keepLines/>
        <w:shd w:val="clear" w:color="auto" w:fill="auto"/>
        <w:snapToGrid w:val="0"/>
        <w:spacing w:beforeLines="100" w:after="40" w:line="300" w:lineRule="auto"/>
        <w:jc w:val="both"/>
        <w:rPr>
          <w:rFonts w:ascii="Arial" w:hAnsi="Arial" w:eastAsia="宋体" w:cs="Arial"/>
          <w:lang w:eastAsia="zh-CN"/>
        </w:rPr>
      </w:pPr>
      <w:r>
        <w:rPr>
          <w:rFonts w:ascii="Arial" w:hAnsi="Arial" w:eastAsia="宋体" w:cs="Arial"/>
          <w:lang w:eastAsia="zh-CN"/>
        </w:rPr>
        <w:t>§866.3045芽孢杆菌检测的体外诊断器械。</w:t>
      </w:r>
    </w:p>
    <w:p w14:paraId="056E8733">
      <w:pPr>
        <w:pStyle w:val="25"/>
        <w:numPr>
          <w:ilvl w:val="0"/>
          <w:numId w:val="3"/>
        </w:numPr>
        <w:shd w:val="clear" w:color="auto" w:fill="auto"/>
        <w:snapToGrid w:val="0"/>
        <w:spacing w:before="0" w:after="20" w:line="300" w:lineRule="auto"/>
        <w:ind w:left="0" w:firstLine="0"/>
        <w:jc w:val="both"/>
        <w:rPr>
          <w:rFonts w:ascii="Arial" w:hAnsi="Arial" w:eastAsia="宋体" w:cs="Arial"/>
          <w:lang w:eastAsia="zh-CN"/>
        </w:rPr>
      </w:pPr>
      <w:r>
        <w:rPr>
          <w:rFonts w:ascii="Arial" w:hAnsi="Arial" w:eastAsia="宋体" w:cs="Arial"/>
          <w:u w:val="single"/>
          <w:lang w:eastAsia="zh-CN"/>
        </w:rPr>
        <w:t>鉴别</w:t>
      </w:r>
      <w:r>
        <w:rPr>
          <w:rFonts w:ascii="Arial" w:hAnsi="Arial" w:eastAsia="宋体" w:cs="Arial"/>
          <w:lang w:eastAsia="zh-CN"/>
        </w:rPr>
        <w:t>。一种芽孢杆菌的体外诊断器械，用于检测和鉴别芽孢杆菌， 以及推测鉴定来自于培养的分离菌株或临床标本的炭疽芽孢杆菌和其他芽孢杆菌，并作为诊断炭疽和由芽孢杆菌引起的其它疾病的辅助手段。该器械可以包括：与荧光染料(免疫荧光试剂)偶联的芽孢杆菌抗血清，用于在临床标本中推测鉴定出芽孢杆菌样的微生物；或噬菌体，因炭疽芽孢杆菌对噬菌体的细胞裂解作用敏感，用于从其他芽孢杆菌中鉴别出炭疽芽孢杆菌；或抗原，用于鉴别血清中的炭疽芽孢杆菌抗体（抗毒素和抗荚膜）。芽孢杆菌感染包括由炭疽芽孢杆菌引起的炭疽（皮肤，吸入或胃肠道），以及由蜡样芽孢杆菌引起的胃肠道疾病和非胃肠道感染。</w:t>
      </w:r>
    </w:p>
    <w:p w14:paraId="6B01AE4B">
      <w:pPr>
        <w:pStyle w:val="25"/>
        <w:shd w:val="clear" w:color="auto" w:fill="auto"/>
        <w:snapToGrid w:val="0"/>
        <w:spacing w:before="0" w:after="240" w:line="300" w:lineRule="auto"/>
        <w:ind w:firstLine="0"/>
        <w:jc w:val="both"/>
        <w:rPr>
          <w:rFonts w:ascii="Arial" w:hAnsi="Arial" w:eastAsia="宋体" w:cs="Arial"/>
          <w:lang w:eastAsia="zh-CN"/>
        </w:rPr>
      </w:pPr>
      <w:r>
        <w:rPr>
          <w:rFonts w:ascii="Arial" w:hAnsi="Arial" w:eastAsia="宋体" w:cs="Arial"/>
          <w:lang w:eastAsia="zh-CN"/>
        </w:rPr>
        <w:t>除本指南外，食品药品监督管理局还建议，该器械的特殊控制措施包括：限制分销给有经验的人员的实验室，这些人员接受过微生物培养鉴定方法的使用和传染病诊断原则的培训，并有适当的生物安全性设备和生物防范。（见提议的21 CFR§866.3045（b）。）</w:t>
      </w:r>
    </w:p>
    <w:p w14:paraId="5FC2E9BB">
      <w:pPr>
        <w:pStyle w:val="36"/>
        <w:keepNext/>
        <w:keepLines/>
        <w:numPr>
          <w:ilvl w:val="0"/>
          <w:numId w:val="2"/>
        </w:numPr>
        <w:shd w:val="clear" w:color="auto" w:fill="auto"/>
        <w:tabs>
          <w:tab w:val="left" w:pos="720"/>
        </w:tabs>
        <w:snapToGrid w:val="0"/>
        <w:spacing w:before="0" w:after="20" w:line="300" w:lineRule="auto"/>
        <w:ind w:firstLine="0"/>
        <w:jc w:val="both"/>
        <w:rPr>
          <w:rFonts w:ascii="Arial" w:hAnsi="Arial" w:eastAsia="宋体" w:cs="Arial"/>
          <w:lang w:eastAsia="zh-CN"/>
        </w:rPr>
      </w:pPr>
      <w:r>
        <w:rPr>
          <w:rFonts w:ascii="Arial" w:hAnsi="Arial" w:eastAsia="宋体" w:cs="Arial"/>
          <w:lang w:eastAsia="zh-CN"/>
        </w:rPr>
        <w:t>需要特殊控制的安全性和有效性问题</w:t>
      </w:r>
    </w:p>
    <w:p w14:paraId="74870157">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食品药品监督管理局已经确定了假阴性检测结果的风险和假阳性检测结果的风险，这些可能导致个人和公共卫生后果，作为与该器械相关的安全性和有效性问题，需要特殊控制。此外，食品药品监督管理局确定了对实验室工作人员的健康风险(与试样和对照品的处理有关)需要特殊控制。这些问题和解决方法的建议章节总结在下表中。</w:t>
      </w:r>
    </w:p>
    <w:p w14:paraId="1F32B437">
      <w:pPr>
        <w:rPr>
          <w:rFonts w:ascii="Arial" w:hAnsi="Arial" w:eastAsia="宋体" w:cs="Arial"/>
          <w:lang w:eastAsia="zh-CN"/>
        </w:rPr>
      </w:pPr>
      <w:r>
        <w:rPr>
          <w:rFonts w:ascii="Arial" w:hAnsi="Arial" w:eastAsia="宋体" w:cs="Arial"/>
          <w:lang w:eastAsia="zh-CN"/>
        </w:rPr>
        <w:br w:type="page"/>
      </w:r>
    </w:p>
    <w:p w14:paraId="356736B5">
      <w:pPr>
        <w:pStyle w:val="25"/>
        <w:shd w:val="clear" w:color="auto" w:fill="auto"/>
        <w:snapToGrid w:val="0"/>
        <w:spacing w:before="0" w:after="240" w:line="300" w:lineRule="auto"/>
        <w:ind w:firstLine="0"/>
        <w:jc w:val="both"/>
        <w:rPr>
          <w:rFonts w:ascii="Arial" w:hAnsi="Arial" w:eastAsia="宋体" w:cs="Arial"/>
          <w:lang w:eastAsia="zh-CN"/>
        </w:rPr>
      </w:pPr>
      <w:r>
        <w:rPr>
          <w:rFonts w:ascii="Arial" w:hAnsi="Arial" w:eastAsia="宋体" w:cs="Arial"/>
          <w:lang w:eastAsia="zh-CN"/>
        </w:rPr>
        <w:t>阐述了芽孢杆菌器械未能按说明执行或者对结果的解释错误，可能会导致误诊和不正确的患者管理，或者错误的流行病学信息，以至于会促成不适当的公共卫生反应。假阳性结果可能导致患者经受不必要或无效治疗的医疗决定，以及社区中存在炭疽病的错误的流行病学信息。假阴性结果可能会导致医生对疾病存在或进展的延迟识别，且错误的流行病学信息会延迟控制和预防额外的感染。假阴性结果还可能会对由炭疽芽孢杆菌或其他芽孢杆菌引起的感染的诊断和治疗延迟。</w:t>
      </w:r>
    </w:p>
    <w:p w14:paraId="736F6F27">
      <w:pPr>
        <w:pStyle w:val="25"/>
        <w:shd w:val="clear" w:color="auto" w:fill="auto"/>
        <w:snapToGrid w:val="0"/>
        <w:spacing w:before="0" w:after="240" w:line="300" w:lineRule="auto"/>
        <w:ind w:firstLine="0"/>
        <w:jc w:val="both"/>
        <w:rPr>
          <w:rFonts w:ascii="Arial" w:hAnsi="Arial" w:eastAsia="宋体" w:cs="Arial"/>
          <w:lang w:eastAsia="zh-CN"/>
        </w:rPr>
      </w:pPr>
      <w:r>
        <w:rPr>
          <w:rFonts w:ascii="Arial" w:hAnsi="Arial" w:eastAsia="宋体" w:cs="Arial"/>
          <w:lang w:eastAsia="zh-CN"/>
        </w:rPr>
        <w:t>暴露于检测样本中和对照品中可能存在的生物体的实验室工作人员，具有感染的风险。因此，食品药品监督管理局在所提议的规章中包括作为特殊控制，芽孢杆菌检测器械限于在有经验的人员的实验室使用，这些人员接受过微生物培养鉴定方法的使用和传染病诊断原则的培训，并有适当的生物安全性设备和生物防范。</w:t>
      </w:r>
    </w:p>
    <w:p w14:paraId="7021F45F">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在下表中，食品药品监督管理局确定了与使用芽孢杆菌检测的体外诊断器械相关的需要特殊控制的常见问题。本指南中提供了缓解这些已确定问题的建议措施，如下表所示，以及拟建议的21 CFR 866.3045(b)(2)中的一项要求。我们建议贵公司在提交上市前通告之前，还要进行风险分析，以识别该器械所特有的任何其他风险。上市前通告应描述风险分析方法。如果选择使用替代方法来解决本指南中识别的特定风险，或已识别出本文件所述以外的风险，则应提供足够的详细信息以支持用于解决该风险的方法。</w:t>
      </w:r>
    </w:p>
    <w:p w14:paraId="4EEDD82A">
      <w:pPr>
        <w:pStyle w:val="25"/>
        <w:shd w:val="clear" w:color="auto" w:fill="auto"/>
        <w:snapToGrid w:val="0"/>
        <w:spacing w:before="0" w:line="300" w:lineRule="auto"/>
        <w:ind w:firstLine="0"/>
        <w:jc w:val="both"/>
        <w:rPr>
          <w:rFonts w:ascii="Arial" w:hAnsi="Arial" w:eastAsia="宋体" w:cs="Arial"/>
          <w:lang w:eastAsia="zh-CN"/>
        </w:rPr>
      </w:pPr>
    </w:p>
    <w:tbl>
      <w:tblPr>
        <w:tblStyle w:val="11"/>
        <w:tblW w:w="0" w:type="auto"/>
        <w:jc w:val="center"/>
        <w:tblLayout w:type="fixed"/>
        <w:tblCellMar>
          <w:top w:w="0" w:type="dxa"/>
          <w:left w:w="10" w:type="dxa"/>
          <w:bottom w:w="0" w:type="dxa"/>
          <w:right w:w="10" w:type="dxa"/>
        </w:tblCellMar>
      </w:tblPr>
      <w:tblGrid>
        <w:gridCol w:w="4430"/>
        <w:gridCol w:w="4440"/>
      </w:tblGrid>
      <w:tr w14:paraId="18901515">
        <w:tblPrEx>
          <w:tblCellMar>
            <w:top w:w="0" w:type="dxa"/>
            <w:left w:w="10" w:type="dxa"/>
            <w:bottom w:w="0" w:type="dxa"/>
            <w:right w:w="10" w:type="dxa"/>
          </w:tblCellMar>
        </w:tblPrEx>
        <w:trPr>
          <w:trHeight w:val="566" w:hRule="exact"/>
          <w:jc w:val="center"/>
        </w:trPr>
        <w:tc>
          <w:tcPr>
            <w:tcW w:w="4430" w:type="dxa"/>
            <w:tcBorders>
              <w:top w:val="single" w:color="auto" w:sz="4" w:space="0"/>
              <w:left w:val="single" w:color="auto" w:sz="4" w:space="0"/>
            </w:tcBorders>
            <w:shd w:val="clear" w:color="auto" w:fill="FFFFFF"/>
            <w:vAlign w:val="center"/>
          </w:tcPr>
          <w:p w14:paraId="443A8154">
            <w:pPr>
              <w:pStyle w:val="25"/>
              <w:framePr w:w="8870" w:wrap="notBeside" w:vAnchor="text" w:hAnchor="text" w:xAlign="center" w:y="1"/>
              <w:shd w:val="clear" w:color="auto" w:fill="auto"/>
              <w:snapToGrid w:val="0"/>
              <w:spacing w:before="0" w:line="300" w:lineRule="auto"/>
              <w:ind w:firstLine="0"/>
              <w:jc w:val="center"/>
              <w:rPr>
                <w:rFonts w:ascii="Arial" w:hAnsi="Arial" w:eastAsia="宋体" w:cs="Arial"/>
                <w:lang w:eastAsia="zh-CN"/>
              </w:rPr>
            </w:pPr>
            <w:r>
              <w:rPr>
                <w:rStyle w:val="50"/>
                <w:rFonts w:ascii="Arial" w:hAnsi="Arial" w:eastAsia="宋体" w:cs="Arial"/>
                <w:lang w:eastAsia="zh-CN"/>
              </w:rPr>
              <w:t>确定的问题</w:t>
            </w:r>
          </w:p>
        </w:tc>
        <w:tc>
          <w:tcPr>
            <w:tcW w:w="4440" w:type="dxa"/>
            <w:tcBorders>
              <w:top w:val="single" w:color="auto" w:sz="4" w:space="0"/>
              <w:left w:val="single" w:color="auto" w:sz="4" w:space="0"/>
              <w:right w:val="single" w:color="auto" w:sz="4" w:space="0"/>
            </w:tcBorders>
            <w:shd w:val="clear" w:color="auto" w:fill="FFFFFF"/>
            <w:vAlign w:val="center"/>
          </w:tcPr>
          <w:p w14:paraId="7CB2F84D">
            <w:pPr>
              <w:pStyle w:val="25"/>
              <w:framePr w:w="8870" w:wrap="notBeside" w:vAnchor="text" w:hAnchor="text" w:xAlign="center" w:y="1"/>
              <w:shd w:val="clear" w:color="auto" w:fill="auto"/>
              <w:snapToGrid w:val="0"/>
              <w:spacing w:before="0" w:line="300" w:lineRule="auto"/>
              <w:ind w:firstLine="0"/>
              <w:jc w:val="center"/>
              <w:rPr>
                <w:rFonts w:ascii="Arial" w:hAnsi="Arial" w:eastAsia="宋体" w:cs="Arial"/>
                <w:lang w:eastAsia="zh-CN"/>
              </w:rPr>
            </w:pPr>
            <w:r>
              <w:rPr>
                <w:rStyle w:val="50"/>
                <w:rFonts w:ascii="Arial" w:hAnsi="Arial" w:eastAsia="宋体" w:cs="Arial"/>
                <w:lang w:eastAsia="zh-CN"/>
              </w:rPr>
              <w:t>建议的/要求的缓解措施</w:t>
            </w:r>
          </w:p>
        </w:tc>
      </w:tr>
      <w:tr w14:paraId="0F0C88ED">
        <w:tblPrEx>
          <w:tblCellMar>
            <w:top w:w="0" w:type="dxa"/>
            <w:left w:w="10" w:type="dxa"/>
            <w:bottom w:w="0" w:type="dxa"/>
            <w:right w:w="10" w:type="dxa"/>
          </w:tblCellMar>
        </w:tblPrEx>
        <w:trPr>
          <w:trHeight w:val="1135" w:hRule="exact"/>
          <w:jc w:val="center"/>
        </w:trPr>
        <w:tc>
          <w:tcPr>
            <w:tcW w:w="4430" w:type="dxa"/>
            <w:tcBorders>
              <w:top w:val="single" w:color="auto" w:sz="4" w:space="0"/>
              <w:left w:val="single" w:color="auto" w:sz="4" w:space="0"/>
            </w:tcBorders>
            <w:shd w:val="clear" w:color="auto" w:fill="FFFFFF"/>
            <w:vAlign w:val="center"/>
          </w:tcPr>
          <w:p w14:paraId="356C2532">
            <w:pPr>
              <w:pStyle w:val="25"/>
              <w:framePr w:w="8870" w:wrap="notBeside" w:vAnchor="text" w:hAnchor="text" w:xAlign="center" w:y="1"/>
              <w:shd w:val="clear" w:color="auto" w:fill="auto"/>
              <w:snapToGrid w:val="0"/>
              <w:spacing w:before="0" w:line="300" w:lineRule="auto"/>
              <w:ind w:firstLine="0"/>
              <w:jc w:val="both"/>
              <w:rPr>
                <w:rFonts w:ascii="Arial" w:hAnsi="Arial" w:eastAsia="宋体" w:cs="Arial"/>
                <w:lang w:eastAsia="zh-CN"/>
              </w:rPr>
            </w:pPr>
            <w:r>
              <w:rPr>
                <w:rStyle w:val="51"/>
                <w:rFonts w:ascii="Arial" w:hAnsi="Arial" w:eastAsia="宋体" w:cs="Arial"/>
                <w:lang w:eastAsia="zh-CN"/>
              </w:rPr>
              <w:t>假阴性检测结果可能导致治疗延迟和疾病扩展，以及流行病学无法迅速地识别社区中的疾病</w:t>
            </w:r>
          </w:p>
        </w:tc>
        <w:tc>
          <w:tcPr>
            <w:tcW w:w="4440" w:type="dxa"/>
            <w:tcBorders>
              <w:top w:val="single" w:color="auto" w:sz="4" w:space="0"/>
              <w:left w:val="single" w:color="auto" w:sz="4" w:space="0"/>
              <w:right w:val="single" w:color="auto" w:sz="4" w:space="0"/>
            </w:tcBorders>
            <w:shd w:val="clear" w:color="auto" w:fill="FFFFFF"/>
            <w:vAlign w:val="center"/>
          </w:tcPr>
          <w:p w14:paraId="64CDCAED">
            <w:pPr>
              <w:pStyle w:val="25"/>
              <w:framePr w:w="8870" w:wrap="notBeside" w:vAnchor="text" w:hAnchor="text" w:xAlign="center" w:y="1"/>
              <w:shd w:val="clear" w:color="auto" w:fill="auto"/>
              <w:snapToGrid w:val="0"/>
              <w:spacing w:before="0" w:line="300" w:lineRule="auto"/>
              <w:ind w:firstLine="0"/>
              <w:jc w:val="both"/>
              <w:rPr>
                <w:rFonts w:ascii="Arial" w:hAnsi="Arial" w:eastAsia="宋体" w:cs="Arial"/>
                <w:lang w:eastAsia="zh-CN"/>
              </w:rPr>
            </w:pPr>
            <w:r>
              <w:rPr>
                <w:rStyle w:val="51"/>
                <w:rFonts w:ascii="Arial" w:hAnsi="Arial" w:eastAsia="宋体" w:cs="Arial"/>
                <w:lang w:eastAsia="zh-CN"/>
              </w:rPr>
              <w:t>第</w:t>
            </w:r>
            <w:r>
              <w:rPr>
                <w:rStyle w:val="51"/>
                <w:rFonts w:ascii="Arial" w:hAnsi="Arial" w:eastAsia="宋体" w:cs="Arial"/>
              </w:rPr>
              <w:t xml:space="preserve"> 5- 8</w:t>
            </w:r>
            <w:r>
              <w:rPr>
                <w:rStyle w:val="51"/>
                <w:rFonts w:ascii="Arial" w:hAnsi="Arial" w:eastAsia="宋体" w:cs="Arial"/>
                <w:lang w:eastAsia="zh-CN"/>
              </w:rPr>
              <w:t>节</w:t>
            </w:r>
          </w:p>
        </w:tc>
      </w:tr>
      <w:tr w14:paraId="415FBF29">
        <w:tblPrEx>
          <w:tblCellMar>
            <w:top w:w="0" w:type="dxa"/>
            <w:left w:w="10" w:type="dxa"/>
            <w:bottom w:w="0" w:type="dxa"/>
            <w:right w:w="10" w:type="dxa"/>
          </w:tblCellMar>
        </w:tblPrEx>
        <w:trPr>
          <w:trHeight w:val="1137" w:hRule="exact"/>
          <w:jc w:val="center"/>
        </w:trPr>
        <w:tc>
          <w:tcPr>
            <w:tcW w:w="4430" w:type="dxa"/>
            <w:tcBorders>
              <w:top w:val="single" w:color="auto" w:sz="4" w:space="0"/>
              <w:left w:val="single" w:color="auto" w:sz="4" w:space="0"/>
            </w:tcBorders>
            <w:shd w:val="clear" w:color="auto" w:fill="FFFFFF"/>
            <w:vAlign w:val="center"/>
          </w:tcPr>
          <w:p w14:paraId="3D1E9B70">
            <w:pPr>
              <w:pStyle w:val="25"/>
              <w:framePr w:w="8870" w:wrap="notBeside" w:vAnchor="text" w:hAnchor="text" w:xAlign="center" w:y="1"/>
              <w:shd w:val="clear" w:color="auto" w:fill="auto"/>
              <w:snapToGrid w:val="0"/>
              <w:spacing w:before="0" w:line="300" w:lineRule="auto"/>
              <w:ind w:firstLine="0"/>
              <w:jc w:val="both"/>
              <w:rPr>
                <w:rFonts w:ascii="Arial" w:hAnsi="Arial" w:eastAsia="宋体" w:cs="Arial"/>
                <w:lang w:eastAsia="zh-CN"/>
              </w:rPr>
            </w:pPr>
            <w:r>
              <w:rPr>
                <w:rStyle w:val="51"/>
                <w:rFonts w:ascii="Arial" w:hAnsi="Arial" w:eastAsia="宋体" w:cs="Arial"/>
                <w:lang w:eastAsia="zh-CN"/>
              </w:rPr>
              <w:t>假阳性检测结果可能导致不必要的治疗和错误的流行病学信息，导致不必要的预防和对其他人的管理</w:t>
            </w:r>
          </w:p>
        </w:tc>
        <w:tc>
          <w:tcPr>
            <w:tcW w:w="4440" w:type="dxa"/>
            <w:tcBorders>
              <w:top w:val="single" w:color="auto" w:sz="4" w:space="0"/>
              <w:left w:val="single" w:color="auto" w:sz="4" w:space="0"/>
              <w:right w:val="single" w:color="auto" w:sz="4" w:space="0"/>
            </w:tcBorders>
            <w:shd w:val="clear" w:color="auto" w:fill="FFFFFF"/>
            <w:vAlign w:val="center"/>
          </w:tcPr>
          <w:p w14:paraId="77782E4B">
            <w:pPr>
              <w:pStyle w:val="25"/>
              <w:framePr w:w="8870" w:wrap="notBeside" w:vAnchor="text" w:hAnchor="text" w:xAlign="center" w:y="1"/>
              <w:shd w:val="clear" w:color="auto" w:fill="auto"/>
              <w:snapToGrid w:val="0"/>
              <w:spacing w:before="0" w:line="300" w:lineRule="auto"/>
              <w:ind w:firstLine="0"/>
              <w:jc w:val="both"/>
              <w:rPr>
                <w:rFonts w:ascii="Arial" w:hAnsi="Arial" w:eastAsia="宋体" w:cs="Arial"/>
              </w:rPr>
            </w:pPr>
            <w:r>
              <w:rPr>
                <w:rStyle w:val="51"/>
                <w:rFonts w:ascii="Arial" w:hAnsi="Arial" w:eastAsia="宋体" w:cs="Arial"/>
                <w:lang w:eastAsia="zh-CN"/>
              </w:rPr>
              <w:t>第</w:t>
            </w:r>
            <w:r>
              <w:rPr>
                <w:rStyle w:val="51"/>
                <w:rFonts w:ascii="Arial" w:hAnsi="Arial" w:eastAsia="宋体" w:cs="Arial"/>
              </w:rPr>
              <w:t xml:space="preserve"> 5- 8</w:t>
            </w:r>
            <w:r>
              <w:rPr>
                <w:rStyle w:val="51"/>
                <w:rFonts w:ascii="Arial" w:hAnsi="Arial" w:eastAsia="宋体" w:cs="Arial"/>
                <w:lang w:eastAsia="zh-CN"/>
              </w:rPr>
              <w:t>节</w:t>
            </w:r>
          </w:p>
        </w:tc>
      </w:tr>
      <w:tr w14:paraId="71EFBEFE">
        <w:tblPrEx>
          <w:tblCellMar>
            <w:top w:w="0" w:type="dxa"/>
            <w:left w:w="10" w:type="dxa"/>
            <w:bottom w:w="0" w:type="dxa"/>
            <w:right w:w="10" w:type="dxa"/>
          </w:tblCellMar>
        </w:tblPrEx>
        <w:trPr>
          <w:trHeight w:val="700" w:hRule="exact"/>
          <w:jc w:val="center"/>
        </w:trPr>
        <w:tc>
          <w:tcPr>
            <w:tcW w:w="4430" w:type="dxa"/>
            <w:tcBorders>
              <w:top w:val="single" w:color="auto" w:sz="4" w:space="0"/>
              <w:left w:val="single" w:color="auto" w:sz="4" w:space="0"/>
              <w:bottom w:val="single" w:color="auto" w:sz="4" w:space="0"/>
            </w:tcBorders>
            <w:shd w:val="clear" w:color="auto" w:fill="FFFFFF"/>
            <w:vAlign w:val="center"/>
          </w:tcPr>
          <w:p w14:paraId="238F037F">
            <w:pPr>
              <w:pStyle w:val="25"/>
              <w:framePr w:w="8870" w:wrap="notBeside" w:vAnchor="text" w:hAnchor="text" w:xAlign="center" w:y="1"/>
              <w:shd w:val="clear" w:color="auto" w:fill="auto"/>
              <w:snapToGrid w:val="0"/>
              <w:spacing w:before="0" w:line="300" w:lineRule="auto"/>
              <w:ind w:firstLine="0"/>
              <w:jc w:val="both"/>
              <w:rPr>
                <w:rFonts w:ascii="Arial" w:hAnsi="Arial" w:eastAsia="宋体" w:cs="Arial"/>
                <w:lang w:eastAsia="zh-CN"/>
              </w:rPr>
            </w:pPr>
            <w:r>
              <w:rPr>
                <w:rStyle w:val="51"/>
                <w:rFonts w:ascii="Arial" w:hAnsi="Arial" w:eastAsia="宋体" w:cs="Arial"/>
                <w:lang w:eastAsia="zh-CN"/>
              </w:rPr>
              <w:t>处理试样和对照品的实验室工作人员的生物安全性和风险</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14:paraId="06E690D8">
            <w:pPr>
              <w:pStyle w:val="25"/>
              <w:framePr w:w="8870" w:wrap="notBeside" w:vAnchor="text" w:hAnchor="text" w:xAlign="center" w:y="1"/>
              <w:shd w:val="clear" w:color="auto" w:fill="auto"/>
              <w:snapToGrid w:val="0"/>
              <w:spacing w:before="0" w:line="300" w:lineRule="auto"/>
              <w:ind w:firstLine="0"/>
              <w:jc w:val="both"/>
              <w:rPr>
                <w:rFonts w:ascii="Arial" w:hAnsi="Arial" w:eastAsia="宋体" w:cs="Arial"/>
              </w:rPr>
            </w:pPr>
            <w:r>
              <w:rPr>
                <w:rStyle w:val="51"/>
                <w:rFonts w:ascii="Arial" w:hAnsi="Arial" w:eastAsia="宋体" w:cs="Arial"/>
                <w:lang w:eastAsia="zh-CN"/>
              </w:rPr>
              <w:t>第</w:t>
            </w:r>
            <w:r>
              <w:rPr>
                <w:rStyle w:val="51"/>
                <w:rFonts w:ascii="Arial" w:hAnsi="Arial" w:eastAsia="宋体" w:cs="Arial"/>
              </w:rPr>
              <w:t xml:space="preserve"> 8</w:t>
            </w:r>
            <w:r>
              <w:rPr>
                <w:rStyle w:val="51"/>
                <w:rFonts w:ascii="Arial" w:hAnsi="Arial" w:eastAsia="宋体" w:cs="Arial"/>
                <w:lang w:eastAsia="zh-CN"/>
              </w:rPr>
              <w:t>节；</w:t>
            </w:r>
            <w:r>
              <w:rPr>
                <w:rStyle w:val="51"/>
                <w:rFonts w:ascii="Arial" w:hAnsi="Arial" w:eastAsia="宋体" w:cs="Arial"/>
              </w:rPr>
              <w:t>21 CFR 866.3045(b)(2)</w:t>
            </w:r>
          </w:p>
        </w:tc>
      </w:tr>
    </w:tbl>
    <w:p w14:paraId="06CFCBDA">
      <w:pPr>
        <w:framePr w:w="8870" w:wrap="notBeside" w:vAnchor="text" w:hAnchor="text" w:xAlign="center" w:y="1"/>
        <w:snapToGrid w:val="0"/>
        <w:spacing w:line="300" w:lineRule="auto"/>
        <w:jc w:val="both"/>
        <w:rPr>
          <w:rFonts w:ascii="Arial" w:hAnsi="Arial" w:eastAsia="宋体" w:cs="Arial"/>
          <w:sz w:val="2"/>
          <w:szCs w:val="2"/>
        </w:rPr>
      </w:pPr>
    </w:p>
    <w:p w14:paraId="12B72CF9">
      <w:pPr>
        <w:snapToGrid w:val="0"/>
        <w:spacing w:line="300" w:lineRule="auto"/>
        <w:jc w:val="both"/>
        <w:rPr>
          <w:rFonts w:ascii="Arial" w:hAnsi="Arial" w:eastAsia="宋体" w:cs="Arial"/>
          <w:b/>
          <w:bCs/>
          <w:sz w:val="36"/>
          <w:szCs w:val="36"/>
        </w:rPr>
      </w:pPr>
      <w:r>
        <w:rPr>
          <w:rFonts w:ascii="Arial" w:hAnsi="Arial" w:eastAsia="宋体" w:cs="Arial"/>
        </w:rPr>
        <w:br w:type="page"/>
      </w:r>
    </w:p>
    <w:p w14:paraId="45F73ACB">
      <w:pPr>
        <w:pStyle w:val="36"/>
        <w:keepNext/>
        <w:keepLines/>
        <w:numPr>
          <w:ilvl w:val="0"/>
          <w:numId w:val="2"/>
        </w:numPr>
        <w:shd w:val="clear" w:color="auto" w:fill="auto"/>
        <w:tabs>
          <w:tab w:val="left" w:pos="715"/>
        </w:tabs>
        <w:adjustRightInd w:val="0"/>
        <w:snapToGrid w:val="0"/>
        <w:spacing w:before="0" w:after="40" w:line="300" w:lineRule="auto"/>
        <w:ind w:firstLine="0"/>
        <w:jc w:val="both"/>
        <w:rPr>
          <w:rFonts w:ascii="Arial" w:hAnsi="Arial" w:eastAsia="宋体" w:cs="Arial"/>
        </w:rPr>
      </w:pPr>
      <w:r>
        <w:rPr>
          <w:rFonts w:ascii="Arial" w:hAnsi="Arial" w:eastAsia="宋体" w:cs="Arial"/>
        </w:rPr>
        <w:t>器械描述</w:t>
      </w:r>
    </w:p>
    <w:p w14:paraId="4D86BC5C">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510（k）提交的关键要素是预期用途，检测样本的类型和器械的技术特征。此外，还应该确定法规、产品代码和已合法上市的比较器械，申请器械将与之进行比较。为了帮助食品药品监督管理局有效地审查所提交的材料，我们建议加入一个表格以概括比较器械和申请器械之间的异同点。鼓励参考合适的同行评议的文章，以支持申请器械将用于其预期的诊断用途，并将特异性检测原理融入器械设计， 应详细描述每个器械元素。</w:t>
      </w:r>
    </w:p>
    <w:p w14:paraId="01B438F9">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此外，贵公司应包括以下描述性的信息，以充分说明申请的芽孢杆菌检测器械的特征：</w:t>
      </w:r>
    </w:p>
    <w:p w14:paraId="1F35ECFF">
      <w:pPr>
        <w:pStyle w:val="53"/>
        <w:shd w:val="clear" w:color="auto" w:fill="auto"/>
        <w:snapToGrid w:val="0"/>
        <w:spacing w:beforeLines="100" w:after="20" w:line="300" w:lineRule="auto"/>
        <w:jc w:val="both"/>
        <w:rPr>
          <w:rFonts w:ascii="Arial" w:hAnsi="Arial" w:eastAsia="宋体" w:cs="Arial"/>
          <w:lang w:eastAsia="zh-CN"/>
        </w:rPr>
      </w:pPr>
      <w:r>
        <w:rPr>
          <w:rFonts w:ascii="Arial" w:hAnsi="Arial" w:eastAsia="宋体" w:cs="Arial"/>
          <w:lang w:eastAsia="zh-CN"/>
        </w:rPr>
        <w:t>预期用途</w:t>
      </w:r>
    </w:p>
    <w:p w14:paraId="54B0414F">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在510（k）中，必须包括描述产品预期用途的标签（见21 CFR 807.87（e））。510（k）中应详细说明该项检测测定的是什么，例如，炭疽芽孢杆菌细胞表面蛋白或来自特异性炭疽芽孢杆菌质粒的靶DNA序列（参见21CFR807.87（e）和21CFR808.92（a））。贵公司应当清楚地说明该测定所应用的临床适应症和预期针对的特定人群。应包括临床性能已被证实的患者的临床和人口统计学描述（例如性别，年龄，症状）。预期用途应说明该检测是定性的还是定量的（参见21 CFR 807（e）和21 CFR 807.92（a））。贵公司应确保所有预期用途的元素均已清楚说明，包括具体的使用条件，如待测样本的类型，比如，从疑似炭疽携带者收集的全血(含枸橼酸钠)，阳性血的培养物，或在血琼脂上培养的生物体。</w:t>
      </w:r>
    </w:p>
    <w:p w14:paraId="652AC72D">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还必须在所申请的预期用途项下，醒目地提供以下声明：“在有经验的人员的实验室使用，这些人员接受过微生物培养鉴定方法的使用和传染病诊断原则的培训，并有适当的生物安全性设备和生物防范。”21 CFR 866.3045（b）（2）</w:t>
      </w:r>
    </w:p>
    <w:p w14:paraId="249ADE5F">
      <w:pPr>
        <w:pStyle w:val="25"/>
        <w:shd w:val="clear" w:color="auto" w:fill="auto"/>
        <w:snapToGrid w:val="0"/>
        <w:spacing w:before="0" w:line="300" w:lineRule="auto"/>
        <w:ind w:firstLine="0"/>
        <w:jc w:val="both"/>
        <w:rPr>
          <w:rFonts w:ascii="Arial" w:hAnsi="Arial" w:eastAsia="宋体" w:cs="Arial"/>
          <w:lang w:eastAsia="zh-CN"/>
        </w:rPr>
      </w:pPr>
    </w:p>
    <w:p w14:paraId="34BAFC70">
      <w:pPr>
        <w:pStyle w:val="53"/>
        <w:shd w:val="clear" w:color="auto" w:fill="auto"/>
        <w:snapToGrid w:val="0"/>
        <w:spacing w:before="0" w:after="20" w:line="300" w:lineRule="auto"/>
        <w:jc w:val="both"/>
        <w:rPr>
          <w:rFonts w:ascii="Arial" w:hAnsi="Arial" w:eastAsia="宋体" w:cs="Arial"/>
          <w:lang w:eastAsia="zh-CN"/>
        </w:rPr>
      </w:pPr>
      <w:r>
        <w:rPr>
          <w:rFonts w:ascii="Arial" w:hAnsi="Arial" w:eastAsia="宋体" w:cs="Arial"/>
          <w:lang w:eastAsia="zh-CN"/>
        </w:rPr>
        <w:t>试剂和其他器械组件</w:t>
      </w:r>
    </w:p>
    <w:p w14:paraId="22A9D0CB">
      <w:pPr>
        <w:pStyle w:val="25"/>
        <w:shd w:val="clear" w:color="auto" w:fill="auto"/>
        <w:snapToGrid w:val="0"/>
        <w:spacing w:before="0" w:after="20" w:line="300" w:lineRule="auto"/>
        <w:ind w:firstLine="0"/>
        <w:jc w:val="both"/>
        <w:rPr>
          <w:rFonts w:ascii="Arial" w:hAnsi="Arial" w:eastAsia="宋体" w:cs="Arial"/>
          <w:lang w:eastAsia="zh-CN"/>
        </w:rPr>
      </w:pPr>
      <w:r>
        <w:rPr>
          <w:rFonts w:ascii="Arial" w:hAnsi="Arial" w:eastAsia="宋体" w:cs="Arial"/>
          <w:lang w:eastAsia="zh-CN"/>
        </w:rPr>
        <w:t>必须在510（k）中描述试剂和其他器械组件（参见21 CFR 807.87（e）和809.10），建议遵守其他食品药品监督管理局指南中提供的一般性指导。</w:t>
      </w:r>
    </w:p>
    <w:p w14:paraId="5860B407">
      <w:pPr>
        <w:pStyle w:val="25"/>
        <w:shd w:val="clear" w:color="auto" w:fill="auto"/>
        <w:snapToGrid w:val="0"/>
        <w:spacing w:before="0" w:after="20" w:line="300" w:lineRule="auto"/>
        <w:ind w:firstLine="0"/>
        <w:jc w:val="both"/>
        <w:rPr>
          <w:rFonts w:ascii="Arial" w:hAnsi="Arial" w:eastAsia="宋体" w:cs="Arial"/>
          <w:lang w:eastAsia="zh-CN"/>
        </w:rPr>
      </w:pPr>
    </w:p>
    <w:p w14:paraId="3F3AEF00">
      <w:pPr>
        <w:pStyle w:val="53"/>
        <w:shd w:val="clear" w:color="auto" w:fill="auto"/>
        <w:snapToGrid w:val="0"/>
        <w:spacing w:before="0" w:after="20" w:line="300" w:lineRule="auto"/>
        <w:jc w:val="both"/>
        <w:rPr>
          <w:rFonts w:ascii="Arial" w:hAnsi="Arial" w:eastAsia="宋体" w:cs="Arial"/>
          <w:lang w:eastAsia="zh-CN"/>
        </w:rPr>
      </w:pPr>
      <w:r>
        <w:rPr>
          <w:rFonts w:ascii="Arial" w:hAnsi="Arial" w:eastAsia="宋体" w:cs="Arial"/>
          <w:lang w:eastAsia="zh-CN"/>
        </w:rPr>
        <w:t>使用器械的检测程序</w:t>
      </w:r>
    </w:p>
    <w:p w14:paraId="2A514222">
      <w:pPr>
        <w:pStyle w:val="25"/>
        <w:shd w:val="clear" w:color="auto" w:fill="auto"/>
        <w:snapToGrid w:val="0"/>
        <w:spacing w:before="0" w:after="327" w:line="300" w:lineRule="auto"/>
        <w:ind w:firstLine="0"/>
        <w:jc w:val="both"/>
        <w:rPr>
          <w:rFonts w:ascii="Arial" w:hAnsi="Arial" w:eastAsia="宋体" w:cs="Arial"/>
          <w:lang w:eastAsia="zh-CN"/>
        </w:rPr>
      </w:pPr>
      <w:r>
        <w:rPr>
          <w:rFonts w:ascii="Arial" w:hAnsi="Arial" w:eastAsia="宋体" w:cs="Arial"/>
          <w:lang w:eastAsia="zh-CN"/>
        </w:rPr>
        <w:t>在510（k）中，应详细描述适用于申请器械预期用途的操作原理。我们建议贵公司具体描述检测条件、程序和控制设计，为可能导致假阳性和假阴性结果或存在生物安全危害的情况下提供保护。这些包括但不限于，纳入使用说明书的程序、方法和实践（参见第8节 - 标签），以减轻与检测相关的风险[参考文件 1]。</w:t>
      </w:r>
    </w:p>
    <w:p w14:paraId="4324E0D6">
      <w:pPr>
        <w:rPr>
          <w:rFonts w:ascii="Arial" w:hAnsi="Arial" w:eastAsia="宋体" w:cs="Arial"/>
          <w:b/>
          <w:bCs/>
          <w:i/>
          <w:iCs/>
          <w:lang w:eastAsia="zh-CN"/>
        </w:rPr>
      </w:pPr>
      <w:r>
        <w:rPr>
          <w:rFonts w:ascii="Arial" w:hAnsi="Arial" w:eastAsia="宋体" w:cs="Arial"/>
          <w:lang w:eastAsia="zh-CN"/>
        </w:rPr>
        <w:br w:type="page"/>
      </w:r>
    </w:p>
    <w:p w14:paraId="24000F9B">
      <w:pPr>
        <w:pStyle w:val="53"/>
        <w:shd w:val="clear" w:color="auto" w:fill="auto"/>
        <w:snapToGrid w:val="0"/>
        <w:spacing w:before="0" w:after="206" w:line="300" w:lineRule="auto"/>
        <w:jc w:val="both"/>
        <w:rPr>
          <w:rFonts w:ascii="Arial" w:hAnsi="Arial" w:eastAsia="宋体" w:cs="Arial"/>
          <w:lang w:eastAsia="zh-CN"/>
        </w:rPr>
      </w:pPr>
      <w:r>
        <w:rPr>
          <w:rFonts w:ascii="Arial" w:hAnsi="Arial" w:eastAsia="宋体" w:cs="Arial"/>
          <w:lang w:eastAsia="zh-CN"/>
        </w:rPr>
        <w:t>样本的储存和运输条件</w:t>
      </w:r>
    </w:p>
    <w:p w14:paraId="7270CE85">
      <w:pPr>
        <w:pStyle w:val="25"/>
        <w:shd w:val="clear" w:color="auto" w:fill="auto"/>
        <w:snapToGrid w:val="0"/>
        <w:spacing w:before="0" w:after="327" w:line="300" w:lineRule="auto"/>
        <w:ind w:firstLine="0"/>
        <w:jc w:val="both"/>
        <w:rPr>
          <w:rFonts w:ascii="Arial" w:hAnsi="Arial" w:eastAsia="宋体" w:cs="Arial"/>
          <w:lang w:eastAsia="zh-CN"/>
        </w:rPr>
      </w:pPr>
      <w:r>
        <w:rPr>
          <w:rFonts w:ascii="Arial" w:hAnsi="Arial" w:eastAsia="宋体" w:cs="Arial"/>
          <w:lang w:eastAsia="zh-CN"/>
        </w:rPr>
        <w:t>如果建议了样本的储存条件，贵公司应证明在建议的储存条件下的多个时间点、以及所推荐的温度范围的上限与下限处，样本在整个储存期间使用该器械应产生相同的结果。如果在储存或运输时推荐使用转运培养基，应进行适当的研究，以证明当样本保存在转运培养基中时，器械将如所述的完成检测。</w:t>
      </w:r>
    </w:p>
    <w:p w14:paraId="5D2950A2">
      <w:pPr>
        <w:pStyle w:val="53"/>
        <w:shd w:val="clear" w:color="auto" w:fill="auto"/>
        <w:snapToGrid w:val="0"/>
        <w:spacing w:before="0" w:after="206" w:line="300" w:lineRule="auto"/>
        <w:jc w:val="both"/>
        <w:rPr>
          <w:rFonts w:ascii="Arial" w:hAnsi="Arial" w:eastAsia="宋体" w:cs="Arial"/>
          <w:lang w:eastAsia="zh-CN"/>
        </w:rPr>
      </w:pPr>
      <w:r>
        <w:rPr>
          <w:rFonts w:ascii="Arial" w:hAnsi="Arial" w:eastAsia="宋体" w:cs="Arial"/>
          <w:lang w:eastAsia="zh-CN"/>
        </w:rPr>
        <w:t>解释检测结果/报告</w:t>
      </w:r>
    </w:p>
    <w:p w14:paraId="0D25F0A0">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在510（k）中，我们建议贵公司描述如何对推定的阳性、不明确和阴性结果进行确定，以及如何解释（如适用）。贵公司应为如何确定解释算法提供清晰的说明。</w:t>
      </w:r>
    </w:p>
    <w:p w14:paraId="10F008FF">
      <w:pPr>
        <w:pStyle w:val="25"/>
        <w:shd w:val="clear" w:color="auto" w:fill="auto"/>
        <w:snapToGrid w:val="0"/>
        <w:spacing w:before="0" w:line="300" w:lineRule="auto"/>
        <w:ind w:firstLine="0"/>
        <w:jc w:val="both"/>
        <w:rPr>
          <w:rFonts w:ascii="Arial" w:hAnsi="Arial" w:eastAsia="宋体" w:cs="Arial"/>
          <w:lang w:eastAsia="zh-CN"/>
        </w:rPr>
      </w:pPr>
    </w:p>
    <w:p w14:paraId="3188FA40">
      <w:pPr>
        <w:pStyle w:val="36"/>
        <w:keepNext/>
        <w:keepLines/>
        <w:numPr>
          <w:ilvl w:val="0"/>
          <w:numId w:val="2"/>
        </w:numPr>
        <w:shd w:val="clear" w:color="auto" w:fill="auto"/>
        <w:tabs>
          <w:tab w:val="left" w:pos="710"/>
        </w:tabs>
        <w:snapToGrid w:val="0"/>
        <w:spacing w:before="0" w:after="60" w:line="300" w:lineRule="auto"/>
        <w:ind w:firstLine="0"/>
        <w:jc w:val="both"/>
        <w:rPr>
          <w:rFonts w:ascii="Arial" w:hAnsi="Arial" w:eastAsia="宋体" w:cs="Arial"/>
        </w:rPr>
      </w:pPr>
      <w:r>
        <w:rPr>
          <w:rFonts w:ascii="Arial" w:hAnsi="Arial" w:eastAsia="宋体" w:cs="Arial"/>
        </w:rPr>
        <w:t>性能研究</w:t>
      </w:r>
    </w:p>
    <w:p w14:paraId="78271CB7">
      <w:pPr>
        <w:pStyle w:val="25"/>
        <w:snapToGrid w:val="0"/>
        <w:spacing w:before="0" w:line="300" w:lineRule="auto"/>
        <w:ind w:firstLine="0"/>
        <w:jc w:val="both"/>
        <w:rPr>
          <w:rFonts w:ascii="Arial" w:hAnsi="Arial" w:eastAsia="宋体" w:cs="Arial"/>
          <w:lang w:eastAsia="zh-CN"/>
        </w:rPr>
      </w:pPr>
      <w:r>
        <w:rPr>
          <w:rFonts w:ascii="Arial" w:hAnsi="Arial" w:eastAsia="宋体" w:cs="Arial"/>
          <w:lang w:eastAsia="zh-CN"/>
        </w:rPr>
        <w:t>建议评估以下性能特性，以形成性能的文档，并对器械进行正确的标识，以符合21 CFR 809.10(b)(12)。应在510（k）中描述这些研究，并对结果进行清晰地总结，最好是以适当的表格形式，可以引用发表在文献中的相关结果。用于分子诊断检测方法的器械和用于免疫检测方法的器械，其具体的附加指南，见于CLSI I / LA 18-A2 第11节[参考文件 2]。</w:t>
      </w:r>
    </w:p>
    <w:p w14:paraId="17CAD01D">
      <w:pPr>
        <w:pStyle w:val="25"/>
        <w:shd w:val="clear" w:color="auto" w:fill="auto"/>
        <w:snapToGrid w:val="0"/>
        <w:spacing w:before="0" w:after="295" w:line="300" w:lineRule="auto"/>
        <w:ind w:firstLine="0"/>
        <w:jc w:val="both"/>
        <w:rPr>
          <w:rFonts w:ascii="Arial" w:hAnsi="Arial" w:eastAsia="宋体" w:cs="Arial"/>
          <w:lang w:eastAsia="zh-CN"/>
        </w:rPr>
      </w:pPr>
      <w:r>
        <w:rPr>
          <w:rFonts w:ascii="Arial" w:hAnsi="Arial" w:eastAsia="宋体" w:cs="Arial"/>
          <w:lang w:eastAsia="zh-CN"/>
        </w:rPr>
        <w:t>为审查研究的数据，我们建议提供用以生成数据的研究方案的具体细节。这些细节也有助于用户解读标签中的性能数据。当涉及临床实验室标准协会（CLSI）的方案或指南时，应指出所遵循的方案或指南的具体方面。</w:t>
      </w:r>
    </w:p>
    <w:p w14:paraId="007F3546">
      <w:pPr>
        <w:pStyle w:val="23"/>
        <w:keepNext/>
        <w:keepLines/>
        <w:numPr>
          <w:ilvl w:val="0"/>
          <w:numId w:val="4"/>
        </w:numPr>
        <w:shd w:val="clear" w:color="auto" w:fill="auto"/>
        <w:tabs>
          <w:tab w:val="left" w:pos="394"/>
        </w:tabs>
        <w:snapToGrid w:val="0"/>
        <w:spacing w:before="0" w:after="275" w:line="300" w:lineRule="auto"/>
        <w:ind w:left="0" w:firstLine="0"/>
        <w:jc w:val="both"/>
        <w:rPr>
          <w:rFonts w:ascii="Arial" w:hAnsi="Arial" w:eastAsia="宋体" w:cs="Arial"/>
        </w:rPr>
      </w:pPr>
      <w:r>
        <w:rPr>
          <w:rFonts w:ascii="Arial" w:hAnsi="Arial" w:eastAsia="宋体" w:cs="Arial"/>
        </w:rPr>
        <w:t>分析/实验室性能研究</w:t>
      </w:r>
    </w:p>
    <w:p w14:paraId="0E51D63E">
      <w:pPr>
        <w:pStyle w:val="25"/>
        <w:shd w:val="clear" w:color="auto" w:fill="auto"/>
        <w:snapToGrid w:val="0"/>
        <w:spacing w:before="0" w:after="327" w:line="300" w:lineRule="auto"/>
        <w:ind w:firstLine="0"/>
        <w:jc w:val="both"/>
        <w:rPr>
          <w:rFonts w:ascii="Arial" w:hAnsi="Arial" w:eastAsia="宋体" w:cs="Arial"/>
          <w:lang w:eastAsia="zh-CN"/>
        </w:rPr>
      </w:pPr>
      <w:r>
        <w:rPr>
          <w:rFonts w:ascii="Arial" w:hAnsi="Arial" w:eastAsia="宋体" w:cs="Arial"/>
          <w:lang w:eastAsia="zh-CN"/>
        </w:rPr>
        <w:t>分析研究的适宜类型将取决于应用技术、操作原理和可用的科学证据。以下是一些相关的例子，但并不能作为包括一切的清单。根据器械类型，分析数据的其他类型可能是合适的。</w:t>
      </w:r>
    </w:p>
    <w:p w14:paraId="6E44F987">
      <w:pPr>
        <w:pStyle w:val="47"/>
        <w:keepNext/>
        <w:keepLines/>
        <w:shd w:val="clear" w:color="auto" w:fill="auto"/>
        <w:tabs>
          <w:tab w:val="left" w:pos="1164"/>
        </w:tabs>
        <w:snapToGrid w:val="0"/>
        <w:spacing w:before="0" w:after="0" w:line="300" w:lineRule="auto"/>
        <w:jc w:val="both"/>
        <w:rPr>
          <w:rFonts w:ascii="Arial" w:hAnsi="Arial" w:eastAsia="宋体" w:cs="Arial"/>
          <w:lang w:eastAsia="zh-CN"/>
        </w:rPr>
      </w:pPr>
      <w:r>
        <w:rPr>
          <w:rFonts w:ascii="Arial" w:hAnsi="Arial" w:eastAsia="宋体" w:cs="Arial"/>
          <w:lang w:eastAsia="zh-CN"/>
        </w:rPr>
        <w:t>（1）检测/试剂特异性的确定</w:t>
      </w:r>
    </w:p>
    <w:p w14:paraId="186AB628">
      <w:pPr>
        <w:snapToGrid w:val="0"/>
        <w:spacing w:line="300" w:lineRule="auto"/>
        <w:jc w:val="both"/>
        <w:rPr>
          <w:rFonts w:ascii="Arial" w:hAnsi="Arial" w:eastAsia="宋体" w:cs="Arial"/>
          <w:lang w:eastAsia="zh-CN"/>
        </w:rPr>
      </w:pPr>
    </w:p>
    <w:p w14:paraId="3554EF77">
      <w:pPr>
        <w:pStyle w:val="25"/>
        <w:shd w:val="clear" w:color="auto" w:fill="auto"/>
        <w:snapToGrid w:val="0"/>
        <w:spacing w:before="0" w:after="240" w:line="300" w:lineRule="auto"/>
        <w:ind w:firstLine="0"/>
        <w:jc w:val="both"/>
        <w:rPr>
          <w:rFonts w:ascii="Arial" w:hAnsi="Arial" w:eastAsia="宋体" w:cs="Arial"/>
          <w:lang w:eastAsia="zh-CN"/>
        </w:rPr>
      </w:pPr>
    </w:p>
    <w:p w14:paraId="092E6ED8">
      <w:pPr>
        <w:rPr>
          <w:rFonts w:ascii="Arial" w:hAnsi="Arial" w:eastAsia="宋体" w:cs="Arial"/>
          <w:lang w:eastAsia="zh-CN"/>
        </w:rPr>
      </w:pPr>
      <w:r>
        <w:rPr>
          <w:rFonts w:ascii="Arial" w:hAnsi="Arial" w:eastAsia="宋体" w:cs="Arial"/>
          <w:lang w:eastAsia="zh-CN"/>
        </w:rPr>
        <w:br w:type="page"/>
      </w:r>
    </w:p>
    <w:p w14:paraId="2A4818CA">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对于用于鉴定来自培养物的炭疽芽孢杆菌的器械，我们建议贵公司使用至少25种不同的炭疽芽孢杆菌菌株（代表地理和时间上的多样性，包括已知的基因型和表型变异）来表示噬菌体和免疫荧光抗体试剂、10株苏云金芽孢杆菌、10株蜡样芽孢杆菌，和其它有代表性的芽孢杆菌、以及非芽孢杆菌属的革兰氏阳性杆菌的检测性能特点。如果申请的器械适用于直接样品检测法，还应包括可能会在采样点发现的生物体（如，正常菌群和其他潜在病原体）。用于表征检测/试剂特异性的菌</w:t>
      </w:r>
      <w:r>
        <w:rPr>
          <w:rFonts w:ascii="Arial" w:hAnsi="Arial" w:eastAsia="MS Mincho" w:cs="Arial"/>
          <w:lang w:eastAsia="zh-CN"/>
        </w:rPr>
        <w:t>​​</w:t>
      </w:r>
      <w:r>
        <w:rPr>
          <w:rFonts w:ascii="Arial" w:hAnsi="Arial" w:eastAsia="宋体" w:cs="Arial"/>
          <w:lang w:eastAsia="zh-CN"/>
        </w:rPr>
        <w:t>株可以选自有良好表征的档案库或资源库。芽孢杆菌的种属鉴定，可能同时要求表型和基因型的方法（例如，生化的，抗原的，形态学，质粒表征，基因分型）。</w:t>
      </w:r>
    </w:p>
    <w:p w14:paraId="75DE9629">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我们建议贵公司使用来自自然感染的人的血清和使用炭疽疫苗免疫的人的血清，来评估用于抗炭疽芽孢杆菌抗体检测的抗原。来自至少200份的人血清样品，包括来自具有伴随性疾病和情况的个体的血清，也应进行特异性检测。</w:t>
      </w:r>
    </w:p>
    <w:p w14:paraId="743A5F82">
      <w:pPr>
        <w:pStyle w:val="47"/>
        <w:keepNext/>
        <w:keepLines/>
        <w:shd w:val="clear" w:color="auto" w:fill="auto"/>
        <w:tabs>
          <w:tab w:val="left" w:pos="404"/>
        </w:tabs>
        <w:snapToGrid w:val="0"/>
        <w:spacing w:beforeLines="100" w:after="0" w:line="300" w:lineRule="auto"/>
        <w:jc w:val="both"/>
        <w:rPr>
          <w:rFonts w:ascii="Arial" w:hAnsi="Arial" w:eastAsia="宋体" w:cs="Arial"/>
          <w:lang w:eastAsia="zh-CN"/>
        </w:rPr>
      </w:pPr>
      <w:r>
        <w:rPr>
          <w:rFonts w:ascii="Arial" w:hAnsi="Arial" w:eastAsia="宋体" w:cs="Arial"/>
          <w:lang w:eastAsia="zh-CN"/>
        </w:rPr>
        <w:t>（2）精密度/重现性</w:t>
      </w:r>
    </w:p>
    <w:p w14:paraId="5F028030">
      <w:pPr>
        <w:pStyle w:val="25"/>
        <w:shd w:val="clear" w:color="auto" w:fill="auto"/>
        <w:snapToGrid w:val="0"/>
        <w:spacing w:before="0" w:after="267" w:line="300" w:lineRule="auto"/>
        <w:ind w:firstLine="0"/>
        <w:jc w:val="both"/>
        <w:rPr>
          <w:rFonts w:ascii="Arial" w:hAnsi="Arial" w:eastAsia="宋体" w:cs="Arial"/>
          <w:lang w:eastAsia="zh-CN"/>
        </w:rPr>
      </w:pPr>
      <w:r>
        <w:rPr>
          <w:rFonts w:ascii="Arial" w:hAnsi="Arial" w:eastAsia="宋体" w:cs="Arial"/>
          <w:lang w:eastAsia="zh-CN"/>
        </w:rPr>
        <w:t>我们建议贵公司描述日内、日间、实验室内和实验室间的重现性。重现性试样组应包括：临近检测界值的、低阳性浓度、中阳性浓度、高阴性浓度的样品。如果该器械的检测结果为直观性解释，还应对所有推荐用于该器械的仪器进行精密度研究。[参考文件 3]。</w:t>
      </w:r>
    </w:p>
    <w:p w14:paraId="06A1375A">
      <w:pPr>
        <w:pStyle w:val="47"/>
        <w:keepNext/>
        <w:keepLines/>
        <w:shd w:val="clear" w:color="auto" w:fill="auto"/>
        <w:tabs>
          <w:tab w:val="left" w:pos="404"/>
        </w:tabs>
        <w:snapToGrid w:val="0"/>
        <w:spacing w:beforeLines="100" w:after="0" w:line="300" w:lineRule="auto"/>
        <w:jc w:val="both"/>
        <w:rPr>
          <w:rFonts w:ascii="Arial" w:hAnsi="Arial" w:eastAsia="宋体" w:cs="Arial"/>
          <w:lang w:eastAsia="zh-CN"/>
        </w:rPr>
      </w:pPr>
      <w:r>
        <w:rPr>
          <w:rFonts w:ascii="Arial" w:hAnsi="Arial" w:eastAsia="宋体" w:cs="Arial"/>
          <w:lang w:eastAsia="zh-CN"/>
        </w:rPr>
        <w:t>（3）干扰/抑制物质</w:t>
      </w:r>
    </w:p>
    <w:p w14:paraId="65B59BF9">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我们建议贵公司提供信息和数据，以证明在特定样本类型中遇到的潜在干扰物质或抑制物质不会影响结果。表1中列出了可能存在于临床样本中的潜在的内源性和外源性干扰物质，如： 血液，痰液，培养物等。如果干扰物或抑制物在文献中已有报道或在研究中显而易见，应提供经过验证的程序或方法，以避免错误结果。</w:t>
      </w:r>
    </w:p>
    <w:p w14:paraId="7FCEA3E3">
      <w:pPr>
        <w:pStyle w:val="55"/>
        <w:shd w:val="clear" w:color="auto" w:fill="auto"/>
        <w:snapToGrid w:val="0"/>
        <w:spacing w:before="120" w:beforeLines="50" w:line="300" w:lineRule="auto"/>
        <w:jc w:val="both"/>
        <w:rPr>
          <w:rFonts w:ascii="Arial" w:hAnsi="Arial" w:eastAsia="宋体" w:cs="Arial"/>
          <w:lang w:eastAsia="zh-CN"/>
        </w:rPr>
      </w:pPr>
      <w:r>
        <w:rPr>
          <w:rFonts w:ascii="Arial" w:hAnsi="Arial" w:eastAsia="宋体" w:cs="Arial"/>
          <w:lang w:eastAsia="zh-CN"/>
        </w:rPr>
        <w:t>表1. 经评估的潜在干扰物质列表</w:t>
      </w:r>
    </w:p>
    <w:tbl>
      <w:tblPr>
        <w:tblStyle w:val="1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6"/>
        <w:gridCol w:w="3357"/>
        <w:gridCol w:w="3357"/>
      </w:tblGrid>
      <w:tr w14:paraId="4A86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bottom w:val="single" w:color="auto" w:sz="4" w:space="0"/>
            </w:tcBorders>
            <w:vAlign w:val="center"/>
          </w:tcPr>
          <w:p w14:paraId="32964D87">
            <w:pPr>
              <w:pStyle w:val="25"/>
              <w:shd w:val="clear" w:color="auto" w:fill="auto"/>
              <w:snapToGrid w:val="0"/>
              <w:spacing w:before="60" w:line="300" w:lineRule="auto"/>
              <w:ind w:firstLine="0"/>
              <w:jc w:val="center"/>
              <w:rPr>
                <w:rFonts w:ascii="Arial" w:hAnsi="Arial" w:eastAsia="宋体" w:cs="Arial"/>
              </w:rPr>
            </w:pPr>
            <w:r>
              <w:rPr>
                <w:rStyle w:val="51"/>
                <w:rFonts w:ascii="Arial" w:hAnsi="Arial" w:eastAsia="宋体" w:cs="Arial"/>
              </w:rPr>
              <w:t>内源性物质</w:t>
            </w:r>
          </w:p>
        </w:tc>
        <w:tc>
          <w:tcPr>
            <w:tcW w:w="6714" w:type="dxa"/>
            <w:gridSpan w:val="2"/>
            <w:tcBorders>
              <w:bottom w:val="single" w:color="auto" w:sz="4" w:space="0"/>
            </w:tcBorders>
            <w:vAlign w:val="center"/>
          </w:tcPr>
          <w:p w14:paraId="7A36E7DA">
            <w:pPr>
              <w:pStyle w:val="55"/>
              <w:shd w:val="clear" w:color="auto" w:fill="auto"/>
              <w:snapToGrid w:val="0"/>
              <w:spacing w:line="300" w:lineRule="auto"/>
              <w:jc w:val="center"/>
              <w:rPr>
                <w:rFonts w:ascii="Arial" w:hAnsi="Arial" w:eastAsia="宋体" w:cs="Arial"/>
                <w:lang w:eastAsia="zh-CN"/>
              </w:rPr>
            </w:pPr>
            <w:r>
              <w:rPr>
                <w:rStyle w:val="51"/>
                <w:rFonts w:ascii="Arial" w:hAnsi="Arial" w:eastAsia="宋体" w:cs="Arial"/>
              </w:rPr>
              <w:t>外</w:t>
            </w:r>
            <w:r>
              <w:rPr>
                <w:rStyle w:val="51"/>
                <w:rFonts w:ascii="Arial" w:hAnsi="Arial" w:eastAsia="宋体" w:cs="Arial"/>
                <w:lang w:eastAsia="zh-CN"/>
              </w:rPr>
              <w:t>源性</w:t>
            </w:r>
            <w:r>
              <w:rPr>
                <w:rStyle w:val="51"/>
                <w:rFonts w:ascii="Arial" w:hAnsi="Arial" w:eastAsia="宋体" w:cs="Arial"/>
              </w:rPr>
              <w:t>物质</w:t>
            </w:r>
          </w:p>
        </w:tc>
      </w:tr>
      <w:tr w14:paraId="6173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bottom w:val="nil"/>
            </w:tcBorders>
          </w:tcPr>
          <w:p w14:paraId="2AD6A48A">
            <w:pPr>
              <w:snapToGrid w:val="0"/>
              <w:spacing w:line="300" w:lineRule="auto"/>
              <w:jc w:val="center"/>
              <w:rPr>
                <w:rFonts w:ascii="Arial" w:hAnsi="Arial" w:eastAsia="宋体" w:cs="Arial"/>
              </w:rPr>
            </w:pPr>
            <w:r>
              <w:rPr>
                <w:rFonts w:ascii="Arial" w:hAnsi="Arial" w:eastAsia="宋体" w:cs="Arial"/>
              </w:rPr>
              <w:t>血红蛋白</w:t>
            </w:r>
          </w:p>
        </w:tc>
        <w:tc>
          <w:tcPr>
            <w:tcW w:w="3357" w:type="dxa"/>
            <w:tcBorders>
              <w:bottom w:val="nil"/>
            </w:tcBorders>
          </w:tcPr>
          <w:p w14:paraId="49D764D3">
            <w:pPr>
              <w:snapToGrid w:val="0"/>
              <w:spacing w:line="300" w:lineRule="auto"/>
              <w:jc w:val="center"/>
              <w:rPr>
                <w:rFonts w:ascii="Arial" w:hAnsi="Arial" w:eastAsia="宋体" w:cs="Arial"/>
              </w:rPr>
            </w:pPr>
            <w:r>
              <w:rPr>
                <w:rFonts w:ascii="Arial" w:hAnsi="Arial" w:eastAsia="宋体" w:cs="Arial"/>
              </w:rPr>
              <w:t>对乙酰氨基酚</w:t>
            </w:r>
          </w:p>
        </w:tc>
        <w:tc>
          <w:tcPr>
            <w:tcW w:w="3357" w:type="dxa"/>
            <w:vMerge w:val="restart"/>
            <w:tcBorders>
              <w:bottom w:val="nil"/>
            </w:tcBorders>
            <w:vAlign w:val="center"/>
          </w:tcPr>
          <w:p w14:paraId="5C18FE72">
            <w:pPr>
              <w:snapToGrid w:val="0"/>
              <w:spacing w:line="300" w:lineRule="auto"/>
              <w:jc w:val="center"/>
              <w:rPr>
                <w:rFonts w:ascii="Arial" w:hAnsi="Arial" w:eastAsia="宋体" w:cs="Arial"/>
              </w:rPr>
            </w:pPr>
            <w:r>
              <w:rPr>
                <w:rFonts w:ascii="Arial" w:hAnsi="Arial" w:eastAsia="宋体" w:cs="Arial"/>
              </w:rPr>
              <w:t>枸橼酸葡萄糖</w:t>
            </w:r>
          </w:p>
        </w:tc>
      </w:tr>
      <w:tr w14:paraId="5416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tcPr>
          <w:p w14:paraId="606CC053">
            <w:pPr>
              <w:snapToGrid w:val="0"/>
              <w:spacing w:line="300" w:lineRule="auto"/>
              <w:jc w:val="center"/>
              <w:rPr>
                <w:rFonts w:ascii="Arial" w:hAnsi="Arial" w:eastAsia="宋体" w:cs="Arial"/>
              </w:rPr>
            </w:pPr>
            <w:r>
              <w:rPr>
                <w:rFonts w:ascii="Arial" w:hAnsi="Arial" w:eastAsia="宋体" w:cs="Arial"/>
              </w:rPr>
              <w:t>白蛋白</w:t>
            </w:r>
          </w:p>
        </w:tc>
        <w:tc>
          <w:tcPr>
            <w:tcW w:w="3357" w:type="dxa"/>
            <w:tcBorders>
              <w:top w:val="nil"/>
              <w:bottom w:val="nil"/>
            </w:tcBorders>
          </w:tcPr>
          <w:p w14:paraId="0B2771A1">
            <w:pPr>
              <w:snapToGrid w:val="0"/>
              <w:spacing w:line="300" w:lineRule="auto"/>
              <w:jc w:val="center"/>
              <w:rPr>
                <w:rFonts w:ascii="Arial" w:hAnsi="Arial" w:eastAsia="宋体" w:cs="Arial"/>
              </w:rPr>
            </w:pPr>
            <w:r>
              <w:rPr>
                <w:rFonts w:ascii="Arial" w:hAnsi="Arial" w:eastAsia="宋体" w:cs="Arial"/>
              </w:rPr>
              <w:t>阿莫西林</w:t>
            </w:r>
          </w:p>
        </w:tc>
        <w:tc>
          <w:tcPr>
            <w:tcW w:w="3357" w:type="dxa"/>
            <w:vMerge w:val="continue"/>
            <w:tcBorders>
              <w:top w:val="nil"/>
              <w:bottom w:val="nil"/>
            </w:tcBorders>
            <w:vAlign w:val="center"/>
          </w:tcPr>
          <w:p w14:paraId="4EB3439C">
            <w:pPr>
              <w:pStyle w:val="55"/>
              <w:shd w:val="clear" w:color="auto" w:fill="auto"/>
              <w:snapToGrid w:val="0"/>
              <w:spacing w:line="300" w:lineRule="auto"/>
              <w:jc w:val="center"/>
              <w:rPr>
                <w:rFonts w:ascii="Arial" w:hAnsi="Arial" w:eastAsia="宋体" w:cs="Arial"/>
                <w:lang w:eastAsia="zh-CN"/>
              </w:rPr>
            </w:pPr>
          </w:p>
        </w:tc>
      </w:tr>
      <w:tr w14:paraId="399C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tcPr>
          <w:p w14:paraId="799CCBC7">
            <w:pPr>
              <w:snapToGrid w:val="0"/>
              <w:spacing w:line="300" w:lineRule="auto"/>
              <w:jc w:val="center"/>
              <w:rPr>
                <w:rFonts w:ascii="Arial" w:hAnsi="Arial" w:eastAsia="宋体" w:cs="Arial"/>
              </w:rPr>
            </w:pPr>
            <w:r>
              <w:rPr>
                <w:rFonts w:ascii="Arial" w:hAnsi="Arial" w:eastAsia="宋体" w:cs="Arial"/>
              </w:rPr>
              <w:t>胆红素</w:t>
            </w:r>
          </w:p>
        </w:tc>
        <w:tc>
          <w:tcPr>
            <w:tcW w:w="3357" w:type="dxa"/>
            <w:tcBorders>
              <w:top w:val="nil"/>
              <w:bottom w:val="nil"/>
            </w:tcBorders>
          </w:tcPr>
          <w:p w14:paraId="32A43477">
            <w:pPr>
              <w:snapToGrid w:val="0"/>
              <w:spacing w:line="300" w:lineRule="auto"/>
              <w:jc w:val="center"/>
              <w:rPr>
                <w:rFonts w:ascii="Arial" w:hAnsi="Arial" w:eastAsia="宋体" w:cs="Arial"/>
              </w:rPr>
            </w:pPr>
            <w:r>
              <w:rPr>
                <w:rFonts w:ascii="Arial" w:hAnsi="Arial" w:eastAsia="宋体" w:cs="Arial"/>
              </w:rPr>
              <w:t>抗坏血酸</w:t>
            </w:r>
          </w:p>
        </w:tc>
        <w:tc>
          <w:tcPr>
            <w:tcW w:w="3357" w:type="dxa"/>
            <w:tcBorders>
              <w:top w:val="nil"/>
              <w:bottom w:val="nil"/>
            </w:tcBorders>
            <w:vAlign w:val="center"/>
          </w:tcPr>
          <w:p w14:paraId="7BD35945">
            <w:pPr>
              <w:pStyle w:val="25"/>
              <w:shd w:val="clear" w:color="auto" w:fill="auto"/>
              <w:snapToGrid w:val="0"/>
              <w:spacing w:before="0" w:line="300" w:lineRule="auto"/>
              <w:ind w:firstLine="0"/>
              <w:jc w:val="center"/>
              <w:rPr>
                <w:rFonts w:ascii="Arial" w:hAnsi="Arial" w:eastAsia="宋体" w:cs="Arial"/>
              </w:rPr>
            </w:pPr>
            <w:r>
              <w:rPr>
                <w:rFonts w:ascii="Arial" w:hAnsi="Arial" w:eastAsia="宋体" w:cs="Arial"/>
              </w:rPr>
              <w:t>枸橼酸</w:t>
            </w:r>
            <w:r>
              <w:rPr>
                <w:rStyle w:val="51"/>
                <w:rFonts w:ascii="Arial" w:hAnsi="Arial" w:eastAsia="宋体" w:cs="Arial"/>
              </w:rPr>
              <w:t xml:space="preserve"> (</w:t>
            </w:r>
            <w:r>
              <w:rPr>
                <w:rStyle w:val="51"/>
                <w:rFonts w:ascii="Arial" w:hAnsi="Arial" w:eastAsia="宋体" w:cs="Arial"/>
                <w:lang w:eastAsia="zh-CN"/>
              </w:rPr>
              <w:t>钠</w:t>
            </w:r>
            <w:r>
              <w:rPr>
                <w:rStyle w:val="51"/>
                <w:rFonts w:ascii="Arial" w:hAnsi="Arial" w:eastAsia="宋体" w:cs="Arial"/>
              </w:rPr>
              <w:t>)</w:t>
            </w:r>
          </w:p>
        </w:tc>
      </w:tr>
      <w:tr w14:paraId="3CE8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single" w:color="auto" w:sz="4" w:space="0"/>
            </w:tcBorders>
          </w:tcPr>
          <w:p w14:paraId="4B751632">
            <w:pPr>
              <w:snapToGrid w:val="0"/>
              <w:spacing w:line="300" w:lineRule="auto"/>
              <w:jc w:val="center"/>
              <w:rPr>
                <w:rFonts w:ascii="Arial" w:hAnsi="Arial" w:eastAsia="宋体" w:cs="Arial"/>
              </w:rPr>
            </w:pPr>
            <w:r>
              <w:rPr>
                <w:rFonts w:ascii="Arial" w:hAnsi="Arial" w:eastAsia="宋体" w:cs="Arial"/>
              </w:rPr>
              <w:t>甘油三酯</w:t>
            </w:r>
          </w:p>
        </w:tc>
        <w:tc>
          <w:tcPr>
            <w:tcW w:w="3357" w:type="dxa"/>
            <w:tcBorders>
              <w:top w:val="nil"/>
              <w:bottom w:val="single" w:color="auto" w:sz="4" w:space="0"/>
            </w:tcBorders>
          </w:tcPr>
          <w:p w14:paraId="0E156FBB">
            <w:pPr>
              <w:snapToGrid w:val="0"/>
              <w:spacing w:line="300" w:lineRule="auto"/>
              <w:jc w:val="center"/>
              <w:rPr>
                <w:rFonts w:ascii="Arial" w:hAnsi="Arial" w:eastAsia="宋体" w:cs="Arial"/>
              </w:rPr>
            </w:pPr>
            <w:r>
              <w:rPr>
                <w:rFonts w:ascii="Arial" w:hAnsi="Arial" w:eastAsia="宋体" w:cs="Arial"/>
              </w:rPr>
              <w:t>阿司匹林</w:t>
            </w:r>
          </w:p>
        </w:tc>
        <w:tc>
          <w:tcPr>
            <w:tcW w:w="3357" w:type="dxa"/>
            <w:tcBorders>
              <w:top w:val="nil"/>
              <w:bottom w:val="single" w:color="auto" w:sz="4" w:space="0"/>
            </w:tcBorders>
            <w:vAlign w:val="center"/>
          </w:tcPr>
          <w:p w14:paraId="056B6A86">
            <w:pPr>
              <w:pStyle w:val="25"/>
              <w:shd w:val="clear" w:color="auto" w:fill="auto"/>
              <w:snapToGrid w:val="0"/>
              <w:spacing w:before="0" w:line="300" w:lineRule="auto"/>
              <w:ind w:firstLine="0"/>
              <w:jc w:val="center"/>
              <w:rPr>
                <w:rFonts w:ascii="Arial" w:hAnsi="Arial" w:eastAsia="宋体" w:cs="Arial"/>
              </w:rPr>
            </w:pPr>
            <w:r>
              <w:rPr>
                <w:rStyle w:val="51"/>
                <w:rFonts w:ascii="Arial" w:hAnsi="Arial" w:eastAsia="宋体" w:cs="Arial"/>
              </w:rPr>
              <w:t>EDTA</w:t>
            </w:r>
          </w:p>
        </w:tc>
      </w:tr>
    </w:tbl>
    <w:p w14:paraId="79EC23B0">
      <w:r>
        <w:br w:type="page"/>
      </w:r>
    </w:p>
    <w:tbl>
      <w:tblPr>
        <w:tblStyle w:val="1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6"/>
        <w:gridCol w:w="2238"/>
        <w:gridCol w:w="1119"/>
        <w:gridCol w:w="1119"/>
        <w:gridCol w:w="2238"/>
      </w:tblGrid>
      <w:tr w14:paraId="5325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56" w:type="dxa"/>
            <w:tcBorders>
              <w:bottom w:val="nil"/>
            </w:tcBorders>
            <w:vAlign w:val="center"/>
          </w:tcPr>
          <w:p w14:paraId="029117D7">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胆固醇(总)</w:t>
            </w:r>
          </w:p>
        </w:tc>
        <w:tc>
          <w:tcPr>
            <w:tcW w:w="3357" w:type="dxa"/>
            <w:gridSpan w:val="2"/>
            <w:tcBorders>
              <w:bottom w:val="nil"/>
            </w:tcBorders>
            <w:vAlign w:val="center"/>
          </w:tcPr>
          <w:p w14:paraId="5A588034">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头孢噻肟</w:t>
            </w:r>
          </w:p>
        </w:tc>
        <w:tc>
          <w:tcPr>
            <w:tcW w:w="3357" w:type="dxa"/>
            <w:gridSpan w:val="2"/>
            <w:tcBorders>
              <w:bottom w:val="nil"/>
            </w:tcBorders>
            <w:vAlign w:val="center"/>
          </w:tcPr>
          <w:p w14:paraId="6DE456DA">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肝素</w:t>
            </w:r>
          </w:p>
        </w:tc>
      </w:tr>
      <w:tr w14:paraId="4EE0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7668A324">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免疫球蛋白</w:t>
            </w:r>
          </w:p>
        </w:tc>
        <w:tc>
          <w:tcPr>
            <w:tcW w:w="3357" w:type="dxa"/>
            <w:gridSpan w:val="2"/>
            <w:tcBorders>
              <w:top w:val="nil"/>
              <w:bottom w:val="nil"/>
            </w:tcBorders>
            <w:vAlign w:val="center"/>
          </w:tcPr>
          <w:p w14:paraId="42EC3E13">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氯喹</w:t>
            </w:r>
          </w:p>
        </w:tc>
        <w:tc>
          <w:tcPr>
            <w:tcW w:w="3357" w:type="dxa"/>
            <w:gridSpan w:val="2"/>
            <w:tcBorders>
              <w:top w:val="nil"/>
              <w:bottom w:val="nil"/>
            </w:tcBorders>
            <w:vAlign w:val="center"/>
          </w:tcPr>
          <w:p w14:paraId="0D95942B">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聚茴香脑磺酸钠(SPS)</w:t>
            </w:r>
          </w:p>
        </w:tc>
      </w:tr>
      <w:tr w14:paraId="2036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28694EA8">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葡萄糖</w:t>
            </w:r>
          </w:p>
        </w:tc>
        <w:tc>
          <w:tcPr>
            <w:tcW w:w="3357" w:type="dxa"/>
            <w:gridSpan w:val="2"/>
            <w:tcBorders>
              <w:top w:val="nil"/>
              <w:bottom w:val="nil"/>
            </w:tcBorders>
            <w:vAlign w:val="center"/>
          </w:tcPr>
          <w:p w14:paraId="25EF9ECE">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环丙沙星</w:t>
            </w:r>
          </w:p>
        </w:tc>
        <w:tc>
          <w:tcPr>
            <w:tcW w:w="3357" w:type="dxa"/>
            <w:gridSpan w:val="2"/>
            <w:tcBorders>
              <w:top w:val="nil"/>
              <w:bottom w:val="nil"/>
            </w:tcBorders>
            <w:vAlign w:val="center"/>
          </w:tcPr>
          <w:p w14:paraId="4ED2B614">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舒喘宁(沙丁胺醇)</w:t>
            </w:r>
          </w:p>
        </w:tc>
      </w:tr>
      <w:tr w14:paraId="3C21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321EB790">
            <w:pPr>
              <w:pStyle w:val="55"/>
              <w:shd w:val="clear" w:color="auto" w:fill="auto"/>
              <w:adjustRightInd w:val="0"/>
              <w:snapToGrid w:val="0"/>
              <w:spacing w:line="300" w:lineRule="auto"/>
              <w:jc w:val="center"/>
              <w:rPr>
                <w:rFonts w:ascii="Arial" w:hAnsi="Arial" w:eastAsia="宋体" w:cs="Arial"/>
                <w:lang w:eastAsia="zh-CN"/>
              </w:rPr>
            </w:pPr>
          </w:p>
        </w:tc>
        <w:tc>
          <w:tcPr>
            <w:tcW w:w="3357" w:type="dxa"/>
            <w:gridSpan w:val="2"/>
            <w:tcBorders>
              <w:top w:val="nil"/>
              <w:bottom w:val="nil"/>
            </w:tcBorders>
            <w:vAlign w:val="center"/>
          </w:tcPr>
          <w:p w14:paraId="3B478CB7">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强力霉素</w:t>
            </w:r>
          </w:p>
        </w:tc>
        <w:tc>
          <w:tcPr>
            <w:tcW w:w="3357" w:type="dxa"/>
            <w:gridSpan w:val="2"/>
            <w:tcBorders>
              <w:top w:val="nil"/>
              <w:bottom w:val="nil"/>
            </w:tcBorders>
            <w:vAlign w:val="center"/>
          </w:tcPr>
          <w:p w14:paraId="70C2CC21">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色甘酸钠氟尼缩松(Flovent®)</w:t>
            </w:r>
          </w:p>
        </w:tc>
      </w:tr>
      <w:tr w14:paraId="1A57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75C82A69">
            <w:pPr>
              <w:pStyle w:val="55"/>
              <w:shd w:val="clear" w:color="auto" w:fill="auto"/>
              <w:adjustRightInd w:val="0"/>
              <w:snapToGrid w:val="0"/>
              <w:spacing w:line="300" w:lineRule="auto"/>
              <w:jc w:val="center"/>
              <w:rPr>
                <w:rFonts w:ascii="Arial" w:hAnsi="Arial" w:eastAsia="宋体" w:cs="Arial"/>
                <w:lang w:eastAsia="zh-CN"/>
              </w:rPr>
            </w:pPr>
          </w:p>
        </w:tc>
        <w:tc>
          <w:tcPr>
            <w:tcW w:w="3357" w:type="dxa"/>
            <w:gridSpan w:val="2"/>
            <w:tcBorders>
              <w:top w:val="nil"/>
              <w:bottom w:val="nil"/>
            </w:tcBorders>
            <w:vAlign w:val="center"/>
          </w:tcPr>
          <w:p w14:paraId="235649F1">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红霉素</w:t>
            </w:r>
          </w:p>
        </w:tc>
        <w:tc>
          <w:tcPr>
            <w:tcW w:w="3357" w:type="dxa"/>
            <w:gridSpan w:val="2"/>
            <w:tcBorders>
              <w:top w:val="nil"/>
              <w:bottom w:val="nil"/>
            </w:tcBorders>
            <w:vAlign w:val="center"/>
          </w:tcPr>
          <w:p w14:paraId="08A6250B">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N-乙酰半胱氨酸</w:t>
            </w:r>
          </w:p>
        </w:tc>
      </w:tr>
      <w:tr w14:paraId="4A69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25C4E1B9">
            <w:pPr>
              <w:pStyle w:val="55"/>
              <w:shd w:val="clear" w:color="auto" w:fill="auto"/>
              <w:adjustRightInd w:val="0"/>
              <w:snapToGrid w:val="0"/>
              <w:spacing w:line="300" w:lineRule="auto"/>
              <w:jc w:val="center"/>
              <w:rPr>
                <w:rFonts w:ascii="Arial" w:hAnsi="Arial" w:eastAsia="宋体" w:cs="Arial"/>
                <w:lang w:eastAsia="zh-CN"/>
              </w:rPr>
            </w:pPr>
          </w:p>
        </w:tc>
        <w:tc>
          <w:tcPr>
            <w:tcW w:w="3357" w:type="dxa"/>
            <w:gridSpan w:val="2"/>
            <w:tcBorders>
              <w:top w:val="nil"/>
              <w:bottom w:val="nil"/>
            </w:tcBorders>
            <w:vAlign w:val="center"/>
          </w:tcPr>
          <w:p w14:paraId="7F29CAD0">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硫酸庆大霉素</w:t>
            </w:r>
          </w:p>
        </w:tc>
        <w:tc>
          <w:tcPr>
            <w:tcW w:w="3357" w:type="dxa"/>
            <w:gridSpan w:val="2"/>
            <w:tcBorders>
              <w:top w:val="nil"/>
              <w:bottom w:val="nil"/>
            </w:tcBorders>
            <w:vAlign w:val="center"/>
          </w:tcPr>
          <w:p w14:paraId="17AC487B">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血液培养基</w:t>
            </w:r>
          </w:p>
        </w:tc>
      </w:tr>
      <w:tr w14:paraId="2B96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36B54A00">
            <w:pPr>
              <w:pStyle w:val="55"/>
              <w:shd w:val="clear" w:color="auto" w:fill="auto"/>
              <w:adjustRightInd w:val="0"/>
              <w:snapToGrid w:val="0"/>
              <w:spacing w:line="300" w:lineRule="auto"/>
              <w:jc w:val="center"/>
              <w:rPr>
                <w:rFonts w:ascii="Arial" w:hAnsi="Arial" w:eastAsia="宋体" w:cs="Arial"/>
                <w:lang w:eastAsia="zh-CN"/>
              </w:rPr>
            </w:pPr>
          </w:p>
        </w:tc>
        <w:tc>
          <w:tcPr>
            <w:tcW w:w="3357" w:type="dxa"/>
            <w:gridSpan w:val="2"/>
            <w:tcBorders>
              <w:top w:val="nil"/>
              <w:bottom w:val="nil"/>
            </w:tcBorders>
            <w:vAlign w:val="center"/>
          </w:tcPr>
          <w:p w14:paraId="11961691">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布洛芬</w:t>
            </w:r>
          </w:p>
        </w:tc>
        <w:tc>
          <w:tcPr>
            <w:tcW w:w="3357" w:type="dxa"/>
            <w:gridSpan w:val="2"/>
            <w:tcBorders>
              <w:top w:val="nil"/>
              <w:bottom w:val="nil"/>
            </w:tcBorders>
            <w:vAlign w:val="center"/>
          </w:tcPr>
          <w:p w14:paraId="473B029F">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羊血琼脂培养基</w:t>
            </w:r>
          </w:p>
        </w:tc>
      </w:tr>
      <w:tr w14:paraId="7724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1F2F241F">
            <w:pPr>
              <w:pStyle w:val="55"/>
              <w:shd w:val="clear" w:color="auto" w:fill="auto"/>
              <w:adjustRightInd w:val="0"/>
              <w:snapToGrid w:val="0"/>
              <w:spacing w:line="300" w:lineRule="auto"/>
              <w:jc w:val="center"/>
              <w:rPr>
                <w:rFonts w:ascii="Arial" w:hAnsi="Arial" w:eastAsia="宋体" w:cs="Arial"/>
                <w:lang w:eastAsia="zh-CN"/>
              </w:rPr>
            </w:pPr>
          </w:p>
        </w:tc>
        <w:tc>
          <w:tcPr>
            <w:tcW w:w="3357" w:type="dxa"/>
            <w:gridSpan w:val="2"/>
            <w:tcBorders>
              <w:top w:val="nil"/>
              <w:bottom w:val="nil"/>
            </w:tcBorders>
            <w:vAlign w:val="center"/>
          </w:tcPr>
          <w:p w14:paraId="12204DF3">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萘普生钠</w:t>
            </w:r>
          </w:p>
        </w:tc>
        <w:tc>
          <w:tcPr>
            <w:tcW w:w="3357" w:type="dxa"/>
            <w:gridSpan w:val="2"/>
            <w:tcBorders>
              <w:top w:val="nil"/>
              <w:bottom w:val="nil"/>
            </w:tcBorders>
            <w:vAlign w:val="center"/>
          </w:tcPr>
          <w:p w14:paraId="4707F97E">
            <w:pPr>
              <w:pStyle w:val="55"/>
              <w:shd w:val="clear" w:color="auto" w:fill="auto"/>
              <w:adjustRightInd w:val="0"/>
              <w:snapToGrid w:val="0"/>
              <w:spacing w:line="300" w:lineRule="auto"/>
              <w:jc w:val="center"/>
              <w:rPr>
                <w:rFonts w:ascii="Arial" w:hAnsi="Arial" w:eastAsia="宋体" w:cs="Arial"/>
                <w:lang w:eastAsia="zh-CN"/>
              </w:rPr>
            </w:pPr>
          </w:p>
        </w:tc>
      </w:tr>
      <w:tr w14:paraId="10D2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2E6B8377">
            <w:pPr>
              <w:pStyle w:val="55"/>
              <w:shd w:val="clear" w:color="auto" w:fill="auto"/>
              <w:adjustRightInd w:val="0"/>
              <w:snapToGrid w:val="0"/>
              <w:spacing w:line="300" w:lineRule="auto"/>
              <w:jc w:val="center"/>
              <w:rPr>
                <w:rFonts w:ascii="Arial" w:hAnsi="Arial" w:eastAsia="宋体" w:cs="Arial"/>
                <w:lang w:eastAsia="zh-CN"/>
              </w:rPr>
            </w:pPr>
          </w:p>
        </w:tc>
        <w:tc>
          <w:tcPr>
            <w:tcW w:w="3357" w:type="dxa"/>
            <w:gridSpan w:val="2"/>
            <w:tcBorders>
              <w:top w:val="nil"/>
              <w:bottom w:val="nil"/>
            </w:tcBorders>
            <w:vAlign w:val="center"/>
          </w:tcPr>
          <w:p w14:paraId="4D1A9DD9">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利福平</w:t>
            </w:r>
          </w:p>
        </w:tc>
        <w:tc>
          <w:tcPr>
            <w:tcW w:w="3357" w:type="dxa"/>
            <w:gridSpan w:val="2"/>
            <w:tcBorders>
              <w:top w:val="nil"/>
              <w:bottom w:val="nil"/>
            </w:tcBorders>
            <w:vAlign w:val="center"/>
          </w:tcPr>
          <w:p w14:paraId="59C15BA6">
            <w:pPr>
              <w:pStyle w:val="55"/>
              <w:shd w:val="clear" w:color="auto" w:fill="auto"/>
              <w:adjustRightInd w:val="0"/>
              <w:snapToGrid w:val="0"/>
              <w:spacing w:line="300" w:lineRule="auto"/>
              <w:jc w:val="center"/>
              <w:rPr>
                <w:rFonts w:ascii="Arial" w:hAnsi="Arial" w:eastAsia="宋体" w:cs="Arial"/>
                <w:lang w:eastAsia="zh-CN"/>
              </w:rPr>
            </w:pPr>
          </w:p>
        </w:tc>
      </w:tr>
      <w:tr w14:paraId="492E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5B641DBC">
            <w:pPr>
              <w:pStyle w:val="55"/>
              <w:shd w:val="clear" w:color="auto" w:fill="auto"/>
              <w:adjustRightInd w:val="0"/>
              <w:snapToGrid w:val="0"/>
              <w:spacing w:line="300" w:lineRule="auto"/>
              <w:jc w:val="center"/>
              <w:rPr>
                <w:rFonts w:ascii="Arial" w:hAnsi="Arial" w:eastAsia="宋体" w:cs="Arial"/>
                <w:lang w:eastAsia="zh-CN"/>
              </w:rPr>
            </w:pPr>
          </w:p>
        </w:tc>
        <w:tc>
          <w:tcPr>
            <w:tcW w:w="3357" w:type="dxa"/>
            <w:gridSpan w:val="2"/>
            <w:tcBorders>
              <w:top w:val="nil"/>
              <w:bottom w:val="nil"/>
            </w:tcBorders>
            <w:vAlign w:val="center"/>
          </w:tcPr>
          <w:p w14:paraId="63508D85">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链霉素</w:t>
            </w:r>
          </w:p>
        </w:tc>
        <w:tc>
          <w:tcPr>
            <w:tcW w:w="3357" w:type="dxa"/>
            <w:gridSpan w:val="2"/>
            <w:tcBorders>
              <w:top w:val="nil"/>
              <w:bottom w:val="nil"/>
            </w:tcBorders>
            <w:vAlign w:val="center"/>
          </w:tcPr>
          <w:p w14:paraId="377C3CB8">
            <w:pPr>
              <w:pStyle w:val="55"/>
              <w:shd w:val="clear" w:color="auto" w:fill="auto"/>
              <w:adjustRightInd w:val="0"/>
              <w:snapToGrid w:val="0"/>
              <w:spacing w:line="300" w:lineRule="auto"/>
              <w:jc w:val="center"/>
              <w:rPr>
                <w:rFonts w:ascii="Arial" w:hAnsi="Arial" w:eastAsia="宋体" w:cs="Arial"/>
                <w:lang w:eastAsia="zh-CN"/>
              </w:rPr>
            </w:pPr>
          </w:p>
        </w:tc>
      </w:tr>
      <w:tr w14:paraId="479B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621E687A">
            <w:pPr>
              <w:pStyle w:val="55"/>
              <w:shd w:val="clear" w:color="auto" w:fill="auto"/>
              <w:adjustRightInd w:val="0"/>
              <w:snapToGrid w:val="0"/>
              <w:spacing w:line="300" w:lineRule="auto"/>
              <w:jc w:val="center"/>
              <w:rPr>
                <w:rFonts w:ascii="Arial" w:hAnsi="Arial" w:eastAsia="宋体" w:cs="Arial"/>
                <w:lang w:eastAsia="zh-CN"/>
              </w:rPr>
            </w:pPr>
          </w:p>
        </w:tc>
        <w:tc>
          <w:tcPr>
            <w:tcW w:w="3357" w:type="dxa"/>
            <w:gridSpan w:val="2"/>
            <w:tcBorders>
              <w:top w:val="nil"/>
              <w:bottom w:val="nil"/>
            </w:tcBorders>
            <w:vAlign w:val="center"/>
          </w:tcPr>
          <w:p w14:paraId="2D68D31E">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磺胺甲恶唑</w:t>
            </w:r>
          </w:p>
        </w:tc>
        <w:tc>
          <w:tcPr>
            <w:tcW w:w="3357" w:type="dxa"/>
            <w:gridSpan w:val="2"/>
            <w:tcBorders>
              <w:top w:val="nil"/>
              <w:bottom w:val="nil"/>
            </w:tcBorders>
            <w:vAlign w:val="center"/>
          </w:tcPr>
          <w:p w14:paraId="49BC5C2E">
            <w:pPr>
              <w:pStyle w:val="55"/>
              <w:shd w:val="clear" w:color="auto" w:fill="auto"/>
              <w:adjustRightInd w:val="0"/>
              <w:snapToGrid w:val="0"/>
              <w:spacing w:line="300" w:lineRule="auto"/>
              <w:jc w:val="center"/>
              <w:rPr>
                <w:rFonts w:ascii="Arial" w:hAnsi="Arial" w:eastAsia="宋体" w:cs="Arial"/>
                <w:lang w:eastAsia="zh-CN"/>
              </w:rPr>
            </w:pPr>
          </w:p>
        </w:tc>
      </w:tr>
      <w:tr w14:paraId="6608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19A712AF">
            <w:pPr>
              <w:pStyle w:val="55"/>
              <w:shd w:val="clear" w:color="auto" w:fill="auto"/>
              <w:adjustRightInd w:val="0"/>
              <w:snapToGrid w:val="0"/>
              <w:spacing w:line="300" w:lineRule="auto"/>
              <w:jc w:val="center"/>
              <w:rPr>
                <w:rFonts w:ascii="Arial" w:hAnsi="Arial" w:eastAsia="宋体" w:cs="Arial"/>
                <w:lang w:eastAsia="zh-CN"/>
              </w:rPr>
            </w:pPr>
          </w:p>
        </w:tc>
        <w:tc>
          <w:tcPr>
            <w:tcW w:w="3357" w:type="dxa"/>
            <w:gridSpan w:val="2"/>
            <w:tcBorders>
              <w:top w:val="nil"/>
              <w:bottom w:val="nil"/>
            </w:tcBorders>
            <w:vAlign w:val="center"/>
          </w:tcPr>
          <w:p w14:paraId="689C5E86">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四环素</w:t>
            </w:r>
          </w:p>
        </w:tc>
        <w:tc>
          <w:tcPr>
            <w:tcW w:w="3357" w:type="dxa"/>
            <w:gridSpan w:val="2"/>
            <w:tcBorders>
              <w:top w:val="nil"/>
              <w:bottom w:val="nil"/>
            </w:tcBorders>
            <w:vAlign w:val="center"/>
          </w:tcPr>
          <w:p w14:paraId="5D6A34F3">
            <w:pPr>
              <w:pStyle w:val="55"/>
              <w:shd w:val="clear" w:color="auto" w:fill="auto"/>
              <w:adjustRightInd w:val="0"/>
              <w:snapToGrid w:val="0"/>
              <w:spacing w:line="300" w:lineRule="auto"/>
              <w:jc w:val="center"/>
              <w:rPr>
                <w:rFonts w:ascii="Arial" w:hAnsi="Arial" w:eastAsia="宋体" w:cs="Arial"/>
                <w:lang w:eastAsia="zh-CN"/>
              </w:rPr>
            </w:pPr>
          </w:p>
        </w:tc>
      </w:tr>
      <w:tr w14:paraId="038F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177772BC">
            <w:pPr>
              <w:pStyle w:val="55"/>
              <w:shd w:val="clear" w:color="auto" w:fill="auto"/>
              <w:adjustRightInd w:val="0"/>
              <w:snapToGrid w:val="0"/>
              <w:spacing w:line="300" w:lineRule="auto"/>
              <w:jc w:val="center"/>
              <w:rPr>
                <w:rFonts w:ascii="Arial" w:hAnsi="Arial" w:eastAsia="宋体" w:cs="Arial"/>
                <w:lang w:eastAsia="zh-CN"/>
              </w:rPr>
            </w:pPr>
          </w:p>
        </w:tc>
        <w:tc>
          <w:tcPr>
            <w:tcW w:w="3357" w:type="dxa"/>
            <w:gridSpan w:val="2"/>
            <w:tcBorders>
              <w:top w:val="nil"/>
              <w:bottom w:val="nil"/>
            </w:tcBorders>
            <w:vAlign w:val="center"/>
          </w:tcPr>
          <w:p w14:paraId="757836CB">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lang w:eastAsia="zh-CN"/>
              </w:rPr>
              <w:t>妥布霉素</w:t>
            </w:r>
          </w:p>
        </w:tc>
        <w:tc>
          <w:tcPr>
            <w:tcW w:w="3357" w:type="dxa"/>
            <w:gridSpan w:val="2"/>
            <w:tcBorders>
              <w:top w:val="nil"/>
              <w:bottom w:val="nil"/>
            </w:tcBorders>
            <w:vAlign w:val="center"/>
          </w:tcPr>
          <w:p w14:paraId="4FB2D9E0">
            <w:pPr>
              <w:pStyle w:val="55"/>
              <w:shd w:val="clear" w:color="auto" w:fill="auto"/>
              <w:adjustRightInd w:val="0"/>
              <w:snapToGrid w:val="0"/>
              <w:spacing w:line="300" w:lineRule="auto"/>
              <w:jc w:val="center"/>
              <w:rPr>
                <w:rFonts w:ascii="Arial" w:hAnsi="Arial" w:eastAsia="宋体" w:cs="Arial"/>
                <w:lang w:eastAsia="zh-CN"/>
              </w:rPr>
            </w:pPr>
          </w:p>
        </w:tc>
      </w:tr>
      <w:tr w14:paraId="2590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tcBorders>
            <w:vAlign w:val="center"/>
          </w:tcPr>
          <w:p w14:paraId="32DF8CBD">
            <w:pPr>
              <w:pStyle w:val="55"/>
              <w:shd w:val="clear" w:color="auto" w:fill="auto"/>
              <w:adjustRightInd w:val="0"/>
              <w:snapToGrid w:val="0"/>
              <w:spacing w:line="300" w:lineRule="auto"/>
              <w:jc w:val="center"/>
              <w:rPr>
                <w:rFonts w:ascii="Arial" w:hAnsi="Arial" w:eastAsia="宋体" w:cs="Arial"/>
                <w:lang w:eastAsia="zh-CN"/>
              </w:rPr>
            </w:pPr>
          </w:p>
        </w:tc>
        <w:tc>
          <w:tcPr>
            <w:tcW w:w="3357" w:type="dxa"/>
            <w:gridSpan w:val="2"/>
            <w:tcBorders>
              <w:top w:val="nil"/>
            </w:tcBorders>
            <w:vAlign w:val="center"/>
          </w:tcPr>
          <w:p w14:paraId="41AB76E9">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甲氧苄氨嘧啶</w:t>
            </w:r>
          </w:p>
        </w:tc>
        <w:tc>
          <w:tcPr>
            <w:tcW w:w="3357" w:type="dxa"/>
            <w:gridSpan w:val="2"/>
            <w:tcBorders>
              <w:top w:val="nil"/>
            </w:tcBorders>
            <w:vAlign w:val="center"/>
          </w:tcPr>
          <w:p w14:paraId="749151AE">
            <w:pPr>
              <w:pStyle w:val="55"/>
              <w:shd w:val="clear" w:color="auto" w:fill="auto"/>
              <w:adjustRightInd w:val="0"/>
              <w:snapToGrid w:val="0"/>
              <w:spacing w:line="300" w:lineRule="auto"/>
              <w:jc w:val="center"/>
              <w:rPr>
                <w:rFonts w:ascii="Arial" w:hAnsi="Arial" w:eastAsia="宋体" w:cs="Arial"/>
                <w:lang w:eastAsia="zh-CN"/>
              </w:rPr>
            </w:pPr>
          </w:p>
        </w:tc>
      </w:tr>
      <w:tr w14:paraId="3F4C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bottom w:val="single" w:color="auto" w:sz="4" w:space="0"/>
            </w:tcBorders>
            <w:vAlign w:val="center"/>
          </w:tcPr>
          <w:p w14:paraId="67114EC0">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溶剂*</w:t>
            </w:r>
          </w:p>
        </w:tc>
        <w:tc>
          <w:tcPr>
            <w:tcW w:w="6714" w:type="dxa"/>
            <w:gridSpan w:val="4"/>
            <w:tcBorders>
              <w:bottom w:val="single" w:color="auto" w:sz="4" w:space="0"/>
            </w:tcBorders>
            <w:vAlign w:val="center"/>
          </w:tcPr>
          <w:p w14:paraId="0124FB76">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技术特异性物质</w:t>
            </w:r>
          </w:p>
        </w:tc>
      </w:tr>
      <w:tr w14:paraId="77EA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bottom w:val="nil"/>
            </w:tcBorders>
            <w:vAlign w:val="center"/>
          </w:tcPr>
          <w:p w14:paraId="76B8CE64">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丙酮</w:t>
            </w:r>
          </w:p>
        </w:tc>
        <w:tc>
          <w:tcPr>
            <w:tcW w:w="2238" w:type="dxa"/>
            <w:tcBorders>
              <w:bottom w:val="nil"/>
            </w:tcBorders>
            <w:vAlign w:val="center"/>
          </w:tcPr>
          <w:p w14:paraId="3A51B3ED">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漂白剂</w:t>
            </w:r>
          </w:p>
        </w:tc>
        <w:tc>
          <w:tcPr>
            <w:tcW w:w="2238" w:type="dxa"/>
            <w:gridSpan w:val="2"/>
            <w:tcBorders>
              <w:bottom w:val="nil"/>
            </w:tcBorders>
            <w:vAlign w:val="center"/>
          </w:tcPr>
          <w:p w14:paraId="5BC64BAA">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IT 1-2-3™ kit</w:t>
            </w:r>
          </w:p>
        </w:tc>
        <w:tc>
          <w:tcPr>
            <w:tcW w:w="2238" w:type="dxa"/>
            <w:tcBorders>
              <w:bottom w:val="nil"/>
            </w:tcBorders>
          </w:tcPr>
          <w:p w14:paraId="244A8131">
            <w:pPr>
              <w:pStyle w:val="25"/>
              <w:shd w:val="clear" w:color="auto" w:fill="auto"/>
              <w:adjustRightInd w:val="0"/>
              <w:snapToGrid w:val="0"/>
              <w:spacing w:before="0" w:line="300" w:lineRule="auto"/>
              <w:ind w:firstLine="0"/>
              <w:jc w:val="center"/>
              <w:rPr>
                <w:rFonts w:ascii="Arial" w:hAnsi="Arial" w:eastAsia="宋体" w:cs="Arial"/>
                <w:lang w:eastAsia="zh-CN"/>
              </w:rPr>
            </w:pPr>
            <w:r>
              <w:rPr>
                <w:rStyle w:val="51"/>
                <w:rFonts w:ascii="Arial" w:hAnsi="Arial" w:eastAsia="宋体" w:cs="Arial"/>
              </w:rPr>
              <w:t>QIAGEN Buffer AL</w:t>
            </w:r>
          </w:p>
        </w:tc>
      </w:tr>
      <w:tr w14:paraId="5B02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3A2C20C1">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DMSO</w:t>
            </w:r>
          </w:p>
        </w:tc>
        <w:tc>
          <w:tcPr>
            <w:tcW w:w="2238" w:type="dxa"/>
            <w:tcBorders>
              <w:top w:val="nil"/>
              <w:bottom w:val="nil"/>
            </w:tcBorders>
            <w:vAlign w:val="center"/>
          </w:tcPr>
          <w:p w14:paraId="4CF43AC9">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DNA</w:t>
            </w:r>
            <w:r>
              <w:rPr>
                <w:rFonts w:ascii="Arial" w:hAnsi="Arial" w:eastAsia="宋体" w:cs="Arial"/>
                <w:i/>
                <w:lang w:eastAsia="zh-CN"/>
              </w:rPr>
              <w:t>Zap</w:t>
            </w:r>
          </w:p>
        </w:tc>
        <w:tc>
          <w:tcPr>
            <w:tcW w:w="2238" w:type="dxa"/>
            <w:gridSpan w:val="2"/>
            <w:tcBorders>
              <w:top w:val="nil"/>
              <w:bottom w:val="nil"/>
            </w:tcBorders>
            <w:vAlign w:val="center"/>
          </w:tcPr>
          <w:p w14:paraId="0E66C551">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缓冲液1</w:t>
            </w:r>
          </w:p>
        </w:tc>
        <w:tc>
          <w:tcPr>
            <w:tcW w:w="2238" w:type="dxa"/>
            <w:tcBorders>
              <w:top w:val="nil"/>
              <w:bottom w:val="nil"/>
            </w:tcBorders>
            <w:vAlign w:val="center"/>
          </w:tcPr>
          <w:p w14:paraId="6EB9A1AB">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QIAGEN Buffer</w:t>
            </w:r>
          </w:p>
        </w:tc>
      </w:tr>
      <w:tr w14:paraId="752B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6FBF13C2">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乙醇</w:t>
            </w:r>
          </w:p>
        </w:tc>
        <w:tc>
          <w:tcPr>
            <w:tcW w:w="2238" w:type="dxa"/>
            <w:tcBorders>
              <w:top w:val="nil"/>
              <w:bottom w:val="nil"/>
            </w:tcBorders>
            <w:vAlign w:val="center"/>
          </w:tcPr>
          <w:p w14:paraId="17D010EA">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Snap n’ Digest</w:t>
            </w:r>
          </w:p>
        </w:tc>
        <w:tc>
          <w:tcPr>
            <w:tcW w:w="2238" w:type="dxa"/>
            <w:gridSpan w:val="2"/>
            <w:tcBorders>
              <w:top w:val="nil"/>
              <w:bottom w:val="nil"/>
            </w:tcBorders>
            <w:vAlign w:val="center"/>
          </w:tcPr>
          <w:p w14:paraId="7928BAFA">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IT 1-2-3™ kit</w:t>
            </w:r>
          </w:p>
        </w:tc>
        <w:tc>
          <w:tcPr>
            <w:tcW w:w="2238" w:type="dxa"/>
            <w:tcBorders>
              <w:top w:val="nil"/>
              <w:bottom w:val="nil"/>
            </w:tcBorders>
            <w:vAlign w:val="center"/>
          </w:tcPr>
          <w:p w14:paraId="511DE409">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AW1</w:t>
            </w:r>
          </w:p>
        </w:tc>
      </w:tr>
      <w:tr w14:paraId="6BF7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515D783E">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NH</w:t>
            </w:r>
            <w:r>
              <w:rPr>
                <w:rStyle w:val="51"/>
                <w:rFonts w:ascii="Arial" w:hAnsi="Arial" w:eastAsia="宋体" w:cs="Arial"/>
                <w:vertAlign w:val="subscript"/>
              </w:rPr>
              <w:t>4</w:t>
            </w:r>
            <w:r>
              <w:rPr>
                <w:rStyle w:val="51"/>
                <w:rFonts w:ascii="Arial" w:hAnsi="Arial" w:eastAsia="宋体" w:cs="Arial"/>
              </w:rPr>
              <w:t>OH</w:t>
            </w:r>
          </w:p>
        </w:tc>
        <w:tc>
          <w:tcPr>
            <w:tcW w:w="2238" w:type="dxa"/>
            <w:tcBorders>
              <w:top w:val="nil"/>
              <w:bottom w:val="nil"/>
            </w:tcBorders>
            <w:vAlign w:val="center"/>
          </w:tcPr>
          <w:p w14:paraId="527B95DA">
            <w:pPr>
              <w:pStyle w:val="55"/>
              <w:shd w:val="clear" w:color="auto" w:fill="auto"/>
              <w:adjustRightInd w:val="0"/>
              <w:snapToGrid w:val="0"/>
              <w:spacing w:line="300" w:lineRule="auto"/>
              <w:jc w:val="center"/>
              <w:rPr>
                <w:rFonts w:ascii="Arial" w:hAnsi="Arial" w:eastAsia="宋体" w:cs="Arial"/>
                <w:lang w:eastAsia="zh-CN"/>
              </w:rPr>
            </w:pPr>
          </w:p>
        </w:tc>
        <w:tc>
          <w:tcPr>
            <w:tcW w:w="2238" w:type="dxa"/>
            <w:gridSpan w:val="2"/>
            <w:tcBorders>
              <w:top w:val="nil"/>
              <w:bottom w:val="nil"/>
            </w:tcBorders>
            <w:vAlign w:val="center"/>
          </w:tcPr>
          <w:p w14:paraId="4E5C9015">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缓冲液1A</w:t>
            </w:r>
          </w:p>
        </w:tc>
        <w:tc>
          <w:tcPr>
            <w:tcW w:w="2238" w:type="dxa"/>
            <w:tcBorders>
              <w:top w:val="nil"/>
              <w:bottom w:val="nil"/>
            </w:tcBorders>
            <w:vAlign w:val="center"/>
          </w:tcPr>
          <w:p w14:paraId="178C2EC4">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QIAGEN Buffer</w:t>
            </w:r>
          </w:p>
        </w:tc>
      </w:tr>
      <w:tr w14:paraId="2E63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37CC85B7">
            <w:pPr>
              <w:pStyle w:val="55"/>
              <w:shd w:val="clear" w:color="auto" w:fill="auto"/>
              <w:adjustRightInd w:val="0"/>
              <w:snapToGrid w:val="0"/>
              <w:spacing w:line="300" w:lineRule="auto"/>
              <w:jc w:val="center"/>
              <w:rPr>
                <w:rFonts w:ascii="Arial" w:hAnsi="Arial" w:eastAsia="宋体" w:cs="Arial"/>
                <w:lang w:eastAsia="zh-CN"/>
              </w:rPr>
            </w:pPr>
          </w:p>
        </w:tc>
        <w:tc>
          <w:tcPr>
            <w:tcW w:w="2238" w:type="dxa"/>
            <w:tcBorders>
              <w:top w:val="nil"/>
              <w:bottom w:val="nil"/>
            </w:tcBorders>
            <w:vAlign w:val="center"/>
          </w:tcPr>
          <w:p w14:paraId="12A646D1">
            <w:pPr>
              <w:pStyle w:val="55"/>
              <w:shd w:val="clear" w:color="auto" w:fill="auto"/>
              <w:adjustRightInd w:val="0"/>
              <w:snapToGrid w:val="0"/>
              <w:spacing w:line="300" w:lineRule="auto"/>
              <w:jc w:val="center"/>
              <w:rPr>
                <w:rFonts w:ascii="Arial" w:hAnsi="Arial" w:eastAsia="宋体" w:cs="Arial"/>
                <w:lang w:eastAsia="zh-CN"/>
              </w:rPr>
            </w:pPr>
          </w:p>
        </w:tc>
        <w:tc>
          <w:tcPr>
            <w:tcW w:w="2238" w:type="dxa"/>
            <w:gridSpan w:val="2"/>
            <w:tcBorders>
              <w:top w:val="nil"/>
              <w:bottom w:val="nil"/>
            </w:tcBorders>
            <w:vAlign w:val="center"/>
          </w:tcPr>
          <w:p w14:paraId="6F6DD20F">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IT 1-2-3™ kit</w:t>
            </w:r>
          </w:p>
        </w:tc>
        <w:tc>
          <w:tcPr>
            <w:tcW w:w="2238" w:type="dxa"/>
            <w:tcBorders>
              <w:top w:val="nil"/>
              <w:bottom w:val="nil"/>
            </w:tcBorders>
            <w:vAlign w:val="center"/>
          </w:tcPr>
          <w:p w14:paraId="42401910">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AW1 (w/o EtOH)</w:t>
            </w:r>
          </w:p>
        </w:tc>
      </w:tr>
      <w:tr w14:paraId="4411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6BDA204C">
            <w:pPr>
              <w:pStyle w:val="55"/>
              <w:shd w:val="clear" w:color="auto" w:fill="auto"/>
              <w:adjustRightInd w:val="0"/>
              <w:snapToGrid w:val="0"/>
              <w:spacing w:line="300" w:lineRule="auto"/>
              <w:jc w:val="center"/>
              <w:rPr>
                <w:rFonts w:ascii="Arial" w:hAnsi="Arial" w:eastAsia="宋体" w:cs="Arial"/>
                <w:lang w:eastAsia="zh-CN"/>
              </w:rPr>
            </w:pPr>
          </w:p>
        </w:tc>
        <w:tc>
          <w:tcPr>
            <w:tcW w:w="2238" w:type="dxa"/>
            <w:tcBorders>
              <w:top w:val="nil"/>
              <w:bottom w:val="nil"/>
            </w:tcBorders>
            <w:vAlign w:val="center"/>
          </w:tcPr>
          <w:p w14:paraId="0E1C9213">
            <w:pPr>
              <w:pStyle w:val="55"/>
              <w:shd w:val="clear" w:color="auto" w:fill="auto"/>
              <w:adjustRightInd w:val="0"/>
              <w:snapToGrid w:val="0"/>
              <w:spacing w:line="300" w:lineRule="auto"/>
              <w:jc w:val="center"/>
              <w:rPr>
                <w:rFonts w:ascii="Arial" w:hAnsi="Arial" w:eastAsia="宋体" w:cs="Arial"/>
                <w:lang w:eastAsia="zh-CN"/>
              </w:rPr>
            </w:pPr>
          </w:p>
        </w:tc>
        <w:tc>
          <w:tcPr>
            <w:tcW w:w="2238" w:type="dxa"/>
            <w:gridSpan w:val="2"/>
            <w:tcBorders>
              <w:top w:val="nil"/>
              <w:bottom w:val="nil"/>
            </w:tcBorders>
            <w:vAlign w:val="center"/>
          </w:tcPr>
          <w:p w14:paraId="162BE8AE">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缓冲液1B</w:t>
            </w:r>
          </w:p>
        </w:tc>
        <w:tc>
          <w:tcPr>
            <w:tcW w:w="2238" w:type="dxa"/>
            <w:tcBorders>
              <w:top w:val="nil"/>
              <w:bottom w:val="nil"/>
            </w:tcBorders>
            <w:vAlign w:val="center"/>
          </w:tcPr>
          <w:p w14:paraId="42F827CA">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QIAGEN Buffer</w:t>
            </w:r>
          </w:p>
        </w:tc>
      </w:tr>
      <w:tr w14:paraId="657C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450760B5">
            <w:pPr>
              <w:pStyle w:val="55"/>
              <w:shd w:val="clear" w:color="auto" w:fill="auto"/>
              <w:adjustRightInd w:val="0"/>
              <w:snapToGrid w:val="0"/>
              <w:spacing w:line="300" w:lineRule="auto"/>
              <w:jc w:val="center"/>
              <w:rPr>
                <w:rFonts w:ascii="Arial" w:hAnsi="Arial" w:eastAsia="宋体" w:cs="Arial"/>
                <w:lang w:eastAsia="zh-CN"/>
              </w:rPr>
            </w:pPr>
          </w:p>
        </w:tc>
        <w:tc>
          <w:tcPr>
            <w:tcW w:w="2238" w:type="dxa"/>
            <w:tcBorders>
              <w:top w:val="nil"/>
              <w:bottom w:val="nil"/>
            </w:tcBorders>
            <w:vAlign w:val="center"/>
          </w:tcPr>
          <w:p w14:paraId="5AACAFBB">
            <w:pPr>
              <w:pStyle w:val="55"/>
              <w:shd w:val="clear" w:color="auto" w:fill="auto"/>
              <w:adjustRightInd w:val="0"/>
              <w:snapToGrid w:val="0"/>
              <w:spacing w:line="300" w:lineRule="auto"/>
              <w:jc w:val="center"/>
              <w:rPr>
                <w:rFonts w:ascii="Arial" w:hAnsi="Arial" w:eastAsia="宋体" w:cs="Arial"/>
                <w:lang w:eastAsia="zh-CN"/>
              </w:rPr>
            </w:pPr>
          </w:p>
        </w:tc>
        <w:tc>
          <w:tcPr>
            <w:tcW w:w="2238" w:type="dxa"/>
            <w:gridSpan w:val="2"/>
            <w:tcBorders>
              <w:top w:val="nil"/>
              <w:bottom w:val="nil"/>
            </w:tcBorders>
            <w:vAlign w:val="center"/>
          </w:tcPr>
          <w:p w14:paraId="0BE774BD">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IT 1-2-3™ kit</w:t>
            </w:r>
          </w:p>
        </w:tc>
        <w:tc>
          <w:tcPr>
            <w:tcW w:w="2238" w:type="dxa"/>
            <w:tcBorders>
              <w:top w:val="nil"/>
              <w:bottom w:val="nil"/>
            </w:tcBorders>
            <w:vAlign w:val="center"/>
          </w:tcPr>
          <w:p w14:paraId="39ACD266">
            <w:pPr>
              <w:pStyle w:val="25"/>
              <w:shd w:val="clear" w:color="auto" w:fill="auto"/>
              <w:adjustRightInd w:val="0"/>
              <w:snapToGrid w:val="0"/>
              <w:spacing w:before="0" w:line="300" w:lineRule="auto"/>
              <w:ind w:firstLine="0"/>
              <w:jc w:val="center"/>
              <w:rPr>
                <w:rFonts w:ascii="Arial" w:hAnsi="Arial" w:eastAsia="宋体" w:cs="Arial"/>
                <w:lang w:eastAsia="zh-CN"/>
              </w:rPr>
            </w:pPr>
            <w:r>
              <w:rPr>
                <w:rStyle w:val="51"/>
                <w:rFonts w:ascii="Arial" w:hAnsi="Arial" w:eastAsia="宋体" w:cs="Arial"/>
              </w:rPr>
              <w:t>AW</w:t>
            </w:r>
          </w:p>
        </w:tc>
      </w:tr>
      <w:tr w14:paraId="28E2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225A8AF0">
            <w:pPr>
              <w:pStyle w:val="55"/>
              <w:shd w:val="clear" w:color="auto" w:fill="auto"/>
              <w:adjustRightInd w:val="0"/>
              <w:snapToGrid w:val="0"/>
              <w:spacing w:line="300" w:lineRule="auto"/>
              <w:jc w:val="center"/>
              <w:rPr>
                <w:rFonts w:ascii="Arial" w:hAnsi="Arial" w:eastAsia="宋体" w:cs="Arial"/>
                <w:lang w:eastAsia="zh-CN"/>
              </w:rPr>
            </w:pPr>
          </w:p>
        </w:tc>
        <w:tc>
          <w:tcPr>
            <w:tcW w:w="2238" w:type="dxa"/>
            <w:tcBorders>
              <w:top w:val="nil"/>
              <w:bottom w:val="nil"/>
            </w:tcBorders>
            <w:vAlign w:val="center"/>
          </w:tcPr>
          <w:p w14:paraId="68A95006">
            <w:pPr>
              <w:pStyle w:val="55"/>
              <w:shd w:val="clear" w:color="auto" w:fill="auto"/>
              <w:adjustRightInd w:val="0"/>
              <w:snapToGrid w:val="0"/>
              <w:spacing w:line="300" w:lineRule="auto"/>
              <w:jc w:val="center"/>
              <w:rPr>
                <w:rFonts w:ascii="Arial" w:hAnsi="Arial" w:eastAsia="宋体" w:cs="Arial"/>
                <w:lang w:eastAsia="zh-CN"/>
              </w:rPr>
            </w:pPr>
          </w:p>
        </w:tc>
        <w:tc>
          <w:tcPr>
            <w:tcW w:w="2238" w:type="dxa"/>
            <w:gridSpan w:val="2"/>
            <w:tcBorders>
              <w:top w:val="nil"/>
              <w:bottom w:val="nil"/>
            </w:tcBorders>
            <w:vAlign w:val="center"/>
          </w:tcPr>
          <w:p w14:paraId="31333894">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缓冲液1C</w:t>
            </w:r>
          </w:p>
        </w:tc>
        <w:tc>
          <w:tcPr>
            <w:tcW w:w="2238" w:type="dxa"/>
            <w:tcBorders>
              <w:top w:val="nil"/>
              <w:bottom w:val="nil"/>
            </w:tcBorders>
            <w:vAlign w:val="center"/>
          </w:tcPr>
          <w:p w14:paraId="2CEEAAD0">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QIAGEN Buffer</w:t>
            </w:r>
          </w:p>
        </w:tc>
      </w:tr>
      <w:tr w14:paraId="22BD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bottom w:val="nil"/>
            </w:tcBorders>
            <w:vAlign w:val="center"/>
          </w:tcPr>
          <w:p w14:paraId="0BE9FAC8">
            <w:pPr>
              <w:pStyle w:val="55"/>
              <w:shd w:val="clear" w:color="auto" w:fill="auto"/>
              <w:adjustRightInd w:val="0"/>
              <w:snapToGrid w:val="0"/>
              <w:spacing w:line="300" w:lineRule="auto"/>
              <w:jc w:val="center"/>
              <w:rPr>
                <w:rFonts w:ascii="Arial" w:hAnsi="Arial" w:eastAsia="宋体" w:cs="Arial"/>
                <w:lang w:eastAsia="zh-CN"/>
              </w:rPr>
            </w:pPr>
          </w:p>
        </w:tc>
        <w:tc>
          <w:tcPr>
            <w:tcW w:w="2238" w:type="dxa"/>
            <w:tcBorders>
              <w:top w:val="nil"/>
              <w:bottom w:val="nil"/>
            </w:tcBorders>
            <w:vAlign w:val="center"/>
          </w:tcPr>
          <w:p w14:paraId="0C459966">
            <w:pPr>
              <w:pStyle w:val="55"/>
              <w:shd w:val="clear" w:color="auto" w:fill="auto"/>
              <w:adjustRightInd w:val="0"/>
              <w:snapToGrid w:val="0"/>
              <w:spacing w:line="300" w:lineRule="auto"/>
              <w:jc w:val="center"/>
              <w:rPr>
                <w:rFonts w:ascii="Arial" w:hAnsi="Arial" w:eastAsia="宋体" w:cs="Arial"/>
                <w:lang w:eastAsia="zh-CN"/>
              </w:rPr>
            </w:pPr>
          </w:p>
        </w:tc>
        <w:tc>
          <w:tcPr>
            <w:tcW w:w="2238" w:type="dxa"/>
            <w:gridSpan w:val="2"/>
            <w:tcBorders>
              <w:top w:val="nil"/>
              <w:bottom w:val="nil"/>
            </w:tcBorders>
            <w:vAlign w:val="center"/>
          </w:tcPr>
          <w:p w14:paraId="4F4D270B">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IT 1-2-3™ kit</w:t>
            </w:r>
          </w:p>
        </w:tc>
        <w:tc>
          <w:tcPr>
            <w:tcW w:w="2238" w:type="dxa"/>
            <w:tcBorders>
              <w:top w:val="nil"/>
              <w:bottom w:val="nil"/>
            </w:tcBorders>
            <w:vAlign w:val="center"/>
          </w:tcPr>
          <w:p w14:paraId="60EFACB6">
            <w:pPr>
              <w:pStyle w:val="55"/>
              <w:shd w:val="clear" w:color="auto" w:fill="auto"/>
              <w:adjustRightInd w:val="0"/>
              <w:snapToGrid w:val="0"/>
              <w:spacing w:line="300" w:lineRule="auto"/>
              <w:jc w:val="center"/>
              <w:rPr>
                <w:rFonts w:ascii="Arial" w:hAnsi="Arial" w:eastAsia="宋体" w:cs="Arial"/>
                <w:lang w:eastAsia="zh-CN"/>
              </w:rPr>
            </w:pPr>
            <w:r>
              <w:rPr>
                <w:rStyle w:val="51"/>
                <w:rFonts w:ascii="Arial" w:hAnsi="Arial" w:eastAsia="宋体" w:cs="Arial"/>
              </w:rPr>
              <w:t>AW2 (w/o EtOH)</w:t>
            </w:r>
          </w:p>
        </w:tc>
      </w:tr>
      <w:tr w14:paraId="269D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Borders>
              <w:top w:val="nil"/>
            </w:tcBorders>
            <w:vAlign w:val="center"/>
          </w:tcPr>
          <w:p w14:paraId="73F27758">
            <w:pPr>
              <w:pStyle w:val="55"/>
              <w:shd w:val="clear" w:color="auto" w:fill="auto"/>
              <w:adjustRightInd w:val="0"/>
              <w:snapToGrid w:val="0"/>
              <w:spacing w:line="300" w:lineRule="auto"/>
              <w:jc w:val="center"/>
              <w:rPr>
                <w:rFonts w:ascii="Arial" w:hAnsi="Arial" w:eastAsia="宋体" w:cs="Arial"/>
                <w:lang w:eastAsia="zh-CN"/>
              </w:rPr>
            </w:pPr>
          </w:p>
        </w:tc>
        <w:tc>
          <w:tcPr>
            <w:tcW w:w="2238" w:type="dxa"/>
            <w:tcBorders>
              <w:top w:val="nil"/>
            </w:tcBorders>
            <w:vAlign w:val="center"/>
          </w:tcPr>
          <w:p w14:paraId="0AF9F467">
            <w:pPr>
              <w:pStyle w:val="55"/>
              <w:shd w:val="clear" w:color="auto" w:fill="auto"/>
              <w:adjustRightInd w:val="0"/>
              <w:snapToGrid w:val="0"/>
              <w:spacing w:line="300" w:lineRule="auto"/>
              <w:jc w:val="center"/>
              <w:rPr>
                <w:rFonts w:ascii="Arial" w:hAnsi="Arial" w:eastAsia="宋体" w:cs="Arial"/>
                <w:lang w:eastAsia="zh-CN"/>
              </w:rPr>
            </w:pPr>
          </w:p>
        </w:tc>
        <w:tc>
          <w:tcPr>
            <w:tcW w:w="2238" w:type="dxa"/>
            <w:gridSpan w:val="2"/>
            <w:tcBorders>
              <w:top w:val="nil"/>
            </w:tcBorders>
            <w:vAlign w:val="center"/>
          </w:tcPr>
          <w:p w14:paraId="44E85AD4">
            <w:pPr>
              <w:pStyle w:val="55"/>
              <w:shd w:val="clear" w:color="auto" w:fill="auto"/>
              <w:adjustRightInd w:val="0"/>
              <w:snapToGrid w:val="0"/>
              <w:spacing w:line="300" w:lineRule="auto"/>
              <w:jc w:val="center"/>
              <w:rPr>
                <w:rFonts w:ascii="Arial" w:hAnsi="Arial" w:eastAsia="宋体" w:cs="Arial"/>
                <w:lang w:eastAsia="zh-CN"/>
              </w:rPr>
            </w:pPr>
            <w:r>
              <w:rPr>
                <w:rFonts w:ascii="Arial" w:hAnsi="Arial" w:eastAsia="宋体" w:cs="Arial"/>
                <w:lang w:eastAsia="zh-CN"/>
              </w:rPr>
              <w:t>缓冲液2</w:t>
            </w:r>
          </w:p>
        </w:tc>
        <w:tc>
          <w:tcPr>
            <w:tcW w:w="2238" w:type="dxa"/>
            <w:tcBorders>
              <w:top w:val="nil"/>
            </w:tcBorders>
            <w:vAlign w:val="center"/>
          </w:tcPr>
          <w:p w14:paraId="03BCDED1">
            <w:pPr>
              <w:pStyle w:val="55"/>
              <w:shd w:val="clear" w:color="auto" w:fill="auto"/>
              <w:adjustRightInd w:val="0"/>
              <w:snapToGrid w:val="0"/>
              <w:spacing w:line="300" w:lineRule="auto"/>
              <w:jc w:val="center"/>
              <w:rPr>
                <w:rFonts w:ascii="Arial" w:hAnsi="Arial" w:eastAsia="宋体" w:cs="Arial"/>
                <w:lang w:eastAsia="zh-CN"/>
              </w:rPr>
            </w:pPr>
          </w:p>
        </w:tc>
      </w:tr>
    </w:tbl>
    <w:p w14:paraId="1D7A5C5B">
      <w:pPr>
        <w:snapToGrid w:val="0"/>
        <w:spacing w:line="300" w:lineRule="auto"/>
        <w:jc w:val="both"/>
        <w:rPr>
          <w:rFonts w:ascii="Arial" w:hAnsi="Arial" w:eastAsia="宋体" w:cs="Arial"/>
          <w:sz w:val="2"/>
          <w:szCs w:val="2"/>
          <w:lang w:eastAsia="zh-CN"/>
        </w:rPr>
      </w:pPr>
    </w:p>
    <w:p w14:paraId="14F7F097">
      <w:pPr>
        <w:snapToGrid w:val="0"/>
        <w:spacing w:line="300" w:lineRule="auto"/>
        <w:jc w:val="both"/>
        <w:rPr>
          <w:rFonts w:ascii="Arial" w:hAnsi="Arial" w:eastAsia="宋体" w:cs="Arial"/>
          <w:sz w:val="2"/>
          <w:szCs w:val="2"/>
          <w:lang w:eastAsia="zh-CN"/>
        </w:rPr>
      </w:pPr>
    </w:p>
    <w:p w14:paraId="3022F9ED">
      <w:pPr>
        <w:pStyle w:val="25"/>
        <w:shd w:val="clear" w:color="auto" w:fill="auto"/>
        <w:snapToGrid w:val="0"/>
        <w:spacing w:before="0" w:after="20" w:line="300" w:lineRule="auto"/>
        <w:ind w:firstLine="0"/>
        <w:jc w:val="both"/>
        <w:rPr>
          <w:rFonts w:ascii="Arial" w:hAnsi="Arial" w:eastAsia="宋体" w:cs="Arial"/>
          <w:lang w:eastAsia="zh-CN"/>
        </w:rPr>
      </w:pPr>
      <w:r>
        <w:rPr>
          <w:rFonts w:ascii="Arial" w:hAnsi="Arial" w:eastAsia="宋体" w:cs="Arial"/>
          <w:lang w:eastAsia="zh-CN"/>
        </w:rPr>
        <w:t>*这些溶剂用于溶解潜在的干扰物质，为检测做准备。</w:t>
      </w:r>
    </w:p>
    <w:p w14:paraId="5B289498">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贵公司的研究应包括培养物年龄和生长培养基对来自培养物（固体或液体）的特异性抗体和核酸试剂检测的影响， 结果应包括在包装说明书的</w:t>
      </w:r>
      <w:r>
        <w:rPr>
          <w:rFonts w:ascii="Arial" w:hAnsi="Arial" w:eastAsia="宋体" w:cs="Arial"/>
          <w:b/>
          <w:lang w:eastAsia="zh-CN"/>
        </w:rPr>
        <w:t>性能特征</w:t>
      </w:r>
      <w:r>
        <w:rPr>
          <w:rFonts w:ascii="Arial" w:hAnsi="Arial" w:eastAsia="宋体" w:cs="Arial"/>
          <w:lang w:eastAsia="zh-CN"/>
        </w:rPr>
        <w:t>项下，也可以作为限制性声明告知用户，培养物超过特定的天数就可能会导致假阴性结果。</w:t>
      </w:r>
    </w:p>
    <w:p w14:paraId="7861FBEB">
      <w:pPr>
        <w:pStyle w:val="47"/>
        <w:keepNext/>
        <w:keepLines/>
        <w:shd w:val="clear" w:color="auto" w:fill="auto"/>
        <w:tabs>
          <w:tab w:val="left" w:pos="1144"/>
        </w:tabs>
        <w:snapToGrid w:val="0"/>
        <w:spacing w:beforeLines="100" w:after="20" w:line="300" w:lineRule="auto"/>
        <w:jc w:val="both"/>
        <w:rPr>
          <w:rFonts w:ascii="Arial" w:hAnsi="Arial" w:eastAsia="宋体" w:cs="Arial"/>
          <w:lang w:eastAsia="zh-CN"/>
        </w:rPr>
      </w:pPr>
      <w:r>
        <w:rPr>
          <w:rFonts w:ascii="Arial" w:hAnsi="Arial" w:eastAsia="宋体" w:cs="Arial"/>
          <w:lang w:eastAsia="zh-CN"/>
        </w:rPr>
        <w:t>（4）培养物接种密度对使用噬菌体试剂的结果的影响（使用平皿法的噬菌体测定）</w:t>
      </w:r>
    </w:p>
    <w:p w14:paraId="54E09A7B">
      <w:pPr>
        <w:pStyle w:val="25"/>
        <w:shd w:val="clear" w:color="auto" w:fill="auto"/>
        <w:snapToGrid w:val="0"/>
        <w:spacing w:before="0" w:after="235" w:line="300" w:lineRule="auto"/>
        <w:ind w:firstLine="0"/>
        <w:jc w:val="both"/>
        <w:rPr>
          <w:rFonts w:ascii="Arial" w:hAnsi="Arial" w:eastAsia="宋体" w:cs="Arial"/>
          <w:lang w:eastAsia="zh-CN"/>
        </w:rPr>
      </w:pPr>
      <w:r>
        <w:rPr>
          <w:rFonts w:ascii="Arial" w:hAnsi="Arial" w:eastAsia="宋体" w:cs="Arial"/>
          <w:lang w:eastAsia="zh-CN"/>
        </w:rPr>
        <w:t>我们建议贵公司进行研究以证明在使用噬菌体的特异性测定时，是否存在由于培养物接种量过多而造成假阴性检测结果的风险。一种技术可通过划线培养以分离出不明确的培养物，再将噬菌体加入到平皿上不同接种量的区域。还应评估噬菌体的滴度和噬菌体试剂的稳定性。</w:t>
      </w:r>
    </w:p>
    <w:p w14:paraId="533EAADF">
      <w:pPr>
        <w:pStyle w:val="23"/>
        <w:keepNext/>
        <w:keepLines/>
        <w:shd w:val="clear" w:color="auto" w:fill="auto"/>
        <w:tabs>
          <w:tab w:val="left" w:pos="370"/>
        </w:tabs>
        <w:snapToGrid w:val="0"/>
        <w:spacing w:before="0" w:after="0" w:line="300" w:lineRule="auto"/>
        <w:jc w:val="both"/>
        <w:rPr>
          <w:rFonts w:ascii="Arial" w:hAnsi="Arial" w:eastAsia="宋体" w:cs="Arial"/>
          <w:lang w:eastAsia="zh-CN"/>
        </w:rPr>
      </w:pPr>
      <w:r>
        <w:rPr>
          <w:rFonts w:ascii="Arial" w:hAnsi="Arial" w:eastAsia="宋体" w:cs="Arial"/>
          <w:lang w:eastAsia="zh-CN"/>
        </w:rPr>
        <w:t>B．临床信息</w:t>
      </w:r>
    </w:p>
    <w:p w14:paraId="6FA0620D">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本指南针对从疑似感染的个体中收集的临床样本，用于检测繁殖体和孢子。然而，临床样本中不可能只有孢子存在（可能除了皮肤损伤之外）。</w:t>
      </w:r>
    </w:p>
    <w:p w14:paraId="45AD1DC2">
      <w:pPr>
        <w:pStyle w:val="25"/>
        <w:shd w:val="clear" w:color="auto" w:fill="auto"/>
        <w:snapToGrid w:val="0"/>
        <w:spacing w:before="0" w:line="300" w:lineRule="auto"/>
        <w:ind w:firstLine="0"/>
        <w:jc w:val="both"/>
        <w:rPr>
          <w:rFonts w:ascii="Arial" w:hAnsi="Arial" w:eastAsia="宋体" w:cs="Arial"/>
          <w:lang w:eastAsia="zh-CN"/>
        </w:rPr>
      </w:pPr>
    </w:p>
    <w:p w14:paraId="3BFBF7B2">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对于该器械所适用的检测，贵公司应该提供信息以证明该器械用于检测每种类型的临床样本中的芽孢杆菌的可靠性。一般来说，当可用于临床检测的人类临床样本数量非常少或不存在时，食品药品监督管理局上市前审查的可用证据可能需要从分析研究而非临床研究中获得；加样法(加入人类样品和/或动物样品)可能是适当的。在这种情况下，设计良好的分析研究尤为关键。动物研究可在适当时作为补充分析研究的选项。性能评估应该是对于已知存在或不存在表征的芽孢杆菌属，或是对于培养物生长的明确鉴定。可能需要多个检测和方法去适当地鉴定/表征通过培养方法从人类样本中回收的芽孢杆菌或直接在人类样本中检测到的芽孢杆菌。</w:t>
      </w:r>
    </w:p>
    <w:p w14:paraId="01028036">
      <w:pPr>
        <w:pStyle w:val="25"/>
        <w:shd w:val="clear" w:color="auto" w:fill="auto"/>
        <w:snapToGrid w:val="0"/>
        <w:spacing w:before="0" w:line="300" w:lineRule="auto"/>
        <w:ind w:firstLine="0"/>
        <w:jc w:val="both"/>
        <w:rPr>
          <w:rFonts w:ascii="Arial" w:hAnsi="Arial" w:eastAsia="宋体" w:cs="Arial"/>
          <w:lang w:eastAsia="zh-CN"/>
        </w:rPr>
      </w:pPr>
    </w:p>
    <w:p w14:paraId="7E5C251C">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我们建议贵公司还应提供来自预期使用人群（例如，发热性疾病或皮肤损伤的患者）的检测样本的数据。因为在前瞻性评估中并未对炭疽进行预期，所以这些数据不应作为特异性结果，而是与预期的阴性结果一致。</w:t>
      </w:r>
    </w:p>
    <w:p w14:paraId="3E5EB6CB">
      <w:pPr>
        <w:pStyle w:val="25"/>
        <w:shd w:val="clear" w:color="auto" w:fill="auto"/>
        <w:snapToGrid w:val="0"/>
        <w:spacing w:before="0" w:line="300" w:lineRule="auto"/>
        <w:ind w:firstLine="0"/>
        <w:jc w:val="both"/>
        <w:rPr>
          <w:rFonts w:ascii="Arial" w:hAnsi="Arial" w:eastAsia="宋体" w:cs="Arial"/>
          <w:lang w:eastAsia="zh-CN"/>
        </w:rPr>
      </w:pPr>
    </w:p>
    <w:p w14:paraId="5AD4F402">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对于用于鉴定培养菌的分离或生长的器械，只要研究中采用的培养菌储液可以合理地代表新鲜菌液和检测条件(如，在5%绵羊血琼脂玻片上生长12-18小时），临床评价就不适用。</w:t>
      </w:r>
    </w:p>
    <w:p w14:paraId="0E654697">
      <w:pPr>
        <w:pStyle w:val="36"/>
        <w:keepNext/>
        <w:keepLines/>
        <w:shd w:val="clear" w:color="auto" w:fill="auto"/>
        <w:tabs>
          <w:tab w:val="left" w:pos="1200"/>
        </w:tabs>
        <w:snapToGrid w:val="0"/>
        <w:spacing w:before="240" w:beforeLines="100" w:after="20" w:line="300" w:lineRule="auto"/>
        <w:ind w:firstLine="0"/>
        <w:jc w:val="both"/>
        <w:rPr>
          <w:rFonts w:ascii="Arial" w:hAnsi="Arial" w:eastAsia="宋体" w:cs="Arial"/>
          <w:lang w:eastAsia="zh-CN"/>
        </w:rPr>
      </w:pPr>
      <w:r>
        <w:rPr>
          <w:rFonts w:ascii="Arial" w:hAnsi="Arial" w:eastAsia="宋体" w:cs="Arial"/>
          <w:lang w:eastAsia="zh-CN"/>
        </w:rPr>
        <w:t>8. 标签</w:t>
      </w:r>
    </w:p>
    <w:p w14:paraId="17D6D37F">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用于芽孢杆菌检测的IVD器械与其它器械一样，受制于标签的法定要求（FD&amp;C法案第502（a），201（n）; 21 USC§§352（a），321（n）节）。这些器械的标签必须提供充分的使用说明和充分的警告和注意事项。（第502节（f）; 21 USC§352（f））。在21 CFR 809.10中提出了对于 所有IVD器械的特定标签要求。</w:t>
      </w:r>
    </w:p>
    <w:p w14:paraId="6FF1CD43">
      <w:pPr>
        <w:pStyle w:val="25"/>
        <w:shd w:val="clear" w:color="auto" w:fill="auto"/>
        <w:snapToGrid w:val="0"/>
        <w:spacing w:before="0" w:line="300" w:lineRule="auto"/>
        <w:ind w:firstLine="0"/>
        <w:jc w:val="both"/>
        <w:rPr>
          <w:rFonts w:ascii="Arial" w:hAnsi="Arial" w:eastAsia="宋体" w:cs="Arial"/>
          <w:lang w:eastAsia="zh-CN"/>
        </w:rPr>
      </w:pPr>
    </w:p>
    <w:p w14:paraId="4DB54F6B">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上市前通告必须包括足够详细的标签，以满足21 CFR 807.87（e）的要求。体外诊断器械的最终标签在进入州际贸易之前必须符合21 CFR 809.10的要求；然而，通过510（k）时不要求有最终标签。</w:t>
      </w:r>
    </w:p>
    <w:p w14:paraId="4D9B4716">
      <w:pPr>
        <w:pStyle w:val="25"/>
        <w:shd w:val="clear" w:color="auto" w:fill="auto"/>
        <w:snapToGrid w:val="0"/>
        <w:spacing w:before="0" w:line="300" w:lineRule="auto"/>
        <w:ind w:firstLine="0"/>
        <w:jc w:val="both"/>
        <w:rPr>
          <w:rFonts w:ascii="Arial" w:hAnsi="Arial" w:eastAsia="宋体" w:cs="Arial"/>
          <w:lang w:eastAsia="zh-CN"/>
        </w:rPr>
      </w:pPr>
    </w:p>
    <w:p w14:paraId="7C81F454">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确保符合FD&amp;C法案第502节和21 C.F.R. 809.10，食品药品监督管理局建议在芽孢杆菌检测的IVD器械标签中说明以下规定的项目。这些标签建议还有助于降低本指南此前确定的风险，从而有助于确保安全有效地使用这些器械。</w:t>
      </w:r>
    </w:p>
    <w:p w14:paraId="04D80118">
      <w:pPr>
        <w:pStyle w:val="23"/>
        <w:keepNext/>
        <w:keepLines/>
        <w:shd w:val="clear" w:color="auto" w:fill="auto"/>
        <w:tabs>
          <w:tab w:val="left" w:pos="874"/>
        </w:tabs>
        <w:snapToGrid w:val="0"/>
        <w:spacing w:before="0" w:after="0" w:line="300" w:lineRule="auto"/>
        <w:jc w:val="both"/>
        <w:rPr>
          <w:rFonts w:ascii="Arial" w:hAnsi="Arial" w:eastAsia="宋体" w:cs="Arial"/>
          <w:lang w:eastAsia="zh-CN"/>
        </w:rPr>
      </w:pPr>
      <w:r>
        <w:rPr>
          <w:rFonts w:ascii="Arial" w:hAnsi="Arial" w:eastAsia="宋体" w:cs="Arial"/>
          <w:lang w:eastAsia="zh-CN"/>
        </w:rPr>
        <w:t>A. 预期用途</w:t>
      </w:r>
    </w:p>
    <w:p w14:paraId="10EE759D">
      <w:pPr>
        <w:pStyle w:val="25"/>
        <w:shd w:val="clear" w:color="auto" w:fill="auto"/>
        <w:snapToGrid w:val="0"/>
        <w:spacing w:before="0" w:after="240" w:line="300" w:lineRule="auto"/>
        <w:ind w:firstLine="0"/>
        <w:jc w:val="both"/>
        <w:rPr>
          <w:rFonts w:ascii="Arial" w:hAnsi="Arial" w:eastAsia="宋体" w:cs="Arial"/>
          <w:lang w:eastAsia="zh-CN"/>
        </w:rPr>
      </w:pPr>
      <w:r>
        <w:rPr>
          <w:rFonts w:ascii="Arial" w:hAnsi="Arial" w:eastAsia="宋体" w:cs="Arial"/>
          <w:lang w:eastAsia="zh-CN"/>
        </w:rPr>
        <w:t>明确的使用说明是至关重要的。我们建议贵公司应在预期用途的陈述中纳入预期的样本类型，进行的是定性、半定量还是定量检测，检测方法以及指定的患者群体和其他使用条件。</w:t>
      </w:r>
    </w:p>
    <w:p w14:paraId="16D66F6A">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贵公司还应在预期用途项下提供如下声明：</w:t>
      </w:r>
    </w:p>
    <w:p w14:paraId="7591B023">
      <w:pPr>
        <w:pStyle w:val="25"/>
        <w:shd w:val="clear" w:color="auto" w:fill="auto"/>
        <w:snapToGrid w:val="0"/>
        <w:spacing w:before="0" w:after="240" w:line="300" w:lineRule="auto"/>
        <w:ind w:left="894" w:leftChars="371" w:hanging="4" w:hangingChars="2"/>
        <w:jc w:val="both"/>
        <w:rPr>
          <w:rFonts w:ascii="Arial" w:hAnsi="Arial" w:eastAsia="宋体" w:cs="Arial"/>
          <w:lang w:eastAsia="zh-CN"/>
        </w:rPr>
      </w:pPr>
      <w:r>
        <w:rPr>
          <w:rFonts w:ascii="Arial" w:hAnsi="Arial" w:eastAsia="宋体" w:cs="Arial"/>
          <w:lang w:eastAsia="zh-CN"/>
        </w:rPr>
        <w:t>“在有经验的人员的实验室使用，这些人员需接受过微生物培养鉴定方法的使用和传染病诊断原则的培训，并有适当的生物安全性设备和生物防范。”</w:t>
      </w:r>
    </w:p>
    <w:p w14:paraId="3C4C0F51">
      <w:pPr>
        <w:pStyle w:val="23"/>
        <w:keepNext/>
        <w:keepLines/>
        <w:shd w:val="clear" w:color="auto" w:fill="auto"/>
        <w:tabs>
          <w:tab w:val="left" w:pos="868"/>
        </w:tabs>
        <w:snapToGrid w:val="0"/>
        <w:spacing w:before="0" w:after="0" w:line="300" w:lineRule="auto"/>
        <w:jc w:val="both"/>
        <w:rPr>
          <w:rFonts w:ascii="Arial" w:hAnsi="Arial" w:eastAsia="宋体" w:cs="Arial"/>
          <w:lang w:eastAsia="zh-CN"/>
        </w:rPr>
      </w:pPr>
      <w:r>
        <w:rPr>
          <w:rFonts w:ascii="Arial" w:hAnsi="Arial" w:eastAsia="宋体" w:cs="Arial"/>
          <w:lang w:eastAsia="zh-CN"/>
        </w:rPr>
        <w:t>B. 使用说明</w:t>
      </w:r>
    </w:p>
    <w:p w14:paraId="63476BB6">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我们建议贵公司在使用说明中提出以下内容：</w:t>
      </w:r>
    </w:p>
    <w:p w14:paraId="08DB59CB">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强调试剂的适当储存条件，并指出对温度、湿度和/或光敏感的试剂。</w:t>
      </w:r>
    </w:p>
    <w:p w14:paraId="4DD7CE67">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当检测需要芽孢杆菌的培养物时，指定要检测的生长培养基的适当类型、孵育条件和孵育时长（包括最短和最长孵育时间）。</w:t>
      </w:r>
    </w:p>
    <w:p w14:paraId="1400C8C1">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对于在产品中提供的对照试剂，以及在产品中未提供但检测时需要的或推荐使用的对照品，应提供说明。受控的检测过程的每个方面均需说明，提供对照试剂检测的可接受值，并给出选择该值的理由。</w:t>
      </w:r>
    </w:p>
    <w:p w14:paraId="047F8E82">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对于样本的处理和检测程序，应提供生物安全性预防措施的指导，详细说明在哪些步骤供试品是没有传染性的。</w:t>
      </w:r>
    </w:p>
    <w:p w14:paraId="31CA1D5E">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对于在检测过程中依赖于抗原/抗体反应的产品，应包括降低假阴性检测结果风险的建议，该结果由前带或钩状效应所致。</w:t>
      </w:r>
    </w:p>
    <w:p w14:paraId="7140ACB5">
      <w:pPr>
        <w:pStyle w:val="23"/>
        <w:keepNext/>
        <w:keepLines/>
        <w:shd w:val="clear" w:color="auto" w:fill="auto"/>
        <w:tabs>
          <w:tab w:val="left" w:pos="883"/>
        </w:tabs>
        <w:snapToGrid w:val="0"/>
        <w:spacing w:before="0" w:after="0" w:line="300" w:lineRule="auto"/>
        <w:jc w:val="both"/>
        <w:rPr>
          <w:rFonts w:ascii="Arial" w:hAnsi="Arial" w:eastAsia="宋体" w:cs="Arial"/>
          <w:lang w:eastAsia="zh-CN"/>
        </w:rPr>
      </w:pPr>
      <w:r>
        <w:rPr>
          <w:rFonts w:ascii="Arial" w:hAnsi="Arial" w:eastAsia="宋体" w:cs="Arial"/>
          <w:lang w:eastAsia="zh-CN"/>
        </w:rPr>
        <w:t>C. 注意事项</w:t>
      </w:r>
    </w:p>
    <w:p w14:paraId="5273264C">
      <w:pPr>
        <w:pStyle w:val="25"/>
        <w:shd w:val="clear" w:color="auto" w:fill="auto"/>
        <w:snapToGrid w:val="0"/>
        <w:spacing w:before="0" w:after="235" w:line="300" w:lineRule="auto"/>
        <w:ind w:firstLine="0"/>
        <w:jc w:val="both"/>
        <w:rPr>
          <w:rFonts w:ascii="Arial" w:hAnsi="Arial" w:eastAsia="宋体" w:cs="Arial"/>
          <w:lang w:eastAsia="zh-CN"/>
        </w:rPr>
      </w:pPr>
      <w:r>
        <w:rPr>
          <w:rFonts w:ascii="Arial" w:hAnsi="Arial" w:eastAsia="宋体" w:cs="Arial"/>
          <w:lang w:eastAsia="zh-CN"/>
        </w:rPr>
        <w:t>我们建议贵公司在包装说明书的注意事项部分包括以下类型的声明：“对检测结果的解释需要使用有经验的临床人员，这些人员需接受过微生物培养鉴定方法的使用和传染病诊断原则的培训，对炭疽芽孢杆菌的鉴定有必要的报告意识，可与地方或州公共卫生主任进行配合。”</w:t>
      </w:r>
    </w:p>
    <w:p w14:paraId="554FEA8A">
      <w:pPr>
        <w:pStyle w:val="23"/>
        <w:keepNext/>
        <w:keepLines/>
        <w:shd w:val="clear" w:color="auto" w:fill="auto"/>
        <w:tabs>
          <w:tab w:val="left" w:pos="887"/>
        </w:tabs>
        <w:snapToGrid w:val="0"/>
        <w:spacing w:before="0" w:after="20" w:line="300" w:lineRule="auto"/>
        <w:jc w:val="both"/>
        <w:rPr>
          <w:rFonts w:ascii="Arial" w:hAnsi="Arial" w:eastAsia="宋体" w:cs="Arial"/>
          <w:lang w:eastAsia="zh-CN"/>
        </w:rPr>
      </w:pPr>
    </w:p>
    <w:p w14:paraId="2B8491B7">
      <w:pPr>
        <w:pStyle w:val="23"/>
        <w:keepNext/>
        <w:keepLines/>
        <w:shd w:val="clear" w:color="auto" w:fill="auto"/>
        <w:tabs>
          <w:tab w:val="left" w:pos="887"/>
        </w:tabs>
        <w:snapToGrid w:val="0"/>
        <w:spacing w:before="0" w:after="20" w:line="300" w:lineRule="auto"/>
        <w:jc w:val="both"/>
        <w:rPr>
          <w:rFonts w:ascii="Arial" w:hAnsi="Arial" w:eastAsia="宋体" w:cs="Arial"/>
          <w:lang w:eastAsia="zh-CN"/>
        </w:rPr>
      </w:pPr>
      <w:r>
        <w:rPr>
          <w:rFonts w:ascii="Arial" w:hAnsi="Arial" w:eastAsia="宋体" w:cs="Arial"/>
          <w:lang w:eastAsia="zh-CN"/>
        </w:rPr>
        <w:t>D.检测结果的解释和报告</w:t>
      </w:r>
    </w:p>
    <w:p w14:paraId="1F893403">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我们建议贵公司应包括以下内容：</w:t>
      </w:r>
    </w:p>
    <w:p w14:paraId="0A0F32BE">
      <w:pPr>
        <w:rPr>
          <w:rFonts w:ascii="Arial" w:hAnsi="Arial" w:eastAsia="宋体" w:cs="Arial"/>
          <w:lang w:eastAsia="zh-CN"/>
        </w:rPr>
      </w:pPr>
      <w:r>
        <w:rPr>
          <w:rFonts w:ascii="Arial" w:hAnsi="Arial" w:eastAsia="宋体" w:cs="Arial"/>
          <w:lang w:eastAsia="zh-CN"/>
        </w:rPr>
        <w:br w:type="page"/>
      </w:r>
    </w:p>
    <w:p w14:paraId="5C9C89FE">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我们建议贵公司对每个可能的检测结果进行定义：例如，阳性、不明确或不确定、阴性，贵公司还应描述操作者应该如何解释这些检测结果，并给出对照品的可接受/拒绝标准。如果对照品的结果不可接受，还应提供如何继续进行的建议。</w:t>
      </w:r>
    </w:p>
    <w:p w14:paraId="47BB83D1">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我们建议贵公司提供清晰准确的标准，以评估检测结果为阳性、阴性、或不明确/不确定。我们推荐使用图图片和/或图表来说明如何解释定性检测的结果。此外，我们建议贵公司应根据从文献或其他来源获得的可靠资料，提供炭疽芽孢杆菌鉴定的可能性（对于培养物鉴定试剂）、感染的可能性（对于检测特异性抗炭疽芽孢杆菌抗体的试剂）或炭疽芽孢杆菌存在的可能性（对于直接在患者的样本中检测炭疽芽孢杆菌的试剂）。</w:t>
      </w:r>
    </w:p>
    <w:p w14:paraId="6E497341">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对于依赖抗原/抗体相互作用来检测细菌细胞组分或细菌产物的试验，应包括对于减少因初始接种密度欠佳所致的假阴性检测结果风险的建议。</w:t>
      </w:r>
    </w:p>
    <w:p w14:paraId="3350256D">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检测完整细菌或细菌产物的试验，对于样品中含有孢子或仅含有繁殖体，可能产生不同的结果。标签中应描述结果，并根据需要使用图片和图表，来表明样品中含有孢子时的预期结果。</w:t>
      </w:r>
    </w:p>
    <w:p w14:paraId="13FC7EC4">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对于检测炭疽芽孢杆菌抗体反应的试验，贵公司应包括一个关于阳性试验的解释以及它如何不能最终确定近期的感染的警告性声明，因为使用炭疽疫苗进行免疫的人，在未经任何自然暴露于炭疽芽孢杆菌的情况下，使用该项检测可能结果为阳性。标签中还应该说明，在炭疽芽孢杆菌自然感染的早期进行的抗生素治疗，可以降低抗体应答，因而可能在该项检测中会出现阴性结果。</w:t>
      </w:r>
    </w:p>
    <w:p w14:paraId="102DC0EE">
      <w:pPr>
        <w:pStyle w:val="25"/>
        <w:shd w:val="clear" w:color="auto" w:fill="auto"/>
        <w:snapToGrid w:val="0"/>
        <w:spacing w:before="0" w:after="235" w:line="300" w:lineRule="auto"/>
        <w:ind w:firstLine="0"/>
        <w:jc w:val="both"/>
        <w:rPr>
          <w:rFonts w:ascii="Arial" w:hAnsi="Arial" w:eastAsia="宋体" w:cs="Arial"/>
          <w:lang w:eastAsia="zh-CN"/>
        </w:rPr>
      </w:pPr>
      <w:r>
        <w:rPr>
          <w:rFonts w:ascii="Arial" w:hAnsi="Arial" w:eastAsia="宋体" w:cs="Arial"/>
          <w:lang w:eastAsia="zh-CN"/>
        </w:rPr>
        <w:t>标签中应包括一项声明，说明炭疽芽孢杆菌是国家法定的传染病，必须根据州和当地法律向公共卫生当局报告。用户应确认其所在地区的报告要求，如果怀疑有炭疽芽孢杆菌或炭疽病，应通知其所在的州或地方公共卫生实验室、疾病控制和预防中心以及根据认证指南认定的任何其他机构。</w:t>
      </w:r>
    </w:p>
    <w:p w14:paraId="09C87481">
      <w:pPr>
        <w:pStyle w:val="23"/>
        <w:keepNext/>
        <w:keepLines/>
        <w:shd w:val="clear" w:color="auto" w:fill="auto"/>
        <w:tabs>
          <w:tab w:val="left" w:pos="850"/>
        </w:tabs>
        <w:snapToGrid w:val="0"/>
        <w:spacing w:before="0" w:after="20" w:line="300" w:lineRule="auto"/>
        <w:jc w:val="both"/>
        <w:rPr>
          <w:rFonts w:ascii="Arial" w:hAnsi="Arial" w:eastAsia="宋体" w:cs="Arial"/>
          <w:lang w:eastAsia="zh-CN"/>
        </w:rPr>
      </w:pPr>
      <w:r>
        <w:rPr>
          <w:rFonts w:ascii="Arial" w:hAnsi="Arial" w:eastAsia="宋体" w:cs="Arial"/>
          <w:lang w:eastAsia="zh-CN"/>
        </w:rPr>
        <w:t>E.性能特征</w:t>
      </w:r>
    </w:p>
    <w:p w14:paraId="3E96B417">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我们建议贵公司在包装说明书中列入第6节中所描述的研究设计和研究结果的总结，以帮助用户解释检测结果。这包括了临床和分析性能的特征。如果未使用来自具有炭疽症状和体征的个体的标本来对测定进行评估，则应当指导用户在可以使用这些前瞻性收集的临床标本时，确定该检测的临床灵敏度。贵公司应列出阴性协定/临床特异性的数据，并向用户明确指出。</w:t>
      </w:r>
    </w:p>
    <w:p w14:paraId="2BCA579D">
      <w:pPr>
        <w:rPr>
          <w:rFonts w:ascii="Arial" w:hAnsi="Arial" w:eastAsia="宋体" w:cs="Arial"/>
          <w:lang w:eastAsia="zh-CN"/>
        </w:rPr>
      </w:pPr>
      <w:r>
        <w:rPr>
          <w:rFonts w:ascii="Arial" w:hAnsi="Arial" w:eastAsia="宋体" w:cs="Arial"/>
          <w:lang w:eastAsia="zh-CN"/>
        </w:rPr>
        <w:br w:type="page"/>
      </w:r>
    </w:p>
    <w:p w14:paraId="61B67502">
      <w:pPr>
        <w:pStyle w:val="36"/>
        <w:keepNext/>
        <w:keepLines/>
        <w:shd w:val="clear" w:color="auto" w:fill="auto"/>
        <w:tabs>
          <w:tab w:val="left" w:pos="1194"/>
        </w:tabs>
        <w:snapToGrid w:val="0"/>
        <w:spacing w:before="0" w:after="20" w:line="300" w:lineRule="auto"/>
        <w:ind w:firstLine="0"/>
        <w:jc w:val="both"/>
        <w:rPr>
          <w:rFonts w:ascii="Arial" w:hAnsi="Arial" w:eastAsia="宋体" w:cs="Arial"/>
          <w:lang w:eastAsia="zh-CN"/>
        </w:rPr>
      </w:pPr>
      <w:r>
        <w:rPr>
          <w:rFonts w:ascii="Arial" w:hAnsi="Arial" w:eastAsia="宋体" w:cs="Arial"/>
          <w:lang w:eastAsia="zh-CN"/>
        </w:rPr>
        <w:t>9.使用核酸扩增的芽孢杆菌器械的具体考虑</w:t>
      </w:r>
    </w:p>
    <w:p w14:paraId="6B7B9BE4">
      <w:pPr>
        <w:pStyle w:val="25"/>
        <w:shd w:val="clear" w:color="auto" w:fill="auto"/>
        <w:snapToGrid w:val="0"/>
        <w:spacing w:before="0" w:after="235" w:line="300" w:lineRule="auto"/>
        <w:ind w:firstLine="0"/>
        <w:jc w:val="both"/>
        <w:rPr>
          <w:rFonts w:ascii="Arial" w:hAnsi="Arial" w:eastAsia="宋体" w:cs="Arial"/>
          <w:lang w:eastAsia="zh-CN"/>
        </w:rPr>
      </w:pPr>
      <w:r>
        <w:rPr>
          <w:rFonts w:ascii="Arial" w:hAnsi="Arial" w:eastAsia="宋体" w:cs="Arial"/>
          <w:lang w:eastAsia="zh-CN"/>
        </w:rPr>
        <w:t>使用核酸扩增的芽孢杆菌检测器械，通过检测芽孢杆菌属特有的、可区分于其他病原微生物的核酸序列或区域，直接在人类样本和/或源自临床标本的血液或菌落培养物中，确定病原性芽孢杆菌的存在。这些器械包括用于扩增的引物、探针、酶和特异性对照品，且设计为用于特定的仪器系统。通过核酸扩增检测系统来检测芽孢杆菌，有助于在受到感染的患者中，结合其它实验室结果和临床表现，对炭疽芽孢杆菌做出明确鉴定。以下是适用于芽孢杆菌检测的此类IVD的具体考虑。</w:t>
      </w:r>
    </w:p>
    <w:p w14:paraId="681F7B32">
      <w:pPr>
        <w:pStyle w:val="23"/>
        <w:keepNext/>
        <w:keepLines/>
        <w:shd w:val="clear" w:color="auto" w:fill="auto"/>
        <w:snapToGrid w:val="0"/>
        <w:spacing w:before="0" w:after="20" w:line="300" w:lineRule="auto"/>
        <w:jc w:val="both"/>
        <w:rPr>
          <w:rFonts w:ascii="Arial" w:hAnsi="Arial" w:eastAsia="宋体" w:cs="Arial"/>
          <w:lang w:eastAsia="zh-CN"/>
        </w:rPr>
      </w:pPr>
      <w:r>
        <w:rPr>
          <w:rFonts w:ascii="Arial" w:hAnsi="Arial" w:eastAsia="宋体" w:cs="Arial"/>
          <w:lang w:eastAsia="zh-CN"/>
        </w:rPr>
        <w:t>A. 试剂和其他器械组件</w:t>
      </w:r>
    </w:p>
    <w:p w14:paraId="02612DCD">
      <w:pPr>
        <w:pStyle w:val="25"/>
        <w:shd w:val="clear" w:color="auto" w:fill="auto"/>
        <w:snapToGrid w:val="0"/>
        <w:spacing w:before="0" w:after="176" w:line="300" w:lineRule="auto"/>
        <w:ind w:firstLine="0"/>
        <w:jc w:val="both"/>
        <w:rPr>
          <w:rFonts w:ascii="Arial" w:hAnsi="Arial" w:eastAsia="宋体" w:cs="Arial"/>
          <w:lang w:eastAsia="zh-CN"/>
        </w:rPr>
      </w:pPr>
      <w:r>
        <w:rPr>
          <w:rFonts w:ascii="Arial" w:hAnsi="Arial" w:eastAsia="宋体" w:cs="Arial"/>
          <w:lang w:eastAsia="zh-CN"/>
        </w:rPr>
        <w:t>对于基于核酸扩增的器械，用于推定检测人类样本、或源自临床标本的血液或菌落培养物或液体培养物中的炭疽芽孢杆菌DNA，我们建议贵公司描述该器械为解决或降低出现假阴性或假阳性结果的风险所做的设计要求，这些结果与核酸检测过程中使用的引物、探针、仪器和对照品（用以检测来自炭疽芽孢杆菌的靶DNA片段）有关，举例如下：</w:t>
      </w:r>
    </w:p>
    <w:p w14:paraId="57A8919A">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设计成冻干套装的试剂或任何其他封闭式试管检测系统（如，自带试剂盒），以尽量减少由于污染或残留物造成的假阳性结果。</w:t>
      </w:r>
    </w:p>
    <w:p w14:paraId="3E8D9EE0">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设计一个或多个测定，以炭疽芽孢杆菌所特有的不同DNA序列为靶标。</w:t>
      </w:r>
    </w:p>
    <w:p w14:paraId="6749EB31">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开发阳性、阴性和抑制性对照品，以确保准确的检测结果。</w:t>
      </w:r>
    </w:p>
    <w:p w14:paraId="0753BCE3">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开发提取和纯化方法，用以从人体样本、血液、菌落培养物、或源自临床标本的液体培养物中得到适当质量和数量的DNA，与试剂一起用于检测系统。</w:t>
      </w:r>
    </w:p>
    <w:p w14:paraId="37CF0A1F">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优化试剂和所推荐仪器的检测程序。</w:t>
      </w:r>
    </w:p>
    <w:p w14:paraId="2BDCF157">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任何非标准器械或方法的插图或图片（如适用）。</w:t>
      </w:r>
    </w:p>
    <w:p w14:paraId="246DADE1">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在510（k）中，贵公司应提供性能信息，以支持满足设计要求的结论。我们建议贵公司提供选择特定DNA靶序列和选择引物及探针的理由（见</w:t>
      </w:r>
      <w:r>
        <w:rPr>
          <w:rFonts w:ascii="Arial" w:hAnsi="Arial" w:eastAsia="宋体" w:cs="Arial"/>
          <w:b/>
          <w:lang w:eastAsia="zh-CN"/>
        </w:rPr>
        <w:t>第6节 - 性能研究</w:t>
      </w:r>
      <w:r>
        <w:rPr>
          <w:rFonts w:ascii="Arial" w:hAnsi="Arial" w:eastAsia="宋体" w:cs="Arial"/>
          <w:lang w:eastAsia="zh-CN"/>
        </w:rPr>
        <w:t>）</w:t>
      </w:r>
    </w:p>
    <w:p w14:paraId="68770867">
      <w:pPr>
        <w:pStyle w:val="25"/>
        <w:shd w:val="clear" w:color="auto" w:fill="auto"/>
        <w:snapToGrid w:val="0"/>
        <w:spacing w:before="0" w:after="20" w:line="300" w:lineRule="auto"/>
        <w:ind w:firstLine="0"/>
        <w:jc w:val="both"/>
        <w:rPr>
          <w:rFonts w:ascii="Arial" w:hAnsi="Arial" w:eastAsia="宋体" w:cs="Arial"/>
          <w:lang w:eastAsia="zh-CN"/>
        </w:rPr>
      </w:pPr>
      <w:r>
        <w:rPr>
          <w:rFonts w:ascii="Arial" w:hAnsi="Arial" w:eastAsia="宋体" w:cs="Arial"/>
          <w:lang w:eastAsia="zh-CN"/>
        </w:rPr>
        <w:t>推荐用于每种样品类型的具体提取方法应在器械的包装说明书中按名称和目录号列出（见</w:t>
      </w:r>
      <w:r>
        <w:rPr>
          <w:rFonts w:ascii="Arial" w:hAnsi="Arial" w:eastAsia="宋体" w:cs="Arial"/>
          <w:b/>
          <w:lang w:eastAsia="zh-CN"/>
        </w:rPr>
        <w:t>第7节 - 标签</w:t>
      </w:r>
      <w:r>
        <w:rPr>
          <w:rFonts w:ascii="Arial" w:hAnsi="Arial" w:eastAsia="宋体" w:cs="Arial"/>
          <w:lang w:eastAsia="zh-CN"/>
        </w:rPr>
        <w:t>）。</w:t>
      </w:r>
    </w:p>
    <w:p w14:paraId="489B9ACE">
      <w:pPr>
        <w:rPr>
          <w:rFonts w:ascii="Arial" w:hAnsi="Arial" w:eastAsia="宋体" w:cs="Arial"/>
          <w:lang w:eastAsia="zh-CN"/>
        </w:rPr>
      </w:pPr>
      <w:r>
        <w:rPr>
          <w:rFonts w:ascii="Arial" w:hAnsi="Arial" w:eastAsia="宋体" w:cs="Arial"/>
          <w:lang w:eastAsia="zh-CN"/>
        </w:rPr>
        <w:br w:type="page"/>
      </w:r>
    </w:p>
    <w:p w14:paraId="3DBF787E">
      <w:pPr>
        <w:pStyle w:val="23"/>
        <w:keepNext/>
        <w:keepLines/>
        <w:shd w:val="clear" w:color="auto" w:fill="auto"/>
        <w:tabs>
          <w:tab w:val="left" w:pos="890"/>
        </w:tabs>
        <w:snapToGrid w:val="0"/>
        <w:spacing w:before="0" w:after="20" w:line="300" w:lineRule="auto"/>
        <w:jc w:val="both"/>
        <w:rPr>
          <w:rFonts w:ascii="Arial" w:hAnsi="Arial" w:eastAsia="宋体" w:cs="Arial"/>
          <w:lang w:eastAsia="zh-CN"/>
        </w:rPr>
      </w:pPr>
      <w:r>
        <w:rPr>
          <w:rFonts w:ascii="Arial" w:hAnsi="Arial" w:eastAsia="宋体" w:cs="Arial"/>
          <w:lang w:eastAsia="zh-CN"/>
        </w:rPr>
        <w:t>B.检测程序</w:t>
      </w:r>
    </w:p>
    <w:p w14:paraId="708F741A">
      <w:pPr>
        <w:pStyle w:val="25"/>
        <w:shd w:val="clear" w:color="auto" w:fill="auto"/>
        <w:snapToGrid w:val="0"/>
        <w:spacing w:before="0" w:after="86" w:line="300" w:lineRule="auto"/>
        <w:ind w:firstLine="0"/>
        <w:jc w:val="both"/>
        <w:rPr>
          <w:rFonts w:ascii="Arial" w:hAnsi="Arial" w:eastAsia="宋体" w:cs="Arial"/>
          <w:lang w:eastAsia="zh-CN"/>
        </w:rPr>
      </w:pPr>
      <w:r>
        <w:rPr>
          <w:rFonts w:ascii="Arial" w:hAnsi="Arial" w:eastAsia="宋体" w:cs="Arial"/>
          <w:lang w:eastAsia="zh-CN"/>
        </w:rPr>
        <w:t>我们建议贵公司在510（k）申请中应包含以下信息：</w:t>
      </w:r>
    </w:p>
    <w:p w14:paraId="0FC1837B">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检测程序的整体设计，包括纳入推荐检测程序的控制元素。这些对照品应该接近临床相关的芽孢杆菌DNA水平的较低范围，并且应和临床样品同法提取。</w:t>
      </w:r>
    </w:p>
    <w:p w14:paraId="11D331FD">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对于额外的阳性和阴性的外部对照品和内部对照品(监控污染和提取效率)的开发、描述或建议（例如，一种内部对照品，是作为核酸提取和抑制的对照品）。产品特征和附加的控制，减少了未能识别的程序错误或因素（例如，主混合物的降解），其会对扩增和检测条件产生不利影响。</w:t>
      </w:r>
    </w:p>
    <w:p w14:paraId="40750E34">
      <w:pPr>
        <w:pStyle w:val="23"/>
        <w:keepNext/>
        <w:keepLines/>
        <w:shd w:val="clear" w:color="auto" w:fill="auto"/>
        <w:tabs>
          <w:tab w:val="left" w:pos="904"/>
        </w:tabs>
        <w:snapToGrid w:val="0"/>
        <w:spacing w:before="0" w:after="40" w:line="300" w:lineRule="auto"/>
        <w:jc w:val="both"/>
        <w:rPr>
          <w:rFonts w:ascii="Arial" w:hAnsi="Arial" w:eastAsia="宋体" w:cs="Arial"/>
          <w:lang w:eastAsia="zh-CN"/>
        </w:rPr>
      </w:pPr>
      <w:r>
        <w:rPr>
          <w:rFonts w:ascii="Arial" w:hAnsi="Arial" w:eastAsia="宋体" w:cs="Arial"/>
          <w:lang w:eastAsia="zh-CN"/>
        </w:rPr>
        <w:t>C. 对照品</w:t>
      </w:r>
    </w:p>
    <w:p w14:paraId="44EA0CEA">
      <w:pPr>
        <w:pStyle w:val="25"/>
        <w:shd w:val="clear" w:color="auto" w:fill="auto"/>
        <w:snapToGrid w:val="0"/>
        <w:spacing w:before="0" w:after="20" w:line="300" w:lineRule="auto"/>
        <w:ind w:firstLine="0"/>
        <w:jc w:val="both"/>
        <w:rPr>
          <w:rFonts w:ascii="Arial" w:hAnsi="Arial" w:eastAsia="宋体" w:cs="Arial"/>
          <w:lang w:eastAsia="zh-CN"/>
        </w:rPr>
      </w:pPr>
      <w:r>
        <w:rPr>
          <w:rFonts w:ascii="Arial" w:hAnsi="Arial" w:eastAsia="宋体" w:cs="Arial"/>
          <w:lang w:eastAsia="zh-CN"/>
        </w:rPr>
        <w:t>在进行下述性能研究时，我们建议贵公司在分析和临床研究期间，每天检测时应使用适当的外部对照品。贵公司可以联系食品药品监督管理局的微生物学器械部OIVD部门了解有关对照品的更多信息。对于基于核酸技术的器械，我们通常建议贵公司应包括以下类型的对照品：</w:t>
      </w:r>
    </w:p>
    <w:p w14:paraId="48B880B1">
      <w:pPr>
        <w:pStyle w:val="47"/>
        <w:keepNext/>
        <w:keepLines/>
        <w:shd w:val="clear" w:color="auto" w:fill="auto"/>
        <w:tabs>
          <w:tab w:val="left" w:pos="924"/>
        </w:tabs>
        <w:snapToGrid w:val="0"/>
        <w:spacing w:beforeLines="100" w:after="40" w:line="300" w:lineRule="auto"/>
        <w:jc w:val="both"/>
        <w:rPr>
          <w:rFonts w:ascii="Arial" w:hAnsi="Arial" w:eastAsia="宋体" w:cs="Arial"/>
          <w:lang w:eastAsia="zh-CN"/>
        </w:rPr>
      </w:pPr>
      <w:r>
        <w:rPr>
          <w:rFonts w:ascii="Arial" w:hAnsi="Arial" w:eastAsia="宋体" w:cs="Arial"/>
          <w:lang w:eastAsia="zh-CN"/>
        </w:rPr>
        <w:t>1）阴性对照</w:t>
      </w:r>
    </w:p>
    <w:p w14:paraId="7CE43B91">
      <w:pPr>
        <w:pStyle w:val="39"/>
        <w:shd w:val="clear" w:color="auto" w:fill="auto"/>
        <w:snapToGrid w:val="0"/>
        <w:spacing w:after="86" w:line="300" w:lineRule="auto"/>
        <w:jc w:val="both"/>
        <w:rPr>
          <w:rFonts w:ascii="Arial" w:hAnsi="Arial" w:eastAsia="宋体" w:cs="Arial"/>
          <w:lang w:eastAsia="zh-CN"/>
        </w:rPr>
      </w:pPr>
      <w:r>
        <w:rPr>
          <w:rFonts w:ascii="Arial" w:hAnsi="Arial" w:eastAsia="宋体" w:cs="Arial"/>
          <w:lang w:eastAsia="zh-CN"/>
        </w:rPr>
        <w:t>空白或无模板对照</w:t>
      </w:r>
    </w:p>
    <w:p w14:paraId="7A944A2F">
      <w:pPr>
        <w:pStyle w:val="25"/>
        <w:shd w:val="clear" w:color="auto" w:fill="auto"/>
        <w:snapToGrid w:val="0"/>
        <w:spacing w:before="0" w:after="20" w:line="300" w:lineRule="auto"/>
        <w:ind w:firstLine="0"/>
        <w:jc w:val="both"/>
        <w:rPr>
          <w:rFonts w:ascii="Arial" w:hAnsi="Arial" w:eastAsia="宋体" w:cs="Arial"/>
          <w:lang w:eastAsia="zh-CN"/>
        </w:rPr>
      </w:pPr>
      <w:r>
        <w:rPr>
          <w:rFonts w:ascii="Arial" w:hAnsi="Arial" w:eastAsia="宋体" w:cs="Arial"/>
          <w:lang w:eastAsia="zh-CN"/>
        </w:rPr>
        <w:t>空白或无模板对照包括：缓冲液或样品转运培养基和除核酸以外的所有测定组分。该对照品用于排除靶核酸的污染或扩增反应中增强的背景，在一次性试剂盒或试管中进行的单次测定可能不需要使用。</w:t>
      </w:r>
    </w:p>
    <w:p w14:paraId="3B0FB7C4">
      <w:pPr>
        <w:pStyle w:val="25"/>
        <w:shd w:val="clear" w:color="auto" w:fill="auto"/>
        <w:snapToGrid w:val="0"/>
        <w:spacing w:before="0" w:after="20" w:line="300" w:lineRule="auto"/>
        <w:ind w:firstLine="0"/>
        <w:jc w:val="both"/>
        <w:rPr>
          <w:rFonts w:ascii="Arial" w:hAnsi="Arial" w:eastAsia="宋体" w:cs="Arial"/>
          <w:lang w:eastAsia="zh-CN"/>
        </w:rPr>
      </w:pPr>
    </w:p>
    <w:p w14:paraId="35251CB9">
      <w:pPr>
        <w:pStyle w:val="39"/>
        <w:shd w:val="clear" w:color="auto" w:fill="auto"/>
        <w:snapToGrid w:val="0"/>
        <w:spacing w:after="86" w:line="300" w:lineRule="auto"/>
        <w:jc w:val="both"/>
        <w:rPr>
          <w:rFonts w:ascii="Arial" w:hAnsi="Arial" w:eastAsia="宋体" w:cs="Arial"/>
          <w:lang w:eastAsia="zh-CN"/>
        </w:rPr>
      </w:pPr>
      <w:r>
        <w:rPr>
          <w:rFonts w:ascii="Arial" w:hAnsi="Arial" w:eastAsia="宋体" w:cs="Arial"/>
          <w:lang w:eastAsia="zh-CN"/>
        </w:rPr>
        <w:t>阴性样品对照</w:t>
      </w:r>
    </w:p>
    <w:p w14:paraId="174893DD">
      <w:pPr>
        <w:pStyle w:val="25"/>
        <w:shd w:val="clear" w:color="auto" w:fill="auto"/>
        <w:snapToGrid w:val="0"/>
        <w:spacing w:before="0" w:after="207" w:line="300" w:lineRule="auto"/>
        <w:ind w:firstLine="0"/>
        <w:jc w:val="both"/>
        <w:rPr>
          <w:rFonts w:ascii="Arial" w:hAnsi="Arial" w:eastAsia="宋体" w:cs="Arial"/>
          <w:lang w:eastAsia="zh-CN"/>
        </w:rPr>
      </w:pPr>
      <w:r>
        <w:rPr>
          <w:rFonts w:ascii="Arial" w:hAnsi="Arial" w:eastAsia="宋体" w:cs="Arial"/>
          <w:lang w:eastAsia="zh-CN"/>
        </w:rPr>
        <w:t>阴性样品对照包含非靶标核酸，或者，如果用于评价提取程序，则包含全部微生物（除了炭疽芽孢杆菌外）， 其表现为非特异性引发或检测，并表明在不存在靶序列的情况下不会获得信号。可接受的阴性样品对照品实例包括：</w:t>
      </w:r>
    </w:p>
    <w:p w14:paraId="44A9A022">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来自非炭疽芽孢杆菌感染个体的患者样本</w:t>
      </w:r>
    </w:p>
    <w:p w14:paraId="5F3AF1CD">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含有非靶标生物体的样品</w:t>
      </w:r>
    </w:p>
    <w:p w14:paraId="55E1ED8E">
      <w:pPr>
        <w:pStyle w:val="47"/>
        <w:keepNext/>
        <w:keepLines/>
        <w:shd w:val="clear" w:color="auto" w:fill="auto"/>
        <w:tabs>
          <w:tab w:val="left" w:pos="924"/>
        </w:tabs>
        <w:snapToGrid w:val="0"/>
        <w:spacing w:before="0" w:after="65" w:line="300" w:lineRule="auto"/>
        <w:jc w:val="both"/>
        <w:rPr>
          <w:rFonts w:ascii="Arial" w:hAnsi="Arial" w:eastAsia="宋体" w:cs="Arial"/>
          <w:lang w:eastAsia="zh-CN"/>
        </w:rPr>
      </w:pPr>
      <w:r>
        <w:rPr>
          <w:rFonts w:ascii="Arial" w:hAnsi="Arial" w:eastAsia="宋体" w:cs="Arial"/>
          <w:lang w:eastAsia="zh-CN"/>
        </w:rPr>
        <w:t>（2）阳性对照</w:t>
      </w:r>
    </w:p>
    <w:p w14:paraId="1EB26349">
      <w:pPr>
        <w:pStyle w:val="39"/>
        <w:shd w:val="clear" w:color="auto" w:fill="auto"/>
        <w:snapToGrid w:val="0"/>
        <w:spacing w:after="0" w:line="300" w:lineRule="auto"/>
        <w:jc w:val="both"/>
        <w:rPr>
          <w:rFonts w:ascii="Arial" w:hAnsi="Arial" w:eastAsia="宋体" w:cs="Arial"/>
          <w:lang w:eastAsia="zh-CN"/>
        </w:rPr>
      </w:pPr>
      <w:r>
        <w:rPr>
          <w:rFonts w:ascii="Arial" w:hAnsi="Arial" w:eastAsia="宋体" w:cs="Arial"/>
          <w:lang w:eastAsia="zh-CN"/>
        </w:rPr>
        <w:t>完全测定的阳性对照</w:t>
      </w:r>
    </w:p>
    <w:p w14:paraId="42E2E2B9">
      <w:pPr>
        <w:rPr>
          <w:rFonts w:ascii="Arial" w:hAnsi="Arial" w:eastAsia="宋体" w:cs="Arial"/>
          <w:lang w:eastAsia="zh-CN"/>
        </w:rPr>
      </w:pPr>
      <w:r>
        <w:rPr>
          <w:rFonts w:ascii="Arial" w:hAnsi="Arial" w:eastAsia="宋体" w:cs="Arial"/>
          <w:lang w:eastAsia="zh-CN"/>
        </w:rPr>
        <w:br w:type="page"/>
      </w:r>
    </w:p>
    <w:p w14:paraId="382FEE54">
      <w:pPr>
        <w:pStyle w:val="25"/>
        <w:shd w:val="clear" w:color="auto" w:fill="auto"/>
        <w:snapToGrid w:val="0"/>
        <w:spacing w:before="0" w:after="60" w:line="300" w:lineRule="auto"/>
        <w:ind w:firstLine="0"/>
        <w:jc w:val="both"/>
        <w:rPr>
          <w:rFonts w:ascii="Arial" w:hAnsi="Arial" w:eastAsia="宋体" w:cs="Arial"/>
          <w:lang w:eastAsia="zh-CN"/>
        </w:rPr>
      </w:pPr>
      <w:r>
        <w:rPr>
          <w:rFonts w:ascii="Arial" w:hAnsi="Arial" w:eastAsia="宋体" w:cs="Arial"/>
          <w:lang w:eastAsia="zh-CN"/>
        </w:rPr>
        <w:t>阳性对照包含靶核酸，并用于控制整个检测过程，包括DNA提取、扩增和检测；其模仿患者样本设计，根据实验室质量体系（QS）确定的频率，在测定患者样本时，同时进行阳性对照的单独测定。可接受的阳性测定对照品实例包括：</w:t>
      </w:r>
    </w:p>
    <w:p w14:paraId="0C48818B">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来自炭疽芽孢杆菌感染个体或具有活炭疽芽孢杆菌的加标基质的患者样本</w:t>
      </w:r>
    </w:p>
    <w:p w14:paraId="609797B3">
      <w:pPr>
        <w:pStyle w:val="25"/>
        <w:numPr>
          <w:ilvl w:val="0"/>
          <w:numId w:val="5"/>
        </w:numPr>
        <w:shd w:val="clear" w:color="auto" w:fill="auto"/>
        <w:snapToGrid w:val="0"/>
        <w:spacing w:before="0" w:line="300" w:lineRule="auto"/>
        <w:ind w:left="588" w:leftChars="70" w:hanging="420" w:hangingChars="175"/>
        <w:jc w:val="both"/>
        <w:rPr>
          <w:rStyle w:val="59"/>
          <w:rFonts w:ascii="Arial" w:hAnsi="Arial" w:eastAsia="宋体" w:cs="Arial"/>
          <w:i w:val="0"/>
          <w:iCs w:val="0"/>
          <w:lang w:eastAsia="zh-CN"/>
        </w:rPr>
      </w:pPr>
      <w:r>
        <w:rPr>
          <w:rFonts w:eastAsia="宋体"/>
          <w:i/>
          <w:iCs/>
          <w:lang w:eastAsia="zh-CN"/>
        </w:rPr>
        <w:t>炭疽芽</w:t>
      </w:r>
      <w:r>
        <w:rPr>
          <w:rStyle w:val="59"/>
          <w:rFonts w:ascii="Arial" w:hAnsi="Arial" w:eastAsia="宋体" w:cs="Arial"/>
          <w:lang w:eastAsia="zh-CN"/>
        </w:rPr>
        <w:t>孢杆菌培养物分离株</w:t>
      </w:r>
    </w:p>
    <w:p w14:paraId="6A73F329">
      <w:pPr>
        <w:pStyle w:val="39"/>
        <w:shd w:val="clear" w:color="auto" w:fill="auto"/>
        <w:tabs>
          <w:tab w:val="left" w:pos="1555"/>
        </w:tabs>
        <w:snapToGrid w:val="0"/>
        <w:spacing w:before="240" w:beforeLines="100" w:after="0" w:line="300" w:lineRule="auto"/>
        <w:jc w:val="both"/>
        <w:rPr>
          <w:rFonts w:ascii="Arial" w:hAnsi="Arial" w:eastAsia="宋体" w:cs="Arial"/>
          <w:lang w:eastAsia="zh-CN"/>
        </w:rPr>
      </w:pPr>
      <w:r>
        <w:rPr>
          <w:rFonts w:ascii="Arial" w:hAnsi="Arial" w:eastAsia="宋体" w:cs="Arial"/>
          <w:lang w:eastAsia="zh-CN"/>
        </w:rPr>
        <w:t>扩增/检测的阳性对照</w:t>
      </w:r>
    </w:p>
    <w:p w14:paraId="6DC7BAE6">
      <w:pPr>
        <w:pStyle w:val="25"/>
        <w:shd w:val="clear" w:color="auto" w:fill="auto"/>
        <w:snapToGrid w:val="0"/>
        <w:spacing w:before="0" w:after="267" w:line="300" w:lineRule="auto"/>
        <w:ind w:firstLine="0"/>
        <w:jc w:val="both"/>
        <w:rPr>
          <w:rFonts w:ascii="Arial" w:hAnsi="Arial" w:eastAsia="宋体" w:cs="Arial"/>
          <w:lang w:eastAsia="zh-CN"/>
        </w:rPr>
      </w:pPr>
      <w:r>
        <w:rPr>
          <w:rFonts w:ascii="Arial" w:hAnsi="Arial" w:eastAsia="宋体" w:cs="Arial"/>
          <w:lang w:eastAsia="zh-CN"/>
        </w:rPr>
        <w:t>用于扩增/检测的阳性对照包含纯化的靶核酸(等于或接近定性测定的检测限)。在得到阴性结果时，可控制样品和反应组分的完整性。样品中如果存在靶核酸，即可被测得。</w:t>
      </w:r>
    </w:p>
    <w:p w14:paraId="7E95B6B4">
      <w:pPr>
        <w:pStyle w:val="47"/>
        <w:keepNext/>
        <w:keepLines/>
        <w:shd w:val="clear" w:color="auto" w:fill="auto"/>
        <w:tabs>
          <w:tab w:val="left" w:pos="884"/>
        </w:tabs>
        <w:snapToGrid w:val="0"/>
        <w:spacing w:before="0" w:after="146" w:line="300" w:lineRule="auto"/>
        <w:jc w:val="both"/>
        <w:rPr>
          <w:rFonts w:ascii="Arial" w:hAnsi="Arial" w:eastAsia="宋体" w:cs="Arial"/>
          <w:lang w:eastAsia="zh-CN"/>
        </w:rPr>
      </w:pPr>
      <w:r>
        <w:rPr>
          <w:rFonts w:ascii="Arial" w:hAnsi="Arial" w:eastAsia="宋体" w:cs="Arial"/>
          <w:lang w:eastAsia="zh-CN"/>
        </w:rPr>
        <w:t>（3）内部对照品</w:t>
      </w:r>
    </w:p>
    <w:p w14:paraId="4500D658">
      <w:pPr>
        <w:pStyle w:val="25"/>
        <w:shd w:val="clear" w:color="auto" w:fill="auto"/>
        <w:snapToGrid w:val="0"/>
        <w:spacing w:before="0" w:after="235" w:line="300" w:lineRule="auto"/>
        <w:ind w:firstLine="0"/>
        <w:jc w:val="both"/>
        <w:rPr>
          <w:rFonts w:ascii="Arial" w:hAnsi="Arial" w:eastAsia="宋体" w:cs="Arial"/>
          <w:lang w:eastAsia="zh-CN"/>
        </w:rPr>
      </w:pPr>
      <w:r>
        <w:rPr>
          <w:rFonts w:ascii="Arial" w:hAnsi="Arial" w:eastAsia="宋体" w:cs="Arial"/>
          <w:lang w:eastAsia="zh-CN"/>
        </w:rPr>
        <w:t>内部对照品是与靶核酸共提取和共扩增的非靶核酸序列， 它控制试剂（聚合酶，引物等）的完整性，设备功能（热循环仪）和样品中扩增抑制剂的存在。可接受的内部对照品实例包括：与炭疽芽孢杆菌DNA共提取的人类核酸和扩增的人类持家基因（例如，RNaseP，P-肌动蛋白）的引物。这种控制的必要性取决于对器械个例的具体分析[参考文件 4]。</w:t>
      </w:r>
    </w:p>
    <w:p w14:paraId="04109C3D">
      <w:pPr>
        <w:pStyle w:val="23"/>
        <w:keepNext/>
        <w:keepLines/>
        <w:shd w:val="clear" w:color="auto" w:fill="auto"/>
        <w:tabs>
          <w:tab w:val="left" w:pos="870"/>
        </w:tabs>
        <w:snapToGrid w:val="0"/>
        <w:spacing w:before="0" w:after="258" w:line="300" w:lineRule="auto"/>
        <w:jc w:val="both"/>
        <w:rPr>
          <w:rFonts w:ascii="Arial" w:hAnsi="Arial" w:eastAsia="宋体" w:cs="Arial"/>
          <w:lang w:eastAsia="zh-CN"/>
        </w:rPr>
      </w:pPr>
      <w:r>
        <w:rPr>
          <w:rFonts w:ascii="Arial" w:hAnsi="Arial" w:eastAsia="宋体" w:cs="Arial"/>
          <w:lang w:eastAsia="zh-CN"/>
        </w:rPr>
        <w:t>D.  性能研究</w:t>
      </w:r>
    </w:p>
    <w:p w14:paraId="0977FCD8">
      <w:pPr>
        <w:pStyle w:val="25"/>
        <w:shd w:val="clear" w:color="auto" w:fill="auto"/>
        <w:snapToGrid w:val="0"/>
        <w:spacing w:before="0" w:after="87" w:line="300" w:lineRule="auto"/>
        <w:ind w:firstLine="0"/>
        <w:jc w:val="both"/>
        <w:rPr>
          <w:rFonts w:ascii="Arial" w:hAnsi="Arial" w:eastAsia="宋体" w:cs="Arial"/>
          <w:lang w:eastAsia="zh-CN"/>
        </w:rPr>
      </w:pPr>
      <w:r>
        <w:rPr>
          <w:rFonts w:ascii="Arial" w:hAnsi="Arial" w:eastAsia="宋体" w:cs="Arial"/>
          <w:lang w:eastAsia="zh-CN"/>
        </w:rPr>
        <w:t>对于旨在确定基于核酸扩增的器械的性能特征的研究，建议在510（k）申请中包含以下信息。此节对本文件之前所述的性能研究建议进行了补充。</w:t>
      </w:r>
    </w:p>
    <w:p w14:paraId="66FC3BE1">
      <w:pPr>
        <w:pStyle w:val="28"/>
        <w:numPr>
          <w:ilvl w:val="0"/>
          <w:numId w:val="6"/>
        </w:numPr>
        <w:shd w:val="clear" w:color="auto" w:fill="auto"/>
        <w:snapToGrid w:val="0"/>
        <w:spacing w:before="0" w:after="266" w:line="300" w:lineRule="auto"/>
        <w:ind w:left="0" w:firstLine="0"/>
        <w:jc w:val="both"/>
        <w:rPr>
          <w:rFonts w:ascii="Arial" w:hAnsi="Arial" w:eastAsia="宋体" w:cs="Arial"/>
          <w:lang w:eastAsia="zh-CN"/>
        </w:rPr>
      </w:pPr>
      <w:r>
        <w:rPr>
          <w:rFonts w:ascii="Arial" w:hAnsi="Arial" w:eastAsia="宋体" w:cs="Arial"/>
          <w:lang w:eastAsia="zh-CN"/>
        </w:rPr>
        <w:t>核酸提取</w:t>
      </w:r>
    </w:p>
    <w:p w14:paraId="60253597">
      <w:pPr>
        <w:pStyle w:val="25"/>
        <w:shd w:val="clear" w:color="auto" w:fill="auto"/>
        <w:snapToGrid w:val="0"/>
        <w:spacing w:before="0" w:after="240" w:line="300" w:lineRule="auto"/>
        <w:ind w:firstLine="0"/>
        <w:jc w:val="both"/>
        <w:rPr>
          <w:rFonts w:ascii="Arial" w:hAnsi="Arial" w:eastAsia="宋体" w:cs="Arial"/>
          <w:lang w:eastAsia="zh-CN"/>
        </w:rPr>
      </w:pPr>
      <w:r>
        <w:rPr>
          <w:rFonts w:ascii="Arial" w:hAnsi="Arial" w:eastAsia="宋体" w:cs="Arial"/>
          <w:lang w:eastAsia="zh-CN"/>
        </w:rPr>
        <w:t>不同的提取方法可能产生不同数量和质量的炭疽芽孢杆菌DNA，因此提取方法对于成功的结果是至关重要的。从临床标本、或液体血液培养物、或菌落培养物样本中，进行炭疽芽孢杆菌DNA的纯化是具有挑战性的，因为生物样本可能在类人基因组DNA的背景中含有低的细菌负荷、高水平的蛋白和其他污染物。</w:t>
      </w:r>
    </w:p>
    <w:p w14:paraId="5CBE366F">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由于这些原因，我们建议贵公司评估所选择的提取方法对检测性能的影响，方法是针对预期使用该测定法的令人满意的炭疽芽孢杆菌DNA数量和质量。此外，贵公司应使用所推荐的整个分析过程（包括提取程序）用于检测，来评估检测的分析性能和临床性能特征。其中应包括每个提取程序的检测限（LoD）和重现性。在“检测限”（见下文第V节 - 分析灵敏度）中提供了进行LoD研究的建议。另外，外部场所研究（包括重现性和临床研究）应包括标签中规定的提取程序。</w:t>
      </w:r>
    </w:p>
    <w:p w14:paraId="49147204">
      <w:pPr>
        <w:pStyle w:val="25"/>
        <w:shd w:val="clear" w:color="auto" w:fill="auto"/>
        <w:snapToGrid w:val="0"/>
        <w:spacing w:before="0" w:after="60" w:line="300" w:lineRule="auto"/>
        <w:ind w:firstLine="0"/>
        <w:jc w:val="both"/>
        <w:rPr>
          <w:rFonts w:ascii="Arial" w:hAnsi="Arial" w:eastAsia="宋体" w:cs="Arial"/>
          <w:lang w:eastAsia="zh-CN"/>
        </w:rPr>
      </w:pPr>
      <w:r>
        <w:rPr>
          <w:rFonts w:ascii="Arial" w:hAnsi="Arial" w:eastAsia="宋体" w:cs="Arial"/>
          <w:lang w:eastAsia="zh-CN"/>
        </w:rPr>
        <w:t>无论是确实在检测试剂盒中提供了用于提取和制备核酸的试剂，还是对用户就适当的试剂进行简单的指导，我们都建议贵公司进行这些评估。</w:t>
      </w:r>
    </w:p>
    <w:p w14:paraId="21C67908">
      <w:pPr>
        <w:pStyle w:val="25"/>
        <w:shd w:val="clear" w:color="auto" w:fill="auto"/>
        <w:snapToGrid w:val="0"/>
        <w:spacing w:before="0" w:after="60" w:line="300" w:lineRule="auto"/>
        <w:ind w:firstLine="0"/>
        <w:jc w:val="both"/>
        <w:rPr>
          <w:rFonts w:ascii="Arial" w:hAnsi="Arial" w:eastAsia="宋体" w:cs="Arial"/>
          <w:lang w:eastAsia="zh-CN"/>
        </w:rPr>
      </w:pPr>
      <w:r>
        <w:rPr>
          <w:rFonts w:ascii="Arial" w:hAnsi="Arial" w:eastAsia="宋体" w:cs="Arial"/>
          <w:lang w:eastAsia="zh-CN"/>
        </w:rPr>
        <w:t>如果贵公司推荐或纳入了多种提取方法，应该证明每种方法的LoD和重现性。假设提取方法对整体的检测性能引入了最小的变异性，可以将提取方法的变量与每个地点的性能变量相结合。例如，如果贵公司推荐了三种不同的提取方法，可以设计一个重现性研究，在每个检测地点对三种提取方法之一进行评估：在地点1检测时使用提取方法A，在地点2使用方法B，在地点3使用方法C。如果上述检测组产生的结果没有显著性差异，则不需要进一步的重现性研究。然而，如果来自三个地点的初始提取等效性研究表明，在检测性能方面具有统计学的显著性差异，则应该扩大重现性研究，包括在三个研究地点对每种提取方法进行检测（例如，地点1使用提取方法A，B和C，地点2使用提取方法A，B和C，以及地点3使用提取方法A，B和C）。</w:t>
      </w:r>
    </w:p>
    <w:p w14:paraId="6A7F01D2">
      <w:pPr>
        <w:pStyle w:val="25"/>
        <w:shd w:val="clear" w:color="auto" w:fill="auto"/>
        <w:snapToGrid w:val="0"/>
        <w:spacing w:before="0" w:after="207" w:line="300" w:lineRule="auto"/>
        <w:ind w:firstLine="0"/>
        <w:jc w:val="both"/>
        <w:rPr>
          <w:rStyle w:val="66"/>
          <w:rFonts w:ascii="Arial" w:hAnsi="Arial" w:eastAsia="宋体" w:cs="Arial"/>
          <w:lang w:eastAsia="zh-CN"/>
        </w:rPr>
      </w:pPr>
      <w:r>
        <w:rPr>
          <w:rFonts w:ascii="Arial" w:hAnsi="Arial" w:eastAsia="宋体" w:cs="Arial"/>
          <w:lang w:eastAsia="zh-CN"/>
        </w:rPr>
        <w:t>除了分析研究（LoD和重现性）之外，在临床试验期间，应在至少一个临床地点使用每种提取方法来得到临床性能的数据。如果扩大的重现性检测结果表明，提取方法之间的效能有显著差异，那么，来自每个临床检测地点（使用不同的核酸提取方法）的数据不被认为是等同的，并且不能合并，而应单独分析。因此，可</w:t>
      </w:r>
      <w:r>
        <w:rPr>
          <w:rStyle w:val="66"/>
          <w:rFonts w:ascii="Arial" w:hAnsi="Arial" w:eastAsia="宋体" w:cs="Arial"/>
          <w:lang w:eastAsia="zh-CN"/>
        </w:rPr>
        <w:t>可以包括额外的预期临床样品以支持所要求的提取方法。</w:t>
      </w:r>
    </w:p>
    <w:p w14:paraId="496DDA19">
      <w:pPr>
        <w:pStyle w:val="25"/>
        <w:shd w:val="clear" w:color="auto" w:fill="auto"/>
        <w:snapToGrid w:val="0"/>
        <w:spacing w:before="0" w:after="207" w:line="300" w:lineRule="auto"/>
        <w:ind w:firstLine="0"/>
        <w:jc w:val="both"/>
        <w:rPr>
          <w:rFonts w:ascii="Arial" w:hAnsi="Arial" w:eastAsia="宋体" w:cs="Arial"/>
          <w:b/>
          <w:lang w:eastAsia="zh-CN"/>
        </w:rPr>
      </w:pPr>
      <w:r>
        <w:rPr>
          <w:rFonts w:ascii="Arial" w:hAnsi="Arial" w:eastAsia="宋体" w:cs="Arial"/>
          <w:b/>
          <w:lang w:eastAsia="zh-CN"/>
        </w:rPr>
        <w:t>（2）检测界值</w:t>
      </w:r>
    </w:p>
    <w:p w14:paraId="32ECCB2C">
      <w:pPr>
        <w:pStyle w:val="25"/>
        <w:shd w:val="clear" w:color="auto" w:fill="auto"/>
        <w:snapToGrid w:val="0"/>
        <w:spacing w:before="0" w:after="207" w:line="300" w:lineRule="auto"/>
        <w:ind w:firstLine="0"/>
        <w:jc w:val="both"/>
        <w:rPr>
          <w:rFonts w:ascii="Arial" w:hAnsi="Arial" w:eastAsia="宋体" w:cs="Arial"/>
          <w:lang w:eastAsia="zh-CN"/>
        </w:rPr>
      </w:pPr>
      <w:r>
        <w:rPr>
          <w:rFonts w:ascii="Arial" w:hAnsi="Arial" w:eastAsia="宋体" w:cs="Arial"/>
          <w:lang w:eastAsia="zh-CN"/>
        </w:rPr>
        <w:t>我们建议贵公司应解释如何确定临界值（另见下文第IV节“解释检测结果/报告”）以及如何验证。临界值应使用适当的统计方法确定。在预试验中的临床样品不含炭疽芽孢杆菌DNA，为了支持所确定的临界值，需提供：结果分布、 95%和99%的置信限、非阴性（阳性或不明确）结果的百分比，等等。基于对预试验中临床样品的受试者工作特征曲线（ROC）分析，通过相关的灵敏度水平和特异性，可以证明选择了适当的临界值（关于ROC分析，请详见CLSI文件GP10-A [参考文件 5]）。如果测定存在不明确区域，则应说明如何确定不明确区域的范围。使用预定界值（和不明确区域，如适用）的器械，其性能应在与该器械所确定的预期用途一致的独立群体中进行验证。</w:t>
      </w:r>
    </w:p>
    <w:p w14:paraId="3E536D76">
      <w:pPr>
        <w:pStyle w:val="47"/>
        <w:keepNext/>
        <w:keepLines/>
        <w:shd w:val="clear" w:color="auto" w:fill="auto"/>
        <w:tabs>
          <w:tab w:val="left" w:pos="864"/>
        </w:tabs>
        <w:snapToGrid w:val="0"/>
        <w:spacing w:before="0" w:after="0" w:line="300" w:lineRule="auto"/>
        <w:jc w:val="both"/>
        <w:rPr>
          <w:rFonts w:ascii="Arial" w:hAnsi="Arial" w:eastAsia="宋体" w:cs="Arial"/>
          <w:lang w:eastAsia="zh-CN"/>
        </w:rPr>
      </w:pPr>
      <w:r>
        <w:rPr>
          <w:rFonts w:ascii="Arial" w:hAnsi="Arial" w:eastAsia="宋体" w:cs="Arial"/>
          <w:lang w:eastAsia="zh-CN"/>
        </w:rPr>
        <w:t>（3）检测结果解释/报告</w:t>
      </w:r>
    </w:p>
    <w:p w14:paraId="33FF2FE0">
      <w:pPr>
        <w:rPr>
          <w:rFonts w:ascii="Arial" w:hAnsi="Arial" w:eastAsia="宋体" w:cs="Arial"/>
          <w:lang w:eastAsia="zh-CN"/>
        </w:rPr>
      </w:pPr>
      <w:r>
        <w:rPr>
          <w:rFonts w:ascii="Arial" w:hAnsi="Arial" w:eastAsia="宋体" w:cs="Arial"/>
          <w:lang w:eastAsia="zh-CN"/>
        </w:rPr>
        <w:br w:type="page"/>
      </w:r>
    </w:p>
    <w:p w14:paraId="77B0A979">
      <w:pPr>
        <w:pStyle w:val="25"/>
        <w:shd w:val="clear" w:color="auto" w:fill="auto"/>
        <w:snapToGrid w:val="0"/>
        <w:spacing w:before="0" w:after="240" w:line="300" w:lineRule="auto"/>
        <w:ind w:firstLine="0"/>
        <w:jc w:val="both"/>
        <w:rPr>
          <w:rFonts w:ascii="Arial" w:hAnsi="Arial" w:eastAsia="宋体" w:cs="Arial"/>
          <w:lang w:eastAsia="zh-CN"/>
        </w:rPr>
      </w:pPr>
      <w:r>
        <w:rPr>
          <w:rFonts w:ascii="Arial" w:hAnsi="Arial" w:eastAsia="宋体" w:cs="Arial"/>
          <w:lang w:eastAsia="zh-CN"/>
        </w:rPr>
        <w:t>我们建议贵公司描述如何对推定的阳性、阴性、不明确或无效结果进行确定，以及如何解释（如适用），建议对如何确定解释性算法进行清楚的解释。</w:t>
      </w:r>
    </w:p>
    <w:p w14:paraId="57C2FB35">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我们建议贵方提供阴性检测结果的临界值。如果测定仅有两个检出结果（阴性/阳性），则该临界值也用于定义阳性结果。</w:t>
      </w:r>
    </w:p>
    <w:p w14:paraId="7BB328EF">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如果检测存在不明确区域，建议提供不明确区域的临界值（限值）。</w:t>
      </w:r>
    </w:p>
    <w:p w14:paraId="066B1E82">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如果对初始的不明确结果的解释需要重新检测，建议提供（1）是否应重复对同一核酸制备物、新的提取物或新的患者样本进行复测，以及（ 2）结合初始的不明确结果和复测后的结果来确定最终结果的算法（注意，此算法的开发应在评估该检测的临床性能的关键临床研究之前进行）。</w:t>
      </w:r>
    </w:p>
    <w:p w14:paraId="31A31B75">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如果报告的测定结果之一是一个不明确结果，应为用户提供对该不明确结果的后续操作的解释和建议。</w:t>
      </w:r>
    </w:p>
    <w:p w14:paraId="73DB1BE0">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如果测定结果无效，应描述如何定义无效结果。如果内部对照品是确定无效结果的一部分，应提供每种可能的对照品结果的组合的解释，以定义无效结果。应提供对无效结果的后续操作的建议，即，结果是否应报告为无效或是否建议复测。如果推荐复测，应提供与不明确结果复测类似的信息（即，是否应重复对同一核酸制备物、新的提取物或新的患者样本进行复测）。</w:t>
      </w:r>
    </w:p>
    <w:p w14:paraId="5008EE12">
      <w:pPr>
        <w:pStyle w:val="25"/>
        <w:shd w:val="clear" w:color="auto" w:fill="auto"/>
        <w:snapToGrid w:val="0"/>
        <w:spacing w:before="0" w:line="300" w:lineRule="auto"/>
        <w:ind w:left="588" w:firstLine="0"/>
        <w:jc w:val="both"/>
        <w:rPr>
          <w:rFonts w:ascii="Arial" w:hAnsi="Arial" w:eastAsia="宋体" w:cs="Arial"/>
          <w:lang w:eastAsia="zh-CN"/>
        </w:rPr>
      </w:pPr>
    </w:p>
    <w:p w14:paraId="1B9F702E">
      <w:pPr>
        <w:pStyle w:val="47"/>
        <w:keepNext/>
        <w:keepLines/>
        <w:shd w:val="clear" w:color="auto" w:fill="auto"/>
        <w:tabs>
          <w:tab w:val="left" w:pos="864"/>
        </w:tabs>
        <w:snapToGrid w:val="0"/>
        <w:spacing w:before="0" w:after="266" w:line="300" w:lineRule="auto"/>
        <w:jc w:val="both"/>
        <w:rPr>
          <w:rFonts w:ascii="Arial" w:hAnsi="Arial" w:eastAsia="宋体" w:cs="Arial"/>
          <w:lang w:eastAsia="zh-CN"/>
        </w:rPr>
      </w:pPr>
      <w:r>
        <w:rPr>
          <w:rFonts w:ascii="Arial" w:hAnsi="Arial" w:eastAsia="宋体" w:cs="Arial"/>
          <w:lang w:eastAsia="zh-CN"/>
        </w:rPr>
        <w:t>（4）分析灵敏度（检测限）</w:t>
      </w:r>
    </w:p>
    <w:p w14:paraId="594ECEE3">
      <w:pPr>
        <w:pStyle w:val="25"/>
        <w:shd w:val="clear" w:color="auto" w:fill="auto"/>
        <w:snapToGrid w:val="0"/>
        <w:spacing w:before="0" w:after="60" w:line="300" w:lineRule="auto"/>
        <w:ind w:firstLine="0"/>
        <w:jc w:val="both"/>
        <w:rPr>
          <w:rFonts w:ascii="Arial" w:hAnsi="Arial" w:eastAsia="宋体" w:cs="Arial"/>
          <w:lang w:eastAsia="zh-CN"/>
        </w:rPr>
      </w:pPr>
      <w:r>
        <w:rPr>
          <w:rFonts w:ascii="Arial" w:hAnsi="Arial" w:eastAsia="宋体" w:cs="Arial"/>
          <w:lang w:eastAsia="zh-CN"/>
        </w:rPr>
        <w:t>我们建议贵公司使用CLSI EP17-A[参考文件 6]中描述的方法来确定在临床前阶段该测定的检测限（LoD）。贵公司应确定使用该器械在适宜的样本类型中炭疽芽孢杆菌可检出的最低水平。研究应包括测定活的（活）炭疽芽孢杆菌的系列稀释液，重复3-5份。每次稀释应使用炭疽芽孢杆菌阴性的人类样本混合物，例如血液或痰液或等效基质。我们建议将检出率在95%的炭疽芽孢杆菌水平报告为LoD。基于滴度结果，可以通过在LoD浓度下制备至少50份额外的重复样品，证明炭疽芽孢杆菌的检出率为95％，来进一步确认LoD。LoD应与炭疽芽孢杆菌的CFU / ml和炭疽芽孢杆菌中存在的DNA复制数相关。炭疽芽孢杆菌DNA样本的最低水平应接近LoD浓度，并与CFU / mL和DNA复制数相关。</w:t>
      </w:r>
    </w:p>
    <w:p w14:paraId="01B7B7B6">
      <w:pPr>
        <w:pStyle w:val="47"/>
        <w:keepNext/>
        <w:keepLines/>
        <w:shd w:val="clear" w:color="auto" w:fill="auto"/>
        <w:tabs>
          <w:tab w:val="left" w:pos="864"/>
        </w:tabs>
        <w:snapToGrid w:val="0"/>
        <w:spacing w:before="0" w:after="0" w:line="300" w:lineRule="auto"/>
        <w:jc w:val="both"/>
        <w:rPr>
          <w:rFonts w:ascii="Arial" w:hAnsi="Arial" w:eastAsia="宋体" w:cs="Arial"/>
          <w:lang w:eastAsia="zh-CN"/>
        </w:rPr>
      </w:pPr>
      <w:r>
        <w:rPr>
          <w:rFonts w:ascii="Arial" w:hAnsi="Arial" w:eastAsia="宋体" w:cs="Arial"/>
          <w:lang w:eastAsia="zh-CN"/>
        </w:rPr>
        <w:t>（5）残留物和交叉污染研究（用于多样本测定和需要仪器测定的器械）</w:t>
      </w:r>
    </w:p>
    <w:p w14:paraId="0BE9A8A9">
      <w:pPr>
        <w:rPr>
          <w:rFonts w:ascii="Arial" w:hAnsi="Arial" w:eastAsia="宋体" w:cs="Arial"/>
          <w:lang w:eastAsia="zh-CN"/>
        </w:rPr>
      </w:pPr>
      <w:r>
        <w:rPr>
          <w:rFonts w:ascii="Arial" w:hAnsi="Arial" w:eastAsia="宋体" w:cs="Arial"/>
          <w:lang w:eastAsia="zh-CN"/>
        </w:rPr>
        <w:br w:type="page"/>
      </w:r>
    </w:p>
    <w:p w14:paraId="7654D85B">
      <w:pPr>
        <w:pStyle w:val="25"/>
        <w:shd w:val="clear" w:color="auto" w:fill="auto"/>
        <w:snapToGrid w:val="0"/>
        <w:spacing w:before="0" w:after="267" w:line="300" w:lineRule="auto"/>
        <w:ind w:firstLine="0"/>
        <w:jc w:val="both"/>
        <w:rPr>
          <w:rFonts w:ascii="Arial" w:hAnsi="Arial" w:eastAsia="宋体" w:cs="Arial"/>
          <w:lang w:eastAsia="zh-CN"/>
        </w:rPr>
      </w:pPr>
      <w:r>
        <w:rPr>
          <w:rFonts w:ascii="Arial" w:hAnsi="Arial" w:eastAsia="宋体" w:cs="Arial"/>
          <w:lang w:eastAsia="zh-CN"/>
        </w:rPr>
        <w:t>贵公司应证明该器械不存在残留物和交叉污染。在残留物和交叉污染研究中，我们建议按照该器械的操作功能将高度阳性样品与高度阴性样品交替使用，且高度阳性样品与高度阴性样品交替使用的次数不应低于5次。研究使用的高度阳性样品应来自于预期使用人群的患者样本，有足够高的检出率(超过95%或更高)；高度阴性样品的检测浓度应低于临界值，且复测的阴性率约95%。然后，可以通过在残留研究中的高阴性样品的阴性结果检出率与95％进行对比，以评估残留物和交叉污染的影响。</w:t>
      </w:r>
    </w:p>
    <w:p w14:paraId="3957152A">
      <w:pPr>
        <w:pStyle w:val="47"/>
        <w:keepNext/>
        <w:keepLines/>
        <w:shd w:val="clear" w:color="auto" w:fill="auto"/>
        <w:tabs>
          <w:tab w:val="left" w:pos="864"/>
        </w:tabs>
        <w:snapToGrid w:val="0"/>
        <w:spacing w:before="0" w:after="146" w:line="300" w:lineRule="auto"/>
        <w:jc w:val="both"/>
        <w:rPr>
          <w:rFonts w:ascii="Arial" w:hAnsi="Arial" w:eastAsia="宋体" w:cs="Arial"/>
          <w:lang w:eastAsia="zh-CN"/>
        </w:rPr>
      </w:pPr>
      <w:r>
        <w:rPr>
          <w:rFonts w:ascii="Arial" w:hAnsi="Arial" w:eastAsia="宋体" w:cs="Arial"/>
          <w:lang w:eastAsia="zh-CN"/>
        </w:rPr>
        <w:t>（6）干扰/抑制物质</w:t>
      </w:r>
    </w:p>
    <w:p w14:paraId="09D995B3">
      <w:pPr>
        <w:pStyle w:val="25"/>
        <w:shd w:val="clear" w:color="auto" w:fill="auto"/>
        <w:snapToGrid w:val="0"/>
        <w:spacing w:before="0" w:after="567" w:line="300" w:lineRule="auto"/>
        <w:ind w:firstLine="0"/>
        <w:jc w:val="both"/>
        <w:rPr>
          <w:rFonts w:ascii="Arial" w:hAnsi="Arial" w:eastAsia="宋体" w:cs="Arial"/>
          <w:lang w:eastAsia="zh-CN"/>
        </w:rPr>
      </w:pPr>
      <w:r>
        <w:rPr>
          <w:rFonts w:ascii="Arial" w:hAnsi="Arial" w:eastAsia="宋体" w:cs="Arial"/>
          <w:lang w:eastAsia="zh-CN"/>
        </w:rPr>
        <w:t>我们建议贵公司应检测血液、人类样本、或来自于临床标本的菌落培养物或液体培养物中可能产生的内源性干扰物质的影响，以及可能在样品纯化或反应过程中引入的外源性干扰物质的影响，这些干扰物质可能会干扰检测性能。对该器械的内源性和外源性干扰物质的评估数据表应包括在提交资料中。每种物质的检测浓度应根据CLSI EP7- A2[参考文件7] 以相关浓度表示。</w:t>
      </w:r>
    </w:p>
    <w:p w14:paraId="424CF9C5">
      <w:pPr>
        <w:pStyle w:val="47"/>
        <w:keepNext/>
        <w:keepLines/>
        <w:shd w:val="clear" w:color="auto" w:fill="auto"/>
        <w:tabs>
          <w:tab w:val="left" w:pos="864"/>
        </w:tabs>
        <w:snapToGrid w:val="0"/>
        <w:spacing w:before="0" w:after="206" w:line="300" w:lineRule="auto"/>
        <w:jc w:val="both"/>
        <w:rPr>
          <w:rFonts w:ascii="Arial" w:hAnsi="Arial" w:eastAsia="宋体" w:cs="Arial"/>
          <w:lang w:eastAsia="zh-CN"/>
        </w:rPr>
      </w:pPr>
      <w:r>
        <w:rPr>
          <w:rFonts w:ascii="Arial" w:hAnsi="Arial" w:eastAsia="宋体" w:cs="Arial"/>
          <w:lang w:eastAsia="zh-CN"/>
        </w:rPr>
        <w:t>（7）精密度/重现性/重复性</w:t>
      </w:r>
    </w:p>
    <w:p w14:paraId="353CF962">
      <w:pPr>
        <w:pStyle w:val="25"/>
        <w:shd w:val="clear" w:color="auto" w:fill="auto"/>
        <w:snapToGrid w:val="0"/>
        <w:spacing w:before="0" w:after="236" w:line="300" w:lineRule="auto"/>
        <w:ind w:firstLine="0"/>
        <w:jc w:val="both"/>
        <w:rPr>
          <w:rFonts w:ascii="Arial" w:hAnsi="Arial" w:eastAsia="宋体" w:cs="Arial"/>
          <w:lang w:eastAsia="zh-CN"/>
        </w:rPr>
      </w:pPr>
      <w:r>
        <w:rPr>
          <w:rFonts w:ascii="Arial" w:hAnsi="Arial" w:eastAsia="宋体" w:cs="Arial"/>
          <w:lang w:eastAsia="zh-CN"/>
        </w:rPr>
        <w:t>我们建议贵公司对器械进行实验室内的精密度研究，包括仪器或自动化部件。应说明日内、日间、实验室内和实验室间的精密度。作为通用性指南，我们建议使用以下方案进行核酸扩增检测：</w:t>
      </w:r>
    </w:p>
    <w:p w14:paraId="0B58802C">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应在三个地点（两个外部，一个内部场所）进行重复性研究。</w:t>
      </w:r>
    </w:p>
    <w:p w14:paraId="6FDDD34D">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应采用五天的检测方案，包括每天至少进行两次(除非该检测的设计不允许每天多次进行)，每次检测由每个小组成员重复三次。</w:t>
      </w:r>
    </w:p>
    <w:p w14:paraId="69D6B38C">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每天至少应由两名操作员在每台设备上进行检测。</w:t>
      </w:r>
    </w:p>
    <w:p w14:paraId="044F2A27">
      <w:pPr>
        <w:pStyle w:val="25"/>
        <w:shd w:val="clear" w:color="auto" w:fill="auto"/>
        <w:snapToGrid w:val="0"/>
        <w:spacing w:before="0" w:after="267" w:line="300" w:lineRule="auto"/>
        <w:ind w:firstLine="0"/>
        <w:jc w:val="both"/>
        <w:rPr>
          <w:rFonts w:ascii="Arial" w:hAnsi="Arial" w:eastAsia="宋体" w:cs="Arial"/>
          <w:lang w:eastAsia="zh-CN"/>
        </w:rPr>
      </w:pPr>
      <w:r>
        <w:rPr>
          <w:rFonts w:ascii="Arial" w:hAnsi="Arial" w:eastAsia="宋体" w:cs="Arial"/>
          <w:lang w:eastAsia="zh-CN"/>
        </w:rPr>
        <w:t>我们建议贵公司应使用低(近LOD)、中、高浓度的炭疽芽孢杆菌对每种基质（如，血液、或人类样本、或来自临床标本的菌落培养物或液体培养物）加标，以制备重现性样品。每种基质应设阴性样品组(未经加标)。</w:t>
      </w:r>
    </w:p>
    <w:p w14:paraId="06F4AB83">
      <w:pPr>
        <w:pStyle w:val="25"/>
        <w:shd w:val="clear" w:color="auto" w:fill="auto"/>
        <w:snapToGrid w:val="0"/>
        <w:spacing w:before="0" w:line="300" w:lineRule="auto"/>
        <w:ind w:firstLine="0"/>
        <w:jc w:val="both"/>
        <w:rPr>
          <w:rFonts w:ascii="Arial" w:hAnsi="Arial" w:eastAsia="宋体" w:cs="Arial"/>
          <w:lang w:eastAsia="zh-CN"/>
        </w:rPr>
      </w:pPr>
      <w:r>
        <w:rPr>
          <w:rFonts w:ascii="Arial" w:hAnsi="Arial" w:eastAsia="宋体" w:cs="Arial"/>
          <w:lang w:eastAsia="zh-CN"/>
        </w:rPr>
        <w:t>每组应由6-9个样品组成，包括如下所述的三个浓度的分析物：</w:t>
      </w:r>
    </w:p>
    <w:p w14:paraId="239382F5">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“高度阴性”样品，其分析物浓度低于临床界值，因此该样品的复检阴性率约为95%。</w:t>
      </w:r>
    </w:p>
    <w:p w14:paraId="7F01F5E4">
      <w:pPr>
        <w:rPr>
          <w:rFonts w:ascii="Arial" w:hAnsi="Arial" w:eastAsia="宋体" w:cs="Arial"/>
          <w:lang w:eastAsia="zh-CN"/>
        </w:rPr>
      </w:pPr>
      <w:r>
        <w:rPr>
          <w:rFonts w:ascii="Arial" w:hAnsi="Arial" w:eastAsia="宋体" w:cs="Arial"/>
          <w:lang w:eastAsia="zh-CN"/>
        </w:rPr>
        <w:br w:type="page"/>
      </w:r>
    </w:p>
    <w:p w14:paraId="6BBD972F">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“低度阳性”样品，其分析物浓度刚好高于临床界值，因此该样品的复检阳性率约为95%。</w:t>
      </w:r>
    </w:p>
    <w:p w14:paraId="6A12029B">
      <w:pPr>
        <w:pStyle w:val="25"/>
        <w:numPr>
          <w:ilvl w:val="0"/>
          <w:numId w:val="5"/>
        </w:numPr>
        <w:shd w:val="clear" w:color="auto" w:fill="auto"/>
        <w:snapToGrid w:val="0"/>
        <w:spacing w:before="0" w:line="300" w:lineRule="auto"/>
        <w:ind w:left="588" w:leftChars="70" w:hanging="420" w:hangingChars="175"/>
        <w:jc w:val="both"/>
        <w:rPr>
          <w:rFonts w:ascii="Arial" w:hAnsi="Arial" w:eastAsia="宋体" w:cs="Arial"/>
          <w:lang w:eastAsia="zh-CN"/>
        </w:rPr>
      </w:pPr>
      <w:r>
        <w:rPr>
          <w:rFonts w:ascii="Arial" w:hAnsi="Arial" w:eastAsia="宋体" w:cs="Arial"/>
          <w:lang w:eastAsia="zh-CN"/>
        </w:rPr>
        <w:t>“中度阳性”样品，其浓度可以预期的阳性结果率约100%。</w:t>
      </w:r>
    </w:p>
    <w:p w14:paraId="43DA8077">
      <w:pPr>
        <w:pStyle w:val="25"/>
        <w:shd w:val="clear" w:color="auto" w:fill="auto"/>
        <w:snapToGrid w:val="0"/>
        <w:spacing w:before="0" w:after="179" w:line="300" w:lineRule="auto"/>
        <w:ind w:firstLine="0"/>
        <w:jc w:val="both"/>
        <w:rPr>
          <w:rFonts w:ascii="Arial" w:hAnsi="Arial" w:eastAsia="宋体" w:cs="Arial"/>
          <w:lang w:eastAsia="zh-CN"/>
        </w:rPr>
      </w:pPr>
      <w:r>
        <w:rPr>
          <w:rFonts w:ascii="Arial" w:hAnsi="Arial" w:eastAsia="宋体" w:cs="Arial"/>
          <w:lang w:eastAsia="zh-CN"/>
        </w:rPr>
        <w:t>贵公司可参考CLSI文件EP15-A2 [参考文件 8]，EP5-A2 [ 3]，EP12-A2 [ 9]的重现性研究设计指南。</w:t>
      </w:r>
    </w:p>
    <w:p w14:paraId="0B75685F">
      <w:pPr>
        <w:pStyle w:val="36"/>
        <w:keepNext/>
        <w:keepLines/>
        <w:shd w:val="clear" w:color="auto" w:fill="auto"/>
        <w:tabs>
          <w:tab w:val="left" w:pos="1169"/>
        </w:tabs>
        <w:snapToGrid w:val="0"/>
        <w:spacing w:before="480" w:beforeLines="200" w:after="100" w:line="300" w:lineRule="auto"/>
        <w:ind w:firstLine="0"/>
        <w:jc w:val="both"/>
        <w:rPr>
          <w:rFonts w:ascii="Arial" w:hAnsi="Arial" w:eastAsia="宋体" w:cs="Arial"/>
        </w:rPr>
      </w:pPr>
      <w:r>
        <w:rPr>
          <w:rFonts w:ascii="Arial" w:hAnsi="Arial" w:eastAsia="宋体" w:cs="Arial"/>
          <w:lang w:eastAsia="zh-CN"/>
        </w:rPr>
        <w:t>10.</w:t>
      </w:r>
      <w:r>
        <w:rPr>
          <w:rFonts w:ascii="Arial" w:hAnsi="Arial" w:eastAsia="宋体" w:cs="Arial"/>
        </w:rPr>
        <w:t>参考文件</w:t>
      </w:r>
    </w:p>
    <w:p w14:paraId="13B5B210">
      <w:pPr>
        <w:pStyle w:val="25"/>
        <w:numPr>
          <w:ilvl w:val="0"/>
          <w:numId w:val="7"/>
        </w:numPr>
        <w:shd w:val="clear" w:color="auto" w:fill="auto"/>
        <w:tabs>
          <w:tab w:val="left" w:pos="758"/>
        </w:tabs>
        <w:snapToGrid w:val="0"/>
        <w:spacing w:before="0" w:after="240" w:line="300" w:lineRule="auto"/>
        <w:ind w:left="391" w:hanging="391" w:hangingChars="163"/>
        <w:jc w:val="both"/>
        <w:rPr>
          <w:rFonts w:ascii="Arial" w:hAnsi="Arial" w:eastAsia="宋体" w:cs="Arial"/>
        </w:rPr>
      </w:pPr>
      <w:r>
        <w:rPr>
          <w:rFonts w:ascii="Arial" w:hAnsi="Arial" w:eastAsia="宋体" w:cs="Arial"/>
        </w:rPr>
        <w:t>Clinical and Laboratory Standards Institute (CLSI). Procedures for the Handling and Processing of Blood Specimens; Approved Guideline—Third Edition. CLSI document H18-A3 (ISBN 1-56238-555-0). CLSI, 940 West Valley Road, Suite 1400, Wayne, Pennsylvania 19087</w:t>
      </w:r>
      <w:r>
        <w:rPr>
          <w:rFonts w:ascii="Arial" w:hAnsi="Arial" w:eastAsia="宋体" w:cs="Arial"/>
        </w:rPr>
        <w:softHyphen/>
      </w:r>
      <w:r>
        <w:rPr>
          <w:rFonts w:ascii="Arial" w:hAnsi="Arial" w:eastAsia="宋体" w:cs="Arial"/>
        </w:rPr>
        <w:t>1898 USA, 2004.</w:t>
      </w:r>
    </w:p>
    <w:p w14:paraId="1CA36056">
      <w:pPr>
        <w:pStyle w:val="25"/>
        <w:numPr>
          <w:ilvl w:val="0"/>
          <w:numId w:val="7"/>
        </w:numPr>
        <w:shd w:val="clear" w:color="auto" w:fill="auto"/>
        <w:tabs>
          <w:tab w:val="left" w:pos="758"/>
        </w:tabs>
        <w:snapToGrid w:val="0"/>
        <w:spacing w:before="0" w:after="240" w:line="300" w:lineRule="auto"/>
        <w:ind w:left="391" w:hanging="391" w:hangingChars="163"/>
        <w:jc w:val="both"/>
        <w:rPr>
          <w:rFonts w:ascii="Arial" w:hAnsi="Arial" w:eastAsia="宋体" w:cs="Arial"/>
        </w:rPr>
      </w:pPr>
      <w:r>
        <w:rPr>
          <w:rFonts w:ascii="Arial" w:hAnsi="Arial" w:eastAsia="宋体" w:cs="Arial"/>
        </w:rPr>
        <w:t>Clinical Laboratory Standards Institute (CLSI). Specifications for Immunological Testing for Infectious Diseases; Approved Guideline - Second Edition. CLSI document I/LA18-A2 (ISBN 1-56238-445-7) CLSI, 940 West Valley Road, Suite 1400, Wayne, Pennsylvania 19087-1898 USA, 2001.</w:t>
      </w:r>
    </w:p>
    <w:p w14:paraId="277910E9">
      <w:pPr>
        <w:pStyle w:val="25"/>
        <w:numPr>
          <w:ilvl w:val="0"/>
          <w:numId w:val="7"/>
        </w:numPr>
        <w:shd w:val="clear" w:color="auto" w:fill="auto"/>
        <w:tabs>
          <w:tab w:val="left" w:pos="763"/>
        </w:tabs>
        <w:snapToGrid w:val="0"/>
        <w:spacing w:before="0" w:after="236" w:line="300" w:lineRule="auto"/>
        <w:ind w:left="391" w:hanging="391" w:hangingChars="163"/>
        <w:jc w:val="both"/>
        <w:rPr>
          <w:rFonts w:ascii="Arial" w:hAnsi="Arial" w:eastAsia="宋体" w:cs="Arial"/>
        </w:rPr>
      </w:pPr>
      <w:r>
        <w:rPr>
          <w:rFonts w:ascii="Arial" w:hAnsi="Arial" w:eastAsia="宋体" w:cs="Arial"/>
        </w:rPr>
        <w:t>Clinical and Laboratory Standards Institute (CLSI). Evaluation of Precision Performance of Quantitative Methods; Approved Guideline-Second Edition. CLSI document EP5-A2 (ISBN 1</w:t>
      </w:r>
      <w:r>
        <w:rPr>
          <w:rFonts w:ascii="Arial" w:hAnsi="Arial" w:eastAsia="宋体" w:cs="Arial"/>
        </w:rPr>
        <w:softHyphen/>
      </w:r>
      <w:r>
        <w:rPr>
          <w:rFonts w:ascii="Arial" w:hAnsi="Arial" w:eastAsia="宋体" w:cs="Arial"/>
        </w:rPr>
        <w:t>56238-000-0). CLSI, 940 West Valley Road, Suite 1400, Wayne, Pennsylvania 19087-1898 USA, 2004.</w:t>
      </w:r>
    </w:p>
    <w:p w14:paraId="6AFCE4F6">
      <w:pPr>
        <w:pStyle w:val="25"/>
        <w:numPr>
          <w:ilvl w:val="0"/>
          <w:numId w:val="7"/>
        </w:numPr>
        <w:shd w:val="clear" w:color="auto" w:fill="auto"/>
        <w:tabs>
          <w:tab w:val="left" w:pos="754"/>
        </w:tabs>
        <w:snapToGrid w:val="0"/>
        <w:spacing w:before="0" w:after="364" w:line="300" w:lineRule="auto"/>
        <w:ind w:left="391" w:hanging="391" w:hangingChars="163"/>
        <w:jc w:val="both"/>
        <w:rPr>
          <w:rFonts w:ascii="Arial" w:hAnsi="Arial" w:eastAsia="宋体" w:cs="Arial"/>
        </w:rPr>
      </w:pPr>
      <w:r>
        <w:rPr>
          <w:rFonts w:ascii="Arial" w:hAnsi="Arial" w:eastAsia="宋体" w:cs="Arial"/>
        </w:rPr>
        <w:t>Clinical and Laboratory Standards Institute (CLSI). Molecular Diagnostic Methods for Infectious Disease; Approved Guideline. CLSI document MM3-A2 [ISBN 1-56238-596-8] Clinical and Laboratory Standards Institute, Wayne, Pennsylvania 19087-1898 USA, 2006.</w:t>
      </w:r>
    </w:p>
    <w:p w14:paraId="618C1BA8">
      <w:pPr>
        <w:pStyle w:val="25"/>
        <w:numPr>
          <w:ilvl w:val="0"/>
          <w:numId w:val="7"/>
        </w:numPr>
        <w:shd w:val="clear" w:color="auto" w:fill="auto"/>
        <w:tabs>
          <w:tab w:val="left" w:pos="768"/>
        </w:tabs>
        <w:snapToGrid w:val="0"/>
        <w:spacing w:before="0" w:after="240" w:line="300" w:lineRule="auto"/>
        <w:ind w:left="391" w:hanging="391" w:hangingChars="163"/>
        <w:jc w:val="both"/>
        <w:rPr>
          <w:rFonts w:ascii="Arial" w:hAnsi="Arial" w:eastAsia="宋体" w:cs="Arial"/>
        </w:rPr>
      </w:pPr>
      <w:r>
        <w:rPr>
          <w:rFonts w:ascii="Arial" w:hAnsi="Arial" w:eastAsia="宋体" w:cs="Arial"/>
        </w:rPr>
        <w:t>Clinical and Laboratory Standards Institute (CLSI). Assessment of the Clinical Accuracy of Laboratory Tests Using Receiver Operating Characteristics (ROC) Plots; CLSI document GP10- A Approved Guideline: Clinical and Laboratory Standards Institute; Wayne, Pennsylvania 19087-1898 USA, 1995).</w:t>
      </w:r>
    </w:p>
    <w:p w14:paraId="26F2988E">
      <w:pPr>
        <w:pStyle w:val="25"/>
        <w:numPr>
          <w:ilvl w:val="0"/>
          <w:numId w:val="7"/>
        </w:numPr>
        <w:shd w:val="clear" w:color="auto" w:fill="auto"/>
        <w:tabs>
          <w:tab w:val="left" w:pos="763"/>
        </w:tabs>
        <w:snapToGrid w:val="0"/>
        <w:spacing w:before="0" w:after="240" w:line="300" w:lineRule="auto"/>
        <w:ind w:left="391" w:hanging="391" w:hangingChars="163"/>
        <w:jc w:val="both"/>
        <w:rPr>
          <w:rFonts w:ascii="Arial" w:hAnsi="Arial" w:eastAsia="宋体" w:cs="Arial"/>
        </w:rPr>
      </w:pPr>
      <w:r>
        <w:rPr>
          <w:rFonts w:ascii="Arial" w:hAnsi="Arial" w:eastAsia="宋体" w:cs="Arial"/>
        </w:rPr>
        <w:t>Clinical Laboratory Standards Institute (CLSI). Protocols for Determination of Limits of Detection and limits of Quantitation; Approved guideline - CLSI document EP17-A (ISBN 1</w:t>
      </w:r>
      <w:r>
        <w:rPr>
          <w:rFonts w:ascii="Arial" w:hAnsi="Arial" w:eastAsia="宋体" w:cs="Arial"/>
        </w:rPr>
        <w:softHyphen/>
      </w:r>
      <w:r>
        <w:rPr>
          <w:rFonts w:ascii="Arial" w:hAnsi="Arial" w:eastAsia="宋体" w:cs="Arial"/>
        </w:rPr>
        <w:t>56238-551-8) CLSI, 940 West Valley Road, Suite 1400, Wayne, Pennsylvania 19087-1898 USA, 2004.</w:t>
      </w:r>
    </w:p>
    <w:p w14:paraId="44E4460B">
      <w:pPr>
        <w:rPr>
          <w:rFonts w:ascii="Arial" w:hAnsi="Arial" w:eastAsia="宋体" w:cs="Arial"/>
        </w:rPr>
      </w:pPr>
      <w:r>
        <w:rPr>
          <w:rFonts w:ascii="Arial" w:hAnsi="Arial" w:eastAsia="宋体" w:cs="Arial"/>
        </w:rPr>
        <w:br w:type="page"/>
      </w:r>
    </w:p>
    <w:p w14:paraId="3AB10B7C">
      <w:pPr>
        <w:pStyle w:val="25"/>
        <w:numPr>
          <w:ilvl w:val="0"/>
          <w:numId w:val="7"/>
        </w:numPr>
        <w:shd w:val="clear" w:color="auto" w:fill="auto"/>
        <w:tabs>
          <w:tab w:val="left" w:pos="758"/>
        </w:tabs>
        <w:snapToGrid w:val="0"/>
        <w:spacing w:before="0" w:after="240" w:line="300" w:lineRule="auto"/>
        <w:ind w:left="391" w:hanging="391" w:hangingChars="163"/>
        <w:jc w:val="both"/>
        <w:rPr>
          <w:rFonts w:ascii="Arial" w:hAnsi="Arial" w:eastAsia="宋体" w:cs="Arial"/>
        </w:rPr>
      </w:pPr>
      <w:r>
        <w:rPr>
          <w:rFonts w:ascii="Arial" w:hAnsi="Arial" w:eastAsia="宋体" w:cs="Arial"/>
        </w:rPr>
        <w:t>Clinical Laboratory Standards Institute (CLSI). Interference Testing In Clinical Chemistry Approved Guidelines - Second Edition. CLSI document EP7-A2 (ISBN 1-56238-000-0) CLSI, 940 West Valley Road, Suite 1400, Wayne, Pennsylvania 19087-1898 USA, 2005.</w:t>
      </w:r>
    </w:p>
    <w:p w14:paraId="6AE1EEDA">
      <w:pPr>
        <w:pStyle w:val="25"/>
        <w:numPr>
          <w:ilvl w:val="0"/>
          <w:numId w:val="7"/>
        </w:numPr>
        <w:shd w:val="clear" w:color="auto" w:fill="auto"/>
        <w:tabs>
          <w:tab w:val="left" w:pos="768"/>
        </w:tabs>
        <w:snapToGrid w:val="0"/>
        <w:spacing w:before="0" w:after="240" w:line="300" w:lineRule="auto"/>
        <w:ind w:left="391" w:hanging="391" w:hangingChars="163"/>
        <w:jc w:val="both"/>
        <w:rPr>
          <w:rFonts w:ascii="Arial" w:hAnsi="Arial" w:eastAsia="宋体" w:cs="Arial"/>
        </w:rPr>
      </w:pPr>
      <w:r>
        <w:rPr>
          <w:rFonts w:ascii="Arial" w:hAnsi="Arial" w:eastAsia="宋体" w:cs="Arial"/>
        </w:rPr>
        <w:t>Clinical Laboratory Standards Institute (CLSI). User Verification Of Performance For Precision And Trueness Approved Guidelines - Second Edition. CLSI document EP15-A2 (ISBN 1-56238-000-0) CLSI, 940 West Valley Road, Suite 1400, Wayne, Pennsylvania 19087</w:t>
      </w:r>
      <w:r>
        <w:rPr>
          <w:rFonts w:ascii="Arial" w:hAnsi="Arial" w:eastAsia="宋体" w:cs="Arial"/>
        </w:rPr>
        <w:softHyphen/>
      </w:r>
      <w:r>
        <w:rPr>
          <w:rFonts w:ascii="Arial" w:hAnsi="Arial" w:eastAsia="宋体" w:cs="Arial"/>
        </w:rPr>
        <w:t>1898 USA, 2005.</w:t>
      </w:r>
    </w:p>
    <w:p w14:paraId="18509281">
      <w:pPr>
        <w:pStyle w:val="25"/>
        <w:numPr>
          <w:ilvl w:val="0"/>
          <w:numId w:val="7"/>
        </w:numPr>
        <w:shd w:val="clear" w:color="auto" w:fill="auto"/>
        <w:tabs>
          <w:tab w:val="left" w:pos="754"/>
        </w:tabs>
        <w:snapToGrid w:val="0"/>
        <w:spacing w:before="0" w:line="300" w:lineRule="auto"/>
        <w:ind w:left="391" w:hanging="391" w:hangingChars="163"/>
        <w:jc w:val="both"/>
        <w:rPr>
          <w:rFonts w:ascii="Arial" w:hAnsi="Arial" w:eastAsia="宋体" w:cs="Arial"/>
        </w:rPr>
      </w:pPr>
      <w:r>
        <w:rPr>
          <w:rFonts w:ascii="Arial" w:hAnsi="Arial" w:eastAsia="宋体" w:cs="Arial"/>
        </w:rPr>
        <w:t>Clinical and Laboratory Standards Institute (CLSI). User Protocol for Evaluation of Qualitative Test Performance; Approved Guideline. CLSI document EP12-A (ISBN 1-56238</w:t>
      </w:r>
      <w:r>
        <w:rPr>
          <w:rFonts w:ascii="Arial" w:hAnsi="Arial" w:eastAsia="宋体" w:cs="Arial"/>
        </w:rPr>
        <w:softHyphen/>
      </w:r>
      <w:r>
        <w:rPr>
          <w:rFonts w:ascii="Arial" w:hAnsi="Arial" w:eastAsia="宋体" w:cs="Arial"/>
        </w:rPr>
        <w:t>468-6). CLSI, 940 West Valley Road, Suite 1400, Wayne, Pennsylvania 19087-1898 USA, 2002.</w:t>
      </w:r>
    </w:p>
    <w:p w14:paraId="6145120B">
      <w:pPr>
        <w:pStyle w:val="18"/>
        <w:shd w:val="clear" w:color="auto" w:fill="auto"/>
        <w:snapToGrid w:val="0"/>
        <w:spacing w:line="300" w:lineRule="auto"/>
        <w:rPr>
          <w:rFonts w:hint="eastAsia" w:eastAsia="宋体"/>
          <w:lang w:eastAsia="zh-CN"/>
        </w:rPr>
      </w:pPr>
    </w:p>
    <w:p w14:paraId="147528A5">
      <w:pPr>
        <w:pStyle w:val="18"/>
        <w:shd w:val="clear" w:color="auto" w:fill="auto"/>
        <w:snapToGrid w:val="0"/>
        <w:spacing w:line="300" w:lineRule="auto"/>
        <w:jc w:val="center"/>
        <w:rPr>
          <w:rFonts w:hint="eastAsia" w:eastAsia="宋体"/>
          <w:lang w:eastAsia="zh-CN"/>
        </w:rPr>
      </w:pPr>
    </w:p>
    <w:p w14:paraId="4DCDE7F1">
      <w:pPr>
        <w:pStyle w:val="18"/>
        <w:shd w:val="clear" w:color="auto" w:fill="auto"/>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14"/>
                    <a:stretch>
                      <a:fillRect/>
                    </a:stretch>
                  </pic:blipFill>
                  <pic:spPr>
                    <a:xfrm>
                      <a:off x="0" y="0"/>
                      <a:ext cx="5210175" cy="7343775"/>
                    </a:xfrm>
                    <a:prstGeom prst="rect">
                      <a:avLst/>
                    </a:prstGeom>
                  </pic:spPr>
                </pic:pic>
              </a:graphicData>
            </a:graphic>
          </wp:inline>
        </w:drawing>
      </w:r>
    </w:p>
    <w:sectPr>
      <w:headerReference r:id="rId8" w:type="default"/>
      <w:footerReference r:id="rId10" w:type="default"/>
      <w:headerReference r:id="rId9" w:type="even"/>
      <w:footerReference r:id="rId11" w:type="even"/>
      <w:pgSz w:w="12240" w:h="15840"/>
      <w:pgMar w:top="1385" w:right="1282" w:bottom="1361" w:left="1104"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999656853"/>
      <w:docPartObj>
        <w:docPartGallery w:val="AutoText"/>
      </w:docPartObj>
    </w:sdtPr>
    <w:sdtEndPr>
      <w:rPr>
        <w:rFonts w:ascii="Arial" w:hAnsi="Arial" w:cs="Arial"/>
      </w:rPr>
    </w:sdtEndPr>
    <w:sdtContent>
      <w:p w14:paraId="391A90EE">
        <w:pPr>
          <w:pStyle w:val="5"/>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eastAsia="zh-CN"/>
          </w:rPr>
          <w:t>2</w:t>
        </w:r>
        <w:r>
          <w:rPr>
            <w:rFonts w:ascii="Arial" w:hAnsi="Arial" w:cs="Arial"/>
          </w:rPr>
          <w:fldChar w:fldCharType="end"/>
        </w:r>
      </w:p>
    </w:sdtContent>
  </w:sdt>
  <w:p w14:paraId="34951FE9">
    <w:pPr>
      <w:rPr>
        <w:rFonts w:ascii="Arial" w:hAnsi="Arial" w:cs="Arial"/>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6562">
    <w:pPr>
      <w:rPr>
        <w:sz w:val="2"/>
        <w:szCs w:val="2"/>
      </w:rPr>
    </w:pPr>
    <w:r>
      <w:rPr>
        <w:lang w:eastAsia="zh-CN" w:bidi="ar-SA"/>
      </w:rPr>
      <mc:AlternateContent>
        <mc:Choice Requires="wps">
          <w:drawing>
            <wp:anchor distT="0" distB="0" distL="63500" distR="63500" simplePos="0" relativeHeight="251661312" behindDoc="1" locked="0" layoutInCell="1" allowOverlap="1">
              <wp:simplePos x="0" y="0"/>
              <wp:positionH relativeFrom="page">
                <wp:posOffset>6297295</wp:posOffset>
              </wp:positionH>
              <wp:positionV relativeFrom="page">
                <wp:posOffset>9478010</wp:posOffset>
              </wp:positionV>
              <wp:extent cx="128270" cy="100330"/>
              <wp:effectExtent l="1270" t="635" r="3810" b="381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wps:spPr>
                    <wps:txbx>
                      <w:txbxContent>
                        <w:p w14:paraId="65D05466">
                          <w:pPr>
                            <w:pStyle w:val="32"/>
                            <w:shd w:val="clear" w:color="auto" w:fill="auto"/>
                            <w:spacing w:line="240" w:lineRule="auto"/>
                          </w:pPr>
                          <w:r>
                            <w:fldChar w:fldCharType="begin"/>
                          </w:r>
                          <w:r>
                            <w:instrText xml:space="preserve"> PAGE \* MERGEFORMAT </w:instrText>
                          </w:r>
                          <w:r>
                            <w:fldChar w:fldCharType="separate"/>
                          </w:r>
                          <w:r>
                            <w:rPr>
                              <w:rStyle w:val="34"/>
                              <w:i w:val="0"/>
                              <w:iCs w:val="0"/>
                            </w:rPr>
                            <w:t>21</w:t>
                          </w:r>
                          <w:r>
                            <w:rPr>
                              <w:rStyle w:val="34"/>
                              <w:i w:val="0"/>
                              <w:iCs w:val="0"/>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left:495.85pt;margin-top:746.3pt;height:7.9pt;width:10.1pt;mso-position-horizontal-relative:page;mso-position-vertical-relative:page;mso-wrap-style:none;z-index:-251655168;mso-width-relative:page;mso-height-relative:page;" filled="f" stroked="f" coordsize="21600,21600" o:gfxdata="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p/IrNkAAAAOAQAADwAAAAAAAAABACAAAAAiAAAAZHJzL2Rvd25yZXYueG1s&#10;UEsBAhQAFAAAAAgAh07iQBMuo/r3AQAAAQQAAA4AAAAAAAAAAQAgAAAAKAEAAGRycy9lMm9Eb2Mu&#10;eG1sUEsFBgAAAAAGAAYAWQEAAJEFAAAAAA==&#10;">
              <v:fill on="f" focussize="0,0"/>
              <v:stroke on="f"/>
              <v:imagedata o:title=""/>
              <o:lock v:ext="edit" aspectratio="f"/>
              <v:textbox inset="0mm,0mm,0mm,0mm" style="mso-fit-shape-to-text:t;">
                <w:txbxContent>
                  <w:p w14:paraId="65D05466">
                    <w:pPr>
                      <w:pStyle w:val="32"/>
                      <w:shd w:val="clear" w:color="auto" w:fill="auto"/>
                      <w:spacing w:line="240" w:lineRule="auto"/>
                    </w:pPr>
                    <w:r>
                      <w:fldChar w:fldCharType="begin"/>
                    </w:r>
                    <w:r>
                      <w:instrText xml:space="preserve"> PAGE \* MERGEFORMAT </w:instrText>
                    </w:r>
                    <w:r>
                      <w:fldChar w:fldCharType="separate"/>
                    </w:r>
                    <w:r>
                      <w:rPr>
                        <w:rStyle w:val="34"/>
                        <w:i w:val="0"/>
                        <w:iCs w:val="0"/>
                      </w:rPr>
                      <w:t>21</w:t>
                    </w:r>
                    <w:r>
                      <w:rPr>
                        <w:rStyle w:val="34"/>
                        <w:i w:val="0"/>
                        <w:iCs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DFB39">
    <w:pPr>
      <w:rPr>
        <w:sz w:val="2"/>
        <w:szCs w:val="2"/>
      </w:rPr>
    </w:pPr>
    <w:r>
      <w:rPr>
        <w:lang w:eastAsia="zh-CN" w:bidi="ar-SA"/>
      </w:rPr>
      <mc:AlternateContent>
        <mc:Choice Requires="wps">
          <w:drawing>
            <wp:anchor distT="0" distB="0" distL="63500" distR="63500" simplePos="0" relativeHeight="251661312" behindDoc="1" locked="0" layoutInCell="1" allowOverlap="1">
              <wp:simplePos x="0" y="0"/>
              <wp:positionH relativeFrom="page">
                <wp:posOffset>6297295</wp:posOffset>
              </wp:positionH>
              <wp:positionV relativeFrom="page">
                <wp:posOffset>9478010</wp:posOffset>
              </wp:positionV>
              <wp:extent cx="128270" cy="100330"/>
              <wp:effectExtent l="1270" t="635" r="3810" b="381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wps:spPr>
                    <wps:txbx>
                      <w:txbxContent>
                        <w:p w14:paraId="2994FABE">
                          <w:pPr>
                            <w:pStyle w:val="32"/>
                            <w:shd w:val="clear" w:color="auto" w:fill="auto"/>
                            <w:spacing w:line="240" w:lineRule="auto"/>
                            <w:rPr>
                              <w:rFonts w:ascii="Arial" w:hAnsi="Arial" w:cs="Arial"/>
                            </w:rPr>
                          </w:pPr>
                          <w:r>
                            <w:fldChar w:fldCharType="begin"/>
                          </w:r>
                          <w:r>
                            <w:rPr>
                              <w:rFonts w:ascii="Arial" w:hAnsi="Arial" w:cs="Arial"/>
                            </w:rPr>
                            <w:instrText xml:space="preserve"> PAGE \* MERGEFORMAT </w:instrText>
                          </w:r>
                          <w:r>
                            <w:fldChar w:fldCharType="separate"/>
                          </w:r>
                          <w:r>
                            <w:rPr>
                              <w:rStyle w:val="34"/>
                              <w:rFonts w:ascii="Arial" w:hAnsi="Arial" w:cs="Arial"/>
                              <w:i w:val="0"/>
                              <w:iCs w:val="0"/>
                            </w:rPr>
                            <w:t>22</w:t>
                          </w:r>
                          <w:r>
                            <w:rPr>
                              <w:rStyle w:val="34"/>
                              <w:rFonts w:ascii="Arial" w:hAnsi="Arial" w:cs="Arial"/>
                              <w:i w:val="0"/>
                              <w:iCs w:val="0"/>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left:495.85pt;margin-top:746.3pt;height:7.9pt;width:10.1pt;mso-position-horizontal-relative:page;mso-position-vertical-relative:page;mso-wrap-style:none;z-index:-251655168;mso-width-relative:page;mso-height-relative:page;" filled="f" stroked="f" coordsize="21600,21600" o:gfxdata="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n8is2QAAAA4BAAAPAAAAAAAAAAEAIAAAACIAAABkcnMvZG93bnJldi54&#10;bWxQSwECFAAUAAAACACHTuJA1/wOwfkBAAABBAAADgAAAAAAAAABACAAAAAoAQAAZHJzL2Uyb0Rv&#10;Yy54bWxQSwUGAAAAAAYABgBZAQAAkwUAAAAA&#10;">
              <v:fill on="f" focussize="0,0"/>
              <v:stroke on="f"/>
              <v:imagedata o:title=""/>
              <o:lock v:ext="edit" aspectratio="f"/>
              <v:textbox inset="0mm,0mm,0mm,0mm" style="mso-fit-shape-to-text:t;">
                <w:txbxContent>
                  <w:p w14:paraId="2994FABE">
                    <w:pPr>
                      <w:pStyle w:val="32"/>
                      <w:shd w:val="clear" w:color="auto" w:fill="auto"/>
                      <w:spacing w:line="240" w:lineRule="auto"/>
                      <w:rPr>
                        <w:rFonts w:ascii="Arial" w:hAnsi="Arial" w:cs="Arial"/>
                      </w:rPr>
                    </w:pPr>
                    <w:r>
                      <w:fldChar w:fldCharType="begin"/>
                    </w:r>
                    <w:r>
                      <w:rPr>
                        <w:rFonts w:ascii="Arial" w:hAnsi="Arial" w:cs="Arial"/>
                      </w:rPr>
                      <w:instrText xml:space="preserve"> PAGE \* MERGEFORMAT </w:instrText>
                    </w:r>
                    <w:r>
                      <w:fldChar w:fldCharType="separate"/>
                    </w:r>
                    <w:r>
                      <w:rPr>
                        <w:rStyle w:val="34"/>
                        <w:rFonts w:ascii="Arial" w:hAnsi="Arial" w:cs="Arial"/>
                        <w:i w:val="0"/>
                        <w:iCs w:val="0"/>
                      </w:rPr>
                      <w:t>22</w:t>
                    </w:r>
                    <w:r>
                      <w:rPr>
                        <w:rStyle w:val="34"/>
                        <w:rFonts w:ascii="Arial" w:hAnsi="Arial" w:cs="Arial"/>
                        <w:i w:val="0"/>
                        <w:iCs w:val="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6E85F">
    <w:pPr>
      <w:rPr>
        <w:sz w:val="2"/>
        <w:szCs w:val="2"/>
      </w:rPr>
    </w:pPr>
  </w:p>
  <w:p w14:paraId="02B52089">
    <w:pPr>
      <w:rPr>
        <w:sz w:val="2"/>
        <w:szCs w:val="2"/>
      </w:rPr>
    </w:pPr>
  </w:p>
  <w:p w14:paraId="63859E74">
    <w:pPr>
      <w:rPr>
        <w:sz w:val="2"/>
        <w:szCs w:val="2"/>
      </w:rPr>
    </w:pPr>
  </w:p>
  <w:p w14:paraId="091D90ED">
    <w:pPr>
      <w:rPr>
        <w:sz w:val="2"/>
        <w:szCs w:val="2"/>
      </w:rPr>
    </w:pPr>
  </w:p>
  <w:p w14:paraId="20B1109C">
    <w:pPr>
      <w:rPr>
        <w:sz w:val="2"/>
        <w:szCs w:val="2"/>
      </w:rPr>
    </w:pPr>
  </w:p>
  <w:p w14:paraId="179ABCC2">
    <w:pPr>
      <w:rPr>
        <w:sz w:val="2"/>
        <w:szCs w:val="2"/>
      </w:rPr>
    </w:pPr>
  </w:p>
  <w:p w14:paraId="23EE4409">
    <w:pPr>
      <w:rPr>
        <w:sz w:val="2"/>
        <w:szCs w:val="2"/>
      </w:rPr>
    </w:pPr>
  </w:p>
  <w:p w14:paraId="1207586F">
    <w:pPr>
      <w:rPr>
        <w:sz w:val="2"/>
        <w:szCs w:val="2"/>
      </w:rPr>
    </w:pPr>
  </w:p>
  <w:p w14:paraId="7623FBAC">
    <w:pPr>
      <w:rPr>
        <w:sz w:val="2"/>
        <w:szCs w:val="2"/>
      </w:rPr>
    </w:pPr>
  </w:p>
  <w:p w14:paraId="2508B9C0">
    <w:pPr>
      <w:rPr>
        <w:sz w:val="2"/>
        <w:szCs w:val="2"/>
      </w:rPr>
    </w:pPr>
  </w:p>
  <w:p w14:paraId="2F818ACC">
    <w:pPr>
      <w:rPr>
        <w:sz w:val="2"/>
        <w:szCs w:val="2"/>
      </w:rPr>
    </w:pPr>
  </w:p>
  <w:p w14:paraId="0B1CE640">
    <w:pPr>
      <w:rPr>
        <w:sz w:val="2"/>
        <w:szCs w:val="2"/>
      </w:rPr>
    </w:pPr>
  </w:p>
  <w:p w14:paraId="08A2671F">
    <w:pPr>
      <w:rPr>
        <w:sz w:val="2"/>
        <w:szCs w:val="2"/>
      </w:rPr>
    </w:pPr>
  </w:p>
  <w:p w14:paraId="20DFAE9E">
    <w:pPr>
      <w:rPr>
        <w:sz w:val="2"/>
        <w:szCs w:val="2"/>
      </w:rPr>
    </w:pPr>
  </w:p>
  <w:p w14:paraId="0FE000A1">
    <w:pPr>
      <w:rPr>
        <w:sz w:val="2"/>
        <w:szCs w:val="2"/>
      </w:rPr>
    </w:pPr>
  </w:p>
  <w:p w14:paraId="40C14F8E">
    <w:pPr>
      <w:rPr>
        <w:sz w:val="2"/>
        <w:szCs w:val="2"/>
      </w:rPr>
    </w:pPr>
  </w:p>
  <w:p w14:paraId="37EE99B3">
    <w:pPr>
      <w:rPr>
        <w:sz w:val="2"/>
        <w:szCs w:val="2"/>
      </w:rPr>
    </w:pPr>
  </w:p>
  <w:p w14:paraId="6CDF3B2F">
    <w:pPr>
      <w:rPr>
        <w:sz w:val="2"/>
        <w:szCs w:val="2"/>
      </w:rPr>
    </w:pPr>
  </w:p>
  <w:p w14:paraId="30F660C3">
    <w:pPr>
      <w:rPr>
        <w:sz w:val="2"/>
        <w:szCs w:val="2"/>
      </w:rPr>
    </w:pPr>
  </w:p>
  <w:p w14:paraId="4EB73285">
    <w:pPr>
      <w:rPr>
        <w:sz w:val="2"/>
        <w:szCs w:val="2"/>
      </w:rPr>
    </w:pPr>
  </w:p>
  <w:p w14:paraId="392BB02F">
    <w:pPr>
      <w:rPr>
        <w:sz w:val="2"/>
        <w:szCs w:val="2"/>
      </w:rPr>
    </w:pPr>
  </w:p>
  <w:p w14:paraId="4F4A1DF5">
    <w:pPr>
      <w:rPr>
        <w:sz w:val="2"/>
        <w:szCs w:val="2"/>
      </w:rPr>
    </w:pPr>
  </w:p>
  <w:p w14:paraId="6DA303C9">
    <w:pPr>
      <w:rPr>
        <w:sz w:val="2"/>
        <w:szCs w:val="2"/>
      </w:rPr>
    </w:pPr>
  </w:p>
  <w:p w14:paraId="041AEC44">
    <w:pPr>
      <w:rPr>
        <w:sz w:val="2"/>
        <w:szCs w:val="2"/>
      </w:rPr>
    </w:pPr>
  </w:p>
  <w:p w14:paraId="6D9039FB">
    <w:pPr>
      <w:rPr>
        <w:sz w:val="2"/>
        <w:szCs w:val="2"/>
      </w:rPr>
    </w:pPr>
  </w:p>
  <w:p w14:paraId="1BAFBDF1">
    <w:pPr>
      <w:pStyle w:val="32"/>
      <w:shd w:val="clear" w:color="auto" w:fill="auto"/>
      <w:spacing w:line="240" w:lineRule="auto"/>
      <w:jc w:val="center"/>
    </w:pPr>
  </w:p>
  <w:p w14:paraId="0E3D7CF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7585">
    <w:pPr>
      <w:rPr>
        <w:sz w:val="2"/>
        <w:szCs w:val="2"/>
      </w:rPr>
    </w:pPr>
  </w:p>
  <w:p w14:paraId="5CD8DA34">
    <w:pPr>
      <w:rPr>
        <w:sz w:val="2"/>
        <w:szCs w:val="2"/>
      </w:rPr>
    </w:pPr>
  </w:p>
  <w:p w14:paraId="221C8298">
    <w:pPr>
      <w:rPr>
        <w:sz w:val="2"/>
        <w:szCs w:val="2"/>
      </w:rPr>
    </w:pPr>
  </w:p>
  <w:p w14:paraId="26FAEA8E">
    <w:pPr>
      <w:rPr>
        <w:sz w:val="2"/>
        <w:szCs w:val="2"/>
      </w:rPr>
    </w:pPr>
  </w:p>
  <w:p w14:paraId="71606C43">
    <w:pPr>
      <w:rPr>
        <w:sz w:val="2"/>
        <w:szCs w:val="2"/>
      </w:rPr>
    </w:pPr>
  </w:p>
  <w:p w14:paraId="3FD67252">
    <w:pPr>
      <w:rPr>
        <w:sz w:val="2"/>
        <w:szCs w:val="2"/>
      </w:rPr>
    </w:pPr>
  </w:p>
  <w:p w14:paraId="7EC5D2DE">
    <w:pPr>
      <w:rPr>
        <w:sz w:val="2"/>
        <w:szCs w:val="2"/>
      </w:rPr>
    </w:pPr>
  </w:p>
  <w:p w14:paraId="2A3E3AD2">
    <w:pPr>
      <w:rPr>
        <w:sz w:val="2"/>
        <w:szCs w:val="2"/>
      </w:rPr>
    </w:pPr>
  </w:p>
  <w:p w14:paraId="391BB5FF">
    <w:pPr>
      <w:rPr>
        <w:sz w:val="2"/>
        <w:szCs w:val="2"/>
      </w:rPr>
    </w:pPr>
  </w:p>
  <w:p w14:paraId="0F0B1A28">
    <w:pPr>
      <w:rPr>
        <w:sz w:val="2"/>
        <w:szCs w:val="2"/>
      </w:rPr>
    </w:pPr>
  </w:p>
  <w:p w14:paraId="0BFBCBB1">
    <w:pPr>
      <w:rPr>
        <w:sz w:val="2"/>
        <w:szCs w:val="2"/>
      </w:rPr>
    </w:pPr>
  </w:p>
  <w:p w14:paraId="61B529E2">
    <w:pPr>
      <w:rPr>
        <w:sz w:val="2"/>
        <w:szCs w:val="2"/>
      </w:rPr>
    </w:pPr>
  </w:p>
  <w:p w14:paraId="2259A10C">
    <w:pPr>
      <w:rPr>
        <w:sz w:val="2"/>
        <w:szCs w:val="2"/>
      </w:rPr>
    </w:pPr>
  </w:p>
  <w:p w14:paraId="4E1C741E">
    <w:pPr>
      <w:rPr>
        <w:sz w:val="2"/>
        <w:szCs w:val="2"/>
      </w:rPr>
    </w:pPr>
  </w:p>
  <w:p w14:paraId="546A7696">
    <w:pPr>
      <w:rPr>
        <w:sz w:val="2"/>
        <w:szCs w:val="2"/>
      </w:rPr>
    </w:pPr>
  </w:p>
  <w:p w14:paraId="7C089885">
    <w:pPr>
      <w:rPr>
        <w:sz w:val="2"/>
        <w:szCs w:val="2"/>
      </w:rPr>
    </w:pPr>
  </w:p>
  <w:p w14:paraId="55138ABA">
    <w:pPr>
      <w:rPr>
        <w:sz w:val="2"/>
        <w:szCs w:val="2"/>
      </w:rPr>
    </w:pPr>
  </w:p>
  <w:p w14:paraId="1B571339">
    <w:pPr>
      <w:rPr>
        <w:sz w:val="2"/>
        <w:szCs w:val="2"/>
      </w:rPr>
    </w:pPr>
  </w:p>
  <w:p w14:paraId="03B2D9C8">
    <w:pPr>
      <w:rPr>
        <w:sz w:val="2"/>
        <w:szCs w:val="2"/>
      </w:rPr>
    </w:pPr>
  </w:p>
  <w:p w14:paraId="2DEF4EC7">
    <w:pPr>
      <w:rPr>
        <w:sz w:val="2"/>
        <w:szCs w:val="2"/>
      </w:rPr>
    </w:pPr>
  </w:p>
  <w:p w14:paraId="24CAF1C6">
    <w:pPr>
      <w:rPr>
        <w:sz w:val="2"/>
        <w:szCs w:val="2"/>
      </w:rPr>
    </w:pPr>
  </w:p>
  <w:p w14:paraId="3325BD2B">
    <w:pPr>
      <w:rPr>
        <w:sz w:val="2"/>
        <w:szCs w:val="2"/>
      </w:rPr>
    </w:pPr>
  </w:p>
  <w:p w14:paraId="59146C03">
    <w:pPr>
      <w:rPr>
        <w:sz w:val="2"/>
        <w:szCs w:val="2"/>
      </w:rPr>
    </w:pPr>
  </w:p>
  <w:p w14:paraId="6FC1E43F">
    <w:pPr>
      <w:rPr>
        <w:sz w:val="2"/>
        <w:szCs w:val="2"/>
      </w:rPr>
    </w:pPr>
  </w:p>
  <w:p w14:paraId="7C03A79D">
    <w:pPr>
      <w:rPr>
        <w:sz w:val="2"/>
        <w:szCs w:val="2"/>
      </w:rPr>
    </w:pPr>
  </w:p>
  <w:p w14:paraId="62593921">
    <w:pPr>
      <w:pStyle w:val="32"/>
      <w:shd w:val="clear" w:color="auto" w:fill="auto"/>
      <w:spacing w:line="240" w:lineRule="auto"/>
      <w:jc w:val="center"/>
      <w:rPr>
        <w:rStyle w:val="33"/>
        <w:rFonts w:ascii="宋体" w:hAnsi="宋体" w:eastAsia="宋体"/>
        <w:i/>
        <w:iCs/>
        <w:lang w:eastAsia="zh-CN"/>
      </w:rPr>
    </w:pPr>
    <w:r>
      <w:rPr>
        <w:rStyle w:val="33"/>
        <w:rFonts w:hint="eastAsia" w:ascii="宋体" w:hAnsi="宋体" w:eastAsia="宋体"/>
        <w:i/>
        <w:iCs/>
        <w:lang w:eastAsia="zh-CN"/>
      </w:rPr>
      <w:t>草案-不用于实施</w:t>
    </w:r>
  </w:p>
  <w:p w14:paraId="6B5EA2ED">
    <w:pPr>
      <w:pStyle w:val="32"/>
      <w:shd w:val="clear" w:color="auto" w:fill="auto"/>
      <w:spacing w:line="240" w:lineRule="auto"/>
      <w:jc w:val="center"/>
    </w:pPr>
  </w:p>
  <w:p w14:paraId="36BA01E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269E5">
    <w:pPr>
      <w:rPr>
        <w:sz w:val="2"/>
        <w:szCs w:val="2"/>
      </w:rPr>
    </w:pPr>
  </w:p>
  <w:p w14:paraId="06C274E2">
    <w:pPr>
      <w:rPr>
        <w:sz w:val="2"/>
        <w:szCs w:val="2"/>
      </w:rPr>
    </w:pPr>
  </w:p>
  <w:p w14:paraId="5A35795F">
    <w:pPr>
      <w:rPr>
        <w:sz w:val="2"/>
        <w:szCs w:val="2"/>
      </w:rPr>
    </w:pPr>
  </w:p>
  <w:p w14:paraId="687DAF60">
    <w:pPr>
      <w:rPr>
        <w:sz w:val="2"/>
        <w:szCs w:val="2"/>
      </w:rPr>
    </w:pPr>
  </w:p>
  <w:p w14:paraId="61DF96D3">
    <w:pPr>
      <w:rPr>
        <w:sz w:val="2"/>
        <w:szCs w:val="2"/>
      </w:rPr>
    </w:pPr>
  </w:p>
  <w:p w14:paraId="3ED4356A">
    <w:pPr>
      <w:rPr>
        <w:sz w:val="2"/>
        <w:szCs w:val="2"/>
      </w:rPr>
    </w:pPr>
  </w:p>
  <w:p w14:paraId="6CB3A7E4">
    <w:pPr>
      <w:rPr>
        <w:sz w:val="2"/>
        <w:szCs w:val="2"/>
      </w:rPr>
    </w:pPr>
  </w:p>
  <w:p w14:paraId="46D996C2">
    <w:pPr>
      <w:rPr>
        <w:sz w:val="2"/>
        <w:szCs w:val="2"/>
      </w:rPr>
    </w:pPr>
  </w:p>
  <w:p w14:paraId="412D3244">
    <w:pPr>
      <w:rPr>
        <w:sz w:val="2"/>
        <w:szCs w:val="2"/>
      </w:rPr>
    </w:pPr>
  </w:p>
  <w:p w14:paraId="2F602A3C">
    <w:pPr>
      <w:rPr>
        <w:sz w:val="2"/>
        <w:szCs w:val="2"/>
      </w:rPr>
    </w:pPr>
  </w:p>
  <w:p w14:paraId="096FF0E1">
    <w:pPr>
      <w:rPr>
        <w:sz w:val="2"/>
        <w:szCs w:val="2"/>
      </w:rPr>
    </w:pPr>
  </w:p>
  <w:p w14:paraId="02A2EF94">
    <w:pPr>
      <w:rPr>
        <w:sz w:val="2"/>
        <w:szCs w:val="2"/>
      </w:rPr>
    </w:pPr>
  </w:p>
  <w:p w14:paraId="1EA0ABC5">
    <w:pPr>
      <w:rPr>
        <w:sz w:val="2"/>
        <w:szCs w:val="2"/>
      </w:rPr>
    </w:pPr>
  </w:p>
  <w:p w14:paraId="1D31D2A5">
    <w:pPr>
      <w:rPr>
        <w:sz w:val="2"/>
        <w:szCs w:val="2"/>
      </w:rPr>
    </w:pPr>
  </w:p>
  <w:p w14:paraId="270BBDD6">
    <w:pPr>
      <w:rPr>
        <w:sz w:val="2"/>
        <w:szCs w:val="2"/>
      </w:rPr>
    </w:pPr>
  </w:p>
  <w:p w14:paraId="4F2009A7">
    <w:pPr>
      <w:rPr>
        <w:sz w:val="2"/>
        <w:szCs w:val="2"/>
      </w:rPr>
    </w:pPr>
  </w:p>
  <w:p w14:paraId="10D7B53C">
    <w:pPr>
      <w:rPr>
        <w:sz w:val="2"/>
        <w:szCs w:val="2"/>
      </w:rPr>
    </w:pPr>
  </w:p>
  <w:p w14:paraId="7569B14A">
    <w:pPr>
      <w:rPr>
        <w:sz w:val="2"/>
        <w:szCs w:val="2"/>
      </w:rPr>
    </w:pPr>
  </w:p>
  <w:p w14:paraId="17E04146">
    <w:pPr>
      <w:rPr>
        <w:sz w:val="2"/>
        <w:szCs w:val="2"/>
      </w:rPr>
    </w:pPr>
  </w:p>
  <w:p w14:paraId="4730C694">
    <w:pPr>
      <w:rPr>
        <w:sz w:val="2"/>
        <w:szCs w:val="2"/>
      </w:rPr>
    </w:pPr>
  </w:p>
  <w:p w14:paraId="16506E5D">
    <w:pPr>
      <w:rPr>
        <w:sz w:val="2"/>
        <w:szCs w:val="2"/>
      </w:rPr>
    </w:pPr>
  </w:p>
  <w:p w14:paraId="2F964386">
    <w:pPr>
      <w:rPr>
        <w:sz w:val="2"/>
        <w:szCs w:val="2"/>
      </w:rPr>
    </w:pPr>
  </w:p>
  <w:p w14:paraId="7AA1BE3D">
    <w:pPr>
      <w:rPr>
        <w:sz w:val="2"/>
        <w:szCs w:val="2"/>
      </w:rPr>
    </w:pPr>
  </w:p>
  <w:p w14:paraId="01F1BA7E">
    <w:pPr>
      <w:rPr>
        <w:sz w:val="2"/>
        <w:szCs w:val="2"/>
      </w:rPr>
    </w:pPr>
  </w:p>
  <w:p w14:paraId="1B6BEA96">
    <w:pPr>
      <w:rPr>
        <w:sz w:val="2"/>
        <w:szCs w:val="2"/>
      </w:rPr>
    </w:pPr>
  </w:p>
  <w:p w14:paraId="2F9F3A1D">
    <w:pPr>
      <w:pStyle w:val="32"/>
      <w:shd w:val="clear" w:color="auto" w:fill="auto"/>
      <w:spacing w:line="240" w:lineRule="auto"/>
      <w:jc w:val="center"/>
      <w:rPr>
        <w:rStyle w:val="33"/>
        <w:rFonts w:ascii="宋体" w:hAnsi="宋体" w:eastAsia="宋体"/>
        <w:i/>
        <w:iCs/>
        <w:lang w:eastAsia="zh-CN"/>
      </w:rPr>
    </w:pPr>
  </w:p>
  <w:p w14:paraId="4818118D">
    <w:pPr>
      <w:rPr>
        <w:sz w:val="2"/>
        <w:szCs w:val="2"/>
      </w:rPr>
    </w:pPr>
  </w:p>
  <w:p w14:paraId="4ACBE8DC">
    <w:pPr>
      <w:rPr>
        <w:sz w:val="2"/>
        <w:szCs w:val="2"/>
      </w:rPr>
    </w:pPr>
  </w:p>
  <w:p w14:paraId="194A8294">
    <w:pPr>
      <w:pStyle w:val="32"/>
      <w:shd w:val="clear" w:color="auto" w:fill="auto"/>
      <w:spacing w:line="240" w:lineRule="auto"/>
      <w:jc w:val="center"/>
      <w:rPr>
        <w:rFonts w:ascii="宋体" w:hAnsi="宋体" w:eastAsia="宋体"/>
        <w:lang w:eastAsia="zh-CN"/>
      </w:rPr>
    </w:pPr>
    <w:r>
      <w:rPr>
        <w:rStyle w:val="33"/>
        <w:rFonts w:hint="eastAsia" w:ascii="宋体" w:hAnsi="宋体" w:eastAsia="宋体"/>
        <w:i/>
        <w:iCs/>
        <w:lang w:eastAsia="zh-CN"/>
      </w:rPr>
      <w:t>草案-不用于实施</w:t>
    </w:r>
  </w:p>
  <w:p w14:paraId="6531D312">
    <w:pPr>
      <w:rPr>
        <w:sz w:val="2"/>
        <w:szCs w:val="2"/>
      </w:rPr>
    </w:pPr>
  </w:p>
  <w:p w14:paraId="6E16DA0C">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4DB95">
    <w:pPr>
      <w:rPr>
        <w:sz w:val="2"/>
        <w:szCs w:val="2"/>
      </w:rPr>
    </w:pPr>
  </w:p>
  <w:p w14:paraId="322DC545">
    <w:pPr>
      <w:rPr>
        <w:sz w:val="2"/>
        <w:szCs w:val="2"/>
      </w:rPr>
    </w:pPr>
  </w:p>
  <w:p w14:paraId="0B2196C7">
    <w:pPr>
      <w:rPr>
        <w:sz w:val="2"/>
        <w:szCs w:val="2"/>
      </w:rPr>
    </w:pPr>
  </w:p>
  <w:p w14:paraId="50930706">
    <w:pPr>
      <w:rPr>
        <w:sz w:val="2"/>
        <w:szCs w:val="2"/>
      </w:rPr>
    </w:pPr>
  </w:p>
  <w:p w14:paraId="623457B3">
    <w:pPr>
      <w:rPr>
        <w:sz w:val="2"/>
        <w:szCs w:val="2"/>
      </w:rPr>
    </w:pPr>
  </w:p>
  <w:p w14:paraId="08831BA7">
    <w:pPr>
      <w:rPr>
        <w:sz w:val="2"/>
        <w:szCs w:val="2"/>
      </w:rPr>
    </w:pPr>
  </w:p>
  <w:p w14:paraId="3E6C4872">
    <w:pPr>
      <w:rPr>
        <w:sz w:val="2"/>
        <w:szCs w:val="2"/>
      </w:rPr>
    </w:pPr>
  </w:p>
  <w:p w14:paraId="419516F8">
    <w:pPr>
      <w:rPr>
        <w:sz w:val="2"/>
        <w:szCs w:val="2"/>
      </w:rPr>
    </w:pPr>
  </w:p>
  <w:p w14:paraId="6E9BBF0F">
    <w:pPr>
      <w:rPr>
        <w:sz w:val="2"/>
        <w:szCs w:val="2"/>
      </w:rPr>
    </w:pPr>
  </w:p>
  <w:p w14:paraId="70E42F05">
    <w:pPr>
      <w:rPr>
        <w:sz w:val="2"/>
        <w:szCs w:val="2"/>
      </w:rPr>
    </w:pPr>
  </w:p>
  <w:p w14:paraId="49A1A431">
    <w:pPr>
      <w:rPr>
        <w:sz w:val="2"/>
        <w:szCs w:val="2"/>
      </w:rPr>
    </w:pPr>
  </w:p>
  <w:p w14:paraId="3905578A">
    <w:pPr>
      <w:rPr>
        <w:sz w:val="2"/>
        <w:szCs w:val="2"/>
      </w:rPr>
    </w:pPr>
  </w:p>
  <w:p w14:paraId="57CC3DE3">
    <w:pPr>
      <w:rPr>
        <w:sz w:val="2"/>
        <w:szCs w:val="2"/>
      </w:rPr>
    </w:pPr>
  </w:p>
  <w:p w14:paraId="2F4026FB">
    <w:pPr>
      <w:rPr>
        <w:sz w:val="2"/>
        <w:szCs w:val="2"/>
      </w:rPr>
    </w:pPr>
  </w:p>
  <w:p w14:paraId="1B74525F">
    <w:pPr>
      <w:rPr>
        <w:sz w:val="2"/>
        <w:szCs w:val="2"/>
      </w:rPr>
    </w:pPr>
  </w:p>
  <w:p w14:paraId="4A14176B">
    <w:pPr>
      <w:rPr>
        <w:sz w:val="2"/>
        <w:szCs w:val="2"/>
      </w:rPr>
    </w:pPr>
  </w:p>
  <w:p w14:paraId="0E53B11B">
    <w:pPr>
      <w:rPr>
        <w:sz w:val="2"/>
        <w:szCs w:val="2"/>
      </w:rPr>
    </w:pPr>
  </w:p>
  <w:p w14:paraId="1EE389CD">
    <w:pPr>
      <w:rPr>
        <w:sz w:val="2"/>
        <w:szCs w:val="2"/>
      </w:rPr>
    </w:pPr>
  </w:p>
  <w:p w14:paraId="0C40AFF0">
    <w:pPr>
      <w:rPr>
        <w:sz w:val="2"/>
        <w:szCs w:val="2"/>
      </w:rPr>
    </w:pPr>
  </w:p>
  <w:p w14:paraId="035CD292">
    <w:pPr>
      <w:rPr>
        <w:sz w:val="2"/>
        <w:szCs w:val="2"/>
      </w:rPr>
    </w:pPr>
  </w:p>
  <w:p w14:paraId="6054EF74">
    <w:pPr>
      <w:rPr>
        <w:sz w:val="2"/>
        <w:szCs w:val="2"/>
      </w:rPr>
    </w:pPr>
  </w:p>
  <w:p w14:paraId="39C4AB46">
    <w:pPr>
      <w:rPr>
        <w:sz w:val="2"/>
        <w:szCs w:val="2"/>
      </w:rPr>
    </w:pPr>
  </w:p>
  <w:p w14:paraId="5D66DBBF">
    <w:pPr>
      <w:rPr>
        <w:sz w:val="2"/>
        <w:szCs w:val="2"/>
      </w:rPr>
    </w:pPr>
  </w:p>
  <w:p w14:paraId="2B8175CC">
    <w:pPr>
      <w:rPr>
        <w:sz w:val="2"/>
        <w:szCs w:val="2"/>
      </w:rPr>
    </w:pPr>
  </w:p>
  <w:p w14:paraId="4A9B4F4F">
    <w:pPr>
      <w:rPr>
        <w:sz w:val="2"/>
        <w:szCs w:val="2"/>
      </w:rPr>
    </w:pPr>
  </w:p>
  <w:p w14:paraId="04879A1E">
    <w:pPr>
      <w:pStyle w:val="32"/>
      <w:shd w:val="clear" w:color="auto" w:fill="auto"/>
      <w:spacing w:line="240" w:lineRule="auto"/>
      <w:jc w:val="center"/>
      <w:rPr>
        <w:rStyle w:val="33"/>
        <w:rFonts w:ascii="宋体" w:hAnsi="宋体" w:eastAsia="宋体"/>
        <w:i/>
        <w:iCs/>
        <w:lang w:eastAsia="zh-CN"/>
      </w:rPr>
    </w:pPr>
    <w:r>
      <w:rPr>
        <w:rStyle w:val="33"/>
        <w:rFonts w:hint="eastAsia" w:ascii="宋体" w:hAnsi="宋体" w:eastAsia="宋体"/>
        <w:i/>
        <w:iCs/>
        <w:lang w:eastAsia="zh-CN"/>
      </w:rPr>
      <w:t>草案-不用于实施</w:t>
    </w:r>
  </w:p>
  <w:p w14:paraId="03F389EB">
    <w:pPr>
      <w:pStyle w:val="32"/>
      <w:shd w:val="clear" w:color="auto" w:fill="auto"/>
      <w:spacing w:line="240" w:lineRule="auto"/>
      <w:jc w:val="center"/>
    </w:pPr>
  </w:p>
  <w:p w14:paraId="09F192A3">
    <w:pPr>
      <w:rPr>
        <w:sz w:val="2"/>
        <w:szCs w:val="2"/>
      </w:rPr>
    </w:pPr>
  </w:p>
  <w:p w14:paraId="3C297CA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A6487"/>
    <w:multiLevelType w:val="multilevel"/>
    <w:tmpl w:val="19DA6487"/>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36"/>
        <w:szCs w:val="36"/>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93336B2"/>
    <w:multiLevelType w:val="multilevel"/>
    <w:tmpl w:val="293336B2"/>
    <w:lvl w:ilvl="0" w:tentative="0">
      <w:start w:val="1"/>
      <w:numFmt w:val="lowerLetter"/>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55D22BA3"/>
    <w:multiLevelType w:val="multilevel"/>
    <w:tmpl w:val="55D22BA3"/>
    <w:lvl w:ilvl="0" w:tentative="0">
      <w:start w:val="1"/>
      <w:numFmt w:val="decimalEnclosedParen"/>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CB6747D"/>
    <w:multiLevelType w:val="multilevel"/>
    <w:tmpl w:val="5CB6747D"/>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175F88"/>
    <w:multiLevelType w:val="multilevel"/>
    <w:tmpl w:val="66175F8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71B33B2"/>
    <w:multiLevelType w:val="multilevel"/>
    <w:tmpl w:val="671B33B2"/>
    <w:lvl w:ilvl="0" w:tentative="0">
      <w:start w:val="1"/>
      <w:numFmt w:val="decimal"/>
      <w:lvlText w:val="%1."/>
      <w:lvlJc w:val="left"/>
      <w:rPr>
        <w:rFonts w:hint="default" w:ascii="Arial" w:hAnsi="Arial" w:eastAsia="Times New Roman" w:cs="Arial"/>
        <w:b/>
        <w:bCs/>
        <w:i w:val="0"/>
        <w:iCs w:val="0"/>
        <w:smallCaps w:val="0"/>
        <w:strike w:val="0"/>
        <w:color w:val="000000"/>
        <w:spacing w:val="0"/>
        <w:w w:val="100"/>
        <w:position w:val="0"/>
        <w:sz w:val="21"/>
        <w:szCs w:val="21"/>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8E15D21"/>
    <w:multiLevelType w:val="multilevel"/>
    <w:tmpl w:val="68E15D21"/>
    <w:lvl w:ilvl="0" w:tentative="0">
      <w:start w:val="1"/>
      <w:numFmt w:val="bullet"/>
      <w:lvlText w:val=""/>
      <w:lvlJc w:val="left"/>
      <w:rPr>
        <w:rFonts w:hint="default" w:ascii="Wingdings 2" w:hAnsi="Wingdings 2"/>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5C"/>
    <w:rsid w:val="00000873"/>
    <w:rsid w:val="000042F2"/>
    <w:rsid w:val="00043DD2"/>
    <w:rsid w:val="0004770B"/>
    <w:rsid w:val="00051EF3"/>
    <w:rsid w:val="00057DAC"/>
    <w:rsid w:val="0006739A"/>
    <w:rsid w:val="0007150F"/>
    <w:rsid w:val="00080BA4"/>
    <w:rsid w:val="00080FAF"/>
    <w:rsid w:val="00084F53"/>
    <w:rsid w:val="000969D7"/>
    <w:rsid w:val="000C0E71"/>
    <w:rsid w:val="000C16B9"/>
    <w:rsid w:val="000C3E08"/>
    <w:rsid w:val="000D048D"/>
    <w:rsid w:val="000D7F3E"/>
    <w:rsid w:val="000E50AB"/>
    <w:rsid w:val="000E6054"/>
    <w:rsid w:val="000F0F76"/>
    <w:rsid w:val="000F5CE6"/>
    <w:rsid w:val="000F75FA"/>
    <w:rsid w:val="00114D70"/>
    <w:rsid w:val="00116F0C"/>
    <w:rsid w:val="00123AC8"/>
    <w:rsid w:val="00131CE0"/>
    <w:rsid w:val="001359C9"/>
    <w:rsid w:val="00145188"/>
    <w:rsid w:val="00151CF7"/>
    <w:rsid w:val="00164FC4"/>
    <w:rsid w:val="0018488D"/>
    <w:rsid w:val="001B3328"/>
    <w:rsid w:val="001C0F50"/>
    <w:rsid w:val="001C6F15"/>
    <w:rsid w:val="001E50B4"/>
    <w:rsid w:val="001F1416"/>
    <w:rsid w:val="001F360E"/>
    <w:rsid w:val="00215A93"/>
    <w:rsid w:val="002320FC"/>
    <w:rsid w:val="002347ED"/>
    <w:rsid w:val="00240BEC"/>
    <w:rsid w:val="00246EC4"/>
    <w:rsid w:val="00257801"/>
    <w:rsid w:val="002766A4"/>
    <w:rsid w:val="0029540F"/>
    <w:rsid w:val="002A115C"/>
    <w:rsid w:val="002D5339"/>
    <w:rsid w:val="002D55D5"/>
    <w:rsid w:val="002D585E"/>
    <w:rsid w:val="00307A58"/>
    <w:rsid w:val="003115D6"/>
    <w:rsid w:val="003126F8"/>
    <w:rsid w:val="00320E32"/>
    <w:rsid w:val="00324A35"/>
    <w:rsid w:val="003306E4"/>
    <w:rsid w:val="00341720"/>
    <w:rsid w:val="003424AB"/>
    <w:rsid w:val="00343ACE"/>
    <w:rsid w:val="00362FBF"/>
    <w:rsid w:val="0036351E"/>
    <w:rsid w:val="0037287F"/>
    <w:rsid w:val="00376A22"/>
    <w:rsid w:val="003774C0"/>
    <w:rsid w:val="00381512"/>
    <w:rsid w:val="003901A1"/>
    <w:rsid w:val="003C19D4"/>
    <w:rsid w:val="003F1D2E"/>
    <w:rsid w:val="003F3DEA"/>
    <w:rsid w:val="0041523B"/>
    <w:rsid w:val="004158F4"/>
    <w:rsid w:val="004159BF"/>
    <w:rsid w:val="00416E1C"/>
    <w:rsid w:val="004176EF"/>
    <w:rsid w:val="004276DC"/>
    <w:rsid w:val="00436EBB"/>
    <w:rsid w:val="004372C5"/>
    <w:rsid w:val="004410BE"/>
    <w:rsid w:val="00441778"/>
    <w:rsid w:val="00447863"/>
    <w:rsid w:val="00453DF5"/>
    <w:rsid w:val="00457A19"/>
    <w:rsid w:val="00464921"/>
    <w:rsid w:val="00467D5A"/>
    <w:rsid w:val="00467D87"/>
    <w:rsid w:val="004830C8"/>
    <w:rsid w:val="00492A94"/>
    <w:rsid w:val="004936DE"/>
    <w:rsid w:val="004A00A8"/>
    <w:rsid w:val="004C2FF9"/>
    <w:rsid w:val="004D25B0"/>
    <w:rsid w:val="004D322B"/>
    <w:rsid w:val="004E673C"/>
    <w:rsid w:val="004E78CD"/>
    <w:rsid w:val="004F1756"/>
    <w:rsid w:val="004F48FD"/>
    <w:rsid w:val="0050217A"/>
    <w:rsid w:val="005117F9"/>
    <w:rsid w:val="00527D5C"/>
    <w:rsid w:val="00537F26"/>
    <w:rsid w:val="00546EC3"/>
    <w:rsid w:val="00553A61"/>
    <w:rsid w:val="00561839"/>
    <w:rsid w:val="005717A5"/>
    <w:rsid w:val="00580BDC"/>
    <w:rsid w:val="00586122"/>
    <w:rsid w:val="00590925"/>
    <w:rsid w:val="005A2D97"/>
    <w:rsid w:val="005C0469"/>
    <w:rsid w:val="005C4F54"/>
    <w:rsid w:val="005D01E7"/>
    <w:rsid w:val="005D2891"/>
    <w:rsid w:val="005D338A"/>
    <w:rsid w:val="005D7FE7"/>
    <w:rsid w:val="005E11B6"/>
    <w:rsid w:val="005E268D"/>
    <w:rsid w:val="005E46C9"/>
    <w:rsid w:val="005F24A8"/>
    <w:rsid w:val="005F5750"/>
    <w:rsid w:val="00611F41"/>
    <w:rsid w:val="0061232F"/>
    <w:rsid w:val="006142A2"/>
    <w:rsid w:val="00615530"/>
    <w:rsid w:val="00615B38"/>
    <w:rsid w:val="006170A0"/>
    <w:rsid w:val="006330B2"/>
    <w:rsid w:val="00636852"/>
    <w:rsid w:val="006516FA"/>
    <w:rsid w:val="00651C18"/>
    <w:rsid w:val="00655A81"/>
    <w:rsid w:val="00657959"/>
    <w:rsid w:val="00667CE9"/>
    <w:rsid w:val="00673693"/>
    <w:rsid w:val="00674511"/>
    <w:rsid w:val="00693741"/>
    <w:rsid w:val="006A61F2"/>
    <w:rsid w:val="006B0400"/>
    <w:rsid w:val="006B05BF"/>
    <w:rsid w:val="006B7D4B"/>
    <w:rsid w:val="006C570C"/>
    <w:rsid w:val="006C7E31"/>
    <w:rsid w:val="006D35A3"/>
    <w:rsid w:val="006D769D"/>
    <w:rsid w:val="006E39E7"/>
    <w:rsid w:val="006E5570"/>
    <w:rsid w:val="006E6AC2"/>
    <w:rsid w:val="006F3AAE"/>
    <w:rsid w:val="006F7CCC"/>
    <w:rsid w:val="007237B7"/>
    <w:rsid w:val="00754957"/>
    <w:rsid w:val="00763BA3"/>
    <w:rsid w:val="00763BDB"/>
    <w:rsid w:val="007644F2"/>
    <w:rsid w:val="007708E0"/>
    <w:rsid w:val="007714CF"/>
    <w:rsid w:val="00792EB0"/>
    <w:rsid w:val="00794895"/>
    <w:rsid w:val="007A1BC1"/>
    <w:rsid w:val="007B3ECE"/>
    <w:rsid w:val="00807948"/>
    <w:rsid w:val="008140A7"/>
    <w:rsid w:val="0081614B"/>
    <w:rsid w:val="00816A38"/>
    <w:rsid w:val="00831346"/>
    <w:rsid w:val="00836424"/>
    <w:rsid w:val="008374B5"/>
    <w:rsid w:val="008407D2"/>
    <w:rsid w:val="00844AE7"/>
    <w:rsid w:val="008669D8"/>
    <w:rsid w:val="00882A29"/>
    <w:rsid w:val="00884F6D"/>
    <w:rsid w:val="00894334"/>
    <w:rsid w:val="00896E0C"/>
    <w:rsid w:val="008A113C"/>
    <w:rsid w:val="008A2B39"/>
    <w:rsid w:val="008B78A6"/>
    <w:rsid w:val="008C6134"/>
    <w:rsid w:val="008C6CC0"/>
    <w:rsid w:val="008D176D"/>
    <w:rsid w:val="008D1FFD"/>
    <w:rsid w:val="008F1279"/>
    <w:rsid w:val="008F2467"/>
    <w:rsid w:val="008F3146"/>
    <w:rsid w:val="008F4607"/>
    <w:rsid w:val="0090130C"/>
    <w:rsid w:val="009036BF"/>
    <w:rsid w:val="00905AA0"/>
    <w:rsid w:val="0091159A"/>
    <w:rsid w:val="009142AB"/>
    <w:rsid w:val="00914AFF"/>
    <w:rsid w:val="00925AB4"/>
    <w:rsid w:val="0094081E"/>
    <w:rsid w:val="00957A98"/>
    <w:rsid w:val="00960473"/>
    <w:rsid w:val="0096443A"/>
    <w:rsid w:val="00967B67"/>
    <w:rsid w:val="00970B9B"/>
    <w:rsid w:val="00983374"/>
    <w:rsid w:val="009874C0"/>
    <w:rsid w:val="00995D36"/>
    <w:rsid w:val="009967FB"/>
    <w:rsid w:val="009A0AD5"/>
    <w:rsid w:val="009A2162"/>
    <w:rsid w:val="009A4B89"/>
    <w:rsid w:val="009B060B"/>
    <w:rsid w:val="009B5B13"/>
    <w:rsid w:val="009B7DAB"/>
    <w:rsid w:val="009C00D9"/>
    <w:rsid w:val="009F4BB2"/>
    <w:rsid w:val="00A224AE"/>
    <w:rsid w:val="00A240A9"/>
    <w:rsid w:val="00A60D75"/>
    <w:rsid w:val="00A60D8E"/>
    <w:rsid w:val="00A63DAD"/>
    <w:rsid w:val="00A642DA"/>
    <w:rsid w:val="00A77896"/>
    <w:rsid w:val="00A836A8"/>
    <w:rsid w:val="00A90141"/>
    <w:rsid w:val="00A901E6"/>
    <w:rsid w:val="00A914CB"/>
    <w:rsid w:val="00A97404"/>
    <w:rsid w:val="00A97475"/>
    <w:rsid w:val="00AA21A2"/>
    <w:rsid w:val="00AA4D0B"/>
    <w:rsid w:val="00AC5B57"/>
    <w:rsid w:val="00AC7F9B"/>
    <w:rsid w:val="00AD0055"/>
    <w:rsid w:val="00AD27DD"/>
    <w:rsid w:val="00AD4359"/>
    <w:rsid w:val="00AE016F"/>
    <w:rsid w:val="00AE07CF"/>
    <w:rsid w:val="00AE7928"/>
    <w:rsid w:val="00AF2D5C"/>
    <w:rsid w:val="00B07A75"/>
    <w:rsid w:val="00B07F3B"/>
    <w:rsid w:val="00B14AFA"/>
    <w:rsid w:val="00B25D35"/>
    <w:rsid w:val="00B33871"/>
    <w:rsid w:val="00B51741"/>
    <w:rsid w:val="00B5306A"/>
    <w:rsid w:val="00B559B1"/>
    <w:rsid w:val="00B6087D"/>
    <w:rsid w:val="00B63603"/>
    <w:rsid w:val="00B67323"/>
    <w:rsid w:val="00B72D5C"/>
    <w:rsid w:val="00B83C36"/>
    <w:rsid w:val="00B93DCA"/>
    <w:rsid w:val="00BA2FD1"/>
    <w:rsid w:val="00BA6FA2"/>
    <w:rsid w:val="00BC672B"/>
    <w:rsid w:val="00BD3B91"/>
    <w:rsid w:val="00BF74BC"/>
    <w:rsid w:val="00C130B8"/>
    <w:rsid w:val="00C33DC9"/>
    <w:rsid w:val="00C343DD"/>
    <w:rsid w:val="00C375AF"/>
    <w:rsid w:val="00C42217"/>
    <w:rsid w:val="00C501A3"/>
    <w:rsid w:val="00C668F2"/>
    <w:rsid w:val="00C8064D"/>
    <w:rsid w:val="00C976F0"/>
    <w:rsid w:val="00C9770F"/>
    <w:rsid w:val="00C979A1"/>
    <w:rsid w:val="00CA38BF"/>
    <w:rsid w:val="00CA6C5E"/>
    <w:rsid w:val="00CA7208"/>
    <w:rsid w:val="00CB15E4"/>
    <w:rsid w:val="00CB15FC"/>
    <w:rsid w:val="00CC64D3"/>
    <w:rsid w:val="00CC6DD2"/>
    <w:rsid w:val="00CD09E7"/>
    <w:rsid w:val="00CF2D16"/>
    <w:rsid w:val="00CF45CB"/>
    <w:rsid w:val="00CF746A"/>
    <w:rsid w:val="00D14CC3"/>
    <w:rsid w:val="00D21E70"/>
    <w:rsid w:val="00D312DB"/>
    <w:rsid w:val="00D33B34"/>
    <w:rsid w:val="00D5167B"/>
    <w:rsid w:val="00D771B8"/>
    <w:rsid w:val="00D870D5"/>
    <w:rsid w:val="00D908F6"/>
    <w:rsid w:val="00D96C58"/>
    <w:rsid w:val="00DA7F2C"/>
    <w:rsid w:val="00DB4BEF"/>
    <w:rsid w:val="00DD2D1D"/>
    <w:rsid w:val="00DE07D9"/>
    <w:rsid w:val="00DF657F"/>
    <w:rsid w:val="00E013B2"/>
    <w:rsid w:val="00E040AB"/>
    <w:rsid w:val="00E10472"/>
    <w:rsid w:val="00E1147C"/>
    <w:rsid w:val="00E115D6"/>
    <w:rsid w:val="00E11BAD"/>
    <w:rsid w:val="00E14FAF"/>
    <w:rsid w:val="00E159CA"/>
    <w:rsid w:val="00E2605A"/>
    <w:rsid w:val="00E35AF2"/>
    <w:rsid w:val="00E365FE"/>
    <w:rsid w:val="00E51A4D"/>
    <w:rsid w:val="00E53BF1"/>
    <w:rsid w:val="00E552AD"/>
    <w:rsid w:val="00E57885"/>
    <w:rsid w:val="00E667CD"/>
    <w:rsid w:val="00E72A16"/>
    <w:rsid w:val="00E775F3"/>
    <w:rsid w:val="00E84878"/>
    <w:rsid w:val="00E9526D"/>
    <w:rsid w:val="00EA0EA4"/>
    <w:rsid w:val="00EB586B"/>
    <w:rsid w:val="00ED4E43"/>
    <w:rsid w:val="00ED584F"/>
    <w:rsid w:val="00EE7BDE"/>
    <w:rsid w:val="00EE7E2B"/>
    <w:rsid w:val="00EF3CB0"/>
    <w:rsid w:val="00F046AD"/>
    <w:rsid w:val="00F1195D"/>
    <w:rsid w:val="00F13652"/>
    <w:rsid w:val="00F21BCB"/>
    <w:rsid w:val="00F2384D"/>
    <w:rsid w:val="00F23933"/>
    <w:rsid w:val="00F35726"/>
    <w:rsid w:val="00F40BE8"/>
    <w:rsid w:val="00F40FFD"/>
    <w:rsid w:val="00F55039"/>
    <w:rsid w:val="00F6411B"/>
    <w:rsid w:val="00F669CB"/>
    <w:rsid w:val="00F72B9C"/>
    <w:rsid w:val="00F879C1"/>
    <w:rsid w:val="00FB185B"/>
    <w:rsid w:val="00FB1DBB"/>
    <w:rsid w:val="00FD0BD3"/>
    <w:rsid w:val="00FD338D"/>
    <w:rsid w:val="00FE756F"/>
    <w:rsid w:val="00FF7A74"/>
    <w:rsid w:val="4D99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Theme="minorEastAsia" w:cs="Microsoft JhengHei Light"/>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4"/>
    <w:semiHidden/>
    <w:unhideWhenUsed/>
    <w:qFormat/>
    <w:uiPriority w:val="99"/>
  </w:style>
  <w:style w:type="paragraph" w:styleId="3">
    <w:name w:val="toc 3"/>
    <w:basedOn w:val="1"/>
    <w:next w:val="1"/>
    <w:autoRedefine/>
    <w:unhideWhenUsed/>
    <w:qFormat/>
    <w:uiPriority w:val="39"/>
    <w:pPr>
      <w:ind w:left="840" w:leftChars="400"/>
    </w:pPr>
  </w:style>
  <w:style w:type="paragraph" w:styleId="4">
    <w:name w:val="Balloon Text"/>
    <w:basedOn w:val="1"/>
    <w:link w:val="63"/>
    <w:semiHidden/>
    <w:unhideWhenUsed/>
    <w:qFormat/>
    <w:uiPriority w:val="99"/>
    <w:rPr>
      <w:sz w:val="18"/>
      <w:szCs w:val="18"/>
    </w:rPr>
  </w:style>
  <w:style w:type="paragraph" w:styleId="5">
    <w:name w:val="footer"/>
    <w:basedOn w:val="1"/>
    <w:link w:val="62"/>
    <w:unhideWhenUsed/>
    <w:qFormat/>
    <w:uiPriority w:val="99"/>
    <w:pPr>
      <w:tabs>
        <w:tab w:val="center" w:pos="4153"/>
        <w:tab w:val="right" w:pos="8306"/>
      </w:tabs>
      <w:snapToGrid w:val="0"/>
    </w:pPr>
    <w:rPr>
      <w:sz w:val="18"/>
      <w:szCs w:val="18"/>
    </w:rPr>
  </w:style>
  <w:style w:type="paragraph" w:styleId="6">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toc 4"/>
    <w:basedOn w:val="1"/>
    <w:next w:val="1"/>
    <w:autoRedefine/>
    <w:unhideWhenUsed/>
    <w:qFormat/>
    <w:uiPriority w:val="39"/>
    <w:pPr>
      <w:ind w:left="1260" w:leftChars="600"/>
    </w:pPr>
  </w:style>
  <w:style w:type="paragraph" w:styleId="9">
    <w:name w:val="toc 2"/>
    <w:basedOn w:val="1"/>
    <w:link w:val="40"/>
    <w:autoRedefine/>
    <w:qFormat/>
    <w:uiPriority w:val="39"/>
    <w:pPr>
      <w:shd w:val="clear" w:color="auto" w:fill="FFFFFF"/>
      <w:spacing w:before="480" w:line="470" w:lineRule="exact"/>
      <w:jc w:val="both"/>
    </w:pPr>
    <w:rPr>
      <w:rFonts w:ascii="Times New Roman" w:hAnsi="Times New Roman" w:eastAsia="Times New Roman" w:cs="Times New Roman"/>
      <w:b/>
      <w:bCs/>
      <w:sz w:val="20"/>
      <w:szCs w:val="20"/>
    </w:rPr>
  </w:style>
  <w:style w:type="paragraph" w:styleId="10">
    <w:name w:val="annotation subject"/>
    <w:basedOn w:val="2"/>
    <w:next w:val="2"/>
    <w:link w:val="6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color w:val="CC0000"/>
    </w:rPr>
  </w:style>
  <w:style w:type="character" w:styleId="15">
    <w:name w:val="Hyperlink"/>
    <w:basedOn w:val="13"/>
    <w:qFormat/>
    <w:uiPriority w:val="99"/>
    <w:rPr>
      <w:color w:val="0066CC"/>
      <w:u w:val="single"/>
    </w:rPr>
  </w:style>
  <w:style w:type="character" w:styleId="16">
    <w:name w:val="annotation reference"/>
    <w:basedOn w:val="13"/>
    <w:semiHidden/>
    <w:unhideWhenUsed/>
    <w:qFormat/>
    <w:uiPriority w:val="99"/>
    <w:rPr>
      <w:sz w:val="21"/>
      <w:szCs w:val="21"/>
    </w:rPr>
  </w:style>
  <w:style w:type="character" w:customStyle="1" w:styleId="17">
    <w:name w:val="正文文本 (3)_"/>
    <w:basedOn w:val="13"/>
    <w:link w:val="18"/>
    <w:uiPriority w:val="0"/>
    <w:rPr>
      <w:rFonts w:ascii="Times New Roman" w:hAnsi="Times New Roman" w:eastAsia="Times New Roman" w:cs="Times New Roman"/>
      <w:b/>
      <w:bCs/>
      <w:sz w:val="60"/>
      <w:szCs w:val="60"/>
      <w:u w:val="none"/>
    </w:rPr>
  </w:style>
  <w:style w:type="paragraph" w:customStyle="1" w:styleId="18">
    <w:name w:val="正文文本 (3)"/>
    <w:basedOn w:val="1"/>
    <w:link w:val="17"/>
    <w:qFormat/>
    <w:uiPriority w:val="0"/>
    <w:pPr>
      <w:shd w:val="clear" w:color="auto" w:fill="FFFFFF"/>
      <w:spacing w:line="686" w:lineRule="exact"/>
      <w:jc w:val="center"/>
    </w:pPr>
    <w:rPr>
      <w:rFonts w:ascii="Times New Roman" w:hAnsi="Times New Roman" w:eastAsia="Times New Roman" w:cs="Times New Roman"/>
      <w:b/>
      <w:bCs/>
      <w:sz w:val="60"/>
      <w:szCs w:val="60"/>
    </w:rPr>
  </w:style>
  <w:style w:type="character" w:customStyle="1" w:styleId="19">
    <w:name w:val="正文文本 (3) + 斜体"/>
    <w:basedOn w:val="17"/>
    <w:qFormat/>
    <w:uiPriority w:val="0"/>
    <w:rPr>
      <w:rFonts w:ascii="Times New Roman" w:hAnsi="Times New Roman" w:eastAsia="Times New Roman" w:cs="Times New Roman"/>
      <w:i/>
      <w:iCs/>
      <w:color w:val="000000"/>
      <w:spacing w:val="0"/>
      <w:w w:val="100"/>
      <w:position w:val="0"/>
      <w:sz w:val="60"/>
      <w:szCs w:val="60"/>
      <w:u w:val="none"/>
      <w:lang w:val="en-US" w:eastAsia="en-US" w:bidi="en-US"/>
    </w:rPr>
  </w:style>
  <w:style w:type="character" w:customStyle="1" w:styleId="20">
    <w:name w:val="正文文本 (4)_"/>
    <w:basedOn w:val="13"/>
    <w:link w:val="21"/>
    <w:uiPriority w:val="0"/>
    <w:rPr>
      <w:rFonts w:ascii="Times New Roman" w:hAnsi="Times New Roman" w:eastAsia="Times New Roman" w:cs="Times New Roman"/>
      <w:b/>
      <w:bCs/>
      <w:i/>
      <w:iCs/>
      <w:spacing w:val="0"/>
      <w:sz w:val="32"/>
      <w:szCs w:val="32"/>
      <w:u w:val="none"/>
    </w:rPr>
  </w:style>
  <w:style w:type="paragraph" w:customStyle="1" w:styleId="21">
    <w:name w:val="正文文本 (4)"/>
    <w:basedOn w:val="1"/>
    <w:link w:val="20"/>
    <w:qFormat/>
    <w:uiPriority w:val="0"/>
    <w:pPr>
      <w:shd w:val="clear" w:color="auto" w:fill="FFFFFF"/>
      <w:spacing w:after="420" w:line="0" w:lineRule="atLeast"/>
      <w:jc w:val="center"/>
    </w:pPr>
    <w:rPr>
      <w:rFonts w:ascii="Times New Roman" w:hAnsi="Times New Roman" w:eastAsia="Times New Roman" w:cs="Times New Roman"/>
      <w:b/>
      <w:bCs/>
      <w:i/>
      <w:iCs/>
      <w:sz w:val="32"/>
      <w:szCs w:val="32"/>
    </w:rPr>
  </w:style>
  <w:style w:type="character" w:customStyle="1" w:styleId="22">
    <w:name w:val="标题 #3_"/>
    <w:basedOn w:val="13"/>
    <w:link w:val="23"/>
    <w:qFormat/>
    <w:uiPriority w:val="0"/>
    <w:rPr>
      <w:rFonts w:ascii="Times New Roman" w:hAnsi="Times New Roman" w:eastAsia="Times New Roman" w:cs="Times New Roman"/>
      <w:b/>
      <w:bCs/>
      <w:sz w:val="28"/>
      <w:szCs w:val="28"/>
      <w:u w:val="none"/>
    </w:rPr>
  </w:style>
  <w:style w:type="paragraph" w:customStyle="1" w:styleId="23">
    <w:name w:val="标题 #3"/>
    <w:basedOn w:val="1"/>
    <w:link w:val="22"/>
    <w:qFormat/>
    <w:uiPriority w:val="0"/>
    <w:pPr>
      <w:shd w:val="clear" w:color="auto" w:fill="FFFFFF"/>
      <w:spacing w:before="420" w:after="60" w:line="0" w:lineRule="atLeast"/>
      <w:outlineLvl w:val="2"/>
    </w:pPr>
    <w:rPr>
      <w:rFonts w:ascii="Times New Roman" w:hAnsi="Times New Roman" w:eastAsia="Times New Roman" w:cs="Times New Roman"/>
      <w:b/>
      <w:bCs/>
      <w:sz w:val="28"/>
      <w:szCs w:val="28"/>
    </w:rPr>
  </w:style>
  <w:style w:type="character" w:customStyle="1" w:styleId="24">
    <w:name w:val="正文文本 (2)_"/>
    <w:basedOn w:val="13"/>
    <w:link w:val="25"/>
    <w:uiPriority w:val="0"/>
    <w:rPr>
      <w:rFonts w:ascii="Times New Roman" w:hAnsi="Times New Roman" w:eastAsia="Times New Roman" w:cs="Times New Roman"/>
      <w:u w:val="none"/>
    </w:rPr>
  </w:style>
  <w:style w:type="paragraph" w:customStyle="1" w:styleId="25">
    <w:name w:val="正文文本 (2)2"/>
    <w:basedOn w:val="1"/>
    <w:link w:val="24"/>
    <w:qFormat/>
    <w:uiPriority w:val="0"/>
    <w:pPr>
      <w:shd w:val="clear" w:color="auto" w:fill="FFFFFF"/>
      <w:spacing w:before="420" w:line="274" w:lineRule="exact"/>
      <w:ind w:hanging="360"/>
    </w:pPr>
    <w:rPr>
      <w:rFonts w:ascii="Times New Roman" w:hAnsi="Times New Roman" w:eastAsia="Times New Roman" w:cs="Times New Roman"/>
    </w:rPr>
  </w:style>
  <w:style w:type="character" w:customStyle="1" w:styleId="26">
    <w:name w:val="正文文本 (2) + 斜体"/>
    <w:basedOn w:val="24"/>
    <w:uiPriority w:val="0"/>
    <w:rPr>
      <w:rFonts w:ascii="Times New Roman" w:hAnsi="Times New Roman" w:eastAsia="Times New Roman" w:cs="Times New Roman"/>
      <w:i/>
      <w:iCs/>
      <w:color w:val="000000"/>
      <w:spacing w:val="0"/>
      <w:w w:val="100"/>
      <w:position w:val="0"/>
      <w:sz w:val="24"/>
      <w:szCs w:val="24"/>
      <w:u w:val="none"/>
      <w:lang w:val="en-US" w:eastAsia="en-US" w:bidi="en-US"/>
    </w:rPr>
  </w:style>
  <w:style w:type="character" w:customStyle="1" w:styleId="27">
    <w:name w:val="正文文本 (5)_"/>
    <w:basedOn w:val="13"/>
    <w:link w:val="28"/>
    <w:uiPriority w:val="0"/>
    <w:rPr>
      <w:rFonts w:ascii="Times New Roman" w:hAnsi="Times New Roman" w:eastAsia="Times New Roman" w:cs="Times New Roman"/>
      <w:b/>
      <w:bCs/>
      <w:u w:val="none"/>
    </w:rPr>
  </w:style>
  <w:style w:type="paragraph" w:customStyle="1" w:styleId="28">
    <w:name w:val="正文文本 (5)"/>
    <w:basedOn w:val="1"/>
    <w:link w:val="27"/>
    <w:qFormat/>
    <w:uiPriority w:val="0"/>
    <w:pPr>
      <w:shd w:val="clear" w:color="auto" w:fill="FFFFFF"/>
      <w:spacing w:before="1320" w:line="274" w:lineRule="exact"/>
      <w:jc w:val="right"/>
    </w:pPr>
    <w:rPr>
      <w:rFonts w:ascii="Times New Roman" w:hAnsi="Times New Roman" w:eastAsia="Times New Roman" w:cs="Times New Roman"/>
      <w:b/>
      <w:bCs/>
    </w:rPr>
  </w:style>
  <w:style w:type="character" w:customStyle="1" w:styleId="29">
    <w:name w:val="标题 #1_"/>
    <w:basedOn w:val="13"/>
    <w:link w:val="30"/>
    <w:qFormat/>
    <w:uiPriority w:val="0"/>
    <w:rPr>
      <w:rFonts w:ascii="Times New Roman" w:hAnsi="Times New Roman" w:eastAsia="Times New Roman" w:cs="Times New Roman"/>
      <w:b/>
      <w:bCs/>
      <w:sz w:val="48"/>
      <w:szCs w:val="48"/>
      <w:u w:val="none"/>
    </w:rPr>
  </w:style>
  <w:style w:type="paragraph" w:customStyle="1" w:styleId="30">
    <w:name w:val="标题 #1"/>
    <w:basedOn w:val="1"/>
    <w:link w:val="29"/>
    <w:qFormat/>
    <w:uiPriority w:val="0"/>
    <w:pPr>
      <w:shd w:val="clear" w:color="auto" w:fill="FFFFFF"/>
      <w:spacing w:after="780" w:line="0" w:lineRule="atLeast"/>
      <w:jc w:val="center"/>
      <w:outlineLvl w:val="0"/>
    </w:pPr>
    <w:rPr>
      <w:rFonts w:ascii="Times New Roman" w:hAnsi="Times New Roman" w:eastAsia="Times New Roman" w:cs="Times New Roman"/>
      <w:b/>
      <w:bCs/>
      <w:sz w:val="48"/>
      <w:szCs w:val="48"/>
    </w:rPr>
  </w:style>
  <w:style w:type="character" w:customStyle="1" w:styleId="31">
    <w:name w:val="页眉或页脚_"/>
    <w:basedOn w:val="13"/>
    <w:link w:val="32"/>
    <w:qFormat/>
    <w:uiPriority w:val="0"/>
    <w:rPr>
      <w:rFonts w:ascii="Times New Roman" w:hAnsi="Times New Roman" w:eastAsia="Times New Roman" w:cs="Times New Roman"/>
      <w:i/>
      <w:iCs/>
      <w:u w:val="none"/>
    </w:rPr>
  </w:style>
  <w:style w:type="paragraph" w:customStyle="1" w:styleId="32">
    <w:name w:val="页眉或页脚1"/>
    <w:basedOn w:val="1"/>
    <w:link w:val="31"/>
    <w:qFormat/>
    <w:uiPriority w:val="0"/>
    <w:pPr>
      <w:shd w:val="clear" w:color="auto" w:fill="FFFFFF"/>
      <w:spacing w:line="0" w:lineRule="atLeast"/>
    </w:pPr>
    <w:rPr>
      <w:rFonts w:ascii="Times New Roman" w:hAnsi="Times New Roman" w:eastAsia="Times New Roman" w:cs="Times New Roman"/>
      <w:i/>
      <w:iCs/>
    </w:rPr>
  </w:style>
  <w:style w:type="character" w:customStyle="1" w:styleId="33">
    <w:name w:val="页眉或页脚"/>
    <w:basedOn w:val="31"/>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34">
    <w:name w:val="页眉或页脚 + 11.5 pt"/>
    <w:basedOn w:val="31"/>
    <w:qFormat/>
    <w:uiPriority w:val="0"/>
    <w:rPr>
      <w:rFonts w:ascii="Times New Roman" w:hAnsi="Times New Roman" w:eastAsia="Times New Roman" w:cs="Times New Roman"/>
      <w:color w:val="000000"/>
      <w:spacing w:val="0"/>
      <w:w w:val="100"/>
      <w:position w:val="0"/>
      <w:sz w:val="23"/>
      <w:szCs w:val="23"/>
      <w:u w:val="none"/>
      <w:lang w:val="en-US" w:eastAsia="en-US" w:bidi="en-US"/>
    </w:rPr>
  </w:style>
  <w:style w:type="character" w:customStyle="1" w:styleId="35">
    <w:name w:val="标题 #2_"/>
    <w:basedOn w:val="13"/>
    <w:link w:val="36"/>
    <w:qFormat/>
    <w:uiPriority w:val="0"/>
    <w:rPr>
      <w:rFonts w:ascii="Times New Roman" w:hAnsi="Times New Roman" w:eastAsia="Times New Roman" w:cs="Times New Roman"/>
      <w:b/>
      <w:bCs/>
      <w:sz w:val="36"/>
      <w:szCs w:val="36"/>
      <w:u w:val="none"/>
    </w:rPr>
  </w:style>
  <w:style w:type="paragraph" w:customStyle="1" w:styleId="36">
    <w:name w:val="标题 #2"/>
    <w:basedOn w:val="1"/>
    <w:link w:val="35"/>
    <w:qFormat/>
    <w:uiPriority w:val="0"/>
    <w:pPr>
      <w:shd w:val="clear" w:color="auto" w:fill="FFFFFF"/>
      <w:spacing w:before="780" w:after="180" w:line="0" w:lineRule="atLeast"/>
      <w:ind w:hanging="780"/>
      <w:outlineLvl w:val="1"/>
    </w:pPr>
    <w:rPr>
      <w:rFonts w:ascii="Times New Roman" w:hAnsi="Times New Roman" w:eastAsia="Times New Roman" w:cs="Times New Roman"/>
      <w:b/>
      <w:bCs/>
      <w:sz w:val="36"/>
      <w:szCs w:val="36"/>
    </w:rPr>
  </w:style>
  <w:style w:type="character" w:customStyle="1" w:styleId="37">
    <w:name w:val="正文文本 (2)"/>
    <w:basedOn w:val="24"/>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38">
    <w:name w:val="正文文本 (6)_"/>
    <w:basedOn w:val="13"/>
    <w:link w:val="39"/>
    <w:qFormat/>
    <w:uiPriority w:val="0"/>
    <w:rPr>
      <w:rFonts w:ascii="Times New Roman" w:hAnsi="Times New Roman" w:eastAsia="Times New Roman" w:cs="Times New Roman"/>
      <w:i/>
      <w:iCs/>
      <w:u w:val="none"/>
    </w:rPr>
  </w:style>
  <w:style w:type="paragraph" w:customStyle="1" w:styleId="39">
    <w:name w:val="正文文本 (6)"/>
    <w:basedOn w:val="1"/>
    <w:link w:val="38"/>
    <w:qFormat/>
    <w:uiPriority w:val="0"/>
    <w:pPr>
      <w:shd w:val="clear" w:color="auto" w:fill="FFFFFF"/>
      <w:spacing w:after="240" w:line="0" w:lineRule="atLeast"/>
      <w:jc w:val="center"/>
    </w:pPr>
    <w:rPr>
      <w:rFonts w:ascii="Times New Roman" w:hAnsi="Times New Roman" w:eastAsia="Times New Roman" w:cs="Times New Roman"/>
      <w:i/>
      <w:iCs/>
    </w:rPr>
  </w:style>
  <w:style w:type="character" w:customStyle="1" w:styleId="40">
    <w:name w:val="目录 2 Char"/>
    <w:basedOn w:val="13"/>
    <w:link w:val="9"/>
    <w:qFormat/>
    <w:uiPriority w:val="0"/>
    <w:rPr>
      <w:rFonts w:ascii="Times New Roman" w:hAnsi="Times New Roman" w:eastAsia="Times New Roman" w:cs="Times New Roman"/>
      <w:b/>
      <w:bCs/>
      <w:sz w:val="20"/>
      <w:szCs w:val="20"/>
      <w:u w:val="none"/>
    </w:rPr>
  </w:style>
  <w:style w:type="character" w:customStyle="1" w:styleId="41">
    <w:name w:val="目录 + 斜体"/>
    <w:basedOn w:val="40"/>
    <w:qFormat/>
    <w:uiPriority w:val="0"/>
    <w:rPr>
      <w:rFonts w:ascii="Times New Roman" w:hAnsi="Times New Roman" w:eastAsia="Times New Roman" w:cs="Times New Roman"/>
      <w:i/>
      <w:iCs/>
      <w:color w:val="000000"/>
      <w:spacing w:val="0"/>
      <w:w w:val="100"/>
      <w:position w:val="0"/>
      <w:sz w:val="20"/>
      <w:szCs w:val="20"/>
      <w:u w:val="none"/>
      <w:lang w:val="en-US" w:eastAsia="en-US" w:bidi="en-US"/>
    </w:rPr>
  </w:style>
  <w:style w:type="character" w:customStyle="1" w:styleId="42">
    <w:name w:val="标题 #1 + 斜体"/>
    <w:basedOn w:val="29"/>
    <w:qFormat/>
    <w:uiPriority w:val="0"/>
    <w:rPr>
      <w:rFonts w:ascii="Times New Roman" w:hAnsi="Times New Roman" w:eastAsia="Times New Roman" w:cs="Times New Roman"/>
      <w:i/>
      <w:iCs/>
      <w:color w:val="000000"/>
      <w:spacing w:val="0"/>
      <w:w w:val="100"/>
      <w:position w:val="0"/>
      <w:sz w:val="48"/>
      <w:szCs w:val="48"/>
      <w:u w:val="none"/>
      <w:lang w:val="en-US" w:eastAsia="en-US" w:bidi="en-US"/>
    </w:rPr>
  </w:style>
  <w:style w:type="character" w:customStyle="1" w:styleId="43">
    <w:name w:val="正文文本 (2) + 斜体1"/>
    <w:basedOn w:val="24"/>
    <w:qFormat/>
    <w:uiPriority w:val="0"/>
    <w:rPr>
      <w:rFonts w:ascii="Times New Roman" w:hAnsi="Times New Roman" w:eastAsia="Times New Roman" w:cs="Times New Roman"/>
      <w:i/>
      <w:iCs/>
      <w:color w:val="000000"/>
      <w:spacing w:val="0"/>
      <w:w w:val="100"/>
      <w:position w:val="0"/>
      <w:sz w:val="24"/>
      <w:szCs w:val="24"/>
      <w:u w:val="none"/>
      <w:lang w:val="en-US" w:eastAsia="en-US" w:bidi="en-US"/>
    </w:rPr>
  </w:style>
  <w:style w:type="character" w:customStyle="1" w:styleId="44">
    <w:name w:val="正文文本 (2) + 粗体"/>
    <w:basedOn w:val="24"/>
    <w:qFormat/>
    <w:uiPriority w:val="0"/>
    <w:rPr>
      <w:rFonts w:ascii="Times New Roman" w:hAnsi="Times New Roman" w:eastAsia="Times New Roman" w:cs="Times New Roman"/>
      <w:b/>
      <w:bCs/>
      <w:color w:val="000000"/>
      <w:spacing w:val="0"/>
      <w:w w:val="100"/>
      <w:position w:val="0"/>
      <w:sz w:val="24"/>
      <w:szCs w:val="24"/>
      <w:u w:val="none"/>
      <w:lang w:val="en-US" w:eastAsia="en-US" w:bidi="en-US"/>
    </w:rPr>
  </w:style>
  <w:style w:type="character" w:customStyle="1" w:styleId="45">
    <w:name w:val="正文文本 (2) + SimSun"/>
    <w:basedOn w:val="24"/>
    <w:qFormat/>
    <w:uiPriority w:val="0"/>
    <w:rPr>
      <w:rFonts w:ascii="宋体" w:hAnsi="宋体" w:eastAsia="宋体" w:cs="宋体"/>
      <w:color w:val="000000"/>
      <w:spacing w:val="0"/>
      <w:w w:val="70"/>
      <w:position w:val="0"/>
      <w:sz w:val="19"/>
      <w:szCs w:val="19"/>
      <w:u w:val="none"/>
      <w:lang w:val="zh-TW" w:eastAsia="zh-TW" w:bidi="zh-TW"/>
    </w:rPr>
  </w:style>
  <w:style w:type="character" w:customStyle="1" w:styleId="46">
    <w:name w:val="标题 #4_"/>
    <w:basedOn w:val="13"/>
    <w:link w:val="47"/>
    <w:qFormat/>
    <w:uiPriority w:val="0"/>
    <w:rPr>
      <w:rFonts w:ascii="Times New Roman" w:hAnsi="Times New Roman" w:eastAsia="Times New Roman" w:cs="Times New Roman"/>
      <w:b/>
      <w:bCs/>
      <w:u w:val="none"/>
    </w:rPr>
  </w:style>
  <w:style w:type="paragraph" w:customStyle="1" w:styleId="47">
    <w:name w:val="标题 #4"/>
    <w:basedOn w:val="1"/>
    <w:link w:val="46"/>
    <w:qFormat/>
    <w:uiPriority w:val="0"/>
    <w:pPr>
      <w:shd w:val="clear" w:color="auto" w:fill="FFFFFF"/>
      <w:spacing w:before="240" w:after="360" w:line="0" w:lineRule="atLeast"/>
      <w:outlineLvl w:val="3"/>
    </w:pPr>
    <w:rPr>
      <w:rFonts w:ascii="Times New Roman" w:hAnsi="Times New Roman" w:eastAsia="Times New Roman" w:cs="Times New Roman"/>
      <w:b/>
      <w:bCs/>
    </w:rPr>
  </w:style>
  <w:style w:type="character" w:customStyle="1" w:styleId="48">
    <w:name w:val="标题 #4 + 斜体"/>
    <w:basedOn w:val="46"/>
    <w:qFormat/>
    <w:uiPriority w:val="0"/>
    <w:rPr>
      <w:rFonts w:ascii="Times New Roman" w:hAnsi="Times New Roman" w:eastAsia="Times New Roman" w:cs="Times New Roman"/>
      <w:i/>
      <w:iCs/>
      <w:color w:val="000000"/>
      <w:spacing w:val="0"/>
      <w:w w:val="100"/>
      <w:position w:val="0"/>
      <w:sz w:val="24"/>
      <w:szCs w:val="24"/>
      <w:u w:val="none"/>
      <w:lang w:val="en-US" w:eastAsia="en-US" w:bidi="en-US"/>
    </w:rPr>
  </w:style>
  <w:style w:type="character" w:customStyle="1" w:styleId="49">
    <w:name w:val="标题 #4 + 非粗体"/>
    <w:basedOn w:val="46"/>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50">
    <w:name w:val="正文文本 (2) + 粗体1"/>
    <w:basedOn w:val="24"/>
    <w:qFormat/>
    <w:uiPriority w:val="0"/>
    <w:rPr>
      <w:rFonts w:ascii="Times New Roman" w:hAnsi="Times New Roman" w:eastAsia="Times New Roman" w:cs="Times New Roman"/>
      <w:b/>
      <w:bCs/>
      <w:color w:val="000000"/>
      <w:spacing w:val="0"/>
      <w:w w:val="100"/>
      <w:position w:val="0"/>
      <w:sz w:val="24"/>
      <w:szCs w:val="24"/>
      <w:u w:val="none"/>
      <w:lang w:val="en-US" w:eastAsia="en-US" w:bidi="en-US"/>
    </w:rPr>
  </w:style>
  <w:style w:type="character" w:customStyle="1" w:styleId="51">
    <w:name w:val="正文文本 (2)1"/>
    <w:basedOn w:val="24"/>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52">
    <w:name w:val="正文文本 (7)_"/>
    <w:basedOn w:val="13"/>
    <w:link w:val="53"/>
    <w:qFormat/>
    <w:uiPriority w:val="0"/>
    <w:rPr>
      <w:rFonts w:ascii="Times New Roman" w:hAnsi="Times New Roman" w:eastAsia="Times New Roman" w:cs="Times New Roman"/>
      <w:b/>
      <w:bCs/>
      <w:i/>
      <w:iCs/>
      <w:u w:val="none"/>
    </w:rPr>
  </w:style>
  <w:style w:type="paragraph" w:customStyle="1" w:styleId="53">
    <w:name w:val="正文文本 (7)"/>
    <w:basedOn w:val="1"/>
    <w:link w:val="52"/>
    <w:qFormat/>
    <w:uiPriority w:val="0"/>
    <w:pPr>
      <w:shd w:val="clear" w:color="auto" w:fill="FFFFFF"/>
      <w:spacing w:before="240" w:after="300" w:line="0" w:lineRule="atLeast"/>
    </w:pPr>
    <w:rPr>
      <w:rFonts w:ascii="Times New Roman" w:hAnsi="Times New Roman" w:eastAsia="Times New Roman" w:cs="Times New Roman"/>
      <w:b/>
      <w:bCs/>
      <w:i/>
      <w:iCs/>
    </w:rPr>
  </w:style>
  <w:style w:type="character" w:customStyle="1" w:styleId="54">
    <w:name w:val="表格标题_"/>
    <w:basedOn w:val="13"/>
    <w:link w:val="55"/>
    <w:qFormat/>
    <w:uiPriority w:val="0"/>
    <w:rPr>
      <w:rFonts w:ascii="Times New Roman" w:hAnsi="Times New Roman" w:eastAsia="Times New Roman" w:cs="Times New Roman"/>
      <w:u w:val="none"/>
    </w:rPr>
  </w:style>
  <w:style w:type="paragraph" w:customStyle="1" w:styleId="55">
    <w:name w:val="表格标题"/>
    <w:basedOn w:val="1"/>
    <w:link w:val="54"/>
    <w:qFormat/>
    <w:uiPriority w:val="0"/>
    <w:pPr>
      <w:shd w:val="clear" w:color="auto" w:fill="FFFFFF"/>
      <w:spacing w:line="0" w:lineRule="atLeast"/>
    </w:pPr>
    <w:rPr>
      <w:rFonts w:ascii="Times New Roman" w:hAnsi="Times New Roman" w:eastAsia="Times New Roman" w:cs="Times New Roman"/>
    </w:rPr>
  </w:style>
  <w:style w:type="character" w:customStyle="1" w:styleId="56">
    <w:name w:val="正文文本 (2) + 11 pt"/>
    <w:basedOn w:val="24"/>
    <w:qFormat/>
    <w:uiPriority w:val="0"/>
    <w:rPr>
      <w:rFonts w:ascii="Times New Roman" w:hAnsi="Times New Roman" w:eastAsia="Times New Roman" w:cs="Times New Roman"/>
      <w:color w:val="000000"/>
      <w:spacing w:val="0"/>
      <w:w w:val="100"/>
      <w:position w:val="0"/>
      <w:sz w:val="22"/>
      <w:szCs w:val="22"/>
      <w:u w:val="none"/>
      <w:lang w:val="en-US" w:eastAsia="en-US" w:bidi="en-US"/>
    </w:rPr>
  </w:style>
  <w:style w:type="character" w:customStyle="1" w:styleId="57">
    <w:name w:val="标题 #2 + 斜体"/>
    <w:basedOn w:val="35"/>
    <w:qFormat/>
    <w:uiPriority w:val="0"/>
    <w:rPr>
      <w:rFonts w:ascii="Times New Roman" w:hAnsi="Times New Roman" w:eastAsia="Times New Roman" w:cs="Times New Roman"/>
      <w:i/>
      <w:iCs/>
      <w:color w:val="000000"/>
      <w:spacing w:val="-20"/>
      <w:w w:val="100"/>
      <w:position w:val="0"/>
      <w:sz w:val="36"/>
      <w:szCs w:val="36"/>
      <w:u w:val="none"/>
      <w:lang w:val="en-US" w:eastAsia="en-US" w:bidi="en-US"/>
    </w:rPr>
  </w:style>
  <w:style w:type="character" w:customStyle="1" w:styleId="58">
    <w:name w:val="正文文本 (6) + 粗体"/>
    <w:basedOn w:val="38"/>
    <w:qFormat/>
    <w:uiPriority w:val="0"/>
    <w:rPr>
      <w:rFonts w:ascii="Times New Roman" w:hAnsi="Times New Roman" w:eastAsia="Times New Roman" w:cs="Times New Roman"/>
      <w:b/>
      <w:bCs/>
      <w:color w:val="000000"/>
      <w:spacing w:val="0"/>
      <w:w w:val="100"/>
      <w:position w:val="0"/>
      <w:sz w:val="24"/>
      <w:szCs w:val="24"/>
      <w:u w:val="none"/>
      <w:lang w:val="en-US" w:eastAsia="en-US" w:bidi="en-US"/>
    </w:rPr>
  </w:style>
  <w:style w:type="character" w:customStyle="1" w:styleId="59">
    <w:name w:val="正文文本 (6) + 非斜体"/>
    <w:basedOn w:val="38"/>
    <w:qFormat/>
    <w:uiPriority w:val="0"/>
    <w:rPr>
      <w:rFonts w:ascii="Times New Roman" w:hAnsi="Times New Roman" w:eastAsia="Times New Roman" w:cs="Times New Roman"/>
      <w:color w:val="000000"/>
      <w:spacing w:val="0"/>
      <w:w w:val="100"/>
      <w:position w:val="0"/>
      <w:sz w:val="24"/>
      <w:szCs w:val="24"/>
      <w:u w:val="none"/>
      <w:lang w:val="en-US" w:eastAsia="en-US" w:bidi="en-US"/>
    </w:rPr>
  </w:style>
  <w:style w:type="character" w:customStyle="1" w:styleId="60">
    <w:name w:val="正文文本 (5) + SimSun"/>
    <w:basedOn w:val="27"/>
    <w:qFormat/>
    <w:uiPriority w:val="0"/>
    <w:rPr>
      <w:rFonts w:ascii="宋体" w:hAnsi="宋体" w:eastAsia="宋体" w:cs="宋体"/>
      <w:color w:val="000000"/>
      <w:spacing w:val="0"/>
      <w:w w:val="100"/>
      <w:position w:val="0"/>
      <w:sz w:val="24"/>
      <w:szCs w:val="24"/>
      <w:u w:val="none"/>
      <w:lang w:val="zh-TW" w:eastAsia="zh-TW" w:bidi="zh-TW"/>
    </w:rPr>
  </w:style>
  <w:style w:type="character" w:customStyle="1" w:styleId="61">
    <w:name w:val="页眉 Char"/>
    <w:basedOn w:val="13"/>
    <w:link w:val="6"/>
    <w:qFormat/>
    <w:uiPriority w:val="99"/>
    <w:rPr>
      <w:rFonts w:eastAsia="Microsoft JhengHei Light"/>
      <w:color w:val="000000"/>
      <w:sz w:val="18"/>
      <w:szCs w:val="18"/>
    </w:rPr>
  </w:style>
  <w:style w:type="character" w:customStyle="1" w:styleId="62">
    <w:name w:val="页脚 Char"/>
    <w:basedOn w:val="13"/>
    <w:link w:val="5"/>
    <w:qFormat/>
    <w:uiPriority w:val="99"/>
    <w:rPr>
      <w:rFonts w:eastAsia="Microsoft JhengHei Light"/>
      <w:color w:val="000000"/>
      <w:sz w:val="18"/>
      <w:szCs w:val="18"/>
    </w:rPr>
  </w:style>
  <w:style w:type="character" w:customStyle="1" w:styleId="63">
    <w:name w:val="批注框文本 Char"/>
    <w:basedOn w:val="13"/>
    <w:link w:val="4"/>
    <w:semiHidden/>
    <w:qFormat/>
    <w:uiPriority w:val="99"/>
    <w:rPr>
      <w:rFonts w:eastAsia="Microsoft JhengHei Light"/>
      <w:color w:val="000000"/>
      <w:sz w:val="18"/>
      <w:szCs w:val="18"/>
    </w:rPr>
  </w:style>
  <w:style w:type="character" w:customStyle="1" w:styleId="64">
    <w:name w:val="批注文字 Char"/>
    <w:basedOn w:val="13"/>
    <w:link w:val="2"/>
    <w:semiHidden/>
    <w:qFormat/>
    <w:uiPriority w:val="99"/>
    <w:rPr>
      <w:rFonts w:eastAsia="Microsoft JhengHei Light"/>
      <w:color w:val="000000"/>
    </w:rPr>
  </w:style>
  <w:style w:type="character" w:customStyle="1" w:styleId="65">
    <w:name w:val="批注主题 Char"/>
    <w:basedOn w:val="64"/>
    <w:link w:val="10"/>
    <w:semiHidden/>
    <w:qFormat/>
    <w:uiPriority w:val="99"/>
    <w:rPr>
      <w:rFonts w:eastAsia="Microsoft JhengHei Light"/>
      <w:b/>
      <w:bCs/>
      <w:color w:val="000000"/>
    </w:rPr>
  </w:style>
  <w:style w:type="character" w:customStyle="1" w:styleId="66">
    <w:name w:val="short_text"/>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0DE0C-6104-44C9-822E-B9FB03035F3F}">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22</Pages>
  <Words>13178</Words>
  <Characters>15993</Characters>
  <Lines>123</Lines>
  <Paragraphs>34</Paragraphs>
  <TotalTime>1</TotalTime>
  <ScaleCrop>false</ScaleCrop>
  <LinksUpToDate>false</LinksUpToDate>
  <CharactersWithSpaces>16453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2017-04-10T08:10:00Z</dcterms:created>
  <dc:creator>y li</dc:creator>
  <cp:lastModifiedBy>太极箫客</cp:lastModifiedBy>
  <dcterms:modified xsi:type="dcterms:W3CDTF">2025-08-14T06:18:05Z</dcterms:modified>
  <dc:title>Guidance for Industry and FDA Reviewers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50EFC74DC5EB4E928D82FF1C75E3EF9D_12</vt:lpwstr>
  </property>
</Properties>
</file>