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5B250">
      <w:pPr>
        <w:snapToGrid w:val="0"/>
        <w:spacing w:line="300" w:lineRule="auto"/>
        <w:jc w:val="left"/>
        <w:rPr>
          <w:rFonts w:ascii="Arial" w:hAnsi="Arial" w:eastAsia="宋体" w:cs="Arial"/>
          <w:b/>
          <w:sz w:val="36"/>
          <w:szCs w:val="36"/>
        </w:rPr>
      </w:pPr>
      <w:bookmarkStart w:id="53" w:name="_GoBack"/>
      <w:bookmarkEnd w:id="53"/>
      <w:bookmarkStart w:id="0" w:name="OLE_LINK137"/>
      <w:bookmarkStart w:id="1" w:name="OLE_LINK1"/>
      <w:bookmarkStart w:id="2" w:name="OLE_LINK41"/>
      <w:bookmarkStart w:id="3" w:name="OLE_LINK40"/>
      <w:bookmarkStart w:id="4" w:name="OLE_LINK34"/>
      <w:bookmarkStart w:id="5" w:name="OLE_LINK39"/>
      <w:r>
        <w:rPr>
          <w:rFonts w:ascii="Arial" w:hAnsi="Arial" w:eastAsia="宋体" w:cs="Arial"/>
          <w:b/>
          <w:sz w:val="36"/>
          <w:szCs w:val="36"/>
        </w:rPr>
        <w:t>行业和食品药品监督管理局工作人员指南</w:t>
      </w:r>
    </w:p>
    <w:p w14:paraId="77E900DB">
      <w:pPr>
        <w:snapToGrid w:val="0"/>
        <w:spacing w:line="300" w:lineRule="auto"/>
        <w:jc w:val="left"/>
        <w:rPr>
          <w:rFonts w:ascii="Arial" w:hAnsi="Arial" w:eastAsia="宋体" w:cs="Arial"/>
          <w:b/>
          <w:sz w:val="36"/>
          <w:szCs w:val="36"/>
        </w:rPr>
      </w:pPr>
      <w:r>
        <w:rPr>
          <w:rFonts w:ascii="Arial" w:hAnsi="Arial" w:eastAsia="宋体" w:cs="Arial"/>
          <w:b/>
          <w:sz w:val="36"/>
          <w:szCs w:val="36"/>
        </w:rPr>
        <w:t>－II类特殊控制</w:t>
      </w:r>
      <w:r>
        <w:rPr>
          <w:rFonts w:hint="eastAsia" w:ascii="Arial" w:hAnsi="Arial" w:eastAsia="宋体" w:cs="Arial"/>
          <w:b/>
          <w:sz w:val="36"/>
          <w:szCs w:val="36"/>
        </w:rPr>
        <w:t>指导性文件</w:t>
      </w:r>
      <w:r>
        <w:rPr>
          <w:rFonts w:ascii="Arial" w:hAnsi="Arial" w:eastAsia="宋体" w:cs="Arial"/>
          <w:b/>
          <w:sz w:val="36"/>
          <w:szCs w:val="36"/>
        </w:rPr>
        <w:t>：粪便钙卫蛋白免疫学检测系统</w:t>
      </w:r>
    </w:p>
    <w:bookmarkEnd w:id="0"/>
    <w:bookmarkEnd w:id="1"/>
    <w:bookmarkEnd w:id="2"/>
    <w:bookmarkEnd w:id="3"/>
    <w:p w14:paraId="796682C0">
      <w:pPr>
        <w:snapToGrid w:val="0"/>
        <w:spacing w:line="300" w:lineRule="auto"/>
        <w:rPr>
          <w:rFonts w:ascii="Arial" w:hAnsi="Arial" w:eastAsia="宋体" w:cs="Arial"/>
        </w:rPr>
      </w:pPr>
    </w:p>
    <w:p w14:paraId="372ADF48">
      <w:pPr>
        <w:snapToGrid w:val="0"/>
        <w:spacing w:line="300" w:lineRule="auto"/>
        <w:rPr>
          <w:rFonts w:ascii="Arial" w:hAnsi="Arial" w:eastAsia="宋体" w:cs="Arial"/>
          <w:b/>
        </w:rPr>
      </w:pPr>
      <w:r>
        <w:rPr>
          <w:rFonts w:ascii="Arial" w:hAnsi="Arial" w:eastAsia="宋体" w:cs="Arial"/>
          <w:b/>
        </w:rPr>
        <w:t>发布日期：2006年7月27日</w:t>
      </w:r>
    </w:p>
    <w:p w14:paraId="54A0C5BB">
      <w:pPr>
        <w:snapToGrid w:val="0"/>
        <w:spacing w:line="300" w:lineRule="auto"/>
        <w:rPr>
          <w:rFonts w:ascii="Arial" w:hAnsi="Arial" w:eastAsia="宋体" w:cs="Arial"/>
        </w:rPr>
      </w:pPr>
    </w:p>
    <w:p w14:paraId="1915E684">
      <w:pPr>
        <w:snapToGrid w:val="0"/>
        <w:spacing w:line="300" w:lineRule="auto"/>
        <w:rPr>
          <w:rFonts w:ascii="Arial" w:hAnsi="Arial" w:eastAsia="宋体" w:cs="Arial"/>
        </w:rPr>
      </w:pPr>
      <w:r>
        <w:rPr>
          <w:rFonts w:ascii="Arial" w:hAnsi="Arial" w:eastAsia="宋体" w:cs="Arial"/>
        </w:rPr>
        <w:t>若对本文件有疑问，</w:t>
      </w:r>
      <w:bookmarkStart w:id="6" w:name="OLE_LINK27"/>
      <w:bookmarkStart w:id="7" w:name="OLE_LINK28"/>
      <w:bookmarkStart w:id="8" w:name="OLE_LINK129"/>
      <w:bookmarkStart w:id="9" w:name="OLE_LINK130"/>
      <w:r>
        <w:rPr>
          <w:rFonts w:ascii="Arial" w:hAnsi="Arial" w:eastAsia="宋体" w:cs="Arial"/>
        </w:rPr>
        <w:t>请与Elizabeth Stafford联系。联系电话：301-796-6184，电子信箱：</w:t>
      </w:r>
      <w:r>
        <w:rPr>
          <w:rFonts w:ascii="Arial" w:hAnsi="Arial" w:eastAsia="宋体" w:cs="Arial"/>
          <w:color w:val="800080"/>
          <w:u w:val="single"/>
        </w:rPr>
        <w:t>elizabeth.stafford @fda.hhs.gov</w:t>
      </w:r>
      <w:r>
        <w:rPr>
          <w:rFonts w:ascii="Arial" w:hAnsi="Arial" w:eastAsia="宋体" w:cs="Arial"/>
        </w:rPr>
        <w:t>。</w:t>
      </w:r>
      <w:bookmarkEnd w:id="6"/>
      <w:bookmarkEnd w:id="7"/>
    </w:p>
    <w:bookmarkEnd w:id="8"/>
    <w:bookmarkEnd w:id="9"/>
    <w:p w14:paraId="2B450E52">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202565</wp:posOffset>
                </wp:positionV>
                <wp:extent cx="1322705" cy="1342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22614" cy="1342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8DC47">
                            <w:r>
                              <w:rPr>
                                <w:rFonts w:ascii="Arial" w:hAnsi="Arial" w:eastAsia="宋体" w:cs="Arial"/>
                              </w:rPr>
                              <w:drawing>
                                <wp:inline distT="0" distB="0" distL="0" distR="0">
                                  <wp:extent cx="1104900" cy="12115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04996" cy="121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15.95pt;height:105.7pt;width:104.15pt;z-index:251659264;mso-width-relative:page;mso-height-relative:page;" filled="f" stroked="f" coordsize="21600,21600" o:gfxdata="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2mOf2wAAAAkBAAAPAAAAAAAAAAEAIAAA&#10;ACIAAABkcnMvZG93bnJldi54bWxQSwECFAAUAAAACACHTuJAbL7sfEICAAB1BAAADgAAAAAAAAAB&#10;ACAAAAAqAQAAZHJzL2Uyb0RvYy54bWxQSwUGAAAAAAYABgBZAQAA3gUAAAAA&#10;">
                <v:fill on="f" focussize="0,0"/>
                <v:stroke on="f" weight="0.5pt"/>
                <v:imagedata o:title=""/>
                <o:lock v:ext="edit" aspectratio="f"/>
                <v:textbox>
                  <w:txbxContent>
                    <w:p w14:paraId="54F8DC47">
                      <w:r>
                        <w:rPr>
                          <w:rFonts w:ascii="Arial" w:hAnsi="Arial" w:eastAsia="宋体" w:cs="Arial"/>
                        </w:rPr>
                        <w:drawing>
                          <wp:inline distT="0" distB="0" distL="0" distR="0">
                            <wp:extent cx="1104900" cy="12115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04996" cy="1211685"/>
                                    </a:xfrm>
                                    <a:prstGeom prst="rect">
                                      <a:avLst/>
                                    </a:prstGeom>
                                  </pic:spPr>
                                </pic:pic>
                              </a:graphicData>
                            </a:graphic>
                          </wp:inline>
                        </w:drawing>
                      </w:r>
                    </w:p>
                  </w:txbxContent>
                </v:textbox>
              </v:shape>
            </w:pict>
          </mc:Fallback>
        </mc:AlternateContent>
      </w:r>
    </w:p>
    <w:p w14:paraId="65E7AD06">
      <w:pPr>
        <w:snapToGrid w:val="0"/>
        <w:spacing w:line="300" w:lineRule="auto"/>
        <w:ind w:firstLine="2184" w:firstLineChars="1040"/>
        <w:rPr>
          <w:rFonts w:ascii="Arial" w:hAnsi="Arial" w:eastAsia="宋体" w:cs="Arial"/>
        </w:rPr>
      </w:pPr>
      <w:r>
        <w:rPr>
          <w:rFonts w:ascii="Arial" w:hAnsi="Arial" w:eastAsia="宋体" w:cs="Arial"/>
        </w:rPr>
        <w:t>美国卫生</w:t>
      </w:r>
      <w:r>
        <w:rPr>
          <w:rFonts w:hint="eastAsia" w:ascii="Arial" w:hAnsi="Arial" w:eastAsia="宋体" w:cs="Arial"/>
        </w:rPr>
        <w:t>与</w:t>
      </w:r>
      <w:r>
        <w:rPr>
          <w:rFonts w:ascii="Arial" w:hAnsi="Arial" w:eastAsia="宋体" w:cs="Arial"/>
        </w:rPr>
        <w:t>公众服务部</w:t>
      </w:r>
    </w:p>
    <w:p w14:paraId="7BDAF80A">
      <w:pPr>
        <w:snapToGrid w:val="0"/>
        <w:spacing w:line="300" w:lineRule="auto"/>
        <w:ind w:firstLine="2184" w:firstLineChars="1040"/>
        <w:rPr>
          <w:rFonts w:ascii="Arial" w:hAnsi="Arial" w:eastAsia="宋体" w:cs="Arial"/>
        </w:rPr>
      </w:pPr>
      <w:r>
        <w:rPr>
          <w:rFonts w:ascii="Arial" w:hAnsi="Arial" w:eastAsia="宋体" w:cs="Arial"/>
        </w:rPr>
        <w:t>食品药品监督管理局</w:t>
      </w:r>
    </w:p>
    <w:p w14:paraId="688BFA3B">
      <w:pPr>
        <w:snapToGrid w:val="0"/>
        <w:spacing w:line="300" w:lineRule="auto"/>
        <w:ind w:firstLine="2184" w:firstLineChars="1040"/>
        <w:rPr>
          <w:rFonts w:ascii="Arial" w:hAnsi="Arial" w:eastAsia="宋体" w:cs="Arial"/>
        </w:rPr>
      </w:pPr>
      <w:r>
        <w:rPr>
          <w:rFonts w:ascii="Arial" w:hAnsi="Arial" w:eastAsia="宋体" w:cs="Arial"/>
        </w:rPr>
        <w:t>器械</w:t>
      </w:r>
      <w:r>
        <w:rPr>
          <w:rFonts w:hint="eastAsia" w:ascii="Arial" w:hAnsi="Arial" w:eastAsia="宋体" w:cs="Arial"/>
        </w:rPr>
        <w:t>与</w:t>
      </w:r>
      <w:r>
        <w:rPr>
          <w:rFonts w:ascii="Arial" w:hAnsi="Arial" w:eastAsia="宋体" w:cs="Arial"/>
        </w:rPr>
        <w:t>放射</w:t>
      </w:r>
      <w:r>
        <w:rPr>
          <w:rFonts w:hint="eastAsia" w:ascii="Arial" w:hAnsi="Arial" w:eastAsia="宋体" w:cs="Arial"/>
        </w:rPr>
        <w:t>健康</w:t>
      </w:r>
      <w:r>
        <w:rPr>
          <w:rFonts w:ascii="Arial" w:hAnsi="Arial" w:eastAsia="宋体" w:cs="Arial"/>
        </w:rPr>
        <w:t>中心</w:t>
      </w:r>
    </w:p>
    <w:p w14:paraId="08D7AACF">
      <w:pPr>
        <w:snapToGrid w:val="0"/>
        <w:spacing w:line="300" w:lineRule="auto"/>
        <w:ind w:firstLine="2184" w:firstLineChars="1040"/>
        <w:rPr>
          <w:rFonts w:ascii="Arial" w:hAnsi="Arial" w:eastAsia="宋体" w:cs="Arial"/>
        </w:rPr>
      </w:pPr>
      <w:r>
        <w:rPr>
          <w:rFonts w:ascii="Arial" w:hAnsi="Arial" w:eastAsia="宋体" w:cs="Arial"/>
        </w:rPr>
        <w:t>体外诊断器械</w:t>
      </w:r>
      <w:r>
        <w:rPr>
          <w:rFonts w:hint="eastAsia" w:ascii="Arial" w:hAnsi="Arial" w:eastAsia="宋体" w:cs="Arial"/>
        </w:rPr>
        <w:t>评估</w:t>
      </w:r>
      <w:r>
        <w:rPr>
          <w:rFonts w:ascii="Arial" w:hAnsi="Arial" w:eastAsia="宋体" w:cs="Arial"/>
        </w:rPr>
        <w:t>和安全办公室</w:t>
      </w:r>
    </w:p>
    <w:p w14:paraId="5658CE4D">
      <w:pPr>
        <w:snapToGrid w:val="0"/>
        <w:spacing w:line="300" w:lineRule="auto"/>
        <w:ind w:firstLine="2184" w:firstLineChars="1040"/>
        <w:rPr>
          <w:rFonts w:ascii="Arial" w:hAnsi="Arial" w:eastAsia="宋体" w:cs="Arial"/>
        </w:rPr>
      </w:pPr>
      <w:r>
        <w:rPr>
          <w:rFonts w:ascii="Arial" w:hAnsi="Arial" w:eastAsia="宋体" w:cs="Arial"/>
        </w:rPr>
        <w:t>免疫学和血液学器械处</w:t>
      </w:r>
    </w:p>
    <w:p w14:paraId="780F8346">
      <w:pPr>
        <w:snapToGrid w:val="0"/>
        <w:spacing w:line="300" w:lineRule="auto"/>
        <w:rPr>
          <w:rFonts w:ascii="Arial" w:hAnsi="Arial" w:eastAsia="宋体" w:cs="Arial"/>
        </w:rPr>
      </w:pPr>
    </w:p>
    <w:p w14:paraId="57C20CE3">
      <w:pPr>
        <w:snapToGrid w:val="0"/>
        <w:spacing w:line="300" w:lineRule="auto"/>
        <w:rPr>
          <w:rFonts w:ascii="Arial" w:hAnsi="Arial" w:eastAsia="宋体" w:cs="Arial"/>
        </w:rPr>
      </w:pPr>
      <w:r>
        <w:rPr>
          <w:rFonts w:hint="eastAsia" w:ascii="Arial" w:hAnsi="Arial" w:eastAsia="宋体" w:cs="Arial"/>
          <w:b/>
        </w:rPr>
        <w:t>前</w:t>
      </w:r>
      <w:r>
        <w:rPr>
          <w:rFonts w:ascii="Arial" w:hAnsi="Arial" w:eastAsia="宋体" w:cs="Arial"/>
          <w:b/>
        </w:rPr>
        <w:t>言</w:t>
      </w:r>
    </w:p>
    <w:p w14:paraId="36926362">
      <w:pPr>
        <w:snapToGrid w:val="0"/>
        <w:spacing w:line="300" w:lineRule="auto"/>
        <w:rPr>
          <w:rFonts w:ascii="Arial" w:hAnsi="Arial" w:eastAsia="宋体" w:cs="Arial"/>
          <w:b/>
        </w:rPr>
      </w:pPr>
      <w:r>
        <w:rPr>
          <w:rFonts w:ascii="Arial" w:hAnsi="Arial" w:eastAsia="宋体" w:cs="Arial"/>
          <w:b/>
        </w:rPr>
        <w:t>公众评论</w:t>
      </w:r>
    </w:p>
    <w:p w14:paraId="3BD08197">
      <w:pPr>
        <w:snapToGrid w:val="0"/>
        <w:spacing w:line="300" w:lineRule="auto"/>
        <w:rPr>
          <w:rFonts w:ascii="Arial" w:hAnsi="Arial" w:eastAsia="宋体" w:cs="Arial"/>
        </w:rPr>
      </w:pPr>
    </w:p>
    <w:p w14:paraId="53E74E9B">
      <w:pPr>
        <w:snapToGrid w:val="0"/>
        <w:spacing w:line="300" w:lineRule="auto"/>
        <w:rPr>
          <w:rFonts w:ascii="Arial" w:hAnsi="Arial" w:eastAsia="宋体" w:cs="Arial"/>
        </w:rPr>
      </w:pPr>
      <w:r>
        <w:rPr>
          <w:rFonts w:ascii="Arial" w:hAnsi="Arial" w:eastAsia="宋体" w:cs="Arial"/>
        </w:rPr>
        <w:t>若有书面评论和建议可随时提交至食品药品监督管理局待审问题管理科</w:t>
      </w:r>
      <w:r>
        <w:rPr>
          <w:rFonts w:hint="eastAsia" w:ascii="Arial" w:hAnsi="Arial" w:eastAsia="宋体" w:cs="Arial"/>
        </w:rPr>
        <w:t>，</w:t>
      </w:r>
      <w:r>
        <w:rPr>
          <w:rFonts w:ascii="Arial" w:hAnsi="Arial" w:eastAsia="宋体" w:cs="Arial"/>
        </w:rPr>
        <w:t>供</w:t>
      </w:r>
      <w:r>
        <w:rPr>
          <w:rFonts w:hint="eastAsia" w:ascii="Arial" w:hAnsi="Arial" w:eastAsia="宋体" w:cs="Arial"/>
        </w:rPr>
        <w:t>机构审议</w:t>
      </w:r>
      <w:r>
        <w:rPr>
          <w:rFonts w:ascii="Arial" w:hAnsi="Arial" w:eastAsia="宋体" w:cs="Arial"/>
        </w:rPr>
        <w:t>。通讯地址：5630 Fishers Lane, Room 1061, （HFA-305）, Rockville, MD, 20852。若为电子评论可提交至Regulations.gov网站。提交评论时，请注明备审案件编号2006D-0275。</w:t>
      </w:r>
      <w:r>
        <w:rPr>
          <w:rFonts w:hint="eastAsia" w:ascii="Arial" w:hAnsi="Arial" w:eastAsia="宋体" w:cs="Arial"/>
        </w:rPr>
        <w:t>可能直到文件下次修订或更新时，评论才会被机构受理。</w:t>
      </w:r>
    </w:p>
    <w:p w14:paraId="52F29D79">
      <w:pPr>
        <w:snapToGrid w:val="0"/>
        <w:spacing w:line="300" w:lineRule="auto"/>
        <w:rPr>
          <w:rFonts w:ascii="Arial" w:hAnsi="Arial" w:eastAsia="宋体" w:cs="Arial"/>
        </w:rPr>
      </w:pPr>
    </w:p>
    <w:p w14:paraId="47F4DCDE">
      <w:pPr>
        <w:snapToGrid w:val="0"/>
        <w:spacing w:line="300" w:lineRule="auto"/>
        <w:rPr>
          <w:rFonts w:ascii="Arial" w:hAnsi="Arial" w:eastAsia="宋体" w:cs="Arial"/>
        </w:rPr>
      </w:pPr>
      <w:r>
        <w:rPr>
          <w:rFonts w:ascii="Arial" w:hAnsi="Arial" w:eastAsia="宋体" w:cs="Arial"/>
        </w:rPr>
        <w:t>对本指南的使用或解释若有疑问，请与Elizabeth Stafford联系。联系电话：301-796-6184，电子信箱：elizabeth.stafford @fda.hhs.gov。</w:t>
      </w:r>
    </w:p>
    <w:p w14:paraId="342442CA">
      <w:pPr>
        <w:snapToGrid w:val="0"/>
        <w:spacing w:line="300" w:lineRule="auto"/>
        <w:rPr>
          <w:rFonts w:ascii="Arial" w:hAnsi="Arial" w:eastAsia="宋体" w:cs="Arial"/>
        </w:rPr>
      </w:pPr>
    </w:p>
    <w:p w14:paraId="48235080">
      <w:pPr>
        <w:snapToGrid w:val="0"/>
        <w:spacing w:line="300" w:lineRule="auto"/>
        <w:rPr>
          <w:rFonts w:ascii="Arial" w:hAnsi="Arial" w:eastAsia="宋体" w:cs="Arial"/>
          <w:b/>
        </w:rPr>
      </w:pPr>
      <w:bookmarkStart w:id="10" w:name="OLE_LINK147"/>
      <w:bookmarkStart w:id="11" w:name="OLE_LINK146"/>
      <w:r>
        <w:rPr>
          <w:rFonts w:ascii="Arial" w:hAnsi="Arial" w:eastAsia="宋体" w:cs="Arial"/>
          <w:b/>
        </w:rPr>
        <w:t>其他副本</w:t>
      </w:r>
    </w:p>
    <w:p w14:paraId="088A395F">
      <w:pPr>
        <w:snapToGrid w:val="0"/>
        <w:spacing w:line="300" w:lineRule="auto"/>
        <w:rPr>
          <w:rFonts w:ascii="Arial" w:hAnsi="Arial" w:eastAsia="宋体" w:cs="Arial"/>
        </w:rPr>
      </w:pPr>
    </w:p>
    <w:p w14:paraId="7A3EE35B">
      <w:pPr>
        <w:snapToGrid w:val="0"/>
        <w:spacing w:line="300" w:lineRule="auto"/>
        <w:rPr>
          <w:rFonts w:ascii="Arial" w:hAnsi="Arial" w:eastAsia="宋体" w:cs="Arial"/>
        </w:rPr>
      </w:pPr>
      <w:r>
        <w:rPr>
          <w:rFonts w:ascii="Arial" w:hAnsi="Arial" w:eastAsia="宋体" w:cs="Arial"/>
        </w:rPr>
        <w:t>其他副本可从网上下载。贵公司还可发送电邮申请至dsmica@fda.hhs.gov获取本指南的电子副本或发送传真申请至301-847-8149获取复印件。请用文件编号1599确认贵公司索取的指南。</w:t>
      </w:r>
    </w:p>
    <w:bookmarkEnd w:id="10"/>
    <w:bookmarkEnd w:id="11"/>
    <w:p w14:paraId="09D3343D">
      <w:pPr>
        <w:snapToGrid w:val="0"/>
        <w:spacing w:line="300" w:lineRule="auto"/>
        <w:rPr>
          <w:rFonts w:ascii="Arial" w:hAnsi="Arial" w:eastAsia="宋体" w:cs="Arial"/>
        </w:rPr>
      </w:pPr>
    </w:p>
    <w:p w14:paraId="00B46CF2">
      <w:pPr>
        <w:snapToGrid w:val="0"/>
        <w:spacing w:line="300" w:lineRule="auto"/>
        <w:rPr>
          <w:rFonts w:ascii="Arial" w:hAnsi="Arial" w:eastAsia="宋体" w:cs="Arial"/>
          <w:b/>
        </w:rPr>
      </w:pPr>
      <w:r>
        <w:rPr>
          <w:rFonts w:ascii="Arial" w:hAnsi="Arial" w:eastAsia="宋体" w:cs="Arial"/>
          <w:b/>
        </w:rPr>
        <w:t>目录</w:t>
      </w:r>
    </w:p>
    <w:p w14:paraId="55E47C71">
      <w:pPr>
        <w:snapToGrid w:val="0"/>
        <w:spacing w:line="300" w:lineRule="auto"/>
        <w:rPr>
          <w:rFonts w:ascii="Arial" w:hAnsi="Arial" w:eastAsia="宋体" w:cs="Arial"/>
        </w:rPr>
      </w:pPr>
    </w:p>
    <w:p w14:paraId="05D8A64A">
      <w:pPr>
        <w:snapToGrid w:val="0"/>
        <w:spacing w:line="240" w:lineRule="exact"/>
        <w:rPr>
          <w:rFonts w:ascii="Arial" w:hAnsi="Arial" w:eastAsia="宋体" w:cs="Arial"/>
        </w:rPr>
      </w:pPr>
      <w:r>
        <w:rPr>
          <w:rFonts w:ascii="Arial" w:hAnsi="Arial" w:eastAsia="宋体" w:cs="Arial"/>
        </w:rPr>
        <w:t xml:space="preserve">1. </w:t>
      </w:r>
      <w:r>
        <w:rPr>
          <w:rFonts w:ascii="Arial" w:hAnsi="Arial" w:eastAsia="宋体" w:cs="Arial"/>
          <w:color w:val="800080"/>
          <w:u w:val="single"/>
        </w:rPr>
        <w:t>前言</w:t>
      </w:r>
    </w:p>
    <w:p w14:paraId="08984C14">
      <w:pPr>
        <w:snapToGrid w:val="0"/>
        <w:spacing w:line="240" w:lineRule="exact"/>
        <w:rPr>
          <w:rFonts w:ascii="Arial" w:hAnsi="Arial" w:eastAsia="宋体" w:cs="Arial"/>
          <w:color w:val="800080"/>
          <w:u w:val="single"/>
        </w:rPr>
      </w:pPr>
      <w:r>
        <w:rPr>
          <w:rFonts w:ascii="Arial" w:hAnsi="Arial" w:eastAsia="宋体" w:cs="Arial"/>
        </w:rPr>
        <w:t xml:space="preserve">2. </w:t>
      </w:r>
      <w:r>
        <w:rPr>
          <w:rFonts w:ascii="Arial" w:hAnsi="Arial" w:eastAsia="宋体" w:cs="Arial"/>
          <w:color w:val="800080"/>
          <w:u w:val="single"/>
        </w:rPr>
        <w:t>背景</w:t>
      </w:r>
    </w:p>
    <w:p w14:paraId="2DA28E33">
      <w:pPr>
        <w:snapToGrid w:val="0"/>
        <w:spacing w:line="240" w:lineRule="exact"/>
        <w:rPr>
          <w:rFonts w:ascii="Arial" w:hAnsi="Arial" w:eastAsia="宋体" w:cs="Arial"/>
          <w:color w:val="800080"/>
          <w:u w:val="single"/>
        </w:rPr>
      </w:pPr>
      <w:r>
        <w:rPr>
          <w:rFonts w:ascii="Arial" w:hAnsi="Arial" w:eastAsia="宋体" w:cs="Arial"/>
        </w:rPr>
        <w:t xml:space="preserve">3. </w:t>
      </w:r>
      <w:r>
        <w:rPr>
          <w:rFonts w:ascii="Arial" w:hAnsi="Arial" w:eastAsia="宋体" w:cs="Arial"/>
          <w:color w:val="800080"/>
          <w:u w:val="single"/>
        </w:rPr>
        <w:t>适用范围</w:t>
      </w:r>
    </w:p>
    <w:p w14:paraId="10DE47F2">
      <w:pPr>
        <w:snapToGrid w:val="0"/>
        <w:spacing w:line="240" w:lineRule="exact"/>
        <w:rPr>
          <w:rFonts w:ascii="Arial" w:hAnsi="Arial" w:eastAsia="宋体" w:cs="Arial"/>
          <w:color w:val="800080"/>
          <w:u w:val="single"/>
        </w:rPr>
      </w:pPr>
      <w:r>
        <w:rPr>
          <w:rFonts w:ascii="Arial" w:hAnsi="Arial" w:eastAsia="宋体" w:cs="Arial"/>
        </w:rPr>
        <w:t xml:space="preserve">4. </w:t>
      </w:r>
      <w:r>
        <w:rPr>
          <w:rFonts w:ascii="Arial" w:hAnsi="Arial" w:eastAsia="宋体" w:cs="Arial"/>
          <w:color w:val="800080"/>
          <w:u w:val="single"/>
        </w:rPr>
        <w:t>健康风险</w:t>
      </w:r>
    </w:p>
    <w:p w14:paraId="67DF6AD5">
      <w:pPr>
        <w:snapToGrid w:val="0"/>
        <w:spacing w:line="240" w:lineRule="exact"/>
        <w:rPr>
          <w:rFonts w:ascii="Arial" w:hAnsi="Arial" w:eastAsia="宋体" w:cs="Arial"/>
          <w:color w:val="800080"/>
          <w:u w:val="single"/>
        </w:rPr>
      </w:pPr>
      <w:r>
        <w:rPr>
          <w:rFonts w:ascii="Arial" w:hAnsi="Arial" w:eastAsia="宋体" w:cs="Arial"/>
        </w:rPr>
        <w:t xml:space="preserve">5. </w:t>
      </w:r>
      <w:r>
        <w:rPr>
          <w:rFonts w:ascii="Arial" w:hAnsi="Arial" w:eastAsia="宋体" w:cs="Arial"/>
          <w:color w:val="800080"/>
          <w:u w:val="single"/>
        </w:rPr>
        <w:t>器械描述</w:t>
      </w:r>
    </w:p>
    <w:p w14:paraId="05531EB0">
      <w:pPr>
        <w:snapToGrid w:val="0"/>
        <w:spacing w:line="240" w:lineRule="exact"/>
        <w:rPr>
          <w:rFonts w:ascii="Arial" w:hAnsi="Arial" w:eastAsia="宋体" w:cs="Arial"/>
          <w:color w:val="800080"/>
          <w:u w:val="single"/>
        </w:rPr>
      </w:pPr>
      <w:r>
        <w:rPr>
          <w:rFonts w:ascii="Arial" w:hAnsi="Arial" w:eastAsia="宋体" w:cs="Arial"/>
        </w:rPr>
        <w:t xml:space="preserve">6. </w:t>
      </w:r>
      <w:r>
        <w:rPr>
          <w:rFonts w:ascii="Arial" w:hAnsi="Arial" w:eastAsia="宋体" w:cs="Arial"/>
          <w:color w:val="800080"/>
          <w:u w:val="single"/>
        </w:rPr>
        <w:t>性能特征</w:t>
      </w:r>
    </w:p>
    <w:p w14:paraId="5191D43E">
      <w:pPr>
        <w:snapToGrid w:val="0"/>
        <w:spacing w:line="240" w:lineRule="exact"/>
        <w:rPr>
          <w:rFonts w:ascii="Arial" w:hAnsi="Arial" w:eastAsia="宋体" w:cs="Arial"/>
          <w:color w:val="800080"/>
          <w:u w:val="single"/>
        </w:rPr>
      </w:pPr>
      <w:r>
        <w:rPr>
          <w:rFonts w:ascii="Arial" w:hAnsi="Arial" w:eastAsia="宋体" w:cs="Arial"/>
        </w:rPr>
        <w:t xml:space="preserve">7. </w:t>
      </w:r>
      <w:r>
        <w:rPr>
          <w:rFonts w:ascii="Arial" w:hAnsi="Arial" w:eastAsia="宋体" w:cs="Arial"/>
          <w:color w:val="800080"/>
          <w:u w:val="single"/>
        </w:rPr>
        <w:t>方法比较</w:t>
      </w:r>
    </w:p>
    <w:p w14:paraId="111725AD">
      <w:pPr>
        <w:snapToGrid w:val="0"/>
        <w:spacing w:line="240" w:lineRule="exact"/>
        <w:rPr>
          <w:rFonts w:ascii="Arial" w:hAnsi="Arial" w:eastAsia="宋体" w:cs="Arial"/>
          <w:color w:val="800080"/>
          <w:u w:val="single"/>
        </w:rPr>
      </w:pPr>
      <w:r>
        <w:rPr>
          <w:rFonts w:ascii="Arial" w:hAnsi="Arial" w:eastAsia="宋体" w:cs="Arial"/>
        </w:rPr>
        <w:t xml:space="preserve">8. </w:t>
      </w:r>
      <w:r>
        <w:rPr>
          <w:rFonts w:ascii="Arial" w:hAnsi="Arial" w:eastAsia="宋体" w:cs="Arial"/>
          <w:color w:val="800080"/>
          <w:u w:val="single"/>
        </w:rPr>
        <w:t>预期值</w:t>
      </w:r>
    </w:p>
    <w:p w14:paraId="7A16B130">
      <w:pPr>
        <w:snapToGrid w:val="0"/>
        <w:spacing w:line="240" w:lineRule="exact"/>
        <w:rPr>
          <w:rFonts w:ascii="Arial" w:hAnsi="Arial" w:eastAsia="宋体" w:cs="Arial"/>
          <w:color w:val="800080"/>
          <w:u w:val="single"/>
        </w:rPr>
      </w:pPr>
      <w:r>
        <w:rPr>
          <w:rFonts w:ascii="Arial" w:hAnsi="Arial" w:eastAsia="宋体" w:cs="Arial"/>
        </w:rPr>
        <w:t xml:space="preserve">9. </w:t>
      </w:r>
      <w:r>
        <w:rPr>
          <w:rFonts w:ascii="Arial" w:hAnsi="Arial" w:eastAsia="宋体" w:cs="Arial"/>
          <w:color w:val="800080"/>
          <w:u w:val="single"/>
        </w:rPr>
        <w:t>贴标</w:t>
      </w:r>
    </w:p>
    <w:p w14:paraId="4A5D525A">
      <w:pPr>
        <w:snapToGrid w:val="0"/>
        <w:spacing w:line="300" w:lineRule="auto"/>
        <w:rPr>
          <w:rFonts w:ascii="Arial" w:hAnsi="Arial" w:eastAsia="宋体" w:cs="Arial"/>
          <w:b/>
          <w:sz w:val="30"/>
          <w:szCs w:val="30"/>
        </w:rPr>
      </w:pPr>
      <w:r>
        <w:rPr>
          <w:rFonts w:ascii="Arial" w:hAnsi="Arial" w:eastAsia="宋体" w:cs="Arial"/>
          <w:b/>
          <w:sz w:val="30"/>
          <w:szCs w:val="30"/>
        </w:rPr>
        <w:t>行业和食品药品监督管理局工作人员指南</w:t>
      </w:r>
    </w:p>
    <w:p w14:paraId="7AF6D7FC">
      <w:pPr>
        <w:snapToGrid w:val="0"/>
        <w:spacing w:line="300" w:lineRule="auto"/>
        <w:rPr>
          <w:rFonts w:ascii="Arial" w:hAnsi="Arial" w:eastAsia="宋体" w:cs="Arial"/>
          <w:b/>
          <w:sz w:val="30"/>
          <w:szCs w:val="30"/>
        </w:rPr>
      </w:pPr>
      <w:r>
        <w:rPr>
          <w:rFonts w:ascii="Arial" w:hAnsi="Arial" w:eastAsia="宋体" w:cs="Arial"/>
          <w:b/>
          <w:sz w:val="30"/>
          <w:szCs w:val="30"/>
        </w:rPr>
        <w:t>II类特殊控制</w:t>
      </w:r>
      <w:r>
        <w:rPr>
          <w:rFonts w:hint="eastAsia" w:ascii="Arial" w:hAnsi="Arial" w:eastAsia="宋体" w:cs="Arial"/>
          <w:b/>
          <w:sz w:val="30"/>
          <w:szCs w:val="30"/>
        </w:rPr>
        <w:t>指导性文件</w:t>
      </w:r>
      <w:r>
        <w:rPr>
          <w:rFonts w:ascii="Arial" w:hAnsi="Arial" w:eastAsia="宋体" w:cs="Arial"/>
          <w:b/>
          <w:sz w:val="30"/>
          <w:szCs w:val="30"/>
        </w:rPr>
        <w:t>：</w:t>
      </w:r>
      <w:bookmarkStart w:id="12" w:name="OLE_LINK48"/>
      <w:bookmarkStart w:id="13" w:name="OLE_LINK47"/>
      <w:r>
        <w:rPr>
          <w:rFonts w:ascii="Arial" w:hAnsi="Arial" w:eastAsia="宋体" w:cs="Arial"/>
          <w:b/>
          <w:sz w:val="30"/>
          <w:szCs w:val="30"/>
        </w:rPr>
        <w:t>粪便钙卫蛋白免疫学检测系统</w:t>
      </w:r>
      <w:bookmarkEnd w:id="12"/>
      <w:bookmarkEnd w:id="13"/>
    </w:p>
    <w:p w14:paraId="7AA7D9D8">
      <w:pPr>
        <w:snapToGrid w:val="0"/>
        <w:spacing w:line="300" w:lineRule="auto"/>
        <w:rPr>
          <w:rFonts w:ascii="Arial" w:hAnsi="Arial" w:eastAsia="宋体" w:cs="Arial"/>
        </w:rPr>
      </w:pPr>
    </w:p>
    <w:p w14:paraId="7626091C">
      <w:pPr>
        <w:snapToGrid w:val="0"/>
        <w:spacing w:line="300" w:lineRule="auto"/>
        <w:rPr>
          <w:rFonts w:ascii="Arial" w:hAnsi="Arial" w:eastAsia="宋体" w:cs="Arial"/>
          <w:b/>
        </w:rPr>
      </w:pPr>
      <w:r>
        <w:rPr>
          <w:rFonts w:ascii="Arial" w:hAnsi="Arial" w:eastAsia="宋体" w:cs="Arial"/>
          <w:b/>
        </w:rPr>
        <w:t>1. 前言</w:t>
      </w:r>
    </w:p>
    <w:p w14:paraId="0E371C86">
      <w:pPr>
        <w:snapToGrid w:val="0"/>
        <w:spacing w:line="300" w:lineRule="auto"/>
        <w:rPr>
          <w:rFonts w:ascii="Arial" w:hAnsi="Arial" w:eastAsia="宋体" w:cs="Arial"/>
        </w:rPr>
      </w:pPr>
    </w:p>
    <w:p w14:paraId="0F0EF17E">
      <w:pPr>
        <w:snapToGrid w:val="0"/>
        <w:spacing w:line="300" w:lineRule="auto"/>
        <w:rPr>
          <w:rFonts w:ascii="Arial" w:hAnsi="Arial" w:eastAsia="宋体" w:cs="Arial"/>
        </w:rPr>
      </w:pPr>
      <w:r>
        <w:rPr>
          <w:rFonts w:ascii="Arial" w:hAnsi="Arial" w:eastAsia="宋体" w:cs="Arial"/>
        </w:rPr>
        <w:t>本文件是作为特殊控制指导而编制的，目的是支持将粪便钙卫蛋白免疫学检测系统归入II类器械（特殊控制）。</w:t>
      </w:r>
      <w:bookmarkStart w:id="14" w:name="OLE_LINK56"/>
      <w:bookmarkStart w:id="15" w:name="OLE_LINK57"/>
      <w:bookmarkStart w:id="16" w:name="OLE_LINK44"/>
      <w:bookmarkStart w:id="17" w:name="OLE_LINK45"/>
      <w:r>
        <w:rPr>
          <w:rFonts w:ascii="Arial" w:hAnsi="Arial" w:eastAsia="宋体" w:cs="Arial"/>
        </w:rPr>
        <w:t>粪便钙卫蛋白免疫学检测系统</w:t>
      </w:r>
      <w:bookmarkEnd w:id="14"/>
      <w:bookmarkEnd w:id="15"/>
      <w:r>
        <w:rPr>
          <w:rFonts w:ascii="Arial" w:hAnsi="Arial" w:eastAsia="宋体" w:cs="Arial"/>
        </w:rPr>
        <w:t>是由采用免疫学技术定量测定人粪便标本中粪便钙卫蛋白的试剂组成的体外诊断器械。该器械拟用于体外诊断用途，作为炎症性肠病（IBD）诊断和炎症性肠病与</w:t>
      </w:r>
      <w:bookmarkStart w:id="18" w:name="OLE_LINK120"/>
      <w:bookmarkStart w:id="19" w:name="OLE_LINK121"/>
      <w:r>
        <w:rPr>
          <w:rFonts w:ascii="Arial" w:hAnsi="Arial" w:eastAsia="宋体" w:cs="Arial"/>
        </w:rPr>
        <w:t>肠易激综合征</w:t>
      </w:r>
      <w:bookmarkEnd w:id="18"/>
      <w:bookmarkEnd w:id="19"/>
      <w:r>
        <w:rPr>
          <w:rFonts w:ascii="Arial" w:hAnsi="Arial" w:eastAsia="宋体" w:cs="Arial"/>
        </w:rPr>
        <w:t>鉴别诊断的辅助手段。</w:t>
      </w:r>
    </w:p>
    <w:bookmarkEnd w:id="16"/>
    <w:bookmarkEnd w:id="17"/>
    <w:p w14:paraId="3B3EB73D">
      <w:pPr>
        <w:snapToGrid w:val="0"/>
        <w:spacing w:line="300" w:lineRule="auto"/>
        <w:rPr>
          <w:rFonts w:ascii="Arial" w:hAnsi="Arial" w:eastAsia="宋体" w:cs="Arial"/>
        </w:rPr>
      </w:pPr>
    </w:p>
    <w:p w14:paraId="27540FED">
      <w:pPr>
        <w:snapToGrid w:val="0"/>
        <w:spacing w:line="300" w:lineRule="auto"/>
        <w:rPr>
          <w:rFonts w:ascii="Arial" w:hAnsi="Arial" w:eastAsia="宋体" w:cs="Arial"/>
        </w:rPr>
      </w:pPr>
      <w:r>
        <w:rPr>
          <w:rFonts w:ascii="Arial" w:hAnsi="Arial" w:eastAsia="宋体" w:cs="Arial"/>
        </w:rPr>
        <w:t>本指南与联邦公报的通告同时发布，籍此</w:t>
      </w:r>
      <w:bookmarkStart w:id="20" w:name="OLE_LINK60"/>
      <w:bookmarkStart w:id="21" w:name="OLE_LINK23"/>
      <w:bookmarkStart w:id="22" w:name="OLE_LINK61"/>
      <w:r>
        <w:rPr>
          <w:rFonts w:ascii="Arial" w:hAnsi="Arial" w:eastAsia="宋体" w:cs="Arial"/>
        </w:rPr>
        <w:t>通告粪便钙卫蛋白免疫学检测系统</w:t>
      </w:r>
      <w:bookmarkEnd w:id="20"/>
      <w:bookmarkEnd w:id="21"/>
      <w:bookmarkEnd w:id="22"/>
      <w:r>
        <w:rPr>
          <w:rFonts w:ascii="Arial" w:hAnsi="Arial" w:eastAsia="宋体" w:cs="Arial"/>
        </w:rPr>
        <w:t>的分类。提交粪便钙卫蛋白免疫学检测系统510（k）（上市前通告）提交资料的任何公司均需对本特殊控制指南所包含的问题予以妥善解决。然而，公司仅需说明其器械符合本指南的推荐规范或以某种其它方式提供安全性和有效性的等同保证。</w:t>
      </w:r>
    </w:p>
    <w:p w14:paraId="05A63E79">
      <w:pPr>
        <w:snapToGrid w:val="0"/>
        <w:spacing w:line="300" w:lineRule="auto"/>
        <w:rPr>
          <w:rFonts w:ascii="Arial" w:hAnsi="Arial" w:eastAsia="宋体" w:cs="Arial"/>
        </w:rPr>
      </w:pPr>
    </w:p>
    <w:p w14:paraId="2F2D58DC">
      <w:pPr>
        <w:snapToGrid w:val="0"/>
        <w:spacing w:line="300" w:lineRule="auto"/>
        <w:rPr>
          <w:rFonts w:ascii="Arial" w:hAnsi="Arial" w:eastAsia="宋体" w:cs="Arial"/>
        </w:rPr>
      </w:pPr>
      <w:r>
        <w:rPr>
          <w:rFonts w:ascii="Arial" w:hAnsi="Arial" w:eastAsia="宋体" w:cs="Arial"/>
        </w:rPr>
        <w:t>公司必须说明其器械解决了本指南确认的安全性和有效性问题。其解决问题的方式既可遵从本指南提供的推荐规范，亦可采用能提供安全性和有效性等同保证的某些其它方法。</w:t>
      </w:r>
    </w:p>
    <w:p w14:paraId="3A56246F">
      <w:pPr>
        <w:snapToGrid w:val="0"/>
        <w:spacing w:line="300" w:lineRule="auto"/>
        <w:rPr>
          <w:rFonts w:ascii="Arial" w:hAnsi="Arial" w:eastAsia="宋体" w:cs="Arial"/>
        </w:rPr>
      </w:pPr>
    </w:p>
    <w:p w14:paraId="16D6C195">
      <w:pPr>
        <w:snapToGrid w:val="0"/>
        <w:spacing w:line="300" w:lineRule="auto"/>
        <w:rPr>
          <w:rFonts w:ascii="Arial" w:hAnsi="Arial" w:eastAsia="宋体" w:cs="Arial"/>
          <w:b/>
        </w:rPr>
      </w:pPr>
      <w:r>
        <w:rPr>
          <w:rFonts w:ascii="Arial" w:hAnsi="Arial" w:eastAsia="宋体" w:cs="Arial"/>
          <w:b/>
        </w:rPr>
        <w:t>最小负担法</w:t>
      </w:r>
    </w:p>
    <w:p w14:paraId="26810BA7">
      <w:pPr>
        <w:snapToGrid w:val="0"/>
        <w:spacing w:line="300" w:lineRule="auto"/>
        <w:rPr>
          <w:rFonts w:ascii="Arial" w:hAnsi="Arial" w:eastAsia="宋体" w:cs="Arial"/>
        </w:rPr>
      </w:pPr>
    </w:p>
    <w:p w14:paraId="345A5962">
      <w:pPr>
        <w:snapToGrid w:val="0"/>
        <w:spacing w:line="300" w:lineRule="auto"/>
        <w:rPr>
          <w:rFonts w:ascii="Arial" w:hAnsi="Arial" w:eastAsia="宋体" w:cs="Arial"/>
        </w:rPr>
      </w:pPr>
      <w:r>
        <w:rPr>
          <w:rFonts w:ascii="Arial" w:hAnsi="Arial" w:eastAsia="宋体" w:cs="Arial"/>
        </w:rPr>
        <w:t>本指南确认的问题是我们认为贵公司的器械能够上市前必须解决的问题。在编制本指南的过程中，我们仔细斟酌了本局决策采用的相关法定标准。另外，我们还斟酌了贵公司在努力遵从本指南并解决我们所确认问题的过程中可能产生的负担。我们认为我们已考虑采用最小负担法解决本指南呈现的问题。然而，如果贵公司认为有负担更小的方法可用于解决这些问题，应遵守“</w:t>
      </w:r>
      <w:r>
        <w:rPr>
          <w:rFonts w:ascii="Arial" w:hAnsi="Arial" w:eastAsia="宋体" w:cs="Arial"/>
          <w:color w:val="800080"/>
          <w:u w:val="single"/>
        </w:rPr>
        <w:t>解决最小负担问题的一个建议方法</w:t>
      </w:r>
      <w:r>
        <w:rPr>
          <w:rFonts w:ascii="Arial" w:hAnsi="Arial" w:eastAsia="宋体" w:cs="Arial"/>
        </w:rPr>
        <w:t>”文件中描述的规程予以实施。</w:t>
      </w:r>
    </w:p>
    <w:p w14:paraId="4CFBF69D">
      <w:pPr>
        <w:snapToGrid w:val="0"/>
        <w:spacing w:line="300" w:lineRule="auto"/>
        <w:rPr>
          <w:rFonts w:ascii="Arial" w:hAnsi="Arial" w:eastAsia="宋体" w:cs="Arial"/>
        </w:rPr>
      </w:pPr>
    </w:p>
    <w:p w14:paraId="2588192B">
      <w:pPr>
        <w:snapToGrid w:val="0"/>
        <w:spacing w:line="300" w:lineRule="auto"/>
        <w:rPr>
          <w:rFonts w:ascii="Arial" w:hAnsi="Arial" w:eastAsia="宋体" w:cs="Arial"/>
          <w:b/>
        </w:rPr>
      </w:pPr>
      <w:r>
        <w:rPr>
          <w:rFonts w:ascii="Arial" w:hAnsi="Arial" w:eastAsia="宋体" w:cs="Arial"/>
          <w:b/>
        </w:rPr>
        <w:t>2. 背景</w:t>
      </w:r>
    </w:p>
    <w:p w14:paraId="17623A27">
      <w:pPr>
        <w:snapToGrid w:val="0"/>
        <w:spacing w:line="300" w:lineRule="auto"/>
        <w:rPr>
          <w:rFonts w:ascii="Arial" w:hAnsi="Arial" w:eastAsia="宋体" w:cs="Arial"/>
        </w:rPr>
      </w:pPr>
    </w:p>
    <w:p w14:paraId="0D85E102">
      <w:pPr>
        <w:snapToGrid w:val="0"/>
        <w:spacing w:line="300" w:lineRule="auto"/>
        <w:rPr>
          <w:rFonts w:ascii="Arial" w:hAnsi="Arial" w:eastAsia="宋体" w:cs="Arial"/>
        </w:rPr>
      </w:pPr>
      <w:r>
        <w:rPr>
          <w:rFonts w:ascii="Arial" w:hAnsi="Arial" w:eastAsia="宋体" w:cs="Arial"/>
        </w:rPr>
        <w:t>食品药品监督管理局认为，特殊控制措施与通用控制措施相结合可对</w:t>
      </w:r>
      <w:bookmarkStart w:id="23" w:name="OLE_LINK31"/>
      <w:bookmarkStart w:id="24" w:name="OLE_LINK25"/>
      <w:bookmarkStart w:id="25" w:name="OLE_LINK24"/>
      <w:r>
        <w:rPr>
          <w:rFonts w:ascii="Arial" w:hAnsi="Arial" w:eastAsia="宋体" w:cs="Arial"/>
        </w:rPr>
        <w:t>粪便钙卫蛋白免疫学检测系统</w:t>
      </w:r>
      <w:bookmarkEnd w:id="23"/>
      <w:bookmarkEnd w:id="24"/>
      <w:bookmarkEnd w:id="25"/>
      <w:r>
        <w:rPr>
          <w:rFonts w:ascii="Arial" w:hAnsi="Arial" w:eastAsia="宋体" w:cs="Arial"/>
        </w:rPr>
        <w:t>的安全性和有效性提供合理保证。拟销售该类器械的制造商应（1）遵从联邦食品、药品和化妆品法案（简称法案）规定的通用控制措施，包括21 CFR 第807部E亚部份描述的上市前通告要求，（2）解决本指南确认的与粪便钙卫蛋白免疫学检测系统有关的特定健康风险，（3）于销售该器械前获得食品药品监督管理局做出的实质等同认定。</w:t>
      </w:r>
    </w:p>
    <w:p w14:paraId="7AFDBBF9">
      <w:pPr>
        <w:snapToGrid w:val="0"/>
        <w:spacing w:line="300" w:lineRule="auto"/>
        <w:rPr>
          <w:rFonts w:ascii="Arial" w:hAnsi="Arial" w:eastAsia="宋体" w:cs="Arial"/>
        </w:rPr>
      </w:pPr>
    </w:p>
    <w:p w14:paraId="11536780">
      <w:pPr>
        <w:snapToGrid w:val="0"/>
        <w:spacing w:line="300" w:lineRule="auto"/>
        <w:rPr>
          <w:rFonts w:ascii="Arial" w:hAnsi="Arial" w:eastAsia="宋体" w:cs="Arial"/>
        </w:rPr>
      </w:pPr>
      <w:r>
        <w:rPr>
          <w:rFonts w:ascii="Arial" w:hAnsi="Arial" w:eastAsia="宋体" w:cs="Arial"/>
        </w:rPr>
        <w:t>本指南在第3节确认了粪便钙卫蛋白免疫学检测系统的</w:t>
      </w:r>
      <w:bookmarkStart w:id="26" w:name="OLE_LINK3"/>
      <w:bookmarkStart w:id="27" w:name="OLE_LINK6"/>
      <w:bookmarkStart w:id="28" w:name="OLE_LINK4"/>
      <w:r>
        <w:rPr>
          <w:rFonts w:ascii="Arial" w:hAnsi="Arial" w:eastAsia="宋体" w:cs="Arial"/>
        </w:rPr>
        <w:t>分类规则和产品代码</w:t>
      </w:r>
      <w:bookmarkEnd w:id="26"/>
      <w:bookmarkEnd w:id="27"/>
      <w:bookmarkEnd w:id="28"/>
      <w:r>
        <w:rPr>
          <w:rFonts w:ascii="Arial" w:hAnsi="Arial" w:eastAsia="宋体" w:cs="Arial"/>
        </w:rPr>
        <w:t>，在第4节描述了经食品药品监督管理局确认的健康风险并描述了相应的控制措施。制造商若遵从这些措施并与通用控制措施相结合，通常可解决与这些系统相关的健康风险并可使510（k）提交资料及时获得审查和许可。本指南在上市前通告提交资料具体内容要求方面弥补了食品药品监督管理局其它文件的不足之处。贵公司还应参考</w:t>
      </w:r>
      <w:r>
        <w:rPr>
          <w:rFonts w:ascii="Arial" w:hAnsi="Arial" w:eastAsia="宋体" w:cs="Arial"/>
          <w:color w:val="800080"/>
          <w:u w:val="single"/>
        </w:rPr>
        <w:t>21 CFR 807.87</w:t>
      </w:r>
      <w:r>
        <w:rPr>
          <w:rFonts w:ascii="Arial" w:hAnsi="Arial" w:eastAsia="宋体" w:cs="Arial"/>
        </w:rPr>
        <w:t>和食品药品监督管理局关于该主题的其它文件，如“</w:t>
      </w:r>
      <w:r>
        <w:rPr>
          <w:rFonts w:ascii="Arial" w:hAnsi="Arial" w:eastAsia="宋体" w:cs="Arial"/>
          <w:color w:val="800080"/>
          <w:u w:val="single"/>
        </w:rPr>
        <w:t>上市前通告510（k）</w:t>
      </w:r>
      <w:r>
        <w:rPr>
          <w:rFonts w:ascii="Arial" w:hAnsi="Arial" w:eastAsia="宋体" w:cs="Arial"/>
        </w:rPr>
        <w:t>”中可供利用的内容。</w:t>
      </w:r>
    </w:p>
    <w:p w14:paraId="73060E65">
      <w:pPr>
        <w:snapToGrid w:val="0"/>
        <w:spacing w:line="300" w:lineRule="auto"/>
        <w:rPr>
          <w:rFonts w:ascii="Arial" w:hAnsi="Arial" w:eastAsia="宋体" w:cs="Arial"/>
        </w:rPr>
      </w:pPr>
    </w:p>
    <w:p w14:paraId="55B9905C">
      <w:pPr>
        <w:snapToGrid w:val="0"/>
        <w:spacing w:line="300" w:lineRule="auto"/>
        <w:rPr>
          <w:rFonts w:ascii="Arial" w:hAnsi="Arial" w:eastAsia="宋体" w:cs="Arial"/>
        </w:rPr>
      </w:pPr>
      <w:r>
        <w:rPr>
          <w:rFonts w:ascii="Arial" w:hAnsi="Arial" w:eastAsia="宋体" w:cs="Arial"/>
        </w:rPr>
        <w:t>如“</w:t>
      </w:r>
      <w:r>
        <w:rPr>
          <w:rFonts w:ascii="Arial" w:hAnsi="Arial" w:eastAsia="宋体" w:cs="Arial"/>
          <w:color w:val="800080"/>
          <w:u w:val="single"/>
        </w:rPr>
        <w:t>510（k）新范本－在上市前通告中证明实质等同的备选方法</w:t>
      </w:r>
      <w:r>
        <w:rPr>
          <w:rFonts w:ascii="Arial" w:hAnsi="Arial" w:eastAsia="宋体" w:cs="Arial"/>
        </w:rPr>
        <w:t>”所述，制造商既可提交传统510（k）提交资料，亦可提交简化</w:t>
      </w:r>
      <w:bookmarkStart w:id="29" w:name="OLE_LINK33"/>
      <w:bookmarkStart w:id="30" w:name="OLE_LINK32"/>
      <w:r>
        <w:rPr>
          <w:rFonts w:ascii="Arial" w:hAnsi="Arial" w:eastAsia="宋体" w:cs="Arial"/>
        </w:rPr>
        <w:t>510（k）提交资料。</w:t>
      </w:r>
      <w:bookmarkEnd w:id="29"/>
      <w:bookmarkEnd w:id="30"/>
      <w:r>
        <w:rPr>
          <w:rFonts w:ascii="Arial" w:hAnsi="Arial" w:eastAsia="宋体" w:cs="Arial"/>
        </w:rPr>
        <w:t>依据食品药品监督管理局认可的共识标准或食品药品监督管理局指南，简化510（k）提交资料提供了一个合理安排510（k）数据审查的方法。</w:t>
      </w:r>
    </w:p>
    <w:p w14:paraId="12E398B2">
      <w:pPr>
        <w:snapToGrid w:val="0"/>
        <w:spacing w:line="300" w:lineRule="auto"/>
        <w:rPr>
          <w:rFonts w:ascii="Arial" w:hAnsi="Arial" w:eastAsia="宋体" w:cs="Arial"/>
        </w:rPr>
      </w:pPr>
    </w:p>
    <w:p w14:paraId="1FE79494">
      <w:pPr>
        <w:snapToGrid w:val="0"/>
        <w:spacing w:line="300" w:lineRule="auto"/>
        <w:rPr>
          <w:rFonts w:ascii="Arial" w:hAnsi="Arial" w:eastAsia="宋体" w:cs="Arial"/>
        </w:rPr>
      </w:pPr>
      <w:r>
        <w:rPr>
          <w:rFonts w:ascii="Arial" w:hAnsi="Arial" w:eastAsia="宋体" w:cs="Arial"/>
        </w:rPr>
        <w:t>关于</w:t>
      </w:r>
      <w:bookmarkStart w:id="31" w:name="OLE_LINK36"/>
      <w:bookmarkStart w:id="32" w:name="OLE_LINK37"/>
      <w:r>
        <w:rPr>
          <w:rFonts w:ascii="Arial" w:hAnsi="Arial" w:eastAsia="宋体" w:cs="Arial"/>
        </w:rPr>
        <w:t>简化和传统510（k）提交资料内容与格式</w:t>
      </w:r>
      <w:bookmarkEnd w:id="31"/>
      <w:bookmarkEnd w:id="32"/>
      <w:r>
        <w:rPr>
          <w:rFonts w:ascii="Arial" w:hAnsi="Arial" w:eastAsia="宋体" w:cs="Arial"/>
        </w:rPr>
        <w:t>的指导原则可从“</w:t>
      </w:r>
      <w:r>
        <w:rPr>
          <w:rFonts w:ascii="Arial" w:hAnsi="Arial" w:eastAsia="宋体" w:cs="Arial"/>
          <w:color w:val="800080"/>
          <w:u w:val="single"/>
        </w:rPr>
        <w:t>传统和简化510（k）提交资料格式</w:t>
      </w:r>
      <w:r>
        <w:rPr>
          <w:rFonts w:ascii="Arial" w:hAnsi="Arial" w:eastAsia="宋体" w:cs="Arial"/>
        </w:rPr>
        <w:t>”中查到。亦见法案第514（c）（1）（B）部分和食品药品监督管理局指南“</w:t>
      </w:r>
      <w:r>
        <w:rPr>
          <w:rFonts w:ascii="Arial" w:hAnsi="Arial" w:eastAsia="宋体" w:cs="Arial"/>
          <w:color w:val="800080"/>
          <w:u w:val="single"/>
        </w:rPr>
        <w:t>标准在实质等同认定中的应用</w:t>
      </w:r>
      <w:r>
        <w:rPr>
          <w:rFonts w:ascii="Arial" w:hAnsi="Arial" w:eastAsia="宋体" w:cs="Arial"/>
        </w:rPr>
        <w:t>”。</w:t>
      </w:r>
    </w:p>
    <w:p w14:paraId="685E1699">
      <w:pPr>
        <w:snapToGrid w:val="0"/>
        <w:spacing w:line="300" w:lineRule="auto"/>
        <w:rPr>
          <w:rFonts w:ascii="Arial" w:hAnsi="Arial" w:eastAsia="宋体" w:cs="Arial"/>
        </w:rPr>
      </w:pPr>
    </w:p>
    <w:p w14:paraId="22151D91">
      <w:pPr>
        <w:snapToGrid w:val="0"/>
        <w:spacing w:line="300" w:lineRule="auto"/>
        <w:rPr>
          <w:rFonts w:ascii="Arial" w:hAnsi="Arial" w:eastAsia="宋体" w:cs="Arial"/>
          <w:b/>
        </w:rPr>
      </w:pPr>
      <w:r>
        <w:rPr>
          <w:rFonts w:ascii="Arial" w:hAnsi="Arial" w:eastAsia="宋体" w:cs="Arial"/>
          <w:b/>
        </w:rPr>
        <w:t>3. 适用范围</w:t>
      </w:r>
    </w:p>
    <w:p w14:paraId="401AC4A6">
      <w:pPr>
        <w:snapToGrid w:val="0"/>
        <w:spacing w:line="300" w:lineRule="auto"/>
        <w:rPr>
          <w:rFonts w:ascii="Arial" w:hAnsi="Arial" w:eastAsia="宋体" w:cs="Arial"/>
        </w:rPr>
      </w:pPr>
    </w:p>
    <w:p w14:paraId="14021776">
      <w:pPr>
        <w:snapToGrid w:val="0"/>
        <w:spacing w:line="300" w:lineRule="auto"/>
        <w:rPr>
          <w:rFonts w:ascii="Arial" w:hAnsi="Arial" w:eastAsia="宋体" w:cs="Arial"/>
        </w:rPr>
      </w:pPr>
      <w:r>
        <w:rPr>
          <w:rFonts w:ascii="Arial" w:hAnsi="Arial" w:eastAsia="宋体" w:cs="Arial"/>
        </w:rPr>
        <w:t>本文件的适用范围限于21 CFR 866.5180描述的下列器械（产品代码：NXO）：</w:t>
      </w:r>
    </w:p>
    <w:p w14:paraId="1E9E5B4A">
      <w:pPr>
        <w:snapToGrid w:val="0"/>
        <w:spacing w:line="300" w:lineRule="auto"/>
        <w:rPr>
          <w:rFonts w:ascii="Arial" w:hAnsi="Arial" w:eastAsia="宋体" w:cs="Arial"/>
        </w:rPr>
      </w:pPr>
    </w:p>
    <w:p w14:paraId="0A7F5843">
      <w:pPr>
        <w:snapToGrid w:val="0"/>
        <w:spacing w:line="300" w:lineRule="auto"/>
        <w:rPr>
          <w:rFonts w:ascii="Arial" w:hAnsi="Arial" w:eastAsia="宋体" w:cs="Arial"/>
        </w:rPr>
      </w:pPr>
      <w:r>
        <w:rPr>
          <w:rFonts w:ascii="Arial" w:hAnsi="Arial" w:eastAsia="宋体" w:cs="Arial"/>
        </w:rPr>
        <w:t>21 CFR 866.5180 粪便钙卫蛋白免疫学检测系统</w:t>
      </w:r>
    </w:p>
    <w:p w14:paraId="0E11861B">
      <w:pPr>
        <w:snapToGrid w:val="0"/>
        <w:spacing w:line="300" w:lineRule="auto"/>
        <w:rPr>
          <w:rFonts w:ascii="Arial" w:hAnsi="Arial" w:eastAsia="宋体" w:cs="Arial"/>
        </w:rPr>
      </w:pPr>
    </w:p>
    <w:p w14:paraId="29E36ED5">
      <w:pPr>
        <w:snapToGrid w:val="0"/>
        <w:spacing w:line="300" w:lineRule="auto"/>
        <w:rPr>
          <w:rFonts w:ascii="Arial" w:hAnsi="Arial" w:eastAsia="宋体" w:cs="Arial"/>
        </w:rPr>
      </w:pPr>
      <w:r>
        <w:rPr>
          <w:rFonts w:ascii="Arial" w:hAnsi="Arial" w:eastAsia="宋体" w:cs="Arial"/>
        </w:rPr>
        <w:t>粪便钙卫蛋白免疫学检测系统是由采用免疫学技术定量测定人粪便标本中粪便钙卫蛋白的试剂组成的体外诊断器械。该器械拟用于体外诊断用途，作为炎症性肠病（IBD）（尤其是克隆病和溃疡性结肠炎）诊断和炎症性肠病与肠易激综合征鉴别诊断的辅助手段。</w:t>
      </w:r>
    </w:p>
    <w:p w14:paraId="3B25E760">
      <w:pPr>
        <w:snapToGrid w:val="0"/>
        <w:spacing w:line="300" w:lineRule="auto"/>
        <w:rPr>
          <w:rFonts w:ascii="Arial" w:hAnsi="Arial" w:eastAsia="宋体" w:cs="Arial"/>
        </w:rPr>
      </w:pPr>
    </w:p>
    <w:p w14:paraId="0F101AD6">
      <w:pPr>
        <w:snapToGrid w:val="0"/>
        <w:spacing w:line="300" w:lineRule="auto"/>
        <w:rPr>
          <w:rFonts w:ascii="Arial" w:hAnsi="Arial" w:eastAsia="宋体" w:cs="Arial"/>
          <w:b/>
        </w:rPr>
      </w:pPr>
      <w:r>
        <w:rPr>
          <w:rFonts w:ascii="Arial" w:hAnsi="Arial" w:eastAsia="宋体" w:cs="Arial"/>
          <w:b/>
        </w:rPr>
        <w:t>4. 健康风险</w:t>
      </w:r>
    </w:p>
    <w:p w14:paraId="6A2B1D5B">
      <w:pPr>
        <w:snapToGrid w:val="0"/>
        <w:spacing w:line="300" w:lineRule="auto"/>
        <w:rPr>
          <w:rFonts w:ascii="Arial" w:hAnsi="Arial" w:eastAsia="宋体" w:cs="Arial"/>
        </w:rPr>
      </w:pPr>
    </w:p>
    <w:p w14:paraId="70DDA0E6">
      <w:pPr>
        <w:snapToGrid w:val="0"/>
        <w:spacing w:line="300" w:lineRule="auto"/>
        <w:rPr>
          <w:rFonts w:ascii="Arial" w:hAnsi="Arial" w:eastAsia="宋体" w:cs="Arial"/>
        </w:rPr>
      </w:pPr>
      <w:r>
        <w:rPr>
          <w:rFonts w:ascii="Arial" w:hAnsi="Arial" w:eastAsia="宋体" w:cs="Arial"/>
        </w:rPr>
        <w:t>按标示使用粪便钙卫蛋白免疫学检测系统进行检测时出现故障或对结果解释错误可导致风险评估不准确以及对炎症性肠病患者处理不当。尤其是</w:t>
      </w:r>
      <w:bookmarkStart w:id="33" w:name="OLE_LINK125"/>
      <w:bookmarkStart w:id="34" w:name="OLE_LINK124"/>
      <w:r>
        <w:rPr>
          <w:rFonts w:ascii="Arial" w:hAnsi="Arial" w:eastAsia="宋体" w:cs="Arial"/>
        </w:rPr>
        <w:t>粪便钙卫蛋白含量</w:t>
      </w:r>
      <w:bookmarkEnd w:id="33"/>
      <w:bookmarkEnd w:id="34"/>
      <w:r>
        <w:rPr>
          <w:rFonts w:ascii="Arial" w:hAnsi="Arial" w:eastAsia="宋体" w:cs="Arial"/>
        </w:rPr>
        <w:t>虚假偏低可导致做出患者未患炎症性肠病的判定，从而导致适当治疗时机延迟，或导致做出患者患有肠易激综合征（irritable bowel syndrome，IBS）的判定，从而要求对其进行明显不同的临床管理。粪便钙卫蛋白含量偏虚假高可导致做出患者可能患有炎症性肠病的判定，从而导致不必要的评价和检测或不适当的治疗决策。</w:t>
      </w:r>
      <w:bookmarkStart w:id="35" w:name="OLE_LINK135"/>
      <w:bookmarkStart w:id="36" w:name="OLE_LINK136"/>
      <w:r>
        <w:rPr>
          <w:rFonts w:ascii="Arial" w:hAnsi="Arial" w:eastAsia="宋体" w:cs="Arial"/>
        </w:rPr>
        <w:t>使用测定结果时如果不考虑其它诊断检测的结果和总体临床表现亦可造成风险。</w:t>
      </w:r>
    </w:p>
    <w:bookmarkEnd w:id="35"/>
    <w:bookmarkEnd w:id="36"/>
    <w:p w14:paraId="70721020">
      <w:pPr>
        <w:snapToGrid w:val="0"/>
        <w:spacing w:line="300" w:lineRule="auto"/>
        <w:rPr>
          <w:rFonts w:ascii="Arial" w:hAnsi="Arial" w:eastAsia="宋体" w:cs="Arial"/>
        </w:rPr>
      </w:pPr>
    </w:p>
    <w:p w14:paraId="47891EA1">
      <w:pPr>
        <w:snapToGrid w:val="0"/>
        <w:spacing w:line="300" w:lineRule="auto"/>
        <w:rPr>
          <w:rFonts w:ascii="Arial" w:hAnsi="Arial" w:eastAsia="宋体" w:cs="Arial"/>
        </w:rPr>
      </w:pPr>
      <w:r>
        <w:rPr>
          <w:rFonts w:ascii="Arial" w:hAnsi="Arial" w:eastAsia="宋体" w:cs="Arial"/>
        </w:rPr>
        <w:t>食品药品监督管理局在下表中确认了通常与使用本文件讨论的粪便钙卫蛋白免疫学检测系统有关的健康风险。如下表所示，本指南给出了为减轻这些确认风险而推荐的控制措施。我们建议贵公司在提交上市前通告前做一次风险分析，针对贵公司的器械确认任何其它风险。在上市前通告中应对风险分析方法加以描述。如果贵公司选择采用备选方法处理本文件确认的特定风险或确认了本文件中所述风险的附加风险，应提供足够细节支持贵公司处理风险所采用的方法。</w:t>
      </w:r>
    </w:p>
    <w:p w14:paraId="60956A11">
      <w:pPr>
        <w:widowControl/>
        <w:jc w:val="left"/>
        <w:rPr>
          <w:rFonts w:ascii="Arial" w:hAnsi="Arial" w:eastAsia="宋体" w:cs="Arial"/>
        </w:rPr>
      </w:pPr>
      <w:r>
        <w:rPr>
          <w:rFonts w:ascii="Arial" w:hAnsi="Arial" w:eastAsia="宋体" w:cs="Arial"/>
        </w:rPr>
        <w:br w:type="page"/>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2219"/>
      </w:tblGrid>
      <w:tr w14:paraId="0A10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shd w:val="clear" w:color="auto" w:fill="F1F1F1" w:themeFill="background1" w:themeFillShade="F2"/>
          </w:tcPr>
          <w:p w14:paraId="58DF4C8E">
            <w:pPr>
              <w:snapToGrid w:val="0"/>
              <w:spacing w:line="300" w:lineRule="auto"/>
              <w:rPr>
                <w:rFonts w:ascii="Arial" w:hAnsi="Arial" w:eastAsia="宋体" w:cs="Arial"/>
                <w:b/>
                <w:i/>
              </w:rPr>
            </w:pPr>
            <w:bookmarkStart w:id="37" w:name="OLE_LINK35"/>
            <w:bookmarkStart w:id="38" w:name="OLE_LINK117"/>
            <w:bookmarkStart w:id="39" w:name="OLE_LINK112"/>
            <w:bookmarkStart w:id="40" w:name="OLE_LINK113"/>
            <w:bookmarkStart w:id="41" w:name="OLE_LINK38"/>
            <w:bookmarkStart w:id="42" w:name="OLE_LINK116"/>
            <w:r>
              <w:rPr>
                <w:rFonts w:ascii="Arial" w:hAnsi="Arial" w:eastAsia="宋体" w:cs="Arial"/>
                <w:b/>
                <w:i/>
              </w:rPr>
              <w:t>确认风险</w:t>
            </w:r>
          </w:p>
        </w:tc>
        <w:tc>
          <w:tcPr>
            <w:tcW w:w="2219" w:type="dxa"/>
            <w:shd w:val="clear" w:color="auto" w:fill="F1F1F1" w:themeFill="background1" w:themeFillShade="F2"/>
          </w:tcPr>
          <w:p w14:paraId="30E1663A">
            <w:pPr>
              <w:snapToGrid w:val="0"/>
              <w:spacing w:line="300" w:lineRule="auto"/>
              <w:rPr>
                <w:rFonts w:ascii="Arial" w:hAnsi="Arial" w:eastAsia="宋体" w:cs="Arial"/>
                <w:b/>
                <w:i/>
              </w:rPr>
            </w:pPr>
            <w:r>
              <w:rPr>
                <w:rFonts w:ascii="Arial" w:hAnsi="Arial" w:eastAsia="宋体" w:cs="Arial"/>
                <w:b/>
                <w:i/>
              </w:rPr>
              <w:t>建议采取的</w:t>
            </w:r>
            <w:r>
              <w:rPr>
                <w:rFonts w:hint="eastAsia" w:ascii="Arial" w:hAnsi="Arial" w:eastAsia="宋体" w:cs="Arial"/>
                <w:b/>
                <w:i/>
              </w:rPr>
              <w:t>缓解</w:t>
            </w:r>
            <w:r>
              <w:rPr>
                <w:rFonts w:ascii="Arial" w:hAnsi="Arial" w:eastAsia="宋体" w:cs="Arial"/>
                <w:b/>
                <w:i/>
              </w:rPr>
              <w:t>措施</w:t>
            </w:r>
          </w:p>
        </w:tc>
      </w:tr>
      <w:tr w14:paraId="5F7F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14:paraId="3A8F3EDC">
            <w:pPr>
              <w:snapToGrid w:val="0"/>
              <w:spacing w:line="300" w:lineRule="auto"/>
              <w:rPr>
                <w:rFonts w:ascii="Arial" w:hAnsi="Arial" w:eastAsia="宋体" w:cs="Arial"/>
              </w:rPr>
            </w:pPr>
            <w:r>
              <w:rPr>
                <w:rFonts w:ascii="Arial" w:hAnsi="Arial" w:eastAsia="宋体" w:cs="Arial"/>
              </w:rPr>
              <w:t>因假阳性或假阴性结果所致风险评估不准确和患者处理不当。</w:t>
            </w:r>
          </w:p>
        </w:tc>
        <w:tc>
          <w:tcPr>
            <w:tcW w:w="2219" w:type="dxa"/>
          </w:tcPr>
          <w:p w14:paraId="41D1628C">
            <w:pPr>
              <w:snapToGrid w:val="0"/>
              <w:spacing w:line="300" w:lineRule="auto"/>
              <w:rPr>
                <w:rFonts w:ascii="Arial" w:hAnsi="Arial" w:eastAsia="宋体" w:cs="Arial"/>
              </w:rPr>
            </w:pPr>
            <w:r>
              <w:rPr>
                <w:rFonts w:ascii="Arial" w:hAnsi="Arial" w:eastAsia="宋体" w:cs="Arial"/>
              </w:rPr>
              <w:t>第6-8节</w:t>
            </w:r>
          </w:p>
        </w:tc>
      </w:tr>
      <w:tr w14:paraId="5B5E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Pr>
          <w:p w14:paraId="7CF4701A">
            <w:pPr>
              <w:snapToGrid w:val="0"/>
              <w:spacing w:line="300" w:lineRule="auto"/>
              <w:rPr>
                <w:rFonts w:ascii="Arial" w:hAnsi="Arial" w:eastAsia="宋体" w:cs="Arial"/>
              </w:rPr>
            </w:pPr>
            <w:r>
              <w:rPr>
                <w:rFonts w:ascii="Arial" w:hAnsi="Arial" w:eastAsia="宋体" w:cs="Arial"/>
              </w:rPr>
              <w:t>使用测定结果时如果不考虑其它诊断检测的结果和总体临床表现亦可造成风险。</w:t>
            </w:r>
          </w:p>
        </w:tc>
        <w:tc>
          <w:tcPr>
            <w:tcW w:w="2219" w:type="dxa"/>
          </w:tcPr>
          <w:p w14:paraId="70B4EE23">
            <w:pPr>
              <w:snapToGrid w:val="0"/>
              <w:spacing w:line="300" w:lineRule="auto"/>
              <w:rPr>
                <w:rFonts w:ascii="Arial" w:hAnsi="Arial" w:eastAsia="宋体" w:cs="Arial"/>
              </w:rPr>
            </w:pPr>
            <w:r>
              <w:rPr>
                <w:rFonts w:ascii="Arial" w:hAnsi="Arial" w:eastAsia="宋体" w:cs="Arial"/>
              </w:rPr>
              <w:t>第9节</w:t>
            </w:r>
          </w:p>
        </w:tc>
      </w:tr>
      <w:bookmarkEnd w:id="37"/>
      <w:bookmarkEnd w:id="38"/>
      <w:bookmarkEnd w:id="39"/>
      <w:bookmarkEnd w:id="40"/>
      <w:bookmarkEnd w:id="41"/>
      <w:bookmarkEnd w:id="42"/>
    </w:tbl>
    <w:p w14:paraId="5DAC647A">
      <w:pPr>
        <w:snapToGrid w:val="0"/>
        <w:spacing w:line="300" w:lineRule="auto"/>
        <w:rPr>
          <w:rFonts w:ascii="Arial" w:hAnsi="Arial" w:eastAsia="宋体" w:cs="Arial"/>
        </w:rPr>
      </w:pPr>
    </w:p>
    <w:p w14:paraId="148C5F8E">
      <w:pPr>
        <w:snapToGrid w:val="0"/>
        <w:spacing w:line="300" w:lineRule="auto"/>
        <w:rPr>
          <w:rFonts w:ascii="Arial" w:hAnsi="Arial" w:eastAsia="宋体" w:cs="Arial"/>
          <w:b/>
        </w:rPr>
      </w:pPr>
      <w:r>
        <w:rPr>
          <w:rFonts w:ascii="Arial" w:hAnsi="Arial" w:eastAsia="宋体" w:cs="Arial"/>
          <w:b/>
        </w:rPr>
        <w:t>5. 器械描述</w:t>
      </w:r>
    </w:p>
    <w:p w14:paraId="67007536">
      <w:pPr>
        <w:snapToGrid w:val="0"/>
        <w:spacing w:line="300" w:lineRule="auto"/>
        <w:rPr>
          <w:rFonts w:ascii="Arial" w:hAnsi="Arial" w:eastAsia="宋体" w:cs="Arial"/>
        </w:rPr>
      </w:pPr>
    </w:p>
    <w:p w14:paraId="5A092B25">
      <w:pPr>
        <w:snapToGrid w:val="0"/>
        <w:spacing w:line="300" w:lineRule="auto"/>
        <w:rPr>
          <w:rFonts w:ascii="Arial" w:hAnsi="Arial" w:eastAsia="宋体" w:cs="Arial"/>
        </w:rPr>
      </w:pPr>
      <w:r>
        <w:rPr>
          <w:rFonts w:ascii="Arial" w:hAnsi="Arial" w:eastAsia="宋体" w:cs="Arial"/>
        </w:rPr>
        <w:t>贵公司应在510（k）提交资料中确认分类规则、产品代码和一种合法销售的比较器械。为帮助食品药品监督管理局通过与比较器械的比较有效地对您的器械的各个方面</w:t>
      </w:r>
      <w:bookmarkStart w:id="43" w:name="OLE_LINK5"/>
      <w:r>
        <w:rPr>
          <w:rFonts w:ascii="Arial" w:hAnsi="Arial" w:eastAsia="宋体" w:cs="Arial"/>
        </w:rPr>
        <w:t>进行审查</w:t>
      </w:r>
      <w:bookmarkEnd w:id="43"/>
      <w:r>
        <w:rPr>
          <w:rFonts w:ascii="Arial" w:hAnsi="Arial" w:eastAsia="宋体" w:cs="Arial"/>
        </w:rPr>
        <w:t>，我们建议贵公司在提交资料中包含一个表格，通过该表格对比较器械和贵公司的器械间的相似点和相异点做出概要描述。</w:t>
      </w:r>
    </w:p>
    <w:p w14:paraId="04A0987F">
      <w:pPr>
        <w:snapToGrid w:val="0"/>
        <w:spacing w:line="300" w:lineRule="auto"/>
        <w:rPr>
          <w:rFonts w:ascii="Arial" w:hAnsi="Arial" w:eastAsia="宋体" w:cs="Arial"/>
        </w:rPr>
      </w:pPr>
    </w:p>
    <w:p w14:paraId="4C95FFFD">
      <w:pPr>
        <w:snapToGrid w:val="0"/>
        <w:spacing w:line="300" w:lineRule="auto"/>
        <w:rPr>
          <w:rFonts w:ascii="Arial" w:hAnsi="Arial" w:eastAsia="宋体" w:cs="Arial"/>
          <w:b/>
        </w:rPr>
      </w:pPr>
      <w:r>
        <w:rPr>
          <w:rFonts w:ascii="Arial" w:hAnsi="Arial" w:eastAsia="宋体" w:cs="Arial"/>
          <w:b/>
        </w:rPr>
        <w:t>预期用途</w:t>
      </w:r>
    </w:p>
    <w:p w14:paraId="69C95151">
      <w:pPr>
        <w:snapToGrid w:val="0"/>
        <w:spacing w:line="300" w:lineRule="auto"/>
        <w:rPr>
          <w:rFonts w:ascii="Arial" w:hAnsi="Arial" w:eastAsia="宋体" w:cs="Arial"/>
        </w:rPr>
      </w:pPr>
    </w:p>
    <w:p w14:paraId="2A385B0A">
      <w:pPr>
        <w:snapToGrid w:val="0"/>
        <w:spacing w:line="300" w:lineRule="auto"/>
        <w:rPr>
          <w:rFonts w:ascii="Arial" w:hAnsi="Arial" w:eastAsia="宋体" w:cs="Arial"/>
        </w:rPr>
      </w:pPr>
      <w:r>
        <w:rPr>
          <w:rFonts w:ascii="Arial" w:hAnsi="Arial" w:eastAsia="宋体" w:cs="Arial"/>
        </w:rPr>
        <w:t>贵公司应对器械的预期用途做出清晰描述。在预期用途部分应对该器械拟检测的被测物、检测被测物的一般临床用途、要检测的基质和该器械拟检测的特定目标人群做出详细描述。</w:t>
      </w:r>
    </w:p>
    <w:p w14:paraId="7C28D76D">
      <w:pPr>
        <w:snapToGrid w:val="0"/>
        <w:spacing w:line="300" w:lineRule="auto"/>
        <w:rPr>
          <w:rFonts w:ascii="Arial" w:hAnsi="Arial" w:eastAsia="宋体" w:cs="Arial"/>
        </w:rPr>
      </w:pPr>
    </w:p>
    <w:p w14:paraId="04FAC1C1">
      <w:pPr>
        <w:snapToGrid w:val="0"/>
        <w:spacing w:line="300" w:lineRule="auto"/>
        <w:rPr>
          <w:rFonts w:ascii="Arial" w:hAnsi="Arial" w:eastAsia="宋体" w:cs="Arial"/>
        </w:rPr>
      </w:pPr>
      <w:r>
        <w:rPr>
          <w:rFonts w:ascii="Arial" w:hAnsi="Arial" w:eastAsia="宋体" w:cs="Arial"/>
        </w:rPr>
        <w:t>某些器械可能拥有多种预期用途。当需要分别进行独特研究以支持多种预期用途时，我们建议贵公司对每种预期用途分别提交提交资料。贵公司应咨询免疫学和血液学检测器械处，就多预期用途器械提交提交资料事宜征求他们的建议。</w:t>
      </w:r>
    </w:p>
    <w:p w14:paraId="31544E3D">
      <w:pPr>
        <w:snapToGrid w:val="0"/>
        <w:spacing w:line="300" w:lineRule="auto"/>
        <w:rPr>
          <w:rFonts w:ascii="Arial" w:hAnsi="Arial" w:eastAsia="宋体" w:cs="Arial"/>
        </w:rPr>
      </w:pPr>
    </w:p>
    <w:p w14:paraId="69816411">
      <w:pPr>
        <w:snapToGrid w:val="0"/>
        <w:spacing w:line="300" w:lineRule="auto"/>
        <w:rPr>
          <w:rFonts w:ascii="Arial" w:hAnsi="Arial" w:eastAsia="宋体" w:cs="Arial"/>
          <w:b/>
        </w:rPr>
      </w:pPr>
      <w:r>
        <w:rPr>
          <w:rFonts w:ascii="Arial" w:hAnsi="Arial" w:eastAsia="宋体" w:cs="Arial"/>
          <w:b/>
        </w:rPr>
        <w:t>器械成分和方法</w:t>
      </w:r>
    </w:p>
    <w:p w14:paraId="428ED528">
      <w:pPr>
        <w:snapToGrid w:val="0"/>
        <w:spacing w:line="300" w:lineRule="auto"/>
        <w:rPr>
          <w:rFonts w:ascii="Arial" w:hAnsi="Arial" w:eastAsia="宋体" w:cs="Arial"/>
        </w:rPr>
      </w:pPr>
    </w:p>
    <w:p w14:paraId="7191C4A9">
      <w:pPr>
        <w:snapToGrid w:val="0"/>
        <w:spacing w:line="300" w:lineRule="auto"/>
        <w:rPr>
          <w:rFonts w:ascii="Arial" w:hAnsi="Arial" w:eastAsia="宋体" w:cs="Arial"/>
        </w:rPr>
      </w:pPr>
      <w:r>
        <w:rPr>
          <w:rFonts w:ascii="Arial" w:hAnsi="Arial" w:eastAsia="宋体" w:cs="Arial"/>
        </w:rPr>
        <w:t>贵公司应对贵公司的器械所用的方法做出详细描述。贵公司应在提交资料中包含对试剂盒中试剂成分和提取用成分的描述。在适用之处贵公司还应在适当位置对质控设计技术参数做出描述。对非标准设备或方法，插图或照片有助于对新方法的理解。为了充分描述新器械，除描述性信息外，您可适当提交与该器械所用技术相关的经同行评议的参考文献书目。</w:t>
      </w:r>
    </w:p>
    <w:p w14:paraId="5B1835A8">
      <w:pPr>
        <w:snapToGrid w:val="0"/>
        <w:spacing w:line="300" w:lineRule="auto"/>
        <w:rPr>
          <w:rFonts w:ascii="Arial" w:hAnsi="Arial" w:eastAsia="宋体" w:cs="Arial"/>
        </w:rPr>
      </w:pPr>
    </w:p>
    <w:p w14:paraId="0E20B179">
      <w:pPr>
        <w:snapToGrid w:val="0"/>
        <w:spacing w:line="300" w:lineRule="auto"/>
        <w:rPr>
          <w:rFonts w:ascii="Arial" w:hAnsi="Arial" w:eastAsia="宋体" w:cs="Arial"/>
          <w:b/>
        </w:rPr>
      </w:pPr>
      <w:r>
        <w:rPr>
          <w:rFonts w:ascii="Arial" w:hAnsi="Arial" w:eastAsia="宋体" w:cs="Arial"/>
          <w:b/>
        </w:rPr>
        <w:t>仪器配置和软件</w:t>
      </w:r>
    </w:p>
    <w:p w14:paraId="7A6D3950">
      <w:pPr>
        <w:snapToGrid w:val="0"/>
        <w:spacing w:line="300" w:lineRule="auto"/>
        <w:rPr>
          <w:rFonts w:ascii="Arial" w:hAnsi="Arial" w:eastAsia="宋体" w:cs="Arial"/>
        </w:rPr>
      </w:pPr>
    </w:p>
    <w:p w14:paraId="6E531635">
      <w:pPr>
        <w:snapToGrid w:val="0"/>
        <w:spacing w:line="300" w:lineRule="auto"/>
        <w:rPr>
          <w:rFonts w:ascii="Arial" w:hAnsi="Arial" w:eastAsia="宋体" w:cs="Arial"/>
        </w:rPr>
      </w:pPr>
      <w:r>
        <w:rPr>
          <w:rFonts w:ascii="Arial" w:hAnsi="Arial" w:eastAsia="宋体" w:cs="Arial"/>
        </w:rPr>
        <w:t>如果贵公司的器械使用特殊的专门仪器配置（贵公司制造的或另一家公司制造的），贵公司应提供一份仪器手册副本。贵公司还应在提交资料中包含下列信息，在适当位置提供结果支持您的描述：</w:t>
      </w:r>
    </w:p>
    <w:p w14:paraId="197DAE73">
      <w:pPr>
        <w:snapToGrid w:val="0"/>
        <w:spacing w:line="300" w:lineRule="auto"/>
        <w:rPr>
          <w:rFonts w:ascii="Arial" w:hAnsi="Arial" w:eastAsia="宋体" w:cs="Arial"/>
        </w:rPr>
      </w:pPr>
    </w:p>
    <w:p w14:paraId="66DC3453">
      <w:pPr>
        <w:pStyle w:val="11"/>
        <w:numPr>
          <w:ilvl w:val="0"/>
          <w:numId w:val="1"/>
        </w:numPr>
        <w:snapToGrid w:val="0"/>
        <w:spacing w:line="300" w:lineRule="auto"/>
        <w:ind w:firstLineChars="0"/>
        <w:rPr>
          <w:rFonts w:ascii="Arial" w:hAnsi="Arial" w:eastAsia="宋体" w:cs="Arial"/>
        </w:rPr>
      </w:pPr>
      <w:r>
        <w:rPr>
          <w:rFonts w:ascii="Arial" w:hAnsi="Arial" w:eastAsia="宋体" w:cs="Arial"/>
        </w:rPr>
        <w:t>特性描述，包括该仪器如何给出测定值或解释测定变量的信息。</w:t>
      </w:r>
    </w:p>
    <w:p w14:paraId="68BDF052">
      <w:pPr>
        <w:pStyle w:val="11"/>
        <w:numPr>
          <w:ilvl w:val="0"/>
          <w:numId w:val="1"/>
        </w:numPr>
        <w:snapToGrid w:val="0"/>
        <w:spacing w:line="300" w:lineRule="auto"/>
        <w:ind w:firstLineChars="0"/>
        <w:rPr>
          <w:rFonts w:ascii="Arial" w:hAnsi="Arial" w:eastAsia="宋体" w:cs="Arial"/>
        </w:rPr>
      </w:pPr>
      <w:r>
        <w:rPr>
          <w:rFonts w:ascii="Arial" w:hAnsi="Arial" w:eastAsia="宋体" w:cs="Arial"/>
        </w:rPr>
        <w:t>校准，包括对如何校准该仪器和校准所用材料的描述。</w:t>
      </w:r>
    </w:p>
    <w:p w14:paraId="0A565FF7">
      <w:pPr>
        <w:pStyle w:val="11"/>
        <w:numPr>
          <w:ilvl w:val="0"/>
          <w:numId w:val="1"/>
        </w:numPr>
        <w:snapToGrid w:val="0"/>
        <w:spacing w:line="300" w:lineRule="auto"/>
        <w:ind w:firstLineChars="0"/>
        <w:rPr>
          <w:rFonts w:ascii="Arial" w:hAnsi="Arial" w:eastAsia="宋体" w:cs="Arial"/>
        </w:rPr>
      </w:pPr>
      <w:r>
        <w:rPr>
          <w:rFonts w:ascii="Arial" w:hAnsi="Arial" w:eastAsia="宋体" w:cs="Arial"/>
        </w:rPr>
        <w:t>不确定性，包括对由硬件成分引入的结果不确定性的潜在来源和估计值的描述。</w:t>
      </w:r>
    </w:p>
    <w:p w14:paraId="33C27E61">
      <w:pPr>
        <w:snapToGrid w:val="0"/>
        <w:spacing w:line="300" w:lineRule="auto"/>
        <w:rPr>
          <w:rFonts w:ascii="Arial" w:hAnsi="Arial" w:eastAsia="宋体" w:cs="Arial"/>
        </w:rPr>
      </w:pPr>
    </w:p>
    <w:p w14:paraId="4A1A5F02">
      <w:pPr>
        <w:snapToGrid w:val="0"/>
        <w:spacing w:line="300" w:lineRule="auto"/>
        <w:rPr>
          <w:rFonts w:ascii="Arial" w:hAnsi="Arial" w:eastAsia="宋体" w:cs="Arial"/>
        </w:rPr>
      </w:pPr>
      <w:r>
        <w:rPr>
          <w:rFonts w:ascii="Arial" w:hAnsi="Arial" w:eastAsia="宋体" w:cs="Arial"/>
        </w:rPr>
        <w:t>如果贵公司指定了一种特殊仪器（由制造商制造或品牌仪器提供），您应确保知晓对该仪器做出的任何变更（由贵公司或制造商做出），以便您在必要时能对贵公司的测定性能重新进行评价。如果对该仪器的变更引入了新的或不同的测定性能问题，您应确保在变更后条件下对贵公司的器械进行适当确认。</w:t>
      </w:r>
    </w:p>
    <w:p w14:paraId="4F88E611">
      <w:pPr>
        <w:snapToGrid w:val="0"/>
        <w:spacing w:line="300" w:lineRule="auto"/>
        <w:rPr>
          <w:rFonts w:ascii="Arial" w:hAnsi="Arial" w:eastAsia="宋体" w:cs="Arial"/>
        </w:rPr>
      </w:pPr>
      <w:r>
        <w:rPr>
          <w:rFonts w:ascii="Arial" w:hAnsi="Arial" w:eastAsia="宋体" w:cs="Arial"/>
        </w:rPr>
        <w:t>如果贵公司的器械包含了软件，贵公司应提交软件证明文件，在证明文件中应根据影响程度对软件做出详细说明（见：“</w:t>
      </w:r>
      <w:r>
        <w:rPr>
          <w:rFonts w:ascii="Arial" w:hAnsi="Arial" w:eastAsia="宋体" w:cs="Arial"/>
          <w:i/>
          <w:color w:val="800080"/>
        </w:rPr>
        <w:t>医疗器械所含软件上市前提交内容指导；最终</w:t>
      </w:r>
      <w:r>
        <w:rPr>
          <w:rFonts w:hint="eastAsia" w:ascii="Arial" w:hAnsi="Arial" w:eastAsia="宋体" w:cs="Arial"/>
          <w:i/>
          <w:color w:val="800080"/>
        </w:rPr>
        <w:t>指南</w:t>
      </w:r>
      <w:r>
        <w:rPr>
          <w:rFonts w:ascii="Arial" w:hAnsi="Arial" w:eastAsia="宋体" w:cs="Arial"/>
        </w:rPr>
        <w:t>”）。这种类型的体外诊断器械通常会受到适度的关注，因为软件缺陷可能间接地影响患者，并且由于没有获得准确信息的医疗保健提供者的行动或不行动会潜在地导致受伤。器械</w:t>
      </w:r>
    </w:p>
    <w:p w14:paraId="4469A19A">
      <w:pPr>
        <w:snapToGrid w:val="0"/>
        <w:spacing w:line="300" w:lineRule="auto"/>
        <w:rPr>
          <w:rFonts w:ascii="Arial" w:hAnsi="Arial" w:eastAsia="宋体" w:cs="Arial"/>
        </w:rPr>
      </w:pPr>
      <w:r>
        <w:rPr>
          <w:rFonts w:ascii="Arial" w:hAnsi="Arial" w:eastAsia="宋体" w:cs="Arial"/>
        </w:rPr>
        <w:t>为帮助贵公司符合食品药品监督管理局法规的良好软件生命周期规范指引下开发和维护您的器械，我们额外提供了下列参考文件。</w:t>
      </w:r>
    </w:p>
    <w:p w14:paraId="3B76D47F">
      <w:pPr>
        <w:snapToGrid w:val="0"/>
        <w:spacing w:line="300" w:lineRule="auto"/>
        <w:rPr>
          <w:rFonts w:ascii="Arial" w:hAnsi="Arial" w:eastAsia="宋体" w:cs="Arial"/>
        </w:rPr>
      </w:pPr>
    </w:p>
    <w:p w14:paraId="6FE68D2B">
      <w:pPr>
        <w:pStyle w:val="11"/>
        <w:numPr>
          <w:ilvl w:val="0"/>
          <w:numId w:val="2"/>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软件确认通则；供行业和食品药品监督管理局工作人员用最终指南。</w:t>
      </w:r>
    </w:p>
    <w:p w14:paraId="128A0646">
      <w:pPr>
        <w:pStyle w:val="11"/>
        <w:numPr>
          <w:ilvl w:val="0"/>
          <w:numId w:val="2"/>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医疗器械中现有软件使用指导；最终指南。</w:t>
      </w:r>
    </w:p>
    <w:p w14:paraId="3EA8D213">
      <w:pPr>
        <w:pStyle w:val="11"/>
        <w:numPr>
          <w:ilvl w:val="0"/>
          <w:numId w:val="2"/>
        </w:numPr>
        <w:snapToGrid w:val="0"/>
        <w:spacing w:line="300" w:lineRule="auto"/>
        <w:ind w:firstLineChars="0"/>
        <w:rPr>
          <w:rFonts w:ascii="Arial" w:hAnsi="Arial" w:eastAsia="宋体" w:cs="Arial"/>
        </w:rPr>
      </w:pPr>
      <w:r>
        <w:rPr>
          <w:rFonts w:ascii="Arial" w:hAnsi="Arial" w:eastAsia="宋体" w:cs="Arial"/>
          <w:color w:val="800080"/>
          <w:u w:val="single"/>
        </w:rPr>
        <w:t>21 CFR 820.30 C</w:t>
      </w:r>
      <w:r>
        <w:rPr>
          <w:rFonts w:ascii="Arial" w:hAnsi="Arial" w:eastAsia="宋体" w:cs="Arial"/>
        </w:rPr>
        <w:t>亚部份－质量体系法规的设计控制。</w:t>
      </w:r>
    </w:p>
    <w:p w14:paraId="43A2DB0C">
      <w:pPr>
        <w:pStyle w:val="11"/>
        <w:numPr>
          <w:ilvl w:val="0"/>
          <w:numId w:val="2"/>
        </w:numPr>
        <w:snapToGrid w:val="0"/>
        <w:spacing w:line="300" w:lineRule="auto"/>
        <w:ind w:firstLineChars="0"/>
        <w:rPr>
          <w:rFonts w:ascii="Arial" w:hAnsi="Arial" w:eastAsia="宋体" w:cs="Arial"/>
        </w:rPr>
      </w:pPr>
      <w:r>
        <w:rPr>
          <w:rFonts w:ascii="Arial" w:hAnsi="Arial" w:eastAsia="宋体" w:cs="Arial"/>
        </w:rPr>
        <w:t>ISO 14971-1；医疗器械－风险管理－第1部：风险分析应用程序。</w:t>
      </w:r>
    </w:p>
    <w:p w14:paraId="4F24D066">
      <w:pPr>
        <w:pStyle w:val="11"/>
        <w:numPr>
          <w:ilvl w:val="0"/>
          <w:numId w:val="2"/>
        </w:numPr>
        <w:snapToGrid w:val="0"/>
        <w:spacing w:line="300" w:lineRule="auto"/>
        <w:ind w:firstLineChars="0"/>
        <w:rPr>
          <w:rFonts w:ascii="Arial" w:hAnsi="Arial" w:eastAsia="宋体" w:cs="Arial"/>
        </w:rPr>
      </w:pPr>
      <w:r>
        <w:rPr>
          <w:rFonts w:ascii="Arial" w:hAnsi="Arial" w:eastAsia="宋体" w:cs="Arial"/>
        </w:rPr>
        <w:t>AAMI SW68:2001；医疗器械软件－软件生命周期流程</w:t>
      </w:r>
    </w:p>
    <w:p w14:paraId="76472445">
      <w:pPr>
        <w:snapToGrid w:val="0"/>
        <w:spacing w:line="300" w:lineRule="auto"/>
        <w:rPr>
          <w:rFonts w:ascii="Arial" w:hAnsi="Arial" w:eastAsia="宋体" w:cs="Arial"/>
        </w:rPr>
      </w:pPr>
    </w:p>
    <w:p w14:paraId="4738FD76">
      <w:pPr>
        <w:snapToGrid w:val="0"/>
        <w:spacing w:line="300" w:lineRule="auto"/>
        <w:rPr>
          <w:rFonts w:ascii="Arial" w:hAnsi="Arial" w:eastAsia="宋体" w:cs="Arial"/>
        </w:rPr>
      </w:pPr>
      <w:r>
        <w:rPr>
          <w:rFonts w:ascii="Arial" w:hAnsi="Arial" w:eastAsia="宋体" w:cs="Arial"/>
          <w:b/>
        </w:rPr>
        <w:t>6. 性能特征</w:t>
      </w:r>
    </w:p>
    <w:p w14:paraId="16D9636E">
      <w:pPr>
        <w:snapToGrid w:val="0"/>
        <w:spacing w:line="300" w:lineRule="auto"/>
        <w:rPr>
          <w:rFonts w:ascii="Arial" w:hAnsi="Arial" w:eastAsia="宋体" w:cs="Arial"/>
          <w:b/>
        </w:rPr>
      </w:pPr>
      <w:r>
        <w:rPr>
          <w:rFonts w:ascii="Arial" w:hAnsi="Arial" w:eastAsia="宋体" w:cs="Arial"/>
          <w:b/>
        </w:rPr>
        <w:t>通用研究推荐规范</w:t>
      </w:r>
    </w:p>
    <w:p w14:paraId="6B7EDBF1">
      <w:pPr>
        <w:snapToGrid w:val="0"/>
        <w:spacing w:line="300" w:lineRule="auto"/>
        <w:rPr>
          <w:rFonts w:ascii="Arial" w:hAnsi="Arial" w:eastAsia="宋体" w:cs="Arial"/>
        </w:rPr>
      </w:pPr>
    </w:p>
    <w:p w14:paraId="5DF82D0C">
      <w:pPr>
        <w:snapToGrid w:val="0"/>
        <w:spacing w:line="300" w:lineRule="auto"/>
        <w:rPr>
          <w:rFonts w:ascii="Arial" w:hAnsi="Arial" w:eastAsia="宋体" w:cs="Arial"/>
        </w:rPr>
      </w:pPr>
      <w:r>
        <w:rPr>
          <w:rFonts w:ascii="Arial" w:hAnsi="Arial" w:eastAsia="宋体" w:cs="Arial"/>
        </w:rPr>
        <w:t>只要有可能，贵公司应在下述分析方案中包含采自预期用途人群（即炎症性肠病和肠易激综合征患者）的患者标本。</w:t>
      </w:r>
    </w:p>
    <w:p w14:paraId="54A7F4FE">
      <w:pPr>
        <w:snapToGrid w:val="0"/>
        <w:spacing w:line="300" w:lineRule="auto"/>
        <w:rPr>
          <w:rFonts w:ascii="Arial" w:hAnsi="Arial" w:eastAsia="宋体" w:cs="Arial"/>
        </w:rPr>
      </w:pPr>
    </w:p>
    <w:p w14:paraId="79070EFF">
      <w:pPr>
        <w:snapToGrid w:val="0"/>
        <w:spacing w:line="300" w:lineRule="auto"/>
        <w:rPr>
          <w:rFonts w:ascii="Arial" w:hAnsi="Arial" w:eastAsia="宋体" w:cs="Arial"/>
        </w:rPr>
      </w:pPr>
      <w:r>
        <w:rPr>
          <w:rFonts w:ascii="Arial" w:hAnsi="Arial" w:eastAsia="宋体" w:cs="Arial"/>
        </w:rPr>
        <w:t>除制造商的工作场所外，贵公司至少应在两个外部场所对器械性能进行评价。一般来说，贵公司应在该器械最终要在那里使用的检测环境中（即临床实验室）由将在临床实践中使用这些检测器械的人员（如经过培训的技术专家）对性能进行评估。贵公司应首先对来自每个研究场所的数据分别进行分析，对任何场所间变异做出评价，并将分析结果包含在510（k）提交资料中。如果贵公司能证明各场所的结果无明显差异，将各场所的结果合并后放在包装说明书中可能是适当的。为了体现用户期待的性能，我们建议贵公司按贵公司计划在贴标中推荐给用户的规程开展所有分析性研究。开始临床研究前，贵公司可与免疫学和血液学检测器械处联系，征求他们对贵公司研究方案的意见。</w:t>
      </w:r>
    </w:p>
    <w:p w14:paraId="6187D581">
      <w:pPr>
        <w:snapToGrid w:val="0"/>
        <w:spacing w:line="300" w:lineRule="auto"/>
        <w:rPr>
          <w:rFonts w:ascii="Arial" w:hAnsi="Arial" w:eastAsia="宋体" w:cs="Arial"/>
        </w:rPr>
      </w:pPr>
    </w:p>
    <w:p w14:paraId="4B39A99D">
      <w:pPr>
        <w:snapToGrid w:val="0"/>
        <w:spacing w:line="300" w:lineRule="auto"/>
        <w:rPr>
          <w:rFonts w:ascii="Arial" w:hAnsi="Arial" w:eastAsia="宋体" w:cs="Arial"/>
        </w:rPr>
      </w:pPr>
      <w:r>
        <w:rPr>
          <w:rFonts w:ascii="Arial" w:hAnsi="Arial" w:eastAsia="宋体" w:cs="Arial"/>
        </w:rPr>
        <w:t>贵公司应提供关于贵公司所用研究方案的具体信息，以便食品药品监督管理局在评审期间能理解判定标准或数据概要。例如，在提及临床实验室标准研究所（CLSI）的研究方案或操作指南时，贵公司应指出贵公司遵从了研究方案或操作指南的哪些具体方面以及贵公司做了哪些修改。我们建议贵公司在贴标中包含研究方案的具体细节，以帮助用户理解贵公司贴标中的信息。</w:t>
      </w:r>
    </w:p>
    <w:p w14:paraId="1CD9E03E">
      <w:pPr>
        <w:snapToGrid w:val="0"/>
        <w:spacing w:line="300" w:lineRule="auto"/>
        <w:rPr>
          <w:rFonts w:ascii="Arial" w:hAnsi="Arial" w:eastAsia="宋体" w:cs="Arial"/>
        </w:rPr>
      </w:pPr>
    </w:p>
    <w:p w14:paraId="73648BCB">
      <w:pPr>
        <w:snapToGrid w:val="0"/>
        <w:spacing w:line="300" w:lineRule="auto"/>
        <w:rPr>
          <w:rFonts w:ascii="Arial" w:hAnsi="Arial" w:eastAsia="宋体" w:cs="Arial"/>
          <w:b/>
        </w:rPr>
      </w:pPr>
      <w:r>
        <w:rPr>
          <w:rFonts w:ascii="Arial" w:hAnsi="Arial" w:eastAsia="宋体" w:cs="Arial"/>
          <w:b/>
        </w:rPr>
        <w:t>具体性能特征</w:t>
      </w:r>
    </w:p>
    <w:p w14:paraId="52E81026">
      <w:pPr>
        <w:snapToGrid w:val="0"/>
        <w:spacing w:line="300" w:lineRule="auto"/>
        <w:rPr>
          <w:rFonts w:ascii="Arial" w:hAnsi="Arial" w:eastAsia="宋体" w:cs="Arial"/>
          <w:b/>
          <w:i/>
        </w:rPr>
      </w:pPr>
      <w:r>
        <w:rPr>
          <w:rFonts w:ascii="Arial" w:hAnsi="Arial" w:eastAsia="宋体" w:cs="Arial"/>
          <w:b/>
          <w:i/>
        </w:rPr>
        <w:t>精密度</w:t>
      </w:r>
    </w:p>
    <w:p w14:paraId="5F46BAAA">
      <w:pPr>
        <w:snapToGrid w:val="0"/>
        <w:spacing w:line="300" w:lineRule="auto"/>
        <w:rPr>
          <w:rFonts w:ascii="Arial" w:hAnsi="Arial" w:eastAsia="宋体" w:cs="Arial"/>
        </w:rPr>
      </w:pPr>
    </w:p>
    <w:p w14:paraId="227FD969">
      <w:pPr>
        <w:snapToGrid w:val="0"/>
        <w:spacing w:line="300" w:lineRule="auto"/>
        <w:rPr>
          <w:rFonts w:ascii="Arial" w:hAnsi="Arial" w:eastAsia="宋体" w:cs="Arial"/>
        </w:rPr>
      </w:pPr>
      <w:r>
        <w:rPr>
          <w:rFonts w:ascii="Arial" w:hAnsi="Arial" w:eastAsia="宋体" w:cs="Arial"/>
        </w:rPr>
        <w:t>贵公司应采用患者样本或合并样本对批内精密度、批间精密度、实验室内精密度和各场所再现性的特征做出描述。我们建议贵公司遵从“临床化学器械精密度性能评价”（临床实验室标准研究所文件EP5-A）提供的操作指南进行评价。该文件中包含了实验设计、计算方法和性能主张描述格式的操作指南。贵公司应对粪便钙卫蛋白相关测定值的精密度进行评价，其中包括接近医疗决策点的水平并覆盖可报告范围。如果这些研究不能在声明的标本基质中进行，贵公司应解释这些研究是如何进行的并对可接受所用基质的理由进行讨论。我们建议贵公司在评价时包含3个或更多场所及多批试剂。如果提取步骤是该测定方法的组成部分，我们建议贵公司对采用代表该测定方法可报告范围低端和高端的标本实施该流程的再现性提出证明。</w:t>
      </w:r>
    </w:p>
    <w:p w14:paraId="4EEACCD0">
      <w:pPr>
        <w:snapToGrid w:val="0"/>
        <w:spacing w:line="300" w:lineRule="auto"/>
        <w:rPr>
          <w:rFonts w:ascii="Arial" w:hAnsi="Arial" w:eastAsia="宋体" w:cs="Arial"/>
        </w:rPr>
      </w:pPr>
    </w:p>
    <w:p w14:paraId="12722E10">
      <w:pPr>
        <w:snapToGrid w:val="0"/>
        <w:spacing w:line="300" w:lineRule="auto"/>
        <w:rPr>
          <w:rFonts w:ascii="Arial" w:hAnsi="Arial" w:eastAsia="宋体" w:cs="Arial"/>
        </w:rPr>
      </w:pPr>
      <w:r>
        <w:rPr>
          <w:rFonts w:ascii="Arial" w:hAnsi="Arial" w:eastAsia="宋体" w:cs="Arial"/>
        </w:rPr>
        <w:t>在研究描述中，贵公司应确认哪些因素（如仪器校准（若适用的话）、试剂批次和操作人员）在评价期间保持不变，哪些因素有所变化。如果贵公司采用的计算方法与临床实验室标准研究所文件EP5-A 描述的方法有所不同，应对计算方法做出描述。在研究描述中还应包含下列信息：</w:t>
      </w:r>
    </w:p>
    <w:p w14:paraId="5EDFEC08">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标本类型（如基质、来源、制备）</w:t>
      </w:r>
    </w:p>
    <w:p w14:paraId="5A99A00F">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天数、测定次数和观察值数</w:t>
      </w:r>
    </w:p>
    <w:p w14:paraId="793A0E95">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目标浓度</w:t>
      </w:r>
    </w:p>
    <w:p w14:paraId="661C4AA9">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适用于这些研究的判定标准</w:t>
      </w:r>
    </w:p>
    <w:p w14:paraId="5661F043">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研究场所和/或操作人员数</w:t>
      </w:r>
    </w:p>
    <w:p w14:paraId="2F397E02">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对精密度测定方案实施场所的描述</w:t>
      </w:r>
    </w:p>
    <w:p w14:paraId="4E4C49A4">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观察值的平均值和标准差</w:t>
      </w:r>
    </w:p>
    <w:p w14:paraId="1E1A8985">
      <w:pPr>
        <w:snapToGrid w:val="0"/>
        <w:spacing w:line="300" w:lineRule="auto"/>
        <w:rPr>
          <w:rFonts w:ascii="Arial" w:hAnsi="Arial" w:eastAsia="宋体" w:cs="Arial"/>
          <w:b/>
          <w:i/>
        </w:rPr>
      </w:pPr>
      <w:r>
        <w:rPr>
          <w:rFonts w:ascii="Arial" w:hAnsi="Arial" w:eastAsia="宋体" w:cs="Arial"/>
          <w:b/>
          <w:i/>
        </w:rPr>
        <w:t>干扰情况</w:t>
      </w:r>
    </w:p>
    <w:p w14:paraId="289F2AFA">
      <w:pPr>
        <w:snapToGrid w:val="0"/>
        <w:spacing w:line="300" w:lineRule="auto"/>
        <w:rPr>
          <w:rFonts w:ascii="Arial" w:hAnsi="Arial" w:eastAsia="宋体" w:cs="Arial"/>
        </w:rPr>
      </w:pPr>
    </w:p>
    <w:p w14:paraId="57A8C883">
      <w:pPr>
        <w:snapToGrid w:val="0"/>
        <w:spacing w:line="300" w:lineRule="auto"/>
        <w:rPr>
          <w:rFonts w:ascii="Arial" w:hAnsi="Arial" w:eastAsia="宋体" w:cs="Arial"/>
        </w:rPr>
      </w:pPr>
      <w:r>
        <w:rPr>
          <w:rFonts w:ascii="Arial" w:hAnsi="Arial" w:eastAsia="宋体" w:cs="Arial"/>
        </w:rPr>
        <w:t>贵公司应对潜在干扰物质影响测定性</w:t>
      </w:r>
      <w:bookmarkStart w:id="44" w:name="OLE_LINK42"/>
      <w:r>
        <w:rPr>
          <w:rFonts w:ascii="Arial" w:hAnsi="Arial" w:eastAsia="宋体" w:cs="Arial"/>
        </w:rPr>
        <w:t>能的</w:t>
      </w:r>
      <w:bookmarkEnd w:id="44"/>
      <w:r>
        <w:rPr>
          <w:rFonts w:ascii="Arial" w:hAnsi="Arial" w:eastAsia="宋体" w:cs="Arial"/>
        </w:rPr>
        <w:t>特征做出描述。在临床实验室标准研究所文件EP7-A“临床化学干扰检测”中对具体实验设计（包括选择干扰物质进行检测的指导原则）进行了详细描述。干扰的潜在来源可包括通常或可能在粪便中发现的物质（如微生物、口服药物、营养补充剂或血红蛋白）。</w:t>
      </w:r>
    </w:p>
    <w:p w14:paraId="25743BBB">
      <w:pPr>
        <w:snapToGrid w:val="0"/>
        <w:spacing w:line="300" w:lineRule="auto"/>
        <w:rPr>
          <w:rFonts w:ascii="Arial" w:hAnsi="Arial" w:eastAsia="宋体" w:cs="Arial"/>
        </w:rPr>
      </w:pPr>
    </w:p>
    <w:p w14:paraId="7EA70850">
      <w:pPr>
        <w:snapToGrid w:val="0"/>
        <w:spacing w:line="300" w:lineRule="auto"/>
        <w:rPr>
          <w:rFonts w:ascii="Arial" w:hAnsi="Arial" w:eastAsia="宋体" w:cs="Arial"/>
        </w:rPr>
      </w:pPr>
      <w:r>
        <w:rPr>
          <w:rFonts w:ascii="Arial" w:hAnsi="Arial" w:eastAsia="宋体" w:cs="Arial"/>
        </w:rPr>
        <w:t>干扰研究通常涉及将潜在干扰物质加到患者标本中并与不加干扰物质的对照标本相比较判定粪便钙卫蛋白回收率的任何偏差。贵公司应对研究设计涉及的下列参数作出描述：</w:t>
      </w:r>
    </w:p>
    <w:p w14:paraId="7FE5228B">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被测干扰物质的类型和水平。</w:t>
      </w:r>
    </w:p>
    <w:p w14:paraId="0D5C2841">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在存在和不存在干扰物质情况下观察到的粪便钙卫蛋白的浓度。</w:t>
      </w:r>
    </w:p>
    <w:p w14:paraId="64D46CBB">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贵公司计算干扰的定义或公式</w:t>
      </w:r>
    </w:p>
    <w:p w14:paraId="7056BFB4">
      <w:pPr>
        <w:pStyle w:val="11"/>
        <w:numPr>
          <w:ilvl w:val="0"/>
          <w:numId w:val="3"/>
        </w:numPr>
        <w:snapToGrid w:val="0"/>
        <w:spacing w:line="300" w:lineRule="auto"/>
        <w:ind w:firstLine="0" w:firstLineChars="0"/>
        <w:rPr>
          <w:rFonts w:ascii="Arial" w:hAnsi="Arial" w:eastAsia="宋体" w:cs="Arial"/>
        </w:rPr>
      </w:pPr>
      <w:r>
        <w:rPr>
          <w:rFonts w:ascii="Arial" w:hAnsi="Arial" w:eastAsia="宋体" w:cs="Arial"/>
        </w:rPr>
        <w:t>贵公司对干扰的判定标准，如不准确度在干扰物质水平Y（浓度）时低于X％。</w:t>
      </w:r>
    </w:p>
    <w:p w14:paraId="22A0B637">
      <w:pPr>
        <w:snapToGrid w:val="0"/>
        <w:spacing w:line="300" w:lineRule="auto"/>
        <w:rPr>
          <w:rFonts w:ascii="Arial" w:hAnsi="Arial" w:eastAsia="宋体" w:cs="Arial"/>
        </w:rPr>
      </w:pPr>
      <w:r>
        <w:rPr>
          <w:rFonts w:ascii="Arial" w:hAnsi="Arial" w:eastAsia="宋体" w:cs="Arial"/>
        </w:rPr>
        <w:t>贵公司应指出存在特殊干扰物质时观察回收率的范围。我们建议贵公司指出观察偏差的任何趋势（如观察到的测定值作为干扰物质浓度的函数增加或降低）。</w:t>
      </w:r>
    </w:p>
    <w:p w14:paraId="0E6DFFD2">
      <w:pPr>
        <w:snapToGrid w:val="0"/>
        <w:spacing w:line="300" w:lineRule="auto"/>
        <w:rPr>
          <w:rFonts w:ascii="Arial" w:hAnsi="Arial" w:eastAsia="宋体" w:cs="Arial"/>
        </w:rPr>
      </w:pPr>
    </w:p>
    <w:p w14:paraId="02830E25">
      <w:pPr>
        <w:snapToGrid w:val="0"/>
        <w:spacing w:line="300" w:lineRule="auto"/>
        <w:rPr>
          <w:rFonts w:ascii="Arial" w:hAnsi="Arial" w:eastAsia="宋体" w:cs="Arial"/>
          <w:b/>
          <w:i/>
        </w:rPr>
      </w:pPr>
      <w:r>
        <w:rPr>
          <w:rFonts w:ascii="Arial" w:hAnsi="Arial" w:eastAsia="宋体" w:cs="Arial"/>
          <w:b/>
          <w:i/>
        </w:rPr>
        <w:t>交叉反应性</w:t>
      </w:r>
    </w:p>
    <w:p w14:paraId="4034A68A">
      <w:pPr>
        <w:snapToGrid w:val="0"/>
        <w:spacing w:line="300" w:lineRule="auto"/>
        <w:rPr>
          <w:rFonts w:ascii="Arial" w:hAnsi="Arial" w:eastAsia="宋体" w:cs="Arial"/>
        </w:rPr>
      </w:pPr>
    </w:p>
    <w:p w14:paraId="773D7D6C">
      <w:pPr>
        <w:snapToGrid w:val="0"/>
        <w:spacing w:line="300" w:lineRule="auto"/>
        <w:rPr>
          <w:rFonts w:ascii="Arial" w:hAnsi="Arial" w:eastAsia="宋体" w:cs="Arial"/>
        </w:rPr>
      </w:pPr>
      <w:r>
        <w:rPr>
          <w:rFonts w:ascii="Arial" w:hAnsi="Arial" w:eastAsia="宋体" w:cs="Arial"/>
        </w:rPr>
        <w:t>贵公司应采用采自其它胃肠道（GI）疾病（如脂泻病或感染性腹泻）患者的标本测定贵公司器械的交叉反应性，对测定方法的特异度作出评价。</w:t>
      </w:r>
    </w:p>
    <w:p w14:paraId="1A9E490A">
      <w:pPr>
        <w:snapToGrid w:val="0"/>
        <w:spacing w:line="300" w:lineRule="auto"/>
        <w:rPr>
          <w:rFonts w:ascii="Arial" w:hAnsi="Arial" w:eastAsia="宋体" w:cs="Arial"/>
        </w:rPr>
      </w:pPr>
    </w:p>
    <w:p w14:paraId="237A5F8D">
      <w:pPr>
        <w:snapToGrid w:val="0"/>
        <w:spacing w:line="300" w:lineRule="auto"/>
        <w:rPr>
          <w:rFonts w:ascii="Arial" w:hAnsi="Arial" w:eastAsia="宋体" w:cs="Arial"/>
          <w:b/>
          <w:i/>
        </w:rPr>
      </w:pPr>
      <w:r>
        <w:rPr>
          <w:rFonts w:ascii="Arial" w:hAnsi="Arial" w:eastAsia="宋体" w:cs="Arial"/>
          <w:b/>
          <w:i/>
        </w:rPr>
        <w:t>检测限</w:t>
      </w:r>
    </w:p>
    <w:p w14:paraId="3F55A47E">
      <w:pPr>
        <w:snapToGrid w:val="0"/>
        <w:spacing w:line="300" w:lineRule="auto"/>
        <w:rPr>
          <w:rFonts w:ascii="Arial" w:hAnsi="Arial" w:eastAsia="宋体" w:cs="Arial"/>
        </w:rPr>
      </w:pPr>
    </w:p>
    <w:p w14:paraId="34AE0B23">
      <w:pPr>
        <w:widowControl/>
        <w:jc w:val="left"/>
        <w:rPr>
          <w:rFonts w:ascii="Arial" w:hAnsi="Arial" w:eastAsia="宋体" w:cs="Arial"/>
        </w:rPr>
      </w:pPr>
      <w:r>
        <w:rPr>
          <w:rFonts w:ascii="Arial" w:hAnsi="Arial" w:eastAsia="宋体" w:cs="Arial"/>
        </w:rPr>
        <w:br w:type="page"/>
      </w:r>
    </w:p>
    <w:p w14:paraId="76000EED">
      <w:pPr>
        <w:snapToGrid w:val="0"/>
        <w:spacing w:line="300" w:lineRule="auto"/>
        <w:rPr>
          <w:rFonts w:ascii="Arial" w:hAnsi="Arial" w:eastAsia="宋体" w:cs="Arial"/>
        </w:rPr>
      </w:pPr>
      <w:r>
        <w:rPr>
          <w:rFonts w:ascii="Arial" w:hAnsi="Arial" w:eastAsia="宋体" w:cs="Arial"/>
        </w:rPr>
        <w:t>如果适用的话，贵公司应对贵公司器械的检测限做出判定。检测限是该器械能可靠检出并可与0值相区别的粪便钙卫蛋白的最低水平。贵公司应对用来作出该判定的实验设计（如所用标本、测定方法、计算方法）和检测结果加以描述。关于检测限判定的进一步讨论见“定量检测限判定方案”（临床实验室标准研究所文件EP17-A）。</w:t>
      </w:r>
    </w:p>
    <w:p w14:paraId="284014B4">
      <w:pPr>
        <w:snapToGrid w:val="0"/>
        <w:spacing w:line="300" w:lineRule="auto"/>
        <w:rPr>
          <w:rFonts w:ascii="Arial" w:hAnsi="Arial" w:eastAsia="宋体" w:cs="Arial"/>
        </w:rPr>
      </w:pPr>
    </w:p>
    <w:p w14:paraId="6475C954">
      <w:pPr>
        <w:snapToGrid w:val="0"/>
        <w:spacing w:line="300" w:lineRule="auto"/>
        <w:rPr>
          <w:rFonts w:ascii="Arial" w:hAnsi="Arial" w:eastAsia="宋体" w:cs="Arial"/>
          <w:b/>
          <w:i/>
        </w:rPr>
      </w:pPr>
      <w:r>
        <w:rPr>
          <w:rFonts w:ascii="Arial" w:hAnsi="Arial" w:eastAsia="宋体" w:cs="Arial"/>
          <w:b/>
          <w:i/>
        </w:rPr>
        <w:t>线性关系</w:t>
      </w:r>
    </w:p>
    <w:p w14:paraId="46196095">
      <w:pPr>
        <w:snapToGrid w:val="0"/>
        <w:spacing w:line="300" w:lineRule="auto"/>
        <w:rPr>
          <w:rFonts w:ascii="Arial" w:hAnsi="Arial" w:eastAsia="宋体" w:cs="Arial"/>
        </w:rPr>
      </w:pPr>
    </w:p>
    <w:p w14:paraId="51248333">
      <w:pPr>
        <w:snapToGrid w:val="0"/>
        <w:spacing w:line="300" w:lineRule="auto"/>
        <w:rPr>
          <w:rFonts w:ascii="Arial" w:hAnsi="Arial" w:eastAsia="宋体" w:cs="Arial"/>
        </w:rPr>
      </w:pPr>
      <w:r>
        <w:rPr>
          <w:rFonts w:ascii="Arial" w:hAnsi="Arial" w:eastAsia="宋体" w:cs="Arial"/>
        </w:rPr>
        <w:t>贵公司应对贵公司器械可报告范围的线性关系进行验证。我们建议贵公司遵从临床实验室标准研究所文件EP6-A“定量分析方法线性关系评价”中的操作指南实施验证。贵公司应对贵公司的研究设计（如标本类型和制备、测定方法、计算方法）、该测定方法的线性范围和贵公司用来确定该范围的判定标准加以描述。如果该测定方法包含的质控材料是水基材料，贵公司应证实该水基材料（质控材料）与基质特异性材料（患者标本）两者的线性关系。</w:t>
      </w:r>
    </w:p>
    <w:p w14:paraId="62C01E34">
      <w:pPr>
        <w:snapToGrid w:val="0"/>
        <w:spacing w:line="300" w:lineRule="auto"/>
        <w:rPr>
          <w:rFonts w:ascii="Arial" w:hAnsi="Arial" w:eastAsia="宋体" w:cs="Arial"/>
        </w:rPr>
      </w:pPr>
    </w:p>
    <w:p w14:paraId="30E1C240">
      <w:pPr>
        <w:snapToGrid w:val="0"/>
        <w:spacing w:line="300" w:lineRule="auto"/>
        <w:rPr>
          <w:rFonts w:ascii="Arial" w:hAnsi="Arial" w:eastAsia="宋体" w:cs="Arial"/>
          <w:b/>
          <w:i/>
        </w:rPr>
      </w:pPr>
      <w:r>
        <w:rPr>
          <w:rFonts w:ascii="Arial" w:hAnsi="Arial" w:eastAsia="宋体" w:cs="Arial"/>
          <w:b/>
          <w:i/>
        </w:rPr>
        <w:t>回收率</w:t>
      </w:r>
    </w:p>
    <w:p w14:paraId="7F86006F">
      <w:pPr>
        <w:snapToGrid w:val="0"/>
        <w:spacing w:line="300" w:lineRule="auto"/>
        <w:rPr>
          <w:rFonts w:ascii="Arial" w:hAnsi="Arial" w:eastAsia="宋体" w:cs="Arial"/>
        </w:rPr>
      </w:pPr>
    </w:p>
    <w:p w14:paraId="72D3AFFE">
      <w:pPr>
        <w:snapToGrid w:val="0"/>
        <w:spacing w:line="300" w:lineRule="auto"/>
        <w:rPr>
          <w:rFonts w:ascii="Arial" w:hAnsi="Arial" w:eastAsia="宋体" w:cs="Arial"/>
        </w:rPr>
      </w:pPr>
      <w:r>
        <w:rPr>
          <w:rFonts w:ascii="Arial" w:hAnsi="Arial" w:eastAsia="宋体" w:cs="Arial"/>
        </w:rPr>
        <w:t>作为准确度的一个测量指标，我们建议对加入不同粪便标本中已知数量粪便钙卫蛋白的回收率（偏差）特征做出描述。我们建议贵公司采用覆盖可报告范围有效部分并包含临床决策点的浓度对标本进行评价。贵公司应对提取步骤对贵公司测定方法的影响做出评估。</w:t>
      </w:r>
    </w:p>
    <w:p w14:paraId="1B6DFBB3">
      <w:pPr>
        <w:snapToGrid w:val="0"/>
        <w:spacing w:line="300" w:lineRule="auto"/>
        <w:rPr>
          <w:rFonts w:ascii="Arial" w:hAnsi="Arial" w:eastAsia="宋体" w:cs="Arial"/>
        </w:rPr>
      </w:pPr>
    </w:p>
    <w:p w14:paraId="19A22022">
      <w:pPr>
        <w:snapToGrid w:val="0"/>
        <w:spacing w:line="300" w:lineRule="auto"/>
        <w:rPr>
          <w:rFonts w:ascii="Arial" w:hAnsi="Arial" w:eastAsia="宋体" w:cs="Arial"/>
        </w:rPr>
      </w:pPr>
      <w:r>
        <w:rPr>
          <w:rFonts w:ascii="Arial" w:hAnsi="Arial" w:eastAsia="宋体" w:cs="Arial"/>
        </w:rPr>
        <w:t>我们建议贵公司在回收率评价的描述中包含下列信息：</w:t>
      </w:r>
    </w:p>
    <w:p w14:paraId="0CCC3E51">
      <w:pPr>
        <w:pStyle w:val="11"/>
        <w:numPr>
          <w:ilvl w:val="0"/>
          <w:numId w:val="4"/>
        </w:numPr>
        <w:snapToGrid w:val="0"/>
        <w:spacing w:line="300" w:lineRule="auto"/>
        <w:ind w:firstLine="28" w:firstLineChars="0"/>
        <w:rPr>
          <w:rFonts w:ascii="Arial" w:hAnsi="Arial" w:eastAsia="宋体" w:cs="Arial"/>
        </w:rPr>
      </w:pPr>
      <w:r>
        <w:rPr>
          <w:rFonts w:ascii="Arial" w:hAnsi="Arial" w:eastAsia="宋体" w:cs="Arial"/>
        </w:rPr>
        <w:t>标本的目标浓度与确定目标浓度所用方法。</w:t>
      </w:r>
    </w:p>
    <w:p w14:paraId="74F037EB">
      <w:pPr>
        <w:pStyle w:val="11"/>
        <w:numPr>
          <w:ilvl w:val="0"/>
          <w:numId w:val="4"/>
        </w:numPr>
        <w:snapToGrid w:val="0"/>
        <w:spacing w:line="300" w:lineRule="auto"/>
        <w:ind w:firstLine="28" w:firstLineChars="0"/>
        <w:rPr>
          <w:rFonts w:ascii="Arial" w:hAnsi="Arial" w:eastAsia="宋体" w:cs="Arial"/>
        </w:rPr>
      </w:pPr>
      <w:r>
        <w:rPr>
          <w:rFonts w:ascii="Arial" w:hAnsi="Arial" w:eastAsia="宋体" w:cs="Arial"/>
        </w:rPr>
        <w:t>对贵公司如何执行回收提取步骤的描述。</w:t>
      </w:r>
    </w:p>
    <w:p w14:paraId="484AB5E2">
      <w:pPr>
        <w:pStyle w:val="11"/>
        <w:numPr>
          <w:ilvl w:val="0"/>
          <w:numId w:val="4"/>
        </w:numPr>
        <w:snapToGrid w:val="0"/>
        <w:spacing w:line="300" w:lineRule="auto"/>
        <w:ind w:firstLine="28" w:firstLineChars="0"/>
        <w:rPr>
          <w:rFonts w:ascii="Arial" w:hAnsi="Arial" w:eastAsia="宋体" w:cs="Arial"/>
        </w:rPr>
      </w:pPr>
      <w:r>
        <w:rPr>
          <w:rFonts w:ascii="Arial" w:hAnsi="Arial" w:eastAsia="宋体" w:cs="Arial"/>
        </w:rPr>
        <w:t>计算回收率的定义或方法，包括接受评价的复制品数。</w:t>
      </w:r>
    </w:p>
    <w:p w14:paraId="4EA2E586">
      <w:pPr>
        <w:pStyle w:val="11"/>
        <w:numPr>
          <w:ilvl w:val="0"/>
          <w:numId w:val="4"/>
        </w:numPr>
        <w:snapToGrid w:val="0"/>
        <w:spacing w:line="300" w:lineRule="auto"/>
        <w:ind w:firstLine="28" w:firstLineChars="0"/>
        <w:rPr>
          <w:rFonts w:ascii="Arial" w:hAnsi="Arial" w:eastAsia="宋体" w:cs="Arial"/>
        </w:rPr>
      </w:pPr>
      <w:r>
        <w:rPr>
          <w:rFonts w:ascii="Arial" w:hAnsi="Arial" w:eastAsia="宋体" w:cs="Arial"/>
        </w:rPr>
        <w:t>结果，如回收率（％）观察值</w:t>
      </w:r>
    </w:p>
    <w:p w14:paraId="6911CC3B">
      <w:pPr>
        <w:snapToGrid w:val="0"/>
        <w:spacing w:line="300" w:lineRule="auto"/>
        <w:rPr>
          <w:rFonts w:ascii="Arial" w:hAnsi="Arial" w:eastAsia="宋体" w:cs="Arial"/>
          <w:b/>
        </w:rPr>
      </w:pPr>
      <w:r>
        <w:rPr>
          <w:rFonts w:ascii="Arial" w:hAnsi="Arial" w:eastAsia="宋体" w:cs="Arial"/>
          <w:b/>
        </w:rPr>
        <w:t>校准品和质控材料</w:t>
      </w:r>
    </w:p>
    <w:p w14:paraId="24470210">
      <w:pPr>
        <w:snapToGrid w:val="0"/>
        <w:spacing w:line="300" w:lineRule="auto"/>
        <w:rPr>
          <w:rFonts w:ascii="Arial" w:hAnsi="Arial" w:eastAsia="宋体" w:cs="Arial"/>
        </w:rPr>
      </w:pPr>
    </w:p>
    <w:p w14:paraId="1794FEB4">
      <w:pPr>
        <w:snapToGrid w:val="0"/>
        <w:spacing w:line="300" w:lineRule="auto"/>
        <w:rPr>
          <w:rFonts w:ascii="Arial" w:hAnsi="Arial" w:eastAsia="宋体" w:cs="Arial"/>
          <w:spacing w:val="-4"/>
        </w:rPr>
      </w:pPr>
      <w:r>
        <w:rPr>
          <w:rFonts w:ascii="Arial" w:hAnsi="Arial" w:eastAsia="宋体" w:cs="Arial"/>
          <w:spacing w:val="-4"/>
        </w:rPr>
        <w:t>如果贵公司的器械中包含了校准品和质控材料，贵公司应在510（k）提交资料中包含下列信息：</w:t>
      </w:r>
    </w:p>
    <w:p w14:paraId="7E956420">
      <w:pPr>
        <w:pStyle w:val="11"/>
        <w:numPr>
          <w:ilvl w:val="0"/>
          <w:numId w:val="5"/>
        </w:numPr>
        <w:snapToGrid w:val="0"/>
        <w:spacing w:line="300" w:lineRule="auto"/>
        <w:ind w:left="838" w:leftChars="226" w:hanging="363" w:hangingChars="173"/>
        <w:rPr>
          <w:rFonts w:ascii="Arial" w:hAnsi="Arial" w:eastAsia="宋体" w:cs="Arial"/>
        </w:rPr>
      </w:pPr>
      <w:r>
        <w:rPr>
          <w:rFonts w:ascii="Arial" w:hAnsi="Arial" w:eastAsia="宋体" w:cs="Arial"/>
        </w:rPr>
        <w:t>对已打开和未打开校准品与质控材料进行实时或加速稳定性研究的研究方案和判定标准。其中应包含贵公司使用的方法或分析与截止日期回收率的判定标准。</w:t>
      </w:r>
    </w:p>
    <w:p w14:paraId="0A157AF9">
      <w:pPr>
        <w:pStyle w:val="11"/>
        <w:numPr>
          <w:ilvl w:val="0"/>
          <w:numId w:val="5"/>
        </w:numPr>
        <w:snapToGrid w:val="0"/>
        <w:spacing w:line="300" w:lineRule="auto"/>
        <w:ind w:left="838" w:leftChars="226" w:hanging="363" w:hangingChars="173"/>
        <w:rPr>
          <w:rFonts w:ascii="Arial" w:hAnsi="Arial" w:eastAsia="宋体" w:cs="Arial"/>
        </w:rPr>
      </w:pPr>
      <w:r>
        <w:rPr>
          <w:rFonts w:ascii="Arial" w:hAnsi="Arial" w:eastAsia="宋体" w:cs="Arial"/>
        </w:rPr>
        <w:t>对各种水平的校准品和质控材料进行质控值分配与确认的研究方案和判定标准。其中应包含所用方法或分析。</w:t>
      </w:r>
    </w:p>
    <w:p w14:paraId="3999DF7E">
      <w:pPr>
        <w:pStyle w:val="11"/>
        <w:numPr>
          <w:ilvl w:val="0"/>
          <w:numId w:val="5"/>
        </w:numPr>
        <w:snapToGrid w:val="0"/>
        <w:spacing w:line="300" w:lineRule="auto"/>
        <w:ind w:left="838" w:leftChars="226" w:hanging="363" w:hangingChars="173"/>
        <w:rPr>
          <w:rFonts w:ascii="Arial" w:hAnsi="Arial" w:eastAsia="宋体" w:cs="Arial"/>
        </w:rPr>
      </w:pPr>
      <w:r>
        <w:rPr>
          <w:rFonts w:ascii="Arial" w:hAnsi="Arial" w:eastAsia="宋体" w:cs="Arial"/>
        </w:rPr>
        <w:t>对国内或国际标准参考材料可追溯性的确认。</w:t>
      </w:r>
    </w:p>
    <w:p w14:paraId="601EEF43">
      <w:pPr>
        <w:snapToGrid w:val="0"/>
        <w:spacing w:line="300" w:lineRule="auto"/>
        <w:rPr>
          <w:rFonts w:ascii="Arial" w:hAnsi="Arial" w:eastAsia="宋体" w:cs="Arial"/>
        </w:rPr>
      </w:pPr>
    </w:p>
    <w:p w14:paraId="687E44B1">
      <w:pPr>
        <w:snapToGrid w:val="0"/>
        <w:spacing w:line="300" w:lineRule="auto"/>
        <w:rPr>
          <w:rFonts w:ascii="Arial" w:hAnsi="Arial" w:eastAsia="宋体" w:cs="Arial"/>
        </w:rPr>
      </w:pPr>
      <w:r>
        <w:rPr>
          <w:rFonts w:ascii="Arial" w:hAnsi="Arial" w:eastAsia="宋体" w:cs="Arial"/>
        </w:rPr>
        <w:t>关于根据21 CFR 862.1150规定作为II类器械单独销售的校准品的信息见指南“体外诊断校准品压缩版510（k）提交资料”。</w:t>
      </w:r>
    </w:p>
    <w:p w14:paraId="1B95FC58">
      <w:pPr>
        <w:snapToGrid w:val="0"/>
        <w:spacing w:line="300" w:lineRule="auto"/>
        <w:rPr>
          <w:rFonts w:ascii="Arial" w:hAnsi="Arial" w:eastAsia="宋体" w:cs="Arial"/>
        </w:rPr>
      </w:pPr>
    </w:p>
    <w:p w14:paraId="544D295E">
      <w:pPr>
        <w:snapToGrid w:val="0"/>
        <w:spacing w:line="300" w:lineRule="auto"/>
        <w:rPr>
          <w:rFonts w:ascii="Arial" w:hAnsi="Arial" w:eastAsia="宋体" w:cs="Arial"/>
          <w:b/>
        </w:rPr>
      </w:pPr>
      <w:r>
        <w:rPr>
          <w:rFonts w:ascii="Arial" w:hAnsi="Arial" w:eastAsia="宋体" w:cs="Arial"/>
          <w:b/>
        </w:rPr>
        <w:t>标本采集和处理条件</w:t>
      </w:r>
    </w:p>
    <w:p w14:paraId="7FA85F0A">
      <w:pPr>
        <w:snapToGrid w:val="0"/>
        <w:spacing w:line="300" w:lineRule="auto"/>
        <w:rPr>
          <w:rFonts w:ascii="Arial" w:hAnsi="Arial" w:eastAsia="宋体" w:cs="Arial"/>
        </w:rPr>
      </w:pPr>
    </w:p>
    <w:p w14:paraId="433F92E4">
      <w:pPr>
        <w:snapToGrid w:val="0"/>
        <w:spacing w:line="300" w:lineRule="auto"/>
        <w:rPr>
          <w:rFonts w:ascii="Arial" w:hAnsi="Arial" w:eastAsia="宋体" w:cs="Arial"/>
        </w:rPr>
      </w:pPr>
      <w:bookmarkStart w:id="45" w:name="OLE_LINK43"/>
      <w:bookmarkStart w:id="46" w:name="OLE_LINK46"/>
      <w:bookmarkStart w:id="47" w:name="OLE_LINK49"/>
      <w:r>
        <w:rPr>
          <w:rFonts w:ascii="Arial" w:hAnsi="Arial" w:eastAsia="宋体" w:cs="Arial"/>
        </w:rPr>
        <w:t>贵公司应在贴标中具体描述所需防腐剂（若有的话）、样品储存和运输的推荐规范。我们建议贵公司判定在贴标中推荐的标本（提取前和提取后）储存时间和温度（包括冻融周期）条件下该器械是否能维持合格性能（如精密度、偏差）。贵公司应对用来判定初始粪便标本和提取出来的标本在储存条件下的测定结果和性能标准做出描述。</w:t>
      </w:r>
    </w:p>
    <w:bookmarkEnd w:id="45"/>
    <w:bookmarkEnd w:id="46"/>
    <w:bookmarkEnd w:id="47"/>
    <w:p w14:paraId="5AEA4E1D">
      <w:pPr>
        <w:snapToGrid w:val="0"/>
        <w:spacing w:line="300" w:lineRule="auto"/>
        <w:rPr>
          <w:rFonts w:ascii="Arial" w:hAnsi="Arial" w:eastAsia="宋体" w:cs="Arial"/>
          <w:b/>
        </w:rPr>
      </w:pPr>
      <w:r>
        <w:rPr>
          <w:rFonts w:ascii="Arial" w:hAnsi="Arial" w:eastAsia="宋体" w:cs="Arial"/>
          <w:b/>
        </w:rPr>
        <w:t>7. 方法比较</w:t>
      </w:r>
    </w:p>
    <w:p w14:paraId="3A129030">
      <w:pPr>
        <w:snapToGrid w:val="0"/>
        <w:spacing w:line="300" w:lineRule="auto"/>
        <w:rPr>
          <w:rFonts w:ascii="Arial" w:hAnsi="Arial" w:eastAsia="宋体" w:cs="Arial"/>
          <w:b/>
        </w:rPr>
      </w:pPr>
      <w:r>
        <w:rPr>
          <w:rFonts w:ascii="Arial" w:hAnsi="Arial" w:eastAsia="宋体" w:cs="Arial"/>
          <w:b/>
        </w:rPr>
        <w:t>研究设计</w:t>
      </w:r>
    </w:p>
    <w:p w14:paraId="4D6E113C">
      <w:pPr>
        <w:snapToGrid w:val="0"/>
        <w:spacing w:line="300" w:lineRule="auto"/>
        <w:rPr>
          <w:rFonts w:ascii="Arial" w:hAnsi="Arial" w:eastAsia="宋体" w:cs="Arial"/>
        </w:rPr>
      </w:pPr>
    </w:p>
    <w:p w14:paraId="50A23935">
      <w:pPr>
        <w:snapToGrid w:val="0"/>
        <w:spacing w:line="300" w:lineRule="auto"/>
        <w:rPr>
          <w:rFonts w:ascii="Arial" w:hAnsi="Arial" w:eastAsia="宋体" w:cs="Arial"/>
        </w:rPr>
      </w:pPr>
      <w:r>
        <w:rPr>
          <w:rFonts w:ascii="Arial" w:hAnsi="Arial" w:eastAsia="宋体" w:cs="Arial"/>
        </w:rPr>
        <w:t>贵公司应对使用贵公司的器械所得结果与使用具有相似适用指征的合法销售比较器械所得结果加以比较。我们建议贵公司还要将使用贵公司的器械所得结果与使用某种临床诊断黄金标准（如内镜）所得结果加以比较。如果新器械和比较器械在方法/技术上存在明显差别，则尤其需要进行这种比较。我们建议贵公司遵从临床实验室标准研究所文件EP9-A“采用患者标本进行方法比较和偏差估计”中提供的操作指南进行上述比较。</w:t>
      </w:r>
    </w:p>
    <w:p w14:paraId="21271EC0">
      <w:pPr>
        <w:snapToGrid w:val="0"/>
        <w:spacing w:line="300" w:lineRule="auto"/>
        <w:rPr>
          <w:rFonts w:ascii="Arial" w:hAnsi="Arial" w:eastAsia="宋体" w:cs="Arial"/>
        </w:rPr>
      </w:pPr>
    </w:p>
    <w:p w14:paraId="5411DFBD">
      <w:pPr>
        <w:snapToGrid w:val="0"/>
        <w:spacing w:line="300" w:lineRule="auto"/>
        <w:rPr>
          <w:rFonts w:ascii="Arial" w:hAnsi="Arial" w:eastAsia="宋体" w:cs="Arial"/>
        </w:rPr>
      </w:pPr>
      <w:r>
        <w:rPr>
          <w:rFonts w:ascii="Arial" w:hAnsi="Arial" w:eastAsia="宋体" w:cs="Arial"/>
        </w:rPr>
        <w:t>对临床诊断进行比较时，贵公司应对研究加以设计，以便研究结果能证实贵公司的检验结果与存在/不存在炎症性肠病的关联。比较时以其它胃肠道疾病为对照，计算临床灵敏度和特异度。特别值得一提的是，贵公司的研究结果应能证实目标人群中粪便钙卫蛋白升高的发生率与文献公开发表的数据相似。开始这项研究前，贵公司可与免疫学和血液学检测器械处联系，征求他们对贵公司提出的研究设计的意见。</w:t>
      </w:r>
    </w:p>
    <w:p w14:paraId="0158ADFE">
      <w:pPr>
        <w:snapToGrid w:val="0"/>
        <w:spacing w:line="300" w:lineRule="auto"/>
        <w:rPr>
          <w:rFonts w:ascii="Arial" w:hAnsi="Arial" w:eastAsia="宋体" w:cs="Arial"/>
        </w:rPr>
      </w:pPr>
    </w:p>
    <w:p w14:paraId="0088588F">
      <w:pPr>
        <w:snapToGrid w:val="0"/>
        <w:spacing w:line="300" w:lineRule="auto"/>
        <w:rPr>
          <w:rFonts w:ascii="Arial" w:hAnsi="Arial" w:eastAsia="宋体" w:cs="Arial"/>
        </w:rPr>
      </w:pPr>
      <w:r>
        <w:rPr>
          <w:rFonts w:ascii="Arial" w:hAnsi="Arial" w:eastAsia="宋体" w:cs="Arial"/>
        </w:rPr>
        <w:t>适当的样本含量取决于该检验方法的精密度、干扰情况、测定范围和其它性能特征。我们建议贵公司包含下列信息：</w:t>
      </w:r>
    </w:p>
    <w:p w14:paraId="7CE30673">
      <w:pPr>
        <w:pStyle w:val="11"/>
        <w:numPr>
          <w:ilvl w:val="0"/>
          <w:numId w:val="6"/>
        </w:numPr>
        <w:snapToGrid w:val="0"/>
        <w:spacing w:line="300" w:lineRule="auto"/>
        <w:ind w:firstLineChars="0"/>
        <w:rPr>
          <w:rFonts w:ascii="Arial" w:hAnsi="Arial" w:eastAsia="宋体" w:cs="Arial"/>
        </w:rPr>
      </w:pPr>
      <w:r>
        <w:rPr>
          <w:rFonts w:ascii="Arial" w:hAnsi="Arial" w:eastAsia="宋体" w:cs="Arial"/>
        </w:rPr>
        <w:t>特征为临床状况、（炎症性肠病、肠易激综合征、其它胃肠道疾病、健康捐赠者等）年龄和性别的受试者人数。</w:t>
      </w:r>
    </w:p>
    <w:p w14:paraId="00C7070A">
      <w:pPr>
        <w:pStyle w:val="11"/>
        <w:numPr>
          <w:ilvl w:val="0"/>
          <w:numId w:val="6"/>
        </w:numPr>
        <w:snapToGrid w:val="0"/>
        <w:spacing w:line="300" w:lineRule="auto"/>
        <w:ind w:firstLineChars="0"/>
        <w:rPr>
          <w:rFonts w:ascii="Arial" w:hAnsi="Arial" w:eastAsia="宋体" w:cs="Arial"/>
        </w:rPr>
      </w:pPr>
      <w:r>
        <w:rPr>
          <w:rFonts w:ascii="Arial" w:hAnsi="Arial" w:eastAsia="宋体" w:cs="Arial"/>
        </w:rPr>
        <w:t>研究场所数。</w:t>
      </w:r>
    </w:p>
    <w:p w14:paraId="24E1F6C4">
      <w:pPr>
        <w:pStyle w:val="11"/>
        <w:numPr>
          <w:ilvl w:val="0"/>
          <w:numId w:val="6"/>
        </w:numPr>
        <w:snapToGrid w:val="0"/>
        <w:spacing w:line="300" w:lineRule="auto"/>
        <w:ind w:firstLineChars="0"/>
        <w:rPr>
          <w:rFonts w:ascii="Arial" w:hAnsi="Arial" w:eastAsia="宋体" w:cs="Arial"/>
        </w:rPr>
      </w:pPr>
      <w:r>
        <w:rPr>
          <w:rFonts w:ascii="Arial" w:hAnsi="Arial" w:eastAsia="宋体" w:cs="Arial"/>
        </w:rPr>
        <w:t>受试者选择（纳入/排除）标准</w:t>
      </w:r>
    </w:p>
    <w:p w14:paraId="1C2694E4">
      <w:pPr>
        <w:pStyle w:val="11"/>
        <w:numPr>
          <w:ilvl w:val="0"/>
          <w:numId w:val="6"/>
        </w:numPr>
        <w:snapToGrid w:val="0"/>
        <w:spacing w:line="300" w:lineRule="auto"/>
        <w:ind w:firstLineChars="0"/>
        <w:rPr>
          <w:rFonts w:ascii="Arial" w:hAnsi="Arial" w:eastAsia="宋体" w:cs="Arial"/>
        </w:rPr>
      </w:pPr>
      <w:r>
        <w:rPr>
          <w:rFonts w:ascii="Arial" w:hAnsi="Arial" w:eastAsia="宋体" w:cs="Arial"/>
        </w:rPr>
        <w:t>与结果解释有关的其它样本特征。</w:t>
      </w:r>
    </w:p>
    <w:p w14:paraId="7BDCB88B">
      <w:pPr>
        <w:snapToGrid w:val="0"/>
        <w:spacing w:line="300" w:lineRule="auto"/>
        <w:rPr>
          <w:rFonts w:ascii="Arial" w:hAnsi="Arial" w:eastAsia="宋体" w:cs="Arial"/>
        </w:rPr>
      </w:pPr>
    </w:p>
    <w:p w14:paraId="356CD664">
      <w:pPr>
        <w:snapToGrid w:val="0"/>
        <w:spacing w:line="300" w:lineRule="auto"/>
        <w:rPr>
          <w:rFonts w:ascii="Arial" w:hAnsi="Arial" w:eastAsia="宋体" w:cs="Arial"/>
          <w:b/>
        </w:rPr>
      </w:pPr>
      <w:r>
        <w:rPr>
          <w:rFonts w:ascii="Arial" w:hAnsi="Arial" w:eastAsia="宋体" w:cs="Arial"/>
          <w:b/>
        </w:rPr>
        <w:t>结果报告</w:t>
      </w:r>
    </w:p>
    <w:p w14:paraId="4D3BC7C0">
      <w:pPr>
        <w:snapToGrid w:val="0"/>
        <w:spacing w:line="300" w:lineRule="auto"/>
        <w:rPr>
          <w:rFonts w:ascii="Arial" w:hAnsi="Arial" w:eastAsia="宋体" w:cs="Arial"/>
        </w:rPr>
      </w:pPr>
    </w:p>
    <w:p w14:paraId="28747399">
      <w:pPr>
        <w:snapToGrid w:val="0"/>
        <w:spacing w:line="300" w:lineRule="auto"/>
        <w:rPr>
          <w:rFonts w:ascii="Arial" w:hAnsi="Arial" w:eastAsia="宋体" w:cs="Arial"/>
        </w:rPr>
      </w:pPr>
      <w:r>
        <w:rPr>
          <w:rFonts w:ascii="Arial" w:hAnsi="Arial" w:eastAsia="宋体" w:cs="Arial"/>
        </w:rPr>
        <w:t>贵公司应将采用新器械所得结果（Y轴）与采用比较器械所得结果（X轴）绘制散点图并将其包含在提交资料中。在散点图中应包含所有数据点、估计回归直线和等值线。数据点应代表各测定值。贵公司应提供对用来拟合回归直线的分析方法和回归分析结果的描述。结果应包括斜率和截距及其95％可信限、估计值（在Y方向计算的）的标准误和相关系数。我们建议贵公司采用戴明回归法或在适当时候采用可说明两种检验系统变异性的另一种方法。</w:t>
      </w:r>
    </w:p>
    <w:p w14:paraId="3A3E6EFA">
      <w:pPr>
        <w:snapToGrid w:val="0"/>
        <w:spacing w:line="300" w:lineRule="auto"/>
        <w:rPr>
          <w:rFonts w:ascii="Arial" w:hAnsi="Arial" w:eastAsia="宋体" w:cs="Arial"/>
        </w:rPr>
      </w:pPr>
    </w:p>
    <w:bookmarkEnd w:id="4"/>
    <w:bookmarkEnd w:id="5"/>
    <w:p w14:paraId="685D9060">
      <w:pPr>
        <w:snapToGrid w:val="0"/>
        <w:spacing w:line="300" w:lineRule="auto"/>
        <w:rPr>
          <w:rFonts w:ascii="Arial" w:hAnsi="Arial" w:eastAsia="宋体" w:cs="Arial"/>
        </w:rPr>
      </w:pPr>
      <w:r>
        <w:rPr>
          <w:rFonts w:ascii="Arial" w:hAnsi="Arial" w:eastAsia="宋体" w:cs="Arial"/>
        </w:rPr>
        <w:t>如果贵公司的器械使用的是一种定性或半定量测定方法，贵公司应用一个2×2表报告新器械和比较器械的结果并计算阳性一致率、阴性一致率和总一致率。</w:t>
      </w:r>
    </w:p>
    <w:p w14:paraId="48A387DE">
      <w:pPr>
        <w:snapToGrid w:val="0"/>
        <w:spacing w:line="300" w:lineRule="auto"/>
        <w:rPr>
          <w:rFonts w:ascii="Arial" w:hAnsi="Arial" w:eastAsia="宋体" w:cs="Arial"/>
        </w:rPr>
      </w:pPr>
    </w:p>
    <w:p w14:paraId="763602D2">
      <w:pPr>
        <w:snapToGrid w:val="0"/>
        <w:spacing w:line="300" w:lineRule="auto"/>
        <w:rPr>
          <w:rFonts w:ascii="Arial" w:hAnsi="Arial" w:eastAsia="宋体" w:cs="Arial"/>
        </w:rPr>
      </w:pPr>
      <w:r>
        <w:rPr>
          <w:rFonts w:ascii="Arial" w:hAnsi="Arial" w:eastAsia="宋体" w:cs="Arial"/>
        </w:rPr>
        <w:t>如果其中一个或两个测定方法产生了处于灰色或两可地带的结果，贵公司应用一个3×3表报告结果并说明在计算与比较器械的一致率时如何考虑两可结果。我们建议贵公司提交比较研究的系列数据。</w:t>
      </w:r>
    </w:p>
    <w:p w14:paraId="65179536">
      <w:pPr>
        <w:snapToGrid w:val="0"/>
        <w:spacing w:line="300" w:lineRule="auto"/>
        <w:rPr>
          <w:rFonts w:ascii="Arial" w:hAnsi="Arial" w:eastAsia="宋体" w:cs="Arial"/>
        </w:rPr>
      </w:pPr>
    </w:p>
    <w:p w14:paraId="3F4D21DF">
      <w:pPr>
        <w:snapToGrid w:val="0"/>
        <w:spacing w:line="300" w:lineRule="auto"/>
        <w:rPr>
          <w:rFonts w:ascii="Arial" w:hAnsi="Arial" w:eastAsia="宋体" w:cs="Arial"/>
        </w:rPr>
      </w:pPr>
      <w:r>
        <w:rPr>
          <w:rFonts w:ascii="Arial" w:hAnsi="Arial" w:eastAsia="宋体" w:cs="Arial"/>
        </w:rPr>
        <w:t>贵公司提供的结果应能证实在粪便钙卫蛋白测定值与存在/不存在炎症性肠病间观察到了相关关系（临床灵敏度/特异度）。如果人口因素（如年龄和性别）有可能使结果出现偏差，贵公司应根据人口因素对结果进行分层分析。贵公司应用一个2×2表描述新器械与疾病状态相比较的结果。贵公司亦可报告比较器械的此类信息。</w:t>
      </w:r>
    </w:p>
    <w:p w14:paraId="26EFB324">
      <w:pPr>
        <w:snapToGrid w:val="0"/>
        <w:spacing w:line="300" w:lineRule="auto"/>
        <w:rPr>
          <w:rFonts w:ascii="Arial" w:hAnsi="Arial" w:eastAsia="宋体" w:cs="Arial"/>
          <w:b/>
        </w:rPr>
      </w:pPr>
      <w:r>
        <w:rPr>
          <w:rFonts w:ascii="Arial" w:hAnsi="Arial" w:eastAsia="宋体" w:cs="Arial"/>
          <w:b/>
        </w:rPr>
        <w:t>8. 预期值</w:t>
      </w:r>
    </w:p>
    <w:p w14:paraId="18DBBD83">
      <w:pPr>
        <w:snapToGrid w:val="0"/>
        <w:spacing w:line="300" w:lineRule="auto"/>
        <w:rPr>
          <w:rFonts w:ascii="Arial" w:hAnsi="Arial" w:eastAsia="宋体" w:cs="Arial"/>
        </w:rPr>
      </w:pPr>
    </w:p>
    <w:p w14:paraId="3185214F">
      <w:pPr>
        <w:snapToGrid w:val="0"/>
        <w:spacing w:line="300" w:lineRule="auto"/>
        <w:rPr>
          <w:rFonts w:ascii="Arial" w:hAnsi="Arial" w:eastAsia="宋体" w:cs="Arial"/>
        </w:rPr>
      </w:pPr>
      <w:r>
        <w:rPr>
          <w:rFonts w:ascii="Arial" w:hAnsi="Arial" w:eastAsia="宋体" w:cs="Arial"/>
        </w:rPr>
        <w:t>贵公司应采用足够数量的正常粪便标本以确立该测定方法的截断值。如果年龄和性别对解释测定结果至关重要，应使受试者的年龄和性别相匹配。可从接受常规结肠镜检查的受试者中采集标本。贵公司应采用来自目标疾病受试者和其它非目标疾病受试者的标本结果对该数值进行验证。我们建议贵公司参考文件“临床实验室如何定义和判定参考范围”临床实验室标准研究所（C-28A）。</w:t>
      </w:r>
    </w:p>
    <w:p w14:paraId="33D6DC78">
      <w:pPr>
        <w:snapToGrid w:val="0"/>
        <w:spacing w:line="300" w:lineRule="auto"/>
        <w:rPr>
          <w:rFonts w:ascii="Arial" w:hAnsi="Arial" w:eastAsia="宋体" w:cs="Arial"/>
        </w:rPr>
      </w:pPr>
    </w:p>
    <w:p w14:paraId="46C3C02E">
      <w:pPr>
        <w:snapToGrid w:val="0"/>
        <w:spacing w:line="300" w:lineRule="auto"/>
        <w:rPr>
          <w:rFonts w:ascii="Arial" w:hAnsi="Arial" w:eastAsia="宋体" w:cs="Arial"/>
          <w:b/>
        </w:rPr>
      </w:pPr>
      <w:r>
        <w:rPr>
          <w:rFonts w:ascii="Arial" w:hAnsi="Arial" w:eastAsia="宋体" w:cs="Arial"/>
          <w:b/>
        </w:rPr>
        <w:t>9. 贴标</w:t>
      </w:r>
    </w:p>
    <w:p w14:paraId="15463FFA">
      <w:pPr>
        <w:snapToGrid w:val="0"/>
        <w:spacing w:line="300" w:lineRule="auto"/>
        <w:rPr>
          <w:rFonts w:ascii="Arial" w:hAnsi="Arial" w:eastAsia="宋体" w:cs="Arial"/>
        </w:rPr>
      </w:pPr>
    </w:p>
    <w:p w14:paraId="5A3125B7">
      <w:pPr>
        <w:snapToGrid w:val="0"/>
        <w:spacing w:line="300" w:lineRule="auto"/>
        <w:rPr>
          <w:rFonts w:ascii="Arial" w:hAnsi="Arial" w:eastAsia="宋体" w:cs="Arial"/>
        </w:rPr>
      </w:pPr>
      <w:r>
        <w:rPr>
          <w:rFonts w:ascii="Arial" w:hAnsi="Arial" w:eastAsia="宋体" w:cs="Arial"/>
        </w:rPr>
        <w:t>上市前通告中应包含符合21 CFR 807.87（e）要求、有足够细节的贴标。提出下列建议的目的是帮助贵公司准备符合这些要求的贴标。尽管批准510（k）提交资料不需最终标签，但将体外诊断器械引入州际贸易前，其最终标签必须符合21 CFR 809.10部分的要求。</w:t>
      </w:r>
    </w:p>
    <w:p w14:paraId="47DB1264">
      <w:pPr>
        <w:snapToGrid w:val="0"/>
        <w:spacing w:line="300" w:lineRule="auto"/>
        <w:rPr>
          <w:rFonts w:ascii="Arial" w:hAnsi="Arial" w:eastAsia="宋体" w:cs="Arial"/>
        </w:rPr>
      </w:pPr>
    </w:p>
    <w:p w14:paraId="5D366696">
      <w:pPr>
        <w:snapToGrid w:val="0"/>
        <w:spacing w:line="300" w:lineRule="auto"/>
        <w:rPr>
          <w:rFonts w:ascii="Arial" w:hAnsi="Arial" w:eastAsia="宋体" w:cs="Arial"/>
          <w:b/>
        </w:rPr>
      </w:pPr>
      <w:r>
        <w:rPr>
          <w:rFonts w:ascii="Arial" w:hAnsi="Arial" w:eastAsia="宋体" w:cs="Arial"/>
          <w:b/>
        </w:rPr>
        <w:t>预期用途</w:t>
      </w:r>
    </w:p>
    <w:p w14:paraId="4AEBAFFF">
      <w:pPr>
        <w:snapToGrid w:val="0"/>
        <w:spacing w:line="300" w:lineRule="auto"/>
        <w:rPr>
          <w:rFonts w:ascii="Arial" w:hAnsi="Arial" w:eastAsia="宋体" w:cs="Arial"/>
        </w:rPr>
      </w:pPr>
    </w:p>
    <w:p w14:paraId="7ABF8664">
      <w:pPr>
        <w:snapToGrid w:val="0"/>
        <w:spacing w:line="300" w:lineRule="auto"/>
        <w:rPr>
          <w:rFonts w:ascii="Arial" w:hAnsi="Arial" w:eastAsia="宋体" w:cs="Arial"/>
        </w:rPr>
      </w:pPr>
      <w:r>
        <w:rPr>
          <w:rFonts w:ascii="Arial" w:hAnsi="Arial" w:eastAsia="宋体" w:cs="Arial"/>
        </w:rPr>
        <w:t>预期用途应与该测定方法的性能特征和这些研究检测的患者人群相适合。</w:t>
      </w:r>
    </w:p>
    <w:p w14:paraId="3B826111">
      <w:pPr>
        <w:snapToGrid w:val="0"/>
        <w:spacing w:line="300" w:lineRule="auto"/>
        <w:rPr>
          <w:rFonts w:ascii="Arial" w:hAnsi="Arial" w:eastAsia="宋体" w:cs="Arial"/>
        </w:rPr>
      </w:pPr>
    </w:p>
    <w:p w14:paraId="0C950D47">
      <w:pPr>
        <w:snapToGrid w:val="0"/>
        <w:spacing w:line="300" w:lineRule="auto"/>
        <w:rPr>
          <w:rFonts w:ascii="Arial" w:hAnsi="Arial" w:eastAsia="宋体" w:cs="Arial"/>
          <w:b/>
        </w:rPr>
      </w:pPr>
      <w:r>
        <w:rPr>
          <w:rFonts w:ascii="Arial" w:hAnsi="Arial" w:eastAsia="宋体" w:cs="Arial"/>
          <w:b/>
        </w:rPr>
        <w:t>方法原理</w:t>
      </w:r>
    </w:p>
    <w:p w14:paraId="7544D2B0">
      <w:pPr>
        <w:snapToGrid w:val="0"/>
        <w:spacing w:line="300" w:lineRule="auto"/>
        <w:rPr>
          <w:rFonts w:ascii="Arial" w:hAnsi="Arial" w:eastAsia="宋体" w:cs="Arial"/>
        </w:rPr>
      </w:pPr>
    </w:p>
    <w:p w14:paraId="642A421F">
      <w:pPr>
        <w:snapToGrid w:val="0"/>
        <w:spacing w:line="300" w:lineRule="auto"/>
        <w:rPr>
          <w:rFonts w:ascii="Arial" w:hAnsi="Arial" w:eastAsia="宋体" w:cs="Arial"/>
        </w:rPr>
      </w:pPr>
      <w:r>
        <w:rPr>
          <w:rFonts w:ascii="Arial" w:hAnsi="Arial" w:eastAsia="宋体" w:cs="Arial"/>
        </w:rPr>
        <w:t>贵公司应对该器械的技术特征和如何使用该器械检测患者标本作出清晰、简洁的描述。另外，在贴标中应包含对所供试剂成分的描述并列出使用该测定方法所需的仪器配置或特殊设备。</w:t>
      </w:r>
    </w:p>
    <w:p w14:paraId="260B98DC">
      <w:pPr>
        <w:snapToGrid w:val="0"/>
        <w:spacing w:line="300" w:lineRule="auto"/>
        <w:rPr>
          <w:rFonts w:ascii="Arial" w:hAnsi="Arial" w:eastAsia="宋体" w:cs="Arial"/>
        </w:rPr>
      </w:pPr>
    </w:p>
    <w:p w14:paraId="26B98DCB">
      <w:pPr>
        <w:snapToGrid w:val="0"/>
        <w:spacing w:line="300" w:lineRule="auto"/>
        <w:rPr>
          <w:rFonts w:ascii="Arial" w:hAnsi="Arial" w:eastAsia="宋体" w:cs="Arial"/>
          <w:b/>
        </w:rPr>
      </w:pPr>
      <w:r>
        <w:rPr>
          <w:rFonts w:ascii="Arial" w:hAnsi="Arial" w:eastAsia="宋体" w:cs="Arial"/>
          <w:b/>
        </w:rPr>
        <w:t>使用说明</w:t>
      </w:r>
    </w:p>
    <w:p w14:paraId="730E2E55">
      <w:pPr>
        <w:snapToGrid w:val="0"/>
        <w:spacing w:line="300" w:lineRule="auto"/>
        <w:rPr>
          <w:rFonts w:ascii="Arial" w:hAnsi="Arial" w:eastAsia="宋体" w:cs="Arial"/>
        </w:rPr>
      </w:pPr>
    </w:p>
    <w:p w14:paraId="0720B236">
      <w:pPr>
        <w:snapToGrid w:val="0"/>
        <w:spacing w:line="300" w:lineRule="auto"/>
        <w:rPr>
          <w:rFonts w:ascii="Arial" w:hAnsi="Arial" w:eastAsia="宋体" w:cs="Arial"/>
        </w:rPr>
      </w:pPr>
      <w:r>
        <w:rPr>
          <w:rFonts w:ascii="Arial" w:hAnsi="Arial" w:eastAsia="宋体" w:cs="Arial"/>
        </w:rPr>
        <w:t>除测定规程外，贵公司应在标签中包含对被测物提取流程的清晰说明。</w:t>
      </w:r>
    </w:p>
    <w:p w14:paraId="164C6872">
      <w:pPr>
        <w:snapToGrid w:val="0"/>
        <w:spacing w:line="300" w:lineRule="auto"/>
        <w:rPr>
          <w:rFonts w:ascii="Arial" w:hAnsi="Arial" w:eastAsia="宋体" w:cs="Arial"/>
        </w:rPr>
      </w:pPr>
    </w:p>
    <w:p w14:paraId="7AC14C0F">
      <w:pPr>
        <w:snapToGrid w:val="0"/>
        <w:spacing w:line="300" w:lineRule="auto"/>
        <w:rPr>
          <w:rFonts w:ascii="Arial" w:hAnsi="Arial" w:eastAsia="宋体" w:cs="Arial"/>
          <w:b/>
        </w:rPr>
      </w:pPr>
      <w:r>
        <w:rPr>
          <w:rFonts w:ascii="Arial" w:hAnsi="Arial" w:eastAsia="宋体" w:cs="Arial"/>
          <w:b/>
        </w:rPr>
        <w:t>标本采集和处理条件/稳定性</w:t>
      </w:r>
    </w:p>
    <w:p w14:paraId="3E56FA8F">
      <w:pPr>
        <w:snapToGrid w:val="0"/>
        <w:spacing w:line="300" w:lineRule="auto"/>
        <w:rPr>
          <w:rFonts w:ascii="Arial" w:hAnsi="Arial" w:eastAsia="宋体" w:cs="Arial"/>
        </w:rPr>
      </w:pPr>
    </w:p>
    <w:p w14:paraId="0A4651D8">
      <w:pPr>
        <w:snapToGrid w:val="0"/>
        <w:spacing w:line="300" w:lineRule="auto"/>
        <w:rPr>
          <w:rFonts w:ascii="Arial" w:hAnsi="Arial" w:eastAsia="宋体" w:cs="Arial"/>
        </w:rPr>
      </w:pPr>
      <w:r>
        <w:rPr>
          <w:rFonts w:ascii="Arial" w:hAnsi="Arial" w:eastAsia="宋体" w:cs="Arial"/>
        </w:rPr>
        <w:t>贵公司应包含所需防腐剂类型（若有的话）与标本稳定性和完整性参数的判定标准。贵公司还应清晰陈述经过确认的标本运输、储存、温度和规定冻融周期数等条件。</w:t>
      </w:r>
    </w:p>
    <w:p w14:paraId="79786A6A">
      <w:pPr>
        <w:snapToGrid w:val="0"/>
        <w:spacing w:line="300" w:lineRule="auto"/>
        <w:rPr>
          <w:rFonts w:ascii="Arial" w:hAnsi="Arial" w:eastAsia="宋体" w:cs="Arial"/>
        </w:rPr>
      </w:pPr>
    </w:p>
    <w:p w14:paraId="61011ADA">
      <w:pPr>
        <w:snapToGrid w:val="0"/>
        <w:spacing w:line="300" w:lineRule="auto"/>
        <w:rPr>
          <w:rFonts w:ascii="Arial" w:hAnsi="Arial" w:eastAsia="宋体" w:cs="Arial"/>
          <w:b/>
        </w:rPr>
      </w:pPr>
      <w:r>
        <w:rPr>
          <w:rFonts w:ascii="Arial" w:hAnsi="Arial" w:eastAsia="宋体" w:cs="Arial"/>
          <w:b/>
        </w:rPr>
        <w:t>质量控制</w:t>
      </w:r>
    </w:p>
    <w:p w14:paraId="4B1BDA41">
      <w:pPr>
        <w:snapToGrid w:val="0"/>
        <w:spacing w:line="300" w:lineRule="auto"/>
        <w:rPr>
          <w:rFonts w:ascii="Arial" w:hAnsi="Arial" w:eastAsia="宋体" w:cs="Arial"/>
        </w:rPr>
      </w:pPr>
    </w:p>
    <w:p w14:paraId="4E3489E2">
      <w:pPr>
        <w:snapToGrid w:val="0"/>
        <w:spacing w:line="300" w:lineRule="auto"/>
        <w:rPr>
          <w:rFonts w:ascii="Arial" w:hAnsi="Arial" w:eastAsia="宋体" w:cs="Arial"/>
        </w:rPr>
      </w:pPr>
      <w:r>
        <w:rPr>
          <w:rFonts w:ascii="Arial" w:hAnsi="Arial" w:eastAsia="宋体" w:cs="Arial"/>
        </w:rPr>
        <w:t>贵公司应提供对质控推荐规范的描述。在描述中应包含对该测定方法所用质控材料</w:t>
      </w:r>
      <w:bookmarkStart w:id="48" w:name="OLE_LINK51"/>
      <w:r>
        <w:rPr>
          <w:rFonts w:ascii="Arial" w:hAnsi="Arial" w:eastAsia="宋体" w:cs="Arial"/>
        </w:rPr>
        <w:t>的清晰说明</w:t>
      </w:r>
      <w:bookmarkEnd w:id="48"/>
      <w:r>
        <w:rPr>
          <w:rFonts w:ascii="Arial" w:hAnsi="Arial" w:eastAsia="宋体" w:cs="Arial"/>
        </w:rPr>
        <w:t>和该材料的预期结果。</w:t>
      </w:r>
    </w:p>
    <w:p w14:paraId="68F12F07">
      <w:pPr>
        <w:snapToGrid w:val="0"/>
        <w:spacing w:line="300" w:lineRule="auto"/>
        <w:rPr>
          <w:rFonts w:ascii="Arial" w:hAnsi="Arial" w:eastAsia="宋体" w:cs="Arial"/>
        </w:rPr>
      </w:pPr>
    </w:p>
    <w:p w14:paraId="568CCCE0">
      <w:pPr>
        <w:widowControl/>
        <w:jc w:val="left"/>
        <w:rPr>
          <w:rFonts w:ascii="Arial" w:hAnsi="Arial" w:eastAsia="宋体" w:cs="Arial"/>
          <w:b/>
        </w:rPr>
      </w:pPr>
      <w:r>
        <w:rPr>
          <w:rFonts w:ascii="Arial" w:hAnsi="Arial" w:eastAsia="宋体" w:cs="Arial"/>
          <w:b/>
        </w:rPr>
        <w:br w:type="page"/>
      </w:r>
    </w:p>
    <w:p w14:paraId="5FC46D23">
      <w:pPr>
        <w:snapToGrid w:val="0"/>
        <w:spacing w:line="300" w:lineRule="auto"/>
        <w:rPr>
          <w:rFonts w:ascii="Arial" w:hAnsi="Arial" w:eastAsia="宋体" w:cs="Arial"/>
          <w:b/>
        </w:rPr>
      </w:pPr>
      <w:r>
        <w:rPr>
          <w:rFonts w:ascii="Arial" w:hAnsi="Arial" w:eastAsia="宋体" w:cs="Arial"/>
          <w:b/>
        </w:rPr>
        <w:t>仪器配置（若适用）</w:t>
      </w:r>
    </w:p>
    <w:p w14:paraId="00DDF224">
      <w:pPr>
        <w:snapToGrid w:val="0"/>
        <w:spacing w:line="300" w:lineRule="auto"/>
        <w:rPr>
          <w:rFonts w:ascii="Arial" w:hAnsi="Arial" w:eastAsia="宋体" w:cs="Arial"/>
        </w:rPr>
      </w:pPr>
    </w:p>
    <w:p w14:paraId="3F97570B">
      <w:pPr>
        <w:snapToGrid w:val="0"/>
        <w:spacing w:line="300" w:lineRule="auto"/>
        <w:rPr>
          <w:rFonts w:ascii="Arial" w:hAnsi="Arial" w:eastAsia="宋体" w:cs="Arial"/>
        </w:rPr>
      </w:pPr>
      <w:r>
        <w:rPr>
          <w:rFonts w:ascii="Arial" w:hAnsi="Arial" w:eastAsia="宋体" w:cs="Arial"/>
        </w:rPr>
        <w:t>贵公司应提供一个用户手册，对规定仪器配置的所有组件作出说明。在贵公司的用户手册中应包含对软件的作用、软件的用户界面和性能检测结果的详细描述。提供性能检测结果的目的是证明软件能发挥设计功能。我们建议贵公司在用户手册中包含计算机屏幕的图示表达、图形用户界面（GUI）和有助于用户正确使用软件的其它元素。</w:t>
      </w:r>
    </w:p>
    <w:p w14:paraId="7DDE745C">
      <w:pPr>
        <w:snapToGrid w:val="0"/>
        <w:spacing w:line="300" w:lineRule="auto"/>
        <w:rPr>
          <w:rFonts w:ascii="Arial" w:hAnsi="Arial" w:eastAsia="宋体" w:cs="Arial"/>
        </w:rPr>
      </w:pPr>
    </w:p>
    <w:p w14:paraId="0AC80251">
      <w:pPr>
        <w:snapToGrid w:val="0"/>
        <w:spacing w:line="300" w:lineRule="auto"/>
        <w:rPr>
          <w:rFonts w:ascii="Arial" w:hAnsi="Arial" w:eastAsia="宋体" w:cs="Arial"/>
        </w:rPr>
      </w:pPr>
      <w:r>
        <w:rPr>
          <w:rFonts w:ascii="Arial" w:hAnsi="Arial" w:eastAsia="宋体" w:cs="Arial"/>
        </w:rPr>
        <w:t>在可能情况下，用户手册还应包含用户怎样才能识别错误操作或仪器配置失败的描述以及故障排除指南。</w:t>
      </w:r>
    </w:p>
    <w:p w14:paraId="6F57D528">
      <w:pPr>
        <w:snapToGrid w:val="0"/>
        <w:spacing w:line="300" w:lineRule="auto"/>
        <w:rPr>
          <w:rFonts w:ascii="Arial" w:hAnsi="Arial" w:eastAsia="宋体" w:cs="Arial"/>
        </w:rPr>
      </w:pPr>
    </w:p>
    <w:p w14:paraId="20B03310">
      <w:pPr>
        <w:snapToGrid w:val="0"/>
        <w:spacing w:line="300" w:lineRule="auto"/>
        <w:rPr>
          <w:rFonts w:ascii="Arial" w:hAnsi="Arial" w:eastAsia="宋体" w:cs="Arial"/>
        </w:rPr>
      </w:pPr>
      <w:r>
        <w:rPr>
          <w:rFonts w:ascii="Arial" w:hAnsi="Arial" w:eastAsia="宋体" w:cs="Arial"/>
        </w:rPr>
        <w:t>如果采用通用仪器配置，贵公司应提供该仪器配置的技术规范。</w:t>
      </w:r>
    </w:p>
    <w:p w14:paraId="04064857">
      <w:pPr>
        <w:snapToGrid w:val="0"/>
        <w:spacing w:line="300" w:lineRule="auto"/>
        <w:rPr>
          <w:rFonts w:ascii="Arial" w:hAnsi="Arial" w:eastAsia="宋体" w:cs="Arial"/>
        </w:rPr>
      </w:pPr>
    </w:p>
    <w:p w14:paraId="0BACF050">
      <w:pPr>
        <w:snapToGrid w:val="0"/>
        <w:spacing w:line="300" w:lineRule="auto"/>
        <w:rPr>
          <w:rFonts w:ascii="Arial" w:hAnsi="Arial" w:eastAsia="宋体" w:cs="Arial"/>
          <w:b/>
        </w:rPr>
      </w:pPr>
      <w:r>
        <w:rPr>
          <w:rFonts w:ascii="Arial" w:hAnsi="Arial" w:eastAsia="宋体" w:cs="Arial"/>
          <w:b/>
        </w:rPr>
        <w:t>局限性</w:t>
      </w:r>
    </w:p>
    <w:p w14:paraId="158AAA2E">
      <w:pPr>
        <w:snapToGrid w:val="0"/>
        <w:spacing w:line="300" w:lineRule="auto"/>
        <w:rPr>
          <w:rFonts w:ascii="Arial" w:hAnsi="Arial" w:eastAsia="宋体" w:cs="Arial"/>
        </w:rPr>
      </w:pPr>
    </w:p>
    <w:p w14:paraId="55BE7582">
      <w:pPr>
        <w:snapToGrid w:val="0"/>
        <w:spacing w:line="300" w:lineRule="auto"/>
        <w:rPr>
          <w:rFonts w:ascii="Arial" w:hAnsi="Arial" w:eastAsia="宋体" w:cs="Arial"/>
        </w:rPr>
      </w:pPr>
      <w:r>
        <w:rPr>
          <w:rFonts w:ascii="Arial" w:hAnsi="Arial" w:eastAsia="宋体" w:cs="Arial"/>
        </w:rPr>
        <w:t>贵公司应对该测定器械的局限性进行充分讨论。我们建议贵公司在适当的时候将该器械的局限性包含在贵公司的标签中（如下所示）：</w:t>
      </w:r>
    </w:p>
    <w:p w14:paraId="2278A556">
      <w:pPr>
        <w:snapToGrid w:val="0"/>
        <w:spacing w:line="300" w:lineRule="auto"/>
        <w:rPr>
          <w:rFonts w:ascii="Arial" w:hAnsi="Arial" w:eastAsia="宋体" w:cs="Arial"/>
        </w:rPr>
      </w:pPr>
    </w:p>
    <w:p w14:paraId="7124DAC8">
      <w:pPr>
        <w:pStyle w:val="11"/>
        <w:numPr>
          <w:ilvl w:val="0"/>
          <w:numId w:val="7"/>
        </w:numPr>
        <w:snapToGrid w:val="0"/>
        <w:spacing w:line="300" w:lineRule="auto"/>
        <w:ind w:firstLineChars="0"/>
        <w:rPr>
          <w:rFonts w:ascii="Arial" w:hAnsi="Arial" w:eastAsia="宋体" w:cs="Arial"/>
        </w:rPr>
      </w:pPr>
      <w:r>
        <w:rPr>
          <w:rFonts w:ascii="Arial" w:hAnsi="Arial" w:eastAsia="宋体" w:cs="Arial"/>
        </w:rPr>
        <w:t>因骨髓抑制而罹患粒细胞减少症的患者可出现假阴性结果。</w:t>
      </w:r>
    </w:p>
    <w:p w14:paraId="17434871">
      <w:pPr>
        <w:pStyle w:val="11"/>
        <w:numPr>
          <w:ilvl w:val="0"/>
          <w:numId w:val="7"/>
        </w:numPr>
        <w:snapToGrid w:val="0"/>
        <w:spacing w:line="300" w:lineRule="auto"/>
        <w:ind w:firstLineChars="0"/>
        <w:rPr>
          <w:rFonts w:ascii="Arial" w:hAnsi="Arial" w:eastAsia="宋体" w:cs="Arial"/>
        </w:rPr>
      </w:pPr>
      <w:r>
        <w:rPr>
          <w:rFonts w:ascii="Arial" w:hAnsi="Arial" w:eastAsia="宋体" w:cs="Arial"/>
        </w:rPr>
        <w:t>某些服用非甾类抗炎药物（NSAID）的患者，其粪便钙卫蛋白水平将会升高。</w:t>
      </w:r>
    </w:p>
    <w:p w14:paraId="7330D968">
      <w:pPr>
        <w:pStyle w:val="11"/>
        <w:numPr>
          <w:ilvl w:val="0"/>
          <w:numId w:val="7"/>
        </w:numPr>
        <w:snapToGrid w:val="0"/>
        <w:spacing w:line="300" w:lineRule="auto"/>
        <w:ind w:firstLineChars="0"/>
        <w:rPr>
          <w:rFonts w:ascii="Arial" w:hAnsi="Arial" w:eastAsia="宋体" w:cs="Arial"/>
        </w:rPr>
      </w:pPr>
      <w:r>
        <w:rPr>
          <w:rFonts w:ascii="Arial" w:hAnsi="Arial" w:eastAsia="宋体" w:cs="Arial"/>
        </w:rPr>
        <w:t>对粪便钙卫蛋白水平轻度升高的2岁以下儿童，测定结果在临床上可能不适用。</w:t>
      </w:r>
    </w:p>
    <w:p w14:paraId="69EC4DCF">
      <w:pPr>
        <w:pStyle w:val="11"/>
        <w:numPr>
          <w:ilvl w:val="0"/>
          <w:numId w:val="7"/>
        </w:numPr>
        <w:snapToGrid w:val="0"/>
        <w:spacing w:line="300" w:lineRule="auto"/>
        <w:ind w:firstLineChars="0"/>
        <w:rPr>
          <w:rFonts w:ascii="Arial" w:hAnsi="Arial" w:eastAsia="宋体" w:cs="Arial"/>
        </w:rPr>
      </w:pPr>
      <w:r>
        <w:rPr>
          <w:rFonts w:ascii="Arial" w:hAnsi="Arial" w:eastAsia="宋体" w:cs="Arial"/>
        </w:rPr>
        <w:t>炎症性肠病患者在疾病活动期（发炎）和非活动期间波动。在解释粪便钙卫蛋白的测定结果时，必须考虑所处时期。</w:t>
      </w:r>
    </w:p>
    <w:p w14:paraId="67B5B8A5">
      <w:pPr>
        <w:pStyle w:val="11"/>
        <w:numPr>
          <w:ilvl w:val="0"/>
          <w:numId w:val="7"/>
        </w:numPr>
        <w:snapToGrid w:val="0"/>
        <w:spacing w:line="300" w:lineRule="auto"/>
        <w:ind w:firstLineChars="0"/>
        <w:rPr>
          <w:rFonts w:ascii="Arial" w:hAnsi="Arial" w:eastAsia="宋体" w:cs="Arial"/>
        </w:rPr>
      </w:pPr>
      <w:r>
        <w:rPr>
          <w:rFonts w:ascii="Arial" w:hAnsi="Arial" w:eastAsia="宋体" w:cs="Arial"/>
        </w:rPr>
        <w:t>其它肠病（包括许多胃肠道感染和结直肠癌）可导致钙卫蛋白水平升高。因此，只有在患者其它诊断检测和整体临床状态的背景下才能做出活动性炎症性肠病的诊断。</w:t>
      </w:r>
    </w:p>
    <w:p w14:paraId="45FBA31B">
      <w:pPr>
        <w:pStyle w:val="11"/>
        <w:numPr>
          <w:ilvl w:val="0"/>
          <w:numId w:val="7"/>
        </w:numPr>
        <w:snapToGrid w:val="0"/>
        <w:spacing w:line="300" w:lineRule="auto"/>
        <w:ind w:firstLineChars="0"/>
        <w:rPr>
          <w:rFonts w:ascii="Arial" w:hAnsi="Arial" w:eastAsia="宋体" w:cs="Arial"/>
        </w:rPr>
      </w:pPr>
      <w:bookmarkStart w:id="49" w:name="OLE_LINK69"/>
      <w:bookmarkStart w:id="50" w:name="OLE_LINK70"/>
      <w:r>
        <w:rPr>
          <w:rFonts w:ascii="Arial" w:hAnsi="Arial" w:eastAsia="宋体" w:cs="Arial"/>
        </w:rPr>
        <w:t>粪便钙卫蛋白</w:t>
      </w:r>
      <w:bookmarkEnd w:id="49"/>
      <w:bookmarkEnd w:id="50"/>
      <w:r>
        <w:rPr>
          <w:rFonts w:ascii="Arial" w:hAnsi="Arial" w:eastAsia="宋体" w:cs="Arial"/>
        </w:rPr>
        <w:t>是粪便中存在嗜中性粒细胞的一个指标，对炎症性肠病不具有特异性。</w:t>
      </w:r>
    </w:p>
    <w:p w14:paraId="424136C7">
      <w:pPr>
        <w:snapToGrid w:val="0"/>
        <w:spacing w:line="300" w:lineRule="auto"/>
        <w:rPr>
          <w:rFonts w:ascii="Arial" w:hAnsi="Arial" w:eastAsia="宋体" w:cs="Arial"/>
        </w:rPr>
      </w:pPr>
    </w:p>
    <w:p w14:paraId="6D22BD2A">
      <w:pPr>
        <w:snapToGrid w:val="0"/>
        <w:spacing w:line="300" w:lineRule="auto"/>
        <w:rPr>
          <w:rFonts w:ascii="Arial" w:hAnsi="Arial" w:eastAsia="宋体" w:cs="Arial"/>
          <w:b/>
        </w:rPr>
      </w:pPr>
      <w:r>
        <w:rPr>
          <w:rFonts w:ascii="Arial" w:hAnsi="Arial" w:eastAsia="宋体" w:cs="Arial"/>
          <w:b/>
        </w:rPr>
        <w:t>性能特征</w:t>
      </w:r>
    </w:p>
    <w:p w14:paraId="334A9672">
      <w:pPr>
        <w:snapToGrid w:val="0"/>
        <w:spacing w:line="300" w:lineRule="auto"/>
        <w:rPr>
          <w:rFonts w:ascii="Arial" w:hAnsi="Arial" w:eastAsia="宋体" w:cs="Arial"/>
        </w:rPr>
      </w:pPr>
    </w:p>
    <w:p w14:paraId="0D9497F2">
      <w:pPr>
        <w:snapToGrid w:val="0"/>
        <w:spacing w:line="300" w:lineRule="auto"/>
        <w:rPr>
          <w:rFonts w:ascii="Arial" w:hAnsi="Arial" w:eastAsia="宋体" w:cs="Arial"/>
        </w:rPr>
      </w:pPr>
      <w:r>
        <w:rPr>
          <w:rFonts w:ascii="Arial" w:hAnsi="Arial" w:eastAsia="宋体" w:cs="Arial"/>
        </w:rPr>
        <w:t>贵公司应对第6-8节讨论的</w:t>
      </w:r>
      <w:bookmarkStart w:id="51" w:name="OLE_LINK99"/>
      <w:bookmarkStart w:id="52" w:name="OLE_LINK98"/>
      <w:r>
        <w:rPr>
          <w:rFonts w:ascii="Arial" w:hAnsi="Arial" w:eastAsia="宋体" w:cs="Arial"/>
        </w:rPr>
        <w:t>研究方案和</w:t>
      </w:r>
      <w:bookmarkEnd w:id="51"/>
      <w:bookmarkEnd w:id="52"/>
      <w:r>
        <w:rPr>
          <w:rFonts w:ascii="Arial" w:hAnsi="Arial" w:eastAsia="宋体" w:cs="Arial"/>
        </w:rPr>
        <w:t>对每种性能特征的研究结果做出描述。</w:t>
      </w:r>
    </w:p>
    <w:p w14:paraId="1E9C4425">
      <w:pPr>
        <w:snapToGrid w:val="0"/>
        <w:spacing w:line="300" w:lineRule="auto"/>
        <w:rPr>
          <w:rFonts w:ascii="Arial" w:hAnsi="Arial" w:eastAsia="宋体" w:cs="Arial"/>
        </w:rPr>
      </w:pPr>
    </w:p>
    <w:p w14:paraId="113A472F">
      <w:pPr>
        <w:snapToGrid w:val="0"/>
        <w:spacing w:line="300" w:lineRule="auto"/>
        <w:rPr>
          <w:rFonts w:ascii="Arial" w:hAnsi="Arial" w:eastAsia="宋体" w:cs="Arial"/>
        </w:rPr>
      </w:pPr>
    </w:p>
    <w:p w14:paraId="12132151">
      <w:pPr>
        <w:snapToGrid w:val="0"/>
        <w:spacing w:line="300" w:lineRule="auto"/>
        <w:rPr>
          <w:rFonts w:ascii="Arial" w:hAnsi="Arial" w:eastAsia="宋体" w:cs="Arial"/>
        </w:rPr>
      </w:pPr>
    </w:p>
    <w:p w14:paraId="3DA05735">
      <w:pPr>
        <w:snapToGrid w:val="0"/>
        <w:spacing w:line="300" w:lineRule="auto"/>
        <w:rPr>
          <w:rFonts w:ascii="Arial" w:hAnsi="Arial" w:eastAsia="宋体" w:cs="Arial"/>
        </w:rPr>
      </w:pPr>
    </w:p>
    <w:p w14:paraId="51974478">
      <w:pPr>
        <w:snapToGrid w:val="0"/>
        <w:spacing w:line="300" w:lineRule="auto"/>
        <w:jc w:val="left"/>
        <w:rPr>
          <w:rFonts w:hint="eastAsia" w:eastAsia="宋体"/>
          <w:lang w:eastAsia="zh-CN"/>
        </w:rPr>
      </w:pPr>
    </w:p>
    <w:p w14:paraId="1634B2A8">
      <w:pPr>
        <w:snapToGrid w:val="0"/>
        <w:spacing w:line="300" w:lineRule="auto"/>
        <w:jc w:val="center"/>
        <w:rPr>
          <w:rFonts w:hint="eastAsia" w:eastAsia="宋体"/>
          <w:lang w:eastAsia="zh-CN"/>
        </w:rPr>
      </w:pPr>
    </w:p>
    <w:p w14:paraId="56FA2EC1">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F07FA"/>
    <w:multiLevelType w:val="multilevel"/>
    <w:tmpl w:val="00EF07F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7A15BF1"/>
    <w:multiLevelType w:val="multilevel"/>
    <w:tmpl w:val="07A15BF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1A605D"/>
    <w:multiLevelType w:val="multilevel"/>
    <w:tmpl w:val="391A605D"/>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A850E5"/>
    <w:multiLevelType w:val="multilevel"/>
    <w:tmpl w:val="3BA850E5"/>
    <w:lvl w:ilvl="0" w:tentative="0">
      <w:start w:val="1"/>
      <w:numFmt w:val="bullet"/>
      <w:lvlText w:val=""/>
      <w:lvlJc w:val="left"/>
      <w:pPr>
        <w:ind w:left="420" w:hanging="420"/>
      </w:pPr>
      <w:rPr>
        <w:rFonts w:hint="default" w:ascii="Wingdings 2" w:hAnsi="Wingdings 2"/>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7731825"/>
    <w:multiLevelType w:val="multilevel"/>
    <w:tmpl w:val="5773182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DBD71FE"/>
    <w:multiLevelType w:val="multilevel"/>
    <w:tmpl w:val="5DBD71FE"/>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0A02E89"/>
    <w:multiLevelType w:val="multilevel"/>
    <w:tmpl w:val="60A02E8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D3"/>
    <w:rsid w:val="00000C13"/>
    <w:rsid w:val="000034DA"/>
    <w:rsid w:val="00003757"/>
    <w:rsid w:val="000260C3"/>
    <w:rsid w:val="00026210"/>
    <w:rsid w:val="00035536"/>
    <w:rsid w:val="000370CF"/>
    <w:rsid w:val="00046FE1"/>
    <w:rsid w:val="00047C7A"/>
    <w:rsid w:val="000718EC"/>
    <w:rsid w:val="000A21E4"/>
    <w:rsid w:val="000A6928"/>
    <w:rsid w:val="000B2A96"/>
    <w:rsid w:val="000B6A53"/>
    <w:rsid w:val="000C2E8F"/>
    <w:rsid w:val="000C546D"/>
    <w:rsid w:val="000E1F18"/>
    <w:rsid w:val="000E4353"/>
    <w:rsid w:val="000F3147"/>
    <w:rsid w:val="000F6159"/>
    <w:rsid w:val="00113CD7"/>
    <w:rsid w:val="0011420C"/>
    <w:rsid w:val="001145AD"/>
    <w:rsid w:val="00122A91"/>
    <w:rsid w:val="00144768"/>
    <w:rsid w:val="00150654"/>
    <w:rsid w:val="001758D1"/>
    <w:rsid w:val="00176F31"/>
    <w:rsid w:val="00186B2E"/>
    <w:rsid w:val="00194B7A"/>
    <w:rsid w:val="001A03F1"/>
    <w:rsid w:val="001A7ED7"/>
    <w:rsid w:val="001C1873"/>
    <w:rsid w:val="001E3EC8"/>
    <w:rsid w:val="001F1A3D"/>
    <w:rsid w:val="00221383"/>
    <w:rsid w:val="00221A6D"/>
    <w:rsid w:val="00233AB5"/>
    <w:rsid w:val="002349C1"/>
    <w:rsid w:val="00244E27"/>
    <w:rsid w:val="00261A53"/>
    <w:rsid w:val="002636F8"/>
    <w:rsid w:val="00271AB6"/>
    <w:rsid w:val="00275EB7"/>
    <w:rsid w:val="00276D7D"/>
    <w:rsid w:val="00281B46"/>
    <w:rsid w:val="002824AD"/>
    <w:rsid w:val="00293DC5"/>
    <w:rsid w:val="002969F5"/>
    <w:rsid w:val="002C3E27"/>
    <w:rsid w:val="002D0824"/>
    <w:rsid w:val="0030177D"/>
    <w:rsid w:val="0030304D"/>
    <w:rsid w:val="00304190"/>
    <w:rsid w:val="003074E4"/>
    <w:rsid w:val="00331C46"/>
    <w:rsid w:val="003338A2"/>
    <w:rsid w:val="0034075B"/>
    <w:rsid w:val="00387DBC"/>
    <w:rsid w:val="003A003A"/>
    <w:rsid w:val="003A00B0"/>
    <w:rsid w:val="003B3AFC"/>
    <w:rsid w:val="003D46F5"/>
    <w:rsid w:val="003E3EFD"/>
    <w:rsid w:val="00403BCD"/>
    <w:rsid w:val="00407D68"/>
    <w:rsid w:val="004150F0"/>
    <w:rsid w:val="00420022"/>
    <w:rsid w:val="004228E1"/>
    <w:rsid w:val="00424BE4"/>
    <w:rsid w:val="00430EC6"/>
    <w:rsid w:val="00434354"/>
    <w:rsid w:val="00444C95"/>
    <w:rsid w:val="00445C1A"/>
    <w:rsid w:val="0046369F"/>
    <w:rsid w:val="0047761D"/>
    <w:rsid w:val="00483D43"/>
    <w:rsid w:val="00494AC9"/>
    <w:rsid w:val="00497630"/>
    <w:rsid w:val="004D3826"/>
    <w:rsid w:val="004D40A7"/>
    <w:rsid w:val="004D7C57"/>
    <w:rsid w:val="004E137B"/>
    <w:rsid w:val="004F6B63"/>
    <w:rsid w:val="00533F6F"/>
    <w:rsid w:val="0054364E"/>
    <w:rsid w:val="00551706"/>
    <w:rsid w:val="005528AE"/>
    <w:rsid w:val="00556227"/>
    <w:rsid w:val="005564E0"/>
    <w:rsid w:val="00566599"/>
    <w:rsid w:val="00576D3C"/>
    <w:rsid w:val="0058127B"/>
    <w:rsid w:val="00593791"/>
    <w:rsid w:val="005C2CD3"/>
    <w:rsid w:val="005C3D38"/>
    <w:rsid w:val="005D6EB4"/>
    <w:rsid w:val="005E5DAD"/>
    <w:rsid w:val="005E65A4"/>
    <w:rsid w:val="005E7819"/>
    <w:rsid w:val="005F1E4F"/>
    <w:rsid w:val="005F35AE"/>
    <w:rsid w:val="005F410F"/>
    <w:rsid w:val="00603821"/>
    <w:rsid w:val="00611302"/>
    <w:rsid w:val="0062231C"/>
    <w:rsid w:val="00622EB3"/>
    <w:rsid w:val="006255CB"/>
    <w:rsid w:val="006360CA"/>
    <w:rsid w:val="00641638"/>
    <w:rsid w:val="00650AE5"/>
    <w:rsid w:val="00654D9E"/>
    <w:rsid w:val="00656DFF"/>
    <w:rsid w:val="0066409F"/>
    <w:rsid w:val="00664713"/>
    <w:rsid w:val="0069063B"/>
    <w:rsid w:val="006950C3"/>
    <w:rsid w:val="00697F82"/>
    <w:rsid w:val="006A336E"/>
    <w:rsid w:val="006A5330"/>
    <w:rsid w:val="006B056A"/>
    <w:rsid w:val="006C5166"/>
    <w:rsid w:val="006D1626"/>
    <w:rsid w:val="006E4B0E"/>
    <w:rsid w:val="006E53EF"/>
    <w:rsid w:val="006E7184"/>
    <w:rsid w:val="006E7568"/>
    <w:rsid w:val="006F5923"/>
    <w:rsid w:val="00701CF9"/>
    <w:rsid w:val="00734CE1"/>
    <w:rsid w:val="00745292"/>
    <w:rsid w:val="00752375"/>
    <w:rsid w:val="007754D8"/>
    <w:rsid w:val="0078430D"/>
    <w:rsid w:val="0079113B"/>
    <w:rsid w:val="00796C7C"/>
    <w:rsid w:val="007B168B"/>
    <w:rsid w:val="007B61BC"/>
    <w:rsid w:val="007E1BB1"/>
    <w:rsid w:val="007E2B49"/>
    <w:rsid w:val="007E4E4A"/>
    <w:rsid w:val="007F54E4"/>
    <w:rsid w:val="007F589D"/>
    <w:rsid w:val="00803580"/>
    <w:rsid w:val="00805614"/>
    <w:rsid w:val="008109DE"/>
    <w:rsid w:val="008247B6"/>
    <w:rsid w:val="00836435"/>
    <w:rsid w:val="00837F20"/>
    <w:rsid w:val="00843A9A"/>
    <w:rsid w:val="008463C9"/>
    <w:rsid w:val="00865214"/>
    <w:rsid w:val="008723B2"/>
    <w:rsid w:val="0088575B"/>
    <w:rsid w:val="008A56E7"/>
    <w:rsid w:val="008A5C79"/>
    <w:rsid w:val="008D1778"/>
    <w:rsid w:val="008D711D"/>
    <w:rsid w:val="008E69AD"/>
    <w:rsid w:val="008F43C4"/>
    <w:rsid w:val="00902907"/>
    <w:rsid w:val="0090657E"/>
    <w:rsid w:val="0095145D"/>
    <w:rsid w:val="009566D7"/>
    <w:rsid w:val="009642EF"/>
    <w:rsid w:val="009744B9"/>
    <w:rsid w:val="009754D0"/>
    <w:rsid w:val="00977E8B"/>
    <w:rsid w:val="009E3EB1"/>
    <w:rsid w:val="00A00371"/>
    <w:rsid w:val="00A04CD9"/>
    <w:rsid w:val="00A106B1"/>
    <w:rsid w:val="00A15176"/>
    <w:rsid w:val="00A2028D"/>
    <w:rsid w:val="00A27E53"/>
    <w:rsid w:val="00A7166D"/>
    <w:rsid w:val="00A80DE2"/>
    <w:rsid w:val="00A95867"/>
    <w:rsid w:val="00A95A58"/>
    <w:rsid w:val="00AB1E3C"/>
    <w:rsid w:val="00AD0857"/>
    <w:rsid w:val="00AD7612"/>
    <w:rsid w:val="00B167A2"/>
    <w:rsid w:val="00B44D7F"/>
    <w:rsid w:val="00B475D5"/>
    <w:rsid w:val="00B541D1"/>
    <w:rsid w:val="00B54ACE"/>
    <w:rsid w:val="00B57792"/>
    <w:rsid w:val="00B62883"/>
    <w:rsid w:val="00B6469A"/>
    <w:rsid w:val="00B72B50"/>
    <w:rsid w:val="00B74558"/>
    <w:rsid w:val="00B80EBF"/>
    <w:rsid w:val="00B948A2"/>
    <w:rsid w:val="00B96521"/>
    <w:rsid w:val="00BA06CA"/>
    <w:rsid w:val="00BA1074"/>
    <w:rsid w:val="00BB3E92"/>
    <w:rsid w:val="00BC482D"/>
    <w:rsid w:val="00BD5BD8"/>
    <w:rsid w:val="00BE6F54"/>
    <w:rsid w:val="00BF6D3F"/>
    <w:rsid w:val="00C161A6"/>
    <w:rsid w:val="00C347E4"/>
    <w:rsid w:val="00C40F9F"/>
    <w:rsid w:val="00C52B41"/>
    <w:rsid w:val="00C732A9"/>
    <w:rsid w:val="00C87324"/>
    <w:rsid w:val="00C87CB9"/>
    <w:rsid w:val="00C975A0"/>
    <w:rsid w:val="00C97905"/>
    <w:rsid w:val="00CA6C2E"/>
    <w:rsid w:val="00CA7218"/>
    <w:rsid w:val="00CB3576"/>
    <w:rsid w:val="00CC17E1"/>
    <w:rsid w:val="00D0276A"/>
    <w:rsid w:val="00D05293"/>
    <w:rsid w:val="00D055A9"/>
    <w:rsid w:val="00D11284"/>
    <w:rsid w:val="00D12049"/>
    <w:rsid w:val="00D466FC"/>
    <w:rsid w:val="00D5264C"/>
    <w:rsid w:val="00D73603"/>
    <w:rsid w:val="00D80B37"/>
    <w:rsid w:val="00DA2F62"/>
    <w:rsid w:val="00DA448D"/>
    <w:rsid w:val="00DD231F"/>
    <w:rsid w:val="00DE30AB"/>
    <w:rsid w:val="00DE3D57"/>
    <w:rsid w:val="00DE46A8"/>
    <w:rsid w:val="00DE4FD9"/>
    <w:rsid w:val="00DE630E"/>
    <w:rsid w:val="00DE7EAB"/>
    <w:rsid w:val="00DF1CA7"/>
    <w:rsid w:val="00DF39D6"/>
    <w:rsid w:val="00DF4DCA"/>
    <w:rsid w:val="00E10C72"/>
    <w:rsid w:val="00E17B85"/>
    <w:rsid w:val="00E2069D"/>
    <w:rsid w:val="00E4543C"/>
    <w:rsid w:val="00E47176"/>
    <w:rsid w:val="00E4786F"/>
    <w:rsid w:val="00E5086C"/>
    <w:rsid w:val="00E50D06"/>
    <w:rsid w:val="00E61242"/>
    <w:rsid w:val="00E6471A"/>
    <w:rsid w:val="00E650F6"/>
    <w:rsid w:val="00E846BA"/>
    <w:rsid w:val="00E877E1"/>
    <w:rsid w:val="00E90ED2"/>
    <w:rsid w:val="00E91917"/>
    <w:rsid w:val="00EA1CBE"/>
    <w:rsid w:val="00EA4969"/>
    <w:rsid w:val="00ED4926"/>
    <w:rsid w:val="00EE1FF3"/>
    <w:rsid w:val="00EE2D50"/>
    <w:rsid w:val="00F10D90"/>
    <w:rsid w:val="00F30D10"/>
    <w:rsid w:val="00F40743"/>
    <w:rsid w:val="00F46E5B"/>
    <w:rsid w:val="00F47D78"/>
    <w:rsid w:val="00F54584"/>
    <w:rsid w:val="00F601D9"/>
    <w:rsid w:val="00F60342"/>
    <w:rsid w:val="00F647C9"/>
    <w:rsid w:val="00F82855"/>
    <w:rsid w:val="00F8340E"/>
    <w:rsid w:val="00F90BB6"/>
    <w:rsid w:val="00F91E9D"/>
    <w:rsid w:val="00FB40B1"/>
    <w:rsid w:val="00FE6D6E"/>
    <w:rsid w:val="00FF4711"/>
    <w:rsid w:val="00FF7ED4"/>
    <w:rsid w:val="649B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74438-FE2D-4BB7-86E6-E0B05E65042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8099</Words>
  <Characters>8563</Characters>
  <Lines>62</Lines>
  <Paragraphs>17</Paragraphs>
  <TotalTime>0</TotalTime>
  <ScaleCrop>false</ScaleCrop>
  <LinksUpToDate>false</LinksUpToDate>
  <CharactersWithSpaces>8616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2017-04-10T03:42:00Z</dcterms:created>
  <dc:creator>BH</dc:creator>
  <cp:lastModifiedBy>太极箫客</cp:lastModifiedBy>
  <dcterms:modified xsi:type="dcterms:W3CDTF">2025-08-14T06:18:04Z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99A5AFF3981746E58292F08A1BAEE795_12</vt:lpwstr>
  </property>
</Properties>
</file>