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418D4">
      <w:pPr>
        <w:snapToGrid w:val="0"/>
        <w:spacing w:line="300" w:lineRule="auto"/>
        <w:jc w:val="center"/>
        <w:rPr>
          <w:rFonts w:ascii="Arial" w:hAnsi="Arial" w:eastAsia="宋体" w:cs="Arial"/>
          <w:b/>
        </w:rPr>
      </w:pPr>
      <w:bookmarkStart w:id="0" w:name="OLE_LINK38"/>
      <w:bookmarkStart w:id="1" w:name="OLE_LINK39"/>
      <w:bookmarkStart w:id="2" w:name="OLE_LINK40"/>
      <w:bookmarkStart w:id="3" w:name="OLE_LINK41"/>
      <w:bookmarkStart w:id="4" w:name="OLE_LINK35"/>
      <w:bookmarkStart w:id="5" w:name="OLE_LINK36"/>
      <w:bookmarkStart w:id="47" w:name="_GoBack"/>
      <w:bookmarkEnd w:id="47"/>
      <w:r>
        <w:rPr>
          <w:rFonts w:ascii="Arial" w:hAnsi="Arial" w:eastAsia="宋体" w:cs="Arial"/>
          <w:b/>
        </w:rPr>
        <w:t>行业和食品药品监督管理局工作人员指南</w:t>
      </w:r>
    </w:p>
    <w:bookmarkEnd w:id="0"/>
    <w:bookmarkEnd w:id="1"/>
    <w:p w14:paraId="08EA7645">
      <w:pPr>
        <w:snapToGrid w:val="0"/>
        <w:spacing w:line="300" w:lineRule="auto"/>
        <w:jc w:val="center"/>
        <w:rPr>
          <w:rFonts w:ascii="Arial" w:hAnsi="Arial" w:eastAsia="宋体" w:cs="Arial"/>
          <w:b/>
        </w:rPr>
      </w:pPr>
      <w:r>
        <w:rPr>
          <w:rFonts w:ascii="Arial" w:hAnsi="Arial" w:eastAsia="宋体" w:cs="Arial"/>
          <w:b/>
        </w:rPr>
        <w:t>－II类特殊控制指导性文件：甲胎蛋白L3免疫学检测系统</w:t>
      </w:r>
    </w:p>
    <w:bookmarkEnd w:id="2"/>
    <w:bookmarkEnd w:id="3"/>
    <w:p w14:paraId="02A6816A">
      <w:pPr>
        <w:snapToGrid w:val="0"/>
        <w:spacing w:line="300" w:lineRule="auto"/>
        <w:rPr>
          <w:rFonts w:ascii="Arial" w:hAnsi="Arial" w:eastAsia="宋体" w:cs="Arial"/>
          <w:b/>
        </w:rPr>
      </w:pPr>
    </w:p>
    <w:bookmarkEnd w:id="4"/>
    <w:bookmarkEnd w:id="5"/>
    <w:p w14:paraId="06F76082">
      <w:pPr>
        <w:snapToGrid w:val="0"/>
        <w:spacing w:line="300" w:lineRule="auto"/>
        <w:rPr>
          <w:rFonts w:ascii="Arial" w:hAnsi="Arial" w:eastAsia="宋体" w:cs="Arial"/>
        </w:rPr>
      </w:pPr>
      <w:r>
        <w:rPr>
          <w:rFonts w:ascii="Arial" w:hAnsi="Arial" w:eastAsia="宋体" w:cs="Arial"/>
        </w:rPr>
        <w:t>发布日期：2005年10月4日</w:t>
      </w:r>
    </w:p>
    <w:p w14:paraId="6CCE6284">
      <w:pPr>
        <w:snapToGrid w:val="0"/>
        <w:spacing w:line="300" w:lineRule="auto"/>
        <w:rPr>
          <w:rFonts w:ascii="Arial" w:hAnsi="Arial" w:eastAsia="宋体" w:cs="Arial"/>
        </w:rPr>
      </w:pPr>
    </w:p>
    <w:p w14:paraId="6B0F8A6D">
      <w:pPr>
        <w:snapToGrid w:val="0"/>
        <w:spacing w:line="300" w:lineRule="auto"/>
        <w:rPr>
          <w:rFonts w:ascii="Arial" w:hAnsi="Arial" w:eastAsia="宋体" w:cs="Arial"/>
        </w:rPr>
      </w:pPr>
      <w:r>
        <w:rPr>
          <w:rFonts w:ascii="Arial" w:hAnsi="Arial" w:eastAsia="宋体" w:cs="Arial"/>
        </w:rPr>
        <w:t>若对本文件有疑问，请与Donna Roscoe联系。联系电话：301-796-6183，电子信箱：</w:t>
      </w:r>
      <w:r>
        <w:rPr>
          <w:rFonts w:ascii="Arial" w:hAnsi="Arial" w:eastAsia="宋体" w:cs="Arial"/>
          <w:color w:val="800080"/>
          <w:u w:val="single"/>
        </w:rPr>
        <w:t>donna.roscoe@fda.hhs.gov</w:t>
      </w:r>
      <w:r>
        <w:rPr>
          <w:rFonts w:ascii="Arial" w:hAnsi="Arial" w:eastAsia="宋体" w:cs="Arial"/>
        </w:rPr>
        <w:t>。</w:t>
      </w:r>
    </w:p>
    <w:p w14:paraId="465A93C1">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168910</wp:posOffset>
                </wp:positionV>
                <wp:extent cx="1109980" cy="1074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9709" cy="107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2786A">
                            <w:r>
                              <w:rPr>
                                <w:rFonts w:ascii="Arial" w:hAnsi="Arial" w:eastAsia="宋体" w:cs="Arial"/>
                                <w:color w:val="000000"/>
                                <w:kern w:val="0"/>
                                <w:sz w:val="18"/>
                                <w:szCs w:val="18"/>
                              </w:rPr>
                              <w:drawing>
                                <wp:inline distT="0" distB="0" distL="0" distR="0">
                                  <wp:extent cx="920115" cy="948055"/>
                                  <wp:effectExtent l="0" t="0" r="0" b="4445"/>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0115" cy="94857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pt;height:84.6pt;width:87.4pt;z-index:251659264;mso-width-relative:page;mso-height-relative:page;" filled="f" stroked="f" coordsize="21600,21600" o:gfxdata="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yx1A2gAAAAgBAAAPAAAAAAAAAAEAIAAA&#10;ACIAAABkcnMvZG93bnJldi54bWxQSwECFAAUAAAACACHTuJAZ8SZ/0MCAAB1BAAADgAAAAAAAAAB&#10;ACAAAAApAQAAZHJzL2Uyb0RvYy54bWxQSwUGAAAAAAYABgBZAQAA3gUAAAAA&#10;">
                <v:fill on="f" focussize="0,0"/>
                <v:stroke on="f" weight="0.5pt"/>
                <v:imagedata o:title=""/>
                <o:lock v:ext="edit" aspectratio="f"/>
                <v:textbox>
                  <w:txbxContent>
                    <w:p w14:paraId="5BA2786A">
                      <w:r>
                        <w:rPr>
                          <w:rFonts w:ascii="Arial" w:hAnsi="Arial" w:eastAsia="宋体" w:cs="Arial"/>
                          <w:color w:val="000000"/>
                          <w:kern w:val="0"/>
                          <w:sz w:val="18"/>
                          <w:szCs w:val="18"/>
                        </w:rPr>
                        <w:drawing>
                          <wp:inline distT="0" distB="0" distL="0" distR="0">
                            <wp:extent cx="920115" cy="948055"/>
                            <wp:effectExtent l="0" t="0" r="0" b="4445"/>
                            <wp:docPr id="2" name="图片 2"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RH logo"/>
                                    <pic:cNvPicPr>
                                      <a:picLocks noChangeAspect="1" noChangeArrowheads="1"/>
                                    </pic:cNvPicPr>
                                  </pic:nvPicPr>
                                  <pic:blipFill>
                                    <a:blip r:embed="rId4"/>
                                    <a:srcRect/>
                                    <a:stretch>
                                      <a:fillRect/>
                                    </a:stretch>
                                  </pic:blipFill>
                                  <pic:spPr>
                                    <a:xfrm>
                                      <a:off x="0" y="0"/>
                                      <a:ext cx="920115" cy="948572"/>
                                    </a:xfrm>
                                    <a:prstGeom prst="rect">
                                      <a:avLst/>
                                    </a:prstGeom>
                                    <a:noFill/>
                                    <a:ln w="9525">
                                      <a:noFill/>
                                      <a:miter lim="800000"/>
                                      <a:headEnd/>
                                      <a:tailEnd/>
                                    </a:ln>
                                  </pic:spPr>
                                </pic:pic>
                              </a:graphicData>
                            </a:graphic>
                          </wp:inline>
                        </w:drawing>
                      </w:r>
                    </w:p>
                  </w:txbxContent>
                </v:textbox>
              </v:shape>
            </w:pict>
          </mc:Fallback>
        </mc:AlternateContent>
      </w:r>
    </w:p>
    <w:p w14:paraId="62C7E59E">
      <w:pPr>
        <w:snapToGrid w:val="0"/>
        <w:spacing w:line="300" w:lineRule="auto"/>
        <w:ind w:firstLine="1999" w:firstLineChars="948"/>
        <w:rPr>
          <w:rFonts w:ascii="Arial" w:hAnsi="Arial" w:eastAsia="宋体" w:cs="Arial"/>
          <w:b/>
        </w:rPr>
      </w:pPr>
      <w:r>
        <w:rPr>
          <w:rFonts w:ascii="Arial" w:hAnsi="Arial" w:eastAsia="宋体" w:cs="Arial"/>
          <w:b/>
        </w:rPr>
        <w:t>美国卫生</w:t>
      </w:r>
      <w:r>
        <w:rPr>
          <w:rFonts w:hint="eastAsia" w:ascii="Arial" w:hAnsi="Arial" w:eastAsia="宋体" w:cs="Arial"/>
          <w:b/>
        </w:rPr>
        <w:t>与</w:t>
      </w:r>
      <w:r>
        <w:rPr>
          <w:rFonts w:ascii="Arial" w:hAnsi="Arial" w:eastAsia="宋体" w:cs="Arial"/>
          <w:b/>
        </w:rPr>
        <w:t>公众服务部</w:t>
      </w:r>
    </w:p>
    <w:p w14:paraId="08A9858B">
      <w:pPr>
        <w:snapToGrid w:val="0"/>
        <w:spacing w:line="300" w:lineRule="auto"/>
        <w:ind w:firstLine="1999" w:firstLineChars="948"/>
        <w:rPr>
          <w:rFonts w:ascii="Arial" w:hAnsi="Arial" w:eastAsia="宋体" w:cs="Arial"/>
          <w:b/>
        </w:rPr>
      </w:pPr>
      <w:r>
        <w:rPr>
          <w:rFonts w:ascii="Arial" w:hAnsi="Arial" w:eastAsia="宋体" w:cs="Arial"/>
          <w:b/>
        </w:rPr>
        <w:t>食品药品监督管理局</w:t>
      </w:r>
    </w:p>
    <w:p w14:paraId="47437CFE">
      <w:pPr>
        <w:snapToGrid w:val="0"/>
        <w:spacing w:line="300" w:lineRule="auto"/>
        <w:ind w:firstLine="1999" w:firstLineChars="948"/>
        <w:rPr>
          <w:rFonts w:ascii="Arial" w:hAnsi="Arial" w:eastAsia="宋体" w:cs="Arial"/>
          <w:b/>
        </w:rPr>
      </w:pPr>
      <w:r>
        <w:rPr>
          <w:rFonts w:ascii="Arial" w:hAnsi="Arial" w:eastAsia="宋体" w:cs="Arial"/>
          <w:b/>
        </w:rPr>
        <w:t>器械</w:t>
      </w:r>
      <w:r>
        <w:rPr>
          <w:rFonts w:hint="eastAsia" w:ascii="Arial" w:hAnsi="Arial" w:eastAsia="宋体" w:cs="Arial"/>
          <w:b/>
        </w:rPr>
        <w:t>与</w:t>
      </w:r>
      <w:r>
        <w:rPr>
          <w:rFonts w:ascii="Arial" w:hAnsi="Arial" w:eastAsia="宋体" w:cs="Arial"/>
          <w:b/>
        </w:rPr>
        <w:t>放射健康中心</w:t>
      </w:r>
    </w:p>
    <w:p w14:paraId="68BA56D7">
      <w:pPr>
        <w:snapToGrid w:val="0"/>
        <w:spacing w:line="300" w:lineRule="auto"/>
        <w:ind w:firstLine="1999" w:firstLineChars="948"/>
        <w:rPr>
          <w:rFonts w:ascii="Arial" w:hAnsi="Arial" w:eastAsia="宋体" w:cs="Arial"/>
          <w:b/>
        </w:rPr>
      </w:pPr>
      <w:r>
        <w:rPr>
          <w:rFonts w:ascii="Arial" w:hAnsi="Arial" w:eastAsia="宋体" w:cs="Arial"/>
          <w:b/>
        </w:rPr>
        <w:t>体外诊断器械评估和安全办公室</w:t>
      </w:r>
    </w:p>
    <w:p w14:paraId="68CE85FC">
      <w:pPr>
        <w:snapToGrid w:val="0"/>
        <w:spacing w:line="300" w:lineRule="auto"/>
        <w:ind w:firstLine="1999" w:firstLineChars="948"/>
        <w:rPr>
          <w:rFonts w:ascii="Arial" w:hAnsi="Arial" w:eastAsia="宋体" w:cs="Arial"/>
          <w:b/>
        </w:rPr>
      </w:pPr>
      <w:r>
        <w:rPr>
          <w:rFonts w:ascii="Arial" w:hAnsi="Arial" w:eastAsia="宋体" w:cs="Arial"/>
          <w:b/>
        </w:rPr>
        <w:t>免疫学和血液学器械部</w:t>
      </w:r>
    </w:p>
    <w:p w14:paraId="37E2A26A">
      <w:pPr>
        <w:snapToGrid w:val="0"/>
        <w:spacing w:line="300" w:lineRule="auto"/>
        <w:rPr>
          <w:rFonts w:ascii="Arial" w:hAnsi="Arial" w:eastAsia="宋体" w:cs="Arial"/>
        </w:rPr>
      </w:pPr>
    </w:p>
    <w:p w14:paraId="066DF0FC">
      <w:pPr>
        <w:snapToGrid w:val="0"/>
        <w:spacing w:line="300" w:lineRule="auto"/>
        <w:rPr>
          <w:rFonts w:ascii="Arial" w:hAnsi="Arial" w:eastAsia="宋体" w:cs="Arial"/>
        </w:rPr>
      </w:pPr>
      <w:r>
        <w:rPr>
          <w:rFonts w:ascii="Arial" w:hAnsi="Arial" w:eastAsia="宋体" w:cs="Arial"/>
          <w:b/>
        </w:rPr>
        <w:t>前言</w:t>
      </w:r>
    </w:p>
    <w:p w14:paraId="32FE3078">
      <w:pPr>
        <w:snapToGrid w:val="0"/>
        <w:spacing w:line="300" w:lineRule="auto"/>
        <w:rPr>
          <w:rFonts w:ascii="Arial" w:hAnsi="Arial" w:eastAsia="宋体" w:cs="Arial"/>
          <w:b/>
        </w:rPr>
      </w:pPr>
      <w:r>
        <w:rPr>
          <w:rFonts w:ascii="Arial" w:hAnsi="Arial" w:eastAsia="宋体" w:cs="Arial"/>
          <w:b/>
        </w:rPr>
        <w:t>公众评论：</w:t>
      </w:r>
    </w:p>
    <w:p w14:paraId="051CC986">
      <w:pPr>
        <w:snapToGrid w:val="0"/>
        <w:spacing w:line="300" w:lineRule="auto"/>
        <w:rPr>
          <w:rFonts w:ascii="Arial" w:hAnsi="Arial" w:eastAsia="宋体" w:cs="Arial"/>
        </w:rPr>
      </w:pPr>
    </w:p>
    <w:p w14:paraId="685F960C">
      <w:pPr>
        <w:snapToGrid w:val="0"/>
        <w:spacing w:line="300" w:lineRule="auto"/>
        <w:rPr>
          <w:rFonts w:ascii="Arial" w:hAnsi="Arial" w:eastAsia="宋体" w:cs="Arial"/>
        </w:rPr>
      </w:pPr>
      <w:r>
        <w:rPr>
          <w:rFonts w:ascii="Arial" w:hAnsi="Arial" w:eastAsia="宋体" w:cs="Arial"/>
        </w:rPr>
        <w:t>若有书面评论和建议可随时提交至食品药品监督管理局文档管理部</w:t>
      </w:r>
      <w:r>
        <w:rPr>
          <w:rFonts w:hint="eastAsia" w:ascii="Arial" w:hAnsi="Arial" w:eastAsia="宋体" w:cs="Arial"/>
        </w:rPr>
        <w:t>，</w:t>
      </w:r>
      <w:r>
        <w:rPr>
          <w:rFonts w:ascii="Arial" w:hAnsi="Arial" w:eastAsia="宋体" w:cs="Arial"/>
        </w:rPr>
        <w:t>供机构考虑。通讯地址：</w:t>
      </w:r>
      <w:r>
        <w:rPr>
          <w:rFonts w:ascii="Arial" w:hAnsi="Arial" w:eastAsia="宋体" w:cs="Arial"/>
          <w:kern w:val="0"/>
        </w:rPr>
        <w:t>5630 Fishers Lane，Room 1061，（HFA-305），Rockville，MD，20852</w:t>
      </w:r>
      <w:r>
        <w:rPr>
          <w:rFonts w:ascii="Arial" w:hAnsi="Arial" w:eastAsia="宋体" w:cs="Arial"/>
        </w:rPr>
        <w:t>。若为电子评论可提交至Regulations.gov网站。提交评论时，请注明文档编号2005D-0342。</w:t>
      </w:r>
      <w:r>
        <w:rPr>
          <w:rFonts w:hint="eastAsia" w:ascii="Arial" w:hAnsi="Arial" w:eastAsia="宋体" w:cs="Arial"/>
        </w:rPr>
        <w:t>可能直到文件下次修订或更新时，评论才会被机构受理。</w:t>
      </w:r>
    </w:p>
    <w:p w14:paraId="1C522038">
      <w:pPr>
        <w:snapToGrid w:val="0"/>
        <w:spacing w:line="300" w:lineRule="auto"/>
        <w:rPr>
          <w:rFonts w:ascii="Arial" w:hAnsi="Arial" w:eastAsia="宋体" w:cs="Arial"/>
        </w:rPr>
      </w:pPr>
    </w:p>
    <w:p w14:paraId="593FCB1F">
      <w:pPr>
        <w:snapToGrid w:val="0"/>
        <w:spacing w:line="300" w:lineRule="auto"/>
        <w:rPr>
          <w:rFonts w:ascii="Arial" w:hAnsi="Arial" w:eastAsia="宋体" w:cs="Arial"/>
          <w:b/>
        </w:rPr>
      </w:pPr>
      <w:r>
        <w:rPr>
          <w:rFonts w:ascii="Arial" w:hAnsi="Arial" w:eastAsia="宋体" w:cs="Arial"/>
          <w:b/>
        </w:rPr>
        <w:t>其他副本</w:t>
      </w:r>
    </w:p>
    <w:p w14:paraId="5A19974E">
      <w:pPr>
        <w:snapToGrid w:val="0"/>
        <w:spacing w:line="300" w:lineRule="auto"/>
        <w:rPr>
          <w:rFonts w:ascii="Arial" w:hAnsi="Arial" w:eastAsia="宋体" w:cs="Arial"/>
        </w:rPr>
      </w:pPr>
    </w:p>
    <w:p w14:paraId="6266A950">
      <w:pPr>
        <w:snapToGrid w:val="0"/>
        <w:spacing w:line="300" w:lineRule="auto"/>
        <w:rPr>
          <w:rFonts w:ascii="Arial" w:hAnsi="Arial" w:eastAsia="宋体" w:cs="Arial"/>
        </w:rPr>
      </w:pPr>
      <w:r>
        <w:rPr>
          <w:rFonts w:ascii="Arial" w:hAnsi="Arial" w:eastAsia="宋体" w:cs="Arial"/>
        </w:rPr>
        <w:t>其他副本可在因特网上下载。贵公司还可发送电邮申请至todsmica@fda.hhs.gov获取本指导性文件的电子副本或发送传真申请至301-827-8149获取复印件。请用文件编号（1570）确认贵公司索取的指导性文件。</w:t>
      </w:r>
    </w:p>
    <w:p w14:paraId="537B0C7D">
      <w:pPr>
        <w:snapToGrid w:val="0"/>
        <w:spacing w:line="300" w:lineRule="auto"/>
        <w:rPr>
          <w:rFonts w:ascii="Arial" w:hAnsi="Arial" w:eastAsia="宋体" w:cs="Arial"/>
        </w:rPr>
      </w:pPr>
    </w:p>
    <w:p w14:paraId="6099F014">
      <w:pPr>
        <w:snapToGrid w:val="0"/>
        <w:spacing w:line="300" w:lineRule="auto"/>
        <w:rPr>
          <w:rFonts w:ascii="Arial" w:hAnsi="Arial" w:eastAsia="宋体" w:cs="Arial"/>
        </w:rPr>
      </w:pPr>
    </w:p>
    <w:p w14:paraId="205E320D">
      <w:pPr>
        <w:snapToGrid w:val="0"/>
        <w:spacing w:line="300" w:lineRule="auto"/>
        <w:rPr>
          <w:rFonts w:ascii="Arial" w:hAnsi="Arial" w:eastAsia="宋体" w:cs="Arial"/>
          <w:b/>
        </w:rPr>
      </w:pPr>
      <w:r>
        <w:rPr>
          <w:rFonts w:ascii="Arial" w:hAnsi="Arial" w:eastAsia="宋体" w:cs="Arial"/>
          <w:b/>
        </w:rPr>
        <w:t>目录</w:t>
      </w:r>
    </w:p>
    <w:p w14:paraId="7F9866C5">
      <w:pPr>
        <w:snapToGrid w:val="0"/>
        <w:spacing w:line="300" w:lineRule="auto"/>
        <w:rPr>
          <w:rFonts w:ascii="Arial" w:hAnsi="Arial" w:eastAsia="宋体" w:cs="Arial"/>
        </w:rPr>
      </w:pPr>
    </w:p>
    <w:p w14:paraId="2DCAEF62">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前言</w:t>
      </w:r>
    </w:p>
    <w:p w14:paraId="4A82FC4F">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背景</w:t>
      </w:r>
    </w:p>
    <w:p w14:paraId="55322022">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简化510（k）提交资料的内容和格式</w:t>
      </w:r>
    </w:p>
    <w:p w14:paraId="560CC033">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适用范围</w:t>
      </w:r>
    </w:p>
    <w:p w14:paraId="60293666">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健康风险</w:t>
      </w:r>
    </w:p>
    <w:p w14:paraId="64091789">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器械描述</w:t>
      </w:r>
    </w:p>
    <w:p w14:paraId="5ED7F50F">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性能特征</w:t>
      </w:r>
    </w:p>
    <w:p w14:paraId="2AE31C08">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方法比较</w:t>
      </w:r>
    </w:p>
    <w:p w14:paraId="63897D0A">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预期值</w:t>
      </w:r>
    </w:p>
    <w:p w14:paraId="00E9DA06">
      <w:pPr>
        <w:pStyle w:val="12"/>
        <w:numPr>
          <w:ilvl w:val="0"/>
          <w:numId w:val="1"/>
        </w:numPr>
        <w:snapToGrid w:val="0"/>
        <w:spacing w:line="300" w:lineRule="auto"/>
        <w:ind w:firstLineChars="0"/>
        <w:rPr>
          <w:rFonts w:ascii="Arial" w:hAnsi="Arial" w:eastAsia="宋体" w:cs="Arial"/>
          <w:color w:val="800080"/>
          <w:u w:val="single"/>
        </w:rPr>
      </w:pPr>
      <w:r>
        <w:rPr>
          <w:rFonts w:ascii="Arial" w:hAnsi="Arial" w:eastAsia="宋体" w:cs="Arial"/>
          <w:color w:val="800080"/>
          <w:u w:val="single"/>
        </w:rPr>
        <w:t>标签</w:t>
      </w:r>
    </w:p>
    <w:p w14:paraId="6BEF408E">
      <w:pPr>
        <w:widowControl/>
        <w:jc w:val="left"/>
        <w:rPr>
          <w:rFonts w:ascii="Arial" w:hAnsi="Arial" w:eastAsia="宋体" w:cs="Arial"/>
          <w:b/>
        </w:rPr>
      </w:pPr>
      <w:r>
        <w:rPr>
          <w:rFonts w:ascii="Arial" w:hAnsi="Arial" w:eastAsia="宋体" w:cs="Arial"/>
          <w:b/>
        </w:rPr>
        <w:br w:type="page"/>
      </w:r>
    </w:p>
    <w:p w14:paraId="2A0B4F1F">
      <w:pPr>
        <w:snapToGrid w:val="0"/>
        <w:spacing w:line="300" w:lineRule="auto"/>
        <w:rPr>
          <w:rFonts w:ascii="Arial" w:hAnsi="Arial" w:eastAsia="宋体" w:cs="Arial"/>
          <w:b/>
        </w:rPr>
      </w:pPr>
      <w:r>
        <w:rPr>
          <w:rFonts w:ascii="Arial" w:hAnsi="Arial" w:eastAsia="宋体" w:cs="Arial"/>
          <w:b/>
        </w:rPr>
        <w:t>行业和食品药品监督管理局工作人员指南</w:t>
      </w:r>
    </w:p>
    <w:p w14:paraId="1E791A22">
      <w:pPr>
        <w:snapToGrid w:val="0"/>
        <w:spacing w:line="300" w:lineRule="auto"/>
        <w:ind w:firstLine="420" w:firstLineChars="200"/>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165735</wp:posOffset>
                </wp:positionV>
                <wp:extent cx="5247005" cy="0"/>
                <wp:effectExtent l="0" t="0" r="30480" b="19050"/>
                <wp:wrapNone/>
                <wp:docPr id="3" name="直接连接符 3"/>
                <wp:cNvGraphicFramePr/>
                <a:graphic xmlns:a="http://schemas.openxmlformats.org/drawingml/2006/main">
                  <a:graphicData uri="http://schemas.microsoft.com/office/word/2010/wordprocessingShape">
                    <wps:wsp>
                      <wps:cNvCnPr/>
                      <wps:spPr>
                        <a:xfrm>
                          <a:off x="0" y="0"/>
                          <a:ext cx="5246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13.05pt;height:0pt;width:413.15pt;z-index:251660288;mso-width-relative:page;mso-height-relative:page;" filled="f" stroked="t" coordsize="21600,21600" o:gfxdata="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eujn/UAAAABwEAAA8AAAAAAAAAAQAg&#10;AAAAIgAAAGRycy9kb3ducmV2LnhtbFBLAQIUABQAAAAIAIdO4kBF3EEI2QEAAJoDAAAOAAAAAAAA&#10;AAEAIAAAACMBAABkcnMvZTJvRG9jLnhtbFBLBQYAAAAABgAGAFkBAABuBQAAAAA=&#10;">
                <v:fill on="f" focussize="0,0"/>
                <v:stroke color="#000000 [3213]" joinstyle="round"/>
                <v:imagedata o:title=""/>
                <o:lock v:ext="edit" aspectratio="f"/>
              </v:line>
            </w:pict>
          </mc:Fallback>
        </mc:AlternateContent>
      </w:r>
    </w:p>
    <w:p w14:paraId="5BD15EE6">
      <w:pPr>
        <w:snapToGrid w:val="0"/>
        <w:spacing w:line="300" w:lineRule="auto"/>
        <w:ind w:firstLine="420" w:firstLineChars="200"/>
        <w:rPr>
          <w:rFonts w:ascii="Arial" w:hAnsi="Arial" w:eastAsia="宋体" w:cs="Arial"/>
        </w:rPr>
      </w:pPr>
    </w:p>
    <w:p w14:paraId="0D3C3959">
      <w:pPr>
        <w:snapToGrid w:val="0"/>
        <w:spacing w:line="300" w:lineRule="auto"/>
        <w:rPr>
          <w:rFonts w:ascii="Arial" w:hAnsi="Arial" w:eastAsia="宋体" w:cs="Arial"/>
          <w:b/>
        </w:rPr>
      </w:pPr>
      <w:r>
        <w:rPr>
          <w:rFonts w:ascii="Arial" w:hAnsi="Arial" w:eastAsia="宋体" w:cs="Arial"/>
          <w:b/>
        </w:rPr>
        <w:t>II类特殊控制指导性文件：甲胎蛋白L3％免疫学检测系统</w:t>
      </w:r>
    </w:p>
    <w:p w14:paraId="2FB10497">
      <w:pPr>
        <w:snapToGrid w:val="0"/>
        <w:spacing w:line="300" w:lineRule="auto"/>
        <w:rPr>
          <w:rFonts w:ascii="Arial" w:hAnsi="Arial" w:eastAsia="宋体" w:cs="Arial"/>
          <w:b/>
        </w:rPr>
      </w:pPr>
    </w:p>
    <w:p w14:paraId="3D732A80">
      <w:pPr>
        <w:snapToGrid w:val="0"/>
        <w:spacing w:line="300" w:lineRule="auto"/>
        <w:rPr>
          <w:rFonts w:ascii="Arial" w:hAnsi="Arial" w:eastAsia="宋体" w:cs="Arial"/>
          <w:b/>
        </w:rPr>
      </w:pPr>
      <w:r>
        <w:rPr>
          <w:rFonts w:ascii="Arial" w:hAnsi="Arial" w:eastAsia="宋体" w:cs="Arial"/>
          <w:b/>
        </w:rPr>
        <w:t>1. 前言</w:t>
      </w:r>
    </w:p>
    <w:p w14:paraId="2ABE48CB">
      <w:pPr>
        <w:snapToGrid w:val="0"/>
        <w:spacing w:line="300" w:lineRule="auto"/>
        <w:rPr>
          <w:rFonts w:ascii="Arial" w:hAnsi="Arial" w:eastAsia="宋体" w:cs="Arial"/>
        </w:rPr>
      </w:pPr>
    </w:p>
    <w:p w14:paraId="4D4DA273">
      <w:pPr>
        <w:snapToGrid w:val="0"/>
        <w:spacing w:line="300" w:lineRule="auto"/>
        <w:rPr>
          <w:rFonts w:ascii="Arial" w:hAnsi="Arial" w:eastAsia="宋体" w:cs="Arial"/>
        </w:rPr>
      </w:pPr>
      <w:r>
        <w:rPr>
          <w:rFonts w:ascii="Arial" w:hAnsi="Arial" w:eastAsia="宋体" w:cs="Arial"/>
        </w:rPr>
        <w:t>本指导性文件是作为特殊控制指导而编制的，目的是支持将</w:t>
      </w:r>
      <w:bookmarkStart w:id="6" w:name="OLE_LINK46"/>
      <w:bookmarkStart w:id="7" w:name="OLE_LINK45"/>
      <w:r>
        <w:rPr>
          <w:rFonts w:ascii="Arial" w:hAnsi="Arial" w:eastAsia="宋体" w:cs="Arial"/>
        </w:rPr>
        <w:t>甲胎蛋白L3％</w:t>
      </w:r>
      <w:bookmarkEnd w:id="6"/>
      <w:bookmarkEnd w:id="7"/>
      <w:r>
        <w:rPr>
          <w:rFonts w:ascii="Arial" w:hAnsi="Arial" w:eastAsia="宋体" w:cs="Arial"/>
        </w:rPr>
        <w:t>（甲胎蛋白L3亚组分占甲胎蛋白总量的百分比）免疫学检测系统归入II类器械（特殊控制）。</w:t>
      </w:r>
      <w:bookmarkStart w:id="8" w:name="OLE_LINK53"/>
      <w:bookmarkStart w:id="9" w:name="OLE_LINK54"/>
      <w:bookmarkStart w:id="10" w:name="OLE_LINK91"/>
      <w:bookmarkStart w:id="11" w:name="OLE_LINK90"/>
      <w:r>
        <w:rPr>
          <w:rFonts w:ascii="Arial" w:hAnsi="Arial" w:eastAsia="宋体" w:cs="Arial"/>
        </w:rPr>
        <w:t>甲胎蛋白L3％免疫学检测系统</w:t>
      </w:r>
      <w:bookmarkEnd w:id="8"/>
      <w:bookmarkEnd w:id="9"/>
      <w:r>
        <w:rPr>
          <w:rFonts w:ascii="Arial" w:hAnsi="Arial" w:eastAsia="宋体" w:cs="Arial"/>
        </w:rPr>
        <w:t>是由若干试剂和一台自动化器械组成的一种体外诊断器械。该器械采用免疫化学技术定量测定人血清中的甲胎蛋白和甲胎蛋白L3亚组分。该器械在慢性肝病患者发生肝细胞癌的风险评定中拟作为一种辅助手段并结合其它实验室检验结果、影像研究和临床评估进行肝细胞癌的体外诊断。</w:t>
      </w:r>
    </w:p>
    <w:bookmarkEnd w:id="10"/>
    <w:bookmarkEnd w:id="11"/>
    <w:p w14:paraId="5EE5D23D">
      <w:pPr>
        <w:snapToGrid w:val="0"/>
        <w:spacing w:line="300" w:lineRule="auto"/>
        <w:rPr>
          <w:rFonts w:ascii="Arial" w:hAnsi="Arial" w:eastAsia="宋体" w:cs="Arial"/>
        </w:rPr>
      </w:pPr>
    </w:p>
    <w:p w14:paraId="54B87410">
      <w:pPr>
        <w:snapToGrid w:val="0"/>
        <w:spacing w:line="300" w:lineRule="auto"/>
        <w:rPr>
          <w:rFonts w:ascii="Arial" w:hAnsi="Arial" w:eastAsia="宋体" w:cs="Arial"/>
        </w:rPr>
      </w:pPr>
      <w:r>
        <w:rPr>
          <w:rFonts w:ascii="Arial" w:hAnsi="Arial" w:eastAsia="宋体" w:cs="Arial"/>
        </w:rPr>
        <w:t>本指导性文件将与联邦公报的通告同时发布，籍此宣布</w:t>
      </w:r>
      <w:bookmarkStart w:id="12" w:name="OLE_LINK56"/>
      <w:bookmarkStart w:id="13" w:name="OLE_LINK55"/>
      <w:bookmarkStart w:id="14" w:name="OLE_LINK16"/>
      <w:r>
        <w:rPr>
          <w:rFonts w:ascii="Arial" w:hAnsi="Arial" w:eastAsia="宋体" w:cs="Arial"/>
        </w:rPr>
        <w:t>甲胎蛋白L3％免疫学检测系统</w:t>
      </w:r>
      <w:bookmarkEnd w:id="12"/>
      <w:bookmarkEnd w:id="13"/>
      <w:bookmarkEnd w:id="14"/>
      <w:r>
        <w:rPr>
          <w:rFonts w:ascii="Arial" w:hAnsi="Arial" w:eastAsia="宋体" w:cs="Arial"/>
        </w:rPr>
        <w:t>的分类。提交甲胎蛋白L3％免疫学检测系统510（k）（上市前通告）提交资料的任何公司均需对本特殊控制指南所包含的问题予以妥善解决。公司必须说明其器械解决了本指南识别的安全性和有效性问题。其解决问题的方式既可按照本指导性文件提供的推荐规范，亦可采用能提供安全性和有效性等同保证的某些其它方法。</w:t>
      </w:r>
    </w:p>
    <w:p w14:paraId="40CE6064">
      <w:pPr>
        <w:snapToGrid w:val="0"/>
        <w:spacing w:line="300" w:lineRule="auto"/>
        <w:rPr>
          <w:rFonts w:ascii="Arial" w:hAnsi="Arial" w:eastAsia="宋体" w:cs="Arial"/>
        </w:rPr>
      </w:pPr>
    </w:p>
    <w:p w14:paraId="08936681">
      <w:pPr>
        <w:snapToGrid w:val="0"/>
        <w:spacing w:line="300" w:lineRule="auto"/>
        <w:rPr>
          <w:rFonts w:ascii="Arial" w:hAnsi="Arial" w:eastAsia="宋体" w:cs="Arial"/>
          <w:b/>
        </w:rPr>
      </w:pPr>
      <w:r>
        <w:rPr>
          <w:rFonts w:ascii="Arial" w:hAnsi="Arial" w:eastAsia="宋体" w:cs="Arial"/>
          <w:b/>
        </w:rPr>
        <w:t>最小负担法</w:t>
      </w:r>
    </w:p>
    <w:p w14:paraId="16DC8B62">
      <w:pPr>
        <w:snapToGrid w:val="0"/>
        <w:spacing w:line="300" w:lineRule="auto"/>
        <w:rPr>
          <w:rFonts w:ascii="Arial" w:hAnsi="Arial" w:eastAsia="宋体" w:cs="Arial"/>
        </w:rPr>
      </w:pPr>
    </w:p>
    <w:p w14:paraId="166C42AF">
      <w:pPr>
        <w:snapToGrid w:val="0"/>
        <w:spacing w:line="300" w:lineRule="auto"/>
        <w:rPr>
          <w:rFonts w:ascii="Arial" w:hAnsi="Arial" w:eastAsia="宋体" w:cs="Arial"/>
        </w:rPr>
      </w:pPr>
      <w:r>
        <w:rPr>
          <w:rFonts w:ascii="Arial" w:hAnsi="Arial" w:eastAsia="宋体" w:cs="Arial"/>
        </w:rPr>
        <w:t>本指导性文件确认的问题是我们认为贵公司的器械上市前必须解决的问题。在编制本指南的过程中，我们仔细考虑了机构决策采用的相关法规标准。另外，我们还考虑了贵公司在采用本指导性文件建议的方式努力按照法定监管标准并努力解决我们所确认问题的过程中可能产生的负担。我们认为我们已考虑采用最小负担法解决本指导性文件呈现的问题。然而，如果贵公司认为有负担更小的方法可用于解决这些问题，应遵守“</w:t>
      </w:r>
      <w:r>
        <w:rPr>
          <w:rFonts w:ascii="Arial" w:hAnsi="Arial" w:eastAsia="宋体" w:cs="Arial"/>
          <w:color w:val="800080"/>
          <w:u w:val="single"/>
        </w:rPr>
        <w:t>解决最小负担问题的一个建议方法</w:t>
      </w:r>
      <w:r>
        <w:rPr>
          <w:rFonts w:ascii="Arial" w:hAnsi="Arial" w:eastAsia="宋体" w:cs="Arial"/>
        </w:rPr>
        <w:t>”文件中描述的规程予以实施。</w:t>
      </w:r>
    </w:p>
    <w:p w14:paraId="14E0FA7A">
      <w:pPr>
        <w:snapToGrid w:val="0"/>
        <w:spacing w:line="300" w:lineRule="auto"/>
        <w:rPr>
          <w:rFonts w:ascii="Arial" w:hAnsi="Arial" w:eastAsia="宋体" w:cs="Arial"/>
        </w:rPr>
      </w:pPr>
    </w:p>
    <w:p w14:paraId="7C7DAE78">
      <w:pPr>
        <w:snapToGrid w:val="0"/>
        <w:spacing w:line="300" w:lineRule="auto"/>
        <w:rPr>
          <w:rFonts w:ascii="Arial" w:hAnsi="Arial" w:eastAsia="宋体" w:cs="Arial"/>
          <w:b/>
        </w:rPr>
      </w:pPr>
      <w:r>
        <w:rPr>
          <w:rFonts w:ascii="Arial" w:hAnsi="Arial" w:eastAsia="宋体" w:cs="Arial"/>
          <w:b/>
        </w:rPr>
        <w:t>2. 背景</w:t>
      </w:r>
    </w:p>
    <w:p w14:paraId="41E9049F">
      <w:pPr>
        <w:snapToGrid w:val="0"/>
        <w:spacing w:line="300" w:lineRule="auto"/>
        <w:rPr>
          <w:rFonts w:ascii="Arial" w:hAnsi="Arial" w:eastAsia="宋体" w:cs="Arial"/>
        </w:rPr>
      </w:pPr>
    </w:p>
    <w:p w14:paraId="5AB142BC">
      <w:pPr>
        <w:snapToGrid w:val="0"/>
        <w:spacing w:line="300" w:lineRule="auto"/>
        <w:rPr>
          <w:rFonts w:ascii="Arial" w:hAnsi="Arial" w:eastAsia="宋体" w:cs="Arial"/>
        </w:rPr>
      </w:pPr>
      <w:r>
        <w:rPr>
          <w:rFonts w:ascii="Arial" w:hAnsi="Arial" w:eastAsia="宋体" w:cs="Arial"/>
        </w:rPr>
        <w:t>食品药品监督管理局认为，特殊控制措施与通用控制措施相结合可对</w:t>
      </w:r>
      <w:bookmarkStart w:id="15" w:name="OLE_LINK18"/>
      <w:r>
        <w:rPr>
          <w:rFonts w:ascii="Arial" w:hAnsi="Arial" w:eastAsia="宋体" w:cs="Arial"/>
        </w:rPr>
        <w:t>甲胎蛋白L3％免疫学检测系统</w:t>
      </w:r>
      <w:bookmarkEnd w:id="15"/>
      <w:r>
        <w:rPr>
          <w:rFonts w:ascii="Arial" w:hAnsi="Arial" w:eastAsia="宋体" w:cs="Arial"/>
        </w:rPr>
        <w:t>的安全性和有效性提供合理保证。拟销售该类型器械的制造商应（1）按照联邦食品、药品和化妆品法案（法案）规定的通用控制要求，包括</w:t>
      </w:r>
      <w:r>
        <w:rPr>
          <w:rFonts w:ascii="Arial" w:hAnsi="Arial" w:eastAsia="宋体" w:cs="Arial"/>
          <w:color w:val="800080"/>
          <w:u w:val="single"/>
        </w:rPr>
        <w:t>21 CFR 第807</w:t>
      </w:r>
      <w:r>
        <w:rPr>
          <w:rFonts w:ascii="Arial" w:hAnsi="Arial" w:eastAsia="宋体" w:cs="Arial"/>
        </w:rPr>
        <w:t>部分第E子部分描述的上市前通告要求，（2）解决本指导性文件识别的与该器械有关的特定健康风险，（3）于销售该器械前获得食品药品监督管理局做出的实质等同认定。</w:t>
      </w:r>
    </w:p>
    <w:p w14:paraId="5EC53270">
      <w:pPr>
        <w:snapToGrid w:val="0"/>
        <w:spacing w:line="300" w:lineRule="auto"/>
        <w:rPr>
          <w:rFonts w:ascii="Arial" w:hAnsi="Arial" w:eastAsia="宋体" w:cs="Arial"/>
        </w:rPr>
      </w:pPr>
    </w:p>
    <w:p w14:paraId="34AE7680">
      <w:pPr>
        <w:snapToGrid w:val="0"/>
        <w:spacing w:line="300" w:lineRule="auto"/>
        <w:rPr>
          <w:rFonts w:ascii="Arial" w:hAnsi="Arial" w:eastAsia="宋体" w:cs="Arial"/>
        </w:rPr>
      </w:pPr>
      <w:r>
        <w:rPr>
          <w:rFonts w:ascii="Arial" w:hAnsi="Arial" w:eastAsia="宋体" w:cs="Arial"/>
        </w:rPr>
        <w:t>本指导性文件识别了</w:t>
      </w:r>
      <w:bookmarkStart w:id="16" w:name="OLE_LINK89"/>
      <w:bookmarkStart w:id="17" w:name="OLE_LINK88"/>
      <w:r>
        <w:rPr>
          <w:rFonts w:ascii="Arial" w:hAnsi="Arial" w:eastAsia="宋体" w:cs="Arial"/>
        </w:rPr>
        <w:t>甲胎蛋白L3％免疫学检测系统</w:t>
      </w:r>
      <w:bookmarkEnd w:id="16"/>
      <w:bookmarkEnd w:id="17"/>
      <w:r>
        <w:rPr>
          <w:rFonts w:ascii="Arial" w:hAnsi="Arial" w:eastAsia="宋体" w:cs="Arial"/>
        </w:rPr>
        <w:t>的分类规则和产品代码（参考第4节－适用范围）。另外，本指导性文件在其它部分列出了食品药品监督管理局确认的健康风险并描述了相应的控制措施。制造商若按照这些措施并与通用控制措施相结合，通常可解决与这些系统相关的健康风险并可使510（k）提交资料及时获得审查和许可。本指导性文件在上市前通告提交资料所含特殊内容要求方面弥补了食品药品监督管理局其它文件的不足之处。贵公司还应参考</w:t>
      </w:r>
      <w:r>
        <w:rPr>
          <w:rFonts w:ascii="Arial" w:hAnsi="Arial" w:eastAsia="宋体" w:cs="Arial"/>
          <w:color w:val="800080"/>
          <w:u w:val="single"/>
        </w:rPr>
        <w:t>21 CFR 807.87</w:t>
      </w:r>
      <w:r>
        <w:rPr>
          <w:rFonts w:ascii="Arial" w:hAnsi="Arial" w:eastAsia="宋体" w:cs="Arial"/>
        </w:rPr>
        <w:t>和食品药品监督管理局关于该主题的其它文件，如上市前通告510（k）。</w:t>
      </w:r>
    </w:p>
    <w:p w14:paraId="5782F7FC">
      <w:pPr>
        <w:snapToGrid w:val="0"/>
        <w:spacing w:line="300" w:lineRule="auto"/>
        <w:rPr>
          <w:rFonts w:ascii="Arial" w:hAnsi="Arial" w:eastAsia="宋体" w:cs="Arial"/>
        </w:rPr>
      </w:pPr>
    </w:p>
    <w:p w14:paraId="344B6289">
      <w:pPr>
        <w:snapToGrid w:val="0"/>
        <w:spacing w:line="300" w:lineRule="auto"/>
        <w:rPr>
          <w:rFonts w:ascii="Arial" w:hAnsi="Arial" w:eastAsia="宋体" w:cs="Arial"/>
        </w:rPr>
      </w:pPr>
      <w:r>
        <w:rPr>
          <w:rFonts w:ascii="Arial" w:hAnsi="Arial" w:eastAsia="宋体" w:cs="Arial"/>
        </w:rPr>
        <w:t>如“</w:t>
      </w:r>
      <w:r>
        <w:rPr>
          <w:rFonts w:ascii="Arial" w:hAnsi="Arial" w:eastAsia="宋体" w:cs="Arial"/>
          <w:b/>
        </w:rPr>
        <w:t>新510（k）范本－在上市前通告中证明实质等同的替代方法；最终指南</w:t>
      </w:r>
      <w:r>
        <w:rPr>
          <w:rFonts w:ascii="Arial" w:hAnsi="Arial" w:eastAsia="宋体" w:cs="Arial"/>
        </w:rPr>
        <w:t>”所述</w:t>
      </w:r>
      <w:r>
        <w:rPr>
          <w:rFonts w:ascii="Arial" w:hAnsi="Arial" w:eastAsia="宋体" w:cs="Arial"/>
          <w:vertAlign w:val="superscript"/>
        </w:rPr>
        <w:t>1</w:t>
      </w:r>
      <w:r>
        <w:rPr>
          <w:rFonts w:ascii="Arial" w:hAnsi="Arial" w:eastAsia="宋体" w:cs="Arial"/>
        </w:rPr>
        <w:t>，制造商既可提交传统510（k）提交资料，亦可提交简化510（k）提交资料。食品药品监督管理局认为，简化510（k）提交资料提供了证明新器械实质等同的最小负担法，食品药品监督管理局发布了指导性文件后尤其如此。该指导性文件提供了在提交器械提交资料时应解决哪些问题的推荐规范。另外，考虑对获得许可器械进行修改的制造商提交特殊510（k）提交资料可减轻法规负担。</w:t>
      </w:r>
    </w:p>
    <w:p w14:paraId="44AF2B00">
      <w:pPr>
        <w:snapToGrid w:val="0"/>
        <w:spacing w:line="300" w:lineRule="auto"/>
        <w:rPr>
          <w:rFonts w:ascii="Arial" w:hAnsi="Arial" w:eastAsia="宋体" w:cs="Arial"/>
        </w:rPr>
      </w:pPr>
    </w:p>
    <w:p w14:paraId="2141594B">
      <w:pPr>
        <w:snapToGrid w:val="0"/>
        <w:spacing w:line="300" w:lineRule="auto"/>
        <w:rPr>
          <w:rFonts w:ascii="Arial" w:hAnsi="Arial" w:eastAsia="宋体" w:cs="Arial"/>
          <w:b/>
        </w:rPr>
      </w:pPr>
      <w:r>
        <w:rPr>
          <w:rFonts w:ascii="Arial" w:hAnsi="Arial" w:eastAsia="宋体" w:cs="Arial"/>
          <w:b/>
        </w:rPr>
        <w:t>3. 简化510（k）提交资料的内容和格式</w:t>
      </w:r>
    </w:p>
    <w:p w14:paraId="664D4301">
      <w:pPr>
        <w:snapToGrid w:val="0"/>
        <w:spacing w:line="300" w:lineRule="auto"/>
        <w:rPr>
          <w:rFonts w:ascii="Arial" w:hAnsi="Arial" w:eastAsia="宋体" w:cs="Arial"/>
        </w:rPr>
      </w:pPr>
    </w:p>
    <w:p w14:paraId="68133260">
      <w:pPr>
        <w:snapToGrid w:val="0"/>
        <w:spacing w:line="300" w:lineRule="auto"/>
        <w:rPr>
          <w:rFonts w:ascii="Arial" w:hAnsi="Arial" w:eastAsia="宋体" w:cs="Arial"/>
        </w:rPr>
      </w:pPr>
      <w:r>
        <w:rPr>
          <w:rFonts w:ascii="Arial" w:hAnsi="Arial" w:eastAsia="宋体" w:cs="Arial"/>
        </w:rPr>
        <w:t>简化510（k）提交资料必须包括21 CFR 807.87确认的必要元素（包括足以描述器械、预期用途和使用说明的拟定标签）。对简化510（k）提交资料，食品药品监督管理局会考虑总结报告的内容是否适当支持了21 CFR 807.87(f)或(g)意图之内的数据。因此，我们建议贵公司在该文件中包括总结报告。该报告应对器械开发和检测期间如何使用本指导性文件做出说明并描述所用方法或实验。报告还应包括实验数据汇总或对验收标准的描述。验收标准适用于处理本文件确认的健康风险以及贵公司的器械所特有的任何其它风险。本节提供信息的目的是为了满足807.87部分的某些要求以及我们建议贵公司将其包含在简化510（k）提交资料中的某些其它要求。</w:t>
      </w:r>
    </w:p>
    <w:p w14:paraId="29222A4F">
      <w:pPr>
        <w:snapToGrid w:val="0"/>
        <w:spacing w:line="300" w:lineRule="auto"/>
        <w:rPr>
          <w:rFonts w:ascii="Arial" w:hAnsi="Arial" w:eastAsia="宋体" w:cs="Arial"/>
        </w:rPr>
      </w:pPr>
    </w:p>
    <w:p w14:paraId="05BA1174">
      <w:pPr>
        <w:snapToGrid w:val="0"/>
        <w:spacing w:line="300" w:lineRule="auto"/>
        <w:rPr>
          <w:rFonts w:ascii="Arial" w:hAnsi="Arial" w:eastAsia="宋体" w:cs="Arial"/>
          <w:b/>
        </w:rPr>
      </w:pPr>
      <w:r>
        <w:rPr>
          <w:rFonts w:ascii="Arial" w:hAnsi="Arial" w:eastAsia="宋体" w:cs="Arial"/>
          <w:b/>
        </w:rPr>
        <w:t>封面</w:t>
      </w:r>
    </w:p>
    <w:p w14:paraId="077BEC0F">
      <w:pPr>
        <w:snapToGrid w:val="0"/>
        <w:spacing w:line="300" w:lineRule="auto"/>
        <w:rPr>
          <w:rFonts w:ascii="Arial" w:hAnsi="Arial" w:eastAsia="宋体" w:cs="Arial"/>
        </w:rPr>
      </w:pPr>
    </w:p>
    <w:p w14:paraId="021B5046">
      <w:pPr>
        <w:snapToGrid w:val="0"/>
        <w:spacing w:line="300" w:lineRule="auto"/>
        <w:rPr>
          <w:rFonts w:ascii="Arial" w:hAnsi="Arial" w:eastAsia="宋体" w:cs="Arial"/>
        </w:rPr>
      </w:pPr>
      <w:r>
        <w:rPr>
          <w:rFonts w:ascii="Arial" w:hAnsi="Arial" w:eastAsia="宋体" w:cs="Arial"/>
        </w:rPr>
        <w:t>在封面上应以醒目方式显示本提交资料为简化510（k）提交资料并注明本指导性文件的标题。</w:t>
      </w:r>
    </w:p>
    <w:p w14:paraId="35110CF4">
      <w:pPr>
        <w:snapToGrid w:val="0"/>
        <w:spacing w:line="300" w:lineRule="auto"/>
        <w:rPr>
          <w:rFonts w:ascii="Arial" w:hAnsi="Arial" w:eastAsia="宋体" w:cs="Arial"/>
        </w:rPr>
      </w:pPr>
    </w:p>
    <w:p w14:paraId="058DEA2F">
      <w:pPr>
        <w:snapToGrid w:val="0"/>
        <w:spacing w:line="300" w:lineRule="auto"/>
        <w:rPr>
          <w:rFonts w:ascii="Arial" w:hAnsi="Arial" w:eastAsia="宋体" w:cs="Arial"/>
          <w:b/>
        </w:rPr>
      </w:pPr>
      <w:r>
        <w:rPr>
          <w:rFonts w:ascii="Arial" w:hAnsi="Arial" w:eastAsia="宋体" w:cs="Arial"/>
          <w:b/>
        </w:rPr>
        <w:t>拟定标签</w:t>
      </w:r>
    </w:p>
    <w:p w14:paraId="5CF4C500">
      <w:pPr>
        <w:snapToGrid w:val="0"/>
        <w:spacing w:line="300" w:lineRule="auto"/>
        <w:rPr>
          <w:rFonts w:ascii="Arial" w:hAnsi="Arial" w:eastAsia="宋体" w:cs="Arial"/>
        </w:rPr>
      </w:pPr>
    </w:p>
    <w:p w14:paraId="04F0031F">
      <w:pPr>
        <w:snapToGrid w:val="0"/>
        <w:spacing w:line="300" w:lineRule="auto"/>
        <w:rPr>
          <w:rFonts w:ascii="Arial" w:hAnsi="Arial" w:eastAsia="宋体" w:cs="Arial"/>
        </w:rPr>
      </w:pPr>
      <w:r>
        <w:rPr>
          <w:rFonts w:ascii="Arial" w:hAnsi="Arial" w:eastAsia="宋体" w:cs="Arial"/>
        </w:rPr>
        <w:t>拟定标签应足以描述该器械、其预期用途和使用说明（</w:t>
      </w:r>
      <w:bookmarkStart w:id="18" w:name="OLE_LINK4"/>
      <w:bookmarkStart w:id="19" w:name="OLE_LINK3"/>
      <w:bookmarkStart w:id="20" w:name="OLE_LINK1"/>
      <w:r>
        <w:rPr>
          <w:rFonts w:ascii="Arial" w:hAnsi="Arial" w:eastAsia="宋体" w:cs="Arial"/>
        </w:rPr>
        <w:t>具体信息见第10节，贵公司应将这些具体信息包含在该类型器械的标签中</w:t>
      </w:r>
      <w:bookmarkEnd w:id="18"/>
      <w:bookmarkEnd w:id="19"/>
      <w:bookmarkEnd w:id="20"/>
      <w:r>
        <w:rPr>
          <w:rFonts w:ascii="Arial" w:hAnsi="Arial" w:eastAsia="宋体" w:cs="Arial"/>
        </w:rPr>
        <w:t>）。</w:t>
      </w:r>
    </w:p>
    <w:p w14:paraId="2A65E0E6">
      <w:pPr>
        <w:snapToGrid w:val="0"/>
        <w:spacing w:line="300" w:lineRule="auto"/>
        <w:rPr>
          <w:rFonts w:ascii="Arial" w:hAnsi="Arial" w:eastAsia="宋体" w:cs="Arial"/>
        </w:rPr>
      </w:pPr>
    </w:p>
    <w:p w14:paraId="5E750712">
      <w:pPr>
        <w:snapToGrid w:val="0"/>
        <w:spacing w:line="300" w:lineRule="auto"/>
        <w:rPr>
          <w:rFonts w:ascii="Arial" w:hAnsi="Arial" w:eastAsia="宋体" w:cs="Arial"/>
          <w:b/>
        </w:rPr>
      </w:pPr>
      <w:r>
        <w:rPr>
          <w:rFonts w:ascii="Arial" w:hAnsi="Arial" w:eastAsia="宋体" w:cs="Arial"/>
          <w:b/>
        </w:rPr>
        <w:t>总结报告</w:t>
      </w:r>
    </w:p>
    <w:p w14:paraId="4F93ACED">
      <w:pPr>
        <w:snapToGrid w:val="0"/>
        <w:spacing w:line="300" w:lineRule="auto"/>
        <w:rPr>
          <w:rFonts w:ascii="Arial" w:hAnsi="Arial" w:eastAsia="宋体" w:cs="Arial"/>
        </w:rPr>
      </w:pPr>
    </w:p>
    <w:p w14:paraId="673EBD3E">
      <w:pPr>
        <w:snapToGrid w:val="0"/>
        <w:spacing w:line="300" w:lineRule="auto"/>
        <w:rPr>
          <w:rFonts w:ascii="Arial" w:hAnsi="Arial" w:eastAsia="宋体" w:cs="Arial"/>
        </w:rPr>
      </w:pPr>
      <w:r>
        <w:rPr>
          <w:rFonts w:ascii="Arial" w:hAnsi="Arial" w:eastAsia="宋体" w:cs="Arial"/>
        </w:rPr>
        <w:t>我们建议在总结报告中包含下列内容：</w:t>
      </w:r>
    </w:p>
    <w:p w14:paraId="0FA34C79">
      <w:pPr>
        <w:snapToGrid w:val="0"/>
        <w:spacing w:line="300" w:lineRule="auto"/>
        <w:rPr>
          <w:rFonts w:ascii="Arial" w:hAnsi="Arial" w:eastAsia="宋体" w:cs="Arial"/>
        </w:rPr>
      </w:pPr>
    </w:p>
    <w:p w14:paraId="7FE2B669">
      <w:pPr>
        <w:pStyle w:val="12"/>
        <w:numPr>
          <w:ilvl w:val="0"/>
          <w:numId w:val="2"/>
        </w:numPr>
        <w:snapToGrid w:val="0"/>
        <w:spacing w:line="300" w:lineRule="auto"/>
        <w:ind w:firstLineChars="0"/>
        <w:rPr>
          <w:rFonts w:ascii="Arial" w:hAnsi="Arial" w:eastAsia="宋体" w:cs="Arial"/>
        </w:rPr>
      </w:pPr>
      <w:r>
        <w:rPr>
          <w:rFonts w:ascii="Arial" w:hAnsi="Arial" w:eastAsia="宋体" w:cs="Arial"/>
        </w:rPr>
        <w:t>对该器械及其预期用途的描述。贵公司还应提交一份“适应症”附件。</w:t>
      </w:r>
      <w:r>
        <w:rPr>
          <w:rFonts w:ascii="Arial" w:hAnsi="Arial" w:eastAsia="宋体" w:cs="Arial"/>
          <w:vertAlign w:val="superscript"/>
        </w:rPr>
        <w:t>2</w:t>
      </w:r>
    </w:p>
    <w:p w14:paraId="35805615">
      <w:pPr>
        <w:pStyle w:val="12"/>
        <w:numPr>
          <w:ilvl w:val="0"/>
          <w:numId w:val="2"/>
        </w:numPr>
        <w:snapToGrid w:val="0"/>
        <w:spacing w:line="300" w:lineRule="auto"/>
        <w:ind w:firstLineChars="0"/>
        <w:rPr>
          <w:rFonts w:ascii="Arial" w:hAnsi="Arial" w:eastAsia="宋体" w:cs="Arial"/>
        </w:rPr>
      </w:pPr>
      <w:r>
        <w:rPr>
          <w:rFonts w:ascii="Arial" w:hAnsi="Arial" w:eastAsia="宋体" w:cs="Arial"/>
        </w:rPr>
        <w:t>对器械设计的描述。我们建议在描述中包含对性能参数的全面讨论，适当的时候还要包含该器械详细、有标识的草图。</w:t>
      </w:r>
    </w:p>
    <w:p w14:paraId="00E1DB34">
      <w:pPr>
        <w:pStyle w:val="12"/>
        <w:numPr>
          <w:ilvl w:val="0"/>
          <w:numId w:val="2"/>
        </w:numPr>
        <w:snapToGrid w:val="0"/>
        <w:spacing w:line="300" w:lineRule="auto"/>
        <w:ind w:firstLineChars="0"/>
        <w:rPr>
          <w:rFonts w:ascii="Arial" w:hAnsi="Arial" w:eastAsia="宋体" w:cs="Arial"/>
        </w:rPr>
      </w:pPr>
      <w:r>
        <w:rPr>
          <w:rFonts w:ascii="Arial" w:hAnsi="Arial" w:eastAsia="宋体" w:cs="Arial"/>
        </w:rPr>
        <w:t>对风险分析方法的确认。通常采用这些方法评定风险状况以及具体器械的设计和分析结果（通常与使用该器械有关的健康风险见</w:t>
      </w:r>
      <w:r>
        <w:rPr>
          <w:rFonts w:ascii="Arial" w:hAnsi="Arial" w:eastAsia="宋体" w:cs="Arial"/>
          <w:color w:val="800080"/>
          <w:u w:val="single"/>
        </w:rPr>
        <w:t>第5节</w:t>
      </w:r>
      <w:r>
        <w:rPr>
          <w:rFonts w:ascii="Arial" w:hAnsi="Arial" w:eastAsia="宋体" w:cs="Arial"/>
        </w:rPr>
        <w:t>）。</w:t>
      </w:r>
    </w:p>
    <w:p w14:paraId="30CBB8A1">
      <w:pPr>
        <w:pStyle w:val="12"/>
        <w:numPr>
          <w:ilvl w:val="0"/>
          <w:numId w:val="2"/>
        </w:numPr>
        <w:snapToGrid w:val="0"/>
        <w:spacing w:line="300" w:lineRule="auto"/>
        <w:ind w:firstLineChars="0"/>
        <w:rPr>
          <w:rFonts w:ascii="Arial" w:hAnsi="Arial" w:eastAsia="宋体" w:cs="Arial"/>
        </w:rPr>
      </w:pPr>
      <w:r>
        <w:rPr>
          <w:rFonts w:ascii="Arial" w:hAnsi="Arial" w:eastAsia="宋体" w:cs="Arial"/>
        </w:rPr>
        <w:t>对器械特征的讨论。利用这些特征可解决本指导性文件识别的风险问题以及在贵公司的风险分析中识别的任何其它风险问题。</w:t>
      </w:r>
    </w:p>
    <w:p w14:paraId="15F4FEF0">
      <w:pPr>
        <w:pStyle w:val="12"/>
        <w:numPr>
          <w:ilvl w:val="0"/>
          <w:numId w:val="2"/>
        </w:numPr>
        <w:snapToGrid w:val="0"/>
        <w:spacing w:line="300" w:lineRule="auto"/>
        <w:ind w:firstLineChars="0"/>
        <w:rPr>
          <w:rFonts w:ascii="Arial" w:hAnsi="Arial" w:eastAsia="宋体" w:cs="Arial"/>
        </w:rPr>
      </w:pPr>
      <w:r>
        <w:rPr>
          <w:rFonts w:ascii="Arial" w:hAnsi="Arial" w:eastAsia="宋体" w:cs="Arial"/>
        </w:rPr>
        <w:t>对检验方法的简要描述。贵公司已经使用或打算使用这些方法解决本指导性文件第7-9节识别的每个性能问题。如果贵公司按照所建议的检验方法进行了检验，可引用该方法而不需对其进行描述。如果贵公司对所建议的检验方法做过更改，可引用该方法，但应提供足够信息对更改的性质和理由做出解释。对每种检验方法，贵公司既可（1）以清晰、简洁的方式（如表格）呈现检验产生的数据，亦可（2）描述将要用于自身检验结果的验收标准</w:t>
      </w:r>
      <w:r>
        <w:rPr>
          <w:rFonts w:ascii="Arial" w:hAnsi="Arial" w:eastAsia="宋体" w:cs="Arial"/>
          <w:vertAlign w:val="superscript"/>
        </w:rPr>
        <w:t>3</w:t>
      </w:r>
      <w:r>
        <w:rPr>
          <w:rFonts w:ascii="Arial" w:hAnsi="Arial" w:eastAsia="宋体" w:cs="Arial"/>
        </w:rPr>
        <w:t>（亦见</w:t>
      </w:r>
      <w:r>
        <w:rPr>
          <w:rFonts w:ascii="Arial" w:hAnsi="Arial" w:eastAsia="宋体" w:cs="Arial"/>
          <w:color w:val="800080"/>
          <w:u w:val="single"/>
        </w:rPr>
        <w:t>21 CFR 820.30</w:t>
      </w:r>
      <w:r>
        <w:rPr>
          <w:rFonts w:ascii="Arial" w:hAnsi="Arial" w:eastAsia="宋体" w:cs="Arial"/>
        </w:rPr>
        <w:t>第Ｃ子部分－适用于质量体系法规的设计控制）。</w:t>
      </w:r>
    </w:p>
    <w:p w14:paraId="79DAD589">
      <w:pPr>
        <w:pStyle w:val="12"/>
        <w:numPr>
          <w:ilvl w:val="0"/>
          <w:numId w:val="2"/>
        </w:numPr>
        <w:snapToGrid w:val="0"/>
        <w:spacing w:line="300" w:lineRule="auto"/>
        <w:ind w:firstLineChars="0"/>
        <w:rPr>
          <w:rFonts w:ascii="Arial" w:hAnsi="Arial" w:eastAsia="宋体" w:cs="Arial"/>
        </w:rPr>
      </w:pPr>
      <w:r>
        <w:rPr>
          <w:rFonts w:ascii="Arial" w:hAnsi="Arial" w:eastAsia="宋体" w:cs="Arial"/>
        </w:rPr>
        <w:t>如果贵公司决定器械设计或检测的任何部分都依赖一个公认标准，贵公司既可包含（１）产品上市前贵公司将进行检测且检测将满足规定验收标准的陈述，亦可包含（２）符合该标准的声明。</w:t>
      </w:r>
      <w:r>
        <w:rPr>
          <w:rFonts w:ascii="Arial" w:hAnsi="Arial" w:eastAsia="宋体" w:cs="Arial"/>
          <w:vertAlign w:val="superscript"/>
        </w:rPr>
        <w:t>４</w:t>
      </w:r>
      <w:r>
        <w:rPr>
          <w:rFonts w:ascii="Arial" w:hAnsi="Arial" w:eastAsia="宋体" w:cs="Arial"/>
        </w:rPr>
        <w:t>由于符合声明建立在检测结果的基础之上，我们认为贵公司在完成该标准描述的检测之前无法正确提交符合声明。若欲了解更多信息，请参考上述法案的第514(c)(1)(B)部分和食品药品监督管理局指南“</w:t>
      </w:r>
      <w:r>
        <w:rPr>
          <w:rFonts w:ascii="Arial" w:hAnsi="Arial" w:eastAsia="宋体" w:cs="Arial"/>
          <w:b/>
          <w:color w:val="800080"/>
        </w:rPr>
        <w:t>标准在实质等同认定过程中的应用；行业和食品药品监督管理局用最终指南指南</w:t>
      </w:r>
      <w:r>
        <w:rPr>
          <w:rFonts w:ascii="Arial" w:hAnsi="Arial" w:eastAsia="宋体" w:cs="Arial"/>
        </w:rPr>
        <w:t>”。</w:t>
      </w:r>
    </w:p>
    <w:p w14:paraId="617D98BD">
      <w:pPr>
        <w:snapToGrid w:val="0"/>
        <w:spacing w:line="300" w:lineRule="auto"/>
        <w:rPr>
          <w:rFonts w:ascii="Arial" w:hAnsi="Arial" w:eastAsia="宋体" w:cs="Arial"/>
        </w:rPr>
      </w:pPr>
    </w:p>
    <w:p w14:paraId="667A9C28">
      <w:pPr>
        <w:snapToGrid w:val="0"/>
        <w:spacing w:line="300" w:lineRule="auto"/>
        <w:rPr>
          <w:rFonts w:ascii="Arial" w:hAnsi="Arial" w:eastAsia="宋体" w:cs="Arial"/>
        </w:rPr>
      </w:pPr>
      <w:r>
        <w:rPr>
          <w:rFonts w:ascii="Arial" w:hAnsi="Arial" w:eastAsia="宋体" w:cs="Arial"/>
        </w:rPr>
        <w:t>对于食品药品监督管理局确认的风险或贵公司在风险分析过程中确认的风险，如果贵公司不清楚是如何处理的，我们可以要求贵公司提供关于器械性能特征各方面的其它信息。如果需要其它信息用来评估贵公司所用验收标准是否合适，我们亦会要求贵公司予以提供（根据21 CFR 807.87(l)的规定，我们可以要求贵公司提供做出实质等同认定所必需的任何其它信息）。</w:t>
      </w:r>
    </w:p>
    <w:p w14:paraId="4C95D1C2">
      <w:pPr>
        <w:snapToGrid w:val="0"/>
        <w:spacing w:line="300" w:lineRule="auto"/>
        <w:rPr>
          <w:rFonts w:ascii="Arial" w:hAnsi="Arial" w:eastAsia="宋体" w:cs="Arial"/>
        </w:rPr>
      </w:pPr>
    </w:p>
    <w:p w14:paraId="4AD014F2">
      <w:pPr>
        <w:snapToGrid w:val="0"/>
        <w:spacing w:line="300" w:lineRule="auto"/>
        <w:rPr>
          <w:rFonts w:ascii="Arial" w:hAnsi="Arial" w:eastAsia="宋体" w:cs="Arial"/>
        </w:rPr>
      </w:pPr>
      <w:r>
        <w:rPr>
          <w:rFonts w:ascii="Arial" w:hAnsi="Arial" w:eastAsia="宋体" w:cs="Arial"/>
        </w:rPr>
        <w:t>作为提交简化510（k）提交资料的替代办法，贵公司可提交传统510（k）提交资料。该版本的文件可提供21 CFR 807.87规定要求并在本指导南中描述的所有信息与数据。传统510（k）提交资料中应包含贵公司所用的方法、数据、验收标准和结论。考虑对获得许可器械进行更改的制造商应考虑提交特殊510（k）提交资料。</w:t>
      </w:r>
    </w:p>
    <w:p w14:paraId="593F0342">
      <w:pPr>
        <w:snapToGrid w:val="0"/>
        <w:spacing w:line="300" w:lineRule="auto"/>
        <w:rPr>
          <w:rFonts w:ascii="Arial" w:hAnsi="Arial" w:eastAsia="宋体" w:cs="Arial"/>
        </w:rPr>
      </w:pPr>
    </w:p>
    <w:p w14:paraId="4C0DF127">
      <w:pPr>
        <w:snapToGrid w:val="0"/>
        <w:spacing w:line="300" w:lineRule="auto"/>
        <w:rPr>
          <w:rFonts w:ascii="Arial" w:hAnsi="Arial" w:eastAsia="宋体" w:cs="Arial"/>
          <w:b/>
        </w:rPr>
      </w:pPr>
      <w:r>
        <w:rPr>
          <w:rFonts w:ascii="Arial" w:hAnsi="Arial" w:eastAsia="宋体" w:cs="Arial"/>
          <w:b/>
        </w:rPr>
        <w:t>4. 适用范围</w:t>
      </w:r>
    </w:p>
    <w:p w14:paraId="2D7F0A2C">
      <w:pPr>
        <w:snapToGrid w:val="0"/>
        <w:spacing w:line="300" w:lineRule="auto"/>
        <w:rPr>
          <w:rFonts w:ascii="Arial" w:hAnsi="Arial" w:eastAsia="宋体" w:cs="Arial"/>
        </w:rPr>
      </w:pPr>
    </w:p>
    <w:p w14:paraId="597AB3A1">
      <w:pPr>
        <w:snapToGrid w:val="0"/>
        <w:spacing w:line="300" w:lineRule="auto"/>
        <w:rPr>
          <w:rFonts w:ascii="Arial" w:hAnsi="Arial" w:eastAsia="宋体" w:cs="Arial"/>
        </w:rPr>
      </w:pPr>
      <w:r>
        <w:rPr>
          <w:rFonts w:ascii="Arial" w:hAnsi="Arial" w:eastAsia="宋体" w:cs="Arial"/>
        </w:rPr>
        <w:t>本文件的适用范围限于在21 CFR 866.6030中描述的下列器械（产品代码：NSF）：</w:t>
      </w:r>
    </w:p>
    <w:p w14:paraId="414FC950">
      <w:pPr>
        <w:snapToGrid w:val="0"/>
        <w:spacing w:line="300" w:lineRule="auto"/>
        <w:rPr>
          <w:rFonts w:ascii="Arial" w:hAnsi="Arial" w:eastAsia="宋体" w:cs="Arial"/>
        </w:rPr>
      </w:pPr>
    </w:p>
    <w:p w14:paraId="51D5C6C9">
      <w:pPr>
        <w:snapToGrid w:val="0"/>
        <w:spacing w:line="300" w:lineRule="auto"/>
        <w:rPr>
          <w:rFonts w:ascii="Arial" w:hAnsi="Arial" w:eastAsia="宋体" w:cs="Arial"/>
        </w:rPr>
      </w:pPr>
      <w:r>
        <w:rPr>
          <w:rFonts w:ascii="Arial" w:hAnsi="Arial" w:eastAsia="宋体" w:cs="Arial"/>
        </w:rPr>
        <w:t>21 CFR 866.6030：甲胎蛋白L3％免疫学检测系统。</w:t>
      </w:r>
    </w:p>
    <w:p w14:paraId="46372369">
      <w:pPr>
        <w:snapToGrid w:val="0"/>
        <w:spacing w:line="300" w:lineRule="auto"/>
        <w:rPr>
          <w:rFonts w:ascii="Arial" w:hAnsi="Arial" w:eastAsia="宋体" w:cs="Arial"/>
        </w:rPr>
      </w:pPr>
    </w:p>
    <w:p w14:paraId="41BE1879">
      <w:pPr>
        <w:snapToGrid w:val="0"/>
        <w:spacing w:line="300" w:lineRule="auto"/>
        <w:rPr>
          <w:rFonts w:ascii="Arial" w:hAnsi="Arial" w:eastAsia="宋体" w:cs="Arial"/>
        </w:rPr>
      </w:pPr>
      <w:bookmarkStart w:id="21" w:name="OLE_LINK100"/>
      <w:bookmarkStart w:id="22" w:name="OLE_LINK101"/>
      <w:r>
        <w:rPr>
          <w:rFonts w:ascii="Arial" w:hAnsi="Arial" w:eastAsia="宋体" w:cs="Arial"/>
        </w:rPr>
        <w:t>甲胎蛋白L3％免疫学检测系统</w:t>
      </w:r>
      <w:bookmarkEnd w:id="21"/>
      <w:bookmarkEnd w:id="22"/>
      <w:r>
        <w:rPr>
          <w:rFonts w:ascii="Arial" w:hAnsi="Arial" w:eastAsia="宋体" w:cs="Arial"/>
        </w:rPr>
        <w:t>是由若干试剂和一台自动化器械组成的一种体外诊断器械。该器械采用免疫化学技术定量测定人血清中的甲胎蛋白和甲胎蛋白L3亚组分。该器械在慢性肝病患者发展为肝细胞癌的风险评定中拟作为一种辅助手段并结合其它实验室检验结果、影像研究和临床评估进行肝细胞癌的体外诊断。</w:t>
      </w:r>
    </w:p>
    <w:p w14:paraId="51E5942E">
      <w:pPr>
        <w:snapToGrid w:val="0"/>
        <w:spacing w:line="300" w:lineRule="auto"/>
        <w:rPr>
          <w:rFonts w:ascii="Arial" w:hAnsi="Arial" w:eastAsia="宋体" w:cs="Arial"/>
        </w:rPr>
      </w:pPr>
    </w:p>
    <w:p w14:paraId="170B2CC3">
      <w:pPr>
        <w:snapToGrid w:val="0"/>
        <w:spacing w:line="300" w:lineRule="auto"/>
        <w:rPr>
          <w:rFonts w:ascii="Arial" w:hAnsi="Arial" w:eastAsia="宋体" w:cs="Arial"/>
          <w:b/>
        </w:rPr>
      </w:pPr>
      <w:r>
        <w:rPr>
          <w:rFonts w:ascii="Arial" w:hAnsi="Arial" w:eastAsia="宋体" w:cs="Arial"/>
          <w:b/>
        </w:rPr>
        <w:t>5. 健康风险</w:t>
      </w:r>
    </w:p>
    <w:p w14:paraId="60400C15">
      <w:pPr>
        <w:snapToGrid w:val="0"/>
        <w:spacing w:line="300" w:lineRule="auto"/>
        <w:rPr>
          <w:rFonts w:ascii="Arial" w:hAnsi="Arial" w:eastAsia="宋体" w:cs="Arial"/>
        </w:rPr>
      </w:pPr>
    </w:p>
    <w:p w14:paraId="09CE9254">
      <w:pPr>
        <w:snapToGrid w:val="0"/>
        <w:spacing w:line="300" w:lineRule="auto"/>
        <w:rPr>
          <w:rFonts w:ascii="Arial" w:hAnsi="Arial" w:eastAsia="宋体" w:cs="Arial"/>
          <w:spacing w:val="-4"/>
        </w:rPr>
      </w:pPr>
      <w:r>
        <w:rPr>
          <w:rFonts w:ascii="Arial" w:hAnsi="Arial" w:eastAsia="宋体" w:cs="Arial"/>
          <w:spacing w:val="-4"/>
        </w:rPr>
        <w:t>按说明操作</w:t>
      </w:r>
      <w:bookmarkStart w:id="23" w:name="OLE_LINK110"/>
      <w:bookmarkStart w:id="24" w:name="OLE_LINK109"/>
      <w:r>
        <w:rPr>
          <w:rFonts w:ascii="Arial" w:hAnsi="Arial" w:eastAsia="宋体" w:cs="Arial"/>
          <w:spacing w:val="-4"/>
        </w:rPr>
        <w:t>甲胎蛋白L3％免疫学检测系统</w:t>
      </w:r>
      <w:bookmarkEnd w:id="23"/>
      <w:bookmarkEnd w:id="24"/>
      <w:r>
        <w:rPr>
          <w:rFonts w:ascii="Arial" w:hAnsi="Arial" w:eastAsia="宋体" w:cs="Arial"/>
          <w:spacing w:val="-4"/>
        </w:rPr>
        <w:t>时出现故障或对结果解释错误可导致对慢性肝病患者的风险评定不准确和管理不当。具体而言，虚假的低</w:t>
      </w:r>
      <w:bookmarkStart w:id="25" w:name="OLE_LINK102"/>
      <w:bookmarkStart w:id="26" w:name="OLE_LINK103"/>
      <w:r>
        <w:rPr>
          <w:rFonts w:ascii="Arial" w:hAnsi="Arial" w:eastAsia="宋体" w:cs="Arial"/>
          <w:spacing w:val="-4"/>
        </w:rPr>
        <w:t>甲胎蛋白L3％</w:t>
      </w:r>
      <w:bookmarkEnd w:id="25"/>
      <w:bookmarkEnd w:id="26"/>
      <w:r>
        <w:rPr>
          <w:rFonts w:ascii="Arial" w:hAnsi="Arial" w:eastAsia="宋体" w:cs="Arial"/>
          <w:spacing w:val="-4"/>
        </w:rPr>
        <w:t>可导致得出患者处于患肝细胞癌低风险状态的判定，从而延迟进行适当监测和治疗。虚假的高甲胎蛋白L3％可导致得出患者处于肝细胞癌较高风险状态的判定，从而导致不必要的评估和检测或不恰当的治疗决定。使用该检测结果时若不考虑其它实验室检验结果、影像研究和临床评估亦能造成风险。</w:t>
      </w:r>
    </w:p>
    <w:p w14:paraId="08977C7C">
      <w:pPr>
        <w:snapToGrid w:val="0"/>
        <w:spacing w:line="300" w:lineRule="auto"/>
        <w:rPr>
          <w:rFonts w:ascii="Arial" w:hAnsi="Arial" w:eastAsia="宋体" w:cs="Arial"/>
        </w:rPr>
      </w:pPr>
      <w:r>
        <w:rPr>
          <w:rFonts w:ascii="Arial" w:hAnsi="Arial" w:eastAsia="宋体" w:cs="Arial"/>
        </w:rPr>
        <w:t>食品药品监督管理局在下表中识别了本文件要解决的通常与使用甲胎蛋白L3％免疫学检测系统有关的健康风险。如下表所示，本指导性文件对用来减轻这些确认风险的推荐控制措施进行了描述。我们建议贵公司在提交上市前通告前做一次风险分析，识别贵公司的器械特有的任何其它风险。在上市前通告中应对风险分析方法加以描述。如果贵公司选择采用替代方法处理本文件确认的特定风险或确认了这些风险的附加风险，应提供足够细节支持贵公司处理风险所采用的方法。</w:t>
      </w:r>
    </w:p>
    <w:p w14:paraId="76D04159">
      <w:pPr>
        <w:snapToGrid w:val="0"/>
        <w:spacing w:line="300" w:lineRule="auto"/>
        <w:rPr>
          <w:rFonts w:ascii="Arial" w:hAnsi="Arial" w:eastAsia="宋体" w:cs="Arial"/>
        </w:rPr>
      </w:pP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9"/>
        <w:gridCol w:w="4148"/>
      </w:tblGrid>
      <w:tr w14:paraId="2FAE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9" w:type="dxa"/>
          </w:tcPr>
          <w:p w14:paraId="17F39CD9">
            <w:pPr>
              <w:snapToGrid w:val="0"/>
              <w:spacing w:line="300" w:lineRule="auto"/>
              <w:rPr>
                <w:rFonts w:ascii="Arial" w:hAnsi="Arial" w:eastAsia="宋体" w:cs="Arial"/>
              </w:rPr>
            </w:pPr>
            <w:r>
              <w:rPr>
                <w:rFonts w:ascii="Arial" w:hAnsi="Arial" w:eastAsia="宋体" w:cs="Arial"/>
              </w:rPr>
              <w:t>确认风险</w:t>
            </w:r>
          </w:p>
        </w:tc>
        <w:tc>
          <w:tcPr>
            <w:tcW w:w="4148" w:type="dxa"/>
          </w:tcPr>
          <w:p w14:paraId="17B9EC87">
            <w:pPr>
              <w:snapToGrid w:val="0"/>
              <w:spacing w:line="300" w:lineRule="auto"/>
              <w:rPr>
                <w:rFonts w:ascii="Arial" w:hAnsi="Arial" w:eastAsia="宋体" w:cs="Arial"/>
              </w:rPr>
            </w:pPr>
            <w:r>
              <w:rPr>
                <w:rFonts w:ascii="Arial" w:hAnsi="Arial" w:eastAsia="宋体" w:cs="Arial"/>
              </w:rPr>
              <w:t>建议采取的</w:t>
            </w:r>
            <w:r>
              <w:rPr>
                <w:rFonts w:hint="eastAsia" w:ascii="Arial" w:hAnsi="Arial" w:eastAsia="宋体" w:cs="Arial"/>
              </w:rPr>
              <w:t>缓解</w:t>
            </w:r>
            <w:r>
              <w:rPr>
                <w:rFonts w:ascii="Arial" w:hAnsi="Arial" w:eastAsia="宋体" w:cs="Arial"/>
              </w:rPr>
              <w:t>措施</w:t>
            </w:r>
          </w:p>
        </w:tc>
      </w:tr>
      <w:tr w14:paraId="44DD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9" w:type="dxa"/>
          </w:tcPr>
          <w:p w14:paraId="6F56CF95">
            <w:pPr>
              <w:snapToGrid w:val="0"/>
              <w:spacing w:line="300" w:lineRule="auto"/>
              <w:rPr>
                <w:rFonts w:ascii="Arial" w:hAnsi="Arial" w:eastAsia="宋体" w:cs="Arial"/>
              </w:rPr>
            </w:pPr>
            <w:r>
              <w:rPr>
                <w:rFonts w:ascii="Arial" w:hAnsi="Arial" w:eastAsia="宋体" w:cs="Arial"/>
              </w:rPr>
              <w:t>因假阳性或假阴性结果所致风险评定不准确或患者管理不当</w:t>
            </w:r>
          </w:p>
        </w:tc>
        <w:tc>
          <w:tcPr>
            <w:tcW w:w="4148" w:type="dxa"/>
          </w:tcPr>
          <w:p w14:paraId="3CF44DE0">
            <w:pPr>
              <w:snapToGrid w:val="0"/>
              <w:spacing w:line="300" w:lineRule="auto"/>
              <w:rPr>
                <w:rFonts w:ascii="Arial" w:hAnsi="Arial" w:eastAsia="宋体" w:cs="Arial"/>
              </w:rPr>
            </w:pPr>
            <w:r>
              <w:rPr>
                <w:rFonts w:ascii="Arial" w:hAnsi="Arial" w:eastAsia="宋体" w:cs="Arial"/>
              </w:rPr>
              <w:t>第7-10节</w:t>
            </w:r>
          </w:p>
        </w:tc>
      </w:tr>
    </w:tbl>
    <w:p w14:paraId="4D796781">
      <w:pPr>
        <w:snapToGrid w:val="0"/>
        <w:spacing w:line="300" w:lineRule="auto"/>
        <w:rPr>
          <w:rFonts w:ascii="Arial" w:hAnsi="Arial" w:eastAsia="宋体" w:cs="Arial"/>
        </w:rPr>
      </w:pPr>
    </w:p>
    <w:p w14:paraId="55AEF794">
      <w:pPr>
        <w:snapToGrid w:val="0"/>
        <w:spacing w:line="300" w:lineRule="auto"/>
        <w:rPr>
          <w:rFonts w:ascii="Arial" w:hAnsi="Arial" w:eastAsia="宋体" w:cs="Arial"/>
          <w:b/>
        </w:rPr>
      </w:pPr>
      <w:r>
        <w:rPr>
          <w:rFonts w:ascii="Arial" w:hAnsi="Arial" w:eastAsia="宋体" w:cs="Arial"/>
          <w:b/>
        </w:rPr>
        <w:t>6. 器械描述</w:t>
      </w:r>
    </w:p>
    <w:p w14:paraId="385017E8">
      <w:pPr>
        <w:snapToGrid w:val="0"/>
        <w:spacing w:line="300" w:lineRule="auto"/>
        <w:rPr>
          <w:rFonts w:ascii="Arial" w:hAnsi="Arial" w:eastAsia="宋体" w:cs="Arial"/>
        </w:rPr>
      </w:pPr>
    </w:p>
    <w:p w14:paraId="1FDB569F">
      <w:pPr>
        <w:snapToGrid w:val="0"/>
        <w:spacing w:line="300" w:lineRule="auto"/>
        <w:rPr>
          <w:rFonts w:ascii="Arial" w:hAnsi="Arial" w:eastAsia="宋体" w:cs="Arial"/>
        </w:rPr>
      </w:pPr>
      <w:r>
        <w:rPr>
          <w:rFonts w:ascii="Arial" w:hAnsi="Arial" w:eastAsia="宋体" w:cs="Arial"/>
        </w:rPr>
        <w:t>贵公司应在510（k）提交资料中确认分类规则、产品代码和合法销售的比较器械。为帮助食品药品监督管理局在审查时高效地对贵公司器械的各个方面与</w:t>
      </w:r>
      <w:bookmarkStart w:id="27" w:name="OLE_LINK158"/>
      <w:bookmarkStart w:id="28" w:name="OLE_LINK159"/>
      <w:r>
        <w:rPr>
          <w:rFonts w:ascii="Arial" w:hAnsi="Arial" w:eastAsia="宋体" w:cs="Arial"/>
        </w:rPr>
        <w:t>比较器械进行比较</w:t>
      </w:r>
      <w:bookmarkEnd w:id="27"/>
      <w:bookmarkEnd w:id="28"/>
      <w:r>
        <w:rPr>
          <w:rFonts w:ascii="Arial" w:hAnsi="Arial" w:eastAsia="宋体" w:cs="Arial"/>
        </w:rPr>
        <w:t>，我们建议贵公司应在提交资料中包含一个表格，利用该表格概括比较器械与贵公司器械间的相同点和不同点。</w:t>
      </w:r>
    </w:p>
    <w:p w14:paraId="5B664111">
      <w:pPr>
        <w:snapToGrid w:val="0"/>
        <w:spacing w:line="300" w:lineRule="auto"/>
        <w:rPr>
          <w:rFonts w:ascii="Arial" w:hAnsi="Arial" w:eastAsia="宋体" w:cs="Arial"/>
        </w:rPr>
      </w:pPr>
    </w:p>
    <w:p w14:paraId="3FE580DF">
      <w:pPr>
        <w:snapToGrid w:val="0"/>
        <w:spacing w:line="300" w:lineRule="auto"/>
        <w:rPr>
          <w:rFonts w:ascii="Arial" w:hAnsi="Arial" w:eastAsia="宋体" w:cs="Arial"/>
        </w:rPr>
      </w:pPr>
      <w:r>
        <w:rPr>
          <w:rFonts w:ascii="Arial" w:hAnsi="Arial" w:eastAsia="宋体" w:cs="Arial"/>
        </w:rPr>
        <w:t>对新器械审查的关键问题是具体预期用途、被测样品类型和所用技术。贵公司应在提交资料中包含下列可适当描述新器械特征的描述性信息。</w:t>
      </w:r>
    </w:p>
    <w:p w14:paraId="4901BEEB">
      <w:pPr>
        <w:snapToGrid w:val="0"/>
        <w:spacing w:line="300" w:lineRule="auto"/>
        <w:rPr>
          <w:rFonts w:ascii="Arial" w:hAnsi="Arial" w:eastAsia="宋体" w:cs="Arial"/>
        </w:rPr>
      </w:pPr>
    </w:p>
    <w:p w14:paraId="5A162D5E">
      <w:pPr>
        <w:snapToGrid w:val="0"/>
        <w:spacing w:line="300" w:lineRule="auto"/>
        <w:rPr>
          <w:rFonts w:ascii="Arial" w:hAnsi="Arial" w:eastAsia="宋体" w:cs="Arial"/>
          <w:b/>
        </w:rPr>
      </w:pPr>
      <w:r>
        <w:rPr>
          <w:rFonts w:ascii="Arial" w:hAnsi="Arial" w:eastAsia="宋体" w:cs="Arial"/>
          <w:b/>
        </w:rPr>
        <w:t>预期用途</w:t>
      </w:r>
    </w:p>
    <w:p w14:paraId="32577DEA">
      <w:pPr>
        <w:snapToGrid w:val="0"/>
        <w:spacing w:line="300" w:lineRule="auto"/>
        <w:rPr>
          <w:rFonts w:ascii="Arial" w:hAnsi="Arial" w:eastAsia="宋体" w:cs="Arial"/>
        </w:rPr>
      </w:pPr>
    </w:p>
    <w:p w14:paraId="4931964C">
      <w:pPr>
        <w:snapToGrid w:val="0"/>
        <w:spacing w:line="300" w:lineRule="auto"/>
        <w:rPr>
          <w:rFonts w:ascii="Arial" w:hAnsi="Arial" w:eastAsia="宋体" w:cs="Arial"/>
        </w:rPr>
      </w:pPr>
      <w:r>
        <w:rPr>
          <w:rFonts w:ascii="Arial" w:hAnsi="Arial" w:eastAsia="宋体" w:cs="Arial"/>
        </w:rPr>
        <w:t>贵公司应对该器械的预期用途做出清晰描述。描述预期用途时应详细说明该器械拟检测的被测物、检测该被测物的一般临床用途和该器械应用的具体目标人群。</w:t>
      </w:r>
    </w:p>
    <w:p w14:paraId="2217D067">
      <w:pPr>
        <w:snapToGrid w:val="0"/>
        <w:spacing w:line="300" w:lineRule="auto"/>
        <w:rPr>
          <w:rFonts w:ascii="Arial" w:hAnsi="Arial" w:eastAsia="宋体" w:cs="Arial"/>
        </w:rPr>
      </w:pPr>
    </w:p>
    <w:p w14:paraId="37D72A90">
      <w:pPr>
        <w:snapToGrid w:val="0"/>
        <w:spacing w:line="300" w:lineRule="auto"/>
        <w:rPr>
          <w:rFonts w:ascii="Arial" w:hAnsi="Arial" w:eastAsia="宋体" w:cs="Arial"/>
        </w:rPr>
      </w:pPr>
      <w:r>
        <w:rPr>
          <w:rFonts w:ascii="Arial" w:hAnsi="Arial" w:eastAsia="宋体" w:cs="Arial"/>
        </w:rPr>
        <w:t>某些器械可能有多个预期用途。需进行独特和独立的研究支持多个预期用途时，我们建议贵公司对每个预期用途分别提交提交资料。为具有多个预期用途的器械提交申请时，贵公司应向免疫学和血液学检测器械部咨询，征求他们的意见。</w:t>
      </w:r>
    </w:p>
    <w:p w14:paraId="59C14623">
      <w:pPr>
        <w:snapToGrid w:val="0"/>
        <w:spacing w:line="300" w:lineRule="auto"/>
        <w:rPr>
          <w:rFonts w:ascii="Arial" w:hAnsi="Arial" w:eastAsia="宋体" w:cs="Arial"/>
        </w:rPr>
      </w:pPr>
    </w:p>
    <w:p w14:paraId="2221EE37">
      <w:pPr>
        <w:snapToGrid w:val="0"/>
        <w:spacing w:line="300" w:lineRule="auto"/>
        <w:rPr>
          <w:rFonts w:ascii="Arial" w:hAnsi="Arial" w:eastAsia="宋体" w:cs="Arial"/>
          <w:b/>
        </w:rPr>
      </w:pPr>
      <w:r>
        <w:rPr>
          <w:rFonts w:ascii="Arial" w:hAnsi="Arial" w:eastAsia="宋体" w:cs="Arial"/>
          <w:b/>
        </w:rPr>
        <w:t>器械描述</w:t>
      </w:r>
    </w:p>
    <w:p w14:paraId="7AAA2815">
      <w:pPr>
        <w:snapToGrid w:val="0"/>
        <w:spacing w:line="300" w:lineRule="auto"/>
        <w:rPr>
          <w:rFonts w:ascii="Arial" w:hAnsi="Arial" w:eastAsia="宋体" w:cs="Arial"/>
        </w:rPr>
      </w:pPr>
    </w:p>
    <w:p w14:paraId="3B95FCCE">
      <w:pPr>
        <w:snapToGrid w:val="0"/>
        <w:spacing w:line="300" w:lineRule="auto"/>
        <w:rPr>
          <w:rFonts w:ascii="Arial" w:hAnsi="Arial" w:eastAsia="宋体" w:cs="Arial"/>
        </w:rPr>
      </w:pPr>
      <w:r>
        <w:rPr>
          <w:rFonts w:ascii="Arial" w:hAnsi="Arial" w:eastAsia="宋体" w:cs="Arial"/>
        </w:rPr>
        <w:t>贵公司应详细描述贵公司的器械所使用的方法。在提交资料中贵公司还应包含对试剂盒中试剂成分的描述。适当的时候贵公司应在适当的地方对质控设计规范做出描述。非标准器械或方法的插图或照片可能有助于对新方法的理解。除适当描述新器械的描述性信息外，贵公司可适当提交与器械所用技术有关的经过同行审查的参考文献。</w:t>
      </w:r>
    </w:p>
    <w:p w14:paraId="39F1B633">
      <w:pPr>
        <w:snapToGrid w:val="0"/>
        <w:spacing w:line="300" w:lineRule="auto"/>
        <w:rPr>
          <w:rFonts w:ascii="Arial" w:hAnsi="Arial" w:eastAsia="宋体" w:cs="Arial"/>
        </w:rPr>
      </w:pPr>
    </w:p>
    <w:p w14:paraId="67D52371">
      <w:pPr>
        <w:snapToGrid w:val="0"/>
        <w:spacing w:line="300" w:lineRule="auto"/>
        <w:rPr>
          <w:rFonts w:ascii="Arial" w:hAnsi="Arial" w:eastAsia="宋体" w:cs="Arial"/>
          <w:b/>
        </w:rPr>
      </w:pPr>
      <w:r>
        <w:rPr>
          <w:rFonts w:ascii="Arial" w:hAnsi="Arial" w:eastAsia="宋体" w:cs="Arial"/>
          <w:b/>
        </w:rPr>
        <w:t>器械配置和软件</w:t>
      </w:r>
    </w:p>
    <w:p w14:paraId="36FDA9DA">
      <w:pPr>
        <w:snapToGrid w:val="0"/>
        <w:spacing w:line="300" w:lineRule="auto"/>
        <w:rPr>
          <w:rFonts w:ascii="Arial" w:hAnsi="Arial" w:eastAsia="宋体" w:cs="Arial"/>
        </w:rPr>
      </w:pPr>
    </w:p>
    <w:p w14:paraId="2AC165A8">
      <w:pPr>
        <w:snapToGrid w:val="0"/>
        <w:spacing w:line="300" w:lineRule="auto"/>
        <w:rPr>
          <w:rFonts w:ascii="Arial" w:hAnsi="Arial" w:eastAsia="宋体" w:cs="Arial"/>
        </w:rPr>
      </w:pPr>
      <w:r>
        <w:rPr>
          <w:rFonts w:ascii="Arial" w:hAnsi="Arial" w:eastAsia="宋体" w:cs="Arial"/>
        </w:rPr>
        <w:t>如果贵公司的器械使用了特殊的专用器械配置（贵公司自己制造或另一家公司制造），贵公司应提供一份规定器械配置手册的副本。贵公司还应在提交资料中包含下列信息，如此将能在适当的时候对贵公司的描述提供支持：</w:t>
      </w:r>
    </w:p>
    <w:p w14:paraId="4DC4432E">
      <w:pPr>
        <w:pStyle w:val="12"/>
        <w:numPr>
          <w:ilvl w:val="0"/>
          <w:numId w:val="3"/>
        </w:numPr>
        <w:snapToGrid w:val="0"/>
        <w:spacing w:line="300" w:lineRule="auto"/>
        <w:ind w:firstLineChars="0"/>
        <w:rPr>
          <w:rFonts w:ascii="Arial" w:hAnsi="Arial" w:eastAsia="宋体" w:cs="Arial"/>
        </w:rPr>
      </w:pPr>
      <w:r>
        <w:rPr>
          <w:rFonts w:ascii="Arial" w:hAnsi="Arial" w:eastAsia="宋体" w:cs="Arial"/>
        </w:rPr>
        <w:t>特征描述，包括器械如何分配数值或解释测定变量的信息。</w:t>
      </w:r>
    </w:p>
    <w:p w14:paraId="57B2DA54">
      <w:pPr>
        <w:pStyle w:val="12"/>
        <w:numPr>
          <w:ilvl w:val="0"/>
          <w:numId w:val="3"/>
        </w:numPr>
        <w:snapToGrid w:val="0"/>
        <w:spacing w:line="300" w:lineRule="auto"/>
        <w:ind w:firstLineChars="0"/>
        <w:rPr>
          <w:rFonts w:ascii="Arial" w:hAnsi="Arial" w:eastAsia="宋体" w:cs="Arial"/>
        </w:rPr>
      </w:pPr>
      <w:r>
        <w:rPr>
          <w:rFonts w:ascii="Arial" w:hAnsi="Arial" w:eastAsia="宋体" w:cs="Arial"/>
        </w:rPr>
        <w:t>校准，包括如何对器械进行校准以及校准所用材料的信息。</w:t>
      </w:r>
    </w:p>
    <w:p w14:paraId="6149AA97">
      <w:pPr>
        <w:pStyle w:val="12"/>
        <w:numPr>
          <w:ilvl w:val="0"/>
          <w:numId w:val="3"/>
        </w:numPr>
        <w:snapToGrid w:val="0"/>
        <w:spacing w:line="300" w:lineRule="auto"/>
        <w:ind w:firstLineChars="0"/>
        <w:rPr>
          <w:rFonts w:ascii="Arial" w:hAnsi="Arial" w:eastAsia="宋体" w:cs="Arial"/>
        </w:rPr>
      </w:pPr>
      <w:r>
        <w:rPr>
          <w:rFonts w:ascii="Arial" w:hAnsi="Arial" w:eastAsia="宋体" w:cs="Arial"/>
        </w:rPr>
        <w:t>不确定性，包括对硬件引入的结果不确定性可能来源和估计值的描述。</w:t>
      </w:r>
    </w:p>
    <w:p w14:paraId="7B602F12">
      <w:pPr>
        <w:snapToGrid w:val="0"/>
        <w:spacing w:line="300" w:lineRule="auto"/>
        <w:rPr>
          <w:rFonts w:ascii="Arial" w:hAnsi="Arial" w:eastAsia="宋体" w:cs="Arial"/>
        </w:rPr>
      </w:pPr>
    </w:p>
    <w:p w14:paraId="093319E3">
      <w:pPr>
        <w:snapToGrid w:val="0"/>
        <w:spacing w:line="300" w:lineRule="auto"/>
        <w:rPr>
          <w:rFonts w:ascii="Arial" w:hAnsi="Arial" w:eastAsia="宋体" w:cs="Arial"/>
        </w:rPr>
      </w:pPr>
      <w:r>
        <w:rPr>
          <w:rFonts w:ascii="Arial" w:hAnsi="Arial" w:eastAsia="宋体" w:cs="Arial"/>
        </w:rPr>
        <w:t>如果贵公司指定了一种特殊器械（由制造商制造或品牌器械），贵公司应确保对器械做出的任何更改（贵公司自己更改或制造商更改）均可追踪。如果更改引入了新的或不同的测定性能问题，贵公司应确保在更改后的条件下对贵公司的器械进行适当确认。</w:t>
      </w:r>
    </w:p>
    <w:p w14:paraId="27ECA8FA">
      <w:pPr>
        <w:snapToGrid w:val="0"/>
        <w:spacing w:line="300" w:lineRule="auto"/>
        <w:rPr>
          <w:rFonts w:ascii="Arial" w:hAnsi="Arial" w:eastAsia="宋体" w:cs="Arial"/>
        </w:rPr>
      </w:pPr>
    </w:p>
    <w:p w14:paraId="75A85560">
      <w:pPr>
        <w:snapToGrid w:val="0"/>
        <w:spacing w:line="300" w:lineRule="auto"/>
        <w:rPr>
          <w:rFonts w:ascii="Arial" w:hAnsi="Arial" w:eastAsia="宋体" w:cs="Arial"/>
        </w:rPr>
      </w:pPr>
      <w:r>
        <w:rPr>
          <w:rFonts w:ascii="Arial" w:hAnsi="Arial" w:eastAsia="宋体" w:cs="Arial"/>
        </w:rPr>
        <w:t>如果贵公司的系统包含了软件，贵公司应提交软件的证明文件，在证明文件中应根据影响程度对软件做出详细说明（见：“</w:t>
      </w:r>
      <w:r>
        <w:rPr>
          <w:rFonts w:ascii="Arial" w:hAnsi="Arial" w:eastAsia="宋体" w:cs="Arial"/>
          <w:i/>
          <w:color w:val="800080"/>
        </w:rPr>
        <w:t>医疗器械软件上市前审查需提交的内容指南；最终指南</w:t>
      </w:r>
      <w:r>
        <w:rPr>
          <w:rFonts w:ascii="Arial" w:hAnsi="Arial" w:eastAsia="宋体" w:cs="Arial"/>
        </w:rPr>
        <w:t>”）。在采取减轻危害的措施前，贵公司应判定软件对患者的影响程度。在临床实践中，医疗保健提供者如果没有得到准确信息，他们就可能采取措施或不采取措施，从而软件缺陷就会对患者间接造成影响并可能导致损害，因此将该类型体外诊断器械对患者的影响视为中等程度。</w:t>
      </w:r>
    </w:p>
    <w:p w14:paraId="120C8829">
      <w:pPr>
        <w:snapToGrid w:val="0"/>
        <w:spacing w:line="300" w:lineRule="auto"/>
        <w:rPr>
          <w:rFonts w:ascii="Arial" w:hAnsi="Arial" w:eastAsia="宋体" w:cs="Arial"/>
        </w:rPr>
      </w:pPr>
    </w:p>
    <w:p w14:paraId="519EBAA6">
      <w:pPr>
        <w:snapToGrid w:val="0"/>
        <w:spacing w:line="300" w:lineRule="auto"/>
        <w:rPr>
          <w:rFonts w:ascii="Arial" w:hAnsi="Arial" w:eastAsia="宋体" w:cs="Arial"/>
        </w:rPr>
      </w:pPr>
      <w:r>
        <w:rPr>
          <w:rFonts w:ascii="Arial" w:hAnsi="Arial" w:eastAsia="宋体" w:cs="Arial"/>
        </w:rPr>
        <w:t>在准备软件证明文件供食品药品监督管理局审查时，贵公司应酌情包含下列信息：</w:t>
      </w:r>
    </w:p>
    <w:p w14:paraId="68E4BCEE">
      <w:pPr>
        <w:snapToGrid w:val="0"/>
        <w:spacing w:line="300" w:lineRule="auto"/>
        <w:rPr>
          <w:rFonts w:ascii="Arial" w:hAnsi="Arial" w:eastAsia="宋体" w:cs="Arial"/>
        </w:rPr>
      </w:pPr>
    </w:p>
    <w:p w14:paraId="6C87E502">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对软件设计的全面描述。在贵公司的软件中不应包含为支持超预期用途使用而专门设计的实用程序。在贵公司的设计中还应考虑隐私和安全问题。</w:t>
      </w:r>
      <w:r>
        <w:fldChar w:fldCharType="begin"/>
      </w:r>
      <w:r>
        <w:instrText xml:space="preserve"> HYPERLINK "http://aspe.os.dhhs.gov/admnsimp" </w:instrText>
      </w:r>
      <w:r>
        <w:fldChar w:fldCharType="separate"/>
      </w:r>
      <w:r>
        <w:rPr>
          <w:rStyle w:val="8"/>
          <w:rFonts w:ascii="Arial" w:hAnsi="Arial" w:eastAsia="宋体" w:cs="Arial"/>
        </w:rPr>
        <w:t>http://aspe.os.dhhs.gov/admnsimp</w:t>
      </w:r>
      <w:r>
        <w:rPr>
          <w:rStyle w:val="8"/>
          <w:rFonts w:ascii="Arial" w:hAnsi="Arial" w:eastAsia="宋体" w:cs="Arial"/>
        </w:rPr>
        <w:fldChar w:fldCharType="end"/>
      </w:r>
      <w:r>
        <w:rPr>
          <w:rFonts w:ascii="Arial" w:hAnsi="Arial" w:eastAsia="宋体" w:cs="Arial"/>
        </w:rPr>
        <w:t xml:space="preserve"> 网站介绍了健康保险流通与责任法案（HIPAA）。在这个网站可以找到有关这些问题的一些信息。</w:t>
      </w:r>
    </w:p>
    <w:p w14:paraId="2DF381A6">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危害分析。根据器械设计的关键思想和子系统组件任何故障的影响（如与不正确的患者报告、器械故障和操作人员安全有关的信号检测和分析、数据储存、系统通信和网络安全）进行危害分析。</w:t>
      </w:r>
    </w:p>
    <w:p w14:paraId="5BD1BBC4">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对软件版本进行的全面验证和确认（V&amp;V）工作的证明文件。该软件版本要提交监管机构供证明实质等同之用。贵公司还应提交有关测定软件与所有器械配置软件兼容性的确认信息。</w:t>
      </w:r>
    </w:p>
    <w:p w14:paraId="3BC5E18F">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如果贵公司包含在</w:t>
      </w:r>
      <w:bookmarkStart w:id="29" w:name="OLE_LINK22"/>
      <w:bookmarkStart w:id="30" w:name="OLE_LINK21"/>
      <w:r>
        <w:rPr>
          <w:rFonts w:ascii="Arial" w:hAnsi="Arial" w:eastAsia="宋体" w:cs="Arial"/>
        </w:rPr>
        <w:t>510（k）提交资料中</w:t>
      </w:r>
      <w:bookmarkEnd w:id="29"/>
      <w:bookmarkEnd w:id="30"/>
      <w:r>
        <w:rPr>
          <w:rFonts w:ascii="Arial" w:hAnsi="Arial" w:eastAsia="宋体" w:cs="Arial"/>
        </w:rPr>
        <w:t>的信息是基于发布版本以外的某个版本，贵公司应在510（k）提交资料中确认两者的所有差异并详细描述这些差异（包括未得到解决的所有异常情况）如何影响该器械的安全性和有效性。</w:t>
      </w:r>
    </w:p>
    <w:p w14:paraId="4811A33A">
      <w:pPr>
        <w:snapToGrid w:val="0"/>
        <w:spacing w:line="300" w:lineRule="auto"/>
        <w:rPr>
          <w:rFonts w:ascii="Arial" w:hAnsi="Arial" w:eastAsia="宋体" w:cs="Arial"/>
        </w:rPr>
      </w:pPr>
    </w:p>
    <w:p w14:paraId="6B5257E8">
      <w:pPr>
        <w:snapToGrid w:val="0"/>
        <w:spacing w:line="300" w:lineRule="auto"/>
        <w:rPr>
          <w:rFonts w:ascii="Arial" w:hAnsi="Arial" w:eastAsia="宋体" w:cs="Arial"/>
        </w:rPr>
      </w:pPr>
      <w:r>
        <w:rPr>
          <w:rFonts w:ascii="Arial" w:hAnsi="Arial" w:eastAsia="宋体" w:cs="Arial"/>
        </w:rPr>
        <w:t>为帮助贵公司在与食品药品监督管理局法规一致的软件生命周期</w:t>
      </w:r>
      <w:bookmarkStart w:id="31" w:name="OLE_LINK24"/>
      <w:r>
        <w:rPr>
          <w:rFonts w:ascii="Arial" w:hAnsi="Arial" w:eastAsia="宋体" w:cs="Arial"/>
        </w:rPr>
        <w:t>良好</w:t>
      </w:r>
      <w:bookmarkEnd w:id="31"/>
      <w:r>
        <w:rPr>
          <w:rFonts w:ascii="Arial" w:hAnsi="Arial" w:eastAsia="宋体" w:cs="Arial"/>
        </w:rPr>
        <w:t>规范指引下开发和维护贵公司的器械，我们额外提供了下列参考文献。</w:t>
      </w:r>
    </w:p>
    <w:p w14:paraId="1F60E853">
      <w:pPr>
        <w:snapToGrid w:val="0"/>
        <w:spacing w:line="300" w:lineRule="auto"/>
        <w:rPr>
          <w:rFonts w:ascii="Arial" w:hAnsi="Arial" w:eastAsia="宋体" w:cs="Arial"/>
        </w:rPr>
      </w:pPr>
    </w:p>
    <w:p w14:paraId="1391D6C2">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软件确认通则；行业和食品药品监督管理局工作人员最终指南。</w:t>
      </w:r>
    </w:p>
    <w:p w14:paraId="5CEC7109">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医疗器械中现有软件使用指南；最终指南。</w:t>
      </w:r>
    </w:p>
    <w:p w14:paraId="0699E936">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21 CFR 820.30第C子部分－质量体系法规的设计控制。</w:t>
      </w:r>
    </w:p>
    <w:p w14:paraId="72736242">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ISO 14971-1；医疗器械－风险管理－第1部分：风险分析应用程序。</w:t>
      </w:r>
    </w:p>
    <w:p w14:paraId="6E71774E">
      <w:pPr>
        <w:pStyle w:val="12"/>
        <w:numPr>
          <w:ilvl w:val="0"/>
          <w:numId w:val="4"/>
        </w:numPr>
        <w:snapToGrid w:val="0"/>
        <w:spacing w:line="300" w:lineRule="auto"/>
        <w:ind w:firstLineChars="0"/>
        <w:jc w:val="left"/>
        <w:rPr>
          <w:rFonts w:ascii="Arial" w:hAnsi="Arial" w:eastAsia="宋体" w:cs="Arial"/>
        </w:rPr>
      </w:pPr>
      <w:r>
        <w:rPr>
          <w:rFonts w:ascii="Arial" w:hAnsi="Arial" w:eastAsia="宋体" w:cs="Arial"/>
        </w:rPr>
        <w:t>AAMI SW68:2001；医疗器械软件－软件生命周期流程</w:t>
      </w:r>
    </w:p>
    <w:p w14:paraId="6435B591">
      <w:pPr>
        <w:snapToGrid w:val="0"/>
        <w:spacing w:line="300" w:lineRule="auto"/>
        <w:rPr>
          <w:rFonts w:ascii="Arial" w:hAnsi="Arial" w:eastAsia="宋体" w:cs="Arial"/>
        </w:rPr>
      </w:pPr>
    </w:p>
    <w:p w14:paraId="132EBFA9">
      <w:pPr>
        <w:snapToGrid w:val="0"/>
        <w:spacing w:line="300" w:lineRule="auto"/>
        <w:rPr>
          <w:rFonts w:ascii="Arial" w:hAnsi="Arial" w:eastAsia="宋体" w:cs="Arial"/>
          <w:b/>
        </w:rPr>
      </w:pPr>
      <w:r>
        <w:rPr>
          <w:rFonts w:ascii="Arial" w:hAnsi="Arial" w:eastAsia="宋体" w:cs="Arial"/>
          <w:b/>
        </w:rPr>
        <w:t>7. 性能特征</w:t>
      </w:r>
    </w:p>
    <w:p w14:paraId="54869046">
      <w:pPr>
        <w:snapToGrid w:val="0"/>
        <w:spacing w:line="300" w:lineRule="auto"/>
        <w:rPr>
          <w:rFonts w:ascii="Arial" w:hAnsi="Arial" w:eastAsia="宋体" w:cs="Arial"/>
        </w:rPr>
      </w:pPr>
    </w:p>
    <w:p w14:paraId="04662FAC">
      <w:pPr>
        <w:widowControl/>
        <w:jc w:val="left"/>
        <w:rPr>
          <w:rFonts w:ascii="Arial" w:hAnsi="Arial" w:eastAsia="宋体" w:cs="Arial"/>
          <w:b/>
        </w:rPr>
      </w:pPr>
      <w:r>
        <w:rPr>
          <w:rFonts w:ascii="Arial" w:hAnsi="Arial" w:eastAsia="宋体" w:cs="Arial"/>
          <w:b/>
        </w:rPr>
        <w:br w:type="page"/>
      </w:r>
    </w:p>
    <w:p w14:paraId="62894887">
      <w:pPr>
        <w:snapToGrid w:val="0"/>
        <w:spacing w:line="300" w:lineRule="auto"/>
        <w:rPr>
          <w:rFonts w:ascii="Arial" w:hAnsi="Arial" w:eastAsia="宋体" w:cs="Arial"/>
          <w:b/>
        </w:rPr>
      </w:pPr>
      <w:r>
        <w:rPr>
          <w:rFonts w:ascii="Arial" w:hAnsi="Arial" w:eastAsia="宋体" w:cs="Arial"/>
          <w:b/>
        </w:rPr>
        <w:t>总体研究建议</w:t>
      </w:r>
    </w:p>
    <w:p w14:paraId="759CBE3F">
      <w:pPr>
        <w:snapToGrid w:val="0"/>
        <w:spacing w:line="300" w:lineRule="auto"/>
        <w:rPr>
          <w:rFonts w:ascii="Arial" w:hAnsi="Arial" w:eastAsia="宋体" w:cs="Arial"/>
        </w:rPr>
      </w:pPr>
    </w:p>
    <w:p w14:paraId="571926D0">
      <w:pPr>
        <w:snapToGrid w:val="0"/>
        <w:spacing w:line="300" w:lineRule="auto"/>
        <w:rPr>
          <w:rFonts w:ascii="Arial" w:hAnsi="Arial" w:eastAsia="宋体" w:cs="Arial"/>
        </w:rPr>
      </w:pPr>
      <w:r>
        <w:rPr>
          <w:rFonts w:ascii="Arial" w:hAnsi="Arial" w:eastAsia="宋体" w:cs="Arial"/>
        </w:rPr>
        <w:t>只要有可能，贵公司应在下述分析方案中包含采自预期用途人群（即慢性肝病患者）的患者样品。</w:t>
      </w:r>
    </w:p>
    <w:p w14:paraId="439813BE">
      <w:pPr>
        <w:snapToGrid w:val="0"/>
        <w:spacing w:line="300" w:lineRule="auto"/>
        <w:rPr>
          <w:rFonts w:ascii="Arial" w:hAnsi="Arial" w:eastAsia="宋体" w:cs="Arial"/>
        </w:rPr>
      </w:pPr>
    </w:p>
    <w:p w14:paraId="6BBB3DE8">
      <w:pPr>
        <w:snapToGrid w:val="0"/>
        <w:spacing w:line="300" w:lineRule="auto"/>
        <w:rPr>
          <w:rFonts w:ascii="Arial" w:hAnsi="Arial" w:eastAsia="宋体" w:cs="Arial"/>
        </w:rPr>
      </w:pPr>
      <w:r>
        <w:rPr>
          <w:rFonts w:ascii="Arial" w:hAnsi="Arial" w:eastAsia="宋体" w:cs="Arial"/>
        </w:rPr>
        <w:t>除制造商的工作场所外，贵公司应在两个或更多地理分散的外部场所对贵公司的检测器械进行评估。一般来说，贵公司应在器械最终要在那里使用的检测环境中（即临床实验室）由将在临床实践中使用这些检测器械的人员（如经过培训的技术专家）对性能进行评估。贵公司应首先对来自每个研究场所的数据分别进行分析，对任何场所间变异做出评估，并将分析结果包含在510（k）提交资料中。如果贵公司能证明各场所的结果无明显差异，可以将各场所的结果合并后放在包装说明书中。开始临床研究前，贵公司可与免疫学和血液学检测器械部联系，征求他们对贵公司研究方案的意见。</w:t>
      </w:r>
    </w:p>
    <w:p w14:paraId="33FFE226">
      <w:pPr>
        <w:snapToGrid w:val="0"/>
        <w:spacing w:line="300" w:lineRule="auto"/>
        <w:rPr>
          <w:rFonts w:ascii="Arial" w:hAnsi="Arial" w:eastAsia="宋体" w:cs="Arial"/>
        </w:rPr>
      </w:pPr>
    </w:p>
    <w:p w14:paraId="6B7F8C9F">
      <w:pPr>
        <w:snapToGrid w:val="0"/>
        <w:spacing w:line="300" w:lineRule="auto"/>
        <w:rPr>
          <w:rFonts w:ascii="Arial" w:hAnsi="Arial" w:eastAsia="宋体" w:cs="Arial"/>
        </w:rPr>
      </w:pPr>
      <w:r>
        <w:rPr>
          <w:rFonts w:ascii="Arial" w:hAnsi="Arial" w:eastAsia="宋体" w:cs="Arial"/>
        </w:rPr>
        <w:t>贵公司应提供关于研究方案的具体信息，以便食品药品监督管理局在审查期间能对验收标准或数据汇总做出解释。例如，在提及</w:t>
      </w:r>
      <w:bookmarkStart w:id="32" w:name="OLE_LINK83"/>
      <w:bookmarkStart w:id="33" w:name="OLE_LINK82"/>
      <w:r>
        <w:rPr>
          <w:rFonts w:ascii="Arial" w:hAnsi="Arial" w:eastAsia="宋体" w:cs="Arial"/>
        </w:rPr>
        <w:t>临床实验室标准研究所</w:t>
      </w:r>
      <w:bookmarkEnd w:id="32"/>
      <w:bookmarkEnd w:id="33"/>
      <w:r>
        <w:rPr>
          <w:rFonts w:ascii="Arial" w:hAnsi="Arial" w:eastAsia="宋体" w:cs="Arial"/>
        </w:rPr>
        <w:t>（CLSI）的研究方案或操作指南时，贵公司应指出按照了研究方案或操作指南的哪些具体方面。我们建议贵公司在标签中包含研究方案的具体细节，以帮助用户理解贵公司标签中的信息。</w:t>
      </w:r>
    </w:p>
    <w:p w14:paraId="342BFE09">
      <w:pPr>
        <w:snapToGrid w:val="0"/>
        <w:spacing w:line="300" w:lineRule="auto"/>
        <w:rPr>
          <w:rFonts w:ascii="Arial" w:hAnsi="Arial" w:eastAsia="宋体" w:cs="Arial"/>
        </w:rPr>
      </w:pPr>
    </w:p>
    <w:p w14:paraId="0C480847">
      <w:pPr>
        <w:snapToGrid w:val="0"/>
        <w:spacing w:line="300" w:lineRule="auto"/>
        <w:rPr>
          <w:rFonts w:ascii="Arial" w:hAnsi="Arial" w:eastAsia="宋体" w:cs="Arial"/>
          <w:b/>
        </w:rPr>
      </w:pPr>
      <w:r>
        <w:rPr>
          <w:rFonts w:ascii="Arial" w:hAnsi="Arial" w:eastAsia="宋体" w:cs="Arial"/>
          <w:b/>
        </w:rPr>
        <w:t>性能特征</w:t>
      </w:r>
    </w:p>
    <w:p w14:paraId="6BB3BA17">
      <w:pPr>
        <w:snapToGrid w:val="0"/>
        <w:spacing w:line="300" w:lineRule="auto"/>
        <w:rPr>
          <w:rFonts w:ascii="Arial" w:hAnsi="Arial" w:eastAsia="宋体" w:cs="Arial"/>
          <w:b/>
        </w:rPr>
      </w:pPr>
      <w:r>
        <w:rPr>
          <w:rFonts w:ascii="Arial" w:hAnsi="Arial" w:eastAsia="宋体" w:cs="Arial"/>
          <w:b/>
        </w:rPr>
        <w:t>精密度</w:t>
      </w:r>
    </w:p>
    <w:p w14:paraId="764C0149">
      <w:pPr>
        <w:snapToGrid w:val="0"/>
        <w:spacing w:line="300" w:lineRule="auto"/>
        <w:rPr>
          <w:rFonts w:ascii="Arial" w:hAnsi="Arial" w:eastAsia="宋体" w:cs="Arial"/>
        </w:rPr>
      </w:pPr>
      <w:r>
        <w:rPr>
          <w:rFonts w:ascii="Arial" w:hAnsi="Arial" w:eastAsia="宋体" w:cs="Arial"/>
        </w:rPr>
        <w:t>贵公司应采用患者样本或合并样本对可重复性（批内）、实验室内精密度和各场所重现性的特征加以描述。我们建议贵公司按照“临床化学器械精密度性能评估”（</w:t>
      </w:r>
      <w:bookmarkStart w:id="34" w:name="OLE_LINK112"/>
      <w:bookmarkStart w:id="35" w:name="OLE_LINK113"/>
      <w:r>
        <w:rPr>
          <w:rFonts w:ascii="Arial" w:hAnsi="Arial" w:eastAsia="宋体" w:cs="Arial"/>
        </w:rPr>
        <w:t>临床实验室标准研究所文件EP5-A</w:t>
      </w:r>
      <w:bookmarkEnd w:id="34"/>
      <w:bookmarkEnd w:id="35"/>
      <w:r>
        <w:rPr>
          <w:rFonts w:ascii="Arial" w:hAnsi="Arial" w:eastAsia="宋体" w:cs="Arial"/>
        </w:rPr>
        <w:t>）提供的操作指南进行评估。该文件中包含了实验设计、计算和性能主张描述格式的操作指南。贵公司应对甲胎蛋白L3％相关测定值的精密度进行评估，其中包括接近医疗决策点的水平和接近可报告范围下限的测定值。我们建议贵公司在评估时包含3个或更多场所、多个批次和多台器械。</w:t>
      </w:r>
    </w:p>
    <w:p w14:paraId="38AB9CBB">
      <w:pPr>
        <w:snapToGrid w:val="0"/>
        <w:spacing w:line="300" w:lineRule="auto"/>
        <w:rPr>
          <w:rFonts w:ascii="Arial" w:hAnsi="Arial" w:eastAsia="宋体" w:cs="Arial"/>
        </w:rPr>
      </w:pPr>
    </w:p>
    <w:p w14:paraId="2B3C5AA7">
      <w:pPr>
        <w:snapToGrid w:val="0"/>
        <w:spacing w:line="300" w:lineRule="auto"/>
        <w:rPr>
          <w:rFonts w:ascii="Arial" w:hAnsi="Arial" w:eastAsia="宋体" w:cs="Arial"/>
        </w:rPr>
      </w:pPr>
      <w:r>
        <w:rPr>
          <w:rFonts w:ascii="Arial" w:hAnsi="Arial" w:eastAsia="宋体" w:cs="Arial"/>
        </w:rPr>
        <w:t>在研究描述中，贵公司应识别哪些因素（如器械校准、试剂批次和操作人员）在评估期间保持不变，哪些因素有所变化。如果贵公司采用的计算方法与</w:t>
      </w:r>
      <w:bookmarkStart w:id="36" w:name="OLE_LINK125"/>
      <w:bookmarkStart w:id="37" w:name="OLE_LINK124"/>
      <w:bookmarkStart w:id="38" w:name="OLE_LINK123"/>
      <w:r>
        <w:rPr>
          <w:rFonts w:ascii="Arial" w:hAnsi="Arial" w:eastAsia="宋体" w:cs="Arial"/>
        </w:rPr>
        <w:t>临床实验室标准研究所文件</w:t>
      </w:r>
      <w:bookmarkEnd w:id="36"/>
      <w:bookmarkEnd w:id="37"/>
      <w:bookmarkEnd w:id="38"/>
      <w:r>
        <w:rPr>
          <w:rFonts w:ascii="Arial" w:hAnsi="Arial" w:eastAsia="宋体" w:cs="Arial"/>
        </w:rPr>
        <w:t>EP5-A 描述的方法有所不同，请对计算方法做出描述。在研究描述中贵公司还应包含下列信息：</w:t>
      </w:r>
    </w:p>
    <w:p w14:paraId="7E1CD98C">
      <w:pPr>
        <w:snapToGrid w:val="0"/>
        <w:spacing w:line="300" w:lineRule="auto"/>
        <w:rPr>
          <w:rFonts w:ascii="Arial" w:hAnsi="Arial" w:eastAsia="宋体" w:cs="Arial"/>
        </w:rPr>
      </w:pPr>
    </w:p>
    <w:p w14:paraId="6E8D9D41">
      <w:pPr>
        <w:pStyle w:val="12"/>
        <w:numPr>
          <w:ilvl w:val="0"/>
          <w:numId w:val="5"/>
        </w:numPr>
        <w:snapToGrid w:val="0"/>
        <w:spacing w:line="300" w:lineRule="auto"/>
        <w:ind w:firstLineChars="0"/>
        <w:rPr>
          <w:rFonts w:ascii="Arial" w:hAnsi="Arial" w:eastAsia="宋体" w:cs="Arial"/>
        </w:rPr>
      </w:pPr>
      <w:r>
        <w:rPr>
          <w:rFonts w:ascii="Arial" w:hAnsi="Arial" w:eastAsia="宋体" w:cs="Arial"/>
        </w:rPr>
        <w:t>样品类型（如</w:t>
      </w:r>
      <w:r>
        <w:rPr>
          <w:rFonts w:hint="eastAsia" w:ascii="Arial" w:hAnsi="Arial" w:eastAsia="宋体" w:cs="Arial"/>
        </w:rPr>
        <w:t>基质</w:t>
      </w:r>
      <w:r>
        <w:rPr>
          <w:rFonts w:ascii="Arial" w:hAnsi="Arial" w:eastAsia="宋体" w:cs="Arial"/>
        </w:rPr>
        <w:t>、来源、制备）</w:t>
      </w:r>
    </w:p>
    <w:p w14:paraId="338889C1">
      <w:pPr>
        <w:pStyle w:val="12"/>
        <w:numPr>
          <w:ilvl w:val="0"/>
          <w:numId w:val="5"/>
        </w:numPr>
        <w:snapToGrid w:val="0"/>
        <w:spacing w:line="300" w:lineRule="auto"/>
        <w:ind w:firstLineChars="0"/>
        <w:rPr>
          <w:rFonts w:ascii="Arial" w:hAnsi="Arial" w:eastAsia="宋体" w:cs="Arial"/>
        </w:rPr>
      </w:pPr>
      <w:r>
        <w:rPr>
          <w:rFonts w:ascii="Arial" w:hAnsi="Arial" w:eastAsia="宋体" w:cs="Arial"/>
        </w:rPr>
        <w:t>天数、测定次数和观察次数</w:t>
      </w:r>
    </w:p>
    <w:p w14:paraId="7553F1DF">
      <w:pPr>
        <w:pStyle w:val="12"/>
        <w:numPr>
          <w:ilvl w:val="0"/>
          <w:numId w:val="5"/>
        </w:numPr>
        <w:snapToGrid w:val="0"/>
        <w:spacing w:line="300" w:lineRule="auto"/>
        <w:ind w:firstLineChars="0"/>
        <w:rPr>
          <w:rFonts w:ascii="Arial" w:hAnsi="Arial" w:eastAsia="宋体" w:cs="Arial"/>
        </w:rPr>
      </w:pPr>
      <w:r>
        <w:rPr>
          <w:rFonts w:ascii="Arial" w:hAnsi="Arial" w:eastAsia="宋体" w:cs="Arial"/>
        </w:rPr>
        <w:t>研究场所和/或操作人员数</w:t>
      </w:r>
    </w:p>
    <w:p w14:paraId="341B9A4D">
      <w:pPr>
        <w:pStyle w:val="12"/>
        <w:numPr>
          <w:ilvl w:val="0"/>
          <w:numId w:val="5"/>
        </w:numPr>
        <w:snapToGrid w:val="0"/>
        <w:spacing w:line="300" w:lineRule="auto"/>
        <w:ind w:firstLineChars="0"/>
        <w:rPr>
          <w:rFonts w:ascii="Arial" w:hAnsi="Arial" w:eastAsia="宋体" w:cs="Arial"/>
        </w:rPr>
      </w:pPr>
      <w:r>
        <w:rPr>
          <w:rFonts w:ascii="Arial" w:hAnsi="Arial" w:eastAsia="宋体" w:cs="Arial"/>
        </w:rPr>
        <w:t>目标浓度</w:t>
      </w:r>
    </w:p>
    <w:p w14:paraId="5BD67839">
      <w:pPr>
        <w:pStyle w:val="12"/>
        <w:numPr>
          <w:ilvl w:val="0"/>
          <w:numId w:val="5"/>
        </w:numPr>
        <w:snapToGrid w:val="0"/>
        <w:spacing w:line="300" w:lineRule="auto"/>
        <w:ind w:firstLineChars="0"/>
        <w:rPr>
          <w:rFonts w:ascii="Arial" w:hAnsi="Arial" w:eastAsia="宋体" w:cs="Arial"/>
        </w:rPr>
      </w:pPr>
      <w:r>
        <w:rPr>
          <w:rFonts w:ascii="Arial" w:hAnsi="Arial" w:eastAsia="宋体" w:cs="Arial"/>
        </w:rPr>
        <w:t>对精密度测定方案实施场所的描述</w:t>
      </w:r>
    </w:p>
    <w:p w14:paraId="340C3A4E">
      <w:pPr>
        <w:pStyle w:val="12"/>
        <w:numPr>
          <w:ilvl w:val="0"/>
          <w:numId w:val="5"/>
        </w:numPr>
        <w:snapToGrid w:val="0"/>
        <w:spacing w:line="300" w:lineRule="auto"/>
        <w:ind w:firstLineChars="0"/>
        <w:rPr>
          <w:rFonts w:ascii="Arial" w:hAnsi="Arial" w:eastAsia="宋体" w:cs="Arial"/>
        </w:rPr>
      </w:pPr>
      <w:r>
        <w:rPr>
          <w:rFonts w:ascii="Arial" w:hAnsi="Arial" w:eastAsia="宋体" w:cs="Arial"/>
        </w:rPr>
        <w:t>观察值的平均值和标准差</w:t>
      </w:r>
    </w:p>
    <w:p w14:paraId="303FBD9E">
      <w:pPr>
        <w:snapToGrid w:val="0"/>
        <w:spacing w:line="300" w:lineRule="auto"/>
        <w:rPr>
          <w:rFonts w:ascii="Arial" w:hAnsi="Arial" w:eastAsia="宋体" w:cs="Arial"/>
        </w:rPr>
      </w:pPr>
    </w:p>
    <w:p w14:paraId="5F6593E9">
      <w:pPr>
        <w:widowControl/>
        <w:jc w:val="left"/>
        <w:rPr>
          <w:rFonts w:ascii="Arial" w:hAnsi="Arial" w:eastAsia="宋体" w:cs="Arial"/>
          <w:b/>
        </w:rPr>
      </w:pPr>
      <w:r>
        <w:rPr>
          <w:rFonts w:ascii="Arial" w:hAnsi="Arial" w:eastAsia="宋体" w:cs="Arial"/>
          <w:b/>
        </w:rPr>
        <w:br w:type="page"/>
      </w:r>
    </w:p>
    <w:p w14:paraId="3EE0F1A4">
      <w:pPr>
        <w:snapToGrid w:val="0"/>
        <w:spacing w:line="300" w:lineRule="auto"/>
        <w:rPr>
          <w:rFonts w:ascii="Arial" w:hAnsi="Arial" w:eastAsia="宋体" w:cs="Arial"/>
          <w:b/>
        </w:rPr>
      </w:pPr>
      <w:r>
        <w:rPr>
          <w:rFonts w:ascii="Arial" w:hAnsi="Arial" w:eastAsia="宋体" w:cs="Arial"/>
          <w:b/>
        </w:rPr>
        <w:t>干扰情况</w:t>
      </w:r>
    </w:p>
    <w:p w14:paraId="771C6C08">
      <w:pPr>
        <w:snapToGrid w:val="0"/>
        <w:spacing w:line="300" w:lineRule="auto"/>
        <w:rPr>
          <w:rFonts w:ascii="Arial" w:hAnsi="Arial" w:eastAsia="宋体" w:cs="Arial"/>
        </w:rPr>
      </w:pPr>
    </w:p>
    <w:p w14:paraId="69328250">
      <w:pPr>
        <w:snapToGrid w:val="0"/>
        <w:spacing w:line="300" w:lineRule="auto"/>
        <w:rPr>
          <w:rFonts w:ascii="Arial" w:hAnsi="Arial" w:eastAsia="宋体" w:cs="Arial"/>
        </w:rPr>
      </w:pPr>
      <w:r>
        <w:rPr>
          <w:rFonts w:ascii="Arial" w:hAnsi="Arial" w:eastAsia="宋体" w:cs="Arial"/>
        </w:rPr>
        <w:t>贵公司应对潜在干扰物质影响测定性</w:t>
      </w:r>
      <w:bookmarkStart w:id="39" w:name="OLE_LINK42"/>
      <w:r>
        <w:rPr>
          <w:rFonts w:ascii="Arial" w:hAnsi="Arial" w:eastAsia="宋体" w:cs="Arial"/>
        </w:rPr>
        <w:t>能的</w:t>
      </w:r>
      <w:bookmarkEnd w:id="39"/>
      <w:r>
        <w:rPr>
          <w:rFonts w:ascii="Arial" w:hAnsi="Arial" w:eastAsia="宋体" w:cs="Arial"/>
        </w:rPr>
        <w:t>特征加以描述。临床实验室标准研究所文件EP7-A“临床化学干扰检测；获批操作指南”对实验设计的实例（包括选择干扰物质进行测定的指导原则）进行了详细描述。干扰的潜在来源可包括通常在全血中发现的化合物（如甘油三脂、血红蛋白、胆红素和白蛋白）、抗氧化剂（如维生素C和维生素E）和用来治疗慢性肝病（如肝硬化和病毒性肝炎）的代表性药物。</w:t>
      </w:r>
    </w:p>
    <w:p w14:paraId="7E008DCA">
      <w:pPr>
        <w:snapToGrid w:val="0"/>
        <w:spacing w:line="300" w:lineRule="auto"/>
        <w:rPr>
          <w:rFonts w:ascii="Arial" w:hAnsi="Arial" w:eastAsia="宋体" w:cs="Arial"/>
        </w:rPr>
      </w:pPr>
    </w:p>
    <w:p w14:paraId="479718FE">
      <w:pPr>
        <w:snapToGrid w:val="0"/>
        <w:spacing w:line="300" w:lineRule="auto"/>
        <w:rPr>
          <w:rFonts w:ascii="Arial" w:hAnsi="Arial" w:eastAsia="宋体" w:cs="Arial"/>
        </w:rPr>
      </w:pPr>
      <w:r>
        <w:rPr>
          <w:rFonts w:ascii="Arial" w:hAnsi="Arial" w:eastAsia="宋体" w:cs="Arial"/>
        </w:rPr>
        <w:t>干扰研究通常涉及将潜在干扰物质加到患者样品中并与不加干扰物质的对照样品相比较判定甲胎蛋白L3％回收率的任何偏差。</w:t>
      </w:r>
    </w:p>
    <w:p w14:paraId="73627EAE">
      <w:pPr>
        <w:snapToGrid w:val="0"/>
        <w:spacing w:line="300" w:lineRule="auto"/>
        <w:rPr>
          <w:rFonts w:ascii="Arial" w:hAnsi="Arial" w:eastAsia="宋体" w:cs="Arial"/>
        </w:rPr>
      </w:pPr>
    </w:p>
    <w:p w14:paraId="63CC05EC">
      <w:pPr>
        <w:snapToGrid w:val="0"/>
        <w:spacing w:line="300" w:lineRule="auto"/>
        <w:rPr>
          <w:rFonts w:ascii="Arial" w:hAnsi="Arial" w:eastAsia="宋体" w:cs="Arial"/>
        </w:rPr>
      </w:pPr>
      <w:r>
        <w:rPr>
          <w:rFonts w:ascii="Arial" w:hAnsi="Arial" w:eastAsia="宋体" w:cs="Arial"/>
        </w:rPr>
        <w:t>贵公司应对研究设计涉及的下列参数做出描述：</w:t>
      </w:r>
    </w:p>
    <w:p w14:paraId="4FA18A6A">
      <w:pPr>
        <w:snapToGrid w:val="0"/>
        <w:spacing w:line="300" w:lineRule="auto"/>
        <w:rPr>
          <w:rFonts w:ascii="Arial" w:hAnsi="Arial" w:eastAsia="宋体" w:cs="Arial"/>
        </w:rPr>
      </w:pPr>
    </w:p>
    <w:p w14:paraId="15FA22BA">
      <w:pPr>
        <w:pStyle w:val="12"/>
        <w:numPr>
          <w:ilvl w:val="0"/>
          <w:numId w:val="5"/>
        </w:numPr>
        <w:snapToGrid w:val="0"/>
        <w:spacing w:line="300" w:lineRule="auto"/>
        <w:ind w:firstLineChars="0"/>
        <w:rPr>
          <w:rFonts w:ascii="Arial" w:hAnsi="Arial" w:eastAsia="宋体" w:cs="Arial"/>
        </w:rPr>
      </w:pPr>
      <w:r>
        <w:rPr>
          <w:rFonts w:ascii="Arial" w:hAnsi="Arial" w:eastAsia="宋体" w:cs="Arial"/>
        </w:rPr>
        <w:t>被测干扰物质的类型和水平</w:t>
      </w:r>
    </w:p>
    <w:p w14:paraId="34B573C1">
      <w:pPr>
        <w:pStyle w:val="12"/>
        <w:numPr>
          <w:ilvl w:val="0"/>
          <w:numId w:val="5"/>
        </w:numPr>
        <w:snapToGrid w:val="0"/>
        <w:spacing w:line="300" w:lineRule="auto"/>
        <w:ind w:firstLineChars="0"/>
        <w:rPr>
          <w:rFonts w:ascii="Arial" w:hAnsi="Arial" w:eastAsia="宋体" w:cs="Arial"/>
        </w:rPr>
      </w:pPr>
      <w:r>
        <w:rPr>
          <w:rFonts w:ascii="Arial" w:hAnsi="Arial" w:eastAsia="宋体" w:cs="Arial"/>
        </w:rPr>
        <w:t>样品类型</w:t>
      </w:r>
    </w:p>
    <w:p w14:paraId="2F45AFED">
      <w:pPr>
        <w:pStyle w:val="12"/>
        <w:numPr>
          <w:ilvl w:val="0"/>
          <w:numId w:val="5"/>
        </w:numPr>
        <w:snapToGrid w:val="0"/>
        <w:spacing w:line="300" w:lineRule="auto"/>
        <w:ind w:firstLineChars="0"/>
        <w:rPr>
          <w:rFonts w:ascii="Arial" w:hAnsi="Arial" w:eastAsia="宋体" w:cs="Arial"/>
        </w:rPr>
      </w:pPr>
      <w:r>
        <w:rPr>
          <w:rFonts w:ascii="Arial" w:hAnsi="Arial" w:eastAsia="宋体" w:cs="Arial"/>
        </w:rPr>
        <w:t>在干扰物质存在和不存在情况下观察到的甲胎蛋白和甲胎蛋白L3亚组分浓度以及甲胎蛋白L3％。</w:t>
      </w:r>
    </w:p>
    <w:p w14:paraId="7F15EC17">
      <w:pPr>
        <w:pStyle w:val="12"/>
        <w:numPr>
          <w:ilvl w:val="0"/>
          <w:numId w:val="5"/>
        </w:numPr>
        <w:snapToGrid w:val="0"/>
        <w:spacing w:line="300" w:lineRule="auto"/>
        <w:ind w:firstLineChars="0"/>
        <w:rPr>
          <w:rFonts w:ascii="Arial" w:hAnsi="Arial" w:eastAsia="宋体" w:cs="Arial"/>
        </w:rPr>
      </w:pPr>
      <w:r>
        <w:rPr>
          <w:rFonts w:ascii="Arial" w:hAnsi="Arial" w:eastAsia="宋体" w:cs="Arial"/>
        </w:rPr>
        <w:t>贵公司计算干扰物质的定义或公式</w:t>
      </w:r>
    </w:p>
    <w:p w14:paraId="21C5819B">
      <w:pPr>
        <w:pStyle w:val="12"/>
        <w:numPr>
          <w:ilvl w:val="0"/>
          <w:numId w:val="5"/>
        </w:numPr>
        <w:snapToGrid w:val="0"/>
        <w:spacing w:line="300" w:lineRule="auto"/>
        <w:ind w:firstLineChars="0"/>
        <w:rPr>
          <w:rFonts w:ascii="Arial" w:hAnsi="Arial" w:eastAsia="宋体" w:cs="Arial"/>
        </w:rPr>
      </w:pPr>
      <w:r>
        <w:rPr>
          <w:rFonts w:ascii="Arial" w:hAnsi="Arial" w:eastAsia="宋体" w:cs="Arial"/>
        </w:rPr>
        <w:t>贵公司对干扰的判定标准，如不准确度在干扰物质水平Y（浓度）时低于X％。</w:t>
      </w:r>
    </w:p>
    <w:p w14:paraId="63A23D45">
      <w:pPr>
        <w:snapToGrid w:val="0"/>
        <w:spacing w:line="300" w:lineRule="auto"/>
        <w:rPr>
          <w:rFonts w:ascii="Arial" w:hAnsi="Arial" w:eastAsia="宋体" w:cs="Arial"/>
        </w:rPr>
      </w:pPr>
    </w:p>
    <w:p w14:paraId="2C44CAAE">
      <w:pPr>
        <w:snapToGrid w:val="0"/>
        <w:spacing w:line="300" w:lineRule="auto"/>
        <w:rPr>
          <w:rFonts w:ascii="Arial" w:hAnsi="Arial" w:eastAsia="宋体" w:cs="Arial"/>
        </w:rPr>
      </w:pPr>
      <w:r>
        <w:rPr>
          <w:rFonts w:ascii="Arial" w:hAnsi="Arial" w:eastAsia="宋体" w:cs="Arial"/>
        </w:rPr>
        <w:t>贵公司应指出存在特殊干扰物质时观察回收率的范围。我们建议贵公司指出观察到的偏差的任何趋势（如观察到的测定值作为干扰物质浓度的函数增加或降低）。</w:t>
      </w:r>
    </w:p>
    <w:p w14:paraId="3D5A224F">
      <w:pPr>
        <w:snapToGrid w:val="0"/>
        <w:spacing w:line="300" w:lineRule="auto"/>
        <w:rPr>
          <w:rFonts w:ascii="Arial" w:hAnsi="Arial" w:eastAsia="宋体" w:cs="Arial"/>
        </w:rPr>
      </w:pPr>
    </w:p>
    <w:p w14:paraId="274A29C6">
      <w:pPr>
        <w:snapToGrid w:val="0"/>
        <w:spacing w:line="300" w:lineRule="auto"/>
        <w:rPr>
          <w:rFonts w:ascii="Arial" w:hAnsi="Arial" w:eastAsia="宋体" w:cs="Arial"/>
          <w:b/>
        </w:rPr>
      </w:pPr>
      <w:r>
        <w:rPr>
          <w:rFonts w:ascii="Arial" w:hAnsi="Arial" w:eastAsia="宋体" w:cs="Arial"/>
          <w:b/>
        </w:rPr>
        <w:t>交叉反应</w:t>
      </w:r>
    </w:p>
    <w:p w14:paraId="7EFB6191">
      <w:pPr>
        <w:snapToGrid w:val="0"/>
        <w:spacing w:line="300" w:lineRule="auto"/>
        <w:rPr>
          <w:rFonts w:ascii="Arial" w:hAnsi="Arial" w:eastAsia="宋体" w:cs="Arial"/>
        </w:rPr>
      </w:pPr>
    </w:p>
    <w:p w14:paraId="2DD4C061">
      <w:pPr>
        <w:snapToGrid w:val="0"/>
        <w:spacing w:line="300" w:lineRule="auto"/>
        <w:rPr>
          <w:rFonts w:ascii="Arial" w:hAnsi="Arial" w:eastAsia="宋体" w:cs="Arial"/>
        </w:rPr>
      </w:pPr>
      <w:r>
        <w:rPr>
          <w:rFonts w:ascii="Arial" w:hAnsi="Arial" w:eastAsia="宋体" w:cs="Arial"/>
        </w:rPr>
        <w:t>贵公司应采用采自其它胃肠道（GI）癌症和良性疾病（如胃癌、胰腺癌、结肠癌、肝硬化和病毒性肝炎）患者的样品测定贵公司器械的交叉反应性，对测定的特异度做出评估。如果贵公司使用合成物质或提取物质评估交叉反应，应对这些物质的纯度做出评估并将评估信息包含在510（k）提交资料中。</w:t>
      </w:r>
    </w:p>
    <w:p w14:paraId="255B6E09">
      <w:pPr>
        <w:snapToGrid w:val="0"/>
        <w:spacing w:line="300" w:lineRule="auto"/>
        <w:rPr>
          <w:rFonts w:ascii="Arial" w:hAnsi="Arial" w:eastAsia="宋体" w:cs="Arial"/>
        </w:rPr>
      </w:pPr>
    </w:p>
    <w:p w14:paraId="26FB4F7F">
      <w:pPr>
        <w:snapToGrid w:val="0"/>
        <w:spacing w:line="300" w:lineRule="auto"/>
        <w:rPr>
          <w:rFonts w:ascii="Arial" w:hAnsi="Arial" w:eastAsia="宋体" w:cs="Arial"/>
          <w:b/>
        </w:rPr>
      </w:pPr>
      <w:r>
        <w:rPr>
          <w:rFonts w:ascii="Arial" w:hAnsi="Arial" w:eastAsia="宋体" w:cs="Arial"/>
          <w:b/>
        </w:rPr>
        <w:t>检测极限</w:t>
      </w:r>
    </w:p>
    <w:p w14:paraId="29069C3A">
      <w:pPr>
        <w:snapToGrid w:val="0"/>
        <w:spacing w:line="300" w:lineRule="auto"/>
        <w:rPr>
          <w:rFonts w:ascii="Arial" w:hAnsi="Arial" w:eastAsia="宋体" w:cs="Arial"/>
        </w:rPr>
      </w:pPr>
    </w:p>
    <w:p w14:paraId="39BEE053">
      <w:pPr>
        <w:snapToGrid w:val="0"/>
        <w:spacing w:line="300" w:lineRule="auto"/>
        <w:rPr>
          <w:rFonts w:ascii="Arial" w:hAnsi="Arial" w:eastAsia="宋体" w:cs="Arial"/>
        </w:rPr>
      </w:pPr>
      <w:r>
        <w:rPr>
          <w:rFonts w:ascii="Arial" w:hAnsi="Arial" w:eastAsia="宋体" w:cs="Arial"/>
        </w:rPr>
        <w:t>贵公司应对该器械的检测极限做出判定。检测极限代表着该器械能可靠检出并可与0值相区别的甲胎蛋白L3％的最低水平。贵公司应对用来做出该判定的实验设计（如所用样品、测定方法、计算）和检测结果加以描述。关于检测极限判定的进一步讨论见“定量检测极限判定方案”（临床实验室标准研究所文件EP17-A）。</w:t>
      </w:r>
    </w:p>
    <w:p w14:paraId="3DE8A647">
      <w:pPr>
        <w:snapToGrid w:val="0"/>
        <w:spacing w:line="300" w:lineRule="auto"/>
        <w:rPr>
          <w:rFonts w:ascii="Arial" w:hAnsi="Arial" w:eastAsia="宋体" w:cs="Arial"/>
        </w:rPr>
      </w:pPr>
    </w:p>
    <w:p w14:paraId="613F43EC">
      <w:pPr>
        <w:snapToGrid w:val="0"/>
        <w:spacing w:line="300" w:lineRule="auto"/>
        <w:rPr>
          <w:rFonts w:ascii="Arial" w:hAnsi="Arial" w:eastAsia="宋体" w:cs="Arial"/>
          <w:b/>
        </w:rPr>
      </w:pPr>
      <w:r>
        <w:rPr>
          <w:rFonts w:ascii="Arial" w:hAnsi="Arial" w:eastAsia="宋体" w:cs="Arial"/>
          <w:b/>
        </w:rPr>
        <w:t>线性关系</w:t>
      </w:r>
    </w:p>
    <w:p w14:paraId="01664239">
      <w:pPr>
        <w:snapToGrid w:val="0"/>
        <w:spacing w:line="300" w:lineRule="auto"/>
        <w:rPr>
          <w:rFonts w:ascii="Arial" w:hAnsi="Arial" w:eastAsia="宋体" w:cs="Arial"/>
        </w:rPr>
      </w:pPr>
    </w:p>
    <w:p w14:paraId="3B756202">
      <w:pPr>
        <w:widowControl/>
        <w:jc w:val="left"/>
        <w:rPr>
          <w:rFonts w:ascii="Arial" w:hAnsi="Arial" w:eastAsia="宋体" w:cs="Arial"/>
        </w:rPr>
      </w:pPr>
      <w:r>
        <w:rPr>
          <w:rFonts w:ascii="Arial" w:hAnsi="Arial" w:eastAsia="宋体" w:cs="Arial"/>
        </w:rPr>
        <w:br w:type="page"/>
      </w:r>
    </w:p>
    <w:p w14:paraId="0DE1613A">
      <w:pPr>
        <w:snapToGrid w:val="0"/>
        <w:spacing w:line="300" w:lineRule="auto"/>
        <w:rPr>
          <w:rFonts w:ascii="Arial" w:hAnsi="Arial" w:eastAsia="宋体" w:cs="Arial"/>
        </w:rPr>
      </w:pPr>
      <w:r>
        <w:rPr>
          <w:rFonts w:ascii="Arial" w:hAnsi="Arial" w:eastAsia="宋体" w:cs="Arial"/>
        </w:rPr>
        <w:t>贵公司应对器械的线性范围加以验证。我们建议贵公司按照临床实验室标准研究所文件EP6-A“定量分析方法线性关系评估；获批操作指南”中的操作指南实施验证。贵公司应对研究设计（如样品类型和制备、测定方法、计算方法）、该测定的线性范围和贵公司用来确定该范围的验收标准加以描述。</w:t>
      </w:r>
    </w:p>
    <w:p w14:paraId="033314A3">
      <w:pPr>
        <w:snapToGrid w:val="0"/>
        <w:spacing w:line="300" w:lineRule="auto"/>
        <w:rPr>
          <w:rFonts w:ascii="Arial" w:hAnsi="Arial" w:eastAsia="宋体" w:cs="Arial"/>
        </w:rPr>
      </w:pPr>
    </w:p>
    <w:p w14:paraId="51E20C90">
      <w:pPr>
        <w:snapToGrid w:val="0"/>
        <w:spacing w:line="300" w:lineRule="auto"/>
        <w:rPr>
          <w:rFonts w:ascii="Arial" w:hAnsi="Arial" w:eastAsia="宋体" w:cs="Arial"/>
          <w:b/>
        </w:rPr>
      </w:pPr>
      <w:r>
        <w:rPr>
          <w:rFonts w:ascii="Arial" w:hAnsi="Arial" w:eastAsia="宋体" w:cs="Arial"/>
          <w:b/>
        </w:rPr>
        <w:t>校准品和质控材料</w:t>
      </w:r>
    </w:p>
    <w:p w14:paraId="51D3B194">
      <w:pPr>
        <w:snapToGrid w:val="0"/>
        <w:spacing w:line="300" w:lineRule="auto"/>
        <w:rPr>
          <w:rFonts w:ascii="Arial" w:hAnsi="Arial" w:eastAsia="宋体" w:cs="Arial"/>
        </w:rPr>
      </w:pPr>
    </w:p>
    <w:p w14:paraId="6BD63679">
      <w:pPr>
        <w:snapToGrid w:val="0"/>
        <w:spacing w:line="300" w:lineRule="auto"/>
        <w:rPr>
          <w:rFonts w:ascii="Arial" w:hAnsi="Arial" w:eastAsia="宋体" w:cs="Arial"/>
        </w:rPr>
      </w:pPr>
      <w:r>
        <w:rPr>
          <w:rFonts w:ascii="Arial" w:hAnsi="Arial" w:eastAsia="宋体" w:cs="Arial"/>
        </w:rPr>
        <w:t>如果贵公司的器械中包含了校准品和质控材料，贵公司应在510（k）提交资料中包含下列信息：</w:t>
      </w:r>
    </w:p>
    <w:p w14:paraId="1FBDFAE5">
      <w:pPr>
        <w:snapToGrid w:val="0"/>
        <w:spacing w:line="300" w:lineRule="auto"/>
        <w:rPr>
          <w:rFonts w:ascii="Arial" w:hAnsi="Arial" w:eastAsia="宋体" w:cs="Arial"/>
        </w:rPr>
      </w:pPr>
    </w:p>
    <w:p w14:paraId="4C609B7D">
      <w:pPr>
        <w:snapToGrid w:val="0"/>
        <w:spacing w:line="300" w:lineRule="auto"/>
        <w:rPr>
          <w:rFonts w:ascii="Arial" w:hAnsi="Arial" w:eastAsia="宋体" w:cs="Arial"/>
        </w:rPr>
      </w:pPr>
      <w:r>
        <w:rPr>
          <w:rFonts w:ascii="Arial" w:hAnsi="Arial" w:eastAsia="宋体" w:cs="Arial"/>
        </w:rPr>
        <w:t>·对已打开和未打开校准品与质控材料进行实时或加速稳定性研究的研究方案和验收标准。其中应包含贵公司使用的方法或分析与截止日期回收率的验收标准。</w:t>
      </w:r>
    </w:p>
    <w:p w14:paraId="5EE937F8">
      <w:pPr>
        <w:snapToGrid w:val="0"/>
        <w:spacing w:line="300" w:lineRule="auto"/>
        <w:rPr>
          <w:rFonts w:ascii="Arial" w:hAnsi="Arial" w:eastAsia="宋体" w:cs="Arial"/>
        </w:rPr>
      </w:pPr>
      <w:r>
        <w:rPr>
          <w:rFonts w:ascii="Arial" w:hAnsi="Arial" w:eastAsia="宋体" w:cs="Arial"/>
        </w:rPr>
        <w:t>·对各种水平的校准品和质控材料进行质控值分配与确认的研究方案和验收标准。其中应包含所用方法或分析。</w:t>
      </w:r>
    </w:p>
    <w:p w14:paraId="292548EB">
      <w:pPr>
        <w:snapToGrid w:val="0"/>
        <w:spacing w:line="300" w:lineRule="auto"/>
        <w:rPr>
          <w:rFonts w:ascii="Arial" w:hAnsi="Arial" w:eastAsia="宋体" w:cs="Arial"/>
        </w:rPr>
      </w:pPr>
      <w:r>
        <w:rPr>
          <w:rFonts w:ascii="Arial" w:hAnsi="Arial" w:eastAsia="宋体" w:cs="Arial"/>
        </w:rPr>
        <w:t>·对国内或国际标准参比材料（如英国国家生物制品检定所制定的第1个甲胎蛋白国际标准）可追溯性的确认。</w:t>
      </w:r>
    </w:p>
    <w:p w14:paraId="050D3192">
      <w:pPr>
        <w:snapToGrid w:val="0"/>
        <w:spacing w:line="300" w:lineRule="auto"/>
        <w:rPr>
          <w:rFonts w:ascii="Arial" w:hAnsi="Arial" w:eastAsia="宋体" w:cs="Arial"/>
        </w:rPr>
      </w:pPr>
    </w:p>
    <w:p w14:paraId="5D91DF1A">
      <w:pPr>
        <w:snapToGrid w:val="0"/>
        <w:spacing w:line="300" w:lineRule="auto"/>
        <w:rPr>
          <w:rFonts w:ascii="Arial" w:hAnsi="Arial" w:eastAsia="宋体" w:cs="Arial"/>
        </w:rPr>
      </w:pPr>
      <w:r>
        <w:rPr>
          <w:rFonts w:ascii="Arial" w:hAnsi="Arial" w:eastAsia="宋体" w:cs="Arial"/>
        </w:rPr>
        <w:t>关于根据21 CFR 862.1150规定作为II类器械单独销售的校准品见“体外诊断校准品简化510（k）提交资料”指导性文件。</w:t>
      </w:r>
    </w:p>
    <w:p w14:paraId="774E3A32">
      <w:pPr>
        <w:snapToGrid w:val="0"/>
        <w:spacing w:line="300" w:lineRule="auto"/>
        <w:rPr>
          <w:rFonts w:ascii="Arial" w:hAnsi="Arial" w:eastAsia="宋体" w:cs="Arial"/>
        </w:rPr>
      </w:pPr>
    </w:p>
    <w:p w14:paraId="5532D549">
      <w:pPr>
        <w:snapToGrid w:val="0"/>
        <w:spacing w:line="300" w:lineRule="auto"/>
        <w:rPr>
          <w:rFonts w:ascii="Arial" w:hAnsi="Arial" w:eastAsia="宋体" w:cs="Arial"/>
          <w:b/>
        </w:rPr>
      </w:pPr>
      <w:r>
        <w:rPr>
          <w:rFonts w:ascii="Arial" w:hAnsi="Arial" w:eastAsia="宋体" w:cs="Arial"/>
          <w:b/>
        </w:rPr>
        <w:t>样品采集和处理条件</w:t>
      </w:r>
    </w:p>
    <w:p w14:paraId="696577E8">
      <w:pPr>
        <w:snapToGrid w:val="0"/>
        <w:spacing w:line="300" w:lineRule="auto"/>
        <w:rPr>
          <w:rFonts w:ascii="Arial" w:hAnsi="Arial" w:eastAsia="宋体" w:cs="Arial"/>
        </w:rPr>
      </w:pPr>
    </w:p>
    <w:p w14:paraId="27B036BC">
      <w:pPr>
        <w:snapToGrid w:val="0"/>
        <w:spacing w:line="300" w:lineRule="auto"/>
        <w:rPr>
          <w:rFonts w:ascii="Arial" w:hAnsi="Arial" w:eastAsia="宋体" w:cs="Arial"/>
        </w:rPr>
      </w:pPr>
      <w:r>
        <w:rPr>
          <w:rFonts w:ascii="Arial" w:hAnsi="Arial" w:eastAsia="宋体" w:cs="Arial"/>
        </w:rPr>
        <w:t>贵公司应在标签中具体描述样品储存和运输的推荐规范。我们建议贵公司确定在标签中建议用户采取的储存时间和温度（包括冻融周期）条件下该器械是否能维持合格性能（如精密度、偏差）。贵公司应对用来确定储存条件的结果和性能标准加以描述。</w:t>
      </w:r>
    </w:p>
    <w:p w14:paraId="469A5115">
      <w:pPr>
        <w:snapToGrid w:val="0"/>
        <w:spacing w:line="300" w:lineRule="auto"/>
        <w:rPr>
          <w:rFonts w:ascii="Arial" w:hAnsi="Arial" w:eastAsia="宋体" w:cs="Arial"/>
        </w:rPr>
      </w:pPr>
    </w:p>
    <w:p w14:paraId="0F845740">
      <w:pPr>
        <w:snapToGrid w:val="0"/>
        <w:spacing w:line="300" w:lineRule="auto"/>
        <w:rPr>
          <w:rFonts w:ascii="Arial" w:hAnsi="Arial" w:eastAsia="宋体" w:cs="Arial"/>
          <w:b/>
        </w:rPr>
      </w:pPr>
      <w:r>
        <w:rPr>
          <w:rFonts w:ascii="Arial" w:hAnsi="Arial" w:eastAsia="宋体" w:cs="Arial"/>
          <w:b/>
        </w:rPr>
        <w:t>8. 方法比较</w:t>
      </w:r>
    </w:p>
    <w:p w14:paraId="1A90B0EE">
      <w:pPr>
        <w:snapToGrid w:val="0"/>
        <w:spacing w:line="300" w:lineRule="auto"/>
        <w:rPr>
          <w:rFonts w:ascii="Arial" w:hAnsi="Arial" w:eastAsia="宋体" w:cs="Arial"/>
        </w:rPr>
      </w:pPr>
    </w:p>
    <w:p w14:paraId="1E37A40F">
      <w:pPr>
        <w:snapToGrid w:val="0"/>
        <w:spacing w:line="300" w:lineRule="auto"/>
        <w:rPr>
          <w:rFonts w:ascii="Arial" w:hAnsi="Arial" w:eastAsia="宋体" w:cs="Arial"/>
          <w:b/>
        </w:rPr>
      </w:pPr>
      <w:r>
        <w:rPr>
          <w:rFonts w:ascii="Arial" w:hAnsi="Arial" w:eastAsia="宋体" w:cs="Arial"/>
          <w:b/>
        </w:rPr>
        <w:t>研究设计：</w:t>
      </w:r>
    </w:p>
    <w:p w14:paraId="28146611">
      <w:pPr>
        <w:snapToGrid w:val="0"/>
        <w:spacing w:line="300" w:lineRule="auto"/>
        <w:rPr>
          <w:rFonts w:ascii="Arial" w:hAnsi="Arial" w:eastAsia="宋体" w:cs="Arial"/>
        </w:rPr>
      </w:pPr>
    </w:p>
    <w:p w14:paraId="06BC2573">
      <w:pPr>
        <w:snapToGrid w:val="0"/>
        <w:spacing w:line="300" w:lineRule="auto"/>
        <w:rPr>
          <w:rFonts w:ascii="Arial" w:hAnsi="Arial" w:eastAsia="宋体" w:cs="Arial"/>
        </w:rPr>
      </w:pPr>
      <w:r>
        <w:rPr>
          <w:rFonts w:ascii="Arial" w:hAnsi="Arial" w:eastAsia="宋体" w:cs="Arial"/>
        </w:rPr>
        <w:t>贵公司应对使用贵公司的器械获得的结果与使用具有相似适应症、合法销售的比较器械获得的结果加以比较。我们还建议将贵公司的器械和某种公认的参比方法（如果可用的话）进行比较。如果新器械和比较器械在方法/技术上存在明显差别，则尤其需要进行这种比较。我们建议贵公司按照临床实验室标准研究所文件EP9-A“采用患者样品进行方法比较和偏差估计”中提供的操作指南进行上述比较。</w:t>
      </w:r>
    </w:p>
    <w:p w14:paraId="3636F426">
      <w:pPr>
        <w:snapToGrid w:val="0"/>
        <w:spacing w:line="300" w:lineRule="auto"/>
        <w:rPr>
          <w:rFonts w:ascii="Arial" w:hAnsi="Arial" w:eastAsia="宋体" w:cs="Arial"/>
        </w:rPr>
      </w:pPr>
    </w:p>
    <w:p w14:paraId="4B0B8CC3">
      <w:pPr>
        <w:snapToGrid w:val="0"/>
        <w:spacing w:line="300" w:lineRule="auto"/>
        <w:rPr>
          <w:rFonts w:ascii="Arial" w:hAnsi="Arial" w:eastAsia="宋体" w:cs="Arial"/>
        </w:rPr>
      </w:pPr>
      <w:r>
        <w:rPr>
          <w:rFonts w:ascii="Arial" w:hAnsi="Arial" w:eastAsia="宋体" w:cs="Arial"/>
        </w:rPr>
        <w:t>贵公司应对研究加以设计，以便研究结果能证实贵公司的检验结果与样本所体现的患者发生肝细胞癌的相对风险状态之间的联系。检验结果尤其应证实肝细胞癌发生频率与采用贵公司的检验方法所得甲胎蛋白L3％之间的相关关系。该研究应重视贵公司在标签描述中标示的风险评定时间范围。例如，如果标签标示该检验对3年内罹患肝细胞癌的风险进行了评估，那么，贵公司在研究中分析的样品应包含患者3年间的纵向样品。开始这项研究前，贵公司可与免疫学和血液学检测器械部联系，征求他们对贵公司提出的研究设计的意见。</w:t>
      </w:r>
    </w:p>
    <w:p w14:paraId="44668181">
      <w:pPr>
        <w:snapToGrid w:val="0"/>
        <w:spacing w:line="300" w:lineRule="auto"/>
        <w:rPr>
          <w:rFonts w:ascii="Arial" w:hAnsi="Arial" w:eastAsia="宋体" w:cs="Arial"/>
          <w:b/>
        </w:rPr>
      </w:pPr>
      <w:r>
        <w:rPr>
          <w:rFonts w:ascii="Arial" w:hAnsi="Arial" w:eastAsia="宋体" w:cs="Arial"/>
          <w:b/>
        </w:rPr>
        <w:t>结果报告：</w:t>
      </w:r>
    </w:p>
    <w:p w14:paraId="3FCA1910">
      <w:pPr>
        <w:snapToGrid w:val="0"/>
        <w:spacing w:line="300" w:lineRule="auto"/>
        <w:rPr>
          <w:rFonts w:ascii="Arial" w:hAnsi="Arial" w:eastAsia="宋体" w:cs="Arial"/>
        </w:rPr>
      </w:pPr>
    </w:p>
    <w:p w14:paraId="32B1EED5">
      <w:pPr>
        <w:snapToGrid w:val="0"/>
        <w:spacing w:line="300" w:lineRule="auto"/>
        <w:rPr>
          <w:rFonts w:ascii="Arial" w:hAnsi="Arial" w:eastAsia="宋体" w:cs="Arial"/>
        </w:rPr>
      </w:pPr>
      <w:r>
        <w:rPr>
          <w:rFonts w:ascii="Arial" w:hAnsi="Arial" w:eastAsia="宋体" w:cs="Arial"/>
        </w:rPr>
        <w:t>贵公司提供的结果应证实在AFP-L3％测定值和接受研究患者罹患肝细胞癌的相对风险状况间观察到了相关关系。</w:t>
      </w:r>
    </w:p>
    <w:p w14:paraId="696B9018">
      <w:pPr>
        <w:snapToGrid w:val="0"/>
        <w:spacing w:line="300" w:lineRule="auto"/>
        <w:rPr>
          <w:rFonts w:ascii="Arial" w:hAnsi="Arial" w:eastAsia="宋体" w:cs="Arial"/>
        </w:rPr>
      </w:pPr>
    </w:p>
    <w:p w14:paraId="62D34835">
      <w:pPr>
        <w:snapToGrid w:val="0"/>
        <w:spacing w:line="300" w:lineRule="auto"/>
        <w:rPr>
          <w:rFonts w:ascii="Arial" w:hAnsi="Arial" w:eastAsia="宋体" w:cs="Arial"/>
        </w:rPr>
      </w:pPr>
      <w:r>
        <w:rPr>
          <w:rFonts w:ascii="Arial" w:hAnsi="Arial" w:eastAsia="宋体" w:cs="Arial"/>
        </w:rPr>
        <w:t>如果人口因素（如年龄和性别）有可能使结果出现偏差，贵公司应根据人口因素对结果进行分层分析。</w:t>
      </w:r>
    </w:p>
    <w:p w14:paraId="66F8EB02">
      <w:pPr>
        <w:snapToGrid w:val="0"/>
        <w:spacing w:line="300" w:lineRule="auto"/>
        <w:rPr>
          <w:rFonts w:ascii="Arial" w:hAnsi="Arial" w:eastAsia="宋体" w:cs="Arial"/>
        </w:rPr>
      </w:pPr>
    </w:p>
    <w:p w14:paraId="70E5EA53">
      <w:pPr>
        <w:snapToGrid w:val="0"/>
        <w:spacing w:line="300" w:lineRule="auto"/>
        <w:rPr>
          <w:rFonts w:ascii="Arial" w:hAnsi="Arial" w:eastAsia="宋体" w:cs="Arial"/>
        </w:rPr>
      </w:pPr>
      <w:r>
        <w:rPr>
          <w:rFonts w:ascii="Arial" w:hAnsi="Arial" w:eastAsia="宋体" w:cs="Arial"/>
        </w:rPr>
        <w:t>贵公司应将根据新检测器械的检测结果（Y轴）与比较器械的检测结果（X轴）绘制的散点图包含在提交资料中。在散点图中包含了所有数据点、估计回归直线和等值线。数据点应代表各测定值。贵公司应提供对用来拟合回归直线的分析方法和回归分析结果的描述。结果应包括斜率和截距及其95％可信限、估计值（在Y方向计算的）的标准误差和相关系数。我们建议贵公司采用</w:t>
      </w:r>
      <w:bookmarkStart w:id="40" w:name="OLE_LINK9"/>
      <w:bookmarkStart w:id="41" w:name="OLE_LINK10"/>
      <w:r>
        <w:rPr>
          <w:rFonts w:ascii="Arial" w:hAnsi="Arial" w:eastAsia="宋体" w:cs="Arial"/>
        </w:rPr>
        <w:t>戴明回归法</w:t>
      </w:r>
      <w:bookmarkEnd w:id="40"/>
      <w:bookmarkEnd w:id="41"/>
      <w:r>
        <w:rPr>
          <w:rFonts w:ascii="Arial" w:hAnsi="Arial" w:eastAsia="宋体" w:cs="Arial"/>
        </w:rPr>
        <w:t>或在适当时候采用可说明两种检测系统变异性的另一种方法。</w:t>
      </w:r>
    </w:p>
    <w:p w14:paraId="3B1B6076">
      <w:pPr>
        <w:snapToGrid w:val="0"/>
        <w:spacing w:line="300" w:lineRule="auto"/>
        <w:rPr>
          <w:rFonts w:ascii="Arial" w:hAnsi="Arial" w:eastAsia="宋体" w:cs="Arial"/>
        </w:rPr>
      </w:pPr>
    </w:p>
    <w:p w14:paraId="5620D216">
      <w:pPr>
        <w:snapToGrid w:val="0"/>
        <w:spacing w:line="300" w:lineRule="auto"/>
        <w:rPr>
          <w:rFonts w:ascii="Arial" w:hAnsi="Arial" w:eastAsia="宋体" w:cs="Arial"/>
          <w:b/>
        </w:rPr>
      </w:pPr>
      <w:r>
        <w:rPr>
          <w:rFonts w:ascii="Arial" w:hAnsi="Arial" w:eastAsia="宋体" w:cs="Arial"/>
          <w:b/>
        </w:rPr>
        <w:t>9. 预期值</w:t>
      </w:r>
    </w:p>
    <w:p w14:paraId="4287B3DB">
      <w:pPr>
        <w:snapToGrid w:val="0"/>
        <w:spacing w:line="300" w:lineRule="auto"/>
        <w:rPr>
          <w:rFonts w:ascii="Arial" w:hAnsi="Arial" w:eastAsia="宋体" w:cs="Arial"/>
        </w:rPr>
      </w:pPr>
    </w:p>
    <w:p w14:paraId="6FCC9CA7">
      <w:pPr>
        <w:snapToGrid w:val="0"/>
        <w:spacing w:line="300" w:lineRule="auto"/>
        <w:rPr>
          <w:rFonts w:ascii="Arial" w:hAnsi="Arial" w:eastAsia="宋体" w:cs="Arial"/>
        </w:rPr>
      </w:pPr>
      <w:r>
        <w:rPr>
          <w:rFonts w:ascii="Arial" w:hAnsi="Arial" w:eastAsia="宋体" w:cs="Arial"/>
        </w:rPr>
        <w:t>在正常健康受试者体内通常不能检出甲胎蛋白L3亚组分，但当正常肝细胞转化为肝癌时可特异性地产生该亚组分。因此，我们建议在贵公司的数据和标签上显示在健康个体、良性肝病、其它胃肠道癌症和良性疾病患者体内无甲胎蛋白L3％。我们建议贵公司参考临床实验室标准研究所文件C-28“临床实验室如何定义和确定参考范围；获批操作指南”。</w:t>
      </w:r>
    </w:p>
    <w:p w14:paraId="40DA0F94">
      <w:pPr>
        <w:snapToGrid w:val="0"/>
        <w:spacing w:line="300" w:lineRule="auto"/>
        <w:rPr>
          <w:rFonts w:ascii="Arial" w:hAnsi="Arial" w:eastAsia="宋体" w:cs="Arial"/>
        </w:rPr>
      </w:pPr>
    </w:p>
    <w:p w14:paraId="5A23045B">
      <w:pPr>
        <w:snapToGrid w:val="0"/>
        <w:spacing w:line="300" w:lineRule="auto"/>
        <w:rPr>
          <w:rFonts w:ascii="Arial" w:hAnsi="Arial" w:eastAsia="宋体" w:cs="Arial"/>
          <w:b/>
        </w:rPr>
      </w:pPr>
      <w:r>
        <w:rPr>
          <w:rFonts w:ascii="Arial" w:hAnsi="Arial" w:eastAsia="宋体" w:cs="Arial"/>
          <w:b/>
        </w:rPr>
        <w:t>10. 标签</w:t>
      </w:r>
    </w:p>
    <w:p w14:paraId="3B446B1E">
      <w:pPr>
        <w:snapToGrid w:val="0"/>
        <w:spacing w:line="300" w:lineRule="auto"/>
        <w:rPr>
          <w:rFonts w:ascii="Arial" w:hAnsi="Arial" w:eastAsia="宋体" w:cs="Arial"/>
        </w:rPr>
      </w:pPr>
    </w:p>
    <w:p w14:paraId="3FAC5090">
      <w:pPr>
        <w:snapToGrid w:val="0"/>
        <w:spacing w:line="300" w:lineRule="auto"/>
        <w:rPr>
          <w:rFonts w:ascii="Arial" w:hAnsi="Arial" w:eastAsia="宋体" w:cs="Arial"/>
        </w:rPr>
      </w:pPr>
      <w:r>
        <w:rPr>
          <w:rFonts w:ascii="Arial" w:hAnsi="Arial" w:eastAsia="宋体" w:cs="Arial"/>
        </w:rPr>
        <w:t>上市前通告中应包含符合21 CFR 807.87(e)要求、有足够细节的标签。下列建议的目的是帮助贵公司准备这些要求的标签。尽管批准510（k）提交资料不需要最终标签，但将体外诊断器械引入州际贸易前，其最终标签必须符合21 CFR 809.10部分的要求。</w:t>
      </w:r>
    </w:p>
    <w:p w14:paraId="076671AE">
      <w:pPr>
        <w:snapToGrid w:val="0"/>
        <w:spacing w:line="300" w:lineRule="auto"/>
        <w:rPr>
          <w:rFonts w:ascii="Arial" w:hAnsi="Arial" w:eastAsia="宋体" w:cs="Arial"/>
        </w:rPr>
      </w:pPr>
    </w:p>
    <w:p w14:paraId="076151B8">
      <w:pPr>
        <w:snapToGrid w:val="0"/>
        <w:spacing w:line="300" w:lineRule="auto"/>
        <w:rPr>
          <w:rFonts w:ascii="Arial" w:hAnsi="Arial" w:eastAsia="宋体" w:cs="Arial"/>
          <w:b/>
        </w:rPr>
      </w:pPr>
      <w:r>
        <w:rPr>
          <w:rFonts w:ascii="Arial" w:hAnsi="Arial" w:eastAsia="宋体" w:cs="Arial"/>
          <w:b/>
        </w:rPr>
        <w:t>预期用途</w:t>
      </w:r>
    </w:p>
    <w:p w14:paraId="34108575">
      <w:pPr>
        <w:snapToGrid w:val="0"/>
        <w:spacing w:line="300" w:lineRule="auto"/>
        <w:rPr>
          <w:rFonts w:ascii="Arial" w:hAnsi="Arial" w:eastAsia="宋体" w:cs="Arial"/>
        </w:rPr>
      </w:pPr>
    </w:p>
    <w:p w14:paraId="68B9F2AD">
      <w:pPr>
        <w:snapToGrid w:val="0"/>
        <w:spacing w:line="300" w:lineRule="auto"/>
        <w:rPr>
          <w:rFonts w:ascii="Arial" w:hAnsi="Arial" w:eastAsia="宋体" w:cs="Arial"/>
        </w:rPr>
      </w:pPr>
      <w:r>
        <w:rPr>
          <w:rFonts w:ascii="Arial" w:hAnsi="Arial" w:eastAsia="宋体" w:cs="Arial"/>
        </w:rPr>
        <w:t>预期用途应与该检测器械的性能特征和这些研究检测的患者人群相适合。</w:t>
      </w:r>
    </w:p>
    <w:p w14:paraId="3D73AD8D">
      <w:pPr>
        <w:snapToGrid w:val="0"/>
        <w:spacing w:line="300" w:lineRule="auto"/>
        <w:rPr>
          <w:rFonts w:ascii="Arial" w:hAnsi="Arial" w:eastAsia="宋体" w:cs="Arial"/>
        </w:rPr>
      </w:pPr>
    </w:p>
    <w:p w14:paraId="0D39CAAB">
      <w:pPr>
        <w:snapToGrid w:val="0"/>
        <w:spacing w:line="300" w:lineRule="auto"/>
        <w:rPr>
          <w:rFonts w:ascii="Arial" w:hAnsi="Arial" w:eastAsia="宋体" w:cs="Arial"/>
          <w:b/>
        </w:rPr>
      </w:pPr>
      <w:r>
        <w:rPr>
          <w:rFonts w:ascii="Arial" w:hAnsi="Arial" w:eastAsia="宋体" w:cs="Arial"/>
          <w:b/>
        </w:rPr>
        <w:t>方法原理</w:t>
      </w:r>
    </w:p>
    <w:p w14:paraId="135191FF">
      <w:pPr>
        <w:snapToGrid w:val="0"/>
        <w:spacing w:line="300" w:lineRule="auto"/>
        <w:rPr>
          <w:rFonts w:ascii="Arial" w:hAnsi="Arial" w:eastAsia="宋体" w:cs="Arial"/>
        </w:rPr>
      </w:pPr>
    </w:p>
    <w:p w14:paraId="2AFF2DBD">
      <w:pPr>
        <w:snapToGrid w:val="0"/>
        <w:spacing w:line="300" w:lineRule="auto"/>
        <w:rPr>
          <w:rFonts w:ascii="Arial" w:hAnsi="Arial" w:eastAsia="宋体" w:cs="Arial"/>
        </w:rPr>
      </w:pPr>
      <w:r>
        <w:rPr>
          <w:rFonts w:ascii="Arial" w:hAnsi="Arial" w:eastAsia="宋体" w:cs="Arial"/>
        </w:rPr>
        <w:t>贵公司应在标签中包含对该器械技术特征和如何在患者身上使用该器械清晰、简洁的描述。另外，在标签中应包含对附带试剂成分和运行该检测器械所需器械配置的描述。</w:t>
      </w:r>
    </w:p>
    <w:p w14:paraId="12AEF9E2">
      <w:pPr>
        <w:snapToGrid w:val="0"/>
        <w:spacing w:line="300" w:lineRule="auto"/>
        <w:rPr>
          <w:rFonts w:ascii="Arial" w:hAnsi="Arial" w:eastAsia="宋体" w:cs="Arial"/>
        </w:rPr>
      </w:pPr>
    </w:p>
    <w:p w14:paraId="7DF45468">
      <w:pPr>
        <w:snapToGrid w:val="0"/>
        <w:spacing w:line="300" w:lineRule="auto"/>
        <w:rPr>
          <w:rFonts w:ascii="Arial" w:hAnsi="Arial" w:eastAsia="宋体" w:cs="Arial"/>
          <w:b/>
        </w:rPr>
      </w:pPr>
      <w:r>
        <w:rPr>
          <w:rFonts w:ascii="Arial" w:hAnsi="Arial" w:eastAsia="宋体" w:cs="Arial"/>
          <w:b/>
        </w:rPr>
        <w:t>使用说明</w:t>
      </w:r>
    </w:p>
    <w:p w14:paraId="0CAF3A4D">
      <w:pPr>
        <w:snapToGrid w:val="0"/>
        <w:spacing w:line="300" w:lineRule="auto"/>
        <w:rPr>
          <w:rFonts w:ascii="Arial" w:hAnsi="Arial" w:eastAsia="宋体" w:cs="Arial"/>
        </w:rPr>
      </w:pPr>
    </w:p>
    <w:p w14:paraId="54A89C96">
      <w:pPr>
        <w:snapToGrid w:val="0"/>
        <w:spacing w:line="300" w:lineRule="auto"/>
        <w:rPr>
          <w:rFonts w:ascii="Arial" w:hAnsi="Arial" w:eastAsia="宋体" w:cs="Arial"/>
        </w:rPr>
      </w:pPr>
      <w:r>
        <w:rPr>
          <w:rFonts w:ascii="Arial" w:hAnsi="Arial" w:eastAsia="宋体" w:cs="Arial"/>
        </w:rPr>
        <w:t>贵公司应在标签中包含对测定规程的清晰说明。</w:t>
      </w:r>
    </w:p>
    <w:p w14:paraId="4AF34EF9">
      <w:pPr>
        <w:snapToGrid w:val="0"/>
        <w:spacing w:line="300" w:lineRule="auto"/>
        <w:rPr>
          <w:rFonts w:ascii="Arial" w:hAnsi="Arial" w:eastAsia="宋体" w:cs="Arial"/>
        </w:rPr>
      </w:pPr>
    </w:p>
    <w:p w14:paraId="2C9A89A0">
      <w:pPr>
        <w:snapToGrid w:val="0"/>
        <w:spacing w:line="300" w:lineRule="auto"/>
        <w:rPr>
          <w:rFonts w:ascii="Arial" w:hAnsi="Arial" w:eastAsia="宋体" w:cs="Arial"/>
          <w:b/>
        </w:rPr>
      </w:pPr>
      <w:r>
        <w:rPr>
          <w:rFonts w:ascii="Arial" w:hAnsi="Arial" w:eastAsia="宋体" w:cs="Arial"/>
          <w:b/>
        </w:rPr>
        <w:t>样品采集和处理条件/稳定性</w:t>
      </w:r>
    </w:p>
    <w:p w14:paraId="7BED1658">
      <w:pPr>
        <w:snapToGrid w:val="0"/>
        <w:spacing w:line="300" w:lineRule="auto"/>
        <w:rPr>
          <w:rFonts w:ascii="Arial" w:hAnsi="Arial" w:eastAsia="宋体" w:cs="Arial"/>
        </w:rPr>
      </w:pPr>
    </w:p>
    <w:p w14:paraId="5690C707">
      <w:pPr>
        <w:snapToGrid w:val="0"/>
        <w:spacing w:line="300" w:lineRule="auto"/>
        <w:rPr>
          <w:rFonts w:ascii="Arial" w:hAnsi="Arial" w:eastAsia="宋体" w:cs="Arial"/>
        </w:rPr>
      </w:pPr>
      <w:r>
        <w:rPr>
          <w:rFonts w:ascii="Arial" w:hAnsi="Arial" w:eastAsia="宋体" w:cs="Arial"/>
        </w:rPr>
        <w:t>贵公司应在标签中包含样品稳定性和完整性参数的验收标准。贵公司还应对经过确认的样品运输、储存、温度和规定冻融周期数诸条件做出清晰描述。</w:t>
      </w:r>
    </w:p>
    <w:p w14:paraId="3C2FBD99">
      <w:pPr>
        <w:snapToGrid w:val="0"/>
        <w:spacing w:line="300" w:lineRule="auto"/>
        <w:rPr>
          <w:rFonts w:ascii="Arial" w:hAnsi="Arial" w:eastAsia="宋体" w:cs="Arial"/>
        </w:rPr>
      </w:pPr>
    </w:p>
    <w:p w14:paraId="4916B3D3">
      <w:pPr>
        <w:snapToGrid w:val="0"/>
        <w:spacing w:line="300" w:lineRule="auto"/>
        <w:rPr>
          <w:rFonts w:ascii="Arial" w:hAnsi="Arial" w:eastAsia="宋体" w:cs="Arial"/>
          <w:b/>
        </w:rPr>
      </w:pPr>
      <w:r>
        <w:rPr>
          <w:rFonts w:ascii="Arial" w:hAnsi="Arial" w:eastAsia="宋体" w:cs="Arial"/>
          <w:b/>
        </w:rPr>
        <w:t>质量控制</w:t>
      </w:r>
    </w:p>
    <w:p w14:paraId="2555C328">
      <w:pPr>
        <w:snapToGrid w:val="0"/>
        <w:spacing w:line="300" w:lineRule="auto"/>
        <w:rPr>
          <w:rFonts w:ascii="Arial" w:hAnsi="Arial" w:eastAsia="宋体" w:cs="Arial"/>
        </w:rPr>
      </w:pPr>
    </w:p>
    <w:p w14:paraId="4ABE49AB">
      <w:pPr>
        <w:snapToGrid w:val="0"/>
        <w:spacing w:line="300" w:lineRule="auto"/>
        <w:rPr>
          <w:rFonts w:ascii="Arial" w:hAnsi="Arial" w:eastAsia="宋体" w:cs="Arial"/>
        </w:rPr>
      </w:pPr>
      <w:r>
        <w:rPr>
          <w:rFonts w:ascii="Arial" w:hAnsi="Arial" w:eastAsia="宋体" w:cs="Arial"/>
        </w:rPr>
        <w:t>贵公司应提供对质控推荐规范的描述。在描述中应包含对该检测器械所用质控品和质控材料预期结果的清晰说明。</w:t>
      </w:r>
    </w:p>
    <w:p w14:paraId="6CA727B5">
      <w:pPr>
        <w:snapToGrid w:val="0"/>
        <w:spacing w:line="300" w:lineRule="auto"/>
        <w:rPr>
          <w:rFonts w:ascii="Arial" w:hAnsi="Arial" w:eastAsia="宋体" w:cs="Arial"/>
        </w:rPr>
      </w:pPr>
    </w:p>
    <w:p w14:paraId="4B2D8127">
      <w:pPr>
        <w:snapToGrid w:val="0"/>
        <w:spacing w:line="300" w:lineRule="auto"/>
        <w:rPr>
          <w:rFonts w:ascii="Arial" w:hAnsi="Arial" w:eastAsia="宋体" w:cs="Arial"/>
          <w:b/>
        </w:rPr>
      </w:pPr>
      <w:r>
        <w:rPr>
          <w:rFonts w:ascii="Arial" w:hAnsi="Arial" w:eastAsia="宋体" w:cs="Arial"/>
          <w:b/>
        </w:rPr>
        <w:t>工具配置</w:t>
      </w:r>
    </w:p>
    <w:p w14:paraId="36BE5E4B">
      <w:pPr>
        <w:snapToGrid w:val="0"/>
        <w:spacing w:line="300" w:lineRule="auto"/>
        <w:rPr>
          <w:rFonts w:ascii="Arial" w:hAnsi="Arial" w:eastAsia="宋体" w:cs="Arial"/>
        </w:rPr>
      </w:pPr>
    </w:p>
    <w:p w14:paraId="7892A8FF">
      <w:pPr>
        <w:snapToGrid w:val="0"/>
        <w:spacing w:line="300" w:lineRule="auto"/>
        <w:rPr>
          <w:rFonts w:ascii="Arial" w:hAnsi="Arial" w:eastAsia="宋体" w:cs="Arial"/>
        </w:rPr>
      </w:pPr>
      <w:r>
        <w:rPr>
          <w:rFonts w:ascii="Arial" w:hAnsi="Arial" w:eastAsia="宋体" w:cs="Arial"/>
        </w:rPr>
        <w:t>贵公司应提供一个用户手册，对规定器械配置的所有组件做出说明。在贵公司的用户手册中应对软件的作用、软件的用户界面和性能检测结果提供详细描述，证明软件能发挥设计功能。我们建议贵公司提供计算机屏幕的图示表达、图形用户界面（GUI）和有助于用户正确使用软件的其它元素。</w:t>
      </w:r>
    </w:p>
    <w:p w14:paraId="041766E3">
      <w:pPr>
        <w:snapToGrid w:val="0"/>
        <w:spacing w:line="300" w:lineRule="auto"/>
        <w:rPr>
          <w:rFonts w:ascii="Arial" w:hAnsi="Arial" w:eastAsia="宋体" w:cs="Arial"/>
        </w:rPr>
      </w:pPr>
    </w:p>
    <w:p w14:paraId="7AD7247D">
      <w:pPr>
        <w:snapToGrid w:val="0"/>
        <w:spacing w:line="300" w:lineRule="auto"/>
        <w:rPr>
          <w:rFonts w:ascii="Arial" w:hAnsi="Arial" w:eastAsia="宋体" w:cs="Arial"/>
        </w:rPr>
      </w:pPr>
      <w:r>
        <w:rPr>
          <w:rFonts w:ascii="Arial" w:hAnsi="Arial" w:eastAsia="宋体" w:cs="Arial"/>
        </w:rPr>
        <w:t>在可能情况下，用户手册还应包含用户怎样才能识别错误操作或器械配置失败的描述以及故障排除指南。</w:t>
      </w:r>
    </w:p>
    <w:p w14:paraId="5FC08D0E">
      <w:pPr>
        <w:snapToGrid w:val="0"/>
        <w:spacing w:line="300" w:lineRule="auto"/>
        <w:rPr>
          <w:rFonts w:ascii="Arial" w:hAnsi="Arial" w:eastAsia="宋体" w:cs="Arial"/>
        </w:rPr>
      </w:pPr>
    </w:p>
    <w:p w14:paraId="7DA414F7">
      <w:pPr>
        <w:snapToGrid w:val="0"/>
        <w:spacing w:line="300" w:lineRule="auto"/>
        <w:rPr>
          <w:rFonts w:ascii="Arial" w:hAnsi="Arial" w:eastAsia="宋体" w:cs="Arial"/>
        </w:rPr>
      </w:pPr>
      <w:r>
        <w:rPr>
          <w:rFonts w:ascii="Arial" w:hAnsi="Arial" w:eastAsia="宋体" w:cs="Arial"/>
        </w:rPr>
        <w:t>如果采用通用目的的器械配置，贵公司应提供该器械配置的技术规范。</w:t>
      </w:r>
    </w:p>
    <w:p w14:paraId="38AA747C">
      <w:pPr>
        <w:snapToGrid w:val="0"/>
        <w:spacing w:line="300" w:lineRule="auto"/>
        <w:rPr>
          <w:rFonts w:ascii="Arial" w:hAnsi="Arial" w:eastAsia="宋体" w:cs="Arial"/>
        </w:rPr>
      </w:pPr>
    </w:p>
    <w:p w14:paraId="76B4F097">
      <w:pPr>
        <w:snapToGrid w:val="0"/>
        <w:spacing w:line="300" w:lineRule="auto"/>
        <w:rPr>
          <w:rFonts w:ascii="Arial" w:hAnsi="Arial" w:eastAsia="宋体" w:cs="Arial"/>
          <w:b/>
        </w:rPr>
      </w:pPr>
      <w:r>
        <w:rPr>
          <w:rFonts w:ascii="Arial" w:hAnsi="Arial" w:eastAsia="宋体" w:cs="Arial"/>
          <w:b/>
        </w:rPr>
        <w:t>局限性</w:t>
      </w:r>
    </w:p>
    <w:p w14:paraId="78189288">
      <w:pPr>
        <w:snapToGrid w:val="0"/>
        <w:spacing w:line="300" w:lineRule="auto"/>
        <w:rPr>
          <w:rFonts w:ascii="Arial" w:hAnsi="Arial" w:eastAsia="宋体" w:cs="Arial"/>
        </w:rPr>
      </w:pPr>
    </w:p>
    <w:p w14:paraId="5B008701">
      <w:pPr>
        <w:snapToGrid w:val="0"/>
        <w:spacing w:line="300" w:lineRule="auto"/>
        <w:rPr>
          <w:rFonts w:ascii="Arial" w:hAnsi="Arial" w:eastAsia="宋体" w:cs="Arial"/>
        </w:rPr>
      </w:pPr>
      <w:r>
        <w:rPr>
          <w:rFonts w:ascii="Arial" w:hAnsi="Arial" w:eastAsia="宋体" w:cs="Arial"/>
        </w:rPr>
        <w:t>贵公司应对该检测器械的局限性进行充分讨论。我们建议贵公司在适当的时候将该器械的局限性（如下所示）包含在贵公司的标签中：</w:t>
      </w:r>
    </w:p>
    <w:p w14:paraId="5CD82D97">
      <w:pPr>
        <w:snapToGrid w:val="0"/>
        <w:spacing w:line="300" w:lineRule="auto"/>
        <w:rPr>
          <w:rFonts w:ascii="Arial" w:hAnsi="Arial" w:eastAsia="宋体" w:cs="Arial"/>
        </w:rPr>
      </w:pPr>
    </w:p>
    <w:p w14:paraId="3E46C6A0">
      <w:pPr>
        <w:pStyle w:val="12"/>
        <w:numPr>
          <w:ilvl w:val="0"/>
          <w:numId w:val="6"/>
        </w:numPr>
        <w:snapToGrid w:val="0"/>
        <w:spacing w:line="300" w:lineRule="auto"/>
        <w:ind w:firstLineChars="0"/>
        <w:rPr>
          <w:rFonts w:ascii="Arial" w:hAnsi="Arial" w:eastAsia="宋体" w:cs="Arial"/>
        </w:rPr>
      </w:pPr>
      <w:r>
        <w:rPr>
          <w:rFonts w:ascii="Arial" w:hAnsi="Arial" w:eastAsia="宋体" w:cs="Arial"/>
        </w:rPr>
        <w:t>怀孕可导致甲胎蛋白L3％和甲胎蛋白测定值升高。</w:t>
      </w:r>
    </w:p>
    <w:p w14:paraId="5009C01F">
      <w:pPr>
        <w:pStyle w:val="12"/>
        <w:numPr>
          <w:ilvl w:val="0"/>
          <w:numId w:val="6"/>
        </w:numPr>
        <w:snapToGrid w:val="0"/>
        <w:spacing w:line="300" w:lineRule="auto"/>
        <w:ind w:firstLineChars="0"/>
        <w:rPr>
          <w:rFonts w:ascii="Arial" w:hAnsi="Arial" w:eastAsia="宋体" w:cs="Arial"/>
          <w:spacing w:val="-4"/>
        </w:rPr>
      </w:pPr>
      <w:r>
        <w:rPr>
          <w:rFonts w:ascii="Arial" w:hAnsi="Arial" w:eastAsia="宋体" w:cs="Arial"/>
          <w:spacing w:val="-4"/>
        </w:rPr>
        <w:t>测定结果只能在患者的其它实验室检测结果、影像研究和总体临床状态的背景下加以解释。</w:t>
      </w:r>
    </w:p>
    <w:p w14:paraId="3C5CC93C">
      <w:pPr>
        <w:pStyle w:val="12"/>
        <w:numPr>
          <w:ilvl w:val="0"/>
          <w:numId w:val="6"/>
        </w:numPr>
        <w:snapToGrid w:val="0"/>
        <w:spacing w:line="300" w:lineRule="auto"/>
        <w:ind w:firstLineChars="0"/>
        <w:rPr>
          <w:rFonts w:ascii="Arial" w:hAnsi="Arial" w:eastAsia="宋体" w:cs="Arial"/>
          <w:spacing w:val="-4"/>
        </w:rPr>
      </w:pPr>
      <w:r>
        <w:rPr>
          <w:rFonts w:ascii="Arial" w:hAnsi="Arial" w:eastAsia="宋体" w:cs="Arial"/>
          <w:spacing w:val="-4"/>
        </w:rPr>
        <w:t>对来自异嗜性抗体（如人类抗小鼠抗体（HAMA）的任何可能干扰做出描述。</w:t>
      </w:r>
    </w:p>
    <w:p w14:paraId="0446526A">
      <w:pPr>
        <w:pStyle w:val="12"/>
        <w:numPr>
          <w:ilvl w:val="0"/>
          <w:numId w:val="6"/>
        </w:numPr>
        <w:snapToGrid w:val="0"/>
        <w:spacing w:line="300" w:lineRule="auto"/>
        <w:ind w:firstLineChars="0"/>
        <w:rPr>
          <w:rFonts w:ascii="Arial" w:hAnsi="Arial" w:eastAsia="宋体" w:cs="Arial"/>
          <w:spacing w:val="-4"/>
        </w:rPr>
      </w:pPr>
      <w:r>
        <w:rPr>
          <w:rFonts w:ascii="Arial" w:hAnsi="Arial" w:eastAsia="宋体" w:cs="Arial"/>
          <w:spacing w:val="-4"/>
        </w:rPr>
        <w:t>除肝细胞癌外，生成甲胎蛋白的肿瘤均可出现</w:t>
      </w:r>
      <w:bookmarkStart w:id="42" w:name="OLE_LINK96"/>
      <w:bookmarkStart w:id="43" w:name="OLE_LINK104"/>
      <w:bookmarkStart w:id="44" w:name="OLE_LINK97"/>
      <w:r>
        <w:rPr>
          <w:rFonts w:ascii="Arial" w:hAnsi="Arial" w:eastAsia="宋体" w:cs="Arial"/>
          <w:spacing w:val="-4"/>
        </w:rPr>
        <w:t>甲胎蛋白L3％和甲胎蛋白测定值</w:t>
      </w:r>
      <w:bookmarkEnd w:id="42"/>
      <w:bookmarkEnd w:id="43"/>
      <w:bookmarkEnd w:id="44"/>
      <w:r>
        <w:rPr>
          <w:rFonts w:ascii="Arial" w:hAnsi="Arial" w:eastAsia="宋体" w:cs="Arial"/>
          <w:spacing w:val="-4"/>
        </w:rPr>
        <w:t>升高。</w:t>
      </w:r>
    </w:p>
    <w:p w14:paraId="4241A321">
      <w:pPr>
        <w:pStyle w:val="12"/>
        <w:numPr>
          <w:ilvl w:val="0"/>
          <w:numId w:val="6"/>
        </w:numPr>
        <w:snapToGrid w:val="0"/>
        <w:spacing w:line="300" w:lineRule="auto"/>
        <w:ind w:firstLineChars="0"/>
        <w:rPr>
          <w:rFonts w:ascii="Arial" w:hAnsi="Arial" w:eastAsia="宋体" w:cs="Arial"/>
          <w:spacing w:val="-4"/>
        </w:rPr>
      </w:pPr>
      <w:r>
        <w:rPr>
          <w:rFonts w:ascii="Arial" w:hAnsi="Arial" w:eastAsia="宋体" w:cs="Arial"/>
          <w:spacing w:val="-4"/>
        </w:rPr>
        <w:t>采自急性肝炎和暴发型肝炎患者的样品可显示高水平的甲胎蛋白L3％和甲胎蛋白测定值。</w:t>
      </w:r>
    </w:p>
    <w:p w14:paraId="03A0B1B2">
      <w:pPr>
        <w:snapToGrid w:val="0"/>
        <w:spacing w:line="300" w:lineRule="auto"/>
        <w:rPr>
          <w:rFonts w:ascii="Arial" w:hAnsi="Arial" w:eastAsia="宋体" w:cs="Arial"/>
        </w:rPr>
      </w:pPr>
    </w:p>
    <w:p w14:paraId="5B2C1EA8">
      <w:pPr>
        <w:snapToGrid w:val="0"/>
        <w:spacing w:line="300" w:lineRule="auto"/>
        <w:rPr>
          <w:rFonts w:ascii="Arial" w:hAnsi="Arial" w:eastAsia="宋体" w:cs="Arial"/>
          <w:b/>
        </w:rPr>
      </w:pPr>
      <w:r>
        <w:rPr>
          <w:rFonts w:ascii="Arial" w:hAnsi="Arial" w:eastAsia="宋体" w:cs="Arial"/>
          <w:b/>
        </w:rPr>
        <w:t>性能特征</w:t>
      </w:r>
    </w:p>
    <w:p w14:paraId="10D0D366">
      <w:pPr>
        <w:snapToGrid w:val="0"/>
        <w:spacing w:line="300" w:lineRule="auto"/>
        <w:rPr>
          <w:rFonts w:ascii="Arial" w:hAnsi="Arial" w:eastAsia="宋体" w:cs="Arial"/>
        </w:rPr>
      </w:pPr>
    </w:p>
    <w:p w14:paraId="6B8E51D6">
      <w:pPr>
        <w:snapToGrid w:val="0"/>
        <w:spacing w:line="300" w:lineRule="auto"/>
        <w:rPr>
          <w:rFonts w:ascii="Arial" w:hAnsi="Arial" w:eastAsia="宋体" w:cs="Arial"/>
        </w:rPr>
      </w:pPr>
      <w:r>
        <w:rPr>
          <w:rFonts w:ascii="Arial" w:hAnsi="Arial" w:eastAsia="宋体" w:cs="Arial"/>
        </w:rPr>
        <w:t>贵公司应对第7-9节讨论的</w:t>
      </w:r>
      <w:bookmarkStart w:id="45" w:name="OLE_LINK98"/>
      <w:bookmarkStart w:id="46" w:name="OLE_LINK99"/>
      <w:r>
        <w:rPr>
          <w:rFonts w:ascii="Arial" w:hAnsi="Arial" w:eastAsia="宋体" w:cs="Arial"/>
        </w:rPr>
        <w:t>研究方案和</w:t>
      </w:r>
      <w:bookmarkEnd w:id="45"/>
      <w:bookmarkEnd w:id="46"/>
      <w:r>
        <w:rPr>
          <w:rFonts w:ascii="Arial" w:hAnsi="Arial" w:eastAsia="宋体" w:cs="Arial"/>
        </w:rPr>
        <w:t>每种性能特征的结果加以描述。</w:t>
      </w:r>
    </w:p>
    <w:p w14:paraId="679CCB88">
      <w:pPr>
        <w:snapToGrid w:val="0"/>
        <w:spacing w:line="300" w:lineRule="auto"/>
        <w:rPr>
          <w:rFonts w:ascii="Arial" w:hAnsi="Arial" w:eastAsia="宋体" w:cs="Arial"/>
        </w:rPr>
      </w:pPr>
    </w:p>
    <w:p w14:paraId="746D845D">
      <w:pPr>
        <w:snapToGrid w:val="0"/>
        <w:spacing w:line="300" w:lineRule="auto"/>
        <w:rPr>
          <w:rFonts w:ascii="Arial" w:hAnsi="Arial" w:eastAsia="宋体" w:cs="Arial"/>
        </w:rPr>
      </w:pPr>
    </w:p>
    <w:p w14:paraId="7C4422A5">
      <w:pPr>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rPr>
        <w:t>新510（k）范本</w:t>
      </w:r>
    </w:p>
    <w:p w14:paraId="108A51FF">
      <w:pPr>
        <w:snapToGrid w:val="0"/>
        <w:spacing w:line="300" w:lineRule="auto"/>
        <w:rPr>
          <w:rFonts w:ascii="Arial" w:hAnsi="Arial" w:eastAsia="宋体" w:cs="Arial"/>
        </w:rPr>
      </w:pPr>
      <w:r>
        <w:rPr>
          <w:rFonts w:ascii="Arial" w:hAnsi="Arial" w:eastAsia="宋体" w:cs="Arial"/>
          <w:vertAlign w:val="superscript"/>
        </w:rPr>
        <w:t>2</w:t>
      </w:r>
      <w:r>
        <w:rPr>
          <w:rFonts w:ascii="Arial" w:hAnsi="Arial" w:eastAsia="宋体" w:cs="Arial"/>
        </w:rPr>
        <w:t>推荐格式见：适应症表（PDF文件大小：1.03M）</w:t>
      </w:r>
    </w:p>
    <w:p w14:paraId="1F981565">
      <w:pPr>
        <w:snapToGrid w:val="0"/>
        <w:spacing w:line="300" w:lineRule="auto"/>
        <w:rPr>
          <w:rFonts w:ascii="Arial" w:hAnsi="Arial" w:eastAsia="宋体" w:cs="Arial"/>
        </w:rPr>
      </w:pPr>
      <w:r>
        <w:rPr>
          <w:rFonts w:ascii="Arial" w:hAnsi="Arial" w:eastAsia="宋体" w:cs="Arial"/>
          <w:vertAlign w:val="superscript"/>
        </w:rPr>
        <w:t>3</w:t>
      </w:r>
      <w:r>
        <w:rPr>
          <w:rFonts w:ascii="Arial" w:hAnsi="Arial" w:eastAsia="宋体" w:cs="Arial"/>
        </w:rPr>
        <w:t>如果食品药品监督管理局根据验收标准做出了实质等同认定，在将目标器械引入州际贸易前应对其进行检测并表明其符合这些验收标准。</w:t>
      </w:r>
    </w:p>
    <w:p w14:paraId="3B2645C1">
      <w:pPr>
        <w:snapToGrid w:val="0"/>
        <w:spacing w:line="300" w:lineRule="auto"/>
        <w:rPr>
          <w:rFonts w:ascii="Arial" w:hAnsi="Arial" w:eastAsia="宋体" w:cs="Arial"/>
          <w:spacing w:val="-4"/>
        </w:rPr>
      </w:pPr>
      <w:r>
        <w:rPr>
          <w:rFonts w:ascii="Arial" w:hAnsi="Arial" w:eastAsia="宋体" w:cs="Arial"/>
          <w:spacing w:val="-4"/>
          <w:vertAlign w:val="superscript"/>
        </w:rPr>
        <w:t>4</w:t>
      </w:r>
      <w:r>
        <w:rPr>
          <w:rFonts w:ascii="Arial" w:hAnsi="Arial" w:eastAsia="宋体" w:cs="Arial"/>
          <w:spacing w:val="-4"/>
        </w:rPr>
        <w:t>见：按照公认标准声明的必要元素（适用于所有上市前通告510（k）提交资料的筛选检查表）</w:t>
      </w:r>
    </w:p>
    <w:p w14:paraId="72FD0020">
      <w:pPr>
        <w:snapToGrid w:val="0"/>
        <w:spacing w:line="300" w:lineRule="auto"/>
        <w:rPr>
          <w:rFonts w:ascii="Arial" w:hAnsi="Arial" w:eastAsia="宋体" w:cs="Arial"/>
        </w:rPr>
      </w:pPr>
    </w:p>
    <w:p w14:paraId="298C4EEC">
      <w:pPr>
        <w:snapToGrid w:val="0"/>
        <w:spacing w:line="300" w:lineRule="auto"/>
        <w:jc w:val="center"/>
        <w:rPr>
          <w:rFonts w:hint="eastAsia" w:eastAsia="宋体"/>
          <w:lang w:eastAsia="zh-CN"/>
        </w:rPr>
      </w:pPr>
    </w:p>
    <w:p w14:paraId="7D8816B8">
      <w:pPr>
        <w:snapToGrid w:val="0"/>
        <w:spacing w:line="300" w:lineRule="auto"/>
        <w:jc w:val="center"/>
        <w:rPr>
          <w:rFonts w:hint="eastAsia" w:eastAsia="宋体"/>
          <w:lang w:eastAsia="zh-CN"/>
        </w:rPr>
      </w:pPr>
    </w:p>
    <w:p w14:paraId="39ADF6E2">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82B95"/>
    <w:multiLevelType w:val="multilevel"/>
    <w:tmpl w:val="09E82B9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C105767"/>
    <w:multiLevelType w:val="multilevel"/>
    <w:tmpl w:val="1C10576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79D52F1"/>
    <w:multiLevelType w:val="multilevel"/>
    <w:tmpl w:val="379D52F1"/>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610B7"/>
    <w:multiLevelType w:val="multilevel"/>
    <w:tmpl w:val="48D610B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E826B3"/>
    <w:multiLevelType w:val="multilevel"/>
    <w:tmpl w:val="5EE826B3"/>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16408A2"/>
    <w:multiLevelType w:val="multilevel"/>
    <w:tmpl w:val="616408A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A9"/>
    <w:rsid w:val="000024FD"/>
    <w:rsid w:val="00005DD3"/>
    <w:rsid w:val="00010E84"/>
    <w:rsid w:val="00025A27"/>
    <w:rsid w:val="00042C49"/>
    <w:rsid w:val="00044C25"/>
    <w:rsid w:val="00047C7A"/>
    <w:rsid w:val="00085539"/>
    <w:rsid w:val="000931FF"/>
    <w:rsid w:val="000932EB"/>
    <w:rsid w:val="00094164"/>
    <w:rsid w:val="00095911"/>
    <w:rsid w:val="000B2A96"/>
    <w:rsid w:val="000B5746"/>
    <w:rsid w:val="000C0303"/>
    <w:rsid w:val="000C2E8F"/>
    <w:rsid w:val="000C2F93"/>
    <w:rsid w:val="000D39FB"/>
    <w:rsid w:val="0010064D"/>
    <w:rsid w:val="00101025"/>
    <w:rsid w:val="001123BF"/>
    <w:rsid w:val="00121F2A"/>
    <w:rsid w:val="00123099"/>
    <w:rsid w:val="00132E29"/>
    <w:rsid w:val="0013487B"/>
    <w:rsid w:val="00144947"/>
    <w:rsid w:val="00147E11"/>
    <w:rsid w:val="00157AA7"/>
    <w:rsid w:val="001758D1"/>
    <w:rsid w:val="00195DE6"/>
    <w:rsid w:val="001A55E8"/>
    <w:rsid w:val="001A74BA"/>
    <w:rsid w:val="001B22B0"/>
    <w:rsid w:val="001B23A2"/>
    <w:rsid w:val="001C1873"/>
    <w:rsid w:val="001C6F57"/>
    <w:rsid w:val="001F5EE9"/>
    <w:rsid w:val="0020544A"/>
    <w:rsid w:val="0021150A"/>
    <w:rsid w:val="002206AA"/>
    <w:rsid w:val="00221A6D"/>
    <w:rsid w:val="00233AB5"/>
    <w:rsid w:val="00235758"/>
    <w:rsid w:val="00240D0F"/>
    <w:rsid w:val="00272B45"/>
    <w:rsid w:val="0027684B"/>
    <w:rsid w:val="00276E12"/>
    <w:rsid w:val="002858F9"/>
    <w:rsid w:val="002946E0"/>
    <w:rsid w:val="002953FE"/>
    <w:rsid w:val="002A506E"/>
    <w:rsid w:val="002A7189"/>
    <w:rsid w:val="002B0F76"/>
    <w:rsid w:val="002B78F5"/>
    <w:rsid w:val="002C482F"/>
    <w:rsid w:val="002D6261"/>
    <w:rsid w:val="002E6BE6"/>
    <w:rsid w:val="002E7933"/>
    <w:rsid w:val="002F3434"/>
    <w:rsid w:val="002F783B"/>
    <w:rsid w:val="00310612"/>
    <w:rsid w:val="00313107"/>
    <w:rsid w:val="00321AFA"/>
    <w:rsid w:val="00335BB5"/>
    <w:rsid w:val="00343541"/>
    <w:rsid w:val="00365DCF"/>
    <w:rsid w:val="003762A7"/>
    <w:rsid w:val="00377742"/>
    <w:rsid w:val="00382159"/>
    <w:rsid w:val="003A58D8"/>
    <w:rsid w:val="003A62A0"/>
    <w:rsid w:val="003C03AB"/>
    <w:rsid w:val="003D7EE4"/>
    <w:rsid w:val="003E3EFD"/>
    <w:rsid w:val="00403BCD"/>
    <w:rsid w:val="00425E58"/>
    <w:rsid w:val="00442B17"/>
    <w:rsid w:val="00444C95"/>
    <w:rsid w:val="00450176"/>
    <w:rsid w:val="00457B85"/>
    <w:rsid w:val="00471C2A"/>
    <w:rsid w:val="00485D35"/>
    <w:rsid w:val="004A022D"/>
    <w:rsid w:val="004A7DF1"/>
    <w:rsid w:val="004A7FAC"/>
    <w:rsid w:val="004C7710"/>
    <w:rsid w:val="004D3826"/>
    <w:rsid w:val="004E30B1"/>
    <w:rsid w:val="004F6FEB"/>
    <w:rsid w:val="00502371"/>
    <w:rsid w:val="00520766"/>
    <w:rsid w:val="005327A0"/>
    <w:rsid w:val="0054734D"/>
    <w:rsid w:val="00556AE1"/>
    <w:rsid w:val="00567E30"/>
    <w:rsid w:val="00571E06"/>
    <w:rsid w:val="005737BA"/>
    <w:rsid w:val="00595D1F"/>
    <w:rsid w:val="00597CC4"/>
    <w:rsid w:val="005D58C0"/>
    <w:rsid w:val="005E5DAD"/>
    <w:rsid w:val="005E7819"/>
    <w:rsid w:val="005F2D93"/>
    <w:rsid w:val="005F443A"/>
    <w:rsid w:val="00622EB3"/>
    <w:rsid w:val="006248CD"/>
    <w:rsid w:val="00625C70"/>
    <w:rsid w:val="0062780F"/>
    <w:rsid w:val="00632685"/>
    <w:rsid w:val="00633D21"/>
    <w:rsid w:val="006345F5"/>
    <w:rsid w:val="00636BAE"/>
    <w:rsid w:val="0063790E"/>
    <w:rsid w:val="006456EA"/>
    <w:rsid w:val="0064707E"/>
    <w:rsid w:val="006500E2"/>
    <w:rsid w:val="006510A5"/>
    <w:rsid w:val="00654EB4"/>
    <w:rsid w:val="00655AC0"/>
    <w:rsid w:val="006604E1"/>
    <w:rsid w:val="006616AF"/>
    <w:rsid w:val="00673FC5"/>
    <w:rsid w:val="00694D96"/>
    <w:rsid w:val="006951E5"/>
    <w:rsid w:val="00697A80"/>
    <w:rsid w:val="006C1D8A"/>
    <w:rsid w:val="006D14D0"/>
    <w:rsid w:val="006D5264"/>
    <w:rsid w:val="006D5845"/>
    <w:rsid w:val="006E4281"/>
    <w:rsid w:val="006F7CAB"/>
    <w:rsid w:val="00710B07"/>
    <w:rsid w:val="00727F5D"/>
    <w:rsid w:val="00732D62"/>
    <w:rsid w:val="0073523C"/>
    <w:rsid w:val="0074267F"/>
    <w:rsid w:val="0074440F"/>
    <w:rsid w:val="00752375"/>
    <w:rsid w:val="0075240B"/>
    <w:rsid w:val="00770585"/>
    <w:rsid w:val="00771AE5"/>
    <w:rsid w:val="00793317"/>
    <w:rsid w:val="00794A00"/>
    <w:rsid w:val="00796929"/>
    <w:rsid w:val="007A09D6"/>
    <w:rsid w:val="007A1BA8"/>
    <w:rsid w:val="007B11D1"/>
    <w:rsid w:val="007B168B"/>
    <w:rsid w:val="007B7581"/>
    <w:rsid w:val="007C1235"/>
    <w:rsid w:val="007E0585"/>
    <w:rsid w:val="007E3242"/>
    <w:rsid w:val="007F69BF"/>
    <w:rsid w:val="00803C7A"/>
    <w:rsid w:val="00805614"/>
    <w:rsid w:val="00806233"/>
    <w:rsid w:val="008075E7"/>
    <w:rsid w:val="00822D45"/>
    <w:rsid w:val="00827CA9"/>
    <w:rsid w:val="00833DD6"/>
    <w:rsid w:val="0083756C"/>
    <w:rsid w:val="008547F5"/>
    <w:rsid w:val="00855F9D"/>
    <w:rsid w:val="00865214"/>
    <w:rsid w:val="00865D47"/>
    <w:rsid w:val="008723B2"/>
    <w:rsid w:val="00892622"/>
    <w:rsid w:val="00894C5D"/>
    <w:rsid w:val="00895FA9"/>
    <w:rsid w:val="008A56E7"/>
    <w:rsid w:val="008B6A98"/>
    <w:rsid w:val="008C1D02"/>
    <w:rsid w:val="008C5EA8"/>
    <w:rsid w:val="008D7E73"/>
    <w:rsid w:val="008E2A21"/>
    <w:rsid w:val="008E69AD"/>
    <w:rsid w:val="00900D46"/>
    <w:rsid w:val="00910978"/>
    <w:rsid w:val="00911A51"/>
    <w:rsid w:val="00912964"/>
    <w:rsid w:val="009144B7"/>
    <w:rsid w:val="00915511"/>
    <w:rsid w:val="00927FDD"/>
    <w:rsid w:val="00930F82"/>
    <w:rsid w:val="00931231"/>
    <w:rsid w:val="00942A2A"/>
    <w:rsid w:val="00943C4F"/>
    <w:rsid w:val="00947B5B"/>
    <w:rsid w:val="00960F73"/>
    <w:rsid w:val="00967AF5"/>
    <w:rsid w:val="009728B7"/>
    <w:rsid w:val="009744B9"/>
    <w:rsid w:val="00980476"/>
    <w:rsid w:val="009862A1"/>
    <w:rsid w:val="00987787"/>
    <w:rsid w:val="00987E58"/>
    <w:rsid w:val="00995F5F"/>
    <w:rsid w:val="0099635F"/>
    <w:rsid w:val="009B7F33"/>
    <w:rsid w:val="009C38B0"/>
    <w:rsid w:val="009E5B3E"/>
    <w:rsid w:val="00A07139"/>
    <w:rsid w:val="00A20199"/>
    <w:rsid w:val="00A24E44"/>
    <w:rsid w:val="00A27E53"/>
    <w:rsid w:val="00A329FD"/>
    <w:rsid w:val="00A348D1"/>
    <w:rsid w:val="00A43387"/>
    <w:rsid w:val="00A47B06"/>
    <w:rsid w:val="00A51791"/>
    <w:rsid w:val="00A6465D"/>
    <w:rsid w:val="00A66851"/>
    <w:rsid w:val="00A670B3"/>
    <w:rsid w:val="00A72CC8"/>
    <w:rsid w:val="00A74C7C"/>
    <w:rsid w:val="00A82D34"/>
    <w:rsid w:val="00A841B9"/>
    <w:rsid w:val="00A95B68"/>
    <w:rsid w:val="00AB1E3C"/>
    <w:rsid w:val="00AD1A0F"/>
    <w:rsid w:val="00AD25F8"/>
    <w:rsid w:val="00AF07E3"/>
    <w:rsid w:val="00B47A2C"/>
    <w:rsid w:val="00B62883"/>
    <w:rsid w:val="00B62A98"/>
    <w:rsid w:val="00B63CB1"/>
    <w:rsid w:val="00B80EBF"/>
    <w:rsid w:val="00B874C6"/>
    <w:rsid w:val="00B9482C"/>
    <w:rsid w:val="00B948A2"/>
    <w:rsid w:val="00B96E0B"/>
    <w:rsid w:val="00BA682F"/>
    <w:rsid w:val="00BB3D9C"/>
    <w:rsid w:val="00BC482D"/>
    <w:rsid w:val="00BC78CA"/>
    <w:rsid w:val="00BE281C"/>
    <w:rsid w:val="00BE6F54"/>
    <w:rsid w:val="00BF362B"/>
    <w:rsid w:val="00BF5476"/>
    <w:rsid w:val="00C06166"/>
    <w:rsid w:val="00C079B7"/>
    <w:rsid w:val="00C14B98"/>
    <w:rsid w:val="00C3315A"/>
    <w:rsid w:val="00C347E4"/>
    <w:rsid w:val="00C34904"/>
    <w:rsid w:val="00C350BA"/>
    <w:rsid w:val="00C3549F"/>
    <w:rsid w:val="00C40F9F"/>
    <w:rsid w:val="00C452BE"/>
    <w:rsid w:val="00C47876"/>
    <w:rsid w:val="00C53CF2"/>
    <w:rsid w:val="00C55091"/>
    <w:rsid w:val="00C56D32"/>
    <w:rsid w:val="00C63ECF"/>
    <w:rsid w:val="00C8131E"/>
    <w:rsid w:val="00C827E0"/>
    <w:rsid w:val="00C975A0"/>
    <w:rsid w:val="00CA0405"/>
    <w:rsid w:val="00CA2F6D"/>
    <w:rsid w:val="00CA7218"/>
    <w:rsid w:val="00CB1635"/>
    <w:rsid w:val="00CB167E"/>
    <w:rsid w:val="00CB3576"/>
    <w:rsid w:val="00CC225D"/>
    <w:rsid w:val="00CC4DE2"/>
    <w:rsid w:val="00CD19F6"/>
    <w:rsid w:val="00CF2F02"/>
    <w:rsid w:val="00CF4EEB"/>
    <w:rsid w:val="00D12049"/>
    <w:rsid w:val="00D14AFB"/>
    <w:rsid w:val="00D22561"/>
    <w:rsid w:val="00D27488"/>
    <w:rsid w:val="00D30419"/>
    <w:rsid w:val="00D31F87"/>
    <w:rsid w:val="00D7778F"/>
    <w:rsid w:val="00D80345"/>
    <w:rsid w:val="00D80B37"/>
    <w:rsid w:val="00D90293"/>
    <w:rsid w:val="00D93BB3"/>
    <w:rsid w:val="00DA0A5C"/>
    <w:rsid w:val="00DC3B92"/>
    <w:rsid w:val="00DC4D12"/>
    <w:rsid w:val="00DD231F"/>
    <w:rsid w:val="00DD23DD"/>
    <w:rsid w:val="00DD3CB6"/>
    <w:rsid w:val="00DE7EAB"/>
    <w:rsid w:val="00DF0B5C"/>
    <w:rsid w:val="00E032F3"/>
    <w:rsid w:val="00E10C72"/>
    <w:rsid w:val="00E178F0"/>
    <w:rsid w:val="00E263C2"/>
    <w:rsid w:val="00E3108D"/>
    <w:rsid w:val="00E37816"/>
    <w:rsid w:val="00E47176"/>
    <w:rsid w:val="00E50D06"/>
    <w:rsid w:val="00E51926"/>
    <w:rsid w:val="00E612B9"/>
    <w:rsid w:val="00E6471A"/>
    <w:rsid w:val="00E650F6"/>
    <w:rsid w:val="00E81057"/>
    <w:rsid w:val="00E8109D"/>
    <w:rsid w:val="00E83C7D"/>
    <w:rsid w:val="00E91920"/>
    <w:rsid w:val="00E96EF2"/>
    <w:rsid w:val="00EA731B"/>
    <w:rsid w:val="00EC0A08"/>
    <w:rsid w:val="00EC36C3"/>
    <w:rsid w:val="00EC63C1"/>
    <w:rsid w:val="00ED69EB"/>
    <w:rsid w:val="00EF1F58"/>
    <w:rsid w:val="00F1461F"/>
    <w:rsid w:val="00F26C0F"/>
    <w:rsid w:val="00F3216A"/>
    <w:rsid w:val="00F44D1A"/>
    <w:rsid w:val="00F46E5B"/>
    <w:rsid w:val="00F47EF1"/>
    <w:rsid w:val="00F522EB"/>
    <w:rsid w:val="00F53EFC"/>
    <w:rsid w:val="00F67395"/>
    <w:rsid w:val="00F74C30"/>
    <w:rsid w:val="00F91E9D"/>
    <w:rsid w:val="00FB0C68"/>
    <w:rsid w:val="00FB40B1"/>
    <w:rsid w:val="00FC3B70"/>
    <w:rsid w:val="00FC6BEC"/>
    <w:rsid w:val="00FC6F3F"/>
    <w:rsid w:val="00FC7F11"/>
    <w:rsid w:val="00FD60E9"/>
    <w:rsid w:val="00FF11FE"/>
    <w:rsid w:val="00FF5C51"/>
    <w:rsid w:val="6D1D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9227</Words>
  <Characters>9774</Characters>
  <Lines>71</Lines>
  <Paragraphs>20</Paragraphs>
  <TotalTime>0</TotalTime>
  <ScaleCrop>false</ScaleCrop>
  <LinksUpToDate>false</LinksUpToDate>
  <CharactersWithSpaces>9818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2017-04-10T02:11:00Z</dcterms:created>
  <dc:creator>BH</dc:creator>
  <cp:lastModifiedBy>太极箫客</cp:lastModifiedBy>
  <dcterms:modified xsi:type="dcterms:W3CDTF">2025-08-14T06:18:02Z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F3A74B9C7647408A806ACA822B2A115E_12</vt:lpwstr>
  </property>
</Properties>
</file>