
<file path=[Content_Types].xml><?xml version="1.0" encoding="utf-8"?>
<Types xmlns="http://schemas.openxmlformats.org/package/2006/content-types">
  <Default Extension="xml" ContentType="application/xml"/>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445C2B">
      <w:pPr>
        <w:widowControl/>
        <w:snapToGrid w:val="0"/>
        <w:spacing w:line="300" w:lineRule="auto"/>
        <w:rPr>
          <w:rFonts w:ascii="Arial" w:hAnsi="Arial" w:eastAsia="宋体" w:cs="Arial"/>
          <w:b/>
          <w:bCs/>
          <w:color w:val="484138"/>
          <w:kern w:val="36"/>
          <w:sz w:val="36"/>
          <w:szCs w:val="36"/>
        </w:rPr>
      </w:pPr>
      <w:bookmarkStart w:id="20" w:name="_GoBack"/>
      <w:bookmarkEnd w:id="20"/>
      <w:r>
        <w:rPr>
          <w:rFonts w:ascii="Arial" w:hAnsi="Arial" w:eastAsia="宋体" w:cs="Arial"/>
          <w:b/>
          <w:bCs/>
          <w:color w:val="484138"/>
          <w:kern w:val="36"/>
          <w:sz w:val="36"/>
          <w:szCs w:val="36"/>
        </w:rPr>
        <w:t>II类特殊控制指导性文件：用于西尼罗河病毒实验室诊断的血清试剂-行业和FDA工作人员指南</w:t>
      </w:r>
    </w:p>
    <w:p w14:paraId="6B90B91B">
      <w:pPr>
        <w:widowControl/>
        <w:snapToGrid w:val="0"/>
        <w:spacing w:before="90" w:after="90" w:line="300" w:lineRule="auto"/>
        <w:rPr>
          <w:rFonts w:ascii="Arial" w:hAnsi="Arial" w:eastAsia="宋体" w:cs="Arial"/>
          <w:b/>
          <w:bCs/>
          <w:color w:val="000000"/>
          <w:kern w:val="0"/>
          <w:sz w:val="18"/>
        </w:rPr>
      </w:pPr>
      <w:r>
        <w:rPr>
          <w:rFonts w:ascii="Arial" w:hAnsi="Arial" w:eastAsia="宋体" w:cs="Arial"/>
          <w:b/>
          <w:bCs/>
          <w:color w:val="000000"/>
          <w:kern w:val="0"/>
          <w:sz w:val="18"/>
        </w:rPr>
        <w:t>文件发布日期：2003年10月30日</w:t>
      </w:r>
    </w:p>
    <w:p w14:paraId="2A1A38B2">
      <w:pPr>
        <w:widowControl/>
        <w:snapToGrid w:val="0"/>
        <w:spacing w:before="90" w:after="90" w:line="300" w:lineRule="auto"/>
        <w:rPr>
          <w:rFonts w:ascii="Arial" w:hAnsi="Arial" w:eastAsia="宋体" w:cs="Arial"/>
          <w:color w:val="000000"/>
          <w:kern w:val="0"/>
          <w:sz w:val="18"/>
          <w:szCs w:val="18"/>
        </w:rPr>
      </w:pPr>
      <w:r>
        <w:rPr>
          <w:rFonts w:ascii="Arial" w:hAnsi="Arial" w:eastAsia="宋体" w:cs="Arial"/>
          <w:color w:val="000000"/>
          <w:kern w:val="0"/>
          <w:sz w:val="18"/>
          <w:szCs w:val="18"/>
        </w:rPr>
        <w:t>有关本文件的问题，请联系微生物学器械部，Sally Hojvat Ph.D.，电话：301-796-5455或电子邮箱：</w:t>
      </w:r>
      <w:r>
        <w:rPr>
          <w:rFonts w:ascii="Arial" w:hAnsi="Arial" w:eastAsia="宋体" w:cs="Arial"/>
          <w:color w:val="7030A0"/>
          <w:kern w:val="0"/>
          <w:sz w:val="18"/>
          <w:szCs w:val="18"/>
        </w:rPr>
        <w:t>sally.hojvat@fda.hhs.gov</w:t>
      </w:r>
      <w:r>
        <w:rPr>
          <w:rFonts w:ascii="Arial" w:hAnsi="Arial" w:eastAsia="宋体" w:cs="Arial"/>
          <w:color w:val="000000"/>
          <w:kern w:val="0"/>
          <w:sz w:val="18"/>
          <w:szCs w:val="18"/>
        </w:rPr>
        <w:t>。</w:t>
      </w:r>
    </w:p>
    <w:tbl>
      <w:tblPr>
        <w:tblStyle w:val="11"/>
        <w:tblW w:w="4900" w:type="pct"/>
        <w:tblCellSpacing w:w="0" w:type="dxa"/>
        <w:tblInd w:w="0" w:type="dxa"/>
        <w:shd w:val="clear" w:color="auto" w:fill="CCE8CF"/>
        <w:tblLayout w:type="autofit"/>
        <w:tblCellMar>
          <w:top w:w="75" w:type="dxa"/>
          <w:left w:w="75" w:type="dxa"/>
          <w:bottom w:w="75" w:type="dxa"/>
          <w:right w:w="75" w:type="dxa"/>
        </w:tblCellMar>
      </w:tblPr>
      <w:tblGrid>
        <w:gridCol w:w="1985"/>
        <w:gridCol w:w="346"/>
        <w:gridCol w:w="5956"/>
      </w:tblGrid>
      <w:tr w14:paraId="0625E55F">
        <w:tblPrEx>
          <w:shd w:val="clear" w:color="auto" w:fill="CCE8CF"/>
          <w:tblCellMar>
            <w:top w:w="75" w:type="dxa"/>
            <w:left w:w="75" w:type="dxa"/>
            <w:bottom w:w="75" w:type="dxa"/>
            <w:right w:w="75" w:type="dxa"/>
          </w:tblCellMar>
        </w:tblPrEx>
        <w:trPr>
          <w:gridAfter w:val="2"/>
          <w:wAfter w:w="5239" w:type="dxa"/>
          <w:tblCellSpacing w:w="0" w:type="dxa"/>
        </w:trPr>
        <w:tc>
          <w:tcPr>
            <w:tcW w:w="0" w:type="auto"/>
            <w:shd w:val="clear" w:color="auto" w:fill="auto"/>
          </w:tcPr>
          <w:p w14:paraId="4AFDD01E">
            <w:pPr>
              <w:widowControl/>
              <w:snapToGrid w:val="0"/>
              <w:spacing w:line="300" w:lineRule="auto"/>
              <w:rPr>
                <w:rFonts w:ascii="Arial" w:hAnsi="Arial" w:eastAsia="宋体" w:cs="Arial"/>
                <w:color w:val="000000"/>
                <w:kern w:val="0"/>
                <w:sz w:val="18"/>
                <w:szCs w:val="18"/>
              </w:rPr>
            </w:pPr>
            <w:r>
              <w:rPr>
                <w:rFonts w:ascii="Arial" w:hAnsi="Arial" w:eastAsia="宋体" w:cs="Arial"/>
                <w:color w:val="000000"/>
                <w:kern w:val="0"/>
                <w:sz w:val="18"/>
                <w:szCs w:val="18"/>
              </w:rPr>
              <w:t> </w:t>
            </w:r>
          </w:p>
        </w:tc>
      </w:tr>
      <w:tr w14:paraId="3395CBD8">
        <w:tblPrEx>
          <w:shd w:val="clear" w:color="auto" w:fill="CCE8CF"/>
          <w:tblCellMar>
            <w:top w:w="75" w:type="dxa"/>
            <w:left w:w="75" w:type="dxa"/>
            <w:bottom w:w="75" w:type="dxa"/>
            <w:right w:w="75" w:type="dxa"/>
          </w:tblCellMar>
        </w:tblPrEx>
        <w:trPr>
          <w:trHeight w:val="1665" w:hRule="atLeast"/>
          <w:tblCellSpacing w:w="0" w:type="dxa"/>
        </w:trPr>
        <w:tc>
          <w:tcPr>
            <w:tcW w:w="0" w:type="auto"/>
            <w:shd w:val="clear" w:color="auto" w:fill="auto"/>
          </w:tcPr>
          <w:p w14:paraId="76DD1226">
            <w:pPr>
              <w:widowControl/>
              <w:snapToGrid w:val="0"/>
              <w:spacing w:line="300" w:lineRule="auto"/>
              <w:rPr>
                <w:rFonts w:ascii="Arial" w:hAnsi="Arial" w:eastAsia="宋体" w:cs="Arial"/>
                <w:color w:val="000000"/>
                <w:kern w:val="0"/>
                <w:sz w:val="18"/>
                <w:szCs w:val="18"/>
              </w:rPr>
            </w:pPr>
            <w:r>
              <w:rPr>
                <w:rFonts w:ascii="Arial" w:hAnsi="Arial" w:eastAsia="宋体" w:cs="Arial"/>
                <w:color w:val="000000"/>
                <w:kern w:val="0"/>
                <w:sz w:val="18"/>
                <w:szCs w:val="18"/>
              </w:rPr>
              <w:drawing>
                <wp:inline distT="0" distB="0" distL="0" distR="0">
                  <wp:extent cx="923925" cy="952500"/>
                  <wp:effectExtent l="19050" t="0" r="9525" b="0"/>
                  <wp:docPr id="1" name="图片 1"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RH logo"/>
                          <pic:cNvPicPr>
                            <a:picLocks noChangeAspect="1" noChangeArrowheads="1"/>
                          </pic:cNvPicPr>
                        </pic:nvPicPr>
                        <pic:blipFill>
                          <a:blip r:embed="rId4"/>
                          <a:srcRect/>
                          <a:stretch>
                            <a:fillRect/>
                          </a:stretch>
                        </pic:blipFill>
                        <pic:spPr>
                          <a:xfrm>
                            <a:off x="0" y="0"/>
                            <a:ext cx="923925" cy="952500"/>
                          </a:xfrm>
                          <a:prstGeom prst="rect">
                            <a:avLst/>
                          </a:prstGeom>
                          <a:noFill/>
                          <a:ln w="9525">
                            <a:noFill/>
                            <a:miter lim="800000"/>
                            <a:headEnd/>
                            <a:tailEnd/>
                          </a:ln>
                        </pic:spPr>
                      </pic:pic>
                    </a:graphicData>
                  </a:graphic>
                </wp:inline>
              </w:drawing>
            </w:r>
          </w:p>
        </w:tc>
        <w:tc>
          <w:tcPr>
            <w:tcW w:w="0" w:type="auto"/>
            <w:shd w:val="clear" w:color="auto" w:fill="auto"/>
          </w:tcPr>
          <w:p w14:paraId="1A0E3531">
            <w:pPr>
              <w:widowControl/>
              <w:snapToGrid w:val="0"/>
              <w:spacing w:line="300" w:lineRule="auto"/>
              <w:rPr>
                <w:rFonts w:ascii="Arial" w:hAnsi="Arial" w:eastAsia="宋体" w:cs="Arial"/>
                <w:color w:val="000000"/>
                <w:kern w:val="0"/>
                <w:sz w:val="18"/>
                <w:szCs w:val="18"/>
              </w:rPr>
            </w:pPr>
          </w:p>
        </w:tc>
        <w:tc>
          <w:tcPr>
            <w:tcW w:w="0" w:type="auto"/>
            <w:shd w:val="clear" w:color="auto" w:fill="auto"/>
          </w:tcPr>
          <w:p w14:paraId="08D29F14">
            <w:pPr>
              <w:widowControl/>
              <w:snapToGrid w:val="0"/>
              <w:spacing w:before="63" w:after="63" w:line="300" w:lineRule="auto"/>
              <w:rPr>
                <w:rFonts w:ascii="Arial" w:hAnsi="Arial" w:eastAsia="宋体" w:cs="Arial"/>
                <w:b/>
                <w:bCs/>
                <w:color w:val="000000"/>
                <w:kern w:val="0"/>
                <w:sz w:val="18"/>
              </w:rPr>
            </w:pPr>
            <w:r>
              <w:rPr>
                <w:rFonts w:ascii="Arial" w:hAnsi="Arial" w:eastAsia="宋体" w:cs="Arial"/>
                <w:b/>
                <w:bCs/>
                <w:color w:val="000000"/>
                <w:kern w:val="0"/>
                <w:sz w:val="18"/>
              </w:rPr>
              <w:t>美国</w:t>
            </w:r>
            <w:r>
              <w:rPr>
                <w:rFonts w:hint="eastAsia" w:ascii="Arial" w:hAnsi="Arial" w:eastAsia="宋体" w:cs="Arial"/>
                <w:b/>
                <w:bCs/>
                <w:color w:val="000000"/>
                <w:kern w:val="0"/>
                <w:sz w:val="18"/>
              </w:rPr>
              <w:t>卫生与公众服务部</w:t>
            </w:r>
          </w:p>
          <w:p w14:paraId="132D7DB0">
            <w:pPr>
              <w:widowControl/>
              <w:snapToGrid w:val="0"/>
              <w:spacing w:before="63" w:after="63" w:line="300" w:lineRule="auto"/>
              <w:rPr>
                <w:rFonts w:ascii="Arial" w:hAnsi="Arial" w:eastAsia="宋体" w:cs="Arial"/>
                <w:b/>
                <w:bCs/>
                <w:color w:val="000000"/>
                <w:kern w:val="0"/>
                <w:sz w:val="18"/>
              </w:rPr>
            </w:pPr>
            <w:r>
              <w:rPr>
                <w:rFonts w:ascii="Arial" w:hAnsi="Arial" w:eastAsia="宋体" w:cs="Arial"/>
                <w:b/>
                <w:bCs/>
                <w:color w:val="000000"/>
                <w:kern w:val="0"/>
                <w:sz w:val="18"/>
              </w:rPr>
              <w:t>食品药品监督管理局</w:t>
            </w:r>
          </w:p>
          <w:p w14:paraId="533B7DFC">
            <w:pPr>
              <w:widowControl/>
              <w:snapToGrid w:val="0"/>
              <w:spacing w:before="63" w:after="63" w:line="300" w:lineRule="auto"/>
              <w:rPr>
                <w:rFonts w:ascii="Arial" w:hAnsi="Arial" w:eastAsia="宋体" w:cs="Arial"/>
                <w:b/>
                <w:bCs/>
                <w:color w:val="000000"/>
                <w:kern w:val="0"/>
                <w:sz w:val="18"/>
              </w:rPr>
            </w:pPr>
            <w:r>
              <w:rPr>
                <w:rFonts w:ascii="Arial" w:hAnsi="Arial" w:eastAsia="宋体" w:cs="Arial"/>
                <w:b/>
                <w:bCs/>
                <w:color w:val="000000"/>
                <w:kern w:val="0"/>
                <w:sz w:val="18"/>
              </w:rPr>
              <w:t>器械</w:t>
            </w:r>
            <w:r>
              <w:rPr>
                <w:rFonts w:hint="eastAsia" w:ascii="Arial" w:hAnsi="Arial" w:eastAsia="宋体" w:cs="Arial"/>
                <w:b/>
                <w:bCs/>
                <w:color w:val="000000"/>
                <w:kern w:val="0"/>
                <w:sz w:val="18"/>
              </w:rPr>
              <w:t>与</w:t>
            </w:r>
            <w:r>
              <w:rPr>
                <w:rFonts w:ascii="Arial" w:hAnsi="Arial" w:eastAsia="宋体" w:cs="Arial"/>
                <w:b/>
                <w:bCs/>
                <w:color w:val="000000"/>
                <w:kern w:val="0"/>
                <w:sz w:val="18"/>
              </w:rPr>
              <w:t>放射</w:t>
            </w:r>
            <w:r>
              <w:rPr>
                <w:rFonts w:hint="eastAsia" w:ascii="Arial" w:hAnsi="Arial" w:eastAsia="宋体" w:cs="Arial"/>
                <w:b/>
                <w:bCs/>
                <w:color w:val="000000"/>
                <w:kern w:val="0"/>
                <w:sz w:val="18"/>
              </w:rPr>
              <w:t>健康</w:t>
            </w:r>
            <w:r>
              <w:rPr>
                <w:rFonts w:ascii="Arial" w:hAnsi="Arial" w:eastAsia="宋体" w:cs="Arial"/>
                <w:b/>
                <w:bCs/>
                <w:color w:val="000000"/>
                <w:kern w:val="0"/>
                <w:sz w:val="18"/>
              </w:rPr>
              <w:t>中心</w:t>
            </w:r>
          </w:p>
          <w:p w14:paraId="2C5D1D77">
            <w:pPr>
              <w:widowControl/>
              <w:snapToGrid w:val="0"/>
              <w:spacing w:before="63" w:after="63" w:line="300" w:lineRule="auto"/>
              <w:rPr>
                <w:rFonts w:ascii="Arial" w:hAnsi="Arial" w:eastAsia="宋体" w:cs="Arial"/>
                <w:b/>
                <w:bCs/>
                <w:color w:val="000000"/>
                <w:kern w:val="0"/>
                <w:sz w:val="18"/>
              </w:rPr>
            </w:pPr>
            <w:r>
              <w:rPr>
                <w:rFonts w:ascii="Arial" w:hAnsi="Arial" w:eastAsia="宋体" w:cs="Arial"/>
                <w:b/>
                <w:bCs/>
                <w:color w:val="000000"/>
                <w:kern w:val="0"/>
                <w:sz w:val="18"/>
              </w:rPr>
              <w:t>微生物学器械部</w:t>
            </w:r>
          </w:p>
          <w:p w14:paraId="06101F84">
            <w:pPr>
              <w:widowControl/>
              <w:snapToGrid w:val="0"/>
              <w:spacing w:before="63" w:after="63" w:line="300" w:lineRule="auto"/>
              <w:rPr>
                <w:rFonts w:ascii="Arial" w:hAnsi="Arial" w:eastAsia="宋体" w:cs="Arial"/>
                <w:color w:val="000000"/>
                <w:kern w:val="0"/>
                <w:sz w:val="18"/>
                <w:szCs w:val="18"/>
              </w:rPr>
            </w:pPr>
            <w:r>
              <w:rPr>
                <w:rFonts w:ascii="Arial" w:hAnsi="Arial" w:eastAsia="宋体" w:cs="Arial"/>
                <w:b/>
                <w:bCs/>
                <w:color w:val="000000"/>
                <w:kern w:val="0"/>
                <w:sz w:val="18"/>
              </w:rPr>
              <w:t>体外诊断器械评价和安全办公室</w:t>
            </w:r>
          </w:p>
        </w:tc>
      </w:tr>
    </w:tbl>
    <w:p w14:paraId="14B9DC7D">
      <w:pPr>
        <w:widowControl/>
        <w:snapToGrid w:val="0"/>
        <w:spacing w:line="300" w:lineRule="auto"/>
        <w:outlineLvl w:val="3"/>
        <w:rPr>
          <w:rFonts w:ascii="Arial" w:hAnsi="Arial" w:eastAsia="宋体" w:cs="Arial"/>
          <w:b/>
          <w:bCs/>
          <w:color w:val="000000"/>
          <w:kern w:val="0"/>
          <w:sz w:val="29"/>
          <w:szCs w:val="29"/>
        </w:rPr>
      </w:pPr>
      <w:r>
        <w:rPr>
          <w:rFonts w:ascii="Arial" w:hAnsi="Arial" w:eastAsia="宋体" w:cs="Arial"/>
          <w:b/>
          <w:bCs/>
          <w:color w:val="000000"/>
          <w:kern w:val="0"/>
          <w:sz w:val="29"/>
          <w:szCs w:val="29"/>
        </w:rPr>
        <w:t>前言</w:t>
      </w:r>
    </w:p>
    <w:p w14:paraId="394C51AC">
      <w:pPr>
        <w:widowControl/>
        <w:snapToGrid w:val="0"/>
        <w:spacing w:line="300" w:lineRule="auto"/>
        <w:outlineLvl w:val="4"/>
        <w:rPr>
          <w:rFonts w:ascii="Arial" w:hAnsi="Arial" w:eastAsia="宋体" w:cs="Arial"/>
          <w:b/>
          <w:bCs/>
          <w:color w:val="000000"/>
          <w:kern w:val="0"/>
          <w:sz w:val="26"/>
          <w:szCs w:val="26"/>
        </w:rPr>
      </w:pPr>
      <w:r>
        <w:rPr>
          <w:rFonts w:ascii="Arial" w:hAnsi="Arial" w:eastAsia="宋体" w:cs="Arial"/>
          <w:b/>
          <w:bCs/>
          <w:color w:val="000000"/>
          <w:kern w:val="0"/>
          <w:sz w:val="26"/>
        </w:rPr>
        <w:t>公共评论</w:t>
      </w:r>
    </w:p>
    <w:p w14:paraId="4D030B87">
      <w:pPr>
        <w:widowControl/>
        <w:snapToGrid w:val="0"/>
        <w:spacing w:before="90" w:after="90" w:line="300" w:lineRule="auto"/>
        <w:rPr>
          <w:rFonts w:ascii="Arial" w:hAnsi="Arial" w:eastAsia="宋体" w:cs="Arial"/>
          <w:color w:val="000000"/>
          <w:kern w:val="0"/>
          <w:sz w:val="18"/>
          <w:szCs w:val="18"/>
        </w:rPr>
      </w:pPr>
      <w:r>
        <w:rPr>
          <w:rFonts w:ascii="Arial" w:hAnsi="Arial" w:eastAsia="宋体" w:cs="Arial"/>
          <w:color w:val="000000"/>
          <w:kern w:val="0"/>
          <w:sz w:val="18"/>
          <w:szCs w:val="18"/>
        </w:rPr>
        <w:t>贵公司可以随时提交书面评论和建议至食品药品监督管理局，人力资源和管理服务处，管理系统与政策部，文件管理部（5630 Fishers Lane，Room 1061，（HFA-305），Rockville，MD，20852）</w:t>
      </w:r>
      <w:r>
        <w:rPr>
          <w:rFonts w:hint="eastAsia" w:ascii="Arial" w:hAnsi="Arial" w:eastAsia="宋体" w:cs="Arial"/>
          <w:color w:val="000000"/>
          <w:kern w:val="0"/>
          <w:sz w:val="18"/>
          <w:szCs w:val="18"/>
        </w:rPr>
        <w:t>, 供部门审议</w:t>
      </w:r>
      <w:r>
        <w:rPr>
          <w:rFonts w:ascii="Arial" w:hAnsi="Arial" w:eastAsia="宋体" w:cs="Arial"/>
          <w:color w:val="000000"/>
          <w:kern w:val="0"/>
          <w:sz w:val="18"/>
          <w:szCs w:val="18"/>
        </w:rPr>
        <w:t>。此外，电子评论请提交至Regulations.gov。提交评论时请参考第2003D-0303号文件。</w:t>
      </w:r>
      <w:r>
        <w:rPr>
          <w:rFonts w:hint="eastAsia" w:ascii="Arial" w:hAnsi="Arial" w:eastAsia="宋体" w:cs="Arial"/>
          <w:color w:val="000000"/>
          <w:kern w:val="0"/>
          <w:sz w:val="18"/>
          <w:szCs w:val="18"/>
        </w:rPr>
        <w:t>可能直到文件下次修订或更新时，评论才会被机构受理。</w:t>
      </w:r>
    </w:p>
    <w:p w14:paraId="131AD119">
      <w:pPr>
        <w:widowControl/>
        <w:snapToGrid w:val="0"/>
        <w:spacing w:line="300" w:lineRule="auto"/>
        <w:outlineLvl w:val="4"/>
        <w:rPr>
          <w:rFonts w:ascii="Arial" w:hAnsi="Arial" w:eastAsia="宋体" w:cs="Arial"/>
          <w:b/>
          <w:bCs/>
          <w:color w:val="000000"/>
          <w:kern w:val="0"/>
          <w:sz w:val="26"/>
          <w:szCs w:val="26"/>
        </w:rPr>
      </w:pPr>
      <w:r>
        <w:rPr>
          <w:rFonts w:ascii="Arial" w:hAnsi="Arial" w:eastAsia="宋体" w:cs="Arial"/>
          <w:b/>
          <w:bCs/>
          <w:color w:val="000000"/>
          <w:kern w:val="0"/>
          <w:sz w:val="26"/>
        </w:rPr>
        <w:t>其他副本</w:t>
      </w:r>
    </w:p>
    <w:p w14:paraId="71B3309F">
      <w:pPr>
        <w:widowControl/>
        <w:snapToGrid w:val="0"/>
        <w:spacing w:before="90" w:after="90" w:line="300" w:lineRule="auto"/>
        <w:rPr>
          <w:rFonts w:ascii="Arial" w:hAnsi="Arial" w:eastAsia="宋体" w:cs="Arial"/>
          <w:color w:val="000000"/>
          <w:kern w:val="0"/>
          <w:sz w:val="18"/>
          <w:szCs w:val="18"/>
        </w:rPr>
      </w:pPr>
      <w:r>
        <w:rPr>
          <w:rFonts w:ascii="Arial" w:hAnsi="Arial" w:eastAsia="宋体" w:cs="Arial"/>
          <w:color w:val="000000"/>
          <w:kern w:val="0"/>
          <w:sz w:val="18"/>
          <w:szCs w:val="18"/>
        </w:rPr>
        <w:t>其他副本可从互联网获得。</w:t>
      </w:r>
      <w:r>
        <w:fldChar w:fldCharType="begin"/>
      </w:r>
      <w:r>
        <w:instrText xml:space="preserve"> HYPERLINK "mailto:您还可以发送电子邮件请求todsmica@fda.hhs.gov" </w:instrText>
      </w:r>
      <w:r>
        <w:fldChar w:fldCharType="separate"/>
      </w:r>
      <w:r>
        <w:rPr>
          <w:rFonts w:ascii="Arial" w:hAnsi="Arial" w:eastAsia="宋体" w:cs="Arial"/>
          <w:color w:val="000000"/>
          <w:kern w:val="0"/>
          <w:sz w:val="18"/>
          <w:szCs w:val="18"/>
        </w:rPr>
        <w:t>贵公司还可以发送电子邮件请求至</w:t>
      </w:r>
      <w:r>
        <w:rPr>
          <w:rFonts w:ascii="Arial" w:hAnsi="Arial" w:eastAsia="宋体" w:cs="Arial"/>
          <w:color w:val="7030A0"/>
          <w:kern w:val="0"/>
          <w:sz w:val="18"/>
          <w:szCs w:val="18"/>
        </w:rPr>
        <w:t>todsmica@fda.hhs.gov</w:t>
      </w:r>
      <w:r>
        <w:rPr>
          <w:rFonts w:ascii="Arial" w:hAnsi="Arial" w:eastAsia="宋体" w:cs="Arial"/>
          <w:color w:val="7030A0"/>
          <w:kern w:val="0"/>
          <w:sz w:val="18"/>
          <w:szCs w:val="18"/>
        </w:rPr>
        <w:fldChar w:fldCharType="end"/>
      </w:r>
      <w:r>
        <w:rPr>
          <w:rFonts w:ascii="Arial" w:hAnsi="Arial" w:eastAsia="宋体" w:cs="Arial"/>
          <w:color w:val="000000"/>
          <w:kern w:val="0"/>
          <w:sz w:val="18"/>
          <w:szCs w:val="18"/>
        </w:rPr>
        <w:t>以接受本指南的电子副本或发送传真请求到301-827-8149以接受硬拷贝。请使用文件编号（1206）来标识贵公司所要求获得的指南。</w:t>
      </w:r>
    </w:p>
    <w:p w14:paraId="59C22105">
      <w:pPr>
        <w:widowControl/>
        <w:jc w:val="left"/>
        <w:rPr>
          <w:rFonts w:ascii="Arial" w:hAnsi="Arial" w:eastAsia="宋体" w:cs="Arial"/>
          <w:b/>
          <w:bCs/>
          <w:color w:val="000000"/>
          <w:kern w:val="0"/>
          <w:sz w:val="18"/>
        </w:rPr>
      </w:pPr>
      <w:r>
        <w:rPr>
          <w:rFonts w:ascii="Arial" w:hAnsi="Arial" w:eastAsia="宋体" w:cs="Arial"/>
          <w:b/>
          <w:bCs/>
          <w:color w:val="000000"/>
          <w:kern w:val="0"/>
          <w:sz w:val="18"/>
        </w:rPr>
        <w:br w:type="page"/>
      </w:r>
    </w:p>
    <w:sdt>
      <w:sdtPr>
        <w:rPr>
          <w:rFonts w:asciiTheme="minorHAnsi" w:hAnsiTheme="minorHAnsi" w:eastAsiaTheme="minorEastAsia" w:cstheme="minorBidi"/>
          <w:b/>
          <w:color w:val="auto"/>
          <w:kern w:val="2"/>
          <w:sz w:val="21"/>
          <w:szCs w:val="22"/>
          <w:lang w:val="zh-CN"/>
        </w:rPr>
        <w:id w:val="-576525264"/>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14:paraId="31B6CD05">
          <w:pPr>
            <w:pStyle w:val="25"/>
            <w:jc w:val="center"/>
            <w:rPr>
              <w:b/>
              <w:color w:val="auto"/>
            </w:rPr>
          </w:pPr>
          <w:r>
            <w:rPr>
              <w:b/>
              <w:color w:val="auto"/>
              <w:lang w:val="zh-CN"/>
            </w:rPr>
            <w:t>目录</w:t>
          </w:r>
        </w:p>
        <w:p w14:paraId="5A7BD69B">
          <w:pPr>
            <w:pStyle w:val="9"/>
            <w:tabs>
              <w:tab w:val="right" w:leader="dot" w:pos="8296"/>
            </w:tabs>
            <w:rPr>
              <w:rFonts w:ascii="Arial" w:hAnsi="Arial" w:eastAsia="宋体" w:cs="Arial"/>
            </w:rPr>
          </w:pPr>
          <w:r>
            <w:rPr>
              <w:rFonts w:ascii="Arial" w:hAnsi="Arial" w:eastAsia="宋体" w:cs="Arial"/>
            </w:rPr>
            <w:fldChar w:fldCharType="begin"/>
          </w:r>
          <w:r>
            <w:rPr>
              <w:rFonts w:ascii="Arial" w:hAnsi="Arial" w:eastAsia="宋体" w:cs="Arial"/>
            </w:rPr>
            <w:instrText xml:space="preserve"> TOC \o "1-3" \h \z \u </w:instrText>
          </w:r>
          <w:r>
            <w:rPr>
              <w:rFonts w:ascii="Arial" w:hAnsi="Arial" w:eastAsia="宋体" w:cs="Arial"/>
            </w:rPr>
            <w:fldChar w:fldCharType="separate"/>
          </w:r>
          <w:r>
            <w:fldChar w:fldCharType="begin"/>
          </w:r>
          <w:r>
            <w:instrText xml:space="preserve"> HYPERLINK \l "_Toc479344401" </w:instrText>
          </w:r>
          <w:r>
            <w:fldChar w:fldCharType="separate"/>
          </w:r>
          <w:r>
            <w:rPr>
              <w:rStyle w:val="15"/>
              <w:rFonts w:ascii="Arial" w:hAnsi="Arial" w:eastAsia="宋体" w:cs="Arial"/>
              <w:bCs/>
              <w:kern w:val="0"/>
            </w:rPr>
            <w:t>1. 引言</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_Toc479344401 \h </w:instrText>
          </w:r>
          <w:r>
            <w:rPr>
              <w:rFonts w:ascii="Arial" w:hAnsi="Arial" w:eastAsia="宋体" w:cs="Arial"/>
            </w:rPr>
            <w:fldChar w:fldCharType="separate"/>
          </w:r>
          <w:r>
            <w:rPr>
              <w:rFonts w:ascii="Arial" w:hAnsi="Arial" w:eastAsia="宋体" w:cs="Arial"/>
            </w:rPr>
            <w:t>3</w:t>
          </w:r>
          <w:r>
            <w:rPr>
              <w:rFonts w:ascii="Arial" w:hAnsi="Arial" w:eastAsia="宋体" w:cs="Arial"/>
            </w:rPr>
            <w:fldChar w:fldCharType="end"/>
          </w:r>
          <w:r>
            <w:rPr>
              <w:rFonts w:ascii="Arial" w:hAnsi="Arial" w:eastAsia="宋体" w:cs="Arial"/>
            </w:rPr>
            <w:fldChar w:fldCharType="end"/>
          </w:r>
        </w:p>
        <w:p w14:paraId="5BE4DB70">
          <w:pPr>
            <w:pStyle w:val="9"/>
            <w:tabs>
              <w:tab w:val="right" w:leader="dot" w:pos="8296"/>
            </w:tabs>
            <w:rPr>
              <w:rFonts w:ascii="Arial" w:hAnsi="Arial" w:eastAsia="宋体" w:cs="Arial"/>
            </w:rPr>
          </w:pPr>
          <w:r>
            <w:fldChar w:fldCharType="begin"/>
          </w:r>
          <w:r>
            <w:instrText xml:space="preserve"> HYPERLINK \l "_Toc479344402" </w:instrText>
          </w:r>
          <w:r>
            <w:fldChar w:fldCharType="separate"/>
          </w:r>
          <w:r>
            <w:rPr>
              <w:rStyle w:val="15"/>
              <w:rFonts w:ascii="Arial" w:hAnsi="Arial" w:eastAsia="宋体" w:cs="Arial"/>
              <w:bCs/>
              <w:kern w:val="0"/>
            </w:rPr>
            <w:t>2.背景</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_Toc479344402 \h </w:instrText>
          </w:r>
          <w:r>
            <w:rPr>
              <w:rFonts w:ascii="Arial" w:hAnsi="Arial" w:eastAsia="宋体" w:cs="Arial"/>
            </w:rPr>
            <w:fldChar w:fldCharType="separate"/>
          </w:r>
          <w:r>
            <w:rPr>
              <w:rFonts w:ascii="Arial" w:hAnsi="Arial" w:eastAsia="宋体" w:cs="Arial"/>
            </w:rPr>
            <w:t>4</w:t>
          </w:r>
          <w:r>
            <w:rPr>
              <w:rFonts w:ascii="Arial" w:hAnsi="Arial" w:eastAsia="宋体" w:cs="Arial"/>
            </w:rPr>
            <w:fldChar w:fldCharType="end"/>
          </w:r>
          <w:r>
            <w:rPr>
              <w:rFonts w:ascii="Arial" w:hAnsi="Arial" w:eastAsia="宋体" w:cs="Arial"/>
            </w:rPr>
            <w:fldChar w:fldCharType="end"/>
          </w:r>
        </w:p>
        <w:p w14:paraId="75C33D70">
          <w:pPr>
            <w:pStyle w:val="9"/>
            <w:tabs>
              <w:tab w:val="right" w:leader="dot" w:pos="8296"/>
            </w:tabs>
            <w:rPr>
              <w:rFonts w:ascii="Arial" w:hAnsi="Arial" w:eastAsia="宋体" w:cs="Arial"/>
            </w:rPr>
          </w:pPr>
          <w:r>
            <w:fldChar w:fldCharType="begin"/>
          </w:r>
          <w:r>
            <w:instrText xml:space="preserve"> HYPERLINK \l "_Toc479344403" </w:instrText>
          </w:r>
          <w:r>
            <w:fldChar w:fldCharType="separate"/>
          </w:r>
          <w:r>
            <w:rPr>
              <w:rStyle w:val="15"/>
              <w:rFonts w:ascii="Arial" w:hAnsi="Arial" w:eastAsia="宋体" w:cs="Arial"/>
              <w:bCs/>
              <w:kern w:val="0"/>
            </w:rPr>
            <w:t>3. 简化510（k）提交资料的内容和格式</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_Toc479344403 \h </w:instrText>
          </w:r>
          <w:r>
            <w:rPr>
              <w:rFonts w:ascii="Arial" w:hAnsi="Arial" w:eastAsia="宋体" w:cs="Arial"/>
            </w:rPr>
            <w:fldChar w:fldCharType="separate"/>
          </w:r>
          <w:r>
            <w:rPr>
              <w:rFonts w:ascii="Arial" w:hAnsi="Arial" w:eastAsia="宋体" w:cs="Arial"/>
            </w:rPr>
            <w:t>4</w:t>
          </w:r>
          <w:r>
            <w:rPr>
              <w:rFonts w:ascii="Arial" w:hAnsi="Arial" w:eastAsia="宋体" w:cs="Arial"/>
            </w:rPr>
            <w:fldChar w:fldCharType="end"/>
          </w:r>
          <w:r>
            <w:rPr>
              <w:rFonts w:ascii="Arial" w:hAnsi="Arial" w:eastAsia="宋体" w:cs="Arial"/>
            </w:rPr>
            <w:fldChar w:fldCharType="end"/>
          </w:r>
        </w:p>
        <w:p w14:paraId="5E18E527">
          <w:pPr>
            <w:pStyle w:val="9"/>
            <w:tabs>
              <w:tab w:val="right" w:leader="dot" w:pos="8296"/>
            </w:tabs>
            <w:rPr>
              <w:rFonts w:ascii="Arial" w:hAnsi="Arial" w:eastAsia="宋体" w:cs="Arial"/>
            </w:rPr>
          </w:pPr>
          <w:r>
            <w:fldChar w:fldCharType="begin"/>
          </w:r>
          <w:r>
            <w:instrText xml:space="preserve"> HYPERLINK \l "_Toc479344404" </w:instrText>
          </w:r>
          <w:r>
            <w:fldChar w:fldCharType="separate"/>
          </w:r>
          <w:r>
            <w:rPr>
              <w:rStyle w:val="15"/>
              <w:rFonts w:ascii="Arial" w:hAnsi="Arial" w:eastAsia="宋体" w:cs="Arial"/>
              <w:bCs/>
              <w:kern w:val="0"/>
            </w:rPr>
            <w:t>4. 范围</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_Toc479344404 \h </w:instrText>
          </w:r>
          <w:r>
            <w:rPr>
              <w:rFonts w:ascii="Arial" w:hAnsi="Arial" w:eastAsia="宋体" w:cs="Arial"/>
            </w:rPr>
            <w:fldChar w:fldCharType="separate"/>
          </w:r>
          <w:r>
            <w:rPr>
              <w:rFonts w:ascii="Arial" w:hAnsi="Arial" w:eastAsia="宋体" w:cs="Arial"/>
            </w:rPr>
            <w:t>6</w:t>
          </w:r>
          <w:r>
            <w:rPr>
              <w:rFonts w:ascii="Arial" w:hAnsi="Arial" w:eastAsia="宋体" w:cs="Arial"/>
            </w:rPr>
            <w:fldChar w:fldCharType="end"/>
          </w:r>
          <w:r>
            <w:rPr>
              <w:rFonts w:ascii="Arial" w:hAnsi="Arial" w:eastAsia="宋体" w:cs="Arial"/>
            </w:rPr>
            <w:fldChar w:fldCharType="end"/>
          </w:r>
        </w:p>
        <w:p w14:paraId="7C1BDF8F">
          <w:pPr>
            <w:pStyle w:val="9"/>
            <w:tabs>
              <w:tab w:val="right" w:leader="dot" w:pos="8296"/>
            </w:tabs>
            <w:rPr>
              <w:rFonts w:ascii="Arial" w:hAnsi="Arial" w:eastAsia="宋体" w:cs="Arial"/>
            </w:rPr>
          </w:pPr>
          <w:r>
            <w:fldChar w:fldCharType="begin"/>
          </w:r>
          <w:r>
            <w:instrText xml:space="preserve"> HYPERLINK \l "_Toc479344405" </w:instrText>
          </w:r>
          <w:r>
            <w:fldChar w:fldCharType="separate"/>
          </w:r>
          <w:r>
            <w:rPr>
              <w:rStyle w:val="15"/>
              <w:rFonts w:ascii="Arial" w:hAnsi="Arial" w:eastAsia="宋体" w:cs="Arial"/>
              <w:bCs/>
              <w:kern w:val="0"/>
            </w:rPr>
            <w:t>5. 健康风险</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_Toc479344405 \h </w:instrText>
          </w:r>
          <w:r>
            <w:rPr>
              <w:rFonts w:ascii="Arial" w:hAnsi="Arial" w:eastAsia="宋体" w:cs="Arial"/>
            </w:rPr>
            <w:fldChar w:fldCharType="separate"/>
          </w:r>
          <w:r>
            <w:rPr>
              <w:rFonts w:ascii="Arial" w:hAnsi="Arial" w:eastAsia="宋体" w:cs="Arial"/>
            </w:rPr>
            <w:t>6</w:t>
          </w:r>
          <w:r>
            <w:rPr>
              <w:rFonts w:ascii="Arial" w:hAnsi="Arial" w:eastAsia="宋体" w:cs="Arial"/>
            </w:rPr>
            <w:fldChar w:fldCharType="end"/>
          </w:r>
          <w:r>
            <w:rPr>
              <w:rFonts w:ascii="Arial" w:hAnsi="Arial" w:eastAsia="宋体" w:cs="Arial"/>
            </w:rPr>
            <w:fldChar w:fldCharType="end"/>
          </w:r>
        </w:p>
        <w:p w14:paraId="545C5B59">
          <w:pPr>
            <w:pStyle w:val="9"/>
            <w:tabs>
              <w:tab w:val="right" w:leader="dot" w:pos="8296"/>
            </w:tabs>
            <w:rPr>
              <w:rFonts w:ascii="Arial" w:hAnsi="Arial" w:eastAsia="宋体" w:cs="Arial"/>
            </w:rPr>
          </w:pPr>
          <w:r>
            <w:fldChar w:fldCharType="begin"/>
          </w:r>
          <w:r>
            <w:instrText xml:space="preserve"> HYPERLINK \l "_Toc479344406" </w:instrText>
          </w:r>
          <w:r>
            <w:fldChar w:fldCharType="separate"/>
          </w:r>
          <w:r>
            <w:rPr>
              <w:rStyle w:val="15"/>
              <w:rFonts w:ascii="Arial" w:hAnsi="Arial" w:eastAsia="宋体" w:cs="Arial"/>
              <w:bCs/>
              <w:kern w:val="0"/>
            </w:rPr>
            <w:t>7. 方法比较</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_Toc479344406 \h </w:instrText>
          </w:r>
          <w:r>
            <w:rPr>
              <w:rFonts w:ascii="Arial" w:hAnsi="Arial" w:eastAsia="宋体" w:cs="Arial"/>
            </w:rPr>
            <w:fldChar w:fldCharType="separate"/>
          </w:r>
          <w:r>
            <w:rPr>
              <w:rFonts w:ascii="Arial" w:hAnsi="Arial" w:eastAsia="宋体" w:cs="Arial"/>
            </w:rPr>
            <w:t>8</w:t>
          </w:r>
          <w:r>
            <w:rPr>
              <w:rFonts w:ascii="Arial" w:hAnsi="Arial" w:eastAsia="宋体" w:cs="Arial"/>
            </w:rPr>
            <w:fldChar w:fldCharType="end"/>
          </w:r>
          <w:r>
            <w:rPr>
              <w:rFonts w:ascii="Arial" w:hAnsi="Arial" w:eastAsia="宋体" w:cs="Arial"/>
            </w:rPr>
            <w:fldChar w:fldCharType="end"/>
          </w:r>
        </w:p>
        <w:p w14:paraId="76293C78">
          <w:pPr>
            <w:pStyle w:val="9"/>
            <w:tabs>
              <w:tab w:val="right" w:leader="dot" w:pos="8296"/>
            </w:tabs>
            <w:rPr>
              <w:rFonts w:ascii="Arial" w:hAnsi="Arial" w:eastAsia="宋体" w:cs="Arial"/>
            </w:rPr>
          </w:pPr>
          <w:r>
            <w:fldChar w:fldCharType="begin"/>
          </w:r>
          <w:r>
            <w:instrText xml:space="preserve"> HYPERLINK \l "_Toc479344407" </w:instrText>
          </w:r>
          <w:r>
            <w:fldChar w:fldCharType="separate"/>
          </w:r>
          <w:r>
            <w:rPr>
              <w:rStyle w:val="15"/>
              <w:rFonts w:ascii="Arial" w:hAnsi="Arial" w:eastAsia="宋体" w:cs="Arial"/>
              <w:bCs/>
              <w:kern w:val="0"/>
            </w:rPr>
            <w:t>8. 标签</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_Toc479344407 \h </w:instrText>
          </w:r>
          <w:r>
            <w:rPr>
              <w:rFonts w:ascii="Arial" w:hAnsi="Arial" w:eastAsia="宋体" w:cs="Arial"/>
            </w:rPr>
            <w:fldChar w:fldCharType="separate"/>
          </w:r>
          <w:r>
            <w:rPr>
              <w:rFonts w:ascii="Arial" w:hAnsi="Arial" w:eastAsia="宋体" w:cs="Arial"/>
            </w:rPr>
            <w:t>9</w:t>
          </w:r>
          <w:r>
            <w:rPr>
              <w:rFonts w:ascii="Arial" w:hAnsi="Arial" w:eastAsia="宋体" w:cs="Arial"/>
            </w:rPr>
            <w:fldChar w:fldCharType="end"/>
          </w:r>
          <w:r>
            <w:rPr>
              <w:rFonts w:ascii="Arial" w:hAnsi="Arial" w:eastAsia="宋体" w:cs="Arial"/>
            </w:rPr>
            <w:fldChar w:fldCharType="end"/>
          </w:r>
        </w:p>
        <w:p w14:paraId="4CE40F48">
          <w:r>
            <w:rPr>
              <w:rFonts w:ascii="Arial" w:hAnsi="Arial" w:eastAsia="宋体" w:cs="Arial"/>
              <w:bCs/>
              <w:lang w:val="zh-CN"/>
            </w:rPr>
            <w:fldChar w:fldCharType="end"/>
          </w:r>
        </w:p>
      </w:sdtContent>
    </w:sdt>
    <w:p w14:paraId="129E2CD0">
      <w:pPr>
        <w:widowControl/>
        <w:snapToGrid w:val="0"/>
        <w:spacing w:line="300" w:lineRule="auto"/>
        <w:jc w:val="center"/>
        <w:rPr>
          <w:rFonts w:ascii="Arial" w:hAnsi="Arial" w:eastAsia="宋体" w:cs="Arial"/>
          <w:b/>
          <w:bCs/>
          <w:color w:val="000000"/>
          <w:kern w:val="0"/>
          <w:sz w:val="32"/>
        </w:rPr>
      </w:pPr>
      <w:r>
        <w:rPr>
          <w:rFonts w:ascii="Arial" w:hAnsi="Arial" w:eastAsia="宋体" w:cs="Arial"/>
          <w:b/>
          <w:bCs/>
          <w:color w:val="000000"/>
          <w:kern w:val="0"/>
          <w:sz w:val="32"/>
        </w:rPr>
        <w:t>行业和FDA工作人员指南</w:t>
      </w:r>
    </w:p>
    <w:p w14:paraId="5929D6D7">
      <w:pPr>
        <w:widowControl/>
        <w:snapToGrid w:val="0"/>
        <w:spacing w:before="90" w:after="90" w:line="300" w:lineRule="auto"/>
        <w:jc w:val="center"/>
        <w:rPr>
          <w:rFonts w:ascii="Arial" w:hAnsi="Arial" w:eastAsia="宋体" w:cs="Arial"/>
          <w:b/>
          <w:bCs/>
          <w:color w:val="000000"/>
          <w:kern w:val="0"/>
          <w:sz w:val="32"/>
        </w:rPr>
      </w:pPr>
      <w:r>
        <w:rPr>
          <w:rFonts w:ascii="Arial" w:hAnsi="Arial" w:eastAsia="宋体" w:cs="Arial"/>
          <w:b/>
          <w:bCs/>
          <w:color w:val="000000"/>
          <w:kern w:val="0"/>
          <w:sz w:val="32"/>
        </w:rPr>
        <w:t>II类特殊控制指导性文件：用于西尼罗病毒实验室诊断的血清试剂</w:t>
      </w:r>
    </w:p>
    <w:p w14:paraId="3523E78C">
      <w:pPr>
        <w:widowControl/>
        <w:snapToGrid w:val="0"/>
        <w:spacing w:line="300" w:lineRule="auto"/>
        <w:outlineLvl w:val="0"/>
        <w:rPr>
          <w:rFonts w:ascii="Arial" w:hAnsi="Arial" w:eastAsia="宋体" w:cs="Arial"/>
          <w:b/>
          <w:bCs/>
          <w:color w:val="000000"/>
          <w:kern w:val="0"/>
          <w:sz w:val="29"/>
          <w:szCs w:val="29"/>
        </w:rPr>
      </w:pPr>
      <w:bookmarkStart w:id="0" w:name="_Toc52173675"/>
      <w:bookmarkStart w:id="1" w:name="_Toc479344401"/>
      <w:r>
        <w:rPr>
          <w:rFonts w:ascii="Arial" w:hAnsi="Arial" w:eastAsia="宋体" w:cs="Arial"/>
          <w:b/>
          <w:bCs/>
          <w:color w:val="000000"/>
          <w:kern w:val="0"/>
          <w:sz w:val="29"/>
          <w:szCs w:val="29"/>
        </w:rPr>
        <w:t>1.</w:t>
      </w:r>
      <w:bookmarkEnd w:id="0"/>
      <w:r>
        <w:rPr>
          <w:rFonts w:ascii="Arial" w:hAnsi="Arial" w:eastAsia="宋体" w:cs="Arial"/>
          <w:b/>
          <w:bCs/>
          <w:color w:val="000000"/>
          <w:kern w:val="0"/>
          <w:sz w:val="29"/>
        </w:rPr>
        <w:t> 引</w:t>
      </w:r>
      <w:r>
        <w:rPr>
          <w:rFonts w:ascii="Arial" w:hAnsi="Arial" w:eastAsia="宋体" w:cs="Arial"/>
          <w:b/>
          <w:bCs/>
          <w:color w:val="000000"/>
          <w:kern w:val="0"/>
          <w:sz w:val="29"/>
          <w:szCs w:val="29"/>
        </w:rPr>
        <w:t>言</w:t>
      </w:r>
      <w:bookmarkEnd w:id="1"/>
    </w:p>
    <w:p w14:paraId="225AD5CD">
      <w:pPr>
        <w:widowControl/>
        <w:snapToGrid w:val="0"/>
        <w:spacing w:before="90" w:after="90" w:line="300" w:lineRule="auto"/>
        <w:rPr>
          <w:rFonts w:ascii="Arial" w:hAnsi="Arial" w:eastAsia="宋体" w:cs="Arial"/>
          <w:color w:val="000000"/>
          <w:kern w:val="0"/>
          <w:sz w:val="18"/>
          <w:szCs w:val="18"/>
        </w:rPr>
      </w:pPr>
      <w:r>
        <w:rPr>
          <w:rFonts w:ascii="Arial" w:hAnsi="Arial" w:eastAsia="宋体" w:cs="Arial"/>
          <w:color w:val="000000"/>
          <w:kern w:val="0"/>
          <w:sz w:val="18"/>
          <w:szCs w:val="18"/>
        </w:rPr>
        <w:t>本指南作为特殊控制而编制，以支持将西尼罗河病毒（WNV）血清学试剂分类为II类（特殊控制）。西尼罗河病毒血清学试剂是由抗原和抗血清组成的器械，以用于检测人类血清中是否存在抗西尼罗病毒IgM抗体，其中，血清来自具有与病毒性脑膜炎/脑炎一致的体征和症状的个体。该检测有助于对由西尼罗病毒引起的病毒性脑膜炎/脑炎进行临床实验室诊断。该器械旨在用于结合其他临床和实验室结果对患者进行推定性诊断。</w:t>
      </w:r>
    </w:p>
    <w:p w14:paraId="3A647281">
      <w:pPr>
        <w:widowControl/>
        <w:snapToGrid w:val="0"/>
        <w:spacing w:before="90" w:after="90" w:line="300" w:lineRule="auto"/>
        <w:rPr>
          <w:rFonts w:ascii="Arial" w:hAnsi="Arial" w:eastAsia="宋体" w:cs="Arial"/>
          <w:color w:val="000000"/>
          <w:kern w:val="0"/>
          <w:sz w:val="18"/>
          <w:szCs w:val="18"/>
        </w:rPr>
      </w:pPr>
      <w:r>
        <w:rPr>
          <w:rFonts w:ascii="Arial" w:hAnsi="Arial" w:eastAsia="宋体" w:cs="Arial"/>
          <w:color w:val="000000"/>
          <w:kern w:val="0"/>
          <w:sz w:val="18"/>
          <w:szCs w:val="18"/>
        </w:rPr>
        <w:t>本指南与联邦公告通告一起发布，以宣布西尼罗河病毒血清学试剂的分类。</w:t>
      </w:r>
    </w:p>
    <w:p w14:paraId="064BB6DA">
      <w:pPr>
        <w:widowControl/>
        <w:snapToGrid w:val="0"/>
        <w:spacing w:before="90" w:after="90" w:line="300" w:lineRule="auto"/>
        <w:rPr>
          <w:rFonts w:ascii="Arial" w:hAnsi="Arial" w:eastAsia="宋体" w:cs="Arial"/>
          <w:color w:val="000000"/>
          <w:kern w:val="0"/>
          <w:sz w:val="18"/>
          <w:szCs w:val="18"/>
        </w:rPr>
      </w:pPr>
      <w:r>
        <w:rPr>
          <w:rFonts w:ascii="Arial" w:hAnsi="Arial" w:eastAsia="宋体" w:cs="Arial"/>
          <w:color w:val="000000"/>
          <w:kern w:val="0"/>
          <w:sz w:val="18"/>
          <w:szCs w:val="18"/>
        </w:rPr>
        <w:t>在对器械进行分类的最终规则生效之后，任何为西尼罗河病毒血清学测定提交510（k）上市前通告的公司都需要处理本特殊控制指南中涉及的问题。但是，该公司只需表明，其器械符合本指南的建议，或以某种其他方式提供安全性和有效性的同等保证。</w:t>
      </w:r>
    </w:p>
    <w:p w14:paraId="336F2FB1">
      <w:pPr>
        <w:widowControl/>
        <w:snapToGrid w:val="0"/>
        <w:spacing w:before="90" w:after="90" w:line="300" w:lineRule="auto"/>
        <w:rPr>
          <w:rFonts w:ascii="Arial" w:hAnsi="Arial" w:eastAsia="宋体" w:cs="Arial"/>
          <w:color w:val="000000"/>
          <w:kern w:val="0"/>
          <w:sz w:val="18"/>
          <w:szCs w:val="18"/>
        </w:rPr>
      </w:pPr>
      <w:r>
        <w:rPr>
          <w:rFonts w:ascii="Arial" w:hAnsi="Arial" w:eastAsia="宋体" w:cs="Arial"/>
          <w:color w:val="000000"/>
          <w:kern w:val="0"/>
          <w:sz w:val="18"/>
          <w:szCs w:val="18"/>
        </w:rPr>
        <w:t>该公司必须证明，其器械已通过满足本指南的建议或通过提供等同的安全性和有效性保证的其他方法解决了本指南中确定的安全性和有效性问题。</w:t>
      </w:r>
    </w:p>
    <w:p w14:paraId="4A6D2798">
      <w:pPr>
        <w:widowControl/>
        <w:snapToGrid w:val="0"/>
        <w:spacing w:before="90" w:after="90" w:line="300" w:lineRule="auto"/>
        <w:rPr>
          <w:rFonts w:ascii="Arial" w:hAnsi="Arial" w:eastAsia="宋体" w:cs="Arial"/>
          <w:b/>
          <w:bCs/>
          <w:color w:val="000000"/>
          <w:kern w:val="0"/>
          <w:sz w:val="29"/>
        </w:rPr>
      </w:pPr>
      <w:r>
        <w:rPr>
          <w:rFonts w:ascii="Arial" w:hAnsi="Arial" w:eastAsia="宋体" w:cs="Arial"/>
          <w:b/>
          <w:bCs/>
          <w:color w:val="000000"/>
          <w:kern w:val="0"/>
          <w:sz w:val="29"/>
        </w:rPr>
        <w:t>最小负担法</w:t>
      </w:r>
    </w:p>
    <w:p w14:paraId="7C88CCA1">
      <w:pPr>
        <w:widowControl/>
        <w:snapToGrid w:val="0"/>
        <w:spacing w:before="90" w:after="90" w:line="300" w:lineRule="auto"/>
        <w:rPr>
          <w:rFonts w:ascii="Arial" w:hAnsi="Arial" w:eastAsia="宋体" w:cs="Arial"/>
          <w:color w:val="000000"/>
          <w:kern w:val="0"/>
          <w:sz w:val="18"/>
          <w:szCs w:val="18"/>
        </w:rPr>
      </w:pPr>
      <w:r>
        <w:rPr>
          <w:rFonts w:ascii="Arial" w:hAnsi="Arial" w:eastAsia="宋体" w:cs="Arial"/>
          <w:color w:val="000000"/>
          <w:kern w:val="0"/>
          <w:sz w:val="18"/>
          <w:szCs w:val="18"/>
        </w:rPr>
        <w:t>本指导性文件中确定的问题代表我们认为在贵公司的器械可上市之前需要解决的问题。在制定本指南时，我们仔细考虑了相关法定标准以便于本审查机构做出决定。我们还考虑了贵公司尝试遵守本指南并解决我们确定的问题时可能产生的负担。我们认为，我们已采用了最小负担法来解决本指导性文件中提出的问题。但是，如果贵公司认为有负担更小的方式可以用于解决这些问题，则贵公司应遵循文件“</w:t>
      </w:r>
      <w:r>
        <w:rPr>
          <w:rFonts w:ascii="Arial" w:hAnsi="Arial" w:eastAsia="宋体" w:cs="Arial"/>
          <w:color w:val="7030A0"/>
          <w:kern w:val="0"/>
          <w:sz w:val="18"/>
          <w:szCs w:val="18"/>
          <w:u w:val="single"/>
        </w:rPr>
        <w:t>解决最小负担问题的建议方法</w:t>
      </w:r>
      <w:r>
        <w:rPr>
          <w:rFonts w:ascii="Arial" w:hAnsi="Arial" w:eastAsia="宋体" w:cs="Arial"/>
          <w:color w:val="000000"/>
          <w:kern w:val="0"/>
          <w:sz w:val="18"/>
          <w:szCs w:val="18"/>
        </w:rPr>
        <w:t>”中概述的程序。</w:t>
      </w:r>
    </w:p>
    <w:p w14:paraId="16268ABD">
      <w:pPr>
        <w:widowControl/>
        <w:jc w:val="left"/>
        <w:rPr>
          <w:rFonts w:ascii="Arial" w:hAnsi="Arial" w:eastAsia="宋体" w:cs="Arial"/>
          <w:b/>
          <w:bCs/>
          <w:color w:val="000000"/>
          <w:kern w:val="0"/>
          <w:sz w:val="29"/>
          <w:szCs w:val="29"/>
        </w:rPr>
      </w:pPr>
      <w:bookmarkStart w:id="2" w:name="_Toc52173676"/>
      <w:r>
        <w:rPr>
          <w:rFonts w:ascii="Arial" w:hAnsi="Arial" w:eastAsia="宋体" w:cs="Arial"/>
          <w:b/>
          <w:bCs/>
          <w:color w:val="000000"/>
          <w:kern w:val="0"/>
          <w:sz w:val="29"/>
          <w:szCs w:val="29"/>
        </w:rPr>
        <w:br w:type="page"/>
      </w:r>
    </w:p>
    <w:p w14:paraId="1C14C3DC">
      <w:pPr>
        <w:widowControl/>
        <w:snapToGrid w:val="0"/>
        <w:spacing w:before="90" w:after="90" w:line="300" w:lineRule="auto"/>
        <w:outlineLvl w:val="0"/>
        <w:rPr>
          <w:rFonts w:ascii="Arial" w:hAnsi="Arial" w:eastAsia="宋体" w:cs="Arial"/>
          <w:b/>
          <w:bCs/>
          <w:color w:val="000000"/>
          <w:kern w:val="0"/>
          <w:sz w:val="29"/>
          <w:szCs w:val="29"/>
        </w:rPr>
      </w:pPr>
      <w:bookmarkStart w:id="3" w:name="_Toc479344402"/>
      <w:r>
        <w:rPr>
          <w:rFonts w:ascii="Arial" w:hAnsi="Arial" w:eastAsia="宋体" w:cs="Arial"/>
          <w:b/>
          <w:bCs/>
          <w:color w:val="000000"/>
          <w:kern w:val="0"/>
          <w:sz w:val="29"/>
          <w:szCs w:val="29"/>
        </w:rPr>
        <w:t>2.</w:t>
      </w:r>
      <w:bookmarkEnd w:id="2"/>
      <w:r>
        <w:rPr>
          <w:rFonts w:ascii="Arial" w:hAnsi="Arial" w:eastAsia="宋体" w:cs="Arial"/>
          <w:b/>
          <w:bCs/>
          <w:color w:val="000000"/>
          <w:kern w:val="0"/>
          <w:sz w:val="29"/>
          <w:szCs w:val="29"/>
        </w:rPr>
        <w:t>背景</w:t>
      </w:r>
      <w:bookmarkEnd w:id="3"/>
    </w:p>
    <w:p w14:paraId="497E21A8">
      <w:pPr>
        <w:widowControl/>
        <w:snapToGrid w:val="0"/>
        <w:spacing w:before="90" w:after="90" w:line="300" w:lineRule="auto"/>
        <w:rPr>
          <w:rFonts w:ascii="Arial" w:hAnsi="Arial" w:eastAsia="宋体" w:cs="Arial"/>
          <w:color w:val="000000"/>
          <w:kern w:val="0"/>
          <w:sz w:val="18"/>
          <w:szCs w:val="18"/>
        </w:rPr>
      </w:pPr>
      <w:r>
        <w:rPr>
          <w:rFonts w:ascii="Arial" w:hAnsi="Arial" w:eastAsia="宋体" w:cs="Arial"/>
          <w:color w:val="000000"/>
          <w:kern w:val="0"/>
          <w:sz w:val="18"/>
          <w:szCs w:val="18"/>
        </w:rPr>
        <w:t>FDA认为，当与一般控制组合时，特殊控制将足以对西尼罗河病毒血清学测定的安全性和有效性提供合理保证。拟上市此类器械的制造商应（1）遵守联邦食品，药品和化妆品法案（该法）的一般控制，包括</w:t>
      </w:r>
      <w:r>
        <w:rPr>
          <w:rFonts w:ascii="Arial" w:hAnsi="Arial" w:eastAsia="宋体" w:cs="Arial"/>
          <w:color w:val="7030A0"/>
          <w:kern w:val="0"/>
          <w:sz w:val="18"/>
          <w:szCs w:val="18"/>
        </w:rPr>
        <w:t>21 CFR 807</w:t>
      </w:r>
      <w:r>
        <w:rPr>
          <w:rFonts w:ascii="Arial" w:hAnsi="Arial" w:eastAsia="宋体" w:cs="Arial"/>
          <w:color w:val="000000"/>
          <w:kern w:val="0"/>
          <w:sz w:val="18"/>
          <w:szCs w:val="18"/>
        </w:rPr>
        <w:t>子部分E中所述的上市前通告要求，（2）处理本指南中确定的与西尼罗河病毒血清学试剂相关的特定健康风险，以及（3）在上市该器械之前从FDA获得实质等同性测定，除非以获得免于遵守该法案的上市前通告要求的授权（请参见</w:t>
      </w:r>
      <w:r>
        <w:rPr>
          <w:rFonts w:ascii="Arial" w:hAnsi="Arial" w:eastAsia="宋体" w:cs="Arial"/>
          <w:color w:val="7030A0"/>
          <w:kern w:val="0"/>
          <w:sz w:val="18"/>
          <w:szCs w:val="18"/>
        </w:rPr>
        <w:t>21 CFR 807.85</w:t>
      </w:r>
      <w:r>
        <w:rPr>
          <w:rFonts w:ascii="Arial" w:hAnsi="Arial" w:eastAsia="宋体" w:cs="Arial"/>
          <w:color w:val="000000"/>
          <w:kern w:val="0"/>
          <w:sz w:val="18"/>
          <w:szCs w:val="18"/>
        </w:rPr>
        <w:t>）。</w:t>
      </w:r>
    </w:p>
    <w:p w14:paraId="3584FA2B">
      <w:pPr>
        <w:widowControl/>
        <w:snapToGrid w:val="0"/>
        <w:spacing w:before="90" w:after="90" w:line="300" w:lineRule="auto"/>
        <w:rPr>
          <w:rFonts w:ascii="Arial" w:hAnsi="Arial" w:eastAsia="宋体" w:cs="Arial"/>
          <w:color w:val="000000"/>
          <w:kern w:val="0"/>
          <w:sz w:val="18"/>
          <w:szCs w:val="18"/>
        </w:rPr>
      </w:pPr>
    </w:p>
    <w:p w14:paraId="257BCDC5">
      <w:pPr>
        <w:widowControl/>
        <w:snapToGrid w:val="0"/>
        <w:spacing w:before="90" w:after="90" w:line="300" w:lineRule="auto"/>
        <w:rPr>
          <w:rFonts w:ascii="Arial" w:hAnsi="Arial" w:eastAsia="宋体" w:cs="Arial"/>
          <w:color w:val="000000"/>
          <w:kern w:val="0"/>
          <w:sz w:val="18"/>
          <w:szCs w:val="18"/>
        </w:rPr>
      </w:pPr>
      <w:r>
        <w:rPr>
          <w:rFonts w:ascii="Arial" w:hAnsi="Arial" w:eastAsia="宋体" w:cs="Arial"/>
          <w:color w:val="000000"/>
          <w:kern w:val="0"/>
          <w:sz w:val="18"/>
          <w:szCs w:val="18"/>
        </w:rPr>
        <w:t>本指导性文件确定了西尼罗河病毒血清学试剂的分类规则和产品代码。（请参见第4节 - 范围）。此外，本指导性文件的其他部分列出了FDA确定的健康风险，并对如果制造商遵守并结合一般控制措施通常可解决与这些测定相关的风险并使上市前通告[510（k）]审查和许可及时进行的措施进行了说明。本文件补充有关上市前通告提交资料的具体内容要求的其他FDA文件。贵公司还应参考</w:t>
      </w:r>
      <w:r>
        <w:rPr>
          <w:rFonts w:ascii="Arial" w:hAnsi="Arial" w:eastAsia="宋体" w:cs="Arial"/>
          <w:color w:val="7030A0"/>
          <w:kern w:val="0"/>
          <w:sz w:val="18"/>
          <w:szCs w:val="18"/>
        </w:rPr>
        <w:t>21 CFR 807.87</w:t>
      </w:r>
      <w:r>
        <w:rPr>
          <w:rFonts w:ascii="Arial" w:hAnsi="Arial" w:eastAsia="宋体" w:cs="Arial"/>
          <w:color w:val="000000"/>
          <w:kern w:val="0"/>
          <w:sz w:val="18"/>
          <w:szCs w:val="18"/>
        </w:rPr>
        <w:t>和其他有关本主题的FDA文件，如上市前通告 510（k）。</w:t>
      </w:r>
    </w:p>
    <w:p w14:paraId="0D90BD34">
      <w:pPr>
        <w:widowControl/>
        <w:snapToGrid w:val="0"/>
        <w:spacing w:before="90" w:after="90" w:line="300" w:lineRule="auto"/>
        <w:rPr>
          <w:rFonts w:ascii="Arial" w:hAnsi="Arial" w:eastAsia="宋体" w:cs="Arial"/>
          <w:color w:val="000000"/>
          <w:kern w:val="0"/>
          <w:sz w:val="18"/>
          <w:szCs w:val="18"/>
        </w:rPr>
      </w:pPr>
      <w:r>
        <w:rPr>
          <w:rFonts w:ascii="Arial" w:hAnsi="Arial" w:eastAsia="宋体" w:cs="Arial"/>
          <w:color w:val="000000"/>
          <w:kern w:val="0"/>
          <w:sz w:val="18"/>
          <w:szCs w:val="18"/>
        </w:rPr>
        <w:t>根据“</w:t>
      </w:r>
      <w:r>
        <w:rPr>
          <w:rFonts w:hint="eastAsia" w:ascii="Arial" w:hAnsi="Arial" w:eastAsia="宋体" w:cs="Arial"/>
          <w:b/>
          <w:color w:val="000000"/>
          <w:kern w:val="0"/>
          <w:sz w:val="18"/>
          <w:szCs w:val="18"/>
        </w:rPr>
        <w:t>新版</w:t>
      </w:r>
      <w:r>
        <w:rPr>
          <w:rFonts w:ascii="Arial" w:hAnsi="Arial" w:eastAsia="宋体" w:cs="Arial"/>
          <w:b/>
          <w:color w:val="000000"/>
          <w:kern w:val="0"/>
          <w:sz w:val="18"/>
          <w:szCs w:val="18"/>
        </w:rPr>
        <w:t>510</w:t>
      </w:r>
      <w:r>
        <w:rPr>
          <w:rFonts w:hint="eastAsia" w:ascii="Arial" w:hAnsi="Arial" w:eastAsia="宋体" w:cs="Arial"/>
          <w:b/>
          <w:color w:val="000000"/>
          <w:kern w:val="0"/>
          <w:sz w:val="18"/>
          <w:szCs w:val="18"/>
        </w:rPr>
        <w:t>（</w:t>
      </w:r>
      <w:r>
        <w:rPr>
          <w:rFonts w:ascii="Arial" w:hAnsi="Arial" w:eastAsia="宋体" w:cs="Arial"/>
          <w:b/>
          <w:color w:val="000000"/>
          <w:kern w:val="0"/>
          <w:sz w:val="18"/>
          <w:szCs w:val="18"/>
        </w:rPr>
        <w:t>k</w:t>
      </w:r>
      <w:r>
        <w:rPr>
          <w:rFonts w:hint="eastAsia" w:ascii="Arial" w:hAnsi="Arial" w:eastAsia="宋体" w:cs="Arial"/>
          <w:b/>
          <w:color w:val="000000"/>
          <w:kern w:val="0"/>
          <w:sz w:val="18"/>
          <w:szCs w:val="18"/>
        </w:rPr>
        <w:t>）范式</w:t>
      </w:r>
      <w:r>
        <w:rPr>
          <w:rFonts w:ascii="Arial" w:hAnsi="Arial" w:eastAsia="宋体" w:cs="Arial"/>
          <w:b/>
          <w:color w:val="000000"/>
          <w:kern w:val="0"/>
          <w:sz w:val="18"/>
          <w:szCs w:val="18"/>
        </w:rPr>
        <w:t xml:space="preserve"> - </w:t>
      </w:r>
      <w:r>
        <w:rPr>
          <w:rFonts w:hint="eastAsia" w:ascii="Arial" w:hAnsi="Arial" w:eastAsia="宋体" w:cs="Arial"/>
          <w:b/>
          <w:color w:val="000000"/>
          <w:kern w:val="0"/>
          <w:sz w:val="18"/>
          <w:szCs w:val="18"/>
        </w:rPr>
        <w:t>在上市前通告中证明实质等同性的替代方法；最终指南</w:t>
      </w:r>
      <w:r>
        <w:rPr>
          <w:rFonts w:ascii="Arial" w:hAnsi="Arial" w:eastAsia="宋体" w:cs="Arial"/>
          <w:color w:val="000000"/>
          <w:kern w:val="0"/>
          <w:sz w:val="18"/>
          <w:szCs w:val="18"/>
          <w:vertAlign w:val="superscript"/>
        </w:rPr>
        <w:t>1</w:t>
      </w:r>
      <w:r>
        <w:rPr>
          <w:rFonts w:ascii="Arial" w:hAnsi="Arial" w:eastAsia="宋体" w:cs="Arial"/>
          <w:color w:val="000000"/>
          <w:kern w:val="0"/>
          <w:sz w:val="18"/>
          <w:szCs w:val="18"/>
        </w:rPr>
        <w:t>”，制造商可以提交传统510（k）或可以选择提交简化510（k）或特殊510（k）。FDA认为，简化510（k）提供了用于证明新器械的实质等同性的且负担最小的手段，特别是在FDA已发布某一指导性文件后。考虑修改其自己已许可器械的制造商可以通过提交特殊510（k）来减轻监管负担。</w:t>
      </w:r>
    </w:p>
    <w:p w14:paraId="5B553533">
      <w:pPr>
        <w:widowControl/>
        <w:snapToGrid w:val="0"/>
        <w:spacing w:line="300" w:lineRule="auto"/>
        <w:outlineLvl w:val="0"/>
        <w:rPr>
          <w:rFonts w:ascii="Arial" w:hAnsi="Arial" w:eastAsia="宋体" w:cs="Arial"/>
          <w:b/>
          <w:bCs/>
          <w:color w:val="000000"/>
          <w:kern w:val="0"/>
          <w:sz w:val="29"/>
          <w:szCs w:val="29"/>
        </w:rPr>
      </w:pPr>
      <w:bookmarkStart w:id="4" w:name="_Toc529272021"/>
      <w:bookmarkStart w:id="5" w:name="_Toc479344403"/>
      <w:r>
        <w:rPr>
          <w:rFonts w:ascii="Arial" w:hAnsi="Arial" w:eastAsia="宋体" w:cs="Arial"/>
          <w:b/>
          <w:bCs/>
          <w:color w:val="000000"/>
          <w:kern w:val="0"/>
          <w:sz w:val="29"/>
          <w:szCs w:val="29"/>
        </w:rPr>
        <w:t>3. </w:t>
      </w:r>
      <w:bookmarkEnd w:id="4"/>
      <w:r>
        <w:rPr>
          <w:rFonts w:ascii="Arial" w:hAnsi="Arial" w:eastAsia="宋体" w:cs="Arial"/>
          <w:b/>
          <w:bCs/>
          <w:color w:val="000000"/>
          <w:kern w:val="0"/>
          <w:sz w:val="29"/>
          <w:szCs w:val="29"/>
        </w:rPr>
        <w:t>简化510（k）提交资料的内容和格式</w:t>
      </w:r>
      <w:bookmarkEnd w:id="5"/>
    </w:p>
    <w:p w14:paraId="02C1BBD1">
      <w:pPr>
        <w:widowControl/>
        <w:snapToGrid w:val="0"/>
        <w:spacing w:before="78" w:after="78" w:line="300" w:lineRule="auto"/>
        <w:rPr>
          <w:rFonts w:ascii="Arial" w:hAnsi="Arial" w:eastAsia="宋体" w:cs="Arial"/>
          <w:color w:val="000000"/>
          <w:kern w:val="0"/>
          <w:sz w:val="18"/>
          <w:szCs w:val="18"/>
        </w:rPr>
      </w:pPr>
      <w:r>
        <w:rPr>
          <w:rFonts w:ascii="Arial" w:hAnsi="Arial" w:eastAsia="宋体" w:cs="Arial"/>
          <w:color w:val="000000"/>
          <w:kern w:val="0"/>
          <w:sz w:val="18"/>
          <w:szCs w:val="18"/>
        </w:rPr>
        <w:t>简化510（k）提交资料必须含有21 CFR 807.87中确定的所需成分，包括用于描述器械、其预期用途及其使用说明的器械建议标签。在简化510（k）中，FDA可以将总结报告的内容视为21 CFR 807.87（f）或（g）所指的适当支持性数据；因此，我们建议贵公司提供总结报告。该报告应说明在器械开发和试验过程中如何使用本指导性文件，并应简要说明所使用的方法或试验，以及应用于解决本文件中确定的风险的试验数据的总结或对验收标准的说明，以及贵公司的器械特有的任何其他风险。本节就用于满足21 CFR 807.87中的一些要求的信息以及我们建议贵公司在简化510（k）中提供的其他一些项目提供建议。</w:t>
      </w:r>
    </w:p>
    <w:p w14:paraId="6525B9D6">
      <w:pPr>
        <w:widowControl/>
        <w:jc w:val="left"/>
        <w:rPr>
          <w:rFonts w:ascii="Arial" w:hAnsi="Arial" w:eastAsia="宋体" w:cs="Arial"/>
          <w:b/>
          <w:bCs/>
          <w:color w:val="000000"/>
          <w:kern w:val="0"/>
          <w:sz w:val="18"/>
        </w:rPr>
      </w:pPr>
      <w:r>
        <w:rPr>
          <w:rFonts w:ascii="Arial" w:hAnsi="Arial" w:eastAsia="宋体" w:cs="Arial"/>
          <w:b/>
          <w:bCs/>
          <w:color w:val="000000"/>
          <w:kern w:val="0"/>
          <w:sz w:val="18"/>
        </w:rPr>
        <w:br w:type="page"/>
      </w:r>
    </w:p>
    <w:p w14:paraId="572FA8B5">
      <w:pPr>
        <w:widowControl/>
        <w:snapToGrid w:val="0"/>
        <w:spacing w:before="78" w:after="78" w:line="300" w:lineRule="auto"/>
        <w:rPr>
          <w:rFonts w:ascii="Arial" w:hAnsi="Arial" w:eastAsia="宋体" w:cs="Arial"/>
          <w:color w:val="000000"/>
          <w:kern w:val="0"/>
          <w:sz w:val="18"/>
          <w:szCs w:val="18"/>
        </w:rPr>
      </w:pPr>
      <w:r>
        <w:rPr>
          <w:rFonts w:ascii="Arial" w:hAnsi="Arial" w:eastAsia="宋体" w:cs="Arial"/>
          <w:b/>
          <w:bCs/>
          <w:color w:val="000000"/>
          <w:kern w:val="0"/>
          <w:sz w:val="18"/>
        </w:rPr>
        <w:t>封面</w:t>
      </w:r>
    </w:p>
    <w:p w14:paraId="3A7E0599">
      <w:pPr>
        <w:widowControl/>
        <w:snapToGrid w:val="0"/>
        <w:spacing w:before="78" w:after="78" w:line="300" w:lineRule="auto"/>
        <w:rPr>
          <w:rFonts w:ascii="Arial" w:hAnsi="Arial" w:eastAsia="宋体" w:cs="Arial"/>
          <w:color w:val="000000"/>
          <w:kern w:val="0"/>
          <w:sz w:val="18"/>
          <w:szCs w:val="18"/>
        </w:rPr>
      </w:pPr>
      <w:r>
        <w:rPr>
          <w:rFonts w:ascii="Arial" w:hAnsi="Arial" w:eastAsia="宋体" w:cs="Arial"/>
          <w:color w:val="000000"/>
          <w:kern w:val="0"/>
          <w:sz w:val="18"/>
          <w:szCs w:val="18"/>
        </w:rPr>
        <w:t>封面应明显将提交资料标注为简化510（k），并引用本指导性文件的标题。</w:t>
      </w:r>
    </w:p>
    <w:p w14:paraId="4072B265">
      <w:pPr>
        <w:widowControl/>
        <w:snapToGrid w:val="0"/>
        <w:spacing w:before="78" w:after="78" w:line="300" w:lineRule="auto"/>
        <w:rPr>
          <w:rFonts w:ascii="Arial" w:hAnsi="Arial" w:eastAsia="宋体" w:cs="Arial"/>
          <w:color w:val="000000"/>
          <w:kern w:val="0"/>
          <w:sz w:val="18"/>
          <w:szCs w:val="18"/>
        </w:rPr>
      </w:pPr>
      <w:r>
        <w:rPr>
          <w:rFonts w:ascii="Arial" w:hAnsi="Arial" w:eastAsia="宋体" w:cs="Arial"/>
          <w:b/>
          <w:bCs/>
          <w:color w:val="000000"/>
          <w:kern w:val="0"/>
          <w:sz w:val="18"/>
        </w:rPr>
        <w:t>建议标签</w:t>
      </w:r>
    </w:p>
    <w:p w14:paraId="14C603A7">
      <w:pPr>
        <w:widowControl/>
        <w:snapToGrid w:val="0"/>
        <w:spacing w:before="78" w:after="78" w:line="300" w:lineRule="auto"/>
        <w:rPr>
          <w:rFonts w:ascii="Arial" w:hAnsi="Arial" w:eastAsia="宋体" w:cs="Arial"/>
          <w:color w:val="000000"/>
          <w:kern w:val="0"/>
          <w:sz w:val="18"/>
          <w:szCs w:val="18"/>
        </w:rPr>
      </w:pPr>
      <w:r>
        <w:rPr>
          <w:rFonts w:ascii="Arial" w:hAnsi="Arial" w:eastAsia="宋体" w:cs="Arial"/>
          <w:color w:val="000000"/>
          <w:kern w:val="0"/>
          <w:sz w:val="18"/>
          <w:szCs w:val="18"/>
        </w:rPr>
        <w:t>建议标签应足以说明器械、其预期用途及其使用说明。（有关用于本指导性文件涵盖的器械类型的标签中应包含的具体信息，请参见第8节。）</w:t>
      </w:r>
    </w:p>
    <w:p w14:paraId="740A8FBB">
      <w:pPr>
        <w:widowControl/>
        <w:snapToGrid w:val="0"/>
        <w:spacing w:before="78" w:after="78" w:line="300" w:lineRule="auto"/>
        <w:rPr>
          <w:rFonts w:ascii="Arial" w:hAnsi="Arial" w:eastAsia="宋体" w:cs="Arial"/>
          <w:color w:val="000000"/>
          <w:kern w:val="0"/>
          <w:sz w:val="18"/>
          <w:szCs w:val="18"/>
        </w:rPr>
      </w:pPr>
      <w:r>
        <w:rPr>
          <w:rFonts w:ascii="Arial" w:hAnsi="Arial" w:eastAsia="宋体" w:cs="Arial"/>
          <w:b/>
          <w:bCs/>
          <w:color w:val="000000"/>
          <w:kern w:val="0"/>
          <w:sz w:val="18"/>
        </w:rPr>
        <w:t>总结报告</w:t>
      </w:r>
    </w:p>
    <w:p w14:paraId="7C34D0CE">
      <w:pPr>
        <w:widowControl/>
        <w:snapToGrid w:val="0"/>
        <w:spacing w:before="78" w:after="78" w:line="300" w:lineRule="auto"/>
        <w:rPr>
          <w:rFonts w:ascii="Arial" w:hAnsi="Arial" w:eastAsia="宋体" w:cs="Arial"/>
          <w:color w:val="000000"/>
          <w:kern w:val="0"/>
          <w:sz w:val="18"/>
          <w:szCs w:val="18"/>
        </w:rPr>
      </w:pPr>
      <w:r>
        <w:rPr>
          <w:rFonts w:ascii="Arial" w:hAnsi="Arial" w:eastAsia="宋体" w:cs="Arial"/>
          <w:color w:val="000000"/>
          <w:kern w:val="0"/>
          <w:sz w:val="18"/>
          <w:szCs w:val="18"/>
        </w:rPr>
        <w:t>我们建议总结报告应包含：</w:t>
      </w:r>
    </w:p>
    <w:p w14:paraId="734DF186">
      <w:pPr>
        <w:widowControl/>
        <w:numPr>
          <w:ilvl w:val="0"/>
          <w:numId w:val="1"/>
        </w:numPr>
        <w:snapToGrid w:val="0"/>
        <w:spacing w:line="300" w:lineRule="auto"/>
        <w:ind w:left="573" w:leftChars="153" w:hanging="252"/>
        <w:rPr>
          <w:rFonts w:ascii="Arial" w:hAnsi="Arial" w:eastAsia="宋体" w:cs="Arial"/>
          <w:color w:val="000000"/>
          <w:kern w:val="0"/>
          <w:sz w:val="18"/>
          <w:szCs w:val="18"/>
        </w:rPr>
      </w:pPr>
      <w:r>
        <w:rPr>
          <w:rFonts w:ascii="Arial" w:hAnsi="Arial" w:eastAsia="宋体" w:cs="Arial"/>
          <w:color w:val="000000"/>
          <w:kern w:val="0"/>
          <w:sz w:val="18"/>
          <w:szCs w:val="18"/>
        </w:rPr>
        <w:t>器械及其预期用途说明。我们建议说明应包括对性能规格的完整讨论，以及详细标记的器械图纸（如果适用）。贵公司还应提交“使用适应症”附件。[2]</w:t>
      </w:r>
    </w:p>
    <w:p w14:paraId="5F918D5E">
      <w:pPr>
        <w:widowControl/>
        <w:numPr>
          <w:ilvl w:val="0"/>
          <w:numId w:val="1"/>
        </w:numPr>
        <w:snapToGrid w:val="0"/>
        <w:spacing w:line="300" w:lineRule="auto"/>
        <w:ind w:left="573" w:leftChars="153" w:hanging="252"/>
        <w:rPr>
          <w:rFonts w:ascii="Arial" w:hAnsi="Arial" w:eastAsia="宋体" w:cs="Arial"/>
          <w:color w:val="000000"/>
          <w:kern w:val="0"/>
          <w:sz w:val="18"/>
          <w:szCs w:val="18"/>
        </w:rPr>
      </w:pPr>
      <w:r>
        <w:rPr>
          <w:rFonts w:ascii="Arial" w:hAnsi="Arial" w:eastAsia="宋体" w:cs="Arial"/>
          <w:color w:val="000000"/>
          <w:kern w:val="0"/>
          <w:sz w:val="18"/>
          <w:szCs w:val="18"/>
        </w:rPr>
        <w:t>对器械设计要求的说明。</w:t>
      </w:r>
    </w:p>
    <w:p w14:paraId="29768E4D">
      <w:pPr>
        <w:widowControl/>
        <w:numPr>
          <w:ilvl w:val="0"/>
          <w:numId w:val="1"/>
        </w:numPr>
        <w:snapToGrid w:val="0"/>
        <w:spacing w:line="300" w:lineRule="auto"/>
        <w:ind w:left="573" w:leftChars="153" w:hanging="252"/>
        <w:rPr>
          <w:rFonts w:ascii="Arial" w:hAnsi="Arial" w:eastAsia="宋体" w:cs="Arial"/>
          <w:color w:val="000000"/>
          <w:kern w:val="0"/>
          <w:sz w:val="18"/>
          <w:szCs w:val="18"/>
        </w:rPr>
      </w:pPr>
      <w:r>
        <w:rPr>
          <w:rFonts w:ascii="Arial" w:hAnsi="Arial" w:eastAsia="宋体" w:cs="Arial"/>
          <w:color w:val="000000"/>
          <w:kern w:val="0"/>
          <w:sz w:val="18"/>
          <w:szCs w:val="18"/>
        </w:rPr>
        <w:t>确定用于评估风险概况的风险分析方法，以及具体器械的设计和此分析的结果。（有关FDA已确定通常与使用该器械有关的健康风险，请参见第5节。）</w:t>
      </w:r>
    </w:p>
    <w:p w14:paraId="171E83D3">
      <w:pPr>
        <w:widowControl/>
        <w:numPr>
          <w:ilvl w:val="0"/>
          <w:numId w:val="1"/>
        </w:numPr>
        <w:snapToGrid w:val="0"/>
        <w:spacing w:line="300" w:lineRule="auto"/>
        <w:ind w:left="573" w:leftChars="153" w:hanging="252"/>
        <w:rPr>
          <w:rFonts w:ascii="Arial" w:hAnsi="Arial" w:eastAsia="宋体" w:cs="Arial"/>
          <w:color w:val="000000"/>
          <w:kern w:val="0"/>
          <w:sz w:val="18"/>
          <w:szCs w:val="18"/>
        </w:rPr>
      </w:pPr>
      <w:r>
        <w:rPr>
          <w:rFonts w:ascii="Arial" w:hAnsi="Arial" w:eastAsia="宋体" w:cs="Arial"/>
          <w:color w:val="000000"/>
          <w:kern w:val="0"/>
          <w:sz w:val="18"/>
          <w:szCs w:val="18"/>
        </w:rPr>
        <w:t>讨论解决本指导性文件中确定的风险的器械特性以及贵公司的风险分析中确定的任何其他风险。</w:t>
      </w:r>
    </w:p>
    <w:p w14:paraId="2535780C">
      <w:pPr>
        <w:widowControl/>
        <w:numPr>
          <w:ilvl w:val="0"/>
          <w:numId w:val="1"/>
        </w:numPr>
        <w:snapToGrid w:val="0"/>
        <w:spacing w:line="300" w:lineRule="auto"/>
        <w:ind w:left="573" w:leftChars="153" w:hanging="252"/>
        <w:rPr>
          <w:rFonts w:ascii="Arial" w:hAnsi="Arial" w:eastAsia="宋体" w:cs="Arial"/>
          <w:color w:val="000000"/>
          <w:kern w:val="0"/>
          <w:sz w:val="18"/>
          <w:szCs w:val="18"/>
        </w:rPr>
      </w:pPr>
      <w:r>
        <w:rPr>
          <w:rFonts w:ascii="Arial" w:hAnsi="Arial" w:eastAsia="宋体" w:cs="Arial"/>
          <w:color w:val="000000"/>
          <w:kern w:val="0"/>
          <w:sz w:val="18"/>
          <w:szCs w:val="18"/>
        </w:rPr>
        <w:t>对贵公司已用于或打算用于解决本指导性文件第6节和第7节中确定的每个性能方面的试验方法的简要说明。如果贵公司遵循所建议的试验方法，贵公司可以引用该方法而不是对其进行说明。如果贵公司修改了所建议的试验方法，贵公司可以引用该方法，但应提供足够的信息来说明修改的性质和原因。对于每个试验，贵公司可以（1）以清晰简洁的形式简要介绍试验结果，例如表格，或（2）说明贵公司将应用于试验结果的验收标准。[3]（请参见21 CFR 820.30，子部分C -质量体系法规的设计控制。）</w:t>
      </w:r>
    </w:p>
    <w:p w14:paraId="4DD74D90">
      <w:pPr>
        <w:widowControl/>
        <w:numPr>
          <w:ilvl w:val="0"/>
          <w:numId w:val="1"/>
        </w:numPr>
        <w:snapToGrid w:val="0"/>
        <w:spacing w:line="300" w:lineRule="auto"/>
        <w:ind w:left="573" w:leftChars="153" w:hanging="252"/>
        <w:rPr>
          <w:rFonts w:ascii="Arial" w:hAnsi="Arial" w:eastAsia="宋体" w:cs="Arial"/>
          <w:color w:val="000000"/>
          <w:kern w:val="0"/>
          <w:sz w:val="18"/>
          <w:szCs w:val="18"/>
        </w:rPr>
      </w:pPr>
      <w:r>
        <w:rPr>
          <w:rFonts w:ascii="Arial" w:hAnsi="Arial" w:eastAsia="宋体" w:cs="Arial"/>
          <w:color w:val="000000"/>
          <w:kern w:val="0"/>
          <w:sz w:val="18"/>
          <w:szCs w:val="18"/>
        </w:rPr>
        <w:t>如果器械设计或试验的任何部分依赖于公认标准，则应包含：（1）一项声明，即在产品上市前进行试验并满足规定的验收标准，或（2）符合标准的声明。请注意，试验必须在提交符合公认标准的声明之前完成。[4]（21 USC 514（c）（2）（B））。有关更多信息，请参考FDA指南，</w:t>
      </w:r>
      <w:r>
        <w:rPr>
          <w:rFonts w:ascii="Arial" w:hAnsi="Arial" w:eastAsia="宋体" w:cs="Arial"/>
          <w:b/>
          <w:bCs/>
          <w:color w:val="800080"/>
          <w:kern w:val="0"/>
          <w:sz w:val="18"/>
        </w:rPr>
        <w:t>实质等同性测定标准的使用；行业和FDA最终指南</w:t>
      </w:r>
      <w:r>
        <w:rPr>
          <w:rFonts w:ascii="Arial" w:hAnsi="Arial" w:eastAsia="宋体" w:cs="Arial"/>
          <w:color w:val="000000"/>
          <w:kern w:val="0"/>
          <w:sz w:val="18"/>
          <w:szCs w:val="18"/>
        </w:rPr>
        <w:t>。</w:t>
      </w:r>
    </w:p>
    <w:p w14:paraId="51A69B6E">
      <w:pPr>
        <w:widowControl/>
        <w:snapToGrid w:val="0"/>
        <w:spacing w:before="78" w:after="78" w:line="300" w:lineRule="auto"/>
        <w:rPr>
          <w:rFonts w:ascii="Arial" w:hAnsi="Arial" w:eastAsia="宋体" w:cs="Arial"/>
          <w:color w:val="000000"/>
          <w:kern w:val="0"/>
          <w:sz w:val="18"/>
          <w:szCs w:val="18"/>
        </w:rPr>
      </w:pPr>
      <w:r>
        <w:rPr>
          <w:rFonts w:ascii="Arial" w:hAnsi="Arial" w:eastAsia="宋体" w:cs="Arial"/>
          <w:color w:val="000000"/>
          <w:kern w:val="0"/>
          <w:sz w:val="18"/>
          <w:szCs w:val="18"/>
        </w:rPr>
        <w:t>如果我们不清楚贵公司如何解决FDA所确定的风险或通过贵公司的风险分析确定的其他风险，我们可能会要求贵公司提供有关器械性能特性方面的其他信息。如果我们需要使用其来评估贵公司的验收标准是否充分，我们也可能会要求贵公司提供其他信息。（根据21 CFR 807.87（l）），我们可能会要求提供任何必要的补充资料，以完成与实质等同性相关的测定）。</w:t>
      </w:r>
    </w:p>
    <w:p w14:paraId="0F6CB9FE">
      <w:pPr>
        <w:widowControl/>
        <w:snapToGrid w:val="0"/>
        <w:spacing w:before="78" w:after="78" w:line="300" w:lineRule="auto"/>
        <w:rPr>
          <w:rFonts w:ascii="Arial" w:hAnsi="Arial" w:eastAsia="宋体" w:cs="Arial"/>
          <w:color w:val="000000"/>
          <w:kern w:val="0"/>
          <w:sz w:val="18"/>
          <w:szCs w:val="18"/>
        </w:rPr>
      </w:pPr>
      <w:r>
        <w:rPr>
          <w:rFonts w:ascii="Arial" w:hAnsi="Arial" w:eastAsia="宋体" w:cs="Arial"/>
          <w:color w:val="000000"/>
          <w:kern w:val="0"/>
          <w:sz w:val="18"/>
          <w:szCs w:val="18"/>
        </w:rPr>
        <w:t>作为提交简化510（k）的替代方案，贵公司可以提交传统510（k），其中，其提供了21 CFR 807.87中所需的以及在本指南中所述的所有信息和数据。传统510（k）应涵盖贵公司的所有方法、数据、验收标准和结论。考虑修改其自己已许可器械的制造商应提交特殊510（k）。</w:t>
      </w:r>
    </w:p>
    <w:p w14:paraId="26CE2B39">
      <w:pPr>
        <w:widowControl/>
        <w:jc w:val="left"/>
        <w:rPr>
          <w:rFonts w:ascii="Arial" w:hAnsi="Arial" w:eastAsia="宋体" w:cs="Arial"/>
          <w:color w:val="000000"/>
          <w:kern w:val="0"/>
          <w:sz w:val="18"/>
          <w:szCs w:val="18"/>
        </w:rPr>
      </w:pPr>
      <w:r>
        <w:rPr>
          <w:rFonts w:ascii="Arial" w:hAnsi="Arial" w:eastAsia="宋体" w:cs="Arial"/>
          <w:color w:val="000000"/>
          <w:kern w:val="0"/>
          <w:sz w:val="18"/>
          <w:szCs w:val="18"/>
        </w:rPr>
        <w:br w:type="page"/>
      </w:r>
    </w:p>
    <w:p w14:paraId="4E5CEB6B">
      <w:pPr>
        <w:widowControl/>
        <w:snapToGrid w:val="0"/>
        <w:spacing w:line="300" w:lineRule="auto"/>
        <w:outlineLvl w:val="0"/>
        <w:rPr>
          <w:rFonts w:ascii="Arial" w:hAnsi="Arial" w:eastAsia="宋体" w:cs="Arial"/>
          <w:b/>
          <w:bCs/>
          <w:color w:val="000000"/>
          <w:kern w:val="0"/>
          <w:sz w:val="29"/>
          <w:szCs w:val="29"/>
        </w:rPr>
      </w:pPr>
      <w:bookmarkStart w:id="6" w:name="_Toc52173678"/>
      <w:bookmarkStart w:id="7" w:name="_Toc479344404"/>
      <w:r>
        <w:rPr>
          <w:rFonts w:ascii="Arial" w:hAnsi="Arial" w:eastAsia="宋体" w:cs="Arial"/>
          <w:b/>
          <w:bCs/>
          <w:color w:val="000000"/>
          <w:kern w:val="0"/>
          <w:sz w:val="29"/>
          <w:szCs w:val="29"/>
        </w:rPr>
        <w:t>4.</w:t>
      </w:r>
      <w:bookmarkEnd w:id="6"/>
      <w:r>
        <w:rPr>
          <w:rFonts w:ascii="Arial" w:hAnsi="Arial" w:eastAsia="宋体" w:cs="Arial"/>
          <w:b/>
          <w:bCs/>
          <w:color w:val="000000"/>
          <w:kern w:val="0"/>
          <w:sz w:val="29"/>
          <w:szCs w:val="29"/>
        </w:rPr>
        <w:t xml:space="preserve"> 范围</w:t>
      </w:r>
      <w:bookmarkEnd w:id="7"/>
    </w:p>
    <w:p w14:paraId="5DC04D2C">
      <w:pPr>
        <w:widowControl/>
        <w:snapToGrid w:val="0"/>
        <w:spacing w:line="300" w:lineRule="auto"/>
        <w:rPr>
          <w:rFonts w:ascii="Arial" w:hAnsi="Arial" w:eastAsia="宋体" w:cs="Arial"/>
          <w:color w:val="000000"/>
          <w:kern w:val="0"/>
          <w:sz w:val="18"/>
          <w:szCs w:val="18"/>
        </w:rPr>
      </w:pPr>
      <w:r>
        <w:rPr>
          <w:rFonts w:ascii="Arial" w:hAnsi="Arial" w:eastAsia="宋体" w:cs="Arial"/>
          <w:color w:val="000000"/>
          <w:kern w:val="0"/>
          <w:sz w:val="18"/>
          <w:szCs w:val="18"/>
        </w:rPr>
        <w:t>本文件的范围仅限于21 CFR 866.3940（产品代码：NOP）中所述的以下器械：</w:t>
      </w:r>
    </w:p>
    <w:p w14:paraId="5F2ACC0B">
      <w:pPr>
        <w:widowControl/>
        <w:snapToGrid w:val="0"/>
        <w:spacing w:line="300" w:lineRule="auto"/>
        <w:rPr>
          <w:rFonts w:ascii="Arial" w:hAnsi="Arial" w:eastAsia="宋体" w:cs="Arial"/>
          <w:color w:val="000000"/>
          <w:kern w:val="0"/>
          <w:sz w:val="18"/>
          <w:szCs w:val="18"/>
        </w:rPr>
      </w:pPr>
      <w:r>
        <w:rPr>
          <w:rFonts w:ascii="Arial" w:hAnsi="Arial" w:eastAsia="宋体" w:cs="Arial"/>
          <w:color w:val="000000"/>
          <w:kern w:val="0"/>
          <w:sz w:val="18"/>
          <w:szCs w:val="18"/>
        </w:rPr>
        <w:t>下面的分类标识确定了在分类时就已存在的器械。</w:t>
      </w:r>
    </w:p>
    <w:p w14:paraId="1C9AE5BE">
      <w:pPr>
        <w:widowControl/>
        <w:snapToGrid w:val="0"/>
        <w:spacing w:line="300" w:lineRule="auto"/>
        <w:rPr>
          <w:rFonts w:ascii="Arial" w:hAnsi="Arial" w:eastAsia="宋体" w:cs="Arial"/>
          <w:color w:val="000000"/>
          <w:kern w:val="0"/>
          <w:sz w:val="18"/>
          <w:szCs w:val="18"/>
        </w:rPr>
      </w:pPr>
      <w:r>
        <w:rPr>
          <w:rFonts w:ascii="Arial" w:hAnsi="Arial" w:eastAsia="宋体" w:cs="Arial"/>
          <w:color w:val="000000"/>
          <w:kern w:val="0"/>
          <w:sz w:val="18"/>
          <w:szCs w:val="18"/>
        </w:rPr>
        <w:t>西尼罗病毒血清学试剂是由抗原和抗血清组成的器械，以用于检测人类血清中是否存在抗西尼罗病毒IgM抗体，其中，血清来自具有与病毒性脑膜炎/脑炎一致的体征和症状的个体。该检测有助于对由西尼罗病毒引起的病毒性脑膜炎/脑炎进行临床实验室诊断。</w:t>
      </w:r>
    </w:p>
    <w:p w14:paraId="7D6C6F2E">
      <w:pPr>
        <w:widowControl/>
        <w:snapToGrid w:val="0"/>
        <w:spacing w:line="300" w:lineRule="auto"/>
        <w:rPr>
          <w:rFonts w:ascii="Arial" w:hAnsi="Arial" w:eastAsia="宋体" w:cs="Arial"/>
          <w:color w:val="000000"/>
          <w:kern w:val="0"/>
          <w:sz w:val="18"/>
          <w:szCs w:val="18"/>
        </w:rPr>
      </w:pPr>
    </w:p>
    <w:p w14:paraId="43F22AA7">
      <w:pPr>
        <w:widowControl/>
        <w:snapToGrid w:val="0"/>
        <w:spacing w:line="300" w:lineRule="auto"/>
        <w:outlineLvl w:val="0"/>
        <w:rPr>
          <w:rFonts w:ascii="Arial" w:hAnsi="Arial" w:eastAsia="宋体" w:cs="Arial"/>
          <w:b/>
          <w:bCs/>
          <w:color w:val="000000"/>
          <w:kern w:val="0"/>
          <w:sz w:val="29"/>
          <w:szCs w:val="29"/>
        </w:rPr>
      </w:pPr>
      <w:bookmarkStart w:id="8" w:name="_Toc854713"/>
      <w:bookmarkStart w:id="9" w:name="_Toc479344405"/>
      <w:r>
        <w:rPr>
          <w:rFonts w:ascii="Arial" w:hAnsi="Arial" w:eastAsia="宋体" w:cs="Arial"/>
          <w:b/>
          <w:bCs/>
          <w:color w:val="000000"/>
          <w:kern w:val="0"/>
          <w:sz w:val="29"/>
          <w:szCs w:val="29"/>
        </w:rPr>
        <w:t>5.</w:t>
      </w:r>
      <w:bookmarkEnd w:id="8"/>
      <w:r>
        <w:rPr>
          <w:rFonts w:ascii="Arial" w:hAnsi="Arial" w:eastAsia="宋体" w:cs="Arial"/>
          <w:b/>
          <w:bCs/>
          <w:color w:val="000000"/>
          <w:kern w:val="0"/>
          <w:sz w:val="29"/>
          <w:szCs w:val="29"/>
        </w:rPr>
        <w:t xml:space="preserve"> 健康风险</w:t>
      </w:r>
      <w:bookmarkEnd w:id="9"/>
    </w:p>
    <w:p w14:paraId="0D36BEB3">
      <w:pPr>
        <w:widowControl/>
        <w:snapToGrid w:val="0"/>
        <w:spacing w:line="300" w:lineRule="auto"/>
        <w:rPr>
          <w:rFonts w:ascii="Arial" w:hAnsi="Arial" w:eastAsia="宋体" w:cs="Arial"/>
          <w:color w:val="000000"/>
          <w:kern w:val="0"/>
          <w:sz w:val="18"/>
          <w:szCs w:val="18"/>
        </w:rPr>
      </w:pPr>
      <w:r>
        <w:rPr>
          <w:rFonts w:ascii="Arial" w:hAnsi="Arial" w:eastAsia="宋体" w:cs="Arial"/>
          <w:color w:val="000000"/>
          <w:kern w:val="0"/>
          <w:sz w:val="18"/>
          <w:szCs w:val="18"/>
        </w:rPr>
        <w:t>据研究者了解，其对患者健康没有已知的直接风险。然而，试验未按预期执行或结果解释中的错误可能会导致患者管理不当。因此，使用测定结果调整治疗方案而不考虑其他临床因素可能会造成风险。假阴性测量可导致继续使用毒性剂以治疗非西尼罗病毒病毒性脑炎或细菌性脑膜炎。老年患者特别容易受用于治疗病毒性脑炎的抗病毒药物和用于经验性治疗细菌性脑膜炎的万古霉素的肾毒性作用的影响。假阳性测量可导致对非西尼罗河病毒性脑炎或细菌性脑膜炎的适当治疗终止。</w:t>
      </w:r>
    </w:p>
    <w:p w14:paraId="6A23D643">
      <w:pPr>
        <w:widowControl/>
        <w:snapToGrid w:val="0"/>
        <w:spacing w:line="300" w:lineRule="auto"/>
        <w:rPr>
          <w:rFonts w:ascii="Arial" w:hAnsi="Arial" w:eastAsia="宋体" w:cs="Arial"/>
          <w:color w:val="000000"/>
          <w:kern w:val="0"/>
          <w:sz w:val="18"/>
          <w:szCs w:val="18"/>
        </w:rPr>
      </w:pPr>
    </w:p>
    <w:p w14:paraId="54C1B50E">
      <w:pPr>
        <w:widowControl/>
        <w:snapToGrid w:val="0"/>
        <w:spacing w:line="300" w:lineRule="auto"/>
        <w:rPr>
          <w:rFonts w:ascii="Arial" w:hAnsi="Arial" w:eastAsia="宋体" w:cs="Arial"/>
          <w:color w:val="000000"/>
          <w:kern w:val="0"/>
          <w:sz w:val="18"/>
          <w:szCs w:val="18"/>
        </w:rPr>
      </w:pPr>
      <w:r>
        <w:rPr>
          <w:rFonts w:ascii="Arial" w:hAnsi="Arial" w:eastAsia="宋体" w:cs="Arial"/>
          <w:color w:val="000000"/>
          <w:kern w:val="0"/>
          <w:sz w:val="18"/>
          <w:szCs w:val="18"/>
        </w:rPr>
        <w:t>在下表中，FDA已经确定了通常与使用本文件中所述的西尼罗河病毒血清学试剂相关的健康风险。本指导性文件中给出了建议用于缓解已确定风险的措施，如下表所示。我们建议贵公司在提交上市前通告之前进行风险分析，以确定贵公司器械所特有的其他任何风险。上市前通告应说明风险分析方法。如果贵公司选择使用替代方法来解决本文件中确定的风险，或已发现本文件未涵盖的风险，贵公司应提供足够的详细信息以支持贵公司用于解决该风险的方法。</w:t>
      </w:r>
    </w:p>
    <w:p w14:paraId="0F42FCF0">
      <w:pPr>
        <w:widowControl/>
        <w:snapToGrid w:val="0"/>
        <w:spacing w:before="90" w:after="90" w:line="300" w:lineRule="auto"/>
        <w:rPr>
          <w:rFonts w:ascii="Arial" w:hAnsi="Arial" w:eastAsia="宋体" w:cs="Arial"/>
          <w:color w:val="000000"/>
          <w:kern w:val="0"/>
          <w:sz w:val="18"/>
          <w:szCs w:val="18"/>
        </w:rPr>
      </w:pPr>
    </w:p>
    <w:tbl>
      <w:tblPr>
        <w:tblStyle w:val="11"/>
        <w:tblW w:w="0" w:type="auto"/>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CCE8CF"/>
        <w:tblLayout w:type="autofit"/>
        <w:tblCellMar>
          <w:top w:w="0" w:type="dxa"/>
          <w:left w:w="0" w:type="dxa"/>
          <w:bottom w:w="0" w:type="dxa"/>
          <w:right w:w="0" w:type="dxa"/>
        </w:tblCellMar>
      </w:tblPr>
      <w:tblGrid>
        <w:gridCol w:w="4181"/>
        <w:gridCol w:w="4155"/>
      </w:tblGrid>
      <w:tr w14:paraId="0CCBD63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CCE8CF"/>
          <w:tblCellMar>
            <w:top w:w="0" w:type="dxa"/>
            <w:left w:w="0" w:type="dxa"/>
            <w:bottom w:w="0" w:type="dxa"/>
            <w:right w:w="0" w:type="dxa"/>
          </w:tblCellMar>
        </w:tblPrEx>
        <w:trPr>
          <w:tblCellSpacing w:w="0" w:type="dxa"/>
        </w:trPr>
        <w:tc>
          <w:tcPr>
            <w:tcW w:w="4181" w:type="dxa"/>
            <w:tcBorders>
              <w:top w:val="outset" w:color="auto" w:sz="6" w:space="0"/>
              <w:left w:val="outset" w:color="auto" w:sz="6" w:space="0"/>
              <w:bottom w:val="outset" w:color="auto" w:sz="6" w:space="0"/>
              <w:right w:val="outset" w:color="auto" w:sz="6" w:space="0"/>
            </w:tcBorders>
            <w:shd w:val="clear" w:color="auto" w:fill="CCECFF"/>
            <w:vAlign w:val="center"/>
          </w:tcPr>
          <w:p w14:paraId="17EE4893">
            <w:pPr>
              <w:widowControl/>
              <w:snapToGrid w:val="0"/>
              <w:spacing w:before="90" w:after="90" w:line="300" w:lineRule="auto"/>
              <w:rPr>
                <w:rFonts w:ascii="Arial" w:hAnsi="Arial" w:eastAsia="宋体" w:cs="Arial"/>
                <w:b/>
                <w:bCs/>
                <w:color w:val="000000"/>
                <w:kern w:val="0"/>
                <w:sz w:val="18"/>
              </w:rPr>
            </w:pPr>
            <w:r>
              <w:rPr>
                <w:rFonts w:ascii="Arial" w:hAnsi="Arial" w:eastAsia="宋体" w:cs="Arial"/>
                <w:b/>
                <w:bCs/>
                <w:color w:val="000000"/>
                <w:kern w:val="0"/>
                <w:sz w:val="18"/>
              </w:rPr>
              <w:t>已确定风险</w:t>
            </w:r>
          </w:p>
        </w:tc>
        <w:tc>
          <w:tcPr>
            <w:tcW w:w="4155" w:type="dxa"/>
            <w:tcBorders>
              <w:top w:val="outset" w:color="auto" w:sz="6" w:space="0"/>
              <w:left w:val="outset" w:color="auto" w:sz="6" w:space="0"/>
              <w:bottom w:val="outset" w:color="auto" w:sz="6" w:space="0"/>
              <w:right w:val="outset" w:color="auto" w:sz="6" w:space="0"/>
            </w:tcBorders>
            <w:shd w:val="clear" w:color="auto" w:fill="CCECFF"/>
            <w:vAlign w:val="center"/>
          </w:tcPr>
          <w:p w14:paraId="2B62EA86">
            <w:pPr>
              <w:widowControl/>
              <w:snapToGrid w:val="0"/>
              <w:spacing w:before="90" w:after="90" w:line="300" w:lineRule="auto"/>
              <w:rPr>
                <w:rFonts w:ascii="Arial" w:hAnsi="Arial" w:eastAsia="宋体" w:cs="Arial"/>
                <w:b/>
                <w:bCs/>
                <w:color w:val="000000"/>
                <w:kern w:val="0"/>
                <w:sz w:val="18"/>
              </w:rPr>
            </w:pPr>
            <w:r>
              <w:rPr>
                <w:rFonts w:ascii="Arial" w:hAnsi="Arial" w:eastAsia="宋体" w:cs="Arial"/>
                <w:b/>
                <w:bCs/>
                <w:color w:val="000000"/>
                <w:kern w:val="0"/>
                <w:sz w:val="18"/>
              </w:rPr>
              <w:t>建议缓解措施</w:t>
            </w:r>
          </w:p>
        </w:tc>
      </w:tr>
      <w:tr w14:paraId="5E0DDF0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181" w:type="dxa"/>
            <w:tcBorders>
              <w:top w:val="outset" w:color="auto" w:sz="6" w:space="0"/>
              <w:left w:val="outset" w:color="auto" w:sz="6" w:space="0"/>
              <w:bottom w:val="outset" w:color="auto" w:sz="6" w:space="0"/>
              <w:right w:val="outset" w:color="auto" w:sz="6" w:space="0"/>
            </w:tcBorders>
            <w:shd w:val="clear" w:color="auto" w:fill="CCE8CF"/>
          </w:tcPr>
          <w:p w14:paraId="02E5FD63">
            <w:pPr>
              <w:widowControl/>
              <w:snapToGrid w:val="0"/>
              <w:spacing w:before="42" w:after="42" w:line="300" w:lineRule="auto"/>
              <w:rPr>
                <w:rFonts w:ascii="Arial" w:hAnsi="Arial" w:eastAsia="宋体" w:cs="Arial"/>
                <w:color w:val="000000"/>
                <w:kern w:val="0"/>
                <w:sz w:val="18"/>
                <w:szCs w:val="18"/>
              </w:rPr>
            </w:pPr>
            <w:r>
              <w:rPr>
                <w:rFonts w:ascii="Arial" w:hAnsi="Arial" w:eastAsia="宋体" w:cs="Arial"/>
                <w:color w:val="000000"/>
                <w:kern w:val="0"/>
                <w:sz w:val="18"/>
                <w:szCs w:val="18"/>
              </w:rPr>
              <w:t>患者管理不当</w:t>
            </w:r>
          </w:p>
        </w:tc>
        <w:tc>
          <w:tcPr>
            <w:tcW w:w="4155" w:type="dxa"/>
            <w:tcBorders>
              <w:top w:val="outset" w:color="auto" w:sz="6" w:space="0"/>
              <w:left w:val="outset" w:color="auto" w:sz="6" w:space="0"/>
              <w:bottom w:val="outset" w:color="auto" w:sz="6" w:space="0"/>
              <w:right w:val="outset" w:color="auto" w:sz="6" w:space="0"/>
            </w:tcBorders>
            <w:shd w:val="clear" w:color="auto" w:fill="CCE8CF"/>
          </w:tcPr>
          <w:p w14:paraId="4C3666AD">
            <w:pPr>
              <w:widowControl/>
              <w:snapToGrid w:val="0"/>
              <w:spacing w:before="42" w:after="42" w:line="300" w:lineRule="auto"/>
              <w:rPr>
                <w:rFonts w:ascii="Arial" w:hAnsi="Arial" w:eastAsia="宋体" w:cs="Arial"/>
                <w:color w:val="000000"/>
                <w:kern w:val="0"/>
                <w:sz w:val="18"/>
                <w:szCs w:val="18"/>
              </w:rPr>
            </w:pPr>
            <w:r>
              <w:rPr>
                <w:rFonts w:ascii="Arial" w:hAnsi="Arial" w:eastAsia="宋体" w:cs="Arial"/>
                <w:color w:val="000000"/>
                <w:kern w:val="0"/>
                <w:sz w:val="18"/>
                <w:szCs w:val="18"/>
              </w:rPr>
              <w:t>第6、7和8节</w:t>
            </w:r>
          </w:p>
        </w:tc>
      </w:tr>
    </w:tbl>
    <w:p w14:paraId="5531FAC4">
      <w:pPr>
        <w:widowControl/>
        <w:snapToGrid w:val="0"/>
        <w:spacing w:before="90" w:after="90" w:line="300" w:lineRule="auto"/>
        <w:rPr>
          <w:rFonts w:ascii="Arial" w:hAnsi="Arial" w:eastAsia="宋体" w:cs="Arial"/>
          <w:b/>
          <w:bCs/>
          <w:color w:val="000000"/>
          <w:kern w:val="0"/>
          <w:sz w:val="29"/>
          <w:szCs w:val="29"/>
        </w:rPr>
      </w:pPr>
      <w:bookmarkStart w:id="10" w:name="_Toc52173680"/>
      <w:r>
        <w:rPr>
          <w:rFonts w:ascii="Arial" w:hAnsi="Arial" w:eastAsia="宋体" w:cs="Arial"/>
          <w:b/>
          <w:bCs/>
          <w:color w:val="000000"/>
          <w:kern w:val="0"/>
          <w:sz w:val="29"/>
          <w:szCs w:val="29"/>
        </w:rPr>
        <w:t>6.</w:t>
      </w:r>
      <w:bookmarkEnd w:id="10"/>
      <w:r>
        <w:rPr>
          <w:rFonts w:ascii="Arial" w:hAnsi="Arial" w:eastAsia="宋体" w:cs="Arial"/>
          <w:b/>
          <w:bCs/>
          <w:color w:val="000000"/>
          <w:kern w:val="0"/>
          <w:sz w:val="29"/>
          <w:szCs w:val="29"/>
        </w:rPr>
        <w:t>性能特性</w:t>
      </w:r>
    </w:p>
    <w:p w14:paraId="796E0844">
      <w:pPr>
        <w:widowControl/>
        <w:snapToGrid w:val="0"/>
        <w:spacing w:before="90" w:after="90" w:line="300" w:lineRule="auto"/>
        <w:rPr>
          <w:rFonts w:ascii="Arial" w:hAnsi="Arial" w:eastAsia="宋体" w:cs="Arial"/>
          <w:color w:val="000000"/>
          <w:kern w:val="0"/>
          <w:sz w:val="18"/>
          <w:szCs w:val="18"/>
        </w:rPr>
      </w:pPr>
      <w:r>
        <w:rPr>
          <w:rFonts w:ascii="Arial" w:hAnsi="Arial" w:eastAsia="宋体" w:cs="Arial"/>
          <w:b/>
          <w:bCs/>
          <w:color w:val="000000"/>
          <w:kern w:val="0"/>
          <w:sz w:val="18"/>
        </w:rPr>
        <w:t>一般研究建议</w:t>
      </w:r>
    </w:p>
    <w:p w14:paraId="6F6A09A1">
      <w:pPr>
        <w:widowControl/>
        <w:snapToGrid w:val="0"/>
        <w:spacing w:before="90" w:after="90" w:line="300" w:lineRule="auto"/>
        <w:rPr>
          <w:rFonts w:ascii="Arial" w:hAnsi="Arial" w:eastAsia="宋体" w:cs="Arial"/>
          <w:color w:val="000000"/>
          <w:kern w:val="0"/>
          <w:sz w:val="18"/>
          <w:szCs w:val="18"/>
        </w:rPr>
      </w:pPr>
      <w:r>
        <w:rPr>
          <w:rFonts w:ascii="Arial" w:hAnsi="Arial" w:eastAsia="宋体" w:cs="Arial"/>
          <w:color w:val="000000"/>
          <w:kern w:val="0"/>
          <w:sz w:val="18"/>
          <w:szCs w:val="18"/>
        </w:rPr>
        <w:t> 我们建议贵公司提供对用于检测西尼罗病毒抗体和工具盒中试剂组分的方法的说明。如果可能，我们建议贵公司纳入来自预期使用人群的患者样本（例如，具有脑膜脑炎的体征和症状的患者）以用于下述分析方案。</w:t>
      </w:r>
    </w:p>
    <w:p w14:paraId="08F6016F">
      <w:pPr>
        <w:widowControl/>
        <w:snapToGrid w:val="0"/>
        <w:spacing w:before="90" w:after="90" w:line="300" w:lineRule="auto"/>
        <w:rPr>
          <w:rFonts w:ascii="Arial" w:hAnsi="Arial" w:eastAsia="宋体" w:cs="Arial"/>
          <w:color w:val="000000"/>
          <w:kern w:val="0"/>
          <w:sz w:val="18"/>
          <w:szCs w:val="18"/>
        </w:rPr>
      </w:pPr>
      <w:r>
        <w:rPr>
          <w:rFonts w:ascii="Arial" w:hAnsi="Arial" w:eastAsia="宋体" w:cs="Arial"/>
          <w:color w:val="000000"/>
          <w:kern w:val="0"/>
          <w:sz w:val="18"/>
          <w:szCs w:val="18"/>
        </w:rPr>
        <w:t>FDA建议，除制造商的站点外，贵公司应至少在两个外部站点对该测定进行评价。一般来说，我们建议由将在临床实践中使用该试验的个体（例如，训练有素的技术人员）在将最终使用器械的试验环境（即临床实验室）中对性能进行评估。我们建议贵公司首先应单独分析数据以评估任何站点间差异，并将分析结果纳入在510（k）总结报告中。如果贵公司可证明各个站点之间的结果没有显著差异，贵公司可以在包装说明书中汇总各个站点的临床研究结果。在开始任何临床研究之前，贵公司可以联系微生物学器械部。</w:t>
      </w:r>
    </w:p>
    <w:p w14:paraId="649A9CB8">
      <w:pPr>
        <w:widowControl/>
        <w:jc w:val="left"/>
        <w:rPr>
          <w:rFonts w:ascii="Arial" w:hAnsi="Arial" w:eastAsia="宋体" w:cs="Arial"/>
          <w:color w:val="000000"/>
          <w:kern w:val="0"/>
          <w:sz w:val="18"/>
          <w:szCs w:val="18"/>
        </w:rPr>
      </w:pPr>
      <w:r>
        <w:rPr>
          <w:rFonts w:ascii="Arial" w:hAnsi="Arial" w:eastAsia="宋体" w:cs="Arial"/>
          <w:color w:val="000000"/>
          <w:kern w:val="0"/>
          <w:sz w:val="18"/>
          <w:szCs w:val="18"/>
        </w:rPr>
        <w:br w:type="page"/>
      </w:r>
    </w:p>
    <w:p w14:paraId="5C1E595E">
      <w:pPr>
        <w:widowControl/>
        <w:snapToGrid w:val="0"/>
        <w:spacing w:before="90" w:after="90" w:line="300" w:lineRule="auto"/>
        <w:rPr>
          <w:rFonts w:ascii="Arial" w:hAnsi="Arial" w:eastAsia="宋体" w:cs="Arial"/>
          <w:color w:val="000000"/>
          <w:kern w:val="0"/>
          <w:sz w:val="18"/>
          <w:szCs w:val="18"/>
        </w:rPr>
      </w:pPr>
      <w:r>
        <w:rPr>
          <w:rFonts w:ascii="Arial" w:hAnsi="Arial" w:eastAsia="宋体" w:cs="Arial"/>
          <w:color w:val="000000"/>
          <w:kern w:val="0"/>
          <w:sz w:val="18"/>
          <w:szCs w:val="18"/>
        </w:rPr>
        <w:t>为使在审查期间验收标准或数据总结可以被解读，我们建议贵公司提供有关方案的具体信息。此类信息对于帮助用户解读贵公司标签中的信息来说极为必要。例如，当提及NCCLS方案或指南时，我们建议贵公司说明贵公司遵循了方案或指南的哪些具体方面。</w:t>
      </w:r>
    </w:p>
    <w:p w14:paraId="239B3BA2">
      <w:pPr>
        <w:widowControl/>
        <w:snapToGrid w:val="0"/>
        <w:spacing w:before="90" w:after="90" w:line="300" w:lineRule="auto"/>
        <w:rPr>
          <w:rFonts w:ascii="Arial" w:hAnsi="Arial" w:eastAsia="宋体" w:cs="Arial"/>
          <w:color w:val="000000"/>
          <w:kern w:val="0"/>
          <w:sz w:val="18"/>
          <w:szCs w:val="18"/>
        </w:rPr>
      </w:pPr>
      <w:r>
        <w:rPr>
          <w:rFonts w:ascii="Arial" w:hAnsi="Arial" w:eastAsia="宋体" w:cs="Arial"/>
          <w:color w:val="000000"/>
          <w:kern w:val="0"/>
          <w:sz w:val="18"/>
          <w:szCs w:val="18"/>
        </w:rPr>
        <w:t>应提供有关所检测或测量的抗体、用于测量的方法以及所使用的技术的信息。信息应包括对测定中使用何种控制和校准物以及其性能如何的明确说明。</w:t>
      </w:r>
    </w:p>
    <w:p w14:paraId="154B6AD4">
      <w:pPr>
        <w:widowControl/>
        <w:snapToGrid w:val="0"/>
        <w:spacing w:before="90" w:after="90" w:line="300" w:lineRule="auto"/>
        <w:rPr>
          <w:rFonts w:ascii="Arial" w:hAnsi="Arial" w:eastAsia="宋体" w:cs="Arial"/>
          <w:b/>
          <w:bCs/>
          <w:color w:val="000000"/>
          <w:kern w:val="0"/>
          <w:sz w:val="18"/>
        </w:rPr>
      </w:pPr>
      <w:r>
        <w:rPr>
          <w:rFonts w:ascii="Arial" w:hAnsi="Arial" w:eastAsia="宋体" w:cs="Arial"/>
          <w:b/>
          <w:bCs/>
          <w:color w:val="000000"/>
          <w:kern w:val="0"/>
          <w:sz w:val="18"/>
        </w:rPr>
        <w:t>具体性能特性</w:t>
      </w:r>
    </w:p>
    <w:p w14:paraId="094E0A9B">
      <w:pPr>
        <w:widowControl/>
        <w:snapToGrid w:val="0"/>
        <w:spacing w:before="90" w:after="90" w:line="300" w:lineRule="auto"/>
        <w:rPr>
          <w:rFonts w:ascii="Arial" w:hAnsi="Arial" w:eastAsia="宋体" w:cs="Arial"/>
          <w:color w:val="000000"/>
          <w:kern w:val="0"/>
          <w:sz w:val="18"/>
          <w:szCs w:val="18"/>
        </w:rPr>
      </w:pPr>
      <w:r>
        <w:rPr>
          <w:rFonts w:ascii="Arial" w:hAnsi="Arial" w:eastAsia="宋体" w:cs="Arial"/>
          <w:color w:val="000000"/>
          <w:kern w:val="0"/>
          <w:sz w:val="18"/>
          <w:szCs w:val="18"/>
        </w:rPr>
        <w:t>复现性</w:t>
      </w:r>
    </w:p>
    <w:p w14:paraId="1B1B7809">
      <w:pPr>
        <w:widowControl/>
        <w:snapToGrid w:val="0"/>
        <w:spacing w:before="90" w:after="90" w:line="300" w:lineRule="auto"/>
        <w:rPr>
          <w:rFonts w:ascii="Arial" w:hAnsi="Arial" w:eastAsia="宋体" w:cs="Arial"/>
          <w:color w:val="000000"/>
          <w:kern w:val="0"/>
          <w:sz w:val="18"/>
          <w:szCs w:val="18"/>
        </w:rPr>
      </w:pPr>
      <w:r>
        <w:rPr>
          <w:rFonts w:ascii="Arial" w:hAnsi="Arial" w:eastAsia="宋体" w:cs="Arial"/>
          <w:color w:val="000000"/>
          <w:kern w:val="0"/>
          <w:sz w:val="18"/>
          <w:szCs w:val="18"/>
        </w:rPr>
        <w:t>我们建议贵公司根据“临床化学器械的精确性性能评估”，已批准指南（1999年）国家临床实验室标准委员会（NCCLS），EP5-A号文件以及“用于评价定性试验性能的用户方案”，已批准指南（2002年）国家临床实验室标准委员会（NCCLS），EP-12A号文件中提供的指南使用患者样本和质量控制材料来表征测定内和测定间的复现性。该文件包括有关实验设计、计算以及陈述性能声明的格式的指南。我们建议贵公司以相关测量值来评价复现性，包括医疗决策点附近的水平以及可报告范围限值附近的测量值。</w:t>
      </w:r>
    </w:p>
    <w:p w14:paraId="1356EBA9">
      <w:pPr>
        <w:widowControl/>
        <w:snapToGrid w:val="0"/>
        <w:spacing w:before="78" w:after="78" w:line="300" w:lineRule="auto"/>
        <w:rPr>
          <w:rFonts w:ascii="Arial" w:hAnsi="Arial" w:eastAsia="宋体" w:cs="Arial"/>
          <w:color w:val="000000"/>
          <w:kern w:val="0"/>
          <w:sz w:val="18"/>
          <w:szCs w:val="18"/>
        </w:rPr>
      </w:pPr>
      <w:r>
        <w:rPr>
          <w:rFonts w:ascii="Arial" w:hAnsi="Arial" w:eastAsia="宋体" w:cs="Arial"/>
          <w:color w:val="000000"/>
          <w:kern w:val="0"/>
          <w:sz w:val="18"/>
          <w:szCs w:val="18"/>
        </w:rPr>
        <w:t>我们建议贵公司提供以下项目：</w:t>
      </w:r>
    </w:p>
    <w:p w14:paraId="3E91C947">
      <w:pPr>
        <w:widowControl/>
        <w:numPr>
          <w:ilvl w:val="0"/>
          <w:numId w:val="2"/>
        </w:numPr>
        <w:snapToGrid w:val="0"/>
        <w:spacing w:line="300" w:lineRule="auto"/>
        <w:ind w:left="0" w:firstLine="433" w:firstLineChars="241"/>
        <w:rPr>
          <w:rFonts w:ascii="Arial" w:hAnsi="Arial" w:eastAsia="宋体" w:cs="Arial"/>
          <w:color w:val="000000"/>
          <w:kern w:val="0"/>
          <w:sz w:val="18"/>
          <w:szCs w:val="18"/>
        </w:rPr>
      </w:pPr>
      <w:r>
        <w:rPr>
          <w:rFonts w:ascii="Arial" w:hAnsi="Arial" w:eastAsia="宋体" w:cs="Arial"/>
          <w:color w:val="000000"/>
          <w:kern w:val="0"/>
          <w:sz w:val="18"/>
          <w:szCs w:val="18"/>
        </w:rPr>
        <w:t>浓度的点估计值</w:t>
      </w:r>
    </w:p>
    <w:p w14:paraId="79E36F99">
      <w:pPr>
        <w:widowControl/>
        <w:numPr>
          <w:ilvl w:val="0"/>
          <w:numId w:val="2"/>
        </w:numPr>
        <w:snapToGrid w:val="0"/>
        <w:spacing w:line="300" w:lineRule="auto"/>
        <w:ind w:left="0" w:firstLine="433" w:firstLineChars="241"/>
        <w:rPr>
          <w:rFonts w:ascii="Arial" w:hAnsi="Arial" w:eastAsia="宋体" w:cs="Arial"/>
          <w:color w:val="000000"/>
          <w:kern w:val="0"/>
          <w:sz w:val="18"/>
          <w:szCs w:val="18"/>
        </w:rPr>
      </w:pPr>
      <w:r>
        <w:rPr>
          <w:rFonts w:ascii="Arial" w:hAnsi="Arial" w:eastAsia="宋体" w:cs="Arial"/>
          <w:color w:val="000000"/>
          <w:kern w:val="0"/>
          <w:sz w:val="18"/>
          <w:szCs w:val="18"/>
        </w:rPr>
        <w:t>测定内和测定间复现性的标准偏差</w:t>
      </w:r>
    </w:p>
    <w:p w14:paraId="253D3360">
      <w:pPr>
        <w:widowControl/>
        <w:numPr>
          <w:ilvl w:val="0"/>
          <w:numId w:val="2"/>
        </w:numPr>
        <w:snapToGrid w:val="0"/>
        <w:spacing w:line="300" w:lineRule="auto"/>
        <w:ind w:left="0" w:firstLine="433" w:firstLineChars="241"/>
        <w:rPr>
          <w:rFonts w:ascii="Arial" w:hAnsi="Arial" w:eastAsia="宋体" w:cs="Arial"/>
          <w:color w:val="000000"/>
          <w:kern w:val="0"/>
          <w:sz w:val="18"/>
          <w:szCs w:val="18"/>
        </w:rPr>
      </w:pPr>
      <w:r>
        <w:rPr>
          <w:rFonts w:ascii="Arial" w:hAnsi="Arial" w:eastAsia="宋体" w:cs="Arial"/>
          <w:color w:val="000000"/>
          <w:kern w:val="0"/>
          <w:sz w:val="18"/>
          <w:szCs w:val="18"/>
        </w:rPr>
        <w:t>运行复现性方案的站点</w:t>
      </w:r>
    </w:p>
    <w:p w14:paraId="37E8A7D7">
      <w:pPr>
        <w:widowControl/>
        <w:numPr>
          <w:ilvl w:val="0"/>
          <w:numId w:val="2"/>
        </w:numPr>
        <w:snapToGrid w:val="0"/>
        <w:spacing w:line="300" w:lineRule="auto"/>
        <w:ind w:left="0" w:firstLine="433" w:firstLineChars="241"/>
        <w:rPr>
          <w:rFonts w:ascii="Arial" w:hAnsi="Arial" w:eastAsia="宋体" w:cs="Arial"/>
          <w:color w:val="000000"/>
          <w:kern w:val="0"/>
          <w:sz w:val="18"/>
          <w:szCs w:val="18"/>
        </w:rPr>
      </w:pPr>
      <w:r>
        <w:rPr>
          <w:rFonts w:ascii="Arial" w:hAnsi="Arial" w:eastAsia="宋体" w:cs="Arial"/>
          <w:color w:val="000000"/>
          <w:kern w:val="0"/>
          <w:sz w:val="18"/>
          <w:szCs w:val="18"/>
        </w:rPr>
        <w:t>天数、运行次数和观察结果</w:t>
      </w:r>
    </w:p>
    <w:p w14:paraId="737BC542">
      <w:pPr>
        <w:widowControl/>
        <w:numPr>
          <w:ilvl w:val="0"/>
          <w:numId w:val="2"/>
        </w:numPr>
        <w:snapToGrid w:val="0"/>
        <w:spacing w:line="300" w:lineRule="auto"/>
        <w:ind w:left="0" w:firstLine="433" w:firstLineChars="241"/>
        <w:rPr>
          <w:rFonts w:ascii="Arial" w:hAnsi="Arial" w:eastAsia="宋体" w:cs="Arial"/>
          <w:color w:val="000000"/>
          <w:kern w:val="0"/>
          <w:sz w:val="18"/>
          <w:szCs w:val="18"/>
        </w:rPr>
      </w:pPr>
      <w:r>
        <w:rPr>
          <w:rFonts w:ascii="Arial" w:hAnsi="Arial" w:eastAsia="宋体" w:cs="Arial"/>
          <w:color w:val="000000"/>
          <w:kern w:val="0"/>
          <w:sz w:val="18"/>
          <w:szCs w:val="18"/>
        </w:rPr>
        <w:t>站点和/或操作员的数量</w:t>
      </w:r>
    </w:p>
    <w:p w14:paraId="0211AD44">
      <w:pPr>
        <w:widowControl/>
        <w:snapToGrid w:val="0"/>
        <w:spacing w:before="90" w:after="90" w:line="300" w:lineRule="auto"/>
        <w:rPr>
          <w:rFonts w:ascii="Arial" w:hAnsi="Arial" w:eastAsia="宋体" w:cs="Arial"/>
          <w:color w:val="000000"/>
          <w:kern w:val="0"/>
          <w:sz w:val="18"/>
          <w:szCs w:val="18"/>
        </w:rPr>
      </w:pPr>
      <w:r>
        <w:rPr>
          <w:rFonts w:ascii="Arial" w:hAnsi="Arial" w:eastAsia="宋体" w:cs="Arial"/>
          <w:color w:val="000000"/>
          <w:kern w:val="0"/>
          <w:sz w:val="18"/>
          <w:szCs w:val="18"/>
        </w:rPr>
        <w:t>我们建议贵公司确定哪些因素（例如工具校准、试剂批次、操作员）保持不变，以及哪些因素在评价期间有变化并说明计算方法，如果其不同于NCCLS EP5-A和EP12-A中所述的计算方法。</w:t>
      </w:r>
    </w:p>
    <w:p w14:paraId="3B607588">
      <w:pPr>
        <w:widowControl/>
        <w:snapToGrid w:val="0"/>
        <w:spacing w:before="90" w:after="90" w:line="300" w:lineRule="auto"/>
        <w:rPr>
          <w:rFonts w:ascii="Arial" w:hAnsi="Arial" w:eastAsia="宋体" w:cs="Arial"/>
          <w:b/>
          <w:bCs/>
          <w:color w:val="000000"/>
          <w:kern w:val="0"/>
          <w:sz w:val="18"/>
        </w:rPr>
      </w:pPr>
      <w:r>
        <w:rPr>
          <w:rFonts w:ascii="Arial" w:hAnsi="Arial" w:eastAsia="宋体" w:cs="Arial"/>
          <w:b/>
          <w:bCs/>
          <w:color w:val="000000"/>
          <w:kern w:val="0"/>
          <w:sz w:val="18"/>
        </w:rPr>
        <w:t>干扰</w:t>
      </w:r>
    </w:p>
    <w:p w14:paraId="3A079FEF">
      <w:pPr>
        <w:widowControl/>
        <w:snapToGrid w:val="0"/>
        <w:spacing w:before="90" w:after="90" w:line="300" w:lineRule="auto"/>
        <w:rPr>
          <w:rFonts w:ascii="Arial" w:hAnsi="Arial" w:eastAsia="宋体" w:cs="Arial"/>
          <w:color w:val="000000"/>
          <w:kern w:val="0"/>
          <w:sz w:val="18"/>
          <w:szCs w:val="18"/>
        </w:rPr>
      </w:pPr>
      <w:r>
        <w:rPr>
          <w:rFonts w:ascii="Arial" w:hAnsi="Arial" w:eastAsia="宋体" w:cs="Arial"/>
          <w:color w:val="000000"/>
          <w:kern w:val="0"/>
          <w:sz w:val="18"/>
          <w:szCs w:val="18"/>
        </w:rPr>
        <w:t>我们建议贵公司说明潜在的干扰物对测定性能的影响。实验设计的示例（包括用于选择试验用干扰物的指南）详见“临床化学中的干扰试验；已批准指南”（2002年）国家临床实验室标准委员会，EP7-A号文件。潜在干扰源可以包括通常存在于血清中的化合物，例如其他类抗体（即IgM或IgG）、甘油三酸酯、血红蛋白、胆红素和脂质。</w:t>
      </w:r>
    </w:p>
    <w:p w14:paraId="38E06867">
      <w:pPr>
        <w:widowControl/>
        <w:jc w:val="left"/>
        <w:rPr>
          <w:rFonts w:ascii="Arial" w:hAnsi="Arial" w:eastAsia="宋体" w:cs="Arial"/>
          <w:color w:val="000000"/>
          <w:kern w:val="0"/>
          <w:sz w:val="18"/>
          <w:szCs w:val="18"/>
        </w:rPr>
      </w:pPr>
      <w:r>
        <w:rPr>
          <w:rFonts w:ascii="Arial" w:hAnsi="Arial" w:eastAsia="宋体" w:cs="Arial"/>
          <w:color w:val="000000"/>
          <w:kern w:val="0"/>
          <w:sz w:val="18"/>
          <w:szCs w:val="18"/>
        </w:rPr>
        <w:br w:type="page"/>
      </w:r>
    </w:p>
    <w:p w14:paraId="043AC257">
      <w:pPr>
        <w:widowControl/>
        <w:snapToGrid w:val="0"/>
        <w:spacing w:before="78" w:after="78" w:line="300" w:lineRule="auto"/>
        <w:rPr>
          <w:rFonts w:ascii="Arial" w:hAnsi="Arial" w:eastAsia="宋体" w:cs="Arial"/>
          <w:color w:val="000000"/>
          <w:kern w:val="0"/>
          <w:sz w:val="18"/>
          <w:szCs w:val="18"/>
        </w:rPr>
      </w:pPr>
      <w:r>
        <w:rPr>
          <w:rFonts w:ascii="Arial" w:hAnsi="Arial" w:eastAsia="宋体" w:cs="Arial"/>
          <w:color w:val="000000"/>
          <w:kern w:val="0"/>
          <w:sz w:val="18"/>
          <w:szCs w:val="18"/>
        </w:rPr>
        <w:t>我们建议贵公司提供以下项目：</w:t>
      </w:r>
    </w:p>
    <w:p w14:paraId="5D3E47B7">
      <w:pPr>
        <w:widowControl/>
        <w:snapToGrid w:val="0"/>
        <w:spacing w:before="78" w:after="78" w:line="300" w:lineRule="auto"/>
        <w:rPr>
          <w:rFonts w:ascii="Arial" w:hAnsi="Arial" w:eastAsia="宋体" w:cs="Arial"/>
          <w:color w:val="000000"/>
          <w:kern w:val="0"/>
          <w:sz w:val="18"/>
          <w:szCs w:val="18"/>
        </w:rPr>
      </w:pPr>
    </w:p>
    <w:p w14:paraId="39521597">
      <w:pPr>
        <w:widowControl/>
        <w:numPr>
          <w:ilvl w:val="0"/>
          <w:numId w:val="3"/>
        </w:numPr>
        <w:snapToGrid w:val="0"/>
        <w:spacing w:line="300" w:lineRule="auto"/>
        <w:ind w:left="0" w:firstLine="419" w:firstLineChars="233"/>
        <w:rPr>
          <w:rFonts w:ascii="Arial" w:hAnsi="Arial" w:eastAsia="宋体" w:cs="Arial"/>
          <w:color w:val="000000"/>
          <w:kern w:val="0"/>
          <w:sz w:val="18"/>
          <w:szCs w:val="18"/>
        </w:rPr>
      </w:pPr>
      <w:r>
        <w:rPr>
          <w:rFonts w:ascii="Arial" w:hAnsi="Arial" w:eastAsia="宋体" w:cs="Arial"/>
          <w:color w:val="000000"/>
          <w:kern w:val="0"/>
          <w:sz w:val="18"/>
          <w:szCs w:val="18"/>
        </w:rPr>
        <w:t>所测试的干扰物的类型和水平</w:t>
      </w:r>
    </w:p>
    <w:p w14:paraId="1D132117">
      <w:pPr>
        <w:widowControl/>
        <w:numPr>
          <w:ilvl w:val="0"/>
          <w:numId w:val="3"/>
        </w:numPr>
        <w:snapToGrid w:val="0"/>
        <w:spacing w:line="300" w:lineRule="auto"/>
        <w:ind w:left="0" w:firstLine="419" w:firstLineChars="233"/>
        <w:rPr>
          <w:rFonts w:ascii="Arial" w:hAnsi="Arial" w:eastAsia="宋体" w:cs="Arial"/>
          <w:color w:val="000000"/>
          <w:kern w:val="0"/>
          <w:sz w:val="18"/>
          <w:szCs w:val="18"/>
        </w:rPr>
      </w:pPr>
      <w:r>
        <w:rPr>
          <w:rFonts w:ascii="Arial" w:hAnsi="Arial" w:eastAsia="宋体" w:cs="Arial"/>
          <w:color w:val="000000"/>
          <w:kern w:val="0"/>
          <w:sz w:val="18"/>
          <w:szCs w:val="18"/>
        </w:rPr>
        <w:t>样本中的抗体水平</w:t>
      </w:r>
    </w:p>
    <w:p w14:paraId="01E94407">
      <w:pPr>
        <w:widowControl/>
        <w:numPr>
          <w:ilvl w:val="0"/>
          <w:numId w:val="3"/>
        </w:numPr>
        <w:snapToGrid w:val="0"/>
        <w:spacing w:line="300" w:lineRule="auto"/>
        <w:ind w:left="0" w:firstLine="419" w:firstLineChars="233"/>
        <w:rPr>
          <w:rFonts w:ascii="Arial" w:hAnsi="Arial" w:eastAsia="宋体" w:cs="Arial"/>
          <w:color w:val="000000"/>
          <w:kern w:val="0"/>
          <w:sz w:val="18"/>
          <w:szCs w:val="18"/>
        </w:rPr>
      </w:pPr>
      <w:r>
        <w:rPr>
          <w:rFonts w:ascii="Arial" w:hAnsi="Arial" w:eastAsia="宋体" w:cs="Arial"/>
          <w:color w:val="000000"/>
          <w:kern w:val="0"/>
          <w:sz w:val="18"/>
          <w:szCs w:val="18"/>
        </w:rPr>
        <w:t>试验的重复次数</w:t>
      </w:r>
    </w:p>
    <w:p w14:paraId="6CE37DC2">
      <w:pPr>
        <w:widowControl/>
        <w:numPr>
          <w:ilvl w:val="0"/>
          <w:numId w:val="3"/>
        </w:numPr>
        <w:snapToGrid w:val="0"/>
        <w:spacing w:line="300" w:lineRule="auto"/>
        <w:ind w:left="0" w:firstLine="419" w:firstLineChars="233"/>
        <w:rPr>
          <w:rFonts w:ascii="Arial" w:hAnsi="Arial" w:eastAsia="宋体" w:cs="Arial"/>
          <w:color w:val="000000"/>
          <w:kern w:val="0"/>
          <w:sz w:val="18"/>
          <w:szCs w:val="18"/>
        </w:rPr>
      </w:pPr>
      <w:r>
        <w:rPr>
          <w:rFonts w:ascii="Arial" w:hAnsi="Arial" w:eastAsia="宋体" w:cs="Arial"/>
          <w:color w:val="000000"/>
          <w:kern w:val="0"/>
          <w:sz w:val="18"/>
          <w:szCs w:val="18"/>
        </w:rPr>
        <w:t>计算干扰的定义或方法</w:t>
      </w:r>
    </w:p>
    <w:p w14:paraId="467EA989">
      <w:pPr>
        <w:widowControl/>
        <w:snapToGrid w:val="0"/>
        <w:spacing w:before="90" w:after="90" w:line="300" w:lineRule="auto"/>
        <w:rPr>
          <w:rFonts w:ascii="Arial" w:hAnsi="Arial" w:eastAsia="宋体" w:cs="Arial"/>
          <w:color w:val="000000"/>
          <w:kern w:val="0"/>
          <w:sz w:val="18"/>
          <w:szCs w:val="18"/>
        </w:rPr>
      </w:pPr>
    </w:p>
    <w:p w14:paraId="48CEF3AB">
      <w:pPr>
        <w:widowControl/>
        <w:snapToGrid w:val="0"/>
        <w:spacing w:before="78" w:after="78" w:line="300" w:lineRule="auto"/>
        <w:rPr>
          <w:rFonts w:ascii="Arial" w:hAnsi="Arial" w:eastAsia="宋体" w:cs="Arial"/>
          <w:color w:val="000000"/>
          <w:kern w:val="0"/>
          <w:sz w:val="18"/>
          <w:szCs w:val="18"/>
        </w:rPr>
      </w:pPr>
      <w:r>
        <w:rPr>
          <w:rFonts w:ascii="Arial" w:hAnsi="Arial" w:eastAsia="宋体" w:cs="Arial"/>
          <w:color w:val="000000"/>
          <w:kern w:val="0"/>
          <w:sz w:val="18"/>
          <w:szCs w:val="18"/>
        </w:rPr>
        <w:t>我们建议贵公司确定偏差中任何观察到的趋势（即，阴性或阳性），并说明在存在特定干扰物的情况下观察到的回收范围。与单单列出平均回收率相比，这种方法更富信息性。我们建议贵公司说明确定无干扰的标准。</w:t>
      </w:r>
    </w:p>
    <w:p w14:paraId="47ACBCAC">
      <w:pPr>
        <w:widowControl/>
        <w:snapToGrid w:val="0"/>
        <w:spacing w:before="90" w:after="90" w:line="300" w:lineRule="auto"/>
        <w:rPr>
          <w:rFonts w:ascii="Arial" w:hAnsi="Arial" w:eastAsia="宋体" w:cs="Arial"/>
          <w:color w:val="000000"/>
          <w:kern w:val="0"/>
          <w:sz w:val="18"/>
          <w:szCs w:val="18"/>
        </w:rPr>
      </w:pPr>
      <w:r>
        <w:rPr>
          <w:rFonts w:ascii="Arial" w:hAnsi="Arial" w:eastAsia="宋体" w:cs="Arial"/>
          <w:color w:val="000000"/>
          <w:kern w:val="0"/>
          <w:sz w:val="18"/>
          <w:szCs w:val="18"/>
        </w:rPr>
        <w:t>贵公司可能无需对文献或其他来源中已经确定的潜在干扰物进行额外的干扰试验。但是，我们建议贵公司在标签中标明这些潜在的干扰物。</w:t>
      </w:r>
    </w:p>
    <w:p w14:paraId="7D80AF91">
      <w:pPr>
        <w:widowControl/>
        <w:snapToGrid w:val="0"/>
        <w:spacing w:before="90" w:after="90" w:line="300" w:lineRule="auto"/>
        <w:rPr>
          <w:rFonts w:ascii="Arial" w:hAnsi="Arial" w:eastAsia="宋体" w:cs="Arial"/>
          <w:color w:val="000000"/>
          <w:kern w:val="0"/>
          <w:sz w:val="18"/>
          <w:szCs w:val="18"/>
        </w:rPr>
      </w:pPr>
      <w:r>
        <w:rPr>
          <w:rFonts w:ascii="Arial" w:hAnsi="Arial" w:eastAsia="宋体" w:cs="Arial"/>
          <w:b/>
          <w:bCs/>
          <w:color w:val="000000"/>
          <w:kern w:val="0"/>
          <w:sz w:val="18"/>
        </w:rPr>
        <w:t>交叉反应性</w:t>
      </w:r>
    </w:p>
    <w:p w14:paraId="4B95A505">
      <w:pPr>
        <w:widowControl/>
        <w:snapToGrid w:val="0"/>
        <w:spacing w:before="78" w:after="78" w:line="300" w:lineRule="auto"/>
        <w:rPr>
          <w:rFonts w:ascii="Arial" w:hAnsi="Arial" w:eastAsia="宋体" w:cs="Arial"/>
          <w:color w:val="000000"/>
          <w:kern w:val="0"/>
          <w:sz w:val="18"/>
          <w:szCs w:val="18"/>
        </w:rPr>
      </w:pPr>
      <w:r>
        <w:rPr>
          <w:rFonts w:ascii="Arial" w:hAnsi="Arial" w:eastAsia="宋体" w:cs="Arial"/>
          <w:color w:val="000000"/>
          <w:kern w:val="0"/>
          <w:sz w:val="18"/>
          <w:szCs w:val="18"/>
        </w:rPr>
        <w:t>我们建议贵公司提供通过测量贵公司的器械与其他微生物的交叉反应性获得的、有关测定特异性的数据。特别地，贵公司应进行研究以表征在存在其他黄病毒（例如圣路易斯脑炎、登革热病毒、黄热病、日本脑炎）、甲病毒（例如东方马脑炎）和其他可导致脑膜脑炎症状的病毒（例如，肠道病毒、单纯疱疹）的情况下的性能。</w:t>
      </w:r>
    </w:p>
    <w:p w14:paraId="4ACE3810">
      <w:pPr>
        <w:widowControl/>
        <w:snapToGrid w:val="0"/>
        <w:spacing w:before="90" w:after="90" w:line="300" w:lineRule="auto"/>
        <w:rPr>
          <w:rFonts w:ascii="Arial" w:hAnsi="Arial" w:eastAsia="宋体" w:cs="Arial"/>
          <w:color w:val="000000"/>
          <w:kern w:val="0"/>
          <w:sz w:val="18"/>
          <w:szCs w:val="18"/>
        </w:rPr>
      </w:pPr>
      <w:r>
        <w:rPr>
          <w:rFonts w:ascii="Arial" w:hAnsi="Arial" w:eastAsia="宋体" w:cs="Arial"/>
          <w:b/>
          <w:bCs/>
          <w:color w:val="000000"/>
          <w:kern w:val="0"/>
          <w:sz w:val="18"/>
        </w:rPr>
        <w:t>临界值</w:t>
      </w:r>
    </w:p>
    <w:p w14:paraId="76CFED63">
      <w:pPr>
        <w:widowControl/>
        <w:snapToGrid w:val="0"/>
        <w:spacing w:before="90" w:after="90" w:line="300" w:lineRule="auto"/>
        <w:rPr>
          <w:rFonts w:ascii="Arial" w:hAnsi="Arial" w:eastAsia="宋体" w:cs="Arial"/>
          <w:color w:val="000000"/>
          <w:kern w:val="0"/>
          <w:sz w:val="18"/>
          <w:szCs w:val="18"/>
        </w:rPr>
      </w:pPr>
      <w:r>
        <w:rPr>
          <w:rFonts w:ascii="Arial" w:hAnsi="Arial" w:eastAsia="宋体" w:cs="Arial"/>
          <w:color w:val="000000"/>
          <w:kern w:val="0"/>
          <w:sz w:val="18"/>
          <w:szCs w:val="18"/>
        </w:rPr>
        <w:t>我们建议提供数据以说明如何选择和确定临界值。如果适用，应提供关于使用模糊区域进行试验的信息。如果数据表明不应使用模糊区域进行试验，则应提供详细说明。</w:t>
      </w:r>
    </w:p>
    <w:p w14:paraId="21D2F0F8">
      <w:pPr>
        <w:widowControl/>
        <w:snapToGrid w:val="0"/>
        <w:spacing w:before="90" w:after="90" w:line="300" w:lineRule="auto"/>
        <w:rPr>
          <w:rFonts w:ascii="Arial" w:hAnsi="Arial" w:eastAsia="宋体" w:cs="Arial"/>
          <w:color w:val="000000"/>
          <w:kern w:val="0"/>
          <w:sz w:val="18"/>
          <w:szCs w:val="18"/>
        </w:rPr>
      </w:pPr>
      <w:r>
        <w:rPr>
          <w:rFonts w:ascii="Arial" w:hAnsi="Arial" w:eastAsia="宋体" w:cs="Arial"/>
          <w:b/>
          <w:bCs/>
          <w:color w:val="000000"/>
          <w:kern w:val="0"/>
          <w:sz w:val="18"/>
        </w:rPr>
        <w:t>其他分析研究</w:t>
      </w:r>
    </w:p>
    <w:p w14:paraId="3DB6E1E2">
      <w:pPr>
        <w:widowControl/>
        <w:snapToGrid w:val="0"/>
        <w:spacing w:before="90" w:after="90" w:line="300" w:lineRule="auto"/>
        <w:rPr>
          <w:rFonts w:ascii="Arial" w:hAnsi="Arial" w:eastAsia="宋体" w:cs="Arial"/>
          <w:color w:val="000000"/>
          <w:kern w:val="0"/>
          <w:sz w:val="18"/>
          <w:szCs w:val="18"/>
        </w:rPr>
      </w:pPr>
      <w:r>
        <w:rPr>
          <w:rFonts w:ascii="Arial" w:hAnsi="Arial" w:eastAsia="宋体" w:cs="Arial"/>
          <w:color w:val="000000"/>
          <w:kern w:val="0"/>
          <w:sz w:val="18"/>
          <w:szCs w:val="18"/>
        </w:rPr>
        <w:t>请参见FDA指导性文件“病毒剂IgM抗体的审查标准，1992年8月1日”</w:t>
      </w:r>
    </w:p>
    <w:p w14:paraId="2C046E33">
      <w:pPr>
        <w:widowControl/>
        <w:snapToGrid w:val="0"/>
        <w:spacing w:line="300" w:lineRule="auto"/>
        <w:outlineLvl w:val="0"/>
        <w:rPr>
          <w:rFonts w:ascii="Arial" w:hAnsi="Arial" w:eastAsia="宋体" w:cs="Arial"/>
          <w:b/>
          <w:bCs/>
          <w:color w:val="000000"/>
          <w:kern w:val="0"/>
          <w:sz w:val="29"/>
          <w:szCs w:val="29"/>
        </w:rPr>
      </w:pPr>
      <w:bookmarkStart w:id="11" w:name="_Toc52173681"/>
      <w:bookmarkStart w:id="12" w:name="_Toc479344406"/>
      <w:r>
        <w:rPr>
          <w:rFonts w:ascii="Arial" w:hAnsi="Arial" w:eastAsia="宋体" w:cs="Arial"/>
          <w:b/>
          <w:bCs/>
          <w:color w:val="000000"/>
          <w:kern w:val="0"/>
          <w:sz w:val="29"/>
          <w:szCs w:val="29"/>
        </w:rPr>
        <w:t>7.</w:t>
      </w:r>
      <w:bookmarkEnd w:id="11"/>
      <w:r>
        <w:rPr>
          <w:rFonts w:ascii="Arial" w:hAnsi="Arial" w:eastAsia="宋体" w:cs="Arial"/>
          <w:b/>
          <w:bCs/>
          <w:color w:val="000000"/>
          <w:kern w:val="0"/>
          <w:sz w:val="29"/>
          <w:szCs w:val="29"/>
        </w:rPr>
        <w:t xml:space="preserve"> 方法比较</w:t>
      </w:r>
      <w:bookmarkEnd w:id="12"/>
    </w:p>
    <w:p w14:paraId="41045EDD">
      <w:pPr>
        <w:widowControl/>
        <w:snapToGrid w:val="0"/>
        <w:spacing w:before="90" w:after="90" w:line="300" w:lineRule="auto"/>
        <w:rPr>
          <w:rFonts w:ascii="Arial" w:hAnsi="Arial" w:eastAsia="宋体" w:cs="Arial"/>
          <w:b/>
          <w:bCs/>
          <w:color w:val="000000"/>
          <w:kern w:val="0"/>
          <w:sz w:val="18"/>
        </w:rPr>
      </w:pPr>
      <w:r>
        <w:rPr>
          <w:rFonts w:ascii="Arial" w:hAnsi="Arial" w:eastAsia="宋体" w:cs="Arial"/>
          <w:b/>
          <w:bCs/>
          <w:color w:val="000000"/>
          <w:kern w:val="0"/>
          <w:sz w:val="18"/>
        </w:rPr>
        <w:t>临床灵敏度和比较性能</w:t>
      </w:r>
    </w:p>
    <w:p w14:paraId="336E9A0F">
      <w:pPr>
        <w:widowControl/>
        <w:snapToGrid w:val="0"/>
        <w:spacing w:before="90" w:after="90" w:line="300" w:lineRule="auto"/>
        <w:rPr>
          <w:rFonts w:ascii="Arial" w:hAnsi="Arial" w:eastAsia="宋体" w:cs="Arial"/>
          <w:color w:val="000000"/>
          <w:kern w:val="0"/>
          <w:sz w:val="18"/>
          <w:szCs w:val="18"/>
        </w:rPr>
      </w:pPr>
      <w:r>
        <w:rPr>
          <w:rFonts w:ascii="Arial" w:hAnsi="Arial" w:eastAsia="宋体" w:cs="Arial"/>
          <w:color w:val="000000"/>
          <w:kern w:val="0"/>
          <w:sz w:val="18"/>
          <w:szCs w:val="18"/>
        </w:rPr>
        <w:t>FDA建议贵公司通过针对不同患者比较试验性能来测定临床灵敏度，其中，此类患者的特征性疾病已使用已确定的实验室试验（如斑块减少中和试验）或使用目前用于诊断该疾病的CDC指南验证。虽然应优选选择预期样本，但是良好表征的数据库可以用作样品的来源。应该提供明确的信息以支持样品的完整性，并证明已对取自储存库中所用样品进行适当选择和表征。应该考虑和解决偏差来源。</w:t>
      </w:r>
    </w:p>
    <w:p w14:paraId="1F2FB5E2">
      <w:pPr>
        <w:widowControl/>
        <w:snapToGrid w:val="0"/>
        <w:spacing w:before="90" w:after="90" w:line="300" w:lineRule="auto"/>
        <w:rPr>
          <w:rFonts w:ascii="Arial" w:hAnsi="Arial" w:eastAsia="宋体" w:cs="Arial"/>
          <w:color w:val="000000"/>
          <w:kern w:val="0"/>
          <w:sz w:val="18"/>
          <w:szCs w:val="18"/>
        </w:rPr>
      </w:pPr>
      <w:r>
        <w:rPr>
          <w:rFonts w:ascii="Arial" w:hAnsi="Arial" w:eastAsia="宋体" w:cs="Arial"/>
          <w:color w:val="000000"/>
          <w:kern w:val="0"/>
          <w:sz w:val="18"/>
          <w:szCs w:val="18"/>
        </w:rPr>
        <w:t>我们建议贵公司在流行地区通过贵公司的测定来评估西尼罗病毒抗体的患病率，并根据人口统计学变量（例如年龄、性别）分析数据。</w:t>
      </w:r>
    </w:p>
    <w:p w14:paraId="0461591A">
      <w:pPr>
        <w:widowControl/>
        <w:snapToGrid w:val="0"/>
        <w:spacing w:before="90" w:after="90" w:line="300" w:lineRule="auto"/>
        <w:rPr>
          <w:rFonts w:ascii="Arial" w:hAnsi="Arial" w:eastAsia="宋体" w:cs="Arial"/>
          <w:color w:val="000000"/>
          <w:kern w:val="0"/>
          <w:sz w:val="18"/>
          <w:szCs w:val="18"/>
        </w:rPr>
      </w:pPr>
      <w:r>
        <w:rPr>
          <w:rFonts w:ascii="Arial" w:hAnsi="Arial" w:eastAsia="宋体" w:cs="Arial"/>
          <w:color w:val="000000"/>
          <w:kern w:val="0"/>
          <w:sz w:val="18"/>
          <w:szCs w:val="18"/>
        </w:rPr>
        <w:t>如果缺少临床资料，贵公司可以使用参考血清学筛选试验以及适当的确认性试验，基于比较血清学结果来研究样品。这些结果应以百分比一致性而不是灵敏度报告。</w:t>
      </w:r>
    </w:p>
    <w:p w14:paraId="25A3DE30">
      <w:pPr>
        <w:widowControl/>
        <w:snapToGrid w:val="0"/>
        <w:spacing w:before="90" w:after="90" w:line="300" w:lineRule="auto"/>
        <w:rPr>
          <w:rFonts w:ascii="Arial" w:hAnsi="Arial" w:eastAsia="宋体" w:cs="Arial"/>
          <w:b/>
          <w:bCs/>
          <w:color w:val="000000"/>
          <w:kern w:val="0"/>
          <w:sz w:val="18"/>
        </w:rPr>
      </w:pPr>
      <w:r>
        <w:rPr>
          <w:rFonts w:ascii="Arial" w:hAnsi="Arial" w:eastAsia="宋体" w:cs="Arial"/>
          <w:b/>
          <w:bCs/>
          <w:color w:val="000000"/>
          <w:kern w:val="0"/>
          <w:sz w:val="18"/>
        </w:rPr>
        <w:t>临床特异性</w:t>
      </w:r>
    </w:p>
    <w:p w14:paraId="1382BA22">
      <w:pPr>
        <w:widowControl/>
        <w:snapToGrid w:val="0"/>
        <w:spacing w:before="90" w:after="90" w:line="300" w:lineRule="auto"/>
        <w:rPr>
          <w:rFonts w:ascii="Arial" w:hAnsi="Arial" w:eastAsia="宋体" w:cs="Arial"/>
          <w:color w:val="000000"/>
          <w:kern w:val="0"/>
          <w:sz w:val="18"/>
          <w:szCs w:val="18"/>
        </w:rPr>
      </w:pPr>
      <w:r>
        <w:rPr>
          <w:rFonts w:ascii="Arial" w:hAnsi="Arial" w:eastAsia="宋体" w:cs="Arial"/>
          <w:color w:val="000000"/>
          <w:kern w:val="0"/>
          <w:sz w:val="18"/>
          <w:szCs w:val="18"/>
        </w:rPr>
        <w:t>FDA建议，对于西尼罗河病毒血清学试剂，贵公司应评价贵公司的器械在来自地方性正常人群的患者中的临床特异性。应纳入含有发热和神经系统疾病的患者，以确保试验性能受到适当挑战。</w:t>
      </w:r>
    </w:p>
    <w:p w14:paraId="17CC7E07">
      <w:pPr>
        <w:widowControl/>
        <w:jc w:val="left"/>
        <w:rPr>
          <w:rFonts w:ascii="Arial" w:hAnsi="Arial" w:eastAsia="宋体" w:cs="Arial"/>
          <w:b/>
          <w:bCs/>
          <w:color w:val="000000"/>
          <w:kern w:val="0"/>
          <w:sz w:val="18"/>
        </w:rPr>
      </w:pPr>
      <w:r>
        <w:rPr>
          <w:rFonts w:ascii="Arial" w:hAnsi="Arial" w:eastAsia="宋体" w:cs="Arial"/>
          <w:b/>
          <w:bCs/>
          <w:color w:val="000000"/>
          <w:kern w:val="0"/>
          <w:sz w:val="18"/>
        </w:rPr>
        <w:br w:type="page"/>
      </w:r>
    </w:p>
    <w:p w14:paraId="192B76A2">
      <w:pPr>
        <w:widowControl/>
        <w:snapToGrid w:val="0"/>
        <w:spacing w:before="90" w:after="90" w:line="300" w:lineRule="auto"/>
        <w:rPr>
          <w:rFonts w:ascii="Arial" w:hAnsi="Arial" w:eastAsia="宋体" w:cs="Arial"/>
          <w:color w:val="000000"/>
          <w:kern w:val="0"/>
          <w:sz w:val="18"/>
          <w:szCs w:val="18"/>
        </w:rPr>
      </w:pPr>
      <w:r>
        <w:rPr>
          <w:rFonts w:ascii="Arial" w:hAnsi="Arial" w:eastAsia="宋体" w:cs="Arial"/>
          <w:b/>
          <w:bCs/>
          <w:color w:val="000000"/>
          <w:kern w:val="0"/>
          <w:sz w:val="18"/>
        </w:rPr>
        <w:t>样品收集和处理条件</w:t>
      </w:r>
    </w:p>
    <w:p w14:paraId="575DA623">
      <w:pPr>
        <w:widowControl/>
        <w:snapToGrid w:val="0"/>
        <w:spacing w:before="90" w:after="90" w:line="300" w:lineRule="auto"/>
        <w:rPr>
          <w:rFonts w:ascii="Arial" w:hAnsi="Arial" w:eastAsia="宋体" w:cs="Arial"/>
          <w:color w:val="000000"/>
          <w:kern w:val="0"/>
          <w:sz w:val="18"/>
          <w:szCs w:val="18"/>
        </w:rPr>
      </w:pPr>
      <w:r>
        <w:rPr>
          <w:rFonts w:ascii="Arial" w:hAnsi="Arial" w:eastAsia="宋体" w:cs="Arial"/>
          <w:color w:val="000000"/>
          <w:kern w:val="0"/>
          <w:sz w:val="18"/>
          <w:szCs w:val="18"/>
        </w:rPr>
        <w:t>我们建议贵公司通过评估器械是否可以在推荐给用户的存储时间和温度下保持可接受的性能（例如复现性）来证实标签中关于样品存储和运输的声明。例如，适当的研究可能包括对在时间、温度或指定数量的冻融循环条件下储存的等分试样进行分析。我们建议贵公司规定在推荐的存储和处理条件下可接受回收范围的标准[请参见“血液样本的处理和加工程序”；已批准指南（1990年）国家临床实验室标准委员会（NCCLS），H18-A号文件H18]</w:t>
      </w:r>
    </w:p>
    <w:p w14:paraId="3EBB63DB">
      <w:pPr>
        <w:widowControl/>
        <w:snapToGrid w:val="0"/>
        <w:spacing w:before="90" w:after="90" w:line="300" w:lineRule="auto"/>
        <w:rPr>
          <w:rFonts w:ascii="Arial" w:hAnsi="Arial" w:eastAsia="宋体" w:cs="Arial"/>
          <w:b/>
          <w:bCs/>
          <w:color w:val="000000"/>
          <w:kern w:val="0"/>
          <w:sz w:val="18"/>
        </w:rPr>
      </w:pPr>
      <w:r>
        <w:rPr>
          <w:rFonts w:ascii="Arial" w:hAnsi="Arial" w:eastAsia="宋体" w:cs="Arial"/>
          <w:b/>
          <w:bCs/>
          <w:color w:val="000000"/>
          <w:kern w:val="0"/>
          <w:sz w:val="18"/>
        </w:rPr>
        <w:t>样品选择、入选和排除标准</w:t>
      </w:r>
    </w:p>
    <w:p w14:paraId="39BA044E">
      <w:pPr>
        <w:widowControl/>
        <w:snapToGrid w:val="0"/>
        <w:spacing w:before="90" w:after="90" w:line="300" w:lineRule="auto"/>
        <w:rPr>
          <w:rFonts w:ascii="Arial" w:hAnsi="Arial" w:eastAsia="宋体" w:cs="Arial"/>
          <w:color w:val="000000"/>
          <w:kern w:val="0"/>
          <w:sz w:val="18"/>
          <w:szCs w:val="18"/>
        </w:rPr>
      </w:pPr>
      <w:r>
        <w:rPr>
          <w:rFonts w:ascii="Arial" w:hAnsi="Arial" w:eastAsia="宋体" w:cs="Arial"/>
          <w:color w:val="000000"/>
          <w:kern w:val="0"/>
          <w:sz w:val="18"/>
          <w:szCs w:val="18"/>
        </w:rPr>
        <w:t>我们建议贵公司对来自预期使用人群（即具有脑膜炎/脑炎的体征和症状的患者）的患者样本进行评价，并提供对如何样品选择的明确说明，包括排除样品的原因。</w:t>
      </w:r>
    </w:p>
    <w:p w14:paraId="244CC5D6">
      <w:pPr>
        <w:widowControl/>
        <w:snapToGrid w:val="0"/>
        <w:spacing w:before="90" w:after="90" w:line="300" w:lineRule="auto"/>
        <w:rPr>
          <w:rFonts w:ascii="Arial" w:hAnsi="Arial" w:eastAsia="宋体" w:cs="Arial"/>
          <w:color w:val="000000"/>
          <w:kern w:val="0"/>
          <w:sz w:val="18"/>
          <w:szCs w:val="18"/>
        </w:rPr>
      </w:pPr>
      <w:r>
        <w:rPr>
          <w:rFonts w:ascii="Arial" w:hAnsi="Arial" w:eastAsia="宋体" w:cs="Arial"/>
          <w:color w:val="000000"/>
          <w:kern w:val="0"/>
          <w:sz w:val="18"/>
          <w:szCs w:val="18"/>
        </w:rPr>
        <w:t>样品量是否适当取决于该试验的复现性、干扰和其他性能特性等因素。我们建议贵公司提供统计理由来支持研究样本量。</w:t>
      </w:r>
    </w:p>
    <w:p w14:paraId="4AC117D2">
      <w:pPr>
        <w:widowControl/>
        <w:snapToGrid w:val="0"/>
        <w:spacing w:before="90" w:after="90" w:line="300" w:lineRule="auto"/>
        <w:rPr>
          <w:rFonts w:ascii="Arial" w:hAnsi="Arial" w:eastAsia="宋体" w:cs="Arial"/>
          <w:b/>
          <w:bCs/>
          <w:color w:val="000000"/>
          <w:kern w:val="0"/>
          <w:sz w:val="18"/>
        </w:rPr>
      </w:pPr>
      <w:r>
        <w:rPr>
          <w:rFonts w:ascii="Arial" w:hAnsi="Arial" w:eastAsia="宋体" w:cs="Arial"/>
          <w:b/>
          <w:bCs/>
          <w:color w:val="000000"/>
          <w:kern w:val="0"/>
          <w:sz w:val="18"/>
        </w:rPr>
        <w:t>提交结果</w:t>
      </w:r>
    </w:p>
    <w:p w14:paraId="0B430850">
      <w:pPr>
        <w:widowControl/>
        <w:snapToGrid w:val="0"/>
        <w:spacing w:before="90" w:after="90" w:line="300" w:lineRule="auto"/>
        <w:rPr>
          <w:rFonts w:ascii="Arial" w:hAnsi="Arial" w:eastAsia="宋体" w:cs="Arial"/>
          <w:color w:val="000000"/>
          <w:kern w:val="0"/>
          <w:sz w:val="18"/>
          <w:szCs w:val="18"/>
        </w:rPr>
      </w:pPr>
      <w:r>
        <w:rPr>
          <w:rFonts w:ascii="Arial" w:hAnsi="Arial" w:eastAsia="宋体" w:cs="Arial"/>
          <w:color w:val="000000"/>
          <w:kern w:val="0"/>
          <w:sz w:val="18"/>
          <w:szCs w:val="18"/>
        </w:rPr>
        <w:t>当提交贵公司的研究结果时，我们建议贵公司证明西尼罗河病毒血清学结果与用于初步诊断和确诊西尼罗河病毒感染的结果之间的相关性，如当前CDC指南“西尼罗病毒：信息和临床医生指南”中所述。我们建议贵公司按照重要的人口因素（例如年龄和性别）对数据进行分层（如果这些因素有可能使结果产生偏差）。</w:t>
      </w:r>
    </w:p>
    <w:p w14:paraId="165DA046">
      <w:pPr>
        <w:widowControl/>
        <w:snapToGrid w:val="0"/>
        <w:spacing w:line="300" w:lineRule="auto"/>
        <w:outlineLvl w:val="0"/>
        <w:rPr>
          <w:rFonts w:ascii="Arial" w:hAnsi="Arial" w:eastAsia="宋体" w:cs="Arial"/>
          <w:b/>
          <w:bCs/>
          <w:color w:val="000000"/>
          <w:kern w:val="0"/>
          <w:sz w:val="29"/>
          <w:szCs w:val="29"/>
        </w:rPr>
      </w:pPr>
      <w:bookmarkStart w:id="13" w:name="_Toc52173682"/>
      <w:bookmarkStart w:id="14" w:name="_Toc479344407"/>
      <w:r>
        <w:rPr>
          <w:rFonts w:ascii="Arial" w:hAnsi="Arial" w:eastAsia="宋体" w:cs="Arial"/>
          <w:b/>
          <w:bCs/>
          <w:color w:val="000000"/>
          <w:kern w:val="0"/>
          <w:sz w:val="29"/>
          <w:szCs w:val="29"/>
        </w:rPr>
        <w:t>8.</w:t>
      </w:r>
      <w:bookmarkEnd w:id="13"/>
      <w:r>
        <w:rPr>
          <w:rFonts w:ascii="Arial" w:hAnsi="Arial" w:eastAsia="宋体" w:cs="Arial"/>
          <w:b/>
          <w:bCs/>
          <w:color w:val="000000"/>
          <w:kern w:val="0"/>
          <w:sz w:val="29"/>
          <w:szCs w:val="29"/>
        </w:rPr>
        <w:t xml:space="preserve"> 标签</w:t>
      </w:r>
      <w:bookmarkEnd w:id="14"/>
    </w:p>
    <w:p w14:paraId="7130D388">
      <w:pPr>
        <w:widowControl/>
        <w:snapToGrid w:val="0"/>
        <w:spacing w:before="78" w:after="78" w:line="300" w:lineRule="auto"/>
        <w:rPr>
          <w:rFonts w:ascii="Arial" w:hAnsi="Arial" w:eastAsia="宋体" w:cs="Arial"/>
          <w:color w:val="000000"/>
          <w:kern w:val="0"/>
          <w:sz w:val="18"/>
          <w:szCs w:val="18"/>
        </w:rPr>
      </w:pPr>
      <w:r>
        <w:rPr>
          <w:rFonts w:ascii="Arial" w:hAnsi="Arial" w:eastAsia="宋体" w:cs="Arial"/>
          <w:color w:val="000000"/>
          <w:kern w:val="0"/>
          <w:sz w:val="18"/>
          <w:szCs w:val="18"/>
        </w:rPr>
        <w:t>上市前通告应提供足够详细的标签，以满足21 CFR 807.87（e）的要求。以下建议旨在帮助贵公司准备符合21 CFR 807.87（e）要求的标签。</w:t>
      </w:r>
      <w:r>
        <w:rPr>
          <w:rFonts w:ascii="Arial" w:hAnsi="Arial" w:eastAsia="宋体" w:cs="Arial"/>
          <w:color w:val="7030A0"/>
          <w:kern w:val="0"/>
          <w:sz w:val="18"/>
          <w:szCs w:val="18"/>
        </w:rPr>
        <w:t>[5]</w:t>
      </w:r>
    </w:p>
    <w:p w14:paraId="792FEC82">
      <w:pPr>
        <w:widowControl/>
        <w:snapToGrid w:val="0"/>
        <w:spacing w:before="90" w:after="90" w:line="300" w:lineRule="auto"/>
        <w:rPr>
          <w:rFonts w:ascii="Arial" w:hAnsi="Arial" w:eastAsia="宋体" w:cs="Arial"/>
          <w:color w:val="000000"/>
          <w:kern w:val="0"/>
          <w:sz w:val="18"/>
          <w:szCs w:val="18"/>
        </w:rPr>
      </w:pPr>
    </w:p>
    <w:p w14:paraId="62255E6F">
      <w:pPr>
        <w:widowControl/>
        <w:snapToGrid w:val="0"/>
        <w:spacing w:before="78" w:after="78" w:line="300" w:lineRule="auto"/>
        <w:rPr>
          <w:rFonts w:ascii="Arial" w:hAnsi="Arial" w:eastAsia="宋体" w:cs="Arial"/>
          <w:b/>
          <w:bCs/>
          <w:color w:val="000000"/>
          <w:kern w:val="0"/>
          <w:sz w:val="18"/>
        </w:rPr>
      </w:pPr>
      <w:r>
        <w:rPr>
          <w:rFonts w:ascii="Arial" w:hAnsi="Arial" w:eastAsia="宋体" w:cs="Arial"/>
          <w:b/>
          <w:bCs/>
          <w:color w:val="000000"/>
          <w:kern w:val="0"/>
          <w:sz w:val="18"/>
        </w:rPr>
        <w:t>使用说明</w:t>
      </w:r>
    </w:p>
    <w:p w14:paraId="1E2D0894">
      <w:pPr>
        <w:widowControl/>
        <w:snapToGrid w:val="0"/>
        <w:spacing w:before="78" w:after="78" w:line="300" w:lineRule="auto"/>
        <w:rPr>
          <w:rFonts w:ascii="Arial" w:hAnsi="Arial" w:eastAsia="宋体" w:cs="Arial"/>
          <w:color w:val="000000"/>
          <w:spacing w:val="-2"/>
          <w:kern w:val="0"/>
          <w:sz w:val="18"/>
          <w:szCs w:val="18"/>
        </w:rPr>
      </w:pPr>
      <w:r>
        <w:rPr>
          <w:rFonts w:ascii="Arial" w:hAnsi="Arial" w:eastAsia="宋体" w:cs="Arial"/>
          <w:color w:val="000000"/>
          <w:spacing w:val="-2"/>
          <w:kern w:val="0"/>
          <w:sz w:val="18"/>
          <w:szCs w:val="18"/>
        </w:rPr>
        <w:t>根据21 CFR 801.109，作为处方器械，该器械可以免于针对外行用途提供适当的使用说明。然而，根据21 CFR 807.87（e），我们希望贵公司可以提供清晰简明的说明，以描述具体器械的技术特征以及该器械如何用于患者。说明应鼓励旨在使用户熟悉器械功能，以及如何以安全有效的方式进行使用的地方/机构培训计划。</w:t>
      </w:r>
    </w:p>
    <w:p w14:paraId="40AECBB7">
      <w:pPr>
        <w:widowControl/>
        <w:snapToGrid w:val="0"/>
        <w:spacing w:before="78" w:after="78" w:line="300" w:lineRule="auto"/>
        <w:rPr>
          <w:rFonts w:ascii="Arial" w:hAnsi="Arial" w:eastAsia="宋体" w:cs="Arial"/>
          <w:color w:val="000000"/>
          <w:kern w:val="0"/>
          <w:sz w:val="18"/>
          <w:szCs w:val="18"/>
        </w:rPr>
      </w:pPr>
    </w:p>
    <w:p w14:paraId="0CC9FCEE">
      <w:pPr>
        <w:widowControl/>
        <w:snapToGrid w:val="0"/>
        <w:spacing w:before="78" w:after="78" w:line="300" w:lineRule="auto"/>
        <w:rPr>
          <w:rFonts w:ascii="Arial" w:hAnsi="Arial" w:eastAsia="宋体" w:cs="Arial"/>
          <w:color w:val="000000"/>
          <w:kern w:val="0"/>
          <w:sz w:val="18"/>
          <w:szCs w:val="18"/>
        </w:rPr>
      </w:pPr>
      <w:r>
        <w:rPr>
          <w:rFonts w:ascii="Arial" w:hAnsi="Arial" w:eastAsia="宋体" w:cs="Arial"/>
          <w:b/>
          <w:bCs/>
          <w:color w:val="000000"/>
          <w:kern w:val="0"/>
          <w:sz w:val="18"/>
        </w:rPr>
        <w:t>质量控制</w:t>
      </w:r>
    </w:p>
    <w:p w14:paraId="3BF8FAF2">
      <w:pPr>
        <w:widowControl/>
        <w:snapToGrid w:val="0"/>
        <w:spacing w:before="78" w:after="78" w:line="300" w:lineRule="auto"/>
        <w:rPr>
          <w:rFonts w:ascii="Arial" w:hAnsi="Arial" w:eastAsia="宋体" w:cs="Arial"/>
          <w:color w:val="000000"/>
          <w:kern w:val="0"/>
          <w:sz w:val="18"/>
          <w:szCs w:val="18"/>
        </w:rPr>
      </w:pPr>
    </w:p>
    <w:p w14:paraId="337A4F7E">
      <w:pPr>
        <w:widowControl/>
        <w:snapToGrid w:val="0"/>
        <w:spacing w:before="78" w:after="78" w:line="300" w:lineRule="auto"/>
        <w:rPr>
          <w:rFonts w:ascii="Arial" w:hAnsi="Arial" w:eastAsia="宋体" w:cs="Arial"/>
          <w:color w:val="000000"/>
          <w:kern w:val="0"/>
          <w:sz w:val="18"/>
          <w:szCs w:val="18"/>
        </w:rPr>
      </w:pPr>
      <w:r>
        <w:rPr>
          <w:rFonts w:ascii="Arial" w:hAnsi="Arial" w:eastAsia="宋体" w:cs="Arial"/>
          <w:color w:val="000000"/>
          <w:kern w:val="0"/>
          <w:sz w:val="18"/>
          <w:szCs w:val="18"/>
        </w:rPr>
        <w:t>我们建议贵公司在标签中提供对质量控制建议的说明。</w:t>
      </w:r>
    </w:p>
    <w:p w14:paraId="76486B50">
      <w:pPr>
        <w:widowControl/>
        <w:snapToGrid w:val="0"/>
        <w:spacing w:before="78" w:after="78" w:line="300" w:lineRule="auto"/>
        <w:rPr>
          <w:rFonts w:ascii="Arial" w:hAnsi="Arial" w:eastAsia="宋体" w:cs="Arial"/>
          <w:color w:val="000000"/>
          <w:kern w:val="0"/>
          <w:sz w:val="18"/>
          <w:szCs w:val="18"/>
        </w:rPr>
      </w:pPr>
    </w:p>
    <w:p w14:paraId="5349D466">
      <w:pPr>
        <w:widowControl/>
        <w:snapToGrid w:val="0"/>
        <w:spacing w:before="78" w:after="78" w:line="300" w:lineRule="auto"/>
        <w:rPr>
          <w:rFonts w:ascii="Arial" w:hAnsi="Arial" w:eastAsia="宋体" w:cs="Arial"/>
          <w:b/>
          <w:bCs/>
          <w:color w:val="000000"/>
          <w:kern w:val="0"/>
          <w:sz w:val="18"/>
        </w:rPr>
      </w:pPr>
      <w:r>
        <w:rPr>
          <w:rFonts w:ascii="Arial" w:hAnsi="Arial" w:eastAsia="宋体" w:cs="Arial"/>
          <w:b/>
          <w:bCs/>
          <w:color w:val="000000"/>
          <w:kern w:val="0"/>
          <w:sz w:val="18"/>
        </w:rPr>
        <w:t>解释注意事项</w:t>
      </w:r>
    </w:p>
    <w:p w14:paraId="3251037D">
      <w:pPr>
        <w:widowControl/>
        <w:snapToGrid w:val="0"/>
        <w:spacing w:before="78" w:after="78" w:line="300" w:lineRule="auto"/>
        <w:rPr>
          <w:rFonts w:ascii="Arial" w:hAnsi="Arial" w:eastAsia="宋体" w:cs="Arial"/>
          <w:color w:val="000000"/>
          <w:kern w:val="0"/>
          <w:sz w:val="18"/>
          <w:szCs w:val="18"/>
        </w:rPr>
      </w:pPr>
      <w:r>
        <w:rPr>
          <w:rFonts w:ascii="Arial" w:hAnsi="Arial" w:eastAsia="宋体" w:cs="Arial"/>
          <w:color w:val="000000"/>
          <w:kern w:val="0"/>
          <w:sz w:val="18"/>
          <w:szCs w:val="18"/>
        </w:rPr>
        <w:t>我们建议贵公司解决贵公司测定的限制并在标签中进行声明，例如：</w:t>
      </w:r>
    </w:p>
    <w:p w14:paraId="0DA7F962">
      <w:pPr>
        <w:widowControl/>
        <w:numPr>
          <w:ilvl w:val="0"/>
          <w:numId w:val="4"/>
        </w:numPr>
        <w:snapToGrid w:val="0"/>
        <w:spacing w:line="300" w:lineRule="auto"/>
        <w:ind w:left="671" w:leftChars="180" w:hanging="293" w:hangingChars="163"/>
        <w:rPr>
          <w:rFonts w:ascii="Arial" w:hAnsi="Arial" w:eastAsia="宋体" w:cs="Arial"/>
          <w:color w:val="000000"/>
          <w:kern w:val="0"/>
          <w:sz w:val="18"/>
          <w:szCs w:val="18"/>
        </w:rPr>
      </w:pPr>
      <w:r>
        <w:rPr>
          <w:rFonts w:ascii="Arial" w:hAnsi="Arial" w:eastAsia="宋体" w:cs="Arial"/>
          <w:color w:val="000000"/>
          <w:kern w:val="0"/>
          <w:sz w:val="18"/>
          <w:szCs w:val="18"/>
        </w:rPr>
        <w:t>血清学试验结果具有推定性，并需要通过进行蚀斑减少中和试验或使用当前的CDC指南来诊断这种疾病来进行确认。</w:t>
      </w:r>
    </w:p>
    <w:p w14:paraId="0F7B3DC3">
      <w:pPr>
        <w:widowControl/>
        <w:jc w:val="left"/>
        <w:rPr>
          <w:rFonts w:ascii="Arial" w:hAnsi="Arial" w:eastAsia="宋体" w:cs="Arial"/>
          <w:color w:val="000000"/>
          <w:kern w:val="0"/>
          <w:sz w:val="18"/>
          <w:szCs w:val="18"/>
        </w:rPr>
      </w:pPr>
      <w:r>
        <w:rPr>
          <w:rFonts w:ascii="Arial" w:hAnsi="Arial" w:eastAsia="宋体" w:cs="Arial"/>
          <w:color w:val="000000"/>
          <w:kern w:val="0"/>
          <w:sz w:val="18"/>
          <w:szCs w:val="18"/>
        </w:rPr>
        <w:br w:type="page"/>
      </w:r>
    </w:p>
    <w:p w14:paraId="059E807C">
      <w:pPr>
        <w:widowControl/>
        <w:numPr>
          <w:ilvl w:val="0"/>
          <w:numId w:val="4"/>
        </w:numPr>
        <w:snapToGrid w:val="0"/>
        <w:spacing w:line="300" w:lineRule="auto"/>
        <w:ind w:left="671" w:leftChars="180" w:hanging="293" w:hangingChars="163"/>
        <w:rPr>
          <w:rFonts w:ascii="Arial" w:hAnsi="Arial" w:eastAsia="宋体" w:cs="Arial"/>
          <w:color w:val="000000"/>
          <w:kern w:val="0"/>
          <w:sz w:val="18"/>
          <w:szCs w:val="18"/>
        </w:rPr>
      </w:pPr>
      <w:r>
        <w:rPr>
          <w:rFonts w:ascii="Arial" w:hAnsi="Arial" w:eastAsia="宋体" w:cs="Arial"/>
          <w:color w:val="000000"/>
          <w:kern w:val="0"/>
          <w:sz w:val="18"/>
          <w:szCs w:val="18"/>
        </w:rPr>
        <w:t>只能对具有脑膜炎/脑炎临床症状的患者进行试验。本试验不适用于筛选普通人群。阳性预测值取决于病毒存在的可能性。</w:t>
      </w:r>
    </w:p>
    <w:p w14:paraId="010C166E">
      <w:pPr>
        <w:widowControl/>
        <w:numPr>
          <w:ilvl w:val="0"/>
          <w:numId w:val="4"/>
        </w:numPr>
        <w:snapToGrid w:val="0"/>
        <w:spacing w:line="300" w:lineRule="auto"/>
        <w:ind w:left="671" w:leftChars="180" w:hanging="293" w:hangingChars="163"/>
        <w:rPr>
          <w:rFonts w:ascii="Arial" w:hAnsi="Arial" w:eastAsia="宋体" w:cs="Arial"/>
          <w:color w:val="000000"/>
          <w:kern w:val="0"/>
          <w:sz w:val="18"/>
          <w:szCs w:val="18"/>
        </w:rPr>
      </w:pPr>
      <w:r>
        <w:rPr>
          <w:rFonts w:ascii="Arial" w:hAnsi="Arial" w:eastAsia="宋体" w:cs="Arial"/>
          <w:color w:val="000000"/>
          <w:kern w:val="0"/>
          <w:sz w:val="18"/>
          <w:szCs w:val="18"/>
        </w:rPr>
        <w:t>必须仔细解释来自免疫受损患者的结果。</w:t>
      </w:r>
    </w:p>
    <w:p w14:paraId="3A0B4609">
      <w:pPr>
        <w:widowControl/>
        <w:numPr>
          <w:ilvl w:val="0"/>
          <w:numId w:val="4"/>
        </w:numPr>
        <w:snapToGrid w:val="0"/>
        <w:spacing w:line="300" w:lineRule="auto"/>
        <w:ind w:left="671" w:leftChars="180" w:hanging="293" w:hangingChars="163"/>
        <w:rPr>
          <w:rFonts w:ascii="Arial" w:hAnsi="Arial" w:eastAsia="宋体" w:cs="Arial"/>
          <w:color w:val="000000"/>
          <w:kern w:val="0"/>
          <w:sz w:val="18"/>
          <w:szCs w:val="18"/>
        </w:rPr>
      </w:pPr>
      <w:r>
        <w:rPr>
          <w:rFonts w:ascii="Arial" w:hAnsi="Arial" w:eastAsia="宋体" w:cs="Arial"/>
          <w:color w:val="000000"/>
          <w:kern w:val="0"/>
          <w:sz w:val="18"/>
          <w:szCs w:val="18"/>
        </w:rPr>
        <w:t>黄病毒组间通常会出现血清学交叉反应（即圣路易斯脑炎、登革热1、2、3和4；墨累谷脑炎、日本脑炎和黄热病毒之间）。</w:t>
      </w:r>
    </w:p>
    <w:p w14:paraId="75986F11">
      <w:pPr>
        <w:widowControl/>
        <w:numPr>
          <w:ilvl w:val="0"/>
          <w:numId w:val="4"/>
        </w:numPr>
        <w:snapToGrid w:val="0"/>
        <w:spacing w:line="300" w:lineRule="auto"/>
        <w:ind w:left="671" w:leftChars="180" w:hanging="293" w:hangingChars="163"/>
        <w:rPr>
          <w:rFonts w:ascii="Arial" w:hAnsi="Arial" w:eastAsia="宋体" w:cs="Arial"/>
          <w:color w:val="000000"/>
          <w:kern w:val="0"/>
          <w:sz w:val="18"/>
          <w:szCs w:val="18"/>
        </w:rPr>
      </w:pPr>
      <w:r>
        <w:rPr>
          <w:rFonts w:ascii="Arial" w:hAnsi="Arial" w:eastAsia="宋体" w:cs="Arial"/>
          <w:color w:val="000000"/>
          <w:kern w:val="0"/>
          <w:sz w:val="18"/>
          <w:szCs w:val="18"/>
        </w:rPr>
        <w:t>在60％以上的病例中，IgM抗体可能持续存在500天以上。应根据临床和其他实验室检查结果对阳性结果进行解释的，且其并不表示存在由有源西尼罗病毒引起的疾病。</w:t>
      </w:r>
    </w:p>
    <w:p w14:paraId="1DF04ACF">
      <w:pPr>
        <w:widowControl/>
        <w:numPr>
          <w:ilvl w:val="0"/>
          <w:numId w:val="4"/>
        </w:numPr>
        <w:snapToGrid w:val="0"/>
        <w:spacing w:line="300" w:lineRule="auto"/>
        <w:ind w:left="671" w:leftChars="180" w:hanging="293" w:hangingChars="163"/>
        <w:rPr>
          <w:rFonts w:ascii="Arial" w:hAnsi="Arial" w:eastAsia="宋体" w:cs="Arial"/>
          <w:color w:val="000000"/>
          <w:kern w:val="0"/>
          <w:sz w:val="18"/>
          <w:szCs w:val="18"/>
        </w:rPr>
      </w:pPr>
      <w:r>
        <w:rPr>
          <w:rFonts w:ascii="Arial" w:hAnsi="Arial" w:eastAsia="宋体" w:cs="Arial"/>
          <w:color w:val="000000"/>
          <w:kern w:val="0"/>
          <w:sz w:val="18"/>
          <w:szCs w:val="18"/>
        </w:rPr>
        <w:t>测定结果应仅根据其他实验室检查结果和患者的总体临床状况来进行解释。</w:t>
      </w:r>
    </w:p>
    <w:p w14:paraId="2672A3AB">
      <w:pPr>
        <w:widowControl/>
        <w:snapToGrid w:val="0"/>
        <w:spacing w:line="300" w:lineRule="auto"/>
        <w:rPr>
          <w:rFonts w:ascii="Arial" w:hAnsi="Arial" w:eastAsia="宋体" w:cs="Arial"/>
          <w:color w:val="000000"/>
          <w:kern w:val="0"/>
          <w:sz w:val="18"/>
          <w:szCs w:val="18"/>
        </w:rPr>
      </w:pPr>
    </w:p>
    <w:p w14:paraId="16FDA101">
      <w:pPr>
        <w:widowControl/>
        <w:snapToGrid w:val="0"/>
        <w:spacing w:before="360" w:after="360" w:line="300" w:lineRule="auto"/>
        <w:rPr>
          <w:rFonts w:ascii="Arial" w:hAnsi="Arial" w:eastAsia="宋体" w:cs="Arial"/>
          <w:kern w:val="0"/>
          <w:sz w:val="24"/>
          <w:szCs w:val="24"/>
        </w:rPr>
      </w:pPr>
      <w:r>
        <w:rPr>
          <w:rFonts w:ascii="Arial" w:hAnsi="Arial" w:eastAsia="宋体" w:cs="Arial"/>
          <w:kern w:val="0"/>
          <w:sz w:val="24"/>
          <w:szCs w:val="24"/>
        </w:rPr>
        <w:pict>
          <v:rect id="_x0000_i1025" o:spt="1" style="height:0.75pt;width:133.35pt;" fillcolor="#000000" filled="t" stroked="f" coordsize="21600,21600" o:hr="t" o:hrstd="t" o:hrnoshade="t" o:hrpct="330">
            <v:path/>
            <v:fill on="t" focussize="0,0"/>
            <v:stroke on="f"/>
            <v:imagedata o:title=""/>
            <o:lock v:ext="edit"/>
            <w10:wrap type="none"/>
            <w10:anchorlock/>
          </v:rect>
        </w:pict>
      </w:r>
    </w:p>
    <w:p w14:paraId="1B165A97">
      <w:pPr>
        <w:widowControl/>
        <w:snapToGrid w:val="0"/>
        <w:spacing w:before="90" w:after="90" w:line="300" w:lineRule="auto"/>
        <w:rPr>
          <w:rFonts w:ascii="Arial" w:hAnsi="Arial" w:eastAsia="宋体" w:cs="Arial"/>
          <w:color w:val="800080"/>
          <w:kern w:val="0"/>
          <w:sz w:val="18"/>
          <w:u w:val="single"/>
        </w:rPr>
      </w:pPr>
      <w:bookmarkStart w:id="15" w:name="_ftn1"/>
      <w:r>
        <w:rPr>
          <w:rFonts w:ascii="Arial" w:hAnsi="Arial" w:eastAsia="宋体" w:cs="Arial"/>
          <w:color w:val="000000"/>
          <w:kern w:val="0"/>
          <w:sz w:val="18"/>
          <w:szCs w:val="18"/>
        </w:rPr>
        <w:fldChar w:fldCharType="begin"/>
      </w:r>
      <w:r>
        <w:rPr>
          <w:rFonts w:ascii="Arial" w:hAnsi="Arial" w:eastAsia="宋体" w:cs="Arial"/>
          <w:color w:val="000000"/>
          <w:kern w:val="0"/>
          <w:sz w:val="18"/>
          <w:szCs w:val="18"/>
        </w:rPr>
        <w:instrText xml:space="preserve"> HYPERLINK "http://www.fda.gov/MedicalDevices/DeviceRegulationandGuidance/GuidanceDocuments/ucm072128.htm" \l "_ftnref1" \o "" </w:instrText>
      </w:r>
      <w:r>
        <w:rPr>
          <w:rFonts w:ascii="Arial" w:hAnsi="Arial" w:eastAsia="宋体" w:cs="Arial"/>
          <w:color w:val="000000"/>
          <w:kern w:val="0"/>
          <w:sz w:val="18"/>
          <w:szCs w:val="18"/>
        </w:rPr>
        <w:fldChar w:fldCharType="separate"/>
      </w:r>
      <w:r>
        <w:rPr>
          <w:rFonts w:ascii="Arial" w:hAnsi="Arial" w:eastAsia="宋体" w:cs="Arial"/>
          <w:color w:val="800080"/>
          <w:kern w:val="0"/>
          <w:sz w:val="18"/>
          <w:u w:val="single"/>
        </w:rPr>
        <w:t>[1]</w:t>
      </w:r>
      <w:r>
        <w:rPr>
          <w:rFonts w:ascii="Arial" w:hAnsi="Arial" w:eastAsia="宋体" w:cs="Arial"/>
          <w:color w:val="000000"/>
          <w:kern w:val="0"/>
          <w:sz w:val="18"/>
          <w:szCs w:val="18"/>
        </w:rPr>
        <w:fldChar w:fldCharType="end"/>
      </w:r>
      <w:bookmarkEnd w:id="15"/>
      <w:r>
        <w:rPr>
          <w:rFonts w:ascii="Arial" w:hAnsi="Arial" w:eastAsia="宋体" w:cs="Arial"/>
          <w:color w:val="800080"/>
          <w:kern w:val="0"/>
          <w:sz w:val="18"/>
          <w:u w:val="single"/>
        </w:rPr>
        <w:t> 新版510（k）范式</w:t>
      </w:r>
    </w:p>
    <w:p w14:paraId="439E0150">
      <w:pPr>
        <w:widowControl/>
        <w:snapToGrid w:val="0"/>
        <w:spacing w:before="90" w:after="90" w:line="300" w:lineRule="auto"/>
        <w:rPr>
          <w:rFonts w:ascii="Arial" w:hAnsi="Arial" w:eastAsia="宋体" w:cs="Arial"/>
          <w:color w:val="000000"/>
          <w:kern w:val="0"/>
          <w:sz w:val="18"/>
          <w:szCs w:val="18"/>
        </w:rPr>
      </w:pPr>
      <w:bookmarkStart w:id="16" w:name="_ftn2"/>
      <w:r>
        <w:rPr>
          <w:rFonts w:ascii="Arial" w:hAnsi="Arial" w:eastAsia="宋体" w:cs="Arial"/>
          <w:color w:val="000000"/>
          <w:kern w:val="0"/>
          <w:sz w:val="18"/>
          <w:szCs w:val="18"/>
        </w:rPr>
        <w:fldChar w:fldCharType="begin"/>
      </w:r>
      <w:r>
        <w:rPr>
          <w:rFonts w:ascii="Arial" w:hAnsi="Arial" w:eastAsia="宋体" w:cs="Arial"/>
          <w:color w:val="000000"/>
          <w:kern w:val="0"/>
          <w:sz w:val="18"/>
          <w:szCs w:val="18"/>
        </w:rPr>
        <w:instrText xml:space="preserve"> HYPERLINK "http://www.fda.gov/MedicalDevices/DeviceRegulationandGuidance/GuidanceDocuments/ucm072128.htm" \l "_ftnref2" \o "" </w:instrText>
      </w:r>
      <w:r>
        <w:rPr>
          <w:rFonts w:ascii="Arial" w:hAnsi="Arial" w:eastAsia="宋体" w:cs="Arial"/>
          <w:color w:val="000000"/>
          <w:kern w:val="0"/>
          <w:sz w:val="18"/>
          <w:szCs w:val="18"/>
        </w:rPr>
        <w:fldChar w:fldCharType="separate"/>
      </w:r>
      <w:r>
        <w:rPr>
          <w:rFonts w:ascii="Arial" w:hAnsi="Arial" w:eastAsia="宋体" w:cs="Arial"/>
          <w:color w:val="800080"/>
          <w:kern w:val="0"/>
          <w:sz w:val="18"/>
          <w:u w:val="single"/>
        </w:rPr>
        <w:t>[2]</w:t>
      </w:r>
      <w:r>
        <w:rPr>
          <w:rFonts w:ascii="Arial" w:hAnsi="Arial" w:eastAsia="宋体" w:cs="Arial"/>
          <w:color w:val="000000"/>
          <w:kern w:val="0"/>
          <w:sz w:val="18"/>
          <w:szCs w:val="18"/>
        </w:rPr>
        <w:fldChar w:fldCharType="end"/>
      </w:r>
      <w:bookmarkEnd w:id="16"/>
      <w:r>
        <w:rPr>
          <w:rFonts w:ascii="Arial" w:hAnsi="Arial" w:eastAsia="宋体" w:cs="Arial"/>
          <w:color w:val="000000"/>
          <w:kern w:val="0"/>
          <w:sz w:val="18"/>
          <w:szCs w:val="18"/>
        </w:rPr>
        <w:t> 有关推荐格式，请参考使用适应症表格（PDF文件大小：1.03MB）。</w:t>
      </w:r>
    </w:p>
    <w:p w14:paraId="19EB4F5F">
      <w:pPr>
        <w:widowControl/>
        <w:snapToGrid w:val="0"/>
        <w:spacing w:before="90" w:after="90" w:line="300" w:lineRule="auto"/>
        <w:rPr>
          <w:rFonts w:ascii="Arial" w:hAnsi="Arial" w:eastAsia="宋体" w:cs="Arial"/>
          <w:color w:val="000000"/>
          <w:kern w:val="0"/>
          <w:sz w:val="18"/>
          <w:szCs w:val="18"/>
        </w:rPr>
      </w:pPr>
      <w:bookmarkStart w:id="17" w:name="_ftn3"/>
      <w:r>
        <w:rPr>
          <w:rFonts w:ascii="Arial" w:hAnsi="Arial" w:eastAsia="宋体" w:cs="Arial"/>
          <w:color w:val="000000"/>
          <w:kern w:val="0"/>
          <w:sz w:val="18"/>
          <w:szCs w:val="18"/>
        </w:rPr>
        <w:fldChar w:fldCharType="begin"/>
      </w:r>
      <w:r>
        <w:rPr>
          <w:rFonts w:ascii="Arial" w:hAnsi="Arial" w:eastAsia="宋体" w:cs="Arial"/>
          <w:color w:val="000000"/>
          <w:kern w:val="0"/>
          <w:sz w:val="18"/>
          <w:szCs w:val="18"/>
        </w:rPr>
        <w:instrText xml:space="preserve"> HYPERLINK "http://www.fda.gov/MedicalDevices/DeviceRegulationandGuidance/GuidanceDocuments/ucm072128.htm" \l "_ftnref3" \o "" </w:instrText>
      </w:r>
      <w:r>
        <w:rPr>
          <w:rFonts w:ascii="Arial" w:hAnsi="Arial" w:eastAsia="宋体" w:cs="Arial"/>
          <w:color w:val="000000"/>
          <w:kern w:val="0"/>
          <w:sz w:val="18"/>
          <w:szCs w:val="18"/>
        </w:rPr>
        <w:fldChar w:fldCharType="separate"/>
      </w:r>
      <w:r>
        <w:rPr>
          <w:rFonts w:ascii="Arial" w:hAnsi="Arial" w:eastAsia="宋体" w:cs="Arial"/>
          <w:color w:val="800080"/>
          <w:kern w:val="0"/>
          <w:sz w:val="18"/>
          <w:u w:val="single"/>
        </w:rPr>
        <w:t>[3]</w:t>
      </w:r>
      <w:r>
        <w:rPr>
          <w:rFonts w:ascii="Arial" w:hAnsi="Arial" w:eastAsia="宋体" w:cs="Arial"/>
          <w:color w:val="000000"/>
          <w:kern w:val="0"/>
          <w:sz w:val="18"/>
          <w:szCs w:val="18"/>
        </w:rPr>
        <w:fldChar w:fldCharType="end"/>
      </w:r>
      <w:bookmarkEnd w:id="17"/>
      <w:r>
        <w:rPr>
          <w:rFonts w:ascii="Arial" w:hAnsi="Arial" w:eastAsia="宋体" w:cs="Arial"/>
          <w:color w:val="000000"/>
          <w:kern w:val="0"/>
          <w:sz w:val="18"/>
          <w:szCs w:val="18"/>
        </w:rPr>
        <w:t> 如果FDA根据验收标准进行了实质等同性测定，则在引入州际贸易之前，应对主题器械进行测试且其应显示其已符合这些验收标准。如果成品器械不符合验收标准，并因此与已许可的510（k）中所述的器械不同，FDA建议申报人应使用与用于评估对合法销售器械的修改相同的标准（21 CFR 807.81（a） （3））来确定成品器械是否需要获得新的510（k）许可。</w:t>
      </w:r>
    </w:p>
    <w:p w14:paraId="7350BAF6">
      <w:pPr>
        <w:widowControl/>
        <w:snapToGrid w:val="0"/>
        <w:spacing w:before="90" w:after="90" w:line="300" w:lineRule="auto"/>
        <w:rPr>
          <w:rFonts w:ascii="Arial" w:hAnsi="Arial" w:eastAsia="宋体" w:cs="Arial"/>
          <w:color w:val="000000"/>
          <w:kern w:val="0"/>
          <w:sz w:val="18"/>
          <w:szCs w:val="18"/>
        </w:rPr>
      </w:pPr>
      <w:bookmarkStart w:id="18" w:name="_ftn4"/>
      <w:r>
        <w:rPr>
          <w:rFonts w:ascii="Arial" w:hAnsi="Arial" w:eastAsia="宋体" w:cs="Arial"/>
          <w:color w:val="000000"/>
          <w:kern w:val="0"/>
          <w:sz w:val="18"/>
          <w:szCs w:val="18"/>
        </w:rPr>
        <w:fldChar w:fldCharType="begin"/>
      </w:r>
      <w:r>
        <w:rPr>
          <w:rFonts w:ascii="Arial" w:hAnsi="Arial" w:eastAsia="宋体" w:cs="Arial"/>
          <w:color w:val="000000"/>
          <w:kern w:val="0"/>
          <w:sz w:val="18"/>
          <w:szCs w:val="18"/>
        </w:rPr>
        <w:instrText xml:space="preserve"> HYPERLINK "http://www.fda.gov/MedicalDevices/DeviceRegulationandGuidance/GuidanceDocuments/ucm072128.htm" \l "_ftnref4" \o "" </w:instrText>
      </w:r>
      <w:r>
        <w:rPr>
          <w:rFonts w:ascii="Arial" w:hAnsi="Arial" w:eastAsia="宋体" w:cs="Arial"/>
          <w:color w:val="000000"/>
          <w:kern w:val="0"/>
          <w:sz w:val="18"/>
          <w:szCs w:val="18"/>
        </w:rPr>
        <w:fldChar w:fldCharType="separate"/>
      </w:r>
      <w:r>
        <w:rPr>
          <w:rFonts w:ascii="Arial" w:hAnsi="Arial" w:eastAsia="宋体" w:cs="Arial"/>
          <w:color w:val="800080"/>
          <w:kern w:val="0"/>
          <w:sz w:val="18"/>
          <w:u w:val="single"/>
        </w:rPr>
        <w:t>[4]</w:t>
      </w:r>
      <w:r>
        <w:rPr>
          <w:rFonts w:ascii="Arial" w:hAnsi="Arial" w:eastAsia="宋体" w:cs="Arial"/>
          <w:color w:val="000000"/>
          <w:kern w:val="0"/>
          <w:sz w:val="18"/>
          <w:szCs w:val="18"/>
        </w:rPr>
        <w:fldChar w:fldCharType="end"/>
      </w:r>
      <w:bookmarkEnd w:id="18"/>
      <w:r>
        <w:rPr>
          <w:rFonts w:ascii="Arial" w:hAnsi="Arial" w:eastAsia="宋体" w:cs="Arial"/>
          <w:color w:val="000000"/>
          <w:kern w:val="0"/>
          <w:sz w:val="18"/>
          <w:szCs w:val="18"/>
        </w:rPr>
        <w:t> 请参见</w:t>
      </w:r>
      <w:r>
        <w:rPr>
          <w:rFonts w:ascii="Arial" w:hAnsi="Arial" w:eastAsia="宋体" w:cs="Arial"/>
          <w:color w:val="800080"/>
          <w:kern w:val="0"/>
          <w:sz w:val="18"/>
          <w:u w:val="single"/>
        </w:rPr>
        <w:t>符合公认标准声明的所需成分（所有上市前通告[510（K）]提交资料的筛选清单）。</w:t>
      </w:r>
    </w:p>
    <w:p w14:paraId="6807133E">
      <w:pPr>
        <w:widowControl/>
        <w:snapToGrid w:val="0"/>
        <w:spacing w:before="90" w:after="90" w:line="300" w:lineRule="auto"/>
        <w:rPr>
          <w:rFonts w:ascii="Arial" w:hAnsi="Arial" w:eastAsia="宋体" w:cs="Arial"/>
          <w:color w:val="000000"/>
          <w:kern w:val="0"/>
          <w:sz w:val="18"/>
          <w:szCs w:val="18"/>
        </w:rPr>
      </w:pPr>
      <w:bookmarkStart w:id="19" w:name="_ftn5"/>
      <w:r>
        <w:rPr>
          <w:rFonts w:ascii="Arial" w:hAnsi="Arial" w:eastAsia="宋体" w:cs="Arial"/>
          <w:color w:val="000000"/>
          <w:kern w:val="0"/>
          <w:sz w:val="18"/>
          <w:szCs w:val="18"/>
        </w:rPr>
        <w:fldChar w:fldCharType="begin"/>
      </w:r>
      <w:r>
        <w:rPr>
          <w:rFonts w:ascii="Arial" w:hAnsi="Arial" w:eastAsia="宋体" w:cs="Arial"/>
          <w:color w:val="000000"/>
          <w:kern w:val="0"/>
          <w:sz w:val="18"/>
          <w:szCs w:val="18"/>
        </w:rPr>
        <w:instrText xml:space="preserve"> HYPERLINK "http://www.fda.gov/MedicalDevices/DeviceRegulationandGuidance/GuidanceDocuments/ucm072128.htm" \l "_ftnref5" \o "" </w:instrText>
      </w:r>
      <w:r>
        <w:rPr>
          <w:rFonts w:ascii="Arial" w:hAnsi="Arial" w:eastAsia="宋体" w:cs="Arial"/>
          <w:color w:val="000000"/>
          <w:kern w:val="0"/>
          <w:sz w:val="18"/>
          <w:szCs w:val="18"/>
        </w:rPr>
        <w:fldChar w:fldCharType="separate"/>
      </w:r>
      <w:r>
        <w:rPr>
          <w:rFonts w:ascii="Arial" w:hAnsi="Arial" w:eastAsia="宋体" w:cs="Arial"/>
          <w:color w:val="800080"/>
          <w:kern w:val="0"/>
          <w:sz w:val="18"/>
          <w:u w:val="single"/>
        </w:rPr>
        <w:t>[5]</w:t>
      </w:r>
      <w:r>
        <w:rPr>
          <w:rFonts w:ascii="Arial" w:hAnsi="Arial" w:eastAsia="宋体" w:cs="Arial"/>
          <w:color w:val="000000"/>
          <w:kern w:val="0"/>
          <w:sz w:val="18"/>
          <w:szCs w:val="18"/>
        </w:rPr>
        <w:fldChar w:fldCharType="end"/>
      </w:r>
      <w:bookmarkEnd w:id="19"/>
      <w:r>
        <w:rPr>
          <w:rFonts w:ascii="Arial" w:hAnsi="Arial" w:eastAsia="宋体" w:cs="Arial"/>
          <w:color w:val="000000"/>
          <w:kern w:val="0"/>
          <w:sz w:val="18"/>
          <w:szCs w:val="18"/>
        </w:rPr>
        <w:t> 尽管510（k）许可不要求提供最终标签，但在将体外诊断器械引入州际贸易之前，最终标签必须符合21 CFR 801或21 CFR 809.10的要求。</w:t>
      </w:r>
    </w:p>
    <w:p w14:paraId="727A13FA">
      <w:pPr>
        <w:widowControl/>
        <w:snapToGrid w:val="0"/>
        <w:spacing w:before="90" w:after="90" w:line="300" w:lineRule="auto"/>
        <w:rPr>
          <w:rFonts w:ascii="Arial" w:hAnsi="Arial" w:eastAsia="宋体" w:cs="Arial"/>
          <w:color w:val="000000"/>
          <w:kern w:val="0"/>
          <w:sz w:val="18"/>
          <w:szCs w:val="18"/>
        </w:rPr>
      </w:pPr>
    </w:p>
    <w:p w14:paraId="505D5195">
      <w:pPr>
        <w:snapToGrid w:val="0"/>
        <w:spacing w:line="300" w:lineRule="auto"/>
        <w:rPr>
          <w:rFonts w:ascii="Arial" w:hAnsi="Arial" w:eastAsia="宋体" w:cs="Arial"/>
        </w:rPr>
      </w:pPr>
    </w:p>
    <w:p w14:paraId="58E14D44">
      <w:pPr>
        <w:widowControl/>
        <w:snapToGrid w:val="0"/>
        <w:spacing w:line="300" w:lineRule="auto"/>
        <w:rPr>
          <w:ins w:id="0" w:author="太极箫客" w:date="2025-08-14T14:18:01Z"/>
          <w:rFonts w:hint="eastAsia" w:eastAsia="宋体"/>
          <w:lang w:eastAsia="zh-CN"/>
        </w:rPr>
      </w:pPr>
    </w:p>
    <w:p w14:paraId="06460226">
      <w:pPr>
        <w:widowControl/>
        <w:snapToGrid w:val="0"/>
        <w:spacing w:line="300" w:lineRule="auto"/>
        <w:jc w:val="center"/>
        <w:rPr>
          <w:ins w:id="2" w:author="太极箫客" w:date="2025-08-14T14:18:01Z"/>
          <w:rFonts w:hint="eastAsia" w:eastAsia="宋体"/>
          <w:lang w:eastAsia="zh-CN"/>
        </w:rPr>
        <w:pPrChange w:id="1" w:author="太极箫客" w:date="2025-08-14T14:18:01Z">
          <w:pPr>
            <w:widowControl/>
            <w:snapToGrid w:val="0"/>
            <w:spacing w:line="300" w:lineRule="auto"/>
          </w:pPr>
        </w:pPrChange>
      </w:pPr>
    </w:p>
    <w:p w14:paraId="14A2054D">
      <w:pPr>
        <w:widowControl/>
        <w:snapToGrid w:val="0"/>
        <w:spacing w:line="300" w:lineRule="auto"/>
        <w:jc w:val="center"/>
        <w:rPr>
          <w:ins w:id="4" w:author="太极箫客" w:date="2025-08-14T14:18:01Z"/>
          <w:rFonts w:hint="eastAsia" w:eastAsia="宋体"/>
          <w:lang w:eastAsia="zh-CN"/>
        </w:rPr>
        <w:pPrChange w:id="3" w:author="太极箫客" w:date="2025-08-14T14:18:01Z">
          <w:pPr>
            <w:widowControl/>
            <w:snapToGrid w:val="0"/>
            <w:spacing w:line="300" w:lineRule="auto"/>
          </w:pPr>
        </w:pPrChange>
      </w:pPr>
      <w:ins w:id="5" w:author="太极箫客" w:date="2025-08-14T14:18:01Z">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5"/>
                      <a:stretch>
                        <a:fillRect/>
                      </a:stretch>
                    </pic:blipFill>
                    <pic:spPr>
                      <a:xfrm>
                        <a:off x="0" y="0"/>
                        <a:ext cx="5210175" cy="7343775"/>
                      </a:xfrm>
                      <a:prstGeom prst="rect">
                        <a:avLst/>
                      </a:prstGeom>
                    </pic:spPr>
                  </pic:pic>
                </a:graphicData>
              </a:graphic>
            </wp:inline>
          </w:drawing>
        </w:r>
      </w:ins>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0B1EF7"/>
    <w:multiLevelType w:val="multilevel"/>
    <w:tmpl w:val="050B1EF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0C7C1BB7"/>
    <w:multiLevelType w:val="multilevel"/>
    <w:tmpl w:val="0C7C1BB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4E0A1E3D"/>
    <w:multiLevelType w:val="multilevel"/>
    <w:tmpl w:val="4E0A1E3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71094982"/>
    <w:multiLevelType w:val="multilevel"/>
    <w:tmpl w:val="7109498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F14"/>
    <w:rsid w:val="000041A1"/>
    <w:rsid w:val="00027F14"/>
    <w:rsid w:val="000555D2"/>
    <w:rsid w:val="00061A91"/>
    <w:rsid w:val="0009693C"/>
    <w:rsid w:val="00120673"/>
    <w:rsid w:val="00137B0E"/>
    <w:rsid w:val="001459B2"/>
    <w:rsid w:val="001A265B"/>
    <w:rsid w:val="001E4326"/>
    <w:rsid w:val="00252EDE"/>
    <w:rsid w:val="002E4129"/>
    <w:rsid w:val="00316CB0"/>
    <w:rsid w:val="00354508"/>
    <w:rsid w:val="00367701"/>
    <w:rsid w:val="00374F55"/>
    <w:rsid w:val="00393173"/>
    <w:rsid w:val="003C310D"/>
    <w:rsid w:val="003F6F3B"/>
    <w:rsid w:val="00416A28"/>
    <w:rsid w:val="00420169"/>
    <w:rsid w:val="00493D75"/>
    <w:rsid w:val="004A2FFD"/>
    <w:rsid w:val="00560278"/>
    <w:rsid w:val="00583A96"/>
    <w:rsid w:val="00584163"/>
    <w:rsid w:val="005A227C"/>
    <w:rsid w:val="005B5545"/>
    <w:rsid w:val="005C282C"/>
    <w:rsid w:val="00615827"/>
    <w:rsid w:val="006863AC"/>
    <w:rsid w:val="006A5930"/>
    <w:rsid w:val="006B2E69"/>
    <w:rsid w:val="006C46D4"/>
    <w:rsid w:val="006F1020"/>
    <w:rsid w:val="006F5B05"/>
    <w:rsid w:val="00742797"/>
    <w:rsid w:val="007A344B"/>
    <w:rsid w:val="007D7F9F"/>
    <w:rsid w:val="00840525"/>
    <w:rsid w:val="00854A8F"/>
    <w:rsid w:val="00882F19"/>
    <w:rsid w:val="008A01B7"/>
    <w:rsid w:val="008D3B24"/>
    <w:rsid w:val="008E41C6"/>
    <w:rsid w:val="00955439"/>
    <w:rsid w:val="00995212"/>
    <w:rsid w:val="009A0461"/>
    <w:rsid w:val="009D743F"/>
    <w:rsid w:val="009F05F2"/>
    <w:rsid w:val="00A007BF"/>
    <w:rsid w:val="00A23E5F"/>
    <w:rsid w:val="00A77BD9"/>
    <w:rsid w:val="00AE43AF"/>
    <w:rsid w:val="00B26820"/>
    <w:rsid w:val="00B43C7B"/>
    <w:rsid w:val="00BB7F58"/>
    <w:rsid w:val="00C462E4"/>
    <w:rsid w:val="00C53C00"/>
    <w:rsid w:val="00C97055"/>
    <w:rsid w:val="00CA4420"/>
    <w:rsid w:val="00CE055F"/>
    <w:rsid w:val="00CE4A17"/>
    <w:rsid w:val="00CF2CE7"/>
    <w:rsid w:val="00CF7351"/>
    <w:rsid w:val="00D07937"/>
    <w:rsid w:val="00D170D9"/>
    <w:rsid w:val="00D2733D"/>
    <w:rsid w:val="00D3018B"/>
    <w:rsid w:val="00D41981"/>
    <w:rsid w:val="00D565D3"/>
    <w:rsid w:val="00D61A5C"/>
    <w:rsid w:val="00D86C66"/>
    <w:rsid w:val="00D91F8D"/>
    <w:rsid w:val="00D973A0"/>
    <w:rsid w:val="00E439D9"/>
    <w:rsid w:val="00E77218"/>
    <w:rsid w:val="00ED3440"/>
    <w:rsid w:val="00EF1EAF"/>
    <w:rsid w:val="00F91EC6"/>
    <w:rsid w:val="00F96014"/>
    <w:rsid w:val="00FA772E"/>
    <w:rsid w:val="00FB25C8"/>
    <w:rsid w:val="00FB6470"/>
    <w:rsid w:val="00FC5359"/>
    <w:rsid w:val="00FE0D51"/>
    <w:rsid w:val="00FF4CAA"/>
    <w:rsid w:val="3F1F7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link w:val="1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4"/>
    <w:basedOn w:val="1"/>
    <w:link w:val="20"/>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paragraph" w:styleId="5">
    <w:name w:val="heading 5"/>
    <w:basedOn w:val="1"/>
    <w:link w:val="21"/>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3"/>
    <w:semiHidden/>
    <w:unhideWhenUsed/>
    <w:uiPriority w:val="99"/>
    <w:rPr>
      <w:sz w:val="18"/>
      <w:szCs w:val="18"/>
    </w:rPr>
  </w:style>
  <w:style w:type="paragraph" w:styleId="7">
    <w:name w:val="footer"/>
    <w:basedOn w:val="1"/>
    <w:link w:val="17"/>
    <w:unhideWhenUsed/>
    <w:uiPriority w:val="99"/>
    <w:pPr>
      <w:tabs>
        <w:tab w:val="center" w:pos="4153"/>
        <w:tab w:val="right" w:pos="8306"/>
      </w:tabs>
      <w:snapToGrid w:val="0"/>
      <w:jc w:val="left"/>
    </w:pPr>
    <w:rPr>
      <w:sz w:val="18"/>
      <w:szCs w:val="18"/>
    </w:rPr>
  </w:style>
  <w:style w:type="paragraph" w:styleId="8">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unhideWhenUsed/>
    <w:uiPriority w:val="39"/>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Strong"/>
    <w:basedOn w:val="12"/>
    <w:qFormat/>
    <w:uiPriority w:val="22"/>
    <w:rPr>
      <w:b/>
      <w:bCs/>
    </w:rPr>
  </w:style>
  <w:style w:type="character" w:styleId="14">
    <w:name w:val="Emphasis"/>
    <w:basedOn w:val="12"/>
    <w:qFormat/>
    <w:uiPriority w:val="20"/>
    <w:rPr>
      <w:i/>
      <w:iCs/>
    </w:rPr>
  </w:style>
  <w:style w:type="character" w:styleId="15">
    <w:name w:val="Hyperlink"/>
    <w:basedOn w:val="12"/>
    <w:unhideWhenUsed/>
    <w:uiPriority w:val="99"/>
    <w:rPr>
      <w:color w:val="0000FF"/>
      <w:u w:val="single"/>
    </w:rPr>
  </w:style>
  <w:style w:type="character" w:customStyle="1" w:styleId="16">
    <w:name w:val="页眉 Char"/>
    <w:basedOn w:val="12"/>
    <w:link w:val="8"/>
    <w:uiPriority w:val="99"/>
    <w:rPr>
      <w:sz w:val="18"/>
      <w:szCs w:val="18"/>
    </w:rPr>
  </w:style>
  <w:style w:type="character" w:customStyle="1" w:styleId="17">
    <w:name w:val="页脚 Char"/>
    <w:basedOn w:val="12"/>
    <w:link w:val="7"/>
    <w:uiPriority w:val="99"/>
    <w:rPr>
      <w:sz w:val="18"/>
      <w:szCs w:val="18"/>
    </w:rPr>
  </w:style>
  <w:style w:type="character" w:customStyle="1" w:styleId="18">
    <w:name w:val="标题 1 Char"/>
    <w:basedOn w:val="12"/>
    <w:link w:val="2"/>
    <w:uiPriority w:val="9"/>
    <w:rPr>
      <w:rFonts w:ascii="宋体" w:hAnsi="宋体" w:eastAsia="宋体" w:cs="宋体"/>
      <w:b/>
      <w:bCs/>
      <w:kern w:val="36"/>
      <w:sz w:val="48"/>
      <w:szCs w:val="48"/>
    </w:rPr>
  </w:style>
  <w:style w:type="character" w:customStyle="1" w:styleId="19">
    <w:name w:val="标题 2 Char"/>
    <w:basedOn w:val="12"/>
    <w:link w:val="3"/>
    <w:uiPriority w:val="9"/>
    <w:rPr>
      <w:rFonts w:ascii="宋体" w:hAnsi="宋体" w:eastAsia="宋体" w:cs="宋体"/>
      <w:b/>
      <w:bCs/>
      <w:kern w:val="0"/>
      <w:sz w:val="36"/>
      <w:szCs w:val="36"/>
    </w:rPr>
  </w:style>
  <w:style w:type="character" w:customStyle="1" w:styleId="20">
    <w:name w:val="标题 4 Char"/>
    <w:basedOn w:val="12"/>
    <w:link w:val="4"/>
    <w:qFormat/>
    <w:uiPriority w:val="9"/>
    <w:rPr>
      <w:rFonts w:ascii="宋体" w:hAnsi="宋体" w:eastAsia="宋体" w:cs="宋体"/>
      <w:b/>
      <w:bCs/>
      <w:kern w:val="0"/>
      <w:sz w:val="24"/>
      <w:szCs w:val="24"/>
    </w:rPr>
  </w:style>
  <w:style w:type="character" w:customStyle="1" w:styleId="21">
    <w:name w:val="标题 5 Char"/>
    <w:basedOn w:val="12"/>
    <w:link w:val="5"/>
    <w:uiPriority w:val="9"/>
    <w:rPr>
      <w:rFonts w:ascii="宋体" w:hAnsi="宋体" w:eastAsia="宋体" w:cs="宋体"/>
      <w:b/>
      <w:bCs/>
      <w:kern w:val="0"/>
      <w:sz w:val="20"/>
      <w:szCs w:val="20"/>
    </w:rPr>
  </w:style>
  <w:style w:type="character" w:customStyle="1" w:styleId="22">
    <w:name w:val="apple-converted-space"/>
    <w:basedOn w:val="12"/>
    <w:uiPriority w:val="0"/>
  </w:style>
  <w:style w:type="character" w:customStyle="1" w:styleId="23">
    <w:name w:val="批注框文本 Char"/>
    <w:basedOn w:val="12"/>
    <w:link w:val="6"/>
    <w:semiHidden/>
    <w:qFormat/>
    <w:uiPriority w:val="99"/>
    <w:rPr>
      <w:sz w:val="18"/>
      <w:szCs w:val="18"/>
    </w:rPr>
  </w:style>
  <w:style w:type="paragraph" w:styleId="24">
    <w:name w:val="List Paragraph"/>
    <w:basedOn w:val="1"/>
    <w:qFormat/>
    <w:uiPriority w:val="34"/>
    <w:pPr>
      <w:ind w:firstLine="420" w:firstLineChars="200"/>
    </w:pPr>
  </w:style>
  <w:style w:type="paragraph" w:customStyle="1" w:styleId="25">
    <w:name w:val="TOC Heading"/>
    <w:basedOn w:val="2"/>
    <w:next w:val="1"/>
    <w:unhideWhenUsed/>
    <w:qFormat/>
    <w:uiPriority w:val="39"/>
    <w:pPr>
      <w:keepNext/>
      <w:keepLines/>
      <w:spacing w:before="240" w:beforeAutospacing="0" w:after="0" w:afterAutospacing="0" w:line="259" w:lineRule="auto"/>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F3470-1EAA-4EB3-AC00-7FD4BF76F2F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6652</Words>
  <Characters>7183</Characters>
  <Lines>60</Lines>
  <Paragraphs>17</Paragraphs>
  <TotalTime>0</TotalTime>
  <ScaleCrop>false</ScaleCrop>
  <LinksUpToDate>false</LinksUpToDate>
  <CharactersWithSpaces>7273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2017-04-09T08:21:00Z</dcterms:created>
  <dc:creator>pc</dc:creator>
  <cp:lastModifiedBy>太极箫客</cp:lastModifiedBy>
  <dcterms:modified xsi:type="dcterms:W3CDTF">2025-08-14T06:18:01Z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6DB2570D2F9B4E0D9E2D197ADEF4DCE2_12</vt:lpwstr>
  </property>
</Properties>
</file>