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5E22E">
      <w:pPr>
        <w:snapToGrid w:val="0"/>
        <w:spacing w:line="300" w:lineRule="auto"/>
        <w:jc w:val="left"/>
        <w:rPr>
          <w:rFonts w:ascii="Arial" w:hAnsi="Arial" w:eastAsia="宋体" w:cs="Arial"/>
          <w:b/>
          <w:sz w:val="36"/>
          <w:szCs w:val="36"/>
        </w:rPr>
      </w:pPr>
      <w:bookmarkStart w:id="38" w:name="_GoBack"/>
      <w:bookmarkEnd w:id="38"/>
      <w:bookmarkStart w:id="0" w:name="OLE_LINK32"/>
      <w:bookmarkStart w:id="1" w:name="OLE_LINK31"/>
      <w:r>
        <w:rPr>
          <w:rFonts w:ascii="Arial" w:hAnsi="Arial" w:eastAsia="宋体" w:cs="Arial"/>
          <w:b/>
          <w:sz w:val="36"/>
          <w:szCs w:val="36"/>
        </w:rPr>
        <w:t>行业和食品药品监督管理局工作人员指南</w:t>
      </w:r>
    </w:p>
    <w:p w14:paraId="7895E457">
      <w:pPr>
        <w:snapToGrid w:val="0"/>
        <w:spacing w:line="300" w:lineRule="auto"/>
        <w:jc w:val="left"/>
        <w:rPr>
          <w:rFonts w:ascii="Arial" w:hAnsi="Arial" w:eastAsia="宋体" w:cs="Arial"/>
          <w:b/>
          <w:sz w:val="36"/>
          <w:szCs w:val="36"/>
        </w:rPr>
      </w:pPr>
      <w:r>
        <w:rPr>
          <w:rFonts w:ascii="Arial" w:hAnsi="Arial" w:eastAsia="宋体" w:cs="Arial"/>
          <w:b/>
          <w:sz w:val="36"/>
          <w:szCs w:val="36"/>
        </w:rPr>
        <w:t>－II类特殊控制</w:t>
      </w:r>
      <w:r>
        <w:rPr>
          <w:rFonts w:hint="eastAsia" w:ascii="Arial" w:hAnsi="Arial" w:eastAsia="宋体" w:cs="Arial"/>
          <w:b/>
          <w:sz w:val="36"/>
          <w:szCs w:val="36"/>
        </w:rPr>
        <w:t>指导性文件</w:t>
      </w:r>
      <w:r>
        <w:rPr>
          <w:rFonts w:ascii="Arial" w:hAnsi="Arial" w:eastAsia="宋体" w:cs="Arial"/>
          <w:b/>
          <w:sz w:val="36"/>
          <w:szCs w:val="36"/>
        </w:rPr>
        <w:t>：囊性纤维化核酸检测质控材料</w:t>
      </w:r>
    </w:p>
    <w:bookmarkEnd w:id="0"/>
    <w:bookmarkEnd w:id="1"/>
    <w:p w14:paraId="49A88391">
      <w:pPr>
        <w:snapToGrid w:val="0"/>
        <w:spacing w:line="300" w:lineRule="auto"/>
        <w:rPr>
          <w:rFonts w:ascii="Arial" w:hAnsi="Arial" w:eastAsia="宋体" w:cs="Arial"/>
        </w:rPr>
      </w:pPr>
    </w:p>
    <w:p w14:paraId="21713CBB">
      <w:pPr>
        <w:snapToGrid w:val="0"/>
        <w:spacing w:line="300" w:lineRule="auto"/>
        <w:rPr>
          <w:rFonts w:ascii="Arial" w:hAnsi="Arial" w:eastAsia="宋体" w:cs="Arial"/>
          <w:b/>
        </w:rPr>
      </w:pPr>
      <w:r>
        <w:rPr>
          <w:rFonts w:ascii="Arial" w:hAnsi="Arial" w:eastAsia="宋体" w:cs="Arial"/>
          <w:b/>
        </w:rPr>
        <w:t>发布日期：2007年1月10日</w:t>
      </w:r>
    </w:p>
    <w:p w14:paraId="68302F61">
      <w:pPr>
        <w:snapToGrid w:val="0"/>
        <w:spacing w:line="300" w:lineRule="auto"/>
        <w:rPr>
          <w:rFonts w:ascii="Arial" w:hAnsi="Arial" w:eastAsia="宋体" w:cs="Arial"/>
        </w:rPr>
      </w:pPr>
    </w:p>
    <w:p w14:paraId="3E07A257">
      <w:pPr>
        <w:snapToGrid w:val="0"/>
        <w:spacing w:line="300" w:lineRule="auto"/>
        <w:rPr>
          <w:rFonts w:ascii="Arial" w:hAnsi="Arial" w:eastAsia="宋体" w:cs="Arial"/>
        </w:rPr>
      </w:pPr>
      <w:bookmarkStart w:id="2" w:name="OLE_LINK27"/>
      <w:bookmarkStart w:id="3" w:name="OLE_LINK28"/>
      <w:r>
        <w:rPr>
          <w:rFonts w:ascii="Arial" w:hAnsi="Arial" w:eastAsia="宋体" w:cs="Arial"/>
        </w:rPr>
        <w:t>若对本文件有疑问，请与Nina Hunter联系。联系电话：301-796-6171，电子信箱：</w:t>
      </w:r>
      <w:r>
        <w:fldChar w:fldCharType="begin"/>
      </w:r>
      <w:r>
        <w:instrText xml:space="preserve"> HYPERLINK "mailto:nina.hunter@fda.hhs.gov" </w:instrText>
      </w:r>
      <w:r>
        <w:fldChar w:fldCharType="separate"/>
      </w:r>
      <w:r>
        <w:rPr>
          <w:rStyle w:val="8"/>
          <w:rFonts w:ascii="Arial" w:hAnsi="Arial" w:eastAsia="宋体" w:cs="Arial"/>
          <w:color w:val="800080"/>
        </w:rPr>
        <w:t>nina.hunter@fda.hhs.gov</w:t>
      </w:r>
      <w:r>
        <w:rPr>
          <w:rStyle w:val="8"/>
          <w:rFonts w:ascii="Arial" w:hAnsi="Arial" w:eastAsia="宋体" w:cs="Arial"/>
          <w:color w:val="800080"/>
        </w:rPr>
        <w:fldChar w:fldCharType="end"/>
      </w:r>
      <w:r>
        <w:rPr>
          <w:rFonts w:ascii="Arial" w:hAnsi="Arial" w:eastAsia="宋体" w:cs="Arial"/>
        </w:rPr>
        <w:t>。</w:t>
      </w:r>
    </w:p>
    <w:bookmarkEnd w:id="2"/>
    <w:bookmarkEnd w:id="3"/>
    <w:p w14:paraId="04EA79E5">
      <w:pPr>
        <w:snapToGrid w:val="0"/>
        <w:spacing w:line="300" w:lineRule="auto"/>
        <w:rPr>
          <w:rFonts w:ascii="Arial" w:hAnsi="Arial" w:eastAsia="宋体" w:cs="Arial"/>
        </w:rPr>
      </w:pPr>
    </w:p>
    <w:p w14:paraId="5FD56F60">
      <w:pPr>
        <w:snapToGrid w:val="0"/>
        <w:spacing w:line="300" w:lineRule="auto"/>
        <w:ind w:firstLine="2055" w:firstLineChars="975"/>
        <w:rPr>
          <w:rFonts w:ascii="Arial" w:hAnsi="Arial" w:eastAsia="宋体" w:cs="Arial"/>
          <w:b/>
        </w:rPr>
      </w:pPr>
      <w:r>
        <w:rPr>
          <w:rFonts w:ascii="Arial" w:hAnsi="Arial" w:eastAsia="宋体" w:cs="Arial"/>
          <w:b/>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27305</wp:posOffset>
                </wp:positionV>
                <wp:extent cx="1151255" cy="1232535"/>
                <wp:effectExtent l="0" t="0" r="0" b="5715"/>
                <wp:wrapNone/>
                <wp:docPr id="2" name="文本框 2"/>
                <wp:cNvGraphicFramePr/>
                <a:graphic xmlns:a="http://schemas.openxmlformats.org/drawingml/2006/main">
                  <a:graphicData uri="http://schemas.microsoft.com/office/word/2010/wordprocessingShape">
                    <wps:wsp>
                      <wps:cNvSpPr txBox="1"/>
                      <wps:spPr>
                        <a:xfrm>
                          <a:off x="0" y="0"/>
                          <a:ext cx="1151165" cy="1232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73CE8">
                            <w:r>
                              <w:rPr>
                                <w:rFonts w:ascii="Arial" w:hAnsi="Arial" w:eastAsia="宋体" w:cs="Arial"/>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pt;margin-top:2.15pt;height:97.05pt;width:90.65pt;z-index:251659264;mso-width-relative:page;mso-height-relative:page;" filled="f" stroked="f" coordsize="21600,21600" o:gfxdata="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NLjX2AAAAAcBAAAPAAAAAAAAAAEAIAAAACIA&#10;AABkcnMvZG93bnJldi54bWxQSwECFAAUAAAACACHTuJAI03Vd0ICAAB1BAAADgAAAAAAAAABACAA&#10;AAAnAQAAZHJzL2Uyb0RvYy54bWxQSwUGAAAAAAYABgBZAQAA2wUAAAAA&#10;">
                <v:fill on="f" focussize="0,0"/>
                <v:stroke on="f" weight="0.5pt"/>
                <v:imagedata o:title=""/>
                <o:lock v:ext="edit" aspectratio="f"/>
                <v:textbox>
                  <w:txbxContent>
                    <w:p w14:paraId="39B73CE8">
                      <w:r>
                        <w:rPr>
                          <w:rFonts w:ascii="Arial" w:hAnsi="Arial" w:eastAsia="宋体" w:cs="Arial"/>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v:textbox>
              </v:shape>
            </w:pict>
          </mc:Fallback>
        </mc:AlternateContent>
      </w:r>
    </w:p>
    <w:p w14:paraId="2CCF776E">
      <w:pPr>
        <w:snapToGrid w:val="0"/>
        <w:spacing w:line="300" w:lineRule="auto"/>
        <w:ind w:firstLine="2055" w:firstLineChars="975"/>
        <w:rPr>
          <w:rFonts w:ascii="Arial" w:hAnsi="Arial" w:eastAsia="宋体" w:cs="Arial"/>
          <w:b/>
        </w:rPr>
      </w:pPr>
      <w:r>
        <w:rPr>
          <w:rFonts w:ascii="Arial" w:hAnsi="Arial" w:eastAsia="宋体" w:cs="Arial"/>
          <w:b/>
        </w:rPr>
        <w:t>美国卫生</w:t>
      </w:r>
      <w:r>
        <w:rPr>
          <w:rFonts w:hint="eastAsia" w:ascii="Arial" w:hAnsi="Arial" w:eastAsia="宋体" w:cs="Arial"/>
          <w:b/>
        </w:rPr>
        <w:t>与</w:t>
      </w:r>
      <w:r>
        <w:rPr>
          <w:rFonts w:ascii="Arial" w:hAnsi="Arial" w:eastAsia="宋体" w:cs="Arial"/>
          <w:b/>
        </w:rPr>
        <w:t>公众服务部</w:t>
      </w:r>
    </w:p>
    <w:p w14:paraId="5A0A3CF5">
      <w:pPr>
        <w:snapToGrid w:val="0"/>
        <w:spacing w:line="300" w:lineRule="auto"/>
        <w:ind w:firstLine="2055" w:firstLineChars="975"/>
        <w:rPr>
          <w:rFonts w:ascii="Arial" w:hAnsi="Arial" w:eastAsia="宋体" w:cs="Arial"/>
          <w:b/>
        </w:rPr>
      </w:pPr>
      <w:r>
        <w:rPr>
          <w:rFonts w:ascii="Arial" w:hAnsi="Arial" w:eastAsia="宋体" w:cs="Arial"/>
          <w:b/>
        </w:rPr>
        <w:t>食品药品监督管理局</w:t>
      </w:r>
    </w:p>
    <w:p w14:paraId="7AC528CF">
      <w:pPr>
        <w:snapToGrid w:val="0"/>
        <w:spacing w:line="300" w:lineRule="auto"/>
        <w:ind w:firstLine="2055" w:firstLineChars="975"/>
        <w:rPr>
          <w:rFonts w:ascii="Arial" w:hAnsi="Arial" w:eastAsia="宋体" w:cs="Arial"/>
          <w:b/>
        </w:rPr>
      </w:pPr>
      <w:r>
        <w:rPr>
          <w:rFonts w:ascii="Arial" w:hAnsi="Arial" w:eastAsia="宋体" w:cs="Arial"/>
          <w:b/>
        </w:rPr>
        <w:t>器械</w:t>
      </w:r>
      <w:r>
        <w:rPr>
          <w:rFonts w:hint="eastAsia" w:ascii="Arial" w:hAnsi="Arial" w:eastAsia="宋体" w:cs="Arial"/>
          <w:b/>
        </w:rPr>
        <w:t>与</w:t>
      </w:r>
      <w:r>
        <w:rPr>
          <w:rFonts w:ascii="Arial" w:hAnsi="Arial" w:eastAsia="宋体" w:cs="Arial"/>
          <w:b/>
        </w:rPr>
        <w:t>放射</w:t>
      </w:r>
      <w:r>
        <w:rPr>
          <w:rFonts w:hint="eastAsia" w:ascii="Arial" w:hAnsi="Arial" w:eastAsia="宋体" w:cs="Arial"/>
          <w:b/>
        </w:rPr>
        <w:t>健康</w:t>
      </w:r>
      <w:r>
        <w:rPr>
          <w:rFonts w:ascii="Arial" w:hAnsi="Arial" w:eastAsia="宋体" w:cs="Arial"/>
          <w:b/>
        </w:rPr>
        <w:t>中心</w:t>
      </w:r>
    </w:p>
    <w:p w14:paraId="5074DB20">
      <w:pPr>
        <w:snapToGrid w:val="0"/>
        <w:spacing w:line="300" w:lineRule="auto"/>
        <w:ind w:firstLine="2055" w:firstLineChars="975"/>
        <w:rPr>
          <w:rFonts w:ascii="Arial" w:hAnsi="Arial" w:eastAsia="宋体" w:cs="Arial"/>
          <w:b/>
        </w:rPr>
      </w:pPr>
      <w:r>
        <w:rPr>
          <w:rFonts w:ascii="Arial" w:hAnsi="Arial" w:eastAsia="宋体" w:cs="Arial"/>
          <w:b/>
        </w:rPr>
        <w:t>体外诊断器械</w:t>
      </w:r>
      <w:r>
        <w:rPr>
          <w:rFonts w:hint="eastAsia" w:ascii="Arial" w:hAnsi="Arial" w:eastAsia="宋体" w:cs="Arial"/>
          <w:b/>
        </w:rPr>
        <w:t>评估</w:t>
      </w:r>
      <w:r>
        <w:rPr>
          <w:rFonts w:ascii="Arial" w:hAnsi="Arial" w:eastAsia="宋体" w:cs="Arial"/>
          <w:b/>
        </w:rPr>
        <w:t>和安全办公室</w:t>
      </w:r>
    </w:p>
    <w:p w14:paraId="622C381C">
      <w:pPr>
        <w:snapToGrid w:val="0"/>
        <w:spacing w:line="300" w:lineRule="auto"/>
        <w:ind w:firstLine="2055" w:firstLineChars="975"/>
        <w:rPr>
          <w:rFonts w:ascii="Arial" w:hAnsi="Arial" w:eastAsia="宋体" w:cs="Arial"/>
          <w:b/>
        </w:rPr>
      </w:pPr>
      <w:r>
        <w:rPr>
          <w:rFonts w:ascii="Arial" w:hAnsi="Arial" w:eastAsia="宋体" w:cs="Arial"/>
          <w:b/>
        </w:rPr>
        <w:t>免疫学和血液学检测器械</w:t>
      </w:r>
      <w:r>
        <w:rPr>
          <w:rFonts w:hint="eastAsia" w:ascii="Arial" w:hAnsi="Arial" w:eastAsia="宋体" w:cs="Arial"/>
          <w:b/>
        </w:rPr>
        <w:t>部</w:t>
      </w:r>
    </w:p>
    <w:p w14:paraId="6DEF9F14">
      <w:pPr>
        <w:snapToGrid w:val="0"/>
        <w:spacing w:line="300" w:lineRule="auto"/>
        <w:rPr>
          <w:rFonts w:ascii="Arial" w:hAnsi="Arial" w:eastAsia="宋体" w:cs="Arial"/>
        </w:rPr>
      </w:pPr>
    </w:p>
    <w:p w14:paraId="669B8B29">
      <w:pPr>
        <w:snapToGrid w:val="0"/>
        <w:spacing w:line="300" w:lineRule="auto"/>
        <w:rPr>
          <w:rFonts w:ascii="Arial" w:hAnsi="Arial" w:eastAsia="宋体" w:cs="Arial"/>
          <w:b/>
        </w:rPr>
      </w:pPr>
      <w:r>
        <w:rPr>
          <w:rFonts w:ascii="Arial" w:hAnsi="Arial" w:eastAsia="宋体" w:cs="Arial"/>
          <w:b/>
        </w:rPr>
        <w:t>前言</w:t>
      </w:r>
    </w:p>
    <w:p w14:paraId="16179EFE">
      <w:pPr>
        <w:snapToGrid w:val="0"/>
        <w:spacing w:line="300" w:lineRule="auto"/>
        <w:rPr>
          <w:rFonts w:ascii="Arial" w:hAnsi="Arial" w:eastAsia="宋体" w:cs="Arial"/>
          <w:b/>
        </w:rPr>
      </w:pPr>
      <w:r>
        <w:rPr>
          <w:rFonts w:ascii="Arial" w:hAnsi="Arial" w:eastAsia="宋体" w:cs="Arial"/>
          <w:b/>
        </w:rPr>
        <w:t>公众评论</w:t>
      </w:r>
    </w:p>
    <w:p w14:paraId="687349D6">
      <w:pPr>
        <w:snapToGrid w:val="0"/>
        <w:spacing w:line="300" w:lineRule="auto"/>
        <w:rPr>
          <w:rFonts w:ascii="Arial" w:hAnsi="Arial" w:eastAsia="宋体" w:cs="Arial"/>
        </w:rPr>
      </w:pPr>
    </w:p>
    <w:p w14:paraId="153B9731">
      <w:pPr>
        <w:snapToGrid w:val="0"/>
        <w:spacing w:line="300" w:lineRule="auto"/>
        <w:rPr>
          <w:rFonts w:ascii="Arial" w:hAnsi="Arial" w:eastAsia="宋体" w:cs="Arial"/>
        </w:rPr>
      </w:pPr>
      <w:r>
        <w:rPr>
          <w:rFonts w:ascii="Arial" w:hAnsi="Arial" w:eastAsia="宋体" w:cs="Arial"/>
        </w:rPr>
        <w:t>若有书面评论和建议可随时提交至食品药品监督管理局文档管理部</w:t>
      </w:r>
      <w:r>
        <w:rPr>
          <w:rFonts w:hint="eastAsia" w:ascii="Arial" w:hAnsi="Arial" w:eastAsia="宋体" w:cs="Arial"/>
        </w:rPr>
        <w:t>，</w:t>
      </w:r>
      <w:r>
        <w:rPr>
          <w:rFonts w:ascii="Arial" w:hAnsi="Arial" w:eastAsia="宋体" w:cs="Arial"/>
        </w:rPr>
        <w:t>供</w:t>
      </w:r>
      <w:r>
        <w:rPr>
          <w:rFonts w:hint="eastAsia" w:ascii="Arial" w:hAnsi="Arial" w:eastAsia="宋体" w:cs="Arial"/>
        </w:rPr>
        <w:t>部门审议</w:t>
      </w:r>
      <w:r>
        <w:rPr>
          <w:rFonts w:ascii="Arial" w:hAnsi="Arial" w:eastAsia="宋体" w:cs="Arial"/>
        </w:rPr>
        <w:t>。通讯地址：5630 Fishers Lane, Room 1061, （HFA-305）, Rockville, MD, 20852。若为电子评论可提交至</w:t>
      </w:r>
      <w:r>
        <w:rPr>
          <w:rFonts w:ascii="Arial" w:hAnsi="Arial" w:eastAsia="宋体" w:cs="Arial"/>
          <w:color w:val="800080"/>
          <w:u w:val="single"/>
        </w:rPr>
        <w:t>Regulations.gov</w:t>
      </w:r>
      <w:r>
        <w:rPr>
          <w:rFonts w:ascii="Arial" w:hAnsi="Arial" w:eastAsia="宋体" w:cs="Arial"/>
        </w:rPr>
        <w:t>网站。提交评论时，请注明</w:t>
      </w:r>
      <w:r>
        <w:rPr>
          <w:rFonts w:hint="eastAsia" w:ascii="Arial" w:hAnsi="Arial" w:eastAsia="宋体" w:cs="Arial"/>
        </w:rPr>
        <w:t>文档</w:t>
      </w:r>
      <w:r>
        <w:rPr>
          <w:rFonts w:ascii="Arial" w:hAnsi="Arial" w:eastAsia="宋体" w:cs="Arial"/>
        </w:rPr>
        <w:t>编号2006D-0515。</w:t>
      </w:r>
      <w:r>
        <w:rPr>
          <w:rFonts w:hint="eastAsia" w:ascii="Arial" w:hAnsi="Arial" w:eastAsia="宋体" w:cs="Arial"/>
        </w:rPr>
        <w:t>可能直到文件下次修订或更新时，评论才会被机构受理。</w:t>
      </w:r>
    </w:p>
    <w:p w14:paraId="15F33653">
      <w:pPr>
        <w:snapToGrid w:val="0"/>
        <w:spacing w:line="300" w:lineRule="auto"/>
        <w:rPr>
          <w:rFonts w:ascii="Arial" w:hAnsi="Arial" w:eastAsia="宋体" w:cs="Arial"/>
        </w:rPr>
      </w:pPr>
    </w:p>
    <w:p w14:paraId="611C276C">
      <w:pPr>
        <w:snapToGrid w:val="0"/>
        <w:spacing w:line="300" w:lineRule="auto"/>
        <w:rPr>
          <w:rFonts w:ascii="Arial" w:hAnsi="Arial" w:eastAsia="宋体" w:cs="Arial"/>
          <w:b/>
        </w:rPr>
      </w:pPr>
      <w:bookmarkStart w:id="4" w:name="OLE_LINK146"/>
      <w:bookmarkStart w:id="5" w:name="OLE_LINK147"/>
      <w:r>
        <w:rPr>
          <w:rFonts w:ascii="Arial" w:hAnsi="Arial" w:eastAsia="宋体" w:cs="Arial"/>
          <w:b/>
        </w:rPr>
        <w:t>其他副本</w:t>
      </w:r>
    </w:p>
    <w:p w14:paraId="29988920">
      <w:pPr>
        <w:snapToGrid w:val="0"/>
        <w:spacing w:line="300" w:lineRule="auto"/>
        <w:rPr>
          <w:rFonts w:ascii="Arial" w:hAnsi="Arial" w:eastAsia="宋体" w:cs="Arial"/>
        </w:rPr>
      </w:pPr>
    </w:p>
    <w:p w14:paraId="09906029">
      <w:pPr>
        <w:snapToGrid w:val="0"/>
        <w:spacing w:line="300" w:lineRule="auto"/>
        <w:rPr>
          <w:rFonts w:ascii="Arial" w:hAnsi="Arial" w:eastAsia="宋体" w:cs="Arial"/>
        </w:rPr>
      </w:pPr>
      <w:r>
        <w:rPr>
          <w:rFonts w:ascii="Arial" w:hAnsi="Arial" w:eastAsia="宋体" w:cs="Arial"/>
        </w:rPr>
        <w:t>其他副本可从网上下载。贵公司还可发送电邮申请至</w:t>
      </w:r>
      <w:r>
        <w:rPr>
          <w:rFonts w:ascii="Arial" w:hAnsi="Arial" w:eastAsia="宋体" w:cs="Arial"/>
          <w:color w:val="800080"/>
          <w:u w:val="single"/>
        </w:rPr>
        <w:t>dsmica@fda.hhs.gov</w:t>
      </w:r>
      <w:r>
        <w:rPr>
          <w:rFonts w:ascii="Arial" w:hAnsi="Arial" w:eastAsia="宋体" w:cs="Arial"/>
        </w:rPr>
        <w:t>获取本指南的电子副本或发送传真申请至301-847-8149获取复印件。请用</w:t>
      </w:r>
      <w:r>
        <w:rPr>
          <w:rFonts w:hint="eastAsia" w:ascii="Arial" w:hAnsi="Arial" w:eastAsia="宋体" w:cs="Arial"/>
        </w:rPr>
        <w:t>文档</w:t>
      </w:r>
      <w:r>
        <w:rPr>
          <w:rFonts w:ascii="Arial" w:hAnsi="Arial" w:eastAsia="宋体" w:cs="Arial"/>
        </w:rPr>
        <w:t>编号1614确认贵公司索取的指南。</w:t>
      </w:r>
    </w:p>
    <w:bookmarkEnd w:id="4"/>
    <w:bookmarkEnd w:id="5"/>
    <w:p w14:paraId="6C6B7D26">
      <w:pPr>
        <w:snapToGrid w:val="0"/>
        <w:spacing w:line="300" w:lineRule="auto"/>
        <w:rPr>
          <w:rFonts w:ascii="Arial" w:hAnsi="Arial" w:eastAsia="宋体" w:cs="Arial"/>
        </w:rPr>
      </w:pPr>
    </w:p>
    <w:p w14:paraId="3CD4D4D0">
      <w:pPr>
        <w:snapToGrid w:val="0"/>
        <w:spacing w:line="300" w:lineRule="auto"/>
        <w:rPr>
          <w:rFonts w:ascii="Arial" w:hAnsi="Arial" w:eastAsia="宋体" w:cs="Arial"/>
        </w:rPr>
      </w:pPr>
      <w:r>
        <w:rPr>
          <w:rFonts w:ascii="Arial" w:hAnsi="Arial" w:eastAsia="宋体" w:cs="Arial"/>
        </w:rPr>
        <w:t>对本指南的使用或解释若有疑问，请与Nina Hunter联系。联系电话：301-796-6171，电子信箱：</w:t>
      </w:r>
      <w:r>
        <w:fldChar w:fldCharType="begin"/>
      </w:r>
      <w:r>
        <w:instrText xml:space="preserve"> HYPERLINK "mailto:nina.hunter@fda.hhs.gov" </w:instrText>
      </w:r>
      <w:r>
        <w:fldChar w:fldCharType="separate"/>
      </w:r>
      <w:r>
        <w:rPr>
          <w:rFonts w:hint="eastAsia" w:ascii="Arial" w:hAnsi="Arial" w:eastAsia="宋体" w:cs="Arial"/>
          <w:color w:val="800080"/>
          <w:u w:val="single"/>
        </w:rPr>
        <w:t>nina.hunter@fda.hhs.gov</w:t>
      </w:r>
      <w:r>
        <w:rPr>
          <w:rFonts w:hint="eastAsia" w:ascii="Arial" w:hAnsi="Arial" w:eastAsia="宋体" w:cs="Arial"/>
          <w:color w:val="800080"/>
          <w:u w:val="single"/>
        </w:rPr>
        <w:fldChar w:fldCharType="end"/>
      </w:r>
      <w:r>
        <w:rPr>
          <w:rFonts w:ascii="Arial" w:hAnsi="Arial" w:eastAsia="宋体" w:cs="Arial"/>
        </w:rPr>
        <w:t>。</w:t>
      </w:r>
    </w:p>
    <w:p w14:paraId="157F5D32">
      <w:pPr>
        <w:snapToGrid w:val="0"/>
        <w:spacing w:line="300" w:lineRule="auto"/>
        <w:rPr>
          <w:rFonts w:ascii="Arial" w:hAnsi="Arial" w:eastAsia="宋体" w:cs="Arial"/>
        </w:rPr>
      </w:pPr>
    </w:p>
    <w:p w14:paraId="41DE2FF5">
      <w:pPr>
        <w:snapToGrid w:val="0"/>
        <w:spacing w:line="300" w:lineRule="auto"/>
        <w:rPr>
          <w:rFonts w:ascii="Arial" w:hAnsi="Arial" w:eastAsia="宋体" w:cs="Arial"/>
          <w:b/>
        </w:rPr>
      </w:pPr>
      <w:r>
        <w:rPr>
          <w:rFonts w:ascii="Arial" w:hAnsi="Arial" w:eastAsia="宋体" w:cs="Arial"/>
          <w:b/>
        </w:rPr>
        <w:t>目录</w:t>
      </w:r>
    </w:p>
    <w:p w14:paraId="48D5F88D">
      <w:pPr>
        <w:snapToGrid w:val="0"/>
        <w:spacing w:line="300" w:lineRule="auto"/>
        <w:rPr>
          <w:rFonts w:ascii="Arial" w:hAnsi="Arial" w:eastAsia="宋体" w:cs="Arial"/>
        </w:rPr>
      </w:pPr>
    </w:p>
    <w:p w14:paraId="75A8E191">
      <w:pPr>
        <w:snapToGrid w:val="0"/>
        <w:spacing w:line="280" w:lineRule="exact"/>
        <w:rPr>
          <w:rFonts w:ascii="Arial" w:hAnsi="Arial" w:eastAsia="宋体" w:cs="Arial"/>
        </w:rPr>
      </w:pPr>
      <w:r>
        <w:rPr>
          <w:rFonts w:ascii="Arial" w:hAnsi="Arial" w:eastAsia="宋体" w:cs="Arial"/>
        </w:rPr>
        <w:t xml:space="preserve">1. </w:t>
      </w:r>
      <w:r>
        <w:rPr>
          <w:rFonts w:ascii="Arial" w:hAnsi="Arial" w:eastAsia="宋体" w:cs="Arial"/>
          <w:color w:val="800080"/>
          <w:u w:val="single"/>
        </w:rPr>
        <w:t>简介</w:t>
      </w:r>
    </w:p>
    <w:p w14:paraId="7C0AC041">
      <w:pPr>
        <w:snapToGrid w:val="0"/>
        <w:spacing w:line="280" w:lineRule="exact"/>
        <w:rPr>
          <w:rFonts w:ascii="Arial" w:hAnsi="Arial" w:eastAsia="宋体" w:cs="Arial"/>
          <w:color w:val="800080"/>
          <w:u w:val="single"/>
        </w:rPr>
      </w:pPr>
      <w:r>
        <w:rPr>
          <w:rFonts w:ascii="Arial" w:hAnsi="Arial" w:eastAsia="宋体" w:cs="Arial"/>
        </w:rPr>
        <w:t>2.</w:t>
      </w:r>
      <w:r>
        <w:rPr>
          <w:rFonts w:ascii="Arial" w:hAnsi="Arial" w:eastAsia="宋体" w:cs="Arial"/>
          <w:color w:val="800080"/>
          <w:u w:val="single"/>
        </w:rPr>
        <w:t xml:space="preserve"> 背景</w:t>
      </w:r>
    </w:p>
    <w:p w14:paraId="2222A6BB">
      <w:pPr>
        <w:snapToGrid w:val="0"/>
        <w:spacing w:line="280" w:lineRule="exact"/>
        <w:rPr>
          <w:rFonts w:ascii="Arial" w:hAnsi="Arial" w:eastAsia="宋体" w:cs="Arial"/>
          <w:color w:val="800080"/>
          <w:u w:val="single"/>
        </w:rPr>
      </w:pPr>
      <w:r>
        <w:rPr>
          <w:rFonts w:ascii="Arial" w:hAnsi="Arial" w:eastAsia="宋体" w:cs="Arial"/>
        </w:rPr>
        <w:t>3.</w:t>
      </w:r>
      <w:r>
        <w:rPr>
          <w:rFonts w:ascii="Arial" w:hAnsi="Arial" w:eastAsia="宋体" w:cs="Arial"/>
          <w:color w:val="800080"/>
          <w:u w:val="single"/>
        </w:rPr>
        <w:t xml:space="preserve"> 简化510（k）提交资料</w:t>
      </w:r>
    </w:p>
    <w:p w14:paraId="45A75171">
      <w:pPr>
        <w:snapToGrid w:val="0"/>
        <w:spacing w:line="280" w:lineRule="exact"/>
        <w:rPr>
          <w:rFonts w:ascii="Arial" w:hAnsi="Arial" w:eastAsia="宋体" w:cs="Arial"/>
          <w:color w:val="800080"/>
          <w:u w:val="single"/>
        </w:rPr>
      </w:pPr>
      <w:r>
        <w:rPr>
          <w:rFonts w:ascii="Arial" w:hAnsi="Arial" w:eastAsia="宋体" w:cs="Arial"/>
        </w:rPr>
        <w:t xml:space="preserve">4. </w:t>
      </w:r>
      <w:r>
        <w:rPr>
          <w:rFonts w:ascii="Arial" w:hAnsi="Arial" w:eastAsia="宋体" w:cs="Arial"/>
          <w:color w:val="800080"/>
          <w:u w:val="single"/>
        </w:rPr>
        <w:t>适用范围</w:t>
      </w:r>
    </w:p>
    <w:p w14:paraId="41681CED">
      <w:pPr>
        <w:snapToGrid w:val="0"/>
        <w:spacing w:line="280" w:lineRule="exact"/>
        <w:rPr>
          <w:rFonts w:ascii="Arial" w:hAnsi="Arial" w:eastAsia="宋体" w:cs="Arial"/>
          <w:color w:val="800080"/>
          <w:u w:val="single"/>
        </w:rPr>
      </w:pPr>
      <w:r>
        <w:rPr>
          <w:rFonts w:ascii="Arial" w:hAnsi="Arial" w:eastAsia="宋体" w:cs="Arial"/>
        </w:rPr>
        <w:t xml:space="preserve">5. </w:t>
      </w:r>
      <w:r>
        <w:rPr>
          <w:rFonts w:ascii="Arial" w:hAnsi="Arial" w:eastAsia="宋体" w:cs="Arial"/>
          <w:color w:val="800080"/>
          <w:u w:val="single"/>
        </w:rPr>
        <w:t>健康风险</w:t>
      </w:r>
    </w:p>
    <w:p w14:paraId="3F4FD0B0">
      <w:pPr>
        <w:snapToGrid w:val="0"/>
        <w:spacing w:line="280" w:lineRule="exact"/>
        <w:rPr>
          <w:rFonts w:ascii="Arial" w:hAnsi="Arial" w:eastAsia="宋体" w:cs="Arial"/>
          <w:color w:val="800080"/>
          <w:u w:val="single"/>
        </w:rPr>
      </w:pPr>
      <w:r>
        <w:rPr>
          <w:rFonts w:ascii="Arial" w:hAnsi="Arial" w:eastAsia="宋体" w:cs="Arial"/>
        </w:rPr>
        <w:t>6.</w:t>
      </w:r>
      <w:r>
        <w:rPr>
          <w:rFonts w:ascii="Arial" w:hAnsi="Arial" w:eastAsia="宋体" w:cs="Arial"/>
          <w:color w:val="800080"/>
          <w:u w:val="single"/>
        </w:rPr>
        <w:t xml:space="preserve"> 器械描述</w:t>
      </w:r>
    </w:p>
    <w:p w14:paraId="01A41DB0">
      <w:pPr>
        <w:snapToGrid w:val="0"/>
        <w:spacing w:line="280" w:lineRule="exact"/>
        <w:rPr>
          <w:rFonts w:ascii="Arial" w:hAnsi="Arial" w:eastAsia="宋体" w:cs="Arial"/>
          <w:color w:val="800080"/>
          <w:u w:val="single"/>
        </w:rPr>
      </w:pPr>
      <w:r>
        <w:rPr>
          <w:rFonts w:ascii="Arial" w:hAnsi="Arial" w:eastAsia="宋体" w:cs="Arial"/>
        </w:rPr>
        <w:t xml:space="preserve">7. </w:t>
      </w:r>
      <w:r>
        <w:rPr>
          <w:rFonts w:ascii="Arial" w:hAnsi="Arial" w:eastAsia="宋体" w:cs="Arial"/>
          <w:color w:val="800080"/>
          <w:u w:val="single"/>
        </w:rPr>
        <w:t>性能特征</w:t>
      </w:r>
    </w:p>
    <w:p w14:paraId="127DF6D8">
      <w:pPr>
        <w:snapToGrid w:val="0"/>
        <w:spacing w:line="280" w:lineRule="exact"/>
        <w:rPr>
          <w:rFonts w:ascii="Arial" w:hAnsi="Arial" w:eastAsia="宋体" w:cs="Arial"/>
          <w:color w:val="800080"/>
          <w:u w:val="single"/>
        </w:rPr>
      </w:pPr>
      <w:r>
        <w:rPr>
          <w:rFonts w:ascii="Arial" w:hAnsi="Arial" w:eastAsia="宋体" w:cs="Arial"/>
        </w:rPr>
        <w:t xml:space="preserve">8. </w:t>
      </w:r>
      <w:r>
        <w:rPr>
          <w:rFonts w:ascii="Arial" w:hAnsi="Arial" w:eastAsia="宋体" w:cs="Arial"/>
          <w:color w:val="800080"/>
          <w:u w:val="single"/>
        </w:rPr>
        <w:t>贴标</w:t>
      </w:r>
    </w:p>
    <w:p w14:paraId="5DE97968">
      <w:pPr>
        <w:snapToGrid w:val="0"/>
        <w:spacing w:line="300" w:lineRule="auto"/>
        <w:rPr>
          <w:rFonts w:ascii="Arial" w:hAnsi="Arial" w:eastAsia="宋体" w:cs="Arial"/>
          <w:b/>
          <w:sz w:val="30"/>
          <w:szCs w:val="30"/>
        </w:rPr>
      </w:pPr>
      <w:r>
        <w:rPr>
          <w:rFonts w:ascii="Arial" w:hAnsi="Arial" w:eastAsia="宋体" w:cs="Arial"/>
          <w:b/>
          <w:sz w:val="30"/>
          <w:szCs w:val="30"/>
        </w:rPr>
        <w:t>行业和食品药品监督管理局</w:t>
      </w:r>
      <w:r>
        <w:rPr>
          <w:rFonts w:hint="eastAsia" w:ascii="Arial" w:hAnsi="Arial" w:eastAsia="宋体" w:cs="Arial"/>
          <w:b/>
          <w:sz w:val="30"/>
          <w:szCs w:val="30"/>
        </w:rPr>
        <w:t>工作人员</w:t>
      </w:r>
      <w:r>
        <w:rPr>
          <w:rFonts w:ascii="Arial" w:hAnsi="Arial" w:eastAsia="宋体" w:cs="Arial"/>
          <w:b/>
          <w:sz w:val="30"/>
          <w:szCs w:val="30"/>
        </w:rPr>
        <w:t>指南</w:t>
      </w:r>
    </w:p>
    <w:p w14:paraId="45642372">
      <w:pPr>
        <w:snapToGrid w:val="0"/>
        <w:spacing w:line="300" w:lineRule="auto"/>
        <w:rPr>
          <w:rFonts w:ascii="Arial" w:hAnsi="Arial" w:eastAsia="宋体" w:cs="Arial"/>
          <w:b/>
          <w:sz w:val="30"/>
          <w:szCs w:val="30"/>
        </w:rPr>
      </w:pPr>
      <w:r>
        <w:rPr>
          <w:rFonts w:ascii="Arial" w:hAnsi="Arial" w:eastAsia="宋体" w:cs="Arial"/>
          <w:b/>
          <w:sz w:val="30"/>
          <w:szCs w:val="30"/>
        </w:rPr>
        <w:t>II类特殊控制</w:t>
      </w:r>
      <w:r>
        <w:rPr>
          <w:rFonts w:hint="eastAsia" w:ascii="Arial" w:hAnsi="Arial" w:eastAsia="宋体" w:cs="Arial"/>
          <w:b/>
          <w:sz w:val="30"/>
          <w:szCs w:val="30"/>
        </w:rPr>
        <w:t>指导性文件</w:t>
      </w:r>
      <w:r>
        <w:rPr>
          <w:rFonts w:ascii="Arial" w:hAnsi="Arial" w:eastAsia="宋体" w:cs="Arial"/>
          <w:b/>
          <w:sz w:val="30"/>
          <w:szCs w:val="30"/>
        </w:rPr>
        <w:t>：</w:t>
      </w:r>
      <w:bookmarkStart w:id="6" w:name="OLE_LINK53"/>
      <w:bookmarkStart w:id="7" w:name="OLE_LINK54"/>
      <w:r>
        <w:rPr>
          <w:rFonts w:ascii="Arial" w:hAnsi="Arial" w:eastAsia="宋体" w:cs="Arial"/>
          <w:b/>
          <w:sz w:val="30"/>
          <w:szCs w:val="30"/>
        </w:rPr>
        <w:t>囊性纤维化核酸检测质控材料</w:t>
      </w:r>
      <w:bookmarkEnd w:id="6"/>
      <w:bookmarkEnd w:id="7"/>
    </w:p>
    <w:p w14:paraId="15CDB806">
      <w:pPr>
        <w:snapToGrid w:val="0"/>
        <w:spacing w:line="300" w:lineRule="auto"/>
        <w:rPr>
          <w:rFonts w:ascii="Arial" w:hAnsi="Arial" w:eastAsia="宋体" w:cs="Arial"/>
        </w:rPr>
      </w:pPr>
    </w:p>
    <w:p w14:paraId="48712BB2">
      <w:pPr>
        <w:snapToGrid w:val="0"/>
        <w:spacing w:line="300" w:lineRule="auto"/>
        <w:rPr>
          <w:rFonts w:ascii="Arial" w:hAnsi="Arial" w:eastAsia="宋体" w:cs="Arial"/>
          <w:b/>
        </w:rPr>
      </w:pPr>
      <w:r>
        <w:rPr>
          <w:rFonts w:ascii="Arial" w:hAnsi="Arial" w:eastAsia="宋体" w:cs="Arial"/>
          <w:b/>
        </w:rPr>
        <w:t>1. 简介</w:t>
      </w:r>
    </w:p>
    <w:p w14:paraId="711A5DE8">
      <w:pPr>
        <w:snapToGrid w:val="0"/>
        <w:spacing w:line="300" w:lineRule="auto"/>
        <w:rPr>
          <w:rFonts w:ascii="Arial" w:hAnsi="Arial" w:eastAsia="宋体" w:cs="Arial"/>
        </w:rPr>
      </w:pPr>
    </w:p>
    <w:p w14:paraId="03E1B2A8">
      <w:pPr>
        <w:snapToGrid w:val="0"/>
        <w:spacing w:line="300" w:lineRule="auto"/>
        <w:rPr>
          <w:rFonts w:ascii="Arial" w:hAnsi="Arial" w:eastAsia="宋体" w:cs="Arial"/>
        </w:rPr>
      </w:pPr>
      <w:r>
        <w:rPr>
          <w:rFonts w:ascii="Arial" w:hAnsi="Arial" w:eastAsia="宋体" w:cs="Arial"/>
        </w:rPr>
        <w:t>本指南是作为特殊控制指导而编制的，目的是支持将</w:t>
      </w:r>
      <w:bookmarkStart w:id="8" w:name="OLE_LINK1"/>
      <w:bookmarkStart w:id="9" w:name="OLE_LINK55"/>
      <w:bookmarkStart w:id="10" w:name="OLE_LINK56"/>
      <w:r>
        <w:rPr>
          <w:rFonts w:ascii="Arial" w:hAnsi="Arial" w:eastAsia="宋体" w:cs="Arial"/>
        </w:rPr>
        <w:t>囊性纤维化核酸检测质控材料</w:t>
      </w:r>
      <w:bookmarkEnd w:id="8"/>
      <w:bookmarkEnd w:id="9"/>
      <w:bookmarkEnd w:id="10"/>
      <w:r>
        <w:rPr>
          <w:rFonts w:ascii="Arial" w:hAnsi="Arial" w:eastAsia="宋体" w:cs="Arial"/>
        </w:rPr>
        <w:t>归入II类器械（特殊控制）。</w:t>
      </w:r>
      <w:bookmarkStart w:id="11" w:name="OLE_LINK19"/>
      <w:bookmarkStart w:id="12" w:name="OLE_LINK21"/>
      <w:bookmarkStart w:id="13" w:name="OLE_LINK20"/>
      <w:r>
        <w:rPr>
          <w:rFonts w:ascii="Arial" w:hAnsi="Arial" w:eastAsia="宋体" w:cs="Arial"/>
        </w:rPr>
        <w:t>囊性纤维化核酸检测质控材料是一种拟通过发现分析偏差（如基因检测过程中由试剂或仪器变动产生的偏差）而帮助监测检测系统可靠性的器械。这种器械包括重组、合成和基于细胞株的DNA对照。</w:t>
      </w:r>
      <w:bookmarkEnd w:id="11"/>
      <w:bookmarkEnd w:id="12"/>
      <w:bookmarkEnd w:id="13"/>
    </w:p>
    <w:p w14:paraId="7CC26504">
      <w:pPr>
        <w:snapToGrid w:val="0"/>
        <w:spacing w:line="300" w:lineRule="auto"/>
        <w:rPr>
          <w:rFonts w:ascii="Arial" w:hAnsi="Arial" w:eastAsia="宋体" w:cs="Arial"/>
        </w:rPr>
      </w:pPr>
    </w:p>
    <w:p w14:paraId="741694DC">
      <w:pPr>
        <w:snapToGrid w:val="0"/>
        <w:spacing w:line="300" w:lineRule="auto"/>
        <w:rPr>
          <w:rFonts w:ascii="Arial" w:hAnsi="Arial" w:eastAsia="宋体" w:cs="Arial"/>
        </w:rPr>
      </w:pPr>
      <w:r>
        <w:rPr>
          <w:rFonts w:ascii="Arial" w:hAnsi="Arial" w:eastAsia="宋体" w:cs="Arial"/>
        </w:rPr>
        <w:t>本指南为制造商提供了用于准备囊性纤维化基因检测DNA质控（QC）材料上市前通告和贴标的推荐规范。这些质控材料可用来监测本检测所用基于核酸的体外诊断（VD）检测器械的分析前和/或分析性能（如提取、扩增和检测步骤）。本文件中的推荐规范适用于基因变异</w:t>
      </w:r>
      <w:r>
        <w:rPr>
          <w:rFonts w:ascii="Arial" w:hAnsi="Arial" w:eastAsia="宋体" w:cs="Arial"/>
          <w:vertAlign w:val="superscript"/>
        </w:rPr>
        <w:t>1</w:t>
      </w:r>
      <w:r>
        <w:rPr>
          <w:rFonts w:ascii="Arial" w:hAnsi="Arial" w:eastAsia="宋体" w:cs="Arial"/>
        </w:rPr>
        <w:t>检测或特定基因型确定检测所用对照。</w:t>
      </w:r>
    </w:p>
    <w:p w14:paraId="5D59F40D">
      <w:pPr>
        <w:snapToGrid w:val="0"/>
        <w:spacing w:line="300" w:lineRule="auto"/>
        <w:rPr>
          <w:rFonts w:ascii="Arial" w:hAnsi="Arial" w:eastAsia="宋体" w:cs="Arial"/>
        </w:rPr>
      </w:pPr>
    </w:p>
    <w:p w14:paraId="342F3C18">
      <w:pPr>
        <w:snapToGrid w:val="0"/>
        <w:spacing w:line="300" w:lineRule="auto"/>
        <w:rPr>
          <w:rFonts w:ascii="Arial" w:hAnsi="Arial" w:eastAsia="宋体" w:cs="Arial"/>
        </w:rPr>
      </w:pPr>
      <w:r>
        <w:rPr>
          <w:rFonts w:ascii="Arial" w:hAnsi="Arial" w:eastAsia="宋体" w:cs="Arial"/>
        </w:rPr>
        <w:t>本指南讨论了定性检测所用外部质控材料。通常不讨论外部对照、流程对照（如在单一用途器械上使用的对照系列）或电子质控。本指南不讨论校准品。对校准品有独立的指南“</w:t>
      </w:r>
      <w:r>
        <w:rPr>
          <w:rFonts w:ascii="Arial" w:hAnsi="Arial" w:eastAsia="宋体" w:cs="Arial"/>
          <w:color w:val="800080"/>
          <w:u w:val="single"/>
        </w:rPr>
        <w:t>供行业用指南－体外诊断校准品简化510（k）提交资料</w:t>
      </w:r>
      <w:r>
        <w:rPr>
          <w:rFonts w:ascii="Arial" w:hAnsi="Arial" w:eastAsia="宋体" w:cs="Arial"/>
        </w:rPr>
        <w:t>”可供使用。</w:t>
      </w:r>
    </w:p>
    <w:p w14:paraId="512D8A64">
      <w:pPr>
        <w:snapToGrid w:val="0"/>
        <w:spacing w:line="300" w:lineRule="auto"/>
        <w:rPr>
          <w:rFonts w:ascii="Arial" w:hAnsi="Arial" w:eastAsia="宋体" w:cs="Arial"/>
        </w:rPr>
      </w:pPr>
    </w:p>
    <w:p w14:paraId="2FD71C67">
      <w:pPr>
        <w:snapToGrid w:val="0"/>
        <w:spacing w:line="300" w:lineRule="auto"/>
        <w:rPr>
          <w:rFonts w:ascii="Arial" w:hAnsi="Arial" w:eastAsia="宋体" w:cs="Arial"/>
        </w:rPr>
      </w:pPr>
      <w:r>
        <w:rPr>
          <w:rFonts w:ascii="Arial" w:hAnsi="Arial" w:eastAsia="宋体" w:cs="Arial"/>
        </w:rPr>
        <w:t>本指南与联邦公报的通告同时发布，籍此宣布</w:t>
      </w:r>
      <w:bookmarkStart w:id="14" w:name="OLE_LINK67"/>
      <w:bookmarkStart w:id="15" w:name="OLE_LINK68"/>
      <w:r>
        <w:rPr>
          <w:rFonts w:ascii="Arial" w:hAnsi="Arial" w:eastAsia="宋体" w:cs="Arial"/>
        </w:rPr>
        <w:t>囊性纤维化核酸检测质控材料</w:t>
      </w:r>
      <w:bookmarkEnd w:id="14"/>
      <w:bookmarkEnd w:id="15"/>
      <w:r>
        <w:rPr>
          <w:rFonts w:ascii="Arial" w:hAnsi="Arial" w:eastAsia="宋体" w:cs="Arial"/>
        </w:rPr>
        <w:t>的分类。提交囊性纤维化核酸检测质控材料上市前通告（510（k））提交资料的任何公司均需对本特殊控制指南所包含的问题予以妥善解决。然而，申办方仅需说明其器械符合本指南的推荐规范或以某种其它方式提供安全性和有效性的等同保证。</w:t>
      </w:r>
    </w:p>
    <w:p w14:paraId="637BC9E6">
      <w:pPr>
        <w:snapToGrid w:val="0"/>
        <w:spacing w:line="300" w:lineRule="auto"/>
        <w:rPr>
          <w:rFonts w:ascii="Arial" w:hAnsi="Arial" w:eastAsia="宋体" w:cs="Arial"/>
        </w:rPr>
      </w:pPr>
    </w:p>
    <w:p w14:paraId="2F5DEC41">
      <w:pPr>
        <w:snapToGrid w:val="0"/>
        <w:spacing w:line="300" w:lineRule="auto"/>
        <w:rPr>
          <w:rFonts w:ascii="Arial" w:hAnsi="Arial" w:eastAsia="宋体" w:cs="Arial"/>
        </w:rPr>
      </w:pPr>
      <w:r>
        <w:rPr>
          <w:rFonts w:ascii="Arial" w:hAnsi="Arial" w:eastAsia="宋体" w:cs="Arial"/>
        </w:rPr>
        <w:t>公司必须说明其器械解决了本指南确认的安全性和有效性问题。其解决问题的方式既可遵从本指南提供的推荐规范，亦可采用能提供安全性和有效性等同保证的一些其它方法。</w:t>
      </w:r>
    </w:p>
    <w:p w14:paraId="003D5A52">
      <w:pPr>
        <w:snapToGrid w:val="0"/>
        <w:spacing w:line="300" w:lineRule="auto"/>
        <w:rPr>
          <w:rFonts w:ascii="Arial" w:hAnsi="Arial" w:eastAsia="宋体" w:cs="Arial"/>
        </w:rPr>
      </w:pPr>
    </w:p>
    <w:p w14:paraId="46AD8CCB">
      <w:pPr>
        <w:snapToGrid w:val="0"/>
        <w:spacing w:line="300" w:lineRule="auto"/>
        <w:rPr>
          <w:rFonts w:ascii="Arial" w:hAnsi="Arial" w:eastAsia="宋体" w:cs="Arial"/>
          <w:b/>
        </w:rPr>
      </w:pPr>
      <w:r>
        <w:rPr>
          <w:rFonts w:ascii="Arial" w:hAnsi="Arial" w:eastAsia="宋体" w:cs="Arial"/>
          <w:b/>
        </w:rPr>
        <w:t>最小负担法</w:t>
      </w:r>
    </w:p>
    <w:p w14:paraId="3E28D25B">
      <w:pPr>
        <w:snapToGrid w:val="0"/>
        <w:spacing w:line="300" w:lineRule="auto"/>
        <w:rPr>
          <w:rFonts w:ascii="Arial" w:hAnsi="Arial" w:eastAsia="宋体" w:cs="Arial"/>
        </w:rPr>
      </w:pPr>
    </w:p>
    <w:p w14:paraId="30C817BB">
      <w:pPr>
        <w:snapToGrid w:val="0"/>
        <w:spacing w:line="300" w:lineRule="auto"/>
        <w:rPr>
          <w:rFonts w:ascii="Arial" w:hAnsi="Arial" w:eastAsia="宋体" w:cs="Arial"/>
        </w:rPr>
      </w:pPr>
      <w:r>
        <w:rPr>
          <w:rFonts w:ascii="Arial" w:hAnsi="Arial" w:eastAsia="宋体" w:cs="Arial"/>
        </w:rPr>
        <w:t>本指南确认的问题是我们认为贵公司的器械上市前需解决的问题。在编制本指南的过程中，我们仔细斟酌了本局决策采用的相关法定标准。另外，我们还斟酌了贵公司采用本指南建议的方式努力遵从法定监管标准并努力解决我们所确认问题的过程中可能产生的负担。我们认为我们已考虑采用最小负担法解决本指南呈现的问题。然而，如果贵公司认为有负担更小的方法可用于解决这些问题，应遵守“</w:t>
      </w:r>
      <w:r>
        <w:rPr>
          <w:rFonts w:ascii="Arial" w:hAnsi="Arial" w:eastAsia="宋体" w:cs="Arial"/>
          <w:b/>
          <w:color w:val="800080"/>
        </w:rPr>
        <w:t>解决最小负担问题的一个建议方法</w:t>
      </w:r>
      <w:r>
        <w:rPr>
          <w:rFonts w:ascii="Arial" w:hAnsi="Arial" w:eastAsia="宋体" w:cs="Arial"/>
        </w:rPr>
        <w:t>”文件中描述的规程予以实施。</w:t>
      </w:r>
    </w:p>
    <w:p w14:paraId="2B5D169D">
      <w:pPr>
        <w:snapToGrid w:val="0"/>
        <w:spacing w:line="300" w:lineRule="auto"/>
        <w:rPr>
          <w:rFonts w:ascii="Arial" w:hAnsi="Arial" w:eastAsia="宋体" w:cs="Arial"/>
        </w:rPr>
      </w:pPr>
    </w:p>
    <w:p w14:paraId="494376A3">
      <w:pPr>
        <w:widowControl/>
        <w:jc w:val="left"/>
        <w:rPr>
          <w:rFonts w:ascii="Arial" w:hAnsi="Arial" w:eastAsia="宋体" w:cs="Arial"/>
          <w:b/>
        </w:rPr>
      </w:pPr>
      <w:r>
        <w:rPr>
          <w:rFonts w:ascii="Arial" w:hAnsi="Arial" w:eastAsia="宋体" w:cs="Arial"/>
          <w:b/>
        </w:rPr>
        <w:br w:type="page"/>
      </w:r>
    </w:p>
    <w:p w14:paraId="51511739">
      <w:pPr>
        <w:snapToGrid w:val="0"/>
        <w:spacing w:line="300" w:lineRule="auto"/>
        <w:rPr>
          <w:rFonts w:ascii="Arial" w:hAnsi="Arial" w:eastAsia="宋体" w:cs="Arial"/>
          <w:b/>
        </w:rPr>
      </w:pPr>
      <w:r>
        <w:rPr>
          <w:rFonts w:ascii="Arial" w:hAnsi="Arial" w:eastAsia="宋体" w:cs="Arial"/>
          <w:b/>
        </w:rPr>
        <w:t>2. 背景</w:t>
      </w:r>
    </w:p>
    <w:p w14:paraId="59B024C9">
      <w:pPr>
        <w:snapToGrid w:val="0"/>
        <w:spacing w:line="300" w:lineRule="auto"/>
        <w:rPr>
          <w:rFonts w:ascii="Arial" w:hAnsi="Arial" w:eastAsia="宋体" w:cs="Arial"/>
        </w:rPr>
      </w:pPr>
    </w:p>
    <w:p w14:paraId="2537E5C0">
      <w:pPr>
        <w:snapToGrid w:val="0"/>
        <w:spacing w:line="300" w:lineRule="auto"/>
        <w:rPr>
          <w:rFonts w:ascii="Arial" w:hAnsi="Arial" w:eastAsia="宋体" w:cs="Arial"/>
        </w:rPr>
      </w:pPr>
      <w:r>
        <w:rPr>
          <w:rFonts w:ascii="Arial" w:hAnsi="Arial" w:eastAsia="宋体" w:cs="Arial"/>
        </w:rPr>
        <w:t>在检测系统中使用质控材料可帮助监测检测系统的分析性能。特定质控材料可对整个检测系统进行监测或仅对其中的一方面进行监测。通常使用质控材料对检测器械或系统的潜在变异来源性能进行评估，如试剂、操作人员规程和/或仪器配置（包括软件故障）。</w:t>
      </w:r>
    </w:p>
    <w:p w14:paraId="58F7DEEA">
      <w:pPr>
        <w:snapToGrid w:val="0"/>
        <w:spacing w:line="300" w:lineRule="auto"/>
        <w:rPr>
          <w:rFonts w:ascii="Arial" w:hAnsi="Arial" w:eastAsia="宋体" w:cs="Arial"/>
        </w:rPr>
      </w:pPr>
    </w:p>
    <w:p w14:paraId="10945CF5">
      <w:pPr>
        <w:snapToGrid w:val="0"/>
        <w:spacing w:line="300" w:lineRule="auto"/>
        <w:rPr>
          <w:rFonts w:ascii="Arial" w:hAnsi="Arial" w:eastAsia="宋体" w:cs="Arial"/>
        </w:rPr>
      </w:pPr>
      <w:r>
        <w:rPr>
          <w:rFonts w:ascii="Arial" w:hAnsi="Arial" w:eastAsia="宋体" w:cs="Arial"/>
        </w:rPr>
        <w:t>食品药品监督管理局认为，特殊控制措施与通用控制措施相结合足以为</w:t>
      </w:r>
      <w:bookmarkStart w:id="16" w:name="OLE_LINK9"/>
      <w:bookmarkStart w:id="17" w:name="OLE_LINK8"/>
      <w:r>
        <w:rPr>
          <w:rFonts w:ascii="Arial" w:hAnsi="Arial" w:eastAsia="宋体" w:cs="Arial"/>
        </w:rPr>
        <w:t>囊性纤维化核酸检测质控材料</w:t>
      </w:r>
      <w:bookmarkEnd w:id="16"/>
      <w:bookmarkEnd w:id="17"/>
      <w:r>
        <w:rPr>
          <w:rFonts w:ascii="Arial" w:hAnsi="Arial" w:eastAsia="宋体" w:cs="Arial"/>
        </w:rPr>
        <w:t>的安全性和有效性提供合理保证。拟销售该属性类型器械的制造商应（1）遵从联邦食品、药品和化妆品法案（简称法案）规定的通用控制措施，包括</w:t>
      </w:r>
      <w:r>
        <w:rPr>
          <w:rFonts w:ascii="Arial" w:hAnsi="Arial" w:eastAsia="宋体" w:cs="Arial"/>
          <w:color w:val="800080"/>
          <w:u w:val="single"/>
        </w:rPr>
        <w:t>21 CFR 第807</w:t>
      </w:r>
      <w:r>
        <w:rPr>
          <w:rFonts w:ascii="Arial" w:hAnsi="Arial" w:eastAsia="宋体" w:cs="Arial"/>
        </w:rPr>
        <w:t>部E亚部份描述的上市前通告要求，（2）应</w:t>
      </w:r>
      <w:r>
        <w:rPr>
          <w:rStyle w:val="12"/>
          <w:rFonts w:ascii="Arial" w:hAnsi="Arial" w:eastAsia="宋体" w:cs="Arial"/>
        </w:rPr>
        <w:t>解决与本</w:t>
      </w:r>
      <w:r>
        <w:rPr>
          <w:rFonts w:ascii="Arial" w:hAnsi="Arial" w:eastAsia="宋体" w:cs="Arial"/>
        </w:rPr>
        <w:t>指南</w:t>
      </w:r>
      <w:r>
        <w:rPr>
          <w:rStyle w:val="12"/>
          <w:rFonts w:ascii="Arial" w:hAnsi="Arial" w:eastAsia="宋体" w:cs="Arial"/>
        </w:rPr>
        <w:t>中确定的设备相关的健康的具体风险，</w:t>
      </w:r>
      <w:r>
        <w:rPr>
          <w:rFonts w:ascii="Arial" w:hAnsi="Arial" w:eastAsia="宋体" w:cs="Arial"/>
        </w:rPr>
        <w:t>指南器械（3）于销售该器械前获得食品药品监督管理局做出的实质等同认定。</w:t>
      </w:r>
    </w:p>
    <w:p w14:paraId="7A322C1D">
      <w:pPr>
        <w:snapToGrid w:val="0"/>
        <w:spacing w:line="300" w:lineRule="auto"/>
        <w:rPr>
          <w:rFonts w:ascii="Arial" w:hAnsi="Arial" w:eastAsia="宋体" w:cs="Arial"/>
        </w:rPr>
      </w:pPr>
    </w:p>
    <w:p w14:paraId="5D2073E8">
      <w:pPr>
        <w:snapToGrid w:val="0"/>
        <w:spacing w:line="300" w:lineRule="auto"/>
        <w:rPr>
          <w:rFonts w:ascii="Arial" w:hAnsi="Arial" w:eastAsia="宋体" w:cs="Arial"/>
        </w:rPr>
      </w:pPr>
      <w:r>
        <w:rPr>
          <w:rFonts w:ascii="Arial" w:hAnsi="Arial" w:eastAsia="宋体" w:cs="Arial"/>
        </w:rPr>
        <w:t>本指南确认了</w:t>
      </w:r>
      <w:bookmarkStart w:id="18" w:name="OLE_LINK10"/>
      <w:bookmarkStart w:id="19" w:name="OLE_LINK11"/>
      <w:bookmarkStart w:id="20" w:name="OLE_LINK18"/>
      <w:r>
        <w:rPr>
          <w:rFonts w:ascii="Arial" w:hAnsi="Arial" w:eastAsia="宋体" w:cs="Arial"/>
        </w:rPr>
        <w:t>囊性纤维化核酸检测质控材料</w:t>
      </w:r>
      <w:bookmarkEnd w:id="18"/>
      <w:bookmarkEnd w:id="19"/>
      <w:bookmarkEnd w:id="20"/>
      <w:r>
        <w:rPr>
          <w:rFonts w:ascii="Arial" w:hAnsi="Arial" w:eastAsia="宋体" w:cs="Arial"/>
        </w:rPr>
        <w:t>的分类规则和产品代码（见第4节－</w:t>
      </w:r>
      <w:r>
        <w:rPr>
          <w:rFonts w:ascii="Arial" w:hAnsi="Arial" w:eastAsia="宋体" w:cs="Arial"/>
          <w:b/>
          <w:color w:val="800080"/>
        </w:rPr>
        <w:t>适用范围</w:t>
      </w:r>
      <w:r>
        <w:rPr>
          <w:rFonts w:ascii="Arial" w:hAnsi="Arial" w:eastAsia="宋体" w:cs="Arial"/>
        </w:rPr>
        <w:t>）。另外在本指南的其它部分确认了健康风险并描述了相应的控制措施。制造商若遵从这些措施并与通用控制措施相结合，通常可应对与囊性纤维化核酸检测质控材料相关的健康风险并可使上市前通告（510（k））提交资料及时获得审查和许可。本指南在上市前通告提交资料具体内容要求方面弥补了食品药品监督管理局其它文件的不足之处。贵公司还应参考</w:t>
      </w:r>
      <w:r>
        <w:rPr>
          <w:rFonts w:ascii="Arial" w:hAnsi="Arial" w:eastAsia="宋体" w:cs="Arial"/>
          <w:color w:val="800080"/>
          <w:u w:val="single"/>
        </w:rPr>
        <w:t>21 CFR 807.87</w:t>
      </w:r>
      <w:r>
        <w:rPr>
          <w:rFonts w:ascii="Arial" w:hAnsi="Arial" w:eastAsia="宋体" w:cs="Arial"/>
        </w:rPr>
        <w:t>和食品药品监督管理局关于该主题的其它文件，如可在该网址下载的文件：</w:t>
      </w:r>
      <w:r>
        <w:fldChar w:fldCharType="begin"/>
      </w:r>
      <w:r>
        <w:instrText xml:space="preserve"> HYPERLINK "http://www.fda.gov/MedicalDevices/DeviceRegulationandGuidance/default.htm" </w:instrText>
      </w:r>
      <w:r>
        <w:fldChar w:fldCharType="separate"/>
      </w:r>
      <w:r>
        <w:rPr>
          <w:rStyle w:val="8"/>
          <w:rFonts w:ascii="Arial" w:hAnsi="Arial" w:eastAsia="宋体" w:cs="Arial"/>
          <w:color w:val="800080"/>
        </w:rPr>
        <w:t>http://www.fda.gov/MedicalDevices/DeviceRegulationandGuidance/default.htm</w:t>
      </w:r>
      <w:r>
        <w:rPr>
          <w:rStyle w:val="8"/>
          <w:rFonts w:ascii="Arial" w:hAnsi="Arial" w:eastAsia="宋体" w:cs="Arial"/>
          <w:color w:val="800080"/>
        </w:rPr>
        <w:fldChar w:fldCharType="end"/>
      </w:r>
      <w:r>
        <w:rPr>
          <w:rFonts w:ascii="Arial" w:hAnsi="Arial" w:eastAsia="宋体" w:cs="Arial"/>
        </w:rPr>
        <w:t>。</w:t>
      </w:r>
    </w:p>
    <w:p w14:paraId="4F33F9E5">
      <w:pPr>
        <w:snapToGrid w:val="0"/>
        <w:spacing w:line="300" w:lineRule="auto"/>
        <w:rPr>
          <w:rFonts w:ascii="Arial" w:hAnsi="Arial" w:eastAsia="宋体" w:cs="Arial"/>
        </w:rPr>
      </w:pPr>
    </w:p>
    <w:p w14:paraId="7080498F">
      <w:pPr>
        <w:snapToGrid w:val="0"/>
        <w:spacing w:line="300" w:lineRule="auto"/>
        <w:rPr>
          <w:rFonts w:ascii="Arial" w:hAnsi="Arial" w:eastAsia="宋体" w:cs="Arial"/>
          <w:b/>
        </w:rPr>
      </w:pPr>
      <w:r>
        <w:rPr>
          <w:rFonts w:ascii="Arial" w:hAnsi="Arial" w:eastAsia="宋体" w:cs="Arial"/>
          <w:b/>
        </w:rPr>
        <w:t>3. 简化510（k）提交资料</w:t>
      </w:r>
    </w:p>
    <w:p w14:paraId="3E2E5DFC">
      <w:pPr>
        <w:snapToGrid w:val="0"/>
        <w:spacing w:line="300" w:lineRule="auto"/>
        <w:rPr>
          <w:rFonts w:ascii="Arial" w:hAnsi="Arial" w:eastAsia="宋体" w:cs="Arial"/>
        </w:rPr>
      </w:pPr>
    </w:p>
    <w:p w14:paraId="1E5519BF">
      <w:pPr>
        <w:snapToGrid w:val="0"/>
        <w:spacing w:line="300" w:lineRule="auto"/>
        <w:rPr>
          <w:rFonts w:ascii="Arial" w:hAnsi="Arial" w:eastAsia="宋体" w:cs="Arial"/>
        </w:rPr>
      </w:pPr>
      <w:r>
        <w:rPr>
          <w:rFonts w:ascii="Arial" w:hAnsi="Arial" w:eastAsia="宋体" w:cs="Arial"/>
        </w:rPr>
        <w:t>如“</w:t>
      </w:r>
      <w:r>
        <w:rPr>
          <w:rFonts w:ascii="Arial" w:hAnsi="Arial" w:eastAsia="宋体" w:cs="Arial"/>
          <w:b/>
          <w:color w:val="800080"/>
          <w:u w:val="single"/>
        </w:rPr>
        <w:t>510（k）新范本－在上市前通告中证明实质等同的备选方法；最终指南</w:t>
      </w:r>
      <w:r>
        <w:rPr>
          <w:rFonts w:ascii="Arial" w:hAnsi="Arial" w:eastAsia="宋体" w:cs="Arial"/>
        </w:rPr>
        <w:t>”所述，制造商既可提交传统510（k）提交资料，亦可提交简化510（k）提交资料。依据食品药品监督管理局认可的共识标准、特殊控制措施或食品药品监督管理局指南，简化510（k）提交资料提供了一个合理安排510（k）数据审查的方法。关于简化和传统510（k）提交资料内容与格式的指导原则可从“</w:t>
      </w:r>
      <w:r>
        <w:rPr>
          <w:rFonts w:ascii="Arial" w:hAnsi="Arial" w:eastAsia="宋体" w:cs="Arial"/>
          <w:color w:val="800080"/>
          <w:u w:val="single"/>
        </w:rPr>
        <w:t>传统和简化510（k）提交资料格式</w:t>
      </w:r>
      <w:r>
        <w:rPr>
          <w:rFonts w:ascii="Arial" w:hAnsi="Arial" w:eastAsia="宋体" w:cs="Arial"/>
        </w:rPr>
        <w:t>”中查到。亦见法案第514（c）（1）（B）部分和食品药品监督管理局指南“</w:t>
      </w:r>
      <w:r>
        <w:rPr>
          <w:rFonts w:ascii="Arial" w:hAnsi="Arial" w:eastAsia="宋体" w:cs="Arial"/>
          <w:b/>
          <w:color w:val="800080"/>
          <w:u w:val="single"/>
        </w:rPr>
        <w:t>标准在实质等同认定中的应用</w:t>
      </w:r>
      <w:r>
        <w:rPr>
          <w:rFonts w:ascii="Arial" w:hAnsi="Arial" w:eastAsia="宋体" w:cs="Arial"/>
        </w:rPr>
        <w:t>”。</w:t>
      </w:r>
    </w:p>
    <w:p w14:paraId="53834EB0">
      <w:pPr>
        <w:snapToGrid w:val="0"/>
        <w:spacing w:line="300" w:lineRule="auto"/>
        <w:rPr>
          <w:rFonts w:ascii="Arial" w:hAnsi="Arial" w:eastAsia="宋体" w:cs="Arial"/>
        </w:rPr>
      </w:pPr>
    </w:p>
    <w:p w14:paraId="3AA43C19">
      <w:pPr>
        <w:snapToGrid w:val="0"/>
        <w:spacing w:line="300" w:lineRule="auto"/>
        <w:rPr>
          <w:rFonts w:ascii="Arial" w:hAnsi="Arial" w:eastAsia="宋体" w:cs="Arial"/>
          <w:b/>
        </w:rPr>
      </w:pPr>
      <w:r>
        <w:rPr>
          <w:rFonts w:ascii="Arial" w:hAnsi="Arial" w:eastAsia="宋体" w:cs="Arial"/>
          <w:b/>
        </w:rPr>
        <w:t>4. 适用范围</w:t>
      </w:r>
    </w:p>
    <w:p w14:paraId="45C363B6">
      <w:pPr>
        <w:snapToGrid w:val="0"/>
        <w:spacing w:line="300" w:lineRule="auto"/>
        <w:rPr>
          <w:rFonts w:ascii="Arial" w:hAnsi="Arial" w:eastAsia="宋体" w:cs="Arial"/>
        </w:rPr>
      </w:pPr>
    </w:p>
    <w:p w14:paraId="669892CF">
      <w:pPr>
        <w:snapToGrid w:val="0"/>
        <w:spacing w:line="300" w:lineRule="auto"/>
        <w:rPr>
          <w:rFonts w:ascii="Arial" w:hAnsi="Arial" w:eastAsia="宋体" w:cs="Arial"/>
        </w:rPr>
      </w:pPr>
      <w:r>
        <w:rPr>
          <w:rFonts w:ascii="Arial" w:hAnsi="Arial" w:eastAsia="宋体" w:cs="Arial"/>
        </w:rPr>
        <w:t>本文件的适用范围限于21 CFR 866.5910描述的下列器械（产品代码：NZB）：</w:t>
      </w:r>
    </w:p>
    <w:p w14:paraId="557BB907">
      <w:pPr>
        <w:snapToGrid w:val="0"/>
        <w:spacing w:line="300" w:lineRule="auto"/>
        <w:rPr>
          <w:rFonts w:ascii="Arial" w:hAnsi="Arial" w:eastAsia="宋体" w:cs="Arial"/>
        </w:rPr>
      </w:pPr>
    </w:p>
    <w:p w14:paraId="230ADAA0">
      <w:pPr>
        <w:snapToGrid w:val="0"/>
        <w:spacing w:line="300" w:lineRule="auto"/>
        <w:rPr>
          <w:rFonts w:ascii="Arial" w:hAnsi="Arial" w:eastAsia="宋体" w:cs="Arial"/>
        </w:rPr>
      </w:pPr>
      <w:r>
        <w:rPr>
          <w:rFonts w:ascii="Arial" w:hAnsi="Arial" w:eastAsia="宋体" w:cs="Arial"/>
        </w:rPr>
        <w:t xml:space="preserve">21 CFR § 866.5910 </w:t>
      </w:r>
      <w:bookmarkStart w:id="21" w:name="OLE_LINK30"/>
      <w:bookmarkStart w:id="22" w:name="OLE_LINK33"/>
      <w:r>
        <w:rPr>
          <w:rFonts w:ascii="Arial" w:hAnsi="Arial" w:eastAsia="宋体" w:cs="Arial"/>
        </w:rPr>
        <w:t>囊性纤维化核酸检测质控材料</w:t>
      </w:r>
      <w:bookmarkEnd w:id="21"/>
      <w:bookmarkEnd w:id="22"/>
      <w:r>
        <w:rPr>
          <w:rFonts w:ascii="Arial" w:hAnsi="Arial" w:eastAsia="宋体" w:cs="Arial"/>
        </w:rPr>
        <w:t>。囊性纤维化核酸检测质控材料是一种拟通过发现分析偏差（如基因检测过程中由试剂或仪器变动产生的偏差）而帮助监测检测系统可靠性的器械。这种器械包括重组、合成和基于细胞株的DNA对照。</w:t>
      </w:r>
    </w:p>
    <w:p w14:paraId="540E3449">
      <w:pPr>
        <w:snapToGrid w:val="0"/>
        <w:spacing w:line="300" w:lineRule="auto"/>
        <w:rPr>
          <w:rFonts w:ascii="Arial" w:hAnsi="Arial" w:eastAsia="宋体" w:cs="Arial"/>
        </w:rPr>
      </w:pPr>
    </w:p>
    <w:p w14:paraId="772155CA">
      <w:pPr>
        <w:snapToGrid w:val="0"/>
        <w:spacing w:line="300" w:lineRule="auto"/>
        <w:rPr>
          <w:rFonts w:ascii="Arial" w:hAnsi="Arial" w:eastAsia="宋体" w:cs="Arial"/>
        </w:rPr>
      </w:pPr>
      <w:r>
        <w:rPr>
          <w:rFonts w:ascii="Arial" w:hAnsi="Arial" w:eastAsia="宋体" w:cs="Arial"/>
        </w:rPr>
        <w:t>本指南描述的推荐规范还可适用于基因和遗传药理检验中使用的其它类型质控材料。然而，这些推荐规范并不能完全应对与传染因子检验中使用的质控材料有关的问题，亦不能应对RNA质控材料的相关问题。</w:t>
      </w:r>
    </w:p>
    <w:p w14:paraId="052D7CAC">
      <w:pPr>
        <w:snapToGrid w:val="0"/>
        <w:spacing w:line="300" w:lineRule="auto"/>
        <w:rPr>
          <w:rFonts w:ascii="Arial" w:hAnsi="Arial" w:eastAsia="宋体" w:cs="Arial"/>
        </w:rPr>
      </w:pPr>
    </w:p>
    <w:p w14:paraId="2F865191">
      <w:pPr>
        <w:widowControl/>
        <w:jc w:val="left"/>
        <w:rPr>
          <w:rFonts w:ascii="Arial" w:hAnsi="Arial" w:eastAsia="宋体" w:cs="Arial"/>
          <w:b/>
        </w:rPr>
      </w:pPr>
      <w:r>
        <w:rPr>
          <w:rFonts w:ascii="Arial" w:hAnsi="Arial" w:eastAsia="宋体" w:cs="Arial"/>
          <w:b/>
        </w:rPr>
        <w:br w:type="page"/>
      </w:r>
    </w:p>
    <w:p w14:paraId="7046BDAC">
      <w:pPr>
        <w:snapToGrid w:val="0"/>
        <w:spacing w:line="300" w:lineRule="auto"/>
        <w:rPr>
          <w:rFonts w:ascii="Arial" w:hAnsi="Arial" w:eastAsia="宋体" w:cs="Arial"/>
          <w:b/>
        </w:rPr>
      </w:pPr>
      <w:r>
        <w:rPr>
          <w:rFonts w:ascii="Arial" w:hAnsi="Arial" w:eastAsia="宋体" w:cs="Arial"/>
          <w:b/>
        </w:rPr>
        <w:t>5. 健康风险</w:t>
      </w:r>
    </w:p>
    <w:p w14:paraId="76535D20">
      <w:pPr>
        <w:snapToGrid w:val="0"/>
        <w:spacing w:line="300" w:lineRule="auto"/>
        <w:rPr>
          <w:rFonts w:ascii="Arial" w:hAnsi="Arial" w:eastAsia="宋体" w:cs="Arial"/>
        </w:rPr>
      </w:pPr>
    </w:p>
    <w:p w14:paraId="4C812FEA">
      <w:pPr>
        <w:snapToGrid w:val="0"/>
        <w:spacing w:line="300" w:lineRule="auto"/>
        <w:rPr>
          <w:rFonts w:ascii="Arial" w:hAnsi="Arial" w:eastAsia="宋体" w:cs="Arial"/>
        </w:rPr>
      </w:pPr>
      <w:r>
        <w:rPr>
          <w:rFonts w:ascii="Arial" w:hAnsi="Arial" w:eastAsia="宋体" w:cs="Arial"/>
        </w:rPr>
        <w:t>质控材料拟用来帮助监测检测系统的可靠性。因此，按标示使用</w:t>
      </w:r>
      <w:bookmarkStart w:id="23" w:name="OLE_LINK36"/>
      <w:bookmarkStart w:id="24" w:name="OLE_LINK37"/>
      <w:r>
        <w:rPr>
          <w:rFonts w:ascii="Arial" w:hAnsi="Arial" w:eastAsia="宋体" w:cs="Arial"/>
        </w:rPr>
        <w:t>囊性纤维化核酸检测质控材料</w:t>
      </w:r>
      <w:bookmarkEnd w:id="23"/>
      <w:bookmarkEnd w:id="24"/>
      <w:r>
        <w:rPr>
          <w:rFonts w:ascii="Arial" w:hAnsi="Arial" w:eastAsia="宋体" w:cs="Arial"/>
        </w:rPr>
        <w:t>进行检测时出现故障可导致检验结果评估错误和结果报告不准确。这有可能导致患者管理不当。例如，即便检测系统是准确的，如果对照失效，可导致不必要的检测和结果报告延迟。假如患者标本难以获得，可给患者带来附加风险。反之，检测系统出现故障时，如果质控材料不能准确反映，可导致检测运转性能的虚假保证和报告不准确的患者结果。使用患者标本进行检测时不能准确反映检测系统故障可归因于质控材料未监测到系统或标本的所有错误或变异。在某些情况下，对照可能只打算监测某些类型的系统或标本错误或变异。因此，制造商向用户澄清对照拟监测检测性能的哪些方面是至关重要的。</w:t>
      </w:r>
    </w:p>
    <w:p w14:paraId="7E5C5DF4">
      <w:pPr>
        <w:snapToGrid w:val="0"/>
        <w:spacing w:line="300" w:lineRule="auto"/>
        <w:rPr>
          <w:rFonts w:ascii="Arial" w:hAnsi="Arial" w:eastAsia="宋体" w:cs="Arial"/>
        </w:rPr>
      </w:pPr>
    </w:p>
    <w:p w14:paraId="0AB78B3B">
      <w:pPr>
        <w:snapToGrid w:val="0"/>
        <w:spacing w:line="300" w:lineRule="auto"/>
        <w:rPr>
          <w:rFonts w:ascii="Arial" w:hAnsi="Arial" w:eastAsia="宋体" w:cs="Arial"/>
        </w:rPr>
      </w:pPr>
      <w:r>
        <w:rPr>
          <w:rFonts w:ascii="Arial" w:hAnsi="Arial" w:eastAsia="宋体" w:cs="Arial"/>
        </w:rPr>
        <w:t>食品药品监督管理局在下表中确认了通常与使用本文件讨论的囊性纤维化核酸检测质控材料有关的健康风险。如下表所示，本指南给出了为减轻确认风险而推荐的控制措施。贵公司在提交上市前通告前应做一次风险分析，针对贵公司的器械确认任何其它风险。风险可随基因检测所用质控材料的类型、基因检测产品的预期用途、标本类型和质控材料使用方法的不同而有所变化。例如，将外部对照加入受检标本中时，可能存在与外部对照有关的不同的潜在错误。在上市前通告中应对所用风险分析方法做出描述。如果贵公司选择使用备选方法应对本文件确认的风险或确认了本文件所述风险的附加风险，应提供足够细节支持贵公司应对风险所采用的方法。</w:t>
      </w:r>
    </w:p>
    <w:p w14:paraId="58D05F28">
      <w:pPr>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2318"/>
      </w:tblGrid>
      <w:tr w14:paraId="5769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shd w:val="clear" w:color="auto" w:fill="F1F1F1" w:themeFill="background1" w:themeFillShade="F2"/>
          </w:tcPr>
          <w:p w14:paraId="6C7DC2B5">
            <w:pPr>
              <w:snapToGrid w:val="0"/>
              <w:spacing w:line="300" w:lineRule="auto"/>
              <w:rPr>
                <w:rFonts w:ascii="Arial" w:hAnsi="Arial" w:eastAsia="宋体" w:cs="Arial"/>
              </w:rPr>
            </w:pPr>
            <w:bookmarkStart w:id="25" w:name="OLE_LINK112"/>
            <w:bookmarkStart w:id="26" w:name="OLE_LINK117"/>
            <w:bookmarkStart w:id="27" w:name="OLE_LINK38"/>
            <w:bookmarkStart w:id="28" w:name="OLE_LINK116"/>
            <w:bookmarkStart w:id="29" w:name="OLE_LINK113"/>
            <w:bookmarkStart w:id="30" w:name="OLE_LINK35"/>
            <w:r>
              <w:rPr>
                <w:rFonts w:ascii="Arial" w:hAnsi="Arial" w:eastAsia="宋体" w:cs="Arial"/>
              </w:rPr>
              <w:t>确认风险</w:t>
            </w:r>
          </w:p>
        </w:tc>
        <w:tc>
          <w:tcPr>
            <w:tcW w:w="2318" w:type="dxa"/>
            <w:shd w:val="clear" w:color="auto" w:fill="F1F1F1" w:themeFill="background1" w:themeFillShade="F2"/>
          </w:tcPr>
          <w:p w14:paraId="44FD6D05">
            <w:pPr>
              <w:snapToGrid w:val="0"/>
              <w:spacing w:line="300" w:lineRule="auto"/>
              <w:rPr>
                <w:rFonts w:ascii="Arial" w:hAnsi="Arial" w:eastAsia="宋体" w:cs="Arial"/>
              </w:rPr>
            </w:pPr>
            <w:r>
              <w:rPr>
                <w:rFonts w:ascii="Arial" w:hAnsi="Arial" w:eastAsia="宋体" w:cs="Arial"/>
              </w:rPr>
              <w:t>建议采取的</w:t>
            </w:r>
            <w:r>
              <w:rPr>
                <w:rFonts w:hint="eastAsia" w:ascii="Arial" w:hAnsi="Arial" w:eastAsia="宋体" w:cs="Arial"/>
              </w:rPr>
              <w:t>缓解</w:t>
            </w:r>
            <w:r>
              <w:rPr>
                <w:rFonts w:ascii="Arial" w:hAnsi="Arial" w:eastAsia="宋体" w:cs="Arial"/>
              </w:rPr>
              <w:t>措施</w:t>
            </w:r>
          </w:p>
        </w:tc>
      </w:tr>
      <w:tr w14:paraId="130D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1CA7168B">
            <w:pPr>
              <w:snapToGrid w:val="0"/>
              <w:spacing w:line="300" w:lineRule="auto"/>
              <w:rPr>
                <w:rFonts w:ascii="Arial" w:hAnsi="Arial" w:eastAsia="宋体" w:cs="Arial"/>
              </w:rPr>
            </w:pPr>
            <w:r>
              <w:rPr>
                <w:rFonts w:ascii="Arial" w:hAnsi="Arial" w:eastAsia="宋体" w:cs="Arial"/>
              </w:rPr>
              <w:t>对照失效（包括不能反映检测系统故障），其可能导致：</w:t>
            </w:r>
          </w:p>
        </w:tc>
        <w:tc>
          <w:tcPr>
            <w:tcW w:w="2318" w:type="dxa"/>
            <w:vMerge w:val="restart"/>
          </w:tcPr>
          <w:p w14:paraId="588B8303">
            <w:pPr>
              <w:snapToGrid w:val="0"/>
              <w:spacing w:line="300" w:lineRule="auto"/>
              <w:rPr>
                <w:rFonts w:ascii="Arial" w:hAnsi="Arial" w:eastAsia="宋体" w:cs="Arial"/>
              </w:rPr>
            </w:pPr>
            <w:r>
              <w:rPr>
                <w:rFonts w:ascii="Arial" w:hAnsi="Arial" w:eastAsia="宋体" w:cs="Arial"/>
              </w:rPr>
              <w:t>第7-8节</w:t>
            </w:r>
          </w:p>
        </w:tc>
      </w:tr>
      <w:tr w14:paraId="3AC6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77E56637">
            <w:pPr>
              <w:snapToGrid w:val="0"/>
              <w:spacing w:line="300" w:lineRule="auto"/>
              <w:rPr>
                <w:rFonts w:ascii="Arial" w:hAnsi="Arial" w:eastAsia="宋体" w:cs="Arial"/>
              </w:rPr>
            </w:pPr>
            <w:r>
              <w:rPr>
                <w:rFonts w:ascii="Arial" w:hAnsi="Arial" w:eastAsia="宋体" w:cs="Arial"/>
              </w:rPr>
              <w:t>·诊断延迟</w:t>
            </w:r>
          </w:p>
          <w:p w14:paraId="0A000822">
            <w:pPr>
              <w:snapToGrid w:val="0"/>
              <w:spacing w:line="300" w:lineRule="auto"/>
              <w:rPr>
                <w:rFonts w:ascii="Arial" w:hAnsi="Arial" w:eastAsia="宋体" w:cs="Arial"/>
              </w:rPr>
            </w:pPr>
            <w:r>
              <w:rPr>
                <w:rFonts w:ascii="Arial" w:hAnsi="Arial" w:eastAsia="宋体" w:cs="Arial"/>
              </w:rPr>
              <w:t>·需重新采集患者标本</w:t>
            </w:r>
          </w:p>
          <w:p w14:paraId="57049568">
            <w:pPr>
              <w:snapToGrid w:val="0"/>
              <w:spacing w:line="300" w:lineRule="auto"/>
              <w:rPr>
                <w:rFonts w:ascii="Arial" w:hAnsi="Arial" w:eastAsia="宋体" w:cs="Arial"/>
              </w:rPr>
            </w:pPr>
            <w:r>
              <w:rPr>
                <w:rFonts w:ascii="Arial" w:hAnsi="Arial" w:eastAsia="宋体" w:cs="Arial"/>
              </w:rPr>
              <w:t>·患者管理不当</w:t>
            </w:r>
          </w:p>
        </w:tc>
        <w:tc>
          <w:tcPr>
            <w:tcW w:w="2318" w:type="dxa"/>
            <w:vMerge w:val="continue"/>
          </w:tcPr>
          <w:p w14:paraId="338CF9AC">
            <w:pPr>
              <w:snapToGrid w:val="0"/>
              <w:spacing w:line="300" w:lineRule="auto"/>
              <w:rPr>
                <w:rFonts w:ascii="Arial" w:hAnsi="Arial" w:eastAsia="宋体" w:cs="Arial"/>
              </w:rPr>
            </w:pPr>
          </w:p>
        </w:tc>
      </w:tr>
      <w:bookmarkEnd w:id="25"/>
      <w:bookmarkEnd w:id="26"/>
      <w:bookmarkEnd w:id="27"/>
      <w:bookmarkEnd w:id="28"/>
      <w:bookmarkEnd w:id="29"/>
      <w:bookmarkEnd w:id="30"/>
    </w:tbl>
    <w:p w14:paraId="14510BD8">
      <w:pPr>
        <w:snapToGrid w:val="0"/>
        <w:spacing w:line="300" w:lineRule="auto"/>
        <w:rPr>
          <w:rFonts w:ascii="Arial" w:hAnsi="Arial" w:eastAsia="宋体" w:cs="Arial"/>
        </w:rPr>
      </w:pPr>
    </w:p>
    <w:p w14:paraId="495C2A1C">
      <w:pPr>
        <w:snapToGrid w:val="0"/>
        <w:spacing w:line="300" w:lineRule="auto"/>
        <w:rPr>
          <w:rFonts w:ascii="Arial" w:hAnsi="Arial" w:eastAsia="宋体" w:cs="Arial"/>
          <w:b/>
        </w:rPr>
      </w:pPr>
      <w:r>
        <w:rPr>
          <w:rFonts w:ascii="Arial" w:hAnsi="Arial" w:eastAsia="宋体" w:cs="Arial"/>
          <w:b/>
        </w:rPr>
        <w:t>6. 器械描述</w:t>
      </w:r>
    </w:p>
    <w:p w14:paraId="528C72EB">
      <w:pPr>
        <w:snapToGrid w:val="0"/>
        <w:spacing w:line="300" w:lineRule="auto"/>
        <w:rPr>
          <w:rFonts w:ascii="Arial" w:hAnsi="Arial" w:eastAsia="宋体" w:cs="Arial"/>
        </w:rPr>
      </w:pPr>
    </w:p>
    <w:p w14:paraId="7E40DB6E">
      <w:pPr>
        <w:snapToGrid w:val="0"/>
        <w:spacing w:line="300" w:lineRule="auto"/>
        <w:rPr>
          <w:rFonts w:ascii="Arial" w:hAnsi="Arial" w:eastAsia="宋体" w:cs="Arial"/>
        </w:rPr>
      </w:pPr>
      <w:r>
        <w:rPr>
          <w:rFonts w:ascii="Arial" w:hAnsi="Arial" w:eastAsia="宋体" w:cs="Arial"/>
        </w:rPr>
        <w:t>如适用贵公司应在510（k）提交资料中包含下列类型的信息：</w:t>
      </w:r>
    </w:p>
    <w:p w14:paraId="1F9CFD17">
      <w:pPr>
        <w:snapToGrid w:val="0"/>
        <w:spacing w:line="300" w:lineRule="auto"/>
        <w:rPr>
          <w:rFonts w:ascii="Arial" w:hAnsi="Arial" w:eastAsia="宋体" w:cs="Arial"/>
        </w:rPr>
      </w:pPr>
    </w:p>
    <w:p w14:paraId="0CA51962">
      <w:pPr>
        <w:snapToGrid w:val="0"/>
        <w:spacing w:line="300" w:lineRule="auto"/>
        <w:rPr>
          <w:rFonts w:ascii="Arial" w:hAnsi="Arial" w:eastAsia="宋体" w:cs="Arial"/>
          <w:b/>
        </w:rPr>
      </w:pPr>
      <w:r>
        <w:rPr>
          <w:rFonts w:ascii="Arial" w:hAnsi="Arial" w:eastAsia="宋体" w:cs="Arial"/>
          <w:b/>
        </w:rPr>
        <w:t>预期用途</w:t>
      </w:r>
    </w:p>
    <w:p w14:paraId="16DC05B9">
      <w:pPr>
        <w:snapToGrid w:val="0"/>
        <w:spacing w:line="300" w:lineRule="auto"/>
        <w:rPr>
          <w:rFonts w:ascii="Arial" w:hAnsi="Arial" w:eastAsia="宋体" w:cs="Arial"/>
        </w:rPr>
      </w:pPr>
    </w:p>
    <w:p w14:paraId="41604128">
      <w:pPr>
        <w:snapToGrid w:val="0"/>
        <w:spacing w:line="300" w:lineRule="auto"/>
        <w:rPr>
          <w:rFonts w:ascii="Arial" w:hAnsi="Arial" w:eastAsia="宋体" w:cs="Arial"/>
        </w:rPr>
      </w:pPr>
      <w:r>
        <w:rPr>
          <w:rFonts w:ascii="Arial" w:hAnsi="Arial" w:eastAsia="宋体" w:cs="Arial"/>
        </w:rPr>
        <w:t>贵公司应详细描述下列信息：</w:t>
      </w:r>
    </w:p>
    <w:p w14:paraId="4E0394D6">
      <w:pPr>
        <w:widowControl/>
        <w:jc w:val="left"/>
        <w:rPr>
          <w:rFonts w:ascii="Arial" w:hAnsi="Arial" w:eastAsia="宋体" w:cs="Arial"/>
        </w:rPr>
      </w:pPr>
      <w:r>
        <w:rPr>
          <w:rFonts w:ascii="Arial" w:hAnsi="Arial" w:eastAsia="宋体" w:cs="Arial"/>
        </w:rPr>
        <w:br w:type="page"/>
      </w:r>
    </w:p>
    <w:p w14:paraId="480F8183">
      <w:pPr>
        <w:pStyle w:val="13"/>
        <w:numPr>
          <w:ilvl w:val="0"/>
          <w:numId w:val="1"/>
        </w:numPr>
        <w:snapToGrid w:val="0"/>
        <w:spacing w:line="300" w:lineRule="auto"/>
        <w:ind w:firstLineChars="0"/>
        <w:rPr>
          <w:rFonts w:ascii="Arial" w:hAnsi="Arial" w:eastAsia="宋体" w:cs="Arial"/>
        </w:rPr>
      </w:pPr>
      <w:r>
        <w:rPr>
          <w:rFonts w:ascii="Arial" w:hAnsi="Arial" w:eastAsia="宋体" w:cs="Arial"/>
        </w:rPr>
        <w:t>质控材料拟监测的基因检测或检测类型，其中包括被测物、方法、技术特征（包括分析仪，若适用的话）和基质。</w:t>
      </w:r>
    </w:p>
    <w:p w14:paraId="0CB7970E">
      <w:pPr>
        <w:pStyle w:val="13"/>
        <w:numPr>
          <w:ilvl w:val="0"/>
          <w:numId w:val="1"/>
        </w:numPr>
        <w:snapToGrid w:val="0"/>
        <w:spacing w:line="300" w:lineRule="auto"/>
        <w:ind w:firstLineChars="0"/>
        <w:rPr>
          <w:rFonts w:ascii="Arial" w:hAnsi="Arial" w:eastAsia="宋体" w:cs="Arial"/>
        </w:rPr>
      </w:pPr>
      <w:r>
        <w:rPr>
          <w:rFonts w:ascii="Arial" w:hAnsi="Arial" w:eastAsia="宋体" w:cs="Arial"/>
        </w:rPr>
        <w:t>质控材料拟监测的分析步骤或检测产品的组成部分（如提取、扩增和/或检测）。</w:t>
      </w:r>
    </w:p>
    <w:p w14:paraId="712064CE">
      <w:pPr>
        <w:snapToGrid w:val="0"/>
        <w:spacing w:line="300" w:lineRule="auto"/>
        <w:rPr>
          <w:rFonts w:ascii="Arial" w:hAnsi="Arial" w:eastAsia="宋体" w:cs="Arial"/>
        </w:rPr>
      </w:pPr>
    </w:p>
    <w:p w14:paraId="20161B19">
      <w:pPr>
        <w:snapToGrid w:val="0"/>
        <w:spacing w:line="300" w:lineRule="auto"/>
        <w:rPr>
          <w:rFonts w:ascii="Arial" w:hAnsi="Arial" w:eastAsia="宋体" w:cs="Arial"/>
          <w:b/>
        </w:rPr>
      </w:pPr>
      <w:r>
        <w:rPr>
          <w:rFonts w:ascii="Arial" w:hAnsi="Arial" w:eastAsia="宋体" w:cs="Arial"/>
          <w:b/>
        </w:rPr>
        <w:t>材料描述</w:t>
      </w:r>
    </w:p>
    <w:p w14:paraId="43E93D00">
      <w:pPr>
        <w:snapToGrid w:val="0"/>
        <w:spacing w:line="300" w:lineRule="auto"/>
        <w:rPr>
          <w:rFonts w:ascii="Arial" w:hAnsi="Arial" w:eastAsia="宋体" w:cs="Arial"/>
        </w:rPr>
      </w:pPr>
    </w:p>
    <w:p w14:paraId="4D818878">
      <w:pPr>
        <w:snapToGrid w:val="0"/>
        <w:spacing w:line="300" w:lineRule="auto"/>
        <w:rPr>
          <w:rFonts w:ascii="Arial" w:hAnsi="Arial" w:eastAsia="宋体" w:cs="Arial"/>
        </w:rPr>
      </w:pPr>
      <w:r>
        <w:rPr>
          <w:rFonts w:ascii="Arial" w:hAnsi="Arial" w:eastAsia="宋体" w:cs="Arial"/>
        </w:rPr>
        <w:t>贵公司应在510（k）提交资料中包含有关质控材料构成的下列信息：</w:t>
      </w:r>
    </w:p>
    <w:p w14:paraId="44283B17">
      <w:pPr>
        <w:snapToGrid w:val="0"/>
        <w:spacing w:line="300" w:lineRule="auto"/>
        <w:rPr>
          <w:rFonts w:ascii="Arial" w:hAnsi="Arial" w:eastAsia="宋体" w:cs="Arial"/>
        </w:rPr>
      </w:pPr>
    </w:p>
    <w:p w14:paraId="705A1827">
      <w:pPr>
        <w:pStyle w:val="13"/>
        <w:numPr>
          <w:ilvl w:val="0"/>
          <w:numId w:val="2"/>
        </w:numPr>
        <w:snapToGrid w:val="0"/>
        <w:spacing w:line="300" w:lineRule="auto"/>
        <w:ind w:firstLineChars="0"/>
        <w:rPr>
          <w:rFonts w:ascii="Arial" w:hAnsi="Arial" w:eastAsia="宋体" w:cs="Arial"/>
        </w:rPr>
      </w:pPr>
      <w:r>
        <w:rPr>
          <w:rFonts w:ascii="Arial" w:hAnsi="Arial" w:eastAsia="宋体" w:cs="Arial"/>
        </w:rPr>
        <w:t>具体的基因和基因序列。贵公司应对质控材料中包含的具体野生型和突变型等位基因或基因多态做出描述。在描述中应包含这些等位基因或基因多态所代表的外显子和内含子以及所呈现的具体突变或基因多态的位置或具体核酸序列。此时参考检测具体变异的公认标准和操作指南可能是有益的。我们建议在贵公司的对照中除贵公司器械所包含的基因变异外还要包含野生型DNA。如此一来，贵公司的器械中将会包含阳性对照（如突变、变异体）和阴性对照（野生型）。</w:t>
      </w:r>
    </w:p>
    <w:p w14:paraId="797E435E">
      <w:pPr>
        <w:pStyle w:val="13"/>
        <w:numPr>
          <w:ilvl w:val="0"/>
          <w:numId w:val="2"/>
        </w:numPr>
        <w:snapToGrid w:val="0"/>
        <w:spacing w:line="300" w:lineRule="auto"/>
        <w:ind w:firstLineChars="0"/>
        <w:rPr>
          <w:rFonts w:ascii="Arial" w:hAnsi="Arial" w:eastAsia="宋体" w:cs="Arial"/>
        </w:rPr>
      </w:pPr>
      <w:r>
        <w:rPr>
          <w:rFonts w:ascii="Arial" w:hAnsi="Arial" w:eastAsia="宋体" w:cs="Arial"/>
        </w:rPr>
        <w:t>DNA来源信息，如人类或动物、合成或重组。对基于细胞株的对照，贵公司应包含有关细胞株来源、培养所用培养基和（如果贵公司可以得到该信息的话）如何生成细胞株的信息。</w:t>
      </w:r>
    </w:p>
    <w:p w14:paraId="5706FB46">
      <w:pPr>
        <w:pStyle w:val="13"/>
        <w:numPr>
          <w:ilvl w:val="0"/>
          <w:numId w:val="2"/>
        </w:numPr>
        <w:snapToGrid w:val="0"/>
        <w:spacing w:line="300" w:lineRule="auto"/>
        <w:ind w:firstLineChars="0"/>
        <w:rPr>
          <w:rFonts w:ascii="Arial" w:hAnsi="Arial" w:eastAsia="宋体" w:cs="Arial"/>
        </w:rPr>
      </w:pPr>
      <w:r>
        <w:rPr>
          <w:rFonts w:ascii="Arial" w:hAnsi="Arial" w:eastAsia="宋体" w:cs="Arial"/>
        </w:rPr>
        <w:t>每种被测物的浓度和/或容量与所选浓度的相关性。检测产品中所用质控材料的浓度应代表受检标本的典型浓度。</w:t>
      </w:r>
    </w:p>
    <w:p w14:paraId="55E4972A">
      <w:pPr>
        <w:pStyle w:val="13"/>
        <w:numPr>
          <w:ilvl w:val="0"/>
          <w:numId w:val="2"/>
        </w:numPr>
        <w:snapToGrid w:val="0"/>
        <w:spacing w:line="300" w:lineRule="auto"/>
        <w:ind w:firstLineChars="0"/>
        <w:rPr>
          <w:rFonts w:ascii="Arial" w:hAnsi="Arial" w:eastAsia="宋体" w:cs="Arial"/>
        </w:rPr>
      </w:pPr>
      <w:r>
        <w:rPr>
          <w:rFonts w:ascii="Arial" w:hAnsi="Arial" w:eastAsia="宋体" w:cs="Arial"/>
        </w:rPr>
        <w:t>对用户将对质控材料实施的稀释或其它分析前步骤的描述。</w:t>
      </w:r>
    </w:p>
    <w:p w14:paraId="7137373A">
      <w:pPr>
        <w:pStyle w:val="13"/>
        <w:numPr>
          <w:ilvl w:val="0"/>
          <w:numId w:val="2"/>
        </w:numPr>
        <w:snapToGrid w:val="0"/>
        <w:spacing w:line="300" w:lineRule="auto"/>
        <w:ind w:firstLineChars="0"/>
        <w:rPr>
          <w:rFonts w:ascii="Arial" w:hAnsi="Arial" w:eastAsia="宋体" w:cs="Arial"/>
        </w:rPr>
      </w:pPr>
      <w:r>
        <w:rPr>
          <w:rFonts w:ascii="Arial" w:hAnsi="Arial" w:eastAsia="宋体" w:cs="Arial"/>
        </w:rPr>
        <w:t>对从中提取质控材料DNA的基质和影响检测产品性能的任何已知基质效应的描述。基质是指材料系统中除被测物外的所有成分。贵公司应列出所有添加成分、稳定剂、澄清剂、共轭材料、防腐剂等并对这些添加成分是否影响检测产品性能做出描述。</w:t>
      </w:r>
    </w:p>
    <w:p w14:paraId="3D0A2DA8">
      <w:pPr>
        <w:pStyle w:val="13"/>
        <w:numPr>
          <w:ilvl w:val="0"/>
          <w:numId w:val="2"/>
        </w:numPr>
        <w:snapToGrid w:val="0"/>
        <w:spacing w:line="300" w:lineRule="auto"/>
        <w:ind w:firstLineChars="0"/>
        <w:rPr>
          <w:rFonts w:ascii="Arial" w:hAnsi="Arial" w:eastAsia="宋体" w:cs="Arial"/>
        </w:rPr>
      </w:pPr>
      <w:r>
        <w:rPr>
          <w:rFonts w:ascii="Arial" w:hAnsi="Arial" w:eastAsia="宋体" w:cs="Arial"/>
        </w:rPr>
        <w:t>如果贵公司的对照将与之共同使用的某种特殊基因检测产品中包含了反射检测功能且贵公司的质控材料中包含了做为反射物而检测的那些变异体，贵公司应提供清晰的使用说明书，详细描述在反射检测中如何使用贵公司的对照。</w:t>
      </w:r>
    </w:p>
    <w:p w14:paraId="78639CCD">
      <w:pPr>
        <w:pStyle w:val="13"/>
        <w:numPr>
          <w:ilvl w:val="0"/>
          <w:numId w:val="2"/>
        </w:numPr>
        <w:snapToGrid w:val="0"/>
        <w:spacing w:line="300" w:lineRule="auto"/>
        <w:ind w:firstLineChars="0"/>
        <w:rPr>
          <w:rFonts w:ascii="Arial" w:hAnsi="Arial" w:eastAsia="宋体" w:cs="Arial"/>
        </w:rPr>
      </w:pPr>
      <w:r>
        <w:rPr>
          <w:rFonts w:ascii="Arial" w:hAnsi="Arial" w:eastAsia="宋体" w:cs="Arial"/>
        </w:rPr>
        <w:t>对捐赠材料相关特征的描述（适用时）。</w:t>
      </w:r>
    </w:p>
    <w:p w14:paraId="31071010">
      <w:pPr>
        <w:pStyle w:val="13"/>
        <w:numPr>
          <w:ilvl w:val="0"/>
          <w:numId w:val="2"/>
        </w:numPr>
        <w:snapToGrid w:val="0"/>
        <w:spacing w:line="300" w:lineRule="auto"/>
        <w:ind w:firstLineChars="0"/>
        <w:rPr>
          <w:rFonts w:ascii="Arial" w:hAnsi="Arial" w:eastAsia="宋体" w:cs="Arial"/>
        </w:rPr>
      </w:pPr>
      <w:r>
        <w:rPr>
          <w:rFonts w:ascii="Arial" w:hAnsi="Arial" w:eastAsia="宋体" w:cs="Arial"/>
        </w:rPr>
        <w:t>对贵公司检测传染因子所用方法和贵公司对这些试剂进行灭活处理所用方法的简要描述。</w:t>
      </w:r>
      <w:bookmarkStart w:id="31" w:name="OLE_LINK14"/>
      <w:bookmarkStart w:id="32" w:name="OLE_LINK15"/>
      <w:r>
        <w:rPr>
          <w:rFonts w:ascii="Arial" w:hAnsi="Arial" w:eastAsia="宋体" w:cs="Arial"/>
        </w:rPr>
        <w:t>使用血制品时，贵公司应如21 CFR第610部所述，在提交资料中包含一个确认声明。声明的内容是：质控材料中所用动物源/人源成分或所有血制品衍生材料已经通过食品药品监督管理局批准的（或相当公认的）测试且发现传染因子为阴性。</w:t>
      </w:r>
    </w:p>
    <w:bookmarkEnd w:id="31"/>
    <w:bookmarkEnd w:id="32"/>
    <w:p w14:paraId="248C93E1">
      <w:pPr>
        <w:snapToGrid w:val="0"/>
        <w:spacing w:line="300" w:lineRule="auto"/>
        <w:rPr>
          <w:rFonts w:ascii="Arial" w:hAnsi="Arial" w:eastAsia="宋体" w:cs="Arial"/>
        </w:rPr>
      </w:pPr>
    </w:p>
    <w:p w14:paraId="1E3EEF82">
      <w:pPr>
        <w:snapToGrid w:val="0"/>
        <w:spacing w:line="300" w:lineRule="auto"/>
        <w:rPr>
          <w:rFonts w:ascii="Arial" w:hAnsi="Arial" w:eastAsia="宋体" w:cs="Arial"/>
          <w:b/>
        </w:rPr>
      </w:pPr>
      <w:r>
        <w:rPr>
          <w:rFonts w:ascii="Arial" w:hAnsi="Arial" w:eastAsia="宋体" w:cs="Arial"/>
          <w:b/>
        </w:rPr>
        <w:t>7. 性能特征</w:t>
      </w:r>
    </w:p>
    <w:p w14:paraId="6B9A734A">
      <w:pPr>
        <w:snapToGrid w:val="0"/>
        <w:spacing w:line="300" w:lineRule="auto"/>
        <w:rPr>
          <w:rFonts w:ascii="Arial" w:hAnsi="Arial" w:eastAsia="宋体" w:cs="Arial"/>
        </w:rPr>
      </w:pPr>
    </w:p>
    <w:p w14:paraId="099701A1">
      <w:pPr>
        <w:snapToGrid w:val="0"/>
        <w:spacing w:line="300" w:lineRule="auto"/>
        <w:rPr>
          <w:rFonts w:ascii="Arial" w:hAnsi="Arial" w:eastAsia="宋体" w:cs="Arial"/>
        </w:rPr>
      </w:pPr>
      <w:r>
        <w:rPr>
          <w:rFonts w:ascii="Arial" w:hAnsi="Arial" w:eastAsia="宋体" w:cs="Arial"/>
        </w:rPr>
        <w:t>贵公司应在510（k）提交资料中对评价下述每种性能特征时贵公司所用的研究设计做出详细描述。贵公司应提供对贵公司在进行性能检测时所用判定标准和原始未分析结果的描述。贵公司应对贵公司的器械中存在的所有基因变异（包括每个等位基因变异体）做出评价。开展这些研究时应采用经食品药品监督管理局许可或批准的检测产品或公认的参考方法（即双向测序）。下面描述的问题是普遍存在的，与基因检测时采用了什么具体技术或仪器配置无关。</w:t>
      </w:r>
    </w:p>
    <w:p w14:paraId="6310C2CA">
      <w:pPr>
        <w:snapToGrid w:val="0"/>
        <w:spacing w:line="300" w:lineRule="auto"/>
        <w:rPr>
          <w:rFonts w:ascii="Arial" w:hAnsi="Arial" w:eastAsia="宋体" w:cs="Arial"/>
        </w:rPr>
      </w:pPr>
    </w:p>
    <w:p w14:paraId="3ECD3117">
      <w:pPr>
        <w:widowControl/>
        <w:jc w:val="left"/>
        <w:rPr>
          <w:rFonts w:ascii="Arial" w:hAnsi="Arial" w:eastAsia="宋体" w:cs="Arial"/>
          <w:b/>
        </w:rPr>
      </w:pPr>
    </w:p>
    <w:p w14:paraId="4909E16B">
      <w:pPr>
        <w:snapToGrid w:val="0"/>
        <w:spacing w:line="300" w:lineRule="auto"/>
        <w:rPr>
          <w:rFonts w:ascii="Arial" w:hAnsi="Arial" w:eastAsia="宋体" w:cs="Arial"/>
          <w:b/>
        </w:rPr>
      </w:pPr>
      <w:r>
        <w:rPr>
          <w:rFonts w:ascii="Arial" w:hAnsi="Arial" w:eastAsia="宋体" w:cs="Arial"/>
          <w:b/>
        </w:rPr>
        <w:t>分析前因素</w:t>
      </w:r>
    </w:p>
    <w:p w14:paraId="3DAF6803">
      <w:pPr>
        <w:snapToGrid w:val="0"/>
        <w:spacing w:line="300" w:lineRule="auto"/>
        <w:rPr>
          <w:rFonts w:ascii="Arial" w:hAnsi="Arial" w:eastAsia="宋体" w:cs="Arial"/>
          <w:b/>
        </w:rPr>
      </w:pPr>
      <w:r>
        <w:rPr>
          <w:rFonts w:ascii="Arial" w:hAnsi="Arial" w:eastAsia="宋体" w:cs="Arial"/>
          <w:b/>
        </w:rPr>
        <w:t>基质效应</w:t>
      </w:r>
    </w:p>
    <w:p w14:paraId="78FA1E10">
      <w:pPr>
        <w:snapToGrid w:val="0"/>
        <w:spacing w:line="300" w:lineRule="auto"/>
        <w:rPr>
          <w:rFonts w:ascii="Arial" w:hAnsi="Arial" w:eastAsia="宋体" w:cs="Arial"/>
        </w:rPr>
      </w:pPr>
    </w:p>
    <w:p w14:paraId="3C1B0288">
      <w:pPr>
        <w:snapToGrid w:val="0"/>
        <w:spacing w:line="300" w:lineRule="auto"/>
        <w:rPr>
          <w:rFonts w:ascii="Arial" w:hAnsi="Arial" w:eastAsia="宋体" w:cs="Arial"/>
        </w:rPr>
      </w:pPr>
      <w:r>
        <w:rPr>
          <w:rFonts w:ascii="Arial" w:hAnsi="Arial" w:eastAsia="宋体" w:cs="Arial"/>
        </w:rPr>
        <w:t>基质效应是指标本中除被测物外的某种特性对被测物测定值的影响。理论上，质控材料尽可能接近地模拟患者标本的构成，以最大程度地减轻基质效应并反映患者标本的预期性能。然而，为增加质控材料的使用便利度和稳定性，常常在其中加入基质修饰剂，如防腐剂、稳定剂、抗菌剂和澄清剂。某些生产流程（如冻干或灭活）可显著改变质控材料的物理、化学或生物特性。对人体标本的这些偏离可能危害质控材料充分反映检测产品用于“正常”人体标本性能的能力。因此，我们建议贵公司对质控材料的基质效应进行评价，然后判定质控材料的测定结果相对于患者标本是否存在倾向性差异。可通过加入质控材料基质和预期用途、其中被测物浓度代表检测产品测定范围的患者标本并对结果进行比较来评价基质效应。我们建议贵公司在提交资料中包含该检测的预期分析变量对贵公司质控材料的影响，如温度变化、试剂变质或移液或标本转移差错。该检测有助于确保影响患者诊断实验结果的相同因素对采用质控材料所得结果有相似影响，从而提醒用户有可能出现分析差错。与贵公司的质控材料有关时，应将此类检测的结果包含在贵公司的包装说明书中。</w:t>
      </w:r>
    </w:p>
    <w:p w14:paraId="5BA68D2F">
      <w:pPr>
        <w:snapToGrid w:val="0"/>
        <w:spacing w:line="300" w:lineRule="auto"/>
        <w:rPr>
          <w:rFonts w:ascii="Arial" w:hAnsi="Arial" w:eastAsia="宋体" w:cs="Arial"/>
        </w:rPr>
      </w:pPr>
    </w:p>
    <w:p w14:paraId="12EC4A91">
      <w:pPr>
        <w:snapToGrid w:val="0"/>
        <w:spacing w:line="300" w:lineRule="auto"/>
        <w:rPr>
          <w:rFonts w:ascii="Arial" w:hAnsi="Arial" w:eastAsia="宋体" w:cs="Arial"/>
          <w:b/>
        </w:rPr>
      </w:pPr>
      <w:r>
        <w:rPr>
          <w:rFonts w:ascii="Arial" w:hAnsi="Arial" w:eastAsia="宋体" w:cs="Arial"/>
          <w:b/>
        </w:rPr>
        <w:t>提取方法评价</w:t>
      </w:r>
    </w:p>
    <w:p w14:paraId="04536C6E">
      <w:pPr>
        <w:snapToGrid w:val="0"/>
        <w:spacing w:line="300" w:lineRule="auto"/>
        <w:rPr>
          <w:rFonts w:ascii="Arial" w:hAnsi="Arial" w:eastAsia="宋体" w:cs="Arial"/>
        </w:rPr>
      </w:pPr>
    </w:p>
    <w:p w14:paraId="5D85D266">
      <w:pPr>
        <w:snapToGrid w:val="0"/>
        <w:spacing w:line="300" w:lineRule="auto"/>
        <w:rPr>
          <w:rFonts w:ascii="Arial" w:hAnsi="Arial" w:eastAsia="宋体" w:cs="Arial"/>
        </w:rPr>
      </w:pPr>
      <w:r>
        <w:rPr>
          <w:rFonts w:ascii="Arial" w:hAnsi="Arial" w:eastAsia="宋体" w:cs="Arial"/>
        </w:rPr>
        <w:t>由于基质不同，在对检测所需分析前步骤（如稀释、提取、离心或其它预处理）的反应方面，质控材料可能亦不同于患者标本。通常贵公司应采用与准备患者标本相同的操做步骤对贵公司的质控材料进行评价。这些操做步骤包括稀释、提取、离心或其它分析前步骤。贵公司应对这些步骤对贵公司质控材料的再现性、预期结果和稳定性的任何影响做出判定。理论上，质控材料可与患者标本一起处理，以便可能引入差错（如标本残留或污染）的操作事故亦可能发生在对照中。然而，在某些情况下，仅打算将质控材料用于监测某些分析步骤。如果本质控材料属于这种情况，贵公司应在贴标中予以澄清。</w:t>
      </w:r>
    </w:p>
    <w:p w14:paraId="26D91FB6">
      <w:pPr>
        <w:snapToGrid w:val="0"/>
        <w:spacing w:line="300" w:lineRule="auto"/>
        <w:rPr>
          <w:rFonts w:ascii="Arial" w:hAnsi="Arial" w:eastAsia="宋体" w:cs="Arial"/>
        </w:rPr>
      </w:pPr>
    </w:p>
    <w:p w14:paraId="274C6A16">
      <w:pPr>
        <w:snapToGrid w:val="0"/>
        <w:spacing w:line="300" w:lineRule="auto"/>
        <w:rPr>
          <w:rFonts w:ascii="Arial" w:hAnsi="Arial" w:eastAsia="宋体" w:cs="Arial"/>
        </w:rPr>
      </w:pPr>
      <w:r>
        <w:rPr>
          <w:rFonts w:ascii="Arial" w:hAnsi="Arial" w:eastAsia="宋体" w:cs="Arial"/>
        </w:rPr>
        <w:t>我们建议贵公司</w:t>
      </w:r>
      <w:r>
        <w:rPr>
          <w:rStyle w:val="12"/>
          <w:rFonts w:ascii="Arial" w:hAnsi="Arial" w:eastAsia="宋体" w:cs="Arial"/>
        </w:rPr>
        <w:t>评估常规提取技术提取DNA质量控制材料的能力。</w:t>
      </w:r>
      <w:r>
        <w:rPr>
          <w:rFonts w:ascii="Arial" w:hAnsi="Arial" w:eastAsia="宋体" w:cs="Arial"/>
        </w:rPr>
        <w:t>对常用提取技术用于提取贵公司的DNA质控材料的能力进行评价。贵公司应在510（k）提交资料中包含关于贵公司所评价的提取步骤和所得结果的具体信息。如果适用的话，贵公司还应详细描述对贵公司的质控材料进行纯化和/或定量时贵公司测试的所有其它方法。</w:t>
      </w:r>
    </w:p>
    <w:p w14:paraId="236D37CB">
      <w:pPr>
        <w:snapToGrid w:val="0"/>
        <w:spacing w:line="300" w:lineRule="auto"/>
        <w:rPr>
          <w:rFonts w:ascii="Arial" w:hAnsi="Arial" w:eastAsia="宋体" w:cs="Arial"/>
        </w:rPr>
      </w:pPr>
    </w:p>
    <w:p w14:paraId="77040241">
      <w:pPr>
        <w:snapToGrid w:val="0"/>
        <w:spacing w:line="300" w:lineRule="auto"/>
        <w:rPr>
          <w:rFonts w:ascii="Arial" w:hAnsi="Arial" w:eastAsia="宋体" w:cs="Arial"/>
        </w:rPr>
      </w:pPr>
      <w:r>
        <w:rPr>
          <w:rFonts w:ascii="Arial" w:hAnsi="Arial" w:eastAsia="宋体" w:cs="Arial"/>
        </w:rPr>
        <w:t>对贵公司质控材料的性能进行评价的外部场所还应对提取和纯化步骤做出评价。我们建议贵公司允许外部场所使用他们通常使用的任何提取和纯化规程，以便贵公司可对分析前流程变异对贵公司对照性能的影响进行评价。</w:t>
      </w:r>
    </w:p>
    <w:p w14:paraId="356E2668">
      <w:pPr>
        <w:snapToGrid w:val="0"/>
        <w:spacing w:line="300" w:lineRule="auto"/>
        <w:rPr>
          <w:rFonts w:ascii="Arial" w:hAnsi="Arial" w:eastAsia="宋体" w:cs="Arial"/>
        </w:rPr>
      </w:pPr>
    </w:p>
    <w:p w14:paraId="48A6BFCB">
      <w:pPr>
        <w:snapToGrid w:val="0"/>
        <w:spacing w:line="300" w:lineRule="auto"/>
        <w:rPr>
          <w:rFonts w:ascii="Arial" w:hAnsi="Arial" w:eastAsia="宋体" w:cs="Arial"/>
          <w:b/>
        </w:rPr>
      </w:pPr>
      <w:r>
        <w:rPr>
          <w:rFonts w:ascii="Arial" w:hAnsi="Arial" w:eastAsia="宋体" w:cs="Arial"/>
          <w:b/>
        </w:rPr>
        <w:t>分析性能</w:t>
      </w:r>
    </w:p>
    <w:p w14:paraId="7FBC550F">
      <w:pPr>
        <w:snapToGrid w:val="0"/>
        <w:spacing w:line="300" w:lineRule="auto"/>
        <w:rPr>
          <w:rFonts w:ascii="Arial" w:hAnsi="Arial" w:eastAsia="宋体" w:cs="Arial"/>
          <w:b/>
        </w:rPr>
      </w:pPr>
      <w:r>
        <w:rPr>
          <w:rFonts w:ascii="Arial" w:hAnsi="Arial" w:eastAsia="宋体" w:cs="Arial"/>
          <w:b/>
        </w:rPr>
        <w:t>浓度限值</w:t>
      </w:r>
    </w:p>
    <w:p w14:paraId="6FEC5402">
      <w:pPr>
        <w:snapToGrid w:val="0"/>
        <w:spacing w:line="300" w:lineRule="auto"/>
        <w:rPr>
          <w:rFonts w:ascii="Arial" w:hAnsi="Arial" w:eastAsia="宋体" w:cs="Arial"/>
        </w:rPr>
      </w:pPr>
    </w:p>
    <w:p w14:paraId="5EFE289C">
      <w:pPr>
        <w:snapToGrid w:val="0"/>
        <w:spacing w:line="300" w:lineRule="auto"/>
        <w:rPr>
          <w:rFonts w:ascii="Arial" w:hAnsi="Arial" w:eastAsia="宋体" w:cs="Arial"/>
        </w:rPr>
      </w:pPr>
      <w:r>
        <w:rPr>
          <w:rFonts w:ascii="Arial" w:hAnsi="Arial" w:eastAsia="宋体" w:cs="Arial"/>
        </w:rPr>
        <w:t>我们建议贵公司对包含临床标本可能输入范围的质控材料浓度进行检测，然后根据浓度和标本容量确定</w:t>
      </w:r>
      <w:bookmarkStart w:id="33" w:name="OLE_LINK26"/>
      <w:r>
        <w:rPr>
          <w:rFonts w:ascii="Arial" w:hAnsi="Arial" w:eastAsia="宋体" w:cs="Arial"/>
        </w:rPr>
        <w:t>该检测产品</w:t>
      </w:r>
      <w:bookmarkEnd w:id="33"/>
      <w:r>
        <w:rPr>
          <w:rFonts w:ascii="Arial" w:hAnsi="Arial" w:eastAsia="宋体" w:cs="Arial"/>
        </w:rPr>
        <w:t>可重复产生正确结果的上限和下限。</w:t>
      </w:r>
    </w:p>
    <w:p w14:paraId="18AE4A7A">
      <w:pPr>
        <w:snapToGrid w:val="0"/>
        <w:spacing w:line="300" w:lineRule="auto"/>
        <w:rPr>
          <w:rFonts w:ascii="Arial" w:hAnsi="Arial" w:eastAsia="宋体" w:cs="Arial"/>
          <w:b/>
        </w:rPr>
      </w:pPr>
    </w:p>
    <w:p w14:paraId="07A2B492">
      <w:pPr>
        <w:snapToGrid w:val="0"/>
        <w:spacing w:line="300" w:lineRule="auto"/>
        <w:rPr>
          <w:rFonts w:ascii="Arial" w:hAnsi="Arial" w:eastAsia="宋体" w:cs="Arial"/>
        </w:rPr>
      </w:pPr>
      <w:r>
        <w:rPr>
          <w:rFonts w:ascii="Arial" w:hAnsi="Arial" w:eastAsia="宋体" w:cs="Arial"/>
          <w:b/>
        </w:rPr>
        <w:t>可追溯性、预期结果</w:t>
      </w:r>
    </w:p>
    <w:p w14:paraId="2F41C2A8">
      <w:pPr>
        <w:snapToGrid w:val="0"/>
        <w:spacing w:line="288" w:lineRule="auto"/>
        <w:rPr>
          <w:rFonts w:ascii="Arial" w:hAnsi="Arial" w:eastAsia="宋体" w:cs="Arial"/>
        </w:rPr>
      </w:pPr>
      <w:r>
        <w:rPr>
          <w:rFonts w:ascii="Arial" w:hAnsi="Arial" w:eastAsia="宋体" w:cs="Arial"/>
        </w:rPr>
        <w:t>贵公司应提供对确认在贵公司的质控材料中包含的野生型材料和各种突变或基因多态的存在与数量所用方法的描述。确认方法可包括对标准品的双向测序或可追溯性。贵公司应提供质控材料所含每种基因变异的检测结果。</w:t>
      </w:r>
    </w:p>
    <w:p w14:paraId="778118C5">
      <w:pPr>
        <w:snapToGrid w:val="0"/>
        <w:spacing w:line="288" w:lineRule="auto"/>
        <w:rPr>
          <w:rFonts w:ascii="Arial" w:hAnsi="Arial" w:eastAsia="宋体" w:cs="Arial"/>
        </w:rPr>
      </w:pPr>
    </w:p>
    <w:p w14:paraId="41B4B31B">
      <w:pPr>
        <w:snapToGrid w:val="0"/>
        <w:spacing w:line="288" w:lineRule="auto"/>
        <w:rPr>
          <w:rFonts w:ascii="Arial" w:hAnsi="Arial" w:eastAsia="宋体" w:cs="Arial"/>
        </w:rPr>
      </w:pPr>
      <w:r>
        <w:rPr>
          <w:rFonts w:ascii="Arial" w:hAnsi="Arial" w:eastAsia="宋体" w:cs="Arial"/>
        </w:rPr>
        <w:t>如果可能的话，贵公司应对贵公司质控材料的可追溯性做出描述，包括贵公司赋值时使用的规程、贵公司的结果和该检测方法的判定标准。</w:t>
      </w:r>
    </w:p>
    <w:p w14:paraId="24F27300">
      <w:pPr>
        <w:snapToGrid w:val="0"/>
        <w:spacing w:line="288" w:lineRule="auto"/>
        <w:rPr>
          <w:rFonts w:ascii="Arial" w:hAnsi="Arial" w:eastAsia="宋体" w:cs="Arial"/>
        </w:rPr>
      </w:pPr>
    </w:p>
    <w:p w14:paraId="094B4269">
      <w:pPr>
        <w:snapToGrid w:val="0"/>
        <w:spacing w:line="288" w:lineRule="auto"/>
        <w:rPr>
          <w:rFonts w:ascii="Arial" w:hAnsi="Arial" w:eastAsia="宋体" w:cs="Arial"/>
          <w:b/>
        </w:rPr>
      </w:pPr>
      <w:r>
        <w:rPr>
          <w:rFonts w:ascii="Arial" w:hAnsi="Arial" w:eastAsia="宋体" w:cs="Arial"/>
          <w:b/>
        </w:rPr>
        <w:t>外部临床实验室的分析评价</w:t>
      </w:r>
    </w:p>
    <w:p w14:paraId="7EE8D5BE">
      <w:pPr>
        <w:snapToGrid w:val="0"/>
        <w:spacing w:line="288" w:lineRule="auto"/>
        <w:rPr>
          <w:rFonts w:ascii="Arial" w:hAnsi="Arial" w:eastAsia="宋体" w:cs="Arial"/>
        </w:rPr>
      </w:pPr>
    </w:p>
    <w:p w14:paraId="2E52A1FD">
      <w:pPr>
        <w:snapToGrid w:val="0"/>
        <w:spacing w:line="288" w:lineRule="auto"/>
        <w:rPr>
          <w:rFonts w:ascii="Arial" w:hAnsi="Arial" w:eastAsia="宋体" w:cs="Arial"/>
          <w:spacing w:val="-4"/>
        </w:rPr>
      </w:pPr>
      <w:r>
        <w:rPr>
          <w:rFonts w:ascii="Arial" w:hAnsi="Arial" w:eastAsia="宋体" w:cs="Arial"/>
          <w:spacing w:val="-4"/>
        </w:rPr>
        <w:t>评价基因质控材料性能特征的研究应在外部场所进行。这样就可以由预期用户在最有可能使用该质控材料的环境中对质控材料的一致性和性能提供独立评价。我们建议贵公司在3个或更多场所对质控材料的再现性进行评价，其中至少有2个场所应为外部场所。每个场所均应在不同日期由不同操作人员对3批质控材料的多个复制品进行评价。贵公司应对每个场所和所有场所获得的批内、批间和操做人员间的结果进行总结。我们建议贵公司采用可能使用贵公司质控材料且经食品药品监督管理局许可或批准的各种代表性检测产品和仪器对贵公司的质控材料进行检测。对照很重要，因为它们代表了已知结果，而已知结果的可预测性能可为不可预测的环境所影响。因此，贵公司进行模仿系统故障的检测可能是可取的。某些条件会对贵公司的质控材料造成影响，我们建议贵公司对可能导致检测结果解释失败的条件（如试剂变质）进行评价。其中一个例子是引物延伸试剂浓度降低对模拟试剂变质影响的评价。</w:t>
      </w:r>
    </w:p>
    <w:p w14:paraId="7DC9289B">
      <w:pPr>
        <w:snapToGrid w:val="0"/>
        <w:spacing w:line="288" w:lineRule="auto"/>
        <w:rPr>
          <w:rFonts w:ascii="Arial" w:hAnsi="Arial" w:eastAsia="宋体" w:cs="Arial"/>
        </w:rPr>
      </w:pPr>
    </w:p>
    <w:p w14:paraId="1544B80C">
      <w:pPr>
        <w:snapToGrid w:val="0"/>
        <w:spacing w:line="288" w:lineRule="auto"/>
        <w:rPr>
          <w:rFonts w:ascii="Arial" w:hAnsi="Arial" w:eastAsia="宋体" w:cs="Arial"/>
        </w:rPr>
      </w:pPr>
      <w:r>
        <w:rPr>
          <w:rFonts w:ascii="Arial" w:hAnsi="Arial" w:eastAsia="宋体" w:cs="Arial"/>
        </w:rPr>
        <w:t>贵公司应在510（k）提交资料中对每个检测系统的性能特征做出总结，包括：</w:t>
      </w:r>
    </w:p>
    <w:p w14:paraId="78781F87">
      <w:pPr>
        <w:snapToGrid w:val="0"/>
        <w:spacing w:line="288" w:lineRule="auto"/>
        <w:rPr>
          <w:rFonts w:ascii="Arial" w:hAnsi="Arial" w:eastAsia="宋体" w:cs="Arial"/>
        </w:rPr>
      </w:pPr>
    </w:p>
    <w:p w14:paraId="6EF03E1B">
      <w:pPr>
        <w:pStyle w:val="13"/>
        <w:numPr>
          <w:ilvl w:val="0"/>
          <w:numId w:val="3"/>
        </w:numPr>
        <w:snapToGrid w:val="0"/>
        <w:spacing w:line="288" w:lineRule="auto"/>
        <w:ind w:firstLineChars="0"/>
        <w:rPr>
          <w:rFonts w:ascii="Arial" w:hAnsi="Arial" w:eastAsia="宋体" w:cs="Arial"/>
          <w:spacing w:val="-4"/>
        </w:rPr>
      </w:pPr>
      <w:r>
        <w:rPr>
          <w:rFonts w:ascii="Arial" w:hAnsi="Arial" w:eastAsia="宋体" w:cs="Arial"/>
          <w:spacing w:val="-4"/>
        </w:rPr>
        <w:t>对所用检测系统或检测产品的描述；检测重复次数、检测运行情况、受检批次和所得结果。</w:t>
      </w:r>
    </w:p>
    <w:p w14:paraId="7BC77349">
      <w:pPr>
        <w:pStyle w:val="13"/>
        <w:numPr>
          <w:ilvl w:val="0"/>
          <w:numId w:val="3"/>
        </w:numPr>
        <w:snapToGrid w:val="0"/>
        <w:spacing w:line="288" w:lineRule="auto"/>
        <w:ind w:firstLineChars="0"/>
        <w:rPr>
          <w:rFonts w:ascii="Arial" w:hAnsi="Arial" w:eastAsia="宋体" w:cs="Arial"/>
        </w:rPr>
      </w:pPr>
      <w:r>
        <w:rPr>
          <w:rFonts w:ascii="Arial" w:hAnsi="Arial" w:eastAsia="宋体" w:cs="Arial"/>
        </w:rPr>
        <w:t>证明存在预期基因变异和检测未产生意外结果的结果。</w:t>
      </w:r>
    </w:p>
    <w:p w14:paraId="096D1E66">
      <w:pPr>
        <w:pStyle w:val="13"/>
        <w:numPr>
          <w:ilvl w:val="0"/>
          <w:numId w:val="3"/>
        </w:numPr>
        <w:snapToGrid w:val="0"/>
        <w:spacing w:line="288" w:lineRule="auto"/>
        <w:ind w:firstLineChars="0"/>
        <w:rPr>
          <w:rFonts w:ascii="Arial" w:hAnsi="Arial" w:eastAsia="宋体" w:cs="Arial"/>
        </w:rPr>
      </w:pPr>
      <w:r>
        <w:rPr>
          <w:rFonts w:ascii="Arial" w:hAnsi="Arial" w:eastAsia="宋体" w:cs="Arial"/>
        </w:rPr>
        <w:t>对贵公司检测质控材料是否能检出系统已知分析问题所用研究设计的描述。</w:t>
      </w:r>
    </w:p>
    <w:p w14:paraId="2135A27C">
      <w:pPr>
        <w:snapToGrid w:val="0"/>
        <w:spacing w:line="288" w:lineRule="auto"/>
        <w:rPr>
          <w:rFonts w:ascii="Arial" w:hAnsi="Arial" w:eastAsia="宋体" w:cs="Arial"/>
        </w:rPr>
      </w:pPr>
    </w:p>
    <w:p w14:paraId="0FED75ED">
      <w:pPr>
        <w:snapToGrid w:val="0"/>
        <w:spacing w:line="288" w:lineRule="auto"/>
        <w:rPr>
          <w:rFonts w:ascii="Arial" w:hAnsi="Arial" w:eastAsia="宋体" w:cs="Arial"/>
          <w:b/>
        </w:rPr>
      </w:pPr>
      <w:r>
        <w:rPr>
          <w:rFonts w:ascii="Arial" w:hAnsi="Arial" w:eastAsia="宋体" w:cs="Arial"/>
          <w:b/>
        </w:rPr>
        <w:t>稳定性研究</w:t>
      </w:r>
    </w:p>
    <w:p w14:paraId="681CDC9F">
      <w:pPr>
        <w:snapToGrid w:val="0"/>
        <w:spacing w:line="288" w:lineRule="auto"/>
        <w:rPr>
          <w:rFonts w:ascii="Arial" w:hAnsi="Arial" w:eastAsia="宋体" w:cs="Arial"/>
        </w:rPr>
      </w:pPr>
    </w:p>
    <w:p w14:paraId="1EF48756">
      <w:pPr>
        <w:snapToGrid w:val="0"/>
        <w:spacing w:line="288" w:lineRule="auto"/>
        <w:rPr>
          <w:rFonts w:ascii="Arial" w:hAnsi="Arial" w:eastAsia="宋体" w:cs="Arial"/>
        </w:rPr>
      </w:pPr>
      <w:r>
        <w:rPr>
          <w:rFonts w:ascii="Arial" w:hAnsi="Arial" w:eastAsia="宋体" w:cs="Arial"/>
        </w:rPr>
        <w:t>贵公司应对在“打开”和“密闭”条件下确定质控材料的稳定性所用研究设计做出描述。术语“关闭”意味着打开前，术语“打开”是指材料已被打开，包括重构或在机状态。贵公司应提供每个研究的判定标准和所得结果。我们建议贵公司采用经食品药品监督管理局许可的检测产品或公认的参考方法对贵公司的检测产品在贵公司声明的稳定期内是否符合贵公司的标准做出评估。贵公司应对质控材料中所有基因变异的稳定性进行评价。贵公司应对下列类型的稳定性进行评估：</w:t>
      </w:r>
    </w:p>
    <w:p w14:paraId="4ED06ED0">
      <w:pPr>
        <w:snapToGrid w:val="0"/>
        <w:spacing w:line="288" w:lineRule="auto"/>
        <w:rPr>
          <w:rFonts w:ascii="Arial" w:hAnsi="Arial" w:eastAsia="宋体" w:cs="Arial"/>
        </w:rPr>
      </w:pPr>
    </w:p>
    <w:p w14:paraId="35445EB8">
      <w:pPr>
        <w:snapToGrid w:val="0"/>
        <w:spacing w:line="288" w:lineRule="auto"/>
        <w:rPr>
          <w:rFonts w:ascii="Arial" w:hAnsi="Arial" w:eastAsia="宋体" w:cs="Arial"/>
          <w:i/>
        </w:rPr>
      </w:pPr>
      <w:r>
        <w:rPr>
          <w:rFonts w:ascii="Arial" w:hAnsi="Arial" w:eastAsia="宋体" w:cs="Arial"/>
          <w:i/>
        </w:rPr>
        <w:t>实时稳定性（保质期）</w:t>
      </w:r>
    </w:p>
    <w:p w14:paraId="3746D227">
      <w:pPr>
        <w:snapToGrid w:val="0"/>
        <w:spacing w:line="288" w:lineRule="auto"/>
        <w:rPr>
          <w:rFonts w:ascii="Arial" w:hAnsi="Arial" w:eastAsia="宋体" w:cs="Arial"/>
        </w:rPr>
      </w:pPr>
    </w:p>
    <w:p w14:paraId="275AC4C9">
      <w:pPr>
        <w:snapToGrid w:val="0"/>
        <w:spacing w:line="288" w:lineRule="auto"/>
        <w:rPr>
          <w:rFonts w:ascii="Arial" w:hAnsi="Arial" w:eastAsia="宋体" w:cs="Arial"/>
        </w:rPr>
      </w:pPr>
      <w:r>
        <w:rPr>
          <w:rFonts w:ascii="Arial" w:hAnsi="Arial" w:eastAsia="宋体" w:cs="Arial"/>
        </w:rPr>
        <w:t>贵公司应在质控材料的使用和储存温度下进行实时稳定性检测。如果用于支持保质期的实时检测尚未完成，有时可在510（k）提交资料中采用加速稳定性检测补充实时稳定性检测。如果以这种方式使用加速稳定性检测，贵公司应在510（k）提交资料中简要描述贵公司的检测条件。贵公司还应提供信息（如文献）支持贵公司用来评价加速稳定性结果的模式适合于贵公司的特殊被测物。</w:t>
      </w:r>
    </w:p>
    <w:p w14:paraId="3BFAE741">
      <w:pPr>
        <w:snapToGrid w:val="0"/>
        <w:spacing w:line="288" w:lineRule="auto"/>
        <w:rPr>
          <w:rFonts w:ascii="Arial" w:hAnsi="Arial" w:eastAsia="宋体" w:cs="Arial"/>
          <w:i/>
        </w:rPr>
      </w:pPr>
      <w:r>
        <w:rPr>
          <w:rFonts w:ascii="Arial" w:hAnsi="Arial" w:eastAsia="宋体" w:cs="Arial"/>
          <w:i/>
        </w:rPr>
        <w:t>应激测试（运输）</w:t>
      </w:r>
    </w:p>
    <w:p w14:paraId="4BBAC071">
      <w:pPr>
        <w:snapToGrid w:val="0"/>
        <w:spacing w:line="288" w:lineRule="auto"/>
        <w:rPr>
          <w:rFonts w:ascii="Arial" w:hAnsi="Arial" w:eastAsia="宋体" w:cs="Arial"/>
        </w:rPr>
      </w:pPr>
      <w:r>
        <w:rPr>
          <w:rFonts w:ascii="Arial" w:hAnsi="Arial" w:eastAsia="宋体" w:cs="Arial"/>
        </w:rPr>
        <w:t>运输期间质控材料会暴露于应激状态（如温度升高、多次冻融），致使温度出现波动。因此，贵公司应开展研究，对质控材料</w:t>
      </w:r>
      <w:bookmarkStart w:id="34" w:name="OLE_LINK4"/>
      <w:bookmarkStart w:id="35" w:name="OLE_LINK5"/>
      <w:r>
        <w:rPr>
          <w:rFonts w:ascii="Arial" w:hAnsi="Arial" w:eastAsia="宋体" w:cs="Arial"/>
        </w:rPr>
        <w:t>暴露于上述应激状态</w:t>
      </w:r>
      <w:bookmarkEnd w:id="34"/>
      <w:bookmarkEnd w:id="35"/>
      <w:r>
        <w:rPr>
          <w:rFonts w:ascii="Arial" w:hAnsi="Arial" w:eastAsia="宋体" w:cs="Arial"/>
        </w:rPr>
        <w:t>后用于相应检测产品的性能进行评价。我们建议贵公司使用多个批次的产品进行这些评价。</w:t>
      </w:r>
    </w:p>
    <w:p w14:paraId="3BA901B9">
      <w:pPr>
        <w:snapToGrid w:val="0"/>
        <w:spacing w:line="288" w:lineRule="auto"/>
        <w:rPr>
          <w:rFonts w:ascii="Arial" w:hAnsi="Arial" w:eastAsia="宋体" w:cs="Arial"/>
        </w:rPr>
      </w:pPr>
    </w:p>
    <w:p w14:paraId="21F15608">
      <w:pPr>
        <w:snapToGrid w:val="0"/>
        <w:spacing w:line="288" w:lineRule="auto"/>
        <w:rPr>
          <w:rFonts w:ascii="Arial" w:hAnsi="Arial" w:eastAsia="宋体" w:cs="Arial"/>
          <w:b/>
        </w:rPr>
      </w:pPr>
      <w:r>
        <w:rPr>
          <w:rFonts w:ascii="Arial" w:hAnsi="Arial" w:eastAsia="宋体" w:cs="Arial"/>
          <w:b/>
        </w:rPr>
        <w:t>8. 贴标</w:t>
      </w:r>
    </w:p>
    <w:p w14:paraId="3883124F">
      <w:pPr>
        <w:snapToGrid w:val="0"/>
        <w:spacing w:line="288" w:lineRule="auto"/>
        <w:rPr>
          <w:rFonts w:ascii="Arial" w:hAnsi="Arial" w:eastAsia="宋体" w:cs="Arial"/>
        </w:rPr>
      </w:pPr>
    </w:p>
    <w:p w14:paraId="6FD4DD51">
      <w:pPr>
        <w:snapToGrid w:val="0"/>
        <w:spacing w:line="288" w:lineRule="auto"/>
        <w:rPr>
          <w:rFonts w:ascii="Arial" w:hAnsi="Arial" w:eastAsia="宋体" w:cs="Arial"/>
        </w:rPr>
      </w:pPr>
      <w:r>
        <w:rPr>
          <w:rFonts w:ascii="Arial" w:hAnsi="Arial" w:eastAsia="宋体" w:cs="Arial"/>
        </w:rPr>
        <w:t>贵公司应查阅</w:t>
      </w:r>
      <w:bookmarkStart w:id="36" w:name="OLE_LINK13"/>
      <w:bookmarkStart w:id="37" w:name="OLE_LINK12"/>
      <w:r>
        <w:rPr>
          <w:rFonts w:ascii="Arial" w:hAnsi="Arial" w:eastAsia="宋体" w:cs="Arial"/>
        </w:rPr>
        <w:t>21 CFR 809.10</w:t>
      </w:r>
      <w:bookmarkEnd w:id="36"/>
      <w:bookmarkEnd w:id="37"/>
      <w:r>
        <w:rPr>
          <w:rFonts w:ascii="Arial" w:hAnsi="Arial" w:eastAsia="宋体" w:cs="Arial"/>
        </w:rPr>
        <w:t>，了解对贴标的要求。下列推荐规范意在帮助贵公司将这些要求应用于质控材料。将体外诊断器械引入州际贸易前，其最终贴标必须遵从21 CFR 809.10的要求。</w:t>
      </w:r>
    </w:p>
    <w:p w14:paraId="477E0CD2">
      <w:pPr>
        <w:snapToGrid w:val="0"/>
        <w:spacing w:line="288" w:lineRule="auto"/>
        <w:rPr>
          <w:rFonts w:ascii="Arial" w:hAnsi="Arial" w:eastAsia="宋体" w:cs="Arial"/>
        </w:rPr>
      </w:pPr>
    </w:p>
    <w:p w14:paraId="2C92CB11">
      <w:pPr>
        <w:snapToGrid w:val="0"/>
        <w:spacing w:line="288" w:lineRule="auto"/>
        <w:rPr>
          <w:rFonts w:ascii="Arial" w:hAnsi="Arial" w:eastAsia="宋体" w:cs="Arial"/>
          <w:b/>
        </w:rPr>
      </w:pPr>
      <w:r>
        <w:rPr>
          <w:rFonts w:ascii="Arial" w:hAnsi="Arial" w:eastAsia="宋体" w:cs="Arial"/>
          <w:b/>
        </w:rPr>
        <w:t>预期用途</w:t>
      </w:r>
    </w:p>
    <w:p w14:paraId="1D0D55F1">
      <w:pPr>
        <w:snapToGrid w:val="0"/>
        <w:spacing w:line="288" w:lineRule="auto"/>
        <w:rPr>
          <w:rFonts w:ascii="Arial" w:hAnsi="Arial" w:eastAsia="宋体" w:cs="Arial"/>
        </w:rPr>
      </w:pPr>
    </w:p>
    <w:p w14:paraId="2FE95791">
      <w:pPr>
        <w:snapToGrid w:val="0"/>
        <w:spacing w:line="288" w:lineRule="auto"/>
        <w:rPr>
          <w:rFonts w:ascii="Arial" w:hAnsi="Arial" w:eastAsia="宋体" w:cs="Arial"/>
        </w:rPr>
      </w:pPr>
      <w:r>
        <w:rPr>
          <w:rFonts w:ascii="Arial" w:hAnsi="Arial" w:eastAsia="宋体" w:cs="Arial"/>
        </w:rPr>
        <w:t>贵公司应在预期用途部分对质控材料及其用途做出精确说明。贵公司应对质控材料拟监测的基因检测产品（和分析仪，若有的话）、被测物及其基质与该检测方法的分析步骤或组成部分（即提取、扩增和/或检测）做出详细描述。</w:t>
      </w:r>
    </w:p>
    <w:p w14:paraId="6BD37FAD">
      <w:pPr>
        <w:snapToGrid w:val="0"/>
        <w:spacing w:line="288" w:lineRule="auto"/>
        <w:rPr>
          <w:rFonts w:ascii="Arial" w:hAnsi="Arial" w:eastAsia="宋体" w:cs="Arial"/>
        </w:rPr>
      </w:pPr>
    </w:p>
    <w:p w14:paraId="5A771B0A">
      <w:pPr>
        <w:snapToGrid w:val="0"/>
        <w:spacing w:line="288" w:lineRule="auto"/>
        <w:rPr>
          <w:rFonts w:ascii="Arial" w:hAnsi="Arial" w:eastAsia="宋体" w:cs="Arial"/>
        </w:rPr>
      </w:pPr>
      <w:r>
        <w:rPr>
          <w:rFonts w:ascii="Arial" w:hAnsi="Arial" w:eastAsia="宋体" w:cs="Arial"/>
        </w:rPr>
        <w:t>如果质控材料监测该检测方法的特定部分而不是全部流程（如预处理后所有步骤、仪器线性关系），贵公司应在预期用途中做出澄清。</w:t>
      </w:r>
    </w:p>
    <w:p w14:paraId="1CC262A3">
      <w:pPr>
        <w:snapToGrid w:val="0"/>
        <w:spacing w:line="288" w:lineRule="auto"/>
        <w:rPr>
          <w:rFonts w:ascii="Arial" w:hAnsi="Arial" w:eastAsia="宋体" w:cs="Arial"/>
        </w:rPr>
      </w:pPr>
    </w:p>
    <w:p w14:paraId="11B677FC">
      <w:pPr>
        <w:snapToGrid w:val="0"/>
        <w:spacing w:line="288" w:lineRule="auto"/>
        <w:rPr>
          <w:rFonts w:ascii="Arial" w:hAnsi="Arial" w:eastAsia="宋体" w:cs="Arial"/>
          <w:b/>
        </w:rPr>
      </w:pPr>
      <w:r>
        <w:rPr>
          <w:rFonts w:ascii="Arial" w:hAnsi="Arial" w:eastAsia="宋体" w:cs="Arial"/>
          <w:b/>
        </w:rPr>
        <w:t>产品描述</w:t>
      </w:r>
    </w:p>
    <w:p w14:paraId="7942C7F2">
      <w:pPr>
        <w:snapToGrid w:val="0"/>
        <w:spacing w:line="288" w:lineRule="auto"/>
        <w:rPr>
          <w:rFonts w:ascii="Arial" w:hAnsi="Arial" w:eastAsia="宋体" w:cs="Arial"/>
        </w:rPr>
      </w:pPr>
    </w:p>
    <w:p w14:paraId="742D4838">
      <w:pPr>
        <w:snapToGrid w:val="0"/>
        <w:spacing w:line="288" w:lineRule="auto"/>
        <w:rPr>
          <w:rFonts w:ascii="Arial" w:hAnsi="Arial" w:eastAsia="宋体" w:cs="Arial"/>
        </w:rPr>
      </w:pPr>
      <w:r>
        <w:rPr>
          <w:rFonts w:ascii="Arial" w:hAnsi="Arial" w:eastAsia="宋体" w:cs="Arial"/>
        </w:rPr>
        <w:t>贵公司应提供对贵公司器械下列方面的描述：</w:t>
      </w:r>
    </w:p>
    <w:p w14:paraId="3EDB3720">
      <w:pPr>
        <w:snapToGrid w:val="0"/>
        <w:spacing w:line="288" w:lineRule="auto"/>
        <w:rPr>
          <w:rFonts w:ascii="Arial" w:hAnsi="Arial" w:eastAsia="宋体" w:cs="Arial"/>
        </w:rPr>
      </w:pPr>
    </w:p>
    <w:p w14:paraId="0B1D8D0D">
      <w:pPr>
        <w:pStyle w:val="13"/>
        <w:numPr>
          <w:ilvl w:val="0"/>
          <w:numId w:val="4"/>
        </w:numPr>
        <w:snapToGrid w:val="0"/>
        <w:spacing w:line="288" w:lineRule="auto"/>
        <w:ind w:firstLineChars="0"/>
        <w:rPr>
          <w:rFonts w:ascii="Arial" w:hAnsi="Arial" w:eastAsia="宋体" w:cs="Arial"/>
        </w:rPr>
      </w:pPr>
      <w:r>
        <w:rPr>
          <w:rFonts w:ascii="Arial" w:hAnsi="Arial" w:eastAsia="宋体" w:cs="Arial"/>
        </w:rPr>
        <w:t>DNA来源、浓度和产品构成。</w:t>
      </w:r>
    </w:p>
    <w:p w14:paraId="0603FAAC">
      <w:pPr>
        <w:pStyle w:val="13"/>
        <w:numPr>
          <w:ilvl w:val="0"/>
          <w:numId w:val="4"/>
        </w:numPr>
        <w:snapToGrid w:val="0"/>
        <w:spacing w:line="288" w:lineRule="auto"/>
        <w:ind w:firstLineChars="0"/>
        <w:rPr>
          <w:rFonts w:ascii="Arial" w:hAnsi="Arial" w:eastAsia="宋体" w:cs="Arial"/>
        </w:rPr>
      </w:pPr>
      <w:r>
        <w:rPr>
          <w:rFonts w:ascii="Arial" w:hAnsi="Arial" w:eastAsia="宋体" w:cs="Arial"/>
        </w:rPr>
        <w:t>贵公司的质控材料中存在的具体基因变异（如突变、基因多态、等位基因）。</w:t>
      </w:r>
    </w:p>
    <w:p w14:paraId="75C26227">
      <w:pPr>
        <w:pStyle w:val="13"/>
        <w:numPr>
          <w:ilvl w:val="0"/>
          <w:numId w:val="4"/>
        </w:numPr>
        <w:snapToGrid w:val="0"/>
        <w:spacing w:line="288" w:lineRule="auto"/>
        <w:ind w:firstLineChars="0"/>
        <w:rPr>
          <w:rFonts w:ascii="Arial" w:hAnsi="Arial" w:eastAsia="宋体" w:cs="Arial"/>
        </w:rPr>
      </w:pPr>
      <w:r>
        <w:rPr>
          <w:rFonts w:ascii="Arial" w:hAnsi="Arial" w:eastAsia="宋体" w:cs="Arial"/>
        </w:rPr>
        <w:t>包括基础材料（血清、缓冲液等）在内的基质，加入的稳定剂、防腐剂或澄清剂。如果需要实验室对所有防腐剂或其它材料进行特殊处理，贵公司应向用户指出这一点。</w:t>
      </w:r>
    </w:p>
    <w:p w14:paraId="46B53AD5">
      <w:pPr>
        <w:pStyle w:val="13"/>
        <w:numPr>
          <w:ilvl w:val="0"/>
          <w:numId w:val="4"/>
        </w:numPr>
        <w:snapToGrid w:val="0"/>
        <w:spacing w:line="288" w:lineRule="auto"/>
        <w:ind w:firstLineChars="0"/>
        <w:rPr>
          <w:rFonts w:ascii="Arial" w:hAnsi="Arial" w:eastAsia="宋体" w:cs="Arial"/>
        </w:rPr>
      </w:pPr>
      <w:r>
        <w:rPr>
          <w:rFonts w:ascii="Arial" w:hAnsi="Arial" w:eastAsia="宋体" w:cs="Arial"/>
        </w:rPr>
        <w:t>来源材料捐赠者特征描述。适用时提供，仅提供与质控材料的临床应用相关的内容。</w:t>
      </w:r>
    </w:p>
    <w:p w14:paraId="4FF11D56">
      <w:pPr>
        <w:pStyle w:val="13"/>
        <w:numPr>
          <w:ilvl w:val="0"/>
          <w:numId w:val="4"/>
        </w:numPr>
        <w:snapToGrid w:val="0"/>
        <w:spacing w:line="288" w:lineRule="auto"/>
        <w:ind w:firstLineChars="0"/>
        <w:rPr>
          <w:rFonts w:ascii="Arial" w:hAnsi="Arial" w:eastAsia="宋体" w:cs="Arial"/>
        </w:rPr>
      </w:pPr>
      <w:r>
        <w:rPr>
          <w:rFonts w:ascii="Arial" w:hAnsi="Arial" w:eastAsia="宋体" w:cs="Arial"/>
        </w:rPr>
        <w:t>对贵公司质控材料中潜在传染材料所用的灭活方法。使用血制品时，贵公司应如21 CFR第610部所述，在贴标中包含一个确认声明。声明的内容是：对照所用动物源/人源成分或所有血制品衍生材料均采用食品药品监督管理局批准的（或相当公认的）检测产品进行了检测且发现传染因子为阴性。</w:t>
      </w:r>
    </w:p>
    <w:p w14:paraId="6AF4FE0E">
      <w:pPr>
        <w:snapToGrid w:val="0"/>
        <w:spacing w:line="288" w:lineRule="auto"/>
        <w:rPr>
          <w:rFonts w:ascii="Arial" w:hAnsi="Arial" w:eastAsia="宋体" w:cs="Arial"/>
        </w:rPr>
      </w:pPr>
    </w:p>
    <w:p w14:paraId="3F063B8C">
      <w:pPr>
        <w:snapToGrid w:val="0"/>
        <w:spacing w:line="288" w:lineRule="auto"/>
        <w:rPr>
          <w:rFonts w:ascii="Arial" w:hAnsi="Arial" w:eastAsia="宋体" w:cs="Arial"/>
          <w:b/>
        </w:rPr>
      </w:pPr>
      <w:r>
        <w:rPr>
          <w:rFonts w:ascii="Arial" w:hAnsi="Arial" w:eastAsia="宋体" w:cs="Arial"/>
          <w:b/>
        </w:rPr>
        <w:t>使用说明</w:t>
      </w:r>
    </w:p>
    <w:p w14:paraId="1CF418AF">
      <w:pPr>
        <w:snapToGrid w:val="0"/>
        <w:spacing w:line="288" w:lineRule="auto"/>
        <w:rPr>
          <w:rFonts w:ascii="Arial" w:hAnsi="Arial" w:eastAsia="宋体" w:cs="Arial"/>
        </w:rPr>
      </w:pPr>
    </w:p>
    <w:p w14:paraId="43606089">
      <w:pPr>
        <w:snapToGrid w:val="0"/>
        <w:spacing w:line="288" w:lineRule="auto"/>
        <w:rPr>
          <w:rFonts w:ascii="Arial" w:hAnsi="Arial" w:eastAsia="宋体" w:cs="Arial"/>
        </w:rPr>
      </w:pPr>
      <w:r>
        <w:rPr>
          <w:rFonts w:ascii="Arial" w:hAnsi="Arial" w:eastAsia="宋体" w:cs="Arial"/>
        </w:rPr>
        <w:t>贵公司应在贴标中包含处理和储存说明。贵公司应对在贵公司向用户推荐的打开和密闭储存条件下质控材料的稳定性（保质期测定）做出描述。</w:t>
      </w:r>
    </w:p>
    <w:p w14:paraId="3C1146BA">
      <w:pPr>
        <w:snapToGrid w:val="0"/>
        <w:spacing w:line="288" w:lineRule="auto"/>
        <w:rPr>
          <w:rFonts w:ascii="Arial" w:hAnsi="Arial" w:eastAsia="宋体" w:cs="Arial"/>
        </w:rPr>
      </w:pPr>
    </w:p>
    <w:p w14:paraId="2C9EF060">
      <w:pPr>
        <w:snapToGrid w:val="0"/>
        <w:spacing w:line="288" w:lineRule="auto"/>
        <w:rPr>
          <w:rFonts w:ascii="Arial" w:hAnsi="Arial" w:eastAsia="宋体" w:cs="Arial"/>
        </w:rPr>
      </w:pPr>
      <w:r>
        <w:rPr>
          <w:rFonts w:ascii="Arial" w:hAnsi="Arial" w:eastAsia="宋体" w:cs="Arial"/>
        </w:rPr>
        <w:t>贵公司应提供使用说明。在使用说明中应足够详细地解释在检测系统中如何使用对照。贵公司应在贴标中包含终端用户使用质控材料时应执行的所有规程（如稀释步骤、温度要求、定量方法、提取方法）并对质控材料不应暴露的所有规程或条件做出详细描述。</w:t>
      </w:r>
    </w:p>
    <w:p w14:paraId="47C24C8D">
      <w:pPr>
        <w:snapToGrid w:val="0"/>
        <w:spacing w:line="288" w:lineRule="auto"/>
        <w:rPr>
          <w:rFonts w:ascii="Arial" w:hAnsi="Arial" w:eastAsia="宋体" w:cs="Arial"/>
        </w:rPr>
      </w:pPr>
    </w:p>
    <w:p w14:paraId="680ED5AB">
      <w:pPr>
        <w:snapToGrid w:val="0"/>
        <w:spacing w:line="288" w:lineRule="auto"/>
        <w:rPr>
          <w:rFonts w:ascii="Arial" w:hAnsi="Arial" w:eastAsia="宋体" w:cs="Arial"/>
        </w:rPr>
      </w:pPr>
      <w:r>
        <w:rPr>
          <w:rFonts w:ascii="Arial" w:hAnsi="Arial" w:eastAsia="宋体" w:cs="Arial"/>
        </w:rPr>
        <w:t>贵公司应在操做说明中包含一个陈述。该陈述的内容是：应按当地、所在州和/或联邦法规或认证要求使用质控材料。</w:t>
      </w:r>
    </w:p>
    <w:p w14:paraId="7E732AB6">
      <w:pPr>
        <w:snapToGrid w:val="0"/>
        <w:spacing w:line="288" w:lineRule="auto"/>
        <w:rPr>
          <w:rFonts w:ascii="Arial" w:hAnsi="Arial" w:eastAsia="宋体" w:cs="Arial"/>
          <w:b/>
        </w:rPr>
      </w:pPr>
      <w:r>
        <w:rPr>
          <w:rFonts w:ascii="Arial" w:hAnsi="Arial" w:eastAsia="宋体" w:cs="Arial"/>
          <w:b/>
        </w:rPr>
        <w:t>警告信息</w:t>
      </w:r>
    </w:p>
    <w:p w14:paraId="3F0C63E0">
      <w:pPr>
        <w:snapToGrid w:val="0"/>
        <w:spacing w:line="288" w:lineRule="auto"/>
        <w:rPr>
          <w:rFonts w:ascii="Arial" w:hAnsi="Arial" w:eastAsia="宋体" w:cs="Arial"/>
          <w:b/>
        </w:rPr>
      </w:pPr>
    </w:p>
    <w:p w14:paraId="3513325C">
      <w:pPr>
        <w:snapToGrid w:val="0"/>
        <w:spacing w:line="288" w:lineRule="auto"/>
        <w:rPr>
          <w:rFonts w:ascii="Arial" w:hAnsi="Arial" w:eastAsia="宋体" w:cs="Arial"/>
        </w:rPr>
      </w:pPr>
      <w:r>
        <w:rPr>
          <w:rFonts w:ascii="Arial" w:hAnsi="Arial" w:eastAsia="宋体" w:cs="Arial"/>
        </w:rPr>
        <w:t>适用时贵公司应在贴标中包含关于质控材料处理的警告信息（如对传染因子或需要特殊处理的化学成分的处理）。</w:t>
      </w:r>
    </w:p>
    <w:p w14:paraId="691EE921">
      <w:pPr>
        <w:snapToGrid w:val="0"/>
        <w:spacing w:line="288" w:lineRule="auto"/>
        <w:rPr>
          <w:rFonts w:ascii="Arial" w:hAnsi="Arial" w:eastAsia="宋体" w:cs="Arial"/>
        </w:rPr>
      </w:pPr>
    </w:p>
    <w:p w14:paraId="0DCAD89B">
      <w:pPr>
        <w:snapToGrid w:val="0"/>
        <w:spacing w:line="288" w:lineRule="auto"/>
        <w:rPr>
          <w:rFonts w:ascii="Arial" w:hAnsi="Arial" w:eastAsia="宋体" w:cs="Arial"/>
          <w:b/>
        </w:rPr>
      </w:pPr>
      <w:r>
        <w:rPr>
          <w:rFonts w:ascii="Arial" w:hAnsi="Arial" w:eastAsia="宋体" w:cs="Arial"/>
          <w:b/>
        </w:rPr>
        <w:t>性能特征和预期结果</w:t>
      </w:r>
    </w:p>
    <w:p w14:paraId="1FDE4F54">
      <w:pPr>
        <w:snapToGrid w:val="0"/>
        <w:spacing w:line="288" w:lineRule="auto"/>
        <w:rPr>
          <w:rFonts w:ascii="Arial" w:hAnsi="Arial" w:eastAsia="宋体" w:cs="Arial"/>
        </w:rPr>
      </w:pPr>
    </w:p>
    <w:p w14:paraId="386A3BAB">
      <w:pPr>
        <w:snapToGrid w:val="0"/>
        <w:spacing w:line="288" w:lineRule="auto"/>
        <w:rPr>
          <w:rFonts w:ascii="Arial" w:hAnsi="Arial" w:eastAsia="宋体" w:cs="Arial"/>
        </w:rPr>
      </w:pPr>
      <w:r>
        <w:rPr>
          <w:rFonts w:ascii="Arial" w:hAnsi="Arial" w:eastAsia="宋体" w:cs="Arial"/>
        </w:rPr>
        <w:t>贵公司应在贴标中包含研究描述和贵公司所做性能研究的结果，包括预期结果、再现性、应激检测和稳定性研究。贵公司应列出经食品药品监督管理局许可或批准、用来对贵公司质控材料的性能进行评估的检测产品。</w:t>
      </w:r>
    </w:p>
    <w:p w14:paraId="2A5C3F5C">
      <w:pPr>
        <w:snapToGrid w:val="0"/>
        <w:spacing w:line="288" w:lineRule="auto"/>
        <w:rPr>
          <w:rFonts w:ascii="Arial" w:hAnsi="Arial" w:eastAsia="宋体" w:cs="Arial"/>
        </w:rPr>
      </w:pPr>
    </w:p>
    <w:p w14:paraId="78D3BF51">
      <w:pPr>
        <w:snapToGrid w:val="0"/>
        <w:spacing w:line="288" w:lineRule="auto"/>
        <w:rPr>
          <w:rFonts w:ascii="Arial" w:hAnsi="Arial" w:eastAsia="宋体" w:cs="Arial"/>
        </w:rPr>
      </w:pPr>
      <w:r>
        <w:rPr>
          <w:rFonts w:ascii="Arial" w:hAnsi="Arial" w:eastAsia="宋体" w:cs="Arial"/>
        </w:rPr>
        <w:t>贵公司应对确定预期结果所用的研究方案做出描述，包括分析方法、检测所用仪器或方法、观察次数、检测运行情况和仪器、实验室和任何相关的其它检测条件。</w:t>
      </w:r>
    </w:p>
    <w:p w14:paraId="42260703">
      <w:pPr>
        <w:snapToGrid w:val="0"/>
        <w:spacing w:line="288" w:lineRule="auto"/>
        <w:rPr>
          <w:rFonts w:ascii="Arial" w:hAnsi="Arial" w:eastAsia="宋体" w:cs="Arial"/>
        </w:rPr>
      </w:pPr>
    </w:p>
    <w:p w14:paraId="1974EFD4">
      <w:pPr>
        <w:snapToGrid w:val="0"/>
        <w:spacing w:line="288" w:lineRule="auto"/>
        <w:rPr>
          <w:rFonts w:ascii="Arial" w:hAnsi="Arial" w:eastAsia="宋体" w:cs="Arial"/>
        </w:rPr>
      </w:pPr>
      <w:r>
        <w:rPr>
          <w:rFonts w:ascii="Arial" w:hAnsi="Arial" w:eastAsia="宋体" w:cs="Arial"/>
        </w:rPr>
        <w:t>对再现性研究进行总结时，贵公司应列出贵公司的质控材料中存在的所有基因变异和使用经食品药品监督管理局许可的每种受检检测产品所得结果。我们建议贵公司以表格形式列出这些信息。然后，预期用户可判定一种特殊基因检测产品是否能检出质控材料覆盖的所有变异。</w:t>
      </w:r>
    </w:p>
    <w:p w14:paraId="0C6BD03A">
      <w:pPr>
        <w:snapToGrid w:val="0"/>
        <w:spacing w:line="288" w:lineRule="auto"/>
        <w:rPr>
          <w:rFonts w:ascii="Arial" w:hAnsi="Arial" w:eastAsia="宋体" w:cs="Arial"/>
        </w:rPr>
      </w:pPr>
    </w:p>
    <w:p w14:paraId="53DA2EA2">
      <w:pPr>
        <w:snapToGrid w:val="0"/>
        <w:spacing w:line="288" w:lineRule="auto"/>
        <w:rPr>
          <w:rFonts w:ascii="Arial" w:hAnsi="Arial" w:eastAsia="宋体" w:cs="Arial"/>
        </w:rPr>
      </w:pPr>
      <w:r>
        <w:rPr>
          <w:rFonts w:ascii="Arial" w:hAnsi="Arial" w:eastAsia="宋体" w:cs="Arial"/>
        </w:rPr>
        <w:t>贵公司应对任何基质效应以及质控材料和典型患者标本在已知可导致分析差错的条件方面存在的任何重大差异做出陈述。</w:t>
      </w:r>
    </w:p>
    <w:p w14:paraId="04FAD69D">
      <w:pPr>
        <w:snapToGrid w:val="0"/>
        <w:spacing w:line="288" w:lineRule="auto"/>
        <w:rPr>
          <w:rFonts w:ascii="Arial" w:hAnsi="Arial" w:eastAsia="宋体" w:cs="Arial"/>
        </w:rPr>
      </w:pPr>
    </w:p>
    <w:p w14:paraId="1C73C227">
      <w:pPr>
        <w:snapToGrid w:val="0"/>
        <w:spacing w:line="288" w:lineRule="auto"/>
        <w:rPr>
          <w:rFonts w:ascii="Arial" w:hAnsi="Arial" w:eastAsia="宋体" w:cs="Arial"/>
          <w:b/>
        </w:rPr>
      </w:pPr>
      <w:r>
        <w:rPr>
          <w:rFonts w:ascii="Arial" w:hAnsi="Arial" w:eastAsia="宋体" w:cs="Arial"/>
          <w:b/>
        </w:rPr>
        <w:t>局限性</w:t>
      </w:r>
    </w:p>
    <w:p w14:paraId="76860802">
      <w:pPr>
        <w:snapToGrid w:val="0"/>
        <w:spacing w:line="288" w:lineRule="auto"/>
        <w:rPr>
          <w:rFonts w:ascii="Arial" w:hAnsi="Arial" w:eastAsia="宋体" w:cs="Arial"/>
        </w:rPr>
      </w:pPr>
    </w:p>
    <w:p w14:paraId="433E441C">
      <w:pPr>
        <w:snapToGrid w:val="0"/>
        <w:spacing w:line="288" w:lineRule="auto"/>
        <w:rPr>
          <w:rFonts w:ascii="Arial" w:hAnsi="Arial" w:eastAsia="宋体" w:cs="Arial"/>
        </w:rPr>
      </w:pPr>
      <w:r>
        <w:rPr>
          <w:rFonts w:ascii="Arial" w:hAnsi="Arial" w:eastAsia="宋体" w:cs="Arial"/>
        </w:rPr>
        <w:t>我们建议贵公司将质控材料的所有局限性包含在贴标中。这些局限性可能使检测结果变得混乱。探针和引物设计之类变量可能影响准确确认某些DNA变异的能力。由引导错误、探针交叉反应、近邻干扰或影响引物与探针结合的状况引起的非特异扩增之类状况可能促成虚假结果。除上述局限性外，还有可能适用的其它局限性。这些局限性取决于质控材料及其拟监测的检测方法。现总结如下：</w:t>
      </w:r>
    </w:p>
    <w:p w14:paraId="182661AB">
      <w:pPr>
        <w:snapToGrid w:val="0"/>
        <w:spacing w:line="288" w:lineRule="auto"/>
        <w:rPr>
          <w:rFonts w:ascii="Arial" w:hAnsi="Arial" w:eastAsia="宋体" w:cs="Arial"/>
        </w:rPr>
      </w:pPr>
    </w:p>
    <w:p w14:paraId="42EE31B4">
      <w:pPr>
        <w:pStyle w:val="13"/>
        <w:numPr>
          <w:ilvl w:val="0"/>
          <w:numId w:val="5"/>
        </w:numPr>
        <w:snapToGrid w:val="0"/>
        <w:spacing w:line="288" w:lineRule="auto"/>
        <w:ind w:firstLineChars="0"/>
        <w:rPr>
          <w:rFonts w:ascii="Arial" w:hAnsi="Arial" w:eastAsia="宋体" w:cs="Arial"/>
        </w:rPr>
      </w:pPr>
      <w:r>
        <w:rPr>
          <w:rFonts w:ascii="Arial" w:hAnsi="Arial" w:eastAsia="宋体" w:cs="Arial"/>
        </w:rPr>
        <w:t>在某些检测系统中，近邻突变和基因多态可能对预期检测结果造成干扰。</w:t>
      </w:r>
    </w:p>
    <w:p w14:paraId="2184D6E8">
      <w:pPr>
        <w:pStyle w:val="13"/>
        <w:numPr>
          <w:ilvl w:val="0"/>
          <w:numId w:val="5"/>
        </w:numPr>
        <w:snapToGrid w:val="0"/>
        <w:spacing w:line="288" w:lineRule="auto"/>
        <w:ind w:firstLineChars="0"/>
        <w:rPr>
          <w:rFonts w:ascii="Arial" w:hAnsi="Arial" w:eastAsia="宋体" w:cs="Arial"/>
        </w:rPr>
      </w:pPr>
      <w:r>
        <w:rPr>
          <w:rFonts w:ascii="Arial" w:hAnsi="Arial" w:eastAsia="宋体" w:cs="Arial"/>
        </w:rPr>
        <w:t>某些检测方法可能出现干扰现象和交叉反应。</w:t>
      </w:r>
    </w:p>
    <w:p w14:paraId="1438EFC5">
      <w:pPr>
        <w:pStyle w:val="13"/>
        <w:numPr>
          <w:ilvl w:val="0"/>
          <w:numId w:val="5"/>
        </w:numPr>
        <w:snapToGrid w:val="0"/>
        <w:spacing w:line="288" w:lineRule="auto"/>
        <w:ind w:firstLineChars="0"/>
        <w:rPr>
          <w:rFonts w:ascii="Arial" w:hAnsi="Arial" w:eastAsia="宋体" w:cs="Arial"/>
        </w:rPr>
      </w:pPr>
      <w:r>
        <w:rPr>
          <w:rFonts w:ascii="Arial" w:hAnsi="Arial" w:eastAsia="宋体" w:cs="Arial"/>
        </w:rPr>
        <w:t>回收率可能会随提取方法、仪器配置、循环时间、温度、试剂、方法变动和系统误差或随机误差而有所变化。</w:t>
      </w:r>
    </w:p>
    <w:p w14:paraId="53BD8ED9">
      <w:pPr>
        <w:pStyle w:val="13"/>
        <w:numPr>
          <w:ilvl w:val="0"/>
          <w:numId w:val="5"/>
        </w:numPr>
        <w:snapToGrid w:val="0"/>
        <w:spacing w:line="288" w:lineRule="auto"/>
        <w:ind w:firstLineChars="0"/>
        <w:rPr>
          <w:rFonts w:ascii="Arial" w:hAnsi="Arial" w:eastAsia="宋体" w:cs="Arial"/>
        </w:rPr>
      </w:pPr>
      <w:r>
        <w:rPr>
          <w:rFonts w:ascii="Arial" w:hAnsi="Arial" w:eastAsia="宋体" w:cs="Arial"/>
        </w:rPr>
        <w:t>标本中可能存在质控材料中不存在或检测不到的罕见突变。</w:t>
      </w:r>
    </w:p>
    <w:p w14:paraId="6E485278">
      <w:pPr>
        <w:pStyle w:val="13"/>
        <w:numPr>
          <w:ilvl w:val="0"/>
          <w:numId w:val="5"/>
        </w:numPr>
        <w:snapToGrid w:val="0"/>
        <w:spacing w:line="288" w:lineRule="auto"/>
        <w:ind w:firstLineChars="0"/>
        <w:rPr>
          <w:rFonts w:ascii="Arial" w:hAnsi="Arial" w:eastAsia="宋体" w:cs="Arial"/>
        </w:rPr>
      </w:pPr>
      <w:r>
        <w:rPr>
          <w:rFonts w:ascii="Arial" w:hAnsi="Arial" w:eastAsia="宋体" w:cs="Arial"/>
        </w:rPr>
        <w:t>外部对照拟用来验证系统是否工作正常，但并非总能发现所有系统变动，因此，对照不能保证检测系统的工作完全可靠。</w:t>
      </w:r>
    </w:p>
    <w:p w14:paraId="49D8E702">
      <w:pPr>
        <w:snapToGrid w:val="0"/>
        <w:spacing w:line="288" w:lineRule="auto"/>
        <w:rPr>
          <w:rFonts w:ascii="Arial" w:hAnsi="Arial" w:eastAsia="宋体" w:cs="Arial"/>
        </w:rPr>
      </w:pPr>
    </w:p>
    <w:p w14:paraId="65C786CF">
      <w:pPr>
        <w:snapToGrid w:val="0"/>
        <w:spacing w:line="288" w:lineRule="auto"/>
        <w:rPr>
          <w:rFonts w:ascii="Arial" w:hAnsi="Arial" w:eastAsia="宋体" w:cs="Arial"/>
        </w:rPr>
      </w:pPr>
      <w:r>
        <w:rPr>
          <w:rFonts w:ascii="Arial" w:hAnsi="Arial" w:eastAsia="宋体" w:cs="Arial"/>
        </w:rPr>
        <w:t>对于质控材料不可监测的所有检测条件，如果在预期用途部分未做描述，贵公司应将对它们的描述包含在贴标中。这些检测条件是由基质效应或替代质控材料造成的（如预处理步骤、某些条件下不稳定）。</w:t>
      </w:r>
    </w:p>
    <w:p w14:paraId="4C2B0CDB">
      <w:pPr>
        <w:snapToGrid w:val="0"/>
        <w:spacing w:line="288" w:lineRule="auto"/>
        <w:rPr>
          <w:rFonts w:ascii="Arial" w:hAnsi="Arial" w:eastAsia="宋体" w:cs="Arial"/>
        </w:rPr>
      </w:pPr>
      <w:r>
        <w:rPr>
          <w:rFonts w:ascii="Arial" w:hAnsi="Arial" w:eastAsia="宋体" w:cs="Arial"/>
        </w:rPr>
        <w:t>____________________________</w:t>
      </w:r>
    </w:p>
    <w:p w14:paraId="02685C3D">
      <w:pPr>
        <w:snapToGrid w:val="0"/>
        <w:spacing w:line="288" w:lineRule="auto"/>
        <w:rPr>
          <w:rFonts w:ascii="Arial" w:hAnsi="Arial" w:eastAsia="宋体" w:cs="Arial"/>
          <w:sz w:val="18"/>
          <w:szCs w:val="18"/>
        </w:rPr>
      </w:pPr>
      <w:r>
        <w:rPr>
          <w:rFonts w:ascii="Arial" w:hAnsi="Arial" w:eastAsia="宋体" w:cs="Arial"/>
          <w:sz w:val="18"/>
          <w:szCs w:val="18"/>
          <w:vertAlign w:val="superscript"/>
        </w:rPr>
        <w:t>1</w:t>
      </w:r>
      <w:r>
        <w:rPr>
          <w:rFonts w:ascii="Arial" w:hAnsi="Arial" w:eastAsia="宋体" w:cs="Arial"/>
          <w:sz w:val="18"/>
          <w:szCs w:val="18"/>
        </w:rPr>
        <w:t>我们在本指南中使用的基因变异这个术语包含了野生型序列、突变或基因多态。</w:t>
      </w:r>
    </w:p>
    <w:p w14:paraId="7A31A1E7">
      <w:pPr>
        <w:snapToGrid w:val="0"/>
        <w:spacing w:line="288" w:lineRule="auto"/>
        <w:rPr>
          <w:rFonts w:ascii="Arial" w:hAnsi="Arial" w:eastAsia="宋体" w:cs="Arial"/>
          <w:sz w:val="18"/>
          <w:szCs w:val="18"/>
        </w:rPr>
      </w:pPr>
    </w:p>
    <w:p w14:paraId="7CBD706A">
      <w:pPr>
        <w:snapToGrid w:val="0"/>
        <w:spacing w:line="288" w:lineRule="auto"/>
        <w:rPr>
          <w:rFonts w:ascii="Arial" w:hAnsi="Arial" w:eastAsia="宋体" w:cs="Arial"/>
          <w:sz w:val="18"/>
          <w:szCs w:val="18"/>
        </w:rPr>
      </w:pPr>
    </w:p>
    <w:p w14:paraId="65C92B5C">
      <w:pPr>
        <w:snapToGrid w:val="0"/>
        <w:spacing w:line="300" w:lineRule="auto"/>
        <w:jc w:val="left"/>
        <w:rPr>
          <w:rFonts w:hint="eastAsia" w:eastAsia="宋体"/>
          <w:lang w:eastAsia="zh-CN"/>
        </w:rPr>
      </w:pPr>
    </w:p>
    <w:p w14:paraId="34214F57">
      <w:pPr>
        <w:snapToGrid w:val="0"/>
        <w:spacing w:line="300" w:lineRule="auto"/>
        <w:jc w:val="center"/>
        <w:rPr>
          <w:rFonts w:hint="eastAsia" w:eastAsia="宋体"/>
          <w:lang w:eastAsia="zh-CN"/>
        </w:rPr>
      </w:pPr>
    </w:p>
    <w:p w14:paraId="2D02AB66">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326BA"/>
    <w:multiLevelType w:val="multilevel"/>
    <w:tmpl w:val="1B8326B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1997826"/>
    <w:multiLevelType w:val="multilevel"/>
    <w:tmpl w:val="61997826"/>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2330C80"/>
    <w:multiLevelType w:val="multilevel"/>
    <w:tmpl w:val="62330C80"/>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EC42D5A"/>
    <w:multiLevelType w:val="multilevel"/>
    <w:tmpl w:val="6EC42D5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4C4536B"/>
    <w:multiLevelType w:val="multilevel"/>
    <w:tmpl w:val="74C4536B"/>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54"/>
    <w:rsid w:val="0000150D"/>
    <w:rsid w:val="0001047C"/>
    <w:rsid w:val="00012408"/>
    <w:rsid w:val="0003038E"/>
    <w:rsid w:val="00031911"/>
    <w:rsid w:val="000341DB"/>
    <w:rsid w:val="000357D6"/>
    <w:rsid w:val="00042F06"/>
    <w:rsid w:val="00044BA5"/>
    <w:rsid w:val="00047C7A"/>
    <w:rsid w:val="000525B4"/>
    <w:rsid w:val="00053773"/>
    <w:rsid w:val="00054FB2"/>
    <w:rsid w:val="000644CA"/>
    <w:rsid w:val="00064D37"/>
    <w:rsid w:val="00070FD1"/>
    <w:rsid w:val="00080758"/>
    <w:rsid w:val="000B2A96"/>
    <w:rsid w:val="000B728E"/>
    <w:rsid w:val="000C2E8F"/>
    <w:rsid w:val="000C6579"/>
    <w:rsid w:val="000D102E"/>
    <w:rsid w:val="000D213A"/>
    <w:rsid w:val="000D7017"/>
    <w:rsid w:val="000E594E"/>
    <w:rsid w:val="000F7C3D"/>
    <w:rsid w:val="0011032E"/>
    <w:rsid w:val="0012265E"/>
    <w:rsid w:val="001242D7"/>
    <w:rsid w:val="00132156"/>
    <w:rsid w:val="00141B6F"/>
    <w:rsid w:val="00141F35"/>
    <w:rsid w:val="001758D1"/>
    <w:rsid w:val="0018423D"/>
    <w:rsid w:val="001B14D7"/>
    <w:rsid w:val="001C1873"/>
    <w:rsid w:val="001D6774"/>
    <w:rsid w:val="001F1B00"/>
    <w:rsid w:val="001F1E9F"/>
    <w:rsid w:val="001F578B"/>
    <w:rsid w:val="00201321"/>
    <w:rsid w:val="00211085"/>
    <w:rsid w:val="00221A6D"/>
    <w:rsid w:val="00233AB5"/>
    <w:rsid w:val="002354F6"/>
    <w:rsid w:val="002643BD"/>
    <w:rsid w:val="002679C5"/>
    <w:rsid w:val="002679F2"/>
    <w:rsid w:val="002754D4"/>
    <w:rsid w:val="002934E4"/>
    <w:rsid w:val="002A0D79"/>
    <w:rsid w:val="002C1787"/>
    <w:rsid w:val="002D4410"/>
    <w:rsid w:val="002E134A"/>
    <w:rsid w:val="002E734F"/>
    <w:rsid w:val="002F2F14"/>
    <w:rsid w:val="002F69DF"/>
    <w:rsid w:val="00322F32"/>
    <w:rsid w:val="0032493F"/>
    <w:rsid w:val="00335C85"/>
    <w:rsid w:val="003456FA"/>
    <w:rsid w:val="0035474F"/>
    <w:rsid w:val="00362A2E"/>
    <w:rsid w:val="00386899"/>
    <w:rsid w:val="00391667"/>
    <w:rsid w:val="003928AD"/>
    <w:rsid w:val="003B342F"/>
    <w:rsid w:val="003D66BD"/>
    <w:rsid w:val="003E3EFD"/>
    <w:rsid w:val="003F2EBC"/>
    <w:rsid w:val="00403BCD"/>
    <w:rsid w:val="00406832"/>
    <w:rsid w:val="004202AC"/>
    <w:rsid w:val="004429A9"/>
    <w:rsid w:val="00444C95"/>
    <w:rsid w:val="00452EC1"/>
    <w:rsid w:val="004568AE"/>
    <w:rsid w:val="004625D2"/>
    <w:rsid w:val="00465758"/>
    <w:rsid w:val="004B3967"/>
    <w:rsid w:val="004D3673"/>
    <w:rsid w:val="004D3826"/>
    <w:rsid w:val="004E1EA7"/>
    <w:rsid w:val="004E23EA"/>
    <w:rsid w:val="004F088C"/>
    <w:rsid w:val="004F6B67"/>
    <w:rsid w:val="004F73E6"/>
    <w:rsid w:val="00504E3B"/>
    <w:rsid w:val="00513769"/>
    <w:rsid w:val="00523E36"/>
    <w:rsid w:val="00531316"/>
    <w:rsid w:val="00531326"/>
    <w:rsid w:val="005321D2"/>
    <w:rsid w:val="00532591"/>
    <w:rsid w:val="00532ED5"/>
    <w:rsid w:val="005409C9"/>
    <w:rsid w:val="005444AE"/>
    <w:rsid w:val="00557851"/>
    <w:rsid w:val="00560309"/>
    <w:rsid w:val="00563617"/>
    <w:rsid w:val="005636BF"/>
    <w:rsid w:val="00575FB6"/>
    <w:rsid w:val="00580A4F"/>
    <w:rsid w:val="00585C22"/>
    <w:rsid w:val="005965E2"/>
    <w:rsid w:val="005D01DF"/>
    <w:rsid w:val="005D65CC"/>
    <w:rsid w:val="005E0827"/>
    <w:rsid w:val="005E282E"/>
    <w:rsid w:val="005E59BD"/>
    <w:rsid w:val="005E5DAD"/>
    <w:rsid w:val="005E7819"/>
    <w:rsid w:val="00614C87"/>
    <w:rsid w:val="00622EB3"/>
    <w:rsid w:val="00624A2C"/>
    <w:rsid w:val="0063257D"/>
    <w:rsid w:val="00644502"/>
    <w:rsid w:val="00663F29"/>
    <w:rsid w:val="00685CA4"/>
    <w:rsid w:val="00686A95"/>
    <w:rsid w:val="0069530C"/>
    <w:rsid w:val="00697122"/>
    <w:rsid w:val="006A2912"/>
    <w:rsid w:val="006A3D4E"/>
    <w:rsid w:val="006E0897"/>
    <w:rsid w:val="006F3F8C"/>
    <w:rsid w:val="006F7927"/>
    <w:rsid w:val="00703CA8"/>
    <w:rsid w:val="00706970"/>
    <w:rsid w:val="007152DA"/>
    <w:rsid w:val="00722096"/>
    <w:rsid w:val="00745804"/>
    <w:rsid w:val="00752375"/>
    <w:rsid w:val="00754535"/>
    <w:rsid w:val="00772BBB"/>
    <w:rsid w:val="00777AF2"/>
    <w:rsid w:val="00787D9A"/>
    <w:rsid w:val="00794111"/>
    <w:rsid w:val="007A19D0"/>
    <w:rsid w:val="007A6B24"/>
    <w:rsid w:val="007A6FBD"/>
    <w:rsid w:val="007B168B"/>
    <w:rsid w:val="007C2CB8"/>
    <w:rsid w:val="007F3074"/>
    <w:rsid w:val="007F618F"/>
    <w:rsid w:val="007F7949"/>
    <w:rsid w:val="00805614"/>
    <w:rsid w:val="00811754"/>
    <w:rsid w:val="00820E14"/>
    <w:rsid w:val="00831E9F"/>
    <w:rsid w:val="008367BE"/>
    <w:rsid w:val="00843697"/>
    <w:rsid w:val="00855908"/>
    <w:rsid w:val="0086285E"/>
    <w:rsid w:val="00863BBC"/>
    <w:rsid w:val="00865214"/>
    <w:rsid w:val="008717CD"/>
    <w:rsid w:val="008723B2"/>
    <w:rsid w:val="00873128"/>
    <w:rsid w:val="0087397A"/>
    <w:rsid w:val="008765FB"/>
    <w:rsid w:val="0088031F"/>
    <w:rsid w:val="00883A67"/>
    <w:rsid w:val="008927EA"/>
    <w:rsid w:val="00893374"/>
    <w:rsid w:val="008A56E7"/>
    <w:rsid w:val="008B59FF"/>
    <w:rsid w:val="008C0C5D"/>
    <w:rsid w:val="008C551E"/>
    <w:rsid w:val="008C79B0"/>
    <w:rsid w:val="008D2490"/>
    <w:rsid w:val="008D2FBC"/>
    <w:rsid w:val="008E105E"/>
    <w:rsid w:val="008E145B"/>
    <w:rsid w:val="008E69AD"/>
    <w:rsid w:val="008F09E3"/>
    <w:rsid w:val="0090093A"/>
    <w:rsid w:val="0092303D"/>
    <w:rsid w:val="00927245"/>
    <w:rsid w:val="00937CF3"/>
    <w:rsid w:val="0094622A"/>
    <w:rsid w:val="00947A33"/>
    <w:rsid w:val="00957DA3"/>
    <w:rsid w:val="009744B9"/>
    <w:rsid w:val="009828B1"/>
    <w:rsid w:val="00982954"/>
    <w:rsid w:val="009839F2"/>
    <w:rsid w:val="0098425F"/>
    <w:rsid w:val="009A6CE8"/>
    <w:rsid w:val="009B0573"/>
    <w:rsid w:val="009E6598"/>
    <w:rsid w:val="009E6796"/>
    <w:rsid w:val="00A16797"/>
    <w:rsid w:val="00A177BC"/>
    <w:rsid w:val="00A27E53"/>
    <w:rsid w:val="00A4747A"/>
    <w:rsid w:val="00A504DD"/>
    <w:rsid w:val="00A604DF"/>
    <w:rsid w:val="00A673A3"/>
    <w:rsid w:val="00A700C5"/>
    <w:rsid w:val="00AA1A4F"/>
    <w:rsid w:val="00AA4EF9"/>
    <w:rsid w:val="00AA61B3"/>
    <w:rsid w:val="00AB1E3C"/>
    <w:rsid w:val="00AB2166"/>
    <w:rsid w:val="00AB3E22"/>
    <w:rsid w:val="00AC0F30"/>
    <w:rsid w:val="00AC2F3D"/>
    <w:rsid w:val="00AC5362"/>
    <w:rsid w:val="00AC5CC4"/>
    <w:rsid w:val="00AE19B9"/>
    <w:rsid w:val="00AE2E7F"/>
    <w:rsid w:val="00AF337D"/>
    <w:rsid w:val="00B00DB9"/>
    <w:rsid w:val="00B17E04"/>
    <w:rsid w:val="00B35B35"/>
    <w:rsid w:val="00B53E0C"/>
    <w:rsid w:val="00B6251D"/>
    <w:rsid w:val="00B62883"/>
    <w:rsid w:val="00B80EBF"/>
    <w:rsid w:val="00B8349C"/>
    <w:rsid w:val="00B864B3"/>
    <w:rsid w:val="00B912F8"/>
    <w:rsid w:val="00B948A2"/>
    <w:rsid w:val="00BC482D"/>
    <w:rsid w:val="00BC5D2E"/>
    <w:rsid w:val="00BE13F1"/>
    <w:rsid w:val="00BE6F54"/>
    <w:rsid w:val="00BF73E9"/>
    <w:rsid w:val="00C2220F"/>
    <w:rsid w:val="00C233D4"/>
    <w:rsid w:val="00C33FF7"/>
    <w:rsid w:val="00C347E4"/>
    <w:rsid w:val="00C40A20"/>
    <w:rsid w:val="00C40F9F"/>
    <w:rsid w:val="00C42128"/>
    <w:rsid w:val="00C46968"/>
    <w:rsid w:val="00C67103"/>
    <w:rsid w:val="00C733B1"/>
    <w:rsid w:val="00C93606"/>
    <w:rsid w:val="00C956F2"/>
    <w:rsid w:val="00C975A0"/>
    <w:rsid w:val="00CA7218"/>
    <w:rsid w:val="00CB2810"/>
    <w:rsid w:val="00CB3576"/>
    <w:rsid w:val="00CC1475"/>
    <w:rsid w:val="00CD380A"/>
    <w:rsid w:val="00CF2E2E"/>
    <w:rsid w:val="00D03671"/>
    <w:rsid w:val="00D12049"/>
    <w:rsid w:val="00D25A80"/>
    <w:rsid w:val="00D34F9F"/>
    <w:rsid w:val="00D44F1E"/>
    <w:rsid w:val="00D45A22"/>
    <w:rsid w:val="00D54854"/>
    <w:rsid w:val="00D6050B"/>
    <w:rsid w:val="00D61BEC"/>
    <w:rsid w:val="00D713DF"/>
    <w:rsid w:val="00D80B37"/>
    <w:rsid w:val="00D83EBC"/>
    <w:rsid w:val="00D90E2F"/>
    <w:rsid w:val="00D974AE"/>
    <w:rsid w:val="00DA0ECF"/>
    <w:rsid w:val="00DB164E"/>
    <w:rsid w:val="00DC3611"/>
    <w:rsid w:val="00DD2144"/>
    <w:rsid w:val="00DD231F"/>
    <w:rsid w:val="00DE35BC"/>
    <w:rsid w:val="00DE5157"/>
    <w:rsid w:val="00DE7EAB"/>
    <w:rsid w:val="00E0085F"/>
    <w:rsid w:val="00E01B49"/>
    <w:rsid w:val="00E04D79"/>
    <w:rsid w:val="00E10C72"/>
    <w:rsid w:val="00E1660A"/>
    <w:rsid w:val="00E16AB6"/>
    <w:rsid w:val="00E20A5F"/>
    <w:rsid w:val="00E21FFD"/>
    <w:rsid w:val="00E34F58"/>
    <w:rsid w:val="00E377F2"/>
    <w:rsid w:val="00E422E6"/>
    <w:rsid w:val="00E47176"/>
    <w:rsid w:val="00E50D06"/>
    <w:rsid w:val="00E511CC"/>
    <w:rsid w:val="00E5421C"/>
    <w:rsid w:val="00E54F67"/>
    <w:rsid w:val="00E6289F"/>
    <w:rsid w:val="00E62D87"/>
    <w:rsid w:val="00E6471A"/>
    <w:rsid w:val="00E650F6"/>
    <w:rsid w:val="00E75DD1"/>
    <w:rsid w:val="00E77162"/>
    <w:rsid w:val="00E9710B"/>
    <w:rsid w:val="00EA6EB9"/>
    <w:rsid w:val="00EB2E64"/>
    <w:rsid w:val="00EC7266"/>
    <w:rsid w:val="00ED095D"/>
    <w:rsid w:val="00ED4B6E"/>
    <w:rsid w:val="00EF17F5"/>
    <w:rsid w:val="00EF18B5"/>
    <w:rsid w:val="00F01C70"/>
    <w:rsid w:val="00F01E31"/>
    <w:rsid w:val="00F026A4"/>
    <w:rsid w:val="00F10A19"/>
    <w:rsid w:val="00F23EBB"/>
    <w:rsid w:val="00F256D7"/>
    <w:rsid w:val="00F46E5B"/>
    <w:rsid w:val="00F65130"/>
    <w:rsid w:val="00F71DE6"/>
    <w:rsid w:val="00F906BC"/>
    <w:rsid w:val="00F91E9D"/>
    <w:rsid w:val="00FA5AAC"/>
    <w:rsid w:val="00FA6727"/>
    <w:rsid w:val="00FB39C5"/>
    <w:rsid w:val="00FB40B1"/>
    <w:rsid w:val="00FB48FA"/>
    <w:rsid w:val="00FD391F"/>
    <w:rsid w:val="00FE7D10"/>
    <w:rsid w:val="64DD4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short_text"/>
    <w:basedOn w:val="7"/>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7982</Words>
  <Characters>8432</Characters>
  <Lines>62</Lines>
  <Paragraphs>17</Paragraphs>
  <TotalTime>0</TotalTime>
  <ScaleCrop>false</ScaleCrop>
  <LinksUpToDate>false</LinksUpToDate>
  <CharactersWithSpaces>8474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2017-04-10T07:36:00Z</dcterms:created>
  <dc:creator>BH</dc:creator>
  <cp:lastModifiedBy>太极箫客</cp:lastModifiedBy>
  <dcterms:modified xsi:type="dcterms:W3CDTF">2025-08-14T06:17:55Z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93D50AC1EAC540A68085068D451C1D8F_12</vt:lpwstr>
  </property>
</Properties>
</file>