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3AF1D">
      <w:pPr>
        <w:widowControl w:val="0"/>
        <w:autoSpaceDE w:val="0"/>
        <w:autoSpaceDN w:val="0"/>
        <w:snapToGrid w:val="0"/>
        <w:spacing w:before="0" w:after="0" w:line="300" w:lineRule="auto"/>
        <w:jc w:val="center"/>
        <w:rPr>
          <w:rFonts w:ascii="Arial" w:hAnsi="Arial" w:cs="Arial"/>
          <w:color w:val="000000"/>
          <w:sz w:val="60"/>
        </w:rPr>
      </w:pPr>
      <w:bookmarkStart w:id="34" w:name="_GoBack"/>
      <w:bookmarkEnd w:id="34"/>
      <w:r>
        <w:rPr>
          <w:rFonts w:ascii="Arial" w:hAnsi="Arial" w:cs="Arial"/>
          <w:color w:val="000000"/>
          <w:sz w:val="60"/>
        </w:rPr>
        <w:t>行业和食品药品监督</w:t>
      </w:r>
    </w:p>
    <w:p w14:paraId="6548622B">
      <w:pPr>
        <w:widowControl w:val="0"/>
        <w:autoSpaceDE w:val="0"/>
        <w:autoSpaceDN w:val="0"/>
        <w:snapToGrid w:val="0"/>
        <w:spacing w:before="0" w:after="0" w:line="300" w:lineRule="auto"/>
        <w:jc w:val="center"/>
        <w:rPr>
          <w:rFonts w:ascii="Arial" w:hAnsi="Arial" w:cs="Arial"/>
          <w:color w:val="000000"/>
          <w:sz w:val="60"/>
        </w:rPr>
      </w:pPr>
      <w:r>
        <w:rPr>
          <w:rFonts w:ascii="Arial" w:hAnsi="Arial" w:cs="Arial"/>
          <w:color w:val="000000"/>
          <w:sz w:val="60"/>
          <w:lang w:val="en-US"/>
        </w:rPr>
        <mc:AlternateContent>
          <mc:Choice Requires="wps">
            <w:drawing>
              <wp:anchor distT="0" distB="0" distL="114300" distR="114300" simplePos="0" relativeHeight="251665408" behindDoc="0" locked="0" layoutInCell="1" allowOverlap="1">
                <wp:simplePos x="0" y="0"/>
                <wp:positionH relativeFrom="column">
                  <wp:posOffset>85725</wp:posOffset>
                </wp:positionH>
                <wp:positionV relativeFrom="paragraph">
                  <wp:posOffset>490855</wp:posOffset>
                </wp:positionV>
                <wp:extent cx="6076315" cy="0"/>
                <wp:effectExtent l="0" t="0" r="19685" b="19050"/>
                <wp:wrapNone/>
                <wp:docPr id="15" name="直接连接符 15"/>
                <wp:cNvGraphicFramePr/>
                <a:graphic xmlns:a="http://schemas.openxmlformats.org/drawingml/2006/main">
                  <a:graphicData uri="http://schemas.microsoft.com/office/word/2010/wordprocessingShape">
                    <wps:wsp>
                      <wps:cNvCnPr/>
                      <wps:spPr>
                        <a:xfrm>
                          <a:off x="0" y="0"/>
                          <a:ext cx="60763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5pt;margin-top:38.65pt;height:0pt;width:478.45pt;z-index:251665408;mso-width-relative:page;mso-height-relative:page;" filled="f" stroked="t" coordsize="21600,21600" o:gfxdata="UEsDBAoAAAAAAIdO4kAAAAAAAAAAAAAAAAAEAAAAZHJzL1BLAwQUAAAACACHTuJAzczzz9UAAAAI&#10;AQAADwAAAGRycy9kb3ducmV2LnhtbE2PwU7DMBBE70j8g7VI3KhTCqRN4/SAxAEJCQgcOLrxNg7E&#10;62C7Sfh7FnGA4+yM3s6Uu9n1YsQQO08KlosMBFLjTUetgteXu4s1iJg0Gd17QgVfGGFXnZ6UujB+&#10;omcc69QKhlAstAKb0lBIGRuLTseFH5DYO/jgdGIZWmmCnhjuenmZZTfS6Y74g9UD3lpsPuqjYwrl&#10;n4e5D29Pjw92XU/veD/mqNT52TLbgkg4p78w/NTn6lBxp70/komiZ7265qSCPF+BYH+TZ1cg9r8H&#10;WZXy/4DqG1BLAwQUAAAACACHTuJALSUFzOMBAACzAwAADgAAAGRycy9lMm9Eb2MueG1srVM7bhsx&#10;EO0D5A4E+2hlC1aMhVYuLDhNkAhIcgCKS+4S4A8ztFa6RC4QIF1SpUyf28Q+RoZcWXbsxoW34A7n&#10;84bvcbi42DnLtgrQBN/wk8mUM+VlaI3vGv7l89Wbc84wCd8KG7xq+F4hv1i+frUYYq1OQx9sq4AR&#10;iMd6iA3vU4p1VaHslRM4CVF5CuoATiTaQle1IAZCd7Y6nU7n1RCgjRCkQiTvagzyAyI8BzBobaRa&#10;BXntlE8jKigrElHC3kTky3JarZVMH7VGlZhtODFNZaUmZG/yWi0Xou5AxN7IwxHEc47wiJMTxlPT&#10;I9RKJMGuwTyBckZCwKDTRAZXjUSKIsTiZPpIm0+9iKpwIakxHkXHl4OVH7ZrYKalSTjjzAtHN37z&#10;7fffrz9u/3yn9ebXT0YRkmmIWFP2pV/DYYdxDZnzToPLf2LDdkXa/VFatUtMknM+fTufzeacybtY&#10;dV8YAdM7FRzLRsOt8Zm1qMX2PSZqRql3Kdntw5Wxttyc9Wwg8NkZ3acUNI2apoBMF4kR+o4zYTsa&#10;c5mgIGKwps3VGQeh21xaYFuRh6N8mSh1+y8tt14J7Me8EhrHxplEL8Ea1/Dzh9XWE0iWaxQoW5vQ&#10;7otuxU93Wdoc5i4Py8N9qb5/a8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czzz9UAAAAIAQAA&#10;DwAAAAAAAAABACAAAAAiAAAAZHJzL2Rvd25yZXYueG1sUEsBAhQAFAAAAAgAh07iQC0lBczjAQAA&#10;swMAAA4AAAAAAAAAAQAgAAAAJAEAAGRycy9lMm9Eb2MueG1sUEsFBgAAAAAGAAYAWQEAAHkFAAAA&#10;AA==&#10;">
                <v:fill on="f" focussize="0,0"/>
                <v:stroke weight="0.5pt" color="#000000 [3213]" miterlimit="8" joinstyle="miter"/>
                <v:imagedata o:title=""/>
                <o:lock v:ext="edit" aspectratio="f"/>
              </v:line>
            </w:pict>
          </mc:Fallback>
        </mc:AlternateContent>
      </w:r>
      <w:r>
        <w:rPr>
          <w:rFonts w:ascii="Arial" w:hAnsi="Arial" w:cs="Arial"/>
          <w:color w:val="000000"/>
          <w:sz w:val="60"/>
        </w:rPr>
        <w:t>管理局工作人员指南</w:t>
      </w:r>
    </w:p>
    <w:p w14:paraId="7BC905BB">
      <w:pPr>
        <w:widowControl w:val="0"/>
        <w:autoSpaceDE w:val="0"/>
        <w:autoSpaceDN w:val="0"/>
        <w:snapToGrid w:val="0"/>
        <w:spacing w:before="0" w:after="0" w:line="300" w:lineRule="auto"/>
        <w:jc w:val="center"/>
        <w:rPr>
          <w:rFonts w:ascii="Arial" w:hAnsi="Arial" w:cs="Arial"/>
          <w:color w:val="000000"/>
          <w:sz w:val="60"/>
        </w:rPr>
      </w:pPr>
      <w:r>
        <w:rPr>
          <w:rFonts w:ascii="Arial" w:hAnsi="Arial" w:cs="Arial"/>
          <w:color w:val="000000"/>
          <w:sz w:val="60"/>
        </w:rPr>
        <w:t>II类特殊控制指导性文件：</w:t>
      </w:r>
      <w:r>
        <w:rPr>
          <w:rFonts w:ascii="Arial" w:hAnsi="Arial" w:cs="Arial"/>
          <w:color w:val="000000"/>
          <w:sz w:val="60"/>
        </w:rPr>
        <w:br w:type="textWrapping"/>
      </w:r>
      <w:r>
        <w:rPr>
          <w:rFonts w:ascii="Arial" w:hAnsi="Arial" w:cs="Arial"/>
          <w:color w:val="000000"/>
          <w:sz w:val="60"/>
        </w:rPr>
        <w:t>卵巢附件肿块评估评分测试系统</w:t>
      </w:r>
    </w:p>
    <w:p w14:paraId="4C6F3CDD">
      <w:pPr>
        <w:widowControl w:val="0"/>
        <w:autoSpaceDE w:val="0"/>
        <w:autoSpaceDN w:val="0"/>
        <w:snapToGrid w:val="0"/>
        <w:spacing w:before="0" w:after="0" w:line="300" w:lineRule="auto"/>
        <w:jc w:val="center"/>
        <w:rPr>
          <w:rFonts w:ascii="Arial" w:hAnsi="Arial" w:cs="Arial"/>
          <w:b/>
          <w:color w:val="000000"/>
          <w:sz w:val="28"/>
        </w:rPr>
      </w:pPr>
      <w:r>
        <w:rPr>
          <w:rFonts w:ascii="Arial" w:hAnsi="Arial" w:cs="Arial"/>
          <w:b/>
          <w:color w:val="000000"/>
          <w:sz w:val="28"/>
        </w:rPr>
        <w:t>发布时间：2011年3月23日</w:t>
      </w:r>
    </w:p>
    <w:p w14:paraId="24689FBC">
      <w:pPr>
        <w:widowControl w:val="0"/>
        <w:autoSpaceDE w:val="0"/>
        <w:autoSpaceDN w:val="0"/>
        <w:snapToGrid w:val="0"/>
        <w:spacing w:before="0" w:after="0" w:line="300" w:lineRule="auto"/>
        <w:jc w:val="center"/>
        <w:rPr>
          <w:rFonts w:ascii="Arial" w:hAnsi="Arial" w:cs="Arial"/>
          <w:b/>
          <w:color w:val="000000"/>
          <w:sz w:val="28"/>
        </w:rPr>
      </w:pPr>
    </w:p>
    <w:p w14:paraId="3F7688E7">
      <w:pPr>
        <w:widowControl w:val="0"/>
        <w:autoSpaceDE w:val="0"/>
        <w:autoSpaceDN w:val="0"/>
        <w:snapToGrid w:val="0"/>
        <w:spacing w:before="0" w:after="0" w:line="300" w:lineRule="auto"/>
        <w:jc w:val="center"/>
        <w:rPr>
          <w:rFonts w:ascii="Arial" w:hAnsi="Arial" w:cs="Arial"/>
          <w:color w:val="000000"/>
          <w:sz w:val="24"/>
        </w:rPr>
      </w:pPr>
      <w:r>
        <w:rPr>
          <w:rFonts w:ascii="Arial" w:hAnsi="Arial" w:cs="Arial"/>
          <w:color w:val="000000"/>
          <w:sz w:val="24"/>
        </w:rPr>
        <w:t>关于本文件的问题，请联系Donna Roscoe，电话301-796-6183</w:t>
      </w:r>
    </w:p>
    <w:p w14:paraId="7685ABC2">
      <w:pPr>
        <w:widowControl w:val="0"/>
        <w:autoSpaceDE w:val="0"/>
        <w:autoSpaceDN w:val="0"/>
        <w:snapToGrid w:val="0"/>
        <w:spacing w:before="0" w:after="0" w:line="300" w:lineRule="auto"/>
        <w:jc w:val="center"/>
        <w:rPr>
          <w:rFonts w:ascii="Arial" w:hAnsi="Arial" w:cs="Arial"/>
          <w:color w:val="000000"/>
          <w:sz w:val="24"/>
        </w:rPr>
      </w:pPr>
      <w:r>
        <w:rPr>
          <w:rFonts w:ascii="Arial" w:hAnsi="Arial" w:cs="Arial"/>
          <w:color w:val="000000"/>
          <w:sz w:val="24"/>
        </w:rPr>
        <w:t>（</w:t>
      </w:r>
      <w:r>
        <w:rPr>
          <w:rFonts w:ascii="Arial" w:hAnsi="Arial" w:cs="Arial"/>
          <w:color w:val="0000FF"/>
          <w:sz w:val="24"/>
          <w:u w:val="single"/>
        </w:rPr>
        <w:t>Donna.Roscoe@fda.hhs.gov</w:t>
      </w:r>
      <w:r>
        <w:rPr>
          <w:rFonts w:ascii="Arial" w:hAnsi="Arial" w:cs="Arial"/>
          <w:color w:val="000000"/>
          <w:sz w:val="24"/>
        </w:rPr>
        <w:t>），或Marina Kondratovich，电话301-796-6036</w:t>
      </w:r>
    </w:p>
    <w:p w14:paraId="1B9B338E">
      <w:pPr>
        <w:widowControl w:val="0"/>
        <w:autoSpaceDE w:val="0"/>
        <w:autoSpaceDN w:val="0"/>
        <w:snapToGrid w:val="0"/>
        <w:spacing w:before="0" w:after="0" w:line="300" w:lineRule="auto"/>
        <w:jc w:val="center"/>
        <w:rPr>
          <w:rFonts w:ascii="Arial" w:hAnsi="Arial" w:cs="Arial"/>
          <w:color w:val="000000"/>
          <w:sz w:val="16"/>
        </w:rPr>
      </w:pPr>
      <w:r>
        <w:rPr>
          <w:rFonts w:ascii="Arial" w:hAnsi="Arial" w:cs="Arial"/>
          <w:color w:val="000000"/>
          <w:sz w:val="24"/>
        </w:rPr>
        <w:t>（</w:t>
      </w:r>
      <w:r>
        <w:fldChar w:fldCharType="begin"/>
      </w:r>
      <w:r>
        <w:instrText xml:space="preserve"> HYPERLINK "mailto:Marina.Kondratovich@fda.hhs.gov" </w:instrText>
      </w:r>
      <w:r>
        <w:fldChar w:fldCharType="separate"/>
      </w:r>
      <w:r>
        <w:rPr>
          <w:rStyle w:val="11"/>
          <w:rFonts w:ascii="Arial" w:hAnsi="Arial" w:cs="Arial"/>
          <w:sz w:val="24"/>
        </w:rPr>
        <w:t>Marina.Kondratovich@fda.hhs.gov</w:t>
      </w:r>
      <w:r>
        <w:rPr>
          <w:rStyle w:val="11"/>
          <w:rFonts w:ascii="Arial" w:hAnsi="Arial" w:cs="Arial"/>
          <w:sz w:val="24"/>
        </w:rPr>
        <w:fldChar w:fldCharType="end"/>
      </w:r>
      <w:r>
        <w:rPr>
          <w:rFonts w:ascii="Arial" w:hAnsi="Arial" w:cs="Arial"/>
          <w:color w:val="000000"/>
          <w:sz w:val="16"/>
        </w:rPr>
        <w:t>）</w:t>
      </w:r>
    </w:p>
    <w:p w14:paraId="240A3805">
      <w:pPr>
        <w:widowControl w:val="0"/>
        <w:autoSpaceDE w:val="0"/>
        <w:autoSpaceDN w:val="0"/>
        <w:snapToGrid w:val="0"/>
        <w:spacing w:before="0" w:after="0" w:line="300" w:lineRule="auto"/>
        <w:rPr>
          <w:rFonts w:ascii="Arial" w:hAnsi="Arial" w:cs="Arial"/>
          <w:color w:val="000000"/>
          <w:sz w:val="24"/>
        </w:rPr>
      </w:pPr>
    </w:p>
    <w:p w14:paraId="29DA8C3C">
      <w:pPr>
        <w:widowControl w:val="0"/>
        <w:autoSpaceDE w:val="0"/>
        <w:autoSpaceDN w:val="0"/>
        <w:snapToGrid w:val="0"/>
        <w:spacing w:before="0" w:after="0" w:line="300" w:lineRule="auto"/>
        <w:rPr>
          <w:rFonts w:ascii="Arial" w:hAnsi="Arial" w:cs="Arial"/>
          <w:color w:val="000000"/>
          <w:sz w:val="24"/>
        </w:rPr>
      </w:pPr>
    </w:p>
    <w:p w14:paraId="486FB2A8">
      <w:pPr>
        <w:widowControl w:val="0"/>
        <w:autoSpaceDE w:val="0"/>
        <w:autoSpaceDN w:val="0"/>
        <w:snapToGrid w:val="0"/>
        <w:spacing w:before="0" w:after="0" w:line="300" w:lineRule="auto"/>
        <w:rPr>
          <w:rFonts w:ascii="Arial" w:hAnsi="Arial" w:cs="Arial"/>
          <w:color w:val="000000"/>
          <w:sz w:val="24"/>
        </w:rPr>
      </w:pPr>
    </w:p>
    <w:p w14:paraId="7076AEF3">
      <w:pPr>
        <w:widowControl w:val="0"/>
        <w:autoSpaceDE w:val="0"/>
        <w:autoSpaceDN w:val="0"/>
        <w:snapToGrid w:val="0"/>
        <w:spacing w:before="0" w:after="0" w:line="300" w:lineRule="auto"/>
        <w:rPr>
          <w:rFonts w:ascii="Arial" w:hAnsi="Arial" w:cs="Arial"/>
          <w:color w:val="000000"/>
          <w:sz w:val="24"/>
        </w:rPr>
      </w:pPr>
    </w:p>
    <w:p w14:paraId="487E3977">
      <w:pPr>
        <w:widowControl w:val="0"/>
        <w:autoSpaceDE w:val="0"/>
        <w:autoSpaceDN w:val="0"/>
        <w:snapToGrid w:val="0"/>
        <w:spacing w:before="0" w:after="0" w:line="300" w:lineRule="auto"/>
        <w:rPr>
          <w:rFonts w:ascii="Arial" w:hAnsi="Arial" w:cs="Arial"/>
          <w:color w:val="000000"/>
          <w:sz w:val="24"/>
        </w:rPr>
      </w:pPr>
    </w:p>
    <w:p w14:paraId="6FF43217">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lang w:val="en-US"/>
        </w:rPr>
        <mc:AlternateContent>
          <mc:Choice Requires="wps">
            <w:drawing>
              <wp:anchor distT="0" distB="0" distL="114300" distR="114300" simplePos="0" relativeHeight="251666432" behindDoc="0" locked="0" layoutInCell="1" allowOverlap="1">
                <wp:simplePos x="0" y="0"/>
                <wp:positionH relativeFrom="column">
                  <wp:posOffset>36830</wp:posOffset>
                </wp:positionH>
                <wp:positionV relativeFrom="paragraph">
                  <wp:posOffset>92075</wp:posOffset>
                </wp:positionV>
                <wp:extent cx="2113915" cy="140589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2113935" cy="140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20DC8">
                            <w:r>
                              <w:rPr>
                                <w:lang w:val="en-US"/>
                              </w:rPr>
                              <w:drawing>
                                <wp:inline distT="0" distB="0" distL="0" distR="0">
                                  <wp:extent cx="1295400" cy="1171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295581" cy="11717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7.25pt;height:110.7pt;width:166.45pt;z-index:251666432;mso-width-relative:page;mso-height-relative:page;" filled="f" stroked="f" coordsize="21600,21600" o:gfxdata="UEsDBAoAAAAAAIdO4kAAAAAAAAAAAAAAAAAEAAAAZHJzL1BLAwQUAAAACACHTuJA6gnFjNoAAAAI&#10;AQAADwAAAGRycy9kb3ducmV2LnhtbE2PzU7DMBCE70i8g7VI3KjThEAa4lQoUoWE6KGll942sZtE&#10;xOsQuz/w9CwnOO7MaObbYnmxgziZyfeOFMxnEQhDjdM9tQp276u7DIQPSBoHR0bBl/GwLK+vCsy1&#10;O9PGnLahFVxCPkcFXQhjLqVvOmPRz9xoiL2DmywGPqdW6gnPXG4HGUfRg7TYEy90OJqqM83H9mgV&#10;vFarNW7q2GbfQ/XydngeP3f7VKnbm3n0BCKYS/gLwy8+o0PJTLU7kvZiUJAyeGD5PgXBdpJkjyBq&#10;BXGSLkCWhfz/QPkDUEsDBBQAAAAIAIdO4kB6lARdQgIAAHUEAAAOAAAAZHJzL2Uyb0RvYy54bWyt&#10;VM2O0zAQviPxDpbvNEn/YKumq7JVEVLFrlQQZ9dxmki2x9huk/IA8AacuHDnufocjJ22Wy0c9sDF&#10;HXsm3/j75nOnt62SZC+sq0HnNOullAjNoaj1NqefPi5fvaHEeaYLJkGLnB6Eo7ezly+mjZmIPlQg&#10;C2EJgmg3aUxOK+/NJEkcr4RirgdGaEyWYBXzuLXbpLCsQXQlk36ajpMGbGEscOEcni66JD0h2ucA&#10;QlnWXCyA75TQvkO1QjKPlFxVG0dn8bZlKbi/L0snPJE5RaY+rtgE401Yk9mUTbaWmarmpyuw51zh&#10;CSfFao1NL1AL5hnZ2fovKFVzCw5K3+Ogko5IVARZZOkTbdYVMyJyQamduYju/h8s/7B/sKQuctqn&#10;RDOFAz/++H78+fv46xvpB3ka4yZYtTZY59u30KJpzucODwPrtrQq/CIfgnkU93ARV7SecDzsZ9ng&#10;ZjCihGMuG6bjNBsEnOTxc2OdfydAkRDk1OL0oqhsv3K+Kz2XhG4alrWUcYJSkyan48EojR9cMggu&#10;dagV0QsnmECpu3qIfLtpTzw3UByQpoXOJ87wZY1XWTHnH5hFYyAzfDr+HpdSAraEU0RJBfbrv85D&#10;Pc4Ls5Q0aLScui87ZgUl8r3GSd5kw2FwZtwMR6/7uLHXmc11Ru/UHaCXM3ykhscw1Ht5DksL6jO+&#10;sHnoiimmOfbOqT+Hd76zP75QLubzWIReNMyv9NrwAN2JO995KOuoe5Cp0wbnFTboxji508sJdr/e&#10;x6rHf4v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oJxYzaAAAACAEAAA8AAAAAAAAAAQAgAAAA&#10;IgAAAGRycy9kb3ducmV2LnhtbFBLAQIUABQAAAAIAIdO4kB6lARdQgIAAHUEAAAOAAAAAAAAAAEA&#10;IAAAACkBAABkcnMvZTJvRG9jLnhtbFBLBQYAAAAABgAGAFkBAADdBQAAAAA=&#10;">
                <v:fill on="f" focussize="0,0"/>
                <v:stroke on="f" weight="0.5pt"/>
                <v:imagedata o:title=""/>
                <o:lock v:ext="edit" aspectratio="f"/>
                <v:textbox>
                  <w:txbxContent>
                    <w:p w14:paraId="57420DC8">
                      <w:r>
                        <w:rPr>
                          <w:lang w:val="en-US"/>
                        </w:rPr>
                        <w:drawing>
                          <wp:inline distT="0" distB="0" distL="0" distR="0">
                            <wp:extent cx="1295400" cy="1171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295581" cy="1171739"/>
                                    </a:xfrm>
                                    <a:prstGeom prst="rect">
                                      <a:avLst/>
                                    </a:prstGeom>
                                  </pic:spPr>
                                </pic:pic>
                              </a:graphicData>
                            </a:graphic>
                          </wp:inline>
                        </w:drawing>
                      </w:r>
                    </w:p>
                  </w:txbxContent>
                </v:textbox>
              </v:shape>
            </w:pict>
          </mc:Fallback>
        </mc:AlternateContent>
      </w:r>
    </w:p>
    <w:p w14:paraId="59591278">
      <w:pPr>
        <w:widowControl w:val="0"/>
        <w:autoSpaceDE w:val="0"/>
        <w:autoSpaceDN w:val="0"/>
        <w:snapToGrid w:val="0"/>
        <w:spacing w:before="0" w:after="0" w:line="300" w:lineRule="auto"/>
        <w:jc w:val="right"/>
        <w:rPr>
          <w:rFonts w:ascii="Arial" w:hAnsi="Arial" w:cs="Arial"/>
          <w:b/>
          <w:color w:val="000000"/>
          <w:sz w:val="24"/>
        </w:rPr>
      </w:pPr>
      <w:r>
        <w:rPr>
          <w:rFonts w:ascii="Arial" w:hAnsi="Arial" w:cs="Arial"/>
          <w:b/>
          <w:color w:val="000000"/>
          <w:sz w:val="24"/>
        </w:rPr>
        <w:t>美国卫生及公众服务部</w:t>
      </w:r>
    </w:p>
    <w:p w14:paraId="6A1537BB">
      <w:pPr>
        <w:widowControl w:val="0"/>
        <w:autoSpaceDE w:val="0"/>
        <w:autoSpaceDN w:val="0"/>
        <w:snapToGrid w:val="0"/>
        <w:spacing w:before="0" w:after="0" w:line="300" w:lineRule="auto"/>
        <w:jc w:val="right"/>
        <w:rPr>
          <w:rFonts w:ascii="Arial" w:hAnsi="Arial" w:cs="Arial"/>
          <w:b/>
          <w:color w:val="000000"/>
          <w:sz w:val="24"/>
        </w:rPr>
      </w:pPr>
      <w:r>
        <w:rPr>
          <w:rFonts w:ascii="Arial" w:hAnsi="Arial" w:cs="Arial"/>
          <w:b/>
          <w:color w:val="000000"/>
          <w:sz w:val="24"/>
        </w:rPr>
        <w:t>食品药品监督管理局</w:t>
      </w:r>
    </w:p>
    <w:p w14:paraId="4C13A576">
      <w:pPr>
        <w:widowControl w:val="0"/>
        <w:autoSpaceDE w:val="0"/>
        <w:autoSpaceDN w:val="0"/>
        <w:snapToGrid w:val="0"/>
        <w:spacing w:before="0" w:after="0" w:line="300" w:lineRule="auto"/>
        <w:jc w:val="right"/>
        <w:rPr>
          <w:rFonts w:ascii="Arial" w:hAnsi="Arial" w:cs="Arial"/>
          <w:b/>
          <w:color w:val="000000"/>
          <w:sz w:val="24"/>
        </w:rPr>
      </w:pPr>
      <w:r>
        <w:rPr>
          <w:rFonts w:ascii="Arial" w:hAnsi="Arial" w:cs="Arial"/>
          <w:b/>
          <w:color w:val="000000"/>
          <w:sz w:val="24"/>
        </w:rPr>
        <w:t>器械与放射健康中心</w:t>
      </w:r>
    </w:p>
    <w:p w14:paraId="3FE5B5F9">
      <w:pPr>
        <w:widowControl w:val="0"/>
        <w:autoSpaceDE w:val="0"/>
        <w:autoSpaceDN w:val="0"/>
        <w:snapToGrid w:val="0"/>
        <w:spacing w:before="0" w:after="0" w:line="300" w:lineRule="auto"/>
        <w:jc w:val="right"/>
        <w:rPr>
          <w:rFonts w:ascii="Arial" w:hAnsi="Arial" w:cs="Arial"/>
          <w:b/>
          <w:color w:val="000000"/>
          <w:sz w:val="24"/>
        </w:rPr>
      </w:pPr>
      <w:r>
        <w:rPr>
          <w:rFonts w:ascii="Arial" w:hAnsi="Arial" w:cs="Arial"/>
          <w:b/>
          <w:color w:val="000000"/>
          <w:sz w:val="24"/>
        </w:rPr>
        <w:t>体外诊断器械评估和安全办公室</w:t>
      </w:r>
    </w:p>
    <w:p w14:paraId="20FE9C3F">
      <w:pPr>
        <w:widowControl w:val="0"/>
        <w:autoSpaceDE w:val="0"/>
        <w:autoSpaceDN w:val="0"/>
        <w:snapToGrid w:val="0"/>
        <w:spacing w:before="0" w:after="0" w:line="300" w:lineRule="auto"/>
        <w:jc w:val="right"/>
        <w:rPr>
          <w:rFonts w:ascii="Arial" w:hAnsi="Arial" w:cs="Arial"/>
          <w:b/>
          <w:color w:val="000000"/>
          <w:sz w:val="24"/>
        </w:rPr>
      </w:pPr>
      <w:r>
        <w:rPr>
          <w:rFonts w:ascii="Arial" w:hAnsi="Arial" w:cs="Arial"/>
          <w:b/>
          <w:color w:val="000000"/>
          <w:sz w:val="24"/>
        </w:rPr>
        <w:t>免疫学和血液学器械部</w:t>
      </w:r>
    </w:p>
    <w:p w14:paraId="7669DDB4">
      <w:pPr>
        <w:jc w:val="right"/>
        <w:rPr>
          <w:rFonts w:ascii="Arial" w:hAnsi="Arial" w:cs="Arial"/>
        </w:rPr>
      </w:pPr>
    </w:p>
    <w:p w14:paraId="19217947">
      <w:pPr>
        <w:spacing w:before="0" w:after="0"/>
        <w:jc w:val="left"/>
        <w:rPr>
          <w:rFonts w:ascii="Arial" w:hAnsi="Arial" w:cs="Arial"/>
        </w:rPr>
      </w:pPr>
      <w:r>
        <w:rPr>
          <w:rFonts w:ascii="Arial" w:hAnsi="Arial" w:cs="Arial"/>
        </w:rPr>
        <w:br w:type="page"/>
      </w:r>
    </w:p>
    <w:p w14:paraId="748C0AD4">
      <w:pPr>
        <w:widowControl w:val="0"/>
        <w:autoSpaceDE w:val="0"/>
        <w:autoSpaceDN w:val="0"/>
        <w:snapToGrid w:val="0"/>
        <w:spacing w:before="0" w:after="0" w:line="300" w:lineRule="auto"/>
        <w:jc w:val="center"/>
        <w:rPr>
          <w:rFonts w:ascii="Arial" w:hAnsi="Arial" w:cs="Arial"/>
          <w:b/>
          <w:color w:val="000000"/>
          <w:sz w:val="48"/>
        </w:rPr>
      </w:pPr>
      <w:r>
        <w:rPr>
          <w:rFonts w:ascii="Arial" w:hAnsi="Arial" w:cs="Arial"/>
          <w:b/>
          <w:color w:val="000000"/>
          <w:sz w:val="48"/>
        </w:rPr>
        <w:t>前言</w:t>
      </w:r>
    </w:p>
    <w:p w14:paraId="4A6299EE">
      <w:pPr>
        <w:widowControl w:val="0"/>
        <w:autoSpaceDE w:val="0"/>
        <w:autoSpaceDN w:val="0"/>
        <w:snapToGrid w:val="0"/>
        <w:spacing w:before="0" w:after="0" w:line="300" w:lineRule="auto"/>
        <w:rPr>
          <w:rFonts w:ascii="Arial" w:hAnsi="Arial" w:cs="Arial"/>
          <w:b/>
          <w:color w:val="000000"/>
          <w:sz w:val="36"/>
        </w:rPr>
      </w:pPr>
      <w:r>
        <w:rPr>
          <w:rFonts w:ascii="Arial" w:hAnsi="Arial" w:cs="Arial"/>
          <w:b/>
          <w:color w:val="000000"/>
          <w:sz w:val="36"/>
        </w:rPr>
        <w:t>公众评论</w:t>
      </w:r>
    </w:p>
    <w:p w14:paraId="6402FDF9">
      <w:pPr>
        <w:widowControl w:val="0"/>
        <w:autoSpaceDE w:val="0"/>
        <w:autoSpaceDN w:val="0"/>
        <w:snapToGrid w:val="0"/>
        <w:spacing w:before="0" w:after="0" w:line="300" w:lineRule="auto"/>
        <w:ind w:right="-7" w:rightChars="-3"/>
        <w:rPr>
          <w:rFonts w:ascii="Arial" w:hAnsi="Arial" w:cs="Arial"/>
          <w:color w:val="000000"/>
          <w:sz w:val="24"/>
          <w:szCs w:val="24"/>
        </w:rPr>
      </w:pPr>
      <w:r>
        <w:rPr>
          <w:rFonts w:ascii="Arial" w:hAnsi="Arial" w:cs="Arial"/>
          <w:color w:val="000000"/>
          <w:sz w:val="24"/>
          <w:szCs w:val="24"/>
        </w:rPr>
        <w:t>贵公司可随时将供机构考虑的书面意见提交至美国食品药品监督管理局文档管理部，5630 Fishers Lane，rm.1061，（HFA-305）</w:t>
      </w:r>
      <w:r>
        <w:rPr>
          <w:rFonts w:ascii="Arial" w:hAnsi="Arial" w:cs="Arial"/>
          <w:color w:val="000000"/>
          <w:sz w:val="24"/>
          <w:szCs w:val="24"/>
          <w:lang w:val="en-US"/>
        </w:rPr>
        <w:t>Rockville, MD,</w:t>
      </w:r>
      <w:r>
        <w:rPr>
          <w:rFonts w:ascii="Arial" w:hAnsi="Arial" w:cs="Arial"/>
          <w:color w:val="000000"/>
          <w:sz w:val="24"/>
          <w:szCs w:val="24"/>
        </w:rPr>
        <w:t>，20852，供部门审议。</w:t>
      </w:r>
      <w:r>
        <w:rPr>
          <w:rFonts w:ascii="Arial" w:hAnsi="Arial" w:cs="Arial"/>
          <w:sz w:val="24"/>
          <w:szCs w:val="24"/>
        </w:rPr>
        <w:t>电子意见提交至</w:t>
      </w:r>
      <w:r>
        <w:rPr>
          <w:rFonts w:ascii="Arial" w:hAnsi="Arial" w:cs="Arial"/>
          <w:color w:val="0000FF"/>
          <w:sz w:val="24"/>
          <w:szCs w:val="24"/>
          <w:u w:val="single"/>
        </w:rPr>
        <w:t>http://www.regulations.gov.</w:t>
      </w:r>
      <w:r>
        <w:rPr>
          <w:rFonts w:ascii="Arial" w:hAnsi="Arial" w:cs="Arial"/>
          <w:color w:val="000000"/>
          <w:sz w:val="24"/>
          <w:szCs w:val="24"/>
        </w:rPr>
        <w:t>请使用在《联邦公报》发表的生效通知中所列出的文档号标识所有意见。可能直到文件下次修订或更新时，评论才会被机构受理。</w:t>
      </w:r>
    </w:p>
    <w:p w14:paraId="184CBF10">
      <w:pPr>
        <w:widowControl w:val="0"/>
        <w:autoSpaceDE w:val="0"/>
        <w:autoSpaceDN w:val="0"/>
        <w:snapToGrid w:val="0"/>
        <w:spacing w:before="0" w:after="0" w:line="300" w:lineRule="auto"/>
        <w:ind w:right="-7" w:rightChars="-3"/>
        <w:rPr>
          <w:rFonts w:ascii="Arial" w:hAnsi="Arial" w:cs="Arial"/>
          <w:color w:val="000000"/>
          <w:sz w:val="36"/>
        </w:rPr>
      </w:pPr>
    </w:p>
    <w:p w14:paraId="343D9CC3">
      <w:pPr>
        <w:widowControl w:val="0"/>
        <w:autoSpaceDE w:val="0"/>
        <w:autoSpaceDN w:val="0"/>
        <w:snapToGrid w:val="0"/>
        <w:spacing w:before="0" w:after="0" w:line="300" w:lineRule="auto"/>
        <w:rPr>
          <w:rFonts w:ascii="Arial" w:hAnsi="Arial" w:cs="Arial"/>
          <w:b/>
          <w:color w:val="000000"/>
          <w:sz w:val="36"/>
        </w:rPr>
      </w:pPr>
      <w:r>
        <w:rPr>
          <w:rFonts w:ascii="Arial" w:hAnsi="Arial" w:cs="Arial"/>
          <w:b/>
          <w:color w:val="000000"/>
          <w:sz w:val="36"/>
        </w:rPr>
        <w:t>其他副本</w:t>
      </w:r>
    </w:p>
    <w:p w14:paraId="56547223">
      <w:pPr>
        <w:widowControl w:val="0"/>
        <w:autoSpaceDE w:val="0"/>
        <w:autoSpaceDN w:val="0"/>
        <w:snapToGrid w:val="0"/>
        <w:spacing w:before="0" w:after="0" w:line="300" w:lineRule="auto"/>
        <w:jc w:val="left"/>
        <w:rPr>
          <w:rFonts w:ascii="Arial" w:hAnsi="Arial" w:cs="Arial"/>
          <w:color w:val="000000"/>
          <w:sz w:val="24"/>
          <w:szCs w:val="24"/>
        </w:rPr>
      </w:pPr>
      <w:r>
        <w:rPr>
          <w:rFonts w:ascii="Arial" w:hAnsi="Arial" w:cs="Arial"/>
          <w:color w:val="000000"/>
          <w:sz w:val="24"/>
          <w:szCs w:val="24"/>
        </w:rPr>
        <w:t>其他副本可从网上获取，网址</w:t>
      </w:r>
      <w:r>
        <w:rPr>
          <w:rFonts w:ascii="Arial" w:hAnsi="Arial" w:cs="Arial"/>
          <w:color w:val="0000FF"/>
          <w:sz w:val="24"/>
          <w:szCs w:val="24"/>
          <w:u w:val="single"/>
        </w:rPr>
        <w:t>http://www.</w:t>
      </w:r>
      <w:r>
        <w:rPr>
          <w:rFonts w:ascii="Arial" w:hAnsi="Arial" w:cs="Arial"/>
          <w:color w:val="0000FF"/>
          <w:sz w:val="24"/>
          <w:szCs w:val="24"/>
          <w:u w:val="single"/>
          <w:lang w:val="en-US"/>
        </w:rPr>
        <w:t>fda.gov/MedicalDevices/DeviceRegulationandGuidance/GuidanceDocuments/ ucm237299.htm</w:t>
      </w:r>
      <w:r>
        <w:rPr>
          <w:rFonts w:ascii="Arial" w:hAnsi="Arial" w:cs="Arial"/>
          <w:color w:val="000000"/>
          <w:sz w:val="24"/>
          <w:szCs w:val="24"/>
          <w:lang w:val="en-US"/>
        </w:rPr>
        <w:t>.</w:t>
      </w:r>
      <w:r>
        <w:rPr>
          <w:rFonts w:ascii="Arial" w:hAnsi="Arial" w:cs="Arial"/>
          <w:sz w:val="24"/>
          <w:szCs w:val="24"/>
        </w:rPr>
        <w:t>贵公司也可以向</w:t>
      </w:r>
      <w:r>
        <w:rPr>
          <w:rFonts w:ascii="Arial" w:hAnsi="Arial" w:cs="Arial"/>
          <w:color w:val="0000FF"/>
          <w:sz w:val="24"/>
          <w:szCs w:val="24"/>
          <w:u w:val="single"/>
          <w:lang w:val="en-US"/>
        </w:rPr>
        <w:t>Dsmica@fda.hhs.gov</w:t>
      </w:r>
      <w:r>
        <w:rPr>
          <w:rFonts w:ascii="Arial" w:hAnsi="Arial" w:cs="Arial"/>
          <w:sz w:val="24"/>
          <w:szCs w:val="24"/>
        </w:rPr>
        <w:t>发送邮件</w:t>
      </w:r>
      <w:r>
        <w:rPr>
          <w:rFonts w:hint="eastAsia" w:ascii="Arial" w:hAnsi="Arial" w:cs="Arial"/>
          <w:sz w:val="24"/>
          <w:szCs w:val="24"/>
          <w:lang w:val="en-US"/>
        </w:rPr>
        <w:t>，</w:t>
      </w:r>
      <w:r>
        <w:rPr>
          <w:rFonts w:ascii="Arial" w:hAnsi="Arial" w:cs="Arial"/>
          <w:color w:val="000000"/>
          <w:sz w:val="24"/>
          <w:szCs w:val="24"/>
        </w:rPr>
        <w:t>获取指南的电子版</w:t>
      </w:r>
      <w:r>
        <w:rPr>
          <w:rFonts w:hint="eastAsia" w:ascii="Arial" w:hAnsi="Arial" w:cs="Arial"/>
          <w:color w:val="000000"/>
          <w:sz w:val="24"/>
          <w:szCs w:val="24"/>
          <w:lang w:val="en-US"/>
        </w:rPr>
        <w:t>，</w:t>
      </w:r>
      <w:r>
        <w:rPr>
          <w:rFonts w:ascii="Arial" w:hAnsi="Arial" w:cs="Arial"/>
          <w:color w:val="000000"/>
          <w:sz w:val="24"/>
          <w:szCs w:val="24"/>
        </w:rPr>
        <w:t>或向</w:t>
      </w:r>
      <w:r>
        <w:rPr>
          <w:rFonts w:ascii="Arial" w:hAnsi="Arial" w:cs="Arial"/>
          <w:color w:val="000000"/>
          <w:sz w:val="24"/>
          <w:szCs w:val="24"/>
          <w:lang w:val="en-US"/>
        </w:rPr>
        <w:t>301-827-8149</w:t>
      </w:r>
      <w:r>
        <w:rPr>
          <w:rFonts w:ascii="Arial" w:hAnsi="Arial" w:cs="Arial"/>
          <w:color w:val="000000"/>
          <w:sz w:val="24"/>
          <w:szCs w:val="24"/>
        </w:rPr>
        <w:t>发送传真请求获取打印件。</w:t>
      </w:r>
      <w:r>
        <w:rPr>
          <w:rFonts w:ascii="Arial" w:hAnsi="Arial" w:cs="Arial"/>
          <w:sz w:val="24"/>
          <w:szCs w:val="24"/>
        </w:rPr>
        <w:t>请使用文件编号（</w:t>
      </w:r>
      <w:r>
        <w:rPr>
          <w:rFonts w:ascii="Arial" w:hAnsi="Arial" w:cs="Arial"/>
          <w:i/>
          <w:sz w:val="24"/>
          <w:szCs w:val="24"/>
        </w:rPr>
        <w:t>1707</w:t>
      </w:r>
      <w:r>
        <w:rPr>
          <w:rFonts w:ascii="Arial" w:hAnsi="Arial" w:cs="Arial"/>
          <w:sz w:val="24"/>
          <w:szCs w:val="24"/>
        </w:rPr>
        <w:t>）标识贵公司所需的指南。</w:t>
      </w:r>
    </w:p>
    <w:p w14:paraId="0D40BF54">
      <w:pPr>
        <w:spacing w:before="0" w:after="0"/>
        <w:jc w:val="left"/>
        <w:rPr>
          <w:rFonts w:ascii="Arial" w:hAnsi="Arial" w:cs="Arial"/>
        </w:rPr>
      </w:pPr>
      <w:r>
        <w:rPr>
          <w:rFonts w:ascii="Arial" w:hAnsi="Arial" w:cs="Arial"/>
        </w:rPr>
        <w:br w:type="page"/>
      </w:r>
    </w:p>
    <w:sdt>
      <w:sdtPr>
        <w:rPr>
          <w:rFonts w:ascii="Calibri" w:hAnsi="Calibri" w:eastAsia="宋体" w:cs="Times New Roman"/>
          <w:color w:val="auto"/>
          <w:sz w:val="22"/>
          <w:szCs w:val="22"/>
          <w:lang w:val="zh-CN"/>
        </w:rPr>
        <w:id w:val="-1014842626"/>
        <w:docPartObj>
          <w:docPartGallery w:val="Table of Contents"/>
          <w:docPartUnique/>
        </w:docPartObj>
      </w:sdtPr>
      <w:sdtEndPr>
        <w:rPr>
          <w:rFonts w:ascii="Calibri" w:hAnsi="Calibri" w:eastAsia="宋体" w:cs="Times New Roman"/>
          <w:b/>
          <w:bCs/>
          <w:color w:val="auto"/>
          <w:sz w:val="22"/>
          <w:szCs w:val="22"/>
          <w:lang w:val="zh-CN"/>
        </w:rPr>
      </w:sdtEndPr>
      <w:sdtContent>
        <w:p w14:paraId="3B4E3F73">
          <w:pPr>
            <w:pStyle w:val="17"/>
            <w:jc w:val="center"/>
            <w:rPr>
              <w:rFonts w:ascii="Arial" w:hAnsi="Arial" w:eastAsia="宋体" w:cs="Arial"/>
              <w:b/>
              <w:color w:val="000000" w:themeColor="text1"/>
              <w14:textFill>
                <w14:solidFill>
                  <w14:schemeClr w14:val="tx1"/>
                </w14:solidFill>
              </w14:textFill>
            </w:rPr>
          </w:pPr>
          <w:r>
            <w:rPr>
              <w:rFonts w:ascii="Arial" w:hAnsi="Arial" w:eastAsia="宋体" w:cs="Arial"/>
              <w:b/>
              <w:color w:val="000000" w:themeColor="text1"/>
              <w:lang w:val="zh-CN"/>
              <w14:textFill>
                <w14:solidFill>
                  <w14:schemeClr w14:val="tx1"/>
                </w14:solidFill>
              </w14:textFill>
            </w:rPr>
            <w:t>目录</w:t>
          </w:r>
        </w:p>
        <w:p w14:paraId="05AD4A83">
          <w:pPr>
            <w:pStyle w:val="6"/>
            <w:tabs>
              <w:tab w:val="left" w:pos="420"/>
              <w:tab w:val="right" w:leader="dot" w:pos="9628"/>
            </w:tabs>
            <w:spacing w:before="31" w:beforeLines="10" w:after="31" w:afterLines="10"/>
            <w:rPr>
              <w:rFonts w:ascii="Arial" w:hAnsi="Arial" w:cs="Arial"/>
              <w:kern w:val="2"/>
              <w:sz w:val="21"/>
              <w:lang w:val="en-US"/>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"_Toc479613593" </w:instrText>
          </w:r>
          <w:r>
            <w:fldChar w:fldCharType="separate"/>
          </w:r>
          <w:r>
            <w:rPr>
              <w:rStyle w:val="11"/>
              <w:rFonts w:ascii="Arial" w:hAnsi="Arial" w:cs="Arial"/>
              <w:b/>
            </w:rPr>
            <w:t>I.</w:t>
          </w:r>
          <w:r>
            <w:rPr>
              <w:rFonts w:ascii="Arial" w:hAnsi="Arial" w:cs="Arial"/>
              <w:kern w:val="2"/>
              <w:sz w:val="21"/>
              <w:lang w:val="en-US"/>
            </w:rPr>
            <w:tab/>
          </w:r>
          <w:r>
            <w:rPr>
              <w:rStyle w:val="11"/>
              <w:rFonts w:ascii="Arial" w:hAnsi="Arial" w:cs="Arial"/>
              <w:b/>
            </w:rPr>
            <w:t>简介</w:t>
          </w:r>
          <w:r>
            <w:rPr>
              <w:rFonts w:ascii="Arial" w:hAnsi="Arial" w:cs="Arial"/>
            </w:rPr>
            <w:tab/>
          </w:r>
          <w:r>
            <w:rPr>
              <w:rFonts w:ascii="Arial" w:hAnsi="Arial" w:cs="Arial"/>
            </w:rPr>
            <w:fldChar w:fldCharType="begin"/>
          </w:r>
          <w:r>
            <w:rPr>
              <w:rFonts w:ascii="Arial" w:hAnsi="Arial" w:cs="Arial"/>
            </w:rPr>
            <w:instrText xml:space="preserve"> PAGEREF _Toc479613593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09B566C6">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"_Toc479613594" </w:instrText>
          </w:r>
          <w:r>
            <w:fldChar w:fldCharType="separate"/>
          </w:r>
          <w:r>
            <w:rPr>
              <w:rStyle w:val="11"/>
              <w:rFonts w:ascii="Arial" w:hAnsi="Arial" w:cs="Arial"/>
              <w:b/>
            </w:rPr>
            <w:t>II.背景</w:t>
          </w:r>
          <w:r>
            <w:rPr>
              <w:rFonts w:ascii="Arial" w:hAnsi="Arial" w:cs="Arial"/>
            </w:rPr>
            <w:tab/>
          </w:r>
          <w:r>
            <w:rPr>
              <w:rFonts w:ascii="Arial" w:hAnsi="Arial" w:cs="Arial"/>
            </w:rPr>
            <w:fldChar w:fldCharType="begin"/>
          </w:r>
          <w:r>
            <w:rPr>
              <w:rFonts w:ascii="Arial" w:hAnsi="Arial" w:cs="Arial"/>
            </w:rPr>
            <w:instrText xml:space="preserve"> PAGEREF _Toc479613594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7E5F8641">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"_Toc479613595" </w:instrText>
          </w:r>
          <w:r>
            <w:fldChar w:fldCharType="separate"/>
          </w:r>
          <w:r>
            <w:rPr>
              <w:rStyle w:val="11"/>
              <w:rFonts w:ascii="Arial" w:hAnsi="Arial" w:cs="Arial"/>
              <w:b/>
            </w:rPr>
            <w:t>III.范围</w:t>
          </w:r>
          <w:r>
            <w:rPr>
              <w:rFonts w:ascii="Arial" w:hAnsi="Arial" w:cs="Arial"/>
            </w:rPr>
            <w:tab/>
          </w:r>
          <w:r>
            <w:rPr>
              <w:rFonts w:ascii="Arial" w:hAnsi="Arial" w:cs="Arial"/>
            </w:rPr>
            <w:fldChar w:fldCharType="begin"/>
          </w:r>
          <w:r>
            <w:rPr>
              <w:rFonts w:ascii="Arial" w:hAnsi="Arial" w:cs="Arial"/>
            </w:rPr>
            <w:instrText xml:space="preserve"> PAGEREF _Toc479613595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7824E1AB">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"_Toc479613596" </w:instrText>
          </w:r>
          <w:r>
            <w:fldChar w:fldCharType="separate"/>
          </w:r>
          <w:r>
            <w:rPr>
              <w:rStyle w:val="11"/>
              <w:rFonts w:ascii="Arial" w:hAnsi="Arial" w:cs="Arial"/>
              <w:b/>
            </w:rPr>
            <w:t>IV.健康风险</w:t>
          </w:r>
          <w:r>
            <w:rPr>
              <w:rFonts w:ascii="Arial" w:hAnsi="Arial" w:cs="Arial"/>
            </w:rPr>
            <w:tab/>
          </w:r>
          <w:r>
            <w:rPr>
              <w:rFonts w:ascii="Arial" w:hAnsi="Arial" w:cs="Arial"/>
            </w:rPr>
            <w:fldChar w:fldCharType="begin"/>
          </w:r>
          <w:r>
            <w:rPr>
              <w:rFonts w:ascii="Arial" w:hAnsi="Arial" w:cs="Arial"/>
            </w:rPr>
            <w:instrText xml:space="preserve"> PAGEREF _Toc479613596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5C4E0B79">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"_Toc479613597" </w:instrText>
          </w:r>
          <w:r>
            <w:fldChar w:fldCharType="separate"/>
          </w:r>
          <w:r>
            <w:rPr>
              <w:rStyle w:val="11"/>
              <w:rFonts w:ascii="Arial" w:hAnsi="Arial" w:cs="Arial"/>
              <w:b/>
            </w:rPr>
            <w:t>V. 器械描述</w:t>
          </w:r>
          <w:r>
            <w:rPr>
              <w:rFonts w:ascii="Arial" w:hAnsi="Arial" w:cs="Arial"/>
            </w:rPr>
            <w:tab/>
          </w:r>
          <w:r>
            <w:rPr>
              <w:rFonts w:ascii="Arial" w:hAnsi="Arial" w:cs="Arial"/>
            </w:rPr>
            <w:fldChar w:fldCharType="begin"/>
          </w:r>
          <w:r>
            <w:rPr>
              <w:rFonts w:ascii="Arial" w:hAnsi="Arial" w:cs="Arial"/>
            </w:rPr>
            <w:instrText xml:space="preserve"> PAGEREF _Toc479613597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6B4A5AAB">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"_Toc479613598" </w:instrText>
          </w:r>
          <w:r>
            <w:fldChar w:fldCharType="separate"/>
          </w:r>
          <w:r>
            <w:rPr>
              <w:rStyle w:val="11"/>
              <w:rFonts w:ascii="Arial" w:hAnsi="Arial" w:cs="Arial"/>
            </w:rPr>
            <w:t>A. 背景</w:t>
          </w:r>
          <w:r>
            <w:rPr>
              <w:rFonts w:ascii="Arial" w:hAnsi="Arial" w:cs="Arial"/>
            </w:rPr>
            <w:tab/>
          </w:r>
          <w:r>
            <w:rPr>
              <w:rFonts w:ascii="Arial" w:hAnsi="Arial" w:cs="Arial"/>
            </w:rPr>
            <w:fldChar w:fldCharType="begin"/>
          </w:r>
          <w:r>
            <w:rPr>
              <w:rFonts w:ascii="Arial" w:hAnsi="Arial" w:cs="Arial"/>
            </w:rPr>
            <w:instrText xml:space="preserve"> PAGEREF _Toc479613598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1A001317">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"_Toc479613599" </w:instrText>
          </w:r>
          <w:r>
            <w:fldChar w:fldCharType="separate"/>
          </w:r>
          <w:r>
            <w:rPr>
              <w:rStyle w:val="11"/>
              <w:rFonts w:ascii="Arial" w:hAnsi="Arial" w:cs="Arial"/>
            </w:rPr>
            <w:t>B. 质量体系法规（QS Reg）</w:t>
          </w:r>
          <w:r>
            <w:rPr>
              <w:rFonts w:ascii="Arial" w:hAnsi="Arial" w:cs="Arial"/>
            </w:rPr>
            <w:tab/>
          </w:r>
          <w:r>
            <w:rPr>
              <w:rFonts w:ascii="Arial" w:hAnsi="Arial" w:cs="Arial"/>
            </w:rPr>
            <w:fldChar w:fldCharType="begin"/>
          </w:r>
          <w:r>
            <w:rPr>
              <w:rFonts w:ascii="Arial" w:hAnsi="Arial" w:cs="Arial"/>
            </w:rPr>
            <w:instrText xml:space="preserve"> PAGEREF _Toc479613599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14B68A00">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"_Toc479613600" </w:instrText>
          </w:r>
          <w:r>
            <w:fldChar w:fldCharType="separate"/>
          </w:r>
          <w:r>
            <w:rPr>
              <w:rStyle w:val="11"/>
              <w:rFonts w:ascii="Arial" w:hAnsi="Arial" w:cs="Arial"/>
            </w:rPr>
            <w:t>C. 预期用途/适应症</w:t>
          </w:r>
          <w:r>
            <w:rPr>
              <w:rFonts w:ascii="Arial" w:hAnsi="Arial" w:cs="Arial"/>
            </w:rPr>
            <w:tab/>
          </w:r>
          <w:r>
            <w:rPr>
              <w:rFonts w:ascii="Arial" w:hAnsi="Arial" w:cs="Arial"/>
            </w:rPr>
            <w:fldChar w:fldCharType="begin"/>
          </w:r>
          <w:r>
            <w:rPr>
              <w:rFonts w:ascii="Arial" w:hAnsi="Arial" w:cs="Arial"/>
            </w:rPr>
            <w:instrText xml:space="preserve"> PAGEREF _Toc479613600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3F22DE3C">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"_Toc479613601" </w:instrText>
          </w:r>
          <w:r>
            <w:fldChar w:fldCharType="separate"/>
          </w:r>
          <w:r>
            <w:rPr>
              <w:rStyle w:val="11"/>
              <w:rFonts w:ascii="Arial" w:hAnsi="Arial" w:cs="Arial"/>
            </w:rPr>
            <w:t>D. 测试的理论依据</w:t>
          </w:r>
          <w:r>
            <w:rPr>
              <w:rFonts w:ascii="Arial" w:hAnsi="Arial" w:cs="Arial"/>
            </w:rPr>
            <w:tab/>
          </w:r>
          <w:r>
            <w:rPr>
              <w:rFonts w:ascii="Arial" w:hAnsi="Arial" w:cs="Arial"/>
            </w:rPr>
            <w:fldChar w:fldCharType="begin"/>
          </w:r>
          <w:r>
            <w:rPr>
              <w:rFonts w:ascii="Arial" w:hAnsi="Arial" w:cs="Arial"/>
            </w:rPr>
            <w:instrText xml:space="preserve"> PAGEREF _Toc479613601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13E64737">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"_Toc479613602" </w:instrText>
          </w:r>
          <w:r>
            <w:fldChar w:fldCharType="separate"/>
          </w:r>
          <w:r>
            <w:rPr>
              <w:rStyle w:val="11"/>
              <w:rFonts w:ascii="Arial" w:hAnsi="Arial" w:cs="Arial"/>
            </w:rPr>
            <w:t>E. 测试组件和方法学</w:t>
          </w:r>
          <w:r>
            <w:rPr>
              <w:rFonts w:ascii="Arial" w:hAnsi="Arial" w:cs="Arial"/>
            </w:rPr>
            <w:tab/>
          </w:r>
          <w:r>
            <w:rPr>
              <w:rFonts w:ascii="Arial" w:hAnsi="Arial" w:cs="Arial"/>
            </w:rPr>
            <w:fldChar w:fldCharType="begin"/>
          </w:r>
          <w:r>
            <w:rPr>
              <w:rFonts w:ascii="Arial" w:hAnsi="Arial" w:cs="Arial"/>
            </w:rPr>
            <w:instrText xml:space="preserve"> PAGEREF _Toc479613602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095662F4">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"_Toc479613603" </w:instrText>
          </w:r>
          <w:r>
            <w:fldChar w:fldCharType="separate"/>
          </w:r>
          <w:r>
            <w:rPr>
              <w:rStyle w:val="11"/>
              <w:rFonts w:ascii="Arial" w:hAnsi="Arial" w:cs="Arial"/>
            </w:rPr>
            <w:t>F. 测试结果</w:t>
          </w:r>
          <w:r>
            <w:rPr>
              <w:rFonts w:ascii="Arial" w:hAnsi="Arial" w:cs="Arial"/>
            </w:rPr>
            <w:tab/>
          </w:r>
          <w:r>
            <w:rPr>
              <w:rFonts w:ascii="Arial" w:hAnsi="Arial" w:cs="Arial"/>
            </w:rPr>
            <w:fldChar w:fldCharType="begin"/>
          </w:r>
          <w:r>
            <w:rPr>
              <w:rFonts w:ascii="Arial" w:hAnsi="Arial" w:cs="Arial"/>
            </w:rPr>
            <w:instrText xml:space="preserve"> PAGEREF _Toc479613603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7995FCC8">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"_Toc479613604" </w:instrText>
          </w:r>
          <w:r>
            <w:fldChar w:fldCharType="separate"/>
          </w:r>
          <w:r>
            <w:rPr>
              <w:rStyle w:val="11"/>
              <w:rFonts w:ascii="Arial" w:hAnsi="Arial" w:cs="Arial"/>
              <w:b/>
            </w:rPr>
            <w:t>VI.分析性能验证</w:t>
          </w:r>
          <w:r>
            <w:rPr>
              <w:rFonts w:ascii="Arial" w:hAnsi="Arial" w:cs="Arial"/>
            </w:rPr>
            <w:tab/>
          </w:r>
          <w:r>
            <w:rPr>
              <w:rFonts w:ascii="Arial" w:hAnsi="Arial" w:cs="Arial"/>
            </w:rPr>
            <w:fldChar w:fldCharType="begin"/>
          </w:r>
          <w:r>
            <w:rPr>
              <w:rFonts w:ascii="Arial" w:hAnsi="Arial" w:cs="Arial"/>
            </w:rPr>
            <w:instrText xml:space="preserve"> PAGEREF _Toc479613604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3D61334C">
          <w:pPr>
            <w:pStyle w:val="7"/>
            <w:tabs>
              <w:tab w:val="left" w:pos="840"/>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"_Toc479613605" </w:instrText>
          </w:r>
          <w:r>
            <w:fldChar w:fldCharType="separate"/>
          </w:r>
          <w:r>
            <w:rPr>
              <w:rStyle w:val="11"/>
              <w:rFonts w:ascii="Arial" w:hAnsi="Arial" w:cs="Arial"/>
            </w:rPr>
            <w:t>A.</w:t>
          </w:r>
          <w:r>
            <w:rPr>
              <w:rFonts w:ascii="Arial" w:hAnsi="Arial" w:cs="Arial"/>
              <w:kern w:val="2"/>
              <w:sz w:val="21"/>
              <w:lang w:val="en-US"/>
            </w:rPr>
            <w:tab/>
          </w:r>
          <w:r>
            <w:rPr>
              <w:rStyle w:val="11"/>
              <w:rFonts w:ascii="Arial" w:hAnsi="Arial" w:cs="Arial"/>
            </w:rPr>
            <w:t>标本</w:t>
          </w:r>
          <w:r>
            <w:rPr>
              <w:rFonts w:ascii="Arial" w:hAnsi="Arial" w:cs="Arial"/>
            </w:rPr>
            <w:tab/>
          </w:r>
          <w:r>
            <w:rPr>
              <w:rFonts w:ascii="Arial" w:hAnsi="Arial" w:cs="Arial"/>
            </w:rPr>
            <w:fldChar w:fldCharType="begin"/>
          </w:r>
          <w:r>
            <w:rPr>
              <w:rFonts w:ascii="Arial" w:hAnsi="Arial" w:cs="Arial"/>
            </w:rPr>
            <w:instrText xml:space="preserve"> PAGEREF _Toc479613605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182FA3D2">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"_Toc479613606" </w:instrText>
          </w:r>
          <w:r>
            <w:fldChar w:fldCharType="separate"/>
          </w:r>
          <w:r>
            <w:rPr>
              <w:rStyle w:val="11"/>
              <w:rFonts w:ascii="Arial" w:hAnsi="Arial" w:cs="Arial"/>
            </w:rPr>
            <w:t>B. 可重复性/再现性</w:t>
          </w:r>
          <w:r>
            <w:rPr>
              <w:rFonts w:ascii="Arial" w:hAnsi="Arial" w:cs="Arial"/>
            </w:rPr>
            <w:tab/>
          </w:r>
          <w:r>
            <w:rPr>
              <w:rFonts w:ascii="Arial" w:hAnsi="Arial" w:cs="Arial"/>
            </w:rPr>
            <w:fldChar w:fldCharType="begin"/>
          </w:r>
          <w:r>
            <w:rPr>
              <w:rFonts w:ascii="Arial" w:hAnsi="Arial" w:cs="Arial"/>
            </w:rPr>
            <w:instrText xml:space="preserve"> PAGEREF _Toc479613606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2249B526">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"_Toc479613607" </w:instrText>
          </w:r>
          <w:r>
            <w:fldChar w:fldCharType="separate"/>
          </w:r>
          <w:r>
            <w:rPr>
              <w:rStyle w:val="11"/>
              <w:rFonts w:ascii="Arial" w:hAnsi="Arial" w:cs="Arial"/>
            </w:rPr>
            <w:t>C. 单独分析物的线性度</w:t>
          </w:r>
          <w:r>
            <w:rPr>
              <w:rFonts w:ascii="Arial" w:hAnsi="Arial" w:cs="Arial"/>
            </w:rPr>
            <w:tab/>
          </w:r>
          <w:r>
            <w:rPr>
              <w:rFonts w:ascii="Arial" w:hAnsi="Arial" w:cs="Arial"/>
            </w:rPr>
            <w:fldChar w:fldCharType="begin"/>
          </w:r>
          <w:r>
            <w:rPr>
              <w:rFonts w:ascii="Arial" w:hAnsi="Arial" w:cs="Arial"/>
            </w:rPr>
            <w:instrText xml:space="preserve"> PAGEREF _Toc479613607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6E5039D4">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"_Toc479613608" </w:instrText>
          </w:r>
          <w:r>
            <w:fldChar w:fldCharType="separate"/>
          </w:r>
          <w:r>
            <w:rPr>
              <w:rStyle w:val="11"/>
              <w:rFonts w:ascii="Arial" w:hAnsi="Arial" w:cs="Arial"/>
            </w:rPr>
            <w:t>D. 低水平时的性能</w:t>
          </w:r>
          <w:r>
            <w:rPr>
              <w:rFonts w:ascii="Arial" w:hAnsi="Arial" w:cs="Arial"/>
            </w:rPr>
            <w:tab/>
          </w:r>
          <w:r>
            <w:rPr>
              <w:rFonts w:ascii="Arial" w:hAnsi="Arial" w:cs="Arial"/>
            </w:rPr>
            <w:fldChar w:fldCharType="begin"/>
          </w:r>
          <w:r>
            <w:rPr>
              <w:rFonts w:ascii="Arial" w:hAnsi="Arial" w:cs="Arial"/>
            </w:rPr>
            <w:instrText xml:space="preserve"> PAGEREF _Toc479613608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398256E4">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"_Toc479613609" </w:instrText>
          </w:r>
          <w:r>
            <w:fldChar w:fldCharType="separate"/>
          </w:r>
          <w:r>
            <w:rPr>
              <w:rStyle w:val="11"/>
              <w:rFonts w:ascii="Arial" w:hAnsi="Arial" w:cs="Arial"/>
            </w:rPr>
            <w:t>E. 干扰</w:t>
          </w:r>
          <w:r>
            <w:rPr>
              <w:rFonts w:ascii="Arial" w:hAnsi="Arial" w:cs="Arial"/>
            </w:rPr>
            <w:tab/>
          </w:r>
          <w:r>
            <w:rPr>
              <w:rFonts w:ascii="Arial" w:hAnsi="Arial" w:cs="Arial"/>
            </w:rPr>
            <w:fldChar w:fldCharType="begin"/>
          </w:r>
          <w:r>
            <w:rPr>
              <w:rFonts w:ascii="Arial" w:hAnsi="Arial" w:cs="Arial"/>
            </w:rPr>
            <w:instrText xml:space="preserve"> PAGEREF _Toc479613609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37FD67AF">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"_Toc479613610" </w:instrText>
          </w:r>
          <w:r>
            <w:fldChar w:fldCharType="separate"/>
          </w:r>
          <w:r>
            <w:rPr>
              <w:rStyle w:val="11"/>
              <w:rFonts w:ascii="Arial" w:hAnsi="Arial" w:cs="Arial"/>
            </w:rPr>
            <w:t>F. 交叉反应/非特异性结合</w:t>
          </w:r>
          <w:r>
            <w:rPr>
              <w:rFonts w:ascii="Arial" w:hAnsi="Arial" w:cs="Arial"/>
            </w:rPr>
            <w:tab/>
          </w:r>
          <w:r>
            <w:rPr>
              <w:rFonts w:ascii="Arial" w:hAnsi="Arial" w:cs="Arial"/>
            </w:rPr>
            <w:fldChar w:fldCharType="begin"/>
          </w:r>
          <w:r>
            <w:rPr>
              <w:rFonts w:ascii="Arial" w:hAnsi="Arial" w:cs="Arial"/>
            </w:rPr>
            <w:instrText xml:space="preserve"> PAGEREF _Toc479613610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252EE97C">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"_Toc479613611" </w:instrText>
          </w:r>
          <w:r>
            <w:fldChar w:fldCharType="separate"/>
          </w:r>
          <w:r>
            <w:rPr>
              <w:rStyle w:val="11"/>
              <w:rFonts w:ascii="Arial" w:hAnsi="Arial" w:cs="Arial"/>
            </w:rPr>
            <w:t>G. 单独分析物的钩状效应</w:t>
          </w:r>
          <w:r>
            <w:rPr>
              <w:rFonts w:ascii="Arial" w:hAnsi="Arial" w:cs="Arial"/>
            </w:rPr>
            <w:tab/>
          </w:r>
          <w:r>
            <w:rPr>
              <w:rFonts w:ascii="Arial" w:hAnsi="Arial" w:cs="Arial"/>
            </w:rPr>
            <w:fldChar w:fldCharType="begin"/>
          </w:r>
          <w:r>
            <w:rPr>
              <w:rFonts w:ascii="Arial" w:hAnsi="Arial" w:cs="Arial"/>
            </w:rPr>
            <w:instrText xml:space="preserve"> PAGEREF _Toc479613611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164F1768">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"_Toc479613612" </w:instrText>
          </w:r>
          <w:r>
            <w:fldChar w:fldCharType="separate"/>
          </w:r>
          <w:r>
            <w:rPr>
              <w:rStyle w:val="11"/>
              <w:rFonts w:ascii="Arial" w:hAnsi="Arial" w:cs="Arial"/>
            </w:rPr>
            <w:t>H. 遗留污染</w:t>
          </w:r>
          <w:r>
            <w:rPr>
              <w:rFonts w:ascii="Arial" w:hAnsi="Arial" w:cs="Arial"/>
            </w:rPr>
            <w:tab/>
          </w:r>
          <w:r>
            <w:rPr>
              <w:rFonts w:ascii="Arial" w:hAnsi="Arial" w:cs="Arial"/>
            </w:rPr>
            <w:fldChar w:fldCharType="begin"/>
          </w:r>
          <w:r>
            <w:rPr>
              <w:rFonts w:ascii="Arial" w:hAnsi="Arial" w:cs="Arial"/>
            </w:rPr>
            <w:instrText xml:space="preserve"> PAGEREF _Toc479613612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1CAA508A">
          <w:pPr>
            <w:pStyle w:val="7"/>
            <w:tabs>
              <w:tab w:val="left" w:pos="840"/>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"_Toc479613613" </w:instrText>
          </w:r>
          <w:r>
            <w:fldChar w:fldCharType="separate"/>
          </w:r>
          <w:r>
            <w:rPr>
              <w:rStyle w:val="11"/>
              <w:rFonts w:ascii="Arial" w:hAnsi="Arial" w:cs="Arial"/>
            </w:rPr>
            <w:t>I.</w:t>
          </w:r>
          <w:r>
            <w:rPr>
              <w:rFonts w:ascii="Arial" w:hAnsi="Arial" w:cs="Arial"/>
              <w:kern w:val="2"/>
              <w:sz w:val="21"/>
              <w:lang w:val="en-US"/>
            </w:rPr>
            <w:tab/>
          </w:r>
          <w:r>
            <w:rPr>
              <w:rStyle w:val="11"/>
              <w:rFonts w:ascii="Arial" w:hAnsi="Arial" w:cs="Arial"/>
            </w:rPr>
            <w:t>矩阵比较</w:t>
          </w:r>
          <w:r>
            <w:rPr>
              <w:rFonts w:ascii="Arial" w:hAnsi="Arial" w:cs="Arial"/>
            </w:rPr>
            <w:tab/>
          </w:r>
          <w:r>
            <w:rPr>
              <w:rFonts w:ascii="Arial" w:hAnsi="Arial" w:cs="Arial"/>
            </w:rPr>
            <w:fldChar w:fldCharType="begin"/>
          </w:r>
          <w:r>
            <w:rPr>
              <w:rFonts w:ascii="Arial" w:hAnsi="Arial" w:cs="Arial"/>
            </w:rPr>
            <w:instrText xml:space="preserve"> PAGEREF _Toc479613613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0F539873">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"_Toc479613614" </w:instrText>
          </w:r>
          <w:r>
            <w:fldChar w:fldCharType="separate"/>
          </w:r>
          <w:r>
            <w:rPr>
              <w:rStyle w:val="11"/>
              <w:rFonts w:ascii="Arial" w:hAnsi="Arial" w:cs="Arial"/>
            </w:rPr>
            <w:t>J. 稳定性</w:t>
          </w:r>
          <w:r>
            <w:rPr>
              <w:rFonts w:ascii="Arial" w:hAnsi="Arial" w:cs="Arial"/>
            </w:rPr>
            <w:tab/>
          </w:r>
          <w:r>
            <w:rPr>
              <w:rFonts w:ascii="Arial" w:hAnsi="Arial" w:cs="Arial"/>
            </w:rPr>
            <w:fldChar w:fldCharType="begin"/>
          </w:r>
          <w:r>
            <w:rPr>
              <w:rFonts w:ascii="Arial" w:hAnsi="Arial" w:cs="Arial"/>
            </w:rPr>
            <w:instrText xml:space="preserve"> PAGEREF _Toc479613614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2A3958EF">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"_Toc479613615" </w:instrText>
          </w:r>
          <w:r>
            <w:fldChar w:fldCharType="separate"/>
          </w:r>
          <w:r>
            <w:rPr>
              <w:rStyle w:val="11"/>
              <w:rFonts w:ascii="Arial" w:hAnsi="Arial" w:cs="Arial"/>
            </w:rPr>
            <w:t>K. 校准和对照</w:t>
          </w:r>
          <w:r>
            <w:rPr>
              <w:rFonts w:ascii="Arial" w:hAnsi="Arial" w:cs="Arial"/>
            </w:rPr>
            <w:tab/>
          </w:r>
          <w:r>
            <w:rPr>
              <w:rFonts w:ascii="Arial" w:hAnsi="Arial" w:cs="Arial"/>
            </w:rPr>
            <w:fldChar w:fldCharType="begin"/>
          </w:r>
          <w:r>
            <w:rPr>
              <w:rFonts w:ascii="Arial" w:hAnsi="Arial" w:cs="Arial"/>
            </w:rPr>
            <w:instrText xml:space="preserve"> PAGEREF _Toc479613615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5C2EC3E0">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"_Toc479613616" </w:instrText>
          </w:r>
          <w:r>
            <w:fldChar w:fldCharType="separate"/>
          </w:r>
          <w:r>
            <w:rPr>
              <w:rStyle w:val="11"/>
              <w:rFonts w:ascii="Arial" w:hAnsi="Arial" w:cs="Arial"/>
              <w:b/>
            </w:rPr>
            <w:t>VII.软件</w:t>
          </w:r>
          <w:r>
            <w:rPr>
              <w:rFonts w:ascii="Arial" w:hAnsi="Arial" w:cs="Arial"/>
            </w:rPr>
            <w:tab/>
          </w:r>
          <w:r>
            <w:rPr>
              <w:rFonts w:ascii="Arial" w:hAnsi="Arial" w:cs="Arial"/>
            </w:rPr>
            <w:fldChar w:fldCharType="begin"/>
          </w:r>
          <w:r>
            <w:rPr>
              <w:rFonts w:ascii="Arial" w:hAnsi="Arial" w:cs="Arial"/>
            </w:rPr>
            <w:instrText xml:space="preserve"> PAGEREF _Toc479613616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6209B202">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"_Toc479613617" </w:instrText>
          </w:r>
          <w:r>
            <w:fldChar w:fldCharType="separate"/>
          </w:r>
          <w:r>
            <w:rPr>
              <w:rStyle w:val="11"/>
              <w:rFonts w:ascii="Arial" w:hAnsi="Arial" w:cs="Arial"/>
              <w:b/>
            </w:rPr>
            <w:t>VIII. 临床性能评估</w:t>
          </w:r>
          <w:r>
            <w:rPr>
              <w:rFonts w:ascii="Arial" w:hAnsi="Arial" w:cs="Arial"/>
            </w:rPr>
            <w:tab/>
          </w:r>
          <w:r>
            <w:rPr>
              <w:rFonts w:ascii="Arial" w:hAnsi="Arial" w:cs="Arial"/>
            </w:rPr>
            <w:fldChar w:fldCharType="begin"/>
          </w:r>
          <w:r>
            <w:rPr>
              <w:rFonts w:ascii="Arial" w:hAnsi="Arial" w:cs="Arial"/>
            </w:rPr>
            <w:instrText xml:space="preserve"> PAGEREF _Toc479613617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19C21E4D">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"_Toc479613618" </w:instrText>
          </w:r>
          <w:r>
            <w:fldChar w:fldCharType="separate"/>
          </w:r>
          <w:r>
            <w:rPr>
              <w:rStyle w:val="11"/>
              <w:rFonts w:ascii="Arial" w:hAnsi="Arial" w:cs="Arial"/>
            </w:rPr>
            <w:t>A. 研究人群/样本</w:t>
          </w:r>
          <w:r>
            <w:rPr>
              <w:rFonts w:ascii="Arial" w:hAnsi="Arial" w:cs="Arial"/>
            </w:rPr>
            <w:tab/>
          </w:r>
          <w:r>
            <w:rPr>
              <w:rFonts w:ascii="Arial" w:hAnsi="Arial" w:cs="Arial"/>
            </w:rPr>
            <w:fldChar w:fldCharType="begin"/>
          </w:r>
          <w:r>
            <w:rPr>
              <w:rFonts w:ascii="Arial" w:hAnsi="Arial" w:cs="Arial"/>
            </w:rPr>
            <w:instrText xml:space="preserve"> PAGEREF _Toc479613618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7B2A9DCD">
          <w:pPr>
            <w:pStyle w:val="7"/>
            <w:tabs>
              <w:tab w:val="left" w:pos="840"/>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"_Toc479613619" </w:instrText>
          </w:r>
          <w:r>
            <w:fldChar w:fldCharType="separate"/>
          </w:r>
          <w:r>
            <w:rPr>
              <w:rStyle w:val="11"/>
              <w:rFonts w:ascii="Arial" w:hAnsi="Arial" w:cs="Arial"/>
            </w:rPr>
            <w:t>B.</w:t>
          </w:r>
          <w:r>
            <w:rPr>
              <w:rFonts w:ascii="Arial" w:hAnsi="Arial" w:cs="Arial"/>
              <w:kern w:val="2"/>
              <w:sz w:val="21"/>
              <w:lang w:val="en-US"/>
            </w:rPr>
            <w:tab/>
          </w:r>
          <w:r>
            <w:rPr>
              <w:rStyle w:val="11"/>
              <w:rFonts w:ascii="Arial" w:hAnsi="Arial" w:cs="Arial"/>
            </w:rPr>
            <w:t>临界/临床决策点</w:t>
          </w:r>
          <w:r>
            <w:rPr>
              <w:rFonts w:ascii="Arial" w:hAnsi="Arial" w:cs="Arial"/>
            </w:rPr>
            <w:tab/>
          </w:r>
          <w:r>
            <w:rPr>
              <w:rFonts w:ascii="Arial" w:hAnsi="Arial" w:cs="Arial"/>
            </w:rPr>
            <w:fldChar w:fldCharType="begin"/>
          </w:r>
          <w:r>
            <w:rPr>
              <w:rFonts w:ascii="Arial" w:hAnsi="Arial" w:cs="Arial"/>
            </w:rPr>
            <w:instrText xml:space="preserve"> PAGEREF _Toc479613619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66978765">
          <w:pPr>
            <w:pStyle w:val="7"/>
            <w:tabs>
              <w:tab w:val="left" w:pos="1050"/>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"_Toc479613620" </w:instrText>
          </w:r>
          <w:r>
            <w:fldChar w:fldCharType="separate"/>
          </w:r>
          <w:r>
            <w:rPr>
              <w:rStyle w:val="11"/>
              <w:rFonts w:ascii="Arial" w:hAnsi="Arial" w:cs="Arial"/>
            </w:rPr>
            <w:t>C.</w:t>
          </w:r>
          <w:r>
            <w:rPr>
              <w:rFonts w:ascii="Arial" w:hAnsi="Arial" w:cs="Arial"/>
              <w:kern w:val="2"/>
              <w:sz w:val="21"/>
              <w:lang w:val="en-US"/>
            </w:rPr>
            <w:tab/>
          </w:r>
          <w:r>
            <w:rPr>
              <w:rStyle w:val="11"/>
              <w:rFonts w:ascii="Arial" w:hAnsi="Arial" w:cs="Arial"/>
            </w:rPr>
            <w:t>临床参考标准（“金标准”）</w:t>
          </w:r>
          <w:r>
            <w:rPr>
              <w:rFonts w:ascii="Arial" w:hAnsi="Arial" w:cs="Arial"/>
            </w:rPr>
            <w:tab/>
          </w:r>
          <w:r>
            <w:rPr>
              <w:rFonts w:ascii="Arial" w:hAnsi="Arial" w:cs="Arial"/>
            </w:rPr>
            <w:fldChar w:fldCharType="begin"/>
          </w:r>
          <w:r>
            <w:rPr>
              <w:rFonts w:ascii="Arial" w:hAnsi="Arial" w:cs="Arial"/>
            </w:rPr>
            <w:instrText xml:space="preserve"> PAGEREF _Toc479613620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11FD4742">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"_Toc479613621" </w:instrText>
          </w:r>
          <w:r>
            <w:fldChar w:fldCharType="separate"/>
          </w:r>
          <w:r>
            <w:rPr>
              <w:rStyle w:val="11"/>
              <w:rFonts w:ascii="Arial" w:hAnsi="Arial" w:cs="Arial"/>
            </w:rPr>
            <w:t>D. 研究设计</w:t>
          </w:r>
          <w:r>
            <w:rPr>
              <w:rFonts w:ascii="Arial" w:hAnsi="Arial" w:cs="Arial"/>
            </w:rPr>
            <w:tab/>
          </w:r>
          <w:r>
            <w:rPr>
              <w:rFonts w:ascii="Arial" w:hAnsi="Arial" w:cs="Arial"/>
            </w:rPr>
            <w:fldChar w:fldCharType="begin"/>
          </w:r>
          <w:r>
            <w:rPr>
              <w:rFonts w:ascii="Arial" w:hAnsi="Arial" w:cs="Arial"/>
            </w:rPr>
            <w:instrText xml:space="preserve"> PAGEREF _Toc479613621 \h </w:instrText>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fldChar w:fldCharType="end"/>
          </w:r>
        </w:p>
        <w:p w14:paraId="490F7B4E">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"_Toc479613622" </w:instrText>
          </w:r>
          <w:r>
            <w:fldChar w:fldCharType="separate"/>
          </w:r>
          <w:r>
            <w:rPr>
              <w:rStyle w:val="11"/>
              <w:rFonts w:ascii="Arial" w:hAnsi="Arial" w:cs="Arial"/>
            </w:rPr>
            <w:t>E. 其他良性和恶性疾病下的预期值</w:t>
          </w:r>
          <w:r>
            <w:rPr>
              <w:rFonts w:ascii="Arial" w:hAnsi="Arial" w:cs="Arial"/>
            </w:rPr>
            <w:tab/>
          </w:r>
          <w:r>
            <w:rPr>
              <w:rFonts w:ascii="Arial" w:hAnsi="Arial" w:cs="Arial"/>
            </w:rPr>
            <w:fldChar w:fldCharType="begin"/>
          </w:r>
          <w:r>
            <w:rPr>
              <w:rFonts w:ascii="Arial" w:hAnsi="Arial" w:cs="Arial"/>
            </w:rPr>
            <w:instrText xml:space="preserve"> PAGEREF _Toc479613622 \h </w:instrText>
          </w:r>
          <w:r>
            <w:rPr>
              <w:rFonts w:ascii="Arial" w:hAnsi="Arial" w:cs="Arial"/>
            </w:rPr>
            <w:fldChar w:fldCharType="separate"/>
          </w:r>
          <w:r>
            <w:rPr>
              <w:rFonts w:ascii="Arial" w:hAnsi="Arial" w:cs="Arial"/>
            </w:rPr>
            <w:t>25</w:t>
          </w:r>
          <w:r>
            <w:rPr>
              <w:rFonts w:ascii="Arial" w:hAnsi="Arial" w:cs="Arial"/>
            </w:rPr>
            <w:fldChar w:fldCharType="end"/>
          </w:r>
          <w:r>
            <w:rPr>
              <w:rFonts w:ascii="Arial" w:hAnsi="Arial" w:cs="Arial"/>
            </w:rPr>
            <w:fldChar w:fldCharType="end"/>
          </w:r>
        </w:p>
        <w:p w14:paraId="169307F3">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"_Toc479613623" </w:instrText>
          </w:r>
          <w:r>
            <w:fldChar w:fldCharType="separate"/>
          </w:r>
          <w:r>
            <w:rPr>
              <w:rStyle w:val="11"/>
              <w:rFonts w:ascii="Arial" w:hAnsi="Arial" w:cs="Arial"/>
            </w:rPr>
            <w:t>F. 参考间期</w:t>
          </w:r>
          <w:r>
            <w:rPr>
              <w:rFonts w:ascii="Arial" w:hAnsi="Arial" w:cs="Arial"/>
            </w:rPr>
            <w:tab/>
          </w:r>
          <w:r>
            <w:rPr>
              <w:rFonts w:ascii="Arial" w:hAnsi="Arial" w:cs="Arial"/>
            </w:rPr>
            <w:fldChar w:fldCharType="begin"/>
          </w:r>
          <w:r>
            <w:rPr>
              <w:rFonts w:ascii="Arial" w:hAnsi="Arial" w:cs="Arial"/>
            </w:rPr>
            <w:instrText xml:space="preserve"> PAGEREF _Toc479613623 \h </w:instrText>
          </w:r>
          <w:r>
            <w:rPr>
              <w:rFonts w:ascii="Arial" w:hAnsi="Arial" w:cs="Arial"/>
            </w:rPr>
            <w:fldChar w:fldCharType="separate"/>
          </w:r>
          <w:r>
            <w:rPr>
              <w:rFonts w:ascii="Arial" w:hAnsi="Arial" w:cs="Arial"/>
            </w:rPr>
            <w:t>25</w:t>
          </w:r>
          <w:r>
            <w:rPr>
              <w:rFonts w:ascii="Arial" w:hAnsi="Arial" w:cs="Arial"/>
            </w:rPr>
            <w:fldChar w:fldCharType="end"/>
          </w:r>
          <w:r>
            <w:rPr>
              <w:rFonts w:ascii="Arial" w:hAnsi="Arial" w:cs="Arial"/>
            </w:rPr>
            <w:fldChar w:fldCharType="end"/>
          </w:r>
        </w:p>
        <w:p w14:paraId="67D557A0">
          <w:pPr>
            <w:pStyle w:val="7"/>
            <w:tabs>
              <w:tab w:val="right" w:leader="dot" w:pos="9628"/>
            </w:tabs>
            <w:spacing w:before="31" w:beforeLines="10" w:after="31" w:afterLines="10"/>
            <w:ind w:left="440"/>
            <w:rPr>
              <w:rFonts w:ascii="Arial" w:hAnsi="Arial" w:cs="Arial"/>
              <w:kern w:val="2"/>
              <w:sz w:val="21"/>
              <w:lang w:val="en-US"/>
            </w:rPr>
          </w:pPr>
          <w:r>
            <w:fldChar w:fldCharType="begin"/>
          </w:r>
          <w:r>
            <w:instrText xml:space="preserve"> HYPERLINK \l "_Toc479613624" </w:instrText>
          </w:r>
          <w:r>
            <w:fldChar w:fldCharType="separate"/>
          </w:r>
          <w:r>
            <w:rPr>
              <w:rStyle w:val="11"/>
              <w:rFonts w:ascii="Arial" w:hAnsi="Arial" w:cs="Arial"/>
            </w:rPr>
            <w:t>G. 评分中所含单独分析物的相关性</w:t>
          </w:r>
          <w:r>
            <w:rPr>
              <w:rFonts w:ascii="Arial" w:hAnsi="Arial" w:cs="Arial"/>
            </w:rPr>
            <w:tab/>
          </w:r>
          <w:r>
            <w:rPr>
              <w:rFonts w:ascii="Arial" w:hAnsi="Arial" w:cs="Arial"/>
            </w:rPr>
            <w:fldChar w:fldCharType="begin"/>
          </w:r>
          <w:r>
            <w:rPr>
              <w:rFonts w:ascii="Arial" w:hAnsi="Arial" w:cs="Arial"/>
            </w:rPr>
            <w:instrText xml:space="preserve"> PAGEREF _Toc479613624 \h </w:instrText>
          </w:r>
          <w:r>
            <w:rPr>
              <w:rFonts w:ascii="Arial" w:hAnsi="Arial" w:cs="Arial"/>
            </w:rPr>
            <w:fldChar w:fldCharType="separate"/>
          </w:r>
          <w:r>
            <w:rPr>
              <w:rFonts w:ascii="Arial" w:hAnsi="Arial" w:cs="Arial"/>
            </w:rPr>
            <w:t>25</w:t>
          </w:r>
          <w:r>
            <w:rPr>
              <w:rFonts w:ascii="Arial" w:hAnsi="Arial" w:cs="Arial"/>
            </w:rPr>
            <w:fldChar w:fldCharType="end"/>
          </w:r>
          <w:r>
            <w:rPr>
              <w:rFonts w:ascii="Arial" w:hAnsi="Arial" w:cs="Arial"/>
            </w:rPr>
            <w:fldChar w:fldCharType="end"/>
          </w:r>
        </w:p>
        <w:p w14:paraId="28CC1756">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"_Toc479613625" </w:instrText>
          </w:r>
          <w:r>
            <w:fldChar w:fldCharType="separate"/>
          </w:r>
          <w:r>
            <w:rPr>
              <w:rStyle w:val="11"/>
              <w:rFonts w:ascii="Arial" w:hAnsi="Arial" w:cs="Arial"/>
              <w:b/>
            </w:rPr>
            <w:t>IX.标签</w:t>
          </w:r>
          <w:r>
            <w:rPr>
              <w:rFonts w:ascii="Arial" w:hAnsi="Arial" w:cs="Arial"/>
            </w:rPr>
            <w:tab/>
          </w:r>
          <w:r>
            <w:rPr>
              <w:rFonts w:ascii="Arial" w:hAnsi="Arial" w:cs="Arial"/>
            </w:rPr>
            <w:fldChar w:fldCharType="begin"/>
          </w:r>
          <w:r>
            <w:rPr>
              <w:rFonts w:ascii="Arial" w:hAnsi="Arial" w:cs="Arial"/>
            </w:rPr>
            <w:instrText xml:space="preserve"> PAGEREF _Toc479613625 \h </w:instrText>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fldChar w:fldCharType="end"/>
          </w:r>
        </w:p>
        <w:p w14:paraId="29729EA1">
          <w:pPr>
            <w:pStyle w:val="6"/>
            <w:tabs>
              <w:tab w:val="right" w:leader="dot" w:pos="9628"/>
            </w:tabs>
            <w:spacing w:before="31" w:beforeLines="10" w:after="31" w:afterLines="10"/>
            <w:rPr>
              <w:rFonts w:ascii="Arial" w:hAnsi="Arial" w:cs="Arial"/>
              <w:kern w:val="2"/>
              <w:sz w:val="21"/>
              <w:lang w:val="en-US"/>
            </w:rPr>
          </w:pPr>
          <w:r>
            <w:fldChar w:fldCharType="begin"/>
          </w:r>
          <w:r>
            <w:instrText xml:space="preserve"> HYPERLINK \l "_Toc479613626" </w:instrText>
          </w:r>
          <w:r>
            <w:fldChar w:fldCharType="separate"/>
          </w:r>
          <w:r>
            <w:rPr>
              <w:rStyle w:val="11"/>
              <w:rFonts w:ascii="Arial" w:hAnsi="Arial" w:cs="Arial"/>
              <w:b/>
            </w:rPr>
            <w:t>X. 参考文件</w:t>
          </w:r>
          <w:r>
            <w:rPr>
              <w:rFonts w:ascii="Arial" w:hAnsi="Arial" w:cs="Arial"/>
            </w:rPr>
            <w:tab/>
          </w:r>
          <w:r>
            <w:rPr>
              <w:rFonts w:ascii="Arial" w:hAnsi="Arial" w:cs="Arial"/>
            </w:rPr>
            <w:fldChar w:fldCharType="begin"/>
          </w:r>
          <w:r>
            <w:rPr>
              <w:rFonts w:ascii="Arial" w:hAnsi="Arial" w:cs="Arial"/>
            </w:rPr>
            <w:instrText xml:space="preserve"> PAGEREF _Toc479613626 \h </w:instrText>
          </w:r>
          <w:r>
            <w:rPr>
              <w:rFonts w:ascii="Arial" w:hAnsi="Arial" w:cs="Arial"/>
            </w:rPr>
            <w:fldChar w:fldCharType="separate"/>
          </w:r>
          <w:r>
            <w:rPr>
              <w:rFonts w:ascii="Arial" w:hAnsi="Arial" w:cs="Arial"/>
            </w:rPr>
            <w:t>28</w:t>
          </w:r>
          <w:r>
            <w:rPr>
              <w:rFonts w:ascii="Arial" w:hAnsi="Arial" w:cs="Arial"/>
            </w:rPr>
            <w:fldChar w:fldCharType="end"/>
          </w:r>
          <w:r>
            <w:rPr>
              <w:rFonts w:ascii="Arial" w:hAnsi="Arial" w:cs="Arial"/>
            </w:rPr>
            <w:fldChar w:fldCharType="end"/>
          </w:r>
        </w:p>
        <w:p w14:paraId="5A5C558D">
          <w:r>
            <w:rPr>
              <w:rFonts w:ascii="Arial" w:hAnsi="Arial" w:cs="Arial"/>
              <w:b/>
              <w:bCs/>
            </w:rPr>
            <w:fldChar w:fldCharType="end"/>
          </w:r>
        </w:p>
      </w:sdtContent>
    </w:sdt>
    <w:p w14:paraId="294846E8">
      <w:pPr>
        <w:spacing w:before="0" w:after="0"/>
        <w:jc w:val="left"/>
        <w:rPr>
          <w:rFonts w:ascii="Arial" w:hAnsi="Arial" w:cs="Arial"/>
        </w:rPr>
      </w:pPr>
      <w:r>
        <w:rPr>
          <w:rFonts w:ascii="Arial" w:hAnsi="Arial" w:cs="Arial"/>
        </w:rPr>
        <w:br w:type="page"/>
      </w:r>
    </w:p>
    <w:p w14:paraId="3D7069F4">
      <w:pPr>
        <w:widowControl w:val="0"/>
        <w:autoSpaceDE w:val="0"/>
        <w:autoSpaceDN w:val="0"/>
        <w:snapToGrid w:val="0"/>
        <w:spacing w:before="0" w:after="0" w:line="300" w:lineRule="auto"/>
        <w:jc w:val="center"/>
        <w:rPr>
          <w:rFonts w:ascii="Arial" w:hAnsi="Arial" w:cs="Arial"/>
          <w:b/>
          <w:color w:val="000000"/>
          <w:sz w:val="48"/>
        </w:rPr>
      </w:pPr>
      <w:r>
        <w:rPr>
          <w:rFonts w:ascii="Arial" w:hAnsi="Arial" w:cs="Arial"/>
          <w:b/>
          <w:color w:val="000000"/>
          <w:sz w:val="48"/>
        </w:rPr>
        <w:t>行业和食品药品监督管理局工作人员指南</w:t>
      </w:r>
    </w:p>
    <w:p w14:paraId="0A388EF2">
      <w:pPr>
        <w:widowControl w:val="0"/>
        <w:autoSpaceDE w:val="0"/>
        <w:autoSpaceDN w:val="0"/>
        <w:snapToGrid w:val="0"/>
        <w:spacing w:before="0" w:after="0" w:line="300" w:lineRule="auto"/>
        <w:jc w:val="center"/>
        <w:rPr>
          <w:rFonts w:ascii="Arial" w:hAnsi="Arial" w:cs="Arial"/>
          <w:b/>
          <w:color w:val="000000"/>
          <w:sz w:val="48"/>
        </w:rPr>
      </w:pPr>
      <w:r>
        <w:rPr>
          <w:rFonts w:hint="eastAsia" w:ascii="Arial" w:hAnsi="Arial" w:cs="Arial"/>
          <w:b/>
          <w:color w:val="000000"/>
          <w:sz w:val="48"/>
          <w:lang w:val="en-US"/>
        </w:rPr>
        <mc:AlternateContent>
          <mc:Choice Requires="wps">
            <w:drawing>
              <wp:anchor distT="0" distB="0" distL="114300" distR="114300" simplePos="0" relativeHeight="251667456" behindDoc="0" locked="0" layoutInCell="1" allowOverlap="1">
                <wp:simplePos x="0" y="0"/>
                <wp:positionH relativeFrom="column">
                  <wp:posOffset>56515</wp:posOffset>
                </wp:positionH>
                <wp:positionV relativeFrom="paragraph">
                  <wp:posOffset>152400</wp:posOffset>
                </wp:positionV>
                <wp:extent cx="6076315" cy="0"/>
                <wp:effectExtent l="0" t="0" r="19685" b="19050"/>
                <wp:wrapNone/>
                <wp:docPr id="9" name="直接连接符 9"/>
                <wp:cNvGraphicFramePr/>
                <a:graphic xmlns:a="http://schemas.openxmlformats.org/drawingml/2006/main">
                  <a:graphicData uri="http://schemas.microsoft.com/office/word/2010/wordprocessingShape">
                    <wps:wsp>
                      <wps:cNvCnPr/>
                      <wps:spPr>
                        <a:xfrm>
                          <a:off x="0" y="0"/>
                          <a:ext cx="60763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5pt;margin-top:12pt;height:0pt;width:478.45pt;z-index:251667456;mso-width-relative:page;mso-height-relative:page;" filled="f" stroked="t" coordsize="21600,21600" o:gfxdata="UEsDBAoAAAAAAIdO4kAAAAAAAAAAAAAAAAAEAAAAZHJzL1BLAwQUAAAACACHTuJA1Q5LAdUAAAAH&#10;AQAADwAAAGRycy9kb3ducmV2LnhtbE2PwU7DMBBE70j8g7VI3KjTCto0xOkBiQMSEhA4cHTjbRyw&#10;1yF2k/D3LOJQjjszmn1T7mbvxIhD7AIpWC4yEEhNMB21Ct5e769yEDFpMtoFQgXfGGFXnZ+VujBh&#10;ohcc69QKLqFYaAU2pb6QMjYWvY6L0COxdwiD14nPoZVm0BOXeydXWbaWXnfEH6zu8c5i81kfPbfQ&#10;5uswu+H9+enR5vX0gQ/jBpW6vFhmtyASzukUhl98RoeKmfbhSCYKpyDfclDB6poXsb1d3/CS/Z8g&#10;q1L+569+AFBLAwQUAAAACACHTuJA1lZzEOMBAACxAwAADgAAAGRycy9lMm9Eb2MueG1srVPNbhMx&#10;EL4j8Q6W72TTRoR2lU0PjcoFQSTgASZee9eS/+Rxs8lL8AJI3ODEkTtvQ3kMxt40Le2lh+7BOx7P&#10;fOPvm/HiYmcN28qI2ruGn0ymnEknfKtd1/DPn65enXGGCVwLxjvZ8L1EfrF8+WIxhFqe+t6bVkZG&#10;IA7rITS8TynUVYWilxZw4oN0dKh8tJBoG7uqjTAQujXV6XQ6rwYf2xC9kIjkXY2H/IAYnwLoldJC&#10;rry4ttKlETVKA4koYa8D8mW5rVJSpA9KoUzMNJyYprJSEbI3ea2WC6i7CKHX4nAFeMoVHnCyoB0V&#10;PUKtIAG7jvoRlNUievQqTYS31UikKEIsTqYPtPnYQ5CFC0mN4Sg6Ph+seL9dR6bbhp9z5sBSw2++&#10;/vrz5fvf399ovfn5g51nkYaANcVeunU87DCsY2a8U9HmP3FhuyLs/iis3CUmyDmfvpnPZnPOxO1Z&#10;dZcYIqa30luWjYYb7TJnqGH7DhMVo9DbkOx2/kobU/pmHBsIfPaauimAZlHRDJBpA/FB13EGpqMh&#10;FykWRPRGtzk742DsNpcmsi3k0ShfJkrV/gvLpVeA/RhXjsahsTrROzDaNvzsfrZxBJLlGgXK1sa3&#10;+6Jb8VMnS5nD1OVRub8v2Xcvbf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Q5LAdUAAAAHAQAA&#10;DwAAAAAAAAABACAAAAAiAAAAZHJzL2Rvd25yZXYueG1sUEsBAhQAFAAAAAgAh07iQNZWcxDjAQAA&#10;sQMAAA4AAAAAAAAAAQAgAAAAJAEAAGRycy9lMm9Eb2MueG1sUEsFBgAAAAAGAAYAWQEAAHkFAAAA&#10;AA==&#10;">
                <v:fill on="f" focussize="0,0"/>
                <v:stroke weight="0.5pt" color="#000000 [3213]" miterlimit="8" joinstyle="miter"/>
                <v:imagedata o:title=""/>
                <o:lock v:ext="edit" aspectratio="f"/>
              </v:line>
            </w:pict>
          </mc:Fallback>
        </mc:AlternateContent>
      </w:r>
    </w:p>
    <w:p w14:paraId="1817B840">
      <w:pPr>
        <w:widowControl w:val="0"/>
        <w:autoSpaceDE w:val="0"/>
        <w:autoSpaceDN w:val="0"/>
        <w:snapToGrid w:val="0"/>
        <w:spacing w:before="0" w:after="0" w:line="300" w:lineRule="auto"/>
        <w:jc w:val="center"/>
        <w:rPr>
          <w:rFonts w:ascii="Arial" w:hAnsi="Arial" w:cs="Arial"/>
          <w:b/>
          <w:color w:val="000000"/>
          <w:sz w:val="48"/>
        </w:rPr>
      </w:pPr>
      <w:r>
        <w:rPr>
          <w:rFonts w:ascii="Arial" w:hAnsi="Arial" w:cs="Arial"/>
          <w:b/>
          <w:color w:val="000000"/>
          <w:sz w:val="48"/>
        </w:rPr>
        <w:t>II类特殊控制指导性文件：卵巢附件肿块评估评分测试系统</w:t>
      </w:r>
    </w:p>
    <w:p w14:paraId="212D1C49">
      <w:pPr>
        <w:widowControl w:val="0"/>
        <w:autoSpaceDE w:val="0"/>
        <w:autoSpaceDN w:val="0"/>
        <w:snapToGrid w:val="0"/>
        <w:spacing w:before="0" w:after="0" w:line="300" w:lineRule="auto"/>
        <w:rPr>
          <w:rFonts w:ascii="Arial" w:hAnsi="Arial" w:cs="Arial"/>
          <w:b/>
          <w:color w:val="000000"/>
          <w:sz w:val="48"/>
        </w:rPr>
      </w:pPr>
      <w:r>
        <w:rPr>
          <w:rFonts w:ascii="Arial" w:hAnsi="Arial" w:cs="Arial"/>
          <w:lang w:val="en-US"/>
        </w:rPr>
        <w:drawing>
          <wp:anchor distT="0" distB="0" distL="114300" distR="114300" simplePos="0" relativeHeight="251659264" behindDoc="1" locked="0" layoutInCell="1" allowOverlap="1">
            <wp:simplePos x="0" y="0"/>
            <wp:positionH relativeFrom="page">
              <wp:posOffset>628650</wp:posOffset>
            </wp:positionH>
            <wp:positionV relativeFrom="page">
              <wp:posOffset>3114675</wp:posOffset>
            </wp:positionV>
            <wp:extent cx="6381115" cy="1404620"/>
            <wp:effectExtent l="0" t="0" r="127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81012" cy="1404593"/>
                    </a:xfrm>
                    <a:prstGeom prst="rect">
                      <a:avLst/>
                    </a:prstGeom>
                    <a:noFill/>
                    <a:ln>
                      <a:noFill/>
                    </a:ln>
                  </pic:spPr>
                </pic:pic>
              </a:graphicData>
            </a:graphic>
          </wp:anchor>
        </w:drawing>
      </w:r>
    </w:p>
    <w:p w14:paraId="5304FDF8">
      <w:pPr>
        <w:widowControl w:val="0"/>
        <w:autoSpaceDE w:val="0"/>
        <w:autoSpaceDN w:val="0"/>
        <w:snapToGrid w:val="0"/>
        <w:spacing w:before="0" w:after="0" w:line="300" w:lineRule="auto"/>
        <w:rPr>
          <w:rFonts w:ascii="Arial" w:hAnsi="Arial" w:cs="Arial"/>
          <w:b/>
          <w:i/>
          <w:color w:val="000000"/>
          <w:sz w:val="24"/>
        </w:rPr>
      </w:pPr>
      <w:r>
        <w:rPr>
          <w:rFonts w:ascii="Arial" w:hAnsi="Arial" w:cs="Arial"/>
          <w:b/>
          <w:i/>
          <w:color w:val="000000"/>
          <w:sz w:val="24"/>
        </w:rPr>
        <w:t>本指南代表食品药品监督管理局（食品药品监督管理局）当前对本主题的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p w14:paraId="49AB3AEE">
      <w:pPr>
        <w:rPr>
          <w:rFonts w:ascii="Arial" w:hAnsi="Arial" w:cs="Arial"/>
          <w:lang w:val="en-US"/>
        </w:rPr>
      </w:pPr>
      <w:r>
        <w:rPr>
          <w:rFonts w:ascii="Arial" w:hAnsi="Arial" w:cs="Arial"/>
          <w:lang w:val="en-US"/>
        </w:rPr>
        <w:t xml:space="preserve"> </w:t>
      </w:r>
    </w:p>
    <w:p w14:paraId="53AE0329">
      <w:pPr>
        <w:widowControl w:val="0"/>
        <w:numPr>
          <w:ilvl w:val="0"/>
          <w:numId w:val="1"/>
        </w:numPr>
        <w:autoSpaceDE w:val="0"/>
        <w:autoSpaceDN w:val="0"/>
        <w:snapToGrid w:val="0"/>
        <w:spacing w:before="0" w:after="0" w:line="300" w:lineRule="auto"/>
        <w:outlineLvl w:val="0"/>
        <w:rPr>
          <w:rFonts w:ascii="Arial" w:hAnsi="Arial" w:cs="Arial"/>
          <w:b/>
          <w:color w:val="000000"/>
          <w:sz w:val="36"/>
        </w:rPr>
      </w:pPr>
      <w:bookmarkStart w:id="0" w:name="_Toc479613593"/>
      <w:r>
        <w:rPr>
          <w:rFonts w:ascii="Arial" w:hAnsi="Arial" w:cs="Arial"/>
          <w:b/>
          <w:color w:val="000000"/>
          <w:sz w:val="36"/>
        </w:rPr>
        <w:t>简介</w:t>
      </w:r>
      <w:bookmarkEnd w:id="0"/>
    </w:p>
    <w:p w14:paraId="3EFBF404">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开发本文件的目的是作为一份特殊控制指南，支持卵巢附件肿块评估评分测试系统对II类器械进行分类（特殊控制）。卵巢附件肿块评估评分测试系统测量血浆中一种或多种分析物，将这些值与单独评分结合，随后用于确定尚未转诊肿瘤学家的女性中术前附件肿块为恶性的可能性。本测试用于经医师将其与患者的临床和放射学评估相结合，以确定患者是否应转诊给妇科肿瘤学家进行手术。</w:t>
      </w:r>
    </w:p>
    <w:p w14:paraId="73310D5B">
      <w:pPr>
        <w:widowControl w:val="0"/>
        <w:autoSpaceDE w:val="0"/>
        <w:autoSpaceDN w:val="0"/>
        <w:snapToGrid w:val="0"/>
        <w:spacing w:before="0" w:after="0" w:line="300" w:lineRule="auto"/>
        <w:rPr>
          <w:rFonts w:ascii="Arial" w:hAnsi="Arial" w:cs="Arial"/>
          <w:color w:val="000000"/>
          <w:sz w:val="24"/>
        </w:rPr>
      </w:pPr>
    </w:p>
    <w:p w14:paraId="5311D6D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卵巢附件肿块评估评分测试系统未指定为卵巢癌的筛选测试或用于诊断。（这些测试相关贴标所需的其他规定请参见第IX章。）预期用于计划进行手术的患者，不得用于决定患者是否应接受手术。本指南不适用于基因表达试验或基于组织的试验。</w:t>
      </w:r>
    </w:p>
    <w:p w14:paraId="14746928">
      <w:pPr>
        <w:widowControl w:val="0"/>
        <w:autoSpaceDE w:val="0"/>
        <w:autoSpaceDN w:val="0"/>
        <w:snapToGrid w:val="0"/>
        <w:spacing w:before="0" w:after="0" w:line="300" w:lineRule="auto"/>
        <w:rPr>
          <w:rFonts w:ascii="Arial" w:hAnsi="Arial" w:cs="Arial"/>
          <w:color w:val="000000"/>
          <w:sz w:val="24"/>
        </w:rPr>
      </w:pPr>
    </w:p>
    <w:p w14:paraId="452F08F1">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本指南为制造商提供了关于计划上市前通告和卵巢附件肿块评估评分测试系统特表的建议。本文件中的建议适用于对全血制品中所得的单独一种或多种蛋白进行测量的测试。医师使用结果或评分作为辅助测试，以补充，而非取代其他诊断和临床程序。计划进行手术干预的女性应在医师独立术前评估、或卵巢附件肿块评估评分、或二者均提示有恶性肿瘤可能性时，转诊给妇科肿瘤学家。</w:t>
      </w:r>
    </w:p>
    <w:p w14:paraId="6DE3364B">
      <w:pPr>
        <w:spacing w:before="0" w:after="0"/>
        <w:jc w:val="left"/>
        <w:rPr>
          <w:rFonts w:ascii="Arial" w:hAnsi="Arial" w:cs="Arial"/>
        </w:rPr>
      </w:pPr>
      <w:r>
        <w:rPr>
          <w:rFonts w:ascii="Arial" w:hAnsi="Arial" w:cs="Arial"/>
        </w:rPr>
        <w:br w:type="page"/>
      </w:r>
    </w:p>
    <w:p w14:paraId="56008C8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本指南与宣称卵巢附件肿块评估评分测试系统分类的《联邦公报》通知一同发布。任何为卵巢附件肿块评估评分测试系统提交510（k）上市前通告的厂商均应处理本特殊控制指南中包含的问题。厂商必须显示其器械可解决本指南中识别的安全性和有效性问题，可通过符合本指南的建议，或通过一些可提供等效安全性和有效性保证的其他方式解决。</w:t>
      </w:r>
    </w:p>
    <w:p w14:paraId="6A27A6C3">
      <w:pPr>
        <w:widowControl w:val="0"/>
        <w:autoSpaceDE w:val="0"/>
        <w:autoSpaceDN w:val="0"/>
        <w:snapToGrid w:val="0"/>
        <w:spacing w:before="0" w:after="0" w:line="300" w:lineRule="auto"/>
        <w:rPr>
          <w:rFonts w:ascii="Arial" w:hAnsi="Arial" w:cs="Arial"/>
          <w:color w:val="000000"/>
          <w:sz w:val="24"/>
        </w:rPr>
      </w:pPr>
    </w:p>
    <w:p w14:paraId="1F1DBCBF">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指定本文件作为特殊控制意味着，任何当前上市或预期上市卵巢附件肿块评估评分测试系统的厂商均需处理本特殊控制指南中包含的问题。厂商需显示其器械可解决本指南中识别的安全性和有效性问题，可通过符合本指南的建议，或通过一些可提供</w:t>
      </w:r>
    </w:p>
    <w:p w14:paraId="7C7B1C8D">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等效安全性和有效性保证的其他方式解决。</w:t>
      </w:r>
    </w:p>
    <w:p w14:paraId="6BA7700B">
      <w:pPr>
        <w:rPr>
          <w:rFonts w:ascii="Arial" w:hAnsi="Arial" w:cs="Arial"/>
        </w:rPr>
      </w:pPr>
    </w:p>
    <w:p w14:paraId="2497CCB0">
      <w:pPr>
        <w:widowControl w:val="0"/>
        <w:autoSpaceDE w:val="0"/>
        <w:autoSpaceDN w:val="0"/>
        <w:snapToGrid w:val="0"/>
        <w:spacing w:before="0" w:after="0" w:line="300" w:lineRule="auto"/>
        <w:outlineLvl w:val="0"/>
        <w:rPr>
          <w:rFonts w:ascii="Arial" w:hAnsi="Arial" w:cs="Arial"/>
          <w:b/>
          <w:color w:val="000000"/>
          <w:sz w:val="36"/>
        </w:rPr>
      </w:pPr>
      <w:bookmarkStart w:id="1" w:name="_Toc479613594"/>
      <w:r>
        <w:rPr>
          <w:rFonts w:ascii="Arial" w:hAnsi="Arial" w:cs="Arial"/>
          <w:b/>
          <w:color w:val="000000"/>
          <w:sz w:val="36"/>
        </w:rPr>
        <w:t>II.背景</w:t>
      </w:r>
      <w:bookmarkEnd w:id="1"/>
    </w:p>
    <w:p w14:paraId="4A427C8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医师可在所有年龄段女性中常规发现盆腔附件肿块，可在标准妇科评估过程中意外发现，或在由于女性表现出症状而进行的检查后发现。约5至10%的女性将对可疑的卵巢恶性肿瘤进行手术，这些肿块中有13至21%将被诊断为卵巢癌（参考1）。对有附件肿块的患者进行鉴别诊断和管理的指南已经确立，其中包括将有可疑卵巢癌的患者转诊给妇科肿瘤学家。研究显示，卵巢癌患者在由妇科肿瘤学家进行手术时，与一般妇科病学家和外科医师相比，无进展生存期和整体生存期有改善。这些已发表的观察结果和指南支持通过恶性肿瘤补充评估，对可增加患者向妇科肿瘤学家转诊的测试进行认证。</w:t>
      </w:r>
    </w:p>
    <w:p w14:paraId="0941BB85">
      <w:pPr>
        <w:rPr>
          <w:rFonts w:ascii="Arial" w:hAnsi="Arial" w:cs="Arial"/>
        </w:rPr>
      </w:pPr>
    </w:p>
    <w:p w14:paraId="7085D87A">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预期上市这种通用型器械的制造商必须：</w:t>
      </w:r>
    </w:p>
    <w:p w14:paraId="3B3A76DF">
      <w:pPr>
        <w:widowControl w:val="0"/>
        <w:tabs>
          <w:tab w:val="left" w:pos="9020"/>
          <w:tab w:val="left" w:pos="9240"/>
        </w:tabs>
        <w:autoSpaceDE w:val="0"/>
        <w:autoSpaceDN w:val="0"/>
        <w:snapToGrid w:val="0"/>
        <w:spacing w:before="0" w:after="0" w:line="300" w:lineRule="auto"/>
        <w:ind w:left="447" w:hanging="487" w:hangingChars="203"/>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符合联邦食品、药品和化妆品法案（FD&amp;C法案），包括21 CFR 807 E分部分中所述，上市前通告要求。</w:t>
      </w:r>
    </w:p>
    <w:p w14:paraId="4860CA28">
      <w:pPr>
        <w:widowControl w:val="0"/>
        <w:tabs>
          <w:tab w:val="left" w:pos="9020"/>
          <w:tab w:val="left" w:pos="9240"/>
        </w:tabs>
        <w:autoSpaceDE w:val="0"/>
        <w:autoSpaceDN w:val="0"/>
        <w:snapToGrid w:val="0"/>
        <w:spacing w:before="0" w:after="0" w:line="300" w:lineRule="auto"/>
        <w:ind w:left="447" w:hanging="487" w:hangingChars="203"/>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通过处理本指南中识别的卵巢附件肿块评估评分测试系统相关具体健康风险，符合针对本器械开发的特殊控制，以及</w:t>
      </w:r>
    </w:p>
    <w:p w14:paraId="6939BB1E">
      <w:pPr>
        <w:widowControl w:val="0"/>
        <w:tabs>
          <w:tab w:val="left" w:pos="9020"/>
          <w:tab w:val="left" w:pos="9240"/>
        </w:tabs>
        <w:autoSpaceDE w:val="0"/>
        <w:autoSpaceDN w:val="0"/>
        <w:snapToGrid w:val="0"/>
        <w:spacing w:before="0" w:after="0" w:line="300" w:lineRule="auto"/>
        <w:ind w:left="447" w:hanging="487" w:hangingChars="203"/>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在器械上市前获取食品药品监督管理局的实质等同性测定。（21 CFR 807.81、21 CFR 807.87和21 CFR 807.100）。</w:t>
      </w:r>
    </w:p>
    <w:p w14:paraId="09CF1474">
      <w:pPr>
        <w:spacing w:before="0" w:after="0"/>
        <w:jc w:val="left"/>
        <w:rPr>
          <w:rFonts w:ascii="Arial" w:hAnsi="Arial" w:cs="Arial"/>
          <w:color w:val="000000"/>
          <w:sz w:val="24"/>
        </w:rPr>
      </w:pPr>
      <w:r>
        <w:rPr>
          <w:rFonts w:ascii="Arial" w:hAnsi="Arial" w:cs="Arial"/>
          <w:color w:val="000000"/>
          <w:sz w:val="24"/>
        </w:rPr>
        <w:br w:type="page"/>
      </w:r>
    </w:p>
    <w:p w14:paraId="4ED498E0">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食品药品监督管理局认为，当与法规的一般控制相结合时，特殊控制足以提供这些器械安全性和有效性的合理保证。</w:t>
      </w:r>
    </w:p>
    <w:p w14:paraId="4ACF8C6F">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本特殊控制指导性文件确定了卵巢附件肿块评估评分测试系统的分类条例和产品代码（请参见第III章范围）。本指导性文件的其他章节向制造商提供了</w:t>
      </w:r>
    </w:p>
    <w:p w14:paraId="09AA742D">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关于处理这些器械相关风险的建议。</w:t>
      </w:r>
    </w:p>
    <w:p w14:paraId="62707DC2">
      <w:pPr>
        <w:widowControl w:val="0"/>
        <w:autoSpaceDE w:val="0"/>
        <w:autoSpaceDN w:val="0"/>
        <w:snapToGrid w:val="0"/>
        <w:spacing w:before="0" w:after="0" w:line="300" w:lineRule="auto"/>
        <w:rPr>
          <w:rFonts w:ascii="Arial" w:hAnsi="Arial" w:cs="Arial"/>
          <w:color w:val="000000"/>
          <w:sz w:val="24"/>
        </w:rPr>
      </w:pPr>
    </w:p>
    <w:p w14:paraId="3B9A4CB7">
      <w:pPr>
        <w:widowControl w:val="0"/>
        <w:autoSpaceDE w:val="0"/>
        <w:autoSpaceDN w:val="0"/>
        <w:snapToGrid w:val="0"/>
        <w:spacing w:before="0" w:after="0" w:line="300" w:lineRule="auto"/>
        <w:outlineLvl w:val="0"/>
        <w:rPr>
          <w:rFonts w:ascii="Arial" w:hAnsi="Arial" w:cs="Arial"/>
          <w:b/>
          <w:color w:val="000000"/>
          <w:sz w:val="36"/>
        </w:rPr>
      </w:pPr>
      <w:bookmarkStart w:id="2" w:name="_Toc479613595"/>
      <w:r>
        <w:rPr>
          <w:rFonts w:ascii="Arial" w:hAnsi="Arial" w:cs="Arial"/>
          <w:b/>
          <w:color w:val="000000"/>
          <w:sz w:val="36"/>
        </w:rPr>
        <w:t>III.范围</w:t>
      </w:r>
      <w:bookmarkEnd w:id="2"/>
    </w:p>
    <w:p w14:paraId="6F298DDC">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本文件的范围限制于21 CFR 866.6050中所述的以下器械（产品代码ONX）：</w:t>
      </w:r>
    </w:p>
    <w:p w14:paraId="355F4EA1">
      <w:pPr>
        <w:widowControl w:val="0"/>
        <w:autoSpaceDE w:val="0"/>
        <w:autoSpaceDN w:val="0"/>
        <w:snapToGrid w:val="0"/>
        <w:spacing w:before="0" w:after="0" w:line="300" w:lineRule="auto"/>
        <w:rPr>
          <w:rFonts w:ascii="Arial" w:hAnsi="Arial" w:cs="Arial"/>
          <w:color w:val="000000"/>
          <w:sz w:val="24"/>
        </w:rPr>
      </w:pPr>
    </w:p>
    <w:p w14:paraId="30A20ECD">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21 CFR 866.6050  卵巢附件肿块评估测试系统是一种测量血清中一种或多种蛋白的器械。针对计划进行手术的女性中附件盆腔肿块为恶性的可能性，其可产生单一结果。在主要临床和放射学评估为阴性的背景下，试验仅供用于辅助，以增加对需要肿瘤学专家和资源进行妇科手术的患者的识别。</w:t>
      </w:r>
    </w:p>
    <w:p w14:paraId="6F653913">
      <w:pPr>
        <w:rPr>
          <w:rFonts w:ascii="Arial" w:hAnsi="Arial" w:cs="Arial"/>
        </w:rPr>
      </w:pPr>
    </w:p>
    <w:p w14:paraId="11020561">
      <w:pPr>
        <w:widowControl w:val="0"/>
        <w:autoSpaceDE w:val="0"/>
        <w:autoSpaceDN w:val="0"/>
        <w:snapToGrid w:val="0"/>
        <w:spacing w:before="0" w:after="0" w:line="300" w:lineRule="auto"/>
        <w:outlineLvl w:val="0"/>
        <w:rPr>
          <w:rFonts w:ascii="Arial" w:hAnsi="Arial" w:cs="Arial"/>
          <w:b/>
          <w:color w:val="000000"/>
          <w:sz w:val="36"/>
        </w:rPr>
      </w:pPr>
      <w:bookmarkStart w:id="3" w:name="_Toc479613596"/>
      <w:r>
        <w:rPr>
          <w:rFonts w:ascii="Arial" w:hAnsi="Arial" w:cs="Arial"/>
          <w:b/>
          <w:color w:val="000000"/>
          <w:sz w:val="36"/>
        </w:rPr>
        <w:t>IV.健康风险</w:t>
      </w:r>
      <w:bookmarkEnd w:id="3"/>
    </w:p>
    <w:p w14:paraId="64225DFB">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卵巢附件肿块评估评分测试系统未指定用作卵巢癌的筛选或诊断测试。如文中所示，未能进行试验可导致对卵巢恶性肿瘤患者的评估不当和管理错误。特别是，虚假的低卵巢附件肿块评分可导致测定患者可能没有卵巢恶性肿瘤，造成手术专家和资源达不到最佳。虚假的高卵巢附件肿块评分可导致测定患者可能有卵巢恶性肿瘤，造成手术决定不当和患者不必要的焦虑。试验的标签外使用（如，在已确定为需要手术治疗盆腔肿块，或无患者独立临床/放射学评估参考的患者中），可能导致虚假阳性结果造成的较高频率非必需进一步测试和手术，或导致虚假阴性结果造成的肿瘤诊断延迟。</w:t>
      </w:r>
    </w:p>
    <w:p w14:paraId="1C31D191">
      <w:pPr>
        <w:rPr>
          <w:rFonts w:ascii="Arial" w:hAnsi="Arial" w:cs="Arial"/>
        </w:rPr>
      </w:pPr>
    </w:p>
    <w:p w14:paraId="265E1D4B">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下表中，食品药品监督管理局已识别到使用通常与本器械相关的健康风险。本指导性文件中描述了推荐用于减轻已识别风险的措施，如下表所示。贵公司应在提交贵公司的上市前通告之前进行风险分析，以识别针对于贵公司的器械的其他任何风险。风险可</w:t>
      </w:r>
      <w:r>
        <w:rPr>
          <w:rFonts w:ascii="Arial" w:hAnsi="Arial" w:cs="Arial"/>
          <w:color w:val="000000"/>
          <w:sz w:val="24"/>
          <w:lang w:val="en-US"/>
        </w:rPr>
        <w:t>极度</w:t>
      </w:r>
      <w:r>
        <w:rPr>
          <w:rFonts w:ascii="Arial" w:hAnsi="Arial" w:cs="Arial"/>
          <w:color w:val="000000"/>
          <w:sz w:val="24"/>
        </w:rPr>
        <w:t>依赖于所使用的</w:t>
      </w:r>
      <w:r>
        <w:rPr>
          <w:rFonts w:ascii="Arial" w:hAnsi="Arial" w:cs="Arial"/>
          <w:color w:val="000000"/>
          <w:sz w:val="24"/>
          <w:lang w:val="en-US"/>
        </w:rPr>
        <w:t>检测</w:t>
      </w:r>
      <w:r>
        <w:rPr>
          <w:rFonts w:ascii="Arial" w:hAnsi="Arial" w:cs="Arial"/>
          <w:color w:val="000000"/>
          <w:sz w:val="24"/>
        </w:rPr>
        <w:t>和测量方法。上市前通告应描述风险分析方法。如果贵公司选择使用替代方法处理本文件中的已识别风险，或识别到本文件中所述风险以外的风险，贵公司应提供充分的详细信息以支持贵公司所使用的处理风险的方法。</w:t>
      </w:r>
    </w:p>
    <w:p w14:paraId="34CE8AAB">
      <w:pPr>
        <w:spacing w:before="0" w:after="0"/>
        <w:jc w:val="left"/>
        <w:rPr>
          <w:rFonts w:ascii="Arial" w:hAnsi="Arial" w:cs="Arial"/>
        </w:rPr>
      </w:pPr>
      <w:r>
        <w:rPr>
          <w:rFonts w:ascii="Arial" w:hAnsi="Arial" w:cs="Arial"/>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gridCol w:w="2829"/>
      </w:tblGrid>
      <w:tr w14:paraId="0B87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shd w:val="clear" w:color="auto" w:fill="66FFFF"/>
          </w:tcPr>
          <w:p w14:paraId="5508A563">
            <w:pPr>
              <w:widowControl w:val="0"/>
              <w:autoSpaceDE w:val="0"/>
              <w:autoSpaceDN w:val="0"/>
              <w:snapToGrid w:val="0"/>
              <w:spacing w:before="0" w:after="0" w:line="300" w:lineRule="auto"/>
              <w:jc w:val="center"/>
              <w:rPr>
                <w:rFonts w:ascii="Arial" w:hAnsi="Arial" w:cs="Arial"/>
              </w:rPr>
            </w:pPr>
            <w:r>
              <w:rPr>
                <w:rFonts w:ascii="Arial" w:hAnsi="Arial" w:cs="Arial"/>
                <w:b/>
                <w:color w:val="000000"/>
                <w:sz w:val="24"/>
              </w:rPr>
              <w:t>已识别风险</w:t>
            </w:r>
          </w:p>
        </w:tc>
        <w:tc>
          <w:tcPr>
            <w:tcW w:w="2829" w:type="dxa"/>
            <w:shd w:val="clear" w:color="auto" w:fill="66FFFF"/>
          </w:tcPr>
          <w:p w14:paraId="58099745">
            <w:pPr>
              <w:widowControl w:val="0"/>
              <w:autoSpaceDE w:val="0"/>
              <w:autoSpaceDN w:val="0"/>
              <w:snapToGrid w:val="0"/>
              <w:spacing w:before="0" w:after="0" w:line="300" w:lineRule="auto"/>
              <w:jc w:val="center"/>
              <w:rPr>
                <w:rFonts w:ascii="Arial" w:hAnsi="Arial" w:cs="Arial"/>
                <w:b/>
                <w:color w:val="000000"/>
                <w:sz w:val="24"/>
              </w:rPr>
            </w:pPr>
            <w:r>
              <w:rPr>
                <w:rFonts w:ascii="Arial" w:hAnsi="Arial" w:cs="Arial"/>
                <w:b/>
                <w:color w:val="000000"/>
                <w:sz w:val="24"/>
              </w:rPr>
              <w:t>推荐</w:t>
            </w:r>
          </w:p>
          <w:p w14:paraId="677937DB">
            <w:pPr>
              <w:widowControl w:val="0"/>
              <w:autoSpaceDE w:val="0"/>
              <w:autoSpaceDN w:val="0"/>
              <w:snapToGrid w:val="0"/>
              <w:spacing w:before="0" w:after="0" w:line="300" w:lineRule="auto"/>
              <w:jc w:val="center"/>
              <w:rPr>
                <w:rFonts w:ascii="Arial" w:hAnsi="Arial" w:cs="Arial"/>
                <w:b/>
                <w:color w:val="000000"/>
                <w:sz w:val="24"/>
              </w:rPr>
            </w:pPr>
            <w:r>
              <w:rPr>
                <w:rFonts w:ascii="Arial" w:hAnsi="Arial" w:cs="Arial"/>
                <w:b/>
                <w:color w:val="000000"/>
                <w:sz w:val="24"/>
              </w:rPr>
              <w:t>缓解措施</w:t>
            </w:r>
          </w:p>
        </w:tc>
      </w:tr>
      <w:tr w14:paraId="4DDB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7D420995">
            <w:pPr>
              <w:widowControl w:val="0"/>
              <w:autoSpaceDE w:val="0"/>
              <w:autoSpaceDN w:val="0"/>
              <w:snapToGrid w:val="0"/>
              <w:spacing w:before="0" w:after="0" w:line="300" w:lineRule="auto"/>
              <w:rPr>
                <w:rFonts w:ascii="Arial" w:hAnsi="Arial" w:cs="Arial"/>
              </w:rPr>
            </w:pPr>
            <w:r>
              <w:rPr>
                <w:rFonts w:ascii="Arial" w:hAnsi="Arial" w:cs="Arial"/>
                <w:color w:val="000000"/>
                <w:sz w:val="24"/>
              </w:rPr>
              <w:t>假阴性结果</w:t>
            </w:r>
          </w:p>
        </w:tc>
        <w:tc>
          <w:tcPr>
            <w:tcW w:w="2829" w:type="dxa"/>
          </w:tcPr>
          <w:p w14:paraId="139928E8">
            <w:pPr>
              <w:widowControl w:val="0"/>
              <w:autoSpaceDE w:val="0"/>
              <w:autoSpaceDN w:val="0"/>
              <w:snapToGrid w:val="0"/>
              <w:spacing w:before="0" w:after="0" w:line="300" w:lineRule="auto"/>
              <w:jc w:val="center"/>
              <w:rPr>
                <w:rFonts w:ascii="Arial" w:hAnsi="Arial" w:cs="Arial"/>
              </w:rPr>
            </w:pPr>
            <w:r>
              <w:rPr>
                <w:rFonts w:ascii="Arial" w:hAnsi="Arial" w:cs="Arial"/>
                <w:color w:val="000000"/>
                <w:sz w:val="24"/>
              </w:rPr>
              <w:t>第VI-IX章</w:t>
            </w:r>
          </w:p>
        </w:tc>
      </w:tr>
      <w:tr w14:paraId="6C9E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1044C490">
            <w:pPr>
              <w:widowControl w:val="0"/>
              <w:autoSpaceDE w:val="0"/>
              <w:autoSpaceDN w:val="0"/>
              <w:snapToGrid w:val="0"/>
              <w:spacing w:before="0" w:after="0" w:line="300" w:lineRule="auto"/>
              <w:rPr>
                <w:rFonts w:ascii="Arial" w:hAnsi="Arial" w:cs="Arial"/>
              </w:rPr>
            </w:pPr>
            <w:r>
              <w:rPr>
                <w:rFonts w:ascii="Arial" w:hAnsi="Arial" w:cs="Arial"/>
                <w:color w:val="000000"/>
                <w:sz w:val="24"/>
              </w:rPr>
              <w:t>假阳性结果</w:t>
            </w:r>
          </w:p>
        </w:tc>
        <w:tc>
          <w:tcPr>
            <w:tcW w:w="2829" w:type="dxa"/>
          </w:tcPr>
          <w:p w14:paraId="4055B21A">
            <w:pPr>
              <w:widowControl w:val="0"/>
              <w:autoSpaceDE w:val="0"/>
              <w:autoSpaceDN w:val="0"/>
              <w:snapToGrid w:val="0"/>
              <w:spacing w:before="0" w:after="0" w:line="300" w:lineRule="auto"/>
              <w:jc w:val="center"/>
              <w:rPr>
                <w:rFonts w:ascii="Arial" w:hAnsi="Arial" w:cs="Arial"/>
              </w:rPr>
            </w:pPr>
            <w:r>
              <w:rPr>
                <w:rFonts w:ascii="Arial" w:hAnsi="Arial" w:cs="Arial"/>
                <w:color w:val="000000"/>
                <w:sz w:val="24"/>
              </w:rPr>
              <w:t>第IX章</w:t>
            </w:r>
          </w:p>
        </w:tc>
      </w:tr>
      <w:tr w14:paraId="4A6A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1FF9D8B4">
            <w:pPr>
              <w:widowControl w:val="0"/>
              <w:autoSpaceDE w:val="0"/>
              <w:autoSpaceDN w:val="0"/>
              <w:snapToGrid w:val="0"/>
              <w:spacing w:before="0" w:after="0"/>
              <w:rPr>
                <w:rFonts w:ascii="Arial" w:hAnsi="Arial" w:cs="Arial"/>
              </w:rPr>
            </w:pPr>
            <w:r>
              <w:rPr>
                <w:rFonts w:ascii="Arial" w:hAnsi="Arial" w:cs="Arial"/>
                <w:color w:val="000000"/>
                <w:sz w:val="24"/>
              </w:rPr>
              <w:t>作为筛选测试、独立诊断性测试或作为确定是否进行手术的测试时的标签外使用。</w:t>
            </w:r>
          </w:p>
        </w:tc>
        <w:tc>
          <w:tcPr>
            <w:tcW w:w="2829" w:type="dxa"/>
          </w:tcPr>
          <w:p w14:paraId="0F331FB0">
            <w:pPr>
              <w:widowControl w:val="0"/>
              <w:autoSpaceDE w:val="0"/>
              <w:autoSpaceDN w:val="0"/>
              <w:snapToGrid w:val="0"/>
              <w:spacing w:before="0" w:after="0"/>
              <w:jc w:val="center"/>
              <w:rPr>
                <w:rFonts w:ascii="Arial" w:hAnsi="Arial" w:cs="Arial"/>
              </w:rPr>
            </w:pPr>
            <w:r>
              <w:rPr>
                <w:rFonts w:ascii="Arial" w:hAnsi="Arial" w:cs="Arial"/>
                <w:color w:val="000000"/>
                <w:sz w:val="24"/>
              </w:rPr>
              <w:t>第IX章</w:t>
            </w:r>
            <w:r>
              <w:rPr>
                <w:rFonts w:ascii="Arial" w:hAnsi="Arial" w:cs="Arial"/>
                <w:color w:val="000000"/>
                <w:sz w:val="24"/>
              </w:rPr>
              <w:br w:type="textWrapping"/>
            </w:r>
            <w:r>
              <w:rPr>
                <w:rFonts w:ascii="Arial" w:hAnsi="Arial" w:cs="Arial"/>
                <w:color w:val="000000"/>
                <w:sz w:val="24"/>
              </w:rPr>
              <w:t>黑框警告</w:t>
            </w:r>
          </w:p>
        </w:tc>
      </w:tr>
    </w:tbl>
    <w:p w14:paraId="158B68F1">
      <w:pPr>
        <w:widowControl w:val="0"/>
        <w:autoSpaceDE w:val="0"/>
        <w:autoSpaceDN w:val="0"/>
        <w:snapToGrid w:val="0"/>
        <w:spacing w:before="0" w:after="0" w:line="300" w:lineRule="auto"/>
        <w:rPr>
          <w:rFonts w:ascii="Arial" w:hAnsi="Arial" w:cs="Arial"/>
          <w:b/>
          <w:color w:val="000000"/>
          <w:sz w:val="36"/>
        </w:rPr>
      </w:pPr>
    </w:p>
    <w:p w14:paraId="2AD28054">
      <w:pPr>
        <w:widowControl w:val="0"/>
        <w:autoSpaceDE w:val="0"/>
        <w:autoSpaceDN w:val="0"/>
        <w:snapToGrid w:val="0"/>
        <w:spacing w:before="0" w:after="0" w:line="300" w:lineRule="auto"/>
        <w:outlineLvl w:val="0"/>
        <w:rPr>
          <w:rFonts w:ascii="Arial" w:hAnsi="Arial" w:cs="Arial"/>
          <w:b/>
          <w:color w:val="000000"/>
          <w:sz w:val="36"/>
        </w:rPr>
      </w:pPr>
      <w:bookmarkStart w:id="4" w:name="_Toc479613597"/>
      <w:r>
        <w:rPr>
          <w:rFonts w:ascii="Arial" w:hAnsi="Arial" w:cs="Arial"/>
          <w:b/>
          <w:color w:val="000000"/>
          <w:sz w:val="36"/>
        </w:rPr>
        <w:t>V. 器械描述</w:t>
      </w:r>
      <w:bookmarkEnd w:id="4"/>
    </w:p>
    <w:p w14:paraId="1D25E90B">
      <w:pPr>
        <w:widowControl w:val="0"/>
        <w:autoSpaceDE w:val="0"/>
        <w:autoSpaceDN w:val="0"/>
        <w:snapToGrid w:val="0"/>
        <w:spacing w:before="0" w:after="0" w:line="300" w:lineRule="auto"/>
        <w:outlineLvl w:val="1"/>
        <w:rPr>
          <w:rFonts w:ascii="Arial" w:hAnsi="Arial" w:cs="Arial"/>
          <w:color w:val="000000"/>
          <w:sz w:val="24"/>
          <w:u w:val="single"/>
        </w:rPr>
      </w:pPr>
      <w:bookmarkStart w:id="5" w:name="_Toc479613598"/>
      <w:r>
        <w:rPr>
          <w:rFonts w:ascii="Arial" w:hAnsi="Arial" w:cs="Arial"/>
          <w:color w:val="000000"/>
          <w:sz w:val="24"/>
        </w:rPr>
        <w:t xml:space="preserve">A. </w:t>
      </w:r>
      <w:r>
        <w:rPr>
          <w:rFonts w:ascii="Arial" w:hAnsi="Arial" w:cs="Arial"/>
          <w:color w:val="000000"/>
          <w:sz w:val="24"/>
          <w:u w:val="single"/>
        </w:rPr>
        <w:t>背景</w:t>
      </w:r>
      <w:bookmarkEnd w:id="5"/>
    </w:p>
    <w:p w14:paraId="22616E8F">
      <w:pPr>
        <w:widowControl w:val="0"/>
        <w:autoSpaceDE w:val="0"/>
        <w:autoSpaceDN w:val="0"/>
        <w:snapToGrid w:val="0"/>
        <w:spacing w:before="0" w:after="0" w:line="300" w:lineRule="auto"/>
        <w:rPr>
          <w:rFonts w:ascii="Arial" w:hAnsi="Arial" w:cs="Arial"/>
          <w:color w:val="000000"/>
          <w:sz w:val="24"/>
          <w:u w:val="single"/>
        </w:rPr>
      </w:pPr>
    </w:p>
    <w:p w14:paraId="68E19A8F">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我们推荐贵公司使用上文第III章所述的条例的产品代码标识贵公司的器械。贵公司必须标识一个合法的上市等效比较产品（21 CFR 807.87（f））。贵公司应在表格中列出等效比较产品和贵公司的器械之间的相似性和差异性，从而，食品药品监督管理局能够有效确定贵公司的器械和等效比较产品之间是否可进行比较，并识别出贵公司的器械可能需要或可能不需要其他性能研究的方面。</w:t>
      </w:r>
    </w:p>
    <w:p w14:paraId="6CB44D53">
      <w:pPr>
        <w:widowControl w:val="0"/>
        <w:autoSpaceDE w:val="0"/>
        <w:autoSpaceDN w:val="0"/>
        <w:snapToGrid w:val="0"/>
        <w:spacing w:before="0" w:after="0" w:line="300" w:lineRule="auto"/>
        <w:rPr>
          <w:rFonts w:ascii="Arial" w:hAnsi="Arial" w:cs="Arial"/>
          <w:color w:val="000000"/>
          <w:sz w:val="24"/>
        </w:rPr>
      </w:pPr>
    </w:p>
    <w:p w14:paraId="512B592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的测试中从多种分析物获取的值源自每个分析物的单独试验。如果贵公司的测试使用了从其他制造商出售的单独试验（需要材料但未提供）中获取的值，贵公司应指明测试的分类，试验是否已由食品药品监督管理局认证或批准（即，在510（k）或PMA过程中分别作为II类或III类器械进行正式审查），以及其已被认证或批准的预期用途。</w:t>
      </w:r>
    </w:p>
    <w:p w14:paraId="59105088">
      <w:pPr>
        <w:widowControl w:val="0"/>
        <w:autoSpaceDE w:val="0"/>
        <w:autoSpaceDN w:val="0"/>
        <w:snapToGrid w:val="0"/>
        <w:spacing w:before="0" w:after="0" w:line="300" w:lineRule="auto"/>
        <w:rPr>
          <w:rFonts w:ascii="Arial" w:hAnsi="Arial" w:cs="Arial"/>
          <w:color w:val="000000"/>
          <w:sz w:val="24"/>
        </w:rPr>
      </w:pPr>
    </w:p>
    <w:p w14:paraId="672F7B17">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其他制造商出售的单独试验（即，贵公司已作为获取试验结果所需材料列出，但由其他制造商分别出售的物品）可视为贵公司器械的组件。对于已认证或批准的试验，贵公司应提供一份食品药品监督管理局审查后贴标的副本，并汇总每次试验的分析性能特征。如果其他制造商出售的试验尚未经认证或批准（如，贴标为I类器械豁免），贵公司也应提供申办者的标签，汇总本章要求的信息。然而，贵公司将需要分别进行并提交针对这些试验的分析性能研究（更多信息请参见第VI章，分析性能验证），并将其作为贵公司II类器械的组件进行审查。</w:t>
      </w:r>
    </w:p>
    <w:p w14:paraId="72EEF116">
      <w:pPr>
        <w:widowControl w:val="0"/>
        <w:autoSpaceDE w:val="0"/>
        <w:autoSpaceDN w:val="0"/>
        <w:snapToGrid w:val="0"/>
        <w:spacing w:before="0" w:after="0" w:line="300" w:lineRule="auto"/>
        <w:rPr>
          <w:rFonts w:ascii="Arial" w:hAnsi="Arial" w:cs="Arial"/>
          <w:color w:val="000000"/>
          <w:sz w:val="24"/>
        </w:rPr>
      </w:pPr>
    </w:p>
    <w:p w14:paraId="4D120C58">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贵公司的提交物应充分描述贵公司的卵巢附件肿块评估评分测试系统的以下特征：</w:t>
      </w:r>
    </w:p>
    <w:p w14:paraId="53A8BE14">
      <w:pPr>
        <w:widowControl w:val="0"/>
        <w:autoSpaceDE w:val="0"/>
        <w:autoSpaceDN w:val="0"/>
        <w:snapToGrid w:val="0"/>
        <w:spacing w:before="0" w:after="0" w:line="300" w:lineRule="auto"/>
        <w:rPr>
          <w:rFonts w:ascii="Arial" w:hAnsi="Arial" w:cs="Arial"/>
          <w:color w:val="000000"/>
          <w:sz w:val="24"/>
        </w:rPr>
      </w:pPr>
    </w:p>
    <w:p w14:paraId="02A5B9A4">
      <w:pPr>
        <w:widowControl w:val="0"/>
        <w:autoSpaceDE w:val="0"/>
        <w:autoSpaceDN w:val="0"/>
        <w:snapToGrid w:val="0"/>
        <w:spacing w:before="0" w:after="0" w:line="300" w:lineRule="auto"/>
        <w:outlineLvl w:val="1"/>
        <w:rPr>
          <w:rFonts w:ascii="Arial" w:hAnsi="Arial" w:cs="Arial"/>
          <w:color w:val="000000"/>
          <w:sz w:val="24"/>
        </w:rPr>
      </w:pPr>
      <w:bookmarkStart w:id="6" w:name="_Toc479613599"/>
      <w:r>
        <w:rPr>
          <w:rFonts w:ascii="Arial" w:hAnsi="Arial" w:cs="Arial"/>
          <w:color w:val="000000"/>
          <w:sz w:val="24"/>
        </w:rPr>
        <w:t xml:space="preserve">B. </w:t>
      </w:r>
      <w:r>
        <w:rPr>
          <w:rFonts w:ascii="Arial" w:hAnsi="Arial" w:cs="Arial"/>
          <w:color w:val="000000"/>
          <w:sz w:val="24"/>
          <w:u w:val="single"/>
        </w:rPr>
        <w:t>质量体系法规（QS Reg）</w:t>
      </w:r>
      <w:bookmarkEnd w:id="6"/>
    </w:p>
    <w:p w14:paraId="5251D30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体外诊断测试的所有制造商均必须遵守21 CFR第820部分，质量体系法规的要求。如果贵公司已设计了算法用于从其他制造商处购买的测试，贵公司应对这些试验负责，</w:t>
      </w:r>
    </w:p>
    <w:p w14:paraId="1416DDD4">
      <w:pPr>
        <w:widowControl w:val="0"/>
        <w:autoSpaceDE w:val="0"/>
        <w:autoSpaceDN w:val="0"/>
        <w:snapToGrid w:val="0"/>
        <w:spacing w:before="0" w:after="0" w:line="300" w:lineRule="auto"/>
        <w:rPr>
          <w:rFonts w:ascii="Arial" w:hAnsi="Arial" w:cs="Arial"/>
          <w:color w:val="000000"/>
          <w:sz w:val="24"/>
        </w:rPr>
      </w:pPr>
    </w:p>
    <w:p w14:paraId="7FC3D49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这些实验为贵公司器械的组件，无论食品药品监督管理局此前是否已认证了这些试验。贵公司的责任包括但不限于：器械设计、器械、组件购买和操作、生产和过程控制、包装和贴标控制、器械评估、安装、投诉处理、维修服务和记录。贵公司应为贵公司的器械（包括所有组件）提供一份符合质量体系法规的声明，以及一份贵公司已如何或将如何在贵公司的测试上市前完成本要求的简述（即，通过与其他组件制造商建立关系）。由于建立与质量体系法规的依从性并非510（k）上市前通告审查的一部分，食品药品监督管理局从这些试验类型的制造商处寻求保证，保证其在认证前充分承担起本测试所有方面的责任。</w:t>
      </w:r>
    </w:p>
    <w:p w14:paraId="5390F1BD">
      <w:pPr>
        <w:widowControl w:val="0"/>
        <w:autoSpaceDE w:val="0"/>
        <w:autoSpaceDN w:val="0"/>
        <w:snapToGrid w:val="0"/>
        <w:spacing w:before="0" w:after="0" w:line="300" w:lineRule="auto"/>
        <w:rPr>
          <w:rFonts w:ascii="Arial" w:hAnsi="Arial" w:cs="Arial"/>
          <w:color w:val="000000"/>
          <w:sz w:val="24"/>
        </w:rPr>
      </w:pPr>
    </w:p>
    <w:p w14:paraId="661FFAA6">
      <w:pPr>
        <w:widowControl w:val="0"/>
        <w:autoSpaceDE w:val="0"/>
        <w:autoSpaceDN w:val="0"/>
        <w:snapToGrid w:val="0"/>
        <w:spacing w:before="0" w:after="0" w:line="300" w:lineRule="auto"/>
        <w:outlineLvl w:val="1"/>
        <w:rPr>
          <w:rFonts w:ascii="Arial" w:hAnsi="Arial" w:cs="Arial"/>
          <w:color w:val="000000"/>
          <w:sz w:val="24"/>
        </w:rPr>
      </w:pPr>
      <w:bookmarkStart w:id="7" w:name="_Toc479613600"/>
      <w:r>
        <w:rPr>
          <w:rFonts w:ascii="Arial" w:hAnsi="Arial" w:cs="Arial"/>
          <w:color w:val="000000"/>
          <w:sz w:val="24"/>
        </w:rPr>
        <w:t xml:space="preserve">C. </w:t>
      </w:r>
      <w:r>
        <w:rPr>
          <w:rFonts w:ascii="Arial" w:hAnsi="Arial" w:cs="Arial"/>
          <w:color w:val="000000"/>
          <w:sz w:val="24"/>
          <w:u w:val="single"/>
        </w:rPr>
        <w:t>预期用途/适应症</w:t>
      </w:r>
      <w:bookmarkEnd w:id="7"/>
    </w:p>
    <w:p w14:paraId="02B12EB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贵公司的提交必须在使用声明中包括预期用途/适应症，汇总贵公司（制造商）预期产品的使用方法，以及测试的临床目的（21 CFR 807.87（e）和21 CFR 807.92（a）（5））。卵巢附件评估评分测试系统的预期用途应包括测试名称、测试结果输出的特性描述、标本类型、测试方法、目标人群（可能受研究人群的人口统计学限制，如，年龄、人种和月经状态及疾病分期等临床状况）。卵巢附件评估评分测试系统旨在用于由卵巢/附件肿块、计划进行手术但尚未转诊至妇科肿瘤学家的女性，在医师独立临床和放射学评估不能指明恶性肿瘤时，作为一种进一步评估存在恶性肿瘤可能性的辅助方法。</w:t>
      </w:r>
    </w:p>
    <w:p w14:paraId="4AD04906">
      <w:pPr>
        <w:widowControl w:val="0"/>
        <w:autoSpaceDE w:val="0"/>
        <w:autoSpaceDN w:val="0"/>
        <w:snapToGrid w:val="0"/>
        <w:spacing w:before="0" w:after="0" w:line="300" w:lineRule="auto"/>
        <w:rPr>
          <w:rFonts w:ascii="Arial" w:hAnsi="Arial" w:cs="Arial"/>
          <w:color w:val="000000"/>
          <w:sz w:val="24"/>
        </w:rPr>
      </w:pPr>
    </w:p>
    <w:p w14:paraId="7BF6DE39">
      <w:pPr>
        <w:widowControl w:val="0"/>
        <w:autoSpaceDE w:val="0"/>
        <w:autoSpaceDN w:val="0"/>
        <w:snapToGrid w:val="0"/>
        <w:spacing w:before="0" w:after="0" w:line="300" w:lineRule="auto"/>
        <w:outlineLvl w:val="1"/>
        <w:rPr>
          <w:rFonts w:ascii="Arial" w:hAnsi="Arial" w:cs="Arial"/>
          <w:color w:val="000000"/>
          <w:sz w:val="24"/>
          <w:u w:val="single"/>
        </w:rPr>
      </w:pPr>
      <w:bookmarkStart w:id="8" w:name="_Toc479613601"/>
      <w:r>
        <w:rPr>
          <w:rFonts w:ascii="Arial" w:hAnsi="Arial" w:cs="Arial"/>
          <w:color w:val="000000"/>
          <w:sz w:val="24"/>
        </w:rPr>
        <w:t>D.</w:t>
      </w:r>
      <w:r>
        <w:rPr>
          <w:rFonts w:ascii="Arial" w:hAnsi="Arial" w:cs="Arial"/>
        </w:rPr>
        <w:t xml:space="preserve"> </w:t>
      </w:r>
      <w:r>
        <w:rPr>
          <w:rFonts w:ascii="Arial" w:hAnsi="Arial" w:cs="Arial"/>
          <w:color w:val="000000"/>
          <w:sz w:val="24"/>
          <w:u w:val="single"/>
        </w:rPr>
        <w:t>测试的理论依据</w:t>
      </w:r>
      <w:bookmarkEnd w:id="8"/>
    </w:p>
    <w:p w14:paraId="5EA46808">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在试验中提供一份测试分析物和其后理论依据的汇总，包括每种分析物的测量值。可提交已公布的信息支持用于测试适应症的单独分析物。纳入任何导致做出纳入单独测试分析物结论的任何未发表研究汇总。贵公司的描述应包括关于不同RNA剪切或转录后修饰造成的不同蛋白状态的相关信息，以及在所调查的疾病人群中，与无疾病人群相比，这些状态如何不同。</w:t>
      </w:r>
    </w:p>
    <w:p w14:paraId="41DCBC67">
      <w:pPr>
        <w:widowControl w:val="0"/>
        <w:autoSpaceDE w:val="0"/>
        <w:autoSpaceDN w:val="0"/>
        <w:snapToGrid w:val="0"/>
        <w:spacing w:before="0" w:after="0" w:line="300" w:lineRule="auto"/>
        <w:rPr>
          <w:rFonts w:ascii="Arial" w:hAnsi="Arial" w:cs="Arial"/>
          <w:color w:val="000000"/>
          <w:sz w:val="24"/>
        </w:rPr>
      </w:pPr>
    </w:p>
    <w:p w14:paraId="6CEDA575">
      <w:pPr>
        <w:widowControl w:val="0"/>
        <w:autoSpaceDE w:val="0"/>
        <w:autoSpaceDN w:val="0"/>
        <w:snapToGrid w:val="0"/>
        <w:spacing w:before="0" w:after="0" w:line="300" w:lineRule="auto"/>
        <w:outlineLvl w:val="1"/>
        <w:rPr>
          <w:rFonts w:ascii="Arial" w:hAnsi="Arial" w:cs="Arial"/>
          <w:color w:val="000000"/>
          <w:sz w:val="24"/>
          <w:u w:val="single"/>
        </w:rPr>
      </w:pPr>
      <w:bookmarkStart w:id="9" w:name="_Toc479613602"/>
      <w:r>
        <w:rPr>
          <w:rFonts w:ascii="Arial" w:hAnsi="Arial" w:cs="Arial"/>
          <w:color w:val="000000"/>
          <w:sz w:val="24"/>
        </w:rPr>
        <w:t>E.</w:t>
      </w:r>
      <w:r>
        <w:rPr>
          <w:rFonts w:ascii="Arial" w:hAnsi="Arial" w:cs="Arial"/>
        </w:rPr>
        <w:t xml:space="preserve"> </w:t>
      </w:r>
      <w:r>
        <w:rPr>
          <w:rFonts w:ascii="Arial" w:hAnsi="Arial" w:cs="Arial"/>
          <w:color w:val="000000"/>
          <w:sz w:val="24"/>
          <w:u w:val="single"/>
        </w:rPr>
        <w:t>测试组件和方法学</w:t>
      </w:r>
      <w:bookmarkEnd w:id="9"/>
    </w:p>
    <w:p w14:paraId="323392A1">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贵公司应详细描述贵公司在器械中所用的、试验格式/方法学、仪器和软件。</w:t>
      </w:r>
    </w:p>
    <w:p w14:paraId="0AC53CDD">
      <w:pPr>
        <w:widowControl w:val="0"/>
        <w:autoSpaceDE w:val="0"/>
        <w:autoSpaceDN w:val="0"/>
        <w:snapToGrid w:val="0"/>
        <w:spacing w:before="0" w:after="0" w:line="300" w:lineRule="auto"/>
        <w:rPr>
          <w:rFonts w:ascii="Arial" w:hAnsi="Arial" w:cs="Arial"/>
          <w:color w:val="000000"/>
          <w:sz w:val="24"/>
        </w:rPr>
      </w:pPr>
    </w:p>
    <w:p w14:paraId="248B84CD">
      <w:pPr>
        <w:widowControl w:val="0"/>
        <w:autoSpaceDE w:val="0"/>
        <w:autoSpaceDN w:val="0"/>
        <w:snapToGrid w:val="0"/>
        <w:spacing w:before="0" w:after="0" w:line="300" w:lineRule="auto"/>
        <w:rPr>
          <w:rFonts w:ascii="Arial" w:hAnsi="Arial" w:cs="Arial"/>
          <w:i/>
          <w:color w:val="000000"/>
          <w:sz w:val="24"/>
        </w:rPr>
      </w:pPr>
      <w:r>
        <w:rPr>
          <w:rFonts w:ascii="Arial" w:hAnsi="Arial" w:cs="Arial"/>
          <w:color w:val="000000"/>
          <w:sz w:val="24"/>
        </w:rPr>
        <w:t>1.</w:t>
      </w:r>
      <w:r>
        <w:rPr>
          <w:rFonts w:ascii="Arial" w:hAnsi="Arial" w:cs="Arial"/>
          <w:i/>
          <w:color w:val="000000"/>
          <w:sz w:val="24"/>
        </w:rPr>
        <w:t>测试试剂</w:t>
      </w:r>
    </w:p>
    <w:p w14:paraId="5F86B0F1">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为提供货推荐使用的所有试剂和组件提供一份说明（包括校准器、控制装置、仪器）。包括对每种试剂来源的描述（如，小鼠、细胞系）、其纯度方法和测试中使用的验证过程。如果试剂从外部供应商处获取，贵公司应提供分析证书。如果在贵公司的测试中，试剂盒组件包含其他制造商供应的单独测试试剂盒，则我们认为贵公司的测试中这些测试试剂盒试剂，以及与贵公司的测试一同使用的具体制造商测试试剂盒和仪器，均应在标签中说明。本信息要求有一份单独试验的表格格式。</w:t>
      </w:r>
    </w:p>
    <w:p w14:paraId="51C891EA">
      <w:pPr>
        <w:spacing w:before="0" w:after="0"/>
        <w:jc w:val="left"/>
        <w:rPr>
          <w:rFonts w:ascii="Arial" w:hAnsi="Arial" w:cs="Arial"/>
        </w:rPr>
      </w:pPr>
      <w:r>
        <w:rPr>
          <w:rFonts w:ascii="Arial" w:hAnsi="Arial" w:cs="Arial"/>
        </w:rPr>
        <w:br w:type="page"/>
      </w:r>
    </w:p>
    <w:p w14:paraId="5CF22007">
      <w:pPr>
        <w:widowControl w:val="0"/>
        <w:autoSpaceDE w:val="0"/>
        <w:autoSpaceDN w:val="0"/>
        <w:snapToGrid w:val="0"/>
        <w:spacing w:before="0" w:after="0" w:line="300" w:lineRule="auto"/>
        <w:rPr>
          <w:rFonts w:ascii="Arial" w:hAnsi="Arial" w:cs="Arial"/>
          <w:i/>
          <w:color w:val="000000"/>
          <w:sz w:val="24"/>
        </w:rPr>
      </w:pPr>
      <w:r>
        <w:rPr>
          <w:rFonts w:ascii="Arial" w:hAnsi="Arial" w:cs="Arial"/>
          <w:i/>
          <w:color w:val="000000"/>
          <w:sz w:val="24"/>
        </w:rPr>
        <w:t>2.</w:t>
      </w:r>
      <w:r>
        <w:rPr>
          <w:rFonts w:ascii="Arial" w:hAnsi="Arial" w:cs="Arial"/>
          <w:i/>
          <w:color w:val="000000"/>
          <w:sz w:val="24"/>
          <w:lang w:val="en-US"/>
        </w:rPr>
        <w:t xml:space="preserve"> </w:t>
      </w:r>
      <w:r>
        <w:rPr>
          <w:rFonts w:ascii="Arial" w:hAnsi="Arial" w:cs="Arial"/>
          <w:i/>
          <w:color w:val="000000"/>
          <w:sz w:val="24"/>
        </w:rPr>
        <w:t>测试方法学</w:t>
      </w:r>
    </w:p>
    <w:p w14:paraId="1E4FFD2D">
      <w:pPr>
        <w:rPr>
          <w:rFonts w:ascii="Arial" w:hAnsi="Arial" w:cs="Arial"/>
        </w:rPr>
      </w:pPr>
    </w:p>
    <w:p w14:paraId="197076D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提供一份对贵公司器械中所用试验方法学的描述。应包括试验平台和测量方法。要求有一份汇总试验中所包含所有测定中本信息的简表。对于包含未曾审查并经食品药品监督管理局认证或批准的新分析物或免疫分析的器械，要求有额外信息：</w:t>
      </w:r>
    </w:p>
    <w:p w14:paraId="315032F0">
      <w:pPr>
        <w:rPr>
          <w:rFonts w:ascii="Arial" w:hAnsi="Arial" w:cs="Arial"/>
          <w:color w:val="000000"/>
          <w:sz w:val="24"/>
          <w:szCs w:val="24"/>
        </w:rPr>
      </w:pPr>
      <w:r>
        <w:rPr>
          <w:rFonts w:ascii="Arial" w:hAnsi="Arial" w:cs="Arial"/>
          <w:color w:val="000000"/>
          <w:sz w:val="24"/>
          <w:szCs w:val="24"/>
          <w:cs/>
        </w:rPr>
        <w:t xml:space="preserve">•    </w:t>
      </w:r>
      <w:r>
        <w:rPr>
          <w:rFonts w:ascii="Arial" w:hAnsi="Arial" w:cs="Arial"/>
          <w:color w:val="000000"/>
          <w:sz w:val="24"/>
          <w:szCs w:val="24"/>
        </w:rPr>
        <w:t>贵公司器械所需的仪器仪表和仪器仪表软件，包括系统内的组件及其功能。</w:t>
      </w:r>
    </w:p>
    <w:p w14:paraId="7C333EEE">
      <w:pPr>
        <w:widowControl w:val="0"/>
        <w:autoSpaceDE w:val="0"/>
        <w:autoSpaceDN w:val="0"/>
        <w:snapToGrid w:val="0"/>
        <w:spacing w:before="0" w:after="0" w:line="300" w:lineRule="auto"/>
        <w:ind w:left="427" w:hanging="427" w:hangingChars="178"/>
        <w:rPr>
          <w:rFonts w:ascii="Arial" w:hAnsi="Arial" w:cs="Arial"/>
          <w:color w:val="000000"/>
          <w:sz w:val="24"/>
          <w:szCs w:val="24"/>
        </w:rPr>
      </w:pPr>
      <w:r>
        <w:rPr>
          <w:rFonts w:ascii="Arial" w:hAnsi="Arial" w:cs="Arial"/>
          <w:color w:val="000000"/>
          <w:sz w:val="24"/>
          <w:szCs w:val="24"/>
          <w:cs/>
        </w:rPr>
        <w:t xml:space="preserve">•    </w:t>
      </w:r>
      <w:r>
        <w:rPr>
          <w:rFonts w:ascii="Arial" w:hAnsi="Arial" w:cs="Arial"/>
          <w:color w:val="000000"/>
          <w:sz w:val="24"/>
          <w:szCs w:val="24"/>
        </w:rPr>
        <w:t>解释贵公司如何筛选、选择和确定最佳抗体-分析物-抗体</w:t>
      </w:r>
      <w:r>
        <w:rPr>
          <w:rFonts w:ascii="Arial" w:hAnsi="Arial" w:cs="Arial"/>
          <w:sz w:val="24"/>
          <w:szCs w:val="24"/>
        </w:rPr>
        <w:t>组合以进行测试中目标分析物的捕获和</w:t>
      </w:r>
      <w:r>
        <w:rPr>
          <w:rFonts w:ascii="Arial" w:hAnsi="Arial" w:cs="Arial"/>
          <w:sz w:val="24"/>
          <w:szCs w:val="24"/>
          <w:lang w:val="en-US"/>
        </w:rPr>
        <w:t>检测</w:t>
      </w:r>
      <w:r>
        <w:rPr>
          <w:rFonts w:ascii="Arial" w:hAnsi="Arial" w:cs="Arial"/>
          <w:sz w:val="24"/>
          <w:szCs w:val="24"/>
        </w:rPr>
        <w:t>。</w:t>
      </w:r>
    </w:p>
    <w:p w14:paraId="6CE06399">
      <w:pPr>
        <w:widowControl w:val="0"/>
        <w:autoSpaceDE w:val="0"/>
        <w:autoSpaceDN w:val="0"/>
        <w:snapToGrid w:val="0"/>
        <w:spacing w:before="0" w:after="0" w:line="300" w:lineRule="auto"/>
        <w:ind w:left="427" w:hanging="427" w:hangingChars="178"/>
        <w:rPr>
          <w:rFonts w:ascii="Arial" w:hAnsi="Arial" w:cs="Arial"/>
          <w:color w:val="000000"/>
          <w:sz w:val="24"/>
          <w:szCs w:val="24"/>
        </w:rPr>
      </w:pPr>
      <w:r>
        <w:rPr>
          <w:rFonts w:ascii="Arial" w:hAnsi="Arial" w:cs="Arial"/>
          <w:color w:val="000000"/>
          <w:sz w:val="24"/>
          <w:szCs w:val="24"/>
          <w:cs/>
        </w:rPr>
        <w:t xml:space="preserve">•    </w:t>
      </w:r>
      <w:r>
        <w:rPr>
          <w:rFonts w:ascii="Arial" w:hAnsi="Arial" w:cs="Arial"/>
          <w:sz w:val="24"/>
          <w:szCs w:val="24"/>
        </w:rPr>
        <w:t>用于</w:t>
      </w:r>
      <w:r>
        <w:rPr>
          <w:rFonts w:ascii="Arial" w:hAnsi="Arial" w:cs="Arial"/>
          <w:color w:val="000000"/>
          <w:sz w:val="24"/>
          <w:szCs w:val="24"/>
        </w:rPr>
        <w:t>将捕获抗体附到基质上的方法。包括关于怎样对本方法进行最佳化的描述（如，最大抗体和抗原浓度）</w:t>
      </w:r>
    </w:p>
    <w:p w14:paraId="602D6562">
      <w:pPr>
        <w:widowControl w:val="0"/>
        <w:autoSpaceDE w:val="0"/>
        <w:autoSpaceDN w:val="0"/>
        <w:snapToGrid w:val="0"/>
        <w:spacing w:before="0" w:after="0" w:line="300" w:lineRule="auto"/>
        <w:ind w:left="427" w:hanging="427" w:hangingChars="178"/>
        <w:rPr>
          <w:rFonts w:ascii="Arial" w:hAnsi="Arial" w:cs="Arial"/>
          <w:color w:val="000000"/>
          <w:sz w:val="24"/>
          <w:szCs w:val="24"/>
        </w:rPr>
      </w:pPr>
      <w:r>
        <w:rPr>
          <w:rFonts w:ascii="Arial" w:hAnsi="Arial" w:cs="Arial"/>
          <w:color w:val="000000"/>
          <w:sz w:val="24"/>
          <w:szCs w:val="24"/>
          <w:cs/>
        </w:rPr>
        <w:t xml:space="preserve">•    </w:t>
      </w:r>
      <w:r>
        <w:rPr>
          <w:rFonts w:ascii="Arial" w:hAnsi="Arial" w:cs="Arial"/>
          <w:sz w:val="24"/>
          <w:szCs w:val="24"/>
        </w:rPr>
        <w:t>二抗共轭物的描述包括标签和共轭步骤</w:t>
      </w:r>
      <w:r>
        <w:rPr>
          <w:rFonts w:ascii="Arial" w:hAnsi="Arial" w:cs="Arial"/>
          <w:color w:val="000000"/>
          <w:sz w:val="24"/>
          <w:szCs w:val="24"/>
        </w:rPr>
        <w:t>。</w:t>
      </w:r>
    </w:p>
    <w:p w14:paraId="46419D01">
      <w:pPr>
        <w:widowControl w:val="0"/>
        <w:autoSpaceDE w:val="0"/>
        <w:autoSpaceDN w:val="0"/>
        <w:snapToGrid w:val="0"/>
        <w:spacing w:before="0" w:after="0" w:line="300" w:lineRule="auto"/>
        <w:ind w:left="427" w:hanging="427" w:hangingChars="178"/>
        <w:rPr>
          <w:rFonts w:ascii="Arial" w:hAnsi="Arial" w:cs="Arial"/>
          <w:color w:val="000000"/>
          <w:sz w:val="24"/>
          <w:szCs w:val="24"/>
        </w:rPr>
      </w:pPr>
      <w:r>
        <w:rPr>
          <w:rFonts w:ascii="Arial" w:hAnsi="Arial" w:cs="Arial"/>
          <w:color w:val="000000"/>
          <w:sz w:val="24"/>
          <w:szCs w:val="24"/>
          <w:cs/>
        </w:rPr>
        <w:t xml:space="preserve">•    </w:t>
      </w:r>
      <w:r>
        <w:rPr>
          <w:rFonts w:ascii="Arial" w:hAnsi="Arial" w:cs="Arial"/>
          <w:sz w:val="24"/>
          <w:szCs w:val="24"/>
        </w:rPr>
        <w:t>反应组分和条件、洗脱步骤和信号</w:t>
      </w:r>
      <w:r>
        <w:rPr>
          <w:rFonts w:ascii="Arial" w:hAnsi="Arial" w:cs="Arial"/>
          <w:sz w:val="24"/>
          <w:szCs w:val="24"/>
          <w:lang w:val="en-US"/>
        </w:rPr>
        <w:t>检测</w:t>
      </w:r>
      <w:r>
        <w:rPr>
          <w:rFonts w:ascii="Arial" w:hAnsi="Arial" w:cs="Arial"/>
          <w:sz w:val="24"/>
          <w:szCs w:val="24"/>
        </w:rPr>
        <w:t>组分及方法，以及如何对这些条件进行最优化的描述，包括抗体浓度。</w:t>
      </w:r>
    </w:p>
    <w:p w14:paraId="6935B4C5">
      <w:pPr>
        <w:widowControl w:val="0"/>
        <w:autoSpaceDE w:val="0"/>
        <w:autoSpaceDN w:val="0"/>
        <w:snapToGrid w:val="0"/>
        <w:spacing w:before="0" w:after="0" w:line="300" w:lineRule="auto"/>
        <w:rPr>
          <w:rFonts w:ascii="Arial" w:hAnsi="Arial" w:cs="Arial"/>
          <w:color w:val="000000"/>
          <w:sz w:val="24"/>
          <w:szCs w:val="24"/>
        </w:rPr>
      </w:pPr>
      <w:r>
        <w:rPr>
          <w:rFonts w:ascii="Arial" w:hAnsi="Arial" w:cs="Arial"/>
          <w:color w:val="000000"/>
          <w:sz w:val="24"/>
          <w:szCs w:val="24"/>
          <w:cs/>
        </w:rPr>
        <w:t xml:space="preserve">•    </w:t>
      </w:r>
      <w:r>
        <w:rPr>
          <w:rFonts w:ascii="Arial" w:hAnsi="Arial" w:cs="Arial"/>
          <w:sz w:val="24"/>
          <w:szCs w:val="24"/>
        </w:rPr>
        <w:t>测试中如何尽量对交叉反应和非特异性结合进行最小化的描述。</w:t>
      </w:r>
      <w:r>
        <w:rPr>
          <w:rFonts w:ascii="Arial" w:hAnsi="Arial" w:cs="Arial"/>
          <w:color w:val="000000"/>
          <w:sz w:val="24"/>
          <w:szCs w:val="24"/>
        </w:rPr>
        <w:t>提供免疫印迹作为证据。</w:t>
      </w:r>
    </w:p>
    <w:p w14:paraId="5735ABD1">
      <w:pPr>
        <w:widowControl w:val="0"/>
        <w:autoSpaceDE w:val="0"/>
        <w:autoSpaceDN w:val="0"/>
        <w:snapToGrid w:val="0"/>
        <w:spacing w:before="0" w:after="0" w:line="300" w:lineRule="auto"/>
        <w:rPr>
          <w:rFonts w:ascii="Arial" w:hAnsi="Arial" w:cs="Arial"/>
          <w:color w:val="000000"/>
          <w:sz w:val="24"/>
          <w:szCs w:val="24"/>
        </w:rPr>
      </w:pPr>
      <w:r>
        <w:rPr>
          <w:rFonts w:ascii="Arial" w:hAnsi="Arial" w:cs="Arial"/>
          <w:color w:val="000000"/>
          <w:sz w:val="24"/>
          <w:szCs w:val="24"/>
          <w:cs/>
        </w:rPr>
        <w:t xml:space="preserve">•    </w:t>
      </w:r>
      <w:r>
        <w:rPr>
          <w:rFonts w:ascii="Arial" w:hAnsi="Arial" w:cs="Arial"/>
          <w:color w:val="000000"/>
          <w:sz w:val="24"/>
          <w:szCs w:val="24"/>
        </w:rPr>
        <w:t>测试中从采集至使用期间的样本采集要求和样本处理，包括用于确保分析物稳定性的任何要求（如，防腐剂）。</w:t>
      </w:r>
    </w:p>
    <w:p w14:paraId="5090798B">
      <w:pPr>
        <w:widowControl w:val="0"/>
        <w:autoSpaceDE w:val="0"/>
        <w:autoSpaceDN w:val="0"/>
        <w:snapToGrid w:val="0"/>
        <w:spacing w:before="0" w:after="0" w:line="300" w:lineRule="auto"/>
        <w:rPr>
          <w:rFonts w:ascii="Arial" w:hAnsi="Arial" w:cs="Arial"/>
          <w:color w:val="000000"/>
          <w:sz w:val="24"/>
          <w:szCs w:val="24"/>
        </w:rPr>
      </w:pPr>
      <w:r>
        <w:rPr>
          <w:rFonts w:ascii="Arial" w:hAnsi="Arial" w:cs="Arial"/>
          <w:color w:val="000000"/>
          <w:sz w:val="24"/>
          <w:szCs w:val="24"/>
          <w:cs/>
        </w:rPr>
        <w:t xml:space="preserve">•    </w:t>
      </w:r>
      <w:r>
        <w:rPr>
          <w:rFonts w:ascii="Arial" w:hAnsi="Arial" w:cs="Arial"/>
          <w:color w:val="000000"/>
          <w:sz w:val="24"/>
          <w:szCs w:val="24"/>
        </w:rPr>
        <w:t>所有控制和校准器，以及其如何在系统中起作用的说明。</w:t>
      </w:r>
    </w:p>
    <w:p w14:paraId="55A9B27B">
      <w:pPr>
        <w:widowControl w:val="0"/>
        <w:autoSpaceDE w:val="0"/>
        <w:autoSpaceDN w:val="0"/>
        <w:snapToGrid w:val="0"/>
        <w:spacing w:before="0" w:after="0" w:line="300" w:lineRule="auto"/>
        <w:rPr>
          <w:rFonts w:ascii="Arial" w:hAnsi="Arial" w:cs="Arial"/>
          <w:color w:val="000000"/>
          <w:sz w:val="24"/>
          <w:szCs w:val="24"/>
        </w:rPr>
      </w:pPr>
      <w:r>
        <w:rPr>
          <w:rFonts w:ascii="Arial" w:hAnsi="Arial" w:cs="Arial"/>
          <w:color w:val="000000"/>
          <w:sz w:val="24"/>
          <w:szCs w:val="24"/>
          <w:cs/>
        </w:rPr>
        <w:t xml:space="preserve">•    </w:t>
      </w:r>
      <w:r>
        <w:rPr>
          <w:rFonts w:ascii="Arial" w:hAnsi="Arial" w:cs="Arial"/>
          <w:color w:val="000000"/>
          <w:sz w:val="24"/>
          <w:szCs w:val="24"/>
        </w:rPr>
        <w:t>提供一份如何对背景信号进行最小化或标准化的描述（如，信噪比）。</w:t>
      </w:r>
    </w:p>
    <w:p w14:paraId="1FA72B09">
      <w:pPr>
        <w:spacing w:before="0" w:after="0"/>
        <w:jc w:val="left"/>
        <w:rPr>
          <w:rFonts w:ascii="Arial" w:hAnsi="Arial" w:cs="Arial"/>
        </w:rPr>
      </w:pPr>
      <w:r>
        <w:rPr>
          <w:rFonts w:ascii="Arial" w:hAnsi="Arial" w:cs="Arial"/>
        </w:rPr>
        <w:br w:type="page"/>
      </w:r>
    </w:p>
    <w:p w14:paraId="508500A7">
      <w:pPr>
        <w:widowControl w:val="0"/>
        <w:autoSpaceDE w:val="0"/>
        <w:autoSpaceDN w:val="0"/>
        <w:snapToGrid w:val="0"/>
        <w:spacing w:before="0" w:after="0" w:line="300" w:lineRule="auto"/>
        <w:rPr>
          <w:rFonts w:ascii="Arial" w:hAnsi="Arial" w:cs="Arial"/>
          <w:b/>
          <w:i/>
          <w:color w:val="000000"/>
          <w:sz w:val="24"/>
        </w:rPr>
      </w:pPr>
      <w:r>
        <w:rPr>
          <w:rFonts w:ascii="Arial" w:hAnsi="Arial" w:cs="Arial"/>
          <w:b/>
          <w:i/>
          <w:color w:val="000000"/>
          <w:sz w:val="24"/>
        </w:rPr>
        <w:t>3.评分算法</w:t>
      </w:r>
    </w:p>
    <w:p w14:paraId="066A5F43">
      <w:pPr>
        <w:widowControl w:val="0"/>
        <w:autoSpaceDE w:val="0"/>
        <w:autoSpaceDN w:val="0"/>
        <w:snapToGrid w:val="0"/>
        <w:spacing w:before="0" w:after="0" w:line="300" w:lineRule="auto"/>
        <w:rPr>
          <w:rFonts w:ascii="Arial" w:hAnsi="Arial" w:cs="Arial"/>
          <w:color w:val="000000"/>
          <w:sz w:val="24"/>
        </w:rPr>
      </w:pPr>
    </w:p>
    <w:p w14:paraId="6EE1529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贵公司应提供</w:t>
      </w:r>
    </w:p>
    <w:p w14:paraId="3D11B584">
      <w:pPr>
        <w:rPr>
          <w:rFonts w:ascii="Arial" w:hAnsi="Arial" w:cs="Arial"/>
        </w:rPr>
      </w:pPr>
    </w:p>
    <w:p w14:paraId="36FC2D9A">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一份培训数据集的描述（入选/排除标准、临床中心描述、受试者数、恶性肿瘤患病率等）；</w:t>
      </w:r>
    </w:p>
    <w:p w14:paraId="495886D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一份分类法/算法开发的描述，包括样本类型和使用的统计模型及技术。</w:t>
      </w:r>
    </w:p>
    <w:p w14:paraId="0B8A22A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一份性能测量描述（内部验证）。</w:t>
      </w:r>
    </w:p>
    <w:p w14:paraId="35ACBEF3">
      <w:pPr>
        <w:rPr>
          <w:rFonts w:ascii="Arial" w:hAnsi="Arial" w:cs="Arial"/>
        </w:rPr>
      </w:pPr>
    </w:p>
    <w:p w14:paraId="24EE99B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如果评分临界点在培训数据集中选择，贵公司应提供关于如何确定临界点的信息。</w:t>
      </w:r>
    </w:p>
    <w:p w14:paraId="422A0ECE">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贵公司应提供一份最终计算方法的简介，说明测量间期外的单独分析物值在评分值计算中的应用，以及用于获取评分结果的软件。</w:t>
      </w:r>
    </w:p>
    <w:p w14:paraId="5579AEBD">
      <w:pPr>
        <w:widowControl w:val="0"/>
        <w:autoSpaceDE w:val="0"/>
        <w:autoSpaceDN w:val="0"/>
        <w:snapToGrid w:val="0"/>
        <w:spacing w:before="0" w:after="0" w:line="300" w:lineRule="auto"/>
        <w:rPr>
          <w:rFonts w:ascii="Arial" w:hAnsi="Arial" w:cs="Arial"/>
          <w:color w:val="000000"/>
          <w:sz w:val="24"/>
        </w:rPr>
      </w:pPr>
    </w:p>
    <w:p w14:paraId="77431FB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如果用于评分测试结果计算的算法使用贵公司测试中单独分析物的临床决策点，贵公司应提供关于这些临界点的信息。例如，贵公司的试验可能整合了一种分析物，其通常用作诊断炎症的辅助方法。在有良性和恶性盆腔肿块的女性中，本分析物的推荐临界点可能不同。贵公司应解释是否使用了已知参考间期，或是否从文件中获得了数值，或从贵公司的调查研究中获得了结果。</w:t>
      </w:r>
    </w:p>
    <w:p w14:paraId="6453881B">
      <w:pPr>
        <w:widowControl w:val="0"/>
        <w:autoSpaceDE w:val="0"/>
        <w:autoSpaceDN w:val="0"/>
        <w:snapToGrid w:val="0"/>
        <w:spacing w:before="0" w:after="0" w:line="300" w:lineRule="auto"/>
        <w:rPr>
          <w:rFonts w:ascii="Arial" w:hAnsi="Arial" w:cs="Arial"/>
          <w:color w:val="000000"/>
          <w:sz w:val="24"/>
        </w:rPr>
      </w:pPr>
    </w:p>
    <w:p w14:paraId="3F68FD5B">
      <w:pPr>
        <w:widowControl w:val="0"/>
        <w:autoSpaceDE w:val="0"/>
        <w:autoSpaceDN w:val="0"/>
        <w:snapToGrid w:val="0"/>
        <w:spacing w:before="0" w:after="0" w:line="300" w:lineRule="auto"/>
        <w:outlineLvl w:val="1"/>
        <w:rPr>
          <w:rFonts w:ascii="Arial" w:hAnsi="Arial" w:cs="Arial"/>
          <w:color w:val="000000"/>
          <w:sz w:val="24"/>
          <w:u w:val="single"/>
        </w:rPr>
      </w:pPr>
      <w:bookmarkStart w:id="10" w:name="_Toc479613603"/>
      <w:r>
        <w:rPr>
          <w:rFonts w:ascii="Arial" w:hAnsi="Arial" w:cs="Arial"/>
          <w:color w:val="000000"/>
          <w:sz w:val="24"/>
        </w:rPr>
        <w:t>F.</w:t>
      </w:r>
      <w:r>
        <w:rPr>
          <w:rFonts w:ascii="Arial" w:hAnsi="Arial" w:cs="Arial"/>
        </w:rPr>
        <w:t xml:space="preserve"> </w:t>
      </w:r>
      <w:r>
        <w:rPr>
          <w:rFonts w:ascii="Arial" w:hAnsi="Arial" w:cs="Arial"/>
          <w:color w:val="000000"/>
          <w:sz w:val="24"/>
          <w:u w:val="single"/>
        </w:rPr>
        <w:t>测试结果</w:t>
      </w:r>
      <w:bookmarkEnd w:id="10"/>
    </w:p>
    <w:p w14:paraId="400E7B49">
      <w:pPr>
        <w:widowControl w:val="0"/>
        <w:autoSpaceDE w:val="0"/>
        <w:autoSpaceDN w:val="0"/>
        <w:snapToGrid w:val="0"/>
        <w:spacing w:before="0" w:after="0" w:line="300" w:lineRule="auto"/>
        <w:rPr>
          <w:rFonts w:ascii="Arial" w:hAnsi="Arial" w:cs="Arial"/>
          <w:color w:val="000000"/>
          <w:sz w:val="24"/>
          <w:u w:val="single"/>
        </w:rPr>
      </w:pPr>
    </w:p>
    <w:p w14:paraId="451BDF4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贵公司应说明对测试结果输出（如，应用临界点的患者分类或连续数值）和评分结果解释的描述。贵公司应提供临床医师生成的试验报告范例（如，打印输出）。</w:t>
      </w:r>
    </w:p>
    <w:p w14:paraId="7CA806EB">
      <w:pPr>
        <w:widowControl w:val="0"/>
        <w:autoSpaceDE w:val="0"/>
        <w:autoSpaceDN w:val="0"/>
        <w:snapToGrid w:val="0"/>
        <w:spacing w:before="0" w:after="0" w:line="300" w:lineRule="auto"/>
        <w:rPr>
          <w:rFonts w:ascii="Arial" w:hAnsi="Arial" w:cs="Arial"/>
          <w:color w:val="000000"/>
          <w:sz w:val="36"/>
        </w:rPr>
      </w:pPr>
    </w:p>
    <w:p w14:paraId="1E4600A9">
      <w:pPr>
        <w:widowControl w:val="0"/>
        <w:autoSpaceDE w:val="0"/>
        <w:autoSpaceDN w:val="0"/>
        <w:snapToGrid w:val="0"/>
        <w:spacing w:before="0" w:after="0" w:line="300" w:lineRule="auto"/>
        <w:outlineLvl w:val="0"/>
        <w:rPr>
          <w:rFonts w:ascii="Arial" w:hAnsi="Arial" w:cs="Arial"/>
          <w:b/>
          <w:color w:val="000000"/>
          <w:sz w:val="36"/>
        </w:rPr>
      </w:pPr>
      <w:bookmarkStart w:id="11" w:name="_Toc479613604"/>
      <w:r>
        <w:rPr>
          <w:rFonts w:ascii="Arial" w:hAnsi="Arial" w:cs="Arial"/>
          <w:b/>
          <w:color w:val="000000"/>
          <w:sz w:val="36"/>
        </w:rPr>
        <w:t>VI.分析性能验证</w:t>
      </w:r>
      <w:bookmarkEnd w:id="11"/>
    </w:p>
    <w:p w14:paraId="03B20FD9">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在贵公司的510（k）中，贵公司应详细描述贵公司用于评估以下所列每种性能特征的研究设计。应使用贵公司卵巢附件评估评分测试系统器械的最终版本进行所有分析性能研究。</w:t>
      </w:r>
    </w:p>
    <w:p w14:paraId="71772769">
      <w:pPr>
        <w:widowControl w:val="0"/>
        <w:autoSpaceDE w:val="0"/>
        <w:autoSpaceDN w:val="0"/>
        <w:snapToGrid w:val="0"/>
        <w:spacing w:before="0" w:after="0" w:line="300" w:lineRule="auto"/>
        <w:rPr>
          <w:rFonts w:ascii="Arial" w:hAnsi="Arial" w:cs="Arial"/>
          <w:color w:val="000000"/>
          <w:sz w:val="24"/>
        </w:rPr>
      </w:pPr>
    </w:p>
    <w:p w14:paraId="2BEA7CDC">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对于以下描述的每项分析性能研究，贵公司均应说明贵公司为每种分析物单独预先确定的验收标准，以及对总体结果的影响。</w:t>
      </w:r>
    </w:p>
    <w:p w14:paraId="31514AF8">
      <w:pPr>
        <w:widowControl w:val="0"/>
        <w:autoSpaceDE w:val="0"/>
        <w:autoSpaceDN w:val="0"/>
        <w:snapToGrid w:val="0"/>
        <w:spacing w:before="0" w:after="0" w:line="300" w:lineRule="auto"/>
        <w:rPr>
          <w:rFonts w:ascii="Arial" w:hAnsi="Arial" w:cs="Arial"/>
          <w:color w:val="000000"/>
          <w:sz w:val="24"/>
        </w:rPr>
      </w:pPr>
    </w:p>
    <w:p w14:paraId="19D693EB">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如果贵公司的测试使用了从其他制造商出售的单独定量试验（需要材料但未提供）中获得的值，且这些试验经食品药品监督管理局认证或审查，贵公司可能无需为这些试验单独提交除精度以外的额外性能研究，</w:t>
      </w:r>
    </w:p>
    <w:p w14:paraId="3CFD3694">
      <w:pPr>
        <w:spacing w:before="0" w:after="0"/>
        <w:jc w:val="left"/>
        <w:rPr>
          <w:rFonts w:ascii="Arial" w:hAnsi="Arial" w:cs="Arial"/>
        </w:rPr>
      </w:pPr>
      <w:r>
        <w:rPr>
          <w:rFonts w:ascii="Arial" w:hAnsi="Arial" w:cs="Arial"/>
        </w:rPr>
        <w:br w:type="page"/>
      </w:r>
    </w:p>
    <w:p w14:paraId="486D6E54">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如下文所述，前提是卵巢附件肿块评估评分测试系统基于这些测试的食品药品监督管理局审查贴标中所述性能特征确定。例如，如果贵公司的测试未整合除单独试验已声明测量间期以外的单独定量值，贵公司将无需进行额外的线性度研究。食品药品监督管理局已审查的测试（如I类豁免）应证明其作为贵公司II类器械组件的分析性能。重要的是应注意这些单独I类豁免试验在作为II类试验时不接受单独认证，也不得视为已审查其I类豁免预期用途。这些试验的分析性能研究证明，这些试验适合在卵巢附件肿块评估评分测试系统中使用的目的。</w:t>
      </w:r>
    </w:p>
    <w:p w14:paraId="4B4C905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食品药品监督管理局预期将试验认证的范围限制于经评估的具体试验试剂盒和仪器。</w:t>
      </w:r>
    </w:p>
    <w:p w14:paraId="5A9C5042">
      <w:pPr>
        <w:widowControl w:val="0"/>
        <w:autoSpaceDE w:val="0"/>
        <w:autoSpaceDN w:val="0"/>
        <w:snapToGrid w:val="0"/>
        <w:spacing w:before="0" w:after="0" w:line="300" w:lineRule="auto"/>
        <w:rPr>
          <w:rFonts w:ascii="Arial" w:hAnsi="Arial" w:cs="Arial"/>
          <w:color w:val="000000"/>
          <w:sz w:val="24"/>
        </w:rPr>
      </w:pPr>
    </w:p>
    <w:p w14:paraId="0591B03C">
      <w:pPr>
        <w:pStyle w:val="12"/>
        <w:widowControl w:val="0"/>
        <w:numPr>
          <w:ilvl w:val="0"/>
          <w:numId w:val="2"/>
        </w:numPr>
        <w:autoSpaceDE w:val="0"/>
        <w:autoSpaceDN w:val="0"/>
        <w:snapToGrid w:val="0"/>
        <w:spacing w:before="0" w:after="0" w:line="300" w:lineRule="auto"/>
        <w:ind w:firstLineChars="0"/>
        <w:outlineLvl w:val="1"/>
        <w:rPr>
          <w:rFonts w:ascii="Arial" w:hAnsi="Arial" w:cs="Arial"/>
          <w:color w:val="000000"/>
          <w:sz w:val="24"/>
          <w:u w:val="single"/>
        </w:rPr>
      </w:pPr>
      <w:bookmarkStart w:id="12" w:name="_Toc479613605"/>
      <w:r>
        <w:rPr>
          <w:rFonts w:ascii="Arial" w:hAnsi="Arial" w:cs="Arial"/>
          <w:color w:val="000000"/>
          <w:sz w:val="24"/>
          <w:u w:val="single"/>
        </w:rPr>
        <w:t>标本</w:t>
      </w:r>
      <w:bookmarkEnd w:id="12"/>
    </w:p>
    <w:p w14:paraId="6791F476">
      <w:pPr>
        <w:pStyle w:val="12"/>
        <w:widowControl w:val="0"/>
        <w:autoSpaceDE w:val="0"/>
        <w:autoSpaceDN w:val="0"/>
        <w:snapToGrid w:val="0"/>
        <w:spacing w:before="0" w:after="0" w:line="300" w:lineRule="auto"/>
        <w:ind w:left="465" w:firstLine="0" w:firstLineChars="0"/>
        <w:rPr>
          <w:rFonts w:ascii="Arial" w:hAnsi="Arial" w:cs="Arial"/>
          <w:color w:val="000000"/>
          <w:sz w:val="24"/>
          <w:u w:val="single"/>
        </w:rPr>
      </w:pPr>
    </w:p>
    <w:p w14:paraId="6EA36026">
      <w:pPr>
        <w:widowControl w:val="0"/>
        <w:autoSpaceDE w:val="0"/>
        <w:autoSpaceDN w:val="0"/>
        <w:snapToGrid w:val="0"/>
        <w:spacing w:before="0" w:after="0" w:line="300" w:lineRule="auto"/>
        <w:rPr>
          <w:rFonts w:ascii="Arial" w:hAnsi="Arial" w:cs="Arial"/>
          <w:color w:val="000000"/>
          <w:sz w:val="24"/>
        </w:rPr>
      </w:pPr>
      <w:r>
        <w:rPr>
          <w:rFonts w:ascii="Arial" w:hAnsi="Arial" w:cs="Arial"/>
          <w:i/>
          <w:color w:val="000000"/>
          <w:sz w:val="24"/>
        </w:rPr>
        <w:t>分析前因素：</w:t>
      </w:r>
      <w:r>
        <w:rPr>
          <w:rFonts w:ascii="Arial" w:hAnsi="Arial" w:cs="Arial"/>
          <w:color w:val="000000"/>
          <w:sz w:val="24"/>
        </w:rPr>
        <w:t>如果贵公司的测试包含新型分析物（如，此前从未在体外实验室测试中涉及的分析物），贵公司应指明是否需要血液采集（如，采血期间患者的姿势）和血液采集管处理的具体说明（由于分析物的性质不稳定）。</w:t>
      </w:r>
    </w:p>
    <w:p w14:paraId="1E151D29">
      <w:pPr>
        <w:widowControl w:val="0"/>
        <w:autoSpaceDE w:val="0"/>
        <w:autoSpaceDN w:val="0"/>
        <w:snapToGrid w:val="0"/>
        <w:spacing w:before="0" w:after="0" w:line="300" w:lineRule="auto"/>
        <w:rPr>
          <w:rFonts w:ascii="Arial" w:hAnsi="Arial" w:cs="Arial"/>
          <w:color w:val="000000"/>
          <w:sz w:val="24"/>
        </w:rPr>
      </w:pPr>
      <w:r>
        <w:rPr>
          <w:rFonts w:ascii="Arial" w:hAnsi="Arial" w:cs="Arial"/>
          <w:i/>
          <w:color w:val="000000"/>
          <w:sz w:val="24"/>
        </w:rPr>
        <w:t>稳定性：</w:t>
      </w:r>
      <w:r>
        <w:rPr>
          <w:rFonts w:ascii="Arial" w:hAnsi="Arial" w:cs="Arial"/>
          <w:color w:val="000000"/>
          <w:sz w:val="24"/>
        </w:rPr>
        <w:t>贵公司应证明贵公司测试中所用这些参数极端值（如，温度、冷冻时间、冻融和运输）之间的标本稳定性。贵公司应描述贵公司如何为每种分析物选择验收标准。贵公司试验的标本稳定性要求限制于贵公司评分试验系统中稳定性最低的分析物。</w:t>
      </w:r>
    </w:p>
    <w:p w14:paraId="7ABF5835">
      <w:pPr>
        <w:widowControl w:val="0"/>
        <w:autoSpaceDE w:val="0"/>
        <w:autoSpaceDN w:val="0"/>
        <w:snapToGrid w:val="0"/>
        <w:spacing w:before="0" w:after="0" w:line="300" w:lineRule="auto"/>
        <w:rPr>
          <w:rFonts w:ascii="Arial" w:hAnsi="Arial" w:cs="Arial"/>
          <w:color w:val="000000"/>
          <w:sz w:val="24"/>
        </w:rPr>
      </w:pPr>
    </w:p>
    <w:p w14:paraId="0E69968F">
      <w:pPr>
        <w:widowControl w:val="0"/>
        <w:autoSpaceDE w:val="0"/>
        <w:autoSpaceDN w:val="0"/>
        <w:snapToGrid w:val="0"/>
        <w:spacing w:before="0" w:after="0" w:line="300" w:lineRule="auto"/>
        <w:outlineLvl w:val="1"/>
        <w:rPr>
          <w:rFonts w:ascii="Arial" w:hAnsi="Arial" w:cs="Arial"/>
          <w:color w:val="000000"/>
          <w:sz w:val="24"/>
          <w:u w:val="single"/>
        </w:rPr>
      </w:pPr>
      <w:bookmarkStart w:id="13" w:name="_Toc479613606"/>
      <w:r>
        <w:rPr>
          <w:rFonts w:ascii="Arial" w:hAnsi="Arial" w:cs="Arial"/>
          <w:color w:val="000000"/>
          <w:sz w:val="24"/>
        </w:rPr>
        <w:t>B.</w:t>
      </w:r>
      <w:r>
        <w:rPr>
          <w:rFonts w:ascii="Arial" w:hAnsi="Arial" w:cs="Arial"/>
        </w:rPr>
        <w:t xml:space="preserve"> </w:t>
      </w:r>
      <w:r>
        <w:rPr>
          <w:rFonts w:ascii="Arial" w:hAnsi="Arial" w:cs="Arial"/>
          <w:color w:val="000000"/>
          <w:sz w:val="24"/>
          <w:u w:val="single"/>
        </w:rPr>
        <w:t>可重复性/再现性</w:t>
      </w:r>
      <w:bookmarkEnd w:id="13"/>
    </w:p>
    <w:p w14:paraId="3F564519">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贵公司应根据可变性对测试评分的整体可接受影响，提供一份贵公司如何测试和确定单独分析物可接受可变性的描述。</w:t>
      </w:r>
    </w:p>
    <w:p w14:paraId="688E38A8">
      <w:pPr>
        <w:widowControl w:val="0"/>
        <w:autoSpaceDE w:val="0"/>
        <w:autoSpaceDN w:val="0"/>
        <w:snapToGrid w:val="0"/>
        <w:spacing w:before="0" w:after="0" w:line="300" w:lineRule="auto"/>
        <w:rPr>
          <w:rFonts w:ascii="Arial" w:hAnsi="Arial" w:cs="Arial"/>
          <w:color w:val="000000"/>
          <w:sz w:val="24"/>
        </w:rPr>
      </w:pPr>
    </w:p>
    <w:p w14:paraId="309C94F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 xml:space="preserve">我们推荐贵公司根据扩大评分测试结果范围的样本提供一份贵公司评分测试系统的精密度评估以及样本。CLSI文件EP5-A2 </w:t>
      </w:r>
      <w:r>
        <w:rPr>
          <w:rFonts w:ascii="Arial" w:hAnsi="Arial" w:cs="Arial"/>
          <w:color w:val="000000"/>
          <w:sz w:val="24"/>
          <w:cs/>
        </w:rPr>
        <w:t>“</w:t>
      </w:r>
      <w:r>
        <w:rPr>
          <w:rFonts w:ascii="Arial" w:hAnsi="Arial" w:cs="Arial"/>
          <w:color w:val="000000"/>
          <w:sz w:val="24"/>
        </w:rPr>
        <w:t>定量测量方法的精密度性能评估；已批准指南</w:t>
      </w:r>
      <w:r>
        <w:rPr>
          <w:rFonts w:ascii="Arial" w:hAnsi="Arial" w:cs="Arial"/>
          <w:color w:val="000000"/>
          <w:sz w:val="24"/>
          <w:cs/>
        </w:rPr>
        <w:t>”</w:t>
      </w:r>
      <w:r>
        <w:rPr>
          <w:rFonts w:ascii="Arial" w:hAnsi="Arial" w:cs="Arial"/>
          <w:color w:val="000000"/>
          <w:sz w:val="24"/>
        </w:rPr>
        <w:t>和EP12-A2</w:t>
      </w:r>
      <w:r>
        <w:rPr>
          <w:rFonts w:ascii="Arial" w:hAnsi="Arial" w:cs="Arial"/>
          <w:color w:val="000000"/>
          <w:sz w:val="24"/>
          <w:cs/>
        </w:rPr>
        <w:t>“</w:t>
      </w:r>
      <w:r>
        <w:rPr>
          <w:rFonts w:ascii="Arial" w:hAnsi="Arial" w:cs="Arial"/>
          <w:color w:val="000000"/>
          <w:sz w:val="24"/>
        </w:rPr>
        <w:t>定性测试性能评估的用户方案；已批准指南</w:t>
      </w:r>
      <w:r>
        <w:rPr>
          <w:rFonts w:ascii="Arial" w:hAnsi="Arial" w:cs="Arial"/>
          <w:color w:val="000000"/>
          <w:sz w:val="24"/>
          <w:cs/>
        </w:rPr>
        <w:t>”</w:t>
      </w:r>
      <w:r>
        <w:rPr>
          <w:rFonts w:ascii="Arial" w:hAnsi="Arial" w:cs="Arial"/>
          <w:color w:val="000000"/>
          <w:sz w:val="24"/>
        </w:rPr>
        <w:t>包含的指南可能有助于开发精密度研究中数据的设计和计算。</w:t>
      </w:r>
    </w:p>
    <w:p w14:paraId="18EC6077">
      <w:pPr>
        <w:widowControl w:val="0"/>
        <w:autoSpaceDE w:val="0"/>
        <w:autoSpaceDN w:val="0"/>
        <w:snapToGrid w:val="0"/>
        <w:spacing w:before="0" w:after="0" w:line="300" w:lineRule="auto"/>
        <w:rPr>
          <w:rFonts w:ascii="Arial" w:hAnsi="Arial" w:cs="Arial"/>
          <w:color w:val="000000"/>
          <w:sz w:val="24"/>
        </w:rPr>
      </w:pPr>
    </w:p>
    <w:p w14:paraId="07A70B2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精密度研究中的样本应扩大评分数值的范围；贵公司应纳入一些由于与分析物的不同结合导致评分值接近评分测试临界点的样本（3-5个样本）。</w:t>
      </w:r>
    </w:p>
    <w:p w14:paraId="16636C1D">
      <w:pPr>
        <w:spacing w:before="0" w:after="0"/>
        <w:jc w:val="left"/>
        <w:rPr>
          <w:rFonts w:ascii="Arial" w:hAnsi="Arial" w:cs="Arial"/>
        </w:rPr>
      </w:pPr>
      <w:r>
        <w:rPr>
          <w:rFonts w:ascii="Arial" w:hAnsi="Arial" w:cs="Arial"/>
        </w:rPr>
        <w:br w:type="page"/>
      </w:r>
    </w:p>
    <w:p w14:paraId="230BA9A9">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理想情况下，贵公司应识别评分试验可变性的所有来源，并在精度研究中将其纳入。贵公司应提供一份3个实验室中贵公司评分测试的精确度证明，并提供一份可重复性（运行内精确度）、运行之间、不同日之间、操作者之间和研究中心之间组分不精确度的评估。还需纳入一份研究中评估的天数、操作者数、试验、仪器、批次和校准周期的详细描述。</w:t>
      </w:r>
    </w:p>
    <w:p w14:paraId="59701853">
      <w:pPr>
        <w:widowControl w:val="0"/>
        <w:autoSpaceDE w:val="0"/>
        <w:autoSpaceDN w:val="0"/>
        <w:snapToGrid w:val="0"/>
        <w:spacing w:before="0" w:after="0" w:line="300" w:lineRule="auto"/>
        <w:rPr>
          <w:rFonts w:ascii="Arial" w:hAnsi="Arial" w:cs="Arial"/>
          <w:color w:val="000000"/>
          <w:sz w:val="24"/>
        </w:rPr>
      </w:pPr>
    </w:p>
    <w:p w14:paraId="2BF8DCFA">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提供验收标准，并使用跨度测试评分结果范围的样本证明测试评分的精确度。贵公司也应纳入每种分析物的精密度研究数据，以证明每种分析物的精密度均符合预定义的验收标准。贵公司应指明贵公司如何得出结论称容许的分析物不精密度不会减弱所报告指数值的准确性。贵公司还应使用3个不同测试批次提供一份批次对批次精确度的评估。这包括组成贵公司试验系统的每种单独测定、校准器和对照的多个批次。</w:t>
      </w:r>
    </w:p>
    <w:p w14:paraId="04881626">
      <w:pPr>
        <w:widowControl w:val="0"/>
        <w:autoSpaceDE w:val="0"/>
        <w:autoSpaceDN w:val="0"/>
        <w:snapToGrid w:val="0"/>
        <w:spacing w:before="0" w:after="0" w:line="300" w:lineRule="auto"/>
        <w:rPr>
          <w:rFonts w:ascii="Arial" w:hAnsi="Arial" w:cs="Arial"/>
          <w:color w:val="000000"/>
          <w:sz w:val="24"/>
        </w:rPr>
      </w:pPr>
    </w:p>
    <w:p w14:paraId="4B904D6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除了上述对测试评分系统的精密度研究，贵公司还应根据每种单独分析物的精密度特征，提交一份测试评分系统精密度的可能结果模拟。对于在上述精密度研究样本中所展示的分析物，通常的精密度研究会提供关于一些特定单独分析物用量组合的精密度。然而，有很多单独分析物用量的可能组合可给出相同的测试评分值，但精密度不同。承认不可能评估出所有可能分析物组合的精密度，其他模拟可提供关于测试评分系统可能精密度特征的单独分析物值不同组合的信息。如果模拟预测到在临床决策点有不可接受的精确度水平，评估反映该特定情景下的人为样本可能很重要。</w:t>
      </w:r>
    </w:p>
    <w:p w14:paraId="47710066">
      <w:pPr>
        <w:widowControl w:val="0"/>
        <w:autoSpaceDE w:val="0"/>
        <w:autoSpaceDN w:val="0"/>
        <w:snapToGrid w:val="0"/>
        <w:spacing w:before="0" w:after="0" w:line="300" w:lineRule="auto"/>
        <w:rPr>
          <w:rFonts w:ascii="Arial" w:hAnsi="Arial" w:cs="Arial"/>
          <w:color w:val="000000"/>
          <w:sz w:val="24"/>
        </w:rPr>
      </w:pPr>
    </w:p>
    <w:p w14:paraId="2E676A2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在此展示了一种贵公司可能选择使用的此类模拟方法范例。应使用此前进行的精密度研究中的精密度数据（对于经认证/经批准的分析物和提供用于新型分析物的数据）构建每种单独分析物的精密度特征。应使用来自实际样本的可重复性和实验室内精密度研究的已知精密度数据，通过进行线性插入，构建单独分析物的可重复性精密度特征以及实验室内精密度的精密度特征。多于单独分析物值的每个可能组合，均应评估对应于本分析物值组合的评分值，以及基于相应精密度特征的评分可重复性可实验室内精密度。由于评分基于样本中单独分析物的分别测量，每种分析物的随机测量误差可视为不相关。</w:t>
      </w:r>
      <w:r>
        <w:rPr>
          <w:rFonts w:ascii="Arial" w:hAnsi="Arial" w:cs="Arial"/>
        </w:rPr>
        <w:t>额外统计模拟的基本步骤如下</w:t>
      </w:r>
      <w:r>
        <w:rPr>
          <w:rFonts w:ascii="Arial" w:hAnsi="Arial" w:cs="Arial"/>
          <w:color w:val="000000"/>
          <w:sz w:val="24"/>
        </w:rPr>
        <w:t>（为简单起见，考虑2种单独分析物X</w:t>
      </w:r>
      <w:r>
        <w:rPr>
          <w:rFonts w:ascii="Arial" w:hAnsi="Arial" w:cs="Arial"/>
          <w:color w:val="000000"/>
          <w:sz w:val="16"/>
        </w:rPr>
        <w:t>1和</w:t>
      </w:r>
      <w:r>
        <w:rPr>
          <w:rFonts w:ascii="Arial" w:hAnsi="Arial" w:cs="Arial"/>
          <w:color w:val="000000"/>
          <w:sz w:val="24"/>
        </w:rPr>
        <w:t>X</w:t>
      </w:r>
      <w:r>
        <w:rPr>
          <w:rFonts w:ascii="Arial" w:hAnsi="Arial" w:cs="Arial"/>
          <w:color w:val="000000"/>
          <w:sz w:val="16"/>
        </w:rPr>
        <w:t>2</w:t>
      </w:r>
      <w:r>
        <w:rPr>
          <w:rFonts w:ascii="Arial" w:hAnsi="Arial" w:cs="Arial"/>
          <w:color w:val="000000"/>
          <w:sz w:val="24"/>
        </w:rPr>
        <w:t>，评分= F（X</w:t>
      </w:r>
      <w:r>
        <w:rPr>
          <w:rFonts w:ascii="Arial" w:hAnsi="Arial" w:cs="Arial"/>
          <w:color w:val="000000"/>
          <w:sz w:val="16"/>
        </w:rPr>
        <w:t>1</w:t>
      </w:r>
      <w:r>
        <w:rPr>
          <w:rFonts w:ascii="Arial" w:hAnsi="Arial" w:cs="Arial"/>
          <w:color w:val="000000"/>
          <w:sz w:val="24"/>
        </w:rPr>
        <w:t>，X</w:t>
      </w:r>
      <w:r>
        <w:rPr>
          <w:rFonts w:ascii="Arial" w:hAnsi="Arial" w:cs="Arial"/>
          <w:color w:val="000000"/>
          <w:sz w:val="16"/>
        </w:rPr>
        <w:t>2</w:t>
      </w:r>
      <w:r>
        <w:rPr>
          <w:rFonts w:ascii="Arial" w:hAnsi="Arial" w:cs="Arial"/>
          <w:color w:val="000000"/>
          <w:sz w:val="24"/>
        </w:rPr>
        <w:t>）以及可重复性精确度数据）：</w:t>
      </w:r>
    </w:p>
    <w:p w14:paraId="52A459E5">
      <w:pPr>
        <w:widowControl w:val="0"/>
        <w:autoSpaceDE w:val="0"/>
        <w:autoSpaceDN w:val="0"/>
        <w:snapToGrid w:val="0"/>
        <w:spacing w:before="0" w:after="0" w:line="300" w:lineRule="auto"/>
        <w:rPr>
          <w:rFonts w:ascii="Arial" w:hAnsi="Arial" w:cs="Arial"/>
          <w:color w:val="000000"/>
          <w:sz w:val="24"/>
        </w:rPr>
      </w:pPr>
    </w:p>
    <w:p w14:paraId="7E786FD4">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1）  提供既往所进行精密度研究中的可重复性精密度数据（平均值、标准差（SD）和百分变异系数（%CV））。</w:t>
      </w:r>
    </w:p>
    <w:p w14:paraId="2E23F6E2">
      <w:pPr>
        <w:widowControl w:val="0"/>
        <w:autoSpaceDE w:val="0"/>
        <w:autoSpaceDN w:val="0"/>
        <w:snapToGrid w:val="0"/>
        <w:spacing w:before="0" w:after="0" w:line="300" w:lineRule="auto"/>
        <w:rPr>
          <w:rFonts w:ascii="Arial" w:hAnsi="Arial" w:cs="Arial"/>
          <w:color w:val="000000"/>
          <w:sz w:val="24"/>
        </w:rPr>
      </w:pPr>
    </w:p>
    <w:p w14:paraId="5FF06B1C">
      <w:pPr>
        <w:spacing w:before="0" w:after="0"/>
        <w:jc w:val="left"/>
        <w:rPr>
          <w:rFonts w:ascii="Arial" w:hAnsi="Arial" w:cs="Arial"/>
        </w:rPr>
      </w:pPr>
      <w:r>
        <w:rPr>
          <w:rFonts w:ascii="Arial" w:hAnsi="Arial" w:cs="Arial"/>
        </w:rPr>
        <w:br w:type="page"/>
      </w:r>
    </w:p>
    <w:p w14:paraId="1B0429F1">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2）  考虑2种分析物的组合，值为X</w:t>
      </w:r>
      <w:r>
        <w:rPr>
          <w:rFonts w:ascii="Arial" w:hAnsi="Arial" w:cs="Arial"/>
          <w:color w:val="000000"/>
          <w:sz w:val="16"/>
        </w:rPr>
        <w:t>1</w:t>
      </w:r>
      <w:r>
        <w:rPr>
          <w:rFonts w:ascii="Arial" w:hAnsi="Arial" w:cs="Arial"/>
          <w:color w:val="000000"/>
          <w:sz w:val="24"/>
        </w:rPr>
        <w:t>=U和X</w:t>
      </w:r>
      <w:r>
        <w:rPr>
          <w:rFonts w:ascii="Arial" w:hAnsi="Arial" w:cs="Arial"/>
          <w:color w:val="000000"/>
          <w:sz w:val="16"/>
        </w:rPr>
        <w:t>2</w:t>
      </w:r>
      <w:r>
        <w:rPr>
          <w:rFonts w:ascii="Arial" w:hAnsi="Arial" w:cs="Arial"/>
          <w:color w:val="000000"/>
          <w:sz w:val="24"/>
        </w:rPr>
        <w:t xml:space="preserve">=V。使用可重复性精密度特征，获取X1=U的SD1（U）和X2=V的SD2（V）。 </w:t>
      </w:r>
    </w:p>
    <w:p w14:paraId="31744564">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3）  使用U的平均值和标准差SD1（U）的正态分布生成X1*，使用V的平均值和标准差SD2（V）的正态分布生成X2*。计算评分*=F（X</w:t>
      </w:r>
      <w:r>
        <w:rPr>
          <w:rFonts w:ascii="Arial" w:hAnsi="Arial" w:cs="Arial"/>
          <w:color w:val="000000"/>
          <w:sz w:val="16"/>
        </w:rPr>
        <w:t>1</w:t>
      </w:r>
      <w:r>
        <w:rPr>
          <w:rFonts w:ascii="Arial" w:hAnsi="Arial" w:cs="Arial"/>
          <w:color w:val="000000"/>
          <w:sz w:val="24"/>
        </w:rPr>
        <w:t>*，X</w:t>
      </w:r>
      <w:r>
        <w:rPr>
          <w:rFonts w:ascii="Arial" w:hAnsi="Arial" w:cs="Arial"/>
          <w:color w:val="000000"/>
          <w:sz w:val="16"/>
        </w:rPr>
        <w:t>2</w:t>
      </w:r>
      <w:r>
        <w:rPr>
          <w:rFonts w:ascii="Arial" w:hAnsi="Arial" w:cs="Arial"/>
          <w:color w:val="000000"/>
          <w:sz w:val="24"/>
        </w:rPr>
        <w:t>*）。</w:t>
      </w:r>
      <w:r>
        <w:rPr>
          <w:rFonts w:ascii="Arial" w:hAnsi="Arial" w:cs="Arial"/>
        </w:rPr>
        <w:t>执行本步骤K次（例如，100）后，计算K测量值的评分平均值Score*mean（评分*平均值）（对应于X1=U和X2=V的评分平均值），以及K评分测量值的</w:t>
      </w:r>
      <w:r>
        <w:rPr>
          <w:rFonts w:ascii="Arial" w:hAnsi="Arial" w:cs="Arial"/>
          <w:color w:val="000000"/>
          <w:sz w:val="24"/>
        </w:rPr>
        <w:t>标准差SD和%CV。</w:t>
      </w:r>
    </w:p>
    <w:p w14:paraId="36CF7BD2">
      <w:pPr>
        <w:widowControl w:val="0"/>
        <w:autoSpaceDE w:val="0"/>
        <w:autoSpaceDN w:val="0"/>
        <w:snapToGrid w:val="0"/>
        <w:spacing w:before="0" w:after="0" w:line="300" w:lineRule="auto"/>
        <w:rPr>
          <w:rFonts w:ascii="Arial" w:hAnsi="Arial" w:cs="Arial"/>
        </w:rPr>
      </w:pPr>
      <w:r>
        <w:rPr>
          <w:rFonts w:ascii="Arial" w:hAnsi="Arial" w:cs="Arial"/>
          <w:color w:val="000000"/>
          <w:sz w:val="24"/>
        </w:rPr>
        <w:t>4）  提供评分的可重复性精密度特征：来自所有可能U和V组合且精密度特征可用的既往步骤中的平均评分值Score*</w:t>
      </w:r>
      <w:r>
        <w:rPr>
          <w:rFonts w:ascii="Arial" w:hAnsi="Arial" w:cs="Arial"/>
          <w:color w:val="000000"/>
          <w:sz w:val="16"/>
        </w:rPr>
        <w:t>mean</w:t>
      </w:r>
      <w:r>
        <w:rPr>
          <w:rFonts w:ascii="Arial" w:hAnsi="Arial" w:cs="Arial"/>
          <w:color w:val="000000"/>
          <w:sz w:val="24"/>
        </w:rPr>
        <w:t>和SD及%CV。</w:t>
      </w:r>
      <w:r>
        <w:rPr>
          <w:rFonts w:ascii="Arial" w:hAnsi="Arial" w:cs="Arial"/>
        </w:rPr>
        <w:t>可重复性精密度特征应以表格形式（EXCEL）提供，并以图表表示（X轴为平均值Score*mean，Y轴为对应的%CV）。</w:t>
      </w:r>
    </w:p>
    <w:p w14:paraId="112FAEDF">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使用单独分析物的实验室内精密度特征，对实验室内精密度特征进行相似的统计学m模拟，获得Score（评分）。</w:t>
      </w:r>
    </w:p>
    <w:p w14:paraId="37769AA8">
      <w:pPr>
        <w:widowControl w:val="0"/>
        <w:autoSpaceDE w:val="0"/>
        <w:autoSpaceDN w:val="0"/>
        <w:snapToGrid w:val="0"/>
        <w:spacing w:before="0" w:after="0" w:line="300" w:lineRule="auto"/>
        <w:rPr>
          <w:rFonts w:ascii="Arial" w:hAnsi="Arial" w:cs="Arial"/>
          <w:color w:val="000000"/>
          <w:sz w:val="24"/>
        </w:rPr>
      </w:pPr>
    </w:p>
    <w:p w14:paraId="1B55201F">
      <w:pPr>
        <w:widowControl w:val="0"/>
        <w:autoSpaceDE w:val="0"/>
        <w:autoSpaceDN w:val="0"/>
        <w:snapToGrid w:val="0"/>
        <w:spacing w:before="0" w:after="0" w:line="300" w:lineRule="auto"/>
        <w:outlineLvl w:val="1"/>
        <w:rPr>
          <w:rFonts w:ascii="Arial" w:hAnsi="Arial" w:cs="Arial"/>
          <w:color w:val="000000"/>
          <w:sz w:val="24"/>
          <w:u w:val="single"/>
        </w:rPr>
      </w:pPr>
      <w:bookmarkStart w:id="14" w:name="_Toc479613607"/>
      <w:r>
        <w:rPr>
          <w:rFonts w:ascii="Arial" w:hAnsi="Arial" w:cs="Arial"/>
          <w:color w:val="000000"/>
          <w:sz w:val="24"/>
        </w:rPr>
        <w:t>C.</w:t>
      </w:r>
      <w:r>
        <w:rPr>
          <w:rFonts w:ascii="Arial" w:hAnsi="Arial" w:cs="Arial"/>
        </w:rPr>
        <w:t xml:space="preserve"> </w:t>
      </w:r>
      <w:r>
        <w:rPr>
          <w:rFonts w:ascii="Arial" w:hAnsi="Arial" w:cs="Arial"/>
          <w:color w:val="000000"/>
          <w:sz w:val="24"/>
          <w:u w:val="single"/>
        </w:rPr>
        <w:t>单独分析物的线性度</w:t>
      </w:r>
      <w:bookmarkEnd w:id="14"/>
    </w:p>
    <w:p w14:paraId="06C44F35">
      <w:pPr>
        <w:widowControl w:val="0"/>
        <w:autoSpaceDE w:val="0"/>
        <w:autoSpaceDN w:val="0"/>
        <w:snapToGrid w:val="0"/>
        <w:spacing w:before="0" w:after="0" w:line="300" w:lineRule="auto"/>
        <w:rPr>
          <w:rFonts w:ascii="Arial" w:hAnsi="Arial" w:cs="Arial"/>
          <w:color w:val="000000"/>
          <w:sz w:val="24"/>
        </w:rPr>
      </w:pPr>
    </w:p>
    <w:p w14:paraId="622D73C8">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 xml:space="preserve">每种单独分析物的线性度证明基于整合进算法中的测量范围确定。对于使用单独免疫分析的测试评分系统、延伸至超过已认证/已批准分析物测试范围的测量范围要求，贵公司应提供一份新的线性度证明。未认证/未批准测试分析物也应证明线性度。贵公司应指明，如果贵公司的患者人群中获得的值很可能落于单独分析试验的声明测量范围以下，贵公司如何控制超出范围的结果对贵公司评分的影响。我们推荐贵公司参考CLSI文件EP6-A </w:t>
      </w:r>
      <w:r>
        <w:rPr>
          <w:rFonts w:ascii="Arial" w:hAnsi="Arial" w:cs="Arial"/>
          <w:color w:val="000000"/>
          <w:sz w:val="24"/>
          <w:cs/>
        </w:rPr>
        <w:t>“</w:t>
      </w:r>
      <w:r>
        <w:rPr>
          <w:rFonts w:ascii="Arial" w:hAnsi="Arial" w:cs="Arial"/>
          <w:color w:val="000000"/>
          <w:sz w:val="24"/>
        </w:rPr>
        <w:t>定量测量程序的线性度评估：一种统计方法；已批准指南</w:t>
      </w:r>
      <w:r>
        <w:rPr>
          <w:rFonts w:ascii="Arial" w:hAnsi="Arial" w:cs="Arial"/>
          <w:color w:val="000000"/>
          <w:sz w:val="24"/>
          <w:cs/>
        </w:rPr>
        <w:t>”</w:t>
      </w:r>
      <w:r>
        <w:rPr>
          <w:rFonts w:ascii="Arial" w:hAnsi="Arial" w:cs="Arial"/>
          <w:color w:val="000000"/>
          <w:sz w:val="24"/>
        </w:rPr>
        <w:t>，以获取关于进行单独分析物线性度研究的更多信息。</w:t>
      </w:r>
    </w:p>
    <w:p w14:paraId="7B2C89B2">
      <w:pPr>
        <w:widowControl w:val="0"/>
        <w:autoSpaceDE w:val="0"/>
        <w:autoSpaceDN w:val="0"/>
        <w:snapToGrid w:val="0"/>
        <w:spacing w:before="0" w:after="0" w:line="300" w:lineRule="auto"/>
        <w:rPr>
          <w:rFonts w:ascii="Arial" w:hAnsi="Arial" w:cs="Arial"/>
          <w:b/>
          <w:i/>
          <w:color w:val="000000"/>
          <w:sz w:val="24"/>
        </w:rPr>
      </w:pPr>
      <w:r>
        <w:rPr>
          <w:rFonts w:ascii="Arial" w:hAnsi="Arial" w:cs="Arial"/>
          <w:b/>
          <w:i/>
          <w:color w:val="000000"/>
          <w:sz w:val="24"/>
        </w:rPr>
        <w:t>评分值范围</w:t>
      </w:r>
    </w:p>
    <w:p w14:paraId="270123B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根据单独分析物的测量范围，提供关于测试评分系统数值评分值的信息。如果，除提供基于临界点定性测试评分结果外，贵公司还计划报告测试评分的数值，数据应证明测试评分系统的高数值与恶性肿瘤可能性的逐步升高或逐步降低相关。</w:t>
      </w:r>
    </w:p>
    <w:p w14:paraId="64D8D155">
      <w:pPr>
        <w:widowControl w:val="0"/>
        <w:autoSpaceDE w:val="0"/>
        <w:autoSpaceDN w:val="0"/>
        <w:snapToGrid w:val="0"/>
        <w:spacing w:before="0" w:after="0" w:line="300" w:lineRule="auto"/>
        <w:outlineLvl w:val="1"/>
        <w:rPr>
          <w:rFonts w:ascii="Arial" w:hAnsi="Arial" w:cs="Arial"/>
          <w:color w:val="000000"/>
          <w:sz w:val="24"/>
          <w:u w:val="single"/>
        </w:rPr>
      </w:pPr>
      <w:bookmarkStart w:id="15" w:name="_Toc479613608"/>
      <w:r>
        <w:rPr>
          <w:rFonts w:ascii="Arial" w:hAnsi="Arial" w:cs="Arial"/>
          <w:color w:val="000000"/>
          <w:sz w:val="24"/>
        </w:rPr>
        <w:t>D.</w:t>
      </w:r>
      <w:r>
        <w:rPr>
          <w:rFonts w:ascii="Arial" w:hAnsi="Arial" w:cs="Arial"/>
        </w:rPr>
        <w:t xml:space="preserve"> </w:t>
      </w:r>
      <w:r>
        <w:rPr>
          <w:rFonts w:ascii="Arial" w:hAnsi="Arial" w:cs="Arial"/>
          <w:color w:val="000000"/>
          <w:sz w:val="24"/>
          <w:u w:val="single"/>
        </w:rPr>
        <w:t>低水平时的性能</w:t>
      </w:r>
      <w:bookmarkEnd w:id="15"/>
    </w:p>
    <w:p w14:paraId="347E8934">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贵公司应证明任何未认证/未批准分析物测试的</w:t>
      </w:r>
      <w:r>
        <w:rPr>
          <w:rFonts w:ascii="Arial" w:hAnsi="Arial" w:cs="Arial"/>
          <w:color w:val="000000"/>
          <w:sz w:val="24"/>
          <w:lang w:val="en-US"/>
        </w:rPr>
        <w:t>检测</w:t>
      </w:r>
      <w:r>
        <w:rPr>
          <w:rFonts w:ascii="Arial" w:hAnsi="Arial" w:cs="Arial"/>
          <w:color w:val="000000"/>
          <w:sz w:val="24"/>
        </w:rPr>
        <w:t>限和定量限，以及可增加已认证/已批准分析物测试下端测量范围的任何变化的测试限和定量限。贵公司应解释如何将与</w:t>
      </w:r>
      <w:r>
        <w:rPr>
          <w:rFonts w:ascii="Arial" w:hAnsi="Arial" w:cs="Arial"/>
          <w:color w:val="000000"/>
          <w:sz w:val="24"/>
          <w:lang w:val="en-US"/>
        </w:rPr>
        <w:t>检测</w:t>
      </w:r>
      <w:r>
        <w:rPr>
          <w:rFonts w:ascii="Arial" w:hAnsi="Arial" w:cs="Arial"/>
          <w:color w:val="000000"/>
          <w:sz w:val="24"/>
        </w:rPr>
        <w:t>限和/或定量限相关的低水平值整合进算法中，</w:t>
      </w:r>
    </w:p>
    <w:p w14:paraId="14852924">
      <w:pPr>
        <w:widowControl w:val="0"/>
        <w:autoSpaceDE w:val="0"/>
        <w:autoSpaceDN w:val="0"/>
        <w:snapToGrid w:val="0"/>
        <w:spacing w:before="0" w:after="0" w:line="300" w:lineRule="auto"/>
        <w:rPr>
          <w:rFonts w:ascii="Arial" w:hAnsi="Arial" w:cs="Arial"/>
          <w:color w:val="000000"/>
          <w:sz w:val="24"/>
        </w:rPr>
      </w:pPr>
    </w:p>
    <w:p w14:paraId="10F9EA7D">
      <w:pPr>
        <w:spacing w:before="0" w:after="0"/>
        <w:jc w:val="left"/>
        <w:rPr>
          <w:rFonts w:ascii="Arial" w:hAnsi="Arial" w:cs="Arial"/>
        </w:rPr>
      </w:pPr>
      <w:r>
        <w:rPr>
          <w:rFonts w:ascii="Arial" w:hAnsi="Arial" w:cs="Arial"/>
        </w:rPr>
        <w:br w:type="page"/>
      </w:r>
    </w:p>
    <w:p w14:paraId="71FC6B8C">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 xml:space="preserve">从而不会输入测量间期外的结果，且不产生测试结果。我们建议贵公司参考CLSI文件EP17-A </w:t>
      </w:r>
      <w:r>
        <w:rPr>
          <w:rFonts w:ascii="Arial" w:hAnsi="Arial" w:cs="Arial"/>
          <w:color w:val="000000"/>
          <w:sz w:val="24"/>
          <w:cs/>
        </w:rPr>
        <w:t>“</w:t>
      </w:r>
      <w:r>
        <w:rPr>
          <w:rFonts w:ascii="Arial" w:hAnsi="Arial" w:cs="Arial"/>
          <w:color w:val="000000"/>
          <w:sz w:val="24"/>
          <w:lang w:val="en-US"/>
        </w:rPr>
        <w:t>检测</w:t>
      </w:r>
      <w:r>
        <w:rPr>
          <w:rFonts w:ascii="Arial" w:hAnsi="Arial" w:cs="Arial"/>
          <w:color w:val="000000"/>
          <w:sz w:val="24"/>
        </w:rPr>
        <w:t>限和定量限测定方案；已批准指南</w:t>
      </w:r>
      <w:r>
        <w:rPr>
          <w:rFonts w:ascii="Arial" w:hAnsi="Arial" w:cs="Arial"/>
          <w:color w:val="000000"/>
          <w:sz w:val="24"/>
          <w:cs/>
        </w:rPr>
        <w:t>”</w:t>
      </w:r>
      <w:r>
        <w:rPr>
          <w:rFonts w:ascii="Arial" w:hAnsi="Arial" w:cs="Arial"/>
          <w:color w:val="000000"/>
          <w:sz w:val="24"/>
        </w:rPr>
        <w:t>获取关于对每种分析物进行</w:t>
      </w:r>
      <w:r>
        <w:rPr>
          <w:rFonts w:ascii="Arial" w:hAnsi="Arial" w:cs="Arial"/>
          <w:color w:val="000000"/>
          <w:sz w:val="24"/>
          <w:lang w:val="en-US"/>
        </w:rPr>
        <w:t>检测</w:t>
      </w:r>
      <w:r>
        <w:rPr>
          <w:rFonts w:ascii="Arial" w:hAnsi="Arial" w:cs="Arial"/>
          <w:color w:val="000000"/>
          <w:sz w:val="24"/>
        </w:rPr>
        <w:t>限和定量限研究的更多信息。</w:t>
      </w:r>
    </w:p>
    <w:p w14:paraId="5FE699BF">
      <w:pPr>
        <w:widowControl w:val="0"/>
        <w:autoSpaceDE w:val="0"/>
        <w:autoSpaceDN w:val="0"/>
        <w:snapToGrid w:val="0"/>
        <w:spacing w:before="0" w:after="0" w:line="300" w:lineRule="auto"/>
        <w:rPr>
          <w:rFonts w:ascii="Arial" w:hAnsi="Arial" w:cs="Arial"/>
          <w:color w:val="000000"/>
          <w:sz w:val="24"/>
        </w:rPr>
      </w:pPr>
    </w:p>
    <w:p w14:paraId="302E61DA">
      <w:pPr>
        <w:widowControl w:val="0"/>
        <w:autoSpaceDE w:val="0"/>
        <w:autoSpaceDN w:val="0"/>
        <w:snapToGrid w:val="0"/>
        <w:spacing w:before="0" w:after="0" w:line="300" w:lineRule="auto"/>
        <w:outlineLvl w:val="1"/>
        <w:rPr>
          <w:rFonts w:ascii="Arial" w:hAnsi="Arial" w:cs="Arial"/>
          <w:color w:val="000000"/>
          <w:sz w:val="24"/>
          <w:u w:val="single"/>
        </w:rPr>
      </w:pPr>
      <w:bookmarkStart w:id="16" w:name="_Toc479613609"/>
      <w:r>
        <w:rPr>
          <w:rFonts w:ascii="Arial" w:hAnsi="Arial" w:cs="Arial"/>
          <w:color w:val="000000"/>
          <w:sz w:val="24"/>
        </w:rPr>
        <w:t xml:space="preserve">E. </w:t>
      </w:r>
      <w:r>
        <w:rPr>
          <w:rFonts w:ascii="Arial" w:hAnsi="Arial" w:cs="Arial"/>
          <w:color w:val="000000"/>
          <w:sz w:val="24"/>
          <w:u w:val="single"/>
        </w:rPr>
        <w:t>干扰</w:t>
      </w:r>
      <w:bookmarkEnd w:id="16"/>
    </w:p>
    <w:p w14:paraId="13EE8846">
      <w:pPr>
        <w:widowControl w:val="0"/>
        <w:autoSpaceDE w:val="0"/>
        <w:autoSpaceDN w:val="0"/>
        <w:snapToGrid w:val="0"/>
        <w:spacing w:before="0" w:after="0" w:line="300" w:lineRule="auto"/>
        <w:rPr>
          <w:rFonts w:ascii="Arial" w:hAnsi="Arial" w:cs="Arial"/>
          <w:color w:val="000000"/>
          <w:sz w:val="24"/>
          <w:u w:val="single"/>
        </w:rPr>
      </w:pPr>
    </w:p>
    <w:p w14:paraId="1456629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干扰贵公司测试中任何分析物的物质很可能会干扰测试结果。贵公司应指明（最好以表格形式说明所评估的浓度）是否有任何分析物会受到血红蛋白、胆红素（结合和非结合）、甘油三酯、总蛋白、嗜异性抗体（HAMA）以及类风湿因子的干扰。对于上述干扰物，贵公司应通过比较有干扰物样本和相同的无干扰物样本对总体指数的影响，以及95%置信区间，证明试验结果的百分差异。报告本分析中每种分析物的百分差异也会有帮助。理想情况下，所评估的分析物浓度应接近测试评分系统的临床决策点。</w:t>
      </w:r>
    </w:p>
    <w:p w14:paraId="2ECBB31A">
      <w:pPr>
        <w:widowControl w:val="0"/>
        <w:autoSpaceDE w:val="0"/>
        <w:autoSpaceDN w:val="0"/>
        <w:snapToGrid w:val="0"/>
        <w:spacing w:before="0" w:after="0" w:line="300" w:lineRule="auto"/>
        <w:rPr>
          <w:rFonts w:ascii="Arial" w:hAnsi="Arial" w:cs="Arial"/>
          <w:color w:val="000000"/>
          <w:sz w:val="24"/>
        </w:rPr>
      </w:pPr>
    </w:p>
    <w:p w14:paraId="7671D0AF">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贵公司应指明对于贵公司测试中的分析物，是否有任何已知干扰物来源出现，如有，证明该干扰物对评分的影响。</w:t>
      </w:r>
    </w:p>
    <w:p w14:paraId="5678945B">
      <w:pPr>
        <w:widowControl w:val="0"/>
        <w:autoSpaceDE w:val="0"/>
        <w:autoSpaceDN w:val="0"/>
        <w:snapToGrid w:val="0"/>
        <w:spacing w:before="0" w:after="0" w:line="300" w:lineRule="auto"/>
        <w:rPr>
          <w:rFonts w:ascii="Arial" w:hAnsi="Arial" w:cs="Arial"/>
          <w:color w:val="000000"/>
          <w:sz w:val="24"/>
        </w:rPr>
      </w:pPr>
    </w:p>
    <w:p w14:paraId="6410C8E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贵公司应证明常见药物不会干扰测试。</w:t>
      </w:r>
    </w:p>
    <w:p w14:paraId="33D2B892">
      <w:pPr>
        <w:widowControl w:val="0"/>
        <w:autoSpaceDE w:val="0"/>
        <w:autoSpaceDN w:val="0"/>
        <w:snapToGrid w:val="0"/>
        <w:spacing w:before="0" w:after="0" w:line="300" w:lineRule="auto"/>
        <w:rPr>
          <w:rFonts w:ascii="Arial" w:hAnsi="Arial" w:cs="Arial"/>
          <w:color w:val="000000"/>
          <w:sz w:val="24"/>
        </w:rPr>
      </w:pPr>
    </w:p>
    <w:p w14:paraId="69A69B4C">
      <w:pPr>
        <w:widowControl w:val="0"/>
        <w:autoSpaceDE w:val="0"/>
        <w:autoSpaceDN w:val="0"/>
        <w:snapToGrid w:val="0"/>
        <w:spacing w:before="0" w:after="0" w:line="300" w:lineRule="auto"/>
        <w:outlineLvl w:val="1"/>
        <w:rPr>
          <w:rFonts w:ascii="Arial" w:hAnsi="Arial" w:cs="Arial"/>
          <w:color w:val="000000"/>
          <w:sz w:val="24"/>
          <w:u w:val="single"/>
        </w:rPr>
      </w:pPr>
      <w:bookmarkStart w:id="17" w:name="_Toc479613610"/>
      <w:r>
        <w:rPr>
          <w:rFonts w:ascii="Arial" w:hAnsi="Arial" w:cs="Arial"/>
          <w:color w:val="000000"/>
          <w:sz w:val="24"/>
        </w:rPr>
        <w:t>F.</w:t>
      </w:r>
      <w:r>
        <w:rPr>
          <w:rFonts w:ascii="Arial" w:hAnsi="Arial" w:cs="Arial"/>
        </w:rPr>
        <w:t xml:space="preserve"> </w:t>
      </w:r>
      <w:r>
        <w:rPr>
          <w:rFonts w:ascii="Arial" w:hAnsi="Arial" w:cs="Arial"/>
          <w:color w:val="000000"/>
          <w:sz w:val="24"/>
          <w:u w:val="single"/>
        </w:rPr>
        <w:t>交叉反应/非特异性结合</w:t>
      </w:r>
      <w:bookmarkEnd w:id="17"/>
    </w:p>
    <w:p w14:paraId="54B11BA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应对已知交叉反应物及其对测试评分系统的潜在影响进行评估。测试可受一些因素影响，如抗体固定值底物导致的配体结合影响、蛋白的非特异性吸收以及矩阵中其他蛋白的影响。如果贵公司的测试为多通道免疫分析，贵公司应证明分析物之间不会出现交叉反应、非特异性结合和交叉干扰。指明贵公司的测试中是否有任何潜在的分析物交叉反应。贵公司还应提供证明：使用贵公司的抗体进行的分析物</w:t>
      </w:r>
      <w:r>
        <w:rPr>
          <w:rFonts w:ascii="Arial" w:hAnsi="Arial" w:cs="Arial"/>
          <w:color w:val="000000"/>
          <w:sz w:val="24"/>
          <w:lang w:val="en-US"/>
        </w:rPr>
        <w:t>检测</w:t>
      </w:r>
      <w:r>
        <w:rPr>
          <w:rFonts w:ascii="Arial" w:hAnsi="Arial" w:cs="Arial"/>
          <w:color w:val="000000"/>
          <w:sz w:val="24"/>
        </w:rPr>
        <w:t>为特异性。免疫印迹应可提供本证明。</w:t>
      </w:r>
    </w:p>
    <w:p w14:paraId="6F715129">
      <w:pPr>
        <w:widowControl w:val="0"/>
        <w:autoSpaceDE w:val="0"/>
        <w:autoSpaceDN w:val="0"/>
        <w:snapToGrid w:val="0"/>
        <w:spacing w:before="0" w:after="0" w:line="300" w:lineRule="auto"/>
        <w:rPr>
          <w:rFonts w:ascii="Arial" w:hAnsi="Arial" w:cs="Arial"/>
          <w:color w:val="000000"/>
          <w:sz w:val="24"/>
        </w:rPr>
      </w:pPr>
    </w:p>
    <w:p w14:paraId="48BB0367">
      <w:pPr>
        <w:widowControl w:val="0"/>
        <w:autoSpaceDE w:val="0"/>
        <w:autoSpaceDN w:val="0"/>
        <w:snapToGrid w:val="0"/>
        <w:spacing w:before="0" w:after="0" w:line="300" w:lineRule="auto"/>
        <w:outlineLvl w:val="1"/>
        <w:rPr>
          <w:rFonts w:ascii="Arial" w:hAnsi="Arial" w:cs="Arial"/>
          <w:color w:val="000000"/>
          <w:sz w:val="24"/>
          <w:u w:val="single"/>
        </w:rPr>
      </w:pPr>
      <w:bookmarkStart w:id="18" w:name="_Toc479613611"/>
      <w:r>
        <w:rPr>
          <w:rFonts w:ascii="Arial" w:hAnsi="Arial" w:cs="Arial"/>
          <w:color w:val="000000"/>
          <w:sz w:val="24"/>
        </w:rPr>
        <w:t>G.</w:t>
      </w:r>
      <w:r>
        <w:rPr>
          <w:rFonts w:ascii="Arial" w:hAnsi="Arial" w:cs="Arial"/>
        </w:rPr>
        <w:t xml:space="preserve"> </w:t>
      </w:r>
      <w:r>
        <w:rPr>
          <w:rFonts w:ascii="Arial" w:hAnsi="Arial" w:cs="Arial"/>
          <w:color w:val="000000"/>
          <w:sz w:val="24"/>
          <w:u w:val="single"/>
        </w:rPr>
        <w:t>单独分析物的钩状效应</w:t>
      </w:r>
      <w:bookmarkEnd w:id="18"/>
    </w:p>
    <w:p w14:paraId="55FA18B6">
      <w:pPr>
        <w:widowControl w:val="0"/>
        <w:autoSpaceDE w:val="0"/>
        <w:autoSpaceDN w:val="0"/>
        <w:snapToGrid w:val="0"/>
        <w:spacing w:before="0" w:after="0" w:line="300" w:lineRule="auto"/>
        <w:rPr>
          <w:rFonts w:ascii="Arial" w:hAnsi="Arial" w:cs="Arial"/>
          <w:color w:val="000000"/>
          <w:sz w:val="24"/>
        </w:rPr>
      </w:pPr>
    </w:p>
    <w:p w14:paraId="3636B0EE">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如适用，贵公司应证明过量分析物不会造成钩状（前带）效应。应对贵公司的测试中未认证/批准的单独试验（组件）以及评分测试系统中的每种分析物进行本证明。</w:t>
      </w:r>
    </w:p>
    <w:p w14:paraId="7CAD4CDE">
      <w:pPr>
        <w:widowControl w:val="0"/>
        <w:autoSpaceDE w:val="0"/>
        <w:autoSpaceDN w:val="0"/>
        <w:snapToGrid w:val="0"/>
        <w:spacing w:before="0" w:after="0" w:line="300" w:lineRule="auto"/>
        <w:rPr>
          <w:rFonts w:ascii="Arial" w:hAnsi="Arial" w:cs="Arial"/>
          <w:color w:val="000000"/>
          <w:sz w:val="24"/>
        </w:rPr>
      </w:pPr>
    </w:p>
    <w:p w14:paraId="6D07FFF7">
      <w:pPr>
        <w:spacing w:before="0" w:after="0"/>
        <w:jc w:val="left"/>
        <w:rPr>
          <w:rFonts w:ascii="Arial" w:hAnsi="Arial" w:cs="Arial"/>
          <w:color w:val="000000"/>
          <w:sz w:val="24"/>
        </w:rPr>
      </w:pPr>
      <w:r>
        <w:rPr>
          <w:rFonts w:ascii="Arial" w:hAnsi="Arial" w:cs="Arial"/>
          <w:color w:val="000000"/>
          <w:sz w:val="24"/>
        </w:rPr>
        <w:br w:type="page"/>
      </w:r>
    </w:p>
    <w:p w14:paraId="29EBA13E">
      <w:pPr>
        <w:widowControl w:val="0"/>
        <w:autoSpaceDE w:val="0"/>
        <w:autoSpaceDN w:val="0"/>
        <w:snapToGrid w:val="0"/>
        <w:spacing w:before="0" w:after="0" w:line="300" w:lineRule="auto"/>
        <w:outlineLvl w:val="1"/>
        <w:rPr>
          <w:rFonts w:ascii="Arial" w:hAnsi="Arial" w:cs="Arial"/>
          <w:color w:val="000000"/>
          <w:sz w:val="24"/>
          <w:u w:val="single"/>
        </w:rPr>
      </w:pPr>
      <w:bookmarkStart w:id="19" w:name="_Toc479613612"/>
      <w:r>
        <w:rPr>
          <w:rFonts w:ascii="Arial" w:hAnsi="Arial" w:cs="Arial"/>
          <w:color w:val="000000"/>
          <w:sz w:val="24"/>
        </w:rPr>
        <w:t>H.</w:t>
      </w:r>
      <w:r>
        <w:rPr>
          <w:rFonts w:ascii="Arial" w:hAnsi="Arial" w:cs="Arial"/>
        </w:rPr>
        <w:t xml:space="preserve"> </w:t>
      </w:r>
      <w:r>
        <w:rPr>
          <w:rFonts w:ascii="Arial" w:hAnsi="Arial" w:cs="Arial"/>
          <w:color w:val="000000"/>
          <w:sz w:val="24"/>
          <w:u w:val="single"/>
        </w:rPr>
        <w:t>遗留污染</w:t>
      </w:r>
      <w:bookmarkEnd w:id="19"/>
    </w:p>
    <w:p w14:paraId="1B0BAFD2">
      <w:pPr>
        <w:widowControl w:val="0"/>
        <w:autoSpaceDE w:val="0"/>
        <w:autoSpaceDN w:val="0"/>
        <w:snapToGrid w:val="0"/>
        <w:spacing w:before="0" w:after="0" w:line="300" w:lineRule="auto"/>
        <w:rPr>
          <w:rFonts w:ascii="Arial" w:hAnsi="Arial" w:cs="Arial"/>
          <w:color w:val="000000"/>
          <w:sz w:val="24"/>
        </w:rPr>
      </w:pPr>
    </w:p>
    <w:p w14:paraId="1375CE37">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针对使用既往经认证仪器仪表的测试系统，贵公司应提供对遗留污染可能性的描述。</w:t>
      </w:r>
    </w:p>
    <w:p w14:paraId="2A5DB19A">
      <w:pPr>
        <w:widowControl w:val="0"/>
        <w:autoSpaceDE w:val="0"/>
        <w:autoSpaceDN w:val="0"/>
        <w:snapToGrid w:val="0"/>
        <w:spacing w:before="0" w:after="0" w:line="300" w:lineRule="auto"/>
        <w:rPr>
          <w:rFonts w:ascii="Arial" w:hAnsi="Arial" w:cs="Arial"/>
          <w:color w:val="000000"/>
          <w:sz w:val="24"/>
        </w:rPr>
      </w:pPr>
    </w:p>
    <w:p w14:paraId="41445ADF">
      <w:pPr>
        <w:pStyle w:val="12"/>
        <w:widowControl w:val="0"/>
        <w:numPr>
          <w:ilvl w:val="0"/>
          <w:numId w:val="3"/>
        </w:numPr>
        <w:autoSpaceDE w:val="0"/>
        <w:autoSpaceDN w:val="0"/>
        <w:snapToGrid w:val="0"/>
        <w:spacing w:before="0" w:after="0" w:line="300" w:lineRule="auto"/>
        <w:ind w:firstLineChars="0"/>
        <w:outlineLvl w:val="1"/>
        <w:rPr>
          <w:rFonts w:ascii="Arial" w:hAnsi="Arial" w:cs="Arial"/>
          <w:color w:val="000000"/>
          <w:sz w:val="24"/>
          <w:u w:val="single"/>
        </w:rPr>
      </w:pPr>
      <w:bookmarkStart w:id="20" w:name="_Toc479613613"/>
      <w:r>
        <w:rPr>
          <w:rFonts w:ascii="Arial" w:hAnsi="Arial" w:cs="Arial"/>
          <w:color w:val="000000"/>
          <w:sz w:val="24"/>
          <w:u w:val="single"/>
        </w:rPr>
        <w:t>矩阵比较</w:t>
      </w:r>
      <w:bookmarkEnd w:id="20"/>
    </w:p>
    <w:p w14:paraId="281E3DF1">
      <w:pPr>
        <w:pStyle w:val="12"/>
        <w:widowControl w:val="0"/>
        <w:autoSpaceDE w:val="0"/>
        <w:autoSpaceDN w:val="0"/>
        <w:snapToGrid w:val="0"/>
        <w:spacing w:before="0" w:after="0" w:line="300" w:lineRule="auto"/>
        <w:ind w:left="465" w:firstLine="0" w:firstLineChars="0"/>
        <w:rPr>
          <w:rFonts w:ascii="Arial" w:hAnsi="Arial" w:cs="Arial"/>
          <w:color w:val="000000"/>
          <w:sz w:val="24"/>
          <w:u w:val="single"/>
        </w:rPr>
      </w:pPr>
    </w:p>
    <w:p w14:paraId="1B56C9F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对于相同分析物，当使用可导致测试性能变化的不同抗凝剂测试血浆样本时，可能出现矩阵效应。如果贵公司的测试推荐了一种以上样本类型，贵公司应评估矩阵对测试产生影响的可能性。应展示测试评分中每种单独分析物的矩阵效应影响及其对总体评分结果的影响。</w:t>
      </w:r>
    </w:p>
    <w:p w14:paraId="0BFCE7D6">
      <w:pPr>
        <w:widowControl w:val="0"/>
        <w:autoSpaceDE w:val="0"/>
        <w:autoSpaceDN w:val="0"/>
        <w:snapToGrid w:val="0"/>
        <w:spacing w:before="0" w:after="0" w:line="300" w:lineRule="auto"/>
        <w:rPr>
          <w:rFonts w:ascii="Arial" w:hAnsi="Arial" w:cs="Arial"/>
          <w:color w:val="000000"/>
          <w:sz w:val="24"/>
        </w:rPr>
      </w:pPr>
    </w:p>
    <w:p w14:paraId="2CFC2C19">
      <w:pPr>
        <w:widowControl w:val="0"/>
        <w:autoSpaceDE w:val="0"/>
        <w:autoSpaceDN w:val="0"/>
        <w:snapToGrid w:val="0"/>
        <w:spacing w:before="0" w:after="0" w:line="300" w:lineRule="auto"/>
        <w:outlineLvl w:val="1"/>
        <w:rPr>
          <w:rFonts w:ascii="Arial" w:hAnsi="Arial" w:cs="Arial"/>
          <w:color w:val="000000"/>
          <w:sz w:val="24"/>
          <w:u w:val="single"/>
        </w:rPr>
      </w:pPr>
      <w:bookmarkStart w:id="21" w:name="_Toc479613614"/>
      <w:r>
        <w:rPr>
          <w:rFonts w:ascii="Arial" w:hAnsi="Arial" w:cs="Arial"/>
          <w:color w:val="000000"/>
          <w:sz w:val="24"/>
        </w:rPr>
        <w:t xml:space="preserve">J. </w:t>
      </w:r>
      <w:r>
        <w:rPr>
          <w:rFonts w:ascii="Arial" w:hAnsi="Arial" w:cs="Arial"/>
          <w:color w:val="000000"/>
          <w:sz w:val="24"/>
          <w:u w:val="single"/>
        </w:rPr>
        <w:t>稳定性</w:t>
      </w:r>
      <w:bookmarkEnd w:id="21"/>
    </w:p>
    <w:p w14:paraId="6915EB40">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 xml:space="preserve">贵公司应针对确定试剂盒仪器的实时稳定性，以及开放药瓶和运输稳定性（如适用）方面描述贵公司的研究设计。贵公司的稳定性研究应包括关于贵公司的试验系统和试剂时间、温度和储存情况的信息。对于每项研究，贵公司均应提供贵公司的验收标准和一份贵公司如何选择验收标准值的描述（即，决定不影响结果的验收标准界限）。我们推荐贵公司参考CLSI文件EP25-A </w:t>
      </w:r>
      <w:r>
        <w:rPr>
          <w:rFonts w:ascii="Arial" w:hAnsi="Arial" w:cs="Arial"/>
          <w:color w:val="000000"/>
          <w:sz w:val="24"/>
          <w:cs/>
        </w:rPr>
        <w:t>“</w:t>
      </w:r>
      <w:r>
        <w:rPr>
          <w:rFonts w:ascii="Arial" w:hAnsi="Arial" w:cs="Arial"/>
          <w:color w:val="000000"/>
          <w:sz w:val="24"/>
        </w:rPr>
        <w:t>体外诊断方法产品的稳定性评估；已批准指南</w:t>
      </w:r>
      <w:r>
        <w:rPr>
          <w:rFonts w:ascii="Arial" w:hAnsi="Arial" w:cs="Arial"/>
          <w:color w:val="000000"/>
          <w:sz w:val="24"/>
          <w:cs/>
        </w:rPr>
        <w:t>”</w:t>
      </w:r>
      <w:r>
        <w:rPr>
          <w:rFonts w:ascii="Arial" w:hAnsi="Arial" w:cs="Arial"/>
          <w:color w:val="000000"/>
          <w:sz w:val="24"/>
        </w:rPr>
        <w:t>获取关于对单独分析物进行稳定性研究的更多信息。</w:t>
      </w:r>
    </w:p>
    <w:p w14:paraId="5D5DF71A">
      <w:pPr>
        <w:widowControl w:val="0"/>
        <w:autoSpaceDE w:val="0"/>
        <w:autoSpaceDN w:val="0"/>
        <w:snapToGrid w:val="0"/>
        <w:spacing w:before="0" w:after="0" w:line="300" w:lineRule="auto"/>
        <w:rPr>
          <w:rFonts w:ascii="Arial" w:hAnsi="Arial" w:cs="Arial"/>
          <w:color w:val="000000"/>
          <w:sz w:val="24"/>
        </w:rPr>
      </w:pPr>
    </w:p>
    <w:p w14:paraId="25BF84CB">
      <w:pPr>
        <w:widowControl w:val="0"/>
        <w:autoSpaceDE w:val="0"/>
        <w:autoSpaceDN w:val="0"/>
        <w:snapToGrid w:val="0"/>
        <w:spacing w:before="0" w:after="0" w:line="300" w:lineRule="auto"/>
        <w:outlineLvl w:val="1"/>
        <w:rPr>
          <w:rFonts w:ascii="Arial" w:hAnsi="Arial" w:cs="Arial"/>
          <w:color w:val="000000"/>
          <w:sz w:val="24"/>
          <w:u w:val="single"/>
        </w:rPr>
      </w:pPr>
      <w:bookmarkStart w:id="22" w:name="_Toc479613615"/>
      <w:r>
        <w:rPr>
          <w:rFonts w:ascii="Arial" w:hAnsi="Arial" w:cs="Arial"/>
          <w:color w:val="000000"/>
          <w:sz w:val="24"/>
        </w:rPr>
        <w:t>K.</w:t>
      </w:r>
      <w:r>
        <w:rPr>
          <w:rFonts w:ascii="Arial" w:hAnsi="Arial" w:cs="Arial"/>
        </w:rPr>
        <w:t xml:space="preserve"> </w:t>
      </w:r>
      <w:r>
        <w:rPr>
          <w:rFonts w:ascii="Arial" w:hAnsi="Arial" w:cs="Arial"/>
          <w:color w:val="000000"/>
          <w:sz w:val="24"/>
          <w:u w:val="single"/>
        </w:rPr>
        <w:t>校准和对照</w:t>
      </w:r>
      <w:bookmarkEnd w:id="22"/>
    </w:p>
    <w:p w14:paraId="366FDACF">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对于组件中包括已认证/已批准单独免疫分析的卵巢附件肿块评估评分系统，应基于在试验中的使用对每种试验的校准器和控制进行描述。</w:t>
      </w:r>
    </w:p>
    <w:p w14:paraId="2A9D425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对于所有其他测试，仅应描述贵公司对照和校准材料的以下方面：</w:t>
      </w:r>
    </w:p>
    <w:p w14:paraId="10E46E4D">
      <w:pPr>
        <w:widowControl w:val="0"/>
        <w:autoSpaceDE w:val="0"/>
        <w:autoSpaceDN w:val="0"/>
        <w:snapToGrid w:val="0"/>
        <w:spacing w:before="0" w:after="0" w:line="300" w:lineRule="auto"/>
        <w:rPr>
          <w:rFonts w:ascii="Arial" w:hAnsi="Arial" w:cs="Arial"/>
          <w:color w:val="000000"/>
          <w:sz w:val="24"/>
        </w:rPr>
      </w:pPr>
    </w:p>
    <w:p w14:paraId="7B16C15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贵公司在贵公司的系统中纳入、或推荐使用的各种对照的</w:t>
      </w:r>
    </w:p>
    <w:p w14:paraId="7D597CA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性质和功能。</w:t>
      </w:r>
    </w:p>
    <w:p w14:paraId="15A8E017">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控制和校准材料的值分配及验证方法。对于贵公司的测试系统所整合的任何试剂，如果供应商提供了分析证书，应纳入其中。</w:t>
      </w:r>
    </w:p>
    <w:p w14:paraId="413D076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可用于测试仪器仪表故障以符合所要求规范的控制参数。</w:t>
      </w:r>
    </w:p>
    <w:p w14:paraId="095CF5FB">
      <w:pPr>
        <w:widowControl w:val="0"/>
        <w:autoSpaceDE w:val="0"/>
        <w:autoSpaceDN w:val="0"/>
        <w:snapToGrid w:val="0"/>
        <w:spacing w:before="0" w:after="0" w:line="300" w:lineRule="auto"/>
        <w:rPr>
          <w:rFonts w:ascii="Arial" w:hAnsi="Arial" w:cs="Arial"/>
          <w:color w:val="000000"/>
          <w:sz w:val="24"/>
        </w:rPr>
      </w:pPr>
    </w:p>
    <w:p w14:paraId="5F8B8A22">
      <w:pPr>
        <w:widowControl w:val="0"/>
        <w:autoSpaceDE w:val="0"/>
        <w:autoSpaceDN w:val="0"/>
        <w:snapToGrid w:val="0"/>
        <w:spacing w:before="0" w:after="0" w:line="300" w:lineRule="auto"/>
        <w:outlineLvl w:val="0"/>
        <w:rPr>
          <w:rFonts w:ascii="Arial" w:hAnsi="Arial" w:cs="Arial"/>
          <w:b/>
          <w:color w:val="000000"/>
          <w:sz w:val="36"/>
        </w:rPr>
      </w:pPr>
      <w:bookmarkStart w:id="23" w:name="_Toc479613616"/>
      <w:r>
        <w:rPr>
          <w:rFonts w:ascii="Arial" w:hAnsi="Arial" w:cs="Arial"/>
          <w:b/>
          <w:color w:val="000000"/>
          <w:sz w:val="36"/>
        </w:rPr>
        <w:t>VII.软件</w:t>
      </w:r>
      <w:bookmarkEnd w:id="23"/>
    </w:p>
    <w:p w14:paraId="2017211A">
      <w:pPr>
        <w:widowControl w:val="0"/>
        <w:autoSpaceDE w:val="0"/>
        <w:autoSpaceDN w:val="0"/>
        <w:snapToGrid w:val="0"/>
        <w:spacing w:before="0" w:after="0" w:line="300" w:lineRule="auto"/>
        <w:rPr>
          <w:rFonts w:ascii="Arial" w:hAnsi="Arial" w:cs="Arial"/>
        </w:rPr>
      </w:pPr>
      <w:r>
        <w:rPr>
          <w:rFonts w:ascii="Arial" w:hAnsi="Arial" w:cs="Arial"/>
          <w:color w:val="000000"/>
          <w:sz w:val="24"/>
        </w:rPr>
        <w:t>贵公司应按照关注程度，提供贵公司器械中所用软件的详细信息。额外信息请参见食品药品监督管理局文件</w:t>
      </w:r>
      <w:r>
        <w:rPr>
          <w:rFonts w:ascii="Arial" w:hAnsi="Arial" w:cs="Arial"/>
          <w:color w:val="000000"/>
          <w:sz w:val="24"/>
          <w:cs/>
        </w:rPr>
        <w:t>“</w:t>
      </w:r>
      <w:r>
        <w:rPr>
          <w:rFonts w:ascii="Arial" w:hAnsi="Arial" w:cs="Arial"/>
          <w:color w:val="000000"/>
          <w:sz w:val="24"/>
        </w:rPr>
        <w:t>医疗器械中所含软件的上市前提交内容</w:t>
      </w:r>
    </w:p>
    <w:p w14:paraId="08384543">
      <w:pPr>
        <w:widowControl w:val="0"/>
        <w:autoSpaceDE w:val="0"/>
        <w:autoSpaceDN w:val="0"/>
        <w:snapToGrid w:val="0"/>
        <w:spacing w:before="0" w:after="0" w:line="300" w:lineRule="auto"/>
        <w:rPr>
          <w:rFonts w:ascii="Arial" w:hAnsi="Arial" w:cs="Arial"/>
          <w:color w:val="000000"/>
          <w:sz w:val="24"/>
          <w:szCs w:val="24"/>
        </w:rPr>
      </w:pPr>
      <w:r>
        <w:rPr>
          <w:rFonts w:ascii="Arial" w:hAnsi="Arial" w:cs="Arial"/>
          <w:sz w:val="24"/>
          <w:szCs w:val="24"/>
        </w:rPr>
        <w:t>指南”</w:t>
      </w:r>
      <w:r>
        <w:rPr>
          <w:rFonts w:ascii="Arial" w:hAnsi="Arial" w:cs="Arial"/>
          <w:sz w:val="24"/>
          <w:szCs w:val="24"/>
          <w:vertAlign w:val="superscript"/>
        </w:rPr>
        <w:t>1</w:t>
      </w:r>
      <w:r>
        <w:rPr>
          <w:rFonts w:ascii="Arial" w:hAnsi="Arial" w:cs="Arial"/>
          <w:sz w:val="24"/>
          <w:szCs w:val="24"/>
        </w:rPr>
        <w:t>。贵公司应</w:t>
      </w:r>
      <w:r>
        <w:rPr>
          <w:rFonts w:ascii="Arial" w:hAnsi="Arial" w:cs="Arial"/>
          <w:color w:val="000000"/>
          <w:sz w:val="24"/>
          <w:szCs w:val="24"/>
        </w:rPr>
        <w:t>在危险减轻前确定关注程度。本类型的体外诊断器械通常被视为中等水平顾虑，因为软件缺陷可导致将假结果报告给临床医师和患者，从而对患者造成伤害。</w:t>
      </w:r>
    </w:p>
    <w:p w14:paraId="36E5786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贵公司制备用于食品药品监督管理局审查的软件文件时，应包含以下几点，如适用：</w:t>
      </w:r>
    </w:p>
    <w:p w14:paraId="11CC2FE1">
      <w:pPr>
        <w:widowControl w:val="0"/>
        <w:autoSpaceDE w:val="0"/>
        <w:autoSpaceDN w:val="0"/>
        <w:snapToGrid w:val="0"/>
        <w:spacing w:before="0" w:after="0" w:line="300" w:lineRule="auto"/>
        <w:rPr>
          <w:rFonts w:ascii="Arial" w:hAnsi="Arial" w:cs="Arial"/>
          <w:color w:val="000000"/>
          <w:sz w:val="24"/>
        </w:rPr>
      </w:pPr>
    </w:p>
    <w:p w14:paraId="543441CD">
      <w:pPr>
        <w:widowControl w:val="0"/>
        <w:autoSpaceDE w:val="0"/>
        <w:autoSpaceDN w:val="0"/>
        <w:snapToGrid w:val="0"/>
        <w:spacing w:before="0" w:after="0" w:line="300" w:lineRule="auto"/>
        <w:rPr>
          <w:rFonts w:ascii="Arial" w:hAnsi="Arial" w:cs="Arial"/>
          <w:color w:val="000000"/>
          <w:sz w:val="24"/>
        </w:rPr>
      </w:pPr>
    </w:p>
    <w:p w14:paraId="17FA1510">
      <w:pPr>
        <w:widowControl w:val="0"/>
        <w:autoSpaceDE w:val="0"/>
        <w:autoSpaceDN w:val="0"/>
        <w:snapToGrid w:val="0"/>
        <w:spacing w:before="0" w:after="0" w:line="300" w:lineRule="auto"/>
        <w:rPr>
          <w:rFonts w:ascii="Arial" w:hAnsi="Arial" w:cs="Arial"/>
          <w:color w:val="000000"/>
          <w:sz w:val="24"/>
        </w:rPr>
      </w:pPr>
    </w:p>
    <w:p w14:paraId="14596452">
      <w:pPr>
        <w:pStyle w:val="12"/>
        <w:widowControl w:val="0"/>
        <w:numPr>
          <w:ilvl w:val="0"/>
          <w:numId w:val="4"/>
        </w:numPr>
        <w:autoSpaceDE w:val="0"/>
        <w:autoSpaceDN w:val="0"/>
        <w:snapToGrid w:val="0"/>
        <w:spacing w:before="0" w:after="0" w:line="300" w:lineRule="auto"/>
        <w:ind w:firstLineChars="0"/>
        <w:rPr>
          <w:rFonts w:ascii="Arial" w:hAnsi="Arial" w:cs="Arial"/>
          <w:color w:val="000000"/>
          <w:sz w:val="24"/>
        </w:rPr>
      </w:pPr>
      <w:r>
        <w:rPr>
          <w:rFonts w:ascii="Arial" w:hAnsi="Arial" w:cs="Arial"/>
          <w:color w:val="000000"/>
          <w:sz w:val="24"/>
        </w:rPr>
        <w:t>软件设计的完整描述。贵公司的软件所包含的实用程序不得特别设计用于支持超出贵公司预期用途。在贵公司的设计中，贵公司还应考虑保密性与安全性问题。关于这些问题中某些问题的信息可参见健康保险携带和责任法案（HIPAA）相关的以下网址http://www.hhs.gov/ocr/privacy/hipaa/understanding/index.html.</w:t>
      </w:r>
    </w:p>
    <w:p w14:paraId="27874F43">
      <w:pPr>
        <w:pStyle w:val="12"/>
        <w:widowControl w:val="0"/>
        <w:numPr>
          <w:ilvl w:val="0"/>
          <w:numId w:val="4"/>
        </w:numPr>
        <w:autoSpaceDE w:val="0"/>
        <w:autoSpaceDN w:val="0"/>
        <w:snapToGrid w:val="0"/>
        <w:spacing w:before="0" w:after="0" w:line="300" w:lineRule="auto"/>
        <w:ind w:firstLineChars="0"/>
        <w:rPr>
          <w:rFonts w:ascii="Arial" w:hAnsi="Arial" w:cs="Arial"/>
          <w:color w:val="000000"/>
          <w:sz w:val="24"/>
        </w:rPr>
      </w:pPr>
      <w:r>
        <w:rPr>
          <w:rFonts w:ascii="Arial" w:hAnsi="Arial" w:cs="Arial"/>
          <w:color w:val="000000"/>
          <w:sz w:val="24"/>
        </w:rPr>
        <w:t>基于器械设计和子系统组件任何故障相关关键考虑的危险分析，如患者报告错误、仪器故障及操作者安全性相关的信号</w:t>
      </w:r>
      <w:r>
        <w:rPr>
          <w:rFonts w:ascii="Arial" w:hAnsi="Arial" w:cs="Arial"/>
          <w:color w:val="000000"/>
          <w:sz w:val="24"/>
          <w:lang w:val="en-US"/>
        </w:rPr>
        <w:t>检测</w:t>
      </w:r>
      <w:r>
        <w:rPr>
          <w:rFonts w:ascii="Arial" w:hAnsi="Arial" w:cs="Arial"/>
          <w:color w:val="000000"/>
          <w:sz w:val="24"/>
        </w:rPr>
        <w:t>和分析、数据储存、系统通信以及网络安全。</w:t>
      </w:r>
    </w:p>
    <w:p w14:paraId="1A153B08">
      <w:pPr>
        <w:pStyle w:val="12"/>
        <w:widowControl w:val="0"/>
        <w:numPr>
          <w:ilvl w:val="0"/>
          <w:numId w:val="4"/>
        </w:numPr>
        <w:autoSpaceDE w:val="0"/>
        <w:autoSpaceDN w:val="0"/>
        <w:snapToGrid w:val="0"/>
        <w:spacing w:before="0" w:after="0" w:line="300" w:lineRule="auto"/>
        <w:ind w:firstLineChars="0"/>
        <w:rPr>
          <w:rFonts w:ascii="Arial" w:hAnsi="Arial" w:cs="Arial"/>
          <w:color w:val="000000"/>
          <w:sz w:val="24"/>
        </w:rPr>
      </w:pPr>
      <w:r>
        <w:rPr>
          <w:rFonts w:ascii="Arial" w:hAnsi="Arial" w:cs="Arial"/>
          <w:color w:val="000000"/>
          <w:sz w:val="24"/>
        </w:rPr>
        <w:t>将提交以证明实质等同性的软件版本完整验证与确认（V&amp;V）活动文件。贵公司还应提交关于试验软件与任何仪器仪表软件兼容性验证的信息。</w:t>
      </w:r>
    </w:p>
    <w:p w14:paraId="3692B44B">
      <w:pPr>
        <w:pStyle w:val="12"/>
        <w:widowControl w:val="0"/>
        <w:autoSpaceDE w:val="0"/>
        <w:autoSpaceDN w:val="0"/>
        <w:snapToGrid w:val="0"/>
        <w:spacing w:before="0" w:after="0" w:line="300" w:lineRule="auto"/>
        <w:ind w:left="420" w:firstLine="0" w:firstLineChars="0"/>
        <w:rPr>
          <w:rFonts w:ascii="Arial" w:hAnsi="Arial" w:cs="Arial"/>
          <w:color w:val="000000"/>
          <w:sz w:val="24"/>
        </w:rPr>
      </w:pPr>
      <w:r>
        <w:rPr>
          <w:rFonts w:ascii="Arial" w:hAnsi="Arial" w:cs="Arial"/>
          <w:color w:val="000000"/>
          <w:sz w:val="24"/>
        </w:rPr>
        <w:t>如果贵公司在510（k）中纳入的信息基于所发布版本以外的版本确定，请标识510（k）版本的所有差异以及这些差异（包括任何未解决异常）如何影响器械安全性和有效性的详细信息。</w:t>
      </w:r>
    </w:p>
    <w:p w14:paraId="03AE687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以下为帮助贵公司在软件生命周期质量管理规范和食品药品监督管理局条例下开发和维护贵公司器械的其他参考文件。</w:t>
      </w:r>
    </w:p>
    <w:p w14:paraId="13EB604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软件验证的一般原则；行业和食品药品监督管理局工作人员的指南终稿；可在以下食品药品监督管理局网站获取：</w:t>
      </w:r>
    </w:p>
    <w:p w14:paraId="260D7F6B">
      <w:pPr>
        <w:widowControl w:val="0"/>
        <w:autoSpaceDE w:val="0"/>
        <w:autoSpaceDN w:val="0"/>
        <w:snapToGrid w:val="0"/>
        <w:spacing w:before="0" w:after="0" w:line="300" w:lineRule="auto"/>
        <w:rPr>
          <w:rFonts w:ascii="Arial" w:hAnsi="Arial" w:cs="Arial"/>
          <w:color w:val="000000"/>
          <w:sz w:val="24"/>
          <w:lang w:val="en-US"/>
        </w:rPr>
      </w:pPr>
      <w:r>
        <w:rPr>
          <w:rFonts w:ascii="Arial" w:hAnsi="Arial" w:cs="Arial"/>
          <w:color w:val="000000"/>
          <w:sz w:val="24"/>
          <w:lang w:val="en-US"/>
        </w:rPr>
        <w:t>http://www.fda.gov/downloads/MedicalDevices/DeviceRegulationandGuidance/Guid anceDocuments/ucm085371</w:t>
      </w:r>
      <w:r>
        <w:rPr>
          <w:rFonts w:ascii="Arial" w:hAnsi="Arial" w:cs="Arial"/>
          <w:color w:val="0000FF"/>
          <w:sz w:val="24"/>
          <w:u w:val="single"/>
          <w:lang w:val="en-US"/>
        </w:rPr>
        <w:t>http://www.fda.gov/downloads/MedicalDevices/DeviceR egulationandGuidance/GuidanceDocuments/ucm085371.pdf</w:t>
      </w:r>
      <w:r>
        <w:rPr>
          <w:rFonts w:ascii="Arial" w:hAnsi="Arial" w:cs="Arial"/>
          <w:color w:val="000000"/>
          <w:sz w:val="24"/>
          <w:lang w:val="en-US"/>
        </w:rPr>
        <w:t>.</w:t>
      </w:r>
    </w:p>
    <w:p w14:paraId="6C24200F">
      <w:pPr>
        <w:widowControl w:val="0"/>
        <w:autoSpaceDE w:val="0"/>
        <w:autoSpaceDN w:val="0"/>
        <w:snapToGrid w:val="0"/>
        <w:spacing w:before="0" w:after="0" w:line="300" w:lineRule="auto"/>
        <w:rPr>
          <w:rFonts w:ascii="Arial" w:hAnsi="Arial" w:cs="Arial"/>
          <w:color w:val="000000"/>
          <w:sz w:val="16"/>
        </w:rPr>
      </w:pPr>
      <w:r>
        <w:rPr>
          <w:rFonts w:ascii="Arial" w:hAnsi="Arial" w:cs="Arial"/>
        </w:rPr>
        <w:t>医疗器械中现用软件使用指南</w:t>
      </w:r>
      <w:r>
        <w:rPr>
          <w:rFonts w:hint="eastAsia" w:ascii="Arial" w:hAnsi="Arial" w:cs="Arial"/>
          <w:color w:val="000000"/>
          <w:sz w:val="24"/>
          <w:lang w:val="en-US"/>
        </w:rPr>
        <w:t>；</w:t>
      </w:r>
      <w:r>
        <w:rPr>
          <w:rFonts w:ascii="Arial" w:hAnsi="Arial" w:cs="Arial"/>
          <w:color w:val="000000"/>
          <w:sz w:val="24"/>
        </w:rPr>
        <w:t>终稿</w:t>
      </w:r>
      <w:r>
        <w:rPr>
          <w:rFonts w:hint="eastAsia" w:ascii="Arial" w:hAnsi="Arial" w:cs="Arial"/>
          <w:color w:val="000000"/>
          <w:sz w:val="24"/>
          <w:lang w:val="en-US"/>
        </w:rPr>
        <w:t>；</w:t>
      </w:r>
      <w:r>
        <w:rPr>
          <w:rFonts w:ascii="Arial" w:hAnsi="Arial" w:cs="Arial"/>
          <w:color w:val="000000"/>
          <w:sz w:val="24"/>
        </w:rPr>
        <w:t>可在食品药品监督管理局网站获取。</w:t>
      </w:r>
      <w:r>
        <w:rPr>
          <w:rFonts w:ascii="Arial" w:hAnsi="Arial" w:cs="Arial"/>
          <w:color w:val="000000"/>
          <w:sz w:val="16"/>
        </w:rPr>
        <w:t>2</w:t>
      </w:r>
    </w:p>
    <w:p w14:paraId="415C7491">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FF"/>
          <w:sz w:val="24"/>
          <w:u w:val="single"/>
        </w:rPr>
        <w:t xml:space="preserve">21 CFR 820.30 </w:t>
      </w:r>
      <w:r>
        <w:rPr>
          <w:rFonts w:ascii="Arial" w:hAnsi="Arial" w:cs="Arial"/>
          <w:color w:val="000000"/>
          <w:sz w:val="24"/>
        </w:rPr>
        <w:t xml:space="preserve">C分部分 </w:t>
      </w:r>
      <w:r>
        <w:rPr>
          <w:rFonts w:ascii="Arial" w:hAnsi="Arial" w:cs="Arial"/>
          <w:color w:val="000000"/>
          <w:sz w:val="24"/>
          <w:cs/>
        </w:rPr>
        <w:t xml:space="preserve">– </w:t>
      </w:r>
      <w:r>
        <w:rPr>
          <w:rFonts w:ascii="Arial" w:hAnsi="Arial" w:cs="Arial"/>
          <w:color w:val="000000"/>
          <w:sz w:val="24"/>
        </w:rPr>
        <w:t>质量系统条例的设计控制。</w:t>
      </w:r>
    </w:p>
    <w:p w14:paraId="35782693">
      <w:pPr>
        <w:widowControl w:val="0"/>
        <w:autoSpaceDE w:val="0"/>
        <w:autoSpaceDN w:val="0"/>
        <w:snapToGrid w:val="0"/>
        <w:spacing w:before="0" w:after="0" w:line="300" w:lineRule="auto"/>
        <w:rPr>
          <w:rFonts w:ascii="Arial" w:hAnsi="Arial" w:cs="Arial"/>
          <w:color w:val="000000"/>
          <w:sz w:val="24"/>
        </w:rPr>
      </w:pPr>
    </w:p>
    <w:p w14:paraId="21DB4CF9">
      <w:pPr>
        <w:widowControl w:val="0"/>
        <w:autoSpaceDE w:val="0"/>
        <w:autoSpaceDN w:val="0"/>
        <w:snapToGrid w:val="0"/>
        <w:spacing w:before="0" w:after="0" w:line="300" w:lineRule="auto"/>
        <w:rPr>
          <w:rFonts w:ascii="Arial" w:hAnsi="Arial" w:cs="Arial"/>
          <w:color w:val="000000"/>
          <w:sz w:val="24"/>
        </w:rPr>
      </w:pPr>
    </w:p>
    <w:p w14:paraId="287E1DFF">
      <w:pPr>
        <w:widowControl w:val="0"/>
        <w:autoSpaceDE w:val="0"/>
        <w:autoSpaceDN w:val="0"/>
        <w:snapToGrid w:val="0"/>
        <w:spacing w:before="0" w:after="0" w:line="300" w:lineRule="auto"/>
        <w:rPr>
          <w:rFonts w:ascii="Arial" w:hAnsi="Arial" w:cs="Arial"/>
          <w:color w:val="000000"/>
          <w:sz w:val="24"/>
        </w:rPr>
      </w:pPr>
    </w:p>
    <w:p w14:paraId="30A3106A">
      <w:pPr>
        <w:widowControl w:val="0"/>
        <w:autoSpaceDE w:val="0"/>
        <w:autoSpaceDN w:val="0"/>
        <w:snapToGrid w:val="0"/>
        <w:spacing w:before="0" w:after="0" w:line="300" w:lineRule="auto"/>
        <w:rPr>
          <w:rFonts w:ascii="Arial" w:hAnsi="Arial" w:cs="Arial"/>
          <w:color w:val="000000"/>
          <w:sz w:val="24"/>
        </w:rPr>
      </w:pPr>
    </w:p>
    <w:p w14:paraId="1C4AFF69">
      <w:pPr>
        <w:widowControl w:val="0"/>
        <w:autoSpaceDE w:val="0"/>
        <w:autoSpaceDN w:val="0"/>
        <w:snapToGrid w:val="0"/>
        <w:spacing w:before="0" w:after="0" w:line="300" w:lineRule="auto"/>
        <w:rPr>
          <w:rFonts w:ascii="Arial" w:hAnsi="Arial" w:cs="Arial"/>
          <w:color w:val="000000"/>
          <w:sz w:val="24"/>
        </w:rPr>
      </w:pPr>
    </w:p>
    <w:p w14:paraId="517706C7">
      <w:pPr>
        <w:widowControl w:val="0"/>
        <w:autoSpaceDE w:val="0"/>
        <w:autoSpaceDN w:val="0"/>
        <w:snapToGrid w:val="0"/>
        <w:spacing w:before="0" w:after="0" w:line="300" w:lineRule="auto"/>
        <w:rPr>
          <w:rFonts w:ascii="Arial" w:hAnsi="Arial" w:cs="Arial"/>
          <w:color w:val="000000"/>
          <w:sz w:val="24"/>
        </w:rPr>
      </w:pPr>
    </w:p>
    <w:p w14:paraId="6BE30FDB">
      <w:pPr>
        <w:widowControl w:val="0"/>
        <w:autoSpaceDE w:val="0"/>
        <w:autoSpaceDN w:val="0"/>
        <w:snapToGrid w:val="0"/>
        <w:spacing w:before="0" w:after="0" w:line="300" w:lineRule="auto"/>
        <w:rPr>
          <w:rFonts w:ascii="Arial" w:hAnsi="Arial" w:cs="Arial"/>
          <w:color w:val="000000"/>
          <w:sz w:val="24"/>
        </w:rPr>
      </w:pPr>
      <w:r>
        <w:rPr>
          <w:rFonts w:hint="eastAsia" w:ascii="Arial" w:hAnsi="Arial" w:cs="Arial"/>
          <w:color w:val="000000"/>
          <w:sz w:val="24"/>
          <w:lang w:val="en-US"/>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152400</wp:posOffset>
                </wp:positionV>
                <wp:extent cx="179641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17961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2pt;height:0pt;width:141.45pt;z-index:251668480;mso-width-relative:page;mso-height-relative:page;" filled="f" stroked="t" coordsize="21600,21600" o:gfxdata="UEsDBAoAAAAAAIdO4kAAAAAAAAAAAAAAAAAEAAAAZHJzL1BLAwQUAAAACACHTuJAXYC35tYAAAAI&#10;AQAADwAAAGRycy9kb3ducmV2LnhtbE2PwU7DMBBE70j8g7VI3FonUaFRiNMDEgckpELgwNFNtknA&#10;XgfbTdK/ZxEHOO7M6O1MuVusERP6MDhSkK4TEEiNawfqFLy9PqxyECFqarVxhArOGGBXXV6Uumjd&#10;TC841bETDKFQaAV9jGMhZWh6tDqs3YjE3tF5qyOfvpOt1zPDrZFZktxKqwfiD70e8b7H5rM+WabQ&#10;9uu4GP/+vH/q83r+wMdpi0pdX6XJHYiIS/wLw099rg4Vdzq4E7VBGAWr9IaTCrINT2I/y9MNiMOv&#10;IKtS/h9QfQNQSwMEFAAAAAgAh07iQI/D4/7kAQAAswMAAA4AAABkcnMvZTJvRG9jLnhtbK1TS44T&#10;MRDdI3EHy3vSyQyEoZXOLCYaNggiAQdw3Ha3Jf9U5Uknl+ACSOxgxZI9t2E4BmV3JvPbzIJeuMv1&#10;eeX3XF6c75xlWwVogm/4bDLlTHkZWuO7hn/+dPnijDNMwrfCBq8avlfIz5fPny2GWKuT0AfbKmAE&#10;4rEeYsP7lGJdVSh75QROQlSegjqAE4m20FUtiIHQna1OptN5NQRoIwSpEMm7GoP8gAhPAQxaG6lW&#10;QV455dOICsqKRJSwNxH5spxWayXTB61RJWYbTkxTWakJ2Zu8VsuFqDsQsTfycATxlCM84OSE8dT0&#10;CLUSSbArMI+gnJEQMOg0kcFVI5GiCLGYTR9o87EXURUuJDXGo+j4/2Dl++0amGlpEmaceeHoxq+/&#10;/vrz5fvf399ovf75g1GEZBoi1pR94ddw2GFcQ+a80+Dyn9iwXZF2f5RW7RKT5Jy9fjOfvTzlTN7E&#10;qtvCCJjequBYNhpujc+sRS227zBRM0q9ScluHy6NteXmrGdDw+enr+g+paBp1DQFZLpIjNB3nAnb&#10;0ZjLBAURgzVtrs44CN3mwgLbijwc5ctEqdu9tNx6JbAf80poHBtnEr0Ea1zDz+5WW08gWa5RoGxt&#10;QrsvuhU/3WVpc5i7PCx396X69q0t/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gLfm1gAAAAgB&#10;AAAPAAAAAAAAAAEAIAAAACIAAABkcnMvZG93bnJldi54bWxQSwECFAAUAAAACACHTuJAj8Pj/uQB&#10;AACzAwAADgAAAAAAAAABACAAAAAlAQAAZHJzL2Uyb0RvYy54bWxQSwUGAAAAAAYABgBZAQAAewUA&#10;AAAA&#10;">
                <v:fill on="f" focussize="0,0"/>
                <v:stroke weight="0.5pt" color="#000000 [3213]" miterlimit="8" joinstyle="miter"/>
                <v:imagedata o:title=""/>
                <o:lock v:ext="edit" aspectratio="f"/>
              </v:line>
            </w:pict>
          </mc:Fallback>
        </mc:AlternateContent>
      </w:r>
    </w:p>
    <w:p w14:paraId="2138676C">
      <w:pPr>
        <w:widowControl w:val="0"/>
        <w:autoSpaceDE w:val="0"/>
        <w:autoSpaceDN w:val="0"/>
        <w:snapToGrid w:val="0"/>
        <w:spacing w:before="0" w:after="0" w:line="300" w:lineRule="auto"/>
        <w:rPr>
          <w:rFonts w:ascii="Arial" w:hAnsi="Arial" w:cs="Arial"/>
          <w:color w:val="000000"/>
          <w:sz w:val="18"/>
          <w:szCs w:val="18"/>
        </w:rPr>
      </w:pPr>
      <w:r>
        <w:rPr>
          <w:rFonts w:ascii="Arial" w:hAnsi="Arial" w:cs="Arial"/>
          <w:sz w:val="18"/>
          <w:szCs w:val="18"/>
          <w:vertAlign w:val="superscript"/>
          <w:lang w:val="en-US"/>
        </w:rPr>
        <w:t>1</w:t>
      </w:r>
      <w:r>
        <w:rPr>
          <w:rFonts w:ascii="Arial" w:hAnsi="Arial" w:cs="Arial"/>
          <w:color w:val="0000FF"/>
          <w:sz w:val="18"/>
          <w:szCs w:val="18"/>
          <w:u w:val="single"/>
        </w:rPr>
        <w:t xml:space="preserve"> http://www.fda.gov/downloads/MedicalDevices/DeviceRegulationandGuidance/GuidanceDocuments/</w:t>
      </w:r>
      <w:r>
        <w:rPr>
          <w:rFonts w:ascii="Arial" w:hAnsi="Arial" w:cs="Arial"/>
          <w:color w:val="000000"/>
          <w:sz w:val="18"/>
          <w:szCs w:val="18"/>
        </w:rPr>
        <w:t>ucm073779.pdf</w:t>
      </w:r>
    </w:p>
    <w:p w14:paraId="47BC18B5">
      <w:pPr>
        <w:widowControl w:val="0"/>
        <w:autoSpaceDE w:val="0"/>
        <w:autoSpaceDN w:val="0"/>
        <w:snapToGrid w:val="0"/>
        <w:spacing w:before="0" w:after="0" w:line="300" w:lineRule="auto"/>
        <w:rPr>
          <w:rFonts w:ascii="Arial" w:hAnsi="Arial" w:cs="Arial"/>
          <w:color w:val="0000FF"/>
          <w:sz w:val="18"/>
          <w:szCs w:val="18"/>
          <w:u w:val="single"/>
        </w:rPr>
      </w:pPr>
      <w:r>
        <w:rPr>
          <w:rFonts w:ascii="Arial" w:hAnsi="Arial" w:cs="Arial"/>
          <w:color w:val="0000FF"/>
          <w:sz w:val="18"/>
          <w:szCs w:val="18"/>
          <w:u w:val="single"/>
        </w:rPr>
        <w:t>http://www.fda.gov/downloads/MedicalDevices/DeviceRegulationandGuidance/GuidanceDocuments/ucm073779.pdf</w:t>
      </w:r>
    </w:p>
    <w:p w14:paraId="58BAAF40">
      <w:pPr>
        <w:widowControl w:val="0"/>
        <w:autoSpaceDE w:val="0"/>
        <w:autoSpaceDN w:val="0"/>
        <w:snapToGrid w:val="0"/>
        <w:spacing w:before="0" w:after="0" w:line="300" w:lineRule="auto"/>
        <w:rPr>
          <w:rFonts w:ascii="Arial" w:hAnsi="Arial" w:cs="Arial"/>
          <w:color w:val="0000FF"/>
          <w:sz w:val="18"/>
          <w:szCs w:val="18"/>
          <w:u w:val="single"/>
        </w:rPr>
      </w:pPr>
    </w:p>
    <w:p w14:paraId="71B75F34">
      <w:pPr>
        <w:spacing w:before="0" w:after="0"/>
        <w:jc w:val="left"/>
        <w:rPr>
          <w:rFonts w:ascii="Arial" w:hAnsi="Arial" w:cs="Arial"/>
          <w:vertAlign w:val="superscript"/>
          <w:lang w:val="en-US"/>
        </w:rPr>
      </w:pPr>
      <w:r>
        <w:rPr>
          <w:rFonts w:ascii="Arial" w:hAnsi="Arial" w:cs="Arial"/>
          <w:vertAlign w:val="superscript"/>
          <w:lang w:val="en-US"/>
        </w:rPr>
        <w:br w:type="page"/>
      </w:r>
    </w:p>
    <w:p w14:paraId="0616B86D">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ISO 14971-1；医疗器械 - 风险管理 - 第1部分：风险分析的应用。</w:t>
      </w:r>
    </w:p>
    <w:p w14:paraId="3D404F2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AAMI SW68:2001；医疗器械软件 - 软件生命周期过程。</w:t>
      </w:r>
    </w:p>
    <w:p w14:paraId="097FD895">
      <w:pPr>
        <w:rPr>
          <w:rFonts w:ascii="Arial" w:hAnsi="Arial" w:cs="Arial"/>
          <w:vertAlign w:val="superscript"/>
          <w:lang w:val="en-US"/>
        </w:rPr>
      </w:pPr>
    </w:p>
    <w:p w14:paraId="6CC02EA5">
      <w:pPr>
        <w:widowControl w:val="0"/>
        <w:autoSpaceDE w:val="0"/>
        <w:autoSpaceDN w:val="0"/>
        <w:snapToGrid w:val="0"/>
        <w:spacing w:before="0" w:after="0" w:line="300" w:lineRule="auto"/>
        <w:outlineLvl w:val="0"/>
        <w:rPr>
          <w:rFonts w:ascii="Arial" w:hAnsi="Arial" w:cs="Arial"/>
          <w:b/>
          <w:color w:val="000000"/>
          <w:sz w:val="36"/>
        </w:rPr>
      </w:pPr>
      <w:bookmarkStart w:id="24" w:name="_Toc479613617"/>
      <w:r>
        <w:rPr>
          <w:rFonts w:ascii="Arial" w:hAnsi="Arial" w:cs="Arial"/>
          <w:b/>
          <w:color w:val="000000"/>
          <w:sz w:val="36"/>
        </w:rPr>
        <w:t>VIII. 临床性能评估</w:t>
      </w:r>
      <w:bookmarkEnd w:id="24"/>
    </w:p>
    <w:p w14:paraId="4F314E67">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来自贵公司临床研究的数据应支持贵公司器械的适应症和声明。临床验证研究应使用预期用途人群中获取且与培训集（贵公司用于开发算法的标本（如，评分））不同的患者样本。贵公司应描述每项临床研究的方案，包括入选和排除标准、研究设计、统计分析方法和样本量的统计学理由。贵公司应提交单独分析物值的数据，以及来自贵公司临床验证研究的评分测试结果。</w:t>
      </w:r>
    </w:p>
    <w:p w14:paraId="389ED057">
      <w:pPr>
        <w:widowControl w:val="0"/>
        <w:autoSpaceDE w:val="0"/>
        <w:autoSpaceDN w:val="0"/>
        <w:snapToGrid w:val="0"/>
        <w:spacing w:before="0" w:after="0" w:line="300" w:lineRule="auto"/>
        <w:rPr>
          <w:rFonts w:ascii="Arial" w:hAnsi="Arial" w:cs="Arial"/>
          <w:color w:val="000000"/>
          <w:sz w:val="36"/>
        </w:rPr>
      </w:pPr>
    </w:p>
    <w:p w14:paraId="16061C9D">
      <w:pPr>
        <w:widowControl w:val="0"/>
        <w:autoSpaceDE w:val="0"/>
        <w:autoSpaceDN w:val="0"/>
        <w:snapToGrid w:val="0"/>
        <w:spacing w:before="0" w:after="0" w:line="300" w:lineRule="auto"/>
        <w:outlineLvl w:val="1"/>
        <w:rPr>
          <w:rFonts w:ascii="Arial" w:hAnsi="Arial" w:cs="Arial"/>
          <w:color w:val="000000"/>
          <w:sz w:val="24"/>
          <w:u w:val="single"/>
        </w:rPr>
      </w:pPr>
      <w:bookmarkStart w:id="25" w:name="_Toc479613618"/>
      <w:r>
        <w:rPr>
          <w:rFonts w:ascii="Arial" w:hAnsi="Arial" w:cs="Arial"/>
          <w:color w:val="000000"/>
          <w:sz w:val="24"/>
        </w:rPr>
        <w:t>A.</w:t>
      </w:r>
      <w:r>
        <w:rPr>
          <w:rFonts w:ascii="Arial" w:hAnsi="Arial" w:cs="Arial"/>
        </w:rPr>
        <w:t xml:space="preserve"> </w:t>
      </w:r>
      <w:r>
        <w:rPr>
          <w:rFonts w:ascii="Arial" w:hAnsi="Arial" w:cs="Arial"/>
          <w:color w:val="000000"/>
          <w:sz w:val="24"/>
          <w:u w:val="single"/>
        </w:rPr>
        <w:t>研究人群/样本</w:t>
      </w:r>
      <w:bookmarkEnd w:id="25"/>
    </w:p>
    <w:p w14:paraId="688A4196">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卵巢附件肿块评估评分测试系统的预期用途人群包括有已知需要进行手术的盆腔肿块且在基层护理背景（即，妇科医师、内科医师、家庭医生但非妇科肿瘤学家）下已进行评估的患者。卵巢附件肿块评估评分测试系统与术前临床病理学信息向结合，可增加对需要肿瘤学专家和资源进行妇科手术的患者的识别。贵公司应提供贵公司的入选和排除标准。患者应为预期使用人群的代表。食品药品监督管理局推荐贵公司入组美国人群中来自几个独特地理位置的患者。培训数据集中使用的样本不得作为贵公司验证数据集的一部分纳入。</w:t>
      </w:r>
    </w:p>
    <w:p w14:paraId="0236C67C">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计划在绝经前和绝经后女性中分别以及合并评估贵公司的结果。贵公司应指明将如何识别月经状态。如果自我识别，贵公司应提供有定义的患者，并对未提供答案的病例提供计划。最好是对定义可已知应用于患者人群的月经状态有目标方法。例如，年龄、末次月经时间或促卵泡激素（FSH）的血清水平。</w:t>
      </w:r>
    </w:p>
    <w:p w14:paraId="449692B0">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对于所有样本，贵公司均应提供总体和按入组中心划分的汇总患者信息（年龄、人种/种族、月经状态、当前医学状况）。</w:t>
      </w:r>
    </w:p>
    <w:p w14:paraId="21752A1F">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贵公司应提供研究中所有样本数的理由。提供已排除样本的详细叙述和排除的具体原因。不得根据术后结果排除样本。</w:t>
      </w:r>
    </w:p>
    <w:p w14:paraId="73386258">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由于前瞻性临床研究中采集的样本优先，标本库中表征明确的回顾性样本可用于贵公司的临床验证研究，前提是除以上列出的条件外，还应符合下列条件：</w:t>
      </w:r>
    </w:p>
    <w:p w14:paraId="02510344">
      <w:pPr>
        <w:spacing w:before="0" w:after="0"/>
        <w:jc w:val="left"/>
        <w:rPr>
          <w:rFonts w:ascii="Arial" w:hAnsi="Arial" w:cs="Arial"/>
          <w:vertAlign w:val="superscript"/>
          <w:lang w:val="en-US"/>
        </w:rPr>
      </w:pPr>
      <w:r>
        <w:rPr>
          <w:rFonts w:ascii="Arial" w:hAnsi="Arial" w:cs="Arial"/>
          <w:vertAlign w:val="superscript"/>
          <w:lang w:val="en-US"/>
        </w:rPr>
        <w:br w:type="page"/>
      </w:r>
    </w:p>
    <w:p w14:paraId="148E7234">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rPr>
        <w:t>贵公司研究中的标本来自贵公司预期用途人群的代表患者</w:t>
      </w:r>
      <w:r>
        <w:rPr>
          <w:rFonts w:ascii="Arial" w:hAnsi="Arial" w:cs="Arial"/>
          <w:color w:val="000000"/>
          <w:sz w:val="24"/>
        </w:rPr>
        <w:t>。</w:t>
      </w:r>
    </w:p>
    <w:p w14:paraId="2229F2C7">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无选择方法导致的偏倚（即，样本采购应包含时间和研究中心的考虑）。</w:t>
      </w:r>
    </w:p>
    <w:p w14:paraId="36C30620">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无人为分析影响造成的偏倚（即，由于储存条件、多次冻融）。</w:t>
      </w:r>
    </w:p>
    <w:p w14:paraId="1B405A7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库中检索的标本符合样本采集方案的预定义标准。</w:t>
      </w:r>
    </w:p>
    <w:p w14:paraId="1990CA24">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cs/>
        </w:rPr>
        <w:t xml:space="preserve">•    </w:t>
      </w:r>
      <w:r>
        <w:rPr>
          <w:rFonts w:ascii="Arial" w:hAnsi="Arial" w:cs="Arial"/>
          <w:color w:val="000000"/>
          <w:sz w:val="24"/>
        </w:rPr>
        <w:t>样本注释中含以下信息：患者人口统计学（年龄、月经状态）、非符合肿瘤学家进行的术前评估（恶性相比于良性）和手术病理学（组织学诊断，以及如为恶性肿瘤，肿瘤分期）。</w:t>
      </w:r>
    </w:p>
    <w:p w14:paraId="3CD32E98">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我们推荐贵公司在使用库存样本进行验证研究前咨询食品药品监督管理局。</w:t>
      </w:r>
    </w:p>
    <w:p w14:paraId="7B043C0B">
      <w:pPr>
        <w:widowControl w:val="0"/>
        <w:autoSpaceDE w:val="0"/>
        <w:autoSpaceDN w:val="0"/>
        <w:snapToGrid w:val="0"/>
        <w:spacing w:before="0" w:after="0" w:line="300" w:lineRule="auto"/>
        <w:rPr>
          <w:rFonts w:ascii="Arial" w:hAnsi="Arial" w:cs="Arial"/>
          <w:color w:val="000000"/>
          <w:sz w:val="24"/>
        </w:rPr>
      </w:pPr>
    </w:p>
    <w:p w14:paraId="52A2D7E9">
      <w:pPr>
        <w:pStyle w:val="12"/>
        <w:widowControl w:val="0"/>
        <w:numPr>
          <w:ilvl w:val="0"/>
          <w:numId w:val="2"/>
        </w:numPr>
        <w:autoSpaceDE w:val="0"/>
        <w:autoSpaceDN w:val="0"/>
        <w:snapToGrid w:val="0"/>
        <w:spacing w:before="0" w:after="0" w:line="300" w:lineRule="auto"/>
        <w:ind w:firstLineChars="0"/>
        <w:outlineLvl w:val="1"/>
        <w:rPr>
          <w:rFonts w:ascii="Arial" w:hAnsi="Arial" w:cs="Arial"/>
          <w:color w:val="000000"/>
          <w:sz w:val="24"/>
          <w:u w:val="single"/>
        </w:rPr>
      </w:pPr>
      <w:bookmarkStart w:id="26" w:name="_Toc479613619"/>
      <w:r>
        <w:rPr>
          <w:rFonts w:ascii="Arial" w:hAnsi="Arial" w:cs="Arial"/>
          <w:color w:val="000000"/>
          <w:sz w:val="24"/>
          <w:u w:val="single"/>
        </w:rPr>
        <w:t>临界/临床决策点</w:t>
      </w:r>
      <w:bookmarkEnd w:id="26"/>
    </w:p>
    <w:p w14:paraId="330AFE76">
      <w:pPr>
        <w:pStyle w:val="12"/>
        <w:widowControl w:val="0"/>
        <w:autoSpaceDE w:val="0"/>
        <w:autoSpaceDN w:val="0"/>
        <w:snapToGrid w:val="0"/>
        <w:spacing w:before="0" w:after="0" w:line="300" w:lineRule="auto"/>
        <w:ind w:left="465" w:firstLine="0" w:firstLineChars="0"/>
        <w:rPr>
          <w:rFonts w:ascii="Arial" w:hAnsi="Arial" w:cs="Arial"/>
          <w:color w:val="000000"/>
          <w:sz w:val="24"/>
          <w:u w:val="single"/>
        </w:rPr>
      </w:pPr>
    </w:p>
    <w:p w14:paraId="3AEC299B">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的提交材料中，贵公司应解释如何确定临界点（用于区分存在恶性肿瘤和无恶性肿瘤的值）。根据使用临床样本的培训和/或试点研究的接受者操作曲线（ROC）分析，可通过敏感度和特异性的相关水平进行调整，选择适当的临床临界点。所选临床临界点时的临床性能可使用关键临床研究（验证数据集）轻易进行估计。一些情况下，临床临界点可使用无偏倚的程序和适当样本量，在关键临床研究期间确定。如果临床可接受的灵敏度（或特异性）水平为预先设定，则可使用关键研究确立对应于预先设定敏感度水平的临床临界点，并获取评分测试及其所选临界点的临床性能的无偏倚评估（参考2）。如果测试的结果范围推荐再次测试，或不能得出</w:t>
      </w:r>
      <w:r>
        <w:rPr>
          <w:rFonts w:ascii="Arial" w:hAnsi="Arial" w:cs="Arial"/>
          <w:color w:val="000000"/>
          <w:sz w:val="24"/>
          <w:cs/>
        </w:rPr>
        <w:t>“</w:t>
      </w:r>
      <w:r>
        <w:rPr>
          <w:rFonts w:ascii="Arial" w:hAnsi="Arial" w:cs="Arial"/>
          <w:color w:val="000000"/>
          <w:sz w:val="24"/>
        </w:rPr>
        <w:t>阳性或阴性</w:t>
      </w:r>
      <w:r>
        <w:rPr>
          <w:rFonts w:ascii="Arial" w:hAnsi="Arial" w:cs="Arial"/>
          <w:color w:val="000000"/>
          <w:sz w:val="24"/>
          <w:cs/>
        </w:rPr>
        <w:t>”</w:t>
      </w:r>
      <w:r>
        <w:rPr>
          <w:rFonts w:ascii="Arial" w:hAnsi="Arial" w:cs="Arial"/>
          <w:color w:val="000000"/>
          <w:sz w:val="24"/>
        </w:rPr>
        <w:t>结果的测定（即，模糊区），贵公司应解释贵公司如何确定模糊区界限。对于其样本得出模糊结果的患者，贵公司还应判断临床意义。</w:t>
      </w:r>
    </w:p>
    <w:p w14:paraId="1E8A19C3">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如果贵公司的测试对所有患者使用一个临界点，贵公司应证明对于绝经前和绝经后女性，该临界点均适当。我们推荐贵公司在贵公司的试点（或培训）研究中调查针对月经状态选择临界点的需要。如果月经状态与测试结果的解释相关，贵公司应计划充分代表不同月经状态组，并根据月经状态验证临界点。</w:t>
      </w:r>
    </w:p>
    <w:p w14:paraId="7D77F62A">
      <w:pPr>
        <w:widowControl w:val="0"/>
        <w:autoSpaceDE w:val="0"/>
        <w:autoSpaceDN w:val="0"/>
        <w:snapToGrid w:val="0"/>
        <w:spacing w:before="0" w:after="0" w:line="300" w:lineRule="auto"/>
        <w:rPr>
          <w:rFonts w:ascii="Arial" w:hAnsi="Arial" w:cs="Arial"/>
          <w:color w:val="000000"/>
          <w:sz w:val="24"/>
        </w:rPr>
      </w:pPr>
    </w:p>
    <w:p w14:paraId="0103840E">
      <w:pPr>
        <w:pStyle w:val="12"/>
        <w:widowControl w:val="0"/>
        <w:numPr>
          <w:ilvl w:val="0"/>
          <w:numId w:val="2"/>
        </w:numPr>
        <w:autoSpaceDE w:val="0"/>
        <w:autoSpaceDN w:val="0"/>
        <w:snapToGrid w:val="0"/>
        <w:spacing w:before="0" w:after="0" w:line="300" w:lineRule="auto"/>
        <w:ind w:firstLineChars="0"/>
        <w:outlineLvl w:val="1"/>
        <w:rPr>
          <w:rFonts w:ascii="Arial" w:hAnsi="Arial" w:cs="Arial"/>
          <w:color w:val="000000"/>
          <w:sz w:val="24"/>
          <w:u w:val="single"/>
        </w:rPr>
      </w:pPr>
      <w:bookmarkStart w:id="27" w:name="_Toc479613620"/>
      <w:r>
        <w:rPr>
          <w:rFonts w:ascii="Arial" w:hAnsi="Arial" w:cs="Arial"/>
          <w:color w:val="000000"/>
          <w:sz w:val="24"/>
          <w:u w:val="single"/>
        </w:rPr>
        <w:t>临床参考标准（</w:t>
      </w:r>
      <w:r>
        <w:rPr>
          <w:rFonts w:ascii="Arial" w:hAnsi="Arial" w:cs="Arial"/>
          <w:color w:val="000000"/>
          <w:sz w:val="24"/>
          <w:u w:val="single"/>
          <w:cs/>
        </w:rPr>
        <w:t>“</w:t>
      </w:r>
      <w:r>
        <w:rPr>
          <w:rFonts w:ascii="Arial" w:hAnsi="Arial" w:cs="Arial"/>
          <w:color w:val="000000"/>
          <w:sz w:val="24"/>
          <w:u w:val="single"/>
        </w:rPr>
        <w:t>金标准</w:t>
      </w:r>
      <w:r>
        <w:rPr>
          <w:rFonts w:ascii="Arial" w:hAnsi="Arial" w:cs="Arial"/>
          <w:color w:val="000000"/>
          <w:sz w:val="24"/>
          <w:u w:val="single"/>
          <w:cs/>
        </w:rPr>
        <w:t>”</w:t>
      </w:r>
      <w:r>
        <w:rPr>
          <w:rFonts w:ascii="Arial" w:hAnsi="Arial" w:cs="Arial"/>
          <w:color w:val="000000"/>
          <w:sz w:val="24"/>
          <w:u w:val="single"/>
        </w:rPr>
        <w:t>）</w:t>
      </w:r>
      <w:bookmarkEnd w:id="27"/>
    </w:p>
    <w:p w14:paraId="7BD81B65">
      <w:pPr>
        <w:pStyle w:val="12"/>
        <w:widowControl w:val="0"/>
        <w:autoSpaceDE w:val="0"/>
        <w:autoSpaceDN w:val="0"/>
        <w:snapToGrid w:val="0"/>
        <w:spacing w:before="0" w:after="0" w:line="300" w:lineRule="auto"/>
        <w:ind w:left="465" w:firstLine="0" w:firstLineChars="0"/>
        <w:rPr>
          <w:rFonts w:ascii="Arial" w:hAnsi="Arial" w:cs="Arial"/>
          <w:color w:val="000000"/>
          <w:sz w:val="24"/>
          <w:u w:val="single"/>
        </w:rPr>
      </w:pPr>
    </w:p>
    <w:p w14:paraId="65033D5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为评估卵巢附件肿块评估评分测试系统在区别良性或恶性附件肿块方面的性能，应将测试结果与以下手术中获得的组织病理学信息进行比较。对于每例患者/样本，贵公司均应指明肿块为良性或恶性，为恶性时指明病理学诊断（即，上皮性卵巢癌、其他原发性卵巢恶性肿瘤、低恶性潜能（LMP）的卵巢恶性肿瘤、累及卵巢的非原发性卵巢恶性肿瘤、或未累及卵巢的非原发性卵巢恶性肿瘤）、肿瘤分期和组织学（浆液性、粘液性、子宫内膜样等）。病理学结果的分类有2种类别（即，恶性和非恶性），应综合考虑并预先设定。贵公司应说明最终执行手术的人员（妇科肿瘤学家（GO）或符合肿瘤学家以外的医师（非GO））。</w:t>
      </w:r>
    </w:p>
    <w:p w14:paraId="396F8F5A">
      <w:pPr>
        <w:spacing w:before="0" w:after="0"/>
        <w:jc w:val="left"/>
        <w:rPr>
          <w:rFonts w:ascii="Arial" w:hAnsi="Arial" w:cs="Arial"/>
          <w:vertAlign w:val="superscript"/>
          <w:lang w:val="en-US"/>
        </w:rPr>
      </w:pPr>
      <w:r>
        <w:rPr>
          <w:rFonts w:ascii="Arial" w:hAnsi="Arial" w:cs="Arial"/>
          <w:vertAlign w:val="superscript"/>
          <w:lang w:val="en-US"/>
        </w:rPr>
        <w:br w:type="page"/>
      </w:r>
    </w:p>
    <w:p w14:paraId="322E90BB">
      <w:pPr>
        <w:widowControl w:val="0"/>
        <w:autoSpaceDE w:val="0"/>
        <w:autoSpaceDN w:val="0"/>
        <w:snapToGrid w:val="0"/>
        <w:spacing w:before="0" w:after="0" w:line="300" w:lineRule="auto"/>
        <w:outlineLvl w:val="1"/>
        <w:rPr>
          <w:rFonts w:ascii="Arial" w:hAnsi="Arial" w:cs="Arial"/>
          <w:color w:val="000000"/>
          <w:sz w:val="24"/>
          <w:u w:val="single"/>
        </w:rPr>
      </w:pPr>
      <w:bookmarkStart w:id="28" w:name="_Toc479613621"/>
      <w:r>
        <w:rPr>
          <w:rFonts w:ascii="Arial" w:hAnsi="Arial" w:cs="Arial"/>
          <w:color w:val="000000"/>
          <w:sz w:val="24"/>
        </w:rPr>
        <w:t>D.</w:t>
      </w:r>
      <w:r>
        <w:rPr>
          <w:rFonts w:ascii="Arial" w:hAnsi="Arial" w:cs="Arial"/>
        </w:rPr>
        <w:t xml:space="preserve"> </w:t>
      </w:r>
      <w:r>
        <w:rPr>
          <w:rFonts w:ascii="Arial" w:hAnsi="Arial" w:cs="Arial"/>
          <w:color w:val="000000"/>
          <w:sz w:val="24"/>
          <w:u w:val="single"/>
        </w:rPr>
        <w:t>研究设计</w:t>
      </w:r>
      <w:bookmarkEnd w:id="28"/>
    </w:p>
    <w:p w14:paraId="27946515">
      <w:pPr>
        <w:widowControl w:val="0"/>
        <w:autoSpaceDE w:val="0"/>
        <w:autoSpaceDN w:val="0"/>
        <w:snapToGrid w:val="0"/>
        <w:spacing w:before="0" w:after="0" w:line="300" w:lineRule="auto"/>
        <w:rPr>
          <w:rFonts w:ascii="Arial" w:hAnsi="Arial" w:cs="Arial"/>
          <w:color w:val="000000"/>
          <w:sz w:val="24"/>
          <w:u w:val="single"/>
        </w:rPr>
      </w:pPr>
    </w:p>
    <w:p w14:paraId="33E09B8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因为卵巢附件质量评估测试系统与选择用于手术的卵巢肿块患者的临床评估结合使用，但尚未提及GO，因此必须对术前临床进行组织良好的完整记录非GO的评估。对于临床研究中的每例患者，应采集术前和转诊前临床病理学信息（如，患者症状、体检结果、图像、CA 125值），并整合进将肿块识别为</w:t>
      </w:r>
      <w:r>
        <w:rPr>
          <w:rFonts w:ascii="Arial" w:hAnsi="Arial" w:cs="Arial"/>
          <w:color w:val="000000"/>
          <w:sz w:val="24"/>
          <w:cs/>
        </w:rPr>
        <w:t>“</w:t>
      </w:r>
      <w:r>
        <w:rPr>
          <w:rFonts w:ascii="Arial" w:hAnsi="Arial" w:cs="Arial"/>
          <w:color w:val="000000"/>
          <w:sz w:val="24"/>
        </w:rPr>
        <w:t>良性</w:t>
      </w:r>
      <w:r>
        <w:rPr>
          <w:rFonts w:ascii="Arial" w:hAnsi="Arial" w:cs="Arial"/>
          <w:color w:val="000000"/>
          <w:sz w:val="24"/>
          <w:cs/>
        </w:rPr>
        <w:t>”</w:t>
      </w:r>
      <w:r>
        <w:rPr>
          <w:rFonts w:ascii="Arial" w:hAnsi="Arial" w:cs="Arial"/>
          <w:color w:val="000000"/>
          <w:sz w:val="24"/>
        </w:rPr>
        <w:t>或</w:t>
      </w:r>
      <w:r>
        <w:rPr>
          <w:rFonts w:ascii="Arial" w:hAnsi="Arial" w:cs="Arial"/>
          <w:color w:val="000000"/>
          <w:sz w:val="24"/>
          <w:cs/>
        </w:rPr>
        <w:t>“</w:t>
      </w:r>
      <w:r>
        <w:rPr>
          <w:rFonts w:ascii="Arial" w:hAnsi="Arial" w:cs="Arial"/>
          <w:color w:val="000000"/>
          <w:sz w:val="24"/>
        </w:rPr>
        <w:t>恶性</w:t>
      </w:r>
      <w:r>
        <w:rPr>
          <w:rFonts w:ascii="Arial" w:hAnsi="Arial" w:cs="Arial"/>
          <w:color w:val="000000"/>
          <w:sz w:val="24"/>
          <w:cs/>
        </w:rPr>
        <w:t>”</w:t>
      </w:r>
      <w:r>
        <w:rPr>
          <w:rFonts w:ascii="Arial" w:hAnsi="Arial" w:cs="Arial"/>
          <w:color w:val="000000"/>
          <w:sz w:val="24"/>
        </w:rPr>
        <w:t>的二进制术前评估中。评分测试的评估作为除术前信息外的患者评估，应在考虑由非GO进行的术前临床评估和贵公司测试的结果后完成。</w:t>
      </w:r>
      <w:r>
        <w:rPr>
          <w:rFonts w:ascii="Arial" w:hAnsi="Arial" w:cs="Arial"/>
        </w:rPr>
        <w:t>这称为</w:t>
      </w:r>
      <w:r>
        <w:rPr>
          <w:rFonts w:ascii="Arial" w:hAnsi="Arial" w:cs="Arial"/>
          <w:cs/>
        </w:rPr>
        <w:t>“</w:t>
      </w:r>
      <w:r>
        <w:rPr>
          <w:rFonts w:ascii="Arial" w:hAnsi="Arial" w:cs="Arial"/>
        </w:rPr>
        <w:t>OR</w:t>
      </w:r>
      <w:r>
        <w:rPr>
          <w:rFonts w:ascii="Arial" w:hAnsi="Arial" w:cs="Arial"/>
          <w:cs/>
        </w:rPr>
        <w:t>”</w:t>
      </w:r>
      <w:r>
        <w:rPr>
          <w:rFonts w:ascii="Arial" w:hAnsi="Arial" w:cs="Arial"/>
        </w:rPr>
        <w:t>（或）决策规则，即，如果非GO的术前评估为阳性，</w:t>
      </w:r>
      <w:r>
        <w:rPr>
          <w:rFonts w:ascii="Arial" w:hAnsi="Arial" w:cs="Arial"/>
          <w:i/>
        </w:rPr>
        <w:t>或</w:t>
      </w:r>
      <w:r>
        <w:rPr>
          <w:rFonts w:ascii="Arial" w:hAnsi="Arial" w:cs="Arial"/>
        </w:rPr>
        <w:t>如果测试结果发现其为阳性，则将病例视为阳性。</w:t>
      </w:r>
      <w:r>
        <w:rPr>
          <w:rFonts w:ascii="Arial" w:hAnsi="Arial" w:cs="Arial"/>
          <w:color w:val="000000"/>
          <w:sz w:val="24"/>
        </w:rPr>
        <w:t>使用本规则，如果患者的评分测试结果为阴性，术前信息为阳性，则患者应被视为有较高卵巢恶性肿瘤可能性。类似地，如果一例女性的评分测试结果为阳性，术前评估为阴性，则该女性应被视为有较高卵巢恶性肿瘤可能性。使用本方式旨在改善患有恶性盆腔肿块的患者向妇科肿瘤学家的转诊，同时仍确保所有根据单独术前信息也会被转诊的女性的转诊（参考3）。</w:t>
      </w:r>
    </w:p>
    <w:p w14:paraId="5AAE1EE9">
      <w:pPr>
        <w:widowControl w:val="0"/>
        <w:autoSpaceDE w:val="0"/>
        <w:autoSpaceDN w:val="0"/>
        <w:snapToGrid w:val="0"/>
        <w:spacing w:before="0" w:after="0" w:line="300" w:lineRule="auto"/>
        <w:rPr>
          <w:rFonts w:ascii="Arial" w:hAnsi="Arial" w:cs="Arial"/>
          <w:color w:val="000000"/>
          <w:sz w:val="24"/>
        </w:rPr>
      </w:pPr>
    </w:p>
    <w:p w14:paraId="58177905">
      <w:pPr>
        <w:widowControl w:val="0"/>
        <w:autoSpaceDE w:val="0"/>
        <w:autoSpaceDN w:val="0"/>
        <w:snapToGrid w:val="0"/>
        <w:spacing w:before="0" w:after="0" w:line="300" w:lineRule="auto"/>
        <w:rPr>
          <w:rFonts w:ascii="Arial" w:hAnsi="Arial" w:cs="Arial"/>
          <w:color w:val="000000"/>
          <w:sz w:val="16"/>
        </w:rPr>
      </w:pPr>
      <w:r>
        <w:rPr>
          <w:rFonts w:ascii="Arial" w:hAnsi="Arial" w:cs="Arial"/>
          <w:color w:val="000000"/>
          <w:sz w:val="24"/>
        </w:rPr>
        <w:t>未标明评分测试提供了超出单独术前评估的额外信息，贵公司应比较单独术前评估的性能和使用</w:t>
      </w:r>
      <w:r>
        <w:rPr>
          <w:rFonts w:ascii="Arial" w:hAnsi="Arial" w:cs="Arial"/>
          <w:color w:val="000000"/>
          <w:sz w:val="24"/>
          <w:cs/>
        </w:rPr>
        <w:t>“</w:t>
      </w:r>
      <w:r>
        <w:rPr>
          <w:rFonts w:ascii="Arial" w:hAnsi="Arial" w:cs="Arial"/>
          <w:color w:val="000000"/>
          <w:sz w:val="24"/>
        </w:rPr>
        <w:t>OR</w:t>
      </w:r>
      <w:r>
        <w:rPr>
          <w:rFonts w:ascii="Arial" w:hAnsi="Arial" w:cs="Arial"/>
          <w:color w:val="000000"/>
          <w:sz w:val="24"/>
          <w:cs/>
        </w:rPr>
        <w:t>”</w:t>
      </w:r>
      <w:r>
        <w:rPr>
          <w:rFonts w:ascii="Arial" w:hAnsi="Arial" w:cs="Arial"/>
          <w:color w:val="000000"/>
          <w:sz w:val="24"/>
        </w:rPr>
        <w:t>规则结合的术前评估和评分测试性能。阳性预测值（PPV）和阴性预测值（NPV）（或相等的，炎性和阴性似然比）为比较的基础。</w:t>
      </w:r>
      <w:r>
        <w:rPr>
          <w:rFonts w:ascii="Arial" w:hAnsi="Arial" w:cs="Arial"/>
        </w:rPr>
        <w:t>其他信息请参见</w:t>
      </w:r>
      <w:r>
        <w:rPr>
          <w:rFonts w:ascii="Arial" w:hAnsi="Arial" w:cs="Arial"/>
          <w:color w:val="000000"/>
          <w:sz w:val="24"/>
        </w:rPr>
        <w:t>Biggerstaff.</w:t>
      </w:r>
      <w:r>
        <w:rPr>
          <w:rFonts w:ascii="Arial" w:hAnsi="Arial" w:cs="Arial"/>
          <w:color w:val="000000"/>
          <w:sz w:val="16"/>
        </w:rPr>
        <w:t>3</w:t>
      </w:r>
    </w:p>
    <w:p w14:paraId="6F3AA3E8">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贵公司应证明贵公司的测试为生物学相关性亚组人群（如，绝经前、绝经后）提供了额外信息或提供了为何不需要此类测定的可接受理由。</w:t>
      </w:r>
    </w:p>
    <w:p w14:paraId="1D1C1546">
      <w:pPr>
        <w:widowControl w:val="0"/>
        <w:autoSpaceDE w:val="0"/>
        <w:autoSpaceDN w:val="0"/>
        <w:snapToGrid w:val="0"/>
        <w:spacing w:before="0" w:after="0" w:line="300" w:lineRule="auto"/>
        <w:rPr>
          <w:rFonts w:ascii="Arial" w:hAnsi="Arial" w:cs="Arial"/>
          <w:color w:val="000000"/>
          <w:sz w:val="16"/>
          <w:lang w:val="en-US"/>
        </w:rPr>
      </w:pPr>
    </w:p>
    <w:p w14:paraId="4A8882ED">
      <w:pPr>
        <w:widowControl w:val="0"/>
        <w:autoSpaceDE w:val="0"/>
        <w:autoSpaceDN w:val="0"/>
        <w:snapToGrid w:val="0"/>
        <w:spacing w:before="0" w:after="0" w:line="300" w:lineRule="auto"/>
        <w:rPr>
          <w:rFonts w:ascii="Arial" w:hAnsi="Arial" w:cs="Arial"/>
          <w:color w:val="000000"/>
          <w:sz w:val="16"/>
          <w:lang w:val="en-US"/>
        </w:rPr>
      </w:pPr>
    </w:p>
    <w:p w14:paraId="408FFFFF">
      <w:pPr>
        <w:widowControl w:val="0"/>
        <w:autoSpaceDE w:val="0"/>
        <w:autoSpaceDN w:val="0"/>
        <w:snapToGrid w:val="0"/>
        <w:spacing w:before="0" w:after="0" w:line="300" w:lineRule="auto"/>
        <w:rPr>
          <w:rFonts w:ascii="Arial" w:hAnsi="Arial" w:cs="Arial"/>
          <w:color w:val="000000"/>
          <w:sz w:val="16"/>
          <w:lang w:val="en-US"/>
        </w:rPr>
      </w:pPr>
    </w:p>
    <w:p w14:paraId="29843BD9">
      <w:pPr>
        <w:widowControl w:val="0"/>
        <w:autoSpaceDE w:val="0"/>
        <w:autoSpaceDN w:val="0"/>
        <w:snapToGrid w:val="0"/>
        <w:spacing w:before="0" w:after="0" w:line="300" w:lineRule="auto"/>
        <w:rPr>
          <w:rFonts w:ascii="Arial" w:hAnsi="Arial" w:cs="Arial"/>
          <w:color w:val="000000"/>
          <w:sz w:val="16"/>
          <w:lang w:val="en-US"/>
        </w:rPr>
      </w:pPr>
    </w:p>
    <w:p w14:paraId="6D875989">
      <w:pPr>
        <w:widowControl w:val="0"/>
        <w:autoSpaceDE w:val="0"/>
        <w:autoSpaceDN w:val="0"/>
        <w:snapToGrid w:val="0"/>
        <w:spacing w:before="0" w:after="0" w:line="300" w:lineRule="auto"/>
        <w:rPr>
          <w:rFonts w:ascii="Arial" w:hAnsi="Arial" w:cs="Arial"/>
          <w:color w:val="000000"/>
          <w:sz w:val="16"/>
          <w:lang w:val="en-US"/>
        </w:rPr>
      </w:pPr>
    </w:p>
    <w:p w14:paraId="1B0B9EC3">
      <w:pPr>
        <w:widowControl w:val="0"/>
        <w:autoSpaceDE w:val="0"/>
        <w:autoSpaceDN w:val="0"/>
        <w:snapToGrid w:val="0"/>
        <w:spacing w:before="0" w:after="0" w:line="300" w:lineRule="auto"/>
        <w:rPr>
          <w:rFonts w:ascii="Arial" w:hAnsi="Arial" w:cs="Arial"/>
          <w:color w:val="000000"/>
          <w:sz w:val="16"/>
          <w:lang w:val="en-US"/>
        </w:rPr>
      </w:pPr>
    </w:p>
    <w:p w14:paraId="686565BD">
      <w:pPr>
        <w:widowControl w:val="0"/>
        <w:autoSpaceDE w:val="0"/>
        <w:autoSpaceDN w:val="0"/>
        <w:snapToGrid w:val="0"/>
        <w:spacing w:before="0" w:after="0" w:line="300" w:lineRule="auto"/>
        <w:rPr>
          <w:rFonts w:ascii="Arial" w:hAnsi="Arial" w:cs="Arial"/>
          <w:color w:val="000000"/>
          <w:sz w:val="16"/>
          <w:lang w:val="en-US"/>
        </w:rPr>
      </w:pPr>
    </w:p>
    <w:p w14:paraId="28B094DE">
      <w:pPr>
        <w:widowControl w:val="0"/>
        <w:autoSpaceDE w:val="0"/>
        <w:autoSpaceDN w:val="0"/>
        <w:snapToGrid w:val="0"/>
        <w:spacing w:before="0" w:after="0" w:line="300" w:lineRule="auto"/>
        <w:rPr>
          <w:rFonts w:ascii="Arial" w:hAnsi="Arial" w:cs="Arial"/>
          <w:color w:val="000000"/>
          <w:sz w:val="16"/>
          <w:lang w:val="en-US"/>
        </w:rPr>
      </w:pPr>
    </w:p>
    <w:p w14:paraId="146A41B8">
      <w:pPr>
        <w:widowControl w:val="0"/>
        <w:autoSpaceDE w:val="0"/>
        <w:autoSpaceDN w:val="0"/>
        <w:snapToGrid w:val="0"/>
        <w:spacing w:before="0" w:after="0" w:line="300" w:lineRule="auto"/>
        <w:rPr>
          <w:rFonts w:ascii="Arial" w:hAnsi="Arial" w:cs="Arial"/>
          <w:color w:val="000000"/>
          <w:sz w:val="16"/>
          <w:lang w:val="en-US"/>
        </w:rPr>
      </w:pPr>
    </w:p>
    <w:p w14:paraId="21D7293E">
      <w:pPr>
        <w:widowControl w:val="0"/>
        <w:autoSpaceDE w:val="0"/>
        <w:autoSpaceDN w:val="0"/>
        <w:snapToGrid w:val="0"/>
        <w:spacing w:before="0" w:after="0" w:line="300" w:lineRule="auto"/>
        <w:rPr>
          <w:rFonts w:ascii="Arial" w:hAnsi="Arial" w:cs="Arial"/>
          <w:color w:val="000000"/>
          <w:sz w:val="16"/>
          <w:lang w:val="en-US"/>
        </w:rPr>
      </w:pPr>
    </w:p>
    <w:p w14:paraId="44D7F07B">
      <w:pPr>
        <w:widowControl w:val="0"/>
        <w:autoSpaceDE w:val="0"/>
        <w:autoSpaceDN w:val="0"/>
        <w:snapToGrid w:val="0"/>
        <w:spacing w:before="0" w:after="0" w:line="300" w:lineRule="auto"/>
        <w:rPr>
          <w:rFonts w:ascii="Arial" w:hAnsi="Arial" w:cs="Arial"/>
          <w:color w:val="000000"/>
          <w:sz w:val="16"/>
          <w:lang w:val="en-US"/>
        </w:rPr>
      </w:pPr>
    </w:p>
    <w:p w14:paraId="6E73A28B">
      <w:pPr>
        <w:widowControl w:val="0"/>
        <w:autoSpaceDE w:val="0"/>
        <w:autoSpaceDN w:val="0"/>
        <w:snapToGrid w:val="0"/>
        <w:spacing w:before="0" w:after="0" w:line="300" w:lineRule="auto"/>
        <w:rPr>
          <w:rFonts w:ascii="Arial" w:hAnsi="Arial" w:cs="Arial"/>
          <w:color w:val="000000"/>
          <w:sz w:val="16"/>
          <w:lang w:val="en-US"/>
        </w:rPr>
      </w:pPr>
    </w:p>
    <w:p w14:paraId="5CA04045">
      <w:pPr>
        <w:widowControl w:val="0"/>
        <w:autoSpaceDE w:val="0"/>
        <w:autoSpaceDN w:val="0"/>
        <w:snapToGrid w:val="0"/>
        <w:spacing w:before="0" w:after="0" w:line="300" w:lineRule="auto"/>
        <w:rPr>
          <w:rFonts w:ascii="Arial" w:hAnsi="Arial" w:cs="Arial"/>
          <w:color w:val="000000"/>
          <w:sz w:val="16"/>
          <w:lang w:val="en-US"/>
        </w:rPr>
      </w:pPr>
    </w:p>
    <w:p w14:paraId="4AEDE692">
      <w:pPr>
        <w:widowControl w:val="0"/>
        <w:autoSpaceDE w:val="0"/>
        <w:autoSpaceDN w:val="0"/>
        <w:snapToGrid w:val="0"/>
        <w:spacing w:before="0" w:after="0" w:line="300" w:lineRule="auto"/>
        <w:rPr>
          <w:rFonts w:ascii="Arial" w:hAnsi="Arial" w:cs="Arial"/>
          <w:color w:val="000000"/>
          <w:sz w:val="16"/>
          <w:lang w:val="en-US"/>
        </w:rPr>
      </w:pPr>
    </w:p>
    <w:p w14:paraId="369BC4F0">
      <w:pPr>
        <w:widowControl w:val="0"/>
        <w:autoSpaceDE w:val="0"/>
        <w:autoSpaceDN w:val="0"/>
        <w:snapToGrid w:val="0"/>
        <w:spacing w:before="0" w:after="0" w:line="300" w:lineRule="auto"/>
        <w:rPr>
          <w:rFonts w:ascii="Arial" w:hAnsi="Arial" w:cs="Arial"/>
          <w:color w:val="000000"/>
          <w:sz w:val="16"/>
          <w:lang w:val="en-US"/>
        </w:rPr>
      </w:pPr>
    </w:p>
    <w:p w14:paraId="43DEEE33">
      <w:pPr>
        <w:widowControl w:val="0"/>
        <w:autoSpaceDE w:val="0"/>
        <w:autoSpaceDN w:val="0"/>
        <w:snapToGrid w:val="0"/>
        <w:spacing w:before="0" w:after="0" w:line="300" w:lineRule="auto"/>
        <w:rPr>
          <w:rFonts w:ascii="Arial" w:hAnsi="Arial" w:cs="Arial"/>
          <w:color w:val="000000"/>
          <w:sz w:val="16"/>
          <w:lang w:val="en-US"/>
        </w:rPr>
      </w:pPr>
    </w:p>
    <w:p w14:paraId="2CAB0E33">
      <w:pPr>
        <w:widowControl w:val="0"/>
        <w:autoSpaceDE w:val="0"/>
        <w:autoSpaceDN w:val="0"/>
        <w:snapToGrid w:val="0"/>
        <w:spacing w:before="0" w:after="0" w:line="300" w:lineRule="auto"/>
        <w:rPr>
          <w:rFonts w:ascii="Arial" w:hAnsi="Arial" w:cs="Arial"/>
          <w:color w:val="000000"/>
          <w:sz w:val="16"/>
          <w:lang w:val="en-US"/>
        </w:rPr>
      </w:pPr>
    </w:p>
    <w:p w14:paraId="62A56690">
      <w:pPr>
        <w:widowControl w:val="0"/>
        <w:autoSpaceDE w:val="0"/>
        <w:autoSpaceDN w:val="0"/>
        <w:snapToGrid w:val="0"/>
        <w:spacing w:before="0" w:after="0" w:line="300" w:lineRule="auto"/>
        <w:rPr>
          <w:rFonts w:ascii="Arial" w:hAnsi="Arial" w:cs="Arial"/>
          <w:color w:val="000000"/>
          <w:sz w:val="16"/>
          <w:lang w:val="en-US"/>
        </w:rPr>
      </w:pPr>
    </w:p>
    <w:p w14:paraId="13618D68">
      <w:pPr>
        <w:widowControl w:val="0"/>
        <w:autoSpaceDE w:val="0"/>
        <w:autoSpaceDN w:val="0"/>
        <w:snapToGrid w:val="0"/>
        <w:spacing w:before="0" w:after="0" w:line="300" w:lineRule="auto"/>
        <w:rPr>
          <w:rFonts w:ascii="Arial" w:hAnsi="Arial" w:cs="Arial"/>
          <w:color w:val="000000"/>
          <w:sz w:val="16"/>
          <w:lang w:val="en-US"/>
        </w:rPr>
      </w:pPr>
    </w:p>
    <w:p w14:paraId="09A7C5F2">
      <w:pPr>
        <w:widowControl w:val="0"/>
        <w:autoSpaceDE w:val="0"/>
        <w:autoSpaceDN w:val="0"/>
        <w:snapToGrid w:val="0"/>
        <w:spacing w:before="0" w:after="0" w:line="300" w:lineRule="auto"/>
        <w:rPr>
          <w:rFonts w:ascii="Arial" w:hAnsi="Arial" w:cs="Arial"/>
          <w:color w:val="000000"/>
          <w:sz w:val="16"/>
          <w:lang w:val="en-US"/>
        </w:rPr>
      </w:pPr>
    </w:p>
    <w:p w14:paraId="43A06107">
      <w:pPr>
        <w:widowControl w:val="0"/>
        <w:autoSpaceDE w:val="0"/>
        <w:autoSpaceDN w:val="0"/>
        <w:snapToGrid w:val="0"/>
        <w:spacing w:before="0" w:after="0" w:line="300" w:lineRule="auto"/>
        <w:rPr>
          <w:rFonts w:ascii="Arial" w:hAnsi="Arial" w:cs="Arial"/>
          <w:color w:val="000000"/>
          <w:sz w:val="16"/>
          <w:lang w:val="en-US"/>
        </w:rPr>
      </w:pPr>
    </w:p>
    <w:p w14:paraId="7D70E0E1">
      <w:pPr>
        <w:widowControl w:val="0"/>
        <w:autoSpaceDE w:val="0"/>
        <w:autoSpaceDN w:val="0"/>
        <w:snapToGrid w:val="0"/>
        <w:spacing w:before="0" w:after="0" w:line="300" w:lineRule="auto"/>
        <w:rPr>
          <w:rFonts w:ascii="Arial" w:hAnsi="Arial" w:cs="Arial"/>
          <w:color w:val="000000"/>
          <w:sz w:val="16"/>
          <w:lang w:val="en-US"/>
        </w:rPr>
      </w:pPr>
    </w:p>
    <w:p w14:paraId="30DB875B">
      <w:pPr>
        <w:widowControl w:val="0"/>
        <w:autoSpaceDE w:val="0"/>
        <w:autoSpaceDN w:val="0"/>
        <w:snapToGrid w:val="0"/>
        <w:spacing w:before="0" w:after="0" w:line="300" w:lineRule="auto"/>
        <w:rPr>
          <w:rFonts w:ascii="Arial" w:hAnsi="Arial" w:cs="Arial"/>
          <w:color w:val="000000"/>
          <w:sz w:val="16"/>
          <w:lang w:val="en-US"/>
        </w:rPr>
      </w:pPr>
    </w:p>
    <w:p w14:paraId="613A4AA8">
      <w:pPr>
        <w:widowControl w:val="0"/>
        <w:autoSpaceDE w:val="0"/>
        <w:autoSpaceDN w:val="0"/>
        <w:snapToGrid w:val="0"/>
        <w:spacing w:before="0" w:after="0" w:line="300" w:lineRule="auto"/>
        <w:rPr>
          <w:rFonts w:ascii="Arial" w:hAnsi="Arial" w:cs="Arial"/>
          <w:color w:val="000000"/>
          <w:sz w:val="16"/>
          <w:lang w:val="en-US"/>
        </w:rPr>
      </w:pPr>
      <w:r>
        <w:rPr>
          <w:rFonts w:ascii="Arial" w:hAnsi="Arial" w:cs="Arial"/>
          <w:color w:val="000000"/>
          <w:sz w:val="16"/>
          <w:lang w:val="en-US"/>
        </w:rPr>
        <mc:AlternateContent>
          <mc:Choice Requires="wps">
            <w:drawing>
              <wp:anchor distT="0" distB="0" distL="114300" distR="114300" simplePos="0" relativeHeight="251669504" behindDoc="0" locked="0" layoutInCell="1" allowOverlap="1">
                <wp:simplePos x="0" y="0"/>
                <wp:positionH relativeFrom="column">
                  <wp:posOffset>19685</wp:posOffset>
                </wp:positionH>
                <wp:positionV relativeFrom="paragraph">
                  <wp:posOffset>67945</wp:posOffset>
                </wp:positionV>
                <wp:extent cx="1894205" cy="0"/>
                <wp:effectExtent l="0" t="0" r="30480" b="19050"/>
                <wp:wrapNone/>
                <wp:docPr id="12" name="直接连接符 12"/>
                <wp:cNvGraphicFramePr/>
                <a:graphic xmlns:a="http://schemas.openxmlformats.org/drawingml/2006/main">
                  <a:graphicData uri="http://schemas.microsoft.com/office/word/2010/wordprocessingShape">
                    <wps:wsp>
                      <wps:cNvCnPr/>
                      <wps:spPr>
                        <a:xfrm>
                          <a:off x="0" y="0"/>
                          <a:ext cx="18941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5.35pt;height:0pt;width:149.15pt;z-index:251669504;mso-width-relative:page;mso-height-relative:page;" filled="f" stroked="t" coordsize="21600,21600" o:gfxdata="UEsDBAoAAAAAAIdO4kAAAAAAAAAAAAAAAAAEAAAAZHJzL1BLAwQUAAAACACHTuJAxTJS3NMAAAAH&#10;AQAADwAAAGRycy9kb3ducmV2LnhtbE2OMU/DMBCFdyT+g3VIbNQORaQKcTogMSAhAYGB0U2uSVr7&#10;HGw3Cf+eQwww3ntP333ldnFWTBji4ElDtlIgkBrfDtRpeH97uNqAiMlQa6wn1PCFEbbV+VlpitbP&#10;9IpTnTrBEIqF0dCnNBZSxqZHZ+LKj0jc7X1wJvEZOtkGMzPcWXmt1K10ZiD+0JsR73tsjvXJMYXy&#10;z/1iw8fL81O/qecDPk45an15kak7EAmX9DeGH31Wh4qddv5EbRRWwzrjIccqB8H1WmU3IHa/gaxK&#10;+d+/+gZQSwMEFAAAAAgAh07iQDmkaPTkAQAAswMAAA4AAABkcnMvZTJvRG9jLnhtbK1TzW4TMRC+&#10;I/EOlu9kk1CqsMqmh0blgiAS8AATr71ryX/yuNnkJXgBJG5w4sidt6F9DMbeNC3l0gN78I7n5xt/&#10;n8fLi701bCcjau8aPptMOZNO+Fa7ruGfPl69WHCGCVwLxjvZ8INEfrF6/mw5hFrOfe9NKyMjEIf1&#10;EBrepxTqqkLRSws48UE6CiofLSTaxq5qIwyEbk01n07Pq8HHNkQvJCJ512OQHxHjUwC9UlrItRfX&#10;Vro0okZpIBEl7HVAviqnVUqK9F4plImZhhPTVFZqQvY2r9VqCXUXIfRaHI8ATznCI04WtKOmJ6g1&#10;JGDXUf8DZbWIHr1KE+FtNRIpihCL2fSRNh96CLJwIakxnETH/wcr3u02kemWJmHOmQNLN37z5efv&#10;z99uf32l9ebHd0YRkmkIWFP2pdvE4w7DJmbOexVt/hMbti/SHk7Syn1igpyzxeuz2eyMM3EXq+4L&#10;Q8T0RnrLstFwo11mDTXs3mKiZpR6l5Ldzl9pY8rNGceGhp+/fEX3KYCmUdEUkGkDMULXcQamozEX&#10;KRZE9Ea3uTrjYOy2lyayHeThKF8mSt3+Ssut14D9mFdC49hYneglGG0bvnhYbRyBZLlGgbK19e2h&#10;6Fb8dJelzXHu8rA83Jfq+7e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MlLc0wAAAAcBAAAP&#10;AAAAAAAAAAEAIAAAACIAAABkcnMvZG93bnJldi54bWxQSwECFAAUAAAACACHTuJAOaRo9OQBAACz&#10;AwAADgAAAAAAAAABACAAAAAiAQAAZHJzL2Uyb0RvYy54bWxQSwUGAAAAAAYABgBZAQAAeAUAAAAA&#10;">
                <v:fill on="f" focussize="0,0"/>
                <v:stroke weight="0.5pt" color="#000000 [3213]" miterlimit="8" joinstyle="miter"/>
                <v:imagedata o:title=""/>
                <o:lock v:ext="edit" aspectratio="f"/>
              </v:line>
            </w:pict>
          </mc:Fallback>
        </mc:AlternateContent>
      </w:r>
    </w:p>
    <w:p w14:paraId="1B149079">
      <w:pPr>
        <w:widowControl w:val="0"/>
        <w:autoSpaceDE w:val="0"/>
        <w:autoSpaceDN w:val="0"/>
        <w:snapToGrid w:val="0"/>
        <w:spacing w:before="0" w:after="0" w:line="300" w:lineRule="auto"/>
        <w:rPr>
          <w:rFonts w:ascii="Arial" w:hAnsi="Arial" w:cs="Arial"/>
          <w:color w:val="000000"/>
          <w:sz w:val="20"/>
          <w:lang w:val="en-US"/>
        </w:rPr>
      </w:pPr>
      <w:r>
        <w:rPr>
          <w:rFonts w:ascii="Arial" w:hAnsi="Arial" w:cs="Arial"/>
          <w:color w:val="000000"/>
          <w:sz w:val="16"/>
          <w:lang w:val="en-US"/>
        </w:rPr>
        <w:t xml:space="preserve">3 </w:t>
      </w:r>
      <w:r>
        <w:rPr>
          <w:rFonts w:ascii="Arial" w:hAnsi="Arial" w:cs="Arial"/>
          <w:color w:val="000000"/>
          <w:sz w:val="20"/>
          <w:lang w:val="en-US"/>
        </w:rPr>
        <w:t>Biggerstaff，B.J.</w:t>
      </w:r>
      <w:r>
        <w:rPr>
          <w:rFonts w:hint="eastAsia"/>
        </w:rPr>
        <w:t xml:space="preserve"> </w:t>
      </w:r>
      <w:r>
        <w:rPr>
          <w:rFonts w:hint="eastAsia" w:ascii="Arial" w:hAnsi="Arial" w:cs="Arial"/>
          <w:color w:val="000000"/>
          <w:sz w:val="20"/>
          <w:lang w:val="en-US"/>
        </w:rPr>
        <w:t>比较诊断测试：使用似然比的简单图形。医学统计2000，19：649-663。</w:t>
      </w:r>
    </w:p>
    <w:p w14:paraId="522C5154">
      <w:pPr>
        <w:spacing w:before="0" w:after="0"/>
        <w:jc w:val="left"/>
        <w:rPr>
          <w:rFonts w:ascii="Arial" w:hAnsi="Arial" w:cs="Arial"/>
          <w:vertAlign w:val="superscript"/>
          <w:lang w:val="en-US"/>
        </w:rPr>
      </w:pPr>
      <w:r>
        <w:rPr>
          <w:rFonts w:ascii="Arial" w:hAnsi="Arial" w:cs="Arial"/>
          <w:vertAlign w:val="superscript"/>
          <w:lang w:val="en-US"/>
        </w:rPr>
        <w:br w:type="page"/>
      </w:r>
    </w:p>
    <w:p w14:paraId="383D2CDC">
      <w:pPr>
        <w:widowControl w:val="0"/>
        <w:autoSpaceDE w:val="0"/>
        <w:autoSpaceDN w:val="0"/>
        <w:snapToGrid w:val="0"/>
        <w:spacing w:before="0" w:after="0" w:line="300" w:lineRule="auto"/>
        <w:rPr>
          <w:rFonts w:ascii="Arial" w:hAnsi="Arial" w:cs="Arial"/>
          <w:sz w:val="24"/>
          <w:szCs w:val="24"/>
        </w:rPr>
      </w:pPr>
      <w:r>
        <w:rPr>
          <w:rFonts w:ascii="Arial" w:hAnsi="Arial" w:cs="Arial"/>
          <w:color w:val="000000"/>
          <w:sz w:val="24"/>
          <w:szCs w:val="24"/>
        </w:rPr>
        <w:t>考虑测试T1和测试T1及T2组合OR的一般方案。</w:t>
      </w:r>
      <w:r>
        <w:rPr>
          <w:rFonts w:ascii="Arial" w:hAnsi="Arial" w:cs="Arial"/>
          <w:color w:val="000000"/>
          <w:sz w:val="24"/>
          <w:szCs w:val="24"/>
          <w:cs/>
        </w:rPr>
        <w:t>“</w:t>
      </w:r>
      <w:r>
        <w:rPr>
          <w:rFonts w:ascii="Arial" w:hAnsi="Arial" w:cs="Arial"/>
          <w:color w:val="000000"/>
          <w:sz w:val="24"/>
          <w:szCs w:val="24"/>
        </w:rPr>
        <w:t>OR</w:t>
      </w:r>
      <w:r>
        <w:rPr>
          <w:rFonts w:ascii="Arial" w:hAnsi="Arial" w:cs="Arial"/>
          <w:color w:val="000000"/>
          <w:sz w:val="24"/>
          <w:szCs w:val="24"/>
          <w:cs/>
        </w:rPr>
        <w:t>”</w:t>
      </w:r>
      <w:r>
        <w:rPr>
          <w:rFonts w:ascii="Arial" w:hAnsi="Arial" w:cs="Arial"/>
          <w:color w:val="000000"/>
          <w:sz w:val="24"/>
          <w:szCs w:val="24"/>
        </w:rPr>
        <w:t>组合的灵敏度至少与单独T1的灵敏度同样大。</w:t>
      </w:r>
      <w:r>
        <w:rPr>
          <w:rFonts w:ascii="Arial" w:hAnsi="Arial" w:cs="Arial"/>
          <w:color w:val="000000"/>
          <w:sz w:val="24"/>
          <w:szCs w:val="24"/>
          <w:cs/>
        </w:rPr>
        <w:t>“</w:t>
      </w:r>
      <w:r>
        <w:rPr>
          <w:rFonts w:ascii="Arial" w:hAnsi="Arial" w:cs="Arial"/>
          <w:color w:val="000000"/>
          <w:sz w:val="24"/>
          <w:szCs w:val="24"/>
        </w:rPr>
        <w:t>OR</w:t>
      </w:r>
      <w:r>
        <w:rPr>
          <w:rFonts w:ascii="Arial" w:hAnsi="Arial" w:cs="Arial"/>
          <w:color w:val="000000"/>
          <w:sz w:val="24"/>
          <w:szCs w:val="24"/>
          <w:cs/>
        </w:rPr>
        <w:t>”</w:t>
      </w:r>
      <w:r>
        <w:rPr>
          <w:rFonts w:ascii="Arial" w:hAnsi="Arial" w:cs="Arial"/>
          <w:color w:val="000000"/>
          <w:sz w:val="24"/>
          <w:szCs w:val="24"/>
        </w:rPr>
        <w:t>组合的特异性与单独T1的特异性相同或较差。因此，组合</w:t>
      </w:r>
      <w:r>
        <w:rPr>
          <w:rFonts w:ascii="Arial" w:hAnsi="Arial" w:cs="Arial"/>
          <w:color w:val="000000"/>
          <w:sz w:val="24"/>
          <w:szCs w:val="24"/>
          <w:cs/>
        </w:rPr>
        <w:t>“</w:t>
      </w:r>
      <w:r>
        <w:rPr>
          <w:rFonts w:ascii="Arial" w:hAnsi="Arial" w:cs="Arial"/>
          <w:color w:val="000000"/>
          <w:sz w:val="24"/>
          <w:szCs w:val="24"/>
        </w:rPr>
        <w:t>OR</w:t>
      </w:r>
      <w:r>
        <w:rPr>
          <w:rFonts w:ascii="Arial" w:hAnsi="Arial" w:cs="Arial"/>
          <w:color w:val="000000"/>
          <w:sz w:val="24"/>
          <w:szCs w:val="24"/>
          <w:cs/>
        </w:rPr>
        <w:t>”</w:t>
      </w:r>
      <w:r>
        <w:rPr>
          <w:rFonts w:ascii="Arial" w:hAnsi="Arial" w:cs="Arial"/>
          <w:color w:val="000000"/>
          <w:sz w:val="24"/>
          <w:szCs w:val="24"/>
        </w:rPr>
        <w:t>在灵敏度和特异性之间存在固有的权衡。</w:t>
      </w:r>
      <w:r>
        <w:rPr>
          <w:rFonts w:ascii="Arial" w:hAnsi="Arial" w:cs="Arial"/>
          <w:sz w:val="24"/>
          <w:szCs w:val="24"/>
        </w:rPr>
        <w:t>如果结合的特异性显示明显降低，结合单独灵敏度的升高不能证明T1和T2组合（OR）有效。</w:t>
      </w:r>
    </w:p>
    <w:p w14:paraId="70D10ACA">
      <w:pPr>
        <w:widowControl w:val="0"/>
        <w:autoSpaceDE w:val="0"/>
        <w:autoSpaceDN w:val="0"/>
        <w:snapToGrid w:val="0"/>
        <w:spacing w:before="0" w:after="0" w:line="300" w:lineRule="auto"/>
        <w:rPr>
          <w:rFonts w:ascii="Arial" w:hAnsi="Arial" w:cs="Arial"/>
          <w:color w:val="000000"/>
          <w:sz w:val="24"/>
          <w:szCs w:val="24"/>
        </w:rPr>
      </w:pPr>
    </w:p>
    <w:p w14:paraId="53C2DA9C">
      <w:pPr>
        <w:widowControl w:val="0"/>
        <w:autoSpaceDE w:val="0"/>
        <w:autoSpaceDN w:val="0"/>
        <w:snapToGrid w:val="0"/>
        <w:spacing w:before="0" w:after="0" w:line="300" w:lineRule="auto"/>
        <w:rPr>
          <w:rFonts w:ascii="Arial" w:hAnsi="Arial" w:cs="Arial"/>
          <w:color w:val="000000"/>
          <w:sz w:val="24"/>
          <w:szCs w:val="24"/>
        </w:rPr>
      </w:pPr>
      <w:r>
        <w:rPr>
          <w:rFonts w:ascii="Arial" w:hAnsi="Arial" w:cs="Arial"/>
          <w:color w:val="000000"/>
          <w:sz w:val="24"/>
          <w:szCs w:val="24"/>
        </w:rPr>
        <w:t>临床研究的数据应表明</w:t>
      </w:r>
    </w:p>
    <w:p w14:paraId="384E50AD">
      <w:pPr>
        <w:widowControl w:val="0"/>
        <w:autoSpaceDE w:val="0"/>
        <w:autoSpaceDN w:val="0"/>
        <w:snapToGrid w:val="0"/>
        <w:spacing w:before="0" w:after="0" w:line="300" w:lineRule="auto"/>
        <w:ind w:left="406" w:hanging="405" w:hangingChars="169"/>
        <w:rPr>
          <w:rFonts w:ascii="Arial" w:hAnsi="Arial" w:cs="Arial"/>
          <w:color w:val="000000"/>
          <w:sz w:val="24"/>
          <w:szCs w:val="24"/>
        </w:rPr>
      </w:pPr>
      <w:r>
        <w:rPr>
          <w:rFonts w:ascii="Arial" w:hAnsi="Arial" w:cs="Arial"/>
          <w:color w:val="000000"/>
          <w:sz w:val="24"/>
          <w:szCs w:val="24"/>
          <w:cs/>
        </w:rPr>
        <w:t xml:space="preserve">•    </w:t>
      </w:r>
      <w:r>
        <w:rPr>
          <w:rFonts w:ascii="Arial" w:hAnsi="Arial" w:cs="Arial"/>
          <w:sz w:val="24"/>
          <w:szCs w:val="24"/>
        </w:rPr>
        <w:t>组合OR（术前评估和评分测试）的NPV与单独术前评估的NPV相比，有统计学和临床显著的改善</w:t>
      </w:r>
      <w:r>
        <w:rPr>
          <w:rFonts w:ascii="Arial" w:hAnsi="Arial" w:cs="Arial"/>
          <w:color w:val="000000"/>
          <w:sz w:val="24"/>
          <w:szCs w:val="24"/>
        </w:rPr>
        <w:t>；且</w:t>
      </w:r>
    </w:p>
    <w:p w14:paraId="5F30507E">
      <w:pPr>
        <w:widowControl w:val="0"/>
        <w:autoSpaceDE w:val="0"/>
        <w:autoSpaceDN w:val="0"/>
        <w:snapToGrid w:val="0"/>
        <w:spacing w:before="0" w:after="0" w:line="300" w:lineRule="auto"/>
        <w:ind w:left="362" w:hanging="362" w:hangingChars="151"/>
        <w:rPr>
          <w:rFonts w:ascii="Arial" w:hAnsi="Arial" w:cs="Arial"/>
          <w:color w:val="000000"/>
          <w:sz w:val="24"/>
          <w:szCs w:val="24"/>
        </w:rPr>
      </w:pPr>
      <w:r>
        <w:rPr>
          <w:rFonts w:ascii="Arial" w:hAnsi="Arial" w:cs="Arial"/>
          <w:color w:val="000000"/>
          <w:sz w:val="24"/>
          <w:szCs w:val="24"/>
          <w:cs/>
        </w:rPr>
        <w:t xml:space="preserve">•    </w:t>
      </w:r>
      <w:r>
        <w:rPr>
          <w:rFonts w:ascii="Arial" w:hAnsi="Arial" w:cs="Arial"/>
          <w:color w:val="000000"/>
          <w:sz w:val="24"/>
          <w:szCs w:val="24"/>
        </w:rPr>
        <w:t>如果术前评估和评分试验组合OR的PPV与单独术前评估相比有损失，则PPV中的该损失应在临床上可接受。</w:t>
      </w:r>
    </w:p>
    <w:p w14:paraId="58AD39FC">
      <w:pPr>
        <w:widowControl w:val="0"/>
        <w:autoSpaceDE w:val="0"/>
        <w:autoSpaceDN w:val="0"/>
        <w:snapToGrid w:val="0"/>
        <w:spacing w:before="0" w:after="0" w:line="300" w:lineRule="auto"/>
        <w:ind w:left="362" w:hanging="362" w:hangingChars="151"/>
        <w:rPr>
          <w:rFonts w:ascii="Arial" w:hAnsi="Arial" w:cs="Arial"/>
          <w:color w:val="000000"/>
          <w:sz w:val="24"/>
          <w:szCs w:val="24"/>
        </w:rPr>
      </w:pPr>
    </w:p>
    <w:p w14:paraId="33FDA8C7">
      <w:pPr>
        <w:widowControl w:val="0"/>
        <w:autoSpaceDE w:val="0"/>
        <w:autoSpaceDN w:val="0"/>
        <w:snapToGrid w:val="0"/>
        <w:spacing w:before="0" w:after="0" w:line="300" w:lineRule="auto"/>
        <w:rPr>
          <w:rFonts w:ascii="Arial" w:hAnsi="Arial" w:cs="Arial"/>
          <w:color w:val="000000"/>
          <w:sz w:val="24"/>
          <w:szCs w:val="24"/>
        </w:rPr>
      </w:pPr>
      <w:r>
        <w:rPr>
          <w:rFonts w:ascii="Arial" w:hAnsi="Arial" w:cs="Arial"/>
          <w:color w:val="000000"/>
          <w:sz w:val="24"/>
          <w:szCs w:val="24"/>
        </w:rPr>
        <w:t>这些成功标准的逻辑开发如下。</w:t>
      </w:r>
      <w:r>
        <w:rPr>
          <w:rFonts w:ascii="Arial" w:hAnsi="Arial" w:cs="Arial"/>
          <w:sz w:val="24"/>
          <w:szCs w:val="24"/>
        </w:rPr>
        <w:t>考虑在灵敏度和1-特异性绘图上连接点（0，0）和测试T1相应点的直线</w:t>
      </w:r>
      <w:r>
        <w:rPr>
          <w:rFonts w:ascii="Arial" w:hAnsi="Arial" w:cs="Arial"/>
          <w:color w:val="000000"/>
          <w:sz w:val="24"/>
          <w:szCs w:val="24"/>
        </w:rPr>
        <w:t>（参见下图1）。</w:t>
      </w:r>
      <w:r>
        <w:rPr>
          <w:rFonts w:ascii="Arial" w:hAnsi="Arial" w:cs="Arial"/>
          <w:sz w:val="24"/>
          <w:szCs w:val="24"/>
        </w:rPr>
        <w:t>本线条标识与测试T1有相同PPV的测试的性能特征。连接点（1，1）和测试T1相应点的直线表示与测试T1有相同4 NPV的测试性能特征</w:t>
      </w:r>
      <w:r>
        <w:rPr>
          <w:rFonts w:ascii="Arial" w:hAnsi="Arial" w:cs="Arial"/>
          <w:color w:val="000000"/>
          <w:sz w:val="24"/>
          <w:szCs w:val="24"/>
        </w:rPr>
        <w:t>。比较测试T1的性能和测试T1及T2OR组合的性能，有3</w:t>
      </w:r>
      <w:r>
        <w:rPr>
          <w:rFonts w:ascii="Arial" w:hAnsi="Arial" w:cs="Arial"/>
          <w:sz w:val="24"/>
          <w:szCs w:val="24"/>
          <w:lang w:val="en-US"/>
        </w:rPr>
        <w:t>种</w:t>
      </w:r>
      <w:r>
        <w:rPr>
          <w:rFonts w:ascii="Arial" w:hAnsi="Arial" w:cs="Arial"/>
          <w:color w:val="000000"/>
          <w:sz w:val="24"/>
          <w:szCs w:val="24"/>
        </w:rPr>
        <w:t>可能情景：</w:t>
      </w:r>
    </w:p>
    <w:p w14:paraId="60E1189B">
      <w:pPr>
        <w:widowControl w:val="0"/>
        <w:autoSpaceDE w:val="0"/>
        <w:autoSpaceDN w:val="0"/>
        <w:snapToGrid w:val="0"/>
        <w:spacing w:before="0" w:after="0" w:line="300" w:lineRule="auto"/>
        <w:rPr>
          <w:rFonts w:ascii="Arial" w:hAnsi="Arial" w:cs="Arial"/>
          <w:color w:val="000000"/>
          <w:sz w:val="24"/>
          <w:szCs w:val="24"/>
        </w:rPr>
      </w:pPr>
    </w:p>
    <w:p w14:paraId="5ACB4695">
      <w:pPr>
        <w:widowControl w:val="0"/>
        <w:autoSpaceDE w:val="0"/>
        <w:autoSpaceDN w:val="0"/>
        <w:snapToGrid w:val="0"/>
        <w:spacing w:before="0" w:after="0" w:line="300" w:lineRule="auto"/>
        <w:rPr>
          <w:rFonts w:ascii="Arial" w:hAnsi="Arial" w:cs="Arial"/>
          <w:color w:val="000000"/>
          <w:sz w:val="24"/>
          <w:szCs w:val="24"/>
        </w:rPr>
      </w:pPr>
      <w:r>
        <w:rPr>
          <w:rFonts w:ascii="Arial" w:hAnsi="Arial" w:cs="Arial"/>
          <w:color w:val="000000"/>
          <w:sz w:val="24"/>
          <w:szCs w:val="24"/>
        </w:rPr>
        <w:t>情景A：</w:t>
      </w:r>
      <w:r>
        <w:rPr>
          <w:rFonts w:ascii="Arial" w:hAnsi="Arial" w:cs="Arial"/>
          <w:sz w:val="24"/>
          <w:szCs w:val="24"/>
          <w:cs/>
        </w:rPr>
        <w:t>“</w:t>
      </w:r>
      <w:r>
        <w:rPr>
          <w:rFonts w:ascii="Arial" w:hAnsi="Arial" w:cs="Arial"/>
          <w:sz w:val="24"/>
          <w:szCs w:val="24"/>
        </w:rPr>
        <w:t>OR</w:t>
      </w:r>
      <w:r>
        <w:rPr>
          <w:rFonts w:ascii="Arial" w:hAnsi="Arial" w:cs="Arial"/>
          <w:sz w:val="24"/>
          <w:szCs w:val="24"/>
          <w:cs/>
        </w:rPr>
        <w:t>”</w:t>
      </w:r>
      <w:r>
        <w:rPr>
          <w:rFonts w:ascii="Arial" w:hAnsi="Arial" w:cs="Arial"/>
          <w:sz w:val="24"/>
          <w:szCs w:val="24"/>
        </w:rPr>
        <w:t>组合（T1或T2）的2种预测值（PPV和NPV）均大于单独T1的预测值</w:t>
      </w:r>
      <w:r>
        <w:rPr>
          <w:rFonts w:ascii="Arial" w:hAnsi="Arial" w:cs="Arial"/>
          <w:color w:val="000000"/>
          <w:sz w:val="24"/>
          <w:szCs w:val="24"/>
        </w:rPr>
        <w:t>（参见绿色区域）。</w:t>
      </w:r>
      <w:r>
        <w:rPr>
          <w:rFonts w:ascii="Arial" w:hAnsi="Arial" w:cs="Arial"/>
          <w:sz w:val="24"/>
          <w:szCs w:val="24"/>
        </w:rPr>
        <w:t>因此，可以轻易测出结论，组合OR与单独T1相比较好。</w:t>
      </w:r>
    </w:p>
    <w:p w14:paraId="6177240A">
      <w:pPr>
        <w:widowControl w:val="0"/>
        <w:autoSpaceDE w:val="0"/>
        <w:autoSpaceDN w:val="0"/>
        <w:snapToGrid w:val="0"/>
        <w:spacing w:before="0" w:after="0" w:line="300" w:lineRule="auto"/>
        <w:rPr>
          <w:rFonts w:ascii="Arial" w:hAnsi="Arial" w:cs="Arial"/>
          <w:vertAlign w:val="superscript"/>
          <w:lang w:val="en-US"/>
        </w:rPr>
      </w:pPr>
    </w:p>
    <w:p w14:paraId="57693A48">
      <w:pPr>
        <w:widowControl w:val="0"/>
        <w:autoSpaceDE w:val="0"/>
        <w:autoSpaceDN w:val="0"/>
        <w:snapToGrid w:val="0"/>
        <w:spacing w:before="0" w:after="0" w:line="300" w:lineRule="auto"/>
        <w:rPr>
          <w:rFonts w:ascii="Arial" w:hAnsi="Arial" w:cs="Arial"/>
          <w:vertAlign w:val="superscript"/>
          <w:lang w:val="en-US"/>
        </w:rPr>
      </w:pPr>
    </w:p>
    <w:p w14:paraId="1FBF5D7C">
      <w:pPr>
        <w:widowControl w:val="0"/>
        <w:autoSpaceDE w:val="0"/>
        <w:autoSpaceDN w:val="0"/>
        <w:snapToGrid w:val="0"/>
        <w:spacing w:before="0" w:after="0" w:line="300" w:lineRule="auto"/>
        <w:rPr>
          <w:rFonts w:ascii="Arial" w:hAnsi="Arial" w:cs="Arial"/>
          <w:vertAlign w:val="superscript"/>
          <w:lang w:val="en-US"/>
        </w:rPr>
      </w:pPr>
    </w:p>
    <w:p w14:paraId="04989232">
      <w:pPr>
        <w:widowControl w:val="0"/>
        <w:autoSpaceDE w:val="0"/>
        <w:autoSpaceDN w:val="0"/>
        <w:snapToGrid w:val="0"/>
        <w:spacing w:before="0" w:after="0" w:line="300" w:lineRule="auto"/>
        <w:rPr>
          <w:rFonts w:ascii="Arial" w:hAnsi="Arial" w:cs="Arial"/>
          <w:vertAlign w:val="superscript"/>
          <w:lang w:val="en-US"/>
        </w:rPr>
      </w:pPr>
      <w:r>
        <w:rPr>
          <w:rFonts w:ascii="Arial" w:hAnsi="Arial" w:cs="Arial"/>
          <w:vertAlign w:val="superscript"/>
          <w:lang w:val="en-US"/>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148590</wp:posOffset>
                </wp:positionV>
                <wp:extent cx="1644015" cy="0"/>
                <wp:effectExtent l="0" t="0" r="33020" b="19050"/>
                <wp:wrapNone/>
                <wp:docPr id="16" name="直接连接符 16"/>
                <wp:cNvGraphicFramePr/>
                <a:graphic xmlns:a="http://schemas.openxmlformats.org/drawingml/2006/main">
                  <a:graphicData uri="http://schemas.microsoft.com/office/word/2010/wordprocessingShape">
                    <wps:wsp>
                      <wps:cNvCnPr/>
                      <wps:spPr>
                        <a:xfrm>
                          <a:off x="0" y="0"/>
                          <a:ext cx="16437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1.7pt;height:0pt;width:129.45pt;z-index:251670528;mso-width-relative:page;mso-height-relative:page;" filled="f" stroked="t" coordsize="21600,21600" o:gfxdata="UEsDBAoAAAAAAIdO4kAAAAAAAAAAAAAAAAAEAAAAZHJzL1BLAwQUAAAACACHTuJAEhiZS9UAAAAH&#10;AQAADwAAAGRycy9kb3ducmV2LnhtbE2Oy07DMBBF90j8gzVI7Fqn4ZEoxOkCiQUSEhBYsHTjaZzW&#10;HgfbTcLfY8QClnPv1ZlTbxdr2IQ+DI4EbNYZMKTOqYF6Ae9vD6sSWIiSlDSOUMAXBtg252e1rJSb&#10;6RWnNvYsQShUUoCOcaw4D51GK8PajUip2ztvZUyn77nyck5wa3ieZbfcyoHSBy1HvNfYHduTTRQq&#10;PveL8R8vz0+6bOcDPk4FCnF5scnugEVc4t8YfvSTOjTJaedOpAIzAlZ5GgrIr66BpTq/KQtgu9+A&#10;NzX/7998A1BLAwQUAAAACACHTuJAkxEhj+QBAACzAwAADgAAAGRycy9lMm9Eb2MueG1srVPNbhMx&#10;EL4j8Q6W72STpoRqlU0PjcoFQSTgASZee9eS/+Rxs8lL8AJI3ODEkTtvQ3kMxt40LeXSA3vwjufn&#10;G3+fx8vLvTVsJyNq7xo+m0w5k074Vruu4R8/XL+44AwTuBaMd7LhB4n8cvX82XIItTzzvTetjIxA&#10;HNZDaHifUqirCkUvLeDEB+koqHy0kGgbu6qNMBC6NdXZdLqoBh/bEL2QiORdj0F+RIxPAfRKaSHX&#10;XtxY6dKIGqWBRJSw1wH5qpxWKSnSO6VQJmYaTkxTWakJ2du8Vqsl1F2E0GtxPAI85QiPOFnQjpqe&#10;oNaQgN1E/Q+U1SJ69CpNhLfVSKQoQixm00favO8hyMKFpMZwEh3/H6x4u9tEpluahAVnDizd+O3n&#10;H78+ff398wutt9+/MYqQTEPAmrKv3CYedxg2MXPeq2jzn9iwfZH2cJJW7hMT5JwtzuevzuecibtY&#10;dV8YIqbX0luWjYYb7TJrqGH3BhM1o9S7lOx2/lobU27OODY0fDF/SfcpgKZR0RSQaQMxQtdxBqaj&#10;MRcpFkT0Rre5OuNg7LZXJrId5OEoXyZK3f5Ky63XgP2YV0Lj2Fid6CUYbRt+8bDaOALJco0CZWvr&#10;20PRrfjpLkub49zlYXm4L9X3b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IYmUvVAAAABwEA&#10;AA8AAAAAAAAAAQAgAAAAIgAAAGRycy9kb3ducmV2LnhtbFBLAQIUABQAAAAIAIdO4kCTESGP5AEA&#10;ALMDAAAOAAAAAAAAAAEAIAAAACQBAABkcnMvZTJvRG9jLnhtbFBLBQYAAAAABgAGAFkBAAB6BQAA&#10;AAA=&#10;">
                <v:fill on="f" focussize="0,0"/>
                <v:stroke weight="0.5pt" color="#000000 [3213]" miterlimit="8" joinstyle="miter"/>
                <v:imagedata o:title=""/>
                <o:lock v:ext="edit" aspectratio="f"/>
              </v:line>
            </w:pict>
          </mc:Fallback>
        </mc:AlternateContent>
      </w:r>
    </w:p>
    <w:p w14:paraId="08FFFC63">
      <w:pPr>
        <w:widowControl w:val="0"/>
        <w:autoSpaceDE w:val="0"/>
        <w:autoSpaceDN w:val="0"/>
        <w:snapToGrid w:val="0"/>
        <w:spacing w:before="0" w:after="0" w:line="300" w:lineRule="auto"/>
        <w:rPr>
          <w:rFonts w:ascii="Arial" w:hAnsi="Arial" w:cs="Arial"/>
          <w:color w:val="000000"/>
          <w:sz w:val="20"/>
        </w:rPr>
      </w:pPr>
      <w:r>
        <w:rPr>
          <w:rFonts w:ascii="Arial" w:hAnsi="Arial" w:cs="Arial"/>
          <w:vertAlign w:val="superscript"/>
          <w:lang w:val="en-US"/>
        </w:rPr>
        <w:t>4</w:t>
      </w:r>
      <w:r>
        <w:rPr>
          <w:rFonts w:ascii="Arial" w:hAnsi="Arial" w:cs="Arial"/>
          <w:color w:val="000000"/>
          <w:sz w:val="20"/>
        </w:rPr>
        <w:t xml:space="preserve"> PPV取决于阳性似然比（PLR）和恶性肿瘤患病率，NPV取决于阴性似然比（NLR）和患病率。对于相同人群中的2种测试比较，PPV和NPV的比较等效于PLR和NLR的比较。</w:t>
      </w:r>
    </w:p>
    <w:p w14:paraId="5C1F805B">
      <w:pPr>
        <w:spacing w:before="0" w:after="0"/>
        <w:jc w:val="left"/>
        <w:rPr>
          <w:rFonts w:ascii="Arial" w:hAnsi="Arial" w:cs="Arial"/>
          <w:vertAlign w:val="superscript"/>
          <w:lang w:val="en-US"/>
        </w:rPr>
      </w:pPr>
      <w:r>
        <w:rPr>
          <w:rFonts w:ascii="Arial" w:hAnsi="Arial" w:cs="Arial"/>
          <w:vertAlign w:val="superscript"/>
          <w:lang w:val="en-US"/>
        </w:rPr>
        <w:br w:type="page"/>
      </w:r>
    </w:p>
    <w:p w14:paraId="7E3E7143">
      <w:pPr>
        <w:rPr>
          <w:rFonts w:ascii="Arial" w:hAnsi="Arial" w:cs="Arial"/>
          <w:vertAlign w:val="superscript"/>
          <w:lang w:val="en-US"/>
        </w:rPr>
      </w:pPr>
      <w:r>
        <w:rPr>
          <w:rFonts w:ascii="Arial" w:hAnsi="Arial" w:cs="Arial"/>
          <w:vertAlign w:val="superscript"/>
          <w:lang w:val="en-US"/>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-635</wp:posOffset>
                </wp:positionV>
                <wp:extent cx="5326380" cy="3347085"/>
                <wp:effectExtent l="0" t="0" r="0" b="6350"/>
                <wp:wrapNone/>
                <wp:docPr id="10" name="文本框 10"/>
                <wp:cNvGraphicFramePr/>
                <a:graphic xmlns:a="http://schemas.openxmlformats.org/drawingml/2006/main">
                  <a:graphicData uri="http://schemas.microsoft.com/office/word/2010/wordprocessingShape">
                    <wps:wsp>
                      <wps:cNvSpPr txBox="1"/>
                      <wps:spPr>
                        <a:xfrm>
                          <a:off x="0" y="0"/>
                          <a:ext cx="5326602" cy="33468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003E">
                            <w:r>
                              <w:rPr>
                                <w:lang w:val="en-US"/>
                              </w:rPr>
                              <w:drawing>
                                <wp:inline distT="0" distB="0" distL="0" distR="0">
                                  <wp:extent cx="3502025" cy="3141980"/>
                                  <wp:effectExtent l="0" t="0" r="3175" b="127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rcRect/>
                                          <a:stretch>
                                            <a:fillRect/>
                                          </a:stretch>
                                        </pic:blipFill>
                                        <pic:spPr>
                                          <a:xfrm>
                                            <a:off x="0" y="0"/>
                                            <a:ext cx="3502025" cy="3141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0.05pt;height:263.55pt;width:419.4pt;z-index:251661312;mso-width-relative:page;mso-height-relative:page;" filled="f" stroked="f" coordsize="21600,21600" o:gfxdata="UEsDBAoAAAAAAIdO4kAAAAAAAAAAAAAAAAAEAAAAZHJzL1BLAwQUAAAACACHTuJA+K1EONcAAAAH&#10;AQAADwAAAGRycy9kb3ducmV2LnhtbE2Oy07DMBBF90j8gzVI7Fo7UQpRiFOhSBUSgkVLN+wmsZtE&#10;xOMQuw/4eoYVLO9D955yfXGjONk5DJ40JEsFwlLrzUCdhv3bZpGDCBHJ4OjJaviyAdbV9VWJhfFn&#10;2trTLnaCRygUqKGPcSqkDG1vHYalnyxxdvCzw8hy7qSZ8czjbpSpUnfS4UD80ONk6962H7uj0/Bc&#10;b15x26Qu/x7rp5fD4/S5f19pfXuTqAcQ0V7iXxl+8RkdKmZq/JFMEKOGVcZFDYsEBKd5lqUgGrbT&#10;ewWyKuV//uoHUEsDBBQAAAAIAIdO4kCwFXh2QwIAAHcEAAAOAAAAZHJzL2Uyb0RvYy54bWytVM1u&#10;EzEQviPxDpbvdPPXUKJuqtCqCKmilQri7Hi93ZVsj7Gd7pYHgDfgxIU7z9Xn4LM3SavCoQcuznhm&#10;9ht/38zk+KQ3mt0qH1qyJR8fjDhTVlLV2puSf/p4/uqIsxCFrYQmq0p+pwI/Wb58cdy5hZpQQ7pS&#10;ngHEhkXnSt7E6BZFEWSjjAgH5JRFsCZvRMTV3xSVFx3QjS4mo9G86MhXzpNUIcB7NgT5FtE/B5Dq&#10;upXqjOTGKBsHVK+0iKAUmtYFvsyvrWsl42VdBxWZLjmYxnyiCOx1OovlsVjceOGaVm6fIJ7zhCec&#10;jGgtiu6hzkQUbOPbv6BMKz0FquOBJFMMRLIiYDEePdHmuhFOZS6QOri96OH/wcoPt1eetRUmAZJY&#10;YdDx+x/f73/+vv/1jcEHgToXFsi7dsiM/VvqkbzzBzgT7772Jv2CEUMcWHd7eVUfmYTzcDqZz0cT&#10;ziRi0+lsfnQ0STjFw+fOh/hOkWHJKLlH/7Ks4vYixCF1l5KqWTpvtc491JZ1JZ9PD0f5g30E4Nqm&#10;XJWnYQuTKA1PT1bs1/2W55qqO9D0NExKcPK8xVMuRIhXwmM0wAzLEy9x1JpQkrYWZw35r//yp3x0&#10;DFHOOoxaycOXjfCKM/3eopdvxrMZYGO+zA5fT3DxjyPrxxG7MaeEaR5jTZ3MZsqPemfWnsxn7Ngq&#10;VUVIWInaJY878zQOC4AdlWq1ykmYRifihb12MkEP4q42keo2655kGrRBv9IF85g7t92dNPCP7znr&#10;4f9i+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rUQ41wAAAAcBAAAPAAAAAAAAAAEAIAAAACIA&#10;AABkcnMvZG93bnJldi54bWxQSwECFAAUAAAACACHTuJAsBV4dkMCAAB3BAAADgAAAAAAAAABACAA&#10;AAAmAQAAZHJzL2Uyb0RvYy54bWxQSwUGAAAAAAYABgBZAQAA2wUAAAAA&#10;">
                <v:fill on="f" focussize="0,0"/>
                <v:stroke on="f" weight="0.5pt"/>
                <v:imagedata o:title=""/>
                <o:lock v:ext="edit" aspectratio="f"/>
                <v:textbox>
                  <w:txbxContent>
                    <w:p w14:paraId="573A003E">
                      <w:r>
                        <w:rPr>
                          <w:lang w:val="en-US"/>
                        </w:rPr>
                        <w:drawing>
                          <wp:inline distT="0" distB="0" distL="0" distR="0">
                            <wp:extent cx="3502025" cy="3141980"/>
                            <wp:effectExtent l="0" t="0" r="3175" b="127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rcRect/>
                                    <a:stretch>
                                      <a:fillRect/>
                                    </a:stretch>
                                  </pic:blipFill>
                                  <pic:spPr>
                                    <a:xfrm>
                                      <a:off x="0" y="0"/>
                                      <a:ext cx="3502025" cy="3141980"/>
                                    </a:xfrm>
                                    <a:prstGeom prst="rect">
                                      <a:avLst/>
                                    </a:prstGeom>
                                    <a:noFill/>
                                    <a:ln>
                                      <a:noFill/>
                                    </a:ln>
                                  </pic:spPr>
                                </pic:pic>
                              </a:graphicData>
                            </a:graphic>
                          </wp:inline>
                        </w:drawing>
                      </w:r>
                    </w:p>
                  </w:txbxContent>
                </v:textbox>
              </v:shape>
            </w:pict>
          </mc:Fallback>
        </mc:AlternateContent>
      </w:r>
      <w:r>
        <w:rPr>
          <w:rFonts w:ascii="Arial" w:hAnsi="Arial" w:cs="Arial"/>
          <w:vertAlign w:val="superscript"/>
          <w:lang w:val="en-US"/>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-635</wp:posOffset>
                </wp:positionV>
                <wp:extent cx="5060315" cy="3035935"/>
                <wp:effectExtent l="0" t="0" r="0" b="0"/>
                <wp:wrapNone/>
                <wp:docPr id="8" name="矩形 8"/>
                <wp:cNvGraphicFramePr/>
                <a:graphic xmlns:a="http://schemas.openxmlformats.org/drawingml/2006/main">
                  <a:graphicData uri="http://schemas.microsoft.com/office/word/2010/wordprocessingShape">
                    <wps:wsp>
                      <wps:cNvSpPr/>
                      <wps:spPr>
                        <a:xfrm>
                          <a:off x="0" y="0"/>
                          <a:ext cx="5060272" cy="30361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0.05pt;height:239.05pt;width:398.45pt;z-index:251660288;v-text-anchor:middle;mso-width-relative:page;mso-height-relative:page;" filled="f" stroked="f" coordsize="21600,21600" o:gfxdata="UEsDBAoAAAAAAIdO4kAAAAAAAAAAAAAAAAAEAAAAZHJzL1BLAwQUAAAACACHTuJAHKEsHtUAAAAH&#10;AQAADwAAAGRycy9kb3ducmV2LnhtbE2OwU7DMBBE70j8g7VI3Fo7pUAUsqkEEkKoB0SBu2Nvk4h4&#10;HcVO0v495gTH0YzevHJ3cr2YaQydZ4RsrUAQG287bhA+P55XOYgQNVvdeyaEMwXYVZcXpS6sX/id&#10;5kNsRIJwKDRCG+NQSBlMS06HtR+IU3f0o9MxxbGRdtRLgrtebpS6k053nB5aPdBTS+b7MDmEL398&#10;XJyp+XU+v3XTy340Jt8jXl9l6gFEpFP8G8OvflKHKjnVfmIbRI9wu01DhFUGIrW52tyAqBG297kC&#10;WZXyv3/1A1BLAwQUAAAACACHTuJAIPVK9VkCAACjBAAADgAAAGRycy9lMm9Eb2MueG1srVTNbhMx&#10;EL4j8Q6W73Q3aZuWqJsqalSEVNFKBXF2vXbWkv+wnWzKyyBx4yF4HMRr8Nm7baPCoQdy2Mx4Zj/P&#10;fPPNnp3vjCZbEaJytqGTg5oSYblrlV039NPHyzenlMTEbMu0s6Kh9yLS88XrV2e9n4up65xuRSAA&#10;sXHe+4Z2Kfl5VUXeCcPigfPCIihdMCzBDeuqDawHutHVtK5nVe9C64PjIkacroYgHRHDSwCdlIqL&#10;leMbI2waUIPQLKGl2Ckf6aJUK6Xg6VrKKBLRDUWnqTxxCey7/KwWZ2y+Dsx3io8lsJeU8Kwnw5TF&#10;pY9QK5YY2QT1F5RRPLjoZDrgzlRDI4URdDGpn3Fz2zEvSi+gOvpH0uP/g+UftjeBqLahGLtlBgP/&#10;/e3Hr5/fyWnmpvdxjpRbfxNGL8LMje5kMPkfLZBd4fP+kU+xS4Tj8Lie1dOTKSUcscP6cDaZHWbU&#10;6ul1H2J6J5wh2WhowMAKj2x7FdOQ+pCSb7PuUmmNczbXlvTQ7/Skxiw5gxIlFADTeHQT7ZoSpteQ&#10;OE+hQO69myFXLHZky6CL6LRqByUYlSBurQz4qPNvLFdbVJ3JGNrP1p1r70FdcIOmoueXCrBXLKYb&#10;FiAilIU1S9d4SO1QqxstSjoXvv7rPOdjtohS0kOUqO3LhgVBiX5vMfW3k6OjrOLiHB2fTOGE/cjd&#10;fsRuzIVDfxMstOfFzPlJP5gyOPMZ27jMtyLELMfdA2Ojc5GGZcE+c7FcljQo17N0ZW89z+DDXJab&#10;5KQqI3tiZyQN2i1DH/csL8e+X7Kevi2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yhLB7VAAAA&#10;BwEAAA8AAAAAAAAAAQAgAAAAIgAAAGRycy9kb3ducmV2LnhtbFBLAQIUABQAAAAIAIdO4kAg9Ur1&#10;WQIAAKMEAAAOAAAAAAAAAAEAIAAAACQBAABkcnMvZTJvRG9jLnhtbFBLBQYAAAAABgAGAFkBAADv&#10;BQAAAAA=&#10;">
                <v:fill on="f" focussize="0,0"/>
                <v:stroke on="f" weight="1pt" miterlimit="8" joinstyle="miter"/>
                <v:imagedata o:title=""/>
                <o:lock v:ext="edit" aspectratio="f"/>
              </v:rect>
            </w:pict>
          </mc:Fallback>
        </mc:AlternateContent>
      </w:r>
    </w:p>
    <w:p w14:paraId="17A6A92D">
      <w:pPr>
        <w:rPr>
          <w:rFonts w:ascii="Arial" w:hAnsi="Arial" w:cs="Arial"/>
          <w:vertAlign w:val="superscript"/>
          <w:lang w:val="en-US"/>
        </w:rPr>
      </w:pPr>
    </w:p>
    <w:p w14:paraId="4DB3DC0E">
      <w:pPr>
        <w:rPr>
          <w:rFonts w:ascii="Arial" w:hAnsi="Arial" w:cs="Arial"/>
          <w:vertAlign w:val="superscript"/>
          <w:lang w:val="en-US"/>
        </w:rPr>
      </w:pPr>
    </w:p>
    <w:p w14:paraId="18B6AF97">
      <w:pPr>
        <w:rPr>
          <w:rFonts w:ascii="Arial" w:hAnsi="Arial" w:cs="Arial"/>
          <w:vertAlign w:val="superscript"/>
          <w:lang w:val="en-US"/>
        </w:rPr>
      </w:pPr>
    </w:p>
    <w:p w14:paraId="7BB1EB27">
      <w:pPr>
        <w:rPr>
          <w:rFonts w:ascii="Arial" w:hAnsi="Arial" w:cs="Arial"/>
          <w:vertAlign w:val="superscript"/>
          <w:lang w:val="en-US"/>
        </w:rPr>
      </w:pPr>
    </w:p>
    <w:p w14:paraId="65F643DD">
      <w:pPr>
        <w:rPr>
          <w:rFonts w:ascii="Arial" w:hAnsi="Arial" w:cs="Arial"/>
          <w:vertAlign w:val="superscript"/>
          <w:lang w:val="en-US"/>
        </w:rPr>
      </w:pPr>
    </w:p>
    <w:p w14:paraId="0A10A898">
      <w:pPr>
        <w:rPr>
          <w:rFonts w:ascii="Arial" w:hAnsi="Arial" w:cs="Arial"/>
          <w:vertAlign w:val="superscript"/>
          <w:lang w:val="en-US"/>
        </w:rPr>
      </w:pPr>
    </w:p>
    <w:p w14:paraId="25165A82">
      <w:pPr>
        <w:rPr>
          <w:rFonts w:ascii="Arial" w:hAnsi="Arial" w:cs="Arial"/>
          <w:vertAlign w:val="superscript"/>
          <w:lang w:val="en-US"/>
        </w:rPr>
      </w:pPr>
    </w:p>
    <w:p w14:paraId="4869E9AE">
      <w:pPr>
        <w:rPr>
          <w:rFonts w:ascii="Arial" w:hAnsi="Arial" w:cs="Arial"/>
          <w:vertAlign w:val="superscript"/>
          <w:lang w:val="en-US"/>
        </w:rPr>
      </w:pPr>
      <w:r>
        <w:rPr>
          <w:rFonts w:ascii="Arial" w:hAnsi="Arial" w:cs="Arial"/>
          <w:vertAlign w:val="superscript"/>
          <w:lang w:val="en-US"/>
        </w:rPr>
        <mc:AlternateContent>
          <mc:Choice Requires="wps">
            <w:drawing>
              <wp:anchor distT="0" distB="0" distL="114300" distR="114300" simplePos="0" relativeHeight="251662336" behindDoc="0" locked="0" layoutInCell="1" allowOverlap="1">
                <wp:simplePos x="0" y="0"/>
                <wp:positionH relativeFrom="column">
                  <wp:posOffset>1095375</wp:posOffset>
                </wp:positionH>
                <wp:positionV relativeFrom="paragraph">
                  <wp:posOffset>305435</wp:posOffset>
                </wp:positionV>
                <wp:extent cx="1331595" cy="445135"/>
                <wp:effectExtent l="0" t="0" r="190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331595" cy="445289"/>
                        </a:xfrm>
                        <a:prstGeom prst="rect">
                          <a:avLst/>
                        </a:prstGeom>
                        <a:solidFill>
                          <a:srgbClr val="FFFFFF"/>
                        </a:solidFill>
                        <a:ln>
                          <a:noFill/>
                        </a:ln>
                      </wps:spPr>
                      <wps:txbx>
                        <w:txbxContent>
                          <w:p w14:paraId="65199BF8">
                            <w:pPr>
                              <w:jc w:val="center"/>
                              <w:rPr>
                                <w:sz w:val="21"/>
                                <w:szCs w:val="21"/>
                                <w:lang w:val="en-US"/>
                              </w:rPr>
                            </w:pPr>
                            <w:r>
                              <w:rPr>
                                <w:rFonts w:hint="eastAsia"/>
                                <w:sz w:val="21"/>
                                <w:szCs w:val="21"/>
                                <w:lang w:val="en-US"/>
                              </w:rPr>
                              <w:t>1-特异性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6.25pt;margin-top:24.05pt;height:35.05pt;width:104.85pt;z-index:251662336;mso-width-relative:page;mso-height-relative:page;" fillcolor="#FFFFFF" filled="t" stroked="f" coordsize="21600,21600" o:gfxdata="UEsDBAoAAAAAAIdO4kAAAAAAAAAAAAAAAAAEAAAAZHJzL1BLAwQUAAAACACHTuJA2Z/gz9cAAAAK&#10;AQAADwAAAGRycy9kb3ducmV2LnhtbE2PQU7DMBBF90jcwRokNog6MW2ThjiVQAKxbekBJrGbRI3H&#10;Uew27e0ZVrD8+k9/3pTbqxvExU6h96QhXSQgLDXe9NRqOHx/POcgQkQyOHiyGm42wLa6vyuxMH6m&#10;nb3sYyt4hEKBGroYx0LK0HTWYVj40RJ3Rz85jBynVpoJZx53g1RJspYOe+ILHY72vbPNaX92Go5f&#10;89NqM9ef8ZDtlus37LPa37R+fEiTVxDRXuMfDL/6rA4VO9X+TCaIgXOmVoxqWOYpCAZecqVA1Nyk&#10;uQJZlfL/C9UPUEsDBBQAAAAIAIdO4kBfFMsXLAIAAD4EAAAOAAAAZHJzL2Uyb0RvYy54bWytU82O&#10;0zAQviPxDpbvNG23Lduo6WppVYS0/EgLD+A6TmOReMzYbbI8APsGnLhw57n6HIydbCnLZQ/kEHk8&#10;M9/M9814cdXWFTsodBpMxkeDIWfKSMi12WX808fNi0vOnBcmFxUYlfE75fjV8vmzRWNTNYYSqlwh&#10;IxDj0sZmvPTepkniZKlq4QZglSFnAVgLTybukhxFQ+h1lYyHw1nSAOYWQSrn6HbdOXmPiE8BhKLQ&#10;Uq1B7mtlfIeKqhKeKLlSW8eXsduiUNK/LwqnPKsyTkx9/FMROm/DP1kuRLpDYUst+xbEU1p4xKkW&#10;2lDRE9RaeMH2qP+BqrVEcFD4gYQ66YhERYjFaPhIm9tSWBW5kNTOnkR3/w9Wvjt8QKbzjM84M6Km&#10;gR+/3x9//Dr+/MZmQZ7GupSibi3F+fYVtLQ0kaqzNyA/O2ZgVQqzU9eI0JRK5NTeKGQmZ6kdjgsg&#10;2+Yt5FRH7D1EoLbAOmhHajBCp9HcnUajWs9kKHlxMZrOp5xJ8k0m0/HlPJYQ6UO2RedfK6hZOGQc&#10;afQRXRxunA/diPQhJBRzUOl8o6sqGrjbripkB0Frsolfj/5XWGVCsIGQ1iGGm0gzMOs4+nbb9rJt&#10;Ib8jwgjd2tGjo0MJ+JWzhlYu4+7LXqDirHpjSLT5aDIJOxqNyfTlmAw892zPPcJIgsq456w7rny3&#10;13uLeldSpW5MBq5J6EJHDcJEuq76vmmtojT9Ewh7e27HqD/Pf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Z/gz9cAAAAKAQAADwAAAAAAAAABACAAAAAiAAAAZHJzL2Rvd25yZXYueG1sUEsBAhQA&#10;FAAAAAgAh07iQF8UyxcsAgAAPgQAAA4AAAAAAAAAAQAgAAAAJgEAAGRycy9lMm9Eb2MueG1sUEsF&#10;BgAAAAAGAAYAWQEAAMQFAAAAAA==&#10;">
                <v:fill on="t" focussize="0,0"/>
                <v:stroke on="f"/>
                <v:imagedata o:title=""/>
                <o:lock v:ext="edit" aspectratio="f"/>
                <v:textbox>
                  <w:txbxContent>
                    <w:p w14:paraId="65199BF8">
                      <w:pPr>
                        <w:jc w:val="center"/>
                        <w:rPr>
                          <w:sz w:val="21"/>
                          <w:szCs w:val="21"/>
                          <w:lang w:val="en-US"/>
                        </w:rPr>
                      </w:pPr>
                      <w:r>
                        <w:rPr>
                          <w:rFonts w:hint="eastAsia"/>
                          <w:sz w:val="21"/>
                          <w:szCs w:val="21"/>
                          <w:lang w:val="en-US"/>
                        </w:rPr>
                        <w:t>1-特异性</w:t>
                      </w:r>
                    </w:p>
                  </w:txbxContent>
                </v:textbox>
              </v:shape>
            </w:pict>
          </mc:Fallback>
        </mc:AlternateContent>
      </w:r>
    </w:p>
    <w:p w14:paraId="011AB3A3">
      <w:pPr>
        <w:rPr>
          <w:rFonts w:ascii="Arial" w:hAnsi="Arial" w:cs="Arial"/>
          <w:vertAlign w:val="superscript"/>
          <w:lang w:val="en-US"/>
        </w:rPr>
      </w:pPr>
    </w:p>
    <w:p w14:paraId="083C58F5">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图1</w:t>
      </w:r>
    </w:p>
    <w:p w14:paraId="13D3768A">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情景B：组合OR的PPV与T1的PPV相比较差，但组合OR的NPV与T1的NPV相比较好</w:t>
      </w:r>
      <w:r>
        <w:rPr>
          <w:rFonts w:ascii="Arial" w:hAnsi="Arial" w:cs="Arial"/>
          <w:color w:val="000000"/>
          <w:sz w:val="16"/>
        </w:rPr>
        <w:t>（</w:t>
      </w:r>
      <w:r>
        <w:rPr>
          <w:rFonts w:ascii="Arial" w:hAnsi="Arial" w:cs="Arial"/>
          <w:color w:val="000000"/>
          <w:sz w:val="24"/>
        </w:rPr>
        <w:t>参见蓝色区域）。本区域中，NPV增加量和PPV减少量之间有权衡。成功可总结为，下降后的PPV仍与测试的安全和有效使用一致。</w:t>
      </w:r>
    </w:p>
    <w:p w14:paraId="73BD3379">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情景C：组合OR的PPV和NPV与测试1的PPV和NPV相比均较差</w:t>
      </w:r>
      <w:r>
        <w:rPr>
          <w:rFonts w:ascii="Arial" w:hAnsi="Arial" w:cs="Arial"/>
          <w:color w:val="000000"/>
          <w:sz w:val="16"/>
        </w:rPr>
        <w:t>（</w:t>
      </w:r>
      <w:r>
        <w:rPr>
          <w:rFonts w:ascii="Arial" w:hAnsi="Arial" w:cs="Arial"/>
          <w:color w:val="000000"/>
          <w:sz w:val="24"/>
        </w:rPr>
        <w:t>参见红色区域）。</w:t>
      </w:r>
      <w:r>
        <w:rPr>
          <w:rFonts w:ascii="Arial" w:hAnsi="Arial" w:cs="Arial"/>
        </w:rPr>
        <w:t>因此，可以轻易测出结论，组合OR与单独T1相比较差。</w:t>
      </w:r>
    </w:p>
    <w:p w14:paraId="7682289E">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我们建议贵公司根据病理学结果在与下表类似的表格中汇总临床研究结果，并根据下表所示的不同结果，提供恶性肿瘤可能性的评估（以及95% CI）：</w:t>
      </w:r>
    </w:p>
    <w:tbl>
      <w:tblPr>
        <w:tblStyle w:val="9"/>
        <w:tblW w:w="0" w:type="auto"/>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303"/>
        <w:gridCol w:w="1390"/>
        <w:gridCol w:w="1418"/>
        <w:gridCol w:w="992"/>
      </w:tblGrid>
      <w:tr w14:paraId="3ADA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76" w:type="dxa"/>
          </w:tcPr>
          <w:p w14:paraId="2B2FB3E8">
            <w:pPr>
              <w:snapToGrid w:val="0"/>
              <w:spacing w:line="240" w:lineRule="exact"/>
              <w:rPr>
                <w:rFonts w:ascii="Arial" w:hAnsi="Arial" w:cs="Arial"/>
                <w:sz w:val="21"/>
                <w:szCs w:val="21"/>
                <w:vertAlign w:val="superscript"/>
                <w:lang w:val="en-US"/>
              </w:rPr>
            </w:pPr>
          </w:p>
        </w:tc>
        <w:tc>
          <w:tcPr>
            <w:tcW w:w="1303" w:type="dxa"/>
          </w:tcPr>
          <w:p w14:paraId="21B8A3EF">
            <w:pPr>
              <w:snapToGrid w:val="0"/>
              <w:spacing w:line="240" w:lineRule="exact"/>
              <w:rPr>
                <w:rFonts w:ascii="Arial" w:hAnsi="Arial" w:cs="Arial"/>
                <w:sz w:val="21"/>
                <w:szCs w:val="21"/>
                <w:vertAlign w:val="superscript"/>
                <w:lang w:val="en-US"/>
              </w:rPr>
            </w:pPr>
          </w:p>
        </w:tc>
        <w:tc>
          <w:tcPr>
            <w:tcW w:w="2808" w:type="dxa"/>
            <w:gridSpan w:val="2"/>
          </w:tcPr>
          <w:p w14:paraId="2970642F">
            <w:pPr>
              <w:widowControl w:val="0"/>
              <w:autoSpaceDE w:val="0"/>
              <w:autoSpaceDN w:val="0"/>
              <w:snapToGrid w:val="0"/>
              <w:spacing w:before="0" w:after="0" w:line="240" w:lineRule="exact"/>
              <w:jc w:val="center"/>
              <w:rPr>
                <w:rFonts w:ascii="Arial" w:hAnsi="Arial" w:cs="Arial"/>
                <w:b/>
                <w:color w:val="000000"/>
                <w:sz w:val="21"/>
                <w:szCs w:val="21"/>
              </w:rPr>
            </w:pPr>
            <w:r>
              <w:rPr>
                <w:rFonts w:ascii="Arial" w:hAnsi="Arial" w:cs="Arial"/>
                <w:b/>
                <w:color w:val="000000"/>
                <w:sz w:val="21"/>
                <w:szCs w:val="21"/>
              </w:rPr>
              <w:t>非GO术前</w:t>
            </w:r>
          </w:p>
          <w:p w14:paraId="4682ADF1">
            <w:pPr>
              <w:widowControl w:val="0"/>
              <w:autoSpaceDE w:val="0"/>
              <w:autoSpaceDN w:val="0"/>
              <w:snapToGrid w:val="0"/>
              <w:spacing w:before="0" w:after="0" w:line="240" w:lineRule="exact"/>
              <w:jc w:val="center"/>
              <w:rPr>
                <w:rFonts w:ascii="Arial" w:hAnsi="Arial" w:cs="Arial"/>
                <w:sz w:val="21"/>
                <w:szCs w:val="21"/>
                <w:vertAlign w:val="superscript"/>
                <w:lang w:val="en-US"/>
              </w:rPr>
            </w:pPr>
            <w:r>
              <w:rPr>
                <w:rFonts w:ascii="Arial" w:hAnsi="Arial" w:cs="Arial"/>
                <w:b/>
                <w:color w:val="000000"/>
                <w:sz w:val="21"/>
                <w:szCs w:val="21"/>
              </w:rPr>
              <w:t>评估</w:t>
            </w:r>
          </w:p>
        </w:tc>
        <w:tc>
          <w:tcPr>
            <w:tcW w:w="992" w:type="dxa"/>
          </w:tcPr>
          <w:p w14:paraId="63697D7C">
            <w:pPr>
              <w:snapToGrid w:val="0"/>
              <w:spacing w:line="240" w:lineRule="exact"/>
              <w:rPr>
                <w:rFonts w:ascii="Arial" w:hAnsi="Arial" w:cs="Arial"/>
                <w:sz w:val="21"/>
                <w:szCs w:val="21"/>
                <w:vertAlign w:val="superscript"/>
                <w:lang w:val="en-US"/>
              </w:rPr>
            </w:pPr>
          </w:p>
        </w:tc>
      </w:tr>
      <w:tr w14:paraId="010B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76" w:type="dxa"/>
          </w:tcPr>
          <w:p w14:paraId="7DCAE8E3">
            <w:pPr>
              <w:snapToGrid w:val="0"/>
              <w:spacing w:line="240" w:lineRule="exact"/>
              <w:rPr>
                <w:rFonts w:ascii="Arial" w:hAnsi="Arial" w:cs="Arial"/>
                <w:sz w:val="21"/>
                <w:szCs w:val="21"/>
                <w:vertAlign w:val="superscript"/>
                <w:lang w:val="en-US"/>
              </w:rPr>
            </w:pPr>
          </w:p>
        </w:tc>
        <w:tc>
          <w:tcPr>
            <w:tcW w:w="1303" w:type="dxa"/>
          </w:tcPr>
          <w:p w14:paraId="6F38E59C">
            <w:pPr>
              <w:snapToGrid w:val="0"/>
              <w:spacing w:line="240" w:lineRule="exact"/>
              <w:rPr>
                <w:rFonts w:ascii="Arial" w:hAnsi="Arial" w:cs="Arial"/>
                <w:sz w:val="21"/>
                <w:szCs w:val="21"/>
                <w:vertAlign w:val="superscript"/>
                <w:lang w:val="en-US"/>
              </w:rPr>
            </w:pPr>
          </w:p>
        </w:tc>
        <w:tc>
          <w:tcPr>
            <w:tcW w:w="1390" w:type="dxa"/>
          </w:tcPr>
          <w:p w14:paraId="711B2431">
            <w:pPr>
              <w:widowControl w:val="0"/>
              <w:autoSpaceDE w:val="0"/>
              <w:autoSpaceDN w:val="0"/>
              <w:snapToGrid w:val="0"/>
              <w:spacing w:before="0" w:after="0" w:line="240" w:lineRule="exact"/>
              <w:rPr>
                <w:rFonts w:ascii="Arial" w:hAnsi="Arial" w:cs="Arial"/>
                <w:b/>
                <w:sz w:val="21"/>
                <w:szCs w:val="21"/>
                <w:vertAlign w:val="superscript"/>
                <w:lang w:val="en-US"/>
              </w:rPr>
            </w:pPr>
            <w:r>
              <w:rPr>
                <w:rFonts w:ascii="Arial" w:hAnsi="Arial" w:cs="Arial"/>
                <w:b/>
                <w:color w:val="000000"/>
                <w:sz w:val="21"/>
                <w:szCs w:val="21"/>
              </w:rPr>
              <w:t>阳性</w:t>
            </w:r>
          </w:p>
        </w:tc>
        <w:tc>
          <w:tcPr>
            <w:tcW w:w="1418" w:type="dxa"/>
          </w:tcPr>
          <w:p w14:paraId="7C09F07C">
            <w:pPr>
              <w:widowControl w:val="0"/>
              <w:autoSpaceDE w:val="0"/>
              <w:autoSpaceDN w:val="0"/>
              <w:snapToGrid w:val="0"/>
              <w:spacing w:before="0" w:after="0" w:line="240" w:lineRule="exact"/>
              <w:rPr>
                <w:rFonts w:ascii="Arial" w:hAnsi="Arial" w:cs="Arial"/>
                <w:b/>
                <w:sz w:val="21"/>
                <w:szCs w:val="21"/>
                <w:vertAlign w:val="superscript"/>
                <w:lang w:val="en-US"/>
              </w:rPr>
            </w:pPr>
            <w:r>
              <w:rPr>
                <w:rFonts w:ascii="Arial" w:hAnsi="Arial" w:cs="Arial"/>
                <w:b/>
                <w:color w:val="000000"/>
                <w:sz w:val="21"/>
                <w:szCs w:val="21"/>
              </w:rPr>
              <w:t>阴性</w:t>
            </w:r>
          </w:p>
        </w:tc>
        <w:tc>
          <w:tcPr>
            <w:tcW w:w="992" w:type="dxa"/>
          </w:tcPr>
          <w:p w14:paraId="5776F76E">
            <w:pPr>
              <w:snapToGrid w:val="0"/>
              <w:spacing w:line="240" w:lineRule="exact"/>
              <w:rPr>
                <w:rFonts w:ascii="Arial" w:hAnsi="Arial" w:cs="Arial"/>
                <w:sz w:val="21"/>
                <w:szCs w:val="21"/>
                <w:vertAlign w:val="superscript"/>
                <w:lang w:val="en-US"/>
              </w:rPr>
            </w:pPr>
          </w:p>
        </w:tc>
      </w:tr>
      <w:tr w14:paraId="5666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76" w:type="dxa"/>
          </w:tcPr>
          <w:p w14:paraId="33020803">
            <w:pPr>
              <w:snapToGrid w:val="0"/>
              <w:spacing w:line="240" w:lineRule="exact"/>
              <w:rPr>
                <w:rFonts w:ascii="Arial" w:hAnsi="Arial" w:cs="Arial"/>
                <w:sz w:val="21"/>
                <w:szCs w:val="21"/>
                <w:vertAlign w:val="superscript"/>
                <w:lang w:val="en-US"/>
              </w:rPr>
            </w:pPr>
          </w:p>
        </w:tc>
        <w:tc>
          <w:tcPr>
            <w:tcW w:w="1303" w:type="dxa"/>
          </w:tcPr>
          <w:p w14:paraId="4DFF716C">
            <w:pPr>
              <w:snapToGrid w:val="0"/>
              <w:spacing w:line="240" w:lineRule="exact"/>
              <w:rPr>
                <w:rFonts w:ascii="Arial" w:hAnsi="Arial" w:cs="Arial"/>
                <w:sz w:val="21"/>
                <w:szCs w:val="21"/>
                <w:vertAlign w:val="superscript"/>
                <w:lang w:val="en-US"/>
              </w:rPr>
            </w:pPr>
          </w:p>
        </w:tc>
        <w:tc>
          <w:tcPr>
            <w:tcW w:w="1390" w:type="dxa"/>
          </w:tcPr>
          <w:p w14:paraId="026C787A">
            <w:pPr>
              <w:widowControl w:val="0"/>
              <w:autoSpaceDE w:val="0"/>
              <w:autoSpaceDN w:val="0"/>
              <w:snapToGrid w:val="0"/>
              <w:spacing w:before="0" w:after="0" w:line="240" w:lineRule="exact"/>
              <w:rPr>
                <w:rFonts w:ascii="Arial" w:hAnsi="Arial" w:cs="Arial"/>
                <w:color w:val="000000"/>
                <w:sz w:val="21"/>
                <w:szCs w:val="21"/>
              </w:rPr>
            </w:pPr>
            <w:r>
              <w:rPr>
                <w:rFonts w:ascii="Arial" w:hAnsi="Arial" w:cs="Arial"/>
                <w:color w:val="000000"/>
                <w:sz w:val="21"/>
                <w:szCs w:val="21"/>
              </w:rPr>
              <w:t>A</w:t>
            </w:r>
          </w:p>
        </w:tc>
        <w:tc>
          <w:tcPr>
            <w:tcW w:w="1418" w:type="dxa"/>
          </w:tcPr>
          <w:p w14:paraId="6E9E499B">
            <w:pPr>
              <w:widowControl w:val="0"/>
              <w:autoSpaceDE w:val="0"/>
              <w:autoSpaceDN w:val="0"/>
              <w:snapToGrid w:val="0"/>
              <w:spacing w:before="0" w:after="0" w:line="240" w:lineRule="exact"/>
              <w:rPr>
                <w:rFonts w:ascii="Arial" w:hAnsi="Arial" w:cs="Arial"/>
                <w:sz w:val="21"/>
                <w:szCs w:val="21"/>
                <w:vertAlign w:val="superscript"/>
                <w:lang w:val="en-US"/>
              </w:rPr>
            </w:pPr>
            <w:r>
              <w:rPr>
                <w:rFonts w:ascii="Arial" w:hAnsi="Arial" w:cs="Arial"/>
                <w:color w:val="000000"/>
                <w:sz w:val="21"/>
                <w:szCs w:val="21"/>
              </w:rPr>
              <w:t>B</w:t>
            </w:r>
          </w:p>
        </w:tc>
        <w:tc>
          <w:tcPr>
            <w:tcW w:w="992" w:type="dxa"/>
          </w:tcPr>
          <w:p w14:paraId="6FF6BB23">
            <w:pPr>
              <w:snapToGrid w:val="0"/>
              <w:spacing w:line="240" w:lineRule="exact"/>
              <w:rPr>
                <w:rFonts w:ascii="Arial" w:hAnsi="Arial" w:cs="Arial"/>
                <w:sz w:val="21"/>
                <w:szCs w:val="21"/>
                <w:vertAlign w:val="superscript"/>
                <w:lang w:val="en-US"/>
              </w:rPr>
            </w:pPr>
          </w:p>
        </w:tc>
      </w:tr>
      <w:tr w14:paraId="17F0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76" w:type="dxa"/>
          </w:tcPr>
          <w:p w14:paraId="40FC5818">
            <w:pPr>
              <w:autoSpaceDE w:val="0"/>
              <w:autoSpaceDN w:val="0"/>
              <w:snapToGrid w:val="0"/>
              <w:spacing w:line="240" w:lineRule="exact"/>
              <w:rPr>
                <w:rFonts w:ascii="Arial" w:hAnsi="Arial" w:cs="Arial"/>
                <w:color w:val="000000"/>
                <w:sz w:val="21"/>
                <w:szCs w:val="21"/>
              </w:rPr>
            </w:pPr>
            <w:r>
              <w:rPr>
                <w:rFonts w:ascii="Arial" w:hAnsi="Arial" w:cs="Arial"/>
                <w:color w:val="000000"/>
                <w:sz w:val="21"/>
                <w:szCs w:val="21"/>
              </w:rPr>
              <w:t>评分</w:t>
            </w:r>
          </w:p>
        </w:tc>
        <w:tc>
          <w:tcPr>
            <w:tcW w:w="1303" w:type="dxa"/>
          </w:tcPr>
          <w:p w14:paraId="06384949">
            <w:pPr>
              <w:snapToGrid w:val="0"/>
              <w:spacing w:line="240" w:lineRule="exact"/>
              <w:rPr>
                <w:rFonts w:ascii="Arial" w:hAnsi="Arial" w:cs="Arial"/>
                <w:sz w:val="21"/>
                <w:szCs w:val="21"/>
                <w:vertAlign w:val="superscript"/>
                <w:lang w:val="en-US"/>
              </w:rPr>
            </w:pPr>
          </w:p>
        </w:tc>
        <w:tc>
          <w:tcPr>
            <w:tcW w:w="1390" w:type="dxa"/>
          </w:tcPr>
          <w:p w14:paraId="4D680000">
            <w:pPr>
              <w:widowControl w:val="0"/>
              <w:autoSpaceDE w:val="0"/>
              <w:autoSpaceDN w:val="0"/>
              <w:snapToGrid w:val="0"/>
              <w:spacing w:before="0" w:after="0" w:line="240" w:lineRule="exact"/>
              <w:rPr>
                <w:rFonts w:ascii="Arial" w:hAnsi="Arial" w:cs="Arial"/>
                <w:color w:val="000000"/>
                <w:sz w:val="21"/>
                <w:szCs w:val="21"/>
              </w:rPr>
            </w:pPr>
            <w:r>
              <w:rPr>
                <w:rFonts w:ascii="Arial" w:hAnsi="Arial" w:cs="Arial"/>
                <w:color w:val="000000"/>
                <w:sz w:val="21"/>
                <w:szCs w:val="21"/>
              </w:rPr>
              <w:t>C</w:t>
            </w:r>
          </w:p>
        </w:tc>
        <w:tc>
          <w:tcPr>
            <w:tcW w:w="1418" w:type="dxa"/>
          </w:tcPr>
          <w:p w14:paraId="12E4AB53">
            <w:pPr>
              <w:widowControl w:val="0"/>
              <w:autoSpaceDE w:val="0"/>
              <w:autoSpaceDN w:val="0"/>
              <w:snapToGrid w:val="0"/>
              <w:spacing w:before="0" w:after="0" w:line="240" w:lineRule="exact"/>
              <w:rPr>
                <w:rFonts w:ascii="Arial" w:hAnsi="Arial" w:cs="Arial"/>
                <w:color w:val="000000"/>
                <w:sz w:val="21"/>
                <w:szCs w:val="21"/>
              </w:rPr>
            </w:pPr>
            <w:r>
              <w:rPr>
                <w:rFonts w:ascii="Arial" w:hAnsi="Arial" w:cs="Arial"/>
                <w:color w:val="000000"/>
                <w:sz w:val="21"/>
                <w:szCs w:val="21"/>
              </w:rPr>
              <w:t>D</w:t>
            </w:r>
          </w:p>
        </w:tc>
        <w:tc>
          <w:tcPr>
            <w:tcW w:w="992" w:type="dxa"/>
          </w:tcPr>
          <w:p w14:paraId="53828D7B">
            <w:pPr>
              <w:widowControl w:val="0"/>
              <w:autoSpaceDE w:val="0"/>
              <w:autoSpaceDN w:val="0"/>
              <w:snapToGrid w:val="0"/>
              <w:spacing w:before="0" w:after="0" w:line="240" w:lineRule="exact"/>
              <w:rPr>
                <w:rFonts w:ascii="Arial" w:hAnsi="Arial" w:cs="Arial"/>
                <w:color w:val="000000"/>
                <w:sz w:val="21"/>
                <w:szCs w:val="21"/>
              </w:rPr>
            </w:pPr>
          </w:p>
        </w:tc>
      </w:tr>
      <w:tr w14:paraId="0AD5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76" w:type="dxa"/>
          </w:tcPr>
          <w:p w14:paraId="7A9BFC95">
            <w:pPr>
              <w:autoSpaceDE w:val="0"/>
              <w:autoSpaceDN w:val="0"/>
              <w:snapToGrid w:val="0"/>
              <w:spacing w:line="240" w:lineRule="exact"/>
              <w:rPr>
                <w:rFonts w:ascii="Arial" w:hAnsi="Arial" w:cs="Arial"/>
                <w:color w:val="000000"/>
                <w:sz w:val="21"/>
                <w:szCs w:val="21"/>
              </w:rPr>
            </w:pPr>
            <w:r>
              <w:rPr>
                <w:rFonts w:ascii="Arial" w:hAnsi="Arial" w:cs="Arial"/>
                <w:color w:val="000000"/>
                <w:sz w:val="21"/>
                <w:szCs w:val="21"/>
              </w:rPr>
              <w:t>测试</w:t>
            </w:r>
          </w:p>
        </w:tc>
        <w:tc>
          <w:tcPr>
            <w:tcW w:w="1303" w:type="dxa"/>
          </w:tcPr>
          <w:p w14:paraId="0EA7591A">
            <w:pPr>
              <w:snapToGrid w:val="0"/>
              <w:spacing w:line="240" w:lineRule="exact"/>
              <w:rPr>
                <w:rFonts w:ascii="Arial" w:hAnsi="Arial" w:cs="Arial"/>
                <w:sz w:val="21"/>
                <w:szCs w:val="21"/>
                <w:vertAlign w:val="superscript"/>
                <w:lang w:val="en-US"/>
              </w:rPr>
            </w:pPr>
          </w:p>
        </w:tc>
        <w:tc>
          <w:tcPr>
            <w:tcW w:w="1390" w:type="dxa"/>
          </w:tcPr>
          <w:p w14:paraId="0B15356C">
            <w:pPr>
              <w:widowControl w:val="0"/>
              <w:autoSpaceDE w:val="0"/>
              <w:autoSpaceDN w:val="0"/>
              <w:snapToGrid w:val="0"/>
              <w:spacing w:before="0" w:after="0" w:line="240" w:lineRule="exact"/>
              <w:rPr>
                <w:rFonts w:ascii="Arial" w:hAnsi="Arial" w:cs="Arial"/>
                <w:color w:val="000000"/>
                <w:sz w:val="21"/>
                <w:szCs w:val="21"/>
              </w:rPr>
            </w:pPr>
          </w:p>
        </w:tc>
        <w:tc>
          <w:tcPr>
            <w:tcW w:w="1418" w:type="dxa"/>
          </w:tcPr>
          <w:p w14:paraId="3CC20506">
            <w:pPr>
              <w:widowControl w:val="0"/>
              <w:autoSpaceDE w:val="0"/>
              <w:autoSpaceDN w:val="0"/>
              <w:snapToGrid w:val="0"/>
              <w:spacing w:before="0" w:after="0" w:line="240" w:lineRule="exact"/>
              <w:rPr>
                <w:rFonts w:ascii="Arial" w:hAnsi="Arial" w:cs="Arial"/>
                <w:color w:val="000000"/>
                <w:sz w:val="21"/>
                <w:szCs w:val="21"/>
              </w:rPr>
            </w:pPr>
          </w:p>
        </w:tc>
        <w:tc>
          <w:tcPr>
            <w:tcW w:w="992" w:type="dxa"/>
          </w:tcPr>
          <w:p w14:paraId="2BE52A43">
            <w:pPr>
              <w:widowControl w:val="0"/>
              <w:autoSpaceDE w:val="0"/>
              <w:autoSpaceDN w:val="0"/>
              <w:snapToGrid w:val="0"/>
              <w:spacing w:before="0" w:after="0" w:line="240" w:lineRule="exact"/>
              <w:rPr>
                <w:rFonts w:ascii="Arial" w:hAnsi="Arial" w:cs="Arial"/>
                <w:color w:val="000000"/>
                <w:sz w:val="21"/>
                <w:szCs w:val="21"/>
              </w:rPr>
            </w:pPr>
            <w:r>
              <w:rPr>
                <w:rFonts w:ascii="Arial" w:hAnsi="Arial" w:cs="Arial"/>
                <w:color w:val="000000"/>
                <w:sz w:val="21"/>
                <w:szCs w:val="21"/>
              </w:rPr>
              <w:t>N</w:t>
            </w:r>
          </w:p>
        </w:tc>
      </w:tr>
    </w:tbl>
    <w:p w14:paraId="2FBF0F62">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对于通过病理学确定恶性肿瘤的受试者以及通过病理学确定无恶性肿瘤的受试者，分别展示评分测试性能和术前评估。</w:t>
      </w:r>
    </w:p>
    <w:p w14:paraId="74E0EC48">
      <w:pPr>
        <w:rPr>
          <w:rFonts w:ascii="Arial" w:hAnsi="Arial" w:cs="Arial"/>
          <w:vertAlign w:val="superscript"/>
          <w:lang w:val="en-US"/>
        </w:rPr>
      </w:pPr>
    </w:p>
    <w:p w14:paraId="5EE266B2">
      <w:pPr>
        <w:rPr>
          <w:rFonts w:ascii="Arial" w:hAnsi="Arial" w:cs="Arial"/>
          <w:vertAlign w:val="superscript"/>
          <w:lang w:val="en-US"/>
        </w:rPr>
      </w:pPr>
    </w:p>
    <w:p w14:paraId="5EA77814">
      <w:pPr>
        <w:rPr>
          <w:rFonts w:ascii="Arial" w:hAnsi="Arial" w:cs="Arial"/>
          <w:vertAlign w:val="superscript"/>
          <w:lang w:val="en-US"/>
        </w:rPr>
      </w:pPr>
    </w:p>
    <w:p w14:paraId="27D2DABB">
      <w:pPr>
        <w:rPr>
          <w:rFonts w:ascii="Arial" w:hAnsi="Arial" w:cs="Arial"/>
          <w:vertAlign w:val="superscript"/>
          <w:lang w:val="en-US"/>
        </w:rPr>
      </w:pPr>
      <w:r>
        <w:rPr>
          <w:rFonts w:ascii="Arial" w:hAnsi="Arial" w:cs="Arial"/>
          <w:vertAlign w:val="superscript"/>
          <w:lang w:val="en-US"/>
        </w:rPr>
        <w:drawing>
          <wp:anchor distT="0" distB="0" distL="114300" distR="114300" simplePos="0" relativeHeight="251671552" behindDoc="1" locked="0" layoutInCell="1" allowOverlap="1">
            <wp:simplePos x="0" y="0"/>
            <wp:positionH relativeFrom="page">
              <wp:posOffset>1990090</wp:posOffset>
            </wp:positionH>
            <wp:positionV relativeFrom="page">
              <wp:posOffset>914400</wp:posOffset>
            </wp:positionV>
            <wp:extent cx="3798570" cy="1271270"/>
            <wp:effectExtent l="0" t="0" r="0" b="508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98570" cy="1271270"/>
                    </a:xfrm>
                    <a:prstGeom prst="rect">
                      <a:avLst/>
                    </a:prstGeom>
                    <a:noFill/>
                    <a:ln>
                      <a:noFill/>
                    </a:ln>
                  </pic:spPr>
                </pic:pic>
              </a:graphicData>
            </a:graphic>
          </wp:anchor>
        </w:drawing>
      </w:r>
    </w:p>
    <w:p w14:paraId="4541FE3C">
      <w:pPr>
        <w:framePr w:w="3404" w:wrap="around" w:vAnchor="page" w:hAnchor="page" w:x="5435" w:y="1430"/>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病理学恶性肿瘤</w:t>
      </w:r>
    </w:p>
    <w:p w14:paraId="440C8F46">
      <w:pPr>
        <w:framePr w:w="3404" w:wrap="around" w:vAnchor="page" w:hAnchor="page" w:x="5435" w:y="1430"/>
        <w:widowControl w:val="0"/>
        <w:autoSpaceDE w:val="0"/>
        <w:autoSpaceDN w:val="0"/>
        <w:snapToGrid w:val="0"/>
        <w:spacing w:before="0" w:after="0" w:line="300" w:lineRule="auto"/>
        <w:jc w:val="left"/>
        <w:rPr>
          <w:rFonts w:ascii="Arial" w:hAnsi="Arial" w:cs="Arial"/>
          <w:color w:val="000000"/>
          <w:sz w:val="24"/>
        </w:rPr>
      </w:pPr>
      <w:r>
        <w:rPr>
          <w:rFonts w:ascii="Arial" w:hAnsi="Arial" w:cs="Arial"/>
          <w:color w:val="000000"/>
          <w:sz w:val="24"/>
        </w:rPr>
        <w:t>非GO术前评估</w:t>
      </w:r>
    </w:p>
    <w:p w14:paraId="7D31FE8D">
      <w:pPr>
        <w:rPr>
          <w:rFonts w:ascii="Arial" w:hAnsi="Arial" w:cs="Arial"/>
          <w:vertAlign w:val="superscript"/>
          <w:lang w:val="en-US"/>
        </w:rPr>
      </w:pPr>
    </w:p>
    <w:p w14:paraId="031ABD33">
      <w:pPr>
        <w:framePr w:w="1161" w:wrap="around" w:vAnchor="page" w:hAnchor="page" w:x="5496" w:y="2319"/>
        <w:widowControl w:val="0"/>
        <w:autoSpaceDE w:val="0"/>
        <w:autoSpaceDN w:val="0"/>
        <w:snapToGrid w:val="0"/>
        <w:spacing w:before="0" w:after="0"/>
        <w:rPr>
          <w:rFonts w:ascii="Arial" w:hAnsi="Arial" w:cs="Arial"/>
          <w:color w:val="000000"/>
          <w:sz w:val="24"/>
        </w:rPr>
      </w:pPr>
      <w:r>
        <w:rPr>
          <w:rFonts w:ascii="Arial" w:hAnsi="Arial" w:cs="Arial"/>
          <w:color w:val="000000"/>
          <w:sz w:val="24"/>
        </w:rPr>
        <w:t>阳性</w:t>
      </w:r>
    </w:p>
    <w:p w14:paraId="250EEC71">
      <w:pPr>
        <w:framePr w:w="1161" w:wrap="around" w:vAnchor="page" w:hAnchor="page" w:x="5496" w:y="2319"/>
        <w:widowControl w:val="0"/>
        <w:autoSpaceDE w:val="0"/>
        <w:autoSpaceDN w:val="0"/>
        <w:snapToGrid w:val="0"/>
        <w:spacing w:before="0" w:after="0"/>
        <w:rPr>
          <w:rFonts w:ascii="Arial" w:hAnsi="Arial" w:cs="Arial"/>
          <w:color w:val="000000"/>
          <w:sz w:val="16"/>
        </w:rPr>
      </w:pPr>
      <w:r>
        <w:rPr>
          <w:rFonts w:ascii="Arial" w:hAnsi="Arial" w:cs="Arial"/>
          <w:color w:val="000000"/>
          <w:sz w:val="24"/>
        </w:rPr>
        <w:t>A</w:t>
      </w:r>
      <w:r>
        <w:rPr>
          <w:rFonts w:ascii="Arial" w:hAnsi="Arial" w:cs="Arial"/>
          <w:color w:val="000000"/>
          <w:sz w:val="16"/>
        </w:rPr>
        <w:t>1</w:t>
      </w:r>
    </w:p>
    <w:p w14:paraId="4B01C503">
      <w:pPr>
        <w:framePr w:w="1161" w:wrap="around" w:vAnchor="page" w:hAnchor="page" w:x="5496" w:y="2319"/>
        <w:widowControl w:val="0"/>
        <w:autoSpaceDE w:val="0"/>
        <w:autoSpaceDN w:val="0"/>
        <w:snapToGrid w:val="0"/>
        <w:spacing w:before="0" w:after="0"/>
        <w:rPr>
          <w:rFonts w:ascii="Arial" w:hAnsi="Arial" w:cs="Arial"/>
          <w:color w:val="000000"/>
          <w:sz w:val="16"/>
        </w:rPr>
      </w:pPr>
      <w:r>
        <w:rPr>
          <w:rFonts w:ascii="Arial" w:hAnsi="Arial" w:cs="Arial"/>
          <w:color w:val="000000"/>
          <w:sz w:val="24"/>
        </w:rPr>
        <w:t>C</w:t>
      </w:r>
      <w:r>
        <w:rPr>
          <w:rFonts w:ascii="Arial" w:hAnsi="Arial" w:cs="Arial"/>
          <w:color w:val="000000"/>
          <w:sz w:val="16"/>
        </w:rPr>
        <w:t>1</w:t>
      </w:r>
    </w:p>
    <w:p w14:paraId="0F229662">
      <w:pPr>
        <w:framePr w:w="1161" w:wrap="around" w:vAnchor="page" w:hAnchor="page" w:x="3218" w:y="2585"/>
        <w:widowControl w:val="0"/>
        <w:autoSpaceDE w:val="0"/>
        <w:autoSpaceDN w:val="0"/>
        <w:snapToGrid w:val="0"/>
        <w:spacing w:before="0" w:after="0"/>
        <w:rPr>
          <w:rFonts w:ascii="Arial" w:hAnsi="Arial" w:cs="Arial"/>
          <w:color w:val="000000"/>
          <w:sz w:val="24"/>
        </w:rPr>
      </w:pPr>
      <w:r>
        <w:rPr>
          <w:rFonts w:ascii="Arial" w:hAnsi="Arial" w:cs="Arial"/>
          <w:color w:val="000000"/>
          <w:sz w:val="24"/>
        </w:rPr>
        <w:t>评分</w:t>
      </w:r>
    </w:p>
    <w:p w14:paraId="20F891F1">
      <w:pPr>
        <w:framePr w:w="1161" w:wrap="around" w:vAnchor="page" w:hAnchor="page" w:x="3218" w:y="2585"/>
        <w:widowControl w:val="0"/>
        <w:autoSpaceDE w:val="0"/>
        <w:autoSpaceDN w:val="0"/>
        <w:snapToGrid w:val="0"/>
        <w:spacing w:before="0" w:after="0"/>
        <w:rPr>
          <w:rFonts w:ascii="Arial" w:hAnsi="Arial" w:cs="Arial"/>
          <w:color w:val="000000"/>
          <w:sz w:val="24"/>
        </w:rPr>
      </w:pPr>
      <w:r>
        <w:rPr>
          <w:rFonts w:ascii="Arial" w:hAnsi="Arial" w:cs="Arial"/>
          <w:color w:val="000000"/>
          <w:sz w:val="24"/>
        </w:rPr>
        <w:t>测试</w:t>
      </w:r>
    </w:p>
    <w:p w14:paraId="423D17B7">
      <w:pPr>
        <w:framePr w:w="1161" w:wrap="around" w:vAnchor="page" w:hAnchor="page" w:x="6873" w:y="2299"/>
        <w:widowControl w:val="0"/>
        <w:autoSpaceDE w:val="0"/>
        <w:autoSpaceDN w:val="0"/>
        <w:snapToGrid w:val="0"/>
        <w:spacing w:before="0" w:after="0"/>
        <w:rPr>
          <w:rFonts w:ascii="Arial" w:hAnsi="Arial" w:cs="Arial"/>
          <w:color w:val="000000"/>
          <w:sz w:val="24"/>
        </w:rPr>
      </w:pPr>
      <w:r>
        <w:rPr>
          <w:rFonts w:ascii="Arial" w:hAnsi="Arial" w:cs="Arial"/>
          <w:color w:val="000000"/>
          <w:sz w:val="24"/>
        </w:rPr>
        <w:t>阴性</w:t>
      </w:r>
    </w:p>
    <w:p w14:paraId="1FA3E71E">
      <w:pPr>
        <w:framePr w:w="1161" w:wrap="around" w:vAnchor="page" w:hAnchor="page" w:x="6873" w:y="2299"/>
        <w:widowControl w:val="0"/>
        <w:autoSpaceDE w:val="0"/>
        <w:autoSpaceDN w:val="0"/>
        <w:snapToGrid w:val="0"/>
        <w:spacing w:before="0" w:after="0"/>
        <w:rPr>
          <w:rFonts w:ascii="Arial" w:hAnsi="Arial" w:cs="Arial"/>
          <w:color w:val="000000"/>
          <w:sz w:val="16"/>
        </w:rPr>
      </w:pPr>
      <w:r>
        <w:rPr>
          <w:rFonts w:ascii="Arial" w:hAnsi="Arial" w:cs="Arial"/>
          <w:color w:val="000000"/>
          <w:sz w:val="24"/>
        </w:rPr>
        <w:t>B</w:t>
      </w:r>
      <w:r>
        <w:rPr>
          <w:rFonts w:ascii="Arial" w:hAnsi="Arial" w:cs="Arial"/>
          <w:color w:val="000000"/>
          <w:sz w:val="16"/>
        </w:rPr>
        <w:t>1</w:t>
      </w:r>
    </w:p>
    <w:p w14:paraId="7C670A4E">
      <w:pPr>
        <w:framePr w:w="1161" w:wrap="around" w:vAnchor="page" w:hAnchor="page" w:x="6873" w:y="2299"/>
        <w:widowControl w:val="0"/>
        <w:autoSpaceDE w:val="0"/>
        <w:autoSpaceDN w:val="0"/>
        <w:snapToGrid w:val="0"/>
        <w:spacing w:before="0" w:after="0"/>
        <w:rPr>
          <w:rFonts w:ascii="Arial" w:hAnsi="Arial" w:cs="Arial"/>
          <w:color w:val="000000"/>
          <w:sz w:val="16"/>
        </w:rPr>
      </w:pPr>
      <w:r>
        <w:rPr>
          <w:rFonts w:ascii="Arial" w:hAnsi="Arial" w:cs="Arial"/>
          <w:color w:val="000000"/>
          <w:sz w:val="24"/>
        </w:rPr>
        <w:t>D</w:t>
      </w:r>
      <w:r>
        <w:rPr>
          <w:rFonts w:ascii="Arial" w:hAnsi="Arial" w:cs="Arial"/>
          <w:color w:val="000000"/>
          <w:sz w:val="16"/>
        </w:rPr>
        <w:t>1</w:t>
      </w:r>
    </w:p>
    <w:p w14:paraId="10934BE3">
      <w:pPr>
        <w:framePr w:w="1254" w:wrap="around" w:vAnchor="page" w:hAnchor="page" w:x="4351" w:y="2586"/>
        <w:widowControl w:val="0"/>
        <w:autoSpaceDE w:val="0"/>
        <w:autoSpaceDN w:val="0"/>
        <w:snapToGrid w:val="0"/>
        <w:spacing w:before="0" w:after="0"/>
        <w:rPr>
          <w:rFonts w:ascii="Arial" w:hAnsi="Arial" w:cs="Arial"/>
          <w:color w:val="000000"/>
          <w:sz w:val="24"/>
        </w:rPr>
      </w:pPr>
      <w:r>
        <w:rPr>
          <w:rFonts w:ascii="Arial" w:hAnsi="Arial" w:cs="Arial"/>
          <w:color w:val="000000"/>
          <w:sz w:val="24"/>
        </w:rPr>
        <w:t>阳性</w:t>
      </w:r>
    </w:p>
    <w:p w14:paraId="67A61004">
      <w:pPr>
        <w:framePr w:w="1254" w:wrap="around" w:vAnchor="page" w:hAnchor="page" w:x="4351" w:y="2586"/>
        <w:widowControl w:val="0"/>
        <w:autoSpaceDE w:val="0"/>
        <w:autoSpaceDN w:val="0"/>
        <w:snapToGrid w:val="0"/>
        <w:spacing w:before="0" w:after="0"/>
        <w:rPr>
          <w:rFonts w:ascii="Arial" w:hAnsi="Arial" w:cs="Arial"/>
          <w:color w:val="000000"/>
          <w:sz w:val="24"/>
        </w:rPr>
      </w:pPr>
      <w:r>
        <w:rPr>
          <w:rFonts w:ascii="Arial" w:hAnsi="Arial" w:cs="Arial"/>
          <w:color w:val="000000"/>
          <w:sz w:val="24"/>
        </w:rPr>
        <w:t>阴性</w:t>
      </w:r>
    </w:p>
    <w:p w14:paraId="230656A3">
      <w:pPr>
        <w:rPr>
          <w:rFonts w:ascii="Arial" w:hAnsi="Arial" w:cs="Arial"/>
          <w:vertAlign w:val="superscript"/>
          <w:lang w:val="en-US"/>
        </w:rPr>
      </w:pPr>
    </w:p>
    <w:p w14:paraId="4F9B7C29">
      <w:pPr>
        <w:framePr w:w="613" w:wrap="around" w:vAnchor="page" w:hAnchor="page" w:x="8232" w:y="3126"/>
        <w:widowControl w:val="0"/>
        <w:autoSpaceDE w:val="0"/>
        <w:autoSpaceDN w:val="0"/>
        <w:snapToGrid w:val="0"/>
        <w:spacing w:before="0" w:after="0" w:line="300" w:lineRule="auto"/>
        <w:rPr>
          <w:rFonts w:ascii="Arial" w:hAnsi="Arial" w:cs="Arial"/>
          <w:color w:val="000000"/>
          <w:sz w:val="16"/>
        </w:rPr>
      </w:pPr>
      <w:r>
        <w:rPr>
          <w:rFonts w:ascii="Arial" w:hAnsi="Arial" w:cs="Arial"/>
          <w:color w:val="000000"/>
          <w:sz w:val="24"/>
        </w:rPr>
        <w:t>N</w:t>
      </w:r>
      <w:r>
        <w:rPr>
          <w:rFonts w:ascii="Arial" w:hAnsi="Arial" w:cs="Arial"/>
          <w:color w:val="000000"/>
          <w:sz w:val="16"/>
        </w:rPr>
        <w:t>1</w:t>
      </w:r>
    </w:p>
    <w:p w14:paraId="2531C9AF">
      <w:pPr>
        <w:rPr>
          <w:rFonts w:ascii="Arial" w:hAnsi="Arial" w:cs="Arial"/>
          <w:vertAlign w:val="superscript"/>
          <w:lang w:val="en-US"/>
        </w:rPr>
      </w:pPr>
    </w:p>
    <w:p w14:paraId="0B7CB9A1">
      <w:pPr>
        <w:framePr w:w="3404" w:wrap="around" w:vAnchor="page" w:hAnchor="page" w:x="5454" w:y="3698"/>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病理学恶性肿瘤</w:t>
      </w:r>
    </w:p>
    <w:p w14:paraId="0300906F">
      <w:pPr>
        <w:framePr w:w="3404" w:wrap="around" w:vAnchor="page" w:hAnchor="page" w:x="5454" w:y="3698"/>
        <w:widowControl w:val="0"/>
        <w:autoSpaceDE w:val="0"/>
        <w:autoSpaceDN w:val="0"/>
        <w:snapToGrid w:val="0"/>
        <w:spacing w:before="0" w:after="0" w:line="300" w:lineRule="auto"/>
        <w:jc w:val="left"/>
        <w:rPr>
          <w:rFonts w:ascii="Arial" w:hAnsi="Arial" w:cs="Arial"/>
          <w:color w:val="000000"/>
          <w:sz w:val="24"/>
        </w:rPr>
      </w:pPr>
      <w:r>
        <w:rPr>
          <w:rFonts w:ascii="Arial" w:hAnsi="Arial" w:cs="Arial"/>
          <w:color w:val="000000"/>
          <w:sz w:val="24"/>
        </w:rPr>
        <w:t>非GO术前评估</w:t>
      </w:r>
    </w:p>
    <w:p w14:paraId="122023DF">
      <w:pPr>
        <w:rPr>
          <w:rFonts w:ascii="Arial" w:hAnsi="Arial" w:cs="Arial"/>
          <w:vertAlign w:val="superscript"/>
          <w:lang w:val="en-US"/>
        </w:rPr>
      </w:pPr>
    </w:p>
    <w:p w14:paraId="560168BD">
      <w:pPr>
        <w:rPr>
          <w:rFonts w:ascii="Arial" w:hAnsi="Arial" w:cs="Arial"/>
          <w:vertAlign w:val="superscript"/>
          <w:lang w:val="en-US"/>
        </w:rPr>
      </w:pPr>
      <w:r>
        <w:rPr>
          <w:rFonts w:ascii="Arial" w:hAnsi="Arial" w:cs="Arial"/>
          <w:vertAlign w:val="superscript"/>
          <w:lang w:val="en-US"/>
        </w:rPr>
        <w:drawing>
          <wp:anchor distT="0" distB="0" distL="114300" distR="114300" simplePos="0" relativeHeight="251672576" behindDoc="1" locked="0" layoutInCell="1" allowOverlap="1">
            <wp:simplePos x="0" y="0"/>
            <wp:positionH relativeFrom="page">
              <wp:posOffset>1990090</wp:posOffset>
            </wp:positionH>
            <wp:positionV relativeFrom="page">
              <wp:posOffset>2360930</wp:posOffset>
            </wp:positionV>
            <wp:extent cx="3798570" cy="1271270"/>
            <wp:effectExtent l="0" t="0" r="0" b="508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98570" cy="1271270"/>
                    </a:xfrm>
                    <a:prstGeom prst="rect">
                      <a:avLst/>
                    </a:prstGeom>
                    <a:noFill/>
                    <a:ln>
                      <a:noFill/>
                    </a:ln>
                  </pic:spPr>
                </pic:pic>
              </a:graphicData>
            </a:graphic>
          </wp:anchor>
        </w:drawing>
      </w:r>
    </w:p>
    <w:p w14:paraId="455DBE99">
      <w:pPr>
        <w:framePr w:w="1161" w:wrap="around" w:vAnchor="page" w:hAnchor="page" w:x="5403" w:y="4597"/>
        <w:widowControl w:val="0"/>
        <w:autoSpaceDE w:val="0"/>
        <w:autoSpaceDN w:val="0"/>
        <w:snapToGrid w:val="0"/>
        <w:spacing w:before="0" w:after="0"/>
        <w:rPr>
          <w:rFonts w:ascii="Arial" w:hAnsi="Arial" w:cs="Arial"/>
          <w:color w:val="000000"/>
          <w:sz w:val="24"/>
        </w:rPr>
      </w:pPr>
      <w:r>
        <w:rPr>
          <w:rFonts w:ascii="Arial" w:hAnsi="Arial" w:cs="Arial"/>
          <w:color w:val="000000"/>
          <w:sz w:val="24"/>
        </w:rPr>
        <w:t>阳性</w:t>
      </w:r>
    </w:p>
    <w:p w14:paraId="6B23810D">
      <w:pPr>
        <w:framePr w:w="1161" w:wrap="around" w:vAnchor="page" w:hAnchor="page" w:x="5403" w:y="4597"/>
        <w:widowControl w:val="0"/>
        <w:autoSpaceDE w:val="0"/>
        <w:autoSpaceDN w:val="0"/>
        <w:snapToGrid w:val="0"/>
        <w:spacing w:before="0" w:after="0"/>
        <w:rPr>
          <w:rFonts w:ascii="Arial" w:hAnsi="Arial" w:cs="Arial"/>
          <w:color w:val="000000"/>
          <w:sz w:val="16"/>
        </w:rPr>
      </w:pPr>
      <w:r>
        <w:rPr>
          <w:rFonts w:ascii="Arial" w:hAnsi="Arial" w:cs="Arial"/>
          <w:color w:val="000000"/>
          <w:sz w:val="24"/>
        </w:rPr>
        <w:t>A</w:t>
      </w:r>
      <w:r>
        <w:rPr>
          <w:rFonts w:ascii="Arial" w:hAnsi="Arial" w:cs="Arial"/>
          <w:color w:val="000000"/>
          <w:sz w:val="16"/>
        </w:rPr>
        <w:t>0</w:t>
      </w:r>
    </w:p>
    <w:p w14:paraId="092DB008">
      <w:pPr>
        <w:framePr w:w="1161" w:wrap="around" w:vAnchor="page" w:hAnchor="page" w:x="5403" w:y="4597"/>
        <w:widowControl w:val="0"/>
        <w:autoSpaceDE w:val="0"/>
        <w:autoSpaceDN w:val="0"/>
        <w:snapToGrid w:val="0"/>
        <w:spacing w:before="0" w:after="0"/>
        <w:rPr>
          <w:rFonts w:ascii="Arial" w:hAnsi="Arial" w:cs="Arial"/>
          <w:color w:val="000000"/>
          <w:sz w:val="16"/>
        </w:rPr>
      </w:pPr>
      <w:r>
        <w:rPr>
          <w:rFonts w:ascii="Arial" w:hAnsi="Arial" w:cs="Arial"/>
          <w:color w:val="000000"/>
          <w:sz w:val="24"/>
        </w:rPr>
        <w:t>C</w:t>
      </w:r>
      <w:r>
        <w:rPr>
          <w:rFonts w:ascii="Arial" w:hAnsi="Arial" w:cs="Arial"/>
          <w:color w:val="000000"/>
          <w:sz w:val="16"/>
        </w:rPr>
        <w:t>0</w:t>
      </w:r>
    </w:p>
    <w:p w14:paraId="1E26F474">
      <w:pPr>
        <w:framePr w:w="1161" w:wrap="around" w:vAnchor="page" w:hAnchor="page" w:x="6793" w:y="4628"/>
        <w:widowControl w:val="0"/>
        <w:autoSpaceDE w:val="0"/>
        <w:autoSpaceDN w:val="0"/>
        <w:snapToGrid w:val="0"/>
        <w:spacing w:before="0" w:after="0"/>
        <w:rPr>
          <w:rFonts w:ascii="Arial" w:hAnsi="Arial" w:cs="Arial"/>
          <w:color w:val="000000"/>
          <w:sz w:val="24"/>
        </w:rPr>
      </w:pPr>
      <w:r>
        <w:rPr>
          <w:rFonts w:ascii="Arial" w:hAnsi="Arial" w:cs="Arial"/>
          <w:color w:val="000000"/>
          <w:sz w:val="24"/>
        </w:rPr>
        <w:t>阴性</w:t>
      </w:r>
    </w:p>
    <w:p w14:paraId="0B93F9A0">
      <w:pPr>
        <w:framePr w:w="1161" w:wrap="around" w:vAnchor="page" w:hAnchor="page" w:x="6793" w:y="4628"/>
        <w:widowControl w:val="0"/>
        <w:autoSpaceDE w:val="0"/>
        <w:autoSpaceDN w:val="0"/>
        <w:snapToGrid w:val="0"/>
        <w:spacing w:before="0" w:after="0"/>
        <w:rPr>
          <w:rFonts w:ascii="Arial" w:hAnsi="Arial" w:cs="Arial"/>
          <w:color w:val="000000"/>
          <w:sz w:val="16"/>
        </w:rPr>
      </w:pPr>
      <w:r>
        <w:rPr>
          <w:rFonts w:ascii="Arial" w:hAnsi="Arial" w:cs="Arial"/>
          <w:color w:val="000000"/>
          <w:sz w:val="24"/>
        </w:rPr>
        <w:t>B</w:t>
      </w:r>
      <w:r>
        <w:rPr>
          <w:rFonts w:ascii="Arial" w:hAnsi="Arial" w:cs="Arial"/>
          <w:color w:val="000000"/>
          <w:sz w:val="16"/>
        </w:rPr>
        <w:t>0</w:t>
      </w:r>
    </w:p>
    <w:p w14:paraId="4819ABB9">
      <w:pPr>
        <w:framePr w:w="1161" w:wrap="around" w:vAnchor="page" w:hAnchor="page" w:x="6793" w:y="4628"/>
        <w:widowControl w:val="0"/>
        <w:autoSpaceDE w:val="0"/>
        <w:autoSpaceDN w:val="0"/>
        <w:snapToGrid w:val="0"/>
        <w:spacing w:before="0" w:after="0"/>
        <w:rPr>
          <w:rFonts w:ascii="Arial" w:hAnsi="Arial" w:cs="Arial"/>
          <w:color w:val="000000"/>
          <w:sz w:val="16"/>
        </w:rPr>
      </w:pPr>
      <w:r>
        <w:rPr>
          <w:rFonts w:ascii="Arial" w:hAnsi="Arial" w:cs="Arial"/>
          <w:color w:val="000000"/>
          <w:sz w:val="24"/>
        </w:rPr>
        <w:t>D</w:t>
      </w:r>
      <w:r>
        <w:rPr>
          <w:rFonts w:ascii="Arial" w:hAnsi="Arial" w:cs="Arial"/>
          <w:color w:val="000000"/>
          <w:sz w:val="16"/>
        </w:rPr>
        <w:t>0</w:t>
      </w:r>
    </w:p>
    <w:p w14:paraId="029DBB73">
      <w:pPr>
        <w:framePr w:w="890" w:wrap="around" w:vAnchor="page" w:hAnchor="page" w:x="4331" w:y="4852"/>
        <w:widowControl w:val="0"/>
        <w:autoSpaceDE w:val="0"/>
        <w:autoSpaceDN w:val="0"/>
        <w:snapToGrid w:val="0"/>
        <w:spacing w:before="0" w:after="0"/>
        <w:rPr>
          <w:rFonts w:ascii="Arial" w:hAnsi="Arial" w:cs="Arial"/>
          <w:color w:val="000000"/>
          <w:sz w:val="24"/>
        </w:rPr>
      </w:pPr>
      <w:r>
        <w:rPr>
          <w:rFonts w:ascii="Arial" w:hAnsi="Arial" w:cs="Arial"/>
          <w:color w:val="000000"/>
          <w:sz w:val="24"/>
        </w:rPr>
        <w:t>阳性</w:t>
      </w:r>
    </w:p>
    <w:p w14:paraId="653030D2">
      <w:pPr>
        <w:framePr w:w="890" w:wrap="around" w:vAnchor="page" w:hAnchor="page" w:x="4331" w:y="4852"/>
        <w:widowControl w:val="0"/>
        <w:autoSpaceDE w:val="0"/>
        <w:autoSpaceDN w:val="0"/>
        <w:snapToGrid w:val="0"/>
        <w:spacing w:before="0" w:after="0"/>
        <w:rPr>
          <w:rFonts w:ascii="Arial" w:hAnsi="Arial" w:cs="Arial"/>
          <w:color w:val="000000"/>
          <w:sz w:val="24"/>
        </w:rPr>
      </w:pPr>
      <w:r>
        <w:rPr>
          <w:rFonts w:ascii="Arial" w:hAnsi="Arial" w:cs="Arial"/>
          <w:color w:val="000000"/>
          <w:sz w:val="24"/>
        </w:rPr>
        <w:t>阴性</w:t>
      </w:r>
    </w:p>
    <w:p w14:paraId="53691F93">
      <w:pPr>
        <w:framePr w:w="1161" w:wrap="around" w:vAnchor="page" w:hAnchor="page" w:x="3219" w:y="4832"/>
        <w:widowControl w:val="0"/>
        <w:autoSpaceDE w:val="0"/>
        <w:autoSpaceDN w:val="0"/>
        <w:snapToGrid w:val="0"/>
        <w:spacing w:before="0" w:after="0"/>
        <w:rPr>
          <w:rFonts w:ascii="Arial" w:hAnsi="Arial" w:cs="Arial"/>
          <w:color w:val="000000"/>
          <w:sz w:val="24"/>
        </w:rPr>
      </w:pPr>
      <w:r>
        <w:rPr>
          <w:rFonts w:ascii="Arial" w:hAnsi="Arial" w:cs="Arial"/>
          <w:color w:val="000000"/>
          <w:sz w:val="24"/>
        </w:rPr>
        <w:t>评分</w:t>
      </w:r>
    </w:p>
    <w:p w14:paraId="11509A78">
      <w:pPr>
        <w:framePr w:w="1161" w:wrap="around" w:vAnchor="page" w:hAnchor="page" w:x="3219" w:y="4832"/>
        <w:widowControl w:val="0"/>
        <w:autoSpaceDE w:val="0"/>
        <w:autoSpaceDN w:val="0"/>
        <w:snapToGrid w:val="0"/>
        <w:spacing w:before="0" w:after="0"/>
        <w:rPr>
          <w:rFonts w:ascii="Arial" w:hAnsi="Arial" w:cs="Arial"/>
          <w:color w:val="000000"/>
          <w:sz w:val="24"/>
        </w:rPr>
      </w:pPr>
      <w:r>
        <w:rPr>
          <w:rFonts w:ascii="Arial" w:hAnsi="Arial" w:cs="Arial"/>
          <w:color w:val="000000"/>
          <w:sz w:val="24"/>
        </w:rPr>
        <w:t>测试</w:t>
      </w:r>
    </w:p>
    <w:p w14:paraId="1ECE9929">
      <w:pPr>
        <w:rPr>
          <w:rFonts w:ascii="Arial" w:hAnsi="Arial" w:cs="Arial"/>
          <w:vertAlign w:val="superscript"/>
          <w:lang w:val="en-US"/>
        </w:rPr>
      </w:pPr>
    </w:p>
    <w:p w14:paraId="78F87FCA">
      <w:pPr>
        <w:framePr w:w="613" w:wrap="around" w:vAnchor="page" w:hAnchor="page" w:x="8232" w:y="5444"/>
        <w:widowControl w:val="0"/>
        <w:autoSpaceDE w:val="0"/>
        <w:autoSpaceDN w:val="0"/>
        <w:snapToGrid w:val="0"/>
        <w:spacing w:before="0" w:after="0" w:line="300" w:lineRule="auto"/>
        <w:rPr>
          <w:rFonts w:ascii="Arial" w:hAnsi="Arial" w:cs="Arial"/>
          <w:color w:val="000000"/>
          <w:sz w:val="16"/>
        </w:rPr>
      </w:pPr>
      <w:r>
        <w:rPr>
          <w:rFonts w:ascii="Arial" w:hAnsi="Arial" w:cs="Arial"/>
          <w:color w:val="000000"/>
          <w:sz w:val="24"/>
        </w:rPr>
        <w:t>N</w:t>
      </w:r>
      <w:r>
        <w:rPr>
          <w:rFonts w:ascii="Arial" w:hAnsi="Arial" w:cs="Arial"/>
          <w:color w:val="000000"/>
          <w:sz w:val="16"/>
        </w:rPr>
        <w:t>0</w:t>
      </w:r>
    </w:p>
    <w:p w14:paraId="1E088DFF">
      <w:pPr>
        <w:widowControl w:val="0"/>
        <w:autoSpaceDE w:val="0"/>
        <w:autoSpaceDN w:val="0"/>
        <w:snapToGrid w:val="0"/>
        <w:spacing w:before="0" w:after="0" w:line="300" w:lineRule="auto"/>
        <w:rPr>
          <w:rFonts w:ascii="Arial" w:hAnsi="Arial" w:cs="Arial"/>
          <w:color w:val="000000"/>
          <w:sz w:val="23"/>
        </w:rPr>
      </w:pPr>
    </w:p>
    <w:p w14:paraId="76C9E33A">
      <w:pPr>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下表显示了应用于所有经非GO医师评估受试者的测试的性能特征。对于单独评估，仅使用术前评估，不参考评分测试结果。对于双重评估（即，</w:t>
      </w:r>
      <w:r>
        <w:rPr>
          <w:rFonts w:ascii="Arial" w:hAnsi="Arial" w:cs="Arial"/>
          <w:color w:val="000000"/>
          <w:sz w:val="23"/>
          <w:cs/>
        </w:rPr>
        <w:t>“</w:t>
      </w:r>
      <w:r>
        <w:rPr>
          <w:rFonts w:ascii="Arial" w:hAnsi="Arial" w:cs="Arial"/>
          <w:color w:val="000000"/>
          <w:sz w:val="23"/>
        </w:rPr>
        <w:t>OR</w:t>
      </w:r>
      <w:r>
        <w:rPr>
          <w:rFonts w:ascii="Arial" w:hAnsi="Arial" w:cs="Arial"/>
          <w:color w:val="000000"/>
          <w:sz w:val="23"/>
          <w:cs/>
        </w:rPr>
        <w:t>”</w:t>
      </w:r>
      <w:r>
        <w:rPr>
          <w:rFonts w:ascii="Arial" w:hAnsi="Arial" w:cs="Arial"/>
          <w:color w:val="000000"/>
          <w:sz w:val="23"/>
        </w:rPr>
        <w:t>组合），如果术前临床评估、评分测试为阳性或二者均为阳性，则称附件肿瘤为潜在恶性肿瘤。</w:t>
      </w:r>
    </w:p>
    <w:p w14:paraId="143390DD">
      <w:pPr>
        <w:framePr w:w="1622" w:wrap="around" w:vAnchor="page" w:hAnchor="page" w:x="2070" w:y="7592"/>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性能</w:t>
      </w:r>
    </w:p>
    <w:p w14:paraId="4C4C6161">
      <w:pPr>
        <w:framePr w:w="1622" w:wrap="around" w:vAnchor="page" w:hAnchor="page" w:x="3874" w:y="7452"/>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单次评估</w:t>
      </w:r>
    </w:p>
    <w:p w14:paraId="7E7AEAC9">
      <w:pPr>
        <w:framePr w:w="1622" w:wrap="around" w:vAnchor="page" w:hAnchor="page" w:x="3874" w:y="7452"/>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（术前评估）</w:t>
      </w:r>
    </w:p>
    <w:p w14:paraId="7A711E42">
      <w:pPr>
        <w:framePr w:w="3790" w:wrap="around" w:vAnchor="page" w:hAnchor="page" w:x="6502" w:y="7452"/>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双重评估</w:t>
      </w:r>
    </w:p>
    <w:p w14:paraId="3633241D">
      <w:pPr>
        <w:framePr w:w="3790" w:wrap="around" w:vAnchor="page" w:hAnchor="page" w:x="6502" w:y="7452"/>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（术前评估</w:t>
      </w:r>
      <w:r>
        <w:rPr>
          <w:rFonts w:ascii="Arial" w:hAnsi="Arial" w:cs="Arial"/>
          <w:color w:val="000000"/>
          <w:sz w:val="23"/>
          <w:cs/>
        </w:rPr>
        <w:t>“</w:t>
      </w:r>
      <w:r>
        <w:rPr>
          <w:rFonts w:ascii="Arial" w:hAnsi="Arial" w:cs="Arial"/>
          <w:color w:val="000000"/>
          <w:sz w:val="23"/>
        </w:rPr>
        <w:t>OR</w:t>
      </w:r>
      <w:r>
        <w:rPr>
          <w:rFonts w:ascii="Arial" w:hAnsi="Arial" w:cs="Arial"/>
          <w:color w:val="000000"/>
          <w:sz w:val="23"/>
          <w:cs/>
        </w:rPr>
        <w:t>”</w:t>
      </w:r>
      <w:r>
        <w:rPr>
          <w:rFonts w:ascii="Arial" w:hAnsi="Arial" w:cs="Arial"/>
          <w:color w:val="000000"/>
          <w:sz w:val="23"/>
        </w:rPr>
        <w:t>（或）评分测试）</w:t>
      </w:r>
    </w:p>
    <w:p w14:paraId="254304C0">
      <w:pPr>
        <w:rPr>
          <w:rFonts w:ascii="Arial" w:hAnsi="Arial" w:cs="Arial"/>
          <w:vertAlign w:val="superscript"/>
          <w:lang w:val="en-US"/>
        </w:rPr>
      </w:pPr>
      <w:r>
        <w:rPr>
          <w:rFonts w:ascii="Arial" w:hAnsi="Arial" w:cs="Arial"/>
          <w:vertAlign w:val="superscript"/>
          <w:lang w:val="en-US"/>
        </w:rPr>
        <w:drawing>
          <wp:anchor distT="0" distB="0" distL="114300" distR="114300" simplePos="0" relativeHeight="251673600" behindDoc="1" locked="0" layoutInCell="1" allowOverlap="1">
            <wp:simplePos x="0" y="0"/>
            <wp:positionH relativeFrom="page">
              <wp:posOffset>1201420</wp:posOffset>
            </wp:positionH>
            <wp:positionV relativeFrom="page">
              <wp:posOffset>4646930</wp:posOffset>
            </wp:positionV>
            <wp:extent cx="5546725" cy="164211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46725" cy="1642110"/>
                    </a:xfrm>
                    <a:prstGeom prst="rect">
                      <a:avLst/>
                    </a:prstGeom>
                    <a:noFill/>
                    <a:ln>
                      <a:noFill/>
                    </a:ln>
                  </pic:spPr>
                </pic:pic>
              </a:graphicData>
            </a:graphic>
          </wp:anchor>
        </w:drawing>
      </w:r>
    </w:p>
    <w:p w14:paraId="289CD8BE">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灵敏度</w:t>
      </w:r>
    </w:p>
    <w:p w14:paraId="6DCF91F1">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特异性</w:t>
      </w:r>
    </w:p>
    <w:p w14:paraId="0B711FB4">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PPV</w:t>
      </w:r>
    </w:p>
    <w:p w14:paraId="3F4C7B8E">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NPV</w:t>
      </w:r>
    </w:p>
    <w:p w14:paraId="41A05BCD">
      <w:pPr>
        <w:framePr w:w="1622" w:wrap="around" w:vAnchor="page" w:hAnchor="page" w:x="1972" w:y="8194"/>
        <w:widowControl w:val="0"/>
        <w:autoSpaceDE w:val="0"/>
        <w:autoSpaceDN w:val="0"/>
        <w:snapToGrid w:val="0"/>
        <w:spacing w:before="0" w:after="0" w:line="300" w:lineRule="auto"/>
        <w:rPr>
          <w:rFonts w:ascii="Arial" w:hAnsi="Arial" w:cs="Arial"/>
          <w:color w:val="000000"/>
          <w:sz w:val="23"/>
        </w:rPr>
      </w:pPr>
      <w:r>
        <w:rPr>
          <w:rFonts w:ascii="Arial" w:hAnsi="Arial" w:cs="Arial"/>
          <w:color w:val="000000"/>
          <w:sz w:val="23"/>
        </w:rPr>
        <w:t>患病率</w:t>
      </w:r>
    </w:p>
    <w:p w14:paraId="74045382">
      <w:pPr>
        <w:rPr>
          <w:rFonts w:ascii="Arial" w:hAnsi="Arial" w:cs="Arial"/>
          <w:vertAlign w:val="superscript"/>
          <w:lang w:val="en-US"/>
        </w:rPr>
      </w:pPr>
    </w:p>
    <w:p w14:paraId="2A30A42F">
      <w:pPr>
        <w:rPr>
          <w:rFonts w:ascii="Arial" w:hAnsi="Arial" w:cs="Arial"/>
          <w:vertAlign w:val="superscript"/>
          <w:lang w:val="en-US"/>
        </w:rPr>
      </w:pPr>
    </w:p>
    <w:p w14:paraId="26C24D2C">
      <w:pPr>
        <w:pStyle w:val="12"/>
        <w:widowControl w:val="0"/>
        <w:numPr>
          <w:ilvl w:val="0"/>
          <w:numId w:val="5"/>
        </w:numPr>
        <w:autoSpaceDE w:val="0"/>
        <w:autoSpaceDN w:val="0"/>
        <w:snapToGrid w:val="0"/>
        <w:spacing w:before="0" w:after="0" w:line="300" w:lineRule="auto"/>
        <w:ind w:firstLineChars="0"/>
        <w:rPr>
          <w:rFonts w:ascii="Arial" w:hAnsi="Arial" w:cs="Arial"/>
          <w:color w:val="000000"/>
          <w:sz w:val="24"/>
          <w:szCs w:val="24"/>
        </w:rPr>
      </w:pPr>
      <w:r>
        <w:rPr>
          <w:rFonts w:ascii="Arial" w:hAnsi="Arial" w:cs="Arial"/>
          <w:sz w:val="24"/>
          <w:szCs w:val="24"/>
        </w:rPr>
        <w:t>提供单独术前评估的灵敏度、特异性、阳性预测值（PPV）、</w:t>
      </w:r>
      <w:r>
        <w:rPr>
          <w:rFonts w:ascii="Arial" w:hAnsi="Arial" w:cs="Arial"/>
          <w:color w:val="000000"/>
          <w:sz w:val="24"/>
          <w:szCs w:val="24"/>
        </w:rPr>
        <w:t>阴性预测值（NPV）以及95%置信区间；</w:t>
      </w:r>
    </w:p>
    <w:p w14:paraId="7F05209B">
      <w:pPr>
        <w:pStyle w:val="12"/>
        <w:widowControl w:val="0"/>
        <w:numPr>
          <w:ilvl w:val="0"/>
          <w:numId w:val="5"/>
        </w:numPr>
        <w:autoSpaceDE w:val="0"/>
        <w:autoSpaceDN w:val="0"/>
        <w:snapToGrid w:val="0"/>
        <w:spacing w:before="0" w:after="0" w:line="300" w:lineRule="auto"/>
        <w:ind w:firstLineChars="0"/>
        <w:rPr>
          <w:rFonts w:ascii="Arial" w:hAnsi="Arial" w:cs="Arial"/>
          <w:color w:val="000000"/>
          <w:sz w:val="24"/>
          <w:szCs w:val="24"/>
        </w:rPr>
      </w:pPr>
      <w:r>
        <w:rPr>
          <w:rFonts w:ascii="Arial" w:hAnsi="Arial" w:cs="Arial"/>
          <w:color w:val="000000"/>
          <w:sz w:val="24"/>
          <w:szCs w:val="24"/>
        </w:rPr>
        <w:t>使用决策规则</w:t>
      </w:r>
      <w:r>
        <w:rPr>
          <w:rFonts w:ascii="Arial" w:hAnsi="Arial" w:cs="Arial"/>
          <w:color w:val="000000"/>
          <w:sz w:val="24"/>
          <w:szCs w:val="24"/>
          <w:cs/>
        </w:rPr>
        <w:t>“</w:t>
      </w:r>
      <w:r>
        <w:rPr>
          <w:rFonts w:ascii="Arial" w:hAnsi="Arial" w:cs="Arial"/>
          <w:color w:val="000000"/>
          <w:sz w:val="24"/>
          <w:szCs w:val="24"/>
        </w:rPr>
        <w:t>OR</w:t>
      </w:r>
      <w:r>
        <w:rPr>
          <w:rFonts w:ascii="Arial" w:hAnsi="Arial" w:cs="Arial"/>
          <w:color w:val="000000"/>
          <w:sz w:val="24"/>
          <w:szCs w:val="24"/>
          <w:cs/>
        </w:rPr>
        <w:t>”</w:t>
      </w:r>
      <w:r>
        <w:rPr>
          <w:rFonts w:ascii="Arial" w:hAnsi="Arial" w:cs="Arial"/>
          <w:color w:val="000000"/>
          <w:sz w:val="24"/>
          <w:szCs w:val="24"/>
        </w:rPr>
        <w:t>（或）提供评分测试性能结合术前评估的灵敏度、特异性、阳性预测值（PPV）、阴性预测值（NPV）以及95%置信区间。</w:t>
      </w:r>
    </w:p>
    <w:p w14:paraId="6C1100FE">
      <w:pPr>
        <w:pStyle w:val="12"/>
        <w:widowControl w:val="0"/>
        <w:numPr>
          <w:ilvl w:val="0"/>
          <w:numId w:val="5"/>
        </w:numPr>
        <w:autoSpaceDE w:val="0"/>
        <w:autoSpaceDN w:val="0"/>
        <w:snapToGrid w:val="0"/>
        <w:spacing w:before="0" w:after="0" w:line="300" w:lineRule="auto"/>
        <w:ind w:firstLineChars="0"/>
        <w:rPr>
          <w:rFonts w:ascii="Arial" w:hAnsi="Arial" w:cs="Arial"/>
          <w:color w:val="000000"/>
          <w:sz w:val="24"/>
          <w:szCs w:val="24"/>
        </w:rPr>
      </w:pPr>
      <w:r>
        <w:rPr>
          <w:rFonts w:ascii="Arial" w:hAnsi="Arial" w:cs="Arial"/>
          <w:color w:val="000000"/>
          <w:sz w:val="24"/>
          <w:szCs w:val="24"/>
        </w:rPr>
        <w:t>计算NPV差异和PPV差异以及双侧95%置信区间（可使用引导技术进行置信区间计算）。NPV的改善因为统计学和临床显著，且，如果观察到PPV损失，贵公司应证明本损失的临床可接受性。</w:t>
      </w:r>
    </w:p>
    <w:p w14:paraId="6C8D771B">
      <w:pPr>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此外，贵公司应在下表中展示从非GO评估患者中观察到的不同术前评估和评分测试结果中恶性肿瘤的频率，以及95%置信区间：</w:t>
      </w:r>
    </w:p>
    <w:p w14:paraId="7ECB6294">
      <w:pPr>
        <w:snapToGrid w:val="0"/>
        <w:spacing w:before="0" w:after="0" w:line="300" w:lineRule="auto"/>
        <w:rPr>
          <w:rFonts w:ascii="Arial" w:hAnsi="Arial" w:cs="Arial"/>
          <w:color w:val="FF0000"/>
          <w:sz w:val="2"/>
        </w:rPr>
      </w:pPr>
      <w:r>
        <w:rPr>
          <w:rFonts w:ascii="Arial" w:hAnsi="Arial" w:cs="Arial"/>
        </w:rPr>
        <w:br w:type="page"/>
      </w:r>
    </w:p>
    <w:p w14:paraId="47436F28">
      <w:pPr>
        <w:framePr w:w="1453" w:wrap="around" w:vAnchor="page" w:hAnchor="page" w:x="6086" w:y="1674"/>
        <w:widowControl w:val="0"/>
        <w:autoSpaceDE w:val="0"/>
        <w:autoSpaceDN w:val="0"/>
        <w:snapToGrid w:val="0"/>
        <w:spacing w:before="0" w:after="0" w:line="300" w:lineRule="auto"/>
        <w:jc w:val="center"/>
        <w:rPr>
          <w:rFonts w:ascii="Arial" w:hAnsi="Arial" w:cs="Arial"/>
          <w:color w:val="000000"/>
          <w:sz w:val="24"/>
          <w:lang w:val="en-US"/>
        </w:rPr>
      </w:pPr>
      <w:r>
        <w:rPr>
          <w:rFonts w:ascii="Arial" w:hAnsi="Arial" w:cs="Arial"/>
          <w:color w:val="000000"/>
          <w:sz w:val="24"/>
          <w:lang w:val="en-US"/>
        </w:rPr>
        <w:t>恶性肿瘤</w:t>
      </w:r>
      <w:r>
        <w:rPr>
          <w:rFonts w:ascii="Arial" w:hAnsi="Arial" w:cs="Arial"/>
          <w:color w:val="000000"/>
          <w:sz w:val="24"/>
        </w:rPr>
        <w:t>的</w:t>
      </w:r>
      <w:r>
        <w:rPr>
          <w:rFonts w:ascii="Arial" w:hAnsi="Arial" w:cs="Arial"/>
          <w:color w:val="000000"/>
          <w:sz w:val="24"/>
          <w:lang w:val="en-US"/>
        </w:rPr>
        <w:t>频率</w:t>
      </w:r>
    </w:p>
    <w:p w14:paraId="5D92D304">
      <w:pPr>
        <w:framePr w:w="1453" w:wrap="around" w:vAnchor="page" w:hAnchor="page" w:x="6086" w:y="1674"/>
        <w:widowControl w:val="0"/>
        <w:autoSpaceDE w:val="0"/>
        <w:autoSpaceDN w:val="0"/>
        <w:snapToGrid w:val="0"/>
        <w:spacing w:before="0" w:after="0" w:line="300" w:lineRule="auto"/>
        <w:rPr>
          <w:rFonts w:ascii="Arial" w:hAnsi="Arial" w:cs="Arial"/>
          <w:color w:val="000000"/>
          <w:sz w:val="24"/>
        </w:rPr>
      </w:pPr>
    </w:p>
    <w:p w14:paraId="7BBDBC90">
      <w:pPr>
        <w:framePr w:w="1165" w:wrap="around" w:vAnchor="page" w:hAnchor="page" w:x="8021" w:y="1782"/>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95% CI</w:t>
      </w:r>
    </w:p>
    <w:p w14:paraId="62EDAC67">
      <w:pPr>
        <w:framePr w:w="7463" w:wrap="around" w:vAnchor="page" w:hAnchor="page" w:x="2788" w:y="2680"/>
        <w:widowControl w:val="0"/>
        <w:autoSpaceDE w:val="0"/>
        <w:autoSpaceDN w:val="0"/>
        <w:snapToGrid w:val="0"/>
        <w:spacing w:before="0" w:after="0" w:line="300" w:lineRule="auto"/>
        <w:rPr>
          <w:rFonts w:ascii="Arial" w:hAnsi="Arial" w:cs="Arial"/>
          <w:color w:val="000000"/>
        </w:rPr>
      </w:pPr>
      <w:r>
        <w:rPr>
          <w:rFonts w:ascii="Arial" w:hAnsi="Arial" w:cs="Arial"/>
          <w:color w:val="000000"/>
        </w:rPr>
        <w:t>经非GO医师评估的有附件肿块患者中恶性肿瘤的患病率：</w:t>
      </w:r>
    </w:p>
    <w:p w14:paraId="1F7DF4EA">
      <w:pPr>
        <w:framePr w:w="3298" w:wrap="around" w:vAnchor="page" w:hAnchor="page" w:x="2773" w:y="3191"/>
        <w:widowControl w:val="0"/>
        <w:autoSpaceDE w:val="0"/>
        <w:autoSpaceDN w:val="0"/>
        <w:snapToGrid w:val="0"/>
        <w:spacing w:before="0" w:after="0" w:line="300" w:lineRule="auto"/>
        <w:rPr>
          <w:rFonts w:ascii="Arial" w:hAnsi="Arial" w:cs="Arial"/>
          <w:color w:val="000000"/>
          <w:sz w:val="24"/>
          <w:cs/>
        </w:rPr>
      </w:pPr>
      <w:r>
        <w:rPr>
          <w:rFonts w:ascii="Arial" w:hAnsi="Arial" w:cs="Arial"/>
          <w:color w:val="000000"/>
          <w:sz w:val="24"/>
        </w:rPr>
        <w:t>术前单独评估</w:t>
      </w:r>
      <w:r>
        <w:rPr>
          <w:rFonts w:ascii="Arial" w:hAnsi="Arial" w:cs="Arial"/>
          <w:color w:val="000000"/>
          <w:sz w:val="24"/>
          <w:cs/>
        </w:rPr>
        <w:t>“</w:t>
      </w:r>
      <w:r>
        <w:rPr>
          <w:rFonts w:ascii="Arial" w:hAnsi="Arial" w:cs="Arial"/>
          <w:color w:val="000000"/>
          <w:sz w:val="24"/>
        </w:rPr>
        <w:t>阳性</w:t>
      </w:r>
      <w:r>
        <w:rPr>
          <w:rFonts w:ascii="Arial" w:hAnsi="Arial" w:cs="Arial"/>
          <w:color w:val="000000"/>
          <w:sz w:val="24"/>
          <w:cs/>
        </w:rPr>
        <w:t>”</w:t>
      </w:r>
    </w:p>
    <w:p w14:paraId="66BC2B4D">
      <w:pPr>
        <w:framePr w:w="3298" w:wrap="around" w:vAnchor="page" w:hAnchor="page" w:x="2773" w:y="3191"/>
        <w:widowControl w:val="0"/>
        <w:autoSpaceDE w:val="0"/>
        <w:autoSpaceDN w:val="0"/>
        <w:snapToGrid w:val="0"/>
        <w:spacing w:before="0" w:after="0" w:line="300" w:lineRule="auto"/>
        <w:rPr>
          <w:rFonts w:ascii="Arial" w:hAnsi="Arial" w:cs="Arial"/>
          <w:color w:val="000000"/>
          <w:sz w:val="24"/>
        </w:rPr>
      </w:pPr>
    </w:p>
    <w:p w14:paraId="37D7BE48">
      <w:pPr>
        <w:framePr w:w="3298" w:wrap="around" w:vAnchor="page" w:hAnchor="page" w:x="2773" w:y="3191"/>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术前单独评估</w:t>
      </w:r>
      <w:r>
        <w:rPr>
          <w:rFonts w:ascii="Arial" w:hAnsi="Arial" w:cs="Arial"/>
          <w:color w:val="000000"/>
          <w:sz w:val="24"/>
          <w:cs/>
        </w:rPr>
        <w:t>“</w:t>
      </w:r>
      <w:r>
        <w:rPr>
          <w:rFonts w:ascii="Arial" w:hAnsi="Arial" w:cs="Arial"/>
          <w:color w:val="000000"/>
          <w:sz w:val="24"/>
        </w:rPr>
        <w:t>阴性</w:t>
      </w:r>
      <w:r>
        <w:rPr>
          <w:rFonts w:ascii="Arial" w:hAnsi="Arial" w:cs="Arial"/>
          <w:color w:val="000000"/>
          <w:sz w:val="24"/>
          <w:cs/>
        </w:rPr>
        <w:t>”</w:t>
      </w:r>
    </w:p>
    <w:p w14:paraId="1AFF8E46">
      <w:pPr>
        <w:framePr w:w="2952" w:wrap="around" w:vAnchor="page" w:hAnchor="page" w:x="2741" w:y="4352"/>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 xml:space="preserve">单独评分测试 </w:t>
      </w:r>
      <w:r>
        <w:rPr>
          <w:rFonts w:ascii="Arial" w:hAnsi="Arial" w:cs="Arial"/>
          <w:color w:val="000000"/>
          <w:sz w:val="24"/>
          <w:cs/>
        </w:rPr>
        <w:t>“</w:t>
      </w:r>
      <w:r>
        <w:rPr>
          <w:rFonts w:ascii="Arial" w:hAnsi="Arial" w:cs="Arial"/>
          <w:color w:val="000000"/>
          <w:sz w:val="24"/>
        </w:rPr>
        <w:t>阳性</w:t>
      </w:r>
      <w:r>
        <w:rPr>
          <w:rFonts w:ascii="Arial" w:hAnsi="Arial" w:cs="Arial"/>
          <w:color w:val="000000"/>
          <w:sz w:val="24"/>
          <w:cs/>
        </w:rPr>
        <w:t>”</w:t>
      </w:r>
    </w:p>
    <w:p w14:paraId="076775F3">
      <w:pPr>
        <w:framePr w:w="3059" w:wrap="around" w:vAnchor="page" w:hAnchor="page" w:x="2820" w:y="490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 xml:space="preserve">单独评分测试 </w:t>
      </w:r>
      <w:r>
        <w:rPr>
          <w:rFonts w:ascii="Arial" w:hAnsi="Arial" w:cs="Arial"/>
          <w:color w:val="000000"/>
          <w:sz w:val="24"/>
          <w:cs/>
        </w:rPr>
        <w:t>“</w:t>
      </w:r>
      <w:r>
        <w:rPr>
          <w:rFonts w:ascii="Arial" w:hAnsi="Arial" w:cs="Arial"/>
          <w:color w:val="000000"/>
          <w:sz w:val="24"/>
        </w:rPr>
        <w:t>阴性</w:t>
      </w:r>
      <w:r>
        <w:rPr>
          <w:rFonts w:ascii="Arial" w:hAnsi="Arial" w:cs="Arial"/>
          <w:color w:val="000000"/>
          <w:sz w:val="24"/>
          <w:cs/>
        </w:rPr>
        <w:t>”</w:t>
      </w:r>
    </w:p>
    <w:p w14:paraId="14413A42">
      <w:pPr>
        <w:framePr w:w="2646" w:wrap="around" w:vAnchor="page" w:hAnchor="page" w:x="2804" w:y="5575"/>
        <w:widowControl w:val="0"/>
        <w:autoSpaceDE w:val="0"/>
        <w:autoSpaceDN w:val="0"/>
        <w:snapToGrid w:val="0"/>
        <w:spacing w:before="0" w:after="31" w:afterLines="10" w:line="300" w:lineRule="auto"/>
        <w:rPr>
          <w:rFonts w:ascii="Arial" w:hAnsi="Arial" w:cs="Arial"/>
          <w:color w:val="000000"/>
          <w:sz w:val="24"/>
        </w:rPr>
      </w:pPr>
      <w:r>
        <w:rPr>
          <w:rFonts w:ascii="Arial" w:hAnsi="Arial" w:cs="Arial"/>
          <w:color w:val="000000"/>
          <w:sz w:val="24"/>
        </w:rPr>
        <w:t>术前评估</w:t>
      </w:r>
      <w:r>
        <w:rPr>
          <w:rFonts w:ascii="Arial" w:hAnsi="Arial" w:cs="Arial"/>
          <w:color w:val="000000"/>
          <w:sz w:val="24"/>
          <w:cs/>
        </w:rPr>
        <w:t>“</w:t>
      </w:r>
      <w:r>
        <w:rPr>
          <w:rFonts w:ascii="Arial" w:hAnsi="Arial" w:cs="Arial"/>
          <w:color w:val="000000"/>
          <w:sz w:val="24"/>
        </w:rPr>
        <w:t>阳性</w:t>
      </w:r>
      <w:r>
        <w:rPr>
          <w:rFonts w:ascii="Arial" w:hAnsi="Arial" w:cs="Arial"/>
          <w:color w:val="000000"/>
          <w:sz w:val="24"/>
          <w:cs/>
        </w:rPr>
        <w:t>”</w:t>
      </w:r>
      <w:r>
        <w:rPr>
          <w:rFonts w:ascii="Arial" w:hAnsi="Arial" w:cs="Arial"/>
          <w:color w:val="000000"/>
          <w:sz w:val="24"/>
        </w:rPr>
        <w:t>和</w:t>
      </w:r>
    </w:p>
    <w:p w14:paraId="75B48D8D">
      <w:pPr>
        <w:framePr w:w="2646" w:wrap="around" w:vAnchor="page" w:hAnchor="page" w:x="2804" w:y="5575"/>
        <w:widowControl w:val="0"/>
        <w:autoSpaceDE w:val="0"/>
        <w:autoSpaceDN w:val="0"/>
        <w:snapToGrid w:val="0"/>
        <w:spacing w:before="0" w:after="31" w:afterLines="10" w:line="300" w:lineRule="auto"/>
        <w:rPr>
          <w:rFonts w:ascii="Arial" w:hAnsi="Arial" w:cs="Arial"/>
          <w:color w:val="000000"/>
          <w:sz w:val="24"/>
        </w:rPr>
      </w:pPr>
      <w:r>
        <w:rPr>
          <w:rFonts w:ascii="Arial" w:hAnsi="Arial" w:cs="Arial"/>
          <w:color w:val="000000"/>
          <w:sz w:val="24"/>
        </w:rPr>
        <w:t>评分</w:t>
      </w:r>
      <w:r>
        <w:rPr>
          <w:rFonts w:ascii="Arial" w:hAnsi="Arial" w:cs="Arial"/>
          <w:color w:val="000000"/>
          <w:sz w:val="24"/>
          <w:cs/>
        </w:rPr>
        <w:t>“</w:t>
      </w:r>
      <w:r>
        <w:rPr>
          <w:rFonts w:ascii="Arial" w:hAnsi="Arial" w:cs="Arial"/>
          <w:color w:val="000000"/>
          <w:sz w:val="24"/>
        </w:rPr>
        <w:t>阳性</w:t>
      </w:r>
      <w:r>
        <w:rPr>
          <w:rFonts w:ascii="Arial" w:hAnsi="Arial" w:cs="Arial"/>
          <w:color w:val="000000"/>
          <w:sz w:val="24"/>
          <w:cs/>
        </w:rPr>
        <w:t>”</w:t>
      </w:r>
    </w:p>
    <w:p w14:paraId="0A36D73C">
      <w:pPr>
        <w:framePr w:w="2646" w:wrap="around" w:vAnchor="page" w:hAnchor="page" w:x="2804" w:y="5575"/>
        <w:widowControl w:val="0"/>
        <w:autoSpaceDE w:val="0"/>
        <w:autoSpaceDN w:val="0"/>
        <w:snapToGrid w:val="0"/>
        <w:spacing w:before="0" w:after="31" w:afterLines="10" w:line="300" w:lineRule="auto"/>
        <w:rPr>
          <w:rFonts w:ascii="Arial" w:hAnsi="Arial" w:cs="Arial"/>
          <w:color w:val="000000"/>
          <w:sz w:val="24"/>
        </w:rPr>
      </w:pPr>
      <w:r>
        <w:rPr>
          <w:rFonts w:ascii="Arial" w:hAnsi="Arial" w:cs="Arial"/>
          <w:color w:val="000000"/>
          <w:sz w:val="24"/>
        </w:rPr>
        <w:t>术前评估</w:t>
      </w:r>
      <w:r>
        <w:rPr>
          <w:rFonts w:ascii="Arial" w:hAnsi="Arial" w:cs="Arial"/>
          <w:color w:val="000000"/>
          <w:sz w:val="24"/>
          <w:cs/>
        </w:rPr>
        <w:t>“</w:t>
      </w:r>
      <w:r>
        <w:rPr>
          <w:rFonts w:ascii="Arial" w:hAnsi="Arial" w:cs="Arial"/>
          <w:color w:val="000000"/>
          <w:sz w:val="24"/>
        </w:rPr>
        <w:t>阳性</w:t>
      </w:r>
      <w:r>
        <w:rPr>
          <w:rFonts w:ascii="Arial" w:hAnsi="Arial" w:cs="Arial"/>
          <w:color w:val="000000"/>
          <w:sz w:val="24"/>
          <w:cs/>
        </w:rPr>
        <w:t>”</w:t>
      </w:r>
      <w:r>
        <w:rPr>
          <w:rFonts w:ascii="Arial" w:hAnsi="Arial" w:cs="Arial"/>
          <w:color w:val="000000"/>
          <w:sz w:val="24"/>
        </w:rPr>
        <w:t>和</w:t>
      </w:r>
    </w:p>
    <w:p w14:paraId="28C4DF20">
      <w:pPr>
        <w:framePr w:w="2646" w:wrap="around" w:vAnchor="page" w:hAnchor="page" w:x="2804" w:y="5575"/>
        <w:widowControl w:val="0"/>
        <w:autoSpaceDE w:val="0"/>
        <w:autoSpaceDN w:val="0"/>
        <w:snapToGrid w:val="0"/>
        <w:spacing w:before="0" w:after="31" w:afterLines="10" w:line="300" w:lineRule="auto"/>
        <w:rPr>
          <w:rFonts w:ascii="Arial" w:hAnsi="Arial" w:cs="Arial"/>
          <w:color w:val="000000"/>
          <w:sz w:val="24"/>
        </w:rPr>
      </w:pPr>
      <w:r>
        <w:rPr>
          <w:rFonts w:ascii="Arial" w:hAnsi="Arial" w:cs="Arial"/>
          <w:color w:val="000000"/>
          <w:sz w:val="24"/>
        </w:rPr>
        <w:t>评分</w:t>
      </w:r>
      <w:r>
        <w:rPr>
          <w:rFonts w:ascii="Arial" w:hAnsi="Arial" w:cs="Arial"/>
          <w:color w:val="000000"/>
          <w:sz w:val="24"/>
          <w:cs/>
        </w:rPr>
        <w:t>“</w:t>
      </w:r>
      <w:r>
        <w:rPr>
          <w:rFonts w:ascii="Arial" w:hAnsi="Arial" w:cs="Arial"/>
          <w:color w:val="000000"/>
          <w:sz w:val="24"/>
        </w:rPr>
        <w:t>阴性</w:t>
      </w:r>
      <w:r>
        <w:rPr>
          <w:rFonts w:ascii="Arial" w:hAnsi="Arial" w:cs="Arial"/>
          <w:color w:val="000000"/>
          <w:sz w:val="24"/>
          <w:cs/>
        </w:rPr>
        <w:t>”</w:t>
      </w:r>
    </w:p>
    <w:p w14:paraId="58A695AE">
      <w:pPr>
        <w:framePr w:w="2646" w:wrap="around" w:vAnchor="page" w:hAnchor="page" w:x="2804" w:y="5575"/>
        <w:widowControl w:val="0"/>
        <w:autoSpaceDE w:val="0"/>
        <w:autoSpaceDN w:val="0"/>
        <w:snapToGrid w:val="0"/>
        <w:spacing w:before="0" w:after="31" w:afterLines="10" w:line="300" w:lineRule="auto"/>
        <w:rPr>
          <w:rFonts w:ascii="Arial" w:hAnsi="Arial" w:cs="Arial"/>
          <w:color w:val="000000"/>
          <w:sz w:val="24"/>
        </w:rPr>
      </w:pPr>
      <w:r>
        <w:rPr>
          <w:rFonts w:ascii="Arial" w:hAnsi="Arial" w:cs="Arial"/>
          <w:color w:val="000000"/>
          <w:sz w:val="24"/>
        </w:rPr>
        <w:t>术前评估</w:t>
      </w:r>
      <w:r>
        <w:rPr>
          <w:rFonts w:ascii="Arial" w:hAnsi="Arial" w:cs="Arial"/>
          <w:color w:val="000000"/>
          <w:sz w:val="24"/>
          <w:cs/>
        </w:rPr>
        <w:t>“</w:t>
      </w:r>
      <w:r>
        <w:rPr>
          <w:rFonts w:ascii="Arial" w:hAnsi="Arial" w:cs="Arial"/>
          <w:color w:val="000000"/>
          <w:sz w:val="24"/>
        </w:rPr>
        <w:t>阴性</w:t>
      </w:r>
      <w:r>
        <w:rPr>
          <w:rFonts w:ascii="Arial" w:hAnsi="Arial" w:cs="Arial"/>
          <w:color w:val="000000"/>
          <w:sz w:val="24"/>
          <w:cs/>
        </w:rPr>
        <w:t>”</w:t>
      </w:r>
      <w:r>
        <w:rPr>
          <w:rFonts w:ascii="Arial" w:hAnsi="Arial" w:cs="Arial"/>
          <w:color w:val="000000"/>
          <w:sz w:val="24"/>
        </w:rPr>
        <w:t>和</w:t>
      </w:r>
    </w:p>
    <w:p w14:paraId="6C55D69D">
      <w:pPr>
        <w:framePr w:w="2646" w:wrap="around" w:vAnchor="page" w:hAnchor="page" w:x="2804" w:y="5575"/>
        <w:widowControl w:val="0"/>
        <w:autoSpaceDE w:val="0"/>
        <w:autoSpaceDN w:val="0"/>
        <w:snapToGrid w:val="0"/>
        <w:spacing w:before="0" w:after="31" w:afterLines="10" w:line="300" w:lineRule="auto"/>
        <w:rPr>
          <w:rFonts w:ascii="Arial" w:hAnsi="Arial" w:cs="Arial"/>
          <w:color w:val="000000"/>
          <w:sz w:val="24"/>
        </w:rPr>
      </w:pPr>
      <w:r>
        <w:rPr>
          <w:rFonts w:ascii="Arial" w:hAnsi="Arial" w:cs="Arial"/>
          <w:color w:val="000000"/>
          <w:sz w:val="24"/>
        </w:rPr>
        <w:t>评分</w:t>
      </w:r>
      <w:r>
        <w:rPr>
          <w:rFonts w:ascii="Arial" w:hAnsi="Arial" w:cs="Arial"/>
          <w:color w:val="000000"/>
          <w:sz w:val="24"/>
          <w:cs/>
        </w:rPr>
        <w:t>“</w:t>
      </w:r>
      <w:r>
        <w:rPr>
          <w:rFonts w:ascii="Arial" w:hAnsi="Arial" w:cs="Arial"/>
          <w:color w:val="000000"/>
          <w:sz w:val="24"/>
        </w:rPr>
        <w:t>阳性</w:t>
      </w:r>
      <w:r>
        <w:rPr>
          <w:rFonts w:ascii="Arial" w:hAnsi="Arial" w:cs="Arial"/>
          <w:color w:val="000000"/>
          <w:sz w:val="24"/>
          <w:cs/>
        </w:rPr>
        <w:t>”</w:t>
      </w:r>
    </w:p>
    <w:p w14:paraId="101C90B5">
      <w:pPr>
        <w:framePr w:w="2646" w:wrap="around" w:vAnchor="page" w:hAnchor="page" w:x="2804" w:y="5575"/>
        <w:widowControl w:val="0"/>
        <w:autoSpaceDE w:val="0"/>
        <w:autoSpaceDN w:val="0"/>
        <w:snapToGrid w:val="0"/>
        <w:spacing w:before="0" w:after="31" w:afterLines="10" w:line="300" w:lineRule="auto"/>
        <w:rPr>
          <w:rFonts w:ascii="Arial" w:hAnsi="Arial" w:cs="Arial"/>
          <w:color w:val="000000"/>
          <w:sz w:val="24"/>
        </w:rPr>
      </w:pPr>
      <w:r>
        <w:rPr>
          <w:rFonts w:ascii="Arial" w:hAnsi="Arial" w:cs="Arial"/>
          <w:color w:val="000000"/>
          <w:sz w:val="24"/>
        </w:rPr>
        <w:t>术前评估</w:t>
      </w:r>
      <w:r>
        <w:rPr>
          <w:rFonts w:ascii="Arial" w:hAnsi="Arial" w:cs="Arial"/>
          <w:color w:val="000000"/>
          <w:sz w:val="24"/>
          <w:cs/>
        </w:rPr>
        <w:t>“</w:t>
      </w:r>
      <w:r>
        <w:rPr>
          <w:rFonts w:ascii="Arial" w:hAnsi="Arial" w:cs="Arial"/>
          <w:color w:val="000000"/>
          <w:sz w:val="24"/>
        </w:rPr>
        <w:t>阴性</w:t>
      </w:r>
      <w:r>
        <w:rPr>
          <w:rFonts w:ascii="Arial" w:hAnsi="Arial" w:cs="Arial"/>
          <w:color w:val="000000"/>
          <w:sz w:val="24"/>
          <w:cs/>
        </w:rPr>
        <w:t>”</w:t>
      </w:r>
      <w:r>
        <w:rPr>
          <w:rFonts w:ascii="Arial" w:hAnsi="Arial" w:cs="Arial"/>
          <w:color w:val="000000"/>
          <w:sz w:val="24"/>
        </w:rPr>
        <w:t>和</w:t>
      </w:r>
      <w:r>
        <w:rPr>
          <w:rFonts w:ascii="Arial" w:hAnsi="Arial" w:cs="Arial"/>
          <w:color w:val="000000"/>
          <w:sz w:val="24"/>
        </w:rPr>
        <w:br w:type="textWrapping"/>
      </w:r>
      <w:r>
        <w:rPr>
          <w:rFonts w:ascii="Arial" w:hAnsi="Arial" w:cs="Arial"/>
          <w:color w:val="000000"/>
          <w:sz w:val="24"/>
        </w:rPr>
        <w:t>评分</w:t>
      </w:r>
      <w:r>
        <w:rPr>
          <w:rFonts w:ascii="Arial" w:hAnsi="Arial" w:cs="Arial"/>
          <w:color w:val="000000"/>
          <w:sz w:val="24"/>
          <w:cs/>
        </w:rPr>
        <w:t>“</w:t>
      </w:r>
      <w:r>
        <w:rPr>
          <w:rFonts w:ascii="Arial" w:hAnsi="Arial" w:cs="Arial"/>
          <w:color w:val="000000"/>
          <w:sz w:val="24"/>
        </w:rPr>
        <w:t>阴性</w:t>
      </w:r>
      <w:r>
        <w:rPr>
          <w:rFonts w:ascii="Arial" w:hAnsi="Arial" w:cs="Arial"/>
          <w:color w:val="000000"/>
          <w:sz w:val="24"/>
          <w:cs/>
        </w:rPr>
        <w:t>”</w:t>
      </w:r>
    </w:p>
    <w:p w14:paraId="75D9B8C2">
      <w:pPr>
        <w:framePr w:w="8987" w:wrap="around" w:vAnchor="page" w:hAnchor="page" w:x="1472" w:y="10531"/>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相同信息应展示为似然比及其95% CI，按照以上阐明的恶性肿瘤频率进行制表。似然比（结果）= Pr（结果|恶性肿瘤）/ Pr（结果|无恶性肿瘤）。似然比与预测值不同，其不依赖于疾病的患病率。</w:t>
      </w:r>
    </w:p>
    <w:p w14:paraId="323BE5B0">
      <w:pPr>
        <w:framePr w:w="8987" w:wrap="around" w:vAnchor="page" w:hAnchor="page" w:x="1407" w:y="12186"/>
        <w:widowControl w:val="0"/>
        <w:autoSpaceDE w:val="0"/>
        <w:autoSpaceDN w:val="0"/>
        <w:snapToGrid w:val="0"/>
        <w:spacing w:before="0" w:after="0" w:line="300" w:lineRule="auto"/>
        <w:rPr>
          <w:rFonts w:ascii="Arial" w:hAnsi="Arial" w:cs="Arial"/>
          <w:color w:val="000000"/>
          <w:sz w:val="24"/>
        </w:rPr>
      </w:pPr>
      <w:r>
        <w:rPr>
          <w:rFonts w:ascii="Arial" w:hAnsi="Arial" w:cs="Arial"/>
          <w:i/>
          <w:color w:val="000000"/>
          <w:sz w:val="24"/>
        </w:rPr>
        <w:t>亚组分析：</w:t>
      </w:r>
      <w:r>
        <w:rPr>
          <w:rFonts w:ascii="Arial" w:hAnsi="Arial" w:cs="Arial"/>
          <w:color w:val="000000"/>
          <w:sz w:val="24"/>
        </w:rPr>
        <w:t>贵公司应证明绝经前和绝经后患者分别分析中，类似于总体人群所述的分析，双重评估的NPV与单独评估的NPV相比有统计学和临床线束改善。</w:t>
      </w:r>
    </w:p>
    <w:p w14:paraId="269415F3">
      <w:pPr>
        <w:framePr w:w="8987" w:wrap="around" w:vAnchor="page" w:hAnchor="page" w:x="1407" w:y="12186"/>
        <w:widowControl w:val="0"/>
        <w:autoSpaceDE w:val="0"/>
        <w:autoSpaceDN w:val="0"/>
        <w:snapToGrid w:val="0"/>
        <w:spacing w:before="0" w:after="0" w:line="300" w:lineRule="auto"/>
        <w:rPr>
          <w:rFonts w:ascii="Arial" w:hAnsi="Arial" w:cs="Arial"/>
          <w:color w:val="000000"/>
          <w:sz w:val="24"/>
        </w:rPr>
      </w:pPr>
      <w:r>
        <w:rPr>
          <w:rFonts w:ascii="Arial" w:hAnsi="Arial" w:cs="Arial"/>
          <w:i/>
          <w:color w:val="000000"/>
          <w:sz w:val="24"/>
        </w:rPr>
        <w:t>其他信息：</w:t>
      </w:r>
      <w:r>
        <w:rPr>
          <w:rFonts w:ascii="Arial" w:hAnsi="Arial" w:cs="Arial"/>
          <w:color w:val="000000"/>
          <w:sz w:val="24"/>
        </w:rPr>
        <w:t>贵公司应提供在按照肿瘤分期或组织病理学所见进行分组的患者中，贵公司评分测试的描述性统计学制表。</w:t>
      </w:r>
    </w:p>
    <w:p w14:paraId="4DC08332">
      <w:pPr>
        <w:framePr w:w="7877" w:wrap="around" w:vAnchor="margin" w:hAnchor="page" w:x="1316" w:y="13007"/>
        <w:widowControl w:val="0"/>
        <w:autoSpaceDE w:val="0"/>
        <w:autoSpaceDN w:val="0"/>
        <w:snapToGrid w:val="0"/>
        <w:spacing w:before="0" w:after="0" w:line="300" w:lineRule="auto"/>
        <w:rPr>
          <w:rFonts w:ascii="Arial" w:hAnsi="Arial" w:cs="Arial"/>
          <w:b/>
          <w:i/>
          <w:color w:val="000000"/>
          <w:sz w:val="24"/>
        </w:rPr>
      </w:pPr>
      <w:r>
        <w:rPr>
          <w:rFonts w:ascii="Arial" w:hAnsi="Arial" w:cs="Arial"/>
          <w:b/>
          <w:i/>
          <w:color w:val="000000"/>
          <w:sz w:val="24"/>
        </w:rPr>
        <w:t>妇科肿瘤学家评估的患者人群中的结果</w:t>
      </w:r>
    </w:p>
    <w:p w14:paraId="4E77ADEC">
      <w:pPr>
        <w:framePr w:w="8987" w:wrap="around" w:vAnchor="page" w:hAnchor="page" w:x="1318" w:y="14586"/>
        <w:widowControl w:val="0"/>
        <w:autoSpaceDE w:val="0"/>
        <w:autoSpaceDN w:val="0"/>
        <w:snapToGrid w:val="0"/>
        <w:spacing w:before="0" w:after="0" w:line="300" w:lineRule="auto"/>
        <w:jc w:val="left"/>
        <w:rPr>
          <w:rFonts w:ascii="Arial" w:hAnsi="Arial" w:cs="Arial"/>
          <w:color w:val="000000"/>
          <w:sz w:val="24"/>
        </w:rPr>
      </w:pPr>
      <w:r>
        <w:rPr>
          <w:rFonts w:ascii="Arial" w:hAnsi="Arial" w:cs="Arial"/>
          <w:color w:val="000000"/>
          <w:sz w:val="24"/>
        </w:rPr>
        <w:t>卵巢附件肿块评估评分测试系统预期用于将进行手术的有盆腔肿块女性。测试适用于作为确定转诊决策的辅助工具。贵公司的临床研究应避免对可能由非GO研究中心选择性入组的患者进行评估而导致的可能偏倚。（例如，一些非GO</w:t>
      </w:r>
    </w:p>
    <w:p w14:paraId="0FF62A5C">
      <w:pPr>
        <w:snapToGrid w:val="0"/>
        <w:spacing w:before="0" w:after="0" w:line="300" w:lineRule="auto"/>
        <w:rPr>
          <w:rFonts w:ascii="Arial" w:hAnsi="Arial" w:cs="Arial"/>
          <w:color w:val="FF0000"/>
          <w:sz w:val="2"/>
        </w:rPr>
      </w:pPr>
      <w:r>
        <w:rPr>
          <w:rFonts w:ascii="Arial" w:hAnsi="Arial" w:cs="Arial"/>
          <w:lang w:val="en-US"/>
        </w:rPr>
        <w:drawing>
          <wp:anchor distT="0" distB="0" distL="114300" distR="114300" simplePos="0" relativeHeight="251663360" behindDoc="1" locked="0" layoutInCell="1" allowOverlap="1">
            <wp:simplePos x="0" y="0"/>
            <wp:positionH relativeFrom="page">
              <wp:posOffset>1711325</wp:posOffset>
            </wp:positionH>
            <wp:positionV relativeFrom="page">
              <wp:posOffset>914400</wp:posOffset>
            </wp:positionV>
            <wp:extent cx="4521200" cy="470979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21200" cy="4709795"/>
                    </a:xfrm>
                    <a:prstGeom prst="rect">
                      <a:avLst/>
                    </a:prstGeom>
                    <a:noFill/>
                    <a:ln>
                      <a:noFill/>
                    </a:ln>
                  </pic:spPr>
                </pic:pic>
              </a:graphicData>
            </a:graphic>
          </wp:anchor>
        </w:drawing>
      </w:r>
      <w:r>
        <w:rPr>
          <w:rFonts w:ascii="Arial" w:hAnsi="Arial" w:cs="Arial"/>
        </w:rPr>
        <w:br w:type="page"/>
      </w:r>
    </w:p>
    <w:p w14:paraId="0055105B">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医师可能因各种原因自动将患者转诊至GO，而不考虑术前评估。在此类研究中心贵公司的临床试验入组将导致有潜在偏倚的患者代表。）贵公司可选择提供GO评估患者的额外信息，以证明贵公司的测试性能中不会出现阳性偏倚。本数据经食品药品监督管理局审查，预期在GO评估组中性能不会减弱。</w:t>
      </w:r>
    </w:p>
    <w:p w14:paraId="73414DFD">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p>
    <w:p w14:paraId="0C0F61B1">
      <w:pPr>
        <w:framePr w:w="8987" w:wrap="around" w:vAnchor="page" w:hAnchor="page" w:x="1532" w:y="1329"/>
        <w:widowControl w:val="0"/>
        <w:autoSpaceDE w:val="0"/>
        <w:autoSpaceDN w:val="0"/>
        <w:snapToGrid w:val="0"/>
        <w:spacing w:before="0" w:after="0" w:line="300" w:lineRule="auto"/>
        <w:outlineLvl w:val="1"/>
        <w:rPr>
          <w:rFonts w:ascii="Arial" w:hAnsi="Arial" w:cs="Arial"/>
          <w:color w:val="000000"/>
          <w:sz w:val="24"/>
          <w:u w:val="single"/>
        </w:rPr>
      </w:pPr>
      <w:bookmarkStart w:id="29" w:name="_Toc479613622"/>
      <w:r>
        <w:rPr>
          <w:rFonts w:ascii="Arial" w:hAnsi="Arial" w:cs="Arial"/>
          <w:color w:val="000000"/>
          <w:sz w:val="24"/>
        </w:rPr>
        <w:t>E.</w:t>
      </w:r>
      <w:r>
        <w:rPr>
          <w:rFonts w:ascii="Arial" w:hAnsi="Arial" w:cs="Arial"/>
        </w:rPr>
        <w:t xml:space="preserve"> </w:t>
      </w:r>
      <w:r>
        <w:rPr>
          <w:rFonts w:ascii="Arial" w:hAnsi="Arial" w:cs="Arial"/>
          <w:color w:val="000000"/>
          <w:sz w:val="24"/>
          <w:u w:val="single"/>
        </w:rPr>
        <w:t>其他良性和恶性疾病下的预期值</w:t>
      </w:r>
      <w:bookmarkEnd w:id="29"/>
    </w:p>
    <w:p w14:paraId="6B5CB44D">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目标人群可能有与癌症无关的各种疾病，但此时显示尚未识别到卵巢肿块。这些其他疾病（在一些情况下已说明分析物的真实测定值[如，为测试组件的免疫分析]）可戏剧性地影响评分测试结果并混淆其解释。贵公司应在单独分析物试验显示有疾病状况的患者中，以及可能并发出现良性和恶性疾病的患者中，证明贵公司的测试评分结果。这些疾病的示例有：子宫内膜异位、盆腔炎性疾病、糖尿病、贫血、自身免疫疾病如克罗恩病、SLE和类风湿性关节炎、心脏病、肝炎、肾病和营养不良，以及各种癌症如宫颈癌、肺癌、乳腺癌和结直肠癌。</w:t>
      </w:r>
    </w:p>
    <w:p w14:paraId="7E47DA9E">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p>
    <w:p w14:paraId="5A6923FA">
      <w:pPr>
        <w:framePr w:w="8987" w:wrap="around" w:vAnchor="page" w:hAnchor="page" w:x="1532" w:y="1329"/>
        <w:widowControl w:val="0"/>
        <w:autoSpaceDE w:val="0"/>
        <w:autoSpaceDN w:val="0"/>
        <w:snapToGrid w:val="0"/>
        <w:spacing w:before="0" w:after="0" w:line="300" w:lineRule="auto"/>
        <w:outlineLvl w:val="1"/>
        <w:rPr>
          <w:rFonts w:ascii="Arial" w:hAnsi="Arial" w:cs="Arial"/>
          <w:color w:val="000000"/>
          <w:sz w:val="24"/>
          <w:u w:val="single"/>
        </w:rPr>
      </w:pPr>
      <w:bookmarkStart w:id="30" w:name="_Toc479613623"/>
      <w:r>
        <w:rPr>
          <w:rFonts w:ascii="Arial" w:hAnsi="Arial" w:cs="Arial"/>
          <w:color w:val="000000"/>
          <w:sz w:val="24"/>
        </w:rPr>
        <w:t>F.</w:t>
      </w:r>
      <w:r>
        <w:rPr>
          <w:rFonts w:ascii="Arial" w:hAnsi="Arial" w:cs="Arial"/>
        </w:rPr>
        <w:t xml:space="preserve"> </w:t>
      </w:r>
      <w:r>
        <w:rPr>
          <w:rFonts w:ascii="Arial" w:hAnsi="Arial" w:cs="Arial"/>
          <w:color w:val="000000"/>
          <w:sz w:val="24"/>
          <w:u w:val="single"/>
        </w:rPr>
        <w:t>参考间期</w:t>
      </w:r>
      <w:bookmarkEnd w:id="30"/>
    </w:p>
    <w:p w14:paraId="5E078A64">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可提供在表明健康女性中的参考值，但此类女性不能是评分测试预期用途人群的一部分。对于每种分析物和评分测试结果，任何分析值均应包括跨越贵公司测试年龄范围的女性，且应评估至少120例绝经前女性和120例绝经后女性，除非贵公司能够证明2个人群之间无任何差异。如可能，除高加索人和非裔美国人外，贵公司还应纳入其他种族（拉丁美洲人和亚洲人）。贵公司应提供每例女性的评分并调查评分和年龄的关系。</w:t>
      </w:r>
    </w:p>
    <w:p w14:paraId="3E0F5AE2">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p>
    <w:p w14:paraId="2C20CBF7">
      <w:pPr>
        <w:framePr w:w="8987" w:wrap="around" w:vAnchor="page" w:hAnchor="page" w:x="1532" w:y="1329"/>
        <w:widowControl w:val="0"/>
        <w:autoSpaceDE w:val="0"/>
        <w:autoSpaceDN w:val="0"/>
        <w:snapToGrid w:val="0"/>
        <w:spacing w:before="0" w:after="0" w:line="300" w:lineRule="auto"/>
        <w:outlineLvl w:val="1"/>
        <w:rPr>
          <w:rFonts w:ascii="Arial" w:hAnsi="Arial" w:cs="Arial"/>
          <w:color w:val="000000"/>
          <w:sz w:val="24"/>
          <w:u w:val="single"/>
        </w:rPr>
      </w:pPr>
      <w:bookmarkStart w:id="31" w:name="_Toc479613624"/>
      <w:r>
        <w:rPr>
          <w:rFonts w:ascii="Arial" w:hAnsi="Arial" w:cs="Arial"/>
          <w:color w:val="000000"/>
          <w:sz w:val="24"/>
        </w:rPr>
        <w:t>G.</w:t>
      </w:r>
      <w:r>
        <w:rPr>
          <w:rFonts w:ascii="Arial" w:hAnsi="Arial" w:cs="Arial"/>
        </w:rPr>
        <w:t xml:space="preserve"> </w:t>
      </w:r>
      <w:r>
        <w:rPr>
          <w:rFonts w:ascii="Arial" w:hAnsi="Arial" w:cs="Arial"/>
          <w:color w:val="000000"/>
          <w:sz w:val="24"/>
          <w:u w:val="single"/>
        </w:rPr>
        <w:t>评分中所含单独分析物的相关性</w:t>
      </w:r>
      <w:bookmarkEnd w:id="31"/>
    </w:p>
    <w:p w14:paraId="603B1F15">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证明评分测试使用中每种分析物纳入的合理性。一个选择是使用来自临床研究的数据，证明评分计算中纳入的单独分析物可为卵巢恶性肿瘤提供有用信息。对此，应进行ROC分析：对于每种单独分析物，展示单独分析物的ROC曲线，并计算单独分析物ROC曲线下的面积以及置信区间（应正确处理多样性问题）。此外，对于每种单独分析物，展示单独分析物的ROC曲线和相同图表上评分的ROC曲线。如果临床研究的数据未证明相同的单独分析物可为卵巢恶性肿瘤提供有用信息，贵公司应证明为什么将这些分析物纳入评分测试的计算中。</w:t>
      </w:r>
    </w:p>
    <w:p w14:paraId="348582AB">
      <w:pPr>
        <w:framePr w:w="8987" w:wrap="around" w:vAnchor="page" w:hAnchor="page" w:x="1532" w:y="1329"/>
        <w:widowControl w:val="0"/>
        <w:autoSpaceDE w:val="0"/>
        <w:autoSpaceDN w:val="0"/>
        <w:snapToGrid w:val="0"/>
        <w:spacing w:before="0" w:after="0" w:line="300" w:lineRule="auto"/>
        <w:rPr>
          <w:rFonts w:ascii="Arial" w:hAnsi="Arial" w:cs="Arial"/>
          <w:color w:val="000000"/>
          <w:sz w:val="24"/>
        </w:rPr>
      </w:pPr>
    </w:p>
    <w:p w14:paraId="4B2D5A9B">
      <w:pPr>
        <w:snapToGrid w:val="0"/>
        <w:spacing w:before="0" w:after="0" w:line="300" w:lineRule="auto"/>
        <w:rPr>
          <w:rFonts w:ascii="Arial" w:hAnsi="Arial" w:cs="Arial"/>
          <w:color w:val="FF0000"/>
          <w:sz w:val="2"/>
        </w:rPr>
      </w:pPr>
      <w:r>
        <w:rPr>
          <w:rFonts w:ascii="Arial" w:hAnsi="Arial" w:cs="Arial"/>
          <w:lang w:val="en-US"/>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12700" cy="127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anchor>
        </w:drawing>
      </w:r>
      <w:r>
        <w:rPr>
          <w:rFonts w:ascii="Arial" w:hAnsi="Arial" w:cs="Arial"/>
        </w:rPr>
        <w:br w:type="page"/>
      </w:r>
    </w:p>
    <w:p w14:paraId="05F11DDD">
      <w:pPr>
        <w:snapToGrid w:val="0"/>
        <w:spacing w:before="0" w:after="0" w:line="300" w:lineRule="auto"/>
        <w:rPr>
          <w:rFonts w:ascii="Arial" w:hAnsi="Arial" w:cs="Arial"/>
          <w:color w:val="FF0000"/>
          <w:sz w:val="14"/>
        </w:rPr>
      </w:pPr>
    </w:p>
    <w:p w14:paraId="5958C4A4">
      <w:pPr>
        <w:framePr w:w="8987" w:wrap="around" w:vAnchor="page" w:hAnchor="page" w:x="1577" w:y="1689"/>
        <w:widowControl w:val="0"/>
        <w:autoSpaceDE w:val="0"/>
        <w:autoSpaceDN w:val="0"/>
        <w:snapToGrid w:val="0"/>
        <w:spacing w:before="0" w:after="0" w:line="300" w:lineRule="auto"/>
        <w:outlineLvl w:val="0"/>
        <w:rPr>
          <w:rFonts w:ascii="Arial" w:hAnsi="Arial" w:cs="Arial"/>
          <w:b/>
          <w:color w:val="000000"/>
          <w:sz w:val="36"/>
        </w:rPr>
      </w:pPr>
      <w:bookmarkStart w:id="32" w:name="_Toc479613625"/>
      <w:r>
        <w:rPr>
          <w:rFonts w:ascii="Arial" w:hAnsi="Arial" w:cs="Arial"/>
          <w:b/>
          <w:color w:val="000000"/>
          <w:sz w:val="36"/>
        </w:rPr>
        <w:t>IX.标签</w:t>
      </w:r>
      <w:bookmarkEnd w:id="32"/>
    </w:p>
    <w:p w14:paraId="664CD575">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上市前通告必须包括足够详细的贴标，以满足21 CFR 807.87（e）的要求。在体外诊断器械引入州际贸易前，体外诊断器械的最终贴标必须也符合21 CFR 809.10的要求。下表所列的内容不包括标签要求的所有元素，但其旨在辅助贵公司制备可满足这些要求的标签。</w:t>
      </w:r>
    </w:p>
    <w:p w14:paraId="2397BF7E">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14:paraId="13104027">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预期用途</w:t>
      </w:r>
    </w:p>
    <w:p w14:paraId="7F338450">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14:paraId="38F87DAF">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预期用途应指明测试手段是什么，将使用测试的临床适用症是什么，以及测试预期的特定人群是什么（如适用）。预期用途应指明测试是否为定性或定量。</w:t>
      </w:r>
    </w:p>
    <w:p w14:paraId="003D9366">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14:paraId="1508FE3A">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黑盒警告</w:t>
      </w:r>
    </w:p>
    <w:p w14:paraId="0832F438">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14:paraId="55C409C9">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考虑到卵巢癌测试方面历史和当前未满足的医疗需求，食品药品监督管理局得出结论，本器械的标签外使用有风险。为解决本风险，制造商应在卵巢附件肿块评估评分测试系统的贴标、广告宣传和推广材料中提供关于标签为使用风险的通知。制造商必须强调以下风险：</w:t>
      </w:r>
    </w:p>
    <w:p w14:paraId="0B9BB4C3">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14:paraId="2D5581FB">
      <w:pPr>
        <w:pStyle w:val="12"/>
        <w:framePr w:w="8987" w:wrap="around" w:vAnchor="page" w:hAnchor="page" w:x="1577" w:y="1689"/>
        <w:widowControl w:val="0"/>
        <w:numPr>
          <w:ilvl w:val="0"/>
          <w:numId w:val="6"/>
        </w:numPr>
        <w:autoSpaceDE w:val="0"/>
        <w:autoSpaceDN w:val="0"/>
        <w:snapToGrid w:val="0"/>
        <w:spacing w:before="0" w:after="0" w:line="300" w:lineRule="auto"/>
        <w:ind w:firstLineChars="0"/>
        <w:rPr>
          <w:rFonts w:ascii="Arial" w:hAnsi="Arial" w:cs="Arial"/>
          <w:color w:val="000000"/>
          <w:sz w:val="24"/>
        </w:rPr>
      </w:pPr>
      <w:r>
        <w:rPr>
          <w:rFonts w:ascii="Arial" w:hAnsi="Arial" w:cs="Arial"/>
        </w:rPr>
        <w:t>无附件盆腔肿块的女性（即，癌症</w:t>
      </w:r>
      <w:r>
        <w:rPr>
          <w:rFonts w:ascii="Arial" w:hAnsi="Arial" w:cs="Arial"/>
          <w:cs/>
        </w:rPr>
        <w:t>“</w:t>
      </w:r>
      <w:r>
        <w:rPr>
          <w:rFonts w:ascii="Arial" w:hAnsi="Arial" w:cs="Arial"/>
        </w:rPr>
        <w:t>筛选</w:t>
      </w:r>
      <w:r>
        <w:rPr>
          <w:rFonts w:ascii="Arial" w:hAnsi="Arial" w:cs="Arial"/>
          <w:cs/>
        </w:rPr>
        <w:t>”</w:t>
      </w:r>
      <w:r>
        <w:rPr>
          <w:rFonts w:ascii="Arial" w:hAnsi="Arial" w:cs="Arial"/>
        </w:rPr>
        <w:t>）不是卵巢附件肿块评估评分测试系统预期用途人群的一部分。</w:t>
      </w:r>
      <w:r>
        <w:rPr>
          <w:rFonts w:ascii="Arial" w:hAnsi="Arial" w:cs="Arial"/>
          <w:color w:val="000000"/>
          <w:sz w:val="24"/>
        </w:rPr>
        <w:t>卵巢癌筛选测试的假阳性结果相关公共卫生风险在医学文献中有明确描述，并纳入了与非必须测试和手术相关的发病率和死亡率。阴性筛选结果的风险也包括测试和治疗卵巢恶性肿瘤失败导致的发病率和死亡率。</w:t>
      </w:r>
    </w:p>
    <w:p w14:paraId="6E9DB162">
      <w:pPr>
        <w:pStyle w:val="12"/>
        <w:framePr w:w="8987" w:wrap="around" w:vAnchor="page" w:hAnchor="page" w:x="1577" w:y="1689"/>
        <w:widowControl w:val="0"/>
        <w:numPr>
          <w:ilvl w:val="0"/>
          <w:numId w:val="6"/>
        </w:numPr>
        <w:autoSpaceDE w:val="0"/>
        <w:autoSpaceDN w:val="0"/>
        <w:snapToGrid w:val="0"/>
        <w:spacing w:before="0" w:after="0" w:line="300" w:lineRule="auto"/>
        <w:ind w:firstLineChars="0"/>
        <w:rPr>
          <w:rFonts w:ascii="Arial" w:hAnsi="Arial" w:cs="Arial"/>
          <w:color w:val="000000"/>
          <w:sz w:val="24"/>
        </w:rPr>
      </w:pPr>
      <w:r>
        <w:rPr>
          <w:rFonts w:ascii="Arial" w:hAnsi="Arial" w:cs="Arial"/>
        </w:rPr>
        <w:t>如果使用测试结果确定已知有卵巢附件肿块的患者中的手术需要，根据疾病患病率和类型调整后的类似风险升高</w:t>
      </w:r>
      <w:r>
        <w:rPr>
          <w:rFonts w:ascii="Arial" w:hAnsi="Arial" w:cs="Arial"/>
          <w:color w:val="000000"/>
          <w:sz w:val="24"/>
        </w:rPr>
        <w:t>。</w:t>
      </w:r>
    </w:p>
    <w:p w14:paraId="16143680">
      <w:pPr>
        <w:pStyle w:val="12"/>
        <w:framePr w:w="8987" w:wrap="around" w:vAnchor="page" w:hAnchor="page" w:x="1577" w:y="1689"/>
        <w:widowControl w:val="0"/>
        <w:numPr>
          <w:ilvl w:val="0"/>
          <w:numId w:val="6"/>
        </w:numPr>
        <w:autoSpaceDE w:val="0"/>
        <w:autoSpaceDN w:val="0"/>
        <w:snapToGrid w:val="0"/>
        <w:spacing w:before="0" w:after="0" w:line="300" w:lineRule="auto"/>
        <w:ind w:firstLineChars="0"/>
        <w:rPr>
          <w:rFonts w:ascii="Arial" w:hAnsi="Arial" w:cs="Arial"/>
          <w:color w:val="000000"/>
          <w:sz w:val="24"/>
        </w:rPr>
      </w:pPr>
      <w:r>
        <w:rPr>
          <w:rFonts w:ascii="Arial" w:hAnsi="Arial" w:cs="Arial"/>
          <w:color w:val="000000"/>
          <w:sz w:val="24"/>
        </w:rPr>
        <w:t>如果使用除本特殊控制指南中所述</w:t>
      </w:r>
      <w:r>
        <w:rPr>
          <w:rFonts w:ascii="Arial" w:hAnsi="Arial" w:cs="Arial"/>
          <w:color w:val="000000"/>
          <w:sz w:val="24"/>
          <w:cs/>
        </w:rPr>
        <w:t>“</w:t>
      </w:r>
      <w:r>
        <w:rPr>
          <w:rFonts w:ascii="Arial" w:hAnsi="Arial" w:cs="Arial"/>
          <w:color w:val="000000"/>
          <w:sz w:val="24"/>
        </w:rPr>
        <w:t>OR</w:t>
      </w:r>
      <w:r>
        <w:rPr>
          <w:rFonts w:ascii="Arial" w:hAnsi="Arial" w:cs="Arial"/>
          <w:color w:val="000000"/>
          <w:sz w:val="24"/>
          <w:cs/>
        </w:rPr>
        <w:t>”</w:t>
      </w:r>
      <w:r>
        <w:rPr>
          <w:rFonts w:ascii="Arial" w:hAnsi="Arial" w:cs="Arial"/>
          <w:color w:val="000000"/>
          <w:sz w:val="24"/>
        </w:rPr>
        <w:t>规则以外的规则，来自卵巢附件肿块评估评分测试系统的结果将造成因未转诊进行肿瘤学评估和治疗导致的发病率和死亡率。</w:t>
      </w:r>
    </w:p>
    <w:p w14:paraId="77CC6D08">
      <w:pPr>
        <w:pStyle w:val="12"/>
        <w:framePr w:w="8987" w:wrap="around" w:vAnchor="page" w:hAnchor="page" w:x="1577" w:y="1689"/>
        <w:widowControl w:val="0"/>
        <w:autoSpaceDE w:val="0"/>
        <w:autoSpaceDN w:val="0"/>
        <w:snapToGrid w:val="0"/>
        <w:spacing w:before="0" w:after="0" w:line="300" w:lineRule="auto"/>
        <w:ind w:left="420" w:firstLine="0" w:firstLineChars="0"/>
        <w:rPr>
          <w:rFonts w:ascii="Arial" w:hAnsi="Arial" w:cs="Arial"/>
          <w:color w:val="000000"/>
          <w:sz w:val="24"/>
        </w:rPr>
      </w:pPr>
    </w:p>
    <w:p w14:paraId="6414C9B2">
      <w:pPr>
        <w:pStyle w:val="12"/>
        <w:framePr w:w="8987" w:wrap="around" w:vAnchor="page" w:hAnchor="page" w:x="1577" w:y="1689"/>
        <w:widowControl w:val="0"/>
        <w:autoSpaceDE w:val="0"/>
        <w:autoSpaceDN w:val="0"/>
        <w:snapToGrid w:val="0"/>
        <w:spacing w:before="0" w:after="0" w:line="300" w:lineRule="auto"/>
        <w:ind w:left="420" w:firstLine="0" w:firstLineChars="0"/>
        <w:rPr>
          <w:rFonts w:ascii="Arial" w:hAnsi="Arial" w:cs="Arial"/>
          <w:color w:val="000000"/>
          <w:sz w:val="24"/>
        </w:rPr>
      </w:pPr>
      <w:r>
        <w:rPr>
          <w:rFonts w:ascii="Arial" w:hAnsi="Arial" w:cs="Arial"/>
          <w:color w:val="000000"/>
          <w:sz w:val="24"/>
        </w:rPr>
        <w:t>为解决标签外使用的风险，卵巢附件肿块评估评分测试系统的标签、广告宣传和推广材料均应包含使用以下模板的文字或等效文字的注意事项框：</w:t>
      </w:r>
    </w:p>
    <w:p w14:paraId="084D6036">
      <w:pPr>
        <w:pStyle w:val="12"/>
        <w:framePr w:w="8987" w:wrap="around" w:vAnchor="page" w:hAnchor="page" w:x="1577" w:y="1689"/>
        <w:widowControl w:val="0"/>
        <w:autoSpaceDE w:val="0"/>
        <w:autoSpaceDN w:val="0"/>
        <w:snapToGrid w:val="0"/>
        <w:spacing w:before="0" w:after="0" w:line="300" w:lineRule="auto"/>
        <w:ind w:left="420" w:firstLine="0" w:firstLineChars="0"/>
        <w:rPr>
          <w:rFonts w:ascii="Arial" w:hAnsi="Arial" w:cs="Arial"/>
          <w:color w:val="000000"/>
          <w:sz w:val="24"/>
        </w:rPr>
      </w:pPr>
    </w:p>
    <w:p w14:paraId="4405317B">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注意事项：[测试名称]不得在无独立临床/放射学评估时使用，且预期不可用作筛选测试或用作确定患者是否应继续进行手术。错误使用[名称]可带来进行非必须测试、手术和/或诊断延迟的风险。</w:t>
      </w:r>
    </w:p>
    <w:p w14:paraId="38E3B90B">
      <w:pPr>
        <w:framePr w:w="8987" w:wrap="around" w:vAnchor="page" w:hAnchor="page" w:x="1577" w:y="1689"/>
        <w:widowControl w:val="0"/>
        <w:autoSpaceDE w:val="0"/>
        <w:autoSpaceDN w:val="0"/>
        <w:snapToGrid w:val="0"/>
        <w:spacing w:before="0" w:after="0" w:line="300" w:lineRule="auto"/>
        <w:rPr>
          <w:rFonts w:ascii="Arial" w:hAnsi="Arial" w:cs="Arial"/>
          <w:color w:val="000000"/>
          <w:sz w:val="24"/>
        </w:rPr>
      </w:pPr>
    </w:p>
    <w:p w14:paraId="34A5EC47">
      <w:pPr>
        <w:snapToGrid w:val="0"/>
        <w:spacing w:before="0" w:after="0" w:line="300" w:lineRule="auto"/>
        <w:rPr>
          <w:rFonts w:ascii="Arial" w:hAnsi="Arial" w:cs="Arial"/>
          <w:color w:val="FF0000"/>
          <w:sz w:val="2"/>
        </w:rPr>
      </w:pPr>
      <w:r>
        <w:rPr>
          <w:rFonts w:ascii="Arial" w:hAnsi="Arial" w:cs="Arial"/>
        </w:rPr>
        <w:br w:type="page"/>
      </w:r>
      <w:r>
        <w:rPr>
          <w:rFonts w:ascii="Arial" w:hAnsi="Arial" w:cs="Arial"/>
          <w:color w:val="FF0000"/>
          <w:sz w:val="14"/>
        </w:rPr>
        <w:cr/>
      </w:r>
      <w:r>
        <w:rPr>
          <w:rFonts w:ascii="Arial" w:hAnsi="Arial" w:cs="Arial"/>
          <w:color w:val="FF0000"/>
          <w:sz w:val="2"/>
        </w:rPr>
        <w:cr/>
      </w:r>
    </w:p>
    <w:p w14:paraId="437E747C">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测试原则</w:t>
      </w:r>
    </w:p>
    <w:p w14:paraId="3F291436">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3987D41F">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贵公司应描述本类型器械中使用的测试组件（特异性试验、校准器和仪器）或测试方法学。</w:t>
      </w:r>
    </w:p>
    <w:p w14:paraId="2D2A9B67">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09CC7824">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警告和注意事项</w:t>
      </w:r>
    </w:p>
    <w:p w14:paraId="5016A1F0">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p>
    <w:p w14:paraId="3E81E8D2">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贵公司应纳入所有针对贵公司测试的警告和注意事项，包括影响样本的条件、贵公司测试的组件中任何其他适用制造商说明书中指定的条件、以及潜在实验室危险。</w:t>
      </w:r>
    </w:p>
    <w:p w14:paraId="6BB8E353">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 xml:space="preserve">标本和试剂 </w:t>
      </w:r>
      <w:r>
        <w:rPr>
          <w:rFonts w:ascii="Arial" w:hAnsi="Arial" w:cs="Arial"/>
          <w:color w:val="000000"/>
          <w:sz w:val="24"/>
          <w:cs/>
        </w:rPr>
        <w:t xml:space="preserve">─ </w:t>
      </w:r>
      <w:r>
        <w:rPr>
          <w:rFonts w:ascii="Arial" w:hAnsi="Arial" w:cs="Arial"/>
          <w:color w:val="000000"/>
          <w:sz w:val="24"/>
        </w:rPr>
        <w:t>稳定性和储存</w:t>
      </w:r>
    </w:p>
    <w:p w14:paraId="5DFCC484">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3F1080B4">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说明贵公司测试所用的样本矩阵、样本处理的说明以及稳定性信息（包括储存和温度）。如果贵公司的测试系统包括单独免疫分析，样本稳定性和储存声明应受限于贵公司测试系统中最不稳定组件（试验）的性能声明，除非贵公司已提供验证数据证明。此外贵公司还应汇总每种单独分析物的储存和稳定性数据。</w:t>
      </w:r>
    </w:p>
    <w:p w14:paraId="55E3FDEB">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5F1F23C1">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测试组件</w:t>
      </w:r>
    </w:p>
    <w:p w14:paraId="6B5CEC30">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3A074DE7">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贵公司应提供贵公司测试系统中所需要的具体试验列表，包括校准器和控制。对于这些与贵公司测试相关试验的性能，贵公司应为用户提供任何期望的汇总，包括但不限于测量范围、测量单位和质量控制措施。</w:t>
      </w:r>
    </w:p>
    <w:p w14:paraId="7ECDB3CD">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342A2777">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程序</w:t>
      </w:r>
    </w:p>
    <w:p w14:paraId="4D6A41C3">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188D0BDF">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本章节应包括程序从样本处理到结果报告的明确和简明的说明。应提供具体且充分的说明，包括软件安装的任何故障处理建议。用户可参见组件包装说明书；然而，也应纳入每种试验程序的一般总结。</w:t>
      </w:r>
    </w:p>
    <w:p w14:paraId="672BC529">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11ADCC02">
      <w:pPr>
        <w:framePr w:w="8987" w:wrap="around" w:vAnchor="page" w:hAnchor="page" w:x="1504" w:y="1689"/>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结果解释</w:t>
      </w:r>
    </w:p>
    <w:p w14:paraId="4B3FCA4B">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3225183A">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明确定义可能的结果范围、使用的具体临界点和/或模糊区、这些临界点之间的结果意义，并解释用户在有任何模糊结果的情况下应做什么（如，重复）。贵公司应指明结果是否应根据年龄、月经状态和其他因素而进行不同解释。</w:t>
      </w:r>
    </w:p>
    <w:p w14:paraId="1A4A2871">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66C209CF">
      <w:pPr>
        <w:framePr w:w="8987" w:wrap="around" w:vAnchor="page" w:hAnchor="page" w:x="1504" w:y="1689"/>
        <w:widowControl w:val="0"/>
        <w:autoSpaceDE w:val="0"/>
        <w:autoSpaceDN w:val="0"/>
        <w:snapToGrid w:val="0"/>
        <w:spacing w:before="0" w:after="0" w:line="300" w:lineRule="auto"/>
        <w:rPr>
          <w:rFonts w:ascii="Arial" w:hAnsi="Arial" w:cs="Arial"/>
          <w:color w:val="000000"/>
          <w:sz w:val="24"/>
        </w:rPr>
      </w:pPr>
    </w:p>
    <w:p w14:paraId="5BF386EA">
      <w:pPr>
        <w:snapToGrid w:val="0"/>
        <w:spacing w:before="0" w:after="0" w:line="300" w:lineRule="auto"/>
        <w:rPr>
          <w:rFonts w:ascii="Arial" w:hAnsi="Arial" w:cs="Arial"/>
          <w:color w:val="FF0000"/>
          <w:sz w:val="2"/>
        </w:rPr>
      </w:pPr>
      <w:r>
        <w:rPr>
          <w:rFonts w:ascii="Arial" w:hAnsi="Arial" w:cs="Arial"/>
        </w:rPr>
        <w:br w:type="page"/>
      </w:r>
    </w:p>
    <w:p w14:paraId="549D4CB5">
      <w:pPr>
        <w:snapToGrid w:val="0"/>
        <w:spacing w:before="0" w:after="0" w:line="300" w:lineRule="auto"/>
        <w:rPr>
          <w:rFonts w:ascii="Arial" w:hAnsi="Arial" w:cs="Arial"/>
          <w:color w:val="FF0000"/>
          <w:sz w:val="14"/>
          <w:lang w:val="en-US"/>
        </w:rPr>
      </w:pPr>
    </w:p>
    <w:p w14:paraId="2AA5BB79">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局限性</w:t>
      </w:r>
    </w:p>
    <w:p w14:paraId="7A6432A3">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p>
    <w:p w14:paraId="220CFC66">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贵公司应明确描述标签中的任何和所有局限性。本章节应包括操作者或医师需要在使用测试前了解的适当局限性。</w:t>
      </w:r>
    </w:p>
    <w:p w14:paraId="2058476F">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除与贵公司测试相关的任何局限性和警告外，卵巢附件肿块评估评分测试系统还应包含声明：在阳性术前评估背景下阴性测试结果不得排除肿瘤学转诊。</w:t>
      </w:r>
    </w:p>
    <w:p w14:paraId="2BCF0883">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14:paraId="4117BCB5">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临床性能研究</w:t>
      </w:r>
    </w:p>
    <w:p w14:paraId="4111FD5F">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14:paraId="478D3734">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在说明书中纳入贵公司研究中所有可评估受试者的人口统计学特征和病理学汇总。贵公司应纳入贵公司研究设计和研究中结果的汇总。本章节应纳入术前评估（单独评估）、测试（单独评估）和二者结合（双重评估）的描述性能（灵敏度、特异性、NPV、PPV和95% CI）。如适用，应包括基于月经状态、病理学和分期的结果。贵公司应根据这些研究总结贵公司的结论。</w:t>
      </w:r>
    </w:p>
    <w:p w14:paraId="5AA584F4">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14:paraId="198D0E18">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分析性能结果</w:t>
      </w:r>
    </w:p>
    <w:p w14:paraId="2D2E4EDD">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Pr>
          <w:rFonts w:ascii="Arial" w:hAnsi="Arial" w:cs="Arial"/>
          <w:color w:val="000000"/>
          <w:sz w:val="24"/>
        </w:rPr>
        <w:t>贵公司应提供贵公司的评分测试系统中分析性能结果的汇总。贵公司提供的结果只能为为完整结果，而非单独分析物的结果。本数据应包括（如适用）精密度（可重复性/再现性）、数值测试评分结果范围、干扰、交叉反应性和矩阵比较。</w:t>
      </w:r>
    </w:p>
    <w:p w14:paraId="1E5EA6BA">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14:paraId="2619634C">
      <w:pPr>
        <w:framePr w:w="8987" w:wrap="around" w:vAnchor="page" w:hAnchor="page" w:x="1594" w:y="1488"/>
        <w:widowControl w:val="0"/>
        <w:autoSpaceDE w:val="0"/>
        <w:autoSpaceDN w:val="0"/>
        <w:snapToGrid w:val="0"/>
        <w:spacing w:before="0" w:after="0" w:line="300" w:lineRule="auto"/>
        <w:rPr>
          <w:rFonts w:ascii="Arial" w:hAnsi="Arial" w:cs="Arial"/>
          <w:b/>
          <w:color w:val="000000"/>
          <w:sz w:val="24"/>
        </w:rPr>
      </w:pPr>
      <w:r>
        <w:rPr>
          <w:rFonts w:ascii="Arial" w:hAnsi="Arial" w:cs="Arial"/>
          <w:b/>
          <w:color w:val="000000"/>
          <w:sz w:val="24"/>
        </w:rPr>
        <w:t>参考值和预期值</w:t>
      </w:r>
    </w:p>
    <w:p w14:paraId="63446558">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r>
        <w:rPr>
          <w:rFonts w:ascii="Arial" w:hAnsi="Arial" w:cs="Arial"/>
        </w:rPr>
        <w:t>这些章节应包括无疾病女性和有其他良性和恶性疾病的女性中贵公司测试结果的第5和第95百分位范围</w:t>
      </w:r>
      <w:r>
        <w:rPr>
          <w:rFonts w:ascii="Arial" w:hAnsi="Arial" w:cs="Arial"/>
          <w:color w:val="000000"/>
          <w:sz w:val="24"/>
        </w:rPr>
        <w:t>。信息还应包括用于测定这些值的所用人群的样本数、年龄、疾病和人口统计学。</w:t>
      </w:r>
    </w:p>
    <w:p w14:paraId="79BA05B2">
      <w:pPr>
        <w:framePr w:w="8987" w:wrap="around" w:vAnchor="page" w:hAnchor="page" w:x="1594" w:y="1488"/>
        <w:widowControl w:val="0"/>
        <w:autoSpaceDE w:val="0"/>
        <w:autoSpaceDN w:val="0"/>
        <w:snapToGrid w:val="0"/>
        <w:spacing w:before="0" w:after="0" w:line="300" w:lineRule="auto"/>
        <w:outlineLvl w:val="0"/>
        <w:rPr>
          <w:rFonts w:ascii="Arial" w:hAnsi="Arial" w:cs="Arial"/>
          <w:b/>
          <w:color w:val="000000"/>
          <w:sz w:val="36"/>
        </w:rPr>
      </w:pPr>
      <w:bookmarkStart w:id="33" w:name="_Toc479613626"/>
      <w:r>
        <w:rPr>
          <w:rFonts w:ascii="Arial" w:hAnsi="Arial" w:cs="Arial"/>
          <w:b/>
          <w:color w:val="000000"/>
          <w:sz w:val="36"/>
        </w:rPr>
        <w:t>X. 参考文件</w:t>
      </w:r>
      <w:bookmarkEnd w:id="33"/>
    </w:p>
    <w:p w14:paraId="5ECDF983">
      <w:pPr>
        <w:framePr w:w="8987" w:wrap="around" w:vAnchor="page" w:hAnchor="page" w:x="1594" w:y="1488"/>
        <w:widowControl w:val="0"/>
        <w:autoSpaceDE w:val="0"/>
        <w:autoSpaceDN w:val="0"/>
        <w:snapToGrid w:val="0"/>
        <w:spacing w:before="0" w:after="0" w:line="300" w:lineRule="auto"/>
        <w:rPr>
          <w:rFonts w:ascii="Arial" w:hAnsi="Arial" w:cs="Arial"/>
          <w:color w:val="000000"/>
          <w:sz w:val="24"/>
        </w:rPr>
      </w:pPr>
    </w:p>
    <w:p w14:paraId="2E6757FF">
      <w:pPr>
        <w:framePr w:w="8987" w:wrap="around" w:vAnchor="page" w:hAnchor="page" w:x="1594" w:y="1488"/>
        <w:widowControl w:val="0"/>
        <w:autoSpaceDE w:val="0"/>
        <w:autoSpaceDN w:val="0"/>
        <w:snapToGrid w:val="0"/>
        <w:spacing w:before="0" w:after="0" w:line="300" w:lineRule="auto"/>
        <w:rPr>
          <w:rFonts w:ascii="Arial" w:hAnsi="Arial" w:cs="Arial"/>
          <w:color w:val="000000"/>
          <w:sz w:val="24"/>
          <w:lang w:val="en-US"/>
        </w:rPr>
      </w:pPr>
      <w:r>
        <w:rPr>
          <w:rFonts w:ascii="Arial" w:hAnsi="Arial" w:cs="Arial"/>
          <w:color w:val="000000"/>
          <w:sz w:val="24"/>
          <w:lang w:val="en-US"/>
        </w:rPr>
        <w:t>1.ACOG Practice Bulletin No. 83:Management of Adnexal Masses.Obstetrics &amp; Gynecology.110(1):201-214, July 2007.</w:t>
      </w:r>
    </w:p>
    <w:p w14:paraId="358E8CC2">
      <w:pPr>
        <w:framePr w:w="8987" w:wrap="around" w:vAnchor="page" w:hAnchor="page" w:x="1594" w:y="1488"/>
        <w:widowControl w:val="0"/>
        <w:autoSpaceDE w:val="0"/>
        <w:autoSpaceDN w:val="0"/>
        <w:snapToGrid w:val="0"/>
        <w:spacing w:before="0" w:after="0" w:line="300" w:lineRule="auto"/>
        <w:rPr>
          <w:rFonts w:ascii="Arial" w:hAnsi="Arial" w:cs="Arial"/>
          <w:color w:val="000000"/>
          <w:sz w:val="24"/>
          <w:lang w:val="en-US"/>
        </w:rPr>
      </w:pPr>
      <w:r>
        <w:rPr>
          <w:rFonts w:ascii="Arial" w:hAnsi="Arial" w:cs="Arial"/>
          <w:color w:val="000000"/>
          <w:sz w:val="24"/>
          <w:lang w:val="en-US"/>
        </w:rPr>
        <w:t>2.Kondratovich M., Yousef WA.Evaluation of accuracy and optimal cutoff of diagnostic devices in the same study.Joint Statistical Meeting.2005.ASA Section on Statistics in Epidemiology; p.2547-2551.</w:t>
      </w:r>
    </w:p>
    <w:p w14:paraId="4B85C90B">
      <w:pPr>
        <w:framePr w:w="8987" w:wrap="around" w:vAnchor="page" w:hAnchor="page" w:x="1594" w:y="1488"/>
        <w:widowControl w:val="0"/>
        <w:autoSpaceDE w:val="0"/>
        <w:autoSpaceDN w:val="0"/>
        <w:snapToGrid w:val="0"/>
        <w:spacing w:before="0" w:after="0" w:line="300" w:lineRule="auto"/>
        <w:rPr>
          <w:rFonts w:ascii="Arial" w:hAnsi="Arial" w:cs="Arial"/>
          <w:color w:val="000000"/>
          <w:sz w:val="24"/>
          <w:lang w:val="en-US"/>
        </w:rPr>
      </w:pPr>
    </w:p>
    <w:p w14:paraId="22CD355D">
      <w:pPr>
        <w:snapToGrid w:val="0"/>
        <w:spacing w:before="0" w:after="0" w:line="300" w:lineRule="auto"/>
        <w:rPr>
          <w:rFonts w:ascii="Arial" w:hAnsi="Arial" w:cs="Arial"/>
          <w:color w:val="FF0000"/>
          <w:sz w:val="2"/>
          <w:lang w:val="en-US"/>
        </w:rPr>
      </w:pPr>
      <w:r>
        <w:rPr>
          <w:rFonts w:ascii="Arial" w:hAnsi="Arial" w:cs="Arial"/>
          <w:lang w:val="en-US"/>
        </w:rPr>
        <w:br w:type="page"/>
      </w:r>
      <w:r>
        <w:rPr>
          <w:rFonts w:ascii="Arial" w:hAnsi="Arial" w:cs="Arial"/>
          <w:color w:val="FF0000"/>
          <w:sz w:val="14"/>
          <w:lang w:val="en-US"/>
        </w:rPr>
        <w:cr/>
      </w:r>
      <w:r>
        <w:rPr>
          <w:rFonts w:ascii="Arial" w:hAnsi="Arial" w:cs="Arial"/>
          <w:color w:val="FF0000"/>
          <w:sz w:val="2"/>
          <w:lang w:val="en-US"/>
        </w:rPr>
        <w:cr/>
      </w:r>
    </w:p>
    <w:p w14:paraId="2E9CB6E7">
      <w:pPr>
        <w:snapToGrid w:val="0"/>
        <w:spacing w:before="0" w:after="0" w:line="300" w:lineRule="auto"/>
        <w:rPr>
          <w:rFonts w:ascii="Arial" w:hAnsi="Arial" w:cs="Arial"/>
          <w:color w:val="FF0000"/>
          <w:sz w:val="14"/>
          <w:lang w:val="en-US"/>
        </w:rPr>
      </w:pPr>
    </w:p>
    <w:p w14:paraId="57EF81C7">
      <w:pPr>
        <w:snapToGrid w:val="0"/>
        <w:spacing w:before="0" w:after="0" w:line="300" w:lineRule="auto"/>
        <w:rPr>
          <w:rFonts w:ascii="Arial" w:hAnsi="Arial" w:cs="Arial"/>
          <w:color w:val="FF0000"/>
          <w:sz w:val="14"/>
          <w:lang w:val="en-US"/>
        </w:rPr>
      </w:pPr>
    </w:p>
    <w:p w14:paraId="25300072">
      <w:pPr>
        <w:widowControl w:val="0"/>
        <w:autoSpaceDE w:val="0"/>
        <w:autoSpaceDN w:val="0"/>
        <w:snapToGrid w:val="0"/>
        <w:spacing w:before="0" w:after="0" w:line="300" w:lineRule="auto"/>
        <w:rPr>
          <w:rFonts w:ascii="Arial" w:hAnsi="Arial" w:cs="Arial"/>
          <w:color w:val="000000"/>
          <w:sz w:val="24"/>
          <w:lang w:val="en-US"/>
        </w:rPr>
      </w:pPr>
      <w:r>
        <w:rPr>
          <w:rFonts w:ascii="Arial" w:hAnsi="Arial" w:cs="Arial"/>
          <w:color w:val="000000"/>
          <w:sz w:val="24"/>
          <w:lang w:val="en-US"/>
        </w:rPr>
        <w:t>3.Gostout BS, Brewer MA.Guidelines for Referral of the Patient with an Adnexal Mass. 2006.Clinical Obstetrics and Gynecology 49(3):448-459.</w:t>
      </w:r>
    </w:p>
    <w:p w14:paraId="38039C10">
      <w:pPr>
        <w:rPr>
          <w:rFonts w:ascii="Arial" w:hAnsi="Arial" w:cs="Arial"/>
          <w:vertAlign w:val="superscript"/>
          <w:lang w:val="en-US"/>
        </w:rPr>
      </w:pPr>
    </w:p>
    <w:p w14:paraId="3C66C3DC">
      <w:pPr>
        <w:widowControl w:val="0"/>
        <w:autoSpaceDE w:val="0"/>
        <w:autoSpaceDN w:val="0"/>
        <w:snapToGrid w:val="0"/>
        <w:spacing w:before="0" w:after="0" w:line="300" w:lineRule="auto"/>
        <w:jc w:val="center"/>
        <w:rPr>
          <w:rFonts w:hint="eastAsia" w:eastAsia="宋体"/>
          <w:lang w:eastAsia="zh-CN"/>
        </w:rPr>
      </w:pPr>
    </w:p>
    <w:p w14:paraId="392EC3F1">
      <w:pPr>
        <w:widowControl w:val="0"/>
        <w:autoSpaceDE w:val="0"/>
        <w:autoSpaceDN w:val="0"/>
        <w:snapToGrid w:val="0"/>
        <w:spacing w:before="0" w:after="0" w:line="300" w:lineRule="auto"/>
        <w:jc w:val="center"/>
        <w:rPr>
          <w:rFonts w:hint="eastAsia" w:eastAsia="宋体"/>
          <w:lang w:eastAsia="zh-CN"/>
        </w:rPr>
      </w:pPr>
    </w:p>
    <w:p w14:paraId="6B810501">
      <w:pPr>
        <w:widowControl w:val="0"/>
        <w:autoSpaceDE w:val="0"/>
        <w:autoSpaceDN w:val="0"/>
        <w:snapToGrid w:val="0"/>
        <w:spacing w:before="0" w:after="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5" w:type="first"/>
      <w:headerReference r:id="rId4" w:type="default"/>
      <w:footerReference r:id="rId6"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601825627"/>
      <w:docPartObj>
        <w:docPartGallery w:val="AutoText"/>
      </w:docPartObj>
    </w:sdtPr>
    <w:sdtEndPr>
      <w:rPr>
        <w:rFonts w:ascii="Arial" w:hAnsi="Arial" w:cs="Arial"/>
        <w:sz w:val="21"/>
        <w:szCs w:val="21"/>
      </w:rPr>
    </w:sdtEndPr>
    <w:sdtContent>
      <w:p w14:paraId="2101564C">
        <w:pPr>
          <w:pStyle w:val="4"/>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rPr>
          <w:t>28</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8E7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EFDE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F1D7A"/>
    <w:multiLevelType w:val="multilevel"/>
    <w:tmpl w:val="141F1D7A"/>
    <w:lvl w:ilvl="0" w:tentative="0">
      <w:start w:val="1"/>
      <w:numFmt w:val="upperRoman"/>
      <w:lvlText w:val="%1."/>
      <w:lvlJc w:val="left"/>
      <w:pPr>
        <w:ind w:left="465" w:hanging="465"/>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101B45"/>
    <w:multiLevelType w:val="multilevel"/>
    <w:tmpl w:val="16101B45"/>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A17189"/>
    <w:multiLevelType w:val="multilevel"/>
    <w:tmpl w:val="2BA1718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AF235C9"/>
    <w:multiLevelType w:val="multilevel"/>
    <w:tmpl w:val="5AF235C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226292B"/>
    <w:multiLevelType w:val="multilevel"/>
    <w:tmpl w:val="6226292B"/>
    <w:lvl w:ilvl="0" w:tentative="0">
      <w:start w:val="0"/>
      <w:numFmt w:val="bullet"/>
      <w:lvlText w:val="•"/>
      <w:lvlJc w:val="left"/>
      <w:pPr>
        <w:ind w:left="360" w:hanging="360"/>
      </w:pPr>
      <w:rPr>
        <w:rFonts w:hint="default" w:ascii="Arial" w:hAnsi="Arial" w:eastAsia="宋体" w:cs="Arial"/>
        <w:sz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25824C1"/>
    <w:multiLevelType w:val="multilevel"/>
    <w:tmpl w:val="625824C1"/>
    <w:lvl w:ilvl="0" w:tentative="0">
      <w:start w:val="1"/>
      <w:numFmt w:val="upperLetter"/>
      <w:lvlText w:val="%1."/>
      <w:lvlJc w:val="left"/>
      <w:pPr>
        <w:ind w:left="465" w:hanging="465"/>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66"/>
    <w:rsid w:val="0000246A"/>
    <w:rsid w:val="000112CF"/>
    <w:rsid w:val="000241D9"/>
    <w:rsid w:val="00056466"/>
    <w:rsid w:val="00072564"/>
    <w:rsid w:val="000873E3"/>
    <w:rsid w:val="000B5603"/>
    <w:rsid w:val="001076F6"/>
    <w:rsid w:val="00113E7D"/>
    <w:rsid w:val="00114DC1"/>
    <w:rsid w:val="0012649F"/>
    <w:rsid w:val="00130962"/>
    <w:rsid w:val="0016441B"/>
    <w:rsid w:val="00173BB6"/>
    <w:rsid w:val="001D7FCD"/>
    <w:rsid w:val="00201981"/>
    <w:rsid w:val="00263A57"/>
    <w:rsid w:val="002D05D7"/>
    <w:rsid w:val="00330E8C"/>
    <w:rsid w:val="00362700"/>
    <w:rsid w:val="00367C3E"/>
    <w:rsid w:val="00380C4D"/>
    <w:rsid w:val="004063C0"/>
    <w:rsid w:val="00444D54"/>
    <w:rsid w:val="00490784"/>
    <w:rsid w:val="004D1DB9"/>
    <w:rsid w:val="004D6912"/>
    <w:rsid w:val="004E6DB1"/>
    <w:rsid w:val="00611B07"/>
    <w:rsid w:val="00622231"/>
    <w:rsid w:val="006451C7"/>
    <w:rsid w:val="00656678"/>
    <w:rsid w:val="00662AB1"/>
    <w:rsid w:val="006B22CA"/>
    <w:rsid w:val="006C58F5"/>
    <w:rsid w:val="00721E29"/>
    <w:rsid w:val="007F02BA"/>
    <w:rsid w:val="008C2223"/>
    <w:rsid w:val="008C6F3C"/>
    <w:rsid w:val="00950D97"/>
    <w:rsid w:val="009F1F20"/>
    <w:rsid w:val="009F36E8"/>
    <w:rsid w:val="00A52C38"/>
    <w:rsid w:val="00A65A3A"/>
    <w:rsid w:val="00A77F33"/>
    <w:rsid w:val="00AC1095"/>
    <w:rsid w:val="00AF6BAB"/>
    <w:rsid w:val="00B33729"/>
    <w:rsid w:val="00B43111"/>
    <w:rsid w:val="00BE33F4"/>
    <w:rsid w:val="00C35741"/>
    <w:rsid w:val="00C81117"/>
    <w:rsid w:val="00C913AE"/>
    <w:rsid w:val="00D73D26"/>
    <w:rsid w:val="00D836D6"/>
    <w:rsid w:val="00DC4BB1"/>
    <w:rsid w:val="00E47DC4"/>
    <w:rsid w:val="00E50687"/>
    <w:rsid w:val="00ED1D20"/>
    <w:rsid w:val="00F7306F"/>
    <w:rsid w:val="5CC6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Times New Roman"/>
      <w:kern w:val="0"/>
      <w:sz w:val="22"/>
      <w:szCs w:val="22"/>
      <w:lang w:val="zh-CN"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pPr>
      <w:spacing w:before="0" w:after="0"/>
    </w:pPr>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style>
  <w:style w:type="paragraph" w:styleId="7">
    <w:name w:val="toc 2"/>
    <w:basedOn w:val="1"/>
    <w:next w:val="1"/>
    <w:autoRedefine/>
    <w:unhideWhenUsed/>
    <w:uiPriority w:val="39"/>
    <w:pPr>
      <w:ind w:left="420" w:leftChars="200"/>
    </w:p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批注框文本 Char"/>
    <w:basedOn w:val="10"/>
    <w:link w:val="3"/>
    <w:semiHidden/>
    <w:uiPriority w:val="99"/>
    <w:rPr>
      <w:rFonts w:ascii="Calibri" w:hAnsi="Calibri" w:eastAsia="宋体" w:cs="Times New Roman"/>
      <w:kern w:val="0"/>
      <w:sz w:val="18"/>
      <w:szCs w:val="18"/>
      <w:lang w:val="zh-CN"/>
    </w:rPr>
  </w:style>
  <w:style w:type="character" w:customStyle="1" w:styleId="14">
    <w:name w:val="页眉 Char"/>
    <w:basedOn w:val="10"/>
    <w:link w:val="5"/>
    <w:uiPriority w:val="99"/>
    <w:rPr>
      <w:rFonts w:ascii="Calibri" w:hAnsi="Calibri" w:eastAsia="宋体" w:cs="Times New Roman"/>
      <w:kern w:val="0"/>
      <w:sz w:val="18"/>
      <w:szCs w:val="18"/>
      <w:lang w:val="zh-CN"/>
    </w:rPr>
  </w:style>
  <w:style w:type="character" w:customStyle="1" w:styleId="15">
    <w:name w:val="页脚 Char"/>
    <w:basedOn w:val="10"/>
    <w:link w:val="4"/>
    <w:qFormat/>
    <w:uiPriority w:val="99"/>
    <w:rPr>
      <w:rFonts w:ascii="Calibri" w:hAnsi="Calibri" w:eastAsia="宋体" w:cs="Times New Roman"/>
      <w:kern w:val="0"/>
      <w:sz w:val="18"/>
      <w:szCs w:val="18"/>
      <w:lang w:val="zh-CN"/>
    </w:rPr>
  </w:style>
  <w:style w:type="character" w:customStyle="1" w:styleId="16">
    <w:name w:val="标题 1 Char"/>
    <w:basedOn w:val="10"/>
    <w:link w:val="2"/>
    <w:uiPriority w:val="9"/>
    <w:rPr>
      <w:rFonts w:ascii="Calibri" w:hAnsi="Calibri" w:eastAsia="宋体" w:cs="Times New Roman"/>
      <w:b/>
      <w:bCs/>
      <w:kern w:val="44"/>
      <w:sz w:val="44"/>
      <w:szCs w:val="44"/>
      <w:lang w:val="zh-CN"/>
    </w:rPr>
  </w:style>
  <w:style w:type="paragraph" w:customStyle="1" w:styleId="17">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FEDB5-8704-4699-94D9-445EE8E517CE}">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28</Pages>
  <Words>14928</Words>
  <Characters>16363</Characters>
  <Lines>153</Lines>
  <Paragraphs>43</Paragraphs>
  <TotalTime>0</TotalTime>
  <ScaleCrop>false</ScaleCrop>
  <LinksUpToDate>false</LinksUpToDate>
  <CharactersWithSpaces>16698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2017-04-10T11:23:00Z</dcterms:created>
  <dc:creator>shundajiayi</dc:creator>
  <cp:lastModifiedBy>太极箫客</cp:lastModifiedBy>
  <dcterms:modified xsi:type="dcterms:W3CDTF">2025-08-14T06:17:53Z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6CAC3FA54A8F4C908144655551FB604E_12</vt:lpwstr>
  </property>
</Properties>
</file>