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6055E">
      <w:pPr>
        <w:widowControl/>
        <w:snapToGrid w:val="0"/>
        <w:spacing w:line="300" w:lineRule="auto"/>
        <w:outlineLvl w:val="0"/>
        <w:rPr>
          <w:rFonts w:ascii="Arial" w:hAnsi="Arial" w:eastAsia="宋体" w:cs="Arial"/>
          <w:b/>
          <w:color w:val="484138"/>
          <w:kern w:val="36"/>
          <w:sz w:val="36"/>
          <w:szCs w:val="36"/>
        </w:rPr>
      </w:pPr>
      <w:bookmarkStart w:id="9" w:name="_GoBack"/>
      <w:bookmarkEnd w:id="9"/>
      <w:r>
        <w:rPr>
          <w:rFonts w:ascii="Arial" w:hAnsi="Arial" w:eastAsia="宋体" w:cs="Arial"/>
          <w:b/>
          <w:bCs/>
          <w:color w:val="484138"/>
          <w:kern w:val="36"/>
          <w:sz w:val="36"/>
          <w:szCs w:val="36"/>
        </w:rPr>
        <w:t xml:space="preserve">行业和食品药品监督管理局工作人员指南- </w:t>
      </w:r>
      <w:r>
        <w:rPr>
          <w:rFonts w:ascii="Arial" w:hAnsi="Arial" w:eastAsia="宋体" w:cs="Arial"/>
          <w:b/>
          <w:color w:val="484138"/>
          <w:kern w:val="36"/>
          <w:sz w:val="36"/>
          <w:szCs w:val="36"/>
        </w:rPr>
        <w:t>II类特殊控制指导性文件：</w:t>
      </w:r>
    </w:p>
    <w:p w14:paraId="28505597">
      <w:pPr>
        <w:widowControl/>
        <w:snapToGrid w:val="0"/>
        <w:spacing w:line="300" w:lineRule="auto"/>
        <w:outlineLvl w:val="0"/>
        <w:rPr>
          <w:rFonts w:ascii="Arial" w:hAnsi="Arial" w:eastAsia="宋体" w:cs="Arial"/>
          <w:b/>
          <w:bCs/>
          <w:color w:val="484138"/>
          <w:kern w:val="36"/>
          <w:sz w:val="36"/>
          <w:szCs w:val="36"/>
        </w:rPr>
      </w:pPr>
      <w:r>
        <w:rPr>
          <w:rFonts w:ascii="Arial" w:hAnsi="Arial" w:eastAsia="宋体" w:cs="Arial"/>
          <w:b/>
          <w:bCs/>
          <w:color w:val="484138"/>
          <w:kern w:val="36"/>
          <w:sz w:val="36"/>
          <w:szCs w:val="36"/>
        </w:rPr>
        <w:t>使用核酸检测进行人类偏肺病毒(hMPV)的测定</w:t>
      </w:r>
    </w:p>
    <w:p w14:paraId="00093416">
      <w:pPr>
        <w:widowControl/>
        <w:snapToGrid w:val="0"/>
        <w:spacing w:before="90" w:after="90" w:line="300" w:lineRule="auto"/>
        <w:rPr>
          <w:rFonts w:ascii="Arial" w:hAnsi="Arial" w:eastAsia="宋体" w:cs="Arial"/>
          <w:b/>
          <w:color w:val="000000"/>
          <w:kern w:val="0"/>
          <w:sz w:val="18"/>
          <w:szCs w:val="18"/>
        </w:rPr>
      </w:pPr>
      <w:r>
        <w:rPr>
          <w:rFonts w:ascii="Arial" w:hAnsi="Arial" w:eastAsia="宋体" w:cs="Arial"/>
          <w:b/>
          <w:color w:val="000000"/>
          <w:kern w:val="0"/>
          <w:sz w:val="18"/>
          <w:szCs w:val="18"/>
        </w:rPr>
        <w:t>发布日期：2009年10月9日</w:t>
      </w:r>
    </w:p>
    <w:p w14:paraId="6E9B42DB">
      <w:pPr>
        <w:widowControl/>
        <w:snapToGrid w:val="0"/>
        <w:spacing w:before="90" w:after="90" w:line="300" w:lineRule="auto"/>
        <w:rPr>
          <w:rFonts w:ascii="Arial" w:hAnsi="Arial" w:eastAsia="宋体" w:cs="Arial"/>
          <w:color w:val="000000"/>
          <w:kern w:val="0"/>
          <w:sz w:val="18"/>
          <w:szCs w:val="18"/>
        </w:rPr>
      </w:pPr>
    </w:p>
    <w:p w14:paraId="74764965">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有关本文件的任何疑问，请联系Li Li，电话：301-796-6200 或电子邮件： </w:t>
      </w:r>
      <w:r>
        <w:fldChar w:fldCharType="begin"/>
      </w:r>
      <w:r>
        <w:instrText xml:space="preserve"> HYPERLINK "mailto:li.li2@fda.hhs.gov." </w:instrText>
      </w:r>
      <w:r>
        <w:fldChar w:fldCharType="separate"/>
      </w:r>
      <w:r>
        <w:rPr>
          <w:rStyle w:val="15"/>
          <w:rFonts w:ascii="Arial" w:hAnsi="Arial" w:eastAsia="宋体" w:cs="Arial"/>
          <w:color w:val="800080"/>
          <w:kern w:val="0"/>
          <w:sz w:val="18"/>
        </w:rPr>
        <w:t>li.li2@fda.hhs.gov.</w:t>
      </w:r>
      <w:r>
        <w:rPr>
          <w:rStyle w:val="15"/>
          <w:rFonts w:ascii="Arial" w:hAnsi="Arial" w:eastAsia="宋体" w:cs="Arial"/>
          <w:color w:val="800080"/>
          <w:kern w:val="0"/>
          <w:sz w:val="18"/>
        </w:rPr>
        <w:fldChar w:fldCharType="end"/>
      </w:r>
    </w:p>
    <w:tbl>
      <w:tblPr>
        <w:tblStyle w:val="11"/>
        <w:tblW w:w="5000" w:type="pct"/>
        <w:tblCellSpacing w:w="0" w:type="dxa"/>
        <w:tblInd w:w="0" w:type="dxa"/>
        <w:tblLayout w:type="autofit"/>
        <w:tblCellMar>
          <w:top w:w="75" w:type="dxa"/>
          <w:left w:w="75" w:type="dxa"/>
          <w:bottom w:w="75" w:type="dxa"/>
          <w:right w:w="75" w:type="dxa"/>
        </w:tblCellMar>
      </w:tblPr>
      <w:tblGrid>
        <w:gridCol w:w="3377"/>
        <w:gridCol w:w="5321"/>
      </w:tblGrid>
      <w:tr w14:paraId="5FE86BC0">
        <w:tblPrEx>
          <w:tblCellMar>
            <w:top w:w="75" w:type="dxa"/>
            <w:left w:w="75" w:type="dxa"/>
            <w:bottom w:w="75" w:type="dxa"/>
            <w:right w:w="75" w:type="dxa"/>
          </w:tblCellMar>
        </w:tblPrEx>
        <w:trPr>
          <w:tblCellSpacing w:w="0" w:type="dxa"/>
        </w:trPr>
        <w:tc>
          <w:tcPr>
            <w:tcW w:w="0" w:type="auto"/>
            <w:shd w:val="clear" w:color="auto" w:fill="auto"/>
          </w:tcPr>
          <w:p w14:paraId="08E49202">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cstate="print"/>
                          <a:srcRect/>
                          <a:stretch>
                            <a:fillRect/>
                          </a:stretch>
                        </pic:blipFill>
                        <pic:spPr>
                          <a:xfrm>
                            <a:off x="0" y="0"/>
                            <a:ext cx="923925" cy="952500"/>
                          </a:xfrm>
                          <a:prstGeom prst="rect">
                            <a:avLst/>
                          </a:prstGeom>
                          <a:noFill/>
                          <a:ln w="9525">
                            <a:noFill/>
                            <a:miter lim="800000"/>
                            <a:headEnd/>
                            <a:tailEnd/>
                          </a:ln>
                        </pic:spPr>
                      </pic:pic>
                    </a:graphicData>
                  </a:graphic>
                </wp:inline>
              </w:drawing>
            </w:r>
            <w:r>
              <w:rPr>
                <w:rFonts w:ascii="Arial" w:hAnsi="Arial" w:eastAsia="宋体" w:cs="Arial"/>
                <w:color w:val="000000"/>
                <w:kern w:val="0"/>
                <w:sz w:val="18"/>
                <w:szCs w:val="18"/>
              </w:rPr>
              <w:t> </w:t>
            </w:r>
          </w:p>
        </w:tc>
        <w:tc>
          <w:tcPr>
            <w:tcW w:w="0" w:type="auto"/>
            <w:shd w:val="clear" w:color="auto" w:fill="auto"/>
          </w:tcPr>
          <w:p w14:paraId="3A68A501">
            <w:pPr>
              <w:widowControl/>
              <w:snapToGrid w:val="0"/>
              <w:spacing w:before="66" w:after="66" w:line="300" w:lineRule="auto"/>
              <w:rPr>
                <w:rFonts w:ascii="Arial" w:hAnsi="Arial" w:eastAsia="宋体" w:cs="Arial"/>
                <w:b/>
                <w:bCs/>
                <w:color w:val="000000"/>
                <w:kern w:val="0"/>
                <w:sz w:val="18"/>
              </w:rPr>
            </w:pPr>
            <w:r>
              <w:rPr>
                <w:rFonts w:ascii="Arial" w:hAnsi="Arial" w:eastAsia="宋体" w:cs="Arial"/>
                <w:b/>
                <w:bCs/>
                <w:color w:val="000000"/>
                <w:kern w:val="0"/>
                <w:sz w:val="18"/>
              </w:rPr>
              <w:t>美国卫生与公众服务部</w:t>
            </w:r>
            <w:r>
              <w:rPr>
                <w:rFonts w:ascii="Arial" w:hAnsi="Arial" w:eastAsia="宋体" w:cs="Arial"/>
                <w:b/>
                <w:bCs/>
                <w:color w:val="000000"/>
                <w:kern w:val="0"/>
                <w:sz w:val="18"/>
                <w:szCs w:val="18"/>
              </w:rPr>
              <w:br w:type="textWrapping"/>
            </w:r>
            <w:r>
              <w:rPr>
                <w:rFonts w:ascii="Arial" w:hAnsi="Arial" w:eastAsia="宋体" w:cs="Arial"/>
                <w:b/>
                <w:bCs/>
                <w:color w:val="000000"/>
                <w:kern w:val="0"/>
                <w:sz w:val="18"/>
              </w:rPr>
              <w:t>食品药品监督管理局</w:t>
            </w:r>
            <w:r>
              <w:rPr>
                <w:rFonts w:ascii="Arial" w:hAnsi="Arial" w:eastAsia="宋体" w:cs="Arial"/>
                <w:b/>
                <w:bCs/>
                <w:color w:val="000000"/>
                <w:kern w:val="0"/>
                <w:sz w:val="18"/>
                <w:szCs w:val="18"/>
              </w:rPr>
              <w:br w:type="textWrapping"/>
            </w:r>
            <w:r>
              <w:rPr>
                <w:rFonts w:ascii="Arial" w:hAnsi="Arial" w:eastAsia="宋体" w:cs="Arial"/>
                <w:b/>
                <w:bCs/>
                <w:color w:val="000000"/>
                <w:kern w:val="0"/>
                <w:sz w:val="18"/>
              </w:rPr>
              <w:t>器械与放射健康中心</w:t>
            </w:r>
            <w:r>
              <w:rPr>
                <w:rFonts w:ascii="Arial" w:hAnsi="Arial" w:eastAsia="宋体" w:cs="Arial"/>
                <w:b/>
                <w:bCs/>
                <w:color w:val="000000"/>
                <w:kern w:val="0"/>
                <w:sz w:val="18"/>
                <w:szCs w:val="18"/>
              </w:rPr>
              <w:br w:type="textWrapping"/>
            </w:r>
            <w:r>
              <w:rPr>
                <w:rFonts w:ascii="Arial" w:hAnsi="Arial" w:eastAsia="宋体" w:cs="Arial"/>
                <w:b/>
                <w:bCs/>
                <w:color w:val="000000"/>
                <w:kern w:val="0"/>
                <w:sz w:val="18"/>
              </w:rPr>
              <w:t>体外诊断器械评估和安全办公室</w:t>
            </w:r>
            <w:r>
              <w:rPr>
                <w:rFonts w:ascii="Arial" w:hAnsi="Arial" w:eastAsia="宋体" w:cs="Arial"/>
                <w:b/>
                <w:bCs/>
                <w:color w:val="000000"/>
                <w:kern w:val="0"/>
                <w:sz w:val="18"/>
                <w:szCs w:val="18"/>
              </w:rPr>
              <w:br w:type="textWrapping"/>
            </w:r>
            <w:r>
              <w:rPr>
                <w:rFonts w:ascii="Arial" w:hAnsi="Arial" w:eastAsia="宋体" w:cs="Arial"/>
                <w:b/>
                <w:bCs/>
                <w:color w:val="000000"/>
                <w:kern w:val="0"/>
                <w:sz w:val="18"/>
              </w:rPr>
              <w:t>微生物检测器械部</w:t>
            </w:r>
          </w:p>
          <w:p w14:paraId="492A88D9">
            <w:pPr>
              <w:widowControl/>
              <w:snapToGrid w:val="0"/>
              <w:spacing w:before="66" w:after="66" w:line="300" w:lineRule="auto"/>
              <w:rPr>
                <w:rFonts w:ascii="Arial" w:hAnsi="Arial" w:eastAsia="宋体" w:cs="Arial"/>
                <w:color w:val="000000"/>
                <w:kern w:val="0"/>
                <w:sz w:val="18"/>
                <w:szCs w:val="18"/>
              </w:rPr>
            </w:pPr>
          </w:p>
        </w:tc>
      </w:tr>
    </w:tbl>
    <w:p w14:paraId="56939A79">
      <w:pPr>
        <w:widowControl/>
        <w:snapToGrid w:val="0"/>
        <w:spacing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前言</w:t>
      </w:r>
    </w:p>
    <w:p w14:paraId="517AAC73">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sz w:val="32"/>
          <w:szCs w:val="32"/>
        </w:rPr>
        <w:t>公众评论</w:t>
      </w:r>
    </w:p>
    <w:p w14:paraId="053D162C">
      <w:pPr>
        <w:widowControl/>
        <w:snapToGrid w:val="0"/>
        <w:spacing w:line="300" w:lineRule="auto"/>
        <w:outlineLvl w:val="3"/>
        <w:rPr>
          <w:rFonts w:ascii="Arial" w:hAnsi="Arial" w:eastAsia="宋体" w:cs="Arial"/>
          <w:sz w:val="24"/>
          <w:szCs w:val="24"/>
        </w:rPr>
      </w:pPr>
      <w:r>
        <w:rPr>
          <w:rFonts w:ascii="Arial" w:hAnsi="Arial" w:eastAsia="宋体" w:cs="Arial"/>
          <w:sz w:val="24"/>
          <w:szCs w:val="24"/>
        </w:rPr>
        <w:t>若有书面评论和建议可随时向文档管理部(HFA-305), FDA，</w:t>
      </w:r>
      <w:r>
        <w:rPr>
          <w:rFonts w:ascii="Arial" w:hAnsi="Arial" w:eastAsia="宋体" w:cs="Arial"/>
          <w:color w:val="000000"/>
          <w:kern w:val="0"/>
          <w:sz w:val="24"/>
          <w:szCs w:val="24"/>
        </w:rPr>
        <w:t>5630 Fishers Lane, rm. 1061, Rockville, MD 20852</w:t>
      </w:r>
      <w:r>
        <w:rPr>
          <w:rFonts w:ascii="Arial" w:hAnsi="Arial" w:eastAsia="宋体" w:cs="Arial"/>
          <w:sz w:val="24"/>
          <w:szCs w:val="24"/>
        </w:rPr>
        <w:t>提交，供部门审议；或者，电子版评论可提交至</w:t>
      </w:r>
      <w:r>
        <w:fldChar w:fldCharType="begin"/>
      </w:r>
      <w:r>
        <w:instrText xml:space="preserve"> HYPERLINK "http://www.regulations.gov/" </w:instrText>
      </w:r>
      <w:r>
        <w:fldChar w:fldCharType="separate"/>
      </w:r>
      <w:r>
        <w:rPr>
          <w:rFonts w:ascii="Arial" w:hAnsi="Arial" w:eastAsia="宋体" w:cs="Arial"/>
          <w:color w:val="800080"/>
          <w:kern w:val="0"/>
          <w:sz w:val="24"/>
          <w:szCs w:val="24"/>
          <w:u w:val="single"/>
        </w:rPr>
        <w:t>http://www.regulations.gov</w:t>
      </w:r>
      <w:r>
        <w:rPr>
          <w:rFonts w:ascii="Arial" w:hAnsi="Arial" w:eastAsia="宋体" w:cs="Arial"/>
          <w:color w:val="800080"/>
          <w:kern w:val="0"/>
          <w:sz w:val="24"/>
          <w:szCs w:val="24"/>
          <w:u w:val="single"/>
        </w:rPr>
        <w:fldChar w:fldCharType="end"/>
      </w:r>
      <w:r>
        <w:rPr>
          <w:rFonts w:ascii="Arial" w:hAnsi="Arial" w:eastAsia="宋体" w:cs="Arial"/>
          <w:color w:val="000000"/>
          <w:kern w:val="0"/>
          <w:sz w:val="24"/>
          <w:szCs w:val="24"/>
        </w:rPr>
        <w:t>。所有评论都应该使用在联邦公报上公布的可用性通知的文档编号来标识。</w:t>
      </w:r>
      <w:r>
        <w:rPr>
          <w:rFonts w:ascii="Arial" w:hAnsi="Arial" w:eastAsia="宋体" w:cs="Arial"/>
          <w:sz w:val="24"/>
          <w:szCs w:val="24"/>
        </w:rPr>
        <w:t>可能直到文件下次修订或更新时，评论才会被机构受理。</w:t>
      </w:r>
    </w:p>
    <w:p w14:paraId="5087B8CF">
      <w:pPr>
        <w:widowControl/>
        <w:snapToGrid w:val="0"/>
        <w:spacing w:line="300" w:lineRule="auto"/>
        <w:ind w:firstLine="480" w:firstLineChars="200"/>
        <w:outlineLvl w:val="3"/>
        <w:rPr>
          <w:rFonts w:ascii="Arial" w:hAnsi="Arial" w:eastAsia="宋体" w:cs="Arial"/>
          <w:sz w:val="24"/>
          <w:szCs w:val="24"/>
        </w:rPr>
      </w:pPr>
    </w:p>
    <w:p w14:paraId="0309C7D1">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sz w:val="32"/>
          <w:szCs w:val="32"/>
        </w:rPr>
        <w:t>其他副本</w:t>
      </w:r>
    </w:p>
    <w:p w14:paraId="45C7763A">
      <w:pPr>
        <w:widowControl/>
        <w:snapToGrid w:val="0"/>
        <w:spacing w:before="90" w:after="90" w:line="300" w:lineRule="auto"/>
        <w:rPr>
          <w:rFonts w:ascii="Arial" w:hAnsi="Arial" w:eastAsia="宋体" w:cs="Arial"/>
          <w:kern w:val="0"/>
          <w:sz w:val="24"/>
          <w:szCs w:val="24"/>
        </w:rPr>
      </w:pPr>
      <w:r>
        <w:rPr>
          <w:rFonts w:ascii="Arial" w:hAnsi="Arial" w:eastAsia="宋体" w:cs="Arial"/>
          <w:sz w:val="24"/>
          <w:szCs w:val="24"/>
        </w:rPr>
        <w:t>其他副本可从互联网获得。贵公司还可以发送电子邮件请求本指南的电子副本：</w:t>
      </w:r>
      <w:r>
        <w:fldChar w:fldCharType="begin"/>
      </w:r>
      <w:r>
        <w:instrText xml:space="preserve"> HYPERLINK "mailto:dsmica@fda.hhs.gov" </w:instrText>
      </w:r>
      <w:r>
        <w:fldChar w:fldCharType="separate"/>
      </w:r>
      <w:r>
        <w:rPr>
          <w:rFonts w:ascii="Arial" w:hAnsi="Arial" w:eastAsia="宋体" w:cs="Arial"/>
          <w:color w:val="800080"/>
          <w:kern w:val="0"/>
          <w:sz w:val="24"/>
          <w:szCs w:val="24"/>
          <w:u w:val="single"/>
        </w:rPr>
        <w:t>dsmica@fda.hhs.gov</w:t>
      </w:r>
      <w:r>
        <w:rPr>
          <w:rFonts w:ascii="Arial" w:hAnsi="Arial" w:eastAsia="宋体" w:cs="Arial"/>
          <w:color w:val="800080"/>
          <w:kern w:val="0"/>
          <w:sz w:val="24"/>
          <w:szCs w:val="24"/>
          <w:u w:val="single"/>
        </w:rPr>
        <w:fldChar w:fldCharType="end"/>
      </w:r>
      <w:r>
        <w:rPr>
          <w:rFonts w:ascii="Arial" w:hAnsi="Arial" w:eastAsia="宋体" w:cs="Arial"/>
          <w:sz w:val="24"/>
          <w:szCs w:val="24"/>
        </w:rPr>
        <w:t>，或向301-847-8149发送传真请求以接收复印件。在贵公司提出请求时，请使用本指南的文档编号（1673）以供识别。</w:t>
      </w:r>
      <w:r>
        <w:rPr>
          <w:rFonts w:ascii="Arial" w:hAnsi="Arial" w:eastAsia="宋体" w:cs="Arial"/>
          <w:kern w:val="0"/>
          <w:sz w:val="24"/>
          <w:szCs w:val="24"/>
        </w:rPr>
        <w:pict>
          <v:rect id="_x0000_i1025" o:spt="1" style="height:0.75pt;width:0pt;" fillcolor="#000000" filled="t" stroked="f" coordsize="21600,21600" o:hr="t" o:hrstd="t" o:hrnoshade="t">
            <v:path/>
            <v:fill on="t" focussize="0,0"/>
            <v:stroke on="f"/>
            <v:imagedata o:title=""/>
            <o:lock v:ext="edit"/>
            <w10:wrap type="none"/>
            <w10:anchorlock/>
          </v:rect>
        </w:pict>
      </w:r>
    </w:p>
    <w:p w14:paraId="0E006F71">
      <w:pPr>
        <w:widowControl/>
        <w:snapToGrid w:val="0"/>
        <w:spacing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目录</w:t>
      </w:r>
    </w:p>
    <w:p w14:paraId="7338616B">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"1" </w:instrText>
      </w:r>
      <w:r>
        <w:fldChar w:fldCharType="separate"/>
      </w:r>
      <w:r>
        <w:rPr>
          <w:rFonts w:ascii="Arial" w:hAnsi="Arial" w:eastAsia="宋体" w:cs="Arial"/>
          <w:color w:val="800080"/>
          <w:kern w:val="0"/>
          <w:szCs w:val="21"/>
          <w:u w:val="single"/>
        </w:rPr>
        <w:t>简介</w:t>
      </w:r>
      <w:r>
        <w:rPr>
          <w:rFonts w:ascii="Arial" w:hAnsi="Arial" w:eastAsia="宋体" w:cs="Arial"/>
          <w:color w:val="800080"/>
          <w:kern w:val="0"/>
          <w:szCs w:val="21"/>
          <w:u w:val="single"/>
        </w:rPr>
        <w:fldChar w:fldCharType="end"/>
      </w:r>
    </w:p>
    <w:p w14:paraId="59D898E3">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"2" </w:instrText>
      </w:r>
      <w:r>
        <w:fldChar w:fldCharType="separate"/>
      </w:r>
      <w:r>
        <w:rPr>
          <w:rFonts w:ascii="Arial" w:hAnsi="Arial" w:eastAsia="宋体" w:cs="Arial"/>
          <w:color w:val="800080"/>
          <w:kern w:val="0"/>
          <w:szCs w:val="21"/>
          <w:u w:val="single"/>
        </w:rPr>
        <w:t>背景 – 上市前通告</w:t>
      </w:r>
      <w:r>
        <w:rPr>
          <w:rFonts w:ascii="Arial" w:hAnsi="Arial" w:eastAsia="宋体" w:cs="Arial"/>
          <w:color w:val="800080"/>
          <w:kern w:val="0"/>
          <w:szCs w:val="21"/>
          <w:u w:val="single"/>
        </w:rPr>
        <w:fldChar w:fldCharType="end"/>
      </w:r>
    </w:p>
    <w:p w14:paraId="5A316F72">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"http://www.fda.gov/MedicalDevices/DeviceRegulationandGuidance/GuidanceDocuments/ucm180306.htm" \l "3" </w:instrText>
      </w:r>
      <w:r>
        <w:fldChar w:fldCharType="separate"/>
      </w:r>
      <w:r>
        <w:rPr>
          <w:rFonts w:ascii="Arial" w:hAnsi="Arial" w:eastAsia="宋体" w:cs="Arial"/>
          <w:color w:val="800080"/>
          <w:kern w:val="0"/>
          <w:szCs w:val="21"/>
          <w:u w:val="single"/>
        </w:rPr>
        <w:t>本文件和相关文件的范围</w:t>
      </w:r>
      <w:r>
        <w:rPr>
          <w:rFonts w:ascii="Arial" w:hAnsi="Arial" w:eastAsia="宋体" w:cs="Arial"/>
          <w:color w:val="800080"/>
          <w:kern w:val="0"/>
          <w:szCs w:val="21"/>
          <w:u w:val="single"/>
        </w:rPr>
        <w:fldChar w:fldCharType="end"/>
      </w:r>
    </w:p>
    <w:p w14:paraId="5BCF318C">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"4" </w:instrText>
      </w:r>
      <w:r>
        <w:fldChar w:fldCharType="separate"/>
      </w:r>
      <w:r>
        <w:rPr>
          <w:rFonts w:ascii="Arial" w:hAnsi="Arial" w:eastAsia="宋体" w:cs="Arial"/>
          <w:color w:val="800080"/>
          <w:kern w:val="0"/>
          <w:szCs w:val="21"/>
          <w:u w:val="single"/>
        </w:rPr>
        <w:t>健康风险</w:t>
      </w:r>
      <w:r>
        <w:rPr>
          <w:rFonts w:ascii="Arial" w:hAnsi="Arial" w:eastAsia="宋体" w:cs="Arial"/>
          <w:color w:val="800080"/>
          <w:kern w:val="0"/>
          <w:szCs w:val="21"/>
          <w:u w:val="single"/>
        </w:rPr>
        <w:fldChar w:fldCharType="end"/>
      </w:r>
    </w:p>
    <w:p w14:paraId="1734552D">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"5" </w:instrText>
      </w:r>
      <w:r>
        <w:fldChar w:fldCharType="separate"/>
      </w:r>
      <w:r>
        <w:rPr>
          <w:rFonts w:ascii="Arial" w:hAnsi="Arial" w:eastAsia="宋体" w:cs="Arial"/>
          <w:color w:val="800080"/>
          <w:kern w:val="0"/>
          <w:szCs w:val="21"/>
          <w:u w:val="single"/>
        </w:rPr>
        <w:t>器械描述</w:t>
      </w:r>
      <w:r>
        <w:rPr>
          <w:rFonts w:ascii="Arial" w:hAnsi="Arial" w:eastAsia="宋体" w:cs="Arial"/>
          <w:color w:val="800080"/>
          <w:kern w:val="0"/>
          <w:szCs w:val="21"/>
          <w:u w:val="single"/>
        </w:rPr>
        <w:fldChar w:fldCharType="end"/>
      </w:r>
    </w:p>
    <w:p w14:paraId="63A51A06">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预期用途</w:t>
      </w:r>
    </w:p>
    <w:p w14:paraId="0E5643ED">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检测方法学</w:t>
      </w:r>
    </w:p>
    <w:p w14:paraId="5D7D9945">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辅助试剂</w:t>
      </w:r>
    </w:p>
    <w:p w14:paraId="38740E57">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使用该器械的检测过程</w:t>
      </w:r>
    </w:p>
    <w:p w14:paraId="5E006460">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检测结果的解释/报告</w:t>
      </w:r>
    </w:p>
    <w:p w14:paraId="6A9FCCEF">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"6" </w:instrText>
      </w:r>
      <w:r>
        <w:fldChar w:fldCharType="separate"/>
      </w:r>
      <w:r>
        <w:rPr>
          <w:rFonts w:ascii="Arial" w:hAnsi="Arial" w:eastAsia="宋体" w:cs="Arial"/>
          <w:color w:val="800080"/>
          <w:kern w:val="0"/>
          <w:szCs w:val="21"/>
          <w:u w:val="single"/>
        </w:rPr>
        <w:t>性能特征</w:t>
      </w:r>
      <w:r>
        <w:rPr>
          <w:rFonts w:ascii="Arial" w:hAnsi="Arial" w:eastAsia="宋体" w:cs="Arial"/>
          <w:color w:val="800080"/>
          <w:kern w:val="0"/>
          <w:szCs w:val="21"/>
          <w:u w:val="single"/>
        </w:rPr>
        <w:fldChar w:fldCharType="end"/>
      </w:r>
    </w:p>
    <w:p w14:paraId="7F0498B7">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总体研究建议</w:t>
      </w:r>
    </w:p>
    <w:p w14:paraId="0CF7AFD1">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对照</w:t>
      </w:r>
    </w:p>
    <w:p w14:paraId="7F4092AC">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样本的收集和处理</w:t>
      </w:r>
    </w:p>
    <w:p w14:paraId="55D38923">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核酸提取</w:t>
      </w:r>
    </w:p>
    <w:p w14:paraId="00D4ED5E">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检测临界值</w:t>
      </w:r>
    </w:p>
    <w:p w14:paraId="1BE8CB0C">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性能研究</w:t>
      </w:r>
    </w:p>
    <w:p w14:paraId="6F3F58D1">
      <w:pPr>
        <w:widowControl/>
        <w:numPr>
          <w:ilvl w:val="1"/>
          <w:numId w:val="1"/>
        </w:numPr>
        <w:tabs>
          <w:tab w:val="clear" w:pos="1440"/>
        </w:tabs>
        <w:snapToGrid w:val="0"/>
        <w:spacing w:line="300" w:lineRule="auto"/>
        <w:ind w:left="0" w:firstLine="0"/>
        <w:rPr>
          <w:rFonts w:ascii="Arial" w:hAnsi="Arial" w:eastAsia="宋体" w:cs="Arial"/>
          <w:color w:val="000000"/>
          <w:kern w:val="0"/>
          <w:szCs w:val="21"/>
        </w:rPr>
      </w:pPr>
      <w:r>
        <w:rPr>
          <w:rFonts w:ascii="Arial" w:hAnsi="Arial" w:eastAsia="宋体" w:cs="Arial"/>
          <w:color w:val="000000"/>
          <w:kern w:val="0"/>
          <w:szCs w:val="21"/>
        </w:rPr>
        <w:t>临床研究</w:t>
      </w:r>
    </w:p>
    <w:p w14:paraId="7D5777DB">
      <w:pPr>
        <w:widowControl/>
        <w:numPr>
          <w:ilvl w:val="0"/>
          <w:numId w:val="1"/>
        </w:numPr>
        <w:tabs>
          <w:tab w:val="clear" w:pos="720"/>
        </w:tabs>
        <w:snapToGrid w:val="0"/>
        <w:spacing w:line="300" w:lineRule="auto"/>
        <w:ind w:left="0" w:firstLine="0"/>
        <w:rPr>
          <w:rFonts w:ascii="Arial" w:hAnsi="Arial" w:eastAsia="宋体" w:cs="Arial"/>
          <w:color w:val="000000"/>
          <w:kern w:val="0"/>
          <w:szCs w:val="21"/>
        </w:rPr>
      </w:pPr>
      <w:r>
        <w:fldChar w:fldCharType="begin"/>
      </w:r>
      <w:r>
        <w:instrText xml:space="preserve"> HYPERLINK "http://www.fda.gov/MedicalDevices/DeviceRegulationandGuidance/GuidanceDocuments/ucm180308.htm" \l "7" </w:instrText>
      </w:r>
      <w:r>
        <w:fldChar w:fldCharType="separate"/>
      </w:r>
      <w:r>
        <w:rPr>
          <w:rFonts w:ascii="Arial" w:hAnsi="Arial" w:eastAsia="宋体" w:cs="Arial"/>
          <w:color w:val="800080"/>
          <w:kern w:val="0"/>
          <w:szCs w:val="21"/>
          <w:u w:val="single"/>
        </w:rPr>
        <w:t>标签</w:t>
      </w:r>
      <w:r>
        <w:rPr>
          <w:rFonts w:ascii="Arial" w:hAnsi="Arial" w:eastAsia="宋体" w:cs="Arial"/>
          <w:color w:val="800080"/>
          <w:kern w:val="0"/>
          <w:szCs w:val="21"/>
          <w:u w:val="single"/>
        </w:rPr>
        <w:fldChar w:fldCharType="end"/>
      </w:r>
    </w:p>
    <w:p w14:paraId="3E86F259">
      <w:pPr>
        <w:pStyle w:val="25"/>
        <w:widowControl/>
        <w:snapToGrid w:val="0"/>
        <w:spacing w:line="300" w:lineRule="auto"/>
        <w:ind w:firstLine="0" w:firstLineChars="0"/>
        <w:outlineLvl w:val="0"/>
        <w:rPr>
          <w:rFonts w:ascii="Arial" w:hAnsi="Arial" w:eastAsia="宋体" w:cs="Arial"/>
          <w:b/>
          <w:bCs/>
          <w:color w:val="484138"/>
          <w:kern w:val="36"/>
          <w:sz w:val="32"/>
          <w:szCs w:val="32"/>
        </w:rPr>
      </w:pPr>
    </w:p>
    <w:p w14:paraId="135488F1">
      <w:pPr>
        <w:pStyle w:val="25"/>
        <w:widowControl/>
        <w:snapToGrid w:val="0"/>
        <w:spacing w:line="300" w:lineRule="auto"/>
        <w:ind w:firstLine="0" w:firstLineChars="0"/>
        <w:outlineLvl w:val="0"/>
        <w:rPr>
          <w:rFonts w:ascii="Arial" w:hAnsi="Arial" w:eastAsia="宋体" w:cs="Arial"/>
          <w:b/>
          <w:bCs/>
          <w:kern w:val="36"/>
          <w:sz w:val="32"/>
          <w:szCs w:val="32"/>
        </w:rPr>
      </w:pPr>
      <w:r>
        <w:rPr>
          <w:rFonts w:ascii="Arial" w:hAnsi="Arial" w:eastAsia="宋体" w:cs="Arial"/>
          <w:b/>
          <w:bCs/>
          <w:kern w:val="36"/>
          <w:sz w:val="32"/>
          <w:szCs w:val="32"/>
        </w:rPr>
        <w:t xml:space="preserve">行业和食品药品监督管理局工作人员指南- </w:t>
      </w:r>
      <w:r>
        <w:rPr>
          <w:rFonts w:ascii="Arial" w:hAnsi="Arial" w:eastAsia="宋体" w:cs="Arial"/>
          <w:b/>
          <w:kern w:val="36"/>
          <w:sz w:val="32"/>
          <w:szCs w:val="32"/>
        </w:rPr>
        <w:t>II类特殊控制的指导性文件：</w:t>
      </w:r>
      <w:r>
        <w:rPr>
          <w:rFonts w:ascii="Arial" w:hAnsi="Arial" w:eastAsia="宋体" w:cs="Arial"/>
          <w:b/>
          <w:bCs/>
          <w:kern w:val="36"/>
          <w:sz w:val="32"/>
          <w:szCs w:val="32"/>
        </w:rPr>
        <w:t>使用核酸检测进行人类偏肺病毒(hMPV)的测定</w:t>
      </w:r>
    </w:p>
    <w:p w14:paraId="157E05AD">
      <w:pPr>
        <w:pStyle w:val="25"/>
        <w:widowControl/>
        <w:snapToGrid w:val="0"/>
        <w:spacing w:line="300" w:lineRule="auto"/>
        <w:ind w:firstLine="0" w:firstLineChars="0"/>
        <w:outlineLvl w:val="2"/>
        <w:rPr>
          <w:rFonts w:ascii="Arial" w:hAnsi="Arial" w:eastAsia="宋体" w:cs="Arial"/>
          <w:b/>
          <w:bCs/>
          <w:color w:val="000000"/>
          <w:kern w:val="0"/>
          <w:sz w:val="32"/>
          <w:szCs w:val="32"/>
        </w:rPr>
      </w:pPr>
    </w:p>
    <w:p w14:paraId="711E2CB8">
      <w:pPr>
        <w:widowControl/>
        <w:tabs>
          <w:tab w:val="left" w:pos="0"/>
        </w:tabs>
        <w:snapToGrid w:val="0"/>
        <w:spacing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 简介</w:t>
      </w:r>
    </w:p>
    <w:p w14:paraId="4EE84541">
      <w:pPr>
        <w:widowControl/>
        <w:snapToGrid w:val="0"/>
        <w:spacing w:line="300" w:lineRule="auto"/>
        <w:rPr>
          <w:rFonts w:ascii="Arial" w:hAnsi="Arial" w:eastAsia="宋体" w:cs="Arial"/>
          <w:kern w:val="0"/>
          <w:sz w:val="24"/>
          <w:szCs w:val="24"/>
        </w:rPr>
      </w:pPr>
      <w:r>
        <w:rPr>
          <w:rFonts w:ascii="Arial" w:hAnsi="Arial" w:eastAsia="宋体" w:cs="Arial"/>
          <w:color w:val="000000"/>
          <w:kern w:val="0"/>
          <w:sz w:val="24"/>
          <w:szCs w:val="24"/>
        </w:rPr>
        <w:t>该文件作为一种特殊控制指南而制定，以支持分类为II类(特殊控制)的呼吸道病毒板多重</w:t>
      </w: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核酸检测，包括对人类偏肺病毒(hMPV)的检测和鉴定。呼吸道病毒多重核酸检测产品是一种定性的体外诊断器械，旨在同时检测和鉴定从人体的呼吸道样本或病毒培养物中提取的多种病毒核酸。用于检测hMPV的核酸检测产品，旨在检测从人体的呼吸道样本或病毒培养物中提取的hMPV RNA。对表现出呼吸道感染体征和症状的个体的特定病毒核酸序列进行检测和鉴定，并与其他临床和实验室结果相结合，以助于对呼吸道病毒感染的诊断。呼吸道病毒板多重核酸检测产品</w:t>
      </w:r>
      <w:r>
        <w:rPr>
          <w:rFonts w:ascii="Arial" w:hAnsi="Arial" w:eastAsia="宋体" w:cs="Arial"/>
          <w:kern w:val="0"/>
          <w:sz w:val="24"/>
          <w:szCs w:val="24"/>
        </w:rPr>
        <w:t>预期用于检测和鉴别下列病毒的所有组合：</w:t>
      </w:r>
    </w:p>
    <w:p w14:paraId="6A7AB49A">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 甲型流感和乙型流感</w:t>
      </w:r>
    </w:p>
    <w:p w14:paraId="1AC48446">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 甲型流感病毒H1亚型和甲型流感病毒H3亚型</w:t>
      </w:r>
    </w:p>
    <w:p w14:paraId="1514B5C4">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3. 呼吸道合胞病毒A亚型和呼吸道合胞病毒B亚型</w:t>
      </w:r>
    </w:p>
    <w:p w14:paraId="299E6AEC">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4. 副流感病毒1，副流感病毒2和副流感病毒3</w:t>
      </w:r>
    </w:p>
    <w:p w14:paraId="5A1B07E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5. 人类偏肺病毒</w:t>
      </w:r>
    </w:p>
    <w:p w14:paraId="4A4D4BE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6. 鼻病毒</w:t>
      </w:r>
    </w:p>
    <w:p w14:paraId="448F5CD9">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7. 腺病毒。</w:t>
      </w:r>
    </w:p>
    <w:p w14:paraId="54414973">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该指南为制造商和食品药品监督管理局工作人员提供了关于准备呼吸道病毒板多重核酸检测产品上市前通告的建议，包括了对人类偏肺病毒（hMPV）的检测和鉴定。本文件中的建议适用于采用诸如聚合酶链反应（PCR），逆转录酶聚合酶链反应（RT-PCR），珠基液态阵列和微阵列等技术的检测。</w:t>
      </w:r>
    </w:p>
    <w:p w14:paraId="2A60A94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指南涉及的器械，用于与其他临床表现和实验室结果（例如，免疫荧光检测，细菌培养，胸部X射线/放射照相）相结合，以助于对hMPV感染的诊断。本指南不针对用以诊断的唯一性检测，也不用于区别病毒与非病毒感染的诊断性检测。如果使用核酸扩增测定来检测除呼吸道样本外的样品中的hMPV，则需要进行另外的研究。对于本指南所述的检测，阳性结果并不能排除细菌感染，或与其他病毒的合并感染。</w:t>
      </w:r>
    </w:p>
    <w:p w14:paraId="49CBDD0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指南与联邦公报公告共同发布了呼吸道病毒板多重核酸检测的分类。将该指南指定为特殊控制意味着，任何提交510（k）申请hMPV的检测和鉴定的呼吸道病毒板多重核酸检测产品的公司，必须解决本特殊控制指南中涵盖的问题，以及在分类法规中的另一项特殊控制指南</w:t>
      </w:r>
      <w:r>
        <w:rPr>
          <w:rFonts w:ascii="Arial" w:hAnsi="Arial" w:eastAsia="宋体" w:cs="Arial"/>
          <w:b/>
          <w:color w:val="000000"/>
          <w:kern w:val="0"/>
          <w:sz w:val="24"/>
          <w:szCs w:val="24"/>
        </w:rPr>
        <w:t>“II类特殊控制指导性文件：呼吸道病毒板多重核酸检测”</w:t>
      </w:r>
      <w:r>
        <w:rPr>
          <w:rFonts w:ascii="Arial" w:hAnsi="Arial" w:eastAsia="宋体" w:cs="Arial"/>
          <w:color w:val="000000"/>
          <w:kern w:val="0"/>
          <w:sz w:val="24"/>
          <w:szCs w:val="24"/>
        </w:rPr>
        <w:t>中涉及的问题。除了这些指导性文件，对于包括甲型流感病毒亚型的检测和分型的呼吸道病毒板，另有一项特殊控制指南</w:t>
      </w:r>
      <w:r>
        <w:rPr>
          <w:rFonts w:ascii="Arial" w:hAnsi="Arial" w:eastAsia="宋体" w:cs="Arial"/>
          <w:b/>
          <w:color w:val="000000"/>
          <w:kern w:val="0"/>
          <w:sz w:val="24"/>
          <w:szCs w:val="24"/>
        </w:rPr>
        <w:t>“II类特殊控制指导性文件：使用多重检测进行甲型流感病毒亚型的检测和分型测定”</w:t>
      </w:r>
      <w:r>
        <w:rPr>
          <w:rFonts w:ascii="Arial" w:hAnsi="Arial" w:eastAsia="宋体" w:cs="Arial"/>
          <w:color w:val="000000"/>
          <w:kern w:val="0"/>
          <w:sz w:val="24"/>
          <w:szCs w:val="24"/>
        </w:rPr>
        <w:t>，参见21 CFR 866.3980（b）。公司必须表明所申请的器械解决了本指南（以及适用的其他特别控制指南）中确定的安全性和有效性问题，可通过满足本指南的建议或其他方法，提供安全性和有效性的等同性保证。</w:t>
      </w:r>
    </w:p>
    <w:p w14:paraId="7C2C316F">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该特殊控制文件制定了用于hMPV测定的多重核酸检测产品的分类规则和产品代码(参见第3部分)。该指南的其他部分确定了与此器械类型相关的风险，并提供了解决这些风险的建议。</w:t>
      </w:r>
    </w:p>
    <w:p w14:paraId="3C9E7E17">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如果贵公司想讨论满足该器械特殊控制要求的替代方法，可以联系负责实施本指南的食品药品监督管理局工作人员。如果无法确定合适的食品药品监督管理局工作人员，请拨打本指南标题页上列出的电话号码。</w:t>
      </w:r>
    </w:p>
    <w:p w14:paraId="58D8CBCE">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8"/>
          <w:szCs w:val="28"/>
        </w:rPr>
        <w:t>最小负担方法</w:t>
      </w:r>
    </w:p>
    <w:p w14:paraId="7222BF1F">
      <w:pPr>
        <w:widowControl/>
        <w:snapToGrid w:val="0"/>
        <w:spacing w:before="90" w:after="90"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本指导性文件中确定的问题代表了我们认为在所申请的器械上市之前应解决的问题。在制定指南时，我们仔细考虑了相关的法定标准以供当局决策，还考虑了贵公司在尝试遵守指南并解决我们确定的问题时可能产生的负担。我们认为，我们已经考虑了采用最小负担方法来解决本指导性文件中提出的问题。但是，如果贵公司认为有更简便的解决这些问题的方式，可根据</w:t>
      </w:r>
      <w:r>
        <w:rPr>
          <w:rFonts w:ascii="Arial" w:hAnsi="Arial" w:eastAsia="宋体" w:cs="Arial"/>
          <w:b/>
          <w:color w:val="000000"/>
          <w:kern w:val="0"/>
          <w:sz w:val="24"/>
          <w:szCs w:val="24"/>
        </w:rPr>
        <w:t>“解决最小负担的问题的建议方法”</w:t>
      </w:r>
      <w:r>
        <w:rPr>
          <w:rFonts w:ascii="Arial" w:hAnsi="Arial" w:eastAsia="宋体" w:cs="Arial"/>
          <w:color w:val="000000"/>
          <w:kern w:val="0"/>
          <w:sz w:val="24"/>
          <w:szCs w:val="24"/>
        </w:rPr>
        <w:t>文件中所概述的程序进行，参见本中心网页：</w:t>
      </w:r>
      <w:r>
        <w:fldChar w:fldCharType="begin"/>
      </w:r>
      <w:r>
        <w:instrText xml:space="preserve"> HYPERLINK "http://www.fda.gov/%20MedicalDevices/DeviceRegulationandGuidance/GuidanceDocuments/ucm085994.htm" </w:instrText>
      </w:r>
      <w:r>
        <w:fldChar w:fldCharType="separate"/>
      </w:r>
      <w:r>
        <w:rPr>
          <w:rStyle w:val="15"/>
          <w:rFonts w:ascii="Arial" w:hAnsi="Arial" w:eastAsia="宋体" w:cs="Arial"/>
          <w:kern w:val="0"/>
          <w:sz w:val="24"/>
          <w:szCs w:val="24"/>
        </w:rPr>
        <w:t>http://www.fda.gov/ MedicalDevices/DeviceRegulationandGuidance/GuidanceDocuments/ucm085994.htm</w:t>
      </w:r>
      <w:r>
        <w:rPr>
          <w:rStyle w:val="15"/>
          <w:rFonts w:ascii="Arial" w:hAnsi="Arial" w:eastAsia="宋体" w:cs="Arial"/>
          <w:kern w:val="0"/>
          <w:sz w:val="24"/>
          <w:szCs w:val="24"/>
        </w:rPr>
        <w:fldChar w:fldCharType="end"/>
      </w:r>
      <w:r>
        <w:rPr>
          <w:rFonts w:ascii="Arial" w:hAnsi="Arial" w:eastAsia="宋体" w:cs="Arial"/>
          <w:color w:val="000000"/>
          <w:kern w:val="0"/>
          <w:sz w:val="24"/>
          <w:szCs w:val="24"/>
        </w:rPr>
        <w:t>。</w:t>
      </w:r>
    </w:p>
    <w:p w14:paraId="4F64D800">
      <w:pPr>
        <w:pStyle w:val="25"/>
        <w:widowControl/>
        <w:snapToGrid w:val="0"/>
        <w:spacing w:line="300" w:lineRule="auto"/>
        <w:ind w:firstLine="0" w:firstLineChars="0"/>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2. 背景 - 上市前通告</w:t>
      </w:r>
    </w:p>
    <w:p w14:paraId="0FBDA4CD">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打算在市场上销售此类通用型器械的制造商必须</w:t>
      </w:r>
    </w:p>
    <w:p w14:paraId="500376E0">
      <w:pPr>
        <w:widowControl/>
        <w:numPr>
          <w:ilvl w:val="0"/>
          <w:numId w:val="2"/>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符合联邦食品、药品和化妆品法案（该法案）中的一般控制，包括21 CFR 807 E子部分中所述的上市前通告的要求，</w:t>
      </w:r>
    </w:p>
    <w:p w14:paraId="6E2D6A20">
      <w:pPr>
        <w:widowControl/>
        <w:numPr>
          <w:ilvl w:val="0"/>
          <w:numId w:val="2"/>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通过解决本指南中确定的与hMPV核酸检测相关的特定健康风险，以符合特殊控制（见下文第4部分）</w:t>
      </w:r>
    </w:p>
    <w:p w14:paraId="25CCBB67">
      <w:pPr>
        <w:widowControl/>
        <w:numPr>
          <w:ilvl w:val="0"/>
          <w:numId w:val="2"/>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满足21 CFR 866.3980中规定的其他特殊控制，以及这种类型器械的分类规定，并且</w:t>
      </w:r>
    </w:p>
    <w:p w14:paraId="2D02D9D2">
      <w:pPr>
        <w:widowControl/>
        <w:numPr>
          <w:ilvl w:val="0"/>
          <w:numId w:val="2"/>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在销售该器械之前，获得食品药品监督管理局的实质等同性认定。（参见21CFR807.81和807.87）</w:t>
      </w:r>
    </w:p>
    <w:p w14:paraId="113821B4">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食品药品监督管理局认为，</w:t>
      </w:r>
      <w:r>
        <w:rPr>
          <w:rFonts w:ascii="Arial" w:hAnsi="Arial" w:eastAsia="宋体" w:cs="Arial"/>
          <w:sz w:val="24"/>
          <w:szCs w:val="24"/>
        </w:rPr>
        <w:t>在与一般控制联合使用时，特殊控制</w:t>
      </w:r>
      <w:r>
        <w:rPr>
          <w:rFonts w:ascii="Arial" w:hAnsi="Arial" w:eastAsia="宋体" w:cs="Arial"/>
          <w:color w:val="000000"/>
          <w:kern w:val="0"/>
          <w:sz w:val="24"/>
          <w:szCs w:val="24"/>
        </w:rPr>
        <w:t>将足以对用于hMPV测定的核酸检测产品的安全性和有效性提供合理的保证。</w:t>
      </w:r>
    </w:p>
    <w:p w14:paraId="0F8BB8E9">
      <w:pPr>
        <w:widowControl/>
        <w:snapToGrid w:val="0"/>
        <w:spacing w:line="300" w:lineRule="auto"/>
        <w:rPr>
          <w:rFonts w:ascii="Arial" w:hAnsi="Arial" w:eastAsia="宋体" w:cs="Arial"/>
          <w:b/>
          <w:bCs/>
          <w:color w:val="000000"/>
          <w:kern w:val="0"/>
          <w:sz w:val="24"/>
          <w:szCs w:val="24"/>
        </w:rPr>
      </w:pPr>
      <w:r>
        <w:rPr>
          <w:rFonts w:ascii="Arial" w:hAnsi="Arial" w:eastAsia="宋体" w:cs="Arial"/>
          <w:color w:val="000000"/>
          <w:kern w:val="0"/>
          <w:sz w:val="24"/>
          <w:szCs w:val="24"/>
        </w:rPr>
        <w:t>本文件补充了其他食品药品监督管理局关于上市前通告提交的具体内容要求的文件。贵公司还应参考21 CFR 807.87，指南，</w:t>
      </w:r>
      <w:r>
        <w:rPr>
          <w:rFonts w:ascii="Arial" w:hAnsi="Arial" w:eastAsia="宋体" w:cs="Arial"/>
          <w:b/>
          <w:color w:val="000000"/>
          <w:kern w:val="0"/>
          <w:sz w:val="24"/>
          <w:szCs w:val="24"/>
        </w:rPr>
        <w:t>传统和简化510（k）s格式</w:t>
      </w:r>
      <w:r>
        <w:fldChar w:fldCharType="begin"/>
      </w:r>
      <w:r>
        <w:instrText xml:space="preserve"> HYPERLINK "http://www.fda.gov/MedicalDevices/DeviceRegulationandGuidance/GuidanceDocuments/ucm180306.htm" \l "ft2" </w:instrText>
      </w:r>
      <w:r>
        <w:fldChar w:fldCharType="separate"/>
      </w:r>
      <w:r>
        <w:rPr>
          <w:rFonts w:ascii="Arial" w:hAnsi="Arial" w:eastAsia="宋体" w:cs="Arial"/>
          <w:color w:val="800080"/>
          <w:kern w:val="0"/>
          <w:sz w:val="24"/>
          <w:szCs w:val="24"/>
          <w:u w:val="single"/>
          <w:vertAlign w:val="superscript"/>
        </w:rPr>
        <w:t>2</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和CDRH的器械建议网页，</w:t>
      </w:r>
      <w:r>
        <w:rPr>
          <w:rFonts w:ascii="Arial" w:hAnsi="Arial" w:eastAsia="宋体" w:cs="Arial"/>
          <w:b/>
          <w:color w:val="000000"/>
          <w:kern w:val="0"/>
          <w:sz w:val="24"/>
          <w:szCs w:val="24"/>
        </w:rPr>
        <w:t>上市前通告510（k）</w:t>
      </w:r>
      <w:r>
        <w:fldChar w:fldCharType="begin"/>
      </w:r>
      <w:r>
        <w:instrText xml:space="preserve"> HYPERLINK "http://www.fda.gov/MedicalDevices/DeviceRegulationandGuidance/GuidanceDocuments/ucm180306.htm" \l "ft3" </w:instrText>
      </w:r>
      <w:r>
        <w:fldChar w:fldCharType="separate"/>
      </w:r>
      <w:r>
        <w:rPr>
          <w:rFonts w:ascii="Arial" w:hAnsi="Arial" w:eastAsia="宋体" w:cs="Arial"/>
          <w:color w:val="800080"/>
          <w:kern w:val="0"/>
          <w:sz w:val="24"/>
          <w:szCs w:val="24"/>
          <w:u w:val="single"/>
          <w:vertAlign w:val="superscript"/>
        </w:rPr>
        <w:t>3</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的部分。如</w:t>
      </w:r>
      <w:r>
        <w:rPr>
          <w:rFonts w:ascii="Arial" w:hAnsi="Arial" w:eastAsia="宋体" w:cs="Arial"/>
          <w:b/>
          <w:color w:val="000000"/>
          <w:kern w:val="0"/>
          <w:sz w:val="24"/>
          <w:szCs w:val="24"/>
        </w:rPr>
        <w:t>新版510（k）范例 - 在上市前通告中证明实质等同性的替代方法；最终指南</w:t>
      </w:r>
      <w:r>
        <w:fldChar w:fldCharType="begin"/>
      </w:r>
      <w:r>
        <w:instrText xml:space="preserve"> HYPERLINK "http://www.fda.gov/MedicalDevices/DeviceRegulationandGuidance/GuidanceDocuments/ucm180306.htm" \l "ft4" </w:instrText>
      </w:r>
      <w:r>
        <w:fldChar w:fldCharType="separate"/>
      </w:r>
      <w:r>
        <w:rPr>
          <w:rFonts w:ascii="Arial" w:hAnsi="Arial" w:eastAsia="宋体" w:cs="Arial"/>
          <w:color w:val="800080"/>
          <w:kern w:val="0"/>
          <w:sz w:val="24"/>
          <w:szCs w:val="24"/>
          <w:u w:val="single"/>
          <w:vertAlign w:val="superscript"/>
        </w:rPr>
        <w:t>4</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 中所述，制造商可以提交传统的510（k），简化的510（k）或特殊的510（k）。制造商可以选择提交简化的510（k）的情况为，存在指南性文件时、特殊控制已经制定时、或当食品药品监督管理局已经认可相关的共识标准时。制造商在考虑对他们已经通过审评的器械进行某些修改时，可以提交特殊的510（k）来减轻合规性的负担。更多关于提交给食品药品监督管理局的上市前通告510（k）类型的信息，可参见CDRH的器械建议网页，</w:t>
      </w:r>
      <w:r>
        <w:rPr>
          <w:rFonts w:ascii="Arial" w:hAnsi="Arial" w:eastAsia="宋体" w:cs="Arial"/>
          <w:b/>
          <w:color w:val="000000"/>
          <w:kern w:val="0"/>
          <w:sz w:val="24"/>
          <w:szCs w:val="24"/>
        </w:rPr>
        <w:t>上市前通告510（k）。</w:t>
      </w:r>
    </w:p>
    <w:p w14:paraId="77385F80">
      <w:pPr>
        <w:pStyle w:val="25"/>
        <w:widowControl/>
        <w:snapToGrid w:val="0"/>
        <w:spacing w:line="300" w:lineRule="auto"/>
        <w:ind w:left="-283" w:leftChars="-135" w:firstLine="0" w:firstLineChars="0"/>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3.本文件范围内的器械</w:t>
      </w:r>
    </w:p>
    <w:p w14:paraId="3FA35093">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本文件的范围仅限于21 CFR 866.3980中所述的以下器械：</w:t>
      </w:r>
    </w:p>
    <w:p w14:paraId="3D78AE45">
      <w:pPr>
        <w:widowControl/>
        <w:snapToGrid w:val="0"/>
        <w:spacing w:after="78" w:line="300" w:lineRule="auto"/>
        <w:rPr>
          <w:rFonts w:ascii="Arial" w:hAnsi="Arial" w:eastAsia="宋体" w:cs="Arial"/>
          <w:color w:val="000000"/>
          <w:kern w:val="0"/>
          <w:sz w:val="24"/>
          <w:szCs w:val="24"/>
        </w:rPr>
      </w:pPr>
      <w:r>
        <w:rPr>
          <w:rFonts w:ascii="Arial" w:hAnsi="Arial" w:eastAsia="宋体" w:cs="Arial"/>
          <w:color w:val="000000"/>
          <w:kern w:val="0"/>
          <w:sz w:val="24"/>
          <w:szCs w:val="24"/>
          <w:u w:val="single"/>
        </w:rPr>
        <w:t>21 CFR 866.3980</w:t>
      </w:r>
      <w:r>
        <w:rPr>
          <w:rFonts w:ascii="Arial" w:hAnsi="Arial" w:eastAsia="宋体" w:cs="Arial"/>
          <w:color w:val="000000"/>
          <w:kern w:val="0"/>
          <w:sz w:val="24"/>
          <w:szCs w:val="24"/>
        </w:rPr>
        <w:t> - 呼吸道病毒板多重核酸检测。呼吸道病毒板多重核酸检测产品是定性的体外诊断器械，其旨在同时检测和鉴定从人的呼吸道样本或病毒培养物中提取的多种病毒核酸。对表现出呼吸道感染体征和症状的个体的特定病毒核酸进行检测和鉴定，并与其他临床和实验室结果相结合，以助于对呼吸道病毒感染的诊断。</w:t>
      </w:r>
      <w:r>
        <w:rPr>
          <w:rFonts w:ascii="Arial" w:hAnsi="Arial" w:eastAsia="宋体" w:cs="Arial"/>
          <w:kern w:val="0"/>
          <w:sz w:val="24"/>
          <w:szCs w:val="24"/>
        </w:rPr>
        <w:t>该器械用于检测和鉴别下列病毒的组合：</w:t>
      </w:r>
    </w:p>
    <w:p w14:paraId="662706C3">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 甲型流感和乙型流感</w:t>
      </w:r>
    </w:p>
    <w:p w14:paraId="29B89534">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 甲型流感病毒H1亚型和甲型流感病毒H3亚型</w:t>
      </w:r>
    </w:p>
    <w:p w14:paraId="7B9B953D">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3. 呼吸道合胞病毒A亚型和呼吸道合胞病毒B亚型</w:t>
      </w:r>
    </w:p>
    <w:p w14:paraId="40BA396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4. 副流感病毒1，副流感病毒2和副流感病毒3</w:t>
      </w:r>
    </w:p>
    <w:p w14:paraId="707B455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5. 人类偏肺病毒</w:t>
      </w:r>
    </w:p>
    <w:p w14:paraId="6A9548B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6. 鼻病毒</w:t>
      </w:r>
    </w:p>
    <w:p w14:paraId="388ECA9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7. 腺病毒。</w:t>
      </w:r>
    </w:p>
    <w:p w14:paraId="4C4638FA">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除了本指导性文件，对于hMPV检测和鉴定的呼吸道病毒板，另一特殊控制指南为 “</w:t>
      </w:r>
      <w:r>
        <w:rPr>
          <w:rFonts w:ascii="Arial" w:hAnsi="Arial" w:eastAsia="宋体" w:cs="Arial"/>
          <w:b/>
          <w:color w:val="000000"/>
          <w:kern w:val="0"/>
          <w:sz w:val="24"/>
          <w:szCs w:val="24"/>
        </w:rPr>
        <w:t>II类特殊控制指南：使用核酸检测进行人类偏肺病毒（hMPV）测定</w:t>
      </w:r>
      <w:r>
        <w:rPr>
          <w:rFonts w:ascii="Arial" w:hAnsi="Arial" w:eastAsia="宋体" w:cs="Arial"/>
          <w:color w:val="000000"/>
          <w:kern w:val="0"/>
          <w:sz w:val="24"/>
          <w:szCs w:val="24"/>
        </w:rPr>
        <w:t>”。对于甲型流感病毒亚型检测和分型的呼吸道病毒板，另一特殊控制指南为“</w:t>
      </w:r>
      <w:r>
        <w:rPr>
          <w:rFonts w:ascii="Arial" w:hAnsi="Arial" w:eastAsia="宋体" w:cs="Arial"/>
          <w:b/>
          <w:color w:val="000000"/>
          <w:kern w:val="0"/>
          <w:sz w:val="24"/>
          <w:szCs w:val="24"/>
        </w:rPr>
        <w:t>II类特殊控制指南：</w:t>
      </w:r>
      <w:r>
        <w:rPr>
          <w:rFonts w:ascii="Arial" w:hAnsi="Arial" w:eastAsia="宋体" w:cs="Arial"/>
          <w:b/>
          <w:bCs/>
          <w:color w:val="000000"/>
          <w:kern w:val="0"/>
          <w:sz w:val="24"/>
          <w:szCs w:val="24"/>
        </w:rPr>
        <w:t>使用多重检测进行甲型流感病毒亚型的检测和分型测定</w:t>
      </w:r>
      <w:r>
        <w:rPr>
          <w:rFonts w:ascii="Arial" w:hAnsi="Arial" w:eastAsia="宋体" w:cs="Arial"/>
          <w:color w:val="000000"/>
          <w:kern w:val="0"/>
          <w:sz w:val="24"/>
          <w:szCs w:val="24"/>
        </w:rPr>
        <w:t>”。</w:t>
      </w:r>
    </w:p>
    <w:p w14:paraId="1610D070">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根据21 CFR 866.3980，本指南中描述的器械所适用的产品代码：</w:t>
      </w:r>
    </w:p>
    <w:p w14:paraId="487A7838">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OCC - 呼吸道病毒板核酸检测系统</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OEM-人类偏肺病毒（hMPV）RNA检测系统</w:t>
      </w:r>
    </w:p>
    <w:p w14:paraId="56845EE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前所述，受控于这一特殊控制指南的器械也受控于特殊控制指南“II类特殊控制指南：呼吸道病毒板多重核酸检测”，而且，如果器械中包括对甲型流感病毒亚型的检测和分型，还需受控于特殊控制指南“II类特殊控制指南：</w:t>
      </w:r>
      <w:r>
        <w:rPr>
          <w:rFonts w:ascii="Arial" w:hAnsi="Arial" w:eastAsia="宋体" w:cs="Arial"/>
          <w:bCs/>
          <w:color w:val="000000"/>
          <w:kern w:val="0"/>
          <w:sz w:val="24"/>
          <w:szCs w:val="24"/>
        </w:rPr>
        <w:t>使用多重检测进行甲型流感病毒亚型的检测和分型测定</w:t>
      </w:r>
      <w:r>
        <w:rPr>
          <w:rFonts w:ascii="Arial" w:hAnsi="Arial" w:eastAsia="宋体" w:cs="Arial"/>
          <w:color w:val="000000"/>
          <w:kern w:val="0"/>
          <w:sz w:val="24"/>
          <w:szCs w:val="24"/>
        </w:rPr>
        <w:t>”，参见21 CFR 866.3980（b）。</w:t>
      </w:r>
      <w:bookmarkStart w:id="0" w:name="4"/>
    </w:p>
    <w:bookmarkEnd w:id="0"/>
    <w:p w14:paraId="515AB0BB">
      <w:pPr>
        <w:widowControl/>
        <w:snapToGrid w:val="0"/>
        <w:spacing w:line="300" w:lineRule="auto"/>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4. 健康风险</w:t>
      </w:r>
    </w:p>
    <w:p w14:paraId="2110192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人类偏肺病毒与儿童和成人的急性呼吸道疾病有关，hMPV感染和人呼吸道合胞病毒（RSV）感染后的临床症状相似。hMPV感染的临床影响，从轻度自限性呼吸道疾病到细支气管炎和肺炎，可能需要机械通气。婴儿和老年人可能会出现由于hMPV感染而引发的严重疾病，hMPV还可以引起免疫功能不全的患者发病率增加。因此，食品药品监督管理局已经确定了潜在的健康风险，即，发布了可能影响hMPV检测和鉴定的呼吸道病毒板多重核酸检测产品的安全性或有效性的问题，包括器械未能按照说明操作，导致不准确的结果或结果缺失，以及对结果的不正确解释; 这两种潜在的风险都可能导致不正确的患者管理决策。</w:t>
      </w:r>
    </w:p>
    <w:p w14:paraId="60B8B8E0">
      <w:pPr>
        <w:widowControl/>
        <w:snapToGrid w:val="0"/>
        <w:spacing w:line="300" w:lineRule="auto"/>
        <w:outlineLvl w:val="3"/>
        <w:rPr>
          <w:rFonts w:ascii="Arial" w:hAnsi="Arial" w:eastAsia="宋体" w:cs="Arial"/>
          <w:b/>
          <w:bCs/>
          <w:i/>
          <w:color w:val="000000"/>
          <w:kern w:val="0"/>
          <w:sz w:val="28"/>
          <w:szCs w:val="28"/>
        </w:rPr>
      </w:pPr>
      <w:r>
        <w:rPr>
          <w:rFonts w:ascii="Arial" w:hAnsi="Arial" w:eastAsia="宋体" w:cs="Arial"/>
          <w:b/>
          <w:bCs/>
          <w:i/>
          <w:color w:val="000000"/>
          <w:kern w:val="0"/>
          <w:sz w:val="28"/>
          <w:szCs w:val="28"/>
        </w:rPr>
        <w:t>器械未按说明进行操作：</w:t>
      </w:r>
    </w:p>
    <w:p w14:paraId="1EF93F1F">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假阳性结果可能导致由其他病原体引起的呼吸道感染的延迟治疗，这可能是由细菌或其他病原体引起的更严重的感染。假阴性结果可能导致无法给予诊断和正确的治疗，并可能导致不必要的治疗。结果缺失可能导致诊断延误和不当治疗。</w:t>
      </w:r>
    </w:p>
    <w:p w14:paraId="17C8CD99">
      <w:pPr>
        <w:widowControl/>
        <w:snapToGrid w:val="0"/>
        <w:spacing w:line="300" w:lineRule="auto"/>
        <w:rPr>
          <w:rFonts w:ascii="Arial" w:hAnsi="Arial" w:eastAsia="宋体" w:cs="Arial"/>
          <w:color w:val="000000"/>
          <w:kern w:val="0"/>
          <w:sz w:val="24"/>
          <w:szCs w:val="24"/>
        </w:rPr>
      </w:pPr>
      <w:r>
        <w:rPr>
          <w:rFonts w:ascii="Arial" w:hAnsi="Arial" w:eastAsia="宋体" w:cs="Arial"/>
          <w:b/>
          <w:bCs/>
          <w:i/>
          <w:color w:val="000000"/>
          <w:kern w:val="0"/>
          <w:sz w:val="28"/>
          <w:szCs w:val="28"/>
        </w:rPr>
        <w:t>未能对结果进行正确解释：</w:t>
      </w:r>
    </w:p>
    <w:p w14:paraId="6DB64784">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检测和鉴定hMPV的呼吸道病毒板多重核酸检测，预期用于与其他临床和实验室结果相结合，以帮助呼吸道hMPV感染的诊断。因此，在有了其他实验室结果和临床表现的情况下，检测结果的解释失误可能会导致不适当的或延迟的治疗。例如，阳性检测结果无法排除细菌合并感染或其他病毒的合并感染，而且检出的hMPV可能不一定是临床症状或疾病的原因。因此，需要额外的检测 (例如，细菌培养，免疫荧光和胸部x射线/放射照相) 以得到hMPV感染的最终诊断。</w:t>
      </w:r>
    </w:p>
    <w:p w14:paraId="5EEA3288">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该特殊控制指南通过解决以下特定的错误来源，为减少与此类检测相关的风险提出建议：</w:t>
      </w:r>
    </w:p>
    <w:p w14:paraId="390C6BD6">
      <w:pPr>
        <w:widowControl/>
        <w:snapToGrid w:val="0"/>
        <w:spacing w:before="156" w:before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错误的结果（即假阳性或假阴性结果）或结果缺失可能由以下原因引起：</w:t>
      </w:r>
    </w:p>
    <w:p w14:paraId="664CC2E5">
      <w:pPr>
        <w:widowControl/>
        <w:numPr>
          <w:ilvl w:val="0"/>
          <w:numId w:val="3"/>
        </w:numPr>
        <w:tabs>
          <w:tab w:val="left" w:pos="284"/>
          <w:tab w:val="clear" w:pos="720"/>
        </w:tabs>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该检测所涉及的试剂、仪器、数据管理或软件的故障或不当使用。</w:t>
      </w:r>
    </w:p>
    <w:p w14:paraId="5CB877E9">
      <w:pPr>
        <w:widowControl/>
        <w:numPr>
          <w:ilvl w:val="0"/>
          <w:numId w:val="3"/>
        </w:numPr>
        <w:tabs>
          <w:tab w:val="left" w:pos="284"/>
          <w:tab w:val="clear" w:pos="720"/>
        </w:tabs>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辅助试剂的失效或不当使用，或辅助试剂的质量问题。</w:t>
      </w:r>
    </w:p>
    <w:p w14:paraId="6E56D856">
      <w:pPr>
        <w:widowControl/>
        <w:numPr>
          <w:ilvl w:val="0"/>
          <w:numId w:val="3"/>
        </w:numPr>
        <w:tabs>
          <w:tab w:val="left" w:pos="284"/>
          <w:tab w:val="clear" w:pos="720"/>
        </w:tabs>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在分子检测方面缺乏专业知识的实验室人员进行了不正确的检测。</w:t>
      </w:r>
    </w:p>
    <w:p w14:paraId="2D3748F8">
      <w:pPr>
        <w:widowControl/>
        <w:snapToGrid w:val="0"/>
        <w:spacing w:before="156" w:before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假阳性结果可能由以下原因引起：</w:t>
      </w:r>
    </w:p>
    <w:p w14:paraId="5267CF42">
      <w:pPr>
        <w:widowControl/>
        <w:numPr>
          <w:ilvl w:val="0"/>
          <w:numId w:val="4"/>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hMPV的RNA序列可以在体内持续存在，而与病毒的活力无关，因为核酸检测无法区分非存活病毒和感染性病毒颗粒，其可以通过细胞培养进行识别。</w:t>
      </w:r>
    </w:p>
    <w:p w14:paraId="3FCCDDFE">
      <w:pPr>
        <w:widowControl/>
        <w:numPr>
          <w:ilvl w:val="0"/>
          <w:numId w:val="4"/>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检测引物和探针与来自其他病毒的核酸序列可能会发生交叉反应，从而被该多重检测系统检出，核酸序列可能来自存在于患者样本中的其他非病毒病原体，或其它内源性的核酸序列。</w:t>
      </w:r>
    </w:p>
    <w:p w14:paraId="59EB0541">
      <w:pPr>
        <w:widowControl/>
        <w:numPr>
          <w:ilvl w:val="0"/>
          <w:numId w:val="4"/>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在开放性检测系统的情况下，如果不采取适当的控制措施，则可能存在交叉污染和扩增子的污染。</w:t>
      </w:r>
    </w:p>
    <w:p w14:paraId="5A92521E">
      <w:pPr>
        <w:widowControl/>
        <w:snapToGrid w:val="0"/>
        <w:spacing w:before="90" w:after="90"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假阴性结果可能由以下原因引起：</w:t>
      </w:r>
    </w:p>
    <w:p w14:paraId="3126150B">
      <w:pPr>
        <w:widowControl/>
        <w:numPr>
          <w:ilvl w:val="0"/>
          <w:numId w:val="5"/>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由于对样品和所提取核酸的不当储存或转运，或核酸物质的提取不充分，而导致的分析物降解。</w:t>
      </w:r>
    </w:p>
    <w:p w14:paraId="187D6064">
      <w:pPr>
        <w:widowControl/>
        <w:numPr>
          <w:ilvl w:val="0"/>
          <w:numId w:val="5"/>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hMPV出现了新的遗传亚型或遗传突变体。用于检测hMPV的引物和探针的选择通常基于其与存在于所有已知hMPV遗传亚型中的病毒RNA片段的高度保守区的同源性。这些引物和探针可能无法与新分离的遗传亚型或随着时间推移而出现的遗传突变体发生反应，降低了检测性能。</w:t>
      </w:r>
    </w:p>
    <w:p w14:paraId="3D5D5C7E">
      <w:pPr>
        <w:widowControl/>
        <w:numPr>
          <w:ilvl w:val="0"/>
          <w:numId w:val="6"/>
        </w:numPr>
        <w:tabs>
          <w:tab w:val="clear" w:pos="720"/>
        </w:tabs>
        <w:snapToGrid w:val="0"/>
        <w:spacing w:line="300" w:lineRule="auto"/>
        <w:ind w:left="490" w:hanging="489" w:hangingChars="204"/>
        <w:rPr>
          <w:rFonts w:ascii="Arial" w:hAnsi="Arial" w:eastAsia="宋体" w:cs="Arial"/>
          <w:color w:val="000000"/>
          <w:kern w:val="0"/>
          <w:sz w:val="24"/>
          <w:szCs w:val="24"/>
        </w:rPr>
      </w:pPr>
      <w:r>
        <w:rPr>
          <w:rFonts w:ascii="Arial" w:hAnsi="Arial" w:eastAsia="宋体" w:cs="Arial"/>
          <w:color w:val="000000"/>
          <w:kern w:val="0"/>
          <w:sz w:val="24"/>
          <w:szCs w:val="24"/>
        </w:rPr>
        <w:t>在样品处理/处置期间，存在于患者样本中的、或引入分析系统的其他物质的竞争性抑制或干扰。</w:t>
      </w:r>
    </w:p>
    <w:p w14:paraId="401ED1BB">
      <w:pPr>
        <w:widowControl/>
        <w:snapToGrid w:val="0"/>
        <w:spacing w:before="156" w:before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未能正确解释检测结果的原因如下：</w:t>
      </w:r>
    </w:p>
    <w:p w14:paraId="48E108E0">
      <w:pPr>
        <w:widowControl/>
        <w:numPr>
          <w:ilvl w:val="0"/>
          <w:numId w:val="7"/>
        </w:numPr>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细菌合并感染的可能性。</w:t>
      </w:r>
    </w:p>
    <w:p w14:paraId="5E7B2231">
      <w:pPr>
        <w:widowControl/>
        <w:numPr>
          <w:ilvl w:val="0"/>
          <w:numId w:val="7"/>
        </w:numPr>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缺乏病毒诊断专业知识的实验室人员对检测结果的错误解释和报告。</w:t>
      </w:r>
    </w:p>
    <w:p w14:paraId="18FBCA68">
      <w:pPr>
        <w:widowControl/>
        <w:numPr>
          <w:ilvl w:val="0"/>
          <w:numId w:val="7"/>
        </w:numPr>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与季节性hMPV病毒流行和特定患者人群相关的性能变异而造成的曲解。</w:t>
      </w:r>
    </w:p>
    <w:p w14:paraId="0EBD8E0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下表中，食品药品监督管理局已经确定了与使用核酸扩增检测hMPV产品相关的一般性健康风险。本指导性文件中描述了建议规避这些已识别风险的措施，如下表所示。在提交上市前通告之前，应进行风险分析并识别该器械特有的任何其他风险。风险可能会因核酸检测的类型、检测的具体预期用途、样本类型以及结果如何使用而变化。上市前通告中应描述用于进行风险分析的方法。如果选择使用替代方法来解决本文件中指出的风险，或已发现本文件以外的风险，应提供足够的详细信息以支持用于解决该风险的方法。</w:t>
      </w:r>
    </w:p>
    <w:p w14:paraId="6FFA74B9">
      <w:pPr>
        <w:widowControl/>
        <w:snapToGrid w:val="0"/>
        <w:spacing w:line="300" w:lineRule="auto"/>
        <w:rPr>
          <w:rFonts w:ascii="Arial" w:hAnsi="Arial" w:eastAsia="宋体" w:cs="Arial"/>
          <w:color w:val="000000"/>
          <w:kern w:val="0"/>
          <w:sz w:val="24"/>
          <w:szCs w:val="24"/>
        </w:rPr>
      </w:pPr>
    </w:p>
    <w:p w14:paraId="12C18991">
      <w:pPr>
        <w:widowControl/>
        <w:snapToGrid w:val="0"/>
        <w:spacing w:line="300" w:lineRule="auto"/>
        <w:rPr>
          <w:rFonts w:ascii="Arial" w:hAnsi="Arial" w:eastAsia="宋体" w:cs="Arial"/>
          <w:color w:val="000000"/>
          <w:kern w:val="0"/>
          <w:sz w:val="24"/>
          <w:szCs w:val="24"/>
        </w:rPr>
      </w:pP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45" w:type="dxa"/>
          <w:left w:w="45" w:type="dxa"/>
          <w:bottom w:w="45" w:type="dxa"/>
          <w:right w:w="45" w:type="dxa"/>
        </w:tblCellMar>
      </w:tblPr>
      <w:tblGrid>
        <w:gridCol w:w="4600"/>
        <w:gridCol w:w="2214"/>
      </w:tblGrid>
      <w:tr w14:paraId="0E9A39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EFFFF"/>
            <w:vAlign w:val="center"/>
          </w:tcPr>
          <w:p w14:paraId="5E46E069">
            <w:pPr>
              <w:widowControl/>
              <w:snapToGrid w:val="0"/>
              <w:spacing w:line="300" w:lineRule="auto"/>
              <w:rPr>
                <w:rFonts w:ascii="Arial" w:hAnsi="Arial" w:eastAsia="宋体" w:cs="Arial"/>
                <w:b/>
                <w:bCs/>
                <w:color w:val="000000"/>
                <w:kern w:val="0"/>
                <w:sz w:val="24"/>
                <w:szCs w:val="24"/>
              </w:rPr>
            </w:pPr>
            <w:r>
              <w:rPr>
                <w:rFonts w:ascii="Arial" w:hAnsi="Arial" w:eastAsia="宋体" w:cs="Arial"/>
                <w:b/>
                <w:bCs/>
                <w:color w:val="000000"/>
                <w:kern w:val="0"/>
                <w:sz w:val="24"/>
                <w:szCs w:val="24"/>
              </w:rPr>
              <w:t>已识别的风险</w:t>
            </w:r>
          </w:p>
        </w:tc>
        <w:tc>
          <w:tcPr>
            <w:tcW w:w="0" w:type="auto"/>
            <w:tcBorders>
              <w:top w:val="outset" w:color="auto" w:sz="6" w:space="0"/>
              <w:left w:val="outset" w:color="auto" w:sz="6" w:space="0"/>
              <w:bottom w:val="outset" w:color="auto" w:sz="6" w:space="0"/>
              <w:right w:val="outset" w:color="auto" w:sz="6" w:space="0"/>
            </w:tcBorders>
            <w:shd w:val="clear" w:color="auto" w:fill="CEFFFF"/>
            <w:vAlign w:val="center"/>
          </w:tcPr>
          <w:p w14:paraId="5D3AADA5">
            <w:pPr>
              <w:widowControl/>
              <w:snapToGrid w:val="0"/>
              <w:spacing w:line="300" w:lineRule="auto"/>
              <w:rPr>
                <w:rFonts w:ascii="Arial" w:hAnsi="Arial" w:eastAsia="宋体" w:cs="Arial"/>
                <w:b/>
                <w:bCs/>
                <w:color w:val="000000"/>
                <w:kern w:val="0"/>
                <w:sz w:val="24"/>
                <w:szCs w:val="24"/>
              </w:rPr>
            </w:pPr>
            <w:r>
              <w:rPr>
                <w:rFonts w:ascii="Arial" w:hAnsi="Arial" w:eastAsia="宋体" w:cs="Arial"/>
                <w:b/>
                <w:bCs/>
                <w:color w:val="000000"/>
                <w:kern w:val="0"/>
                <w:sz w:val="24"/>
                <w:szCs w:val="24"/>
              </w:rPr>
              <w:t>建议的缓解措施</w:t>
            </w:r>
          </w:p>
        </w:tc>
      </w:tr>
      <w:tr w14:paraId="18787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125" w:hRule="atLeas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2DF7FEC">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不准确的结果(即，假阳性或假阴性结果)，</w:t>
            </w:r>
          </w:p>
          <w:p w14:paraId="56ED5D59">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或结果缺失</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9000205">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器械描述(第5部分)</w:t>
            </w:r>
          </w:p>
          <w:p w14:paraId="47A6ABC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性能特征(第6部分)</w:t>
            </w:r>
          </w:p>
          <w:p w14:paraId="5EE1F8F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标签(第7部分)</w:t>
            </w:r>
          </w:p>
        </w:tc>
      </w:tr>
      <w:tr w14:paraId="0E034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BD3399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未能正确解释检测结果</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B869AC5">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标签（第7部分）</w:t>
            </w:r>
          </w:p>
        </w:tc>
      </w:tr>
    </w:tbl>
    <w:p w14:paraId="0A357158">
      <w:pPr>
        <w:widowControl/>
        <w:snapToGrid w:val="0"/>
        <w:spacing w:line="300" w:lineRule="auto"/>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5. 器械描述</w:t>
      </w:r>
    </w:p>
    <w:p w14:paraId="46F4A8F6">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在提交510（k）时，贵公司应该确定法规、产品代码和已经合法上市的比较器械，</w:t>
      </w:r>
      <w:r>
        <w:rPr>
          <w:rFonts w:ascii="Arial" w:hAnsi="Arial" w:eastAsia="宋体" w:cs="Arial"/>
          <w:sz w:val="24"/>
          <w:szCs w:val="24"/>
        </w:rPr>
        <w:t>建议加入一个表格以概括比较器械和申请器械之间的异同点。</w:t>
      </w:r>
    </w:p>
    <w:p w14:paraId="1082981D">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贵公司应该包括以下描述性信息，以充分说明申请的hMPV核酸检测产品的特征。</w:t>
      </w:r>
    </w:p>
    <w:p w14:paraId="096DA5B4">
      <w:pPr>
        <w:widowControl/>
        <w:snapToGrid w:val="0"/>
        <w:spacing w:line="300" w:lineRule="auto"/>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5.A预期用途</w:t>
      </w:r>
    </w:p>
    <w:p w14:paraId="49BA121C">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预期用途应说明分析物和靶标物(如hMPV F 基因 RNA)的性质，以及用于该检测的样本类型，该检测适用的临床适应症，以及该检测所针对的特定人群。预期用途应说明该检测是定性的，以及任何特定的使用条件。</w:t>
      </w:r>
    </w:p>
    <w:p w14:paraId="31B7AC0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在510（k）中，贵公司应清楚地描述与该产品预期用途相关的以下信息：</w:t>
      </w:r>
    </w:p>
    <w:p w14:paraId="7EFAEDA1">
      <w:pPr>
        <w:widowControl/>
        <w:numPr>
          <w:ilvl w:val="0"/>
          <w:numId w:val="8"/>
        </w:numPr>
        <w:tabs>
          <w:tab w:val="clear" w:pos="720"/>
        </w:tabs>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该器械旨在检测的hMPV的型别、系统发育关系或其他公认的特征。</w:t>
      </w:r>
    </w:p>
    <w:p w14:paraId="595E79EC">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该器械的检测结果将应用于帮助实验室对来自有症状患者的呼吸道标本中的hMPV进行鉴别。</w:t>
      </w:r>
    </w:p>
    <w:p w14:paraId="271986D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注：用于确定性鉴别hMPV的公认实验室方法，可以参见例如CLSI M41-A</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 如果可以提供合适的验证数据，也可以使用亚型特异性引物产生的扩增子进行测序（双向测序的质量值）。</w:t>
      </w:r>
    </w:p>
    <w:p w14:paraId="0A52CBDB">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5.B检测方法学</w:t>
      </w:r>
    </w:p>
    <w:p w14:paraId="60E3DDE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贵公司应该详细描述该器械的使用方法。例如，贵公司应描述适用于该器械的以下元素：</w:t>
      </w:r>
    </w:p>
    <w:p w14:paraId="260B18DF">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检测平台（例如，RT-PCR，珠阵列）</w:t>
      </w:r>
    </w:p>
    <w:p w14:paraId="59D875AE">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相关流感序列的探针特异性。</w:t>
      </w:r>
    </w:p>
    <w:p w14:paraId="593196C9">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选择特定靶序列的资料和原理，以及用于设计引物和探针的方法。</w:t>
      </w:r>
    </w:p>
    <w:p w14:paraId="265BF6C0">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测定的限制因素（例如杂交的饱和度、最大循环次数）</w:t>
      </w:r>
    </w:p>
    <w:p w14:paraId="0B64C2B3">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样本类型（例如拭子，呼吸道抽吸液和病毒培养基），收集和处理方法</w:t>
      </w:r>
    </w:p>
    <w:p w14:paraId="50B90516">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提供或推荐使用的试剂组分及其在系统内的功能（例如，缓冲液、酶、荧光染料、化学发光试剂、其他信号/扩增试剂）。</w:t>
      </w:r>
    </w:p>
    <w:p w14:paraId="5034516D">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特异性和非特异性探针交叉杂交的可能性。</w:t>
      </w:r>
    </w:p>
    <w:p w14:paraId="26968FA2">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内部控制及其在系统中的具体功能的描述。</w:t>
      </w:r>
    </w:p>
    <w:p w14:paraId="262629F2">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推荐或提供给用户的外部控制。</w:t>
      </w:r>
    </w:p>
    <w:p w14:paraId="55E8369F">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器械所需的仪器，包括系统中的组件及其功能。</w:t>
      </w:r>
    </w:p>
    <w:p w14:paraId="7BDC2C22">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仪器和系统参数生成的结果类型（例如，测量范围）。</w:t>
      </w:r>
    </w:p>
    <w:p w14:paraId="7EB7847D">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从原始数据到报告结果的计算路径（例如，原始信号如何转换为信号），包括充分的软件控制，用于识别和处理数据集内的明显问题。应说明归一化的背景信号调整（如适用）。</w:t>
      </w:r>
    </w:p>
    <w:p w14:paraId="26BCE058">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非标准设备或方法的图示或照片，如有。</w:t>
      </w:r>
    </w:p>
    <w:p w14:paraId="486DD844">
      <w:pPr>
        <w:widowControl/>
        <w:snapToGrid w:val="0"/>
        <w:spacing w:before="156" w:before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如适用，应描述该器械的设计控制标准，以解决或减少与用于检测hMPV病毒RNA片段的hMPV核酸检测产品相关的风险，举例以下：</w:t>
      </w:r>
    </w:p>
    <w:p w14:paraId="195CD66A">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将源于样品的污染或残留物所导致的假阳性最小化。</w:t>
      </w:r>
    </w:p>
    <w:p w14:paraId="1FBE0A63">
      <w:pPr>
        <w:widowControl/>
        <w:numPr>
          <w:ilvl w:val="0"/>
          <w:numId w:val="8"/>
        </w:numPr>
        <w:tabs>
          <w:tab w:val="clear" w:pos="720"/>
        </w:tabs>
        <w:snapToGrid w:val="0"/>
        <w:spacing w:line="300" w:lineRule="auto"/>
        <w:ind w:left="418" w:hanging="417" w:hangingChars="180"/>
        <w:rPr>
          <w:rFonts w:ascii="Arial" w:hAnsi="Arial" w:eastAsia="宋体" w:cs="Arial"/>
          <w:color w:val="000000"/>
          <w:spacing w:val="-4"/>
          <w:kern w:val="0"/>
          <w:sz w:val="24"/>
          <w:szCs w:val="24"/>
        </w:rPr>
      </w:pPr>
      <w:r>
        <w:rPr>
          <w:rFonts w:ascii="Arial" w:hAnsi="Arial" w:eastAsia="宋体" w:cs="Arial"/>
          <w:color w:val="000000"/>
          <w:spacing w:val="-4"/>
          <w:kern w:val="0"/>
          <w:sz w:val="24"/>
          <w:szCs w:val="24"/>
        </w:rPr>
        <w:t>开发的或推荐的用于核酸提取和纯化的经过验证的方法，可以从呼吸道样本中得到适当质量和数量的hMPV核酸，与该检测试剂一起用于检测系统。针对该检测产品预期用途中所载明的不同样品类型，应提供适当的经过验证的提取方法。</w:t>
      </w:r>
    </w:p>
    <w:p w14:paraId="0E9933E8">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优化该检测试剂和推荐仪器的检测程序。</w:t>
      </w:r>
    </w:p>
    <w:p w14:paraId="214616D2">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w:t>
      </w:r>
      <w:r>
        <w:rPr>
          <w:rFonts w:ascii="Arial" w:hAnsi="Arial" w:eastAsia="宋体" w:cs="Arial"/>
          <w:sz w:val="24"/>
          <w:szCs w:val="24"/>
        </w:rPr>
        <w:t>应提供性能信息，以支持满足设计要求的结论。</w:t>
      </w:r>
      <w:r>
        <w:rPr>
          <w:rFonts w:ascii="Arial" w:hAnsi="Arial" w:eastAsia="宋体" w:cs="Arial"/>
          <w:color w:val="000000"/>
          <w:kern w:val="0"/>
          <w:sz w:val="24"/>
          <w:szCs w:val="24"/>
        </w:rPr>
        <w:t>还应提供资料以证明该检测试剂的设计 (例如，选择特定的保守靶序列的理由，以及用于设计引物和探针的方法)（参见第6部分 - 性能特征）。</w:t>
      </w:r>
    </w:p>
    <w:p w14:paraId="69260DBB">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5.C辅助试剂</w:t>
      </w:r>
    </w:p>
    <w:p w14:paraId="6E36958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辅助试剂是该检测产品制造商在器械的标签中说明为“必需但未提供的”那些试剂，用以按照使用说明书进行检测，并达到该检测产品的标签中所要求的测定性能。出于本文件的目的，相关的辅助试剂是必须根据制造商和目录号或产品编号或其他特定名称所规定的、使器械能达到其标签所示的性能特征的那些试剂。例如，如果器械标签中规定使用品牌为X的DNA扩增酶，且使用任何其他的DNA扩增酶可能会改变标签中报告的器械性能特征，那么品牌为X 的DNA扩增酶就是一种与本文件相关的辅助试剂</w:t>
      </w:r>
      <w:r>
        <w:fldChar w:fldCharType="begin"/>
      </w:r>
      <w:r>
        <w:instrText xml:space="preserve"> HYPERLINK "http://www.fda.gov/MedicalDevices/DeviceRegulationandGuidance/GuidanceDocuments/ucm180306.htm" \l "ft7" </w:instrText>
      </w:r>
      <w:r>
        <w:fldChar w:fldCharType="separate"/>
      </w:r>
      <w:r>
        <w:rPr>
          <w:rFonts w:ascii="Arial" w:hAnsi="Arial" w:eastAsia="宋体" w:cs="Arial"/>
          <w:color w:val="800080"/>
          <w:kern w:val="0"/>
          <w:sz w:val="24"/>
          <w:szCs w:val="24"/>
          <w:u w:val="single"/>
          <w:vertAlign w:val="superscript"/>
        </w:rPr>
        <w:t>7</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w:t>
      </w:r>
    </w:p>
    <w:p w14:paraId="3FF895C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相比之下，如果该器械需要使用95%乙醇，而任何品牌的95%乙醇均可使器械达到标签中所提供的性能特征，那么95%乙醇就不是与本文件目的相关的辅助试剂。</w:t>
      </w:r>
    </w:p>
    <w:p w14:paraId="0D6B6840">
      <w:pPr>
        <w:widowControl/>
        <w:snapToGrid w:val="0"/>
        <w:spacing w:line="300" w:lineRule="auto"/>
        <w:rPr>
          <w:rFonts w:ascii="Arial" w:hAnsi="Arial" w:eastAsia="宋体" w:cs="Arial"/>
          <w:color w:val="000000"/>
          <w:kern w:val="0"/>
          <w:sz w:val="24"/>
          <w:szCs w:val="24"/>
        </w:rPr>
      </w:pPr>
    </w:p>
    <w:p w14:paraId="4F0211DF">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器械的使用说明书中，指定了一个或多个相关的辅助试剂，应该说明如何确保使用该器械和这些辅助试剂的检测结果与说明书一致，并与所提交的上市前申请文件中所建立的性能一致。计划可能包括质量系统方法的应用、产品标签和其他措施。</w:t>
      </w:r>
    </w:p>
    <w:p w14:paraId="6851CF7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为了解决特殊控制的这一方面，510（k）申请应涉及下述要素，FDA将评估所提交的计划是否有助于减少器械所带来的风险，为器械的安全性和有效性提供合理的保证，并确立其实质等效性。</w:t>
      </w:r>
    </w:p>
    <w:p w14:paraId="1AD5FEBC">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贵公司应在510（k）中纳入针对使用辅助试剂的风险评估，包括与试剂质量和变异性</w:t>
      </w:r>
      <w:r>
        <w:rPr>
          <w:rFonts w:ascii="Arial" w:hAnsi="Arial" w:eastAsia="宋体" w:cs="Arial"/>
          <w:color w:val="000000"/>
          <w:spacing w:val="-4"/>
          <w:kern w:val="0"/>
          <w:sz w:val="24"/>
          <w:szCs w:val="24"/>
        </w:rPr>
        <w:t>管理</w:t>
      </w:r>
      <w:r>
        <w:rPr>
          <w:rFonts w:ascii="Arial" w:hAnsi="Arial" w:eastAsia="宋体" w:cs="Arial"/>
          <w:color w:val="000000"/>
          <w:kern w:val="0"/>
          <w:sz w:val="24"/>
          <w:szCs w:val="24"/>
        </w:rPr>
        <w:t>相关的风险，器械制造商所提供的说明书与辅助试剂中直接提供的使用说明书之间不一致的风险，以及使用该器械可能存在得到错误结果的风险。</w:t>
      </w:r>
    </w:p>
    <w:p w14:paraId="04E0202B">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使用风险评估作为适用性的基础，应在510（k）中说明，怎样通过对辅助试剂实施必要的控制来规避风险，这些措施可能包括（如适用）：</w:t>
      </w:r>
    </w:p>
    <w:p w14:paraId="17BE9296">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用户标签，以确保辅助试剂的合理使用（进一步的讨论请参见“标签”）</w:t>
      </w:r>
    </w:p>
    <w:p w14:paraId="185AC28F">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评估用户是否遵守辅助试剂标签说明书的计划。</w:t>
      </w:r>
    </w:p>
    <w:p w14:paraId="7483B060">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辅助试剂的材料标准。</w:t>
      </w:r>
    </w:p>
    <w:p w14:paraId="566904D4">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对试剂进行多批次鉴定，以使器械具有适宜的性能。</w:t>
      </w:r>
    </w:p>
    <w:p w14:paraId="4896DF0D">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稳定性试验。</w:t>
      </w:r>
    </w:p>
    <w:p w14:paraId="01056640">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投诉处理。</w:t>
      </w:r>
    </w:p>
    <w:p w14:paraId="341BBD37">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纠正和预防措施。</w:t>
      </w:r>
    </w:p>
    <w:p w14:paraId="095129A6">
      <w:pPr>
        <w:widowControl/>
        <w:numPr>
          <w:ilvl w:val="1"/>
          <w:numId w:val="9"/>
        </w:numPr>
        <w:tabs>
          <w:tab w:val="clear" w:pos="1440"/>
        </w:tabs>
        <w:snapToGrid w:val="0"/>
        <w:spacing w:line="300" w:lineRule="auto"/>
        <w:ind w:left="684" w:leftChars="80" w:hanging="516" w:hangingChars="215"/>
        <w:rPr>
          <w:rFonts w:ascii="Arial" w:hAnsi="Arial" w:eastAsia="宋体" w:cs="Arial"/>
          <w:color w:val="000000"/>
          <w:kern w:val="0"/>
          <w:sz w:val="24"/>
          <w:szCs w:val="24"/>
        </w:rPr>
      </w:pPr>
      <w:r>
        <w:rPr>
          <w:rFonts w:ascii="Arial" w:hAnsi="Arial" w:eastAsia="宋体" w:cs="Arial"/>
          <w:color w:val="000000"/>
          <w:kern w:val="0"/>
          <w:sz w:val="24"/>
          <w:szCs w:val="24"/>
        </w:rPr>
        <w:t>在发生涉及辅助试剂的问题且该问题会影响器械的性能时，对用户的提醒计划。</w:t>
      </w:r>
    </w:p>
    <w:p w14:paraId="1E5A8A40">
      <w:pPr>
        <w:widowControl/>
        <w:numPr>
          <w:ilvl w:val="0"/>
          <w:numId w:val="9"/>
        </w:numPr>
        <w:snapToGrid w:val="0"/>
        <w:spacing w:line="300" w:lineRule="auto"/>
        <w:ind w:left="0" w:firstLine="0"/>
        <w:rPr>
          <w:rFonts w:ascii="Arial" w:hAnsi="Arial" w:eastAsia="宋体" w:cs="Arial"/>
          <w:color w:val="000000"/>
          <w:kern w:val="0"/>
          <w:sz w:val="24"/>
          <w:szCs w:val="24"/>
        </w:rPr>
      </w:pPr>
      <w:r>
        <w:rPr>
          <w:rFonts w:ascii="Arial" w:hAnsi="Arial" w:eastAsia="宋体" w:cs="Arial"/>
          <w:color w:val="000000"/>
          <w:kern w:val="0"/>
          <w:sz w:val="24"/>
          <w:szCs w:val="24"/>
        </w:rPr>
        <w:t>任何其他必须解决的问题，以确保根据器械的使用说明，安全有效地使用该检测产品和所指定的辅助试剂。</w:t>
      </w:r>
    </w:p>
    <w:p w14:paraId="7C4F2987">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此外，贵公司应提供试验数据，以确认所提供或推荐的控制和辅助试剂足以满足检测性能或稳定性。</w:t>
      </w:r>
    </w:p>
    <w:p w14:paraId="33E44CE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如果贵公司对辅助试剂的认定、使用或控制有疑问，请联系食品药品监督管理局寻求建议。</w:t>
      </w:r>
    </w:p>
    <w:p w14:paraId="04F0D35A">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5.D使用该器械的检测程序</w:t>
      </w:r>
    </w:p>
    <w:p w14:paraId="72E1EAD5">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在510（k）中，贵公司应该详细说明该器械的操作原理，并对检测条件、操作程序和控制进行具体描述，以防止可能导致假阳性和假阴性结果的情况。这些包括但不限于：</w:t>
      </w:r>
    </w:p>
    <w:p w14:paraId="3D77C0B0">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对于任何外部控制和内部控制（例如，监测污染的样品阴性控制品或监测提取效率和扩增抑制的内部控制）的描述或建议。</w:t>
      </w:r>
    </w:p>
    <w:p w14:paraId="6380A59D">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检测程序的整体设计，包括纳入推荐的检测程序的控制元素。</w:t>
      </w:r>
    </w:p>
    <w:p w14:paraId="13EB1F29">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产品特点和附加控制，用于监测对扩增和检测产生不利影响的程序错误或因素（例如，主要混合物的降解）</w:t>
      </w:r>
    </w:p>
    <w:p w14:paraId="0688D32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我们建议贵公司在使用说明书中包括所有的附加程序、方法和操作说明（见第7部分 - 标签），以降低与hMPV RNA检测相关的风险。</w:t>
      </w:r>
    </w:p>
    <w:p w14:paraId="26129B3B">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32BF9252">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4"/>
          <w:szCs w:val="24"/>
        </w:rPr>
        <w:t>5.E</w:t>
      </w:r>
      <w:r>
        <w:rPr>
          <w:rFonts w:ascii="Arial" w:hAnsi="Arial" w:eastAsia="宋体" w:cs="Arial"/>
          <w:b/>
          <w:bCs/>
          <w:color w:val="000000"/>
          <w:kern w:val="0"/>
          <w:sz w:val="28"/>
          <w:szCs w:val="28"/>
        </w:rPr>
        <w:t>检测结果的解释/报告</w:t>
      </w:r>
    </w:p>
    <w:p w14:paraId="6720EFD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在510（k）中，贵公司应描述如何对</w:t>
      </w:r>
      <w:r>
        <w:rPr>
          <w:rFonts w:ascii="Arial" w:hAnsi="Arial" w:eastAsia="宋体" w:cs="Arial"/>
          <w:sz w:val="24"/>
          <w:szCs w:val="24"/>
        </w:rPr>
        <w:t>阳性、阴性、不明确</w:t>
      </w:r>
      <w:r>
        <w:rPr>
          <w:rFonts w:ascii="Arial" w:hAnsi="Arial" w:eastAsia="宋体" w:cs="Arial"/>
          <w:color w:val="000000"/>
          <w:kern w:val="0"/>
          <w:sz w:val="24"/>
          <w:szCs w:val="24"/>
        </w:rPr>
        <w:t>（如适用）</w:t>
      </w:r>
      <w:r>
        <w:rPr>
          <w:rFonts w:ascii="Arial" w:hAnsi="Arial" w:eastAsia="宋体" w:cs="Arial"/>
          <w:sz w:val="24"/>
          <w:szCs w:val="24"/>
        </w:rPr>
        <w:t>或无效结果进行</w:t>
      </w:r>
      <w:r>
        <w:rPr>
          <w:rFonts w:ascii="Arial" w:hAnsi="Arial" w:eastAsia="宋体" w:cs="Arial"/>
          <w:color w:val="000000"/>
          <w:kern w:val="0"/>
          <w:sz w:val="24"/>
          <w:szCs w:val="24"/>
        </w:rPr>
        <w:t>确定，以及如何解释。在510（k）的提交资料中，应说明该检测所有结果的临界值。</w:t>
      </w:r>
    </w:p>
    <w:p w14:paraId="6B3C9FB3">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具体来说，贵公司应该提供用于定义该检测的阴性结果的临界值。如果该检测仅有两个检出结果（阴性/阳性），则该临界值也用于定义阳性结果。</w:t>
      </w:r>
    </w:p>
    <w:p w14:paraId="38886348">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如果该检测存在不确定区域，建议提供不确定区域的临界值（限值）。</w:t>
      </w:r>
    </w:p>
    <w:p w14:paraId="6036A7D3">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如果对初始的不明确结果的解释需要重新检测，建议提供（1）是否应重复对同一核酸制备物、新的提取物或新的患者样本进行复测，以及（2）结合初始的不明确结果和复测后的结果来确定最终结果的算法（注意，此算法的开发应在评估该检测产品临床性能的关键临床研究之前进行）。</w:t>
      </w:r>
    </w:p>
    <w:p w14:paraId="2FC48179">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如果报告的测定结果之一可能是一个不明确结果，贵公司应为用户提供对于这个结果的后续操作的解释和建议。</w:t>
      </w:r>
    </w:p>
    <w:p w14:paraId="07DC219C">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如果测定结果无效，贵公司应描述如何定义无效结果。如果内部控制是确定无效结果的一部分，贵公司应提供对每种可能的控制结果的组合的解释，以定义无效结果。应提供对无效结果的后续操作的建议，即，建议将结果报告为无效还是重新检测。如果推荐重新检测，</w:t>
      </w:r>
      <w:r>
        <w:rPr>
          <w:rFonts w:ascii="Arial" w:hAnsi="Arial" w:eastAsia="宋体" w:cs="Arial"/>
          <w:sz w:val="24"/>
          <w:szCs w:val="24"/>
        </w:rPr>
        <w:t>应提供与不明确结果复测类似的信息（即，是否应重复对同一核酸制备物、新的提取物或新的患者样本进行复测）。</w:t>
      </w:r>
    </w:p>
    <w:p w14:paraId="72F26B46">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此外，应描述如何监控时间推移后的结果，以确定由于病毒遗传谱系中的生物学变化而导致的性能变化，或者，在当时(评估产品时)的患病率发生变化时，产品的性能变化。</w:t>
      </w:r>
    </w:p>
    <w:p w14:paraId="41012C40">
      <w:pPr>
        <w:widowControl/>
        <w:snapToGrid w:val="0"/>
        <w:spacing w:line="300" w:lineRule="auto"/>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6. 性能特征</w:t>
      </w:r>
    </w:p>
    <w:p w14:paraId="641B68BE">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6.A一般研究建议</w:t>
      </w:r>
    </w:p>
    <w:p w14:paraId="6A2EE0C7">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应详细介绍用于评估下述每个性能特征的研究设计。我们建议进行预期临床研究，以确定该器械的性能。通常，对于临床研究和分析方法的精密度研究，建议在3个中心进行检测，以代表该器械的预期销售市场（例如，临床实验室中心）。</w:t>
      </w:r>
    </w:p>
    <w:p w14:paraId="108AA70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应对每种推荐的样品类型评估该检测产品的性能。</w:t>
      </w:r>
    </w:p>
    <w:p w14:paraId="7E2CB4D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为了在食品药品监督管理局审查期间，准确地解释可接受标准和汇总数据，建议提供关于方案的具体信息，此信息对于帮助用户理解标签中的内容也很重要。例如，当提及CLSI（临床和实验室标准协会）方案或指南时，建议说明遵循了协议或指南的哪些具体方面。</w:t>
      </w:r>
    </w:p>
    <w:p w14:paraId="7FF096A8">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关于计划进行的研究和预期支持的临床请求，我们建议贵公司联系体外诊断器械评估和安全办公室（OIVD）以获得反馈结果，申办者可联系OIVD获取有关研究计划的反馈。</w:t>
      </w:r>
    </w:p>
    <w:p w14:paraId="0713288F">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6.B对照</w:t>
      </w:r>
    </w:p>
    <w:p w14:paraId="7C17D5A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在进行下述性能研究时，我们建议贵公司在分析方法学和临床研究期间，每天检测时运行适当的外部对照，可以联系食品药品监督管理局 OIVD的微生物器械部以获得关于对照的更多信息。对于基于核酸技术的器械，我们通常建议纳入以下类型的对照：</w:t>
      </w:r>
    </w:p>
    <w:p w14:paraId="525DBDF6">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6.B.i阴性对照</w:t>
      </w:r>
    </w:p>
    <w:p w14:paraId="6C92FFB7">
      <w:pPr>
        <w:widowControl/>
        <w:snapToGrid w:val="0"/>
        <w:spacing w:line="300" w:lineRule="auto"/>
        <w:outlineLvl w:val="5"/>
        <w:rPr>
          <w:rFonts w:ascii="Arial" w:hAnsi="Arial" w:eastAsia="宋体" w:cs="Arial"/>
          <w:b/>
          <w:bCs/>
          <w:i/>
          <w:color w:val="000000"/>
          <w:kern w:val="0"/>
          <w:sz w:val="24"/>
          <w:szCs w:val="24"/>
        </w:rPr>
      </w:pPr>
      <w:r>
        <w:rPr>
          <w:rFonts w:ascii="Arial" w:hAnsi="Arial" w:eastAsia="宋体" w:cs="Arial"/>
          <w:b/>
          <w:bCs/>
          <w:i/>
          <w:color w:val="000000"/>
          <w:kern w:val="0"/>
          <w:sz w:val="24"/>
          <w:szCs w:val="24"/>
        </w:rPr>
        <w:t>空白或无模板对照</w:t>
      </w:r>
    </w:p>
    <w:p w14:paraId="19846F8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空白或无模板对照包括：缓冲液或样品转运培养基和除核酸以外的所有测定组分。该对照用于排除靶核酸的污染或扩增反应中增强的背景，在一次性试剂盒或试管中进行的单次测定可能不需要使用。</w:t>
      </w:r>
    </w:p>
    <w:p w14:paraId="3ACE59CA">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阴性样品对照</w:t>
      </w:r>
    </w:p>
    <w:p w14:paraId="5EFF569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阴性样品对照包含非靶标核酸，或者，如果用于评价提取程序，则包含全部微生物（除了hMPV）。其显示了非特异性的引发或检测，并说明在不存在靶序列的情况下不会获得信号。可接受的阴性样品对照包括(举例)：</w:t>
      </w:r>
    </w:p>
    <w:p w14:paraId="2BBF9741">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来自非hMPV感染个体的患者样本</w:t>
      </w:r>
    </w:p>
    <w:p w14:paraId="628ADFFD">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含有非靶标生物体的样品（例如，感染了非hMPV病毒的细胞系）</w:t>
      </w:r>
    </w:p>
    <w:p w14:paraId="4EE8BE61">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替代的阴性对照，例如，外来的包膜RNA</w:t>
      </w:r>
      <w:r>
        <w:fldChar w:fldCharType="begin"/>
      </w:r>
      <w:r>
        <w:instrText xml:space="preserve"> HYPERLINK "http://www.fda.gov/MedicalDevices/DeviceRegulationandGuidance/GuidanceDocuments/ucm180308.htm" \l "ft8" </w:instrText>
      </w:r>
      <w:r>
        <w:fldChar w:fldCharType="separate"/>
      </w:r>
      <w:r>
        <w:rPr>
          <w:rFonts w:ascii="Arial" w:hAnsi="Arial" w:eastAsia="宋体" w:cs="Arial"/>
          <w:color w:val="800080"/>
          <w:kern w:val="0"/>
          <w:sz w:val="24"/>
          <w:szCs w:val="24"/>
          <w:u w:val="single"/>
          <w:vertAlign w:val="superscript"/>
        </w:rPr>
        <w:t>8</w:t>
      </w:r>
      <w:r>
        <w:rPr>
          <w:rFonts w:ascii="Arial" w:hAnsi="Arial" w:eastAsia="宋体" w:cs="Arial"/>
          <w:color w:val="800080"/>
          <w:kern w:val="0"/>
          <w:sz w:val="24"/>
          <w:szCs w:val="24"/>
          <w:u w:val="single"/>
          <w:vertAlign w:val="superscript"/>
        </w:rPr>
        <w:fldChar w:fldCharType="end"/>
      </w:r>
    </w:p>
    <w:p w14:paraId="7FA25DEC">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6.B.ii阳性对照</w:t>
      </w:r>
    </w:p>
    <w:p w14:paraId="4B25B706">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用于完全测定的阳性对照</w:t>
      </w:r>
    </w:p>
    <w:p w14:paraId="31A31CB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阳性对照包含靶核酸，用于对照整个测定过程，包括RNA提取，扩增和检测。它模仿患者标本而设计，按照由实验室质量体系（QS）确定的频率，与患者标本分别同时进行检测。可接受的阳性测定对照品的实例包括：</w:t>
      </w:r>
    </w:p>
    <w:p w14:paraId="12CF44D6">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来自hMPV感染个体的患者标本</w:t>
      </w:r>
    </w:p>
    <w:p w14:paraId="00272785">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hMPV毒株感染的细胞培养物</w:t>
      </w:r>
    </w:p>
    <w:p w14:paraId="3D4504CA">
      <w:pPr>
        <w:widowControl/>
        <w:numPr>
          <w:ilvl w:val="0"/>
          <w:numId w:val="8"/>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包装的hMPV靶RNA</w:t>
      </w:r>
    </w:p>
    <w:p w14:paraId="78B13B40">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用于扩增/检测的阳性对照</w:t>
      </w:r>
    </w:p>
    <w:p w14:paraId="48080C31">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24103D8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用于扩增/检测的阳性对照包含纯化的靶核酸，浓度等于或接近定性测定的检测限。在获得阴性结果时，可对照样品和反应组分的完整性，其表明，样品中如果存在靶核酸，即可被测得。</w:t>
      </w:r>
    </w:p>
    <w:p w14:paraId="1D0BC484">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6.B.iii内部对照</w:t>
      </w:r>
    </w:p>
    <w:p w14:paraId="479C135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内部对照</w:t>
      </w:r>
      <w:r>
        <w:rPr>
          <w:rFonts w:ascii="Arial" w:hAnsi="Arial" w:eastAsia="宋体" w:cs="Arial"/>
          <w:sz w:val="24"/>
          <w:szCs w:val="24"/>
        </w:rPr>
        <w:t>是与靶核酸共提取和共扩增的非靶核酸序列。它对照试剂（如：聚合酶，引物等）的完整性，设备功能（如：热循环仪）和样品中扩增抑制剂的存在。可接受的内部对照包括(举例)：与</w:t>
      </w:r>
      <w:r>
        <w:rPr>
          <w:rFonts w:ascii="Arial" w:hAnsi="Arial" w:eastAsia="宋体" w:cs="Arial"/>
          <w:color w:val="000000"/>
          <w:kern w:val="0"/>
          <w:sz w:val="24"/>
          <w:szCs w:val="24"/>
        </w:rPr>
        <w:t>hMPV RNA</w:t>
      </w:r>
      <w:r>
        <w:rPr>
          <w:rFonts w:ascii="Arial" w:hAnsi="Arial" w:eastAsia="宋体" w:cs="Arial"/>
          <w:sz w:val="24"/>
          <w:szCs w:val="24"/>
        </w:rPr>
        <w:t>共提取的人类核酸和扩增的人类持家基因（如：RNaseP，</w:t>
      </w:r>
      <w:r>
        <w:rPr>
          <w:rFonts w:ascii="Arial" w:hAnsi="Arial" w:eastAsia="宋体" w:cs="Arial"/>
          <w:color w:val="000000"/>
          <w:kern w:val="0"/>
          <w:sz w:val="24"/>
          <w:szCs w:val="24"/>
        </w:rPr>
        <w:t>β-</w:t>
      </w:r>
      <w:r>
        <w:rPr>
          <w:rFonts w:ascii="Arial" w:hAnsi="Arial" w:eastAsia="宋体" w:cs="Arial"/>
          <w:sz w:val="24"/>
          <w:szCs w:val="24"/>
        </w:rPr>
        <w:t>肌动蛋白）的引物。这种对照的必要性取决于对器械个例的具体分析</w:t>
      </w:r>
      <w:r>
        <w:fldChar w:fldCharType="begin"/>
      </w:r>
      <w:r>
        <w:instrText xml:space="preserve"> HYPERLINK "http://www.fda.gov/MedicalDevices/DeviceRegulationandGuidance/GuidanceDocuments/ucm180308.htm" \l "ft9" </w:instrText>
      </w:r>
      <w:r>
        <w:fldChar w:fldCharType="separate"/>
      </w:r>
      <w:r>
        <w:rPr>
          <w:rFonts w:ascii="Arial" w:hAnsi="Arial" w:eastAsia="宋体" w:cs="Arial"/>
          <w:color w:val="800080"/>
          <w:kern w:val="0"/>
          <w:sz w:val="24"/>
          <w:szCs w:val="24"/>
          <w:u w:val="single"/>
          <w:vertAlign w:val="superscript"/>
        </w:rPr>
        <w:t>9</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w:t>
      </w:r>
    </w:p>
    <w:p w14:paraId="4B602CD8">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6.C样本的收集和处理</w:t>
      </w:r>
    </w:p>
    <w:p w14:paraId="5364192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明确该检测产品预期测定的样本类型，必须在疾病状态的临床进展期间从合适的解剖部位(该部位存在hMPV)或来源收集样本。用于hMPV核酸检测的适宜样本类型是呼吸道样本（例如，鼻咽拭子（NPS），鼻部抽吸物（NA），鼻部拭子和鼻洗液）。</w:t>
      </w:r>
    </w:p>
    <w:p w14:paraId="4D0EFDC6">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取的靶标物的质量和数量，高度依赖于多个因素，例如样本源，收集方法和处理（例如，转运和储存的时间和温度）。在510（k）中提供的检测资料，贵公司应验证（1）系统为hMPV提供了充足而适当的核酸；以及（2）该器械在标签中推荐的所有不同条件下维持可接受的性能（例如，准确度、再现性）。例如，贵公司应该使用在推荐的时间和温度条件下储存和/或转运的样品的等分试样进行分析，来评估所推荐的储存时间和温度对样品稳定性和回收率的影响，应说明所有样本的稳定性参数的可接受标准。</w:t>
      </w:r>
    </w:p>
    <w:p w14:paraId="47EAFC9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用于病原体鉴定的样本的收集和处理，应采用所有适用的州和联邦生物安全性指南。有关处理样品的标准预防措施，请参阅相关的CLSI文件</w:t>
      </w:r>
      <w:r>
        <w:fldChar w:fldCharType="begin"/>
      </w:r>
      <w:r>
        <w:instrText xml:space="preserve"> HYPERLINK "http://www.fda.gov/MedicalDevices/DeviceRegulationandGuidance/GuidanceDocuments/ucm180308.htm" \l "ft10" </w:instrText>
      </w:r>
      <w:r>
        <w:fldChar w:fldCharType="separate"/>
      </w:r>
      <w:r>
        <w:rPr>
          <w:rFonts w:ascii="Arial" w:hAnsi="Arial" w:eastAsia="宋体" w:cs="Arial"/>
          <w:color w:val="800080"/>
          <w:kern w:val="0"/>
          <w:sz w:val="24"/>
          <w:szCs w:val="24"/>
          <w:u w:val="single"/>
          <w:vertAlign w:val="superscript"/>
        </w:rPr>
        <w:t>10</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的最新版本。</w:t>
      </w:r>
    </w:p>
    <w:p w14:paraId="0579D912">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与新鲜样本相比，冷冻样本的hMPV检测灵敏度可能不同。在开发检测产品时，应考虑的因素包括，充分评估此项是否为hMPV RNA和器械性能的关注点，还应评估反复冻融循环对hMPV核酸产量的影响及其对检测性能的影响。</w:t>
      </w:r>
    </w:p>
    <w:p w14:paraId="409FF356">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6.D核酸提取</w:t>
      </w:r>
    </w:p>
    <w:p w14:paraId="2102B0E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不同的提取方法会产生不同数量和质量的hMPV核酸，因此提取方法对于成功的结果是至关重要的。从呼吸道样本中提纯hMPV核酸具有挑战性，因为生物样品可能在人基因组DNA的背景中，含有较低的病毒滴度，以及高水平的蛋白质和其他污染物。</w:t>
      </w:r>
    </w:p>
    <w:p w14:paraId="05BC64E3">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由于这些原因，应评估所选择的提取方法对检测性能的影响，hMPV核酸的数量和质量可满足该检测产品的预期用途。此外，我们建议使用推荐的用于检测的整个分析过程（包括提取程序），来评估该检测产品的检测分析和临床性能特征，包括使用每种提取程序来证明该检测的检测限（LoD）和再现性。在“检测限”项下（见第6.F.i-分析灵敏度）提供了进行LoD研究的建议。此外，外部场所研究（包括再现性和临床研究）应包括标签中规定的提取程序。</w:t>
      </w:r>
    </w:p>
    <w:p w14:paraId="3DB338D9">
      <w:pPr>
        <w:widowControl/>
        <w:snapToGrid w:val="0"/>
        <w:spacing w:line="300" w:lineRule="auto"/>
        <w:rPr>
          <w:rFonts w:ascii="Arial" w:hAnsi="Arial" w:eastAsia="宋体" w:cs="Arial"/>
          <w:color w:val="000000"/>
          <w:kern w:val="0"/>
          <w:sz w:val="24"/>
          <w:szCs w:val="24"/>
        </w:rPr>
      </w:pPr>
      <w:r>
        <w:rPr>
          <w:rFonts w:ascii="Arial" w:hAnsi="Arial" w:eastAsia="宋体" w:cs="Arial"/>
          <w:sz w:val="24"/>
          <w:szCs w:val="24"/>
        </w:rPr>
        <w:t>贵公司应进行这些评估，无论是确实在检测试剂盒中提供了用于提取和制备核酸的试剂，还是对用户就适当的试剂进行简单的指导。</w:t>
      </w:r>
    </w:p>
    <w:p w14:paraId="353F8FD6">
      <w:pPr>
        <w:widowControl/>
        <w:snapToGrid w:val="0"/>
        <w:spacing w:line="300" w:lineRule="auto"/>
        <w:rPr>
          <w:rFonts w:ascii="Arial" w:hAnsi="Arial" w:eastAsia="宋体" w:cs="Arial"/>
          <w:sz w:val="24"/>
          <w:szCs w:val="24"/>
        </w:rPr>
      </w:pPr>
      <w:r>
        <w:rPr>
          <w:rFonts w:ascii="Arial" w:hAnsi="Arial" w:eastAsia="宋体" w:cs="Arial"/>
          <w:sz w:val="24"/>
          <w:szCs w:val="24"/>
        </w:rPr>
        <w:t>如果贵公司检测中推荐或包括了多种提取方法，应证明每种方法的LoD和再现性。假设提取方法对整体检测性能引入了最小方差，可以将提取方法的变量与每个中心的性能变量相结合，例如，如果推荐了三种不同的提取方法，可以设计一个再现性研究，在每个检测中心对三种提取方法之一进行评估：中心1检测时使用提取方法A，中心2为方法B，中心3为方法C。</w:t>
      </w:r>
      <w:r>
        <w:rPr>
          <w:rFonts w:ascii="Arial" w:hAnsi="Arial" w:eastAsia="宋体" w:cs="Arial"/>
          <w:color w:val="000000"/>
          <w:kern w:val="0"/>
          <w:sz w:val="24"/>
          <w:szCs w:val="24"/>
        </w:rPr>
        <w:t>如果以上检测产生的结果无显著差异，则不需要进一步的再现性研究。</w:t>
      </w:r>
      <w:r>
        <w:rPr>
          <w:rFonts w:ascii="Arial" w:hAnsi="Arial" w:eastAsia="宋体" w:cs="Arial"/>
          <w:sz w:val="24"/>
          <w:szCs w:val="24"/>
        </w:rPr>
        <w:t>但是，如果来自三个检测中心的结果具有统计学显著差异，则应该扩大再现性研究，包括在三个研究中心对每种提取方法进行检测（例如，中心1提取方法A，B和C，中心2提取方法A，B和C，以及中心3提取方法A，B和C）。</w:t>
      </w:r>
    </w:p>
    <w:p w14:paraId="5E64C72B">
      <w:pPr>
        <w:widowControl/>
        <w:snapToGrid w:val="0"/>
        <w:spacing w:line="300" w:lineRule="auto"/>
        <w:rPr>
          <w:rFonts w:ascii="Arial" w:hAnsi="Arial" w:eastAsia="宋体" w:cs="Arial"/>
          <w:color w:val="000000"/>
          <w:kern w:val="0"/>
          <w:sz w:val="24"/>
          <w:szCs w:val="24"/>
        </w:rPr>
      </w:pPr>
      <w:r>
        <w:rPr>
          <w:rFonts w:ascii="Arial" w:hAnsi="Arial" w:eastAsia="宋体" w:cs="Arial"/>
          <w:sz w:val="24"/>
          <w:szCs w:val="24"/>
        </w:rPr>
        <w:t>除了分析研究（LoD和再现性）之外，在临床试验期间，应在至少一个临床中心使用每种提取方法来得到临床性能的数据。如果扩大的再现性检测结果表明，提取方法之间的效能有显著差异，那么，来自每个临床检测中心（使用不同的核酸提取方法）的数据不被认为是等同的，并且不能合并，而应单独分析。因此，可能需要纳入额外的预期预期临床样品以支持所申请的提取方法。</w:t>
      </w:r>
    </w:p>
    <w:p w14:paraId="34224B12">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6.E检测临界值</w:t>
      </w:r>
    </w:p>
    <w:p w14:paraId="61B66A0C">
      <w:pPr>
        <w:widowControl/>
        <w:snapToGrid w:val="0"/>
        <w:spacing w:line="300" w:lineRule="auto"/>
        <w:rPr>
          <w:rFonts w:ascii="Arial" w:hAnsi="Arial" w:eastAsia="宋体" w:cs="Arial"/>
          <w:color w:val="000000"/>
          <w:kern w:val="0"/>
          <w:sz w:val="24"/>
          <w:szCs w:val="24"/>
        </w:rPr>
      </w:pPr>
      <w:r>
        <w:rPr>
          <w:rFonts w:ascii="Arial" w:hAnsi="Arial" w:eastAsia="宋体" w:cs="Arial"/>
          <w:kern w:val="0"/>
          <w:sz w:val="24"/>
          <w:szCs w:val="24"/>
        </w:rPr>
        <w:t>在提交的资料中，应解释如何确定该检测的临界值（见第5.E部分-对检测结</w:t>
      </w:r>
      <w:r>
        <w:rPr>
          <w:rFonts w:ascii="Arial" w:hAnsi="Arial" w:eastAsia="宋体" w:cs="Arial"/>
          <w:color w:val="000000"/>
          <w:kern w:val="0"/>
          <w:sz w:val="24"/>
          <w:szCs w:val="24"/>
        </w:rPr>
        <w:t>果的解释/报告）以及如何验证该临界值。需使用适当的统计学方法来确定临界值，例如，在预试验中对于不含任何hMPV RNA的临床样品，应提供结果分布、95%和99%的置信区间，非阴性(阳性或灰区)结果的百分比等。适宜临界值的选择，可以通过基于预试验中临床样品的受试者工作特征曲线（ROC）分析的相关灵敏度水平和特异性来确认（关于ROC分析的细节，参见CLSI文献GP10-A</w:t>
      </w:r>
      <w:r>
        <w:rPr>
          <w:rFonts w:ascii="Arial" w:hAnsi="Arial" w:eastAsia="宋体" w:cs="Arial"/>
          <w:i/>
          <w:color w:val="000000"/>
          <w:kern w:val="0"/>
          <w:sz w:val="24"/>
          <w:szCs w:val="24"/>
        </w:rPr>
        <w:t>使用受试者工作特征曲线（ROC）图的实验室检测的临床准确度评估；批准的指南，</w:t>
      </w:r>
      <w:r>
        <w:rPr>
          <w:rFonts w:ascii="Arial" w:hAnsi="Arial" w:eastAsia="宋体" w:cs="Arial"/>
          <w:color w:val="000000"/>
          <w:kern w:val="0"/>
          <w:sz w:val="24"/>
          <w:szCs w:val="24"/>
        </w:rPr>
        <w:t>研究和实验室标准研究所，Wayne，PA，1995）。如果该检测存在不明确区域，</w:t>
      </w:r>
      <w:r>
        <w:rPr>
          <w:rFonts w:ascii="Arial" w:hAnsi="Arial" w:eastAsia="宋体" w:cs="Arial"/>
          <w:sz w:val="24"/>
          <w:szCs w:val="24"/>
        </w:rPr>
        <w:t>应说明如何确定</w:t>
      </w:r>
      <w:r>
        <w:rPr>
          <w:rFonts w:ascii="Arial" w:hAnsi="Arial" w:eastAsia="宋体" w:cs="Arial"/>
          <w:color w:val="000000"/>
          <w:kern w:val="0"/>
          <w:sz w:val="24"/>
          <w:szCs w:val="24"/>
        </w:rPr>
        <w:t>不明确区域</w:t>
      </w:r>
      <w:r>
        <w:rPr>
          <w:rFonts w:ascii="Arial" w:hAnsi="Arial" w:eastAsia="宋体" w:cs="Arial"/>
          <w:sz w:val="24"/>
          <w:szCs w:val="24"/>
        </w:rPr>
        <w:t>的限值。</w:t>
      </w:r>
      <w:r>
        <w:rPr>
          <w:rFonts w:ascii="Arial" w:hAnsi="Arial" w:eastAsia="宋体" w:cs="Arial"/>
          <w:color w:val="000000"/>
          <w:kern w:val="0"/>
          <w:sz w:val="24"/>
          <w:szCs w:val="24"/>
        </w:rPr>
        <w:t>该申报器械使用的已确定的临界值（和不明确区域，如适用）的性能应该在符合该器械所规定的预期用途的独立人群中进行验证。</w:t>
      </w:r>
    </w:p>
    <w:p w14:paraId="3F50FB7E">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6.F性能研究</w:t>
      </w:r>
    </w:p>
    <w:p w14:paraId="3321D651">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539EDE8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我们建议贵公司在510（k）中确立hMPV RNA检测产品的以下性能特征：</w:t>
      </w:r>
    </w:p>
    <w:p w14:paraId="0CD83661">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6.F.i分析灵敏度</w:t>
      </w:r>
    </w:p>
    <w:p w14:paraId="71738D4D">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检测限</w:t>
      </w:r>
    </w:p>
    <w:p w14:paraId="63EEA6CD">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通过对再生并恢复滴度的hMPV原液的有限稀释来确定检测限(LoD)，研究应包括每种hMPV遗传谱系（共四种，A1，A2，B1，B2）的系列稀释液，每个稀释度重复3-5份，使用hMPV阴性的人体呼吸道样品合并液或等效基质来制备梯度稀释液，将具有95%阳性检出率的病毒水平作为LoD。LoD的确认，可以通过在LoD浓度下，制备不少于20份的额外样本进行重复检测，证明病毒的阳性检出率为95%。推荐用于测定LoD的参考方法为半数组织培养感染量（TCID50），应确定该器械检测的每种样品类型的LoD。建议在进行研究设计时参考临床实验室标准协会（CLSI）文件EP17-A</w:t>
      </w:r>
      <w:r>
        <w:fldChar w:fldCharType="begin"/>
      </w:r>
      <w:r>
        <w:instrText xml:space="preserve"> HYPERLINK "http://www.fda.gov/MedicalDevices/DeviceRegulationandGuidance/GuidanceDocuments/ucm180308.htm" \l "ft11" </w:instrText>
      </w:r>
      <w:r>
        <w:fldChar w:fldCharType="separate"/>
      </w:r>
      <w:r>
        <w:rPr>
          <w:rFonts w:ascii="Arial" w:hAnsi="Arial" w:eastAsia="宋体" w:cs="Arial"/>
          <w:kern w:val="0"/>
          <w:sz w:val="24"/>
          <w:szCs w:val="24"/>
          <w:u w:val="single"/>
          <w:vertAlign w:val="superscript"/>
        </w:rPr>
        <w:t>11</w:t>
      </w:r>
      <w:r>
        <w:rPr>
          <w:rFonts w:ascii="Arial" w:hAnsi="Arial" w:eastAsia="宋体" w:cs="Arial"/>
          <w:kern w:val="0"/>
          <w:sz w:val="24"/>
          <w:szCs w:val="24"/>
          <w:u w:val="single"/>
          <w:vertAlign w:val="superscript"/>
        </w:rPr>
        <w:fldChar w:fldCharType="end"/>
      </w:r>
      <w:r>
        <w:rPr>
          <w:rFonts w:ascii="Arial" w:hAnsi="Arial" w:eastAsia="宋体" w:cs="Arial"/>
          <w:color w:val="000000"/>
          <w:kern w:val="0"/>
          <w:sz w:val="24"/>
          <w:szCs w:val="24"/>
        </w:rPr>
        <w:t>。</w:t>
      </w:r>
    </w:p>
    <w:p w14:paraId="55D8A4B3">
      <w:pPr>
        <w:widowControl/>
        <w:snapToGrid w:val="0"/>
        <w:spacing w:line="300" w:lineRule="auto"/>
        <w:outlineLvl w:val="5"/>
        <w:rPr>
          <w:rFonts w:ascii="Arial" w:hAnsi="Arial" w:eastAsia="宋体" w:cs="Arial"/>
          <w:b/>
          <w:bCs/>
          <w:color w:val="000000"/>
          <w:kern w:val="0"/>
          <w:sz w:val="24"/>
          <w:szCs w:val="24"/>
        </w:rPr>
      </w:pPr>
      <w:r>
        <w:rPr>
          <w:rFonts w:ascii="Arial" w:hAnsi="Arial" w:eastAsia="宋体" w:cs="Arial"/>
          <w:b/>
          <w:bCs/>
          <w:color w:val="000000"/>
          <w:kern w:val="0"/>
          <w:sz w:val="24"/>
          <w:szCs w:val="24"/>
        </w:rPr>
        <w:t>分析反应性（包容性）</w:t>
      </w:r>
    </w:p>
    <w:p w14:paraId="71FB05FF">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证明该检测产品可在LoD或接近LoD的病毒浓度，可对至少一种额外的hMPV毒株进行检测，该毒株代表了hMPV四种遗传谱系的每一种。使用hMPV阴性的人体呼吸道样品合并液或等效基质来制备稀释液，应确认所有病毒的型别和滴度。</w:t>
      </w:r>
    </w:p>
    <w:p w14:paraId="7D7BA475">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6.F.ii分析特异性</w:t>
      </w:r>
    </w:p>
    <w:p w14:paraId="3BFD7803">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交叉反应性</w:t>
      </w:r>
    </w:p>
    <w:p w14:paraId="0BA13C4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我们建议贵公司对该检测产品与非hMPV的呼吸道病原体和大多数人群可能感染的其他微生物，如：EBV和CMV的潜在交叉反应性进行测定，可在病毒和细菌感染的医学相关水平进行检测(细菌通常为10</w:t>
      </w:r>
      <w:r>
        <w:rPr>
          <w:rFonts w:ascii="Arial" w:hAnsi="Arial" w:eastAsia="宋体" w:cs="Arial"/>
          <w:color w:val="000000"/>
          <w:kern w:val="0"/>
          <w:sz w:val="24"/>
          <w:szCs w:val="24"/>
          <w:vertAlign w:val="superscript"/>
        </w:rPr>
        <w:t>6</w:t>
      </w:r>
      <w:r>
        <w:rPr>
          <w:rFonts w:ascii="Arial" w:hAnsi="Arial" w:eastAsia="宋体" w:cs="Arial"/>
          <w:color w:val="000000"/>
          <w:kern w:val="0"/>
          <w:sz w:val="24"/>
          <w:szCs w:val="24"/>
        </w:rPr>
        <w:t xml:space="preserve"> cfu/ml或更高，病毒通常为10</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 xml:space="preserve"> pfu/ml或更高)，应确认病毒和细菌的型别和滴度。推荐用于交叉反应性研究的微生物列于表1。</w:t>
      </w:r>
    </w:p>
    <w:p w14:paraId="688B3FA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表1. 推荐用于交叉反应性研究的微生物。</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2264"/>
        <w:gridCol w:w="1302"/>
      </w:tblGrid>
      <w:tr w14:paraId="10296E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ACA6816">
            <w:pPr>
              <w:widowControl/>
              <w:snapToGrid w:val="0"/>
              <w:spacing w:line="280" w:lineRule="exact"/>
              <w:rPr>
                <w:rFonts w:ascii="Arial" w:hAnsi="Arial" w:eastAsia="宋体" w:cs="Arial"/>
                <w:b/>
                <w:bCs/>
                <w:color w:val="000000"/>
                <w:kern w:val="0"/>
                <w:sz w:val="24"/>
                <w:szCs w:val="24"/>
              </w:rPr>
            </w:pPr>
            <w:r>
              <w:rPr>
                <w:rFonts w:ascii="Arial" w:hAnsi="Arial" w:eastAsia="宋体" w:cs="Arial"/>
                <w:b/>
                <w:bCs/>
                <w:color w:val="000000"/>
                <w:kern w:val="0"/>
                <w:sz w:val="24"/>
                <w:szCs w:val="24"/>
              </w:rPr>
              <w:t>微生物</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917F603">
            <w:pPr>
              <w:widowControl/>
              <w:snapToGrid w:val="0"/>
              <w:spacing w:line="280" w:lineRule="exact"/>
              <w:rPr>
                <w:rFonts w:ascii="Arial" w:hAnsi="Arial" w:eastAsia="宋体" w:cs="Arial"/>
                <w:b/>
                <w:bCs/>
                <w:color w:val="000000"/>
                <w:kern w:val="0"/>
                <w:sz w:val="24"/>
                <w:szCs w:val="24"/>
              </w:rPr>
            </w:pPr>
            <w:r>
              <w:rPr>
                <w:rFonts w:ascii="Arial" w:hAnsi="Arial" w:eastAsia="宋体" w:cs="Arial"/>
                <w:b/>
                <w:bCs/>
                <w:color w:val="000000"/>
                <w:kern w:val="0"/>
                <w:sz w:val="24"/>
                <w:szCs w:val="24"/>
              </w:rPr>
              <w:t>类型/菌毒株</w:t>
            </w:r>
          </w:p>
        </w:tc>
      </w:tr>
      <w:tr w14:paraId="089A78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0707CA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腺病毒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EE73AE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1型</w:t>
            </w:r>
          </w:p>
        </w:tc>
      </w:tr>
      <w:tr w14:paraId="2510DA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C56DB79">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腺病毒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33DDD9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7型</w:t>
            </w:r>
          </w:p>
        </w:tc>
      </w:tr>
      <w:tr w14:paraId="37E214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2AC6526">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人体冠状病毒*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0A6895A">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20C9E4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1BB248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巨细胞病毒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48A7BF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52AD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A940611">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Enterovirus肠道病毒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424CD9B">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CD48C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E4BB6C9">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爱泼斯坦巴尔病毒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079FB4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BD924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1EEE3D4">
            <w:pPr>
              <w:snapToGrid w:val="0"/>
              <w:spacing w:line="280" w:lineRule="exact"/>
              <w:rPr>
                <w:rFonts w:ascii="Arial" w:hAnsi="Arial" w:eastAsia="宋体" w:cs="Arial"/>
              </w:rPr>
            </w:pPr>
            <w:r>
              <w:rPr>
                <w:rFonts w:ascii="Arial" w:hAnsi="Arial" w:eastAsia="宋体" w:cs="Arial"/>
                <w:color w:val="000000"/>
                <w:kern w:val="0"/>
                <w:sz w:val="24"/>
                <w:szCs w:val="24"/>
              </w:rPr>
              <w:t>人体副流感病毒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6B0C28F">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1型</w:t>
            </w:r>
          </w:p>
        </w:tc>
      </w:tr>
      <w:tr w14:paraId="242B4B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13EF5FE7">
            <w:pPr>
              <w:snapToGrid w:val="0"/>
              <w:spacing w:line="280" w:lineRule="exact"/>
              <w:rPr>
                <w:rFonts w:ascii="Arial" w:hAnsi="Arial" w:eastAsia="宋体" w:cs="Arial"/>
              </w:rPr>
            </w:pPr>
            <w:r>
              <w:rPr>
                <w:rFonts w:ascii="Arial" w:hAnsi="Arial" w:eastAsia="宋体" w:cs="Arial"/>
                <w:color w:val="000000"/>
                <w:kern w:val="0"/>
                <w:sz w:val="24"/>
                <w:szCs w:val="24"/>
              </w:rPr>
              <w:t>人体副流感病毒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395268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2型</w:t>
            </w:r>
          </w:p>
        </w:tc>
      </w:tr>
      <w:tr w14:paraId="53B67E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1B4B9DB">
            <w:pPr>
              <w:snapToGrid w:val="0"/>
              <w:spacing w:line="280" w:lineRule="exact"/>
              <w:rPr>
                <w:rFonts w:ascii="Arial" w:hAnsi="Arial" w:eastAsia="宋体" w:cs="Arial"/>
              </w:rPr>
            </w:pPr>
            <w:r>
              <w:rPr>
                <w:rFonts w:ascii="Arial" w:hAnsi="Arial" w:eastAsia="宋体" w:cs="Arial"/>
                <w:color w:val="000000"/>
                <w:kern w:val="0"/>
                <w:sz w:val="24"/>
                <w:szCs w:val="24"/>
              </w:rPr>
              <w:t>人体副流感病毒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DB54AF4">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3型</w:t>
            </w:r>
          </w:p>
        </w:tc>
      </w:tr>
      <w:tr w14:paraId="4B2B60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1FA3124">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麻疹病毒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7F3FBAB">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650BC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7E4746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人类流感病毒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EB8FE2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A</w:t>
            </w:r>
          </w:p>
        </w:tc>
      </w:tr>
      <w:tr w14:paraId="6B8DB1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08018A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人类流感病毒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44E8CE3">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B</w:t>
            </w:r>
          </w:p>
        </w:tc>
      </w:tr>
      <w:tr w14:paraId="6B6AE0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81859F4">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腮腺炎病毒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7ACAB9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A6CF8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743F67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呼吸道合胞病毒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EF4F01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A</w:t>
            </w:r>
          </w:p>
        </w:tc>
      </w:tr>
      <w:tr w14:paraId="083D7F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0707F9C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呼吸道合胞病毒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802F14D">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B</w:t>
            </w:r>
          </w:p>
        </w:tc>
      </w:tr>
      <w:tr w14:paraId="5D40BB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18EB81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鼻病毒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1BF080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xml:space="preserve">1A型 </w:t>
            </w:r>
          </w:p>
        </w:tc>
      </w:tr>
      <w:tr w14:paraId="06C0C0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277D8C87">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百日咳杆菌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556C5C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B31EF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60380B51">
            <w:pPr>
              <w:widowControl/>
              <w:snapToGrid w:val="0"/>
              <w:spacing w:line="280" w:lineRule="exact"/>
              <w:rPr>
                <w:rFonts w:ascii="Arial" w:hAnsi="Arial" w:eastAsia="宋体" w:cs="Arial"/>
                <w:i/>
                <w:color w:val="000000"/>
                <w:kern w:val="0"/>
                <w:sz w:val="24"/>
                <w:szCs w:val="24"/>
              </w:rPr>
            </w:pPr>
            <w:r>
              <w:rPr>
                <w:rFonts w:ascii="Arial" w:hAnsi="Arial" w:eastAsia="宋体" w:cs="Arial"/>
                <w:i/>
                <w:color w:val="000000"/>
                <w:kern w:val="0"/>
                <w:sz w:val="24"/>
                <w:szCs w:val="24"/>
              </w:rPr>
              <w:t>肺炎衣原体</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FCC3428">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7DAD2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767224E5">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棒状杆菌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4FADB8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178F1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7C7F7120">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大肠杆菌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49DF50B">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299E95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2C957984">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w:t>
            </w:r>
            <w:r>
              <w:rPr>
                <w:rFonts w:ascii="Arial" w:hAnsi="Arial" w:eastAsia="宋体" w:cs="Arial"/>
                <w:i/>
                <w:color w:val="000000"/>
                <w:kern w:val="0"/>
                <w:sz w:val="24"/>
                <w:szCs w:val="24"/>
              </w:rPr>
              <w:t>流感嗜血杆菌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4C50939">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4895F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3EF67C93">
            <w:pPr>
              <w:widowControl/>
              <w:snapToGrid w:val="0"/>
              <w:spacing w:line="280" w:lineRule="exact"/>
              <w:rPr>
                <w:rFonts w:ascii="Arial" w:hAnsi="Arial" w:eastAsia="宋体" w:cs="Arial"/>
                <w:i/>
                <w:color w:val="000000"/>
                <w:kern w:val="0"/>
                <w:sz w:val="24"/>
                <w:szCs w:val="24"/>
              </w:rPr>
            </w:pPr>
            <w:r>
              <w:rPr>
                <w:rFonts w:ascii="Arial" w:hAnsi="Arial" w:eastAsia="宋体" w:cs="Arial"/>
                <w:i/>
                <w:color w:val="000000"/>
                <w:kern w:val="0"/>
                <w:sz w:val="24"/>
                <w:szCs w:val="24"/>
              </w:rPr>
              <w:t>乳酸菌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DED6A15">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5D8CEE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23BA3FE6">
            <w:pPr>
              <w:widowControl/>
              <w:snapToGrid w:val="0"/>
              <w:spacing w:line="280" w:lineRule="exact"/>
              <w:rPr>
                <w:rFonts w:ascii="Arial" w:hAnsi="Arial" w:eastAsia="宋体" w:cs="Arial"/>
                <w:i/>
                <w:iCs/>
                <w:color w:val="000000"/>
                <w:kern w:val="0"/>
                <w:sz w:val="24"/>
                <w:szCs w:val="24"/>
              </w:rPr>
            </w:pPr>
            <w:r>
              <w:rPr>
                <w:rFonts w:ascii="Arial" w:hAnsi="Arial" w:eastAsia="宋体" w:cs="Arial"/>
                <w:i/>
                <w:iCs/>
                <w:color w:val="000000"/>
                <w:kern w:val="0"/>
                <w:sz w:val="24"/>
                <w:szCs w:val="24"/>
              </w:rPr>
              <w:t>军团菌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0FD6CB7">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12133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5936216E">
            <w:pPr>
              <w:widowControl/>
              <w:snapToGrid w:val="0"/>
              <w:spacing w:line="280" w:lineRule="exact"/>
              <w:rPr>
                <w:rFonts w:ascii="Arial" w:hAnsi="Arial" w:eastAsia="宋体" w:cs="Arial"/>
                <w:i/>
                <w:iCs/>
                <w:color w:val="000000"/>
                <w:kern w:val="0"/>
                <w:sz w:val="24"/>
                <w:szCs w:val="24"/>
              </w:rPr>
            </w:pPr>
            <w:r>
              <w:rPr>
                <w:rFonts w:ascii="Arial" w:hAnsi="Arial" w:eastAsia="宋体" w:cs="Arial"/>
                <w:i/>
                <w:iCs/>
                <w:color w:val="000000"/>
                <w:kern w:val="0"/>
                <w:sz w:val="24"/>
                <w:szCs w:val="24"/>
              </w:rPr>
              <w:t>卡他莫拉菌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1BF8B8F">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21AE83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1C678C51">
            <w:pPr>
              <w:widowControl/>
              <w:snapToGrid w:val="0"/>
              <w:spacing w:line="280" w:lineRule="exact"/>
              <w:rPr>
                <w:rFonts w:ascii="Arial" w:hAnsi="Arial" w:eastAsia="宋体" w:cs="Arial"/>
                <w:i/>
                <w:iCs/>
                <w:color w:val="000000"/>
                <w:kern w:val="0"/>
                <w:sz w:val="24"/>
                <w:szCs w:val="24"/>
              </w:rPr>
            </w:pPr>
            <w:r>
              <w:rPr>
                <w:rFonts w:ascii="Arial" w:hAnsi="Arial" w:eastAsia="宋体" w:cs="Arial"/>
                <w:i/>
                <w:iCs/>
                <w:color w:val="000000"/>
                <w:kern w:val="0"/>
                <w:sz w:val="24"/>
                <w:szCs w:val="24"/>
              </w:rPr>
              <w:t> 结核分枝杆菌(无毒)</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23DB2B5">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1C799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69BB3122">
            <w:pPr>
              <w:widowControl/>
              <w:snapToGrid w:val="0"/>
              <w:spacing w:line="280" w:lineRule="exact"/>
              <w:rPr>
                <w:rFonts w:ascii="Arial" w:hAnsi="Arial" w:eastAsia="宋体" w:cs="Arial"/>
                <w:i/>
                <w:iCs/>
                <w:color w:val="000000"/>
                <w:kern w:val="0"/>
                <w:sz w:val="24"/>
                <w:szCs w:val="24"/>
              </w:rPr>
            </w:pPr>
            <w:r>
              <w:rPr>
                <w:rFonts w:ascii="Arial" w:hAnsi="Arial" w:eastAsia="宋体" w:cs="Arial"/>
                <w:i/>
                <w:iCs/>
                <w:color w:val="000000"/>
                <w:kern w:val="0"/>
                <w:sz w:val="24"/>
                <w:szCs w:val="24"/>
              </w:rPr>
              <w:t>肺炎支原体</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2A10C48">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194CB1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29D8F130">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脑膜炎奈瑟氏球菌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A6EC098">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5249B8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08CE5382">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淋球菌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D51CC8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4507AB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39A245DD">
            <w:pPr>
              <w:widowControl/>
              <w:snapToGrid w:val="0"/>
              <w:spacing w:line="280" w:lineRule="exact"/>
              <w:rPr>
                <w:rFonts w:ascii="Arial" w:hAnsi="Arial" w:eastAsia="宋体" w:cs="Arial"/>
                <w:i/>
                <w:iCs/>
                <w:color w:val="000000"/>
                <w:kern w:val="0"/>
                <w:sz w:val="24"/>
                <w:szCs w:val="24"/>
              </w:rPr>
            </w:pPr>
            <w:r>
              <w:rPr>
                <w:rFonts w:ascii="Arial" w:hAnsi="Arial" w:eastAsia="宋体" w:cs="Arial"/>
                <w:i/>
                <w:iCs/>
                <w:color w:val="000000"/>
                <w:kern w:val="0"/>
                <w:sz w:val="24"/>
                <w:szCs w:val="24"/>
              </w:rPr>
              <w:t>铜绿假单胞菌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E3413E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63DF6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7306133C">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金黄色葡萄球菌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1612054">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产生蛋白A</w:t>
            </w:r>
          </w:p>
        </w:tc>
      </w:tr>
      <w:tr w14:paraId="78F830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791586CB">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表皮葡萄球菌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BB4CB73">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4CC44D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6BC9777E">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肺炎链球菌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3F73EB0">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761F32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F2865D2">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化脓性链球菌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93AB44E">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086AF8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5BD62687">
            <w:pPr>
              <w:widowControl/>
              <w:snapToGrid w:val="0"/>
              <w:spacing w:line="280" w:lineRule="exact"/>
              <w:rPr>
                <w:rFonts w:ascii="Arial" w:hAnsi="Arial" w:eastAsia="宋体" w:cs="Arial"/>
                <w:i/>
                <w:color w:val="000000"/>
                <w:kern w:val="0"/>
                <w:sz w:val="24"/>
                <w:szCs w:val="24"/>
              </w:rPr>
            </w:pPr>
            <w:r>
              <w:rPr>
                <w:rFonts w:ascii="Arial" w:hAnsi="Arial" w:eastAsia="宋体" w:cs="Arial"/>
                <w:i/>
                <w:iCs/>
                <w:color w:val="000000"/>
                <w:kern w:val="0"/>
                <w:sz w:val="24"/>
                <w:szCs w:val="24"/>
              </w:rPr>
              <w:t> 唾液链球菌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E0BCD78">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bl>
    <w:p w14:paraId="392EE088">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 我们建议贵公司在交叉反应性研究中包括人冠状病毒的OC43和229E株。</w:t>
      </w:r>
    </w:p>
    <w:p w14:paraId="394012FB">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干扰物质</w:t>
      </w:r>
    </w:p>
    <w:p w14:paraId="5B0F2B36">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贵公司应使用医学相关浓度的干扰物质和每种hMPV主要遗传谱系(A和B)的至少一种毒株进行全面的干扰研究，以评估呼吸道样本中所含物质的潜在抑制作用。</w:t>
      </w:r>
    </w:p>
    <w:p w14:paraId="169280D5">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潜在的干扰物质包括但不限于：血液，鼻分泌物或粘液，用于缓解鼻塞和咽部充血、鼻腔干燥、刺激、哮喘和过敏症状的鼻用或喉用药物。潜在的干扰物质如表2所示。我们建议贵公司在每种hMPV主要遗传谱系(A和B)的检测临界值水平对每种干扰物质的干扰影响进行测定，还建议在每种干扰物质的潜在最大浓度(“最差条件”)下进行评价。如果没有观察到显著的临床效应，则不需要进一步的检测。更多相关信息，请参阅CLSI文件EP7-A2</w:t>
      </w:r>
      <w:r>
        <w:fldChar w:fldCharType="begin"/>
      </w:r>
      <w:r>
        <w:instrText xml:space="preserve"> HYPERLINK "http://www.fda.gov/MedicalDevices/DeviceRegulationandGuidance/GuidanceDocuments/ucm180308.htm" \l "ft12" </w:instrText>
      </w:r>
      <w:r>
        <w:fldChar w:fldCharType="separate"/>
      </w:r>
      <w:r>
        <w:rPr>
          <w:rFonts w:ascii="Arial" w:hAnsi="Arial" w:eastAsia="宋体" w:cs="Arial"/>
          <w:color w:val="800080"/>
          <w:kern w:val="0"/>
          <w:sz w:val="24"/>
          <w:szCs w:val="24"/>
          <w:u w:val="single"/>
          <w:vertAlign w:val="superscript"/>
        </w:rPr>
        <w:t>12</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w:t>
      </w:r>
    </w:p>
    <w:p w14:paraId="683B9077">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表2. 推荐用于干扰研究的物质</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2542"/>
        <w:gridCol w:w="6036"/>
      </w:tblGrid>
      <w:tr w14:paraId="01980E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0696EF8">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物质</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CB05AD3">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活跃成分</w:t>
            </w:r>
          </w:p>
        </w:tc>
      </w:tr>
      <w:tr w14:paraId="0CA92D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DDAC05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粘蛋白：</w:t>
            </w:r>
          </w:p>
          <w:p w14:paraId="328BA843">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牛颌下腺，I-S型</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5EABF0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纯化粘蛋白</w:t>
            </w:r>
          </w:p>
        </w:tc>
      </w:tr>
      <w:tr w14:paraId="2D205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E6A6952">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血液（人）</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6CEB73D">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 </w:t>
            </w:r>
          </w:p>
        </w:tc>
      </w:tr>
      <w:tr w14:paraId="3BC5F9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CDFB435">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鼻腔喷雾剂或滴鼻剂</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E59B03D">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去氧肾上腺素、羟甲唑啉、含防腐剂的氯化钠溶液</w:t>
            </w:r>
          </w:p>
        </w:tc>
      </w:tr>
      <w:tr w14:paraId="12E91B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7EA87894">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鼻腔糖皮质激素</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AEEF910">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倍氯米松、地塞米松、氟尼缩松、曲安西龙、布地奈德、莫美他松、氟替卡松</w:t>
            </w:r>
          </w:p>
        </w:tc>
      </w:tr>
      <w:tr w14:paraId="20A5A3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7D9BCDE3">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鼻用凝胶</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44F3F86">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具盖丝瓜，硫磺</w:t>
            </w:r>
          </w:p>
        </w:tc>
      </w:tr>
      <w:tr w14:paraId="791ECF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1D531728">
            <w:pPr>
              <w:widowControl/>
              <w:snapToGrid w:val="0"/>
              <w:spacing w:before="100" w:beforeAutospacing="1" w:after="100" w:afterAutospacing="1" w:line="280" w:lineRule="exact"/>
              <w:rPr>
                <w:rFonts w:ascii="Arial" w:hAnsi="Arial" w:eastAsia="宋体" w:cs="Arial"/>
                <w:kern w:val="0"/>
                <w:sz w:val="24"/>
                <w:szCs w:val="24"/>
              </w:rPr>
            </w:pPr>
            <w:r>
              <w:rPr>
                <w:rFonts w:ascii="Arial" w:hAnsi="Arial" w:eastAsia="宋体" w:cs="Arial"/>
                <w:kern w:val="0"/>
                <w:sz w:val="24"/>
                <w:szCs w:val="24"/>
              </w:rPr>
              <w:t>过敏性症状缓解药物</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7C75C01">
            <w:pPr>
              <w:widowControl/>
              <w:snapToGrid w:val="0"/>
              <w:spacing w:line="280" w:lineRule="exact"/>
              <w:rPr>
                <w:rFonts w:ascii="Arial" w:hAnsi="Arial" w:eastAsia="宋体" w:cs="Arial"/>
                <w:kern w:val="0"/>
                <w:sz w:val="24"/>
                <w:szCs w:val="24"/>
              </w:rPr>
            </w:pPr>
            <w:r>
              <w:rPr>
                <w:rFonts w:ascii="Arial" w:hAnsi="Arial" w:eastAsia="宋体" w:cs="Arial"/>
                <w:sz w:val="24"/>
                <w:szCs w:val="24"/>
              </w:rPr>
              <w:t>金英，盐酸组胺</w:t>
            </w:r>
          </w:p>
        </w:tc>
      </w:tr>
      <w:tr w14:paraId="5BBBAE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35E8A07">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FluMist©</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C90C35C">
            <w:pPr>
              <w:widowControl/>
              <w:snapToGrid w:val="0"/>
              <w:spacing w:line="280" w:lineRule="exact"/>
              <w:rPr>
                <w:rFonts w:ascii="Arial" w:hAnsi="Arial" w:eastAsia="宋体" w:cs="Arial"/>
                <w:color w:val="000000"/>
                <w:kern w:val="0"/>
                <w:sz w:val="24"/>
                <w:szCs w:val="24"/>
              </w:rPr>
            </w:pPr>
            <w:r>
              <w:rPr>
                <w:rFonts w:ascii="Arial" w:hAnsi="Arial" w:eastAsia="宋体" w:cs="Arial"/>
                <w:color w:val="000000"/>
                <w:kern w:val="0"/>
                <w:sz w:val="24"/>
                <w:szCs w:val="24"/>
              </w:rPr>
              <w:t>鼻内流感病毒的活疫苗</w:t>
            </w:r>
          </w:p>
        </w:tc>
      </w:tr>
      <w:tr w14:paraId="74AE87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224B9158">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润喉糖、口服麻醉剂和镇痛剂</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176C624">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苯唑卡因、薄荷脑</w:t>
            </w:r>
          </w:p>
        </w:tc>
      </w:tr>
      <w:tr w14:paraId="7C3757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2E9717B">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抗病毒药物</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34A00D4">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扎那米韦</w:t>
            </w:r>
          </w:p>
        </w:tc>
      </w:tr>
      <w:tr w14:paraId="3C6CAF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2A6F7DB">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抗生素、鼻用软膏</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4FD469CE">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莫匹罗星</w:t>
            </w:r>
          </w:p>
        </w:tc>
      </w:tr>
      <w:tr w14:paraId="2D0E37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ED51C0E">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全身抗菌药妥布霉素</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6D3EACAA">
            <w:pPr>
              <w:widowControl/>
              <w:snapToGrid w:val="0"/>
              <w:spacing w:before="100" w:beforeAutospacing="1" w:after="100" w:afterAutospacing="1" w:line="280" w:lineRule="exact"/>
              <w:rPr>
                <w:rFonts w:ascii="Arial" w:hAnsi="Arial" w:eastAsia="宋体" w:cs="Arial"/>
                <w:color w:val="000000"/>
                <w:kern w:val="0"/>
                <w:sz w:val="24"/>
                <w:szCs w:val="24"/>
              </w:rPr>
            </w:pPr>
            <w:r>
              <w:rPr>
                <w:rFonts w:ascii="Arial" w:hAnsi="Arial" w:eastAsia="宋体" w:cs="Arial"/>
                <w:color w:val="000000"/>
                <w:kern w:val="0"/>
                <w:sz w:val="24"/>
                <w:szCs w:val="24"/>
              </w:rPr>
              <w:t> 妥布霉素</w:t>
            </w:r>
          </w:p>
        </w:tc>
      </w:tr>
    </w:tbl>
    <w:p w14:paraId="270640B1">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6.Fiii精密度</w:t>
      </w:r>
    </w:p>
    <w:p w14:paraId="04D6948B">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实验室内的精密度/重复性</w:t>
      </w:r>
    </w:p>
    <w:p w14:paraId="2ACB0C2F">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我们建议贵公司对该器械进行实验室内的精密度研究，包括仪器或自动化部件，可以在内部进行这些研究，即在自己公司内部。</w:t>
      </w:r>
    </w:p>
    <w:p w14:paraId="0B514DAD">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对变异来源（例如操作员，天数，检测运行）至少检测12天（不一定连续），每天运行2次，每次运行时对每个样品重复检测2次。如果校准周期短于2个月，检测时间应至少跨越两个校准周期。检测板应包含3种病毒载量水平的3-6个样品（1-2个病毒株），包括：</w:t>
      </w:r>
    </w:p>
    <w:p w14:paraId="1CCDA264">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“高阴性”样品（C</w:t>
      </w:r>
      <w:r>
        <w:rPr>
          <w:rFonts w:ascii="Arial" w:hAnsi="Arial" w:eastAsia="宋体" w:cs="Arial"/>
          <w:color w:val="000000"/>
          <w:kern w:val="0"/>
          <w:sz w:val="24"/>
          <w:szCs w:val="24"/>
          <w:vertAlign w:val="subscript"/>
        </w:rPr>
        <w:t>5</w:t>
      </w:r>
      <w:r>
        <w:rPr>
          <w:rFonts w:ascii="Arial" w:hAnsi="Arial" w:eastAsia="宋体" w:cs="Arial"/>
          <w:color w:val="000000"/>
          <w:kern w:val="0"/>
          <w:sz w:val="24"/>
          <w:szCs w:val="24"/>
        </w:rPr>
        <w:t>浓度）：样品中的待测物浓度低于临床界值，该样品的重复检测结果阴性率约为95%（且结果的阳性率约为5%）。</w:t>
      </w:r>
    </w:p>
    <w:p w14:paraId="7E3C1A1A">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“低阳性”样品（C</w:t>
      </w:r>
      <w:r>
        <w:rPr>
          <w:rFonts w:ascii="Arial" w:hAnsi="Arial" w:eastAsia="宋体" w:cs="Arial"/>
          <w:color w:val="000000"/>
          <w:kern w:val="0"/>
          <w:sz w:val="24"/>
          <w:szCs w:val="24"/>
          <w:vertAlign w:val="subscript"/>
        </w:rPr>
        <w:t>95</w:t>
      </w:r>
      <w:r>
        <w:rPr>
          <w:rFonts w:ascii="Arial" w:hAnsi="Arial" w:eastAsia="宋体" w:cs="Arial"/>
          <w:color w:val="000000"/>
          <w:kern w:val="0"/>
          <w:sz w:val="24"/>
          <w:szCs w:val="24"/>
        </w:rPr>
        <w:t>浓度）：样品中的待测物浓度略高于临床界值，该样品的重复检测结果的阳性率约为95%。</w:t>
      </w:r>
    </w:p>
    <w:p w14:paraId="47AA9EE9">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“中阳性”样品：样品在该浓度下，可以预期阳性检出率约100%（例如，临床界值浓度的约2-3倍）。</w:t>
      </w:r>
    </w:p>
    <w:p w14:paraId="66841344">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当空白限（LoB）用作临界值时，则浓度C</w:t>
      </w:r>
      <w:r>
        <w:rPr>
          <w:rFonts w:ascii="Arial" w:hAnsi="Arial" w:eastAsia="宋体" w:cs="Arial"/>
          <w:color w:val="000000"/>
          <w:kern w:val="0"/>
          <w:sz w:val="24"/>
          <w:szCs w:val="24"/>
          <w:vertAlign w:val="subscript"/>
        </w:rPr>
        <w:t>95</w:t>
      </w:r>
      <w:r>
        <w:rPr>
          <w:rFonts w:ascii="Arial" w:hAnsi="Arial" w:eastAsia="宋体" w:cs="Arial"/>
          <w:color w:val="000000"/>
          <w:kern w:val="0"/>
          <w:sz w:val="24"/>
          <w:szCs w:val="24"/>
        </w:rPr>
        <w:t>与检测限（LoD）相同，且零浓度（样品中不存在待测物）为C</w:t>
      </w:r>
      <w:r>
        <w:rPr>
          <w:rFonts w:ascii="Arial" w:hAnsi="Arial" w:eastAsia="宋体" w:cs="Arial"/>
          <w:color w:val="000000"/>
          <w:kern w:val="0"/>
          <w:sz w:val="24"/>
          <w:szCs w:val="24"/>
          <w:vertAlign w:val="subscript"/>
        </w:rPr>
        <w:t>5</w:t>
      </w:r>
      <w:r>
        <w:rPr>
          <w:rFonts w:ascii="Arial" w:hAnsi="Arial" w:eastAsia="宋体" w:cs="Arial"/>
          <w:color w:val="000000"/>
          <w:kern w:val="0"/>
          <w:sz w:val="24"/>
          <w:szCs w:val="24"/>
        </w:rPr>
        <w:t>，如果LoB 确立的I型误差为5%</w:t>
      </w:r>
      <w:r>
        <w:fldChar w:fldCharType="begin"/>
      </w:r>
      <w:r>
        <w:instrText xml:space="preserve"> HYPERLINK "http://www.fda.gov/MedicalDevices/DeviceRegulationandGuidance/GuidanceDocuments/ucm180308.htm" \l "ft13" </w:instrText>
      </w:r>
      <w:r>
        <w:fldChar w:fldCharType="separate"/>
      </w:r>
      <w:r>
        <w:rPr>
          <w:rFonts w:ascii="Arial" w:hAnsi="Arial" w:eastAsia="宋体" w:cs="Arial"/>
          <w:color w:val="800080"/>
          <w:kern w:val="0"/>
          <w:sz w:val="24"/>
          <w:szCs w:val="24"/>
          <w:u w:val="single"/>
          <w:vertAlign w:val="superscript"/>
        </w:rPr>
        <w:t>13</w:t>
      </w:r>
      <w:r>
        <w:rPr>
          <w:rFonts w:ascii="Arial" w:hAnsi="Arial" w:eastAsia="宋体" w:cs="Arial"/>
          <w:color w:val="800080"/>
          <w:kern w:val="0"/>
          <w:sz w:val="24"/>
          <w:szCs w:val="24"/>
          <w:u w:val="single"/>
          <w:vertAlign w:val="superscript"/>
        </w:rPr>
        <w:fldChar w:fldCharType="end"/>
      </w:r>
      <w:r>
        <w:rPr>
          <w:rFonts w:ascii="Arial" w:hAnsi="Arial" w:eastAsia="宋体" w:cs="Arial"/>
        </w:rPr>
        <w:t>。</w:t>
      </w:r>
      <w:r>
        <w:rPr>
          <w:rFonts w:ascii="Arial" w:hAnsi="Arial" w:eastAsia="宋体" w:cs="Arial"/>
          <w:color w:val="000000"/>
          <w:kern w:val="0"/>
          <w:sz w:val="24"/>
          <w:szCs w:val="24"/>
        </w:rPr>
        <w:t>CLSI文件EP5-A2</w:t>
      </w:r>
      <w:r>
        <w:fldChar w:fldCharType="begin"/>
      </w:r>
      <w:r>
        <w:instrText xml:space="preserve"> HYPERLINK "http://www.fda.gov/MedicalDevices/DeviceRegulationandGuidance/GuidanceDocuments/ucm180308.htm" \l "ft14" </w:instrText>
      </w:r>
      <w:r>
        <w:fldChar w:fldCharType="separate"/>
      </w:r>
      <w:r>
        <w:rPr>
          <w:rFonts w:ascii="Arial" w:hAnsi="Arial" w:eastAsia="宋体" w:cs="Arial"/>
          <w:color w:val="800080"/>
          <w:kern w:val="0"/>
          <w:sz w:val="24"/>
          <w:szCs w:val="24"/>
          <w:u w:val="single"/>
          <w:vertAlign w:val="superscript"/>
        </w:rPr>
        <w:t>14</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和EP12-A</w:t>
      </w:r>
      <w:r>
        <w:fldChar w:fldCharType="begin"/>
      </w:r>
      <w:r>
        <w:instrText xml:space="preserve"> HYPERLINK "http://www.fda.gov/MedicalDevices/DeviceRegulationandGuidance/GuidanceDocuments/ucm180308.htm" \l "ft15" </w:instrText>
      </w:r>
      <w:r>
        <w:fldChar w:fldCharType="separate"/>
      </w:r>
      <w:r>
        <w:rPr>
          <w:rFonts w:ascii="Arial" w:hAnsi="Arial" w:eastAsia="宋体" w:cs="Arial"/>
          <w:color w:val="800080"/>
          <w:kern w:val="0"/>
          <w:sz w:val="24"/>
          <w:szCs w:val="24"/>
          <w:u w:val="single"/>
          <w:vertAlign w:val="superscript"/>
        </w:rPr>
        <w:t>15</w:t>
      </w:r>
      <w:r>
        <w:rPr>
          <w:rFonts w:ascii="Arial" w:hAnsi="Arial" w:eastAsia="宋体" w:cs="Arial"/>
          <w:color w:val="800080"/>
          <w:kern w:val="0"/>
          <w:sz w:val="24"/>
          <w:szCs w:val="24"/>
          <w:u w:val="single"/>
          <w:vertAlign w:val="superscript"/>
        </w:rPr>
        <w:fldChar w:fldCharType="end"/>
      </w:r>
      <w:r>
        <w:rPr>
          <w:rFonts w:ascii="Arial" w:hAnsi="Arial" w:eastAsia="宋体" w:cs="Arial"/>
        </w:rPr>
        <w:t>中</w:t>
      </w:r>
      <w:r>
        <w:rPr>
          <w:rFonts w:ascii="Arial" w:hAnsi="Arial" w:eastAsia="宋体" w:cs="Arial"/>
          <w:color w:val="000000"/>
          <w:kern w:val="0"/>
          <w:sz w:val="24"/>
          <w:szCs w:val="24"/>
        </w:rPr>
        <w:t>包含</w:t>
      </w:r>
      <w:r>
        <w:rPr>
          <w:rFonts w:ascii="Arial" w:hAnsi="Arial" w:eastAsia="宋体" w:cs="Arial"/>
        </w:rPr>
        <w:t>了关于</w:t>
      </w:r>
      <w:r>
        <w:rPr>
          <w:rFonts w:ascii="Arial" w:hAnsi="Arial" w:eastAsia="宋体" w:cs="Arial"/>
          <w:color w:val="000000"/>
          <w:kern w:val="0"/>
          <w:sz w:val="24"/>
          <w:szCs w:val="24"/>
        </w:rPr>
        <w:t>精密度研究设计和执行的进一步信息。</w:t>
      </w:r>
    </w:p>
    <w:p w14:paraId="15BF414A">
      <w:pPr>
        <w:widowControl/>
        <w:snapToGrid w:val="0"/>
        <w:spacing w:line="300" w:lineRule="auto"/>
        <w:outlineLvl w:val="5"/>
        <w:rPr>
          <w:rFonts w:ascii="Arial" w:hAnsi="Arial" w:eastAsia="宋体" w:cs="Arial"/>
          <w:b/>
          <w:bCs/>
          <w:i/>
          <w:color w:val="000000"/>
          <w:kern w:val="0"/>
          <w:sz w:val="28"/>
          <w:szCs w:val="28"/>
        </w:rPr>
      </w:pPr>
      <w:r>
        <w:rPr>
          <w:rFonts w:ascii="Arial" w:hAnsi="Arial" w:eastAsia="宋体" w:cs="Arial"/>
          <w:b/>
          <w:bCs/>
          <w:i/>
          <w:color w:val="000000"/>
          <w:kern w:val="0"/>
          <w:sz w:val="28"/>
          <w:szCs w:val="28"/>
        </w:rPr>
        <w:t>再现性</w:t>
      </w:r>
    </w:p>
    <w:p w14:paraId="17DFB28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再现性研究方案可能根据检测的形式而略有不同，作为通用指南，建议方案如下：</w:t>
      </w:r>
    </w:p>
    <w:p w14:paraId="3C616B03">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在3个检测中心（两个外部中心和一个内部中心）评估该检测的再现性。</w:t>
      </w:r>
    </w:p>
    <w:p w14:paraId="0B1A424C">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使用五天检测方案，包括：每天至少运行两次（除非该检测的设计排除了每天多次运行），并建议每次运行由每名小组成员重复检测三次。</w:t>
      </w:r>
    </w:p>
    <w:p w14:paraId="731823D9">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每天在每台设备上至少有两名操作员进行检测。</w:t>
      </w:r>
    </w:p>
    <w:p w14:paraId="5A9EE7D6">
      <w:pPr>
        <w:widowControl/>
        <w:numPr>
          <w:ilvl w:val="0"/>
          <w:numId w:val="10"/>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样品组应与上述重复性研究相同。</w:t>
      </w:r>
    </w:p>
    <w:p w14:paraId="256E28A6">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CLSI文件，EP15-A2</w:t>
      </w:r>
      <w:r>
        <w:fldChar w:fldCharType="begin"/>
      </w:r>
      <w:r>
        <w:instrText xml:space="preserve"> HYPERLINK "http://www.fda.gov/MedicalDevices/DeviceRegulationandGuidance/GuidanceDocuments/ucm180308.htm" \l "ft16" </w:instrText>
      </w:r>
      <w:r>
        <w:fldChar w:fldCharType="separate"/>
      </w:r>
      <w:r>
        <w:rPr>
          <w:rFonts w:ascii="Arial" w:hAnsi="Arial" w:eastAsia="宋体" w:cs="Arial"/>
          <w:color w:val="800080"/>
          <w:kern w:val="0"/>
          <w:sz w:val="24"/>
          <w:szCs w:val="24"/>
          <w:u w:val="single"/>
          <w:vertAlign w:val="superscript"/>
        </w:rPr>
        <w:t>16</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，包含了关于再现性研究设计的附加信息。</w:t>
      </w:r>
    </w:p>
    <w:p w14:paraId="0193B318">
      <w:pPr>
        <w:widowControl/>
        <w:snapToGrid w:val="0"/>
        <w:spacing w:line="300" w:lineRule="auto"/>
        <w:outlineLvl w:val="4"/>
        <w:rPr>
          <w:rFonts w:ascii="Arial" w:hAnsi="Arial" w:eastAsia="宋体" w:cs="Arial"/>
          <w:b/>
          <w:bCs/>
          <w:color w:val="000000"/>
          <w:kern w:val="0"/>
          <w:sz w:val="24"/>
          <w:szCs w:val="24"/>
        </w:rPr>
      </w:pPr>
      <w:r>
        <w:rPr>
          <w:rFonts w:ascii="Arial" w:hAnsi="Arial" w:eastAsia="宋体" w:cs="Arial"/>
          <w:b/>
          <w:bCs/>
          <w:color w:val="000000"/>
          <w:kern w:val="0"/>
          <w:sz w:val="24"/>
          <w:szCs w:val="24"/>
        </w:rPr>
        <w:t>6.F.iv</w:t>
      </w:r>
      <w:r>
        <w:rPr>
          <w:rFonts w:ascii="Arial" w:hAnsi="Arial" w:eastAsia="宋体" w:cs="Arial"/>
          <w:b/>
          <w:bCs/>
          <w:color w:val="000000"/>
          <w:kern w:val="0"/>
          <w:sz w:val="28"/>
          <w:szCs w:val="28"/>
        </w:rPr>
        <w:t>残留物/交叉污染研究（用于多样品测定和需要仪器测定的器械）</w:t>
      </w:r>
    </w:p>
    <w:p w14:paraId="2622651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贵公司需证明该器械不会发生残留物和交叉污染（包括核酸提取方法）。</w:t>
      </w:r>
      <w:r>
        <w:rPr>
          <w:rFonts w:ascii="Arial" w:hAnsi="Arial" w:eastAsia="宋体" w:cs="Arial"/>
          <w:sz w:val="24"/>
          <w:szCs w:val="24"/>
        </w:rPr>
        <w:t>在残留物和交叉污染研究中，应按照该器械的操作功能将强阳性样品与强阴性样品交替运行，且强阳性样品与强阴性样品交替运行的次数不应低于5次。研究使用的强阳性样品应来自预期使用人群的患者样本，有足够高的检出率(超过95%或更高)；强阴性样品中待测物的浓度应低于临界值，且复测的阴性率约95%。可以通过在残留物研究中的强阴性样品的阴性结果检出率与95％进行对比，以评估残留物和交叉污染的影响</w:t>
      </w:r>
      <w:r>
        <w:fldChar w:fldCharType="begin"/>
      </w:r>
      <w:r>
        <w:instrText xml:space="preserve"> HYPERLINK "http://www.fda.gov/MedicalDevices/DeviceRegulationandGuidance/GuidanceDocuments/ucm180308.htm" \l "ft17" </w:instrText>
      </w:r>
      <w:r>
        <w:fldChar w:fldCharType="separate"/>
      </w:r>
      <w:r>
        <w:rPr>
          <w:rFonts w:ascii="Arial" w:hAnsi="Arial" w:eastAsia="宋体" w:cs="Arial"/>
          <w:color w:val="800080"/>
          <w:kern w:val="0"/>
          <w:sz w:val="24"/>
          <w:szCs w:val="24"/>
          <w:u w:val="single"/>
          <w:vertAlign w:val="superscript"/>
        </w:rPr>
        <w:t>17</w:t>
      </w:r>
      <w:r>
        <w:rPr>
          <w:rFonts w:ascii="Arial" w:hAnsi="Arial" w:eastAsia="宋体" w:cs="Arial"/>
          <w:color w:val="800080"/>
          <w:kern w:val="0"/>
          <w:sz w:val="24"/>
          <w:szCs w:val="24"/>
          <w:u w:val="single"/>
          <w:vertAlign w:val="superscript"/>
        </w:rPr>
        <w:fldChar w:fldCharType="end"/>
      </w:r>
      <w:r>
        <w:rPr>
          <w:rFonts w:ascii="Arial" w:hAnsi="Arial" w:eastAsia="宋体" w:cs="Arial"/>
          <w:sz w:val="24"/>
          <w:szCs w:val="24"/>
        </w:rPr>
        <w:t>。</w:t>
      </w:r>
    </w:p>
    <w:p w14:paraId="7EA60145">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6.G临床研究</w:t>
      </w:r>
    </w:p>
    <w:p w14:paraId="56FEFAF5">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进行预期临床研究，以确定该器械对标签中载明的所有样本类型的检测性能。应预期地收集和检测来自代表预期使用人群的个体样本，即具有急性呼吸道感染体征和症状的样本。对每个临床研究的方案进行描述（包括纳入和排除标准），纳入研究的样品数量应充足，以使结果具有统计学意义和临床​​意义。最好选择新鲜样本，然而，如果可以证明与新鲜样本的测定相比，冷冻或其他保存技术不会改变器械的性能；如果选择适当的留存方式，并采取适当的措施来确定和消除或减轻所研究的试剂盒的任何偏差，则可以采用预先收集的留存样本</w:t>
      </w:r>
      <w:r>
        <w:fldChar w:fldCharType="begin"/>
      </w:r>
      <w:r>
        <w:instrText xml:space="preserve"> HYPERLINK "http://www.fda.gov/MedicalDevices/DeviceRegulationandGuidance/GuidanceDocuments/ucm180308.htm" \l "ft18" </w:instrText>
      </w:r>
      <w:r>
        <w:fldChar w:fldCharType="separate"/>
      </w:r>
      <w:r>
        <w:rPr>
          <w:rFonts w:ascii="Arial" w:hAnsi="Arial" w:eastAsia="宋体" w:cs="Arial"/>
          <w:color w:val="800080"/>
          <w:kern w:val="0"/>
          <w:sz w:val="24"/>
          <w:szCs w:val="24"/>
          <w:u w:val="single"/>
          <w:vertAlign w:val="superscript"/>
        </w:rPr>
        <w:t>18</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如果使用在新鲜样本上进行病毒培养后留存的样本来评估测定，则应确保样本未经选择性地使用（即，仍应以预期方式检测所有样本）。此外，样品应该设盲以避免检测偏差。如果对新鲜和留存/冷冻样品均进行检测，则应对这两组的数据分别进行分析。鼓励申请者与FDA联系，请求审查其所提出的研究。</w:t>
      </w:r>
    </w:p>
    <w:p w14:paraId="02E8A30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我们建议贵公司采用预定算法(使用复合参考方法)来评估和比较该器械的性能，复合参考方法应包括实验室结果，如：</w:t>
      </w:r>
    </w:p>
    <w:p w14:paraId="62593266">
      <w:pPr>
        <w:widowControl/>
        <w:numPr>
          <w:ilvl w:val="0"/>
          <w:numId w:val="11"/>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先进行经过良好表征和验证的核酸扩增试验（NAAT），再进行双向测序分析，以检测来自呼吸道样本的hMPV RNA。NAAT测定应利用引物产生的不同hMPV基因组区域(与申请器械不同)的扩增子，双向测序应在扩增子的两条链上进行，且所产生的序列应具有可接受的质量（通过PHRED或类似的软件包测量的质量得分为40或更高），并与参考序列或共有序列匹配</w:t>
      </w:r>
      <w:r>
        <w:fldChar w:fldCharType="begin"/>
      </w:r>
      <w:r>
        <w:instrText xml:space="preserve"> HYPERLINK "http://www.fda.gov/MedicalDevices/DeviceRegulationandGuidance/GuidanceDocuments/ucm180308.htm" \l "ft19" </w:instrText>
      </w:r>
      <w:r>
        <w:fldChar w:fldCharType="separate"/>
      </w:r>
      <w:r>
        <w:rPr>
          <w:rFonts w:ascii="Arial" w:hAnsi="Arial" w:eastAsia="宋体" w:cs="Arial"/>
          <w:color w:val="800080"/>
          <w:kern w:val="0"/>
          <w:sz w:val="24"/>
          <w:szCs w:val="24"/>
          <w:u w:val="single"/>
          <w:vertAlign w:val="superscript"/>
        </w:rPr>
        <w:t>19</w:t>
      </w:r>
      <w:r>
        <w:rPr>
          <w:rFonts w:ascii="Arial" w:hAnsi="Arial" w:eastAsia="宋体" w:cs="Arial"/>
          <w:color w:val="800080"/>
          <w:kern w:val="0"/>
          <w:sz w:val="24"/>
          <w:szCs w:val="24"/>
          <w:u w:val="single"/>
          <w:vertAlign w:val="superscript"/>
        </w:rPr>
        <w:fldChar w:fldCharType="end"/>
      </w:r>
      <w:r>
        <w:rPr>
          <w:rFonts w:ascii="Arial" w:hAnsi="Arial" w:eastAsia="宋体" w:cs="Arial"/>
          <w:color w:val="800080"/>
          <w:kern w:val="0"/>
          <w:sz w:val="24"/>
          <w:szCs w:val="24"/>
          <w:u w:val="single"/>
          <w:vertAlign w:val="superscript"/>
        </w:rPr>
        <w:t>，</w:t>
      </w:r>
      <w:r>
        <w:fldChar w:fldCharType="begin"/>
      </w:r>
      <w:r>
        <w:instrText xml:space="preserve"> HYPERLINK "http://www.fda.gov/MedicalDevices/DeviceRegulationandGuidance/GuidanceDocuments/ucm180308.htm" \l "ft20" </w:instrText>
      </w:r>
      <w:r>
        <w:fldChar w:fldCharType="separate"/>
      </w:r>
      <w:r>
        <w:rPr>
          <w:rFonts w:ascii="Arial" w:hAnsi="Arial" w:eastAsia="宋体" w:cs="Arial"/>
          <w:color w:val="800080"/>
          <w:kern w:val="0"/>
          <w:sz w:val="24"/>
          <w:szCs w:val="24"/>
          <w:u w:val="single"/>
          <w:vertAlign w:val="superscript"/>
        </w:rPr>
        <w:t>20</w:t>
      </w:r>
      <w:r>
        <w:rPr>
          <w:rFonts w:ascii="Arial" w:hAnsi="Arial" w:eastAsia="宋体" w:cs="Arial"/>
          <w:color w:val="800080"/>
          <w:kern w:val="0"/>
          <w:sz w:val="24"/>
          <w:szCs w:val="24"/>
          <w:u w:val="single"/>
          <w:vertAlign w:val="superscript"/>
        </w:rPr>
        <w:fldChar w:fldCharType="end"/>
      </w:r>
      <w:r>
        <w:rPr>
          <w:rFonts w:ascii="Arial" w:hAnsi="Arial" w:eastAsia="宋体" w:cs="Arial"/>
          <w:color w:val="000000"/>
          <w:kern w:val="0"/>
          <w:sz w:val="24"/>
          <w:szCs w:val="24"/>
        </w:rPr>
        <w:t>。</w:t>
      </w:r>
    </w:p>
    <w:p w14:paraId="01FEC4B3">
      <w:pPr>
        <w:widowControl/>
        <w:numPr>
          <w:ilvl w:val="0"/>
          <w:numId w:val="12"/>
        </w:numPr>
        <w:tabs>
          <w:tab w:val="clear" w:pos="720"/>
        </w:tabs>
        <w:snapToGrid w:val="0"/>
        <w:spacing w:line="300" w:lineRule="auto"/>
        <w:ind w:left="432" w:hanging="432" w:hangingChars="180"/>
        <w:rPr>
          <w:rFonts w:ascii="Arial" w:hAnsi="Arial" w:eastAsia="宋体" w:cs="Arial"/>
          <w:color w:val="000000"/>
          <w:kern w:val="0"/>
          <w:sz w:val="24"/>
          <w:szCs w:val="24"/>
        </w:rPr>
      </w:pPr>
      <w:r>
        <w:rPr>
          <w:rFonts w:ascii="Arial" w:hAnsi="Arial" w:eastAsia="宋体" w:cs="Arial"/>
          <w:color w:val="000000"/>
          <w:kern w:val="0"/>
          <w:sz w:val="24"/>
          <w:szCs w:val="24"/>
        </w:rPr>
        <w:t>通过良好表征的细胞培养测定法，从呼吸道样本中分离hMPV，随后使用经良好表征的hMPV特异性抗体或经良好表征并经验证的核酸扩增测定，再通过双向测序分析，从细胞培养物中检测hMPV。</w:t>
      </w:r>
    </w:p>
    <w:p w14:paraId="6D487C7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NAAT的分析性能及后续的测序分析参比测定方法，应通过分析灵敏度（LoD）和反应性研究(如本特殊控制指南“性能特征”部分的描述)来建立（见第6.F.1部分-分析灵敏度）。</w:t>
      </w:r>
    </w:p>
    <w:p w14:paraId="32A4C06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临床检测之前，应对用于建立和描述NAAT的性能及后续测序分析参比测定的文献和/或其他验证数据进行评估。应向食品药品监督管理局提交来自文献的验证数据，以证明NAAT及后续测序分析参比测定的引物选择。该资料很重要，可用以证明该参比测定针对hMPV基因组保守区域的靶向性，并在检测hMPV毒株时有广泛的反应性。作为上市前申请的一部分，引物序列、基因组的靶区域、BLAST结果和序列比对，也应提交至食品药品监督管理局审查。适当的控制，包括具有低病毒基因组拷贝数的阳性控制，阴性控制和单独的抑制控制措施，应整合到每个NAAT产品中，然后进行测序分析的参比测定。</w:t>
      </w:r>
    </w:p>
    <w:p w14:paraId="22BBE2CA">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hMPV细胞培养测定的分析性能也应通过分析灵敏度（LoD）和反应性研究来确立，如本特殊控制指南的“性能特征”部分所述（见上文第6.F.i部分）。为了达到病毒复苏和检测的理想状态，样本必须迅速地运送到实验室，不能用冷冻样本进行培养。在临床检测之前，应对用于建立和描述hMPV细胞培养测定的性能的文献和/或其他验证数据进行评估。应向食品药品监督管理局提交来自文献的验证数据以证明所使用的细胞株的选择、生长条件和接种后的生长期。该资料很重要，用来证明特定的细胞培养测定可以有效和高效地从临床样本中分离出多种hMPV毒株，并向食品药品监督管理局提供科学出版物和/或实验室数据的支持信息，以证明在培养物中检测hMPV时，抗体是如何被验证的。细胞培养测定方案，包括在培养测定中使用的控制，也应是上市前申请的一部分，建议在细胞培养测定中包括具有低病毒滴度的阳性控制和阴性控制。</w:t>
      </w:r>
    </w:p>
    <w:p w14:paraId="6EDE608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贵公司可以联系食品药品监督管理局以获取关于建立预定算法(使用复合参考方法)的更多信息。</w:t>
      </w:r>
    </w:p>
    <w:p w14:paraId="22FF65C0">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6.G.i研究方案</w:t>
      </w:r>
    </w:p>
    <w:p w14:paraId="3EEA59BA">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贵公司应制定详细的研究方案，包括患者纳入和排除标准，所需的样本类型和数量，使用说明，以及统计分析计划，需考虑方差以防止数据偏差。我们建议在上市前申请资料中包括此项和其他相关的方案信息。</w:t>
      </w:r>
    </w:p>
    <w:p w14:paraId="622A446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鼓励申办者联系食品药品监督管理局的微生物学器械部，请求对所提出的研究和样本类型的选择进行审查，这被称为前IDE程序。我们特别鼓励制造商在样品难以获得时或申办者首次计划提交上市前通告时，寻求这种类型的讨论。</w:t>
      </w:r>
    </w:p>
    <w:p w14:paraId="06F95E26">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68CEA0FF">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6.G.ii样本类型</w:t>
      </w:r>
    </w:p>
    <w:p w14:paraId="0773F995">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研究中用于证实可以从呼吸道样本中检出hMPV的样品总数，取决于病毒的患病率和检测的性能。</w:t>
      </w:r>
    </w:p>
    <w:p w14:paraId="25C160B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从呼吸道样本中检测hMPV的器械，我们建议每种样本类型应包括足够数量的预先收集的样本，以证明对于申请中所要求的各种样本类型，检出结果的灵敏度下限至少为90%(双侧95%CI)，大于80%。所有的hMPV检测器械，均应证明特异性下限(双侧95%CI)超过90%。</w:t>
      </w:r>
    </w:p>
    <w:p w14:paraId="68D1A8D6">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如果对选择合适的样品类型和数量有疑问，请联系食品药品监督管理局。</w:t>
      </w:r>
    </w:p>
    <w:p w14:paraId="3BB87FD4">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6.G.iii研究中心</w:t>
      </w:r>
    </w:p>
    <w:p w14:paraId="61B86067">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至少在三个不同地理位置的中心进行研究，这些中心代表了该器械最终使用的检测环境（例如，临床实验室），并由临床实际使用该检测产品的人员进行操作。研究中心中至少有一个在美国，研究中心之一为公司内部。</w:t>
      </w:r>
    </w:p>
    <w:p w14:paraId="07D94E50">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6.G.iv研究人群</w:t>
      </w:r>
    </w:p>
    <w:p w14:paraId="05E7EB73">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贵公司应选择具有急性呼吸道感染体征和症状的人群作为研究对象，并在临床研究中纳入各个年龄组的样本，提供按年龄段分层的数据（例如，小于5岁，6-21岁，22-59岁和大于60岁）以及总体数据汇总表。</w:t>
      </w:r>
    </w:p>
    <w:p w14:paraId="59F96CB5">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6.G.v临床研究结果的陈述</w:t>
      </w:r>
    </w:p>
    <w:p w14:paraId="22E6E48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在510（k）中，贵公司应描述如何选择样本，以及排除样本的原因。</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首先，应分别分析并列出来自每个研究中心的数据，以评估任何中心间的方差，并将分析结果包括在510（k）中。如果可以证明在不同中心的结果间或人群间没有显著的统计学差异或临床差异，则可以在包装说明书中将各个中心的临床研究结果进行合并。</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我们建议对新鲜的预期临床样品的结果和预先收集的留存样本(冻存)的结果分别进行分析和列出，前者用以评估“实验室诊断真值”（通过使用了复合参考方法的预定算法确定），后者用以评估“实验室诊断真值”。</w:t>
      </w:r>
    </w:p>
    <w:p w14:paraId="0D4D1A4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我们建议提供行数据，包括在临床研究期间每日的外部控制检测数据。贵公司应提交电子资料，可以使用Microsoft EXCEL、分隔的文本文件或SAS文件。</w:t>
      </w:r>
    </w:p>
    <w:p w14:paraId="10875070">
      <w:pPr>
        <w:widowControl/>
        <w:snapToGrid w:val="0"/>
        <w:spacing w:line="300" w:lineRule="auto"/>
        <w:outlineLvl w:val="4"/>
        <w:rPr>
          <w:rFonts w:ascii="Arial" w:hAnsi="Arial" w:eastAsia="宋体" w:cs="Arial"/>
          <w:b/>
          <w:bCs/>
          <w:color w:val="000000"/>
          <w:kern w:val="0"/>
          <w:sz w:val="28"/>
          <w:szCs w:val="28"/>
        </w:rPr>
      </w:pPr>
      <w:r>
        <w:rPr>
          <w:rFonts w:ascii="Arial" w:hAnsi="Arial" w:eastAsia="宋体" w:cs="Arial"/>
          <w:b/>
          <w:bCs/>
          <w:color w:val="000000"/>
          <w:kern w:val="0"/>
          <w:sz w:val="28"/>
          <w:szCs w:val="28"/>
        </w:rPr>
        <w:t>6.G.vi患病率（预期值）</w:t>
      </w:r>
    </w:p>
    <w:p w14:paraId="07861FD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确定来自临床研究中心的相关患者人群中的hMPV患病率，这些患者表现出与急性呼吸道感染相符的体征和症状。贵公司应按照统计学确定的数量，对代表预期用途的样本进行检测，包括特定的样本矩阵（ces）。贵公司应根据该新器械的性能提供这些结果，并根据年龄组（婴儿&lt;1岁，儿童1-5岁,6-10岁,11-15岁,16-21岁和成人&gt; 18岁）和性别来概述人群分布。</w:t>
      </w:r>
    </w:p>
    <w:p w14:paraId="64349CBF">
      <w:pPr>
        <w:widowControl/>
        <w:snapToGrid w:val="0"/>
        <w:spacing w:line="300" w:lineRule="auto"/>
        <w:outlineLvl w:val="2"/>
        <w:rPr>
          <w:rFonts w:ascii="Arial" w:hAnsi="Arial" w:eastAsia="宋体" w:cs="Arial"/>
          <w:b/>
          <w:bCs/>
          <w:color w:val="000000"/>
          <w:kern w:val="0"/>
          <w:sz w:val="28"/>
          <w:szCs w:val="28"/>
        </w:rPr>
      </w:pPr>
      <w:r>
        <w:rPr>
          <w:rFonts w:ascii="Arial" w:hAnsi="Arial" w:eastAsia="宋体" w:cs="Arial"/>
          <w:b/>
          <w:bCs/>
          <w:color w:val="000000"/>
          <w:kern w:val="0"/>
          <w:sz w:val="28"/>
          <w:szCs w:val="28"/>
        </w:rPr>
        <w:t>7. 标签</w:t>
      </w:r>
    </w:p>
    <w:p w14:paraId="2C4732F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人类偏肺病毒（hMPV）RNA检测系统，</w:t>
      </w:r>
      <w:r>
        <w:rPr>
          <w:rFonts w:ascii="Arial" w:hAnsi="Arial" w:eastAsia="宋体" w:cs="Arial"/>
          <w:sz w:val="24"/>
          <w:szCs w:val="24"/>
        </w:rPr>
        <w:t>与其它器械一样，受制于对标签的法定要求（FD&amp;C法案第502（a）部分，第201（n）部分；21 USC§352（a），321（n））。这些IVD器械的标签必须提供充分的使用说明和充分的警告和注意事项。（第502（f）部分; 21 USC§352（f））。在21 CFR 809.10中提出了对于所有IVD器械的特定标签要求，亦见于</w:t>
      </w:r>
      <w:r>
        <w:rPr>
          <w:rFonts w:ascii="Arial" w:hAnsi="Arial" w:eastAsia="宋体" w:cs="Arial"/>
          <w:color w:val="000000"/>
          <w:kern w:val="0"/>
          <w:sz w:val="24"/>
          <w:szCs w:val="24"/>
        </w:rPr>
        <w:t>21 CFR § 801.119(标签内容符合21 CFR 809.10的IVDs，被视为可满足第502(f)(1)</w:t>
      </w:r>
      <w:r>
        <w:rPr>
          <w:rFonts w:ascii="Arial" w:hAnsi="Arial" w:eastAsia="宋体" w:cs="Arial"/>
          <w:sz w:val="24"/>
          <w:szCs w:val="24"/>
        </w:rPr>
        <w:t xml:space="preserve"> 部分的要求</w:t>
      </w:r>
      <w:r>
        <w:rPr>
          <w:rFonts w:ascii="Arial" w:hAnsi="Arial" w:eastAsia="宋体" w:cs="Arial"/>
          <w:color w:val="000000"/>
          <w:kern w:val="0"/>
          <w:sz w:val="24"/>
          <w:szCs w:val="24"/>
        </w:rPr>
        <w:t>）</w:t>
      </w:r>
      <w:r>
        <w:rPr>
          <w:rFonts w:ascii="Arial" w:hAnsi="Arial" w:eastAsia="宋体" w:cs="Arial"/>
          <w:sz w:val="24"/>
          <w:szCs w:val="24"/>
        </w:rPr>
        <w:t>。</w:t>
      </w:r>
    </w:p>
    <w:p w14:paraId="4F012CE4">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虽然通过510（k）时不要求有最终标签，但</w:t>
      </w:r>
      <w:r>
        <w:rPr>
          <w:rFonts w:ascii="Arial" w:hAnsi="Arial" w:eastAsia="宋体" w:cs="Arial"/>
          <w:sz w:val="24"/>
          <w:szCs w:val="24"/>
        </w:rPr>
        <w:t>体外诊断器械的最终标签在产品进入州际贸易之前必须符合21 CFR 809.10的要求。</w:t>
      </w:r>
    </w:p>
    <w:p w14:paraId="6DCDE7B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为了</w:t>
      </w:r>
      <w:r>
        <w:rPr>
          <w:rFonts w:ascii="Arial" w:hAnsi="Arial" w:eastAsia="宋体" w:cs="Arial"/>
          <w:sz w:val="24"/>
          <w:szCs w:val="24"/>
        </w:rPr>
        <w:t>确保符合FD&amp;C法案第502部分和21 C.F.R. 809.10，</w:t>
      </w:r>
      <w:r>
        <w:rPr>
          <w:rFonts w:ascii="Arial" w:hAnsi="Arial" w:eastAsia="宋体" w:cs="Arial"/>
          <w:color w:val="000000"/>
          <w:kern w:val="0"/>
          <w:sz w:val="24"/>
          <w:szCs w:val="24"/>
        </w:rPr>
        <w:t>食品药品监督管理局</w:t>
      </w:r>
      <w:r>
        <w:rPr>
          <w:rFonts w:ascii="Arial" w:hAnsi="Arial" w:eastAsia="宋体" w:cs="Arial"/>
          <w:sz w:val="24"/>
          <w:szCs w:val="24"/>
        </w:rPr>
        <w:t>建议在这些器械</w:t>
      </w:r>
      <w:r>
        <w:rPr>
          <w:rFonts w:ascii="Arial" w:hAnsi="Arial" w:eastAsia="宋体" w:cs="Arial"/>
          <w:color w:val="000000"/>
          <w:kern w:val="0"/>
          <w:sz w:val="24"/>
          <w:szCs w:val="24"/>
        </w:rPr>
        <w:t>（检测和鉴定hMPV核酸的呼吸道病毒板多重核酸检测产品）</w:t>
      </w:r>
      <w:r>
        <w:rPr>
          <w:rFonts w:ascii="Arial" w:hAnsi="Arial" w:eastAsia="宋体" w:cs="Arial"/>
          <w:sz w:val="24"/>
          <w:szCs w:val="24"/>
        </w:rPr>
        <w:t>的标签中说明以下规定的项目</w:t>
      </w:r>
      <w:r>
        <w:rPr>
          <w:rFonts w:ascii="Arial" w:hAnsi="Arial" w:eastAsia="宋体" w:cs="Arial"/>
          <w:color w:val="000000"/>
          <w:kern w:val="0"/>
          <w:sz w:val="24"/>
          <w:szCs w:val="24"/>
        </w:rPr>
        <w:t>。</w:t>
      </w:r>
      <w:r>
        <w:rPr>
          <w:rFonts w:ascii="Arial" w:hAnsi="Arial" w:eastAsia="宋体" w:cs="Arial"/>
          <w:sz w:val="24"/>
          <w:szCs w:val="24"/>
        </w:rPr>
        <w:t>这些标签建议还有助于降低本指南中已事先确定的风险，从而确保安全有效地使用这些器械</w:t>
      </w:r>
      <w:r>
        <w:rPr>
          <w:rFonts w:ascii="Arial" w:hAnsi="Arial" w:eastAsia="宋体" w:cs="Arial"/>
          <w:color w:val="000000"/>
          <w:kern w:val="0"/>
          <w:sz w:val="24"/>
          <w:szCs w:val="24"/>
        </w:rPr>
        <w:t>。</w:t>
      </w:r>
    </w:p>
    <w:p w14:paraId="6D3E19A9">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标签中应清楚地描述该器械设计用于检测的hMPV的型别、系统发育关系或其他公认的特征，以及人类感染的相关临床情况。</w:t>
      </w:r>
    </w:p>
    <w:p w14:paraId="534A55E1">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预期用途</w:t>
      </w:r>
    </w:p>
    <w:p w14:paraId="04E75A9A">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除了描述被检测的待测物的特定元素，预期用途中应明确适应症，用于检测来自具有急性呼吸道感染体征和症状的患者呼吸道样本，预期用途还应规定该设备应与其他实验室测试和临床观察结合使用。食品药品监督管理局还建议通过声明来澄清预期用途，例如：</w:t>
      </w:r>
    </w:p>
    <w:p w14:paraId="28939DC5">
      <w:pPr>
        <w:widowControl/>
        <w:snapToGrid w:val="0"/>
        <w:spacing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从表现出急性呼吸道感染体征和症状的患者呼吸道样本中检测和鉴定</w:t>
      </w:r>
      <w:r>
        <w:rPr>
          <w:rFonts w:ascii="Arial" w:hAnsi="Arial" w:eastAsia="宋体" w:cs="Arial"/>
          <w:i/>
          <w:iCs/>
          <w:color w:val="000000"/>
          <w:kern w:val="0"/>
          <w:sz w:val="24"/>
          <w:szCs w:val="24"/>
        </w:rPr>
        <w:t>hMPV RNA</w:t>
      </w:r>
      <w:r>
        <w:rPr>
          <w:rFonts w:ascii="Arial" w:hAnsi="Arial" w:eastAsia="宋体" w:cs="Arial"/>
          <w:i/>
          <w:color w:val="000000"/>
          <w:kern w:val="0"/>
          <w:sz w:val="24"/>
          <w:szCs w:val="24"/>
        </w:rPr>
        <w:t>，可与其他实验室检测和临床观察相结合，以助于对呼吸道</w:t>
      </w:r>
      <w:r>
        <w:rPr>
          <w:rFonts w:ascii="Arial" w:hAnsi="Arial" w:eastAsia="宋体" w:cs="Arial"/>
          <w:i/>
          <w:iCs/>
          <w:color w:val="000000"/>
          <w:kern w:val="0"/>
          <w:sz w:val="24"/>
          <w:szCs w:val="24"/>
        </w:rPr>
        <w:t>hMPV感染的诊断</w:t>
      </w:r>
      <w:r>
        <w:rPr>
          <w:rFonts w:ascii="Arial" w:hAnsi="Arial" w:eastAsia="宋体" w:cs="Arial"/>
          <w:i/>
          <w:color w:val="000000"/>
          <w:kern w:val="0"/>
          <w:sz w:val="24"/>
          <w:szCs w:val="24"/>
        </w:rPr>
        <w:t>。</w:t>
      </w:r>
    </w:p>
    <w:p w14:paraId="234E1F13">
      <w:pPr>
        <w:widowControl/>
        <w:snapToGrid w:val="0"/>
        <w:spacing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阴性结果不能排除</w:t>
      </w:r>
      <w:r>
        <w:rPr>
          <w:rFonts w:ascii="Arial" w:hAnsi="Arial" w:eastAsia="宋体" w:cs="Arial"/>
          <w:i/>
          <w:iCs/>
          <w:color w:val="000000"/>
          <w:kern w:val="0"/>
          <w:sz w:val="24"/>
          <w:szCs w:val="24"/>
        </w:rPr>
        <w:t>hMPV</w:t>
      </w:r>
      <w:r>
        <w:rPr>
          <w:rFonts w:ascii="Arial" w:hAnsi="Arial" w:eastAsia="宋体" w:cs="Arial"/>
          <w:i/>
          <w:color w:val="000000"/>
          <w:kern w:val="0"/>
          <w:sz w:val="24"/>
          <w:szCs w:val="24"/>
        </w:rPr>
        <w:t>感染，不应该作为治疗或做出其他患者管理决定的唯一基础。</w:t>
      </w:r>
    </w:p>
    <w:p w14:paraId="3AD80D00">
      <w:pPr>
        <w:widowControl/>
        <w:snapToGrid w:val="0"/>
        <w:spacing w:before="78" w:after="78"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阳性结果不能排除细菌感染，或与其他病毒的合并感染。</w:t>
      </w:r>
    </w:p>
    <w:p w14:paraId="22C63301">
      <w:pPr>
        <w:widowControl/>
        <w:snapToGrid w:val="0"/>
        <w:spacing w:before="78"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检出的hMPV RNA可能不是疾病的确切原因，必须考虑使用额外的实验室检测（例如细菌培养、免疫荧光、x射线结果等）并结合临床表现，以获得hMPV感染的最终诊断。</w:t>
      </w:r>
    </w:p>
    <w:p w14:paraId="0AC8AC59">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器械描述</w:t>
      </w:r>
    </w:p>
    <w:p w14:paraId="0114F802">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在器械描述中，贵公司应简要描述此类型器械所使用的检测方法学。</w:t>
      </w:r>
    </w:p>
    <w:p w14:paraId="0EECADCB">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5AAFEBC1">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程序</w:t>
      </w:r>
    </w:p>
    <w:p w14:paraId="08D1A378">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该部分应包括从医生采样到结果报告的整个分析程序的一般描述。</w:t>
      </w:r>
    </w:p>
    <w:p w14:paraId="6DF5D077">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使用说明</w:t>
      </w:r>
    </w:p>
    <w:p w14:paraId="043650E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贵公司应该提供清晰简洁的说明，描述使用该器械的程序和控制类型，以尽量减少产生不准确结果的风险。</w:t>
      </w:r>
    </w:p>
    <w:p w14:paraId="0067C6CA">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说明书应鼓励使用额外的控制措施和控制的检测，以确保以安全有效的方式使用。</w:t>
      </w:r>
    </w:p>
    <w:p w14:paraId="08A9ED7B">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如果该检测试剂中未包含用于提取和制备的试剂，应推荐并列出使用该器械时的核酸提取方法，并且这种提取方法的安全性和有效性已经过证明。贵公司应提供推荐的每种方法的名称和目录号。</w:t>
      </w:r>
    </w:p>
    <w:p w14:paraId="59BF2989">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对于需要相关辅助试剂的检测系统（见第5.C部分），应：</w:t>
      </w:r>
    </w:p>
    <w:p w14:paraId="109E3720">
      <w:pPr>
        <w:widowControl/>
        <w:numPr>
          <w:ilvl w:val="0"/>
          <w:numId w:val="13"/>
        </w:numPr>
        <w:tabs>
          <w:tab w:val="clear" w:pos="720"/>
        </w:tabs>
        <w:snapToGrid w:val="0"/>
        <w:spacing w:line="300" w:lineRule="auto"/>
        <w:ind w:left="348" w:hanging="348" w:hangingChars="145"/>
        <w:rPr>
          <w:rFonts w:ascii="Arial" w:hAnsi="Arial" w:eastAsia="宋体" w:cs="Arial"/>
          <w:color w:val="000000"/>
          <w:kern w:val="0"/>
          <w:sz w:val="24"/>
          <w:szCs w:val="24"/>
        </w:rPr>
      </w:pPr>
      <w:r>
        <w:rPr>
          <w:rFonts w:ascii="Arial" w:hAnsi="Arial" w:eastAsia="宋体" w:cs="Arial"/>
          <w:color w:val="000000"/>
          <w:kern w:val="0"/>
          <w:sz w:val="24"/>
          <w:szCs w:val="24"/>
        </w:rPr>
        <w:t>通过醒目的标签强调，正确的产品性能需要使用指定的特殊辅助试剂。在标签中应包括警告：如果无法使用指定的辅助试剂，则不能使用该器械。</w:t>
      </w:r>
    </w:p>
    <w:p w14:paraId="537A7067">
      <w:pPr>
        <w:widowControl/>
        <w:numPr>
          <w:ilvl w:val="0"/>
          <w:numId w:val="13"/>
        </w:numPr>
        <w:tabs>
          <w:tab w:val="clear" w:pos="720"/>
        </w:tabs>
        <w:snapToGrid w:val="0"/>
        <w:spacing w:line="300" w:lineRule="auto"/>
        <w:ind w:left="348" w:hanging="348" w:hangingChars="145"/>
        <w:rPr>
          <w:rFonts w:ascii="Arial" w:hAnsi="Arial" w:eastAsia="宋体" w:cs="Arial"/>
          <w:color w:val="000000"/>
          <w:kern w:val="0"/>
          <w:sz w:val="24"/>
          <w:szCs w:val="24"/>
        </w:rPr>
      </w:pPr>
      <w:r>
        <w:rPr>
          <w:rFonts w:ascii="Arial" w:hAnsi="Arial" w:eastAsia="宋体" w:cs="Arial"/>
          <w:color w:val="000000"/>
          <w:kern w:val="0"/>
          <w:sz w:val="24"/>
          <w:szCs w:val="24"/>
        </w:rPr>
        <w:t>确保用户可以清楚地识别哪些辅助试剂适合与该检测产品共同使用。例如，如果只有某些批次的指定辅助试剂适合使用，则该检测产品的标签中应明确那些批次的编号。（见21 CFR 809.10(b)(8)(ii)）</w:t>
      </w:r>
    </w:p>
    <w:p w14:paraId="0F253FE9">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标签中要求有辅助试剂，且该辅助试剂的制造商提供了使用说明书或其他警告或限制条件，则贵公司应确保用户了解该检测产品在检测系统中使用辅助试剂时应遵循的说明。如果辅助试剂制造商提供的说明和警告与该检测产品提供的使用说明之间存在冲突，则应评估并解决用户可能错误地直接遵循辅助试剂的标签内容而在检测中获得无效结果的风险。我们说明了在某些情况下，标签中的声明可能不足以解决这种冲突所造成的风险。</w:t>
      </w:r>
    </w:p>
    <w:p w14:paraId="7BC4DF5B">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质量控制</w:t>
      </w:r>
    </w:p>
    <w:p w14:paraId="79EEC402">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质量控制的建议应包括可用作额外质量控制措施的程序和材料的类型，以及质控检测可接受的预期结果。</w:t>
      </w:r>
    </w:p>
    <w:p w14:paraId="189EF4FD">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如果该器械包含有控制，则应提供控制的规格，包括病毒水平、病毒来源、灭活方法和确定无传染性的方法（如适用）。</w:t>
      </w:r>
    </w:p>
    <w:p w14:paraId="64199F3A">
      <w:pPr>
        <w:widowControl/>
        <w:snapToGrid w:val="0"/>
        <w:spacing w:line="300" w:lineRule="auto"/>
        <w:outlineLvl w:val="3"/>
        <w:rPr>
          <w:rFonts w:ascii="Arial" w:hAnsi="Arial" w:eastAsia="宋体" w:cs="Arial"/>
          <w:b/>
          <w:bCs/>
          <w:color w:val="000000"/>
          <w:kern w:val="0"/>
          <w:sz w:val="24"/>
          <w:szCs w:val="24"/>
        </w:rPr>
      </w:pPr>
      <w:r>
        <w:rPr>
          <w:rFonts w:ascii="Arial" w:hAnsi="Arial" w:eastAsia="宋体" w:cs="Arial"/>
          <w:b/>
          <w:bCs/>
          <w:color w:val="000000"/>
          <w:kern w:val="0"/>
          <w:sz w:val="24"/>
          <w:szCs w:val="24"/>
        </w:rPr>
        <w:t>注意事项，警告和局限性</w:t>
      </w:r>
    </w:p>
    <w:p w14:paraId="450DDA18">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除了与该特定检测相关的任何局限性和警告，我们建议贵公司就以下局限性提供声明（如适用）：</w:t>
      </w:r>
    </w:p>
    <w:p w14:paraId="7FCEA4CB">
      <w:pPr>
        <w:widowControl/>
        <w:numPr>
          <w:ilvl w:val="0"/>
          <w:numId w:val="13"/>
        </w:numPr>
        <w:tabs>
          <w:tab w:val="clear" w:pos="720"/>
        </w:tabs>
        <w:snapToGrid w:val="0"/>
        <w:spacing w:line="300" w:lineRule="auto"/>
        <w:ind w:left="348" w:hanging="348" w:hangingChars="145"/>
        <w:rPr>
          <w:rFonts w:ascii="Arial" w:hAnsi="Arial" w:eastAsia="宋体" w:cs="Arial"/>
          <w:color w:val="000000"/>
          <w:kern w:val="0"/>
          <w:sz w:val="24"/>
          <w:szCs w:val="24"/>
        </w:rPr>
      </w:pPr>
      <w:r>
        <w:rPr>
          <w:rFonts w:ascii="Arial" w:hAnsi="Arial" w:eastAsia="宋体" w:cs="Arial"/>
          <w:i/>
          <w:color w:val="000000"/>
          <w:kern w:val="0"/>
          <w:sz w:val="24"/>
          <w:szCs w:val="24"/>
        </w:rPr>
        <w:t>经过培训的医疗保健专业人员应该结合患者的病史、临床体征和症状以及其他诊断测试的结果来对检测结果进行解释。</w:t>
      </w:r>
    </w:p>
    <w:p w14:paraId="49A404BB">
      <w:pPr>
        <w:widowControl/>
        <w:numPr>
          <w:ilvl w:val="0"/>
          <w:numId w:val="13"/>
        </w:numPr>
        <w:tabs>
          <w:tab w:val="clear" w:pos="720"/>
        </w:tabs>
        <w:snapToGrid w:val="0"/>
        <w:spacing w:line="300" w:lineRule="auto"/>
        <w:ind w:left="348" w:hanging="348" w:hangingChars="145"/>
        <w:rPr>
          <w:rFonts w:ascii="Arial" w:hAnsi="Arial" w:eastAsia="宋体" w:cs="Arial"/>
          <w:color w:val="000000"/>
          <w:kern w:val="0"/>
          <w:sz w:val="24"/>
          <w:szCs w:val="24"/>
        </w:rPr>
      </w:pPr>
      <w:r>
        <w:rPr>
          <w:rFonts w:ascii="Arial" w:hAnsi="Arial" w:eastAsia="宋体" w:cs="Arial"/>
          <w:i/>
          <w:color w:val="000000"/>
          <w:kern w:val="0"/>
          <w:sz w:val="24"/>
          <w:szCs w:val="24"/>
        </w:rPr>
        <w:t>待测物靶标（hMPV序列）可以在体内持续存在，而与病毒的活力无关。对hMPV RNA的检测并不意味着hMPV具有传染性，也并非临床症状的致病因素。</w:t>
      </w:r>
    </w:p>
    <w:p w14:paraId="55998AC7">
      <w:pPr>
        <w:widowControl/>
        <w:numPr>
          <w:ilvl w:val="0"/>
          <w:numId w:val="13"/>
        </w:numPr>
        <w:tabs>
          <w:tab w:val="clear" w:pos="720"/>
        </w:tabs>
        <w:snapToGrid w:val="0"/>
        <w:spacing w:line="300" w:lineRule="auto"/>
        <w:ind w:left="348" w:hanging="348" w:hangingChars="145"/>
        <w:rPr>
          <w:rFonts w:ascii="Arial" w:hAnsi="Arial" w:eastAsia="宋体" w:cs="Arial"/>
          <w:i/>
          <w:color w:val="000000"/>
          <w:kern w:val="0"/>
          <w:sz w:val="24"/>
          <w:szCs w:val="24"/>
        </w:rPr>
      </w:pPr>
      <w:r>
        <w:rPr>
          <w:rFonts w:ascii="Arial" w:hAnsi="Arial" w:eastAsia="宋体" w:cs="Arial"/>
          <w:i/>
          <w:iCs/>
          <w:color w:val="000000"/>
          <w:kern w:val="0"/>
          <w:sz w:val="24"/>
          <w:szCs w:val="24"/>
        </w:rPr>
        <w:t>hMPV RNA</w:t>
      </w:r>
      <w:r>
        <w:rPr>
          <w:rFonts w:ascii="Arial" w:hAnsi="Arial" w:eastAsia="宋体" w:cs="Arial"/>
          <w:i/>
          <w:color w:val="000000"/>
          <w:kern w:val="0"/>
          <w:sz w:val="24"/>
          <w:szCs w:val="24"/>
        </w:rPr>
        <w:t>序列的检测取决于适当的样本收集，处理，转运，储存和制备（包括提取）。任何一个步骤不按正确的程序操作，都可能导致不正确的结果。由于不正确地收集、转运或处理样本，就会导致假阴性结果的风险。</w:t>
      </w:r>
    </w:p>
    <w:p w14:paraId="006B9D0C">
      <w:pPr>
        <w:widowControl/>
        <w:numPr>
          <w:ilvl w:val="0"/>
          <w:numId w:val="13"/>
        </w:numPr>
        <w:tabs>
          <w:tab w:val="clear" w:pos="720"/>
        </w:tabs>
        <w:snapToGrid w:val="0"/>
        <w:spacing w:line="300" w:lineRule="auto"/>
        <w:ind w:left="348" w:hanging="348" w:hangingChars="145"/>
        <w:rPr>
          <w:rFonts w:ascii="Arial" w:hAnsi="Arial" w:eastAsia="宋体" w:cs="Arial"/>
          <w:i/>
          <w:color w:val="000000"/>
          <w:kern w:val="0"/>
          <w:sz w:val="24"/>
          <w:szCs w:val="24"/>
        </w:rPr>
      </w:pPr>
      <w:r>
        <w:rPr>
          <w:rFonts w:ascii="Arial" w:hAnsi="Arial" w:eastAsia="宋体" w:cs="Arial"/>
          <w:i/>
          <w:color w:val="000000"/>
          <w:kern w:val="0"/>
          <w:sz w:val="24"/>
          <w:szCs w:val="24"/>
        </w:rPr>
        <w:t>假阳性结果的风险，是由于靶生物体、其核酸或扩增产物的交叉污染，或检测中非特异性信号所引起。</w:t>
      </w:r>
    </w:p>
    <w:p w14:paraId="4629BD93">
      <w:pPr>
        <w:widowControl/>
        <w:numPr>
          <w:ilvl w:val="0"/>
          <w:numId w:val="13"/>
        </w:numPr>
        <w:tabs>
          <w:tab w:val="clear" w:pos="720"/>
        </w:tabs>
        <w:snapToGrid w:val="0"/>
        <w:spacing w:line="300" w:lineRule="auto"/>
        <w:ind w:left="348" w:hanging="348" w:hangingChars="145"/>
        <w:rPr>
          <w:rFonts w:ascii="Arial" w:hAnsi="Arial" w:eastAsia="宋体" w:cs="Arial"/>
          <w:i/>
          <w:color w:val="000000"/>
          <w:kern w:val="0"/>
          <w:sz w:val="24"/>
          <w:szCs w:val="24"/>
        </w:rPr>
      </w:pPr>
      <w:r>
        <w:rPr>
          <w:rFonts w:ascii="Arial" w:hAnsi="Arial" w:eastAsia="宋体" w:cs="Arial"/>
          <w:i/>
          <w:color w:val="000000"/>
          <w:kern w:val="0"/>
          <w:sz w:val="24"/>
          <w:szCs w:val="24"/>
        </w:rPr>
        <w:t>由于测定的病毒靶标中存在hMPV序列变异型，检测时会有假阴性结果的风险。</w:t>
      </w:r>
    </w:p>
    <w:p w14:paraId="59096A96">
      <w:pPr>
        <w:widowControl/>
        <w:numPr>
          <w:ilvl w:val="0"/>
          <w:numId w:val="13"/>
        </w:numPr>
        <w:tabs>
          <w:tab w:val="clear" w:pos="720"/>
        </w:tabs>
        <w:snapToGrid w:val="0"/>
        <w:spacing w:line="300" w:lineRule="auto"/>
        <w:ind w:left="348" w:hanging="348" w:hangingChars="145"/>
        <w:rPr>
          <w:rFonts w:ascii="Arial" w:hAnsi="Arial" w:eastAsia="宋体" w:cs="Arial"/>
          <w:i/>
          <w:color w:val="000000"/>
          <w:kern w:val="0"/>
          <w:sz w:val="24"/>
          <w:szCs w:val="24"/>
        </w:rPr>
      </w:pPr>
      <w:r>
        <w:rPr>
          <w:rFonts w:ascii="Arial" w:hAnsi="Arial" w:eastAsia="宋体" w:cs="Arial"/>
          <w:i/>
          <w:color w:val="000000"/>
          <w:kern w:val="0"/>
          <w:sz w:val="24"/>
          <w:szCs w:val="24"/>
        </w:rPr>
        <w:t>在免疫功能不全的患者中尚未确立该检测产品的性能。</w:t>
      </w:r>
    </w:p>
    <w:p w14:paraId="1181ACEE">
      <w:pPr>
        <w:widowControl/>
        <w:numPr>
          <w:ilvl w:val="0"/>
          <w:numId w:val="13"/>
        </w:numPr>
        <w:tabs>
          <w:tab w:val="clear" w:pos="720"/>
        </w:tabs>
        <w:snapToGrid w:val="0"/>
        <w:spacing w:line="300" w:lineRule="auto"/>
        <w:ind w:left="348" w:hanging="348" w:hangingChars="145"/>
        <w:rPr>
          <w:rFonts w:ascii="Arial" w:hAnsi="Arial" w:eastAsia="宋体" w:cs="Arial"/>
          <w:color w:val="000000"/>
          <w:kern w:val="0"/>
          <w:sz w:val="24"/>
          <w:szCs w:val="24"/>
        </w:rPr>
      </w:pPr>
      <w:r>
        <w:rPr>
          <w:rFonts w:ascii="Arial" w:hAnsi="Arial" w:eastAsia="宋体" w:cs="Arial"/>
          <w:i/>
          <w:color w:val="000000"/>
          <w:kern w:val="0"/>
          <w:sz w:val="24"/>
          <w:szCs w:val="24"/>
        </w:rPr>
        <w:t>阳性和阴性的预测值高度依赖于患病率。在[例如，2006/2007流行季]期间建立了该检测产品的性能，此性能可能会随患病率和检测的人群而变化。</w:t>
      </w:r>
    </w:p>
    <w:p w14:paraId="4851DD5A">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如果已有报告称常用的收集材料、或可能在检测前通过内源性或外源性引入样本的物质，会导致阳性或阴性干扰，应告知用户由于这种干扰导致假阴性或假阳性结果的可能性。</w:t>
      </w:r>
    </w:p>
    <w:p w14:paraId="09DA3728">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样本收集</w:t>
      </w:r>
    </w:p>
    <w:p w14:paraId="31BB5E9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我们建议贵公司说明不充分或不适当的样本收集、储存和转运可能会产生假阴性检测结果；还应说明，由于样本质量的重要性，强烈建议应对样本收集的操作人员进行培训。</w:t>
      </w:r>
    </w:p>
    <w:p w14:paraId="62EEA5D3">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结果</w:t>
      </w:r>
    </w:p>
    <w:p w14:paraId="4369B2BC">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我们建议贵公司在报告结果的“结果”部分中，加入以下说明(如适用)：</w:t>
      </w:r>
    </w:p>
    <w:p w14:paraId="7C947017">
      <w:pPr>
        <w:widowControl/>
        <w:snapToGrid w:val="0"/>
        <w:spacing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阴性检测结果报告为“</w:t>
      </w:r>
      <w:r>
        <w:rPr>
          <w:rFonts w:ascii="Arial" w:hAnsi="Arial" w:eastAsia="宋体" w:cs="Arial"/>
          <w:i/>
          <w:iCs/>
          <w:color w:val="000000"/>
          <w:kern w:val="0"/>
          <w:sz w:val="24"/>
          <w:szCs w:val="24"/>
        </w:rPr>
        <w:t>hMPV RNA未检出</w:t>
      </w:r>
      <w:r>
        <w:rPr>
          <w:rFonts w:ascii="Arial" w:hAnsi="Arial" w:eastAsia="宋体" w:cs="Arial"/>
          <w:i/>
          <w:color w:val="000000"/>
          <w:kern w:val="0"/>
          <w:sz w:val="24"/>
          <w:szCs w:val="24"/>
        </w:rPr>
        <w:t>，该结果并不排除</w:t>
      </w:r>
      <w:r>
        <w:rPr>
          <w:rFonts w:ascii="Arial" w:hAnsi="Arial" w:eastAsia="宋体" w:cs="Arial"/>
          <w:i/>
          <w:iCs/>
          <w:color w:val="000000"/>
          <w:kern w:val="0"/>
          <w:sz w:val="24"/>
          <w:szCs w:val="24"/>
        </w:rPr>
        <w:t>hMPV</w:t>
      </w:r>
      <w:r>
        <w:rPr>
          <w:rFonts w:ascii="Arial" w:hAnsi="Arial" w:eastAsia="宋体" w:cs="Arial"/>
          <w:i/>
          <w:color w:val="000000"/>
          <w:kern w:val="0"/>
          <w:sz w:val="24"/>
          <w:szCs w:val="24"/>
        </w:rPr>
        <w:t>感染。”</w:t>
      </w:r>
    </w:p>
    <w:p w14:paraId="618214AB">
      <w:pPr>
        <w:widowControl/>
        <w:snapToGrid w:val="0"/>
        <w:spacing w:line="300" w:lineRule="auto"/>
        <w:rPr>
          <w:rFonts w:ascii="Arial" w:hAnsi="Arial" w:eastAsia="宋体" w:cs="Arial"/>
          <w:i/>
          <w:color w:val="000000"/>
          <w:kern w:val="0"/>
          <w:sz w:val="24"/>
          <w:szCs w:val="24"/>
        </w:rPr>
      </w:pPr>
      <w:r>
        <w:rPr>
          <w:rFonts w:ascii="Arial" w:hAnsi="Arial" w:eastAsia="宋体" w:cs="Arial"/>
          <w:i/>
          <w:color w:val="000000"/>
          <w:kern w:val="0"/>
          <w:sz w:val="24"/>
          <w:szCs w:val="24"/>
        </w:rPr>
        <w:t>阳性检测结果报告为“检出</w:t>
      </w:r>
      <w:r>
        <w:rPr>
          <w:rFonts w:ascii="Arial" w:hAnsi="Arial" w:eastAsia="宋体" w:cs="Arial"/>
          <w:i/>
          <w:iCs/>
          <w:color w:val="000000"/>
          <w:kern w:val="0"/>
          <w:sz w:val="24"/>
          <w:szCs w:val="24"/>
        </w:rPr>
        <w:t>hMPV RNA</w:t>
      </w:r>
      <w:r>
        <w:rPr>
          <w:rFonts w:ascii="Arial" w:hAnsi="Arial" w:eastAsia="宋体" w:cs="Arial"/>
          <w:i/>
          <w:color w:val="000000"/>
          <w:kern w:val="0"/>
          <w:sz w:val="24"/>
          <w:szCs w:val="24"/>
        </w:rPr>
        <w:t>，该结果并不排除与其他病原体的合并感染。”</w:t>
      </w:r>
    </w:p>
    <w:p w14:paraId="3BD18EDC">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结果的解释</w:t>
      </w:r>
    </w:p>
    <w:p w14:paraId="7F002854">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在贵公司包装说明书中的结果的解释部分应列出所有可能的检测结果，并确定hMPV RNA和检测控制的存在或不存在。</w:t>
      </w:r>
    </w:p>
    <w:p w14:paraId="7E646F0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如果内部控制是确定有效的阳性和阴性结果的一部分，贵公司应提供每种可能的控制结果解释和对于任何无效或不确定结果如何进行后续操作的建议。</w:t>
      </w:r>
    </w:p>
    <w:p w14:paraId="3A0AE581">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如果该检测存在不明确区域，应提供解释和建议，对于不明确结果如何进行后续操作（例如，不明确的结果是否应该报告，或者是否应该重复检测）。</w:t>
      </w:r>
    </w:p>
    <w:p w14:paraId="3644CE6B">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如果对结果的解释认为，无效或不明确结果需要重复检测，应提供建议，是否应</w:t>
      </w:r>
      <w:r>
        <w:rPr>
          <w:rFonts w:ascii="Arial" w:hAnsi="Arial" w:eastAsia="宋体" w:cs="Arial"/>
          <w:sz w:val="24"/>
          <w:szCs w:val="24"/>
        </w:rPr>
        <w:t>重复对同一核酸制备物、新的提取物或新的患者样本进行检测。</w:t>
      </w:r>
    </w:p>
    <w:p w14:paraId="04B7753F">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如果该检测产品的性能（即灵敏度）证明了双侧95%CI的下限小于90%，则阴性结果可能需要被解释为推定结果，应提示通过替代方法（例如细胞培养）进行确认。</w:t>
      </w:r>
    </w:p>
    <w:p w14:paraId="68436107">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br w:type="page"/>
      </w:r>
    </w:p>
    <w:p w14:paraId="321A121D">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预期值</w:t>
      </w:r>
    </w:p>
    <w:p w14:paraId="307C8F49">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此部分应包括使用该检测产品的预期值和对于结果的解释，还应包括用于确定该预期值的人群的样本数、年龄、性别和人口统计学资料。</w:t>
      </w:r>
    </w:p>
    <w:p w14:paraId="4F3767F6">
      <w:pPr>
        <w:widowControl/>
        <w:snapToGrid w:val="0"/>
        <w:spacing w:line="300" w:lineRule="auto"/>
        <w:outlineLvl w:val="3"/>
        <w:rPr>
          <w:rFonts w:ascii="Arial" w:hAnsi="Arial" w:eastAsia="宋体" w:cs="Arial"/>
          <w:b/>
          <w:bCs/>
          <w:color w:val="000000"/>
          <w:kern w:val="0"/>
          <w:sz w:val="28"/>
          <w:szCs w:val="28"/>
        </w:rPr>
      </w:pPr>
      <w:r>
        <w:rPr>
          <w:rFonts w:ascii="Arial" w:hAnsi="Arial" w:eastAsia="宋体" w:cs="Arial"/>
          <w:b/>
          <w:bCs/>
          <w:color w:val="000000"/>
          <w:kern w:val="0"/>
          <w:sz w:val="28"/>
          <w:szCs w:val="28"/>
        </w:rPr>
        <w:t>性能特征</w:t>
      </w:r>
    </w:p>
    <w:p w14:paraId="4E43C93F">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贵公司应在包装说明书中列出研究设计和研究结果的总结，这将有助于用户对检测结果的解释，贵公司应包括临床和分析性能特征的描述。临床性能特征通常包含了预期的临床研究结果，总结了该检测产品的性能（灵敏度、特异性、95%置信区间）。在某些也使用了回顾性临床样品的情况下，这些结果应该与预期临床研究结果分别列出，作为阳性和阴性结果的符合性。分析性能特征包括第6部分中概括的研究结果和方法学的描述。</w:t>
      </w:r>
    </w:p>
    <w:p w14:paraId="7D9907D0">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我们建议贵公司在性能特征部分描述用于确立该器械的性能特征的人群（即地理位置，样本类型和年龄组）和季节。</w:t>
      </w:r>
    </w:p>
    <w:p w14:paraId="02A9B64E">
      <w:pPr>
        <w:widowControl/>
        <w:snapToGrid w:val="0"/>
        <w:spacing w:before="360" w:after="360" w:line="300" w:lineRule="auto"/>
        <w:rPr>
          <w:rFonts w:ascii="Arial" w:hAnsi="Arial" w:eastAsia="宋体" w:cs="Arial"/>
          <w:kern w:val="0"/>
          <w:sz w:val="24"/>
          <w:szCs w:val="24"/>
        </w:rPr>
      </w:pPr>
      <w:r>
        <w:rPr>
          <w:rFonts w:ascii="Arial" w:hAnsi="Arial" w:eastAsia="宋体" w:cs="Arial"/>
          <w:kern w:val="0"/>
          <w:sz w:val="24"/>
          <w:szCs w:val="24"/>
        </w:rPr>
        <w:pict>
          <v:rect id="_x0000_i1026" o:spt="1" style="height:0.75pt;width:166.1pt;" fillcolor="#000000" filled="t" stroked="f" coordsize="21600,21600" o:hr="t" o:hrstd="t" o:hrnoshade="t" o:hrpct="400">
            <v:path/>
            <v:fill on="t" focussize="0,0"/>
            <v:stroke on="f"/>
            <v:imagedata o:title=""/>
            <o:lock v:ext="edit"/>
            <w10:wrap type="none"/>
            <w10:anchorlock/>
          </v:rect>
        </w:pict>
      </w:r>
    </w:p>
    <w:p w14:paraId="2FC80B0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在本指南中，多重检测定义为，通过样品制备、扩增和/或检测的通用流程，检测两个或多个靶标并进行结果解释的那些检测。</w:t>
      </w:r>
    </w:p>
    <w:p w14:paraId="5CE4AFD7">
      <w:pPr>
        <w:widowControl/>
        <w:snapToGrid w:val="0"/>
        <w:spacing w:before="90" w:after="90" w:line="300" w:lineRule="auto"/>
        <w:jc w:val="left"/>
        <w:rPr>
          <w:rFonts w:ascii="Arial" w:hAnsi="Arial" w:eastAsia="宋体" w:cs="Arial"/>
          <w:color w:val="000000"/>
          <w:kern w:val="0"/>
          <w:sz w:val="24"/>
          <w:szCs w:val="24"/>
        </w:rPr>
      </w:pPr>
      <w:bookmarkStart w:id="1" w:name="ft2"/>
      <w:r>
        <w:rPr>
          <w:rFonts w:ascii="Arial" w:hAnsi="Arial" w:eastAsia="宋体" w:cs="Arial"/>
          <w:color w:val="000000"/>
          <w:kern w:val="0"/>
          <w:sz w:val="24"/>
          <w:szCs w:val="24"/>
          <w:vertAlign w:val="superscript"/>
        </w:rPr>
        <w:t>2</w:t>
      </w:r>
      <w:bookmarkEnd w:id="1"/>
      <w:r>
        <w:rPr>
          <w:rFonts w:ascii="Arial" w:hAnsi="Arial" w:eastAsia="宋体" w:cs="Arial"/>
          <w:color w:val="000000"/>
          <w:kern w:val="0"/>
          <w:sz w:val="24"/>
          <w:szCs w:val="24"/>
        </w:rPr>
        <w:t> </w:t>
      </w:r>
      <w:r>
        <w:fldChar w:fldCharType="begin"/>
      </w:r>
      <w:r>
        <w:instrText xml:space="preserve"> HYPERLINK "http://www.fda.gov/MedicalDevices/DeviceRegulationandGuidance/GuidanceDocuments/ucm084365.htm" </w:instrText>
      </w:r>
      <w:r>
        <w:fldChar w:fldCharType="separate"/>
      </w:r>
      <w:r>
        <w:rPr>
          <w:rFonts w:ascii="Arial" w:hAnsi="Arial" w:eastAsia="宋体" w:cs="Arial"/>
          <w:color w:val="800080"/>
          <w:kern w:val="0"/>
          <w:sz w:val="24"/>
          <w:szCs w:val="24"/>
          <w:u w:val="single"/>
        </w:rPr>
        <w:t>http://www.fda.gov /MedicalDevices/DeviceRegulationandGuidance/ GuidanceDocuments/ucm084365.htm</w:t>
      </w:r>
      <w:r>
        <w:rPr>
          <w:rFonts w:ascii="Arial" w:hAnsi="Arial" w:eastAsia="宋体" w:cs="Arial"/>
          <w:color w:val="800080"/>
          <w:kern w:val="0"/>
          <w:sz w:val="24"/>
          <w:szCs w:val="24"/>
          <w:u w:val="single"/>
        </w:rPr>
        <w:fldChar w:fldCharType="end"/>
      </w:r>
    </w:p>
    <w:p w14:paraId="4341A343">
      <w:pPr>
        <w:widowControl/>
        <w:snapToGrid w:val="0"/>
        <w:spacing w:before="90" w:after="90" w:line="300" w:lineRule="auto"/>
        <w:jc w:val="left"/>
        <w:rPr>
          <w:rFonts w:ascii="Arial" w:hAnsi="Arial" w:eastAsia="宋体" w:cs="Arial"/>
          <w:color w:val="000000"/>
          <w:kern w:val="0"/>
          <w:sz w:val="24"/>
          <w:szCs w:val="24"/>
        </w:rPr>
      </w:pPr>
      <w:bookmarkStart w:id="2" w:name="ft3"/>
      <w:r>
        <w:rPr>
          <w:rFonts w:ascii="Arial" w:hAnsi="Arial" w:eastAsia="宋体" w:cs="Arial"/>
          <w:color w:val="000000"/>
          <w:kern w:val="0"/>
          <w:sz w:val="24"/>
          <w:szCs w:val="24"/>
          <w:vertAlign w:val="superscript"/>
        </w:rPr>
        <w:t>3 </w:t>
      </w:r>
      <w:bookmarkEnd w:id="2"/>
      <w:r>
        <w:rPr>
          <w:rFonts w:ascii="Arial" w:hAnsi="Arial" w:eastAsia="宋体" w:cs="Arial"/>
          <w:color w:val="000000"/>
          <w:kern w:val="0"/>
          <w:sz w:val="24"/>
          <w:szCs w:val="24"/>
        </w:rPr>
        <w:fldChar w:fldCharType="begin"/>
      </w:r>
      <w:r>
        <w:rPr>
          <w:rFonts w:ascii="Arial" w:hAnsi="Arial" w:eastAsia="宋体" w:cs="Arial"/>
          <w:color w:val="000000"/>
          <w:kern w:val="0"/>
          <w:sz w:val="24"/>
          <w:szCs w:val="24"/>
        </w:rPr>
        <w:instrText xml:space="preserve"> HYPERLINK "http://www.fda.gov/MedicalDevices/DeviceRegulationandGuidance/HowtoMarketYourDevice/PremarketSubmissions/PremarketNotification510k/default.htm" </w:instrText>
      </w:r>
      <w:r>
        <w:rPr>
          <w:rFonts w:ascii="Arial" w:hAnsi="Arial" w:eastAsia="宋体" w:cs="Arial"/>
          <w:color w:val="000000"/>
          <w:kern w:val="0"/>
          <w:sz w:val="24"/>
          <w:szCs w:val="24"/>
        </w:rPr>
        <w:fldChar w:fldCharType="separate"/>
      </w:r>
      <w:r>
        <w:rPr>
          <w:rFonts w:ascii="Arial" w:hAnsi="Arial" w:eastAsia="宋体" w:cs="Arial"/>
          <w:color w:val="800080"/>
          <w:kern w:val="0"/>
          <w:sz w:val="24"/>
          <w:szCs w:val="24"/>
          <w:u w:val="single"/>
        </w:rPr>
        <w:t>http://www.fda.gov/ MedicalDevices/DeviceRegulationandGuidance/ HowtoMarketYourDevice/PremarketSubmissions/ PremarketNotification510k/default.htm</w:t>
      </w:r>
      <w:r>
        <w:rPr>
          <w:rFonts w:ascii="Arial" w:hAnsi="Arial" w:eastAsia="宋体" w:cs="Arial"/>
          <w:color w:val="000000"/>
          <w:kern w:val="0"/>
          <w:sz w:val="24"/>
          <w:szCs w:val="24"/>
        </w:rPr>
        <w:fldChar w:fldCharType="end"/>
      </w:r>
    </w:p>
    <w:p w14:paraId="56D68E2B">
      <w:pPr>
        <w:widowControl/>
        <w:snapToGrid w:val="0"/>
        <w:spacing w:before="90" w:after="90" w:line="300" w:lineRule="auto"/>
        <w:jc w:val="left"/>
        <w:rPr>
          <w:rFonts w:ascii="Arial" w:hAnsi="Arial" w:eastAsia="宋体" w:cs="Arial"/>
          <w:color w:val="000000"/>
          <w:kern w:val="0"/>
          <w:sz w:val="24"/>
          <w:szCs w:val="24"/>
        </w:rPr>
      </w:pPr>
      <w:bookmarkStart w:id="3" w:name="ft4"/>
      <w:r>
        <w:rPr>
          <w:rFonts w:ascii="Arial" w:hAnsi="Arial" w:eastAsia="宋体" w:cs="Arial"/>
          <w:color w:val="000000"/>
          <w:kern w:val="0"/>
          <w:sz w:val="24"/>
          <w:szCs w:val="24"/>
          <w:vertAlign w:val="superscript"/>
        </w:rPr>
        <w:t>4</w:t>
      </w:r>
      <w:bookmarkEnd w:id="3"/>
      <w:r>
        <w:rPr>
          <w:rFonts w:ascii="Arial" w:hAnsi="Arial" w:eastAsia="宋体" w:cs="Arial"/>
          <w:color w:val="000000"/>
          <w:kern w:val="0"/>
          <w:sz w:val="24"/>
          <w:szCs w:val="24"/>
        </w:rPr>
        <w:t> </w:t>
      </w:r>
      <w:r>
        <w:fldChar w:fldCharType="begin"/>
      </w:r>
      <w:r>
        <w:instrText xml:space="preserve"> HYPERLINK "http://www.fda.gov/MedicalDevices/DeviceRegulationandGuidance/GuidanceDocuments/ucm080187.htm" </w:instrText>
      </w:r>
      <w:r>
        <w:fldChar w:fldCharType="separate"/>
      </w:r>
      <w:r>
        <w:rPr>
          <w:rFonts w:ascii="Arial" w:hAnsi="Arial" w:eastAsia="宋体" w:cs="Arial"/>
          <w:color w:val="800080"/>
          <w:kern w:val="0"/>
          <w:sz w:val="24"/>
          <w:szCs w:val="24"/>
          <w:u w:val="single"/>
        </w:rPr>
        <w:t>http://www.fda.gov/ MedicalDevices/DeviceRegulationandGuidance/ GuidanceDocuments/ucm080187.htm</w:t>
      </w:r>
      <w:r>
        <w:rPr>
          <w:rFonts w:ascii="Arial" w:hAnsi="Arial" w:eastAsia="宋体" w:cs="Arial"/>
          <w:color w:val="800080"/>
          <w:kern w:val="0"/>
          <w:sz w:val="24"/>
          <w:szCs w:val="24"/>
          <w:u w:val="single"/>
        </w:rPr>
        <w:fldChar w:fldCharType="end"/>
      </w:r>
    </w:p>
    <w:p w14:paraId="528251EE">
      <w:pPr>
        <w:widowControl/>
        <w:snapToGrid w:val="0"/>
        <w:spacing w:before="90" w:after="90" w:line="300" w:lineRule="auto"/>
        <w:rPr>
          <w:rFonts w:ascii="Arial" w:hAnsi="Arial" w:eastAsia="宋体" w:cs="Arial"/>
          <w:color w:val="000000"/>
          <w:kern w:val="0"/>
          <w:sz w:val="24"/>
          <w:szCs w:val="24"/>
        </w:rPr>
      </w:pPr>
      <w:bookmarkStart w:id="4" w:name="ft5"/>
      <w:r>
        <w:rPr>
          <w:rFonts w:ascii="Arial" w:hAnsi="Arial" w:eastAsia="宋体" w:cs="Arial"/>
          <w:color w:val="000000"/>
          <w:kern w:val="0"/>
          <w:sz w:val="24"/>
          <w:szCs w:val="24"/>
          <w:vertAlign w:val="superscript"/>
        </w:rPr>
        <w:t>5</w:t>
      </w:r>
      <w:bookmarkEnd w:id="4"/>
      <w:r>
        <w:rPr>
          <w:rFonts w:ascii="Arial" w:hAnsi="Arial" w:eastAsia="宋体" w:cs="Arial"/>
          <w:color w:val="000000"/>
          <w:kern w:val="0"/>
          <w:sz w:val="24"/>
          <w:szCs w:val="24"/>
        </w:rPr>
        <w:t> 临床和实验室标准研究所。2006. 病毒培养; 批准的指南。CLSI文件M41-A [ISBN 1-56238-623-9] 临床和实验室标准研究所, Wayne PA.</w:t>
      </w:r>
    </w:p>
    <w:p w14:paraId="3BD2AFFA">
      <w:pPr>
        <w:widowControl/>
        <w:snapToGrid w:val="0"/>
        <w:spacing w:before="90" w:after="90" w:line="300" w:lineRule="auto"/>
        <w:rPr>
          <w:rFonts w:ascii="Arial" w:hAnsi="Arial" w:eastAsia="宋体" w:cs="Arial"/>
          <w:color w:val="000000"/>
          <w:kern w:val="0"/>
          <w:sz w:val="24"/>
          <w:szCs w:val="24"/>
        </w:rPr>
      </w:pPr>
      <w:bookmarkStart w:id="5" w:name="ft6"/>
      <w:r>
        <w:rPr>
          <w:rFonts w:ascii="Arial" w:hAnsi="Arial" w:eastAsia="宋体" w:cs="Arial"/>
          <w:color w:val="000000"/>
          <w:kern w:val="0"/>
          <w:sz w:val="24"/>
          <w:szCs w:val="24"/>
          <w:vertAlign w:val="superscript"/>
        </w:rPr>
        <w:t>6</w:t>
      </w:r>
      <w:bookmarkEnd w:id="5"/>
      <w:r>
        <w:rPr>
          <w:rFonts w:ascii="Arial" w:hAnsi="Arial" w:eastAsia="宋体" w:cs="Arial"/>
          <w:color w:val="000000"/>
          <w:kern w:val="0"/>
          <w:sz w:val="24"/>
          <w:szCs w:val="24"/>
        </w:rPr>
        <w:t> 临床和实验室标准研究所。2004. 诊断实验室医学中的核酸测序方法；批准的指南。CLSI文件 MM9-A [ISBN 1-56238-558-5] 临床和实验室标准研究所, Wayne PA.</w:t>
      </w:r>
    </w:p>
    <w:p w14:paraId="400F5DBA">
      <w:pPr>
        <w:widowControl/>
        <w:jc w:val="left"/>
        <w:rPr>
          <w:rFonts w:ascii="Arial" w:hAnsi="Arial" w:eastAsia="宋体" w:cs="Arial"/>
          <w:color w:val="000000"/>
          <w:kern w:val="0"/>
          <w:sz w:val="24"/>
          <w:szCs w:val="24"/>
          <w:vertAlign w:val="superscript"/>
        </w:rPr>
      </w:pPr>
      <w:r>
        <w:rPr>
          <w:rFonts w:ascii="Arial" w:hAnsi="Arial" w:eastAsia="宋体" w:cs="Arial"/>
          <w:color w:val="000000"/>
          <w:kern w:val="0"/>
          <w:sz w:val="24"/>
          <w:szCs w:val="24"/>
          <w:vertAlign w:val="superscript"/>
        </w:rPr>
        <w:br w:type="page"/>
      </w:r>
    </w:p>
    <w:p w14:paraId="534982A2">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7</w:t>
      </w:r>
      <w:r>
        <w:rPr>
          <w:rFonts w:ascii="Arial" w:hAnsi="Arial" w:eastAsia="宋体" w:cs="Arial"/>
          <w:color w:val="000000"/>
          <w:kern w:val="0"/>
          <w:sz w:val="24"/>
          <w:szCs w:val="24"/>
        </w:rPr>
        <w:t>即使确定了在该检测产品中可以使用一种或多种替代的辅助试剂，这些指定的替代品仍然只是一个辅助试剂。如果不确定特殊控制的这一方面是否适用于该器械，建议咨询食品药品监督管理局。</w:t>
      </w:r>
    </w:p>
    <w:p w14:paraId="572EBC0F">
      <w:pPr>
        <w:widowControl/>
        <w:snapToGrid w:val="0"/>
        <w:spacing w:before="90" w:after="90" w:line="300" w:lineRule="auto"/>
        <w:rPr>
          <w:rFonts w:ascii="Arial" w:hAnsi="Arial" w:eastAsia="宋体" w:cs="Arial"/>
          <w:color w:val="000000"/>
          <w:kern w:val="0"/>
          <w:sz w:val="24"/>
          <w:szCs w:val="24"/>
        </w:rPr>
      </w:pPr>
      <w:bookmarkStart w:id="6" w:name="ft8"/>
      <w:r>
        <w:rPr>
          <w:rFonts w:ascii="Arial" w:hAnsi="Arial" w:eastAsia="宋体" w:cs="Arial"/>
          <w:color w:val="000000"/>
          <w:kern w:val="0"/>
          <w:sz w:val="24"/>
          <w:szCs w:val="24"/>
          <w:vertAlign w:val="superscript"/>
        </w:rPr>
        <w:t>8</w:t>
      </w:r>
      <w:bookmarkEnd w:id="6"/>
      <w:r>
        <w:rPr>
          <w:rFonts w:ascii="Arial" w:hAnsi="Arial" w:eastAsia="宋体" w:cs="Arial"/>
          <w:i/>
          <w:iCs/>
          <w:color w:val="000000"/>
          <w:kern w:val="0"/>
          <w:sz w:val="24"/>
          <w:szCs w:val="24"/>
        </w:rPr>
        <w:t> </w:t>
      </w:r>
      <w:r>
        <w:rPr>
          <w:rFonts w:ascii="Arial" w:hAnsi="Arial" w:eastAsia="宋体" w:cs="Arial"/>
          <w:color w:val="000000"/>
          <w:kern w:val="0"/>
          <w:sz w:val="24"/>
          <w:szCs w:val="24"/>
        </w:rPr>
        <w:t>Pasloske BL, Walkerpeach CR, Obermoeller RD, Winkler M, and DuBois DB. Armored RNA Technology for Production of Ribonuclease-Resistant Viral RNA Controls and Standards. J. Clin. Microbiol. 1998; 36:3590-3594.</w:t>
      </w:r>
    </w:p>
    <w:p w14:paraId="33A3A381">
      <w:pPr>
        <w:widowControl/>
        <w:snapToGrid w:val="0"/>
        <w:spacing w:before="90" w:after="90" w:line="300" w:lineRule="auto"/>
        <w:rPr>
          <w:rFonts w:ascii="Arial" w:hAnsi="Arial" w:eastAsia="宋体" w:cs="Arial"/>
          <w:color w:val="000000"/>
          <w:kern w:val="0"/>
          <w:sz w:val="24"/>
          <w:szCs w:val="24"/>
        </w:rPr>
      </w:pPr>
      <w:bookmarkStart w:id="7" w:name="ft9"/>
      <w:r>
        <w:rPr>
          <w:rFonts w:ascii="Arial" w:hAnsi="Arial" w:eastAsia="宋体" w:cs="Arial"/>
          <w:color w:val="000000"/>
          <w:kern w:val="0"/>
          <w:sz w:val="24"/>
          <w:szCs w:val="24"/>
          <w:vertAlign w:val="superscript"/>
        </w:rPr>
        <w:t>9</w:t>
      </w:r>
      <w:bookmarkEnd w:id="7"/>
      <w:r>
        <w:rPr>
          <w:rFonts w:ascii="Arial" w:hAnsi="Arial" w:eastAsia="宋体" w:cs="Arial"/>
          <w:color w:val="000000"/>
          <w:kern w:val="0"/>
          <w:sz w:val="24"/>
          <w:szCs w:val="24"/>
        </w:rPr>
        <w:t>临床和实验室标准研究所。2006. 传染病的分子诊断方法; 批准的指南。CLSI文件MM3-A2 [ISBN 1-56238-596-8] 临床和实验室标准研究所, Wayne PA.</w:t>
      </w:r>
    </w:p>
    <w:p w14:paraId="12D2EAC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10</w:t>
      </w:r>
      <w:r>
        <w:rPr>
          <w:rFonts w:ascii="Arial" w:hAnsi="Arial" w:eastAsia="宋体" w:cs="Arial"/>
          <w:color w:val="000000"/>
          <w:kern w:val="0"/>
          <w:sz w:val="24"/>
          <w:szCs w:val="24"/>
        </w:rPr>
        <w:t>临床和实验室标准研究所。1997. 实验室工作人员免受经由血液，体液和组织传播的传染病的防护。CLSI文件M29-A。临床和实验室标准研究所，Wayne PA。</w:t>
      </w:r>
    </w:p>
    <w:p w14:paraId="107D66F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11</w:t>
      </w:r>
      <w:r>
        <w:rPr>
          <w:rFonts w:ascii="Arial" w:hAnsi="Arial" w:eastAsia="宋体" w:cs="Arial"/>
          <w:color w:val="000000"/>
          <w:kern w:val="0"/>
          <w:sz w:val="24"/>
          <w:szCs w:val="24"/>
        </w:rPr>
        <w:t>临床和实验室标准研究所。2004.用于确定检测限和定量限的方案; 批准的指南。CLSI文件EP17-A [ISBN 1-56238-551-8]临床和实验室标准研究所，Wayne PA</w:t>
      </w:r>
    </w:p>
    <w:p w14:paraId="213A492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12</w:t>
      </w:r>
      <w:r>
        <w:rPr>
          <w:rFonts w:ascii="Arial" w:hAnsi="Arial" w:eastAsia="宋体" w:cs="Arial"/>
          <w:color w:val="000000"/>
          <w:kern w:val="0"/>
          <w:sz w:val="24"/>
          <w:szCs w:val="24"/>
        </w:rPr>
        <w:t>临床和实验室标准研究所。2005. 临床化学的干扰实验; 批准的指南。CLSI文件EP7-A2 [ISBN 1-56238-584-4]</w:t>
      </w:r>
    </w:p>
    <w:p w14:paraId="31FEEC6A">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13</w:t>
      </w:r>
      <w:r>
        <w:rPr>
          <w:rFonts w:ascii="Arial" w:hAnsi="Arial" w:eastAsia="宋体" w:cs="Arial"/>
          <w:color w:val="000000"/>
          <w:kern w:val="0"/>
          <w:sz w:val="24"/>
          <w:szCs w:val="24"/>
        </w:rPr>
        <w:t xml:space="preserve"> I型误差是真阴性样品（待测物浓度为0的样品）检出待测物存在的值的概率。通常，I型误差设置为5%或更小。</w:t>
      </w:r>
    </w:p>
    <w:p w14:paraId="401AA3E0">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14</w:t>
      </w:r>
      <w:r>
        <w:rPr>
          <w:rFonts w:ascii="Arial" w:hAnsi="Arial" w:eastAsia="宋体" w:cs="Arial"/>
          <w:color w:val="000000"/>
          <w:kern w:val="0"/>
          <w:sz w:val="24"/>
          <w:szCs w:val="24"/>
        </w:rPr>
        <w:t>临床和实验室标准研究所。2004.定量检测方法的精密度性能评价; 批准的指南。EP5-A2 [ISBN 1-56238-542-9]</w:t>
      </w:r>
      <w:r>
        <w:rPr>
          <w:rFonts w:ascii="Arial" w:hAnsi="Arial" w:eastAsia="宋体" w:cs="Arial"/>
          <w:sz w:val="24"/>
          <w:szCs w:val="24"/>
        </w:rPr>
        <w:t xml:space="preserve"> </w:t>
      </w:r>
      <w:r>
        <w:rPr>
          <w:rFonts w:ascii="Arial" w:hAnsi="Arial" w:eastAsia="宋体" w:cs="Arial"/>
          <w:color w:val="000000"/>
          <w:kern w:val="0"/>
          <w:sz w:val="24"/>
          <w:szCs w:val="24"/>
        </w:rPr>
        <w:t>临床和实验室标准研究所，Wayne PA。</w:t>
      </w:r>
    </w:p>
    <w:p w14:paraId="76F3A50D">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15</w:t>
      </w:r>
      <w:r>
        <w:rPr>
          <w:rFonts w:ascii="Arial" w:hAnsi="Arial" w:eastAsia="宋体" w:cs="Arial"/>
          <w:color w:val="000000"/>
          <w:kern w:val="0"/>
          <w:sz w:val="24"/>
          <w:szCs w:val="24"/>
        </w:rPr>
        <w:t>临床和实验室标准研究所。2002. 用于评价定性检测性能的用户方案; 批准的指南，EP12-A。[ISBN 1-56238-468-6] 临床和实验室标准研究所，Wayne PA。</w:t>
      </w:r>
    </w:p>
    <w:p w14:paraId="48CF933E">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16</w:t>
      </w:r>
      <w:r>
        <w:rPr>
          <w:rFonts w:ascii="Arial" w:hAnsi="Arial" w:eastAsia="宋体" w:cs="Arial"/>
          <w:color w:val="000000"/>
          <w:kern w:val="0"/>
          <w:sz w:val="24"/>
          <w:szCs w:val="24"/>
        </w:rPr>
        <w:t>临床和实验室标准研究所。用户对于精密度和真实性的性能确认; 批准的指南ꟷ 第二版。EP15-A2。[ISBN 1-56238-574-7] 临床和实验室标准研究所，Wayne PA。</w:t>
      </w:r>
    </w:p>
    <w:p w14:paraId="55E8C41A">
      <w:pPr>
        <w:widowControl/>
        <w:snapToGrid w:val="0"/>
        <w:spacing w:before="90" w:after="90" w:line="300" w:lineRule="auto"/>
        <w:rPr>
          <w:rFonts w:ascii="Arial" w:hAnsi="Arial" w:eastAsia="宋体" w:cs="Arial"/>
          <w:color w:val="000000"/>
          <w:kern w:val="0"/>
          <w:sz w:val="24"/>
          <w:szCs w:val="24"/>
        </w:rPr>
      </w:pPr>
      <w:bookmarkStart w:id="8" w:name="ft17"/>
      <w:r>
        <w:rPr>
          <w:rFonts w:ascii="Arial" w:hAnsi="Arial" w:eastAsia="宋体" w:cs="Arial"/>
          <w:color w:val="000000"/>
          <w:kern w:val="0"/>
          <w:sz w:val="24"/>
          <w:szCs w:val="24"/>
          <w:vertAlign w:val="superscript"/>
        </w:rPr>
        <w:t>17</w:t>
      </w:r>
      <w:bookmarkEnd w:id="8"/>
      <w:r>
        <w:rPr>
          <w:rFonts w:ascii="Arial" w:hAnsi="Arial" w:eastAsia="宋体" w:cs="Arial"/>
          <w:color w:val="000000"/>
          <w:kern w:val="0"/>
          <w:sz w:val="24"/>
          <w:szCs w:val="24"/>
        </w:rPr>
        <w:t> Haeckel R. Proposals for the Description and Measurement of Carry-over Effects in Clinical Chemistry. Pure Appl. Chem. 1991; 63:302-306.</w:t>
      </w:r>
    </w:p>
    <w:p w14:paraId="037CD17E">
      <w:pPr>
        <w:widowControl/>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18</w:t>
      </w:r>
      <w:r>
        <w:rPr>
          <w:rFonts w:ascii="Arial" w:hAnsi="Arial" w:eastAsia="宋体" w:cs="Arial"/>
          <w:color w:val="000000"/>
          <w:kern w:val="0"/>
          <w:sz w:val="24"/>
          <w:szCs w:val="24"/>
        </w:rPr>
        <w:t> 在本指南中，我们将</w:t>
      </w:r>
      <w:r>
        <w:rPr>
          <w:rFonts w:ascii="Arial" w:hAnsi="Arial" w:eastAsia="宋体" w:cs="Arial"/>
          <w:i/>
          <w:color w:val="000000"/>
          <w:kern w:val="0"/>
          <w:sz w:val="24"/>
          <w:szCs w:val="24"/>
        </w:rPr>
        <w:t>预先收集的留存样本</w:t>
      </w:r>
      <w:r>
        <w:rPr>
          <w:rFonts w:ascii="Arial" w:hAnsi="Arial" w:eastAsia="宋体" w:cs="Arial"/>
          <w:color w:val="000000"/>
          <w:kern w:val="0"/>
          <w:sz w:val="24"/>
          <w:szCs w:val="24"/>
        </w:rPr>
        <w:t>定义为，从满足研究入组标准的所有患者中顺序收集的样本，并代表了预期使用人群（即未根据已知结果进行预先挑选的样本），其在两个预先确定的检测日期之间(例如，从一个流感季节的开始到结束)进入一个临床检测机构，因此不存在偏差，且保存了患病率。这些样本应适当储存（例如，在-70</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冷冻），如文中所述，申办者应该说明，器械的性能不会因样本的储存/冻结/储存而发生变化。</w:t>
      </w:r>
    </w:p>
    <w:p w14:paraId="45C0E231">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19</w:t>
      </w:r>
      <w:r>
        <w:rPr>
          <w:rFonts w:ascii="Arial" w:hAnsi="Arial" w:eastAsia="宋体" w:cs="Arial"/>
          <w:color w:val="000000"/>
          <w:kern w:val="0"/>
          <w:sz w:val="24"/>
          <w:szCs w:val="24"/>
        </w:rPr>
        <w:t>临床和实验室标准研究所，2004。诊断实验室医学中的核酸测序方法; 批准的指南。CLSI文件MM9-A [ISBN 1-56238-558-5]，临床和实验室标准研究所，Wayne PA。</w:t>
      </w:r>
    </w:p>
    <w:p w14:paraId="6B1FAB5C">
      <w:pPr>
        <w:widowControl/>
        <w:snapToGrid w:val="0"/>
        <w:spacing w:before="90" w:after="90" w:line="300" w:lineRule="auto"/>
        <w:rPr>
          <w:rFonts w:ascii="Arial" w:hAnsi="Arial" w:eastAsia="宋体" w:cs="Arial"/>
          <w:color w:val="000000"/>
          <w:kern w:val="0"/>
          <w:sz w:val="24"/>
          <w:szCs w:val="24"/>
        </w:rPr>
      </w:pPr>
      <w:r>
        <w:rPr>
          <w:rFonts w:ascii="Arial" w:hAnsi="Arial" w:eastAsia="宋体" w:cs="Arial"/>
          <w:color w:val="000000"/>
          <w:kern w:val="0"/>
          <w:sz w:val="24"/>
          <w:szCs w:val="24"/>
          <w:vertAlign w:val="superscript"/>
        </w:rPr>
        <w:t>20</w:t>
      </w:r>
      <w:r>
        <w:rPr>
          <w:rFonts w:ascii="Arial" w:hAnsi="Arial" w:eastAsia="宋体" w:cs="Arial"/>
          <w:color w:val="000000"/>
          <w:kern w:val="0"/>
          <w:sz w:val="24"/>
          <w:szCs w:val="24"/>
        </w:rPr>
        <w:t>临床和实验室标准研究所，2006。传染病的分子诊断方法; 批准的指南。CLSI文件MM3-A2 [ISBN 1-56238-596-8]，临床和实验室标准研究所，Wayne PA。</w:t>
      </w:r>
    </w:p>
    <w:p w14:paraId="1F9AAA75">
      <w:pPr>
        <w:widowControl/>
        <w:snapToGrid w:val="0"/>
        <w:spacing w:line="300" w:lineRule="auto"/>
        <w:outlineLvl w:val="0"/>
        <w:rPr>
          <w:rFonts w:hint="eastAsia" w:eastAsia="宋体"/>
          <w:lang w:eastAsia="zh-CN"/>
        </w:rPr>
      </w:pPr>
    </w:p>
    <w:p w14:paraId="7216B604">
      <w:pPr>
        <w:widowControl/>
        <w:snapToGrid w:val="0"/>
        <w:spacing w:line="300" w:lineRule="auto"/>
        <w:jc w:val="center"/>
        <w:outlineLvl w:val="0"/>
        <w:rPr>
          <w:rFonts w:hint="eastAsia" w:eastAsia="宋体"/>
          <w:lang w:eastAsia="zh-CN"/>
        </w:rPr>
      </w:pPr>
    </w:p>
    <w:p w14:paraId="6CC3FF85">
      <w:pPr>
        <w:widowControl/>
        <w:snapToGrid w:val="0"/>
        <w:spacing w:line="300" w:lineRule="auto"/>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7B77"/>
    <w:multiLevelType w:val="multilevel"/>
    <w:tmpl w:val="0A767B77"/>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0F141958"/>
    <w:multiLevelType w:val="multilevel"/>
    <w:tmpl w:val="0F1419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59B5BA1"/>
    <w:multiLevelType w:val="multilevel"/>
    <w:tmpl w:val="259B5B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E786DA5"/>
    <w:multiLevelType w:val="multilevel"/>
    <w:tmpl w:val="2E786D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5E556A2"/>
    <w:multiLevelType w:val="multilevel"/>
    <w:tmpl w:val="35E556A2"/>
    <w:lvl w:ilvl="0" w:tentative="0">
      <w:start w:val="2"/>
      <w:numFmt w:val="decimal"/>
      <w:lvlText w:val="%1."/>
      <w:lvlJc w:val="left"/>
      <w:pPr>
        <w:tabs>
          <w:tab w:val="left" w:pos="720"/>
        </w:tabs>
        <w:ind w:left="720" w:hanging="360"/>
      </w:pPr>
      <w:rPr>
        <w:rFonts w:hint="eastAsia"/>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361F75A5"/>
    <w:multiLevelType w:val="multilevel"/>
    <w:tmpl w:val="361F75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6D07626"/>
    <w:multiLevelType w:val="multilevel"/>
    <w:tmpl w:val="36D076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A61692B"/>
    <w:multiLevelType w:val="multilevel"/>
    <w:tmpl w:val="3A6169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05A085C"/>
    <w:multiLevelType w:val="multilevel"/>
    <w:tmpl w:val="405A08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BA0015D"/>
    <w:multiLevelType w:val="multilevel"/>
    <w:tmpl w:val="4BA001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DCB39CD"/>
    <w:multiLevelType w:val="multilevel"/>
    <w:tmpl w:val="4DCB39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5285D1F"/>
    <w:multiLevelType w:val="multilevel"/>
    <w:tmpl w:val="75285D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8051BF5"/>
    <w:multiLevelType w:val="multilevel"/>
    <w:tmpl w:val="78051B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5"/>
  </w:num>
  <w:num w:numId="3">
    <w:abstractNumId w:val="3"/>
  </w:num>
  <w:num w:numId="4">
    <w:abstractNumId w:val="9"/>
  </w:num>
  <w:num w:numId="5">
    <w:abstractNumId w:val="1"/>
  </w:num>
  <w:num w:numId="6">
    <w:abstractNumId w:val="7"/>
  </w:num>
  <w:num w:numId="7">
    <w:abstractNumId w:val="10"/>
  </w:num>
  <w:num w:numId="8">
    <w:abstractNumId w:val="6"/>
  </w:num>
  <w:num w:numId="9">
    <w:abstractNumId w:val="11"/>
  </w:num>
  <w:num w:numId="10">
    <w:abstractNumId w:val="12"/>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520E"/>
    <w:rsid w:val="0002469F"/>
    <w:rsid w:val="0003550E"/>
    <w:rsid w:val="0006337C"/>
    <w:rsid w:val="0007470B"/>
    <w:rsid w:val="00077D57"/>
    <w:rsid w:val="00085E0E"/>
    <w:rsid w:val="000930FA"/>
    <w:rsid w:val="0009489A"/>
    <w:rsid w:val="00097229"/>
    <w:rsid w:val="000B09A4"/>
    <w:rsid w:val="000C4100"/>
    <w:rsid w:val="000C5E20"/>
    <w:rsid w:val="000E4693"/>
    <w:rsid w:val="000E797B"/>
    <w:rsid w:val="000F14F8"/>
    <w:rsid w:val="0012238D"/>
    <w:rsid w:val="001240BD"/>
    <w:rsid w:val="0013215B"/>
    <w:rsid w:val="0018440A"/>
    <w:rsid w:val="001A2B2E"/>
    <w:rsid w:val="001A5D78"/>
    <w:rsid w:val="001B45E8"/>
    <w:rsid w:val="001C4DCE"/>
    <w:rsid w:val="001D4E45"/>
    <w:rsid w:val="001F1547"/>
    <w:rsid w:val="00204E7B"/>
    <w:rsid w:val="00214B75"/>
    <w:rsid w:val="002307C4"/>
    <w:rsid w:val="00235C1A"/>
    <w:rsid w:val="00251C7F"/>
    <w:rsid w:val="00253D07"/>
    <w:rsid w:val="0026688C"/>
    <w:rsid w:val="002758F3"/>
    <w:rsid w:val="00281B68"/>
    <w:rsid w:val="00294FA8"/>
    <w:rsid w:val="00295C3B"/>
    <w:rsid w:val="002A6794"/>
    <w:rsid w:val="002C7E3A"/>
    <w:rsid w:val="002D6871"/>
    <w:rsid w:val="002F1D72"/>
    <w:rsid w:val="002F2C51"/>
    <w:rsid w:val="00304790"/>
    <w:rsid w:val="00321693"/>
    <w:rsid w:val="00322018"/>
    <w:rsid w:val="00324C2A"/>
    <w:rsid w:val="0034337A"/>
    <w:rsid w:val="00351F84"/>
    <w:rsid w:val="00352C7E"/>
    <w:rsid w:val="00360541"/>
    <w:rsid w:val="00360BEC"/>
    <w:rsid w:val="00365D26"/>
    <w:rsid w:val="003949ED"/>
    <w:rsid w:val="003B2938"/>
    <w:rsid w:val="003C001A"/>
    <w:rsid w:val="003C212D"/>
    <w:rsid w:val="003C21A9"/>
    <w:rsid w:val="003D4F9B"/>
    <w:rsid w:val="003E7D11"/>
    <w:rsid w:val="00403FD9"/>
    <w:rsid w:val="00404C18"/>
    <w:rsid w:val="00406854"/>
    <w:rsid w:val="00415EDD"/>
    <w:rsid w:val="004177DC"/>
    <w:rsid w:val="00426216"/>
    <w:rsid w:val="0043502B"/>
    <w:rsid w:val="00436824"/>
    <w:rsid w:val="00437D95"/>
    <w:rsid w:val="0047238D"/>
    <w:rsid w:val="00482915"/>
    <w:rsid w:val="00487598"/>
    <w:rsid w:val="004A531F"/>
    <w:rsid w:val="004C7145"/>
    <w:rsid w:val="00503490"/>
    <w:rsid w:val="00503652"/>
    <w:rsid w:val="005072EB"/>
    <w:rsid w:val="00512824"/>
    <w:rsid w:val="00514730"/>
    <w:rsid w:val="0053144E"/>
    <w:rsid w:val="0055430A"/>
    <w:rsid w:val="0056628E"/>
    <w:rsid w:val="0057167B"/>
    <w:rsid w:val="005741C6"/>
    <w:rsid w:val="00596FED"/>
    <w:rsid w:val="005A5A42"/>
    <w:rsid w:val="005D1658"/>
    <w:rsid w:val="005E492C"/>
    <w:rsid w:val="005E6A9D"/>
    <w:rsid w:val="005E77BD"/>
    <w:rsid w:val="005F6307"/>
    <w:rsid w:val="006128C8"/>
    <w:rsid w:val="00622D74"/>
    <w:rsid w:val="00636367"/>
    <w:rsid w:val="006526ED"/>
    <w:rsid w:val="006630DE"/>
    <w:rsid w:val="00683380"/>
    <w:rsid w:val="006936EE"/>
    <w:rsid w:val="006B0769"/>
    <w:rsid w:val="006C5A5B"/>
    <w:rsid w:val="006D0387"/>
    <w:rsid w:val="006F310B"/>
    <w:rsid w:val="0073358E"/>
    <w:rsid w:val="00743684"/>
    <w:rsid w:val="00754CFC"/>
    <w:rsid w:val="00763C2E"/>
    <w:rsid w:val="0077290C"/>
    <w:rsid w:val="00775905"/>
    <w:rsid w:val="007759D0"/>
    <w:rsid w:val="00790647"/>
    <w:rsid w:val="00790A61"/>
    <w:rsid w:val="007B43C0"/>
    <w:rsid w:val="007C0B36"/>
    <w:rsid w:val="007D34D9"/>
    <w:rsid w:val="007E7FD5"/>
    <w:rsid w:val="008016F3"/>
    <w:rsid w:val="00802028"/>
    <w:rsid w:val="00830290"/>
    <w:rsid w:val="00836603"/>
    <w:rsid w:val="00841704"/>
    <w:rsid w:val="0084301F"/>
    <w:rsid w:val="00851231"/>
    <w:rsid w:val="0086348F"/>
    <w:rsid w:val="00872A3B"/>
    <w:rsid w:val="008740A1"/>
    <w:rsid w:val="00875FCB"/>
    <w:rsid w:val="008841CA"/>
    <w:rsid w:val="00885F06"/>
    <w:rsid w:val="00896AED"/>
    <w:rsid w:val="008B2F56"/>
    <w:rsid w:val="008C2002"/>
    <w:rsid w:val="008D2AF8"/>
    <w:rsid w:val="008F4272"/>
    <w:rsid w:val="008F7D8B"/>
    <w:rsid w:val="009154ED"/>
    <w:rsid w:val="009161C7"/>
    <w:rsid w:val="00933200"/>
    <w:rsid w:val="00942153"/>
    <w:rsid w:val="009501B7"/>
    <w:rsid w:val="00957E44"/>
    <w:rsid w:val="0096701D"/>
    <w:rsid w:val="00974C6D"/>
    <w:rsid w:val="009757BD"/>
    <w:rsid w:val="00977E7E"/>
    <w:rsid w:val="009C6AA5"/>
    <w:rsid w:val="009D5C03"/>
    <w:rsid w:val="009E0549"/>
    <w:rsid w:val="009E0FE1"/>
    <w:rsid w:val="009E2529"/>
    <w:rsid w:val="009F3A7C"/>
    <w:rsid w:val="00A07214"/>
    <w:rsid w:val="00A20033"/>
    <w:rsid w:val="00A239D7"/>
    <w:rsid w:val="00A2623A"/>
    <w:rsid w:val="00A278B2"/>
    <w:rsid w:val="00A311DB"/>
    <w:rsid w:val="00A367EB"/>
    <w:rsid w:val="00A4260A"/>
    <w:rsid w:val="00A52D66"/>
    <w:rsid w:val="00A56326"/>
    <w:rsid w:val="00A61EA6"/>
    <w:rsid w:val="00A63BB8"/>
    <w:rsid w:val="00A9360B"/>
    <w:rsid w:val="00A94F25"/>
    <w:rsid w:val="00AA51EF"/>
    <w:rsid w:val="00AB2044"/>
    <w:rsid w:val="00AC6792"/>
    <w:rsid w:val="00AD5361"/>
    <w:rsid w:val="00B20DCD"/>
    <w:rsid w:val="00B31B54"/>
    <w:rsid w:val="00B623D9"/>
    <w:rsid w:val="00B803D1"/>
    <w:rsid w:val="00BA302B"/>
    <w:rsid w:val="00BB75AA"/>
    <w:rsid w:val="00BC3105"/>
    <w:rsid w:val="00BF1316"/>
    <w:rsid w:val="00BF211F"/>
    <w:rsid w:val="00C1287F"/>
    <w:rsid w:val="00C15F86"/>
    <w:rsid w:val="00C4330A"/>
    <w:rsid w:val="00C62129"/>
    <w:rsid w:val="00C80B8B"/>
    <w:rsid w:val="00C90853"/>
    <w:rsid w:val="00C92F2F"/>
    <w:rsid w:val="00CA4BB1"/>
    <w:rsid w:val="00CA55A7"/>
    <w:rsid w:val="00CA5E36"/>
    <w:rsid w:val="00CB6F2D"/>
    <w:rsid w:val="00CD02CC"/>
    <w:rsid w:val="00CD0450"/>
    <w:rsid w:val="00CD2DFF"/>
    <w:rsid w:val="00CF7ED8"/>
    <w:rsid w:val="00D05610"/>
    <w:rsid w:val="00D074B6"/>
    <w:rsid w:val="00D14CE5"/>
    <w:rsid w:val="00D22E05"/>
    <w:rsid w:val="00D263B0"/>
    <w:rsid w:val="00D26AC7"/>
    <w:rsid w:val="00D670C8"/>
    <w:rsid w:val="00D80622"/>
    <w:rsid w:val="00D8590D"/>
    <w:rsid w:val="00DA25FD"/>
    <w:rsid w:val="00DB723B"/>
    <w:rsid w:val="00DC6509"/>
    <w:rsid w:val="00DD14DA"/>
    <w:rsid w:val="00DE3057"/>
    <w:rsid w:val="00DF0E77"/>
    <w:rsid w:val="00DF1DF1"/>
    <w:rsid w:val="00E017D0"/>
    <w:rsid w:val="00E05797"/>
    <w:rsid w:val="00E46255"/>
    <w:rsid w:val="00E52C19"/>
    <w:rsid w:val="00E5342F"/>
    <w:rsid w:val="00E64767"/>
    <w:rsid w:val="00E775CE"/>
    <w:rsid w:val="00EB719A"/>
    <w:rsid w:val="00EB7452"/>
    <w:rsid w:val="00EC5139"/>
    <w:rsid w:val="00EE0766"/>
    <w:rsid w:val="00EE5B02"/>
    <w:rsid w:val="00EF5614"/>
    <w:rsid w:val="00F23786"/>
    <w:rsid w:val="00F2425A"/>
    <w:rsid w:val="00F3438F"/>
    <w:rsid w:val="00F43545"/>
    <w:rsid w:val="00F4726F"/>
    <w:rsid w:val="00F5737F"/>
    <w:rsid w:val="00F579BB"/>
    <w:rsid w:val="00F616D7"/>
    <w:rsid w:val="00F834D1"/>
    <w:rsid w:val="00F83816"/>
    <w:rsid w:val="00FC3CF3"/>
    <w:rsid w:val="00FE4E76"/>
    <w:rsid w:val="00FE59E4"/>
    <w:rsid w:val="00FE7FCF"/>
    <w:rsid w:val="00FF3E4F"/>
    <w:rsid w:val="00FF4A22"/>
    <w:rsid w:val="09CA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6">
    <w:name w:val="heading 6"/>
    <w:basedOn w:val="1"/>
    <w:link w:val="22"/>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unhideWhenUsed/>
    <w:uiPriority w:val="99"/>
    <w:rPr>
      <w:color w:val="0000FF"/>
      <w:u w:val="single"/>
    </w:rPr>
  </w:style>
  <w:style w:type="character" w:customStyle="1" w:styleId="16">
    <w:name w:val="页眉 Char"/>
    <w:basedOn w:val="12"/>
    <w:link w:val="9"/>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2"/>
    <w:qFormat/>
    <w:uiPriority w:val="9"/>
    <w:rPr>
      <w:rFonts w:ascii="宋体" w:hAnsi="宋体" w:eastAsia="宋体" w:cs="宋体"/>
      <w:b/>
      <w:bCs/>
      <w:kern w:val="36"/>
      <w:sz w:val="48"/>
      <w:szCs w:val="48"/>
    </w:rPr>
  </w:style>
  <w:style w:type="character" w:customStyle="1" w:styleId="19">
    <w:name w:val="标题 3 Char"/>
    <w:basedOn w:val="12"/>
    <w:link w:val="3"/>
    <w:qFormat/>
    <w:uiPriority w:val="9"/>
    <w:rPr>
      <w:rFonts w:ascii="宋体" w:hAnsi="宋体" w:eastAsia="宋体" w:cs="宋体"/>
      <w:b/>
      <w:bCs/>
      <w:kern w:val="0"/>
      <w:sz w:val="27"/>
      <w:szCs w:val="27"/>
    </w:rPr>
  </w:style>
  <w:style w:type="character" w:customStyle="1" w:styleId="20">
    <w:name w:val="标题 4 Char"/>
    <w:basedOn w:val="12"/>
    <w:link w:val="4"/>
    <w:uiPriority w:val="9"/>
    <w:rPr>
      <w:rFonts w:ascii="宋体" w:hAnsi="宋体" w:eastAsia="宋体" w:cs="宋体"/>
      <w:b/>
      <w:bCs/>
      <w:kern w:val="0"/>
      <w:sz w:val="24"/>
      <w:szCs w:val="24"/>
    </w:rPr>
  </w:style>
  <w:style w:type="character" w:customStyle="1" w:styleId="21">
    <w:name w:val="标题 5 Char"/>
    <w:basedOn w:val="12"/>
    <w:link w:val="5"/>
    <w:uiPriority w:val="9"/>
    <w:rPr>
      <w:rFonts w:ascii="宋体" w:hAnsi="宋体" w:eastAsia="宋体" w:cs="宋体"/>
      <w:b/>
      <w:bCs/>
      <w:kern w:val="0"/>
      <w:sz w:val="20"/>
      <w:szCs w:val="20"/>
    </w:rPr>
  </w:style>
  <w:style w:type="character" w:customStyle="1" w:styleId="22">
    <w:name w:val="标题 6 Char"/>
    <w:basedOn w:val="12"/>
    <w:link w:val="6"/>
    <w:qFormat/>
    <w:uiPriority w:val="9"/>
    <w:rPr>
      <w:rFonts w:ascii="宋体" w:hAnsi="宋体" w:eastAsia="宋体" w:cs="宋体"/>
      <w:b/>
      <w:bCs/>
      <w:kern w:val="0"/>
      <w:sz w:val="15"/>
      <w:szCs w:val="15"/>
    </w:rPr>
  </w:style>
  <w:style w:type="character" w:customStyle="1" w:styleId="23">
    <w:name w:val="apple-converted-space"/>
    <w:basedOn w:val="12"/>
    <w:qFormat/>
    <w:uiPriority w:val="0"/>
  </w:style>
  <w:style w:type="character" w:customStyle="1" w:styleId="24">
    <w:name w:val="批注框文本 Char"/>
    <w:basedOn w:val="12"/>
    <w:link w:val="7"/>
    <w:semiHidden/>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正文文本 (3)_"/>
    <w:basedOn w:val="12"/>
    <w:link w:val="27"/>
    <w:uiPriority w:val="0"/>
    <w:rPr>
      <w:rFonts w:ascii="Times New Roman" w:hAnsi="Times New Roman" w:eastAsia="Times New Roman" w:cs="Times New Roman"/>
      <w:b/>
      <w:bCs/>
      <w:sz w:val="60"/>
      <w:szCs w:val="60"/>
      <w:shd w:val="clear" w:color="auto" w:fill="FFFFFF"/>
    </w:rPr>
  </w:style>
  <w:style w:type="paragraph" w:customStyle="1" w:styleId="27">
    <w:name w:val="正文文本 (3)"/>
    <w:basedOn w:val="1"/>
    <w:link w:val="26"/>
    <w:uiPriority w:val="0"/>
    <w:pPr>
      <w:shd w:val="clear" w:color="auto" w:fill="FFFFFF"/>
      <w:spacing w:line="686" w:lineRule="exact"/>
      <w:jc w:val="center"/>
    </w:pPr>
    <w:rPr>
      <w:rFonts w:ascii="Times New Roman" w:hAnsi="Times New Roman" w:eastAsia="Times New Roman" w:cs="Times New Roman"/>
      <w:b/>
      <w:bCs/>
      <w:sz w:val="60"/>
      <w:szCs w:val="6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4195-01BF-49C4-A2E5-CBFBD00E840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25</Pages>
  <Words>12742</Words>
  <Characters>13829</Characters>
  <Lines>178</Lines>
  <Paragraphs>50</Paragraphs>
  <TotalTime>0</TotalTime>
  <ScaleCrop>false</ScaleCrop>
  <LinksUpToDate>false</LinksUpToDate>
  <CharactersWithSpaces>13952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2017-04-10T10:10:00Z</dcterms:created>
  <dc:creator>pc</dc:creator>
  <cp:lastModifiedBy>太极箫客</cp:lastModifiedBy>
  <dcterms:modified xsi:type="dcterms:W3CDTF">2025-08-14T06:17:51Z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20E657287AF14085B40BD44056DA0FAF_12</vt:lpwstr>
  </property>
</Properties>
</file>