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272D8">
      <w:pPr>
        <w:snapToGrid w:val="0"/>
        <w:spacing w:after="120" w:afterLines="50" w:line="300" w:lineRule="auto"/>
        <w:jc w:val="center"/>
        <w:rPr>
          <w:rFonts w:ascii="Arial" w:hAnsi="Arial" w:eastAsia="宋体" w:cs="Arial"/>
          <w:sz w:val="56"/>
          <w:szCs w:val="56"/>
          <w:lang w:eastAsia="zh-CN"/>
        </w:rPr>
      </w:pPr>
      <w:bookmarkStart w:id="134" w:name="_GoBack"/>
      <w:bookmarkEnd w:id="134"/>
      <w:r>
        <w:rPr>
          <w:rFonts w:ascii="Arial" w:hAnsi="Arial" w:eastAsia="宋体" w:cs="Arial"/>
          <w:b/>
          <w:sz w:val="56"/>
          <w:lang w:eastAsia="zh-CN"/>
        </w:rPr>
        <w:t>II类特殊控制指南：</w:t>
      </w:r>
      <w:r>
        <w:rPr>
          <w:rFonts w:ascii="Arial" w:hAnsi="Arial" w:eastAsia="宋体" w:cs="Arial"/>
          <w:b/>
          <w:i/>
          <w:sz w:val="56"/>
          <w:lang w:eastAsia="zh-CN"/>
        </w:rPr>
        <w:t>阴道毛滴虫</w:t>
      </w:r>
      <w:bookmarkStart w:id="0" w:name="OLE_LINK233"/>
      <w:r>
        <w:rPr>
          <w:rFonts w:ascii="Arial" w:hAnsi="Arial" w:eastAsia="宋体" w:cs="Arial"/>
          <w:b/>
          <w:sz w:val="56"/>
          <w:lang w:eastAsia="zh-CN"/>
        </w:rPr>
        <w:t>核酸扩增检测试剂盒</w:t>
      </w:r>
      <w:bookmarkEnd w:id="0"/>
    </w:p>
    <w:p w14:paraId="115A4A31">
      <w:pPr>
        <w:snapToGrid w:val="0"/>
        <w:spacing w:after="120" w:afterLines="50" w:line="300" w:lineRule="auto"/>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5622290" cy="7620"/>
                <wp:effectExtent l="9525" t="9525" r="6985" b="1905"/>
                <wp:docPr id="1" name="Group 21"/>
                <wp:cNvGraphicFramePr/>
                <a:graphic xmlns:a="http://schemas.openxmlformats.org/drawingml/2006/main">
                  <a:graphicData uri="http://schemas.microsoft.com/office/word/2010/wordprocessingGroup">
                    <wpg:wgp>
                      <wpg:cNvGrpSpPr/>
                      <wpg:grpSpPr>
                        <a:xfrm>
                          <a:off x="0" y="0"/>
                          <a:ext cx="5622290" cy="7620"/>
                          <a:chOff x="0" y="0"/>
                          <a:chExt cx="8854" cy="12"/>
                        </a:xfrm>
                      </wpg:grpSpPr>
                      <wpg:grpSp>
                        <wpg:cNvPr id="2" name="Group 22"/>
                        <wpg:cNvGrpSpPr/>
                        <wpg:grpSpPr>
                          <a:xfrm>
                            <a:off x="6" y="6"/>
                            <a:ext cx="8842" cy="2"/>
                            <a:chOff x="6" y="6"/>
                            <a:chExt cx="8842" cy="2"/>
                          </a:xfrm>
                        </wpg:grpSpPr>
                        <wps:wsp>
                          <wps:cNvPr id="3" name="Freeform 23"/>
                          <wps:cNvSpPr/>
                          <wps:spPr bwMode="auto">
                            <a:xfrm>
                              <a:off x="6" y="6"/>
                              <a:ext cx="8842" cy="2"/>
                            </a:xfrm>
                            <a:custGeom>
                              <a:avLst/>
                              <a:gdLst>
                                <a:gd name="T0" fmla="+- 0 6 6"/>
                                <a:gd name="T1" fmla="*/ T0 w 8842"/>
                                <a:gd name="T2" fmla="+- 0 8847 6"/>
                                <a:gd name="T3" fmla="*/ T2 w 8842"/>
                              </a:gdLst>
                              <a:ahLst/>
                              <a:cxnLst>
                                <a:cxn ang="0">
                                  <a:pos x="T1" y="0"/>
                                </a:cxn>
                                <a:cxn ang="0">
                                  <a:pos x="T3" y="0"/>
                                </a:cxn>
                              </a:cxnLst>
                              <a:rect l="0" t="0" r="r" b="b"/>
                              <a:pathLst>
                                <a:path w="8842">
                                  <a:moveTo>
                                    <a:pt x="0" y="0"/>
                                  </a:moveTo>
                                  <a:lnTo>
                                    <a:pt x="8841"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1" o:spid="_x0000_s1026" o:spt="203" style="height:0.6pt;width:442.7pt;" coordsize="8854,12" o:gfxdata="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U6Upx1AAAAAMBAAAPAAAAAAAAAAEAIAAAACIAAABkcnMvZG93bnJl&#10;di54bWxQSwECFAAUAAAACACHTuJAcl7vQh4DAAD7BwAADgAAAAAAAAABACAAAAAjAQAAZHJzL2Uy&#10;b0RvYy54bWxQSwUGAAAAAAYABgBZAQAAswYAAAAA&#10;">
                <o:lock v:ext="edit" aspectratio="f"/>
                <v:group id="Group 22" o:spid="_x0000_s1026" o:spt="203" style="position:absolute;left:6;top:6;height:2;width:8842;" coordorigin="6,6" coordsize="8842,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23" o:spid="_x0000_s1026" o:spt="100" style="position:absolute;left:6;top:6;height:2;width:8842;" filled="f" stroked="t" coordsize="8842,1" o:gfxdata="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cROi5AAAA2gAA&#10;AA8AAAAAAAAAAQAgAAAAIgAAAGRycy9kb3ducmV2LnhtbFBLAQIUABQAAAAIAIdO4kAzLwWeOwAA&#10;ADkAAAAQAAAAAAAAAAEAIAAAAAgBAABkcnMvc2hhcGV4bWwueG1sUEsFBgAAAAAGAAYAWwEAALID&#10;AAAAAA==&#10;" path="m0,0l8841,0e">
                    <v:path o:connectlocs="0,0;8841,0" o:connectangles="0,0"/>
                    <v:fill on="f" focussize="0,0"/>
                    <v:stroke weight="0.58pt" color="#000000" joinstyle="round"/>
                    <v:imagedata o:title=""/>
                    <o:lock v:ext="edit" aspectratio="f"/>
                  </v:shape>
                </v:group>
                <w10:wrap type="none"/>
                <w10:anchorlock/>
              </v:group>
            </w:pict>
          </mc:Fallback>
        </mc:AlternateContent>
      </w:r>
    </w:p>
    <w:p w14:paraId="4436A4EA">
      <w:pPr>
        <w:snapToGrid w:val="0"/>
        <w:spacing w:after="120" w:afterLines="50" w:line="300" w:lineRule="auto"/>
        <w:jc w:val="center"/>
        <w:rPr>
          <w:rFonts w:ascii="Arial" w:hAnsi="Arial" w:eastAsia="宋体" w:cs="Arial"/>
          <w:b/>
          <w:sz w:val="56"/>
          <w:lang w:eastAsia="zh-CN"/>
        </w:rPr>
      </w:pPr>
      <w:r>
        <w:rPr>
          <w:rFonts w:ascii="Arial" w:hAnsi="Arial" w:eastAsia="宋体" w:cs="Arial"/>
          <w:b/>
          <w:sz w:val="56"/>
          <w:lang w:eastAsia="zh-CN"/>
        </w:rPr>
        <w:t>行业和食品药品监督管理局工作人员指南</w:t>
      </w:r>
    </w:p>
    <w:p w14:paraId="732BABD0">
      <w:pPr>
        <w:snapToGrid w:val="0"/>
        <w:spacing w:after="120" w:afterLines="50" w:line="300" w:lineRule="auto"/>
        <w:rPr>
          <w:rFonts w:ascii="Arial" w:hAnsi="Arial" w:eastAsia="宋体" w:cs="Arial"/>
          <w:b/>
          <w:bCs/>
          <w:sz w:val="56"/>
          <w:szCs w:val="56"/>
          <w:lang w:eastAsia="zh-CN"/>
        </w:rPr>
      </w:pPr>
    </w:p>
    <w:p w14:paraId="6E6F82BC">
      <w:pPr>
        <w:snapToGrid w:val="0"/>
        <w:spacing w:after="120" w:afterLines="50" w:line="300" w:lineRule="auto"/>
        <w:jc w:val="center"/>
        <w:rPr>
          <w:rFonts w:ascii="Arial" w:hAnsi="Arial" w:eastAsia="宋体" w:cs="Arial"/>
          <w:sz w:val="28"/>
          <w:szCs w:val="28"/>
          <w:lang w:eastAsia="zh-CN"/>
        </w:rPr>
      </w:pPr>
      <w:r>
        <w:rPr>
          <w:rFonts w:ascii="Arial" w:hAnsi="Arial" w:eastAsia="宋体" w:cs="Arial"/>
          <w:b/>
          <w:sz w:val="28"/>
          <w:lang w:eastAsia="zh-CN"/>
        </w:rPr>
        <w:t>文件发布日期：2015年8月4日</w:t>
      </w:r>
    </w:p>
    <w:p w14:paraId="4A06BD53">
      <w:pPr>
        <w:snapToGrid w:val="0"/>
        <w:spacing w:after="120" w:afterLines="50" w:line="300" w:lineRule="auto"/>
        <w:rPr>
          <w:rFonts w:ascii="Arial" w:hAnsi="Arial" w:eastAsia="宋体" w:cs="Arial"/>
          <w:b/>
          <w:bCs/>
          <w:sz w:val="28"/>
          <w:szCs w:val="28"/>
          <w:lang w:eastAsia="zh-CN"/>
        </w:rPr>
      </w:pPr>
    </w:p>
    <w:p w14:paraId="674B9694">
      <w:pPr>
        <w:snapToGrid w:val="0"/>
        <w:spacing w:after="120" w:afterLines="50" w:line="300" w:lineRule="auto"/>
        <w:rPr>
          <w:rFonts w:ascii="Arial" w:hAnsi="Arial" w:eastAsia="宋体" w:cs="Arial"/>
          <w:b/>
          <w:bCs/>
          <w:sz w:val="28"/>
          <w:szCs w:val="28"/>
          <w:lang w:eastAsia="zh-CN"/>
        </w:rPr>
      </w:pPr>
    </w:p>
    <w:p w14:paraId="708F64BD">
      <w:pPr>
        <w:pStyle w:val="3"/>
        <w:snapToGrid w:val="0"/>
        <w:spacing w:after="120" w:afterLines="50" w:line="300" w:lineRule="auto"/>
        <w:ind w:left="0"/>
        <w:rPr>
          <w:rFonts w:ascii="Arial" w:hAnsi="Arial" w:eastAsia="宋体" w:cs="Arial"/>
          <w:lang w:eastAsia="zh-CN"/>
        </w:rPr>
      </w:pPr>
      <w:r>
        <w:rPr>
          <w:rFonts w:ascii="Arial" w:hAnsi="Arial" w:eastAsia="宋体" w:cs="Arial"/>
          <w:lang w:eastAsia="zh-CN"/>
        </w:rPr>
        <w:t>有关本文件的问题，联系微生物学器械科Himani Bisht博士，电话301-796-6180或发邮件至邮箱</w:t>
      </w:r>
      <w:r>
        <w:fldChar w:fldCharType="begin"/>
      </w:r>
      <w:r>
        <w:rPr>
          <w:lang w:eastAsia="zh-CN"/>
        </w:rPr>
        <w:instrText xml:space="preserve"> HYPERLINK "mailto:himani.bisht@fda.hhs.gov" \h </w:instrText>
      </w:r>
      <w:r>
        <w:fldChar w:fldCharType="separate"/>
      </w:r>
      <w:r>
        <w:rPr>
          <w:rFonts w:ascii="Arial" w:hAnsi="Arial" w:eastAsia="宋体" w:cs="Arial"/>
          <w:lang w:eastAsia="zh-CN"/>
        </w:rPr>
        <w:t>himani.bisht@fda.hhs.gov</w:t>
      </w:r>
      <w:r>
        <w:rPr>
          <w:rFonts w:ascii="Arial" w:hAnsi="Arial" w:eastAsia="宋体" w:cs="Arial"/>
          <w:lang w:eastAsia="zh-CN"/>
        </w:rPr>
        <w:fldChar w:fldCharType="end"/>
      </w:r>
      <w:r>
        <w:rPr>
          <w:rFonts w:ascii="Arial" w:hAnsi="Arial" w:eastAsia="宋体" w:cs="Arial"/>
          <w:lang w:eastAsia="zh-CN"/>
        </w:rPr>
        <w:t>。</w:t>
      </w:r>
    </w:p>
    <w:p w14:paraId="4B306572">
      <w:pPr>
        <w:snapToGrid w:val="0"/>
        <w:spacing w:after="120" w:afterLines="50" w:line="300" w:lineRule="auto"/>
        <w:rPr>
          <w:rFonts w:ascii="Arial" w:hAnsi="Arial" w:eastAsia="宋体" w:cs="Arial"/>
          <w:sz w:val="24"/>
          <w:szCs w:val="24"/>
          <w:lang w:eastAsia="zh-CN"/>
        </w:rPr>
      </w:pPr>
    </w:p>
    <w:p w14:paraId="584FD3EA">
      <w:pPr>
        <w:snapToGrid w:val="0"/>
        <w:spacing w:after="120" w:afterLines="50" w:line="300" w:lineRule="auto"/>
        <w:rPr>
          <w:rFonts w:ascii="Arial" w:hAnsi="Arial" w:eastAsia="宋体" w:cs="Arial"/>
          <w:sz w:val="24"/>
          <w:szCs w:val="24"/>
          <w:lang w:eastAsia="zh-CN"/>
        </w:rPr>
      </w:pPr>
    </w:p>
    <w:p w14:paraId="1DBA8369">
      <w:pPr>
        <w:snapToGrid w:val="0"/>
        <w:spacing w:after="120" w:afterLines="50" w:line="300" w:lineRule="auto"/>
        <w:rPr>
          <w:rFonts w:ascii="Arial" w:hAnsi="Arial" w:eastAsia="宋体" w:cs="Arial"/>
          <w:sz w:val="24"/>
          <w:szCs w:val="24"/>
          <w:lang w:eastAsia="zh-CN"/>
        </w:rPr>
      </w:pPr>
    </w:p>
    <w:p w14:paraId="1C16BC9A">
      <w:pPr>
        <w:snapToGrid w:val="0"/>
        <w:spacing w:after="120" w:afterLines="50" w:line="300" w:lineRule="auto"/>
        <w:rPr>
          <w:rFonts w:ascii="Arial" w:hAnsi="Arial" w:eastAsia="宋体" w:cs="Arial"/>
          <w:sz w:val="24"/>
          <w:szCs w:val="24"/>
          <w:lang w:eastAsia="zh-CN"/>
        </w:rPr>
      </w:pPr>
    </w:p>
    <w:p w14:paraId="7F55E56A">
      <w:pPr>
        <w:snapToGrid w:val="0"/>
        <w:spacing w:after="120" w:afterLines="50" w:line="300" w:lineRule="auto"/>
        <w:rPr>
          <w:rFonts w:ascii="Arial" w:hAnsi="Arial" w:eastAsia="宋体" w:cs="Arial"/>
          <w:sz w:val="23"/>
          <w:szCs w:val="23"/>
          <w:lang w:eastAsia="zh-CN"/>
        </w:rPr>
      </w:pPr>
    </w:p>
    <w:p w14:paraId="2B5484E8">
      <w:pPr>
        <w:pStyle w:val="23"/>
        <w:snapToGrid w:val="0"/>
        <w:spacing w:after="120" w:afterLines="50" w:line="300" w:lineRule="auto"/>
        <w:ind w:left="0"/>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1097280</wp:posOffset>
            </wp:positionH>
            <wp:positionV relativeFrom="paragraph">
              <wp:posOffset>137795</wp:posOffset>
            </wp:positionV>
            <wp:extent cx="914400" cy="95250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ascii="Arial" w:hAnsi="Arial" w:eastAsia="宋体" w:cs="Arial"/>
          <w:lang w:eastAsia="zh-CN"/>
        </w:rPr>
        <w:t>美国卫生和人类服务署</w:t>
      </w:r>
    </w:p>
    <w:p w14:paraId="09256C2F">
      <w:pPr>
        <w:snapToGrid w:val="0"/>
        <w:spacing w:after="120" w:afterLines="50" w:line="300" w:lineRule="auto"/>
        <w:ind w:firstLine="1252"/>
        <w:jc w:val="right"/>
        <w:rPr>
          <w:rFonts w:ascii="Arial" w:hAnsi="Arial" w:eastAsia="宋体" w:cs="Arial"/>
          <w:b/>
          <w:sz w:val="24"/>
          <w:lang w:eastAsia="zh-CN"/>
        </w:rPr>
      </w:pPr>
      <w:r>
        <w:rPr>
          <w:rFonts w:ascii="Arial" w:hAnsi="Arial" w:eastAsia="宋体" w:cs="Arial"/>
          <w:b/>
          <w:sz w:val="24"/>
          <w:lang w:eastAsia="zh-CN"/>
        </w:rPr>
        <w:t>食品药品监督管理局</w:t>
      </w:r>
    </w:p>
    <w:p w14:paraId="1A5FA3E3">
      <w:pPr>
        <w:snapToGrid w:val="0"/>
        <w:spacing w:after="120" w:afterLines="50" w:line="300" w:lineRule="auto"/>
        <w:ind w:firstLine="241" w:firstLineChars="100"/>
        <w:jc w:val="right"/>
        <w:rPr>
          <w:rFonts w:ascii="Arial" w:hAnsi="Arial" w:eastAsia="宋体" w:cs="Arial"/>
          <w:sz w:val="24"/>
          <w:szCs w:val="24"/>
          <w:lang w:eastAsia="zh-CN"/>
        </w:rPr>
      </w:pPr>
      <w:r>
        <w:rPr>
          <w:rFonts w:ascii="Arial" w:hAnsi="Arial" w:eastAsia="宋体" w:cs="Arial"/>
          <w:b/>
          <w:sz w:val="24"/>
          <w:lang w:eastAsia="zh-CN"/>
        </w:rPr>
        <w:t>器械和放射卫生中心</w:t>
      </w:r>
    </w:p>
    <w:p w14:paraId="61E6FA0B">
      <w:pPr>
        <w:pStyle w:val="23"/>
        <w:snapToGrid w:val="0"/>
        <w:spacing w:after="120" w:afterLines="50" w:line="300" w:lineRule="auto"/>
        <w:ind w:left="0"/>
        <w:jc w:val="right"/>
        <w:rPr>
          <w:rFonts w:ascii="Arial" w:hAnsi="Arial" w:eastAsia="宋体" w:cs="Arial"/>
          <w:b w:val="0"/>
          <w:bCs w:val="0"/>
          <w:lang w:eastAsia="zh-CN"/>
        </w:rPr>
      </w:pPr>
      <w:r>
        <w:rPr>
          <w:rFonts w:ascii="Arial" w:hAnsi="Arial" w:eastAsia="宋体" w:cs="Arial"/>
          <w:lang w:eastAsia="zh-CN"/>
        </w:rPr>
        <w:t>体外诊断学和放射卫生办公室</w:t>
      </w:r>
    </w:p>
    <w:p w14:paraId="3C96300A">
      <w:pPr>
        <w:pStyle w:val="23"/>
        <w:snapToGrid w:val="0"/>
        <w:spacing w:after="120" w:afterLines="50" w:line="300" w:lineRule="auto"/>
        <w:ind w:left="0"/>
        <w:jc w:val="right"/>
        <w:rPr>
          <w:rFonts w:ascii="Arial" w:hAnsi="Arial" w:eastAsia="宋体" w:cs="Arial"/>
          <w:b w:val="0"/>
          <w:bCs w:val="0"/>
          <w:lang w:eastAsia="zh-CN"/>
        </w:rPr>
      </w:pPr>
      <w:r>
        <w:rPr>
          <w:rFonts w:ascii="Arial" w:hAnsi="Arial" w:eastAsia="宋体" w:cs="Arial"/>
          <w:lang w:eastAsia="zh-CN"/>
        </w:rPr>
        <w:t>微生物学器械科</w:t>
      </w:r>
    </w:p>
    <w:p w14:paraId="22C742C9">
      <w:pPr>
        <w:snapToGrid w:val="0"/>
        <w:spacing w:after="120" w:afterLines="50" w:line="300" w:lineRule="auto"/>
        <w:rPr>
          <w:rFonts w:ascii="Arial" w:hAnsi="Arial" w:eastAsia="宋体" w:cs="Arial"/>
          <w:b/>
          <w:bCs/>
          <w:sz w:val="36"/>
          <w:szCs w:val="36"/>
          <w:lang w:eastAsia="zh-CN"/>
        </w:rPr>
      </w:pPr>
      <w:r>
        <w:rPr>
          <w:rFonts w:ascii="Arial" w:hAnsi="Arial" w:eastAsia="宋体" w:cs="Arial"/>
          <w:lang w:eastAsia="zh-CN"/>
        </w:rPr>
        <w:br w:type="page"/>
      </w:r>
    </w:p>
    <w:p w14:paraId="3CD99496">
      <w:pPr>
        <w:snapToGrid w:val="0"/>
        <w:spacing w:after="120" w:afterLines="50"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5B5458F0">
      <w:pPr>
        <w:snapToGrid w:val="0"/>
        <w:spacing w:after="120" w:afterLines="50" w:line="300" w:lineRule="auto"/>
        <w:rPr>
          <w:rFonts w:ascii="Arial" w:hAnsi="Arial" w:eastAsia="宋体" w:cs="Arial"/>
          <w:sz w:val="36"/>
          <w:szCs w:val="36"/>
          <w:lang w:eastAsia="zh-CN"/>
        </w:rPr>
      </w:pPr>
      <w:r>
        <w:rPr>
          <w:rFonts w:ascii="Arial" w:hAnsi="Arial" w:eastAsia="宋体" w:cs="Arial"/>
          <w:b/>
          <w:sz w:val="36"/>
          <w:lang w:eastAsia="zh-CN"/>
        </w:rPr>
        <w:t>公共评论</w:t>
      </w:r>
    </w:p>
    <w:p w14:paraId="6C911164">
      <w:pPr>
        <w:pStyle w:val="3"/>
        <w:snapToGrid w:val="0"/>
        <w:spacing w:after="120" w:afterLines="50" w:line="300" w:lineRule="auto"/>
        <w:ind w:left="0"/>
        <w:jc w:val="both"/>
        <w:rPr>
          <w:rFonts w:ascii="Arial" w:hAnsi="Arial" w:eastAsia="宋体" w:cs="Arial"/>
          <w:lang w:eastAsia="zh-CN"/>
        </w:rPr>
      </w:pPr>
      <w:r>
        <w:rPr>
          <w:rFonts w:ascii="Arial" w:hAnsi="Arial" w:eastAsia="宋体" w:cs="Arial"/>
        </w:rPr>
        <w:t>为便于本机构收集评论和建议</w:t>
      </w:r>
      <w:r>
        <w:rPr>
          <w:rFonts w:ascii="Arial" w:hAnsi="Arial" w:eastAsia="宋体" w:cs="Arial"/>
          <w:lang w:eastAsia="zh-CN"/>
        </w:rPr>
        <w:t>，</w:t>
      </w:r>
      <w:r>
        <w:rPr>
          <w:rFonts w:ascii="Arial" w:hAnsi="Arial" w:eastAsia="宋体" w:cs="Arial"/>
        </w:rPr>
        <w:t>电子评论</w:t>
      </w:r>
      <w:r>
        <w:rPr>
          <w:rFonts w:ascii="Arial" w:hAnsi="Arial" w:eastAsia="宋体" w:cs="Arial"/>
          <w:lang w:eastAsia="zh-CN"/>
        </w:rPr>
        <w:t>和建议可随时提交至</w:t>
      </w:r>
      <w:r>
        <w:rPr>
          <w:rFonts w:ascii="Arial" w:hAnsi="Arial" w:eastAsia="宋体" w:cs="Arial"/>
        </w:rPr>
        <w:t>http://www.regulations.gov</w:t>
      </w:r>
      <w:r>
        <w:rPr>
          <w:rFonts w:ascii="Arial" w:hAnsi="Arial" w:eastAsia="宋体" w:cs="Arial"/>
          <w:lang w:eastAsia="zh-CN"/>
        </w:rPr>
        <w:t>。书面评论可提交至食品药品监督管理局，案卷管理科（5630 Fishers Lane，ROOM 1061（HFA-305），Rockville，MD，20852）。用案卷编号【2015-N-2526】注明所有评论。再次进行文件修订或更新之前，本机构可能不会针对评论采取行动。</w:t>
      </w:r>
    </w:p>
    <w:p w14:paraId="0E261CC2">
      <w:pPr>
        <w:snapToGrid w:val="0"/>
        <w:spacing w:after="120" w:afterLines="50" w:line="300" w:lineRule="auto"/>
        <w:rPr>
          <w:rFonts w:ascii="Arial" w:hAnsi="Arial" w:eastAsia="宋体" w:cs="Arial"/>
          <w:sz w:val="24"/>
          <w:szCs w:val="24"/>
          <w:lang w:eastAsia="zh-CN"/>
        </w:rPr>
      </w:pPr>
    </w:p>
    <w:p w14:paraId="7D915A42">
      <w:pPr>
        <w:snapToGrid w:val="0"/>
        <w:spacing w:after="120" w:afterLines="50" w:line="300" w:lineRule="auto"/>
        <w:rPr>
          <w:rFonts w:ascii="Arial" w:hAnsi="Arial" w:eastAsia="宋体" w:cs="Arial"/>
          <w:sz w:val="36"/>
          <w:szCs w:val="36"/>
          <w:lang w:eastAsia="zh-CN"/>
        </w:rPr>
      </w:pPr>
      <w:r>
        <w:rPr>
          <w:rFonts w:ascii="Arial" w:hAnsi="Arial" w:eastAsia="宋体" w:cs="Arial"/>
          <w:b/>
          <w:sz w:val="36"/>
          <w:lang w:eastAsia="zh-CN"/>
        </w:rPr>
        <w:t>其他副本</w:t>
      </w:r>
    </w:p>
    <w:p w14:paraId="36AF7FBD">
      <w:pPr>
        <w:pStyle w:val="3"/>
        <w:snapToGrid w:val="0"/>
        <w:spacing w:after="120" w:afterLines="50" w:line="300" w:lineRule="auto"/>
        <w:ind w:left="0"/>
        <w:rPr>
          <w:rFonts w:ascii="Arial" w:hAnsi="Arial" w:eastAsia="宋体" w:cs="Arial"/>
          <w:lang w:eastAsia="zh-CN"/>
        </w:rPr>
      </w:pPr>
      <w:r>
        <w:rPr>
          <w:rFonts w:ascii="Arial" w:hAnsi="Arial" w:eastAsia="宋体" w:cs="Arial"/>
          <w:lang w:eastAsia="zh-CN"/>
        </w:rPr>
        <w:t>其他副本可从互联网获得。您还可以向</w:t>
      </w:r>
      <w:r>
        <w:fldChar w:fldCharType="begin"/>
      </w:r>
      <w:r>
        <w:instrText xml:space="preserve"> HYPERLINK "mailto:CDRH-Guidance@fda.hhs.gov" \h </w:instrText>
      </w:r>
      <w:r>
        <w:fldChar w:fldCharType="separate"/>
      </w:r>
      <w:r>
        <w:fldChar w:fldCharType="begin"/>
      </w:r>
      <w:r>
        <w:instrText xml:space="preserve"> HYPERLINK "mailto:CDRH-Guidance@fda.hhs.gov" \h </w:instrText>
      </w:r>
      <w:r>
        <w:fldChar w:fldCharType="separate"/>
      </w:r>
      <w:r>
        <w:rPr>
          <w:rFonts w:ascii="Arial" w:hAnsi="Arial" w:eastAsia="宋体" w:cs="Arial"/>
          <w:color w:val="000000" w:themeColor="text1"/>
          <w:lang w:eastAsia="zh-CN"/>
          <w14:textFill>
            <w14:solidFill>
              <w14:schemeClr w14:val="tx1"/>
            </w14:solidFill>
          </w14:textFill>
        </w:rPr>
        <w:t>CDRH-</w:t>
      </w:r>
      <w:r>
        <w:rPr>
          <w:rFonts w:ascii="Arial" w:hAnsi="Arial" w:eastAsia="宋体" w:cs="Arial"/>
          <w:color w:val="000000" w:themeColor="text1"/>
          <w:lang w:eastAsia="zh-CN"/>
          <w14:textFill>
            <w14:solidFill>
              <w14:schemeClr w14:val="tx1"/>
            </w14:solidFill>
          </w14:textFill>
        </w:rPr>
        <w:fldChar w:fldCharType="end"/>
      </w:r>
      <w:r>
        <w:rPr>
          <w:rFonts w:ascii="Arial" w:hAnsi="Arial" w:eastAsia="宋体" w:cs="Arial"/>
          <w:color w:val="000000" w:themeColor="text1"/>
          <w:lang w:eastAsia="zh-CN"/>
          <w14:textFill>
            <w14:solidFill>
              <w14:schemeClr w14:val="tx1"/>
            </w14:solidFill>
          </w14:textFill>
        </w:rPr>
        <w:t>Guidance@fda.hhs.gov</w:t>
      </w:r>
      <w:r>
        <w:rPr>
          <w:rFonts w:ascii="Arial" w:hAnsi="Arial" w:eastAsia="宋体" w:cs="Arial"/>
          <w:color w:val="0000FF"/>
          <w:lang w:eastAsia="zh-CN"/>
        </w:rPr>
        <w:t xml:space="preserve"> </w:t>
      </w:r>
      <w:r>
        <w:rPr>
          <w:rFonts w:ascii="Arial" w:hAnsi="Arial" w:eastAsia="宋体" w:cs="Arial"/>
          <w:color w:val="0000FF"/>
          <w:lang w:eastAsia="zh-CN"/>
        </w:rPr>
        <w:fldChar w:fldCharType="end"/>
      </w:r>
      <w:r>
        <w:rPr>
          <w:rFonts w:ascii="Arial" w:hAnsi="Arial" w:eastAsia="宋体" w:cs="Arial"/>
          <w:lang w:eastAsia="zh-CN"/>
        </w:rPr>
        <w:t>发送电子邮件请求以接收本文件的副本。请使用文件编号1100491来注明您所要求获得的指南。</w:t>
      </w:r>
    </w:p>
    <w:p w14:paraId="6C42241A">
      <w:pPr>
        <w:snapToGrid w:val="0"/>
        <w:spacing w:after="120" w:afterLines="50" w:line="300" w:lineRule="auto"/>
        <w:rPr>
          <w:rFonts w:ascii="Arial" w:hAnsi="Arial" w:eastAsia="宋体" w:cs="Arial"/>
          <w:sz w:val="20"/>
          <w:szCs w:val="20"/>
          <w:lang w:eastAsia="zh-CN"/>
        </w:rPr>
      </w:pPr>
      <w:r>
        <w:rPr>
          <w:rFonts w:ascii="Arial" w:hAnsi="Arial" w:eastAsia="宋体" w:cs="Arial"/>
          <w:lang w:eastAsia="zh-CN"/>
        </w:rPr>
        <w:br w:type="page"/>
      </w:r>
    </w:p>
    <w:p w14:paraId="06EE6AC7">
      <w:pPr>
        <w:snapToGrid w:val="0"/>
        <w:spacing w:after="120" w:afterLines="50" w:line="300" w:lineRule="auto"/>
        <w:jc w:val="center"/>
        <w:rPr>
          <w:rFonts w:ascii="Arial" w:hAnsi="Arial" w:eastAsia="宋体" w:cs="Arial"/>
          <w:sz w:val="36"/>
          <w:szCs w:val="36"/>
          <w:lang w:eastAsia="zh-CN"/>
        </w:rPr>
      </w:pPr>
      <w:r>
        <w:rPr>
          <w:rFonts w:ascii="Arial" w:hAnsi="Arial" w:eastAsia="宋体" w:cs="Arial"/>
          <w:b/>
          <w:sz w:val="36"/>
          <w:lang w:eastAsia="zh-CN"/>
        </w:rPr>
        <w:t>目录</w:t>
      </w:r>
    </w:p>
    <w:sdt>
      <w:sdtPr>
        <w:rPr>
          <w:rFonts w:asciiTheme="minorHAnsi" w:hAnsiTheme="minorHAnsi" w:eastAsiaTheme="minorEastAsia" w:cstheme="minorBidi"/>
          <w:b w:val="0"/>
          <w:bCs w:val="0"/>
          <w:color w:val="auto"/>
          <w:sz w:val="22"/>
          <w:szCs w:val="22"/>
          <w:lang w:val="zh-CN" w:eastAsia="en-US"/>
        </w:rPr>
        <w:id w:val="-425807597"/>
        <w:docPartObj>
          <w:docPartGallery w:val="Table of Contents"/>
          <w:docPartUnique/>
        </w:docPartObj>
      </w:sdtPr>
      <w:sdtEndPr>
        <w:rPr>
          <w:rFonts w:ascii="Arial" w:hAnsi="Arial" w:eastAsia="宋体" w:cs="Arial"/>
          <w:b w:val="0"/>
          <w:bCs w:val="0"/>
          <w:color w:val="auto"/>
          <w:sz w:val="22"/>
          <w:szCs w:val="22"/>
          <w:lang w:val="zh-CN" w:eastAsia="en-US"/>
        </w:rPr>
      </w:sdtEndPr>
      <w:sdtContent>
        <w:p w14:paraId="4F7C2723">
          <w:pPr>
            <w:pStyle w:val="31"/>
            <w:spacing w:before="0"/>
            <w:rPr>
              <w:rFonts w:ascii="Arial" w:hAnsi="Arial" w:eastAsia="宋体" w:cs="Arial"/>
            </w:rPr>
          </w:pPr>
        </w:p>
        <w:p w14:paraId="75DA0653">
          <w:pPr>
            <w:pStyle w:val="8"/>
            <w:tabs>
              <w:tab w:val="left" w:pos="840"/>
              <w:tab w:val="right" w:leader="dot" w:pos="8630"/>
            </w:tabs>
            <w:rPr>
              <w:kern w:val="2"/>
              <w:sz w:val="21"/>
              <w:lang w:eastAsia="zh-CN"/>
            </w:rPr>
          </w:pPr>
          <w:r>
            <w:rPr>
              <w:rFonts w:ascii="Arial" w:hAnsi="Arial" w:eastAsia="宋体" w:cs="Arial"/>
            </w:rPr>
            <w:fldChar w:fldCharType="begin"/>
          </w:r>
          <w:r>
            <w:rPr>
              <w:rFonts w:ascii="Arial" w:hAnsi="Arial" w:eastAsia="宋体" w:cs="Arial"/>
            </w:rPr>
            <w:instrText xml:space="preserve"> TOC \o "1-4" \h \z \u </w:instrText>
          </w:r>
          <w:r>
            <w:rPr>
              <w:rFonts w:ascii="Arial" w:hAnsi="Arial" w:eastAsia="宋体" w:cs="Arial"/>
            </w:rPr>
            <w:fldChar w:fldCharType="separate"/>
          </w:r>
          <w:r>
            <w:fldChar w:fldCharType="begin"/>
          </w:r>
          <w:r>
            <w:instrText xml:space="preserve"> HYPERLINK \l "_Toc497125084" </w:instrText>
          </w:r>
          <w:r>
            <w:fldChar w:fldCharType="separate"/>
          </w:r>
          <w:r>
            <w:rPr>
              <w:rStyle w:val="13"/>
              <w:rFonts w:ascii="Arial" w:hAnsi="Arial" w:cs="Arial"/>
            </w:rPr>
            <w:t>I.</w:t>
          </w:r>
          <w:r>
            <w:rPr>
              <w:kern w:val="2"/>
              <w:sz w:val="21"/>
              <w:lang w:eastAsia="zh-CN"/>
            </w:rPr>
            <w:tab/>
          </w:r>
          <w:r>
            <w:rPr>
              <w:rStyle w:val="13"/>
              <w:rFonts w:hint="eastAsia" w:ascii="Arial" w:hAnsi="Arial" w:eastAsia="宋体" w:cs="Arial"/>
              <w:lang w:eastAsia="zh-CN"/>
            </w:rPr>
            <w:t>引言</w:t>
          </w:r>
          <w:r>
            <w:tab/>
          </w:r>
          <w:r>
            <w:fldChar w:fldCharType="begin"/>
          </w:r>
          <w:r>
            <w:instrText xml:space="preserve"> PAGEREF _Toc497125084 \h </w:instrText>
          </w:r>
          <w:r>
            <w:fldChar w:fldCharType="separate"/>
          </w:r>
          <w:r>
            <w:t>5</w:t>
          </w:r>
          <w:r>
            <w:fldChar w:fldCharType="end"/>
          </w:r>
          <w:r>
            <w:fldChar w:fldCharType="end"/>
          </w:r>
        </w:p>
        <w:p w14:paraId="7687C097">
          <w:pPr>
            <w:pStyle w:val="8"/>
            <w:tabs>
              <w:tab w:val="left" w:pos="840"/>
              <w:tab w:val="right" w:leader="dot" w:pos="8630"/>
            </w:tabs>
            <w:rPr>
              <w:kern w:val="2"/>
              <w:sz w:val="21"/>
              <w:lang w:eastAsia="zh-CN"/>
            </w:rPr>
          </w:pPr>
          <w:r>
            <w:fldChar w:fldCharType="begin"/>
          </w:r>
          <w:r>
            <w:instrText xml:space="preserve"> HYPERLINK \l "_Toc497125085" </w:instrText>
          </w:r>
          <w:r>
            <w:fldChar w:fldCharType="separate"/>
          </w:r>
          <w:r>
            <w:rPr>
              <w:rStyle w:val="13"/>
              <w:rFonts w:ascii="Arial" w:hAnsi="Arial" w:cs="Arial"/>
              <w:lang w:eastAsia="zh-CN"/>
            </w:rPr>
            <w:t>II.</w:t>
          </w:r>
          <w:r>
            <w:rPr>
              <w:kern w:val="2"/>
              <w:sz w:val="21"/>
              <w:lang w:eastAsia="zh-CN"/>
            </w:rPr>
            <w:tab/>
          </w:r>
          <w:r>
            <w:rPr>
              <w:rStyle w:val="13"/>
              <w:rFonts w:hint="eastAsia" w:ascii="Arial" w:hAnsi="Arial" w:eastAsia="宋体" w:cs="Arial"/>
              <w:lang w:eastAsia="zh-CN"/>
            </w:rPr>
            <w:t>阴道毛滴虫</w:t>
          </w:r>
          <w:r>
            <w:rPr>
              <w:rStyle w:val="13"/>
              <w:rFonts w:ascii="Arial" w:hAnsi="Arial" w:eastAsia="宋体" w:cs="Arial"/>
              <w:lang w:eastAsia="zh-CN"/>
            </w:rPr>
            <w:t xml:space="preserve"> – </w:t>
          </w:r>
          <w:r>
            <w:rPr>
              <w:rStyle w:val="13"/>
              <w:rFonts w:hint="eastAsia" w:ascii="Arial" w:hAnsi="Arial" w:eastAsia="宋体" w:cs="Arial"/>
              <w:lang w:eastAsia="zh-CN"/>
            </w:rPr>
            <w:t>背景</w:t>
          </w:r>
          <w:r>
            <w:tab/>
          </w:r>
          <w:r>
            <w:fldChar w:fldCharType="begin"/>
          </w:r>
          <w:r>
            <w:instrText xml:space="preserve"> PAGEREF _Toc497125085 \h </w:instrText>
          </w:r>
          <w:r>
            <w:fldChar w:fldCharType="separate"/>
          </w:r>
          <w:r>
            <w:t>5</w:t>
          </w:r>
          <w:r>
            <w:fldChar w:fldCharType="end"/>
          </w:r>
          <w:r>
            <w:fldChar w:fldCharType="end"/>
          </w:r>
        </w:p>
        <w:p w14:paraId="1E11DACF">
          <w:pPr>
            <w:pStyle w:val="8"/>
            <w:tabs>
              <w:tab w:val="left" w:pos="840"/>
              <w:tab w:val="right" w:leader="dot" w:pos="8630"/>
            </w:tabs>
            <w:rPr>
              <w:kern w:val="2"/>
              <w:sz w:val="21"/>
              <w:lang w:eastAsia="zh-CN"/>
            </w:rPr>
          </w:pPr>
          <w:r>
            <w:fldChar w:fldCharType="begin"/>
          </w:r>
          <w:r>
            <w:instrText xml:space="preserve"> HYPERLINK \l "_Toc497125086" </w:instrText>
          </w:r>
          <w:r>
            <w:fldChar w:fldCharType="separate"/>
          </w:r>
          <w:r>
            <w:rPr>
              <w:rStyle w:val="13"/>
              <w:rFonts w:ascii="Arial" w:hAnsi="Arial" w:cs="Arial"/>
              <w:lang w:eastAsia="zh-CN"/>
            </w:rPr>
            <w:t>III.</w:t>
          </w:r>
          <w:r>
            <w:rPr>
              <w:kern w:val="2"/>
              <w:sz w:val="21"/>
              <w:lang w:eastAsia="zh-CN"/>
            </w:rPr>
            <w:tab/>
          </w:r>
          <w:r>
            <w:rPr>
              <w:rStyle w:val="13"/>
              <w:rFonts w:hint="eastAsia" w:ascii="Arial" w:hAnsi="Arial" w:eastAsia="宋体" w:cs="Arial"/>
              <w:lang w:eastAsia="zh-CN"/>
            </w:rPr>
            <w:t>特殊控制</w:t>
          </w:r>
          <w:r>
            <w:rPr>
              <w:rStyle w:val="13"/>
              <w:rFonts w:ascii="Arial" w:hAnsi="Arial" w:eastAsia="宋体" w:cs="Arial"/>
              <w:lang w:eastAsia="zh-CN"/>
            </w:rPr>
            <w:t xml:space="preserve"> – </w:t>
          </w:r>
          <w:r>
            <w:rPr>
              <w:rStyle w:val="13"/>
              <w:rFonts w:hint="eastAsia" w:ascii="Arial" w:hAnsi="Arial" w:eastAsia="宋体" w:cs="Arial"/>
              <w:lang w:eastAsia="zh-CN"/>
            </w:rPr>
            <w:t>背景</w:t>
          </w:r>
          <w:r>
            <w:tab/>
          </w:r>
          <w:r>
            <w:fldChar w:fldCharType="begin"/>
          </w:r>
          <w:r>
            <w:instrText xml:space="preserve"> PAGEREF _Toc497125086 \h </w:instrText>
          </w:r>
          <w:r>
            <w:fldChar w:fldCharType="separate"/>
          </w:r>
          <w:r>
            <w:t>6</w:t>
          </w:r>
          <w:r>
            <w:fldChar w:fldCharType="end"/>
          </w:r>
          <w:r>
            <w:fldChar w:fldCharType="end"/>
          </w:r>
        </w:p>
        <w:p w14:paraId="186A4B9B">
          <w:pPr>
            <w:pStyle w:val="8"/>
            <w:tabs>
              <w:tab w:val="left" w:pos="840"/>
              <w:tab w:val="right" w:leader="dot" w:pos="8630"/>
            </w:tabs>
            <w:rPr>
              <w:kern w:val="2"/>
              <w:sz w:val="21"/>
              <w:lang w:eastAsia="zh-CN"/>
            </w:rPr>
          </w:pPr>
          <w:r>
            <w:fldChar w:fldCharType="begin"/>
          </w:r>
          <w:r>
            <w:instrText xml:space="preserve"> HYPERLINK \l "_Toc497125087" </w:instrText>
          </w:r>
          <w:r>
            <w:fldChar w:fldCharType="separate"/>
          </w:r>
          <w:r>
            <w:rPr>
              <w:rStyle w:val="13"/>
              <w:rFonts w:ascii="Arial" w:hAnsi="Arial" w:cs="Arial"/>
              <w:lang w:eastAsia="zh-CN"/>
            </w:rPr>
            <w:t>IV.</w:t>
          </w:r>
          <w:r>
            <w:rPr>
              <w:kern w:val="2"/>
              <w:sz w:val="21"/>
              <w:lang w:eastAsia="zh-CN"/>
            </w:rPr>
            <w:tab/>
          </w:r>
          <w:r>
            <w:rPr>
              <w:rStyle w:val="13"/>
              <w:rFonts w:hint="eastAsia" w:ascii="Arial" w:hAnsi="Arial" w:eastAsia="宋体" w:cs="Arial"/>
              <w:lang w:eastAsia="zh-CN"/>
            </w:rPr>
            <w:t>范围</w:t>
          </w:r>
          <w:r>
            <w:tab/>
          </w:r>
          <w:r>
            <w:fldChar w:fldCharType="begin"/>
          </w:r>
          <w:r>
            <w:instrText xml:space="preserve"> PAGEREF _Toc497125087 \h </w:instrText>
          </w:r>
          <w:r>
            <w:fldChar w:fldCharType="separate"/>
          </w:r>
          <w:r>
            <w:t>6</w:t>
          </w:r>
          <w:r>
            <w:fldChar w:fldCharType="end"/>
          </w:r>
          <w:r>
            <w:fldChar w:fldCharType="end"/>
          </w:r>
        </w:p>
        <w:p w14:paraId="2798573A">
          <w:pPr>
            <w:pStyle w:val="8"/>
            <w:tabs>
              <w:tab w:val="left" w:pos="840"/>
              <w:tab w:val="right" w:leader="dot" w:pos="8630"/>
            </w:tabs>
            <w:rPr>
              <w:kern w:val="2"/>
              <w:sz w:val="21"/>
              <w:lang w:eastAsia="zh-CN"/>
            </w:rPr>
          </w:pPr>
          <w:r>
            <w:fldChar w:fldCharType="begin"/>
          </w:r>
          <w:r>
            <w:instrText xml:space="preserve"> HYPERLINK \l "_Toc497125088" </w:instrText>
          </w:r>
          <w:r>
            <w:fldChar w:fldCharType="separate"/>
          </w:r>
          <w:r>
            <w:rPr>
              <w:rStyle w:val="13"/>
              <w:rFonts w:ascii="Arial" w:hAnsi="Arial" w:cs="Arial"/>
              <w:lang w:eastAsia="zh-CN"/>
            </w:rPr>
            <w:t>V.</w:t>
          </w:r>
          <w:r>
            <w:rPr>
              <w:kern w:val="2"/>
              <w:sz w:val="21"/>
              <w:lang w:eastAsia="zh-CN"/>
            </w:rPr>
            <w:tab/>
          </w:r>
          <w:r>
            <w:rPr>
              <w:rStyle w:val="13"/>
              <w:rFonts w:hint="eastAsia" w:ascii="Arial" w:hAnsi="Arial" w:eastAsia="宋体" w:cs="Arial"/>
              <w:lang w:eastAsia="zh-CN"/>
            </w:rPr>
            <w:t>健康风险</w:t>
          </w:r>
          <w:r>
            <w:tab/>
          </w:r>
          <w:r>
            <w:fldChar w:fldCharType="begin"/>
          </w:r>
          <w:r>
            <w:instrText xml:space="preserve"> PAGEREF _Toc497125088 \h </w:instrText>
          </w:r>
          <w:r>
            <w:fldChar w:fldCharType="separate"/>
          </w:r>
          <w:r>
            <w:t>7</w:t>
          </w:r>
          <w:r>
            <w:fldChar w:fldCharType="end"/>
          </w:r>
          <w:r>
            <w:fldChar w:fldCharType="end"/>
          </w:r>
        </w:p>
        <w:p w14:paraId="48F06043">
          <w:pPr>
            <w:pStyle w:val="8"/>
            <w:tabs>
              <w:tab w:val="left" w:pos="840"/>
              <w:tab w:val="right" w:leader="dot" w:pos="8630"/>
            </w:tabs>
            <w:rPr>
              <w:kern w:val="2"/>
              <w:sz w:val="21"/>
              <w:lang w:eastAsia="zh-CN"/>
            </w:rPr>
          </w:pPr>
          <w:r>
            <w:fldChar w:fldCharType="begin"/>
          </w:r>
          <w:r>
            <w:instrText xml:space="preserve"> HYPERLINK \l "_Toc497125089" </w:instrText>
          </w:r>
          <w:r>
            <w:fldChar w:fldCharType="separate"/>
          </w:r>
          <w:r>
            <w:rPr>
              <w:rStyle w:val="13"/>
              <w:rFonts w:ascii="Arial" w:hAnsi="Arial" w:cs="Arial"/>
              <w:lang w:eastAsia="zh-CN"/>
            </w:rPr>
            <w:t>VI.</w:t>
          </w:r>
          <w:r>
            <w:rPr>
              <w:kern w:val="2"/>
              <w:sz w:val="21"/>
              <w:lang w:eastAsia="zh-CN"/>
            </w:rPr>
            <w:tab/>
          </w:r>
          <w:r>
            <w:rPr>
              <w:rStyle w:val="13"/>
              <w:rFonts w:hint="eastAsia" w:ascii="Arial" w:hAnsi="Arial" w:eastAsia="宋体" w:cs="Arial"/>
              <w:lang w:eastAsia="zh-CN"/>
            </w:rPr>
            <w:t>器械说明的具体要求</w:t>
          </w:r>
          <w:r>
            <w:tab/>
          </w:r>
          <w:r>
            <w:fldChar w:fldCharType="begin"/>
          </w:r>
          <w:r>
            <w:instrText xml:space="preserve"> PAGEREF _Toc497125089 \h </w:instrText>
          </w:r>
          <w:r>
            <w:fldChar w:fldCharType="separate"/>
          </w:r>
          <w:r>
            <w:t>8</w:t>
          </w:r>
          <w:r>
            <w:fldChar w:fldCharType="end"/>
          </w:r>
          <w:r>
            <w:fldChar w:fldCharType="end"/>
          </w:r>
        </w:p>
        <w:p w14:paraId="5D219303">
          <w:pPr>
            <w:pStyle w:val="4"/>
            <w:tabs>
              <w:tab w:val="left" w:pos="1906"/>
              <w:tab w:val="right" w:leader="dot" w:pos="8630"/>
            </w:tabs>
            <w:ind w:left="880"/>
            <w:rPr>
              <w:kern w:val="2"/>
              <w:sz w:val="21"/>
              <w:lang w:eastAsia="zh-CN"/>
            </w:rPr>
          </w:pPr>
          <w:r>
            <w:fldChar w:fldCharType="begin"/>
          </w:r>
          <w:r>
            <w:instrText xml:space="preserve"> HYPERLINK \l "_Toc497125090" </w:instrText>
          </w:r>
          <w:r>
            <w:fldChar w:fldCharType="separate"/>
          </w:r>
          <w:r>
            <w:rPr>
              <w:rStyle w:val="13"/>
              <w:rFonts w:ascii="Arial" w:hAnsi="Arial" w:eastAsia="宋体" w:cs="Arial"/>
              <w:lang w:eastAsia="zh-CN"/>
            </w:rPr>
            <w:t>VI</w:t>
          </w:r>
          <w:r>
            <w:rPr>
              <w:rStyle w:val="13"/>
              <w:rFonts w:hint="eastAsia" w:ascii="Arial" w:hAnsi="Arial" w:eastAsia="宋体" w:cs="Arial"/>
              <w:lang w:eastAsia="zh-CN"/>
            </w:rPr>
            <w:t>（</w:t>
          </w:r>
          <w:r>
            <w:rPr>
              <w:rStyle w:val="13"/>
              <w:rFonts w:ascii="Arial" w:hAnsi="Arial" w:eastAsia="宋体" w:cs="Arial"/>
              <w:lang w:eastAsia="zh-CN"/>
            </w:rPr>
            <w:t>A</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预期用途</w:t>
          </w:r>
          <w:r>
            <w:tab/>
          </w:r>
          <w:r>
            <w:fldChar w:fldCharType="begin"/>
          </w:r>
          <w:r>
            <w:instrText xml:space="preserve"> PAGEREF _Toc497125090 \h </w:instrText>
          </w:r>
          <w:r>
            <w:fldChar w:fldCharType="separate"/>
          </w:r>
          <w:r>
            <w:t>8</w:t>
          </w:r>
          <w:r>
            <w:fldChar w:fldCharType="end"/>
          </w:r>
          <w:r>
            <w:fldChar w:fldCharType="end"/>
          </w:r>
        </w:p>
        <w:p w14:paraId="0D437012">
          <w:pPr>
            <w:pStyle w:val="4"/>
            <w:tabs>
              <w:tab w:val="left" w:pos="1906"/>
              <w:tab w:val="right" w:leader="dot" w:pos="8630"/>
            </w:tabs>
            <w:ind w:left="880"/>
            <w:rPr>
              <w:kern w:val="2"/>
              <w:sz w:val="21"/>
              <w:lang w:eastAsia="zh-CN"/>
            </w:rPr>
          </w:pPr>
          <w:r>
            <w:fldChar w:fldCharType="begin"/>
          </w:r>
          <w:r>
            <w:instrText xml:space="preserve"> HYPERLINK \l "_Toc497125091" </w:instrText>
          </w:r>
          <w:r>
            <w:fldChar w:fldCharType="separate"/>
          </w:r>
          <w:r>
            <w:rPr>
              <w:rStyle w:val="13"/>
              <w:rFonts w:ascii="Arial" w:hAnsi="Arial" w:eastAsia="宋体" w:cs="Arial"/>
              <w:lang w:eastAsia="zh-CN"/>
            </w:rPr>
            <w:t>VI</w:t>
          </w:r>
          <w:r>
            <w:rPr>
              <w:rStyle w:val="13"/>
              <w:rFonts w:hint="eastAsia" w:ascii="Arial" w:hAnsi="Arial" w:eastAsia="宋体" w:cs="Arial"/>
              <w:lang w:eastAsia="zh-CN"/>
            </w:rPr>
            <w:t>（</w:t>
          </w:r>
          <w:r>
            <w:rPr>
              <w:rStyle w:val="13"/>
              <w:rFonts w:ascii="Arial" w:hAnsi="Arial" w:eastAsia="宋体" w:cs="Arial"/>
              <w:lang w:eastAsia="zh-CN"/>
            </w:rPr>
            <w:t>B</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测试方法学</w:t>
          </w:r>
          <w:r>
            <w:tab/>
          </w:r>
          <w:r>
            <w:fldChar w:fldCharType="begin"/>
          </w:r>
          <w:r>
            <w:instrText xml:space="preserve"> PAGEREF _Toc497125091 \h </w:instrText>
          </w:r>
          <w:r>
            <w:fldChar w:fldCharType="separate"/>
          </w:r>
          <w:r>
            <w:t>8</w:t>
          </w:r>
          <w:r>
            <w:fldChar w:fldCharType="end"/>
          </w:r>
          <w:r>
            <w:fldChar w:fldCharType="end"/>
          </w:r>
        </w:p>
        <w:p w14:paraId="2C932F4D">
          <w:pPr>
            <w:pStyle w:val="4"/>
            <w:tabs>
              <w:tab w:val="left" w:pos="1918"/>
              <w:tab w:val="right" w:leader="dot" w:pos="8630"/>
            </w:tabs>
            <w:ind w:left="880"/>
            <w:rPr>
              <w:kern w:val="2"/>
              <w:sz w:val="21"/>
              <w:lang w:eastAsia="zh-CN"/>
            </w:rPr>
          </w:pPr>
          <w:r>
            <w:fldChar w:fldCharType="begin"/>
          </w:r>
          <w:r>
            <w:instrText xml:space="preserve"> HYPERLINK \l "_Toc497125092" </w:instrText>
          </w:r>
          <w:r>
            <w:fldChar w:fldCharType="separate"/>
          </w:r>
          <w:r>
            <w:rPr>
              <w:rStyle w:val="13"/>
              <w:rFonts w:ascii="Arial" w:hAnsi="Arial" w:eastAsia="宋体" w:cs="Arial"/>
              <w:lang w:eastAsia="zh-CN"/>
            </w:rPr>
            <w:t>VI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工具</w:t>
          </w:r>
          <w:r>
            <w:rPr>
              <w:rStyle w:val="13"/>
              <w:rFonts w:ascii="Arial" w:hAnsi="Arial" w:eastAsia="宋体" w:cs="Arial"/>
              <w:lang w:eastAsia="zh-CN"/>
            </w:rPr>
            <w:t xml:space="preserve"> – </w:t>
          </w:r>
          <w:r>
            <w:rPr>
              <w:rStyle w:val="13"/>
              <w:rFonts w:hint="eastAsia" w:ascii="Arial" w:hAnsi="Arial" w:eastAsia="宋体" w:cs="Arial"/>
              <w:lang w:eastAsia="zh-CN"/>
            </w:rPr>
            <w:t>硬件和软件</w:t>
          </w:r>
          <w:r>
            <w:tab/>
          </w:r>
          <w:r>
            <w:fldChar w:fldCharType="begin"/>
          </w:r>
          <w:r>
            <w:instrText xml:space="preserve"> PAGEREF _Toc497125092 \h </w:instrText>
          </w:r>
          <w:r>
            <w:fldChar w:fldCharType="separate"/>
          </w:r>
          <w:r>
            <w:t>10</w:t>
          </w:r>
          <w:r>
            <w:fldChar w:fldCharType="end"/>
          </w:r>
          <w:r>
            <w:fldChar w:fldCharType="end"/>
          </w:r>
        </w:p>
        <w:p w14:paraId="4A82AC04">
          <w:pPr>
            <w:pStyle w:val="4"/>
            <w:tabs>
              <w:tab w:val="left" w:pos="1918"/>
              <w:tab w:val="right" w:leader="dot" w:pos="8630"/>
            </w:tabs>
            <w:ind w:left="880"/>
            <w:rPr>
              <w:kern w:val="2"/>
              <w:sz w:val="21"/>
              <w:lang w:eastAsia="zh-CN"/>
            </w:rPr>
          </w:pPr>
          <w:r>
            <w:fldChar w:fldCharType="begin"/>
          </w:r>
          <w:r>
            <w:instrText xml:space="preserve"> HYPERLINK \l "_Toc497125093" </w:instrText>
          </w:r>
          <w:r>
            <w:fldChar w:fldCharType="separate"/>
          </w:r>
          <w:r>
            <w:rPr>
              <w:rStyle w:val="13"/>
              <w:rFonts w:ascii="Arial" w:hAnsi="Arial" w:eastAsia="宋体" w:cs="Arial"/>
              <w:lang w:eastAsia="zh-CN"/>
            </w:rPr>
            <w:t>VI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辅助试剂</w:t>
          </w:r>
          <w:r>
            <w:tab/>
          </w:r>
          <w:r>
            <w:fldChar w:fldCharType="begin"/>
          </w:r>
          <w:r>
            <w:instrText xml:space="preserve"> PAGEREF _Toc497125093 \h </w:instrText>
          </w:r>
          <w:r>
            <w:fldChar w:fldCharType="separate"/>
          </w:r>
          <w:r>
            <w:t>12</w:t>
          </w:r>
          <w:r>
            <w:fldChar w:fldCharType="end"/>
          </w:r>
          <w:r>
            <w:fldChar w:fldCharType="end"/>
          </w:r>
        </w:p>
        <w:p w14:paraId="2CE0F99D">
          <w:pPr>
            <w:pStyle w:val="4"/>
            <w:tabs>
              <w:tab w:val="left" w:pos="1906"/>
              <w:tab w:val="right" w:leader="dot" w:pos="8630"/>
            </w:tabs>
            <w:ind w:left="880"/>
            <w:rPr>
              <w:kern w:val="2"/>
              <w:sz w:val="21"/>
              <w:lang w:eastAsia="zh-CN"/>
            </w:rPr>
          </w:pPr>
          <w:r>
            <w:fldChar w:fldCharType="begin"/>
          </w:r>
          <w:r>
            <w:instrText xml:space="preserve"> HYPERLINK \l "_Toc497125094" </w:instrText>
          </w:r>
          <w:r>
            <w:fldChar w:fldCharType="separate"/>
          </w:r>
          <w:r>
            <w:rPr>
              <w:rStyle w:val="13"/>
              <w:rFonts w:ascii="Arial" w:hAnsi="Arial" w:eastAsia="宋体" w:cs="Arial"/>
              <w:lang w:eastAsia="zh-CN"/>
            </w:rPr>
            <w:t>VI</w:t>
          </w:r>
          <w:r>
            <w:rPr>
              <w:rStyle w:val="13"/>
              <w:rFonts w:hint="eastAsia" w:ascii="Arial" w:hAnsi="Arial" w:eastAsia="宋体" w:cs="Arial"/>
              <w:lang w:eastAsia="zh-CN"/>
            </w:rPr>
            <w:t>（</w:t>
          </w:r>
          <w:r>
            <w:rPr>
              <w:rStyle w:val="13"/>
              <w:rFonts w:ascii="Arial" w:hAnsi="Arial" w:eastAsia="宋体" w:cs="Arial"/>
              <w:lang w:eastAsia="zh-CN"/>
            </w:rPr>
            <w:t>E</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样本收集和处理</w:t>
          </w:r>
          <w:r>
            <w:tab/>
          </w:r>
          <w:r>
            <w:fldChar w:fldCharType="begin"/>
          </w:r>
          <w:r>
            <w:instrText xml:space="preserve"> PAGEREF _Toc497125094 \h </w:instrText>
          </w:r>
          <w:r>
            <w:fldChar w:fldCharType="separate"/>
          </w:r>
          <w:r>
            <w:t>14</w:t>
          </w:r>
          <w:r>
            <w:fldChar w:fldCharType="end"/>
          </w:r>
          <w:r>
            <w:fldChar w:fldCharType="end"/>
          </w:r>
        </w:p>
        <w:p w14:paraId="39FFD4C6">
          <w:pPr>
            <w:pStyle w:val="4"/>
            <w:tabs>
              <w:tab w:val="left" w:pos="1893"/>
              <w:tab w:val="right" w:leader="dot" w:pos="8630"/>
            </w:tabs>
            <w:ind w:left="880"/>
            <w:rPr>
              <w:kern w:val="2"/>
              <w:sz w:val="21"/>
              <w:lang w:eastAsia="zh-CN"/>
            </w:rPr>
          </w:pPr>
          <w:r>
            <w:fldChar w:fldCharType="begin"/>
          </w:r>
          <w:r>
            <w:instrText xml:space="preserve"> HYPERLINK \l "_Toc497125095" </w:instrText>
          </w:r>
          <w:r>
            <w:fldChar w:fldCharType="separate"/>
          </w:r>
          <w:r>
            <w:rPr>
              <w:rStyle w:val="13"/>
              <w:rFonts w:ascii="Arial" w:hAnsi="Arial" w:eastAsia="宋体" w:cs="Arial"/>
              <w:lang w:eastAsia="zh-CN"/>
            </w:rPr>
            <w:t>VI</w:t>
          </w:r>
          <w:r>
            <w:rPr>
              <w:rStyle w:val="13"/>
              <w:rFonts w:hint="eastAsia" w:ascii="Arial" w:hAnsi="Arial" w:eastAsia="宋体" w:cs="Arial"/>
              <w:lang w:eastAsia="zh-CN"/>
            </w:rPr>
            <w:t>（</w:t>
          </w:r>
          <w:r>
            <w:rPr>
              <w:rStyle w:val="13"/>
              <w:rFonts w:ascii="Arial" w:hAnsi="Arial" w:eastAsia="宋体" w:cs="Arial"/>
              <w:lang w:eastAsia="zh-CN"/>
            </w:rPr>
            <w:t>F</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解释试验结果</w:t>
          </w:r>
          <w:r>
            <w:rPr>
              <w:rStyle w:val="13"/>
              <w:rFonts w:ascii="Arial" w:hAnsi="Arial" w:eastAsia="宋体" w:cs="Arial"/>
              <w:lang w:eastAsia="zh-CN"/>
            </w:rPr>
            <w:t>/</w:t>
          </w:r>
          <w:r>
            <w:rPr>
              <w:rStyle w:val="13"/>
              <w:rFonts w:hint="eastAsia" w:ascii="Arial" w:hAnsi="Arial" w:eastAsia="宋体" w:cs="Arial"/>
              <w:lang w:eastAsia="zh-CN"/>
            </w:rPr>
            <w:t>报告</w:t>
          </w:r>
          <w:r>
            <w:tab/>
          </w:r>
          <w:r>
            <w:fldChar w:fldCharType="begin"/>
          </w:r>
          <w:r>
            <w:instrText xml:space="preserve"> PAGEREF _Toc497125095 \h </w:instrText>
          </w:r>
          <w:r>
            <w:fldChar w:fldCharType="separate"/>
          </w:r>
          <w:r>
            <w:t>14</w:t>
          </w:r>
          <w:r>
            <w:fldChar w:fldCharType="end"/>
          </w:r>
          <w:r>
            <w:fldChar w:fldCharType="end"/>
          </w:r>
        </w:p>
        <w:p w14:paraId="5F39295D">
          <w:pPr>
            <w:pStyle w:val="8"/>
            <w:tabs>
              <w:tab w:val="left" w:pos="840"/>
              <w:tab w:val="right" w:leader="dot" w:pos="8630"/>
            </w:tabs>
            <w:rPr>
              <w:kern w:val="2"/>
              <w:sz w:val="21"/>
              <w:lang w:eastAsia="zh-CN"/>
            </w:rPr>
          </w:pPr>
          <w:r>
            <w:fldChar w:fldCharType="begin"/>
          </w:r>
          <w:r>
            <w:instrText xml:space="preserve"> HYPERLINK \l "_Toc497125096" </w:instrText>
          </w:r>
          <w:r>
            <w:fldChar w:fldCharType="separate"/>
          </w:r>
          <w:r>
            <w:rPr>
              <w:rStyle w:val="13"/>
              <w:rFonts w:ascii="Arial" w:hAnsi="Arial" w:cs="Arial"/>
              <w:lang w:eastAsia="zh-CN"/>
            </w:rPr>
            <w:t>VII.</w:t>
          </w:r>
          <w:r>
            <w:rPr>
              <w:kern w:val="2"/>
              <w:sz w:val="21"/>
              <w:lang w:eastAsia="zh-CN"/>
            </w:rPr>
            <w:tab/>
          </w:r>
          <w:r>
            <w:rPr>
              <w:rStyle w:val="13"/>
              <w:rFonts w:hint="eastAsia" w:ascii="Arial" w:hAnsi="Arial" w:eastAsia="宋体" w:cs="Arial"/>
              <w:lang w:eastAsia="zh-CN"/>
            </w:rPr>
            <w:t>性能特点</w:t>
          </w:r>
          <w:r>
            <w:tab/>
          </w:r>
          <w:r>
            <w:fldChar w:fldCharType="begin"/>
          </w:r>
          <w:r>
            <w:instrText xml:space="preserve"> PAGEREF _Toc497125096 \h </w:instrText>
          </w:r>
          <w:r>
            <w:fldChar w:fldCharType="separate"/>
          </w:r>
          <w:r>
            <w:t>15</w:t>
          </w:r>
          <w:r>
            <w:fldChar w:fldCharType="end"/>
          </w:r>
          <w:r>
            <w:fldChar w:fldCharType="end"/>
          </w:r>
        </w:p>
        <w:p w14:paraId="16661658">
          <w:pPr>
            <w:pStyle w:val="4"/>
            <w:tabs>
              <w:tab w:val="left" w:pos="1967"/>
              <w:tab w:val="right" w:leader="dot" w:pos="8630"/>
            </w:tabs>
            <w:ind w:left="880"/>
            <w:rPr>
              <w:kern w:val="2"/>
              <w:sz w:val="21"/>
              <w:lang w:eastAsia="zh-CN"/>
            </w:rPr>
          </w:pPr>
          <w:r>
            <w:fldChar w:fldCharType="begin"/>
          </w:r>
          <w:r>
            <w:instrText xml:space="preserve"> HYPERLINK \l "_Toc497125097"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A</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通用研究原则</w:t>
          </w:r>
          <w:r>
            <w:tab/>
          </w:r>
          <w:r>
            <w:fldChar w:fldCharType="begin"/>
          </w:r>
          <w:r>
            <w:instrText xml:space="preserve"> PAGEREF _Toc497125097 \h </w:instrText>
          </w:r>
          <w:r>
            <w:fldChar w:fldCharType="separate"/>
          </w:r>
          <w:r>
            <w:t>15</w:t>
          </w:r>
          <w:r>
            <w:fldChar w:fldCharType="end"/>
          </w:r>
          <w:r>
            <w:fldChar w:fldCharType="end"/>
          </w:r>
        </w:p>
        <w:p w14:paraId="30777B17">
          <w:pPr>
            <w:pStyle w:val="4"/>
            <w:tabs>
              <w:tab w:val="left" w:pos="1967"/>
              <w:tab w:val="right" w:leader="dot" w:pos="8630"/>
            </w:tabs>
            <w:ind w:left="880"/>
            <w:rPr>
              <w:kern w:val="2"/>
              <w:sz w:val="21"/>
              <w:lang w:eastAsia="zh-CN"/>
            </w:rPr>
          </w:pPr>
          <w:r>
            <w:fldChar w:fldCharType="begin"/>
          </w:r>
          <w:r>
            <w:instrText xml:space="preserve"> HYPERLINK \l "_Toc497125098"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B</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对照品</w:t>
          </w:r>
          <w:r>
            <w:tab/>
          </w:r>
          <w:r>
            <w:fldChar w:fldCharType="begin"/>
          </w:r>
          <w:r>
            <w:instrText xml:space="preserve"> PAGEREF _Toc497125098 \h </w:instrText>
          </w:r>
          <w:r>
            <w:fldChar w:fldCharType="separate"/>
          </w:r>
          <w:r>
            <w:t>16</w:t>
          </w:r>
          <w:r>
            <w:fldChar w:fldCharType="end"/>
          </w:r>
          <w:r>
            <w:fldChar w:fldCharType="end"/>
          </w:r>
        </w:p>
        <w:p w14:paraId="431638A8">
          <w:pPr>
            <w:pStyle w:val="9"/>
            <w:tabs>
              <w:tab w:val="left" w:pos="2949"/>
              <w:tab w:val="right" w:leader="dot" w:pos="8630"/>
            </w:tabs>
            <w:ind w:left="1320"/>
            <w:rPr>
              <w:kern w:val="2"/>
              <w:sz w:val="21"/>
              <w:lang w:eastAsia="zh-CN"/>
            </w:rPr>
          </w:pPr>
          <w:r>
            <w:fldChar w:fldCharType="begin"/>
          </w:r>
          <w:r>
            <w:instrText xml:space="preserve"> HYPERLINK \l "_Toc497125099"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B</w:t>
          </w:r>
          <w:r>
            <w:rPr>
              <w:rStyle w:val="13"/>
              <w:rFonts w:hint="eastAsia" w:ascii="Arial" w:hAnsi="Arial" w:eastAsia="宋体" w:cs="Arial"/>
              <w:lang w:eastAsia="zh-CN"/>
            </w:rPr>
            <w:t>）（</w:t>
          </w:r>
          <w:r>
            <w:rPr>
              <w:rStyle w:val="13"/>
              <w:rFonts w:ascii="Arial" w:hAnsi="Arial" w:eastAsia="宋体" w:cs="Arial"/>
              <w:lang w:eastAsia="zh-CN"/>
            </w:rPr>
            <w:t>1</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阴性对照</w:t>
          </w:r>
          <w:r>
            <w:tab/>
          </w:r>
          <w:r>
            <w:fldChar w:fldCharType="begin"/>
          </w:r>
          <w:r>
            <w:instrText xml:space="preserve"> PAGEREF _Toc497125099 \h </w:instrText>
          </w:r>
          <w:r>
            <w:fldChar w:fldCharType="separate"/>
          </w:r>
          <w:r>
            <w:t>16</w:t>
          </w:r>
          <w:r>
            <w:fldChar w:fldCharType="end"/>
          </w:r>
          <w:r>
            <w:fldChar w:fldCharType="end"/>
          </w:r>
        </w:p>
        <w:p w14:paraId="1258EF0C">
          <w:pPr>
            <w:pStyle w:val="9"/>
            <w:tabs>
              <w:tab w:val="left" w:pos="2949"/>
              <w:tab w:val="right" w:leader="dot" w:pos="8630"/>
            </w:tabs>
            <w:ind w:left="1320"/>
            <w:rPr>
              <w:kern w:val="2"/>
              <w:sz w:val="21"/>
              <w:lang w:eastAsia="zh-CN"/>
            </w:rPr>
          </w:pPr>
          <w:r>
            <w:fldChar w:fldCharType="begin"/>
          </w:r>
          <w:r>
            <w:instrText xml:space="preserve"> HYPERLINK \l "_Toc497125100"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B</w:t>
          </w:r>
          <w:r>
            <w:rPr>
              <w:rStyle w:val="13"/>
              <w:rFonts w:hint="eastAsia" w:ascii="Arial" w:hAnsi="Arial" w:eastAsia="宋体" w:cs="Arial"/>
              <w:lang w:eastAsia="zh-CN"/>
            </w:rPr>
            <w:t>）（</w:t>
          </w:r>
          <w:r>
            <w:rPr>
              <w:rStyle w:val="13"/>
              <w:rFonts w:ascii="Arial" w:hAnsi="Arial" w:eastAsia="宋体" w:cs="Arial"/>
              <w:lang w:eastAsia="zh-CN"/>
            </w:rPr>
            <w:t>2</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阳性对照</w:t>
          </w:r>
          <w:r>
            <w:tab/>
          </w:r>
          <w:r>
            <w:fldChar w:fldCharType="begin"/>
          </w:r>
          <w:r>
            <w:instrText xml:space="preserve"> PAGEREF _Toc497125100 \h </w:instrText>
          </w:r>
          <w:r>
            <w:fldChar w:fldCharType="separate"/>
          </w:r>
          <w:r>
            <w:t>16</w:t>
          </w:r>
          <w:r>
            <w:fldChar w:fldCharType="end"/>
          </w:r>
          <w:r>
            <w:fldChar w:fldCharType="end"/>
          </w:r>
        </w:p>
        <w:p w14:paraId="4354E7B5">
          <w:pPr>
            <w:pStyle w:val="9"/>
            <w:tabs>
              <w:tab w:val="left" w:pos="2949"/>
              <w:tab w:val="right" w:leader="dot" w:pos="8630"/>
            </w:tabs>
            <w:ind w:left="1320"/>
            <w:rPr>
              <w:kern w:val="2"/>
              <w:sz w:val="21"/>
              <w:lang w:eastAsia="zh-CN"/>
            </w:rPr>
          </w:pPr>
          <w:r>
            <w:fldChar w:fldCharType="begin"/>
          </w:r>
          <w:r>
            <w:instrText xml:space="preserve"> HYPERLINK \l "_Toc497125101"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B</w:t>
          </w:r>
          <w:r>
            <w:rPr>
              <w:rStyle w:val="13"/>
              <w:rFonts w:hint="eastAsia" w:ascii="Arial" w:hAnsi="Arial" w:eastAsia="宋体" w:cs="Arial"/>
              <w:lang w:eastAsia="zh-CN"/>
            </w:rPr>
            <w:t>）（</w:t>
          </w:r>
          <w:r>
            <w:rPr>
              <w:rStyle w:val="13"/>
              <w:rFonts w:ascii="Arial" w:hAnsi="Arial" w:eastAsia="宋体" w:cs="Arial"/>
              <w:lang w:eastAsia="zh-CN"/>
            </w:rPr>
            <w:t>3</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内部对照</w:t>
          </w:r>
          <w:r>
            <w:tab/>
          </w:r>
          <w:r>
            <w:fldChar w:fldCharType="begin"/>
          </w:r>
          <w:r>
            <w:instrText xml:space="preserve"> PAGEREF _Toc497125101 \h </w:instrText>
          </w:r>
          <w:r>
            <w:fldChar w:fldCharType="separate"/>
          </w:r>
          <w:r>
            <w:t>17</w:t>
          </w:r>
          <w:r>
            <w:fldChar w:fldCharType="end"/>
          </w:r>
          <w:r>
            <w:fldChar w:fldCharType="end"/>
          </w:r>
        </w:p>
        <w:p w14:paraId="731FEC50">
          <w:pPr>
            <w:pStyle w:val="4"/>
            <w:tabs>
              <w:tab w:val="left" w:pos="1979"/>
              <w:tab w:val="right" w:leader="dot" w:pos="8630"/>
            </w:tabs>
            <w:ind w:left="880"/>
            <w:rPr>
              <w:kern w:val="2"/>
              <w:sz w:val="21"/>
              <w:lang w:eastAsia="zh-CN"/>
            </w:rPr>
          </w:pPr>
          <w:r>
            <w:fldChar w:fldCharType="begin"/>
          </w:r>
          <w:r>
            <w:instrText xml:space="preserve"> HYPERLINK \l "_Toc497125102"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分析性性能研究</w:t>
          </w:r>
          <w:r>
            <w:tab/>
          </w:r>
          <w:r>
            <w:fldChar w:fldCharType="begin"/>
          </w:r>
          <w:r>
            <w:instrText xml:space="preserve"> PAGEREF _Toc497125102 \h </w:instrText>
          </w:r>
          <w:r>
            <w:fldChar w:fldCharType="separate"/>
          </w:r>
          <w:r>
            <w:t>17</w:t>
          </w:r>
          <w:r>
            <w:fldChar w:fldCharType="end"/>
          </w:r>
          <w:r>
            <w:fldChar w:fldCharType="end"/>
          </w:r>
        </w:p>
        <w:p w14:paraId="13077EF1">
          <w:pPr>
            <w:pStyle w:val="9"/>
            <w:tabs>
              <w:tab w:val="left" w:pos="2961"/>
              <w:tab w:val="right" w:leader="dot" w:pos="8630"/>
            </w:tabs>
            <w:ind w:left="1320"/>
            <w:rPr>
              <w:kern w:val="2"/>
              <w:sz w:val="21"/>
              <w:lang w:eastAsia="zh-CN"/>
            </w:rPr>
          </w:pPr>
          <w:r>
            <w:fldChar w:fldCharType="begin"/>
          </w:r>
          <w:r>
            <w:instrText xml:space="preserve"> HYPERLINK \l "_Toc497125103"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1</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分析敏感性</w:t>
          </w:r>
          <w:r>
            <w:tab/>
          </w:r>
          <w:r>
            <w:fldChar w:fldCharType="begin"/>
          </w:r>
          <w:r>
            <w:instrText xml:space="preserve"> PAGEREF _Toc497125103 \h </w:instrText>
          </w:r>
          <w:r>
            <w:fldChar w:fldCharType="separate"/>
          </w:r>
          <w:r>
            <w:t>17</w:t>
          </w:r>
          <w:r>
            <w:fldChar w:fldCharType="end"/>
          </w:r>
          <w:r>
            <w:fldChar w:fldCharType="end"/>
          </w:r>
        </w:p>
        <w:p w14:paraId="4E5FEFDD">
          <w:pPr>
            <w:pStyle w:val="9"/>
            <w:tabs>
              <w:tab w:val="left" w:pos="2961"/>
              <w:tab w:val="right" w:leader="dot" w:pos="8630"/>
            </w:tabs>
            <w:ind w:left="1320"/>
            <w:rPr>
              <w:kern w:val="2"/>
              <w:sz w:val="21"/>
              <w:lang w:eastAsia="zh-CN"/>
            </w:rPr>
          </w:pPr>
          <w:r>
            <w:fldChar w:fldCharType="begin"/>
          </w:r>
          <w:r>
            <w:instrText xml:space="preserve"> HYPERLINK \l "_Toc497125104"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2</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分析特异性</w:t>
          </w:r>
          <w:r>
            <w:tab/>
          </w:r>
          <w:r>
            <w:fldChar w:fldCharType="begin"/>
          </w:r>
          <w:r>
            <w:instrText xml:space="preserve"> PAGEREF _Toc497125104 \h </w:instrText>
          </w:r>
          <w:r>
            <w:fldChar w:fldCharType="separate"/>
          </w:r>
          <w:r>
            <w:t>18</w:t>
          </w:r>
          <w:r>
            <w:fldChar w:fldCharType="end"/>
          </w:r>
          <w:r>
            <w:fldChar w:fldCharType="end"/>
          </w:r>
        </w:p>
        <w:p w14:paraId="72B894D9">
          <w:pPr>
            <w:pStyle w:val="9"/>
            <w:tabs>
              <w:tab w:val="left" w:pos="2961"/>
              <w:tab w:val="right" w:leader="dot" w:pos="8630"/>
            </w:tabs>
            <w:ind w:left="1320"/>
            <w:rPr>
              <w:kern w:val="2"/>
              <w:sz w:val="21"/>
              <w:lang w:eastAsia="zh-CN"/>
            </w:rPr>
          </w:pPr>
          <w:r>
            <w:fldChar w:fldCharType="begin"/>
          </w:r>
          <w:r>
            <w:instrText xml:space="preserve"> HYPERLINK \l "_Toc497125105"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3</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ascii="Arial" w:hAnsi="Arial" w:eastAsia="宋体" w:cs="Arial"/>
              <w:lang w:eastAsia="zh-CN"/>
            </w:rPr>
            <w:t>Cut-off</w:t>
          </w:r>
          <w:r>
            <w:rPr>
              <w:rStyle w:val="13"/>
              <w:rFonts w:hint="eastAsia" w:ascii="Arial" w:hAnsi="Arial" w:eastAsia="宋体" w:cs="Arial"/>
              <w:lang w:eastAsia="zh-CN"/>
            </w:rPr>
            <w:t>值和模棱两可区的确定</w:t>
          </w:r>
          <w:r>
            <w:tab/>
          </w:r>
          <w:r>
            <w:fldChar w:fldCharType="begin"/>
          </w:r>
          <w:r>
            <w:instrText xml:space="preserve"> PAGEREF _Toc497125105 \h </w:instrText>
          </w:r>
          <w:r>
            <w:fldChar w:fldCharType="separate"/>
          </w:r>
          <w:r>
            <w:t>19</w:t>
          </w:r>
          <w:r>
            <w:fldChar w:fldCharType="end"/>
          </w:r>
          <w:r>
            <w:fldChar w:fldCharType="end"/>
          </w:r>
        </w:p>
        <w:p w14:paraId="31DA6294">
          <w:pPr>
            <w:pStyle w:val="9"/>
            <w:tabs>
              <w:tab w:val="left" w:pos="2961"/>
              <w:tab w:val="right" w:leader="dot" w:pos="8630"/>
            </w:tabs>
            <w:ind w:left="1320"/>
            <w:rPr>
              <w:kern w:val="2"/>
              <w:sz w:val="21"/>
              <w:lang w:eastAsia="zh-CN"/>
            </w:rPr>
          </w:pPr>
          <w:r>
            <w:fldChar w:fldCharType="begin"/>
          </w:r>
          <w:r>
            <w:instrText xml:space="preserve"> HYPERLINK \l "_Toc497125106"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4</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精密度</w:t>
          </w:r>
          <w:r>
            <w:tab/>
          </w:r>
          <w:r>
            <w:fldChar w:fldCharType="begin"/>
          </w:r>
          <w:r>
            <w:instrText xml:space="preserve"> PAGEREF _Toc497125106 \h </w:instrText>
          </w:r>
          <w:r>
            <w:fldChar w:fldCharType="separate"/>
          </w:r>
          <w:r>
            <w:t>20</w:t>
          </w:r>
          <w:r>
            <w:fldChar w:fldCharType="end"/>
          </w:r>
          <w:r>
            <w:fldChar w:fldCharType="end"/>
          </w:r>
        </w:p>
        <w:p w14:paraId="75ADF313">
          <w:pPr>
            <w:pStyle w:val="9"/>
            <w:tabs>
              <w:tab w:val="left" w:pos="2961"/>
              <w:tab w:val="right" w:leader="dot" w:pos="8630"/>
            </w:tabs>
            <w:ind w:left="1320"/>
            <w:rPr>
              <w:kern w:val="2"/>
              <w:sz w:val="21"/>
              <w:lang w:eastAsia="zh-CN"/>
            </w:rPr>
          </w:pPr>
          <w:r>
            <w:fldChar w:fldCharType="begin"/>
          </w:r>
          <w:r>
            <w:instrText xml:space="preserve"> HYPERLINK \l "_Toc497125107"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5</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样本储存和运输条件</w:t>
          </w:r>
          <w:r>
            <w:tab/>
          </w:r>
          <w:r>
            <w:fldChar w:fldCharType="begin"/>
          </w:r>
          <w:r>
            <w:instrText xml:space="preserve"> PAGEREF _Toc497125107 \h </w:instrText>
          </w:r>
          <w:r>
            <w:fldChar w:fldCharType="separate"/>
          </w:r>
          <w:r>
            <w:t>22</w:t>
          </w:r>
          <w:r>
            <w:fldChar w:fldCharType="end"/>
          </w:r>
          <w:r>
            <w:fldChar w:fldCharType="end"/>
          </w:r>
        </w:p>
        <w:p w14:paraId="710BC3EF">
          <w:pPr>
            <w:pStyle w:val="9"/>
            <w:tabs>
              <w:tab w:val="left" w:pos="2961"/>
              <w:tab w:val="right" w:leader="dot" w:pos="8630"/>
            </w:tabs>
            <w:ind w:left="1320"/>
            <w:rPr>
              <w:kern w:val="2"/>
              <w:sz w:val="21"/>
              <w:lang w:eastAsia="zh-CN"/>
            </w:rPr>
          </w:pPr>
          <w:r>
            <w:fldChar w:fldCharType="begin"/>
          </w:r>
          <w:r>
            <w:instrText xml:space="preserve"> HYPERLINK \l "_Toc497125108"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6</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器械运输和器械储存研究</w:t>
          </w:r>
          <w:r>
            <w:tab/>
          </w:r>
          <w:r>
            <w:fldChar w:fldCharType="begin"/>
          </w:r>
          <w:r>
            <w:instrText xml:space="preserve"> PAGEREF _Toc497125108 \h </w:instrText>
          </w:r>
          <w:r>
            <w:fldChar w:fldCharType="separate"/>
          </w:r>
          <w:r>
            <w:t>22</w:t>
          </w:r>
          <w:r>
            <w:fldChar w:fldCharType="end"/>
          </w:r>
          <w:r>
            <w:fldChar w:fldCharType="end"/>
          </w:r>
        </w:p>
        <w:p w14:paraId="6FE1D4B4">
          <w:pPr>
            <w:pStyle w:val="9"/>
            <w:tabs>
              <w:tab w:val="left" w:pos="2961"/>
              <w:tab w:val="right" w:leader="dot" w:pos="8630"/>
            </w:tabs>
            <w:ind w:left="1320"/>
            <w:rPr>
              <w:kern w:val="2"/>
              <w:sz w:val="21"/>
              <w:lang w:eastAsia="zh-CN"/>
            </w:rPr>
          </w:pPr>
          <w:r>
            <w:fldChar w:fldCharType="begin"/>
          </w:r>
          <w:r>
            <w:instrText xml:space="preserve"> HYPERLINK \l "_Toc497125109"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7</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携带污染和交叉污染研究</w:t>
          </w:r>
          <w:r>
            <w:tab/>
          </w:r>
          <w:r>
            <w:fldChar w:fldCharType="begin"/>
          </w:r>
          <w:r>
            <w:instrText xml:space="preserve"> PAGEREF _Toc497125109 \h </w:instrText>
          </w:r>
          <w:r>
            <w:fldChar w:fldCharType="separate"/>
          </w:r>
          <w:r>
            <w:t>22</w:t>
          </w:r>
          <w:r>
            <w:fldChar w:fldCharType="end"/>
          </w:r>
          <w:r>
            <w:fldChar w:fldCharType="end"/>
          </w:r>
        </w:p>
        <w:p w14:paraId="7244D731">
          <w:pPr>
            <w:pStyle w:val="4"/>
            <w:tabs>
              <w:tab w:val="left" w:pos="1979"/>
              <w:tab w:val="right" w:leader="dot" w:pos="8630"/>
            </w:tabs>
            <w:ind w:left="880"/>
            <w:rPr>
              <w:kern w:val="2"/>
              <w:sz w:val="21"/>
              <w:lang w:eastAsia="zh-CN"/>
            </w:rPr>
          </w:pPr>
          <w:r>
            <w:fldChar w:fldCharType="begin"/>
          </w:r>
          <w:r>
            <w:instrText xml:space="preserve"> HYPERLINK \l "_Toc497125110"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临床研究</w:t>
          </w:r>
          <w:r>
            <w:tab/>
          </w:r>
          <w:r>
            <w:fldChar w:fldCharType="begin"/>
          </w:r>
          <w:r>
            <w:instrText xml:space="preserve"> PAGEREF _Toc497125110 \h </w:instrText>
          </w:r>
          <w:r>
            <w:fldChar w:fldCharType="separate"/>
          </w:r>
          <w:r>
            <w:t>23</w:t>
          </w:r>
          <w:r>
            <w:fldChar w:fldCharType="end"/>
          </w:r>
          <w:r>
            <w:fldChar w:fldCharType="end"/>
          </w:r>
        </w:p>
        <w:p w14:paraId="78A594CB">
          <w:pPr>
            <w:pStyle w:val="9"/>
            <w:tabs>
              <w:tab w:val="left" w:pos="2961"/>
              <w:tab w:val="right" w:leader="dot" w:pos="8630"/>
            </w:tabs>
            <w:ind w:left="1320"/>
            <w:rPr>
              <w:kern w:val="2"/>
              <w:sz w:val="21"/>
              <w:lang w:eastAsia="zh-CN"/>
            </w:rPr>
          </w:pPr>
          <w:r>
            <w:fldChar w:fldCharType="begin"/>
          </w:r>
          <w:r>
            <w:instrText xml:space="preserve"> HYPERLINK \l "_Toc497125111"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1</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研究方案</w:t>
          </w:r>
          <w:r>
            <w:tab/>
          </w:r>
          <w:r>
            <w:fldChar w:fldCharType="begin"/>
          </w:r>
          <w:r>
            <w:instrText xml:space="preserve"> PAGEREF _Toc497125111 \h </w:instrText>
          </w:r>
          <w:r>
            <w:fldChar w:fldCharType="separate"/>
          </w:r>
          <w:r>
            <w:t>23</w:t>
          </w:r>
          <w:r>
            <w:fldChar w:fldCharType="end"/>
          </w:r>
          <w:r>
            <w:fldChar w:fldCharType="end"/>
          </w:r>
        </w:p>
        <w:p w14:paraId="3ECFA819">
          <w:pPr>
            <w:pStyle w:val="9"/>
            <w:tabs>
              <w:tab w:val="left" w:pos="2961"/>
              <w:tab w:val="right" w:leader="dot" w:pos="8630"/>
            </w:tabs>
            <w:ind w:left="1320"/>
            <w:rPr>
              <w:kern w:val="2"/>
              <w:sz w:val="21"/>
              <w:lang w:eastAsia="zh-CN"/>
            </w:rPr>
          </w:pPr>
          <w:r>
            <w:fldChar w:fldCharType="begin"/>
          </w:r>
          <w:r>
            <w:instrText xml:space="preserve"> HYPERLINK \l "_Toc497125112"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2</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研究中心</w:t>
          </w:r>
          <w:r>
            <w:tab/>
          </w:r>
          <w:r>
            <w:fldChar w:fldCharType="begin"/>
          </w:r>
          <w:r>
            <w:instrText xml:space="preserve"> PAGEREF _Toc497125112 \h </w:instrText>
          </w:r>
          <w:r>
            <w:fldChar w:fldCharType="separate"/>
          </w:r>
          <w:r>
            <w:t>24</w:t>
          </w:r>
          <w:r>
            <w:fldChar w:fldCharType="end"/>
          </w:r>
          <w:r>
            <w:fldChar w:fldCharType="end"/>
          </w:r>
        </w:p>
        <w:p w14:paraId="3E51B746">
          <w:pPr>
            <w:pStyle w:val="9"/>
            <w:tabs>
              <w:tab w:val="left" w:pos="2961"/>
              <w:tab w:val="right" w:leader="dot" w:pos="8630"/>
            </w:tabs>
            <w:ind w:left="1320"/>
            <w:rPr>
              <w:kern w:val="2"/>
              <w:sz w:val="21"/>
              <w:lang w:eastAsia="zh-CN"/>
            </w:rPr>
          </w:pPr>
          <w:r>
            <w:fldChar w:fldCharType="begin"/>
          </w:r>
          <w:r>
            <w:instrText xml:space="preserve"> HYPERLINK \l "_Toc497125113"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3</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研究人群</w:t>
          </w:r>
          <w:r>
            <w:tab/>
          </w:r>
          <w:r>
            <w:fldChar w:fldCharType="begin"/>
          </w:r>
          <w:r>
            <w:instrText xml:space="preserve"> PAGEREF _Toc497125113 \h </w:instrText>
          </w:r>
          <w:r>
            <w:fldChar w:fldCharType="separate"/>
          </w:r>
          <w:r>
            <w:t>24</w:t>
          </w:r>
          <w:r>
            <w:fldChar w:fldCharType="end"/>
          </w:r>
          <w:r>
            <w:fldChar w:fldCharType="end"/>
          </w:r>
        </w:p>
        <w:p w14:paraId="1094164B">
          <w:pPr>
            <w:pStyle w:val="9"/>
            <w:tabs>
              <w:tab w:val="left" w:pos="2961"/>
              <w:tab w:val="right" w:leader="dot" w:pos="8630"/>
            </w:tabs>
            <w:ind w:left="1320"/>
            <w:rPr>
              <w:kern w:val="2"/>
              <w:sz w:val="21"/>
              <w:lang w:eastAsia="zh-CN"/>
            </w:rPr>
          </w:pPr>
          <w:r>
            <w:fldChar w:fldCharType="begin"/>
          </w:r>
          <w:r>
            <w:instrText xml:space="preserve"> HYPERLINK \l "_Toc497125114"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4</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样本</w:t>
          </w:r>
          <w:r>
            <w:tab/>
          </w:r>
          <w:r>
            <w:fldChar w:fldCharType="begin"/>
          </w:r>
          <w:r>
            <w:instrText xml:space="preserve"> PAGEREF _Toc497125114 \h </w:instrText>
          </w:r>
          <w:r>
            <w:fldChar w:fldCharType="separate"/>
          </w:r>
          <w:r>
            <w:t>25</w:t>
          </w:r>
          <w:r>
            <w:fldChar w:fldCharType="end"/>
          </w:r>
          <w:r>
            <w:fldChar w:fldCharType="end"/>
          </w:r>
        </w:p>
        <w:p w14:paraId="1B24BB35">
          <w:pPr>
            <w:pStyle w:val="9"/>
            <w:tabs>
              <w:tab w:val="left" w:pos="2961"/>
              <w:tab w:val="right" w:leader="dot" w:pos="8630"/>
            </w:tabs>
            <w:ind w:left="1320"/>
            <w:rPr>
              <w:kern w:val="2"/>
              <w:sz w:val="21"/>
              <w:lang w:eastAsia="zh-CN"/>
            </w:rPr>
          </w:pPr>
          <w:r>
            <w:fldChar w:fldCharType="begin"/>
          </w:r>
          <w:r>
            <w:instrText xml:space="preserve"> HYPERLINK \l "_Toc497125115"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5</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参考方法</w:t>
          </w:r>
          <w:r>
            <w:tab/>
          </w:r>
          <w:r>
            <w:fldChar w:fldCharType="begin"/>
          </w:r>
          <w:r>
            <w:instrText xml:space="preserve"> PAGEREF _Toc497125115 \h </w:instrText>
          </w:r>
          <w:r>
            <w:fldChar w:fldCharType="separate"/>
          </w:r>
          <w:r>
            <w:t>25</w:t>
          </w:r>
          <w:r>
            <w:fldChar w:fldCharType="end"/>
          </w:r>
          <w:r>
            <w:fldChar w:fldCharType="end"/>
          </w:r>
        </w:p>
        <w:p w14:paraId="77237EA1">
          <w:pPr>
            <w:pStyle w:val="9"/>
            <w:tabs>
              <w:tab w:val="left" w:pos="2961"/>
              <w:tab w:val="right" w:leader="dot" w:pos="8630"/>
            </w:tabs>
            <w:ind w:left="1320"/>
            <w:rPr>
              <w:kern w:val="2"/>
              <w:sz w:val="21"/>
              <w:lang w:eastAsia="zh-CN"/>
            </w:rPr>
          </w:pPr>
          <w:r>
            <w:fldChar w:fldCharType="begin"/>
          </w:r>
          <w:r>
            <w:instrText xml:space="preserve"> HYPERLINK \l "_Toc497125116" </w:instrText>
          </w:r>
          <w:r>
            <w:fldChar w:fldCharType="separate"/>
          </w:r>
          <w:r>
            <w:rPr>
              <w:rStyle w:val="13"/>
              <w:rFonts w:ascii="Arial" w:hAnsi="Arial" w:eastAsia="宋体" w:cs="Arial"/>
              <w:lang w:eastAsia="zh-CN"/>
            </w:rPr>
            <w:t>VII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6</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研究数据和结果的呈现</w:t>
          </w:r>
          <w:r>
            <w:tab/>
          </w:r>
          <w:r>
            <w:fldChar w:fldCharType="begin"/>
          </w:r>
          <w:r>
            <w:instrText xml:space="preserve"> PAGEREF _Toc497125116 \h </w:instrText>
          </w:r>
          <w:r>
            <w:fldChar w:fldCharType="separate"/>
          </w:r>
          <w:r>
            <w:t>26</w:t>
          </w:r>
          <w:r>
            <w:fldChar w:fldCharType="end"/>
          </w:r>
          <w:r>
            <w:fldChar w:fldCharType="end"/>
          </w:r>
        </w:p>
        <w:p w14:paraId="16B06995">
          <w:pPr>
            <w:pStyle w:val="8"/>
            <w:tabs>
              <w:tab w:val="left" w:pos="840"/>
              <w:tab w:val="right" w:leader="dot" w:pos="8630"/>
            </w:tabs>
            <w:rPr>
              <w:kern w:val="2"/>
              <w:sz w:val="21"/>
              <w:lang w:eastAsia="zh-CN"/>
            </w:rPr>
          </w:pPr>
          <w:r>
            <w:fldChar w:fldCharType="begin"/>
          </w:r>
          <w:r>
            <w:instrText xml:space="preserve"> HYPERLINK \l "_Toc497125117" </w:instrText>
          </w:r>
          <w:r>
            <w:fldChar w:fldCharType="separate"/>
          </w:r>
          <w:r>
            <w:rPr>
              <w:rStyle w:val="13"/>
              <w:rFonts w:ascii="Arial" w:hAnsi="Arial" w:cs="Arial"/>
              <w:lang w:eastAsia="zh-CN"/>
            </w:rPr>
            <w:t>VIII.</w:t>
          </w:r>
          <w:r>
            <w:rPr>
              <w:kern w:val="2"/>
              <w:sz w:val="21"/>
              <w:lang w:eastAsia="zh-CN"/>
            </w:rPr>
            <w:tab/>
          </w:r>
          <w:r>
            <w:rPr>
              <w:rStyle w:val="13"/>
              <w:rFonts w:hint="eastAsia" w:ascii="Arial" w:hAnsi="Arial" w:eastAsia="宋体" w:cs="Arial"/>
              <w:lang w:eastAsia="zh-CN"/>
            </w:rPr>
            <w:t>标签</w:t>
          </w:r>
          <w:r>
            <w:tab/>
          </w:r>
          <w:r>
            <w:fldChar w:fldCharType="begin"/>
          </w:r>
          <w:r>
            <w:instrText xml:space="preserve"> PAGEREF _Toc497125117 \h </w:instrText>
          </w:r>
          <w:r>
            <w:fldChar w:fldCharType="separate"/>
          </w:r>
          <w:r>
            <w:t>27</w:t>
          </w:r>
          <w:r>
            <w:fldChar w:fldCharType="end"/>
          </w:r>
          <w:r>
            <w:fldChar w:fldCharType="end"/>
          </w:r>
        </w:p>
        <w:p w14:paraId="06668B57">
          <w:pPr>
            <w:pStyle w:val="4"/>
            <w:tabs>
              <w:tab w:val="left" w:pos="2028"/>
              <w:tab w:val="right" w:leader="dot" w:pos="8630"/>
            </w:tabs>
            <w:ind w:left="880"/>
            <w:rPr>
              <w:kern w:val="2"/>
              <w:sz w:val="21"/>
              <w:lang w:eastAsia="zh-CN"/>
            </w:rPr>
          </w:pPr>
          <w:r>
            <w:fldChar w:fldCharType="begin"/>
          </w:r>
          <w:r>
            <w:instrText xml:space="preserve"> HYPERLINK \l "_Toc497125118"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A</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预期用途</w:t>
          </w:r>
          <w:r>
            <w:tab/>
          </w:r>
          <w:r>
            <w:fldChar w:fldCharType="begin"/>
          </w:r>
          <w:r>
            <w:instrText xml:space="preserve"> PAGEREF _Toc497125118 \h </w:instrText>
          </w:r>
          <w:r>
            <w:fldChar w:fldCharType="separate"/>
          </w:r>
          <w:r>
            <w:t>27</w:t>
          </w:r>
          <w:r>
            <w:fldChar w:fldCharType="end"/>
          </w:r>
          <w:r>
            <w:fldChar w:fldCharType="end"/>
          </w:r>
        </w:p>
        <w:p w14:paraId="6424A51F">
          <w:pPr>
            <w:pStyle w:val="4"/>
            <w:tabs>
              <w:tab w:val="left" w:pos="2028"/>
              <w:tab w:val="right" w:leader="dot" w:pos="8630"/>
            </w:tabs>
            <w:ind w:left="880"/>
            <w:rPr>
              <w:kern w:val="2"/>
              <w:sz w:val="21"/>
              <w:lang w:eastAsia="zh-CN"/>
            </w:rPr>
          </w:pPr>
          <w:r>
            <w:fldChar w:fldCharType="begin"/>
          </w:r>
          <w:r>
            <w:instrText xml:space="preserve"> HYPERLINK \l "_Toc497125119"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B</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器械说明</w:t>
          </w:r>
          <w:r>
            <w:tab/>
          </w:r>
          <w:r>
            <w:fldChar w:fldCharType="begin"/>
          </w:r>
          <w:r>
            <w:instrText xml:space="preserve"> PAGEREF _Toc497125119 \h </w:instrText>
          </w:r>
          <w:r>
            <w:fldChar w:fldCharType="separate"/>
          </w:r>
          <w:r>
            <w:t>27</w:t>
          </w:r>
          <w:r>
            <w:fldChar w:fldCharType="end"/>
          </w:r>
          <w:r>
            <w:fldChar w:fldCharType="end"/>
          </w:r>
        </w:p>
        <w:p w14:paraId="78A98B55">
          <w:pPr>
            <w:pStyle w:val="4"/>
            <w:tabs>
              <w:tab w:val="left" w:pos="2040"/>
              <w:tab w:val="right" w:leader="dot" w:pos="8630"/>
            </w:tabs>
            <w:ind w:left="880"/>
            <w:rPr>
              <w:kern w:val="2"/>
              <w:sz w:val="21"/>
              <w:lang w:eastAsia="zh-CN"/>
            </w:rPr>
          </w:pPr>
          <w:r>
            <w:fldChar w:fldCharType="begin"/>
          </w:r>
          <w:r>
            <w:instrText xml:space="preserve"> HYPERLINK \l "_Toc497125120"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C</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程序</w:t>
          </w:r>
          <w:r>
            <w:tab/>
          </w:r>
          <w:r>
            <w:fldChar w:fldCharType="begin"/>
          </w:r>
          <w:r>
            <w:instrText xml:space="preserve"> PAGEREF _Toc497125120 \h </w:instrText>
          </w:r>
          <w:r>
            <w:fldChar w:fldCharType="separate"/>
          </w:r>
          <w:r>
            <w:t>27</w:t>
          </w:r>
          <w:r>
            <w:fldChar w:fldCharType="end"/>
          </w:r>
          <w:r>
            <w:fldChar w:fldCharType="end"/>
          </w:r>
        </w:p>
        <w:p w14:paraId="01237499">
          <w:pPr>
            <w:pStyle w:val="4"/>
            <w:tabs>
              <w:tab w:val="left" w:pos="2040"/>
              <w:tab w:val="right" w:leader="dot" w:pos="8630"/>
            </w:tabs>
            <w:ind w:left="880"/>
            <w:rPr>
              <w:kern w:val="2"/>
              <w:sz w:val="21"/>
              <w:lang w:eastAsia="zh-CN"/>
            </w:rPr>
          </w:pPr>
          <w:r>
            <w:fldChar w:fldCharType="begin"/>
          </w:r>
          <w:r>
            <w:instrText xml:space="preserve"> HYPERLINK \l "_Toc497125121"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D</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使用说明</w:t>
          </w:r>
          <w:r>
            <w:tab/>
          </w:r>
          <w:r>
            <w:fldChar w:fldCharType="begin"/>
          </w:r>
          <w:r>
            <w:instrText xml:space="preserve"> PAGEREF _Toc497125121 \h </w:instrText>
          </w:r>
          <w:r>
            <w:fldChar w:fldCharType="separate"/>
          </w:r>
          <w:r>
            <w:t>27</w:t>
          </w:r>
          <w:r>
            <w:fldChar w:fldCharType="end"/>
          </w:r>
          <w:r>
            <w:fldChar w:fldCharType="end"/>
          </w:r>
        </w:p>
        <w:p w14:paraId="562E0948">
          <w:pPr>
            <w:pStyle w:val="4"/>
            <w:tabs>
              <w:tab w:val="left" w:pos="2028"/>
              <w:tab w:val="right" w:leader="dot" w:pos="8630"/>
            </w:tabs>
            <w:ind w:left="880"/>
            <w:rPr>
              <w:kern w:val="2"/>
              <w:sz w:val="21"/>
              <w:lang w:eastAsia="zh-CN"/>
            </w:rPr>
          </w:pPr>
          <w:r>
            <w:fldChar w:fldCharType="begin"/>
          </w:r>
          <w:r>
            <w:instrText xml:space="preserve"> HYPERLINK \l "_Toc497125122"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E</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质量控制</w:t>
          </w:r>
          <w:r>
            <w:tab/>
          </w:r>
          <w:r>
            <w:fldChar w:fldCharType="begin"/>
          </w:r>
          <w:r>
            <w:instrText xml:space="preserve"> PAGEREF _Toc497125122 \h </w:instrText>
          </w:r>
          <w:r>
            <w:fldChar w:fldCharType="separate"/>
          </w:r>
          <w:r>
            <w:t>28</w:t>
          </w:r>
          <w:r>
            <w:fldChar w:fldCharType="end"/>
          </w:r>
          <w:r>
            <w:fldChar w:fldCharType="end"/>
          </w:r>
        </w:p>
        <w:p w14:paraId="7230EA0E">
          <w:pPr>
            <w:pStyle w:val="4"/>
            <w:tabs>
              <w:tab w:val="left" w:pos="2016"/>
              <w:tab w:val="right" w:leader="dot" w:pos="8630"/>
            </w:tabs>
            <w:ind w:left="880"/>
            <w:rPr>
              <w:kern w:val="2"/>
              <w:sz w:val="21"/>
              <w:lang w:eastAsia="zh-CN"/>
            </w:rPr>
          </w:pPr>
          <w:r>
            <w:fldChar w:fldCharType="begin"/>
          </w:r>
          <w:r>
            <w:instrText xml:space="preserve"> HYPERLINK \l "_Toc497125123"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F</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警告、注意事项和限制</w:t>
          </w:r>
          <w:r>
            <w:tab/>
          </w:r>
          <w:r>
            <w:fldChar w:fldCharType="begin"/>
          </w:r>
          <w:r>
            <w:instrText xml:space="preserve"> PAGEREF _Toc497125123 \h </w:instrText>
          </w:r>
          <w:r>
            <w:fldChar w:fldCharType="separate"/>
          </w:r>
          <w:r>
            <w:t>28</w:t>
          </w:r>
          <w:r>
            <w:fldChar w:fldCharType="end"/>
          </w:r>
          <w:r>
            <w:fldChar w:fldCharType="end"/>
          </w:r>
        </w:p>
        <w:p w14:paraId="0892803C">
          <w:pPr>
            <w:pStyle w:val="4"/>
            <w:tabs>
              <w:tab w:val="left" w:pos="2052"/>
              <w:tab w:val="right" w:leader="dot" w:pos="8630"/>
            </w:tabs>
            <w:ind w:left="880"/>
            <w:rPr>
              <w:kern w:val="2"/>
              <w:sz w:val="21"/>
              <w:lang w:eastAsia="zh-CN"/>
            </w:rPr>
          </w:pPr>
          <w:r>
            <w:fldChar w:fldCharType="begin"/>
          </w:r>
          <w:r>
            <w:instrText xml:space="preserve"> HYPERLINK \l "_Toc497125124"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G</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样本收集</w:t>
          </w:r>
          <w:r>
            <w:tab/>
          </w:r>
          <w:r>
            <w:fldChar w:fldCharType="begin"/>
          </w:r>
          <w:r>
            <w:instrText xml:space="preserve"> PAGEREF _Toc497125124 \h </w:instrText>
          </w:r>
          <w:r>
            <w:fldChar w:fldCharType="separate"/>
          </w:r>
          <w:r>
            <w:t>29</w:t>
          </w:r>
          <w:r>
            <w:fldChar w:fldCharType="end"/>
          </w:r>
          <w:r>
            <w:fldChar w:fldCharType="end"/>
          </w:r>
        </w:p>
        <w:p w14:paraId="4F501796">
          <w:pPr>
            <w:pStyle w:val="4"/>
            <w:tabs>
              <w:tab w:val="left" w:pos="2040"/>
              <w:tab w:val="right" w:leader="dot" w:pos="8630"/>
            </w:tabs>
            <w:ind w:left="880"/>
            <w:rPr>
              <w:kern w:val="2"/>
              <w:sz w:val="21"/>
              <w:lang w:eastAsia="zh-CN"/>
            </w:rPr>
          </w:pPr>
          <w:r>
            <w:fldChar w:fldCharType="begin"/>
          </w:r>
          <w:r>
            <w:instrText xml:space="preserve"> HYPERLINK \l "_Toc497125125"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H</w:t>
          </w:r>
          <w:r>
            <w:rPr>
              <w:rStyle w:val="13"/>
              <w:rFonts w:hint="eastAsia" w:ascii="Arial" w:hAnsi="Arial" w:eastAsia="宋体" w:cs="Arial"/>
              <w:lang w:eastAsia="zh-CN"/>
            </w:rPr>
            <w:t>）</w:t>
          </w:r>
          <w:r>
            <w:rPr>
              <w:rStyle w:val="13"/>
              <w:rFonts w:ascii="Arial" w:hAnsi="Arial" w:eastAsia="宋体" w:cs="Arial"/>
              <w:lang w:eastAsia="zh-CN"/>
            </w:rPr>
            <w:t>.</w:t>
          </w:r>
          <w:r>
            <w:rPr>
              <w:kern w:val="2"/>
              <w:sz w:val="21"/>
              <w:lang w:eastAsia="zh-CN"/>
            </w:rPr>
            <w:tab/>
          </w:r>
          <w:r>
            <w:rPr>
              <w:rStyle w:val="13"/>
              <w:rFonts w:hint="eastAsia" w:ascii="Arial" w:hAnsi="Arial" w:eastAsia="宋体" w:cs="Arial"/>
              <w:lang w:eastAsia="zh-CN"/>
            </w:rPr>
            <w:t>解释试验结果</w:t>
          </w:r>
          <w:r>
            <w:tab/>
          </w:r>
          <w:r>
            <w:fldChar w:fldCharType="begin"/>
          </w:r>
          <w:r>
            <w:instrText xml:space="preserve"> PAGEREF _Toc497125125 \h </w:instrText>
          </w:r>
          <w:r>
            <w:fldChar w:fldCharType="separate"/>
          </w:r>
          <w:r>
            <w:t>29</w:t>
          </w:r>
          <w:r>
            <w:fldChar w:fldCharType="end"/>
          </w:r>
          <w:r>
            <w:fldChar w:fldCharType="end"/>
          </w:r>
        </w:p>
        <w:p w14:paraId="7C511D91">
          <w:pPr>
            <w:pStyle w:val="4"/>
            <w:tabs>
              <w:tab w:val="right" w:leader="dot" w:pos="8630"/>
            </w:tabs>
            <w:ind w:left="880"/>
            <w:rPr>
              <w:kern w:val="2"/>
              <w:sz w:val="21"/>
              <w:lang w:eastAsia="zh-CN"/>
            </w:rPr>
          </w:pPr>
          <w:r>
            <w:fldChar w:fldCharType="begin"/>
          </w:r>
          <w:r>
            <w:instrText xml:space="preserve"> HYPERLINK \l "_Toc497125126"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I</w:t>
          </w:r>
          <w:r>
            <w:rPr>
              <w:rStyle w:val="13"/>
              <w:rFonts w:hint="eastAsia" w:ascii="Arial" w:hAnsi="Arial" w:eastAsia="宋体" w:cs="Arial"/>
              <w:lang w:eastAsia="zh-CN"/>
            </w:rPr>
            <w:t>）</w:t>
          </w:r>
          <w:r>
            <w:rPr>
              <w:rStyle w:val="13"/>
              <w:rFonts w:ascii="Arial" w:hAnsi="Arial" w:eastAsia="宋体" w:cs="Arial"/>
              <w:lang w:eastAsia="zh-CN"/>
            </w:rPr>
            <w:t>.</w:t>
          </w:r>
          <w:r>
            <w:rPr>
              <w:rStyle w:val="13"/>
              <w:rFonts w:hint="eastAsia" w:ascii="Arial" w:hAnsi="Arial" w:eastAsia="宋体" w:cs="Arial"/>
              <w:lang w:eastAsia="zh-CN"/>
            </w:rPr>
            <w:t>预期值</w:t>
          </w:r>
          <w:r>
            <w:tab/>
          </w:r>
          <w:r>
            <w:fldChar w:fldCharType="begin"/>
          </w:r>
          <w:r>
            <w:instrText xml:space="preserve"> PAGEREF _Toc497125126 \h </w:instrText>
          </w:r>
          <w:r>
            <w:fldChar w:fldCharType="separate"/>
          </w:r>
          <w:r>
            <w:t>29</w:t>
          </w:r>
          <w:r>
            <w:fldChar w:fldCharType="end"/>
          </w:r>
          <w:r>
            <w:fldChar w:fldCharType="end"/>
          </w:r>
        </w:p>
        <w:p w14:paraId="64C1A03C">
          <w:pPr>
            <w:pStyle w:val="4"/>
            <w:tabs>
              <w:tab w:val="right" w:leader="dot" w:pos="8630"/>
            </w:tabs>
            <w:ind w:left="880"/>
            <w:rPr>
              <w:kern w:val="2"/>
              <w:sz w:val="21"/>
              <w:lang w:eastAsia="zh-CN"/>
            </w:rPr>
          </w:pPr>
          <w:r>
            <w:fldChar w:fldCharType="begin"/>
          </w:r>
          <w:r>
            <w:instrText xml:space="preserve"> HYPERLINK \l "_Toc497125127" </w:instrText>
          </w:r>
          <w:r>
            <w:fldChar w:fldCharType="separate"/>
          </w:r>
          <w:r>
            <w:rPr>
              <w:rStyle w:val="13"/>
              <w:rFonts w:ascii="Arial" w:hAnsi="Arial" w:eastAsia="宋体" w:cs="Arial"/>
              <w:lang w:eastAsia="zh-CN"/>
            </w:rPr>
            <w:t>VIII</w:t>
          </w:r>
          <w:r>
            <w:rPr>
              <w:rStyle w:val="13"/>
              <w:rFonts w:hint="eastAsia" w:ascii="Arial" w:hAnsi="Arial" w:eastAsia="宋体" w:cs="Arial"/>
              <w:lang w:eastAsia="zh-CN"/>
            </w:rPr>
            <w:t>（</w:t>
          </w:r>
          <w:r>
            <w:rPr>
              <w:rStyle w:val="13"/>
              <w:rFonts w:ascii="Arial" w:hAnsi="Arial" w:eastAsia="宋体" w:cs="Arial"/>
              <w:lang w:eastAsia="zh-CN"/>
            </w:rPr>
            <w:t>J</w:t>
          </w:r>
          <w:r>
            <w:rPr>
              <w:rStyle w:val="13"/>
              <w:rFonts w:hint="eastAsia" w:ascii="Arial" w:hAnsi="Arial" w:eastAsia="宋体" w:cs="Arial"/>
              <w:lang w:eastAsia="zh-CN"/>
            </w:rPr>
            <w:t>）</w:t>
          </w:r>
          <w:r>
            <w:rPr>
              <w:rStyle w:val="13"/>
              <w:rFonts w:ascii="Arial" w:hAnsi="Arial" w:eastAsia="宋体" w:cs="Arial"/>
              <w:lang w:eastAsia="zh-CN"/>
            </w:rPr>
            <w:t>.</w:t>
          </w:r>
          <w:r>
            <w:rPr>
              <w:rStyle w:val="13"/>
              <w:rFonts w:hint="eastAsia" w:ascii="Arial" w:hAnsi="Arial" w:eastAsia="宋体" w:cs="Arial"/>
              <w:lang w:eastAsia="zh-CN"/>
            </w:rPr>
            <w:t>性能特点</w:t>
          </w:r>
          <w:r>
            <w:tab/>
          </w:r>
          <w:r>
            <w:fldChar w:fldCharType="begin"/>
          </w:r>
          <w:r>
            <w:instrText xml:space="preserve"> PAGEREF _Toc497125127 \h </w:instrText>
          </w:r>
          <w:r>
            <w:fldChar w:fldCharType="separate"/>
          </w:r>
          <w:r>
            <w:t>30</w:t>
          </w:r>
          <w:r>
            <w:fldChar w:fldCharType="end"/>
          </w:r>
          <w:r>
            <w:fldChar w:fldCharType="end"/>
          </w:r>
        </w:p>
        <w:p w14:paraId="5683F3D1">
          <w:pPr>
            <w:pStyle w:val="8"/>
            <w:tabs>
              <w:tab w:val="left" w:pos="840"/>
              <w:tab w:val="right" w:leader="dot" w:pos="8630"/>
            </w:tabs>
            <w:rPr>
              <w:kern w:val="2"/>
              <w:sz w:val="21"/>
              <w:lang w:eastAsia="zh-CN"/>
            </w:rPr>
          </w:pPr>
          <w:r>
            <w:fldChar w:fldCharType="begin"/>
          </w:r>
          <w:r>
            <w:instrText xml:space="preserve"> HYPERLINK \l "_Toc497125128" </w:instrText>
          </w:r>
          <w:r>
            <w:fldChar w:fldCharType="separate"/>
          </w:r>
          <w:r>
            <w:rPr>
              <w:rStyle w:val="13"/>
              <w:rFonts w:ascii="Arial" w:hAnsi="Arial" w:cs="Arial"/>
              <w:lang w:eastAsia="zh-CN"/>
            </w:rPr>
            <w:t>IX.</w:t>
          </w:r>
          <w:r>
            <w:rPr>
              <w:kern w:val="2"/>
              <w:sz w:val="21"/>
              <w:lang w:eastAsia="zh-CN"/>
            </w:rPr>
            <w:tab/>
          </w:r>
          <w:r>
            <w:rPr>
              <w:rStyle w:val="13"/>
              <w:rFonts w:hint="eastAsia" w:ascii="Arial" w:hAnsi="Arial" w:eastAsia="宋体" w:cs="Arial"/>
              <w:lang w:eastAsia="zh-CN"/>
            </w:rPr>
            <w:t>参考文件</w:t>
          </w:r>
          <w:r>
            <w:tab/>
          </w:r>
          <w:r>
            <w:fldChar w:fldCharType="begin"/>
          </w:r>
          <w:r>
            <w:instrText xml:space="preserve"> PAGEREF _Toc497125128 \h </w:instrText>
          </w:r>
          <w:r>
            <w:fldChar w:fldCharType="separate"/>
          </w:r>
          <w:r>
            <w:t>30</w:t>
          </w:r>
          <w:r>
            <w:fldChar w:fldCharType="end"/>
          </w:r>
          <w:r>
            <w:fldChar w:fldCharType="end"/>
          </w:r>
        </w:p>
        <w:p w14:paraId="71CF8251">
          <w:pPr>
            <w:rPr>
              <w:rFonts w:ascii="Arial" w:hAnsi="Arial" w:eastAsia="宋体" w:cs="Arial"/>
            </w:rPr>
          </w:pPr>
          <w:r>
            <w:rPr>
              <w:rFonts w:ascii="Arial" w:hAnsi="Arial" w:eastAsia="宋体" w:cs="Arial"/>
            </w:rPr>
            <w:fldChar w:fldCharType="end"/>
          </w:r>
        </w:p>
      </w:sdtContent>
    </w:sdt>
    <w:p w14:paraId="0317A634">
      <w:pPr>
        <w:pStyle w:val="16"/>
        <w:tabs>
          <w:tab w:val="left" w:pos="588"/>
          <w:tab w:val="right" w:leader="dot" w:pos="8774"/>
        </w:tabs>
        <w:snapToGrid w:val="0"/>
        <w:spacing w:before="0" w:after="120" w:afterLines="50" w:line="300" w:lineRule="auto"/>
        <w:ind w:left="0" w:firstLine="0"/>
        <w:rPr>
          <w:rFonts w:ascii="Arial" w:hAnsi="Arial" w:eastAsia="宋体" w:cs="Arial"/>
          <w:sz w:val="36"/>
          <w:szCs w:val="36"/>
          <w:lang w:eastAsia="zh-CN"/>
        </w:rPr>
      </w:pPr>
    </w:p>
    <w:p w14:paraId="4C9595AB">
      <w:pPr>
        <w:pStyle w:val="16"/>
        <w:tabs>
          <w:tab w:val="left" w:pos="588"/>
          <w:tab w:val="right" w:leader="dot" w:pos="8774"/>
        </w:tabs>
        <w:snapToGrid w:val="0"/>
        <w:spacing w:before="0" w:after="120" w:afterLines="50" w:line="300" w:lineRule="auto"/>
        <w:ind w:left="0" w:firstLine="0"/>
        <w:rPr>
          <w:rFonts w:ascii="Arial" w:hAnsi="Arial" w:eastAsia="宋体" w:cs="Arial"/>
          <w:sz w:val="36"/>
          <w:szCs w:val="36"/>
          <w:lang w:eastAsia="zh-CN"/>
        </w:rPr>
      </w:pPr>
      <w:r>
        <w:rPr>
          <w:rFonts w:ascii="Arial" w:hAnsi="Arial" w:eastAsia="宋体" w:cs="Arial"/>
          <w:sz w:val="36"/>
          <w:szCs w:val="36"/>
          <w:lang w:eastAsia="zh-CN"/>
        </w:rPr>
        <w:br w:type="page"/>
      </w:r>
    </w:p>
    <w:p w14:paraId="4DEE65D5">
      <w:pPr>
        <w:pBdr>
          <w:bottom w:val="single" w:color="auto" w:sz="4" w:space="1"/>
        </w:pBdr>
        <w:snapToGrid w:val="0"/>
        <w:spacing w:after="120" w:afterLines="50" w:line="300" w:lineRule="auto"/>
        <w:jc w:val="center"/>
        <w:rPr>
          <w:rFonts w:ascii="Arial" w:hAnsi="Arial" w:eastAsia="宋体" w:cs="Arial"/>
          <w:b/>
          <w:sz w:val="56"/>
          <w:lang w:eastAsia="zh-CN"/>
        </w:rPr>
      </w:pPr>
    </w:p>
    <w:p w14:paraId="34A65A0A">
      <w:pPr>
        <w:pBdr>
          <w:bottom w:val="single" w:color="auto" w:sz="4" w:space="1"/>
        </w:pBdr>
        <w:snapToGrid w:val="0"/>
        <w:spacing w:after="120" w:afterLines="50" w:line="300" w:lineRule="auto"/>
        <w:jc w:val="center"/>
        <w:rPr>
          <w:rFonts w:ascii="Arial" w:hAnsi="Arial" w:eastAsia="宋体" w:cs="Arial"/>
          <w:sz w:val="56"/>
          <w:szCs w:val="56"/>
          <w:lang w:eastAsia="zh-CN"/>
        </w:rPr>
      </w:pPr>
      <w:r>
        <w:rPr>
          <w:rFonts w:ascii="Arial" w:hAnsi="Arial" w:eastAsia="宋体" w:cs="Arial"/>
          <w:b/>
          <w:sz w:val="56"/>
          <w:lang w:eastAsia="zh-CN"/>
        </w:rPr>
        <w:t>II类特殊控制指南：</w:t>
      </w:r>
      <w:r>
        <w:rPr>
          <w:rFonts w:ascii="Arial" w:hAnsi="Arial" w:eastAsia="宋体" w:cs="Arial"/>
          <w:b/>
          <w:i/>
          <w:sz w:val="56"/>
          <w:lang w:eastAsia="zh-CN"/>
        </w:rPr>
        <w:t>阴道毛滴虫</w:t>
      </w:r>
      <w:r>
        <w:rPr>
          <w:rFonts w:ascii="Arial" w:hAnsi="Arial" w:eastAsia="宋体" w:cs="Arial"/>
          <w:b/>
          <w:sz w:val="56"/>
          <w:lang w:eastAsia="zh-CN"/>
        </w:rPr>
        <w:t>核酸扩增检测试剂盒</w:t>
      </w:r>
    </w:p>
    <w:p w14:paraId="4F628DF7">
      <w:pPr>
        <w:snapToGrid w:val="0"/>
        <w:spacing w:after="120" w:afterLines="50" w:line="300" w:lineRule="auto"/>
        <w:jc w:val="center"/>
        <w:rPr>
          <w:rFonts w:ascii="Arial" w:hAnsi="Arial" w:eastAsia="宋体" w:cs="Arial"/>
          <w:b/>
          <w:sz w:val="56"/>
          <w:lang w:eastAsia="zh-CN"/>
        </w:rPr>
      </w:pPr>
      <w:r>
        <w:rPr>
          <w:rFonts w:ascii="Arial" w:hAnsi="Arial" w:eastAsia="宋体" w:cs="Arial"/>
          <w:b/>
          <w:sz w:val="56"/>
          <w:lang w:eastAsia="zh-CN"/>
        </w:rPr>
        <w:t>行业和食品药品监督管理局工作人员指南</w:t>
      </w:r>
    </w:p>
    <w:p w14:paraId="68017EC7">
      <w:pPr>
        <w:pStyle w:val="20"/>
        <w:numPr>
          <w:ilvl w:val="0"/>
          <w:numId w:val="1"/>
        </w:numPr>
        <w:tabs>
          <w:tab w:val="left" w:pos="508"/>
        </w:tabs>
        <w:overflowPunct w:val="0"/>
        <w:snapToGrid w:val="0"/>
        <w:spacing w:after="120" w:afterLines="50" w:line="300" w:lineRule="auto"/>
        <w:ind w:left="357" w:hanging="357"/>
        <w:jc w:val="both"/>
        <w:outlineLvl w:val="0"/>
        <w:rPr>
          <w:rFonts w:ascii="Arial" w:hAnsi="Arial" w:eastAsia="宋体" w:cs="Arial"/>
          <w:b w:val="0"/>
          <w:bCs w:val="0"/>
        </w:rPr>
      </w:pPr>
      <w:bookmarkStart w:id="1" w:name="_bookmark0"/>
      <w:bookmarkEnd w:id="1"/>
      <w:bookmarkStart w:id="2" w:name="_Toc497125084"/>
      <w:r>
        <w:rPr>
          <w:rFonts w:ascii="Arial" w:hAnsi="Arial" w:eastAsia="宋体" w:cs="Arial"/>
          <w:lang w:eastAsia="zh-CN"/>
        </w:rPr>
        <w:t>引言</w:t>
      </w:r>
      <w:bookmarkEnd w:id="2"/>
    </w:p>
    <w:p w14:paraId="27519554">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本特殊控制指南支持将</w:t>
      </w:r>
      <w:r>
        <w:rPr>
          <w:rFonts w:ascii="Arial" w:hAnsi="Arial" w:eastAsia="宋体" w:cs="Arial"/>
          <w:i/>
          <w:sz w:val="24"/>
          <w:szCs w:val="24"/>
          <w:lang w:eastAsia="zh-CN"/>
        </w:rPr>
        <w:t>阴道毛滴虫</w:t>
      </w:r>
      <w:r>
        <w:rPr>
          <w:rFonts w:ascii="Arial" w:hAnsi="Arial" w:eastAsia="宋体" w:cs="Arial"/>
          <w:sz w:val="24"/>
          <w:szCs w:val="24"/>
          <w:lang w:eastAsia="zh-CN"/>
        </w:rPr>
        <w:t>核酸检测试剂盒</w:t>
      </w:r>
      <w:r>
        <w:rPr>
          <w:rFonts w:hint="eastAsia" w:ascii="Arial" w:hAnsi="Arial" w:eastAsia="宋体" w:cs="Arial"/>
          <w:sz w:val="24"/>
          <w:szCs w:val="24"/>
          <w:lang w:eastAsia="zh-CN"/>
        </w:rPr>
        <w:t>分类</w:t>
      </w:r>
      <w:r>
        <w:rPr>
          <w:rFonts w:ascii="Arial" w:hAnsi="Arial" w:eastAsia="宋体" w:cs="Arial"/>
          <w:sz w:val="24"/>
          <w:szCs w:val="24"/>
          <w:lang w:eastAsia="zh-CN"/>
        </w:rPr>
        <w:t>为II类（特殊控制）器械。</w:t>
      </w:r>
    </w:p>
    <w:p w14:paraId="737D1511">
      <w:pPr>
        <w:overflowPunct w:val="0"/>
        <w:snapToGrid w:val="0"/>
        <w:spacing w:after="120" w:afterLines="50" w:line="300" w:lineRule="auto"/>
        <w:jc w:val="both"/>
        <w:rPr>
          <w:rFonts w:ascii="Arial" w:hAnsi="Arial" w:eastAsia="宋体" w:cs="Arial"/>
          <w:sz w:val="24"/>
          <w:szCs w:val="24"/>
          <w:lang w:eastAsia="zh-CN"/>
        </w:rPr>
      </w:pPr>
    </w:p>
    <w:p w14:paraId="27A5BF9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本指南指出FDA认为能</w:t>
      </w:r>
      <w:r>
        <w:rPr>
          <w:rFonts w:hint="eastAsia" w:ascii="Arial" w:hAnsi="Arial" w:eastAsia="宋体" w:cs="Arial"/>
          <w:lang w:eastAsia="zh-CN"/>
        </w:rPr>
        <w:t>缓解</w:t>
      </w:r>
      <w:r>
        <w:rPr>
          <w:rFonts w:ascii="Arial" w:hAnsi="Arial" w:eastAsia="宋体" w:cs="Arial"/>
          <w:lang w:eastAsia="zh-CN"/>
        </w:rPr>
        <w:t>与这些器械相关健康风险的措施</w:t>
      </w:r>
      <w:r>
        <w:rPr>
          <w:rFonts w:hint="eastAsia" w:ascii="Arial" w:hAnsi="Arial" w:eastAsia="宋体" w:cs="Arial"/>
          <w:lang w:eastAsia="zh-CN"/>
        </w:rPr>
        <w:t>，</w:t>
      </w:r>
      <w:r>
        <w:rPr>
          <w:rFonts w:ascii="Arial" w:hAnsi="Arial" w:eastAsia="宋体" w:cs="Arial"/>
          <w:lang w:eastAsia="zh-CN"/>
        </w:rPr>
        <w:t>并提供合理的安全性和有效性保证。提交</w:t>
      </w:r>
      <w:r>
        <w:rPr>
          <w:rFonts w:ascii="Arial" w:hAnsi="Arial" w:eastAsia="宋体" w:cs="Arial"/>
          <w:i/>
          <w:lang w:eastAsia="zh-CN"/>
        </w:rPr>
        <w:t>阴道毛滴虫</w:t>
      </w:r>
      <w:r>
        <w:rPr>
          <w:rFonts w:ascii="Arial" w:hAnsi="Arial" w:eastAsia="宋体" w:cs="Arial"/>
          <w:lang w:eastAsia="zh-CN"/>
        </w:rPr>
        <w:t>核酸检测试剂盒510（k）上市前通知的公司将需要（1）遵守特殊控制指南中提出的特定</w:t>
      </w:r>
      <w:r>
        <w:rPr>
          <w:rFonts w:hint="eastAsia" w:ascii="Arial" w:hAnsi="Arial" w:eastAsia="宋体" w:cs="Arial"/>
          <w:lang w:eastAsia="zh-CN"/>
        </w:rPr>
        <w:t>缓解</w:t>
      </w:r>
      <w:r>
        <w:rPr>
          <w:rFonts w:ascii="Arial" w:hAnsi="Arial" w:eastAsia="宋体" w:cs="Arial"/>
          <w:lang w:eastAsia="zh-CN"/>
        </w:rPr>
        <w:t>措施，或（2）采用替代缓解措施，但需证明贵公司指出的这些替代措施至少可提供等同的安全性和有效性保证并</w:t>
      </w:r>
      <w:r>
        <w:rPr>
          <w:rFonts w:hint="eastAsia" w:ascii="Arial" w:hAnsi="Arial" w:eastAsia="宋体" w:cs="Arial"/>
          <w:lang w:eastAsia="zh-CN"/>
        </w:rPr>
        <w:t>获得</w:t>
      </w:r>
      <w:r>
        <w:rPr>
          <w:rFonts w:ascii="Arial" w:hAnsi="Arial" w:eastAsia="宋体" w:cs="Arial"/>
          <w:lang w:eastAsia="zh-CN"/>
        </w:rPr>
        <w:t>机构认可。</w:t>
      </w:r>
    </w:p>
    <w:p w14:paraId="536C0756">
      <w:pPr>
        <w:overflowPunct w:val="0"/>
        <w:snapToGrid w:val="0"/>
        <w:spacing w:after="120" w:afterLines="50" w:line="300" w:lineRule="auto"/>
        <w:jc w:val="both"/>
        <w:rPr>
          <w:rFonts w:ascii="Arial" w:hAnsi="Arial" w:eastAsia="宋体" w:cs="Arial"/>
          <w:sz w:val="24"/>
          <w:szCs w:val="24"/>
          <w:lang w:eastAsia="zh-CN"/>
        </w:rPr>
      </w:pPr>
    </w:p>
    <w:p w14:paraId="75D5FB5D">
      <w:pPr>
        <w:pStyle w:val="20"/>
        <w:numPr>
          <w:ilvl w:val="0"/>
          <w:numId w:val="1"/>
        </w:numPr>
        <w:tabs>
          <w:tab w:val="left" w:pos="508"/>
        </w:tabs>
        <w:overflowPunct w:val="0"/>
        <w:snapToGrid w:val="0"/>
        <w:spacing w:after="120" w:afterLines="50" w:line="300" w:lineRule="auto"/>
        <w:ind w:left="357" w:hanging="357"/>
        <w:jc w:val="both"/>
        <w:outlineLvl w:val="0"/>
        <w:rPr>
          <w:rFonts w:ascii="Arial" w:hAnsi="Arial" w:eastAsia="宋体" w:cs="Arial"/>
          <w:lang w:eastAsia="zh-CN"/>
        </w:rPr>
      </w:pPr>
      <w:bookmarkStart w:id="3" w:name="_bookmark1"/>
      <w:bookmarkEnd w:id="3"/>
      <w:bookmarkStart w:id="4" w:name="_Toc497125085"/>
      <w:r>
        <w:rPr>
          <w:rFonts w:ascii="Arial" w:hAnsi="Arial" w:eastAsia="宋体" w:cs="Arial"/>
          <w:lang w:eastAsia="zh-CN"/>
        </w:rPr>
        <w:t>阴道毛滴虫 – 背景</w:t>
      </w:r>
      <w:bookmarkEnd w:id="4"/>
    </w:p>
    <w:p w14:paraId="4E162EE3">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毛滴虫病是由一种原生动物寄生虫即</w:t>
      </w:r>
      <w:r>
        <w:rPr>
          <w:rFonts w:ascii="Arial" w:hAnsi="Arial" w:eastAsia="宋体" w:cs="Arial"/>
          <w:i/>
          <w:lang w:eastAsia="zh-CN"/>
        </w:rPr>
        <w:t>阴道毛滴虫</w:t>
      </w:r>
      <w:r>
        <w:rPr>
          <w:rFonts w:ascii="Arial" w:hAnsi="Arial" w:eastAsia="宋体" w:cs="Arial"/>
          <w:lang w:eastAsia="zh-CN"/>
        </w:rPr>
        <w:t>（</w:t>
      </w:r>
      <w:r>
        <w:rPr>
          <w:rFonts w:ascii="Arial" w:hAnsi="Arial" w:eastAsia="宋体" w:cs="Arial"/>
          <w:i/>
        </w:rPr>
        <w:t>T. vaginalis</w:t>
      </w:r>
      <w:r>
        <w:rPr>
          <w:rFonts w:ascii="Arial" w:hAnsi="Arial" w:eastAsia="宋体" w:cs="Arial"/>
          <w:lang w:eastAsia="zh-CN"/>
        </w:rPr>
        <w:t>）感染引起的常见性传播疾病（STD）。在美国，估计有370万人感染，但仅约30%出现毛滴虫病的症状。</w:t>
      </w:r>
      <w:r>
        <w:rPr>
          <w:rStyle w:val="14"/>
          <w:rFonts w:ascii="Arial" w:hAnsi="Arial" w:eastAsia="宋体" w:cs="Arial"/>
          <w:lang w:eastAsia="zh-CN"/>
        </w:rPr>
        <w:footnoteReference w:id="0"/>
      </w:r>
    </w:p>
    <w:p w14:paraId="18D4DCB1">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r>
        <w:rPr>
          <w:rFonts w:ascii="Arial" w:hAnsi="Arial" w:eastAsia="宋体" w:cs="Arial"/>
          <w:sz w:val="24"/>
          <w:szCs w:val="24"/>
          <w:lang w:eastAsia="zh-CN"/>
        </w:rPr>
        <w:br w:type="page"/>
      </w:r>
      <w:bookmarkStart w:id="5" w:name="_bookmark3"/>
      <w:bookmarkEnd w:id="5"/>
      <w:bookmarkStart w:id="6" w:name="_Toc497125086"/>
      <w:r>
        <w:rPr>
          <w:rFonts w:ascii="Arial" w:hAnsi="Arial" w:eastAsia="宋体" w:cs="Arial"/>
          <w:lang w:eastAsia="zh-CN"/>
        </w:rPr>
        <w:t>特殊控制 – 背景</w:t>
      </w:r>
      <w:bookmarkEnd w:id="6"/>
    </w:p>
    <w:p w14:paraId="6F734612">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FDA认为特殊控制与</w:t>
      </w:r>
      <w:r>
        <w:rPr>
          <w:rFonts w:hint="eastAsia" w:ascii="Arial" w:hAnsi="Arial" w:eastAsia="宋体" w:cs="Arial"/>
          <w:lang w:eastAsia="zh-CN"/>
        </w:rPr>
        <w:t>《</w:t>
      </w:r>
      <w:r>
        <w:rPr>
          <w:rFonts w:ascii="Arial" w:hAnsi="Arial" w:eastAsia="宋体" w:cs="Arial"/>
          <w:lang w:eastAsia="zh-CN"/>
        </w:rPr>
        <w:t>联邦食品、药品和化妆品法案</w:t>
      </w:r>
      <w:r>
        <w:rPr>
          <w:rFonts w:hint="eastAsia" w:ascii="Arial" w:hAnsi="Arial" w:eastAsia="宋体" w:cs="Arial"/>
          <w:lang w:eastAsia="zh-CN"/>
        </w:rPr>
        <w:t>》</w:t>
      </w:r>
      <w:r>
        <w:rPr>
          <w:rFonts w:ascii="Arial" w:hAnsi="Arial" w:eastAsia="宋体" w:cs="Arial"/>
          <w:lang w:eastAsia="zh-CN"/>
        </w:rPr>
        <w:t>（FD&amp;C 法案）的一般控制结合时才能为</w:t>
      </w:r>
      <w:r>
        <w:rPr>
          <w:rFonts w:ascii="Arial" w:hAnsi="Arial" w:eastAsia="宋体" w:cs="Arial"/>
          <w:i/>
          <w:lang w:eastAsia="zh-CN"/>
        </w:rPr>
        <w:t>阴道毛滴虫核酸检测试剂盒</w:t>
      </w:r>
      <w:r>
        <w:rPr>
          <w:rFonts w:ascii="Arial" w:hAnsi="Arial" w:eastAsia="宋体" w:cs="Arial"/>
          <w:lang w:eastAsia="zh-CN"/>
        </w:rPr>
        <w:t>提供合理的安全性和有效性保证。因此，预计上市该类器械的制造商必须（1）遵守FD&amp;C 法案的一般控制，包括21 CFR 807 子部分E中描述的上市前通知要求，</w:t>
      </w:r>
      <w:r>
        <w:rPr>
          <w:rStyle w:val="14"/>
          <w:rFonts w:ascii="Arial" w:hAnsi="Arial" w:eastAsia="宋体" w:cs="Arial"/>
          <w:lang w:eastAsia="zh-CN"/>
        </w:rPr>
        <w:footnoteReference w:id="1"/>
      </w:r>
      <w:r>
        <w:rPr>
          <w:rFonts w:ascii="Arial" w:hAnsi="Arial" w:eastAsia="宋体" w:cs="Arial"/>
          <w:lang w:eastAsia="zh-CN"/>
        </w:rPr>
        <w:t>（2）遵守本指南中确定的特殊控制或采用替代缓解措施，但需证明贵公司指出的这些替代措施至少可提供等同的安全性和有效性保证并得到机构认可，</w:t>
      </w:r>
      <w:r>
        <w:rPr>
          <w:rFonts w:hint="eastAsia" w:ascii="Arial" w:hAnsi="Arial" w:eastAsia="宋体" w:cs="Arial"/>
          <w:lang w:eastAsia="zh-CN"/>
        </w:rPr>
        <w:t>以及</w:t>
      </w:r>
      <w:r>
        <w:rPr>
          <w:rFonts w:ascii="Arial" w:hAnsi="Arial" w:eastAsia="宋体" w:cs="Arial"/>
          <w:lang w:eastAsia="zh-CN"/>
        </w:rPr>
        <w:t>（3）在器械上市前从FDA获得实质等同性</w:t>
      </w:r>
      <w:r>
        <w:rPr>
          <w:rFonts w:hint="eastAsia" w:ascii="Arial" w:hAnsi="Arial" w:eastAsia="宋体" w:cs="Arial"/>
          <w:lang w:eastAsia="zh-CN"/>
        </w:rPr>
        <w:t>确定</w:t>
      </w:r>
      <w:r>
        <w:rPr>
          <w:rFonts w:ascii="Arial" w:hAnsi="Arial" w:eastAsia="宋体" w:cs="Arial"/>
          <w:lang w:eastAsia="zh-CN"/>
        </w:rPr>
        <w:t>。</w:t>
      </w:r>
    </w:p>
    <w:p w14:paraId="62E33CBB">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bookmarkStart w:id="7" w:name="_bookmark4"/>
      <w:bookmarkEnd w:id="7"/>
      <w:bookmarkStart w:id="8" w:name="_Toc497125087"/>
      <w:r>
        <w:rPr>
          <w:rFonts w:ascii="Arial" w:hAnsi="Arial" w:eastAsia="宋体" w:cs="Arial"/>
          <w:lang w:eastAsia="zh-CN"/>
        </w:rPr>
        <w:t>范围</w:t>
      </w:r>
      <w:bookmarkEnd w:id="8"/>
    </w:p>
    <w:p w14:paraId="183A0B35">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本文件的范围限于21 CFR 866.3860中描述的器械：</w:t>
      </w:r>
    </w:p>
    <w:p w14:paraId="6AADF41A">
      <w:pPr>
        <w:overflowPunct w:val="0"/>
        <w:snapToGrid w:val="0"/>
        <w:spacing w:after="240" w:afterLines="100" w:line="300" w:lineRule="auto"/>
        <w:jc w:val="both"/>
        <w:rPr>
          <w:rFonts w:ascii="Arial" w:hAnsi="Arial" w:eastAsia="宋体" w:cs="Arial"/>
          <w:sz w:val="24"/>
          <w:szCs w:val="24"/>
          <w:lang w:eastAsia="zh-CN"/>
        </w:rPr>
      </w:pPr>
      <w:r>
        <w:rPr>
          <w:rFonts w:ascii="Arial" w:hAnsi="Arial" w:eastAsia="宋体" w:cs="Arial"/>
          <w:b/>
          <w:bCs/>
          <w:sz w:val="24"/>
          <w:szCs w:val="24"/>
          <w:lang w:eastAsia="zh-CN"/>
        </w:rPr>
        <w:t xml:space="preserve">21 CFR 866.3860 – </w:t>
      </w:r>
      <w:r>
        <w:rPr>
          <w:rFonts w:ascii="Arial" w:hAnsi="Arial" w:eastAsia="宋体" w:cs="Arial"/>
          <w:i/>
          <w:sz w:val="24"/>
          <w:szCs w:val="24"/>
          <w:lang w:eastAsia="zh-CN"/>
        </w:rPr>
        <w:t>阴道毛滴虫</w:t>
      </w:r>
      <w:r>
        <w:rPr>
          <w:rFonts w:ascii="Arial" w:hAnsi="Arial" w:eastAsia="宋体" w:cs="Arial"/>
          <w:sz w:val="24"/>
          <w:szCs w:val="24"/>
          <w:lang w:eastAsia="zh-CN"/>
        </w:rPr>
        <w:t>核酸检测试剂盒</w:t>
      </w:r>
    </w:p>
    <w:p w14:paraId="78E7DA52">
      <w:pPr>
        <w:pStyle w:val="3"/>
        <w:numPr>
          <w:ilvl w:val="0"/>
          <w:numId w:val="2"/>
        </w:numPr>
        <w:tabs>
          <w:tab w:val="left" w:pos="492"/>
        </w:tabs>
        <w:overflowPunct w:val="0"/>
        <w:snapToGrid w:val="0"/>
        <w:spacing w:after="240" w:afterLines="100" w:line="300" w:lineRule="auto"/>
        <w:ind w:left="0" w:firstLine="0"/>
        <w:jc w:val="both"/>
        <w:rPr>
          <w:rFonts w:ascii="Arial" w:hAnsi="Arial" w:eastAsia="宋体" w:cs="Arial"/>
          <w:lang w:eastAsia="zh-CN"/>
        </w:rPr>
      </w:pPr>
      <w:r>
        <w:rPr>
          <w:rFonts w:ascii="Arial" w:hAnsi="Arial" w:eastAsia="宋体" w:cs="Arial"/>
          <w:i/>
          <w:lang w:eastAsia="zh-CN"/>
        </w:rPr>
        <w:t>鉴定。</w:t>
      </w:r>
      <w:bookmarkStart w:id="9" w:name="OLE_LINK1"/>
      <w:bookmarkStart w:id="10" w:name="OLE_LINK2"/>
      <w:r>
        <w:rPr>
          <w:rFonts w:ascii="Arial" w:hAnsi="Arial" w:eastAsia="宋体" w:cs="Arial"/>
          <w:i/>
          <w:lang w:eastAsia="zh-CN"/>
        </w:rPr>
        <w:t>阴道毛滴虫</w:t>
      </w:r>
      <w:r>
        <w:rPr>
          <w:rFonts w:ascii="Arial" w:hAnsi="Arial" w:eastAsia="宋体" w:cs="Arial"/>
          <w:lang w:eastAsia="zh-CN"/>
        </w:rPr>
        <w:t>核酸检测试剂盒</w:t>
      </w:r>
      <w:bookmarkEnd w:id="9"/>
      <w:bookmarkEnd w:id="10"/>
      <w:r>
        <w:rPr>
          <w:rFonts w:ascii="Arial" w:hAnsi="Arial" w:eastAsia="宋体" w:cs="Arial"/>
          <w:lang w:eastAsia="zh-CN"/>
        </w:rPr>
        <w:t>由引物、探针、酶和对照品组成，用于扩增和检测有阴道炎、宫颈炎或尿道炎症状女性的宫颈拭子</w:t>
      </w:r>
      <w:r>
        <w:rPr>
          <w:rFonts w:hint="eastAsia" w:ascii="Arial" w:hAnsi="Arial" w:eastAsia="宋体" w:cs="Arial"/>
          <w:lang w:eastAsia="zh-CN"/>
        </w:rPr>
        <w:t>、</w:t>
      </w:r>
      <w:r>
        <w:rPr>
          <w:rFonts w:ascii="Arial" w:hAnsi="Arial" w:eastAsia="宋体" w:cs="Arial"/>
          <w:lang w:eastAsia="zh-CN"/>
        </w:rPr>
        <w:t>阴道拭子和尿液样本中的毛滴虫核酸和/或帮助诊断无症状女性的毛滴虫病。结合其他实验室测试，毛滴虫核酸检测可帮助检验科诊断由</w:t>
      </w:r>
      <w:r>
        <w:rPr>
          <w:rFonts w:ascii="Arial" w:hAnsi="Arial" w:eastAsia="宋体" w:cs="Arial"/>
          <w:i/>
          <w:lang w:eastAsia="zh-CN"/>
        </w:rPr>
        <w:t>阴道毛滴虫</w:t>
      </w:r>
      <w:r>
        <w:rPr>
          <w:rFonts w:ascii="Arial" w:hAnsi="Arial" w:eastAsia="宋体" w:cs="Arial"/>
          <w:lang w:eastAsia="zh-CN"/>
        </w:rPr>
        <w:t>引起的毛滴虫病</w:t>
      </w:r>
      <w:r>
        <w:rPr>
          <w:rFonts w:ascii="Arial" w:hAnsi="Arial" w:eastAsia="宋体" w:cs="Arial"/>
          <w:i/>
          <w:lang w:eastAsia="zh-CN"/>
        </w:rPr>
        <w:t>。</w:t>
      </w:r>
      <w:r>
        <w:rPr>
          <w:rFonts w:ascii="Arial" w:hAnsi="Arial" w:eastAsia="宋体" w:cs="Arial"/>
          <w:lang w:eastAsia="zh-CN"/>
        </w:rPr>
        <w:t>该分类目前包含以下产品代码：</w:t>
      </w:r>
    </w:p>
    <w:p w14:paraId="5A4D0784">
      <w:pPr>
        <w:overflowPunct w:val="0"/>
        <w:snapToGrid w:val="0"/>
        <w:spacing w:after="240" w:afterLines="100" w:line="300" w:lineRule="auto"/>
        <w:jc w:val="both"/>
        <w:rPr>
          <w:rFonts w:ascii="Arial" w:hAnsi="Arial" w:eastAsia="宋体" w:cs="Arial"/>
          <w:sz w:val="24"/>
          <w:szCs w:val="24"/>
          <w:lang w:eastAsia="zh-CN"/>
        </w:rPr>
      </w:pPr>
      <w:r>
        <w:rPr>
          <w:rFonts w:ascii="Arial" w:hAnsi="Arial" w:eastAsia="宋体" w:cs="Arial"/>
          <w:b/>
          <w:sz w:val="24"/>
          <w:szCs w:val="24"/>
          <w:lang w:eastAsia="zh-CN"/>
        </w:rPr>
        <w:t>OUY</w:t>
      </w:r>
      <w:r>
        <w:rPr>
          <w:rFonts w:ascii="Arial" w:hAnsi="Arial" w:eastAsia="宋体" w:cs="Arial"/>
          <w:sz w:val="24"/>
          <w:szCs w:val="24"/>
          <w:lang w:eastAsia="zh-CN"/>
        </w:rPr>
        <w:t>【</w:t>
      </w:r>
      <w:r>
        <w:rPr>
          <w:rFonts w:ascii="Arial" w:hAnsi="Arial" w:eastAsia="宋体" w:cs="Arial"/>
          <w:i/>
          <w:sz w:val="24"/>
          <w:szCs w:val="24"/>
          <w:lang w:eastAsia="zh-CN"/>
        </w:rPr>
        <w:t>阴道毛滴虫</w:t>
      </w:r>
      <w:r>
        <w:rPr>
          <w:rFonts w:ascii="Arial" w:hAnsi="Arial" w:eastAsia="宋体" w:cs="Arial"/>
          <w:sz w:val="24"/>
          <w:szCs w:val="24"/>
          <w:lang w:eastAsia="zh-CN"/>
        </w:rPr>
        <w:t>核酸扩增检测系统】</w:t>
      </w:r>
    </w:p>
    <w:p w14:paraId="60553973">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本指南中指出的特殊控制适用于</w:t>
      </w:r>
      <w:r>
        <w:rPr>
          <w:rFonts w:hint="eastAsia" w:ascii="Arial" w:hAnsi="Arial" w:eastAsia="宋体" w:cs="Arial"/>
          <w:lang w:eastAsia="zh-CN"/>
        </w:rPr>
        <w:t>根据</w:t>
      </w:r>
      <w:r>
        <w:rPr>
          <w:rFonts w:ascii="Arial" w:hAnsi="Arial" w:eastAsia="宋体" w:cs="Arial"/>
          <w:lang w:eastAsia="zh-CN"/>
        </w:rPr>
        <w:t>21 CFR 866.3860分类的所有器械，包括还未确定产品代码的器械。</w:t>
      </w:r>
    </w:p>
    <w:p w14:paraId="7F6C5639">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本特殊控制文件适用于检测人类泌尿生殖道样本内阴道毛滴虫核酸的体外诊断器械（IVD）。本指南不适于利用其他检测原理（即不基于核酸的方法），比如检测宿主对原生动物抗原血清学反应的器械，也不适于</w:t>
      </w:r>
      <w:r>
        <w:rPr>
          <w:rFonts w:hint="eastAsia" w:ascii="Arial" w:hAnsi="Arial" w:eastAsia="宋体" w:cs="Arial"/>
          <w:lang w:eastAsia="zh-CN"/>
        </w:rPr>
        <w:t>旨在筛选</w:t>
      </w:r>
      <w:r>
        <w:rPr>
          <w:rFonts w:ascii="Arial" w:hAnsi="Arial" w:eastAsia="宋体" w:cs="Arial"/>
          <w:lang w:eastAsia="zh-CN"/>
        </w:rPr>
        <w:t>献血者和血液成分及人类细胞、组织捐献者和细胞组织产品的器械。</w:t>
      </w:r>
    </w:p>
    <w:p w14:paraId="4E5FDF9E">
      <w:pPr>
        <w:overflowPunct w:val="0"/>
        <w:snapToGrid w:val="0"/>
        <w:spacing w:after="120" w:afterLines="50" w:line="300" w:lineRule="auto"/>
        <w:jc w:val="both"/>
        <w:rPr>
          <w:rFonts w:ascii="Arial" w:hAnsi="Arial" w:eastAsia="宋体" w:cs="Arial"/>
          <w:sz w:val="24"/>
          <w:szCs w:val="24"/>
          <w:lang w:eastAsia="zh-CN"/>
        </w:rPr>
      </w:pPr>
    </w:p>
    <w:p w14:paraId="3135F905">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r>
        <w:rPr>
          <w:rFonts w:ascii="Arial" w:hAnsi="Arial" w:eastAsia="宋体" w:cs="Arial"/>
          <w:sz w:val="24"/>
          <w:szCs w:val="24"/>
          <w:lang w:eastAsia="zh-CN"/>
        </w:rPr>
        <w:br w:type="page"/>
      </w:r>
      <w:bookmarkStart w:id="11" w:name="_bookmark6"/>
      <w:bookmarkEnd w:id="11"/>
      <w:bookmarkStart w:id="12" w:name="_Toc497125088"/>
      <w:r>
        <w:rPr>
          <w:rFonts w:ascii="Arial" w:hAnsi="Arial" w:eastAsia="宋体" w:cs="Arial"/>
          <w:lang w:eastAsia="zh-CN"/>
        </w:rPr>
        <w:t>健康风险</w:t>
      </w:r>
      <w:bookmarkEnd w:id="12"/>
    </w:p>
    <w:p w14:paraId="44005905">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FDA已经确定四种与该器械使用相关的健康风险。这些风险是假阴性试验结果、假阳性试验结果、未正确执行试验和未正确解释试验结果。下面的表格中总结了</w:t>
      </w:r>
      <w:r>
        <w:rPr>
          <w:rFonts w:hint="eastAsia" w:ascii="Arial" w:hAnsi="Arial" w:eastAsia="宋体" w:cs="Arial"/>
          <w:lang w:eastAsia="zh-CN"/>
        </w:rPr>
        <w:t>缓解</w:t>
      </w:r>
      <w:r>
        <w:rPr>
          <w:rFonts w:ascii="Arial" w:hAnsi="Arial" w:eastAsia="宋体" w:cs="Arial"/>
          <w:lang w:eastAsia="zh-CN"/>
        </w:rPr>
        <w:t>这些已确定风险的措施。</w:t>
      </w:r>
    </w:p>
    <w:p w14:paraId="288F507D">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FDA已经</w:t>
      </w:r>
      <w:r>
        <w:rPr>
          <w:rFonts w:hint="eastAsia" w:ascii="Arial" w:hAnsi="Arial" w:eastAsia="宋体" w:cs="Arial"/>
          <w:lang w:eastAsia="zh-CN"/>
        </w:rPr>
        <w:t>将</w:t>
      </w:r>
      <w:r>
        <w:rPr>
          <w:rFonts w:ascii="Arial" w:hAnsi="Arial" w:eastAsia="宋体" w:cs="Arial"/>
          <w:lang w:eastAsia="zh-CN"/>
        </w:rPr>
        <w:t>假阴性和假阳性试验结果的风险（两种结果均可导致</w:t>
      </w:r>
      <w:r>
        <w:rPr>
          <w:rFonts w:hint="eastAsia" w:ascii="Arial" w:hAnsi="Arial" w:eastAsia="宋体" w:cs="Arial"/>
          <w:lang w:eastAsia="zh-CN"/>
        </w:rPr>
        <w:t>个体</w:t>
      </w:r>
      <w:r>
        <w:rPr>
          <w:rFonts w:ascii="Arial" w:hAnsi="Arial" w:eastAsia="宋体" w:cs="Arial"/>
          <w:lang w:eastAsia="zh-CN"/>
        </w:rPr>
        <w:t>和/或公共卫生不良后果）确定为需要特殊控制与本器械相关的安全性和有效性问题。</w:t>
      </w:r>
      <w:r>
        <w:rPr>
          <w:rFonts w:hint="eastAsia" w:ascii="Arial" w:hAnsi="Arial" w:eastAsia="宋体" w:cs="Arial"/>
          <w:lang w:eastAsia="zh-CN"/>
        </w:rPr>
        <w:t>个体</w:t>
      </w:r>
      <w:r>
        <w:rPr>
          <w:rFonts w:ascii="Arial" w:hAnsi="Arial" w:eastAsia="宋体" w:cs="Arial"/>
          <w:lang w:eastAsia="zh-CN"/>
        </w:rPr>
        <w:t>的假阳性试验结果可能导致不必要或不恰当的抗生素使用，不必要的患者苦恼和检验室对疾病真实原因的鉴定不够彻底。假阴性结果会延误治疗，因而可能导致疾病进展并因此增加感染传播和获得其他并发症的风险，例如</w:t>
      </w:r>
      <w:r>
        <w:rPr>
          <w:rFonts w:hint="eastAsia" w:ascii="Arial" w:hAnsi="Arial" w:eastAsia="宋体" w:cs="Arial"/>
          <w:lang w:eastAsia="zh-CN"/>
        </w:rPr>
        <w:t>其</w:t>
      </w:r>
      <w:r>
        <w:rPr>
          <w:rFonts w:ascii="Arial" w:hAnsi="Arial" w:eastAsia="宋体" w:cs="Arial"/>
          <w:lang w:eastAsia="zh-CN"/>
        </w:rPr>
        <w:t>可能导致怀孕女性早产或可能增加获得或传播其他性传播感染的风险，例如</w:t>
      </w:r>
      <w:r>
        <w:rPr>
          <w:rFonts w:ascii="Arial" w:hAnsi="Arial" w:eastAsia="宋体" w:cs="Arial"/>
          <w:color w:val="211E1F"/>
          <w:lang w:eastAsia="zh-CN"/>
        </w:rPr>
        <w:t xml:space="preserve">HIV </w:t>
      </w:r>
      <w:r>
        <w:rPr>
          <w:rStyle w:val="14"/>
          <w:rFonts w:ascii="Arial" w:hAnsi="Arial" w:eastAsia="宋体" w:cs="Arial"/>
          <w:color w:val="211E1F"/>
          <w:lang w:eastAsia="zh-CN"/>
        </w:rPr>
        <w:footnoteReference w:id="2"/>
      </w:r>
      <w:r>
        <w:rPr>
          <w:rFonts w:ascii="Arial" w:hAnsi="Arial" w:eastAsia="宋体" w:cs="Arial"/>
          <w:color w:val="211E1F"/>
          <w:lang w:eastAsia="zh-CN"/>
        </w:rPr>
        <w:t>【参考文件1】。</w:t>
      </w:r>
      <w:r>
        <w:rPr>
          <w:rFonts w:ascii="Arial" w:hAnsi="Arial" w:eastAsia="宋体" w:cs="Arial"/>
          <w:i/>
          <w:color w:val="211E1F"/>
          <w:lang w:eastAsia="zh-CN"/>
        </w:rPr>
        <w:t>阴道毛滴虫</w:t>
      </w:r>
      <w:r>
        <w:rPr>
          <w:rFonts w:ascii="Arial" w:hAnsi="Arial" w:eastAsia="宋体" w:cs="Arial"/>
          <w:color w:val="211E1F"/>
          <w:lang w:eastAsia="zh-CN"/>
        </w:rPr>
        <w:t>核酸检测试剂盒</w:t>
      </w:r>
      <w:bookmarkStart w:id="13" w:name="OLE_LINK236"/>
      <w:bookmarkStart w:id="14" w:name="OLE_LINK237"/>
      <w:r>
        <w:rPr>
          <w:rFonts w:ascii="Arial" w:hAnsi="Arial" w:eastAsia="宋体" w:cs="Arial"/>
          <w:color w:val="211E1F"/>
          <w:lang w:eastAsia="zh-CN"/>
        </w:rPr>
        <w:t>表现不及预期</w:t>
      </w:r>
      <w:bookmarkEnd w:id="13"/>
      <w:bookmarkEnd w:id="14"/>
      <w:r>
        <w:rPr>
          <w:rFonts w:ascii="Arial" w:hAnsi="Arial" w:eastAsia="宋体" w:cs="Arial"/>
          <w:color w:val="211E1F"/>
          <w:lang w:eastAsia="zh-CN"/>
        </w:rPr>
        <w:t>或结果解释错误可能导致误诊并对患者管理有重大影响。</w:t>
      </w:r>
    </w:p>
    <w:p w14:paraId="7519D0E5">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依照本指南，预计上市该类器械的制造商必须在提交上市前通知前进行风险分析，以确定针对其器械的任何其他风险。上市前通知必须描述所用的风险分析方法。如果贵公司选择使用一种替代方法</w:t>
      </w:r>
      <w:r>
        <w:rPr>
          <w:rFonts w:hint="eastAsia" w:ascii="Arial" w:hAnsi="Arial" w:eastAsia="宋体" w:cs="Arial"/>
          <w:lang w:eastAsia="zh-CN"/>
        </w:rPr>
        <w:t>缓解</w:t>
      </w:r>
      <w:r>
        <w:rPr>
          <w:rFonts w:ascii="Arial" w:hAnsi="Arial" w:eastAsia="宋体" w:cs="Arial"/>
          <w:lang w:eastAsia="zh-CN"/>
        </w:rPr>
        <w:t>本指南中指出的某个特定风险，或如果贵公司或其他人确定了使用该类器械的其他可能风险，必须提供</w:t>
      </w:r>
      <w:r>
        <w:rPr>
          <w:rFonts w:hint="eastAsia" w:ascii="Arial" w:hAnsi="Arial" w:eastAsia="宋体" w:cs="Arial"/>
          <w:lang w:eastAsia="zh-CN"/>
        </w:rPr>
        <w:t>缓解</w:t>
      </w:r>
      <w:r>
        <w:rPr>
          <w:rFonts w:ascii="Arial" w:hAnsi="Arial" w:eastAsia="宋体" w:cs="Arial"/>
          <w:lang w:eastAsia="zh-CN"/>
        </w:rPr>
        <w:t>这些风险所用方法的足够细节和采用该方法的理由。</w:t>
      </w:r>
    </w:p>
    <w:p w14:paraId="12520EC8">
      <w:pPr>
        <w:pStyle w:val="23"/>
        <w:overflowPunct w:val="0"/>
        <w:snapToGrid w:val="0"/>
        <w:spacing w:after="240" w:afterLines="100" w:line="300" w:lineRule="auto"/>
        <w:ind w:left="0"/>
        <w:jc w:val="center"/>
        <w:rPr>
          <w:rFonts w:ascii="Arial" w:hAnsi="Arial" w:eastAsia="宋体" w:cs="Arial"/>
          <w:b w:val="0"/>
          <w:bCs w:val="0"/>
          <w:lang w:eastAsia="zh-CN"/>
        </w:rPr>
      </w:pPr>
      <w:r>
        <w:rPr>
          <w:rFonts w:ascii="Arial" w:hAnsi="Arial" w:eastAsia="宋体" w:cs="Arial"/>
          <w:lang w:eastAsia="zh-CN"/>
        </w:rPr>
        <w:t>表 1 – 确定的风险和缓解措施</w:t>
      </w:r>
    </w:p>
    <w:tbl>
      <w:tblPr>
        <w:tblStyle w:val="15"/>
        <w:tblW w:w="5000" w:type="pct"/>
        <w:jc w:val="center"/>
        <w:tblLayout w:type="autofit"/>
        <w:tblCellMar>
          <w:top w:w="0" w:type="dxa"/>
          <w:left w:w="0" w:type="dxa"/>
          <w:bottom w:w="0" w:type="dxa"/>
          <w:right w:w="0" w:type="dxa"/>
        </w:tblCellMar>
      </w:tblPr>
      <w:tblGrid>
        <w:gridCol w:w="5296"/>
        <w:gridCol w:w="3354"/>
      </w:tblGrid>
      <w:tr w14:paraId="070DCC8C">
        <w:trPr>
          <w:jc w:val="center"/>
        </w:trPr>
        <w:tc>
          <w:tcPr>
            <w:tcW w:w="3061" w:type="pct"/>
            <w:tcBorders>
              <w:top w:val="single" w:color="000000" w:sz="4" w:space="0"/>
              <w:left w:val="single" w:color="000000" w:sz="4" w:space="0"/>
              <w:bottom w:val="single" w:color="000000" w:sz="4" w:space="0"/>
              <w:right w:val="single" w:color="000000" w:sz="4" w:space="0"/>
            </w:tcBorders>
          </w:tcPr>
          <w:p w14:paraId="7EF34177">
            <w:pPr>
              <w:pStyle w:val="25"/>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ascii="Arial" w:hAnsi="Arial" w:eastAsia="宋体" w:cs="Arial"/>
                <w:b/>
                <w:sz w:val="21"/>
                <w:szCs w:val="21"/>
                <w:lang w:eastAsia="zh-CN"/>
              </w:rPr>
              <w:t>确定的风险</w:t>
            </w:r>
          </w:p>
        </w:tc>
        <w:tc>
          <w:tcPr>
            <w:tcW w:w="1939" w:type="pct"/>
            <w:tcBorders>
              <w:top w:val="single" w:color="000000" w:sz="4" w:space="0"/>
              <w:left w:val="single" w:color="000000" w:sz="4" w:space="0"/>
              <w:bottom w:val="single" w:color="000000" w:sz="4" w:space="0"/>
              <w:right w:val="single" w:color="000000" w:sz="4" w:space="0"/>
            </w:tcBorders>
          </w:tcPr>
          <w:p w14:paraId="1937034F">
            <w:pPr>
              <w:pStyle w:val="25"/>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ascii="Arial" w:hAnsi="Arial" w:eastAsia="宋体" w:cs="Arial"/>
                <w:b/>
                <w:sz w:val="21"/>
                <w:szCs w:val="21"/>
                <w:lang w:eastAsia="zh-CN"/>
              </w:rPr>
              <w:t>缓解措施</w:t>
            </w:r>
          </w:p>
        </w:tc>
      </w:tr>
      <w:tr w14:paraId="49A971C5">
        <w:tblPrEx>
          <w:tblCellMar>
            <w:top w:w="0" w:type="dxa"/>
            <w:left w:w="0" w:type="dxa"/>
            <w:bottom w:w="0" w:type="dxa"/>
            <w:right w:w="0" w:type="dxa"/>
          </w:tblCellMar>
        </w:tblPrEx>
        <w:trPr>
          <w:jc w:val="center"/>
        </w:trPr>
        <w:tc>
          <w:tcPr>
            <w:tcW w:w="3061" w:type="pct"/>
            <w:tcBorders>
              <w:top w:val="single" w:color="000000" w:sz="4" w:space="0"/>
              <w:left w:val="single" w:color="000000" w:sz="4" w:space="0"/>
              <w:bottom w:val="single" w:color="000000" w:sz="4" w:space="0"/>
              <w:right w:val="single" w:color="000000" w:sz="4" w:space="0"/>
            </w:tcBorders>
          </w:tcPr>
          <w:p w14:paraId="5B382574">
            <w:pPr>
              <w:pStyle w:val="25"/>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假阳性试验结果可能导致不恰当的抗生素治疗。</w:t>
            </w:r>
          </w:p>
        </w:tc>
        <w:tc>
          <w:tcPr>
            <w:tcW w:w="1939" w:type="pct"/>
            <w:tcBorders>
              <w:top w:val="single" w:color="000000" w:sz="4" w:space="0"/>
              <w:left w:val="single" w:color="000000" w:sz="4" w:space="0"/>
              <w:bottom w:val="single" w:color="000000" w:sz="4" w:space="0"/>
              <w:right w:val="single" w:color="000000" w:sz="4" w:space="0"/>
            </w:tcBorders>
          </w:tcPr>
          <w:p w14:paraId="2945939B">
            <w:pPr>
              <w:pStyle w:val="24"/>
              <w:numPr>
                <w:ilvl w:val="0"/>
                <w:numId w:val="3"/>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第</w:t>
            </w:r>
            <w:r>
              <w:rPr>
                <w:rFonts w:ascii="Arial" w:hAnsi="Arial" w:eastAsia="宋体" w:cs="Arial"/>
                <w:sz w:val="21"/>
                <w:szCs w:val="21"/>
                <w:lang w:eastAsia="zh-CN"/>
              </w:rPr>
              <w:t>VI</w:t>
            </w:r>
            <w:r>
              <w:rPr>
                <w:rFonts w:hint="eastAsia" w:ascii="Arial" w:hAnsi="Arial" w:eastAsia="宋体" w:cs="Arial"/>
                <w:sz w:val="21"/>
                <w:szCs w:val="21"/>
                <w:lang w:eastAsia="zh-CN"/>
              </w:rPr>
              <w:t>章</w:t>
            </w:r>
            <w:r>
              <w:rPr>
                <w:rFonts w:ascii="Arial" w:hAnsi="Arial" w:eastAsia="宋体" w:cs="Arial"/>
                <w:sz w:val="21"/>
                <w:szCs w:val="21"/>
                <w:lang w:eastAsia="zh-CN"/>
              </w:rPr>
              <w:t>节（器械说明的具体要求）</w:t>
            </w:r>
          </w:p>
          <w:p w14:paraId="375B0B29">
            <w:pPr>
              <w:pStyle w:val="24"/>
              <w:numPr>
                <w:ilvl w:val="0"/>
                <w:numId w:val="3"/>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第</w:t>
            </w:r>
            <w:r>
              <w:rPr>
                <w:rFonts w:ascii="Arial" w:hAnsi="Arial" w:eastAsia="宋体" w:cs="Arial"/>
                <w:sz w:val="21"/>
                <w:szCs w:val="21"/>
                <w:lang w:eastAsia="zh-CN"/>
              </w:rPr>
              <w:t>VII</w:t>
            </w:r>
            <w:r>
              <w:rPr>
                <w:rFonts w:hint="eastAsia" w:ascii="Arial" w:hAnsi="Arial" w:eastAsia="宋体" w:cs="Arial"/>
                <w:sz w:val="21"/>
                <w:szCs w:val="21"/>
                <w:lang w:eastAsia="zh-CN"/>
              </w:rPr>
              <w:t>章</w:t>
            </w:r>
            <w:r>
              <w:rPr>
                <w:rFonts w:ascii="Arial" w:hAnsi="Arial" w:eastAsia="宋体" w:cs="Arial"/>
                <w:sz w:val="21"/>
                <w:szCs w:val="21"/>
                <w:lang w:eastAsia="zh-CN"/>
              </w:rPr>
              <w:t>节（性能特点</w:t>
            </w:r>
            <w:r>
              <w:rPr>
                <w:rFonts w:hint="eastAsia" w:ascii="Arial" w:hAnsi="Arial" w:eastAsia="宋体" w:cs="Arial"/>
                <w:sz w:val="21"/>
                <w:szCs w:val="21"/>
                <w:lang w:eastAsia="zh-CN"/>
              </w:rPr>
              <w:t>）</w:t>
            </w:r>
          </w:p>
          <w:p w14:paraId="77E131EC">
            <w:pPr>
              <w:pStyle w:val="24"/>
              <w:numPr>
                <w:ilvl w:val="0"/>
                <w:numId w:val="3"/>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第</w:t>
            </w:r>
            <w:r>
              <w:rPr>
                <w:rFonts w:ascii="Arial" w:hAnsi="Arial" w:eastAsia="宋体" w:cs="Arial"/>
                <w:sz w:val="21"/>
                <w:szCs w:val="21"/>
                <w:lang w:eastAsia="zh-CN"/>
              </w:rPr>
              <w:t>VIII</w:t>
            </w:r>
            <w:r>
              <w:rPr>
                <w:rFonts w:hint="eastAsia" w:ascii="Arial" w:hAnsi="Arial" w:eastAsia="宋体" w:cs="Arial"/>
                <w:sz w:val="21"/>
                <w:szCs w:val="21"/>
                <w:lang w:eastAsia="zh-CN"/>
              </w:rPr>
              <w:t>章</w:t>
            </w:r>
            <w:r>
              <w:rPr>
                <w:rFonts w:ascii="Arial" w:hAnsi="Arial" w:eastAsia="宋体" w:cs="Arial"/>
                <w:sz w:val="21"/>
                <w:szCs w:val="21"/>
                <w:lang w:eastAsia="zh-CN"/>
              </w:rPr>
              <w:t>节（标签）</w:t>
            </w:r>
          </w:p>
        </w:tc>
      </w:tr>
      <w:tr w14:paraId="548462E5">
        <w:tblPrEx>
          <w:tblCellMar>
            <w:top w:w="0" w:type="dxa"/>
            <w:left w:w="0" w:type="dxa"/>
            <w:bottom w:w="0" w:type="dxa"/>
            <w:right w:w="0" w:type="dxa"/>
          </w:tblCellMar>
        </w:tblPrEx>
        <w:trPr>
          <w:jc w:val="center"/>
        </w:trPr>
        <w:tc>
          <w:tcPr>
            <w:tcW w:w="3061" w:type="pct"/>
            <w:tcBorders>
              <w:top w:val="single" w:color="000000" w:sz="4" w:space="0"/>
              <w:left w:val="single" w:color="000000" w:sz="4" w:space="0"/>
              <w:bottom w:val="single" w:color="000000" w:sz="4" w:space="0"/>
              <w:right w:val="single" w:color="000000" w:sz="4" w:space="0"/>
            </w:tcBorders>
          </w:tcPr>
          <w:p w14:paraId="402081B2">
            <w:pPr>
              <w:pStyle w:val="25"/>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个体</w:t>
            </w:r>
            <w:r>
              <w:rPr>
                <w:rFonts w:ascii="Arial" w:hAnsi="Arial" w:eastAsia="宋体" w:cs="Arial"/>
                <w:sz w:val="21"/>
                <w:szCs w:val="21"/>
                <w:lang w:eastAsia="zh-CN"/>
              </w:rPr>
              <w:t>的假阴性试验结果可能导致延误治疗。</w:t>
            </w:r>
          </w:p>
        </w:tc>
        <w:tc>
          <w:tcPr>
            <w:tcW w:w="1939" w:type="pct"/>
            <w:tcBorders>
              <w:top w:val="single" w:color="000000" w:sz="4" w:space="0"/>
              <w:left w:val="single" w:color="000000" w:sz="4" w:space="0"/>
              <w:bottom w:val="single" w:color="000000" w:sz="4" w:space="0"/>
              <w:right w:val="single" w:color="000000" w:sz="4" w:space="0"/>
            </w:tcBorders>
          </w:tcPr>
          <w:p w14:paraId="59C0A66A">
            <w:pPr>
              <w:pStyle w:val="24"/>
              <w:numPr>
                <w:ilvl w:val="0"/>
                <w:numId w:val="3"/>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第</w:t>
            </w:r>
            <w:r>
              <w:rPr>
                <w:rFonts w:ascii="Arial" w:hAnsi="Arial" w:eastAsia="宋体" w:cs="Arial"/>
                <w:sz w:val="21"/>
                <w:szCs w:val="21"/>
                <w:lang w:eastAsia="zh-CN"/>
              </w:rPr>
              <w:t>VI</w:t>
            </w:r>
            <w:r>
              <w:rPr>
                <w:rFonts w:hint="eastAsia" w:ascii="Arial" w:hAnsi="Arial" w:eastAsia="宋体" w:cs="Arial"/>
                <w:sz w:val="21"/>
                <w:szCs w:val="21"/>
                <w:lang w:eastAsia="zh-CN"/>
              </w:rPr>
              <w:t>章</w:t>
            </w:r>
            <w:r>
              <w:rPr>
                <w:rFonts w:ascii="Arial" w:hAnsi="Arial" w:eastAsia="宋体" w:cs="Arial"/>
                <w:sz w:val="21"/>
                <w:szCs w:val="21"/>
                <w:lang w:eastAsia="zh-CN"/>
              </w:rPr>
              <w:t>节（器械说明的具体要求）</w:t>
            </w:r>
          </w:p>
          <w:p w14:paraId="4942BFBE">
            <w:pPr>
              <w:pStyle w:val="24"/>
              <w:numPr>
                <w:ilvl w:val="0"/>
                <w:numId w:val="3"/>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第</w:t>
            </w:r>
            <w:r>
              <w:rPr>
                <w:rFonts w:ascii="Arial" w:hAnsi="Arial" w:eastAsia="宋体" w:cs="Arial"/>
                <w:sz w:val="21"/>
                <w:szCs w:val="21"/>
                <w:lang w:eastAsia="zh-CN"/>
              </w:rPr>
              <w:t>VII</w:t>
            </w:r>
            <w:r>
              <w:rPr>
                <w:rFonts w:hint="eastAsia" w:ascii="Arial" w:hAnsi="Arial" w:eastAsia="宋体" w:cs="Arial"/>
                <w:sz w:val="21"/>
                <w:szCs w:val="21"/>
                <w:lang w:eastAsia="zh-CN"/>
              </w:rPr>
              <w:t>章</w:t>
            </w:r>
            <w:r>
              <w:rPr>
                <w:rFonts w:ascii="Arial" w:hAnsi="Arial" w:eastAsia="宋体" w:cs="Arial"/>
                <w:sz w:val="21"/>
                <w:szCs w:val="21"/>
                <w:lang w:eastAsia="zh-CN"/>
              </w:rPr>
              <w:t>节（性能特点</w:t>
            </w:r>
            <w:r>
              <w:rPr>
                <w:rFonts w:hint="eastAsia" w:ascii="Arial" w:hAnsi="Arial" w:eastAsia="宋体" w:cs="Arial"/>
                <w:sz w:val="21"/>
                <w:szCs w:val="21"/>
                <w:lang w:eastAsia="zh-CN"/>
              </w:rPr>
              <w:t>）</w:t>
            </w:r>
          </w:p>
          <w:p w14:paraId="3983598C">
            <w:pPr>
              <w:pStyle w:val="24"/>
              <w:numPr>
                <w:ilvl w:val="0"/>
                <w:numId w:val="4"/>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第</w:t>
            </w:r>
            <w:r>
              <w:rPr>
                <w:rFonts w:ascii="Arial" w:hAnsi="Arial" w:eastAsia="宋体" w:cs="Arial"/>
                <w:sz w:val="21"/>
                <w:szCs w:val="21"/>
                <w:lang w:eastAsia="zh-CN"/>
              </w:rPr>
              <w:t>VIII</w:t>
            </w:r>
            <w:r>
              <w:rPr>
                <w:rFonts w:hint="eastAsia" w:ascii="Arial" w:hAnsi="Arial" w:eastAsia="宋体" w:cs="Arial"/>
                <w:sz w:val="21"/>
                <w:szCs w:val="21"/>
                <w:lang w:eastAsia="zh-CN"/>
              </w:rPr>
              <w:t>章</w:t>
            </w:r>
            <w:r>
              <w:rPr>
                <w:rFonts w:ascii="Arial" w:hAnsi="Arial" w:eastAsia="宋体" w:cs="Arial"/>
                <w:sz w:val="21"/>
                <w:szCs w:val="21"/>
                <w:lang w:eastAsia="zh-CN"/>
              </w:rPr>
              <w:t>节（标签）</w:t>
            </w:r>
          </w:p>
        </w:tc>
      </w:tr>
    </w:tbl>
    <w:p w14:paraId="00B5CC3F">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br w:type="page"/>
      </w:r>
    </w:p>
    <w:tbl>
      <w:tblPr>
        <w:tblStyle w:val="15"/>
        <w:tblW w:w="5000" w:type="pct"/>
        <w:tblInd w:w="0" w:type="dxa"/>
        <w:tblLayout w:type="autofit"/>
        <w:tblCellMar>
          <w:top w:w="0" w:type="dxa"/>
          <w:left w:w="0" w:type="dxa"/>
          <w:bottom w:w="0" w:type="dxa"/>
          <w:right w:w="0" w:type="dxa"/>
        </w:tblCellMar>
      </w:tblPr>
      <w:tblGrid>
        <w:gridCol w:w="5296"/>
        <w:gridCol w:w="3354"/>
      </w:tblGrid>
      <w:tr w14:paraId="50669CD0">
        <w:tblPrEx>
          <w:tblCellMar>
            <w:top w:w="0" w:type="dxa"/>
            <w:left w:w="0" w:type="dxa"/>
            <w:bottom w:w="0" w:type="dxa"/>
            <w:right w:w="0" w:type="dxa"/>
          </w:tblCellMar>
        </w:tblPrEx>
        <w:tc>
          <w:tcPr>
            <w:tcW w:w="3061" w:type="pct"/>
            <w:tcBorders>
              <w:top w:val="single" w:color="000000" w:sz="4" w:space="0"/>
              <w:left w:val="single" w:color="000000" w:sz="4" w:space="0"/>
              <w:bottom w:val="single" w:color="000000" w:sz="4" w:space="0"/>
              <w:right w:val="single" w:color="000000" w:sz="4" w:space="0"/>
            </w:tcBorders>
          </w:tcPr>
          <w:p w14:paraId="3EF44AB8">
            <w:pPr>
              <w:pStyle w:val="25"/>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未正确执行试验。</w:t>
            </w:r>
          </w:p>
        </w:tc>
        <w:tc>
          <w:tcPr>
            <w:tcW w:w="1939" w:type="pct"/>
            <w:tcBorders>
              <w:top w:val="single" w:color="000000" w:sz="4" w:space="0"/>
              <w:left w:val="single" w:color="000000" w:sz="4" w:space="0"/>
              <w:bottom w:val="single" w:color="000000" w:sz="4" w:space="0"/>
              <w:right w:val="single" w:color="000000" w:sz="4" w:space="0"/>
            </w:tcBorders>
          </w:tcPr>
          <w:p w14:paraId="346C4686">
            <w:pPr>
              <w:pStyle w:val="24"/>
              <w:numPr>
                <w:ilvl w:val="0"/>
                <w:numId w:val="4"/>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rPr>
            </w:pPr>
            <w:r>
              <w:rPr>
                <w:rFonts w:ascii="Arial" w:hAnsi="Arial" w:eastAsia="宋体" w:cs="Arial"/>
                <w:sz w:val="21"/>
                <w:szCs w:val="21"/>
              </w:rPr>
              <w:t>VIII节 （标签）</w:t>
            </w:r>
          </w:p>
        </w:tc>
      </w:tr>
      <w:tr w14:paraId="0118EDE7">
        <w:tblPrEx>
          <w:tblCellMar>
            <w:top w:w="0" w:type="dxa"/>
            <w:left w:w="0" w:type="dxa"/>
            <w:bottom w:w="0" w:type="dxa"/>
            <w:right w:w="0" w:type="dxa"/>
          </w:tblCellMar>
        </w:tblPrEx>
        <w:tc>
          <w:tcPr>
            <w:tcW w:w="3061" w:type="pct"/>
            <w:tcBorders>
              <w:top w:val="single" w:color="000000" w:sz="4" w:space="0"/>
              <w:left w:val="single" w:color="000000" w:sz="4" w:space="0"/>
              <w:bottom w:val="single" w:color="000000" w:sz="4" w:space="0"/>
              <w:right w:val="single" w:color="000000" w:sz="4" w:space="0"/>
            </w:tcBorders>
          </w:tcPr>
          <w:p w14:paraId="6B0E3296">
            <w:pPr>
              <w:pStyle w:val="25"/>
              <w:overflowPunct w:val="0"/>
              <w:snapToGrid w:val="0"/>
              <w:spacing w:before="48" w:beforeLines="20" w:after="48" w:afterLines="2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未正确解释试验结果。</w:t>
            </w:r>
          </w:p>
        </w:tc>
        <w:tc>
          <w:tcPr>
            <w:tcW w:w="1939" w:type="pct"/>
            <w:tcBorders>
              <w:top w:val="single" w:color="000000" w:sz="4" w:space="0"/>
              <w:left w:val="single" w:color="000000" w:sz="4" w:space="0"/>
              <w:bottom w:val="single" w:color="000000" w:sz="4" w:space="0"/>
              <w:right w:val="single" w:color="000000" w:sz="4" w:space="0"/>
            </w:tcBorders>
          </w:tcPr>
          <w:p w14:paraId="55EC5229">
            <w:pPr>
              <w:pStyle w:val="24"/>
              <w:numPr>
                <w:ilvl w:val="0"/>
                <w:numId w:val="4"/>
              </w:numPr>
              <w:tabs>
                <w:tab w:val="left" w:pos="463"/>
              </w:tabs>
              <w:overflowPunct w:val="0"/>
              <w:snapToGrid w:val="0"/>
              <w:spacing w:before="48" w:beforeLines="20" w:after="48" w:afterLines="20" w:line="276" w:lineRule="auto"/>
              <w:ind w:left="44" w:leftChars="20" w:right="44" w:rightChars="20"/>
              <w:jc w:val="both"/>
              <w:rPr>
                <w:rFonts w:ascii="Arial" w:hAnsi="Arial" w:eastAsia="宋体" w:cs="Arial"/>
                <w:sz w:val="21"/>
                <w:szCs w:val="21"/>
              </w:rPr>
            </w:pPr>
            <w:r>
              <w:rPr>
                <w:rFonts w:ascii="Arial" w:hAnsi="Arial" w:eastAsia="宋体" w:cs="Arial"/>
                <w:sz w:val="21"/>
                <w:szCs w:val="21"/>
              </w:rPr>
              <w:t>VIII节 （标签）</w:t>
            </w:r>
          </w:p>
        </w:tc>
      </w:tr>
    </w:tbl>
    <w:p w14:paraId="4D7D8B74">
      <w:pPr>
        <w:overflowPunct w:val="0"/>
        <w:snapToGrid w:val="0"/>
        <w:spacing w:after="120" w:afterLines="50" w:line="300" w:lineRule="auto"/>
        <w:jc w:val="both"/>
        <w:rPr>
          <w:rFonts w:ascii="Arial" w:hAnsi="Arial" w:eastAsia="宋体" w:cs="Arial"/>
          <w:sz w:val="24"/>
          <w:szCs w:val="24"/>
        </w:rPr>
      </w:pPr>
    </w:p>
    <w:p w14:paraId="4E079F00">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bookmarkStart w:id="15" w:name="_bookmark8"/>
      <w:bookmarkEnd w:id="15"/>
      <w:bookmarkStart w:id="16" w:name="_Toc497125089"/>
      <w:r>
        <w:rPr>
          <w:rFonts w:ascii="Arial" w:hAnsi="Arial" w:eastAsia="宋体" w:cs="Arial"/>
          <w:lang w:eastAsia="zh-CN"/>
        </w:rPr>
        <w:t>器械说明的具体要求</w:t>
      </w:r>
      <w:bookmarkEnd w:id="16"/>
    </w:p>
    <w:p w14:paraId="011F5C26">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贵公司的510（k）必须提供（下面的讨论更加详细）关于器械预期用途</w:t>
      </w:r>
      <w:r>
        <w:rPr>
          <w:rFonts w:hint="eastAsia" w:ascii="Arial" w:hAnsi="Arial" w:eastAsia="宋体" w:cs="Arial"/>
          <w:lang w:eastAsia="zh-CN"/>
        </w:rPr>
        <w:t>、</w:t>
      </w:r>
      <w:r>
        <w:rPr>
          <w:rFonts w:ascii="Arial" w:hAnsi="Arial" w:eastAsia="宋体" w:cs="Arial"/>
          <w:lang w:eastAsia="zh-CN"/>
        </w:rPr>
        <w:t>测试方法学</w:t>
      </w:r>
      <w:r>
        <w:rPr>
          <w:rFonts w:hint="eastAsia" w:ascii="Arial" w:hAnsi="Arial" w:eastAsia="宋体" w:cs="Arial"/>
          <w:lang w:eastAsia="zh-CN"/>
        </w:rPr>
        <w:t>、</w:t>
      </w:r>
      <w:r>
        <w:rPr>
          <w:rFonts w:ascii="Arial" w:hAnsi="Arial" w:eastAsia="宋体" w:cs="Arial"/>
          <w:lang w:eastAsia="zh-CN"/>
        </w:rPr>
        <w:t>工具</w:t>
      </w:r>
      <w:r>
        <w:rPr>
          <w:rFonts w:hint="eastAsia" w:ascii="Arial" w:hAnsi="Arial" w:eastAsia="宋体" w:cs="Arial"/>
          <w:lang w:eastAsia="zh-CN"/>
        </w:rPr>
        <w:t>、</w:t>
      </w:r>
      <w:r>
        <w:rPr>
          <w:rFonts w:ascii="Arial" w:hAnsi="Arial" w:eastAsia="宋体" w:cs="Arial"/>
          <w:lang w:eastAsia="zh-CN"/>
        </w:rPr>
        <w:t>辅助试剂</w:t>
      </w:r>
      <w:r>
        <w:rPr>
          <w:rFonts w:hint="eastAsia" w:ascii="Arial" w:hAnsi="Arial" w:eastAsia="宋体" w:cs="Arial"/>
          <w:lang w:eastAsia="zh-CN"/>
        </w:rPr>
        <w:t>、</w:t>
      </w:r>
      <w:r>
        <w:rPr>
          <w:rFonts w:ascii="Arial" w:hAnsi="Arial" w:eastAsia="宋体" w:cs="Arial"/>
          <w:lang w:eastAsia="zh-CN"/>
        </w:rPr>
        <w:t>样本收集和处理</w:t>
      </w:r>
      <w:r>
        <w:rPr>
          <w:rFonts w:hint="eastAsia" w:ascii="Arial" w:hAnsi="Arial" w:eastAsia="宋体" w:cs="Arial"/>
          <w:lang w:eastAsia="zh-CN"/>
        </w:rPr>
        <w:t>、</w:t>
      </w:r>
      <w:r>
        <w:rPr>
          <w:rFonts w:ascii="Arial" w:hAnsi="Arial" w:eastAsia="宋体" w:cs="Arial"/>
          <w:lang w:eastAsia="zh-CN"/>
        </w:rPr>
        <w:t>试验结果解释与报告的某些详细信息。</w:t>
      </w:r>
    </w:p>
    <w:p w14:paraId="66287590">
      <w:pPr>
        <w:pStyle w:val="21"/>
        <w:tabs>
          <w:tab w:val="left" w:pos="1548"/>
        </w:tabs>
        <w:overflowPunct w:val="0"/>
        <w:snapToGrid w:val="0"/>
        <w:spacing w:after="240" w:afterLines="100" w:line="300" w:lineRule="auto"/>
        <w:ind w:left="0" w:firstLine="652" w:firstLineChars="232"/>
        <w:jc w:val="both"/>
        <w:rPr>
          <w:rFonts w:ascii="Arial" w:hAnsi="Arial" w:eastAsia="宋体" w:cs="Arial"/>
          <w:b w:val="0"/>
          <w:bCs w:val="0"/>
          <w:sz w:val="28"/>
          <w:szCs w:val="28"/>
          <w:lang w:eastAsia="zh-CN"/>
        </w:rPr>
      </w:pPr>
      <w:bookmarkStart w:id="17" w:name="_Toc497125090"/>
      <w:r>
        <w:rPr>
          <w:rFonts w:ascii="Arial" w:hAnsi="Arial" w:eastAsia="宋体" w:cs="Arial"/>
          <w:sz w:val="28"/>
          <w:szCs w:val="28"/>
          <w:lang w:eastAsia="zh-CN"/>
        </w:rPr>
        <w:t>VI（A）.</w:t>
      </w:r>
      <w:r>
        <w:rPr>
          <w:rFonts w:ascii="Arial" w:hAnsi="Arial" w:eastAsia="宋体" w:cs="Arial"/>
          <w:sz w:val="28"/>
          <w:szCs w:val="28"/>
          <w:lang w:eastAsia="zh-CN"/>
        </w:rPr>
        <w:tab/>
      </w:r>
      <w:bookmarkStart w:id="18" w:name="_bookmark9"/>
      <w:bookmarkEnd w:id="18"/>
      <w:r>
        <w:rPr>
          <w:rFonts w:ascii="Arial" w:hAnsi="Arial" w:eastAsia="宋体" w:cs="Arial"/>
          <w:sz w:val="28"/>
          <w:szCs w:val="28"/>
          <w:lang w:eastAsia="zh-CN"/>
        </w:rPr>
        <w:t>预期用途</w:t>
      </w:r>
      <w:bookmarkEnd w:id="17"/>
    </w:p>
    <w:p w14:paraId="117E57C5">
      <w:pPr>
        <w:pStyle w:val="3"/>
        <w:overflowPunct w:val="0"/>
        <w:snapToGrid w:val="0"/>
        <w:spacing w:after="240" w:afterLines="100" w:line="300" w:lineRule="auto"/>
        <w:ind w:left="0"/>
        <w:jc w:val="both"/>
        <w:rPr>
          <w:rFonts w:ascii="Arial" w:hAnsi="Arial" w:eastAsia="宋体" w:cs="Arial"/>
          <w:lang w:eastAsia="zh-CN"/>
        </w:rPr>
      </w:pPr>
      <w:r>
        <w:rPr>
          <w:rFonts w:hint="eastAsia" w:ascii="Arial" w:hAnsi="Arial" w:eastAsia="宋体" w:cs="Arial"/>
          <w:lang w:eastAsia="zh-CN"/>
        </w:rPr>
        <w:t>贵公司的</w:t>
      </w:r>
      <w:r>
        <w:rPr>
          <w:rFonts w:ascii="Arial" w:hAnsi="Arial" w:eastAsia="宋体" w:cs="Arial"/>
          <w:lang w:eastAsia="zh-CN"/>
        </w:rPr>
        <w:t>510（k）中必须包含描述产品预期用途的标签。预期用途声明必须清晰说明器械用于辅助诊断毛滴虫病。必须指出生物体名称</w:t>
      </w:r>
      <w:r>
        <w:rPr>
          <w:rFonts w:hint="eastAsia" w:ascii="Arial" w:hAnsi="Arial" w:eastAsia="宋体" w:cs="Arial"/>
          <w:lang w:eastAsia="zh-CN"/>
        </w:rPr>
        <w:t>、</w:t>
      </w:r>
      <w:r>
        <w:rPr>
          <w:rFonts w:ascii="Arial" w:hAnsi="Arial" w:eastAsia="宋体" w:cs="Arial"/>
          <w:lang w:eastAsia="zh-CN"/>
        </w:rPr>
        <w:t>分析物本质（RNA或DNA）</w:t>
      </w:r>
      <w:r>
        <w:rPr>
          <w:rFonts w:hint="eastAsia" w:ascii="Arial" w:hAnsi="Arial" w:eastAsia="宋体" w:cs="Arial"/>
          <w:lang w:eastAsia="zh-CN"/>
        </w:rPr>
        <w:t>、</w:t>
      </w:r>
      <w:r>
        <w:rPr>
          <w:rFonts w:ascii="Arial" w:hAnsi="Arial" w:eastAsia="宋体" w:cs="Arial"/>
          <w:lang w:eastAsia="zh-CN"/>
        </w:rPr>
        <w:t>样本类型（例如阴道拭子）</w:t>
      </w:r>
      <w:r>
        <w:rPr>
          <w:rFonts w:hint="eastAsia" w:ascii="Arial" w:hAnsi="Arial" w:eastAsia="宋体" w:cs="Arial"/>
          <w:lang w:eastAsia="zh-CN"/>
        </w:rPr>
        <w:t>，</w:t>
      </w:r>
      <w:r>
        <w:rPr>
          <w:rFonts w:ascii="Arial" w:hAnsi="Arial" w:eastAsia="宋体" w:cs="Arial"/>
          <w:lang w:eastAsia="zh-CN"/>
        </w:rPr>
        <w:t>拭子样本由临床医生收集还是自收集</w:t>
      </w:r>
      <w:r>
        <w:rPr>
          <w:rFonts w:hint="eastAsia" w:ascii="Arial" w:hAnsi="Arial" w:eastAsia="宋体" w:cs="Arial"/>
          <w:lang w:eastAsia="zh-CN"/>
        </w:rPr>
        <w:t>以及</w:t>
      </w:r>
      <w:r>
        <w:rPr>
          <w:rFonts w:ascii="Arial" w:hAnsi="Arial" w:eastAsia="宋体" w:cs="Arial"/>
          <w:lang w:eastAsia="zh-CN"/>
        </w:rPr>
        <w:t>测试方法学/测试技术名称。必须清晰陈述试验预期用于的临床适应症、具体人群和任何器械使用限制。预期用途声明必须说明试验是定性的和任何具体使用条件。可能要求提供基于临床结果</w:t>
      </w:r>
      <w:r>
        <w:rPr>
          <w:rFonts w:hint="eastAsia" w:ascii="Arial" w:hAnsi="Arial" w:eastAsia="宋体" w:cs="Arial"/>
          <w:lang w:eastAsia="zh-CN"/>
        </w:rPr>
        <w:t>获得</w:t>
      </w:r>
      <w:r>
        <w:rPr>
          <w:rFonts w:ascii="Arial" w:hAnsi="Arial" w:eastAsia="宋体" w:cs="Arial"/>
          <w:lang w:eastAsia="zh-CN"/>
        </w:rPr>
        <w:t>的其他资格。</w:t>
      </w:r>
    </w:p>
    <w:p w14:paraId="1CD32457">
      <w:pPr>
        <w:pStyle w:val="21"/>
        <w:tabs>
          <w:tab w:val="left" w:pos="1547"/>
        </w:tabs>
        <w:overflowPunct w:val="0"/>
        <w:snapToGrid w:val="0"/>
        <w:spacing w:after="240" w:afterLines="100" w:line="300" w:lineRule="auto"/>
        <w:ind w:left="0" w:firstLine="652" w:firstLineChars="232"/>
        <w:jc w:val="both"/>
        <w:rPr>
          <w:rFonts w:ascii="Arial" w:hAnsi="Arial" w:eastAsia="宋体" w:cs="Arial"/>
          <w:sz w:val="28"/>
          <w:szCs w:val="28"/>
          <w:lang w:eastAsia="zh-CN"/>
        </w:rPr>
      </w:pPr>
      <w:bookmarkStart w:id="19" w:name="_Toc497125091"/>
      <w:r>
        <w:rPr>
          <w:rFonts w:ascii="Arial" w:hAnsi="Arial" w:eastAsia="宋体" w:cs="Arial"/>
          <w:sz w:val="28"/>
          <w:szCs w:val="28"/>
          <w:lang w:eastAsia="zh-CN"/>
        </w:rPr>
        <w:t>VI（B）.</w:t>
      </w:r>
      <w:r>
        <w:rPr>
          <w:rFonts w:ascii="Arial" w:hAnsi="Arial" w:eastAsia="宋体" w:cs="Arial"/>
          <w:sz w:val="28"/>
          <w:szCs w:val="28"/>
          <w:lang w:eastAsia="zh-CN"/>
        </w:rPr>
        <w:tab/>
      </w:r>
      <w:bookmarkStart w:id="20" w:name="_bookmark10"/>
      <w:bookmarkEnd w:id="20"/>
      <w:r>
        <w:rPr>
          <w:rFonts w:ascii="Arial" w:hAnsi="Arial" w:eastAsia="宋体" w:cs="Arial"/>
          <w:sz w:val="28"/>
          <w:szCs w:val="28"/>
          <w:lang w:eastAsia="zh-CN"/>
        </w:rPr>
        <w:t>测试方法学</w:t>
      </w:r>
      <w:bookmarkEnd w:id="19"/>
    </w:p>
    <w:p w14:paraId="22A90F9E">
      <w:pPr>
        <w:pStyle w:val="3"/>
        <w:overflowPunct w:val="0"/>
        <w:snapToGrid w:val="0"/>
        <w:spacing w:after="240" w:afterLines="100" w:line="300" w:lineRule="auto"/>
        <w:ind w:left="0"/>
        <w:jc w:val="both"/>
        <w:rPr>
          <w:rFonts w:ascii="Arial" w:hAnsi="Arial" w:eastAsia="宋体" w:cs="Arial"/>
          <w:lang w:eastAsia="zh-CN"/>
        </w:rPr>
      </w:pPr>
      <w:r>
        <w:rPr>
          <w:rFonts w:hint="eastAsia" w:ascii="Arial" w:hAnsi="Arial" w:eastAsia="宋体" w:cs="Arial"/>
          <w:lang w:eastAsia="zh-CN"/>
        </w:rPr>
        <w:t>贵公司的</w:t>
      </w:r>
      <w:r>
        <w:rPr>
          <w:rFonts w:ascii="Arial" w:hAnsi="Arial" w:eastAsia="宋体" w:cs="Arial"/>
          <w:lang w:eastAsia="zh-CN"/>
        </w:rPr>
        <w:t>510（k）中必须详细描述器械所用方法学。必须详细描述的要素（如果适用于器械）包括：</w:t>
      </w:r>
    </w:p>
    <w:p w14:paraId="2E79FC1B">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具体测试方法（例如实时聚合酶链反应（PCR）</w:t>
      </w:r>
      <w:r>
        <w:rPr>
          <w:rFonts w:hint="eastAsia" w:ascii="Arial" w:hAnsi="Arial" w:eastAsia="宋体" w:cs="Arial"/>
          <w:lang w:eastAsia="zh-CN"/>
        </w:rPr>
        <w:t>、</w:t>
      </w:r>
      <w:r>
        <w:rPr>
          <w:rFonts w:ascii="Arial" w:hAnsi="Arial" w:eastAsia="宋体" w:cs="Arial"/>
          <w:lang w:eastAsia="zh-CN"/>
        </w:rPr>
        <w:t>链置换扩增</w:t>
      </w:r>
      <w:r>
        <w:rPr>
          <w:rFonts w:hint="eastAsia" w:ascii="Arial" w:hAnsi="Arial" w:eastAsia="宋体" w:cs="Arial"/>
          <w:lang w:eastAsia="zh-CN"/>
        </w:rPr>
        <w:t>、</w:t>
      </w:r>
      <w:r>
        <w:rPr>
          <w:rFonts w:ascii="Arial" w:hAnsi="Arial" w:eastAsia="宋体" w:cs="Arial"/>
          <w:lang w:eastAsia="zh-CN"/>
        </w:rPr>
        <w:t>转录介导的扩增等）和是手动还是利用工具执行测试。</w:t>
      </w:r>
    </w:p>
    <w:p w14:paraId="79618F38">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选择特异性靶标所用信息和原理，</w:t>
      </w:r>
      <w:r>
        <w:rPr>
          <w:rFonts w:hint="eastAsia" w:ascii="Arial" w:hAnsi="Arial" w:eastAsia="宋体" w:cs="Arial"/>
          <w:lang w:eastAsia="zh-CN"/>
        </w:rPr>
        <w:t>以及</w:t>
      </w:r>
      <w:r>
        <w:rPr>
          <w:rFonts w:ascii="Arial" w:hAnsi="Arial" w:eastAsia="宋体" w:cs="Arial"/>
          <w:lang w:eastAsia="zh-CN"/>
        </w:rPr>
        <w:t>设计检测要素（例如引物和探针，包括序列）所用的方法。</w:t>
      </w:r>
    </w:p>
    <w:p w14:paraId="0DA9E2DD">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bookmarkStart w:id="21" w:name="OLE_LINK5"/>
      <w:bookmarkStart w:id="22" w:name="OLE_LINK6"/>
      <w:r>
        <w:rPr>
          <w:rFonts w:ascii="Arial" w:hAnsi="Arial" w:eastAsia="宋体" w:cs="Arial"/>
          <w:lang w:eastAsia="zh-CN"/>
        </w:rPr>
        <w:t>捕获试剂和检测试剂</w:t>
      </w:r>
      <w:bookmarkEnd w:id="21"/>
      <w:bookmarkEnd w:id="22"/>
      <w:r>
        <w:rPr>
          <w:rFonts w:ascii="Arial" w:hAnsi="Arial" w:eastAsia="宋体" w:cs="Arial"/>
          <w:lang w:eastAsia="zh-CN"/>
        </w:rPr>
        <w:t>对于相关核酸序列的特异性。</w:t>
      </w:r>
    </w:p>
    <w:p w14:paraId="534A4E9F">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样本类型（例如拭子等）</w:t>
      </w:r>
      <w:r>
        <w:rPr>
          <w:rFonts w:hint="eastAsia" w:ascii="Arial" w:hAnsi="Arial" w:eastAsia="宋体" w:cs="Arial"/>
          <w:lang w:eastAsia="zh-CN"/>
        </w:rPr>
        <w:t>、</w:t>
      </w:r>
      <w:r>
        <w:rPr>
          <w:rFonts w:ascii="Arial" w:hAnsi="Arial" w:eastAsia="宋体" w:cs="Arial"/>
          <w:lang w:eastAsia="zh-CN"/>
        </w:rPr>
        <w:t>收集方法和处理方法。</w:t>
      </w:r>
    </w:p>
    <w:p w14:paraId="50D2C99F">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所有预分析方法和样本收集、稳定化和浓缩工具。</w:t>
      </w:r>
    </w:p>
    <w:p w14:paraId="2C2F3587">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测定程序步骤（例如</w:t>
      </w:r>
      <w:bookmarkStart w:id="23" w:name="OLE_LINK23"/>
      <w:bookmarkStart w:id="24" w:name="OLE_LINK24"/>
      <w:r>
        <w:rPr>
          <w:rFonts w:ascii="Arial" w:hAnsi="Arial" w:eastAsia="宋体" w:cs="Arial"/>
          <w:lang w:eastAsia="zh-CN"/>
        </w:rPr>
        <w:t>移液、培养、洗涤和混合</w:t>
      </w:r>
      <w:bookmarkEnd w:id="23"/>
      <w:bookmarkEnd w:id="24"/>
      <w:r>
        <w:rPr>
          <w:rFonts w:ascii="Arial" w:hAnsi="Arial" w:eastAsia="宋体" w:cs="Arial"/>
          <w:lang w:eastAsia="zh-CN"/>
        </w:rPr>
        <w:t>）。</w:t>
      </w:r>
    </w:p>
    <w:p w14:paraId="2AA1B75A">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提供或建议使用的试剂组分，和</w:t>
      </w:r>
      <w:r>
        <w:rPr>
          <w:rFonts w:hint="eastAsia" w:ascii="Arial" w:hAnsi="Arial" w:eastAsia="宋体" w:cs="Arial"/>
          <w:lang w:eastAsia="zh-CN"/>
        </w:rPr>
        <w:t>其</w:t>
      </w:r>
      <w:r>
        <w:rPr>
          <w:rFonts w:ascii="Arial" w:hAnsi="Arial" w:eastAsia="宋体" w:cs="Arial"/>
          <w:lang w:eastAsia="zh-CN"/>
        </w:rPr>
        <w:t>在系统内的功能（例如缓冲剂</w:t>
      </w:r>
      <w:r>
        <w:rPr>
          <w:rFonts w:hint="eastAsia" w:ascii="Arial" w:hAnsi="Arial" w:eastAsia="宋体" w:cs="Arial"/>
          <w:lang w:eastAsia="zh-CN"/>
        </w:rPr>
        <w:t>、</w:t>
      </w:r>
      <w:r>
        <w:rPr>
          <w:rFonts w:ascii="Arial" w:hAnsi="Arial" w:eastAsia="宋体" w:cs="Arial"/>
          <w:lang w:eastAsia="zh-CN"/>
        </w:rPr>
        <w:t>酶</w:t>
      </w:r>
      <w:r>
        <w:rPr>
          <w:rFonts w:hint="eastAsia" w:ascii="Arial" w:hAnsi="Arial" w:eastAsia="宋体" w:cs="Arial"/>
          <w:lang w:eastAsia="zh-CN"/>
        </w:rPr>
        <w:t>、</w:t>
      </w:r>
      <w:r>
        <w:rPr>
          <w:rFonts w:ascii="Arial" w:hAnsi="Arial" w:eastAsia="宋体" w:cs="Arial"/>
          <w:lang w:eastAsia="zh-CN"/>
        </w:rPr>
        <w:t>荧光染料</w:t>
      </w:r>
      <w:r>
        <w:rPr>
          <w:rFonts w:hint="eastAsia" w:ascii="Arial" w:hAnsi="Arial" w:eastAsia="宋体" w:cs="Arial"/>
          <w:lang w:eastAsia="zh-CN"/>
        </w:rPr>
        <w:t>、</w:t>
      </w:r>
      <w:r>
        <w:rPr>
          <w:rFonts w:ascii="Arial" w:hAnsi="Arial" w:eastAsia="宋体" w:cs="Arial"/>
          <w:lang w:eastAsia="zh-CN"/>
        </w:rPr>
        <w:t>寡核苷酸</w:t>
      </w:r>
      <w:r>
        <w:rPr>
          <w:rFonts w:hint="eastAsia" w:ascii="Arial" w:hAnsi="Arial" w:eastAsia="宋体" w:cs="Arial"/>
          <w:lang w:eastAsia="zh-CN"/>
        </w:rPr>
        <w:t>、</w:t>
      </w:r>
      <w:r>
        <w:rPr>
          <w:rFonts w:ascii="Arial" w:hAnsi="Arial" w:eastAsia="宋体" w:cs="Arial"/>
          <w:lang w:eastAsia="zh-CN"/>
        </w:rPr>
        <w:t>化学发光试剂</w:t>
      </w:r>
      <w:r>
        <w:rPr>
          <w:rFonts w:hint="eastAsia" w:ascii="Arial" w:hAnsi="Arial" w:eastAsia="宋体" w:cs="Arial"/>
          <w:lang w:eastAsia="zh-CN"/>
        </w:rPr>
        <w:t>、</w:t>
      </w:r>
      <w:r>
        <w:rPr>
          <w:rFonts w:ascii="Arial" w:hAnsi="Arial" w:eastAsia="宋体" w:cs="Arial"/>
          <w:lang w:eastAsia="zh-CN"/>
        </w:rPr>
        <w:t>底物</w:t>
      </w:r>
      <w:r>
        <w:rPr>
          <w:rFonts w:hint="eastAsia" w:ascii="Arial" w:hAnsi="Arial" w:eastAsia="宋体" w:cs="Arial"/>
          <w:lang w:eastAsia="zh-CN"/>
        </w:rPr>
        <w:t>、</w:t>
      </w:r>
      <w:r>
        <w:rPr>
          <w:rFonts w:ascii="Arial" w:hAnsi="Arial" w:eastAsia="宋体" w:cs="Arial"/>
          <w:lang w:eastAsia="zh-CN"/>
        </w:rPr>
        <w:t>轭合物和其他信号/扩增试剂）。</w:t>
      </w:r>
    </w:p>
    <w:p w14:paraId="7ABCD134">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器械所需工具，包括工具的部件和部件在系统内的功能。</w:t>
      </w:r>
    </w:p>
    <w:p w14:paraId="0B88ACA9">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器械产生的输出类型和系统参数（例如测定范围、单位（如果适用））。</w:t>
      </w:r>
    </w:p>
    <w:p w14:paraId="5041FB80">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如果适用，从原始数据至最终报告结果的计算路径（例如如何将原始信号转变为数值）。这将包括鉴定和处理数据集内明显问题的足够的软件控制措施。如果适用，也包括背景调节和标准化调节。</w:t>
      </w:r>
    </w:p>
    <w:p w14:paraId="19BF0028">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非标准设备或方法的插图或照片和详细描述。</w:t>
      </w:r>
    </w:p>
    <w:p w14:paraId="03739712">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适用时，必须详细描述器械的设计检验规范，即解决或</w:t>
      </w:r>
      <w:r>
        <w:rPr>
          <w:rFonts w:hint="eastAsia" w:ascii="Arial" w:hAnsi="Arial" w:eastAsia="宋体" w:cs="Arial"/>
          <w:lang w:eastAsia="zh-CN"/>
        </w:rPr>
        <w:t>缓解</w:t>
      </w:r>
      <w:r>
        <w:rPr>
          <w:rFonts w:ascii="Arial" w:hAnsi="Arial" w:eastAsia="宋体" w:cs="Arial"/>
          <w:lang w:eastAsia="zh-CN"/>
        </w:rPr>
        <w:t>与基于核酸</w:t>
      </w:r>
      <w:r>
        <w:rPr>
          <w:rFonts w:hint="eastAsia" w:ascii="Arial" w:hAnsi="Arial" w:eastAsia="宋体" w:cs="Arial"/>
          <w:lang w:eastAsia="zh-CN"/>
        </w:rPr>
        <w:t>的</w:t>
      </w:r>
      <w:r>
        <w:rPr>
          <w:rFonts w:ascii="Arial" w:hAnsi="Arial" w:eastAsia="宋体" w:cs="Arial"/>
          <w:lang w:eastAsia="zh-CN"/>
        </w:rPr>
        <w:t>检测</w:t>
      </w:r>
      <w:r>
        <w:rPr>
          <w:rFonts w:ascii="Arial" w:hAnsi="Arial" w:eastAsia="宋体" w:cs="Arial"/>
          <w:i/>
          <w:lang w:eastAsia="zh-CN"/>
        </w:rPr>
        <w:t>阴道毛滴虫</w:t>
      </w:r>
      <w:r>
        <w:rPr>
          <w:rFonts w:ascii="Arial" w:hAnsi="Arial" w:eastAsia="宋体" w:cs="Arial"/>
          <w:lang w:eastAsia="zh-CN"/>
        </w:rPr>
        <w:t>程序相关风险的规范，</w:t>
      </w:r>
      <w:r>
        <w:rPr>
          <w:rFonts w:hint="eastAsia" w:ascii="Arial" w:hAnsi="Arial" w:eastAsia="宋体" w:cs="Arial"/>
          <w:lang w:eastAsia="zh-CN"/>
        </w:rPr>
        <w:t>例</w:t>
      </w:r>
      <w:r>
        <w:rPr>
          <w:rFonts w:ascii="Arial" w:hAnsi="Arial" w:eastAsia="宋体" w:cs="Arial"/>
          <w:lang w:eastAsia="zh-CN"/>
        </w:rPr>
        <w:t>如：</w:t>
      </w:r>
    </w:p>
    <w:p w14:paraId="1B302209">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确保</w:t>
      </w:r>
      <w:r>
        <w:rPr>
          <w:rFonts w:hint="eastAsia" w:ascii="Arial" w:hAnsi="Arial" w:eastAsia="宋体" w:cs="Arial"/>
          <w:lang w:eastAsia="zh-CN"/>
        </w:rPr>
        <w:t>获得</w:t>
      </w:r>
      <w:r>
        <w:rPr>
          <w:rFonts w:ascii="Arial" w:hAnsi="Arial" w:eastAsia="宋体" w:cs="Arial"/>
          <w:lang w:eastAsia="zh-CN"/>
        </w:rPr>
        <w:t>准确试验结果的阳性、阴性和内部对照。</w:t>
      </w:r>
    </w:p>
    <w:p w14:paraId="062F9BB4">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使由扩增子或携带污染导致的假阳性结果减至最少。</w:t>
      </w:r>
    </w:p>
    <w:p w14:paraId="34B5A168">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开发或推荐经确认的核酸提取和纯化方法，利用这些方法</w:t>
      </w:r>
      <w:r>
        <w:rPr>
          <w:rFonts w:hint="eastAsia" w:ascii="Arial" w:hAnsi="Arial" w:eastAsia="宋体" w:cs="Arial"/>
          <w:lang w:eastAsia="zh-CN"/>
        </w:rPr>
        <w:t>产生</w:t>
      </w:r>
      <w:r>
        <w:rPr>
          <w:rFonts w:ascii="Arial" w:hAnsi="Arial" w:eastAsia="宋体" w:cs="Arial"/>
          <w:lang w:eastAsia="zh-CN"/>
        </w:rPr>
        <w:t>适当质量和数量的核酸，供在测试系统中与贵公司试剂一同使用。必须说明适合预期用途中声称的不同样本类型的经确认提取方法。</w:t>
      </w:r>
    </w:p>
    <w:p w14:paraId="3698D143">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优化推荐工具</w:t>
      </w:r>
      <w:r>
        <w:rPr>
          <w:rFonts w:hint="eastAsia" w:ascii="Arial" w:hAnsi="Arial" w:eastAsia="宋体" w:cs="Arial"/>
          <w:lang w:eastAsia="zh-CN"/>
        </w:rPr>
        <w:t>的</w:t>
      </w:r>
      <w:r>
        <w:rPr>
          <w:rFonts w:ascii="Arial" w:hAnsi="Arial" w:eastAsia="宋体" w:cs="Arial"/>
          <w:lang w:eastAsia="zh-CN"/>
        </w:rPr>
        <w:t>试剂和试验程序。</w:t>
      </w:r>
    </w:p>
    <w:p w14:paraId="0B77DFCE">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w:t>
      </w:r>
      <w:r>
        <w:rPr>
          <w:rFonts w:hint="eastAsia" w:ascii="Arial" w:hAnsi="Arial" w:eastAsia="宋体" w:cs="Arial"/>
          <w:lang w:eastAsia="zh-CN"/>
        </w:rPr>
        <w:t>的</w:t>
      </w:r>
      <w:r>
        <w:rPr>
          <w:rFonts w:ascii="Arial" w:hAnsi="Arial" w:eastAsia="宋体" w:cs="Arial"/>
          <w:lang w:eastAsia="zh-CN"/>
        </w:rPr>
        <w:t>510（k）中必须提供支持符合设计要求的性能信息。</w:t>
      </w:r>
    </w:p>
    <w:p w14:paraId="1D0A7EED">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w:t>
      </w:r>
      <w:r>
        <w:rPr>
          <w:rFonts w:hint="eastAsia" w:ascii="Arial" w:hAnsi="Arial" w:eastAsia="宋体" w:cs="Arial"/>
          <w:lang w:eastAsia="zh-CN"/>
        </w:rPr>
        <w:t>的</w:t>
      </w:r>
      <w:r>
        <w:rPr>
          <w:rFonts w:ascii="Arial" w:hAnsi="Arial" w:eastAsia="宋体" w:cs="Arial"/>
          <w:lang w:eastAsia="zh-CN"/>
        </w:rPr>
        <w:t>510（k）中必须详细描述器械的工作原理。必须详细描述测试条件、程序和设计</w:t>
      </w:r>
      <w:r>
        <w:rPr>
          <w:rFonts w:hint="eastAsia" w:ascii="Arial" w:hAnsi="Arial" w:eastAsia="宋体" w:cs="Arial"/>
          <w:lang w:eastAsia="zh-CN"/>
        </w:rPr>
        <w:t>，旨在</w:t>
      </w:r>
      <w:r>
        <w:rPr>
          <w:rFonts w:ascii="Arial" w:hAnsi="Arial" w:eastAsia="宋体" w:cs="Arial"/>
          <w:lang w:eastAsia="zh-CN"/>
        </w:rPr>
        <w:t>为可导致假阳性和假阴性结果或可能</w:t>
      </w:r>
      <w:r>
        <w:rPr>
          <w:rFonts w:hint="eastAsia" w:ascii="Arial" w:hAnsi="Arial" w:eastAsia="宋体" w:cs="Arial"/>
          <w:lang w:eastAsia="zh-CN"/>
        </w:rPr>
        <w:t>存在</w:t>
      </w:r>
      <w:r>
        <w:rPr>
          <w:rFonts w:ascii="Arial" w:hAnsi="Arial" w:eastAsia="宋体" w:cs="Arial"/>
          <w:lang w:eastAsia="zh-CN"/>
        </w:rPr>
        <w:t>生物安全危险的</w:t>
      </w:r>
      <w:r>
        <w:rPr>
          <w:rFonts w:hint="eastAsia" w:ascii="Arial" w:hAnsi="Arial" w:eastAsia="宋体" w:cs="Arial"/>
          <w:lang w:eastAsia="zh-CN"/>
        </w:rPr>
        <w:t>条件</w:t>
      </w:r>
      <w:r>
        <w:rPr>
          <w:rFonts w:ascii="Arial" w:hAnsi="Arial" w:eastAsia="宋体" w:cs="Arial"/>
          <w:lang w:eastAsia="zh-CN"/>
        </w:rPr>
        <w:t>提供安全保护措施。这些包括</w:t>
      </w:r>
      <w:r>
        <w:rPr>
          <w:rFonts w:hint="eastAsia" w:ascii="Arial" w:hAnsi="Arial" w:eastAsia="宋体" w:cs="Arial"/>
          <w:lang w:eastAsia="zh-CN"/>
        </w:rPr>
        <w:t>，</w:t>
      </w:r>
      <w:r>
        <w:rPr>
          <w:rFonts w:ascii="Arial" w:hAnsi="Arial" w:eastAsia="宋体" w:cs="Arial"/>
          <w:lang w:eastAsia="zh-CN"/>
        </w:rPr>
        <w:t>但不限于：</w:t>
      </w:r>
    </w:p>
    <w:p w14:paraId="06F45857">
      <w:pPr>
        <w:pStyle w:val="3"/>
        <w:numPr>
          <w:ilvl w:val="0"/>
          <w:numId w:val="5"/>
        </w:numPr>
        <w:tabs>
          <w:tab w:val="left" w:pos="828"/>
        </w:tabs>
        <w:overflowPunct w:val="0"/>
        <w:snapToGrid w:val="0"/>
        <w:spacing w:line="300" w:lineRule="auto"/>
        <w:ind w:left="357" w:hanging="357"/>
        <w:jc w:val="both"/>
        <w:rPr>
          <w:rFonts w:ascii="Arial" w:hAnsi="Arial" w:eastAsia="宋体" w:cs="Arial"/>
          <w:lang w:eastAsia="zh-CN"/>
        </w:rPr>
      </w:pPr>
      <w:r>
        <w:rPr>
          <w:rFonts w:ascii="Arial" w:hAnsi="Arial" w:eastAsia="宋体" w:cs="Arial"/>
          <w:lang w:eastAsia="zh-CN"/>
        </w:rPr>
        <w:t>对任何外部对照和/或内部对照（例如监测测定性能的样本阴性对照和/或内部对照）的描述或建议。</w:t>
      </w:r>
    </w:p>
    <w:p w14:paraId="1599FF35">
      <w:pPr>
        <w:pStyle w:val="3"/>
        <w:numPr>
          <w:ilvl w:val="0"/>
          <w:numId w:val="5"/>
        </w:numPr>
        <w:tabs>
          <w:tab w:val="left" w:pos="828"/>
        </w:tabs>
        <w:overflowPunct w:val="0"/>
        <w:snapToGrid w:val="0"/>
        <w:spacing w:line="300" w:lineRule="auto"/>
        <w:ind w:left="357" w:hanging="357"/>
        <w:jc w:val="both"/>
        <w:rPr>
          <w:rFonts w:ascii="Arial" w:hAnsi="Arial" w:eastAsia="宋体" w:cs="Arial"/>
          <w:lang w:eastAsia="zh-CN"/>
        </w:rPr>
      </w:pPr>
      <w:r>
        <w:rPr>
          <w:rFonts w:ascii="Arial" w:hAnsi="Arial" w:eastAsia="宋体" w:cs="Arial"/>
          <w:lang w:eastAsia="zh-CN"/>
        </w:rPr>
        <w:t>测试程序的总体设计，包括融入推荐测试程序的控制要素。</w:t>
      </w:r>
    </w:p>
    <w:p w14:paraId="3DCD5804">
      <w:pPr>
        <w:pStyle w:val="3"/>
        <w:numPr>
          <w:ilvl w:val="0"/>
          <w:numId w:val="5"/>
        </w:numPr>
        <w:tabs>
          <w:tab w:val="left" w:pos="828"/>
        </w:tabs>
        <w:overflowPunct w:val="0"/>
        <w:snapToGrid w:val="0"/>
        <w:spacing w:line="300" w:lineRule="auto"/>
        <w:ind w:left="357" w:hanging="357"/>
        <w:jc w:val="both"/>
        <w:rPr>
          <w:rFonts w:ascii="Arial" w:hAnsi="Arial" w:eastAsia="宋体" w:cs="Arial"/>
          <w:lang w:eastAsia="zh-CN"/>
        </w:rPr>
      </w:pPr>
      <w:r>
        <w:rPr>
          <w:rFonts w:ascii="Arial" w:hAnsi="Arial" w:eastAsia="宋体" w:cs="Arial"/>
          <w:lang w:eastAsia="zh-CN"/>
        </w:rPr>
        <w:t>监测对测定性能和检测有不良影响的程序错误或影响因素（例如试剂降解）的特性和其他控制措施。</w:t>
      </w:r>
    </w:p>
    <w:p w14:paraId="57433234">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必须描述</w:t>
      </w:r>
      <w:r>
        <w:rPr>
          <w:rFonts w:hint="eastAsia" w:ascii="Arial" w:hAnsi="Arial" w:eastAsia="宋体" w:cs="Arial"/>
          <w:lang w:eastAsia="zh-CN"/>
        </w:rPr>
        <w:t>缓解</w:t>
      </w:r>
      <w:r>
        <w:rPr>
          <w:rFonts w:ascii="Arial" w:hAnsi="Arial" w:eastAsia="宋体" w:cs="Arial"/>
          <w:lang w:eastAsia="zh-CN"/>
        </w:rPr>
        <w:t>与</w:t>
      </w:r>
      <w:r>
        <w:rPr>
          <w:rFonts w:ascii="Arial" w:hAnsi="Arial" w:eastAsia="宋体" w:cs="Arial"/>
          <w:i/>
          <w:lang w:eastAsia="zh-CN"/>
        </w:rPr>
        <w:t>阴道毛滴虫</w:t>
      </w:r>
      <w:r>
        <w:rPr>
          <w:rFonts w:ascii="Arial" w:hAnsi="Arial" w:eastAsia="宋体" w:cs="Arial"/>
          <w:lang w:eastAsia="zh-CN"/>
        </w:rPr>
        <w:t>检测相关风险的融入使用说明中的所有其他程序、方法和</w:t>
      </w:r>
      <w:r>
        <w:rPr>
          <w:rFonts w:hint="eastAsia" w:ascii="Arial" w:hAnsi="Arial" w:eastAsia="宋体" w:cs="Arial"/>
          <w:lang w:eastAsia="zh-CN"/>
        </w:rPr>
        <w:t>规范</w:t>
      </w:r>
      <w:r>
        <w:rPr>
          <w:rFonts w:ascii="Arial" w:hAnsi="Arial" w:eastAsia="宋体" w:cs="Arial"/>
          <w:lang w:eastAsia="zh-CN"/>
        </w:rPr>
        <w:t>（见</w:t>
      </w:r>
      <w:r>
        <w:rPr>
          <w:rFonts w:hint="eastAsia" w:ascii="Arial" w:hAnsi="Arial" w:eastAsia="宋体" w:cs="Arial"/>
          <w:lang w:eastAsia="zh-CN"/>
        </w:rPr>
        <w:t>第</w:t>
      </w:r>
      <w:r>
        <w:rPr>
          <w:rFonts w:ascii="Arial" w:hAnsi="Arial" w:eastAsia="宋体" w:cs="Arial"/>
          <w:lang w:eastAsia="zh-CN"/>
        </w:rPr>
        <w:t>VIII</w:t>
      </w:r>
      <w:r>
        <w:rPr>
          <w:rFonts w:hint="eastAsia" w:ascii="Arial" w:hAnsi="Arial" w:eastAsia="宋体" w:cs="Arial"/>
          <w:lang w:eastAsia="zh-CN"/>
        </w:rPr>
        <w:t>章</w:t>
      </w:r>
      <w:r>
        <w:rPr>
          <w:rFonts w:ascii="Arial" w:hAnsi="Arial" w:eastAsia="宋体" w:cs="Arial"/>
          <w:lang w:eastAsia="zh-CN"/>
        </w:rPr>
        <w:t>节 – 标签）。</w:t>
      </w:r>
    </w:p>
    <w:p w14:paraId="09A36BE3">
      <w:pPr>
        <w:pStyle w:val="21"/>
        <w:tabs>
          <w:tab w:val="left" w:pos="1547"/>
        </w:tabs>
        <w:overflowPunct w:val="0"/>
        <w:snapToGrid w:val="0"/>
        <w:spacing w:after="240" w:afterLines="100" w:line="300" w:lineRule="auto"/>
        <w:ind w:left="0" w:firstLine="652" w:firstLineChars="232"/>
        <w:jc w:val="both"/>
        <w:rPr>
          <w:rFonts w:ascii="Arial" w:hAnsi="Arial" w:eastAsia="宋体" w:cs="Arial"/>
          <w:sz w:val="28"/>
          <w:szCs w:val="28"/>
          <w:lang w:eastAsia="zh-CN"/>
        </w:rPr>
      </w:pPr>
      <w:bookmarkStart w:id="25" w:name="_Toc497125092"/>
      <w:r>
        <w:rPr>
          <w:rFonts w:ascii="Arial" w:hAnsi="Arial" w:eastAsia="宋体" w:cs="Arial"/>
          <w:sz w:val="28"/>
          <w:szCs w:val="28"/>
          <w:lang w:eastAsia="zh-CN"/>
        </w:rPr>
        <w:t>VI（C）.</w:t>
      </w:r>
      <w:r>
        <w:rPr>
          <w:rFonts w:ascii="Arial" w:hAnsi="Arial" w:eastAsia="宋体" w:cs="Arial"/>
          <w:sz w:val="28"/>
          <w:szCs w:val="28"/>
          <w:lang w:eastAsia="zh-CN"/>
        </w:rPr>
        <w:tab/>
      </w:r>
      <w:bookmarkStart w:id="26" w:name="_bookmark11"/>
      <w:bookmarkEnd w:id="26"/>
      <w:r>
        <w:rPr>
          <w:rFonts w:ascii="Arial" w:hAnsi="Arial" w:eastAsia="宋体" w:cs="Arial"/>
          <w:sz w:val="28"/>
          <w:szCs w:val="28"/>
          <w:lang w:eastAsia="zh-CN"/>
        </w:rPr>
        <w:t>工具 – 硬件和软件</w:t>
      </w:r>
      <w:bookmarkEnd w:id="25"/>
    </w:p>
    <w:p w14:paraId="4E8CBA66">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贵公司</w:t>
      </w:r>
      <w:r>
        <w:rPr>
          <w:rFonts w:hint="eastAsia" w:ascii="Arial" w:hAnsi="Arial" w:eastAsia="宋体" w:cs="Arial"/>
          <w:lang w:eastAsia="zh-CN"/>
        </w:rPr>
        <w:t>的</w:t>
      </w:r>
      <w:r>
        <w:rPr>
          <w:rFonts w:ascii="Arial" w:hAnsi="Arial" w:eastAsia="宋体" w:cs="Arial"/>
          <w:lang w:eastAsia="zh-CN"/>
        </w:rPr>
        <w:t>510（k）中必须提供软件文件，包括：</w:t>
      </w:r>
    </w:p>
    <w:p w14:paraId="54296755">
      <w:pPr>
        <w:pStyle w:val="3"/>
        <w:numPr>
          <w:ilvl w:val="0"/>
          <w:numId w:val="5"/>
        </w:numPr>
        <w:tabs>
          <w:tab w:val="left" w:pos="82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清晰描述如何将原始信号转变为结果，包括</w:t>
      </w:r>
      <w:r>
        <w:rPr>
          <w:rFonts w:hint="eastAsia" w:ascii="Arial" w:hAnsi="Arial" w:eastAsia="宋体" w:cs="Arial"/>
          <w:lang w:eastAsia="zh-CN"/>
        </w:rPr>
        <w:t>对</w:t>
      </w:r>
      <w:r>
        <w:rPr>
          <w:rFonts w:ascii="Arial" w:hAnsi="Arial" w:eastAsia="宋体" w:cs="Arial"/>
          <w:lang w:eastAsia="zh-CN"/>
        </w:rPr>
        <w:t>背景信号</w:t>
      </w:r>
      <w:r>
        <w:rPr>
          <w:rFonts w:hint="eastAsia" w:ascii="Arial" w:hAnsi="Arial" w:eastAsia="宋体" w:cs="Arial"/>
          <w:lang w:eastAsia="zh-CN"/>
        </w:rPr>
        <w:t>进行</w:t>
      </w:r>
      <w:r>
        <w:rPr>
          <w:rFonts w:ascii="Arial" w:hAnsi="Arial" w:eastAsia="宋体" w:cs="Arial"/>
          <w:lang w:eastAsia="zh-CN"/>
        </w:rPr>
        <w:t>标准化的</w:t>
      </w:r>
      <w:r>
        <w:rPr>
          <w:rFonts w:hint="eastAsia" w:ascii="Arial" w:hAnsi="Arial" w:eastAsia="宋体" w:cs="Arial"/>
          <w:lang w:eastAsia="zh-CN"/>
        </w:rPr>
        <w:t>调整</w:t>
      </w:r>
      <w:r>
        <w:rPr>
          <w:rFonts w:ascii="Arial" w:hAnsi="Arial" w:eastAsia="宋体" w:cs="Arial"/>
          <w:lang w:eastAsia="zh-CN"/>
        </w:rPr>
        <w:t>。此外，必须描述鉴定和管理预期问题的软件控制措施。</w:t>
      </w:r>
    </w:p>
    <w:p w14:paraId="095DF462">
      <w:pPr>
        <w:pStyle w:val="3"/>
        <w:numPr>
          <w:ilvl w:val="0"/>
          <w:numId w:val="5"/>
        </w:numPr>
        <w:tabs>
          <w:tab w:val="left" w:pos="828"/>
        </w:tabs>
        <w:overflowPunct w:val="0"/>
        <w:snapToGrid w:val="0"/>
        <w:spacing w:line="300" w:lineRule="auto"/>
        <w:ind w:left="357" w:hanging="357"/>
        <w:jc w:val="both"/>
        <w:rPr>
          <w:rFonts w:ascii="Arial" w:hAnsi="Arial" w:eastAsia="宋体" w:cs="Arial"/>
          <w:lang w:eastAsia="zh-CN"/>
        </w:rPr>
      </w:pPr>
      <w:r>
        <w:rPr>
          <w:rFonts w:ascii="Arial" w:hAnsi="Arial" w:eastAsia="宋体" w:cs="Arial"/>
          <w:lang w:eastAsia="zh-CN"/>
        </w:rPr>
        <w:t>取决于贵公司软件关注程度（轻微、中等或严重）的信息。关注程度必须由无缓解措施情况下的危险分析</w:t>
      </w:r>
      <w:r>
        <w:rPr>
          <w:rFonts w:hint="eastAsia" w:ascii="Arial" w:hAnsi="Arial" w:eastAsia="宋体" w:cs="Arial"/>
          <w:lang w:eastAsia="zh-CN"/>
        </w:rPr>
        <w:t>确定</w:t>
      </w:r>
      <w:r>
        <w:rPr>
          <w:rFonts w:ascii="Arial" w:hAnsi="Arial" w:eastAsia="宋体" w:cs="Arial"/>
          <w:lang w:eastAsia="zh-CN"/>
        </w:rPr>
        <w:t>，即必须在假装没有单个危险缓解措施的情况下</w:t>
      </w:r>
      <w:r>
        <w:rPr>
          <w:rFonts w:hint="eastAsia" w:ascii="Arial" w:hAnsi="Arial" w:eastAsia="宋体" w:cs="Arial"/>
          <w:lang w:eastAsia="zh-CN"/>
        </w:rPr>
        <w:t>进行</w:t>
      </w:r>
      <w:r>
        <w:rPr>
          <w:rFonts w:ascii="Arial" w:hAnsi="Arial" w:eastAsia="宋体" w:cs="Arial"/>
          <w:lang w:eastAsia="zh-CN"/>
        </w:rPr>
        <w:t>危险分析。基于核酸</w:t>
      </w:r>
      <w:r>
        <w:rPr>
          <w:rFonts w:hint="eastAsia" w:ascii="Arial" w:hAnsi="Arial" w:eastAsia="宋体" w:cs="Arial"/>
          <w:lang w:eastAsia="zh-CN"/>
        </w:rPr>
        <w:t>的</w:t>
      </w:r>
      <w:r>
        <w:rPr>
          <w:rFonts w:ascii="Arial" w:hAnsi="Arial" w:eastAsia="宋体" w:cs="Arial"/>
          <w:lang w:eastAsia="zh-CN"/>
        </w:rPr>
        <w:t>检测泌尿生殖道样本内</w:t>
      </w:r>
      <w:r>
        <w:rPr>
          <w:rFonts w:ascii="Arial" w:hAnsi="Arial" w:eastAsia="宋体" w:cs="Arial"/>
          <w:i/>
          <w:lang w:eastAsia="zh-CN"/>
        </w:rPr>
        <w:t>阴道毛滴虫</w:t>
      </w:r>
      <w:r>
        <w:rPr>
          <w:rFonts w:ascii="Arial" w:hAnsi="Arial" w:eastAsia="宋体" w:cs="Arial"/>
          <w:lang w:eastAsia="zh-CN"/>
        </w:rPr>
        <w:t>的体外诊断器械的关注程度预期通常为中等。关注程度是由与器械运行相关的软件操作对患者或操作者的影响程度决定的，定义如下。</w:t>
      </w:r>
    </w:p>
    <w:p w14:paraId="15072476">
      <w:pPr>
        <w:pStyle w:val="3"/>
        <w:numPr>
          <w:ilvl w:val="1"/>
          <w:numId w:val="6"/>
        </w:numPr>
        <w:tabs>
          <w:tab w:val="left" w:pos="1648"/>
        </w:tabs>
        <w:overflowPunct w:val="0"/>
        <w:snapToGrid w:val="0"/>
        <w:spacing w:after="120" w:afterLines="50" w:line="300" w:lineRule="auto"/>
        <w:ind w:left="1150" w:leftChars="351" w:hanging="378"/>
        <w:jc w:val="both"/>
        <w:rPr>
          <w:rFonts w:ascii="Arial" w:hAnsi="Arial" w:eastAsia="宋体" w:cs="Arial"/>
          <w:lang w:eastAsia="zh-CN"/>
        </w:rPr>
      </w:pPr>
      <w:r>
        <w:rPr>
          <w:rFonts w:ascii="Arial" w:hAnsi="Arial" w:eastAsia="宋体" w:cs="Arial"/>
          <w:b/>
          <w:lang w:eastAsia="zh-CN"/>
        </w:rPr>
        <w:t>严重 –</w:t>
      </w:r>
      <w:r>
        <w:rPr>
          <w:rFonts w:hint="eastAsia" w:ascii="Arial" w:hAnsi="Arial" w:eastAsia="宋体" w:cs="Arial"/>
          <w:lang w:eastAsia="zh-CN"/>
        </w:rPr>
        <w:t>如果</w:t>
      </w:r>
      <w:r>
        <w:rPr>
          <w:rFonts w:ascii="Arial" w:hAnsi="Arial" w:eastAsia="宋体" w:cs="Arial"/>
          <w:lang w:eastAsia="zh-CN"/>
        </w:rPr>
        <w:t>符合以下条件，则关注程度为严重：（1）故障或潜在缺陷可直接导致患者或操作者死亡或</w:t>
      </w:r>
      <w:r>
        <w:rPr>
          <w:rFonts w:hint="eastAsia" w:ascii="Arial" w:hAnsi="Arial" w:eastAsia="宋体" w:cs="Arial"/>
          <w:lang w:eastAsia="zh-CN"/>
        </w:rPr>
        <w:t>严重损伤</w:t>
      </w:r>
      <w:r>
        <w:rPr>
          <w:rFonts w:ascii="Arial" w:hAnsi="Arial" w:eastAsia="宋体" w:cs="Arial"/>
          <w:lang w:eastAsia="zh-CN"/>
        </w:rPr>
        <w:t>和/或（2）故障或潜在缺陷通过错误或延迟的信息或通过保健提供者的行为间接导致患者或操作者死亡或</w:t>
      </w:r>
      <w:r>
        <w:rPr>
          <w:rFonts w:hint="eastAsia" w:ascii="Arial" w:hAnsi="Arial" w:eastAsia="宋体" w:cs="Arial"/>
          <w:lang w:eastAsia="zh-CN"/>
        </w:rPr>
        <w:t>严重损伤</w:t>
      </w:r>
      <w:r>
        <w:rPr>
          <w:rFonts w:ascii="Arial" w:hAnsi="Arial" w:eastAsia="宋体" w:cs="Arial"/>
          <w:lang w:eastAsia="zh-CN"/>
        </w:rPr>
        <w:t>。</w:t>
      </w:r>
    </w:p>
    <w:p w14:paraId="36138E61">
      <w:pPr>
        <w:pStyle w:val="3"/>
        <w:numPr>
          <w:ilvl w:val="1"/>
          <w:numId w:val="7"/>
        </w:numPr>
        <w:tabs>
          <w:tab w:val="left" w:pos="1560"/>
        </w:tabs>
        <w:overflowPunct w:val="0"/>
        <w:snapToGrid w:val="0"/>
        <w:spacing w:after="120" w:afterLines="50" w:line="300" w:lineRule="auto"/>
        <w:ind w:left="1150" w:leftChars="351" w:hanging="378"/>
        <w:jc w:val="both"/>
        <w:rPr>
          <w:rFonts w:ascii="Arial" w:hAnsi="Arial" w:eastAsia="宋体" w:cs="Arial"/>
          <w:lang w:eastAsia="zh-CN"/>
        </w:rPr>
      </w:pPr>
      <w:r>
        <w:rPr>
          <w:rFonts w:ascii="Arial" w:hAnsi="Arial" w:eastAsia="宋体" w:cs="Arial"/>
          <w:b/>
          <w:bCs/>
          <w:lang w:eastAsia="zh-CN"/>
        </w:rPr>
        <w:t>中等 –</w:t>
      </w:r>
      <w:r>
        <w:rPr>
          <w:rFonts w:hint="eastAsia" w:ascii="Arial" w:hAnsi="Arial" w:eastAsia="宋体" w:cs="Arial"/>
          <w:bCs/>
          <w:lang w:eastAsia="zh-CN"/>
        </w:rPr>
        <w:t>如果</w:t>
      </w:r>
      <w:r>
        <w:rPr>
          <w:rFonts w:ascii="Arial" w:hAnsi="Arial" w:eastAsia="宋体" w:cs="Arial"/>
          <w:lang w:eastAsia="zh-CN"/>
        </w:rPr>
        <w:t>符合以下条件，则关注程度为中等：（1）故障或潜在设计缺陷可直接导致患者或操作者轻微</w:t>
      </w:r>
      <w:r>
        <w:rPr>
          <w:rFonts w:hint="eastAsia" w:ascii="Arial" w:hAnsi="Arial" w:eastAsia="宋体" w:cs="Arial"/>
          <w:lang w:eastAsia="zh-CN"/>
        </w:rPr>
        <w:t>损伤</w:t>
      </w:r>
      <w:r>
        <w:rPr>
          <w:rFonts w:ascii="Arial" w:hAnsi="Arial" w:eastAsia="宋体" w:cs="Arial"/>
          <w:lang w:eastAsia="zh-CN"/>
        </w:rPr>
        <w:t>和/或（2）故障或潜在缺陷通过错误或延迟的信息或通过保健提供者的行为间接导致患者或操作者轻微</w:t>
      </w:r>
      <w:r>
        <w:rPr>
          <w:rFonts w:hint="eastAsia" w:ascii="Arial" w:hAnsi="Arial" w:eastAsia="宋体" w:cs="Arial"/>
          <w:lang w:eastAsia="zh-CN"/>
        </w:rPr>
        <w:t>损伤</w:t>
      </w:r>
      <w:r>
        <w:rPr>
          <w:rFonts w:ascii="Arial" w:hAnsi="Arial" w:eastAsia="宋体" w:cs="Arial"/>
          <w:lang w:eastAsia="zh-CN"/>
        </w:rPr>
        <w:t>。</w:t>
      </w:r>
    </w:p>
    <w:p w14:paraId="33259F76">
      <w:pPr>
        <w:pStyle w:val="3"/>
        <w:numPr>
          <w:ilvl w:val="1"/>
          <w:numId w:val="7"/>
        </w:numPr>
        <w:tabs>
          <w:tab w:val="left" w:pos="1560"/>
        </w:tabs>
        <w:overflowPunct w:val="0"/>
        <w:snapToGrid w:val="0"/>
        <w:spacing w:after="120" w:afterLines="50" w:line="300" w:lineRule="auto"/>
        <w:ind w:left="1150" w:leftChars="351" w:hanging="378"/>
        <w:jc w:val="both"/>
        <w:rPr>
          <w:rFonts w:ascii="Arial" w:hAnsi="Arial" w:eastAsia="宋体" w:cs="Arial"/>
          <w:lang w:eastAsia="zh-CN"/>
        </w:rPr>
      </w:pPr>
      <w:r>
        <w:rPr>
          <w:rFonts w:ascii="Arial" w:hAnsi="Arial" w:eastAsia="宋体" w:cs="Arial"/>
          <w:b/>
          <w:lang w:eastAsia="zh-CN"/>
        </w:rPr>
        <w:t xml:space="preserve">轻微 - </w:t>
      </w:r>
      <w:r>
        <w:rPr>
          <w:rFonts w:ascii="Arial" w:hAnsi="Arial" w:eastAsia="宋体" w:cs="Arial"/>
          <w:lang w:eastAsia="zh-CN"/>
        </w:rPr>
        <w:t>如果故障或潜在设计缺陷不太可能对患者或操作者造成任何</w:t>
      </w:r>
      <w:r>
        <w:rPr>
          <w:rFonts w:hint="eastAsia" w:ascii="Arial" w:hAnsi="Arial" w:eastAsia="宋体" w:cs="Arial"/>
          <w:lang w:eastAsia="zh-CN"/>
        </w:rPr>
        <w:t>损伤</w:t>
      </w:r>
      <w:r>
        <w:rPr>
          <w:rFonts w:ascii="Arial" w:hAnsi="Arial" w:eastAsia="宋体" w:cs="Arial"/>
          <w:lang w:eastAsia="zh-CN"/>
        </w:rPr>
        <w:t>，则关注程度为轻微。</w:t>
      </w:r>
    </w:p>
    <w:p w14:paraId="5682BBF1">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取决于主题器械关注程度并要求在510（k）中提供的软件文件</w:t>
      </w:r>
      <w:r>
        <w:rPr>
          <w:rFonts w:hint="eastAsia" w:ascii="Arial" w:hAnsi="Arial" w:eastAsia="宋体" w:cs="Arial"/>
          <w:lang w:eastAsia="zh-CN"/>
        </w:rPr>
        <w:t>请参阅下</w:t>
      </w:r>
      <w:r>
        <w:rPr>
          <w:rFonts w:ascii="Arial" w:hAnsi="Arial" w:eastAsia="宋体" w:cs="Arial"/>
          <w:lang w:eastAsia="zh-CN"/>
        </w:rPr>
        <w:t>表2。</w:t>
      </w:r>
    </w:p>
    <w:p w14:paraId="7989F445">
      <w:pPr>
        <w:pStyle w:val="23"/>
        <w:overflowPunct w:val="0"/>
        <w:snapToGrid w:val="0"/>
        <w:spacing w:before="240" w:beforeLines="100" w:after="240" w:afterLines="100" w:line="300" w:lineRule="auto"/>
        <w:ind w:left="0"/>
        <w:jc w:val="center"/>
        <w:rPr>
          <w:rFonts w:ascii="Arial" w:hAnsi="Arial" w:eastAsia="宋体" w:cs="Arial"/>
          <w:b w:val="0"/>
          <w:bCs w:val="0"/>
          <w:lang w:eastAsia="zh-CN"/>
        </w:rPr>
      </w:pPr>
      <w:r>
        <w:rPr>
          <w:rFonts w:ascii="Arial" w:hAnsi="Arial" w:eastAsia="宋体" w:cs="Arial"/>
          <w:lang w:eastAsia="zh-CN"/>
        </w:rPr>
        <w:t>表 2 – 基于关注程度所要求的文件</w:t>
      </w:r>
    </w:p>
    <w:tbl>
      <w:tblPr>
        <w:tblStyle w:val="15"/>
        <w:tblW w:w="5000" w:type="pct"/>
        <w:tblInd w:w="0" w:type="dxa"/>
        <w:tblLayout w:type="autofit"/>
        <w:tblCellMar>
          <w:top w:w="0" w:type="dxa"/>
          <w:left w:w="0" w:type="dxa"/>
          <w:bottom w:w="0" w:type="dxa"/>
          <w:right w:w="0" w:type="dxa"/>
        </w:tblCellMar>
      </w:tblPr>
      <w:tblGrid>
        <w:gridCol w:w="2133"/>
        <w:gridCol w:w="2372"/>
        <w:gridCol w:w="1922"/>
        <w:gridCol w:w="2223"/>
      </w:tblGrid>
      <w:tr w14:paraId="078C2BCA">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vAlign w:val="center"/>
          </w:tcPr>
          <w:p w14:paraId="68E050D7">
            <w:pPr>
              <w:pStyle w:val="25"/>
              <w:overflowPunct w:val="0"/>
              <w:snapToGrid w:val="0"/>
              <w:spacing w:before="72" w:beforeLines="30" w:after="72" w:afterLines="3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软件文件</w:t>
            </w:r>
          </w:p>
        </w:tc>
        <w:tc>
          <w:tcPr>
            <w:tcW w:w="1371" w:type="pct"/>
            <w:tcBorders>
              <w:top w:val="single" w:color="000000" w:sz="4" w:space="0"/>
              <w:left w:val="single" w:color="000000" w:sz="4" w:space="0"/>
              <w:bottom w:val="single" w:color="000000" w:sz="4" w:space="0"/>
              <w:right w:val="single" w:color="000000" w:sz="4" w:space="0"/>
            </w:tcBorders>
            <w:vAlign w:val="center"/>
          </w:tcPr>
          <w:p w14:paraId="6A718D6C">
            <w:pPr>
              <w:pStyle w:val="25"/>
              <w:overflowPunct w:val="0"/>
              <w:snapToGrid w:val="0"/>
              <w:spacing w:before="72" w:beforeLines="30" w:after="72" w:afterLines="3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轻微关注</w:t>
            </w:r>
          </w:p>
        </w:tc>
        <w:tc>
          <w:tcPr>
            <w:tcW w:w="1111" w:type="pct"/>
            <w:tcBorders>
              <w:top w:val="single" w:color="000000" w:sz="4" w:space="0"/>
              <w:left w:val="single" w:color="000000" w:sz="4" w:space="0"/>
              <w:bottom w:val="single" w:color="000000" w:sz="4" w:space="0"/>
              <w:right w:val="single" w:color="000000" w:sz="4" w:space="0"/>
            </w:tcBorders>
            <w:vAlign w:val="center"/>
          </w:tcPr>
          <w:p w14:paraId="5289131A">
            <w:pPr>
              <w:pStyle w:val="25"/>
              <w:overflowPunct w:val="0"/>
              <w:snapToGrid w:val="0"/>
              <w:spacing w:before="72" w:beforeLines="30" w:after="72" w:afterLines="3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中等关注</w:t>
            </w:r>
          </w:p>
        </w:tc>
        <w:tc>
          <w:tcPr>
            <w:tcW w:w="1286" w:type="pct"/>
            <w:tcBorders>
              <w:top w:val="single" w:color="000000" w:sz="4" w:space="0"/>
              <w:left w:val="single" w:color="000000" w:sz="4" w:space="0"/>
              <w:bottom w:val="single" w:color="000000" w:sz="4" w:space="0"/>
              <w:right w:val="single" w:color="000000" w:sz="4" w:space="0"/>
            </w:tcBorders>
            <w:vAlign w:val="center"/>
          </w:tcPr>
          <w:p w14:paraId="07968D00">
            <w:pPr>
              <w:pStyle w:val="25"/>
              <w:overflowPunct w:val="0"/>
              <w:snapToGrid w:val="0"/>
              <w:spacing w:before="72" w:beforeLines="30" w:after="72" w:afterLines="30" w:line="276" w:lineRule="auto"/>
              <w:ind w:left="44" w:leftChars="20" w:right="44" w:rightChars="20"/>
              <w:jc w:val="center"/>
              <w:rPr>
                <w:rFonts w:ascii="Arial" w:hAnsi="Arial" w:eastAsia="宋体" w:cs="Arial"/>
                <w:sz w:val="21"/>
                <w:szCs w:val="21"/>
                <w:lang w:eastAsia="zh-CN"/>
              </w:rPr>
            </w:pPr>
            <w:r>
              <w:rPr>
                <w:rFonts w:ascii="Arial" w:hAnsi="Arial" w:eastAsia="宋体" w:cs="Arial"/>
                <w:b/>
                <w:sz w:val="21"/>
                <w:szCs w:val="21"/>
                <w:lang w:eastAsia="zh-CN"/>
              </w:rPr>
              <w:t>严重关注</w:t>
            </w:r>
          </w:p>
        </w:tc>
      </w:tr>
      <w:tr w14:paraId="0515931A">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vAlign w:val="center"/>
          </w:tcPr>
          <w:p w14:paraId="735A08D5">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rPr>
            </w:pPr>
            <w:r>
              <w:fldChar w:fldCharType="begin"/>
            </w:r>
            <w:r>
              <w:instrText xml:space="preserve"> HYPERLINK "http://www.fda.gov/MedicalDevices/DeviceRegulationandGuidance/GuidanceDocuments/ucm089543.htm" \h </w:instrText>
            </w:r>
            <w:r>
              <w:fldChar w:fldCharType="separate"/>
            </w:r>
            <w:r>
              <w:rPr>
                <w:rFonts w:ascii="Arial" w:hAnsi="Arial" w:eastAsia="宋体" w:cs="Arial"/>
                <w:sz w:val="21"/>
                <w:szCs w:val="21"/>
                <w:u w:val="single" w:color="000000"/>
                <w:lang w:eastAsia="zh-CN"/>
              </w:rPr>
              <w:t>关注程度</w:t>
            </w:r>
            <w:r>
              <w:rPr>
                <w:rFonts w:ascii="Arial" w:hAnsi="Arial" w:eastAsia="宋体" w:cs="Arial"/>
                <w:sz w:val="21"/>
                <w:szCs w:val="21"/>
                <w:u w:val="single" w:color="000000"/>
                <w:lang w:eastAsia="zh-CN"/>
              </w:rPr>
              <w:fldChar w:fldCharType="end"/>
            </w:r>
          </w:p>
        </w:tc>
        <w:tc>
          <w:tcPr>
            <w:tcW w:w="3767" w:type="pct"/>
            <w:gridSpan w:val="3"/>
            <w:tcBorders>
              <w:top w:val="single" w:color="000000" w:sz="4" w:space="0"/>
              <w:left w:val="single" w:color="000000" w:sz="4" w:space="0"/>
              <w:bottom w:val="single" w:color="000000" w:sz="4" w:space="0"/>
              <w:right w:val="single" w:color="000000" w:sz="4" w:space="0"/>
            </w:tcBorders>
            <w:vAlign w:val="center"/>
          </w:tcPr>
          <w:p w14:paraId="2A20B6E8">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表明关注程度的声明和对判定关注程度的依据的描述。</w:t>
            </w:r>
          </w:p>
        </w:tc>
      </w:tr>
      <w:tr w14:paraId="3DABAA03">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vAlign w:val="center"/>
          </w:tcPr>
          <w:p w14:paraId="1ABEDAA4">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rPr>
            </w:pPr>
            <w:r>
              <w:fldChar w:fldCharType="begin"/>
            </w:r>
            <w:r>
              <w:instrText xml:space="preserve"> HYPERLINK "http://www.fda.gov/MedicalDevices/DeviceRegulationandGuidance/GuidanceDocuments/ucm089543.htm" \h </w:instrText>
            </w:r>
            <w:r>
              <w:fldChar w:fldCharType="separate"/>
            </w:r>
            <w:r>
              <w:rPr>
                <w:rFonts w:ascii="Arial" w:hAnsi="Arial" w:eastAsia="宋体" w:cs="Arial"/>
                <w:sz w:val="21"/>
                <w:szCs w:val="21"/>
                <w:u w:val="single" w:color="000000"/>
                <w:lang w:eastAsia="zh-CN"/>
              </w:rPr>
              <w:t>软件说明</w:t>
            </w:r>
            <w:r>
              <w:rPr>
                <w:rFonts w:ascii="Arial" w:hAnsi="Arial" w:eastAsia="宋体" w:cs="Arial"/>
                <w:sz w:val="21"/>
                <w:szCs w:val="21"/>
                <w:u w:val="single" w:color="000000"/>
                <w:lang w:eastAsia="zh-CN"/>
              </w:rPr>
              <w:fldChar w:fldCharType="end"/>
            </w:r>
          </w:p>
        </w:tc>
        <w:tc>
          <w:tcPr>
            <w:tcW w:w="3767" w:type="pct"/>
            <w:gridSpan w:val="3"/>
            <w:tcBorders>
              <w:top w:val="single" w:color="000000" w:sz="4" w:space="0"/>
              <w:left w:val="single" w:color="000000" w:sz="4" w:space="0"/>
              <w:bottom w:val="single" w:color="000000" w:sz="4" w:space="0"/>
              <w:right w:val="single" w:color="000000" w:sz="4" w:space="0"/>
            </w:tcBorders>
            <w:vAlign w:val="center"/>
          </w:tcPr>
          <w:p w14:paraId="253E56AE">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对软件特点和操作环境的总结概述。</w:t>
            </w:r>
          </w:p>
        </w:tc>
      </w:tr>
      <w:tr w14:paraId="06261C00">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vAlign w:val="center"/>
          </w:tcPr>
          <w:p w14:paraId="7AF96C0F">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u w:val="single" w:color="000000"/>
                <w:lang w:eastAsia="zh-CN"/>
              </w:rPr>
              <w:t>器械危险分析</w:t>
            </w:r>
          </w:p>
        </w:tc>
        <w:tc>
          <w:tcPr>
            <w:tcW w:w="3767" w:type="pct"/>
            <w:gridSpan w:val="3"/>
            <w:tcBorders>
              <w:top w:val="single" w:color="000000" w:sz="4" w:space="0"/>
              <w:left w:val="single" w:color="000000" w:sz="4" w:space="0"/>
              <w:bottom w:val="single" w:color="000000" w:sz="4" w:space="0"/>
              <w:right w:val="single" w:color="000000" w:sz="4" w:space="0"/>
            </w:tcBorders>
            <w:vAlign w:val="center"/>
          </w:tcPr>
          <w:p w14:paraId="3CFDE4E4">
            <w:pPr>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用表格说明已确定的硬件和软件危险，包括严重性评估和缓解措施。</w:t>
            </w:r>
          </w:p>
        </w:tc>
      </w:tr>
      <w:tr w14:paraId="05504E79">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3F34AA88">
            <w:pPr>
              <w:pStyle w:val="25"/>
              <w:pageBreakBefore/>
              <w:overflowPunct w:val="0"/>
              <w:snapToGrid w:val="0"/>
              <w:spacing w:before="72" w:beforeLines="30" w:after="72" w:afterLines="30" w:line="276" w:lineRule="auto"/>
              <w:ind w:left="44" w:leftChars="20" w:right="44" w:rightChars="20"/>
              <w:rPr>
                <w:rFonts w:ascii="Arial" w:hAnsi="Arial" w:eastAsia="宋体" w:cs="Arial"/>
                <w:sz w:val="21"/>
                <w:szCs w:val="21"/>
                <w:lang w:eastAsia="zh-CN"/>
              </w:rPr>
            </w:pPr>
            <w:bookmarkStart w:id="27" w:name="OLE_LINK15"/>
            <w:bookmarkStart w:id="28" w:name="OLE_LINK16"/>
            <w:r>
              <w:rPr>
                <w:rFonts w:ascii="Arial" w:hAnsi="Arial" w:eastAsia="宋体" w:cs="Arial"/>
                <w:sz w:val="21"/>
                <w:szCs w:val="21"/>
                <w:u w:val="single"/>
                <w:lang w:eastAsia="zh-CN"/>
              </w:rPr>
              <w:t>软件需求</w:t>
            </w:r>
            <w:r>
              <w:rPr>
                <w:rFonts w:hint="eastAsia" w:ascii="Arial" w:hAnsi="Arial" w:eastAsia="宋体" w:cs="Arial"/>
                <w:sz w:val="21"/>
                <w:szCs w:val="21"/>
                <w:u w:val="single"/>
                <w:lang w:eastAsia="zh-CN"/>
              </w:rPr>
              <w:t>规范</w:t>
            </w:r>
            <w:r>
              <w:rPr>
                <w:rFonts w:ascii="Arial" w:hAnsi="Arial" w:eastAsia="宋体" w:cs="Arial"/>
                <w:sz w:val="21"/>
                <w:szCs w:val="21"/>
                <w:lang w:eastAsia="zh-CN"/>
              </w:rPr>
              <w:t>（SRS）</w:t>
            </w:r>
            <w:bookmarkEnd w:id="27"/>
            <w:bookmarkEnd w:id="28"/>
          </w:p>
        </w:tc>
        <w:tc>
          <w:tcPr>
            <w:tcW w:w="1371" w:type="pct"/>
            <w:tcBorders>
              <w:top w:val="single" w:color="000000" w:sz="4" w:space="0"/>
              <w:left w:val="single" w:color="000000" w:sz="4" w:space="0"/>
              <w:bottom w:val="single" w:color="000000" w:sz="4" w:space="0"/>
              <w:right w:val="single" w:color="000000" w:sz="4" w:space="0"/>
            </w:tcBorders>
          </w:tcPr>
          <w:p w14:paraId="0A82B199">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总结SRS中的功能需求。</w:t>
            </w:r>
          </w:p>
        </w:tc>
        <w:tc>
          <w:tcPr>
            <w:tcW w:w="2397" w:type="pct"/>
            <w:gridSpan w:val="2"/>
            <w:tcBorders>
              <w:top w:val="single" w:color="000000" w:sz="4" w:space="0"/>
              <w:left w:val="single" w:color="000000" w:sz="4" w:space="0"/>
              <w:bottom w:val="single" w:color="000000" w:sz="4" w:space="0"/>
              <w:right w:val="single" w:color="000000" w:sz="4" w:space="0"/>
            </w:tcBorders>
          </w:tcPr>
          <w:p w14:paraId="75D26D2C">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rPr>
            </w:pPr>
            <w:r>
              <w:rPr>
                <w:rFonts w:ascii="Arial" w:hAnsi="Arial" w:eastAsia="宋体" w:cs="Arial"/>
                <w:sz w:val="21"/>
                <w:szCs w:val="21"/>
                <w:lang w:eastAsia="zh-CN"/>
              </w:rPr>
              <w:t>完整的</w:t>
            </w:r>
            <w:r>
              <w:rPr>
                <w:rFonts w:ascii="Arial" w:hAnsi="Arial" w:eastAsia="宋体" w:cs="Arial"/>
                <w:sz w:val="21"/>
                <w:szCs w:val="21"/>
              </w:rPr>
              <w:t xml:space="preserve"> SRS </w:t>
            </w:r>
            <w:r>
              <w:rPr>
                <w:rFonts w:ascii="Arial" w:hAnsi="Arial" w:eastAsia="宋体" w:cs="Arial"/>
                <w:sz w:val="21"/>
                <w:szCs w:val="21"/>
                <w:lang w:eastAsia="zh-CN"/>
              </w:rPr>
              <w:t>文件。</w:t>
            </w:r>
          </w:p>
        </w:tc>
      </w:tr>
      <w:tr w14:paraId="20D48CE8">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56D7D6CC">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rPr>
            </w:pPr>
            <w:r>
              <w:rPr>
                <w:rFonts w:ascii="Arial" w:hAnsi="Arial" w:eastAsia="宋体" w:cs="Arial"/>
                <w:sz w:val="21"/>
                <w:szCs w:val="21"/>
                <w:u w:val="single"/>
                <w:lang w:eastAsia="zh-CN"/>
              </w:rPr>
              <w:t>设计架构图</w:t>
            </w:r>
          </w:p>
        </w:tc>
        <w:tc>
          <w:tcPr>
            <w:tcW w:w="1371" w:type="pct"/>
            <w:tcBorders>
              <w:top w:val="single" w:color="000000" w:sz="4" w:space="0"/>
              <w:left w:val="single" w:color="000000" w:sz="4" w:space="0"/>
              <w:bottom w:val="single" w:color="000000" w:sz="4" w:space="0"/>
              <w:right w:val="single" w:color="000000" w:sz="4" w:space="0"/>
            </w:tcBorders>
          </w:tcPr>
          <w:p w14:paraId="3A96AD75">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rPr>
            </w:pPr>
            <w:r>
              <w:rPr>
                <w:rFonts w:ascii="Arial" w:hAnsi="Arial" w:eastAsia="宋体" w:cs="Arial"/>
                <w:sz w:val="21"/>
                <w:szCs w:val="21"/>
                <w:lang w:eastAsia="zh-CN"/>
              </w:rPr>
              <w:t>无需</w:t>
            </w:r>
            <w:r>
              <w:rPr>
                <w:rFonts w:hint="eastAsia" w:ascii="Arial" w:hAnsi="Arial" w:eastAsia="宋体" w:cs="Arial"/>
                <w:sz w:val="21"/>
                <w:szCs w:val="21"/>
                <w:lang w:eastAsia="zh-CN"/>
              </w:rPr>
              <w:t>提交</w:t>
            </w:r>
            <w:r>
              <w:rPr>
                <w:rFonts w:ascii="Arial" w:hAnsi="Arial" w:eastAsia="宋体" w:cs="Arial"/>
                <w:sz w:val="21"/>
                <w:szCs w:val="21"/>
                <w:lang w:eastAsia="zh-CN"/>
              </w:rPr>
              <w:t>任何文件。</w:t>
            </w:r>
          </w:p>
        </w:tc>
        <w:tc>
          <w:tcPr>
            <w:tcW w:w="2397" w:type="pct"/>
            <w:gridSpan w:val="2"/>
            <w:tcBorders>
              <w:top w:val="single" w:color="000000" w:sz="4" w:space="0"/>
              <w:left w:val="single" w:color="000000" w:sz="4" w:space="0"/>
              <w:bottom w:val="single" w:color="000000" w:sz="4" w:space="0"/>
              <w:right w:val="single" w:color="000000" w:sz="4" w:space="0"/>
            </w:tcBorders>
          </w:tcPr>
          <w:p w14:paraId="61A7435D">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详细描述功能</w:t>
            </w:r>
            <w:r>
              <w:rPr>
                <w:rFonts w:hint="eastAsia" w:ascii="Arial" w:hAnsi="Arial" w:eastAsia="宋体" w:cs="Arial"/>
                <w:sz w:val="21"/>
                <w:szCs w:val="21"/>
                <w:lang w:eastAsia="zh-CN"/>
              </w:rPr>
              <w:t>单元</w:t>
            </w:r>
            <w:r>
              <w:rPr>
                <w:rFonts w:ascii="Arial" w:hAnsi="Arial" w:eastAsia="宋体" w:cs="Arial"/>
                <w:sz w:val="21"/>
                <w:szCs w:val="21"/>
                <w:lang w:eastAsia="zh-CN"/>
              </w:rPr>
              <w:t>和软件模块。可能包括状态图及流程图。</w:t>
            </w:r>
          </w:p>
        </w:tc>
      </w:tr>
      <w:tr w14:paraId="785E4214">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2482062E">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u w:val="single"/>
                <w:lang w:eastAsia="zh-CN"/>
              </w:rPr>
              <w:t>软件设计</w:t>
            </w:r>
            <w:r>
              <w:rPr>
                <w:rFonts w:hint="eastAsia" w:ascii="Arial" w:hAnsi="Arial" w:eastAsia="宋体" w:cs="Arial"/>
                <w:sz w:val="21"/>
                <w:szCs w:val="21"/>
                <w:u w:val="single"/>
                <w:lang w:eastAsia="zh-CN"/>
              </w:rPr>
              <w:t>规范</w:t>
            </w:r>
            <w:r>
              <w:rPr>
                <w:rFonts w:ascii="Arial" w:hAnsi="Arial" w:eastAsia="宋体" w:cs="Arial"/>
                <w:sz w:val="21"/>
                <w:szCs w:val="21"/>
                <w:lang w:eastAsia="zh-CN"/>
              </w:rPr>
              <w:t xml:space="preserve"> （SDS）</w:t>
            </w:r>
          </w:p>
        </w:tc>
        <w:tc>
          <w:tcPr>
            <w:tcW w:w="1371" w:type="pct"/>
            <w:tcBorders>
              <w:top w:val="single" w:color="000000" w:sz="4" w:space="0"/>
              <w:left w:val="single" w:color="000000" w:sz="4" w:space="0"/>
              <w:bottom w:val="single" w:color="000000" w:sz="4" w:space="0"/>
              <w:right w:val="single" w:color="000000" w:sz="4" w:space="0"/>
            </w:tcBorders>
          </w:tcPr>
          <w:p w14:paraId="5E1185A6">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rPr>
            </w:pPr>
            <w:r>
              <w:rPr>
                <w:rFonts w:ascii="Arial" w:hAnsi="Arial" w:eastAsia="宋体" w:cs="Arial"/>
                <w:sz w:val="21"/>
                <w:szCs w:val="21"/>
                <w:lang w:eastAsia="zh-CN"/>
              </w:rPr>
              <w:t>无需</w:t>
            </w:r>
            <w:r>
              <w:rPr>
                <w:rFonts w:hint="eastAsia" w:ascii="Arial" w:hAnsi="Arial" w:eastAsia="宋体" w:cs="Arial"/>
                <w:sz w:val="21"/>
                <w:szCs w:val="21"/>
                <w:lang w:eastAsia="zh-CN"/>
              </w:rPr>
              <w:t>提交</w:t>
            </w:r>
            <w:r>
              <w:rPr>
                <w:rFonts w:ascii="Arial" w:hAnsi="Arial" w:eastAsia="宋体" w:cs="Arial"/>
                <w:sz w:val="21"/>
                <w:szCs w:val="21"/>
                <w:lang w:eastAsia="zh-CN"/>
              </w:rPr>
              <w:t>任何文件。</w:t>
            </w:r>
          </w:p>
        </w:tc>
        <w:tc>
          <w:tcPr>
            <w:tcW w:w="2397" w:type="pct"/>
            <w:gridSpan w:val="2"/>
            <w:tcBorders>
              <w:top w:val="single" w:color="000000" w:sz="4" w:space="0"/>
              <w:left w:val="single" w:color="000000" w:sz="4" w:space="0"/>
              <w:bottom w:val="single" w:color="000000" w:sz="4" w:space="0"/>
              <w:right w:val="single" w:color="000000" w:sz="4" w:space="0"/>
            </w:tcBorders>
          </w:tcPr>
          <w:p w14:paraId="3E5C0E8A">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软件设计</w:t>
            </w:r>
            <w:r>
              <w:rPr>
                <w:rFonts w:hint="eastAsia" w:ascii="Arial" w:hAnsi="Arial" w:eastAsia="宋体" w:cs="Arial"/>
                <w:sz w:val="21"/>
                <w:szCs w:val="21"/>
                <w:lang w:eastAsia="zh-CN"/>
              </w:rPr>
              <w:t>规范</w:t>
            </w:r>
            <w:r>
              <w:rPr>
                <w:rFonts w:ascii="Arial" w:hAnsi="Arial" w:eastAsia="宋体" w:cs="Arial"/>
                <w:sz w:val="21"/>
                <w:szCs w:val="21"/>
                <w:lang w:eastAsia="zh-CN"/>
              </w:rPr>
              <w:t>文件。</w:t>
            </w:r>
          </w:p>
        </w:tc>
      </w:tr>
      <w:tr w14:paraId="3062298D">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68DBD431">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u w:val="single"/>
              </w:rPr>
            </w:pPr>
            <w:r>
              <w:rPr>
                <w:rFonts w:ascii="Arial" w:hAnsi="Arial" w:eastAsia="宋体" w:cs="Arial"/>
                <w:sz w:val="21"/>
                <w:szCs w:val="21"/>
                <w:u w:val="single"/>
                <w:lang w:eastAsia="zh-CN"/>
              </w:rPr>
              <w:t>可追溯性分析</w:t>
            </w:r>
          </w:p>
        </w:tc>
        <w:tc>
          <w:tcPr>
            <w:tcW w:w="3767" w:type="pct"/>
            <w:gridSpan w:val="3"/>
            <w:tcBorders>
              <w:top w:val="single" w:color="000000" w:sz="4" w:space="0"/>
              <w:left w:val="single" w:color="000000" w:sz="4" w:space="0"/>
              <w:bottom w:val="single" w:color="000000" w:sz="4" w:space="0"/>
              <w:right w:val="single" w:color="000000" w:sz="4" w:space="0"/>
            </w:tcBorders>
          </w:tcPr>
          <w:p w14:paraId="299C14A9">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在</w:t>
            </w:r>
            <w:r>
              <w:rPr>
                <w:rFonts w:hint="eastAsia" w:ascii="Arial" w:hAnsi="Arial" w:eastAsia="宋体" w:cs="Arial"/>
                <w:sz w:val="21"/>
                <w:szCs w:val="21"/>
                <w:lang w:eastAsia="zh-CN"/>
              </w:rPr>
              <w:t>要求、规范、</w:t>
            </w:r>
            <w:r>
              <w:rPr>
                <w:rFonts w:ascii="Arial" w:hAnsi="Arial" w:eastAsia="宋体" w:cs="Arial"/>
                <w:sz w:val="21"/>
                <w:szCs w:val="21"/>
                <w:lang w:eastAsia="zh-CN"/>
              </w:rPr>
              <w:t>确定的危险和缓解措施</w:t>
            </w:r>
            <w:r>
              <w:rPr>
                <w:rFonts w:hint="eastAsia" w:ascii="Arial" w:hAnsi="Arial" w:eastAsia="宋体" w:cs="Arial"/>
                <w:sz w:val="21"/>
                <w:szCs w:val="21"/>
                <w:lang w:eastAsia="zh-CN"/>
              </w:rPr>
              <w:t>以及</w:t>
            </w:r>
            <w:r>
              <w:rPr>
                <w:rFonts w:ascii="Arial" w:hAnsi="Arial" w:eastAsia="宋体" w:cs="Arial"/>
                <w:sz w:val="21"/>
                <w:szCs w:val="21"/>
                <w:lang w:eastAsia="zh-CN"/>
              </w:rPr>
              <w:t>验证和确认（V&amp;V）测试中的可追溯性。</w:t>
            </w:r>
          </w:p>
        </w:tc>
      </w:tr>
      <w:tr w14:paraId="6B7F2AD3">
        <w:tblPrEx>
          <w:tblCellMar>
            <w:top w:w="0" w:type="dxa"/>
            <w:left w:w="0" w:type="dxa"/>
            <w:bottom w:w="0" w:type="dxa"/>
            <w:right w:w="0" w:type="dxa"/>
          </w:tblCellMar>
        </w:tblPrEx>
        <w:trPr>
          <w:trHeight w:val="1987" w:hRule="atLeast"/>
        </w:trPr>
        <w:tc>
          <w:tcPr>
            <w:tcW w:w="1233" w:type="pct"/>
            <w:tcBorders>
              <w:top w:val="single" w:color="000000" w:sz="4" w:space="0"/>
              <w:left w:val="single" w:color="000000" w:sz="4" w:space="0"/>
              <w:right w:val="single" w:color="000000" w:sz="4" w:space="0"/>
            </w:tcBorders>
          </w:tcPr>
          <w:p w14:paraId="7863D885">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u w:val="single"/>
              </w:rPr>
            </w:pPr>
            <w:r>
              <w:rPr>
                <w:rFonts w:ascii="Arial" w:hAnsi="Arial" w:eastAsia="宋体" w:cs="Arial"/>
                <w:sz w:val="21"/>
                <w:szCs w:val="21"/>
                <w:u w:val="single"/>
                <w:lang w:eastAsia="zh-CN"/>
              </w:rPr>
              <w:t>软件开发环境描述</w:t>
            </w:r>
          </w:p>
        </w:tc>
        <w:tc>
          <w:tcPr>
            <w:tcW w:w="1371" w:type="pct"/>
            <w:tcBorders>
              <w:top w:val="single" w:color="000000" w:sz="4" w:space="0"/>
              <w:left w:val="single" w:color="000000" w:sz="4" w:space="0"/>
              <w:right w:val="single" w:color="000000" w:sz="4" w:space="0"/>
            </w:tcBorders>
          </w:tcPr>
          <w:p w14:paraId="5C4DEF93">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hint="eastAsia" w:ascii="Arial" w:hAnsi="Arial" w:eastAsia="宋体" w:cs="Arial"/>
                <w:sz w:val="21"/>
                <w:szCs w:val="21"/>
                <w:lang w:eastAsia="zh-CN"/>
              </w:rPr>
              <w:t>无需提交任何文件</w:t>
            </w:r>
            <w:r>
              <w:rPr>
                <w:rFonts w:ascii="Arial" w:hAnsi="Arial" w:eastAsia="宋体" w:cs="Arial"/>
                <w:sz w:val="21"/>
                <w:szCs w:val="21"/>
                <w:lang w:eastAsia="zh-CN"/>
              </w:rPr>
              <w:t>。</w:t>
            </w:r>
          </w:p>
        </w:tc>
        <w:tc>
          <w:tcPr>
            <w:tcW w:w="1111" w:type="pct"/>
            <w:tcBorders>
              <w:top w:val="single" w:color="000000" w:sz="4" w:space="0"/>
              <w:left w:val="single" w:color="000000" w:sz="4" w:space="0"/>
              <w:right w:val="single" w:color="000000" w:sz="4" w:space="0"/>
            </w:tcBorders>
          </w:tcPr>
          <w:p w14:paraId="0A57BB29">
            <w:pPr>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总结软件生命周期开发计划，包括总结配置管理和维修活动。</w:t>
            </w:r>
          </w:p>
        </w:tc>
        <w:tc>
          <w:tcPr>
            <w:tcW w:w="1286" w:type="pct"/>
            <w:tcBorders>
              <w:top w:val="single" w:color="000000" w:sz="4" w:space="0"/>
              <w:left w:val="single" w:color="000000" w:sz="4" w:space="0"/>
              <w:right w:val="single" w:color="000000" w:sz="4" w:space="0"/>
            </w:tcBorders>
          </w:tcPr>
          <w:p w14:paraId="4FAD52F8">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总结软件生命周期开发计划。开发过程中产生的控制文件的带注解清单。包括配置管理和维护计划文件。</w:t>
            </w:r>
          </w:p>
        </w:tc>
      </w:tr>
      <w:tr w14:paraId="28C8D60D">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34B377FC">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u w:val="single"/>
              </w:rPr>
            </w:pPr>
            <w:r>
              <w:rPr>
                <w:rFonts w:ascii="Arial" w:hAnsi="Arial" w:eastAsia="宋体" w:cs="Arial"/>
                <w:sz w:val="21"/>
                <w:szCs w:val="21"/>
                <w:u w:val="single"/>
                <w:lang w:eastAsia="zh-CN"/>
              </w:rPr>
              <w:t>验证和确认文件</w:t>
            </w:r>
          </w:p>
        </w:tc>
        <w:tc>
          <w:tcPr>
            <w:tcW w:w="1371" w:type="pct"/>
            <w:tcBorders>
              <w:top w:val="single" w:color="000000" w:sz="4" w:space="0"/>
              <w:left w:val="single" w:color="000000" w:sz="4" w:space="0"/>
              <w:bottom w:val="single" w:color="000000" w:sz="4" w:space="0"/>
              <w:right w:val="single" w:color="000000" w:sz="4" w:space="0"/>
            </w:tcBorders>
          </w:tcPr>
          <w:p w14:paraId="6124BDFE">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软件功能测试计划</w:t>
            </w:r>
            <w:r>
              <w:rPr>
                <w:rFonts w:hint="eastAsia" w:ascii="Arial" w:hAnsi="Arial" w:eastAsia="宋体" w:cs="Arial"/>
                <w:sz w:val="21"/>
                <w:szCs w:val="21"/>
                <w:lang w:eastAsia="zh-CN"/>
              </w:rPr>
              <w:t>、</w:t>
            </w:r>
            <w:r>
              <w:rPr>
                <w:rFonts w:ascii="Arial" w:hAnsi="Arial" w:eastAsia="宋体" w:cs="Arial"/>
                <w:sz w:val="21"/>
                <w:szCs w:val="21"/>
                <w:lang w:eastAsia="zh-CN"/>
              </w:rPr>
              <w:t>合格 / 不合格标准和结果。</w:t>
            </w:r>
          </w:p>
        </w:tc>
        <w:tc>
          <w:tcPr>
            <w:tcW w:w="1111" w:type="pct"/>
            <w:tcBorders>
              <w:top w:val="single" w:color="000000" w:sz="4" w:space="0"/>
              <w:left w:val="single" w:color="000000" w:sz="4" w:space="0"/>
              <w:bottom w:val="single" w:color="000000" w:sz="4" w:space="0"/>
              <w:right w:val="single" w:color="000000" w:sz="4" w:space="0"/>
            </w:tcBorders>
          </w:tcPr>
          <w:p w14:paraId="0BDBB7EC">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单元、集成和系统层面的V&amp;V活动</w:t>
            </w:r>
            <w:r>
              <w:rPr>
                <w:rFonts w:hint="eastAsia" w:ascii="Arial" w:hAnsi="Arial" w:eastAsia="宋体" w:cs="Arial"/>
                <w:sz w:val="21"/>
                <w:szCs w:val="21"/>
                <w:lang w:eastAsia="zh-CN"/>
              </w:rPr>
              <w:t>的描述</w:t>
            </w:r>
            <w:r>
              <w:rPr>
                <w:rFonts w:ascii="Arial" w:hAnsi="Arial" w:eastAsia="宋体" w:cs="Arial"/>
                <w:sz w:val="21"/>
                <w:szCs w:val="21"/>
                <w:lang w:eastAsia="zh-CN"/>
              </w:rPr>
              <w:t>。系统层面测试方案，包括合格/不合格标准和测试结果。</w:t>
            </w:r>
          </w:p>
        </w:tc>
        <w:tc>
          <w:tcPr>
            <w:tcW w:w="1286" w:type="pct"/>
            <w:tcBorders>
              <w:top w:val="single" w:color="000000" w:sz="4" w:space="0"/>
              <w:left w:val="single" w:color="000000" w:sz="4" w:space="0"/>
              <w:bottom w:val="single" w:color="000000" w:sz="4" w:space="0"/>
              <w:right w:val="single" w:color="000000" w:sz="4" w:space="0"/>
            </w:tcBorders>
          </w:tcPr>
          <w:p w14:paraId="2AC27E80">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单元、集成和系统层面的V&amp;V活动</w:t>
            </w:r>
            <w:r>
              <w:rPr>
                <w:rFonts w:hint="eastAsia" w:ascii="Arial" w:hAnsi="Arial" w:eastAsia="宋体" w:cs="Arial"/>
                <w:sz w:val="21"/>
                <w:szCs w:val="21"/>
                <w:lang w:eastAsia="zh-CN"/>
              </w:rPr>
              <w:t>的描述</w:t>
            </w:r>
            <w:r>
              <w:rPr>
                <w:rFonts w:ascii="Arial" w:hAnsi="Arial" w:eastAsia="宋体" w:cs="Arial"/>
                <w:sz w:val="21"/>
                <w:szCs w:val="21"/>
                <w:lang w:eastAsia="zh-CN"/>
              </w:rPr>
              <w:t>。单元、集成和系统层面测试方案，包括合格/不合格标准</w:t>
            </w:r>
            <w:r>
              <w:rPr>
                <w:rFonts w:hint="eastAsia" w:ascii="Arial" w:hAnsi="Arial" w:eastAsia="宋体" w:cs="Arial"/>
                <w:sz w:val="21"/>
                <w:szCs w:val="21"/>
                <w:lang w:eastAsia="zh-CN"/>
              </w:rPr>
              <w:t>、</w:t>
            </w:r>
            <w:r>
              <w:rPr>
                <w:rFonts w:ascii="Arial" w:hAnsi="Arial" w:eastAsia="宋体" w:cs="Arial"/>
                <w:sz w:val="21"/>
                <w:szCs w:val="21"/>
                <w:lang w:eastAsia="zh-CN"/>
              </w:rPr>
              <w:t>测试报告</w:t>
            </w:r>
            <w:r>
              <w:rPr>
                <w:rFonts w:hint="eastAsia" w:ascii="Arial" w:hAnsi="Arial" w:eastAsia="宋体" w:cs="Arial"/>
                <w:sz w:val="21"/>
                <w:szCs w:val="21"/>
                <w:lang w:eastAsia="zh-CN"/>
              </w:rPr>
              <w:t>、</w:t>
            </w:r>
            <w:r>
              <w:rPr>
                <w:rFonts w:ascii="Arial" w:hAnsi="Arial" w:eastAsia="宋体" w:cs="Arial"/>
                <w:sz w:val="21"/>
                <w:szCs w:val="21"/>
                <w:lang w:eastAsia="zh-CN"/>
              </w:rPr>
              <w:t>总结和测试结果。</w:t>
            </w:r>
          </w:p>
        </w:tc>
      </w:tr>
      <w:tr w14:paraId="173E9320">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1A2C95DA">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u w:val="single"/>
              </w:rPr>
            </w:pPr>
            <w:r>
              <w:rPr>
                <w:rFonts w:ascii="Arial" w:hAnsi="Arial" w:eastAsia="宋体" w:cs="Arial"/>
                <w:sz w:val="21"/>
                <w:szCs w:val="21"/>
                <w:u w:val="single"/>
                <w:lang w:eastAsia="zh-CN"/>
              </w:rPr>
              <w:t>修订历史</w:t>
            </w:r>
          </w:p>
        </w:tc>
        <w:tc>
          <w:tcPr>
            <w:tcW w:w="3767" w:type="pct"/>
            <w:gridSpan w:val="3"/>
            <w:tcBorders>
              <w:top w:val="single" w:color="000000" w:sz="4" w:space="0"/>
              <w:left w:val="single" w:color="000000" w:sz="4" w:space="0"/>
              <w:bottom w:val="single" w:color="000000" w:sz="4" w:space="0"/>
              <w:right w:val="single" w:color="000000" w:sz="4" w:space="0"/>
            </w:tcBorders>
          </w:tcPr>
          <w:p w14:paraId="357EDF20">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修订历史记录，包括发行版本号和日期。</w:t>
            </w:r>
          </w:p>
        </w:tc>
      </w:tr>
      <w:tr w14:paraId="461A634D">
        <w:tblPrEx>
          <w:tblCellMar>
            <w:top w:w="0" w:type="dxa"/>
            <w:left w:w="0" w:type="dxa"/>
            <w:bottom w:w="0" w:type="dxa"/>
            <w:right w:w="0" w:type="dxa"/>
          </w:tblCellMar>
        </w:tblPrEx>
        <w:tc>
          <w:tcPr>
            <w:tcW w:w="1233" w:type="pct"/>
            <w:tcBorders>
              <w:top w:val="single" w:color="000000" w:sz="4" w:space="0"/>
              <w:left w:val="single" w:color="000000" w:sz="4" w:space="0"/>
              <w:bottom w:val="single" w:color="000000" w:sz="4" w:space="0"/>
              <w:right w:val="single" w:color="000000" w:sz="4" w:space="0"/>
            </w:tcBorders>
          </w:tcPr>
          <w:p w14:paraId="397325EF">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u w:val="single"/>
                <w:lang w:eastAsia="zh-CN"/>
              </w:rPr>
            </w:pPr>
            <w:r>
              <w:rPr>
                <w:rFonts w:ascii="Arial" w:hAnsi="Arial" w:eastAsia="宋体" w:cs="Arial"/>
                <w:sz w:val="21"/>
                <w:szCs w:val="21"/>
                <w:u w:val="single"/>
                <w:lang w:eastAsia="zh-CN"/>
              </w:rPr>
              <w:t>未解决的异常（漏洞或缺陷）</w:t>
            </w:r>
          </w:p>
        </w:tc>
        <w:tc>
          <w:tcPr>
            <w:tcW w:w="1371" w:type="pct"/>
            <w:tcBorders>
              <w:top w:val="single" w:color="000000" w:sz="4" w:space="0"/>
              <w:left w:val="single" w:color="000000" w:sz="4" w:space="0"/>
              <w:bottom w:val="single" w:color="000000" w:sz="4" w:space="0"/>
              <w:right w:val="single" w:color="000000" w:sz="4" w:space="0"/>
            </w:tcBorders>
          </w:tcPr>
          <w:p w14:paraId="4A3E6935">
            <w:pPr>
              <w:pStyle w:val="25"/>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无需</w:t>
            </w:r>
            <w:r>
              <w:rPr>
                <w:rFonts w:hint="eastAsia" w:ascii="Arial" w:hAnsi="Arial" w:eastAsia="宋体" w:cs="Arial"/>
                <w:sz w:val="21"/>
                <w:szCs w:val="21"/>
                <w:lang w:eastAsia="zh-CN"/>
              </w:rPr>
              <w:t>提交</w:t>
            </w:r>
            <w:r>
              <w:rPr>
                <w:rFonts w:ascii="Arial" w:hAnsi="Arial" w:eastAsia="宋体" w:cs="Arial"/>
                <w:sz w:val="21"/>
                <w:szCs w:val="21"/>
                <w:lang w:eastAsia="zh-CN"/>
              </w:rPr>
              <w:t>任何文件。</w:t>
            </w:r>
          </w:p>
        </w:tc>
        <w:tc>
          <w:tcPr>
            <w:tcW w:w="2397" w:type="pct"/>
            <w:gridSpan w:val="2"/>
            <w:tcBorders>
              <w:top w:val="single" w:color="000000" w:sz="4" w:space="0"/>
              <w:left w:val="single" w:color="000000" w:sz="4" w:space="0"/>
              <w:bottom w:val="single" w:color="000000" w:sz="4" w:space="0"/>
              <w:right w:val="single" w:color="000000" w:sz="4" w:space="0"/>
            </w:tcBorders>
          </w:tcPr>
          <w:p w14:paraId="77FFC393">
            <w:pPr>
              <w:overflowPunct w:val="0"/>
              <w:snapToGrid w:val="0"/>
              <w:spacing w:before="72" w:beforeLines="30" w:after="72" w:afterLines="30" w:line="276" w:lineRule="auto"/>
              <w:ind w:left="44" w:leftChars="20" w:right="44" w:rightChars="20"/>
              <w:jc w:val="both"/>
              <w:rPr>
                <w:rFonts w:ascii="Arial" w:hAnsi="Arial" w:eastAsia="宋体" w:cs="Arial"/>
                <w:sz w:val="21"/>
                <w:szCs w:val="21"/>
                <w:lang w:eastAsia="zh-CN"/>
              </w:rPr>
            </w:pPr>
            <w:r>
              <w:rPr>
                <w:rFonts w:ascii="Arial" w:hAnsi="Arial" w:eastAsia="宋体" w:cs="Arial"/>
                <w:sz w:val="21"/>
                <w:szCs w:val="21"/>
                <w:lang w:eastAsia="zh-CN"/>
              </w:rPr>
              <w:t>剩余软件异常的清单，并注明其对安全性或有效性的影响，包括操作者使用和人为因素。</w:t>
            </w:r>
          </w:p>
        </w:tc>
      </w:tr>
    </w:tbl>
    <w:p w14:paraId="2D1B3A99">
      <w:pPr>
        <w:pStyle w:val="3"/>
        <w:numPr>
          <w:ilvl w:val="1"/>
          <w:numId w:val="1"/>
        </w:numPr>
        <w:tabs>
          <w:tab w:val="left" w:pos="828"/>
        </w:tabs>
        <w:overflowPunct w:val="0"/>
        <w:snapToGrid w:val="0"/>
        <w:spacing w:after="120" w:afterLines="50" w:line="300" w:lineRule="auto"/>
        <w:ind w:left="448" w:hanging="448"/>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开始临床研究前，硬件和软件组件配置必须与器械最终版本的预期配置非常相似或完全相同。完成临床研究后，但在器械</w:t>
      </w:r>
      <w:r>
        <w:rPr>
          <w:rFonts w:hint="eastAsia" w:ascii="Arial" w:hAnsi="Arial" w:eastAsia="宋体" w:cs="Arial"/>
          <w:lang w:eastAsia="zh-CN"/>
        </w:rPr>
        <w:t>获得</w:t>
      </w:r>
      <w:r>
        <w:rPr>
          <w:rFonts w:ascii="Arial" w:hAnsi="Arial" w:eastAsia="宋体" w:cs="Arial"/>
          <w:lang w:eastAsia="zh-CN"/>
        </w:rPr>
        <w:t>批准和分销前，如果对硬件或软件做出任何重大</w:t>
      </w:r>
      <w:r>
        <w:rPr>
          <w:rFonts w:hint="eastAsia" w:ascii="Arial" w:hAnsi="Arial" w:eastAsia="宋体" w:cs="Arial"/>
          <w:lang w:eastAsia="zh-CN"/>
        </w:rPr>
        <w:t>变更</w:t>
      </w:r>
      <w:r>
        <w:rPr>
          <w:rFonts w:ascii="Arial" w:hAnsi="Arial" w:eastAsia="宋体" w:cs="Arial"/>
          <w:lang w:eastAsia="zh-CN"/>
        </w:rPr>
        <w:t>，</w:t>
      </w:r>
      <w:r>
        <w:rPr>
          <w:rFonts w:hint="eastAsia" w:ascii="Arial" w:hAnsi="Arial" w:eastAsia="宋体" w:cs="Arial"/>
          <w:lang w:eastAsia="zh-CN"/>
        </w:rPr>
        <w:t>则</w:t>
      </w:r>
      <w:r>
        <w:rPr>
          <w:rFonts w:ascii="Arial" w:hAnsi="Arial" w:eastAsia="宋体" w:cs="Arial"/>
          <w:lang w:eastAsia="zh-CN"/>
        </w:rPr>
        <w:t>必须实施风险评估并纳入510（k）提交</w:t>
      </w:r>
      <w:r>
        <w:rPr>
          <w:rFonts w:hint="eastAsia" w:ascii="Arial" w:hAnsi="Arial" w:eastAsia="宋体" w:cs="Arial"/>
          <w:lang w:eastAsia="zh-CN"/>
        </w:rPr>
        <w:t>中</w:t>
      </w:r>
      <w:r>
        <w:rPr>
          <w:rFonts w:ascii="Arial" w:hAnsi="Arial" w:eastAsia="宋体" w:cs="Arial"/>
          <w:lang w:eastAsia="zh-CN"/>
        </w:rPr>
        <w:t>。</w:t>
      </w:r>
    </w:p>
    <w:p w14:paraId="6B433839">
      <w:pPr>
        <w:pStyle w:val="3"/>
        <w:overflowPunct w:val="0"/>
        <w:snapToGrid w:val="0"/>
        <w:spacing w:after="120" w:afterLines="50" w:line="300" w:lineRule="auto"/>
        <w:ind w:left="0"/>
        <w:rPr>
          <w:rFonts w:ascii="Arial" w:hAnsi="Arial" w:eastAsia="宋体" w:cs="Arial"/>
          <w:lang w:eastAsia="zh-CN"/>
        </w:rPr>
      </w:pPr>
      <w:r>
        <w:rPr>
          <w:rFonts w:ascii="Arial" w:hAnsi="Arial" w:eastAsia="宋体" w:cs="Arial"/>
          <w:lang w:eastAsia="zh-CN"/>
        </w:rPr>
        <w:t>关于FDA认为应如何确定关注水平</w:t>
      </w:r>
      <w:r>
        <w:rPr>
          <w:rFonts w:hint="eastAsia" w:ascii="Arial" w:hAnsi="Arial" w:eastAsia="宋体" w:cs="Arial"/>
          <w:lang w:eastAsia="zh-CN"/>
        </w:rPr>
        <w:t>以及</w:t>
      </w:r>
      <w:r>
        <w:rPr>
          <w:rFonts w:ascii="Arial" w:hAnsi="Arial" w:eastAsia="宋体" w:cs="Arial"/>
          <w:lang w:eastAsia="zh-CN"/>
        </w:rPr>
        <w:t>软件文件的</w:t>
      </w:r>
      <w:r>
        <w:rPr>
          <w:rFonts w:hint="eastAsia" w:ascii="Arial" w:hAnsi="Arial" w:eastAsia="宋体" w:cs="Arial"/>
          <w:lang w:eastAsia="zh-CN"/>
        </w:rPr>
        <w:t>其他说明的更多信息，请参</w:t>
      </w:r>
      <w:r>
        <w:rPr>
          <w:rFonts w:ascii="Arial" w:hAnsi="Arial" w:eastAsia="宋体" w:cs="Arial"/>
          <w:lang w:eastAsia="zh-CN"/>
        </w:rPr>
        <w:t>见</w:t>
      </w:r>
      <w:r>
        <w:rPr>
          <w:rFonts w:hint="eastAsia" w:ascii="Arial" w:hAnsi="Arial" w:eastAsia="宋体" w:cs="Arial"/>
          <w:lang w:eastAsia="zh-CN"/>
        </w:rPr>
        <w:t>标题</w:t>
      </w:r>
      <w:r>
        <w:rPr>
          <w:rFonts w:ascii="Arial" w:hAnsi="Arial" w:eastAsia="宋体" w:cs="Arial"/>
          <w:lang w:eastAsia="zh-CN"/>
        </w:rPr>
        <w:t>为</w:t>
      </w:r>
      <w:r>
        <w:rPr>
          <w:rFonts w:hint="eastAsia" w:ascii="Arial" w:hAnsi="Arial" w:eastAsia="宋体" w:cs="Arial"/>
          <w:lang w:eastAsia="zh-CN"/>
        </w:rPr>
        <w:t>“</w:t>
      </w:r>
      <w:r>
        <w:rPr>
          <w:rFonts w:ascii="Arial" w:hAnsi="Arial" w:eastAsia="宋体" w:cs="Arial"/>
          <w:lang w:eastAsia="zh-CN"/>
        </w:rPr>
        <w:t>医疗器械</w:t>
      </w:r>
      <w:r>
        <w:rPr>
          <w:rFonts w:hint="eastAsia" w:ascii="Arial" w:hAnsi="Arial" w:eastAsia="宋体" w:cs="Arial"/>
          <w:lang w:eastAsia="zh-CN"/>
        </w:rPr>
        <w:t>中</w:t>
      </w:r>
      <w:r>
        <w:rPr>
          <w:rFonts w:ascii="Arial" w:hAnsi="Arial" w:eastAsia="宋体" w:cs="Arial"/>
          <w:lang w:eastAsia="zh-CN"/>
        </w:rPr>
        <w:t>包含软件的上市前提交内容</w:t>
      </w:r>
      <w:r>
        <w:rPr>
          <w:rFonts w:hint="eastAsia" w:ascii="Arial" w:hAnsi="Arial" w:eastAsia="宋体" w:cs="Arial"/>
          <w:lang w:eastAsia="zh-CN"/>
        </w:rPr>
        <w:t>”</w:t>
      </w:r>
      <w:r>
        <w:rPr>
          <w:rFonts w:ascii="Arial" w:hAnsi="Arial" w:eastAsia="宋体" w:cs="Arial"/>
          <w:lang w:eastAsia="zh-CN"/>
        </w:rPr>
        <w:t>的FDA指南</w:t>
      </w:r>
      <w:r>
        <w:rPr>
          <w:rFonts w:ascii="Arial" w:hAnsi="Arial" w:eastAsia="宋体" w:cs="Arial"/>
        </w:rPr>
        <w:t>（</w:t>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u w:val="single" w:color="000000"/>
        </w:rPr>
        <w:t>http://www.fda.gov/MedicalDevices/DeviceRegulationandGuidance/GuidanceDocuments</w:t>
      </w:r>
      <w:r>
        <w:rPr>
          <w:rFonts w:ascii="Arial" w:hAnsi="Arial" w:eastAsia="宋体" w:cs="Arial"/>
          <w:u w:val="single" w:color="000000"/>
        </w:rPr>
        <w:fldChar w:fldCharType="end"/>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u w:val="single" w:color="000000"/>
          <w:lang w:eastAsia="zh-CN"/>
        </w:rPr>
        <w:t>/ucm089543.htm</w:t>
      </w:r>
      <w:r>
        <w:rPr>
          <w:rFonts w:ascii="Arial" w:hAnsi="Arial" w:eastAsia="宋体" w:cs="Arial"/>
          <w:lang w:eastAsia="zh-CN"/>
        </w:rPr>
        <w:t>）。</w:t>
      </w:r>
      <w:r>
        <w:rPr>
          <w:rFonts w:ascii="Arial" w:hAnsi="Arial" w:eastAsia="宋体" w:cs="Arial"/>
          <w:lang w:eastAsia="zh-CN"/>
        </w:rPr>
        <w:fldChar w:fldCharType="end"/>
      </w:r>
    </w:p>
    <w:p w14:paraId="4F9783E6">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以下参考文件</w:t>
      </w:r>
      <w:r>
        <w:rPr>
          <w:rFonts w:hint="eastAsia" w:ascii="Arial" w:hAnsi="Arial" w:eastAsia="宋体" w:cs="Arial"/>
          <w:lang w:eastAsia="zh-CN"/>
        </w:rPr>
        <w:t>可能有助于在符合</w:t>
      </w:r>
      <w:r>
        <w:rPr>
          <w:rFonts w:ascii="Arial" w:hAnsi="Arial" w:eastAsia="宋体" w:cs="Arial"/>
          <w:lang w:eastAsia="zh-CN"/>
        </w:rPr>
        <w:t>FDA</w:t>
      </w:r>
      <w:r>
        <w:rPr>
          <w:rFonts w:hint="eastAsia" w:ascii="Arial" w:hAnsi="Arial" w:eastAsia="宋体" w:cs="Arial"/>
          <w:lang w:eastAsia="zh-CN"/>
        </w:rPr>
        <w:t>规定</w:t>
      </w:r>
      <w:r>
        <w:rPr>
          <w:rFonts w:ascii="Arial" w:hAnsi="Arial" w:eastAsia="宋体" w:cs="Arial"/>
          <w:lang w:eastAsia="zh-CN"/>
        </w:rPr>
        <w:t>的良好软件生命周期</w:t>
      </w:r>
      <w:r>
        <w:rPr>
          <w:rFonts w:hint="eastAsia" w:ascii="Arial" w:hAnsi="Arial" w:eastAsia="宋体" w:cs="Arial"/>
          <w:lang w:eastAsia="zh-CN"/>
        </w:rPr>
        <w:t>实践中</w:t>
      </w:r>
      <w:r>
        <w:rPr>
          <w:rFonts w:ascii="Arial" w:hAnsi="Arial" w:eastAsia="宋体" w:cs="Arial"/>
          <w:lang w:eastAsia="zh-CN"/>
        </w:rPr>
        <w:t>开发和维护新器械：</w:t>
      </w:r>
    </w:p>
    <w:p w14:paraId="033F97AA">
      <w:pPr>
        <w:pStyle w:val="3"/>
        <w:numPr>
          <w:ilvl w:val="0"/>
          <w:numId w:val="8"/>
        </w:numPr>
        <w:tabs>
          <w:tab w:val="left" w:pos="468"/>
        </w:tabs>
        <w:overflowPunct w:val="0"/>
        <w:snapToGrid w:val="0"/>
        <w:spacing w:after="120" w:afterLines="50" w:line="300" w:lineRule="auto"/>
        <w:ind w:left="420"/>
        <w:jc w:val="both"/>
        <w:rPr>
          <w:rFonts w:ascii="Arial" w:hAnsi="Arial" w:eastAsia="宋体" w:cs="Arial"/>
          <w:lang w:eastAsia="zh-CN"/>
        </w:rPr>
      </w:pPr>
      <w:r>
        <w:rPr>
          <w:rFonts w:hint="eastAsia" w:ascii="Arial" w:hAnsi="Arial" w:eastAsia="宋体" w:cs="Arial"/>
          <w:lang w:eastAsia="zh-CN"/>
        </w:rPr>
        <w:t>标题</w:t>
      </w:r>
      <w:r>
        <w:rPr>
          <w:rFonts w:ascii="Arial" w:hAnsi="Arial" w:eastAsia="宋体" w:cs="Arial"/>
          <w:lang w:eastAsia="zh-CN"/>
        </w:rPr>
        <w:t>为</w:t>
      </w:r>
      <w:bookmarkStart w:id="29" w:name="OLE_LINK29"/>
      <w:r>
        <w:rPr>
          <w:rFonts w:hint="eastAsia" w:ascii="Arial" w:hAnsi="Arial" w:eastAsia="宋体" w:cs="Arial"/>
          <w:lang w:eastAsia="zh-CN"/>
        </w:rPr>
        <w:t>“</w:t>
      </w:r>
      <w:r>
        <w:rPr>
          <w:rFonts w:ascii="Arial" w:hAnsi="Arial" w:eastAsia="宋体" w:cs="Arial"/>
          <w:lang w:eastAsia="zh-CN"/>
        </w:rPr>
        <w:t>软件确认的通用原则；行业和FDA工作人员最终指南</w:t>
      </w:r>
      <w:bookmarkEnd w:id="29"/>
      <w:r>
        <w:rPr>
          <w:rFonts w:hint="eastAsia" w:ascii="Arial" w:hAnsi="Arial" w:eastAsia="宋体" w:cs="Arial"/>
          <w:lang w:eastAsia="zh-CN"/>
        </w:rPr>
        <w:t>”</w:t>
      </w:r>
      <w:r>
        <w:rPr>
          <w:rFonts w:ascii="Arial" w:hAnsi="Arial" w:eastAsia="宋体" w:cs="Arial"/>
          <w:lang w:eastAsia="zh-CN"/>
        </w:rPr>
        <w:t>的</w:t>
      </w:r>
      <w:r>
        <w:rPr>
          <w:rFonts w:hint="eastAsia" w:ascii="Arial" w:hAnsi="Arial" w:eastAsia="宋体" w:cs="Arial"/>
          <w:lang w:eastAsia="zh-CN"/>
        </w:rPr>
        <w:t>指南</w:t>
      </w:r>
      <w:r>
        <w:rPr>
          <w:rFonts w:ascii="Arial" w:hAnsi="Arial" w:eastAsia="宋体" w:cs="Arial"/>
          <w:lang w:eastAsia="zh-CN"/>
        </w:rPr>
        <w:t>，（</w:t>
      </w:r>
      <w:r>
        <w:fldChar w:fldCharType="begin"/>
      </w:r>
      <w:r>
        <w:instrText xml:space="preserve"> HYPERLINK "http://www.fda.gov/MedicalDevices/DeviceRegulationandGuidance/GuidanceDocuments/ucm085281.htm" \h </w:instrText>
      </w:r>
      <w:r>
        <w:fldChar w:fldCharType="separate"/>
      </w:r>
      <w:r>
        <w:rPr>
          <w:rFonts w:ascii="Arial" w:hAnsi="Arial" w:eastAsia="宋体" w:cs="Arial"/>
          <w:u w:val="single" w:color="000000"/>
          <w:lang w:eastAsia="zh-CN"/>
        </w:rPr>
        <w:t>http://www.fda.gov/MedicalDevices/DeviceRegulationandGuidance/GuidanceDocum</w:t>
      </w:r>
      <w:r>
        <w:rPr>
          <w:rFonts w:ascii="Arial" w:hAnsi="Arial" w:eastAsia="宋体" w:cs="Arial"/>
          <w:u w:val="single" w:color="000000"/>
          <w:lang w:eastAsia="zh-CN"/>
        </w:rPr>
        <w:fldChar w:fldCharType="end"/>
      </w:r>
      <w:r>
        <w:rPr>
          <w:rFonts w:ascii="Arial" w:hAnsi="Arial" w:eastAsia="宋体" w:cs="Arial"/>
          <w:lang w:eastAsia="zh-CN"/>
        </w:rPr>
        <w:t xml:space="preserve"> </w:t>
      </w:r>
      <w:r>
        <w:fldChar w:fldCharType="begin"/>
      </w:r>
      <w:r>
        <w:instrText xml:space="preserve"> HYPERLINK "http://www.fda.gov/MedicalDevices/DeviceRegulationandGuidance/GuidanceDocuments/ucm085281.htm" \h </w:instrText>
      </w:r>
      <w:r>
        <w:fldChar w:fldCharType="separate"/>
      </w:r>
      <w:r>
        <w:rPr>
          <w:rFonts w:ascii="Arial" w:hAnsi="Arial" w:eastAsia="宋体" w:cs="Arial"/>
          <w:lang w:eastAsia="zh-CN"/>
        </w:rPr>
        <w:t xml:space="preserve"> </w:t>
      </w:r>
      <w:r>
        <w:rPr>
          <w:rFonts w:ascii="Arial" w:hAnsi="Arial" w:eastAsia="宋体" w:cs="Arial"/>
          <w:u w:val="single" w:color="000000"/>
          <w:lang w:eastAsia="zh-CN"/>
        </w:rPr>
        <w:t>ents/ucm085281.htm</w:t>
      </w:r>
      <w:r>
        <w:rPr>
          <w:rFonts w:ascii="Arial" w:hAnsi="Arial" w:eastAsia="宋体" w:cs="Arial"/>
          <w:lang w:eastAsia="zh-CN"/>
        </w:rPr>
        <w:t>）。</w:t>
      </w:r>
      <w:r>
        <w:rPr>
          <w:rFonts w:ascii="Arial" w:hAnsi="Arial" w:eastAsia="宋体" w:cs="Arial"/>
          <w:lang w:eastAsia="zh-CN"/>
        </w:rPr>
        <w:fldChar w:fldCharType="end"/>
      </w:r>
    </w:p>
    <w:p w14:paraId="060168DE">
      <w:pPr>
        <w:pStyle w:val="3"/>
        <w:numPr>
          <w:ilvl w:val="0"/>
          <w:numId w:val="8"/>
        </w:numPr>
        <w:tabs>
          <w:tab w:val="left" w:pos="468"/>
        </w:tabs>
        <w:overflowPunct w:val="0"/>
        <w:snapToGrid w:val="0"/>
        <w:spacing w:after="120" w:afterLines="50" w:line="300" w:lineRule="auto"/>
        <w:ind w:left="420"/>
        <w:rPr>
          <w:rFonts w:ascii="Arial" w:hAnsi="Arial" w:eastAsia="宋体" w:cs="Arial"/>
        </w:rPr>
      </w:pPr>
      <w:r>
        <w:rPr>
          <w:rFonts w:hint="eastAsia" w:ascii="Arial" w:hAnsi="Arial" w:eastAsia="宋体" w:cs="Arial"/>
          <w:lang w:eastAsia="zh-CN"/>
        </w:rPr>
        <w:t>标题</w:t>
      </w:r>
      <w:r>
        <w:rPr>
          <w:rFonts w:ascii="Arial" w:hAnsi="Arial" w:eastAsia="宋体" w:cs="Arial"/>
          <w:lang w:eastAsia="zh-CN"/>
        </w:rPr>
        <w:t>为</w:t>
      </w:r>
      <w:r>
        <w:rPr>
          <w:rFonts w:hint="eastAsia" w:ascii="Arial" w:hAnsi="Arial" w:eastAsia="宋体" w:cs="Arial"/>
          <w:lang w:eastAsia="zh-CN"/>
        </w:rPr>
        <w:t>“</w:t>
      </w:r>
      <w:r>
        <w:rPr>
          <w:rFonts w:ascii="Arial" w:hAnsi="Arial" w:eastAsia="宋体" w:cs="Arial"/>
          <w:lang w:eastAsia="zh-CN"/>
        </w:rPr>
        <w:t>医疗器械使用现成软件</w:t>
      </w:r>
      <w:r>
        <w:rPr>
          <w:rFonts w:hint="eastAsia" w:ascii="Arial" w:hAnsi="Arial" w:eastAsia="宋体" w:cs="Arial"/>
          <w:lang w:eastAsia="zh-CN"/>
        </w:rPr>
        <w:t>”</w:t>
      </w:r>
      <w:r>
        <w:rPr>
          <w:rFonts w:ascii="Arial" w:hAnsi="Arial" w:eastAsia="宋体" w:cs="Arial"/>
          <w:lang w:eastAsia="zh-CN"/>
        </w:rPr>
        <w:t>的</w:t>
      </w:r>
      <w:r>
        <w:rPr>
          <w:rFonts w:hint="eastAsia" w:ascii="Arial" w:hAnsi="Arial" w:eastAsia="宋体" w:cs="Arial"/>
          <w:lang w:eastAsia="zh-CN"/>
        </w:rPr>
        <w:t>指南</w:t>
      </w:r>
      <w:r>
        <w:rPr>
          <w:rFonts w:ascii="Arial" w:hAnsi="Arial" w:eastAsia="宋体" w:cs="Arial"/>
        </w:rPr>
        <w:t>（</w:t>
      </w:r>
      <w:r>
        <w:fldChar w:fldCharType="begin"/>
      </w:r>
      <w:r>
        <w:instrText xml:space="preserve"> HYPERLINK "http://www.fda.gov/downloads/MedicalDevices/DeviceRegulationandGuidance/GuidanceDocuments/ucm073779.pdf" \h </w:instrText>
      </w:r>
      <w:r>
        <w:fldChar w:fldCharType="separate"/>
      </w:r>
      <w:r>
        <w:rPr>
          <w:rFonts w:ascii="Arial" w:hAnsi="Arial" w:eastAsia="宋体" w:cs="Arial"/>
        </w:rPr>
        <w:t>http://www.fda.gov/downloads/MedicalDevices/DeviceRegulationandGuidance/Guida</w:t>
      </w:r>
      <w:r>
        <w:rPr>
          <w:rFonts w:ascii="Arial" w:hAnsi="Arial" w:eastAsia="宋体" w:cs="Arial"/>
        </w:rPr>
        <w:fldChar w:fldCharType="end"/>
      </w:r>
      <w:r>
        <w:rPr>
          <w:rFonts w:ascii="Arial" w:hAnsi="Arial" w:eastAsia="宋体" w:cs="Arial"/>
        </w:rPr>
        <w:t xml:space="preserve"> </w:t>
      </w:r>
      <w:r>
        <w:fldChar w:fldCharType="begin"/>
      </w:r>
      <w:r>
        <w:instrText xml:space="preserve"> HYPERLINK "http://www.fda.gov/downloads/MedicalDevices/DeviceRegulationandGuidance/GuidanceDocuments/ucm073779.pdf" \h </w:instrText>
      </w:r>
      <w:r>
        <w:fldChar w:fldCharType="separate"/>
      </w:r>
      <w:r>
        <w:rPr>
          <w:rFonts w:ascii="Arial" w:hAnsi="Arial" w:eastAsia="宋体" w:cs="Arial"/>
        </w:rPr>
        <w:t>nceDocuments/ucm073779.pdf）</w:t>
      </w:r>
      <w:r>
        <w:rPr>
          <w:rFonts w:ascii="Arial" w:hAnsi="Arial" w:eastAsia="宋体" w:cs="Arial"/>
          <w:lang w:eastAsia="zh-CN"/>
        </w:rPr>
        <w:t>。</w:t>
      </w:r>
      <w:r>
        <w:rPr>
          <w:rFonts w:ascii="Arial" w:hAnsi="Arial" w:eastAsia="宋体" w:cs="Arial"/>
          <w:lang w:eastAsia="zh-CN"/>
        </w:rPr>
        <w:fldChar w:fldCharType="end"/>
      </w:r>
    </w:p>
    <w:p w14:paraId="28A734D1">
      <w:pPr>
        <w:pStyle w:val="3"/>
        <w:numPr>
          <w:ilvl w:val="0"/>
          <w:numId w:val="8"/>
        </w:numPr>
        <w:tabs>
          <w:tab w:val="left" w:pos="468"/>
        </w:tabs>
        <w:overflowPunct w:val="0"/>
        <w:snapToGrid w:val="0"/>
        <w:spacing w:after="120" w:afterLines="50" w:line="300" w:lineRule="auto"/>
        <w:ind w:left="420"/>
        <w:jc w:val="both"/>
        <w:rPr>
          <w:rFonts w:ascii="Arial" w:hAnsi="Arial" w:eastAsia="宋体" w:cs="Arial"/>
          <w:lang w:eastAsia="zh-CN"/>
        </w:rPr>
      </w:pPr>
      <w:r>
        <w:rPr>
          <w:rFonts w:hint="eastAsia" w:ascii="Arial" w:hAnsi="Arial" w:eastAsia="宋体" w:cs="Arial"/>
          <w:lang w:eastAsia="zh-CN"/>
        </w:rPr>
        <w:t>标题</w:t>
      </w:r>
      <w:r>
        <w:rPr>
          <w:rFonts w:ascii="Arial" w:hAnsi="Arial" w:eastAsia="宋体" w:cs="Arial"/>
          <w:lang w:eastAsia="zh-CN"/>
        </w:rPr>
        <w:t>为</w:t>
      </w:r>
      <w:r>
        <w:rPr>
          <w:rFonts w:hint="eastAsia" w:ascii="Arial" w:hAnsi="Arial" w:eastAsia="宋体" w:cs="Arial"/>
          <w:lang w:eastAsia="zh-CN"/>
        </w:rPr>
        <w:t>“</w:t>
      </w:r>
      <w:r>
        <w:fldChar w:fldCharType="begin"/>
      </w:r>
      <w:r>
        <w:instrText xml:space="preserve"> HYPERLINK "http://www.fda.gov/MedicalDevices/DeviceRegulationandGuidance/GuidanceDocuments/ucm089543.htm" \h </w:instrText>
      </w:r>
      <w:r>
        <w:fldChar w:fldCharType="separate"/>
      </w:r>
      <w:bookmarkStart w:id="30" w:name="OLE_LINK30"/>
      <w:r>
        <w:rPr>
          <w:rFonts w:ascii="Arial" w:hAnsi="Arial" w:eastAsia="宋体" w:cs="Arial"/>
          <w:lang w:eastAsia="zh-CN"/>
        </w:rPr>
        <w:t>医疗器械包含软件的</w:t>
      </w:r>
      <w:bookmarkStart w:id="31" w:name="OLE_LINK169"/>
      <w:bookmarkStart w:id="32" w:name="OLE_LINK170"/>
      <w:r>
        <w:rPr>
          <w:rFonts w:ascii="Arial" w:hAnsi="Arial" w:eastAsia="宋体" w:cs="Arial"/>
          <w:lang w:eastAsia="zh-CN"/>
        </w:rPr>
        <w:t>上市前提交资料内容指南</w:t>
      </w:r>
      <w:bookmarkEnd w:id="30"/>
      <w:bookmarkEnd w:id="31"/>
      <w:bookmarkEnd w:id="32"/>
      <w:r>
        <w:rPr>
          <w:rFonts w:ascii="Arial" w:hAnsi="Arial" w:eastAsia="宋体" w:cs="Arial"/>
          <w:lang w:eastAsia="zh-CN"/>
        </w:rPr>
        <w:fldChar w:fldCharType="end"/>
      </w:r>
      <w:r>
        <w:rPr>
          <w:rFonts w:hint="eastAsia" w:ascii="Arial" w:hAnsi="Arial" w:eastAsia="宋体" w:cs="Arial"/>
          <w:lang w:eastAsia="zh-CN"/>
        </w:rPr>
        <w:t>”</w:t>
      </w:r>
      <w:r>
        <w:rPr>
          <w:rFonts w:ascii="Arial" w:hAnsi="Arial" w:eastAsia="宋体" w:cs="Arial"/>
          <w:lang w:eastAsia="zh-CN"/>
        </w:rPr>
        <w:t>的</w:t>
      </w:r>
      <w:r>
        <w:rPr>
          <w:rFonts w:hint="eastAsia" w:ascii="Arial" w:hAnsi="Arial" w:eastAsia="宋体" w:cs="Arial"/>
          <w:lang w:eastAsia="zh-CN"/>
        </w:rPr>
        <w:t>指南</w:t>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u w:val="single" w:color="000000"/>
          <w:lang w:eastAsia="zh-CN"/>
        </w:rPr>
        <w:t>http://www.fda.gov/MedicalDevices/DeviceRegulationandGuidance/GuidanceDocum</w:t>
      </w:r>
      <w:r>
        <w:rPr>
          <w:rFonts w:ascii="Arial" w:hAnsi="Arial" w:eastAsia="宋体" w:cs="Arial"/>
          <w:u w:val="single" w:color="000000"/>
          <w:lang w:eastAsia="zh-CN"/>
        </w:rPr>
        <w:fldChar w:fldCharType="end"/>
      </w:r>
      <w:r>
        <w:rPr>
          <w:rFonts w:ascii="Arial" w:hAnsi="Arial" w:eastAsia="宋体" w:cs="Arial"/>
          <w:lang w:eastAsia="zh-CN"/>
        </w:rPr>
        <w:t xml:space="preserve"> </w:t>
      </w:r>
      <w:r>
        <w:fldChar w:fldCharType="begin"/>
      </w:r>
      <w:r>
        <w:instrText xml:space="preserve"> HYPERLINK "http://www.fda.gov/MedicalDevices/DeviceRegulationandGuidance/GuidanceDocuments/ucm089543.htm" \h </w:instrText>
      </w:r>
      <w:r>
        <w:fldChar w:fldCharType="separate"/>
      </w:r>
      <w:r>
        <w:rPr>
          <w:rFonts w:ascii="Arial" w:hAnsi="Arial" w:eastAsia="宋体" w:cs="Arial"/>
          <w:lang w:eastAsia="zh-CN"/>
        </w:rPr>
        <w:t xml:space="preserve"> </w:t>
      </w:r>
      <w:r>
        <w:rPr>
          <w:rFonts w:ascii="Arial" w:hAnsi="Arial" w:eastAsia="宋体" w:cs="Arial"/>
          <w:u w:val="single" w:color="000000"/>
          <w:lang w:eastAsia="zh-CN"/>
        </w:rPr>
        <w:t>ents/ucm089543.htm</w:t>
      </w:r>
      <w:r>
        <w:rPr>
          <w:rFonts w:ascii="Arial" w:hAnsi="Arial" w:eastAsia="宋体" w:cs="Arial"/>
          <w:lang w:eastAsia="zh-CN"/>
        </w:rPr>
        <w:t>）。</w:t>
      </w:r>
      <w:r>
        <w:rPr>
          <w:rFonts w:ascii="Arial" w:hAnsi="Arial" w:eastAsia="宋体" w:cs="Arial"/>
          <w:lang w:eastAsia="zh-CN"/>
        </w:rPr>
        <w:fldChar w:fldCharType="end"/>
      </w:r>
    </w:p>
    <w:p w14:paraId="55FBEEC6">
      <w:pPr>
        <w:pStyle w:val="3"/>
        <w:numPr>
          <w:ilvl w:val="0"/>
          <w:numId w:val="8"/>
        </w:numPr>
        <w:tabs>
          <w:tab w:val="left" w:pos="468"/>
        </w:tabs>
        <w:overflowPunct w:val="0"/>
        <w:snapToGrid w:val="0"/>
        <w:spacing w:after="120" w:afterLines="50" w:line="300" w:lineRule="auto"/>
        <w:ind w:left="420"/>
        <w:jc w:val="both"/>
        <w:rPr>
          <w:rFonts w:ascii="Arial" w:hAnsi="Arial" w:eastAsia="宋体" w:cs="Arial"/>
          <w:lang w:eastAsia="zh-CN"/>
        </w:rPr>
      </w:pPr>
      <w:r>
        <w:fldChar w:fldCharType="begin"/>
      </w:r>
      <w:r>
        <w:instrText xml:space="preserve"> HYPERLINK "http://www.accessdata.fda.gov/scripts/cdrh/cfdocs/cfcfr/CFRSearch.cfm?fr=820.30" \h </w:instrText>
      </w:r>
      <w:r>
        <w:fldChar w:fldCharType="separate"/>
      </w:r>
      <w:r>
        <w:rPr>
          <w:rFonts w:ascii="Arial" w:hAnsi="Arial" w:eastAsia="宋体" w:cs="Arial"/>
          <w:lang w:eastAsia="zh-CN"/>
        </w:rPr>
        <w:t>21 CFR 820.30 子部分 C –质量体系法规设计控制</w:t>
      </w:r>
      <w:r>
        <w:rPr>
          <w:rFonts w:ascii="Arial" w:hAnsi="Arial" w:eastAsia="宋体" w:cs="Arial"/>
          <w:lang w:eastAsia="zh-CN"/>
        </w:rPr>
        <w:fldChar w:fldCharType="end"/>
      </w:r>
    </w:p>
    <w:p w14:paraId="2542B99E">
      <w:pPr>
        <w:pStyle w:val="3"/>
        <w:numPr>
          <w:ilvl w:val="0"/>
          <w:numId w:val="8"/>
        </w:numPr>
        <w:tabs>
          <w:tab w:val="left" w:pos="468"/>
        </w:tabs>
        <w:overflowPunct w:val="0"/>
        <w:snapToGrid w:val="0"/>
        <w:spacing w:after="120" w:afterLines="50" w:line="300" w:lineRule="auto"/>
        <w:ind w:left="420"/>
        <w:jc w:val="both"/>
        <w:rPr>
          <w:rFonts w:ascii="Arial" w:hAnsi="Arial" w:eastAsia="宋体" w:cs="Arial"/>
          <w:lang w:eastAsia="zh-CN"/>
        </w:rPr>
      </w:pPr>
      <w:r>
        <w:rPr>
          <w:rFonts w:ascii="Arial" w:hAnsi="Arial" w:eastAsia="宋体" w:cs="Arial"/>
          <w:lang w:eastAsia="zh-CN"/>
        </w:rPr>
        <w:t>ISO 14971-1；医疗器械 – 风险管理 – 第1部分：风险分析应用</w:t>
      </w:r>
    </w:p>
    <w:p w14:paraId="6AC92609">
      <w:pPr>
        <w:pStyle w:val="3"/>
        <w:numPr>
          <w:ilvl w:val="0"/>
          <w:numId w:val="8"/>
        </w:numPr>
        <w:tabs>
          <w:tab w:val="left" w:pos="468"/>
        </w:tabs>
        <w:overflowPunct w:val="0"/>
        <w:snapToGrid w:val="0"/>
        <w:spacing w:after="120" w:afterLines="50" w:line="300" w:lineRule="auto"/>
        <w:ind w:left="420"/>
        <w:jc w:val="both"/>
        <w:rPr>
          <w:rFonts w:ascii="Arial" w:hAnsi="Arial" w:eastAsia="宋体" w:cs="Arial"/>
          <w:lang w:eastAsia="zh-CN"/>
        </w:rPr>
      </w:pPr>
      <w:r>
        <w:rPr>
          <w:rFonts w:ascii="Arial" w:hAnsi="Arial" w:eastAsia="宋体" w:cs="Arial"/>
          <w:lang w:eastAsia="zh-CN"/>
        </w:rPr>
        <w:t>AAMI SW68:2001；医疗器械用软件-软件生命周期过程</w:t>
      </w:r>
    </w:p>
    <w:p w14:paraId="00660D4E">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对于测量多重信号的工具和系统及其他复杂实验室工具，请咨询体外诊断学和放射卫生办公室（OIR）的微生物学器械科。</w:t>
      </w:r>
    </w:p>
    <w:p w14:paraId="3D756F94">
      <w:pPr>
        <w:pStyle w:val="21"/>
        <w:tabs>
          <w:tab w:val="left" w:pos="1548"/>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33" w:name="_Toc497125093"/>
      <w:r>
        <w:rPr>
          <w:rFonts w:ascii="Arial" w:hAnsi="Arial" w:eastAsia="宋体" w:cs="Arial"/>
          <w:sz w:val="28"/>
          <w:szCs w:val="28"/>
          <w:lang w:eastAsia="zh-CN"/>
        </w:rPr>
        <w:t>VI（D）.</w:t>
      </w:r>
      <w:r>
        <w:rPr>
          <w:rFonts w:ascii="Arial" w:hAnsi="Arial" w:eastAsia="宋体" w:cs="Arial"/>
          <w:sz w:val="28"/>
          <w:szCs w:val="28"/>
          <w:lang w:eastAsia="zh-CN"/>
        </w:rPr>
        <w:tab/>
      </w:r>
      <w:bookmarkStart w:id="34" w:name="_bookmark12"/>
      <w:bookmarkEnd w:id="34"/>
      <w:r>
        <w:rPr>
          <w:rFonts w:ascii="Arial" w:hAnsi="Arial" w:eastAsia="宋体" w:cs="Arial"/>
          <w:sz w:val="28"/>
          <w:szCs w:val="28"/>
          <w:lang w:eastAsia="zh-CN"/>
        </w:rPr>
        <w:t>辅助试剂</w:t>
      </w:r>
      <w:bookmarkEnd w:id="33"/>
    </w:p>
    <w:p w14:paraId="7E10E75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辅助试剂是指制造商在器械标签中指定的</w:t>
      </w:r>
      <w:r>
        <w:rPr>
          <w:rFonts w:hint="eastAsia" w:ascii="Arial" w:hAnsi="Arial" w:eastAsia="宋体" w:cs="Arial"/>
          <w:lang w:eastAsia="zh-CN"/>
        </w:rPr>
        <w:t>“</w:t>
      </w:r>
      <w:r>
        <w:rPr>
          <w:rFonts w:ascii="Arial" w:hAnsi="Arial" w:eastAsia="宋体" w:cs="Arial"/>
          <w:lang w:eastAsia="zh-CN"/>
        </w:rPr>
        <w:t>需要但未提供</w:t>
      </w:r>
      <w:r>
        <w:rPr>
          <w:rFonts w:hint="eastAsia" w:ascii="Arial" w:hAnsi="Arial" w:eastAsia="宋体" w:cs="Arial"/>
          <w:lang w:eastAsia="zh-CN"/>
        </w:rPr>
        <w:t>”</w:t>
      </w:r>
      <w:r>
        <w:rPr>
          <w:rFonts w:ascii="Arial" w:hAnsi="Arial" w:eastAsia="宋体" w:cs="Arial"/>
          <w:lang w:eastAsia="zh-CN"/>
        </w:rPr>
        <w:t>的试剂，</w:t>
      </w:r>
      <w:r>
        <w:rPr>
          <w:rFonts w:hint="eastAsia" w:ascii="Arial" w:hAnsi="Arial" w:eastAsia="宋体" w:cs="Arial"/>
          <w:lang w:eastAsia="zh-CN"/>
        </w:rPr>
        <w:t>按照说明书中所指示的使用方法进行</w:t>
      </w:r>
      <w:r>
        <w:rPr>
          <w:rFonts w:ascii="Arial" w:hAnsi="Arial" w:eastAsia="宋体" w:cs="Arial"/>
          <w:lang w:eastAsia="zh-CN"/>
        </w:rPr>
        <w:t>测定并达到标签中声称的试验性能。在本文件中，需关注的辅助试剂是指必须指出制造商和产品目录或产品编号，或其他特定名称，能够使器械达到其标签上性能特点的试剂。例如，如果器械标签指定使用某品牌</w:t>
      </w:r>
      <w:r>
        <w:rPr>
          <w:rFonts w:ascii="Arial" w:hAnsi="Arial" w:eastAsia="宋体" w:cs="Arial"/>
          <w:lang w:eastAsia="zh-CN"/>
        </w:rPr>
        <w:br w:type="page"/>
      </w:r>
      <w:bookmarkStart w:id="35" w:name="OLE_LINK36"/>
      <w:bookmarkStart w:id="36" w:name="OLE_LINK35"/>
      <w:r>
        <w:rPr>
          <w:rFonts w:ascii="Arial" w:hAnsi="Arial" w:eastAsia="宋体" w:cs="Arial"/>
          <w:lang w:eastAsia="zh-CN"/>
        </w:rPr>
        <w:t>核酸扩增酶</w:t>
      </w:r>
      <w:bookmarkEnd w:id="35"/>
      <w:bookmarkEnd w:id="36"/>
      <w:r>
        <w:rPr>
          <w:rFonts w:ascii="Arial" w:hAnsi="Arial" w:eastAsia="宋体" w:cs="Arial"/>
          <w:lang w:eastAsia="zh-CN"/>
        </w:rPr>
        <w:t>，且使用任何其他核酸扩增酶可能改变器械的性能特点，使其不同于标签中报告的性能特点，</w:t>
      </w:r>
      <w:r>
        <w:rPr>
          <w:rFonts w:hint="eastAsia" w:ascii="Arial" w:hAnsi="Arial" w:eastAsia="宋体" w:cs="Arial"/>
          <w:lang w:eastAsia="zh-CN"/>
        </w:rPr>
        <w:t>则</w:t>
      </w:r>
      <w:r>
        <w:rPr>
          <w:rFonts w:ascii="Arial" w:hAnsi="Arial" w:eastAsia="宋体" w:cs="Arial"/>
          <w:lang w:eastAsia="zh-CN"/>
        </w:rPr>
        <w:t>某品牌核酸扩增酶就是本文件所指的一种需关注辅助试剂。</w:t>
      </w:r>
      <w:r>
        <w:rPr>
          <w:rStyle w:val="14"/>
          <w:rFonts w:ascii="Arial" w:hAnsi="Arial" w:eastAsia="宋体" w:cs="Arial"/>
          <w:lang w:eastAsia="zh-CN"/>
        </w:rPr>
        <w:footnoteReference w:id="3"/>
      </w:r>
    </w:p>
    <w:p w14:paraId="5F95B88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相比之下，如果器械需要使用95%乙醇且任何品牌的95%乙醇都能使器械达到标签中提供的性能特点，</w:t>
      </w:r>
      <w:r>
        <w:rPr>
          <w:rFonts w:hint="eastAsia" w:ascii="Arial" w:hAnsi="Arial" w:eastAsia="宋体" w:cs="Arial"/>
          <w:lang w:eastAsia="zh-CN"/>
        </w:rPr>
        <w:t>则</w:t>
      </w:r>
      <w:r>
        <w:rPr>
          <w:rFonts w:ascii="Arial" w:hAnsi="Arial" w:eastAsia="宋体" w:cs="Arial"/>
          <w:lang w:eastAsia="zh-CN"/>
        </w:rPr>
        <w:t>95%乙醇不是本文件所指的需关注辅助试剂。</w:t>
      </w:r>
    </w:p>
    <w:p w14:paraId="0730B1CA">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器械的使用说明书指定需关注辅助试剂，贵公司的提交中必须说明贵公司如何确保用器械和这些辅助试剂得到的检测结果与上市前提交中描述的性能一致。应仅推荐使用经决定符合贵公司检测质量标准的辅助试剂且必须尽一切努力</w:t>
      </w:r>
      <w:r>
        <w:rPr>
          <w:rFonts w:hint="eastAsia" w:ascii="Arial" w:hAnsi="Arial" w:eastAsia="宋体" w:cs="Arial"/>
          <w:lang w:eastAsia="zh-CN"/>
        </w:rPr>
        <w:t>将</w:t>
      </w:r>
      <w:r>
        <w:rPr>
          <w:rFonts w:ascii="Arial" w:hAnsi="Arial" w:eastAsia="宋体" w:cs="Arial"/>
          <w:lang w:eastAsia="zh-CN"/>
        </w:rPr>
        <w:t>辅助试剂纳入贵公司质量体系。这可能包括应用质量体系方法</w:t>
      </w:r>
      <w:r>
        <w:rPr>
          <w:rFonts w:hint="eastAsia" w:ascii="Arial" w:hAnsi="Arial" w:eastAsia="宋体" w:cs="Arial"/>
          <w:lang w:eastAsia="zh-CN"/>
        </w:rPr>
        <w:t>、</w:t>
      </w:r>
      <w:r>
        <w:rPr>
          <w:rFonts w:ascii="Arial" w:hAnsi="Arial" w:eastAsia="宋体" w:cs="Arial"/>
          <w:lang w:eastAsia="zh-CN"/>
        </w:rPr>
        <w:t>产品标签和其他适当措施。</w:t>
      </w:r>
    </w:p>
    <w:p w14:paraId="7602345D">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为解决这方面的特殊控制，贵公司的510（k）提交</w:t>
      </w:r>
      <w:r>
        <w:rPr>
          <w:rFonts w:hint="eastAsia" w:ascii="Arial" w:hAnsi="Arial" w:eastAsia="宋体" w:cs="Arial"/>
          <w:lang w:eastAsia="zh-CN"/>
        </w:rPr>
        <w:t>中</w:t>
      </w:r>
      <w:r>
        <w:rPr>
          <w:rFonts w:ascii="Arial" w:hAnsi="Arial" w:eastAsia="宋体" w:cs="Arial"/>
          <w:lang w:eastAsia="zh-CN"/>
        </w:rPr>
        <w:t>必须包含</w:t>
      </w:r>
      <w:r>
        <w:rPr>
          <w:rFonts w:hint="eastAsia" w:ascii="Arial" w:hAnsi="Arial" w:eastAsia="宋体" w:cs="Arial"/>
          <w:lang w:eastAsia="zh-CN"/>
        </w:rPr>
        <w:t>以下</w:t>
      </w:r>
      <w:r>
        <w:rPr>
          <w:rFonts w:ascii="Arial" w:hAnsi="Arial" w:eastAsia="宋体" w:cs="Arial"/>
          <w:lang w:eastAsia="zh-CN"/>
        </w:rPr>
        <w:t>描述的信息。FDA将评价提交的信息是否足以证明贵公司器械至少安全且有效，即与合法</w:t>
      </w:r>
      <w:r>
        <w:rPr>
          <w:rFonts w:hint="eastAsia" w:ascii="Arial" w:hAnsi="Arial" w:eastAsia="宋体" w:cs="Arial"/>
          <w:lang w:eastAsia="zh-CN"/>
        </w:rPr>
        <w:t>上市</w:t>
      </w:r>
      <w:r>
        <w:rPr>
          <w:rFonts w:ascii="Arial" w:hAnsi="Arial" w:eastAsia="宋体" w:cs="Arial"/>
          <w:lang w:eastAsia="zh-CN"/>
        </w:rPr>
        <w:t>器械实质等同。</w:t>
      </w:r>
    </w:p>
    <w:p w14:paraId="62A32969">
      <w:pPr>
        <w:pStyle w:val="3"/>
        <w:numPr>
          <w:ilvl w:val="0"/>
          <w:numId w:val="9"/>
        </w:numPr>
        <w:tabs>
          <w:tab w:val="left" w:pos="1008"/>
        </w:tabs>
        <w:overflowPunct w:val="0"/>
        <w:snapToGrid w:val="0"/>
        <w:spacing w:after="120" w:afterLines="50" w:line="300" w:lineRule="auto"/>
        <w:jc w:val="both"/>
        <w:rPr>
          <w:rFonts w:ascii="Arial" w:hAnsi="Arial" w:eastAsia="宋体" w:cs="Arial"/>
          <w:lang w:eastAsia="zh-CN"/>
        </w:rPr>
      </w:pPr>
      <w:r>
        <w:rPr>
          <w:rFonts w:ascii="Arial" w:hAnsi="Arial" w:eastAsia="宋体" w:cs="Arial"/>
          <w:lang w:eastAsia="zh-CN"/>
        </w:rPr>
        <w:t>贵公司的510（k）必须包含解决辅助试剂使用的风险评估，包括与试剂质量和可变性管理相关的风险。评估中必须包含与</w:t>
      </w:r>
      <w:r>
        <w:rPr>
          <w:rFonts w:hint="eastAsia" w:ascii="Arial" w:hAnsi="Arial" w:eastAsia="宋体" w:cs="Arial"/>
          <w:lang w:eastAsia="zh-CN"/>
        </w:rPr>
        <w:t>与辅助试剂直接一同提供的使用说明书与贵公司检测试剂盒提供的使用说明书之间存在不一致的相关风险以及</w:t>
      </w:r>
      <w:r>
        <w:rPr>
          <w:rFonts w:ascii="Arial" w:hAnsi="Arial" w:eastAsia="宋体" w:cs="Arial"/>
          <w:lang w:eastAsia="zh-CN"/>
        </w:rPr>
        <w:t>可能导致用贵公司检测试剂盒获得错误结果</w:t>
      </w:r>
      <w:r>
        <w:rPr>
          <w:rFonts w:hint="eastAsia" w:ascii="Arial" w:hAnsi="Arial" w:eastAsia="宋体" w:cs="Arial"/>
          <w:lang w:eastAsia="zh-CN"/>
        </w:rPr>
        <w:t>的风险</w:t>
      </w:r>
      <w:r>
        <w:rPr>
          <w:rFonts w:ascii="Arial" w:hAnsi="Arial" w:eastAsia="宋体" w:cs="Arial"/>
          <w:lang w:eastAsia="zh-CN"/>
        </w:rPr>
        <w:t>的任何其他问题。</w:t>
      </w:r>
    </w:p>
    <w:p w14:paraId="5937D4E3">
      <w:pPr>
        <w:pStyle w:val="3"/>
        <w:numPr>
          <w:ilvl w:val="0"/>
          <w:numId w:val="9"/>
        </w:numPr>
        <w:tabs>
          <w:tab w:val="left" w:pos="1008"/>
        </w:tabs>
        <w:overflowPunct w:val="0"/>
        <w:snapToGrid w:val="0"/>
        <w:spacing w:after="120" w:afterLines="50" w:line="300" w:lineRule="auto"/>
        <w:jc w:val="both"/>
        <w:rPr>
          <w:rFonts w:ascii="Arial" w:hAnsi="Arial" w:eastAsia="宋体" w:cs="Arial"/>
          <w:lang w:eastAsia="zh-CN"/>
        </w:rPr>
      </w:pPr>
      <w:r>
        <w:rPr>
          <w:rFonts w:ascii="Arial" w:hAnsi="Arial" w:eastAsia="宋体" w:cs="Arial"/>
          <w:lang w:eastAsia="zh-CN"/>
        </w:rPr>
        <w:t>把风险评估作为适用性的基础，贵公司的510（k）中必须着重描述预期如何通过对辅助试剂执行任何必要的控制措施以减轻风险。适用情况下，这些措施包括：</w:t>
      </w:r>
    </w:p>
    <w:p w14:paraId="6348280F">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r>
        <w:rPr>
          <w:rFonts w:ascii="Arial" w:hAnsi="Arial" w:eastAsia="宋体" w:cs="Arial"/>
          <w:lang w:eastAsia="zh-CN"/>
        </w:rPr>
        <w:t>保证恰当使用辅助试剂的用户标签（进一步讨论见</w:t>
      </w:r>
      <w:r>
        <w:rPr>
          <w:rFonts w:hint="eastAsia" w:ascii="Arial" w:hAnsi="Arial" w:eastAsia="宋体" w:cs="Arial"/>
          <w:lang w:eastAsia="zh-CN"/>
        </w:rPr>
        <w:t>第</w:t>
      </w:r>
      <w:r>
        <w:rPr>
          <w:rFonts w:ascii="Arial" w:hAnsi="Arial" w:eastAsia="宋体" w:cs="Arial"/>
          <w:lang w:eastAsia="zh-CN"/>
        </w:rPr>
        <w:t>VIII</w:t>
      </w:r>
      <w:r>
        <w:rPr>
          <w:rFonts w:hint="eastAsia" w:ascii="Arial" w:hAnsi="Arial" w:eastAsia="宋体" w:cs="Arial"/>
          <w:lang w:eastAsia="zh-CN"/>
        </w:rPr>
        <w:t>章</w:t>
      </w:r>
      <w:r>
        <w:rPr>
          <w:rFonts w:ascii="Arial" w:hAnsi="Arial" w:eastAsia="宋体" w:cs="Arial"/>
          <w:lang w:eastAsia="zh-CN"/>
        </w:rPr>
        <w:t>节 –标签）。</w:t>
      </w:r>
    </w:p>
    <w:p w14:paraId="1BCDDCF9">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r>
        <w:rPr>
          <w:rFonts w:ascii="Arial" w:hAnsi="Arial" w:eastAsia="宋体" w:cs="Arial"/>
          <w:lang w:eastAsia="zh-CN"/>
        </w:rPr>
        <w:t>评估用户对标签上关于辅助试剂使用说明遵守情况的计划。</w:t>
      </w:r>
    </w:p>
    <w:p w14:paraId="0ECA5D7C">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r>
        <w:rPr>
          <w:rFonts w:ascii="Arial" w:hAnsi="Arial" w:eastAsia="宋体" w:cs="Arial"/>
          <w:lang w:eastAsia="zh-CN"/>
        </w:rPr>
        <w:t>辅助试剂的材料</w:t>
      </w:r>
      <w:r>
        <w:rPr>
          <w:rFonts w:hint="eastAsia" w:ascii="Arial" w:hAnsi="Arial" w:eastAsia="宋体" w:cs="Arial"/>
          <w:lang w:eastAsia="zh-CN"/>
        </w:rPr>
        <w:t>质量标准</w:t>
      </w:r>
      <w:r>
        <w:rPr>
          <w:rFonts w:ascii="Arial" w:hAnsi="Arial" w:eastAsia="宋体" w:cs="Arial"/>
          <w:lang w:eastAsia="zh-CN"/>
        </w:rPr>
        <w:t>。</w:t>
      </w:r>
    </w:p>
    <w:p w14:paraId="4E0FBEE9">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r>
        <w:rPr>
          <w:rFonts w:ascii="Arial" w:hAnsi="Arial" w:eastAsia="宋体" w:cs="Arial"/>
          <w:lang w:eastAsia="zh-CN"/>
        </w:rPr>
        <w:t>指出能使贵公司器械恰当表现的试剂批次。</w:t>
      </w:r>
    </w:p>
    <w:p w14:paraId="54E879EC">
      <w:pPr>
        <w:pStyle w:val="3"/>
        <w:numPr>
          <w:ilvl w:val="1"/>
          <w:numId w:val="9"/>
        </w:numPr>
        <w:tabs>
          <w:tab w:val="left" w:pos="1908"/>
        </w:tabs>
        <w:overflowPunct w:val="0"/>
        <w:snapToGrid w:val="0"/>
        <w:spacing w:line="300" w:lineRule="auto"/>
        <w:ind w:left="1275" w:hanging="476"/>
        <w:jc w:val="both"/>
        <w:rPr>
          <w:rFonts w:ascii="Arial" w:hAnsi="Arial" w:eastAsia="宋体" w:cs="Arial"/>
        </w:rPr>
      </w:pPr>
      <w:r>
        <w:rPr>
          <w:rFonts w:ascii="Arial" w:hAnsi="Arial" w:eastAsia="宋体" w:cs="Arial"/>
          <w:lang w:eastAsia="zh-CN"/>
        </w:rPr>
        <w:t>稳定性测试。</w:t>
      </w:r>
    </w:p>
    <w:p w14:paraId="5E9DF7A5">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bookmarkStart w:id="37" w:name="_bookmark13"/>
      <w:bookmarkEnd w:id="37"/>
      <w:r>
        <w:rPr>
          <w:rFonts w:ascii="Arial" w:hAnsi="Arial" w:eastAsia="宋体" w:cs="Arial"/>
          <w:lang w:eastAsia="zh-CN"/>
        </w:rPr>
        <w:t>投诉处理。</w:t>
      </w:r>
    </w:p>
    <w:p w14:paraId="46493A9F">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r>
        <w:rPr>
          <w:rFonts w:ascii="Arial" w:hAnsi="Arial" w:eastAsia="宋体" w:cs="Arial"/>
          <w:lang w:eastAsia="zh-CN"/>
        </w:rPr>
        <w:t>纠正预防措施。</w:t>
      </w:r>
    </w:p>
    <w:p w14:paraId="4901E9DD">
      <w:pPr>
        <w:pStyle w:val="3"/>
        <w:numPr>
          <w:ilvl w:val="1"/>
          <w:numId w:val="9"/>
        </w:numPr>
        <w:tabs>
          <w:tab w:val="left" w:pos="1908"/>
        </w:tabs>
        <w:overflowPunct w:val="0"/>
        <w:snapToGrid w:val="0"/>
        <w:spacing w:line="300" w:lineRule="auto"/>
        <w:ind w:left="1274" w:hanging="476"/>
        <w:jc w:val="both"/>
        <w:rPr>
          <w:rFonts w:ascii="Arial" w:hAnsi="Arial" w:eastAsia="宋体" w:cs="Arial"/>
          <w:lang w:eastAsia="zh-CN"/>
        </w:rPr>
      </w:pPr>
      <w:r>
        <w:rPr>
          <w:rFonts w:ascii="Arial" w:hAnsi="Arial" w:eastAsia="宋体" w:cs="Arial"/>
          <w:lang w:eastAsia="zh-CN"/>
        </w:rPr>
        <w:t>涉及辅助试剂的将影响器械性能的问题发生时，用于警告用户的计划。</w:t>
      </w:r>
    </w:p>
    <w:p w14:paraId="632B0E4C">
      <w:pPr>
        <w:pStyle w:val="3"/>
        <w:numPr>
          <w:ilvl w:val="1"/>
          <w:numId w:val="9"/>
        </w:numPr>
        <w:tabs>
          <w:tab w:val="left" w:pos="1908"/>
        </w:tabs>
        <w:overflowPunct w:val="0"/>
        <w:snapToGrid w:val="0"/>
        <w:spacing w:after="240" w:afterLines="100" w:line="300" w:lineRule="auto"/>
        <w:ind w:left="1274" w:hanging="476"/>
        <w:jc w:val="both"/>
        <w:rPr>
          <w:rFonts w:ascii="Arial" w:hAnsi="Arial" w:eastAsia="宋体" w:cs="Arial"/>
          <w:lang w:eastAsia="zh-CN"/>
        </w:rPr>
      </w:pPr>
      <w:r>
        <w:rPr>
          <w:rFonts w:ascii="Arial" w:hAnsi="Arial" w:eastAsia="宋体" w:cs="Arial"/>
          <w:lang w:eastAsia="zh-CN"/>
        </w:rPr>
        <w:t>为保证按照器械的使用说明书，结合指名的辅助试剂，安全并有效运用贵公司的测试，必须解决的任何其他问题。</w:t>
      </w:r>
    </w:p>
    <w:p w14:paraId="16AC5EE4">
      <w:pPr>
        <w:overflowPunct w:val="0"/>
        <w:snapToGrid w:val="0"/>
        <w:spacing w:after="240" w:afterLines="100" w:line="300" w:lineRule="auto"/>
        <w:jc w:val="both"/>
        <w:rPr>
          <w:rFonts w:ascii="Arial" w:hAnsi="Arial" w:eastAsia="宋体" w:cs="Arial"/>
          <w:sz w:val="24"/>
          <w:szCs w:val="24"/>
          <w:lang w:eastAsia="zh-CN"/>
        </w:rPr>
      </w:pPr>
      <w:r>
        <w:rPr>
          <w:rFonts w:ascii="Arial" w:hAnsi="Arial" w:eastAsia="宋体" w:cs="Arial"/>
          <w:sz w:val="24"/>
          <w:szCs w:val="24"/>
          <w:lang w:eastAsia="zh-CN"/>
        </w:rPr>
        <w:t>另外，贵公司必须提供测试数据，证实贵公司提供或推荐的质量控制足以检测辅助试剂的性能或稳定性问题。</w:t>
      </w:r>
    </w:p>
    <w:p w14:paraId="5590CA72">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如果有关于辅助试剂的鉴定，使用或控制方面的问题，可联系OIR的微生物学器械科以获得关于贵公司计划研究的建议或信息。</w:t>
      </w:r>
    </w:p>
    <w:p w14:paraId="5F0893D2">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38" w:name="_Toc497125094"/>
      <w:r>
        <w:rPr>
          <w:rFonts w:ascii="Arial" w:hAnsi="Arial" w:eastAsia="宋体" w:cs="Arial"/>
          <w:sz w:val="28"/>
          <w:szCs w:val="28"/>
          <w:lang w:eastAsia="zh-CN"/>
        </w:rPr>
        <w:t>VI（E）.</w:t>
      </w:r>
      <w:r>
        <w:rPr>
          <w:rFonts w:ascii="Arial" w:hAnsi="Arial" w:eastAsia="宋体" w:cs="Arial"/>
          <w:sz w:val="28"/>
          <w:szCs w:val="28"/>
          <w:lang w:eastAsia="zh-CN"/>
        </w:rPr>
        <w:tab/>
      </w:r>
      <w:bookmarkStart w:id="39" w:name="_bookmark14"/>
      <w:bookmarkEnd w:id="39"/>
      <w:r>
        <w:rPr>
          <w:rFonts w:ascii="Arial" w:hAnsi="Arial" w:eastAsia="宋体" w:cs="Arial"/>
          <w:sz w:val="28"/>
          <w:szCs w:val="28"/>
          <w:lang w:eastAsia="zh-CN"/>
        </w:rPr>
        <w:t>样本收集和处理</w:t>
      </w:r>
      <w:bookmarkEnd w:id="38"/>
    </w:p>
    <w:p w14:paraId="0D0C9D5D">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贵公司的510（k）中必须指定与器械一同使用的样本类型。必须用推荐的样本收集程序从适当的解剖部位或来源收集样本。靶分析物的质量和数量很大程度上取决于样本来源</w:t>
      </w:r>
      <w:r>
        <w:rPr>
          <w:rFonts w:hint="eastAsia" w:ascii="Arial" w:hAnsi="Arial" w:eastAsia="宋体" w:cs="Arial"/>
          <w:lang w:eastAsia="zh-CN"/>
        </w:rPr>
        <w:t>、</w:t>
      </w:r>
      <w:r>
        <w:rPr>
          <w:rFonts w:ascii="Arial" w:hAnsi="Arial" w:eastAsia="宋体" w:cs="Arial"/>
          <w:lang w:eastAsia="zh-CN"/>
        </w:rPr>
        <w:t>收集方法和处理（例如运输和储存时间及温度）等因素。贵公司</w:t>
      </w:r>
      <w:r>
        <w:rPr>
          <w:rFonts w:hint="eastAsia" w:ascii="Arial" w:hAnsi="Arial" w:eastAsia="宋体" w:cs="Arial"/>
          <w:lang w:eastAsia="zh-CN"/>
        </w:rPr>
        <w:t>的</w:t>
      </w:r>
      <w:r>
        <w:rPr>
          <w:rFonts w:ascii="Arial" w:hAnsi="Arial" w:eastAsia="宋体" w:cs="Arial"/>
          <w:lang w:eastAsia="zh-CN"/>
        </w:rPr>
        <w:t>510（k）中提供的测试结果必须证实在标签推荐的所有条件下器械保持可接受性能（例如准确性</w:t>
      </w:r>
      <w:r>
        <w:rPr>
          <w:rFonts w:hint="eastAsia" w:ascii="Arial" w:hAnsi="Arial" w:eastAsia="宋体" w:cs="Arial"/>
          <w:lang w:eastAsia="zh-CN"/>
        </w:rPr>
        <w:t>、</w:t>
      </w:r>
      <w:r>
        <w:rPr>
          <w:rFonts w:ascii="Arial" w:hAnsi="Arial" w:eastAsia="宋体" w:cs="Arial"/>
          <w:lang w:eastAsia="zh-CN"/>
        </w:rPr>
        <w:t>再现性）。必须陈述对所有样本收集和处理条件及稳定性参数的验收标准。</w:t>
      </w:r>
    </w:p>
    <w:p w14:paraId="70A87D0F">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如果器械需使用专门的收集工具包，必须提供关于该工具包的详细信息。此外，泌尿生殖道样本收集工具包必须含关于如何进行收集的详细说明。如果由患者进行收集（自收集），必须提供</w:t>
      </w:r>
      <w:bookmarkStart w:id="40" w:name="OLE_LINK3"/>
      <w:bookmarkStart w:id="41" w:name="OLE_LINK4"/>
      <w:r>
        <w:rPr>
          <w:rFonts w:ascii="Arial" w:hAnsi="Arial" w:eastAsia="宋体" w:cs="Arial"/>
          <w:lang w:eastAsia="zh-CN"/>
        </w:rPr>
        <w:t>用简单易懂语言书写</w:t>
      </w:r>
      <w:bookmarkEnd w:id="40"/>
      <w:bookmarkEnd w:id="41"/>
      <w:r>
        <w:rPr>
          <w:rFonts w:ascii="Arial" w:hAnsi="Arial" w:eastAsia="宋体" w:cs="Arial"/>
          <w:lang w:eastAsia="zh-CN"/>
        </w:rPr>
        <w:t>的其他使用说明，并附图表。</w:t>
      </w:r>
    </w:p>
    <w:p w14:paraId="756D853E">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遵守所有适用的针对鉴定病原体样本收集和处理的州和联邦生物安全指南。关于处理样本的标准预防措施，参考最新版本的临床和实验室标准协会（CLSI）相关文件【参考文件 2】。</w:t>
      </w:r>
    </w:p>
    <w:p w14:paraId="1579B0B1">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42" w:name="_Toc497125095"/>
      <w:r>
        <w:rPr>
          <w:rFonts w:ascii="Arial" w:hAnsi="Arial" w:eastAsia="宋体" w:cs="Arial"/>
          <w:sz w:val="28"/>
          <w:szCs w:val="28"/>
          <w:lang w:eastAsia="zh-CN"/>
        </w:rPr>
        <w:t>VI（F）.</w:t>
      </w:r>
      <w:r>
        <w:rPr>
          <w:rFonts w:ascii="Arial" w:hAnsi="Arial" w:eastAsia="宋体" w:cs="Arial"/>
          <w:sz w:val="28"/>
          <w:szCs w:val="28"/>
          <w:lang w:eastAsia="zh-CN"/>
        </w:rPr>
        <w:tab/>
      </w:r>
      <w:bookmarkStart w:id="43" w:name="_bookmark15"/>
      <w:bookmarkEnd w:id="43"/>
      <w:r>
        <w:rPr>
          <w:rFonts w:ascii="Arial" w:hAnsi="Arial" w:eastAsia="宋体" w:cs="Arial"/>
          <w:sz w:val="28"/>
          <w:szCs w:val="28"/>
          <w:lang w:eastAsia="zh-CN"/>
        </w:rPr>
        <w:t>解释试验结果/报告</w:t>
      </w:r>
      <w:bookmarkEnd w:id="42"/>
    </w:p>
    <w:p w14:paraId="580F2133">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贵公司的510（k）提交必须指出测定过程所有输出结果的cut-off值并</w:t>
      </w:r>
      <w:r>
        <w:rPr>
          <w:rFonts w:hint="eastAsia" w:ascii="Arial" w:hAnsi="Arial" w:eastAsia="宋体" w:cs="Arial"/>
          <w:lang w:eastAsia="zh-CN"/>
        </w:rPr>
        <w:t>重点</w:t>
      </w:r>
      <w:r>
        <w:rPr>
          <w:rFonts w:ascii="Arial" w:hAnsi="Arial" w:eastAsia="宋体" w:cs="Arial"/>
          <w:lang w:eastAsia="zh-CN"/>
        </w:rPr>
        <w:t>描述如何确定阳性</w:t>
      </w:r>
      <w:r>
        <w:rPr>
          <w:rFonts w:hint="eastAsia" w:ascii="Arial" w:hAnsi="Arial" w:eastAsia="宋体" w:cs="Arial"/>
          <w:lang w:eastAsia="zh-CN"/>
        </w:rPr>
        <w:t>、</w:t>
      </w:r>
      <w:r>
        <w:rPr>
          <w:rFonts w:ascii="Arial" w:hAnsi="Arial" w:eastAsia="宋体" w:cs="Arial"/>
          <w:lang w:eastAsia="zh-CN"/>
        </w:rPr>
        <w:t>阴性</w:t>
      </w:r>
      <w:r>
        <w:rPr>
          <w:rFonts w:hint="eastAsia" w:ascii="Arial" w:hAnsi="Arial" w:eastAsia="宋体" w:cs="Arial"/>
          <w:lang w:eastAsia="zh-CN"/>
        </w:rPr>
        <w:t>、</w:t>
      </w:r>
      <w:r>
        <w:rPr>
          <w:rFonts w:ascii="Arial" w:hAnsi="Arial" w:eastAsia="宋体" w:cs="Arial"/>
          <w:lang w:eastAsia="zh-CN"/>
        </w:rPr>
        <w:t>模棱两可（如果适用）或无效结果和最终用户应如何解释这些结果。</w:t>
      </w:r>
    </w:p>
    <w:p w14:paraId="08979414">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必须提供确定测定阴性结果的具体cut-off值（例如信号强度水平）。如果测定仅有两种可能的输出结果（例如阳性和阴性），</w:t>
      </w:r>
      <w:r>
        <w:rPr>
          <w:rFonts w:hint="eastAsia" w:ascii="Arial" w:hAnsi="Arial" w:eastAsia="宋体" w:cs="Arial"/>
          <w:lang w:eastAsia="zh-CN"/>
        </w:rPr>
        <w:t>则</w:t>
      </w:r>
      <w:r>
        <w:rPr>
          <w:rFonts w:ascii="Arial" w:hAnsi="Arial" w:eastAsia="宋体" w:cs="Arial"/>
          <w:lang w:eastAsia="zh-CN"/>
        </w:rPr>
        <w:t>此cut-off值也界定测定的阳性结果。</w:t>
      </w:r>
    </w:p>
    <w:p w14:paraId="1A06CD04">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如果测定存在模棱两可区</w:t>
      </w:r>
      <w:r>
        <w:rPr>
          <w:rFonts w:hint="eastAsia" w:ascii="Arial" w:hAnsi="Arial" w:eastAsia="宋体" w:cs="Arial"/>
          <w:lang w:eastAsia="zh-CN"/>
        </w:rPr>
        <w:t>域</w:t>
      </w:r>
      <w:r>
        <w:rPr>
          <w:rFonts w:ascii="Arial" w:hAnsi="Arial" w:eastAsia="宋体" w:cs="Arial"/>
          <w:lang w:eastAsia="zh-CN"/>
        </w:rPr>
        <w:t>，</w:t>
      </w:r>
      <w:r>
        <w:rPr>
          <w:rFonts w:hint="eastAsia" w:ascii="Arial" w:hAnsi="Arial" w:eastAsia="宋体" w:cs="Arial"/>
          <w:lang w:eastAsia="zh-CN"/>
        </w:rPr>
        <w:t>则</w:t>
      </w:r>
      <w:r>
        <w:rPr>
          <w:rFonts w:ascii="Arial" w:hAnsi="Arial" w:eastAsia="宋体" w:cs="Arial"/>
          <w:lang w:eastAsia="zh-CN"/>
        </w:rPr>
        <w:t>必须提供模棱两可区</w:t>
      </w:r>
      <w:r>
        <w:rPr>
          <w:rFonts w:hint="eastAsia" w:ascii="Arial" w:hAnsi="Arial" w:eastAsia="宋体" w:cs="Arial"/>
          <w:lang w:eastAsia="zh-CN"/>
        </w:rPr>
        <w:t>域</w:t>
      </w:r>
      <w:r>
        <w:rPr>
          <w:rFonts w:ascii="Arial" w:hAnsi="Arial" w:eastAsia="宋体" w:cs="Arial"/>
          <w:lang w:eastAsia="zh-CN"/>
        </w:rPr>
        <w:t>的范围（限值）和对出现模棱两可结果后用户如何继续操作的建议。如果初次出现模棱两可结果需进行重新测试，则510（k）必须提供：</w:t>
      </w:r>
    </w:p>
    <w:p w14:paraId="3D4E91FB">
      <w:pPr>
        <w:pStyle w:val="3"/>
        <w:numPr>
          <w:ilvl w:val="1"/>
          <w:numId w:val="10"/>
        </w:numPr>
        <w:tabs>
          <w:tab w:val="left" w:pos="1008"/>
        </w:tabs>
        <w:overflowPunct w:val="0"/>
        <w:snapToGrid w:val="0"/>
        <w:spacing w:line="300" w:lineRule="auto"/>
        <w:ind w:left="357" w:hanging="357"/>
        <w:jc w:val="both"/>
        <w:rPr>
          <w:rFonts w:ascii="Arial" w:hAnsi="Arial" w:eastAsia="宋体" w:cs="Arial"/>
          <w:lang w:eastAsia="zh-CN"/>
        </w:rPr>
      </w:pPr>
      <w:r>
        <w:rPr>
          <w:rFonts w:ascii="Arial" w:hAnsi="Arial" w:eastAsia="宋体" w:cs="Arial"/>
          <w:lang w:eastAsia="zh-CN"/>
        </w:rPr>
        <w:t>是否必须用相同检测试剂盒或不同方法完成重新测试的建议。</w:t>
      </w:r>
    </w:p>
    <w:p w14:paraId="2E0A49C7">
      <w:pPr>
        <w:pStyle w:val="3"/>
        <w:numPr>
          <w:ilvl w:val="1"/>
          <w:numId w:val="10"/>
        </w:numPr>
        <w:tabs>
          <w:tab w:val="left" w:pos="1008"/>
        </w:tabs>
        <w:overflowPunct w:val="0"/>
        <w:snapToGrid w:val="0"/>
        <w:spacing w:line="300" w:lineRule="auto"/>
        <w:ind w:left="357" w:hanging="357"/>
        <w:jc w:val="both"/>
        <w:rPr>
          <w:rFonts w:ascii="Arial" w:hAnsi="Arial" w:eastAsia="宋体" w:cs="Arial"/>
          <w:lang w:eastAsia="zh-CN"/>
        </w:rPr>
      </w:pPr>
      <w:r>
        <w:rPr>
          <w:rFonts w:ascii="Arial" w:hAnsi="Arial" w:eastAsia="宋体" w:cs="Arial"/>
          <w:lang w:eastAsia="zh-CN"/>
        </w:rPr>
        <w:t>重新测试是否必须从</w:t>
      </w:r>
      <w:r>
        <w:rPr>
          <w:rFonts w:hint="eastAsia" w:ascii="Arial" w:hAnsi="Arial" w:eastAsia="宋体" w:cs="Arial"/>
          <w:lang w:eastAsia="zh-CN"/>
        </w:rPr>
        <w:t>制备</w:t>
      </w:r>
      <w:r>
        <w:rPr>
          <w:rFonts w:ascii="Arial" w:hAnsi="Arial" w:eastAsia="宋体" w:cs="Arial"/>
          <w:lang w:eastAsia="zh-CN"/>
        </w:rPr>
        <w:t>相同核酸</w:t>
      </w:r>
      <w:r>
        <w:rPr>
          <w:rFonts w:hint="eastAsia" w:ascii="Arial" w:hAnsi="Arial" w:eastAsia="宋体" w:cs="Arial"/>
          <w:lang w:eastAsia="zh-CN"/>
        </w:rPr>
        <w:t>、</w:t>
      </w:r>
      <w:r>
        <w:rPr>
          <w:rFonts w:ascii="Arial" w:hAnsi="Arial" w:eastAsia="宋体" w:cs="Arial"/>
          <w:lang w:eastAsia="zh-CN"/>
        </w:rPr>
        <w:t>重新提取或收集新的患者样本开始的建议。</w:t>
      </w:r>
    </w:p>
    <w:p w14:paraId="5A23D5BF">
      <w:pPr>
        <w:pStyle w:val="3"/>
        <w:numPr>
          <w:ilvl w:val="1"/>
          <w:numId w:val="10"/>
        </w:numPr>
        <w:tabs>
          <w:tab w:val="left" w:pos="100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通过结合初始模棱两可结果和重新测试结果确定最终结果的算法。必须在评价测定临床性能的关键临床研究开始前制定该算法。</w:t>
      </w:r>
    </w:p>
    <w:p w14:paraId="411352D7">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如果测定结果无效，</w:t>
      </w:r>
      <w:r>
        <w:rPr>
          <w:rFonts w:hint="eastAsia" w:ascii="Arial" w:hAnsi="Arial" w:eastAsia="宋体" w:cs="Arial"/>
          <w:lang w:eastAsia="zh-CN"/>
        </w:rPr>
        <w:t>则</w:t>
      </w:r>
      <w:r>
        <w:rPr>
          <w:rFonts w:ascii="Arial" w:hAnsi="Arial" w:eastAsia="宋体" w:cs="Arial"/>
          <w:lang w:eastAsia="zh-CN"/>
        </w:rPr>
        <w:t>必须描述如何定义无效结果。如果内部对照是确定无效结果的一部分，</w:t>
      </w:r>
      <w:r>
        <w:rPr>
          <w:rFonts w:hint="eastAsia" w:ascii="Arial" w:hAnsi="Arial" w:eastAsia="宋体" w:cs="Arial"/>
          <w:lang w:eastAsia="zh-CN"/>
        </w:rPr>
        <w:t>则</w:t>
      </w:r>
      <w:r>
        <w:rPr>
          <w:rFonts w:ascii="Arial" w:hAnsi="Arial" w:eastAsia="宋体" w:cs="Arial"/>
          <w:lang w:eastAsia="zh-CN"/>
        </w:rPr>
        <w:t>必须提供关于解释定义无效结果的每种可能的对照结果组合的建议。贵公司必须提供建议说明出现无效结果后如何继续操作（即报告结果为无效还是推荐重新测试）。如果推荐重新测试，</w:t>
      </w:r>
      <w:r>
        <w:rPr>
          <w:rFonts w:hint="eastAsia" w:ascii="Arial" w:hAnsi="Arial" w:eastAsia="宋体" w:cs="Arial"/>
          <w:lang w:eastAsia="zh-CN"/>
        </w:rPr>
        <w:t>则</w:t>
      </w:r>
      <w:r>
        <w:rPr>
          <w:rFonts w:ascii="Arial" w:hAnsi="Arial" w:eastAsia="宋体" w:cs="Arial"/>
          <w:lang w:eastAsia="zh-CN"/>
        </w:rPr>
        <w:t>必须提供与模棱两可结果重新测试信息类似的信息（即重新测试是否必须从相同样本或收集新的患者样本</w:t>
      </w:r>
      <w:r>
        <w:rPr>
          <w:rFonts w:hint="eastAsia" w:ascii="Arial" w:hAnsi="Arial" w:eastAsia="宋体" w:cs="Arial"/>
          <w:lang w:eastAsia="zh-CN"/>
        </w:rPr>
        <w:t>的新等份中</w:t>
      </w:r>
      <w:r>
        <w:rPr>
          <w:rFonts w:ascii="Arial" w:hAnsi="Arial" w:eastAsia="宋体" w:cs="Arial"/>
          <w:lang w:eastAsia="zh-CN"/>
        </w:rPr>
        <w:t>开始）。</w:t>
      </w:r>
    </w:p>
    <w:p w14:paraId="63CEC4AB">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bookmarkStart w:id="44" w:name="_bookmark16"/>
      <w:bookmarkEnd w:id="44"/>
      <w:bookmarkStart w:id="45" w:name="_Toc497125096"/>
      <w:r>
        <w:rPr>
          <w:rFonts w:ascii="Arial" w:hAnsi="Arial" w:eastAsia="宋体" w:cs="Arial"/>
          <w:lang w:eastAsia="zh-CN"/>
        </w:rPr>
        <w:t>性能特点</w:t>
      </w:r>
      <w:bookmarkEnd w:id="45"/>
    </w:p>
    <w:p w14:paraId="103D8E90">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46" w:name="_Toc497125097"/>
      <w:r>
        <w:rPr>
          <w:rFonts w:ascii="Arial" w:hAnsi="Arial" w:eastAsia="宋体" w:cs="Arial"/>
          <w:sz w:val="28"/>
          <w:szCs w:val="28"/>
          <w:lang w:eastAsia="zh-CN"/>
        </w:rPr>
        <w:t>VII（A）.</w:t>
      </w:r>
      <w:bookmarkStart w:id="47" w:name="_bookmark17"/>
      <w:bookmarkEnd w:id="47"/>
      <w:r>
        <w:rPr>
          <w:rFonts w:hint="eastAsia" w:ascii="Arial" w:hAnsi="Arial" w:eastAsia="宋体" w:cs="Arial"/>
          <w:sz w:val="28"/>
          <w:szCs w:val="28"/>
          <w:lang w:eastAsia="zh-CN"/>
        </w:rPr>
        <w:tab/>
      </w:r>
      <w:r>
        <w:rPr>
          <w:rFonts w:ascii="Arial" w:hAnsi="Arial" w:eastAsia="宋体" w:cs="Arial"/>
          <w:sz w:val="28"/>
          <w:szCs w:val="28"/>
          <w:lang w:eastAsia="zh-CN"/>
        </w:rPr>
        <w:t>通用研究原则</w:t>
      </w:r>
      <w:bookmarkEnd w:id="46"/>
    </w:p>
    <w:p w14:paraId="37144E25">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贵公司的510（k）提交必须包含贵公司为证实</w:t>
      </w:r>
      <w:r>
        <w:rPr>
          <w:rFonts w:hint="eastAsia" w:ascii="Arial" w:hAnsi="Arial" w:eastAsia="宋体" w:cs="Arial"/>
          <w:lang w:eastAsia="zh-CN"/>
        </w:rPr>
        <w:t>以下</w:t>
      </w:r>
      <w:r>
        <w:rPr>
          <w:rFonts w:ascii="Arial" w:hAnsi="Arial" w:eastAsia="宋体" w:cs="Arial"/>
          <w:lang w:eastAsia="zh-CN"/>
        </w:rPr>
        <w:t>列出的每项性能特点所实施研究的详细描述性信息。</w:t>
      </w:r>
    </w:p>
    <w:p w14:paraId="1D62ECA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必须评价贵公司试剂盒对于预期与其一同使用的每种样本类型的性能。</w:t>
      </w:r>
    </w:p>
    <w:p w14:paraId="425C2930">
      <w:pPr>
        <w:pStyle w:val="3"/>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贵公司的</w:t>
      </w:r>
      <w:r>
        <w:rPr>
          <w:rFonts w:ascii="Arial" w:hAnsi="Arial" w:eastAsia="宋体" w:cs="Arial"/>
          <w:lang w:eastAsia="zh-CN"/>
        </w:rPr>
        <w:t>510（k）提交必须提供关于试剂盒开发期间所用方案的适当具体信息，以便审核时FDA能准确解释贵公司申请内包含的验收标准和数据总结。如果参考临床和实验室标准协会（CLSI） 方案或指南，</w:t>
      </w:r>
      <w:r>
        <w:rPr>
          <w:rFonts w:hint="eastAsia" w:ascii="Arial" w:hAnsi="Arial" w:eastAsia="宋体" w:cs="Arial"/>
          <w:lang w:eastAsia="zh-CN"/>
        </w:rPr>
        <w:t>则</w:t>
      </w:r>
      <w:r>
        <w:rPr>
          <w:rFonts w:ascii="Arial" w:hAnsi="Arial" w:eastAsia="宋体" w:cs="Arial"/>
          <w:lang w:eastAsia="zh-CN"/>
        </w:rPr>
        <w:t>必须说明遵守了方案或指南的哪些具体方面。也可以引用已发表文献中的相关</w:t>
      </w:r>
      <w:r>
        <w:rPr>
          <w:rFonts w:hint="eastAsia" w:ascii="Arial" w:hAnsi="Arial" w:eastAsia="宋体" w:cs="Arial"/>
          <w:lang w:eastAsia="zh-CN"/>
        </w:rPr>
        <w:t>结果</w:t>
      </w:r>
      <w:r>
        <w:rPr>
          <w:rFonts w:ascii="Arial" w:hAnsi="Arial" w:eastAsia="宋体" w:cs="Arial"/>
          <w:lang w:eastAsia="zh-CN"/>
        </w:rPr>
        <w:t>。</w:t>
      </w:r>
    </w:p>
    <w:p w14:paraId="159ECD3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开始临床研究前请联系OIR的微生物学器械科以获得关于贵公司计划研究的反馈并确认这些研究将支持器械的提议预期用途。</w:t>
      </w:r>
    </w:p>
    <w:p w14:paraId="24E66F41">
      <w:pPr>
        <w:pStyle w:val="21"/>
        <w:tabs>
          <w:tab w:val="left" w:pos="1547"/>
        </w:tabs>
        <w:overflowPunct w:val="0"/>
        <w:snapToGrid w:val="0"/>
        <w:spacing w:after="120" w:afterLines="50" w:line="300" w:lineRule="auto"/>
        <w:ind w:left="0" w:firstLine="559" w:firstLineChars="232"/>
        <w:jc w:val="both"/>
        <w:rPr>
          <w:rFonts w:ascii="Arial" w:hAnsi="Arial" w:eastAsia="宋体" w:cs="Arial"/>
          <w:sz w:val="28"/>
          <w:szCs w:val="28"/>
          <w:lang w:eastAsia="zh-CN"/>
        </w:rPr>
      </w:pPr>
      <w:r>
        <w:rPr>
          <w:rFonts w:ascii="Arial" w:hAnsi="Arial" w:eastAsia="宋体" w:cs="Arial"/>
          <w:sz w:val="24"/>
          <w:szCs w:val="24"/>
          <w:lang w:eastAsia="zh-CN"/>
        </w:rPr>
        <w:br w:type="page"/>
      </w:r>
      <w:bookmarkStart w:id="48" w:name="_Toc497125098"/>
      <w:r>
        <w:rPr>
          <w:rFonts w:ascii="Arial" w:hAnsi="Arial" w:eastAsia="宋体" w:cs="Arial"/>
          <w:sz w:val="28"/>
          <w:szCs w:val="28"/>
          <w:lang w:eastAsia="zh-CN"/>
        </w:rPr>
        <w:t>VII（B）.</w:t>
      </w:r>
      <w:bookmarkStart w:id="49" w:name="_bookmark18"/>
      <w:bookmarkEnd w:id="49"/>
      <w:r>
        <w:rPr>
          <w:rFonts w:hint="eastAsia" w:ascii="Arial" w:hAnsi="Arial" w:eastAsia="宋体" w:cs="Arial"/>
          <w:sz w:val="28"/>
          <w:szCs w:val="28"/>
          <w:lang w:eastAsia="zh-CN"/>
        </w:rPr>
        <w:tab/>
      </w:r>
      <w:r>
        <w:rPr>
          <w:rFonts w:ascii="Arial" w:hAnsi="Arial" w:eastAsia="宋体" w:cs="Arial"/>
          <w:sz w:val="28"/>
          <w:szCs w:val="28"/>
          <w:lang w:eastAsia="zh-CN"/>
        </w:rPr>
        <w:t>对照品</w:t>
      </w:r>
      <w:bookmarkEnd w:id="48"/>
    </w:p>
    <w:p w14:paraId="62BCA5EE">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实施</w:t>
      </w:r>
      <w:r>
        <w:rPr>
          <w:rFonts w:hint="eastAsia" w:ascii="Arial" w:hAnsi="Arial" w:eastAsia="宋体" w:cs="Arial"/>
          <w:lang w:eastAsia="zh-CN"/>
        </w:rPr>
        <w:t>以下</w:t>
      </w:r>
      <w:r>
        <w:rPr>
          <w:rFonts w:ascii="Arial" w:hAnsi="Arial" w:eastAsia="宋体" w:cs="Arial"/>
          <w:lang w:eastAsia="zh-CN"/>
        </w:rPr>
        <w:t>描述的性能研究时，在分析性研究和临床研究整个持续期间，只要有测试，贵公司必须实施适当的对照。如果适用于器械，必须测试</w:t>
      </w:r>
      <w:r>
        <w:rPr>
          <w:rFonts w:hint="eastAsia" w:ascii="Arial" w:hAnsi="Arial" w:eastAsia="宋体" w:cs="Arial"/>
          <w:lang w:eastAsia="zh-CN"/>
        </w:rPr>
        <w:t>以下</w:t>
      </w:r>
      <w:r>
        <w:rPr>
          <w:rFonts w:ascii="Arial" w:hAnsi="Arial" w:eastAsia="宋体" w:cs="Arial"/>
          <w:lang w:eastAsia="zh-CN"/>
        </w:rPr>
        <w:t>描述的对照品并将结果纳入510（k）。必须规定对照品的供应商并制定计划</w:t>
      </w:r>
      <w:r>
        <w:rPr>
          <w:rFonts w:hint="eastAsia" w:ascii="Arial" w:hAnsi="Arial" w:eastAsia="宋体" w:cs="Arial"/>
          <w:lang w:eastAsia="zh-CN"/>
        </w:rPr>
        <w:t>为</w:t>
      </w:r>
      <w:r>
        <w:rPr>
          <w:rFonts w:ascii="Arial" w:hAnsi="Arial" w:eastAsia="宋体" w:cs="Arial"/>
          <w:lang w:eastAsia="zh-CN"/>
        </w:rPr>
        <w:t>对照品</w:t>
      </w:r>
      <w:r>
        <w:rPr>
          <w:rFonts w:hint="eastAsia" w:ascii="Arial" w:hAnsi="Arial" w:eastAsia="宋体" w:cs="Arial"/>
          <w:lang w:eastAsia="zh-CN"/>
        </w:rPr>
        <w:t>提供</w:t>
      </w:r>
      <w:r>
        <w:rPr>
          <w:rFonts w:ascii="Arial" w:hAnsi="Arial" w:eastAsia="宋体" w:cs="Arial"/>
          <w:lang w:eastAsia="zh-CN"/>
        </w:rPr>
        <w:t>持续</w:t>
      </w:r>
      <w:r>
        <w:rPr>
          <w:rFonts w:hint="eastAsia" w:ascii="Arial" w:hAnsi="Arial" w:eastAsia="宋体" w:cs="Arial"/>
          <w:lang w:eastAsia="zh-CN"/>
        </w:rPr>
        <w:t>可用性</w:t>
      </w:r>
      <w:r>
        <w:rPr>
          <w:rFonts w:ascii="Arial" w:hAnsi="Arial" w:eastAsia="宋体" w:cs="Arial"/>
          <w:lang w:eastAsia="zh-CN"/>
        </w:rPr>
        <w:t>。关于适当对照品的进一步信息，可联系OIR的微生物学器械科。</w:t>
      </w:r>
    </w:p>
    <w:p w14:paraId="3B8802E3">
      <w:pPr>
        <w:pStyle w:val="22"/>
        <w:tabs>
          <w:tab w:val="left" w:pos="2267"/>
        </w:tabs>
        <w:overflowPunct w:val="0"/>
        <w:snapToGrid w:val="0"/>
        <w:spacing w:after="120" w:afterLines="50" w:line="300" w:lineRule="auto"/>
        <w:ind w:left="0" w:firstLine="964" w:firstLineChars="400"/>
        <w:jc w:val="both"/>
        <w:rPr>
          <w:rFonts w:ascii="Arial" w:hAnsi="Arial" w:eastAsia="宋体" w:cs="Arial"/>
          <w:b w:val="0"/>
          <w:bCs w:val="0"/>
          <w:sz w:val="24"/>
          <w:szCs w:val="24"/>
          <w:lang w:eastAsia="zh-CN"/>
        </w:rPr>
      </w:pPr>
      <w:bookmarkStart w:id="50" w:name="_Toc497125099"/>
      <w:r>
        <w:rPr>
          <w:rFonts w:ascii="Arial" w:hAnsi="Arial" w:eastAsia="宋体" w:cs="Arial"/>
          <w:sz w:val="24"/>
          <w:szCs w:val="24"/>
          <w:lang w:eastAsia="zh-CN"/>
        </w:rPr>
        <w:t>VII（B）（1）.</w:t>
      </w:r>
      <w:r>
        <w:rPr>
          <w:rFonts w:ascii="Arial" w:hAnsi="Arial" w:eastAsia="宋体" w:cs="Arial"/>
          <w:sz w:val="24"/>
          <w:szCs w:val="24"/>
          <w:lang w:eastAsia="zh-CN"/>
        </w:rPr>
        <w:tab/>
      </w:r>
      <w:bookmarkStart w:id="51" w:name="_bookmark19"/>
      <w:bookmarkEnd w:id="51"/>
      <w:r>
        <w:rPr>
          <w:rFonts w:ascii="Arial" w:hAnsi="Arial" w:eastAsia="宋体" w:cs="Arial"/>
          <w:sz w:val="24"/>
          <w:szCs w:val="24"/>
          <w:lang w:eastAsia="zh-CN"/>
        </w:rPr>
        <w:t>阴性对照</w:t>
      </w:r>
      <w:bookmarkEnd w:id="50"/>
    </w:p>
    <w:p w14:paraId="6D854796">
      <w:pPr>
        <w:overflowPunct w:val="0"/>
        <w:snapToGrid w:val="0"/>
        <w:spacing w:after="120" w:afterLines="50" w:line="300" w:lineRule="auto"/>
        <w:jc w:val="both"/>
        <w:rPr>
          <w:rFonts w:ascii="Arial" w:hAnsi="Arial" w:eastAsia="宋体" w:cs="Arial"/>
          <w:bCs/>
          <w:i/>
          <w:sz w:val="24"/>
          <w:szCs w:val="24"/>
          <w:lang w:eastAsia="zh-CN"/>
        </w:rPr>
      </w:pPr>
      <w:r>
        <w:rPr>
          <w:rFonts w:ascii="Arial" w:hAnsi="Arial" w:eastAsia="宋体" w:cs="Arial"/>
          <w:bCs/>
          <w:i/>
          <w:sz w:val="24"/>
          <w:szCs w:val="24"/>
          <w:lang w:eastAsia="zh-CN"/>
        </w:rPr>
        <w:t>空白或无模板对照</w:t>
      </w:r>
    </w:p>
    <w:p w14:paraId="08C69D88">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空白，或</w:t>
      </w:r>
      <w:r>
        <w:rPr>
          <w:rFonts w:hint="eastAsia" w:ascii="Arial" w:hAnsi="Arial" w:eastAsia="宋体" w:cs="Arial"/>
          <w:lang w:eastAsia="zh-CN"/>
        </w:rPr>
        <w:t>“</w:t>
      </w:r>
      <w:r>
        <w:rPr>
          <w:rFonts w:ascii="Arial" w:hAnsi="Arial" w:eastAsia="宋体" w:cs="Arial"/>
          <w:lang w:eastAsia="zh-CN"/>
        </w:rPr>
        <w:t>无模板</w:t>
      </w:r>
      <w:r>
        <w:rPr>
          <w:rFonts w:hint="eastAsia" w:ascii="Arial" w:hAnsi="Arial" w:eastAsia="宋体" w:cs="Arial"/>
          <w:lang w:eastAsia="zh-CN"/>
        </w:rPr>
        <w:t>”</w:t>
      </w:r>
      <w:r>
        <w:rPr>
          <w:rFonts w:ascii="Arial" w:hAnsi="Arial" w:eastAsia="宋体" w:cs="Arial"/>
          <w:lang w:eastAsia="zh-CN"/>
        </w:rPr>
        <w:t>对照，包含缓冲剂或</w:t>
      </w:r>
      <w:bookmarkStart w:id="52" w:name="OLE_LINK7"/>
      <w:bookmarkStart w:id="53" w:name="OLE_LINK8"/>
      <w:r>
        <w:rPr>
          <w:rFonts w:ascii="Arial" w:hAnsi="Arial" w:eastAsia="宋体" w:cs="Arial"/>
          <w:lang w:eastAsia="zh-CN"/>
        </w:rPr>
        <w:t>样本运输培养基</w:t>
      </w:r>
      <w:bookmarkEnd w:id="52"/>
      <w:bookmarkEnd w:id="53"/>
      <w:r>
        <w:rPr>
          <w:rFonts w:ascii="Arial" w:hAnsi="Arial" w:eastAsia="宋体" w:cs="Arial"/>
          <w:lang w:eastAsia="zh-CN"/>
        </w:rPr>
        <w:t>和所有试剂盒组分，核酸除外。</w:t>
      </w:r>
      <w:r>
        <w:rPr>
          <w:rFonts w:hint="eastAsia" w:ascii="Arial" w:hAnsi="Arial" w:eastAsia="宋体" w:cs="Arial"/>
          <w:lang w:eastAsia="zh-CN"/>
        </w:rPr>
        <w:t>该</w:t>
      </w:r>
      <w:r>
        <w:rPr>
          <w:rFonts w:ascii="Arial" w:hAnsi="Arial" w:eastAsia="宋体" w:cs="Arial"/>
          <w:lang w:eastAsia="zh-CN"/>
        </w:rPr>
        <w:t>对照用于排除靶核酸污染或扩增反应中背景增加的情况。对于在</w:t>
      </w:r>
      <w:bookmarkStart w:id="54" w:name="OLE_LINK10"/>
      <w:bookmarkStart w:id="55" w:name="OLE_LINK9"/>
      <w:r>
        <w:rPr>
          <w:rFonts w:hint="eastAsia" w:ascii="Arial" w:hAnsi="Arial" w:eastAsia="宋体" w:cs="Arial"/>
          <w:lang w:eastAsia="zh-CN"/>
        </w:rPr>
        <w:t>单项检测一次性</w:t>
      </w:r>
      <w:bookmarkEnd w:id="54"/>
      <w:bookmarkEnd w:id="55"/>
      <w:r>
        <w:rPr>
          <w:rFonts w:hint="eastAsia" w:ascii="Arial" w:hAnsi="Arial" w:eastAsia="宋体" w:cs="Arial"/>
          <w:lang w:eastAsia="zh-CN"/>
        </w:rPr>
        <w:t>试剂盒</w:t>
      </w:r>
      <w:r>
        <w:rPr>
          <w:rFonts w:ascii="Arial" w:hAnsi="Arial" w:eastAsia="宋体" w:cs="Arial"/>
          <w:lang w:eastAsia="zh-CN"/>
        </w:rPr>
        <w:t>或试管中实施的测定，可能无需进行这种对照。</w:t>
      </w:r>
    </w:p>
    <w:p w14:paraId="20E1C592">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阴性样本对照</w:t>
      </w:r>
    </w:p>
    <w:p w14:paraId="6B5E8A20">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阴性样本对照用于评价完整的测定程序，包括提取。</w:t>
      </w:r>
      <w:r>
        <w:rPr>
          <w:rFonts w:hint="eastAsia" w:ascii="Arial" w:hAnsi="Arial" w:eastAsia="宋体" w:cs="Arial"/>
          <w:lang w:eastAsia="zh-CN"/>
        </w:rPr>
        <w:t>贵</w:t>
      </w:r>
      <w:r>
        <w:rPr>
          <w:rFonts w:ascii="Arial" w:hAnsi="Arial" w:eastAsia="宋体" w:cs="Arial"/>
          <w:lang w:eastAsia="zh-CN"/>
        </w:rPr>
        <w:t>对照的阴性结果证实无靶序列时不获得信号（例如由于非特异性引发或检测）。可接受的阴性样本对照品有：</w:t>
      </w:r>
    </w:p>
    <w:p w14:paraId="0B290C28">
      <w:pPr>
        <w:numPr>
          <w:ilvl w:val="1"/>
          <w:numId w:val="1"/>
        </w:numPr>
        <w:tabs>
          <w:tab w:val="left" w:pos="828"/>
        </w:tabs>
        <w:overflowPunct w:val="0"/>
        <w:snapToGrid w:val="0"/>
        <w:spacing w:after="120" w:afterLines="50" w:line="300" w:lineRule="auto"/>
        <w:ind w:left="840" w:hanging="308"/>
        <w:jc w:val="both"/>
        <w:rPr>
          <w:rFonts w:ascii="Arial" w:hAnsi="Arial" w:eastAsia="宋体" w:cs="Arial"/>
          <w:sz w:val="24"/>
          <w:szCs w:val="24"/>
          <w:lang w:eastAsia="zh-CN"/>
        </w:rPr>
      </w:pPr>
      <w:r>
        <w:rPr>
          <w:rFonts w:ascii="Arial" w:hAnsi="Arial" w:eastAsia="宋体" w:cs="Arial"/>
          <w:sz w:val="24"/>
          <w:szCs w:val="24"/>
          <w:lang w:eastAsia="zh-CN"/>
        </w:rPr>
        <w:t>来自非</w:t>
      </w:r>
      <w:r>
        <w:rPr>
          <w:rFonts w:ascii="Arial" w:hAnsi="Arial" w:eastAsia="宋体" w:cs="Arial"/>
          <w:i/>
          <w:sz w:val="24"/>
          <w:szCs w:val="24"/>
          <w:lang w:eastAsia="zh-CN"/>
        </w:rPr>
        <w:t>阴道毛滴虫</w:t>
      </w:r>
      <w:r>
        <w:rPr>
          <w:rFonts w:ascii="Arial" w:hAnsi="Arial" w:eastAsia="宋体" w:cs="Arial"/>
          <w:sz w:val="24"/>
          <w:szCs w:val="24"/>
          <w:lang w:eastAsia="zh-CN"/>
        </w:rPr>
        <w:t>感染患者的样本</w:t>
      </w:r>
    </w:p>
    <w:p w14:paraId="543E6D71">
      <w:pPr>
        <w:pStyle w:val="3"/>
        <w:numPr>
          <w:ilvl w:val="1"/>
          <w:numId w:val="1"/>
        </w:numPr>
        <w:tabs>
          <w:tab w:val="left" w:pos="828"/>
        </w:tabs>
        <w:overflowPunct w:val="0"/>
        <w:snapToGrid w:val="0"/>
        <w:spacing w:after="120" w:afterLines="50" w:line="300" w:lineRule="auto"/>
        <w:ind w:left="840" w:hanging="308"/>
        <w:jc w:val="both"/>
        <w:rPr>
          <w:rFonts w:ascii="Arial" w:hAnsi="Arial" w:eastAsia="宋体" w:cs="Arial"/>
          <w:lang w:eastAsia="zh-CN"/>
        </w:rPr>
      </w:pPr>
      <w:r>
        <w:rPr>
          <w:rFonts w:ascii="Arial" w:hAnsi="Arial" w:eastAsia="宋体" w:cs="Arial"/>
          <w:lang w:eastAsia="zh-CN"/>
        </w:rPr>
        <w:t>含非靶标生物体的样本（例如受非</w:t>
      </w:r>
      <w:r>
        <w:rPr>
          <w:rFonts w:ascii="Arial" w:hAnsi="Arial" w:eastAsia="宋体" w:cs="Arial"/>
          <w:i/>
          <w:lang w:eastAsia="zh-CN"/>
        </w:rPr>
        <w:t>阴道毛滴虫</w:t>
      </w:r>
      <w:r>
        <w:rPr>
          <w:rFonts w:ascii="Arial" w:hAnsi="Arial" w:eastAsia="宋体" w:cs="Arial"/>
          <w:lang w:eastAsia="zh-CN"/>
        </w:rPr>
        <w:t>原生动物感染的细胞系）</w:t>
      </w:r>
    </w:p>
    <w:p w14:paraId="7548E725">
      <w:pPr>
        <w:pStyle w:val="22"/>
        <w:tabs>
          <w:tab w:val="left" w:pos="2267"/>
        </w:tabs>
        <w:overflowPunct w:val="0"/>
        <w:snapToGrid w:val="0"/>
        <w:spacing w:after="120" w:afterLines="50" w:line="300" w:lineRule="auto"/>
        <w:ind w:left="0" w:firstLine="964" w:firstLineChars="400"/>
        <w:jc w:val="both"/>
        <w:rPr>
          <w:rFonts w:ascii="Arial" w:hAnsi="Arial" w:eastAsia="宋体" w:cs="Arial"/>
          <w:sz w:val="24"/>
          <w:szCs w:val="24"/>
          <w:lang w:eastAsia="zh-CN"/>
        </w:rPr>
      </w:pPr>
      <w:bookmarkStart w:id="56" w:name="_Toc497125100"/>
      <w:r>
        <w:rPr>
          <w:rFonts w:ascii="Arial" w:hAnsi="Arial" w:eastAsia="宋体" w:cs="Arial"/>
          <w:sz w:val="24"/>
          <w:szCs w:val="24"/>
          <w:lang w:eastAsia="zh-CN"/>
        </w:rPr>
        <w:t>VII（B）（2）.</w:t>
      </w:r>
      <w:r>
        <w:rPr>
          <w:rFonts w:ascii="Arial" w:hAnsi="Arial" w:eastAsia="宋体" w:cs="Arial"/>
          <w:sz w:val="24"/>
          <w:szCs w:val="24"/>
          <w:lang w:eastAsia="zh-CN"/>
        </w:rPr>
        <w:tab/>
      </w:r>
      <w:bookmarkStart w:id="57" w:name="_bookmark20"/>
      <w:bookmarkEnd w:id="57"/>
      <w:r>
        <w:rPr>
          <w:rFonts w:ascii="Arial" w:hAnsi="Arial" w:eastAsia="宋体" w:cs="Arial"/>
          <w:sz w:val="24"/>
          <w:szCs w:val="24"/>
          <w:lang w:eastAsia="zh-CN"/>
        </w:rPr>
        <w:t>阳性对照</w:t>
      </w:r>
      <w:bookmarkEnd w:id="56"/>
    </w:p>
    <w:p w14:paraId="55234D20">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完整测定的阳性对照</w:t>
      </w:r>
    </w:p>
    <w:p w14:paraId="3E6C9D4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阳性对照含靶核酸，并用于对照整个测定过程，包括核酸提取</w:t>
      </w:r>
      <w:r>
        <w:rPr>
          <w:rFonts w:hint="eastAsia" w:ascii="Arial" w:hAnsi="Arial" w:eastAsia="宋体" w:cs="Arial"/>
          <w:lang w:eastAsia="zh-CN"/>
        </w:rPr>
        <w:t>、</w:t>
      </w:r>
      <w:r>
        <w:rPr>
          <w:rFonts w:ascii="Arial" w:hAnsi="Arial" w:eastAsia="宋体" w:cs="Arial"/>
          <w:lang w:eastAsia="zh-CN"/>
        </w:rPr>
        <w:t>扩增和检测。设计</w:t>
      </w:r>
      <w:r>
        <w:rPr>
          <w:rFonts w:hint="eastAsia" w:ascii="Arial" w:hAnsi="Arial" w:eastAsia="宋体" w:cs="Arial"/>
          <w:lang w:eastAsia="zh-CN"/>
        </w:rPr>
        <w:t>该</w:t>
      </w:r>
      <w:r>
        <w:rPr>
          <w:rFonts w:ascii="Arial" w:hAnsi="Arial" w:eastAsia="宋体" w:cs="Arial"/>
          <w:lang w:eastAsia="zh-CN"/>
        </w:rPr>
        <w:t>对照的目的是模仿患者样本并作为独立样本测试，与患者样本同时进行，测试频率由实验室的质量体系（QS）决定。可接受的阳性测定对照品包括：</w:t>
      </w:r>
    </w:p>
    <w:p w14:paraId="4AA665C2">
      <w:pPr>
        <w:pStyle w:val="3"/>
        <w:numPr>
          <w:ilvl w:val="1"/>
          <w:numId w:val="1"/>
        </w:numPr>
        <w:tabs>
          <w:tab w:val="left" w:pos="828"/>
        </w:tabs>
        <w:overflowPunct w:val="0"/>
        <w:snapToGrid w:val="0"/>
        <w:spacing w:after="120" w:afterLines="50" w:line="300" w:lineRule="auto"/>
        <w:ind w:left="840" w:hanging="308"/>
        <w:jc w:val="both"/>
        <w:rPr>
          <w:rFonts w:ascii="Arial" w:hAnsi="Arial" w:eastAsia="宋体" w:cs="Arial"/>
          <w:i/>
          <w:lang w:eastAsia="zh-CN"/>
        </w:rPr>
      </w:pPr>
      <w:r>
        <w:rPr>
          <w:rFonts w:ascii="Arial" w:hAnsi="Arial" w:eastAsia="宋体" w:cs="Arial"/>
          <w:i/>
          <w:lang w:eastAsia="zh-CN"/>
        </w:rPr>
        <w:t>灭活的完整阴道毛滴虫</w:t>
      </w:r>
    </w:p>
    <w:p w14:paraId="3A0295D5">
      <w:pPr>
        <w:pStyle w:val="3"/>
        <w:numPr>
          <w:ilvl w:val="1"/>
          <w:numId w:val="1"/>
        </w:numPr>
        <w:tabs>
          <w:tab w:val="left" w:pos="828"/>
        </w:tabs>
        <w:overflowPunct w:val="0"/>
        <w:snapToGrid w:val="0"/>
        <w:spacing w:after="120" w:afterLines="50" w:line="300" w:lineRule="auto"/>
        <w:ind w:left="840" w:hanging="308"/>
        <w:jc w:val="both"/>
        <w:rPr>
          <w:rFonts w:ascii="Arial" w:hAnsi="Arial" w:eastAsia="宋体" w:cs="Arial"/>
          <w:i/>
          <w:lang w:eastAsia="zh-CN"/>
        </w:rPr>
      </w:pPr>
      <w:r>
        <w:rPr>
          <w:rFonts w:ascii="Arial" w:hAnsi="Arial" w:eastAsia="宋体" w:cs="Arial"/>
          <w:i/>
          <w:lang w:eastAsia="zh-CN"/>
        </w:rPr>
        <w:t>阴道毛</w:t>
      </w:r>
      <w:r>
        <w:rPr>
          <w:rFonts w:ascii="Arial" w:hAnsi="Arial" w:eastAsia="宋体" w:cs="Arial"/>
          <w:lang w:eastAsia="zh-CN"/>
        </w:rPr>
        <w:t>滴虫</w:t>
      </w:r>
      <w:r>
        <w:rPr>
          <w:rFonts w:ascii="Arial" w:hAnsi="Arial" w:eastAsia="宋体" w:cs="Arial"/>
          <w:i/>
          <w:lang w:eastAsia="zh-CN"/>
        </w:rPr>
        <w:t>阳性的患者样本</w:t>
      </w:r>
    </w:p>
    <w:p w14:paraId="3A3B1F02">
      <w:pPr>
        <w:pStyle w:val="3"/>
        <w:numPr>
          <w:ilvl w:val="1"/>
          <w:numId w:val="1"/>
        </w:numPr>
        <w:tabs>
          <w:tab w:val="left" w:pos="828"/>
        </w:tabs>
        <w:overflowPunct w:val="0"/>
        <w:snapToGrid w:val="0"/>
        <w:spacing w:after="120" w:afterLines="50" w:line="300" w:lineRule="auto"/>
        <w:ind w:left="840" w:hanging="308"/>
        <w:jc w:val="both"/>
        <w:rPr>
          <w:rFonts w:ascii="Arial" w:hAnsi="Arial" w:eastAsia="宋体" w:cs="Arial"/>
          <w:lang w:eastAsia="zh-CN"/>
        </w:rPr>
      </w:pPr>
      <w:r>
        <w:rPr>
          <w:rFonts w:ascii="Arial" w:hAnsi="Arial" w:eastAsia="宋体" w:cs="Arial"/>
          <w:lang w:eastAsia="zh-CN"/>
        </w:rPr>
        <w:t>掺入完整</w:t>
      </w:r>
      <w:r>
        <w:rPr>
          <w:rFonts w:ascii="Arial" w:hAnsi="Arial" w:eastAsia="宋体" w:cs="Arial"/>
          <w:i/>
          <w:lang w:eastAsia="zh-CN"/>
        </w:rPr>
        <w:t>阴道毛滴虫</w:t>
      </w:r>
      <w:r>
        <w:rPr>
          <w:rFonts w:ascii="Arial" w:hAnsi="Arial" w:eastAsia="宋体" w:cs="Arial"/>
          <w:lang w:eastAsia="zh-CN"/>
        </w:rPr>
        <w:t>的混合阴性样本</w:t>
      </w:r>
    </w:p>
    <w:p w14:paraId="572257E7">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扩增和检测的阳性对照</w:t>
      </w:r>
    </w:p>
    <w:p w14:paraId="19157065">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扩增和检测的阳性对照含处于或接近定性测定检测限的纯化靶核酸。</w:t>
      </w:r>
      <w:r>
        <w:rPr>
          <w:rFonts w:hint="eastAsia" w:ascii="Arial" w:hAnsi="Arial" w:eastAsia="宋体" w:cs="Arial"/>
          <w:lang w:eastAsia="zh-CN"/>
        </w:rPr>
        <w:t>其</w:t>
      </w:r>
      <w:r>
        <w:rPr>
          <w:rFonts w:ascii="Arial" w:hAnsi="Arial" w:eastAsia="宋体" w:cs="Arial"/>
          <w:lang w:eastAsia="zh-CN"/>
        </w:rPr>
        <w:t>对照反应成分和反应程序步骤的完整性。</w:t>
      </w:r>
      <w:r>
        <w:rPr>
          <w:rFonts w:hint="eastAsia" w:ascii="Arial" w:hAnsi="Arial" w:eastAsia="宋体" w:cs="Arial"/>
          <w:lang w:eastAsia="zh-CN"/>
        </w:rPr>
        <w:t>其</w:t>
      </w:r>
      <w:r>
        <w:rPr>
          <w:rFonts w:ascii="Arial" w:hAnsi="Arial" w:eastAsia="宋体" w:cs="Arial"/>
          <w:lang w:eastAsia="zh-CN"/>
        </w:rPr>
        <w:t>也表明如果样本中存在靶标，则可检测到靶标。这种类型对照品包括含靶序列的非传染性质粒。</w:t>
      </w:r>
    </w:p>
    <w:p w14:paraId="4889C559">
      <w:pPr>
        <w:pStyle w:val="22"/>
        <w:tabs>
          <w:tab w:val="left" w:pos="2267"/>
        </w:tabs>
        <w:overflowPunct w:val="0"/>
        <w:snapToGrid w:val="0"/>
        <w:spacing w:after="120" w:afterLines="50" w:line="300" w:lineRule="auto"/>
        <w:ind w:left="0" w:firstLine="964" w:firstLineChars="400"/>
        <w:jc w:val="both"/>
        <w:rPr>
          <w:rFonts w:ascii="Arial" w:hAnsi="Arial" w:eastAsia="宋体" w:cs="Arial"/>
          <w:sz w:val="24"/>
          <w:szCs w:val="24"/>
          <w:lang w:eastAsia="zh-CN"/>
        </w:rPr>
      </w:pPr>
      <w:r>
        <w:rPr>
          <w:rFonts w:ascii="Arial" w:hAnsi="Arial" w:eastAsia="宋体" w:cs="Arial"/>
          <w:sz w:val="24"/>
          <w:szCs w:val="24"/>
          <w:lang w:eastAsia="zh-CN"/>
        </w:rPr>
        <w:br w:type="page"/>
      </w:r>
      <w:bookmarkStart w:id="58" w:name="_Toc497125101"/>
      <w:r>
        <w:rPr>
          <w:rFonts w:ascii="Arial" w:hAnsi="Arial" w:eastAsia="宋体" w:cs="Arial"/>
          <w:sz w:val="24"/>
          <w:szCs w:val="24"/>
          <w:lang w:eastAsia="zh-CN"/>
        </w:rPr>
        <w:t>VII（B）（3）.</w:t>
      </w:r>
      <w:r>
        <w:rPr>
          <w:rFonts w:ascii="Arial" w:hAnsi="Arial" w:eastAsia="宋体" w:cs="Arial"/>
          <w:sz w:val="24"/>
          <w:szCs w:val="24"/>
          <w:lang w:eastAsia="zh-CN"/>
        </w:rPr>
        <w:tab/>
      </w:r>
      <w:bookmarkStart w:id="59" w:name="_bookmark21"/>
      <w:bookmarkEnd w:id="59"/>
      <w:r>
        <w:rPr>
          <w:rFonts w:ascii="Arial" w:hAnsi="Arial" w:eastAsia="宋体" w:cs="Arial"/>
          <w:sz w:val="24"/>
          <w:szCs w:val="24"/>
          <w:lang w:eastAsia="zh-CN"/>
        </w:rPr>
        <w:t>内部对照</w:t>
      </w:r>
      <w:bookmarkEnd w:id="58"/>
    </w:p>
    <w:p w14:paraId="260296E4">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内部对照是指与靶核酸共同提取和共同扩增的非靶核酸序列。</w:t>
      </w:r>
      <w:r>
        <w:rPr>
          <w:rFonts w:hint="eastAsia" w:ascii="Arial" w:hAnsi="Arial" w:eastAsia="宋体" w:cs="Arial"/>
          <w:lang w:eastAsia="zh-CN"/>
        </w:rPr>
        <w:t>其</w:t>
      </w:r>
      <w:r>
        <w:rPr>
          <w:rFonts w:ascii="Arial" w:hAnsi="Arial" w:eastAsia="宋体" w:cs="Arial"/>
          <w:lang w:eastAsia="zh-CN"/>
        </w:rPr>
        <w:t>对照试剂（例如聚合酶、引物等）的完整性</w:t>
      </w:r>
      <w:r>
        <w:rPr>
          <w:rFonts w:hint="eastAsia" w:ascii="Arial" w:hAnsi="Arial" w:eastAsia="宋体" w:cs="Arial"/>
          <w:lang w:eastAsia="zh-CN"/>
        </w:rPr>
        <w:t>、</w:t>
      </w:r>
      <w:r>
        <w:rPr>
          <w:rFonts w:ascii="Arial" w:hAnsi="Arial" w:eastAsia="宋体" w:cs="Arial"/>
          <w:lang w:eastAsia="zh-CN"/>
        </w:rPr>
        <w:t>设备功能和样本中抑制剂的存在。可接受的内部对照品包括与</w:t>
      </w:r>
      <w:r>
        <w:rPr>
          <w:rFonts w:ascii="Arial" w:hAnsi="Arial" w:eastAsia="宋体" w:cs="Arial"/>
          <w:i/>
          <w:lang w:eastAsia="zh-CN"/>
        </w:rPr>
        <w:t>阴道毛滴虫</w:t>
      </w:r>
      <w:r>
        <w:rPr>
          <w:rFonts w:ascii="Arial" w:hAnsi="Arial" w:eastAsia="宋体" w:cs="Arial"/>
          <w:lang w:eastAsia="zh-CN"/>
        </w:rPr>
        <w:t>共同提取的人类核酸和扩增人类</w:t>
      </w:r>
      <w:r>
        <w:rPr>
          <w:rFonts w:hint="eastAsia" w:ascii="Arial" w:hAnsi="Arial" w:eastAsia="宋体" w:cs="Arial"/>
          <w:lang w:eastAsia="zh-CN"/>
        </w:rPr>
        <w:t>管家</w:t>
      </w:r>
      <w:r>
        <w:rPr>
          <w:rFonts w:ascii="Arial" w:hAnsi="Arial" w:eastAsia="宋体" w:cs="Arial"/>
          <w:lang w:eastAsia="zh-CN"/>
        </w:rPr>
        <w:t>基因（例如RNaseP</w:t>
      </w:r>
      <w:r>
        <w:rPr>
          <w:rFonts w:hint="eastAsia" w:ascii="Arial" w:hAnsi="Arial" w:eastAsia="宋体" w:cs="Arial"/>
          <w:lang w:eastAsia="zh-CN"/>
        </w:rPr>
        <w:t>、</w:t>
      </w:r>
      <w:r>
        <w:rPr>
          <w:rFonts w:ascii="Arial" w:hAnsi="Arial" w:eastAsia="宋体" w:cs="Arial"/>
          <w:lang w:eastAsia="zh-CN"/>
        </w:rPr>
        <w:t>β-肌动蛋白）的引物。或者，内部对照可以是一种含非靶核酸的非传染性质粒，该非靶核酸是指在任何预分析步骤开始前添加至每种临床样本并与临床靶标同时得到分析的非靶核酸。</w:t>
      </w:r>
    </w:p>
    <w:p w14:paraId="528DCB0D">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60" w:name="_Toc497125102"/>
      <w:r>
        <w:rPr>
          <w:rFonts w:ascii="Arial" w:hAnsi="Arial" w:eastAsia="宋体" w:cs="Arial"/>
          <w:sz w:val="28"/>
          <w:szCs w:val="28"/>
          <w:lang w:eastAsia="zh-CN"/>
        </w:rPr>
        <w:t>VII（C）.</w:t>
      </w:r>
      <w:r>
        <w:rPr>
          <w:rFonts w:hint="eastAsia" w:ascii="Arial" w:hAnsi="Arial" w:eastAsia="宋体" w:cs="Arial"/>
          <w:sz w:val="28"/>
          <w:szCs w:val="28"/>
          <w:lang w:eastAsia="zh-CN"/>
        </w:rPr>
        <w:tab/>
      </w:r>
      <w:r>
        <w:rPr>
          <w:rFonts w:ascii="Arial" w:hAnsi="Arial" w:eastAsia="宋体" w:cs="Arial"/>
          <w:sz w:val="28"/>
          <w:szCs w:val="28"/>
          <w:lang w:eastAsia="zh-CN"/>
        </w:rPr>
        <w:t>分析性性能研究</w:t>
      </w:r>
      <w:bookmarkEnd w:id="60"/>
    </w:p>
    <w:p w14:paraId="0506E61E">
      <w:pPr>
        <w:pStyle w:val="3"/>
        <w:tabs>
          <w:tab w:val="left" w:pos="363"/>
        </w:tabs>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适于该类器械的分析性研究取决于与新器械相关的潜在技术、工作原理和可用科学证据。LoD研究、干扰研究和样本稳定性研究的样本必须在天然临床基质中制备。非临床基质，例如样本运输培养基可用于其他分析性研究（例如包容性、再现性和交叉感染研究，前提是贵公司的分子检测包括核酸提取和纯化步骤）。贵公司必须在研究中证明使用含</w:t>
      </w:r>
      <w:r>
        <w:rPr>
          <w:rFonts w:ascii="Arial" w:hAnsi="Arial" w:eastAsia="宋体" w:cs="Arial"/>
          <w:i/>
          <w:lang w:eastAsia="zh-CN"/>
        </w:rPr>
        <w:t>阴道毛滴虫</w:t>
      </w:r>
      <w:r>
        <w:rPr>
          <w:rFonts w:ascii="Arial" w:hAnsi="Arial" w:eastAsia="宋体" w:cs="Arial"/>
          <w:lang w:eastAsia="zh-CN"/>
        </w:rPr>
        <w:t>的提议非临床基质和天然临床基质时，试剂盒的分析性性能是等同的</w:t>
      </w:r>
      <w:r>
        <w:rPr>
          <w:rFonts w:ascii="Arial" w:hAnsi="Arial" w:eastAsia="宋体" w:cs="Arial"/>
          <w:i/>
          <w:lang w:eastAsia="zh-CN"/>
        </w:rPr>
        <w:t>。</w:t>
      </w:r>
      <w:r>
        <w:rPr>
          <w:rFonts w:ascii="Arial" w:hAnsi="Arial" w:eastAsia="宋体" w:cs="Arial"/>
          <w:lang w:eastAsia="zh-CN"/>
        </w:rPr>
        <w:t>等同性研究包括天然临床基质与掺入接近LoD浓度（1-2X）</w:t>
      </w:r>
      <w:r>
        <w:rPr>
          <w:rFonts w:ascii="Arial" w:hAnsi="Arial" w:eastAsia="宋体" w:cs="Arial"/>
          <w:i/>
          <w:lang w:eastAsia="zh-CN"/>
        </w:rPr>
        <w:t xml:space="preserve"> 阴道毛滴虫</w:t>
      </w:r>
      <w:r>
        <w:rPr>
          <w:rFonts w:ascii="Arial" w:hAnsi="Arial" w:eastAsia="宋体" w:cs="Arial"/>
          <w:lang w:eastAsia="zh-CN"/>
        </w:rPr>
        <w:t>的非临床基质的对比</w:t>
      </w:r>
      <w:r>
        <w:rPr>
          <w:rFonts w:ascii="Arial" w:hAnsi="Arial" w:eastAsia="宋体" w:cs="Arial"/>
          <w:i/>
          <w:lang w:eastAsia="zh-CN"/>
        </w:rPr>
        <w:t>。</w:t>
      </w:r>
      <w:r>
        <w:rPr>
          <w:rFonts w:ascii="Arial" w:hAnsi="Arial" w:eastAsia="宋体" w:cs="Arial"/>
          <w:lang w:eastAsia="zh-CN"/>
        </w:rPr>
        <w:t>该研究可在贵公司内部实施并包含有限数量样本（例如每种分析物60个样本）且大多数样本所含分析物水平接近LoD，</w:t>
      </w:r>
      <w:r>
        <w:rPr>
          <w:rFonts w:ascii="Arial" w:hAnsi="Arial" w:eastAsia="宋体" w:cs="Arial"/>
          <w:color w:val="0A0A0A"/>
          <w:lang w:eastAsia="zh-CN"/>
        </w:rPr>
        <w:t>其余样本的分析物水平遍及临床相关分析物浓度范围。该研究必须证明至少95%的阳性符合率，且95%（双侧）置信区间的下限超过90%。或者，可通过决定</w:t>
      </w:r>
      <w:r>
        <w:rPr>
          <w:rFonts w:ascii="Arial" w:hAnsi="Arial" w:eastAsia="宋体" w:cs="Arial"/>
          <w:lang w:eastAsia="zh-CN"/>
        </w:rPr>
        <w:t>天然临床基质和非临床基质的LoD水平相当来</w:t>
      </w:r>
      <w:r>
        <w:rPr>
          <w:rFonts w:ascii="Arial" w:hAnsi="Arial" w:eastAsia="宋体" w:cs="Arial"/>
          <w:color w:val="0A0A0A"/>
          <w:lang w:eastAsia="zh-CN"/>
        </w:rPr>
        <w:t>证实基质之间的等同性</w:t>
      </w:r>
      <w:r>
        <w:rPr>
          <w:rFonts w:ascii="Arial" w:hAnsi="Arial" w:eastAsia="宋体" w:cs="Arial"/>
          <w:lang w:eastAsia="zh-CN"/>
        </w:rPr>
        <w:t>。</w:t>
      </w:r>
    </w:p>
    <w:p w14:paraId="1263544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必须在510（k）中证实贵公司</w:t>
      </w:r>
      <w:r>
        <w:rPr>
          <w:rFonts w:ascii="Arial" w:hAnsi="Arial" w:eastAsia="宋体" w:cs="Arial"/>
          <w:i/>
          <w:lang w:eastAsia="zh-CN"/>
        </w:rPr>
        <w:t>阴道毛滴虫</w:t>
      </w:r>
      <w:r>
        <w:rPr>
          <w:rFonts w:ascii="Arial" w:hAnsi="Arial" w:eastAsia="宋体" w:cs="Arial"/>
          <w:lang w:eastAsia="zh-CN"/>
        </w:rPr>
        <w:t>检测试剂盒的以下性能特点；然而，根据器械具体特征的不同，请注意可能还需要进行其他分析性研究：</w:t>
      </w:r>
    </w:p>
    <w:p w14:paraId="5F6FB945">
      <w:pPr>
        <w:pStyle w:val="22"/>
        <w:tabs>
          <w:tab w:val="left" w:pos="2267"/>
        </w:tabs>
        <w:overflowPunct w:val="0"/>
        <w:snapToGrid w:val="0"/>
        <w:spacing w:after="120" w:afterLines="50" w:line="300" w:lineRule="auto"/>
        <w:ind w:left="0" w:firstLine="964" w:firstLineChars="400"/>
        <w:jc w:val="both"/>
        <w:rPr>
          <w:rFonts w:ascii="Arial" w:hAnsi="Arial" w:eastAsia="宋体" w:cs="Arial"/>
          <w:sz w:val="24"/>
          <w:szCs w:val="24"/>
          <w:lang w:eastAsia="zh-CN"/>
        </w:rPr>
      </w:pPr>
      <w:bookmarkStart w:id="61" w:name="_Toc497125103"/>
      <w:r>
        <w:rPr>
          <w:rFonts w:ascii="Arial" w:hAnsi="Arial" w:eastAsia="宋体" w:cs="Arial"/>
          <w:sz w:val="24"/>
          <w:szCs w:val="24"/>
          <w:lang w:eastAsia="zh-CN"/>
        </w:rPr>
        <w:t>VII（C）（1）.</w:t>
      </w:r>
      <w:r>
        <w:rPr>
          <w:rFonts w:ascii="Arial" w:hAnsi="Arial" w:eastAsia="宋体" w:cs="Arial"/>
          <w:sz w:val="24"/>
          <w:szCs w:val="24"/>
          <w:lang w:eastAsia="zh-CN"/>
        </w:rPr>
        <w:tab/>
      </w:r>
      <w:bookmarkStart w:id="62" w:name="_bookmark23"/>
      <w:bookmarkEnd w:id="62"/>
      <w:r>
        <w:rPr>
          <w:rFonts w:ascii="Arial" w:hAnsi="Arial" w:eastAsia="宋体" w:cs="Arial"/>
          <w:sz w:val="24"/>
          <w:szCs w:val="24"/>
          <w:lang w:eastAsia="zh-CN"/>
        </w:rPr>
        <w:t>分析敏感性</w:t>
      </w:r>
      <w:bookmarkEnd w:id="61"/>
    </w:p>
    <w:p w14:paraId="605B8A9E">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检测限</w:t>
      </w:r>
    </w:p>
    <w:p w14:paraId="2D1EA8A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检测限（LoD）的定义是在≥95%的样本测量中始终能检测到的靶分析物的最低浓度。必须确定贵公司检测系统对于器械可用的每种独特样本类型的LoD，确定时要考虑从样本制备到检测的整个过程。可通过对再生和再滴定的库存</w:t>
      </w:r>
      <w:r>
        <w:rPr>
          <w:rFonts w:ascii="Arial" w:hAnsi="Arial" w:eastAsia="宋体" w:cs="Arial"/>
          <w:i/>
          <w:lang w:eastAsia="zh-CN"/>
        </w:rPr>
        <w:t>阴道毛滴虫</w:t>
      </w:r>
      <w:r>
        <w:rPr>
          <w:rFonts w:ascii="Arial" w:hAnsi="Arial" w:eastAsia="宋体" w:cs="Arial"/>
          <w:lang w:eastAsia="zh-CN"/>
        </w:rPr>
        <w:t>溶液（量化溶液，单位为毛滴虫/mL）进行有限稀释完成LoD的确定。初次研究必须包括代表美国常见</w:t>
      </w:r>
      <w:r>
        <w:rPr>
          <w:rFonts w:ascii="Arial" w:hAnsi="Arial" w:eastAsia="宋体" w:cs="Arial"/>
          <w:i/>
          <w:lang w:eastAsia="zh-CN"/>
        </w:rPr>
        <w:t>阴道毛滴虫</w:t>
      </w:r>
      <w:r>
        <w:rPr>
          <w:rFonts w:ascii="Arial" w:hAnsi="Arial" w:eastAsia="宋体" w:cs="Arial"/>
          <w:lang w:eastAsia="zh-CN"/>
        </w:rPr>
        <w:t>类型的至少两种菌株（一种为甲硝锉敏感，另一种耐甲硝锉）的</w:t>
      </w:r>
      <w:r>
        <w:rPr>
          <w:rFonts w:hint="eastAsia" w:ascii="Arial" w:hAnsi="Arial" w:eastAsia="宋体" w:cs="Arial"/>
          <w:lang w:eastAsia="zh-CN"/>
        </w:rPr>
        <w:t>梯度</w:t>
      </w:r>
      <w:r>
        <w:rPr>
          <w:rFonts w:ascii="Arial" w:hAnsi="Arial" w:eastAsia="宋体" w:cs="Arial"/>
          <w:lang w:eastAsia="zh-CN"/>
        </w:rPr>
        <w:t>稀释液且对每种稀释液至少做5次测量（相同溶液）以确定初步范围。必须确认每种菌株的初步LoD，方法是至少测试20份额外的相同溶液并证明95%次都能检测到该浓度的</w:t>
      </w:r>
      <w:r>
        <w:rPr>
          <w:rFonts w:ascii="Arial" w:hAnsi="Arial" w:eastAsia="宋体" w:cs="Arial"/>
          <w:i/>
          <w:lang w:eastAsia="zh-CN"/>
        </w:rPr>
        <w:t>阴道毛滴虫</w:t>
      </w:r>
      <w:r>
        <w:rPr>
          <w:rFonts w:ascii="Arial" w:hAnsi="Arial" w:eastAsia="宋体" w:cs="Arial"/>
          <w:lang w:eastAsia="zh-CN"/>
        </w:rPr>
        <w:t>溶液。</w:t>
      </w:r>
    </w:p>
    <w:p w14:paraId="2FFF840A">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研究设计示例可参考临床和实验室标准协会（CLSI）文件EP17-A2【参考文件 3】。如果研究设计得恰当，也可利用概率元分析确定LoD。</w:t>
      </w:r>
    </w:p>
    <w:p w14:paraId="6459DA16">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此外，必须证明贵公司器械可检测代表时间和区域多样性的其他临床相关</w:t>
      </w:r>
      <w:r>
        <w:rPr>
          <w:rFonts w:ascii="Arial" w:hAnsi="Arial" w:eastAsia="宋体" w:cs="Arial"/>
          <w:i/>
          <w:lang w:eastAsia="zh-CN"/>
        </w:rPr>
        <w:t>阴道毛滴虫</w:t>
      </w:r>
      <w:r>
        <w:rPr>
          <w:rFonts w:ascii="Arial" w:hAnsi="Arial" w:eastAsia="宋体" w:cs="Arial"/>
          <w:lang w:eastAsia="zh-CN"/>
        </w:rPr>
        <w:t>菌株。必须在混合</w:t>
      </w:r>
      <w:r>
        <w:rPr>
          <w:rFonts w:ascii="Arial" w:hAnsi="Arial" w:eastAsia="宋体" w:cs="Arial"/>
          <w:i/>
          <w:lang w:eastAsia="zh-CN"/>
        </w:rPr>
        <w:t>阴道毛滴虫</w:t>
      </w:r>
      <w:r>
        <w:rPr>
          <w:rFonts w:ascii="Arial" w:hAnsi="Arial" w:eastAsia="宋体" w:cs="Arial"/>
          <w:lang w:eastAsia="zh-CN"/>
        </w:rPr>
        <w:t>阴性人类临床样本中检测三份相同的菌株溶液，菌株浓度需等于或接近LoD。必须对所有菌株进行再次滴定以确保测试的稀释液等于或接近在混合临床基质中预先确定的LoD。510（k）中必须提供定量程序。</w:t>
      </w:r>
    </w:p>
    <w:p w14:paraId="48DF4045">
      <w:pPr>
        <w:pStyle w:val="22"/>
        <w:tabs>
          <w:tab w:val="left" w:pos="2267"/>
        </w:tabs>
        <w:overflowPunct w:val="0"/>
        <w:snapToGrid w:val="0"/>
        <w:spacing w:after="120" w:afterLines="50" w:line="300" w:lineRule="auto"/>
        <w:ind w:left="0" w:firstLine="964" w:firstLineChars="400"/>
        <w:jc w:val="both"/>
        <w:rPr>
          <w:rFonts w:ascii="Arial" w:hAnsi="Arial" w:eastAsia="宋体" w:cs="Arial"/>
          <w:sz w:val="24"/>
          <w:szCs w:val="24"/>
          <w:lang w:eastAsia="zh-CN"/>
        </w:rPr>
      </w:pPr>
      <w:bookmarkStart w:id="63" w:name="_Toc497125104"/>
      <w:r>
        <w:rPr>
          <w:rFonts w:ascii="Arial" w:hAnsi="Arial" w:eastAsia="宋体" w:cs="Arial"/>
          <w:sz w:val="24"/>
          <w:szCs w:val="24"/>
          <w:lang w:eastAsia="zh-CN"/>
        </w:rPr>
        <w:t>VII（C）（2）.</w:t>
      </w:r>
      <w:r>
        <w:rPr>
          <w:rFonts w:ascii="Arial" w:hAnsi="Arial" w:eastAsia="宋体" w:cs="Arial"/>
          <w:sz w:val="24"/>
          <w:szCs w:val="24"/>
          <w:lang w:eastAsia="zh-CN"/>
        </w:rPr>
        <w:tab/>
      </w:r>
      <w:bookmarkStart w:id="64" w:name="_bookmark24"/>
      <w:bookmarkEnd w:id="64"/>
      <w:r>
        <w:rPr>
          <w:rFonts w:ascii="Arial" w:hAnsi="Arial" w:eastAsia="宋体" w:cs="Arial"/>
          <w:sz w:val="24"/>
          <w:szCs w:val="24"/>
          <w:lang w:eastAsia="zh-CN"/>
        </w:rPr>
        <w:t>分析特异性</w:t>
      </w:r>
      <w:bookmarkEnd w:id="63"/>
    </w:p>
    <w:p w14:paraId="688AD1E2">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交叉反应性</w:t>
      </w:r>
    </w:p>
    <w:p w14:paraId="484D144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贵公司必须测试器械与其他相关微生物，包括泌尿生殖道的常见菌群，投机和密切相关的生物体可能的交叉反应性。特别地，必须</w:t>
      </w:r>
      <w:r>
        <w:rPr>
          <w:rFonts w:hint="eastAsia" w:ascii="Arial" w:hAnsi="Arial" w:eastAsia="宋体" w:cs="Arial"/>
          <w:lang w:eastAsia="zh-CN"/>
        </w:rPr>
        <w:t>描述</w:t>
      </w:r>
      <w:r>
        <w:rPr>
          <w:rFonts w:ascii="Arial" w:hAnsi="Arial" w:eastAsia="宋体" w:cs="Arial"/>
          <w:lang w:eastAsia="zh-CN"/>
        </w:rPr>
        <w:t>可能</w:t>
      </w:r>
      <w:r>
        <w:rPr>
          <w:rFonts w:hint="eastAsia" w:ascii="Arial" w:hAnsi="Arial" w:eastAsia="宋体" w:cs="Arial"/>
          <w:lang w:eastAsia="zh-CN"/>
        </w:rPr>
        <w:t>存在</w:t>
      </w:r>
      <w:r>
        <w:rPr>
          <w:rFonts w:ascii="Arial" w:hAnsi="Arial" w:eastAsia="宋体" w:cs="Arial"/>
          <w:lang w:eastAsia="zh-CN"/>
        </w:rPr>
        <w:t>类似临床症状且可能与</w:t>
      </w:r>
      <w:r>
        <w:rPr>
          <w:rFonts w:ascii="Arial" w:hAnsi="Arial" w:eastAsia="宋体" w:cs="Arial"/>
          <w:i/>
          <w:lang w:eastAsia="zh-CN"/>
        </w:rPr>
        <w:t>阴道毛滴虫</w:t>
      </w:r>
      <w:r>
        <w:rPr>
          <w:rFonts w:ascii="Arial" w:hAnsi="Arial" w:eastAsia="宋体" w:cs="Arial"/>
          <w:lang w:eastAsia="zh-CN"/>
        </w:rPr>
        <w:t>感染混淆的全部微生物存在时试验的性能。必须测试每种微生物的处于医学相关水平（通常细菌为10</w:t>
      </w:r>
      <w:r>
        <w:rPr>
          <w:rFonts w:hint="eastAsia" w:ascii="Arial" w:hAnsi="Arial" w:eastAsia="宋体" w:cs="Arial"/>
          <w:vertAlign w:val="superscript"/>
          <w:lang w:eastAsia="zh-CN"/>
        </w:rPr>
        <w:t>6</w:t>
      </w:r>
      <w:r>
        <w:rPr>
          <w:rFonts w:hint="eastAsia" w:ascii="Arial" w:hAnsi="Arial" w:eastAsia="宋体" w:cs="Arial"/>
          <w:lang w:eastAsia="zh-CN"/>
        </w:rPr>
        <w:t xml:space="preserve"> </w:t>
      </w:r>
      <w:r>
        <w:rPr>
          <w:rFonts w:ascii="Arial" w:hAnsi="Arial" w:eastAsia="宋体" w:cs="Arial"/>
          <w:lang w:eastAsia="zh-CN"/>
        </w:rPr>
        <w:t>CFU/ml或更高，病毒为10</w:t>
      </w:r>
      <w:r>
        <w:rPr>
          <w:rFonts w:hint="eastAsia" w:ascii="Arial" w:hAnsi="Arial" w:eastAsia="宋体" w:cs="Arial"/>
          <w:vertAlign w:val="superscript"/>
          <w:lang w:eastAsia="zh-CN"/>
        </w:rPr>
        <w:t>5</w:t>
      </w:r>
      <w:r>
        <w:rPr>
          <w:rFonts w:hint="eastAsia" w:ascii="Arial" w:hAnsi="Arial" w:eastAsia="宋体" w:cs="Arial"/>
          <w:lang w:eastAsia="zh-CN"/>
        </w:rPr>
        <w:t xml:space="preserve"> </w:t>
      </w:r>
      <w:r>
        <w:rPr>
          <w:rFonts w:ascii="Arial" w:hAnsi="Arial" w:eastAsia="宋体" w:cs="Arial"/>
          <w:lang w:eastAsia="zh-CN"/>
        </w:rPr>
        <w:t>PFU/ml或更高）的一式三份溶液。用于研究前必须确认这些微生物的滴度。任何一个阳性结果均代表交叉反应性。交叉反应性测试需检测的相关微生物包括但不限于表3中列出的微生物。</w:t>
      </w:r>
    </w:p>
    <w:p w14:paraId="1D32D632">
      <w:pPr>
        <w:pStyle w:val="23"/>
        <w:overflowPunct w:val="0"/>
        <w:snapToGrid w:val="0"/>
        <w:spacing w:after="120" w:afterLines="50" w:line="300" w:lineRule="auto"/>
        <w:ind w:left="0"/>
        <w:jc w:val="center"/>
        <w:rPr>
          <w:rFonts w:ascii="Arial" w:hAnsi="Arial" w:eastAsia="宋体" w:cs="Arial"/>
          <w:b w:val="0"/>
          <w:bCs w:val="0"/>
          <w:lang w:eastAsia="zh-CN"/>
        </w:rPr>
      </w:pPr>
      <w:r>
        <w:rPr>
          <w:rFonts w:ascii="Arial" w:hAnsi="Arial" w:eastAsia="宋体" w:cs="Arial"/>
          <w:lang w:eastAsia="zh-CN"/>
        </w:rPr>
        <w:t>表 3 –用于分析特异性（交叉反应性）研究的微生物</w:t>
      </w:r>
    </w:p>
    <w:tbl>
      <w:tblPr>
        <w:tblStyle w:val="15"/>
        <w:tblW w:w="5000" w:type="pct"/>
        <w:tblInd w:w="0" w:type="dxa"/>
        <w:tblLayout w:type="autofit"/>
        <w:tblCellMar>
          <w:top w:w="0" w:type="dxa"/>
          <w:left w:w="0" w:type="dxa"/>
          <w:bottom w:w="0" w:type="dxa"/>
          <w:right w:w="0" w:type="dxa"/>
        </w:tblCellMar>
      </w:tblPr>
      <w:tblGrid>
        <w:gridCol w:w="2912"/>
        <w:gridCol w:w="2626"/>
        <w:gridCol w:w="3112"/>
      </w:tblGrid>
      <w:tr w14:paraId="33073E74">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2DEFA656">
            <w:pPr>
              <w:pStyle w:val="25"/>
              <w:overflowPunct w:val="0"/>
              <w:snapToGrid w:val="0"/>
              <w:spacing w:line="276" w:lineRule="auto"/>
              <w:ind w:left="44" w:leftChars="20" w:right="44" w:rightChars="20"/>
              <w:jc w:val="both"/>
              <w:rPr>
                <w:rFonts w:ascii="Arial" w:hAnsi="Arial" w:eastAsia="宋体" w:cs="Arial"/>
                <w:i/>
                <w:sz w:val="21"/>
                <w:szCs w:val="21"/>
              </w:rPr>
            </w:pPr>
            <w:bookmarkStart w:id="65" w:name="OLE_LINK12"/>
            <w:bookmarkStart w:id="66" w:name="OLE_LINK11"/>
            <w:r>
              <w:rPr>
                <w:rFonts w:ascii="Arial" w:hAnsi="Arial" w:eastAsia="宋体" w:cs="Arial"/>
                <w:i/>
                <w:sz w:val="21"/>
                <w:szCs w:val="21"/>
                <w:lang w:eastAsia="zh-CN"/>
              </w:rPr>
              <w:t>洛菲</w:t>
            </w:r>
            <w:r>
              <w:rPr>
                <w:rFonts w:ascii="Arial" w:hAnsi="Arial" w:eastAsia="宋体" w:cs="Arial"/>
                <w:i/>
                <w:sz w:val="21"/>
                <w:szCs w:val="21"/>
              </w:rPr>
              <w:t>不动杆菌</w:t>
            </w:r>
            <w:bookmarkEnd w:id="65"/>
            <w:bookmarkEnd w:id="66"/>
          </w:p>
        </w:tc>
        <w:tc>
          <w:tcPr>
            <w:tcW w:w="1518" w:type="pct"/>
            <w:tcBorders>
              <w:top w:val="single" w:color="000000" w:sz="4" w:space="0"/>
              <w:left w:val="single" w:color="000000" w:sz="4" w:space="0"/>
              <w:bottom w:val="single" w:color="000000" w:sz="4" w:space="0"/>
              <w:right w:val="single" w:color="000000" w:sz="4" w:space="0"/>
            </w:tcBorders>
            <w:vAlign w:val="center"/>
          </w:tcPr>
          <w:p w14:paraId="0F3A25CE">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产气肠杆菌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22312858">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柯氏动弯杆菌</w:t>
            </w:r>
          </w:p>
        </w:tc>
      </w:tr>
      <w:tr w14:paraId="40287A82">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0CFA4BF0">
            <w:pPr>
              <w:pStyle w:val="25"/>
              <w:overflowPunct w:val="0"/>
              <w:snapToGrid w:val="0"/>
              <w:spacing w:line="276" w:lineRule="auto"/>
              <w:ind w:left="44" w:leftChars="20" w:right="44" w:rightChars="20"/>
              <w:jc w:val="both"/>
              <w:rPr>
                <w:rFonts w:ascii="Arial" w:hAnsi="Arial" w:eastAsia="宋体" w:cs="Arial"/>
                <w:i/>
                <w:sz w:val="21"/>
                <w:szCs w:val="21"/>
              </w:rPr>
            </w:pPr>
            <w:bookmarkStart w:id="67" w:name="OLE_LINK13"/>
            <w:bookmarkStart w:id="68" w:name="OLE_LINK14"/>
            <w:r>
              <w:rPr>
                <w:rFonts w:ascii="Arial" w:hAnsi="Arial" w:eastAsia="宋体" w:cs="Arial"/>
                <w:i/>
                <w:sz w:val="21"/>
                <w:szCs w:val="21"/>
              </w:rPr>
              <w:t>衣氏放线菌</w:t>
            </w:r>
            <w:bookmarkEnd w:id="67"/>
            <w:bookmarkEnd w:id="68"/>
          </w:p>
        </w:tc>
        <w:tc>
          <w:tcPr>
            <w:tcW w:w="1518" w:type="pct"/>
            <w:tcBorders>
              <w:top w:val="single" w:color="000000" w:sz="4" w:space="0"/>
              <w:left w:val="single" w:color="000000" w:sz="4" w:space="0"/>
              <w:bottom w:val="single" w:color="000000" w:sz="4" w:space="0"/>
              <w:right w:val="single" w:color="000000" w:sz="4" w:space="0"/>
            </w:tcBorders>
            <w:vAlign w:val="center"/>
          </w:tcPr>
          <w:p w14:paraId="03230526">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内生菌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7A85EC2E">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生殖支原体</w:t>
            </w:r>
          </w:p>
        </w:tc>
      </w:tr>
      <w:tr w14:paraId="29BF2A7D">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70CF5542">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阴道阿托波氏菌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655DA4C9">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粪肠球菌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07DCFED5">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人支原体</w:t>
            </w:r>
          </w:p>
        </w:tc>
      </w:tr>
      <w:tr w14:paraId="630D7562">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7759CBB5">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脆弱拟杆菌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3978DD40">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大肠杆菌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12FFAFDF">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淋</w:t>
            </w:r>
            <w:r>
              <w:rPr>
                <w:rFonts w:ascii="Arial" w:hAnsi="Arial" w:eastAsia="宋体" w:cs="Arial"/>
                <w:i/>
                <w:sz w:val="21"/>
                <w:szCs w:val="21"/>
                <w:lang w:eastAsia="zh-CN"/>
              </w:rPr>
              <w:t>球</w:t>
            </w:r>
            <w:r>
              <w:rPr>
                <w:rFonts w:ascii="Arial" w:hAnsi="Arial" w:eastAsia="宋体" w:cs="Arial"/>
                <w:i/>
                <w:sz w:val="21"/>
                <w:szCs w:val="21"/>
              </w:rPr>
              <w:t>菌</w:t>
            </w:r>
          </w:p>
        </w:tc>
      </w:tr>
      <w:tr w14:paraId="1C911124">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33DC84FA">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青春双岐杆菌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329313AF">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lang w:eastAsia="zh-CN"/>
              </w:rPr>
              <w:t>具</w:t>
            </w:r>
            <w:r>
              <w:rPr>
                <w:rFonts w:ascii="Arial" w:hAnsi="Arial" w:eastAsia="宋体" w:cs="Arial"/>
                <w:i/>
                <w:sz w:val="21"/>
                <w:szCs w:val="21"/>
              </w:rPr>
              <w:t>核梭杆菌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71DC3EBF">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人五毛滴虫</w:t>
            </w:r>
          </w:p>
        </w:tc>
      </w:tr>
      <w:tr w14:paraId="60DB0CA5">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64C35EFD">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空肠弯曲菌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62D61397">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阴道加德纳菌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7EE4620D">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厌氧消化链球菌</w:t>
            </w:r>
          </w:p>
        </w:tc>
      </w:tr>
      <w:tr w14:paraId="00FDF9B1">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62799D02">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白</w:t>
            </w:r>
            <w:r>
              <w:rPr>
                <w:rFonts w:ascii="Arial" w:hAnsi="Arial" w:eastAsia="宋体" w:cs="Arial"/>
                <w:i/>
                <w:sz w:val="21"/>
                <w:szCs w:val="21"/>
                <w:lang w:eastAsia="zh-CN"/>
              </w:rPr>
              <w:t>色</w:t>
            </w:r>
            <w:r>
              <w:rPr>
                <w:rFonts w:ascii="Arial" w:hAnsi="Arial" w:eastAsia="宋体" w:cs="Arial"/>
                <w:i/>
                <w:sz w:val="21"/>
                <w:szCs w:val="21"/>
              </w:rPr>
              <w:t>念珠菌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5348B76A">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lang w:eastAsia="zh-CN"/>
              </w:rPr>
              <w:t>杜克雷</w:t>
            </w:r>
            <w:r>
              <w:rPr>
                <w:rFonts w:ascii="Arial" w:hAnsi="Arial" w:eastAsia="宋体" w:cs="Arial"/>
                <w:i/>
                <w:sz w:val="21"/>
                <w:szCs w:val="21"/>
              </w:rPr>
              <w:t>嗜血杆菌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2FB9E7B2">
            <w:pPr>
              <w:pStyle w:val="25"/>
              <w:overflowPunct w:val="0"/>
              <w:snapToGrid w:val="0"/>
              <w:spacing w:line="276" w:lineRule="auto"/>
              <w:ind w:left="44" w:leftChars="20" w:right="44" w:rightChars="20"/>
              <w:jc w:val="both"/>
              <w:rPr>
                <w:rFonts w:ascii="Arial" w:hAnsi="Arial" w:eastAsia="宋体" w:cs="Arial"/>
                <w:bCs/>
                <w:i/>
                <w:sz w:val="21"/>
                <w:szCs w:val="21"/>
                <w:lang w:eastAsia="zh-CN"/>
              </w:rPr>
            </w:pPr>
            <w:r>
              <w:rPr>
                <w:rFonts w:ascii="Arial" w:hAnsi="Arial" w:eastAsia="宋体" w:cs="Arial"/>
                <w:bCs/>
                <w:i/>
                <w:sz w:val="21"/>
                <w:szCs w:val="21"/>
              </w:rPr>
              <w:t>二路普雷沃尔菌</w:t>
            </w:r>
          </w:p>
        </w:tc>
      </w:tr>
      <w:tr w14:paraId="78A03C8A">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2E09D140">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光滑念珠菌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24FADC1A">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单纯疱疹病毒I型</w:t>
            </w:r>
          </w:p>
        </w:tc>
        <w:tc>
          <w:tcPr>
            <w:tcW w:w="1799" w:type="pct"/>
            <w:tcBorders>
              <w:top w:val="single" w:color="000000" w:sz="4" w:space="0"/>
              <w:left w:val="single" w:color="000000" w:sz="4" w:space="0"/>
              <w:bottom w:val="single" w:color="000000" w:sz="4" w:space="0"/>
              <w:right w:val="single" w:color="000000" w:sz="4" w:space="0"/>
            </w:tcBorders>
            <w:vAlign w:val="center"/>
          </w:tcPr>
          <w:p w14:paraId="1F221D21">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痤疮丙酸杆菌</w:t>
            </w:r>
          </w:p>
        </w:tc>
      </w:tr>
      <w:tr w14:paraId="7AB0E68F">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668193D9">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近平滑假丝酵母</w:t>
            </w:r>
          </w:p>
        </w:tc>
        <w:tc>
          <w:tcPr>
            <w:tcW w:w="1518" w:type="pct"/>
            <w:tcBorders>
              <w:top w:val="single" w:color="000000" w:sz="4" w:space="0"/>
              <w:left w:val="single" w:color="000000" w:sz="4" w:space="0"/>
              <w:bottom w:val="single" w:color="000000" w:sz="4" w:space="0"/>
              <w:right w:val="single" w:color="000000" w:sz="4" w:space="0"/>
            </w:tcBorders>
            <w:vAlign w:val="center"/>
          </w:tcPr>
          <w:p w14:paraId="0C81FA8B">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单纯疱疹病毒II型</w:t>
            </w:r>
          </w:p>
        </w:tc>
        <w:tc>
          <w:tcPr>
            <w:tcW w:w="1799" w:type="pct"/>
            <w:tcBorders>
              <w:top w:val="single" w:color="000000" w:sz="4" w:space="0"/>
              <w:left w:val="single" w:color="000000" w:sz="4" w:space="0"/>
              <w:bottom w:val="single" w:color="000000" w:sz="4" w:space="0"/>
              <w:right w:val="single" w:color="000000" w:sz="4" w:space="0"/>
            </w:tcBorders>
            <w:vAlign w:val="center"/>
          </w:tcPr>
          <w:p w14:paraId="39A83509">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奇异变形杆菌</w:t>
            </w:r>
          </w:p>
        </w:tc>
      </w:tr>
      <w:tr w14:paraId="56ECB7A6">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2BB3FAD1">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热带念珠菌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2591F42A">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人类免疫缺陷病毒1型</w:t>
            </w:r>
          </w:p>
        </w:tc>
        <w:tc>
          <w:tcPr>
            <w:tcW w:w="1799" w:type="pct"/>
            <w:tcBorders>
              <w:top w:val="single" w:color="000000" w:sz="4" w:space="0"/>
              <w:left w:val="single" w:color="000000" w:sz="4" w:space="0"/>
              <w:bottom w:val="single" w:color="000000" w:sz="4" w:space="0"/>
              <w:right w:val="single" w:color="000000" w:sz="4" w:space="0"/>
            </w:tcBorders>
            <w:vAlign w:val="center"/>
          </w:tcPr>
          <w:p w14:paraId="18670E78">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绿脓</w:t>
            </w:r>
            <w:r>
              <w:rPr>
                <w:rFonts w:ascii="Arial" w:hAnsi="Arial" w:eastAsia="宋体" w:cs="Arial"/>
                <w:i/>
                <w:sz w:val="21"/>
                <w:szCs w:val="21"/>
                <w:lang w:eastAsia="zh-CN"/>
              </w:rPr>
              <w:t>杆</w:t>
            </w:r>
            <w:r>
              <w:rPr>
                <w:rFonts w:ascii="Arial" w:hAnsi="Arial" w:eastAsia="宋体" w:cs="Arial"/>
                <w:i/>
                <w:sz w:val="21"/>
                <w:szCs w:val="21"/>
              </w:rPr>
              <w:t>菌</w:t>
            </w:r>
          </w:p>
        </w:tc>
      </w:tr>
      <w:tr w14:paraId="12A74D73">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4A8A62E4">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沙眼衣原体</w:t>
            </w:r>
          </w:p>
        </w:tc>
        <w:tc>
          <w:tcPr>
            <w:tcW w:w="1518" w:type="pct"/>
            <w:tcBorders>
              <w:top w:val="single" w:color="000000" w:sz="4" w:space="0"/>
              <w:left w:val="single" w:color="000000" w:sz="4" w:space="0"/>
              <w:bottom w:val="single" w:color="000000" w:sz="4" w:space="0"/>
              <w:right w:val="single" w:color="000000" w:sz="4" w:space="0"/>
            </w:tcBorders>
            <w:vAlign w:val="center"/>
          </w:tcPr>
          <w:p w14:paraId="083BE3C1">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人乳头瘤病毒</w:t>
            </w:r>
          </w:p>
        </w:tc>
        <w:tc>
          <w:tcPr>
            <w:tcW w:w="1799" w:type="pct"/>
            <w:tcBorders>
              <w:top w:val="single" w:color="000000" w:sz="4" w:space="0"/>
              <w:left w:val="single" w:color="000000" w:sz="4" w:space="0"/>
              <w:bottom w:val="single" w:color="000000" w:sz="4" w:space="0"/>
              <w:right w:val="single" w:color="000000" w:sz="4" w:space="0"/>
            </w:tcBorders>
            <w:vAlign w:val="center"/>
          </w:tcPr>
          <w:p w14:paraId="502A12E0">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金黄色葡萄球菌</w:t>
            </w:r>
          </w:p>
        </w:tc>
      </w:tr>
      <w:tr w14:paraId="01A7516F">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3B755943">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艰难梭状芽胞杆菌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32462167">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lang w:eastAsia="zh-CN"/>
              </w:rPr>
              <w:t>产酸</w:t>
            </w:r>
            <w:r>
              <w:rPr>
                <w:rFonts w:ascii="Arial" w:hAnsi="Arial" w:eastAsia="宋体" w:cs="Arial"/>
                <w:i/>
                <w:sz w:val="21"/>
                <w:szCs w:val="21"/>
              </w:rPr>
              <w:t>克雷</w:t>
            </w:r>
            <w:r>
              <w:rPr>
                <w:rFonts w:ascii="Arial" w:hAnsi="Arial" w:eastAsia="宋体" w:cs="Arial"/>
                <w:i/>
                <w:sz w:val="21"/>
                <w:szCs w:val="21"/>
                <w:lang w:eastAsia="zh-CN"/>
              </w:rPr>
              <w:t>伯</w:t>
            </w:r>
            <w:r>
              <w:rPr>
                <w:rFonts w:ascii="Arial" w:hAnsi="Arial" w:eastAsia="宋体" w:cs="Arial"/>
                <w:i/>
                <w:sz w:val="21"/>
                <w:szCs w:val="21"/>
              </w:rPr>
              <w:t>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657F35F0">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表皮葡萄球菌</w:t>
            </w:r>
          </w:p>
        </w:tc>
      </w:tr>
      <w:tr w14:paraId="60DCBA56">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1A6DAF98">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产气荚膜梭菌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22220111">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嗜酸乳杆菌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37A478E4">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酿脓链球菌</w:t>
            </w:r>
          </w:p>
        </w:tc>
      </w:tr>
      <w:tr w14:paraId="3A3DA999">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625D99F4">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生殖器棒状杆菌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13D3931F">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詹氏乳杆菌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403DF1E1">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无乳链球菌</w:t>
            </w:r>
          </w:p>
        </w:tc>
      </w:tr>
      <w:tr w14:paraId="3DF62835">
        <w:tblPrEx>
          <w:tblCellMar>
            <w:top w:w="0" w:type="dxa"/>
            <w:left w:w="0" w:type="dxa"/>
            <w:bottom w:w="0" w:type="dxa"/>
            <w:right w:w="0" w:type="dxa"/>
          </w:tblCellMar>
        </w:tblPrEx>
        <w:tc>
          <w:tcPr>
            <w:tcW w:w="1683" w:type="pct"/>
            <w:tcBorders>
              <w:top w:val="single" w:color="000000" w:sz="4" w:space="0"/>
              <w:left w:val="single" w:color="000000" w:sz="4" w:space="0"/>
              <w:bottom w:val="single" w:color="000000" w:sz="4" w:space="0"/>
              <w:right w:val="single" w:color="000000" w:sz="4" w:space="0"/>
            </w:tcBorders>
            <w:vAlign w:val="center"/>
          </w:tcPr>
          <w:p w14:paraId="45AFCCA7">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新型隐球菌</w:t>
            </w:r>
          </w:p>
        </w:tc>
        <w:tc>
          <w:tcPr>
            <w:tcW w:w="1518" w:type="pct"/>
            <w:tcBorders>
              <w:top w:val="single" w:color="000000" w:sz="4" w:space="0"/>
              <w:left w:val="single" w:color="000000" w:sz="4" w:space="0"/>
              <w:bottom w:val="single" w:color="000000" w:sz="4" w:space="0"/>
              <w:right w:val="single" w:color="000000" w:sz="4" w:space="0"/>
            </w:tcBorders>
            <w:vAlign w:val="center"/>
          </w:tcPr>
          <w:p w14:paraId="2A1392E9">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lang w:eastAsia="zh-CN"/>
              </w:rPr>
              <w:t>阴</w:t>
            </w:r>
            <w:r>
              <w:rPr>
                <w:rFonts w:ascii="Arial" w:hAnsi="Arial" w:eastAsia="宋体" w:cs="Arial"/>
                <w:i/>
                <w:sz w:val="21"/>
                <w:szCs w:val="21"/>
              </w:rPr>
              <w:t>道乳杆菌</w:t>
            </w:r>
          </w:p>
        </w:tc>
        <w:tc>
          <w:tcPr>
            <w:tcW w:w="1799" w:type="pct"/>
            <w:tcBorders>
              <w:top w:val="single" w:color="000000" w:sz="4" w:space="0"/>
              <w:left w:val="single" w:color="000000" w:sz="4" w:space="0"/>
              <w:bottom w:val="single" w:color="000000" w:sz="4" w:space="0"/>
              <w:right w:val="single" w:color="000000" w:sz="4" w:space="0"/>
            </w:tcBorders>
            <w:vAlign w:val="center"/>
          </w:tcPr>
          <w:p w14:paraId="18E66D60">
            <w:pPr>
              <w:pStyle w:val="25"/>
              <w:overflowPunct w:val="0"/>
              <w:snapToGrid w:val="0"/>
              <w:spacing w:line="276" w:lineRule="auto"/>
              <w:ind w:left="44" w:leftChars="20" w:right="44" w:rightChars="20"/>
              <w:jc w:val="both"/>
              <w:rPr>
                <w:rFonts w:ascii="Arial" w:hAnsi="Arial" w:eastAsia="宋体" w:cs="Arial"/>
                <w:i/>
                <w:sz w:val="21"/>
                <w:szCs w:val="21"/>
              </w:rPr>
            </w:pPr>
            <w:r>
              <w:rPr>
                <w:rFonts w:ascii="Arial" w:hAnsi="Arial" w:eastAsia="宋体" w:cs="Arial"/>
                <w:i/>
                <w:sz w:val="21"/>
                <w:szCs w:val="21"/>
              </w:rPr>
              <w:t>口腔毛滴虫</w:t>
            </w:r>
          </w:p>
        </w:tc>
      </w:tr>
    </w:tbl>
    <w:p w14:paraId="7E98EAA5">
      <w:pPr>
        <w:overflowPunct w:val="0"/>
        <w:snapToGrid w:val="0"/>
        <w:spacing w:after="120" w:afterLines="50" w:line="300" w:lineRule="auto"/>
        <w:jc w:val="both"/>
        <w:rPr>
          <w:rFonts w:ascii="Arial" w:hAnsi="Arial" w:eastAsia="宋体" w:cs="Arial"/>
          <w:b/>
          <w:bCs/>
          <w:sz w:val="24"/>
          <w:szCs w:val="24"/>
        </w:rPr>
      </w:pPr>
      <w:r>
        <w:rPr>
          <w:rFonts w:ascii="Arial" w:hAnsi="Arial" w:eastAsia="宋体" w:cs="Arial"/>
          <w:sz w:val="24"/>
          <w:szCs w:val="24"/>
        </w:rPr>
        <w:br w:type="page"/>
      </w:r>
    </w:p>
    <w:p w14:paraId="43A96296">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干扰</w:t>
      </w:r>
    </w:p>
    <w:p w14:paraId="037F9F5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贵公司必须对器械实施全面的干扰研究。</w:t>
      </w:r>
      <w:r>
        <w:rPr>
          <w:rFonts w:hint="eastAsia" w:ascii="Arial" w:hAnsi="Arial" w:eastAsia="宋体" w:cs="Arial"/>
          <w:lang w:eastAsia="zh-CN"/>
        </w:rPr>
        <w:t>潜在的</w:t>
      </w:r>
      <w:r>
        <w:rPr>
          <w:rFonts w:ascii="Arial" w:hAnsi="Arial" w:eastAsia="宋体" w:cs="Arial"/>
          <w:lang w:eastAsia="zh-CN"/>
        </w:rPr>
        <w:t>干扰</w:t>
      </w:r>
      <w:r>
        <w:rPr>
          <w:rFonts w:hint="eastAsia" w:ascii="Arial" w:hAnsi="Arial" w:eastAsia="宋体" w:cs="Arial"/>
          <w:lang w:eastAsia="zh-CN"/>
        </w:rPr>
        <w:t>物质</w:t>
      </w:r>
      <w:r>
        <w:rPr>
          <w:rFonts w:ascii="Arial" w:hAnsi="Arial" w:eastAsia="宋体" w:cs="Arial"/>
          <w:lang w:eastAsia="zh-CN"/>
        </w:rPr>
        <w:t>包括但不限于内源性物质，如白血球、蛋白质、全血和粘液；和外源性物质，如非处方润滑剂</w:t>
      </w:r>
      <w:r>
        <w:rPr>
          <w:rFonts w:hint="eastAsia" w:ascii="Arial" w:hAnsi="Arial" w:eastAsia="宋体" w:cs="Arial"/>
          <w:lang w:eastAsia="zh-CN"/>
        </w:rPr>
        <w:t>、</w:t>
      </w:r>
      <w:r>
        <w:rPr>
          <w:rFonts w:ascii="Arial" w:hAnsi="Arial" w:eastAsia="宋体" w:cs="Arial"/>
          <w:lang w:eastAsia="zh-CN"/>
        </w:rPr>
        <w:t>杀精剂</w:t>
      </w:r>
      <w:r>
        <w:rPr>
          <w:rFonts w:hint="eastAsia" w:ascii="Arial" w:hAnsi="Arial" w:eastAsia="宋体" w:cs="Arial"/>
          <w:lang w:eastAsia="zh-CN"/>
        </w:rPr>
        <w:t>、</w:t>
      </w:r>
      <w:r>
        <w:rPr>
          <w:rFonts w:ascii="Arial" w:hAnsi="Arial" w:eastAsia="宋体" w:cs="Arial"/>
          <w:lang w:eastAsia="zh-CN"/>
        </w:rPr>
        <w:t>祛臭喷雾剂/散剂和抗真菌/止痒药物。贵公司必须利用掺入</w:t>
      </w:r>
      <w:r>
        <w:rPr>
          <w:rFonts w:ascii="Arial" w:hAnsi="Arial" w:eastAsia="宋体" w:cs="Arial"/>
          <w:i/>
          <w:lang w:eastAsia="zh-CN"/>
        </w:rPr>
        <w:t>阴道毛滴虫（其</w:t>
      </w:r>
      <w:r>
        <w:rPr>
          <w:rFonts w:ascii="Arial" w:hAnsi="Arial" w:eastAsia="宋体" w:cs="Arial"/>
          <w:lang w:eastAsia="zh-CN"/>
        </w:rPr>
        <w:t>浓度应挑战贵公司试剂盒医学诊断点）的样本测试每种可能干扰物的2到3份</w:t>
      </w:r>
      <w:r>
        <w:rPr>
          <w:rFonts w:hint="eastAsia" w:ascii="Arial" w:hAnsi="Arial" w:eastAsia="宋体" w:cs="Arial"/>
          <w:lang w:eastAsia="zh-CN"/>
        </w:rPr>
        <w:t>相同溶液</w:t>
      </w:r>
      <w:r>
        <w:rPr>
          <w:rFonts w:ascii="Arial" w:hAnsi="Arial" w:eastAsia="宋体" w:cs="Arial"/>
          <w:lang w:eastAsia="zh-CN"/>
        </w:rPr>
        <w:t xml:space="preserve"> </w:t>
      </w:r>
      <w:r>
        <w:rPr>
          <w:rFonts w:hint="eastAsia" w:ascii="Arial" w:hAnsi="Arial" w:eastAsia="宋体" w:cs="Arial"/>
          <w:lang w:eastAsia="zh-CN"/>
        </w:rPr>
        <w:t>（即</w:t>
      </w:r>
      <w:r>
        <w:rPr>
          <w:rFonts w:ascii="Arial" w:hAnsi="Arial" w:eastAsia="宋体" w:cs="Arial"/>
          <w:lang w:eastAsia="zh-CN"/>
        </w:rPr>
        <w:t>C</w:t>
      </w:r>
      <w:r>
        <w:rPr>
          <w:rFonts w:ascii="Arial" w:hAnsi="Arial" w:eastAsia="宋体" w:cs="Arial"/>
          <w:position w:val="-2"/>
          <w:lang w:eastAsia="zh-CN"/>
        </w:rPr>
        <w:t>95</w:t>
      </w:r>
      <w:r>
        <w:rPr>
          <w:rFonts w:hint="eastAsia" w:ascii="Arial" w:hAnsi="Arial" w:eastAsia="宋体" w:cs="Arial"/>
          <w:lang w:eastAsia="zh-CN"/>
        </w:rPr>
        <w:t>）。必须评价可能最高浓度的每种干扰物</w:t>
      </w:r>
      <w:r>
        <w:rPr>
          <w:rFonts w:ascii="宋体" w:hAnsi="宋体" w:eastAsia="宋体" w:cs="Arial"/>
          <w:lang w:eastAsia="zh-CN"/>
        </w:rPr>
        <w:t>（“最</w:t>
      </w:r>
      <w:r>
        <w:rPr>
          <w:rFonts w:hint="eastAsia" w:ascii="宋体" w:hAnsi="宋体" w:eastAsia="宋体" w:cs="Arial"/>
          <w:lang w:eastAsia="zh-CN"/>
        </w:rPr>
        <w:t>差</w:t>
      </w:r>
      <w:r>
        <w:rPr>
          <w:rFonts w:ascii="宋体" w:hAnsi="宋体" w:eastAsia="宋体" w:cs="Arial"/>
          <w:lang w:eastAsia="zh-CN"/>
        </w:rPr>
        <w:t>情况”）。</w:t>
      </w:r>
      <w:r>
        <w:rPr>
          <w:rFonts w:hint="eastAsia" w:ascii="Arial" w:hAnsi="Arial" w:eastAsia="宋体" w:cs="Arial"/>
          <w:lang w:eastAsia="zh-CN"/>
        </w:rPr>
        <w:t>实施该研究前必须确定验收标准。如果在一份或多份相同溶液</w:t>
      </w:r>
      <w:r>
        <w:rPr>
          <w:rFonts w:ascii="Arial" w:hAnsi="Arial" w:eastAsia="宋体" w:cs="Arial"/>
          <w:lang w:eastAsia="zh-CN"/>
        </w:rPr>
        <w:t>中未检测到</w:t>
      </w:r>
      <w:r>
        <w:rPr>
          <w:rFonts w:hint="eastAsia" w:ascii="Arial" w:hAnsi="Arial" w:eastAsia="宋体" w:cs="Arial"/>
          <w:i/>
          <w:lang w:eastAsia="zh-CN"/>
        </w:rPr>
        <w:t>阴道毛滴虫，则</w:t>
      </w:r>
      <w:r>
        <w:rPr>
          <w:rFonts w:hint="eastAsia" w:ascii="Arial" w:hAnsi="Arial" w:eastAsia="宋体" w:cs="Arial"/>
          <w:lang w:eastAsia="zh-CN"/>
        </w:rPr>
        <w:t>认为样本是干扰物质。如果存在干扰，则必须测试浓度逐渐递减的干</w:t>
      </w:r>
      <w:r>
        <w:rPr>
          <w:rFonts w:ascii="Arial" w:hAnsi="Arial" w:eastAsia="宋体" w:cs="Arial"/>
          <w:lang w:eastAsia="zh-CN"/>
        </w:rPr>
        <w:t>扰物直到不再出现假阴性结果。如果未观察到显著临床影响，则无需进行进一步测试。其他信息可参考CLSI文件，</w:t>
      </w:r>
      <w:r>
        <w:rPr>
          <w:rFonts w:hint="eastAsia" w:ascii="Arial" w:hAnsi="Arial" w:eastAsia="宋体" w:cs="Arial"/>
          <w:lang w:eastAsia="zh-CN"/>
        </w:rPr>
        <w:t>“</w:t>
      </w:r>
      <w:r>
        <w:rPr>
          <w:rFonts w:ascii="Arial" w:hAnsi="Arial" w:eastAsia="宋体" w:cs="Arial"/>
          <w:lang w:eastAsia="zh-CN"/>
        </w:rPr>
        <w:t>临床化学中的干扰试验</w:t>
      </w:r>
      <w:r>
        <w:rPr>
          <w:rFonts w:hint="eastAsia" w:ascii="Arial" w:hAnsi="Arial" w:eastAsia="宋体" w:cs="Arial"/>
          <w:lang w:eastAsia="zh-CN"/>
        </w:rPr>
        <w:t>”</w:t>
      </w:r>
      <w:r>
        <w:rPr>
          <w:rFonts w:ascii="Arial" w:hAnsi="Arial" w:eastAsia="宋体" w:cs="Arial"/>
          <w:lang w:eastAsia="zh-CN"/>
        </w:rPr>
        <w:t xml:space="preserve"> EP07-A2 【参考文件4】。表4</w:t>
      </w:r>
      <w:r>
        <w:rPr>
          <w:rFonts w:hint="eastAsia" w:ascii="Arial" w:hAnsi="Arial" w:eastAsia="宋体" w:cs="Arial"/>
          <w:lang w:eastAsia="zh-CN"/>
        </w:rPr>
        <w:t>提供了</w:t>
      </w:r>
      <w:r>
        <w:rPr>
          <w:rFonts w:ascii="Arial" w:hAnsi="Arial" w:eastAsia="宋体" w:cs="Arial"/>
          <w:lang w:eastAsia="zh-CN"/>
        </w:rPr>
        <w:t>可能的干扰物质。</w:t>
      </w:r>
    </w:p>
    <w:p w14:paraId="0153DA36">
      <w:pPr>
        <w:pStyle w:val="23"/>
        <w:overflowPunct w:val="0"/>
        <w:snapToGrid w:val="0"/>
        <w:spacing w:after="120" w:afterLines="50" w:line="300" w:lineRule="auto"/>
        <w:ind w:left="0"/>
        <w:jc w:val="both"/>
        <w:rPr>
          <w:rFonts w:ascii="Arial" w:hAnsi="Arial" w:eastAsia="宋体" w:cs="Arial"/>
          <w:b w:val="0"/>
          <w:bCs w:val="0"/>
          <w:lang w:eastAsia="zh-CN"/>
        </w:rPr>
      </w:pPr>
      <w:r>
        <w:rPr>
          <w:rFonts w:ascii="Arial" w:hAnsi="Arial" w:eastAsia="宋体" w:cs="Arial"/>
          <w:lang w:eastAsia="zh-CN"/>
        </w:rPr>
        <w:t>表 4 – 干扰研究需检测的物质</w:t>
      </w:r>
    </w:p>
    <w:p w14:paraId="0C16C063">
      <w:pPr>
        <w:overflowPunct w:val="0"/>
        <w:snapToGrid w:val="0"/>
        <w:spacing w:after="120" w:afterLines="50" w:line="300" w:lineRule="auto"/>
        <w:jc w:val="both"/>
        <w:rPr>
          <w:rFonts w:ascii="Arial" w:hAnsi="Arial" w:eastAsia="宋体" w:cs="Arial"/>
          <w:b/>
          <w:bCs/>
          <w:sz w:val="24"/>
          <w:szCs w:val="24"/>
          <w:lang w:eastAsia="zh-CN"/>
        </w:rPr>
      </w:pPr>
    </w:p>
    <w:tbl>
      <w:tblPr>
        <w:tblStyle w:val="15"/>
        <w:tblW w:w="0" w:type="auto"/>
        <w:tblInd w:w="893" w:type="dxa"/>
        <w:tblLayout w:type="fixed"/>
        <w:tblCellMar>
          <w:top w:w="0" w:type="dxa"/>
          <w:left w:w="0" w:type="dxa"/>
          <w:bottom w:w="0" w:type="dxa"/>
          <w:right w:w="0" w:type="dxa"/>
        </w:tblCellMar>
      </w:tblPr>
      <w:tblGrid>
        <w:gridCol w:w="3420"/>
        <w:gridCol w:w="3797"/>
      </w:tblGrid>
      <w:tr w14:paraId="1B8F5CE6">
        <w:tblPrEx>
          <w:tblCellMar>
            <w:top w:w="0" w:type="dxa"/>
            <w:left w:w="0" w:type="dxa"/>
            <w:bottom w:w="0" w:type="dxa"/>
            <w:right w:w="0" w:type="dxa"/>
          </w:tblCellMar>
        </w:tblPrEx>
        <w:tc>
          <w:tcPr>
            <w:tcW w:w="3420" w:type="dxa"/>
            <w:tcBorders>
              <w:top w:val="single" w:color="000000" w:sz="4" w:space="0"/>
              <w:left w:val="single" w:color="000000" w:sz="4" w:space="0"/>
              <w:bottom w:val="single" w:color="000000" w:sz="4" w:space="0"/>
              <w:right w:val="single" w:color="000000" w:sz="4" w:space="0"/>
            </w:tcBorders>
            <w:shd w:val="clear" w:color="auto" w:fill="D9D9D9"/>
          </w:tcPr>
          <w:p w14:paraId="7866FBBD">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b/>
                <w:sz w:val="21"/>
                <w:szCs w:val="21"/>
                <w:lang w:eastAsia="zh-CN"/>
              </w:rPr>
              <w:t>拭子</w:t>
            </w:r>
          </w:p>
        </w:tc>
        <w:tc>
          <w:tcPr>
            <w:tcW w:w="3797" w:type="dxa"/>
            <w:tcBorders>
              <w:top w:val="single" w:color="000000" w:sz="4" w:space="0"/>
              <w:left w:val="single" w:color="000000" w:sz="4" w:space="0"/>
              <w:bottom w:val="single" w:color="000000" w:sz="4" w:space="0"/>
              <w:right w:val="single" w:color="000000" w:sz="4" w:space="0"/>
            </w:tcBorders>
            <w:shd w:val="clear" w:color="auto" w:fill="D9D9D9"/>
          </w:tcPr>
          <w:p w14:paraId="169567D4">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b/>
                <w:sz w:val="21"/>
                <w:szCs w:val="21"/>
                <w:lang w:eastAsia="zh-CN"/>
              </w:rPr>
              <w:t>尿液基质</w:t>
            </w:r>
          </w:p>
        </w:tc>
      </w:tr>
      <w:tr w14:paraId="1020947C">
        <w:tblPrEx>
          <w:tblCellMar>
            <w:top w:w="0" w:type="dxa"/>
            <w:left w:w="0" w:type="dxa"/>
            <w:bottom w:w="0" w:type="dxa"/>
            <w:right w:w="0" w:type="dxa"/>
          </w:tblCellMar>
        </w:tblPrEx>
        <w:tc>
          <w:tcPr>
            <w:tcW w:w="3420" w:type="dxa"/>
            <w:tcBorders>
              <w:top w:val="single" w:color="000000" w:sz="4" w:space="0"/>
              <w:left w:val="single" w:color="000000" w:sz="4" w:space="0"/>
              <w:bottom w:val="single" w:color="000000" w:sz="4" w:space="0"/>
              <w:right w:val="single" w:color="000000" w:sz="4" w:space="0"/>
            </w:tcBorders>
          </w:tcPr>
          <w:p w14:paraId="0A608BE2">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全血</w:t>
            </w:r>
          </w:p>
          <w:p w14:paraId="1DEEE088">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精液</w:t>
            </w:r>
          </w:p>
          <w:p w14:paraId="220D0B3A">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粘液</w:t>
            </w:r>
          </w:p>
          <w:p w14:paraId="7F197F02">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非处方阴道产品和避孕药</w:t>
            </w:r>
          </w:p>
          <w:p w14:paraId="77C18050">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痔疮膏</w:t>
            </w:r>
          </w:p>
          <w:p w14:paraId="7F09CCA1">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处方阴道治疗物</w:t>
            </w:r>
          </w:p>
          <w:p w14:paraId="3D33CBEA">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白血球 （1x10</w:t>
            </w:r>
            <w:r>
              <w:rPr>
                <w:rFonts w:hint="eastAsia" w:ascii="Arial" w:hAnsi="Arial" w:eastAsia="宋体" w:cs="Arial"/>
                <w:sz w:val="21"/>
                <w:szCs w:val="21"/>
                <w:vertAlign w:val="superscript"/>
                <w:lang w:eastAsia="zh-CN"/>
              </w:rPr>
              <w:t>6</w:t>
            </w:r>
            <w:r>
              <w:rPr>
                <w:rFonts w:ascii="Arial" w:hAnsi="Arial" w:eastAsia="宋体" w:cs="Arial"/>
                <w:sz w:val="21"/>
                <w:szCs w:val="21"/>
                <w:lang w:eastAsia="zh-CN"/>
              </w:rPr>
              <w:t>细胞/mL）</w:t>
            </w:r>
          </w:p>
          <w:p w14:paraId="03138C49">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阴道内激素</w:t>
            </w:r>
          </w:p>
        </w:tc>
        <w:tc>
          <w:tcPr>
            <w:tcW w:w="3797" w:type="dxa"/>
            <w:tcBorders>
              <w:top w:val="single" w:color="000000" w:sz="4" w:space="0"/>
              <w:left w:val="single" w:color="000000" w:sz="4" w:space="0"/>
              <w:bottom w:val="single" w:color="000000" w:sz="4" w:space="0"/>
              <w:right w:val="single" w:color="000000" w:sz="4" w:space="0"/>
            </w:tcBorders>
          </w:tcPr>
          <w:p w14:paraId="7081443B">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盐酸非那吡啶</w:t>
            </w:r>
          </w:p>
          <w:p w14:paraId="76620C3D">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全血</w:t>
            </w:r>
          </w:p>
          <w:p w14:paraId="65AF985D">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酸性尿 （pH 4.0 或 5.0）</w:t>
            </w:r>
          </w:p>
          <w:p w14:paraId="5B0C6882">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碱性尿 （pH 9.0）</w:t>
            </w:r>
          </w:p>
          <w:p w14:paraId="4864D79E">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激素</w:t>
            </w:r>
          </w:p>
          <w:p w14:paraId="5D56676F">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抗生素</w:t>
            </w:r>
          </w:p>
          <w:p w14:paraId="23098F5B">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胆红素</w:t>
            </w:r>
          </w:p>
          <w:p w14:paraId="1F0BDF8E">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粘液</w:t>
            </w:r>
          </w:p>
          <w:p w14:paraId="533A9BE5">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白蛋白 （</w:t>
            </w:r>
            <w:r>
              <w:rPr>
                <w:rFonts w:hint="eastAsia" w:ascii="Arial" w:hAnsi="Arial" w:eastAsia="宋体" w:cs="Arial"/>
                <w:sz w:val="21"/>
                <w:szCs w:val="21"/>
                <w:lang w:eastAsia="zh-CN"/>
              </w:rPr>
              <w:t>≤</w:t>
            </w:r>
            <w:r>
              <w:rPr>
                <w:rFonts w:ascii="Arial" w:hAnsi="Arial" w:eastAsia="宋体" w:cs="Arial"/>
                <w:sz w:val="21"/>
                <w:szCs w:val="21"/>
                <w:lang w:eastAsia="zh-CN"/>
              </w:rPr>
              <w:t xml:space="preserve"> 1mg/mL） 葡萄糖</w:t>
            </w:r>
          </w:p>
          <w:p w14:paraId="6837C380">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精液 （5% v/v）</w:t>
            </w:r>
          </w:p>
          <w:p w14:paraId="6B3AD407">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非处方祛臭喷雾剂和散剂</w:t>
            </w:r>
          </w:p>
          <w:p w14:paraId="2CDD62E6">
            <w:pPr>
              <w:pStyle w:val="25"/>
              <w:overflowPunct w:val="0"/>
              <w:snapToGrid w:val="0"/>
              <w:spacing w:before="36" w:beforeLines="15" w:after="36" w:afterLines="15" w:line="276" w:lineRule="auto"/>
              <w:jc w:val="center"/>
              <w:rPr>
                <w:rFonts w:ascii="Arial" w:hAnsi="Arial" w:eastAsia="宋体" w:cs="Arial"/>
                <w:sz w:val="21"/>
                <w:szCs w:val="21"/>
                <w:lang w:eastAsia="zh-CN"/>
              </w:rPr>
            </w:pPr>
            <w:r>
              <w:rPr>
                <w:rFonts w:ascii="Arial" w:hAnsi="Arial" w:eastAsia="宋体" w:cs="Arial"/>
                <w:sz w:val="21"/>
                <w:szCs w:val="21"/>
                <w:lang w:eastAsia="zh-CN"/>
              </w:rPr>
              <w:t>白血球</w:t>
            </w:r>
          </w:p>
        </w:tc>
      </w:tr>
    </w:tbl>
    <w:p w14:paraId="750C3113">
      <w:pPr>
        <w:overflowPunct w:val="0"/>
        <w:snapToGrid w:val="0"/>
        <w:spacing w:after="120" w:afterLines="50" w:line="300" w:lineRule="auto"/>
        <w:jc w:val="both"/>
        <w:rPr>
          <w:rFonts w:ascii="Arial" w:hAnsi="Arial" w:eastAsia="宋体" w:cs="Arial"/>
          <w:b/>
          <w:bCs/>
          <w:sz w:val="24"/>
          <w:szCs w:val="24"/>
        </w:rPr>
      </w:pPr>
    </w:p>
    <w:p w14:paraId="5806E851">
      <w:pPr>
        <w:pStyle w:val="22"/>
        <w:tabs>
          <w:tab w:val="left" w:pos="2267"/>
        </w:tabs>
        <w:overflowPunct w:val="0"/>
        <w:snapToGrid w:val="0"/>
        <w:spacing w:after="120" w:afterLines="50" w:line="300" w:lineRule="auto"/>
        <w:ind w:left="0" w:firstLine="964" w:firstLineChars="400"/>
        <w:jc w:val="both"/>
        <w:rPr>
          <w:rFonts w:ascii="Arial" w:hAnsi="Arial" w:eastAsia="宋体" w:cs="Arial"/>
          <w:sz w:val="24"/>
          <w:szCs w:val="24"/>
          <w:lang w:eastAsia="zh-CN"/>
        </w:rPr>
      </w:pPr>
      <w:bookmarkStart w:id="69" w:name="_Toc497125105"/>
      <w:r>
        <w:rPr>
          <w:rFonts w:ascii="Arial" w:hAnsi="Arial" w:eastAsia="宋体" w:cs="Arial"/>
          <w:sz w:val="24"/>
          <w:szCs w:val="24"/>
          <w:lang w:eastAsia="zh-CN"/>
        </w:rPr>
        <w:t>VII（C）（3）.</w:t>
      </w:r>
      <w:r>
        <w:rPr>
          <w:rFonts w:ascii="Arial" w:hAnsi="Arial" w:eastAsia="宋体" w:cs="Arial"/>
          <w:sz w:val="24"/>
          <w:szCs w:val="24"/>
          <w:lang w:eastAsia="zh-CN"/>
        </w:rPr>
        <w:tab/>
      </w:r>
      <w:bookmarkStart w:id="70" w:name="_bookmark25"/>
      <w:bookmarkEnd w:id="70"/>
      <w:r>
        <w:rPr>
          <w:rFonts w:ascii="Arial" w:hAnsi="Arial" w:eastAsia="宋体" w:cs="Arial"/>
          <w:sz w:val="24"/>
          <w:szCs w:val="24"/>
          <w:lang w:eastAsia="zh-CN"/>
        </w:rPr>
        <w:t>Cut-off值和模棱两可区的确定</w:t>
      </w:r>
      <w:bookmarkEnd w:id="69"/>
    </w:p>
    <w:p w14:paraId="3111E0A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w:t>
      </w:r>
      <w:r>
        <w:rPr>
          <w:rFonts w:hint="eastAsia" w:ascii="Arial" w:hAnsi="Arial" w:eastAsia="宋体" w:cs="Arial"/>
          <w:lang w:eastAsia="zh-CN"/>
        </w:rPr>
        <w:t>的</w:t>
      </w:r>
      <w:r>
        <w:rPr>
          <w:rFonts w:ascii="Arial" w:hAnsi="Arial" w:eastAsia="宋体" w:cs="Arial"/>
          <w:lang w:eastAsia="zh-CN"/>
        </w:rPr>
        <w:t>提交必须描述确定测定cut-off值所用的分析性数据和临床数据。例如，如果利用无任何毛滴虫（分析物浓度为零）临床样本的前导性研究</w:t>
      </w:r>
      <w:r>
        <w:rPr>
          <w:rFonts w:hint="eastAsia" w:ascii="Arial" w:hAnsi="Arial" w:eastAsia="宋体" w:cs="Arial"/>
          <w:lang w:eastAsia="zh-CN"/>
        </w:rPr>
        <w:t>活动</w:t>
      </w:r>
      <w:r>
        <w:rPr>
          <w:rFonts w:ascii="Arial" w:hAnsi="Arial" w:eastAsia="宋体" w:cs="Arial"/>
          <w:lang w:eastAsia="zh-CN"/>
        </w:rPr>
        <w:t>预先确定的特异性，并基于该特异性确定cut-off值，则可以提供结果分布（第95</w:t>
      </w:r>
      <w:r>
        <w:rPr>
          <w:rFonts w:ascii="Arial" w:hAnsi="Arial" w:eastAsia="宋体" w:cs="Arial"/>
          <w:position w:val="11"/>
          <w:lang w:eastAsia="zh-CN"/>
        </w:rPr>
        <w:t xml:space="preserve"> </w:t>
      </w:r>
      <w:r>
        <w:rPr>
          <w:rFonts w:ascii="Arial" w:hAnsi="Arial" w:eastAsia="宋体" w:cs="Arial"/>
          <w:lang w:eastAsia="zh-CN"/>
        </w:rPr>
        <w:t>和 第99百分位数</w:t>
      </w:r>
      <w:r>
        <w:rPr>
          <w:rFonts w:hint="eastAsia" w:ascii="Arial" w:hAnsi="Arial" w:eastAsia="宋体" w:cs="Arial"/>
          <w:lang w:eastAsia="zh-CN"/>
        </w:rPr>
        <w:t>、</w:t>
      </w:r>
      <w:r>
        <w:rPr>
          <w:rFonts w:ascii="Arial" w:hAnsi="Arial" w:eastAsia="宋体" w:cs="Arial"/>
          <w:lang w:eastAsia="zh-CN"/>
        </w:rPr>
        <w:t>阳性结果百分比）和其他统计数据。如果基于临床样本前导性研究的受试者工作曲线</w:t>
      </w:r>
      <w:r>
        <w:rPr>
          <w:rFonts w:hint="eastAsia" w:ascii="Arial" w:hAnsi="Arial" w:eastAsia="宋体" w:cs="Arial"/>
          <w:lang w:eastAsia="zh-CN"/>
        </w:rPr>
        <w:t>特征</w:t>
      </w:r>
      <w:r>
        <w:rPr>
          <w:rFonts w:ascii="Arial" w:hAnsi="Arial" w:eastAsia="宋体" w:cs="Arial"/>
          <w:lang w:eastAsia="zh-CN"/>
        </w:rPr>
        <w:t>（ROC）分析估计的最佳敏感性和特异性选择cut-off值（关于ROC分析的细节，见CLSI 文件EP24-A2 【参考文件5】），则敏感性和特异性相关水平可作为证据证明选择的cut-off值是适当的。</w:t>
      </w:r>
    </w:p>
    <w:p w14:paraId="7FF66CE1">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如果测定存在模棱两可区</w:t>
      </w:r>
      <w:r>
        <w:rPr>
          <w:rFonts w:hint="eastAsia" w:ascii="Arial" w:hAnsi="Arial" w:eastAsia="宋体" w:cs="Arial"/>
          <w:lang w:eastAsia="zh-CN"/>
        </w:rPr>
        <w:t>域</w:t>
      </w:r>
      <w:r>
        <w:rPr>
          <w:rFonts w:ascii="Arial" w:hAnsi="Arial" w:eastAsia="宋体" w:cs="Arial"/>
          <w:lang w:eastAsia="zh-CN"/>
        </w:rPr>
        <w:t>，必须解释如何确定模棱两可区</w:t>
      </w:r>
      <w:r>
        <w:rPr>
          <w:rFonts w:hint="eastAsia" w:ascii="Arial" w:hAnsi="Arial" w:eastAsia="宋体" w:cs="Arial"/>
          <w:lang w:eastAsia="zh-CN"/>
        </w:rPr>
        <w:t>域</w:t>
      </w:r>
      <w:r>
        <w:rPr>
          <w:rFonts w:ascii="Arial" w:hAnsi="Arial" w:eastAsia="宋体" w:cs="Arial"/>
          <w:lang w:eastAsia="zh-CN"/>
        </w:rPr>
        <w:t>的范围。</w:t>
      </w:r>
    </w:p>
    <w:p w14:paraId="7AEDFA2A">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利用预先确定的cut-off值（和模棱两可区</w:t>
      </w:r>
      <w:r>
        <w:rPr>
          <w:rFonts w:hint="eastAsia" w:ascii="Arial" w:hAnsi="Arial" w:eastAsia="宋体" w:cs="Arial"/>
          <w:lang w:eastAsia="zh-CN"/>
        </w:rPr>
        <w:t>域</w:t>
      </w:r>
      <w:r>
        <w:rPr>
          <w:rFonts w:ascii="Arial" w:hAnsi="Arial" w:eastAsia="宋体" w:cs="Arial"/>
          <w:lang w:eastAsia="zh-CN"/>
        </w:rPr>
        <w:t>，如果适用）</w:t>
      </w:r>
      <w:r>
        <w:rPr>
          <w:rFonts w:hint="eastAsia" w:ascii="Arial" w:hAnsi="Arial" w:eastAsia="宋体" w:cs="Arial"/>
          <w:lang w:eastAsia="zh-CN"/>
        </w:rPr>
        <w:t>获得</w:t>
      </w:r>
      <w:r>
        <w:rPr>
          <w:rFonts w:ascii="Arial" w:hAnsi="Arial" w:eastAsia="宋体" w:cs="Arial"/>
          <w:lang w:eastAsia="zh-CN"/>
        </w:rPr>
        <w:t>的器械性能必须在关键临床研究中得到确认，该关键临床研究的研究对象应为从代表器械预期使用人群的</w:t>
      </w:r>
      <w:r>
        <w:rPr>
          <w:rFonts w:hint="eastAsia" w:ascii="Arial" w:hAnsi="Arial" w:eastAsia="宋体" w:cs="Arial"/>
          <w:lang w:eastAsia="zh-CN"/>
        </w:rPr>
        <w:t>个体</w:t>
      </w:r>
      <w:r>
        <w:rPr>
          <w:rFonts w:ascii="Arial" w:hAnsi="Arial" w:eastAsia="宋体" w:cs="Arial"/>
          <w:lang w:eastAsia="zh-CN"/>
        </w:rPr>
        <w:t>收集的一套新样本。</w:t>
      </w:r>
    </w:p>
    <w:p w14:paraId="7CAEC46E">
      <w:pPr>
        <w:pStyle w:val="22"/>
        <w:tabs>
          <w:tab w:val="left" w:pos="2267"/>
        </w:tabs>
        <w:overflowPunct w:val="0"/>
        <w:snapToGrid w:val="0"/>
        <w:spacing w:after="120" w:afterLines="50" w:line="300" w:lineRule="auto"/>
        <w:ind w:left="0" w:firstLine="964" w:firstLineChars="400"/>
        <w:jc w:val="both"/>
        <w:rPr>
          <w:rFonts w:ascii="Arial" w:hAnsi="Arial" w:eastAsia="宋体" w:cs="Arial"/>
          <w:sz w:val="24"/>
          <w:szCs w:val="24"/>
          <w:lang w:eastAsia="zh-CN"/>
        </w:rPr>
      </w:pPr>
      <w:bookmarkStart w:id="71" w:name="_Toc497125106"/>
      <w:r>
        <w:rPr>
          <w:rFonts w:ascii="Arial" w:hAnsi="Arial" w:eastAsia="宋体" w:cs="Arial"/>
          <w:sz w:val="24"/>
          <w:szCs w:val="24"/>
          <w:lang w:eastAsia="zh-CN"/>
        </w:rPr>
        <w:t>VII（C）（4）.</w:t>
      </w:r>
      <w:r>
        <w:rPr>
          <w:rFonts w:ascii="Arial" w:hAnsi="Arial" w:eastAsia="宋体" w:cs="Arial"/>
          <w:sz w:val="24"/>
          <w:szCs w:val="24"/>
          <w:lang w:eastAsia="zh-CN"/>
        </w:rPr>
        <w:tab/>
      </w:r>
      <w:bookmarkStart w:id="72" w:name="_bookmark26"/>
      <w:bookmarkEnd w:id="72"/>
      <w:r>
        <w:rPr>
          <w:rFonts w:ascii="Arial" w:hAnsi="Arial" w:eastAsia="宋体" w:cs="Arial"/>
          <w:sz w:val="24"/>
          <w:szCs w:val="24"/>
          <w:lang w:eastAsia="zh-CN"/>
        </w:rPr>
        <w:t>精密度</w:t>
      </w:r>
      <w:bookmarkEnd w:id="71"/>
    </w:p>
    <w:p w14:paraId="2D57B0FC">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实验室内精密度</w:t>
      </w:r>
    </w:p>
    <w:p w14:paraId="6DBECCA4">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是否需要进行单独的实验室内精密度研究取决于器械所用方法学；请咨询OIR的微生物学器械科确定器械是否需要进行精密度研究。如果需要，</w:t>
      </w:r>
      <w:r>
        <w:rPr>
          <w:rFonts w:hint="eastAsia" w:ascii="Arial" w:hAnsi="Arial" w:eastAsia="宋体" w:cs="Arial"/>
          <w:lang w:eastAsia="zh-CN"/>
        </w:rPr>
        <w:t>则</w:t>
      </w:r>
      <w:r>
        <w:rPr>
          <w:rFonts w:ascii="Arial" w:hAnsi="Arial" w:eastAsia="宋体" w:cs="Arial"/>
          <w:lang w:eastAsia="zh-CN"/>
        </w:rPr>
        <w:t>必须利用临床研究中预期使用的工具和/或自动化组件实施这些研究。可在内部（即在贵公司自己的设施内）实施这些研究。</w:t>
      </w:r>
    </w:p>
    <w:p w14:paraId="0FF28D6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贵公司必须</w:t>
      </w:r>
      <w:r>
        <w:rPr>
          <w:rFonts w:hint="eastAsia" w:ascii="Arial" w:hAnsi="Arial" w:eastAsia="宋体" w:cs="Arial"/>
          <w:lang w:eastAsia="zh-CN"/>
        </w:rPr>
        <w:t>通过测试</w:t>
      </w:r>
      <w:r>
        <w:rPr>
          <w:rFonts w:ascii="Arial" w:hAnsi="Arial" w:eastAsia="宋体" w:cs="Arial"/>
          <w:lang w:eastAsia="zh-CN"/>
        </w:rPr>
        <w:t>器械至少12天并由两名操作者操作，每人每天进行2次测定，每次至少检测每种样本的2份</w:t>
      </w:r>
      <w:r>
        <w:rPr>
          <w:rFonts w:hint="eastAsia" w:ascii="Arial" w:hAnsi="Arial" w:eastAsia="宋体" w:cs="Arial"/>
          <w:lang w:eastAsia="zh-CN"/>
        </w:rPr>
        <w:t>相同溶液来评价可变性来源（例如操作者、天数和测定次数）。这</w:t>
      </w:r>
      <w:r>
        <w:rPr>
          <w:rFonts w:ascii="Arial" w:hAnsi="Arial" w:eastAsia="宋体" w:cs="Arial"/>
          <w:lang w:eastAsia="zh-CN"/>
        </w:rPr>
        <w:t>12</w:t>
      </w:r>
      <w:r>
        <w:rPr>
          <w:rFonts w:hint="eastAsia" w:ascii="Arial" w:hAnsi="Arial" w:eastAsia="宋体" w:cs="Arial"/>
          <w:lang w:eastAsia="zh-CN"/>
        </w:rPr>
        <w:t>天不一定要连续。如果系统校准周期在研究的时间跨度内，则研究设计中必须包含至少两个校准周期；否则，请提供原理，说明为何不评价由工具校准造成的可变性。试验对象必须包含以下浓度水平的样本：</w:t>
      </w:r>
    </w:p>
    <w:p w14:paraId="09FFA7DC">
      <w:pPr>
        <w:pStyle w:val="3"/>
        <w:numPr>
          <w:ilvl w:val="1"/>
          <w:numId w:val="11"/>
        </w:numPr>
        <w:tabs>
          <w:tab w:val="left" w:pos="828"/>
        </w:tabs>
        <w:overflowPunct w:val="0"/>
        <w:snapToGrid w:val="0"/>
        <w:spacing w:after="120" w:afterLines="50" w:line="300" w:lineRule="auto"/>
        <w:ind w:left="672" w:hanging="364"/>
        <w:jc w:val="both"/>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阴性</w:t>
      </w:r>
      <w:r>
        <w:rPr>
          <w:rFonts w:hint="eastAsia" w:ascii="Arial" w:hAnsi="Arial" w:eastAsia="宋体" w:cs="Arial"/>
          <w:lang w:eastAsia="zh-CN"/>
        </w:rPr>
        <w:t>”</w:t>
      </w:r>
      <w:r>
        <w:rPr>
          <w:rFonts w:ascii="Arial" w:hAnsi="Arial" w:eastAsia="宋体" w:cs="Arial"/>
          <w:lang w:eastAsia="zh-CN"/>
        </w:rPr>
        <w:t>样本：无分析物样本，以致对该样本的重复测试结果100%</w:t>
      </w:r>
      <w:r>
        <w:rPr>
          <w:rFonts w:hint="eastAsia" w:ascii="Arial" w:hAnsi="Arial" w:eastAsia="宋体" w:cs="Arial"/>
          <w:lang w:eastAsia="zh-CN"/>
        </w:rPr>
        <w:t>次</w:t>
      </w:r>
      <w:r>
        <w:rPr>
          <w:rFonts w:ascii="Arial" w:hAnsi="Arial" w:eastAsia="宋体" w:cs="Arial"/>
          <w:lang w:eastAsia="zh-CN"/>
        </w:rPr>
        <w:t>为阴性。</w:t>
      </w:r>
    </w:p>
    <w:p w14:paraId="5A8A2E1E">
      <w:pPr>
        <w:pStyle w:val="3"/>
        <w:numPr>
          <w:ilvl w:val="1"/>
          <w:numId w:val="11"/>
        </w:numPr>
        <w:tabs>
          <w:tab w:val="left" w:pos="828"/>
        </w:tabs>
        <w:overflowPunct w:val="0"/>
        <w:snapToGrid w:val="0"/>
        <w:spacing w:after="120" w:afterLines="50" w:line="300" w:lineRule="auto"/>
        <w:ind w:left="672" w:hanging="364"/>
        <w:jc w:val="both"/>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强阴性</w:t>
      </w:r>
      <w:r>
        <w:rPr>
          <w:rFonts w:hint="eastAsia" w:ascii="Arial" w:hAnsi="Arial" w:eastAsia="宋体" w:cs="Arial"/>
          <w:lang w:eastAsia="zh-CN"/>
        </w:rPr>
        <w:t>”</w:t>
      </w:r>
      <w:r>
        <w:rPr>
          <w:rFonts w:ascii="Arial" w:hAnsi="Arial" w:eastAsia="宋体" w:cs="Arial"/>
          <w:lang w:eastAsia="zh-CN"/>
        </w:rPr>
        <w:t>样本（C</w:t>
      </w:r>
      <w:r>
        <w:rPr>
          <w:rFonts w:ascii="Arial" w:hAnsi="Arial" w:eastAsia="宋体" w:cs="Arial"/>
          <w:position w:val="-2"/>
          <w:lang w:eastAsia="zh-CN"/>
        </w:rPr>
        <w:t>5</w:t>
      </w:r>
      <w:r>
        <w:rPr>
          <w:rFonts w:ascii="Arial" w:hAnsi="Arial" w:eastAsia="宋体" w:cs="Arial"/>
          <w:lang w:eastAsia="zh-CN"/>
        </w:rPr>
        <w:t>浓度）：样本分析物浓度低于临床cut-off值，以致对该样本的重复测试结果约95%次为阴性，约5%次为阳性。</w:t>
      </w:r>
    </w:p>
    <w:p w14:paraId="1BD3A371">
      <w:pPr>
        <w:pStyle w:val="3"/>
        <w:numPr>
          <w:ilvl w:val="1"/>
          <w:numId w:val="11"/>
        </w:numPr>
        <w:tabs>
          <w:tab w:val="left" w:pos="828"/>
        </w:tabs>
        <w:overflowPunct w:val="0"/>
        <w:snapToGrid w:val="0"/>
        <w:spacing w:after="120" w:afterLines="50" w:line="300" w:lineRule="auto"/>
        <w:ind w:left="672" w:hanging="364"/>
        <w:jc w:val="both"/>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弱阳性</w:t>
      </w:r>
      <w:r>
        <w:rPr>
          <w:rFonts w:hint="eastAsia" w:ascii="Arial" w:hAnsi="Arial" w:eastAsia="宋体" w:cs="Arial"/>
          <w:lang w:eastAsia="zh-CN"/>
        </w:rPr>
        <w:t>”</w:t>
      </w:r>
      <w:r>
        <w:rPr>
          <w:rFonts w:ascii="Arial" w:hAnsi="Arial" w:eastAsia="宋体" w:cs="Arial"/>
          <w:lang w:eastAsia="zh-CN"/>
        </w:rPr>
        <w:t>样本（C</w:t>
      </w:r>
      <w:r>
        <w:rPr>
          <w:rFonts w:ascii="Arial" w:hAnsi="Arial" w:eastAsia="宋体" w:cs="Arial"/>
          <w:position w:val="-2"/>
          <w:lang w:eastAsia="zh-CN"/>
        </w:rPr>
        <w:t>95</w:t>
      </w:r>
      <w:r>
        <w:rPr>
          <w:rFonts w:ascii="Arial" w:hAnsi="Arial" w:eastAsia="宋体" w:cs="Arial"/>
          <w:lang w:eastAsia="zh-CN"/>
        </w:rPr>
        <w:t>浓度）：样本的分析物浓度刚刚超出临床cut-off值，以致对该样本的重复测试结果约95%次为阳性。</w:t>
      </w:r>
    </w:p>
    <w:p w14:paraId="11EAC049">
      <w:pPr>
        <w:pStyle w:val="3"/>
        <w:numPr>
          <w:ilvl w:val="1"/>
          <w:numId w:val="11"/>
        </w:numPr>
        <w:tabs>
          <w:tab w:val="left" w:pos="828"/>
        </w:tabs>
        <w:overflowPunct w:val="0"/>
        <w:snapToGrid w:val="0"/>
        <w:spacing w:after="120" w:afterLines="50" w:line="300" w:lineRule="auto"/>
        <w:ind w:left="672" w:hanging="364"/>
        <w:jc w:val="both"/>
        <w:rPr>
          <w:rFonts w:ascii="Arial" w:hAnsi="Arial" w:eastAsia="宋体" w:cs="Arial"/>
          <w:lang w:eastAsia="zh-CN"/>
        </w:rPr>
      </w:pPr>
      <w:r>
        <w:rPr>
          <w:rFonts w:hint="eastAsia" w:ascii="Arial" w:hAnsi="Arial" w:eastAsia="宋体" w:cs="Arial"/>
          <w:lang w:eastAsia="zh-CN"/>
        </w:rPr>
        <w:t>“</w:t>
      </w:r>
      <w:r>
        <w:rPr>
          <w:rFonts w:ascii="Arial" w:hAnsi="Arial" w:eastAsia="宋体" w:cs="Arial"/>
          <w:lang w:eastAsia="zh-CN"/>
        </w:rPr>
        <w:t>中等阳性</w:t>
      </w:r>
      <w:r>
        <w:rPr>
          <w:rFonts w:hint="eastAsia" w:ascii="Arial" w:hAnsi="Arial" w:eastAsia="宋体" w:cs="Arial"/>
          <w:lang w:eastAsia="zh-CN"/>
        </w:rPr>
        <w:t>”</w:t>
      </w:r>
      <w:r>
        <w:rPr>
          <w:rFonts w:ascii="Arial" w:hAnsi="Arial" w:eastAsia="宋体" w:cs="Arial"/>
          <w:lang w:eastAsia="zh-CN"/>
        </w:rPr>
        <w:t>样本（例如约是临床cut-off浓度的2到3倍）：样本浓度几乎可以使操作者100%</w:t>
      </w:r>
      <w:r>
        <w:rPr>
          <w:rFonts w:hint="eastAsia" w:ascii="Arial" w:hAnsi="Arial" w:eastAsia="宋体" w:cs="Arial"/>
          <w:lang w:eastAsia="zh-CN"/>
        </w:rPr>
        <w:t>次</w:t>
      </w:r>
      <w:r>
        <w:rPr>
          <w:rFonts w:ascii="Arial" w:hAnsi="Arial" w:eastAsia="宋体" w:cs="Arial"/>
          <w:lang w:eastAsia="zh-CN"/>
        </w:rPr>
        <w:t>预期到阳性结果。</w:t>
      </w:r>
    </w:p>
    <w:p w14:paraId="287D8232">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对于检测分析物浓度为零的样本时几乎总是得到阴性测定结果（I型误差接近零）的超灵敏试验（例如</w:t>
      </w:r>
      <w:bookmarkStart w:id="73" w:name="OLE_LINK33"/>
      <w:bookmarkStart w:id="74" w:name="OLE_LINK34"/>
      <w:r>
        <w:rPr>
          <w:rFonts w:ascii="Arial" w:hAnsi="Arial" w:eastAsia="宋体" w:cs="Arial"/>
          <w:lang w:eastAsia="zh-CN"/>
        </w:rPr>
        <w:t>实时PCR测定</w:t>
      </w:r>
      <w:bookmarkEnd w:id="73"/>
      <w:bookmarkEnd w:id="74"/>
      <w:r>
        <w:rPr>
          <w:rFonts w:ascii="Arial" w:hAnsi="Arial" w:eastAsia="宋体" w:cs="Arial"/>
          <w:lang w:eastAsia="zh-CN"/>
        </w:rPr>
        <w:t>），可能很难制备C</w:t>
      </w:r>
      <w:r>
        <w:rPr>
          <w:rFonts w:ascii="Arial" w:hAnsi="Arial" w:eastAsia="宋体" w:cs="Arial"/>
          <w:position w:val="-2"/>
          <w:lang w:eastAsia="zh-CN"/>
        </w:rPr>
        <w:t>5</w:t>
      </w:r>
      <w:r>
        <w:rPr>
          <w:rFonts w:ascii="Arial" w:hAnsi="Arial" w:eastAsia="宋体" w:cs="Arial"/>
          <w:lang w:eastAsia="zh-CN"/>
        </w:rPr>
        <w:t>浓度的样本。</w:t>
      </w:r>
    </w:p>
    <w:p w14:paraId="1903ACF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如果由参考方法鉴定为阳性的所有受试者中少于10%的受试者得到的试验结果低于LoD，</w:t>
      </w:r>
      <w:r>
        <w:rPr>
          <w:rFonts w:hint="eastAsia" w:ascii="Arial" w:hAnsi="Arial" w:eastAsia="宋体" w:cs="Arial"/>
          <w:lang w:eastAsia="zh-CN"/>
        </w:rPr>
        <w:t>则</w:t>
      </w:r>
      <w:r>
        <w:rPr>
          <w:rFonts w:ascii="Arial" w:hAnsi="Arial" w:eastAsia="宋体" w:cs="Arial"/>
          <w:lang w:eastAsia="zh-CN"/>
        </w:rPr>
        <w:t>精密度研究的对象可排除C</w:t>
      </w:r>
      <w:r>
        <w:rPr>
          <w:rFonts w:ascii="Arial" w:hAnsi="Arial" w:eastAsia="宋体" w:cs="Arial"/>
          <w:position w:val="-2"/>
          <w:lang w:eastAsia="zh-CN"/>
        </w:rPr>
        <w:t>5</w:t>
      </w:r>
      <w:r>
        <w:rPr>
          <w:rFonts w:ascii="Arial" w:hAnsi="Arial" w:eastAsia="宋体" w:cs="Arial"/>
          <w:lang w:eastAsia="zh-CN"/>
        </w:rPr>
        <w:t>浓度样本。在这种情况下，必须测试以下浓度水平的样本：真阴性</w:t>
      </w:r>
      <w:r>
        <w:rPr>
          <w:rFonts w:hint="eastAsia" w:ascii="Arial" w:hAnsi="Arial" w:eastAsia="宋体" w:cs="Arial"/>
          <w:lang w:eastAsia="zh-CN"/>
        </w:rPr>
        <w:t>、</w:t>
      </w:r>
      <w:r>
        <w:rPr>
          <w:rFonts w:ascii="Arial" w:hAnsi="Arial" w:eastAsia="宋体" w:cs="Arial"/>
          <w:lang w:eastAsia="zh-CN"/>
        </w:rPr>
        <w:t>弱阳性和中等阳性。</w:t>
      </w:r>
    </w:p>
    <w:p w14:paraId="77459788">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如果由参考方法鉴定为阳性的所有受试者中多于10%的受试者得到的试验结果低于LoD，</w:t>
      </w:r>
      <w:r>
        <w:rPr>
          <w:rFonts w:hint="eastAsia" w:ascii="Arial" w:hAnsi="Arial" w:eastAsia="宋体" w:cs="Arial"/>
          <w:lang w:eastAsia="zh-CN"/>
        </w:rPr>
        <w:t>则</w:t>
      </w:r>
      <w:r>
        <w:rPr>
          <w:rFonts w:ascii="Arial" w:hAnsi="Arial" w:eastAsia="宋体" w:cs="Arial"/>
          <w:lang w:eastAsia="zh-CN"/>
        </w:rPr>
        <w:t>精密度研究的对象必须包含以下浓度水平的样本：真阴性</w:t>
      </w:r>
      <w:r>
        <w:rPr>
          <w:rFonts w:hint="eastAsia" w:ascii="Arial" w:hAnsi="Arial" w:eastAsia="宋体" w:cs="Arial"/>
          <w:lang w:eastAsia="zh-CN"/>
        </w:rPr>
        <w:t>、</w:t>
      </w:r>
      <w:r>
        <w:rPr>
          <w:rFonts w:ascii="Arial" w:hAnsi="Arial" w:eastAsia="宋体" w:cs="Arial"/>
          <w:lang w:eastAsia="zh-CN"/>
        </w:rPr>
        <w:t>弱阳性（样本浓度在C</w:t>
      </w:r>
      <w:r>
        <w:rPr>
          <w:rFonts w:ascii="Arial" w:hAnsi="Arial" w:eastAsia="宋体" w:cs="Arial"/>
          <w:position w:val="-2"/>
          <w:lang w:eastAsia="zh-CN"/>
        </w:rPr>
        <w:t xml:space="preserve">20 </w:t>
      </w:r>
      <w:r>
        <w:rPr>
          <w:rFonts w:ascii="Arial" w:hAnsi="Arial" w:eastAsia="宋体" w:cs="Arial"/>
          <w:lang w:eastAsia="zh-CN"/>
        </w:rPr>
        <w:t>至C</w:t>
      </w:r>
      <w:r>
        <w:rPr>
          <w:rFonts w:ascii="Arial" w:hAnsi="Arial" w:eastAsia="宋体" w:cs="Arial"/>
          <w:position w:val="-2"/>
          <w:lang w:eastAsia="zh-CN"/>
        </w:rPr>
        <w:t>80</w:t>
      </w:r>
      <w:r>
        <w:rPr>
          <w:rFonts w:ascii="Arial" w:hAnsi="Arial" w:eastAsia="宋体" w:cs="Arial"/>
          <w:lang w:eastAsia="zh-CN"/>
        </w:rPr>
        <w:t>之间）和中等阳性。浓度在C</w:t>
      </w:r>
      <w:r>
        <w:rPr>
          <w:rFonts w:ascii="Arial" w:hAnsi="Arial" w:eastAsia="宋体" w:cs="Arial"/>
          <w:position w:val="-2"/>
          <w:lang w:eastAsia="zh-CN"/>
        </w:rPr>
        <w:t xml:space="preserve">20 </w:t>
      </w:r>
      <w:r>
        <w:rPr>
          <w:rFonts w:ascii="Arial" w:hAnsi="Arial" w:eastAsia="宋体" w:cs="Arial"/>
          <w:lang w:eastAsia="zh-CN"/>
        </w:rPr>
        <w:t>至C</w:t>
      </w:r>
      <w:r>
        <w:rPr>
          <w:rFonts w:ascii="Arial" w:hAnsi="Arial" w:eastAsia="宋体" w:cs="Arial"/>
          <w:position w:val="-2"/>
          <w:lang w:eastAsia="zh-CN"/>
        </w:rPr>
        <w:t>80</w:t>
      </w:r>
      <w:r>
        <w:rPr>
          <w:rFonts w:ascii="Arial" w:hAnsi="Arial" w:eastAsia="宋体" w:cs="Arial"/>
          <w:lang w:eastAsia="zh-CN"/>
        </w:rPr>
        <w:t>之间的样本是指分析物浓度超出或低于cut-off值的样本，以致对该样本的重复测试结果约20-80%次为阳性。</w:t>
      </w:r>
    </w:p>
    <w:p w14:paraId="33E474A8">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在这些研究中必须充分伪装样本或使实施测试的操作者对样本不知情，以避免可能的偏差。每天试验时，</w:t>
      </w:r>
      <w:r>
        <w:rPr>
          <w:rFonts w:hint="eastAsia" w:ascii="Arial" w:hAnsi="Arial" w:eastAsia="宋体" w:cs="Arial"/>
          <w:lang w:eastAsia="zh-CN"/>
        </w:rPr>
        <w:t>测试</w:t>
      </w:r>
      <w:r>
        <w:rPr>
          <w:rFonts w:ascii="Arial" w:hAnsi="Arial" w:eastAsia="宋体" w:cs="Arial"/>
          <w:lang w:eastAsia="zh-CN"/>
        </w:rPr>
        <w:t>样本的顺序必须不同，这样操作者就</w:t>
      </w:r>
      <w:r>
        <w:rPr>
          <w:rFonts w:hint="eastAsia" w:ascii="Arial" w:hAnsi="Arial" w:eastAsia="宋体" w:cs="Arial"/>
          <w:lang w:eastAsia="zh-CN"/>
        </w:rPr>
        <w:t>对</w:t>
      </w:r>
      <w:r>
        <w:rPr>
          <w:rFonts w:ascii="Arial" w:hAnsi="Arial" w:eastAsia="宋体" w:cs="Arial"/>
          <w:lang w:eastAsia="zh-CN"/>
        </w:rPr>
        <w:t>预期结果</w:t>
      </w:r>
      <w:r>
        <w:rPr>
          <w:rFonts w:hint="eastAsia" w:ascii="Arial" w:hAnsi="Arial" w:eastAsia="宋体" w:cs="Arial"/>
          <w:lang w:eastAsia="zh-CN"/>
        </w:rPr>
        <w:t>不知情</w:t>
      </w:r>
      <w:r>
        <w:rPr>
          <w:rFonts w:ascii="Arial" w:hAnsi="Arial" w:eastAsia="宋体" w:cs="Arial"/>
          <w:lang w:eastAsia="zh-CN"/>
        </w:rPr>
        <w:t>。提交资料中必须描述伪装样本或使样本随机化的程序。</w:t>
      </w:r>
    </w:p>
    <w:p w14:paraId="1C996587">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t>CLSI文件EP05-A3</w:t>
      </w:r>
      <w:r>
        <w:rPr>
          <w:rFonts w:hint="eastAsia" w:ascii="Arial" w:hAnsi="Arial" w:eastAsia="宋体" w:cs="Arial"/>
          <w:sz w:val="24"/>
          <w:szCs w:val="24"/>
          <w:lang w:eastAsia="zh-CN"/>
        </w:rPr>
        <w:t>“</w:t>
      </w:r>
      <w:r>
        <w:rPr>
          <w:rFonts w:ascii="Arial" w:hAnsi="Arial" w:eastAsia="宋体" w:cs="Arial"/>
          <w:i/>
          <w:sz w:val="24"/>
          <w:szCs w:val="24"/>
          <w:lang w:eastAsia="zh-CN"/>
        </w:rPr>
        <w:t>定量测量程序的精密度评价</w:t>
      </w:r>
      <w:r>
        <w:rPr>
          <w:rFonts w:hint="eastAsia" w:ascii="Arial" w:hAnsi="Arial" w:eastAsia="宋体" w:cs="Arial"/>
          <w:i/>
          <w:sz w:val="24"/>
          <w:szCs w:val="24"/>
          <w:lang w:eastAsia="zh-CN"/>
        </w:rPr>
        <w:t>”</w:t>
      </w:r>
      <w:r>
        <w:rPr>
          <w:rFonts w:ascii="Arial" w:hAnsi="Arial" w:eastAsia="宋体" w:cs="Arial"/>
          <w:sz w:val="24"/>
          <w:szCs w:val="24"/>
          <w:lang w:eastAsia="zh-CN"/>
        </w:rPr>
        <w:t>和EP12-A2</w:t>
      </w:r>
      <w:r>
        <w:rPr>
          <w:rFonts w:hint="eastAsia" w:ascii="Arial" w:hAnsi="Arial" w:eastAsia="宋体" w:cs="Arial"/>
          <w:sz w:val="24"/>
          <w:szCs w:val="24"/>
          <w:lang w:eastAsia="zh-CN"/>
        </w:rPr>
        <w:t>“</w:t>
      </w:r>
      <w:r>
        <w:rPr>
          <w:rFonts w:ascii="Arial" w:hAnsi="Arial" w:eastAsia="宋体" w:cs="Arial"/>
          <w:i/>
          <w:sz w:val="24"/>
          <w:szCs w:val="24"/>
          <w:lang w:eastAsia="zh-CN"/>
        </w:rPr>
        <w:t>定性试验性能评价的用户协议</w:t>
      </w:r>
      <w:r>
        <w:rPr>
          <w:rFonts w:hint="eastAsia" w:ascii="Arial" w:hAnsi="Arial" w:eastAsia="宋体" w:cs="Arial"/>
          <w:i/>
          <w:sz w:val="24"/>
          <w:szCs w:val="24"/>
          <w:lang w:eastAsia="zh-CN"/>
        </w:rPr>
        <w:t>”</w:t>
      </w:r>
      <w:r>
        <w:rPr>
          <w:rFonts w:ascii="Arial" w:hAnsi="Arial" w:eastAsia="宋体" w:cs="Arial"/>
          <w:sz w:val="24"/>
          <w:szCs w:val="24"/>
          <w:lang w:eastAsia="zh-CN"/>
        </w:rPr>
        <w:t>【参考文件6和7】含关于设计和执行精密度研究的进一步信息。</w:t>
      </w:r>
    </w:p>
    <w:p w14:paraId="50E984F4">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对于实验室内精密度研究的每种试验样本，</w:t>
      </w:r>
      <w:r>
        <w:rPr>
          <w:rFonts w:hint="eastAsia" w:ascii="Arial" w:hAnsi="Arial" w:eastAsia="宋体" w:cs="Arial"/>
          <w:lang w:eastAsia="zh-CN"/>
        </w:rPr>
        <w:t>必须提供平均值和作为重复性（批内）、批间、日间等的方差分量（标准差和变异系数（</w:t>
      </w:r>
      <w:r>
        <w:rPr>
          <w:rFonts w:ascii="Arial" w:hAnsi="Arial" w:eastAsia="宋体" w:cs="Arial"/>
          <w:lang w:eastAsia="zh-CN"/>
        </w:rPr>
        <w:t>CV</w:t>
      </w:r>
      <w:r>
        <w:rPr>
          <w:rFonts w:hint="eastAsia" w:ascii="Arial" w:hAnsi="Arial" w:eastAsia="宋体" w:cs="Arial"/>
          <w:lang w:eastAsia="zh-CN"/>
        </w:rPr>
        <w:t>））</w:t>
      </w:r>
      <w:r>
        <w:rPr>
          <w:rFonts w:ascii="Arial" w:hAnsi="Arial" w:eastAsia="宋体" w:cs="Arial"/>
          <w:lang w:eastAsia="zh-CN"/>
        </w:rPr>
        <w:t>。也必须提供关于整体精密度和所包含方差分量的信息。此外，必须包含每种试验样本高于和低于cut</w:t>
      </w:r>
      <w:r>
        <w:rPr>
          <w:rFonts w:hint="eastAsia" w:ascii="Arial" w:hAnsi="Arial" w:eastAsia="宋体" w:cs="Arial"/>
          <w:lang w:eastAsia="zh-CN"/>
        </w:rPr>
        <w:t>-</w:t>
      </w:r>
      <w:r>
        <w:rPr>
          <w:rFonts w:ascii="Arial" w:hAnsi="Arial" w:eastAsia="宋体" w:cs="Arial"/>
          <w:lang w:eastAsia="zh-CN"/>
        </w:rPr>
        <w:t>off的值分别所占百分比。</w:t>
      </w:r>
    </w:p>
    <w:p w14:paraId="0F60BEFA">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i/>
          <w:sz w:val="24"/>
          <w:szCs w:val="24"/>
          <w:lang w:eastAsia="zh-CN"/>
        </w:rPr>
        <w:t>实验室间精密度/再现性</w:t>
      </w:r>
    </w:p>
    <w:p w14:paraId="7653DC8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尽管试验样本必须与</w:t>
      </w:r>
      <w:r>
        <w:rPr>
          <w:rFonts w:hint="eastAsia" w:ascii="Arial" w:hAnsi="Arial" w:eastAsia="宋体" w:cs="Arial"/>
          <w:lang w:eastAsia="zh-CN"/>
        </w:rPr>
        <w:t>上文</w:t>
      </w:r>
      <w:r>
        <w:rPr>
          <w:rFonts w:ascii="Arial" w:hAnsi="Arial" w:eastAsia="宋体" w:cs="Arial"/>
          <w:lang w:eastAsia="zh-CN"/>
        </w:rPr>
        <w:t>描述的室内精密度研究的试验样本相同，再现性研究的方案仍可能因测定形式不同而有轻微变化。通常，方案必须：</w:t>
      </w:r>
    </w:p>
    <w:p w14:paraId="6478E5A3">
      <w:pPr>
        <w:pStyle w:val="3"/>
        <w:numPr>
          <w:ilvl w:val="1"/>
          <w:numId w:val="11"/>
        </w:numPr>
        <w:tabs>
          <w:tab w:val="left" w:pos="1176"/>
        </w:tabs>
        <w:overflowPunct w:val="0"/>
        <w:snapToGrid w:val="0"/>
        <w:spacing w:after="120" w:afterLines="50" w:line="300" w:lineRule="auto"/>
        <w:ind w:left="755" w:leftChars="152" w:hanging="421"/>
        <w:jc w:val="both"/>
        <w:rPr>
          <w:rFonts w:ascii="Arial" w:hAnsi="Arial" w:eastAsia="宋体" w:cs="Arial"/>
          <w:lang w:eastAsia="zh-CN"/>
        </w:rPr>
      </w:pPr>
      <w:r>
        <w:rPr>
          <w:rFonts w:ascii="Arial" w:hAnsi="Arial" w:eastAsia="宋体" w:cs="Arial"/>
          <w:lang w:eastAsia="zh-CN"/>
        </w:rPr>
        <w:t>在三个测试中心评价试验的再现性；这可能包括两个外部中心和一个内部中心或三个外部中心。三个中心为每种试验样本提供的观察结果总数必须至少为90个（每个中心为每种试验样本提供至少30个观察结果）。</w:t>
      </w:r>
    </w:p>
    <w:p w14:paraId="5847CF7B">
      <w:pPr>
        <w:pStyle w:val="3"/>
        <w:numPr>
          <w:ilvl w:val="1"/>
          <w:numId w:val="11"/>
        </w:numPr>
        <w:tabs>
          <w:tab w:val="left" w:pos="1176"/>
        </w:tabs>
        <w:overflowPunct w:val="0"/>
        <w:snapToGrid w:val="0"/>
        <w:spacing w:after="120" w:afterLines="50" w:line="300" w:lineRule="auto"/>
        <w:ind w:left="755" w:leftChars="152" w:hanging="421"/>
        <w:jc w:val="both"/>
        <w:rPr>
          <w:rFonts w:ascii="Arial" w:hAnsi="Arial" w:eastAsia="宋体" w:cs="Arial"/>
          <w:lang w:eastAsia="zh-CN"/>
        </w:rPr>
      </w:pPr>
      <w:r>
        <w:rPr>
          <w:rFonts w:ascii="Arial" w:hAnsi="Arial" w:eastAsia="宋体" w:cs="Arial"/>
          <w:lang w:eastAsia="zh-CN"/>
        </w:rPr>
        <w:t>采用5天测试方案，包括每天至少2次测试（除非试剂盒的设计不允许每天进行多次测试），每次测试每种试验样本分为相同的3份进行测试。</w:t>
      </w:r>
    </w:p>
    <w:p w14:paraId="65EF639C">
      <w:pPr>
        <w:pStyle w:val="3"/>
        <w:numPr>
          <w:ilvl w:val="1"/>
          <w:numId w:val="11"/>
        </w:numPr>
        <w:tabs>
          <w:tab w:val="left" w:pos="1176"/>
        </w:tabs>
        <w:overflowPunct w:val="0"/>
        <w:snapToGrid w:val="0"/>
        <w:spacing w:after="120" w:afterLines="50" w:line="300" w:lineRule="auto"/>
        <w:ind w:left="755" w:leftChars="152" w:hanging="421"/>
        <w:jc w:val="both"/>
        <w:rPr>
          <w:rFonts w:ascii="Arial" w:hAnsi="Arial" w:eastAsia="宋体" w:cs="Arial"/>
          <w:lang w:eastAsia="zh-CN"/>
        </w:rPr>
      </w:pPr>
      <w:r>
        <w:rPr>
          <w:rFonts w:ascii="Arial" w:hAnsi="Arial" w:eastAsia="宋体" w:cs="Arial"/>
          <w:lang w:eastAsia="zh-CN"/>
        </w:rPr>
        <w:t>每个中心至少有两名操作者执行测试。同一操作者每天必须执行两次测试以</w:t>
      </w:r>
      <w:r>
        <w:rPr>
          <w:rFonts w:hint="eastAsia" w:ascii="Arial" w:hAnsi="Arial" w:eastAsia="宋体" w:cs="Arial"/>
          <w:lang w:eastAsia="zh-CN"/>
        </w:rPr>
        <w:t>允许计算测试</w:t>
      </w:r>
      <w:r>
        <w:rPr>
          <w:rFonts w:ascii="Arial" w:hAnsi="Arial" w:eastAsia="宋体" w:cs="Arial"/>
          <w:lang w:eastAsia="zh-CN"/>
        </w:rPr>
        <w:t>-</w:t>
      </w:r>
      <w:r>
        <w:rPr>
          <w:rFonts w:hint="eastAsia" w:ascii="Arial" w:hAnsi="Arial" w:eastAsia="宋体" w:cs="Arial"/>
          <w:lang w:eastAsia="zh-CN"/>
        </w:rPr>
        <w:t>测试和操作者</w:t>
      </w:r>
      <w:r>
        <w:rPr>
          <w:rFonts w:ascii="Arial" w:hAnsi="Arial" w:eastAsia="宋体" w:cs="Arial"/>
          <w:lang w:eastAsia="zh-CN"/>
        </w:rPr>
        <w:t>-</w:t>
      </w:r>
      <w:r>
        <w:rPr>
          <w:rFonts w:hint="eastAsia" w:ascii="Arial" w:hAnsi="Arial" w:eastAsia="宋体" w:cs="Arial"/>
          <w:lang w:eastAsia="zh-CN"/>
        </w:rPr>
        <w:t>操作者的方</w:t>
      </w:r>
      <w:r>
        <w:rPr>
          <w:rFonts w:ascii="Arial" w:hAnsi="Arial" w:eastAsia="宋体" w:cs="Arial"/>
          <w:lang w:eastAsia="zh-CN"/>
        </w:rPr>
        <w:t>差。必须提供与</w:t>
      </w:r>
      <w:r>
        <w:rPr>
          <w:rFonts w:hint="eastAsia" w:ascii="Arial" w:hAnsi="Arial" w:eastAsia="宋体" w:cs="Arial"/>
          <w:lang w:eastAsia="zh-CN"/>
        </w:rPr>
        <w:t>上市测试</w:t>
      </w:r>
      <w:r>
        <w:rPr>
          <w:rFonts w:ascii="Arial" w:hAnsi="Arial" w:eastAsia="宋体" w:cs="Arial"/>
          <w:lang w:eastAsia="zh-CN"/>
        </w:rPr>
        <w:t>后使用者预期接受培训相同程度的培训。</w:t>
      </w:r>
    </w:p>
    <w:p w14:paraId="288734E9">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对于再现性研究的每种试验样本，必须提供每个中心单独的和所有中心总的平均值和每种方差分量估计（标准差和变异系数）及总方差。例如对于所有中心的总数据分析，如果再现性研究在三个中心执行，持续5天，由2名操作者操作且每次测试时测试三份相同的溶液，则需提供总方差的平均值、标准差和变异系数和中心对中心</w:t>
      </w:r>
      <w:r>
        <w:rPr>
          <w:rFonts w:hint="eastAsia" w:ascii="Arial" w:hAnsi="Arial" w:eastAsia="宋体" w:cs="Arial"/>
          <w:lang w:eastAsia="zh-CN"/>
        </w:rPr>
        <w:t>、天数</w:t>
      </w:r>
      <w:r>
        <w:rPr>
          <w:rFonts w:ascii="Arial" w:hAnsi="Arial" w:eastAsia="宋体" w:cs="Arial"/>
          <w:lang w:eastAsia="zh-CN"/>
        </w:rPr>
        <w:t>对</w:t>
      </w:r>
      <w:r>
        <w:rPr>
          <w:rFonts w:hint="eastAsia" w:ascii="Arial" w:hAnsi="Arial" w:eastAsia="宋体" w:cs="Arial"/>
          <w:lang w:eastAsia="zh-CN"/>
        </w:rPr>
        <w:t>天数、</w:t>
      </w:r>
      <w:r>
        <w:rPr>
          <w:rFonts w:ascii="Arial" w:hAnsi="Arial" w:eastAsia="宋体" w:cs="Arial"/>
          <w:lang w:eastAsia="zh-CN"/>
        </w:rPr>
        <w:t>操作者对操作者</w:t>
      </w:r>
      <w:r>
        <w:rPr>
          <w:rFonts w:hint="eastAsia" w:ascii="Arial" w:hAnsi="Arial" w:eastAsia="宋体" w:cs="Arial"/>
          <w:lang w:eastAsia="zh-CN"/>
        </w:rPr>
        <w:t>、</w:t>
      </w:r>
      <w:r>
        <w:rPr>
          <w:rFonts w:ascii="Arial" w:hAnsi="Arial" w:eastAsia="宋体" w:cs="Arial"/>
          <w:lang w:eastAsia="zh-CN"/>
        </w:rPr>
        <w:t>测试对测试和相同溶液对相同溶液的方差分量。此外，必须包含每个中心单独的和所有中心总的高于和低于cutoff的值分别所占百分比和无效结果百分比。关于再现性研究设计的其他信息可参考CLSI文件EP05-A3 和 EP15-A3 【参考文件 6 和8】。</w:t>
      </w:r>
    </w:p>
    <w:p w14:paraId="113244E9">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75" w:name="_Toc497125107"/>
      <w:r>
        <w:rPr>
          <w:rFonts w:ascii="Arial" w:hAnsi="Arial" w:eastAsia="宋体" w:cs="Arial"/>
          <w:sz w:val="24"/>
          <w:szCs w:val="24"/>
          <w:lang w:eastAsia="zh-CN"/>
        </w:rPr>
        <w:t>VII（C）（5）.</w:t>
      </w:r>
      <w:r>
        <w:rPr>
          <w:rFonts w:ascii="Arial" w:hAnsi="Arial" w:eastAsia="宋体" w:cs="Arial"/>
          <w:sz w:val="24"/>
          <w:szCs w:val="24"/>
          <w:lang w:eastAsia="zh-CN"/>
        </w:rPr>
        <w:tab/>
      </w:r>
      <w:bookmarkStart w:id="76" w:name="_bookmark27"/>
      <w:bookmarkEnd w:id="76"/>
      <w:r>
        <w:rPr>
          <w:rFonts w:ascii="Arial" w:hAnsi="Arial" w:eastAsia="宋体" w:cs="Arial"/>
          <w:sz w:val="24"/>
          <w:szCs w:val="24"/>
          <w:lang w:eastAsia="zh-CN"/>
        </w:rPr>
        <w:t>样本储存和运输条件</w:t>
      </w:r>
      <w:bookmarkEnd w:id="75"/>
    </w:p>
    <w:p w14:paraId="0F40D201">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如果贵公司推荐样本储存条件，必须证明对于新鲜样本和推荐储存期限内各个时间点的储存样本及在推荐温度范围的两个端点，器械产生等同结果。注意该研究必须包含至少一个超出贵公司声称时间点的额外数据点。样本运输和储存研究必须包含接近cut-off</w:t>
      </w:r>
      <w:r>
        <w:rPr>
          <w:rFonts w:hint="eastAsia" w:ascii="Arial" w:hAnsi="Arial" w:eastAsia="宋体" w:cs="Arial"/>
          <w:lang w:eastAsia="zh-CN"/>
        </w:rPr>
        <w:t>值</w:t>
      </w:r>
      <w:r>
        <w:rPr>
          <w:rFonts w:ascii="Arial" w:hAnsi="Arial" w:eastAsia="宋体" w:cs="Arial"/>
          <w:lang w:eastAsia="zh-CN"/>
        </w:rPr>
        <w:t>的样本和其他浓度遍及临床相关范围的样本。除对定性结果的分析外，必须提供对原始信号的分析（如果适用）。如果推荐供储存或运输用的运输培养基（TM），</w:t>
      </w:r>
      <w:r>
        <w:rPr>
          <w:rFonts w:hint="eastAsia" w:ascii="Arial" w:hAnsi="Arial" w:eastAsia="宋体" w:cs="Arial"/>
          <w:lang w:eastAsia="zh-CN"/>
        </w:rPr>
        <w:t>则</w:t>
      </w:r>
      <w:r>
        <w:rPr>
          <w:rFonts w:ascii="Arial" w:hAnsi="Arial" w:eastAsia="宋体" w:cs="Arial"/>
          <w:lang w:eastAsia="zh-CN"/>
        </w:rPr>
        <w:t>必须实施适当的研究以证明样本储存在TM中时器械的表现符合描述。</w:t>
      </w:r>
    </w:p>
    <w:p w14:paraId="4CB28FF2">
      <w:pPr>
        <w:overflowPunct w:val="0"/>
        <w:snapToGrid w:val="0"/>
        <w:spacing w:after="240" w:afterLines="100" w:line="300" w:lineRule="auto"/>
        <w:jc w:val="both"/>
        <w:rPr>
          <w:rFonts w:ascii="Arial" w:hAnsi="Arial" w:eastAsia="宋体" w:cs="Arial"/>
          <w:sz w:val="24"/>
          <w:szCs w:val="24"/>
          <w:lang w:eastAsia="zh-CN"/>
        </w:rPr>
      </w:pPr>
      <w:r>
        <w:rPr>
          <w:rFonts w:ascii="Arial" w:hAnsi="Arial" w:eastAsia="宋体" w:cs="Arial"/>
          <w:sz w:val="24"/>
          <w:szCs w:val="24"/>
          <w:lang w:eastAsia="zh-CN"/>
        </w:rPr>
        <w:t>CLSI 文件 MM13-A，</w:t>
      </w:r>
      <w:r>
        <w:rPr>
          <w:rFonts w:ascii="Arial" w:hAnsi="Arial" w:eastAsia="宋体" w:cs="Arial"/>
          <w:i/>
          <w:sz w:val="24"/>
          <w:szCs w:val="24"/>
          <w:lang w:eastAsia="zh-CN"/>
        </w:rPr>
        <w:t>分子诊断方法中样本收集、运输、制备和储存</w:t>
      </w:r>
      <w:r>
        <w:rPr>
          <w:rFonts w:ascii="Arial" w:hAnsi="Arial" w:eastAsia="宋体" w:cs="Arial"/>
          <w:sz w:val="24"/>
          <w:szCs w:val="24"/>
          <w:lang w:eastAsia="zh-CN"/>
        </w:rPr>
        <w:t>【参考文件9】含关于本话题的其他信息。</w:t>
      </w:r>
    </w:p>
    <w:p w14:paraId="096A605A">
      <w:pPr>
        <w:pStyle w:val="22"/>
        <w:tabs>
          <w:tab w:val="left" w:pos="2267"/>
        </w:tabs>
        <w:overflowPunct w:val="0"/>
        <w:snapToGrid w:val="0"/>
        <w:spacing w:after="240" w:afterLines="100" w:line="300" w:lineRule="auto"/>
        <w:ind w:left="0" w:firstLine="964" w:firstLineChars="400"/>
        <w:jc w:val="both"/>
        <w:rPr>
          <w:rFonts w:ascii="Arial" w:hAnsi="Arial" w:eastAsia="宋体" w:cs="Arial"/>
          <w:b w:val="0"/>
          <w:bCs w:val="0"/>
          <w:sz w:val="24"/>
          <w:szCs w:val="24"/>
          <w:lang w:eastAsia="zh-CN"/>
        </w:rPr>
      </w:pPr>
      <w:bookmarkStart w:id="77" w:name="_Toc497125108"/>
      <w:r>
        <w:rPr>
          <w:rFonts w:ascii="Arial" w:hAnsi="Arial" w:eastAsia="宋体" w:cs="Arial"/>
          <w:sz w:val="24"/>
          <w:szCs w:val="24"/>
          <w:lang w:eastAsia="zh-CN"/>
        </w:rPr>
        <w:t>VII（C）（6）.</w:t>
      </w:r>
      <w:r>
        <w:rPr>
          <w:rFonts w:ascii="Arial" w:hAnsi="Arial" w:eastAsia="宋体" w:cs="Arial"/>
          <w:sz w:val="24"/>
          <w:szCs w:val="24"/>
          <w:lang w:eastAsia="zh-CN"/>
        </w:rPr>
        <w:tab/>
      </w:r>
      <w:bookmarkStart w:id="78" w:name="_bookmark28"/>
      <w:bookmarkEnd w:id="78"/>
      <w:r>
        <w:rPr>
          <w:rFonts w:ascii="Arial" w:hAnsi="Arial" w:eastAsia="宋体" w:cs="Arial"/>
          <w:sz w:val="24"/>
          <w:szCs w:val="24"/>
          <w:lang w:eastAsia="zh-CN"/>
        </w:rPr>
        <w:t>器械运输和器械储存研究</w:t>
      </w:r>
      <w:bookmarkEnd w:id="77"/>
    </w:p>
    <w:p w14:paraId="6A2EA87A">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必须在器械暴露于产品标签中描述的各种运输和储存条件后评价器械性能。</w:t>
      </w:r>
    </w:p>
    <w:p w14:paraId="0C7E4489">
      <w:pPr>
        <w:pStyle w:val="22"/>
        <w:tabs>
          <w:tab w:val="left" w:pos="2267"/>
        </w:tabs>
        <w:overflowPunct w:val="0"/>
        <w:snapToGrid w:val="0"/>
        <w:spacing w:after="240" w:afterLines="100" w:line="300" w:lineRule="auto"/>
        <w:ind w:left="0" w:firstLine="964" w:firstLineChars="400"/>
        <w:jc w:val="both"/>
        <w:rPr>
          <w:rFonts w:ascii="Arial" w:hAnsi="Arial" w:eastAsia="宋体" w:cs="Arial"/>
          <w:b w:val="0"/>
          <w:bCs w:val="0"/>
          <w:sz w:val="24"/>
          <w:szCs w:val="24"/>
          <w:lang w:eastAsia="zh-CN"/>
        </w:rPr>
      </w:pPr>
      <w:bookmarkStart w:id="79" w:name="_Toc497125109"/>
      <w:r>
        <w:rPr>
          <w:rFonts w:ascii="Arial" w:hAnsi="Arial" w:eastAsia="宋体" w:cs="Arial"/>
          <w:sz w:val="24"/>
          <w:szCs w:val="24"/>
          <w:lang w:eastAsia="zh-CN"/>
        </w:rPr>
        <w:t>VII（C）（7）.</w:t>
      </w:r>
      <w:r>
        <w:rPr>
          <w:rFonts w:ascii="Arial" w:hAnsi="Arial" w:eastAsia="宋体" w:cs="Arial"/>
          <w:sz w:val="24"/>
          <w:szCs w:val="24"/>
          <w:lang w:eastAsia="zh-CN"/>
        </w:rPr>
        <w:tab/>
      </w:r>
      <w:bookmarkStart w:id="80" w:name="_bookmark29"/>
      <w:bookmarkEnd w:id="80"/>
      <w:r>
        <w:rPr>
          <w:rFonts w:ascii="Arial" w:hAnsi="Arial" w:eastAsia="宋体" w:cs="Arial"/>
          <w:sz w:val="24"/>
          <w:szCs w:val="24"/>
          <w:lang w:eastAsia="zh-CN"/>
        </w:rPr>
        <w:t>携带污染和交叉污染研究</w:t>
      </w:r>
      <w:bookmarkEnd w:id="79"/>
    </w:p>
    <w:p w14:paraId="6668412C">
      <w:pPr>
        <w:pStyle w:val="3"/>
        <w:overflowPunct w:val="0"/>
        <w:snapToGrid w:val="0"/>
        <w:spacing w:after="240" w:afterLines="100" w:line="300" w:lineRule="auto"/>
        <w:ind w:left="0"/>
        <w:jc w:val="both"/>
        <w:rPr>
          <w:rFonts w:ascii="Arial" w:hAnsi="Arial" w:eastAsia="宋体" w:cs="Arial"/>
          <w:lang w:eastAsia="zh-CN"/>
        </w:rPr>
      </w:pPr>
      <w:r>
        <w:rPr>
          <w:rFonts w:ascii="Arial" w:hAnsi="Arial" w:eastAsia="宋体" w:cs="Arial"/>
          <w:lang w:eastAsia="zh-CN"/>
        </w:rPr>
        <w:t>对于需要工具的多样本检测试剂盒和器械，贵公司必须证明使用器械时不会发生携带污染和交叉污染。在携带污染和交叉污染研究中，必须交替测试强阳性样本与阴性样本，操作模式取决于器械的运作功能。必须至少实施5次强阳性和阴性样本交替的测试。强阳性样本的</w:t>
      </w:r>
      <w:r>
        <w:rPr>
          <w:rFonts w:ascii="Arial" w:hAnsi="Arial" w:eastAsia="宋体" w:cs="Arial"/>
          <w:i/>
          <w:lang w:eastAsia="zh-CN"/>
        </w:rPr>
        <w:t>阴道毛滴虫</w:t>
      </w:r>
      <w:r>
        <w:rPr>
          <w:rFonts w:ascii="Arial" w:hAnsi="Arial" w:eastAsia="宋体" w:cs="Arial"/>
          <w:lang w:eastAsia="zh-CN"/>
        </w:rPr>
        <w:t>浓度必须足够高，以致从预期使用人群活动性感染患者样本获得的结果中超过95%或更大比例的结果为阳性。阴性样本必须为无分析物样本，以致对该样本的重复测试结果100%</w:t>
      </w:r>
      <w:r>
        <w:rPr>
          <w:rFonts w:hint="eastAsia" w:ascii="Arial" w:hAnsi="Arial" w:eastAsia="宋体" w:cs="Arial"/>
          <w:lang w:eastAsia="zh-CN"/>
        </w:rPr>
        <w:t>次</w:t>
      </w:r>
      <w:r>
        <w:rPr>
          <w:rFonts w:ascii="Arial" w:hAnsi="Arial" w:eastAsia="宋体" w:cs="Arial"/>
          <w:lang w:eastAsia="zh-CN"/>
        </w:rPr>
        <w:t>为阴性。</w:t>
      </w:r>
    </w:p>
    <w:p w14:paraId="1373919A">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然后可通过比较携带污染研究中与强阳性样本相邻阴性样本的阴性结果百分比和无邻近强阳性样本（即同源阴性样本在单独平板上进行独立测试）时阴性结果百分比，估计携带污染和交叉污染的影响。其他细节见Haeckel 【参考文件 10】。</w:t>
      </w:r>
    </w:p>
    <w:p w14:paraId="146F427B">
      <w:pPr>
        <w:overflowPunct w:val="0"/>
        <w:snapToGrid w:val="0"/>
        <w:spacing w:after="120" w:afterLines="50" w:line="300" w:lineRule="auto"/>
        <w:jc w:val="both"/>
        <w:rPr>
          <w:rFonts w:ascii="Arial" w:hAnsi="Arial" w:eastAsia="宋体" w:cs="Arial"/>
          <w:sz w:val="24"/>
          <w:szCs w:val="24"/>
          <w:lang w:eastAsia="zh-CN"/>
        </w:rPr>
      </w:pPr>
    </w:p>
    <w:p w14:paraId="4CEE8296">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81" w:name="_Toc497125110"/>
      <w:r>
        <w:rPr>
          <w:rFonts w:ascii="Arial" w:hAnsi="Arial" w:eastAsia="宋体" w:cs="Arial"/>
          <w:sz w:val="28"/>
          <w:szCs w:val="28"/>
          <w:lang w:eastAsia="zh-CN"/>
        </w:rPr>
        <w:t>VII（D）.</w:t>
      </w:r>
      <w:bookmarkStart w:id="82" w:name="_bookmark30"/>
      <w:bookmarkEnd w:id="82"/>
      <w:r>
        <w:rPr>
          <w:rFonts w:hint="eastAsia" w:ascii="Arial" w:hAnsi="Arial" w:eastAsia="宋体" w:cs="Arial"/>
          <w:sz w:val="28"/>
          <w:szCs w:val="28"/>
          <w:lang w:eastAsia="zh-CN"/>
        </w:rPr>
        <w:tab/>
      </w:r>
      <w:r>
        <w:rPr>
          <w:rFonts w:ascii="Arial" w:hAnsi="Arial" w:eastAsia="宋体" w:cs="Arial"/>
          <w:sz w:val="28"/>
          <w:szCs w:val="28"/>
          <w:lang w:eastAsia="zh-CN"/>
        </w:rPr>
        <w:t>临床研究</w:t>
      </w:r>
      <w:bookmarkEnd w:id="81"/>
    </w:p>
    <w:p w14:paraId="5A32684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w:t>
      </w:r>
      <w:r>
        <w:rPr>
          <w:rFonts w:ascii="Arial" w:hAnsi="Arial" w:eastAsia="宋体" w:cs="Arial"/>
          <w:i/>
          <w:lang w:eastAsia="zh-CN"/>
        </w:rPr>
        <w:t>阴道毛滴虫</w:t>
      </w:r>
      <w:r>
        <w:rPr>
          <w:rFonts w:ascii="Arial" w:hAnsi="Arial" w:eastAsia="宋体" w:cs="Arial"/>
          <w:lang w:eastAsia="zh-CN"/>
        </w:rPr>
        <w:t>检测器械的临床研究设计必须支持提议的预期用途。必须通过一个（或多个）测试从代表预期使用人群的</w:t>
      </w:r>
      <w:r>
        <w:rPr>
          <w:rFonts w:hint="eastAsia" w:ascii="Arial" w:hAnsi="Arial" w:eastAsia="宋体" w:cs="Arial"/>
          <w:lang w:eastAsia="zh-CN"/>
        </w:rPr>
        <w:t>个体</w:t>
      </w:r>
      <w:r>
        <w:rPr>
          <w:rFonts w:ascii="Arial" w:hAnsi="Arial" w:eastAsia="宋体" w:cs="Arial"/>
          <w:lang w:eastAsia="zh-CN"/>
        </w:rPr>
        <w:t>收集的（标签中声称的）所有样本类型的前瞻性临床研究证实器械的临床性能（即敏感性和特异性）。</w:t>
      </w:r>
    </w:p>
    <w:p w14:paraId="6E9043E2">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请在开始研究前联系OIR的微生物学器械科</w:t>
      </w:r>
      <w:r>
        <w:rPr>
          <w:rFonts w:hint="eastAsia" w:ascii="Arial" w:hAnsi="Arial" w:eastAsia="宋体" w:cs="Arial"/>
          <w:lang w:eastAsia="zh-CN"/>
        </w:rPr>
        <w:t>，</w:t>
      </w:r>
      <w:r>
        <w:rPr>
          <w:rFonts w:ascii="Arial" w:hAnsi="Arial" w:eastAsia="宋体" w:cs="Arial"/>
          <w:lang w:eastAsia="zh-CN"/>
        </w:rPr>
        <w:t>请求其审核贵公司提议的研究，作为预提交审核过程的一部分。</w:t>
      </w:r>
    </w:p>
    <w:p w14:paraId="5386547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通常，必须遵守以下临床研究原则：</w:t>
      </w:r>
    </w:p>
    <w:p w14:paraId="33B6AD0B">
      <w:pPr>
        <w:pStyle w:val="3"/>
        <w:numPr>
          <w:ilvl w:val="1"/>
          <w:numId w:val="11"/>
        </w:numPr>
        <w:tabs>
          <w:tab w:val="left" w:pos="828"/>
        </w:tabs>
        <w:overflowPunct w:val="0"/>
        <w:snapToGrid w:val="0"/>
        <w:spacing w:after="120" w:afterLines="50" w:line="300" w:lineRule="auto"/>
        <w:ind w:left="781" w:leftChars="172" w:hanging="403"/>
        <w:jc w:val="both"/>
        <w:rPr>
          <w:rFonts w:ascii="Arial" w:hAnsi="Arial" w:eastAsia="宋体" w:cs="Arial"/>
          <w:lang w:eastAsia="zh-CN"/>
        </w:rPr>
      </w:pPr>
      <w:r>
        <w:rPr>
          <w:rFonts w:ascii="Arial" w:hAnsi="Arial" w:eastAsia="宋体" w:cs="Arial"/>
          <w:lang w:eastAsia="zh-CN"/>
        </w:rPr>
        <w:t>必须从至少三个不同地理位置收集临床样本。</w:t>
      </w:r>
    </w:p>
    <w:p w14:paraId="78671AC8">
      <w:pPr>
        <w:pStyle w:val="3"/>
        <w:numPr>
          <w:ilvl w:val="1"/>
          <w:numId w:val="11"/>
        </w:numPr>
        <w:tabs>
          <w:tab w:val="left" w:pos="828"/>
        </w:tabs>
        <w:overflowPunct w:val="0"/>
        <w:snapToGrid w:val="0"/>
        <w:spacing w:after="120" w:afterLines="50" w:line="300" w:lineRule="auto"/>
        <w:ind w:left="781" w:leftChars="172" w:hanging="403"/>
        <w:jc w:val="both"/>
        <w:rPr>
          <w:rFonts w:ascii="Arial" w:hAnsi="Arial" w:eastAsia="宋体" w:cs="Arial"/>
          <w:lang w:eastAsia="zh-CN"/>
        </w:rPr>
      </w:pPr>
      <w:r>
        <w:rPr>
          <w:rFonts w:ascii="Arial" w:hAnsi="Arial" w:eastAsia="宋体" w:cs="Arial"/>
          <w:lang w:eastAsia="zh-CN"/>
        </w:rPr>
        <w:t>使用贵公司器械的实验室测试必须在至少三个代表器械预期使用背景的不同中心实施。实验室测试中心可与临床</w:t>
      </w:r>
      <w:r>
        <w:rPr>
          <w:rFonts w:hint="eastAsia" w:ascii="Arial" w:hAnsi="Arial" w:eastAsia="宋体" w:cs="Arial"/>
          <w:lang w:eastAsia="zh-CN"/>
        </w:rPr>
        <w:t>注册</w:t>
      </w:r>
      <w:r>
        <w:rPr>
          <w:rFonts w:ascii="Arial" w:hAnsi="Arial" w:eastAsia="宋体" w:cs="Arial"/>
          <w:lang w:eastAsia="zh-CN"/>
        </w:rPr>
        <w:t>中心相同。其中一个实验室测试中心可以是制造商的实验室。</w:t>
      </w:r>
    </w:p>
    <w:p w14:paraId="21F09378">
      <w:pPr>
        <w:pStyle w:val="3"/>
        <w:numPr>
          <w:ilvl w:val="1"/>
          <w:numId w:val="11"/>
        </w:numPr>
        <w:tabs>
          <w:tab w:val="left" w:pos="828"/>
        </w:tabs>
        <w:overflowPunct w:val="0"/>
        <w:snapToGrid w:val="0"/>
        <w:spacing w:after="120" w:afterLines="50" w:line="300" w:lineRule="auto"/>
        <w:ind w:left="781" w:leftChars="172" w:hanging="403"/>
        <w:jc w:val="both"/>
        <w:rPr>
          <w:rFonts w:ascii="Arial" w:hAnsi="Arial" w:eastAsia="宋体" w:cs="Arial"/>
          <w:lang w:eastAsia="zh-CN"/>
        </w:rPr>
      </w:pPr>
      <w:r>
        <w:rPr>
          <w:rFonts w:ascii="Arial" w:hAnsi="Arial" w:eastAsia="宋体" w:cs="Arial"/>
          <w:lang w:eastAsia="zh-CN"/>
        </w:rPr>
        <w:t>参考方法测试可在中心化实验室实施。</w:t>
      </w:r>
    </w:p>
    <w:p w14:paraId="2E63CEAF">
      <w:pPr>
        <w:pStyle w:val="3"/>
        <w:numPr>
          <w:ilvl w:val="1"/>
          <w:numId w:val="11"/>
        </w:numPr>
        <w:tabs>
          <w:tab w:val="left" w:pos="828"/>
        </w:tabs>
        <w:overflowPunct w:val="0"/>
        <w:snapToGrid w:val="0"/>
        <w:spacing w:after="120" w:afterLines="50" w:line="300" w:lineRule="auto"/>
        <w:ind w:left="781" w:leftChars="172" w:hanging="403"/>
        <w:jc w:val="both"/>
        <w:rPr>
          <w:rFonts w:ascii="Arial" w:hAnsi="Arial" w:eastAsia="宋体" w:cs="Arial"/>
          <w:lang w:eastAsia="zh-CN"/>
        </w:rPr>
      </w:pPr>
      <w:r>
        <w:rPr>
          <w:rFonts w:ascii="Arial" w:hAnsi="Arial" w:eastAsia="宋体" w:cs="Arial"/>
          <w:lang w:eastAsia="zh-CN"/>
        </w:rPr>
        <w:t>利用试验用器械进行的样本收集、运输和测试必须由受过培训（所受培训应与销售器械使用者预期接受的培训等同）的个人执行。</w:t>
      </w:r>
    </w:p>
    <w:p w14:paraId="00A15C25">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83" w:name="_Toc497125111"/>
      <w:r>
        <w:rPr>
          <w:rFonts w:ascii="Arial" w:hAnsi="Arial" w:eastAsia="宋体" w:cs="Arial"/>
          <w:sz w:val="24"/>
          <w:szCs w:val="24"/>
          <w:lang w:eastAsia="zh-CN"/>
        </w:rPr>
        <w:t>VII（D）（1）.</w:t>
      </w:r>
      <w:r>
        <w:rPr>
          <w:rFonts w:ascii="Arial" w:hAnsi="Arial" w:eastAsia="宋体" w:cs="Arial"/>
          <w:sz w:val="24"/>
          <w:szCs w:val="24"/>
          <w:lang w:eastAsia="zh-CN"/>
        </w:rPr>
        <w:tab/>
      </w:r>
      <w:bookmarkStart w:id="84" w:name="_bookmark31"/>
      <w:bookmarkEnd w:id="84"/>
      <w:r>
        <w:rPr>
          <w:rFonts w:ascii="Arial" w:hAnsi="Arial" w:eastAsia="宋体" w:cs="Arial"/>
          <w:sz w:val="24"/>
          <w:szCs w:val="24"/>
          <w:lang w:eastAsia="zh-CN"/>
        </w:rPr>
        <w:t>研究方案</w:t>
      </w:r>
      <w:bookmarkEnd w:id="83"/>
    </w:p>
    <w:p w14:paraId="2AA158A8">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必须在研究开始前确定临床研究方案。作为最低限度，方案必须包括完整的患者入选和排除标准</w:t>
      </w:r>
      <w:r>
        <w:rPr>
          <w:rFonts w:hint="eastAsia" w:ascii="Arial" w:hAnsi="Arial" w:eastAsia="宋体" w:cs="Arial"/>
          <w:lang w:eastAsia="zh-CN"/>
        </w:rPr>
        <w:t>、</w:t>
      </w:r>
      <w:r>
        <w:rPr>
          <w:rFonts w:ascii="Arial" w:hAnsi="Arial" w:eastAsia="宋体" w:cs="Arial"/>
          <w:lang w:eastAsia="zh-CN"/>
        </w:rPr>
        <w:t>研究程序</w:t>
      </w:r>
      <w:r>
        <w:rPr>
          <w:rFonts w:hint="eastAsia" w:ascii="Arial" w:hAnsi="Arial" w:eastAsia="宋体" w:cs="Arial"/>
          <w:lang w:eastAsia="zh-CN"/>
        </w:rPr>
        <w:t>、</w:t>
      </w:r>
      <w:r>
        <w:rPr>
          <w:rFonts w:ascii="Arial" w:hAnsi="Arial" w:eastAsia="宋体" w:cs="Arial"/>
          <w:lang w:eastAsia="zh-CN"/>
        </w:rPr>
        <w:t>说明进行试验的地点</w:t>
      </w:r>
      <w:r>
        <w:rPr>
          <w:rFonts w:hint="eastAsia" w:ascii="Arial" w:hAnsi="Arial" w:eastAsia="宋体" w:cs="Arial"/>
          <w:lang w:eastAsia="zh-CN"/>
        </w:rPr>
        <w:t>、</w:t>
      </w:r>
      <w:r>
        <w:rPr>
          <w:rFonts w:ascii="Arial" w:hAnsi="Arial" w:eastAsia="宋体" w:cs="Arial"/>
          <w:lang w:eastAsia="zh-CN"/>
        </w:rPr>
        <w:t>样本运输程序</w:t>
      </w:r>
      <w:r>
        <w:rPr>
          <w:rFonts w:hint="eastAsia" w:ascii="Arial" w:hAnsi="Arial" w:eastAsia="宋体" w:cs="Arial"/>
          <w:lang w:eastAsia="zh-CN"/>
        </w:rPr>
        <w:t>、</w:t>
      </w:r>
      <w:r>
        <w:rPr>
          <w:rFonts w:ascii="Arial" w:hAnsi="Arial" w:eastAsia="宋体" w:cs="Arial"/>
          <w:lang w:eastAsia="zh-CN"/>
        </w:rPr>
        <w:t>储存条件</w:t>
      </w:r>
      <w:r>
        <w:rPr>
          <w:rFonts w:hint="eastAsia" w:ascii="Arial" w:hAnsi="Arial" w:eastAsia="宋体" w:cs="Arial"/>
          <w:lang w:eastAsia="zh-CN"/>
        </w:rPr>
        <w:t>、</w:t>
      </w:r>
      <w:r>
        <w:rPr>
          <w:rFonts w:ascii="Arial" w:hAnsi="Arial" w:eastAsia="宋体" w:cs="Arial"/>
          <w:lang w:eastAsia="zh-CN"/>
        </w:rPr>
        <w:t>最长储存时间（如果适用）</w:t>
      </w:r>
      <w:r>
        <w:rPr>
          <w:rFonts w:hint="eastAsia" w:ascii="Arial" w:hAnsi="Arial" w:eastAsia="宋体" w:cs="Arial"/>
          <w:lang w:eastAsia="zh-CN"/>
        </w:rPr>
        <w:t>、</w:t>
      </w:r>
      <w:r>
        <w:rPr>
          <w:rFonts w:ascii="Arial" w:hAnsi="Arial" w:eastAsia="宋体" w:cs="Arial"/>
          <w:lang w:eastAsia="zh-CN"/>
        </w:rPr>
        <w:t>支持符合人类受试者保护法规的文件</w:t>
      </w:r>
      <w:r>
        <w:rPr>
          <w:rFonts w:hint="eastAsia" w:ascii="Arial" w:hAnsi="Arial" w:eastAsia="宋体" w:cs="Arial"/>
          <w:lang w:eastAsia="zh-CN"/>
        </w:rPr>
        <w:t>、</w:t>
      </w:r>
      <w:r>
        <w:rPr>
          <w:rFonts w:ascii="Arial" w:hAnsi="Arial" w:eastAsia="宋体" w:cs="Arial"/>
          <w:lang w:eastAsia="zh-CN"/>
        </w:rPr>
        <w:t>参考方法的说明</w:t>
      </w:r>
      <w:r>
        <w:rPr>
          <w:rFonts w:hint="eastAsia" w:ascii="Arial" w:hAnsi="Arial" w:eastAsia="宋体" w:cs="Arial"/>
          <w:lang w:eastAsia="zh-CN"/>
        </w:rPr>
        <w:t>、</w:t>
      </w:r>
      <w:r>
        <w:rPr>
          <w:rFonts w:ascii="Arial" w:hAnsi="Arial" w:eastAsia="宋体" w:cs="Arial"/>
          <w:lang w:eastAsia="zh-CN"/>
        </w:rPr>
        <w:t>盲法程序（如果适用于贵公司的研究和具体器械）和其他适当内容。方案也必须描述研究即将检测样本的收集、处理、加工和测试的安全注意事项。</w:t>
      </w:r>
    </w:p>
    <w:p w14:paraId="7D107ED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研究病例报告表必须记录任何时间敏感步骤（例如如果未立即测试样本，样本储存时间多长）。</w:t>
      </w:r>
    </w:p>
    <w:p w14:paraId="0A329D03">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此外，也必须制定并提供包括所用统计分析方法的详细统计分析计划和确定研究样本量的理由。临床方案/统计分析计划中必须描述对研究数据的任何计划性监测或对研究进展的检查。510（k）提交中必须包括原始研究方案的复印件</w:t>
      </w:r>
      <w:r>
        <w:rPr>
          <w:rFonts w:hint="eastAsia" w:ascii="Arial" w:hAnsi="Arial" w:eastAsia="宋体" w:cs="Arial"/>
          <w:lang w:eastAsia="zh-CN"/>
        </w:rPr>
        <w:t>、</w:t>
      </w:r>
      <w:r>
        <w:rPr>
          <w:rFonts w:ascii="Arial" w:hAnsi="Arial" w:eastAsia="宋体" w:cs="Arial"/>
          <w:lang w:eastAsia="zh-CN"/>
        </w:rPr>
        <w:t>方案修改及任何其他相关研究信息。</w:t>
      </w:r>
    </w:p>
    <w:p w14:paraId="4B2B88BD">
      <w:pPr>
        <w:pStyle w:val="3"/>
        <w:overflowPunct w:val="0"/>
        <w:snapToGrid w:val="0"/>
        <w:spacing w:after="120" w:afterLines="50" w:line="300" w:lineRule="auto"/>
        <w:ind w:left="0"/>
        <w:rPr>
          <w:rFonts w:ascii="Arial" w:hAnsi="Arial" w:eastAsia="宋体" w:cs="Arial"/>
          <w:lang w:eastAsia="zh-CN"/>
        </w:rPr>
      </w:pPr>
      <w:r>
        <w:rPr>
          <w:rFonts w:ascii="Arial" w:hAnsi="Arial" w:eastAsia="宋体" w:cs="Arial"/>
          <w:lang w:eastAsia="zh-CN"/>
        </w:rPr>
        <w:t>我们鼓励申办方请求FDA审核他们提议的研究方案和样本类型选择，作为预提交审核过程的一部分。在可能要研究试验的不同预期用途或申办方是第一次计划提交510（k）提交的情况下，尤其推荐这样做。有关临床方案的指南，也可参考</w:t>
      </w:r>
      <w:r>
        <w:rPr>
          <w:rFonts w:hint="eastAsia" w:ascii="Arial" w:hAnsi="Arial" w:eastAsia="宋体" w:cs="Arial"/>
          <w:lang w:eastAsia="zh-CN"/>
        </w:rPr>
        <w:t>标题</w:t>
      </w:r>
      <w:r>
        <w:rPr>
          <w:rFonts w:ascii="Arial" w:hAnsi="Arial" w:eastAsia="宋体" w:cs="Arial"/>
          <w:lang w:eastAsia="zh-CN"/>
        </w:rPr>
        <w:t>为</w:t>
      </w:r>
      <w:r>
        <w:rPr>
          <w:rFonts w:hint="eastAsia" w:ascii="Arial" w:hAnsi="Arial" w:eastAsia="宋体" w:cs="Arial"/>
          <w:lang w:eastAsia="zh-CN"/>
        </w:rPr>
        <w:t>“</w:t>
      </w:r>
      <w:r>
        <w:rPr>
          <w:rFonts w:ascii="Arial" w:hAnsi="Arial" w:eastAsia="宋体" w:cs="Arial"/>
          <w:lang w:eastAsia="zh-CN"/>
        </w:rPr>
        <w:t>医疗器械关键临床调查的设计考虑</w:t>
      </w:r>
      <w:r>
        <w:rPr>
          <w:rFonts w:hint="eastAsia" w:ascii="Arial" w:hAnsi="Arial" w:eastAsia="宋体" w:cs="Arial"/>
          <w:lang w:eastAsia="zh-CN"/>
        </w:rPr>
        <w:t>”</w:t>
      </w:r>
      <w:r>
        <w:rPr>
          <w:rFonts w:ascii="Arial" w:hAnsi="Arial" w:eastAsia="宋体" w:cs="Arial"/>
          <w:lang w:eastAsia="zh-CN"/>
        </w:rPr>
        <w:t>的FDA</w:t>
      </w:r>
      <w:r>
        <w:rPr>
          <w:rFonts w:hint="eastAsia" w:ascii="Arial" w:hAnsi="Arial" w:eastAsia="宋体" w:cs="Arial"/>
          <w:lang w:eastAsia="zh-CN"/>
        </w:rPr>
        <w:t>指南</w:t>
      </w:r>
      <w:r>
        <w:rPr>
          <w:rFonts w:ascii="Arial" w:hAnsi="Arial" w:eastAsia="宋体" w:cs="Arial"/>
          <w:lang w:eastAsia="zh-CN"/>
        </w:rPr>
        <w:t>（</w:t>
      </w:r>
      <w:r>
        <w:fldChar w:fldCharType="begin"/>
      </w:r>
      <w:r>
        <w:instrText xml:space="preserve"> HYPERLINK "http://www.fda.gov/MedicalDevices/DeviceRegulationandGuidance/GuidanceDocuments/ucm373750.htm" \h </w:instrText>
      </w:r>
      <w:r>
        <w:fldChar w:fldCharType="separate"/>
      </w:r>
      <w:r>
        <w:rPr>
          <w:rFonts w:ascii="Arial" w:hAnsi="Arial" w:eastAsia="宋体" w:cs="Arial"/>
          <w:u w:val="single" w:color="000000"/>
          <w:lang w:eastAsia="zh-CN"/>
        </w:rPr>
        <w:t>http://www.fda.gov/MedicalDevices/DeviceRegulationandGuidance/GuidanceDocument</w:t>
      </w:r>
      <w:r>
        <w:rPr>
          <w:rFonts w:ascii="Arial" w:hAnsi="Arial" w:eastAsia="宋体" w:cs="Arial"/>
          <w:u w:val="single" w:color="000000"/>
          <w:lang w:eastAsia="zh-CN"/>
        </w:rPr>
        <w:fldChar w:fldCharType="end"/>
      </w:r>
      <w:r>
        <w:fldChar w:fldCharType="begin"/>
      </w:r>
      <w:r>
        <w:instrText xml:space="preserve"> HYPERLINK "http://www.fda.gov/MedicalDevices/DeviceRegulationandGuidance/GuidanceDocuments/ucm373750.htm" \h </w:instrText>
      </w:r>
      <w:r>
        <w:fldChar w:fldCharType="separate"/>
      </w:r>
      <w:r>
        <w:rPr>
          <w:rFonts w:ascii="Arial" w:hAnsi="Arial" w:eastAsia="宋体" w:cs="Arial"/>
          <w:u w:val="single" w:color="000000"/>
          <w:lang w:eastAsia="zh-CN"/>
        </w:rPr>
        <w:t>s/ucm373750.htm</w:t>
      </w:r>
      <w:r>
        <w:rPr>
          <w:rFonts w:ascii="Arial" w:hAnsi="Arial" w:eastAsia="宋体" w:cs="Arial"/>
          <w:lang w:eastAsia="zh-CN"/>
        </w:rPr>
        <w:t>）。</w:t>
      </w:r>
      <w:r>
        <w:rPr>
          <w:rFonts w:ascii="Arial" w:hAnsi="Arial" w:eastAsia="宋体" w:cs="Arial"/>
          <w:lang w:eastAsia="zh-CN"/>
        </w:rPr>
        <w:fldChar w:fldCharType="end"/>
      </w:r>
    </w:p>
    <w:p w14:paraId="53FAD792">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85" w:name="_Toc497125112"/>
      <w:r>
        <w:rPr>
          <w:rFonts w:ascii="Arial" w:hAnsi="Arial" w:eastAsia="宋体" w:cs="Arial"/>
          <w:sz w:val="24"/>
          <w:szCs w:val="24"/>
          <w:lang w:eastAsia="zh-CN"/>
        </w:rPr>
        <w:t>VII（D）（2）.</w:t>
      </w:r>
      <w:r>
        <w:rPr>
          <w:rFonts w:ascii="Arial" w:hAnsi="Arial" w:eastAsia="宋体" w:cs="Arial"/>
          <w:sz w:val="24"/>
          <w:szCs w:val="24"/>
          <w:lang w:eastAsia="zh-CN"/>
        </w:rPr>
        <w:tab/>
      </w:r>
      <w:bookmarkStart w:id="86" w:name="_bookmark32"/>
      <w:bookmarkEnd w:id="86"/>
      <w:r>
        <w:rPr>
          <w:rFonts w:ascii="Arial" w:hAnsi="Arial" w:eastAsia="宋体" w:cs="Arial"/>
          <w:sz w:val="24"/>
          <w:szCs w:val="24"/>
          <w:lang w:eastAsia="zh-CN"/>
        </w:rPr>
        <w:t>研究中心</w:t>
      </w:r>
      <w:bookmarkEnd w:id="85"/>
    </w:p>
    <w:p w14:paraId="2B5B3D6E">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必须从至少三个不同地理位置的且代表</w:t>
      </w:r>
      <w:r>
        <w:rPr>
          <w:rFonts w:ascii="Arial" w:hAnsi="Arial" w:eastAsia="宋体" w:cs="Arial"/>
          <w:i/>
          <w:lang w:eastAsia="zh-CN"/>
        </w:rPr>
        <w:t>阴道毛滴虫</w:t>
      </w:r>
      <w:r>
        <w:rPr>
          <w:rFonts w:ascii="Arial" w:hAnsi="Arial" w:eastAsia="宋体" w:cs="Arial"/>
          <w:lang w:eastAsia="zh-CN"/>
        </w:rPr>
        <w:t>感染高患病率背景（例如STD门诊）和低患病率背景（例如公共卫生和计划生育门诊</w:t>
      </w:r>
      <w:r>
        <w:rPr>
          <w:rFonts w:hint="eastAsia" w:ascii="Arial" w:hAnsi="Arial" w:eastAsia="宋体" w:cs="Arial"/>
          <w:lang w:eastAsia="zh-CN"/>
        </w:rPr>
        <w:t>、</w:t>
      </w:r>
      <w:r>
        <w:rPr>
          <w:rFonts w:ascii="Arial" w:hAnsi="Arial" w:eastAsia="宋体" w:cs="Arial"/>
          <w:lang w:eastAsia="zh-CN"/>
        </w:rPr>
        <w:t>产前门诊和OB/GYN门诊）的机构收集临床样本。必须有至少三个临床测试中心，其中一个可为内部中心（即公司内部）。测试中心必须代表器械预期使用环境（例如检验科）且应由受过与实验室背景下可能执行试验人员类似培训的检验人员进行测试。测试中心必须用文件记录所有质量控制结果和对超出质量控制值范围的测试进行的所有重复试验。</w:t>
      </w:r>
    </w:p>
    <w:p w14:paraId="6D6032E8">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87" w:name="_Toc497125113"/>
      <w:r>
        <w:rPr>
          <w:rFonts w:ascii="Arial" w:hAnsi="Arial" w:eastAsia="宋体" w:cs="Arial"/>
          <w:sz w:val="24"/>
          <w:szCs w:val="24"/>
          <w:lang w:eastAsia="zh-CN"/>
        </w:rPr>
        <w:t>VII（D）（3）.</w:t>
      </w:r>
      <w:r>
        <w:rPr>
          <w:rFonts w:ascii="Arial" w:hAnsi="Arial" w:eastAsia="宋体" w:cs="Arial"/>
          <w:sz w:val="24"/>
          <w:szCs w:val="24"/>
          <w:lang w:eastAsia="zh-CN"/>
        </w:rPr>
        <w:tab/>
      </w:r>
      <w:bookmarkStart w:id="88" w:name="_bookmark33"/>
      <w:bookmarkEnd w:id="88"/>
      <w:r>
        <w:rPr>
          <w:rFonts w:ascii="Arial" w:hAnsi="Arial" w:eastAsia="宋体" w:cs="Arial"/>
          <w:sz w:val="24"/>
          <w:szCs w:val="24"/>
          <w:lang w:eastAsia="zh-CN"/>
        </w:rPr>
        <w:t>研究人群</w:t>
      </w:r>
      <w:bookmarkEnd w:id="87"/>
    </w:p>
    <w:p w14:paraId="622BD9B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临床研究中必须收集并测试来自症状性和无症状性</w:t>
      </w:r>
      <w:r>
        <w:rPr>
          <w:rFonts w:ascii="Arial" w:hAnsi="Arial" w:eastAsia="宋体" w:cs="Arial"/>
          <w:i/>
          <w:lang w:eastAsia="zh-CN"/>
        </w:rPr>
        <w:t>阴道毛滴虫</w:t>
      </w:r>
      <w:r>
        <w:rPr>
          <w:rFonts w:ascii="Arial" w:hAnsi="Arial" w:eastAsia="宋体" w:cs="Arial"/>
          <w:lang w:eastAsia="zh-CN"/>
        </w:rPr>
        <w:t>感染</w:t>
      </w:r>
      <w:r>
        <w:rPr>
          <w:rFonts w:hint="eastAsia" w:ascii="Arial" w:hAnsi="Arial" w:eastAsia="宋体" w:cs="Arial"/>
          <w:lang w:eastAsia="zh-CN"/>
        </w:rPr>
        <w:t>个体</w:t>
      </w:r>
      <w:r>
        <w:rPr>
          <w:rFonts w:ascii="Arial" w:hAnsi="Arial" w:eastAsia="宋体" w:cs="Arial"/>
          <w:lang w:eastAsia="zh-CN"/>
        </w:rPr>
        <w:t>的样本。关于具体患者人群和</w:t>
      </w:r>
      <w:r>
        <w:rPr>
          <w:rFonts w:ascii="Arial" w:hAnsi="Arial" w:eastAsia="宋体" w:cs="Arial"/>
          <w:i/>
          <w:lang w:eastAsia="zh-CN"/>
        </w:rPr>
        <w:t>阴道毛滴虫</w:t>
      </w:r>
      <w:r>
        <w:rPr>
          <w:rFonts w:ascii="Arial" w:hAnsi="Arial" w:eastAsia="宋体" w:cs="Arial"/>
          <w:lang w:eastAsia="zh-CN"/>
        </w:rPr>
        <w:t>感染患病率指南，参考CDC建议。</w:t>
      </w:r>
      <w:r>
        <w:rPr>
          <w:rStyle w:val="14"/>
          <w:rFonts w:ascii="Arial" w:hAnsi="Arial" w:eastAsia="宋体" w:cs="Arial"/>
          <w:lang w:eastAsia="zh-CN"/>
        </w:rPr>
        <w:footnoteReference w:id="4"/>
      </w:r>
      <w:r>
        <w:rPr>
          <w:rFonts w:ascii="Arial" w:hAnsi="Arial" w:eastAsia="宋体" w:cs="Arial"/>
          <w:lang w:eastAsia="zh-CN"/>
        </w:rPr>
        <w:t>然而，由于这些建议有版本限制，必须查阅最新的指南/建议。</w:t>
      </w:r>
    </w:p>
    <w:p w14:paraId="14355F24">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必须收集临床研究参与者</w:t>
      </w:r>
      <w:r>
        <w:rPr>
          <w:rFonts w:hint="eastAsia" w:ascii="Arial" w:hAnsi="Arial" w:eastAsia="宋体" w:cs="Arial"/>
          <w:lang w:eastAsia="zh-CN"/>
        </w:rPr>
        <w:t>可用的所有</w:t>
      </w:r>
      <w:r>
        <w:rPr>
          <w:rFonts w:ascii="Arial" w:hAnsi="Arial" w:eastAsia="宋体" w:cs="Arial"/>
          <w:lang w:eastAsia="zh-CN"/>
        </w:rPr>
        <w:t>相关的人口统计</w:t>
      </w:r>
      <w:r>
        <w:rPr>
          <w:rFonts w:hint="eastAsia" w:ascii="Arial" w:hAnsi="Arial" w:eastAsia="宋体" w:cs="Arial"/>
          <w:lang w:eastAsia="zh-CN"/>
        </w:rPr>
        <w:t>学</w:t>
      </w:r>
      <w:r>
        <w:rPr>
          <w:rFonts w:ascii="Arial" w:hAnsi="Arial" w:eastAsia="宋体" w:cs="Arial"/>
          <w:lang w:eastAsia="zh-CN"/>
        </w:rPr>
        <w:t>、临床和实验室信息。这必须包括年龄、性别、体征和症状、症状开始时间、测试适应症、服用或派发的药物和最终诊断（如果可用）。</w:t>
      </w:r>
    </w:p>
    <w:p w14:paraId="26C627B8">
      <w:pPr>
        <w:overflowPunct w:val="0"/>
        <w:snapToGrid w:val="0"/>
        <w:spacing w:after="120" w:afterLines="50" w:line="300" w:lineRule="auto"/>
        <w:jc w:val="both"/>
        <w:rPr>
          <w:rFonts w:ascii="Arial" w:hAnsi="Arial" w:eastAsia="宋体" w:cs="Arial"/>
          <w:sz w:val="24"/>
          <w:szCs w:val="24"/>
          <w:lang w:eastAsia="zh-CN"/>
        </w:rPr>
      </w:pPr>
    </w:p>
    <w:p w14:paraId="103FBF5E">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br w:type="page"/>
      </w:r>
    </w:p>
    <w:p w14:paraId="3D8EAB66">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89" w:name="_Toc497125114"/>
      <w:r>
        <w:rPr>
          <w:rFonts w:ascii="Arial" w:hAnsi="Arial" w:eastAsia="宋体" w:cs="Arial"/>
          <w:sz w:val="24"/>
          <w:szCs w:val="24"/>
          <w:lang w:eastAsia="zh-CN"/>
        </w:rPr>
        <w:t>VII（D）（4）.</w:t>
      </w:r>
      <w:r>
        <w:rPr>
          <w:rFonts w:ascii="Arial" w:hAnsi="Arial" w:eastAsia="宋体" w:cs="Arial"/>
          <w:sz w:val="24"/>
          <w:szCs w:val="24"/>
          <w:lang w:eastAsia="zh-CN"/>
        </w:rPr>
        <w:tab/>
      </w:r>
      <w:bookmarkStart w:id="90" w:name="_bookmark35"/>
      <w:bookmarkEnd w:id="90"/>
      <w:r>
        <w:rPr>
          <w:rFonts w:ascii="Arial" w:hAnsi="Arial" w:eastAsia="宋体" w:cs="Arial"/>
          <w:sz w:val="24"/>
          <w:szCs w:val="24"/>
          <w:lang w:eastAsia="zh-CN"/>
        </w:rPr>
        <w:t>样本</w:t>
      </w:r>
      <w:bookmarkEnd w:id="89"/>
    </w:p>
    <w:p w14:paraId="0668D5F8">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泌尿生殖道样本是适合该器械的样本基质。如果要研究其他样本类型，</w:t>
      </w:r>
      <w:r>
        <w:rPr>
          <w:rFonts w:hint="eastAsia" w:ascii="Arial" w:hAnsi="Arial" w:eastAsia="宋体" w:cs="Arial"/>
          <w:lang w:eastAsia="zh-CN"/>
        </w:rPr>
        <w:t>则</w:t>
      </w:r>
      <w:r>
        <w:rPr>
          <w:rFonts w:ascii="Arial" w:hAnsi="Arial" w:eastAsia="宋体" w:cs="Arial"/>
          <w:lang w:eastAsia="zh-CN"/>
        </w:rPr>
        <w:t>请在研究开始前联系OIR的微生物学器械科。必须对预期用途中声称的所有样本类型和基质实施临床研究，以证明从每种类型临床材料均可获得正确结果。请注意必须首先收集患者标准治疗和参考测试所需样本。如果有替代的方法或样本收集顺序，</w:t>
      </w:r>
      <w:r>
        <w:rPr>
          <w:rFonts w:hint="eastAsia" w:ascii="Arial" w:hAnsi="Arial" w:eastAsia="宋体" w:cs="Arial"/>
          <w:lang w:eastAsia="zh-CN"/>
        </w:rPr>
        <w:t>则</w:t>
      </w:r>
      <w:r>
        <w:rPr>
          <w:rFonts w:ascii="Arial" w:hAnsi="Arial" w:eastAsia="宋体" w:cs="Arial"/>
          <w:lang w:eastAsia="zh-CN"/>
        </w:rPr>
        <w:t>联系FDA。必须指出用于收集临床样本和证实包装说明书中性能声称的收集器械类型，如拭子和运输培养基（TM）。临床研究必须包含对所有声称</w:t>
      </w:r>
      <w:bookmarkStart w:id="91" w:name="OLE_LINK41"/>
      <w:r>
        <w:rPr>
          <w:rFonts w:ascii="Arial" w:hAnsi="Arial" w:eastAsia="宋体" w:cs="Arial"/>
          <w:lang w:eastAsia="zh-CN"/>
        </w:rPr>
        <w:t>拭子</w:t>
      </w:r>
      <w:bookmarkEnd w:id="91"/>
      <w:r>
        <w:rPr>
          <w:rFonts w:ascii="Arial" w:hAnsi="Arial" w:eastAsia="宋体" w:cs="Arial"/>
          <w:lang w:eastAsia="zh-CN"/>
        </w:rPr>
        <w:t>类型和运输培养基的测试。如果拭子未与器械一起提供，则包装说明书中必须含收集所需拭子的商业来源和</w:t>
      </w:r>
      <w:r>
        <w:rPr>
          <w:rFonts w:hint="eastAsia" w:ascii="Arial" w:hAnsi="Arial" w:eastAsia="宋体" w:cs="Arial"/>
          <w:lang w:eastAsia="zh-CN"/>
        </w:rPr>
        <w:t>质量标准</w:t>
      </w:r>
      <w:r>
        <w:rPr>
          <w:rFonts w:ascii="Arial" w:hAnsi="Arial" w:eastAsia="宋体" w:cs="Arial"/>
          <w:lang w:eastAsia="zh-CN"/>
        </w:rPr>
        <w:t>（例如尺寸、形状、纤维和拭子杆类型）信息。如果标签中推荐的TM与临床研究所用的不同，或标签中推荐的TM多于一种，则必须通过分析性研究（例如LoD、稳定性等）证明性能等同性。</w:t>
      </w:r>
    </w:p>
    <w:p w14:paraId="40B426C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应分别评价器械对于症状性和无症状性患者的性能。因此，设计的研究应收集每种样本类型和每种症状状态（症状性和无症状性）的足够数量阳性样本。预期的对每种样本类型的敏感性（点估计）为95%或更高，且双侧95% CI的下限至少为85%。当提交资料包含FDA可接受的证明很难获得低患病率样本的适当科学或统计证据时，可考虑预期敏感性点估计95%置信区间的下限少于85%的器械。特异性的预期点估计至少为95%且双侧95% CI的下限大于或等于90%。通常，对于每种样本类型，要求分别从症状性和无症状性</w:t>
      </w:r>
      <w:r>
        <w:rPr>
          <w:rFonts w:hint="eastAsia" w:ascii="Arial" w:hAnsi="Arial" w:eastAsia="宋体" w:cs="Arial"/>
          <w:lang w:eastAsia="zh-CN"/>
        </w:rPr>
        <w:t>个体</w:t>
      </w:r>
      <w:r>
        <w:rPr>
          <w:rFonts w:ascii="Arial" w:hAnsi="Arial" w:eastAsia="宋体" w:cs="Arial"/>
          <w:lang w:eastAsia="zh-CN"/>
        </w:rPr>
        <w:t>收集至少100个阳性样本。如果提交中包含FDA可接受的适当证据（例如因患病率太低而不能满足该要求），可允许来自无症状</w:t>
      </w:r>
      <w:r>
        <w:rPr>
          <w:rFonts w:hint="eastAsia" w:ascii="Arial" w:hAnsi="Arial" w:eastAsia="宋体" w:cs="Arial"/>
          <w:lang w:eastAsia="zh-CN"/>
        </w:rPr>
        <w:t>性个体</w:t>
      </w:r>
      <w:r>
        <w:rPr>
          <w:rFonts w:ascii="Arial" w:hAnsi="Arial" w:eastAsia="宋体" w:cs="Arial"/>
          <w:lang w:eastAsia="zh-CN"/>
        </w:rPr>
        <w:t>的样本类型数量少于要求的数量。有关样本量的问题可联系OIR的微生物学器械科。</w:t>
      </w:r>
    </w:p>
    <w:p w14:paraId="5C07C3E1">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92" w:name="_Toc497125115"/>
      <w:r>
        <w:rPr>
          <w:rFonts w:ascii="Arial" w:hAnsi="Arial" w:eastAsia="宋体" w:cs="Arial"/>
          <w:sz w:val="24"/>
          <w:szCs w:val="24"/>
          <w:lang w:eastAsia="zh-CN"/>
        </w:rPr>
        <w:t>VII（D）（5）.</w:t>
      </w:r>
      <w:r>
        <w:rPr>
          <w:rFonts w:ascii="Arial" w:hAnsi="Arial" w:eastAsia="宋体" w:cs="Arial"/>
          <w:sz w:val="24"/>
          <w:szCs w:val="24"/>
          <w:lang w:eastAsia="zh-CN"/>
        </w:rPr>
        <w:tab/>
      </w:r>
      <w:bookmarkStart w:id="93" w:name="_bookmark36"/>
      <w:bookmarkEnd w:id="93"/>
      <w:r>
        <w:rPr>
          <w:rFonts w:ascii="Arial" w:hAnsi="Arial" w:eastAsia="宋体" w:cs="Arial"/>
          <w:sz w:val="24"/>
          <w:szCs w:val="24"/>
          <w:lang w:eastAsia="zh-CN"/>
        </w:rPr>
        <w:t>参考方法</w:t>
      </w:r>
      <w:bookmarkEnd w:id="92"/>
    </w:p>
    <w:p w14:paraId="59979BE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w:t>
      </w:r>
      <w:r>
        <w:rPr>
          <w:rFonts w:hint="eastAsia" w:ascii="Arial" w:hAnsi="Arial" w:eastAsia="宋体" w:cs="Arial"/>
          <w:lang w:eastAsia="zh-CN"/>
        </w:rPr>
        <w:t>将</w:t>
      </w:r>
      <w:r>
        <w:rPr>
          <w:rFonts w:ascii="Arial" w:hAnsi="Arial" w:eastAsia="宋体" w:cs="Arial"/>
          <w:lang w:eastAsia="zh-CN"/>
        </w:rPr>
        <w:t>器械结果与</w:t>
      </w:r>
      <w:r>
        <w:rPr>
          <w:rFonts w:hint="eastAsia" w:ascii="Arial" w:hAnsi="Arial" w:eastAsia="宋体" w:cs="Arial"/>
          <w:lang w:eastAsia="zh-CN"/>
        </w:rPr>
        <w:t>“</w:t>
      </w:r>
      <w:r>
        <w:rPr>
          <w:rFonts w:ascii="Arial" w:hAnsi="Arial" w:eastAsia="宋体" w:cs="Arial"/>
          <w:lang w:eastAsia="zh-CN"/>
        </w:rPr>
        <w:t>患者感染状态</w:t>
      </w:r>
      <w:r>
        <w:rPr>
          <w:rFonts w:hint="eastAsia" w:ascii="Arial" w:hAnsi="Arial" w:eastAsia="宋体" w:cs="Arial"/>
          <w:lang w:eastAsia="zh-CN"/>
        </w:rPr>
        <w:t>”</w:t>
      </w:r>
      <w:r>
        <w:rPr>
          <w:rFonts w:ascii="Arial" w:hAnsi="Arial" w:eastAsia="宋体" w:cs="Arial"/>
          <w:lang w:eastAsia="zh-CN"/>
        </w:rPr>
        <w:t>（PIS）算法</w:t>
      </w:r>
      <w:r>
        <w:rPr>
          <w:rFonts w:hint="eastAsia" w:ascii="Arial" w:hAnsi="Arial" w:eastAsia="宋体" w:cs="Arial"/>
          <w:lang w:eastAsia="zh-CN"/>
        </w:rPr>
        <w:t>进行</w:t>
      </w:r>
      <w:r>
        <w:rPr>
          <w:rFonts w:ascii="Arial" w:hAnsi="Arial" w:eastAsia="宋体" w:cs="Arial"/>
          <w:lang w:eastAsia="zh-CN"/>
        </w:rPr>
        <w:t>比较以评估器械性能，该算法基于复合参考方法的结果确定受试者感染或未感染</w:t>
      </w:r>
      <w:r>
        <w:rPr>
          <w:rFonts w:ascii="Arial" w:hAnsi="Arial" w:eastAsia="宋体" w:cs="Arial"/>
          <w:i/>
          <w:lang w:eastAsia="zh-CN"/>
        </w:rPr>
        <w:t>阴道毛滴虫</w:t>
      </w:r>
      <w:r>
        <w:rPr>
          <w:rFonts w:ascii="Arial" w:hAnsi="Arial" w:eastAsia="宋体" w:cs="Arial"/>
          <w:lang w:eastAsia="zh-CN"/>
        </w:rPr>
        <w:t>。至少其中一个参考测试结果（复合参考方法的一部分）必须为阳性才能建立患者感染状态。两种参考测试结果必须全部为阴性才能建立患者未感染状态。</w:t>
      </w:r>
    </w:p>
    <w:p w14:paraId="07EEEE49">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br w:type="page"/>
      </w:r>
    </w:p>
    <w:p w14:paraId="6664AAD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以下是确定</w:t>
      </w:r>
      <w:r>
        <w:rPr>
          <w:rFonts w:ascii="Arial" w:hAnsi="Arial" w:eastAsia="宋体" w:cs="Arial"/>
          <w:i/>
          <w:lang w:eastAsia="zh-CN"/>
        </w:rPr>
        <w:t>阴道毛滴虫</w:t>
      </w:r>
      <w:r>
        <w:rPr>
          <w:rFonts w:ascii="Arial" w:hAnsi="Arial" w:eastAsia="宋体" w:cs="Arial"/>
          <w:lang w:eastAsia="zh-CN"/>
        </w:rPr>
        <w:t>PIS的可接受复合参考方法：</w:t>
      </w:r>
    </w:p>
    <w:p w14:paraId="176B78E5">
      <w:pPr>
        <w:pStyle w:val="3"/>
        <w:numPr>
          <w:ilvl w:val="1"/>
          <w:numId w:val="11"/>
        </w:numPr>
        <w:tabs>
          <w:tab w:val="left" w:pos="828"/>
        </w:tabs>
        <w:overflowPunct w:val="0"/>
        <w:snapToGrid w:val="0"/>
        <w:spacing w:line="300" w:lineRule="auto"/>
        <w:ind w:left="669" w:hanging="306"/>
        <w:jc w:val="both"/>
        <w:rPr>
          <w:rFonts w:ascii="Arial" w:hAnsi="Arial" w:eastAsia="宋体" w:cs="Arial"/>
          <w:lang w:eastAsia="zh-CN"/>
        </w:rPr>
      </w:pPr>
      <w:r>
        <w:rPr>
          <w:rFonts w:ascii="Arial" w:hAnsi="Arial" w:eastAsia="宋体" w:cs="Arial"/>
          <w:lang w:eastAsia="zh-CN"/>
        </w:rPr>
        <w:t>来自阴道拭子样本的和湿片法的</w:t>
      </w:r>
      <w:r>
        <w:rPr>
          <w:rFonts w:ascii="Arial" w:hAnsi="Arial" w:eastAsia="宋体" w:cs="Arial"/>
          <w:i/>
          <w:lang w:eastAsia="zh-CN"/>
        </w:rPr>
        <w:t>阴道毛滴虫</w:t>
      </w:r>
      <w:r>
        <w:rPr>
          <w:rFonts w:ascii="Arial" w:hAnsi="Arial" w:eastAsia="宋体" w:cs="Arial"/>
          <w:lang w:eastAsia="zh-CN"/>
        </w:rPr>
        <w:t>培养；或</w:t>
      </w:r>
    </w:p>
    <w:p w14:paraId="7DCA73EE">
      <w:pPr>
        <w:pStyle w:val="3"/>
        <w:numPr>
          <w:ilvl w:val="1"/>
          <w:numId w:val="11"/>
        </w:numPr>
        <w:tabs>
          <w:tab w:val="left" w:pos="828"/>
        </w:tabs>
        <w:overflowPunct w:val="0"/>
        <w:snapToGrid w:val="0"/>
        <w:spacing w:line="300" w:lineRule="auto"/>
        <w:ind w:left="669" w:hanging="306"/>
        <w:jc w:val="both"/>
        <w:rPr>
          <w:rFonts w:ascii="Arial" w:hAnsi="Arial" w:eastAsia="宋体" w:cs="Arial"/>
          <w:lang w:eastAsia="zh-CN"/>
        </w:rPr>
      </w:pPr>
      <w:r>
        <w:rPr>
          <w:rFonts w:ascii="Arial" w:hAnsi="Arial" w:eastAsia="宋体" w:cs="Arial"/>
          <w:lang w:eastAsia="zh-CN"/>
        </w:rPr>
        <w:t>一种FDA批准的分子检测试剂盒或一种经确认的分子检测试剂盒</w:t>
      </w:r>
      <w:bookmarkStart w:id="94" w:name="OLE_LINK44"/>
      <w:bookmarkStart w:id="95" w:name="OLE_LINK45"/>
      <w:r>
        <w:rPr>
          <w:rFonts w:ascii="Arial" w:hAnsi="Arial" w:eastAsia="宋体" w:cs="Arial"/>
          <w:lang w:eastAsia="zh-CN"/>
        </w:rPr>
        <w:t>（如果无可用的FDA批准试剂盒）</w:t>
      </w:r>
      <w:bookmarkEnd w:id="94"/>
      <w:bookmarkEnd w:id="95"/>
      <w:r>
        <w:rPr>
          <w:rFonts w:ascii="Arial" w:hAnsi="Arial" w:eastAsia="宋体" w:cs="Arial"/>
          <w:lang w:eastAsia="zh-CN"/>
        </w:rPr>
        <w:t>和泌尿生殖道拭子培养或湿片法培养；或</w:t>
      </w:r>
    </w:p>
    <w:p w14:paraId="152FDC0A">
      <w:pPr>
        <w:pStyle w:val="3"/>
        <w:numPr>
          <w:ilvl w:val="1"/>
          <w:numId w:val="11"/>
        </w:numPr>
        <w:tabs>
          <w:tab w:val="left" w:pos="828"/>
        </w:tabs>
        <w:overflowPunct w:val="0"/>
        <w:snapToGrid w:val="0"/>
        <w:spacing w:after="120" w:afterLines="50" w:line="300" w:lineRule="auto"/>
        <w:ind w:left="672" w:hanging="308"/>
        <w:jc w:val="both"/>
        <w:rPr>
          <w:rFonts w:ascii="Arial" w:hAnsi="Arial" w:eastAsia="宋体" w:cs="Arial"/>
          <w:lang w:eastAsia="zh-CN"/>
        </w:rPr>
      </w:pPr>
      <w:r>
        <w:rPr>
          <w:rFonts w:ascii="Arial" w:hAnsi="Arial" w:eastAsia="宋体" w:cs="Arial"/>
          <w:lang w:eastAsia="zh-CN"/>
        </w:rPr>
        <w:t>两种</w:t>
      </w:r>
      <w:r>
        <w:rPr>
          <w:rFonts w:ascii="Arial" w:hAnsi="Arial" w:eastAsia="宋体" w:cs="Arial"/>
          <w:color w:val="221F1F"/>
          <w:lang w:eastAsia="zh-CN"/>
        </w:rPr>
        <w:t>FDA批准的或两种经确认的测试泌尿生殖道拭子或尿液样</w:t>
      </w:r>
      <w:bookmarkStart w:id="96" w:name="OLE_LINK47"/>
      <w:bookmarkStart w:id="97" w:name="OLE_LINK46"/>
      <w:r>
        <w:rPr>
          <w:rFonts w:ascii="Arial" w:hAnsi="Arial" w:eastAsia="宋体" w:cs="Arial"/>
          <w:color w:val="221F1F"/>
          <w:lang w:eastAsia="zh-CN"/>
        </w:rPr>
        <w:t>本的分子检</w:t>
      </w:r>
      <w:bookmarkEnd w:id="96"/>
      <w:bookmarkEnd w:id="97"/>
      <w:r>
        <w:rPr>
          <w:rFonts w:ascii="Arial" w:hAnsi="Arial" w:eastAsia="宋体" w:cs="Arial"/>
          <w:color w:val="221F1F"/>
          <w:lang w:eastAsia="zh-CN"/>
        </w:rPr>
        <w:t>测试剂盒</w:t>
      </w:r>
      <w:r>
        <w:rPr>
          <w:rFonts w:ascii="Arial" w:hAnsi="Arial" w:eastAsia="宋体" w:cs="Arial"/>
          <w:lang w:eastAsia="zh-CN"/>
        </w:rPr>
        <w:t>（如果无可用的FDA批准试剂盒）。在这种情况下，将用符合率百分比表示性能。</w:t>
      </w:r>
    </w:p>
    <w:p w14:paraId="6AD3ACF9">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由于与阴道拭子相比，（女性的）尿液样本敏感性更低，因此测试尿液的参考方法可能影响贵公司器械结果。请注意用作参考测试方法的FDA批准试剂盒仅可测试批准的样本类型。</w:t>
      </w:r>
    </w:p>
    <w:p w14:paraId="4F266AF9">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关于任何其他参考方法的选择，请联系OIR的微生物学器械科。</w:t>
      </w:r>
    </w:p>
    <w:p w14:paraId="3D480D64">
      <w:pPr>
        <w:pStyle w:val="22"/>
        <w:tabs>
          <w:tab w:val="left" w:pos="2267"/>
        </w:tabs>
        <w:overflowPunct w:val="0"/>
        <w:snapToGrid w:val="0"/>
        <w:spacing w:after="240" w:afterLines="100" w:line="300" w:lineRule="auto"/>
        <w:ind w:left="0" w:firstLine="964" w:firstLineChars="400"/>
        <w:jc w:val="both"/>
        <w:rPr>
          <w:rFonts w:ascii="Arial" w:hAnsi="Arial" w:eastAsia="宋体" w:cs="Arial"/>
          <w:sz w:val="24"/>
          <w:szCs w:val="24"/>
          <w:lang w:eastAsia="zh-CN"/>
        </w:rPr>
      </w:pPr>
      <w:bookmarkStart w:id="98" w:name="_Toc497125116"/>
      <w:r>
        <w:rPr>
          <w:rFonts w:ascii="Arial" w:hAnsi="Arial" w:eastAsia="宋体" w:cs="Arial"/>
          <w:sz w:val="24"/>
          <w:szCs w:val="24"/>
          <w:lang w:eastAsia="zh-CN"/>
        </w:rPr>
        <w:t>VII（D）（6）.</w:t>
      </w:r>
      <w:r>
        <w:rPr>
          <w:rFonts w:ascii="Arial" w:hAnsi="Arial" w:eastAsia="宋体" w:cs="Arial"/>
          <w:sz w:val="24"/>
          <w:szCs w:val="24"/>
          <w:lang w:eastAsia="zh-CN"/>
        </w:rPr>
        <w:tab/>
      </w:r>
      <w:bookmarkStart w:id="99" w:name="_bookmark37"/>
      <w:bookmarkEnd w:id="99"/>
      <w:r>
        <w:rPr>
          <w:rFonts w:ascii="Arial" w:hAnsi="Arial" w:eastAsia="宋体" w:cs="Arial"/>
          <w:sz w:val="24"/>
          <w:szCs w:val="24"/>
          <w:lang w:eastAsia="zh-CN"/>
        </w:rPr>
        <w:t>研究数据和结果的呈现</w:t>
      </w:r>
      <w:bookmarkEnd w:id="98"/>
    </w:p>
    <w:p w14:paraId="162261BA">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包括临床数据和分析性数据集在内的所有研究数据必须以支持独立数据分析的可接受电子格式（例如Excel电子表格）包含在510（k）提交中。数据文件必须包含所有主要变量和衍生变量，如有必要可带有适当注解或单独的码本。</w:t>
      </w:r>
    </w:p>
    <w:p w14:paraId="41297139">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数据必须包含每个受试样本的以下信息：</w:t>
      </w:r>
    </w:p>
    <w:p w14:paraId="35711978">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样本类型</w:t>
      </w:r>
    </w:p>
    <w:p w14:paraId="2E94F423">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患者</w:t>
      </w:r>
      <w:r>
        <w:rPr>
          <w:rFonts w:ascii="Arial" w:hAnsi="Arial" w:eastAsia="宋体" w:cs="Arial"/>
        </w:rPr>
        <w:t xml:space="preserve"> ID</w:t>
      </w:r>
    </w:p>
    <w:p w14:paraId="58AF0D56">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年龄</w:t>
      </w:r>
    </w:p>
    <w:p w14:paraId="483D9078">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性别</w:t>
      </w:r>
    </w:p>
    <w:p w14:paraId="582580B7">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收集部位</w:t>
      </w:r>
    </w:p>
    <w:p w14:paraId="0E1802F9">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收集日期</w:t>
      </w:r>
    </w:p>
    <w:p w14:paraId="09267D35">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测试中心</w:t>
      </w:r>
    </w:p>
    <w:p w14:paraId="1CB395F6">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测试日期</w:t>
      </w:r>
    </w:p>
    <w:p w14:paraId="5B08291F">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lang w:eastAsia="zh-CN"/>
        </w:rPr>
      </w:pPr>
      <w:r>
        <w:rPr>
          <w:rFonts w:ascii="Arial" w:hAnsi="Arial" w:eastAsia="宋体" w:cs="Arial"/>
          <w:lang w:eastAsia="zh-CN"/>
        </w:rPr>
        <w:t>比较算法中所用每种参考测试方法的（单独）结果</w:t>
      </w:r>
    </w:p>
    <w:p w14:paraId="226A26E0">
      <w:pPr>
        <w:pStyle w:val="3"/>
        <w:numPr>
          <w:ilvl w:val="1"/>
          <w:numId w:val="11"/>
        </w:numPr>
        <w:tabs>
          <w:tab w:val="left" w:pos="828"/>
        </w:tabs>
        <w:overflowPunct w:val="0"/>
        <w:snapToGrid w:val="0"/>
        <w:spacing w:line="300" w:lineRule="auto"/>
        <w:ind w:left="566" w:leftChars="95" w:hanging="357"/>
        <w:jc w:val="both"/>
        <w:rPr>
          <w:rFonts w:ascii="Arial" w:hAnsi="Arial" w:eastAsia="宋体" w:cs="Arial"/>
        </w:rPr>
      </w:pPr>
      <w:r>
        <w:rPr>
          <w:rFonts w:ascii="Arial" w:hAnsi="Arial" w:eastAsia="宋体" w:cs="Arial"/>
          <w:lang w:eastAsia="zh-CN"/>
        </w:rPr>
        <w:t>最终</w:t>
      </w:r>
      <w:r>
        <w:rPr>
          <w:rFonts w:ascii="Arial" w:hAnsi="Arial" w:eastAsia="宋体" w:cs="Arial"/>
        </w:rPr>
        <w:t xml:space="preserve"> PIS</w:t>
      </w:r>
    </w:p>
    <w:p w14:paraId="2EFA1733">
      <w:pPr>
        <w:pStyle w:val="3"/>
        <w:numPr>
          <w:ilvl w:val="1"/>
          <w:numId w:val="11"/>
        </w:numPr>
        <w:tabs>
          <w:tab w:val="left" w:pos="828"/>
        </w:tabs>
        <w:overflowPunct w:val="0"/>
        <w:snapToGrid w:val="0"/>
        <w:spacing w:after="120" w:afterLines="50" w:line="300" w:lineRule="auto"/>
        <w:ind w:left="209" w:leftChars="95"/>
        <w:jc w:val="both"/>
        <w:rPr>
          <w:rFonts w:ascii="Arial" w:hAnsi="Arial" w:eastAsia="宋体" w:cs="Arial"/>
          <w:lang w:eastAsia="zh-CN"/>
        </w:rPr>
      </w:pPr>
      <w:r>
        <w:rPr>
          <w:rFonts w:ascii="Arial" w:hAnsi="Arial" w:eastAsia="宋体" w:cs="Arial"/>
          <w:lang w:eastAsia="zh-CN"/>
        </w:rPr>
        <w:t>贵公司试验器械的检测结果</w:t>
      </w:r>
    </w:p>
    <w:p w14:paraId="006C1EB1">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必须计算并呈现敏感性、特异性（或阳性和阴性符合率）与阳性和阴性预测值（即PPV 和 NPV）的95%双侧置信区间以及目标医疗状况在预期使用人群中的患病率。必须以表格形式呈现每个中心单独的及所有中心总的结果，表头应为症状状态（症状性和无症状性）和样本类型。此外，必须提供无效结果百分比的95%置信区间。</w:t>
      </w:r>
    </w:p>
    <w:p w14:paraId="1301640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必须提供依照由复合参考方法确定的每种样本类型的PIS，贵公司器械对临床研究中样本的检测信号（结果）的频率分布。必须以图形和表格形式呈现频率分布。必须充分详细地描述对数据集应用的统计方法，</w:t>
      </w:r>
      <w:r>
        <w:rPr>
          <w:rFonts w:hint="eastAsia" w:ascii="Arial" w:hAnsi="Arial" w:eastAsia="宋体" w:cs="Arial"/>
          <w:lang w:eastAsia="zh-CN"/>
        </w:rPr>
        <w:t>以便</w:t>
      </w:r>
      <w:r>
        <w:rPr>
          <w:rFonts w:ascii="Arial" w:hAnsi="Arial" w:eastAsia="宋体" w:cs="Arial"/>
          <w:lang w:eastAsia="zh-CN"/>
        </w:rPr>
        <w:t>机构</w:t>
      </w:r>
      <w:r>
        <w:rPr>
          <w:rFonts w:hint="eastAsia" w:ascii="Arial" w:hAnsi="Arial" w:eastAsia="宋体" w:cs="Arial"/>
          <w:lang w:eastAsia="zh-CN"/>
        </w:rPr>
        <w:t>能够复制</w:t>
      </w:r>
      <w:r>
        <w:rPr>
          <w:rFonts w:ascii="Arial" w:hAnsi="Arial" w:eastAsia="宋体" w:cs="Arial"/>
          <w:lang w:eastAsia="zh-CN"/>
        </w:rPr>
        <w:t>提交中报告的结果。</w:t>
      </w:r>
    </w:p>
    <w:p w14:paraId="460E35BA">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bookmarkStart w:id="100" w:name="_bookmark38"/>
      <w:bookmarkEnd w:id="100"/>
      <w:bookmarkStart w:id="101" w:name="_Toc497125117"/>
      <w:r>
        <w:rPr>
          <w:rFonts w:ascii="Arial" w:hAnsi="Arial" w:eastAsia="宋体" w:cs="Arial"/>
          <w:lang w:eastAsia="zh-CN"/>
        </w:rPr>
        <w:t>标签</w:t>
      </w:r>
      <w:bookmarkEnd w:id="101"/>
    </w:p>
    <w:p w14:paraId="2E102335">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i/>
          <w:lang w:eastAsia="zh-CN"/>
        </w:rPr>
        <w:t>阴道毛滴虫</w:t>
      </w:r>
      <w:r>
        <w:rPr>
          <w:rFonts w:ascii="Arial" w:hAnsi="Arial" w:eastAsia="宋体" w:cs="Arial"/>
          <w:lang w:eastAsia="zh-CN"/>
        </w:rPr>
        <w:t>核酸检测试剂盒的标签必须包含</w:t>
      </w:r>
      <w:r>
        <w:rPr>
          <w:rFonts w:hint="eastAsia" w:ascii="Arial" w:hAnsi="Arial" w:eastAsia="宋体" w:cs="Arial"/>
          <w:lang w:eastAsia="zh-CN"/>
        </w:rPr>
        <w:t>以下</w:t>
      </w:r>
      <w:r>
        <w:rPr>
          <w:rFonts w:ascii="Arial" w:hAnsi="Arial" w:eastAsia="宋体" w:cs="Arial"/>
          <w:lang w:eastAsia="zh-CN"/>
        </w:rPr>
        <w:t>描述的信息以确保用户恰当使用器械。</w:t>
      </w:r>
    </w:p>
    <w:p w14:paraId="3B2F9E4E">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02" w:name="_Toc497125118"/>
      <w:r>
        <w:rPr>
          <w:rFonts w:ascii="Arial" w:hAnsi="Arial" w:eastAsia="宋体" w:cs="Arial"/>
          <w:sz w:val="28"/>
          <w:szCs w:val="28"/>
          <w:lang w:eastAsia="zh-CN"/>
        </w:rPr>
        <w:t>VIII（A）.</w:t>
      </w:r>
      <w:r>
        <w:rPr>
          <w:rFonts w:ascii="Arial" w:hAnsi="Arial" w:eastAsia="宋体" w:cs="Arial"/>
          <w:sz w:val="28"/>
          <w:szCs w:val="28"/>
          <w:lang w:eastAsia="zh-CN"/>
        </w:rPr>
        <w:tab/>
      </w:r>
      <w:bookmarkStart w:id="103" w:name="_bookmark39"/>
      <w:bookmarkEnd w:id="103"/>
      <w:r>
        <w:rPr>
          <w:rFonts w:ascii="Arial" w:hAnsi="Arial" w:eastAsia="宋体" w:cs="Arial"/>
          <w:sz w:val="28"/>
          <w:szCs w:val="28"/>
          <w:lang w:eastAsia="zh-CN"/>
        </w:rPr>
        <w:t>预期用途</w:t>
      </w:r>
      <w:bookmarkEnd w:id="102"/>
    </w:p>
    <w:p w14:paraId="2C59B6E9">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预期用途声明必须清晰说明器械仅用于辅助滴虫病诊断。必须指出生物体名称</w:t>
      </w:r>
      <w:r>
        <w:rPr>
          <w:rFonts w:hint="eastAsia" w:ascii="Arial" w:hAnsi="Arial" w:eastAsia="宋体" w:cs="Arial"/>
          <w:lang w:eastAsia="zh-CN"/>
        </w:rPr>
        <w:t>、</w:t>
      </w:r>
      <w:r>
        <w:rPr>
          <w:rFonts w:ascii="Arial" w:hAnsi="Arial" w:eastAsia="宋体" w:cs="Arial"/>
          <w:lang w:eastAsia="zh-CN"/>
        </w:rPr>
        <w:t>分析物本质（RNA 或 DNA）</w:t>
      </w:r>
      <w:r>
        <w:rPr>
          <w:rFonts w:hint="eastAsia" w:ascii="Arial" w:hAnsi="Arial" w:eastAsia="宋体" w:cs="Arial"/>
          <w:lang w:eastAsia="zh-CN"/>
        </w:rPr>
        <w:t>、</w:t>
      </w:r>
      <w:r>
        <w:rPr>
          <w:rFonts w:ascii="Arial" w:hAnsi="Arial" w:eastAsia="宋体" w:cs="Arial"/>
          <w:lang w:eastAsia="zh-CN"/>
        </w:rPr>
        <w:t>样本类型（例如阴道拭子）</w:t>
      </w:r>
      <w:r>
        <w:rPr>
          <w:rFonts w:hint="eastAsia" w:ascii="Arial" w:hAnsi="Arial" w:eastAsia="宋体" w:cs="Arial"/>
          <w:lang w:eastAsia="zh-CN"/>
        </w:rPr>
        <w:t>、</w:t>
      </w:r>
      <w:r>
        <w:rPr>
          <w:rFonts w:ascii="Arial" w:hAnsi="Arial" w:eastAsia="宋体" w:cs="Arial"/>
          <w:lang w:eastAsia="zh-CN"/>
        </w:rPr>
        <w:t>拭子样本由医生收集还是自收集和测试方法学/测试技术名称。必须清晰陈述试验预期用于的临床适应症、具体人群和任何器械使用限制。预期用途声明必须说明试验是定性的和任何具体使用条件。可能要求提供基于临床结果</w:t>
      </w:r>
      <w:r>
        <w:rPr>
          <w:rFonts w:hint="eastAsia" w:ascii="Arial" w:hAnsi="Arial" w:eastAsia="宋体" w:cs="Arial"/>
          <w:lang w:eastAsia="zh-CN"/>
        </w:rPr>
        <w:t>获得</w:t>
      </w:r>
      <w:r>
        <w:rPr>
          <w:rFonts w:ascii="Arial" w:hAnsi="Arial" w:eastAsia="宋体" w:cs="Arial"/>
          <w:lang w:eastAsia="zh-CN"/>
        </w:rPr>
        <w:t>的其他资格。</w:t>
      </w:r>
    </w:p>
    <w:p w14:paraId="58B8F64C">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04" w:name="_Toc497125119"/>
      <w:r>
        <w:rPr>
          <w:rFonts w:ascii="Arial" w:hAnsi="Arial" w:eastAsia="宋体" w:cs="Arial"/>
          <w:sz w:val="28"/>
          <w:szCs w:val="28"/>
          <w:lang w:eastAsia="zh-CN"/>
        </w:rPr>
        <w:t>VIII（B）.</w:t>
      </w:r>
      <w:r>
        <w:rPr>
          <w:rFonts w:ascii="Arial" w:hAnsi="Arial" w:eastAsia="宋体" w:cs="Arial"/>
          <w:sz w:val="28"/>
          <w:szCs w:val="28"/>
          <w:lang w:eastAsia="zh-CN"/>
        </w:rPr>
        <w:tab/>
      </w:r>
      <w:bookmarkStart w:id="105" w:name="_bookmark40"/>
      <w:bookmarkEnd w:id="105"/>
      <w:r>
        <w:rPr>
          <w:rFonts w:ascii="Arial" w:hAnsi="Arial" w:eastAsia="宋体" w:cs="Arial"/>
          <w:sz w:val="28"/>
          <w:szCs w:val="28"/>
          <w:lang w:eastAsia="zh-CN"/>
        </w:rPr>
        <w:t>器械说明</w:t>
      </w:r>
      <w:bookmarkEnd w:id="104"/>
    </w:p>
    <w:p w14:paraId="3E97DB4D">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器械说明必须</w:t>
      </w:r>
      <w:r>
        <w:rPr>
          <w:rFonts w:hint="eastAsia" w:ascii="Arial" w:hAnsi="Arial" w:eastAsia="宋体" w:cs="Arial"/>
          <w:lang w:eastAsia="zh-CN"/>
        </w:rPr>
        <w:t>重点</w:t>
      </w:r>
      <w:r>
        <w:rPr>
          <w:rFonts w:ascii="Arial" w:hAnsi="Arial" w:eastAsia="宋体" w:cs="Arial"/>
          <w:lang w:eastAsia="zh-CN"/>
        </w:rPr>
        <w:t>描述该类器械所用测定方法学和原理。</w:t>
      </w:r>
    </w:p>
    <w:p w14:paraId="459C9D0E">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06" w:name="_Toc497125120"/>
      <w:r>
        <w:rPr>
          <w:rFonts w:ascii="Arial" w:hAnsi="Arial" w:eastAsia="宋体" w:cs="Arial"/>
          <w:sz w:val="28"/>
          <w:szCs w:val="28"/>
          <w:lang w:eastAsia="zh-CN"/>
        </w:rPr>
        <w:t>VIII（C）.</w:t>
      </w:r>
      <w:r>
        <w:rPr>
          <w:rFonts w:ascii="Arial" w:hAnsi="Arial" w:eastAsia="宋体" w:cs="Arial"/>
          <w:sz w:val="28"/>
          <w:szCs w:val="28"/>
          <w:lang w:eastAsia="zh-CN"/>
        </w:rPr>
        <w:tab/>
      </w:r>
      <w:bookmarkStart w:id="107" w:name="_bookmark41"/>
      <w:bookmarkEnd w:id="107"/>
      <w:r>
        <w:rPr>
          <w:rFonts w:ascii="Arial" w:hAnsi="Arial" w:eastAsia="宋体" w:cs="Arial"/>
          <w:sz w:val="28"/>
          <w:szCs w:val="28"/>
          <w:lang w:eastAsia="zh-CN"/>
        </w:rPr>
        <w:t>程序</w:t>
      </w:r>
      <w:bookmarkEnd w:id="106"/>
    </w:p>
    <w:p w14:paraId="76C389B4">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这部分必须包含从收集患者样本至结果报告的整个分析程序的详细说明。</w:t>
      </w:r>
    </w:p>
    <w:p w14:paraId="0C597DF0">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08" w:name="_Toc497125121"/>
      <w:r>
        <w:rPr>
          <w:rFonts w:ascii="Arial" w:hAnsi="Arial" w:eastAsia="宋体" w:cs="Arial"/>
          <w:sz w:val="28"/>
          <w:szCs w:val="28"/>
          <w:lang w:eastAsia="zh-CN"/>
        </w:rPr>
        <w:t>VIII（D）.</w:t>
      </w:r>
      <w:r>
        <w:rPr>
          <w:rFonts w:ascii="Arial" w:hAnsi="Arial" w:eastAsia="宋体" w:cs="Arial"/>
          <w:sz w:val="28"/>
          <w:szCs w:val="28"/>
          <w:lang w:eastAsia="zh-CN"/>
        </w:rPr>
        <w:tab/>
      </w:r>
      <w:bookmarkStart w:id="109" w:name="_bookmark42"/>
      <w:bookmarkEnd w:id="109"/>
      <w:r>
        <w:rPr>
          <w:rFonts w:ascii="Arial" w:hAnsi="Arial" w:eastAsia="宋体" w:cs="Arial"/>
          <w:sz w:val="28"/>
          <w:szCs w:val="28"/>
          <w:lang w:eastAsia="zh-CN"/>
        </w:rPr>
        <w:t>使用说明</w:t>
      </w:r>
      <w:bookmarkEnd w:id="108"/>
    </w:p>
    <w:p w14:paraId="7FA29627">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贵公司提供的使用说明必须清晰简洁并系统性地描述器械使用步骤和使不准确结果风险降至最低的控制措施。标签的部分必须包含对样本处理和测试程序生物安全注意事项的指导并清晰指出将试验处理为非传染性</w:t>
      </w:r>
      <w:r>
        <w:rPr>
          <w:rFonts w:hint="eastAsia" w:ascii="Arial" w:hAnsi="Arial" w:eastAsia="宋体" w:cs="Arial"/>
          <w:lang w:eastAsia="zh-CN"/>
        </w:rPr>
        <w:t>的</w:t>
      </w:r>
      <w:r>
        <w:rPr>
          <w:rFonts w:ascii="Arial" w:hAnsi="Arial" w:eastAsia="宋体" w:cs="Arial"/>
          <w:lang w:eastAsia="zh-CN"/>
        </w:rPr>
        <w:t>程序步骤。</w:t>
      </w:r>
    </w:p>
    <w:p w14:paraId="2449B43A">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必须包含器械处理和储存说明及器械和任何试剂或其他组分在开放和密闭两种储存条件下的到期日。</w:t>
      </w:r>
    </w:p>
    <w:p w14:paraId="14F8D1E7">
      <w:pPr>
        <w:overflowPunct w:val="0"/>
        <w:snapToGrid w:val="0"/>
        <w:spacing w:after="120" w:afterLines="50" w:line="300" w:lineRule="auto"/>
        <w:jc w:val="both"/>
        <w:rPr>
          <w:rFonts w:ascii="Arial" w:hAnsi="Arial" w:eastAsia="宋体" w:cs="Arial"/>
          <w:sz w:val="24"/>
          <w:szCs w:val="24"/>
          <w:lang w:eastAsia="zh-CN"/>
        </w:rPr>
      </w:pPr>
      <w:r>
        <w:rPr>
          <w:rFonts w:ascii="Arial" w:hAnsi="Arial" w:eastAsia="宋体" w:cs="Arial"/>
          <w:sz w:val="24"/>
          <w:szCs w:val="24"/>
          <w:lang w:eastAsia="zh-CN"/>
        </w:rPr>
        <w:br w:type="page"/>
      </w:r>
    </w:p>
    <w:p w14:paraId="784455C3">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对于涉及需关注辅助试剂使用的器械（也见本文件的</w:t>
      </w:r>
      <w:r>
        <w:rPr>
          <w:rFonts w:hint="eastAsia" w:ascii="Arial" w:hAnsi="Arial" w:eastAsia="宋体" w:cs="Arial"/>
          <w:lang w:eastAsia="zh-CN"/>
        </w:rPr>
        <w:t>第</w:t>
      </w:r>
      <w:r>
        <w:rPr>
          <w:rFonts w:ascii="Arial" w:hAnsi="Arial" w:eastAsia="宋体" w:cs="Arial"/>
          <w:lang w:eastAsia="zh-CN"/>
        </w:rPr>
        <w:t>VI（D）</w:t>
      </w:r>
      <w:r>
        <w:rPr>
          <w:rFonts w:hint="eastAsia" w:ascii="Arial" w:hAnsi="Arial" w:eastAsia="宋体" w:cs="Arial"/>
          <w:lang w:eastAsia="zh-CN"/>
        </w:rPr>
        <w:t>章节</w:t>
      </w:r>
      <w:r>
        <w:rPr>
          <w:rFonts w:ascii="Arial" w:hAnsi="Arial" w:eastAsia="宋体" w:cs="Arial"/>
          <w:lang w:eastAsia="zh-CN"/>
        </w:rPr>
        <w:t>），必须：</w:t>
      </w:r>
    </w:p>
    <w:p w14:paraId="4920AC9D">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t>突出强调恰当器械性能包括使用指定的具体辅助试剂。这可能包括如果不能获得具体辅助试剂，</w:t>
      </w:r>
      <w:r>
        <w:rPr>
          <w:rFonts w:hint="eastAsia" w:ascii="Arial" w:hAnsi="Arial" w:eastAsia="宋体" w:cs="Arial"/>
          <w:lang w:eastAsia="zh-CN"/>
        </w:rPr>
        <w:t>则</w:t>
      </w:r>
      <w:r>
        <w:rPr>
          <w:rFonts w:ascii="Arial" w:hAnsi="Arial" w:eastAsia="宋体" w:cs="Arial"/>
          <w:lang w:eastAsia="zh-CN"/>
        </w:rPr>
        <w:t>不能使用器械的警告。</w:t>
      </w:r>
    </w:p>
    <w:p w14:paraId="235B6AF0">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t>确保用户能清楚鉴定适合与器械一同使用</w:t>
      </w:r>
      <w:r>
        <w:rPr>
          <w:rFonts w:hint="eastAsia" w:ascii="Arial" w:hAnsi="Arial" w:eastAsia="宋体" w:cs="Arial"/>
          <w:lang w:eastAsia="zh-CN"/>
        </w:rPr>
        <w:t>的</w:t>
      </w:r>
      <w:r>
        <w:rPr>
          <w:rFonts w:ascii="Arial" w:hAnsi="Arial" w:eastAsia="宋体" w:cs="Arial"/>
          <w:lang w:eastAsia="zh-CN"/>
        </w:rPr>
        <w:t>辅助试剂。</w:t>
      </w:r>
    </w:p>
    <w:p w14:paraId="260FDA10">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t>确保当使用带有由辅助试剂制造商提供的使用说明书或其他警告或限制信息的辅助试剂时，器械用户理解他们必须遵守</w:t>
      </w:r>
      <w:r>
        <w:rPr>
          <w:rFonts w:hint="eastAsia" w:ascii="Arial" w:hAnsi="Arial" w:eastAsia="宋体" w:cs="Arial"/>
          <w:lang w:eastAsia="zh-CN"/>
        </w:rPr>
        <w:t>的</w:t>
      </w:r>
      <w:r>
        <w:rPr>
          <w:rFonts w:ascii="Arial" w:hAnsi="Arial" w:eastAsia="宋体" w:cs="Arial"/>
          <w:lang w:eastAsia="zh-CN"/>
        </w:rPr>
        <w:t>使用说明书。如果辅助试剂制造商提供的说明和警告与贵公司提供的器械使用说明书有冲突，</w:t>
      </w:r>
      <w:r>
        <w:rPr>
          <w:rFonts w:hint="eastAsia" w:ascii="Arial" w:hAnsi="Arial" w:eastAsia="宋体" w:cs="Arial"/>
          <w:lang w:eastAsia="zh-CN"/>
        </w:rPr>
        <w:t>则</w:t>
      </w:r>
      <w:r>
        <w:rPr>
          <w:rFonts w:ascii="Arial" w:hAnsi="Arial" w:eastAsia="宋体" w:cs="Arial"/>
          <w:lang w:eastAsia="zh-CN"/>
        </w:rPr>
        <w:t>贵公司必须评估并解决用户可能错误地遵守由辅助试剂制造商直接提供的标签并可能使器械获得无效或错误试验结果的风险。我们注意到在某些情况下，器械标签中的声明可能不够充分，</w:t>
      </w:r>
      <w:r>
        <w:rPr>
          <w:rFonts w:hint="eastAsia" w:ascii="Arial" w:hAnsi="Arial" w:eastAsia="宋体" w:cs="Arial"/>
          <w:lang w:eastAsia="zh-CN"/>
        </w:rPr>
        <w:t>无法</w:t>
      </w:r>
      <w:r>
        <w:rPr>
          <w:rFonts w:ascii="Arial" w:hAnsi="Arial" w:eastAsia="宋体" w:cs="Arial"/>
          <w:lang w:eastAsia="zh-CN"/>
        </w:rPr>
        <w:t>解决由该类冲突造成的风险。</w:t>
      </w:r>
    </w:p>
    <w:p w14:paraId="50F16E2A">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10" w:name="_Toc497125122"/>
      <w:r>
        <w:rPr>
          <w:rFonts w:ascii="Arial" w:hAnsi="Arial" w:eastAsia="宋体" w:cs="Arial"/>
          <w:sz w:val="28"/>
          <w:szCs w:val="28"/>
          <w:lang w:eastAsia="zh-CN"/>
        </w:rPr>
        <w:t>VIII（E）.</w:t>
      </w:r>
      <w:r>
        <w:rPr>
          <w:rFonts w:ascii="Arial" w:hAnsi="Arial" w:eastAsia="宋体" w:cs="Arial"/>
          <w:sz w:val="28"/>
          <w:szCs w:val="28"/>
          <w:lang w:eastAsia="zh-CN"/>
        </w:rPr>
        <w:tab/>
      </w:r>
      <w:bookmarkStart w:id="111" w:name="_bookmark43"/>
      <w:bookmarkEnd w:id="111"/>
      <w:r>
        <w:rPr>
          <w:rFonts w:ascii="Arial" w:hAnsi="Arial" w:eastAsia="宋体" w:cs="Arial"/>
          <w:sz w:val="28"/>
          <w:szCs w:val="28"/>
          <w:lang w:eastAsia="zh-CN"/>
        </w:rPr>
        <w:t>质量控制</w:t>
      </w:r>
      <w:bookmarkEnd w:id="110"/>
    </w:p>
    <w:p w14:paraId="3DA4BCBF">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包装说明书内的质量控制建议必须清晰说明试剂盒必须使用哪些对照品和对照品的预期结果。如果器械内包含对照品，510（k）提交资料中必须包含对照品规格。</w:t>
      </w:r>
    </w:p>
    <w:p w14:paraId="6E9F7AF9">
      <w:pPr>
        <w:overflowPunct w:val="0"/>
        <w:snapToGrid w:val="0"/>
        <w:spacing w:after="120" w:afterLines="50" w:line="300" w:lineRule="auto"/>
        <w:jc w:val="both"/>
        <w:rPr>
          <w:rFonts w:ascii="Arial" w:hAnsi="Arial" w:eastAsia="宋体" w:cs="Arial"/>
          <w:sz w:val="24"/>
          <w:szCs w:val="24"/>
          <w:lang w:eastAsia="zh-CN"/>
        </w:rPr>
      </w:pPr>
    </w:p>
    <w:p w14:paraId="783C07A1">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12" w:name="_Toc497125123"/>
      <w:r>
        <w:rPr>
          <w:rFonts w:ascii="Arial" w:hAnsi="Arial" w:eastAsia="宋体" w:cs="Arial"/>
          <w:sz w:val="28"/>
          <w:szCs w:val="28"/>
          <w:lang w:eastAsia="zh-CN"/>
        </w:rPr>
        <w:t>VIII（F）.</w:t>
      </w:r>
      <w:r>
        <w:rPr>
          <w:rFonts w:ascii="Arial" w:hAnsi="Arial" w:eastAsia="宋体" w:cs="Arial"/>
          <w:sz w:val="28"/>
          <w:szCs w:val="28"/>
          <w:lang w:eastAsia="zh-CN"/>
        </w:rPr>
        <w:tab/>
      </w:r>
      <w:bookmarkStart w:id="113" w:name="_bookmark44"/>
      <w:bookmarkEnd w:id="113"/>
      <w:r>
        <w:rPr>
          <w:rFonts w:ascii="Arial" w:hAnsi="Arial" w:eastAsia="宋体" w:cs="Arial"/>
          <w:sz w:val="28"/>
          <w:szCs w:val="28"/>
          <w:lang w:eastAsia="zh-CN"/>
        </w:rPr>
        <w:t>警告、注意事项和限制</w:t>
      </w:r>
      <w:bookmarkEnd w:id="112"/>
    </w:p>
    <w:p w14:paraId="72BF99E5">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除与贵公司具体试剂盒相关的任何其他限制和警告外，限制部分必须包含</w:t>
      </w:r>
      <w:r>
        <w:rPr>
          <w:rFonts w:hint="eastAsia" w:ascii="Arial" w:hAnsi="Arial" w:eastAsia="宋体" w:cs="Arial"/>
          <w:lang w:eastAsia="zh-CN"/>
        </w:rPr>
        <w:t>以下</w:t>
      </w:r>
      <w:r>
        <w:rPr>
          <w:rFonts w:ascii="Arial" w:hAnsi="Arial" w:eastAsia="宋体" w:cs="Arial"/>
          <w:lang w:eastAsia="zh-CN"/>
        </w:rPr>
        <w:t>声明（如果适用）：</w:t>
      </w:r>
    </w:p>
    <w:p w14:paraId="6EE46FC0">
      <w:pPr>
        <w:pStyle w:val="3"/>
        <w:numPr>
          <w:ilvl w:val="0"/>
          <w:numId w:val="12"/>
        </w:numPr>
        <w:tabs>
          <w:tab w:val="left" w:pos="993"/>
        </w:tabs>
        <w:overflowPunct w:val="0"/>
        <w:snapToGrid w:val="0"/>
        <w:spacing w:after="120" w:afterLines="50" w:line="300" w:lineRule="auto"/>
        <w:ind w:left="993" w:leftChars="223" w:hanging="502"/>
        <w:jc w:val="both"/>
        <w:rPr>
          <w:rFonts w:ascii="Arial" w:hAnsi="Arial" w:eastAsia="宋体" w:cs="Arial"/>
          <w:lang w:eastAsia="zh-CN"/>
        </w:rPr>
      </w:pPr>
      <w:r>
        <w:rPr>
          <w:rFonts w:ascii="Arial" w:hAnsi="Arial" w:eastAsia="宋体" w:cs="Arial"/>
          <w:lang w:eastAsia="zh-CN"/>
        </w:rPr>
        <w:t>只有受过程序培训的人员才能使用该试剂盒。</w:t>
      </w:r>
      <w:r>
        <w:rPr>
          <w:rFonts w:hint="eastAsia" w:ascii="Arial" w:hAnsi="Arial" w:eastAsia="宋体" w:cs="Arial"/>
          <w:lang w:eastAsia="zh-CN"/>
        </w:rPr>
        <w:t>未</w:t>
      </w:r>
      <w:r>
        <w:rPr>
          <w:rFonts w:ascii="Arial" w:hAnsi="Arial" w:eastAsia="宋体" w:cs="Arial"/>
          <w:lang w:eastAsia="zh-CN"/>
        </w:rPr>
        <w:t>按照本说明书的指导操作可能导致错误结果。</w:t>
      </w:r>
    </w:p>
    <w:p w14:paraId="49A6C736">
      <w:pPr>
        <w:pStyle w:val="3"/>
        <w:numPr>
          <w:ilvl w:val="1"/>
          <w:numId w:val="1"/>
        </w:numPr>
        <w:tabs>
          <w:tab w:val="left" w:pos="1008"/>
        </w:tabs>
        <w:overflowPunct w:val="0"/>
        <w:snapToGrid w:val="0"/>
        <w:spacing w:after="120" w:afterLines="50" w:line="300" w:lineRule="auto"/>
        <w:ind w:left="993" w:leftChars="223" w:hanging="502"/>
        <w:jc w:val="both"/>
        <w:rPr>
          <w:rFonts w:ascii="Arial" w:hAnsi="Arial" w:eastAsia="宋体" w:cs="Arial"/>
          <w:lang w:eastAsia="zh-CN"/>
        </w:rPr>
      </w:pPr>
      <w:r>
        <w:rPr>
          <w:rFonts w:ascii="Arial" w:hAnsi="Arial" w:eastAsia="宋体" w:cs="Arial"/>
          <w:lang w:eastAsia="zh-CN"/>
        </w:rPr>
        <w:t>未评估卫生棉条使用、灌洗和样本收集变量对</w:t>
      </w:r>
      <w:r>
        <w:rPr>
          <w:rFonts w:ascii="Arial" w:hAnsi="Arial" w:eastAsia="宋体" w:cs="Arial"/>
          <w:i/>
          <w:lang w:eastAsia="zh-CN"/>
        </w:rPr>
        <w:t>阴道毛滴虫</w:t>
      </w:r>
      <w:r>
        <w:rPr>
          <w:rFonts w:ascii="Arial" w:hAnsi="Arial" w:eastAsia="宋体" w:cs="Arial"/>
          <w:lang w:eastAsia="zh-CN"/>
        </w:rPr>
        <w:t>检测的影响。</w:t>
      </w:r>
    </w:p>
    <w:p w14:paraId="42795A93">
      <w:pPr>
        <w:pStyle w:val="3"/>
        <w:numPr>
          <w:ilvl w:val="1"/>
          <w:numId w:val="1"/>
        </w:numPr>
        <w:tabs>
          <w:tab w:val="left" w:pos="1008"/>
        </w:tabs>
        <w:overflowPunct w:val="0"/>
        <w:snapToGrid w:val="0"/>
        <w:spacing w:after="120" w:afterLines="50" w:line="300" w:lineRule="auto"/>
        <w:ind w:left="993" w:leftChars="223" w:hanging="502"/>
        <w:jc w:val="both"/>
        <w:rPr>
          <w:rFonts w:ascii="Arial" w:hAnsi="Arial" w:eastAsia="宋体" w:cs="Arial"/>
          <w:lang w:eastAsia="zh-CN"/>
        </w:rPr>
      </w:pPr>
      <w:bookmarkStart w:id="114" w:name="OLE_LINK57"/>
      <w:bookmarkStart w:id="115" w:name="OLE_LINK58"/>
      <w:r>
        <w:rPr>
          <w:rFonts w:ascii="Arial" w:hAnsi="Arial" w:eastAsia="宋体" w:cs="Arial"/>
          <w:i/>
          <w:lang w:eastAsia="zh-CN"/>
        </w:rPr>
        <w:t>阴道毛滴虫</w:t>
      </w:r>
      <w:r>
        <w:rPr>
          <w:rFonts w:ascii="Arial" w:hAnsi="Arial" w:eastAsia="宋体" w:cs="Arial"/>
          <w:lang w:eastAsia="zh-CN"/>
        </w:rPr>
        <w:t>阳性类黏蛋白样本</w:t>
      </w:r>
      <w:bookmarkEnd w:id="114"/>
      <w:bookmarkEnd w:id="115"/>
      <w:r>
        <w:rPr>
          <w:rFonts w:ascii="Arial" w:hAnsi="Arial" w:eastAsia="宋体" w:cs="Arial"/>
          <w:lang w:eastAsia="zh-CN"/>
        </w:rPr>
        <w:t>可能会减少。为确保恰当的宫颈内取样，必须去除过多的粘液。</w:t>
      </w:r>
    </w:p>
    <w:p w14:paraId="62D597FD">
      <w:pPr>
        <w:pStyle w:val="3"/>
        <w:numPr>
          <w:ilvl w:val="1"/>
          <w:numId w:val="1"/>
        </w:numPr>
        <w:tabs>
          <w:tab w:val="left" w:pos="1008"/>
        </w:tabs>
        <w:overflowPunct w:val="0"/>
        <w:snapToGrid w:val="0"/>
        <w:spacing w:after="120" w:afterLines="50" w:line="300" w:lineRule="auto"/>
        <w:ind w:left="993" w:leftChars="223" w:hanging="502"/>
        <w:jc w:val="both"/>
        <w:rPr>
          <w:rFonts w:ascii="Arial" w:hAnsi="Arial" w:eastAsia="宋体" w:cs="Arial"/>
          <w:lang w:eastAsia="zh-CN"/>
        </w:rPr>
      </w:pPr>
      <w:r>
        <w:rPr>
          <w:rFonts w:ascii="Arial" w:hAnsi="Arial" w:eastAsia="宋体" w:cs="Arial"/>
          <w:lang w:eastAsia="zh-CN"/>
        </w:rPr>
        <w:t>尿液、阴道拭子</w:t>
      </w:r>
      <w:r>
        <w:rPr>
          <w:rFonts w:hint="eastAsia" w:ascii="Arial" w:hAnsi="Arial" w:eastAsia="宋体" w:cs="Arial"/>
          <w:lang w:eastAsia="zh-CN"/>
        </w:rPr>
        <w:t>和保存液液体巴氏涂片样本取样不</w:t>
      </w:r>
      <w:r>
        <w:rPr>
          <w:rFonts w:ascii="Arial" w:hAnsi="Arial" w:eastAsia="宋体" w:cs="Arial"/>
          <w:lang w:eastAsia="zh-CN"/>
        </w:rPr>
        <w:t>能替代用于诊断女性泌尿生殖道感染的宫颈检查和宫颈内样本。患者可能有由其他原因或</w:t>
      </w:r>
      <w:r>
        <w:rPr>
          <w:rFonts w:ascii="Arial" w:hAnsi="Arial" w:eastAsia="宋体" w:cs="Arial"/>
          <w:i/>
          <w:lang w:eastAsia="zh-CN"/>
        </w:rPr>
        <w:t>阴道毛滴虫</w:t>
      </w:r>
      <w:r>
        <w:rPr>
          <w:rFonts w:ascii="Arial" w:hAnsi="Arial" w:eastAsia="宋体" w:cs="Arial"/>
          <w:lang w:eastAsia="zh-CN"/>
        </w:rPr>
        <w:t>与其他生物体合并感染导致的宫颈炎、尿道炎、尿路感染或阴道感染。</w:t>
      </w:r>
    </w:p>
    <w:p w14:paraId="55A370FF">
      <w:pPr>
        <w:pStyle w:val="3"/>
        <w:numPr>
          <w:ilvl w:val="1"/>
          <w:numId w:val="1"/>
        </w:numPr>
        <w:tabs>
          <w:tab w:val="left" w:pos="1008"/>
        </w:tabs>
        <w:overflowPunct w:val="0"/>
        <w:snapToGrid w:val="0"/>
        <w:spacing w:after="120" w:afterLines="50" w:line="300" w:lineRule="auto"/>
        <w:ind w:left="993" w:leftChars="223" w:hanging="502"/>
        <w:jc w:val="both"/>
        <w:rPr>
          <w:rFonts w:ascii="Arial" w:hAnsi="Arial" w:eastAsia="宋体" w:cs="Arial"/>
          <w:lang w:eastAsia="zh-CN"/>
        </w:rPr>
      </w:pPr>
      <w:r>
        <w:rPr>
          <w:rFonts w:ascii="Arial" w:hAnsi="Arial" w:eastAsia="宋体" w:cs="Arial"/>
          <w:lang w:eastAsia="zh-CN"/>
        </w:rPr>
        <w:t>仅测试了试剂盒对于指定样本类型的性能。还未评估器械对于其他样本类型的性能。</w:t>
      </w:r>
    </w:p>
    <w:p w14:paraId="54CA4947">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br w:type="page"/>
      </w:r>
      <w:r>
        <w:rPr>
          <w:rFonts w:ascii="Arial" w:hAnsi="Arial" w:eastAsia="宋体" w:cs="Arial"/>
          <w:lang w:eastAsia="zh-CN"/>
        </w:rPr>
        <w:t>可靠</w:t>
      </w:r>
      <w:r>
        <w:rPr>
          <w:rFonts w:hint="eastAsia" w:ascii="Arial" w:hAnsi="Arial" w:eastAsia="宋体" w:cs="Arial"/>
          <w:lang w:eastAsia="zh-CN"/>
        </w:rPr>
        <w:t>性</w:t>
      </w:r>
      <w:r>
        <w:rPr>
          <w:rFonts w:ascii="Arial" w:hAnsi="Arial" w:eastAsia="宋体" w:cs="Arial"/>
          <w:lang w:eastAsia="zh-CN"/>
        </w:rPr>
        <w:t>结果取决于充足的样本收集。由于该试剂盒所用的运输系统不允许用显微镜评估样本的充分性，因此有必要对医生进行恰当样本收集技术的培训。相关指导见</w:t>
      </w:r>
      <w:r>
        <w:rPr>
          <w:rFonts w:ascii="Arial" w:hAnsi="Arial" w:eastAsia="宋体" w:cs="Arial"/>
          <w:i/>
          <w:lang w:eastAsia="zh-CN"/>
        </w:rPr>
        <w:t>样本收集和储存</w:t>
      </w:r>
      <w:r>
        <w:rPr>
          <w:rFonts w:ascii="Arial" w:hAnsi="Arial" w:eastAsia="宋体" w:cs="Arial"/>
          <w:lang w:eastAsia="zh-CN"/>
        </w:rPr>
        <w:t>。更详细的信息参考适当的使用说明。</w:t>
      </w:r>
    </w:p>
    <w:p w14:paraId="015EA7BE">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t>由于经过适当的抗菌治疗后核酸仍可能存在，因此不能用试剂盒确定治疗失败或成功。</w:t>
      </w:r>
    </w:p>
    <w:p w14:paraId="302D3031">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t>必须结合医生可获得的其他临床数据解释结果。</w:t>
      </w:r>
    </w:p>
    <w:p w14:paraId="69E924B6">
      <w:pPr>
        <w:pStyle w:val="3"/>
        <w:numPr>
          <w:ilvl w:val="1"/>
          <w:numId w:val="1"/>
        </w:numPr>
        <w:tabs>
          <w:tab w:val="left" w:pos="1008"/>
        </w:tabs>
        <w:overflowPunct w:val="0"/>
        <w:snapToGrid w:val="0"/>
        <w:spacing w:after="120" w:afterLines="50" w:line="300" w:lineRule="auto"/>
        <w:ind w:left="797" w:leftChars="172" w:hanging="419"/>
        <w:jc w:val="both"/>
        <w:rPr>
          <w:rFonts w:ascii="Arial" w:hAnsi="Arial" w:eastAsia="宋体" w:cs="Arial"/>
          <w:lang w:eastAsia="zh-CN"/>
        </w:rPr>
      </w:pPr>
      <w:r>
        <w:rPr>
          <w:rFonts w:ascii="Arial" w:hAnsi="Arial" w:eastAsia="宋体" w:cs="Arial"/>
          <w:lang w:eastAsia="zh-CN"/>
        </w:rPr>
        <w:t>由于试验结果取决于充足的样本收集，因此阴性结果不排除存在感染的可能性。试验结果可能受不恰当样本收集、技术误差、样本混合或目标水平低于试剂盒检测限的影响。</w:t>
      </w:r>
    </w:p>
    <w:p w14:paraId="41621974">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16" w:name="_Toc497125124"/>
      <w:r>
        <w:rPr>
          <w:rFonts w:ascii="Arial" w:hAnsi="Arial" w:eastAsia="宋体" w:cs="Arial"/>
          <w:sz w:val="28"/>
          <w:szCs w:val="28"/>
          <w:lang w:eastAsia="zh-CN"/>
        </w:rPr>
        <w:t>VIII（G）.</w:t>
      </w:r>
      <w:r>
        <w:rPr>
          <w:rFonts w:ascii="Arial" w:hAnsi="Arial" w:eastAsia="宋体" w:cs="Arial"/>
          <w:sz w:val="28"/>
          <w:szCs w:val="28"/>
          <w:lang w:eastAsia="zh-CN"/>
        </w:rPr>
        <w:tab/>
      </w:r>
      <w:bookmarkStart w:id="117" w:name="_bookmark45"/>
      <w:bookmarkEnd w:id="117"/>
      <w:r>
        <w:rPr>
          <w:rFonts w:ascii="Arial" w:hAnsi="Arial" w:eastAsia="宋体" w:cs="Arial"/>
          <w:sz w:val="28"/>
          <w:szCs w:val="28"/>
          <w:lang w:eastAsia="zh-CN"/>
        </w:rPr>
        <w:t>样本收集</w:t>
      </w:r>
      <w:bookmarkEnd w:id="116"/>
    </w:p>
    <w:p w14:paraId="2D5BF5A9">
      <w:pPr>
        <w:pStyle w:val="3"/>
        <w:overflowPunct w:val="0"/>
        <w:snapToGrid w:val="0"/>
        <w:spacing w:after="120" w:afterLines="50" w:line="300" w:lineRule="auto"/>
        <w:ind w:left="0" w:hanging="1"/>
        <w:jc w:val="both"/>
        <w:rPr>
          <w:rFonts w:ascii="Arial" w:hAnsi="Arial" w:eastAsia="宋体" w:cs="Arial"/>
          <w:lang w:eastAsia="zh-CN"/>
        </w:rPr>
      </w:pPr>
      <w:r>
        <w:rPr>
          <w:rFonts w:ascii="Arial" w:hAnsi="Arial" w:eastAsia="宋体" w:cs="Arial"/>
          <w:lang w:eastAsia="zh-CN"/>
        </w:rPr>
        <w:t>必须陈述如何收集、储存和运输样本，且不充分或不适当的样本收集、储存、冻结/解冻循环次数和运输可能</w:t>
      </w:r>
      <w:r>
        <w:rPr>
          <w:rFonts w:hint="eastAsia" w:ascii="Arial" w:hAnsi="Arial" w:eastAsia="宋体" w:cs="Arial"/>
          <w:lang w:eastAsia="zh-CN"/>
        </w:rPr>
        <w:t>产生</w:t>
      </w:r>
      <w:r>
        <w:rPr>
          <w:rFonts w:ascii="Arial" w:hAnsi="Arial" w:eastAsia="宋体" w:cs="Arial"/>
          <w:lang w:eastAsia="zh-CN"/>
        </w:rPr>
        <w:t>假阴性试验结果。</w:t>
      </w:r>
    </w:p>
    <w:p w14:paraId="30737BCD">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18" w:name="_Toc497125125"/>
      <w:r>
        <w:rPr>
          <w:rFonts w:ascii="Arial" w:hAnsi="Arial" w:eastAsia="宋体" w:cs="Arial"/>
          <w:sz w:val="28"/>
          <w:szCs w:val="28"/>
          <w:lang w:eastAsia="zh-CN"/>
        </w:rPr>
        <w:t>VIII（H）.</w:t>
      </w:r>
      <w:r>
        <w:rPr>
          <w:rFonts w:ascii="Arial" w:hAnsi="Arial" w:eastAsia="宋体" w:cs="Arial"/>
          <w:sz w:val="28"/>
          <w:szCs w:val="28"/>
          <w:lang w:eastAsia="zh-CN"/>
        </w:rPr>
        <w:tab/>
      </w:r>
      <w:bookmarkStart w:id="119" w:name="_bookmark46"/>
      <w:bookmarkEnd w:id="119"/>
      <w:r>
        <w:rPr>
          <w:rFonts w:ascii="Arial" w:hAnsi="Arial" w:eastAsia="宋体" w:cs="Arial"/>
          <w:sz w:val="28"/>
          <w:szCs w:val="28"/>
          <w:lang w:eastAsia="zh-CN"/>
        </w:rPr>
        <w:t>解释试验结果</w:t>
      </w:r>
      <w:bookmarkEnd w:id="118"/>
    </w:p>
    <w:p w14:paraId="2F2D202E">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包装说明书内的试验结果解释部分必须列出所有可能的试剂盒输出结果和如何确定是否存在</w:t>
      </w:r>
      <w:r>
        <w:rPr>
          <w:rFonts w:ascii="Arial" w:hAnsi="Arial" w:eastAsia="宋体" w:cs="Arial"/>
          <w:i/>
          <w:lang w:eastAsia="zh-CN"/>
        </w:rPr>
        <w:t>阴道毛滴虫</w:t>
      </w:r>
      <w:r>
        <w:rPr>
          <w:rFonts w:ascii="Arial" w:hAnsi="Arial" w:eastAsia="宋体" w:cs="Arial"/>
          <w:lang w:eastAsia="zh-CN"/>
        </w:rPr>
        <w:t>核酸及试剂盒对照品的预期结果。如果内部对照是确定有效阳性和阴性结果的一部分，</w:t>
      </w:r>
      <w:r>
        <w:rPr>
          <w:rFonts w:hint="eastAsia" w:ascii="Arial" w:hAnsi="Arial" w:eastAsia="宋体" w:cs="Arial"/>
          <w:lang w:eastAsia="zh-CN"/>
        </w:rPr>
        <w:t>则</w:t>
      </w:r>
      <w:r>
        <w:rPr>
          <w:rFonts w:ascii="Arial" w:hAnsi="Arial" w:eastAsia="宋体" w:cs="Arial"/>
          <w:lang w:eastAsia="zh-CN"/>
        </w:rPr>
        <w:t>必须提供对每种可能对照结果的解释和对</w:t>
      </w:r>
      <w:r>
        <w:rPr>
          <w:rFonts w:hint="eastAsia" w:ascii="Arial" w:hAnsi="Arial" w:eastAsia="宋体" w:cs="Arial"/>
          <w:lang w:eastAsia="zh-CN"/>
        </w:rPr>
        <w:t>产生</w:t>
      </w:r>
      <w:r>
        <w:rPr>
          <w:rFonts w:ascii="Arial" w:hAnsi="Arial" w:eastAsia="宋体" w:cs="Arial"/>
          <w:lang w:eastAsia="zh-CN"/>
        </w:rPr>
        <w:t>任何无效或不确定结果后如何继续操作的建议。</w:t>
      </w:r>
    </w:p>
    <w:p w14:paraId="0EF01C1C">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如果测定存在模棱两可区</w:t>
      </w:r>
      <w:r>
        <w:rPr>
          <w:rFonts w:hint="eastAsia" w:ascii="Arial" w:hAnsi="Arial" w:eastAsia="宋体" w:cs="Arial"/>
          <w:lang w:eastAsia="zh-CN"/>
        </w:rPr>
        <w:t>域</w:t>
      </w:r>
      <w:r>
        <w:rPr>
          <w:rFonts w:ascii="Arial" w:hAnsi="Arial" w:eastAsia="宋体" w:cs="Arial"/>
          <w:lang w:eastAsia="zh-CN"/>
        </w:rPr>
        <w:t>，</w:t>
      </w:r>
      <w:r>
        <w:rPr>
          <w:rFonts w:hint="eastAsia" w:ascii="Arial" w:hAnsi="Arial" w:eastAsia="宋体" w:cs="Arial"/>
          <w:lang w:eastAsia="zh-CN"/>
        </w:rPr>
        <w:t>则</w:t>
      </w:r>
      <w:r>
        <w:rPr>
          <w:rFonts w:ascii="Arial" w:hAnsi="Arial" w:eastAsia="宋体" w:cs="Arial"/>
          <w:lang w:eastAsia="zh-CN"/>
        </w:rPr>
        <w:t>必须提供对模棱两可结果的解释和对</w:t>
      </w:r>
      <w:r>
        <w:rPr>
          <w:rFonts w:hint="eastAsia" w:ascii="Arial" w:hAnsi="Arial" w:eastAsia="宋体" w:cs="Arial"/>
          <w:lang w:eastAsia="zh-CN"/>
        </w:rPr>
        <w:t>产生</w:t>
      </w:r>
      <w:r>
        <w:rPr>
          <w:rFonts w:ascii="Arial" w:hAnsi="Arial" w:eastAsia="宋体" w:cs="Arial"/>
          <w:lang w:eastAsia="zh-CN"/>
        </w:rPr>
        <w:t>模棱两可结果后如何继续操作的建议。如果需要对无效或模棱两可结果进行重新测试，必须提供建议说明是否必须重复进行测试和必须如何执行重复测试（例如采用相同样本还是来自同一患者的新样本）。</w:t>
      </w:r>
    </w:p>
    <w:p w14:paraId="5ADF2241">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根据试验性能或其他器械特异因素的不同，可能需要其他资格。</w:t>
      </w:r>
    </w:p>
    <w:p w14:paraId="6B91A7D3">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20" w:name="_Toc497125126"/>
      <w:r>
        <w:rPr>
          <w:rFonts w:ascii="Arial" w:hAnsi="Arial" w:eastAsia="宋体" w:cs="Arial"/>
          <w:sz w:val="28"/>
          <w:szCs w:val="28"/>
          <w:lang w:eastAsia="zh-CN"/>
        </w:rPr>
        <w:t>VIII（I）.预期值</w:t>
      </w:r>
      <w:bookmarkEnd w:id="120"/>
    </w:p>
    <w:p w14:paraId="5FA9825A">
      <w:pPr>
        <w:pStyle w:val="3"/>
        <w:overflowPunct w:val="0"/>
        <w:snapToGrid w:val="0"/>
        <w:spacing w:after="120" w:afterLines="50" w:line="300" w:lineRule="auto"/>
        <w:ind w:left="0"/>
        <w:jc w:val="both"/>
        <w:rPr>
          <w:rFonts w:ascii="Arial" w:hAnsi="Arial" w:eastAsia="宋体" w:cs="Arial"/>
          <w:lang w:eastAsia="zh-CN"/>
        </w:rPr>
      </w:pPr>
      <w:r>
        <w:rPr>
          <w:rFonts w:hint="eastAsia" w:ascii="Arial" w:hAnsi="Arial" w:eastAsia="宋体" w:cs="Arial"/>
          <w:lang w:eastAsia="zh-CN"/>
        </w:rPr>
        <w:t>该</w:t>
      </w:r>
      <w:r>
        <w:rPr>
          <w:rFonts w:ascii="Arial" w:hAnsi="Arial" w:eastAsia="宋体" w:cs="Arial"/>
          <w:lang w:eastAsia="zh-CN"/>
        </w:rPr>
        <w:t>部分必须提供关于每种样本类型和每个收集中心预期结果的信息。必须总结用于确定预期值的样本数量、年龄、性别和人口统计资料信息。此外，必须利用临床性能研究中每种样本类型的敏感性和特异性估计计算不同假定患病率的PPV 和 NPV。</w:t>
      </w:r>
    </w:p>
    <w:p w14:paraId="3C6A348C">
      <w:pPr>
        <w:rPr>
          <w:rFonts w:ascii="Arial" w:hAnsi="Arial" w:eastAsia="宋体" w:cs="Arial"/>
          <w:b/>
          <w:bCs/>
          <w:sz w:val="28"/>
          <w:szCs w:val="28"/>
          <w:lang w:eastAsia="zh-CN"/>
        </w:rPr>
      </w:pPr>
      <w:r>
        <w:rPr>
          <w:rFonts w:ascii="Arial" w:hAnsi="Arial" w:eastAsia="宋体" w:cs="Arial"/>
          <w:sz w:val="28"/>
          <w:szCs w:val="28"/>
          <w:lang w:eastAsia="zh-CN"/>
        </w:rPr>
        <w:br w:type="page"/>
      </w:r>
    </w:p>
    <w:p w14:paraId="64E2568B">
      <w:pPr>
        <w:pStyle w:val="21"/>
        <w:tabs>
          <w:tab w:val="left" w:pos="1547"/>
        </w:tabs>
        <w:overflowPunct w:val="0"/>
        <w:snapToGrid w:val="0"/>
        <w:spacing w:after="120" w:afterLines="50" w:line="300" w:lineRule="auto"/>
        <w:ind w:left="0" w:firstLine="652" w:firstLineChars="232"/>
        <w:jc w:val="both"/>
        <w:rPr>
          <w:rFonts w:ascii="Arial" w:hAnsi="Arial" w:eastAsia="宋体" w:cs="Arial"/>
          <w:sz w:val="28"/>
          <w:szCs w:val="28"/>
          <w:lang w:eastAsia="zh-CN"/>
        </w:rPr>
      </w:pPr>
      <w:bookmarkStart w:id="121" w:name="_Toc497125127"/>
      <w:r>
        <w:rPr>
          <w:rFonts w:ascii="Arial" w:hAnsi="Arial" w:eastAsia="宋体" w:cs="Arial"/>
          <w:sz w:val="28"/>
          <w:szCs w:val="28"/>
          <w:lang w:eastAsia="zh-CN"/>
        </w:rPr>
        <w:t>VIII（J）.</w:t>
      </w:r>
      <w:bookmarkStart w:id="122" w:name="_bookmark48"/>
      <w:bookmarkEnd w:id="122"/>
      <w:r>
        <w:rPr>
          <w:rFonts w:ascii="Arial" w:hAnsi="Arial" w:eastAsia="宋体" w:cs="Arial"/>
          <w:sz w:val="28"/>
          <w:szCs w:val="28"/>
          <w:lang w:eastAsia="zh-CN"/>
        </w:rPr>
        <w:t>性能特点</w:t>
      </w:r>
      <w:bookmarkEnd w:id="121"/>
    </w:p>
    <w:p w14:paraId="715B878B">
      <w:pPr>
        <w:pStyle w:val="3"/>
        <w:overflowPunct w:val="0"/>
        <w:snapToGrid w:val="0"/>
        <w:spacing w:after="120" w:afterLines="50" w:line="300" w:lineRule="auto"/>
        <w:ind w:left="0"/>
        <w:jc w:val="both"/>
        <w:rPr>
          <w:rFonts w:ascii="Arial" w:hAnsi="Arial" w:eastAsia="宋体" w:cs="Arial"/>
          <w:lang w:eastAsia="zh-CN"/>
        </w:rPr>
      </w:pPr>
      <w:r>
        <w:rPr>
          <w:rFonts w:ascii="Arial" w:hAnsi="Arial" w:eastAsia="宋体" w:cs="Arial"/>
          <w:lang w:eastAsia="zh-CN"/>
        </w:rPr>
        <w:t>标签必须包含对本文件第VI 和 VII</w:t>
      </w:r>
      <w:r>
        <w:rPr>
          <w:rFonts w:hint="eastAsia" w:ascii="Arial" w:hAnsi="Arial" w:eastAsia="宋体" w:cs="Arial"/>
          <w:lang w:eastAsia="zh-CN"/>
        </w:rPr>
        <w:t>章</w:t>
      </w:r>
      <w:r>
        <w:rPr>
          <w:rFonts w:ascii="Arial" w:hAnsi="Arial" w:eastAsia="宋体" w:cs="Arial"/>
          <w:lang w:eastAsia="zh-CN"/>
        </w:rPr>
        <w:t>节中描述的研究设计和研究结果的总结，帮助用户解释试验结果并理解器械性能。</w:t>
      </w:r>
      <w:r>
        <w:rPr>
          <w:rFonts w:hint="eastAsia" w:ascii="Arial" w:hAnsi="Arial" w:eastAsia="宋体" w:cs="Arial"/>
          <w:lang w:eastAsia="zh-CN"/>
        </w:rPr>
        <w:t>该</w:t>
      </w:r>
      <w:r>
        <w:rPr>
          <w:rFonts w:ascii="Arial" w:hAnsi="Arial" w:eastAsia="宋体" w:cs="Arial"/>
          <w:lang w:eastAsia="zh-CN"/>
        </w:rPr>
        <w:t>部分必须包含对临床研究结果和分析性研究结果的描述。</w:t>
      </w:r>
    </w:p>
    <w:p w14:paraId="58728AEF">
      <w:pPr>
        <w:pStyle w:val="20"/>
        <w:numPr>
          <w:ilvl w:val="0"/>
          <w:numId w:val="1"/>
        </w:numPr>
        <w:tabs>
          <w:tab w:val="left" w:pos="508"/>
        </w:tabs>
        <w:overflowPunct w:val="0"/>
        <w:snapToGrid w:val="0"/>
        <w:spacing w:after="240" w:afterLines="100" w:line="300" w:lineRule="auto"/>
        <w:ind w:left="357" w:hanging="357"/>
        <w:jc w:val="both"/>
        <w:outlineLvl w:val="0"/>
        <w:rPr>
          <w:rFonts w:ascii="Arial" w:hAnsi="Arial" w:eastAsia="宋体" w:cs="Arial"/>
          <w:lang w:eastAsia="zh-CN"/>
        </w:rPr>
      </w:pPr>
      <w:bookmarkStart w:id="123" w:name="_bookmark49"/>
      <w:bookmarkEnd w:id="123"/>
      <w:bookmarkStart w:id="124" w:name="_Toc497125128"/>
      <w:r>
        <w:rPr>
          <w:rFonts w:ascii="Arial" w:hAnsi="Arial" w:eastAsia="宋体" w:cs="Arial"/>
          <w:lang w:eastAsia="zh-CN"/>
        </w:rPr>
        <w:t>参考文件</w:t>
      </w:r>
      <w:bookmarkEnd w:id="124"/>
    </w:p>
    <w:p w14:paraId="2EE150FA">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 xml:space="preserve">Workowski, K.A., Berman, S. 美国疾病控制与预防中心 （CDC） </w:t>
      </w:r>
      <w:r>
        <w:fldChar w:fldCharType="begin"/>
      </w:r>
      <w:r>
        <w:instrText xml:space="preserve"> HYPERLINK "http://www.cdc.gov/std/treatment/2010/vaginal-discharge.htm" \h </w:instrText>
      </w:r>
      <w:r>
        <w:fldChar w:fldCharType="separate"/>
      </w:r>
      <w:r>
        <w:rPr>
          <w:rFonts w:ascii="Arial" w:hAnsi="Arial" w:eastAsia="宋体" w:cs="Arial"/>
          <w:lang w:eastAsia="zh-CN"/>
        </w:rPr>
        <w:t>性传播疾病治疗指南，2010。</w:t>
      </w:r>
      <w:bookmarkStart w:id="125" w:name="OLE_LINK48"/>
      <w:bookmarkStart w:id="126" w:name="OLE_LINK50"/>
      <w:bookmarkStart w:id="127" w:name="OLE_LINK51"/>
      <w:bookmarkStart w:id="128" w:name="OLE_LINK49"/>
      <w:r>
        <w:rPr>
          <w:rFonts w:ascii="Arial" w:hAnsi="Arial" w:eastAsia="宋体" w:cs="Arial"/>
          <w:lang w:eastAsia="zh-CN"/>
        </w:rPr>
        <w:t>发病率和死亡率周报</w:t>
      </w:r>
      <w:bookmarkEnd w:id="125"/>
      <w:bookmarkEnd w:id="126"/>
      <w:bookmarkEnd w:id="127"/>
      <w:bookmarkEnd w:id="128"/>
      <w:r>
        <w:rPr>
          <w:rFonts w:ascii="Arial" w:hAnsi="Arial" w:eastAsia="宋体" w:cs="Arial"/>
          <w:lang w:eastAsia="zh-CN"/>
        </w:rPr>
        <w:t>建议和报告。2010</w:t>
      </w:r>
      <w:r>
        <w:rPr>
          <w:rFonts w:ascii="Arial" w:hAnsi="Arial" w:eastAsia="宋体" w:cs="Arial"/>
          <w:lang w:eastAsia="zh-CN"/>
        </w:rPr>
        <w:fldChar w:fldCharType="end"/>
      </w:r>
      <w:r>
        <w:rPr>
          <w:rFonts w:ascii="Arial" w:hAnsi="Arial" w:eastAsia="宋体" w:cs="Arial"/>
          <w:lang w:eastAsia="zh-CN"/>
        </w:rPr>
        <w:t>年12月 17日；59 （RR-12）:1-110。</w:t>
      </w:r>
    </w:p>
    <w:p w14:paraId="5CCD51F2">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临床和实验室标准协会。2005。保护实验室工作者免受职业获得性传染；已获批指南-第3版。CLSI文件M29-A3。临床和实验室标准协会，Wayne, PA。</w:t>
      </w:r>
    </w:p>
    <w:p w14:paraId="122689AA">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临床和实验室标准协会。2012。临床实验室测量程序检测能力评价；已获批指南-第2版。EP17-A2。临床和实验室标准协会，Wayne, PA。</w:t>
      </w:r>
    </w:p>
    <w:p w14:paraId="45093340">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临床和实验室标准协会。2005。临床化学中的干扰试验；已获批指南。EP07-A2。临床和实验室标准协会，Wayne, PA。</w:t>
      </w:r>
    </w:p>
    <w:p w14:paraId="2E477611">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 xml:space="preserve"> 临床和实验室标准协会。2012。利用受试者工作</w:t>
      </w:r>
      <w:r>
        <w:rPr>
          <w:rFonts w:hint="eastAsia" w:ascii="Arial" w:hAnsi="Arial" w:eastAsia="宋体" w:cs="Arial"/>
          <w:lang w:eastAsia="zh-CN"/>
        </w:rPr>
        <w:t>曲线</w:t>
      </w:r>
      <w:r>
        <w:rPr>
          <w:rFonts w:ascii="Arial" w:hAnsi="Arial" w:eastAsia="宋体" w:cs="Arial"/>
          <w:lang w:eastAsia="zh-CN"/>
        </w:rPr>
        <w:t>特征（ROC）平面图评估实验室检测的诊断正确性；第2版。EP24-A2。临床和实验室标准协会，Wayne, PA。</w:t>
      </w:r>
    </w:p>
    <w:p w14:paraId="5FF45F7A">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临床和实验室标准协会。2014。定量测量程序精密度的评价；已获批指南。EP05-A3。临床和实验室标准协会，Wayne, PA。</w:t>
      </w:r>
    </w:p>
    <w:p w14:paraId="59E63158">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临床和实验室标准协会。2008。定性试验性能评价的用户协议；已获批指南。EP12-A2。临床和实验室标准协会，Wayne, PA。</w:t>
      </w:r>
    </w:p>
    <w:p w14:paraId="49FDC50D">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临床和实验室标准协会。2014。用户对精密度验证和偏倚评估；已获批指南。EP15-A3。临床和实验室标准协会，Wayne, PA。</w:t>
      </w:r>
    </w:p>
    <w:p w14:paraId="3E3AC4B5">
      <w:pPr>
        <w:rPr>
          <w:rFonts w:ascii="Arial" w:hAnsi="Arial" w:eastAsia="宋体" w:cs="Arial"/>
          <w:sz w:val="24"/>
          <w:szCs w:val="24"/>
          <w:lang w:eastAsia="zh-CN"/>
        </w:rPr>
      </w:pPr>
      <w:r>
        <w:rPr>
          <w:rFonts w:ascii="Arial" w:hAnsi="Arial" w:eastAsia="宋体" w:cs="Arial"/>
          <w:lang w:eastAsia="zh-CN"/>
        </w:rPr>
        <w:br w:type="page"/>
      </w:r>
    </w:p>
    <w:p w14:paraId="4416FADD">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临床和实验室标准协会。2005。分子诊断方法中样本收集、运输、制备和储存；已获批指南。MM13-A。临床和实验室标准协会，Wayne, PA。</w:t>
      </w:r>
    </w:p>
    <w:p w14:paraId="3B68B73C">
      <w:pPr>
        <w:pStyle w:val="3"/>
        <w:numPr>
          <w:ilvl w:val="0"/>
          <w:numId w:val="13"/>
        </w:numPr>
        <w:tabs>
          <w:tab w:val="left" w:pos="468"/>
        </w:tabs>
        <w:overflowPunct w:val="0"/>
        <w:snapToGrid w:val="0"/>
        <w:spacing w:after="240" w:afterLines="100" w:line="300" w:lineRule="auto"/>
        <w:ind w:left="357" w:hanging="357"/>
        <w:jc w:val="both"/>
        <w:rPr>
          <w:rFonts w:ascii="Arial" w:hAnsi="Arial" w:eastAsia="宋体" w:cs="Arial"/>
          <w:lang w:eastAsia="zh-CN"/>
        </w:rPr>
      </w:pPr>
      <w:r>
        <w:rPr>
          <w:rFonts w:ascii="Arial" w:hAnsi="Arial" w:eastAsia="宋体" w:cs="Arial"/>
          <w:lang w:eastAsia="zh-CN"/>
        </w:rPr>
        <w:t>Haeckel R. （1991</w:t>
      </w:r>
      <w:bookmarkStart w:id="129" w:name="OLE_LINK52"/>
      <w:bookmarkStart w:id="130" w:name="OLE_LINK53"/>
      <w:r>
        <w:rPr>
          <w:rFonts w:ascii="Arial" w:hAnsi="Arial" w:eastAsia="宋体" w:cs="Arial"/>
          <w:lang w:eastAsia="zh-CN"/>
        </w:rPr>
        <w:t>）对描述和衡量</w:t>
      </w:r>
      <w:bookmarkStart w:id="131" w:name="OLE_LINK42"/>
      <w:r>
        <w:rPr>
          <w:rFonts w:ascii="Arial" w:hAnsi="Arial" w:eastAsia="宋体" w:cs="Arial"/>
          <w:lang w:eastAsia="zh-CN"/>
        </w:rPr>
        <w:t>临床化学中携带污染影响的建议</w:t>
      </w:r>
      <w:bookmarkEnd w:id="129"/>
      <w:bookmarkEnd w:id="130"/>
      <w:r>
        <w:rPr>
          <w:rFonts w:ascii="Arial" w:hAnsi="Arial" w:eastAsia="宋体" w:cs="Arial"/>
          <w:lang w:eastAsia="zh-CN"/>
        </w:rPr>
        <w:t>。</w:t>
      </w:r>
      <w:bookmarkEnd w:id="131"/>
      <w:r>
        <w:rPr>
          <w:rFonts w:ascii="Arial" w:hAnsi="Arial" w:eastAsia="宋体" w:cs="Arial"/>
          <w:lang w:eastAsia="zh-CN"/>
        </w:rPr>
        <w:t>纯粹和应用化学 63:302-306。</w:t>
      </w:r>
    </w:p>
    <w:p w14:paraId="6D680149">
      <w:pPr>
        <w:snapToGrid w:val="0"/>
        <w:spacing w:after="120" w:afterLines="50" w:line="300" w:lineRule="auto"/>
        <w:jc w:val="center"/>
        <w:rPr>
          <w:rFonts w:hint="eastAsia" w:eastAsia="宋体"/>
          <w:lang w:eastAsia="zh-CN"/>
        </w:rPr>
      </w:pPr>
    </w:p>
    <w:p w14:paraId="61A92863">
      <w:pPr>
        <w:snapToGrid w:val="0"/>
        <w:spacing w:after="120" w:afterLines="50" w:line="300" w:lineRule="auto"/>
        <w:jc w:val="center"/>
        <w:rPr>
          <w:rFonts w:hint="eastAsia" w:eastAsia="宋体"/>
          <w:lang w:eastAsia="zh-CN"/>
        </w:rPr>
      </w:pPr>
    </w:p>
    <w:p w14:paraId="49E75124">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2240" w:h="15840"/>
      <w:pgMar w:top="1440" w:right="1800" w:bottom="1440" w:left="1800" w:header="0" w:footer="77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823701453"/>
      <w:docPartObj>
        <w:docPartGallery w:val="AutoText"/>
      </w:docPartObj>
    </w:sdtPr>
    <w:sdtEndPr>
      <w:rPr>
        <w:rFonts w:ascii="Arial" w:hAnsi="Arial" w:cs="Arial"/>
        <w:sz w:val="21"/>
        <w:szCs w:val="21"/>
      </w:rPr>
    </w:sdtEndPr>
    <w:sdtContent>
      <w:p w14:paraId="4E5E394A">
        <w:pPr>
          <w:pStyle w:val="6"/>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25</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B5B1AAF">
      <w:pPr>
        <w:pStyle w:val="10"/>
        <w:rPr>
          <w:rFonts w:ascii="Arial" w:hAnsi="Arial" w:cs="Arial"/>
          <w:lang w:eastAsia="zh-CN"/>
        </w:rPr>
      </w:pPr>
      <w:r>
        <w:rPr>
          <w:rStyle w:val="14"/>
          <w:rFonts w:ascii="Arial" w:hAnsi="Arial" w:cs="Arial"/>
        </w:rPr>
        <w:footnoteRef/>
      </w:r>
      <w:r>
        <w:rPr>
          <w:rFonts w:ascii="Arial" w:hAnsi="Arial" w:cs="Arial"/>
        </w:rPr>
        <w:t xml:space="preserve"> </w:t>
      </w:r>
      <w:r>
        <w:fldChar w:fldCharType="begin"/>
      </w:r>
      <w:r>
        <w:instrText xml:space="preserve"> HYPERLINK "http://www.cdc.gov/std/trichomonas/STDFact-Trichomoniasis.htm" \h </w:instrText>
      </w:r>
      <w:r>
        <w:fldChar w:fldCharType="separate"/>
      </w:r>
      <w:r>
        <w:rPr>
          <w:rFonts w:ascii="Arial" w:hAnsi="Arial" w:eastAsia="宋体" w:cs="Arial"/>
          <w:u w:val="single" w:color="000000"/>
        </w:rPr>
        <w:t>http://www.cdc.gov/std/trichomonas/STDFact-Trichomoniasis.htm</w:t>
      </w:r>
      <w:r>
        <w:rPr>
          <w:rFonts w:ascii="Arial" w:hAnsi="Arial" w:eastAsia="宋体" w:cs="Arial"/>
          <w:u w:val="single" w:color="000000"/>
        </w:rPr>
        <w:fldChar w:fldCharType="end"/>
      </w:r>
    </w:p>
  </w:footnote>
  <w:footnote w:id="1">
    <w:p w14:paraId="3148721E">
      <w:pPr>
        <w:pStyle w:val="10"/>
        <w:rPr>
          <w:rFonts w:ascii="Arial" w:hAnsi="Arial" w:cs="Arial"/>
          <w:lang w:eastAsia="zh-CN"/>
        </w:rPr>
      </w:pPr>
      <w:r>
        <w:rPr>
          <w:rStyle w:val="14"/>
          <w:rFonts w:ascii="Arial" w:hAnsi="Arial" w:cs="Arial"/>
        </w:rPr>
        <w:footnoteRef/>
      </w:r>
      <w:r>
        <w:rPr>
          <w:rFonts w:ascii="Arial" w:hAnsi="Arial" w:cs="Arial"/>
          <w:lang w:eastAsia="zh-CN"/>
        </w:rPr>
        <w:t xml:space="preserve"> </w:t>
      </w:r>
      <w:r>
        <w:rPr>
          <w:rFonts w:ascii="Arial" w:hAnsi="Arial" w:eastAsia="宋体" w:cs="Arial"/>
          <w:lang w:eastAsia="zh-CN"/>
        </w:rPr>
        <w:t>有关510(k)提交的其他信息，参考21 CFR 807.87 和</w:t>
      </w:r>
      <w:bookmarkStart w:id="132" w:name="OLE_LINK269"/>
      <w:bookmarkStart w:id="133" w:name="OLE_LINK270"/>
      <w:r>
        <w:rPr>
          <w:rFonts w:ascii="Arial" w:hAnsi="Arial" w:eastAsia="宋体" w:cs="Arial"/>
          <w:lang w:eastAsia="zh-CN"/>
        </w:rPr>
        <w:t>器械和放射卫生中心</w:t>
      </w:r>
      <w:bookmarkEnd w:id="132"/>
      <w:bookmarkEnd w:id="133"/>
      <w:r>
        <w:rPr>
          <w:rFonts w:hint="eastAsia" w:ascii="Arial" w:hAnsi="Arial" w:eastAsia="宋体" w:cs="Arial"/>
          <w:lang w:eastAsia="zh-CN"/>
        </w:rPr>
        <w:t>（</w:t>
      </w:r>
      <w:r>
        <w:rPr>
          <w:rFonts w:ascii="Arial" w:hAnsi="Arial" w:eastAsia="宋体" w:cs="Arial"/>
          <w:lang w:eastAsia="zh-CN"/>
        </w:rPr>
        <w:t>CDRH</w:t>
      </w:r>
      <w:r>
        <w:rPr>
          <w:rFonts w:hint="eastAsia" w:ascii="Arial" w:hAnsi="Arial" w:eastAsia="宋体" w:cs="Arial"/>
          <w:lang w:eastAsia="zh-CN"/>
        </w:rPr>
        <w:t>）</w:t>
      </w:r>
      <w:r>
        <w:rPr>
          <w:rFonts w:ascii="Arial" w:hAnsi="Arial" w:eastAsia="宋体" w:cs="Arial"/>
          <w:lang w:eastAsia="zh-CN"/>
        </w:rPr>
        <w:t>器械建议</w:t>
      </w:r>
      <w:r>
        <w:fldChar w:fldCharType="begin"/>
      </w:r>
      <w:r>
        <w:instrText xml:space="preserve"> HYPERLINK "http://www.fda.gov/MedicalDevices/DeviceRegulationandGuidance/default.htm)" \h </w:instrText>
      </w:r>
      <w:r>
        <w:fldChar w:fldCharType="separate"/>
      </w:r>
      <w:r>
        <w:rPr>
          <w:rFonts w:ascii="Arial" w:hAnsi="Arial" w:eastAsia="宋体" w:cs="Arial"/>
          <w:lang w:eastAsia="zh-CN"/>
        </w:rPr>
        <w:t>(http://www.fda.gov/MedicalDevices/DeviceRegulationandGuidance/default.htm)</w:t>
      </w:r>
      <w:r>
        <w:rPr>
          <w:rFonts w:ascii="Arial" w:hAnsi="Arial" w:eastAsia="宋体" w:cs="Arial"/>
          <w:lang w:eastAsia="zh-CN"/>
        </w:rPr>
        <w:fldChar w:fldCharType="end"/>
      </w:r>
    </w:p>
  </w:footnote>
  <w:footnote w:id="2">
    <w:p w14:paraId="00E055AF">
      <w:pPr>
        <w:pStyle w:val="10"/>
        <w:rPr>
          <w:rFonts w:ascii="Arial" w:hAnsi="Arial" w:cs="Arial"/>
          <w:lang w:eastAsia="zh-CN"/>
        </w:rPr>
      </w:pPr>
      <w:r>
        <w:rPr>
          <w:rStyle w:val="14"/>
          <w:rFonts w:ascii="Arial" w:hAnsi="Arial" w:cs="Arial"/>
        </w:rPr>
        <w:footnoteRef/>
      </w:r>
      <w:r>
        <w:rPr>
          <w:rFonts w:ascii="Arial" w:hAnsi="Arial" w:cs="Arial"/>
        </w:rPr>
        <w:t xml:space="preserve"> </w:t>
      </w:r>
      <w:r>
        <w:fldChar w:fldCharType="begin"/>
      </w:r>
      <w:r>
        <w:instrText xml:space="preserve"> HYPERLINK "http://www.cdc.gov/std/trichomonas/trich-fact-sheet-aug-2012.pdf" \h </w:instrText>
      </w:r>
      <w:r>
        <w:fldChar w:fldCharType="separate"/>
      </w:r>
      <w:r>
        <w:rPr>
          <w:rFonts w:ascii="Arial" w:hAnsi="Arial" w:eastAsia="宋体" w:cs="Arial"/>
          <w:u w:val="single" w:color="000000"/>
        </w:rPr>
        <w:t>http://www.cdc.gov/std/trichomonas/trich-fact-sheet-aug-2012.pdf</w:t>
      </w:r>
      <w:r>
        <w:rPr>
          <w:rFonts w:ascii="Arial" w:hAnsi="Arial" w:eastAsia="宋体" w:cs="Arial"/>
          <w:u w:val="single" w:color="000000"/>
        </w:rPr>
        <w:fldChar w:fldCharType="end"/>
      </w:r>
    </w:p>
  </w:footnote>
  <w:footnote w:id="3">
    <w:p w14:paraId="4138948E">
      <w:pPr>
        <w:pStyle w:val="10"/>
        <w:rPr>
          <w:rFonts w:ascii="Arial" w:hAnsi="Arial" w:cs="Arial"/>
          <w:lang w:eastAsia="zh-CN"/>
        </w:rPr>
      </w:pPr>
      <w:r>
        <w:rPr>
          <w:rStyle w:val="14"/>
          <w:rFonts w:ascii="Arial" w:hAnsi="Arial" w:cs="Arial"/>
        </w:rPr>
        <w:footnoteRef/>
      </w:r>
      <w:r>
        <w:rPr>
          <w:rFonts w:ascii="Arial" w:hAnsi="Arial" w:cs="Arial"/>
          <w:lang w:eastAsia="zh-CN"/>
        </w:rPr>
        <w:t xml:space="preserve"> </w:t>
      </w:r>
      <w:r>
        <w:rPr>
          <w:rFonts w:ascii="Arial" w:hAnsi="Arial" w:eastAsia="宋体" w:cs="Arial"/>
          <w:lang w:eastAsia="zh-CN"/>
        </w:rPr>
        <w:t>即使贵公司证实贵公司的 测定可使用一种或多种替代辅助试剂，</w:t>
      </w:r>
      <w:r>
        <w:rPr>
          <w:rFonts w:hint="eastAsia" w:ascii="Arial" w:hAnsi="Arial" w:eastAsia="宋体" w:cs="Arial"/>
          <w:lang w:eastAsia="zh-CN"/>
        </w:rPr>
        <w:t>则指名的</w:t>
      </w:r>
      <w:r>
        <w:rPr>
          <w:rFonts w:ascii="Arial" w:hAnsi="Arial" w:eastAsia="宋体" w:cs="Arial"/>
          <w:lang w:eastAsia="zh-CN"/>
        </w:rPr>
        <w:t>替代试剂可能仍是需关注辅助试剂。如果不确定这方面的特殊控制是否适用于贵公司器械，请咨询体外诊断学和放射卫生办公室(OIR)的微生物学器械科。</w:t>
      </w:r>
    </w:p>
  </w:footnote>
  <w:footnote w:id="4">
    <w:p w14:paraId="34C6FF1E">
      <w:pPr>
        <w:pStyle w:val="10"/>
        <w:rPr>
          <w:rFonts w:ascii="Arial" w:hAnsi="Arial" w:cs="Arial"/>
          <w:lang w:eastAsia="zh-CN"/>
        </w:rPr>
      </w:pPr>
      <w:r>
        <w:rPr>
          <w:rStyle w:val="14"/>
          <w:rFonts w:ascii="Arial" w:hAnsi="Arial" w:cs="Arial"/>
        </w:rPr>
        <w:footnoteRef/>
      </w:r>
      <w:r>
        <w:rPr>
          <w:rFonts w:ascii="Arial" w:hAnsi="Arial" w:cs="Arial"/>
        </w:rPr>
        <w:t xml:space="preserve"> http://www.cdc.gov/std/default.htm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2439E"/>
    <w:multiLevelType w:val="multilevel"/>
    <w:tmpl w:val="0FB2439E"/>
    <w:lvl w:ilvl="0" w:tentative="0">
      <w:start w:val="1"/>
      <w:numFmt w:val="bullet"/>
      <w:lvlText w:val=""/>
      <w:lvlJc w:val="left"/>
      <w:pPr>
        <w:ind w:left="928" w:hanging="360"/>
      </w:pPr>
      <w:rPr>
        <w:rFonts w:hint="default" w:ascii="Symbol" w:hAnsi="Symbol" w:eastAsia="Symbol"/>
        <w:w w:val="183"/>
        <w:sz w:val="20"/>
        <w:szCs w:val="20"/>
      </w:rPr>
    </w:lvl>
    <w:lvl w:ilvl="1" w:tentative="0">
      <w:start w:val="1"/>
      <w:numFmt w:val="bullet"/>
      <w:lvlText w:val="o"/>
      <w:lvlJc w:val="left"/>
      <w:pPr>
        <w:ind w:left="1648" w:hanging="360"/>
      </w:pPr>
      <w:rPr>
        <w:rFonts w:hint="default" w:ascii="Courier New" w:hAnsi="Courier New" w:eastAsia="Courier New"/>
        <w:sz w:val="24"/>
        <w:szCs w:val="24"/>
      </w:rPr>
    </w:lvl>
    <w:lvl w:ilvl="2" w:tentative="0">
      <w:start w:val="1"/>
      <w:numFmt w:val="bullet"/>
      <w:lvlText w:val="•"/>
      <w:lvlJc w:val="left"/>
      <w:pPr>
        <w:ind w:left="2469" w:hanging="360"/>
      </w:pPr>
      <w:rPr>
        <w:rFonts w:hint="default"/>
      </w:rPr>
    </w:lvl>
    <w:lvl w:ilvl="3" w:tentative="0">
      <w:start w:val="1"/>
      <w:numFmt w:val="bullet"/>
      <w:lvlText w:val="•"/>
      <w:lvlJc w:val="left"/>
      <w:pPr>
        <w:ind w:left="3290" w:hanging="360"/>
      </w:pPr>
      <w:rPr>
        <w:rFonts w:hint="default"/>
      </w:rPr>
    </w:lvl>
    <w:lvl w:ilvl="4" w:tentative="0">
      <w:start w:val="1"/>
      <w:numFmt w:val="bullet"/>
      <w:lvlText w:val="•"/>
      <w:lvlJc w:val="left"/>
      <w:pPr>
        <w:ind w:left="4112" w:hanging="360"/>
      </w:pPr>
      <w:rPr>
        <w:rFonts w:hint="default"/>
      </w:rPr>
    </w:lvl>
    <w:lvl w:ilvl="5" w:tentative="0">
      <w:start w:val="1"/>
      <w:numFmt w:val="bullet"/>
      <w:lvlText w:val="•"/>
      <w:lvlJc w:val="left"/>
      <w:pPr>
        <w:ind w:left="4933" w:hanging="360"/>
      </w:pPr>
      <w:rPr>
        <w:rFonts w:hint="default"/>
      </w:rPr>
    </w:lvl>
    <w:lvl w:ilvl="6" w:tentative="0">
      <w:start w:val="1"/>
      <w:numFmt w:val="bullet"/>
      <w:lvlText w:val="•"/>
      <w:lvlJc w:val="left"/>
      <w:pPr>
        <w:ind w:left="5754" w:hanging="360"/>
      </w:pPr>
      <w:rPr>
        <w:rFonts w:hint="default"/>
      </w:rPr>
    </w:lvl>
    <w:lvl w:ilvl="7" w:tentative="0">
      <w:start w:val="1"/>
      <w:numFmt w:val="bullet"/>
      <w:lvlText w:val="•"/>
      <w:lvlJc w:val="left"/>
      <w:pPr>
        <w:ind w:left="6576" w:hanging="360"/>
      </w:pPr>
      <w:rPr>
        <w:rFonts w:hint="default"/>
      </w:rPr>
    </w:lvl>
    <w:lvl w:ilvl="8" w:tentative="0">
      <w:start w:val="1"/>
      <w:numFmt w:val="bullet"/>
      <w:lvlText w:val="•"/>
      <w:lvlJc w:val="left"/>
      <w:pPr>
        <w:ind w:left="7397" w:hanging="360"/>
      </w:pPr>
      <w:rPr>
        <w:rFonts w:hint="default"/>
      </w:rPr>
    </w:lvl>
  </w:abstractNum>
  <w:abstractNum w:abstractNumId="1">
    <w:nsid w:val="14647E2F"/>
    <w:multiLevelType w:val="multilevel"/>
    <w:tmpl w:val="14647E2F"/>
    <w:lvl w:ilvl="0" w:tentative="0">
      <w:start w:val="1"/>
      <w:numFmt w:val="bullet"/>
      <w:lvlText w:val=""/>
      <w:lvlJc w:val="left"/>
      <w:pPr>
        <w:ind w:left="468" w:hanging="180"/>
      </w:pPr>
      <w:rPr>
        <w:rFonts w:hint="default" w:ascii="Symbol" w:hAnsi="Symbol" w:eastAsia="Symbol"/>
        <w:w w:val="183"/>
        <w:sz w:val="20"/>
        <w:szCs w:val="20"/>
      </w:rPr>
    </w:lvl>
    <w:lvl w:ilvl="1" w:tentative="0">
      <w:start w:val="1"/>
      <w:numFmt w:val="bullet"/>
      <w:lvlText w:val=""/>
      <w:lvlJc w:val="left"/>
      <w:pPr>
        <w:ind w:left="1008" w:hanging="360"/>
      </w:pPr>
      <w:rPr>
        <w:rFonts w:hint="default" w:ascii="Symbol" w:hAnsi="Symbol" w:eastAsia="Symbol"/>
        <w:w w:val="100"/>
        <w:sz w:val="24"/>
        <w:szCs w:val="24"/>
      </w:rPr>
    </w:lvl>
    <w:lvl w:ilvl="2" w:tentative="0">
      <w:start w:val="1"/>
      <w:numFmt w:val="bullet"/>
      <w:lvlText w:val="•"/>
      <w:lvlJc w:val="left"/>
      <w:pPr>
        <w:ind w:left="1889" w:hanging="360"/>
      </w:pPr>
      <w:rPr>
        <w:rFonts w:hint="default"/>
      </w:rPr>
    </w:lvl>
    <w:lvl w:ilvl="3" w:tentative="0">
      <w:start w:val="1"/>
      <w:numFmt w:val="bullet"/>
      <w:lvlText w:val="•"/>
      <w:lvlJc w:val="left"/>
      <w:pPr>
        <w:ind w:left="2770" w:hanging="360"/>
      </w:pPr>
      <w:rPr>
        <w:rFonts w:hint="default"/>
      </w:rPr>
    </w:lvl>
    <w:lvl w:ilvl="4" w:tentative="0">
      <w:start w:val="1"/>
      <w:numFmt w:val="bullet"/>
      <w:lvlText w:val="•"/>
      <w:lvlJc w:val="left"/>
      <w:pPr>
        <w:ind w:left="3652" w:hanging="360"/>
      </w:pPr>
      <w:rPr>
        <w:rFonts w:hint="default"/>
      </w:rPr>
    </w:lvl>
    <w:lvl w:ilvl="5" w:tentative="0">
      <w:start w:val="1"/>
      <w:numFmt w:val="bullet"/>
      <w:lvlText w:val="•"/>
      <w:lvlJc w:val="left"/>
      <w:pPr>
        <w:ind w:left="4533" w:hanging="360"/>
      </w:pPr>
      <w:rPr>
        <w:rFonts w:hint="default"/>
      </w:rPr>
    </w:lvl>
    <w:lvl w:ilvl="6" w:tentative="0">
      <w:start w:val="1"/>
      <w:numFmt w:val="bullet"/>
      <w:lvlText w:val="•"/>
      <w:lvlJc w:val="left"/>
      <w:pPr>
        <w:ind w:left="5414" w:hanging="360"/>
      </w:pPr>
      <w:rPr>
        <w:rFonts w:hint="default"/>
      </w:rPr>
    </w:lvl>
    <w:lvl w:ilvl="7" w:tentative="0">
      <w:start w:val="1"/>
      <w:numFmt w:val="bullet"/>
      <w:lvlText w:val="•"/>
      <w:lvlJc w:val="left"/>
      <w:pPr>
        <w:ind w:left="6296" w:hanging="360"/>
      </w:pPr>
      <w:rPr>
        <w:rFonts w:hint="default"/>
      </w:rPr>
    </w:lvl>
    <w:lvl w:ilvl="8" w:tentative="0">
      <w:start w:val="1"/>
      <w:numFmt w:val="bullet"/>
      <w:lvlText w:val="•"/>
      <w:lvlJc w:val="left"/>
      <w:pPr>
        <w:ind w:left="7177" w:hanging="360"/>
      </w:pPr>
      <w:rPr>
        <w:rFonts w:hint="default"/>
      </w:rPr>
    </w:lvl>
  </w:abstractNum>
  <w:abstractNum w:abstractNumId="2">
    <w:nsid w:val="15673D51"/>
    <w:multiLevelType w:val="multilevel"/>
    <w:tmpl w:val="15673D51"/>
    <w:lvl w:ilvl="0" w:tentative="0">
      <w:start w:val="1"/>
      <w:numFmt w:val="upperRoman"/>
      <w:lvlText w:val="%1."/>
      <w:lvlJc w:val="left"/>
      <w:pPr>
        <w:ind w:left="508" w:hanging="360"/>
      </w:pPr>
      <w:rPr>
        <w:rFonts w:hint="default" w:ascii="Arial" w:hAnsi="Arial" w:eastAsia="Times New Roman" w:cs="Arial"/>
        <w:b/>
        <w:bCs/>
        <w:spacing w:val="0"/>
        <w:w w:val="100"/>
        <w:sz w:val="36"/>
        <w:szCs w:val="36"/>
      </w:rPr>
    </w:lvl>
    <w:lvl w:ilvl="1" w:tentative="0">
      <w:start w:val="1"/>
      <w:numFmt w:val="bullet"/>
      <w:lvlText w:val=""/>
      <w:lvlJc w:val="left"/>
      <w:pPr>
        <w:ind w:left="828" w:hanging="449"/>
      </w:pPr>
      <w:rPr>
        <w:rFonts w:hint="default" w:ascii="Wingdings" w:hAnsi="Wingdings"/>
        <w:w w:val="100"/>
        <w:sz w:val="24"/>
        <w:szCs w:val="24"/>
      </w:rPr>
    </w:lvl>
    <w:lvl w:ilvl="2" w:tentative="0">
      <w:start w:val="1"/>
      <w:numFmt w:val="bullet"/>
      <w:lvlText w:val="•"/>
      <w:lvlJc w:val="left"/>
      <w:pPr>
        <w:ind w:left="828" w:hanging="449"/>
      </w:pPr>
      <w:rPr>
        <w:rFonts w:hint="default"/>
      </w:rPr>
    </w:lvl>
    <w:lvl w:ilvl="3" w:tentative="0">
      <w:start w:val="1"/>
      <w:numFmt w:val="bullet"/>
      <w:lvlText w:val="•"/>
      <w:lvlJc w:val="left"/>
      <w:pPr>
        <w:ind w:left="1008" w:hanging="449"/>
      </w:pPr>
      <w:rPr>
        <w:rFonts w:hint="default"/>
      </w:rPr>
    </w:lvl>
    <w:lvl w:ilvl="4" w:tentative="0">
      <w:start w:val="1"/>
      <w:numFmt w:val="bullet"/>
      <w:lvlText w:val="•"/>
      <w:lvlJc w:val="left"/>
      <w:pPr>
        <w:ind w:left="2146" w:hanging="449"/>
      </w:pPr>
      <w:rPr>
        <w:rFonts w:hint="default"/>
      </w:rPr>
    </w:lvl>
    <w:lvl w:ilvl="5" w:tentative="0">
      <w:start w:val="1"/>
      <w:numFmt w:val="bullet"/>
      <w:lvlText w:val="•"/>
      <w:lvlJc w:val="left"/>
      <w:pPr>
        <w:ind w:left="3285" w:hanging="449"/>
      </w:pPr>
      <w:rPr>
        <w:rFonts w:hint="default"/>
      </w:rPr>
    </w:lvl>
    <w:lvl w:ilvl="6" w:tentative="0">
      <w:start w:val="1"/>
      <w:numFmt w:val="bullet"/>
      <w:lvlText w:val="•"/>
      <w:lvlJc w:val="left"/>
      <w:pPr>
        <w:ind w:left="4424" w:hanging="449"/>
      </w:pPr>
      <w:rPr>
        <w:rFonts w:hint="default"/>
      </w:rPr>
    </w:lvl>
    <w:lvl w:ilvl="7" w:tentative="0">
      <w:start w:val="1"/>
      <w:numFmt w:val="bullet"/>
      <w:lvlText w:val="•"/>
      <w:lvlJc w:val="left"/>
      <w:pPr>
        <w:ind w:left="5563" w:hanging="449"/>
      </w:pPr>
      <w:rPr>
        <w:rFonts w:hint="default"/>
      </w:rPr>
    </w:lvl>
    <w:lvl w:ilvl="8" w:tentative="0">
      <w:start w:val="1"/>
      <w:numFmt w:val="bullet"/>
      <w:lvlText w:val="•"/>
      <w:lvlJc w:val="left"/>
      <w:pPr>
        <w:ind w:left="6702" w:hanging="449"/>
      </w:pPr>
      <w:rPr>
        <w:rFonts w:hint="default"/>
      </w:rPr>
    </w:lvl>
  </w:abstractNum>
  <w:abstractNum w:abstractNumId="3">
    <w:nsid w:val="27BE692A"/>
    <w:multiLevelType w:val="multilevel"/>
    <w:tmpl w:val="27BE692A"/>
    <w:lvl w:ilvl="0" w:tentative="0">
      <w:start w:val="1"/>
      <w:numFmt w:val="bullet"/>
      <w:lvlText w:val=""/>
      <w:lvlJc w:val="left"/>
      <w:pPr>
        <w:ind w:left="462" w:hanging="360"/>
      </w:pPr>
      <w:rPr>
        <w:rFonts w:hint="default" w:ascii="Symbol" w:hAnsi="Symbol" w:eastAsia="Symbol"/>
        <w:w w:val="100"/>
        <w:sz w:val="24"/>
        <w:szCs w:val="24"/>
      </w:rPr>
    </w:lvl>
    <w:lvl w:ilvl="1" w:tentative="0">
      <w:start w:val="1"/>
      <w:numFmt w:val="bullet"/>
      <w:lvlText w:val="•"/>
      <w:lvlJc w:val="left"/>
      <w:pPr>
        <w:ind w:left="725" w:hanging="360"/>
      </w:pPr>
      <w:rPr>
        <w:rFonts w:hint="default"/>
      </w:rPr>
    </w:lvl>
    <w:lvl w:ilvl="2" w:tentative="0">
      <w:start w:val="1"/>
      <w:numFmt w:val="bullet"/>
      <w:lvlText w:val="•"/>
      <w:lvlJc w:val="left"/>
      <w:pPr>
        <w:ind w:left="989" w:hanging="360"/>
      </w:pPr>
      <w:rPr>
        <w:rFonts w:hint="default"/>
      </w:rPr>
    </w:lvl>
    <w:lvl w:ilvl="3" w:tentative="0">
      <w:start w:val="1"/>
      <w:numFmt w:val="bullet"/>
      <w:lvlText w:val="•"/>
      <w:lvlJc w:val="left"/>
      <w:pPr>
        <w:ind w:left="1252" w:hanging="360"/>
      </w:pPr>
      <w:rPr>
        <w:rFonts w:hint="default"/>
      </w:rPr>
    </w:lvl>
    <w:lvl w:ilvl="4" w:tentative="0">
      <w:start w:val="1"/>
      <w:numFmt w:val="bullet"/>
      <w:lvlText w:val="•"/>
      <w:lvlJc w:val="left"/>
      <w:pPr>
        <w:ind w:left="1515" w:hanging="360"/>
      </w:pPr>
      <w:rPr>
        <w:rFonts w:hint="default"/>
      </w:rPr>
    </w:lvl>
    <w:lvl w:ilvl="5" w:tentative="0">
      <w:start w:val="1"/>
      <w:numFmt w:val="bullet"/>
      <w:lvlText w:val="•"/>
      <w:lvlJc w:val="left"/>
      <w:pPr>
        <w:ind w:left="1779" w:hanging="360"/>
      </w:pPr>
      <w:rPr>
        <w:rFonts w:hint="default"/>
      </w:rPr>
    </w:lvl>
    <w:lvl w:ilvl="6" w:tentative="0">
      <w:start w:val="1"/>
      <w:numFmt w:val="bullet"/>
      <w:lvlText w:val="•"/>
      <w:lvlJc w:val="left"/>
      <w:pPr>
        <w:ind w:left="2042" w:hanging="360"/>
      </w:pPr>
      <w:rPr>
        <w:rFonts w:hint="default"/>
      </w:rPr>
    </w:lvl>
    <w:lvl w:ilvl="7" w:tentative="0">
      <w:start w:val="1"/>
      <w:numFmt w:val="bullet"/>
      <w:lvlText w:val="•"/>
      <w:lvlJc w:val="left"/>
      <w:pPr>
        <w:ind w:left="2306" w:hanging="360"/>
      </w:pPr>
      <w:rPr>
        <w:rFonts w:hint="default"/>
      </w:rPr>
    </w:lvl>
    <w:lvl w:ilvl="8" w:tentative="0">
      <w:start w:val="1"/>
      <w:numFmt w:val="bullet"/>
      <w:lvlText w:val="•"/>
      <w:lvlJc w:val="left"/>
      <w:pPr>
        <w:ind w:left="2569" w:hanging="360"/>
      </w:pPr>
      <w:rPr>
        <w:rFonts w:hint="default"/>
      </w:rPr>
    </w:lvl>
  </w:abstractNum>
  <w:abstractNum w:abstractNumId="4">
    <w:nsid w:val="37FE5123"/>
    <w:multiLevelType w:val="multilevel"/>
    <w:tmpl w:val="37FE5123"/>
    <w:lvl w:ilvl="0" w:tentative="0">
      <w:start w:val="20"/>
      <w:numFmt w:val="upperLetter"/>
      <w:lvlText w:val="%1."/>
      <w:lvlJc w:val="left"/>
      <w:pPr>
        <w:ind w:left="108" w:hanging="255"/>
      </w:pPr>
      <w:rPr>
        <w:rFonts w:hint="default" w:ascii="Times New Roman" w:hAnsi="Times New Roman" w:eastAsia="Times New Roman"/>
        <w:i/>
        <w:sz w:val="24"/>
        <w:szCs w:val="24"/>
      </w:rPr>
    </w:lvl>
    <w:lvl w:ilvl="1" w:tentative="0">
      <w:start w:val="1"/>
      <w:numFmt w:val="bullet"/>
      <w:lvlText w:val=""/>
      <w:lvlJc w:val="left"/>
      <w:pPr>
        <w:ind w:left="828" w:hanging="360"/>
      </w:pPr>
      <w:rPr>
        <w:rFonts w:hint="default" w:ascii="Symbol" w:hAnsi="Symbol" w:eastAsia="Symbol"/>
        <w:w w:val="100"/>
        <w:sz w:val="24"/>
        <w:szCs w:val="24"/>
      </w:rPr>
    </w:lvl>
    <w:lvl w:ilvl="2" w:tentative="0">
      <w:start w:val="1"/>
      <w:numFmt w:val="bullet"/>
      <w:lvlText w:val="•"/>
      <w:lvlJc w:val="left"/>
      <w:pPr>
        <w:ind w:left="1729" w:hanging="360"/>
      </w:pPr>
      <w:rPr>
        <w:rFonts w:hint="default"/>
      </w:rPr>
    </w:lvl>
    <w:lvl w:ilvl="3" w:tentative="0">
      <w:start w:val="1"/>
      <w:numFmt w:val="bullet"/>
      <w:lvlText w:val="•"/>
      <w:lvlJc w:val="left"/>
      <w:pPr>
        <w:ind w:left="2630" w:hanging="360"/>
      </w:pPr>
      <w:rPr>
        <w:rFonts w:hint="default"/>
      </w:rPr>
    </w:lvl>
    <w:lvl w:ilvl="4" w:tentative="0">
      <w:start w:val="1"/>
      <w:numFmt w:val="bullet"/>
      <w:lvlText w:val="•"/>
      <w:lvlJc w:val="left"/>
      <w:pPr>
        <w:ind w:left="3532" w:hanging="360"/>
      </w:pPr>
      <w:rPr>
        <w:rFonts w:hint="default"/>
      </w:rPr>
    </w:lvl>
    <w:lvl w:ilvl="5" w:tentative="0">
      <w:start w:val="1"/>
      <w:numFmt w:val="bullet"/>
      <w:lvlText w:val="•"/>
      <w:lvlJc w:val="left"/>
      <w:pPr>
        <w:ind w:left="4433" w:hanging="360"/>
      </w:pPr>
      <w:rPr>
        <w:rFonts w:hint="default"/>
      </w:rPr>
    </w:lvl>
    <w:lvl w:ilvl="6" w:tentative="0">
      <w:start w:val="1"/>
      <w:numFmt w:val="bullet"/>
      <w:lvlText w:val="•"/>
      <w:lvlJc w:val="left"/>
      <w:pPr>
        <w:ind w:left="5334" w:hanging="360"/>
      </w:pPr>
      <w:rPr>
        <w:rFonts w:hint="default"/>
      </w:rPr>
    </w:lvl>
    <w:lvl w:ilvl="7" w:tentative="0">
      <w:start w:val="1"/>
      <w:numFmt w:val="bullet"/>
      <w:lvlText w:val="•"/>
      <w:lvlJc w:val="left"/>
      <w:pPr>
        <w:ind w:left="6236" w:hanging="360"/>
      </w:pPr>
      <w:rPr>
        <w:rFonts w:hint="default"/>
      </w:rPr>
    </w:lvl>
    <w:lvl w:ilvl="8" w:tentative="0">
      <w:start w:val="1"/>
      <w:numFmt w:val="bullet"/>
      <w:lvlText w:val="•"/>
      <w:lvlJc w:val="left"/>
      <w:pPr>
        <w:ind w:left="7137" w:hanging="360"/>
      </w:pPr>
      <w:rPr>
        <w:rFonts w:hint="default"/>
      </w:rPr>
    </w:lvl>
  </w:abstractNum>
  <w:abstractNum w:abstractNumId="5">
    <w:nsid w:val="3FE15527"/>
    <w:multiLevelType w:val="multilevel"/>
    <w:tmpl w:val="3FE15527"/>
    <w:lvl w:ilvl="0" w:tentative="0">
      <w:start w:val="1"/>
      <w:numFmt w:val="bullet"/>
      <w:lvlText w:val=""/>
      <w:lvlJc w:val="left"/>
      <w:pPr>
        <w:ind w:left="828" w:hanging="360"/>
      </w:pPr>
      <w:rPr>
        <w:rFonts w:hint="default" w:ascii="Symbol" w:hAnsi="Symbol" w:eastAsia="Symbol"/>
        <w:w w:val="100"/>
        <w:sz w:val="24"/>
        <w:szCs w:val="24"/>
      </w:rPr>
    </w:lvl>
    <w:lvl w:ilvl="1" w:tentative="0">
      <w:start w:val="1"/>
      <w:numFmt w:val="bullet"/>
      <w:lvlText w:val=""/>
      <w:lvlJc w:val="left"/>
      <w:pPr>
        <w:ind w:left="1015" w:hanging="353"/>
      </w:pPr>
      <w:rPr>
        <w:rFonts w:hint="default" w:ascii="Symbol" w:hAnsi="Symbol" w:eastAsia="Symbol"/>
        <w:w w:val="281"/>
        <w:sz w:val="24"/>
        <w:szCs w:val="24"/>
      </w:rPr>
    </w:lvl>
    <w:lvl w:ilvl="2" w:tentative="0">
      <w:start w:val="1"/>
      <w:numFmt w:val="bullet"/>
      <w:lvlText w:val="•"/>
      <w:lvlJc w:val="left"/>
      <w:pPr>
        <w:ind w:left="1897" w:hanging="353"/>
      </w:pPr>
      <w:rPr>
        <w:rFonts w:hint="default"/>
      </w:rPr>
    </w:lvl>
    <w:lvl w:ilvl="3" w:tentative="0">
      <w:start w:val="1"/>
      <w:numFmt w:val="bullet"/>
      <w:lvlText w:val="•"/>
      <w:lvlJc w:val="left"/>
      <w:pPr>
        <w:ind w:left="2780" w:hanging="353"/>
      </w:pPr>
      <w:rPr>
        <w:rFonts w:hint="default"/>
      </w:rPr>
    </w:lvl>
    <w:lvl w:ilvl="4" w:tentative="0">
      <w:start w:val="1"/>
      <w:numFmt w:val="bullet"/>
      <w:lvlText w:val="•"/>
      <w:lvlJc w:val="left"/>
      <w:pPr>
        <w:ind w:left="3663" w:hanging="353"/>
      </w:pPr>
      <w:rPr>
        <w:rFonts w:hint="default"/>
      </w:rPr>
    </w:lvl>
    <w:lvl w:ilvl="5" w:tentative="0">
      <w:start w:val="1"/>
      <w:numFmt w:val="bullet"/>
      <w:lvlText w:val="•"/>
      <w:lvlJc w:val="left"/>
      <w:pPr>
        <w:ind w:left="4546" w:hanging="353"/>
      </w:pPr>
      <w:rPr>
        <w:rFonts w:hint="default"/>
      </w:rPr>
    </w:lvl>
    <w:lvl w:ilvl="6" w:tentative="0">
      <w:start w:val="1"/>
      <w:numFmt w:val="bullet"/>
      <w:lvlText w:val="•"/>
      <w:lvlJc w:val="left"/>
      <w:pPr>
        <w:ind w:left="5428" w:hanging="353"/>
      </w:pPr>
      <w:rPr>
        <w:rFonts w:hint="default"/>
      </w:rPr>
    </w:lvl>
    <w:lvl w:ilvl="7" w:tentative="0">
      <w:start w:val="1"/>
      <w:numFmt w:val="bullet"/>
      <w:lvlText w:val="•"/>
      <w:lvlJc w:val="left"/>
      <w:pPr>
        <w:ind w:left="6311" w:hanging="353"/>
      </w:pPr>
      <w:rPr>
        <w:rFonts w:hint="default"/>
      </w:rPr>
    </w:lvl>
    <w:lvl w:ilvl="8" w:tentative="0">
      <w:start w:val="1"/>
      <w:numFmt w:val="bullet"/>
      <w:lvlText w:val="•"/>
      <w:lvlJc w:val="left"/>
      <w:pPr>
        <w:ind w:left="7194" w:hanging="353"/>
      </w:pPr>
      <w:rPr>
        <w:rFonts w:hint="default"/>
      </w:rPr>
    </w:lvl>
  </w:abstractNum>
  <w:abstractNum w:abstractNumId="6">
    <w:nsid w:val="514F12AF"/>
    <w:multiLevelType w:val="multilevel"/>
    <w:tmpl w:val="514F12AF"/>
    <w:lvl w:ilvl="0" w:tentative="0">
      <w:start w:val="1"/>
      <w:numFmt w:val="bullet"/>
      <w:lvlText w:val=""/>
      <w:lvlJc w:val="left"/>
      <w:pPr>
        <w:ind w:left="240" w:hanging="420"/>
      </w:pPr>
      <w:rPr>
        <w:rFonts w:hint="default" w:ascii="Wingdings" w:hAnsi="Wingdings"/>
      </w:rPr>
    </w:lvl>
    <w:lvl w:ilvl="1" w:tentative="0">
      <w:start w:val="1"/>
      <w:numFmt w:val="bullet"/>
      <w:lvlText w:val=""/>
      <w:lvlJc w:val="left"/>
      <w:pPr>
        <w:ind w:left="660" w:hanging="420"/>
      </w:pPr>
      <w:rPr>
        <w:rFonts w:hint="default" w:ascii="Wingdings" w:hAnsi="Wingdings"/>
      </w:rPr>
    </w:lvl>
    <w:lvl w:ilvl="2" w:tentative="0">
      <w:start w:val="1"/>
      <w:numFmt w:val="bullet"/>
      <w:lvlText w:val=""/>
      <w:lvlJc w:val="left"/>
      <w:pPr>
        <w:ind w:left="1080" w:hanging="420"/>
      </w:pPr>
      <w:rPr>
        <w:rFonts w:hint="default" w:ascii="Wingdings" w:hAnsi="Wingdings"/>
      </w:rPr>
    </w:lvl>
    <w:lvl w:ilvl="3" w:tentative="0">
      <w:start w:val="1"/>
      <w:numFmt w:val="bullet"/>
      <w:lvlText w:val=""/>
      <w:lvlJc w:val="left"/>
      <w:pPr>
        <w:ind w:left="1500" w:hanging="420"/>
      </w:pPr>
      <w:rPr>
        <w:rFonts w:hint="default" w:ascii="Wingdings" w:hAnsi="Wingdings"/>
      </w:rPr>
    </w:lvl>
    <w:lvl w:ilvl="4" w:tentative="0">
      <w:start w:val="1"/>
      <w:numFmt w:val="bullet"/>
      <w:lvlText w:val=""/>
      <w:lvlJc w:val="left"/>
      <w:pPr>
        <w:ind w:left="1920" w:hanging="420"/>
      </w:pPr>
      <w:rPr>
        <w:rFonts w:hint="default" w:ascii="Wingdings" w:hAnsi="Wingdings"/>
      </w:rPr>
    </w:lvl>
    <w:lvl w:ilvl="5" w:tentative="0">
      <w:start w:val="1"/>
      <w:numFmt w:val="bullet"/>
      <w:lvlText w:val=""/>
      <w:lvlJc w:val="left"/>
      <w:pPr>
        <w:ind w:left="2340" w:hanging="420"/>
      </w:pPr>
      <w:rPr>
        <w:rFonts w:hint="default" w:ascii="Wingdings" w:hAnsi="Wingdings"/>
      </w:rPr>
    </w:lvl>
    <w:lvl w:ilvl="6" w:tentative="0">
      <w:start w:val="1"/>
      <w:numFmt w:val="bullet"/>
      <w:lvlText w:val=""/>
      <w:lvlJc w:val="left"/>
      <w:pPr>
        <w:ind w:left="2760" w:hanging="420"/>
      </w:pPr>
      <w:rPr>
        <w:rFonts w:hint="default" w:ascii="Wingdings" w:hAnsi="Wingdings"/>
      </w:rPr>
    </w:lvl>
    <w:lvl w:ilvl="7" w:tentative="0">
      <w:start w:val="1"/>
      <w:numFmt w:val="bullet"/>
      <w:lvlText w:val=""/>
      <w:lvlJc w:val="left"/>
      <w:pPr>
        <w:ind w:left="3180" w:hanging="420"/>
      </w:pPr>
      <w:rPr>
        <w:rFonts w:hint="default" w:ascii="Wingdings" w:hAnsi="Wingdings"/>
      </w:rPr>
    </w:lvl>
    <w:lvl w:ilvl="8" w:tentative="0">
      <w:start w:val="1"/>
      <w:numFmt w:val="bullet"/>
      <w:lvlText w:val=""/>
      <w:lvlJc w:val="left"/>
      <w:pPr>
        <w:ind w:left="3600" w:hanging="420"/>
      </w:pPr>
      <w:rPr>
        <w:rFonts w:hint="default" w:ascii="Wingdings" w:hAnsi="Wingdings"/>
      </w:rPr>
    </w:lvl>
  </w:abstractNum>
  <w:abstractNum w:abstractNumId="7">
    <w:nsid w:val="56E67A80"/>
    <w:multiLevelType w:val="multilevel"/>
    <w:tmpl w:val="56E67A80"/>
    <w:lvl w:ilvl="0" w:tentative="0">
      <w:start w:val="1"/>
      <w:numFmt w:val="decimal"/>
      <w:lvlText w:val="%1."/>
      <w:lvlJc w:val="left"/>
      <w:pPr>
        <w:ind w:left="468" w:hanging="360"/>
      </w:pPr>
      <w:rPr>
        <w:rFonts w:hint="default" w:ascii="Arial" w:hAnsi="Arial" w:eastAsia="Times New Roman" w:cs="Arial"/>
        <w:sz w:val="24"/>
        <w:szCs w:val="24"/>
      </w:rPr>
    </w:lvl>
    <w:lvl w:ilvl="1" w:tentative="0">
      <w:start w:val="1"/>
      <w:numFmt w:val="bullet"/>
      <w:lvlText w:val="•"/>
      <w:lvlJc w:val="left"/>
      <w:pPr>
        <w:ind w:left="1319" w:hanging="360"/>
      </w:pPr>
      <w:rPr>
        <w:rFonts w:hint="default"/>
      </w:rPr>
    </w:lvl>
    <w:lvl w:ilvl="2" w:tentative="0">
      <w:start w:val="1"/>
      <w:numFmt w:val="bullet"/>
      <w:lvlText w:val="•"/>
      <w:lvlJc w:val="left"/>
      <w:pPr>
        <w:ind w:left="2170" w:hanging="360"/>
      </w:pPr>
      <w:rPr>
        <w:rFonts w:hint="default"/>
      </w:rPr>
    </w:lvl>
    <w:lvl w:ilvl="3" w:tentative="0">
      <w:start w:val="1"/>
      <w:numFmt w:val="bullet"/>
      <w:lvlText w:val="•"/>
      <w:lvlJc w:val="left"/>
      <w:pPr>
        <w:ind w:left="3021" w:hanging="360"/>
      </w:pPr>
      <w:rPr>
        <w:rFonts w:hint="default"/>
      </w:rPr>
    </w:lvl>
    <w:lvl w:ilvl="4" w:tentative="0">
      <w:start w:val="1"/>
      <w:numFmt w:val="bullet"/>
      <w:lvlText w:val="•"/>
      <w:lvlJc w:val="left"/>
      <w:pPr>
        <w:ind w:left="3872" w:hanging="360"/>
      </w:pPr>
      <w:rPr>
        <w:rFonts w:hint="default"/>
      </w:rPr>
    </w:lvl>
    <w:lvl w:ilvl="5" w:tentative="0">
      <w:start w:val="1"/>
      <w:numFmt w:val="bullet"/>
      <w:lvlText w:val="•"/>
      <w:lvlJc w:val="left"/>
      <w:pPr>
        <w:ind w:left="4724" w:hanging="360"/>
      </w:pPr>
      <w:rPr>
        <w:rFonts w:hint="default"/>
      </w:rPr>
    </w:lvl>
    <w:lvl w:ilvl="6" w:tentative="0">
      <w:start w:val="1"/>
      <w:numFmt w:val="bullet"/>
      <w:lvlText w:val="•"/>
      <w:lvlJc w:val="left"/>
      <w:pPr>
        <w:ind w:left="5575" w:hanging="360"/>
      </w:pPr>
      <w:rPr>
        <w:rFonts w:hint="default"/>
      </w:rPr>
    </w:lvl>
    <w:lvl w:ilvl="7" w:tentative="0">
      <w:start w:val="1"/>
      <w:numFmt w:val="bullet"/>
      <w:lvlText w:val="•"/>
      <w:lvlJc w:val="left"/>
      <w:pPr>
        <w:ind w:left="6426" w:hanging="360"/>
      </w:pPr>
      <w:rPr>
        <w:rFonts w:hint="default"/>
      </w:rPr>
    </w:lvl>
    <w:lvl w:ilvl="8" w:tentative="0">
      <w:start w:val="1"/>
      <w:numFmt w:val="bullet"/>
      <w:lvlText w:val="•"/>
      <w:lvlJc w:val="left"/>
      <w:pPr>
        <w:ind w:left="7277" w:hanging="360"/>
      </w:pPr>
      <w:rPr>
        <w:rFonts w:hint="default"/>
      </w:rPr>
    </w:lvl>
  </w:abstractNum>
  <w:abstractNum w:abstractNumId="8">
    <w:nsid w:val="573A085C"/>
    <w:multiLevelType w:val="multilevel"/>
    <w:tmpl w:val="573A085C"/>
    <w:lvl w:ilvl="0" w:tentative="0">
      <w:start w:val="1"/>
      <w:numFmt w:val="bullet"/>
      <w:lvlText w:val=""/>
      <w:lvlJc w:val="left"/>
      <w:pPr>
        <w:ind w:left="840" w:hanging="360"/>
      </w:pPr>
      <w:rPr>
        <w:rFonts w:hint="default" w:ascii="Symbol" w:hAnsi="Symbol" w:eastAsia="Symbol"/>
        <w:w w:val="99"/>
        <w:sz w:val="20"/>
        <w:szCs w:val="20"/>
      </w:rPr>
    </w:lvl>
    <w:lvl w:ilvl="1" w:tentative="0">
      <w:start w:val="1"/>
      <w:numFmt w:val="bullet"/>
      <w:lvlText w:val="o"/>
      <w:lvlJc w:val="left"/>
      <w:pPr>
        <w:ind w:left="1560" w:hanging="360"/>
      </w:pPr>
      <w:rPr>
        <w:rFonts w:hint="default" w:ascii="Courier New" w:hAnsi="Courier New" w:eastAsia="Courier New"/>
        <w:w w:val="99"/>
        <w:sz w:val="24"/>
        <w:szCs w:val="24"/>
      </w:rPr>
    </w:lvl>
    <w:lvl w:ilvl="2" w:tentative="0">
      <w:start w:val="1"/>
      <w:numFmt w:val="bullet"/>
      <w:lvlText w:val="•"/>
      <w:lvlJc w:val="left"/>
      <w:pPr>
        <w:ind w:left="2444" w:hanging="360"/>
      </w:pPr>
      <w:rPr>
        <w:rFonts w:hint="default"/>
      </w:rPr>
    </w:lvl>
    <w:lvl w:ilvl="3" w:tentative="0">
      <w:start w:val="1"/>
      <w:numFmt w:val="bullet"/>
      <w:lvlText w:val="•"/>
      <w:lvlJc w:val="left"/>
      <w:pPr>
        <w:ind w:left="3328" w:hanging="360"/>
      </w:pPr>
      <w:rPr>
        <w:rFonts w:hint="default"/>
      </w:rPr>
    </w:lvl>
    <w:lvl w:ilvl="4" w:tentative="0">
      <w:start w:val="1"/>
      <w:numFmt w:val="bullet"/>
      <w:lvlText w:val="•"/>
      <w:lvlJc w:val="left"/>
      <w:pPr>
        <w:ind w:left="4213" w:hanging="360"/>
      </w:pPr>
      <w:rPr>
        <w:rFonts w:hint="default"/>
      </w:rPr>
    </w:lvl>
    <w:lvl w:ilvl="5" w:tentative="0">
      <w:start w:val="1"/>
      <w:numFmt w:val="bullet"/>
      <w:lvlText w:val="•"/>
      <w:lvlJc w:val="left"/>
      <w:pPr>
        <w:ind w:left="5097" w:hanging="360"/>
      </w:pPr>
      <w:rPr>
        <w:rFonts w:hint="default"/>
      </w:rPr>
    </w:lvl>
    <w:lvl w:ilvl="6" w:tentative="0">
      <w:start w:val="1"/>
      <w:numFmt w:val="bullet"/>
      <w:lvlText w:val="•"/>
      <w:lvlJc w:val="left"/>
      <w:pPr>
        <w:ind w:left="5982" w:hanging="360"/>
      </w:pPr>
      <w:rPr>
        <w:rFonts w:hint="default"/>
      </w:rPr>
    </w:lvl>
    <w:lvl w:ilvl="7" w:tentative="0">
      <w:start w:val="1"/>
      <w:numFmt w:val="bullet"/>
      <w:lvlText w:val="•"/>
      <w:lvlJc w:val="left"/>
      <w:pPr>
        <w:ind w:left="6866" w:hanging="360"/>
      </w:pPr>
      <w:rPr>
        <w:rFonts w:hint="default"/>
      </w:rPr>
    </w:lvl>
    <w:lvl w:ilvl="8" w:tentative="0">
      <w:start w:val="1"/>
      <w:numFmt w:val="bullet"/>
      <w:lvlText w:val="•"/>
      <w:lvlJc w:val="left"/>
      <w:pPr>
        <w:ind w:left="7751" w:hanging="360"/>
      </w:pPr>
      <w:rPr>
        <w:rFonts w:hint="default"/>
      </w:rPr>
    </w:lvl>
  </w:abstractNum>
  <w:abstractNum w:abstractNumId="9">
    <w:nsid w:val="57C725C5"/>
    <w:multiLevelType w:val="multilevel"/>
    <w:tmpl w:val="57C725C5"/>
    <w:lvl w:ilvl="0" w:tentative="0">
      <w:start w:val="1"/>
      <w:numFmt w:val="bullet"/>
      <w:lvlText w:val=""/>
      <w:lvlJc w:val="left"/>
      <w:pPr>
        <w:ind w:left="462" w:hanging="360"/>
      </w:pPr>
      <w:rPr>
        <w:rFonts w:hint="default" w:ascii="Symbol" w:hAnsi="Symbol" w:eastAsia="Symbol"/>
        <w:w w:val="100"/>
        <w:sz w:val="24"/>
        <w:szCs w:val="24"/>
      </w:rPr>
    </w:lvl>
    <w:lvl w:ilvl="1" w:tentative="0">
      <w:start w:val="1"/>
      <w:numFmt w:val="bullet"/>
      <w:lvlText w:val="•"/>
      <w:lvlJc w:val="left"/>
      <w:pPr>
        <w:ind w:left="725" w:hanging="360"/>
      </w:pPr>
      <w:rPr>
        <w:rFonts w:hint="default"/>
      </w:rPr>
    </w:lvl>
    <w:lvl w:ilvl="2" w:tentative="0">
      <w:start w:val="1"/>
      <w:numFmt w:val="bullet"/>
      <w:lvlText w:val="•"/>
      <w:lvlJc w:val="left"/>
      <w:pPr>
        <w:ind w:left="989" w:hanging="360"/>
      </w:pPr>
      <w:rPr>
        <w:rFonts w:hint="default"/>
      </w:rPr>
    </w:lvl>
    <w:lvl w:ilvl="3" w:tentative="0">
      <w:start w:val="1"/>
      <w:numFmt w:val="bullet"/>
      <w:lvlText w:val="•"/>
      <w:lvlJc w:val="left"/>
      <w:pPr>
        <w:ind w:left="1252" w:hanging="360"/>
      </w:pPr>
      <w:rPr>
        <w:rFonts w:hint="default"/>
      </w:rPr>
    </w:lvl>
    <w:lvl w:ilvl="4" w:tentative="0">
      <w:start w:val="1"/>
      <w:numFmt w:val="bullet"/>
      <w:lvlText w:val="•"/>
      <w:lvlJc w:val="left"/>
      <w:pPr>
        <w:ind w:left="1515" w:hanging="360"/>
      </w:pPr>
      <w:rPr>
        <w:rFonts w:hint="default"/>
      </w:rPr>
    </w:lvl>
    <w:lvl w:ilvl="5" w:tentative="0">
      <w:start w:val="1"/>
      <w:numFmt w:val="bullet"/>
      <w:lvlText w:val="•"/>
      <w:lvlJc w:val="left"/>
      <w:pPr>
        <w:ind w:left="1779" w:hanging="360"/>
      </w:pPr>
      <w:rPr>
        <w:rFonts w:hint="default"/>
      </w:rPr>
    </w:lvl>
    <w:lvl w:ilvl="6" w:tentative="0">
      <w:start w:val="1"/>
      <w:numFmt w:val="bullet"/>
      <w:lvlText w:val="•"/>
      <w:lvlJc w:val="left"/>
      <w:pPr>
        <w:ind w:left="2042" w:hanging="360"/>
      </w:pPr>
      <w:rPr>
        <w:rFonts w:hint="default"/>
      </w:rPr>
    </w:lvl>
    <w:lvl w:ilvl="7" w:tentative="0">
      <w:start w:val="1"/>
      <w:numFmt w:val="bullet"/>
      <w:lvlText w:val="•"/>
      <w:lvlJc w:val="left"/>
      <w:pPr>
        <w:ind w:left="2306" w:hanging="360"/>
      </w:pPr>
      <w:rPr>
        <w:rFonts w:hint="default"/>
      </w:rPr>
    </w:lvl>
    <w:lvl w:ilvl="8" w:tentative="0">
      <w:start w:val="1"/>
      <w:numFmt w:val="bullet"/>
      <w:lvlText w:val="•"/>
      <w:lvlJc w:val="left"/>
      <w:pPr>
        <w:ind w:left="2569" w:hanging="360"/>
      </w:pPr>
      <w:rPr>
        <w:rFonts w:hint="default"/>
      </w:rPr>
    </w:lvl>
  </w:abstractNum>
  <w:abstractNum w:abstractNumId="10">
    <w:nsid w:val="5E89791C"/>
    <w:multiLevelType w:val="multilevel"/>
    <w:tmpl w:val="5E89791C"/>
    <w:lvl w:ilvl="0" w:tentative="0">
      <w:start w:val="1"/>
      <w:numFmt w:val="decimal"/>
      <w:lvlText w:val="%1."/>
      <w:lvlJc w:val="left"/>
      <w:pPr>
        <w:ind w:left="1015" w:hanging="353"/>
      </w:pPr>
      <w:rPr>
        <w:rFonts w:hint="default" w:ascii="Arial" w:hAnsi="Arial" w:eastAsia="Times New Roman" w:cs="Arial"/>
        <w:sz w:val="24"/>
        <w:szCs w:val="24"/>
      </w:rPr>
    </w:lvl>
    <w:lvl w:ilvl="1" w:tentative="0">
      <w:start w:val="1"/>
      <w:numFmt w:val="bullet"/>
      <w:lvlText w:val=""/>
      <w:lvlJc w:val="left"/>
      <w:pPr>
        <w:ind w:left="1908" w:hanging="533"/>
      </w:pPr>
      <w:rPr>
        <w:rFonts w:hint="default" w:ascii="Symbol" w:hAnsi="Symbol" w:eastAsia="Symbol"/>
        <w:w w:val="100"/>
        <w:sz w:val="24"/>
        <w:szCs w:val="24"/>
      </w:rPr>
    </w:lvl>
    <w:lvl w:ilvl="2" w:tentative="0">
      <w:start w:val="1"/>
      <w:numFmt w:val="bullet"/>
      <w:lvlText w:val="•"/>
      <w:lvlJc w:val="left"/>
      <w:pPr>
        <w:ind w:left="2691" w:hanging="533"/>
      </w:pPr>
      <w:rPr>
        <w:rFonts w:hint="default"/>
      </w:rPr>
    </w:lvl>
    <w:lvl w:ilvl="3" w:tentative="0">
      <w:start w:val="1"/>
      <w:numFmt w:val="bullet"/>
      <w:lvlText w:val="•"/>
      <w:lvlJc w:val="left"/>
      <w:pPr>
        <w:ind w:left="3475" w:hanging="533"/>
      </w:pPr>
      <w:rPr>
        <w:rFonts w:hint="default"/>
      </w:rPr>
    </w:lvl>
    <w:lvl w:ilvl="4" w:tentative="0">
      <w:start w:val="1"/>
      <w:numFmt w:val="bullet"/>
      <w:lvlText w:val="•"/>
      <w:lvlJc w:val="left"/>
      <w:pPr>
        <w:ind w:left="4258" w:hanging="533"/>
      </w:pPr>
      <w:rPr>
        <w:rFonts w:hint="default"/>
      </w:rPr>
    </w:lvl>
    <w:lvl w:ilvl="5" w:tentative="0">
      <w:start w:val="1"/>
      <w:numFmt w:val="bullet"/>
      <w:lvlText w:val="•"/>
      <w:lvlJc w:val="left"/>
      <w:pPr>
        <w:ind w:left="5042" w:hanging="533"/>
      </w:pPr>
      <w:rPr>
        <w:rFonts w:hint="default"/>
      </w:rPr>
    </w:lvl>
    <w:lvl w:ilvl="6" w:tentative="0">
      <w:start w:val="1"/>
      <w:numFmt w:val="bullet"/>
      <w:lvlText w:val="•"/>
      <w:lvlJc w:val="left"/>
      <w:pPr>
        <w:ind w:left="5825" w:hanging="533"/>
      </w:pPr>
      <w:rPr>
        <w:rFonts w:hint="default"/>
      </w:rPr>
    </w:lvl>
    <w:lvl w:ilvl="7" w:tentative="0">
      <w:start w:val="1"/>
      <w:numFmt w:val="bullet"/>
      <w:lvlText w:val="•"/>
      <w:lvlJc w:val="left"/>
      <w:pPr>
        <w:ind w:left="6609" w:hanging="533"/>
      </w:pPr>
      <w:rPr>
        <w:rFonts w:hint="default"/>
      </w:rPr>
    </w:lvl>
    <w:lvl w:ilvl="8" w:tentative="0">
      <w:start w:val="1"/>
      <w:numFmt w:val="bullet"/>
      <w:lvlText w:val="•"/>
      <w:lvlJc w:val="left"/>
      <w:pPr>
        <w:ind w:left="7392" w:hanging="533"/>
      </w:pPr>
      <w:rPr>
        <w:rFonts w:hint="default"/>
      </w:rPr>
    </w:lvl>
  </w:abstractNum>
  <w:abstractNum w:abstractNumId="11">
    <w:nsid w:val="6C1774B2"/>
    <w:multiLevelType w:val="multilevel"/>
    <w:tmpl w:val="6C1774B2"/>
    <w:lvl w:ilvl="0" w:tentative="0">
      <w:start w:val="1"/>
      <w:numFmt w:val="bullet"/>
      <w:lvlText w:val=""/>
      <w:lvlJc w:val="left"/>
      <w:pPr>
        <w:ind w:left="828" w:hanging="360"/>
      </w:pPr>
      <w:rPr>
        <w:rFonts w:hint="default" w:ascii="Symbol" w:hAnsi="Symbol" w:eastAsia="Symbol"/>
        <w:w w:val="100"/>
        <w:sz w:val="24"/>
        <w:szCs w:val="24"/>
      </w:rPr>
    </w:lvl>
    <w:lvl w:ilvl="1" w:tentative="0">
      <w:start w:val="1"/>
      <w:numFmt w:val="bullet"/>
      <w:lvlText w:val="•"/>
      <w:lvlJc w:val="left"/>
      <w:pPr>
        <w:ind w:left="1643" w:hanging="360"/>
      </w:pPr>
      <w:rPr>
        <w:rFonts w:hint="default"/>
      </w:rPr>
    </w:lvl>
    <w:lvl w:ilvl="2" w:tentative="0">
      <w:start w:val="1"/>
      <w:numFmt w:val="bullet"/>
      <w:lvlText w:val="•"/>
      <w:lvlJc w:val="left"/>
      <w:pPr>
        <w:ind w:left="2458" w:hanging="360"/>
      </w:pPr>
      <w:rPr>
        <w:rFonts w:hint="default"/>
      </w:rPr>
    </w:lvl>
    <w:lvl w:ilvl="3" w:tentative="0">
      <w:start w:val="1"/>
      <w:numFmt w:val="bullet"/>
      <w:lvlText w:val="•"/>
      <w:lvlJc w:val="left"/>
      <w:pPr>
        <w:ind w:left="3273" w:hanging="360"/>
      </w:pPr>
      <w:rPr>
        <w:rFonts w:hint="default"/>
      </w:rPr>
    </w:lvl>
    <w:lvl w:ilvl="4" w:tentative="0">
      <w:start w:val="1"/>
      <w:numFmt w:val="bullet"/>
      <w:lvlText w:val="•"/>
      <w:lvlJc w:val="left"/>
      <w:pPr>
        <w:ind w:left="4088" w:hanging="360"/>
      </w:pPr>
      <w:rPr>
        <w:rFonts w:hint="default"/>
      </w:rPr>
    </w:lvl>
    <w:lvl w:ilvl="5" w:tentative="0">
      <w:start w:val="1"/>
      <w:numFmt w:val="bullet"/>
      <w:lvlText w:val="•"/>
      <w:lvlJc w:val="left"/>
      <w:pPr>
        <w:ind w:left="4904" w:hanging="360"/>
      </w:pPr>
      <w:rPr>
        <w:rFonts w:hint="default"/>
      </w:rPr>
    </w:lvl>
    <w:lvl w:ilvl="6" w:tentative="0">
      <w:start w:val="1"/>
      <w:numFmt w:val="bullet"/>
      <w:lvlText w:val="•"/>
      <w:lvlJc w:val="left"/>
      <w:pPr>
        <w:ind w:left="5719" w:hanging="360"/>
      </w:pPr>
      <w:rPr>
        <w:rFonts w:hint="default"/>
      </w:rPr>
    </w:lvl>
    <w:lvl w:ilvl="7" w:tentative="0">
      <w:start w:val="1"/>
      <w:numFmt w:val="bullet"/>
      <w:lvlText w:val="•"/>
      <w:lvlJc w:val="left"/>
      <w:pPr>
        <w:ind w:left="6534" w:hanging="360"/>
      </w:pPr>
      <w:rPr>
        <w:rFonts w:hint="default"/>
      </w:rPr>
    </w:lvl>
    <w:lvl w:ilvl="8" w:tentative="0">
      <w:start w:val="1"/>
      <w:numFmt w:val="bullet"/>
      <w:lvlText w:val="•"/>
      <w:lvlJc w:val="left"/>
      <w:pPr>
        <w:ind w:left="7349" w:hanging="360"/>
      </w:pPr>
      <w:rPr>
        <w:rFonts w:hint="default"/>
      </w:rPr>
    </w:lvl>
  </w:abstractNum>
  <w:abstractNum w:abstractNumId="12">
    <w:nsid w:val="72BE3EBB"/>
    <w:multiLevelType w:val="multilevel"/>
    <w:tmpl w:val="72BE3EBB"/>
    <w:lvl w:ilvl="0" w:tentative="0">
      <w:start w:val="1"/>
      <w:numFmt w:val="lowerLetter"/>
      <w:lvlText w:val="(%1)"/>
      <w:lvlJc w:val="left"/>
      <w:pPr>
        <w:ind w:left="108" w:hanging="384"/>
      </w:pPr>
      <w:rPr>
        <w:rFonts w:hint="default" w:ascii="Arial" w:hAnsi="Arial" w:eastAsia="Times New Roman" w:cs="Arial"/>
        <w:spacing w:val="-1"/>
        <w:sz w:val="24"/>
        <w:szCs w:val="24"/>
      </w:rPr>
    </w:lvl>
    <w:lvl w:ilvl="1" w:tentative="0">
      <w:start w:val="1"/>
      <w:numFmt w:val="bullet"/>
      <w:lvlText w:val=""/>
      <w:lvlJc w:val="left"/>
      <w:pPr>
        <w:ind w:left="468" w:hanging="180"/>
      </w:pPr>
      <w:rPr>
        <w:rFonts w:hint="default" w:ascii="Symbol" w:hAnsi="Symbol" w:eastAsia="Symbol"/>
        <w:w w:val="183"/>
        <w:sz w:val="24"/>
        <w:szCs w:val="24"/>
      </w:rPr>
    </w:lvl>
    <w:lvl w:ilvl="2" w:tentative="0">
      <w:start w:val="1"/>
      <w:numFmt w:val="bullet"/>
      <w:lvlText w:val="•"/>
      <w:lvlJc w:val="left"/>
      <w:pPr>
        <w:ind w:left="1413" w:hanging="180"/>
      </w:pPr>
      <w:rPr>
        <w:rFonts w:hint="default"/>
      </w:rPr>
    </w:lvl>
    <w:lvl w:ilvl="3" w:tentative="0">
      <w:start w:val="1"/>
      <w:numFmt w:val="bullet"/>
      <w:lvlText w:val="•"/>
      <w:lvlJc w:val="left"/>
      <w:pPr>
        <w:ind w:left="2359" w:hanging="180"/>
      </w:pPr>
      <w:rPr>
        <w:rFonts w:hint="default"/>
      </w:rPr>
    </w:lvl>
    <w:lvl w:ilvl="4" w:tentative="0">
      <w:start w:val="1"/>
      <w:numFmt w:val="bullet"/>
      <w:lvlText w:val="•"/>
      <w:lvlJc w:val="left"/>
      <w:pPr>
        <w:ind w:left="3305" w:hanging="180"/>
      </w:pPr>
      <w:rPr>
        <w:rFonts w:hint="default"/>
      </w:rPr>
    </w:lvl>
    <w:lvl w:ilvl="5" w:tentative="0">
      <w:start w:val="1"/>
      <w:numFmt w:val="bullet"/>
      <w:lvlText w:val="•"/>
      <w:lvlJc w:val="left"/>
      <w:pPr>
        <w:ind w:left="4251" w:hanging="180"/>
      </w:pPr>
      <w:rPr>
        <w:rFonts w:hint="default"/>
      </w:rPr>
    </w:lvl>
    <w:lvl w:ilvl="6" w:tentative="0">
      <w:start w:val="1"/>
      <w:numFmt w:val="bullet"/>
      <w:lvlText w:val="•"/>
      <w:lvlJc w:val="left"/>
      <w:pPr>
        <w:ind w:left="5196" w:hanging="180"/>
      </w:pPr>
      <w:rPr>
        <w:rFonts w:hint="default"/>
      </w:rPr>
    </w:lvl>
    <w:lvl w:ilvl="7" w:tentative="0">
      <w:start w:val="1"/>
      <w:numFmt w:val="bullet"/>
      <w:lvlText w:val="•"/>
      <w:lvlJc w:val="left"/>
      <w:pPr>
        <w:ind w:left="6142" w:hanging="180"/>
      </w:pPr>
      <w:rPr>
        <w:rFonts w:hint="default"/>
      </w:rPr>
    </w:lvl>
    <w:lvl w:ilvl="8" w:tentative="0">
      <w:start w:val="1"/>
      <w:numFmt w:val="bullet"/>
      <w:lvlText w:val="•"/>
      <w:lvlJc w:val="left"/>
      <w:pPr>
        <w:ind w:left="7088" w:hanging="180"/>
      </w:pPr>
      <w:rPr>
        <w:rFonts w:hint="default"/>
      </w:rPr>
    </w:lvl>
  </w:abstractNum>
  <w:num w:numId="1">
    <w:abstractNumId w:val="2"/>
  </w:num>
  <w:num w:numId="2">
    <w:abstractNumId w:val="12"/>
  </w:num>
  <w:num w:numId="3">
    <w:abstractNumId w:val="3"/>
  </w:num>
  <w:num w:numId="4">
    <w:abstractNumId w:val="9"/>
  </w:num>
  <w:num w:numId="5">
    <w:abstractNumId w:val="5"/>
  </w:num>
  <w:num w:numId="6">
    <w:abstractNumId w:val="0"/>
  </w:num>
  <w:num w:numId="7">
    <w:abstractNumId w:val="8"/>
  </w:num>
  <w:num w:numId="8">
    <w:abstractNumId w:val="6"/>
  </w:num>
  <w:num w:numId="9">
    <w:abstractNumId w:val="10"/>
  </w:num>
  <w:num w:numId="10">
    <w:abstractNumId w:val="1"/>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720"/>
  <w:drawingGridHorizontalSpacing w:val="110"/>
  <w:displayHorizontalDrawingGridEvery w:val="2"/>
  <w:characterSpacingControl w:val="doNotCompress"/>
  <w:footnotePr>
    <w:footnote w:id="10"/>
    <w:footnote w:id="1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EE"/>
    <w:rsid w:val="000026D5"/>
    <w:rsid w:val="000039C6"/>
    <w:rsid w:val="00003C19"/>
    <w:rsid w:val="00005DDD"/>
    <w:rsid w:val="00007A6B"/>
    <w:rsid w:val="0001055D"/>
    <w:rsid w:val="00010A26"/>
    <w:rsid w:val="00011374"/>
    <w:rsid w:val="00011458"/>
    <w:rsid w:val="0001147D"/>
    <w:rsid w:val="00012635"/>
    <w:rsid w:val="00013040"/>
    <w:rsid w:val="00013CCC"/>
    <w:rsid w:val="00014EF2"/>
    <w:rsid w:val="000152C2"/>
    <w:rsid w:val="0001666D"/>
    <w:rsid w:val="0001747F"/>
    <w:rsid w:val="00020BC5"/>
    <w:rsid w:val="00021895"/>
    <w:rsid w:val="0002491F"/>
    <w:rsid w:val="00026451"/>
    <w:rsid w:val="0002664D"/>
    <w:rsid w:val="000274EF"/>
    <w:rsid w:val="0003253C"/>
    <w:rsid w:val="000333FF"/>
    <w:rsid w:val="00037022"/>
    <w:rsid w:val="00040E81"/>
    <w:rsid w:val="00042171"/>
    <w:rsid w:val="00044B13"/>
    <w:rsid w:val="00045C3B"/>
    <w:rsid w:val="00046513"/>
    <w:rsid w:val="000474FA"/>
    <w:rsid w:val="0005145E"/>
    <w:rsid w:val="00051967"/>
    <w:rsid w:val="000525E0"/>
    <w:rsid w:val="00056063"/>
    <w:rsid w:val="0005683D"/>
    <w:rsid w:val="00057051"/>
    <w:rsid w:val="000611F9"/>
    <w:rsid w:val="00061325"/>
    <w:rsid w:val="00064C14"/>
    <w:rsid w:val="00065581"/>
    <w:rsid w:val="00070DF9"/>
    <w:rsid w:val="00071502"/>
    <w:rsid w:val="00071878"/>
    <w:rsid w:val="00072758"/>
    <w:rsid w:val="00073177"/>
    <w:rsid w:val="0007629B"/>
    <w:rsid w:val="00076C0E"/>
    <w:rsid w:val="00077F8B"/>
    <w:rsid w:val="00081E63"/>
    <w:rsid w:val="00081F1D"/>
    <w:rsid w:val="00082083"/>
    <w:rsid w:val="0008403C"/>
    <w:rsid w:val="00085014"/>
    <w:rsid w:val="00085533"/>
    <w:rsid w:val="00087DB1"/>
    <w:rsid w:val="000915AF"/>
    <w:rsid w:val="00093762"/>
    <w:rsid w:val="000A0BAB"/>
    <w:rsid w:val="000A1ABE"/>
    <w:rsid w:val="000A3887"/>
    <w:rsid w:val="000A3D67"/>
    <w:rsid w:val="000A4C6A"/>
    <w:rsid w:val="000A5CE2"/>
    <w:rsid w:val="000A5EC9"/>
    <w:rsid w:val="000A7379"/>
    <w:rsid w:val="000A7ACA"/>
    <w:rsid w:val="000B0FE4"/>
    <w:rsid w:val="000B4769"/>
    <w:rsid w:val="000B6C49"/>
    <w:rsid w:val="000B789A"/>
    <w:rsid w:val="000C0630"/>
    <w:rsid w:val="000C26D4"/>
    <w:rsid w:val="000C2C00"/>
    <w:rsid w:val="000C2F95"/>
    <w:rsid w:val="000C3E04"/>
    <w:rsid w:val="000C4910"/>
    <w:rsid w:val="000D0855"/>
    <w:rsid w:val="000D159D"/>
    <w:rsid w:val="000D1EA4"/>
    <w:rsid w:val="000D27E0"/>
    <w:rsid w:val="000D2FFC"/>
    <w:rsid w:val="000D57F3"/>
    <w:rsid w:val="000D7466"/>
    <w:rsid w:val="000E06DE"/>
    <w:rsid w:val="000E1C4A"/>
    <w:rsid w:val="000E4682"/>
    <w:rsid w:val="000E5D84"/>
    <w:rsid w:val="000E7540"/>
    <w:rsid w:val="000F377D"/>
    <w:rsid w:val="000F3B85"/>
    <w:rsid w:val="000F3CE6"/>
    <w:rsid w:val="000F4038"/>
    <w:rsid w:val="000F5141"/>
    <w:rsid w:val="00100D97"/>
    <w:rsid w:val="00101680"/>
    <w:rsid w:val="00102372"/>
    <w:rsid w:val="0010279F"/>
    <w:rsid w:val="00103585"/>
    <w:rsid w:val="00104A0B"/>
    <w:rsid w:val="00104CCF"/>
    <w:rsid w:val="0010544C"/>
    <w:rsid w:val="0010739E"/>
    <w:rsid w:val="001104DE"/>
    <w:rsid w:val="001117AE"/>
    <w:rsid w:val="00111B78"/>
    <w:rsid w:val="00111C07"/>
    <w:rsid w:val="00111DC4"/>
    <w:rsid w:val="00113685"/>
    <w:rsid w:val="00114873"/>
    <w:rsid w:val="00116488"/>
    <w:rsid w:val="0011681B"/>
    <w:rsid w:val="0011768B"/>
    <w:rsid w:val="00117863"/>
    <w:rsid w:val="00121195"/>
    <w:rsid w:val="001217A0"/>
    <w:rsid w:val="00122341"/>
    <w:rsid w:val="00124349"/>
    <w:rsid w:val="00124B37"/>
    <w:rsid w:val="00124DE7"/>
    <w:rsid w:val="0012582A"/>
    <w:rsid w:val="00125D67"/>
    <w:rsid w:val="0013076C"/>
    <w:rsid w:val="0013090D"/>
    <w:rsid w:val="00130C7B"/>
    <w:rsid w:val="00132CC6"/>
    <w:rsid w:val="00135CFC"/>
    <w:rsid w:val="001372DC"/>
    <w:rsid w:val="00137309"/>
    <w:rsid w:val="00137B84"/>
    <w:rsid w:val="00140FAC"/>
    <w:rsid w:val="001416F8"/>
    <w:rsid w:val="00143C10"/>
    <w:rsid w:val="001464BA"/>
    <w:rsid w:val="00150C51"/>
    <w:rsid w:val="001527F8"/>
    <w:rsid w:val="0015290A"/>
    <w:rsid w:val="001531CF"/>
    <w:rsid w:val="0015399B"/>
    <w:rsid w:val="001575C2"/>
    <w:rsid w:val="001614D7"/>
    <w:rsid w:val="00161E82"/>
    <w:rsid w:val="00165760"/>
    <w:rsid w:val="00165B49"/>
    <w:rsid w:val="00167820"/>
    <w:rsid w:val="00167A03"/>
    <w:rsid w:val="00170811"/>
    <w:rsid w:val="001713AA"/>
    <w:rsid w:val="00171748"/>
    <w:rsid w:val="001724A9"/>
    <w:rsid w:val="001737F7"/>
    <w:rsid w:val="001755FB"/>
    <w:rsid w:val="00177543"/>
    <w:rsid w:val="00183BD5"/>
    <w:rsid w:val="001866A1"/>
    <w:rsid w:val="001866A3"/>
    <w:rsid w:val="00187622"/>
    <w:rsid w:val="00187D4B"/>
    <w:rsid w:val="001906BD"/>
    <w:rsid w:val="00191733"/>
    <w:rsid w:val="0019436B"/>
    <w:rsid w:val="001973D4"/>
    <w:rsid w:val="00197804"/>
    <w:rsid w:val="001A08AE"/>
    <w:rsid w:val="001A27BB"/>
    <w:rsid w:val="001A2A2E"/>
    <w:rsid w:val="001A2D3D"/>
    <w:rsid w:val="001A3663"/>
    <w:rsid w:val="001A487D"/>
    <w:rsid w:val="001A613F"/>
    <w:rsid w:val="001A7BDB"/>
    <w:rsid w:val="001A7C0B"/>
    <w:rsid w:val="001A7EDE"/>
    <w:rsid w:val="001B38F8"/>
    <w:rsid w:val="001C016D"/>
    <w:rsid w:val="001C5B2B"/>
    <w:rsid w:val="001C62F9"/>
    <w:rsid w:val="001C73FA"/>
    <w:rsid w:val="001D497E"/>
    <w:rsid w:val="001D64B8"/>
    <w:rsid w:val="001D6971"/>
    <w:rsid w:val="001D7D55"/>
    <w:rsid w:val="001E0B96"/>
    <w:rsid w:val="001E284D"/>
    <w:rsid w:val="001E4F78"/>
    <w:rsid w:val="001E57F4"/>
    <w:rsid w:val="001E5B05"/>
    <w:rsid w:val="001E664E"/>
    <w:rsid w:val="001E6B9A"/>
    <w:rsid w:val="001E7432"/>
    <w:rsid w:val="001F1A89"/>
    <w:rsid w:val="001F39CB"/>
    <w:rsid w:val="001F3ED7"/>
    <w:rsid w:val="001F5A87"/>
    <w:rsid w:val="001F77DC"/>
    <w:rsid w:val="00204135"/>
    <w:rsid w:val="00211612"/>
    <w:rsid w:val="00211772"/>
    <w:rsid w:val="0021288B"/>
    <w:rsid w:val="00214AC2"/>
    <w:rsid w:val="002159CD"/>
    <w:rsid w:val="00216CD4"/>
    <w:rsid w:val="00216EA5"/>
    <w:rsid w:val="0021758E"/>
    <w:rsid w:val="002239C5"/>
    <w:rsid w:val="00226472"/>
    <w:rsid w:val="00231948"/>
    <w:rsid w:val="0023228D"/>
    <w:rsid w:val="00232C62"/>
    <w:rsid w:val="002340BB"/>
    <w:rsid w:val="002365A0"/>
    <w:rsid w:val="00236888"/>
    <w:rsid w:val="00236E07"/>
    <w:rsid w:val="00237A56"/>
    <w:rsid w:val="002425EC"/>
    <w:rsid w:val="00242756"/>
    <w:rsid w:val="00243CE2"/>
    <w:rsid w:val="00243E32"/>
    <w:rsid w:val="00245698"/>
    <w:rsid w:val="00245EC4"/>
    <w:rsid w:val="002468FD"/>
    <w:rsid w:val="00247792"/>
    <w:rsid w:val="00251903"/>
    <w:rsid w:val="002524BE"/>
    <w:rsid w:val="002528DD"/>
    <w:rsid w:val="00254D64"/>
    <w:rsid w:val="002555AC"/>
    <w:rsid w:val="00255660"/>
    <w:rsid w:val="00260927"/>
    <w:rsid w:val="00261937"/>
    <w:rsid w:val="00264A71"/>
    <w:rsid w:val="0026549A"/>
    <w:rsid w:val="00265950"/>
    <w:rsid w:val="00267A93"/>
    <w:rsid w:val="00270437"/>
    <w:rsid w:val="00275952"/>
    <w:rsid w:val="00275E84"/>
    <w:rsid w:val="00276312"/>
    <w:rsid w:val="00284122"/>
    <w:rsid w:val="0028446C"/>
    <w:rsid w:val="00287567"/>
    <w:rsid w:val="0029341D"/>
    <w:rsid w:val="002944C4"/>
    <w:rsid w:val="00294887"/>
    <w:rsid w:val="00294CC6"/>
    <w:rsid w:val="00295517"/>
    <w:rsid w:val="00296593"/>
    <w:rsid w:val="00296CD8"/>
    <w:rsid w:val="00296E70"/>
    <w:rsid w:val="002A0BB2"/>
    <w:rsid w:val="002A0F08"/>
    <w:rsid w:val="002A1606"/>
    <w:rsid w:val="002A303A"/>
    <w:rsid w:val="002A3F16"/>
    <w:rsid w:val="002A5166"/>
    <w:rsid w:val="002A51E9"/>
    <w:rsid w:val="002A5D6A"/>
    <w:rsid w:val="002A61EE"/>
    <w:rsid w:val="002A74B7"/>
    <w:rsid w:val="002B12E5"/>
    <w:rsid w:val="002B3B98"/>
    <w:rsid w:val="002B5588"/>
    <w:rsid w:val="002B6619"/>
    <w:rsid w:val="002B6929"/>
    <w:rsid w:val="002C1206"/>
    <w:rsid w:val="002C13A5"/>
    <w:rsid w:val="002C3712"/>
    <w:rsid w:val="002C385E"/>
    <w:rsid w:val="002C5712"/>
    <w:rsid w:val="002D042C"/>
    <w:rsid w:val="002D206B"/>
    <w:rsid w:val="002D2D4C"/>
    <w:rsid w:val="002D30DA"/>
    <w:rsid w:val="002D36D3"/>
    <w:rsid w:val="002D5E40"/>
    <w:rsid w:val="002D5E6C"/>
    <w:rsid w:val="002D7DE7"/>
    <w:rsid w:val="002E0BD8"/>
    <w:rsid w:val="002E450E"/>
    <w:rsid w:val="002E485B"/>
    <w:rsid w:val="002E66B9"/>
    <w:rsid w:val="002E6A02"/>
    <w:rsid w:val="002F15E8"/>
    <w:rsid w:val="002F2D00"/>
    <w:rsid w:val="002F308D"/>
    <w:rsid w:val="002F463C"/>
    <w:rsid w:val="002F46BD"/>
    <w:rsid w:val="002F7034"/>
    <w:rsid w:val="002F7AB4"/>
    <w:rsid w:val="0030206A"/>
    <w:rsid w:val="003034F2"/>
    <w:rsid w:val="003046B9"/>
    <w:rsid w:val="00304C39"/>
    <w:rsid w:val="003053DC"/>
    <w:rsid w:val="0030554D"/>
    <w:rsid w:val="003059FA"/>
    <w:rsid w:val="003062D2"/>
    <w:rsid w:val="00307547"/>
    <w:rsid w:val="00307E53"/>
    <w:rsid w:val="00310544"/>
    <w:rsid w:val="003106C0"/>
    <w:rsid w:val="00313350"/>
    <w:rsid w:val="0031483E"/>
    <w:rsid w:val="0031596F"/>
    <w:rsid w:val="0031762A"/>
    <w:rsid w:val="003218BB"/>
    <w:rsid w:val="00321F25"/>
    <w:rsid w:val="00322573"/>
    <w:rsid w:val="00323737"/>
    <w:rsid w:val="00323FB4"/>
    <w:rsid w:val="00326403"/>
    <w:rsid w:val="0032799E"/>
    <w:rsid w:val="0033085F"/>
    <w:rsid w:val="00334936"/>
    <w:rsid w:val="003363F2"/>
    <w:rsid w:val="00337489"/>
    <w:rsid w:val="003374D6"/>
    <w:rsid w:val="00340B27"/>
    <w:rsid w:val="00340E52"/>
    <w:rsid w:val="00341E60"/>
    <w:rsid w:val="0034250A"/>
    <w:rsid w:val="00344149"/>
    <w:rsid w:val="003449E6"/>
    <w:rsid w:val="003457A9"/>
    <w:rsid w:val="0034709D"/>
    <w:rsid w:val="0035008C"/>
    <w:rsid w:val="0035057A"/>
    <w:rsid w:val="00356947"/>
    <w:rsid w:val="00361FFE"/>
    <w:rsid w:val="00363A75"/>
    <w:rsid w:val="0036589F"/>
    <w:rsid w:val="00366278"/>
    <w:rsid w:val="003712DA"/>
    <w:rsid w:val="00371A01"/>
    <w:rsid w:val="00374FEB"/>
    <w:rsid w:val="0038041A"/>
    <w:rsid w:val="00382E1D"/>
    <w:rsid w:val="00384CE0"/>
    <w:rsid w:val="003910ED"/>
    <w:rsid w:val="00393E51"/>
    <w:rsid w:val="00396178"/>
    <w:rsid w:val="00396CCF"/>
    <w:rsid w:val="003976B1"/>
    <w:rsid w:val="00397C38"/>
    <w:rsid w:val="003A0151"/>
    <w:rsid w:val="003A13A7"/>
    <w:rsid w:val="003A3528"/>
    <w:rsid w:val="003A5E79"/>
    <w:rsid w:val="003B3DB7"/>
    <w:rsid w:val="003B6BC5"/>
    <w:rsid w:val="003B6F5B"/>
    <w:rsid w:val="003B6FDA"/>
    <w:rsid w:val="003C1EC9"/>
    <w:rsid w:val="003C3A6E"/>
    <w:rsid w:val="003C5009"/>
    <w:rsid w:val="003C623B"/>
    <w:rsid w:val="003C6B1F"/>
    <w:rsid w:val="003D0C0E"/>
    <w:rsid w:val="003D1C1B"/>
    <w:rsid w:val="003D1F9C"/>
    <w:rsid w:val="003D4F13"/>
    <w:rsid w:val="003E06B1"/>
    <w:rsid w:val="003E0944"/>
    <w:rsid w:val="003E206F"/>
    <w:rsid w:val="003E2B99"/>
    <w:rsid w:val="003E454D"/>
    <w:rsid w:val="003E5522"/>
    <w:rsid w:val="003E7161"/>
    <w:rsid w:val="003F12AC"/>
    <w:rsid w:val="003F1FFB"/>
    <w:rsid w:val="003F326B"/>
    <w:rsid w:val="003F3F1F"/>
    <w:rsid w:val="003F4732"/>
    <w:rsid w:val="003F65F6"/>
    <w:rsid w:val="003F67FC"/>
    <w:rsid w:val="003F6BE4"/>
    <w:rsid w:val="003F6DAF"/>
    <w:rsid w:val="003F6F59"/>
    <w:rsid w:val="003F7130"/>
    <w:rsid w:val="003F721E"/>
    <w:rsid w:val="004025DB"/>
    <w:rsid w:val="00402F24"/>
    <w:rsid w:val="00404348"/>
    <w:rsid w:val="00404D35"/>
    <w:rsid w:val="00411725"/>
    <w:rsid w:val="004123DD"/>
    <w:rsid w:val="0041690B"/>
    <w:rsid w:val="004170CA"/>
    <w:rsid w:val="0042142B"/>
    <w:rsid w:val="00424D10"/>
    <w:rsid w:val="004251E9"/>
    <w:rsid w:val="004258D5"/>
    <w:rsid w:val="00427405"/>
    <w:rsid w:val="00432486"/>
    <w:rsid w:val="0043531A"/>
    <w:rsid w:val="00435618"/>
    <w:rsid w:val="004357B1"/>
    <w:rsid w:val="004400CD"/>
    <w:rsid w:val="00440405"/>
    <w:rsid w:val="00441D04"/>
    <w:rsid w:val="00442A2F"/>
    <w:rsid w:val="00442C7D"/>
    <w:rsid w:val="0044397A"/>
    <w:rsid w:val="004445E7"/>
    <w:rsid w:val="00445C1E"/>
    <w:rsid w:val="00446B80"/>
    <w:rsid w:val="00446E3E"/>
    <w:rsid w:val="004472D8"/>
    <w:rsid w:val="004472DC"/>
    <w:rsid w:val="00450B65"/>
    <w:rsid w:val="0045164F"/>
    <w:rsid w:val="004526EE"/>
    <w:rsid w:val="00452E37"/>
    <w:rsid w:val="004538C6"/>
    <w:rsid w:val="00454041"/>
    <w:rsid w:val="0045409B"/>
    <w:rsid w:val="00463048"/>
    <w:rsid w:val="004637F7"/>
    <w:rsid w:val="004656C8"/>
    <w:rsid w:val="004660E8"/>
    <w:rsid w:val="00471DC7"/>
    <w:rsid w:val="0047302D"/>
    <w:rsid w:val="004737C7"/>
    <w:rsid w:val="00473C3B"/>
    <w:rsid w:val="00473FD1"/>
    <w:rsid w:val="00475162"/>
    <w:rsid w:val="004763AD"/>
    <w:rsid w:val="00476824"/>
    <w:rsid w:val="00482ACF"/>
    <w:rsid w:val="0048366F"/>
    <w:rsid w:val="00483B41"/>
    <w:rsid w:val="00485047"/>
    <w:rsid w:val="00486682"/>
    <w:rsid w:val="00486DA5"/>
    <w:rsid w:val="004928BB"/>
    <w:rsid w:val="00493090"/>
    <w:rsid w:val="00493674"/>
    <w:rsid w:val="00494229"/>
    <w:rsid w:val="00494703"/>
    <w:rsid w:val="00494929"/>
    <w:rsid w:val="00495445"/>
    <w:rsid w:val="00495BF1"/>
    <w:rsid w:val="00495C64"/>
    <w:rsid w:val="00495D10"/>
    <w:rsid w:val="00496402"/>
    <w:rsid w:val="004A07F8"/>
    <w:rsid w:val="004A110D"/>
    <w:rsid w:val="004A2876"/>
    <w:rsid w:val="004A459A"/>
    <w:rsid w:val="004A4D77"/>
    <w:rsid w:val="004A62C2"/>
    <w:rsid w:val="004B0D70"/>
    <w:rsid w:val="004B10DA"/>
    <w:rsid w:val="004B1B8B"/>
    <w:rsid w:val="004B3713"/>
    <w:rsid w:val="004B3D85"/>
    <w:rsid w:val="004B772A"/>
    <w:rsid w:val="004C073F"/>
    <w:rsid w:val="004C3355"/>
    <w:rsid w:val="004C39EC"/>
    <w:rsid w:val="004C5B49"/>
    <w:rsid w:val="004C6DE0"/>
    <w:rsid w:val="004D0758"/>
    <w:rsid w:val="004D4B74"/>
    <w:rsid w:val="004E03FB"/>
    <w:rsid w:val="004E1D89"/>
    <w:rsid w:val="004E3D37"/>
    <w:rsid w:val="004E5ADA"/>
    <w:rsid w:val="004E5EA5"/>
    <w:rsid w:val="004E5F0E"/>
    <w:rsid w:val="004E6265"/>
    <w:rsid w:val="004E6B5E"/>
    <w:rsid w:val="004E6E9A"/>
    <w:rsid w:val="004E7249"/>
    <w:rsid w:val="004E74A2"/>
    <w:rsid w:val="004E7545"/>
    <w:rsid w:val="004F005F"/>
    <w:rsid w:val="004F0EA5"/>
    <w:rsid w:val="004F130A"/>
    <w:rsid w:val="004F13FC"/>
    <w:rsid w:val="004F3096"/>
    <w:rsid w:val="004F3604"/>
    <w:rsid w:val="004F45B8"/>
    <w:rsid w:val="004F75FB"/>
    <w:rsid w:val="004F7A60"/>
    <w:rsid w:val="00501339"/>
    <w:rsid w:val="0050275C"/>
    <w:rsid w:val="00502BD1"/>
    <w:rsid w:val="005068E0"/>
    <w:rsid w:val="00506F31"/>
    <w:rsid w:val="00507D11"/>
    <w:rsid w:val="00507FBA"/>
    <w:rsid w:val="0051015E"/>
    <w:rsid w:val="0051022E"/>
    <w:rsid w:val="00510A9F"/>
    <w:rsid w:val="0051341E"/>
    <w:rsid w:val="00516EA4"/>
    <w:rsid w:val="005176B5"/>
    <w:rsid w:val="0052180B"/>
    <w:rsid w:val="00521D0C"/>
    <w:rsid w:val="005224AE"/>
    <w:rsid w:val="0052281D"/>
    <w:rsid w:val="00522886"/>
    <w:rsid w:val="005232D5"/>
    <w:rsid w:val="00523584"/>
    <w:rsid w:val="00523AA7"/>
    <w:rsid w:val="005249CB"/>
    <w:rsid w:val="00524D27"/>
    <w:rsid w:val="0052620B"/>
    <w:rsid w:val="005263FC"/>
    <w:rsid w:val="00527743"/>
    <w:rsid w:val="005323FE"/>
    <w:rsid w:val="00533165"/>
    <w:rsid w:val="005336D7"/>
    <w:rsid w:val="00533ED9"/>
    <w:rsid w:val="0053408C"/>
    <w:rsid w:val="00536217"/>
    <w:rsid w:val="005369B5"/>
    <w:rsid w:val="00537677"/>
    <w:rsid w:val="00541709"/>
    <w:rsid w:val="005423E9"/>
    <w:rsid w:val="00542EEA"/>
    <w:rsid w:val="00543124"/>
    <w:rsid w:val="00543AC4"/>
    <w:rsid w:val="00550242"/>
    <w:rsid w:val="005558C2"/>
    <w:rsid w:val="00557AA6"/>
    <w:rsid w:val="00560F4C"/>
    <w:rsid w:val="00563086"/>
    <w:rsid w:val="0056752A"/>
    <w:rsid w:val="00571A1C"/>
    <w:rsid w:val="005725A2"/>
    <w:rsid w:val="00572ADF"/>
    <w:rsid w:val="00573E8B"/>
    <w:rsid w:val="0057416B"/>
    <w:rsid w:val="005746CD"/>
    <w:rsid w:val="0057543E"/>
    <w:rsid w:val="00582FBB"/>
    <w:rsid w:val="0058552C"/>
    <w:rsid w:val="0058727D"/>
    <w:rsid w:val="00590BFE"/>
    <w:rsid w:val="00591793"/>
    <w:rsid w:val="00592C8B"/>
    <w:rsid w:val="00594D61"/>
    <w:rsid w:val="00595002"/>
    <w:rsid w:val="0059506A"/>
    <w:rsid w:val="00595424"/>
    <w:rsid w:val="00595B91"/>
    <w:rsid w:val="00596FA8"/>
    <w:rsid w:val="005971C3"/>
    <w:rsid w:val="005A0D73"/>
    <w:rsid w:val="005A103B"/>
    <w:rsid w:val="005A17E4"/>
    <w:rsid w:val="005A6E6A"/>
    <w:rsid w:val="005A7EDA"/>
    <w:rsid w:val="005B1A13"/>
    <w:rsid w:val="005B5402"/>
    <w:rsid w:val="005B6492"/>
    <w:rsid w:val="005B67C0"/>
    <w:rsid w:val="005B792F"/>
    <w:rsid w:val="005D2B61"/>
    <w:rsid w:val="005D3999"/>
    <w:rsid w:val="005D4C4C"/>
    <w:rsid w:val="005D4F6E"/>
    <w:rsid w:val="005D51BA"/>
    <w:rsid w:val="005D607C"/>
    <w:rsid w:val="005D79F5"/>
    <w:rsid w:val="005E097F"/>
    <w:rsid w:val="005E26CD"/>
    <w:rsid w:val="005E2FC1"/>
    <w:rsid w:val="005E44CA"/>
    <w:rsid w:val="005E59BE"/>
    <w:rsid w:val="005F1E01"/>
    <w:rsid w:val="005F3974"/>
    <w:rsid w:val="005F5ED3"/>
    <w:rsid w:val="005F65A8"/>
    <w:rsid w:val="005F6654"/>
    <w:rsid w:val="005F7CAB"/>
    <w:rsid w:val="006016BC"/>
    <w:rsid w:val="00604F0F"/>
    <w:rsid w:val="00605C6E"/>
    <w:rsid w:val="00605CB9"/>
    <w:rsid w:val="00605DA2"/>
    <w:rsid w:val="00612C4D"/>
    <w:rsid w:val="00613167"/>
    <w:rsid w:val="00613A7A"/>
    <w:rsid w:val="00615750"/>
    <w:rsid w:val="006167E0"/>
    <w:rsid w:val="006168BD"/>
    <w:rsid w:val="00617C01"/>
    <w:rsid w:val="00623562"/>
    <w:rsid w:val="00623DBD"/>
    <w:rsid w:val="00627023"/>
    <w:rsid w:val="0062713C"/>
    <w:rsid w:val="006325E3"/>
    <w:rsid w:val="0063632F"/>
    <w:rsid w:val="0063671D"/>
    <w:rsid w:val="00636C7D"/>
    <w:rsid w:val="006401AB"/>
    <w:rsid w:val="00642E2F"/>
    <w:rsid w:val="00643484"/>
    <w:rsid w:val="0064574E"/>
    <w:rsid w:val="00645E00"/>
    <w:rsid w:val="00650586"/>
    <w:rsid w:val="00650AB4"/>
    <w:rsid w:val="0065136A"/>
    <w:rsid w:val="00652A71"/>
    <w:rsid w:val="00654FC8"/>
    <w:rsid w:val="00657AC5"/>
    <w:rsid w:val="006607C8"/>
    <w:rsid w:val="00661370"/>
    <w:rsid w:val="00664AD8"/>
    <w:rsid w:val="0066578A"/>
    <w:rsid w:val="00666B6A"/>
    <w:rsid w:val="0067076D"/>
    <w:rsid w:val="00673C4E"/>
    <w:rsid w:val="00673F16"/>
    <w:rsid w:val="006753E8"/>
    <w:rsid w:val="0067761D"/>
    <w:rsid w:val="006800D1"/>
    <w:rsid w:val="006824B6"/>
    <w:rsid w:val="0068632F"/>
    <w:rsid w:val="00686C2E"/>
    <w:rsid w:val="006900DA"/>
    <w:rsid w:val="006907B6"/>
    <w:rsid w:val="006914A2"/>
    <w:rsid w:val="00691BC5"/>
    <w:rsid w:val="00691FA6"/>
    <w:rsid w:val="00693A1E"/>
    <w:rsid w:val="0069450F"/>
    <w:rsid w:val="00695C57"/>
    <w:rsid w:val="00696AC5"/>
    <w:rsid w:val="00697A1A"/>
    <w:rsid w:val="006A0734"/>
    <w:rsid w:val="006A1824"/>
    <w:rsid w:val="006A18F8"/>
    <w:rsid w:val="006A2259"/>
    <w:rsid w:val="006A49B7"/>
    <w:rsid w:val="006A68C8"/>
    <w:rsid w:val="006A7769"/>
    <w:rsid w:val="006B4086"/>
    <w:rsid w:val="006B68A1"/>
    <w:rsid w:val="006B710A"/>
    <w:rsid w:val="006B7529"/>
    <w:rsid w:val="006B7D4A"/>
    <w:rsid w:val="006C50F5"/>
    <w:rsid w:val="006D02FF"/>
    <w:rsid w:val="006D3ED8"/>
    <w:rsid w:val="006E3841"/>
    <w:rsid w:val="006E4287"/>
    <w:rsid w:val="006E4883"/>
    <w:rsid w:val="006E540F"/>
    <w:rsid w:val="006F2580"/>
    <w:rsid w:val="006F3A67"/>
    <w:rsid w:val="006F6751"/>
    <w:rsid w:val="006F6BB9"/>
    <w:rsid w:val="006F78DE"/>
    <w:rsid w:val="006F7DF4"/>
    <w:rsid w:val="0070205A"/>
    <w:rsid w:val="00702840"/>
    <w:rsid w:val="007031D9"/>
    <w:rsid w:val="00703307"/>
    <w:rsid w:val="00704FB9"/>
    <w:rsid w:val="00705647"/>
    <w:rsid w:val="00705A6F"/>
    <w:rsid w:val="007078D6"/>
    <w:rsid w:val="00712435"/>
    <w:rsid w:val="007131D8"/>
    <w:rsid w:val="00715C96"/>
    <w:rsid w:val="007203F0"/>
    <w:rsid w:val="0072450C"/>
    <w:rsid w:val="00726DE9"/>
    <w:rsid w:val="00730288"/>
    <w:rsid w:val="00735B91"/>
    <w:rsid w:val="007418A3"/>
    <w:rsid w:val="0074396D"/>
    <w:rsid w:val="007443A5"/>
    <w:rsid w:val="00745296"/>
    <w:rsid w:val="00745F4B"/>
    <w:rsid w:val="00751B44"/>
    <w:rsid w:val="00752AC5"/>
    <w:rsid w:val="007542E8"/>
    <w:rsid w:val="00755572"/>
    <w:rsid w:val="00757D35"/>
    <w:rsid w:val="00760282"/>
    <w:rsid w:val="00760943"/>
    <w:rsid w:val="007615B8"/>
    <w:rsid w:val="00763035"/>
    <w:rsid w:val="00765E6E"/>
    <w:rsid w:val="00765F29"/>
    <w:rsid w:val="00766E91"/>
    <w:rsid w:val="00767E4B"/>
    <w:rsid w:val="0077270D"/>
    <w:rsid w:val="007737D5"/>
    <w:rsid w:val="0077656A"/>
    <w:rsid w:val="00776832"/>
    <w:rsid w:val="00776D77"/>
    <w:rsid w:val="007810CC"/>
    <w:rsid w:val="0078175C"/>
    <w:rsid w:val="0078328F"/>
    <w:rsid w:val="007858D6"/>
    <w:rsid w:val="0078619A"/>
    <w:rsid w:val="00786DD5"/>
    <w:rsid w:val="0079088B"/>
    <w:rsid w:val="00791086"/>
    <w:rsid w:val="007917BA"/>
    <w:rsid w:val="00793C8C"/>
    <w:rsid w:val="00795EEE"/>
    <w:rsid w:val="00797218"/>
    <w:rsid w:val="007972F0"/>
    <w:rsid w:val="007A033C"/>
    <w:rsid w:val="007A0718"/>
    <w:rsid w:val="007A0787"/>
    <w:rsid w:val="007A1DA1"/>
    <w:rsid w:val="007A25FE"/>
    <w:rsid w:val="007A27C6"/>
    <w:rsid w:val="007A29D8"/>
    <w:rsid w:val="007A3065"/>
    <w:rsid w:val="007A48B8"/>
    <w:rsid w:val="007A6E55"/>
    <w:rsid w:val="007A7E98"/>
    <w:rsid w:val="007B0290"/>
    <w:rsid w:val="007B18C2"/>
    <w:rsid w:val="007B273F"/>
    <w:rsid w:val="007B4542"/>
    <w:rsid w:val="007B59B8"/>
    <w:rsid w:val="007B67EB"/>
    <w:rsid w:val="007B7132"/>
    <w:rsid w:val="007C29CE"/>
    <w:rsid w:val="007C2A9E"/>
    <w:rsid w:val="007C303B"/>
    <w:rsid w:val="007C30F3"/>
    <w:rsid w:val="007C4298"/>
    <w:rsid w:val="007C552B"/>
    <w:rsid w:val="007C5AB1"/>
    <w:rsid w:val="007C7EE6"/>
    <w:rsid w:val="007D1F22"/>
    <w:rsid w:val="007D41B9"/>
    <w:rsid w:val="007D4836"/>
    <w:rsid w:val="007D60E2"/>
    <w:rsid w:val="007D686A"/>
    <w:rsid w:val="007D7256"/>
    <w:rsid w:val="007E0512"/>
    <w:rsid w:val="007E1AF5"/>
    <w:rsid w:val="007E2A12"/>
    <w:rsid w:val="007E2F4F"/>
    <w:rsid w:val="007E46AF"/>
    <w:rsid w:val="007E70B2"/>
    <w:rsid w:val="007F112F"/>
    <w:rsid w:val="007F148B"/>
    <w:rsid w:val="007F1A6C"/>
    <w:rsid w:val="007F35B4"/>
    <w:rsid w:val="007F424F"/>
    <w:rsid w:val="007F4371"/>
    <w:rsid w:val="007F7B84"/>
    <w:rsid w:val="0080096D"/>
    <w:rsid w:val="00802668"/>
    <w:rsid w:val="0080307E"/>
    <w:rsid w:val="00805CCD"/>
    <w:rsid w:val="0080669E"/>
    <w:rsid w:val="0081497D"/>
    <w:rsid w:val="00815C67"/>
    <w:rsid w:val="00817682"/>
    <w:rsid w:val="00817DBA"/>
    <w:rsid w:val="00820794"/>
    <w:rsid w:val="00823153"/>
    <w:rsid w:val="00823ADD"/>
    <w:rsid w:val="00831C82"/>
    <w:rsid w:val="00834CF0"/>
    <w:rsid w:val="0083541C"/>
    <w:rsid w:val="008378FF"/>
    <w:rsid w:val="008400C9"/>
    <w:rsid w:val="008416C7"/>
    <w:rsid w:val="008432E9"/>
    <w:rsid w:val="0084518F"/>
    <w:rsid w:val="008515E3"/>
    <w:rsid w:val="008546C2"/>
    <w:rsid w:val="008547DB"/>
    <w:rsid w:val="00855BFF"/>
    <w:rsid w:val="00857B26"/>
    <w:rsid w:val="00857B59"/>
    <w:rsid w:val="00861B71"/>
    <w:rsid w:val="00861D7C"/>
    <w:rsid w:val="008634EB"/>
    <w:rsid w:val="00863D34"/>
    <w:rsid w:val="008654E2"/>
    <w:rsid w:val="008655BA"/>
    <w:rsid w:val="00866769"/>
    <w:rsid w:val="008673A8"/>
    <w:rsid w:val="008676CF"/>
    <w:rsid w:val="008715AE"/>
    <w:rsid w:val="00872206"/>
    <w:rsid w:val="00876738"/>
    <w:rsid w:val="00877941"/>
    <w:rsid w:val="00881C0F"/>
    <w:rsid w:val="00881FC3"/>
    <w:rsid w:val="008837B2"/>
    <w:rsid w:val="00887315"/>
    <w:rsid w:val="008912BA"/>
    <w:rsid w:val="00892E8C"/>
    <w:rsid w:val="008967A1"/>
    <w:rsid w:val="008A04C2"/>
    <w:rsid w:val="008A07E6"/>
    <w:rsid w:val="008A0F1D"/>
    <w:rsid w:val="008A2E1B"/>
    <w:rsid w:val="008A5F62"/>
    <w:rsid w:val="008B404E"/>
    <w:rsid w:val="008B4868"/>
    <w:rsid w:val="008B4EAC"/>
    <w:rsid w:val="008B554A"/>
    <w:rsid w:val="008B57E1"/>
    <w:rsid w:val="008B6737"/>
    <w:rsid w:val="008C0265"/>
    <w:rsid w:val="008C17EE"/>
    <w:rsid w:val="008C1A0B"/>
    <w:rsid w:val="008C54CF"/>
    <w:rsid w:val="008C5727"/>
    <w:rsid w:val="008C601E"/>
    <w:rsid w:val="008D08B1"/>
    <w:rsid w:val="008D15FA"/>
    <w:rsid w:val="008D2ADC"/>
    <w:rsid w:val="008D309D"/>
    <w:rsid w:val="008D3710"/>
    <w:rsid w:val="008D3E33"/>
    <w:rsid w:val="008D4B9B"/>
    <w:rsid w:val="008D6B4A"/>
    <w:rsid w:val="008E2415"/>
    <w:rsid w:val="008E3EC7"/>
    <w:rsid w:val="008E5207"/>
    <w:rsid w:val="008F1F5B"/>
    <w:rsid w:val="008F35F4"/>
    <w:rsid w:val="008F3E96"/>
    <w:rsid w:val="008F51E8"/>
    <w:rsid w:val="00903CF3"/>
    <w:rsid w:val="00905ACA"/>
    <w:rsid w:val="00905FC5"/>
    <w:rsid w:val="0090689C"/>
    <w:rsid w:val="009134BC"/>
    <w:rsid w:val="009137FC"/>
    <w:rsid w:val="00913958"/>
    <w:rsid w:val="0091591E"/>
    <w:rsid w:val="00917362"/>
    <w:rsid w:val="009216A4"/>
    <w:rsid w:val="00921947"/>
    <w:rsid w:val="00922E54"/>
    <w:rsid w:val="009242F3"/>
    <w:rsid w:val="009259C6"/>
    <w:rsid w:val="00926896"/>
    <w:rsid w:val="009301A4"/>
    <w:rsid w:val="0093179C"/>
    <w:rsid w:val="009322ED"/>
    <w:rsid w:val="0093375A"/>
    <w:rsid w:val="00934932"/>
    <w:rsid w:val="009366F1"/>
    <w:rsid w:val="00937A29"/>
    <w:rsid w:val="0094072E"/>
    <w:rsid w:val="00941ED6"/>
    <w:rsid w:val="009423D5"/>
    <w:rsid w:val="00943C86"/>
    <w:rsid w:val="00943D12"/>
    <w:rsid w:val="00944D77"/>
    <w:rsid w:val="00944EF8"/>
    <w:rsid w:val="009478A8"/>
    <w:rsid w:val="00952219"/>
    <w:rsid w:val="009562DA"/>
    <w:rsid w:val="0096072D"/>
    <w:rsid w:val="0096082E"/>
    <w:rsid w:val="00963969"/>
    <w:rsid w:val="00964DE4"/>
    <w:rsid w:val="00965F5E"/>
    <w:rsid w:val="00971EF7"/>
    <w:rsid w:val="009724D5"/>
    <w:rsid w:val="00973549"/>
    <w:rsid w:val="009742D4"/>
    <w:rsid w:val="00974B5B"/>
    <w:rsid w:val="00974FF3"/>
    <w:rsid w:val="00977FD3"/>
    <w:rsid w:val="00980418"/>
    <w:rsid w:val="00981CB0"/>
    <w:rsid w:val="00982923"/>
    <w:rsid w:val="00982953"/>
    <w:rsid w:val="00983365"/>
    <w:rsid w:val="00983D8F"/>
    <w:rsid w:val="0098404C"/>
    <w:rsid w:val="00990F8D"/>
    <w:rsid w:val="00991BFA"/>
    <w:rsid w:val="009942BA"/>
    <w:rsid w:val="0099620F"/>
    <w:rsid w:val="009A04D2"/>
    <w:rsid w:val="009A275F"/>
    <w:rsid w:val="009A38D7"/>
    <w:rsid w:val="009A5ECE"/>
    <w:rsid w:val="009A63C7"/>
    <w:rsid w:val="009A761C"/>
    <w:rsid w:val="009A7782"/>
    <w:rsid w:val="009B3DB1"/>
    <w:rsid w:val="009B4643"/>
    <w:rsid w:val="009B4F0B"/>
    <w:rsid w:val="009B533F"/>
    <w:rsid w:val="009B5E14"/>
    <w:rsid w:val="009B6E45"/>
    <w:rsid w:val="009C05A0"/>
    <w:rsid w:val="009C0E1D"/>
    <w:rsid w:val="009C1900"/>
    <w:rsid w:val="009C33E3"/>
    <w:rsid w:val="009C4360"/>
    <w:rsid w:val="009C77D8"/>
    <w:rsid w:val="009C7E45"/>
    <w:rsid w:val="009D2612"/>
    <w:rsid w:val="009D5806"/>
    <w:rsid w:val="009D7537"/>
    <w:rsid w:val="009D7A31"/>
    <w:rsid w:val="009E2440"/>
    <w:rsid w:val="009E306A"/>
    <w:rsid w:val="009E4131"/>
    <w:rsid w:val="009E6522"/>
    <w:rsid w:val="009E6616"/>
    <w:rsid w:val="009F08D1"/>
    <w:rsid w:val="009F12CD"/>
    <w:rsid w:val="009F3F3F"/>
    <w:rsid w:val="009F4F45"/>
    <w:rsid w:val="009F5E14"/>
    <w:rsid w:val="009F6EE6"/>
    <w:rsid w:val="009F7B0F"/>
    <w:rsid w:val="00A02B4F"/>
    <w:rsid w:val="00A03FA0"/>
    <w:rsid w:val="00A04B57"/>
    <w:rsid w:val="00A04B6C"/>
    <w:rsid w:val="00A04EF3"/>
    <w:rsid w:val="00A04F85"/>
    <w:rsid w:val="00A04F87"/>
    <w:rsid w:val="00A06A1D"/>
    <w:rsid w:val="00A10706"/>
    <w:rsid w:val="00A107DB"/>
    <w:rsid w:val="00A10DBA"/>
    <w:rsid w:val="00A13AE2"/>
    <w:rsid w:val="00A14053"/>
    <w:rsid w:val="00A1409D"/>
    <w:rsid w:val="00A1532D"/>
    <w:rsid w:val="00A16479"/>
    <w:rsid w:val="00A164B6"/>
    <w:rsid w:val="00A164FD"/>
    <w:rsid w:val="00A17217"/>
    <w:rsid w:val="00A20B45"/>
    <w:rsid w:val="00A213E4"/>
    <w:rsid w:val="00A25C81"/>
    <w:rsid w:val="00A26B30"/>
    <w:rsid w:val="00A3113B"/>
    <w:rsid w:val="00A31C1C"/>
    <w:rsid w:val="00A32FD8"/>
    <w:rsid w:val="00A33378"/>
    <w:rsid w:val="00A334FC"/>
    <w:rsid w:val="00A34CCD"/>
    <w:rsid w:val="00A37235"/>
    <w:rsid w:val="00A40E6D"/>
    <w:rsid w:val="00A41E99"/>
    <w:rsid w:val="00A44461"/>
    <w:rsid w:val="00A45866"/>
    <w:rsid w:val="00A5101F"/>
    <w:rsid w:val="00A549B2"/>
    <w:rsid w:val="00A56144"/>
    <w:rsid w:val="00A56834"/>
    <w:rsid w:val="00A5714F"/>
    <w:rsid w:val="00A61215"/>
    <w:rsid w:val="00A639E9"/>
    <w:rsid w:val="00A63FC5"/>
    <w:rsid w:val="00A646FE"/>
    <w:rsid w:val="00A64AC3"/>
    <w:rsid w:val="00A6771B"/>
    <w:rsid w:val="00A73CEE"/>
    <w:rsid w:val="00A7479D"/>
    <w:rsid w:val="00A768C4"/>
    <w:rsid w:val="00A7696F"/>
    <w:rsid w:val="00A76F5D"/>
    <w:rsid w:val="00A811CE"/>
    <w:rsid w:val="00A8163C"/>
    <w:rsid w:val="00A82931"/>
    <w:rsid w:val="00A82AEF"/>
    <w:rsid w:val="00A83D5E"/>
    <w:rsid w:val="00A85711"/>
    <w:rsid w:val="00A87E45"/>
    <w:rsid w:val="00A90ABF"/>
    <w:rsid w:val="00A91F5D"/>
    <w:rsid w:val="00A92C9A"/>
    <w:rsid w:val="00A93B5B"/>
    <w:rsid w:val="00A9545A"/>
    <w:rsid w:val="00A96860"/>
    <w:rsid w:val="00AA4382"/>
    <w:rsid w:val="00AA47FE"/>
    <w:rsid w:val="00AA4BB7"/>
    <w:rsid w:val="00AA56FF"/>
    <w:rsid w:val="00AA5CB4"/>
    <w:rsid w:val="00AA5F6E"/>
    <w:rsid w:val="00AA60CD"/>
    <w:rsid w:val="00AB136C"/>
    <w:rsid w:val="00AB3BF6"/>
    <w:rsid w:val="00AB5610"/>
    <w:rsid w:val="00AB5E50"/>
    <w:rsid w:val="00AB6C93"/>
    <w:rsid w:val="00AB75A8"/>
    <w:rsid w:val="00AC0727"/>
    <w:rsid w:val="00AC1B6E"/>
    <w:rsid w:val="00AC253E"/>
    <w:rsid w:val="00AC594A"/>
    <w:rsid w:val="00AC5E66"/>
    <w:rsid w:val="00AC663C"/>
    <w:rsid w:val="00AC6DE8"/>
    <w:rsid w:val="00AC7398"/>
    <w:rsid w:val="00AD16C9"/>
    <w:rsid w:val="00AD174C"/>
    <w:rsid w:val="00AD18DB"/>
    <w:rsid w:val="00AD321F"/>
    <w:rsid w:val="00AD5D89"/>
    <w:rsid w:val="00AD6AC0"/>
    <w:rsid w:val="00AD7C71"/>
    <w:rsid w:val="00AE153B"/>
    <w:rsid w:val="00AE1A7C"/>
    <w:rsid w:val="00AE36BE"/>
    <w:rsid w:val="00AE7EF6"/>
    <w:rsid w:val="00AF009A"/>
    <w:rsid w:val="00AF1581"/>
    <w:rsid w:val="00AF17B6"/>
    <w:rsid w:val="00AF3C1B"/>
    <w:rsid w:val="00AF46B8"/>
    <w:rsid w:val="00AF633D"/>
    <w:rsid w:val="00AF75CC"/>
    <w:rsid w:val="00AF77EA"/>
    <w:rsid w:val="00B02543"/>
    <w:rsid w:val="00B028ED"/>
    <w:rsid w:val="00B02C15"/>
    <w:rsid w:val="00B02FFD"/>
    <w:rsid w:val="00B05637"/>
    <w:rsid w:val="00B0607B"/>
    <w:rsid w:val="00B102AD"/>
    <w:rsid w:val="00B121DF"/>
    <w:rsid w:val="00B154ED"/>
    <w:rsid w:val="00B21A71"/>
    <w:rsid w:val="00B2404D"/>
    <w:rsid w:val="00B25D2E"/>
    <w:rsid w:val="00B3121B"/>
    <w:rsid w:val="00B35174"/>
    <w:rsid w:val="00B36C5B"/>
    <w:rsid w:val="00B36CC4"/>
    <w:rsid w:val="00B37F29"/>
    <w:rsid w:val="00B403E0"/>
    <w:rsid w:val="00B41308"/>
    <w:rsid w:val="00B429FD"/>
    <w:rsid w:val="00B43DA8"/>
    <w:rsid w:val="00B4497B"/>
    <w:rsid w:val="00B47FFC"/>
    <w:rsid w:val="00B500C1"/>
    <w:rsid w:val="00B51D73"/>
    <w:rsid w:val="00B5274B"/>
    <w:rsid w:val="00B53A7A"/>
    <w:rsid w:val="00B54887"/>
    <w:rsid w:val="00B54F06"/>
    <w:rsid w:val="00B559B8"/>
    <w:rsid w:val="00B576E9"/>
    <w:rsid w:val="00B60EDE"/>
    <w:rsid w:val="00B61E5C"/>
    <w:rsid w:val="00B64ECC"/>
    <w:rsid w:val="00B71BD3"/>
    <w:rsid w:val="00B71C4C"/>
    <w:rsid w:val="00B72457"/>
    <w:rsid w:val="00B73227"/>
    <w:rsid w:val="00B737D4"/>
    <w:rsid w:val="00B76235"/>
    <w:rsid w:val="00B76AC6"/>
    <w:rsid w:val="00B8107E"/>
    <w:rsid w:val="00B81257"/>
    <w:rsid w:val="00B8259B"/>
    <w:rsid w:val="00B82D3E"/>
    <w:rsid w:val="00B86023"/>
    <w:rsid w:val="00B86AE3"/>
    <w:rsid w:val="00B90ED8"/>
    <w:rsid w:val="00B92B08"/>
    <w:rsid w:val="00B938FC"/>
    <w:rsid w:val="00B94E55"/>
    <w:rsid w:val="00BA1258"/>
    <w:rsid w:val="00BA2BDE"/>
    <w:rsid w:val="00BA501C"/>
    <w:rsid w:val="00BA5020"/>
    <w:rsid w:val="00BA56E1"/>
    <w:rsid w:val="00BA6546"/>
    <w:rsid w:val="00BA68E4"/>
    <w:rsid w:val="00BA78F0"/>
    <w:rsid w:val="00BB1B53"/>
    <w:rsid w:val="00BB218F"/>
    <w:rsid w:val="00BB2BA4"/>
    <w:rsid w:val="00BB4FA7"/>
    <w:rsid w:val="00BB4FCC"/>
    <w:rsid w:val="00BB5E00"/>
    <w:rsid w:val="00BB672E"/>
    <w:rsid w:val="00BB76D5"/>
    <w:rsid w:val="00BC0CD6"/>
    <w:rsid w:val="00BC1CF9"/>
    <w:rsid w:val="00BC4035"/>
    <w:rsid w:val="00BC408B"/>
    <w:rsid w:val="00BC5CAD"/>
    <w:rsid w:val="00BD0B8D"/>
    <w:rsid w:val="00BD0D62"/>
    <w:rsid w:val="00BD15D0"/>
    <w:rsid w:val="00BD2996"/>
    <w:rsid w:val="00BD3045"/>
    <w:rsid w:val="00BD4E0D"/>
    <w:rsid w:val="00BD5CA1"/>
    <w:rsid w:val="00BE029A"/>
    <w:rsid w:val="00BE03FB"/>
    <w:rsid w:val="00BE1F7E"/>
    <w:rsid w:val="00BE42CE"/>
    <w:rsid w:val="00BE455E"/>
    <w:rsid w:val="00BE5EA1"/>
    <w:rsid w:val="00BE6ECB"/>
    <w:rsid w:val="00BF0C3A"/>
    <w:rsid w:val="00BF19C6"/>
    <w:rsid w:val="00BF2EA3"/>
    <w:rsid w:val="00BF497E"/>
    <w:rsid w:val="00BF7AE1"/>
    <w:rsid w:val="00C024A7"/>
    <w:rsid w:val="00C038CA"/>
    <w:rsid w:val="00C0609A"/>
    <w:rsid w:val="00C06E54"/>
    <w:rsid w:val="00C06F21"/>
    <w:rsid w:val="00C07C49"/>
    <w:rsid w:val="00C11489"/>
    <w:rsid w:val="00C11FFB"/>
    <w:rsid w:val="00C12365"/>
    <w:rsid w:val="00C139AC"/>
    <w:rsid w:val="00C13A91"/>
    <w:rsid w:val="00C16556"/>
    <w:rsid w:val="00C16AF8"/>
    <w:rsid w:val="00C171B1"/>
    <w:rsid w:val="00C23C9E"/>
    <w:rsid w:val="00C2753E"/>
    <w:rsid w:val="00C27AB8"/>
    <w:rsid w:val="00C300BD"/>
    <w:rsid w:val="00C302E9"/>
    <w:rsid w:val="00C32D1B"/>
    <w:rsid w:val="00C34063"/>
    <w:rsid w:val="00C3476A"/>
    <w:rsid w:val="00C3679A"/>
    <w:rsid w:val="00C41686"/>
    <w:rsid w:val="00C420E2"/>
    <w:rsid w:val="00C44B4C"/>
    <w:rsid w:val="00C45428"/>
    <w:rsid w:val="00C45DFB"/>
    <w:rsid w:val="00C501A7"/>
    <w:rsid w:val="00C50657"/>
    <w:rsid w:val="00C50D4A"/>
    <w:rsid w:val="00C52833"/>
    <w:rsid w:val="00C552B9"/>
    <w:rsid w:val="00C567EB"/>
    <w:rsid w:val="00C57235"/>
    <w:rsid w:val="00C57B61"/>
    <w:rsid w:val="00C6041A"/>
    <w:rsid w:val="00C6194B"/>
    <w:rsid w:val="00C6278E"/>
    <w:rsid w:val="00C67E17"/>
    <w:rsid w:val="00C72AF5"/>
    <w:rsid w:val="00C748C4"/>
    <w:rsid w:val="00C763EA"/>
    <w:rsid w:val="00C76ADA"/>
    <w:rsid w:val="00C81CBF"/>
    <w:rsid w:val="00C83093"/>
    <w:rsid w:val="00C8397A"/>
    <w:rsid w:val="00C86789"/>
    <w:rsid w:val="00C86D92"/>
    <w:rsid w:val="00C87A9C"/>
    <w:rsid w:val="00C9023E"/>
    <w:rsid w:val="00C9086E"/>
    <w:rsid w:val="00C917A8"/>
    <w:rsid w:val="00C92351"/>
    <w:rsid w:val="00C9320C"/>
    <w:rsid w:val="00C947D5"/>
    <w:rsid w:val="00C95C66"/>
    <w:rsid w:val="00C967D3"/>
    <w:rsid w:val="00C96B17"/>
    <w:rsid w:val="00CA10D7"/>
    <w:rsid w:val="00CA1DBC"/>
    <w:rsid w:val="00CA3FDB"/>
    <w:rsid w:val="00CA6BC8"/>
    <w:rsid w:val="00CB0231"/>
    <w:rsid w:val="00CB2822"/>
    <w:rsid w:val="00CB2C9F"/>
    <w:rsid w:val="00CB37DF"/>
    <w:rsid w:val="00CB380F"/>
    <w:rsid w:val="00CB615D"/>
    <w:rsid w:val="00CC176E"/>
    <w:rsid w:val="00CC2845"/>
    <w:rsid w:val="00CD01EA"/>
    <w:rsid w:val="00CD30AF"/>
    <w:rsid w:val="00CE2BE1"/>
    <w:rsid w:val="00CE6049"/>
    <w:rsid w:val="00CE6BD3"/>
    <w:rsid w:val="00CE73F2"/>
    <w:rsid w:val="00CF00F3"/>
    <w:rsid w:val="00CF313E"/>
    <w:rsid w:val="00CF3B15"/>
    <w:rsid w:val="00CF6881"/>
    <w:rsid w:val="00CF6D94"/>
    <w:rsid w:val="00CF7161"/>
    <w:rsid w:val="00D00607"/>
    <w:rsid w:val="00D008E6"/>
    <w:rsid w:val="00D01AED"/>
    <w:rsid w:val="00D020D1"/>
    <w:rsid w:val="00D03325"/>
    <w:rsid w:val="00D03435"/>
    <w:rsid w:val="00D043E5"/>
    <w:rsid w:val="00D0543D"/>
    <w:rsid w:val="00D056C8"/>
    <w:rsid w:val="00D057EC"/>
    <w:rsid w:val="00D05B42"/>
    <w:rsid w:val="00D0763B"/>
    <w:rsid w:val="00D107E7"/>
    <w:rsid w:val="00D13D62"/>
    <w:rsid w:val="00D168CC"/>
    <w:rsid w:val="00D218C4"/>
    <w:rsid w:val="00D2428A"/>
    <w:rsid w:val="00D24994"/>
    <w:rsid w:val="00D27466"/>
    <w:rsid w:val="00D331D9"/>
    <w:rsid w:val="00D33CF9"/>
    <w:rsid w:val="00D352CD"/>
    <w:rsid w:val="00D3696D"/>
    <w:rsid w:val="00D36CBF"/>
    <w:rsid w:val="00D36F87"/>
    <w:rsid w:val="00D43D8F"/>
    <w:rsid w:val="00D44873"/>
    <w:rsid w:val="00D45E41"/>
    <w:rsid w:val="00D53721"/>
    <w:rsid w:val="00D547AA"/>
    <w:rsid w:val="00D55E76"/>
    <w:rsid w:val="00D62041"/>
    <w:rsid w:val="00D624C9"/>
    <w:rsid w:val="00D63E5A"/>
    <w:rsid w:val="00D64078"/>
    <w:rsid w:val="00D64659"/>
    <w:rsid w:val="00D646C8"/>
    <w:rsid w:val="00D64E4B"/>
    <w:rsid w:val="00D66C3F"/>
    <w:rsid w:val="00D7165D"/>
    <w:rsid w:val="00D7261A"/>
    <w:rsid w:val="00D74303"/>
    <w:rsid w:val="00D76C14"/>
    <w:rsid w:val="00D76E15"/>
    <w:rsid w:val="00D77767"/>
    <w:rsid w:val="00D77ECB"/>
    <w:rsid w:val="00D80B5A"/>
    <w:rsid w:val="00D82716"/>
    <w:rsid w:val="00D86597"/>
    <w:rsid w:val="00D91EDE"/>
    <w:rsid w:val="00D924A7"/>
    <w:rsid w:val="00D9265A"/>
    <w:rsid w:val="00D9272C"/>
    <w:rsid w:val="00D93600"/>
    <w:rsid w:val="00D93C23"/>
    <w:rsid w:val="00D93C47"/>
    <w:rsid w:val="00D94525"/>
    <w:rsid w:val="00D94CFE"/>
    <w:rsid w:val="00D95DF3"/>
    <w:rsid w:val="00D96DD8"/>
    <w:rsid w:val="00D97E32"/>
    <w:rsid w:val="00DA0D12"/>
    <w:rsid w:val="00DA16C4"/>
    <w:rsid w:val="00DA47C4"/>
    <w:rsid w:val="00DA55B7"/>
    <w:rsid w:val="00DA66A9"/>
    <w:rsid w:val="00DA716F"/>
    <w:rsid w:val="00DB040B"/>
    <w:rsid w:val="00DB0F09"/>
    <w:rsid w:val="00DB5433"/>
    <w:rsid w:val="00DB7C57"/>
    <w:rsid w:val="00DC0D79"/>
    <w:rsid w:val="00DC0FD2"/>
    <w:rsid w:val="00DC1C93"/>
    <w:rsid w:val="00DC2179"/>
    <w:rsid w:val="00DC2B22"/>
    <w:rsid w:val="00DC2CF8"/>
    <w:rsid w:val="00DC341D"/>
    <w:rsid w:val="00DC4896"/>
    <w:rsid w:val="00DC6431"/>
    <w:rsid w:val="00DD1249"/>
    <w:rsid w:val="00DD2F1C"/>
    <w:rsid w:val="00DD3A8C"/>
    <w:rsid w:val="00DD3D3A"/>
    <w:rsid w:val="00DD4B53"/>
    <w:rsid w:val="00DE28E8"/>
    <w:rsid w:val="00DE35A6"/>
    <w:rsid w:val="00DE38CF"/>
    <w:rsid w:val="00DE4923"/>
    <w:rsid w:val="00DE6491"/>
    <w:rsid w:val="00DE7397"/>
    <w:rsid w:val="00DF0827"/>
    <w:rsid w:val="00DF0B9F"/>
    <w:rsid w:val="00DF3D71"/>
    <w:rsid w:val="00DF659F"/>
    <w:rsid w:val="00DF6B39"/>
    <w:rsid w:val="00E0010F"/>
    <w:rsid w:val="00E0048A"/>
    <w:rsid w:val="00E00853"/>
    <w:rsid w:val="00E01833"/>
    <w:rsid w:val="00E02DBE"/>
    <w:rsid w:val="00E037C5"/>
    <w:rsid w:val="00E044A4"/>
    <w:rsid w:val="00E04566"/>
    <w:rsid w:val="00E05D5E"/>
    <w:rsid w:val="00E07D58"/>
    <w:rsid w:val="00E07D7E"/>
    <w:rsid w:val="00E102D9"/>
    <w:rsid w:val="00E1049E"/>
    <w:rsid w:val="00E117F3"/>
    <w:rsid w:val="00E1219F"/>
    <w:rsid w:val="00E1235A"/>
    <w:rsid w:val="00E1357B"/>
    <w:rsid w:val="00E147C7"/>
    <w:rsid w:val="00E14E52"/>
    <w:rsid w:val="00E1506E"/>
    <w:rsid w:val="00E1524D"/>
    <w:rsid w:val="00E15BF0"/>
    <w:rsid w:val="00E160E8"/>
    <w:rsid w:val="00E16239"/>
    <w:rsid w:val="00E17582"/>
    <w:rsid w:val="00E204CA"/>
    <w:rsid w:val="00E20D79"/>
    <w:rsid w:val="00E21767"/>
    <w:rsid w:val="00E224AF"/>
    <w:rsid w:val="00E25826"/>
    <w:rsid w:val="00E25E98"/>
    <w:rsid w:val="00E270B0"/>
    <w:rsid w:val="00E27225"/>
    <w:rsid w:val="00E2723D"/>
    <w:rsid w:val="00E35E9E"/>
    <w:rsid w:val="00E37137"/>
    <w:rsid w:val="00E40898"/>
    <w:rsid w:val="00E41B95"/>
    <w:rsid w:val="00E44DFC"/>
    <w:rsid w:val="00E44E90"/>
    <w:rsid w:val="00E474A6"/>
    <w:rsid w:val="00E54445"/>
    <w:rsid w:val="00E6105B"/>
    <w:rsid w:val="00E6165A"/>
    <w:rsid w:val="00E61CAA"/>
    <w:rsid w:val="00E61E7B"/>
    <w:rsid w:val="00E6396D"/>
    <w:rsid w:val="00E65352"/>
    <w:rsid w:val="00E654E7"/>
    <w:rsid w:val="00E65755"/>
    <w:rsid w:val="00E65C0B"/>
    <w:rsid w:val="00E673FB"/>
    <w:rsid w:val="00E72101"/>
    <w:rsid w:val="00E744C9"/>
    <w:rsid w:val="00E74C57"/>
    <w:rsid w:val="00E75EE0"/>
    <w:rsid w:val="00E75F9F"/>
    <w:rsid w:val="00E776AB"/>
    <w:rsid w:val="00E8196C"/>
    <w:rsid w:val="00E84602"/>
    <w:rsid w:val="00E84E4A"/>
    <w:rsid w:val="00E85525"/>
    <w:rsid w:val="00E86B9B"/>
    <w:rsid w:val="00E86F34"/>
    <w:rsid w:val="00E87771"/>
    <w:rsid w:val="00E96870"/>
    <w:rsid w:val="00E9693F"/>
    <w:rsid w:val="00EA00A2"/>
    <w:rsid w:val="00EA015F"/>
    <w:rsid w:val="00EA2751"/>
    <w:rsid w:val="00EA5F1B"/>
    <w:rsid w:val="00EA6AFF"/>
    <w:rsid w:val="00EB0EE1"/>
    <w:rsid w:val="00EB48E4"/>
    <w:rsid w:val="00EB5101"/>
    <w:rsid w:val="00EB51A8"/>
    <w:rsid w:val="00EB5DFE"/>
    <w:rsid w:val="00EB7C7D"/>
    <w:rsid w:val="00EC1F2D"/>
    <w:rsid w:val="00EC21A9"/>
    <w:rsid w:val="00EC3B16"/>
    <w:rsid w:val="00EC4C55"/>
    <w:rsid w:val="00EC777B"/>
    <w:rsid w:val="00ED019D"/>
    <w:rsid w:val="00ED15CF"/>
    <w:rsid w:val="00ED2463"/>
    <w:rsid w:val="00ED2B6A"/>
    <w:rsid w:val="00ED468F"/>
    <w:rsid w:val="00EE30BA"/>
    <w:rsid w:val="00EE3534"/>
    <w:rsid w:val="00EE42B7"/>
    <w:rsid w:val="00EE4B6F"/>
    <w:rsid w:val="00EE619F"/>
    <w:rsid w:val="00EF2B87"/>
    <w:rsid w:val="00EF4036"/>
    <w:rsid w:val="00EF4225"/>
    <w:rsid w:val="00EF5BAB"/>
    <w:rsid w:val="00EF62F2"/>
    <w:rsid w:val="00F02272"/>
    <w:rsid w:val="00F02F1F"/>
    <w:rsid w:val="00F07DB5"/>
    <w:rsid w:val="00F1065A"/>
    <w:rsid w:val="00F1096F"/>
    <w:rsid w:val="00F11855"/>
    <w:rsid w:val="00F1494D"/>
    <w:rsid w:val="00F15691"/>
    <w:rsid w:val="00F1644D"/>
    <w:rsid w:val="00F1722B"/>
    <w:rsid w:val="00F17C58"/>
    <w:rsid w:val="00F222E9"/>
    <w:rsid w:val="00F2595F"/>
    <w:rsid w:val="00F27DDA"/>
    <w:rsid w:val="00F31E49"/>
    <w:rsid w:val="00F33333"/>
    <w:rsid w:val="00F33EF6"/>
    <w:rsid w:val="00F34DA7"/>
    <w:rsid w:val="00F35B10"/>
    <w:rsid w:val="00F36306"/>
    <w:rsid w:val="00F37BF7"/>
    <w:rsid w:val="00F43AEB"/>
    <w:rsid w:val="00F44B69"/>
    <w:rsid w:val="00F45508"/>
    <w:rsid w:val="00F50B00"/>
    <w:rsid w:val="00F52FE9"/>
    <w:rsid w:val="00F56331"/>
    <w:rsid w:val="00F5646E"/>
    <w:rsid w:val="00F6058C"/>
    <w:rsid w:val="00F61E39"/>
    <w:rsid w:val="00F62424"/>
    <w:rsid w:val="00F62789"/>
    <w:rsid w:val="00F63165"/>
    <w:rsid w:val="00F64785"/>
    <w:rsid w:val="00F658FF"/>
    <w:rsid w:val="00F67477"/>
    <w:rsid w:val="00F67D75"/>
    <w:rsid w:val="00F709D0"/>
    <w:rsid w:val="00F71035"/>
    <w:rsid w:val="00F73DD5"/>
    <w:rsid w:val="00F74444"/>
    <w:rsid w:val="00F779AE"/>
    <w:rsid w:val="00F81C7C"/>
    <w:rsid w:val="00F856E6"/>
    <w:rsid w:val="00F85D68"/>
    <w:rsid w:val="00F90098"/>
    <w:rsid w:val="00F916E2"/>
    <w:rsid w:val="00F94162"/>
    <w:rsid w:val="00F9504D"/>
    <w:rsid w:val="00FA055B"/>
    <w:rsid w:val="00FB0A33"/>
    <w:rsid w:val="00FB29F3"/>
    <w:rsid w:val="00FB356E"/>
    <w:rsid w:val="00FB58E5"/>
    <w:rsid w:val="00FB6E20"/>
    <w:rsid w:val="00FC1B2A"/>
    <w:rsid w:val="00FC40EA"/>
    <w:rsid w:val="00FC5202"/>
    <w:rsid w:val="00FC6F29"/>
    <w:rsid w:val="00FD0957"/>
    <w:rsid w:val="00FD27DB"/>
    <w:rsid w:val="00FD3181"/>
    <w:rsid w:val="00FD54EB"/>
    <w:rsid w:val="00FD5ABE"/>
    <w:rsid w:val="00FE0254"/>
    <w:rsid w:val="00FE0BD7"/>
    <w:rsid w:val="00FE11CD"/>
    <w:rsid w:val="00FE2F6D"/>
    <w:rsid w:val="00FE42B1"/>
    <w:rsid w:val="00FE4751"/>
    <w:rsid w:val="00FE57AC"/>
    <w:rsid w:val="00FF025E"/>
    <w:rsid w:val="00FF242D"/>
    <w:rsid w:val="00FF2BFC"/>
    <w:rsid w:val="00FF3B7C"/>
    <w:rsid w:val="141D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7"/>
    </w:pPr>
    <w:rPr>
      <w:rFonts w:ascii="Times New Roman" w:hAnsi="Times New Roman" w:eastAsia="Times New Roman"/>
      <w:sz w:val="24"/>
      <w:szCs w:val="24"/>
    </w:rPr>
  </w:style>
  <w:style w:type="paragraph" w:styleId="4">
    <w:name w:val="toc 3"/>
    <w:basedOn w:val="1"/>
    <w:next w:val="1"/>
    <w:autoRedefine/>
    <w:unhideWhenUsed/>
    <w:qFormat/>
    <w:uiPriority w:val="39"/>
    <w:pPr>
      <w:ind w:left="840" w:leftChars="400"/>
    </w:pPr>
  </w:style>
  <w:style w:type="paragraph" w:styleId="5">
    <w:name w:val="Balloon Text"/>
    <w:basedOn w:val="1"/>
    <w:link w:val="28"/>
    <w:semiHidden/>
    <w:unhideWhenUsed/>
    <w:qFormat/>
    <w:uiPriority w:val="99"/>
    <w:rPr>
      <w:sz w:val="18"/>
      <w:szCs w:val="18"/>
    </w:rPr>
  </w:style>
  <w:style w:type="paragraph" w:styleId="6">
    <w:name w:val="footer"/>
    <w:basedOn w:val="1"/>
    <w:link w:val="27"/>
    <w:unhideWhenUsed/>
    <w:qFormat/>
    <w:uiPriority w:val="99"/>
    <w:pPr>
      <w:tabs>
        <w:tab w:val="center" w:pos="4153"/>
        <w:tab w:val="right" w:pos="8306"/>
      </w:tabs>
      <w:snapToGrid w:val="0"/>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style>
  <w:style w:type="paragraph" w:styleId="9">
    <w:name w:val="toc 4"/>
    <w:basedOn w:val="1"/>
    <w:next w:val="1"/>
    <w:autoRedefine/>
    <w:unhideWhenUsed/>
    <w:qFormat/>
    <w:uiPriority w:val="39"/>
    <w:pPr>
      <w:ind w:left="1260" w:leftChars="600"/>
    </w:pPr>
  </w:style>
  <w:style w:type="paragraph" w:styleId="10">
    <w:name w:val="footnote text"/>
    <w:basedOn w:val="1"/>
    <w:link w:val="29"/>
    <w:semiHidden/>
    <w:unhideWhenUsed/>
    <w:qFormat/>
    <w:uiPriority w:val="99"/>
    <w:pPr>
      <w:snapToGrid w:val="0"/>
    </w:pPr>
    <w:rPr>
      <w:sz w:val="18"/>
      <w:szCs w:val="18"/>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footnote reference"/>
    <w:basedOn w:val="12"/>
    <w:semiHidden/>
    <w:unhideWhenUsed/>
    <w:qFormat/>
    <w:uiPriority w:val="99"/>
    <w:rPr>
      <w:vertAlign w:val="superscript"/>
    </w:rPr>
  </w:style>
  <w:style w:type="table" w:customStyle="1" w:styleId="15">
    <w:name w:val="Table Normal"/>
    <w:unhideWhenUsed/>
    <w:qFormat/>
    <w:uiPriority w:val="2"/>
    <w:tblPr>
      <w:tblCellMar>
        <w:top w:w="0" w:type="dxa"/>
        <w:left w:w="0" w:type="dxa"/>
        <w:bottom w:w="0" w:type="dxa"/>
        <w:right w:w="0" w:type="dxa"/>
      </w:tblCellMar>
    </w:tblPr>
  </w:style>
  <w:style w:type="paragraph" w:customStyle="1" w:styleId="16">
    <w:name w:val="目录 11"/>
    <w:basedOn w:val="1"/>
    <w:qFormat/>
    <w:uiPriority w:val="1"/>
    <w:pPr>
      <w:spacing w:before="120"/>
      <w:ind w:left="588" w:hanging="480"/>
    </w:pPr>
    <w:rPr>
      <w:rFonts w:ascii="Times New Roman" w:hAnsi="Times New Roman" w:eastAsia="Times New Roman"/>
      <w:sz w:val="24"/>
      <w:szCs w:val="24"/>
    </w:rPr>
  </w:style>
  <w:style w:type="paragraph" w:customStyle="1" w:styleId="17">
    <w:name w:val="目录 21"/>
    <w:basedOn w:val="1"/>
    <w:qFormat/>
    <w:uiPriority w:val="1"/>
    <w:pPr>
      <w:spacing w:before="120"/>
      <w:ind w:left="588" w:hanging="480"/>
    </w:pPr>
    <w:rPr>
      <w:rFonts w:ascii="Times New Roman" w:hAnsi="Times New Roman" w:eastAsia="Times New Roman"/>
      <w:b/>
      <w:bCs/>
      <w:i/>
    </w:rPr>
  </w:style>
  <w:style w:type="paragraph" w:customStyle="1" w:styleId="18">
    <w:name w:val="目录 31"/>
    <w:basedOn w:val="1"/>
    <w:qFormat/>
    <w:uiPriority w:val="1"/>
    <w:pPr>
      <w:spacing w:before="120"/>
      <w:ind w:left="468"/>
    </w:pPr>
    <w:rPr>
      <w:rFonts w:ascii="Times New Roman" w:hAnsi="Times New Roman" w:eastAsia="Times New Roman"/>
      <w:sz w:val="24"/>
      <w:szCs w:val="24"/>
    </w:rPr>
  </w:style>
  <w:style w:type="paragraph" w:customStyle="1" w:styleId="19">
    <w:name w:val="目录 41"/>
    <w:basedOn w:val="1"/>
    <w:qFormat/>
    <w:uiPriority w:val="1"/>
    <w:pPr>
      <w:spacing w:before="120"/>
      <w:ind w:left="828"/>
    </w:pPr>
    <w:rPr>
      <w:rFonts w:ascii="Times New Roman" w:hAnsi="Times New Roman" w:eastAsia="Times New Roman"/>
      <w:sz w:val="24"/>
      <w:szCs w:val="24"/>
    </w:rPr>
  </w:style>
  <w:style w:type="paragraph" w:customStyle="1" w:styleId="20">
    <w:name w:val="标题 11"/>
    <w:basedOn w:val="1"/>
    <w:qFormat/>
    <w:uiPriority w:val="1"/>
    <w:pPr>
      <w:ind w:left="828" w:hanging="720"/>
      <w:outlineLvl w:val="1"/>
    </w:pPr>
    <w:rPr>
      <w:rFonts w:ascii="Times New Roman" w:hAnsi="Times New Roman" w:eastAsia="Times New Roman"/>
      <w:b/>
      <w:bCs/>
      <w:sz w:val="36"/>
      <w:szCs w:val="36"/>
    </w:rPr>
  </w:style>
  <w:style w:type="paragraph" w:customStyle="1" w:styleId="21">
    <w:name w:val="标题 21"/>
    <w:basedOn w:val="1"/>
    <w:qFormat/>
    <w:uiPriority w:val="1"/>
    <w:pPr>
      <w:ind w:left="468"/>
      <w:outlineLvl w:val="2"/>
    </w:pPr>
    <w:rPr>
      <w:rFonts w:ascii="Times New Roman" w:hAnsi="Times New Roman" w:eastAsia="Times New Roman"/>
      <w:b/>
      <w:bCs/>
      <w:sz w:val="32"/>
      <w:szCs w:val="32"/>
    </w:rPr>
  </w:style>
  <w:style w:type="paragraph" w:customStyle="1" w:styleId="22">
    <w:name w:val="标题 31"/>
    <w:basedOn w:val="1"/>
    <w:qFormat/>
    <w:uiPriority w:val="1"/>
    <w:pPr>
      <w:ind w:left="828"/>
      <w:outlineLvl w:val="3"/>
    </w:pPr>
    <w:rPr>
      <w:rFonts w:ascii="Times New Roman" w:hAnsi="Times New Roman" w:eastAsia="Times New Roman"/>
      <w:b/>
      <w:bCs/>
      <w:sz w:val="28"/>
      <w:szCs w:val="28"/>
    </w:rPr>
  </w:style>
  <w:style w:type="paragraph" w:customStyle="1" w:styleId="23">
    <w:name w:val="标题 41"/>
    <w:basedOn w:val="1"/>
    <w:qFormat/>
    <w:uiPriority w:val="1"/>
    <w:pPr>
      <w:ind w:left="587"/>
      <w:outlineLvl w:val="4"/>
    </w:pPr>
    <w:rPr>
      <w:rFonts w:ascii="Times New Roman" w:hAnsi="Times New Roman" w:eastAsia="Times New Roman"/>
      <w:b/>
      <w:bCs/>
      <w:sz w:val="24"/>
      <w:szCs w:val="24"/>
    </w:rPr>
  </w:style>
  <w:style w:type="paragraph" w:styleId="24">
    <w:name w:val="List Paragraph"/>
    <w:basedOn w:val="1"/>
    <w:qFormat/>
    <w:uiPriority w:val="1"/>
  </w:style>
  <w:style w:type="paragraph" w:customStyle="1" w:styleId="25">
    <w:name w:val="Table Paragraph"/>
    <w:basedOn w:val="1"/>
    <w:qFormat/>
    <w:uiPriority w:val="1"/>
  </w:style>
  <w:style w:type="character" w:customStyle="1" w:styleId="26">
    <w:name w:val="页眉 Char"/>
    <w:basedOn w:val="12"/>
    <w:link w:val="7"/>
    <w:qFormat/>
    <w:uiPriority w:val="99"/>
    <w:rPr>
      <w:sz w:val="18"/>
      <w:szCs w:val="18"/>
    </w:rPr>
  </w:style>
  <w:style w:type="character" w:customStyle="1" w:styleId="27">
    <w:name w:val="页脚 Char"/>
    <w:basedOn w:val="12"/>
    <w:link w:val="6"/>
    <w:qFormat/>
    <w:uiPriority w:val="99"/>
    <w:rPr>
      <w:sz w:val="18"/>
      <w:szCs w:val="18"/>
    </w:rPr>
  </w:style>
  <w:style w:type="character" w:customStyle="1" w:styleId="28">
    <w:name w:val="批注框文本 Char"/>
    <w:basedOn w:val="12"/>
    <w:link w:val="5"/>
    <w:semiHidden/>
    <w:qFormat/>
    <w:uiPriority w:val="99"/>
    <w:rPr>
      <w:sz w:val="18"/>
      <w:szCs w:val="18"/>
    </w:rPr>
  </w:style>
  <w:style w:type="character" w:customStyle="1" w:styleId="29">
    <w:name w:val="脚注文本 Char"/>
    <w:basedOn w:val="12"/>
    <w:link w:val="10"/>
    <w:semiHidden/>
    <w:qFormat/>
    <w:uiPriority w:val="99"/>
    <w:rPr>
      <w:sz w:val="18"/>
      <w:szCs w:val="18"/>
    </w:rPr>
  </w:style>
  <w:style w:type="character" w:customStyle="1" w:styleId="30">
    <w:name w:val="标题 1 Char"/>
    <w:basedOn w:val="12"/>
    <w:link w:val="2"/>
    <w:qFormat/>
    <w:uiPriority w:val="9"/>
    <w:rPr>
      <w:b/>
      <w:bCs/>
      <w:kern w:val="44"/>
      <w:sz w:val="44"/>
      <w:szCs w:val="44"/>
    </w:rPr>
  </w:style>
  <w:style w:type="paragraph" w:customStyle="1" w:styleId="31">
    <w:name w:val="TOC Heading"/>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95F26-80EE-4358-B427-07F9080414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9309</Words>
  <Characters>10384</Characters>
  <Lines>176</Lines>
  <Paragraphs>49</Paragraphs>
  <TotalTime>3</TotalTime>
  <ScaleCrop>false</ScaleCrop>
  <LinksUpToDate>false</LinksUpToDate>
  <CharactersWithSpaces>10738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2017-11-08T06:22:00Z</dcterms:created>
  <dc:creator>fmm</dc:creator>
  <cp:keywords>Class II Special Controls Guideline: Nucleic Acid Amplification Assays for the Detection of Trichomonas vaginalis</cp:keywords>
  <cp:lastModifiedBy>太极箫客</cp:lastModifiedBy>
  <dcterms:modified xsi:type="dcterms:W3CDTF">2025-08-14T06:17:46Z</dcterms:modified>
  <dc:title>Draft Guidance for Industry and Food and Drug Administration Staff</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2015-08-18T00:00:00Z</vt:filetime>
  </property>
  <property fmtid="{D5CDD505-2E9C-101B-9397-08002B2CF9AE}" pid="3" name="LastSaved">
    <vt:filetime>2017-09-27T00:00:00Z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32A57A88E9024DB9A5CBC7021A82940A_12</vt:lpwstr>
  </property>
</Properties>
</file>