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E283B">
      <w:pPr>
        <w:adjustRightInd w:val="0"/>
        <w:snapToGrid w:val="0"/>
        <w:spacing w:after="163" w:afterLines="50" w:line="300" w:lineRule="auto"/>
        <w:ind w:left="0" w:leftChars="0" w:right="0" w:rightChars="0"/>
        <w:rPr>
          <w:rFonts w:ascii="Arial" w:hAnsi="Arial" w:eastAsia="宋体" w:cs="Arial"/>
          <w:sz w:val="30"/>
          <w:szCs w:val="30"/>
        </w:rPr>
      </w:pPr>
      <w:bookmarkStart w:id="3" w:name="_GoBack"/>
      <w:bookmarkEnd w:id="3"/>
      <w:r>
        <w:rPr>
          <w:rFonts w:hint="eastAsia" w:ascii="Arial" w:hAnsi="Arial" w:eastAsia="宋体" w:cs="Arial"/>
          <w:sz w:val="30"/>
          <w:szCs w:val="30"/>
        </w:rPr>
        <w:t>截至</w:t>
      </w:r>
      <w:r>
        <w:rPr>
          <w:rFonts w:ascii="Arial" w:hAnsi="Arial" w:eastAsia="宋体" w:cs="Arial"/>
          <w:b/>
          <w:sz w:val="30"/>
          <w:szCs w:val="30"/>
          <w:u w:val="single"/>
        </w:rPr>
        <w:t>2007</w:t>
      </w:r>
      <w:r>
        <w:rPr>
          <w:rFonts w:hint="eastAsia" w:ascii="Arial" w:hAnsi="Arial" w:eastAsia="宋体" w:cs="Arial"/>
          <w:b/>
          <w:sz w:val="30"/>
          <w:szCs w:val="30"/>
          <w:u w:val="single"/>
        </w:rPr>
        <w:t>年</w:t>
      </w:r>
      <w:r>
        <w:rPr>
          <w:rFonts w:ascii="Arial" w:hAnsi="Arial" w:eastAsia="宋体" w:cs="Arial"/>
          <w:b/>
          <w:sz w:val="30"/>
          <w:szCs w:val="30"/>
          <w:u w:val="single"/>
        </w:rPr>
        <w:t>1</w:t>
      </w:r>
      <w:r>
        <w:rPr>
          <w:rFonts w:hint="eastAsia" w:ascii="Arial" w:hAnsi="Arial" w:eastAsia="宋体" w:cs="Arial"/>
          <w:b/>
          <w:sz w:val="30"/>
          <w:szCs w:val="30"/>
          <w:u w:val="single"/>
        </w:rPr>
        <w:t>月</w:t>
      </w:r>
      <w:r>
        <w:rPr>
          <w:rFonts w:ascii="Arial" w:hAnsi="Arial" w:eastAsia="宋体" w:cs="Arial"/>
          <w:b/>
          <w:sz w:val="30"/>
          <w:szCs w:val="30"/>
          <w:u w:val="single"/>
        </w:rPr>
        <w:t>3</w:t>
      </w:r>
      <w:r>
        <w:rPr>
          <w:rFonts w:hint="eastAsia" w:ascii="Arial" w:hAnsi="Arial" w:eastAsia="宋体" w:cs="Arial"/>
          <w:b/>
          <w:sz w:val="30"/>
          <w:szCs w:val="30"/>
          <w:u w:val="single"/>
        </w:rPr>
        <w:t>日</w:t>
      </w:r>
      <w:r>
        <w:rPr>
          <w:rFonts w:hint="eastAsia" w:ascii="Arial" w:hAnsi="Arial" w:eastAsia="宋体" w:cs="Arial"/>
          <w:sz w:val="30"/>
          <w:szCs w:val="30"/>
        </w:rPr>
        <w:t>，本文件的联系信息已更新如下：</w:t>
      </w:r>
    </w:p>
    <w:p w14:paraId="169310EE">
      <w:pPr>
        <w:adjustRightInd w:val="0"/>
        <w:snapToGrid w:val="0"/>
        <w:spacing w:after="163" w:afterLines="50" w:line="300" w:lineRule="auto"/>
        <w:ind w:left="0" w:leftChars="0" w:right="0" w:rightChars="0"/>
        <w:rPr>
          <w:rFonts w:ascii="Arial" w:hAnsi="Arial" w:eastAsia="宋体" w:cs="Arial"/>
          <w:sz w:val="30"/>
          <w:szCs w:val="30"/>
        </w:rPr>
      </w:pPr>
      <w:r>
        <w:rPr>
          <w:rFonts w:hint="eastAsia" w:ascii="Arial" w:hAnsi="Arial" w:eastAsia="宋体" w:cs="Arial"/>
          <w:sz w:val="30"/>
          <w:szCs w:val="30"/>
        </w:rPr>
        <w:t>有关该指南的使用或解释问题，请致电</w:t>
      </w:r>
      <w:r>
        <w:rPr>
          <w:rFonts w:ascii="Arial" w:hAnsi="Arial" w:eastAsia="宋体" w:cs="Arial"/>
          <w:sz w:val="30"/>
          <w:szCs w:val="30"/>
        </w:rPr>
        <w:t>240-276-4155</w:t>
      </w:r>
      <w:r>
        <w:rPr>
          <w:rFonts w:hint="eastAsia" w:ascii="Arial" w:hAnsi="Arial" w:eastAsia="宋体" w:cs="Arial"/>
          <w:sz w:val="30"/>
          <w:szCs w:val="30"/>
        </w:rPr>
        <w:t>联系</w:t>
      </w:r>
      <w:r>
        <w:rPr>
          <w:rFonts w:ascii="Arial" w:hAnsi="Arial" w:eastAsia="宋体" w:cs="Arial"/>
          <w:sz w:val="30"/>
          <w:szCs w:val="30"/>
        </w:rPr>
        <w:t>Colin Pollard</w:t>
      </w:r>
      <w:r>
        <w:rPr>
          <w:rFonts w:hint="eastAsia" w:ascii="Arial" w:hAnsi="Arial" w:eastAsia="宋体" w:cs="Arial"/>
          <w:sz w:val="30"/>
          <w:szCs w:val="30"/>
        </w:rPr>
        <w:t>或电子邮件</w:t>
      </w:r>
      <w:r>
        <w:fldChar w:fldCharType="begin"/>
      </w:r>
      <w:r>
        <w:instrText xml:space="preserve"> HYPERLINK "mailto:colin.pollard@fda.hhs.gov" </w:instrText>
      </w:r>
      <w:r>
        <w:fldChar w:fldCharType="separate"/>
      </w:r>
      <w:r>
        <w:rPr>
          <w:rStyle w:val="20"/>
          <w:rFonts w:ascii="Arial" w:hAnsi="Arial" w:eastAsia="宋体" w:cs="Arial"/>
          <w:color w:val="0000FF"/>
          <w:sz w:val="30"/>
          <w:szCs w:val="30"/>
        </w:rPr>
        <w:t>colin.pollard@fda.hhs.gov</w:t>
      </w:r>
      <w:r>
        <w:rPr>
          <w:rStyle w:val="20"/>
          <w:rFonts w:ascii="Arial" w:hAnsi="Arial" w:eastAsia="宋体" w:cs="Arial"/>
          <w:color w:val="0000FF"/>
          <w:sz w:val="30"/>
          <w:szCs w:val="30"/>
        </w:rPr>
        <w:fldChar w:fldCharType="end"/>
      </w:r>
    </w:p>
    <w:p w14:paraId="7C0B406E">
      <w:pPr>
        <w:snapToGrid w:val="0"/>
        <w:spacing w:after="163" w:afterLines="50" w:line="300" w:lineRule="auto"/>
        <w:ind w:left="0" w:leftChars="0" w:right="0" w:rightChars="0"/>
        <w:rPr>
          <w:rFonts w:ascii="Arial" w:hAnsi="Arial" w:eastAsia="宋体" w:cs="Arial"/>
        </w:rPr>
      </w:pPr>
      <w:r>
        <w:rPr>
          <w:rFonts w:ascii="Arial" w:hAnsi="Arial" w:eastAsia="宋体" w:cs="Arial"/>
        </w:rPr>
        <w:br w:type="page"/>
      </w:r>
    </w:p>
    <w:p w14:paraId="02513B4B">
      <w:pPr>
        <w:pStyle w:val="42"/>
        <w:shd w:val="clear" w:color="auto" w:fill="auto"/>
        <w:adjustRightInd w:val="0"/>
        <w:snapToGrid w:val="0"/>
        <w:spacing w:before="1956" w:beforeLines="600" w:after="163" w:afterLines="50" w:line="300" w:lineRule="auto"/>
        <w:rPr>
          <w:rFonts w:ascii="Arial" w:hAnsi="Arial" w:eastAsia="宋体" w:cs="Arial"/>
        </w:rPr>
      </w:pPr>
    </w:p>
    <w:p w14:paraId="5A010341">
      <w:pPr>
        <w:pStyle w:val="42"/>
        <w:shd w:val="clear" w:color="auto" w:fill="auto"/>
        <w:adjustRightInd w:val="0"/>
        <w:snapToGrid w:val="0"/>
        <w:spacing w:after="163" w:afterLines="50" w:line="300" w:lineRule="auto"/>
        <w:rPr>
          <w:rFonts w:ascii="Arial" w:hAnsi="Arial" w:eastAsia="宋体" w:cs="Arial"/>
        </w:rPr>
      </w:pPr>
      <w:r>
        <w:rPr>
          <w:rFonts w:ascii="Arial" w:hAnsi="Arial" w:eastAsia="宋体" w:cs="Arial"/>
        </w:rPr>
        <w:t>行业</w:t>
      </w:r>
      <w:r>
        <w:rPr>
          <w:rFonts w:hint="eastAsia" w:ascii="Arial" w:hAnsi="Arial" w:eastAsia="宋体" w:cs="Arial"/>
        </w:rPr>
        <w:t>及</w:t>
      </w:r>
      <w:r>
        <w:rPr>
          <w:rFonts w:ascii="Arial" w:hAnsi="Arial" w:eastAsia="宋体" w:cs="Arial"/>
        </w:rPr>
        <w:t>FDA审查员的最终指南：家用子宫活动监测器II类特殊控制指南</w:t>
      </w:r>
    </w:p>
    <w:p w14:paraId="101A19A4">
      <w:pPr>
        <w:pStyle w:val="42"/>
        <w:shd w:val="clear" w:color="auto" w:fill="auto"/>
        <w:adjustRightInd w:val="0"/>
        <w:snapToGrid w:val="0"/>
        <w:spacing w:after="163" w:afterLines="50" w:line="300" w:lineRule="auto"/>
        <w:rPr>
          <w:rFonts w:ascii="Arial" w:hAnsi="Arial" w:eastAsia="宋体" w:cs="Arial"/>
        </w:rPr>
      </w:pPr>
    </w:p>
    <w:p w14:paraId="120AF8E7">
      <w:pPr>
        <w:snapToGrid w:val="0"/>
        <w:spacing w:after="163" w:afterLines="50" w:line="300" w:lineRule="auto"/>
        <w:ind w:left="0" w:leftChars="0" w:right="0" w:rightChars="0"/>
        <w:jc w:val="center"/>
        <w:rPr>
          <w:rFonts w:ascii="Arial" w:hAnsi="Arial" w:eastAsia="宋体" w:cs="Arial"/>
          <w:b/>
          <w:sz w:val="28"/>
          <w:szCs w:val="28"/>
        </w:rPr>
      </w:pPr>
      <w:r>
        <w:rPr>
          <w:rFonts w:hint="eastAsia" w:ascii="Arial" w:hAnsi="Arial" w:eastAsia="宋体" w:cs="Arial"/>
          <w:b/>
          <w:sz w:val="28"/>
          <w:szCs w:val="28"/>
        </w:rPr>
        <w:t>文件发布日期：</w:t>
      </w:r>
      <w:r>
        <w:rPr>
          <w:rFonts w:ascii="Arial" w:hAnsi="Arial" w:eastAsia="宋体" w:cs="Arial"/>
          <w:b/>
          <w:sz w:val="28"/>
          <w:szCs w:val="28"/>
        </w:rPr>
        <w:t>2001</w:t>
      </w:r>
      <w:r>
        <w:rPr>
          <w:rFonts w:hint="eastAsia" w:ascii="Arial" w:hAnsi="Arial" w:eastAsia="宋体" w:cs="Arial"/>
          <w:b/>
          <w:sz w:val="28"/>
          <w:szCs w:val="28"/>
        </w:rPr>
        <w:t>年</w:t>
      </w:r>
      <w:r>
        <w:rPr>
          <w:rFonts w:ascii="Arial" w:hAnsi="Arial" w:eastAsia="宋体" w:cs="Arial"/>
          <w:b/>
          <w:sz w:val="28"/>
          <w:szCs w:val="28"/>
        </w:rPr>
        <w:t>3</w:t>
      </w:r>
      <w:r>
        <w:rPr>
          <w:rFonts w:hint="eastAsia" w:ascii="Arial" w:hAnsi="Arial" w:eastAsia="宋体" w:cs="Arial"/>
          <w:b/>
          <w:sz w:val="28"/>
          <w:szCs w:val="28"/>
        </w:rPr>
        <w:t>月</w:t>
      </w:r>
      <w:r>
        <w:rPr>
          <w:rFonts w:ascii="Arial" w:hAnsi="Arial" w:eastAsia="宋体" w:cs="Arial"/>
          <w:b/>
          <w:sz w:val="28"/>
          <w:szCs w:val="28"/>
        </w:rPr>
        <w:t>9</w:t>
      </w:r>
      <w:r>
        <w:rPr>
          <w:rFonts w:hint="eastAsia" w:ascii="Arial" w:hAnsi="Arial" w:eastAsia="宋体" w:cs="Arial"/>
          <w:b/>
          <w:sz w:val="28"/>
          <w:szCs w:val="28"/>
        </w:rPr>
        <w:t>日</w:t>
      </w:r>
    </w:p>
    <w:p w14:paraId="3FCE6267">
      <w:pPr>
        <w:pStyle w:val="44"/>
        <w:shd w:val="clear" w:color="auto" w:fill="auto"/>
        <w:adjustRightInd w:val="0"/>
        <w:snapToGrid w:val="0"/>
        <w:spacing w:before="0" w:after="163" w:afterLines="50" w:line="300" w:lineRule="auto"/>
        <w:ind w:firstLine="0"/>
        <w:rPr>
          <w:rFonts w:ascii="Arial" w:hAnsi="Arial" w:eastAsia="宋体" w:cs="Arial"/>
        </w:rPr>
      </w:pPr>
      <w:r>
        <w:rPr>
          <w:rFonts w:ascii="Arial" w:hAnsi="Arial" w:eastAsia="宋体" w:cs="Arial"/>
        </w:rPr>
        <w:t>本文件取代了1999年7月30日发布的“家用子宫活动监测器：510（k）上市前通知提交指南”</w:t>
      </w:r>
      <w:r>
        <w:rPr>
          <w:rFonts w:hint="eastAsia" w:ascii="Arial" w:hAnsi="Arial" w:eastAsia="宋体" w:cs="Arial"/>
        </w:rPr>
        <w:t>。</w:t>
      </w:r>
    </w:p>
    <w:p w14:paraId="1B012440">
      <w:pPr>
        <w:pStyle w:val="44"/>
        <w:shd w:val="clear" w:color="auto" w:fill="auto"/>
        <w:adjustRightInd w:val="0"/>
        <w:snapToGrid w:val="0"/>
        <w:spacing w:before="0" w:after="163" w:afterLines="50" w:line="300" w:lineRule="auto"/>
        <w:ind w:firstLine="0"/>
        <w:rPr>
          <w:rFonts w:ascii="Arial" w:hAnsi="Arial" w:eastAsia="宋体" w:cs="Arial"/>
        </w:rPr>
      </w:pPr>
    </w:p>
    <w:p w14:paraId="20611744">
      <w:pPr>
        <w:snapToGrid w:val="0"/>
        <w:spacing w:after="163" w:afterLines="50" w:line="300" w:lineRule="auto"/>
        <w:ind w:left="0" w:leftChars="0" w:right="0" w:rightChars="0"/>
        <w:jc w:val="right"/>
        <w:rPr>
          <w:rFonts w:ascii="Arial" w:hAnsi="Arial" w:eastAsia="宋体" w:cs="Arial"/>
          <w:szCs w:val="24"/>
        </w:rPr>
      </w:pPr>
    </w:p>
    <w:p w14:paraId="09A59997">
      <w:pPr>
        <w:snapToGrid w:val="0"/>
        <w:spacing w:after="163" w:afterLines="50" w:line="300" w:lineRule="auto"/>
        <w:ind w:left="0" w:leftChars="0" w:right="0" w:rightChars="0"/>
        <w:jc w:val="right"/>
        <w:rPr>
          <w:rFonts w:ascii="Arial" w:hAnsi="Arial" w:eastAsia="宋体" w:cs="Arial"/>
          <w:szCs w:val="24"/>
        </w:rPr>
      </w:pPr>
    </w:p>
    <w:p w14:paraId="338DE166">
      <w:pPr>
        <w:snapToGrid w:val="0"/>
        <w:spacing w:after="163" w:afterLines="50" w:line="300" w:lineRule="auto"/>
        <w:ind w:left="0" w:leftChars="0" w:right="0" w:rightChars="0"/>
        <w:jc w:val="right"/>
        <w:rPr>
          <w:rFonts w:ascii="Arial" w:hAnsi="Arial" w:eastAsia="宋体" w:cs="Arial"/>
          <w:szCs w:val="24"/>
        </w:rPr>
      </w:pPr>
    </w:p>
    <w:p w14:paraId="7508EE8E">
      <w:pPr>
        <w:snapToGrid w:val="0"/>
        <w:spacing w:after="163" w:afterLines="50" w:line="300" w:lineRule="auto"/>
        <w:ind w:left="0" w:leftChars="0" w:right="0" w:rightChars="0"/>
        <w:jc w:val="right"/>
        <w:rPr>
          <w:rFonts w:ascii="Arial" w:hAnsi="Arial" w:eastAsia="宋体" w:cs="Arial"/>
          <w:szCs w:val="24"/>
        </w:rPr>
      </w:pPr>
    </w:p>
    <w:p w14:paraId="4A03DBB2">
      <w:pPr>
        <w:snapToGrid w:val="0"/>
        <w:spacing w:after="0" w:line="300" w:lineRule="auto"/>
        <w:ind w:left="0" w:leftChars="0" w:right="0" w:rightChars="0"/>
        <w:jc w:val="right"/>
        <w:rPr>
          <w:rFonts w:ascii="Arial" w:hAnsi="Arial" w:eastAsia="宋体" w:cs="Arial"/>
          <w:b/>
          <w:szCs w:val="24"/>
        </w:rPr>
      </w:pPr>
      <w:r>
        <w:rPr>
          <w:rFonts w:hint="eastAsia" w:ascii="Arial" w:hAnsi="Arial" w:eastAsia="宋体" w:cs="Arial"/>
          <w:b/>
          <w:szCs w:val="24"/>
        </w:rPr>
        <w:t>美国卫生和人类服务署</w:t>
      </w:r>
    </w:p>
    <w:p w14:paraId="6E0E897E">
      <w:pPr>
        <w:snapToGrid w:val="0"/>
        <w:spacing w:after="0" w:line="300" w:lineRule="auto"/>
        <w:ind w:left="0" w:leftChars="0" w:right="0" w:rightChars="0"/>
        <w:jc w:val="right"/>
        <w:rPr>
          <w:rFonts w:ascii="Arial" w:hAnsi="Arial" w:eastAsia="宋体" w:cs="Arial"/>
          <w:b/>
          <w:szCs w:val="24"/>
        </w:rPr>
      </w:pPr>
      <w:r>
        <w:rPr>
          <w:rFonts w:ascii="Arial" w:hAnsi="Arial" w:eastAsia="宋体" w:cs="Arial"/>
          <w:b/>
          <w:szCs w:val="24"/>
        </w:rPr>
        <w:drawing>
          <wp:anchor distT="0" distB="236220" distL="63500" distR="1432560" simplePos="0" relativeHeight="251659264" behindDoc="1" locked="0" layoutInCell="1" allowOverlap="1">
            <wp:simplePos x="0" y="0"/>
            <wp:positionH relativeFrom="margin">
              <wp:posOffset>47625</wp:posOffset>
            </wp:positionH>
            <wp:positionV relativeFrom="paragraph">
              <wp:posOffset>89535</wp:posOffset>
            </wp:positionV>
            <wp:extent cx="885825" cy="990600"/>
            <wp:effectExtent l="0" t="0" r="9525" b="0"/>
            <wp:wrapTight wrapText="right">
              <wp:wrapPolygon>
                <wp:start x="0" y="0"/>
                <wp:lineTo x="0" y="21185"/>
                <wp:lineTo x="21368" y="21185"/>
                <wp:lineTo x="21368" y="0"/>
                <wp:lineTo x="0" y="0"/>
              </wp:wrapPolygon>
            </wp:wrapTight>
            <wp:docPr id="2" name="图片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1"/>
                    <pic:cNvPicPr>
                      <a:picLocks noChangeAspect="1" noChangeArrowheads="1"/>
                    </pic:cNvPicPr>
                  </pic:nvPicPr>
                  <pic:blipFill>
                    <a:blip r:embed="rId13" cstate="print"/>
                    <a:srcRect/>
                    <a:stretch>
                      <a:fillRect/>
                    </a:stretch>
                  </pic:blipFill>
                  <pic:spPr>
                    <a:xfrm>
                      <a:off x="0" y="0"/>
                      <a:ext cx="885825" cy="990600"/>
                    </a:xfrm>
                    <a:prstGeom prst="rect">
                      <a:avLst/>
                    </a:prstGeom>
                    <a:noFill/>
                  </pic:spPr>
                </pic:pic>
              </a:graphicData>
            </a:graphic>
          </wp:anchor>
        </w:drawing>
      </w:r>
      <w:r>
        <w:rPr>
          <w:rFonts w:hint="eastAsia" w:ascii="Arial" w:hAnsi="Arial" w:eastAsia="宋体" w:cs="Arial"/>
          <w:b/>
          <w:szCs w:val="24"/>
        </w:rPr>
        <w:t>食品药品监督管理局</w:t>
      </w:r>
    </w:p>
    <w:p w14:paraId="237829FC">
      <w:pPr>
        <w:snapToGrid w:val="0"/>
        <w:spacing w:after="0" w:line="300" w:lineRule="auto"/>
        <w:ind w:left="0" w:leftChars="0" w:right="0" w:rightChars="0"/>
        <w:jc w:val="right"/>
        <w:rPr>
          <w:rFonts w:ascii="Arial" w:hAnsi="Arial" w:eastAsia="宋体" w:cs="Arial"/>
          <w:b/>
          <w:szCs w:val="24"/>
        </w:rPr>
      </w:pPr>
      <w:r>
        <w:rPr>
          <w:rFonts w:hint="eastAsia" w:ascii="Arial" w:hAnsi="Arial" w:eastAsia="宋体" w:cs="Arial"/>
          <w:b/>
          <w:szCs w:val="24"/>
        </w:rPr>
        <w:t>器械和放射卫生中心</w:t>
      </w:r>
    </w:p>
    <w:p w14:paraId="3CB32380">
      <w:pPr>
        <w:snapToGrid w:val="0"/>
        <w:spacing w:after="0" w:line="300" w:lineRule="auto"/>
        <w:ind w:left="0" w:leftChars="0" w:right="0" w:rightChars="0"/>
        <w:jc w:val="right"/>
        <w:rPr>
          <w:rFonts w:ascii="Arial" w:hAnsi="Arial" w:eastAsia="宋体" w:cs="Arial"/>
          <w:b/>
          <w:szCs w:val="24"/>
        </w:rPr>
      </w:pPr>
    </w:p>
    <w:p w14:paraId="65FD36F9">
      <w:pPr>
        <w:snapToGrid w:val="0"/>
        <w:spacing w:after="0" w:line="300" w:lineRule="auto"/>
        <w:ind w:left="0" w:leftChars="0" w:right="0" w:rightChars="0"/>
        <w:jc w:val="right"/>
        <w:rPr>
          <w:rFonts w:ascii="Arial" w:hAnsi="Arial" w:eastAsia="宋体" w:cs="Arial"/>
          <w:b/>
          <w:bCs/>
          <w:szCs w:val="24"/>
        </w:rPr>
      </w:pPr>
      <w:r>
        <w:rPr>
          <w:rFonts w:hint="eastAsia" w:ascii="Arial" w:hAnsi="Arial" w:eastAsia="宋体" w:cs="Arial"/>
          <w:b/>
          <w:bCs/>
          <w:szCs w:val="24"/>
        </w:rPr>
        <w:t>产科</w:t>
      </w:r>
      <w:r>
        <w:rPr>
          <w:rFonts w:ascii="Arial" w:hAnsi="Arial" w:eastAsia="宋体" w:cs="Arial"/>
          <w:b/>
          <w:bCs/>
          <w:szCs w:val="24"/>
        </w:rPr>
        <w:t>-</w:t>
      </w:r>
      <w:r>
        <w:rPr>
          <w:rFonts w:hint="eastAsia" w:ascii="Arial" w:hAnsi="Arial" w:eastAsia="宋体" w:cs="Arial"/>
          <w:b/>
          <w:bCs/>
          <w:szCs w:val="24"/>
        </w:rPr>
        <w:t>妇科器械分部</w:t>
      </w:r>
    </w:p>
    <w:p w14:paraId="45248C24">
      <w:pPr>
        <w:snapToGrid w:val="0"/>
        <w:spacing w:after="0" w:line="300" w:lineRule="auto"/>
        <w:ind w:left="0" w:leftChars="0" w:right="0" w:rightChars="0"/>
        <w:jc w:val="right"/>
        <w:rPr>
          <w:rFonts w:ascii="Arial" w:hAnsi="Arial" w:eastAsia="宋体" w:cs="Arial"/>
          <w:b/>
          <w:bCs/>
          <w:szCs w:val="24"/>
        </w:rPr>
      </w:pPr>
      <w:r>
        <w:rPr>
          <w:rFonts w:hint="eastAsia" w:ascii="Arial" w:hAnsi="Arial" w:eastAsia="宋体" w:cs="Arial"/>
          <w:b/>
          <w:bCs/>
          <w:szCs w:val="24"/>
        </w:rPr>
        <w:t>生殖、腹部和放射器械司</w:t>
      </w:r>
    </w:p>
    <w:p w14:paraId="3225594F">
      <w:pPr>
        <w:snapToGrid w:val="0"/>
        <w:spacing w:after="163" w:afterLines="50" w:line="300" w:lineRule="auto"/>
        <w:ind w:left="0" w:leftChars="0" w:right="0" w:rightChars="0"/>
        <w:jc w:val="right"/>
        <w:rPr>
          <w:rFonts w:ascii="Arial" w:hAnsi="Arial" w:eastAsia="宋体" w:cs="Arial"/>
          <w:b/>
          <w:bCs/>
          <w:szCs w:val="24"/>
        </w:rPr>
      </w:pPr>
      <w:r>
        <w:rPr>
          <w:rFonts w:hint="eastAsia" w:ascii="Arial" w:hAnsi="Arial" w:eastAsia="宋体" w:cs="Arial"/>
          <w:b/>
          <w:bCs/>
          <w:szCs w:val="24"/>
        </w:rPr>
        <w:t>器械评估办公室</w:t>
      </w:r>
    </w:p>
    <w:p w14:paraId="30CBA3D3">
      <w:pPr>
        <w:snapToGrid w:val="0"/>
        <w:spacing w:after="163" w:afterLines="50" w:line="300" w:lineRule="auto"/>
        <w:ind w:left="0" w:leftChars="0" w:right="0" w:rightChars="0"/>
        <w:rPr>
          <w:rFonts w:ascii="Arial" w:hAnsi="Arial" w:eastAsia="宋体" w:cs="Arial"/>
          <w:bCs/>
          <w:szCs w:val="24"/>
        </w:rPr>
      </w:pPr>
      <w:r>
        <w:rPr>
          <w:rFonts w:ascii="Arial" w:hAnsi="Arial" w:eastAsia="宋体" w:cs="Arial"/>
          <w:bCs/>
          <w:szCs w:val="24"/>
        </w:rPr>
        <w:br w:type="page"/>
      </w:r>
    </w:p>
    <w:p w14:paraId="04BE7610">
      <w:pPr>
        <w:snapToGrid w:val="0"/>
        <w:spacing w:after="163" w:afterLines="50" w:line="300" w:lineRule="auto"/>
        <w:ind w:left="0" w:leftChars="0" w:right="0" w:rightChars="0"/>
        <w:jc w:val="center"/>
        <w:rPr>
          <w:rFonts w:ascii="Arial" w:hAnsi="Arial" w:eastAsia="宋体" w:cs="Arial"/>
          <w:b/>
          <w:sz w:val="44"/>
          <w:szCs w:val="44"/>
        </w:rPr>
      </w:pPr>
      <w:r>
        <w:rPr>
          <w:rFonts w:hint="eastAsia" w:ascii="Arial" w:hAnsi="Arial" w:eastAsia="宋体" w:cs="Arial"/>
          <w:b/>
          <w:sz w:val="44"/>
          <w:szCs w:val="44"/>
        </w:rPr>
        <w:t>前言</w:t>
      </w:r>
    </w:p>
    <w:p w14:paraId="5AD4C2C1">
      <w:pPr>
        <w:snapToGrid w:val="0"/>
        <w:spacing w:after="163" w:afterLines="50" w:line="300" w:lineRule="auto"/>
        <w:ind w:left="0" w:leftChars="0" w:right="0" w:rightChars="0"/>
        <w:jc w:val="center"/>
        <w:rPr>
          <w:rFonts w:ascii="Arial" w:hAnsi="Arial" w:eastAsia="宋体" w:cs="Arial"/>
          <w:b/>
          <w:szCs w:val="24"/>
        </w:rPr>
      </w:pPr>
    </w:p>
    <w:p w14:paraId="3C07C26E">
      <w:pPr>
        <w:snapToGrid w:val="0"/>
        <w:spacing w:after="163" w:afterLines="50" w:line="300" w:lineRule="auto"/>
        <w:ind w:left="0" w:leftChars="0" w:right="0" w:rightChars="0"/>
        <w:rPr>
          <w:rFonts w:ascii="Arial" w:hAnsi="Arial" w:eastAsia="宋体" w:cs="Arial"/>
          <w:b/>
          <w:sz w:val="30"/>
          <w:szCs w:val="30"/>
        </w:rPr>
      </w:pPr>
      <w:r>
        <w:rPr>
          <w:rFonts w:hint="eastAsia" w:ascii="Arial" w:hAnsi="Arial" w:eastAsia="宋体" w:cs="Arial"/>
          <w:b/>
          <w:sz w:val="30"/>
          <w:szCs w:val="30"/>
        </w:rPr>
        <w:t>公共评论</w:t>
      </w:r>
    </w:p>
    <w:p w14:paraId="53391124">
      <w:pPr>
        <w:pStyle w:val="44"/>
        <w:adjustRightInd w:val="0"/>
        <w:snapToGrid w:val="0"/>
        <w:spacing w:before="0" w:after="163" w:afterLines="50" w:line="300" w:lineRule="auto"/>
        <w:ind w:firstLine="0"/>
        <w:rPr>
          <w:rFonts w:ascii="Arial" w:hAnsi="Arial" w:eastAsia="宋体" w:cs="Arial"/>
        </w:rPr>
      </w:pPr>
      <w:r>
        <w:rPr>
          <w:rFonts w:hint="eastAsia" w:ascii="Arial" w:hAnsi="Arial" w:eastAsia="宋体" w:cs="Arial"/>
        </w:rPr>
        <w:t>自联邦公报发布通知宣告本指南可用之日起的</w:t>
      </w:r>
      <w:r>
        <w:rPr>
          <w:rFonts w:ascii="Arial" w:hAnsi="Arial" w:eastAsia="宋体" w:cs="Arial"/>
        </w:rPr>
        <w:t>90</w:t>
      </w:r>
      <w:r>
        <w:rPr>
          <w:rFonts w:hint="eastAsia" w:ascii="Arial" w:hAnsi="Arial" w:eastAsia="宋体" w:cs="Arial"/>
        </w:rPr>
        <w:t>天内，有关本指南的</w:t>
      </w:r>
      <w:r>
        <w:rPr>
          <w:rFonts w:hint="eastAsia" w:ascii="Arial" w:hAnsi="Arial" w:eastAsia="宋体" w:cs="Arial"/>
          <w:kern w:val="0"/>
        </w:rPr>
        <w:t>评论和建议可以提交至食品药品监督管理局，人力资源和管理服务办公室，管理系统和政策司，案卷管理科（</w:t>
      </w:r>
      <w:r>
        <w:rPr>
          <w:rFonts w:ascii="Arial" w:hAnsi="Arial" w:eastAsia="宋体" w:cs="Arial"/>
          <w:kern w:val="0"/>
        </w:rPr>
        <w:t>5630 Fishers Lane</w:t>
      </w:r>
      <w:r>
        <w:rPr>
          <w:rFonts w:hint="eastAsia" w:ascii="Arial" w:hAnsi="Arial" w:eastAsia="宋体" w:cs="Arial"/>
          <w:kern w:val="0"/>
        </w:rPr>
        <w:t>，</w:t>
      </w:r>
      <w:r>
        <w:rPr>
          <w:rFonts w:ascii="Arial" w:hAnsi="Arial" w:eastAsia="宋体" w:cs="Arial"/>
          <w:kern w:val="0"/>
        </w:rPr>
        <w:t>ROOM 1061</w:t>
      </w:r>
      <w:r>
        <w:rPr>
          <w:rFonts w:hint="eastAsia" w:ascii="Arial" w:hAnsi="Arial" w:eastAsia="宋体" w:cs="Arial"/>
          <w:kern w:val="0"/>
        </w:rPr>
        <w:t>（</w:t>
      </w:r>
      <w:r>
        <w:rPr>
          <w:rFonts w:ascii="Arial" w:hAnsi="Arial" w:eastAsia="宋体" w:cs="Arial"/>
          <w:kern w:val="0"/>
        </w:rPr>
        <w:t>HFA-305</w:t>
      </w:r>
      <w:r>
        <w:rPr>
          <w:rFonts w:hint="eastAsia" w:ascii="Arial" w:hAnsi="Arial" w:eastAsia="宋体" w:cs="Arial"/>
          <w:kern w:val="0"/>
        </w:rPr>
        <w:t>），</w:t>
      </w:r>
      <w:r>
        <w:rPr>
          <w:rFonts w:ascii="Arial" w:hAnsi="Arial" w:eastAsia="宋体" w:cs="Arial"/>
          <w:kern w:val="0"/>
        </w:rPr>
        <w:t>Rockville</w:t>
      </w:r>
      <w:r>
        <w:rPr>
          <w:rFonts w:hint="eastAsia" w:ascii="Arial" w:hAnsi="Arial" w:eastAsia="宋体" w:cs="Arial"/>
          <w:kern w:val="0"/>
        </w:rPr>
        <w:t>，</w:t>
      </w:r>
      <w:r>
        <w:rPr>
          <w:rFonts w:ascii="Arial" w:hAnsi="Arial" w:eastAsia="宋体" w:cs="Arial"/>
          <w:kern w:val="0"/>
        </w:rPr>
        <w:t>MD</w:t>
      </w:r>
      <w:r>
        <w:rPr>
          <w:rFonts w:hint="eastAsia" w:ascii="Arial" w:hAnsi="Arial" w:eastAsia="宋体" w:cs="Arial"/>
          <w:kern w:val="0"/>
        </w:rPr>
        <w:t>，</w:t>
      </w:r>
      <w:r>
        <w:rPr>
          <w:rFonts w:ascii="Arial" w:hAnsi="Arial" w:eastAsia="宋体" w:cs="Arial"/>
          <w:kern w:val="0"/>
        </w:rPr>
        <w:t>20852</w:t>
      </w:r>
      <w:r>
        <w:rPr>
          <w:rFonts w:hint="eastAsia" w:ascii="Arial" w:hAnsi="Arial" w:eastAsia="宋体" w:cs="Arial"/>
          <w:kern w:val="0"/>
        </w:rPr>
        <w:t>）。所有评论应注明案卷编号，该编号在联邦公报上公布的可用性通知中列出。</w:t>
      </w:r>
      <w:r>
        <w:rPr>
          <w:rFonts w:hint="eastAsia" w:ascii="Arial" w:hAnsi="Arial" w:eastAsia="宋体" w:cs="Arial"/>
        </w:rPr>
        <w:t>在确定是否修订现行指南时将考虑这些意见。</w:t>
      </w:r>
    </w:p>
    <w:p w14:paraId="152362D8">
      <w:pPr>
        <w:pStyle w:val="44"/>
        <w:adjustRightInd w:val="0"/>
        <w:snapToGrid w:val="0"/>
        <w:spacing w:before="0" w:after="163" w:afterLines="50" w:line="300" w:lineRule="auto"/>
        <w:ind w:firstLine="0"/>
        <w:rPr>
          <w:rFonts w:ascii="Arial" w:hAnsi="Arial" w:eastAsia="宋体" w:cs="Arial"/>
        </w:rPr>
      </w:pPr>
      <w:r>
        <w:rPr>
          <w:rFonts w:hint="eastAsia" w:ascii="Arial" w:hAnsi="Arial" w:eastAsia="宋体" w:cs="Arial"/>
        </w:rPr>
        <w:t>自联邦公报发布通知宣告本指南可用之日起的</w:t>
      </w:r>
      <w:r>
        <w:rPr>
          <w:rFonts w:ascii="Arial" w:hAnsi="Arial" w:eastAsia="宋体" w:cs="Arial"/>
        </w:rPr>
        <w:t>90</w:t>
      </w:r>
      <w:r>
        <w:rPr>
          <w:rFonts w:hint="eastAsia" w:ascii="Arial" w:hAnsi="Arial" w:eastAsia="宋体" w:cs="Arial"/>
        </w:rPr>
        <w:t>天之后，有关本指南的</w:t>
      </w:r>
      <w:r>
        <w:rPr>
          <w:rFonts w:hint="eastAsia" w:ascii="Arial" w:hAnsi="Arial" w:eastAsia="宋体" w:cs="Arial"/>
          <w:kern w:val="0"/>
        </w:rPr>
        <w:t>评论和建议可以随时提交</w:t>
      </w:r>
      <w:r>
        <w:rPr>
          <w:rFonts w:hint="eastAsia" w:ascii="Arial" w:hAnsi="Arial" w:eastAsia="宋体" w:cs="Arial"/>
        </w:rPr>
        <w:t>给</w:t>
      </w:r>
      <w:r>
        <w:rPr>
          <w:rFonts w:ascii="Arial" w:hAnsi="Arial" w:eastAsia="宋体" w:cs="Arial"/>
          <w:color w:val="000000"/>
          <w:lang w:bidi="en-US"/>
        </w:rPr>
        <w:t>Colin Pollard</w:t>
      </w:r>
      <w:r>
        <w:rPr>
          <w:rFonts w:hint="eastAsia" w:ascii="Arial" w:hAnsi="Arial" w:eastAsia="宋体" w:cs="Arial"/>
        </w:rPr>
        <w:t>，</w:t>
      </w:r>
      <w:r>
        <w:rPr>
          <w:rFonts w:ascii="Arial" w:hAnsi="Arial" w:eastAsia="宋体" w:cs="Arial"/>
        </w:rPr>
        <w:t>HFZ-470</w:t>
      </w:r>
      <w:r>
        <w:rPr>
          <w:rFonts w:hint="eastAsia" w:ascii="Arial" w:hAnsi="Arial" w:eastAsia="宋体" w:cs="Arial"/>
        </w:rPr>
        <w:t>。</w:t>
      </w:r>
      <w:r>
        <w:rPr>
          <w:rFonts w:hint="eastAsia" w:ascii="Arial" w:hAnsi="Arial" w:eastAsia="宋体" w:cs="Arial"/>
          <w:kern w:val="0"/>
        </w:rPr>
        <w:t>再次进行文件修订或更新之前，本机构可能不会针对评论采取行动。</w:t>
      </w:r>
      <w:r>
        <w:rPr>
          <w:rFonts w:hint="eastAsia" w:ascii="Arial" w:hAnsi="Arial" w:eastAsia="宋体" w:cs="Arial"/>
        </w:rPr>
        <w:t>有关本指南使用或解释的问题，请联系</w:t>
      </w:r>
      <w:r>
        <w:rPr>
          <w:rFonts w:ascii="Arial" w:hAnsi="Arial" w:eastAsia="宋体" w:cs="Arial"/>
        </w:rPr>
        <w:t>Colin Pollard</w:t>
      </w:r>
      <w:r>
        <w:rPr>
          <w:rFonts w:hint="eastAsia" w:ascii="Arial" w:hAnsi="Arial" w:eastAsia="宋体" w:cs="Arial"/>
        </w:rPr>
        <w:t>，</w:t>
      </w:r>
      <w:r>
        <w:rPr>
          <w:rFonts w:ascii="Arial" w:hAnsi="Arial" w:eastAsia="宋体" w:cs="Arial"/>
        </w:rPr>
        <w:t>HFZ-470</w:t>
      </w:r>
      <w:r>
        <w:rPr>
          <w:rFonts w:hint="eastAsia" w:ascii="Arial" w:hAnsi="Arial" w:eastAsia="宋体" w:cs="Arial"/>
        </w:rPr>
        <w:t>。</w:t>
      </w:r>
    </w:p>
    <w:p w14:paraId="2126BA59">
      <w:pPr>
        <w:snapToGrid w:val="0"/>
        <w:spacing w:after="163" w:afterLines="50" w:line="300" w:lineRule="auto"/>
        <w:ind w:left="0" w:leftChars="0" w:right="0" w:rightChars="0"/>
        <w:rPr>
          <w:rFonts w:ascii="Arial" w:hAnsi="Arial" w:eastAsia="宋体" w:cs="Arial"/>
          <w:b/>
          <w:szCs w:val="24"/>
        </w:rPr>
      </w:pPr>
    </w:p>
    <w:p w14:paraId="0F26E795">
      <w:pPr>
        <w:snapToGrid w:val="0"/>
        <w:spacing w:after="163" w:afterLines="50" w:line="300" w:lineRule="auto"/>
        <w:ind w:left="0" w:leftChars="0" w:right="0" w:rightChars="0"/>
        <w:rPr>
          <w:rFonts w:ascii="Arial" w:hAnsi="Arial" w:eastAsia="宋体" w:cs="Arial"/>
          <w:b/>
          <w:sz w:val="30"/>
          <w:szCs w:val="30"/>
        </w:rPr>
      </w:pPr>
      <w:r>
        <w:rPr>
          <w:rFonts w:hint="eastAsia" w:ascii="Arial" w:hAnsi="Arial" w:eastAsia="宋体" w:cs="Arial"/>
          <w:b/>
          <w:sz w:val="30"/>
          <w:szCs w:val="30"/>
        </w:rPr>
        <w:t>其他副本</w:t>
      </w:r>
    </w:p>
    <w:p w14:paraId="5A9112ED">
      <w:pPr>
        <w:pStyle w:val="44"/>
        <w:tabs>
          <w:tab w:val="left" w:pos="8647"/>
        </w:tabs>
        <w:adjustRightInd w:val="0"/>
        <w:snapToGrid w:val="0"/>
        <w:spacing w:before="0" w:after="163" w:afterLines="50" w:line="300" w:lineRule="auto"/>
        <w:ind w:firstLine="0"/>
        <w:jc w:val="left"/>
        <w:rPr>
          <w:rFonts w:ascii="Arial" w:hAnsi="Arial" w:eastAsia="宋体" w:cs="Arial"/>
        </w:rPr>
      </w:pPr>
      <w:r>
        <w:rPr>
          <w:rFonts w:hint="eastAsia" w:ascii="Arial" w:hAnsi="Arial" w:eastAsia="宋体" w:cs="Arial"/>
        </w:rPr>
        <w:t>其他副本可从互联网上的</w:t>
      </w:r>
      <w:r>
        <w:rPr>
          <w:rFonts w:ascii="Arial" w:hAnsi="Arial" w:eastAsia="宋体" w:cs="Arial"/>
        </w:rPr>
        <w:t>CDRH</w:t>
      </w:r>
      <w:r>
        <w:rPr>
          <w:rFonts w:hint="eastAsia" w:ascii="Arial" w:hAnsi="Arial" w:eastAsia="宋体" w:cs="Arial"/>
        </w:rPr>
        <w:t>主页获得</w:t>
      </w:r>
      <w:r>
        <w:rPr>
          <w:rFonts w:ascii="Arial" w:hAnsi="Arial" w:eastAsia="宋体" w:cs="Arial"/>
        </w:rPr>
        <w:t>http://www.fda.gov/cdrh/ode/guidance/820.pdf</w:t>
      </w:r>
      <w:r>
        <w:rPr>
          <w:rFonts w:hint="eastAsia" w:ascii="Arial" w:hAnsi="Arial" w:eastAsia="宋体" w:cs="Arial"/>
        </w:rPr>
        <w:t>，或使用按键式电话拨打</w:t>
      </w:r>
      <w:r>
        <w:rPr>
          <w:rFonts w:ascii="Arial" w:hAnsi="Arial" w:eastAsia="宋体" w:cs="Arial"/>
        </w:rPr>
        <w:t xml:space="preserve">1-800-899-0381 </w:t>
      </w:r>
      <w:r>
        <w:rPr>
          <w:rFonts w:hint="eastAsia" w:ascii="Arial" w:hAnsi="Arial" w:eastAsia="宋体" w:cs="Arial"/>
        </w:rPr>
        <w:t>或</w:t>
      </w:r>
      <w:r>
        <w:rPr>
          <w:rFonts w:ascii="Arial" w:hAnsi="Arial" w:eastAsia="宋体" w:cs="Arial"/>
        </w:rPr>
        <w:t xml:space="preserve">301-827-0111 (CDRH </w:t>
      </w:r>
      <w:r>
        <w:rPr>
          <w:rFonts w:hint="eastAsia" w:ascii="Arial" w:hAnsi="Arial" w:eastAsia="宋体" w:cs="Arial"/>
        </w:rPr>
        <w:t>事实需求</w:t>
      </w:r>
      <w:r>
        <w:rPr>
          <w:rFonts w:ascii="Arial" w:hAnsi="Arial" w:eastAsia="宋体" w:cs="Arial"/>
        </w:rPr>
        <w:t>)</w:t>
      </w:r>
      <w:r>
        <w:rPr>
          <w:rFonts w:hint="eastAsia" w:ascii="Arial" w:hAnsi="Arial" w:eastAsia="宋体" w:cs="Arial"/>
        </w:rPr>
        <w:t>。按</w:t>
      </w:r>
      <w:r>
        <w:rPr>
          <w:rFonts w:ascii="Arial" w:hAnsi="Arial" w:eastAsia="宋体" w:cs="Arial"/>
        </w:rPr>
        <w:t>1</w:t>
      </w:r>
      <w:r>
        <w:rPr>
          <w:rFonts w:hint="eastAsia" w:ascii="Arial" w:hAnsi="Arial" w:eastAsia="宋体" w:cs="Arial"/>
        </w:rPr>
        <w:t>进入系统并输入文件编号</w:t>
      </w:r>
      <w:r>
        <w:rPr>
          <w:rFonts w:ascii="Arial" w:hAnsi="Arial" w:eastAsia="宋体" w:cs="Arial"/>
        </w:rPr>
        <w:t>820</w:t>
      </w:r>
      <w:r>
        <w:rPr>
          <w:rFonts w:hint="eastAsia" w:ascii="Arial" w:hAnsi="Arial" w:eastAsia="宋体" w:cs="Arial"/>
        </w:rPr>
        <w:t>，然后输入井号（＃），按照剩下的语音提示来完成您的请求。</w:t>
      </w:r>
    </w:p>
    <w:p w14:paraId="2AACA856">
      <w:pPr>
        <w:snapToGrid w:val="0"/>
        <w:spacing w:after="163" w:afterLines="50" w:line="300" w:lineRule="auto"/>
        <w:ind w:left="0" w:leftChars="0" w:right="0" w:rightChars="0"/>
        <w:rPr>
          <w:rFonts w:ascii="Arial" w:hAnsi="Arial" w:eastAsia="宋体" w:cs="Arial"/>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26" w:charSpace="0"/>
        </w:sectPr>
      </w:pPr>
    </w:p>
    <w:p w14:paraId="43F465AB">
      <w:pPr>
        <w:snapToGrid w:val="0"/>
        <w:spacing w:after="163" w:afterLines="50" w:line="300" w:lineRule="auto"/>
        <w:ind w:left="0" w:leftChars="0" w:right="0" w:rightChars="0"/>
        <w:rPr>
          <w:rFonts w:ascii="Arial" w:hAnsi="Arial" w:eastAsia="宋体" w:cs="Arial"/>
          <w:szCs w:val="24"/>
        </w:rPr>
      </w:pPr>
    </w:p>
    <w:p w14:paraId="463CDBFA">
      <w:pPr>
        <w:pStyle w:val="42"/>
        <w:shd w:val="clear" w:color="auto" w:fill="auto"/>
        <w:adjustRightInd w:val="0"/>
        <w:snapToGrid w:val="0"/>
        <w:spacing w:after="163" w:afterLines="50" w:line="300" w:lineRule="auto"/>
        <w:jc w:val="left"/>
        <w:rPr>
          <w:rFonts w:ascii="Arial" w:hAnsi="Arial" w:eastAsia="宋体" w:cs="Arial"/>
          <w:sz w:val="52"/>
          <w:szCs w:val="52"/>
        </w:rPr>
      </w:pPr>
      <w:r>
        <w:rPr>
          <w:rFonts w:hint="eastAsia" w:ascii="Arial" w:hAnsi="Arial" w:eastAsia="宋体" w:cs="Arial"/>
          <w:sz w:val="52"/>
          <w:szCs w:val="52"/>
        </w:rPr>
        <w:t>行业及</w:t>
      </w:r>
      <w:r>
        <w:rPr>
          <w:rFonts w:ascii="Arial" w:hAnsi="Arial" w:eastAsia="宋体" w:cs="Arial"/>
          <w:sz w:val="52"/>
          <w:szCs w:val="52"/>
        </w:rPr>
        <w:t>FDA</w:t>
      </w:r>
      <w:r>
        <w:rPr>
          <w:rFonts w:hint="eastAsia" w:ascii="Arial" w:hAnsi="Arial" w:eastAsia="宋体" w:cs="Arial"/>
          <w:sz w:val="52"/>
          <w:szCs w:val="52"/>
        </w:rPr>
        <w:t>审查员的最终指南：</w:t>
      </w:r>
      <w:r>
        <w:rPr>
          <w:rFonts w:hint="eastAsia" w:ascii="Arial" w:hAnsi="Arial" w:eastAsia="宋体" w:cs="Arial"/>
          <w:sz w:val="52"/>
          <w:szCs w:val="52"/>
        </w:rPr>
        <w:br w:type="textWrapping"/>
      </w:r>
      <w:r>
        <w:rPr>
          <w:rFonts w:hint="eastAsia" w:ascii="Arial" w:hAnsi="Arial" w:eastAsia="宋体" w:cs="Arial"/>
          <w:sz w:val="52"/>
          <w:szCs w:val="52"/>
        </w:rPr>
        <w:t>家用子宫活动监测器</w:t>
      </w:r>
      <w:r>
        <w:rPr>
          <w:rFonts w:ascii="Arial" w:hAnsi="Arial" w:eastAsia="宋体" w:cs="Arial"/>
          <w:sz w:val="52"/>
          <w:szCs w:val="52"/>
        </w:rPr>
        <w:t>II</w:t>
      </w:r>
      <w:r>
        <w:rPr>
          <w:rFonts w:hint="eastAsia" w:ascii="Arial" w:hAnsi="Arial" w:eastAsia="宋体" w:cs="Arial"/>
          <w:sz w:val="52"/>
          <w:szCs w:val="52"/>
        </w:rPr>
        <w:t>类特殊控制</w:t>
      </w:r>
      <w:r>
        <w:rPr>
          <w:rFonts w:hint="eastAsia" w:ascii="Arial" w:hAnsi="Arial" w:eastAsia="宋体" w:cs="Arial"/>
          <w:sz w:val="52"/>
          <w:szCs w:val="52"/>
        </w:rPr>
        <w:br w:type="textWrapping"/>
      </w:r>
      <w:r>
        <w:rPr>
          <w:rFonts w:hint="eastAsia" w:ascii="Arial" w:hAnsi="Arial" w:eastAsia="宋体" w:cs="Arial"/>
          <w:sz w:val="52"/>
          <w:szCs w:val="52"/>
        </w:rPr>
        <w:t>指南</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A9B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9048" w:type="dxa"/>
            <w:tcBorders>
              <w:top w:val="single" w:color="auto" w:sz="4" w:space="0"/>
              <w:left w:val="single" w:color="auto" w:sz="4" w:space="0"/>
              <w:bottom w:val="single" w:color="auto" w:sz="4" w:space="0"/>
              <w:right w:val="single" w:color="auto" w:sz="4" w:space="0"/>
            </w:tcBorders>
          </w:tcPr>
          <w:p w14:paraId="5766B475">
            <w:pPr>
              <w:adjustRightInd w:val="0"/>
              <w:snapToGrid w:val="0"/>
              <w:spacing w:before="163" w:beforeLines="50" w:after="163" w:afterLines="50" w:line="300" w:lineRule="auto"/>
              <w:ind w:left="0" w:leftChars="0" w:right="0" w:rightChars="0"/>
              <w:rPr>
                <w:rFonts w:ascii="Arial" w:hAnsi="Arial" w:eastAsia="宋体" w:cs="Arial"/>
                <w:b/>
                <w:i/>
                <w:szCs w:val="24"/>
              </w:rPr>
            </w:pPr>
            <w:r>
              <w:rPr>
                <w:rFonts w:hint="eastAsia" w:ascii="Arial" w:hAnsi="Arial" w:eastAsia="宋体" w:cs="Arial"/>
                <w:b/>
                <w:i/>
                <w:szCs w:val="24"/>
              </w:rPr>
              <w:t>本指南代表</w:t>
            </w:r>
            <w:r>
              <w:rPr>
                <w:rFonts w:ascii="Arial" w:hAnsi="Arial" w:eastAsia="宋体" w:cs="Arial"/>
                <w:b/>
                <w:i/>
                <w:szCs w:val="24"/>
              </w:rPr>
              <w:t>FDA</w:t>
            </w:r>
            <w:r>
              <w:rPr>
                <w:rFonts w:hint="eastAsia" w:ascii="Arial" w:hAnsi="Arial" w:eastAsia="宋体" w:cs="Arial"/>
                <w:b/>
                <w:i/>
                <w:szCs w:val="24"/>
              </w:rPr>
              <w:t>目前关于该主题的思考。其不会为任何人创造或赋予任何权利，也不会对</w:t>
            </w:r>
            <w:r>
              <w:rPr>
                <w:rFonts w:ascii="Arial" w:hAnsi="Arial" w:eastAsia="宋体" w:cs="Arial"/>
                <w:b/>
                <w:i/>
                <w:szCs w:val="24"/>
              </w:rPr>
              <w:t>FDA</w:t>
            </w:r>
            <w:r>
              <w:rPr>
                <w:rFonts w:hint="eastAsia" w:ascii="Arial" w:hAnsi="Arial" w:eastAsia="宋体" w:cs="Arial"/>
                <w:b/>
                <w:i/>
                <w:szCs w:val="24"/>
              </w:rPr>
              <w:t>或公众产生约束。如果替代方法满足适用的法律法规的要求，则可以使用该方法。如果您想讨论另一种方法，请联系</w:t>
            </w:r>
            <w:r>
              <w:rPr>
                <w:rFonts w:ascii="Arial" w:hAnsi="Arial" w:eastAsia="宋体" w:cs="Arial"/>
                <w:b/>
                <w:i/>
                <w:szCs w:val="24"/>
              </w:rPr>
              <w:t>FDA</w:t>
            </w:r>
            <w:r>
              <w:rPr>
                <w:rFonts w:hint="eastAsia" w:ascii="Arial" w:hAnsi="Arial" w:eastAsia="宋体" w:cs="Arial"/>
                <w:b/>
                <w:i/>
                <w:szCs w:val="24"/>
              </w:rPr>
              <w:t>负责实施本指南的人员。如果您无法确定适当的</w:t>
            </w:r>
            <w:r>
              <w:rPr>
                <w:rFonts w:ascii="Arial" w:hAnsi="Arial" w:eastAsia="宋体" w:cs="Arial"/>
                <w:b/>
                <w:i/>
                <w:szCs w:val="24"/>
              </w:rPr>
              <w:t>FDA</w:t>
            </w:r>
            <w:r>
              <w:rPr>
                <w:rFonts w:hint="eastAsia" w:ascii="Arial" w:hAnsi="Arial" w:eastAsia="宋体" w:cs="Arial"/>
                <w:b/>
                <w:i/>
                <w:szCs w:val="24"/>
              </w:rPr>
              <w:t>工作人员，请拨打本指南标题页上列出的适当号码。</w:t>
            </w:r>
          </w:p>
        </w:tc>
      </w:tr>
    </w:tbl>
    <w:p w14:paraId="491BFC2D">
      <w:pPr>
        <w:snapToGrid w:val="0"/>
        <w:spacing w:after="163" w:afterLines="50" w:line="300" w:lineRule="auto"/>
        <w:ind w:left="0" w:leftChars="0" w:right="0" w:rightChars="0"/>
        <w:rPr>
          <w:rFonts w:ascii="Arial" w:hAnsi="Arial" w:eastAsia="宋体" w:cs="Arial"/>
          <w:b/>
          <w:szCs w:val="24"/>
        </w:rPr>
      </w:pPr>
    </w:p>
    <w:p w14:paraId="32C452DC">
      <w:pPr>
        <w:pStyle w:val="31"/>
        <w:numPr>
          <w:ilvl w:val="0"/>
          <w:numId w:val="2"/>
        </w:numPr>
        <w:snapToGrid w:val="0"/>
        <w:spacing w:after="163" w:afterLines="50" w:line="300" w:lineRule="auto"/>
        <w:ind w:leftChars="0" w:right="0" w:rightChars="0" w:firstLineChars="0"/>
        <w:rPr>
          <w:rFonts w:ascii="Arial" w:hAnsi="Arial" w:eastAsia="宋体" w:cs="Arial"/>
          <w:b/>
          <w:sz w:val="32"/>
          <w:szCs w:val="32"/>
        </w:rPr>
      </w:pPr>
      <w:r>
        <w:rPr>
          <w:rFonts w:hint="eastAsia" w:ascii="Arial" w:hAnsi="Arial" w:eastAsia="宋体" w:cs="Arial"/>
          <w:b/>
          <w:sz w:val="32"/>
          <w:szCs w:val="32"/>
        </w:rPr>
        <w:t>背景</w:t>
      </w:r>
    </w:p>
    <w:p w14:paraId="0E4DC379">
      <w:pPr>
        <w:pStyle w:val="44"/>
        <w:shd w:val="clear" w:color="auto" w:fill="auto"/>
        <w:adjustRightInd w:val="0"/>
        <w:snapToGrid w:val="0"/>
        <w:spacing w:before="0" w:after="163" w:afterLines="50" w:line="300" w:lineRule="auto"/>
        <w:ind w:firstLine="0"/>
        <w:jc w:val="left"/>
        <w:rPr>
          <w:rFonts w:ascii="Arial" w:hAnsi="Arial" w:eastAsia="宋体" w:cs="Arial"/>
        </w:rPr>
      </w:pPr>
      <w:r>
        <w:rPr>
          <w:rFonts w:ascii="Arial" w:hAnsi="Arial" w:eastAsia="宋体" w:cs="Arial"/>
        </w:rPr>
        <w:t>本指导性文件是“食品、药品和化妆品法案”第513（a）（1）（B）</w:t>
      </w:r>
      <w:r>
        <w:rPr>
          <w:rFonts w:hint="eastAsia" w:ascii="Arial" w:hAnsi="Arial" w:eastAsia="宋体" w:cs="Arial"/>
        </w:rPr>
        <w:t>节</w:t>
      </w:r>
      <w:r>
        <w:rPr>
          <w:rFonts w:ascii="Arial" w:hAnsi="Arial" w:eastAsia="宋体" w:cs="Arial"/>
        </w:rPr>
        <w:t>所指的“特殊控制”。</w:t>
      </w:r>
      <w:r>
        <w:rPr>
          <w:rFonts w:hint="eastAsia" w:ascii="Arial" w:hAnsi="Arial" w:eastAsia="宋体" w:cs="Arial"/>
        </w:rPr>
        <w:t>其</w:t>
      </w:r>
      <w:r>
        <w:rPr>
          <w:rFonts w:ascii="Arial" w:hAnsi="Arial" w:eastAsia="宋体" w:cs="Arial"/>
        </w:rPr>
        <w:t>描述了FDA应用于家用子宫活动监测器（HUAM）制造商的监管控制，目的是为了证明安全性、有效性和实质等同性。将本指导性文件定义为特殊控制，意味着HUAM的制造商在将其器械</w:t>
      </w:r>
      <w:r>
        <w:rPr>
          <w:rFonts w:hint="eastAsia" w:ascii="Arial" w:hAnsi="Arial" w:eastAsia="宋体" w:cs="Arial"/>
        </w:rPr>
        <w:t>引入</w:t>
      </w:r>
      <w:r>
        <w:rPr>
          <w:rFonts w:ascii="Arial" w:hAnsi="Arial" w:eastAsia="宋体" w:cs="Arial"/>
        </w:rPr>
        <w:t>美国的商业分销之前，应遵循本文件所列出的建议，在按照510（k）提交上市前通知并收到其器械的“实质等同性”</w:t>
      </w:r>
      <w:r>
        <w:rPr>
          <w:rFonts w:hint="eastAsia" w:ascii="Arial" w:hAnsi="Arial" w:eastAsia="宋体" w:cs="Arial"/>
        </w:rPr>
        <w:t>结果后，可上市他们的器械。制造商应遵守本指南的建议或者采用一些替代方法以</w:t>
      </w:r>
      <w:r>
        <w:rPr>
          <w:rFonts w:ascii="Arial" w:hAnsi="Arial" w:eastAsia="宋体" w:cs="Arial"/>
        </w:rPr>
        <w:t>提供安全性和有效性的等同性保证。</w:t>
      </w:r>
    </w:p>
    <w:p w14:paraId="0DFDCAC7">
      <w:pPr>
        <w:snapToGrid w:val="0"/>
        <w:spacing w:after="163" w:afterLines="50" w:line="300" w:lineRule="auto"/>
        <w:ind w:left="0" w:leftChars="0" w:right="0" w:rightChars="0"/>
        <w:rPr>
          <w:rFonts w:ascii="Arial" w:hAnsi="Arial" w:eastAsia="宋体" w:cs="Arial"/>
          <w:szCs w:val="24"/>
        </w:rPr>
      </w:pPr>
    </w:p>
    <w:p w14:paraId="1B04B883">
      <w:pPr>
        <w:snapToGrid w:val="0"/>
        <w:spacing w:after="163" w:afterLines="50" w:line="300" w:lineRule="auto"/>
        <w:ind w:left="0" w:leftChars="0" w:right="0" w:rightChars="0"/>
        <w:rPr>
          <w:rFonts w:ascii="Arial" w:hAnsi="Arial" w:eastAsia="宋体" w:cs="Arial"/>
          <w:b/>
          <w:szCs w:val="24"/>
        </w:rPr>
      </w:pPr>
      <w:bookmarkStart w:id="0" w:name="OLE_LINK4"/>
      <w:bookmarkStart w:id="1" w:name="OLE_LINK5"/>
      <w:r>
        <w:rPr>
          <w:rFonts w:hint="eastAsia" w:ascii="Arial" w:hAnsi="Arial" w:eastAsia="宋体" w:cs="Arial"/>
          <w:b/>
          <w:szCs w:val="24"/>
        </w:rPr>
        <w:t>最小负担手段原则</w:t>
      </w:r>
      <w:bookmarkEnd w:id="0"/>
      <w:bookmarkEnd w:id="1"/>
    </w:p>
    <w:p w14:paraId="3A3504E5">
      <w:pPr>
        <w:pStyle w:val="44"/>
        <w:adjustRightInd w:val="0"/>
        <w:snapToGrid w:val="0"/>
        <w:spacing w:before="0" w:after="163" w:afterLines="50" w:line="300" w:lineRule="auto"/>
        <w:ind w:firstLine="0"/>
        <w:jc w:val="left"/>
        <w:rPr>
          <w:rFonts w:ascii="Arial" w:hAnsi="Arial" w:eastAsia="宋体" w:cs="Arial"/>
        </w:rPr>
      </w:pPr>
      <w:r>
        <w:rPr>
          <w:rFonts w:ascii="Arial" w:hAnsi="Arial" w:eastAsia="宋体" w:cs="Arial"/>
        </w:rPr>
        <w:t>本指导性文件中指出的问题代表了我们认为在您的器械可获得上市批准/</w:t>
      </w:r>
      <w:r>
        <w:rPr>
          <w:rFonts w:hint="eastAsia" w:ascii="Arial" w:hAnsi="Arial" w:eastAsia="宋体" w:cs="Arial"/>
        </w:rPr>
        <w:t>许可之前需要解决的问题。在制定本</w:t>
      </w:r>
      <w:r>
        <w:rPr>
          <w:rFonts w:ascii="Arial" w:hAnsi="Arial" w:eastAsia="宋体" w:cs="Arial"/>
        </w:rPr>
        <w:t>指南时，我们仔细考虑了机构决策的相关法定标准。我们也考虑到您在尝试遵守本指南和解决我们所指出的问题时可能会产生的负担。我们认为，我们已经考虑了在解决本指导性文件所提出的问题时</w:t>
      </w:r>
      <w:r>
        <w:rPr>
          <w:rFonts w:hint="eastAsia" w:ascii="Arial" w:hAnsi="Arial" w:eastAsia="宋体" w:cs="Arial"/>
        </w:rPr>
        <w:t>的最小负担手段原则</w:t>
      </w:r>
      <w:r>
        <w:rPr>
          <w:rFonts w:ascii="Arial" w:hAnsi="Arial" w:eastAsia="宋体" w:cs="Arial"/>
        </w:rPr>
        <w:t>。 但是，如果您认为所要求的资料与您的未决申请的监管</w:t>
      </w:r>
      <w:r>
        <w:rPr>
          <w:rFonts w:hint="eastAsia" w:ascii="Arial" w:hAnsi="Arial" w:eastAsia="宋体" w:cs="Arial"/>
        </w:rPr>
        <w:t>决策</w:t>
      </w:r>
      <w:r>
        <w:rPr>
          <w:rFonts w:ascii="Arial" w:hAnsi="Arial" w:eastAsia="宋体" w:cs="Arial"/>
        </w:rPr>
        <w:t>无关，或者有</w:t>
      </w:r>
      <w:r>
        <w:rPr>
          <w:rFonts w:hint="eastAsia" w:ascii="Arial" w:hAnsi="Arial" w:eastAsia="宋体" w:cs="Arial"/>
        </w:rPr>
        <w:t>负担更小的方法可以解决问题，您应遵循“</w:t>
      </w:r>
      <w:r>
        <w:rPr>
          <w:rFonts w:ascii="Arial" w:hAnsi="Arial" w:eastAsia="宋体" w:cs="Arial"/>
        </w:rPr>
        <w:t>解决负担最小化问题的方法</w:t>
      </w:r>
      <w:r>
        <w:rPr>
          <w:rFonts w:hint="eastAsia" w:ascii="Arial" w:hAnsi="Arial" w:eastAsia="宋体" w:cs="Arial"/>
        </w:rPr>
        <w:t>”</w:t>
      </w:r>
      <w:r>
        <w:rPr>
          <w:rFonts w:ascii="Arial" w:hAnsi="Arial" w:eastAsia="宋体" w:cs="Arial"/>
        </w:rPr>
        <w:t>文件。请访问我们中心的网页：</w:t>
      </w:r>
      <w:r>
        <w:fldChar w:fldCharType="begin"/>
      </w:r>
      <w:r>
        <w:instrText xml:space="preserve"> HYPERLINK "http://www.fda.gov/cdrh/modact/leastburdensome.html" </w:instrText>
      </w:r>
      <w:r>
        <w:fldChar w:fldCharType="separate"/>
      </w:r>
      <w:r>
        <w:rPr>
          <w:rStyle w:val="20"/>
          <w:rFonts w:ascii="Arial" w:hAnsi="Arial" w:eastAsia="宋体" w:cs="Arial"/>
          <w:color w:val="0000FF"/>
          <w:u w:val="none"/>
        </w:rPr>
        <w:t>http://www.fda.gov/cdrh/modact/leastburdensome.html</w:t>
      </w:r>
      <w:r>
        <w:rPr>
          <w:rStyle w:val="20"/>
          <w:rFonts w:ascii="Arial" w:hAnsi="Arial" w:eastAsia="宋体" w:cs="Arial"/>
          <w:color w:val="0000FF"/>
          <w:u w:val="none"/>
        </w:rPr>
        <w:fldChar w:fldCharType="end"/>
      </w:r>
    </w:p>
    <w:p w14:paraId="2AD32E4D">
      <w:pPr>
        <w:pStyle w:val="44"/>
        <w:adjustRightInd w:val="0"/>
        <w:snapToGrid w:val="0"/>
        <w:spacing w:before="0" w:after="163" w:afterLines="50" w:line="300" w:lineRule="auto"/>
        <w:ind w:firstLine="0"/>
        <w:jc w:val="left"/>
        <w:rPr>
          <w:rFonts w:ascii="Arial" w:hAnsi="Arial" w:eastAsia="宋体" w:cs="Arial"/>
        </w:rPr>
      </w:pPr>
    </w:p>
    <w:p w14:paraId="6FFAA3F6">
      <w:pPr>
        <w:pStyle w:val="44"/>
        <w:shd w:val="clear" w:color="auto" w:fill="auto"/>
        <w:adjustRightInd w:val="0"/>
        <w:snapToGrid w:val="0"/>
        <w:spacing w:before="0" w:after="163" w:afterLines="50" w:line="300" w:lineRule="auto"/>
        <w:ind w:firstLine="0"/>
        <w:rPr>
          <w:rFonts w:ascii="Arial" w:hAnsi="Arial" w:eastAsia="宋体" w:cs="Arial"/>
        </w:rPr>
      </w:pPr>
      <w:r>
        <w:rPr>
          <w:rFonts w:ascii="Arial" w:hAnsi="Arial" w:eastAsia="宋体" w:cs="Arial"/>
        </w:rPr>
        <w:t>2001</w:t>
      </w:r>
      <w:r>
        <w:rPr>
          <w:rFonts w:hint="eastAsia" w:ascii="Arial" w:hAnsi="Arial" w:eastAsia="宋体" w:cs="Arial"/>
        </w:rPr>
        <w:t>年</w:t>
      </w:r>
      <w:r>
        <w:rPr>
          <w:rFonts w:ascii="Arial" w:hAnsi="Arial" w:eastAsia="宋体" w:cs="Arial"/>
        </w:rPr>
        <w:t>3</w:t>
      </w:r>
      <w:r>
        <w:rPr>
          <w:rFonts w:hint="eastAsia" w:ascii="Arial" w:hAnsi="Arial" w:eastAsia="宋体" w:cs="Arial"/>
        </w:rPr>
        <w:t>月</w:t>
      </w:r>
      <w:r>
        <w:rPr>
          <w:rFonts w:ascii="Arial" w:hAnsi="Arial" w:eastAsia="宋体" w:cs="Arial"/>
        </w:rPr>
        <w:t>9</w:t>
      </w:r>
      <w:r>
        <w:rPr>
          <w:rFonts w:hint="eastAsia" w:ascii="Arial" w:hAnsi="Arial" w:eastAsia="宋体" w:cs="Arial"/>
        </w:rPr>
        <w:t>日，</w:t>
      </w:r>
      <w:r>
        <w:rPr>
          <w:rFonts w:ascii="Arial" w:hAnsi="Arial" w:eastAsia="宋体" w:cs="Arial"/>
        </w:rPr>
        <w:t>FDA</w:t>
      </w:r>
      <w:r>
        <w:rPr>
          <w:rFonts w:hint="eastAsia" w:ascii="Arial" w:hAnsi="Arial" w:eastAsia="宋体" w:cs="Arial"/>
        </w:rPr>
        <w:t>将</w:t>
      </w:r>
      <w:r>
        <w:rPr>
          <w:rFonts w:ascii="Arial" w:hAnsi="Arial" w:eastAsia="宋体" w:cs="Arial"/>
        </w:rPr>
        <w:t>HUAM</w:t>
      </w:r>
      <w:r>
        <w:rPr>
          <w:rFonts w:hint="eastAsia" w:ascii="Arial" w:hAnsi="Arial" w:eastAsia="宋体" w:cs="Arial"/>
        </w:rPr>
        <w:t>从</w:t>
      </w:r>
      <w:r>
        <w:rPr>
          <w:rFonts w:ascii="Arial" w:hAnsi="Arial" w:eastAsia="宋体" w:cs="Arial"/>
        </w:rPr>
        <w:t>III</w:t>
      </w:r>
      <w:r>
        <w:rPr>
          <w:rFonts w:hint="eastAsia" w:ascii="Arial" w:hAnsi="Arial" w:eastAsia="宋体" w:cs="Arial"/>
        </w:rPr>
        <w:t>类（上市前批准）重新分类为</w:t>
      </w:r>
      <w:r>
        <w:rPr>
          <w:rFonts w:ascii="Arial" w:hAnsi="Arial" w:eastAsia="宋体" w:cs="Arial"/>
        </w:rPr>
        <w:t>II</w:t>
      </w:r>
      <w:r>
        <w:rPr>
          <w:rFonts w:hint="eastAsia" w:ascii="Arial" w:hAnsi="Arial" w:eastAsia="宋体" w:cs="Arial"/>
        </w:rPr>
        <w:t>类（特殊控制）。</w:t>
      </w:r>
      <w:r>
        <w:rPr>
          <w:rFonts w:ascii="Arial" w:hAnsi="Arial" w:eastAsia="宋体" w:cs="Arial"/>
        </w:rPr>
        <w:t>HUAM</w:t>
      </w:r>
      <w:r>
        <w:rPr>
          <w:rFonts w:hint="eastAsia" w:ascii="Arial" w:hAnsi="Arial" w:eastAsia="宋体" w:cs="Arial"/>
        </w:rPr>
        <w:t>是一种在法案修订后的器械，就此自动分类为</w:t>
      </w:r>
      <w:r>
        <w:rPr>
          <w:rFonts w:ascii="Arial" w:hAnsi="Arial" w:eastAsia="宋体" w:cs="Arial"/>
        </w:rPr>
        <w:t>III</w:t>
      </w:r>
      <w:r>
        <w:rPr>
          <w:rFonts w:hint="eastAsia" w:ascii="Arial" w:hAnsi="Arial" w:eastAsia="宋体" w:cs="Arial"/>
        </w:rPr>
        <w:t>类。这些器械可以由</w:t>
      </w:r>
      <w:r>
        <w:rPr>
          <w:rFonts w:ascii="Arial" w:hAnsi="Arial" w:eastAsia="宋体" w:cs="Arial"/>
        </w:rPr>
        <w:t>FDA</w:t>
      </w:r>
      <w:r>
        <w:rPr>
          <w:rFonts w:hint="eastAsia" w:ascii="Arial" w:hAnsi="Arial" w:eastAsia="宋体" w:cs="Arial"/>
        </w:rPr>
        <w:t>根据“联邦食品、药品和化妆品法案”（该法案）第</w:t>
      </w:r>
      <w:r>
        <w:rPr>
          <w:rFonts w:ascii="Arial" w:hAnsi="Arial" w:eastAsia="宋体" w:cs="Arial"/>
        </w:rPr>
        <w:t>513</w:t>
      </w:r>
      <w:r>
        <w:rPr>
          <w:rFonts w:hint="eastAsia" w:ascii="Arial" w:hAnsi="Arial" w:eastAsia="宋体" w:cs="Arial"/>
        </w:rPr>
        <w:t>（</w:t>
      </w:r>
      <w:r>
        <w:rPr>
          <w:rFonts w:ascii="Arial" w:hAnsi="Arial" w:eastAsia="宋体" w:cs="Arial"/>
        </w:rPr>
        <w:t>f</w:t>
      </w:r>
      <w:r>
        <w:rPr>
          <w:rFonts w:hint="eastAsia" w:ascii="Arial" w:hAnsi="Arial" w:eastAsia="宋体" w:cs="Arial"/>
        </w:rPr>
        <w:t>）（</w:t>
      </w:r>
      <w:r>
        <w:rPr>
          <w:rFonts w:ascii="Arial" w:hAnsi="Arial" w:eastAsia="宋体" w:cs="Arial"/>
        </w:rPr>
        <w:t>1</w:t>
      </w:r>
      <w:r>
        <w:rPr>
          <w:rFonts w:hint="eastAsia" w:ascii="Arial" w:hAnsi="Arial" w:eastAsia="宋体" w:cs="Arial"/>
        </w:rPr>
        <w:t>）节启动重新分类，或者器械的制造商或进口商可以向局长提交请愿，申请将其归类为</w:t>
      </w:r>
      <w:r>
        <w:rPr>
          <w:rFonts w:ascii="Arial" w:hAnsi="Arial" w:eastAsia="宋体" w:cs="Arial"/>
        </w:rPr>
        <w:t>I</w:t>
      </w:r>
      <w:r>
        <w:rPr>
          <w:rFonts w:hint="eastAsia" w:ascii="Arial" w:hAnsi="Arial" w:eastAsia="宋体" w:cs="Arial"/>
        </w:rPr>
        <w:t>类或</w:t>
      </w:r>
      <w:r>
        <w:rPr>
          <w:rFonts w:ascii="Arial" w:hAnsi="Arial" w:eastAsia="宋体" w:cs="Arial"/>
        </w:rPr>
        <w:t>II</w:t>
      </w:r>
      <w:r>
        <w:rPr>
          <w:rFonts w:hint="eastAsia" w:ascii="Arial" w:hAnsi="Arial" w:eastAsia="宋体" w:cs="Arial"/>
        </w:rPr>
        <w:t>类器械。为了变更器械的分类，拟议的新类别必须有充分的监管控制，以对器械预期用途的安全性和有效性提供合理保证。</w:t>
      </w:r>
    </w:p>
    <w:p w14:paraId="10CEFD8F">
      <w:pPr>
        <w:pStyle w:val="44"/>
        <w:shd w:val="clear" w:color="auto" w:fill="auto"/>
        <w:adjustRightInd w:val="0"/>
        <w:snapToGrid w:val="0"/>
        <w:spacing w:before="0" w:after="163" w:afterLines="50" w:line="300" w:lineRule="auto"/>
        <w:ind w:firstLine="0"/>
        <w:jc w:val="left"/>
        <w:rPr>
          <w:rFonts w:ascii="Arial" w:hAnsi="Arial" w:eastAsia="宋体" w:cs="Arial"/>
        </w:rPr>
      </w:pPr>
      <w:r>
        <w:rPr>
          <w:rFonts w:ascii="Arial" w:hAnsi="Arial" w:eastAsia="宋体" w:cs="Arial"/>
        </w:rPr>
        <w:t>FDA</w:t>
      </w:r>
      <w:r>
        <w:rPr>
          <w:rFonts w:hint="eastAsia" w:ascii="Arial" w:hAnsi="Arial" w:eastAsia="宋体" w:cs="Arial"/>
        </w:rPr>
        <w:t>于</w:t>
      </w:r>
      <w:r>
        <w:rPr>
          <w:rFonts w:ascii="Arial" w:hAnsi="Arial" w:eastAsia="宋体" w:cs="Arial"/>
        </w:rPr>
        <w:t>1997</w:t>
      </w:r>
      <w:r>
        <w:rPr>
          <w:rFonts w:hint="eastAsia" w:ascii="Arial" w:hAnsi="Arial" w:eastAsia="宋体" w:cs="Arial"/>
        </w:rPr>
        <w:t>年</w:t>
      </w:r>
      <w:r>
        <w:rPr>
          <w:rFonts w:ascii="Arial" w:hAnsi="Arial" w:eastAsia="宋体" w:cs="Arial"/>
        </w:rPr>
        <w:t>8</w:t>
      </w:r>
      <w:r>
        <w:rPr>
          <w:rFonts w:hint="eastAsia" w:ascii="Arial" w:hAnsi="Arial" w:eastAsia="宋体" w:cs="Arial"/>
        </w:rPr>
        <w:t>月</w:t>
      </w:r>
      <w:r>
        <w:rPr>
          <w:rFonts w:ascii="Arial" w:hAnsi="Arial" w:eastAsia="宋体" w:cs="Arial"/>
        </w:rPr>
        <w:t>15</w:t>
      </w:r>
      <w:r>
        <w:rPr>
          <w:rFonts w:hint="eastAsia" w:ascii="Arial" w:hAnsi="Arial" w:eastAsia="宋体" w:cs="Arial"/>
        </w:rPr>
        <w:t>日收到一份</w:t>
      </w:r>
      <w:r>
        <w:rPr>
          <w:rFonts w:ascii="Arial" w:hAnsi="Arial" w:eastAsia="宋体" w:cs="Arial"/>
        </w:rPr>
        <w:t>HUAM</w:t>
      </w:r>
      <w:r>
        <w:rPr>
          <w:rFonts w:hint="eastAsia" w:ascii="Arial" w:hAnsi="Arial" w:eastAsia="宋体" w:cs="Arial"/>
        </w:rPr>
        <w:t>的请愿书。根据该法案和法规，</w:t>
      </w:r>
      <w:r>
        <w:rPr>
          <w:rFonts w:ascii="Arial" w:hAnsi="Arial" w:eastAsia="宋体" w:cs="Arial"/>
        </w:rPr>
        <w:t>FDA</w:t>
      </w:r>
      <w:r>
        <w:rPr>
          <w:rFonts w:hint="eastAsia" w:ascii="Arial" w:hAnsi="Arial" w:eastAsia="宋体" w:cs="Arial"/>
        </w:rPr>
        <w:t>于</w:t>
      </w:r>
      <w:r>
        <w:rPr>
          <w:rFonts w:ascii="Arial" w:hAnsi="Arial" w:eastAsia="宋体" w:cs="Arial"/>
        </w:rPr>
        <w:t>1997</w:t>
      </w:r>
      <w:r>
        <w:rPr>
          <w:rFonts w:hint="eastAsia" w:ascii="Arial" w:hAnsi="Arial" w:eastAsia="宋体" w:cs="Arial"/>
        </w:rPr>
        <w:t>年</w:t>
      </w:r>
      <w:r>
        <w:rPr>
          <w:rFonts w:ascii="Arial" w:hAnsi="Arial" w:eastAsia="宋体" w:cs="Arial"/>
        </w:rPr>
        <w:t>10</w:t>
      </w:r>
      <w:r>
        <w:rPr>
          <w:rFonts w:hint="eastAsia" w:ascii="Arial" w:hAnsi="Arial" w:eastAsia="宋体" w:cs="Arial"/>
        </w:rPr>
        <w:t>月</w:t>
      </w:r>
      <w:r>
        <w:rPr>
          <w:rFonts w:ascii="Arial" w:hAnsi="Arial" w:eastAsia="宋体" w:cs="Arial"/>
        </w:rPr>
        <w:t>7</w:t>
      </w:r>
      <w:r>
        <w:rPr>
          <w:rFonts w:hint="eastAsia" w:ascii="Arial" w:hAnsi="Arial" w:eastAsia="宋体" w:cs="Arial"/>
        </w:rPr>
        <w:t>日将该请求转交给妇产科器械小组（该小组），征求其对分类变更请求的建议。该小组投票赞成重新分类，</w:t>
      </w:r>
      <w:r>
        <w:rPr>
          <w:rFonts w:ascii="Arial" w:hAnsi="Arial" w:eastAsia="宋体" w:cs="Arial"/>
        </w:rPr>
        <w:t>FDA</w:t>
      </w:r>
      <w:r>
        <w:rPr>
          <w:rFonts w:hint="eastAsia" w:ascii="Arial" w:hAnsi="Arial" w:eastAsia="宋体" w:cs="Arial"/>
        </w:rPr>
        <w:t>同意。</w:t>
      </w:r>
      <w:r>
        <w:rPr>
          <w:rFonts w:ascii="Arial" w:hAnsi="Arial" w:eastAsia="宋体" w:cs="Arial"/>
        </w:rPr>
        <w:t>1999</w:t>
      </w:r>
      <w:r>
        <w:rPr>
          <w:rFonts w:hint="eastAsia" w:ascii="Arial" w:hAnsi="Arial" w:eastAsia="宋体" w:cs="Arial"/>
        </w:rPr>
        <w:t>年</w:t>
      </w:r>
      <w:r>
        <w:rPr>
          <w:rFonts w:ascii="Arial" w:hAnsi="Arial" w:eastAsia="宋体" w:cs="Arial"/>
        </w:rPr>
        <w:t>7</w:t>
      </w:r>
      <w:r>
        <w:rPr>
          <w:rFonts w:hint="eastAsia" w:ascii="Arial" w:hAnsi="Arial" w:eastAsia="宋体" w:cs="Arial"/>
        </w:rPr>
        <w:t>月</w:t>
      </w:r>
      <w:r>
        <w:rPr>
          <w:rFonts w:ascii="Arial" w:hAnsi="Arial" w:eastAsia="宋体" w:cs="Arial"/>
        </w:rPr>
        <w:t>30</w:t>
      </w:r>
      <w:r>
        <w:rPr>
          <w:rFonts w:hint="eastAsia" w:ascii="Arial" w:hAnsi="Arial" w:eastAsia="宋体" w:cs="Arial"/>
        </w:rPr>
        <w:t>日发布了联邦公告通知。</w:t>
      </w:r>
    </w:p>
    <w:p w14:paraId="0DFBD70C">
      <w:pPr>
        <w:pStyle w:val="31"/>
        <w:numPr>
          <w:ilvl w:val="0"/>
          <w:numId w:val="2"/>
        </w:numPr>
        <w:snapToGrid w:val="0"/>
        <w:spacing w:after="163" w:afterLines="50" w:line="300" w:lineRule="auto"/>
        <w:ind w:leftChars="0" w:right="0" w:rightChars="0" w:firstLineChars="0"/>
        <w:rPr>
          <w:rFonts w:ascii="Arial" w:hAnsi="Arial" w:eastAsia="宋体" w:cs="Arial"/>
          <w:b/>
          <w:sz w:val="32"/>
          <w:szCs w:val="32"/>
        </w:rPr>
      </w:pPr>
      <w:bookmarkStart w:id="2" w:name="bookmark6"/>
      <w:r>
        <w:rPr>
          <w:rFonts w:hint="eastAsia" w:ascii="Arial" w:hAnsi="Arial" w:eastAsia="宋体" w:cs="Arial"/>
          <w:b/>
          <w:sz w:val="32"/>
          <w:szCs w:val="32"/>
        </w:rPr>
        <w:t>范围</w:t>
      </w:r>
      <w:bookmarkEnd w:id="2"/>
    </w:p>
    <w:p w14:paraId="5BB79D6B">
      <w:pPr>
        <w:pStyle w:val="44"/>
        <w:shd w:val="clear" w:color="auto" w:fill="auto"/>
        <w:adjustRightInd w:val="0"/>
        <w:snapToGrid w:val="0"/>
        <w:spacing w:before="0" w:after="163" w:afterLines="50" w:line="300" w:lineRule="auto"/>
        <w:ind w:firstLine="0"/>
        <w:jc w:val="left"/>
        <w:rPr>
          <w:rFonts w:ascii="Arial" w:hAnsi="Arial" w:eastAsia="宋体" w:cs="Arial"/>
        </w:rPr>
      </w:pPr>
      <w:r>
        <w:rPr>
          <w:rFonts w:ascii="Arial" w:hAnsi="Arial" w:eastAsia="宋体" w:cs="Arial"/>
        </w:rPr>
        <w:t>本指南适用于符合以下描述及预期用途的家用子宫活动监测</w:t>
      </w:r>
      <w:r>
        <w:rPr>
          <w:rFonts w:hint="eastAsia" w:ascii="Arial" w:hAnsi="Arial" w:eastAsia="宋体" w:cs="Arial"/>
        </w:rPr>
        <w:t>器</w:t>
      </w:r>
      <w:r>
        <w:rPr>
          <w:rFonts w:ascii="Arial" w:hAnsi="Arial" w:eastAsia="宋体" w:cs="Arial"/>
        </w:rPr>
        <w:t>。</w:t>
      </w:r>
    </w:p>
    <w:p w14:paraId="22AEA929">
      <w:pPr>
        <w:pStyle w:val="50"/>
        <w:keepNext/>
        <w:keepLines/>
        <w:numPr>
          <w:ilvl w:val="0"/>
          <w:numId w:val="3"/>
        </w:numPr>
        <w:shd w:val="clear" w:color="auto" w:fill="auto"/>
        <w:tabs>
          <w:tab w:val="left" w:pos="894"/>
        </w:tabs>
        <w:adjustRightInd w:val="0"/>
        <w:snapToGrid w:val="0"/>
        <w:spacing w:before="0" w:after="163" w:afterLines="50" w:line="300" w:lineRule="auto"/>
        <w:ind w:left="480" w:leftChars="200"/>
        <w:rPr>
          <w:rFonts w:ascii="Arial" w:hAnsi="Arial" w:eastAsia="宋体" w:cs="Arial"/>
          <w:sz w:val="24"/>
          <w:szCs w:val="24"/>
        </w:rPr>
      </w:pPr>
      <w:r>
        <w:rPr>
          <w:rFonts w:hint="eastAsia" w:ascii="Arial" w:hAnsi="Arial" w:eastAsia="宋体" w:cs="Arial"/>
          <w:sz w:val="24"/>
          <w:szCs w:val="24"/>
        </w:rPr>
        <w:t>器械描述</w:t>
      </w:r>
    </w:p>
    <w:p w14:paraId="345C3A89">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通用名：家用子宫活动</w:t>
      </w:r>
      <w:r>
        <w:rPr>
          <w:rFonts w:ascii="Arial" w:hAnsi="Arial" w:eastAsia="宋体" w:cs="Arial"/>
        </w:rPr>
        <w:t>监测</w:t>
      </w:r>
      <w:r>
        <w:rPr>
          <w:rFonts w:hint="eastAsia" w:ascii="Arial" w:hAnsi="Arial" w:eastAsia="宋体" w:cs="Arial"/>
        </w:rPr>
        <w:t>器</w:t>
      </w:r>
      <w:r>
        <w:rPr>
          <w:rFonts w:ascii="Arial" w:hAnsi="Arial" w:eastAsia="宋体" w:cs="Arial"/>
        </w:rPr>
        <w:t xml:space="preserve"> (HUAM)</w:t>
      </w:r>
    </w:p>
    <w:p w14:paraId="1CC0C877">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分类：</w:t>
      </w:r>
      <w:r>
        <w:rPr>
          <w:rFonts w:ascii="Arial" w:hAnsi="Arial" w:eastAsia="宋体" w:cs="Arial"/>
        </w:rPr>
        <w:t>II</w:t>
      </w:r>
    </w:p>
    <w:p w14:paraId="21D72402">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分类组：</w:t>
      </w:r>
      <w:r>
        <w:rPr>
          <w:rFonts w:ascii="Arial" w:hAnsi="Arial" w:eastAsia="宋体" w:cs="Arial"/>
        </w:rPr>
        <w:t>85</w:t>
      </w:r>
    </w:p>
    <w:p w14:paraId="19F57506">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产品代码：</w:t>
      </w:r>
      <w:r>
        <w:rPr>
          <w:rFonts w:ascii="Arial" w:hAnsi="Arial" w:eastAsia="宋体" w:cs="Arial"/>
        </w:rPr>
        <w:t xml:space="preserve">LQK </w:t>
      </w:r>
    </w:p>
    <w:p w14:paraId="450641B1">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法规编号：</w:t>
      </w:r>
      <w:r>
        <w:rPr>
          <w:rFonts w:ascii="Arial" w:hAnsi="Arial" w:eastAsia="宋体" w:cs="Arial"/>
        </w:rPr>
        <w:t>884.2730</w:t>
      </w:r>
    </w:p>
    <w:p w14:paraId="2215C71D">
      <w:pPr>
        <w:pStyle w:val="50"/>
        <w:keepNext/>
        <w:keepLines/>
        <w:numPr>
          <w:ilvl w:val="0"/>
          <w:numId w:val="3"/>
        </w:numPr>
        <w:shd w:val="clear" w:color="auto" w:fill="auto"/>
        <w:tabs>
          <w:tab w:val="left" w:pos="894"/>
        </w:tabs>
        <w:adjustRightInd w:val="0"/>
        <w:snapToGrid w:val="0"/>
        <w:spacing w:before="0" w:after="163" w:afterLines="50" w:line="300" w:lineRule="auto"/>
        <w:ind w:left="480" w:leftChars="200"/>
        <w:rPr>
          <w:rFonts w:ascii="Arial" w:hAnsi="Arial" w:eastAsia="宋体" w:cs="Arial"/>
          <w:sz w:val="24"/>
          <w:szCs w:val="24"/>
        </w:rPr>
      </w:pPr>
      <w:r>
        <w:rPr>
          <w:rFonts w:hint="eastAsia" w:ascii="Arial" w:hAnsi="Arial" w:eastAsia="宋体" w:cs="Arial"/>
          <w:sz w:val="24"/>
          <w:szCs w:val="24"/>
        </w:rPr>
        <w:t>预期用途和适应症</w:t>
      </w:r>
    </w:p>
    <w:p w14:paraId="15CD02A7">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家用子宫活动监测器（</w:t>
      </w:r>
      <w:r>
        <w:rPr>
          <w:rFonts w:ascii="Arial" w:hAnsi="Arial" w:eastAsia="宋体" w:cs="Arial"/>
        </w:rPr>
        <w:t>HUAM</w:t>
      </w:r>
      <w:r>
        <w:rPr>
          <w:rFonts w:hint="eastAsia" w:ascii="Arial" w:hAnsi="Arial" w:eastAsia="宋体" w:cs="Arial"/>
        </w:rPr>
        <w:t>）是一种用于在家中进行产前子宫收缩测量，通过电话将数据传输到临床应用，并在门诊收集</w:t>
      </w:r>
      <w:r>
        <w:rPr>
          <w:rFonts w:ascii="Arial" w:hAnsi="Arial" w:eastAsia="宋体" w:cs="Arial"/>
        </w:rPr>
        <w:t>/</w:t>
      </w:r>
      <w:r>
        <w:rPr>
          <w:rFonts w:hint="eastAsia" w:ascii="Arial" w:hAnsi="Arial" w:eastAsia="宋体" w:cs="Arial"/>
        </w:rPr>
        <w:t>显示子宫收缩数据的电子系统。</w:t>
      </w:r>
      <w:r>
        <w:rPr>
          <w:rFonts w:ascii="Arial" w:hAnsi="Arial" w:eastAsia="宋体" w:cs="Arial"/>
        </w:rPr>
        <w:t>HUAM</w:t>
      </w:r>
      <w:r>
        <w:rPr>
          <w:rFonts w:hint="eastAsia" w:ascii="Arial" w:hAnsi="Arial" w:eastAsia="宋体" w:cs="Arial"/>
        </w:rPr>
        <w:t>系统包括一个分娩换能器、一个家用录音机、一个调制解调器和一个数据接收</w:t>
      </w:r>
      <w:r>
        <w:rPr>
          <w:rFonts w:ascii="Arial" w:hAnsi="Arial" w:eastAsia="宋体" w:cs="Arial"/>
        </w:rPr>
        <w:t>/</w:t>
      </w:r>
      <w:r>
        <w:rPr>
          <w:rFonts w:hint="eastAsia" w:ascii="Arial" w:hAnsi="Arial" w:eastAsia="宋体" w:cs="Arial"/>
        </w:rPr>
        <w:t>处理</w:t>
      </w:r>
      <w:r>
        <w:rPr>
          <w:rFonts w:ascii="Arial" w:hAnsi="Arial" w:eastAsia="宋体" w:cs="Arial"/>
        </w:rPr>
        <w:t>/</w:t>
      </w:r>
      <w:r>
        <w:rPr>
          <w:rFonts w:hint="eastAsia" w:ascii="Arial" w:hAnsi="Arial" w:eastAsia="宋体" w:cs="Arial"/>
        </w:rPr>
        <w:t>显示计算机</w:t>
      </w:r>
      <w:r>
        <w:rPr>
          <w:rFonts w:ascii="Arial" w:hAnsi="Arial" w:eastAsia="宋体" w:cs="Arial"/>
        </w:rPr>
        <w:t>/</w:t>
      </w:r>
      <w:r>
        <w:rPr>
          <w:rFonts w:hint="eastAsia" w:ascii="Arial" w:hAnsi="Arial" w:eastAsia="宋体" w:cs="Arial"/>
        </w:rPr>
        <w:t>监视器。</w:t>
      </w:r>
    </w:p>
    <w:p w14:paraId="39B4D5AD">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ascii="Arial" w:hAnsi="Arial" w:eastAsia="宋体" w:cs="Arial"/>
        </w:rPr>
        <w:t>HUAM</w:t>
      </w:r>
      <w:r>
        <w:rPr>
          <w:rFonts w:hint="eastAsia" w:ascii="Arial" w:hAnsi="Arial" w:eastAsia="宋体" w:cs="Arial"/>
        </w:rPr>
        <w:t>是一种仅处方用的系统，旨在与标准的高风险护理相结合，用于妊娠≥</w:t>
      </w:r>
      <w:r>
        <w:rPr>
          <w:rFonts w:ascii="Arial" w:hAnsi="Arial" w:eastAsia="宋体" w:cs="Arial"/>
        </w:rPr>
        <w:t>24</w:t>
      </w:r>
      <w:r>
        <w:rPr>
          <w:rFonts w:hint="eastAsia" w:ascii="Arial" w:hAnsi="Arial" w:eastAsia="宋体" w:cs="Arial"/>
        </w:rPr>
        <w:t>周并有早产史的孕妇每天在家测量子宫活动。子宫活动经远程显示，有助于早产的早期发现。</w:t>
      </w:r>
    </w:p>
    <w:p w14:paraId="4050F4D6">
      <w:pPr>
        <w:pStyle w:val="31"/>
        <w:numPr>
          <w:ilvl w:val="0"/>
          <w:numId w:val="2"/>
        </w:numPr>
        <w:snapToGrid w:val="0"/>
        <w:spacing w:after="163" w:afterLines="50" w:line="300" w:lineRule="auto"/>
        <w:ind w:leftChars="0" w:right="0" w:rightChars="0" w:firstLineChars="0"/>
        <w:rPr>
          <w:rFonts w:ascii="Arial" w:hAnsi="Arial" w:eastAsia="宋体" w:cs="Arial"/>
          <w:b/>
          <w:sz w:val="32"/>
          <w:szCs w:val="32"/>
        </w:rPr>
      </w:pPr>
      <w:r>
        <w:rPr>
          <w:rFonts w:ascii="Arial" w:hAnsi="Arial" w:eastAsia="宋体" w:cs="Arial"/>
          <w:b/>
          <w:sz w:val="32"/>
          <w:szCs w:val="32"/>
        </w:rPr>
        <w:t>健康风险</w:t>
      </w:r>
    </w:p>
    <w:p w14:paraId="185206B5">
      <w:pPr>
        <w:pStyle w:val="44"/>
        <w:shd w:val="clear" w:color="auto" w:fill="auto"/>
        <w:adjustRightInd w:val="0"/>
        <w:snapToGrid w:val="0"/>
        <w:spacing w:before="0" w:after="163" w:afterLines="50" w:line="300" w:lineRule="auto"/>
        <w:ind w:firstLine="0"/>
        <w:rPr>
          <w:rFonts w:ascii="Arial" w:hAnsi="Arial" w:eastAsia="宋体" w:cs="Arial"/>
        </w:rPr>
      </w:pPr>
      <w:r>
        <w:rPr>
          <w:rFonts w:ascii="Arial" w:hAnsi="Arial" w:eastAsia="宋体" w:cs="Arial"/>
        </w:rPr>
        <w:t>FDA已经确定与这种类型器械相关的五种健康风险。这些风险是：</w:t>
      </w:r>
    </w:p>
    <w:p w14:paraId="650BF51A">
      <w:pPr>
        <w:pStyle w:val="44"/>
        <w:numPr>
          <w:ilvl w:val="0"/>
          <w:numId w:val="4"/>
        </w:numPr>
        <w:tabs>
          <w:tab w:val="left" w:pos="1121"/>
        </w:tabs>
        <w:adjustRightInd w:val="0"/>
        <w:snapToGrid w:val="0"/>
        <w:spacing w:before="0" w:after="0" w:line="300" w:lineRule="auto"/>
        <w:ind w:left="0" w:firstLine="0"/>
        <w:rPr>
          <w:rFonts w:ascii="Arial" w:hAnsi="Arial" w:eastAsia="宋体" w:cs="Arial"/>
        </w:rPr>
      </w:pPr>
      <w:r>
        <w:rPr>
          <w:rFonts w:ascii="Arial" w:hAnsi="Arial" w:eastAsia="宋体" w:cs="Arial"/>
        </w:rPr>
        <w:t>触电和/或</w:t>
      </w:r>
      <w:r>
        <w:rPr>
          <w:rFonts w:hint="eastAsia" w:ascii="Arial" w:hAnsi="Arial" w:eastAsia="宋体" w:cs="Arial"/>
        </w:rPr>
        <w:t>损伤</w:t>
      </w:r>
    </w:p>
    <w:p w14:paraId="4E8896D0">
      <w:pPr>
        <w:pStyle w:val="44"/>
        <w:numPr>
          <w:ilvl w:val="0"/>
          <w:numId w:val="4"/>
        </w:numPr>
        <w:tabs>
          <w:tab w:val="left" w:pos="1121"/>
        </w:tabs>
        <w:adjustRightInd w:val="0"/>
        <w:snapToGrid w:val="0"/>
        <w:spacing w:before="0" w:after="0" w:line="300" w:lineRule="auto"/>
        <w:ind w:left="0" w:firstLine="0"/>
        <w:rPr>
          <w:rFonts w:ascii="Arial" w:hAnsi="Arial" w:eastAsia="宋体" w:cs="Arial"/>
        </w:rPr>
      </w:pPr>
      <w:r>
        <w:rPr>
          <w:rFonts w:ascii="Arial" w:hAnsi="Arial" w:eastAsia="宋体" w:cs="Arial"/>
        </w:rPr>
        <w:t>皮肤刺激和致敏（来自腹带或分娩换能器）</w:t>
      </w:r>
    </w:p>
    <w:p w14:paraId="69C773CD">
      <w:pPr>
        <w:pStyle w:val="44"/>
        <w:numPr>
          <w:ilvl w:val="0"/>
          <w:numId w:val="4"/>
        </w:numPr>
        <w:tabs>
          <w:tab w:val="left" w:pos="1121"/>
        </w:tabs>
        <w:adjustRightInd w:val="0"/>
        <w:snapToGrid w:val="0"/>
        <w:spacing w:before="0" w:after="0" w:line="300" w:lineRule="auto"/>
        <w:ind w:left="0" w:firstLine="0"/>
        <w:rPr>
          <w:rFonts w:ascii="Arial" w:hAnsi="Arial" w:eastAsia="宋体" w:cs="Arial"/>
        </w:rPr>
      </w:pPr>
      <w:r>
        <w:rPr>
          <w:rFonts w:ascii="Arial" w:hAnsi="Arial" w:eastAsia="宋体" w:cs="Arial"/>
        </w:rPr>
        <w:t>不必要的评估和治疗（来自过度诊断）</w:t>
      </w:r>
    </w:p>
    <w:p w14:paraId="62C8E3A6">
      <w:pPr>
        <w:pStyle w:val="44"/>
        <w:numPr>
          <w:ilvl w:val="0"/>
          <w:numId w:val="4"/>
        </w:numPr>
        <w:tabs>
          <w:tab w:val="left" w:pos="1121"/>
        </w:tabs>
        <w:adjustRightInd w:val="0"/>
        <w:snapToGrid w:val="0"/>
        <w:spacing w:before="0" w:after="0" w:line="300" w:lineRule="auto"/>
        <w:ind w:left="0" w:firstLine="0"/>
        <w:rPr>
          <w:rFonts w:ascii="Arial" w:hAnsi="Arial" w:eastAsia="宋体" w:cs="Arial"/>
        </w:rPr>
      </w:pPr>
      <w:r>
        <w:rPr>
          <w:rFonts w:ascii="Arial" w:hAnsi="Arial" w:eastAsia="宋体" w:cs="Arial"/>
        </w:rPr>
        <w:t>使用宫缩抑制剂治疗可能产生的有害影响</w:t>
      </w:r>
    </w:p>
    <w:p w14:paraId="017F263E">
      <w:pPr>
        <w:pStyle w:val="44"/>
        <w:numPr>
          <w:ilvl w:val="0"/>
          <w:numId w:val="4"/>
        </w:numPr>
        <w:shd w:val="clear" w:color="auto" w:fill="auto"/>
        <w:tabs>
          <w:tab w:val="left" w:pos="1121"/>
        </w:tabs>
        <w:adjustRightInd w:val="0"/>
        <w:snapToGrid w:val="0"/>
        <w:spacing w:before="0" w:after="163" w:afterLines="50" w:line="300" w:lineRule="auto"/>
        <w:ind w:left="0" w:firstLine="0"/>
        <w:jc w:val="left"/>
        <w:rPr>
          <w:rFonts w:ascii="Arial" w:hAnsi="Arial" w:eastAsia="宋体" w:cs="Arial"/>
        </w:rPr>
      </w:pPr>
      <w:r>
        <w:rPr>
          <w:rFonts w:hint="eastAsia" w:ascii="Arial" w:hAnsi="Arial" w:eastAsia="宋体" w:cs="Arial"/>
        </w:rPr>
        <w:t>用于</w:t>
      </w:r>
      <w:r>
        <w:rPr>
          <w:rFonts w:ascii="Arial" w:hAnsi="Arial" w:eastAsia="宋体" w:cs="Arial"/>
        </w:rPr>
        <w:t>未经证实的患者亚群（转移的风险-</w:t>
      </w:r>
      <w:r>
        <w:rPr>
          <w:rFonts w:hint="eastAsia" w:ascii="Arial" w:hAnsi="Arial" w:eastAsia="宋体" w:cs="Arial"/>
        </w:rPr>
        <w:t>获益）</w:t>
      </w:r>
    </w:p>
    <w:p w14:paraId="5AC1F690">
      <w:pPr>
        <w:pStyle w:val="31"/>
        <w:numPr>
          <w:ilvl w:val="0"/>
          <w:numId w:val="2"/>
        </w:numPr>
        <w:snapToGrid w:val="0"/>
        <w:spacing w:after="163" w:afterLines="50" w:line="300" w:lineRule="auto"/>
        <w:ind w:leftChars="0" w:right="0" w:rightChars="0" w:firstLineChars="0"/>
        <w:rPr>
          <w:rFonts w:ascii="Arial" w:hAnsi="Arial" w:eastAsia="宋体" w:cs="Arial"/>
          <w:b/>
          <w:sz w:val="32"/>
          <w:szCs w:val="32"/>
        </w:rPr>
      </w:pPr>
      <w:r>
        <w:rPr>
          <w:rFonts w:ascii="Arial" w:hAnsi="Arial" w:eastAsia="宋体" w:cs="Arial"/>
          <w:b/>
          <w:sz w:val="32"/>
          <w:szCs w:val="32"/>
        </w:rPr>
        <w:t>特殊控制指</w:t>
      </w:r>
      <w:r>
        <w:rPr>
          <w:rFonts w:hint="eastAsia" w:ascii="Arial" w:hAnsi="Arial" w:eastAsia="宋体" w:cs="Arial"/>
          <w:b/>
          <w:sz w:val="32"/>
          <w:szCs w:val="32"/>
        </w:rPr>
        <w:t>南</w:t>
      </w:r>
    </w:p>
    <w:p w14:paraId="600079FD">
      <w:pPr>
        <w:pStyle w:val="44"/>
        <w:shd w:val="clear" w:color="auto" w:fill="auto"/>
        <w:adjustRightInd w:val="0"/>
        <w:snapToGrid w:val="0"/>
        <w:spacing w:before="0" w:after="163" w:afterLines="50" w:line="300" w:lineRule="auto"/>
        <w:ind w:firstLine="0"/>
        <w:jc w:val="left"/>
        <w:rPr>
          <w:rFonts w:ascii="Arial" w:hAnsi="Arial" w:eastAsia="宋体" w:cs="Arial"/>
        </w:rPr>
      </w:pPr>
      <w:r>
        <w:rPr>
          <w:rFonts w:ascii="Arial" w:hAnsi="Arial" w:eastAsia="宋体" w:cs="Arial"/>
        </w:rPr>
        <w:t>FDA认为，当以下控制措施与该法案中的通用控制措施相结合时，将为此类器械的安全性和有效性提供合理保证：标签、设计控制、临床资料和患者注册表。</w:t>
      </w:r>
    </w:p>
    <w:p w14:paraId="4B097BD6">
      <w:pPr>
        <w:pStyle w:val="50"/>
        <w:keepNext/>
        <w:keepLines/>
        <w:numPr>
          <w:ilvl w:val="0"/>
          <w:numId w:val="5"/>
        </w:numPr>
        <w:shd w:val="clear" w:color="auto" w:fill="auto"/>
        <w:tabs>
          <w:tab w:val="left" w:pos="897"/>
        </w:tabs>
        <w:adjustRightInd w:val="0"/>
        <w:snapToGrid w:val="0"/>
        <w:spacing w:before="0" w:after="163" w:afterLines="50" w:line="300" w:lineRule="auto"/>
        <w:ind w:left="480" w:leftChars="200"/>
        <w:rPr>
          <w:rFonts w:ascii="Arial" w:hAnsi="Arial" w:eastAsia="宋体" w:cs="Arial"/>
          <w:sz w:val="24"/>
          <w:szCs w:val="24"/>
        </w:rPr>
      </w:pPr>
      <w:r>
        <w:rPr>
          <w:rFonts w:hint="eastAsia" w:ascii="Arial" w:hAnsi="Arial" w:eastAsia="宋体" w:cs="Arial"/>
          <w:sz w:val="24"/>
          <w:szCs w:val="24"/>
        </w:rPr>
        <w:t>标签</w:t>
      </w:r>
    </w:p>
    <w:p w14:paraId="7467692F">
      <w:pPr>
        <w:pStyle w:val="44"/>
        <w:shd w:val="clear" w:color="auto" w:fill="auto"/>
        <w:adjustRightInd w:val="0"/>
        <w:snapToGrid w:val="0"/>
        <w:spacing w:before="0" w:after="163" w:afterLines="50" w:line="300" w:lineRule="auto"/>
        <w:ind w:left="960" w:leftChars="400" w:firstLine="0"/>
        <w:jc w:val="left"/>
        <w:rPr>
          <w:rFonts w:ascii="Arial" w:hAnsi="Arial" w:eastAsia="宋体" w:cs="Arial"/>
          <w:color w:val="000000"/>
        </w:rPr>
      </w:pPr>
      <w:r>
        <w:rPr>
          <w:rFonts w:hint="eastAsia" w:ascii="Arial" w:hAnsi="Arial" w:eastAsia="宋体" w:cs="Arial"/>
        </w:rPr>
        <w:t>必须符合标签的法规和政策（参见</w:t>
      </w:r>
      <w:r>
        <w:rPr>
          <w:rFonts w:ascii="Arial" w:hAnsi="Arial" w:eastAsia="宋体" w:cs="Arial"/>
        </w:rPr>
        <w:t>21 CFR 807.87</w:t>
      </w:r>
      <w:r>
        <w:rPr>
          <w:rFonts w:hint="eastAsia" w:ascii="Arial" w:hAnsi="Arial" w:eastAsia="宋体" w:cs="Arial"/>
        </w:rPr>
        <w:t>（</w:t>
      </w:r>
      <w:r>
        <w:rPr>
          <w:rFonts w:ascii="Arial" w:hAnsi="Arial" w:eastAsia="宋体" w:cs="Arial"/>
        </w:rPr>
        <w:t>e</w:t>
      </w:r>
      <w:r>
        <w:rPr>
          <w:rFonts w:hint="eastAsia" w:ascii="Arial" w:hAnsi="Arial" w:eastAsia="宋体" w:cs="Arial"/>
        </w:rPr>
        <w:t>））。适用的标签指导性文件可以通过小型制造商援助司（</w:t>
      </w:r>
      <w:r>
        <w:rPr>
          <w:rFonts w:ascii="Arial" w:hAnsi="Arial" w:eastAsia="宋体" w:cs="Arial"/>
        </w:rPr>
        <w:t>DSMA</w:t>
      </w:r>
      <w:r>
        <w:rPr>
          <w:rFonts w:hint="eastAsia" w:ascii="Arial" w:hAnsi="Arial" w:eastAsia="宋体" w:cs="Arial"/>
        </w:rPr>
        <w:t>）的免费电话（</w:t>
      </w:r>
      <w:r>
        <w:rPr>
          <w:rFonts w:ascii="Arial" w:hAnsi="Arial" w:eastAsia="宋体" w:cs="Arial"/>
        </w:rPr>
        <w:t>800</w:t>
      </w:r>
      <w:r>
        <w:rPr>
          <w:rFonts w:hint="eastAsia" w:ascii="Arial" w:hAnsi="Arial" w:eastAsia="宋体" w:cs="Arial"/>
        </w:rPr>
        <w:t>）</w:t>
      </w:r>
      <w:r>
        <w:rPr>
          <w:rFonts w:ascii="Arial" w:hAnsi="Arial" w:eastAsia="宋体" w:cs="Arial"/>
        </w:rPr>
        <w:t>638-2041</w:t>
      </w:r>
      <w:r>
        <w:rPr>
          <w:rFonts w:hint="eastAsia" w:ascii="Arial" w:hAnsi="Arial" w:eastAsia="宋体" w:cs="Arial"/>
        </w:rPr>
        <w:t>或其互联网获得：</w:t>
      </w:r>
      <w:r>
        <w:fldChar w:fldCharType="begin"/>
      </w:r>
      <w:r>
        <w:instrText xml:space="preserve"> HYPERLINK "http://www.fda.gov/cdrh/dsma/dsmamain.html" </w:instrText>
      </w:r>
      <w:r>
        <w:fldChar w:fldCharType="separate"/>
      </w:r>
      <w:r>
        <w:rPr>
          <w:rStyle w:val="20"/>
          <w:rFonts w:ascii="Arial" w:hAnsi="Arial" w:eastAsia="宋体" w:cs="Arial"/>
          <w:color w:val="0000FF"/>
        </w:rPr>
        <w:t>http://www.fda.gov/cdrh/dsma/dsmamain.html</w:t>
      </w:r>
      <w:r>
        <w:rPr>
          <w:rStyle w:val="20"/>
          <w:rFonts w:ascii="Arial" w:hAnsi="Arial" w:eastAsia="宋体" w:cs="Arial"/>
          <w:color w:val="0000FF"/>
        </w:rPr>
        <w:fldChar w:fldCharType="end"/>
      </w:r>
      <w:r>
        <w:rPr>
          <w:rFonts w:hint="eastAsia" w:ascii="Arial" w:hAnsi="Arial" w:eastAsia="宋体" w:cs="Arial"/>
          <w:color w:val="000000"/>
        </w:rPr>
        <w:t>。</w:t>
      </w:r>
    </w:p>
    <w:p w14:paraId="6621D371">
      <w:pPr>
        <w:pStyle w:val="44"/>
        <w:shd w:val="clear" w:color="auto" w:fill="auto"/>
        <w:adjustRightInd w:val="0"/>
        <w:snapToGrid w:val="0"/>
        <w:spacing w:before="0" w:after="163" w:afterLines="50" w:line="300" w:lineRule="auto"/>
        <w:ind w:left="960" w:leftChars="400" w:firstLine="0"/>
        <w:rPr>
          <w:rFonts w:ascii="Arial" w:hAnsi="Arial" w:eastAsia="宋体" w:cs="Arial"/>
        </w:rPr>
      </w:pPr>
      <w:r>
        <w:rPr>
          <w:rFonts w:ascii="Arial" w:hAnsi="Arial" w:eastAsia="宋体" w:cs="Arial"/>
        </w:rPr>
        <w:t>HUAM标签应遵循以下指南：</w:t>
      </w:r>
    </w:p>
    <w:p w14:paraId="3EAB893D">
      <w:pPr>
        <w:pStyle w:val="44"/>
        <w:numPr>
          <w:ilvl w:val="0"/>
          <w:numId w:val="6"/>
        </w:numPr>
        <w:shd w:val="clear" w:color="auto" w:fill="auto"/>
        <w:tabs>
          <w:tab w:val="left" w:pos="1298"/>
        </w:tabs>
        <w:adjustRightInd w:val="0"/>
        <w:snapToGrid w:val="0"/>
        <w:spacing w:before="0" w:after="163" w:afterLines="50" w:line="300" w:lineRule="auto"/>
        <w:ind w:left="1317" w:leftChars="400" w:hanging="357"/>
        <w:rPr>
          <w:rFonts w:ascii="Arial" w:hAnsi="Arial" w:eastAsia="宋体" w:cs="Arial"/>
        </w:rPr>
      </w:pPr>
      <w:r>
        <w:rPr>
          <w:rFonts w:hint="eastAsia" w:ascii="Arial" w:hAnsi="Arial" w:eastAsia="宋体" w:cs="Arial"/>
        </w:rPr>
        <w:t>适应症</w:t>
      </w:r>
    </w:p>
    <w:p w14:paraId="4504C6CF">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这种</w:t>
      </w:r>
      <w:r>
        <w:rPr>
          <w:rFonts w:ascii="Arial" w:hAnsi="Arial" w:eastAsia="宋体" w:cs="Arial"/>
        </w:rPr>
        <w:t>HUAM适用于与标准的高风险护理相结合，用于</w:t>
      </w:r>
      <w:r>
        <w:rPr>
          <w:rFonts w:hint="eastAsia" w:ascii="Arial" w:hAnsi="Arial" w:eastAsia="宋体" w:cs="Arial"/>
        </w:rPr>
        <w:t>妊娠≥</w:t>
      </w:r>
      <w:r>
        <w:rPr>
          <w:rFonts w:ascii="Arial" w:hAnsi="Arial" w:eastAsia="宋体" w:cs="Arial"/>
        </w:rPr>
        <w:t>24</w:t>
      </w:r>
      <w:r>
        <w:rPr>
          <w:rFonts w:hint="eastAsia" w:ascii="Arial" w:hAnsi="Arial" w:eastAsia="宋体" w:cs="Arial"/>
        </w:rPr>
        <w:t>周并有早产史的孕妇每天在家测量子宫活动。子宫活动经远程显示，有助于早产的早期发现。</w:t>
      </w:r>
    </w:p>
    <w:p w14:paraId="7D9E31A9">
      <w:pPr>
        <w:pStyle w:val="44"/>
        <w:shd w:val="clear" w:color="auto" w:fill="auto"/>
        <w:tabs>
          <w:tab w:val="left" w:pos="1298"/>
        </w:tabs>
        <w:adjustRightInd w:val="0"/>
        <w:snapToGrid w:val="0"/>
        <w:spacing w:before="0" w:after="163" w:afterLines="50" w:line="300" w:lineRule="auto"/>
        <w:ind w:left="1440" w:leftChars="600" w:firstLine="0"/>
        <w:rPr>
          <w:rFonts w:ascii="Arial" w:hAnsi="Arial" w:eastAsia="宋体" w:cs="Arial"/>
        </w:rPr>
      </w:pPr>
      <w:r>
        <w:rPr>
          <w:rFonts w:hint="eastAsia" w:ascii="Arial" w:hAnsi="Arial" w:eastAsia="宋体" w:cs="Arial"/>
        </w:rPr>
        <w:t>以下</w:t>
      </w:r>
      <w:r>
        <w:rPr>
          <w:rFonts w:ascii="Arial" w:hAnsi="Arial" w:eastAsia="宋体" w:cs="Arial"/>
        </w:rPr>
        <w:t>关于HUAM有效性</w:t>
      </w:r>
      <w:r>
        <w:rPr>
          <w:rFonts w:hint="eastAsia" w:ascii="Arial" w:hAnsi="Arial" w:eastAsia="宋体" w:cs="Arial"/>
        </w:rPr>
        <w:t>限制的</w:t>
      </w:r>
      <w:r>
        <w:rPr>
          <w:rFonts w:ascii="Arial" w:hAnsi="Arial" w:eastAsia="宋体" w:cs="Arial"/>
        </w:rPr>
        <w:t>陈述应立即</w:t>
      </w:r>
      <w:r>
        <w:rPr>
          <w:rFonts w:hint="eastAsia" w:ascii="Arial" w:hAnsi="Arial" w:eastAsia="宋体" w:cs="Arial"/>
        </w:rPr>
        <w:t>根据</w:t>
      </w:r>
      <w:r>
        <w:rPr>
          <w:rFonts w:ascii="Arial" w:hAnsi="Arial" w:eastAsia="宋体" w:cs="Arial"/>
        </w:rPr>
        <w:t>使用说明</w:t>
      </w:r>
      <w:r>
        <w:rPr>
          <w:rFonts w:hint="eastAsia" w:ascii="Arial" w:hAnsi="Arial" w:eastAsia="宋体" w:cs="Arial"/>
        </w:rPr>
        <w:t>的指示</w:t>
      </w:r>
      <w:r>
        <w:rPr>
          <w:rFonts w:ascii="Arial" w:hAnsi="Arial" w:eastAsia="宋体" w:cs="Arial"/>
        </w:rPr>
        <w:t>进行；标示在盒装的突出位置：</w:t>
      </w:r>
    </w:p>
    <w:tbl>
      <w:tblPr>
        <w:tblStyle w:val="17"/>
        <w:tblW w:w="0" w:type="auto"/>
        <w:tblInd w:w="1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8"/>
      </w:tblGrid>
      <w:tr w14:paraId="3DD5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8" w:type="dxa"/>
            <w:shd w:val="clear" w:color="auto" w:fill="D8D8D8" w:themeFill="background1" w:themeFillShade="D9"/>
          </w:tcPr>
          <w:p w14:paraId="1CDA30AD">
            <w:pPr>
              <w:pStyle w:val="44"/>
              <w:shd w:val="clear" w:color="auto" w:fill="auto"/>
              <w:tabs>
                <w:tab w:val="left" w:pos="1298"/>
              </w:tabs>
              <w:adjustRightInd w:val="0"/>
              <w:snapToGrid w:val="0"/>
              <w:spacing w:before="48" w:beforeLines="15" w:after="48" w:afterLines="15" w:line="276" w:lineRule="auto"/>
              <w:ind w:firstLine="0"/>
              <w:rPr>
                <w:rFonts w:ascii="Arial" w:hAnsi="Arial" w:eastAsia="宋体" w:cs="Arial"/>
                <w:b/>
              </w:rPr>
            </w:pPr>
            <w:r>
              <w:rPr>
                <w:rStyle w:val="51"/>
                <w:rFonts w:ascii="Arial" w:hAnsi="Arial" w:eastAsia="宋体" w:cs="Arial"/>
                <w:bCs w:val="0"/>
              </w:rPr>
              <w:t>HUAM</w:t>
            </w:r>
            <w:r>
              <w:rPr>
                <w:rStyle w:val="51"/>
                <w:rFonts w:hint="eastAsia" w:ascii="Arial" w:hAnsi="Arial" w:eastAsia="宋体" w:cs="Arial"/>
                <w:bCs w:val="0"/>
              </w:rPr>
              <w:t>仅监测子宫活动，并将这些信息提供给医生进行评估，如需要，也可进行干预。</w:t>
            </w:r>
            <w:r>
              <w:rPr>
                <w:rStyle w:val="51"/>
                <w:rFonts w:ascii="Arial" w:hAnsi="Arial" w:eastAsia="宋体" w:cs="Arial"/>
                <w:bCs w:val="0"/>
              </w:rPr>
              <w:t>HUAM</w:t>
            </w:r>
            <w:r>
              <w:rPr>
                <w:rStyle w:val="51"/>
                <w:rFonts w:hint="eastAsia" w:ascii="Arial" w:hAnsi="Arial" w:eastAsia="宋体" w:cs="Arial"/>
                <w:bCs w:val="0"/>
              </w:rPr>
              <w:t>不会预防早产的发作，也不会预防早产的发生。</w:t>
            </w:r>
          </w:p>
        </w:tc>
      </w:tr>
    </w:tbl>
    <w:p w14:paraId="5A4B09CA">
      <w:pPr>
        <w:pStyle w:val="44"/>
        <w:shd w:val="clear" w:color="auto" w:fill="auto"/>
        <w:tabs>
          <w:tab w:val="left" w:pos="1298"/>
        </w:tabs>
        <w:adjustRightInd w:val="0"/>
        <w:snapToGrid w:val="0"/>
        <w:spacing w:before="0" w:after="163" w:afterLines="50" w:line="300" w:lineRule="auto"/>
        <w:ind w:firstLine="0"/>
        <w:rPr>
          <w:rFonts w:ascii="Arial" w:hAnsi="Arial" w:eastAsia="宋体" w:cs="Arial"/>
        </w:rPr>
      </w:pPr>
    </w:p>
    <w:tbl>
      <w:tblPr>
        <w:tblStyle w:val="17"/>
        <w:tblW w:w="0" w:type="auto"/>
        <w:tblInd w:w="1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0"/>
      </w:tblGrid>
      <w:tr w14:paraId="6284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0" w:type="dxa"/>
            <w:shd w:val="clear" w:color="auto" w:fill="D8D8D8" w:themeFill="background1" w:themeFillShade="D9"/>
          </w:tcPr>
          <w:p w14:paraId="41AE32B3">
            <w:pPr>
              <w:pStyle w:val="44"/>
              <w:shd w:val="clear" w:color="auto" w:fill="auto"/>
              <w:tabs>
                <w:tab w:val="left" w:pos="1298"/>
              </w:tabs>
              <w:adjustRightInd w:val="0"/>
              <w:snapToGrid w:val="0"/>
              <w:spacing w:before="48" w:beforeLines="15" w:after="48" w:afterLines="15" w:line="276" w:lineRule="auto"/>
              <w:ind w:firstLine="0"/>
              <w:rPr>
                <w:rFonts w:ascii="Arial" w:hAnsi="Arial" w:eastAsia="宋体" w:cs="Arial"/>
              </w:rPr>
            </w:pPr>
            <w:r>
              <w:rPr>
                <w:rStyle w:val="51"/>
                <w:rFonts w:hint="eastAsia" w:ascii="Arial" w:hAnsi="Arial" w:eastAsia="宋体" w:cs="Arial"/>
                <w:bCs w:val="0"/>
              </w:rPr>
              <w:t>临床研究表明，当有早产风险的患者已加入日常护理联系计划时，</w:t>
            </w:r>
            <w:r>
              <w:rPr>
                <w:rStyle w:val="51"/>
                <w:rFonts w:ascii="Arial" w:hAnsi="Arial" w:eastAsia="宋体" w:cs="Arial"/>
                <w:bCs w:val="0"/>
              </w:rPr>
              <w:t>HUAM</w:t>
            </w:r>
            <w:r>
              <w:rPr>
                <w:rStyle w:val="51"/>
                <w:rFonts w:hint="eastAsia" w:ascii="Arial" w:hAnsi="Arial" w:eastAsia="宋体" w:cs="Arial"/>
                <w:bCs w:val="0"/>
              </w:rPr>
              <w:t>不会提供任何附加的有效性，即早产检出率超过并高于与日常护理联系相关的检出率。</w:t>
            </w:r>
          </w:p>
        </w:tc>
      </w:tr>
    </w:tbl>
    <w:p w14:paraId="77DDF7AD">
      <w:pPr>
        <w:pStyle w:val="44"/>
        <w:shd w:val="clear" w:color="auto" w:fill="auto"/>
        <w:adjustRightInd w:val="0"/>
        <w:snapToGrid w:val="0"/>
        <w:spacing w:before="0" w:after="163" w:afterLines="50" w:line="300" w:lineRule="auto"/>
        <w:ind w:firstLine="0"/>
        <w:rPr>
          <w:rFonts w:ascii="Arial" w:hAnsi="Arial" w:eastAsia="宋体" w:cs="Arial"/>
        </w:rPr>
      </w:pPr>
    </w:p>
    <w:tbl>
      <w:tblPr>
        <w:tblStyle w:val="17"/>
        <w:tblW w:w="0" w:type="auto"/>
        <w:tblInd w:w="1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0"/>
      </w:tblGrid>
      <w:tr w14:paraId="5644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0" w:type="dxa"/>
            <w:shd w:val="clear" w:color="auto" w:fill="D8D8D8" w:themeFill="background1" w:themeFillShade="D9"/>
          </w:tcPr>
          <w:p w14:paraId="342F781F">
            <w:pPr>
              <w:pStyle w:val="44"/>
              <w:shd w:val="clear" w:color="auto" w:fill="auto"/>
              <w:tabs>
                <w:tab w:val="left" w:pos="1298"/>
              </w:tabs>
              <w:adjustRightInd w:val="0"/>
              <w:snapToGrid w:val="0"/>
              <w:spacing w:before="48" w:beforeLines="15" w:after="48" w:afterLines="15" w:line="276" w:lineRule="auto"/>
              <w:ind w:firstLine="0"/>
              <w:rPr>
                <w:rStyle w:val="51"/>
                <w:rFonts w:ascii="Arial" w:hAnsi="Arial" w:eastAsia="宋体" w:cs="Arial"/>
                <w:bCs w:val="0"/>
              </w:rPr>
            </w:pPr>
            <w:r>
              <w:rPr>
                <w:rStyle w:val="51"/>
                <w:rFonts w:hint="eastAsia" w:ascii="Arial" w:hAnsi="Arial" w:eastAsia="宋体" w:cs="Arial"/>
                <w:bCs w:val="0"/>
              </w:rPr>
              <w:t>尚未进行可被广泛接受的对照研究，以表明该器械除了在有早产史的患者中有效，还在其他患者的早期早产检测中有效。</w:t>
            </w:r>
          </w:p>
        </w:tc>
      </w:tr>
    </w:tbl>
    <w:p w14:paraId="011FF167">
      <w:pPr>
        <w:snapToGrid w:val="0"/>
        <w:spacing w:after="163" w:afterLines="50" w:line="300" w:lineRule="auto"/>
        <w:ind w:left="0" w:leftChars="0" w:right="0" w:rightChars="0"/>
        <w:rPr>
          <w:rFonts w:ascii="Arial" w:hAnsi="Arial" w:eastAsia="宋体" w:cs="Arial"/>
          <w:kern w:val="2"/>
          <w:szCs w:val="24"/>
        </w:rPr>
      </w:pPr>
      <w:r>
        <w:rPr>
          <w:rFonts w:ascii="Arial" w:hAnsi="Arial" w:eastAsia="宋体" w:cs="Arial"/>
          <w:szCs w:val="24"/>
        </w:rPr>
        <w:br w:type="page"/>
      </w:r>
    </w:p>
    <w:p w14:paraId="43E32704">
      <w:pPr>
        <w:pStyle w:val="44"/>
        <w:numPr>
          <w:ilvl w:val="0"/>
          <w:numId w:val="6"/>
        </w:numPr>
        <w:shd w:val="clear" w:color="auto" w:fill="auto"/>
        <w:tabs>
          <w:tab w:val="left" w:pos="1298"/>
        </w:tabs>
        <w:adjustRightInd w:val="0"/>
        <w:snapToGrid w:val="0"/>
        <w:spacing w:before="0" w:after="163" w:afterLines="50" w:line="300" w:lineRule="auto"/>
        <w:ind w:left="1317" w:leftChars="400" w:hanging="357"/>
        <w:rPr>
          <w:rFonts w:ascii="Arial" w:hAnsi="Arial" w:eastAsia="宋体" w:cs="Arial"/>
        </w:rPr>
      </w:pPr>
      <w:r>
        <w:rPr>
          <w:rFonts w:hint="eastAsia" w:ascii="Arial" w:hAnsi="Arial" w:eastAsia="宋体" w:cs="Arial"/>
        </w:rPr>
        <w:t>禁忌症</w:t>
      </w:r>
    </w:p>
    <w:p w14:paraId="5FEA7444">
      <w:pPr>
        <w:pStyle w:val="44"/>
        <w:shd w:val="clear" w:color="auto" w:fill="auto"/>
        <w:adjustRightInd w:val="0"/>
        <w:snapToGrid w:val="0"/>
        <w:spacing w:before="0" w:after="163" w:afterLines="50" w:line="300" w:lineRule="auto"/>
        <w:ind w:left="1440" w:leftChars="600" w:firstLine="0"/>
        <w:rPr>
          <w:rFonts w:ascii="Arial" w:hAnsi="Arial" w:eastAsia="宋体" w:cs="Arial"/>
        </w:rPr>
      </w:pPr>
      <w:r>
        <w:rPr>
          <w:rFonts w:hint="eastAsia" w:ascii="Arial" w:hAnsi="Arial" w:eastAsia="宋体" w:cs="Arial"/>
        </w:rPr>
        <w:t>对使用该器械没有已知的禁忌症。</w:t>
      </w:r>
    </w:p>
    <w:p w14:paraId="0C3FC7A1">
      <w:pPr>
        <w:pStyle w:val="44"/>
        <w:numPr>
          <w:ilvl w:val="0"/>
          <w:numId w:val="6"/>
        </w:numPr>
        <w:shd w:val="clear" w:color="auto" w:fill="auto"/>
        <w:tabs>
          <w:tab w:val="left" w:pos="1298"/>
        </w:tabs>
        <w:adjustRightInd w:val="0"/>
        <w:snapToGrid w:val="0"/>
        <w:spacing w:before="0" w:after="163" w:afterLines="50" w:line="300" w:lineRule="auto"/>
        <w:ind w:left="1317" w:leftChars="400" w:hanging="357"/>
        <w:rPr>
          <w:rFonts w:ascii="Arial" w:hAnsi="Arial" w:eastAsia="宋体" w:cs="Arial"/>
        </w:rPr>
      </w:pPr>
      <w:r>
        <w:rPr>
          <w:rFonts w:hint="eastAsia" w:ascii="Arial" w:hAnsi="Arial" w:eastAsia="宋体" w:cs="Arial"/>
        </w:rPr>
        <w:t>警告</w:t>
      </w:r>
    </w:p>
    <w:p w14:paraId="76767955">
      <w:pPr>
        <w:pStyle w:val="44"/>
        <w:shd w:val="clear" w:color="auto" w:fill="auto"/>
        <w:adjustRightInd w:val="0"/>
        <w:snapToGrid w:val="0"/>
        <w:spacing w:before="0" w:after="163" w:afterLines="50" w:line="300" w:lineRule="auto"/>
        <w:ind w:left="1440" w:leftChars="600" w:firstLine="0"/>
        <w:rPr>
          <w:rFonts w:ascii="Arial" w:hAnsi="Arial" w:eastAsia="宋体" w:cs="Arial"/>
        </w:rPr>
      </w:pPr>
      <w:r>
        <w:rPr>
          <w:rFonts w:hint="eastAsia" w:ascii="Arial" w:hAnsi="Arial" w:eastAsia="宋体" w:cs="Arial"/>
        </w:rPr>
        <w:t>根据具体的监测器设计，警告声明可能是必须的。</w:t>
      </w:r>
    </w:p>
    <w:p w14:paraId="22495EF3">
      <w:pPr>
        <w:pStyle w:val="44"/>
        <w:numPr>
          <w:ilvl w:val="0"/>
          <w:numId w:val="6"/>
        </w:numPr>
        <w:shd w:val="clear" w:color="auto" w:fill="auto"/>
        <w:tabs>
          <w:tab w:val="left" w:pos="1298"/>
        </w:tabs>
        <w:adjustRightInd w:val="0"/>
        <w:snapToGrid w:val="0"/>
        <w:spacing w:before="0" w:after="163" w:afterLines="50" w:line="300" w:lineRule="auto"/>
        <w:ind w:left="1317" w:leftChars="400" w:hanging="357"/>
        <w:rPr>
          <w:rFonts w:ascii="Arial" w:hAnsi="Arial" w:eastAsia="宋体" w:cs="Arial"/>
        </w:rPr>
      </w:pPr>
      <w:r>
        <w:rPr>
          <w:rFonts w:hint="eastAsia" w:ascii="Arial" w:hAnsi="Arial" w:eastAsia="宋体" w:cs="Arial"/>
        </w:rPr>
        <w:t>注意事项</w:t>
      </w:r>
    </w:p>
    <w:p w14:paraId="2C9CE5F4">
      <w:pPr>
        <w:pStyle w:val="44"/>
        <w:shd w:val="clear" w:color="auto" w:fill="auto"/>
        <w:adjustRightInd w:val="0"/>
        <w:snapToGrid w:val="0"/>
        <w:spacing w:before="0" w:after="163" w:afterLines="50" w:line="300" w:lineRule="auto"/>
        <w:ind w:left="1440" w:leftChars="600" w:firstLine="0"/>
        <w:rPr>
          <w:rFonts w:ascii="Arial" w:hAnsi="Arial" w:eastAsia="宋体" w:cs="Arial"/>
        </w:rPr>
      </w:pPr>
      <w:r>
        <w:rPr>
          <w:rFonts w:ascii="Arial" w:hAnsi="Arial" w:eastAsia="宋体" w:cs="Arial"/>
        </w:rPr>
        <w:t>根据具体的显示器设计，注意事项可能是必须的。</w:t>
      </w:r>
    </w:p>
    <w:p w14:paraId="49852B15">
      <w:pPr>
        <w:pStyle w:val="44"/>
        <w:numPr>
          <w:ilvl w:val="0"/>
          <w:numId w:val="6"/>
        </w:numPr>
        <w:shd w:val="clear" w:color="auto" w:fill="auto"/>
        <w:tabs>
          <w:tab w:val="left" w:pos="1298"/>
        </w:tabs>
        <w:adjustRightInd w:val="0"/>
        <w:snapToGrid w:val="0"/>
        <w:spacing w:before="0" w:after="163" w:afterLines="50" w:line="300" w:lineRule="auto"/>
        <w:ind w:left="1317" w:leftChars="400" w:hanging="357"/>
        <w:rPr>
          <w:rFonts w:ascii="Arial" w:hAnsi="Arial" w:eastAsia="宋体" w:cs="Arial"/>
        </w:rPr>
      </w:pPr>
      <w:r>
        <w:rPr>
          <w:rFonts w:hint="eastAsia" w:ascii="Arial" w:hAnsi="Arial" w:eastAsia="宋体" w:cs="Arial"/>
        </w:rPr>
        <w:t>使用说明书</w:t>
      </w:r>
    </w:p>
    <w:p w14:paraId="6633FFFD">
      <w:pPr>
        <w:pStyle w:val="44"/>
        <w:shd w:val="clear" w:color="auto" w:fill="auto"/>
        <w:adjustRightInd w:val="0"/>
        <w:snapToGrid w:val="0"/>
        <w:spacing w:before="0" w:after="163" w:afterLines="50" w:line="300" w:lineRule="auto"/>
        <w:ind w:left="1440" w:leftChars="600" w:firstLine="0"/>
        <w:rPr>
          <w:rFonts w:ascii="Arial" w:hAnsi="Arial" w:eastAsia="宋体" w:cs="Arial"/>
        </w:rPr>
      </w:pPr>
      <w:r>
        <w:rPr>
          <w:rFonts w:ascii="Arial" w:hAnsi="Arial" w:eastAsia="宋体" w:cs="Arial"/>
        </w:rPr>
        <w:t>专业和患者的使用说明书</w:t>
      </w:r>
      <w:r>
        <w:rPr>
          <w:rFonts w:hint="eastAsia" w:ascii="Arial" w:hAnsi="Arial" w:eastAsia="宋体" w:cs="Arial"/>
        </w:rPr>
        <w:t>均应提供</w:t>
      </w:r>
      <w:r>
        <w:rPr>
          <w:rFonts w:ascii="Arial" w:hAnsi="Arial" w:eastAsia="宋体" w:cs="Arial"/>
        </w:rPr>
        <w:t>。使用说明书至少应包括以下内容：</w:t>
      </w:r>
    </w:p>
    <w:p w14:paraId="0C56B78E">
      <w:pPr>
        <w:pStyle w:val="44"/>
        <w:numPr>
          <w:ilvl w:val="0"/>
          <w:numId w:val="7"/>
        </w:numPr>
        <w:shd w:val="clear" w:color="auto" w:fill="auto"/>
        <w:adjustRightInd w:val="0"/>
        <w:snapToGrid w:val="0"/>
        <w:spacing w:before="0" w:after="163" w:afterLines="50" w:line="300" w:lineRule="auto"/>
        <w:ind w:left="1797" w:leftChars="600" w:hanging="357"/>
        <w:jc w:val="left"/>
        <w:rPr>
          <w:rFonts w:ascii="Arial" w:hAnsi="Arial" w:eastAsia="宋体" w:cs="Arial"/>
        </w:rPr>
      </w:pPr>
      <w:r>
        <w:rPr>
          <w:rFonts w:ascii="Arial" w:hAnsi="Arial" w:eastAsia="宋体" w:cs="Arial"/>
        </w:rPr>
        <w:t>在医师开具该器械的处方后，应对患者按照标准的高危护理进行有关早产的体征和症状的教育。</w:t>
      </w:r>
    </w:p>
    <w:p w14:paraId="72AE9269">
      <w:pPr>
        <w:pStyle w:val="44"/>
        <w:numPr>
          <w:ilvl w:val="0"/>
          <w:numId w:val="7"/>
        </w:numPr>
        <w:shd w:val="clear" w:color="auto" w:fill="auto"/>
        <w:tabs>
          <w:tab w:val="left" w:pos="1732"/>
        </w:tabs>
        <w:adjustRightInd w:val="0"/>
        <w:snapToGrid w:val="0"/>
        <w:spacing w:before="0" w:after="163" w:afterLines="50" w:line="300" w:lineRule="auto"/>
        <w:ind w:left="1797" w:leftChars="600" w:hanging="357"/>
        <w:jc w:val="left"/>
        <w:rPr>
          <w:rFonts w:ascii="Arial" w:hAnsi="Arial" w:eastAsia="宋体" w:cs="Arial"/>
        </w:rPr>
      </w:pPr>
      <w:r>
        <w:rPr>
          <w:rFonts w:ascii="Arial" w:hAnsi="Arial" w:eastAsia="宋体" w:cs="Arial"/>
        </w:rPr>
        <w:t>患者应接受合格的医生关于正确操作该器械的说明，这些说明应包括分娩换能器或传感器安置的适当位置，以促进子宫活动的检测。</w:t>
      </w:r>
    </w:p>
    <w:p w14:paraId="06FB521E">
      <w:pPr>
        <w:pStyle w:val="44"/>
        <w:numPr>
          <w:ilvl w:val="0"/>
          <w:numId w:val="7"/>
        </w:numPr>
        <w:shd w:val="clear" w:color="auto" w:fill="auto"/>
        <w:tabs>
          <w:tab w:val="left" w:pos="1732"/>
        </w:tabs>
        <w:adjustRightInd w:val="0"/>
        <w:snapToGrid w:val="0"/>
        <w:spacing w:before="0" w:after="163" w:afterLines="50" w:line="300" w:lineRule="auto"/>
        <w:ind w:left="1797" w:leftChars="600" w:hanging="357"/>
        <w:jc w:val="left"/>
        <w:rPr>
          <w:rFonts w:ascii="Arial" w:hAnsi="Arial" w:eastAsia="宋体" w:cs="Arial"/>
        </w:rPr>
      </w:pPr>
      <w:r>
        <w:rPr>
          <w:rFonts w:ascii="Arial" w:hAnsi="Arial" w:eastAsia="宋体" w:cs="Arial"/>
        </w:rPr>
        <w:t>应由合格的医生对患者进行指导，以使她可以按照规定来监测子宫活动。成功的研究和器械使用的经验显示，在早产的早期检测中使用以下参数（其可以纳入标签中作为执业医师的指南）：</w:t>
      </w:r>
    </w:p>
    <w:p w14:paraId="046F1A76">
      <w:pPr>
        <w:pStyle w:val="44"/>
        <w:numPr>
          <w:ilvl w:val="0"/>
          <w:numId w:val="8"/>
        </w:numPr>
        <w:tabs>
          <w:tab w:val="left" w:pos="2506"/>
        </w:tabs>
        <w:adjustRightInd w:val="0"/>
        <w:snapToGrid w:val="0"/>
        <w:spacing w:before="0" w:after="163" w:afterLines="50" w:line="300" w:lineRule="auto"/>
        <w:ind w:left="1920" w:leftChars="800" w:firstLine="0"/>
        <w:rPr>
          <w:rFonts w:ascii="Arial" w:hAnsi="Arial" w:eastAsia="宋体" w:cs="Arial"/>
        </w:rPr>
      </w:pPr>
      <w:r>
        <w:rPr>
          <w:rFonts w:ascii="Arial" w:hAnsi="Arial" w:eastAsia="宋体" w:cs="Arial"/>
        </w:rPr>
        <w:t>每天一个小时或两次一个小时的监测</w:t>
      </w:r>
    </w:p>
    <w:p w14:paraId="7E33024A">
      <w:pPr>
        <w:pStyle w:val="44"/>
        <w:numPr>
          <w:ilvl w:val="0"/>
          <w:numId w:val="8"/>
        </w:numPr>
        <w:tabs>
          <w:tab w:val="left" w:pos="2506"/>
        </w:tabs>
        <w:adjustRightInd w:val="0"/>
        <w:snapToGrid w:val="0"/>
        <w:spacing w:before="0" w:after="163" w:afterLines="50" w:line="300" w:lineRule="auto"/>
        <w:ind w:left="1920" w:leftChars="800" w:firstLine="0"/>
        <w:rPr>
          <w:rFonts w:ascii="Arial" w:hAnsi="Arial" w:eastAsia="宋体" w:cs="Arial"/>
        </w:rPr>
      </w:pPr>
      <w:r>
        <w:rPr>
          <w:rFonts w:ascii="Arial" w:hAnsi="Arial" w:eastAsia="宋体" w:cs="Arial"/>
        </w:rPr>
        <w:t>使用该器械时为斜卧位</w:t>
      </w:r>
    </w:p>
    <w:p w14:paraId="140588B1">
      <w:pPr>
        <w:pStyle w:val="44"/>
        <w:numPr>
          <w:ilvl w:val="0"/>
          <w:numId w:val="8"/>
        </w:numPr>
        <w:shd w:val="clear" w:color="auto" w:fill="auto"/>
        <w:tabs>
          <w:tab w:val="left" w:pos="2506"/>
        </w:tabs>
        <w:adjustRightInd w:val="0"/>
        <w:snapToGrid w:val="0"/>
        <w:spacing w:before="0" w:after="163" w:afterLines="50" w:line="300" w:lineRule="auto"/>
        <w:ind w:left="1920" w:leftChars="800" w:firstLine="0"/>
        <w:rPr>
          <w:rFonts w:ascii="Arial" w:hAnsi="Arial" w:eastAsia="宋体" w:cs="Arial"/>
        </w:rPr>
      </w:pPr>
      <w:r>
        <w:rPr>
          <w:rFonts w:ascii="Arial" w:hAnsi="Arial" w:eastAsia="宋体" w:cs="Arial"/>
        </w:rPr>
        <w:t>每次会话后立即向临床医生传输数据</w:t>
      </w:r>
    </w:p>
    <w:p w14:paraId="00EDBB4D">
      <w:pPr>
        <w:pStyle w:val="44"/>
        <w:shd w:val="clear" w:color="auto" w:fill="auto"/>
        <w:tabs>
          <w:tab w:val="left" w:pos="1732"/>
        </w:tabs>
        <w:adjustRightInd w:val="0"/>
        <w:snapToGrid w:val="0"/>
        <w:spacing w:before="0" w:after="163" w:afterLines="50" w:line="300" w:lineRule="auto"/>
        <w:ind w:left="1920" w:leftChars="800" w:firstLine="0"/>
        <w:jc w:val="left"/>
        <w:rPr>
          <w:rFonts w:ascii="Arial" w:hAnsi="Arial" w:eastAsia="宋体" w:cs="Arial"/>
        </w:rPr>
      </w:pPr>
      <w:r>
        <w:rPr>
          <w:rFonts w:hint="eastAsia" w:ascii="Arial" w:hAnsi="Arial" w:eastAsia="宋体" w:cs="Arial"/>
        </w:rPr>
        <w:t>应告知患者，如果她在一天中的其他任何时候感觉到子宫活动，应联系医生。然后她可能会被指示（</w:t>
      </w:r>
      <w:r>
        <w:rPr>
          <w:rFonts w:ascii="Arial" w:hAnsi="Arial" w:eastAsia="宋体" w:cs="Arial"/>
        </w:rPr>
        <w:t>a）立即监测或（b）到门诊去。</w:t>
      </w:r>
    </w:p>
    <w:p w14:paraId="0FF22459">
      <w:pPr>
        <w:snapToGrid w:val="0"/>
        <w:spacing w:after="163" w:afterLines="50" w:line="300" w:lineRule="auto"/>
        <w:ind w:left="0" w:leftChars="0" w:right="0" w:rightChars="0"/>
        <w:rPr>
          <w:rFonts w:ascii="Arial" w:hAnsi="Arial" w:eastAsia="宋体" w:cs="Arial"/>
          <w:kern w:val="2"/>
          <w:szCs w:val="24"/>
        </w:rPr>
      </w:pPr>
      <w:r>
        <w:rPr>
          <w:rFonts w:ascii="Arial" w:hAnsi="Arial" w:eastAsia="宋体" w:cs="Arial"/>
          <w:szCs w:val="24"/>
        </w:rPr>
        <w:br w:type="page"/>
      </w:r>
    </w:p>
    <w:p w14:paraId="2D63CCFE">
      <w:pPr>
        <w:pStyle w:val="50"/>
        <w:keepNext/>
        <w:keepLines/>
        <w:numPr>
          <w:ilvl w:val="0"/>
          <w:numId w:val="5"/>
        </w:numPr>
        <w:shd w:val="clear" w:color="auto" w:fill="auto"/>
        <w:tabs>
          <w:tab w:val="left" w:pos="892"/>
        </w:tabs>
        <w:adjustRightInd w:val="0"/>
        <w:snapToGrid w:val="0"/>
        <w:spacing w:before="0" w:after="163" w:afterLines="50" w:line="300" w:lineRule="auto"/>
        <w:ind w:left="480" w:leftChars="200"/>
        <w:rPr>
          <w:rFonts w:ascii="Arial" w:hAnsi="Arial" w:eastAsia="宋体" w:cs="Arial"/>
          <w:sz w:val="24"/>
          <w:szCs w:val="24"/>
        </w:rPr>
      </w:pPr>
      <w:r>
        <w:rPr>
          <w:rFonts w:ascii="Arial" w:hAnsi="Arial" w:eastAsia="宋体" w:cs="Arial"/>
          <w:sz w:val="24"/>
          <w:szCs w:val="24"/>
        </w:rPr>
        <w:t>设计控制</w:t>
      </w:r>
    </w:p>
    <w:p w14:paraId="02C985FD">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质量体系法规针对以下内容（其他方面除外）：纠正措施和预防措施或称</w:t>
      </w:r>
      <w:r>
        <w:rPr>
          <w:rFonts w:ascii="Arial" w:hAnsi="Arial" w:eastAsia="宋体" w:cs="Arial"/>
        </w:rPr>
        <w:t>CAPA</w:t>
      </w:r>
      <w:r>
        <w:rPr>
          <w:rFonts w:hint="eastAsia" w:ascii="Arial" w:hAnsi="Arial" w:eastAsia="宋体" w:cs="Arial"/>
        </w:rPr>
        <w:t>、设计控制、生产和工艺控制、管理控制、设施和设备控制、材料控制和文件</w:t>
      </w:r>
      <w:r>
        <w:rPr>
          <w:rFonts w:ascii="Arial" w:hAnsi="Arial" w:eastAsia="宋体" w:cs="Arial"/>
        </w:rPr>
        <w:t>/</w:t>
      </w:r>
      <w:r>
        <w:rPr>
          <w:rFonts w:hint="eastAsia" w:ascii="Arial" w:hAnsi="Arial" w:eastAsia="宋体" w:cs="Arial"/>
        </w:rPr>
        <w:t>记录</w:t>
      </w:r>
      <w:r>
        <w:rPr>
          <w:rFonts w:ascii="Arial" w:hAnsi="Arial" w:eastAsia="宋体" w:cs="Arial"/>
        </w:rPr>
        <w:t>/</w:t>
      </w:r>
      <w:r>
        <w:rPr>
          <w:rFonts w:hint="eastAsia" w:ascii="Arial" w:hAnsi="Arial" w:eastAsia="宋体" w:cs="Arial"/>
        </w:rPr>
        <w:t>变更控制。设计控制确保设计要求可满足器械的预期用途，包括用户和患者的需求。设计控制通常包括但不限于以下文件：风险管理分析、系统架构、设计要求以及验证和确认。以下</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）章节中包含了有关这些过程文件的建议。</w:t>
      </w:r>
    </w:p>
    <w:p w14:paraId="58FBA691">
      <w:pPr>
        <w:pStyle w:val="50"/>
        <w:keepNext/>
        <w:keepLines/>
        <w:numPr>
          <w:ilvl w:val="0"/>
          <w:numId w:val="5"/>
        </w:numPr>
        <w:shd w:val="clear" w:color="auto" w:fill="auto"/>
        <w:tabs>
          <w:tab w:val="left" w:pos="892"/>
        </w:tabs>
        <w:adjustRightInd w:val="0"/>
        <w:snapToGrid w:val="0"/>
        <w:spacing w:before="0" w:after="163" w:afterLines="50" w:line="300" w:lineRule="auto"/>
        <w:ind w:left="480" w:leftChars="200"/>
        <w:rPr>
          <w:rFonts w:ascii="Arial" w:hAnsi="Arial" w:eastAsia="宋体" w:cs="Arial"/>
          <w:sz w:val="24"/>
          <w:szCs w:val="24"/>
        </w:rPr>
      </w:pPr>
      <w:r>
        <w:rPr>
          <w:rFonts w:hint="eastAsia" w:ascii="Arial" w:hAnsi="Arial" w:eastAsia="宋体" w:cs="Arial"/>
          <w:sz w:val="24"/>
          <w:szCs w:val="24"/>
        </w:rPr>
        <w:t>临床资料</w:t>
      </w:r>
    </w:p>
    <w:p w14:paraId="13256DDA">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提交小型临床研究（</w:t>
      </w:r>
      <w:r>
        <w:rPr>
          <w:rFonts w:ascii="Arial" w:hAnsi="Arial" w:eastAsia="宋体" w:cs="Arial"/>
        </w:rPr>
        <w:t>n = 25</w:t>
      </w:r>
      <w:r>
        <w:rPr>
          <w:rFonts w:hint="eastAsia" w:ascii="Arial" w:hAnsi="Arial" w:eastAsia="宋体" w:cs="Arial"/>
        </w:rPr>
        <w:t>）的结果，该研究旨在表明该器械在接收站可产生供追踪的可读性数据，即临床医生可以正确地感知到宫缩。研究设计应反映实际使用情况</w:t>
      </w:r>
      <w:r>
        <w:rPr>
          <w:rFonts w:ascii="Arial" w:hAnsi="Arial" w:eastAsia="宋体" w:cs="Arial"/>
        </w:rPr>
        <w:t xml:space="preserve"> – </w:t>
      </w:r>
      <w:r>
        <w:rPr>
          <w:rFonts w:hint="eastAsia" w:ascii="Arial" w:hAnsi="Arial" w:eastAsia="宋体" w:cs="Arial"/>
        </w:rPr>
        <w:t>受试者具有适当的风险因素，并在适当的孕龄，其在接受适用的培训后，可在自己的家中使用，其目的应解决器械的剩余性能问题，即，患者的记录和数据传输功能以及可用性，这些无法通过台架试验来解决。</w:t>
      </w:r>
    </w:p>
    <w:p w14:paraId="5F3A7757">
      <w:pPr>
        <w:pStyle w:val="50"/>
        <w:keepNext/>
        <w:keepLines/>
        <w:numPr>
          <w:ilvl w:val="0"/>
          <w:numId w:val="5"/>
        </w:numPr>
        <w:shd w:val="clear" w:color="auto" w:fill="auto"/>
        <w:tabs>
          <w:tab w:val="left" w:pos="892"/>
        </w:tabs>
        <w:adjustRightInd w:val="0"/>
        <w:snapToGrid w:val="0"/>
        <w:spacing w:before="0" w:after="163" w:afterLines="50" w:line="300" w:lineRule="auto"/>
        <w:ind w:left="480" w:leftChars="200"/>
        <w:rPr>
          <w:rFonts w:ascii="Arial" w:hAnsi="Arial" w:eastAsia="宋体" w:cs="Arial"/>
          <w:sz w:val="24"/>
          <w:szCs w:val="24"/>
        </w:rPr>
      </w:pPr>
      <w:r>
        <w:rPr>
          <w:rFonts w:hint="eastAsia" w:ascii="Arial" w:hAnsi="Arial" w:eastAsia="宋体" w:cs="Arial"/>
          <w:sz w:val="24"/>
          <w:szCs w:val="24"/>
        </w:rPr>
        <w:t>患者注册表</w:t>
      </w:r>
    </w:p>
    <w:p w14:paraId="47BC9EB0">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患者注册表提供了跟踪结果数据的方法，也描述了</w:t>
      </w:r>
      <w:r>
        <w:rPr>
          <w:rFonts w:ascii="Arial" w:hAnsi="Arial" w:eastAsia="宋体" w:cs="Arial"/>
        </w:rPr>
        <w:t>HUAM</w:t>
      </w:r>
      <w:r>
        <w:rPr>
          <w:rFonts w:hint="eastAsia" w:ascii="Arial" w:hAnsi="Arial" w:eastAsia="宋体" w:cs="Arial"/>
        </w:rPr>
        <w:t>实际使用的患者人群特征。应将患者注册表设计为能使制造商获得有关使用该器械的女性人数、胎儿结果以及患者是否在以前的妊娠过程中使用过监测器等信息。此外，注册表应该记录显示临床领域实际如何对该器械进行处方的信息，例如包括该器械规定用于多胎妊娠或是首次用于发生早产的女性。注册表可以设计为获取患者样本而不是所有的用户；但是，在这种情况下，结构化抽样程序应该是一致的，且数量足以提供有关使用和结果的有用信息。</w:t>
      </w:r>
    </w:p>
    <w:p w14:paraId="0E6CCC64">
      <w:pPr>
        <w:pStyle w:val="31"/>
        <w:numPr>
          <w:ilvl w:val="0"/>
          <w:numId w:val="2"/>
        </w:numPr>
        <w:snapToGrid w:val="0"/>
        <w:spacing w:after="163" w:afterLines="50" w:line="300" w:lineRule="auto"/>
        <w:ind w:leftChars="0" w:right="0" w:rightChars="0" w:firstLineChars="0"/>
        <w:rPr>
          <w:rFonts w:ascii="Arial" w:hAnsi="Arial" w:eastAsia="宋体" w:cs="Arial"/>
          <w:b/>
          <w:sz w:val="32"/>
          <w:szCs w:val="32"/>
        </w:rPr>
      </w:pPr>
      <w:r>
        <w:rPr>
          <w:rFonts w:ascii="Arial" w:hAnsi="Arial" w:eastAsia="宋体" w:cs="Arial"/>
          <w:b/>
          <w:sz w:val="32"/>
          <w:szCs w:val="32"/>
        </w:rPr>
        <w:t>510（k）上市前通知建议</w:t>
      </w:r>
    </w:p>
    <w:p w14:paraId="116FD21D">
      <w:pPr>
        <w:pStyle w:val="50"/>
        <w:keepNext/>
        <w:keepLines/>
        <w:numPr>
          <w:ilvl w:val="0"/>
          <w:numId w:val="9"/>
        </w:numPr>
        <w:shd w:val="clear" w:color="auto" w:fill="auto"/>
        <w:tabs>
          <w:tab w:val="left" w:pos="892"/>
        </w:tabs>
        <w:adjustRightInd w:val="0"/>
        <w:snapToGrid w:val="0"/>
        <w:spacing w:before="0" w:after="163" w:afterLines="50" w:line="300" w:lineRule="auto"/>
        <w:ind w:left="837" w:leftChars="200" w:hanging="357"/>
        <w:rPr>
          <w:rFonts w:ascii="Arial" w:hAnsi="Arial" w:eastAsia="宋体" w:cs="Arial"/>
          <w:sz w:val="24"/>
          <w:szCs w:val="24"/>
        </w:rPr>
      </w:pPr>
      <w:r>
        <w:rPr>
          <w:rFonts w:hint="eastAsia" w:ascii="Arial" w:hAnsi="Arial" w:eastAsia="宋体" w:cs="Arial"/>
          <w:sz w:val="24"/>
          <w:szCs w:val="24"/>
        </w:rPr>
        <w:t>一般建议</w:t>
      </w:r>
    </w:p>
    <w:p w14:paraId="58C3938F">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在设计和开发阶段做出的许多决策都会影响器械的安全性和有效性。</w:t>
      </w:r>
      <w:r>
        <w:rPr>
          <w:rFonts w:ascii="Arial" w:hAnsi="Arial" w:eastAsia="宋体" w:cs="Arial"/>
        </w:rPr>
        <w:t>FDA</w:t>
      </w:r>
      <w:r>
        <w:rPr>
          <w:rFonts w:hint="eastAsia" w:ascii="Arial" w:hAnsi="Arial" w:eastAsia="宋体" w:cs="Arial"/>
        </w:rPr>
        <w:t>有兴趣对这些设计决策进行审查，这些决策应该记录在设计历史文件中。因此，您的</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）提交的内容应包括设计历史中与安全性和有效性有关的摘录或</w:t>
      </w:r>
      <w:r>
        <w:rPr>
          <w:rFonts w:ascii="Arial" w:hAnsi="Arial" w:eastAsia="宋体" w:cs="Arial"/>
        </w:rPr>
        <w:t>“</w:t>
      </w:r>
      <w:r>
        <w:rPr>
          <w:rFonts w:hint="eastAsia" w:ascii="Arial" w:hAnsi="Arial" w:eastAsia="宋体" w:cs="Arial"/>
        </w:rPr>
        <w:t>伪迹</w:t>
      </w:r>
      <w:r>
        <w:rPr>
          <w:rFonts w:ascii="Arial" w:hAnsi="Arial" w:eastAsia="宋体" w:cs="Arial"/>
        </w:rPr>
        <w:t>”</w:t>
      </w:r>
      <w:r>
        <w:rPr>
          <w:rFonts w:hint="eastAsia" w:ascii="Arial" w:hAnsi="Arial" w:eastAsia="宋体" w:cs="Arial"/>
        </w:rPr>
        <w:t>。</w:t>
      </w:r>
    </w:p>
    <w:p w14:paraId="6E578911">
      <w:pPr>
        <w:snapToGrid w:val="0"/>
        <w:spacing w:after="163" w:afterLines="50" w:line="300" w:lineRule="auto"/>
        <w:ind w:left="0" w:leftChars="0" w:right="0" w:rightChars="0"/>
        <w:rPr>
          <w:rFonts w:ascii="Arial" w:hAnsi="Arial" w:eastAsia="宋体" w:cs="Arial"/>
          <w:kern w:val="2"/>
          <w:szCs w:val="24"/>
        </w:rPr>
      </w:pPr>
      <w:r>
        <w:rPr>
          <w:rFonts w:ascii="Arial" w:hAnsi="Arial" w:eastAsia="宋体" w:cs="Arial"/>
          <w:szCs w:val="24"/>
        </w:rPr>
        <w:br w:type="page"/>
      </w:r>
    </w:p>
    <w:p w14:paraId="1A616049">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在某些情况下，</w:t>
      </w:r>
      <w:r>
        <w:rPr>
          <w:rFonts w:ascii="Arial" w:hAnsi="Arial" w:eastAsia="宋体" w:cs="Arial"/>
        </w:rPr>
        <w:t>FDA</w:t>
      </w:r>
      <w:r>
        <w:rPr>
          <w:rFonts w:hint="eastAsia" w:ascii="Arial" w:hAnsi="Arial" w:eastAsia="宋体" w:cs="Arial"/>
        </w:rPr>
        <w:t>审查员可能会要求在质量体系检查过程中审查相同的文件。质量体系审查员关注于您的质量体系的充分性评价，以及您公司遵循文件质量体系程序的程度。在</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）审查中，</w:t>
      </w:r>
      <w:r>
        <w:rPr>
          <w:rFonts w:ascii="Arial" w:hAnsi="Arial" w:eastAsia="宋体" w:cs="Arial"/>
        </w:rPr>
        <w:t>FDA</w:t>
      </w:r>
      <w:r>
        <w:rPr>
          <w:rFonts w:hint="eastAsia" w:ascii="Arial" w:hAnsi="Arial" w:eastAsia="宋体" w:cs="Arial"/>
        </w:rPr>
        <w:t>的关注点是确定公司的工程学和临床判断的安全性和有效性是否合理。</w:t>
      </w:r>
    </w:p>
    <w:p w14:paraId="7465DF84">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为此，您的提交应包括风险管理报告。此外，还应提交证明文件，以证明风险管理活动的结果已延用到设计中。在任何情况下，支持性文件应包括用户手册、系统架构的描述、主要系统部件的需求文件以及选定的验证和确认文件。以下各段介绍了这些项目中的每一项。</w:t>
      </w:r>
    </w:p>
    <w:p w14:paraId="064572C8">
      <w:pPr>
        <w:pStyle w:val="44"/>
        <w:numPr>
          <w:ilvl w:val="1"/>
          <w:numId w:val="2"/>
        </w:numPr>
        <w:shd w:val="clear" w:color="auto" w:fill="auto"/>
        <w:adjustRightInd w:val="0"/>
        <w:snapToGrid w:val="0"/>
        <w:spacing w:before="0" w:after="163" w:afterLines="50" w:line="300" w:lineRule="auto"/>
        <w:ind w:left="1317" w:leftChars="400" w:hanging="357"/>
        <w:jc w:val="left"/>
        <w:rPr>
          <w:rFonts w:ascii="Arial" w:hAnsi="Arial" w:eastAsia="宋体" w:cs="Arial"/>
        </w:rPr>
      </w:pPr>
      <w:r>
        <w:rPr>
          <w:rFonts w:hint="eastAsia" w:ascii="Arial" w:hAnsi="Arial" w:eastAsia="宋体" w:cs="Arial"/>
        </w:rPr>
        <w:t>风险管理报告</w:t>
      </w:r>
    </w:p>
    <w:p w14:paraId="356841B7">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您的提交应包括风险管理报告，与器械安全性有关的风险管理活动结果</w:t>
      </w:r>
      <w:r>
        <w:rPr>
          <w:rFonts w:ascii="Arial" w:hAnsi="Arial" w:eastAsia="宋体" w:cs="Arial"/>
        </w:rPr>
        <w:t>的</w:t>
      </w:r>
      <w:r>
        <w:rPr>
          <w:rFonts w:hint="eastAsia" w:ascii="Arial" w:hAnsi="Arial" w:eastAsia="宋体" w:cs="Arial"/>
        </w:rPr>
        <w:t>总结。风险管理报告应列出与使用该器械相关的已识别的安全性危害。对于所列出的每一种</w:t>
      </w:r>
      <w:r>
        <w:rPr>
          <w:rFonts w:ascii="Arial" w:hAnsi="Arial" w:eastAsia="宋体" w:cs="Arial"/>
        </w:rPr>
        <w:t>危险</w:t>
      </w:r>
      <w:r>
        <w:rPr>
          <w:rFonts w:hint="eastAsia" w:ascii="Arial" w:hAnsi="Arial" w:eastAsia="宋体" w:cs="Arial"/>
        </w:rPr>
        <w:t>，报告都应说明起始原因，用于控制风险的方法以及缓解前后的风险水平。如果风险管理报告与支持性文件（如需求文件、测试程序和测试结果）相互参照，将会促进</w:t>
      </w:r>
      <w:r>
        <w:rPr>
          <w:rFonts w:ascii="Arial" w:hAnsi="Arial" w:eastAsia="宋体" w:cs="Arial"/>
        </w:rPr>
        <w:t>FDA</w:t>
      </w:r>
      <w:r>
        <w:rPr>
          <w:rFonts w:hint="eastAsia" w:ascii="Arial" w:hAnsi="Arial" w:eastAsia="宋体" w:cs="Arial"/>
        </w:rPr>
        <w:t>的审查，这些支持性文件显示了特定的风险控制措施已成功转化为器械需求并经过了适当的验证</w:t>
      </w:r>
      <w:r>
        <w:rPr>
          <w:rFonts w:ascii="Arial" w:hAnsi="Arial" w:eastAsia="宋体" w:cs="Arial"/>
        </w:rPr>
        <w:t>或确认</w:t>
      </w:r>
      <w:r>
        <w:rPr>
          <w:rFonts w:hint="eastAsia" w:ascii="Arial" w:hAnsi="Arial" w:eastAsia="宋体" w:cs="Arial"/>
        </w:rPr>
        <w:t>。</w:t>
      </w:r>
    </w:p>
    <w:p w14:paraId="3A66AE9F">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风险管理报告可以以任何合理的格式提交。例如，信息可以以表格或叙述的形式</w:t>
      </w:r>
      <w:r>
        <w:rPr>
          <w:rFonts w:ascii="Arial" w:hAnsi="Arial" w:eastAsia="宋体" w:cs="Arial"/>
        </w:rPr>
        <w:t>提供</w:t>
      </w:r>
      <w:r>
        <w:rPr>
          <w:rFonts w:hint="eastAsia" w:ascii="Arial" w:hAnsi="Arial" w:eastAsia="宋体" w:cs="Arial"/>
        </w:rPr>
        <w:t>，风险水平可以酌情进行定量或定性地表达。您选择的格式可以由您公司的风险管理流程决定。</w:t>
      </w:r>
    </w:p>
    <w:p w14:paraId="5F341112">
      <w:pPr>
        <w:pStyle w:val="44"/>
        <w:numPr>
          <w:ilvl w:val="1"/>
          <w:numId w:val="2"/>
        </w:numPr>
        <w:shd w:val="clear" w:color="auto" w:fill="auto"/>
        <w:adjustRightInd w:val="0"/>
        <w:snapToGrid w:val="0"/>
        <w:spacing w:before="0" w:after="163" w:afterLines="50" w:line="300" w:lineRule="auto"/>
        <w:ind w:left="1317" w:leftChars="400" w:hanging="357"/>
        <w:jc w:val="left"/>
        <w:rPr>
          <w:rFonts w:ascii="Arial" w:hAnsi="Arial" w:eastAsia="宋体" w:cs="Arial"/>
        </w:rPr>
      </w:pPr>
      <w:r>
        <w:rPr>
          <w:rFonts w:hint="eastAsia" w:ascii="Arial" w:hAnsi="Arial" w:eastAsia="宋体" w:cs="Arial"/>
        </w:rPr>
        <w:t>系统架构</w:t>
      </w:r>
    </w:p>
    <w:p w14:paraId="6E7B69A6">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您的提交中应描述系统的主要组成部件，并指明各</w:t>
      </w:r>
      <w:r>
        <w:rPr>
          <w:rFonts w:ascii="Arial" w:hAnsi="Arial" w:eastAsia="宋体" w:cs="Arial"/>
        </w:rPr>
        <w:t>部件</w:t>
      </w:r>
      <w:r>
        <w:rPr>
          <w:rFonts w:hint="eastAsia" w:ascii="Arial" w:hAnsi="Arial" w:eastAsia="宋体" w:cs="Arial"/>
        </w:rPr>
        <w:t>是如何</w:t>
      </w:r>
      <w:r>
        <w:rPr>
          <w:rFonts w:ascii="Arial" w:hAnsi="Arial" w:eastAsia="宋体" w:cs="Arial"/>
        </w:rPr>
        <w:t>分配</w:t>
      </w:r>
      <w:r>
        <w:rPr>
          <w:rFonts w:hint="eastAsia" w:ascii="Arial" w:hAnsi="Arial" w:eastAsia="宋体" w:cs="Arial"/>
        </w:rPr>
        <w:t>进行功能</w:t>
      </w:r>
      <w:r>
        <w:rPr>
          <w:rFonts w:ascii="Arial" w:hAnsi="Arial" w:eastAsia="宋体" w:cs="Arial"/>
        </w:rPr>
        <w:t>需求</w:t>
      </w:r>
      <w:r>
        <w:rPr>
          <w:rFonts w:hint="eastAsia" w:ascii="Arial" w:hAnsi="Arial" w:eastAsia="宋体" w:cs="Arial"/>
        </w:rPr>
        <w:t>，可以通过简单的框图列出系统每个</w:t>
      </w:r>
      <w:r>
        <w:rPr>
          <w:rFonts w:ascii="Arial" w:hAnsi="Arial" w:eastAsia="宋体" w:cs="Arial"/>
        </w:rPr>
        <w:t>部件</w:t>
      </w:r>
      <w:r>
        <w:rPr>
          <w:rFonts w:hint="eastAsia" w:ascii="Arial" w:hAnsi="Arial" w:eastAsia="宋体" w:cs="Arial"/>
        </w:rPr>
        <w:t>所执行的主要功能。</w:t>
      </w:r>
    </w:p>
    <w:p w14:paraId="6F7AF273">
      <w:pPr>
        <w:pStyle w:val="44"/>
        <w:numPr>
          <w:ilvl w:val="1"/>
          <w:numId w:val="2"/>
        </w:numPr>
        <w:shd w:val="clear" w:color="auto" w:fill="auto"/>
        <w:adjustRightInd w:val="0"/>
        <w:snapToGrid w:val="0"/>
        <w:spacing w:before="0" w:after="163" w:afterLines="50" w:line="300" w:lineRule="auto"/>
        <w:ind w:left="1317" w:leftChars="400" w:hanging="357"/>
        <w:jc w:val="left"/>
        <w:rPr>
          <w:rFonts w:ascii="Arial" w:hAnsi="Arial" w:eastAsia="宋体" w:cs="Arial"/>
        </w:rPr>
      </w:pPr>
      <w:r>
        <w:rPr>
          <w:rFonts w:hint="eastAsia" w:ascii="Arial" w:hAnsi="Arial" w:eastAsia="宋体" w:cs="Arial"/>
        </w:rPr>
        <w:t>需求文件</w:t>
      </w:r>
    </w:p>
    <w:p w14:paraId="2536C2E2">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每</w:t>
      </w:r>
      <w:r>
        <w:rPr>
          <w:rFonts w:ascii="Arial" w:hAnsi="Arial" w:eastAsia="宋体" w:cs="Arial"/>
        </w:rPr>
        <w:t>份</w:t>
      </w:r>
      <w:r>
        <w:rPr>
          <w:rFonts w:hint="eastAsia" w:ascii="Arial" w:hAnsi="Arial" w:eastAsia="宋体" w:cs="Arial"/>
        </w:rPr>
        <w:t>提交中应包括需求文件（即，设计输入过程所生成的文件），这些文件以工程术语定义系统功能、性能和界面特性。您公司可以将这些文件称为</w:t>
      </w:r>
      <w:r>
        <w:rPr>
          <w:rFonts w:ascii="Arial" w:hAnsi="Arial" w:eastAsia="宋体" w:cs="Arial"/>
        </w:rPr>
        <w:t>“</w:t>
      </w:r>
      <w:r>
        <w:rPr>
          <w:rFonts w:hint="eastAsia" w:ascii="Arial" w:hAnsi="Arial" w:eastAsia="宋体" w:cs="Arial"/>
        </w:rPr>
        <w:t>系统规范</w:t>
      </w:r>
      <w:r>
        <w:rPr>
          <w:rFonts w:ascii="Arial" w:hAnsi="Arial" w:eastAsia="宋体" w:cs="Arial"/>
        </w:rPr>
        <w:t>”</w:t>
      </w:r>
      <w:r>
        <w:rPr>
          <w:rFonts w:hint="eastAsia" w:ascii="Arial" w:hAnsi="Arial" w:eastAsia="宋体" w:cs="Arial"/>
        </w:rPr>
        <w:t>、</w:t>
      </w:r>
      <w:r>
        <w:rPr>
          <w:rFonts w:ascii="Arial" w:hAnsi="Arial" w:eastAsia="宋体" w:cs="Arial"/>
        </w:rPr>
        <w:t>“</w:t>
      </w:r>
      <w:r>
        <w:rPr>
          <w:rFonts w:hint="eastAsia" w:ascii="Arial" w:hAnsi="Arial" w:eastAsia="宋体" w:cs="Arial"/>
        </w:rPr>
        <w:t>设计要求</w:t>
      </w:r>
      <w:r>
        <w:rPr>
          <w:rFonts w:ascii="Arial" w:hAnsi="Arial" w:eastAsia="宋体" w:cs="Arial"/>
        </w:rPr>
        <w:t>”</w:t>
      </w:r>
      <w:r>
        <w:rPr>
          <w:rFonts w:hint="eastAsia" w:ascii="Arial" w:hAnsi="Arial" w:eastAsia="宋体" w:cs="Arial"/>
        </w:rPr>
        <w:t>、</w:t>
      </w:r>
      <w:r>
        <w:rPr>
          <w:rFonts w:ascii="Arial" w:hAnsi="Arial" w:eastAsia="宋体" w:cs="Arial"/>
        </w:rPr>
        <w:t>“</w:t>
      </w:r>
      <w:r>
        <w:rPr>
          <w:rFonts w:hint="eastAsia" w:ascii="Arial" w:hAnsi="Arial" w:eastAsia="宋体" w:cs="Arial"/>
        </w:rPr>
        <w:t>需求规范</w:t>
      </w:r>
      <w:r>
        <w:rPr>
          <w:rFonts w:ascii="Arial" w:hAnsi="Arial" w:eastAsia="宋体" w:cs="Arial"/>
        </w:rPr>
        <w:t>”</w:t>
      </w:r>
      <w:r>
        <w:rPr>
          <w:rFonts w:hint="eastAsia" w:ascii="Arial" w:hAnsi="Arial" w:eastAsia="宋体" w:cs="Arial"/>
        </w:rPr>
        <w:t>或其他名称。在很多情况下，会有几个这样的文件，涵盖系统的主要硬件和软件</w:t>
      </w:r>
      <w:r>
        <w:rPr>
          <w:rFonts w:ascii="Arial" w:hAnsi="Arial" w:eastAsia="宋体" w:cs="Arial"/>
        </w:rPr>
        <w:t>部件</w:t>
      </w:r>
      <w:r>
        <w:rPr>
          <w:rFonts w:hint="eastAsia" w:ascii="Arial" w:hAnsi="Arial" w:eastAsia="宋体" w:cs="Arial"/>
        </w:rPr>
        <w:t>。有关需求文件的更多信息，请参见</w:t>
      </w:r>
      <w:r>
        <w:rPr>
          <w:rFonts w:ascii="Arial" w:hAnsi="Arial" w:eastAsia="宋体" w:cs="Arial"/>
        </w:rPr>
        <w:t>FDA</w:t>
      </w:r>
      <w:r>
        <w:rPr>
          <w:rFonts w:hint="eastAsia" w:ascii="Arial" w:hAnsi="Arial" w:eastAsia="宋体" w:cs="Arial"/>
        </w:rPr>
        <w:t>指导性文件</w:t>
      </w:r>
      <w:r>
        <w:rPr>
          <w:rFonts w:ascii="Arial" w:hAnsi="Arial" w:eastAsia="宋体" w:cs="Arial"/>
        </w:rPr>
        <w:t>“</w:t>
      </w:r>
      <w:r>
        <w:rPr>
          <w:rFonts w:hint="eastAsia" w:ascii="Arial" w:hAnsi="Arial" w:eastAsia="宋体" w:cs="Arial"/>
          <w:i/>
          <w:color w:val="0000FF"/>
        </w:rPr>
        <w:t>医疗器械制造商的设计控制指南</w:t>
      </w:r>
      <w:r>
        <w:rPr>
          <w:rFonts w:ascii="Arial" w:hAnsi="Arial" w:eastAsia="宋体" w:cs="Arial"/>
        </w:rPr>
        <w:t>”</w:t>
      </w:r>
      <w:r>
        <w:rPr>
          <w:rFonts w:hint="eastAsia" w:ascii="Arial" w:hAnsi="Arial" w:eastAsia="宋体" w:cs="Arial"/>
        </w:rPr>
        <w:t>（参考文献</w:t>
      </w:r>
      <w:r>
        <w:rPr>
          <w:rFonts w:ascii="Arial" w:hAnsi="Arial" w:eastAsia="宋体" w:cs="Arial"/>
        </w:rPr>
        <w:t>A</w:t>
      </w:r>
      <w:r>
        <w:rPr>
          <w:rFonts w:hint="eastAsia" w:ascii="Arial" w:hAnsi="Arial" w:eastAsia="宋体" w:cs="Arial"/>
        </w:rPr>
        <w:t>）的</w:t>
      </w:r>
      <w:r>
        <w:rPr>
          <w:rFonts w:ascii="Arial" w:hAnsi="Arial" w:eastAsia="宋体" w:cs="Arial"/>
        </w:rPr>
        <w:t>C</w:t>
      </w:r>
      <w:r>
        <w:rPr>
          <w:rFonts w:hint="eastAsia" w:ascii="Arial" w:hAnsi="Arial" w:eastAsia="宋体" w:cs="Arial"/>
        </w:rPr>
        <w:t>部分。</w:t>
      </w:r>
    </w:p>
    <w:p w14:paraId="2387E260">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ascii="Arial" w:hAnsi="Arial" w:eastAsia="宋体" w:cs="Arial"/>
        </w:rPr>
        <w:t>FDA</w:t>
      </w:r>
      <w:r>
        <w:rPr>
          <w:rFonts w:hint="eastAsia" w:ascii="Arial" w:hAnsi="Arial" w:eastAsia="宋体" w:cs="Arial"/>
        </w:rPr>
        <w:t>对这些文件有三重关注点，首先，他们提供了客观证据，以证明确保安全性的风险控制措施已转化为适当的器械需求。其次，</w:t>
      </w:r>
      <w:r>
        <w:rPr>
          <w:rFonts w:ascii="Arial" w:hAnsi="Arial" w:eastAsia="宋体" w:cs="Arial"/>
        </w:rPr>
        <w:t>FDA</w:t>
      </w:r>
      <w:r>
        <w:rPr>
          <w:rFonts w:hint="eastAsia" w:ascii="Arial" w:hAnsi="Arial" w:eastAsia="宋体" w:cs="Arial"/>
        </w:rPr>
        <w:t>需要确保需求文件全面描述了预期</w:t>
      </w:r>
      <w:r>
        <w:rPr>
          <w:rFonts w:ascii="Arial" w:hAnsi="Arial" w:eastAsia="宋体" w:cs="Arial"/>
        </w:rPr>
        <w:t>用途</w:t>
      </w:r>
      <w:r>
        <w:rPr>
          <w:rFonts w:hint="eastAsia" w:ascii="Arial" w:hAnsi="Arial" w:eastAsia="宋体" w:cs="Arial"/>
        </w:rPr>
        <w:t>环境的特征。第三，</w:t>
      </w:r>
      <w:r>
        <w:rPr>
          <w:rFonts w:ascii="Arial" w:hAnsi="Arial" w:eastAsia="宋体" w:cs="Arial"/>
        </w:rPr>
        <w:t>FDA</w:t>
      </w:r>
      <w:r>
        <w:rPr>
          <w:rFonts w:hint="eastAsia" w:ascii="Arial" w:hAnsi="Arial" w:eastAsia="宋体" w:cs="Arial"/>
        </w:rPr>
        <w:t>需要确保对临床有效性至关重要的器械的技术特征进行充分描述。</w:t>
      </w:r>
    </w:p>
    <w:p w14:paraId="1C9BB88E">
      <w:pPr>
        <w:pStyle w:val="44"/>
        <w:numPr>
          <w:ilvl w:val="1"/>
          <w:numId w:val="2"/>
        </w:numPr>
        <w:shd w:val="clear" w:color="auto" w:fill="auto"/>
        <w:adjustRightInd w:val="0"/>
        <w:snapToGrid w:val="0"/>
        <w:spacing w:before="0" w:after="163" w:afterLines="50" w:line="300" w:lineRule="auto"/>
        <w:ind w:left="1317" w:leftChars="400" w:hanging="357"/>
        <w:jc w:val="left"/>
        <w:rPr>
          <w:rFonts w:ascii="Arial" w:hAnsi="Arial" w:eastAsia="宋体" w:cs="Arial"/>
        </w:rPr>
      </w:pPr>
      <w:r>
        <w:rPr>
          <w:rFonts w:hint="eastAsia" w:ascii="Arial" w:hAnsi="Arial" w:eastAsia="宋体" w:cs="Arial"/>
        </w:rPr>
        <w:t>验证</w:t>
      </w:r>
      <w:r>
        <w:rPr>
          <w:rFonts w:ascii="Arial" w:hAnsi="Arial" w:eastAsia="宋体" w:cs="Arial"/>
        </w:rPr>
        <w:t>和确认</w:t>
      </w:r>
      <w:r>
        <w:rPr>
          <w:rFonts w:hint="eastAsia" w:ascii="Arial" w:hAnsi="Arial" w:eastAsia="宋体" w:cs="Arial"/>
        </w:rPr>
        <w:t>文件</w:t>
      </w:r>
    </w:p>
    <w:p w14:paraId="679AA344">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ascii="Arial" w:hAnsi="Arial" w:eastAsia="宋体" w:cs="Arial"/>
        </w:rPr>
        <w:t>FDA</w:t>
      </w:r>
      <w:r>
        <w:rPr>
          <w:rFonts w:hint="eastAsia" w:ascii="Arial" w:hAnsi="Arial" w:eastAsia="宋体" w:cs="Arial"/>
        </w:rPr>
        <w:t>不希望您提交大量的验证</w:t>
      </w:r>
      <w:r>
        <w:rPr>
          <w:rFonts w:ascii="Arial" w:hAnsi="Arial" w:eastAsia="宋体" w:cs="Arial"/>
        </w:rPr>
        <w:t>和确认</w:t>
      </w:r>
      <w:r>
        <w:rPr>
          <w:rFonts w:hint="eastAsia" w:ascii="Arial" w:hAnsi="Arial" w:eastAsia="宋体" w:cs="Arial"/>
        </w:rPr>
        <w:t>数据，而在您的提交中应包含</w:t>
      </w:r>
      <w:r>
        <w:rPr>
          <w:rFonts w:ascii="Arial" w:hAnsi="Arial" w:eastAsia="宋体" w:cs="Arial"/>
        </w:rPr>
        <w:t>一份</w:t>
      </w:r>
      <w:r>
        <w:rPr>
          <w:rFonts w:hint="eastAsia" w:ascii="Arial" w:hAnsi="Arial" w:eastAsia="宋体" w:cs="Arial"/>
        </w:rPr>
        <w:t>有代表性的文件样本，以说明影响安全性和有效性的器械需求已经过验证</w:t>
      </w:r>
      <w:r>
        <w:rPr>
          <w:rFonts w:ascii="Arial" w:hAnsi="Arial" w:eastAsia="宋体" w:cs="Arial"/>
        </w:rPr>
        <w:t>或确认</w:t>
      </w:r>
      <w:r>
        <w:rPr>
          <w:rFonts w:hint="eastAsia" w:ascii="Arial" w:hAnsi="Arial" w:eastAsia="宋体" w:cs="Arial"/>
        </w:rPr>
        <w:t>。这些文件</w:t>
      </w:r>
      <w:r>
        <w:rPr>
          <w:rFonts w:ascii="Arial" w:hAnsi="Arial" w:eastAsia="宋体" w:cs="Arial"/>
        </w:rPr>
        <w:t>示例</w:t>
      </w:r>
      <w:r>
        <w:rPr>
          <w:rFonts w:hint="eastAsia" w:ascii="Arial" w:hAnsi="Arial" w:eastAsia="宋体" w:cs="Arial"/>
        </w:rPr>
        <w:t>，包括：</w:t>
      </w:r>
    </w:p>
    <w:p w14:paraId="6E99C872">
      <w:pPr>
        <w:pStyle w:val="44"/>
        <w:numPr>
          <w:ilvl w:val="0"/>
          <w:numId w:val="10"/>
        </w:numPr>
        <w:tabs>
          <w:tab w:val="left" w:pos="2127"/>
        </w:tabs>
        <w:adjustRightInd w:val="0"/>
        <w:snapToGrid w:val="0"/>
        <w:spacing w:before="0" w:after="163" w:afterLines="50" w:line="300" w:lineRule="auto"/>
        <w:ind w:left="1440" w:leftChars="600" w:firstLine="0"/>
        <w:rPr>
          <w:rFonts w:ascii="Arial" w:hAnsi="Arial" w:eastAsia="宋体" w:cs="Arial"/>
        </w:rPr>
      </w:pPr>
      <w:r>
        <w:rPr>
          <w:rFonts w:hint="eastAsia" w:ascii="Arial" w:hAnsi="Arial" w:eastAsia="宋体" w:cs="Arial"/>
        </w:rPr>
        <w:t>分析</w:t>
      </w:r>
    </w:p>
    <w:p w14:paraId="07EA2B42">
      <w:pPr>
        <w:pStyle w:val="44"/>
        <w:numPr>
          <w:ilvl w:val="0"/>
          <w:numId w:val="10"/>
        </w:numPr>
        <w:tabs>
          <w:tab w:val="left" w:pos="2127"/>
        </w:tabs>
        <w:adjustRightInd w:val="0"/>
        <w:snapToGrid w:val="0"/>
        <w:spacing w:before="0" w:after="163" w:afterLines="50" w:line="300" w:lineRule="auto"/>
        <w:ind w:left="1440" w:leftChars="600" w:firstLine="0"/>
        <w:rPr>
          <w:rFonts w:ascii="Arial" w:hAnsi="Arial" w:eastAsia="宋体" w:cs="Arial"/>
        </w:rPr>
      </w:pPr>
      <w:r>
        <w:rPr>
          <w:rFonts w:hint="eastAsia" w:ascii="Arial" w:hAnsi="Arial" w:eastAsia="宋体" w:cs="Arial"/>
        </w:rPr>
        <w:t>测试和检查计划</w:t>
      </w:r>
    </w:p>
    <w:p w14:paraId="01EDA975">
      <w:pPr>
        <w:pStyle w:val="44"/>
        <w:numPr>
          <w:ilvl w:val="0"/>
          <w:numId w:val="10"/>
        </w:numPr>
        <w:tabs>
          <w:tab w:val="left" w:pos="2127"/>
        </w:tabs>
        <w:adjustRightInd w:val="0"/>
        <w:snapToGrid w:val="0"/>
        <w:spacing w:before="0" w:after="163" w:afterLines="50" w:line="300" w:lineRule="auto"/>
        <w:ind w:left="1440" w:leftChars="600" w:firstLine="0"/>
        <w:rPr>
          <w:rFonts w:ascii="Arial" w:hAnsi="Arial" w:eastAsia="宋体" w:cs="Arial"/>
        </w:rPr>
      </w:pPr>
      <w:r>
        <w:rPr>
          <w:rFonts w:hint="eastAsia" w:ascii="Arial" w:hAnsi="Arial" w:eastAsia="宋体" w:cs="Arial"/>
        </w:rPr>
        <w:t>测试和检查程序</w:t>
      </w:r>
    </w:p>
    <w:p w14:paraId="64D81DDC">
      <w:pPr>
        <w:pStyle w:val="44"/>
        <w:numPr>
          <w:ilvl w:val="0"/>
          <w:numId w:val="10"/>
        </w:numPr>
        <w:tabs>
          <w:tab w:val="left" w:pos="2127"/>
        </w:tabs>
        <w:adjustRightInd w:val="0"/>
        <w:snapToGrid w:val="0"/>
        <w:spacing w:before="0" w:after="163" w:afterLines="50" w:line="300" w:lineRule="auto"/>
        <w:ind w:left="1440" w:leftChars="600" w:firstLine="0"/>
        <w:rPr>
          <w:rFonts w:ascii="Arial" w:hAnsi="Arial" w:eastAsia="宋体" w:cs="Arial"/>
        </w:rPr>
      </w:pPr>
      <w:r>
        <w:rPr>
          <w:rFonts w:hint="eastAsia" w:ascii="Arial" w:hAnsi="Arial" w:eastAsia="宋体" w:cs="Arial"/>
        </w:rPr>
        <w:t>测试和检查报告</w:t>
      </w:r>
    </w:p>
    <w:p w14:paraId="0DE6B13E">
      <w:pPr>
        <w:pStyle w:val="44"/>
        <w:numPr>
          <w:ilvl w:val="0"/>
          <w:numId w:val="10"/>
        </w:numPr>
        <w:shd w:val="clear" w:color="auto" w:fill="auto"/>
        <w:tabs>
          <w:tab w:val="left" w:pos="2127"/>
        </w:tabs>
        <w:adjustRightInd w:val="0"/>
        <w:snapToGrid w:val="0"/>
        <w:spacing w:before="0" w:after="163" w:afterLines="50" w:line="300" w:lineRule="auto"/>
        <w:ind w:left="1440" w:leftChars="600" w:firstLine="0"/>
        <w:rPr>
          <w:rFonts w:ascii="Arial" w:hAnsi="Arial" w:eastAsia="宋体" w:cs="Arial"/>
        </w:rPr>
      </w:pPr>
      <w:r>
        <w:rPr>
          <w:rFonts w:hint="eastAsia" w:ascii="Arial" w:hAnsi="Arial" w:eastAsia="宋体" w:cs="Arial"/>
        </w:rPr>
        <w:t>验证</w:t>
      </w:r>
      <w:r>
        <w:rPr>
          <w:rFonts w:ascii="Arial" w:hAnsi="Arial" w:eastAsia="宋体" w:cs="Arial"/>
        </w:rPr>
        <w:t>和确认</w:t>
      </w:r>
      <w:r>
        <w:rPr>
          <w:rFonts w:hint="eastAsia" w:ascii="Arial" w:hAnsi="Arial" w:eastAsia="宋体" w:cs="Arial"/>
        </w:rPr>
        <w:t>总结</w:t>
      </w:r>
    </w:p>
    <w:p w14:paraId="34B74482">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有关</w:t>
      </w:r>
      <w:r>
        <w:rPr>
          <w:rFonts w:ascii="Arial" w:hAnsi="Arial" w:eastAsia="宋体" w:cs="Arial"/>
        </w:rPr>
        <w:t>验证和</w:t>
      </w:r>
      <w:r>
        <w:rPr>
          <w:rFonts w:hint="eastAsia" w:ascii="Arial" w:hAnsi="Arial" w:eastAsia="宋体" w:cs="Arial"/>
        </w:rPr>
        <w:t>确认文件的更多信息，请参见</w:t>
      </w:r>
      <w:r>
        <w:rPr>
          <w:rFonts w:ascii="Arial" w:hAnsi="Arial" w:eastAsia="宋体" w:cs="Arial"/>
        </w:rPr>
        <w:t>FDA</w:t>
      </w:r>
      <w:r>
        <w:rPr>
          <w:rFonts w:hint="eastAsia" w:ascii="Arial" w:hAnsi="Arial" w:eastAsia="宋体" w:cs="Arial"/>
        </w:rPr>
        <w:t>指导性文件</w:t>
      </w:r>
      <w:r>
        <w:rPr>
          <w:rFonts w:ascii="Arial" w:hAnsi="Arial" w:eastAsia="宋体" w:cs="Arial"/>
        </w:rPr>
        <w:t>“</w:t>
      </w:r>
      <w:r>
        <w:rPr>
          <w:rFonts w:hint="eastAsia" w:ascii="Arial" w:hAnsi="Arial" w:eastAsia="宋体" w:cs="Arial"/>
          <w:i/>
          <w:color w:val="0000FF"/>
        </w:rPr>
        <w:t>医疗器械制造商的设计控制指南</w:t>
      </w:r>
      <w:r>
        <w:rPr>
          <w:rFonts w:hint="eastAsia" w:ascii="Arial" w:hAnsi="Arial" w:eastAsia="宋体" w:cs="Arial"/>
        </w:rPr>
        <w:t>”（参考文献</w:t>
      </w:r>
      <w:r>
        <w:rPr>
          <w:rFonts w:ascii="Arial" w:hAnsi="Arial" w:eastAsia="宋体" w:cs="Arial"/>
        </w:rPr>
        <w:t>A</w:t>
      </w:r>
      <w:r>
        <w:rPr>
          <w:rFonts w:hint="eastAsia" w:ascii="Arial" w:hAnsi="Arial" w:eastAsia="宋体" w:cs="Arial"/>
        </w:rPr>
        <w:t>）的</w:t>
      </w:r>
      <w:r>
        <w:rPr>
          <w:rFonts w:ascii="Arial" w:hAnsi="Arial" w:eastAsia="宋体" w:cs="Arial"/>
        </w:rPr>
        <w:t>F</w:t>
      </w:r>
      <w:r>
        <w:rPr>
          <w:rFonts w:hint="eastAsia" w:ascii="Arial" w:hAnsi="Arial" w:eastAsia="宋体" w:cs="Arial"/>
        </w:rPr>
        <w:t>和</w:t>
      </w:r>
      <w:r>
        <w:rPr>
          <w:rFonts w:ascii="Arial" w:hAnsi="Arial" w:eastAsia="宋体" w:cs="Arial"/>
        </w:rPr>
        <w:t>G</w:t>
      </w:r>
      <w:r>
        <w:rPr>
          <w:rFonts w:hint="eastAsia" w:ascii="Arial" w:hAnsi="Arial" w:eastAsia="宋体" w:cs="Arial"/>
        </w:rPr>
        <w:t>部分。</w:t>
      </w:r>
    </w:p>
    <w:p w14:paraId="11BCDDB1">
      <w:pPr>
        <w:pStyle w:val="44"/>
        <w:numPr>
          <w:ilvl w:val="1"/>
          <w:numId w:val="2"/>
        </w:numPr>
        <w:shd w:val="clear" w:color="auto" w:fill="auto"/>
        <w:adjustRightInd w:val="0"/>
        <w:snapToGrid w:val="0"/>
        <w:spacing w:before="0" w:after="163" w:afterLines="50" w:line="300" w:lineRule="auto"/>
        <w:ind w:left="1317" w:leftChars="400" w:hanging="357"/>
        <w:jc w:val="left"/>
        <w:rPr>
          <w:rFonts w:ascii="Arial" w:hAnsi="Arial" w:eastAsia="宋体" w:cs="Arial"/>
        </w:rPr>
      </w:pPr>
      <w:r>
        <w:rPr>
          <w:rFonts w:hint="eastAsia" w:ascii="Arial" w:hAnsi="Arial" w:eastAsia="宋体" w:cs="Arial"/>
        </w:rPr>
        <w:t>与</w:t>
      </w:r>
      <w:r>
        <w:rPr>
          <w:rFonts w:ascii="Arial" w:hAnsi="Arial" w:eastAsia="宋体" w:cs="Arial"/>
        </w:rPr>
        <w:t>比较</w:t>
      </w:r>
      <w:r>
        <w:rPr>
          <w:rFonts w:hint="eastAsia" w:ascii="Arial" w:hAnsi="Arial" w:eastAsia="宋体" w:cs="Arial"/>
        </w:rPr>
        <w:t>器械的实质等同性比较</w:t>
      </w:r>
    </w:p>
    <w:p w14:paraId="072F500A">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重新分类的请愿</w:t>
      </w:r>
      <w:r>
        <w:rPr>
          <w:rFonts w:ascii="Arial" w:hAnsi="Arial" w:eastAsia="宋体" w:cs="Arial"/>
        </w:rPr>
        <w:t>书</w:t>
      </w:r>
      <w:r>
        <w:rPr>
          <w:rFonts w:hint="eastAsia" w:ascii="Arial" w:hAnsi="Arial" w:eastAsia="宋体" w:cs="Arial"/>
        </w:rPr>
        <w:t>和</w:t>
      </w:r>
      <w:r>
        <w:rPr>
          <w:rFonts w:ascii="Arial" w:hAnsi="Arial" w:eastAsia="宋体" w:cs="Arial"/>
        </w:rPr>
        <w:t>FDA</w:t>
      </w:r>
      <w:r>
        <w:rPr>
          <w:rFonts w:hint="eastAsia" w:ascii="Arial" w:hAnsi="Arial" w:eastAsia="宋体" w:cs="Arial"/>
        </w:rPr>
        <w:t>关于</w:t>
      </w:r>
      <w:r>
        <w:rPr>
          <w:rFonts w:ascii="Arial" w:hAnsi="Arial" w:eastAsia="宋体" w:cs="Arial"/>
        </w:rPr>
        <w:t>HUAM</w:t>
      </w:r>
      <w:r>
        <w:rPr>
          <w:rFonts w:hint="eastAsia" w:ascii="Arial" w:hAnsi="Arial" w:eastAsia="宋体" w:cs="Arial"/>
        </w:rPr>
        <w:t>的最终规定</w:t>
      </w:r>
      <w:r>
        <w:rPr>
          <w:rFonts w:ascii="Arial" w:hAnsi="Arial" w:eastAsia="宋体" w:cs="Arial"/>
        </w:rPr>
        <w:t>提供</w:t>
      </w:r>
      <w:r>
        <w:rPr>
          <w:rFonts w:hint="eastAsia" w:ascii="Arial" w:hAnsi="Arial" w:eastAsia="宋体" w:cs="Arial"/>
        </w:rPr>
        <w:t>该器械的</w:t>
      </w:r>
      <w:r>
        <w:rPr>
          <w:rFonts w:ascii="Arial" w:hAnsi="Arial" w:eastAsia="宋体" w:cs="Arial"/>
          <w:i/>
        </w:rPr>
        <w:t>标识</w:t>
      </w:r>
      <w:r>
        <w:rPr>
          <w:rFonts w:hint="eastAsia" w:ascii="Arial" w:hAnsi="Arial" w:eastAsia="宋体" w:cs="Arial"/>
        </w:rPr>
        <w:t>（</w:t>
      </w:r>
      <w:r>
        <w:rPr>
          <w:rFonts w:ascii="Arial" w:hAnsi="Arial" w:eastAsia="宋体" w:cs="Arial"/>
        </w:rPr>
        <w:t>66 FR 14074</w:t>
      </w:r>
      <w:r>
        <w:rPr>
          <w:rFonts w:hint="eastAsia" w:ascii="Arial" w:hAnsi="Arial" w:eastAsia="宋体" w:cs="Arial"/>
        </w:rPr>
        <w:t>），您可以参考这些来源进行</w:t>
      </w:r>
      <w:r>
        <w:rPr>
          <w:rFonts w:ascii="Arial" w:hAnsi="Arial" w:eastAsia="宋体" w:cs="Arial"/>
        </w:rPr>
        <w:t>比较器械的</w:t>
      </w:r>
      <w:r>
        <w:rPr>
          <w:rFonts w:hint="eastAsia" w:ascii="Arial" w:hAnsi="Arial" w:eastAsia="宋体" w:cs="Arial"/>
        </w:rPr>
        <w:t>比较。或者，由于</w:t>
      </w:r>
      <w:r>
        <w:rPr>
          <w:rFonts w:ascii="Arial" w:hAnsi="Arial" w:eastAsia="宋体" w:cs="Arial"/>
        </w:rPr>
        <w:t>FDA</w:t>
      </w:r>
      <w:r>
        <w:rPr>
          <w:rFonts w:hint="eastAsia" w:ascii="Arial" w:hAnsi="Arial" w:eastAsia="宋体" w:cs="Arial"/>
        </w:rPr>
        <w:t>许可了</w:t>
      </w:r>
      <w:r>
        <w:rPr>
          <w:rFonts w:ascii="Arial" w:hAnsi="Arial" w:eastAsia="宋体" w:cs="Arial"/>
        </w:rPr>
        <w:t>HUAM</w:t>
      </w:r>
      <w:r>
        <w:rPr>
          <w:rFonts w:hint="eastAsia" w:ascii="Arial" w:hAnsi="Arial" w:eastAsia="宋体" w:cs="Arial"/>
        </w:rPr>
        <w:t>的</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），根据重新分类，那些</w:t>
      </w:r>
      <w:r>
        <w:rPr>
          <w:rFonts w:ascii="Arial" w:hAnsi="Arial" w:eastAsia="宋体" w:cs="Arial"/>
        </w:rPr>
        <w:t>经</w:t>
      </w:r>
      <w:r>
        <w:rPr>
          <w:rFonts w:hint="eastAsia" w:ascii="Arial" w:hAnsi="Arial" w:eastAsia="宋体" w:cs="Arial"/>
        </w:rPr>
        <w:t>许可的</w:t>
      </w:r>
      <w:r>
        <w:rPr>
          <w:rFonts w:ascii="Arial" w:hAnsi="Arial" w:eastAsia="宋体" w:cs="Arial"/>
        </w:rPr>
        <w:t>HUAM</w:t>
      </w:r>
      <w:r>
        <w:rPr>
          <w:rFonts w:hint="eastAsia" w:ascii="Arial" w:hAnsi="Arial" w:eastAsia="宋体" w:cs="Arial"/>
        </w:rPr>
        <w:t>也可以作为</w:t>
      </w:r>
      <w:r>
        <w:rPr>
          <w:rFonts w:ascii="Arial" w:hAnsi="Arial" w:eastAsia="宋体" w:cs="Arial"/>
        </w:rPr>
        <w:t>比较</w:t>
      </w:r>
      <w:r>
        <w:rPr>
          <w:rFonts w:hint="eastAsia" w:ascii="Arial" w:hAnsi="Arial" w:eastAsia="宋体" w:cs="Arial"/>
        </w:rPr>
        <w:t>器械。有关</w:t>
      </w:r>
      <w:r>
        <w:rPr>
          <w:rFonts w:ascii="Arial" w:hAnsi="Arial" w:eastAsia="宋体" w:cs="Arial"/>
        </w:rPr>
        <w:t>比较</w:t>
      </w:r>
      <w:r>
        <w:rPr>
          <w:rFonts w:hint="eastAsia" w:ascii="Arial" w:hAnsi="Arial" w:eastAsia="宋体" w:cs="Arial"/>
        </w:rPr>
        <w:t>器械的详细信息，请参见这些文件。</w:t>
      </w:r>
    </w:p>
    <w:p w14:paraId="4BF298AE">
      <w:pPr>
        <w:pStyle w:val="50"/>
        <w:keepNext/>
        <w:keepLines/>
        <w:numPr>
          <w:ilvl w:val="0"/>
          <w:numId w:val="9"/>
        </w:numPr>
        <w:shd w:val="clear" w:color="auto" w:fill="auto"/>
        <w:tabs>
          <w:tab w:val="left" w:pos="892"/>
        </w:tabs>
        <w:adjustRightInd w:val="0"/>
        <w:snapToGrid w:val="0"/>
        <w:spacing w:before="0" w:after="163" w:afterLines="50" w:line="300" w:lineRule="auto"/>
        <w:ind w:left="837" w:leftChars="200" w:hanging="357"/>
        <w:rPr>
          <w:rFonts w:ascii="Arial" w:hAnsi="Arial" w:eastAsia="宋体" w:cs="Arial"/>
          <w:sz w:val="24"/>
          <w:szCs w:val="24"/>
        </w:rPr>
      </w:pPr>
      <w:r>
        <w:rPr>
          <w:rFonts w:hint="eastAsia" w:ascii="Arial" w:hAnsi="Arial" w:eastAsia="宋体" w:cs="Arial"/>
          <w:sz w:val="24"/>
          <w:szCs w:val="24"/>
        </w:rPr>
        <w:t>行业共识标准的使用</w:t>
      </w:r>
    </w:p>
    <w:p w14:paraId="19847BDF">
      <w:pPr>
        <w:pStyle w:val="44"/>
        <w:adjustRightInd w:val="0"/>
        <w:snapToGrid w:val="0"/>
        <w:spacing w:before="0" w:after="163" w:afterLines="50" w:line="300" w:lineRule="auto"/>
        <w:ind w:left="960" w:leftChars="400" w:firstLine="0"/>
        <w:rPr>
          <w:rFonts w:ascii="Arial" w:hAnsi="Arial" w:eastAsia="宋体" w:cs="Arial"/>
        </w:rPr>
      </w:pPr>
      <w:r>
        <w:rPr>
          <w:rFonts w:hint="eastAsia" w:ascii="Arial" w:hAnsi="Arial" w:eastAsia="宋体" w:cs="Arial"/>
        </w:rPr>
        <w:t>您可以通过使用符合临床前安全性和有效性的行业共识标准来简化您的提交，并促进</w:t>
      </w:r>
      <w:r>
        <w:rPr>
          <w:rFonts w:ascii="Arial" w:hAnsi="Arial" w:eastAsia="宋体" w:cs="Arial"/>
        </w:rPr>
        <w:t>FDA</w:t>
      </w:r>
      <w:r>
        <w:rPr>
          <w:rFonts w:hint="eastAsia" w:ascii="Arial" w:hAnsi="Arial" w:eastAsia="宋体" w:cs="Arial"/>
        </w:rPr>
        <w:t>的审查。</w:t>
      </w:r>
      <w:r>
        <w:rPr>
          <w:rFonts w:ascii="Arial" w:hAnsi="Arial" w:eastAsia="宋体" w:cs="Arial"/>
        </w:rPr>
        <w:t>FDA</w:t>
      </w:r>
      <w:r>
        <w:rPr>
          <w:rFonts w:hint="eastAsia" w:ascii="Arial" w:hAnsi="Arial" w:eastAsia="宋体" w:cs="Arial"/>
        </w:rPr>
        <w:t>已经正式认可了相当多的此类标准，因其提供了安全性和有效性的合理保证。有关使用共识标准的详细信息，请参见</w:t>
      </w:r>
      <w:r>
        <w:rPr>
          <w:rFonts w:ascii="Arial" w:hAnsi="Arial" w:eastAsia="宋体" w:cs="Arial"/>
        </w:rPr>
        <w:t>FDA</w:t>
      </w:r>
      <w:r>
        <w:rPr>
          <w:rFonts w:hint="eastAsia" w:ascii="Arial" w:hAnsi="Arial" w:eastAsia="宋体" w:cs="Arial"/>
        </w:rPr>
        <w:t>文件</w:t>
      </w:r>
      <w:r>
        <w:rPr>
          <w:rFonts w:ascii="Arial" w:hAnsi="Arial" w:eastAsia="宋体" w:cs="Arial"/>
        </w:rPr>
        <w:t>“</w:t>
      </w:r>
      <w:r>
        <w:rPr>
          <w:rFonts w:hint="eastAsia" w:ascii="Arial" w:hAnsi="Arial" w:eastAsia="宋体" w:cs="Arial"/>
          <w:i/>
          <w:color w:val="0000FF"/>
        </w:rPr>
        <w:t>共识标准的认可和使用指</w:t>
      </w:r>
      <w:r>
        <w:rPr>
          <w:rFonts w:hint="eastAsia" w:ascii="Arial" w:hAnsi="Arial" w:eastAsia="宋体" w:cs="Arial"/>
          <w:i/>
          <w:color w:val="0070C0"/>
        </w:rPr>
        <w:t>南</w:t>
      </w:r>
      <w:r>
        <w:rPr>
          <w:rFonts w:hint="eastAsia" w:ascii="Arial" w:hAnsi="Arial" w:eastAsia="宋体" w:cs="Arial"/>
        </w:rPr>
        <w:t>”（参考文献</w:t>
      </w:r>
      <w:r>
        <w:rPr>
          <w:rFonts w:ascii="Arial" w:hAnsi="Arial" w:eastAsia="宋体" w:cs="Arial"/>
        </w:rPr>
        <w:t>B</w:t>
      </w:r>
      <w:r>
        <w:rPr>
          <w:rFonts w:hint="eastAsia" w:ascii="Arial" w:hAnsi="Arial" w:eastAsia="宋体" w:cs="Arial"/>
        </w:rPr>
        <w:t>）。该程序的基本大纲如下：</w:t>
      </w:r>
    </w:p>
    <w:p w14:paraId="7AE549CE">
      <w:pPr>
        <w:spacing w:after="0" w:line="240" w:lineRule="auto"/>
        <w:ind w:left="0" w:leftChars="0" w:right="0" w:rightChars="0"/>
        <w:rPr>
          <w:rFonts w:ascii="Arial" w:hAnsi="Arial" w:eastAsia="宋体" w:cs="Arial"/>
          <w:kern w:val="2"/>
          <w:szCs w:val="24"/>
        </w:rPr>
      </w:pPr>
      <w:r>
        <w:rPr>
          <w:rFonts w:ascii="Arial" w:hAnsi="Arial" w:eastAsia="宋体" w:cs="Arial"/>
        </w:rPr>
        <w:br w:type="page"/>
      </w:r>
    </w:p>
    <w:p w14:paraId="2503A5EA">
      <w:pPr>
        <w:pStyle w:val="44"/>
        <w:numPr>
          <w:ilvl w:val="0"/>
          <w:numId w:val="11"/>
        </w:numPr>
        <w:tabs>
          <w:tab w:val="left" w:pos="567"/>
        </w:tabs>
        <w:adjustRightInd w:val="0"/>
        <w:snapToGrid w:val="0"/>
        <w:spacing w:before="0" w:after="163" w:afterLines="50" w:line="300" w:lineRule="auto"/>
        <w:ind w:left="1680" w:leftChars="400" w:hanging="720" w:hangingChars="300"/>
        <w:rPr>
          <w:rFonts w:ascii="Arial" w:hAnsi="Arial" w:eastAsia="宋体" w:cs="Arial"/>
        </w:rPr>
      </w:pPr>
      <w:r>
        <w:rPr>
          <w:rFonts w:hint="eastAsia" w:ascii="Arial" w:hAnsi="Arial" w:eastAsia="宋体" w:cs="Arial"/>
        </w:rPr>
        <w:t>如果您所提议的器械符合</w:t>
      </w:r>
      <w:r>
        <w:rPr>
          <w:rFonts w:ascii="Arial" w:hAnsi="Arial" w:eastAsia="宋体" w:cs="Arial"/>
        </w:rPr>
        <w:t>FDA</w:t>
      </w:r>
      <w:r>
        <w:rPr>
          <w:rFonts w:hint="eastAsia" w:ascii="Arial" w:hAnsi="Arial" w:eastAsia="宋体" w:cs="Arial"/>
        </w:rPr>
        <w:t>认可的标准，则通常只需提交符合性声明来代替详细的安全性和有效性数据。</w:t>
      </w:r>
    </w:p>
    <w:p w14:paraId="6F557640">
      <w:pPr>
        <w:pStyle w:val="44"/>
        <w:numPr>
          <w:ilvl w:val="0"/>
          <w:numId w:val="11"/>
        </w:numPr>
        <w:tabs>
          <w:tab w:val="left" w:pos="567"/>
        </w:tabs>
        <w:adjustRightInd w:val="0"/>
        <w:snapToGrid w:val="0"/>
        <w:spacing w:before="0" w:after="163" w:afterLines="50" w:line="300" w:lineRule="auto"/>
        <w:ind w:left="1680" w:leftChars="400" w:hanging="720" w:hangingChars="300"/>
        <w:rPr>
          <w:rFonts w:ascii="Arial" w:hAnsi="Arial" w:eastAsia="宋体" w:cs="Arial"/>
        </w:rPr>
      </w:pPr>
      <w:r>
        <w:rPr>
          <w:rFonts w:hint="eastAsia" w:ascii="Arial" w:hAnsi="Arial" w:eastAsia="宋体" w:cs="Arial"/>
        </w:rPr>
        <w:t>如果您在提交时尚未完成符合性评估，您的意向声明可能足以获得批准。</w:t>
      </w:r>
    </w:p>
    <w:p w14:paraId="6738BC94">
      <w:pPr>
        <w:pStyle w:val="44"/>
        <w:numPr>
          <w:ilvl w:val="0"/>
          <w:numId w:val="11"/>
        </w:numPr>
        <w:tabs>
          <w:tab w:val="left" w:pos="567"/>
        </w:tabs>
        <w:adjustRightInd w:val="0"/>
        <w:snapToGrid w:val="0"/>
        <w:spacing w:before="0" w:after="163" w:afterLines="50" w:line="300" w:lineRule="auto"/>
        <w:ind w:left="1680" w:leftChars="400" w:hanging="720" w:hangingChars="300"/>
        <w:rPr>
          <w:rFonts w:ascii="Arial" w:hAnsi="Arial" w:eastAsia="宋体" w:cs="Arial"/>
        </w:rPr>
      </w:pPr>
      <w:r>
        <w:rPr>
          <w:rFonts w:hint="eastAsia" w:ascii="Arial" w:hAnsi="Arial" w:eastAsia="宋体" w:cs="Arial"/>
        </w:rPr>
        <w:t>在某些情况下，可能需要在您的符合性声明中包含指定的信息。例如，当标准中指定了测试方法，但没有提供性能限度时，应描述并证明您的器械所采用的性能限度。</w:t>
      </w:r>
    </w:p>
    <w:p w14:paraId="3F223B1B">
      <w:pPr>
        <w:pStyle w:val="44"/>
        <w:numPr>
          <w:ilvl w:val="0"/>
          <w:numId w:val="11"/>
        </w:numPr>
        <w:shd w:val="clear" w:color="auto" w:fill="auto"/>
        <w:tabs>
          <w:tab w:val="left" w:pos="567"/>
        </w:tabs>
        <w:adjustRightInd w:val="0"/>
        <w:snapToGrid w:val="0"/>
        <w:spacing w:before="0" w:after="163" w:afterLines="50" w:line="300" w:lineRule="auto"/>
        <w:ind w:left="1680" w:leftChars="400" w:hanging="720" w:hangingChars="300"/>
        <w:jc w:val="left"/>
        <w:rPr>
          <w:rFonts w:ascii="Arial" w:hAnsi="Arial" w:eastAsia="宋体" w:cs="Arial"/>
        </w:rPr>
      </w:pPr>
      <w:r>
        <w:rPr>
          <w:rFonts w:hint="eastAsia" w:ascii="Arial" w:hAnsi="Arial" w:eastAsia="宋体" w:cs="Arial"/>
        </w:rPr>
        <w:t>任何省略的测试或偏离所选标准的要求均应附有适当的理由。</w:t>
      </w:r>
    </w:p>
    <w:p w14:paraId="4DDB9079">
      <w:pPr>
        <w:pStyle w:val="50"/>
        <w:keepNext/>
        <w:keepLines/>
        <w:numPr>
          <w:ilvl w:val="0"/>
          <w:numId w:val="9"/>
        </w:numPr>
        <w:shd w:val="clear" w:color="auto" w:fill="auto"/>
        <w:tabs>
          <w:tab w:val="left" w:pos="892"/>
        </w:tabs>
        <w:adjustRightInd w:val="0"/>
        <w:snapToGrid w:val="0"/>
        <w:spacing w:before="0" w:after="163" w:afterLines="50" w:line="300" w:lineRule="auto"/>
        <w:ind w:left="837" w:leftChars="200" w:hanging="357"/>
        <w:rPr>
          <w:rFonts w:ascii="Arial" w:hAnsi="Arial" w:eastAsia="宋体" w:cs="Arial"/>
          <w:sz w:val="24"/>
          <w:szCs w:val="24"/>
        </w:rPr>
      </w:pPr>
      <w:r>
        <w:rPr>
          <w:rFonts w:hint="eastAsia" w:ascii="Arial" w:hAnsi="Arial" w:eastAsia="宋体" w:cs="Arial"/>
          <w:sz w:val="24"/>
          <w:szCs w:val="24"/>
        </w:rPr>
        <w:t>针对</w:t>
      </w:r>
      <w:r>
        <w:rPr>
          <w:rFonts w:ascii="Arial" w:hAnsi="Arial" w:eastAsia="宋体" w:cs="Arial"/>
          <w:sz w:val="24"/>
          <w:szCs w:val="24"/>
        </w:rPr>
        <w:t>HUAM</w:t>
      </w:r>
      <w:r>
        <w:rPr>
          <w:rFonts w:hint="eastAsia" w:ascii="Arial" w:hAnsi="Arial" w:eastAsia="宋体" w:cs="Arial"/>
          <w:sz w:val="24"/>
          <w:szCs w:val="24"/>
        </w:rPr>
        <w:t>的临床前关注点</w:t>
      </w:r>
    </w:p>
    <w:p w14:paraId="382D8936">
      <w:pPr>
        <w:pStyle w:val="44"/>
        <w:shd w:val="clear" w:color="auto" w:fill="auto"/>
        <w:adjustRightInd w:val="0"/>
        <w:snapToGrid w:val="0"/>
        <w:spacing w:before="0" w:after="163" w:afterLines="50" w:line="300" w:lineRule="auto"/>
        <w:ind w:left="960" w:leftChars="400" w:firstLine="0"/>
        <w:rPr>
          <w:rFonts w:ascii="Arial" w:hAnsi="Arial" w:eastAsia="宋体" w:cs="Arial"/>
        </w:rPr>
      </w:pPr>
      <w:r>
        <w:rPr>
          <w:rFonts w:ascii="Arial" w:hAnsi="Arial" w:eastAsia="宋体" w:cs="Arial"/>
        </w:rPr>
        <w:t>FDA</w:t>
      </w:r>
      <w:r>
        <w:rPr>
          <w:rFonts w:hint="eastAsia" w:ascii="Arial" w:hAnsi="Arial" w:eastAsia="宋体" w:cs="Arial"/>
        </w:rPr>
        <w:t>有一些针对家用子宫活动监测器（</w:t>
      </w:r>
      <w:r>
        <w:rPr>
          <w:rFonts w:ascii="Arial" w:hAnsi="Arial" w:eastAsia="宋体" w:cs="Arial"/>
        </w:rPr>
        <w:t>HUAM</w:t>
      </w:r>
      <w:r>
        <w:rPr>
          <w:rFonts w:hint="eastAsia" w:ascii="Arial" w:hAnsi="Arial" w:eastAsia="宋体" w:cs="Arial"/>
        </w:rPr>
        <w:t>）的关注点。在本节中，我们确定了可能适用的特定的</w:t>
      </w:r>
      <w:r>
        <w:rPr>
          <w:rFonts w:ascii="Arial" w:hAnsi="Arial" w:eastAsia="宋体" w:cs="Arial"/>
        </w:rPr>
        <w:t>FDA</w:t>
      </w:r>
      <w:r>
        <w:rPr>
          <w:rFonts w:hint="eastAsia" w:ascii="Arial" w:hAnsi="Arial" w:eastAsia="宋体" w:cs="Arial"/>
        </w:rPr>
        <w:t>认可标准，并讨论这些标准对</w:t>
      </w:r>
      <w:r>
        <w:rPr>
          <w:rFonts w:ascii="Arial" w:hAnsi="Arial" w:eastAsia="宋体" w:cs="Arial"/>
        </w:rPr>
        <w:t>HUAM</w:t>
      </w:r>
      <w:r>
        <w:rPr>
          <w:rFonts w:hint="eastAsia" w:ascii="Arial" w:hAnsi="Arial" w:eastAsia="宋体" w:cs="Arial"/>
        </w:rPr>
        <w:t>适用性的局限性和关注点。我们还讨论了安全性和有效性方面的问题，这些问题并非以任何已知的标准来解决，而应</w:t>
      </w:r>
      <w:r>
        <w:rPr>
          <w:rFonts w:ascii="Arial" w:hAnsi="Arial" w:eastAsia="宋体" w:cs="Arial"/>
        </w:rPr>
        <w:t>包含</w:t>
      </w:r>
      <w:r>
        <w:rPr>
          <w:rFonts w:hint="eastAsia" w:ascii="Arial" w:hAnsi="Arial" w:eastAsia="宋体" w:cs="Arial"/>
        </w:rPr>
        <w:t>在您的提交中。</w:t>
      </w:r>
    </w:p>
    <w:p w14:paraId="46A94C99">
      <w:pPr>
        <w:pStyle w:val="44"/>
        <w:numPr>
          <w:ilvl w:val="0"/>
          <w:numId w:val="12"/>
        </w:numPr>
        <w:shd w:val="clear" w:color="auto" w:fill="auto"/>
        <w:adjustRightInd w:val="0"/>
        <w:snapToGrid w:val="0"/>
        <w:spacing w:before="0" w:after="163" w:afterLines="50" w:line="300" w:lineRule="auto"/>
        <w:ind w:left="1317" w:leftChars="400" w:hanging="357"/>
        <w:jc w:val="left"/>
        <w:rPr>
          <w:rFonts w:ascii="Arial" w:hAnsi="Arial" w:eastAsia="宋体" w:cs="Arial"/>
        </w:rPr>
      </w:pPr>
      <w:r>
        <w:rPr>
          <w:rFonts w:hint="eastAsia" w:ascii="Arial" w:hAnsi="Arial" w:eastAsia="宋体" w:cs="Arial"/>
        </w:rPr>
        <w:t>安全性的一般建议</w:t>
      </w:r>
    </w:p>
    <w:p w14:paraId="7B95DC2F">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许多</w:t>
      </w:r>
      <w:r>
        <w:rPr>
          <w:rFonts w:ascii="Arial" w:hAnsi="Arial" w:eastAsia="宋体" w:cs="Arial"/>
        </w:rPr>
        <w:t>HUAM</w:t>
      </w:r>
      <w:r>
        <w:rPr>
          <w:rFonts w:hint="eastAsia" w:ascii="Arial" w:hAnsi="Arial" w:eastAsia="宋体" w:cs="Arial"/>
        </w:rPr>
        <w:t>的安全性问题在以下标准中均有涵盖：</w:t>
      </w:r>
      <w:r>
        <w:rPr>
          <w:rFonts w:ascii="Arial" w:hAnsi="Arial" w:eastAsia="宋体" w:cs="Arial"/>
        </w:rPr>
        <w:t>FDA</w:t>
      </w:r>
      <w:r>
        <w:rPr>
          <w:rFonts w:hint="eastAsia" w:ascii="Arial" w:hAnsi="Arial" w:eastAsia="宋体" w:cs="Arial"/>
        </w:rPr>
        <w:t>认可标准、国际电工委员会（</w:t>
      </w:r>
      <w:r>
        <w:rPr>
          <w:rFonts w:ascii="Arial" w:hAnsi="Arial" w:eastAsia="宋体" w:cs="Arial"/>
        </w:rPr>
        <w:t>IEC</w:t>
      </w:r>
      <w:r>
        <w:rPr>
          <w:rFonts w:hint="eastAsia" w:ascii="Arial" w:hAnsi="Arial" w:eastAsia="宋体" w:cs="Arial"/>
        </w:rPr>
        <w:t>）</w:t>
      </w:r>
      <w:r>
        <w:rPr>
          <w:rFonts w:ascii="Arial" w:hAnsi="Arial" w:eastAsia="宋体" w:cs="Arial"/>
        </w:rPr>
        <w:t>60601-1</w:t>
      </w:r>
      <w:r>
        <w:rPr>
          <w:rFonts w:hint="eastAsia" w:ascii="Arial" w:hAnsi="Arial" w:eastAsia="宋体" w:cs="Arial"/>
        </w:rPr>
        <w:t>：医用电气设备</w:t>
      </w:r>
      <w:r>
        <w:rPr>
          <w:rFonts w:ascii="Arial" w:hAnsi="Arial" w:eastAsia="宋体" w:cs="Arial"/>
        </w:rPr>
        <w:t xml:space="preserve"> - </w:t>
      </w:r>
      <w:r>
        <w:rPr>
          <w:rFonts w:hint="eastAsia" w:ascii="Arial" w:hAnsi="Arial" w:eastAsia="宋体" w:cs="Arial"/>
        </w:rPr>
        <w:t>第</w:t>
      </w:r>
      <w:r>
        <w:rPr>
          <w:rFonts w:ascii="Arial" w:hAnsi="Arial" w:eastAsia="宋体" w:cs="Arial"/>
        </w:rPr>
        <w:t>1</w:t>
      </w:r>
      <w:r>
        <w:rPr>
          <w:rFonts w:hint="eastAsia" w:ascii="Arial" w:hAnsi="Arial" w:eastAsia="宋体" w:cs="Arial"/>
        </w:rPr>
        <w:t>部分：安全性通用要求，修订版</w:t>
      </w:r>
      <w:r>
        <w:rPr>
          <w:rFonts w:ascii="Arial" w:hAnsi="Arial" w:eastAsia="宋体" w:cs="Arial"/>
        </w:rPr>
        <w:t>1（1991-11）</w:t>
      </w:r>
      <w:r>
        <w:rPr>
          <w:rFonts w:hint="eastAsia" w:ascii="Arial" w:hAnsi="Arial" w:eastAsia="宋体" w:cs="Arial"/>
        </w:rPr>
        <w:t>，修订版</w:t>
      </w:r>
      <w:r>
        <w:rPr>
          <w:rFonts w:ascii="Arial" w:hAnsi="Arial" w:eastAsia="宋体" w:cs="Arial"/>
        </w:rPr>
        <w:t>2（1995-03）</w:t>
      </w:r>
      <w:r>
        <w:rPr>
          <w:rFonts w:hint="eastAsia" w:ascii="Arial" w:hAnsi="Arial" w:eastAsia="宋体" w:cs="Arial"/>
        </w:rPr>
        <w:t>。该标准涵盖了广泛的器械危害，包括电气安全、机械、温度过高、火灾、液体进入、溢出和清洁。除非您的提交中另有明确规定，否则符合该标准的制造商也应符合</w:t>
      </w:r>
      <w:r>
        <w:rPr>
          <w:rFonts w:ascii="Arial" w:hAnsi="Arial" w:eastAsia="宋体" w:cs="Arial"/>
        </w:rPr>
        <w:t>60601</w:t>
      </w:r>
      <w:r>
        <w:rPr>
          <w:rFonts w:hint="eastAsia" w:ascii="Arial" w:hAnsi="Arial" w:eastAsia="宋体" w:cs="Arial"/>
        </w:rPr>
        <w:t>系列的并列标准。并列标准包括：</w:t>
      </w:r>
    </w:p>
    <w:p w14:paraId="24D309BF">
      <w:pPr>
        <w:pStyle w:val="44"/>
        <w:shd w:val="clear" w:color="auto" w:fill="auto"/>
        <w:adjustRightInd w:val="0"/>
        <w:snapToGrid w:val="0"/>
        <w:spacing w:before="0" w:after="163" w:afterLines="50" w:line="300" w:lineRule="auto"/>
        <w:ind w:firstLine="0"/>
        <w:jc w:val="left"/>
        <w:rPr>
          <w:rFonts w:ascii="Arial" w:hAnsi="Arial" w:eastAsia="宋体" w:cs="Arial"/>
        </w:rPr>
      </w:pPr>
    </w:p>
    <w:p w14:paraId="2DE0C96E">
      <w:pPr>
        <w:snapToGrid w:val="0"/>
        <w:spacing w:after="163" w:afterLines="50" w:line="300" w:lineRule="auto"/>
        <w:ind w:left="0" w:leftChars="0" w:right="0" w:rightChars="0"/>
        <w:rPr>
          <w:rFonts w:ascii="Arial" w:hAnsi="Arial" w:eastAsia="宋体" w:cs="Arial"/>
          <w:kern w:val="2"/>
          <w:szCs w:val="24"/>
        </w:rPr>
      </w:pPr>
      <w:r>
        <w:rPr>
          <w:rFonts w:ascii="Arial" w:hAnsi="Arial" w:eastAsia="宋体" w:cs="Arial"/>
          <w:szCs w:val="24"/>
        </w:rPr>
        <w:br w:type="page"/>
      </w:r>
    </w:p>
    <w:p w14:paraId="78BB357E">
      <w:pPr>
        <w:pStyle w:val="44"/>
        <w:numPr>
          <w:ilvl w:val="0"/>
          <w:numId w:val="11"/>
        </w:numPr>
        <w:tabs>
          <w:tab w:val="left" w:pos="567"/>
        </w:tabs>
        <w:adjustRightInd w:val="0"/>
        <w:snapToGrid w:val="0"/>
        <w:spacing w:before="0" w:after="163" w:afterLines="50" w:line="300" w:lineRule="auto"/>
        <w:ind w:left="2160" w:leftChars="600" w:hanging="720" w:hangingChars="300"/>
        <w:rPr>
          <w:rFonts w:ascii="Arial" w:hAnsi="Arial" w:eastAsia="宋体" w:cs="Arial"/>
        </w:rPr>
      </w:pPr>
      <w:r>
        <w:rPr>
          <w:rFonts w:ascii="Arial" w:hAnsi="Arial" w:eastAsia="宋体" w:cs="Arial"/>
        </w:rPr>
        <w:t>IEC 60601-1-1</w:t>
      </w:r>
      <w:r>
        <w:rPr>
          <w:rFonts w:hint="eastAsia" w:ascii="Arial" w:hAnsi="Arial" w:eastAsia="宋体" w:cs="Arial"/>
        </w:rPr>
        <w:t>：医用电气设备</w:t>
      </w:r>
      <w:r>
        <w:rPr>
          <w:rFonts w:ascii="Arial" w:hAnsi="Arial" w:eastAsia="宋体" w:cs="Arial"/>
        </w:rPr>
        <w:t xml:space="preserve">- </w:t>
      </w:r>
      <w:r>
        <w:rPr>
          <w:rFonts w:hint="eastAsia" w:ascii="Arial" w:hAnsi="Arial" w:eastAsia="宋体" w:cs="Arial"/>
        </w:rPr>
        <w:t>第</w:t>
      </w:r>
      <w:r>
        <w:rPr>
          <w:rFonts w:ascii="Arial" w:hAnsi="Arial" w:eastAsia="宋体" w:cs="Arial"/>
        </w:rPr>
        <w:t>1</w:t>
      </w:r>
      <w:r>
        <w:rPr>
          <w:rFonts w:hint="eastAsia" w:ascii="Arial" w:hAnsi="Arial" w:eastAsia="宋体" w:cs="Arial"/>
        </w:rPr>
        <w:t>部分：安全性通用要求；医用电气系统的安全性要求</w:t>
      </w:r>
      <w:r>
        <w:rPr>
          <w:rFonts w:ascii="Arial" w:hAnsi="Arial" w:eastAsia="宋体" w:cs="Arial"/>
        </w:rPr>
        <w:t>（1992 – 06）</w:t>
      </w:r>
      <w:r>
        <w:rPr>
          <w:rFonts w:hint="eastAsia" w:ascii="Arial" w:hAnsi="Arial" w:eastAsia="宋体" w:cs="Arial"/>
        </w:rPr>
        <w:t>，修订版</w:t>
      </w:r>
      <w:r>
        <w:rPr>
          <w:rFonts w:ascii="Arial" w:hAnsi="Arial" w:eastAsia="宋体" w:cs="Arial"/>
        </w:rPr>
        <w:t>1（1995 – 11）</w:t>
      </w:r>
      <w:r>
        <w:rPr>
          <w:rFonts w:hint="eastAsia" w:ascii="Arial" w:hAnsi="Arial" w:eastAsia="宋体" w:cs="Arial"/>
        </w:rPr>
        <w:t>（通则）</w:t>
      </w:r>
    </w:p>
    <w:p w14:paraId="27D7BB98">
      <w:pPr>
        <w:pStyle w:val="44"/>
        <w:numPr>
          <w:ilvl w:val="0"/>
          <w:numId w:val="11"/>
        </w:numPr>
        <w:tabs>
          <w:tab w:val="left" w:pos="567"/>
        </w:tabs>
        <w:adjustRightInd w:val="0"/>
        <w:snapToGrid w:val="0"/>
        <w:spacing w:before="0" w:after="163" w:afterLines="50" w:line="300" w:lineRule="auto"/>
        <w:ind w:left="2160" w:leftChars="600" w:hanging="720" w:hangingChars="300"/>
        <w:rPr>
          <w:rFonts w:ascii="Arial" w:hAnsi="Arial" w:eastAsia="宋体" w:cs="Arial"/>
        </w:rPr>
      </w:pPr>
      <w:r>
        <w:rPr>
          <w:rFonts w:ascii="Arial" w:hAnsi="Arial" w:eastAsia="宋体" w:cs="Arial"/>
        </w:rPr>
        <w:t>IEC 60601-1-2</w:t>
      </w:r>
      <w:r>
        <w:rPr>
          <w:rFonts w:hint="eastAsia" w:ascii="Arial" w:hAnsi="Arial" w:eastAsia="宋体" w:cs="Arial"/>
        </w:rPr>
        <w:t>：医用电气设备</w:t>
      </w:r>
      <w:r>
        <w:rPr>
          <w:rFonts w:ascii="Arial" w:hAnsi="Arial" w:eastAsia="宋体" w:cs="Arial"/>
        </w:rPr>
        <w:t xml:space="preserve">- </w:t>
      </w:r>
      <w:r>
        <w:rPr>
          <w:rFonts w:hint="eastAsia" w:ascii="Arial" w:hAnsi="Arial" w:eastAsia="宋体" w:cs="Arial"/>
        </w:rPr>
        <w:t>第</w:t>
      </w:r>
      <w:r>
        <w:rPr>
          <w:rFonts w:ascii="Arial" w:hAnsi="Arial" w:eastAsia="宋体" w:cs="Arial"/>
        </w:rPr>
        <w:t>1</w:t>
      </w:r>
      <w:r>
        <w:rPr>
          <w:rFonts w:hint="eastAsia" w:ascii="Arial" w:hAnsi="Arial" w:eastAsia="宋体" w:cs="Arial"/>
        </w:rPr>
        <w:t>部分：安全性通用要求；电磁兼容性</w:t>
      </w:r>
      <w:r>
        <w:rPr>
          <w:rFonts w:ascii="Arial" w:hAnsi="Arial" w:eastAsia="宋体" w:cs="Arial"/>
        </w:rPr>
        <w:t xml:space="preserve"> - </w:t>
      </w:r>
      <w:r>
        <w:rPr>
          <w:rFonts w:hint="eastAsia" w:ascii="Arial" w:hAnsi="Arial" w:eastAsia="宋体" w:cs="Arial"/>
        </w:rPr>
        <w:t>要求与测试。</w:t>
      </w:r>
    </w:p>
    <w:p w14:paraId="225F3760">
      <w:pPr>
        <w:pStyle w:val="44"/>
        <w:numPr>
          <w:ilvl w:val="0"/>
          <w:numId w:val="11"/>
        </w:numPr>
        <w:tabs>
          <w:tab w:val="left" w:pos="567"/>
        </w:tabs>
        <w:adjustRightInd w:val="0"/>
        <w:snapToGrid w:val="0"/>
        <w:spacing w:before="0" w:after="163" w:afterLines="50" w:line="300" w:lineRule="auto"/>
        <w:ind w:left="2160" w:leftChars="600" w:hanging="720" w:hangingChars="300"/>
        <w:rPr>
          <w:rFonts w:ascii="Arial" w:hAnsi="Arial" w:eastAsia="宋体" w:cs="Arial"/>
        </w:rPr>
      </w:pPr>
      <w:r>
        <w:rPr>
          <w:rFonts w:ascii="Arial" w:hAnsi="Arial" w:eastAsia="宋体" w:cs="Arial"/>
        </w:rPr>
        <w:t>IEC 60601-1-4</w:t>
      </w:r>
      <w:r>
        <w:rPr>
          <w:rFonts w:hint="eastAsia" w:ascii="Arial" w:hAnsi="Arial" w:eastAsia="宋体" w:cs="Arial"/>
        </w:rPr>
        <w:t>：医用电气设备</w:t>
      </w:r>
      <w:r>
        <w:rPr>
          <w:rFonts w:ascii="Arial" w:hAnsi="Arial" w:eastAsia="宋体" w:cs="Arial"/>
        </w:rPr>
        <w:t xml:space="preserve">- </w:t>
      </w:r>
      <w:r>
        <w:rPr>
          <w:rFonts w:hint="eastAsia" w:ascii="Arial" w:hAnsi="Arial" w:eastAsia="宋体" w:cs="Arial"/>
        </w:rPr>
        <w:t>第</w:t>
      </w:r>
      <w:r>
        <w:rPr>
          <w:rFonts w:ascii="Arial" w:hAnsi="Arial" w:eastAsia="宋体" w:cs="Arial"/>
        </w:rPr>
        <w:t>1</w:t>
      </w:r>
      <w:r>
        <w:rPr>
          <w:rFonts w:hint="eastAsia" w:ascii="Arial" w:hAnsi="Arial" w:eastAsia="宋体" w:cs="Arial"/>
        </w:rPr>
        <w:t>部分：安全性通用要求；</w:t>
      </w:r>
      <w:r>
        <w:rPr>
          <w:rFonts w:ascii="Arial" w:hAnsi="Arial" w:eastAsia="宋体" w:cs="Arial"/>
        </w:rPr>
        <w:t xml:space="preserve">4. </w:t>
      </w:r>
      <w:r>
        <w:rPr>
          <w:rFonts w:hint="eastAsia" w:ascii="Arial" w:hAnsi="Arial" w:eastAsia="宋体" w:cs="Arial"/>
        </w:rPr>
        <w:t>并列标准：可编程电子医疗系统</w:t>
      </w:r>
    </w:p>
    <w:p w14:paraId="661269D3">
      <w:pPr>
        <w:pStyle w:val="44"/>
        <w:shd w:val="clear" w:color="auto" w:fill="auto"/>
        <w:adjustRightInd w:val="0"/>
        <w:snapToGrid w:val="0"/>
        <w:spacing w:before="0" w:after="163" w:afterLines="50" w:line="300" w:lineRule="auto"/>
        <w:ind w:firstLine="0"/>
        <w:jc w:val="left"/>
        <w:rPr>
          <w:rFonts w:ascii="Arial" w:hAnsi="Arial" w:eastAsia="宋体" w:cs="Arial"/>
        </w:rPr>
      </w:pPr>
    </w:p>
    <w:p w14:paraId="4C453A43">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然而，</w:t>
      </w:r>
      <w:r>
        <w:rPr>
          <w:rFonts w:ascii="Arial" w:hAnsi="Arial" w:eastAsia="宋体" w:cs="Arial"/>
        </w:rPr>
        <w:t>IEC 60601</w:t>
      </w:r>
      <w:r>
        <w:rPr>
          <w:rFonts w:hint="eastAsia" w:ascii="Arial" w:hAnsi="Arial" w:eastAsia="宋体" w:cs="Arial"/>
        </w:rPr>
        <w:t>系列标准的范围仅限于由经过培训的医护专业人员在临床环境中使用的医疗器械。因此，预期用于患者家中使用的</w:t>
      </w:r>
      <w:r>
        <w:rPr>
          <w:rFonts w:ascii="Arial" w:hAnsi="Arial" w:eastAsia="宋体" w:cs="Arial"/>
        </w:rPr>
        <w:t>HUAM</w:t>
      </w:r>
      <w:r>
        <w:rPr>
          <w:rFonts w:hint="eastAsia" w:ascii="Arial" w:hAnsi="Arial" w:eastAsia="宋体" w:cs="Arial"/>
        </w:rPr>
        <w:t>系统有一部分超出了</w:t>
      </w:r>
      <w:r>
        <w:rPr>
          <w:rFonts w:ascii="Arial" w:hAnsi="Arial" w:eastAsia="宋体" w:cs="Arial"/>
        </w:rPr>
        <w:t>IEC 60601</w:t>
      </w:r>
      <w:r>
        <w:rPr>
          <w:rFonts w:hint="eastAsia" w:ascii="Arial" w:hAnsi="Arial" w:eastAsia="宋体" w:cs="Arial"/>
        </w:rPr>
        <w:t>的范围。家庭使用造成的潜在问题范畴的</w:t>
      </w:r>
      <w:r>
        <w:rPr>
          <w:rFonts w:ascii="Arial" w:hAnsi="Arial" w:eastAsia="宋体" w:cs="Arial"/>
        </w:rPr>
        <w:t>示例</w:t>
      </w:r>
      <w:r>
        <w:rPr>
          <w:rFonts w:hint="eastAsia" w:ascii="Arial" w:hAnsi="Arial" w:eastAsia="宋体" w:cs="Arial"/>
        </w:rPr>
        <w:t>包括比临床</w:t>
      </w:r>
      <w:r>
        <w:rPr>
          <w:rFonts w:ascii="Arial" w:hAnsi="Arial" w:eastAsia="宋体" w:cs="Arial"/>
        </w:rPr>
        <w:t>应用</w:t>
      </w:r>
      <w:r>
        <w:rPr>
          <w:rFonts w:hint="eastAsia" w:ascii="Arial" w:hAnsi="Arial" w:eastAsia="宋体" w:cs="Arial"/>
        </w:rPr>
        <w:t>中常见的环境条件范围更宽、用户培训和教育的高度可变性以及与儿童和宠物密切接触的可能性增加。这些和类似的问题并未</w:t>
      </w:r>
      <w:r>
        <w:rPr>
          <w:rFonts w:ascii="Arial" w:hAnsi="Arial" w:eastAsia="宋体" w:cs="Arial"/>
        </w:rPr>
        <w:t>包含</w:t>
      </w:r>
      <w:r>
        <w:rPr>
          <w:rFonts w:hint="eastAsia" w:ascii="Arial" w:hAnsi="Arial" w:eastAsia="宋体" w:cs="Arial"/>
        </w:rPr>
        <w:t>在</w:t>
      </w:r>
      <w:r>
        <w:rPr>
          <w:rFonts w:ascii="Arial" w:hAnsi="Arial" w:eastAsia="宋体" w:cs="Arial"/>
        </w:rPr>
        <w:t>IEC 60601</w:t>
      </w:r>
      <w:r>
        <w:rPr>
          <w:rFonts w:hint="eastAsia" w:ascii="Arial" w:hAnsi="Arial" w:eastAsia="宋体" w:cs="Arial"/>
        </w:rPr>
        <w:t>中，应通过您的风险管理报告和支持性文件加以解决。</w:t>
      </w:r>
    </w:p>
    <w:p w14:paraId="0333F227">
      <w:pPr>
        <w:pStyle w:val="44"/>
        <w:shd w:val="clear" w:color="auto" w:fill="auto"/>
        <w:adjustRightInd w:val="0"/>
        <w:snapToGrid w:val="0"/>
        <w:spacing w:before="0" w:after="163" w:afterLines="50" w:line="300" w:lineRule="auto"/>
        <w:ind w:firstLine="0"/>
        <w:jc w:val="left"/>
        <w:rPr>
          <w:rFonts w:ascii="Arial" w:hAnsi="Arial" w:eastAsia="宋体" w:cs="Arial"/>
        </w:rPr>
      </w:pPr>
    </w:p>
    <w:p w14:paraId="7FC17A9E">
      <w:pPr>
        <w:pStyle w:val="44"/>
        <w:numPr>
          <w:ilvl w:val="0"/>
          <w:numId w:val="12"/>
        </w:numPr>
        <w:shd w:val="clear" w:color="auto" w:fill="auto"/>
        <w:adjustRightInd w:val="0"/>
        <w:snapToGrid w:val="0"/>
        <w:spacing w:before="0" w:after="163" w:afterLines="50" w:line="300" w:lineRule="auto"/>
        <w:ind w:left="1317" w:leftChars="400" w:hanging="357"/>
        <w:jc w:val="left"/>
        <w:rPr>
          <w:rFonts w:ascii="Arial" w:hAnsi="Arial" w:eastAsia="宋体" w:cs="Arial"/>
        </w:rPr>
      </w:pPr>
      <w:r>
        <w:rPr>
          <w:rFonts w:hint="eastAsia" w:ascii="Arial" w:hAnsi="Arial" w:eastAsia="宋体" w:cs="Arial"/>
        </w:rPr>
        <w:t>软件</w:t>
      </w:r>
    </w:p>
    <w:p w14:paraId="726889C9">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您应提供关于</w:t>
      </w:r>
      <w:r>
        <w:rPr>
          <w:rFonts w:ascii="Arial" w:hAnsi="Arial" w:eastAsia="宋体" w:cs="Arial"/>
        </w:rPr>
        <w:t>HUAM</w:t>
      </w:r>
      <w:r>
        <w:rPr>
          <w:rFonts w:hint="eastAsia" w:ascii="Arial" w:hAnsi="Arial" w:eastAsia="宋体" w:cs="Arial"/>
        </w:rPr>
        <w:t>系统中的软件如何执行的信息。有关</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）中的软件文件的更多信息，请参见</w:t>
      </w:r>
      <w:r>
        <w:rPr>
          <w:rFonts w:ascii="Arial" w:hAnsi="Arial" w:eastAsia="宋体" w:cs="Arial"/>
        </w:rPr>
        <w:t>FDA</w:t>
      </w:r>
      <w:r>
        <w:rPr>
          <w:rFonts w:hint="eastAsia" w:ascii="Arial" w:hAnsi="Arial" w:eastAsia="宋体" w:cs="Arial"/>
        </w:rPr>
        <w:t>文件</w:t>
      </w:r>
      <w:r>
        <w:rPr>
          <w:rFonts w:ascii="Arial" w:hAnsi="Arial" w:eastAsia="宋体" w:cs="Arial"/>
        </w:rPr>
        <w:t>“</w:t>
      </w:r>
      <w:r>
        <w:rPr>
          <w:rFonts w:hint="eastAsia" w:ascii="Arial" w:hAnsi="Arial" w:eastAsia="宋体" w:cs="Arial"/>
          <w:i/>
          <w:color w:val="0000FF"/>
        </w:rPr>
        <w:t>医疗器械上市前提交中所含软件内容的指南</w:t>
      </w:r>
      <w:r>
        <w:rPr>
          <w:rFonts w:ascii="Arial" w:hAnsi="Arial" w:eastAsia="宋体" w:cs="Arial"/>
        </w:rPr>
        <w:t>”</w:t>
      </w:r>
      <w:r>
        <w:rPr>
          <w:rFonts w:hint="eastAsia" w:ascii="Arial" w:hAnsi="Arial" w:eastAsia="宋体" w:cs="Arial"/>
        </w:rPr>
        <w:t>（参考文献</w:t>
      </w:r>
      <w:r>
        <w:rPr>
          <w:rFonts w:ascii="Arial" w:hAnsi="Arial" w:eastAsia="宋体" w:cs="Arial"/>
        </w:rPr>
        <w:t>C</w:t>
      </w:r>
      <w:r>
        <w:rPr>
          <w:rFonts w:hint="eastAsia" w:ascii="Arial" w:hAnsi="Arial" w:eastAsia="宋体" w:cs="Arial"/>
        </w:rPr>
        <w:t>）。</w:t>
      </w:r>
      <w:r>
        <w:rPr>
          <w:rFonts w:ascii="Arial" w:hAnsi="Arial" w:eastAsia="宋体" w:cs="Arial"/>
        </w:rPr>
        <w:t xml:space="preserve"> </w:t>
      </w:r>
      <w:r>
        <w:rPr>
          <w:rFonts w:hint="eastAsia" w:ascii="Arial" w:hAnsi="Arial" w:eastAsia="宋体" w:cs="Arial"/>
        </w:rPr>
        <w:t>通常，</w:t>
      </w:r>
      <w:r>
        <w:rPr>
          <w:rFonts w:ascii="Arial" w:hAnsi="Arial" w:eastAsia="宋体" w:cs="Arial"/>
        </w:rPr>
        <w:t>将HUAM</w:t>
      </w:r>
      <w:r>
        <w:rPr>
          <w:rFonts w:hint="eastAsia" w:ascii="Arial" w:hAnsi="Arial" w:eastAsia="宋体" w:cs="Arial"/>
        </w:rPr>
        <w:t>中的软件认为是该指南中所定义的</w:t>
      </w:r>
      <w:r>
        <w:rPr>
          <w:rFonts w:ascii="Arial" w:hAnsi="Arial" w:eastAsia="宋体" w:cs="Arial"/>
        </w:rPr>
        <w:t>“</w:t>
      </w:r>
      <w:r>
        <w:rPr>
          <w:rFonts w:hint="eastAsia" w:ascii="Arial" w:hAnsi="Arial" w:eastAsia="宋体" w:cs="Arial"/>
        </w:rPr>
        <w:t>次要</w:t>
      </w:r>
      <w:r>
        <w:rPr>
          <w:rFonts w:ascii="Arial" w:hAnsi="Arial" w:eastAsia="宋体" w:cs="Arial"/>
        </w:rPr>
        <w:t>”</w:t>
      </w:r>
      <w:r>
        <w:rPr>
          <w:rFonts w:hint="eastAsia" w:ascii="Arial" w:hAnsi="Arial" w:eastAsia="宋体" w:cs="Arial"/>
        </w:rPr>
        <w:t>关注级别。如果使用现成的或第三方软件，进一步的指导请参见</w:t>
      </w:r>
      <w:r>
        <w:rPr>
          <w:rFonts w:ascii="Arial" w:hAnsi="Arial" w:eastAsia="宋体" w:cs="Arial"/>
        </w:rPr>
        <w:t>“</w:t>
      </w:r>
      <w:r>
        <w:rPr>
          <w:rFonts w:hint="eastAsia" w:ascii="Arial" w:hAnsi="Arial" w:eastAsia="宋体" w:cs="Arial"/>
          <w:i/>
          <w:color w:val="0000FF"/>
        </w:rPr>
        <w:t>医疗器械使用现成软件的指南</w:t>
      </w:r>
      <w:r>
        <w:rPr>
          <w:rFonts w:ascii="Arial" w:hAnsi="Arial" w:eastAsia="宋体" w:cs="Arial"/>
        </w:rPr>
        <w:t>”</w:t>
      </w:r>
      <w:r>
        <w:rPr>
          <w:rFonts w:hint="eastAsia" w:ascii="Arial" w:hAnsi="Arial" w:eastAsia="宋体" w:cs="Arial"/>
        </w:rPr>
        <w:t>（参考文献</w:t>
      </w:r>
      <w:r>
        <w:rPr>
          <w:rFonts w:ascii="Arial" w:hAnsi="Arial" w:eastAsia="宋体" w:cs="Arial"/>
        </w:rPr>
        <w:t>D</w:t>
      </w:r>
      <w:r>
        <w:rPr>
          <w:rFonts w:hint="eastAsia" w:ascii="Arial" w:hAnsi="Arial" w:eastAsia="宋体" w:cs="Arial"/>
        </w:rPr>
        <w:t>）。</w:t>
      </w:r>
    </w:p>
    <w:p w14:paraId="53CD742F">
      <w:pPr>
        <w:pStyle w:val="44"/>
        <w:shd w:val="clear" w:color="auto" w:fill="auto"/>
        <w:adjustRightInd w:val="0"/>
        <w:snapToGrid w:val="0"/>
        <w:spacing w:before="0" w:after="163" w:afterLines="50" w:line="300" w:lineRule="auto"/>
        <w:ind w:firstLine="0"/>
        <w:jc w:val="left"/>
        <w:rPr>
          <w:rFonts w:ascii="Arial" w:hAnsi="Arial" w:eastAsia="宋体" w:cs="Arial"/>
        </w:rPr>
      </w:pPr>
    </w:p>
    <w:p w14:paraId="097AE28C">
      <w:pPr>
        <w:pStyle w:val="44"/>
        <w:numPr>
          <w:ilvl w:val="0"/>
          <w:numId w:val="12"/>
        </w:numPr>
        <w:shd w:val="clear" w:color="auto" w:fill="auto"/>
        <w:adjustRightInd w:val="0"/>
        <w:snapToGrid w:val="0"/>
        <w:spacing w:before="0" w:after="163" w:afterLines="50" w:line="300" w:lineRule="auto"/>
        <w:ind w:left="1317" w:leftChars="400" w:hanging="357"/>
        <w:jc w:val="left"/>
        <w:rPr>
          <w:rFonts w:ascii="Arial" w:hAnsi="Arial" w:eastAsia="宋体" w:cs="Arial"/>
        </w:rPr>
      </w:pPr>
      <w:r>
        <w:rPr>
          <w:rFonts w:hint="eastAsia" w:ascii="Arial" w:hAnsi="Arial" w:eastAsia="宋体" w:cs="Arial"/>
        </w:rPr>
        <w:t>波形准确度</w:t>
      </w:r>
    </w:p>
    <w:p w14:paraId="6B6A7578">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由于宫缩压力的波形代表了正在评估的生理过程，波形准确度是确定器械是否临床有效的关键因素。从工程</w:t>
      </w:r>
      <w:r>
        <w:rPr>
          <w:rFonts w:ascii="Arial" w:hAnsi="Arial" w:eastAsia="宋体" w:cs="Arial"/>
        </w:rPr>
        <w:t>学</w:t>
      </w:r>
      <w:r>
        <w:rPr>
          <w:rFonts w:hint="eastAsia" w:ascii="Arial" w:hAnsi="Arial" w:eastAsia="宋体" w:cs="Arial"/>
        </w:rPr>
        <w:t>角度来看，宫缩压力信号的增益精度、动态范围和频率响应都是临床上的重要参数。</w:t>
      </w:r>
    </w:p>
    <w:p w14:paraId="44140870">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家用子宫活动监测器通常对宫缩压力波形的周期性样本进行编码，数位传输到接收站后，波形</w:t>
      </w:r>
      <w:r>
        <w:rPr>
          <w:rFonts w:ascii="Arial" w:hAnsi="Arial" w:eastAsia="宋体" w:cs="Arial"/>
        </w:rPr>
        <w:t>得到</w:t>
      </w:r>
      <w:r>
        <w:rPr>
          <w:rFonts w:hint="eastAsia" w:ascii="Arial" w:hAnsi="Arial" w:eastAsia="宋体" w:cs="Arial"/>
        </w:rPr>
        <w:t>重建和显示。因此，系统规范应在发射器和接收器之间分配，并在设计的模拟和数字部分之间进一步分配。最后，模拟和数字部分的性能特征应该匹配，以确保采样过程不会在波形中引入伪迹。</w:t>
      </w:r>
    </w:p>
    <w:p w14:paraId="00EFA229">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您的提交应解决这些与波形准确度相关的关键工程</w:t>
      </w:r>
      <w:r>
        <w:rPr>
          <w:rFonts w:ascii="Arial" w:hAnsi="Arial" w:eastAsia="宋体" w:cs="Arial"/>
        </w:rPr>
        <w:t>学</w:t>
      </w:r>
      <w:r>
        <w:rPr>
          <w:rFonts w:hint="eastAsia" w:ascii="Arial" w:hAnsi="Arial" w:eastAsia="宋体" w:cs="Arial"/>
        </w:rPr>
        <w:t>问题。</w:t>
      </w:r>
    </w:p>
    <w:p w14:paraId="5B908958">
      <w:pPr>
        <w:pStyle w:val="44"/>
        <w:numPr>
          <w:ilvl w:val="0"/>
          <w:numId w:val="12"/>
        </w:numPr>
        <w:shd w:val="clear" w:color="auto" w:fill="auto"/>
        <w:adjustRightInd w:val="0"/>
        <w:snapToGrid w:val="0"/>
        <w:spacing w:before="0" w:after="163" w:afterLines="50" w:line="300" w:lineRule="auto"/>
        <w:ind w:left="1317" w:leftChars="400" w:hanging="357"/>
        <w:jc w:val="left"/>
        <w:rPr>
          <w:rFonts w:ascii="Arial" w:hAnsi="Arial" w:eastAsia="宋体" w:cs="Arial"/>
        </w:rPr>
      </w:pPr>
      <w:r>
        <w:rPr>
          <w:rFonts w:hint="eastAsia" w:ascii="Arial" w:hAnsi="Arial" w:eastAsia="宋体" w:cs="Arial"/>
        </w:rPr>
        <w:t>数据完整性</w:t>
      </w:r>
    </w:p>
    <w:p w14:paraId="3684F604">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您的提交应解决数据传输错误的临床意义，并对数据处理硬件、调制解调器以及执行纠正和检测错误的软件算法的性能要求进行说明，应</w:t>
      </w:r>
      <w:r>
        <w:rPr>
          <w:rFonts w:ascii="Arial" w:hAnsi="Arial" w:eastAsia="宋体" w:cs="Arial"/>
        </w:rPr>
        <w:t>包含</w:t>
      </w:r>
      <w:r>
        <w:rPr>
          <w:rFonts w:hint="eastAsia" w:ascii="Arial" w:hAnsi="Arial" w:eastAsia="宋体" w:cs="Arial"/>
        </w:rPr>
        <w:t>系统对噪声、失真、呼叫等待音调以及公共交换电话网络环境中典型的其他信道中断的响应。</w:t>
      </w:r>
      <w:r>
        <w:rPr>
          <w:rFonts w:ascii="Arial" w:hAnsi="Arial" w:eastAsia="宋体" w:cs="Arial"/>
        </w:rPr>
        <w:t xml:space="preserve"> </w:t>
      </w:r>
      <w:r>
        <w:rPr>
          <w:rFonts w:hint="eastAsia" w:ascii="Arial" w:hAnsi="Arial" w:eastAsia="宋体" w:cs="Arial"/>
        </w:rPr>
        <w:t>数据完整性的保证还可能需要解决由于功率波动、用户输入、静态数据、切换消除抖动、数据存档等引起的数据损坏问题</w:t>
      </w:r>
      <w:r>
        <w:rPr>
          <w:rFonts w:ascii="Arial" w:hAnsi="Arial" w:eastAsia="宋体" w:cs="Arial"/>
        </w:rPr>
        <w:t>（</w:t>
      </w:r>
      <w:r>
        <w:rPr>
          <w:rFonts w:hint="eastAsia" w:ascii="Arial" w:hAnsi="Arial" w:eastAsia="宋体" w:cs="Arial"/>
        </w:rPr>
        <w:t>必要时应涵盖</w:t>
      </w:r>
      <w:r>
        <w:rPr>
          <w:rFonts w:ascii="Arial" w:hAnsi="Arial" w:eastAsia="宋体" w:cs="Arial"/>
        </w:rPr>
        <w:t>）</w:t>
      </w:r>
      <w:r>
        <w:rPr>
          <w:rFonts w:hint="eastAsia" w:ascii="Arial" w:hAnsi="Arial" w:eastAsia="宋体" w:cs="Arial"/>
        </w:rPr>
        <w:t>。</w:t>
      </w:r>
    </w:p>
    <w:p w14:paraId="12544435">
      <w:pPr>
        <w:pStyle w:val="44"/>
        <w:numPr>
          <w:ilvl w:val="0"/>
          <w:numId w:val="12"/>
        </w:numPr>
        <w:shd w:val="clear" w:color="auto" w:fill="auto"/>
        <w:adjustRightInd w:val="0"/>
        <w:snapToGrid w:val="0"/>
        <w:spacing w:before="0" w:after="163" w:afterLines="50" w:line="300" w:lineRule="auto"/>
        <w:ind w:left="1317" w:leftChars="400" w:hanging="357"/>
        <w:jc w:val="left"/>
        <w:rPr>
          <w:rFonts w:ascii="Arial" w:hAnsi="Arial" w:eastAsia="宋体" w:cs="Arial"/>
        </w:rPr>
      </w:pPr>
      <w:r>
        <w:rPr>
          <w:rFonts w:hint="eastAsia" w:ascii="Arial" w:hAnsi="Arial" w:eastAsia="宋体" w:cs="Arial"/>
        </w:rPr>
        <w:t>材料安全性</w:t>
      </w:r>
    </w:p>
    <w:p w14:paraId="5B2FC3D1">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保持在适当位置的分娩换能器和腹带与皮肤接触。您的提交应涉及这类与皮肤接触材料的安全性，特别是关于细胞毒性、皮肤刺激性和致敏性。这些问题由</w:t>
      </w:r>
      <w:r>
        <w:rPr>
          <w:rFonts w:ascii="Arial" w:hAnsi="Arial" w:eastAsia="宋体" w:cs="Arial"/>
        </w:rPr>
        <w:t>FDA</w:t>
      </w:r>
      <w:r>
        <w:rPr>
          <w:rFonts w:hint="eastAsia" w:ascii="Arial" w:hAnsi="Arial" w:eastAsia="宋体" w:cs="Arial"/>
        </w:rPr>
        <w:t>认可的</w:t>
      </w:r>
      <w:r>
        <w:rPr>
          <w:rFonts w:ascii="Arial" w:hAnsi="Arial" w:eastAsia="宋体" w:cs="Arial"/>
        </w:rPr>
        <w:t>几个</w:t>
      </w:r>
      <w:r>
        <w:rPr>
          <w:rFonts w:hint="eastAsia" w:ascii="Arial" w:hAnsi="Arial" w:eastAsia="宋体" w:cs="Arial"/>
        </w:rPr>
        <w:t>标准解决：</w:t>
      </w:r>
    </w:p>
    <w:p w14:paraId="440A7B25">
      <w:pPr>
        <w:pStyle w:val="44"/>
        <w:numPr>
          <w:ilvl w:val="0"/>
          <w:numId w:val="13"/>
        </w:numPr>
        <w:shd w:val="clear" w:color="auto" w:fill="auto"/>
        <w:tabs>
          <w:tab w:val="left" w:pos="1918"/>
        </w:tabs>
        <w:adjustRightInd w:val="0"/>
        <w:snapToGrid w:val="0"/>
        <w:spacing w:before="0" w:after="163" w:afterLines="50" w:line="300" w:lineRule="auto"/>
        <w:ind w:left="1917" w:leftChars="600" w:hanging="477" w:hangingChars="199"/>
        <w:jc w:val="left"/>
        <w:rPr>
          <w:rFonts w:ascii="Arial" w:hAnsi="Arial" w:eastAsia="宋体" w:cs="Arial"/>
        </w:rPr>
      </w:pPr>
      <w:r>
        <w:rPr>
          <w:rFonts w:ascii="Arial" w:hAnsi="Arial" w:eastAsia="宋体" w:cs="Arial"/>
        </w:rPr>
        <w:t>ISO 10993-1：</w:t>
      </w:r>
      <w:r>
        <w:rPr>
          <w:rFonts w:hint="eastAsia" w:ascii="Arial" w:hAnsi="Arial" w:eastAsia="宋体" w:cs="Arial"/>
        </w:rPr>
        <w:t>医疗器械生物学评价</w:t>
      </w:r>
      <w:r>
        <w:rPr>
          <w:rFonts w:ascii="Arial" w:hAnsi="Arial" w:eastAsia="宋体" w:cs="Arial"/>
        </w:rPr>
        <w:t>  </w:t>
      </w:r>
      <w:r>
        <w:rPr>
          <w:rFonts w:hint="eastAsia" w:ascii="Arial" w:hAnsi="Arial" w:eastAsia="宋体" w:cs="Arial"/>
        </w:rPr>
        <w:t>第</w:t>
      </w:r>
      <w:r>
        <w:rPr>
          <w:rFonts w:ascii="Arial" w:hAnsi="Arial" w:eastAsia="宋体" w:cs="Arial"/>
        </w:rPr>
        <w:t>1</w:t>
      </w:r>
      <w:r>
        <w:rPr>
          <w:rFonts w:hint="eastAsia" w:ascii="Arial" w:hAnsi="Arial" w:eastAsia="宋体" w:cs="Arial"/>
        </w:rPr>
        <w:t>部分：评价与测试</w:t>
      </w:r>
    </w:p>
    <w:p w14:paraId="33A34DE0">
      <w:pPr>
        <w:pStyle w:val="44"/>
        <w:numPr>
          <w:ilvl w:val="0"/>
          <w:numId w:val="13"/>
        </w:numPr>
        <w:shd w:val="clear" w:color="auto" w:fill="auto"/>
        <w:tabs>
          <w:tab w:val="left" w:pos="1918"/>
        </w:tabs>
        <w:adjustRightInd w:val="0"/>
        <w:snapToGrid w:val="0"/>
        <w:spacing w:before="0" w:after="163" w:afterLines="50" w:line="300" w:lineRule="auto"/>
        <w:ind w:left="1917" w:leftChars="600" w:hanging="477" w:hangingChars="199"/>
        <w:jc w:val="left"/>
        <w:rPr>
          <w:rFonts w:ascii="Arial" w:hAnsi="Arial" w:eastAsia="宋体" w:cs="Arial"/>
        </w:rPr>
      </w:pPr>
      <w:r>
        <w:rPr>
          <w:rFonts w:ascii="Arial" w:hAnsi="Arial" w:eastAsia="宋体" w:cs="Arial"/>
        </w:rPr>
        <w:t>ISO 10993-5：</w:t>
      </w:r>
      <w:r>
        <w:rPr>
          <w:rFonts w:hint="eastAsia" w:ascii="Arial" w:hAnsi="Arial" w:eastAsia="宋体" w:cs="Arial"/>
        </w:rPr>
        <w:t>医疗器械生物学评价</w:t>
      </w:r>
      <w:r>
        <w:rPr>
          <w:rFonts w:ascii="Arial" w:hAnsi="Arial" w:eastAsia="宋体" w:cs="Arial"/>
        </w:rPr>
        <w:t xml:space="preserve"> </w:t>
      </w:r>
      <w:r>
        <w:rPr>
          <w:rFonts w:hint="eastAsia" w:ascii="Arial" w:hAnsi="Arial" w:eastAsia="宋体" w:cs="Arial"/>
        </w:rPr>
        <w:t>第</w:t>
      </w:r>
      <w:r>
        <w:rPr>
          <w:rFonts w:ascii="Arial" w:hAnsi="Arial" w:eastAsia="宋体" w:cs="Arial"/>
        </w:rPr>
        <w:t>5</w:t>
      </w:r>
      <w:r>
        <w:rPr>
          <w:rFonts w:hint="eastAsia" w:ascii="Arial" w:hAnsi="Arial" w:eastAsia="宋体" w:cs="Arial"/>
        </w:rPr>
        <w:t>部分：细胞毒性试验</w:t>
      </w:r>
    </w:p>
    <w:p w14:paraId="5F23D8A0">
      <w:pPr>
        <w:pStyle w:val="44"/>
        <w:numPr>
          <w:ilvl w:val="0"/>
          <w:numId w:val="13"/>
        </w:numPr>
        <w:shd w:val="clear" w:color="auto" w:fill="auto"/>
        <w:tabs>
          <w:tab w:val="left" w:pos="1918"/>
        </w:tabs>
        <w:adjustRightInd w:val="0"/>
        <w:snapToGrid w:val="0"/>
        <w:spacing w:before="0" w:after="163" w:afterLines="50" w:line="300" w:lineRule="auto"/>
        <w:ind w:left="1917" w:leftChars="600" w:hanging="477" w:hangingChars="199"/>
        <w:jc w:val="left"/>
        <w:rPr>
          <w:rFonts w:ascii="Arial" w:hAnsi="Arial" w:eastAsia="宋体" w:cs="Arial"/>
        </w:rPr>
      </w:pPr>
      <w:r>
        <w:rPr>
          <w:rFonts w:ascii="Arial" w:hAnsi="Arial" w:eastAsia="宋体" w:cs="Arial"/>
        </w:rPr>
        <w:t>ISO 10993-10：</w:t>
      </w:r>
      <w:r>
        <w:rPr>
          <w:rFonts w:hint="eastAsia" w:ascii="Arial" w:hAnsi="Arial" w:eastAsia="宋体" w:cs="Arial"/>
        </w:rPr>
        <w:t>医疗器械生物学评价</w:t>
      </w:r>
      <w:r>
        <w:rPr>
          <w:rFonts w:ascii="Arial" w:hAnsi="Arial" w:eastAsia="宋体" w:cs="Arial"/>
        </w:rPr>
        <w:t xml:space="preserve"> </w:t>
      </w:r>
      <w:r>
        <w:rPr>
          <w:rFonts w:hint="eastAsia" w:ascii="Arial" w:hAnsi="Arial" w:eastAsia="宋体" w:cs="Arial"/>
        </w:rPr>
        <w:t>第</w:t>
      </w:r>
      <w:r>
        <w:rPr>
          <w:rFonts w:ascii="Arial" w:hAnsi="Arial" w:eastAsia="宋体" w:cs="Arial"/>
        </w:rPr>
        <w:t>10</w:t>
      </w:r>
      <w:r>
        <w:rPr>
          <w:rFonts w:hint="eastAsia" w:ascii="Arial" w:hAnsi="Arial" w:eastAsia="宋体" w:cs="Arial"/>
        </w:rPr>
        <w:t>部分：刺激与致敏试验</w:t>
      </w:r>
    </w:p>
    <w:p w14:paraId="5805197D">
      <w:pPr>
        <w:pStyle w:val="44"/>
        <w:numPr>
          <w:ilvl w:val="0"/>
          <w:numId w:val="12"/>
        </w:numPr>
        <w:shd w:val="clear" w:color="auto" w:fill="auto"/>
        <w:adjustRightInd w:val="0"/>
        <w:snapToGrid w:val="0"/>
        <w:spacing w:before="0" w:after="163" w:afterLines="50" w:line="300" w:lineRule="auto"/>
        <w:ind w:left="1317" w:leftChars="400" w:hanging="357"/>
        <w:jc w:val="left"/>
        <w:rPr>
          <w:rFonts w:ascii="Arial" w:hAnsi="Arial" w:eastAsia="宋体" w:cs="Arial"/>
        </w:rPr>
      </w:pPr>
      <w:r>
        <w:rPr>
          <w:rFonts w:hint="eastAsia" w:ascii="Arial" w:hAnsi="Arial" w:eastAsia="宋体" w:cs="Arial"/>
        </w:rPr>
        <w:t>清洁和</w:t>
      </w:r>
      <w:r>
        <w:rPr>
          <w:rFonts w:ascii="Arial" w:hAnsi="Arial" w:eastAsia="宋体" w:cs="Arial"/>
        </w:rPr>
        <w:t>杀菌</w:t>
      </w:r>
    </w:p>
    <w:p w14:paraId="53E7711E">
      <w:pPr>
        <w:pStyle w:val="44"/>
        <w:shd w:val="clear" w:color="auto" w:fill="auto"/>
        <w:adjustRightInd w:val="0"/>
        <w:snapToGrid w:val="0"/>
        <w:spacing w:before="0" w:after="163" w:afterLines="50" w:line="300" w:lineRule="auto"/>
        <w:ind w:left="1440" w:leftChars="600" w:firstLine="0"/>
        <w:jc w:val="left"/>
        <w:rPr>
          <w:rFonts w:ascii="Arial" w:hAnsi="Arial" w:eastAsia="宋体" w:cs="Arial"/>
        </w:rPr>
      </w:pPr>
      <w:r>
        <w:rPr>
          <w:rFonts w:hint="eastAsia" w:ascii="Arial" w:hAnsi="Arial" w:eastAsia="宋体" w:cs="Arial"/>
        </w:rPr>
        <w:t>请提供资料说明</w:t>
      </w:r>
      <w:r>
        <w:rPr>
          <w:rFonts w:ascii="Arial" w:hAnsi="Arial" w:eastAsia="宋体" w:cs="Arial"/>
        </w:rPr>
        <w:t>HUAM仪器</w:t>
      </w:r>
      <w:r>
        <w:rPr>
          <w:rFonts w:hint="eastAsia" w:ascii="Arial" w:hAnsi="Arial" w:eastAsia="宋体" w:cs="Arial"/>
        </w:rPr>
        <w:t>是如何提供给患者，以确保这些器械至少处于清洁和</w:t>
      </w:r>
      <w:r>
        <w:rPr>
          <w:rFonts w:ascii="Arial" w:hAnsi="Arial" w:eastAsia="宋体" w:cs="Arial"/>
        </w:rPr>
        <w:t>杀菌</w:t>
      </w:r>
      <w:r>
        <w:rPr>
          <w:rFonts w:hint="eastAsia" w:ascii="Arial" w:hAnsi="Arial" w:eastAsia="宋体" w:cs="Arial"/>
        </w:rPr>
        <w:t>状态。如果制造商或临床医师向患者提供了再处理的</w:t>
      </w:r>
      <w:r>
        <w:rPr>
          <w:rFonts w:ascii="Arial" w:hAnsi="Arial" w:eastAsia="宋体" w:cs="Arial"/>
        </w:rPr>
        <w:t>HUAM</w:t>
      </w:r>
      <w:r>
        <w:rPr>
          <w:rFonts w:hint="eastAsia" w:ascii="Arial" w:hAnsi="Arial" w:eastAsia="宋体" w:cs="Arial"/>
        </w:rPr>
        <w:t>，标签应提供在两次使用之间、经验证的清洁</w:t>
      </w:r>
      <w:r>
        <w:rPr>
          <w:rFonts w:ascii="Arial" w:hAnsi="Arial" w:eastAsia="宋体" w:cs="Arial"/>
        </w:rPr>
        <w:t>/杀菌</w:t>
      </w:r>
      <w:r>
        <w:rPr>
          <w:rFonts w:hint="eastAsia" w:ascii="Arial" w:hAnsi="Arial" w:eastAsia="宋体" w:cs="Arial"/>
        </w:rPr>
        <w:t>程序说明。</w:t>
      </w:r>
    </w:p>
    <w:p w14:paraId="02169E04">
      <w:pPr>
        <w:pStyle w:val="44"/>
        <w:numPr>
          <w:ilvl w:val="0"/>
          <w:numId w:val="9"/>
        </w:numPr>
        <w:shd w:val="clear" w:color="auto" w:fill="auto"/>
        <w:adjustRightInd w:val="0"/>
        <w:snapToGrid w:val="0"/>
        <w:spacing w:before="0" w:after="163" w:afterLines="50" w:line="300" w:lineRule="auto"/>
        <w:ind w:left="837" w:leftChars="200" w:hanging="357"/>
        <w:jc w:val="left"/>
        <w:rPr>
          <w:rFonts w:ascii="Arial" w:hAnsi="Arial" w:eastAsia="宋体" w:cs="Arial"/>
          <w:b/>
        </w:rPr>
      </w:pPr>
      <w:r>
        <w:rPr>
          <w:rFonts w:hint="eastAsia" w:ascii="Arial" w:hAnsi="Arial" w:eastAsia="宋体" w:cs="Arial"/>
          <w:b/>
        </w:rPr>
        <w:t>临床资料</w:t>
      </w:r>
    </w:p>
    <w:p w14:paraId="0D306119">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一项小型的临床验证研究结果显示，监测器可执行某些或所有的适当功能。参见</w:t>
      </w:r>
      <w:r>
        <w:rPr>
          <w:rFonts w:ascii="Arial" w:hAnsi="Arial" w:eastAsia="宋体" w:cs="Arial"/>
        </w:rPr>
        <w:t>上述</w:t>
      </w:r>
      <w:r>
        <w:rPr>
          <w:rFonts w:hint="eastAsia" w:ascii="Arial" w:hAnsi="Arial" w:eastAsia="宋体" w:cs="Arial"/>
        </w:rPr>
        <w:t>特殊控制部分的指南。</w:t>
      </w:r>
    </w:p>
    <w:p w14:paraId="568649CE">
      <w:pPr>
        <w:snapToGrid w:val="0"/>
        <w:spacing w:after="163" w:afterLines="50" w:line="300" w:lineRule="auto"/>
        <w:ind w:left="0" w:leftChars="0" w:right="0" w:rightChars="0"/>
        <w:rPr>
          <w:rFonts w:ascii="Arial" w:hAnsi="Arial" w:eastAsia="宋体" w:cs="Arial"/>
          <w:kern w:val="2"/>
          <w:szCs w:val="24"/>
        </w:rPr>
      </w:pPr>
      <w:r>
        <w:rPr>
          <w:rFonts w:ascii="Arial" w:hAnsi="Arial" w:eastAsia="宋体" w:cs="Arial"/>
          <w:szCs w:val="24"/>
        </w:rPr>
        <w:br w:type="page"/>
      </w:r>
    </w:p>
    <w:p w14:paraId="54A12FBE">
      <w:pPr>
        <w:pStyle w:val="44"/>
        <w:numPr>
          <w:ilvl w:val="0"/>
          <w:numId w:val="9"/>
        </w:numPr>
        <w:shd w:val="clear" w:color="auto" w:fill="auto"/>
        <w:adjustRightInd w:val="0"/>
        <w:snapToGrid w:val="0"/>
        <w:spacing w:before="0" w:after="163" w:afterLines="50" w:line="300" w:lineRule="auto"/>
        <w:ind w:left="837" w:leftChars="200" w:hanging="357"/>
        <w:jc w:val="left"/>
        <w:rPr>
          <w:rFonts w:ascii="Arial" w:hAnsi="Arial" w:eastAsia="宋体" w:cs="Arial"/>
          <w:b/>
        </w:rPr>
      </w:pPr>
      <w:r>
        <w:rPr>
          <w:rFonts w:hint="eastAsia" w:ascii="Arial" w:hAnsi="Arial" w:eastAsia="宋体" w:cs="Arial"/>
          <w:b/>
        </w:rPr>
        <w:t>患者注册表</w:t>
      </w:r>
    </w:p>
    <w:p w14:paraId="210519D4">
      <w:pPr>
        <w:pStyle w:val="44"/>
        <w:shd w:val="clear" w:color="auto" w:fill="auto"/>
        <w:adjustRightInd w:val="0"/>
        <w:snapToGrid w:val="0"/>
        <w:spacing w:before="0" w:after="163" w:afterLines="50" w:line="300" w:lineRule="auto"/>
        <w:ind w:left="960" w:leftChars="400" w:firstLine="0"/>
        <w:jc w:val="left"/>
        <w:rPr>
          <w:rFonts w:ascii="Arial" w:hAnsi="Arial" w:eastAsia="宋体" w:cs="Arial"/>
        </w:rPr>
      </w:pPr>
      <w:r>
        <w:rPr>
          <w:rFonts w:hint="eastAsia" w:ascii="Arial" w:hAnsi="Arial" w:eastAsia="宋体" w:cs="Arial"/>
        </w:rPr>
        <w:t>说明</w:t>
      </w:r>
      <w:r>
        <w:rPr>
          <w:rFonts w:ascii="Arial" w:hAnsi="Arial" w:eastAsia="宋体" w:cs="Arial"/>
        </w:rPr>
        <w:t>HUAM</w:t>
      </w:r>
      <w:r>
        <w:rPr>
          <w:rFonts w:hint="eastAsia" w:ascii="Arial" w:hAnsi="Arial" w:eastAsia="宋体" w:cs="Arial"/>
        </w:rPr>
        <w:t>的患者注册计划。如果采用结构化的抽样方法，应提供充分的理由，包括数据收集表的样本。有关该建议的进一步指导，请联系器械评估办公室妇产科器械处处长：</w:t>
      </w:r>
      <w:r>
        <w:rPr>
          <w:rFonts w:ascii="Arial" w:hAnsi="Arial" w:eastAsia="宋体" w:cs="Arial"/>
        </w:rPr>
        <w:t>301-594-1180</w:t>
      </w:r>
      <w:r>
        <w:rPr>
          <w:rFonts w:hint="eastAsia" w:ascii="Arial" w:hAnsi="Arial" w:eastAsia="宋体" w:cs="Arial"/>
        </w:rPr>
        <w:t>。</w:t>
      </w:r>
    </w:p>
    <w:p w14:paraId="7A372A08">
      <w:pPr>
        <w:pStyle w:val="31"/>
        <w:numPr>
          <w:ilvl w:val="0"/>
          <w:numId w:val="2"/>
        </w:numPr>
        <w:snapToGrid w:val="0"/>
        <w:spacing w:after="163" w:afterLines="50" w:line="300" w:lineRule="auto"/>
        <w:ind w:leftChars="0" w:right="0" w:rightChars="0" w:firstLineChars="0"/>
        <w:rPr>
          <w:rFonts w:ascii="Arial" w:hAnsi="Arial" w:eastAsia="宋体" w:cs="Arial"/>
          <w:b/>
          <w:sz w:val="32"/>
          <w:szCs w:val="32"/>
        </w:rPr>
      </w:pPr>
      <w:r>
        <w:rPr>
          <w:rFonts w:hint="eastAsia" w:ascii="Arial" w:hAnsi="Arial" w:eastAsia="宋体" w:cs="Arial"/>
          <w:b/>
          <w:sz w:val="32"/>
          <w:szCs w:val="32"/>
        </w:rPr>
        <w:t>参考文件</w:t>
      </w:r>
    </w:p>
    <w:p w14:paraId="0CF37D93">
      <w:pPr>
        <w:pStyle w:val="31"/>
        <w:widowControl w:val="0"/>
        <w:numPr>
          <w:ilvl w:val="1"/>
          <w:numId w:val="14"/>
        </w:numPr>
        <w:autoSpaceDE w:val="0"/>
        <w:autoSpaceDN w:val="0"/>
        <w:adjustRightInd w:val="0"/>
        <w:snapToGrid w:val="0"/>
        <w:spacing w:after="163" w:afterLines="50" w:line="300" w:lineRule="auto"/>
        <w:ind w:leftChars="0" w:right="0" w:rightChars="0" w:firstLineChars="0"/>
        <w:rPr>
          <w:rFonts w:ascii="Arial" w:hAnsi="Arial" w:eastAsia="宋体" w:cs="Arial"/>
          <w:bCs/>
          <w:color w:val="000000"/>
          <w:szCs w:val="24"/>
        </w:rPr>
      </w:pPr>
      <w:r>
        <w:rPr>
          <w:rFonts w:hint="eastAsia" w:ascii="Arial" w:hAnsi="Arial" w:eastAsia="宋体" w:cs="Arial"/>
          <w:szCs w:val="24"/>
        </w:rPr>
        <w:t>医疗器械制造商的设计控制指南，</w:t>
      </w:r>
      <w:r>
        <w:rPr>
          <w:rFonts w:ascii="Arial" w:hAnsi="Arial" w:eastAsia="宋体" w:cs="Arial"/>
          <w:szCs w:val="24"/>
        </w:rPr>
        <w:t>1997</w:t>
      </w:r>
      <w:r>
        <w:rPr>
          <w:rFonts w:hint="eastAsia" w:ascii="Arial" w:hAnsi="Arial" w:eastAsia="宋体" w:cs="Arial"/>
          <w:szCs w:val="24"/>
        </w:rPr>
        <w:t>年</w:t>
      </w:r>
      <w:r>
        <w:rPr>
          <w:rFonts w:ascii="Arial" w:hAnsi="Arial" w:eastAsia="宋体" w:cs="Arial"/>
          <w:szCs w:val="24"/>
        </w:rPr>
        <w:t>3</w:t>
      </w:r>
      <w:r>
        <w:rPr>
          <w:rFonts w:hint="eastAsia" w:ascii="Arial" w:hAnsi="Arial" w:eastAsia="宋体" w:cs="Arial"/>
          <w:szCs w:val="24"/>
        </w:rPr>
        <w:t>月</w:t>
      </w:r>
      <w:r>
        <w:rPr>
          <w:rFonts w:ascii="Arial" w:hAnsi="Arial" w:eastAsia="宋体" w:cs="Arial"/>
          <w:szCs w:val="24"/>
        </w:rPr>
        <w:t>11</w:t>
      </w:r>
      <w:r>
        <w:rPr>
          <w:rFonts w:hint="eastAsia" w:ascii="Arial" w:hAnsi="Arial" w:eastAsia="宋体" w:cs="Arial"/>
          <w:szCs w:val="24"/>
        </w:rPr>
        <w:t>日。</w:t>
      </w:r>
      <w:r>
        <w:rPr>
          <w:rFonts w:ascii="Arial" w:hAnsi="Arial" w:eastAsia="宋体" w:cs="Arial"/>
          <w:bCs/>
          <w:color w:val="0000FF"/>
          <w:szCs w:val="24"/>
          <w:u w:val="single"/>
        </w:rPr>
        <w:t>http://www.fda.gov/cdrh/comp/designgd.html</w:t>
      </w:r>
      <w:r>
        <w:rPr>
          <w:rFonts w:ascii="Arial" w:hAnsi="Arial" w:eastAsia="宋体" w:cs="Arial"/>
          <w:bCs/>
          <w:color w:val="0000FF"/>
          <w:szCs w:val="24"/>
        </w:rPr>
        <w:t xml:space="preserve"> </w:t>
      </w:r>
      <w:r>
        <w:rPr>
          <w:rFonts w:ascii="Arial" w:hAnsi="Arial" w:eastAsia="宋体" w:cs="Arial"/>
          <w:bCs/>
          <w:color w:val="000000"/>
          <w:szCs w:val="24"/>
        </w:rPr>
        <w:t>（</w:t>
      </w:r>
      <w:r>
        <w:rPr>
          <w:rFonts w:hint="eastAsia" w:ascii="Arial" w:hAnsi="Arial" w:eastAsia="宋体" w:cs="Arial"/>
          <w:bCs/>
          <w:color w:val="000000"/>
          <w:szCs w:val="24"/>
        </w:rPr>
        <w:t>文本</w:t>
      </w:r>
      <w:r>
        <w:rPr>
          <w:rFonts w:ascii="Arial" w:hAnsi="Arial" w:eastAsia="宋体" w:cs="Arial"/>
          <w:bCs/>
          <w:color w:val="000000"/>
          <w:szCs w:val="24"/>
        </w:rPr>
        <w:t>）</w:t>
      </w:r>
      <w:r>
        <w:rPr>
          <w:rFonts w:hint="eastAsia" w:ascii="Arial" w:hAnsi="Arial" w:eastAsia="宋体" w:cs="Arial"/>
          <w:bCs/>
          <w:color w:val="000000"/>
          <w:szCs w:val="24"/>
        </w:rPr>
        <w:t>或</w:t>
      </w:r>
      <w:r>
        <w:rPr>
          <w:rFonts w:ascii="Arial" w:hAnsi="Arial" w:eastAsia="宋体" w:cs="Arial"/>
          <w:bCs/>
          <w:color w:val="0000FF"/>
          <w:szCs w:val="24"/>
          <w:u w:val="single"/>
        </w:rPr>
        <w:t>http://www.fda.gov/cdrh/comp/designgd.pdf</w:t>
      </w:r>
      <w:r>
        <w:rPr>
          <w:rFonts w:ascii="Arial" w:hAnsi="Arial" w:eastAsia="宋体" w:cs="Arial"/>
          <w:bCs/>
          <w:color w:val="000000"/>
          <w:szCs w:val="24"/>
        </w:rPr>
        <w:t>（pdf）</w:t>
      </w:r>
    </w:p>
    <w:p w14:paraId="1F6BA33F">
      <w:pPr>
        <w:pStyle w:val="44"/>
        <w:numPr>
          <w:ilvl w:val="1"/>
          <w:numId w:val="14"/>
        </w:numPr>
        <w:shd w:val="clear" w:color="auto" w:fill="auto"/>
        <w:adjustRightInd w:val="0"/>
        <w:snapToGrid w:val="0"/>
        <w:spacing w:before="0" w:after="163" w:afterLines="50" w:line="300" w:lineRule="auto"/>
        <w:jc w:val="left"/>
        <w:rPr>
          <w:rFonts w:ascii="Arial" w:hAnsi="Arial" w:eastAsia="宋体" w:cs="Arial"/>
        </w:rPr>
      </w:pPr>
      <w:r>
        <w:rPr>
          <w:rFonts w:hint="eastAsia" w:ascii="Arial" w:hAnsi="Arial" w:eastAsia="宋体" w:cs="Arial"/>
        </w:rPr>
        <w:t>共识标准的认可和使用指南，</w:t>
      </w:r>
      <w:r>
        <w:rPr>
          <w:rFonts w:ascii="Arial" w:hAnsi="Arial" w:eastAsia="宋体" w:cs="Arial"/>
        </w:rPr>
        <w:t>1998年2</w:t>
      </w:r>
      <w:r>
        <w:rPr>
          <w:rFonts w:hint="eastAsia" w:ascii="Arial" w:hAnsi="Arial" w:eastAsia="宋体" w:cs="Arial"/>
        </w:rPr>
        <w:t>月</w:t>
      </w:r>
      <w:r>
        <w:rPr>
          <w:rFonts w:ascii="Arial" w:hAnsi="Arial" w:eastAsia="宋体" w:cs="Arial"/>
        </w:rPr>
        <w:t>19</w:t>
      </w:r>
      <w:r>
        <w:rPr>
          <w:rFonts w:hint="eastAsia" w:ascii="Arial" w:hAnsi="Arial" w:eastAsia="宋体" w:cs="Arial"/>
        </w:rPr>
        <w:t>日。</w:t>
      </w:r>
      <w:r>
        <w:rPr>
          <w:rFonts w:ascii="Arial" w:hAnsi="Arial" w:eastAsia="宋体" w:cs="Arial"/>
          <w:bCs/>
          <w:color w:val="0000FF"/>
          <w:u w:val="single"/>
        </w:rPr>
        <w:t>http://www.fda.gov/cdrh/modact/k982.html</w:t>
      </w:r>
      <w:r>
        <w:rPr>
          <w:rFonts w:ascii="Arial" w:hAnsi="Arial" w:eastAsia="宋体" w:cs="Arial"/>
          <w:bCs/>
          <w:color w:val="0000FF"/>
        </w:rPr>
        <w:t xml:space="preserve"> </w:t>
      </w:r>
      <w:r>
        <w:rPr>
          <w:rFonts w:ascii="Arial" w:hAnsi="Arial" w:eastAsia="宋体" w:cs="Arial"/>
          <w:bCs/>
          <w:color w:val="000000"/>
        </w:rPr>
        <w:t>（</w:t>
      </w:r>
      <w:r>
        <w:rPr>
          <w:rFonts w:hint="eastAsia" w:ascii="Arial" w:hAnsi="Arial" w:eastAsia="宋体" w:cs="Arial"/>
          <w:bCs/>
          <w:color w:val="000000"/>
        </w:rPr>
        <w:t>文本</w:t>
      </w:r>
      <w:r>
        <w:rPr>
          <w:rFonts w:ascii="Arial" w:hAnsi="Arial" w:eastAsia="宋体" w:cs="Arial"/>
          <w:bCs/>
          <w:color w:val="000000"/>
        </w:rPr>
        <w:t>）</w:t>
      </w:r>
    </w:p>
    <w:p w14:paraId="2A83FA07">
      <w:pPr>
        <w:pStyle w:val="31"/>
        <w:widowControl w:val="0"/>
        <w:numPr>
          <w:ilvl w:val="1"/>
          <w:numId w:val="14"/>
        </w:numPr>
        <w:autoSpaceDE w:val="0"/>
        <w:autoSpaceDN w:val="0"/>
        <w:adjustRightInd w:val="0"/>
        <w:snapToGrid w:val="0"/>
        <w:spacing w:after="163" w:afterLines="50" w:line="300" w:lineRule="auto"/>
        <w:ind w:leftChars="0" w:right="0" w:rightChars="0" w:firstLineChars="0"/>
        <w:rPr>
          <w:rFonts w:ascii="Arial" w:hAnsi="Arial" w:eastAsia="宋体" w:cs="Arial"/>
          <w:szCs w:val="24"/>
        </w:rPr>
      </w:pPr>
      <w:r>
        <w:rPr>
          <w:rFonts w:hint="eastAsia" w:ascii="Arial" w:hAnsi="Arial" w:eastAsia="宋体" w:cs="Arial"/>
          <w:szCs w:val="24"/>
        </w:rPr>
        <w:t>医疗器械上市前提交中所含软件内容的指南，</w:t>
      </w:r>
      <w:r>
        <w:rPr>
          <w:rFonts w:ascii="Arial" w:hAnsi="Arial" w:eastAsia="宋体" w:cs="Arial"/>
          <w:szCs w:val="24"/>
        </w:rPr>
        <w:t>1998</w:t>
      </w:r>
      <w:r>
        <w:rPr>
          <w:rFonts w:hint="eastAsia" w:ascii="Arial" w:hAnsi="Arial" w:eastAsia="宋体" w:cs="Arial"/>
          <w:szCs w:val="24"/>
        </w:rPr>
        <w:t>年</w:t>
      </w:r>
      <w:r>
        <w:rPr>
          <w:rFonts w:ascii="Arial" w:hAnsi="Arial" w:eastAsia="宋体" w:cs="Arial"/>
          <w:szCs w:val="24"/>
        </w:rPr>
        <w:t>3</w:t>
      </w:r>
      <w:r>
        <w:rPr>
          <w:rFonts w:hint="eastAsia" w:ascii="Arial" w:hAnsi="Arial" w:eastAsia="宋体" w:cs="Arial"/>
          <w:szCs w:val="24"/>
        </w:rPr>
        <w:t>月</w:t>
      </w:r>
      <w:r>
        <w:rPr>
          <w:rFonts w:ascii="Arial" w:hAnsi="Arial" w:eastAsia="宋体" w:cs="Arial"/>
          <w:szCs w:val="24"/>
        </w:rPr>
        <w:t>29</w:t>
      </w:r>
      <w:r>
        <w:rPr>
          <w:rFonts w:hint="eastAsia" w:ascii="Arial" w:hAnsi="Arial" w:eastAsia="宋体" w:cs="Arial"/>
          <w:szCs w:val="24"/>
        </w:rPr>
        <w:t>日。</w:t>
      </w:r>
      <w:r>
        <w:rPr>
          <w:rFonts w:ascii="Arial" w:hAnsi="Arial" w:eastAsia="宋体" w:cs="Arial"/>
          <w:bCs/>
          <w:color w:val="0000FF"/>
          <w:szCs w:val="24"/>
          <w:u w:val="single"/>
        </w:rPr>
        <w:t>http://www.fda.gov/cdrh/ode/57.html</w:t>
      </w:r>
      <w:r>
        <w:rPr>
          <w:rFonts w:ascii="Arial" w:hAnsi="Arial" w:eastAsia="宋体" w:cs="Arial"/>
          <w:bCs/>
          <w:color w:val="0000FF"/>
          <w:szCs w:val="24"/>
        </w:rPr>
        <w:t xml:space="preserve"> </w:t>
      </w:r>
      <w:r>
        <w:rPr>
          <w:rFonts w:ascii="Arial" w:hAnsi="Arial" w:eastAsia="宋体" w:cs="Arial"/>
          <w:bCs/>
          <w:color w:val="000000"/>
          <w:szCs w:val="24"/>
        </w:rPr>
        <w:t>（</w:t>
      </w:r>
      <w:r>
        <w:rPr>
          <w:rFonts w:hint="eastAsia" w:ascii="Arial" w:hAnsi="Arial" w:eastAsia="宋体" w:cs="Arial"/>
          <w:bCs/>
          <w:color w:val="000000"/>
          <w:szCs w:val="24"/>
        </w:rPr>
        <w:t>文本</w:t>
      </w:r>
      <w:r>
        <w:rPr>
          <w:rFonts w:ascii="Arial" w:hAnsi="Arial" w:eastAsia="宋体" w:cs="Arial"/>
          <w:bCs/>
          <w:color w:val="000000"/>
          <w:szCs w:val="24"/>
        </w:rPr>
        <w:t>）</w:t>
      </w:r>
      <w:r>
        <w:rPr>
          <w:rFonts w:hint="eastAsia" w:ascii="Arial" w:hAnsi="Arial" w:eastAsia="宋体" w:cs="Arial"/>
          <w:bCs/>
          <w:color w:val="000000"/>
          <w:szCs w:val="24"/>
        </w:rPr>
        <w:t>或</w:t>
      </w:r>
      <w:r>
        <w:rPr>
          <w:rFonts w:ascii="Arial" w:hAnsi="Arial" w:eastAsia="宋体" w:cs="Arial"/>
          <w:bCs/>
          <w:color w:val="000000"/>
          <w:szCs w:val="24"/>
        </w:rPr>
        <w:t xml:space="preserve"> </w:t>
      </w:r>
      <w:r>
        <w:rPr>
          <w:rFonts w:ascii="Arial" w:hAnsi="Arial" w:eastAsia="宋体" w:cs="Arial"/>
          <w:bCs/>
          <w:color w:val="0000FF"/>
          <w:szCs w:val="24"/>
          <w:u w:val="single"/>
        </w:rPr>
        <w:t>http://www.fda.gov/cdrh/ode/software.pdf</w:t>
      </w:r>
      <w:r>
        <w:rPr>
          <w:rFonts w:ascii="Arial" w:hAnsi="Arial" w:eastAsia="宋体" w:cs="Arial"/>
          <w:bCs/>
          <w:color w:val="0000FF"/>
          <w:szCs w:val="24"/>
        </w:rPr>
        <w:t xml:space="preserve"> </w:t>
      </w:r>
      <w:r>
        <w:rPr>
          <w:rFonts w:ascii="Arial" w:hAnsi="Arial" w:eastAsia="宋体" w:cs="Arial"/>
          <w:bCs/>
          <w:color w:val="000000"/>
          <w:szCs w:val="24"/>
        </w:rPr>
        <w:t>（pdf）</w:t>
      </w:r>
    </w:p>
    <w:p w14:paraId="12F964B6">
      <w:pPr>
        <w:pStyle w:val="31"/>
        <w:widowControl w:val="0"/>
        <w:numPr>
          <w:ilvl w:val="1"/>
          <w:numId w:val="14"/>
        </w:numPr>
        <w:autoSpaceDE w:val="0"/>
        <w:autoSpaceDN w:val="0"/>
        <w:adjustRightInd w:val="0"/>
        <w:snapToGrid w:val="0"/>
        <w:spacing w:after="163" w:afterLines="50" w:line="300" w:lineRule="auto"/>
        <w:ind w:leftChars="0" w:right="0" w:rightChars="0" w:firstLineChars="0"/>
        <w:rPr>
          <w:rFonts w:ascii="Arial" w:hAnsi="Arial" w:eastAsia="宋体" w:cs="Arial"/>
          <w:color w:val="0000FF"/>
          <w:szCs w:val="24"/>
          <w:u w:val="single"/>
          <w:lang w:val="de-DE"/>
        </w:rPr>
      </w:pPr>
      <w:r>
        <w:rPr>
          <w:rFonts w:hint="eastAsia" w:ascii="Arial" w:hAnsi="Arial" w:eastAsia="宋体" w:cs="Arial"/>
          <w:szCs w:val="24"/>
        </w:rPr>
        <w:t>医疗器械使用现成软件的指南，</w:t>
      </w:r>
      <w:r>
        <w:rPr>
          <w:rFonts w:ascii="Arial" w:hAnsi="Arial" w:eastAsia="宋体" w:cs="Arial"/>
          <w:szCs w:val="24"/>
        </w:rPr>
        <w:t>1999</w:t>
      </w:r>
      <w:r>
        <w:rPr>
          <w:rFonts w:hint="eastAsia" w:ascii="Arial" w:hAnsi="Arial" w:eastAsia="宋体" w:cs="Arial"/>
          <w:szCs w:val="24"/>
        </w:rPr>
        <w:t>年</w:t>
      </w:r>
      <w:r>
        <w:rPr>
          <w:rFonts w:ascii="Arial" w:hAnsi="Arial" w:eastAsia="宋体" w:cs="Arial"/>
          <w:szCs w:val="24"/>
        </w:rPr>
        <w:t>9</w:t>
      </w:r>
      <w:r>
        <w:rPr>
          <w:rFonts w:hint="eastAsia" w:ascii="Arial" w:hAnsi="Arial" w:eastAsia="宋体" w:cs="Arial"/>
          <w:szCs w:val="24"/>
        </w:rPr>
        <w:t>月</w:t>
      </w:r>
      <w:r>
        <w:rPr>
          <w:rFonts w:ascii="Arial" w:hAnsi="Arial" w:eastAsia="宋体" w:cs="Arial"/>
          <w:szCs w:val="24"/>
        </w:rPr>
        <w:t>9</w:t>
      </w:r>
      <w:r>
        <w:rPr>
          <w:rFonts w:hint="eastAsia" w:ascii="Arial" w:hAnsi="Arial" w:eastAsia="宋体" w:cs="Arial"/>
          <w:szCs w:val="24"/>
        </w:rPr>
        <w:t>日。</w:t>
      </w:r>
      <w:r>
        <w:fldChar w:fldCharType="begin"/>
      </w:r>
      <w:r>
        <w:instrText xml:space="preserve"> HYPERLINK "http://www.fda.gov/cdrh/ode/1252.html" </w:instrText>
      </w:r>
      <w:r>
        <w:fldChar w:fldCharType="separate"/>
      </w:r>
      <w:r>
        <w:rPr>
          <w:rStyle w:val="20"/>
          <w:rFonts w:ascii="Arial" w:hAnsi="Arial" w:eastAsia="宋体" w:cs="Arial"/>
          <w:color w:val="0000FF"/>
          <w:lang w:val="de-DE"/>
        </w:rPr>
        <w:t>http://www.fda.gov/cdrh/ode/1252.html</w:t>
      </w:r>
      <w:r>
        <w:rPr>
          <w:rStyle w:val="20"/>
          <w:rFonts w:ascii="Arial" w:hAnsi="Arial" w:eastAsia="宋体" w:cs="Arial"/>
          <w:color w:val="0000FF"/>
          <w:lang w:val="de-DE"/>
        </w:rPr>
        <w:fldChar w:fldCharType="end"/>
      </w:r>
      <w:r>
        <w:rPr>
          <w:rFonts w:ascii="Arial" w:hAnsi="Arial" w:eastAsia="宋体" w:cs="Arial"/>
          <w:bCs/>
          <w:color w:val="000000"/>
          <w:szCs w:val="24"/>
          <w:lang w:val="de-DE"/>
        </w:rPr>
        <w:t>（</w:t>
      </w:r>
      <w:r>
        <w:rPr>
          <w:rFonts w:hint="eastAsia" w:ascii="Arial" w:hAnsi="Arial" w:eastAsia="宋体" w:cs="Arial"/>
          <w:bCs/>
          <w:color w:val="000000"/>
          <w:szCs w:val="24"/>
        </w:rPr>
        <w:t>文本</w:t>
      </w:r>
      <w:r>
        <w:rPr>
          <w:rFonts w:ascii="Arial" w:hAnsi="Arial" w:eastAsia="宋体" w:cs="Arial"/>
          <w:bCs/>
          <w:color w:val="000000"/>
          <w:szCs w:val="24"/>
          <w:lang w:val="de-DE"/>
        </w:rPr>
        <w:t>）</w:t>
      </w:r>
      <w:r>
        <w:rPr>
          <w:rFonts w:hint="eastAsia" w:ascii="Arial" w:hAnsi="Arial" w:eastAsia="宋体" w:cs="Arial"/>
          <w:bCs/>
          <w:color w:val="000000"/>
          <w:szCs w:val="24"/>
        </w:rPr>
        <w:t>或</w:t>
      </w:r>
      <w:r>
        <w:fldChar w:fldCharType="begin"/>
      </w:r>
      <w:r>
        <w:instrText xml:space="preserve"> HYPERLINK "http://www.fda.gov/cdrh/ode/otssguid.pdf" </w:instrText>
      </w:r>
      <w:r>
        <w:fldChar w:fldCharType="separate"/>
      </w:r>
      <w:r>
        <w:rPr>
          <w:rStyle w:val="20"/>
          <w:rFonts w:ascii="Arial" w:hAnsi="Arial" w:eastAsia="宋体" w:cs="Arial"/>
          <w:color w:val="0000FF"/>
          <w:lang w:val="de-DE"/>
        </w:rPr>
        <w:t>http://www.fda.gov/cdrh/ode/otssguid.pdf</w:t>
      </w:r>
      <w:r>
        <w:rPr>
          <w:rStyle w:val="20"/>
          <w:rFonts w:ascii="Arial" w:hAnsi="Arial" w:eastAsia="宋体" w:cs="Arial"/>
          <w:color w:val="0000FF"/>
          <w:lang w:val="de-DE"/>
        </w:rPr>
        <w:fldChar w:fldCharType="end"/>
      </w:r>
      <w:r>
        <w:rPr>
          <w:rFonts w:hint="eastAsia" w:ascii="Arial" w:hAnsi="Arial" w:eastAsia="宋体" w:cs="Arial"/>
          <w:color w:val="0000FF"/>
          <w:lang w:val="de-DE"/>
        </w:rPr>
        <w:t xml:space="preserve"> </w:t>
      </w:r>
      <w:r>
        <w:rPr>
          <w:rFonts w:hint="eastAsia" w:ascii="Arial" w:hAnsi="Arial" w:eastAsia="宋体" w:cs="Arial"/>
          <w:color w:val="000000" w:themeColor="text1"/>
          <w:lang w:val="de-DE"/>
          <w14:textFill>
            <w14:solidFill>
              <w14:schemeClr w14:val="tx1"/>
            </w14:solidFill>
          </w14:textFill>
        </w:rPr>
        <w:t>（pdf）</w:t>
      </w:r>
    </w:p>
    <w:p w14:paraId="46D19F99">
      <w:pPr>
        <w:pStyle w:val="44"/>
        <w:shd w:val="clear" w:color="auto" w:fill="auto"/>
        <w:adjustRightInd w:val="0"/>
        <w:snapToGrid w:val="0"/>
        <w:spacing w:before="0" w:after="163" w:afterLines="50" w:line="300" w:lineRule="auto"/>
        <w:ind w:firstLine="0"/>
        <w:jc w:val="left"/>
        <w:rPr>
          <w:rFonts w:ascii="Arial" w:hAnsi="Arial" w:eastAsia="宋体" w:cs="Arial"/>
          <w:lang w:val="de-DE"/>
        </w:rPr>
      </w:pPr>
    </w:p>
    <w:p w14:paraId="72576F1C">
      <w:pPr>
        <w:adjustRightInd w:val="0"/>
        <w:snapToGrid w:val="0"/>
        <w:spacing w:after="163" w:afterLines="50" w:line="300" w:lineRule="auto"/>
        <w:ind w:left="0" w:leftChars="0" w:right="0" w:rightChars="0"/>
        <w:rPr>
          <w:rFonts w:hint="eastAsia" w:eastAsia="宋体"/>
          <w:lang w:eastAsia="zh-CN"/>
        </w:rPr>
      </w:pPr>
    </w:p>
    <w:p w14:paraId="1DC9A751">
      <w:pPr>
        <w:adjustRightInd w:val="0"/>
        <w:snapToGrid w:val="0"/>
        <w:spacing w:after="163" w:afterLines="50" w:line="300" w:lineRule="auto"/>
        <w:ind w:left="0" w:leftChars="0" w:right="0" w:rightChars="0"/>
        <w:jc w:val="center"/>
        <w:rPr>
          <w:rFonts w:hint="eastAsia" w:eastAsia="宋体"/>
          <w:lang w:eastAsia="zh-CN"/>
        </w:rPr>
      </w:pPr>
    </w:p>
    <w:p w14:paraId="79E93766">
      <w:pPr>
        <w:adjustRightInd w:val="0"/>
        <w:snapToGrid w:val="0"/>
        <w:spacing w:after="163" w:afterLines="50" w:line="300" w:lineRule="auto"/>
        <w:ind w:left="0" w:leftChars="0" w:right="0" w:rightChars="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4"/>
                    <a:stretch>
                      <a:fillRect/>
                    </a:stretch>
                  </pic:blipFill>
                  <pic:spPr>
                    <a:xfrm>
                      <a:off x="0" y="0"/>
                      <a:ext cx="5210175" cy="7343775"/>
                    </a:xfrm>
                    <a:prstGeom prst="rect">
                      <a:avLst/>
                    </a:prstGeom>
                  </pic:spPr>
                </pic:pic>
              </a:graphicData>
            </a:graphic>
          </wp:inline>
        </w:drawing>
      </w:r>
    </w:p>
    <w:sectPr>
      <w:footerReference r:id="rId11" w:type="default"/>
      <w:pgSz w:w="11906" w:h="16838"/>
      <w:pgMar w:top="1440" w:right="1800" w:bottom="1440" w:left="1800" w:header="851" w:footer="72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40" w:right="240"/>
      </w:pPr>
      <w:r>
        <w:separator/>
      </w:r>
    </w:p>
  </w:endnote>
  <w:endnote w:type="continuationSeparator" w:id="1">
    <w:p>
      <w:pPr>
        <w:spacing w:line="240" w:lineRule="auto"/>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EBC00">
    <w:pPr>
      <w:pStyle w:val="14"/>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4AB8">
    <w:pPr>
      <w:pStyle w:val="14"/>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17F06">
    <w:pPr>
      <w:pStyle w:val="14"/>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941906325"/>
      <w:docPartObj>
        <w:docPartGallery w:val="AutoText"/>
      </w:docPartObj>
    </w:sdtPr>
    <w:sdtEndPr>
      <w:rPr>
        <w:rFonts w:ascii="Arial" w:hAnsi="Arial" w:cs="Arial"/>
        <w:sz w:val="21"/>
        <w:szCs w:val="21"/>
      </w:rPr>
    </w:sdtEndPr>
    <w:sdtContent>
      <w:p w14:paraId="573ECB89">
        <w:pPr>
          <w:pStyle w:val="14"/>
          <w:ind w:right="240"/>
          <w:jc w:val="center"/>
          <w:rPr>
            <w:rFonts w:ascii="Arial" w:hAnsi="Arial" w:cs="Arial"/>
            <w:sz w:val="21"/>
            <w:szCs w:val="21"/>
          </w:rPr>
        </w:pPr>
        <w:r>
          <w:rPr>
            <w:rFonts w:hint="eastAsia" w:ascii="Arial" w:hAnsi="Arial" w:cs="Arial"/>
            <w:sz w:val="21"/>
            <w:szCs w:val="21"/>
          </w:rPr>
          <w:t>页码</w:t>
        </w: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10</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left="240" w:right="240"/>
      </w:pPr>
      <w:r>
        <w:separator/>
      </w:r>
    </w:p>
  </w:footnote>
  <w:footnote w:type="continuationSeparator" w:id="1">
    <w:p>
      <w:pPr>
        <w:spacing w:before="0" w:after="0" w:line="360" w:lineRule="auto"/>
        <w:ind w:left="240" w:right="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4BED8">
    <w:pPr>
      <w:pStyle w:val="15"/>
      <w:pBdr>
        <w:bottom w:val="none" w:color="auto" w:sz="0" w:space="0"/>
      </w:pBdr>
      <w:ind w:right="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C9F7">
    <w:pPr>
      <w:pStyle w:val="15"/>
      <w:ind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6B4F8">
    <w:pPr>
      <w:pStyle w:val="15"/>
      <w:ind w:right="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2"/>
      <w:numFmt w:val="decimal"/>
      <w:pStyle w:val="2"/>
      <w:lvlText w:val="%1."/>
      <w:lvlJc w:val="left"/>
      <w:pPr>
        <w:tabs>
          <w:tab w:val="left" w:pos="502"/>
        </w:tabs>
        <w:ind w:left="0" w:firstLine="0"/>
      </w:pPr>
      <w:rPr>
        <w:rFonts w:hint="default" w:ascii="Times New Roman" w:hAnsi="Times New Roman" w:cs="Times New Roman"/>
        <w:b/>
        <w:i w:val="0"/>
        <w:sz w:val="24"/>
        <w:szCs w:val="36"/>
      </w:rPr>
    </w:lvl>
    <w:lvl w:ilvl="1" w:tentative="0">
      <w:start w:val="1"/>
      <w:numFmt w:val="decimal"/>
      <w:pStyle w:val="4"/>
      <w:lvlText w:val="%1.%2"/>
      <w:lvlJc w:val="left"/>
      <w:pPr>
        <w:tabs>
          <w:tab w:val="left" w:pos="360"/>
        </w:tabs>
        <w:ind w:left="0" w:firstLine="0"/>
      </w:pPr>
      <w:rPr>
        <w:rFonts w:hint="default" w:ascii="Times New Roman" w:hAnsi="Times New Roman" w:cs="Times New Roman"/>
        <w:b/>
      </w:rPr>
    </w:lvl>
    <w:lvl w:ilvl="2" w:tentative="0">
      <w:start w:val="1"/>
      <w:numFmt w:val="decimal"/>
      <w:pStyle w:val="5"/>
      <w:lvlText w:val="%1.%2.%3"/>
      <w:lvlJc w:val="left"/>
      <w:pPr>
        <w:tabs>
          <w:tab w:val="left" w:pos="9270"/>
        </w:tabs>
        <w:ind w:left="0" w:firstLine="0"/>
      </w:pPr>
      <w:rPr>
        <w:rFonts w:hint="eastAsia" w:cs="Times New Roman"/>
      </w:rPr>
    </w:lvl>
    <w:lvl w:ilvl="3" w:tentative="0">
      <w:start w:val="1"/>
      <w:numFmt w:val="decimal"/>
      <w:pStyle w:val="6"/>
      <w:lvlText w:val="%1.%2.%3.%4"/>
      <w:lvlJc w:val="left"/>
      <w:pPr>
        <w:tabs>
          <w:tab w:val="left" w:pos="0"/>
        </w:tabs>
        <w:ind w:left="0" w:firstLine="0"/>
      </w:pPr>
      <w:rPr>
        <w:rFonts w:hint="eastAsia" w:cs="Times New Roman"/>
      </w:rPr>
    </w:lvl>
    <w:lvl w:ilvl="4" w:tentative="0">
      <w:start w:val="1"/>
      <w:numFmt w:val="decimal"/>
      <w:pStyle w:val="7"/>
      <w:lvlText w:val="%1.%2.%3.%4.%5"/>
      <w:lvlJc w:val="left"/>
      <w:pPr>
        <w:tabs>
          <w:tab w:val="left" w:pos="0"/>
        </w:tabs>
        <w:ind w:left="0" w:firstLine="0"/>
      </w:pPr>
      <w:rPr>
        <w:rFonts w:hint="eastAsia" w:cs="Times New Roman"/>
        <w:b/>
        <w:i w:val="0"/>
      </w:rPr>
    </w:lvl>
    <w:lvl w:ilvl="5" w:tentative="0">
      <w:start w:val="1"/>
      <w:numFmt w:val="decimal"/>
      <w:pStyle w:val="8"/>
      <w:lvlText w:val="%1.%2.%3.%4.%5.%6"/>
      <w:lvlJc w:val="left"/>
      <w:pPr>
        <w:tabs>
          <w:tab w:val="left" w:pos="0"/>
        </w:tabs>
        <w:ind w:left="0" w:firstLine="0"/>
      </w:pPr>
      <w:rPr>
        <w:rFonts w:hint="eastAsia" w:cs="Times New Roman"/>
      </w:rPr>
    </w:lvl>
    <w:lvl w:ilvl="6" w:tentative="0">
      <w:start w:val="1"/>
      <w:numFmt w:val="decimal"/>
      <w:pStyle w:val="9"/>
      <w:lvlText w:val="%1.%2.%3.%4.%5.%6.%7"/>
      <w:lvlJc w:val="left"/>
      <w:pPr>
        <w:tabs>
          <w:tab w:val="left" w:pos="0"/>
        </w:tabs>
        <w:ind w:left="0" w:firstLine="0"/>
      </w:pPr>
      <w:rPr>
        <w:rFonts w:hint="eastAsia" w:cs="Times New Roman"/>
      </w:rPr>
    </w:lvl>
    <w:lvl w:ilvl="7" w:tentative="0">
      <w:start w:val="1"/>
      <w:numFmt w:val="decimal"/>
      <w:pStyle w:val="10"/>
      <w:lvlText w:val="%1.%2.%3.%4.%5.%6.%7.%8"/>
      <w:lvlJc w:val="left"/>
      <w:pPr>
        <w:tabs>
          <w:tab w:val="left" w:pos="0"/>
        </w:tabs>
        <w:ind w:left="0" w:firstLine="0"/>
      </w:pPr>
      <w:rPr>
        <w:rFonts w:hint="eastAsia" w:cs="Times New Roman"/>
      </w:rPr>
    </w:lvl>
    <w:lvl w:ilvl="8" w:tentative="0">
      <w:start w:val="1"/>
      <w:numFmt w:val="decimal"/>
      <w:pStyle w:val="11"/>
      <w:lvlText w:val="%1.%2.%3.%4.%5.%6.%7.%8.%9"/>
      <w:lvlJc w:val="left"/>
      <w:pPr>
        <w:tabs>
          <w:tab w:val="left" w:pos="0"/>
        </w:tabs>
        <w:ind w:left="0" w:firstLine="0"/>
      </w:pPr>
      <w:rPr>
        <w:rFonts w:hint="eastAsia" w:cs="Times New Roman"/>
      </w:rPr>
    </w:lvl>
  </w:abstractNum>
  <w:abstractNum w:abstractNumId="1">
    <w:nsid w:val="01AA1760"/>
    <w:multiLevelType w:val="multilevel"/>
    <w:tmpl w:val="01AA1760"/>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
    <w:nsid w:val="040D0DEE"/>
    <w:multiLevelType w:val="multilevel"/>
    <w:tmpl w:val="040D0DEE"/>
    <w:lvl w:ilvl="0" w:tentative="0">
      <w:start w:val="1"/>
      <w:numFmt w:val="upperLetter"/>
      <w:lvlText w:val="%1."/>
      <w:lvlJc w:val="left"/>
      <w:pPr>
        <w:ind w:left="420" w:hanging="420"/>
      </w:pPr>
      <w:rPr>
        <w:rFonts w:hint="eastAsia"/>
      </w:rPr>
    </w:lvl>
    <w:lvl w:ilvl="1" w:tentative="0">
      <w:start w:val="1"/>
      <w:numFmt w:val="upperLetter"/>
      <w:lvlText w:val="%2."/>
      <w:lvlJc w:val="left"/>
      <w:pPr>
        <w:ind w:left="840" w:hanging="420"/>
      </w:pPr>
      <w:rPr>
        <w:color w:val="000000" w:themeColor="text1"/>
        <w14:textFill>
          <w14:solidFill>
            <w14:schemeClr w14:val="tx1"/>
          </w14:solidFill>
        </w14:textFil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E35872"/>
    <w:multiLevelType w:val="multilevel"/>
    <w:tmpl w:val="0AE35872"/>
    <w:lvl w:ilvl="0" w:tentative="0">
      <w:start w:val="1"/>
      <w:numFmt w:val="bullet"/>
      <w:lvlText w:val=""/>
      <w:lvlJc w:val="left"/>
      <w:pPr>
        <w:ind w:left="1202" w:hanging="420"/>
      </w:pPr>
      <w:rPr>
        <w:rFonts w:hint="default" w:ascii="Wingdings" w:hAnsi="Wingdings"/>
      </w:rPr>
    </w:lvl>
    <w:lvl w:ilvl="1" w:tentative="0">
      <w:start w:val="1"/>
      <w:numFmt w:val="bullet"/>
      <w:lvlText w:val=""/>
      <w:lvlJc w:val="left"/>
      <w:pPr>
        <w:ind w:left="1622" w:hanging="420"/>
      </w:pPr>
      <w:rPr>
        <w:rFonts w:hint="default" w:ascii="Wingdings" w:hAnsi="Wingdings"/>
      </w:rPr>
    </w:lvl>
    <w:lvl w:ilvl="2" w:tentative="0">
      <w:start w:val="1"/>
      <w:numFmt w:val="bullet"/>
      <w:lvlText w:val=""/>
      <w:lvlJc w:val="left"/>
      <w:pPr>
        <w:ind w:left="2042" w:hanging="420"/>
      </w:pPr>
      <w:rPr>
        <w:rFonts w:hint="default" w:ascii="Wingdings" w:hAnsi="Wingdings"/>
      </w:rPr>
    </w:lvl>
    <w:lvl w:ilvl="3" w:tentative="0">
      <w:start w:val="1"/>
      <w:numFmt w:val="bullet"/>
      <w:lvlText w:val=""/>
      <w:lvlJc w:val="left"/>
      <w:pPr>
        <w:ind w:left="2462" w:hanging="420"/>
      </w:pPr>
      <w:rPr>
        <w:rFonts w:hint="default" w:ascii="Wingdings" w:hAnsi="Wingdings"/>
      </w:rPr>
    </w:lvl>
    <w:lvl w:ilvl="4" w:tentative="0">
      <w:start w:val="1"/>
      <w:numFmt w:val="bullet"/>
      <w:lvlText w:val=""/>
      <w:lvlJc w:val="left"/>
      <w:pPr>
        <w:ind w:left="2882" w:hanging="420"/>
      </w:pPr>
      <w:rPr>
        <w:rFonts w:hint="default" w:ascii="Wingdings" w:hAnsi="Wingdings"/>
      </w:rPr>
    </w:lvl>
    <w:lvl w:ilvl="5" w:tentative="0">
      <w:start w:val="1"/>
      <w:numFmt w:val="bullet"/>
      <w:lvlText w:val=""/>
      <w:lvlJc w:val="left"/>
      <w:pPr>
        <w:ind w:left="3302" w:hanging="420"/>
      </w:pPr>
      <w:rPr>
        <w:rFonts w:hint="default" w:ascii="Wingdings" w:hAnsi="Wingdings"/>
      </w:rPr>
    </w:lvl>
    <w:lvl w:ilvl="6" w:tentative="0">
      <w:start w:val="1"/>
      <w:numFmt w:val="bullet"/>
      <w:lvlText w:val=""/>
      <w:lvlJc w:val="left"/>
      <w:pPr>
        <w:ind w:left="3722" w:hanging="420"/>
      </w:pPr>
      <w:rPr>
        <w:rFonts w:hint="default" w:ascii="Wingdings" w:hAnsi="Wingdings"/>
      </w:rPr>
    </w:lvl>
    <w:lvl w:ilvl="7" w:tentative="0">
      <w:start w:val="1"/>
      <w:numFmt w:val="bullet"/>
      <w:lvlText w:val=""/>
      <w:lvlJc w:val="left"/>
      <w:pPr>
        <w:ind w:left="4142" w:hanging="420"/>
      </w:pPr>
      <w:rPr>
        <w:rFonts w:hint="default" w:ascii="Wingdings" w:hAnsi="Wingdings"/>
      </w:rPr>
    </w:lvl>
    <w:lvl w:ilvl="8" w:tentative="0">
      <w:start w:val="1"/>
      <w:numFmt w:val="bullet"/>
      <w:lvlText w:val=""/>
      <w:lvlJc w:val="left"/>
      <w:pPr>
        <w:ind w:left="4562" w:hanging="420"/>
      </w:pPr>
      <w:rPr>
        <w:rFonts w:hint="default" w:ascii="Wingdings" w:hAnsi="Wingdings"/>
      </w:rPr>
    </w:lvl>
  </w:abstractNum>
  <w:abstractNum w:abstractNumId="4">
    <w:nsid w:val="148C76C7"/>
    <w:multiLevelType w:val="multilevel"/>
    <w:tmpl w:val="148C76C7"/>
    <w:lvl w:ilvl="0" w:tentative="0">
      <w:start w:val="1"/>
      <w:numFmt w:val="upperRoman"/>
      <w:lvlText w:val="%1."/>
      <w:lvlJc w:val="left"/>
      <w:pPr>
        <w:ind w:left="720" w:hanging="7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E60866"/>
    <w:multiLevelType w:val="multilevel"/>
    <w:tmpl w:val="1BE608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7A7E22"/>
    <w:multiLevelType w:val="multilevel"/>
    <w:tmpl w:val="217A7E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F8766C2"/>
    <w:multiLevelType w:val="multilevel"/>
    <w:tmpl w:val="3F8766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12F5AFA"/>
    <w:multiLevelType w:val="multilevel"/>
    <w:tmpl w:val="412F5AFA"/>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131DEF"/>
    <w:multiLevelType w:val="multilevel"/>
    <w:tmpl w:val="54131DEF"/>
    <w:lvl w:ilvl="0" w:tentative="0">
      <w:start w:val="1"/>
      <w:numFmt w:val="upperLetter"/>
      <w:lvlText w:val="%1."/>
      <w:lvlJc w:val="left"/>
      <w:rPr>
        <w:rFonts w:hint="default" w:ascii="Arial" w:hAnsi="Arial" w:eastAsia="Times New Roman" w:cs="Arial"/>
        <w:b/>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C70760C"/>
    <w:multiLevelType w:val="multilevel"/>
    <w:tmpl w:val="5C70760C"/>
    <w:lvl w:ilvl="0" w:tentative="0">
      <w:start w:val="1"/>
      <w:numFmt w:val="upperLetter"/>
      <w:lvlText w:val="%1."/>
      <w:lvlJc w:val="left"/>
      <w:rPr>
        <w:rFonts w:hint="default" w:ascii="Arial" w:hAnsi="Arial" w:eastAsia="Times New Roman" w:cs="Arial"/>
        <w:b/>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DE6020F"/>
    <w:multiLevelType w:val="multilevel"/>
    <w:tmpl w:val="5DE6020F"/>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D43A18"/>
    <w:multiLevelType w:val="multilevel"/>
    <w:tmpl w:val="62D43A18"/>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3">
    <w:nsid w:val="7B1E75BE"/>
    <w:multiLevelType w:val="multilevel"/>
    <w:tmpl w:val="7B1E75BE"/>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num w:numId="1">
    <w:abstractNumId w:val="0"/>
  </w:num>
  <w:num w:numId="2">
    <w:abstractNumId w:val="4"/>
  </w:num>
  <w:num w:numId="3">
    <w:abstractNumId w:val="10"/>
  </w:num>
  <w:num w:numId="4">
    <w:abstractNumId w:val="3"/>
  </w:num>
  <w:num w:numId="5">
    <w:abstractNumId w:val="9"/>
  </w:num>
  <w:num w:numId="6">
    <w:abstractNumId w:val="6"/>
  </w:num>
  <w:num w:numId="7">
    <w:abstractNumId w:val="8"/>
  </w:num>
  <w:num w:numId="8">
    <w:abstractNumId w:val="1"/>
  </w:num>
  <w:num w:numId="9">
    <w:abstractNumId w:val="11"/>
  </w:num>
  <w:num w:numId="10">
    <w:abstractNumId w:val="13"/>
  </w:num>
  <w:num w:numId="11">
    <w:abstractNumId w:val="12"/>
  </w:num>
  <w:num w:numId="12">
    <w:abstractNumId w:val="5"/>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6C"/>
    <w:rsid w:val="0002199D"/>
    <w:rsid w:val="0003482A"/>
    <w:rsid w:val="00063985"/>
    <w:rsid w:val="00070DE9"/>
    <w:rsid w:val="00072EBC"/>
    <w:rsid w:val="000807F4"/>
    <w:rsid w:val="000A408C"/>
    <w:rsid w:val="000A44C7"/>
    <w:rsid w:val="000D764C"/>
    <w:rsid w:val="000F1897"/>
    <w:rsid w:val="000F5628"/>
    <w:rsid w:val="0012553F"/>
    <w:rsid w:val="00131611"/>
    <w:rsid w:val="00144D02"/>
    <w:rsid w:val="00164430"/>
    <w:rsid w:val="00175E8B"/>
    <w:rsid w:val="00195E53"/>
    <w:rsid w:val="001A6559"/>
    <w:rsid w:val="001F261F"/>
    <w:rsid w:val="001F5787"/>
    <w:rsid w:val="00221CDB"/>
    <w:rsid w:val="002403EC"/>
    <w:rsid w:val="00264255"/>
    <w:rsid w:val="002644A2"/>
    <w:rsid w:val="00274F2E"/>
    <w:rsid w:val="00285971"/>
    <w:rsid w:val="002961AB"/>
    <w:rsid w:val="00297D95"/>
    <w:rsid w:val="00322CFD"/>
    <w:rsid w:val="003605F3"/>
    <w:rsid w:val="0036419D"/>
    <w:rsid w:val="00381A1B"/>
    <w:rsid w:val="00383C88"/>
    <w:rsid w:val="003E69CC"/>
    <w:rsid w:val="00477862"/>
    <w:rsid w:val="0049101D"/>
    <w:rsid w:val="00495EE4"/>
    <w:rsid w:val="004E5EA9"/>
    <w:rsid w:val="004E799C"/>
    <w:rsid w:val="004F17FB"/>
    <w:rsid w:val="005265E9"/>
    <w:rsid w:val="0053441A"/>
    <w:rsid w:val="00537F15"/>
    <w:rsid w:val="005444C3"/>
    <w:rsid w:val="00592C0C"/>
    <w:rsid w:val="005C3305"/>
    <w:rsid w:val="006053B5"/>
    <w:rsid w:val="00607727"/>
    <w:rsid w:val="00610EE9"/>
    <w:rsid w:val="0061581C"/>
    <w:rsid w:val="00625B46"/>
    <w:rsid w:val="00650E40"/>
    <w:rsid w:val="006560A8"/>
    <w:rsid w:val="00656D72"/>
    <w:rsid w:val="00691921"/>
    <w:rsid w:val="006A2D22"/>
    <w:rsid w:val="006A770A"/>
    <w:rsid w:val="006C34E2"/>
    <w:rsid w:val="006F0EA9"/>
    <w:rsid w:val="00715B24"/>
    <w:rsid w:val="0076710D"/>
    <w:rsid w:val="00775289"/>
    <w:rsid w:val="00784406"/>
    <w:rsid w:val="0078520B"/>
    <w:rsid w:val="00786C70"/>
    <w:rsid w:val="007971C8"/>
    <w:rsid w:val="007D310A"/>
    <w:rsid w:val="007F413E"/>
    <w:rsid w:val="00802CB9"/>
    <w:rsid w:val="00812515"/>
    <w:rsid w:val="00815D43"/>
    <w:rsid w:val="00870AE4"/>
    <w:rsid w:val="00897022"/>
    <w:rsid w:val="008B5772"/>
    <w:rsid w:val="008C4B61"/>
    <w:rsid w:val="008E4475"/>
    <w:rsid w:val="008F6B27"/>
    <w:rsid w:val="0091342C"/>
    <w:rsid w:val="00930ADD"/>
    <w:rsid w:val="00932F59"/>
    <w:rsid w:val="009372EF"/>
    <w:rsid w:val="009478DF"/>
    <w:rsid w:val="009B6D0A"/>
    <w:rsid w:val="009C6BEA"/>
    <w:rsid w:val="009F57C5"/>
    <w:rsid w:val="009F673E"/>
    <w:rsid w:val="00A01FA4"/>
    <w:rsid w:val="00A1476C"/>
    <w:rsid w:val="00A21674"/>
    <w:rsid w:val="00A610D1"/>
    <w:rsid w:val="00A7354D"/>
    <w:rsid w:val="00A827DD"/>
    <w:rsid w:val="00A853CF"/>
    <w:rsid w:val="00AB2E9F"/>
    <w:rsid w:val="00AB3355"/>
    <w:rsid w:val="00AC6669"/>
    <w:rsid w:val="00AC7B38"/>
    <w:rsid w:val="00B00E09"/>
    <w:rsid w:val="00B12148"/>
    <w:rsid w:val="00B37CF5"/>
    <w:rsid w:val="00B437EB"/>
    <w:rsid w:val="00B664DA"/>
    <w:rsid w:val="00B77CAB"/>
    <w:rsid w:val="00BA7714"/>
    <w:rsid w:val="00BB7B3C"/>
    <w:rsid w:val="00BD2666"/>
    <w:rsid w:val="00C20F72"/>
    <w:rsid w:val="00C309DA"/>
    <w:rsid w:val="00C42DC7"/>
    <w:rsid w:val="00CB0AB7"/>
    <w:rsid w:val="00CB452D"/>
    <w:rsid w:val="00CC0AC3"/>
    <w:rsid w:val="00CE0D02"/>
    <w:rsid w:val="00CF0932"/>
    <w:rsid w:val="00CF2298"/>
    <w:rsid w:val="00D13DDE"/>
    <w:rsid w:val="00D258C1"/>
    <w:rsid w:val="00DB2C67"/>
    <w:rsid w:val="00DC4943"/>
    <w:rsid w:val="00DC61DA"/>
    <w:rsid w:val="00DC73E3"/>
    <w:rsid w:val="00DD2FE2"/>
    <w:rsid w:val="00DD4B2F"/>
    <w:rsid w:val="00E25F2D"/>
    <w:rsid w:val="00E54A6C"/>
    <w:rsid w:val="00EE79E2"/>
    <w:rsid w:val="00F14D86"/>
    <w:rsid w:val="00F21CA0"/>
    <w:rsid w:val="00F4010F"/>
    <w:rsid w:val="00F45F37"/>
    <w:rsid w:val="00F46D23"/>
    <w:rsid w:val="00F55A0F"/>
    <w:rsid w:val="00F6125E"/>
    <w:rsid w:val="00F61FFD"/>
    <w:rsid w:val="00F744D4"/>
    <w:rsid w:val="00FA00DB"/>
    <w:rsid w:val="00FA289F"/>
    <w:rsid w:val="00FF1604"/>
    <w:rsid w:val="5A31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ind w:left="240" w:leftChars="100" w:right="100" w:rightChars="100"/>
    </w:pPr>
    <w:rPr>
      <w:rFonts w:asciiTheme="minorHAnsi" w:hAnsiTheme="minorHAnsi" w:eastAsiaTheme="minorEastAsia" w:cstheme="minorBidi"/>
      <w:kern w:val="0"/>
      <w:sz w:val="24"/>
      <w:szCs w:val="21"/>
      <w:lang w:val="en-US" w:eastAsia="zh-CN" w:bidi="ar-SA"/>
    </w:rPr>
  </w:style>
  <w:style w:type="paragraph" w:styleId="2">
    <w:name w:val="heading 1"/>
    <w:basedOn w:val="3"/>
    <w:next w:val="1"/>
    <w:link w:val="21"/>
    <w:qFormat/>
    <w:uiPriority w:val="9"/>
    <w:pPr>
      <w:keepLines/>
      <w:pageBreakBefore/>
      <w:numPr>
        <w:ilvl w:val="0"/>
        <w:numId w:val="1"/>
      </w:numPr>
      <w:tabs>
        <w:tab w:val="left" w:pos="864"/>
        <w:tab w:val="left" w:pos="1152"/>
        <w:tab w:val="right" w:leader="dot" w:pos="8640"/>
      </w:tabs>
      <w:spacing w:before="40" w:after="40" w:line="240" w:lineRule="auto"/>
      <w:outlineLvl w:val="0"/>
    </w:pPr>
    <w:rPr>
      <w:rFonts w:ascii="Times New Roman" w:hAnsi="Times New Roman" w:eastAsia="Times New Roman" w:cs="Times New Roman"/>
      <w:b/>
      <w:caps/>
      <w:kern w:val="28"/>
      <w:szCs w:val="20"/>
      <w:lang w:eastAsia="en-US"/>
    </w:rPr>
  </w:style>
  <w:style w:type="paragraph" w:styleId="4">
    <w:name w:val="heading 2"/>
    <w:basedOn w:val="2"/>
    <w:next w:val="1"/>
    <w:link w:val="22"/>
    <w:qFormat/>
    <w:uiPriority w:val="9"/>
    <w:pPr>
      <w:pageBreakBefore w:val="0"/>
      <w:numPr>
        <w:ilvl w:val="1"/>
      </w:numPr>
      <w:tabs>
        <w:tab w:val="left" w:pos="851"/>
        <w:tab w:val="clear" w:pos="864"/>
        <w:tab w:val="clear" w:pos="1152"/>
      </w:tabs>
      <w:spacing w:before="0" w:after="0" w:line="360" w:lineRule="auto"/>
      <w:outlineLvl w:val="1"/>
    </w:pPr>
    <w:rPr>
      <w:rFonts w:eastAsia="宋体"/>
      <w:caps w:val="0"/>
      <w:lang w:eastAsia="zh-CN"/>
    </w:rPr>
  </w:style>
  <w:style w:type="paragraph" w:styleId="5">
    <w:name w:val="heading 3"/>
    <w:basedOn w:val="4"/>
    <w:next w:val="1"/>
    <w:link w:val="23"/>
    <w:qFormat/>
    <w:uiPriority w:val="9"/>
    <w:pPr>
      <w:keepNext/>
      <w:numPr>
        <w:ilvl w:val="2"/>
      </w:numPr>
      <w:tabs>
        <w:tab w:val="left" w:pos="720"/>
        <w:tab w:val="clear" w:pos="851"/>
      </w:tabs>
      <w:outlineLvl w:val="2"/>
    </w:pPr>
    <w:rPr>
      <w:szCs w:val="24"/>
    </w:rPr>
  </w:style>
  <w:style w:type="paragraph" w:styleId="6">
    <w:name w:val="heading 4"/>
    <w:basedOn w:val="5"/>
    <w:next w:val="1"/>
    <w:link w:val="24"/>
    <w:qFormat/>
    <w:uiPriority w:val="9"/>
    <w:pPr>
      <w:numPr>
        <w:ilvl w:val="3"/>
      </w:numPr>
      <w:tabs>
        <w:tab w:val="left" w:pos="851"/>
      </w:tabs>
      <w:outlineLvl w:val="3"/>
    </w:pPr>
  </w:style>
  <w:style w:type="paragraph" w:styleId="7">
    <w:name w:val="heading 5"/>
    <w:basedOn w:val="6"/>
    <w:next w:val="1"/>
    <w:link w:val="25"/>
    <w:qFormat/>
    <w:uiPriority w:val="9"/>
    <w:pPr>
      <w:numPr>
        <w:ilvl w:val="4"/>
      </w:numPr>
      <w:outlineLvl w:val="4"/>
    </w:pPr>
    <w:rPr>
      <w:i/>
    </w:rPr>
  </w:style>
  <w:style w:type="paragraph" w:styleId="8">
    <w:name w:val="heading 6"/>
    <w:basedOn w:val="7"/>
    <w:next w:val="1"/>
    <w:link w:val="26"/>
    <w:qFormat/>
    <w:uiPriority w:val="9"/>
    <w:pPr>
      <w:numPr>
        <w:ilvl w:val="5"/>
      </w:numPr>
      <w:outlineLvl w:val="5"/>
    </w:pPr>
  </w:style>
  <w:style w:type="paragraph" w:styleId="9">
    <w:name w:val="heading 7"/>
    <w:basedOn w:val="8"/>
    <w:next w:val="1"/>
    <w:link w:val="27"/>
    <w:qFormat/>
    <w:uiPriority w:val="9"/>
    <w:pPr>
      <w:numPr>
        <w:ilvl w:val="6"/>
      </w:numPr>
      <w:outlineLvl w:val="6"/>
    </w:pPr>
  </w:style>
  <w:style w:type="paragraph" w:styleId="10">
    <w:name w:val="heading 8"/>
    <w:basedOn w:val="9"/>
    <w:next w:val="1"/>
    <w:link w:val="28"/>
    <w:qFormat/>
    <w:uiPriority w:val="9"/>
    <w:pPr>
      <w:numPr>
        <w:ilvl w:val="7"/>
      </w:numPr>
      <w:outlineLvl w:val="7"/>
    </w:pPr>
  </w:style>
  <w:style w:type="paragraph" w:styleId="11">
    <w:name w:val="heading 9"/>
    <w:basedOn w:val="10"/>
    <w:next w:val="1"/>
    <w:link w:val="29"/>
    <w:qFormat/>
    <w:uiPriority w:val="9"/>
    <w:pPr>
      <w:numPr>
        <w:ilvl w:val="8"/>
      </w:numPr>
      <w:outlineLvl w:val="8"/>
    </w:p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toc 1"/>
    <w:basedOn w:val="1"/>
    <w:next w:val="1"/>
    <w:autoRedefine/>
    <w:semiHidden/>
    <w:unhideWhenUsed/>
    <w:qFormat/>
    <w:uiPriority w:val="39"/>
  </w:style>
  <w:style w:type="paragraph" w:styleId="12">
    <w:name w:val="caption"/>
    <w:basedOn w:val="1"/>
    <w:next w:val="1"/>
    <w:link w:val="30"/>
    <w:unhideWhenUsed/>
    <w:qFormat/>
    <w:uiPriority w:val="0"/>
    <w:pPr>
      <w:spacing w:after="200" w:line="240" w:lineRule="auto"/>
    </w:pPr>
    <w:rPr>
      <w:i/>
      <w:iCs/>
      <w:color w:val="1F497D" w:themeColor="text2"/>
      <w:sz w:val="18"/>
      <w:szCs w:val="18"/>
      <w14:textFill>
        <w14:solidFill>
          <w14:schemeClr w14:val="tx2"/>
        </w14:solidFill>
      </w14:textFill>
    </w:rPr>
  </w:style>
  <w:style w:type="paragraph" w:styleId="13">
    <w:name w:val="Balloon Text"/>
    <w:basedOn w:val="1"/>
    <w:link w:val="52"/>
    <w:semiHidden/>
    <w:unhideWhenUsed/>
    <w:uiPriority w:val="99"/>
    <w:pPr>
      <w:spacing w:after="0" w:line="240" w:lineRule="auto"/>
    </w:pPr>
    <w:rPr>
      <w:sz w:val="18"/>
      <w:szCs w:val="18"/>
    </w:rPr>
  </w:style>
  <w:style w:type="paragraph" w:styleId="14">
    <w:name w:val="footer"/>
    <w:basedOn w:val="1"/>
    <w:link w:val="46"/>
    <w:unhideWhenUsed/>
    <w:uiPriority w:val="99"/>
    <w:pPr>
      <w:tabs>
        <w:tab w:val="center" w:pos="4153"/>
        <w:tab w:val="right" w:pos="8306"/>
      </w:tabs>
      <w:snapToGrid w:val="0"/>
      <w:spacing w:line="240" w:lineRule="auto"/>
    </w:pPr>
    <w:rPr>
      <w:sz w:val="18"/>
      <w:szCs w:val="18"/>
    </w:rPr>
  </w:style>
  <w:style w:type="paragraph" w:styleId="15">
    <w:name w:val="header"/>
    <w:basedOn w:val="1"/>
    <w:link w:val="45"/>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17">
    <w:name w:val="Table Grid"/>
    <w:basedOn w:val="16"/>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0">
    <w:name w:val="Hyperlink"/>
    <w:basedOn w:val="18"/>
    <w:uiPriority w:val="0"/>
    <w:rPr>
      <w:color w:val="0066CC"/>
      <w:u w:val="single"/>
    </w:rPr>
  </w:style>
  <w:style w:type="character" w:customStyle="1" w:styleId="21">
    <w:name w:val="标题 1 Char"/>
    <w:basedOn w:val="18"/>
    <w:link w:val="2"/>
    <w:qFormat/>
    <w:uiPriority w:val="9"/>
    <w:rPr>
      <w:rFonts w:ascii="Times New Roman" w:hAnsi="Times New Roman" w:eastAsia="Times New Roman" w:cs="Times New Roman"/>
      <w:b/>
      <w:caps/>
      <w:kern w:val="28"/>
      <w:sz w:val="22"/>
      <w:szCs w:val="20"/>
      <w:lang w:eastAsia="en-US"/>
    </w:rPr>
  </w:style>
  <w:style w:type="character" w:customStyle="1" w:styleId="22">
    <w:name w:val="标题 2 Char"/>
    <w:basedOn w:val="18"/>
    <w:link w:val="4"/>
    <w:qFormat/>
    <w:uiPriority w:val="9"/>
    <w:rPr>
      <w:rFonts w:ascii="Times New Roman" w:hAnsi="Times New Roman" w:eastAsia="宋体" w:cs="Times New Roman"/>
      <w:b/>
      <w:kern w:val="28"/>
      <w:sz w:val="24"/>
      <w:szCs w:val="20"/>
    </w:rPr>
  </w:style>
  <w:style w:type="character" w:customStyle="1" w:styleId="23">
    <w:name w:val="标题 3 Char"/>
    <w:basedOn w:val="18"/>
    <w:link w:val="5"/>
    <w:qFormat/>
    <w:uiPriority w:val="9"/>
    <w:rPr>
      <w:rFonts w:ascii="Times New Roman" w:hAnsi="Times New Roman" w:eastAsia="宋体" w:cs="Times New Roman"/>
      <w:b/>
      <w:kern w:val="28"/>
      <w:sz w:val="24"/>
      <w:szCs w:val="24"/>
    </w:rPr>
  </w:style>
  <w:style w:type="character" w:customStyle="1" w:styleId="24">
    <w:name w:val="标题 4 Char"/>
    <w:basedOn w:val="18"/>
    <w:link w:val="6"/>
    <w:qFormat/>
    <w:uiPriority w:val="9"/>
    <w:rPr>
      <w:rFonts w:ascii="Times New Roman" w:hAnsi="Times New Roman" w:eastAsia="宋体" w:cs="Times New Roman"/>
      <w:b/>
      <w:kern w:val="28"/>
      <w:sz w:val="24"/>
      <w:szCs w:val="24"/>
    </w:rPr>
  </w:style>
  <w:style w:type="character" w:customStyle="1" w:styleId="25">
    <w:name w:val="标题 5 Char"/>
    <w:basedOn w:val="18"/>
    <w:link w:val="7"/>
    <w:uiPriority w:val="9"/>
    <w:rPr>
      <w:rFonts w:ascii="Times New Roman" w:hAnsi="Times New Roman" w:eastAsia="宋体" w:cs="Times New Roman"/>
      <w:b/>
      <w:i/>
      <w:kern w:val="28"/>
      <w:sz w:val="24"/>
      <w:szCs w:val="24"/>
    </w:rPr>
  </w:style>
  <w:style w:type="character" w:customStyle="1" w:styleId="26">
    <w:name w:val="标题 6 Char"/>
    <w:basedOn w:val="18"/>
    <w:link w:val="8"/>
    <w:qFormat/>
    <w:uiPriority w:val="9"/>
    <w:rPr>
      <w:rFonts w:ascii="Times New Roman" w:hAnsi="Times New Roman" w:eastAsia="宋体" w:cs="Times New Roman"/>
      <w:b/>
      <w:i/>
      <w:kern w:val="28"/>
      <w:sz w:val="24"/>
      <w:szCs w:val="24"/>
    </w:rPr>
  </w:style>
  <w:style w:type="character" w:customStyle="1" w:styleId="27">
    <w:name w:val="标题 7 Char"/>
    <w:basedOn w:val="18"/>
    <w:link w:val="9"/>
    <w:qFormat/>
    <w:uiPriority w:val="9"/>
    <w:rPr>
      <w:rFonts w:ascii="Times New Roman" w:hAnsi="Times New Roman" w:eastAsia="宋体" w:cs="Times New Roman"/>
      <w:b/>
      <w:i/>
      <w:kern w:val="28"/>
      <w:sz w:val="24"/>
      <w:szCs w:val="24"/>
    </w:rPr>
  </w:style>
  <w:style w:type="character" w:customStyle="1" w:styleId="28">
    <w:name w:val="标题 8 Char"/>
    <w:basedOn w:val="18"/>
    <w:link w:val="10"/>
    <w:qFormat/>
    <w:uiPriority w:val="9"/>
    <w:rPr>
      <w:rFonts w:ascii="Times New Roman" w:hAnsi="Times New Roman" w:eastAsia="宋体" w:cs="Times New Roman"/>
      <w:b/>
      <w:i/>
      <w:kern w:val="28"/>
      <w:sz w:val="24"/>
      <w:szCs w:val="24"/>
    </w:rPr>
  </w:style>
  <w:style w:type="character" w:customStyle="1" w:styleId="29">
    <w:name w:val="标题 9 Char"/>
    <w:basedOn w:val="18"/>
    <w:link w:val="11"/>
    <w:qFormat/>
    <w:uiPriority w:val="9"/>
    <w:rPr>
      <w:rFonts w:ascii="Times New Roman" w:hAnsi="Times New Roman" w:eastAsia="宋体" w:cs="Times New Roman"/>
      <w:b/>
      <w:i/>
      <w:kern w:val="28"/>
      <w:sz w:val="24"/>
      <w:szCs w:val="24"/>
    </w:rPr>
  </w:style>
  <w:style w:type="character" w:customStyle="1" w:styleId="30">
    <w:name w:val="题注 Char"/>
    <w:link w:val="12"/>
    <w:qFormat/>
    <w:uiPriority w:val="0"/>
    <w:rPr>
      <w:i/>
      <w:iCs/>
      <w:color w:val="1F497D" w:themeColor="text2"/>
      <w:kern w:val="0"/>
      <w:sz w:val="18"/>
      <w:szCs w:val="18"/>
      <w14:textFill>
        <w14:solidFill>
          <w14:schemeClr w14:val="tx2"/>
        </w14:solidFill>
      </w14:textFill>
    </w:rPr>
  </w:style>
  <w:style w:type="paragraph" w:styleId="31">
    <w:name w:val="List Paragraph"/>
    <w:basedOn w:val="1"/>
    <w:unhideWhenUsed/>
    <w:qFormat/>
    <w:uiPriority w:val="34"/>
    <w:pPr>
      <w:ind w:firstLine="420" w:firstLineChars="200"/>
    </w:pPr>
  </w:style>
  <w:style w:type="paragraph" w:customStyle="1" w:styleId="32">
    <w:name w:val="Para"/>
    <w:basedOn w:val="1"/>
    <w:link w:val="33"/>
    <w:qFormat/>
    <w:uiPriority w:val="99"/>
    <w:pPr>
      <w:spacing w:after="240" w:line="312" w:lineRule="atLeast"/>
    </w:pPr>
    <w:rPr>
      <w:rFonts w:ascii="Times" w:hAnsi="Times" w:eastAsia="Times New Roman" w:cs="Times New Roman"/>
      <w:szCs w:val="20"/>
      <w:lang w:eastAsia="en-US"/>
    </w:rPr>
  </w:style>
  <w:style w:type="character" w:customStyle="1" w:styleId="33">
    <w:name w:val="Para Char"/>
    <w:link w:val="32"/>
    <w:qFormat/>
    <w:locked/>
    <w:uiPriority w:val="99"/>
    <w:rPr>
      <w:rFonts w:ascii="Times" w:hAnsi="Times" w:eastAsia="Times New Roman" w:cs="Times New Roman"/>
      <w:kern w:val="0"/>
      <w:sz w:val="24"/>
      <w:szCs w:val="20"/>
      <w:lang w:eastAsia="en-US"/>
    </w:rPr>
  </w:style>
  <w:style w:type="paragraph" w:customStyle="1" w:styleId="34">
    <w:name w:val="List Paragraph1"/>
    <w:basedOn w:val="1"/>
    <w:qFormat/>
    <w:uiPriority w:val="34"/>
    <w:pPr>
      <w:ind w:left="720"/>
      <w:contextualSpacing/>
    </w:pPr>
  </w:style>
  <w:style w:type="paragraph" w:customStyle="1" w:styleId="35">
    <w:name w:val="申报正文"/>
    <w:basedOn w:val="1"/>
    <w:link w:val="36"/>
    <w:qFormat/>
    <w:uiPriority w:val="0"/>
    <w:pPr>
      <w:widowControl w:val="0"/>
      <w:adjustRightInd w:val="0"/>
      <w:snapToGrid w:val="0"/>
      <w:spacing w:beforeLines="50" w:afterLines="50"/>
      <w:ind w:firstLine="200" w:firstLineChars="200"/>
      <w:jc w:val="both"/>
    </w:pPr>
    <w:rPr>
      <w:rFonts w:ascii="Times New Roman" w:hAnsi="宋体" w:eastAsia="宋体" w:cs="Times New Roman"/>
      <w:kern w:val="2"/>
      <w:szCs w:val="24"/>
    </w:rPr>
  </w:style>
  <w:style w:type="character" w:customStyle="1" w:styleId="36">
    <w:name w:val="申报正文 Char"/>
    <w:link w:val="35"/>
    <w:uiPriority w:val="0"/>
    <w:rPr>
      <w:rFonts w:ascii="Times New Roman" w:hAnsi="宋体" w:eastAsia="宋体" w:cs="Times New Roman"/>
      <w:sz w:val="24"/>
      <w:szCs w:val="24"/>
    </w:rPr>
  </w:style>
  <w:style w:type="paragraph" w:customStyle="1" w:styleId="37">
    <w:name w:val="标注"/>
    <w:basedOn w:val="1"/>
    <w:link w:val="38"/>
    <w:qFormat/>
    <w:uiPriority w:val="0"/>
    <w:pPr>
      <w:widowControl w:val="0"/>
      <w:adjustRightInd w:val="0"/>
      <w:snapToGrid w:val="0"/>
      <w:spacing w:after="0" w:line="240" w:lineRule="auto"/>
      <w:jc w:val="both"/>
    </w:pPr>
    <w:rPr>
      <w:rFonts w:ascii="Times New Roman" w:hAnsi="宋体" w:eastAsia="宋体" w:cs="Times New Roman"/>
      <w:kern w:val="2"/>
      <w:sz w:val="21"/>
    </w:rPr>
  </w:style>
  <w:style w:type="character" w:customStyle="1" w:styleId="38">
    <w:name w:val="标注 Char"/>
    <w:link w:val="37"/>
    <w:qFormat/>
    <w:uiPriority w:val="0"/>
    <w:rPr>
      <w:rFonts w:ascii="Times New Roman" w:hAnsi="宋体" w:eastAsia="宋体" w:cs="Times New Roman"/>
      <w:szCs w:val="21"/>
    </w:rPr>
  </w:style>
  <w:style w:type="character" w:customStyle="1" w:styleId="39">
    <w:name w:val="正文文本 (3)_"/>
    <w:basedOn w:val="18"/>
    <w:qFormat/>
    <w:uiPriority w:val="0"/>
    <w:rPr>
      <w:rFonts w:ascii="Times New Roman" w:hAnsi="Times New Roman" w:eastAsia="Times New Roman" w:cs="Times New Roman"/>
      <w:sz w:val="32"/>
      <w:szCs w:val="32"/>
      <w:u w:val="none"/>
    </w:rPr>
  </w:style>
  <w:style w:type="character" w:customStyle="1" w:styleId="40">
    <w:name w:val="正文文本 (3)"/>
    <w:basedOn w:val="39"/>
    <w:qFormat/>
    <w:uiPriority w:val="0"/>
    <w:rPr>
      <w:rFonts w:ascii="Times New Roman" w:hAnsi="Times New Roman" w:eastAsia="Times New Roman" w:cs="Times New Roman"/>
      <w:color w:val="000000"/>
      <w:spacing w:val="0"/>
      <w:w w:val="100"/>
      <w:position w:val="0"/>
      <w:sz w:val="32"/>
      <w:szCs w:val="32"/>
      <w:u w:val="none"/>
      <w:lang w:val="en-US" w:eastAsia="en-US" w:bidi="en-US"/>
    </w:rPr>
  </w:style>
  <w:style w:type="character" w:customStyle="1" w:styleId="41">
    <w:name w:val="正文文本 (4)_"/>
    <w:basedOn w:val="18"/>
    <w:link w:val="42"/>
    <w:uiPriority w:val="0"/>
    <w:rPr>
      <w:rFonts w:ascii="Times New Roman" w:hAnsi="Times New Roman" w:eastAsia="Times New Roman" w:cs="Times New Roman"/>
      <w:b/>
      <w:bCs/>
      <w:sz w:val="60"/>
      <w:szCs w:val="60"/>
      <w:shd w:val="clear" w:color="auto" w:fill="FFFFFF"/>
    </w:rPr>
  </w:style>
  <w:style w:type="paragraph" w:customStyle="1" w:styleId="42">
    <w:name w:val="正文文本 (4)"/>
    <w:basedOn w:val="1"/>
    <w:link w:val="41"/>
    <w:uiPriority w:val="0"/>
    <w:pPr>
      <w:widowControl w:val="0"/>
      <w:shd w:val="clear" w:color="auto" w:fill="FFFFFF"/>
      <w:spacing w:after="900" w:line="691" w:lineRule="exact"/>
      <w:ind w:left="0" w:leftChars="0" w:right="0" w:rightChars="0"/>
      <w:jc w:val="center"/>
    </w:pPr>
    <w:rPr>
      <w:rFonts w:ascii="Times New Roman" w:hAnsi="Times New Roman" w:eastAsia="Times New Roman" w:cs="Times New Roman"/>
      <w:b/>
      <w:bCs/>
      <w:kern w:val="2"/>
      <w:sz w:val="60"/>
      <w:szCs w:val="60"/>
    </w:rPr>
  </w:style>
  <w:style w:type="character" w:customStyle="1" w:styleId="43">
    <w:name w:val="正文文本 (2)_"/>
    <w:basedOn w:val="18"/>
    <w:link w:val="44"/>
    <w:uiPriority w:val="0"/>
    <w:rPr>
      <w:rFonts w:ascii="Times New Roman" w:hAnsi="Times New Roman" w:eastAsia="Times New Roman" w:cs="Times New Roman"/>
      <w:sz w:val="24"/>
      <w:szCs w:val="24"/>
      <w:shd w:val="clear" w:color="auto" w:fill="FFFFFF"/>
    </w:rPr>
  </w:style>
  <w:style w:type="paragraph" w:customStyle="1" w:styleId="44">
    <w:name w:val="正文文本 (2)"/>
    <w:basedOn w:val="1"/>
    <w:link w:val="43"/>
    <w:uiPriority w:val="0"/>
    <w:pPr>
      <w:widowControl w:val="0"/>
      <w:shd w:val="clear" w:color="auto" w:fill="FFFFFF"/>
      <w:spacing w:before="360" w:after="4080" w:line="283" w:lineRule="exact"/>
      <w:ind w:left="0" w:leftChars="0" w:right="0" w:rightChars="0" w:hanging="440"/>
      <w:jc w:val="both"/>
    </w:pPr>
    <w:rPr>
      <w:rFonts w:ascii="Times New Roman" w:hAnsi="Times New Roman" w:eastAsia="Times New Roman" w:cs="Times New Roman"/>
      <w:kern w:val="2"/>
      <w:szCs w:val="24"/>
    </w:rPr>
  </w:style>
  <w:style w:type="character" w:customStyle="1" w:styleId="45">
    <w:name w:val="页眉 Char"/>
    <w:basedOn w:val="18"/>
    <w:link w:val="15"/>
    <w:semiHidden/>
    <w:uiPriority w:val="99"/>
    <w:rPr>
      <w:kern w:val="0"/>
      <w:sz w:val="18"/>
      <w:szCs w:val="18"/>
    </w:rPr>
  </w:style>
  <w:style w:type="character" w:customStyle="1" w:styleId="46">
    <w:name w:val="页脚 Char"/>
    <w:basedOn w:val="18"/>
    <w:link w:val="14"/>
    <w:uiPriority w:val="99"/>
    <w:rPr>
      <w:kern w:val="0"/>
      <w:sz w:val="18"/>
      <w:szCs w:val="18"/>
    </w:rPr>
  </w:style>
  <w:style w:type="character" w:customStyle="1" w:styleId="47">
    <w:name w:val="标题 #3_"/>
    <w:basedOn w:val="18"/>
    <w:link w:val="48"/>
    <w:uiPriority w:val="0"/>
    <w:rPr>
      <w:rFonts w:ascii="Times New Roman" w:hAnsi="Times New Roman" w:eastAsia="Times New Roman" w:cs="Times New Roman"/>
      <w:b/>
      <w:bCs/>
      <w:sz w:val="28"/>
      <w:szCs w:val="28"/>
      <w:shd w:val="clear" w:color="auto" w:fill="FFFFFF"/>
    </w:rPr>
  </w:style>
  <w:style w:type="paragraph" w:customStyle="1" w:styleId="48">
    <w:name w:val="标题 #3"/>
    <w:basedOn w:val="1"/>
    <w:link w:val="47"/>
    <w:qFormat/>
    <w:uiPriority w:val="0"/>
    <w:pPr>
      <w:widowControl w:val="0"/>
      <w:shd w:val="clear" w:color="auto" w:fill="FFFFFF"/>
      <w:spacing w:before="900" w:after="360" w:line="0" w:lineRule="atLeast"/>
      <w:ind w:left="0" w:leftChars="0" w:right="0" w:rightChars="0"/>
      <w:outlineLvl w:val="2"/>
    </w:pPr>
    <w:rPr>
      <w:rFonts w:ascii="Times New Roman" w:hAnsi="Times New Roman" w:eastAsia="Times New Roman" w:cs="Times New Roman"/>
      <w:b/>
      <w:bCs/>
      <w:kern w:val="2"/>
      <w:sz w:val="28"/>
      <w:szCs w:val="28"/>
    </w:rPr>
  </w:style>
  <w:style w:type="character" w:customStyle="1" w:styleId="49">
    <w:name w:val="标题 #4_"/>
    <w:basedOn w:val="18"/>
    <w:link w:val="50"/>
    <w:qFormat/>
    <w:uiPriority w:val="0"/>
    <w:rPr>
      <w:rFonts w:ascii="Times New Roman" w:hAnsi="Times New Roman" w:eastAsia="Times New Roman" w:cs="Times New Roman"/>
      <w:b/>
      <w:bCs/>
      <w:shd w:val="clear" w:color="auto" w:fill="FFFFFF"/>
    </w:rPr>
  </w:style>
  <w:style w:type="paragraph" w:customStyle="1" w:styleId="50">
    <w:name w:val="标题 #4"/>
    <w:basedOn w:val="1"/>
    <w:link w:val="49"/>
    <w:uiPriority w:val="0"/>
    <w:pPr>
      <w:widowControl w:val="0"/>
      <w:shd w:val="clear" w:color="auto" w:fill="FFFFFF"/>
      <w:spacing w:before="540" w:after="300" w:line="0" w:lineRule="atLeast"/>
      <w:ind w:left="0" w:leftChars="0" w:right="0" w:rightChars="0"/>
      <w:jc w:val="both"/>
      <w:outlineLvl w:val="3"/>
    </w:pPr>
    <w:rPr>
      <w:rFonts w:ascii="Times New Roman" w:hAnsi="Times New Roman" w:eastAsia="Times New Roman" w:cs="Times New Roman"/>
      <w:b/>
      <w:bCs/>
      <w:kern w:val="2"/>
      <w:sz w:val="21"/>
    </w:rPr>
  </w:style>
  <w:style w:type="character" w:customStyle="1" w:styleId="51">
    <w:name w:val="正文文本 (5) Exact"/>
    <w:basedOn w:val="18"/>
    <w:qFormat/>
    <w:uiPriority w:val="0"/>
    <w:rPr>
      <w:rFonts w:ascii="Times New Roman" w:hAnsi="Times New Roman" w:eastAsia="Times New Roman" w:cs="Times New Roman"/>
      <w:b/>
      <w:bCs/>
      <w:u w:val="none"/>
    </w:rPr>
  </w:style>
  <w:style w:type="character" w:customStyle="1" w:styleId="52">
    <w:name w:val="批注框文本 Char"/>
    <w:basedOn w:val="18"/>
    <w:link w:val="13"/>
    <w:semiHidden/>
    <w:uiPriority w:val="99"/>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A34DF-5B97-4BEA-BBA8-F2A006BE386C}">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14</Pages>
  <Words>6498</Words>
  <Characters>7551</Characters>
  <Lines>56</Lines>
  <Paragraphs>15</Paragraphs>
  <TotalTime>0</TotalTime>
  <ScaleCrop>false</ScaleCrop>
  <LinksUpToDate>false</LinksUpToDate>
  <CharactersWithSpaces>7604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2017-11-17T11:40:00Z</dcterms:created>
  <dc:creator>y li</dc:creator>
  <cp:lastModifiedBy>太极箫客</cp:lastModifiedBy>
  <dcterms:modified xsi:type="dcterms:W3CDTF">2025-08-14T06:17:34Z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37163C625E0748BA858935FD90569DB6_12</vt:lpwstr>
  </property>
</Properties>
</file>