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39E33">
      <w:pPr>
        <w:widowControl/>
        <w:shd w:val="clear" w:color="auto" w:fill="FFFFFF"/>
        <w:spacing w:before="240" w:after="240" w:line="207" w:lineRule="atLeast"/>
        <w:ind w:firstLine="0"/>
        <w:rPr>
          <w:rFonts w:ascii="Times New Roman" w:hAnsi="Times New Roman" w:cs="Times New Roman"/>
          <w:b/>
          <w:kern w:val="0"/>
          <w:sz w:val="32"/>
          <w:szCs w:val="32"/>
        </w:rPr>
      </w:pPr>
      <w:bookmarkStart w:id="14" w:name="_GoBack"/>
      <w:bookmarkEnd w:id="14"/>
      <w:r>
        <w:rPr>
          <w:rFonts w:ascii="Times New Roman" w:hAnsi="Times New Roman" w:cs="Times New Roman"/>
          <w:b/>
          <w:kern w:val="0"/>
          <w:sz w:val="32"/>
          <w:szCs w:val="32"/>
        </w:rPr>
        <w:t xml:space="preserve">II </w:t>
      </w:r>
      <w:r>
        <w:rPr>
          <w:rFonts w:hint="eastAsia" w:ascii="Times New Roman" w:hAnsi="宋体" w:cs="Times New Roman"/>
          <w:b/>
          <w:kern w:val="0"/>
          <w:sz w:val="32"/>
          <w:szCs w:val="32"/>
        </w:rPr>
        <w:t>类特殊管理指导意见：齿科填充材料银汞合金、水银、汞合金</w:t>
      </w:r>
      <w:r>
        <w:rPr>
          <w:rFonts w:ascii="Times New Roman" w:hAnsi="Times New Roman" w:cs="Times New Roman"/>
          <w:b/>
          <w:kern w:val="0"/>
          <w:sz w:val="32"/>
          <w:szCs w:val="32"/>
        </w:rPr>
        <w:t>-</w:t>
      </w:r>
      <w:r>
        <w:rPr>
          <w:rFonts w:hint="eastAsia" w:ascii="Times New Roman" w:hAnsi="宋体" w:cs="Times New Roman"/>
          <w:b/>
          <w:kern w:val="0"/>
          <w:sz w:val="32"/>
          <w:szCs w:val="32"/>
        </w:rPr>
        <w:t>行业指南及</w:t>
      </w:r>
      <w:r>
        <w:rPr>
          <w:rFonts w:ascii="Times New Roman" w:hAnsi="Times New Roman" w:cs="Times New Roman"/>
          <w:b/>
          <w:kern w:val="0"/>
          <w:sz w:val="32"/>
          <w:szCs w:val="32"/>
        </w:rPr>
        <w:t>FDA</w:t>
      </w:r>
      <w:r>
        <w:rPr>
          <w:rFonts w:hint="eastAsia" w:ascii="Times New Roman" w:hAnsi="Times New Roman" w:cs="Times New Roman"/>
          <w:b/>
          <w:kern w:val="0"/>
          <w:sz w:val="32"/>
          <w:szCs w:val="32"/>
        </w:rPr>
        <w:t>工作</w:t>
      </w:r>
      <w:r>
        <w:rPr>
          <w:rFonts w:hint="eastAsia" w:ascii="Times New Roman" w:hAnsi="宋体" w:cs="Times New Roman"/>
          <w:b/>
          <w:kern w:val="0"/>
          <w:sz w:val="32"/>
          <w:szCs w:val="32"/>
        </w:rPr>
        <w:t>人员指导</w:t>
      </w:r>
    </w:p>
    <w:p w14:paraId="51536610">
      <w:pPr>
        <w:widowControl/>
        <w:spacing w:beforeLines="50"/>
        <w:ind w:firstLine="0"/>
        <w:rPr>
          <w:rFonts w:ascii="Times New Roman" w:hAnsi="Times New Roman" w:cs="Times New Roman"/>
          <w:b/>
          <w:kern w:val="0"/>
          <w:sz w:val="15"/>
          <w:szCs w:val="15"/>
        </w:rPr>
      </w:pPr>
      <w:bookmarkStart w:id="0" w:name="bookmark3"/>
      <w:r>
        <w:rPr>
          <w:rFonts w:hint="eastAsia" w:ascii="Times New Roman" w:hAnsi="宋体" w:cs="Times New Roman"/>
          <w:b/>
          <w:kern w:val="0"/>
          <w:sz w:val="15"/>
          <w:szCs w:val="15"/>
        </w:rPr>
        <w:t>文件发布日期：</w:t>
      </w:r>
      <w:r>
        <w:rPr>
          <w:rFonts w:ascii="Times New Roman" w:hAnsi="Times New Roman" w:cs="Times New Roman"/>
          <w:b/>
          <w:kern w:val="0"/>
          <w:sz w:val="15"/>
          <w:szCs w:val="15"/>
        </w:rPr>
        <w:t>2009</w:t>
      </w:r>
      <w:r>
        <w:rPr>
          <w:rFonts w:hint="eastAsia" w:ascii="Times New Roman" w:hAnsi="宋体" w:cs="Times New Roman"/>
          <w:b/>
          <w:kern w:val="0"/>
          <w:sz w:val="15"/>
          <w:szCs w:val="15"/>
        </w:rPr>
        <w:t>年</w:t>
      </w:r>
      <w:r>
        <w:rPr>
          <w:rFonts w:ascii="Times New Roman" w:hAnsi="Times New Roman" w:cs="Times New Roman"/>
          <w:b/>
          <w:kern w:val="0"/>
          <w:sz w:val="15"/>
          <w:szCs w:val="15"/>
        </w:rPr>
        <w:t>7</w:t>
      </w:r>
      <w:r>
        <w:rPr>
          <w:rFonts w:hint="eastAsia" w:ascii="Times New Roman" w:hAnsi="宋体" w:cs="Times New Roman"/>
          <w:b/>
          <w:kern w:val="0"/>
          <w:sz w:val="15"/>
          <w:szCs w:val="15"/>
        </w:rPr>
        <w:t>月</w:t>
      </w:r>
      <w:r>
        <w:rPr>
          <w:rFonts w:ascii="Times New Roman" w:hAnsi="Times New Roman" w:cs="Times New Roman"/>
          <w:b/>
          <w:kern w:val="0"/>
          <w:sz w:val="15"/>
          <w:szCs w:val="15"/>
        </w:rPr>
        <w:t>28</w:t>
      </w:r>
      <w:r>
        <w:rPr>
          <w:rFonts w:hint="eastAsia" w:ascii="Times New Roman" w:hAnsi="宋体" w:cs="Times New Roman"/>
          <w:b/>
          <w:kern w:val="0"/>
          <w:sz w:val="15"/>
          <w:szCs w:val="15"/>
        </w:rPr>
        <w:t>日</w:t>
      </w:r>
    </w:p>
    <w:bookmarkEnd w:id="0"/>
    <w:p w14:paraId="3EB0DEA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本指导意见涉及的是之前已批准的</w:t>
      </w:r>
      <w:r>
        <w:rPr>
          <w:rFonts w:ascii="Times New Roman" w:hAnsi="Times New Roman" w:cs="Times New Roman"/>
          <w:kern w:val="0"/>
          <w:sz w:val="15"/>
          <w:szCs w:val="15"/>
        </w:rPr>
        <w:t>FDA</w:t>
      </w:r>
      <w:r>
        <w:rPr>
          <w:rFonts w:hint="eastAsia" w:ascii="Times New Roman" w:hAnsi="宋体" w:cs="Times New Roman"/>
          <w:kern w:val="0"/>
          <w:sz w:val="15"/>
          <w:szCs w:val="15"/>
        </w:rPr>
        <w:t>法规中发现的信息合集。</w:t>
      </w:r>
      <w:r>
        <w:rPr>
          <w:rFonts w:ascii="Times New Roman" w:hAnsi="Times New Roman" w:cs="Times New Roman"/>
          <w:kern w:val="0"/>
          <w:sz w:val="15"/>
          <w:szCs w:val="15"/>
        </w:rPr>
        <w:t>21 CFR Part 801</w:t>
      </w:r>
      <w:r>
        <w:rPr>
          <w:rFonts w:hint="eastAsia" w:ascii="Times New Roman" w:hAnsi="宋体" w:cs="Times New Roman"/>
          <w:kern w:val="0"/>
          <w:sz w:val="15"/>
          <w:szCs w:val="15"/>
        </w:rPr>
        <w:t>中的信息合集已获批准，</w:t>
      </w:r>
      <w:r>
        <w:rPr>
          <w:rFonts w:ascii="Times New Roman" w:hAnsi="Times New Roman" w:cs="Times New Roman"/>
          <w:kern w:val="0"/>
          <w:sz w:val="15"/>
          <w:szCs w:val="15"/>
        </w:rPr>
        <w:t>OMB</w:t>
      </w:r>
      <w:r>
        <w:rPr>
          <w:rFonts w:hint="eastAsia" w:ascii="Times New Roman" w:hAnsi="宋体" w:cs="Times New Roman"/>
          <w:kern w:val="0"/>
          <w:sz w:val="15"/>
          <w:szCs w:val="15"/>
        </w:rPr>
        <w:t>控制编号为</w:t>
      </w:r>
      <w:r>
        <w:rPr>
          <w:rFonts w:ascii="Times New Roman" w:hAnsi="Times New Roman" w:cs="Times New Roman"/>
          <w:kern w:val="0"/>
          <w:sz w:val="15"/>
          <w:szCs w:val="15"/>
        </w:rPr>
        <w:t>09 10-0485</w:t>
      </w:r>
      <w:r>
        <w:rPr>
          <w:rFonts w:hint="eastAsia" w:ascii="Times New Roman" w:hAnsi="宋体" w:cs="Times New Roman"/>
          <w:kern w:val="0"/>
          <w:sz w:val="15"/>
          <w:szCs w:val="15"/>
        </w:rPr>
        <w:t>，失效期</w:t>
      </w:r>
      <w:r>
        <w:rPr>
          <w:rFonts w:ascii="Times New Roman" w:hAnsi="Times New Roman" w:cs="Times New Roman"/>
          <w:kern w:val="0"/>
          <w:sz w:val="15"/>
          <w:szCs w:val="15"/>
        </w:rPr>
        <w:t>2011</w:t>
      </w:r>
      <w:r>
        <w:rPr>
          <w:rFonts w:hint="eastAsia" w:ascii="Times New Roman" w:hAnsi="宋体" w:cs="Times New Roman"/>
          <w:kern w:val="0"/>
          <w:sz w:val="15"/>
          <w:szCs w:val="15"/>
        </w:rPr>
        <w:t>年</w:t>
      </w:r>
      <w:r>
        <w:rPr>
          <w:rFonts w:ascii="Times New Roman" w:hAnsi="Times New Roman" w:cs="Times New Roman"/>
          <w:kern w:val="0"/>
          <w:sz w:val="15"/>
          <w:szCs w:val="15"/>
        </w:rPr>
        <w:t>8</w:t>
      </w:r>
      <w:r>
        <w:rPr>
          <w:rFonts w:hint="eastAsia" w:ascii="Times New Roman" w:hAnsi="宋体" w:cs="Times New Roman"/>
          <w:kern w:val="0"/>
          <w:sz w:val="15"/>
          <w:szCs w:val="15"/>
        </w:rPr>
        <w:t>月</w:t>
      </w:r>
      <w:r>
        <w:rPr>
          <w:rFonts w:ascii="Times New Roman" w:hAnsi="Times New Roman" w:cs="Times New Roman"/>
          <w:kern w:val="0"/>
          <w:sz w:val="15"/>
          <w:szCs w:val="15"/>
        </w:rPr>
        <w:t>31</w:t>
      </w:r>
      <w:r>
        <w:rPr>
          <w:rFonts w:hint="eastAsia" w:ascii="Times New Roman" w:hAnsi="宋体" w:cs="Times New Roman"/>
          <w:kern w:val="0"/>
          <w:sz w:val="15"/>
          <w:szCs w:val="15"/>
        </w:rPr>
        <w:t>日。读者无需对不存在有效</w:t>
      </w:r>
      <w:r>
        <w:rPr>
          <w:rFonts w:ascii="Times New Roman" w:hAnsi="Times New Roman" w:cs="Times New Roman"/>
          <w:kern w:val="0"/>
          <w:sz w:val="15"/>
          <w:szCs w:val="15"/>
        </w:rPr>
        <w:t>OMB</w:t>
      </w:r>
      <w:r>
        <w:rPr>
          <w:rFonts w:hint="eastAsia" w:ascii="Times New Roman" w:hAnsi="宋体" w:cs="Times New Roman"/>
          <w:kern w:val="0"/>
          <w:sz w:val="15"/>
          <w:szCs w:val="15"/>
        </w:rPr>
        <w:t>编号的合集做出回应。</w:t>
      </w:r>
    </w:p>
    <w:p w14:paraId="229CCC5E">
      <w:pPr>
        <w:tabs>
          <w:tab w:val="left" w:pos="4596"/>
        </w:tabs>
        <w:spacing w:beforeLines="50"/>
        <w:ind w:firstLine="0"/>
        <w:rPr>
          <w:rFonts w:ascii="Times New Roman" w:hAnsi="Times New Roman" w:cs="Times New Roman"/>
          <w:sz w:val="15"/>
          <w:szCs w:val="15"/>
          <w:vertAlign w:val="subscript"/>
        </w:rPr>
      </w:pPr>
      <w:r>
        <w:rPr>
          <w:rFonts w:hint="eastAsia" w:ascii="Times New Roman" w:hAnsi="宋体" w:cs="Times New Roman"/>
          <w:sz w:val="15"/>
          <w:szCs w:val="15"/>
        </w:rPr>
        <w:t>关于本文件的问题，请通过</w:t>
      </w:r>
      <w:r>
        <w:rPr>
          <w:rFonts w:ascii="Times New Roman" w:hAnsi="Times New Roman" w:cs="Times New Roman"/>
          <w:sz w:val="15"/>
          <w:szCs w:val="15"/>
        </w:rPr>
        <w:t>301-796-6276</w:t>
      </w:r>
      <w:r>
        <w:rPr>
          <w:rFonts w:hint="eastAsia" w:ascii="Times New Roman" w:hAnsi="宋体" w:cs="Times New Roman"/>
          <w:sz w:val="15"/>
          <w:szCs w:val="15"/>
        </w:rPr>
        <w:t>联系</w:t>
      </w:r>
      <w:r>
        <w:rPr>
          <w:rFonts w:ascii="Times New Roman" w:hAnsi="Times New Roman" w:cs="Times New Roman"/>
          <w:sz w:val="15"/>
          <w:szCs w:val="15"/>
        </w:rPr>
        <w:t>Michael E. Adjodha</w:t>
      </w:r>
      <w:r>
        <w:rPr>
          <w:rFonts w:hint="eastAsia" w:ascii="Times New Roman" w:hAnsi="宋体" w:cs="Times New Roman"/>
          <w:sz w:val="15"/>
          <w:szCs w:val="15"/>
        </w:rPr>
        <w:t>或发</w:t>
      </w:r>
      <w:r>
        <w:rPr>
          <w:rFonts w:ascii="Times New Roman" w:hAnsi="Times New Roman" w:cs="Times New Roman"/>
          <w:sz w:val="15"/>
          <w:szCs w:val="15"/>
        </w:rPr>
        <w:t xml:space="preserve">email </w:t>
      </w:r>
      <w:r>
        <w:rPr>
          <w:rFonts w:hint="eastAsia" w:ascii="Times New Roman" w:hAnsi="宋体" w:cs="Times New Roman"/>
          <w:sz w:val="15"/>
          <w:szCs w:val="15"/>
        </w:rPr>
        <w:t>到</w:t>
      </w:r>
      <w:r>
        <w:rPr>
          <w:rFonts w:ascii="Times New Roman" w:hAnsi="Times New Roman" w:cs="Times New Roman"/>
          <w:sz w:val="15"/>
          <w:szCs w:val="15"/>
        </w:rPr>
        <w:t>(michael.adjodha@fda.hhs.gov)</w:t>
      </w:r>
      <w:r>
        <w:rPr>
          <w:rFonts w:hint="eastAsia" w:ascii="Times New Roman" w:hAnsi="宋体" w:cs="Times New Roman"/>
          <w:sz w:val="15"/>
          <w:szCs w:val="15"/>
        </w:rPr>
        <w:t>。</w:t>
      </w:r>
    </w:p>
    <w:p w14:paraId="410B81D2">
      <w:pPr>
        <w:widowControl/>
        <w:ind w:firstLine="0"/>
        <w:rPr>
          <w:rFonts w:ascii="Times New Roman" w:hAnsi="Times New Roman" w:cs="Times New Roman"/>
          <w:b/>
          <w:kern w:val="0"/>
          <w:sz w:val="15"/>
          <w:szCs w:val="15"/>
        </w:rPr>
      </w:pPr>
      <w:r>
        <w:rPr>
          <w:rFonts w:ascii="Times New Roman" w:hAnsi="Times New Roman" w:cs="Times New Roman"/>
          <w:b/>
          <w:kern w:val="0"/>
          <w:sz w:val="15"/>
          <w:szCs w:val="15"/>
        </w:rPr>
        <w:pict>
          <v:shape id="_x0000_i1025" o:spt="75" alt="Image of CDRH Logo" type="#_x0000_t75" style="height:75.2pt;width:73.05pt;" filled="f" o:preferrelative="t" stroked="f" coordsize="21600,21600">
            <v:path/>
            <v:fill on="f" focussize="0,0"/>
            <v:stroke on="f" joinstyle="miter"/>
            <v:imagedata r:id="rId5" o:title=""/>
            <o:lock v:ext="edit" aspectratio="t"/>
            <w10:wrap type="none"/>
            <w10:anchorlock/>
          </v:shape>
        </w:pict>
      </w:r>
    </w:p>
    <w:p w14:paraId="6EDF89FF">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美国卫生与人类服务部</w:t>
      </w:r>
    </w:p>
    <w:p w14:paraId="393768A5">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食品药品管理局</w:t>
      </w:r>
    </w:p>
    <w:p w14:paraId="2484664D">
      <w:pPr>
        <w:widowControl/>
        <w:shd w:val="clear" w:color="auto" w:fill="FFFFFF"/>
        <w:spacing w:line="207" w:lineRule="atLeast"/>
        <w:ind w:firstLine="0"/>
        <w:jc w:val="right"/>
        <w:rPr>
          <w:rFonts w:ascii="Times New Roman" w:hAnsi="Times New Roman" w:cs="Times New Roman"/>
          <w:kern w:val="0"/>
          <w:sz w:val="15"/>
          <w:szCs w:val="15"/>
        </w:rPr>
      </w:pPr>
      <w:r>
        <w:rPr>
          <w:rFonts w:hint="eastAsia" w:ascii="Times New Roman" w:hAnsi="宋体" w:cs="Times New Roman"/>
          <w:b/>
          <w:kern w:val="0"/>
          <w:sz w:val="15"/>
          <w:szCs w:val="15"/>
        </w:rPr>
        <w:t>器械和放射健康中心</w:t>
      </w:r>
    </w:p>
    <w:p w14:paraId="607DC932">
      <w:pPr>
        <w:widowControl/>
        <w:shd w:val="clear" w:color="auto" w:fill="FFFFFF"/>
        <w:spacing w:beforeLines="100" w:line="207" w:lineRule="atLeast"/>
        <w:ind w:firstLine="0"/>
        <w:jc w:val="right"/>
        <w:rPr>
          <w:rFonts w:ascii="Times New Roman" w:hAnsi="Times New Roman" w:cs="Times New Roman"/>
          <w:b/>
          <w:bCs/>
          <w:kern w:val="0"/>
          <w:sz w:val="15"/>
          <w:szCs w:val="15"/>
        </w:rPr>
      </w:pPr>
      <w:r>
        <w:rPr>
          <w:rFonts w:hint="eastAsia" w:ascii="Times New Roman" w:hAnsi="宋体" w:cs="Times New Roman"/>
          <w:b/>
          <w:bCs/>
          <w:kern w:val="0"/>
          <w:sz w:val="15"/>
          <w:szCs w:val="15"/>
        </w:rPr>
        <w:t>齿科器械科</w:t>
      </w:r>
    </w:p>
    <w:p w14:paraId="30A13F38">
      <w:pPr>
        <w:widowControl/>
        <w:shd w:val="clear" w:color="auto" w:fill="FFFFFF"/>
        <w:spacing w:after="240" w:line="207" w:lineRule="atLeast"/>
        <w:ind w:firstLine="0"/>
        <w:jc w:val="right"/>
        <w:rPr>
          <w:rFonts w:ascii="Times New Roman" w:hAnsi="Times New Roman" w:cs="Times New Roman"/>
          <w:kern w:val="0"/>
          <w:sz w:val="15"/>
          <w:szCs w:val="15"/>
        </w:rPr>
      </w:pPr>
      <w:r>
        <w:rPr>
          <w:rFonts w:hint="eastAsia" w:ascii="Times New Roman" w:hAnsi="宋体" w:cs="Times New Roman"/>
          <w:b/>
          <w:bCs/>
          <w:kern w:val="0"/>
          <w:sz w:val="15"/>
          <w:szCs w:val="15"/>
        </w:rPr>
        <w:t>麻醉部，感染控制，</w:t>
      </w:r>
      <w:r>
        <w:rPr>
          <w:rFonts w:ascii="Times New Roman" w:hAnsi="Times New Roman" w:cs="Times New Roman"/>
          <w:b/>
          <w:bCs/>
          <w:kern w:val="0"/>
          <w:sz w:val="15"/>
          <w:szCs w:val="15"/>
        </w:rPr>
        <w:br w:type="textWrapping"/>
      </w:r>
      <w:r>
        <w:rPr>
          <w:rFonts w:hint="eastAsia" w:ascii="Times New Roman" w:hAnsi="宋体" w:cs="Times New Roman"/>
          <w:b/>
          <w:bCs/>
          <w:kern w:val="0"/>
          <w:sz w:val="15"/>
          <w:szCs w:val="15"/>
        </w:rPr>
        <w:t>综合医院，和齿科服务部</w:t>
      </w:r>
      <w:r>
        <w:rPr>
          <w:rFonts w:ascii="Times New Roman" w:hAnsi="Times New Roman" w:cs="Times New Roman"/>
          <w:b/>
          <w:bCs/>
          <w:kern w:val="0"/>
          <w:sz w:val="15"/>
          <w:szCs w:val="15"/>
        </w:rPr>
        <w:br w:type="textWrapping"/>
      </w:r>
      <w:r>
        <w:rPr>
          <w:rFonts w:hint="eastAsia" w:ascii="Times New Roman" w:hAnsi="宋体" w:cs="Times New Roman"/>
          <w:b/>
          <w:sz w:val="15"/>
          <w:szCs w:val="15"/>
        </w:rPr>
        <w:t>器械评估办公室</w:t>
      </w:r>
    </w:p>
    <w:p w14:paraId="61351588">
      <w:pPr>
        <w:spacing w:beforeLines="50"/>
        <w:ind w:firstLine="0"/>
        <w:jc w:val="center"/>
        <w:rPr>
          <w:rFonts w:ascii="Times New Roman" w:hAnsi="Times New Roman" w:cs="Times New Roman"/>
          <w:b/>
          <w:sz w:val="23"/>
          <w:szCs w:val="23"/>
        </w:rPr>
      </w:pPr>
      <w:r>
        <w:rPr>
          <w:rFonts w:ascii="Times New Roman" w:hAnsi="Times New Roman" w:cs="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r>
        <w:rPr>
          <w:rFonts w:hint="eastAsia" w:ascii="Times New Roman" w:hAnsi="宋体" w:cs="Times New Roman"/>
          <w:b/>
          <w:sz w:val="23"/>
          <w:szCs w:val="23"/>
        </w:rPr>
        <w:t>前言</w:t>
      </w:r>
    </w:p>
    <w:p w14:paraId="363A4A0C">
      <w:pPr>
        <w:spacing w:beforeLines="50"/>
        <w:ind w:firstLine="0"/>
        <w:rPr>
          <w:rFonts w:ascii="Times New Roman" w:hAnsi="Times New Roman" w:cs="Times New Roman"/>
          <w:b/>
          <w:sz w:val="19"/>
          <w:szCs w:val="19"/>
        </w:rPr>
      </w:pPr>
      <w:r>
        <w:rPr>
          <w:rFonts w:hint="eastAsia" w:ascii="Times New Roman" w:hAnsi="宋体" w:cs="Times New Roman"/>
          <w:b/>
          <w:sz w:val="19"/>
          <w:szCs w:val="19"/>
        </w:rPr>
        <w:t>公众意见</w:t>
      </w:r>
    </w:p>
    <w:p w14:paraId="1DE41BAD">
      <w:pPr>
        <w:spacing w:beforeLines="50"/>
        <w:ind w:firstLine="0"/>
        <w:rPr>
          <w:rFonts w:ascii="Times New Roman" w:hAnsi="Times New Roman" w:cs="Times New Roman"/>
          <w:sz w:val="15"/>
          <w:szCs w:val="15"/>
        </w:rPr>
      </w:pPr>
      <w:r>
        <w:rPr>
          <w:rFonts w:hint="eastAsia" w:ascii="Times New Roman" w:hAnsi="宋体" w:cs="Times New Roman"/>
          <w:sz w:val="15"/>
          <w:szCs w:val="15"/>
        </w:rPr>
        <w:t>您可以随时向食品药品管理局（地址</w:t>
      </w:r>
      <w:r>
        <w:rPr>
          <w:rFonts w:ascii="Times New Roman" w:hAnsi="Times New Roman" w:cs="Times New Roman"/>
          <w:sz w:val="15"/>
          <w:szCs w:val="15"/>
        </w:rPr>
        <w:t>5630 Fishers Lane, rm. 1061, (HFA-305), Rockville, MD 20852</w:t>
      </w:r>
      <w:r>
        <w:rPr>
          <w:rFonts w:hint="eastAsia" w:ascii="Times New Roman" w:hAnsi="宋体" w:cs="Times New Roman"/>
          <w:sz w:val="15"/>
          <w:szCs w:val="15"/>
        </w:rPr>
        <w:t>）的文件管理部门提交您对该机构的书面意见和建议。</w:t>
      </w:r>
      <w:r>
        <w:rPr>
          <w:rFonts w:hint="eastAsia" w:ascii="Times New Roman" w:hAnsi="宋体" w:cs="Times New Roman"/>
          <w:kern w:val="0"/>
          <w:sz w:val="15"/>
          <w:szCs w:val="15"/>
        </w:rPr>
        <w:t>或者，也可以提交电子评论至</w:t>
      </w:r>
      <w:r>
        <w:fldChar w:fldCharType="begin"/>
      </w:r>
      <w:r>
        <w:instrText xml:space="preserve"> HYPERLINK "http://www.regulations.gov/" </w:instrText>
      </w:r>
      <w:r>
        <w:fldChar w:fldCharType="separate"/>
      </w:r>
      <w:r>
        <w:rPr>
          <w:rFonts w:ascii="Times New Roman" w:hAnsi="Times New Roman" w:cs="Times New Roman"/>
          <w:kern w:val="0"/>
          <w:sz w:val="15"/>
          <w:szCs w:val="15"/>
          <w:u w:val="single"/>
        </w:rPr>
        <w:t>http://www.regulations.gov</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w:t>
      </w:r>
      <w:r>
        <w:rPr>
          <w:rFonts w:hint="eastAsia" w:ascii="Times New Roman" w:hAnsi="宋体" w:cs="Times New Roman"/>
          <w:sz w:val="15"/>
          <w:szCs w:val="15"/>
        </w:rPr>
        <w:t>提交意见时，请注明本指导文件的确切标题。在该机构修订或更新之前，评论可能无效。</w:t>
      </w:r>
    </w:p>
    <w:p w14:paraId="37E45FFF">
      <w:pPr>
        <w:spacing w:beforeLines="50"/>
        <w:ind w:firstLine="0"/>
        <w:rPr>
          <w:rFonts w:ascii="Times New Roman" w:hAnsi="Times New Roman" w:cs="Times New Roman"/>
          <w:b/>
          <w:sz w:val="19"/>
          <w:szCs w:val="19"/>
        </w:rPr>
      </w:pPr>
      <w:bookmarkStart w:id="1" w:name="bookmark5"/>
      <w:r>
        <w:rPr>
          <w:rFonts w:hint="eastAsia" w:ascii="Times New Roman" w:hAnsi="宋体" w:cs="Times New Roman"/>
          <w:b/>
          <w:sz w:val="19"/>
          <w:szCs w:val="19"/>
        </w:rPr>
        <w:t>额外副本</w:t>
      </w:r>
      <w:bookmarkEnd w:id="1"/>
    </w:p>
    <w:p w14:paraId="032DCE31">
      <w:pPr>
        <w:spacing w:beforeLines="50"/>
        <w:ind w:firstLine="0"/>
        <w:rPr>
          <w:rFonts w:ascii="Times New Roman" w:hAnsi="Times New Roman" w:cs="Times New Roman"/>
          <w:sz w:val="15"/>
          <w:szCs w:val="15"/>
        </w:rPr>
      </w:pPr>
      <w:r>
        <w:rPr>
          <w:rFonts w:hint="eastAsia" w:ascii="Times New Roman" w:hAnsi="宋体" w:cs="Times New Roman"/>
          <w:sz w:val="15"/>
          <w:szCs w:val="15"/>
        </w:rPr>
        <w:t>额外副本可从互联网获取</w:t>
      </w:r>
      <w:r>
        <w:rPr>
          <w:rFonts w:ascii="Times New Roman" w:hAnsi="Times New Roman" w:cs="Times New Roman"/>
          <w:sz w:val="15"/>
          <w:szCs w:val="15"/>
        </w:rPr>
        <w:t>:</w:t>
      </w:r>
      <w:r>
        <w:rPr>
          <w:rFonts w:hint="eastAsia" w:ascii="Times New Roman" w:hAnsi="宋体" w:cs="Times New Roman"/>
          <w:sz w:val="15"/>
          <w:szCs w:val="15"/>
        </w:rPr>
        <w:t>您还可以向</w:t>
      </w:r>
      <w:r>
        <w:rPr>
          <w:rFonts w:ascii="Times New Roman" w:hAnsi="Times New Roman" w:cs="Times New Roman"/>
          <w:sz w:val="15"/>
          <w:szCs w:val="15"/>
        </w:rPr>
        <w:t>CDRH-Guidance@fda.hhs.gov</w:t>
      </w:r>
      <w:r>
        <w:rPr>
          <w:rFonts w:hint="eastAsia" w:ascii="Times New Roman" w:hAnsi="宋体" w:cs="Times New Roman"/>
          <w:sz w:val="15"/>
          <w:szCs w:val="15"/>
        </w:rPr>
        <w:t>发送电子邮件</w:t>
      </w:r>
      <w:r>
        <w:rPr>
          <w:rFonts w:ascii="Times New Roman" w:hAnsi="Times New Roman" w:cs="Times New Roman"/>
          <w:sz w:val="15"/>
          <w:szCs w:val="15"/>
        </w:rPr>
        <w:t>,</w:t>
      </w:r>
      <w:r>
        <w:rPr>
          <w:rFonts w:hint="eastAsia" w:ascii="Times New Roman" w:hAnsi="宋体" w:cs="Times New Roman"/>
          <w:sz w:val="15"/>
          <w:szCs w:val="15"/>
        </w:rPr>
        <w:t>索取本指南的电子版</w:t>
      </w:r>
      <w:r>
        <w:rPr>
          <w:rFonts w:hint="eastAsia" w:ascii="Times New Roman" w:hAnsi="Times New Roman" w:eastAsia="MS Mincho" w:cs="Times New Roman"/>
          <w:sz w:val="15"/>
          <w:szCs w:val="15"/>
        </w:rPr>
        <w:t>｡</w:t>
      </w:r>
      <w:r>
        <w:rPr>
          <w:rFonts w:hint="eastAsia" w:ascii="Times New Roman" w:hAnsi="宋体" w:cs="Times New Roman"/>
          <w:sz w:val="15"/>
          <w:szCs w:val="15"/>
        </w:rPr>
        <w:t>请使用文件编号</w:t>
      </w:r>
      <w:r>
        <w:rPr>
          <w:rFonts w:ascii="Times New Roman" w:hAnsi="Times New Roman" w:cs="Times New Roman"/>
          <w:sz w:val="15"/>
          <w:szCs w:val="15"/>
        </w:rPr>
        <w:t>(1637)</w:t>
      </w:r>
      <w:r>
        <w:rPr>
          <w:rFonts w:hint="eastAsia" w:ascii="Times New Roman" w:hAnsi="宋体" w:cs="Times New Roman"/>
          <w:sz w:val="15"/>
          <w:szCs w:val="15"/>
        </w:rPr>
        <w:t>来确定您所需的指南</w:t>
      </w:r>
      <w:r>
        <w:rPr>
          <w:rFonts w:hint="eastAsia" w:ascii="Times New Roman" w:hAnsi="Times New Roman" w:eastAsia="MS Mincho" w:cs="Times New Roman"/>
          <w:sz w:val="15"/>
          <w:szCs w:val="15"/>
        </w:rPr>
        <w:t>｡</w:t>
      </w:r>
    </w:p>
    <w:p w14:paraId="74BAEE94">
      <w:pPr>
        <w:widowControl/>
        <w:ind w:firstLine="0"/>
        <w:jc w:val="center"/>
        <w:rPr>
          <w:rFonts w:ascii="Times New Roman" w:hAnsi="Times New Roman" w:cs="Times New Roman"/>
          <w:b/>
          <w:kern w:val="0"/>
          <w:sz w:val="23"/>
          <w:szCs w:val="23"/>
        </w:rPr>
      </w:pPr>
      <w:r>
        <w:rPr>
          <w:rFonts w:ascii="Times New Roman" w:hAnsi="宋体" w:cs="Times New Roman"/>
          <w:kern w:val="0"/>
          <w:sz w:val="15"/>
          <w:szCs w:val="15"/>
        </w:rPr>
        <w:br w:type="page"/>
      </w:r>
      <w:r>
        <w:rPr>
          <w:rFonts w:hint="eastAsia" w:ascii="Times New Roman" w:hAnsi="宋体" w:cs="Times New Roman"/>
          <w:b/>
          <w:kern w:val="0"/>
          <w:sz w:val="23"/>
          <w:szCs w:val="23"/>
        </w:rPr>
        <w:t>目录</w:t>
      </w:r>
    </w:p>
    <w:p w14:paraId="3CCBA1B5">
      <w:pPr>
        <w:pStyle w:val="11"/>
        <w:tabs>
          <w:tab w:val="right" w:pos="8296"/>
        </w:tabs>
        <w:spacing w:line="360" w:lineRule="auto"/>
        <w:rPr>
          <w:rFonts w:ascii="Times New Roman" w:hAnsi="Times New Roman" w:cs="Times New Roman"/>
          <w:sz w:val="15"/>
          <w:szCs w:val="15"/>
        </w:rPr>
      </w:pPr>
      <w:r>
        <w:rPr>
          <w:rFonts w:ascii="Times New Roman" w:hAnsi="Times New Roman" w:cs="Times New Roman"/>
          <w:kern w:val="0"/>
          <w:sz w:val="15"/>
          <w:szCs w:val="15"/>
        </w:rPr>
        <w:fldChar w:fldCharType="begin"/>
      </w:r>
      <w:r>
        <w:rPr>
          <w:rFonts w:ascii="Times New Roman" w:hAnsi="Times New Roman" w:cs="Times New Roman"/>
          <w:kern w:val="0"/>
          <w:sz w:val="15"/>
          <w:szCs w:val="15"/>
        </w:rPr>
        <w:instrText xml:space="preserve"> TOC \o "1-3" \n \h \z \u </w:instrText>
      </w:r>
      <w:r>
        <w:rPr>
          <w:rFonts w:ascii="Times New Roman" w:hAnsi="Times New Roman" w:cs="Times New Roman"/>
          <w:kern w:val="0"/>
          <w:sz w:val="15"/>
          <w:szCs w:val="15"/>
        </w:rPr>
        <w:fldChar w:fldCharType="separate"/>
      </w:r>
      <w:r>
        <w:fldChar w:fldCharType="begin"/>
      </w:r>
      <w:r>
        <w:instrText xml:space="preserve"> HYPERLINK \l "_Toc480621157" </w:instrText>
      </w:r>
      <w:r>
        <w:fldChar w:fldCharType="separate"/>
      </w:r>
      <w:r>
        <w:rPr>
          <w:rStyle w:val="19"/>
          <w:rFonts w:ascii="Times New Roman" w:hAnsi="Times New Roman"/>
          <w:color w:val="auto"/>
          <w:kern w:val="0"/>
          <w:sz w:val="15"/>
          <w:szCs w:val="15"/>
        </w:rPr>
        <w:t xml:space="preserve">1. </w:t>
      </w:r>
      <w:r>
        <w:rPr>
          <w:rStyle w:val="19"/>
          <w:rFonts w:hint="eastAsia" w:ascii="Times New Roman" w:hAnsi="宋体"/>
          <w:color w:val="auto"/>
          <w:kern w:val="0"/>
          <w:sz w:val="15"/>
          <w:szCs w:val="15"/>
        </w:rPr>
        <w:t>引言</w:t>
      </w:r>
      <w:r>
        <w:rPr>
          <w:rStyle w:val="19"/>
          <w:rFonts w:hint="eastAsia" w:ascii="Times New Roman" w:hAnsi="宋体"/>
          <w:color w:val="auto"/>
          <w:kern w:val="0"/>
          <w:sz w:val="15"/>
          <w:szCs w:val="15"/>
        </w:rPr>
        <w:fldChar w:fldCharType="end"/>
      </w:r>
    </w:p>
    <w:p w14:paraId="724C9E85">
      <w:pPr>
        <w:pStyle w:val="12"/>
        <w:tabs>
          <w:tab w:val="right" w:pos="8296"/>
        </w:tabs>
        <w:spacing w:line="360" w:lineRule="auto"/>
        <w:rPr>
          <w:rFonts w:ascii="Times New Roman" w:hAnsi="Times New Roman" w:cs="Times New Roman"/>
          <w:sz w:val="15"/>
          <w:szCs w:val="15"/>
        </w:rPr>
      </w:pPr>
      <w:r>
        <w:fldChar w:fldCharType="begin"/>
      </w:r>
      <w:r>
        <w:instrText xml:space="preserve"> HYPERLINK \l "_Toc480621158" </w:instrText>
      </w:r>
      <w:r>
        <w:fldChar w:fldCharType="separate"/>
      </w:r>
      <w:r>
        <w:rPr>
          <w:rStyle w:val="19"/>
          <w:rFonts w:hint="eastAsia" w:ascii="Times New Roman" w:hAnsi="宋体"/>
          <w:color w:val="auto"/>
          <w:sz w:val="15"/>
          <w:szCs w:val="15"/>
        </w:rPr>
        <w:t>最简便的方法</w:t>
      </w:r>
      <w:r>
        <w:rPr>
          <w:rStyle w:val="19"/>
          <w:rFonts w:hint="eastAsia" w:ascii="Times New Roman" w:hAnsi="宋体"/>
          <w:color w:val="auto"/>
          <w:sz w:val="15"/>
          <w:szCs w:val="15"/>
        </w:rPr>
        <w:fldChar w:fldCharType="end"/>
      </w:r>
    </w:p>
    <w:p w14:paraId="1A79CCDE">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"_Toc480621159" </w:instrText>
      </w:r>
      <w:r>
        <w:fldChar w:fldCharType="separate"/>
      </w:r>
      <w:r>
        <w:rPr>
          <w:rStyle w:val="19"/>
          <w:rFonts w:ascii="Times New Roman" w:hAnsi="Times New Roman"/>
          <w:bCs/>
          <w:color w:val="auto"/>
          <w:kern w:val="0"/>
          <w:sz w:val="15"/>
          <w:szCs w:val="15"/>
        </w:rPr>
        <w:t xml:space="preserve">2. </w:t>
      </w:r>
      <w:r>
        <w:rPr>
          <w:rStyle w:val="19"/>
          <w:rFonts w:hint="eastAsia" w:ascii="Times New Roman" w:hAnsi="宋体"/>
          <w:bCs/>
          <w:color w:val="auto"/>
          <w:kern w:val="0"/>
          <w:sz w:val="15"/>
          <w:szCs w:val="15"/>
        </w:rPr>
        <w:t>背景</w:t>
      </w:r>
      <w:r>
        <w:rPr>
          <w:rStyle w:val="19"/>
          <w:rFonts w:hint="eastAsia" w:ascii="Times New Roman" w:hAnsi="宋体"/>
          <w:bCs/>
          <w:color w:val="auto"/>
          <w:kern w:val="0"/>
          <w:sz w:val="15"/>
          <w:szCs w:val="15"/>
        </w:rPr>
        <w:fldChar w:fldCharType="end"/>
      </w:r>
    </w:p>
    <w:p w14:paraId="58B20E46">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"_Toc480621161" </w:instrText>
      </w:r>
      <w:r>
        <w:fldChar w:fldCharType="separate"/>
      </w:r>
      <w:r>
        <w:rPr>
          <w:rStyle w:val="19"/>
          <w:rFonts w:ascii="Times New Roman" w:hAnsi="Times New Roman"/>
          <w:bCs/>
          <w:color w:val="auto"/>
          <w:kern w:val="0"/>
          <w:sz w:val="15"/>
          <w:szCs w:val="15"/>
        </w:rPr>
        <w:t xml:space="preserve">3. </w:t>
      </w:r>
      <w:r>
        <w:rPr>
          <w:rStyle w:val="19"/>
          <w:rFonts w:hint="eastAsia" w:ascii="Times New Roman" w:hAnsi="宋体"/>
          <w:bCs/>
          <w:color w:val="auto"/>
          <w:kern w:val="0"/>
          <w:sz w:val="15"/>
          <w:szCs w:val="15"/>
        </w:rPr>
        <w:t>适用范围</w:t>
      </w:r>
      <w:r>
        <w:rPr>
          <w:rStyle w:val="19"/>
          <w:rFonts w:hint="eastAsia" w:ascii="Times New Roman" w:hAnsi="宋体"/>
          <w:bCs/>
          <w:color w:val="auto"/>
          <w:kern w:val="0"/>
          <w:sz w:val="15"/>
          <w:szCs w:val="15"/>
        </w:rPr>
        <w:fldChar w:fldCharType="end"/>
      </w:r>
    </w:p>
    <w:p w14:paraId="7BF8B832">
      <w:pPr>
        <w:pStyle w:val="11"/>
        <w:tabs>
          <w:tab w:val="left" w:pos="1050"/>
          <w:tab w:val="right" w:pos="8296"/>
        </w:tabs>
        <w:spacing w:line="360" w:lineRule="auto"/>
        <w:rPr>
          <w:rFonts w:ascii="Times New Roman" w:hAnsi="Times New Roman" w:cs="Times New Roman"/>
          <w:sz w:val="15"/>
          <w:szCs w:val="15"/>
        </w:rPr>
      </w:pPr>
      <w:r>
        <w:fldChar w:fldCharType="begin"/>
      </w:r>
      <w:r>
        <w:instrText xml:space="preserve"> HYPERLINK \l "_Toc480621163" </w:instrText>
      </w:r>
      <w:r>
        <w:fldChar w:fldCharType="separate"/>
      </w:r>
      <w:r>
        <w:rPr>
          <w:rStyle w:val="19"/>
          <w:rFonts w:ascii="Times New Roman" w:hAnsi="Times New Roman"/>
          <w:bCs/>
          <w:color w:val="auto"/>
          <w:kern w:val="0"/>
          <w:sz w:val="15"/>
          <w:szCs w:val="15"/>
        </w:rPr>
        <w:t>4.</w:t>
      </w:r>
      <w:r>
        <w:rPr>
          <w:rFonts w:ascii="Times New Roman" w:hAnsi="Times New Roman" w:cs="Times New Roman"/>
          <w:sz w:val="15"/>
          <w:szCs w:val="15"/>
        </w:rPr>
        <w:tab/>
      </w:r>
      <w:r>
        <w:rPr>
          <w:rStyle w:val="19"/>
          <w:rFonts w:hint="eastAsia" w:ascii="Times New Roman" w:hAnsi="宋体"/>
          <w:bCs/>
          <w:color w:val="auto"/>
          <w:kern w:val="0"/>
          <w:sz w:val="15"/>
          <w:szCs w:val="15"/>
        </w:rPr>
        <w:t>在</w:t>
      </w:r>
      <w:r>
        <w:rPr>
          <w:rStyle w:val="19"/>
          <w:rFonts w:ascii="Times New Roman" w:hAnsi="Times New Roman"/>
          <w:bCs/>
          <w:color w:val="auto"/>
          <w:kern w:val="0"/>
          <w:sz w:val="15"/>
          <w:szCs w:val="15"/>
        </w:rPr>
        <w:t>510(k)</w:t>
      </w:r>
      <w:r>
        <w:rPr>
          <w:rStyle w:val="19"/>
          <w:rFonts w:hint="eastAsia" w:ascii="Times New Roman" w:hAnsi="宋体"/>
          <w:bCs/>
          <w:color w:val="auto"/>
          <w:kern w:val="0"/>
          <w:sz w:val="15"/>
          <w:szCs w:val="15"/>
        </w:rPr>
        <w:t>上市前通告中描述你的器械</w:t>
      </w:r>
      <w:r>
        <w:rPr>
          <w:rStyle w:val="19"/>
          <w:rFonts w:hint="eastAsia" w:ascii="Times New Roman" w:hAnsi="宋体"/>
          <w:bCs/>
          <w:color w:val="auto"/>
          <w:kern w:val="0"/>
          <w:sz w:val="15"/>
          <w:szCs w:val="15"/>
        </w:rPr>
        <w:fldChar w:fldCharType="end"/>
      </w:r>
    </w:p>
    <w:p w14:paraId="071D21D4">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"_Toc480621164" </w:instrText>
      </w:r>
      <w:r>
        <w:fldChar w:fldCharType="separate"/>
      </w:r>
      <w:r>
        <w:rPr>
          <w:rStyle w:val="19"/>
          <w:rFonts w:ascii="Times New Roman" w:hAnsi="Times New Roman"/>
          <w:bCs/>
          <w:color w:val="auto"/>
          <w:kern w:val="0"/>
          <w:sz w:val="15"/>
          <w:szCs w:val="15"/>
        </w:rPr>
        <w:t xml:space="preserve">5. </w:t>
      </w:r>
      <w:r>
        <w:rPr>
          <w:rStyle w:val="19"/>
          <w:rFonts w:hint="eastAsia" w:ascii="Times New Roman" w:hAnsi="宋体"/>
          <w:bCs/>
          <w:color w:val="auto"/>
          <w:kern w:val="0"/>
          <w:sz w:val="15"/>
          <w:szCs w:val="15"/>
        </w:rPr>
        <w:t>健康风险</w:t>
      </w:r>
      <w:r>
        <w:rPr>
          <w:rStyle w:val="19"/>
          <w:rFonts w:ascii="Times New Roman" w:hAnsi="Times New Roman"/>
          <w:bCs/>
          <w:color w:val="auto"/>
          <w:kern w:val="0"/>
          <w:sz w:val="15"/>
          <w:szCs w:val="15"/>
          <w:vertAlign w:val="superscript"/>
        </w:rPr>
        <w:t>6</w:t>
      </w:r>
      <w:r>
        <w:rPr>
          <w:rStyle w:val="19"/>
          <w:rFonts w:ascii="Times New Roman" w:hAnsi="Times New Roman"/>
          <w:bCs/>
          <w:color w:val="auto"/>
          <w:kern w:val="0"/>
          <w:sz w:val="15"/>
          <w:szCs w:val="15"/>
          <w:vertAlign w:val="superscript"/>
        </w:rPr>
        <w:fldChar w:fldCharType="end"/>
      </w:r>
    </w:p>
    <w:p w14:paraId="18302E7C">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"_Toc480621165" </w:instrText>
      </w:r>
      <w:r>
        <w:fldChar w:fldCharType="separate"/>
      </w:r>
      <w:r>
        <w:rPr>
          <w:rStyle w:val="19"/>
          <w:rFonts w:ascii="Times New Roman" w:hAnsi="Times New Roman"/>
          <w:bCs/>
          <w:color w:val="auto"/>
          <w:kern w:val="0"/>
          <w:sz w:val="15"/>
          <w:szCs w:val="15"/>
        </w:rPr>
        <w:t xml:space="preserve">6. </w:t>
      </w:r>
      <w:r>
        <w:rPr>
          <w:rStyle w:val="19"/>
          <w:rFonts w:hint="eastAsia" w:ascii="Times New Roman" w:hAnsi="宋体"/>
          <w:bCs/>
          <w:color w:val="auto"/>
          <w:kern w:val="0"/>
          <w:sz w:val="15"/>
          <w:szCs w:val="15"/>
        </w:rPr>
        <w:t>组成和性能数据</w:t>
      </w:r>
      <w:r>
        <w:rPr>
          <w:rStyle w:val="19"/>
          <w:rFonts w:hint="eastAsia" w:ascii="Times New Roman" w:hAnsi="宋体"/>
          <w:bCs/>
          <w:color w:val="auto"/>
          <w:kern w:val="0"/>
          <w:sz w:val="15"/>
          <w:szCs w:val="15"/>
        </w:rPr>
        <w:fldChar w:fldCharType="end"/>
      </w:r>
    </w:p>
    <w:p w14:paraId="72B9A4A6">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"_Toc480621166" </w:instrText>
      </w:r>
      <w:r>
        <w:fldChar w:fldCharType="separate"/>
      </w:r>
      <w:r>
        <w:rPr>
          <w:rStyle w:val="19"/>
          <w:rFonts w:ascii="Times New Roman" w:hAnsi="Times New Roman"/>
          <w:bCs/>
          <w:color w:val="auto"/>
          <w:kern w:val="0"/>
          <w:sz w:val="15"/>
          <w:szCs w:val="15"/>
        </w:rPr>
        <w:t xml:space="preserve">7. </w:t>
      </w:r>
      <w:r>
        <w:rPr>
          <w:rStyle w:val="19"/>
          <w:rFonts w:hint="eastAsia" w:ascii="Times New Roman" w:hAnsi="宋体"/>
          <w:bCs/>
          <w:color w:val="auto"/>
          <w:kern w:val="0"/>
          <w:sz w:val="15"/>
          <w:szCs w:val="15"/>
        </w:rPr>
        <w:t>生物相容性</w:t>
      </w:r>
      <w:r>
        <w:rPr>
          <w:rStyle w:val="19"/>
          <w:rFonts w:hint="eastAsia" w:ascii="Times New Roman" w:hAnsi="宋体"/>
          <w:bCs/>
          <w:color w:val="auto"/>
          <w:kern w:val="0"/>
          <w:sz w:val="15"/>
          <w:szCs w:val="15"/>
        </w:rPr>
        <w:fldChar w:fldCharType="end"/>
      </w:r>
    </w:p>
    <w:p w14:paraId="3D97BEE9">
      <w:pPr>
        <w:pStyle w:val="11"/>
        <w:tabs>
          <w:tab w:val="right" w:pos="8296"/>
        </w:tabs>
        <w:spacing w:line="360" w:lineRule="auto"/>
        <w:rPr>
          <w:rFonts w:ascii="Times New Roman" w:hAnsi="Times New Roman" w:cs="Times New Roman"/>
          <w:sz w:val="15"/>
          <w:szCs w:val="15"/>
        </w:rPr>
      </w:pPr>
      <w:r>
        <w:fldChar w:fldCharType="begin"/>
      </w:r>
      <w:r>
        <w:instrText xml:space="preserve"> HYPERLINK \l "_Toc480621167" </w:instrText>
      </w:r>
      <w:r>
        <w:fldChar w:fldCharType="separate"/>
      </w:r>
      <w:r>
        <w:rPr>
          <w:rStyle w:val="19"/>
          <w:rFonts w:ascii="Times New Roman" w:hAnsi="Times New Roman"/>
          <w:bCs/>
          <w:color w:val="auto"/>
          <w:kern w:val="0"/>
          <w:sz w:val="15"/>
          <w:szCs w:val="15"/>
        </w:rPr>
        <w:t xml:space="preserve">8. </w:t>
      </w:r>
      <w:r>
        <w:rPr>
          <w:rStyle w:val="19"/>
          <w:rFonts w:hint="eastAsia" w:ascii="Times New Roman" w:hAnsi="宋体"/>
          <w:bCs/>
          <w:color w:val="auto"/>
          <w:kern w:val="0"/>
          <w:sz w:val="15"/>
          <w:szCs w:val="15"/>
        </w:rPr>
        <w:t>针对齿科专业人员的标签</w:t>
      </w:r>
      <w:r>
        <w:rPr>
          <w:rStyle w:val="19"/>
          <w:rFonts w:ascii="Times New Roman" w:hAnsi="Times New Roman"/>
          <w:bCs/>
          <w:color w:val="auto"/>
          <w:kern w:val="0"/>
          <w:sz w:val="15"/>
          <w:szCs w:val="15"/>
          <w:vertAlign w:val="superscript"/>
        </w:rPr>
        <w:t>13</w:t>
      </w:r>
      <w:r>
        <w:rPr>
          <w:rStyle w:val="19"/>
          <w:rFonts w:ascii="Times New Roman" w:hAnsi="Times New Roman"/>
          <w:bCs/>
          <w:color w:val="auto"/>
          <w:kern w:val="0"/>
          <w:sz w:val="15"/>
          <w:szCs w:val="15"/>
          <w:vertAlign w:val="superscript"/>
        </w:rPr>
        <w:fldChar w:fldCharType="end"/>
      </w:r>
    </w:p>
    <w:p w14:paraId="7A174902">
      <w:pPr>
        <w:widowControl/>
        <w:spacing w:line="360" w:lineRule="auto"/>
        <w:ind w:firstLine="0"/>
        <w:rPr>
          <w:rFonts w:ascii="Times New Roman" w:hAnsi="Times New Roman" w:cs="Times New Roman"/>
          <w:kern w:val="0"/>
          <w:sz w:val="15"/>
          <w:szCs w:val="15"/>
        </w:rPr>
      </w:pPr>
      <w:r>
        <w:rPr>
          <w:rFonts w:ascii="Times New Roman" w:hAnsi="Times New Roman" w:cs="Times New Roman"/>
          <w:kern w:val="0"/>
          <w:sz w:val="15"/>
          <w:szCs w:val="15"/>
        </w:rPr>
        <w:fldChar w:fldCharType="end"/>
      </w:r>
    </w:p>
    <w:p w14:paraId="41635E51">
      <w:pPr>
        <w:widowControl/>
        <w:spacing w:line="360" w:lineRule="auto"/>
        <w:ind w:firstLine="0"/>
        <w:rPr>
          <w:rFonts w:ascii="Times New Roman" w:hAnsi="Times New Roman" w:cs="Times New Roman"/>
          <w:kern w:val="0"/>
          <w:sz w:val="15"/>
          <w:szCs w:val="15"/>
        </w:rPr>
      </w:pPr>
    </w:p>
    <w:p w14:paraId="4DD43A5A">
      <w:pPr>
        <w:widowControl/>
        <w:shd w:val="clear" w:color="auto" w:fill="FFFFFF"/>
        <w:spacing w:before="240" w:line="207" w:lineRule="atLeast"/>
        <w:ind w:firstLine="0"/>
        <w:jc w:val="center"/>
        <w:rPr>
          <w:rFonts w:ascii="Times New Roman" w:hAnsi="宋体" w:cs="Times New Roman"/>
          <w:b/>
          <w:kern w:val="0"/>
          <w:sz w:val="27"/>
          <w:szCs w:val="27"/>
        </w:rPr>
      </w:pPr>
      <w:r>
        <w:rPr>
          <w:rFonts w:hint="eastAsia" w:ascii="Times New Roman" w:hAnsi="宋体" w:cs="Times New Roman"/>
          <w:b/>
          <w:kern w:val="0"/>
          <w:sz w:val="27"/>
          <w:szCs w:val="27"/>
        </w:rPr>
        <w:t>行业指南及</w:t>
      </w:r>
      <w:r>
        <w:rPr>
          <w:rFonts w:ascii="Times New Roman" w:hAnsi="宋体" w:cs="Times New Roman"/>
          <w:b/>
          <w:kern w:val="0"/>
          <w:sz w:val="27"/>
          <w:szCs w:val="27"/>
        </w:rPr>
        <w:t>FDA</w:t>
      </w:r>
      <w:r>
        <w:rPr>
          <w:rFonts w:hint="eastAsia" w:ascii="Times New Roman" w:hAnsi="宋体" w:cs="Times New Roman"/>
          <w:b/>
          <w:kern w:val="0"/>
          <w:sz w:val="27"/>
          <w:szCs w:val="27"/>
        </w:rPr>
        <w:t>工作人员指导</w:t>
      </w:r>
    </w:p>
    <w:p w14:paraId="2F36B3FE">
      <w:pPr>
        <w:widowControl/>
        <w:shd w:val="clear" w:color="auto" w:fill="FFFFFF"/>
        <w:spacing w:after="240" w:line="207" w:lineRule="atLeast"/>
        <w:ind w:firstLine="0"/>
        <w:jc w:val="center"/>
        <w:rPr>
          <w:rFonts w:ascii="Times New Roman" w:hAnsi="Times New Roman" w:cs="Times New Roman"/>
          <w:b/>
          <w:kern w:val="0"/>
          <w:sz w:val="27"/>
          <w:szCs w:val="27"/>
        </w:rPr>
      </w:pPr>
      <w:r>
        <w:rPr>
          <w:rFonts w:ascii="Times New Roman" w:hAnsi="Times New Roman" w:cs="Times New Roman"/>
          <w:b/>
          <w:kern w:val="0"/>
          <w:sz w:val="27"/>
          <w:szCs w:val="27"/>
        </w:rPr>
        <w:t xml:space="preserve">II </w:t>
      </w:r>
      <w:r>
        <w:rPr>
          <w:rFonts w:hint="eastAsia" w:ascii="Times New Roman" w:hAnsi="宋体" w:cs="Times New Roman"/>
          <w:b/>
          <w:kern w:val="0"/>
          <w:sz w:val="27"/>
          <w:szCs w:val="27"/>
        </w:rPr>
        <w:t>类特殊管理指导意见：齿科填充材料银汞合金、水银、汞合金</w:t>
      </w:r>
    </w:p>
    <w:p w14:paraId="6281E510">
      <w:pPr>
        <w:widowControl/>
        <w:shd w:val="clear" w:color="auto" w:fill="FFFFFF"/>
        <w:spacing w:line="207" w:lineRule="atLeast"/>
        <w:ind w:firstLine="0"/>
        <w:outlineLvl w:val="0"/>
        <w:rPr>
          <w:rFonts w:ascii="Times New Roman" w:hAnsi="Times New Roman" w:cs="Times New Roman"/>
          <w:b/>
          <w:kern w:val="0"/>
          <w:sz w:val="23"/>
          <w:szCs w:val="23"/>
        </w:rPr>
      </w:pPr>
      <w:bookmarkStart w:id="2" w:name="_Toc480621157"/>
      <w:r>
        <w:rPr>
          <w:rFonts w:ascii="Times New Roman" w:hAnsi="Times New Roman" w:cs="Times New Roman"/>
          <w:b/>
          <w:kern w:val="0"/>
          <w:sz w:val="23"/>
          <w:szCs w:val="23"/>
        </w:rPr>
        <w:t xml:space="preserve">1. </w:t>
      </w:r>
      <w:r>
        <w:rPr>
          <w:rFonts w:hint="eastAsia" w:ascii="Times New Roman" w:hAnsi="宋体" w:cs="Times New Roman"/>
          <w:b/>
          <w:kern w:val="0"/>
          <w:sz w:val="23"/>
          <w:szCs w:val="23"/>
        </w:rPr>
        <w:t>引言</w:t>
      </w:r>
      <w:bookmarkEnd w:id="2"/>
    </w:p>
    <w:p w14:paraId="17B39967">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食品药品管理局（</w:t>
      </w:r>
      <w:r>
        <w:rPr>
          <w:rFonts w:ascii="Times New Roman" w:hAnsi="Times New Roman" w:cs="Times New Roman"/>
          <w:kern w:val="0"/>
          <w:sz w:val="15"/>
          <w:szCs w:val="15"/>
        </w:rPr>
        <w:t>FDA</w:t>
      </w:r>
      <w:r>
        <w:rPr>
          <w:rFonts w:hint="eastAsia" w:ascii="Times New Roman" w:hAnsi="宋体" w:cs="Times New Roman"/>
          <w:kern w:val="0"/>
          <w:sz w:val="15"/>
          <w:szCs w:val="15"/>
        </w:rPr>
        <w:t>）制定本指导意见作为特殊控制文件是为了支持将齿科银汞合金归为</w:t>
      </w:r>
      <w:r>
        <w:rPr>
          <w:rFonts w:ascii="Times New Roman" w:hAnsi="Times New Roman" w:cs="Times New Roman"/>
          <w:kern w:val="0"/>
          <w:sz w:val="15"/>
          <w:szCs w:val="15"/>
        </w:rPr>
        <w:t>II</w:t>
      </w:r>
      <w:r>
        <w:rPr>
          <w:rFonts w:hint="eastAsia" w:ascii="Times New Roman" w:hAnsi="宋体" w:cs="Times New Roman"/>
          <w:kern w:val="0"/>
          <w:sz w:val="15"/>
          <w:szCs w:val="15"/>
        </w:rPr>
        <w:t>类（特殊控制）、将齿科水银</w:t>
      </w:r>
      <w:r>
        <w:fldChar w:fldCharType="begin"/>
      </w:r>
      <w:r>
        <w:instrText xml:space="preserve"> HYPERLINK "https://www.fda.gov/medicaldevices/deviceregulationandguidance/guidancedocuments/ucm073311.htm" \l "ft1" </w:instrText>
      </w:r>
      <w:r>
        <w:fldChar w:fldCharType="separate"/>
      </w:r>
      <w:r>
        <w:rPr>
          <w:rFonts w:ascii="Times New Roman" w:hAnsi="Times New Roman" w:cs="Times New Roman"/>
          <w:kern w:val="0"/>
          <w:sz w:val="15"/>
          <w:szCs w:val="15"/>
          <w:u w:val="single"/>
          <w:vertAlign w:val="superscript"/>
        </w:rPr>
        <w:t>1</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由</w:t>
      </w:r>
      <w:r>
        <w:rPr>
          <w:rFonts w:ascii="Times New Roman" w:hAnsi="Times New Roman" w:cs="Times New Roman"/>
          <w:kern w:val="0"/>
          <w:sz w:val="15"/>
          <w:szCs w:val="15"/>
        </w:rPr>
        <w:t>I</w:t>
      </w:r>
      <w:r>
        <w:rPr>
          <w:rFonts w:hint="eastAsia" w:ascii="Times New Roman" w:hAnsi="宋体" w:cs="Times New Roman"/>
          <w:kern w:val="0"/>
          <w:sz w:val="15"/>
          <w:szCs w:val="15"/>
        </w:rPr>
        <w:t>类重新归为</w:t>
      </w:r>
      <w:r>
        <w:rPr>
          <w:rFonts w:ascii="Times New Roman" w:hAnsi="Times New Roman" w:cs="Times New Roman"/>
          <w:kern w:val="0"/>
          <w:sz w:val="15"/>
          <w:szCs w:val="15"/>
        </w:rPr>
        <w:t>II</w:t>
      </w:r>
      <w:r>
        <w:rPr>
          <w:rFonts w:hint="eastAsia" w:ascii="Times New Roman" w:hAnsi="宋体" w:cs="Times New Roman"/>
          <w:kern w:val="0"/>
          <w:sz w:val="15"/>
          <w:szCs w:val="15"/>
        </w:rPr>
        <w:t>类以及目前汞合金属于</w:t>
      </w:r>
      <w:r>
        <w:rPr>
          <w:rFonts w:ascii="Times New Roman" w:hAnsi="Times New Roman" w:cs="Times New Roman"/>
          <w:kern w:val="0"/>
          <w:sz w:val="15"/>
          <w:szCs w:val="15"/>
        </w:rPr>
        <w:t>II</w:t>
      </w:r>
      <w:r>
        <w:rPr>
          <w:rFonts w:hint="eastAsia" w:ascii="Times New Roman" w:hAnsi="宋体" w:cs="Times New Roman"/>
          <w:kern w:val="0"/>
          <w:sz w:val="15"/>
          <w:szCs w:val="15"/>
        </w:rPr>
        <w:t>类。这三类器械目前被归至同一项法规，即齿科银汞合金、水银和汞合金</w:t>
      </w:r>
      <w:r>
        <w:rPr>
          <w:rFonts w:ascii="Times New Roman" w:hAnsi="Times New Roman" w:cs="Times New Roman"/>
          <w:kern w:val="0"/>
          <w:sz w:val="15"/>
          <w:szCs w:val="15"/>
        </w:rPr>
        <w:t>21 CFR 872.3070</w:t>
      </w:r>
      <w:r>
        <w:rPr>
          <w:rFonts w:hint="eastAsia" w:ascii="Times New Roman" w:hAnsi="宋体" w:cs="Times New Roman"/>
          <w:kern w:val="0"/>
          <w:sz w:val="15"/>
          <w:szCs w:val="15"/>
        </w:rPr>
        <w:t>。水银是元素态的汞，以散装液体、袋装形式供应，或者以预充胶囊形式供应，适用于与汞合金联用来直接填补龋齿病变或者牙齿的结构缺陷。汞合金主要由银、锡和铜构成，以散装粉末、片剂或者预充胶囊形式供应，适用于与水银联用来直接填补龋齿病变或者牙齿的结构缺陷。齿科银汞合金由水银和汞合金组成，适用于直接填补龋齿病变或者牙齿的结构缺陷。</w:t>
      </w:r>
      <w:r>
        <w:rPr>
          <w:rFonts w:ascii="Times New Roman" w:hAnsi="Times New Roman" w:cs="Times New Roman"/>
          <w:kern w:val="0"/>
          <w:sz w:val="15"/>
          <w:szCs w:val="15"/>
        </w:rPr>
        <w:t>FDA</w:t>
      </w:r>
      <w:r>
        <w:rPr>
          <w:rFonts w:hint="eastAsia" w:ascii="Times New Roman" w:hAnsi="宋体" w:cs="Times New Roman"/>
          <w:kern w:val="0"/>
          <w:sz w:val="15"/>
          <w:szCs w:val="15"/>
        </w:rPr>
        <w:t>发布本指导意见的同时，还会发布一份联邦公报（</w:t>
      </w:r>
      <w:r>
        <w:rPr>
          <w:rFonts w:ascii="Times New Roman" w:hAnsi="Times New Roman" w:cs="Times New Roman"/>
          <w:kern w:val="0"/>
          <w:sz w:val="15"/>
          <w:szCs w:val="15"/>
        </w:rPr>
        <w:t>FR</w:t>
      </w:r>
      <w:r>
        <w:rPr>
          <w:rFonts w:hint="eastAsia" w:ascii="Times New Roman" w:hAnsi="宋体" w:cs="Times New Roman"/>
          <w:kern w:val="0"/>
          <w:sz w:val="15"/>
          <w:szCs w:val="15"/>
        </w:rPr>
        <w:t>）公告，宣布一项最终规则，也就是将齿科银汞合金、水银和汞合金归为</w:t>
      </w:r>
      <w:r>
        <w:rPr>
          <w:rFonts w:ascii="Times New Roman" w:hAnsi="Times New Roman" w:cs="Times New Roman"/>
          <w:kern w:val="0"/>
          <w:sz w:val="15"/>
          <w:szCs w:val="15"/>
        </w:rPr>
        <w:t>II</w:t>
      </w:r>
      <w:r>
        <w:rPr>
          <w:rFonts w:hint="eastAsia" w:ascii="Times New Roman" w:hAnsi="宋体" w:cs="Times New Roman"/>
          <w:kern w:val="0"/>
          <w:sz w:val="15"/>
          <w:szCs w:val="15"/>
        </w:rPr>
        <w:t>类（特殊控制）。分类法规将本指导意见指定为这三种器械的特殊控制文件。</w:t>
      </w:r>
    </w:p>
    <w:p w14:paraId="59C35CC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文件被指定为特殊控制文件意味着，目前正在上市或者计划上市齿科银汞合金、水银或者汞合金的任何企业将有必要阐明这份特殊控制指导意见中指出的问题。企业必须证明其器械可以解决这份指导意见中发现的安全性和有效性问题，可通过遵照本指导意见中的推荐方案或者采用其他具有同等效力来证明产品安全性和有效性的方法来实现这一点。</w:t>
      </w:r>
    </w:p>
    <w:p w14:paraId="3292BE14">
      <w:pPr>
        <w:spacing w:beforeLines="50"/>
        <w:ind w:firstLine="0"/>
        <w:outlineLvl w:val="1"/>
        <w:rPr>
          <w:rFonts w:ascii="Times New Roman" w:hAnsi="Times New Roman" w:cs="Times New Roman"/>
          <w:b/>
          <w:sz w:val="19"/>
          <w:szCs w:val="19"/>
        </w:rPr>
      </w:pPr>
      <w:bookmarkStart w:id="3" w:name="_Toc480621158"/>
      <w:bookmarkStart w:id="4" w:name="bookmark12"/>
      <w:r>
        <w:rPr>
          <w:rFonts w:hint="eastAsia" w:ascii="Times New Roman" w:hAnsi="宋体" w:cs="Times New Roman"/>
          <w:b/>
          <w:sz w:val="19"/>
          <w:szCs w:val="19"/>
        </w:rPr>
        <w:t>最简便的方法</w:t>
      </w:r>
      <w:bookmarkEnd w:id="3"/>
      <w:bookmarkEnd w:id="4"/>
    </w:p>
    <w:p w14:paraId="1920305F">
      <w:pPr>
        <w:spacing w:beforeLines="50"/>
        <w:ind w:firstLine="0"/>
        <w:rPr>
          <w:rFonts w:ascii="Times New Roman" w:hAnsi="Times New Roman" w:cs="Times New Roman"/>
          <w:sz w:val="15"/>
          <w:szCs w:val="15"/>
        </w:rPr>
      </w:pPr>
      <w:r>
        <w:rPr>
          <w:rFonts w:hint="eastAsia" w:ascii="Times New Roman" w:hAnsi="宋体" w:cs="Times New Roman"/>
          <w:kern w:val="0"/>
          <w:sz w:val="15"/>
          <w:szCs w:val="15"/>
        </w:rPr>
        <w:t>本指导意见指出的问题是我们认为批准器械上市之前必须要解决的问题</w:t>
      </w:r>
      <w:r>
        <w:rPr>
          <w:rFonts w:hint="eastAsia" w:ascii="Times New Roman" w:hAnsi="宋体" w:cs="Times New Roman"/>
          <w:sz w:val="15"/>
          <w:szCs w:val="15"/>
        </w:rPr>
        <w:t>。制定该指导意见的过程中，我们认真考虑了机构决策时所依据的相关法定标准。我们还考虑到您遵照本指南，并解决我们确定的问题可能产生的负担。我们认为，已经为解决指导性文件中提出的问题，提供了最简便的方法。但是，如果您有更简洁的方法来解决问题，则应遵循</w:t>
      </w:r>
      <w:r>
        <w:rPr>
          <w:rFonts w:ascii="Times New Roman" w:hAnsi="Times New Roman" w:cs="Times New Roman"/>
          <w:sz w:val="15"/>
          <w:szCs w:val="15"/>
        </w:rPr>
        <w:t>“</w:t>
      </w:r>
      <w:r>
        <w:rPr>
          <w:rFonts w:hint="eastAsia" w:ascii="Times New Roman" w:hAnsi="宋体" w:cs="Times New Roman"/>
          <w:sz w:val="15"/>
          <w:szCs w:val="15"/>
        </w:rPr>
        <w:t>解决简洁问题的建议方法</w:t>
      </w:r>
      <w:r>
        <w:rPr>
          <w:rFonts w:ascii="Times New Roman" w:hAnsi="Times New Roman" w:cs="Times New Roman"/>
          <w:sz w:val="15"/>
          <w:szCs w:val="15"/>
        </w:rPr>
        <w:t>”</w:t>
      </w:r>
      <w:r>
        <w:rPr>
          <w:rFonts w:hint="eastAsia" w:ascii="Times New Roman" w:hAnsi="宋体" w:cs="Times New Roman"/>
          <w:sz w:val="15"/>
          <w:szCs w:val="15"/>
        </w:rPr>
        <w:t>中所述的程序。您可以从我中心网站上浏览</w:t>
      </w:r>
      <w:r>
        <w:rPr>
          <w:rFonts w:ascii="Times New Roman" w:hAnsi="Times New Roman" w:cs="Times New Roman"/>
          <w:sz w:val="15"/>
          <w:szCs w:val="15"/>
        </w:rPr>
        <w:t xml:space="preserve">: </w:t>
      </w:r>
      <w:r>
        <w:fldChar w:fldCharType="begin"/>
      </w:r>
      <w:r>
        <w:instrText xml:space="preserve"> HYPERLINK "https://www.fda.gov/MedicalDevices/DeviceRegulationandGuidance/Overview/MedicalDeviceProvisionsofFDAModernizationAct/ucm136685.htm" </w:instrText>
      </w:r>
      <w:r>
        <w:fldChar w:fldCharType="separate"/>
      </w:r>
      <w:r>
        <w:rPr>
          <w:rFonts w:ascii="Times New Roman" w:hAnsi="Times New Roman" w:cs="Times New Roman"/>
          <w:kern w:val="0"/>
          <w:sz w:val="15"/>
          <w:szCs w:val="15"/>
          <w:u w:val="single"/>
        </w:rPr>
        <w:t>http://www.fda.gov/MedicalDevices/ DeviceRegulationandGuidance/Overview /MedicalDeviceProvisionsofFDAModernizationAct/ ucm136685.htm</w:t>
      </w:r>
      <w:r>
        <w:rPr>
          <w:rFonts w:ascii="Times New Roman" w:hAnsi="Times New Roman" w:cs="Times New Roman"/>
          <w:kern w:val="0"/>
          <w:sz w:val="15"/>
          <w:szCs w:val="15"/>
          <w:u w:val="single"/>
        </w:rPr>
        <w:fldChar w:fldCharType="end"/>
      </w:r>
    </w:p>
    <w:p w14:paraId="4AFB5AD4">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sz w:val="15"/>
          <w:szCs w:val="15"/>
        </w:rPr>
        <w:br w:type="page"/>
      </w:r>
      <w:r>
        <w:fldChar w:fldCharType="begin"/>
      </w:r>
      <w:r>
        <w:instrText xml:space="preserve"> HYPERLINK "https://www.fda.gov/medicaldevices/deviceregulationandguidance/guidancedocuments/ucm073311.htm" \l "top" </w:instrText>
      </w:r>
      <w:r>
        <w:fldChar w:fldCharType="separate"/>
      </w:r>
      <w:r>
        <w:rPr>
          <w:rFonts w:hint="eastAsia" w:ascii="Times New Roman" w:hAnsi="宋体" w:cs="Times New Roman"/>
          <w:kern w:val="0"/>
          <w:sz w:val="15"/>
          <w:szCs w:val="15"/>
          <w:u w:val="single"/>
        </w:rPr>
        <w:t>返回顶部</w:t>
      </w:r>
      <w:r>
        <w:rPr>
          <w:rFonts w:hint="eastAsia" w:ascii="Times New Roman" w:hAnsi="宋体" w:cs="Times New Roman"/>
          <w:kern w:val="0"/>
          <w:sz w:val="15"/>
          <w:szCs w:val="15"/>
          <w:u w:val="single"/>
        </w:rPr>
        <w:fldChar w:fldCharType="end"/>
      </w:r>
    </w:p>
    <w:p w14:paraId="00FD2CF7">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09ECA1FD">
      <w:pPr>
        <w:widowControl/>
        <w:shd w:val="clear" w:color="auto" w:fill="FFFFFF"/>
        <w:spacing w:after="118"/>
        <w:ind w:firstLine="0"/>
        <w:outlineLvl w:val="0"/>
        <w:rPr>
          <w:rFonts w:ascii="Times New Roman" w:hAnsi="Times New Roman" w:cs="Times New Roman"/>
          <w:b/>
          <w:bCs/>
          <w:kern w:val="0"/>
          <w:sz w:val="23"/>
          <w:szCs w:val="23"/>
        </w:rPr>
      </w:pPr>
      <w:bookmarkStart w:id="5" w:name="_Toc480621159"/>
      <w:r>
        <w:rPr>
          <w:rFonts w:ascii="Times New Roman" w:hAnsi="Times New Roman" w:cs="Times New Roman"/>
          <w:b/>
          <w:bCs/>
          <w:kern w:val="0"/>
          <w:sz w:val="23"/>
          <w:szCs w:val="23"/>
        </w:rPr>
        <w:t xml:space="preserve">2. </w:t>
      </w:r>
      <w:r>
        <w:rPr>
          <w:rFonts w:hint="eastAsia" w:ascii="Times New Roman" w:hAnsi="宋体" w:cs="Times New Roman"/>
          <w:b/>
          <w:bCs/>
          <w:kern w:val="0"/>
          <w:sz w:val="23"/>
          <w:szCs w:val="23"/>
        </w:rPr>
        <w:t>背景</w:t>
      </w:r>
      <w:bookmarkEnd w:id="5"/>
    </w:p>
    <w:p w14:paraId="549DCF7E">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计划上市这种类型器械的生产商必须</w:t>
      </w:r>
    </w:p>
    <w:p w14:paraId="1294C0A3">
      <w:pPr>
        <w:widowControl/>
        <w:numPr>
          <w:ilvl w:val="0"/>
          <w:numId w:val="1"/>
        </w:numPr>
        <w:shd w:val="clear" w:color="auto" w:fill="FFFFFF"/>
        <w:spacing w:beforeLines="5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遵守联邦食品药品和化妆品法案（法案）中的一般控制，包括</w:t>
      </w:r>
      <w:r>
        <w:rPr>
          <w:rFonts w:ascii="Times New Roman" w:hAnsi="Times New Roman" w:cs="Times New Roman"/>
          <w:kern w:val="0"/>
          <w:sz w:val="15"/>
          <w:szCs w:val="15"/>
        </w:rPr>
        <w:t>21 CFR 807 Subpart E</w:t>
      </w:r>
      <w:r>
        <w:rPr>
          <w:rFonts w:hint="eastAsia" w:ascii="Times New Roman" w:hAnsi="宋体" w:cs="Times New Roman"/>
          <w:kern w:val="0"/>
          <w:sz w:val="15"/>
          <w:szCs w:val="15"/>
        </w:rPr>
        <w:t>描述的上市前通告要求；</w:t>
      </w:r>
    </w:p>
    <w:p w14:paraId="5613522C">
      <w:pPr>
        <w:widowControl/>
        <w:numPr>
          <w:ilvl w:val="0"/>
          <w:numId w:val="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遵守针对该类器械制定的特殊控制，即解决本指导意见确认的与齿科银汞合金器械有关的具体的健康风险；以及</w:t>
      </w:r>
    </w:p>
    <w:p w14:paraId="577C88CA">
      <w:pPr>
        <w:widowControl/>
        <w:numPr>
          <w:ilvl w:val="0"/>
          <w:numId w:val="1"/>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获得</w:t>
      </w:r>
      <w:r>
        <w:rPr>
          <w:rFonts w:ascii="Times New Roman" w:hAnsi="Times New Roman" w:cs="Times New Roman"/>
          <w:kern w:val="0"/>
          <w:sz w:val="15"/>
          <w:szCs w:val="15"/>
        </w:rPr>
        <w:t>FDA</w:t>
      </w:r>
      <w:r>
        <w:rPr>
          <w:rFonts w:hint="eastAsia" w:ascii="Times New Roman" w:hAnsi="宋体" w:cs="Times New Roman"/>
          <w:kern w:val="0"/>
          <w:sz w:val="15"/>
          <w:szCs w:val="15"/>
        </w:rPr>
        <w:t>的实质等同性认定，才可以上市其器械（还可参阅</w:t>
      </w:r>
      <w:r>
        <w:rPr>
          <w:rFonts w:ascii="Times New Roman" w:hAnsi="Times New Roman" w:cs="Times New Roman"/>
          <w:kern w:val="0"/>
          <w:sz w:val="15"/>
          <w:szCs w:val="15"/>
        </w:rPr>
        <w:t>21 CFR 807.81</w:t>
      </w:r>
      <w:r>
        <w:rPr>
          <w:rFonts w:hint="eastAsia" w:ascii="Times New Roman" w:hAnsi="宋体" w:cs="Times New Roman"/>
          <w:kern w:val="0"/>
          <w:sz w:val="15"/>
          <w:szCs w:val="15"/>
        </w:rPr>
        <w:t>和</w:t>
      </w:r>
      <w:r>
        <w:rPr>
          <w:rFonts w:ascii="Times New Roman" w:hAnsi="Times New Roman" w:cs="Times New Roman"/>
          <w:kern w:val="0"/>
          <w:sz w:val="15"/>
          <w:szCs w:val="15"/>
        </w:rPr>
        <w:t>807.87</w:t>
      </w:r>
      <w:r>
        <w:rPr>
          <w:rFonts w:hint="eastAsia" w:ascii="Times New Roman" w:hAnsi="宋体" w:cs="Times New Roman"/>
          <w:kern w:val="0"/>
          <w:sz w:val="15"/>
          <w:szCs w:val="15"/>
        </w:rPr>
        <w:t>）。</w:t>
      </w:r>
    </w:p>
    <w:p w14:paraId="469BA0E9">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相信，特殊控制与法案所述的一般控制联用足以合理保证这些器械的安全性和有效性。</w:t>
      </w:r>
    </w:p>
    <w:p w14:paraId="0C2010C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这份特殊控制指导意见指明了齿科银汞合金、水银和汞合金的分类法规和产品代码（请参考第</w:t>
      </w:r>
      <w:r>
        <w:rPr>
          <w:rFonts w:ascii="Times New Roman" w:hAnsi="Times New Roman" w:cs="Times New Roman"/>
          <w:kern w:val="0"/>
          <w:sz w:val="15"/>
          <w:szCs w:val="15"/>
        </w:rPr>
        <w:t>3</w:t>
      </w:r>
      <w:r>
        <w:rPr>
          <w:rFonts w:hint="eastAsia" w:ascii="Times New Roman" w:hAnsi="宋体" w:cs="Times New Roman"/>
          <w:kern w:val="0"/>
          <w:sz w:val="15"/>
          <w:szCs w:val="15"/>
        </w:rPr>
        <w:t>节适用范围）。本指导意见的其他章节向生产商提供了关于如何解决这些器械相关风险的推荐方案。</w:t>
      </w:r>
    </w:p>
    <w:p w14:paraId="2D1F5BC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关于上市前通告申报资料的具体内容要求，本文件补充了其他</w:t>
      </w:r>
      <w:r>
        <w:rPr>
          <w:rFonts w:ascii="Times New Roman" w:hAnsi="Times New Roman" w:cs="Times New Roman"/>
          <w:kern w:val="0"/>
          <w:sz w:val="15"/>
          <w:szCs w:val="15"/>
        </w:rPr>
        <w:t>FDA</w:t>
      </w:r>
      <w:r>
        <w:rPr>
          <w:rFonts w:hint="eastAsia" w:ascii="Times New Roman" w:hAnsi="宋体" w:cs="Times New Roman"/>
          <w:kern w:val="0"/>
          <w:sz w:val="15"/>
          <w:szCs w:val="15"/>
        </w:rPr>
        <w:t>文件。你还应该参考</w:t>
      </w:r>
      <w:r>
        <w:rPr>
          <w:rFonts w:ascii="Times New Roman" w:hAnsi="Times New Roman" w:cs="Times New Roman"/>
          <w:kern w:val="0"/>
          <w:sz w:val="15"/>
          <w:szCs w:val="15"/>
        </w:rPr>
        <w:t>21 CFR 807.87</w:t>
      </w:r>
      <w:r>
        <w:rPr>
          <w:rFonts w:hint="eastAsia" w:ascii="Times New Roman" w:hAnsi="宋体" w:cs="Times New Roman"/>
          <w:kern w:val="0"/>
          <w:sz w:val="15"/>
          <w:szCs w:val="15"/>
        </w:rPr>
        <w:t>、题为</w:t>
      </w:r>
      <w:r>
        <w:rPr>
          <w:rFonts w:ascii="Times New Roman" w:hAnsi="Times New Roman" w:cs="Times New Roman"/>
          <w:kern w:val="0"/>
          <w:sz w:val="15"/>
          <w:szCs w:val="15"/>
        </w:rPr>
        <w:t>“</w:t>
      </w:r>
      <w:r>
        <w:rPr>
          <w:rFonts w:hint="eastAsia" w:ascii="Times New Roman" w:hAnsi="宋体" w:cs="Times New Roman"/>
          <w:kern w:val="0"/>
          <w:sz w:val="15"/>
          <w:szCs w:val="15"/>
        </w:rPr>
        <w:t>传统和缩减</w:t>
      </w:r>
      <w:r>
        <w:rPr>
          <w:rFonts w:ascii="Times New Roman" w:hAnsi="Times New Roman" w:cs="Times New Roman"/>
          <w:kern w:val="0"/>
          <w:sz w:val="15"/>
          <w:szCs w:val="15"/>
        </w:rPr>
        <w:t>510(k)</w:t>
      </w:r>
      <w:r>
        <w:rPr>
          <w:rFonts w:hint="eastAsia" w:ascii="Times New Roman" w:hAnsi="宋体" w:cs="Times New Roman"/>
          <w:kern w:val="0"/>
          <w:sz w:val="15"/>
          <w:szCs w:val="15"/>
        </w:rPr>
        <w:t>格式</w:t>
      </w:r>
      <w:r>
        <w:rPr>
          <w:rFonts w:ascii="Times New Roman" w:hAnsi="Times New Roman" w:cs="Times New Roman"/>
          <w:kern w:val="0"/>
          <w:sz w:val="15"/>
          <w:szCs w:val="15"/>
        </w:rPr>
        <w:t>”</w:t>
      </w:r>
      <w:r>
        <w:rPr>
          <w:rFonts w:hint="eastAsia" w:ascii="Times New Roman" w:hAnsi="宋体" w:cs="Times New Roman"/>
          <w:kern w:val="0"/>
          <w:sz w:val="15"/>
          <w:szCs w:val="15"/>
        </w:rPr>
        <w:t>的指导意见</w:t>
      </w:r>
      <w:r>
        <w:fldChar w:fldCharType="begin"/>
      </w:r>
      <w:r>
        <w:instrText xml:space="preserve"> HYPERLINK "https://www.fda.gov/medicaldevices/deviceregulationandguidance/guidancedocuments/ucm073311.htm" \l "ft2" </w:instrText>
      </w:r>
      <w:r>
        <w:fldChar w:fldCharType="separate"/>
      </w:r>
      <w:r>
        <w:rPr>
          <w:rFonts w:ascii="Times New Roman" w:hAnsi="Times New Roman" w:cs="Times New Roman"/>
          <w:kern w:val="0"/>
          <w:sz w:val="15"/>
          <w:szCs w:val="15"/>
          <w:u w:val="single"/>
          <w:vertAlign w:val="superscript"/>
        </w:rPr>
        <w:t>2</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以及</w:t>
      </w:r>
      <w:r>
        <w:rPr>
          <w:rFonts w:ascii="Times New Roman" w:hAnsi="Times New Roman" w:cs="Times New Roman"/>
          <w:kern w:val="0"/>
          <w:sz w:val="15"/>
          <w:szCs w:val="15"/>
        </w:rPr>
        <w:t>CDRH</w:t>
      </w:r>
      <w:r>
        <w:rPr>
          <w:rFonts w:hint="eastAsia" w:ascii="Times New Roman" w:hAnsi="宋体" w:cs="Times New Roman"/>
          <w:kern w:val="0"/>
          <w:sz w:val="15"/>
          <w:szCs w:val="15"/>
        </w:rPr>
        <w:t>的器械建议网页上的上市前通告</w:t>
      </w:r>
      <w:r>
        <w:rPr>
          <w:rFonts w:ascii="Times New Roman" w:hAnsi="Times New Roman" w:cs="Times New Roman"/>
          <w:kern w:val="0"/>
          <w:sz w:val="15"/>
          <w:szCs w:val="15"/>
        </w:rPr>
        <w:t>510(k)</w:t>
      </w:r>
      <w:r>
        <w:rPr>
          <w:rFonts w:hint="eastAsia" w:ascii="Times New Roman" w:hAnsi="宋体" w:cs="Times New Roman"/>
          <w:kern w:val="0"/>
          <w:sz w:val="15"/>
          <w:szCs w:val="15"/>
        </w:rPr>
        <w:t>章节</w:t>
      </w:r>
      <w:r>
        <w:fldChar w:fldCharType="begin"/>
      </w:r>
      <w:r>
        <w:instrText xml:space="preserve"> HYPERLINK "https://www.fda.gov/medicaldevices/deviceregulationandguidance/guidancedocuments/ucm073311.htm" \l "ft3" </w:instrText>
      </w:r>
      <w:r>
        <w:fldChar w:fldCharType="separate"/>
      </w:r>
      <w:r>
        <w:rPr>
          <w:rFonts w:ascii="Times New Roman" w:hAnsi="Times New Roman" w:cs="Times New Roman"/>
          <w:kern w:val="0"/>
          <w:sz w:val="15"/>
          <w:szCs w:val="15"/>
          <w:u w:val="single"/>
          <w:vertAlign w:val="superscript"/>
        </w:rPr>
        <w:t>3</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71FCB6CB">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根据</w:t>
      </w:r>
      <w:r>
        <w:rPr>
          <w:rFonts w:ascii="Times New Roman" w:hAnsi="Times New Roman" w:cs="Times New Roman"/>
          <w:kern w:val="0"/>
          <w:sz w:val="15"/>
          <w:szCs w:val="15"/>
        </w:rPr>
        <w:t>"</w:t>
      </w:r>
      <w:r>
        <w:rPr>
          <w:rFonts w:hint="eastAsia" w:ascii="Times New Roman" w:hAnsi="宋体" w:cs="Times New Roman"/>
          <w:kern w:val="0"/>
          <w:sz w:val="15"/>
          <w:szCs w:val="15"/>
        </w:rPr>
        <w:t>新</w:t>
      </w:r>
      <w:r>
        <w:rPr>
          <w:rFonts w:ascii="Times New Roman" w:hAnsi="Times New Roman" w:cs="Times New Roman"/>
          <w:kern w:val="0"/>
          <w:sz w:val="15"/>
          <w:szCs w:val="15"/>
        </w:rPr>
        <w:t>510(k)</w:t>
      </w:r>
      <w:r>
        <w:rPr>
          <w:rFonts w:hint="eastAsia" w:ascii="Times New Roman" w:hAnsi="宋体" w:cs="Times New Roman"/>
          <w:kern w:val="0"/>
          <w:sz w:val="15"/>
          <w:szCs w:val="15"/>
        </w:rPr>
        <w:t>范式</w:t>
      </w:r>
      <w:r>
        <w:rPr>
          <w:rFonts w:ascii="Times New Roman" w:hAnsi="Times New Roman" w:cs="Times New Roman"/>
          <w:kern w:val="0"/>
          <w:sz w:val="15"/>
          <w:szCs w:val="15"/>
        </w:rPr>
        <w:t xml:space="preserve"> – </w:t>
      </w:r>
      <w:r>
        <w:rPr>
          <w:rFonts w:hint="eastAsia" w:ascii="Times New Roman" w:hAnsi="宋体" w:cs="Times New Roman"/>
          <w:kern w:val="0"/>
          <w:sz w:val="15"/>
          <w:szCs w:val="15"/>
        </w:rPr>
        <w:t>上市前通告中阐明实质等同性的替代方法；最终指导意见</w:t>
      </w:r>
      <w:r>
        <w:rPr>
          <w:rFonts w:ascii="Times New Roman" w:hAnsi="Times New Roman" w:cs="Times New Roman"/>
          <w:kern w:val="0"/>
          <w:sz w:val="15"/>
          <w:szCs w:val="15"/>
        </w:rPr>
        <w:t>"</w:t>
      </w:r>
      <w:r>
        <w:fldChar w:fldCharType="begin"/>
      </w:r>
      <w:r>
        <w:instrText xml:space="preserve"> HYPERLINK "https://www.fda.gov/medicaldevices/deviceregulationandguidance/guidancedocuments/ucm073311.htm" \l "ft4" </w:instrText>
      </w:r>
      <w:r>
        <w:fldChar w:fldCharType="separate"/>
      </w:r>
      <w:r>
        <w:rPr>
          <w:rFonts w:ascii="Times New Roman" w:hAnsi="Times New Roman" w:cs="Times New Roman"/>
          <w:kern w:val="0"/>
          <w:sz w:val="15"/>
          <w:szCs w:val="15"/>
          <w:u w:val="single"/>
          <w:vertAlign w:val="superscript"/>
        </w:rPr>
        <w:t>4</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，生产商可以递交传统</w:t>
      </w:r>
      <w:r>
        <w:rPr>
          <w:rFonts w:ascii="Times New Roman" w:hAnsi="Times New Roman" w:cs="Times New Roman"/>
          <w:kern w:val="0"/>
          <w:sz w:val="15"/>
          <w:szCs w:val="15"/>
        </w:rPr>
        <w:t>510(k)</w:t>
      </w:r>
      <w:r>
        <w:rPr>
          <w:rFonts w:hint="eastAsia" w:ascii="Times New Roman" w:hAnsi="宋体" w:cs="Times New Roman"/>
          <w:kern w:val="0"/>
          <w:sz w:val="15"/>
          <w:szCs w:val="15"/>
        </w:rPr>
        <w:t>，也可以递交缩减</w:t>
      </w:r>
      <w:r>
        <w:rPr>
          <w:rFonts w:ascii="Times New Roman" w:hAnsi="Times New Roman" w:cs="Times New Roman"/>
          <w:kern w:val="0"/>
          <w:sz w:val="15"/>
          <w:szCs w:val="15"/>
        </w:rPr>
        <w:t>510(k)</w:t>
      </w:r>
      <w:r>
        <w:rPr>
          <w:rFonts w:hint="eastAsia" w:ascii="Times New Roman" w:hAnsi="宋体" w:cs="Times New Roman"/>
          <w:kern w:val="0"/>
          <w:sz w:val="15"/>
          <w:szCs w:val="15"/>
        </w:rPr>
        <w:t>或者特殊</w:t>
      </w:r>
      <w:r>
        <w:rPr>
          <w:rFonts w:ascii="Times New Roman" w:hAnsi="Times New Roman" w:cs="Times New Roman"/>
          <w:kern w:val="0"/>
          <w:sz w:val="15"/>
          <w:szCs w:val="15"/>
        </w:rPr>
        <w:t>510(k)</w:t>
      </w:r>
      <w:r>
        <w:rPr>
          <w:rFonts w:hint="eastAsia" w:ascii="Times New Roman" w:hAnsi="宋体" w:cs="Times New Roman"/>
          <w:kern w:val="0"/>
          <w:sz w:val="15"/>
          <w:szCs w:val="15"/>
        </w:rPr>
        <w:t>。</w:t>
      </w:r>
      <w:r>
        <w:rPr>
          <w:rFonts w:ascii="Times New Roman" w:hAnsi="Times New Roman" w:cs="Times New Roman"/>
          <w:kern w:val="0"/>
          <w:sz w:val="15"/>
          <w:szCs w:val="15"/>
        </w:rPr>
        <w:t>FDA</w:t>
      </w:r>
      <w:r>
        <w:rPr>
          <w:rFonts w:hint="eastAsia" w:ascii="Times New Roman" w:hAnsi="宋体" w:cs="Times New Roman"/>
          <w:kern w:val="0"/>
          <w:sz w:val="15"/>
          <w:szCs w:val="15"/>
        </w:rPr>
        <w:t>相信，对于一种新器械而言，缩减</w:t>
      </w:r>
      <w:r>
        <w:rPr>
          <w:rFonts w:ascii="Times New Roman" w:hAnsi="Times New Roman" w:cs="Times New Roman"/>
          <w:kern w:val="0"/>
          <w:sz w:val="15"/>
          <w:szCs w:val="15"/>
        </w:rPr>
        <w:t>510(k)</w:t>
      </w:r>
      <w:r>
        <w:rPr>
          <w:rFonts w:hint="eastAsia" w:ascii="Times New Roman" w:hAnsi="宋体" w:cs="Times New Roman"/>
          <w:kern w:val="0"/>
          <w:sz w:val="15"/>
          <w:szCs w:val="15"/>
        </w:rPr>
        <w:t>是阐明实质等同性的最简便的方法，尤其是关于该器械的</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类特殊控制指导意见发布之后。生产商如果考虑对其已获许可的器械进行改进，可以递交特殊</w:t>
      </w:r>
      <w:r>
        <w:rPr>
          <w:rFonts w:ascii="Times New Roman" w:hAnsi="Times New Roman" w:cs="Times New Roman"/>
          <w:kern w:val="0"/>
          <w:sz w:val="15"/>
          <w:szCs w:val="15"/>
        </w:rPr>
        <w:t>510(k)</w:t>
      </w:r>
      <w:r>
        <w:rPr>
          <w:rFonts w:hint="eastAsia" w:ascii="Times New Roman" w:hAnsi="宋体" w:cs="Times New Roman"/>
          <w:kern w:val="0"/>
          <w:sz w:val="15"/>
          <w:szCs w:val="15"/>
        </w:rPr>
        <w:t>，从而减轻注册负担。关于可以向</w:t>
      </w:r>
      <w:r>
        <w:rPr>
          <w:rFonts w:ascii="Times New Roman" w:hAnsi="Times New Roman" w:cs="Times New Roman"/>
          <w:kern w:val="0"/>
          <w:sz w:val="15"/>
          <w:szCs w:val="15"/>
        </w:rPr>
        <w:t>FDA</w:t>
      </w:r>
      <w:r>
        <w:rPr>
          <w:rFonts w:hint="eastAsia" w:ascii="Times New Roman" w:hAnsi="宋体" w:cs="Times New Roman"/>
          <w:kern w:val="0"/>
          <w:sz w:val="15"/>
          <w:szCs w:val="15"/>
        </w:rPr>
        <w:t>递交的上市前通告</w:t>
      </w:r>
      <w:r>
        <w:rPr>
          <w:rFonts w:ascii="Times New Roman" w:hAnsi="Times New Roman" w:cs="Times New Roman"/>
          <w:kern w:val="0"/>
          <w:sz w:val="15"/>
          <w:szCs w:val="15"/>
        </w:rPr>
        <w:t>510(k)</w:t>
      </w:r>
      <w:r>
        <w:rPr>
          <w:rFonts w:hint="eastAsia" w:ascii="Times New Roman" w:hAnsi="宋体" w:cs="Times New Roman"/>
          <w:kern w:val="0"/>
          <w:sz w:val="15"/>
          <w:szCs w:val="15"/>
        </w:rPr>
        <w:t>的类型的更多信息，请参考</w:t>
      </w:r>
      <w:r>
        <w:rPr>
          <w:rFonts w:ascii="Times New Roman" w:hAnsi="Times New Roman" w:cs="Times New Roman"/>
          <w:kern w:val="0"/>
          <w:sz w:val="15"/>
          <w:szCs w:val="15"/>
        </w:rPr>
        <w:t>CDRH</w:t>
      </w:r>
      <w:r>
        <w:rPr>
          <w:rFonts w:hint="eastAsia" w:ascii="Times New Roman" w:hAnsi="宋体" w:cs="Times New Roman"/>
          <w:kern w:val="0"/>
          <w:sz w:val="15"/>
          <w:szCs w:val="15"/>
        </w:rPr>
        <w:t>器械建议网页上的上市前通告</w:t>
      </w:r>
      <w:r>
        <w:rPr>
          <w:rFonts w:ascii="Times New Roman" w:hAnsi="Times New Roman" w:cs="Times New Roman"/>
          <w:kern w:val="0"/>
          <w:sz w:val="15"/>
          <w:szCs w:val="15"/>
        </w:rPr>
        <w:t>510(k)</w:t>
      </w:r>
      <w:r>
        <w:fldChar w:fldCharType="begin"/>
      </w:r>
      <w:r>
        <w:instrText xml:space="preserve"> HYPERLINK "https://www.fda.gov/medicaldevices/deviceregulationandguidance/guidancedocuments/ucm073311.htm" \l "ft5" </w:instrText>
      </w:r>
      <w:r>
        <w:fldChar w:fldCharType="separate"/>
      </w:r>
      <w:r>
        <w:rPr>
          <w:rFonts w:ascii="Times New Roman" w:hAnsi="Times New Roman" w:cs="Times New Roman"/>
          <w:kern w:val="0"/>
          <w:sz w:val="15"/>
          <w:szCs w:val="15"/>
          <w:u w:val="single"/>
          <w:vertAlign w:val="superscript"/>
        </w:rPr>
        <w:t>5</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281153CF">
      <w:pPr>
        <w:widowControl/>
        <w:shd w:val="clear" w:color="auto" w:fill="FFFFFF"/>
        <w:spacing w:after="118"/>
        <w:ind w:firstLine="0"/>
        <w:outlineLvl w:val="2"/>
        <w:rPr>
          <w:rFonts w:ascii="Times New Roman" w:hAnsi="Times New Roman" w:cs="Times New Roman"/>
          <w:sz w:val="15"/>
          <w:szCs w:val="15"/>
        </w:rPr>
      </w:pPr>
      <w:r>
        <w:fldChar w:fldCharType="begin"/>
      </w:r>
      <w:r>
        <w:instrText xml:space="preserve"> HYPERLINK "https://www.fda.gov/medicaldevices/deviceregulationandguidance/guidancedocuments/ucm073311.htm" \l "top" </w:instrText>
      </w:r>
      <w:r>
        <w:fldChar w:fldCharType="separate"/>
      </w:r>
      <w:bookmarkStart w:id="6" w:name="_Toc480621160"/>
      <w:r>
        <w:rPr>
          <w:rFonts w:hint="eastAsia" w:ascii="Times New Roman" w:hAnsi="宋体" w:cs="Times New Roman"/>
          <w:kern w:val="0"/>
          <w:sz w:val="15"/>
          <w:szCs w:val="15"/>
          <w:u w:val="single"/>
        </w:rPr>
        <w:t>返回顶部</w:t>
      </w:r>
      <w:bookmarkEnd w:id="6"/>
      <w:r>
        <w:rPr>
          <w:rFonts w:hint="eastAsia" w:ascii="Times New Roman" w:hAnsi="宋体" w:cs="Times New Roman"/>
          <w:kern w:val="0"/>
          <w:sz w:val="15"/>
          <w:szCs w:val="15"/>
          <w:u w:val="single"/>
        </w:rPr>
        <w:fldChar w:fldCharType="end"/>
      </w:r>
    </w:p>
    <w:p w14:paraId="38903A15">
      <w:pPr>
        <w:widowControl/>
        <w:shd w:val="clear" w:color="auto" w:fill="FFFFFF"/>
        <w:spacing w:beforeLines="300" w:after="118"/>
        <w:ind w:firstLine="0"/>
        <w:outlineLvl w:val="0"/>
        <w:rPr>
          <w:rFonts w:ascii="Times New Roman" w:hAnsi="Times New Roman" w:cs="Times New Roman"/>
          <w:b/>
          <w:bCs/>
          <w:kern w:val="0"/>
          <w:sz w:val="23"/>
          <w:szCs w:val="23"/>
        </w:rPr>
      </w:pPr>
      <w:bookmarkStart w:id="7" w:name="_Toc480621161"/>
      <w:r>
        <w:rPr>
          <w:rFonts w:ascii="Times New Roman" w:hAnsi="Times New Roman" w:cs="Times New Roman"/>
          <w:b/>
          <w:bCs/>
          <w:kern w:val="0"/>
          <w:sz w:val="23"/>
          <w:szCs w:val="23"/>
        </w:rPr>
        <w:t xml:space="preserve">3. </w:t>
      </w:r>
      <w:r>
        <w:rPr>
          <w:rFonts w:hint="eastAsia" w:ascii="Times New Roman" w:hAnsi="宋体" w:cs="Times New Roman"/>
          <w:b/>
          <w:bCs/>
          <w:kern w:val="0"/>
          <w:sz w:val="23"/>
          <w:szCs w:val="23"/>
        </w:rPr>
        <w:t>适用范围</w:t>
      </w:r>
      <w:bookmarkEnd w:id="7"/>
    </w:p>
    <w:p w14:paraId="3A943D9F">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本指导意见的适用范围仅限于在</w:t>
      </w:r>
      <w:r>
        <w:rPr>
          <w:rFonts w:ascii="Times New Roman" w:hAnsi="Times New Roman" w:cs="Times New Roman"/>
          <w:kern w:val="0"/>
          <w:sz w:val="15"/>
          <w:szCs w:val="15"/>
        </w:rPr>
        <w:t>21 CFR 872.3070</w:t>
      </w:r>
      <w:r>
        <w:rPr>
          <w:rFonts w:hint="eastAsia" w:ascii="Times New Roman" w:hAnsi="宋体" w:cs="Times New Roman"/>
          <w:kern w:val="0"/>
          <w:sz w:val="15"/>
          <w:szCs w:val="15"/>
        </w:rPr>
        <w:t>归类的下述器械，包括表格中列出的产品代码。</w:t>
      </w:r>
    </w:p>
    <w:p w14:paraId="77FC36E0">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b/>
          <w:bCs/>
          <w:kern w:val="0"/>
          <w:sz w:val="15"/>
          <w:szCs w:val="15"/>
        </w:rPr>
        <w:br w:type="page"/>
      </w:r>
      <w:r>
        <w:rPr>
          <w:rFonts w:ascii="Times New Roman" w:hAnsi="Times New Roman" w:cs="Times New Roman"/>
          <w:b/>
          <w:bCs/>
          <w:kern w:val="0"/>
          <w:sz w:val="15"/>
          <w:szCs w:val="15"/>
        </w:rPr>
        <w:t xml:space="preserve">§ 872.3070 </w:t>
      </w:r>
      <w:r>
        <w:rPr>
          <w:rFonts w:hint="eastAsia" w:ascii="Times New Roman" w:hAnsi="宋体" w:cs="Times New Roman"/>
          <w:b/>
          <w:bCs/>
          <w:kern w:val="0"/>
          <w:sz w:val="15"/>
          <w:szCs w:val="15"/>
        </w:rPr>
        <w:t>齿科银汞合金、水银和汞合金</w:t>
      </w:r>
    </w:p>
    <w:p w14:paraId="57F551F5">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(a) </w:t>
      </w:r>
      <w:r>
        <w:rPr>
          <w:rFonts w:hint="eastAsia" w:ascii="Times New Roman" w:hAnsi="宋体" w:cs="Times New Roman"/>
          <w:kern w:val="0"/>
          <w:sz w:val="15"/>
          <w:szCs w:val="15"/>
        </w:rPr>
        <w:t>名称。齿科银汞合金是一种由元素态汞（以散装液体、袋装形式供应，或者以预充胶囊形式供应）和汞合金（主要由银、锡和铜构成，以散装粉末、片剂或者预充胶囊形式供应）构成的器械，用于直接填补龋齿病变或者牙齿的结构缺陷。这种器械还包括了各项独立的成分构成的器械，即水银和汞合金，两者混合形成齿科银汞合金。</w:t>
      </w:r>
    </w:p>
    <w:p w14:paraId="70A709B5">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(b) </w:t>
      </w:r>
      <w:r>
        <w:rPr>
          <w:rFonts w:hint="eastAsia" w:ascii="Times New Roman" w:hAnsi="宋体" w:cs="Times New Roman"/>
          <w:i/>
          <w:iCs/>
          <w:kern w:val="0"/>
          <w:sz w:val="15"/>
          <w:szCs w:val="15"/>
        </w:rPr>
        <w:t>分类。</w:t>
      </w:r>
      <w:r>
        <w:rPr>
          <w:rFonts w:ascii="Times New Roman" w:hAnsi="Times New Roman" w:cs="Times New Roman"/>
          <w:kern w:val="0"/>
          <w:sz w:val="15"/>
          <w:szCs w:val="15"/>
        </w:rPr>
        <w:t>II</w:t>
      </w:r>
      <w:r>
        <w:rPr>
          <w:rFonts w:hint="eastAsia" w:ascii="Times New Roman" w:hAnsi="宋体" w:cs="Times New Roman"/>
          <w:kern w:val="0"/>
          <w:sz w:val="15"/>
          <w:szCs w:val="15"/>
        </w:rPr>
        <w:t>类（特殊控制）。这种器械的特殊控制文件是</w:t>
      </w:r>
      <w:r>
        <w:rPr>
          <w:rFonts w:ascii="Times New Roman" w:hAnsi="Times New Roman" w:cs="Times New Roman"/>
          <w:kern w:val="0"/>
          <w:sz w:val="15"/>
          <w:szCs w:val="15"/>
        </w:rPr>
        <w:t>FDA</w:t>
      </w:r>
      <w:r>
        <w:rPr>
          <w:rFonts w:hint="eastAsia" w:ascii="Times New Roman" w:hAnsi="宋体" w:cs="Times New Roman"/>
          <w:kern w:val="0"/>
          <w:sz w:val="15"/>
          <w:szCs w:val="15"/>
        </w:rPr>
        <w:t>发布的</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类特殊控制指导意见：齿科银汞合金、水银和汞合金</w:t>
      </w:r>
      <w:r>
        <w:rPr>
          <w:rFonts w:ascii="Times New Roman" w:hAnsi="Times New Roman" w:cs="Times New Roman"/>
          <w:kern w:val="0"/>
          <w:sz w:val="15"/>
          <w:szCs w:val="15"/>
        </w:rPr>
        <w:t>”</w:t>
      </w:r>
      <w:r>
        <w:rPr>
          <w:rFonts w:hint="eastAsia" w:ascii="Times New Roman" w:hAnsi="宋体" w:cs="Times New Roman"/>
          <w:kern w:val="0"/>
          <w:sz w:val="15"/>
          <w:szCs w:val="15"/>
        </w:rPr>
        <w:t>。请参考</w:t>
      </w:r>
      <w:r>
        <w:rPr>
          <w:rFonts w:ascii="Times New Roman" w:hAnsi="Times New Roman" w:cs="Times New Roman"/>
          <w:kern w:val="0"/>
          <w:sz w:val="15"/>
          <w:szCs w:val="15"/>
        </w:rPr>
        <w:t>§ 872.1(e)</w:t>
      </w:r>
      <w:r>
        <w:rPr>
          <w:rFonts w:hint="eastAsia" w:ascii="Times New Roman" w:hAnsi="宋体" w:cs="Times New Roman"/>
          <w:kern w:val="0"/>
          <w:sz w:val="15"/>
          <w:szCs w:val="15"/>
        </w:rPr>
        <w:t>以获取本指导意见。</w:t>
      </w:r>
    </w:p>
    <w:p w14:paraId="5E14C9C0">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此类器械包括有胶囊包裹的齿科银汞合金以及各项独立的成分（即水银和汞合金），可以通过散装、袋装或者片剂形式上市。</w:t>
      </w:r>
    </w:p>
    <w:p w14:paraId="56CE5EC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计划分别上市水银或者汞合金的企业将有必要阐明本指导意见指出的与这些器械有关的具体健康风险。</w:t>
      </w:r>
    </w:p>
    <w:p w14:paraId="260ED6E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该类别下的相关</w:t>
      </w:r>
      <w:r>
        <w:rPr>
          <w:rFonts w:ascii="Times New Roman" w:hAnsi="Times New Roman" w:cs="Times New Roman"/>
          <w:kern w:val="0"/>
          <w:sz w:val="15"/>
          <w:szCs w:val="15"/>
        </w:rPr>
        <w:t>FDA</w:t>
      </w:r>
      <w:r>
        <w:rPr>
          <w:rFonts w:hint="eastAsia" w:ascii="Times New Roman" w:hAnsi="宋体" w:cs="Times New Roman"/>
          <w:kern w:val="0"/>
          <w:sz w:val="15"/>
          <w:szCs w:val="15"/>
        </w:rPr>
        <w:t>产品代码见下文：</w:t>
      </w:r>
    </w:p>
    <w:tbl>
      <w:tblPr>
        <w:tblStyle w:val="15"/>
        <w:tblW w:w="765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140"/>
        <w:gridCol w:w="4511"/>
      </w:tblGrid>
      <w:tr w14:paraId="6435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FFFF"/>
            <w:tcMar>
              <w:top w:w="54" w:type="dxa"/>
              <w:left w:w="54" w:type="dxa"/>
              <w:bottom w:w="54" w:type="dxa"/>
              <w:right w:w="54" w:type="dxa"/>
            </w:tcMar>
            <w:vAlign w:val="bottom"/>
          </w:tcPr>
          <w:p w14:paraId="42399E53">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产品代码</w:t>
            </w:r>
          </w:p>
        </w:tc>
        <w:tc>
          <w:tcPr>
            <w:tcW w:w="0" w:type="auto"/>
            <w:shd w:val="clear" w:color="auto" w:fill="CCFFFF"/>
            <w:tcMar>
              <w:top w:w="54" w:type="dxa"/>
              <w:left w:w="54" w:type="dxa"/>
              <w:bottom w:w="54" w:type="dxa"/>
              <w:right w:w="54" w:type="dxa"/>
            </w:tcMar>
            <w:vAlign w:val="bottom"/>
          </w:tcPr>
          <w:p w14:paraId="1B5C02EA">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描述</w:t>
            </w:r>
          </w:p>
        </w:tc>
      </w:tr>
      <w:tr w14:paraId="6348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24B8C12E">
            <w:pPr>
              <w:widowControl/>
              <w:spacing w:before="285" w:after="285"/>
              <w:ind w:firstLine="0"/>
              <w:rPr>
                <w:rFonts w:ascii="Times New Roman" w:hAnsi="Times New Roman" w:cs="Times New Roman"/>
                <w:kern w:val="0"/>
              </w:rPr>
            </w:pPr>
            <w:r>
              <w:rPr>
                <w:rFonts w:ascii="Times New Roman" w:hAnsi="Times New Roman" w:cs="Times New Roman"/>
                <w:kern w:val="0"/>
              </w:rPr>
              <w:t>OIV</w:t>
            </w:r>
          </w:p>
        </w:tc>
        <w:tc>
          <w:tcPr>
            <w:tcW w:w="0" w:type="auto"/>
            <w:tcMar>
              <w:top w:w="54" w:type="dxa"/>
              <w:left w:w="54" w:type="dxa"/>
              <w:bottom w:w="54" w:type="dxa"/>
              <w:right w:w="54" w:type="dxa"/>
            </w:tcMar>
          </w:tcPr>
          <w:p w14:paraId="65D3B315">
            <w:pPr>
              <w:widowControl/>
              <w:spacing w:before="285" w:after="285"/>
              <w:ind w:firstLine="0"/>
              <w:rPr>
                <w:rFonts w:ascii="Times New Roman" w:hAnsi="Times New Roman" w:cs="Times New Roman"/>
                <w:kern w:val="0"/>
              </w:rPr>
            </w:pPr>
            <w:r>
              <w:rPr>
                <w:rFonts w:hint="eastAsia" w:ascii="Times New Roman" w:hAnsi="宋体" w:cs="Times New Roman"/>
                <w:kern w:val="0"/>
              </w:rPr>
              <w:t>齿科银汞合金</w:t>
            </w:r>
          </w:p>
        </w:tc>
      </w:tr>
      <w:tr w14:paraId="6A9F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7EB7677B">
            <w:pPr>
              <w:widowControl/>
              <w:spacing w:before="285" w:after="285"/>
              <w:ind w:firstLine="0"/>
              <w:rPr>
                <w:rFonts w:ascii="Times New Roman" w:hAnsi="Times New Roman" w:cs="Times New Roman"/>
                <w:kern w:val="0"/>
              </w:rPr>
            </w:pPr>
            <w:r>
              <w:rPr>
                <w:rFonts w:ascii="Times New Roman" w:hAnsi="Times New Roman" w:cs="Times New Roman"/>
                <w:kern w:val="0"/>
              </w:rPr>
              <w:t>ELY</w:t>
            </w:r>
          </w:p>
        </w:tc>
        <w:tc>
          <w:tcPr>
            <w:tcW w:w="0" w:type="auto"/>
            <w:tcMar>
              <w:top w:w="54" w:type="dxa"/>
              <w:left w:w="54" w:type="dxa"/>
              <w:bottom w:w="54" w:type="dxa"/>
              <w:right w:w="54" w:type="dxa"/>
            </w:tcMar>
          </w:tcPr>
          <w:p w14:paraId="46D1AB72">
            <w:pPr>
              <w:widowControl/>
              <w:spacing w:before="285" w:after="285"/>
              <w:ind w:firstLine="0"/>
              <w:rPr>
                <w:rFonts w:ascii="Times New Roman" w:hAnsi="Times New Roman" w:cs="Times New Roman"/>
                <w:kern w:val="0"/>
              </w:rPr>
            </w:pPr>
            <w:r>
              <w:rPr>
                <w:rFonts w:hint="eastAsia" w:ascii="Times New Roman" w:hAnsi="宋体" w:cs="Times New Roman"/>
                <w:kern w:val="0"/>
              </w:rPr>
              <w:t>水银</w:t>
            </w:r>
          </w:p>
        </w:tc>
      </w:tr>
      <w:tr w14:paraId="7A15B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96AE69E">
            <w:pPr>
              <w:widowControl/>
              <w:spacing w:before="285" w:after="285"/>
              <w:ind w:firstLine="0"/>
              <w:rPr>
                <w:rFonts w:ascii="Times New Roman" w:hAnsi="Times New Roman" w:cs="Times New Roman"/>
                <w:kern w:val="0"/>
              </w:rPr>
            </w:pPr>
            <w:r>
              <w:rPr>
                <w:rFonts w:ascii="Times New Roman" w:hAnsi="Times New Roman" w:cs="Times New Roman"/>
                <w:kern w:val="0"/>
              </w:rPr>
              <w:t>EJJ</w:t>
            </w:r>
          </w:p>
        </w:tc>
        <w:tc>
          <w:tcPr>
            <w:tcW w:w="0" w:type="auto"/>
            <w:tcMar>
              <w:top w:w="54" w:type="dxa"/>
              <w:left w:w="54" w:type="dxa"/>
              <w:bottom w:w="54" w:type="dxa"/>
              <w:right w:w="54" w:type="dxa"/>
            </w:tcMar>
          </w:tcPr>
          <w:p w14:paraId="42943974">
            <w:pPr>
              <w:widowControl/>
              <w:spacing w:before="285" w:after="285"/>
              <w:ind w:firstLine="0"/>
              <w:rPr>
                <w:rFonts w:ascii="Times New Roman" w:hAnsi="Times New Roman" w:cs="Times New Roman"/>
                <w:kern w:val="0"/>
              </w:rPr>
            </w:pPr>
            <w:r>
              <w:rPr>
                <w:rFonts w:hint="eastAsia" w:ascii="Times New Roman" w:hAnsi="宋体" w:cs="Times New Roman"/>
                <w:kern w:val="0"/>
              </w:rPr>
              <w:t>汞合金</w:t>
            </w:r>
          </w:p>
        </w:tc>
      </w:tr>
    </w:tbl>
    <w:p w14:paraId="39F9D386">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此类器械不包括：</w:t>
      </w:r>
    </w:p>
    <w:p w14:paraId="0F6F651A">
      <w:pPr>
        <w:widowControl/>
        <w:numPr>
          <w:ilvl w:val="0"/>
          <w:numId w:val="2"/>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21 CFR.872.3110</w:t>
      </w:r>
      <w:r>
        <w:rPr>
          <w:rFonts w:hint="eastAsia" w:ascii="Times New Roman" w:hAnsi="宋体" w:cs="Times New Roman"/>
          <w:kern w:val="0"/>
          <w:sz w:val="15"/>
          <w:szCs w:val="15"/>
        </w:rPr>
        <w:t>的齿科银汞合金胶囊</w:t>
      </w:r>
    </w:p>
    <w:p w14:paraId="62646B68">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21 CFR 872.3080</w:t>
      </w:r>
      <w:r>
        <w:rPr>
          <w:rFonts w:hint="eastAsia" w:ascii="Times New Roman" w:hAnsi="宋体" w:cs="Times New Roman"/>
          <w:kern w:val="0"/>
          <w:sz w:val="15"/>
          <w:szCs w:val="15"/>
        </w:rPr>
        <w:t>的水银和合金分配器</w:t>
      </w:r>
    </w:p>
    <w:p w14:paraId="0129202A">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21 CFR 872.3100</w:t>
      </w:r>
      <w:r>
        <w:rPr>
          <w:rFonts w:hint="eastAsia" w:ascii="Times New Roman" w:hAnsi="宋体" w:cs="Times New Roman"/>
          <w:kern w:val="0"/>
          <w:sz w:val="15"/>
          <w:szCs w:val="15"/>
        </w:rPr>
        <w:t>的齿科银汞合金搅拌器</w:t>
      </w:r>
    </w:p>
    <w:p w14:paraId="1D4C55FB">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21 CFR 872.3710</w:t>
      </w:r>
      <w:r>
        <w:rPr>
          <w:rFonts w:hint="eastAsia" w:ascii="Times New Roman" w:hAnsi="宋体" w:cs="Times New Roman"/>
          <w:kern w:val="0"/>
          <w:sz w:val="15"/>
          <w:szCs w:val="15"/>
        </w:rPr>
        <w:t>的基底金属合金以及</w:t>
      </w:r>
    </w:p>
    <w:p w14:paraId="1D241048">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21 CFR 872.3060</w:t>
      </w:r>
      <w:r>
        <w:rPr>
          <w:rFonts w:hint="eastAsia" w:ascii="Times New Roman" w:hAnsi="宋体" w:cs="Times New Roman"/>
          <w:kern w:val="0"/>
          <w:sz w:val="15"/>
          <w:szCs w:val="15"/>
        </w:rPr>
        <w:t>的贵金属合金。</w:t>
      </w:r>
    </w:p>
    <w:p w14:paraId="1DEC0A0A">
      <w:pPr>
        <w:widowControl/>
        <w:shd w:val="clear" w:color="auto" w:fill="FFFFFF"/>
        <w:spacing w:beforeLines="100" w:after="118"/>
        <w:ind w:firstLine="0"/>
        <w:outlineLvl w:val="2"/>
        <w:rPr>
          <w:rFonts w:ascii="Times New Roman" w:hAnsi="Times New Roman" w:cs="Times New Roman"/>
          <w:sz w:val="15"/>
          <w:szCs w:val="15"/>
        </w:rPr>
      </w:pPr>
      <w:r>
        <w:fldChar w:fldCharType="begin"/>
      </w:r>
      <w:r>
        <w:instrText xml:space="preserve"> HYPERLINK "https://www.fda.gov/medicaldevices/deviceregulationandguidance/guidancedocuments/ucm073311.htm" \l "top" </w:instrText>
      </w:r>
      <w:r>
        <w:fldChar w:fldCharType="separate"/>
      </w:r>
      <w:bookmarkStart w:id="8" w:name="_Toc480621162"/>
      <w:r>
        <w:rPr>
          <w:rFonts w:hint="eastAsia" w:ascii="Times New Roman" w:hAnsi="宋体" w:cs="Times New Roman"/>
          <w:kern w:val="0"/>
          <w:sz w:val="15"/>
          <w:szCs w:val="15"/>
          <w:u w:val="single"/>
        </w:rPr>
        <w:t>返回顶部</w:t>
      </w:r>
      <w:bookmarkEnd w:id="8"/>
      <w:r>
        <w:rPr>
          <w:rFonts w:hint="eastAsia" w:ascii="Times New Roman" w:hAnsi="宋体" w:cs="Times New Roman"/>
          <w:kern w:val="0"/>
          <w:sz w:val="15"/>
          <w:szCs w:val="15"/>
          <w:u w:val="single"/>
        </w:rPr>
        <w:fldChar w:fldCharType="end"/>
      </w:r>
    </w:p>
    <w:p w14:paraId="7AD7B78B">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102E749B">
      <w:pPr>
        <w:widowControl/>
        <w:shd w:val="clear" w:color="auto" w:fill="FFFFFF"/>
        <w:spacing w:after="118"/>
        <w:ind w:firstLine="0"/>
        <w:outlineLvl w:val="0"/>
        <w:rPr>
          <w:rFonts w:ascii="Times New Roman" w:hAnsi="Times New Roman" w:cs="Times New Roman"/>
          <w:b/>
          <w:bCs/>
          <w:kern w:val="0"/>
          <w:sz w:val="23"/>
          <w:szCs w:val="23"/>
        </w:rPr>
      </w:pPr>
      <w:r>
        <w:rPr>
          <w:rFonts w:ascii="Times New Roman" w:hAnsi="Times New Roman" w:cs="Times New Roman"/>
          <w:b/>
          <w:bCs/>
          <w:kern w:val="0"/>
          <w:sz w:val="15"/>
          <w:szCs w:val="15"/>
        </w:rPr>
        <w:br w:type="page"/>
      </w:r>
      <w:bookmarkStart w:id="9" w:name="_Toc480621163"/>
      <w:r>
        <w:rPr>
          <w:rFonts w:ascii="Times New Roman" w:hAnsi="Times New Roman" w:cs="Times New Roman"/>
          <w:b/>
          <w:bCs/>
          <w:kern w:val="0"/>
          <w:sz w:val="23"/>
          <w:szCs w:val="23"/>
        </w:rPr>
        <w:t>4.</w:t>
      </w:r>
      <w:r>
        <w:rPr>
          <w:rFonts w:ascii="Times New Roman" w:hAnsi="Times New Roman" w:cs="Times New Roman"/>
          <w:b/>
          <w:bCs/>
          <w:kern w:val="0"/>
          <w:sz w:val="23"/>
          <w:szCs w:val="23"/>
        </w:rPr>
        <w:tab/>
      </w:r>
      <w:r>
        <w:rPr>
          <w:rFonts w:hint="eastAsia" w:ascii="Times New Roman" w:hAnsi="宋体" w:cs="Times New Roman"/>
          <w:b/>
          <w:bCs/>
          <w:kern w:val="0"/>
          <w:sz w:val="23"/>
          <w:szCs w:val="23"/>
        </w:rPr>
        <w:t>在</w:t>
      </w:r>
      <w:r>
        <w:rPr>
          <w:rFonts w:ascii="Times New Roman" w:hAnsi="Times New Roman" w:cs="Times New Roman"/>
          <w:b/>
          <w:bCs/>
          <w:kern w:val="0"/>
          <w:sz w:val="23"/>
          <w:szCs w:val="23"/>
        </w:rPr>
        <w:t>510(k)</w:t>
      </w:r>
      <w:r>
        <w:rPr>
          <w:rFonts w:hint="eastAsia" w:ascii="Times New Roman" w:hAnsi="宋体" w:cs="Times New Roman"/>
          <w:b/>
          <w:bCs/>
          <w:kern w:val="0"/>
          <w:sz w:val="23"/>
          <w:szCs w:val="23"/>
        </w:rPr>
        <w:t>上市前通告中描述你的器械</w:t>
      </w:r>
      <w:bookmarkEnd w:id="9"/>
    </w:p>
    <w:p w14:paraId="581CAB9B">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建议，递交</w:t>
      </w:r>
      <w:r>
        <w:rPr>
          <w:rFonts w:ascii="Times New Roman" w:hAnsi="Times New Roman" w:cs="Times New Roman"/>
          <w:kern w:val="0"/>
          <w:sz w:val="15"/>
          <w:szCs w:val="15"/>
        </w:rPr>
        <w:t>510(k)</w:t>
      </w:r>
      <w:r>
        <w:rPr>
          <w:rFonts w:hint="eastAsia" w:ascii="Times New Roman" w:hAnsi="宋体" w:cs="Times New Roman"/>
          <w:kern w:val="0"/>
          <w:sz w:val="15"/>
          <w:szCs w:val="15"/>
        </w:rPr>
        <w:t>上市前通告时，你应该按照第</w:t>
      </w:r>
      <w:r>
        <w:rPr>
          <w:rFonts w:ascii="Times New Roman" w:hAnsi="Times New Roman" w:cs="Times New Roman"/>
          <w:kern w:val="0"/>
          <w:sz w:val="15"/>
          <w:szCs w:val="15"/>
        </w:rPr>
        <w:t>3</w:t>
      </w:r>
      <w:r>
        <w:rPr>
          <w:rFonts w:hint="eastAsia" w:ascii="Times New Roman" w:hAnsi="宋体" w:cs="Times New Roman"/>
          <w:kern w:val="0"/>
          <w:sz w:val="15"/>
          <w:szCs w:val="15"/>
        </w:rPr>
        <w:t>节所述指明器械相关的法规和产品代码，并包括下文讨论的信息。</w:t>
      </w:r>
    </w:p>
    <w:p w14:paraId="4B399403">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将申报器械与一种已合法上市的实质等同器械进行比较，并提供相关信息证明你的申报器械与实质等同器械的相似之处以及不同之处。如有可能，最好进行并排比较；举例来讲，采用下文所述的表格形式进行阐述。我们还建议你描述这些不同之处对你的申报器械的安全性或有效性的影响。</w:t>
      </w:r>
    </w:p>
    <w:p w14:paraId="21340456">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表</w:t>
      </w:r>
      <w:r>
        <w:rPr>
          <w:rFonts w:ascii="Times New Roman" w:hAnsi="Times New Roman" w:cs="Times New Roman"/>
          <w:b/>
          <w:bCs/>
          <w:kern w:val="0"/>
          <w:sz w:val="15"/>
          <w:szCs w:val="15"/>
        </w:rPr>
        <w:t>1</w:t>
      </w:r>
      <w:r>
        <w:rPr>
          <w:rFonts w:hint="eastAsia" w:ascii="Times New Roman" w:hAnsi="宋体" w:cs="Times New Roman"/>
          <w:b/>
          <w:bCs/>
          <w:kern w:val="0"/>
          <w:sz w:val="15"/>
          <w:szCs w:val="15"/>
        </w:rPr>
        <w:t>：你的申报器械与实质等同器械的比较</w:t>
      </w:r>
    </w:p>
    <w:tbl>
      <w:tblPr>
        <w:tblStyle w:val="15"/>
        <w:tblW w:w="765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992"/>
        <w:gridCol w:w="1089"/>
        <w:gridCol w:w="1570"/>
      </w:tblGrid>
      <w:tr w14:paraId="4C97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FFFF"/>
            <w:tcMar>
              <w:top w:w="54" w:type="dxa"/>
              <w:left w:w="54" w:type="dxa"/>
              <w:bottom w:w="54" w:type="dxa"/>
              <w:right w:w="54" w:type="dxa"/>
            </w:tcMar>
            <w:vAlign w:val="bottom"/>
          </w:tcPr>
          <w:p w14:paraId="60200A00">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描述性信息</w:t>
            </w:r>
          </w:p>
        </w:tc>
        <w:tc>
          <w:tcPr>
            <w:tcW w:w="0" w:type="auto"/>
            <w:shd w:val="clear" w:color="auto" w:fill="CCFFFF"/>
            <w:tcMar>
              <w:top w:w="54" w:type="dxa"/>
              <w:left w:w="54" w:type="dxa"/>
              <w:bottom w:w="54" w:type="dxa"/>
              <w:right w:w="54" w:type="dxa"/>
            </w:tcMar>
            <w:vAlign w:val="bottom"/>
          </w:tcPr>
          <w:p w14:paraId="7FBBA0FC">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你的器械</w:t>
            </w:r>
          </w:p>
        </w:tc>
        <w:tc>
          <w:tcPr>
            <w:tcW w:w="0" w:type="auto"/>
            <w:shd w:val="clear" w:color="auto" w:fill="CCFFFF"/>
            <w:tcMar>
              <w:top w:w="54" w:type="dxa"/>
              <w:left w:w="54" w:type="dxa"/>
              <w:bottom w:w="54" w:type="dxa"/>
              <w:right w:w="54" w:type="dxa"/>
            </w:tcMar>
            <w:vAlign w:val="bottom"/>
          </w:tcPr>
          <w:p w14:paraId="6D48AA0E">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实质等同器械</w:t>
            </w:r>
          </w:p>
        </w:tc>
      </w:tr>
      <w:tr w14:paraId="06C5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tcMar>
              <w:top w:w="54" w:type="dxa"/>
              <w:left w:w="54" w:type="dxa"/>
              <w:bottom w:w="54" w:type="dxa"/>
              <w:right w:w="54" w:type="dxa"/>
            </w:tcMar>
          </w:tcPr>
          <w:p w14:paraId="5BBFF52E">
            <w:pPr>
              <w:widowControl/>
              <w:spacing w:before="285" w:after="285"/>
              <w:ind w:firstLine="0"/>
              <w:rPr>
                <w:rFonts w:ascii="Times New Roman" w:hAnsi="Times New Roman" w:cs="Times New Roman"/>
                <w:kern w:val="0"/>
              </w:rPr>
            </w:pPr>
            <w:r>
              <w:rPr>
                <w:rFonts w:hint="eastAsia" w:ascii="Times New Roman" w:hAnsi="宋体" w:cs="Times New Roman"/>
                <w:b/>
                <w:bCs/>
                <w:kern w:val="0"/>
              </w:rPr>
              <w:t>预期用途</w:t>
            </w:r>
            <w:r>
              <w:rPr>
                <w:rFonts w:ascii="Times New Roman" w:hAnsi="Times New Roman" w:cs="Times New Roman"/>
                <w:kern w:val="0"/>
              </w:rPr>
              <w:t xml:space="preserve"> – </w:t>
            </w:r>
            <w:r>
              <w:rPr>
                <w:rFonts w:hint="eastAsia" w:ascii="Times New Roman" w:hAnsi="宋体" w:cs="Times New Roman"/>
                <w:kern w:val="0"/>
              </w:rPr>
              <w:t>包括所有具体的预期用途</w:t>
            </w:r>
          </w:p>
        </w:tc>
        <w:tc>
          <w:tcPr>
            <w:tcW w:w="0" w:type="auto"/>
            <w:tcMar>
              <w:top w:w="54" w:type="dxa"/>
              <w:left w:w="54" w:type="dxa"/>
              <w:bottom w:w="54" w:type="dxa"/>
              <w:right w:w="54" w:type="dxa"/>
            </w:tcMar>
          </w:tcPr>
          <w:p w14:paraId="18365D60">
            <w:pPr>
              <w:widowControl/>
              <w:spacing w:before="285" w:after="285"/>
              <w:ind w:firstLine="0"/>
              <w:rPr>
                <w:rFonts w:ascii="Times New Roman" w:hAnsi="Times New Roman" w:cs="Times New Roman"/>
                <w:kern w:val="0"/>
              </w:rPr>
            </w:pPr>
            <w:r>
              <w:rPr>
                <w:rFonts w:ascii="Times New Roman" w:hAnsi="Times New Roman" w:cs="Times New Roman"/>
                <w:kern w:val="0"/>
              </w:rPr>
              <w:t> </w:t>
            </w:r>
          </w:p>
        </w:tc>
        <w:tc>
          <w:tcPr>
            <w:tcW w:w="0" w:type="auto"/>
            <w:tcMar>
              <w:top w:w="54" w:type="dxa"/>
              <w:left w:w="54" w:type="dxa"/>
              <w:bottom w:w="54" w:type="dxa"/>
              <w:right w:w="54" w:type="dxa"/>
            </w:tcMar>
          </w:tcPr>
          <w:p w14:paraId="33F2A575">
            <w:pPr>
              <w:widowControl/>
              <w:spacing w:before="285" w:after="285"/>
              <w:ind w:firstLine="0"/>
              <w:rPr>
                <w:rFonts w:ascii="Times New Roman" w:hAnsi="Times New Roman" w:cs="Times New Roman"/>
                <w:kern w:val="0"/>
              </w:rPr>
            </w:pPr>
            <w:r>
              <w:rPr>
                <w:rFonts w:ascii="Times New Roman" w:hAnsi="Times New Roman" w:cs="Times New Roman"/>
                <w:kern w:val="0"/>
              </w:rPr>
              <w:t> </w:t>
            </w:r>
          </w:p>
        </w:tc>
      </w:tr>
      <w:tr w14:paraId="1FD0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tcMar>
              <w:top w:w="54" w:type="dxa"/>
              <w:left w:w="54" w:type="dxa"/>
              <w:bottom w:w="54" w:type="dxa"/>
              <w:right w:w="54" w:type="dxa"/>
            </w:tcMar>
          </w:tcPr>
          <w:p w14:paraId="2D740988">
            <w:pPr>
              <w:widowControl/>
              <w:spacing w:before="285" w:after="285"/>
              <w:ind w:firstLine="0"/>
              <w:rPr>
                <w:rFonts w:ascii="Times New Roman" w:hAnsi="Times New Roman" w:cs="Times New Roman"/>
                <w:kern w:val="0"/>
              </w:rPr>
            </w:pPr>
            <w:r>
              <w:rPr>
                <w:rFonts w:hint="eastAsia" w:ascii="Times New Roman" w:hAnsi="宋体" w:cs="Times New Roman"/>
                <w:b/>
                <w:bCs/>
                <w:kern w:val="0"/>
              </w:rPr>
              <w:t>材料组成</w:t>
            </w:r>
            <w:r>
              <w:rPr>
                <w:rFonts w:ascii="Times New Roman" w:hAnsi="Times New Roman" w:cs="Times New Roman"/>
                <w:kern w:val="0"/>
              </w:rPr>
              <w:t xml:space="preserve"> – </w:t>
            </w:r>
            <w:r>
              <w:rPr>
                <w:rFonts w:hint="eastAsia" w:ascii="Times New Roman" w:hAnsi="宋体" w:cs="Times New Roman"/>
                <w:kern w:val="0"/>
              </w:rPr>
              <w:t>器械的化学组成</w:t>
            </w:r>
          </w:p>
        </w:tc>
        <w:tc>
          <w:tcPr>
            <w:tcW w:w="0" w:type="auto"/>
            <w:tcMar>
              <w:top w:w="54" w:type="dxa"/>
              <w:left w:w="54" w:type="dxa"/>
              <w:bottom w:w="54" w:type="dxa"/>
              <w:right w:w="54" w:type="dxa"/>
            </w:tcMar>
          </w:tcPr>
          <w:p w14:paraId="5F641255">
            <w:pPr>
              <w:widowControl/>
              <w:spacing w:before="285" w:after="285"/>
              <w:ind w:firstLine="0"/>
              <w:rPr>
                <w:rFonts w:ascii="Times New Roman" w:hAnsi="Times New Roman" w:cs="Times New Roman"/>
                <w:kern w:val="0"/>
              </w:rPr>
            </w:pPr>
            <w:r>
              <w:rPr>
                <w:rFonts w:ascii="Times New Roman" w:hAnsi="Times New Roman" w:cs="Times New Roman"/>
                <w:kern w:val="0"/>
              </w:rPr>
              <w:t> </w:t>
            </w:r>
          </w:p>
        </w:tc>
        <w:tc>
          <w:tcPr>
            <w:tcW w:w="0" w:type="auto"/>
            <w:tcMar>
              <w:top w:w="54" w:type="dxa"/>
              <w:left w:w="54" w:type="dxa"/>
              <w:bottom w:w="54" w:type="dxa"/>
              <w:right w:w="54" w:type="dxa"/>
            </w:tcMar>
          </w:tcPr>
          <w:p w14:paraId="37C031CB">
            <w:pPr>
              <w:widowControl/>
              <w:spacing w:before="285" w:after="285"/>
              <w:ind w:firstLine="0"/>
              <w:rPr>
                <w:rFonts w:ascii="Times New Roman" w:hAnsi="Times New Roman" w:cs="Times New Roman"/>
                <w:kern w:val="0"/>
              </w:rPr>
            </w:pPr>
            <w:r>
              <w:rPr>
                <w:rFonts w:ascii="Times New Roman" w:hAnsi="Times New Roman" w:cs="Times New Roman"/>
                <w:kern w:val="0"/>
              </w:rPr>
              <w:t> </w:t>
            </w:r>
          </w:p>
        </w:tc>
      </w:tr>
      <w:tr w14:paraId="38ED9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tcMar>
              <w:top w:w="54" w:type="dxa"/>
              <w:left w:w="54" w:type="dxa"/>
              <w:bottom w:w="54" w:type="dxa"/>
              <w:right w:w="54" w:type="dxa"/>
            </w:tcMar>
          </w:tcPr>
          <w:p w14:paraId="2A2A9C38">
            <w:pPr>
              <w:widowControl/>
              <w:spacing w:before="285" w:after="285"/>
              <w:ind w:firstLine="0"/>
              <w:rPr>
                <w:rFonts w:ascii="Times New Roman" w:hAnsi="Times New Roman" w:cs="Times New Roman"/>
                <w:kern w:val="0"/>
              </w:rPr>
            </w:pPr>
            <w:r>
              <w:rPr>
                <w:rFonts w:hint="eastAsia" w:ascii="Times New Roman" w:hAnsi="宋体" w:cs="Times New Roman"/>
                <w:b/>
                <w:bCs/>
                <w:kern w:val="0"/>
              </w:rPr>
              <w:t>物理性质</w:t>
            </w:r>
            <w:r>
              <w:rPr>
                <w:rFonts w:ascii="Times New Roman" w:hAnsi="Times New Roman" w:cs="Times New Roman"/>
                <w:kern w:val="0"/>
              </w:rPr>
              <w:t xml:space="preserve"> – </w:t>
            </w:r>
            <w:r>
              <w:rPr>
                <w:rFonts w:hint="eastAsia" w:ascii="Times New Roman" w:hAnsi="宋体" w:cs="Times New Roman"/>
                <w:kern w:val="0"/>
              </w:rPr>
              <w:t>例如：抗压强度、蠕变、尺寸变化</w:t>
            </w:r>
          </w:p>
        </w:tc>
        <w:tc>
          <w:tcPr>
            <w:tcW w:w="0" w:type="auto"/>
            <w:tcMar>
              <w:top w:w="54" w:type="dxa"/>
              <w:left w:w="54" w:type="dxa"/>
              <w:bottom w:w="54" w:type="dxa"/>
              <w:right w:w="54" w:type="dxa"/>
            </w:tcMar>
          </w:tcPr>
          <w:p w14:paraId="29C6CE1B">
            <w:pPr>
              <w:widowControl/>
              <w:spacing w:before="285" w:after="285"/>
              <w:ind w:firstLine="0"/>
              <w:rPr>
                <w:rFonts w:ascii="Times New Roman" w:hAnsi="Times New Roman" w:cs="Times New Roman"/>
                <w:kern w:val="0"/>
              </w:rPr>
            </w:pPr>
            <w:r>
              <w:rPr>
                <w:rFonts w:ascii="Times New Roman" w:hAnsi="Times New Roman" w:cs="Times New Roman"/>
                <w:kern w:val="0"/>
              </w:rPr>
              <w:t> </w:t>
            </w:r>
          </w:p>
        </w:tc>
        <w:tc>
          <w:tcPr>
            <w:tcW w:w="0" w:type="auto"/>
            <w:tcMar>
              <w:top w:w="54" w:type="dxa"/>
              <w:left w:w="54" w:type="dxa"/>
              <w:bottom w:w="54" w:type="dxa"/>
              <w:right w:w="54" w:type="dxa"/>
            </w:tcMar>
          </w:tcPr>
          <w:p w14:paraId="2F5BFEDB">
            <w:pPr>
              <w:widowControl/>
              <w:spacing w:before="285" w:after="285"/>
              <w:ind w:firstLine="0"/>
              <w:rPr>
                <w:rFonts w:ascii="Times New Roman" w:hAnsi="Times New Roman" w:cs="Times New Roman"/>
                <w:kern w:val="0"/>
              </w:rPr>
            </w:pPr>
            <w:r>
              <w:rPr>
                <w:rFonts w:ascii="Times New Roman" w:hAnsi="Times New Roman" w:cs="Times New Roman"/>
                <w:kern w:val="0"/>
              </w:rPr>
              <w:t> </w:t>
            </w:r>
          </w:p>
        </w:tc>
      </w:tr>
      <w:tr w14:paraId="24D0B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tcMar>
              <w:top w:w="54" w:type="dxa"/>
              <w:left w:w="54" w:type="dxa"/>
              <w:bottom w:w="54" w:type="dxa"/>
              <w:right w:w="54" w:type="dxa"/>
            </w:tcMar>
          </w:tcPr>
          <w:p w14:paraId="3D8BB4BB">
            <w:pPr>
              <w:widowControl/>
              <w:spacing w:before="285" w:after="285"/>
              <w:ind w:firstLine="0"/>
              <w:rPr>
                <w:rFonts w:ascii="Times New Roman" w:hAnsi="Times New Roman" w:cs="Times New Roman"/>
                <w:kern w:val="0"/>
              </w:rPr>
            </w:pPr>
            <w:r>
              <w:rPr>
                <w:rFonts w:hint="eastAsia" w:ascii="Times New Roman" w:hAnsi="宋体" w:cs="Times New Roman"/>
                <w:b/>
                <w:bCs/>
                <w:kern w:val="0"/>
              </w:rPr>
              <w:t>差异</w:t>
            </w:r>
            <w:r>
              <w:rPr>
                <w:rFonts w:ascii="Times New Roman" w:hAnsi="Times New Roman" w:cs="Times New Roman"/>
                <w:kern w:val="0"/>
              </w:rPr>
              <w:t xml:space="preserve"> – </w:t>
            </w:r>
            <w:r>
              <w:rPr>
                <w:rFonts w:hint="eastAsia" w:ascii="Times New Roman" w:hAnsi="宋体" w:cs="Times New Roman"/>
                <w:kern w:val="0"/>
              </w:rPr>
              <w:t>申报器械不同于实质等同器械的方面</w:t>
            </w:r>
          </w:p>
        </w:tc>
        <w:tc>
          <w:tcPr>
            <w:tcW w:w="0" w:type="auto"/>
            <w:tcMar>
              <w:top w:w="54" w:type="dxa"/>
              <w:left w:w="54" w:type="dxa"/>
              <w:bottom w:w="54" w:type="dxa"/>
              <w:right w:w="54" w:type="dxa"/>
            </w:tcMar>
          </w:tcPr>
          <w:p w14:paraId="218B0C38">
            <w:pPr>
              <w:widowControl/>
              <w:spacing w:before="285" w:after="285"/>
              <w:ind w:firstLine="0"/>
              <w:rPr>
                <w:rFonts w:ascii="Times New Roman" w:hAnsi="Times New Roman" w:cs="Times New Roman"/>
                <w:kern w:val="0"/>
              </w:rPr>
            </w:pPr>
            <w:r>
              <w:rPr>
                <w:rFonts w:ascii="Times New Roman" w:hAnsi="Times New Roman" w:cs="Times New Roman"/>
                <w:kern w:val="0"/>
              </w:rPr>
              <w:t> </w:t>
            </w:r>
          </w:p>
        </w:tc>
        <w:tc>
          <w:tcPr>
            <w:tcW w:w="0" w:type="auto"/>
            <w:tcMar>
              <w:top w:w="54" w:type="dxa"/>
              <w:left w:w="54" w:type="dxa"/>
              <w:bottom w:w="54" w:type="dxa"/>
              <w:right w:w="54" w:type="dxa"/>
            </w:tcMar>
          </w:tcPr>
          <w:p w14:paraId="5EDFCD23">
            <w:pPr>
              <w:widowControl/>
              <w:spacing w:before="285" w:after="285"/>
              <w:ind w:firstLine="0"/>
              <w:rPr>
                <w:rFonts w:ascii="Times New Roman" w:hAnsi="Times New Roman" w:cs="Times New Roman"/>
                <w:kern w:val="0"/>
              </w:rPr>
            </w:pPr>
            <w:r>
              <w:rPr>
                <w:rFonts w:ascii="Times New Roman" w:hAnsi="Times New Roman" w:cs="Times New Roman"/>
                <w:kern w:val="0"/>
              </w:rPr>
              <w:t> </w:t>
            </w:r>
          </w:p>
        </w:tc>
      </w:tr>
    </w:tbl>
    <w:p w14:paraId="6942191A">
      <w:pPr>
        <w:widowControl/>
        <w:spacing w:after="330"/>
        <w:ind w:firstLine="0"/>
        <w:rPr>
          <w:rFonts w:ascii="Times New Roman" w:hAnsi="宋体" w:cs="Times New Roman"/>
          <w:kern w:val="0"/>
          <w:sz w:val="15"/>
          <w:szCs w:val="15"/>
          <w:u w:val="single"/>
        </w:rPr>
      </w:pPr>
      <w:r>
        <w:rPr>
          <w:rFonts w:hint="eastAsia" w:ascii="Times New Roman" w:hAnsi="宋体" w:cs="Times New Roman"/>
          <w:kern w:val="0"/>
          <w:sz w:val="15"/>
          <w:szCs w:val="15"/>
          <w:u w:val="single"/>
        </w:rPr>
        <w:t>返回顶部</w:t>
      </w:r>
    </w:p>
    <w:p w14:paraId="352A0EDD">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26C445A8">
      <w:pPr>
        <w:widowControl/>
        <w:shd w:val="clear" w:color="auto" w:fill="FFFFFF"/>
        <w:spacing w:after="118"/>
        <w:ind w:firstLine="0"/>
        <w:outlineLvl w:val="0"/>
        <w:rPr>
          <w:rFonts w:ascii="Times New Roman" w:hAnsi="Times New Roman" w:cs="Times New Roman"/>
          <w:b/>
          <w:bCs/>
          <w:kern w:val="0"/>
          <w:sz w:val="23"/>
          <w:szCs w:val="23"/>
        </w:rPr>
      </w:pPr>
      <w:bookmarkStart w:id="10" w:name="_Toc480621164"/>
      <w:r>
        <w:rPr>
          <w:rFonts w:ascii="Times New Roman" w:hAnsi="Times New Roman" w:cs="Times New Roman"/>
          <w:b/>
          <w:bCs/>
          <w:kern w:val="0"/>
          <w:sz w:val="23"/>
          <w:szCs w:val="23"/>
        </w:rPr>
        <w:t xml:space="preserve">5. </w:t>
      </w:r>
      <w:r>
        <w:rPr>
          <w:rFonts w:hint="eastAsia" w:ascii="Times New Roman" w:hAnsi="宋体" w:cs="Times New Roman"/>
          <w:b/>
          <w:bCs/>
          <w:kern w:val="0"/>
          <w:sz w:val="23"/>
          <w:szCs w:val="23"/>
        </w:rPr>
        <w:t>健康风险</w:t>
      </w:r>
      <w:r>
        <w:fldChar w:fldCharType="begin"/>
      </w:r>
      <w:r>
        <w:instrText xml:space="preserve"> HYPERLINK "https://www.fda.gov/medicaldevices/deviceregulationandguidance/guidancedocuments/ucm073311.htm" \l "ft6" </w:instrText>
      </w:r>
      <w:r>
        <w:fldChar w:fldCharType="separate"/>
      </w:r>
      <w:r>
        <w:rPr>
          <w:rFonts w:ascii="Times New Roman" w:hAnsi="Times New Roman" w:cs="Times New Roman"/>
          <w:b/>
          <w:bCs/>
          <w:kern w:val="0"/>
          <w:sz w:val="23"/>
          <w:szCs w:val="23"/>
          <w:u w:val="single"/>
          <w:vertAlign w:val="superscript"/>
        </w:rPr>
        <w:t>6</w:t>
      </w:r>
      <w:bookmarkEnd w:id="10"/>
      <w:r>
        <w:rPr>
          <w:rFonts w:ascii="Times New Roman" w:hAnsi="Times New Roman" w:cs="Times New Roman"/>
          <w:b/>
          <w:bCs/>
          <w:kern w:val="0"/>
          <w:sz w:val="23"/>
          <w:szCs w:val="23"/>
          <w:u w:val="single"/>
          <w:vertAlign w:val="superscript"/>
        </w:rPr>
        <w:fldChar w:fldCharType="end"/>
      </w:r>
    </w:p>
    <w:p w14:paraId="621B8D33">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下表列出了</w:t>
      </w:r>
      <w:r>
        <w:rPr>
          <w:rFonts w:ascii="Times New Roman" w:hAnsi="Times New Roman" w:cs="Times New Roman"/>
          <w:kern w:val="0"/>
          <w:sz w:val="15"/>
          <w:szCs w:val="15"/>
        </w:rPr>
        <w:t>FDA</w:t>
      </w:r>
      <w:r>
        <w:rPr>
          <w:rFonts w:hint="eastAsia" w:ascii="Times New Roman" w:hAnsi="宋体" w:cs="Times New Roman"/>
          <w:kern w:val="0"/>
          <w:sz w:val="15"/>
          <w:szCs w:val="15"/>
        </w:rPr>
        <w:t>发现的、与本文件阐述的齿科银汞合金器械的使用有关的一般健康风险。本指导意见给出了缓解这些风险的推荐措施，见下表。递交</w:t>
      </w:r>
      <w:r>
        <w:rPr>
          <w:rFonts w:ascii="Times New Roman" w:hAnsi="Times New Roman" w:cs="Times New Roman"/>
          <w:kern w:val="0"/>
          <w:sz w:val="15"/>
          <w:szCs w:val="15"/>
        </w:rPr>
        <w:t>510(k)</w:t>
      </w:r>
      <w:r>
        <w:rPr>
          <w:rFonts w:hint="eastAsia" w:ascii="Times New Roman" w:hAnsi="宋体" w:cs="Times New Roman"/>
          <w:kern w:val="0"/>
          <w:sz w:val="15"/>
          <w:szCs w:val="15"/>
        </w:rPr>
        <w:t>之前，你还应该进行一项风险分析，从而找出申报器械特有的所有其他风险。</w:t>
      </w:r>
      <w:r>
        <w:rPr>
          <w:rFonts w:ascii="Times New Roman" w:hAnsi="Times New Roman" w:cs="Times New Roman"/>
          <w:kern w:val="0"/>
          <w:sz w:val="15"/>
          <w:szCs w:val="15"/>
        </w:rPr>
        <w:t>510(k)</w:t>
      </w:r>
      <w:r>
        <w:rPr>
          <w:rFonts w:hint="eastAsia" w:ascii="Times New Roman" w:hAnsi="宋体" w:cs="Times New Roman"/>
          <w:kern w:val="0"/>
          <w:sz w:val="15"/>
          <w:szCs w:val="15"/>
        </w:rPr>
        <w:t>中应该描述采用的风险分析方法以及分析结果。如果你选择采用一种替代方法来解决这份指导意见中指明的某种风险，或者发现了本指导意见没有提及的其他风险，你应该提供充分的细节数据来支持你用来解决该风险的方法。</w:t>
      </w:r>
    </w:p>
    <w:p w14:paraId="608A21CE">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宋体" w:cs="Times New Roman"/>
          <w:b/>
          <w:bCs/>
          <w:kern w:val="0"/>
          <w:sz w:val="15"/>
          <w:szCs w:val="15"/>
        </w:rPr>
        <w:br w:type="page"/>
      </w:r>
      <w:r>
        <w:rPr>
          <w:rFonts w:hint="eastAsia" w:ascii="Times New Roman" w:hAnsi="宋体" w:cs="Times New Roman"/>
          <w:b/>
          <w:bCs/>
          <w:kern w:val="0"/>
          <w:sz w:val="15"/>
          <w:szCs w:val="15"/>
        </w:rPr>
        <w:t>表</w:t>
      </w:r>
      <w:r>
        <w:rPr>
          <w:rFonts w:ascii="Times New Roman" w:hAnsi="Times New Roman" w:cs="Times New Roman"/>
          <w:b/>
          <w:bCs/>
          <w:kern w:val="0"/>
          <w:sz w:val="15"/>
          <w:szCs w:val="15"/>
        </w:rPr>
        <w:t>2</w:t>
      </w:r>
      <w:r>
        <w:rPr>
          <w:rFonts w:hint="eastAsia" w:ascii="Times New Roman" w:hAnsi="宋体" w:cs="Times New Roman"/>
          <w:b/>
          <w:bCs/>
          <w:kern w:val="0"/>
          <w:sz w:val="15"/>
          <w:szCs w:val="15"/>
        </w:rPr>
        <w:t>：齿科银汞合金风险和推荐的缓解措施</w:t>
      </w:r>
    </w:p>
    <w:tbl>
      <w:tblPr>
        <w:tblStyle w:val="15"/>
        <w:tblW w:w="765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562"/>
        <w:gridCol w:w="4089"/>
      </w:tblGrid>
      <w:tr w14:paraId="202B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FFFF"/>
            <w:tcMar>
              <w:top w:w="54" w:type="dxa"/>
              <w:left w:w="54" w:type="dxa"/>
              <w:bottom w:w="54" w:type="dxa"/>
              <w:right w:w="54" w:type="dxa"/>
            </w:tcMar>
            <w:vAlign w:val="bottom"/>
          </w:tcPr>
          <w:p w14:paraId="2AE7ECF2">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风险</w:t>
            </w:r>
          </w:p>
        </w:tc>
        <w:tc>
          <w:tcPr>
            <w:tcW w:w="0" w:type="auto"/>
            <w:shd w:val="clear" w:color="auto" w:fill="CCFFFF"/>
            <w:tcMar>
              <w:top w:w="54" w:type="dxa"/>
              <w:left w:w="54" w:type="dxa"/>
              <w:bottom w:w="54" w:type="dxa"/>
              <w:right w:w="54" w:type="dxa"/>
            </w:tcMar>
            <w:vAlign w:val="bottom"/>
          </w:tcPr>
          <w:p w14:paraId="6C8C0506">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推荐的缓解措施</w:t>
            </w:r>
          </w:p>
        </w:tc>
      </w:tr>
      <w:tr w14:paraId="697B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0255023A">
            <w:pPr>
              <w:widowControl/>
              <w:spacing w:before="285" w:after="285"/>
              <w:ind w:firstLine="0"/>
              <w:rPr>
                <w:rFonts w:ascii="Times New Roman" w:hAnsi="Times New Roman" w:cs="Times New Roman"/>
                <w:kern w:val="0"/>
              </w:rPr>
            </w:pPr>
            <w:r>
              <w:rPr>
                <w:rFonts w:hint="eastAsia" w:ascii="Times New Roman" w:hAnsi="宋体" w:cs="Times New Roman"/>
                <w:kern w:val="0"/>
              </w:rPr>
              <w:t>水银暴露</w:t>
            </w:r>
          </w:p>
        </w:tc>
        <w:tc>
          <w:tcPr>
            <w:tcW w:w="0" w:type="auto"/>
            <w:tcMar>
              <w:top w:w="54" w:type="dxa"/>
              <w:left w:w="54" w:type="dxa"/>
              <w:bottom w:w="54" w:type="dxa"/>
              <w:right w:w="54" w:type="dxa"/>
            </w:tcMar>
          </w:tcPr>
          <w:p w14:paraId="746A6B8D">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r>
              <w:rPr>
                <w:rFonts w:ascii="Times New Roman" w:hAnsi="Times New Roman" w:cs="Times New Roman"/>
                <w:kern w:val="0"/>
              </w:rPr>
              <w:br w:type="textWrapping"/>
            </w: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节性能数据（水银蒸气释放）</w:t>
            </w:r>
          </w:p>
        </w:tc>
      </w:tr>
      <w:tr w14:paraId="445E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56EB801B">
            <w:pPr>
              <w:widowControl/>
              <w:spacing w:before="285" w:after="285"/>
              <w:ind w:firstLine="0"/>
              <w:rPr>
                <w:rFonts w:ascii="Times New Roman" w:hAnsi="Times New Roman" w:cs="Times New Roman"/>
                <w:kern w:val="0"/>
              </w:rPr>
            </w:pPr>
            <w:r>
              <w:rPr>
                <w:rFonts w:hint="eastAsia" w:ascii="Times New Roman" w:hAnsi="宋体" w:cs="Times New Roman"/>
                <w:kern w:val="0"/>
              </w:rPr>
              <w:t>过敏反应，包括不良组织反应</w:t>
            </w:r>
          </w:p>
        </w:tc>
        <w:tc>
          <w:tcPr>
            <w:tcW w:w="0" w:type="auto"/>
            <w:tcMar>
              <w:top w:w="54" w:type="dxa"/>
              <w:left w:w="54" w:type="dxa"/>
              <w:bottom w:w="54" w:type="dxa"/>
              <w:right w:w="54" w:type="dxa"/>
            </w:tcMar>
          </w:tcPr>
          <w:p w14:paraId="0429BB45">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7</w:t>
            </w:r>
            <w:r>
              <w:rPr>
                <w:rFonts w:hint="eastAsia" w:ascii="Times New Roman" w:hAnsi="宋体" w:cs="Times New Roman"/>
                <w:kern w:val="0"/>
              </w:rPr>
              <w:t>节生物相容性</w:t>
            </w:r>
            <w:r>
              <w:rPr>
                <w:rFonts w:ascii="Times New Roman" w:hAnsi="Times New Roman" w:cs="Times New Roman"/>
                <w:kern w:val="0"/>
              </w:rPr>
              <w:br w:type="textWrapping"/>
            </w: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5292D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EBB37AE">
            <w:pPr>
              <w:widowControl/>
              <w:spacing w:before="285" w:after="285"/>
              <w:ind w:firstLine="0"/>
              <w:rPr>
                <w:rFonts w:ascii="Times New Roman" w:hAnsi="Times New Roman" w:cs="Times New Roman"/>
                <w:kern w:val="0"/>
              </w:rPr>
            </w:pPr>
            <w:r>
              <w:rPr>
                <w:rFonts w:hint="eastAsia" w:ascii="Times New Roman" w:hAnsi="宋体" w:cs="Times New Roman"/>
                <w:kern w:val="0"/>
              </w:rPr>
              <w:t>污染</w:t>
            </w:r>
          </w:p>
        </w:tc>
        <w:tc>
          <w:tcPr>
            <w:tcW w:w="0" w:type="auto"/>
            <w:tcMar>
              <w:top w:w="54" w:type="dxa"/>
              <w:left w:w="54" w:type="dxa"/>
              <w:bottom w:w="54" w:type="dxa"/>
              <w:right w:w="54" w:type="dxa"/>
            </w:tcMar>
          </w:tcPr>
          <w:p w14:paraId="07615E4F">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节组成和性能数据</w:t>
            </w:r>
          </w:p>
        </w:tc>
      </w:tr>
      <w:tr w14:paraId="4351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2E375E97">
            <w:pPr>
              <w:widowControl/>
              <w:spacing w:before="285" w:after="285"/>
              <w:ind w:firstLine="0"/>
              <w:rPr>
                <w:rFonts w:ascii="Times New Roman" w:hAnsi="Times New Roman" w:cs="Times New Roman"/>
                <w:kern w:val="0"/>
              </w:rPr>
            </w:pPr>
            <w:r>
              <w:rPr>
                <w:rFonts w:hint="eastAsia" w:ascii="Times New Roman" w:hAnsi="宋体" w:cs="Times New Roman"/>
                <w:kern w:val="0"/>
              </w:rPr>
              <w:t>机械故障</w:t>
            </w:r>
          </w:p>
        </w:tc>
        <w:tc>
          <w:tcPr>
            <w:tcW w:w="0" w:type="auto"/>
            <w:tcMar>
              <w:top w:w="54" w:type="dxa"/>
              <w:left w:w="54" w:type="dxa"/>
              <w:bottom w:w="54" w:type="dxa"/>
              <w:right w:w="54" w:type="dxa"/>
            </w:tcMar>
          </w:tcPr>
          <w:p w14:paraId="7AF66F41">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节性能数据（水银蒸气释放）</w:t>
            </w:r>
          </w:p>
          <w:p w14:paraId="0595B267">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5D83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6E416BA7">
            <w:pPr>
              <w:widowControl/>
              <w:spacing w:before="285" w:after="285"/>
              <w:ind w:firstLine="0"/>
              <w:rPr>
                <w:rFonts w:ascii="Times New Roman" w:hAnsi="Times New Roman" w:cs="Times New Roman"/>
                <w:kern w:val="0"/>
              </w:rPr>
            </w:pPr>
            <w:r>
              <w:rPr>
                <w:rFonts w:hint="eastAsia" w:ascii="Times New Roman" w:hAnsi="宋体" w:cs="Times New Roman"/>
                <w:kern w:val="0"/>
              </w:rPr>
              <w:t>腐蚀</w:t>
            </w:r>
          </w:p>
        </w:tc>
        <w:tc>
          <w:tcPr>
            <w:tcW w:w="0" w:type="auto"/>
            <w:tcMar>
              <w:top w:w="54" w:type="dxa"/>
              <w:left w:w="54" w:type="dxa"/>
              <w:bottom w:w="54" w:type="dxa"/>
              <w:right w:w="54" w:type="dxa"/>
            </w:tcMar>
          </w:tcPr>
          <w:p w14:paraId="1062716F">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节性能数据（水银蒸气释放）</w:t>
            </w:r>
          </w:p>
          <w:p w14:paraId="5311BE42">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1AE12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5CFC548F">
            <w:pPr>
              <w:widowControl/>
              <w:spacing w:before="285" w:after="285"/>
              <w:ind w:firstLine="0"/>
              <w:rPr>
                <w:rFonts w:ascii="Times New Roman" w:hAnsi="Times New Roman" w:cs="Times New Roman"/>
                <w:kern w:val="0"/>
              </w:rPr>
            </w:pPr>
            <w:r>
              <w:rPr>
                <w:rFonts w:hint="eastAsia" w:ascii="Times New Roman" w:hAnsi="宋体" w:cs="Times New Roman"/>
                <w:kern w:val="0"/>
              </w:rPr>
              <w:t>不恰当的使用</w:t>
            </w:r>
          </w:p>
        </w:tc>
        <w:tc>
          <w:tcPr>
            <w:tcW w:w="0" w:type="auto"/>
            <w:tcMar>
              <w:top w:w="54" w:type="dxa"/>
              <w:left w:w="54" w:type="dxa"/>
              <w:bottom w:w="54" w:type="dxa"/>
              <w:right w:w="54" w:type="dxa"/>
            </w:tcMar>
          </w:tcPr>
          <w:p w14:paraId="7BDF7D36">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bl>
    <w:p w14:paraId="5A57DD9C">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0" o:spt="1" style="height:0pt;width:0pt;" fillcolor="#333333" filled="t" stroked="f" coordsize="21600,21600" o:hr="t" o:hrstd="t" o:hrnoshade="t" o:hralign="center">
            <v:path/>
            <v:fill on="t" focussize="0,0"/>
            <v:stroke on="f"/>
            <v:imagedata o:title=""/>
            <o:lock v:ext="edit"/>
            <w10:wrap type="none"/>
            <w10:anchorlock/>
          </v:rect>
        </w:pict>
      </w:r>
    </w:p>
    <w:p w14:paraId="250DE0F8">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表</w:t>
      </w:r>
      <w:r>
        <w:rPr>
          <w:rFonts w:ascii="Times New Roman" w:hAnsi="Times New Roman" w:cs="Times New Roman"/>
          <w:b/>
          <w:bCs/>
          <w:kern w:val="0"/>
          <w:sz w:val="15"/>
          <w:szCs w:val="15"/>
        </w:rPr>
        <w:t>3</w:t>
      </w:r>
      <w:r>
        <w:rPr>
          <w:rFonts w:hint="eastAsia" w:ascii="Times New Roman" w:hAnsi="宋体" w:cs="Times New Roman"/>
          <w:b/>
          <w:bCs/>
          <w:kern w:val="0"/>
          <w:sz w:val="15"/>
          <w:szCs w:val="15"/>
        </w:rPr>
        <w:t>：水银风险和推荐的缓解措施</w:t>
      </w:r>
    </w:p>
    <w:tbl>
      <w:tblPr>
        <w:tblStyle w:val="15"/>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927"/>
        <w:gridCol w:w="4724"/>
      </w:tblGrid>
      <w:tr w14:paraId="3055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FFFF"/>
            <w:tcMar>
              <w:top w:w="54" w:type="dxa"/>
              <w:left w:w="54" w:type="dxa"/>
              <w:bottom w:w="54" w:type="dxa"/>
              <w:right w:w="54" w:type="dxa"/>
            </w:tcMar>
            <w:vAlign w:val="bottom"/>
          </w:tcPr>
          <w:p w14:paraId="6CF32BCE">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风险</w:t>
            </w:r>
          </w:p>
        </w:tc>
        <w:tc>
          <w:tcPr>
            <w:tcW w:w="0" w:type="auto"/>
            <w:shd w:val="clear" w:color="auto" w:fill="CCFFFF"/>
            <w:tcMar>
              <w:top w:w="54" w:type="dxa"/>
              <w:left w:w="54" w:type="dxa"/>
              <w:bottom w:w="54" w:type="dxa"/>
              <w:right w:w="54" w:type="dxa"/>
            </w:tcMar>
            <w:vAlign w:val="bottom"/>
          </w:tcPr>
          <w:p w14:paraId="38243B7E">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推荐的缓解措施</w:t>
            </w:r>
          </w:p>
        </w:tc>
      </w:tr>
      <w:tr w14:paraId="6821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682CA2D6">
            <w:pPr>
              <w:widowControl/>
              <w:spacing w:before="285" w:after="285"/>
              <w:ind w:firstLine="0"/>
              <w:rPr>
                <w:rFonts w:ascii="Times New Roman" w:hAnsi="Times New Roman" w:cs="Times New Roman"/>
                <w:kern w:val="0"/>
              </w:rPr>
            </w:pPr>
            <w:r>
              <w:rPr>
                <w:rFonts w:hint="eastAsia" w:ascii="Times New Roman" w:hAnsi="宋体" w:cs="Times New Roman"/>
                <w:kern w:val="0"/>
              </w:rPr>
              <w:t>水银暴露</w:t>
            </w:r>
          </w:p>
        </w:tc>
        <w:tc>
          <w:tcPr>
            <w:tcW w:w="0" w:type="auto"/>
            <w:tcMar>
              <w:top w:w="54" w:type="dxa"/>
              <w:left w:w="54" w:type="dxa"/>
              <w:bottom w:w="54" w:type="dxa"/>
              <w:right w:w="54" w:type="dxa"/>
            </w:tcMar>
          </w:tcPr>
          <w:p w14:paraId="2F51989C">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4E8A2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25DEC660">
            <w:pPr>
              <w:widowControl/>
              <w:spacing w:before="285" w:after="285"/>
              <w:ind w:firstLine="0"/>
              <w:rPr>
                <w:rFonts w:ascii="Times New Roman" w:hAnsi="Times New Roman" w:cs="Times New Roman"/>
                <w:kern w:val="0"/>
              </w:rPr>
            </w:pPr>
            <w:r>
              <w:rPr>
                <w:rFonts w:hint="eastAsia" w:ascii="Times New Roman" w:hAnsi="宋体" w:cs="Times New Roman"/>
                <w:kern w:val="0"/>
              </w:rPr>
              <w:t>污染</w:t>
            </w:r>
          </w:p>
        </w:tc>
        <w:tc>
          <w:tcPr>
            <w:tcW w:w="0" w:type="auto"/>
            <w:tcMar>
              <w:top w:w="54" w:type="dxa"/>
              <w:left w:w="54" w:type="dxa"/>
              <w:bottom w:w="54" w:type="dxa"/>
              <w:right w:w="54" w:type="dxa"/>
            </w:tcMar>
          </w:tcPr>
          <w:p w14:paraId="548ABDE6">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节组成和性能数据</w:t>
            </w:r>
          </w:p>
        </w:tc>
      </w:tr>
      <w:tr w14:paraId="4ACC5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331F73E">
            <w:pPr>
              <w:widowControl/>
              <w:spacing w:before="285" w:after="285"/>
              <w:ind w:firstLine="0"/>
              <w:rPr>
                <w:rFonts w:ascii="Times New Roman" w:hAnsi="Times New Roman" w:cs="Times New Roman"/>
                <w:kern w:val="0"/>
              </w:rPr>
            </w:pPr>
            <w:r>
              <w:rPr>
                <w:rFonts w:hint="eastAsia" w:ascii="Times New Roman" w:hAnsi="宋体" w:cs="Times New Roman"/>
                <w:kern w:val="0"/>
              </w:rPr>
              <w:t>不恰当的使用</w:t>
            </w:r>
          </w:p>
        </w:tc>
        <w:tc>
          <w:tcPr>
            <w:tcW w:w="0" w:type="auto"/>
            <w:tcMar>
              <w:top w:w="54" w:type="dxa"/>
              <w:left w:w="54" w:type="dxa"/>
              <w:bottom w:w="54" w:type="dxa"/>
              <w:right w:w="54" w:type="dxa"/>
            </w:tcMar>
          </w:tcPr>
          <w:p w14:paraId="3110AC83">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bl>
    <w:p w14:paraId="05AD9468">
      <w:pPr>
        <w:widowControl/>
        <w:shd w:val="clear" w:color="auto" w:fill="FFFFFF"/>
        <w:spacing w:beforeLines="200" w:line="207" w:lineRule="atLeast"/>
        <w:ind w:firstLine="0"/>
        <w:rPr>
          <w:rFonts w:ascii="Times New Roman" w:hAnsi="Times New Roman" w:cs="Times New Roman"/>
          <w:b/>
          <w:bCs/>
          <w:kern w:val="0"/>
          <w:sz w:val="15"/>
          <w:szCs w:val="15"/>
        </w:rPr>
      </w:pPr>
      <w:r>
        <w:rPr>
          <w:rFonts w:hint="eastAsia" w:ascii="Times New Roman" w:hAnsi="宋体" w:cs="Times New Roman"/>
          <w:b/>
          <w:bCs/>
          <w:kern w:val="0"/>
          <w:sz w:val="15"/>
          <w:szCs w:val="15"/>
        </w:rPr>
        <w:t>表</w:t>
      </w:r>
      <w:r>
        <w:rPr>
          <w:rFonts w:ascii="Times New Roman" w:hAnsi="Times New Roman" w:cs="Times New Roman"/>
          <w:b/>
          <w:bCs/>
          <w:kern w:val="0"/>
          <w:sz w:val="15"/>
          <w:szCs w:val="15"/>
        </w:rPr>
        <w:t>4</w:t>
      </w:r>
      <w:r>
        <w:rPr>
          <w:rFonts w:hint="eastAsia" w:ascii="Times New Roman" w:hAnsi="宋体" w:cs="Times New Roman"/>
          <w:b/>
          <w:bCs/>
          <w:kern w:val="0"/>
          <w:sz w:val="15"/>
          <w:szCs w:val="15"/>
        </w:rPr>
        <w:t>：汞合金风险和推荐的缓解措施</w:t>
      </w:r>
    </w:p>
    <w:tbl>
      <w:tblPr>
        <w:tblStyle w:val="15"/>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562"/>
        <w:gridCol w:w="4089"/>
      </w:tblGrid>
      <w:tr w14:paraId="46FC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FFFF"/>
            <w:tcMar>
              <w:top w:w="54" w:type="dxa"/>
              <w:left w:w="54" w:type="dxa"/>
              <w:bottom w:w="54" w:type="dxa"/>
              <w:right w:w="54" w:type="dxa"/>
            </w:tcMar>
            <w:vAlign w:val="bottom"/>
          </w:tcPr>
          <w:p w14:paraId="3EB4761B">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风险</w:t>
            </w:r>
          </w:p>
        </w:tc>
        <w:tc>
          <w:tcPr>
            <w:tcW w:w="0" w:type="auto"/>
            <w:shd w:val="clear" w:color="auto" w:fill="CCFFFF"/>
            <w:tcMar>
              <w:top w:w="54" w:type="dxa"/>
              <w:left w:w="54" w:type="dxa"/>
              <w:bottom w:w="54" w:type="dxa"/>
              <w:right w:w="54" w:type="dxa"/>
            </w:tcMar>
            <w:vAlign w:val="bottom"/>
          </w:tcPr>
          <w:p w14:paraId="62F6E361">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推荐的缓解措施</w:t>
            </w:r>
          </w:p>
        </w:tc>
      </w:tr>
      <w:tr w14:paraId="5C56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5B057AEC">
            <w:pPr>
              <w:widowControl/>
              <w:spacing w:before="285" w:after="285"/>
              <w:ind w:firstLine="0"/>
              <w:rPr>
                <w:rFonts w:ascii="Times New Roman" w:hAnsi="Times New Roman" w:cs="Times New Roman"/>
                <w:kern w:val="0"/>
              </w:rPr>
            </w:pPr>
            <w:r>
              <w:rPr>
                <w:rFonts w:hint="eastAsia" w:ascii="Times New Roman" w:hAnsi="宋体" w:cs="Times New Roman"/>
                <w:kern w:val="0"/>
              </w:rPr>
              <w:t>过敏反应，包括不良组织反应</w:t>
            </w:r>
          </w:p>
        </w:tc>
        <w:tc>
          <w:tcPr>
            <w:tcW w:w="0" w:type="auto"/>
            <w:tcMar>
              <w:top w:w="54" w:type="dxa"/>
              <w:left w:w="54" w:type="dxa"/>
              <w:bottom w:w="54" w:type="dxa"/>
              <w:right w:w="54" w:type="dxa"/>
            </w:tcMar>
          </w:tcPr>
          <w:p w14:paraId="4FFFE720">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7</w:t>
            </w:r>
            <w:r>
              <w:rPr>
                <w:rFonts w:hint="eastAsia" w:ascii="Times New Roman" w:hAnsi="宋体" w:cs="Times New Roman"/>
                <w:kern w:val="0"/>
              </w:rPr>
              <w:t>节生物相容性</w:t>
            </w:r>
            <w:r>
              <w:rPr>
                <w:rFonts w:ascii="Times New Roman" w:hAnsi="Times New Roman" w:cs="Times New Roman"/>
                <w:kern w:val="0"/>
              </w:rPr>
              <w:br w:type="textWrapping"/>
            </w: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6211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33EF8CA6">
            <w:pPr>
              <w:widowControl/>
              <w:spacing w:before="285" w:after="285"/>
              <w:ind w:firstLine="0"/>
              <w:rPr>
                <w:rFonts w:ascii="Times New Roman" w:hAnsi="Times New Roman" w:cs="Times New Roman"/>
                <w:kern w:val="0"/>
              </w:rPr>
            </w:pPr>
            <w:r>
              <w:rPr>
                <w:rFonts w:hint="eastAsia" w:ascii="Times New Roman" w:hAnsi="宋体" w:cs="Times New Roman"/>
                <w:kern w:val="0"/>
              </w:rPr>
              <w:t>机械故障</w:t>
            </w:r>
          </w:p>
        </w:tc>
        <w:tc>
          <w:tcPr>
            <w:tcW w:w="0" w:type="auto"/>
            <w:tcMar>
              <w:top w:w="54" w:type="dxa"/>
              <w:left w:w="54" w:type="dxa"/>
              <w:bottom w:w="54" w:type="dxa"/>
              <w:right w:w="54" w:type="dxa"/>
            </w:tcMar>
          </w:tcPr>
          <w:p w14:paraId="7077032E">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节性能数据（水银蒸气释放）</w:t>
            </w:r>
          </w:p>
          <w:p w14:paraId="111E647D">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5751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53EBC219">
            <w:pPr>
              <w:widowControl/>
              <w:spacing w:before="285" w:after="285"/>
              <w:ind w:firstLine="0"/>
              <w:rPr>
                <w:rFonts w:ascii="Times New Roman" w:hAnsi="Times New Roman" w:cs="Times New Roman"/>
                <w:kern w:val="0"/>
              </w:rPr>
            </w:pPr>
            <w:r>
              <w:rPr>
                <w:rFonts w:hint="eastAsia" w:ascii="Times New Roman" w:hAnsi="宋体" w:cs="Times New Roman"/>
                <w:kern w:val="0"/>
              </w:rPr>
              <w:t>腐蚀</w:t>
            </w:r>
          </w:p>
        </w:tc>
        <w:tc>
          <w:tcPr>
            <w:tcW w:w="0" w:type="auto"/>
            <w:tcMar>
              <w:top w:w="54" w:type="dxa"/>
              <w:left w:w="54" w:type="dxa"/>
              <w:bottom w:w="54" w:type="dxa"/>
              <w:right w:w="54" w:type="dxa"/>
            </w:tcMar>
          </w:tcPr>
          <w:p w14:paraId="63756D4F">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节性能数据（水银蒸气释放）</w:t>
            </w:r>
          </w:p>
          <w:p w14:paraId="5AD7047E">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r w14:paraId="2BCD9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2880121E">
            <w:pPr>
              <w:widowControl/>
              <w:spacing w:before="285" w:after="285"/>
              <w:ind w:firstLine="0"/>
              <w:rPr>
                <w:rFonts w:ascii="Times New Roman" w:hAnsi="Times New Roman" w:cs="Times New Roman"/>
                <w:kern w:val="0"/>
              </w:rPr>
            </w:pPr>
            <w:r>
              <w:rPr>
                <w:rFonts w:hint="eastAsia" w:ascii="Times New Roman" w:hAnsi="宋体" w:cs="Times New Roman"/>
                <w:kern w:val="0"/>
              </w:rPr>
              <w:t>不恰当的使用</w:t>
            </w:r>
          </w:p>
        </w:tc>
        <w:tc>
          <w:tcPr>
            <w:tcW w:w="0" w:type="auto"/>
            <w:tcMar>
              <w:top w:w="54" w:type="dxa"/>
              <w:left w:w="54" w:type="dxa"/>
              <w:bottom w:w="54" w:type="dxa"/>
              <w:right w:w="54" w:type="dxa"/>
            </w:tcMar>
          </w:tcPr>
          <w:p w14:paraId="2AF3A2FE">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8</w:t>
            </w:r>
            <w:r>
              <w:rPr>
                <w:rFonts w:hint="eastAsia" w:ascii="Times New Roman" w:hAnsi="宋体" w:cs="Times New Roman"/>
                <w:kern w:val="0"/>
              </w:rPr>
              <w:t>节标签</w:t>
            </w:r>
          </w:p>
        </w:tc>
      </w:tr>
    </w:tbl>
    <w:p w14:paraId="16B9EBF0">
      <w:pPr>
        <w:widowControl/>
        <w:shd w:val="clear" w:color="auto" w:fill="FFFFFF"/>
        <w:spacing w:line="207" w:lineRule="atLeast"/>
        <w:ind w:firstLine="0"/>
        <w:rPr>
          <w:rFonts w:ascii="Times New Roman" w:hAnsi="Times New Roman" w:cs="Times New Roman"/>
          <w:b/>
          <w:kern w:val="0"/>
          <w:sz w:val="15"/>
          <w:szCs w:val="15"/>
          <w:u w:val="single"/>
        </w:rPr>
      </w:pPr>
      <w:r>
        <w:rPr>
          <w:rFonts w:hint="eastAsia" w:ascii="Times New Roman" w:hAnsi="宋体" w:cs="Times New Roman"/>
          <w:b/>
          <w:kern w:val="0"/>
          <w:sz w:val="15"/>
          <w:szCs w:val="15"/>
          <w:u w:val="single"/>
        </w:rPr>
        <w:t>返回顶部</w:t>
      </w:r>
    </w:p>
    <w:p w14:paraId="79CF9B55">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1" o:spt="1" style="height:0pt;width:0pt;" fillcolor="#333333" filled="t" stroked="f" coordsize="21600,21600" o:hr="t" o:hrstd="t" o:hrnoshade="t" o:hralign="center">
            <v:path/>
            <v:fill on="t" focussize="0,0"/>
            <v:stroke on="f"/>
            <v:imagedata o:title=""/>
            <o:lock v:ext="edit"/>
            <w10:wrap type="none"/>
            <w10:anchorlock/>
          </v:rect>
        </w:pict>
      </w:r>
    </w:p>
    <w:p w14:paraId="4E189E23">
      <w:pPr>
        <w:widowControl/>
        <w:shd w:val="clear" w:color="auto" w:fill="FFFFFF"/>
        <w:spacing w:after="118"/>
        <w:ind w:firstLine="0"/>
        <w:outlineLvl w:val="0"/>
        <w:rPr>
          <w:rFonts w:ascii="Times New Roman" w:hAnsi="Times New Roman" w:cs="Times New Roman"/>
          <w:b/>
          <w:bCs/>
          <w:kern w:val="0"/>
          <w:sz w:val="23"/>
          <w:szCs w:val="23"/>
        </w:rPr>
      </w:pPr>
      <w:bookmarkStart w:id="11" w:name="_Toc480621165"/>
      <w:r>
        <w:rPr>
          <w:rFonts w:ascii="Times New Roman" w:hAnsi="Times New Roman" w:cs="Times New Roman"/>
          <w:b/>
          <w:bCs/>
          <w:kern w:val="0"/>
          <w:sz w:val="23"/>
          <w:szCs w:val="23"/>
        </w:rPr>
        <w:t xml:space="preserve">6. </w:t>
      </w:r>
      <w:r>
        <w:rPr>
          <w:rFonts w:hint="eastAsia" w:ascii="Times New Roman" w:hAnsi="宋体" w:cs="Times New Roman"/>
          <w:b/>
          <w:bCs/>
          <w:kern w:val="0"/>
          <w:sz w:val="23"/>
          <w:szCs w:val="23"/>
        </w:rPr>
        <w:t>组成和性能数据</w:t>
      </w:r>
      <w:bookmarkEnd w:id="11"/>
    </w:p>
    <w:p w14:paraId="755F0CC3">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建议你按照下文列出的已获</w:t>
      </w:r>
      <w:r>
        <w:rPr>
          <w:rFonts w:ascii="Times New Roman" w:hAnsi="Times New Roman" w:cs="Times New Roman"/>
          <w:kern w:val="0"/>
          <w:sz w:val="15"/>
          <w:szCs w:val="15"/>
        </w:rPr>
        <w:t>FDA</w:t>
      </w:r>
      <w:r>
        <w:rPr>
          <w:rFonts w:hint="eastAsia" w:ascii="Times New Roman" w:hAnsi="宋体" w:cs="Times New Roman"/>
          <w:kern w:val="0"/>
          <w:sz w:val="15"/>
          <w:szCs w:val="15"/>
        </w:rPr>
        <w:t>认可的标准中的相关章节或者等效的方法来评估你的齿科银汞合金、水银和汞合金器械：</w:t>
      </w:r>
    </w:p>
    <w:p w14:paraId="788ABE2B">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ISO 24234:2004(E), </w:t>
      </w:r>
      <w:r>
        <w:rPr>
          <w:rFonts w:hint="eastAsia" w:ascii="Times New Roman" w:hAnsi="宋体" w:cs="Times New Roman"/>
          <w:b/>
          <w:bCs/>
          <w:kern w:val="0"/>
          <w:sz w:val="19"/>
          <w:szCs w:val="19"/>
        </w:rPr>
        <w:t>牙医学</w:t>
      </w:r>
      <w:r>
        <w:rPr>
          <w:rFonts w:ascii="Times New Roman" w:hAnsi="Times New Roman" w:cs="Times New Roman"/>
          <w:b/>
          <w:bCs/>
          <w:kern w:val="0"/>
          <w:sz w:val="19"/>
          <w:szCs w:val="19"/>
        </w:rPr>
        <w:t>―</w:t>
      </w:r>
      <w:r>
        <w:rPr>
          <w:rFonts w:hint="eastAsia" w:ascii="Times New Roman" w:hAnsi="宋体" w:cs="Times New Roman"/>
          <w:b/>
          <w:bCs/>
          <w:kern w:val="0"/>
          <w:sz w:val="19"/>
          <w:szCs w:val="19"/>
        </w:rPr>
        <w:t>用于齿科银汞合金的水银和合金。</w:t>
      </w:r>
    </w:p>
    <w:p w14:paraId="5F089769">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对于汞合金和齿科银汞合金，我们建议针对器械成品进行测试</w:t>
      </w:r>
      <w:r>
        <w:fldChar w:fldCharType="begin"/>
      </w:r>
      <w:r>
        <w:instrText xml:space="preserve"> HYPERLINK "https://www.fda.gov/medicaldevices/deviceregulationandguidance/guidancedocuments/ucm073311.htm" \l "ft7" </w:instrText>
      </w:r>
      <w:r>
        <w:fldChar w:fldCharType="separate"/>
      </w:r>
      <w:r>
        <w:rPr>
          <w:rFonts w:ascii="Times New Roman" w:hAnsi="Times New Roman" w:cs="Times New Roman"/>
          <w:kern w:val="0"/>
          <w:sz w:val="15"/>
          <w:szCs w:val="15"/>
          <w:u w:val="single"/>
          <w:vertAlign w:val="superscript"/>
        </w:rPr>
        <w:t>7</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，即齿科银汞合金（由水银和汞合金组成）。</w:t>
      </w:r>
    </w:p>
    <w:p w14:paraId="37C5528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对于水银和齿科银汞合金，我们建议，如</w:t>
      </w:r>
      <w:r>
        <w:rPr>
          <w:rFonts w:ascii="Times New Roman" w:hAnsi="Times New Roman" w:cs="Times New Roman"/>
          <w:kern w:val="0"/>
          <w:sz w:val="15"/>
          <w:szCs w:val="15"/>
        </w:rPr>
        <w:t>ISO 24234:2004(E)</w:t>
      </w:r>
      <w:r>
        <w:rPr>
          <w:rFonts w:hint="eastAsia" w:ascii="Times New Roman" w:hAnsi="宋体" w:cs="Times New Roman"/>
          <w:kern w:val="0"/>
          <w:sz w:val="15"/>
          <w:szCs w:val="15"/>
        </w:rPr>
        <w:t>规定的那样，其中应不含污染物。</w:t>
      </w:r>
    </w:p>
    <w:p w14:paraId="517F13AD">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5"/>
          <w:szCs w:val="15"/>
        </w:rPr>
        <w:br w:type="page"/>
      </w:r>
      <w:r>
        <w:rPr>
          <w:rFonts w:ascii="Times New Roman" w:hAnsi="Times New Roman" w:cs="Times New Roman"/>
          <w:b/>
          <w:bCs/>
          <w:kern w:val="0"/>
          <w:sz w:val="19"/>
          <w:szCs w:val="19"/>
        </w:rPr>
        <w:t xml:space="preserve">A. </w:t>
      </w:r>
      <w:r>
        <w:rPr>
          <w:rFonts w:hint="eastAsia" w:ascii="Times New Roman" w:hAnsi="宋体" w:cs="Times New Roman"/>
          <w:b/>
          <w:bCs/>
          <w:kern w:val="0"/>
          <w:sz w:val="19"/>
          <w:szCs w:val="19"/>
        </w:rPr>
        <w:t>化学组成</w:t>
      </w:r>
    </w:p>
    <w:p w14:paraId="142383E6">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建议你提供完整的关于你申报的齿科银汞合金、水银和汞合金器械的化学组成，按照总重量为</w:t>
      </w:r>
      <w:r>
        <w:rPr>
          <w:rFonts w:ascii="Times New Roman" w:hAnsi="Times New Roman" w:cs="Times New Roman"/>
          <w:kern w:val="0"/>
          <w:sz w:val="15"/>
          <w:szCs w:val="15"/>
        </w:rPr>
        <w:t>100%</w:t>
      </w:r>
      <w:r>
        <w:rPr>
          <w:rFonts w:hint="eastAsia" w:ascii="Times New Roman" w:hAnsi="宋体" w:cs="Times New Roman"/>
          <w:kern w:val="0"/>
          <w:sz w:val="15"/>
          <w:szCs w:val="15"/>
        </w:rPr>
        <w:t>来表示，并给出配方中所有成分的化学文摘</w:t>
      </w:r>
      <w:r>
        <w:fldChar w:fldCharType="begin"/>
      </w:r>
      <w:r>
        <w:instrText xml:space="preserve"> HYPERLINK "https://www.fda.gov/medicaldevices/deviceregulationandguidance/guidancedocuments/ucm073311.htm" \l "ft8" </w:instrText>
      </w:r>
      <w:r>
        <w:fldChar w:fldCharType="separate"/>
      </w:r>
      <w:r>
        <w:rPr>
          <w:rFonts w:ascii="Times New Roman" w:hAnsi="Times New Roman" w:cs="Times New Roman"/>
          <w:kern w:val="0"/>
          <w:sz w:val="15"/>
          <w:szCs w:val="15"/>
          <w:u w:val="single"/>
          <w:vertAlign w:val="superscript"/>
        </w:rPr>
        <w:t>8</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r>
        <w:rPr>
          <w:rFonts w:ascii="Times New Roman" w:hAnsi="Times New Roman" w:cs="Times New Roman"/>
          <w:kern w:val="0"/>
          <w:sz w:val="15"/>
          <w:szCs w:val="15"/>
        </w:rPr>
        <w:t>CAS®</w:t>
      </w:r>
      <w:r>
        <w:rPr>
          <w:rFonts w:hint="eastAsia" w:ascii="Times New Roman" w:hAnsi="宋体" w:cs="Times New Roman"/>
          <w:kern w:val="0"/>
          <w:sz w:val="15"/>
          <w:szCs w:val="15"/>
        </w:rPr>
        <w:t>）注册号。</w:t>
      </w:r>
    </w:p>
    <w:p w14:paraId="790552E1">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B. </w:t>
      </w:r>
      <w:r>
        <w:rPr>
          <w:rFonts w:hint="eastAsia" w:ascii="Times New Roman" w:hAnsi="宋体" w:cs="Times New Roman"/>
          <w:b/>
          <w:bCs/>
          <w:kern w:val="0"/>
          <w:sz w:val="19"/>
          <w:szCs w:val="19"/>
        </w:rPr>
        <w:t>性能数据</w:t>
      </w:r>
    </w:p>
    <w:p w14:paraId="05A39C05">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对于你申报的水银</w:t>
      </w:r>
      <w:r>
        <w:fldChar w:fldCharType="begin"/>
      </w:r>
      <w:r>
        <w:instrText xml:space="preserve"> HYPERLINK "https://www.fda.gov/medicaldevices/deviceregulationandguidance/guidancedocuments/ucm073311.htm" \l "ft9" </w:instrText>
      </w:r>
      <w:r>
        <w:fldChar w:fldCharType="separate"/>
      </w:r>
      <w:r>
        <w:rPr>
          <w:rFonts w:ascii="Times New Roman" w:hAnsi="Times New Roman" w:cs="Times New Roman"/>
          <w:kern w:val="0"/>
          <w:sz w:val="15"/>
          <w:szCs w:val="15"/>
          <w:u w:val="single"/>
          <w:vertAlign w:val="superscript"/>
        </w:rPr>
        <w:t>9</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器械，</w:t>
      </w:r>
      <w:r>
        <w:rPr>
          <w:rFonts w:ascii="Times New Roman" w:hAnsi="Times New Roman" w:cs="Times New Roman"/>
          <w:kern w:val="0"/>
          <w:sz w:val="15"/>
          <w:szCs w:val="15"/>
        </w:rPr>
        <w:t>FDA</w:t>
      </w:r>
      <w:r>
        <w:rPr>
          <w:rFonts w:hint="eastAsia" w:ascii="Times New Roman" w:hAnsi="宋体" w:cs="Times New Roman"/>
          <w:kern w:val="0"/>
          <w:sz w:val="15"/>
          <w:szCs w:val="15"/>
        </w:rPr>
        <w:t>建议你提供下述性能数据：</w:t>
      </w:r>
    </w:p>
    <w:p w14:paraId="75197F51">
      <w:pPr>
        <w:widowControl/>
        <w:numPr>
          <w:ilvl w:val="0"/>
          <w:numId w:val="3"/>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按照</w:t>
      </w:r>
      <w:r>
        <w:rPr>
          <w:rFonts w:ascii="Times New Roman" w:hAnsi="Times New Roman" w:cs="Times New Roman"/>
          <w:kern w:val="0"/>
          <w:sz w:val="15"/>
          <w:szCs w:val="15"/>
        </w:rPr>
        <w:t>ISO 24234:2004(E)</w:t>
      </w:r>
      <w:r>
        <w:rPr>
          <w:rFonts w:hint="eastAsia" w:ascii="Times New Roman" w:hAnsi="宋体" w:cs="Times New Roman"/>
          <w:kern w:val="0"/>
          <w:sz w:val="15"/>
          <w:szCs w:val="15"/>
        </w:rPr>
        <w:t>的规定，目测评估水银应不含污染物。</w:t>
      </w:r>
    </w:p>
    <w:p w14:paraId="32323A7D">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对于你申报的齿科银汞合金和汞合金</w:t>
      </w:r>
      <w:r>
        <w:fldChar w:fldCharType="begin"/>
      </w:r>
      <w:r>
        <w:instrText xml:space="preserve"> HYPERLINK "https://www.fda.gov/medicaldevices/deviceregulationandguidance/guidancedocuments/ucm073311.htm" \l "ft10" </w:instrText>
      </w:r>
      <w:r>
        <w:fldChar w:fldCharType="separate"/>
      </w:r>
      <w:r>
        <w:rPr>
          <w:rFonts w:ascii="Times New Roman" w:hAnsi="Times New Roman" w:cs="Times New Roman"/>
          <w:kern w:val="0"/>
          <w:sz w:val="15"/>
          <w:szCs w:val="15"/>
          <w:u w:val="single"/>
          <w:vertAlign w:val="superscript"/>
        </w:rPr>
        <w:t>10</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器械，</w:t>
      </w:r>
      <w:r>
        <w:rPr>
          <w:rFonts w:ascii="Times New Roman" w:hAnsi="Times New Roman" w:cs="Times New Roman"/>
          <w:kern w:val="0"/>
          <w:sz w:val="15"/>
          <w:szCs w:val="15"/>
        </w:rPr>
        <w:t>FDA</w:t>
      </w:r>
      <w:r>
        <w:rPr>
          <w:rFonts w:hint="eastAsia" w:ascii="Times New Roman" w:hAnsi="宋体" w:cs="Times New Roman"/>
          <w:kern w:val="0"/>
          <w:sz w:val="15"/>
          <w:szCs w:val="15"/>
        </w:rPr>
        <w:t>建议你提供下述物理性质数据：</w:t>
      </w:r>
    </w:p>
    <w:p w14:paraId="36DD53F3">
      <w:pPr>
        <w:widowControl/>
        <w:numPr>
          <w:ilvl w:val="0"/>
          <w:numId w:val="4"/>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抗压强度</w:t>
      </w:r>
      <w:r>
        <w:rPr>
          <w:rFonts w:ascii="Times New Roman" w:hAnsi="Times New Roman" w:cs="Times New Roman"/>
          <w:kern w:val="0"/>
          <w:sz w:val="15"/>
          <w:szCs w:val="15"/>
        </w:rPr>
        <w:t>(MPa) @ 1</w:t>
      </w:r>
      <w:r>
        <w:rPr>
          <w:rFonts w:hint="eastAsia" w:ascii="Times New Roman" w:hAnsi="宋体" w:cs="Times New Roman"/>
          <w:kern w:val="0"/>
          <w:sz w:val="15"/>
          <w:szCs w:val="15"/>
        </w:rPr>
        <w:t>小时</w:t>
      </w:r>
    </w:p>
    <w:p w14:paraId="5E29B11B">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抗压强度</w:t>
      </w:r>
      <w:r>
        <w:rPr>
          <w:rFonts w:ascii="Times New Roman" w:hAnsi="Times New Roman" w:cs="Times New Roman"/>
          <w:kern w:val="0"/>
          <w:sz w:val="15"/>
          <w:szCs w:val="15"/>
        </w:rPr>
        <w:t>(MPa) @ 24</w:t>
      </w:r>
      <w:r>
        <w:rPr>
          <w:rFonts w:hint="eastAsia" w:ascii="Times New Roman" w:hAnsi="宋体" w:cs="Times New Roman"/>
          <w:kern w:val="0"/>
          <w:sz w:val="15"/>
          <w:szCs w:val="15"/>
        </w:rPr>
        <w:t>小时</w:t>
      </w:r>
    </w:p>
    <w:p w14:paraId="3A6E4B8A">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最大蠕变</w:t>
      </w:r>
      <w:r>
        <w:rPr>
          <w:rFonts w:ascii="Times New Roman" w:hAnsi="Times New Roman" w:cs="Times New Roman"/>
          <w:kern w:val="0"/>
          <w:sz w:val="15"/>
          <w:szCs w:val="15"/>
        </w:rPr>
        <w:t>(%)</w:t>
      </w:r>
    </w:p>
    <w:p w14:paraId="14FA36F1">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固化过程中的尺寸变化</w:t>
      </w:r>
      <w:r>
        <w:rPr>
          <w:rFonts w:ascii="Times New Roman" w:hAnsi="Times New Roman" w:cs="Times New Roman"/>
          <w:kern w:val="0"/>
          <w:sz w:val="15"/>
          <w:szCs w:val="15"/>
        </w:rPr>
        <w:t>(%)</w:t>
      </w:r>
    </w:p>
    <w:p w14:paraId="31B96DBF">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粒径分布</w:t>
      </w:r>
      <w:r>
        <w:rPr>
          <w:rFonts w:ascii="Times New Roman" w:hAnsi="Times New Roman" w:cs="Times New Roman"/>
          <w:kern w:val="0"/>
          <w:sz w:val="15"/>
          <w:szCs w:val="15"/>
        </w:rPr>
        <w:t>(μ)</w:t>
      </w:r>
      <w:r>
        <w:rPr>
          <w:rFonts w:hint="eastAsia" w:ascii="Times New Roman" w:hAnsi="宋体" w:cs="Times New Roman"/>
          <w:kern w:val="0"/>
          <w:sz w:val="15"/>
          <w:szCs w:val="15"/>
        </w:rPr>
        <w:t>和形状，即球形、不规则等</w:t>
      </w:r>
    </w:p>
    <w:p w14:paraId="6001B26B">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腐蚀产物</w:t>
      </w:r>
      <w:r>
        <w:fldChar w:fldCharType="begin"/>
      </w:r>
      <w:r>
        <w:instrText xml:space="preserve"> HYPERLINK "https://www.fda.gov/medicaldevices/deviceregulationandguidance/guidancedocuments/ucm073311.htm" \l "ft11" </w:instrText>
      </w:r>
      <w:r>
        <w:fldChar w:fldCharType="separate"/>
      </w:r>
      <w:r>
        <w:rPr>
          <w:rFonts w:ascii="Times New Roman" w:hAnsi="Times New Roman" w:cs="Times New Roman"/>
          <w:kern w:val="0"/>
          <w:sz w:val="15"/>
          <w:szCs w:val="15"/>
          <w:u w:val="single"/>
          <w:vertAlign w:val="superscript"/>
        </w:rPr>
        <w:t>11</w:t>
      </w:r>
      <w:r>
        <w:rPr>
          <w:rFonts w:ascii="Times New Roman" w:hAnsi="Times New Roman" w:cs="Times New Roman"/>
          <w:kern w:val="0"/>
          <w:sz w:val="15"/>
          <w:szCs w:val="15"/>
          <w:u w:val="single"/>
          <w:vertAlign w:val="superscript"/>
        </w:rPr>
        <w:fldChar w:fldCharType="end"/>
      </w:r>
      <w:r>
        <w:rPr>
          <w:rFonts w:ascii="Times New Roman" w:hAnsi="Times New Roman" w:cs="Times New Roman"/>
          <w:kern w:val="0"/>
          <w:sz w:val="15"/>
          <w:szCs w:val="15"/>
        </w:rPr>
        <w:t> </w:t>
      </w:r>
      <w:r>
        <w:rPr>
          <w:rFonts w:hint="eastAsia" w:ascii="Times New Roman" w:hAnsi="宋体" w:cs="Times New Roman"/>
          <w:kern w:val="0"/>
          <w:sz w:val="15"/>
          <w:szCs w:val="15"/>
        </w:rPr>
        <w:t>，反映的是腐蚀过程中浸出的离子（</w:t>
      </w:r>
      <w:r>
        <w:rPr>
          <w:rFonts w:ascii="Times New Roman" w:hAnsi="Times New Roman" w:cs="Times New Roman"/>
          <w:kern w:val="0"/>
          <w:sz w:val="15"/>
          <w:szCs w:val="15"/>
        </w:rPr>
        <w:t>µg/cm</w:t>
      </w:r>
      <w:r>
        <w:rPr>
          <w:rFonts w:ascii="Times New Roman" w:hAnsi="Times New Roman" w:cs="Times New Roman"/>
          <w:kern w:val="0"/>
          <w:sz w:val="15"/>
          <w:szCs w:val="15"/>
          <w:vertAlign w:val="superscript"/>
        </w:rPr>
        <w:t>2</w:t>
      </w:r>
      <w:r>
        <w:rPr>
          <w:rFonts w:hint="eastAsia" w:ascii="Times New Roman" w:hAnsi="宋体" w:cs="Times New Roman"/>
          <w:kern w:val="0"/>
          <w:sz w:val="15"/>
          <w:szCs w:val="15"/>
        </w:rPr>
        <w:t>）和释放的水银蒸气（</w:t>
      </w:r>
      <w:r>
        <w:rPr>
          <w:rFonts w:ascii="Times New Roman" w:hAnsi="Times New Roman" w:cs="Times New Roman"/>
          <w:kern w:val="0"/>
          <w:sz w:val="15"/>
          <w:szCs w:val="15"/>
        </w:rPr>
        <w:t>ng/cm</w:t>
      </w:r>
      <w:r>
        <w:rPr>
          <w:rFonts w:ascii="Times New Roman" w:hAnsi="Times New Roman" w:cs="Times New Roman"/>
          <w:kern w:val="0"/>
          <w:sz w:val="15"/>
          <w:szCs w:val="15"/>
          <w:vertAlign w:val="superscript"/>
        </w:rPr>
        <w:t>2</w:t>
      </w:r>
      <w:r>
        <w:rPr>
          <w:rFonts w:hint="eastAsia" w:ascii="Times New Roman" w:hAnsi="宋体" w:cs="Times New Roman"/>
          <w:kern w:val="0"/>
          <w:sz w:val="15"/>
          <w:szCs w:val="15"/>
        </w:rPr>
        <w:t>，</w:t>
      </w:r>
      <w:r>
        <w:rPr>
          <w:rFonts w:ascii="Times New Roman" w:hAnsi="Times New Roman" w:cs="Times New Roman"/>
          <w:kern w:val="0"/>
          <w:sz w:val="15"/>
          <w:szCs w:val="15"/>
        </w:rPr>
        <w:t>4</w:t>
      </w:r>
      <w:r>
        <w:rPr>
          <w:rFonts w:hint="eastAsia" w:ascii="Times New Roman" w:hAnsi="宋体" w:cs="Times New Roman"/>
          <w:kern w:val="0"/>
          <w:sz w:val="15"/>
          <w:szCs w:val="15"/>
        </w:rPr>
        <w:t>小时内）</w:t>
      </w:r>
    </w:p>
    <w:p w14:paraId="317D5252">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研碎时间（秒）</w:t>
      </w:r>
    </w:p>
    <w:p w14:paraId="750B8FB3">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工作时间（分钟）</w:t>
      </w:r>
    </w:p>
    <w:p w14:paraId="0C57BEBB">
      <w:pPr>
        <w:widowControl/>
        <w:spacing w:beforeLines="20" w:after="330"/>
        <w:ind w:firstLine="0"/>
        <w:rPr>
          <w:rFonts w:ascii="Times New Roman" w:hAnsi="宋体" w:cs="Times New Roman"/>
          <w:b/>
          <w:kern w:val="0"/>
          <w:sz w:val="15"/>
          <w:szCs w:val="15"/>
        </w:rPr>
      </w:pPr>
      <w:r>
        <w:rPr>
          <w:rFonts w:hint="eastAsia" w:ascii="Times New Roman" w:hAnsi="宋体" w:cs="Times New Roman"/>
          <w:b/>
          <w:kern w:val="0"/>
          <w:sz w:val="15"/>
          <w:szCs w:val="15"/>
        </w:rPr>
        <w:t>返回顶部</w:t>
      </w:r>
    </w:p>
    <w:p w14:paraId="664539E6">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2" o:spt="1" style="height:0pt;width:0pt;" fillcolor="#333333" filled="t" stroked="f" coordsize="21600,21600" o:hr="t" o:hrstd="t" o:hrnoshade="t" o:hralign="center">
            <v:path/>
            <v:fill on="t" focussize="0,0"/>
            <v:stroke on="f"/>
            <v:imagedata o:title=""/>
            <o:lock v:ext="edit"/>
            <w10:wrap type="none"/>
            <w10:anchorlock/>
          </v:rect>
        </w:pict>
      </w:r>
    </w:p>
    <w:p w14:paraId="1229BF72">
      <w:pPr>
        <w:widowControl/>
        <w:shd w:val="clear" w:color="auto" w:fill="FFFFFF"/>
        <w:spacing w:after="118"/>
        <w:ind w:firstLine="0"/>
        <w:outlineLvl w:val="0"/>
        <w:rPr>
          <w:rFonts w:ascii="Times New Roman" w:hAnsi="Times New Roman" w:cs="Times New Roman"/>
          <w:b/>
          <w:bCs/>
          <w:kern w:val="0"/>
          <w:sz w:val="23"/>
          <w:szCs w:val="23"/>
        </w:rPr>
      </w:pPr>
      <w:bookmarkStart w:id="12" w:name="_Toc480621166"/>
      <w:r>
        <w:rPr>
          <w:rFonts w:ascii="Times New Roman" w:hAnsi="Times New Roman" w:cs="Times New Roman"/>
          <w:b/>
          <w:bCs/>
          <w:kern w:val="0"/>
          <w:sz w:val="23"/>
          <w:szCs w:val="23"/>
        </w:rPr>
        <w:t xml:space="preserve">7. </w:t>
      </w:r>
      <w:r>
        <w:rPr>
          <w:rFonts w:hint="eastAsia" w:ascii="Times New Roman" w:hAnsi="宋体" w:cs="Times New Roman"/>
          <w:b/>
          <w:bCs/>
          <w:kern w:val="0"/>
          <w:sz w:val="23"/>
          <w:szCs w:val="23"/>
        </w:rPr>
        <w:t>生物相容性</w:t>
      </w:r>
      <w:bookmarkEnd w:id="12"/>
    </w:p>
    <w:p w14:paraId="0DDCE90C">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建议你按照下述已获</w:t>
      </w:r>
      <w:r>
        <w:rPr>
          <w:rFonts w:ascii="Times New Roman" w:hAnsi="Times New Roman" w:cs="Times New Roman"/>
          <w:kern w:val="0"/>
          <w:sz w:val="15"/>
          <w:szCs w:val="15"/>
        </w:rPr>
        <w:t>FDA</w:t>
      </w:r>
      <w:r>
        <w:rPr>
          <w:rFonts w:hint="eastAsia" w:ascii="Times New Roman" w:hAnsi="宋体" w:cs="Times New Roman"/>
          <w:kern w:val="0"/>
          <w:sz w:val="15"/>
          <w:szCs w:val="15"/>
        </w:rPr>
        <w:t>认可的标准或者采用等效的方法针对申报的齿科银汞合金器械成品</w:t>
      </w:r>
      <w:r>
        <w:fldChar w:fldCharType="begin"/>
      </w:r>
      <w:r>
        <w:instrText xml:space="preserve"> HYPERLINK "https://www.fda.gov/medicaldevices/deviceregulationandguidance/guidancedocuments/ucm073311.htm" \l "ft12" </w:instrText>
      </w:r>
      <w:r>
        <w:fldChar w:fldCharType="separate"/>
      </w:r>
      <w:r>
        <w:rPr>
          <w:rFonts w:ascii="Times New Roman" w:hAnsi="Times New Roman" w:cs="Times New Roman"/>
          <w:kern w:val="0"/>
          <w:sz w:val="15"/>
          <w:szCs w:val="15"/>
          <w:u w:val="single"/>
          <w:vertAlign w:val="superscript"/>
        </w:rPr>
        <w:t>12</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（即：水银和汞合金构成的混合物）进行生物相容性测试：</w:t>
      </w:r>
    </w:p>
    <w:p w14:paraId="6E18C42B">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b/>
          <w:bCs/>
          <w:kern w:val="0"/>
          <w:sz w:val="15"/>
          <w:szCs w:val="15"/>
        </w:rPr>
        <w:t xml:space="preserve">ISO 7405:1997(E), </w:t>
      </w:r>
      <w:r>
        <w:rPr>
          <w:rFonts w:hint="eastAsia" w:ascii="Times New Roman" w:hAnsi="宋体" w:cs="Times New Roman"/>
          <w:b/>
          <w:bCs/>
          <w:kern w:val="0"/>
          <w:sz w:val="15"/>
          <w:szCs w:val="15"/>
        </w:rPr>
        <w:t>牙医学</w:t>
      </w:r>
      <w:r>
        <w:rPr>
          <w:rFonts w:ascii="Times New Roman" w:hAnsi="Times New Roman" w:cs="Times New Roman"/>
          <w:b/>
          <w:bCs/>
          <w:kern w:val="0"/>
          <w:sz w:val="15"/>
          <w:szCs w:val="15"/>
        </w:rPr>
        <w:t xml:space="preserve"> – </w:t>
      </w:r>
      <w:r>
        <w:rPr>
          <w:rFonts w:hint="eastAsia" w:ascii="Times New Roman" w:hAnsi="宋体" w:cs="Times New Roman"/>
          <w:b/>
          <w:bCs/>
          <w:kern w:val="0"/>
          <w:sz w:val="15"/>
          <w:szCs w:val="15"/>
        </w:rPr>
        <w:t>牙科所用的医疗器械的临床前生物相容性评估</w:t>
      </w:r>
      <w:r>
        <w:rPr>
          <w:rFonts w:ascii="Times New Roman" w:hAnsi="Times New Roman" w:cs="Times New Roman"/>
          <w:b/>
          <w:bCs/>
          <w:kern w:val="0"/>
          <w:sz w:val="15"/>
          <w:szCs w:val="15"/>
        </w:rPr>
        <w:t>―</w:t>
      </w:r>
      <w:r>
        <w:rPr>
          <w:rFonts w:hint="eastAsia" w:ascii="Times New Roman" w:hAnsi="宋体" w:cs="Times New Roman"/>
          <w:b/>
          <w:bCs/>
          <w:kern w:val="0"/>
          <w:sz w:val="15"/>
          <w:szCs w:val="15"/>
        </w:rPr>
        <w:t>齿科材料的测试方法。</w:t>
      </w:r>
    </w:p>
    <w:p w14:paraId="09567C5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你可以通过实质等同器械或者文献数据证明，在相同的适应证和相同类型的组织接触情形下，你申报的齿科银汞合金器械的成分具有生物相容性，那么你可以通过指明实质等同器械或者引用文献数据来支持你的申报器械的生物相容性，而不必进行生物相容性测试。然而，如果你的器械中含有新的化学成分或者添加剂，或者采用了新的技术，你应该按照上文所述进行生物相容性测试。</w:t>
      </w:r>
    </w:p>
    <w:p w14:paraId="51DF0D01">
      <w:pPr>
        <w:widowControl/>
        <w:spacing w:beforeLines="20" w:after="330"/>
        <w:ind w:firstLine="0"/>
        <w:rPr>
          <w:rFonts w:ascii="Times New Roman" w:hAnsi="宋体" w:cs="Times New Roman"/>
          <w:b/>
          <w:kern w:val="0"/>
          <w:sz w:val="15"/>
          <w:szCs w:val="15"/>
          <w:u w:val="single"/>
        </w:rPr>
      </w:pPr>
      <w:r>
        <w:rPr>
          <w:rFonts w:hint="eastAsia" w:ascii="Times New Roman" w:hAnsi="宋体" w:cs="Times New Roman"/>
          <w:b/>
          <w:kern w:val="0"/>
          <w:sz w:val="15"/>
          <w:szCs w:val="15"/>
          <w:u w:val="single"/>
        </w:rPr>
        <w:t>返回顶部</w:t>
      </w:r>
    </w:p>
    <w:p w14:paraId="596BEAA8">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3" o:spt="1" style="height:0pt;width:0pt;" fillcolor="#333333" filled="t" stroked="f" coordsize="21600,21600" o:hr="t" o:hrstd="t" o:hrnoshade="t" o:hralign="center">
            <v:path/>
            <v:fill on="t" focussize="0,0"/>
            <v:stroke on="f"/>
            <v:imagedata o:title=""/>
            <o:lock v:ext="edit"/>
            <w10:wrap type="none"/>
            <w10:anchorlock/>
          </v:rect>
        </w:pict>
      </w:r>
    </w:p>
    <w:p w14:paraId="264ABA9C">
      <w:pPr>
        <w:widowControl/>
        <w:shd w:val="clear" w:color="auto" w:fill="FFFFFF"/>
        <w:spacing w:after="118"/>
        <w:ind w:firstLine="0"/>
        <w:outlineLvl w:val="0"/>
        <w:rPr>
          <w:rFonts w:ascii="Times New Roman" w:hAnsi="Times New Roman" w:cs="Times New Roman"/>
          <w:b/>
          <w:bCs/>
          <w:kern w:val="0"/>
          <w:sz w:val="23"/>
          <w:szCs w:val="23"/>
        </w:rPr>
      </w:pPr>
      <w:r>
        <w:rPr>
          <w:rFonts w:ascii="Times New Roman" w:hAnsi="Times New Roman" w:cs="Times New Roman"/>
          <w:b/>
          <w:bCs/>
          <w:kern w:val="0"/>
          <w:sz w:val="15"/>
          <w:szCs w:val="15"/>
        </w:rPr>
        <w:br w:type="page"/>
      </w:r>
      <w:bookmarkStart w:id="13" w:name="_Toc480621167"/>
      <w:r>
        <w:rPr>
          <w:rFonts w:ascii="Times New Roman" w:hAnsi="Times New Roman" w:cs="Times New Roman"/>
          <w:b/>
          <w:bCs/>
          <w:kern w:val="0"/>
          <w:sz w:val="23"/>
          <w:szCs w:val="23"/>
        </w:rPr>
        <w:t xml:space="preserve">8. </w:t>
      </w:r>
      <w:r>
        <w:rPr>
          <w:rFonts w:hint="eastAsia" w:ascii="Times New Roman" w:hAnsi="宋体" w:cs="Times New Roman"/>
          <w:b/>
          <w:bCs/>
          <w:kern w:val="0"/>
          <w:sz w:val="23"/>
          <w:szCs w:val="23"/>
        </w:rPr>
        <w:t>针对齿科专业人员的标签</w:t>
      </w:r>
      <w:r>
        <w:fldChar w:fldCharType="begin"/>
      </w:r>
      <w:r>
        <w:instrText xml:space="preserve"> HYPERLINK "https://www.fda.gov/medicaldevices/deviceregulationandguidance/guidancedocuments/ucm073311.htm" \l "ft13" </w:instrText>
      </w:r>
      <w:r>
        <w:fldChar w:fldCharType="separate"/>
      </w:r>
      <w:r>
        <w:rPr>
          <w:rFonts w:ascii="Times New Roman" w:hAnsi="Times New Roman" w:cs="Times New Roman"/>
          <w:b/>
          <w:bCs/>
          <w:kern w:val="0"/>
          <w:sz w:val="23"/>
          <w:szCs w:val="23"/>
          <w:u w:val="single"/>
          <w:vertAlign w:val="superscript"/>
        </w:rPr>
        <w:t>13</w:t>
      </w:r>
      <w:bookmarkEnd w:id="13"/>
      <w:r>
        <w:rPr>
          <w:rFonts w:ascii="Times New Roman" w:hAnsi="Times New Roman" w:cs="Times New Roman"/>
          <w:b/>
          <w:bCs/>
          <w:kern w:val="0"/>
          <w:sz w:val="23"/>
          <w:szCs w:val="23"/>
          <w:u w:val="single"/>
          <w:vertAlign w:val="superscript"/>
        </w:rPr>
        <w:fldChar w:fldCharType="end"/>
      </w:r>
    </w:p>
    <w:p w14:paraId="02A59625">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水银和汞合金器械的标签中包括充分的信息，将器械性质以及如何正确使用告知齿科专业人员。该信息应该包括对器械组成的描述（包括水银含量）、物理性质、警告、注意事项和使用信息，如下文所述。</w:t>
      </w:r>
    </w:p>
    <w:p w14:paraId="0419178F">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A. </w:t>
      </w:r>
      <w:r>
        <w:rPr>
          <w:rFonts w:hint="eastAsia" w:ascii="Times New Roman" w:hAnsi="宋体" w:cs="Times New Roman"/>
          <w:b/>
          <w:bCs/>
          <w:kern w:val="0"/>
          <w:sz w:val="19"/>
          <w:szCs w:val="19"/>
        </w:rPr>
        <w:t>组成</w:t>
      </w:r>
    </w:p>
    <w:p w14:paraId="143C21B1">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建议你在齿科银汞合金、水银和汞合金器械的标签中指明器械中含量高于</w:t>
      </w:r>
      <w:r>
        <w:rPr>
          <w:rFonts w:ascii="Times New Roman" w:hAnsi="Times New Roman" w:cs="Times New Roman"/>
          <w:kern w:val="0"/>
          <w:sz w:val="15"/>
          <w:szCs w:val="15"/>
        </w:rPr>
        <w:t>0.5%</w:t>
      </w:r>
      <w:r>
        <w:rPr>
          <w:rFonts w:hint="eastAsia" w:ascii="Times New Roman" w:hAnsi="宋体" w:cs="Times New Roman"/>
          <w:kern w:val="0"/>
          <w:sz w:val="15"/>
          <w:szCs w:val="15"/>
        </w:rPr>
        <w:t>的每种元素（包括水银）以及相应的重量分数。对于含量低于或者等于</w:t>
      </w:r>
      <w:r>
        <w:rPr>
          <w:rFonts w:ascii="Times New Roman" w:hAnsi="Times New Roman" w:cs="Times New Roman"/>
          <w:kern w:val="0"/>
          <w:sz w:val="15"/>
          <w:szCs w:val="15"/>
        </w:rPr>
        <w:t>0.5%</w:t>
      </w:r>
      <w:r>
        <w:rPr>
          <w:rFonts w:hint="eastAsia" w:ascii="Times New Roman" w:hAnsi="宋体" w:cs="Times New Roman"/>
          <w:kern w:val="0"/>
          <w:sz w:val="15"/>
          <w:szCs w:val="15"/>
        </w:rPr>
        <w:t>的其他元素，可以指明其名称，但不给出百分含量。应该在器械包装上清楚注明其水银含量。建议采用下述表达方式：</w:t>
      </w:r>
    </w:p>
    <w:p w14:paraId="073A728F">
      <w:pPr>
        <w:widowControl/>
        <w:numPr>
          <w:ilvl w:val="0"/>
          <w:numId w:val="5"/>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含</w:t>
      </w:r>
      <w:r>
        <w:rPr>
          <w:rFonts w:ascii="Times New Roman" w:hAnsi="Times New Roman" w:cs="Times New Roman"/>
          <w:kern w:val="0"/>
          <w:sz w:val="15"/>
          <w:szCs w:val="15"/>
        </w:rPr>
        <w:t>[ ]%</w:t>
      </w:r>
      <w:r>
        <w:rPr>
          <w:rFonts w:hint="eastAsia" w:ascii="Times New Roman" w:hAnsi="宋体" w:cs="Times New Roman"/>
          <w:kern w:val="0"/>
          <w:sz w:val="15"/>
          <w:szCs w:val="15"/>
        </w:rPr>
        <w:t>水银，以重量计</w:t>
      </w:r>
    </w:p>
    <w:p w14:paraId="18376216">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B. </w:t>
      </w:r>
      <w:r>
        <w:rPr>
          <w:rFonts w:hint="eastAsia" w:ascii="Times New Roman" w:hAnsi="宋体" w:cs="Times New Roman"/>
          <w:b/>
          <w:bCs/>
          <w:kern w:val="0"/>
          <w:sz w:val="19"/>
          <w:szCs w:val="19"/>
        </w:rPr>
        <w:t>物理性质</w:t>
      </w:r>
    </w:p>
    <w:p w14:paraId="4B4AF9DF">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建议你在齿科银汞合金和汞合金器械的标签中描述下列物理性质：</w:t>
      </w:r>
    </w:p>
    <w:p w14:paraId="08F66F51">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抗压强度</w:t>
      </w:r>
      <w:r>
        <w:rPr>
          <w:rFonts w:ascii="Times New Roman" w:hAnsi="Times New Roman" w:cs="Times New Roman"/>
          <w:kern w:val="0"/>
          <w:sz w:val="15"/>
          <w:szCs w:val="15"/>
        </w:rPr>
        <w:t>(MPa) @ 24</w:t>
      </w:r>
      <w:r>
        <w:rPr>
          <w:rFonts w:hint="eastAsia" w:ascii="Times New Roman" w:hAnsi="宋体" w:cs="Times New Roman"/>
          <w:kern w:val="0"/>
          <w:sz w:val="15"/>
          <w:szCs w:val="15"/>
        </w:rPr>
        <w:t>小时</w:t>
      </w:r>
    </w:p>
    <w:p w14:paraId="28D28287">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固化过程中的尺寸变化</w:t>
      </w:r>
      <w:r>
        <w:rPr>
          <w:rFonts w:ascii="Times New Roman" w:hAnsi="Times New Roman" w:cs="Times New Roman"/>
          <w:kern w:val="0"/>
          <w:sz w:val="15"/>
          <w:szCs w:val="15"/>
        </w:rPr>
        <w:t>(%)</w:t>
      </w:r>
    </w:p>
    <w:p w14:paraId="2C5EFA4C">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研碎时间（秒）</w:t>
      </w:r>
    </w:p>
    <w:p w14:paraId="3DCFF30F">
      <w:pPr>
        <w:widowControl/>
        <w:numPr>
          <w:ilvl w:val="0"/>
          <w:numId w:val="4"/>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工作时间（分钟）</w:t>
      </w:r>
    </w:p>
    <w:p w14:paraId="568F2E3E">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C. </w:t>
      </w:r>
      <w:r>
        <w:rPr>
          <w:rFonts w:hint="eastAsia" w:ascii="Times New Roman" w:hAnsi="宋体" w:cs="Times New Roman"/>
          <w:b/>
          <w:bCs/>
          <w:kern w:val="0"/>
          <w:sz w:val="19"/>
          <w:szCs w:val="19"/>
        </w:rPr>
        <w:t>警告</w:t>
      </w:r>
    </w:p>
    <w:p w14:paraId="56A1CD79">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建议你在齿科银汞合金和水银器械的标签中包括下述警告，向专业医护人员告知可能发生的水银暴露风险：</w:t>
      </w:r>
    </w:p>
    <w:p w14:paraId="59377C60">
      <w:pPr>
        <w:widowControl/>
        <w:numPr>
          <w:ilvl w:val="0"/>
          <w:numId w:val="6"/>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b/>
          <w:bCs/>
          <w:kern w:val="0"/>
          <w:sz w:val="15"/>
          <w:szCs w:val="15"/>
        </w:rPr>
        <w:t>警告</w:t>
      </w:r>
      <w:r>
        <w:rPr>
          <w:rFonts w:ascii="Times New Roman" w:hAnsi="Times New Roman" w:cs="Times New Roman"/>
          <w:b/>
          <w:bCs/>
          <w:kern w:val="0"/>
          <w:sz w:val="15"/>
          <w:szCs w:val="15"/>
        </w:rPr>
        <w:t xml:space="preserve"> –</w:t>
      </w:r>
      <w:r>
        <w:rPr>
          <w:rFonts w:hint="eastAsia" w:ascii="Times New Roman" w:hAnsi="宋体" w:cs="Times New Roman"/>
          <w:b/>
          <w:bCs/>
          <w:kern w:val="0"/>
          <w:sz w:val="15"/>
          <w:szCs w:val="15"/>
        </w:rPr>
        <w:t>含水银</w:t>
      </w:r>
    </w:p>
    <w:p w14:paraId="33BAC50F">
      <w:pPr>
        <w:widowControl/>
        <w:numPr>
          <w:ilvl w:val="0"/>
          <w:numId w:val="6"/>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吸入水银蒸气有可能造成伤害</w:t>
      </w:r>
    </w:p>
    <w:p w14:paraId="32E40334">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D. </w:t>
      </w:r>
      <w:r>
        <w:rPr>
          <w:rFonts w:hint="eastAsia" w:ascii="Times New Roman" w:hAnsi="宋体" w:cs="Times New Roman"/>
          <w:b/>
          <w:bCs/>
          <w:kern w:val="0"/>
          <w:sz w:val="19"/>
          <w:szCs w:val="19"/>
        </w:rPr>
        <w:t>禁忌证</w:t>
      </w:r>
    </w:p>
    <w:p w14:paraId="41892ED9">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建议你在齿科银汞合金和水银器械的标签中包括下述适应证：</w:t>
      </w:r>
    </w:p>
    <w:p w14:paraId="483AEEC6">
      <w:pPr>
        <w:widowControl/>
        <w:numPr>
          <w:ilvl w:val="0"/>
          <w:numId w:val="7"/>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已知对水银过敏者不可使用本品</w:t>
      </w:r>
    </w:p>
    <w:p w14:paraId="09D53DC6">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E. </w:t>
      </w:r>
      <w:r>
        <w:rPr>
          <w:rFonts w:hint="eastAsia" w:ascii="Times New Roman" w:hAnsi="宋体" w:cs="Times New Roman"/>
          <w:b/>
          <w:bCs/>
          <w:kern w:val="0"/>
          <w:sz w:val="19"/>
          <w:szCs w:val="19"/>
        </w:rPr>
        <w:t>注意事项</w:t>
      </w:r>
    </w:p>
    <w:p w14:paraId="4DEF3AE5">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建议你在齿科银汞合金、水银和汞合金器械的标签中包括下述关于器械使用的注意事项：</w:t>
      </w:r>
    </w:p>
    <w:p w14:paraId="421A5473">
      <w:pPr>
        <w:widowControl/>
        <w:numPr>
          <w:ilvl w:val="0"/>
          <w:numId w:val="8"/>
        </w:numPr>
        <w:shd w:val="clear" w:color="auto" w:fill="FFFFFF"/>
        <w:spacing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本品不可与其他类型金属直接接触</w:t>
      </w:r>
    </w:p>
    <w:p w14:paraId="3F479B3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使用时充分通风</w:t>
      </w:r>
    </w:p>
    <w:p w14:paraId="18A568A6">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一次性使用</w:t>
      </w:r>
    </w:p>
    <w:p w14:paraId="27C842FD">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Pr>
          <w:rFonts w:hint="eastAsia" w:ascii="Times New Roman" w:hAnsi="宋体" w:cs="Times New Roman"/>
          <w:kern w:val="0"/>
          <w:sz w:val="15"/>
          <w:szCs w:val="15"/>
        </w:rPr>
        <w:t>贮存于通风良好的阴凉处</w:t>
      </w:r>
    </w:p>
    <w:p w14:paraId="63C7AA14">
      <w:pPr>
        <w:widowControl/>
        <w:shd w:val="clear" w:color="auto" w:fill="FFFFFF"/>
        <w:spacing w:before="236" w:after="118"/>
        <w:ind w:firstLine="0"/>
        <w:outlineLvl w:val="3"/>
        <w:rPr>
          <w:rFonts w:ascii="Times New Roman" w:hAnsi="Times New Roman" w:cs="Times New Roman"/>
          <w:b/>
          <w:bCs/>
          <w:kern w:val="0"/>
          <w:sz w:val="19"/>
          <w:szCs w:val="19"/>
        </w:rPr>
      </w:pPr>
      <w:r>
        <w:rPr>
          <w:rFonts w:ascii="Times New Roman" w:hAnsi="Times New Roman" w:cs="Times New Roman"/>
          <w:b/>
          <w:bCs/>
          <w:kern w:val="0"/>
          <w:sz w:val="19"/>
          <w:szCs w:val="19"/>
        </w:rPr>
        <w:t xml:space="preserve">F. </w:t>
      </w:r>
      <w:r>
        <w:rPr>
          <w:rFonts w:hint="eastAsia" w:ascii="Times New Roman" w:hAnsi="宋体" w:cs="Times New Roman"/>
          <w:b/>
          <w:bCs/>
          <w:kern w:val="0"/>
          <w:sz w:val="19"/>
          <w:szCs w:val="19"/>
        </w:rPr>
        <w:t>使用信息</w:t>
      </w:r>
    </w:p>
    <w:p w14:paraId="1998CF16">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齿科银汞合金曾经是、目前仍然是牙医学中最常用的修复材料之一。尽管银汞合金已被成功应用多年，但与这种器械有关的风险仍然存在争议。为了确保眼科医生可以针对其患者做出恰当的治疗决策，重要的一点是提供相关的信息帮助牙科医生了解与齿科银汞合金（及其水银含量）有关的科学知识的复杂性。</w:t>
      </w:r>
    </w:p>
    <w:p w14:paraId="1EB5A2AD">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ascii="Times New Roman" w:hAnsi="Times New Roman" w:cs="Times New Roman"/>
          <w:kern w:val="0"/>
          <w:sz w:val="15"/>
          <w:szCs w:val="15"/>
        </w:rPr>
        <w:t>FDA</w:t>
      </w:r>
      <w:r>
        <w:rPr>
          <w:rFonts w:hint="eastAsia" w:ascii="Times New Roman" w:hAnsi="宋体" w:cs="Times New Roman"/>
          <w:kern w:val="0"/>
          <w:sz w:val="15"/>
          <w:szCs w:val="15"/>
        </w:rPr>
        <w:t>建议你在齿科银汞合金、水银和汞合金器械的标签中添加下列关于器械使用方法的声明，并指出齿科专业人员在制定个体化的治疗推荐方案时应该考虑这一信息：</w:t>
      </w:r>
    </w:p>
    <w:p w14:paraId="601073DF">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w:t>
      </w:r>
      <w:r>
        <w:rPr>
          <w:rFonts w:hint="eastAsia" w:ascii="Times New Roman" w:hAnsi="宋体" w:cs="Times New Roman"/>
          <w:kern w:val="0"/>
          <w:sz w:val="15"/>
          <w:szCs w:val="15"/>
        </w:rPr>
        <w:t>研究表明，从强度、边缘完整性、对大咬合面的适用性和耐久性的角度来讲，齿科银汞合金是一种有效的修复材料，能够使患者获益</w:t>
      </w:r>
      <w:r>
        <w:fldChar w:fldCharType="begin"/>
      </w:r>
      <w:r>
        <w:instrText xml:space="preserve"> HYPERLINK "https://www.fda.gov/medicaldevices/deviceregulationandguidance/guidancedocuments/ucm073311.htm" \l "ft14" </w:instrText>
      </w:r>
      <w:r>
        <w:fldChar w:fldCharType="separate"/>
      </w:r>
      <w:r>
        <w:rPr>
          <w:rFonts w:ascii="Times New Roman" w:hAnsi="Times New Roman" w:cs="Times New Roman"/>
          <w:kern w:val="0"/>
          <w:sz w:val="15"/>
          <w:szCs w:val="15"/>
          <w:u w:val="single"/>
          <w:vertAlign w:val="superscript"/>
        </w:rPr>
        <w:t>14</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。齿科银汞合金还会释放出低水平的水银蒸气；有研究表明，在较高的暴露水平下，齿科银汞合金可以产生不良的神经学和肾脏效应</w:t>
      </w:r>
      <w:r>
        <w:fldChar w:fldCharType="begin"/>
      </w:r>
      <w:r>
        <w:instrText xml:space="preserve"> HYPERLINK "https://www.fda.gov/medicaldevices/deviceregulationandguidance/guidancedocuments/ucm073311.htm" \l "ft15" </w:instrText>
      </w:r>
      <w:r>
        <w:fldChar w:fldCharType="separate"/>
      </w:r>
      <w:r>
        <w:rPr>
          <w:rFonts w:ascii="Times New Roman" w:hAnsi="Times New Roman" w:cs="Times New Roman"/>
          <w:kern w:val="0"/>
          <w:sz w:val="15"/>
          <w:szCs w:val="15"/>
          <w:u w:val="single"/>
          <w:vertAlign w:val="superscript"/>
        </w:rPr>
        <w:t>15</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。植入后以及移除齿科银汞合金的即刻，水银蒸气的浓度是最高的，随后逐渐下降。</w:t>
      </w:r>
    </w:p>
    <w:p w14:paraId="68447D55">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对于成年人以及年龄在</w:t>
      </w:r>
      <w:r>
        <w:rPr>
          <w:rFonts w:ascii="Times New Roman" w:hAnsi="Times New Roman" w:cs="Times New Roman"/>
          <w:kern w:val="0"/>
          <w:sz w:val="15"/>
          <w:szCs w:val="15"/>
        </w:rPr>
        <w:t>6</w:t>
      </w:r>
      <w:r>
        <w:rPr>
          <w:rFonts w:hint="eastAsia" w:ascii="Times New Roman" w:hAnsi="宋体" w:cs="Times New Roman"/>
          <w:kern w:val="0"/>
          <w:sz w:val="15"/>
          <w:szCs w:val="15"/>
        </w:rPr>
        <w:t>岁及以上的儿童，临床研究并未证明齿科银汞合金和不良的健康效应之间存在因果关系。另外，在</w:t>
      </w:r>
      <w:r>
        <w:rPr>
          <w:rFonts w:ascii="Times New Roman" w:hAnsi="Times New Roman" w:cs="Times New Roman"/>
          <w:kern w:val="0"/>
          <w:sz w:val="15"/>
          <w:szCs w:val="15"/>
        </w:rPr>
        <w:t>6</w:t>
      </w:r>
      <w:r>
        <w:rPr>
          <w:rFonts w:hint="eastAsia" w:ascii="Times New Roman" w:hAnsi="宋体" w:cs="Times New Roman"/>
          <w:kern w:val="0"/>
          <w:sz w:val="15"/>
          <w:szCs w:val="15"/>
        </w:rPr>
        <w:t>岁及以上儿童中开展的两项临床研究中并未观察到与银汞合金使用有关的神经学或者肾脏损伤</w:t>
      </w:r>
      <w:r>
        <w:fldChar w:fldCharType="begin"/>
      </w:r>
      <w:r>
        <w:instrText xml:space="preserve"> HYPERLINK "https://www.fda.gov/medicaldevices/deviceregulationandguidance/guidancedocuments/ucm073311.htm" \l "ft11" </w:instrText>
      </w:r>
      <w:r>
        <w:fldChar w:fldCharType="separate"/>
      </w:r>
      <w:r>
        <w:rPr>
          <w:rFonts w:ascii="Times New Roman" w:hAnsi="Times New Roman" w:cs="Times New Roman"/>
          <w:kern w:val="0"/>
          <w:sz w:val="15"/>
          <w:szCs w:val="15"/>
          <w:u w:val="single"/>
          <w:vertAlign w:val="superscript"/>
        </w:rPr>
        <w:t>16</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0C16DCB4">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胎儿和年幼儿童的正处于发育中的神经系统可能对水银蒸气的神经毒性效应更加敏感。关于妊娠女性及其发育中的婴儿、年龄低于</w:t>
      </w:r>
      <w:r>
        <w:rPr>
          <w:rFonts w:ascii="Times New Roman" w:hAnsi="Times New Roman" w:cs="Times New Roman"/>
          <w:kern w:val="0"/>
          <w:sz w:val="15"/>
          <w:szCs w:val="15"/>
        </w:rPr>
        <w:t>6</w:t>
      </w:r>
      <w:r>
        <w:rPr>
          <w:rFonts w:hint="eastAsia" w:ascii="Times New Roman" w:hAnsi="宋体" w:cs="Times New Roman"/>
          <w:kern w:val="0"/>
          <w:sz w:val="15"/>
          <w:szCs w:val="15"/>
        </w:rPr>
        <w:t>岁的儿童（包括接受母乳喂养的幼儿）的长期健康结局，相关的临床信息非常有限，或者没有。</w:t>
      </w:r>
    </w:p>
    <w:p w14:paraId="5FABFCE1">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有毒物质和疾病注册部（</w:t>
      </w:r>
      <w:r>
        <w:rPr>
          <w:rFonts w:ascii="Times New Roman" w:hAnsi="Times New Roman" w:cs="Times New Roman"/>
          <w:kern w:val="0"/>
          <w:sz w:val="15"/>
          <w:szCs w:val="15"/>
        </w:rPr>
        <w:t>ATSDR</w:t>
      </w:r>
      <w:r>
        <w:rPr>
          <w:rFonts w:hint="eastAsia" w:ascii="Times New Roman" w:hAnsi="宋体" w:cs="Times New Roman"/>
          <w:kern w:val="0"/>
          <w:sz w:val="15"/>
          <w:szCs w:val="15"/>
        </w:rPr>
        <w:t>）以及环境保护署（</w:t>
      </w:r>
      <w:r>
        <w:rPr>
          <w:rFonts w:ascii="Times New Roman" w:hAnsi="Times New Roman" w:cs="Times New Roman"/>
          <w:kern w:val="0"/>
          <w:sz w:val="15"/>
          <w:szCs w:val="15"/>
        </w:rPr>
        <w:t>EPA</w:t>
      </w:r>
      <w:r>
        <w:rPr>
          <w:rFonts w:hint="eastAsia" w:ascii="Times New Roman" w:hAnsi="宋体" w:cs="Times New Roman"/>
          <w:kern w:val="0"/>
          <w:sz w:val="15"/>
          <w:szCs w:val="15"/>
        </w:rPr>
        <w:t>）已经从有效保护人们免遭不良健康效应的角度出发确定了水银蒸气的暴露限值，包括针对敏感亚群（例如妊娠女性及其发育中的胎儿、正在接受母乳喂养的幼儿和年龄低于</w:t>
      </w:r>
      <w:r>
        <w:rPr>
          <w:rFonts w:ascii="Times New Roman" w:hAnsi="Times New Roman" w:cs="Times New Roman"/>
          <w:kern w:val="0"/>
          <w:sz w:val="15"/>
          <w:szCs w:val="15"/>
        </w:rPr>
        <w:t>6</w:t>
      </w:r>
      <w:r>
        <w:rPr>
          <w:rFonts w:hint="eastAsia" w:ascii="Times New Roman" w:hAnsi="宋体" w:cs="Times New Roman"/>
          <w:kern w:val="0"/>
          <w:sz w:val="15"/>
          <w:szCs w:val="15"/>
        </w:rPr>
        <w:t>岁的儿童）的数值</w:t>
      </w:r>
      <w:r>
        <w:fldChar w:fldCharType="begin"/>
      </w:r>
      <w:r>
        <w:instrText xml:space="preserve"> HYPERLINK "https://www.fda.gov/medicaldevices/deviceregulationandguidance/guidancedocuments/ucm073311.htm" \l "ft17" </w:instrText>
      </w:r>
      <w:r>
        <w:fldChar w:fldCharType="separate"/>
      </w:r>
      <w:r>
        <w:rPr>
          <w:rFonts w:ascii="Times New Roman" w:hAnsi="Times New Roman" w:cs="Times New Roman"/>
          <w:kern w:val="0"/>
          <w:sz w:val="15"/>
          <w:szCs w:val="15"/>
          <w:u w:val="single"/>
          <w:vertAlign w:val="superscript"/>
        </w:rPr>
        <w:t>17</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。超过这些水平并不意味着一定会出现不良效应。</w:t>
      </w:r>
    </w:p>
    <w:p w14:paraId="20892061">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发现，采用最可靠方法进行的科学研究已经阐明，成年人对齿科银汞合金的暴露量低于或者接近于</w:t>
      </w:r>
      <w:r>
        <w:rPr>
          <w:rFonts w:ascii="Times New Roman" w:hAnsi="Times New Roman" w:cs="Times New Roman"/>
          <w:kern w:val="0"/>
          <w:sz w:val="15"/>
          <w:szCs w:val="15"/>
        </w:rPr>
        <w:t>ATSDR</w:t>
      </w:r>
      <w:r>
        <w:rPr>
          <w:rFonts w:hint="eastAsia" w:ascii="Times New Roman" w:hAnsi="宋体" w:cs="Times New Roman"/>
          <w:kern w:val="0"/>
          <w:sz w:val="15"/>
          <w:szCs w:val="15"/>
        </w:rPr>
        <w:t>和</w:t>
      </w:r>
      <w:r>
        <w:rPr>
          <w:rFonts w:ascii="Times New Roman" w:hAnsi="Times New Roman" w:cs="Times New Roman"/>
          <w:kern w:val="0"/>
          <w:sz w:val="15"/>
          <w:szCs w:val="15"/>
        </w:rPr>
        <w:t>EPA</w:t>
      </w:r>
      <w:r>
        <w:rPr>
          <w:rFonts w:hint="eastAsia" w:ascii="Times New Roman" w:hAnsi="宋体" w:cs="Times New Roman"/>
          <w:kern w:val="0"/>
          <w:sz w:val="15"/>
          <w:szCs w:val="15"/>
        </w:rPr>
        <w:t>确定的保护性暴露水平。根据这些发现和临床数据，</w:t>
      </w:r>
      <w:r>
        <w:rPr>
          <w:rFonts w:ascii="Times New Roman" w:hAnsi="Times New Roman" w:cs="Times New Roman"/>
          <w:kern w:val="0"/>
          <w:sz w:val="15"/>
          <w:szCs w:val="15"/>
        </w:rPr>
        <w:t>FDA</w:t>
      </w:r>
      <w:r>
        <w:rPr>
          <w:rFonts w:hint="eastAsia" w:ascii="Times New Roman" w:hAnsi="宋体" w:cs="Times New Roman"/>
          <w:kern w:val="0"/>
          <w:sz w:val="15"/>
          <w:szCs w:val="15"/>
        </w:rPr>
        <w:t>得出结论：对于年龄为</w:t>
      </w:r>
      <w:r>
        <w:rPr>
          <w:rFonts w:ascii="Times New Roman" w:hAnsi="Times New Roman" w:cs="Times New Roman"/>
          <w:kern w:val="0"/>
          <w:sz w:val="15"/>
          <w:szCs w:val="15"/>
        </w:rPr>
        <w:t>6</w:t>
      </w:r>
      <w:r>
        <w:rPr>
          <w:rFonts w:hint="eastAsia" w:ascii="Times New Roman" w:hAnsi="宋体" w:cs="Times New Roman"/>
          <w:kern w:val="0"/>
          <w:sz w:val="15"/>
          <w:szCs w:val="15"/>
        </w:rPr>
        <w:t>岁及以上的人群，暴露于齿科银汞合金产生的水银蒸气并不会引发水银相关的不良健康效应。</w:t>
      </w:r>
    </w:p>
    <w:p w14:paraId="6DD2B41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考虑到诸如牙齿数量和大小以及呼吸量和速率之类的因素，</w:t>
      </w:r>
      <w:r>
        <w:rPr>
          <w:rFonts w:ascii="Times New Roman" w:hAnsi="Times New Roman" w:cs="Times New Roman"/>
          <w:kern w:val="0"/>
          <w:sz w:val="15"/>
          <w:szCs w:val="15"/>
        </w:rPr>
        <w:t>FDA</w:t>
      </w:r>
      <w:r>
        <w:rPr>
          <w:rFonts w:hint="eastAsia" w:ascii="Times New Roman" w:hAnsi="宋体" w:cs="Times New Roman"/>
          <w:kern w:val="0"/>
          <w:sz w:val="15"/>
          <w:szCs w:val="15"/>
        </w:rPr>
        <w:t>估计，应用齿科银汞合金的</w:t>
      </w:r>
      <w:r>
        <w:rPr>
          <w:rFonts w:ascii="Times New Roman" w:hAnsi="Times New Roman" w:cs="Times New Roman"/>
          <w:kern w:val="0"/>
          <w:sz w:val="15"/>
          <w:szCs w:val="15"/>
        </w:rPr>
        <w:t>6</w:t>
      </w:r>
      <w:r>
        <w:rPr>
          <w:rFonts w:hint="eastAsia" w:ascii="Times New Roman" w:hAnsi="宋体" w:cs="Times New Roman"/>
          <w:kern w:val="0"/>
          <w:sz w:val="15"/>
          <w:szCs w:val="15"/>
        </w:rPr>
        <w:t>岁以下儿童的估计日均水银暴露量低于估算的成年人日均暴露量。因此，儿童的暴露水平应该低于</w:t>
      </w:r>
      <w:r>
        <w:rPr>
          <w:rFonts w:ascii="Times New Roman" w:hAnsi="Times New Roman" w:cs="Times New Roman"/>
          <w:kern w:val="0"/>
          <w:sz w:val="15"/>
          <w:szCs w:val="15"/>
        </w:rPr>
        <w:t>ATSDR</w:t>
      </w:r>
      <w:r>
        <w:rPr>
          <w:rFonts w:hint="eastAsia" w:ascii="Times New Roman" w:hAnsi="宋体" w:cs="Times New Roman"/>
          <w:kern w:val="0"/>
          <w:sz w:val="15"/>
          <w:szCs w:val="15"/>
        </w:rPr>
        <w:t>和</w:t>
      </w:r>
      <w:r>
        <w:rPr>
          <w:rFonts w:ascii="Times New Roman" w:hAnsi="Times New Roman" w:cs="Times New Roman"/>
          <w:kern w:val="0"/>
          <w:sz w:val="15"/>
          <w:szCs w:val="15"/>
        </w:rPr>
        <w:t>EPA</w:t>
      </w:r>
      <w:r>
        <w:rPr>
          <w:rFonts w:hint="eastAsia" w:ascii="Times New Roman" w:hAnsi="宋体" w:cs="Times New Roman"/>
          <w:kern w:val="0"/>
          <w:sz w:val="15"/>
          <w:szCs w:val="15"/>
        </w:rPr>
        <w:t>确定的保护性暴露水平。</w:t>
      </w:r>
    </w:p>
    <w:p w14:paraId="10FA171B">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另外，就经口暴露于无机汞而言，估算的可归因于齿科银汞合金的母乳中的水银浓度比</w:t>
      </w:r>
      <w:r>
        <w:rPr>
          <w:rFonts w:ascii="Times New Roman" w:hAnsi="Times New Roman" w:cs="Times New Roman"/>
          <w:kern w:val="0"/>
          <w:sz w:val="15"/>
          <w:szCs w:val="15"/>
        </w:rPr>
        <w:t>EPA</w:t>
      </w:r>
      <w:r>
        <w:rPr>
          <w:rFonts w:hint="eastAsia" w:ascii="Times New Roman" w:hAnsi="宋体" w:cs="Times New Roman"/>
          <w:kern w:val="0"/>
          <w:sz w:val="15"/>
          <w:szCs w:val="15"/>
        </w:rPr>
        <w:t>确定的保护性参考剂量低一个数量级。</w:t>
      </w:r>
      <w:r>
        <w:rPr>
          <w:rFonts w:ascii="Times New Roman" w:hAnsi="Times New Roman" w:cs="Times New Roman"/>
          <w:kern w:val="0"/>
          <w:sz w:val="15"/>
          <w:szCs w:val="15"/>
        </w:rPr>
        <w:t>FDA</w:t>
      </w:r>
      <w:r>
        <w:rPr>
          <w:rFonts w:hint="eastAsia" w:ascii="Times New Roman" w:hAnsi="宋体" w:cs="Times New Roman"/>
          <w:kern w:val="0"/>
          <w:sz w:val="15"/>
          <w:szCs w:val="15"/>
        </w:rPr>
        <w:t>得出结论：目前的数据可支持这一说法，即暴露于齿科银汞合金产生的水银蒸气的女性对其幼儿进行母乳喂养并不会对幼儿造成不良的健康影响。</w:t>
      </w:r>
      <w:r>
        <w:rPr>
          <w:rFonts w:ascii="Times New Roman" w:hAnsi="Times New Roman" w:cs="Times New Roman"/>
          <w:kern w:val="0"/>
          <w:sz w:val="15"/>
          <w:szCs w:val="15"/>
        </w:rPr>
        <w:t>”</w:t>
      </w:r>
    </w:p>
    <w:p w14:paraId="36D62FD0">
      <w:pPr>
        <w:widowControl/>
        <w:spacing w:beforeLines="20" w:after="330"/>
        <w:ind w:firstLine="0"/>
        <w:rPr>
          <w:rFonts w:ascii="Times New Roman" w:hAnsi="宋体" w:cs="Times New Roman"/>
          <w:b/>
          <w:kern w:val="0"/>
          <w:sz w:val="15"/>
          <w:szCs w:val="15"/>
          <w:u w:val="single"/>
        </w:rPr>
      </w:pPr>
      <w:r>
        <w:rPr>
          <w:rFonts w:hint="eastAsia" w:ascii="Times New Roman" w:hAnsi="宋体" w:cs="Times New Roman"/>
          <w:b/>
          <w:kern w:val="0"/>
          <w:sz w:val="15"/>
          <w:szCs w:val="15"/>
          <w:u w:val="single"/>
        </w:rPr>
        <w:t>返回顶部</w:t>
      </w:r>
    </w:p>
    <w:p w14:paraId="15ECF03B">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4" o:spt="1" style="height:0pt;width:0pt;" fillcolor="#333333" filled="t" stroked="f" coordsize="21600,21600" o:hr="t" o:hrstd="t" o:hrnoshade="t" o:hralign="center">
            <v:path/>
            <v:fill on="t" focussize="0,0"/>
            <v:stroke on="f"/>
            <v:imagedata o:title=""/>
            <o:lock v:ext="edit"/>
            <w10:wrap type="none"/>
            <w10:anchorlock/>
          </v:rect>
        </w:pict>
      </w:r>
    </w:p>
    <w:p w14:paraId="49CF375A">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br w:type="page"/>
      </w:r>
      <w:r>
        <w:rPr>
          <w:rFonts w:ascii="Times New Roman" w:hAnsi="Times New Roman" w:cs="Times New Roman"/>
          <w:kern w:val="0"/>
          <w:sz w:val="15"/>
          <w:szCs w:val="15"/>
          <w:vertAlign w:val="superscript"/>
        </w:rPr>
        <w:t>1</w:t>
      </w:r>
      <w:r>
        <w:rPr>
          <w:rFonts w:ascii="Times New Roman" w:hAnsi="Times New Roman" w:cs="Times New Roman"/>
          <w:kern w:val="0"/>
          <w:sz w:val="15"/>
          <w:szCs w:val="15"/>
        </w:rPr>
        <w:t> FDA</w:t>
      </w:r>
      <w:r>
        <w:rPr>
          <w:rFonts w:hint="eastAsia" w:ascii="Times New Roman" w:hAnsi="宋体" w:cs="Times New Roman"/>
          <w:kern w:val="0"/>
          <w:sz w:val="15"/>
          <w:szCs w:val="15"/>
        </w:rPr>
        <w:t>已经不再使用术语</w:t>
      </w:r>
      <w:r>
        <w:rPr>
          <w:rFonts w:ascii="Times New Roman" w:hAnsi="Times New Roman" w:cs="Times New Roman"/>
          <w:kern w:val="0"/>
          <w:sz w:val="15"/>
          <w:szCs w:val="15"/>
        </w:rPr>
        <w:t>“</w:t>
      </w:r>
      <w:r>
        <w:rPr>
          <w:rFonts w:hint="eastAsia" w:ascii="Times New Roman" w:hAnsi="宋体" w:cs="Times New Roman"/>
          <w:kern w:val="0"/>
          <w:sz w:val="15"/>
          <w:szCs w:val="15"/>
        </w:rPr>
        <w:t>齿科水银</w:t>
      </w:r>
      <w:r>
        <w:rPr>
          <w:rFonts w:ascii="Times New Roman" w:hAnsi="Times New Roman" w:cs="Times New Roman"/>
          <w:kern w:val="0"/>
          <w:sz w:val="15"/>
          <w:szCs w:val="15"/>
        </w:rPr>
        <w:t>”</w:t>
      </w:r>
      <w:r>
        <w:rPr>
          <w:rFonts w:hint="eastAsia" w:ascii="Times New Roman" w:hAnsi="宋体" w:cs="Times New Roman"/>
          <w:kern w:val="0"/>
          <w:sz w:val="15"/>
          <w:szCs w:val="15"/>
        </w:rPr>
        <w:t>，而是使用</w:t>
      </w:r>
      <w:r>
        <w:rPr>
          <w:rFonts w:ascii="Times New Roman" w:hAnsi="Times New Roman" w:cs="Times New Roman"/>
          <w:kern w:val="0"/>
          <w:sz w:val="15"/>
          <w:szCs w:val="15"/>
        </w:rPr>
        <w:t>“</w:t>
      </w:r>
      <w:r>
        <w:rPr>
          <w:rFonts w:hint="eastAsia" w:ascii="Times New Roman" w:hAnsi="宋体" w:cs="Times New Roman"/>
          <w:kern w:val="0"/>
          <w:sz w:val="15"/>
          <w:szCs w:val="15"/>
        </w:rPr>
        <w:t>水银</w:t>
      </w:r>
      <w:r>
        <w:rPr>
          <w:rFonts w:ascii="Times New Roman" w:hAnsi="Times New Roman" w:cs="Times New Roman"/>
          <w:kern w:val="0"/>
          <w:sz w:val="15"/>
          <w:szCs w:val="15"/>
        </w:rPr>
        <w:t>”</w:t>
      </w:r>
      <w:r>
        <w:rPr>
          <w:rFonts w:hint="eastAsia" w:ascii="Times New Roman" w:hAnsi="宋体" w:cs="Times New Roman"/>
          <w:kern w:val="0"/>
          <w:sz w:val="15"/>
          <w:szCs w:val="15"/>
        </w:rPr>
        <w:t>来更加准确地反映出齿科银汞合金中使用的水银为元素态的汞。</w:t>
      </w:r>
    </w:p>
    <w:p w14:paraId="781640A8">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ascii="Times New Roman" w:hAnsi="Times New Roman" w:cs="Times New Roman"/>
          <w:kern w:val="0"/>
          <w:sz w:val="15"/>
          <w:szCs w:val="15"/>
          <w:vertAlign w:val="superscript"/>
        </w:rPr>
        <w:t>2</w:t>
      </w:r>
      <w:r>
        <w:rPr>
          <w:rFonts w:ascii="Times New Roman" w:hAnsi="Times New Roman" w:cs="Times New Roman"/>
          <w:kern w:val="0"/>
          <w:sz w:val="15"/>
          <w:szCs w:val="15"/>
        </w:rPr>
        <w:t> </w:t>
      </w:r>
      <w:r>
        <w:fldChar w:fldCharType="begin"/>
      </w:r>
      <w:r>
        <w:instrText xml:space="preserve"> HYPERLINK "https://www.fda.gov/MedicalDevices/DeviceRegulationandGuidance/GuidanceDocuments/ucm084365.htm" </w:instrText>
      </w:r>
      <w:r>
        <w:fldChar w:fldCharType="separate"/>
      </w:r>
      <w:r>
        <w:rPr>
          <w:rFonts w:ascii="Times New Roman" w:hAnsi="Times New Roman" w:cs="Times New Roman"/>
          <w:kern w:val="0"/>
          <w:sz w:val="15"/>
          <w:szCs w:val="15"/>
          <w:u w:val="single"/>
        </w:rPr>
        <w:t>http://www.fda.gov/MedicalDevices/ DeviceRegulationandGuidance/GuidanceDocuments/ ucm084365.htm</w:t>
      </w:r>
      <w:r>
        <w:rPr>
          <w:rFonts w:ascii="Times New Roman" w:hAnsi="Times New Roman" w:cs="Times New Roman"/>
          <w:kern w:val="0"/>
          <w:sz w:val="15"/>
          <w:szCs w:val="15"/>
          <w:u w:val="single"/>
        </w:rPr>
        <w:fldChar w:fldCharType="end"/>
      </w:r>
    </w:p>
    <w:p w14:paraId="12346366">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ascii="Times New Roman" w:hAnsi="Times New Roman" w:cs="Times New Roman"/>
          <w:kern w:val="0"/>
          <w:sz w:val="15"/>
          <w:szCs w:val="15"/>
          <w:vertAlign w:val="superscript"/>
        </w:rPr>
        <w:t>3 </w:t>
      </w:r>
      <w:r>
        <w:fldChar w:fldCharType="begin"/>
      </w:r>
      <w:r>
        <w:instrText xml:space="preserve"> HYPERLINK "https://www.fda.gov/MedicalDevices/DeviceRegulationandGuidance/HowtoMarketYourDevice/PremarketSubmissions/PremarketNotification510k/default.htm" </w:instrText>
      </w:r>
      <w:r>
        <w:fldChar w:fldCharType="separate"/>
      </w:r>
      <w:r>
        <w:rPr>
          <w:rFonts w:ascii="Times New Roman" w:hAnsi="Times New Roman" w:cs="Times New Roman"/>
          <w:kern w:val="0"/>
          <w:sz w:val="15"/>
          <w:szCs w:val="15"/>
          <w:u w:val="single"/>
        </w:rPr>
        <w:t>http://www.fda.gov/MedicalDevices/ DeviceRegulationandGuidance/HowtoMarketYourDevice/ PremarketSubmissions/PremarketNotification510k/default.htm</w:t>
      </w:r>
      <w:r>
        <w:rPr>
          <w:rFonts w:ascii="Times New Roman" w:hAnsi="Times New Roman" w:cs="Times New Roman"/>
          <w:kern w:val="0"/>
          <w:sz w:val="15"/>
          <w:szCs w:val="15"/>
          <w:u w:val="single"/>
        </w:rPr>
        <w:fldChar w:fldCharType="end"/>
      </w:r>
    </w:p>
    <w:p w14:paraId="488FC2F9">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ascii="Times New Roman" w:hAnsi="Times New Roman" w:cs="Times New Roman"/>
          <w:kern w:val="0"/>
          <w:sz w:val="15"/>
          <w:szCs w:val="15"/>
          <w:vertAlign w:val="superscript"/>
        </w:rPr>
        <w:t>4</w:t>
      </w:r>
      <w:r>
        <w:rPr>
          <w:rFonts w:ascii="Times New Roman" w:hAnsi="Times New Roman" w:cs="Times New Roman"/>
          <w:kern w:val="0"/>
          <w:sz w:val="15"/>
          <w:szCs w:val="15"/>
        </w:rPr>
        <w:t> </w:t>
      </w:r>
      <w:r>
        <w:fldChar w:fldCharType="begin"/>
      </w:r>
      <w:r>
        <w:instrText xml:space="preserve"> HYPERLINK "https://www.fda.gov/MedicalDevices/DeviceRegulationandGuidance/GuidanceDocuments/ucm080187.htm" </w:instrText>
      </w:r>
      <w:r>
        <w:fldChar w:fldCharType="separate"/>
      </w:r>
      <w:r>
        <w:rPr>
          <w:rFonts w:ascii="Times New Roman" w:hAnsi="Times New Roman" w:cs="Times New Roman"/>
          <w:kern w:val="0"/>
          <w:sz w:val="15"/>
          <w:szCs w:val="15"/>
          <w:u w:val="single"/>
        </w:rPr>
        <w:t>http://www.fda.gov/MedicalDevices/ DeviceRegulationandGuidance/GuidanceDocuments/ ucm080187.htm</w:t>
      </w:r>
      <w:r>
        <w:rPr>
          <w:rFonts w:ascii="Times New Roman" w:hAnsi="Times New Roman" w:cs="Times New Roman"/>
          <w:kern w:val="0"/>
          <w:sz w:val="15"/>
          <w:szCs w:val="15"/>
          <w:u w:val="single"/>
        </w:rPr>
        <w:fldChar w:fldCharType="end"/>
      </w:r>
    </w:p>
    <w:p w14:paraId="1FF64237">
      <w:pPr>
        <w:widowControl/>
        <w:shd w:val="clear" w:color="auto" w:fill="FFFFFF"/>
        <w:spacing w:before="240" w:after="240" w:line="207" w:lineRule="atLeast"/>
        <w:ind w:firstLine="0"/>
        <w:jc w:val="left"/>
        <w:rPr>
          <w:rFonts w:ascii="Times New Roman" w:hAnsi="Times New Roman" w:cs="Times New Roman"/>
          <w:kern w:val="0"/>
          <w:sz w:val="15"/>
          <w:szCs w:val="15"/>
        </w:rPr>
      </w:pPr>
      <w:r>
        <w:rPr>
          <w:rFonts w:ascii="Times New Roman" w:hAnsi="Times New Roman" w:cs="Times New Roman"/>
          <w:kern w:val="0"/>
          <w:sz w:val="15"/>
          <w:szCs w:val="15"/>
          <w:vertAlign w:val="superscript"/>
        </w:rPr>
        <w:t>5</w:t>
      </w:r>
      <w:r>
        <w:rPr>
          <w:rFonts w:ascii="Times New Roman" w:hAnsi="Times New Roman" w:cs="Times New Roman"/>
          <w:kern w:val="0"/>
          <w:sz w:val="15"/>
          <w:szCs w:val="15"/>
        </w:rPr>
        <w:t> </w:t>
      </w:r>
      <w:r>
        <w:fldChar w:fldCharType="begin"/>
      </w:r>
      <w:r>
        <w:instrText xml:space="preserve"> HYPERLINK "https://www.fda.gov/MedicalDevices/DeviceRegulationandGuidance/HowtoMarketYourDevice/PremarketSubmissions/PremarketNotification510k/default.htm" </w:instrText>
      </w:r>
      <w:r>
        <w:fldChar w:fldCharType="separate"/>
      </w:r>
      <w:r>
        <w:rPr>
          <w:rFonts w:ascii="Times New Roman" w:hAnsi="Times New Roman" w:cs="Times New Roman"/>
          <w:kern w:val="0"/>
          <w:sz w:val="15"/>
          <w:szCs w:val="15"/>
          <w:u w:val="single"/>
        </w:rPr>
        <w:t>http://www.fda.gov/MedicalDevices/ DeviceRegulationandGuidance/HowtoMarketYourDevice/ PremarketSubmissions/PremarketNotification510k/default.htm</w:t>
      </w:r>
      <w:r>
        <w:rPr>
          <w:rFonts w:ascii="Times New Roman" w:hAnsi="Times New Roman" w:cs="Times New Roman"/>
          <w:kern w:val="0"/>
          <w:sz w:val="15"/>
          <w:szCs w:val="15"/>
          <w:u w:val="single"/>
        </w:rPr>
        <w:fldChar w:fldCharType="end"/>
      </w:r>
    </w:p>
    <w:p w14:paraId="6D9028C8">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6</w:t>
      </w:r>
      <w:r>
        <w:rPr>
          <w:rFonts w:ascii="Times New Roman" w:hAnsi="Times New Roman" w:cs="Times New Roman"/>
          <w:kern w:val="0"/>
          <w:sz w:val="15"/>
          <w:szCs w:val="15"/>
        </w:rPr>
        <w:t> </w:t>
      </w:r>
      <w:r>
        <w:rPr>
          <w:rFonts w:hint="eastAsia" w:ascii="Times New Roman" w:hAnsi="宋体" w:cs="Times New Roman"/>
          <w:kern w:val="0"/>
          <w:sz w:val="15"/>
          <w:szCs w:val="15"/>
        </w:rPr>
        <w:t>最终规则的序言部分详细描述了</w:t>
      </w:r>
      <w:r>
        <w:rPr>
          <w:rFonts w:ascii="Times New Roman" w:hAnsi="Times New Roman" w:cs="Times New Roman"/>
          <w:kern w:val="0"/>
          <w:sz w:val="15"/>
          <w:szCs w:val="15"/>
        </w:rPr>
        <w:t>FDA</w:t>
      </w:r>
      <w:r>
        <w:rPr>
          <w:rFonts w:hint="eastAsia" w:ascii="Times New Roman" w:hAnsi="宋体" w:cs="Times New Roman"/>
          <w:kern w:val="0"/>
          <w:sz w:val="15"/>
          <w:szCs w:val="15"/>
        </w:rPr>
        <w:t>已确认的该器械可能带来的风险，并解释了本指导意见中的推荐意见如何来解决这些风险。</w:t>
      </w:r>
    </w:p>
    <w:p w14:paraId="1FB41353">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7</w:t>
      </w:r>
      <w:r>
        <w:rPr>
          <w:rFonts w:ascii="Times New Roman" w:hAnsi="Times New Roman" w:cs="Times New Roman"/>
          <w:kern w:val="0"/>
          <w:sz w:val="15"/>
          <w:szCs w:val="15"/>
        </w:rPr>
        <w:t> </w:t>
      </w:r>
      <w:r>
        <w:rPr>
          <w:rFonts w:hint="eastAsia" w:ascii="Times New Roman" w:hAnsi="宋体" w:cs="Times New Roman"/>
          <w:kern w:val="0"/>
          <w:sz w:val="15"/>
          <w:szCs w:val="15"/>
        </w:rPr>
        <w:t>对成品进行测试，因为水银和汞合金并不会单独使用，而是必须混合起来形成齿科银汞合金。</w:t>
      </w:r>
    </w:p>
    <w:p w14:paraId="750A2A87">
      <w:pPr>
        <w:widowControl/>
        <w:shd w:val="clear" w:color="auto" w:fill="FFFFFF"/>
        <w:spacing w:before="240" w:after="240" w:line="207" w:lineRule="atLeast"/>
        <w:ind w:firstLine="0"/>
        <w:rPr>
          <w:rFonts w:ascii="Times New Roman" w:hAnsi="Times New Roman" w:cs="Times New Roman"/>
          <w:sz w:val="15"/>
          <w:szCs w:val="15"/>
        </w:rPr>
      </w:pPr>
      <w:r>
        <w:rPr>
          <w:rFonts w:ascii="Times New Roman" w:hAnsi="Times New Roman" w:cs="Times New Roman"/>
          <w:kern w:val="0"/>
          <w:sz w:val="15"/>
          <w:szCs w:val="15"/>
          <w:vertAlign w:val="superscript"/>
        </w:rPr>
        <w:t>8</w:t>
      </w:r>
      <w:r>
        <w:rPr>
          <w:rFonts w:ascii="Times New Roman" w:hAnsi="Times New Roman" w:cs="Times New Roman"/>
          <w:kern w:val="0"/>
          <w:sz w:val="15"/>
          <w:szCs w:val="15"/>
        </w:rPr>
        <w:t> </w:t>
      </w:r>
      <w:r>
        <w:fldChar w:fldCharType="begin"/>
      </w:r>
      <w:r>
        <w:instrText xml:space="preserve"> HYPERLINK "http://www.cas.org/expertise/cascontent/registry/index.html" </w:instrText>
      </w:r>
      <w:r>
        <w:fldChar w:fldCharType="separate"/>
      </w:r>
      <w:r>
        <w:rPr>
          <w:rFonts w:ascii="Times New Roman" w:hAnsi="Times New Roman" w:cs="Times New Roman"/>
          <w:kern w:val="0"/>
          <w:sz w:val="15"/>
          <w:szCs w:val="15"/>
          <w:u w:val="single"/>
        </w:rPr>
        <w:t>http://www.cas.org/expertise/cascontent/registry/index.html</w:t>
      </w:r>
      <w:r>
        <w:rPr>
          <w:rFonts w:ascii="Times New Roman" w:hAnsi="Times New Roman" w:cs="Times New Roman"/>
          <w:kern w:val="0"/>
          <w:sz w:val="15"/>
          <w:szCs w:val="15"/>
          <w:u w:val="single"/>
        </w:rPr>
        <w:fldChar w:fldCharType="end"/>
      </w:r>
    </w:p>
    <w:p w14:paraId="6AE93DC9">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9</w:t>
      </w:r>
      <w:r>
        <w:rPr>
          <w:rFonts w:ascii="Times New Roman" w:hAnsi="Times New Roman" w:cs="Times New Roman"/>
          <w:kern w:val="0"/>
          <w:sz w:val="15"/>
          <w:szCs w:val="15"/>
        </w:rPr>
        <w:t> </w:t>
      </w:r>
      <w:r>
        <w:rPr>
          <w:rFonts w:hint="eastAsia" w:ascii="Times New Roman" w:hAnsi="宋体" w:cs="Times New Roman"/>
          <w:kern w:val="0"/>
          <w:sz w:val="15"/>
          <w:szCs w:val="15"/>
        </w:rPr>
        <w:t>这包括以胶囊包裹形式提供的齿科银汞合金。</w:t>
      </w:r>
    </w:p>
    <w:p w14:paraId="2013040E">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10</w:t>
      </w:r>
      <w:r>
        <w:rPr>
          <w:rFonts w:ascii="Times New Roman" w:hAnsi="Times New Roman" w:cs="Times New Roman"/>
          <w:kern w:val="0"/>
          <w:sz w:val="15"/>
          <w:szCs w:val="15"/>
        </w:rPr>
        <w:t> </w:t>
      </w:r>
      <w:r>
        <w:rPr>
          <w:rFonts w:hint="eastAsia" w:ascii="Times New Roman" w:hAnsi="宋体" w:cs="Times New Roman"/>
          <w:kern w:val="0"/>
          <w:sz w:val="15"/>
          <w:szCs w:val="15"/>
        </w:rPr>
        <w:t>采用齿科银汞合金的成品形式测定汞合金的物理性质。</w:t>
      </w:r>
    </w:p>
    <w:p w14:paraId="085C33A0">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11</w:t>
      </w:r>
      <w:r>
        <w:rPr>
          <w:rFonts w:ascii="Times New Roman" w:hAnsi="Times New Roman" w:cs="Times New Roman"/>
          <w:kern w:val="0"/>
          <w:sz w:val="15"/>
          <w:szCs w:val="15"/>
        </w:rPr>
        <w:t> </w:t>
      </w:r>
      <w:r>
        <w:rPr>
          <w:rFonts w:hint="eastAsia" w:ascii="Times New Roman" w:hAnsi="宋体" w:cs="Times New Roman"/>
          <w:kern w:val="0"/>
          <w:sz w:val="15"/>
          <w:szCs w:val="15"/>
        </w:rPr>
        <w:t>见附件</w:t>
      </w:r>
      <w:r>
        <w:rPr>
          <w:rFonts w:ascii="Times New Roman" w:hAnsi="Times New Roman" w:cs="Times New Roman"/>
          <w:kern w:val="0"/>
          <w:sz w:val="15"/>
          <w:szCs w:val="15"/>
        </w:rPr>
        <w:t>A</w:t>
      </w:r>
      <w:r>
        <w:rPr>
          <w:rFonts w:hint="eastAsia" w:ascii="Times New Roman" w:hAnsi="宋体" w:cs="Times New Roman"/>
          <w:kern w:val="0"/>
          <w:sz w:val="15"/>
          <w:szCs w:val="15"/>
        </w:rPr>
        <w:t>，齿科银汞合金浸泡腐蚀的测定，</w:t>
      </w:r>
      <w:r>
        <w:rPr>
          <w:rFonts w:ascii="Times New Roman" w:hAnsi="Times New Roman" w:cs="Times New Roman"/>
          <w:kern w:val="0"/>
          <w:sz w:val="15"/>
          <w:szCs w:val="15"/>
        </w:rPr>
        <w:t>ISO 24234:2004(E)</w:t>
      </w:r>
    </w:p>
    <w:p w14:paraId="0275D3BE">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12</w:t>
      </w:r>
      <w:r>
        <w:rPr>
          <w:rFonts w:ascii="Times New Roman" w:hAnsi="Times New Roman" w:cs="Times New Roman"/>
          <w:kern w:val="0"/>
          <w:sz w:val="15"/>
          <w:szCs w:val="15"/>
        </w:rPr>
        <w:t> </w:t>
      </w:r>
      <w:r>
        <w:rPr>
          <w:rFonts w:hint="eastAsia" w:ascii="Times New Roman" w:hAnsi="宋体" w:cs="Times New Roman"/>
          <w:kern w:val="0"/>
          <w:sz w:val="15"/>
          <w:szCs w:val="15"/>
        </w:rPr>
        <w:t>成品的临床前评估是一种判断生物相容性的有用指标，而针对器械的各成分（水银或者汞合金）进行临床前测试并不是有用的方法。</w:t>
      </w:r>
    </w:p>
    <w:p w14:paraId="2F7E11FB">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13</w:t>
      </w:r>
      <w:r>
        <w:rPr>
          <w:rFonts w:ascii="Times New Roman" w:hAnsi="Times New Roman" w:cs="Times New Roman"/>
          <w:kern w:val="0"/>
          <w:sz w:val="15"/>
          <w:szCs w:val="15"/>
        </w:rPr>
        <w:t> </w:t>
      </w:r>
      <w:r>
        <w:rPr>
          <w:rFonts w:hint="eastAsia" w:ascii="Times New Roman" w:hAnsi="宋体" w:cs="Times New Roman"/>
          <w:kern w:val="0"/>
          <w:sz w:val="15"/>
          <w:szCs w:val="15"/>
        </w:rPr>
        <w:t>尽管最终标签并不是签发</w:t>
      </w:r>
      <w:r>
        <w:rPr>
          <w:rFonts w:ascii="Times New Roman" w:hAnsi="Times New Roman" w:cs="Times New Roman"/>
          <w:kern w:val="0"/>
          <w:sz w:val="15"/>
          <w:szCs w:val="15"/>
        </w:rPr>
        <w:t>510(k)</w:t>
      </w:r>
      <w:r>
        <w:rPr>
          <w:rFonts w:hint="eastAsia" w:ascii="Times New Roman" w:hAnsi="宋体" w:cs="Times New Roman"/>
          <w:kern w:val="0"/>
          <w:sz w:val="15"/>
          <w:szCs w:val="15"/>
        </w:rPr>
        <w:t>的必备条件，但最终标签也必须满足</w:t>
      </w:r>
      <w:r>
        <w:rPr>
          <w:rFonts w:ascii="Times New Roman" w:hAnsi="Times New Roman" w:cs="Times New Roman"/>
          <w:kern w:val="0"/>
          <w:sz w:val="15"/>
          <w:szCs w:val="15"/>
        </w:rPr>
        <w:t>21 CFR Part 801</w:t>
      </w:r>
      <w:r>
        <w:rPr>
          <w:rFonts w:hint="eastAsia" w:ascii="Times New Roman" w:hAnsi="宋体" w:cs="Times New Roman"/>
          <w:kern w:val="0"/>
          <w:sz w:val="15"/>
          <w:szCs w:val="15"/>
        </w:rPr>
        <w:t>的要求，医疗器械才可以进入州际贸易。另外，处方医疗器械的最终标签必须满足</w:t>
      </w:r>
      <w:r>
        <w:rPr>
          <w:rFonts w:ascii="Times New Roman" w:hAnsi="Times New Roman" w:cs="Times New Roman"/>
          <w:kern w:val="0"/>
          <w:sz w:val="15"/>
          <w:szCs w:val="15"/>
        </w:rPr>
        <w:t>21 CFR 801.109</w:t>
      </w:r>
      <w:r>
        <w:rPr>
          <w:rFonts w:hint="eastAsia" w:ascii="Times New Roman" w:hAnsi="宋体" w:cs="Times New Roman"/>
          <w:kern w:val="0"/>
          <w:sz w:val="15"/>
          <w:szCs w:val="15"/>
        </w:rPr>
        <w:t>的要求。本指导意见中关于标签的推荐意见与</w:t>
      </w:r>
      <w:r>
        <w:rPr>
          <w:rFonts w:hint="eastAsia" w:ascii="Times New Roman" w:hAnsi="Times New Roman" w:cs="Times New Roman"/>
          <w:kern w:val="0"/>
          <w:sz w:val="15"/>
          <w:szCs w:val="15"/>
        </w:rPr>
        <w:t>第</w:t>
      </w:r>
      <w:r>
        <w:rPr>
          <w:rFonts w:ascii="Times New Roman" w:hAnsi="Times New Roman" w:cs="Times New Roman"/>
          <w:kern w:val="0"/>
          <w:sz w:val="15"/>
          <w:szCs w:val="15"/>
        </w:rPr>
        <w:t>801</w:t>
      </w:r>
      <w:r>
        <w:rPr>
          <w:rFonts w:hint="eastAsia" w:ascii="Times New Roman" w:hAnsi="Times New Roman" w:cs="Times New Roman"/>
          <w:kern w:val="0"/>
          <w:sz w:val="15"/>
          <w:szCs w:val="15"/>
        </w:rPr>
        <w:t>部分</w:t>
      </w:r>
      <w:r>
        <w:rPr>
          <w:rFonts w:hint="eastAsia" w:ascii="Times New Roman" w:hAnsi="宋体" w:cs="Times New Roman"/>
          <w:kern w:val="0"/>
          <w:sz w:val="15"/>
          <w:szCs w:val="15"/>
        </w:rPr>
        <w:t>的要求是一致的。</w:t>
      </w:r>
    </w:p>
    <w:p w14:paraId="60EC70D5">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14</w:t>
      </w:r>
      <w:r>
        <w:rPr>
          <w:rFonts w:ascii="Times New Roman" w:hAnsi="Times New Roman" w:cs="Times New Roman"/>
          <w:kern w:val="0"/>
          <w:sz w:val="15"/>
          <w:szCs w:val="15"/>
        </w:rPr>
        <w:t> Dental Amalgam: A Scientific Review and Recommended Public Health Service Strategy for Research, Education and Regulation; Public Health Service, U.S. Department of Health and Human Services, January 1993.</w:t>
      </w:r>
    </w:p>
    <w:p w14:paraId="0220DDD8">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15</w:t>
      </w:r>
      <w:r>
        <w:rPr>
          <w:rFonts w:ascii="Times New Roman" w:hAnsi="Times New Roman" w:cs="Times New Roman"/>
          <w:kern w:val="0"/>
          <w:sz w:val="15"/>
          <w:szCs w:val="15"/>
        </w:rPr>
        <w:t> Liu, J. et al., “Toxic effects of metals,” </w:t>
      </w:r>
      <w:r>
        <w:rPr>
          <w:rFonts w:ascii="Times New Roman" w:hAnsi="Times New Roman" w:cs="Times New Roman"/>
          <w:kern w:val="0"/>
          <w:sz w:val="15"/>
          <w:szCs w:val="15"/>
          <w:u w:val="single"/>
        </w:rPr>
        <w:t>Casarett&amp;Doull’s Toxicology: The Basic Science of Poisons</w:t>
      </w:r>
      <w:r>
        <w:rPr>
          <w:rFonts w:ascii="Times New Roman" w:hAnsi="Times New Roman" w:cs="Times New Roman"/>
          <w:kern w:val="0"/>
          <w:sz w:val="15"/>
          <w:szCs w:val="15"/>
        </w:rPr>
        <w:t>, Chapter 23, pp. 931-979, McGraw-Hill Medical, New York, New York, 2008.</w:t>
      </w:r>
      <w:r>
        <w:rPr>
          <w:rFonts w:ascii="Times New Roman" w:hAnsi="Times New Roman" w:cs="Times New Roman"/>
          <w:kern w:val="0"/>
          <w:sz w:val="15"/>
          <w:szCs w:val="15"/>
        </w:rPr>
        <w:br w:type="textWrapping"/>
      </w:r>
      <w:r>
        <w:rPr>
          <w:rFonts w:ascii="Times New Roman" w:hAnsi="Times New Roman" w:cs="Times New Roman"/>
          <w:kern w:val="0"/>
          <w:sz w:val="15"/>
          <w:szCs w:val="15"/>
        </w:rPr>
        <w:t>Clarkson, T.W. et al., “The Toxicology of Mercury and Its Chemical Compounds,” </w:t>
      </w:r>
      <w:r>
        <w:rPr>
          <w:rFonts w:ascii="Times New Roman" w:hAnsi="Times New Roman" w:cs="Times New Roman"/>
          <w:kern w:val="0"/>
          <w:sz w:val="15"/>
          <w:szCs w:val="15"/>
          <w:u w:val="single"/>
        </w:rPr>
        <w:t>Critical Reviews in Toxicology</w:t>
      </w:r>
      <w:r>
        <w:rPr>
          <w:rFonts w:ascii="Times New Roman" w:hAnsi="Times New Roman" w:cs="Times New Roman"/>
          <w:kern w:val="0"/>
          <w:sz w:val="15"/>
          <w:szCs w:val="15"/>
        </w:rPr>
        <w:t>, Vol. 36, pp. 609-662, 2006.</w:t>
      </w:r>
    </w:p>
    <w:p w14:paraId="6B82CA0A">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16</w:t>
      </w:r>
      <w:r>
        <w:rPr>
          <w:rFonts w:ascii="Times New Roman" w:hAnsi="Times New Roman" w:cs="Times New Roman"/>
          <w:kern w:val="0"/>
          <w:sz w:val="15"/>
          <w:szCs w:val="15"/>
        </w:rPr>
        <w:t> De Rouen, T. et al., “Neurobehavioral Effects of Dental Amalgam in Children, A Randomized Clinical Trial,”</w:t>
      </w:r>
      <w:r>
        <w:rPr>
          <w:rFonts w:ascii="Times New Roman" w:hAnsi="Times New Roman" w:cs="Times New Roman"/>
          <w:kern w:val="0"/>
          <w:sz w:val="15"/>
          <w:szCs w:val="15"/>
          <w:u w:val="single"/>
        </w:rPr>
        <w:t>Journal of the American Medical Association</w:t>
      </w:r>
      <w:r>
        <w:rPr>
          <w:rFonts w:ascii="Times New Roman" w:hAnsi="Times New Roman" w:cs="Times New Roman"/>
          <w:kern w:val="0"/>
          <w:sz w:val="15"/>
          <w:szCs w:val="15"/>
        </w:rPr>
        <w:t>, Vol. 295, 1784-1792,No. 15, April, 19, 2006.</w:t>
      </w:r>
      <w:r>
        <w:rPr>
          <w:rFonts w:ascii="Times New Roman" w:hAnsi="Times New Roman" w:cs="Times New Roman"/>
          <w:kern w:val="0"/>
          <w:sz w:val="15"/>
          <w:szCs w:val="15"/>
        </w:rPr>
        <w:br w:type="textWrapping"/>
      </w:r>
      <w:r>
        <w:rPr>
          <w:rFonts w:ascii="Times New Roman" w:hAnsi="Times New Roman" w:cs="Times New Roman"/>
          <w:kern w:val="0"/>
          <w:sz w:val="15"/>
          <w:szCs w:val="15"/>
        </w:rPr>
        <w:t>Bellinger, D.C. et al., “Neuropsychological and Renal Effects of Dental Amalgam in Children: A Randomized Clinical Trial,” </w:t>
      </w:r>
      <w:r>
        <w:rPr>
          <w:rFonts w:ascii="Times New Roman" w:hAnsi="Times New Roman" w:cs="Times New Roman"/>
          <w:kern w:val="0"/>
          <w:sz w:val="15"/>
          <w:szCs w:val="15"/>
          <w:u w:val="single"/>
        </w:rPr>
        <w:t>Journal of the American Medical Association</w:t>
      </w:r>
      <w:r>
        <w:rPr>
          <w:rFonts w:ascii="Times New Roman" w:hAnsi="Times New Roman" w:cs="Times New Roman"/>
          <w:kern w:val="0"/>
          <w:sz w:val="15"/>
          <w:szCs w:val="15"/>
        </w:rPr>
        <w:t>, Vol. 295, No. 15, April 19, 2006, 1775-1783, 2006.</w:t>
      </w:r>
      <w:r>
        <w:rPr>
          <w:rFonts w:ascii="Times New Roman" w:hAnsi="Times New Roman" w:cs="Times New Roman"/>
          <w:kern w:val="0"/>
          <w:sz w:val="15"/>
          <w:szCs w:val="15"/>
        </w:rPr>
        <w:br w:type="textWrapping"/>
      </w:r>
      <w:r>
        <w:rPr>
          <w:rFonts w:ascii="Times New Roman" w:hAnsi="Times New Roman" w:cs="Times New Roman"/>
          <w:kern w:val="0"/>
          <w:sz w:val="15"/>
          <w:szCs w:val="15"/>
        </w:rPr>
        <w:t>Barregard, L. et al., “Renal Effects of Dental Amalgam in Children: The New England Children’s Amalgam Trial,”</w:t>
      </w:r>
      <w:r>
        <w:rPr>
          <w:rFonts w:ascii="Times New Roman" w:hAnsi="Times New Roman" w:cs="Times New Roman"/>
          <w:kern w:val="0"/>
          <w:sz w:val="15"/>
          <w:szCs w:val="15"/>
          <w:u w:val="single"/>
        </w:rPr>
        <w:t>Environmental Health Perspectives</w:t>
      </w:r>
      <w:r>
        <w:rPr>
          <w:rFonts w:ascii="Times New Roman" w:hAnsi="Times New Roman" w:cs="Times New Roman"/>
          <w:kern w:val="0"/>
          <w:sz w:val="15"/>
          <w:szCs w:val="15"/>
        </w:rPr>
        <w:t>, Volume 116, 394-399,,No. 3, March 2008.</w:t>
      </w:r>
      <w:r>
        <w:rPr>
          <w:rFonts w:ascii="Times New Roman" w:hAnsi="Times New Roman" w:cs="Times New Roman"/>
          <w:kern w:val="0"/>
          <w:sz w:val="15"/>
          <w:szCs w:val="15"/>
        </w:rPr>
        <w:br w:type="textWrapping"/>
      </w:r>
      <w:r>
        <w:rPr>
          <w:rFonts w:ascii="Times New Roman" w:hAnsi="Times New Roman" w:cs="Times New Roman"/>
          <w:kern w:val="0"/>
          <w:sz w:val="15"/>
          <w:szCs w:val="15"/>
        </w:rPr>
        <w:t>Woods, J.S. et al., “Biomarkers of Kidney Integrity in Children and Adolescents with Dental Amalgam Mercury Exposure: Findings from the Casa Pia Children’s Amalgam Trial,” </w:t>
      </w:r>
      <w:r>
        <w:rPr>
          <w:rFonts w:ascii="Times New Roman" w:hAnsi="Times New Roman" w:cs="Times New Roman"/>
          <w:kern w:val="0"/>
          <w:sz w:val="15"/>
          <w:szCs w:val="15"/>
          <w:u w:val="single"/>
        </w:rPr>
        <w:t>Environmental Research</w:t>
      </w:r>
      <w:r>
        <w:rPr>
          <w:rFonts w:ascii="Times New Roman" w:hAnsi="Times New Roman" w:cs="Times New Roman"/>
          <w:kern w:val="0"/>
          <w:sz w:val="15"/>
          <w:szCs w:val="15"/>
        </w:rPr>
        <w:t>, Vol. 108, pp. 393-399, 2008.</w:t>
      </w:r>
      <w:r>
        <w:rPr>
          <w:rFonts w:ascii="Times New Roman" w:hAnsi="Times New Roman" w:cs="Times New Roman"/>
          <w:kern w:val="0"/>
          <w:sz w:val="15"/>
          <w:szCs w:val="15"/>
        </w:rPr>
        <w:br w:type="textWrapping"/>
      </w:r>
      <w:r>
        <w:rPr>
          <w:rFonts w:ascii="Times New Roman" w:hAnsi="Times New Roman" w:cs="Times New Roman"/>
          <w:kern w:val="0"/>
          <w:sz w:val="15"/>
          <w:szCs w:val="15"/>
        </w:rPr>
        <w:t>Lauterbach, M. et al., “Neurological Outcomes in Children with and Without Amalgam-Related Mercury Exposure: Seven Years of Longitudinal Observations in a Randomized Trial,” </w:t>
      </w:r>
      <w:r>
        <w:rPr>
          <w:rFonts w:ascii="Times New Roman" w:hAnsi="Times New Roman" w:cs="Times New Roman"/>
          <w:kern w:val="0"/>
          <w:sz w:val="15"/>
          <w:szCs w:val="15"/>
          <w:u w:val="single"/>
        </w:rPr>
        <w:t>Journal of the American Dental Association</w:t>
      </w:r>
      <w:r>
        <w:rPr>
          <w:rFonts w:ascii="Times New Roman" w:hAnsi="Times New Roman" w:cs="Times New Roman"/>
          <w:kern w:val="0"/>
          <w:sz w:val="15"/>
          <w:szCs w:val="15"/>
        </w:rPr>
        <w:t>, Vol. 139, 138-145, February 2008.</w:t>
      </w:r>
    </w:p>
    <w:p w14:paraId="43A56A72">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17</w:t>
      </w:r>
      <w:r>
        <w:rPr>
          <w:rFonts w:ascii="Times New Roman" w:hAnsi="Times New Roman" w:cs="Times New Roman"/>
          <w:kern w:val="0"/>
          <w:sz w:val="15"/>
          <w:szCs w:val="15"/>
        </w:rPr>
        <w:t> Agency for Toxic Substances and Disease Registry (ATSDR) and Research Triangle Institute, </w:t>
      </w:r>
      <w:r>
        <w:rPr>
          <w:rFonts w:ascii="Times New Roman" w:hAnsi="Times New Roman" w:cs="Times New Roman"/>
          <w:kern w:val="0"/>
          <w:sz w:val="15"/>
          <w:szCs w:val="15"/>
          <w:u w:val="single"/>
        </w:rPr>
        <w:t>Toxicological profile for mercury</w:t>
      </w:r>
      <w:r>
        <w:rPr>
          <w:rFonts w:ascii="Times New Roman" w:hAnsi="Times New Roman" w:cs="Times New Roman"/>
          <w:kern w:val="0"/>
          <w:sz w:val="15"/>
          <w:szCs w:val="15"/>
        </w:rPr>
        <w:t>, U.S. Dept. of Health and Human Services, Public Health Service, Atlanta, Georgia, 1999.</w:t>
      </w:r>
      <w:r>
        <w:rPr>
          <w:rFonts w:ascii="Times New Roman" w:hAnsi="Times New Roman" w:cs="Times New Roman"/>
          <w:kern w:val="0"/>
          <w:sz w:val="15"/>
          <w:szCs w:val="15"/>
        </w:rPr>
        <w:br w:type="textWrapping"/>
      </w:r>
      <w:r>
        <w:rPr>
          <w:rFonts w:ascii="Times New Roman" w:hAnsi="Times New Roman" w:cs="Times New Roman"/>
          <w:kern w:val="0"/>
          <w:sz w:val="15"/>
          <w:szCs w:val="15"/>
        </w:rPr>
        <w:t>United States Environmental Protection Agency (EPA), “Integrated Risk Information System (IRIS) Screening-Level literature Review” – Mercury, elemental, 2002.</w:t>
      </w:r>
    </w:p>
    <w:p w14:paraId="16C231D6">
      <w:pPr>
        <w:ind w:firstLine="0"/>
        <w:rPr>
          <w:rFonts w:ascii="Times New Roman" w:hAnsi="Times New Roman" w:cs="Times New Roman"/>
          <w:sz w:val="15"/>
          <w:szCs w:val="15"/>
        </w:rPr>
      </w:pPr>
    </w:p>
    <w:p w14:paraId="3EECE374">
      <w:pPr>
        <w:widowControl/>
        <w:shd w:val="clear" w:color="auto" w:fill="FFFFFF"/>
        <w:spacing w:before="240" w:after="240" w:line="207" w:lineRule="atLeast"/>
        <w:ind w:firstLine="0"/>
        <w:rPr>
          <w:rFonts w:hint="eastAsia" w:eastAsia="宋体"/>
          <w:lang w:eastAsia="zh-CN"/>
        </w:rPr>
      </w:pPr>
    </w:p>
    <w:p w14:paraId="5AB17CB8">
      <w:pPr>
        <w:widowControl/>
        <w:shd w:val="clear" w:color="auto" w:fill="FFFFFF"/>
        <w:spacing w:before="240" w:after="240" w:line="207" w:lineRule="atLeast"/>
        <w:ind w:firstLine="0"/>
        <w:jc w:val="center"/>
        <w:rPr>
          <w:rFonts w:hint="eastAsia" w:eastAsia="宋体"/>
          <w:lang w:eastAsia="zh-CN"/>
        </w:rPr>
      </w:pPr>
    </w:p>
    <w:p w14:paraId="0A1D5003">
      <w:pPr>
        <w:widowControl/>
        <w:shd w:val="clear" w:color="auto" w:fill="FFFFFF"/>
        <w:spacing w:before="240" w:after="240" w:line="207" w:lineRule="atLeast"/>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BB5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0A85"/>
    <w:multiLevelType w:val="multilevel"/>
    <w:tmpl w:val="16950A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82B339C"/>
    <w:multiLevelType w:val="multilevel"/>
    <w:tmpl w:val="282B33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7C366A4"/>
    <w:multiLevelType w:val="multilevel"/>
    <w:tmpl w:val="37C366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8525635"/>
    <w:multiLevelType w:val="multilevel"/>
    <w:tmpl w:val="385256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BE84917"/>
    <w:multiLevelType w:val="multilevel"/>
    <w:tmpl w:val="4BE849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C5344C2"/>
    <w:multiLevelType w:val="multilevel"/>
    <w:tmpl w:val="4C5344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A792868"/>
    <w:multiLevelType w:val="multilevel"/>
    <w:tmpl w:val="5A7928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D8965A7"/>
    <w:multiLevelType w:val="multilevel"/>
    <w:tmpl w:val="6D8965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0D1A"/>
    <w:rsid w:val="00010AE1"/>
    <w:rsid w:val="00045867"/>
    <w:rsid w:val="0005744B"/>
    <w:rsid w:val="00074AF6"/>
    <w:rsid w:val="00084E0C"/>
    <w:rsid w:val="000852C9"/>
    <w:rsid w:val="00086DCB"/>
    <w:rsid w:val="000C2EAF"/>
    <w:rsid w:val="000F5186"/>
    <w:rsid w:val="000F5824"/>
    <w:rsid w:val="00100D3C"/>
    <w:rsid w:val="00126D95"/>
    <w:rsid w:val="00134773"/>
    <w:rsid w:val="0015623E"/>
    <w:rsid w:val="00174A8D"/>
    <w:rsid w:val="00193437"/>
    <w:rsid w:val="001967D3"/>
    <w:rsid w:val="001F573F"/>
    <w:rsid w:val="00213CE6"/>
    <w:rsid w:val="0023328D"/>
    <w:rsid w:val="002A6FAA"/>
    <w:rsid w:val="002B24C1"/>
    <w:rsid w:val="002D4C60"/>
    <w:rsid w:val="002D7727"/>
    <w:rsid w:val="00310083"/>
    <w:rsid w:val="00334084"/>
    <w:rsid w:val="0037674B"/>
    <w:rsid w:val="0038581E"/>
    <w:rsid w:val="00387680"/>
    <w:rsid w:val="003C6439"/>
    <w:rsid w:val="003E6C3D"/>
    <w:rsid w:val="00434A7B"/>
    <w:rsid w:val="00446E7E"/>
    <w:rsid w:val="00452259"/>
    <w:rsid w:val="00476BF5"/>
    <w:rsid w:val="004A08F0"/>
    <w:rsid w:val="00525E6B"/>
    <w:rsid w:val="005860A2"/>
    <w:rsid w:val="0059257B"/>
    <w:rsid w:val="0059403F"/>
    <w:rsid w:val="005B5401"/>
    <w:rsid w:val="005C1231"/>
    <w:rsid w:val="005D3390"/>
    <w:rsid w:val="005F071B"/>
    <w:rsid w:val="0060411C"/>
    <w:rsid w:val="0065123C"/>
    <w:rsid w:val="00651508"/>
    <w:rsid w:val="00691C19"/>
    <w:rsid w:val="006E0AB6"/>
    <w:rsid w:val="006F7F1D"/>
    <w:rsid w:val="00730ACF"/>
    <w:rsid w:val="00753426"/>
    <w:rsid w:val="00775E9D"/>
    <w:rsid w:val="00780C2F"/>
    <w:rsid w:val="00782190"/>
    <w:rsid w:val="00782686"/>
    <w:rsid w:val="007A2984"/>
    <w:rsid w:val="007D4843"/>
    <w:rsid w:val="007D65E2"/>
    <w:rsid w:val="007E2FE3"/>
    <w:rsid w:val="007E3AFB"/>
    <w:rsid w:val="007F0D1A"/>
    <w:rsid w:val="0080559B"/>
    <w:rsid w:val="0081279A"/>
    <w:rsid w:val="008464F1"/>
    <w:rsid w:val="00857006"/>
    <w:rsid w:val="008B0822"/>
    <w:rsid w:val="008C7919"/>
    <w:rsid w:val="008D1ABF"/>
    <w:rsid w:val="008F3BA8"/>
    <w:rsid w:val="0090348D"/>
    <w:rsid w:val="00906C64"/>
    <w:rsid w:val="009227E3"/>
    <w:rsid w:val="00934B1B"/>
    <w:rsid w:val="00985123"/>
    <w:rsid w:val="009A1BE8"/>
    <w:rsid w:val="009A4EC7"/>
    <w:rsid w:val="009B1B79"/>
    <w:rsid w:val="009C5653"/>
    <w:rsid w:val="009D1C19"/>
    <w:rsid w:val="00A03202"/>
    <w:rsid w:val="00A05410"/>
    <w:rsid w:val="00A727C2"/>
    <w:rsid w:val="00AB47D8"/>
    <w:rsid w:val="00B16017"/>
    <w:rsid w:val="00B16C24"/>
    <w:rsid w:val="00B16DB0"/>
    <w:rsid w:val="00B30B25"/>
    <w:rsid w:val="00B802A8"/>
    <w:rsid w:val="00B82E04"/>
    <w:rsid w:val="00BA2EA2"/>
    <w:rsid w:val="00BC3F62"/>
    <w:rsid w:val="00C3374A"/>
    <w:rsid w:val="00C51DF1"/>
    <w:rsid w:val="00C56C4D"/>
    <w:rsid w:val="00C6434D"/>
    <w:rsid w:val="00C703D7"/>
    <w:rsid w:val="00C747D0"/>
    <w:rsid w:val="00C77985"/>
    <w:rsid w:val="00C90710"/>
    <w:rsid w:val="00CB2F2B"/>
    <w:rsid w:val="00CC6895"/>
    <w:rsid w:val="00CE5593"/>
    <w:rsid w:val="00D00720"/>
    <w:rsid w:val="00D14355"/>
    <w:rsid w:val="00D47CFC"/>
    <w:rsid w:val="00D64BFB"/>
    <w:rsid w:val="00DB0931"/>
    <w:rsid w:val="00E037FA"/>
    <w:rsid w:val="00E04F29"/>
    <w:rsid w:val="00E12812"/>
    <w:rsid w:val="00E27D10"/>
    <w:rsid w:val="00E601B5"/>
    <w:rsid w:val="00E619E0"/>
    <w:rsid w:val="00E72519"/>
    <w:rsid w:val="00E81F88"/>
    <w:rsid w:val="00EC386D"/>
    <w:rsid w:val="00ED5361"/>
    <w:rsid w:val="00EE29AB"/>
    <w:rsid w:val="00EF00C0"/>
    <w:rsid w:val="00F14902"/>
    <w:rsid w:val="00F21160"/>
    <w:rsid w:val="00F24BC7"/>
    <w:rsid w:val="00F315FF"/>
    <w:rsid w:val="00F44996"/>
    <w:rsid w:val="00F507D5"/>
    <w:rsid w:val="00FC6107"/>
    <w:rsid w:val="00FC6BAB"/>
    <w:rsid w:val="04C80E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ocked="1"/>
    <w:lsdException w:unhideWhenUsed="0" w:uiPriority="99" w:name="toc 2" w:locked="1"/>
    <w:lsdException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Calibri" w:hAnsi="Calibri" w:eastAsia="宋体" w:cs="Calibri"/>
      <w:kern w:val="2"/>
      <w:sz w:val="21"/>
      <w:szCs w:val="21"/>
      <w:lang w:val="en-US" w:eastAsia="zh-CN" w:bidi="ar-SA"/>
    </w:rPr>
  </w:style>
  <w:style w:type="paragraph" w:styleId="2">
    <w:name w:val="heading 1"/>
    <w:basedOn w:val="1"/>
    <w:link w:val="21"/>
    <w:qFormat/>
    <w:uiPriority w:val="99"/>
    <w:pPr>
      <w:widowControl/>
      <w:spacing w:before="100" w:beforeAutospacing="1" w:after="100" w:afterAutospacing="1"/>
      <w:ind w:firstLine="0"/>
      <w:jc w:val="left"/>
      <w:outlineLvl w:val="0"/>
    </w:pPr>
    <w:rPr>
      <w:rFonts w:ascii="宋体" w:hAnsi="宋体" w:cs="宋体"/>
      <w:b/>
      <w:bCs/>
      <w:kern w:val="36"/>
      <w:sz w:val="48"/>
      <w:szCs w:val="48"/>
    </w:rPr>
  </w:style>
  <w:style w:type="paragraph" w:styleId="3">
    <w:name w:val="heading 2"/>
    <w:basedOn w:val="1"/>
    <w:link w:val="22"/>
    <w:qFormat/>
    <w:uiPriority w:val="99"/>
    <w:pPr>
      <w:widowControl/>
      <w:spacing w:before="100" w:beforeAutospacing="1" w:after="100" w:afterAutospacing="1"/>
      <w:ind w:firstLine="0"/>
      <w:jc w:val="left"/>
      <w:outlineLvl w:val="1"/>
    </w:pPr>
    <w:rPr>
      <w:rFonts w:ascii="宋体" w:hAnsi="宋体" w:cs="宋体"/>
      <w:b/>
      <w:bCs/>
      <w:kern w:val="0"/>
      <w:sz w:val="36"/>
      <w:szCs w:val="36"/>
    </w:rPr>
  </w:style>
  <w:style w:type="paragraph" w:styleId="4">
    <w:name w:val="heading 3"/>
    <w:basedOn w:val="1"/>
    <w:link w:val="23"/>
    <w:qFormat/>
    <w:uiPriority w:val="99"/>
    <w:pPr>
      <w:widowControl/>
      <w:spacing w:before="100" w:beforeAutospacing="1" w:after="100" w:afterAutospacing="1"/>
      <w:ind w:firstLine="0"/>
      <w:jc w:val="left"/>
      <w:outlineLvl w:val="2"/>
    </w:pPr>
    <w:rPr>
      <w:rFonts w:ascii="宋体" w:hAnsi="宋体" w:cs="宋体"/>
      <w:b/>
      <w:bCs/>
      <w:kern w:val="0"/>
      <w:sz w:val="27"/>
      <w:szCs w:val="27"/>
    </w:rPr>
  </w:style>
  <w:style w:type="paragraph" w:styleId="5">
    <w:name w:val="heading 4"/>
    <w:basedOn w:val="1"/>
    <w:link w:val="24"/>
    <w:qFormat/>
    <w:uiPriority w:val="99"/>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semiHidden/>
    <w:qFormat/>
    <w:uiPriority w:val="99"/>
    <w:pPr>
      <w:jc w:val="left"/>
    </w:pPr>
  </w:style>
  <w:style w:type="paragraph" w:styleId="7">
    <w:name w:val="toc 3"/>
    <w:basedOn w:val="1"/>
    <w:next w:val="1"/>
    <w:autoRedefine/>
    <w:semiHidden/>
    <w:locked/>
    <w:uiPriority w:val="99"/>
    <w:pPr>
      <w:ind w:left="840" w:leftChars="400"/>
    </w:pPr>
  </w:style>
  <w:style w:type="paragraph" w:styleId="8">
    <w:name w:val="Balloon Text"/>
    <w:basedOn w:val="1"/>
    <w:link w:val="29"/>
    <w:semiHidden/>
    <w:qFormat/>
    <w:uiPriority w:val="99"/>
    <w:rPr>
      <w:sz w:val="18"/>
      <w:szCs w:val="18"/>
    </w:rPr>
  </w:style>
  <w:style w:type="paragraph" w:styleId="9">
    <w:name w:val="footer"/>
    <w:basedOn w:val="1"/>
    <w:link w:val="26"/>
    <w:semiHidden/>
    <w:qFormat/>
    <w:uiPriority w:val="99"/>
    <w:pPr>
      <w:tabs>
        <w:tab w:val="center" w:pos="4153"/>
        <w:tab w:val="right" w:pos="8306"/>
      </w:tabs>
      <w:snapToGrid w:val="0"/>
      <w:jc w:val="left"/>
    </w:pPr>
    <w:rPr>
      <w:sz w:val="18"/>
      <w:szCs w:val="18"/>
    </w:rPr>
  </w:style>
  <w:style w:type="paragraph" w:styleId="10">
    <w:name w:val="header"/>
    <w:basedOn w:val="1"/>
    <w:link w:val="25"/>
    <w:semiHidden/>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locked/>
    <w:uiPriority w:val="99"/>
  </w:style>
  <w:style w:type="paragraph" w:styleId="12">
    <w:name w:val="toc 2"/>
    <w:basedOn w:val="1"/>
    <w:next w:val="1"/>
    <w:autoRedefine/>
    <w:semiHidden/>
    <w:locked/>
    <w:uiPriority w:val="99"/>
    <w:pPr>
      <w:ind w:left="420" w:leftChars="200"/>
    </w:pPr>
  </w:style>
  <w:style w:type="paragraph" w:styleId="13">
    <w:name w:val="Normal (Web)"/>
    <w:basedOn w:val="1"/>
    <w:semiHidden/>
    <w:uiPriority w:val="99"/>
    <w:pPr>
      <w:widowControl/>
      <w:spacing w:before="100" w:beforeAutospacing="1" w:after="100" w:afterAutospacing="1"/>
      <w:ind w:firstLine="0"/>
      <w:jc w:val="left"/>
    </w:pPr>
    <w:rPr>
      <w:rFonts w:ascii="宋体" w:hAnsi="宋体" w:cs="宋体"/>
      <w:kern w:val="0"/>
      <w:sz w:val="24"/>
      <w:szCs w:val="24"/>
    </w:rPr>
  </w:style>
  <w:style w:type="paragraph" w:styleId="14">
    <w:name w:val="annotation subject"/>
    <w:basedOn w:val="6"/>
    <w:next w:val="6"/>
    <w:link w:val="31"/>
    <w:semiHidden/>
    <w:qFormat/>
    <w:uiPriority w:val="99"/>
    <w:rPr>
      <w:b/>
      <w:bCs/>
    </w:rPr>
  </w:style>
  <w:style w:type="character" w:styleId="17">
    <w:name w:val="Strong"/>
    <w:qFormat/>
    <w:uiPriority w:val="99"/>
    <w:rPr>
      <w:rFonts w:cs="Times New Roman"/>
      <w:b/>
      <w:bCs/>
    </w:rPr>
  </w:style>
  <w:style w:type="character" w:styleId="18">
    <w:name w:val="Emphasis"/>
    <w:qFormat/>
    <w:uiPriority w:val="99"/>
    <w:rPr>
      <w:rFonts w:cs="Times New Roman"/>
      <w:i/>
      <w:iCs/>
    </w:rPr>
  </w:style>
  <w:style w:type="character" w:styleId="19">
    <w:name w:val="Hyperlink"/>
    <w:semiHidden/>
    <w:uiPriority w:val="99"/>
    <w:rPr>
      <w:rFonts w:cs="Times New Roman"/>
      <w:color w:val="0000FF"/>
      <w:u w:val="single"/>
    </w:rPr>
  </w:style>
  <w:style w:type="character" w:styleId="20">
    <w:name w:val="annotation reference"/>
    <w:semiHidden/>
    <w:qFormat/>
    <w:uiPriority w:val="99"/>
    <w:rPr>
      <w:rFonts w:cs="Times New Roman"/>
      <w:sz w:val="21"/>
      <w:szCs w:val="21"/>
    </w:rPr>
  </w:style>
  <w:style w:type="character" w:customStyle="1" w:styleId="21">
    <w:name w:val="标题 1 Char"/>
    <w:link w:val="2"/>
    <w:locked/>
    <w:uiPriority w:val="99"/>
    <w:rPr>
      <w:rFonts w:ascii="宋体" w:hAnsi="宋体" w:eastAsia="宋体" w:cs="宋体"/>
      <w:b/>
      <w:bCs/>
      <w:kern w:val="36"/>
      <w:sz w:val="48"/>
      <w:szCs w:val="48"/>
    </w:rPr>
  </w:style>
  <w:style w:type="character" w:customStyle="1" w:styleId="22">
    <w:name w:val="标题 2 Char"/>
    <w:link w:val="3"/>
    <w:locked/>
    <w:uiPriority w:val="99"/>
    <w:rPr>
      <w:rFonts w:ascii="宋体" w:hAnsi="宋体" w:eastAsia="宋体" w:cs="宋体"/>
      <w:b/>
      <w:bCs/>
      <w:kern w:val="0"/>
      <w:sz w:val="36"/>
      <w:szCs w:val="36"/>
    </w:rPr>
  </w:style>
  <w:style w:type="character" w:customStyle="1" w:styleId="23">
    <w:name w:val="标题 3 Char"/>
    <w:link w:val="4"/>
    <w:qFormat/>
    <w:locked/>
    <w:uiPriority w:val="99"/>
    <w:rPr>
      <w:rFonts w:ascii="宋体" w:hAnsi="宋体" w:eastAsia="宋体" w:cs="宋体"/>
      <w:b/>
      <w:bCs/>
      <w:kern w:val="0"/>
      <w:sz w:val="27"/>
      <w:szCs w:val="27"/>
    </w:rPr>
  </w:style>
  <w:style w:type="character" w:customStyle="1" w:styleId="24">
    <w:name w:val="标题 4 Char"/>
    <w:link w:val="5"/>
    <w:locked/>
    <w:uiPriority w:val="99"/>
    <w:rPr>
      <w:rFonts w:ascii="宋体" w:hAnsi="宋体" w:eastAsia="宋体" w:cs="宋体"/>
      <w:b/>
      <w:bCs/>
      <w:kern w:val="0"/>
      <w:sz w:val="24"/>
      <w:szCs w:val="24"/>
    </w:rPr>
  </w:style>
  <w:style w:type="character" w:customStyle="1" w:styleId="25">
    <w:name w:val="页眉 Char"/>
    <w:link w:val="10"/>
    <w:semiHidden/>
    <w:qFormat/>
    <w:locked/>
    <w:uiPriority w:val="99"/>
    <w:rPr>
      <w:rFonts w:cs="Times New Roman"/>
      <w:sz w:val="18"/>
      <w:szCs w:val="18"/>
    </w:rPr>
  </w:style>
  <w:style w:type="character" w:customStyle="1" w:styleId="26">
    <w:name w:val="页脚 Char"/>
    <w:link w:val="9"/>
    <w:semiHidden/>
    <w:qFormat/>
    <w:locked/>
    <w:uiPriority w:val="99"/>
    <w:rPr>
      <w:rFonts w:cs="Times New Roman"/>
      <w:sz w:val="18"/>
      <w:szCs w:val="18"/>
    </w:rPr>
  </w:style>
  <w:style w:type="paragraph" w:customStyle="1" w:styleId="27">
    <w:name w:val="text-right"/>
    <w:basedOn w:val="1"/>
    <w:uiPriority w:val="99"/>
    <w:pPr>
      <w:widowControl/>
      <w:spacing w:before="100" w:beforeAutospacing="1" w:after="100" w:afterAutospacing="1"/>
      <w:ind w:firstLine="0"/>
      <w:jc w:val="left"/>
    </w:pPr>
    <w:rPr>
      <w:rFonts w:ascii="宋体" w:hAnsi="宋体" w:cs="宋体"/>
      <w:kern w:val="0"/>
      <w:sz w:val="24"/>
      <w:szCs w:val="24"/>
    </w:rPr>
  </w:style>
  <w:style w:type="character" w:customStyle="1" w:styleId="28">
    <w:name w:val="apple-converted-space"/>
    <w:qFormat/>
    <w:uiPriority w:val="99"/>
    <w:rPr>
      <w:rFonts w:cs="Times New Roman"/>
    </w:rPr>
  </w:style>
  <w:style w:type="character" w:customStyle="1" w:styleId="29">
    <w:name w:val="批注框文本 Char"/>
    <w:link w:val="8"/>
    <w:semiHidden/>
    <w:locked/>
    <w:uiPriority w:val="99"/>
    <w:rPr>
      <w:rFonts w:cs="Times New Roman"/>
      <w:sz w:val="18"/>
      <w:szCs w:val="18"/>
    </w:rPr>
  </w:style>
  <w:style w:type="character" w:customStyle="1" w:styleId="30">
    <w:name w:val="批注文字 Char"/>
    <w:link w:val="6"/>
    <w:semiHidden/>
    <w:locked/>
    <w:uiPriority w:val="99"/>
    <w:rPr>
      <w:rFonts w:cs="Times New Roman"/>
    </w:rPr>
  </w:style>
  <w:style w:type="character" w:customStyle="1" w:styleId="31">
    <w:name w:val="批注主题 Char"/>
    <w:link w:val="14"/>
    <w:semiHidden/>
    <w:qFormat/>
    <w:locked/>
    <w:uiPriority w:val="99"/>
    <w:rPr>
      <w:rFonts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12</Pages>
  <Words>6029</Words>
  <Characters>8793</Characters>
  <Lines>91</Lines>
  <Paragraphs>25</Paragraphs>
  <TotalTime>425</TotalTime>
  <ScaleCrop>false</ScaleCrop>
  <LinksUpToDate>false</LinksUpToDate>
  <CharactersWithSpaces>9193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2017-03-24T09:03:00Z</dcterms:created>
  <dc:creator>xlmedtrans</dc:creator>
  <cp:lastModifiedBy>太极箫客</cp:lastModifiedBy>
  <dcterms:modified xsi:type="dcterms:W3CDTF">2025-08-14T06:17:20Z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411E99DFC3F44900B8ECCC0F33222F6D_12</vt:lpwstr>
  </property>
</Properties>
</file>