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3898">
      <w:pPr>
        <w:snapToGrid w:val="0"/>
        <w:spacing w:after="180" w:afterLines="75" w:line="300" w:lineRule="auto"/>
        <w:jc w:val="both"/>
        <w:rPr>
          <w:rFonts w:hint="eastAsia" w:ascii="Arial" w:hAnsi="Arial" w:eastAsia="宋体" w:cs="Arial"/>
          <w:sz w:val="24"/>
          <w:szCs w:val="24"/>
        </w:rPr>
      </w:pPr>
      <w:bookmarkStart w:id="66" w:name="_GoBack"/>
      <w:bookmarkEnd w:id="66"/>
    </w:p>
    <w:p w14:paraId="36426A1C">
      <w:pPr>
        <w:snapToGrid w:val="0"/>
        <w:spacing w:after="180" w:afterLines="75" w:line="300" w:lineRule="auto"/>
        <w:jc w:val="both"/>
        <w:rPr>
          <w:rFonts w:ascii="Arial" w:hAnsi="Arial" w:eastAsia="宋体" w:cs="Arial"/>
          <w:sz w:val="24"/>
          <w:szCs w:val="24"/>
        </w:rPr>
      </w:pPr>
    </w:p>
    <w:p w14:paraId="21A52524">
      <w:pPr>
        <w:snapToGrid w:val="0"/>
        <w:spacing w:after="180" w:afterLines="75" w:line="300" w:lineRule="auto"/>
        <w:jc w:val="center"/>
        <w:rPr>
          <w:rFonts w:ascii="Arial" w:hAnsi="Arial" w:eastAsia="宋体" w:cs="Arial"/>
          <w:sz w:val="36"/>
          <w:szCs w:val="36"/>
        </w:rPr>
      </w:pPr>
      <w:r>
        <w:rPr>
          <w:rFonts w:ascii="Arial" w:hAnsi="Arial" w:eastAsia="宋体" w:cs="Arial"/>
          <w:b/>
          <w:sz w:val="36"/>
          <w:szCs w:val="36"/>
        </w:rPr>
        <w:t>IDE政策和程序指南</w:t>
      </w:r>
    </w:p>
    <w:p w14:paraId="488DBDD0">
      <w:pPr>
        <w:snapToGrid w:val="0"/>
        <w:spacing w:after="180" w:afterLines="75" w:line="300" w:lineRule="auto"/>
        <w:jc w:val="both"/>
        <w:rPr>
          <w:rFonts w:ascii="Arial" w:hAnsi="Arial" w:eastAsia="宋体" w:cs="Arial"/>
          <w:b/>
          <w:bCs/>
          <w:sz w:val="24"/>
          <w:szCs w:val="24"/>
        </w:rPr>
      </w:pPr>
    </w:p>
    <w:p w14:paraId="6F718664">
      <w:pPr>
        <w:pStyle w:val="6"/>
        <w:snapToGrid w:val="0"/>
        <w:spacing w:after="180" w:afterLines="75" w:line="300" w:lineRule="auto"/>
        <w:ind w:left="0"/>
        <w:jc w:val="both"/>
        <w:rPr>
          <w:rFonts w:ascii="Arial" w:hAnsi="Arial" w:cs="Arial"/>
        </w:rPr>
      </w:pPr>
      <w:r>
        <w:rPr>
          <w:rFonts w:ascii="Arial" w:hAnsi="Arial" w:cs="Arial"/>
        </w:rPr>
        <w:t>本文档旨在提供指导。其代表本机构目前关于该主题的思考。其不会为任何人创造或赋予任何权利，也不对FDA或公众具有约束力。如果替代方法满足适用的法律、法规或其两者的要求，可以使用替代方法。</w:t>
      </w:r>
    </w:p>
    <w:p w14:paraId="1570B8A9">
      <w:pPr>
        <w:snapToGrid w:val="0"/>
        <w:spacing w:after="180" w:afterLines="75" w:line="300" w:lineRule="auto"/>
        <w:jc w:val="both"/>
        <w:rPr>
          <w:rFonts w:ascii="Arial" w:hAnsi="Arial" w:eastAsia="宋体" w:cs="Arial"/>
          <w:sz w:val="24"/>
          <w:szCs w:val="24"/>
        </w:rPr>
      </w:pPr>
    </w:p>
    <w:p w14:paraId="7B8A1A1A">
      <w:pPr>
        <w:snapToGrid w:val="0"/>
        <w:spacing w:after="180" w:afterLines="75" w:line="300" w:lineRule="auto"/>
        <w:jc w:val="both"/>
        <w:rPr>
          <w:rFonts w:ascii="Arial" w:hAnsi="Arial" w:eastAsia="宋体" w:cs="Arial"/>
          <w:sz w:val="24"/>
          <w:szCs w:val="24"/>
        </w:rPr>
      </w:pPr>
    </w:p>
    <w:p w14:paraId="76B5FEB5">
      <w:pPr>
        <w:pStyle w:val="6"/>
        <w:snapToGrid w:val="0"/>
        <w:spacing w:line="300" w:lineRule="auto"/>
        <w:ind w:left="0"/>
        <w:jc w:val="center"/>
        <w:rPr>
          <w:rFonts w:ascii="Arial" w:hAnsi="Arial" w:cs="Arial"/>
        </w:rPr>
      </w:pPr>
      <w:r>
        <w:rPr>
          <w:rFonts w:ascii="Arial" w:hAnsi="Arial" w:cs="Arial"/>
        </w:rPr>
        <w:t>IDE工作人员</w:t>
      </w:r>
    </w:p>
    <w:p w14:paraId="6B591EA4">
      <w:pPr>
        <w:pStyle w:val="6"/>
        <w:snapToGrid w:val="0"/>
        <w:spacing w:line="300" w:lineRule="auto"/>
        <w:ind w:left="0"/>
        <w:jc w:val="center"/>
        <w:rPr>
          <w:rFonts w:ascii="Arial" w:hAnsi="Arial" w:cs="Arial"/>
        </w:rPr>
      </w:pPr>
      <w:r>
        <w:rPr>
          <w:rFonts w:ascii="Arial" w:hAnsi="Arial" w:cs="Arial"/>
        </w:rPr>
        <w:t>器械评价办公室</w:t>
      </w:r>
    </w:p>
    <w:p w14:paraId="433E3D95">
      <w:pPr>
        <w:pStyle w:val="6"/>
        <w:snapToGrid w:val="0"/>
        <w:spacing w:after="180" w:afterLines="75" w:line="300" w:lineRule="auto"/>
        <w:ind w:left="0"/>
        <w:jc w:val="center"/>
        <w:rPr>
          <w:rFonts w:ascii="Arial" w:hAnsi="Arial" w:cs="Arial"/>
        </w:rPr>
      </w:pPr>
      <w:r>
        <w:rPr>
          <w:rFonts w:ascii="Arial" w:hAnsi="Arial" w:cs="Arial"/>
        </w:rPr>
        <w:t>器械与放射卫生中心</w:t>
      </w:r>
    </w:p>
    <w:p w14:paraId="09ACF41B">
      <w:pPr>
        <w:pStyle w:val="6"/>
        <w:snapToGrid w:val="0"/>
        <w:spacing w:after="180" w:afterLines="75" w:line="300" w:lineRule="auto"/>
        <w:ind w:left="0"/>
        <w:jc w:val="center"/>
        <w:rPr>
          <w:rFonts w:ascii="Arial" w:hAnsi="Arial" w:cs="Arial"/>
        </w:rPr>
      </w:pPr>
    </w:p>
    <w:p w14:paraId="39BE6CC5">
      <w:pPr>
        <w:pStyle w:val="6"/>
        <w:snapToGrid w:val="0"/>
        <w:spacing w:after="180" w:afterLines="75" w:line="300" w:lineRule="auto"/>
        <w:ind w:left="0"/>
        <w:jc w:val="center"/>
        <w:rPr>
          <w:rFonts w:ascii="Arial" w:hAnsi="Arial" w:cs="Arial"/>
        </w:rPr>
      </w:pPr>
      <w:r>
        <w:rPr>
          <w:rFonts w:ascii="Arial" w:hAnsi="Arial" w:cs="Arial"/>
        </w:rPr>
        <w:t>发布日期：1998年1月20日</w:t>
      </w:r>
    </w:p>
    <w:p w14:paraId="0A58B5F2">
      <w:pPr>
        <w:snapToGrid w:val="0"/>
        <w:spacing w:after="180" w:afterLines="75" w:line="300" w:lineRule="auto"/>
        <w:jc w:val="both"/>
        <w:rPr>
          <w:rFonts w:ascii="Arial" w:hAnsi="Arial" w:eastAsia="宋体" w:cs="Arial"/>
          <w:sz w:val="24"/>
          <w:szCs w:val="24"/>
        </w:rPr>
      </w:pPr>
    </w:p>
    <w:p w14:paraId="35BD3980">
      <w:pPr>
        <w:pStyle w:val="6"/>
        <w:snapToGrid w:val="0"/>
        <w:spacing w:after="180" w:afterLines="75" w:line="300" w:lineRule="auto"/>
        <w:ind w:left="0"/>
        <w:jc w:val="both"/>
        <w:rPr>
          <w:rFonts w:ascii="Arial" w:hAnsi="Arial" w:cs="Arial"/>
        </w:rPr>
      </w:pPr>
      <w:r>
        <w:rPr>
          <w:rFonts w:ascii="Arial" w:hAnsi="Arial" w:cs="Arial"/>
        </w:rPr>
        <w:t>为便于本机构收集评论和建议，评论和建议可以随时提交给器械评价办公室，HFZ-403，IDE工作人员（10903 New Hampshire Ave.，Silver Spring，MD 20993）。再次进行文件修订或更新之前，本机构可能不会针对评论采取行动。针对使用和解释本指南的问题，请致电联系IDE工作人员，电话：301- 796-5550。本指南将替代指南</w:t>
      </w:r>
      <w:r>
        <w:rPr>
          <w:rFonts w:ascii="宋体" w:hAnsi="宋体" w:cs="Arial"/>
        </w:rPr>
        <w:t>“</w:t>
      </w:r>
      <w:r>
        <w:rPr>
          <w:rFonts w:ascii="Arial" w:hAnsi="Arial" w:cs="Arial"/>
        </w:rPr>
        <w:t>IDE政策和程序说明</w:t>
      </w:r>
      <w:r>
        <w:rPr>
          <w:rFonts w:ascii="宋体" w:hAnsi="宋体" w:cs="Arial"/>
        </w:rPr>
        <w:t>”</w:t>
      </w:r>
      <w:r>
        <w:rPr>
          <w:rFonts w:ascii="Arial" w:hAnsi="Arial" w:cs="Arial"/>
        </w:rPr>
        <w:t>（1991年9月13日）。</w:t>
      </w:r>
    </w:p>
    <w:p w14:paraId="20B8BFB0">
      <w:pPr>
        <w:snapToGrid w:val="0"/>
        <w:spacing w:after="180" w:afterLines="75" w:line="300" w:lineRule="auto"/>
        <w:jc w:val="both"/>
        <w:rPr>
          <w:rFonts w:ascii="Arial" w:hAnsi="Arial" w:eastAsia="宋体" w:cs="Arial"/>
          <w:sz w:val="24"/>
          <w:szCs w:val="24"/>
        </w:rPr>
      </w:pPr>
    </w:p>
    <w:p w14:paraId="39E6BB04">
      <w:pPr>
        <w:pStyle w:val="6"/>
        <w:snapToGrid w:val="0"/>
        <w:spacing w:after="180" w:afterLines="75" w:line="300" w:lineRule="auto"/>
        <w:ind w:left="0"/>
        <w:jc w:val="both"/>
        <w:rPr>
          <w:rFonts w:ascii="Arial" w:hAnsi="Arial" w:cs="Arial"/>
        </w:rPr>
      </w:pPr>
      <w:r>
        <w:rPr>
          <w:rFonts w:ascii="Arial" w:hAnsi="Arial" w:cs="Arial"/>
        </w:rPr>
        <w:t>其他副本可从万维网/CDRH主页获得：</w:t>
      </w:r>
      <w:r>
        <w:fldChar w:fldCharType="begin"/>
      </w:r>
      <w:r>
        <w:instrText xml:space="preserve"> HYPERLINK "http://www.fda.gov/medicaldevice" \h </w:instrText>
      </w:r>
      <w:r>
        <w:fldChar w:fldCharType="separate"/>
      </w:r>
      <w:r>
        <w:rPr>
          <w:rFonts w:ascii="Arial" w:hAnsi="Arial" w:cs="Arial"/>
        </w:rPr>
        <w:t>http://www.fda.gov/medicaldevice。</w:t>
      </w:r>
      <w:r>
        <w:rPr>
          <w:rFonts w:ascii="Arial" w:hAnsi="Arial" w:cs="Arial"/>
        </w:rPr>
        <w:fldChar w:fldCharType="end"/>
      </w:r>
      <w:r>
        <w:rPr>
          <w:rFonts w:ascii="Arial" w:hAnsi="Arial" w:cs="Arial"/>
        </w:rPr>
        <w:t>您还可以向dsmica@fda.hhs.gov发送电子邮件请求以接收本指南的电子副本，或向301-847-8149发送传真请求以接收副本。请使用文档编号（882）来注明您所要求获得的指南。</w:t>
      </w:r>
    </w:p>
    <w:p w14:paraId="2B68663E">
      <w:pPr>
        <w:snapToGrid w:val="0"/>
        <w:spacing w:after="180" w:afterLines="75" w:line="300" w:lineRule="auto"/>
        <w:jc w:val="both"/>
        <w:rPr>
          <w:rFonts w:ascii="Arial" w:hAnsi="Arial" w:eastAsia="宋体" w:cs="Arial"/>
          <w:sz w:val="24"/>
          <w:szCs w:val="24"/>
        </w:rPr>
      </w:pPr>
    </w:p>
    <w:p w14:paraId="71D88F37">
      <w:pPr>
        <w:pStyle w:val="6"/>
        <w:snapToGrid w:val="0"/>
        <w:spacing w:line="300" w:lineRule="auto"/>
        <w:ind w:left="0"/>
        <w:jc w:val="center"/>
        <w:rPr>
          <w:rFonts w:ascii="Arial" w:hAnsi="Arial" w:cs="Arial"/>
        </w:rPr>
      </w:pPr>
      <w:r>
        <w:rPr>
          <w:rFonts w:ascii="Arial" w:hAnsi="Arial" w:cs="Arial"/>
        </w:rPr>
        <w:t>美国卫生与人类服务署</w:t>
      </w:r>
    </w:p>
    <w:p w14:paraId="3B83C34F">
      <w:pPr>
        <w:pStyle w:val="6"/>
        <w:snapToGrid w:val="0"/>
        <w:spacing w:line="300" w:lineRule="auto"/>
        <w:ind w:left="0"/>
        <w:jc w:val="center"/>
        <w:rPr>
          <w:rFonts w:ascii="Arial" w:hAnsi="Arial" w:cs="Arial"/>
        </w:rPr>
      </w:pPr>
      <w:r>
        <w:rPr>
          <w:rFonts w:ascii="Arial" w:hAnsi="Arial" w:cs="Arial"/>
        </w:rPr>
        <w:t>食品药品监督管理局</w:t>
      </w:r>
    </w:p>
    <w:p w14:paraId="57755450">
      <w:pPr>
        <w:pStyle w:val="6"/>
        <w:tabs>
          <w:tab w:val="left" w:pos="8364"/>
          <w:tab w:val="left" w:pos="10348"/>
        </w:tabs>
        <w:snapToGrid w:val="0"/>
        <w:spacing w:line="300" w:lineRule="auto"/>
        <w:ind w:left="0"/>
        <w:jc w:val="center"/>
        <w:rPr>
          <w:rFonts w:ascii="Arial" w:hAnsi="Arial" w:cs="Arial"/>
        </w:rPr>
      </w:pPr>
      <w:r>
        <w:rPr>
          <w:rFonts w:ascii="Arial" w:hAnsi="Arial" w:cs="Arial"/>
        </w:rPr>
        <w:t>器械与放射卫生中心</w:t>
      </w:r>
    </w:p>
    <w:p w14:paraId="132BA6BC">
      <w:pPr>
        <w:pStyle w:val="6"/>
        <w:tabs>
          <w:tab w:val="left" w:pos="8364"/>
        </w:tabs>
        <w:snapToGrid w:val="0"/>
        <w:spacing w:line="300" w:lineRule="auto"/>
        <w:ind w:left="0"/>
        <w:jc w:val="center"/>
        <w:rPr>
          <w:rFonts w:ascii="Arial" w:hAnsi="Arial" w:cs="Arial"/>
        </w:rPr>
      </w:pPr>
      <w:r>
        <w:rPr>
          <w:rFonts w:ascii="Arial" w:hAnsi="Arial" w:cs="Arial"/>
        </w:rPr>
        <w:t>Rockville，MD 20850</w:t>
      </w:r>
    </w:p>
    <w:p w14:paraId="22C6AC88">
      <w:pPr>
        <w:snapToGrid w:val="0"/>
        <w:spacing w:after="180" w:afterLines="75" w:line="300" w:lineRule="auto"/>
        <w:jc w:val="center"/>
        <w:rPr>
          <w:rFonts w:ascii="Arial" w:hAnsi="Arial" w:cs="Arial"/>
          <w:b/>
          <w:i/>
          <w:sz w:val="28"/>
          <w:szCs w:val="28"/>
          <w:u w:val="thick" w:color="000000"/>
        </w:rPr>
        <w:sectPr>
          <w:footerReference r:id="rId4" w:type="default"/>
          <w:pgSz w:w="11907" w:h="16839"/>
          <w:pgMar w:top="1134" w:right="1440" w:bottom="1134" w:left="1440" w:header="0" w:footer="1450" w:gutter="0"/>
          <w:cols w:space="720" w:num="1"/>
          <w:docGrid w:linePitch="299" w:charSpace="0"/>
        </w:sectPr>
      </w:pPr>
    </w:p>
    <w:p w14:paraId="68701077">
      <w:pPr>
        <w:snapToGrid w:val="0"/>
        <w:spacing w:after="180" w:afterLines="75" w:line="300" w:lineRule="auto"/>
        <w:jc w:val="center"/>
        <w:rPr>
          <w:rFonts w:ascii="Arial" w:hAnsi="Arial" w:cs="Arial"/>
          <w:b/>
          <w:bCs/>
          <w:i/>
          <w:sz w:val="28"/>
          <w:szCs w:val="28"/>
        </w:rPr>
      </w:pPr>
      <w:r>
        <w:rPr>
          <w:rFonts w:ascii="Arial" w:hAnsi="Arial" w:cs="Arial"/>
          <w:b/>
          <w:i/>
          <w:sz w:val="28"/>
          <w:szCs w:val="28"/>
          <w:u w:val="thick" w:color="000000"/>
        </w:rPr>
        <w:t>IDE政策和程序</w:t>
      </w:r>
    </w:p>
    <w:p w14:paraId="4177548C">
      <w:pPr>
        <w:snapToGrid w:val="0"/>
        <w:spacing w:after="180" w:afterLines="75" w:line="300" w:lineRule="auto"/>
        <w:jc w:val="both"/>
        <w:rPr>
          <w:rFonts w:ascii="Arial" w:hAnsi="Arial" w:eastAsia="宋体" w:cs="Arial"/>
          <w:b/>
          <w:i/>
          <w:sz w:val="24"/>
          <w:szCs w:val="24"/>
        </w:rPr>
      </w:pPr>
      <w:r>
        <w:rPr>
          <w:rFonts w:ascii="Arial" w:hAnsi="Arial" w:eastAsia="宋体" w:cs="Arial"/>
          <w:b/>
          <w:i/>
          <w:sz w:val="24"/>
          <w:szCs w:val="24"/>
        </w:rPr>
        <w:t>目录：</w:t>
      </w:r>
    </w:p>
    <w:p w14:paraId="5468474D">
      <w:pPr>
        <w:pStyle w:val="12"/>
        <w:tabs>
          <w:tab w:val="right" w:leader="dot" w:pos="9017"/>
        </w:tabs>
        <w:rPr>
          <w:rFonts w:asciiTheme="minorHAnsi" w:hAnsiTheme="minorHAnsi" w:eastAsiaTheme="minorEastAsia"/>
          <w:b w:val="0"/>
          <w:bCs w:val="0"/>
          <w:i w:val="0"/>
          <w:kern w:val="2"/>
          <w:sz w:val="21"/>
          <w:szCs w:val="22"/>
        </w:rPr>
      </w:pPr>
      <w:r>
        <w:rPr>
          <w:rFonts w:cs="Arial"/>
        </w:rPr>
        <w:fldChar w:fldCharType="begin"/>
      </w:r>
      <w:r>
        <w:rPr>
          <w:rFonts w:cs="Arial"/>
        </w:rPr>
        <w:instrText xml:space="preserve"> TOC \o "1-4" \h \z \u </w:instrText>
      </w:r>
      <w:r>
        <w:rPr>
          <w:rFonts w:cs="Arial"/>
        </w:rPr>
        <w:fldChar w:fldCharType="separate"/>
      </w:r>
      <w:r>
        <w:fldChar w:fldCharType="begin"/>
      </w:r>
      <w:r>
        <w:instrText xml:space="preserve"> HYPERLINK \l "_Toc501388845" </w:instrText>
      </w:r>
      <w:r>
        <w:fldChar w:fldCharType="separate"/>
      </w:r>
      <w:r>
        <w:rPr>
          <w:rStyle w:val="19"/>
          <w:rFonts w:hint="eastAsia" w:cs="Arial"/>
        </w:rPr>
        <w:t>第</w:t>
      </w:r>
      <w:r>
        <w:rPr>
          <w:rStyle w:val="19"/>
          <w:rFonts w:cs="Arial"/>
        </w:rPr>
        <w:t>I</w:t>
      </w:r>
      <w:r>
        <w:rPr>
          <w:rStyle w:val="19"/>
          <w:rFonts w:hint="eastAsia" w:cs="Arial"/>
        </w:rPr>
        <w:t>章</w:t>
      </w:r>
      <w:r>
        <w:rPr>
          <w:rStyle w:val="19"/>
          <w:rFonts w:cs="Arial"/>
        </w:rPr>
        <w:t xml:space="preserve"> IDE</w:t>
      </w:r>
      <w:r>
        <w:rPr>
          <w:rStyle w:val="19"/>
          <w:rFonts w:hint="eastAsia" w:cs="Arial"/>
        </w:rPr>
        <w:t>政策概述</w:t>
      </w:r>
      <w:r>
        <w:tab/>
      </w:r>
      <w:r>
        <w:fldChar w:fldCharType="begin"/>
      </w:r>
      <w:r>
        <w:instrText xml:space="preserve"> PAGEREF _Toc501388845 \h </w:instrText>
      </w:r>
      <w:r>
        <w:fldChar w:fldCharType="separate"/>
      </w:r>
      <w:r>
        <w:t>1</w:t>
      </w:r>
      <w:r>
        <w:fldChar w:fldCharType="end"/>
      </w:r>
      <w:r>
        <w:fldChar w:fldCharType="end"/>
      </w:r>
    </w:p>
    <w:p w14:paraId="18B0AD9F">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"_Toc501388846" </w:instrText>
      </w:r>
      <w:r>
        <w:fldChar w:fldCharType="separate"/>
      </w:r>
      <w:r>
        <w:rPr>
          <w:rStyle w:val="19"/>
          <w:rFonts w:cs="Arial"/>
          <w:u w:color="000000"/>
        </w:rPr>
        <w:t>IDE</w:t>
      </w:r>
      <w:r>
        <w:rPr>
          <w:rStyle w:val="19"/>
          <w:rFonts w:hint="eastAsia" w:cs="Arial"/>
          <w:u w:color="000000"/>
        </w:rPr>
        <w:t>前过程</w:t>
      </w:r>
      <w:r>
        <w:tab/>
      </w:r>
      <w:r>
        <w:fldChar w:fldCharType="begin"/>
      </w:r>
      <w:r>
        <w:instrText xml:space="preserve"> PAGEREF _Toc501388846 \h </w:instrText>
      </w:r>
      <w:r>
        <w:fldChar w:fldCharType="separate"/>
      </w:r>
      <w:r>
        <w:t>1</w:t>
      </w:r>
      <w:r>
        <w:fldChar w:fldCharType="end"/>
      </w:r>
      <w:r>
        <w:fldChar w:fldCharType="end"/>
      </w:r>
    </w:p>
    <w:p w14:paraId="0E8CD26A">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"_Toc501388847" </w:instrText>
      </w:r>
      <w:r>
        <w:fldChar w:fldCharType="separate"/>
      </w:r>
      <w:r>
        <w:rPr>
          <w:rStyle w:val="19"/>
          <w:rFonts w:cs="Arial"/>
        </w:rPr>
        <w:t>IDE</w:t>
      </w:r>
      <w:r>
        <w:rPr>
          <w:rStyle w:val="19"/>
          <w:rFonts w:hint="eastAsia" w:cs="Arial"/>
        </w:rPr>
        <w:t>前会议</w:t>
      </w:r>
      <w:r>
        <w:tab/>
      </w:r>
      <w:r>
        <w:fldChar w:fldCharType="begin"/>
      </w:r>
      <w:r>
        <w:instrText xml:space="preserve"> PAGEREF _Toc501388847 \h </w:instrText>
      </w:r>
      <w:r>
        <w:fldChar w:fldCharType="separate"/>
      </w:r>
      <w:r>
        <w:t>1</w:t>
      </w:r>
      <w:r>
        <w:fldChar w:fldCharType="end"/>
      </w:r>
      <w:r>
        <w:fldChar w:fldCharType="end"/>
      </w:r>
    </w:p>
    <w:p w14:paraId="70DCB551">
      <w:pPr>
        <w:pStyle w:val="13"/>
        <w:tabs>
          <w:tab w:val="right" w:leader="dot" w:pos="9017"/>
        </w:tabs>
        <w:ind w:left="1320"/>
        <w:rPr>
          <w:rFonts w:asciiTheme="minorHAnsi" w:hAnsiTheme="minorHAnsi" w:eastAsiaTheme="minorEastAsia"/>
          <w:b w:val="0"/>
          <w:bCs w:val="0"/>
          <w:i w:val="0"/>
          <w:kern w:val="2"/>
          <w:sz w:val="21"/>
          <w:szCs w:val="22"/>
        </w:rPr>
      </w:pPr>
      <w:r>
        <w:fldChar w:fldCharType="begin"/>
      </w:r>
      <w:r>
        <w:instrText xml:space="preserve"> HYPERLINK \l "_Toc501388848" </w:instrText>
      </w:r>
      <w:r>
        <w:fldChar w:fldCharType="separate"/>
      </w:r>
      <w:r>
        <w:rPr>
          <w:rStyle w:val="19"/>
          <w:rFonts w:cs="Arial"/>
        </w:rPr>
        <w:t>“</w:t>
      </w:r>
      <w:r>
        <w:rPr>
          <w:rStyle w:val="19"/>
          <w:rFonts w:hint="eastAsia" w:cs="Arial"/>
        </w:rPr>
        <w:t>非正式指导</w:t>
      </w:r>
      <w:r>
        <w:rPr>
          <w:rStyle w:val="19"/>
          <w:rFonts w:cs="Arial"/>
        </w:rPr>
        <w:t>”</w:t>
      </w:r>
      <w:r>
        <w:rPr>
          <w:rStyle w:val="19"/>
          <w:rFonts w:hint="eastAsia" w:cs="Arial"/>
        </w:rPr>
        <w:t>会议</w:t>
      </w:r>
      <w:r>
        <w:tab/>
      </w:r>
      <w:r>
        <w:fldChar w:fldCharType="begin"/>
      </w:r>
      <w:r>
        <w:instrText xml:space="preserve"> PAGEREF _Toc501388848 \h </w:instrText>
      </w:r>
      <w:r>
        <w:fldChar w:fldCharType="separate"/>
      </w:r>
      <w:r>
        <w:t>1</w:t>
      </w:r>
      <w:r>
        <w:fldChar w:fldCharType="end"/>
      </w:r>
      <w:r>
        <w:fldChar w:fldCharType="end"/>
      </w:r>
    </w:p>
    <w:p w14:paraId="57F5FA6F">
      <w:pPr>
        <w:pStyle w:val="13"/>
        <w:tabs>
          <w:tab w:val="right" w:leader="dot" w:pos="9017"/>
        </w:tabs>
        <w:ind w:left="1320"/>
        <w:rPr>
          <w:rFonts w:asciiTheme="minorHAnsi" w:hAnsiTheme="minorHAnsi" w:eastAsiaTheme="minorEastAsia"/>
          <w:b w:val="0"/>
          <w:bCs w:val="0"/>
          <w:i w:val="0"/>
          <w:kern w:val="2"/>
          <w:sz w:val="21"/>
          <w:szCs w:val="22"/>
        </w:rPr>
      </w:pPr>
      <w:r>
        <w:fldChar w:fldCharType="begin"/>
      </w:r>
      <w:r>
        <w:instrText xml:space="preserve"> HYPERLINK \l "_Toc501388849" </w:instrText>
      </w:r>
      <w:r>
        <w:fldChar w:fldCharType="separate"/>
      </w:r>
      <w:r>
        <w:rPr>
          <w:rStyle w:val="19"/>
          <w:rFonts w:cs="Arial"/>
        </w:rPr>
        <w:t>“</w:t>
      </w:r>
      <w:r>
        <w:rPr>
          <w:rStyle w:val="19"/>
          <w:rFonts w:hint="eastAsia" w:cs="Arial"/>
        </w:rPr>
        <w:t>正式指导</w:t>
      </w:r>
      <w:r>
        <w:rPr>
          <w:rStyle w:val="19"/>
          <w:rFonts w:cs="Arial"/>
        </w:rPr>
        <w:t>”</w:t>
      </w:r>
      <w:r>
        <w:rPr>
          <w:rStyle w:val="19"/>
          <w:rFonts w:hint="eastAsia" w:cs="Arial"/>
        </w:rPr>
        <w:t>会议</w:t>
      </w:r>
      <w:r>
        <w:tab/>
      </w:r>
      <w:r>
        <w:fldChar w:fldCharType="begin"/>
      </w:r>
      <w:r>
        <w:instrText xml:space="preserve"> PAGEREF _Toc501388849 \h </w:instrText>
      </w:r>
      <w:r>
        <w:fldChar w:fldCharType="separate"/>
      </w:r>
      <w:r>
        <w:t>2</w:t>
      </w:r>
      <w:r>
        <w:fldChar w:fldCharType="end"/>
      </w:r>
      <w:r>
        <w:fldChar w:fldCharType="end"/>
      </w:r>
    </w:p>
    <w:p w14:paraId="017BB897">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"_Toc501388850" </w:instrText>
      </w:r>
      <w:r>
        <w:fldChar w:fldCharType="separate"/>
      </w:r>
      <w:r>
        <w:rPr>
          <w:rStyle w:val="19"/>
          <w:rFonts w:cs="Arial"/>
        </w:rPr>
        <w:t>IDE</w:t>
      </w:r>
      <w:r>
        <w:rPr>
          <w:rStyle w:val="19"/>
          <w:rFonts w:hint="eastAsia" w:cs="Arial"/>
        </w:rPr>
        <w:t>前提交</w:t>
      </w:r>
      <w:r>
        <w:tab/>
      </w:r>
      <w:r>
        <w:fldChar w:fldCharType="begin"/>
      </w:r>
      <w:r>
        <w:instrText xml:space="preserve"> PAGEREF _Toc501388850 \h </w:instrText>
      </w:r>
      <w:r>
        <w:fldChar w:fldCharType="separate"/>
      </w:r>
      <w:r>
        <w:t>2</w:t>
      </w:r>
      <w:r>
        <w:fldChar w:fldCharType="end"/>
      </w:r>
      <w:r>
        <w:fldChar w:fldCharType="end"/>
      </w:r>
    </w:p>
    <w:p w14:paraId="02466CB5">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"_Toc501388851" </w:instrText>
      </w:r>
      <w:r>
        <w:fldChar w:fldCharType="separate"/>
      </w:r>
      <w:r>
        <w:rPr>
          <w:rStyle w:val="19"/>
          <w:rFonts w:hint="eastAsia" w:cs="Arial"/>
          <w:u w:color="000000"/>
        </w:rPr>
        <w:t>交互式</w:t>
      </w:r>
      <w:r>
        <w:rPr>
          <w:rStyle w:val="19"/>
          <w:rFonts w:cs="Arial"/>
          <w:u w:color="000000"/>
        </w:rPr>
        <w:t>IDE</w:t>
      </w:r>
      <w:r>
        <w:rPr>
          <w:rStyle w:val="19"/>
          <w:rFonts w:hint="eastAsia" w:cs="Arial"/>
          <w:u w:color="000000"/>
        </w:rPr>
        <w:t>审查</w:t>
      </w:r>
      <w:r>
        <w:tab/>
      </w:r>
      <w:r>
        <w:fldChar w:fldCharType="begin"/>
      </w:r>
      <w:r>
        <w:instrText xml:space="preserve"> PAGEREF _Toc501388851 \h </w:instrText>
      </w:r>
      <w:r>
        <w:fldChar w:fldCharType="separate"/>
      </w:r>
      <w:r>
        <w:t>3</w:t>
      </w:r>
      <w:r>
        <w:fldChar w:fldCharType="end"/>
      </w:r>
      <w:r>
        <w:fldChar w:fldCharType="end"/>
      </w:r>
    </w:p>
    <w:p w14:paraId="4636CCA0">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"_Toc501388852" </w:instrText>
      </w:r>
      <w:r>
        <w:fldChar w:fldCharType="separate"/>
      </w:r>
      <w:r>
        <w:rPr>
          <w:rStyle w:val="19"/>
          <w:rFonts w:hint="eastAsia" w:cs="Arial"/>
          <w:u w:color="000000"/>
        </w:rPr>
        <w:t>知情同意书</w:t>
      </w:r>
      <w:r>
        <w:tab/>
      </w:r>
      <w:r>
        <w:fldChar w:fldCharType="begin"/>
      </w:r>
      <w:r>
        <w:instrText xml:space="preserve"> PAGEREF _Toc501388852 \h </w:instrText>
      </w:r>
      <w:r>
        <w:fldChar w:fldCharType="separate"/>
      </w:r>
      <w:r>
        <w:t>3</w:t>
      </w:r>
      <w:r>
        <w:fldChar w:fldCharType="end"/>
      </w:r>
      <w:r>
        <w:fldChar w:fldCharType="end"/>
      </w:r>
    </w:p>
    <w:p w14:paraId="769118FF">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"_Toc501388853" </w:instrText>
      </w:r>
      <w:r>
        <w:fldChar w:fldCharType="separate"/>
      </w:r>
      <w:r>
        <w:rPr>
          <w:rStyle w:val="19"/>
          <w:rFonts w:hint="eastAsia" w:cs="Arial"/>
          <w:u w:color="000000"/>
        </w:rPr>
        <w:t>延迟提交</w:t>
      </w:r>
      <w:r>
        <w:rPr>
          <w:rStyle w:val="19"/>
          <w:rFonts w:cs="Arial"/>
          <w:u w:color="000000"/>
        </w:rPr>
        <w:t>IDE</w:t>
      </w:r>
      <w:r>
        <w:rPr>
          <w:rStyle w:val="19"/>
          <w:rFonts w:hint="eastAsia" w:cs="Arial"/>
          <w:u w:color="000000"/>
        </w:rPr>
        <w:t>的附加信息</w:t>
      </w:r>
      <w:r>
        <w:tab/>
      </w:r>
      <w:r>
        <w:fldChar w:fldCharType="begin"/>
      </w:r>
      <w:r>
        <w:instrText xml:space="preserve"> PAGEREF _Toc501388853 \h </w:instrText>
      </w:r>
      <w:r>
        <w:fldChar w:fldCharType="separate"/>
      </w:r>
      <w:r>
        <w:t>3</w:t>
      </w:r>
      <w:r>
        <w:fldChar w:fldCharType="end"/>
      </w:r>
      <w:r>
        <w:fldChar w:fldCharType="end"/>
      </w:r>
    </w:p>
    <w:p w14:paraId="04BC07CB">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"_Toc501388854" </w:instrText>
      </w:r>
      <w:r>
        <w:fldChar w:fldCharType="separate"/>
      </w:r>
      <w:r>
        <w:rPr>
          <w:rStyle w:val="19"/>
          <w:rFonts w:hint="eastAsia" w:cs="Arial"/>
          <w:u w:color="000000"/>
        </w:rPr>
        <w:t>监督临床研究</w:t>
      </w:r>
      <w:r>
        <w:tab/>
      </w:r>
      <w:r>
        <w:fldChar w:fldCharType="begin"/>
      </w:r>
      <w:r>
        <w:instrText xml:space="preserve"> PAGEREF _Toc501388854 \h </w:instrText>
      </w:r>
      <w:r>
        <w:fldChar w:fldCharType="separate"/>
      </w:r>
      <w:r>
        <w:t>4</w:t>
      </w:r>
      <w:r>
        <w:fldChar w:fldCharType="end"/>
      </w:r>
      <w:r>
        <w:fldChar w:fldCharType="end"/>
      </w:r>
    </w:p>
    <w:p w14:paraId="19C804A9">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"_Toc501388855" </w:instrText>
      </w:r>
      <w:r>
        <w:fldChar w:fldCharType="separate"/>
      </w:r>
      <w:r>
        <w:rPr>
          <w:rStyle w:val="19"/>
          <w:rFonts w:hint="eastAsia" w:cs="Arial"/>
          <w:u w:color="000000"/>
        </w:rPr>
        <w:t>在</w:t>
      </w:r>
      <w:r>
        <w:rPr>
          <w:rStyle w:val="19"/>
          <w:rFonts w:cs="Arial"/>
          <w:u w:color="000000"/>
        </w:rPr>
        <w:t>IDE</w:t>
      </w:r>
      <w:r>
        <w:rPr>
          <w:rStyle w:val="19"/>
          <w:rFonts w:hint="eastAsia" w:cs="Arial"/>
          <w:u w:color="000000"/>
        </w:rPr>
        <w:t>中计数研究中心</w:t>
      </w:r>
      <w:r>
        <w:tab/>
      </w:r>
      <w:r>
        <w:fldChar w:fldCharType="begin"/>
      </w:r>
      <w:r>
        <w:instrText xml:space="preserve"> PAGEREF _Toc501388855 \h </w:instrText>
      </w:r>
      <w:r>
        <w:fldChar w:fldCharType="separate"/>
      </w:r>
      <w:r>
        <w:t>5</w:t>
      </w:r>
      <w:r>
        <w:fldChar w:fldCharType="end"/>
      </w:r>
      <w:r>
        <w:fldChar w:fldCharType="end"/>
      </w:r>
    </w:p>
    <w:p w14:paraId="1B4AFB74">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"_Toc501388856" </w:instrText>
      </w:r>
      <w:r>
        <w:fldChar w:fldCharType="separate"/>
      </w:r>
      <w:r>
        <w:rPr>
          <w:rStyle w:val="19"/>
          <w:rFonts w:hint="eastAsia" w:cs="Arial"/>
          <w:u w:color="000000"/>
        </w:rPr>
        <w:t>美国境外的临床研究中心</w:t>
      </w:r>
      <w:r>
        <w:tab/>
      </w:r>
      <w:r>
        <w:fldChar w:fldCharType="begin"/>
      </w:r>
      <w:r>
        <w:instrText xml:space="preserve"> PAGEREF _Toc501388856 \h </w:instrText>
      </w:r>
      <w:r>
        <w:fldChar w:fldCharType="separate"/>
      </w:r>
      <w:r>
        <w:t>6</w:t>
      </w:r>
      <w:r>
        <w:fldChar w:fldCharType="end"/>
      </w:r>
      <w:r>
        <w:fldChar w:fldCharType="end"/>
      </w:r>
    </w:p>
    <w:p w14:paraId="00ED1BA1">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"_Toc501388857" </w:instrText>
      </w:r>
      <w:r>
        <w:fldChar w:fldCharType="separate"/>
      </w:r>
      <w:r>
        <w:rPr>
          <w:rStyle w:val="19"/>
          <w:rFonts w:hint="eastAsia" w:cs="Arial"/>
          <w:u w:color="000000"/>
        </w:rPr>
        <w:t>转让</w:t>
      </w:r>
      <w:r>
        <w:rPr>
          <w:rStyle w:val="19"/>
          <w:rFonts w:cs="Arial"/>
          <w:u w:color="000000"/>
        </w:rPr>
        <w:t>IDE</w:t>
      </w:r>
      <w:r>
        <w:rPr>
          <w:rStyle w:val="19"/>
          <w:rFonts w:hint="eastAsia" w:cs="Arial"/>
          <w:u w:color="000000"/>
        </w:rPr>
        <w:t>申办方身份</w:t>
      </w:r>
      <w:r>
        <w:tab/>
      </w:r>
      <w:r>
        <w:fldChar w:fldCharType="begin"/>
      </w:r>
      <w:r>
        <w:instrText xml:space="preserve"> PAGEREF _Toc501388857 \h </w:instrText>
      </w:r>
      <w:r>
        <w:fldChar w:fldCharType="separate"/>
      </w:r>
      <w:r>
        <w:t>6</w:t>
      </w:r>
      <w:r>
        <w:fldChar w:fldCharType="end"/>
      </w:r>
      <w:r>
        <w:fldChar w:fldCharType="end"/>
      </w:r>
    </w:p>
    <w:p w14:paraId="2077D717">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"_Toc501388858" </w:instrText>
      </w:r>
      <w:r>
        <w:fldChar w:fldCharType="separate"/>
      </w:r>
      <w:r>
        <w:rPr>
          <w:rStyle w:val="19"/>
          <w:rFonts w:hint="eastAsia" w:cs="Arial"/>
          <w:u w:color="000000"/>
        </w:rPr>
        <w:t>国外申办方的美国代理</w:t>
      </w:r>
      <w:r>
        <w:tab/>
      </w:r>
      <w:r>
        <w:fldChar w:fldCharType="begin"/>
      </w:r>
      <w:r>
        <w:instrText xml:space="preserve"> PAGEREF _Toc501388858 \h </w:instrText>
      </w:r>
      <w:r>
        <w:fldChar w:fldCharType="separate"/>
      </w:r>
      <w:r>
        <w:t>7</w:t>
      </w:r>
      <w:r>
        <w:fldChar w:fldCharType="end"/>
      </w:r>
      <w:r>
        <w:fldChar w:fldCharType="end"/>
      </w:r>
    </w:p>
    <w:p w14:paraId="5144E9F0">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"_Toc501388859" </w:instrText>
      </w:r>
      <w:r>
        <w:fldChar w:fldCharType="separate"/>
      </w:r>
      <w:r>
        <w:rPr>
          <w:rStyle w:val="19"/>
          <w:rFonts w:hint="eastAsia" w:cs="Arial"/>
          <w:u w:color="000000"/>
        </w:rPr>
        <w:t>关闭</w:t>
      </w:r>
      <w:r>
        <w:rPr>
          <w:rStyle w:val="19"/>
          <w:rFonts w:cs="Arial"/>
          <w:u w:color="000000"/>
        </w:rPr>
        <w:t>IDE</w:t>
      </w:r>
      <w:r>
        <w:tab/>
      </w:r>
      <w:r>
        <w:fldChar w:fldCharType="begin"/>
      </w:r>
      <w:r>
        <w:instrText xml:space="preserve"> PAGEREF _Toc501388859 \h </w:instrText>
      </w:r>
      <w:r>
        <w:fldChar w:fldCharType="separate"/>
      </w:r>
      <w:r>
        <w:t>7</w:t>
      </w:r>
      <w:r>
        <w:fldChar w:fldCharType="end"/>
      </w:r>
      <w:r>
        <w:fldChar w:fldCharType="end"/>
      </w:r>
    </w:p>
    <w:p w14:paraId="1D58C4D3">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"_Toc501388860" </w:instrText>
      </w:r>
      <w:r>
        <w:fldChar w:fldCharType="separate"/>
      </w:r>
      <w:r>
        <w:rPr>
          <w:rStyle w:val="19"/>
          <w:rFonts w:hint="eastAsia" w:cs="Arial"/>
          <w:u w:color="000000"/>
        </w:rPr>
        <w:t>撤销</w:t>
      </w:r>
      <w:r>
        <w:rPr>
          <w:rStyle w:val="19"/>
          <w:rFonts w:cs="Arial"/>
          <w:u w:color="000000"/>
        </w:rPr>
        <w:t>IDE</w:t>
      </w:r>
      <w:r>
        <w:rPr>
          <w:rStyle w:val="19"/>
          <w:rFonts w:hint="eastAsia" w:cs="Arial"/>
          <w:u w:color="000000"/>
        </w:rPr>
        <w:t>批准</w:t>
      </w:r>
      <w:r>
        <w:tab/>
      </w:r>
      <w:r>
        <w:fldChar w:fldCharType="begin"/>
      </w:r>
      <w:r>
        <w:instrText xml:space="preserve"> PAGEREF _Toc501388860 \h </w:instrText>
      </w:r>
      <w:r>
        <w:fldChar w:fldCharType="separate"/>
      </w:r>
      <w:r>
        <w:t>8</w:t>
      </w:r>
      <w:r>
        <w:fldChar w:fldCharType="end"/>
      </w:r>
      <w:r>
        <w:fldChar w:fldCharType="end"/>
      </w:r>
    </w:p>
    <w:p w14:paraId="230904B6">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"_Toc501388861" </w:instrText>
      </w:r>
      <w:r>
        <w:fldChar w:fldCharType="separate"/>
      </w:r>
      <w:r>
        <w:rPr>
          <w:rStyle w:val="19"/>
          <w:rFonts w:cs="Arial"/>
          <w:u w:color="000000"/>
        </w:rPr>
        <w:t>BIMO</w:t>
      </w:r>
      <w:r>
        <w:rPr>
          <w:rStyle w:val="19"/>
          <w:rFonts w:hint="eastAsia" w:cs="Arial"/>
          <w:u w:color="000000"/>
        </w:rPr>
        <w:t>和</w:t>
      </w:r>
      <w:r>
        <w:rPr>
          <w:rStyle w:val="19"/>
          <w:rFonts w:cs="Arial"/>
          <w:u w:color="000000"/>
        </w:rPr>
        <w:t>IDE</w:t>
      </w:r>
      <w:r>
        <w:rPr>
          <w:rStyle w:val="19"/>
          <w:rFonts w:hint="eastAsia" w:cs="Arial"/>
          <w:u w:color="000000"/>
        </w:rPr>
        <w:t>工作人员交流的</w:t>
      </w:r>
      <w:r>
        <w:rPr>
          <w:rStyle w:val="19"/>
          <w:rFonts w:cs="Arial"/>
          <w:u w:color="000000"/>
        </w:rPr>
        <w:t>SOP</w:t>
      </w:r>
      <w:r>
        <w:tab/>
      </w:r>
      <w:r>
        <w:fldChar w:fldCharType="begin"/>
      </w:r>
      <w:r>
        <w:instrText xml:space="preserve"> PAGEREF _Toc501388861 \h </w:instrText>
      </w:r>
      <w:r>
        <w:fldChar w:fldCharType="separate"/>
      </w:r>
      <w:r>
        <w:t>9</w:t>
      </w:r>
      <w:r>
        <w:fldChar w:fldCharType="end"/>
      </w:r>
      <w:r>
        <w:fldChar w:fldCharType="end"/>
      </w:r>
    </w:p>
    <w:p w14:paraId="46DF6332">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"_Toc501388862" </w:instrText>
      </w:r>
      <w:r>
        <w:fldChar w:fldCharType="separate"/>
      </w:r>
      <w:r>
        <w:rPr>
          <w:rStyle w:val="19"/>
          <w:rFonts w:hint="eastAsia" w:cs="Arial"/>
          <w:u w:color="000000"/>
        </w:rPr>
        <w:t>出口未批准医疗器械</w:t>
      </w:r>
      <w:r>
        <w:tab/>
      </w:r>
      <w:r>
        <w:fldChar w:fldCharType="begin"/>
      </w:r>
      <w:r>
        <w:instrText xml:space="preserve"> PAGEREF _Toc501388862 \h </w:instrText>
      </w:r>
      <w:r>
        <w:fldChar w:fldCharType="separate"/>
      </w:r>
      <w:r>
        <w:t>10</w:t>
      </w:r>
      <w:r>
        <w:fldChar w:fldCharType="end"/>
      </w:r>
      <w:r>
        <w:fldChar w:fldCharType="end"/>
      </w:r>
    </w:p>
    <w:p w14:paraId="5B478376">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"_Toc501388863" </w:instrText>
      </w:r>
      <w:r>
        <w:fldChar w:fldCharType="separate"/>
      </w:r>
      <w:r>
        <w:rPr>
          <w:rStyle w:val="19"/>
          <w:rFonts w:hint="eastAsia" w:cs="Arial"/>
        </w:rPr>
        <w:t>出口用于临床研究</w:t>
      </w:r>
      <w:r>
        <w:tab/>
      </w:r>
      <w:r>
        <w:fldChar w:fldCharType="begin"/>
      </w:r>
      <w:r>
        <w:instrText xml:space="preserve"> PAGEREF _Toc501388863 \h </w:instrText>
      </w:r>
      <w:r>
        <w:fldChar w:fldCharType="separate"/>
      </w:r>
      <w:r>
        <w:t>10</w:t>
      </w:r>
      <w:r>
        <w:fldChar w:fldCharType="end"/>
      </w:r>
      <w:r>
        <w:fldChar w:fldCharType="end"/>
      </w:r>
    </w:p>
    <w:p w14:paraId="0321F138">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"_Toc501388864" </w:instrText>
      </w:r>
      <w:r>
        <w:fldChar w:fldCharType="separate"/>
      </w:r>
      <w:r>
        <w:rPr>
          <w:rStyle w:val="19"/>
          <w:rFonts w:hint="eastAsia" w:cs="Arial"/>
        </w:rPr>
        <w:t>出口用于上市或期望获得外国上市批准</w:t>
      </w:r>
      <w:r>
        <w:tab/>
      </w:r>
      <w:r>
        <w:fldChar w:fldCharType="begin"/>
      </w:r>
      <w:r>
        <w:instrText xml:space="preserve"> PAGEREF _Toc501388864 \h </w:instrText>
      </w:r>
      <w:r>
        <w:fldChar w:fldCharType="separate"/>
      </w:r>
      <w:r>
        <w:t>10</w:t>
      </w:r>
      <w:r>
        <w:fldChar w:fldCharType="end"/>
      </w:r>
      <w:r>
        <w:fldChar w:fldCharType="end"/>
      </w:r>
    </w:p>
    <w:p w14:paraId="2B9F5170">
      <w:pPr>
        <w:pStyle w:val="12"/>
        <w:tabs>
          <w:tab w:val="right" w:leader="dot" w:pos="9017"/>
        </w:tabs>
        <w:rPr>
          <w:rFonts w:asciiTheme="minorHAnsi" w:hAnsiTheme="minorHAnsi" w:eastAsiaTheme="minorEastAsia"/>
          <w:b w:val="0"/>
          <w:bCs w:val="0"/>
          <w:i w:val="0"/>
          <w:kern w:val="2"/>
          <w:sz w:val="21"/>
          <w:szCs w:val="22"/>
        </w:rPr>
      </w:pPr>
      <w:r>
        <w:fldChar w:fldCharType="begin"/>
      </w:r>
      <w:r>
        <w:instrText xml:space="preserve"> HYPERLINK \l "_Toc501388865" </w:instrText>
      </w:r>
      <w:r>
        <w:fldChar w:fldCharType="separate"/>
      </w:r>
      <w:r>
        <w:rPr>
          <w:rStyle w:val="19"/>
          <w:rFonts w:hint="eastAsia" w:cs="Arial"/>
        </w:rPr>
        <w:t>第</w:t>
      </w:r>
      <w:r>
        <w:rPr>
          <w:rStyle w:val="19"/>
          <w:rFonts w:cs="Arial"/>
        </w:rPr>
        <w:t>II</w:t>
      </w:r>
      <w:r>
        <w:rPr>
          <w:rStyle w:val="19"/>
          <w:rFonts w:hint="eastAsia" w:cs="Arial"/>
        </w:rPr>
        <w:t>章</w:t>
      </w:r>
      <w:r>
        <w:rPr>
          <w:rStyle w:val="19"/>
          <w:rFonts w:cs="Arial"/>
        </w:rPr>
        <w:t xml:space="preserve"> </w:t>
      </w:r>
      <w:r>
        <w:rPr>
          <w:rStyle w:val="19"/>
          <w:rFonts w:hint="eastAsia" w:cs="Arial"/>
        </w:rPr>
        <w:t>影响</w:t>
      </w:r>
      <w:r>
        <w:rPr>
          <w:rStyle w:val="19"/>
          <w:rFonts w:cs="Arial"/>
        </w:rPr>
        <w:t>IDE</w:t>
      </w:r>
      <w:r>
        <w:rPr>
          <w:rStyle w:val="19"/>
          <w:rFonts w:hint="eastAsia" w:cs="Arial"/>
        </w:rPr>
        <w:t>项目的法规</w:t>
      </w:r>
      <w:r>
        <w:tab/>
      </w:r>
      <w:r>
        <w:fldChar w:fldCharType="begin"/>
      </w:r>
      <w:r>
        <w:instrText xml:space="preserve"> PAGEREF _Toc501388865 \h </w:instrText>
      </w:r>
      <w:r>
        <w:fldChar w:fldCharType="separate"/>
      </w:r>
      <w:r>
        <w:t>11</w:t>
      </w:r>
      <w:r>
        <w:fldChar w:fldCharType="end"/>
      </w:r>
      <w:r>
        <w:fldChar w:fldCharType="end"/>
      </w:r>
    </w:p>
    <w:p w14:paraId="2288FFA1">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"_Toc501388866" </w:instrText>
      </w:r>
      <w:r>
        <w:fldChar w:fldCharType="separate"/>
      </w:r>
      <w:r>
        <w:rPr>
          <w:rStyle w:val="19"/>
          <w:rFonts w:hint="eastAsia" w:cs="Arial"/>
        </w:rPr>
        <w:t>医疗保险项目；将涵盖范围扩大至某些器械和相关服务的标准和程序</w:t>
      </w:r>
      <w:r>
        <w:tab/>
      </w:r>
      <w:r>
        <w:fldChar w:fldCharType="begin"/>
      </w:r>
      <w:r>
        <w:instrText xml:space="preserve"> PAGEREF _Toc501388866 \h </w:instrText>
      </w:r>
      <w:r>
        <w:fldChar w:fldCharType="separate"/>
      </w:r>
      <w:r>
        <w:t>11</w:t>
      </w:r>
      <w:r>
        <w:fldChar w:fldCharType="end"/>
      </w:r>
      <w:r>
        <w:fldChar w:fldCharType="end"/>
      </w:r>
    </w:p>
    <w:p w14:paraId="332E3DCC">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"_Toc501388867" </w:instrText>
      </w:r>
      <w:r>
        <w:fldChar w:fldCharType="separate"/>
      </w:r>
      <w:r>
        <w:rPr>
          <w:rStyle w:val="19"/>
          <w:rFonts w:hint="eastAsia" w:cs="Arial"/>
          <w:u w:color="000000"/>
        </w:rPr>
        <w:t>紧急研究；豁免知情同意</w:t>
      </w:r>
      <w:r>
        <w:tab/>
      </w:r>
      <w:r>
        <w:fldChar w:fldCharType="begin"/>
      </w:r>
      <w:r>
        <w:instrText xml:space="preserve"> PAGEREF _Toc501388867 \h </w:instrText>
      </w:r>
      <w:r>
        <w:fldChar w:fldCharType="separate"/>
      </w:r>
      <w:r>
        <w:t>12</w:t>
      </w:r>
      <w:r>
        <w:fldChar w:fldCharType="end"/>
      </w:r>
      <w:r>
        <w:fldChar w:fldCharType="end"/>
      </w:r>
    </w:p>
    <w:p w14:paraId="0B7B98E2">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"_Toc501388868" </w:instrText>
      </w:r>
      <w:r>
        <w:fldChar w:fldCharType="separate"/>
      </w:r>
      <w:r>
        <w:rPr>
          <w:rStyle w:val="19"/>
          <w:rFonts w:hint="eastAsia" w:cs="Arial"/>
        </w:rPr>
        <w:t>法规规定</w:t>
      </w:r>
      <w:r>
        <w:tab/>
      </w:r>
      <w:r>
        <w:fldChar w:fldCharType="begin"/>
      </w:r>
      <w:r>
        <w:instrText xml:space="preserve"> PAGEREF _Toc501388868 \h </w:instrText>
      </w:r>
      <w:r>
        <w:fldChar w:fldCharType="separate"/>
      </w:r>
      <w:r>
        <w:t>12</w:t>
      </w:r>
      <w:r>
        <w:fldChar w:fldCharType="end"/>
      </w:r>
      <w:r>
        <w:fldChar w:fldCharType="end"/>
      </w:r>
    </w:p>
    <w:p w14:paraId="3FAE1237">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"_Toc501388869" </w:instrText>
      </w:r>
      <w:r>
        <w:fldChar w:fldCharType="separate"/>
      </w:r>
      <w:r>
        <w:rPr>
          <w:rStyle w:val="19"/>
          <w:rFonts w:cs="Arial"/>
        </w:rPr>
        <w:t>ODE</w:t>
      </w:r>
      <w:r>
        <w:rPr>
          <w:rStyle w:val="19"/>
          <w:rFonts w:hint="eastAsia" w:cs="Arial"/>
        </w:rPr>
        <w:t>程序</w:t>
      </w:r>
      <w:r>
        <w:tab/>
      </w:r>
      <w:r>
        <w:fldChar w:fldCharType="begin"/>
      </w:r>
      <w:r>
        <w:instrText xml:space="preserve"> PAGEREF _Toc501388869 \h </w:instrText>
      </w:r>
      <w:r>
        <w:fldChar w:fldCharType="separate"/>
      </w:r>
      <w:r>
        <w:t>14</w:t>
      </w:r>
      <w:r>
        <w:fldChar w:fldCharType="end"/>
      </w:r>
      <w:r>
        <w:fldChar w:fldCharType="end"/>
      </w:r>
    </w:p>
    <w:p w14:paraId="59958971">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"_Toc501388870" </w:instrText>
      </w:r>
      <w:r>
        <w:fldChar w:fldCharType="separate"/>
      </w:r>
      <w:r>
        <w:rPr>
          <w:rStyle w:val="19"/>
          <w:rFonts w:hint="eastAsia" w:cs="Arial"/>
          <w:u w:color="000000"/>
        </w:rPr>
        <w:t>注明知情同意书签署日期</w:t>
      </w:r>
      <w:r>
        <w:tab/>
      </w:r>
      <w:r>
        <w:fldChar w:fldCharType="begin"/>
      </w:r>
      <w:r>
        <w:instrText xml:space="preserve"> PAGEREF _Toc501388870 \h </w:instrText>
      </w:r>
      <w:r>
        <w:fldChar w:fldCharType="separate"/>
      </w:r>
      <w:r>
        <w:t>14</w:t>
      </w:r>
      <w:r>
        <w:fldChar w:fldCharType="end"/>
      </w:r>
      <w:r>
        <w:fldChar w:fldCharType="end"/>
      </w:r>
    </w:p>
    <w:p w14:paraId="56CF1A34">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"_Toc501388871" </w:instrText>
      </w:r>
      <w:r>
        <w:fldChar w:fldCharType="separate"/>
      </w:r>
      <w:r>
        <w:rPr>
          <w:rStyle w:val="19"/>
          <w:rFonts w:hint="eastAsia" w:cs="Arial"/>
          <w:u w:color="000000"/>
        </w:rPr>
        <w:t>取消临床研究者的资格</w:t>
      </w:r>
      <w:r>
        <w:tab/>
      </w:r>
      <w:r>
        <w:fldChar w:fldCharType="begin"/>
      </w:r>
      <w:r>
        <w:instrText xml:space="preserve"> PAGEREF _Toc501388871 \h </w:instrText>
      </w:r>
      <w:r>
        <w:fldChar w:fldCharType="separate"/>
      </w:r>
      <w:r>
        <w:t>15</w:t>
      </w:r>
      <w:r>
        <w:fldChar w:fldCharType="end"/>
      </w:r>
      <w:r>
        <w:fldChar w:fldCharType="end"/>
      </w:r>
    </w:p>
    <w:p w14:paraId="21ED5740">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"_Toc501388872" </w:instrText>
      </w:r>
      <w:r>
        <w:fldChar w:fldCharType="separate"/>
      </w:r>
      <w:r>
        <w:rPr>
          <w:rStyle w:val="19"/>
          <w:rFonts w:hint="eastAsia" w:cs="Arial"/>
          <w:u w:color="000000"/>
        </w:rPr>
        <w:t>研究器械豁免；治疗使用</w:t>
      </w:r>
      <w:r>
        <w:tab/>
      </w:r>
      <w:r>
        <w:fldChar w:fldCharType="begin"/>
      </w:r>
      <w:r>
        <w:instrText xml:space="preserve"> PAGEREF _Toc501388872 \h </w:instrText>
      </w:r>
      <w:r>
        <w:fldChar w:fldCharType="separate"/>
      </w:r>
      <w:r>
        <w:t>15</w:t>
      </w:r>
      <w:r>
        <w:fldChar w:fldCharType="end"/>
      </w:r>
      <w:r>
        <w:fldChar w:fldCharType="end"/>
      </w:r>
    </w:p>
    <w:p w14:paraId="7F75D8D5">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"_Toc501388873" </w:instrText>
      </w:r>
      <w:r>
        <w:fldChar w:fldCharType="separate"/>
      </w:r>
      <w:r>
        <w:rPr>
          <w:rStyle w:val="19"/>
          <w:rFonts w:cs="Arial"/>
          <w:u w:color="000000"/>
        </w:rPr>
        <w:t>FDA</w:t>
      </w:r>
      <w:r>
        <w:rPr>
          <w:rStyle w:val="19"/>
          <w:rFonts w:hint="eastAsia" w:cs="Arial"/>
          <w:u w:color="000000"/>
        </w:rPr>
        <w:t>现代化法案第</w:t>
      </w:r>
      <w:r>
        <w:rPr>
          <w:rStyle w:val="19"/>
          <w:rFonts w:cs="Arial"/>
          <w:u w:color="000000"/>
        </w:rPr>
        <w:t>201</w:t>
      </w:r>
      <w:r>
        <w:rPr>
          <w:rStyle w:val="19"/>
          <w:rFonts w:hint="eastAsia" w:cs="Arial"/>
          <w:u w:color="000000"/>
        </w:rPr>
        <w:t>条</w:t>
      </w:r>
      <w:r>
        <w:tab/>
      </w:r>
      <w:r>
        <w:fldChar w:fldCharType="begin"/>
      </w:r>
      <w:r>
        <w:instrText xml:space="preserve"> PAGEREF _Toc501388873 \h </w:instrText>
      </w:r>
      <w:r>
        <w:fldChar w:fldCharType="separate"/>
      </w:r>
      <w:r>
        <w:t>16</w:t>
      </w:r>
      <w:r>
        <w:fldChar w:fldCharType="end"/>
      </w:r>
      <w:r>
        <w:fldChar w:fldCharType="end"/>
      </w:r>
    </w:p>
    <w:p w14:paraId="2C151D73">
      <w:pPr>
        <w:pStyle w:val="12"/>
        <w:tabs>
          <w:tab w:val="right" w:leader="dot" w:pos="9017"/>
        </w:tabs>
        <w:rPr>
          <w:rFonts w:asciiTheme="minorHAnsi" w:hAnsiTheme="minorHAnsi" w:eastAsiaTheme="minorEastAsia"/>
          <w:b w:val="0"/>
          <w:bCs w:val="0"/>
          <w:i w:val="0"/>
          <w:kern w:val="2"/>
          <w:sz w:val="21"/>
          <w:szCs w:val="22"/>
        </w:rPr>
      </w:pPr>
      <w:r>
        <w:fldChar w:fldCharType="begin"/>
      </w:r>
      <w:r>
        <w:instrText xml:space="preserve"> HYPERLINK \l "_Toc501388874" </w:instrText>
      </w:r>
      <w:r>
        <w:fldChar w:fldCharType="separate"/>
      </w:r>
      <w:r>
        <w:rPr>
          <w:rStyle w:val="19"/>
          <w:rFonts w:hint="eastAsia" w:cs="Arial"/>
        </w:rPr>
        <w:t>第</w:t>
      </w:r>
      <w:r>
        <w:rPr>
          <w:rStyle w:val="19"/>
          <w:rFonts w:cs="Arial"/>
        </w:rPr>
        <w:t>III</w:t>
      </w:r>
      <w:r>
        <w:rPr>
          <w:rStyle w:val="19"/>
          <w:rFonts w:hint="eastAsia" w:cs="Arial"/>
        </w:rPr>
        <w:t>章</w:t>
      </w:r>
      <w:r>
        <w:rPr>
          <w:rStyle w:val="19"/>
          <w:rFonts w:cs="Arial"/>
        </w:rPr>
        <w:t xml:space="preserve"> </w:t>
      </w:r>
      <w:r>
        <w:rPr>
          <w:rStyle w:val="19"/>
          <w:rFonts w:hint="eastAsia" w:cs="Arial"/>
        </w:rPr>
        <w:t>扩大未批准器械的使用范围</w:t>
      </w:r>
      <w:r>
        <w:tab/>
      </w:r>
      <w:r>
        <w:fldChar w:fldCharType="begin"/>
      </w:r>
      <w:r>
        <w:instrText xml:space="preserve"> PAGEREF _Toc501388874 \h </w:instrText>
      </w:r>
      <w:r>
        <w:fldChar w:fldCharType="separate"/>
      </w:r>
      <w:r>
        <w:t>17</w:t>
      </w:r>
      <w:r>
        <w:fldChar w:fldCharType="end"/>
      </w:r>
      <w:r>
        <w:fldChar w:fldCharType="end"/>
      </w:r>
    </w:p>
    <w:p w14:paraId="7C0CA621">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"_Toc501388875" </w:instrText>
      </w:r>
      <w:r>
        <w:fldChar w:fldCharType="separate"/>
      </w:r>
      <w:r>
        <w:rPr>
          <w:rStyle w:val="19"/>
          <w:rFonts w:hint="eastAsia" w:cs="Arial"/>
          <w:u w:color="000000"/>
        </w:rPr>
        <w:t>未批准医疗器械的紧急使用</w:t>
      </w:r>
      <w:r>
        <w:tab/>
      </w:r>
      <w:r>
        <w:fldChar w:fldCharType="begin"/>
      </w:r>
      <w:r>
        <w:instrText xml:space="preserve"> PAGEREF _Toc501388875 \h </w:instrText>
      </w:r>
      <w:r>
        <w:fldChar w:fldCharType="separate"/>
      </w:r>
      <w:r>
        <w:t>17</w:t>
      </w:r>
      <w:r>
        <w:fldChar w:fldCharType="end"/>
      </w:r>
      <w:r>
        <w:fldChar w:fldCharType="end"/>
      </w:r>
    </w:p>
    <w:p w14:paraId="1CB91ACE">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"_Toc501388876" </w:instrText>
      </w:r>
      <w:r>
        <w:fldChar w:fldCharType="separate"/>
      </w:r>
      <w:r>
        <w:rPr>
          <w:rStyle w:val="19"/>
          <w:rFonts w:hint="eastAsia" w:cs="Arial"/>
          <w:u w:color="000000"/>
        </w:rPr>
        <w:t>个体患者获取用于严重疾病的研究器械</w:t>
      </w:r>
      <w:r>
        <w:tab/>
      </w:r>
      <w:r>
        <w:fldChar w:fldCharType="begin"/>
      </w:r>
      <w:r>
        <w:instrText xml:space="preserve"> PAGEREF _Toc501388876 \h </w:instrText>
      </w:r>
      <w:r>
        <w:fldChar w:fldCharType="separate"/>
      </w:r>
      <w:r>
        <w:t>19</w:t>
      </w:r>
      <w:r>
        <w:fldChar w:fldCharType="end"/>
      </w:r>
      <w:r>
        <w:fldChar w:fldCharType="end"/>
      </w:r>
    </w:p>
    <w:p w14:paraId="586B481D">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"_Toc501388877" </w:instrText>
      </w:r>
      <w:r>
        <w:fldChar w:fldCharType="separate"/>
      </w:r>
      <w:r>
        <w:rPr>
          <w:rStyle w:val="19"/>
          <w:rFonts w:hint="eastAsia" w:cs="Arial"/>
          <w:u w:color="000000"/>
        </w:rPr>
        <w:t>研究器械的治疗使用</w:t>
      </w:r>
      <w:r>
        <w:tab/>
      </w:r>
      <w:r>
        <w:fldChar w:fldCharType="begin"/>
      </w:r>
      <w:r>
        <w:instrText xml:space="preserve"> PAGEREF _Toc501388877 \h </w:instrText>
      </w:r>
      <w:r>
        <w:fldChar w:fldCharType="separate"/>
      </w:r>
      <w:r>
        <w:t>20</w:t>
      </w:r>
      <w:r>
        <w:fldChar w:fldCharType="end"/>
      </w:r>
      <w:r>
        <w:fldChar w:fldCharType="end"/>
      </w:r>
    </w:p>
    <w:p w14:paraId="231D59EC">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"_Toc501388878" </w:instrText>
      </w:r>
      <w:r>
        <w:fldChar w:fldCharType="separate"/>
      </w:r>
      <w:r>
        <w:rPr>
          <w:rStyle w:val="19"/>
          <w:rFonts w:hint="eastAsia" w:cs="Arial"/>
        </w:rPr>
        <w:t>法规规定</w:t>
      </w:r>
      <w:r>
        <w:tab/>
      </w:r>
      <w:r>
        <w:fldChar w:fldCharType="begin"/>
      </w:r>
      <w:r>
        <w:instrText xml:space="preserve"> PAGEREF _Toc501388878 \h </w:instrText>
      </w:r>
      <w:r>
        <w:fldChar w:fldCharType="separate"/>
      </w:r>
      <w:r>
        <w:t>20</w:t>
      </w:r>
      <w:r>
        <w:fldChar w:fldCharType="end"/>
      </w:r>
      <w:r>
        <w:fldChar w:fldCharType="end"/>
      </w:r>
    </w:p>
    <w:p w14:paraId="35046DFC">
      <w:pPr>
        <w:pStyle w:val="8"/>
        <w:tabs>
          <w:tab w:val="right" w:leader="dot" w:pos="9017"/>
        </w:tabs>
        <w:ind w:left="1067"/>
        <w:rPr>
          <w:rFonts w:asciiTheme="minorHAnsi" w:hAnsiTheme="minorHAnsi" w:eastAsiaTheme="minorEastAsia"/>
          <w:b w:val="0"/>
          <w:bCs w:val="0"/>
          <w:i w:val="0"/>
          <w:kern w:val="2"/>
          <w:sz w:val="21"/>
          <w:szCs w:val="22"/>
        </w:rPr>
      </w:pPr>
      <w:r>
        <w:fldChar w:fldCharType="begin"/>
      </w:r>
      <w:r>
        <w:instrText xml:space="preserve"> HYPERLINK \l "_Toc501388879" </w:instrText>
      </w:r>
      <w:r>
        <w:fldChar w:fldCharType="separate"/>
      </w:r>
      <w:r>
        <w:rPr>
          <w:rStyle w:val="19"/>
          <w:rFonts w:hint="eastAsia" w:cs="Arial"/>
        </w:rPr>
        <w:t>程序</w:t>
      </w:r>
      <w:r>
        <w:tab/>
      </w:r>
      <w:r>
        <w:fldChar w:fldCharType="begin"/>
      </w:r>
      <w:r>
        <w:instrText xml:space="preserve"> PAGEREF _Toc501388879 \h </w:instrText>
      </w:r>
      <w:r>
        <w:fldChar w:fldCharType="separate"/>
      </w:r>
      <w:r>
        <w:t>21</w:t>
      </w:r>
      <w:r>
        <w:fldChar w:fldCharType="end"/>
      </w:r>
      <w:r>
        <w:fldChar w:fldCharType="end"/>
      </w:r>
    </w:p>
    <w:p w14:paraId="7A0A7D1E">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"_Toc501388880" </w:instrText>
      </w:r>
      <w:r>
        <w:fldChar w:fldCharType="separate"/>
      </w:r>
      <w:r>
        <w:rPr>
          <w:rStyle w:val="19"/>
          <w:rFonts w:hint="eastAsia" w:cs="Arial"/>
          <w:u w:color="000000"/>
        </w:rPr>
        <w:t>继续使用研究器械</w:t>
      </w:r>
      <w:r>
        <w:tab/>
      </w:r>
      <w:r>
        <w:fldChar w:fldCharType="begin"/>
      </w:r>
      <w:r>
        <w:instrText xml:space="preserve"> PAGEREF _Toc501388880 \h </w:instrText>
      </w:r>
      <w:r>
        <w:fldChar w:fldCharType="separate"/>
      </w:r>
      <w:r>
        <w:t>22</w:t>
      </w:r>
      <w:r>
        <w:fldChar w:fldCharType="end"/>
      </w:r>
      <w:r>
        <w:fldChar w:fldCharType="end"/>
      </w:r>
    </w:p>
    <w:p w14:paraId="646FF87F">
      <w:pPr>
        <w:pStyle w:val="16"/>
        <w:tabs>
          <w:tab w:val="right" w:leader="dot" w:pos="9017"/>
        </w:tabs>
        <w:ind w:left="440"/>
        <w:rPr>
          <w:rFonts w:asciiTheme="minorHAnsi" w:hAnsiTheme="minorHAnsi" w:eastAsiaTheme="minorEastAsia"/>
          <w:b w:val="0"/>
          <w:bCs w:val="0"/>
          <w:i w:val="0"/>
          <w:kern w:val="2"/>
          <w:sz w:val="21"/>
          <w:szCs w:val="22"/>
        </w:rPr>
      </w:pPr>
      <w:r>
        <w:fldChar w:fldCharType="begin"/>
      </w:r>
      <w:r>
        <w:instrText xml:space="preserve"> HYPERLINK \l "_Toc501388881" </w:instrText>
      </w:r>
      <w:r>
        <w:fldChar w:fldCharType="separate"/>
      </w:r>
      <w:r>
        <w:rPr>
          <w:rStyle w:val="19"/>
          <w:rFonts w:hint="eastAsia" w:cs="Arial"/>
        </w:rPr>
        <w:t>未批准器械的扩大访问机制-表</w:t>
      </w:r>
      <w:r>
        <w:tab/>
      </w:r>
      <w:r>
        <w:fldChar w:fldCharType="begin"/>
      </w:r>
      <w:r>
        <w:instrText xml:space="preserve"> PAGEREF _Toc501388881 \h </w:instrText>
      </w:r>
      <w:r>
        <w:fldChar w:fldCharType="separate"/>
      </w:r>
      <w:r>
        <w:t>25</w:t>
      </w:r>
      <w:r>
        <w:fldChar w:fldCharType="end"/>
      </w:r>
      <w:r>
        <w:fldChar w:fldCharType="end"/>
      </w:r>
    </w:p>
    <w:p w14:paraId="04892008">
      <w:pPr>
        <w:snapToGrid w:val="0"/>
        <w:spacing w:after="180" w:afterLines="75" w:line="300" w:lineRule="auto"/>
        <w:jc w:val="both"/>
        <w:rPr>
          <w:rFonts w:ascii="Arial" w:hAnsi="Arial" w:eastAsia="宋体" w:cs="Arial"/>
          <w:sz w:val="24"/>
          <w:szCs w:val="24"/>
        </w:rPr>
      </w:pPr>
      <w:r>
        <w:rPr>
          <w:rFonts w:ascii="Arial" w:hAnsi="Arial" w:eastAsia="宋体" w:cs="Arial"/>
          <w:sz w:val="24"/>
          <w:szCs w:val="24"/>
        </w:rPr>
        <w:fldChar w:fldCharType="end"/>
      </w:r>
    </w:p>
    <w:p w14:paraId="7D02201C">
      <w:pPr>
        <w:pStyle w:val="3"/>
        <w:tabs>
          <w:tab w:val="right" w:leader="dot" w:pos="9079"/>
        </w:tabs>
        <w:snapToGrid w:val="0"/>
        <w:spacing w:after="180" w:afterLines="75" w:line="300" w:lineRule="auto"/>
        <w:ind w:left="0"/>
        <w:jc w:val="center"/>
        <w:rPr>
          <w:rFonts w:ascii="Arial" w:hAnsi="Arial" w:cs="Arial"/>
        </w:rPr>
      </w:pPr>
    </w:p>
    <w:p w14:paraId="5DF9AD47">
      <w:pPr>
        <w:pStyle w:val="2"/>
        <w:snapToGrid w:val="0"/>
        <w:spacing w:after="180" w:afterLines="75" w:line="300" w:lineRule="auto"/>
        <w:ind w:left="119"/>
        <w:jc w:val="center"/>
        <w:rPr>
          <w:rFonts w:ascii="Arial" w:hAnsi="Arial" w:cs="Arial"/>
          <w:i/>
        </w:rPr>
        <w:sectPr>
          <w:footerReference r:id="rId5" w:type="default"/>
          <w:pgSz w:w="11907" w:h="16839"/>
          <w:pgMar w:top="1134" w:right="1440" w:bottom="1134" w:left="1440" w:header="0" w:footer="720" w:gutter="0"/>
          <w:pgNumType w:fmt="lowerRoman" w:start="1"/>
          <w:cols w:space="720" w:num="1"/>
          <w:docGrid w:linePitch="299" w:charSpace="0"/>
        </w:sectPr>
      </w:pPr>
      <w:bookmarkStart w:id="0" w:name="_TOC_250028"/>
    </w:p>
    <w:p w14:paraId="4457027F">
      <w:pPr>
        <w:pStyle w:val="2"/>
        <w:snapToGrid w:val="0"/>
        <w:spacing w:after="180" w:afterLines="75" w:line="360" w:lineRule="auto"/>
        <w:ind w:left="119"/>
        <w:jc w:val="center"/>
        <w:rPr>
          <w:rFonts w:ascii="Arial" w:hAnsi="Arial" w:cs="Arial"/>
          <w:b w:val="0"/>
          <w:bCs w:val="0"/>
          <w:i/>
        </w:rPr>
      </w:pPr>
      <w:bookmarkStart w:id="1" w:name="_Toc501388845"/>
      <w:r>
        <w:rPr>
          <w:rFonts w:ascii="Arial" w:hAnsi="Arial" w:cs="Arial"/>
          <w:i/>
        </w:rPr>
        <w:t>第I章</w:t>
      </w:r>
      <w:r>
        <w:rPr>
          <w:rFonts w:ascii="Arial" w:hAnsi="Arial" w:cs="Arial"/>
          <w:i/>
        </w:rPr>
        <w:br w:type="textWrapping"/>
      </w:r>
      <w:r>
        <w:rPr>
          <w:rFonts w:ascii="Arial" w:hAnsi="Arial" w:cs="Arial"/>
          <w:i/>
        </w:rPr>
        <w:t>IDE政策概述</w:t>
      </w:r>
      <w:bookmarkEnd w:id="0"/>
      <w:bookmarkEnd w:id="1"/>
    </w:p>
    <w:p w14:paraId="7160CF3C">
      <w:pPr>
        <w:pStyle w:val="6"/>
        <w:snapToGrid w:val="0"/>
        <w:spacing w:after="180" w:afterLines="75" w:line="360" w:lineRule="auto"/>
        <w:ind w:left="0"/>
        <w:jc w:val="both"/>
        <w:rPr>
          <w:rFonts w:ascii="Arial" w:hAnsi="Arial" w:cs="Arial"/>
        </w:rPr>
      </w:pPr>
      <w:r>
        <w:rPr>
          <w:rFonts w:ascii="Arial" w:hAnsi="Arial" w:cs="Arial"/>
        </w:rPr>
        <w:t>本文档旨在为器械评价办公室（ODE）审查员提供指导</w:t>
      </w:r>
      <w:r>
        <w:rPr>
          <w:rStyle w:val="20"/>
          <w:rFonts w:ascii="Arial" w:hAnsi="Arial" w:cs="Arial"/>
        </w:rPr>
        <w:footnoteReference w:id="0"/>
      </w:r>
      <w:r>
        <w:rPr>
          <w:rFonts w:ascii="Arial" w:hAnsi="Arial" w:cs="Arial"/>
        </w:rPr>
        <w:t>，帮助其解决审查研究器械豁免（IDE）授权时经常遇到的问题。本文档的第I章将介绍有关IDE申请审查的一般问题。随后，第II章将讨论若干可能影响IDE项目的新法规。最后，第III章将介绍对面临致命性或严重病症的患者的提供未经批准器械的四种主要机制。</w:t>
      </w:r>
    </w:p>
    <w:p w14:paraId="295CF5DB">
      <w:pPr>
        <w:pStyle w:val="6"/>
        <w:snapToGrid w:val="0"/>
        <w:spacing w:after="180" w:afterLines="75" w:line="360" w:lineRule="auto"/>
        <w:ind w:left="0"/>
        <w:jc w:val="both"/>
        <w:rPr>
          <w:rFonts w:ascii="Arial" w:hAnsi="Arial" w:cs="Arial"/>
        </w:rPr>
      </w:pPr>
      <w:r>
        <w:rPr>
          <w:rFonts w:ascii="Arial" w:hAnsi="Arial" w:cs="Arial"/>
        </w:rPr>
        <w:t>在某些情况下，由于有些信息先前已在ODE蓝皮书备忘录或其他指南中提供，本文仅提供总结信息。但如果可能，本文会详细说明需遵循的具体程序，包括引用适当的ODE蓝皮书备忘录和IDE样板信函。</w:t>
      </w:r>
    </w:p>
    <w:p w14:paraId="3274ABC3">
      <w:pPr>
        <w:pStyle w:val="3"/>
        <w:snapToGrid w:val="0"/>
        <w:spacing w:after="180" w:afterLines="75" w:line="360" w:lineRule="auto"/>
        <w:ind w:left="0"/>
        <w:jc w:val="both"/>
        <w:rPr>
          <w:rFonts w:ascii="Arial" w:hAnsi="Arial" w:cs="Arial"/>
          <w:b w:val="0"/>
          <w:bCs w:val="0"/>
          <w:i w:val="0"/>
          <w:u w:val="none"/>
        </w:rPr>
      </w:pPr>
      <w:bookmarkStart w:id="2" w:name="_Toc501388846"/>
      <w:bookmarkStart w:id="3" w:name="_TOC_250027"/>
      <w:r>
        <w:rPr>
          <w:rFonts w:ascii="Arial" w:hAnsi="Arial" w:cs="Arial"/>
          <w:u w:val="thick" w:color="000000"/>
        </w:rPr>
        <w:t>IDE前过程</w:t>
      </w:r>
      <w:bookmarkEnd w:id="2"/>
      <w:bookmarkEnd w:id="3"/>
    </w:p>
    <w:p w14:paraId="37D0E694">
      <w:pPr>
        <w:pStyle w:val="6"/>
        <w:snapToGrid w:val="0"/>
        <w:spacing w:after="180" w:afterLines="75" w:line="360" w:lineRule="auto"/>
        <w:ind w:left="0"/>
        <w:jc w:val="both"/>
        <w:rPr>
          <w:rFonts w:ascii="Arial" w:hAnsi="Arial" w:cs="Arial"/>
        </w:rPr>
      </w:pPr>
      <w:r>
        <w:rPr>
          <w:rFonts w:ascii="Arial" w:hAnsi="Arial" w:cs="Arial"/>
        </w:rPr>
        <w:t>为了促进根据IDE法规开展临床试验，食品药品监督管理局（FDA）鼓励申办方在提交原始IDE申请前，与ODE审查部门进行沟通。这种沟通可以采取</w:t>
      </w:r>
      <w:r>
        <w:rPr>
          <w:rFonts w:ascii="宋体" w:hAnsi="宋体" w:cs="Arial"/>
        </w:rPr>
        <w:t>“</w:t>
      </w:r>
      <w:r>
        <w:rPr>
          <w:rFonts w:ascii="Arial" w:hAnsi="Arial" w:cs="Arial"/>
        </w:rPr>
        <w:t>IDE前</w:t>
      </w:r>
      <w:r>
        <w:rPr>
          <w:rFonts w:ascii="宋体" w:hAnsi="宋体" w:cs="Arial"/>
        </w:rPr>
        <w:t>”</w:t>
      </w:r>
      <w:r>
        <w:rPr>
          <w:rFonts w:ascii="Arial" w:hAnsi="Arial" w:cs="Arial"/>
        </w:rPr>
        <w:t>会议和/或</w:t>
      </w:r>
      <w:r>
        <w:rPr>
          <w:rFonts w:ascii="宋体" w:hAnsi="宋体" w:cs="Arial"/>
        </w:rPr>
        <w:t>“</w:t>
      </w:r>
      <w:r>
        <w:rPr>
          <w:rFonts w:ascii="Arial" w:hAnsi="Arial" w:cs="Arial"/>
        </w:rPr>
        <w:t>IDE前</w:t>
      </w:r>
      <w:r>
        <w:rPr>
          <w:rFonts w:ascii="宋体" w:hAnsi="宋体" w:cs="Arial"/>
        </w:rPr>
        <w:t>”</w:t>
      </w:r>
      <w:r>
        <w:rPr>
          <w:rFonts w:ascii="Arial" w:hAnsi="Arial" w:cs="Arial"/>
        </w:rPr>
        <w:t>提交的形式。</w:t>
      </w:r>
    </w:p>
    <w:p w14:paraId="038D7E3F">
      <w:pPr>
        <w:pStyle w:val="4"/>
        <w:keepNext w:val="0"/>
        <w:keepLines w:val="0"/>
        <w:snapToGrid w:val="0"/>
        <w:spacing w:before="0" w:after="180" w:afterLines="75" w:line="360" w:lineRule="auto"/>
        <w:rPr>
          <w:rFonts w:ascii="Arial" w:hAnsi="Arial" w:cs="Arial"/>
          <w:b w:val="0"/>
          <w:bCs w:val="0"/>
          <w:sz w:val="24"/>
          <w:szCs w:val="24"/>
        </w:rPr>
      </w:pPr>
      <w:bookmarkStart w:id="4" w:name="_TOC_250026"/>
      <w:bookmarkStart w:id="5" w:name="_Toc501388847"/>
      <w:r>
        <w:rPr>
          <w:rFonts w:ascii="Arial" w:hAnsi="Arial" w:cs="Arial"/>
          <w:sz w:val="24"/>
          <w:szCs w:val="24"/>
        </w:rPr>
        <w:t>IDE前会议</w:t>
      </w:r>
      <w:bookmarkEnd w:id="4"/>
      <w:bookmarkEnd w:id="5"/>
    </w:p>
    <w:p w14:paraId="54AB4722">
      <w:pPr>
        <w:pStyle w:val="6"/>
        <w:snapToGrid w:val="0"/>
        <w:spacing w:after="180" w:afterLines="75" w:line="360" w:lineRule="auto"/>
        <w:ind w:left="0"/>
        <w:jc w:val="both"/>
        <w:rPr>
          <w:rFonts w:ascii="Arial" w:hAnsi="Arial" w:cs="Arial"/>
        </w:rPr>
      </w:pPr>
      <w:r>
        <w:rPr>
          <w:rFonts w:ascii="Arial" w:hAnsi="Arial" w:cs="Arial"/>
        </w:rPr>
        <w:t>IDE前会议分为两种：FDA提供</w:t>
      </w:r>
      <w:r>
        <w:rPr>
          <w:rFonts w:ascii="宋体" w:hAnsi="宋体" w:cs="Arial"/>
        </w:rPr>
        <w:t>“</w:t>
      </w:r>
      <w:r>
        <w:rPr>
          <w:rFonts w:ascii="Arial" w:hAnsi="Arial" w:cs="Arial"/>
        </w:rPr>
        <w:t>非正式指导</w:t>
      </w:r>
      <w:r>
        <w:rPr>
          <w:rFonts w:ascii="宋体" w:hAnsi="宋体" w:cs="Arial"/>
        </w:rPr>
        <w:t>”</w:t>
      </w:r>
      <w:r>
        <w:rPr>
          <w:rFonts w:ascii="Arial" w:hAnsi="Arial" w:cs="Arial"/>
        </w:rPr>
        <w:t>的会议和FDA根据1997年《FDA现代化法案》第201条规定提供</w:t>
      </w:r>
      <w:r>
        <w:rPr>
          <w:rFonts w:ascii="宋体" w:hAnsi="宋体" w:cs="Arial"/>
        </w:rPr>
        <w:t>“</w:t>
      </w:r>
      <w:r>
        <w:rPr>
          <w:rFonts w:ascii="Arial" w:hAnsi="Arial" w:cs="Arial"/>
        </w:rPr>
        <w:t>正式指导</w:t>
      </w:r>
      <w:r>
        <w:rPr>
          <w:rFonts w:ascii="宋体" w:hAnsi="宋体" w:cs="Arial"/>
        </w:rPr>
        <w:t>”</w:t>
      </w:r>
      <w:r>
        <w:rPr>
          <w:rFonts w:ascii="Arial" w:hAnsi="Arial" w:cs="Arial"/>
        </w:rPr>
        <w:t>的会议。</w:t>
      </w:r>
    </w:p>
    <w:p w14:paraId="50FAF2FA">
      <w:pPr>
        <w:snapToGrid w:val="0"/>
        <w:spacing w:after="180" w:afterLines="75" w:line="360" w:lineRule="auto"/>
        <w:outlineLvl w:val="3"/>
        <w:rPr>
          <w:rFonts w:ascii="Arial" w:hAnsi="Arial" w:cs="Arial"/>
          <w:b/>
          <w:sz w:val="24"/>
          <w:szCs w:val="24"/>
        </w:rPr>
      </w:pPr>
      <w:bookmarkStart w:id="6" w:name="_Toc501388848"/>
      <w:bookmarkStart w:id="7" w:name="_TOC_250025"/>
      <w:r>
        <w:rPr>
          <w:rFonts w:ascii="Arial" w:hAnsi="Arial" w:cs="Arial"/>
          <w:b/>
          <w:sz w:val="24"/>
          <w:szCs w:val="24"/>
        </w:rPr>
        <w:t>“非正式指导”会议</w:t>
      </w:r>
      <w:bookmarkEnd w:id="6"/>
      <w:bookmarkEnd w:id="7"/>
    </w:p>
    <w:p w14:paraId="27EC7B67">
      <w:pPr>
        <w:pStyle w:val="6"/>
        <w:snapToGrid w:val="0"/>
        <w:spacing w:after="180" w:afterLines="75" w:line="360" w:lineRule="auto"/>
        <w:ind w:left="0"/>
        <w:jc w:val="both"/>
        <w:rPr>
          <w:rFonts w:ascii="Arial" w:hAnsi="Arial" w:cs="Arial"/>
        </w:rPr>
      </w:pPr>
      <w:r>
        <w:rPr>
          <w:rFonts w:ascii="Arial" w:hAnsi="Arial" w:cs="Arial"/>
        </w:rPr>
        <w:t>鼓励申办方在将IDE申请提交审查前与ODE审查部门会面，以便审查部门提供建议/指导，帮助申办方制定可纳入IDE申请的支持性临床前数据或研究计划。这些会议可以采取电话会议、视频会议或当面讨论等形式。无论IDE前会议的形式如何，所有会议均应由ODE审查部门记录，且每个季度均应向ODE高级管理层报告。会议记录应包括会议召开日期、与会者、是否已在会议之前将材料提交给ODE工作人员讨论/审查、讨论总结以及FDA提供的任何建议或指导。</w:t>
      </w:r>
      <w:r>
        <w:rPr>
          <w:rFonts w:ascii="Arial" w:hAnsi="Arial" w:cs="Arial"/>
        </w:rPr>
        <w:br w:type="page"/>
      </w:r>
    </w:p>
    <w:p w14:paraId="3946745F">
      <w:pPr>
        <w:snapToGrid w:val="0"/>
        <w:spacing w:after="180" w:afterLines="75" w:line="360" w:lineRule="auto"/>
        <w:outlineLvl w:val="3"/>
        <w:rPr>
          <w:rFonts w:ascii="Arial" w:hAnsi="Arial" w:cs="Arial"/>
          <w:b/>
          <w:bCs/>
          <w:sz w:val="24"/>
          <w:szCs w:val="24"/>
        </w:rPr>
      </w:pPr>
      <w:bookmarkStart w:id="8" w:name="_TOC_250024"/>
      <w:bookmarkStart w:id="9" w:name="_Toc501388849"/>
      <w:r>
        <w:rPr>
          <w:rFonts w:ascii="Arial" w:hAnsi="Arial" w:cs="Arial"/>
          <w:b/>
          <w:sz w:val="24"/>
          <w:szCs w:val="24"/>
        </w:rPr>
        <w:t>“正式指导”会议</w:t>
      </w:r>
      <w:bookmarkEnd w:id="8"/>
      <w:bookmarkEnd w:id="9"/>
    </w:p>
    <w:p w14:paraId="6941ED02">
      <w:pPr>
        <w:pStyle w:val="6"/>
        <w:snapToGrid w:val="0"/>
        <w:spacing w:after="180" w:afterLines="75" w:line="360" w:lineRule="auto"/>
        <w:ind w:left="0"/>
        <w:jc w:val="both"/>
        <w:rPr>
          <w:rFonts w:ascii="Arial" w:hAnsi="Arial" w:cs="Arial"/>
        </w:rPr>
      </w:pPr>
      <w:r>
        <w:rPr>
          <w:rFonts w:ascii="Arial" w:hAnsi="Arial" w:cs="Arial"/>
        </w:rPr>
        <w:t>申办方或申请人可以书面申请召开会议，与FDA商定研究计划审查（包括临床方案）。根据法律要求，会议应该在收到申请后30天内举行。书面申请应提供器械的详细说明、拟定器械使用条件的详细说明、拟定计划（包括临床方案）（用于确定有效性是否得到合理保证）以及有关器械预期性能的信息（如果可用）。</w:t>
      </w:r>
    </w:p>
    <w:p w14:paraId="32CBA565">
      <w:pPr>
        <w:pStyle w:val="6"/>
        <w:snapToGrid w:val="0"/>
        <w:spacing w:after="180" w:afterLines="75" w:line="360" w:lineRule="auto"/>
        <w:ind w:left="0"/>
        <w:jc w:val="both"/>
        <w:rPr>
          <w:rFonts w:ascii="Arial" w:hAnsi="Arial" w:cs="Arial"/>
        </w:rPr>
      </w:pPr>
      <w:r>
        <w:rPr>
          <w:rFonts w:ascii="Arial" w:hAnsi="Arial" w:cs="Arial"/>
        </w:rPr>
        <w:t>如果FDA与申办方或申请人就研究计划（包括临床方案）的参数达成协议，协议的条款应以书面形式规定，并由FDA录入行政记录。</w:t>
      </w:r>
    </w:p>
    <w:p w14:paraId="1627BF88">
      <w:pPr>
        <w:pStyle w:val="6"/>
        <w:snapToGrid w:val="0"/>
        <w:spacing w:after="180" w:afterLines="75" w:line="360" w:lineRule="auto"/>
        <w:ind w:left="0"/>
        <w:jc w:val="both"/>
        <w:rPr>
          <w:rFonts w:ascii="Arial" w:hAnsi="Arial" w:cs="Arial"/>
        </w:rPr>
      </w:pPr>
      <w:r>
        <w:rPr>
          <w:rFonts w:ascii="Arial" w:hAnsi="Arial" w:cs="Arial"/>
        </w:rPr>
        <w:t>实施该新要求的详细程序即将发布。</w:t>
      </w:r>
    </w:p>
    <w:p w14:paraId="6C488D30">
      <w:pPr>
        <w:pStyle w:val="4"/>
        <w:keepNext w:val="0"/>
        <w:keepLines w:val="0"/>
        <w:snapToGrid w:val="0"/>
        <w:spacing w:before="0" w:after="180" w:afterLines="75" w:line="360" w:lineRule="auto"/>
        <w:rPr>
          <w:rFonts w:ascii="Arial" w:hAnsi="Arial" w:cs="Arial"/>
          <w:sz w:val="24"/>
          <w:szCs w:val="24"/>
        </w:rPr>
      </w:pPr>
      <w:bookmarkStart w:id="10" w:name="_TOC_250023"/>
      <w:bookmarkStart w:id="11" w:name="_Toc501388850"/>
      <w:r>
        <w:rPr>
          <w:rFonts w:ascii="Arial" w:hAnsi="Arial" w:cs="Arial"/>
          <w:sz w:val="24"/>
          <w:szCs w:val="24"/>
        </w:rPr>
        <w:t>IDE前提交</w:t>
      </w:r>
      <w:bookmarkEnd w:id="10"/>
      <w:bookmarkEnd w:id="11"/>
    </w:p>
    <w:p w14:paraId="6A70C8D1">
      <w:pPr>
        <w:pStyle w:val="6"/>
        <w:snapToGrid w:val="0"/>
        <w:spacing w:after="180" w:afterLines="75" w:line="360" w:lineRule="auto"/>
        <w:ind w:left="0"/>
        <w:jc w:val="both"/>
        <w:rPr>
          <w:rFonts w:ascii="Arial" w:hAnsi="Arial" w:cs="Arial"/>
        </w:rPr>
      </w:pPr>
      <w:r>
        <w:rPr>
          <w:rFonts w:ascii="Arial" w:hAnsi="Arial" w:cs="Arial"/>
        </w:rPr>
        <w:t>申办方在编制正式IDE提交时，如果需要FDA关于IDE申请的某些棘手部分提供正式指导，例如临床方案设计、临床前试验方案、临床前试验结果、国外研究方案（如果此类研究用于支持未来将提交给FDA的上市申请）或其他信息，可随时向ODE审查部门提交IDE前提交。</w:t>
      </w:r>
    </w:p>
    <w:p w14:paraId="66D4F5D3">
      <w:pPr>
        <w:pStyle w:val="6"/>
        <w:snapToGrid w:val="0"/>
        <w:spacing w:after="180" w:afterLines="75" w:line="360" w:lineRule="auto"/>
        <w:ind w:left="0"/>
        <w:jc w:val="both"/>
        <w:rPr>
          <w:rFonts w:ascii="Arial" w:hAnsi="Arial" w:cs="Arial"/>
        </w:rPr>
      </w:pPr>
      <w:r>
        <w:rPr>
          <w:rFonts w:ascii="Arial" w:hAnsi="Arial" w:cs="Arial"/>
        </w:rPr>
        <w:t>可以将IDE前提交录入文档邮件中心（DMC）的IDE前跟踪系统。录入文档后，DMC将提交放入白色文件夹内，附上追踪表，并打印IDE前申办方的确认函，然后将提交和确认函转寄给适当的审查部门。审查部门应核实提交是否由其审查，并在签署确认函后将其副本放入IDE前，将确认信函原件邮寄给申办方。</w:t>
      </w:r>
    </w:p>
    <w:p w14:paraId="370601E5">
      <w:pPr>
        <w:pStyle w:val="6"/>
        <w:snapToGrid w:val="0"/>
        <w:spacing w:after="180" w:afterLines="75" w:line="360" w:lineRule="auto"/>
        <w:ind w:left="0"/>
        <w:jc w:val="both"/>
        <w:rPr>
          <w:rFonts w:ascii="Arial" w:hAnsi="Arial" w:cs="Arial"/>
        </w:rPr>
      </w:pPr>
      <w:r>
        <w:rPr>
          <w:rFonts w:ascii="Arial" w:hAnsi="Arial" w:cs="Arial"/>
        </w:rPr>
        <w:t>完成审查IDE前提交后，该部门应及时回复申办方，通常在收到提交后60天内。回复可以为信函，或在会议或电话会议期间提供的评论。如果FDA通过在会议或电话会议期间提供评论来进行回复，则应事先备好会议或电话会议备忘录。该部门将负责确保所有备忘录、评论、信函等都包含在夹套存档原件中，以供证明。审查完成后，应将文档退回DMC归档。</w:t>
      </w:r>
    </w:p>
    <w:p w14:paraId="0C99422A">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0FDF822C">
      <w:pPr>
        <w:pStyle w:val="6"/>
        <w:snapToGrid w:val="0"/>
        <w:spacing w:after="180" w:afterLines="75" w:line="360" w:lineRule="auto"/>
        <w:ind w:left="0"/>
        <w:jc w:val="both"/>
        <w:rPr>
          <w:rFonts w:ascii="Arial" w:hAnsi="Arial" w:cs="Arial"/>
        </w:rPr>
      </w:pPr>
      <w:r>
        <w:rPr>
          <w:rFonts w:ascii="Arial" w:hAnsi="Arial" w:cs="Arial"/>
        </w:rPr>
        <w:t>有关更多指导，请参见蓝皮书备忘录＃D95-1《IDE项目的目标和方案》。</w:t>
      </w:r>
    </w:p>
    <w:p w14:paraId="4588E06D">
      <w:pPr>
        <w:pStyle w:val="3"/>
        <w:snapToGrid w:val="0"/>
        <w:spacing w:after="180" w:afterLines="75" w:line="360" w:lineRule="auto"/>
        <w:ind w:left="0"/>
        <w:jc w:val="both"/>
        <w:rPr>
          <w:rFonts w:ascii="Arial" w:hAnsi="Arial" w:cs="Arial"/>
          <w:b w:val="0"/>
          <w:bCs w:val="0"/>
          <w:i w:val="0"/>
          <w:u w:val="none"/>
        </w:rPr>
      </w:pPr>
      <w:bookmarkStart w:id="12" w:name="_Toc501388851"/>
      <w:bookmarkStart w:id="13" w:name="_TOC_250022"/>
      <w:r>
        <w:rPr>
          <w:rFonts w:ascii="Arial" w:hAnsi="Arial" w:cs="Arial"/>
          <w:u w:val="thick" w:color="000000"/>
        </w:rPr>
        <w:t>交互式IDE审查</w:t>
      </w:r>
      <w:bookmarkEnd w:id="12"/>
      <w:bookmarkEnd w:id="13"/>
    </w:p>
    <w:p w14:paraId="46D9DCBE">
      <w:pPr>
        <w:pStyle w:val="6"/>
        <w:snapToGrid w:val="0"/>
        <w:spacing w:after="180" w:afterLines="75" w:line="360" w:lineRule="auto"/>
        <w:ind w:left="0"/>
        <w:jc w:val="both"/>
        <w:rPr>
          <w:rFonts w:ascii="Arial" w:hAnsi="Arial" w:cs="Arial"/>
        </w:rPr>
      </w:pPr>
      <w:r>
        <w:rPr>
          <w:rFonts w:ascii="Arial" w:hAnsi="Arial" w:cs="Arial"/>
        </w:rPr>
        <w:t>通过在IDE审查过程中与受监管行业频繁沟通，而不仅仅是在审核完成之后进行沟通，可以在较少审查循环内解决信息不充分的问题。这可为行业和ODE工作人员提供巨大收益。因此，征得主管人员同意后，ODE审查员可以使用电话或电传来协助交互式审查过程。此类通信的证明文件应纳入IDE记录，通过电传传输的信息副本应录入IDE数据库中。</w:t>
      </w:r>
    </w:p>
    <w:p w14:paraId="3A995C25">
      <w:pPr>
        <w:pStyle w:val="6"/>
        <w:snapToGrid w:val="0"/>
        <w:spacing w:after="180" w:afterLines="75" w:line="360" w:lineRule="auto"/>
        <w:ind w:left="0"/>
        <w:jc w:val="both"/>
        <w:rPr>
          <w:rFonts w:ascii="Arial" w:hAnsi="Arial" w:cs="Arial"/>
        </w:rPr>
      </w:pPr>
      <w:r>
        <w:rPr>
          <w:rFonts w:ascii="Arial" w:hAnsi="Arial" w:cs="Arial"/>
        </w:rPr>
        <w:t>有关交互式审查过程和IDE电传政策的更多指南，请参见蓝皮书备忘录＃D95-1。</w:t>
      </w:r>
    </w:p>
    <w:p w14:paraId="74786028">
      <w:pPr>
        <w:pStyle w:val="3"/>
        <w:snapToGrid w:val="0"/>
        <w:spacing w:after="180" w:afterLines="75" w:line="360" w:lineRule="auto"/>
        <w:ind w:left="0"/>
        <w:jc w:val="both"/>
        <w:rPr>
          <w:rFonts w:ascii="Arial" w:hAnsi="Arial" w:cs="Arial"/>
          <w:b w:val="0"/>
          <w:bCs w:val="0"/>
          <w:i w:val="0"/>
          <w:u w:val="none"/>
        </w:rPr>
      </w:pPr>
      <w:bookmarkStart w:id="14" w:name="_TOC_250021"/>
      <w:bookmarkStart w:id="15" w:name="_Toc501388852"/>
      <w:r>
        <w:rPr>
          <w:rFonts w:ascii="Arial" w:hAnsi="Arial" w:cs="Arial"/>
          <w:u w:val="thick" w:color="000000"/>
        </w:rPr>
        <w:t>知情同意书</w:t>
      </w:r>
      <w:bookmarkEnd w:id="14"/>
      <w:bookmarkEnd w:id="15"/>
    </w:p>
    <w:p w14:paraId="3788D5ED">
      <w:pPr>
        <w:pStyle w:val="6"/>
        <w:snapToGrid w:val="0"/>
        <w:spacing w:after="180" w:afterLines="75" w:line="360" w:lineRule="auto"/>
        <w:ind w:left="0"/>
        <w:jc w:val="both"/>
        <w:rPr>
          <w:rFonts w:ascii="Arial" w:hAnsi="Arial" w:cs="Arial"/>
        </w:rPr>
      </w:pPr>
      <w:r>
        <w:rPr>
          <w:rFonts w:ascii="Arial" w:hAnsi="Arial" w:cs="Arial"/>
        </w:rPr>
        <w:t>在IDE过程中，ODE工作人员将审查并批准知情同意书（ICD）样本。ICD样本应符合21 CFR 50并与核准方案一致。审查ICD时，审查员应确保，其涵盖第50.25（a）条规定的八个基本要素，此外，审查员还应了解，各审查IRB都会定期修改ICD的语言和格式，以符合其机构的政策和要求。FDA批准ICD样本后，申办方有责任确保，各参与机构使用的ICD均包含规定的知情同意要素。如果IRB要求对任何规定要素进行重大更改，则IDE申办方应在将修改后的知情同意书应用于其机构前，提交给FDA审查和批准。申办方有责任确定此类更改是否需要FDA审查。</w:t>
      </w:r>
    </w:p>
    <w:p w14:paraId="7FF8F512">
      <w:pPr>
        <w:pStyle w:val="6"/>
        <w:snapToGrid w:val="0"/>
        <w:spacing w:after="180" w:afterLines="75" w:line="360" w:lineRule="auto"/>
        <w:ind w:left="0"/>
        <w:jc w:val="both"/>
        <w:rPr>
          <w:rFonts w:ascii="Arial" w:hAnsi="Arial" w:cs="Arial"/>
        </w:rPr>
      </w:pPr>
      <w:r>
        <w:rPr>
          <w:rFonts w:ascii="Arial" w:hAnsi="Arial" w:cs="Arial"/>
        </w:rPr>
        <w:t>有时，在批准ICD样本后，本机构会收到该ICD样本的修改版本，以及IRB批准的证明。FDA应审查ICD，确保其仍然符合第50部分。如果知情同意书不再符合法规规定，则FDA应发出信函，承认IRB授予的批准，并说明该ICD不符合FDA已批准的ICD样本的原因。信函还应提醒申办方，其有义务确保每份ICD均符合FDA已批准的ICD样本。</w:t>
      </w:r>
    </w:p>
    <w:p w14:paraId="03CE5143">
      <w:pPr>
        <w:pStyle w:val="3"/>
        <w:snapToGrid w:val="0"/>
        <w:spacing w:after="180" w:afterLines="75" w:line="360" w:lineRule="auto"/>
        <w:ind w:left="0"/>
        <w:jc w:val="both"/>
        <w:rPr>
          <w:rFonts w:ascii="Arial" w:hAnsi="Arial" w:cs="Arial"/>
          <w:b w:val="0"/>
          <w:bCs w:val="0"/>
          <w:i w:val="0"/>
          <w:u w:val="none"/>
        </w:rPr>
      </w:pPr>
      <w:bookmarkStart w:id="16" w:name="_Toc501388853"/>
      <w:bookmarkStart w:id="17" w:name="_TOC_250020"/>
      <w:r>
        <w:rPr>
          <w:rFonts w:ascii="Arial" w:hAnsi="Arial" w:cs="Arial"/>
          <w:u w:val="thick" w:color="000000"/>
        </w:rPr>
        <w:t>延迟提交IDE的附加信息</w:t>
      </w:r>
      <w:bookmarkEnd w:id="16"/>
      <w:bookmarkEnd w:id="17"/>
    </w:p>
    <w:p w14:paraId="1CBB0E8C">
      <w:pPr>
        <w:pStyle w:val="6"/>
        <w:snapToGrid w:val="0"/>
        <w:spacing w:after="180" w:afterLines="75" w:line="360" w:lineRule="auto"/>
        <w:ind w:left="0"/>
        <w:jc w:val="both"/>
        <w:rPr>
          <w:rFonts w:ascii="Arial" w:hAnsi="Arial" w:cs="Arial"/>
        </w:rPr>
      </w:pPr>
      <w:r>
        <w:rPr>
          <w:rFonts w:ascii="Arial" w:hAnsi="Arial" w:cs="Arial"/>
        </w:rPr>
        <w:t>在某些情况下，FDA可能会要求IDE申办方在规定时间内提交附加信息。例如，IDE申办方需要在收到条件性批准函后45天内，向FDA提供某些附加信息。</w:t>
      </w:r>
    </w:p>
    <w:p w14:paraId="4042D4BF">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19708106">
      <w:pPr>
        <w:pStyle w:val="6"/>
        <w:snapToGrid w:val="0"/>
        <w:spacing w:after="180" w:afterLines="75" w:line="360" w:lineRule="auto"/>
        <w:ind w:left="0"/>
        <w:jc w:val="both"/>
        <w:rPr>
          <w:rFonts w:ascii="Arial" w:hAnsi="Arial" w:cs="Arial"/>
        </w:rPr>
      </w:pPr>
      <w:r>
        <w:rPr>
          <w:rFonts w:ascii="Arial" w:hAnsi="Arial" w:cs="Arial"/>
        </w:rPr>
        <w:t>IDE申办方还需要在收到进度报告不足的通知后45天内，回复FDA。</w:t>
      </w:r>
    </w:p>
    <w:p w14:paraId="7CC59E44">
      <w:pPr>
        <w:snapToGrid w:val="0"/>
        <w:spacing w:after="180" w:afterLines="75" w:line="360" w:lineRule="auto"/>
        <w:jc w:val="both"/>
        <w:rPr>
          <w:rFonts w:ascii="Arial" w:hAnsi="Arial" w:eastAsia="宋体" w:cs="Arial"/>
          <w:sz w:val="24"/>
          <w:szCs w:val="24"/>
        </w:rPr>
      </w:pPr>
    </w:p>
    <w:p w14:paraId="0820D2C3">
      <w:pPr>
        <w:pStyle w:val="6"/>
        <w:snapToGrid w:val="0"/>
        <w:spacing w:after="180" w:afterLines="75" w:line="360" w:lineRule="auto"/>
        <w:ind w:left="0"/>
        <w:jc w:val="both"/>
        <w:rPr>
          <w:rFonts w:ascii="Arial" w:hAnsi="Arial" w:cs="Arial"/>
        </w:rPr>
      </w:pPr>
      <w:r>
        <w:rPr>
          <w:rFonts w:ascii="Arial" w:hAnsi="Arial" w:cs="Arial"/>
        </w:rPr>
        <w:t>如果申办方不能在规定时间内提供所要求的信息，申办方可以申请延长时间。此类申请应该作为IDE的补充文件，以书面形式提交给FDA。FDA可以以口头或书面形式批准延期申请，具体取决于要求延长的时间长度。FDA可以以口头形式批准多达60天的申请，即通过电话交谈处理。如果FDA授予口头批准，则批准申请的谈话备忘录应纳入IDE文件中。但是，如果申请延长的时间长度超过60天，FDA必须以书面形式授予批准。通常仅在合理情况下准许延期60天以上，例如在规定时限内无法完成的临床前使用，或者美国（US）申办方无法在规定时限内从外国机构获得所需信息。</w:t>
      </w:r>
    </w:p>
    <w:p w14:paraId="5055E54F">
      <w:pPr>
        <w:pStyle w:val="3"/>
        <w:snapToGrid w:val="0"/>
        <w:spacing w:after="180" w:afterLines="75" w:line="360" w:lineRule="auto"/>
        <w:ind w:left="0"/>
        <w:jc w:val="both"/>
        <w:rPr>
          <w:rFonts w:ascii="Arial" w:hAnsi="Arial" w:cs="Arial"/>
          <w:b w:val="0"/>
          <w:bCs w:val="0"/>
          <w:i w:val="0"/>
          <w:u w:val="none"/>
        </w:rPr>
      </w:pPr>
      <w:bookmarkStart w:id="18" w:name="_TOC_250019"/>
      <w:bookmarkStart w:id="19" w:name="_Toc501388854"/>
      <w:r>
        <w:rPr>
          <w:rFonts w:ascii="Arial" w:hAnsi="Arial" w:cs="Arial"/>
          <w:u w:val="thick" w:color="000000"/>
        </w:rPr>
        <w:t>监督临床研究</w:t>
      </w:r>
      <w:bookmarkEnd w:id="18"/>
      <w:bookmarkEnd w:id="19"/>
    </w:p>
    <w:p w14:paraId="5BCF4530">
      <w:pPr>
        <w:pStyle w:val="6"/>
        <w:snapToGrid w:val="0"/>
        <w:spacing w:after="180" w:afterLines="75" w:line="360" w:lineRule="auto"/>
        <w:ind w:left="0"/>
        <w:jc w:val="both"/>
        <w:rPr>
          <w:rFonts w:ascii="Arial" w:hAnsi="Arial" w:cs="Arial"/>
        </w:rPr>
      </w:pPr>
      <w:r>
        <w:rPr>
          <w:rFonts w:ascii="Arial" w:hAnsi="Arial" w:cs="Arial"/>
        </w:rPr>
        <w:t>IDE法规要求申办方确定监督员的项目和地址，并提供书面监督程序。尽管IDE法规并未具体规定书面监督程序的内容，但本机构已经发布指南（53 FR 4723，1988年2月17日），提供可用于监督涉及FDA监管产品的临床研究的方法。器械与放射卫生中心（CDRH）已经确定以下程序，供申办方在监督临床研究时遵循：</w:t>
      </w:r>
    </w:p>
    <w:p w14:paraId="6DCE5854">
      <w:pPr>
        <w:pStyle w:val="22"/>
        <w:numPr>
          <w:ilvl w:val="0"/>
          <w:numId w:val="1"/>
        </w:numPr>
        <w:tabs>
          <w:tab w:val="left" w:pos="1540"/>
        </w:tabs>
        <w:snapToGrid w:val="0"/>
        <w:spacing w:after="180" w:afterLines="75" w:line="360" w:lineRule="auto"/>
        <w:ind w:left="879" w:leftChars="199" w:hanging="441" w:hangingChars="184"/>
        <w:jc w:val="both"/>
        <w:rPr>
          <w:rFonts w:ascii="Arial" w:hAnsi="Arial" w:eastAsia="宋体" w:cs="Arial"/>
          <w:sz w:val="24"/>
          <w:szCs w:val="24"/>
        </w:rPr>
      </w:pPr>
      <w:r>
        <w:rPr>
          <w:rFonts w:ascii="Arial" w:hAnsi="Arial" w:eastAsia="宋体" w:cs="Arial"/>
          <w:sz w:val="24"/>
          <w:szCs w:val="24"/>
        </w:rPr>
        <w:t>如果研究仅有一名研究者，则申办方和研究者申办的研究无需提供书面监督程序。除非另有规定，否则假定该唯一的研究者将作为研究监督者。对于此类研究，申办方和研究者应遵守法规责任，以便确保符合IDE法规、受试者权利和安全得到保证以及数据完整。</w:t>
      </w:r>
    </w:p>
    <w:p w14:paraId="52D5C355">
      <w:pPr>
        <w:pStyle w:val="22"/>
        <w:numPr>
          <w:ilvl w:val="0"/>
          <w:numId w:val="1"/>
        </w:numPr>
        <w:tabs>
          <w:tab w:val="left" w:pos="1540"/>
        </w:tabs>
        <w:snapToGrid w:val="0"/>
        <w:spacing w:after="180" w:afterLines="75" w:line="360" w:lineRule="auto"/>
        <w:ind w:left="879" w:leftChars="199" w:hanging="441" w:hangingChars="184"/>
        <w:jc w:val="both"/>
        <w:rPr>
          <w:rFonts w:ascii="Arial" w:hAnsi="Arial" w:eastAsia="宋体" w:cs="Arial"/>
          <w:sz w:val="24"/>
          <w:szCs w:val="24"/>
        </w:rPr>
      </w:pPr>
      <w:r>
        <w:rPr>
          <w:rFonts w:ascii="Arial" w:hAnsi="Arial" w:eastAsia="宋体" w:cs="Arial"/>
          <w:sz w:val="24"/>
          <w:szCs w:val="24"/>
        </w:rPr>
        <w:t>所有涉及多名研究者的研究均需提供书面监测程序。如果申办方不能确定监督员的姓名和地址，则应在IDE回函中注明缺少此类信息。如果IDE申请未提供书面监督程序或不符合指南，则FDA应在回信函中纳入以下段落供申办方参考：</w:t>
      </w:r>
    </w:p>
    <w:p w14:paraId="34EA7D95">
      <w:pPr>
        <w:pStyle w:val="6"/>
        <w:snapToGrid w:val="0"/>
        <w:spacing w:after="180" w:afterLines="75" w:line="360" w:lineRule="auto"/>
        <w:ind w:left="880" w:leftChars="400"/>
        <w:jc w:val="both"/>
        <w:rPr>
          <w:rFonts w:ascii="Arial" w:hAnsi="Arial" w:cs="Arial"/>
        </w:rPr>
      </w:pPr>
      <w:r>
        <w:rPr>
          <w:rFonts w:ascii="宋体" w:hAnsi="宋体" w:cs="Arial"/>
        </w:rPr>
        <w:t>“</w:t>
      </w:r>
      <w:r>
        <w:rPr>
          <w:rFonts w:ascii="Arial" w:hAnsi="Arial" w:cs="Arial"/>
        </w:rPr>
        <w:t>您的申请【未提供/仅提供接受度最低的】监督程序。本机构已附上了FDA指南（53 FR 4723，1988年2月17日），指南中提供的方法可用于监督临床研究。您的程序可能有所不同，但应足以确保参与临床研究的受试者权利和安全得到保证，以及所得数据具有合理质量且完整。</w:t>
      </w:r>
      <w:r>
        <w:rPr>
          <w:rFonts w:ascii="宋体" w:hAnsi="宋体" w:cs="Arial"/>
        </w:rPr>
        <w:t>”</w:t>
      </w:r>
    </w:p>
    <w:p w14:paraId="15F7614E">
      <w:pPr>
        <w:pStyle w:val="6"/>
        <w:snapToGrid w:val="0"/>
        <w:spacing w:after="180" w:afterLines="75" w:line="360" w:lineRule="auto"/>
        <w:ind w:left="0"/>
        <w:jc w:val="both"/>
        <w:rPr>
          <w:rFonts w:ascii="Arial" w:hAnsi="Arial" w:cs="Arial"/>
        </w:rPr>
      </w:pPr>
      <w:r>
        <w:rPr>
          <w:rFonts w:ascii="Arial" w:hAnsi="Arial" w:cs="Arial"/>
        </w:rPr>
        <w:t>当FDA收到IDE补充文件，且要求扩展研究（即从单个中心单个研究者扩展至多个中心多个研究者）时，审查员应确保监督程序的充分性。在任何情况下，如果IDE补充文件未提供书面监督程序或者程序不够充分，审查员应该发出缺陷信函。</w:t>
      </w:r>
    </w:p>
    <w:p w14:paraId="78A9A2FD">
      <w:pPr>
        <w:pStyle w:val="3"/>
        <w:snapToGrid w:val="0"/>
        <w:spacing w:after="180" w:afterLines="75" w:line="360" w:lineRule="auto"/>
        <w:ind w:left="0"/>
        <w:jc w:val="both"/>
        <w:rPr>
          <w:rFonts w:ascii="Arial" w:hAnsi="Arial" w:cs="Arial"/>
          <w:b w:val="0"/>
          <w:bCs w:val="0"/>
          <w:i w:val="0"/>
          <w:u w:val="none"/>
        </w:rPr>
      </w:pPr>
      <w:bookmarkStart w:id="20" w:name="_TOC_250018"/>
      <w:bookmarkStart w:id="21" w:name="_Toc501388855"/>
      <w:r>
        <w:rPr>
          <w:rFonts w:ascii="Arial" w:hAnsi="Arial" w:cs="Arial"/>
          <w:u w:val="thick" w:color="000000"/>
        </w:rPr>
        <w:t>在IDE中计数研究</w:t>
      </w:r>
      <w:bookmarkEnd w:id="20"/>
      <w:r>
        <w:rPr>
          <w:rFonts w:ascii="Arial" w:hAnsi="Arial" w:cs="Arial"/>
          <w:u w:val="thick" w:color="000000"/>
        </w:rPr>
        <w:t>中心</w:t>
      </w:r>
      <w:bookmarkEnd w:id="21"/>
    </w:p>
    <w:p w14:paraId="19FC97BE">
      <w:pPr>
        <w:pStyle w:val="6"/>
        <w:snapToGrid w:val="0"/>
        <w:spacing w:after="180" w:afterLines="75" w:line="360" w:lineRule="auto"/>
        <w:ind w:left="0"/>
        <w:jc w:val="both"/>
        <w:rPr>
          <w:rFonts w:ascii="Arial" w:hAnsi="Arial" w:cs="Arial"/>
        </w:rPr>
      </w:pPr>
      <w:r>
        <w:rPr>
          <w:rFonts w:ascii="Arial" w:hAnsi="Arial" w:cs="Arial"/>
        </w:rPr>
        <w:t>ODE关于计数研究中心的政策如下：</w:t>
      </w:r>
    </w:p>
    <w:p w14:paraId="1EF4C7AF">
      <w:pPr>
        <w:pStyle w:val="22"/>
        <w:numPr>
          <w:ilvl w:val="0"/>
          <w:numId w:val="2"/>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各机构审查委员会（IRB）应视为一个中心。对于大多数IDE研究，每个参与机构均设有自己的IRB。在此类研究中，各IRB应视为一个中心。</w:t>
      </w:r>
    </w:p>
    <w:p w14:paraId="586359C3">
      <w:pPr>
        <w:pStyle w:val="6"/>
        <w:snapToGrid w:val="0"/>
        <w:spacing w:after="180" w:afterLines="75" w:line="360" w:lineRule="auto"/>
        <w:ind w:left="880" w:leftChars="400"/>
        <w:jc w:val="both"/>
        <w:rPr>
          <w:rFonts w:ascii="Arial" w:hAnsi="Arial" w:cs="Arial"/>
        </w:rPr>
      </w:pPr>
      <w:r>
        <w:rPr>
          <w:rFonts w:ascii="Arial" w:hAnsi="Arial" w:cs="Arial"/>
        </w:rPr>
        <w:t>但对于某些IDE研究，参与机构可能未建立自己的IRB。相反，一个IRB可能对一个以上的参与机构负有监督责任。如果同一研究者在每个机构进行研究，且机构位于该IRB附近，则此类机构应视为一个中心。但是，如果其他医师正在进行研究，且其未在研究者的指导下使用器械，则此类医师也应视为研究者，此类机构应视为其他中心，即使此类中心由同一IRB监督。</w:t>
      </w:r>
    </w:p>
    <w:p w14:paraId="7EF8ECB6">
      <w:pPr>
        <w:pStyle w:val="6"/>
        <w:snapToGrid w:val="0"/>
        <w:spacing w:after="180" w:afterLines="75" w:line="360" w:lineRule="auto"/>
        <w:ind w:left="880" w:leftChars="400"/>
        <w:jc w:val="both"/>
        <w:rPr>
          <w:rFonts w:ascii="Arial" w:hAnsi="Arial" w:cs="Arial"/>
        </w:rPr>
      </w:pPr>
      <w:r>
        <w:rPr>
          <w:rFonts w:ascii="Arial" w:hAnsi="Arial" w:cs="Arial"/>
        </w:rPr>
        <w:t>备注：如果一个IRB对多个机构负有责任，且此类机构的地理位置不同，则各机构应视为一个中心。例如，如果加利福尼亚州IRB负责监督在加利福尼亚州和新泽西州机构进行的一项研究，则其将视为两个研究中心。</w:t>
      </w:r>
    </w:p>
    <w:p w14:paraId="52397A75">
      <w:pPr>
        <w:pStyle w:val="22"/>
        <w:numPr>
          <w:ilvl w:val="0"/>
          <w:numId w:val="2"/>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FDA对美国境外机构没有管辖权。因此，此类中心不计入IDE批准函中指定的中心限制。</w:t>
      </w:r>
    </w:p>
    <w:p w14:paraId="6CCE3033">
      <w:pPr>
        <w:pStyle w:val="22"/>
        <w:numPr>
          <w:ilvl w:val="0"/>
          <w:numId w:val="2"/>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如果在临床试验期间，某一研究中心被终止，而且未在该地点招募任何受试者，则该中心不计入整个中心限制。但是，如果在终止前招募了受试者，则该中心将计入研究中心限制。</w:t>
      </w:r>
    </w:p>
    <w:p w14:paraId="54F32CC5">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1D64A296">
      <w:pPr>
        <w:pStyle w:val="3"/>
        <w:snapToGrid w:val="0"/>
        <w:spacing w:after="180" w:afterLines="75" w:line="360" w:lineRule="auto"/>
        <w:ind w:left="0"/>
        <w:jc w:val="both"/>
        <w:rPr>
          <w:rFonts w:ascii="Arial" w:hAnsi="Arial" w:cs="Arial"/>
          <w:b w:val="0"/>
          <w:bCs w:val="0"/>
          <w:i w:val="0"/>
          <w:u w:val="none"/>
        </w:rPr>
      </w:pPr>
      <w:bookmarkStart w:id="22" w:name="_TOC_250017"/>
      <w:bookmarkStart w:id="23" w:name="_Toc501388856"/>
      <w:r>
        <w:rPr>
          <w:rFonts w:ascii="Arial" w:hAnsi="Arial" w:cs="Arial"/>
          <w:u w:val="thick" w:color="000000"/>
        </w:rPr>
        <w:t>美国境外的临床研究</w:t>
      </w:r>
      <w:bookmarkEnd w:id="22"/>
      <w:r>
        <w:rPr>
          <w:rFonts w:ascii="Arial" w:hAnsi="Arial" w:cs="Arial"/>
          <w:u w:val="thick" w:color="000000"/>
        </w:rPr>
        <w:t>中心</w:t>
      </w:r>
      <w:bookmarkEnd w:id="23"/>
    </w:p>
    <w:p w14:paraId="709E2A6C">
      <w:pPr>
        <w:pStyle w:val="6"/>
        <w:snapToGrid w:val="0"/>
        <w:spacing w:after="180" w:afterLines="75" w:line="360" w:lineRule="auto"/>
        <w:ind w:left="0"/>
        <w:jc w:val="both"/>
        <w:rPr>
          <w:rFonts w:ascii="Arial" w:hAnsi="Arial" w:cs="Arial"/>
        </w:rPr>
      </w:pPr>
      <w:r>
        <w:rPr>
          <w:rFonts w:ascii="Arial" w:hAnsi="Arial" w:cs="Arial"/>
        </w:rPr>
        <w:t>如上所述，FDA对美国境外的临床研究中心没有管辖权。因此，申办方可以自行决定是否在这些中心进行研究。但是，FDA鼓励申办方在国内和国外研究中心遵循统一方案。</w:t>
      </w:r>
    </w:p>
    <w:p w14:paraId="56D5BCDC">
      <w:pPr>
        <w:pStyle w:val="6"/>
        <w:snapToGrid w:val="0"/>
        <w:spacing w:after="180" w:afterLines="75" w:line="360" w:lineRule="auto"/>
        <w:ind w:left="0"/>
        <w:jc w:val="both"/>
        <w:rPr>
          <w:rFonts w:ascii="Arial" w:hAnsi="Arial" w:cs="Arial"/>
        </w:rPr>
      </w:pPr>
      <w:r>
        <w:rPr>
          <w:rFonts w:ascii="Arial" w:hAnsi="Arial" w:cs="Arial"/>
        </w:rPr>
        <w:t>尽管FDA对美国境外的临床研究中心没有管辖权，FDA可以接受此类中心生成的数据（如果数据用于支持上市前批准申请（PMA））。PMA法规规定，如果国外临床研究未遵循IDE法规，PMA申请人应在上市申请中证实，国外研究中心生成的数据有效，且国外中心的研究者根据《赫尔辛基宣言》或国外法律和法规进行研究，从而保证人类受试者受到更多保护。如果使用国家标准，PMA申请人应详细说明国家标准与《赫尔辛基宣言》之间的任何差异，并解释国家标准更能保护人类受试者的原因。（请参见21 CFR 814.15）</w:t>
      </w:r>
    </w:p>
    <w:p w14:paraId="34C7CC89">
      <w:pPr>
        <w:pStyle w:val="3"/>
        <w:snapToGrid w:val="0"/>
        <w:spacing w:after="180" w:afterLines="75" w:line="360" w:lineRule="auto"/>
        <w:ind w:left="0"/>
        <w:jc w:val="both"/>
        <w:rPr>
          <w:rFonts w:ascii="Arial" w:hAnsi="Arial" w:cs="Arial"/>
          <w:b w:val="0"/>
          <w:bCs w:val="0"/>
          <w:i w:val="0"/>
          <w:u w:val="none"/>
        </w:rPr>
      </w:pPr>
      <w:bookmarkStart w:id="24" w:name="_TOC_250016"/>
      <w:bookmarkStart w:id="25" w:name="_Toc501388857"/>
      <w:r>
        <w:rPr>
          <w:rFonts w:ascii="Arial" w:hAnsi="Arial" w:cs="Arial"/>
          <w:u w:val="thick" w:color="000000"/>
        </w:rPr>
        <w:t>转让IDE申办方身份</w:t>
      </w:r>
      <w:bookmarkEnd w:id="24"/>
      <w:bookmarkEnd w:id="25"/>
    </w:p>
    <w:p w14:paraId="373B814D">
      <w:pPr>
        <w:pStyle w:val="6"/>
        <w:snapToGrid w:val="0"/>
        <w:spacing w:after="180" w:afterLines="75" w:line="360" w:lineRule="auto"/>
        <w:ind w:left="0"/>
        <w:jc w:val="both"/>
        <w:rPr>
          <w:rFonts w:ascii="Arial" w:hAnsi="Arial" w:cs="Arial"/>
        </w:rPr>
      </w:pPr>
      <w:r>
        <w:rPr>
          <w:rFonts w:ascii="Arial" w:hAnsi="Arial" w:cs="Arial"/>
        </w:rPr>
        <w:t>如需FDA承认IDE申办方身份转让，以前的申办方应至少在IDE补充文件中提交以下信息：</w:t>
      </w:r>
    </w:p>
    <w:p w14:paraId="636ED7AE">
      <w:pPr>
        <w:pStyle w:val="22"/>
        <w:numPr>
          <w:ilvl w:val="0"/>
          <w:numId w:val="3"/>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新申办方的信息，包括申办方的姓名和地址、联系人员和电话号码；</w:t>
      </w:r>
    </w:p>
    <w:p w14:paraId="2161D891">
      <w:pPr>
        <w:pStyle w:val="22"/>
        <w:numPr>
          <w:ilvl w:val="0"/>
          <w:numId w:val="3"/>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转让生效日期；</w:t>
      </w:r>
    </w:p>
    <w:p w14:paraId="3C1F0D01">
      <w:pPr>
        <w:pStyle w:val="22"/>
        <w:numPr>
          <w:ilvl w:val="0"/>
          <w:numId w:val="3"/>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转让生效之前，所有相关IDE记录已移交给新申办方的证明；以及</w:t>
      </w:r>
    </w:p>
    <w:p w14:paraId="163B21E1">
      <w:pPr>
        <w:pStyle w:val="22"/>
        <w:numPr>
          <w:ilvl w:val="0"/>
          <w:numId w:val="3"/>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新申办方需要提交的信息（如下所述）。</w:t>
      </w:r>
    </w:p>
    <w:p w14:paraId="603ECF75">
      <w:pPr>
        <w:pStyle w:val="6"/>
        <w:snapToGrid w:val="0"/>
        <w:spacing w:after="180" w:afterLines="75" w:line="360" w:lineRule="auto"/>
        <w:ind w:left="0"/>
        <w:jc w:val="both"/>
        <w:rPr>
          <w:rFonts w:ascii="Arial" w:hAnsi="Arial" w:cs="Arial"/>
        </w:rPr>
      </w:pPr>
      <w:r>
        <w:rPr>
          <w:rFonts w:ascii="Arial" w:hAnsi="Arial" w:cs="Arial"/>
        </w:rPr>
        <w:t>新申办方应该至少向原申办方提供以下信息，供其纳入IDE补充文件中：</w:t>
      </w:r>
    </w:p>
    <w:p w14:paraId="5DF9EF96">
      <w:pPr>
        <w:pStyle w:val="22"/>
        <w:numPr>
          <w:ilvl w:val="0"/>
          <w:numId w:val="4"/>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新申办方将承担研究的所有申办方责任；以及</w:t>
      </w:r>
    </w:p>
    <w:p w14:paraId="092F86D3">
      <w:pPr>
        <w:pStyle w:val="22"/>
        <w:numPr>
          <w:ilvl w:val="0"/>
          <w:numId w:val="4"/>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约定新申办方将遵守研究批准的任何条款或未决条件的协议。</w:t>
      </w:r>
    </w:p>
    <w:p w14:paraId="42AD372A">
      <w:pPr>
        <w:pStyle w:val="6"/>
        <w:snapToGrid w:val="0"/>
        <w:spacing w:after="180" w:afterLines="75" w:line="360" w:lineRule="auto"/>
        <w:ind w:left="0"/>
        <w:jc w:val="both"/>
        <w:rPr>
          <w:rFonts w:ascii="Arial" w:hAnsi="Arial" w:cs="Arial"/>
        </w:rPr>
      </w:pPr>
      <w:r>
        <w:rPr>
          <w:rFonts w:ascii="Arial" w:hAnsi="Arial" w:cs="Arial"/>
        </w:rPr>
        <w:t>如果新申办方已正确确定，且所需信息已完整提供，FDA将发布IDE样板G-41，承认申办方身份变更。</w:t>
      </w:r>
    </w:p>
    <w:p w14:paraId="316D2F34">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76D63BE6">
      <w:pPr>
        <w:pStyle w:val="6"/>
        <w:snapToGrid w:val="0"/>
        <w:spacing w:after="180" w:afterLines="75" w:line="360" w:lineRule="auto"/>
        <w:ind w:left="0"/>
        <w:jc w:val="both"/>
        <w:rPr>
          <w:rFonts w:ascii="Arial" w:hAnsi="Arial" w:cs="Arial"/>
        </w:rPr>
      </w:pPr>
      <w:r>
        <w:rPr>
          <w:rFonts w:ascii="Arial" w:hAnsi="Arial" w:cs="Arial"/>
        </w:rPr>
        <w:t>如果尚未提交上述最小信息，FDA将发布IDE样板G-42，表明FDA不能承认申办方身份变更。</w:t>
      </w:r>
    </w:p>
    <w:p w14:paraId="39A37F41">
      <w:pPr>
        <w:pStyle w:val="6"/>
        <w:snapToGrid w:val="0"/>
        <w:spacing w:after="180" w:afterLines="75" w:line="360" w:lineRule="auto"/>
        <w:ind w:left="0"/>
        <w:jc w:val="both"/>
        <w:rPr>
          <w:rFonts w:ascii="Arial" w:hAnsi="Arial" w:cs="Arial"/>
        </w:rPr>
      </w:pPr>
      <w:r>
        <w:rPr>
          <w:rFonts w:ascii="Arial" w:hAnsi="Arial" w:cs="Arial"/>
        </w:rPr>
        <w:t>为使申办方身份转让有效，新申办方需要提交以下信息。这些信息可以在原始申办方身份转让申请中提交，也可以在FDA承认转让后提交：</w:t>
      </w:r>
    </w:p>
    <w:p w14:paraId="308CC1BB">
      <w:pPr>
        <w:pStyle w:val="22"/>
        <w:numPr>
          <w:ilvl w:val="0"/>
          <w:numId w:val="5"/>
        </w:numPr>
        <w:tabs>
          <w:tab w:val="left" w:pos="820"/>
        </w:tabs>
        <w:snapToGrid w:val="0"/>
        <w:spacing w:after="180" w:afterLines="75" w:line="360" w:lineRule="auto"/>
        <w:ind w:leftChars="200" w:hanging="380"/>
        <w:jc w:val="both"/>
        <w:rPr>
          <w:rFonts w:ascii="Arial" w:hAnsi="Arial" w:eastAsia="宋体" w:cs="Arial"/>
          <w:sz w:val="24"/>
          <w:szCs w:val="24"/>
        </w:rPr>
      </w:pPr>
      <w:r>
        <w:rPr>
          <w:rFonts w:ascii="Arial" w:hAnsi="Arial" w:eastAsia="宋体" w:cs="Arial"/>
          <w:sz w:val="24"/>
          <w:szCs w:val="24"/>
        </w:rPr>
        <w:t>转让未使研究发生变化，或者在对研究计划进行可能影响研究科学性或者受试者的权利、安全和福利的特定更改后（例如在制造、方案、监督、知情同意或标签等方面），申办方已将更改提交批准的声明；</w:t>
      </w:r>
    </w:p>
    <w:p w14:paraId="5DFA7986">
      <w:pPr>
        <w:pStyle w:val="22"/>
        <w:numPr>
          <w:ilvl w:val="0"/>
          <w:numId w:val="5"/>
        </w:numPr>
        <w:tabs>
          <w:tab w:val="left" w:pos="820"/>
        </w:tabs>
        <w:snapToGrid w:val="0"/>
        <w:spacing w:after="180" w:afterLines="75" w:line="360" w:lineRule="auto"/>
        <w:ind w:leftChars="200" w:hanging="380"/>
        <w:jc w:val="both"/>
        <w:rPr>
          <w:rFonts w:ascii="Arial" w:hAnsi="Arial" w:eastAsia="宋体" w:cs="Arial"/>
          <w:sz w:val="24"/>
          <w:szCs w:val="24"/>
        </w:rPr>
      </w:pPr>
      <w:r>
        <w:rPr>
          <w:rFonts w:ascii="Arial" w:hAnsi="Arial" w:eastAsia="宋体" w:cs="Arial"/>
          <w:sz w:val="24"/>
          <w:szCs w:val="24"/>
        </w:rPr>
        <w:t>在生效之前，所有研究者和参与IRB已知晓或将知晓转让事件的确认函；以及</w:t>
      </w:r>
    </w:p>
    <w:p w14:paraId="606EA723">
      <w:pPr>
        <w:pStyle w:val="22"/>
        <w:numPr>
          <w:ilvl w:val="0"/>
          <w:numId w:val="5"/>
        </w:numPr>
        <w:tabs>
          <w:tab w:val="left" w:pos="820"/>
        </w:tabs>
        <w:snapToGrid w:val="0"/>
        <w:spacing w:after="180" w:afterLines="75" w:line="360" w:lineRule="auto"/>
        <w:ind w:leftChars="200" w:hanging="380"/>
        <w:jc w:val="both"/>
        <w:rPr>
          <w:rFonts w:ascii="Arial" w:hAnsi="Arial" w:eastAsia="宋体" w:cs="Arial"/>
          <w:sz w:val="24"/>
          <w:szCs w:val="24"/>
        </w:rPr>
      </w:pPr>
      <w:r>
        <w:rPr>
          <w:rFonts w:ascii="Arial" w:hAnsi="Arial" w:eastAsia="宋体" w:cs="Arial"/>
          <w:sz w:val="24"/>
          <w:szCs w:val="24"/>
        </w:rPr>
        <w:t>申办方不允许研究者在签署研究者协议之前参与研究的证明。</w:t>
      </w:r>
    </w:p>
    <w:p w14:paraId="7E0471B2">
      <w:pPr>
        <w:pStyle w:val="6"/>
        <w:snapToGrid w:val="0"/>
        <w:spacing w:after="180" w:afterLines="75" w:line="360" w:lineRule="auto"/>
        <w:ind w:left="0"/>
        <w:jc w:val="both"/>
        <w:rPr>
          <w:rFonts w:ascii="Arial" w:hAnsi="Arial" w:cs="Arial"/>
        </w:rPr>
      </w:pPr>
      <w:r>
        <w:rPr>
          <w:rFonts w:ascii="Arial" w:hAnsi="Arial" w:cs="Arial"/>
        </w:rPr>
        <w:t>请注意，IDE法规不允许国外机构在美国申办临床研究（21 CFR 812.18（a））。因此，如果将非美国申办方确定为研究的新申办方，则补充文件将被驳回。在此类情况下，如需驳回补充文件，应使用样板信函G-42A。</w:t>
      </w:r>
    </w:p>
    <w:p w14:paraId="111F0649">
      <w:pPr>
        <w:pStyle w:val="3"/>
        <w:snapToGrid w:val="0"/>
        <w:spacing w:after="180" w:afterLines="75" w:line="360" w:lineRule="auto"/>
        <w:ind w:left="0"/>
        <w:jc w:val="both"/>
        <w:rPr>
          <w:rFonts w:ascii="Arial" w:hAnsi="Arial" w:cs="Arial"/>
          <w:b w:val="0"/>
          <w:bCs w:val="0"/>
          <w:i w:val="0"/>
          <w:u w:val="none"/>
        </w:rPr>
      </w:pPr>
      <w:bookmarkStart w:id="26" w:name="_Toc501388858"/>
      <w:bookmarkStart w:id="27" w:name="_TOC_250015"/>
      <w:r>
        <w:rPr>
          <w:rFonts w:ascii="Arial" w:hAnsi="Arial" w:cs="Arial"/>
          <w:u w:val="thick" w:color="000000"/>
        </w:rPr>
        <w:t>国外申办方的美国代理</w:t>
      </w:r>
      <w:bookmarkEnd w:id="26"/>
      <w:bookmarkEnd w:id="27"/>
    </w:p>
    <w:p w14:paraId="4402739D">
      <w:pPr>
        <w:pStyle w:val="6"/>
        <w:snapToGrid w:val="0"/>
        <w:spacing w:after="180" w:afterLines="75" w:line="360" w:lineRule="auto"/>
        <w:ind w:left="0"/>
        <w:jc w:val="both"/>
        <w:rPr>
          <w:rFonts w:ascii="Arial" w:hAnsi="Arial" w:cs="Arial"/>
        </w:rPr>
      </w:pPr>
      <w:r>
        <w:rPr>
          <w:rFonts w:ascii="Arial" w:hAnsi="Arial" w:cs="Arial"/>
        </w:rPr>
        <w:t>如上所述，根据21 CFR 812.18（a），国外机构不得在美国申办临床研究。因此，如果没有美国申办方，IDE申请将无法获得批准。如果原始IDE申请由美国境外机构提交，则在确定美国申办方之前，申请将视为不完整。同样，如果因拟将申办方身份转让给国外机构而提交IDE补充文件，则补充文件将被驳回。请参见样板信函G-42A。</w:t>
      </w:r>
    </w:p>
    <w:p w14:paraId="6ADA014E">
      <w:pPr>
        <w:pStyle w:val="3"/>
        <w:snapToGrid w:val="0"/>
        <w:spacing w:after="180" w:afterLines="75" w:line="360" w:lineRule="auto"/>
        <w:ind w:left="0"/>
        <w:jc w:val="both"/>
        <w:rPr>
          <w:rFonts w:ascii="Arial" w:hAnsi="Arial" w:cs="Arial"/>
          <w:b w:val="0"/>
          <w:bCs w:val="0"/>
          <w:i w:val="0"/>
          <w:u w:val="none"/>
        </w:rPr>
      </w:pPr>
      <w:bookmarkStart w:id="28" w:name="_Toc501388859"/>
      <w:bookmarkStart w:id="29" w:name="_TOC_250014"/>
      <w:r>
        <w:rPr>
          <w:rFonts w:ascii="Arial" w:hAnsi="Arial" w:cs="Arial"/>
          <w:u w:val="thick" w:color="000000"/>
        </w:rPr>
        <w:t>关闭IDE</w:t>
      </w:r>
      <w:bookmarkEnd w:id="28"/>
      <w:bookmarkEnd w:id="29"/>
    </w:p>
    <w:p w14:paraId="5B8DCB34">
      <w:pPr>
        <w:pStyle w:val="6"/>
        <w:snapToGrid w:val="0"/>
        <w:spacing w:after="180" w:afterLines="75" w:line="360" w:lineRule="auto"/>
        <w:ind w:left="0"/>
        <w:jc w:val="both"/>
        <w:rPr>
          <w:rFonts w:ascii="Arial" w:hAnsi="Arial" w:cs="Arial"/>
        </w:rPr>
      </w:pPr>
      <w:r>
        <w:rPr>
          <w:rFonts w:ascii="Arial" w:hAnsi="Arial" w:cs="Arial"/>
        </w:rPr>
        <w:t>关闭IDE的程序取决于该过程中决定关闭IDE的时间。如果FDA尚未批准IDE，则申办方可以简单地要求从FDA审查中撤回IDE。如果申办方提交了材料申请，FDA将发布样板G-39来确认请求，然后IDE将视为已关闭。在此之后，如果申办方决定对器械进行研究，则需要提交新的IDE；但是，新申请中可以引用已关闭的IDE。</w:t>
      </w:r>
    </w:p>
    <w:p w14:paraId="01B7DD2B">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016E23A8">
      <w:pPr>
        <w:pStyle w:val="6"/>
        <w:snapToGrid w:val="0"/>
        <w:spacing w:after="180" w:afterLines="75" w:line="360" w:lineRule="auto"/>
        <w:ind w:left="0"/>
        <w:jc w:val="both"/>
        <w:rPr>
          <w:rFonts w:ascii="Arial" w:hAnsi="Arial" w:cs="Arial"/>
        </w:rPr>
      </w:pPr>
      <w:r>
        <w:rPr>
          <w:rFonts w:ascii="Arial" w:hAnsi="Arial" w:cs="Arial"/>
        </w:rPr>
        <w:t>如果FDA已经批准了IDE，但尚未招募受试者，则申办方仍然可以要求撤回IDE。但是，在这种情况下，申办方应声明尚未招募任何受试者并针对所有器械作出说明（即，声明尚未放行任何器械，或者已放行的所有器械已退回、销毁或以其他方式禁用）。</w:t>
      </w:r>
    </w:p>
    <w:p w14:paraId="0CDEC2D6">
      <w:pPr>
        <w:pStyle w:val="6"/>
        <w:snapToGrid w:val="0"/>
        <w:spacing w:after="180" w:afterLines="75" w:line="360" w:lineRule="auto"/>
        <w:ind w:left="0"/>
        <w:jc w:val="both"/>
        <w:rPr>
          <w:rFonts w:ascii="Arial" w:hAnsi="Arial" w:cs="Arial"/>
        </w:rPr>
      </w:pPr>
      <w:r>
        <w:rPr>
          <w:rFonts w:ascii="Arial" w:hAnsi="Arial" w:cs="Arial"/>
        </w:rPr>
        <w:t>受试者参与研究后，在所有入选受试者根据核准研究计划完成随访之前，申办方不得随意终止IDE。申办方可以停止招募受试者，但对于已入选研究的所有受试者，必须完成随访。样板G-35可用于确认停止招募受试者。此信函将提醒申办方需要按照研究计划对所有受试者进行随访。</w:t>
      </w:r>
    </w:p>
    <w:p w14:paraId="1E668F8A">
      <w:pPr>
        <w:pStyle w:val="6"/>
        <w:snapToGrid w:val="0"/>
        <w:spacing w:after="180" w:afterLines="75" w:line="360" w:lineRule="auto"/>
        <w:ind w:left="0"/>
        <w:jc w:val="both"/>
        <w:rPr>
          <w:rFonts w:ascii="Arial" w:hAnsi="Arial" w:cs="Arial"/>
        </w:rPr>
      </w:pPr>
      <w:r>
        <w:rPr>
          <w:rFonts w:ascii="Arial" w:hAnsi="Arial" w:cs="Arial"/>
        </w:rPr>
        <w:t>成功随访所有入选受试者后，申办方应在六个月内向FDA，以及所有审查IRB提交最终报告。ODE指南《IDE最终报告的建议格式》中概述了最终报告应提供的信息。样板G-33可用于确认终止研究和提交最终报告以及关闭IDE。如果最终报告不充分且需要附加信息，则使用样板G-34。在最终报告完成之前，IDE尚未正式关闭。请注意，申办方可以参考PMA或510（k）申请来满足提交最终报告的IDE要求。如果PMA或510（k）申请中包含器械研究的进度总结，则申办方可以向FDA提交信函，声明其已经提交上市申请，并说明上市申请中含有进度报告的位置（即PMA或510（k）编号、提交日期、卷和页码）。</w:t>
      </w:r>
    </w:p>
    <w:p w14:paraId="264ADCE3">
      <w:pPr>
        <w:pStyle w:val="3"/>
        <w:snapToGrid w:val="0"/>
        <w:spacing w:after="180" w:afterLines="75" w:line="360" w:lineRule="auto"/>
        <w:ind w:left="0"/>
        <w:jc w:val="both"/>
        <w:rPr>
          <w:rFonts w:ascii="Arial" w:hAnsi="Arial" w:cs="Arial"/>
          <w:b w:val="0"/>
          <w:bCs w:val="0"/>
          <w:i w:val="0"/>
          <w:u w:val="none"/>
        </w:rPr>
      </w:pPr>
      <w:bookmarkStart w:id="30" w:name="_Toc501388860"/>
      <w:bookmarkStart w:id="31" w:name="_TOC_250013"/>
      <w:r>
        <w:rPr>
          <w:rFonts w:ascii="Arial" w:hAnsi="Arial" w:cs="Arial"/>
          <w:u w:val="thick" w:color="000000"/>
        </w:rPr>
        <w:t>撤销IDE批准</w:t>
      </w:r>
      <w:bookmarkEnd w:id="30"/>
      <w:bookmarkEnd w:id="31"/>
    </w:p>
    <w:p w14:paraId="631A49B5">
      <w:pPr>
        <w:pStyle w:val="6"/>
        <w:snapToGrid w:val="0"/>
        <w:spacing w:after="180" w:afterLines="75" w:line="360" w:lineRule="auto"/>
        <w:ind w:left="0"/>
        <w:jc w:val="both"/>
        <w:rPr>
          <w:rFonts w:ascii="Arial" w:hAnsi="Arial" w:cs="Arial"/>
        </w:rPr>
      </w:pPr>
      <w:r>
        <w:rPr>
          <w:rFonts w:ascii="Arial" w:hAnsi="Arial" w:cs="Arial"/>
        </w:rPr>
        <w:t>撤销IDE批准的依据见21 CFR 812.30（b）。鉴于此监管措施的严肃性，ODE高层管理人员和IDE工作人员应尽早考虑该措施。如果认为应该撤消IDE批准，则应该确保在实际发布撤销IDE申请批准提议之前采取以下措施：</w:t>
      </w:r>
    </w:p>
    <w:p w14:paraId="1B648CDA">
      <w:pPr>
        <w:pStyle w:val="22"/>
        <w:numPr>
          <w:ilvl w:val="1"/>
          <w:numId w:val="5"/>
        </w:numPr>
        <w:tabs>
          <w:tab w:val="left" w:pos="1180"/>
        </w:tabs>
        <w:snapToGrid w:val="0"/>
        <w:spacing w:after="180" w:afterLines="75" w:line="360" w:lineRule="auto"/>
        <w:ind w:left="1183" w:leftChars="200" w:hanging="743"/>
        <w:jc w:val="both"/>
        <w:rPr>
          <w:rFonts w:ascii="Arial" w:hAnsi="Arial" w:eastAsia="宋体" w:cs="Arial"/>
          <w:sz w:val="24"/>
          <w:szCs w:val="24"/>
        </w:rPr>
      </w:pPr>
      <w:r>
        <w:rPr>
          <w:rFonts w:ascii="Arial" w:hAnsi="Arial" w:eastAsia="宋体" w:cs="Arial"/>
          <w:sz w:val="24"/>
          <w:szCs w:val="24"/>
        </w:rPr>
        <w:t>审查部门应该已经向申办方发出信函，告知本机构关注的问题。在此类信函中，该部门应引用或提供用于支持FDA立场的任何检查或其他信息的副本。</w:t>
      </w:r>
    </w:p>
    <w:p w14:paraId="5297D152">
      <w:pPr>
        <w:pStyle w:val="22"/>
        <w:numPr>
          <w:ilvl w:val="1"/>
          <w:numId w:val="5"/>
        </w:numPr>
        <w:tabs>
          <w:tab w:val="left" w:pos="1180"/>
        </w:tabs>
        <w:snapToGrid w:val="0"/>
        <w:spacing w:after="180" w:afterLines="75" w:line="360" w:lineRule="auto"/>
        <w:ind w:left="1183" w:leftChars="200" w:hanging="743"/>
        <w:jc w:val="both"/>
        <w:rPr>
          <w:rFonts w:ascii="Arial" w:hAnsi="Arial" w:eastAsia="宋体" w:cs="Arial"/>
          <w:sz w:val="24"/>
          <w:szCs w:val="24"/>
        </w:rPr>
      </w:pPr>
      <w:r>
        <w:rPr>
          <w:rFonts w:ascii="Arial" w:hAnsi="Arial" w:eastAsia="宋体" w:cs="Arial"/>
          <w:sz w:val="24"/>
          <w:szCs w:val="24"/>
        </w:rPr>
        <w:t>如果需要，应要求合规办公室参与（请参见《关于BIMO和IDE工作人员互动的SOP》一节）。OC将根据其程序向申办方发出警告函，说明需要解决的问题。</w:t>
      </w:r>
    </w:p>
    <w:p w14:paraId="382D835C">
      <w:pPr>
        <w:pStyle w:val="22"/>
        <w:numPr>
          <w:ilvl w:val="1"/>
          <w:numId w:val="5"/>
        </w:numPr>
        <w:tabs>
          <w:tab w:val="left" w:pos="1180"/>
        </w:tabs>
        <w:snapToGrid w:val="0"/>
        <w:spacing w:after="180" w:afterLines="75" w:line="360" w:lineRule="auto"/>
        <w:ind w:left="1183" w:leftChars="200" w:hanging="743"/>
        <w:jc w:val="both"/>
        <w:rPr>
          <w:rFonts w:ascii="Arial" w:hAnsi="Arial" w:eastAsia="宋体" w:cs="Arial"/>
          <w:sz w:val="24"/>
          <w:szCs w:val="24"/>
        </w:rPr>
      </w:pPr>
      <w:r>
        <w:rPr>
          <w:rFonts w:ascii="Arial" w:hAnsi="Arial" w:eastAsia="宋体" w:cs="Arial"/>
          <w:sz w:val="24"/>
          <w:szCs w:val="24"/>
        </w:rPr>
        <w:t>ODE应考虑与申办方会面是否有助于解决本机构的担忧。</w:t>
      </w:r>
    </w:p>
    <w:p w14:paraId="62236C21">
      <w:pPr>
        <w:pStyle w:val="6"/>
        <w:snapToGrid w:val="0"/>
        <w:spacing w:after="180" w:afterLines="75" w:line="360" w:lineRule="auto"/>
        <w:ind w:left="0"/>
        <w:jc w:val="both"/>
        <w:rPr>
          <w:rFonts w:ascii="Arial" w:hAnsi="Arial" w:cs="Arial"/>
        </w:rPr>
      </w:pPr>
      <w:r>
        <w:rPr>
          <w:rFonts w:ascii="Arial" w:hAnsi="Arial" w:cs="Arial"/>
        </w:rPr>
        <w:t>如果执行上述程序后，申办方仍未提供满意回复，并确定其他监管机制均无法使申办方遵守法规，审查部门应起草提案，以便撤销IDE申请批准。</w:t>
      </w:r>
      <w:r>
        <w:rPr>
          <w:rFonts w:ascii="Arial" w:hAnsi="Arial" w:cs="Arial"/>
          <w:u w:val="single" w:color="000000"/>
        </w:rPr>
        <w:t>备注</w:t>
      </w:r>
      <w:r>
        <w:rPr>
          <w:rFonts w:ascii="Arial" w:hAnsi="Arial" w:cs="Arial"/>
        </w:rPr>
        <w:t>：由审查部门、IDE工作人员和ODE高级管理人员作出此决定。发布此类提案时，应该使用样板G-30样本《拟撤销IDE申请批准》。如21 CFR 812.30（c）（2）所述，提案应此措施原因进行全面讨论。根据本节，IDE申办方有权根据第16部分要求申请进行监管听证会，但应在收到FDA的信函后10个工作日内提交申请。如果未申请召开听证会，申办方有30天的时间来回复信函，即制定纠正措施计划。</w:t>
      </w:r>
    </w:p>
    <w:p w14:paraId="2B64F429">
      <w:pPr>
        <w:pStyle w:val="6"/>
        <w:snapToGrid w:val="0"/>
        <w:spacing w:after="180" w:afterLines="75" w:line="360" w:lineRule="auto"/>
        <w:ind w:left="0"/>
        <w:jc w:val="both"/>
        <w:rPr>
          <w:rFonts w:ascii="Arial" w:hAnsi="Arial" w:cs="Arial"/>
        </w:rPr>
      </w:pPr>
      <w:r>
        <w:rPr>
          <w:rFonts w:ascii="Arial" w:hAnsi="Arial" w:cs="Arial"/>
        </w:rPr>
        <w:t>如果IDE申办方未申请召开监管听证会，且申办方对拟定撤销信函的回应无法合理保证纠正措施将纠正这种情况，FDA可以继续发布最终命令，撤销IDE批准。与提案一样，最终命令应提供完整的撤销原因。发布最终命令时，应使用样板G-30A《撤销IDE申请批准的最终命令》。</w:t>
      </w:r>
    </w:p>
    <w:p w14:paraId="0A32CAB9">
      <w:pPr>
        <w:pStyle w:val="3"/>
        <w:snapToGrid w:val="0"/>
        <w:spacing w:after="180" w:afterLines="75" w:line="360" w:lineRule="auto"/>
        <w:ind w:left="0"/>
        <w:jc w:val="both"/>
        <w:rPr>
          <w:rFonts w:ascii="Arial" w:hAnsi="Arial" w:cs="Arial"/>
          <w:b w:val="0"/>
          <w:bCs w:val="0"/>
          <w:i w:val="0"/>
          <w:u w:val="none"/>
        </w:rPr>
      </w:pPr>
      <w:bookmarkStart w:id="32" w:name="_TOC_250012"/>
      <w:bookmarkStart w:id="33" w:name="_Toc501388861"/>
      <w:r>
        <w:rPr>
          <w:rFonts w:ascii="Arial" w:hAnsi="Arial" w:cs="Arial"/>
          <w:u w:val="thick" w:color="000000"/>
        </w:rPr>
        <w:t>BIMO和IDE工作人员交流的SOP</w:t>
      </w:r>
      <w:bookmarkEnd w:id="32"/>
      <w:bookmarkEnd w:id="33"/>
    </w:p>
    <w:p w14:paraId="1C0C7799">
      <w:pPr>
        <w:pStyle w:val="6"/>
        <w:snapToGrid w:val="0"/>
        <w:spacing w:after="180" w:afterLines="75" w:line="360" w:lineRule="auto"/>
        <w:ind w:left="0"/>
        <w:jc w:val="both"/>
        <w:rPr>
          <w:rFonts w:ascii="Arial" w:hAnsi="Arial" w:cs="Arial"/>
        </w:rPr>
      </w:pPr>
      <w:r>
        <w:rPr>
          <w:rFonts w:ascii="Arial" w:hAnsi="Arial" w:cs="Arial"/>
        </w:rPr>
        <w:t>1993年秋，IDE工作人员和生物研究监测处（BIMO）同意，制定标准操作程序（SOP）将有助于两部门工作人员之间进行高效和有效的沟通，并降低两个办公室采取不一致措施的可能性。</w:t>
      </w:r>
    </w:p>
    <w:p w14:paraId="06427332">
      <w:pPr>
        <w:pStyle w:val="6"/>
        <w:snapToGrid w:val="0"/>
        <w:spacing w:after="180" w:afterLines="75" w:line="360" w:lineRule="auto"/>
        <w:ind w:left="0"/>
        <w:jc w:val="both"/>
        <w:rPr>
          <w:rFonts w:ascii="Arial" w:hAnsi="Arial" w:cs="Arial"/>
        </w:rPr>
      </w:pPr>
      <w:r>
        <w:rPr>
          <w:rFonts w:ascii="Arial" w:hAnsi="Arial" w:cs="Arial"/>
        </w:rPr>
        <w:t>ODE审查部门应通过IDE工作人员通知BIMO（以备忘录形式），当该部门：</w:t>
      </w:r>
    </w:p>
    <w:p w14:paraId="2B8BE055">
      <w:pPr>
        <w:pStyle w:val="22"/>
        <w:numPr>
          <w:ilvl w:val="0"/>
          <w:numId w:val="6"/>
        </w:numPr>
        <w:tabs>
          <w:tab w:val="left" w:pos="460"/>
        </w:tabs>
        <w:snapToGrid w:val="0"/>
        <w:spacing w:after="180" w:afterLines="75" w:line="360" w:lineRule="auto"/>
        <w:ind w:left="0" w:firstLine="0"/>
        <w:jc w:val="both"/>
        <w:rPr>
          <w:rFonts w:ascii="Arial" w:hAnsi="Arial" w:eastAsia="宋体" w:cs="Arial"/>
          <w:sz w:val="24"/>
          <w:szCs w:val="24"/>
        </w:rPr>
      </w:pPr>
      <w:r>
        <w:rPr>
          <w:rFonts w:ascii="Arial" w:hAnsi="Arial" w:eastAsia="宋体" w:cs="Arial"/>
          <w:sz w:val="24"/>
          <w:szCs w:val="24"/>
        </w:rPr>
        <w:t>意识到研究者使用的规范存有问题；</w:t>
      </w:r>
    </w:p>
    <w:p w14:paraId="201563FB">
      <w:pPr>
        <w:pStyle w:val="22"/>
        <w:numPr>
          <w:ilvl w:val="0"/>
          <w:numId w:val="6"/>
        </w:numPr>
        <w:tabs>
          <w:tab w:val="left" w:pos="460"/>
        </w:tabs>
        <w:snapToGrid w:val="0"/>
        <w:spacing w:after="180" w:afterLines="75" w:line="360" w:lineRule="auto"/>
        <w:ind w:left="0" w:firstLine="0"/>
        <w:jc w:val="both"/>
        <w:rPr>
          <w:rFonts w:ascii="Arial" w:hAnsi="Arial" w:eastAsia="宋体" w:cs="Arial"/>
          <w:sz w:val="24"/>
          <w:szCs w:val="24"/>
        </w:rPr>
      </w:pPr>
      <w:r>
        <w:rPr>
          <w:rFonts w:ascii="Arial" w:hAnsi="Arial" w:eastAsia="宋体" w:cs="Arial"/>
          <w:sz w:val="24"/>
          <w:szCs w:val="24"/>
        </w:rPr>
        <w:t>根据BIMO或FDA现场调查员的建议，针对IDE采取行动；或</w:t>
      </w:r>
    </w:p>
    <w:p w14:paraId="33B82434">
      <w:pPr>
        <w:pStyle w:val="22"/>
        <w:numPr>
          <w:ilvl w:val="0"/>
          <w:numId w:val="6"/>
        </w:numPr>
        <w:tabs>
          <w:tab w:val="left" w:pos="460"/>
        </w:tabs>
        <w:snapToGrid w:val="0"/>
        <w:spacing w:after="180" w:afterLines="75" w:line="360" w:lineRule="auto"/>
        <w:ind w:left="0" w:firstLine="0"/>
        <w:jc w:val="both"/>
        <w:rPr>
          <w:rFonts w:ascii="Arial" w:hAnsi="Arial" w:eastAsia="宋体" w:cs="Arial"/>
          <w:sz w:val="24"/>
          <w:szCs w:val="24"/>
        </w:rPr>
      </w:pPr>
      <w:r>
        <w:rPr>
          <w:rFonts w:ascii="Arial" w:hAnsi="Arial" w:eastAsia="宋体" w:cs="Arial"/>
          <w:sz w:val="24"/>
          <w:szCs w:val="24"/>
        </w:rPr>
        <w:t>正考虑撤消IDE申请批准。</w:t>
      </w:r>
    </w:p>
    <w:p w14:paraId="3B8D15B1">
      <w:pPr>
        <w:pStyle w:val="6"/>
        <w:snapToGrid w:val="0"/>
        <w:spacing w:after="180" w:afterLines="75" w:line="360" w:lineRule="auto"/>
        <w:ind w:left="0"/>
        <w:jc w:val="both"/>
        <w:rPr>
          <w:rFonts w:ascii="Arial" w:hAnsi="Arial" w:cs="Arial"/>
        </w:rPr>
      </w:pPr>
      <w:r>
        <w:rPr>
          <w:rFonts w:ascii="Arial" w:hAnsi="Arial" w:cs="Arial"/>
        </w:rPr>
        <w:t>有关其他指导，请参见1993年11月12日《关于BIMO和IDE工作人员交流的SOP备忘录》。</w:t>
      </w:r>
    </w:p>
    <w:p w14:paraId="47E70BEA">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6EE1A0A9">
      <w:pPr>
        <w:pStyle w:val="3"/>
        <w:snapToGrid w:val="0"/>
        <w:spacing w:after="180" w:afterLines="75" w:line="360" w:lineRule="auto"/>
        <w:ind w:left="0"/>
        <w:jc w:val="both"/>
        <w:rPr>
          <w:rFonts w:ascii="Arial" w:hAnsi="Arial" w:cs="Arial"/>
          <w:b w:val="0"/>
          <w:bCs w:val="0"/>
          <w:i w:val="0"/>
          <w:u w:val="none"/>
        </w:rPr>
      </w:pPr>
      <w:bookmarkStart w:id="34" w:name="_Toc501388862"/>
      <w:bookmarkStart w:id="35" w:name="_TOC_250011"/>
      <w:r>
        <w:rPr>
          <w:rFonts w:ascii="Arial" w:hAnsi="Arial" w:cs="Arial"/>
          <w:u w:val="thick" w:color="000000"/>
        </w:rPr>
        <w:t>出口未批准医疗器械</w:t>
      </w:r>
      <w:bookmarkEnd w:id="34"/>
      <w:bookmarkEnd w:id="35"/>
    </w:p>
    <w:p w14:paraId="66D10A5B">
      <w:pPr>
        <w:pStyle w:val="4"/>
        <w:keepNext w:val="0"/>
        <w:keepLines w:val="0"/>
        <w:snapToGrid w:val="0"/>
        <w:spacing w:before="0" w:after="180" w:afterLines="75" w:line="360" w:lineRule="auto"/>
        <w:rPr>
          <w:rFonts w:ascii="Arial" w:hAnsi="Arial" w:cs="Arial"/>
          <w:i/>
          <w:sz w:val="24"/>
          <w:szCs w:val="24"/>
        </w:rPr>
      </w:pPr>
      <w:bookmarkStart w:id="36" w:name="_TOC_250010"/>
      <w:bookmarkStart w:id="37" w:name="_Toc501388863"/>
      <w:r>
        <w:rPr>
          <w:rFonts w:ascii="Arial" w:hAnsi="Arial" w:cs="Arial"/>
          <w:i/>
          <w:sz w:val="24"/>
          <w:szCs w:val="24"/>
        </w:rPr>
        <w:t>出口用于临床研究</w:t>
      </w:r>
      <w:bookmarkEnd w:id="36"/>
      <w:bookmarkEnd w:id="37"/>
    </w:p>
    <w:p w14:paraId="4C54D3A1">
      <w:pPr>
        <w:pStyle w:val="6"/>
        <w:snapToGrid w:val="0"/>
        <w:spacing w:after="180" w:afterLines="75" w:line="360" w:lineRule="auto"/>
        <w:ind w:left="0"/>
        <w:jc w:val="both"/>
        <w:rPr>
          <w:rFonts w:ascii="Arial" w:hAnsi="Arial" w:cs="Arial"/>
        </w:rPr>
      </w:pPr>
      <w:r>
        <w:rPr>
          <w:rFonts w:ascii="Arial" w:hAnsi="Arial" w:cs="Arial"/>
        </w:rPr>
        <w:t>希望出口未批准器械用于临床研究的制造商可根据该法案的第801（e）（2）或802（c）条出口该器械，具体取决于进口器械的国家。例如，根据该法案第801（e）（2）条的规定，用于研究用途的未批准器械可以出口到任何国家，但除需符合该法案801（e）（1）的要求外，出口商还需向FDA提交信息，以便本机构确定出口不会损害公共卫生和安全，且外国批准出口。</w:t>
      </w:r>
    </w:p>
    <w:p w14:paraId="51EBCAB2">
      <w:pPr>
        <w:pStyle w:val="6"/>
        <w:snapToGrid w:val="0"/>
        <w:spacing w:after="180" w:afterLines="75" w:line="360" w:lineRule="auto"/>
        <w:ind w:left="0"/>
        <w:jc w:val="both"/>
        <w:rPr>
          <w:rFonts w:ascii="Arial" w:hAnsi="Arial" w:cs="Arial"/>
        </w:rPr>
      </w:pPr>
      <w:r>
        <w:rPr>
          <w:rFonts w:ascii="Arial" w:hAnsi="Arial" w:cs="Arial"/>
        </w:rPr>
        <w:t>该法案第801（e）（1）条规定，出口器械应符合以下要求：（1）符合外国法律；（2）符合外商购买者的质量标准；（3）在运输包装外面标明其仅用于出口；（4）不在国内商业销售或提供销售。</w:t>
      </w:r>
    </w:p>
    <w:p w14:paraId="61D12A2D">
      <w:pPr>
        <w:pStyle w:val="6"/>
        <w:snapToGrid w:val="0"/>
        <w:spacing w:after="180" w:afterLines="75" w:line="360" w:lineRule="auto"/>
        <w:ind w:left="0"/>
        <w:jc w:val="both"/>
        <w:rPr>
          <w:rFonts w:ascii="Arial" w:hAnsi="Arial" w:cs="Arial"/>
        </w:rPr>
      </w:pPr>
      <w:r>
        <w:rPr>
          <w:rFonts w:ascii="Arial" w:hAnsi="Arial" w:cs="Arial"/>
        </w:rPr>
        <w:t>此外，根据该法案第802（c）条，即使未获得FDA批准，用于研究用途的未批准器械仍可以出口到</w:t>
      </w:r>
      <w:r>
        <w:rPr>
          <w:rFonts w:ascii="Arial" w:hAnsi="Arial" w:cs="Arial"/>
          <w:b/>
          <w:i/>
        </w:rPr>
        <w:t>澳大利亚、加拿大、以色列、日本、新西兰、瑞士、南非或欧洲经济区成员国（EEA）</w:t>
      </w:r>
      <w:r>
        <w:rPr>
          <w:rFonts w:ascii="Arial" w:hAnsi="Arial" w:cs="Arial"/>
        </w:rPr>
        <w:t>，但未批准器械必须按照该国法律出口。根据802（c）出口的器械无需满足IDE法规的要求，但必须符合该法案802（f）的基本出口要求和该法案802（g）的记录保存要求。如上所述，如果进口国家未在以上列出，则在出口用于研究用途的未批准器械前，应获得FDA批准。</w:t>
      </w:r>
    </w:p>
    <w:p w14:paraId="72228917">
      <w:pPr>
        <w:pStyle w:val="4"/>
        <w:keepNext w:val="0"/>
        <w:keepLines w:val="0"/>
        <w:snapToGrid w:val="0"/>
        <w:spacing w:before="0" w:after="180" w:afterLines="75" w:line="360" w:lineRule="auto"/>
        <w:rPr>
          <w:rFonts w:ascii="Arial" w:hAnsi="Arial" w:cs="Arial"/>
          <w:i/>
          <w:sz w:val="24"/>
          <w:szCs w:val="24"/>
        </w:rPr>
      </w:pPr>
      <w:bookmarkStart w:id="38" w:name="_Toc501388864"/>
      <w:r>
        <w:rPr>
          <w:rFonts w:ascii="Arial" w:hAnsi="Arial" w:cs="Arial"/>
          <w:i/>
          <w:sz w:val="24"/>
          <w:szCs w:val="24"/>
        </w:rPr>
        <w:t>出口用于上市或期望获得外国上市批准</w:t>
      </w:r>
      <w:bookmarkEnd w:id="38"/>
    </w:p>
    <w:p w14:paraId="7C30895D">
      <w:pPr>
        <w:pStyle w:val="6"/>
        <w:snapToGrid w:val="0"/>
        <w:spacing w:after="180" w:afterLines="75" w:line="360" w:lineRule="auto"/>
        <w:ind w:left="0"/>
        <w:jc w:val="both"/>
        <w:rPr>
          <w:rFonts w:ascii="Arial" w:hAnsi="Arial" w:cs="Arial"/>
        </w:rPr>
      </w:pPr>
      <w:r>
        <w:rPr>
          <w:rFonts w:ascii="Arial" w:hAnsi="Arial" w:cs="Arial"/>
        </w:rPr>
        <w:t>在出口用于上市或期望获得外国上市批准的未批准医疗器械前，制造商应向合规办公室，进出口工作人员咨询，电话：（301）594-4699。</w:t>
      </w:r>
    </w:p>
    <w:p w14:paraId="1DBF4067">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0177A9EC">
      <w:pPr>
        <w:pStyle w:val="2"/>
        <w:snapToGrid w:val="0"/>
        <w:spacing w:after="180" w:afterLines="75" w:line="360" w:lineRule="auto"/>
        <w:ind w:left="119"/>
        <w:jc w:val="center"/>
        <w:rPr>
          <w:rFonts w:ascii="Arial" w:hAnsi="Arial" w:cs="Arial"/>
          <w:i/>
        </w:rPr>
      </w:pPr>
      <w:bookmarkStart w:id="39" w:name="_Toc501388865"/>
      <w:r>
        <w:rPr>
          <w:rFonts w:ascii="Arial" w:hAnsi="Arial" w:cs="Arial"/>
          <w:i/>
        </w:rPr>
        <w:t>第II章</w:t>
      </w:r>
      <w:r>
        <w:rPr>
          <w:rFonts w:hint="eastAsia" w:ascii="Arial" w:hAnsi="Arial" w:cs="Arial"/>
          <w:i/>
        </w:rPr>
        <w:br w:type="textWrapping"/>
      </w:r>
      <w:r>
        <w:rPr>
          <w:rFonts w:ascii="Arial" w:hAnsi="Arial" w:cs="Arial"/>
          <w:i/>
        </w:rPr>
        <w:t>影响IDE项目的法规</w:t>
      </w:r>
      <w:bookmarkEnd w:id="39"/>
    </w:p>
    <w:p w14:paraId="73CB3766">
      <w:pPr>
        <w:pStyle w:val="6"/>
        <w:snapToGrid w:val="0"/>
        <w:spacing w:after="180" w:afterLines="75" w:line="360" w:lineRule="auto"/>
        <w:ind w:left="0"/>
        <w:jc w:val="both"/>
        <w:rPr>
          <w:rFonts w:ascii="Arial" w:hAnsi="Arial" w:cs="Arial"/>
        </w:rPr>
      </w:pPr>
      <w:r>
        <w:rPr>
          <w:rFonts w:ascii="Arial" w:hAnsi="Arial" w:cs="Arial"/>
        </w:rPr>
        <w:t>本章将总结影响IDE项目的若干新法规的规定。指南可用于医疗保险涵盖的某些研究器械（见下文）。对于其他器械，正在制定指南，并将在不久的将来发布。</w:t>
      </w:r>
    </w:p>
    <w:p w14:paraId="6861DB11">
      <w:pPr>
        <w:snapToGrid w:val="0"/>
        <w:spacing w:after="180" w:afterLines="75" w:line="360" w:lineRule="auto"/>
        <w:jc w:val="both"/>
        <w:rPr>
          <w:rFonts w:ascii="Arial" w:hAnsi="Arial" w:eastAsia="宋体" w:cs="Arial"/>
          <w:sz w:val="24"/>
          <w:szCs w:val="24"/>
        </w:rPr>
      </w:pPr>
    </w:p>
    <w:p w14:paraId="4376694D">
      <w:pPr>
        <w:pStyle w:val="3"/>
        <w:snapToGrid w:val="0"/>
        <w:spacing w:after="180" w:afterLines="75" w:line="360" w:lineRule="auto"/>
        <w:ind w:left="0"/>
        <w:jc w:val="both"/>
        <w:rPr>
          <w:rFonts w:ascii="Arial" w:hAnsi="Arial" w:cs="Arial"/>
          <w:b w:val="0"/>
          <w:bCs w:val="0"/>
          <w:i w:val="0"/>
          <w:u w:val="none"/>
        </w:rPr>
      </w:pPr>
      <w:bookmarkStart w:id="40" w:name="_Toc501388866"/>
      <w:bookmarkStart w:id="41" w:name="_TOC_250009"/>
      <w:r>
        <w:rPr>
          <w:rFonts w:ascii="Arial" w:hAnsi="Arial" w:cs="Arial"/>
        </w:rPr>
        <w:t>医疗保险项目；将涵盖范围扩大至某些器械和相关服务的标准和程序</w:t>
      </w:r>
      <w:bookmarkEnd w:id="40"/>
      <w:bookmarkEnd w:id="41"/>
    </w:p>
    <w:p w14:paraId="134ED60B">
      <w:pPr>
        <w:pStyle w:val="6"/>
        <w:snapToGrid w:val="0"/>
        <w:spacing w:after="180" w:afterLines="75" w:line="360" w:lineRule="auto"/>
        <w:ind w:left="0"/>
        <w:jc w:val="both"/>
        <w:rPr>
          <w:rFonts w:ascii="Arial" w:hAnsi="Arial" w:cs="Arial"/>
        </w:rPr>
      </w:pPr>
      <w:r>
        <w:rPr>
          <w:rFonts w:ascii="Arial" w:hAnsi="Arial" w:cs="Arial"/>
        </w:rPr>
        <w:t>在1995年9月19日的联邦公报（60 FR 48417）中，卫生保健财务管理局（HCFA）宣布，机构考虑将FDA已批准IDE，且分类为非实验性/研究性的某些器械纳入医疗保险范围。为根据医疗保险项目提供补偿，FDA将所有FDA批准IDE分类为A类（实验性）或B类（非实验性/研究性）。被FDA列入B类的IDE才有资格纳入医疗保险范围。但是，最终涵盖范围决定将考虑其他因素，因此，将由HCFA作出决定。</w:t>
      </w:r>
    </w:p>
    <w:p w14:paraId="65AEC383">
      <w:pPr>
        <w:pStyle w:val="6"/>
        <w:snapToGrid w:val="0"/>
        <w:spacing w:after="180" w:afterLines="75" w:line="360" w:lineRule="auto"/>
        <w:ind w:left="0"/>
        <w:jc w:val="both"/>
        <w:rPr>
          <w:rFonts w:ascii="Arial" w:hAnsi="Arial" w:cs="Arial"/>
        </w:rPr>
      </w:pPr>
      <w:r>
        <w:rPr>
          <w:rFonts w:ascii="Arial" w:hAnsi="Arial" w:cs="Arial"/>
        </w:rPr>
        <w:t>如FDA / HCFA机构间协议所述，实验性（A类）器械是指类属于III类，且其</w:t>
      </w:r>
      <w:r>
        <w:rPr>
          <w:rFonts w:ascii="宋体" w:hAnsi="宋体" w:cs="Arial"/>
        </w:rPr>
        <w:t>“</w:t>
      </w:r>
      <w:r>
        <w:rPr>
          <w:rFonts w:ascii="Arial" w:hAnsi="Arial" w:cs="Arial"/>
        </w:rPr>
        <w:t>绝对风险</w:t>
      </w:r>
      <w:r>
        <w:rPr>
          <w:rFonts w:ascii="宋体" w:hAnsi="宋体" w:cs="Arial"/>
        </w:rPr>
        <w:t>”</w:t>
      </w:r>
      <w:r>
        <w:rPr>
          <w:rFonts w:ascii="Arial" w:hAnsi="Arial" w:cs="Arial"/>
        </w:rPr>
        <w:t>尚未确定的创新器械；即最初的安全性和有效性问题尚未解决，FDA不确定该器械类型是否安全有效。非实验性/研究性（B类）器械是指类属于I类或II类，或者类属于III类，且其增量风险是所研究的主要风险的器械；即该器械类型的潜在安全性和有效性问题已经解决，或者已知该器械类型安全有效，因为其他制造商已经获得该器械类型的FDA批准。</w:t>
      </w:r>
    </w:p>
    <w:p w14:paraId="5EACB929">
      <w:pPr>
        <w:pStyle w:val="6"/>
        <w:snapToGrid w:val="0"/>
        <w:spacing w:after="180" w:afterLines="75" w:line="360" w:lineRule="auto"/>
        <w:ind w:left="0"/>
        <w:jc w:val="both"/>
        <w:rPr>
          <w:rFonts w:ascii="Arial" w:hAnsi="Arial" w:cs="Arial"/>
        </w:rPr>
      </w:pPr>
      <w:r>
        <w:rPr>
          <w:rFonts w:ascii="Arial" w:hAnsi="Arial" w:cs="Arial"/>
        </w:rPr>
        <w:t>对于已批准或有条件批准的IDE，在发给申办方的IDEA信函中，应提供HCFA的分类决定。在决定核准IDE的正确分类时，审查员应使用IDE样板H-1中的分类清单。当审查员确定IDE应列为A类时，审查员应征得其部门负责人和IDE工作人员的同意。此外，当审查员确定IDE应列为B类时，仅需征得其部门负责人的同意。</w:t>
      </w:r>
    </w:p>
    <w:p w14:paraId="29899C18">
      <w:pPr>
        <w:pStyle w:val="6"/>
        <w:snapToGrid w:val="0"/>
        <w:spacing w:after="180" w:afterLines="75" w:line="360" w:lineRule="auto"/>
        <w:ind w:left="0"/>
        <w:jc w:val="both"/>
        <w:rPr>
          <w:rFonts w:ascii="Arial" w:hAnsi="Arial" w:cs="Arial"/>
        </w:rPr>
      </w:pPr>
      <w:r>
        <w:rPr>
          <w:rFonts w:ascii="Arial" w:hAnsi="Arial" w:cs="Arial"/>
        </w:rPr>
        <w:t>卫生保健财务管理局将在所有批准和有条件批准函上加盖印章。文件邮件中心负责确保HCFA已收到所有此类信函的副本。此外，已制定新样板供审查员使用。此类样板为上述HCFA补偿清单（H-1）；重新考虑HCFA分类决定（H-2）；以及变更HCFA补偿分类（H-3）。在回复申办方要求重新考虑HCFA分类决定的申请时，或在分别因获得新信息或类似器械获批而修订原始HCFA分类决定时，应使用后两个样板。</w:t>
      </w:r>
      <w:r>
        <w:rPr>
          <w:rFonts w:ascii="Arial" w:hAnsi="Arial" w:cs="Arial"/>
        </w:rPr>
        <w:br w:type="page"/>
      </w:r>
    </w:p>
    <w:p w14:paraId="395D2693">
      <w:pPr>
        <w:pStyle w:val="6"/>
        <w:snapToGrid w:val="0"/>
        <w:spacing w:after="180" w:afterLines="75" w:line="360" w:lineRule="auto"/>
        <w:ind w:left="0"/>
        <w:jc w:val="both"/>
        <w:rPr>
          <w:rFonts w:ascii="Arial" w:hAnsi="Arial" w:cs="Arial"/>
        </w:rPr>
      </w:pPr>
      <w:r>
        <w:rPr>
          <w:rFonts w:ascii="Arial" w:hAnsi="Arial" w:cs="Arial"/>
        </w:rPr>
        <w:t>有关其他指导，请参见ODE蓝皮书备忘录＃D95-2《实施FDA / HCFA关于研究器械补偿分类的机构间协议》。</w:t>
      </w:r>
    </w:p>
    <w:p w14:paraId="6FD218EC">
      <w:pPr>
        <w:pStyle w:val="3"/>
        <w:snapToGrid w:val="0"/>
        <w:spacing w:after="180" w:afterLines="75" w:line="360" w:lineRule="auto"/>
        <w:ind w:left="0"/>
        <w:jc w:val="both"/>
        <w:rPr>
          <w:rFonts w:ascii="Arial" w:hAnsi="Arial" w:cs="Arial"/>
          <w:b w:val="0"/>
          <w:bCs w:val="0"/>
          <w:i w:val="0"/>
          <w:u w:val="none"/>
        </w:rPr>
      </w:pPr>
      <w:bookmarkStart w:id="42" w:name="_Toc501388867"/>
      <w:bookmarkStart w:id="43" w:name="_TOC_250008"/>
      <w:r>
        <w:rPr>
          <w:rFonts w:ascii="Arial" w:hAnsi="Arial" w:cs="Arial"/>
          <w:u w:val="thick" w:color="000000"/>
        </w:rPr>
        <w:t>紧急研究；豁免知情同意</w:t>
      </w:r>
      <w:bookmarkEnd w:id="42"/>
      <w:bookmarkEnd w:id="43"/>
    </w:p>
    <w:p w14:paraId="53EDBD05">
      <w:pPr>
        <w:pStyle w:val="4"/>
        <w:keepNext w:val="0"/>
        <w:keepLines w:val="0"/>
        <w:snapToGrid w:val="0"/>
        <w:spacing w:before="0" w:after="180" w:afterLines="75" w:line="360" w:lineRule="auto"/>
        <w:rPr>
          <w:rFonts w:ascii="Arial" w:hAnsi="Arial" w:cs="Arial"/>
          <w:sz w:val="24"/>
          <w:szCs w:val="24"/>
        </w:rPr>
      </w:pPr>
      <w:bookmarkStart w:id="44" w:name="_Toc501388868"/>
      <w:bookmarkStart w:id="45" w:name="_TOC_250007"/>
      <w:r>
        <w:rPr>
          <w:rFonts w:ascii="Arial" w:hAnsi="Arial" w:cs="Arial"/>
          <w:sz w:val="24"/>
          <w:szCs w:val="24"/>
        </w:rPr>
        <w:t>法规规定</w:t>
      </w:r>
      <w:bookmarkEnd w:id="44"/>
      <w:bookmarkEnd w:id="45"/>
    </w:p>
    <w:p w14:paraId="5F63B631">
      <w:pPr>
        <w:pStyle w:val="6"/>
        <w:snapToGrid w:val="0"/>
        <w:spacing w:after="180" w:afterLines="75" w:line="360" w:lineRule="auto"/>
        <w:ind w:left="0"/>
        <w:jc w:val="both"/>
        <w:rPr>
          <w:rFonts w:ascii="Arial" w:hAnsi="Arial" w:cs="Arial"/>
        </w:rPr>
      </w:pPr>
      <w:r>
        <w:rPr>
          <w:rFonts w:ascii="Arial" w:hAnsi="Arial" w:cs="Arial"/>
        </w:rPr>
        <w:t>在1996年10月2日的联邦公报（61 FR 51498）中，FDA发布了最终规则，宣布其知情同意法规已经修正，以便与卫生与人类服务署（DHHS）的紧急研究政策相一致，并说明可以在未获得个体受试者的知情同意的情况下继续进行此类研究的情况。最终规则旨在允许进行研究来改善现行治疗已无效或无法令人满意的致命性病症的治疗方法，从而改善干预措施和患者结局。最终规则于1996年11月1日生效。</w:t>
      </w:r>
    </w:p>
    <w:p w14:paraId="7C795324">
      <w:pPr>
        <w:pStyle w:val="6"/>
        <w:snapToGrid w:val="0"/>
        <w:spacing w:after="180" w:afterLines="75" w:line="360" w:lineRule="auto"/>
        <w:ind w:left="0"/>
        <w:jc w:val="both"/>
        <w:rPr>
          <w:rFonts w:ascii="Arial" w:hAnsi="Arial" w:cs="Arial"/>
        </w:rPr>
      </w:pPr>
      <w:r>
        <w:rPr>
          <w:rFonts w:ascii="Arial" w:hAnsi="Arial" w:cs="Arial"/>
        </w:rPr>
        <w:t>FDA认识到，患有致命性病症，且无法授予知情同意或拒绝参与研究的人员属于弱势群体。由于此类受试者缺乏自主性且无法授予知情同意，需要在紧急护理研究的审查、批准和操作中采取额外的保护措施。因此，最终规则规定的知情同意要求豁免取决于机构审查委员会（IRB）发现的结果。</w:t>
      </w:r>
    </w:p>
    <w:p w14:paraId="291559FB">
      <w:pPr>
        <w:pStyle w:val="6"/>
        <w:snapToGrid w:val="0"/>
        <w:spacing w:after="180" w:afterLines="75" w:line="360" w:lineRule="auto"/>
        <w:ind w:left="0"/>
        <w:jc w:val="both"/>
        <w:rPr>
          <w:rFonts w:ascii="Arial" w:hAnsi="Arial" w:cs="Arial"/>
        </w:rPr>
      </w:pPr>
      <w:r>
        <w:rPr>
          <w:rFonts w:ascii="Arial" w:hAnsi="Arial" w:cs="Arial"/>
        </w:rPr>
        <w:t>根据21 CFR 50.24（a）的规定，如果IRB确定并确认以下事项，其可以批准涉及重症护理研究的临床研究，而无需事先获得研究对象的知情同意（但必须征得作为IRB成员或顾问，但不参与临床研究的执业医师的同意）：</w:t>
      </w:r>
    </w:p>
    <w:p w14:paraId="08C66CB4">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潜在受试者的生命受到威胁（疾病或病症造成死亡的可能性极高，除非疾病或病症的病程中断）；可用治疗方法已无效或无法令人满意；以及必须收集有效科学证据来确定特定干预的安全性和有效性；</w:t>
      </w:r>
    </w:p>
    <w:p w14:paraId="53079DAA">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由于受试者的医疗状况不允许其授予同意，无法获得知情同意，必须获得受试者合法授权代表的同意之前施用研究干预，以及无法提前确定可能有资格参与临床研究的受试者；</w:t>
      </w:r>
    </w:p>
    <w:p w14:paraId="3BB20AF4">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3AA0F06B">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由于受试者的生命受到威胁并需要干预，参与研究可能直接有益于该受试者；已经进行了适当的动物和其他临床前研究，从此类研究获得的信息和相关证据证实，研究可能会使个体受试者直接获益；以及患者医疗状况和标准治疗相关的风险和获益相比，实验性治疗带来的风险和获益合理；</w:t>
      </w:r>
    </w:p>
    <w:p w14:paraId="550CA321">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如果未豁免知情同意要求，临床研究不能实际执行；（如果科学研究仅可在征得受试者或合法授权代表的同意后才可实际进行，则研究应排除未授予同意的受试者）。</w:t>
      </w:r>
    </w:p>
    <w:p w14:paraId="1D9BE1B5">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研究者已尽力在临床以及的治疗窗内尝试联系各受试者的合法授权代表，并在可行时，在该治疗窗口内征得同意，而不是在未经同意的情况下继续进行研究；以及</w:t>
      </w:r>
    </w:p>
    <w:p w14:paraId="7216A6A3">
      <w:pPr>
        <w:pStyle w:val="22"/>
        <w:numPr>
          <w:ilvl w:val="1"/>
          <w:numId w:val="6"/>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IRB已经审查并已批准知情同意程序和知情同意书，以便在受试者或其合法授权代表可以授予同意的情况下使用。</w:t>
      </w:r>
    </w:p>
    <w:p w14:paraId="2A0B8984">
      <w:pPr>
        <w:pStyle w:val="6"/>
        <w:snapToGrid w:val="0"/>
        <w:spacing w:after="180" w:afterLines="75" w:line="360" w:lineRule="auto"/>
        <w:ind w:left="0"/>
        <w:jc w:val="both"/>
        <w:rPr>
          <w:rFonts w:ascii="Arial" w:hAnsi="Arial" w:cs="Arial"/>
        </w:rPr>
      </w:pPr>
      <w:r>
        <w:rPr>
          <w:rFonts w:ascii="Arial" w:hAnsi="Arial" w:cs="Arial"/>
        </w:rPr>
        <w:t>额外保护受试者权利和福利的措施包括：</w:t>
      </w:r>
    </w:p>
    <w:p w14:paraId="371C535C">
      <w:pPr>
        <w:pStyle w:val="22"/>
        <w:numPr>
          <w:ilvl w:val="2"/>
          <w:numId w:val="6"/>
        </w:numPr>
        <w:tabs>
          <w:tab w:val="left" w:pos="1560"/>
        </w:tabs>
        <w:snapToGrid w:val="0"/>
        <w:spacing w:after="180" w:afterLines="75" w:line="360" w:lineRule="auto"/>
        <w:ind w:left="852" w:leftChars="199" w:hanging="414"/>
        <w:jc w:val="both"/>
        <w:rPr>
          <w:rFonts w:ascii="Arial" w:hAnsi="Arial" w:eastAsia="宋体" w:cs="Arial"/>
          <w:sz w:val="24"/>
          <w:szCs w:val="24"/>
        </w:rPr>
      </w:pPr>
      <w:r>
        <w:rPr>
          <w:rFonts w:ascii="Arial" w:hAnsi="Arial" w:eastAsia="宋体" w:cs="Arial"/>
          <w:sz w:val="24"/>
          <w:szCs w:val="24"/>
        </w:rPr>
        <w:t>咨询（可能包括IRB本身进行的咨询）临床以及和受试者所在社区的代表。咨询可以通过报纸、机构通讯、广告、当地广播电台、会议等进行。</w:t>
      </w:r>
    </w:p>
    <w:p w14:paraId="146834F1">
      <w:pPr>
        <w:pStyle w:val="22"/>
        <w:numPr>
          <w:ilvl w:val="2"/>
          <w:numId w:val="6"/>
        </w:numPr>
        <w:tabs>
          <w:tab w:val="left" w:pos="1560"/>
        </w:tabs>
        <w:snapToGrid w:val="0"/>
        <w:spacing w:after="180" w:afterLines="75" w:line="360" w:lineRule="auto"/>
        <w:ind w:left="852" w:leftChars="199" w:hanging="414"/>
        <w:jc w:val="both"/>
        <w:rPr>
          <w:rFonts w:ascii="Arial" w:hAnsi="Arial" w:eastAsia="宋体" w:cs="Arial"/>
          <w:sz w:val="24"/>
          <w:szCs w:val="24"/>
        </w:rPr>
      </w:pPr>
      <w:r>
        <w:rPr>
          <w:rFonts w:ascii="Arial" w:hAnsi="Arial" w:eastAsia="宋体" w:cs="Arial"/>
          <w:sz w:val="24"/>
          <w:szCs w:val="24"/>
        </w:rPr>
        <w:t>在开展研究之前，应向临床研究所在社区公开披露可能风险和预期获益（例如研究者手册、知情同意书和研究方案的相关信息）；</w:t>
      </w:r>
    </w:p>
    <w:p w14:paraId="07EAAEA4">
      <w:pPr>
        <w:pStyle w:val="22"/>
        <w:numPr>
          <w:ilvl w:val="2"/>
          <w:numId w:val="6"/>
        </w:numPr>
        <w:tabs>
          <w:tab w:val="left" w:pos="1560"/>
        </w:tabs>
        <w:snapToGrid w:val="0"/>
        <w:spacing w:after="180" w:afterLines="75" w:line="360" w:lineRule="auto"/>
        <w:ind w:left="852" w:leftChars="199" w:hanging="414"/>
        <w:jc w:val="both"/>
        <w:rPr>
          <w:rFonts w:ascii="Arial" w:hAnsi="Arial" w:eastAsia="宋体" w:cs="Arial"/>
          <w:sz w:val="24"/>
          <w:szCs w:val="24"/>
        </w:rPr>
      </w:pPr>
      <w:r>
        <w:rPr>
          <w:rFonts w:ascii="Arial" w:hAnsi="Arial" w:eastAsia="宋体" w:cs="Arial"/>
          <w:sz w:val="24"/>
          <w:szCs w:val="24"/>
        </w:rPr>
        <w:t>在完成研究后公开披露充分信息，使社区和研究者了解研究结果；</w:t>
      </w:r>
    </w:p>
    <w:p w14:paraId="04E9299E">
      <w:pPr>
        <w:pStyle w:val="22"/>
        <w:numPr>
          <w:ilvl w:val="2"/>
          <w:numId w:val="6"/>
        </w:numPr>
        <w:tabs>
          <w:tab w:val="left" w:pos="1560"/>
        </w:tabs>
        <w:snapToGrid w:val="0"/>
        <w:spacing w:after="180" w:afterLines="75" w:line="360" w:lineRule="auto"/>
        <w:ind w:left="852" w:leftChars="199" w:hanging="414"/>
        <w:jc w:val="both"/>
        <w:rPr>
          <w:rFonts w:ascii="Arial" w:hAnsi="Arial" w:eastAsia="宋体" w:cs="Arial"/>
          <w:sz w:val="24"/>
          <w:szCs w:val="24"/>
        </w:rPr>
      </w:pPr>
      <w:r>
        <w:rPr>
          <w:rFonts w:ascii="Arial" w:hAnsi="Arial" w:eastAsia="宋体" w:cs="Arial"/>
          <w:sz w:val="24"/>
          <w:szCs w:val="24"/>
        </w:rPr>
        <w:t>建立独立数据监督委员会，负责监督研究；以及</w:t>
      </w:r>
    </w:p>
    <w:p w14:paraId="64D4040F">
      <w:pPr>
        <w:pStyle w:val="22"/>
        <w:numPr>
          <w:ilvl w:val="2"/>
          <w:numId w:val="6"/>
        </w:numPr>
        <w:tabs>
          <w:tab w:val="left" w:pos="1560"/>
        </w:tabs>
        <w:snapToGrid w:val="0"/>
        <w:spacing w:after="180" w:afterLines="75" w:line="360" w:lineRule="auto"/>
        <w:ind w:left="852" w:leftChars="199" w:hanging="414"/>
        <w:jc w:val="both"/>
        <w:rPr>
          <w:rFonts w:ascii="Arial" w:hAnsi="Arial" w:eastAsia="宋体" w:cs="Arial"/>
          <w:sz w:val="24"/>
          <w:szCs w:val="24"/>
        </w:rPr>
      </w:pPr>
      <w:r>
        <w:rPr>
          <w:rFonts w:ascii="Arial" w:hAnsi="Arial" w:eastAsia="宋体" w:cs="Arial"/>
          <w:sz w:val="24"/>
          <w:szCs w:val="24"/>
        </w:rPr>
        <w:t>如果无法获得同意，且合法授权代表不可用，则研究者必须在治疗窗内，找到受试者的家属，询问其是否反对受试者参与研究（如果可行）。</w:t>
      </w:r>
    </w:p>
    <w:p w14:paraId="07EFF4FA">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3788A77F">
      <w:pPr>
        <w:pStyle w:val="6"/>
        <w:snapToGrid w:val="0"/>
        <w:spacing w:after="180" w:afterLines="75" w:line="360" w:lineRule="auto"/>
        <w:ind w:left="0"/>
        <w:jc w:val="both"/>
        <w:rPr>
          <w:rFonts w:ascii="Arial" w:hAnsi="Arial" w:cs="Arial"/>
        </w:rPr>
      </w:pPr>
      <w:r>
        <w:rPr>
          <w:rFonts w:ascii="Arial" w:hAnsi="Arial" w:cs="Arial"/>
        </w:rPr>
        <w:t>最终规则适用于已豁免知情同意要求的所有临床研究。此类研究应在FDA收到并审查研究器械豁免（IDE）后进行。如果方案包括无法提供知情同意的受试者，则即使已针对该器械提交IDE，必须提交新的IDE申请并附上方案。新申请需要引用现有IDE，提供临床研究方案（其中应说明研究符合本法规条件的原因），并只提供21 CFR 812.20和812.25要求的研究特定信息。</w:t>
      </w:r>
    </w:p>
    <w:p w14:paraId="4FB3C694">
      <w:pPr>
        <w:pStyle w:val="4"/>
        <w:keepNext w:val="0"/>
        <w:keepLines w:val="0"/>
        <w:snapToGrid w:val="0"/>
        <w:spacing w:before="0" w:after="180" w:afterLines="75" w:line="360" w:lineRule="auto"/>
        <w:rPr>
          <w:rFonts w:ascii="Arial" w:hAnsi="Arial" w:cs="Arial"/>
          <w:sz w:val="24"/>
          <w:szCs w:val="24"/>
        </w:rPr>
      </w:pPr>
      <w:bookmarkStart w:id="46" w:name="_Toc501388869"/>
      <w:bookmarkStart w:id="47" w:name="_TOC_250006"/>
      <w:r>
        <w:rPr>
          <w:rFonts w:ascii="Arial" w:hAnsi="Arial" w:cs="Arial"/>
          <w:sz w:val="24"/>
          <w:szCs w:val="24"/>
        </w:rPr>
        <w:t>ODE程序</w:t>
      </w:r>
      <w:bookmarkEnd w:id="46"/>
      <w:bookmarkEnd w:id="47"/>
    </w:p>
    <w:p w14:paraId="24503CE1">
      <w:pPr>
        <w:pStyle w:val="6"/>
        <w:snapToGrid w:val="0"/>
        <w:spacing w:after="180" w:afterLines="75" w:line="360" w:lineRule="auto"/>
        <w:ind w:left="0"/>
        <w:jc w:val="both"/>
        <w:rPr>
          <w:rFonts w:ascii="Arial" w:hAnsi="Arial" w:cs="Arial"/>
        </w:rPr>
      </w:pPr>
      <w:r>
        <w:rPr>
          <w:rFonts w:ascii="Arial" w:hAnsi="Arial" w:cs="Arial"/>
        </w:rPr>
        <w:t>在审查部门收到要求准许紧急研究豁免知情同意的IDE申请后，审查员应立即通知IDE工作人员，其部门已收到此类申请。IDE工作人员将协助该部门对申请进行审查，以便在批准申请之前，确保所有适用的保障措施已得到满足，且法规规定的所有标准（见上文）均已得到满足。</w:t>
      </w:r>
    </w:p>
    <w:p w14:paraId="1DEEA07F">
      <w:pPr>
        <w:pStyle w:val="6"/>
        <w:snapToGrid w:val="0"/>
        <w:spacing w:after="180" w:afterLines="75" w:line="360" w:lineRule="auto"/>
        <w:ind w:left="0"/>
        <w:jc w:val="both"/>
        <w:rPr>
          <w:rFonts w:ascii="Arial" w:hAnsi="Arial" w:cs="Arial"/>
        </w:rPr>
      </w:pPr>
      <w:r>
        <w:rPr>
          <w:rFonts w:ascii="Arial" w:hAnsi="Arial" w:cs="Arial"/>
        </w:rPr>
        <w:t>审查部门应注意，IDE追踪表中有一区域用于指示原始IDE申请是否要求豁免知情同意。如果要求豁免知情同意，则该部门必须在追踪表上标明，以便ODE能够正确追踪此类申请。</w:t>
      </w:r>
    </w:p>
    <w:p w14:paraId="19B2652D">
      <w:pPr>
        <w:pStyle w:val="6"/>
        <w:snapToGrid w:val="0"/>
        <w:spacing w:after="180" w:afterLines="75" w:line="360" w:lineRule="auto"/>
        <w:ind w:left="0"/>
        <w:jc w:val="both"/>
        <w:rPr>
          <w:rFonts w:ascii="Arial" w:hAnsi="Arial" w:cs="Arial"/>
        </w:rPr>
      </w:pPr>
      <w:r>
        <w:rPr>
          <w:rFonts w:ascii="Arial" w:hAnsi="Arial" w:cs="Arial"/>
        </w:rPr>
        <w:t>最后，法规规定，IDE申办方应向IRB提交某些信息，证明其已向研究所在社区公开披露研究相关信息。此类信息应提交给IDE和案卷管理处（21 CFR 812.47（a））。公众可以根据信息自由法案（21 CFR 812.38（b）（4））提交申请，要求获得此类信息。</w:t>
      </w:r>
    </w:p>
    <w:p w14:paraId="7FDD72CA">
      <w:pPr>
        <w:pStyle w:val="6"/>
        <w:snapToGrid w:val="0"/>
        <w:spacing w:after="180" w:afterLines="75" w:line="360" w:lineRule="auto"/>
        <w:ind w:left="0"/>
        <w:jc w:val="both"/>
        <w:rPr>
          <w:rFonts w:ascii="Arial" w:hAnsi="Arial" w:cs="Arial"/>
        </w:rPr>
      </w:pPr>
      <w:r>
        <w:rPr>
          <w:rFonts w:ascii="Arial" w:hAnsi="Arial" w:cs="Arial"/>
        </w:rPr>
        <w:t>本机构正在制定关于此法规的其他指南。</w:t>
      </w:r>
    </w:p>
    <w:p w14:paraId="32C5A48A">
      <w:pPr>
        <w:pStyle w:val="3"/>
        <w:snapToGrid w:val="0"/>
        <w:spacing w:after="180" w:afterLines="75" w:line="360" w:lineRule="auto"/>
        <w:ind w:left="0"/>
        <w:jc w:val="both"/>
        <w:rPr>
          <w:rFonts w:ascii="Arial" w:hAnsi="Arial" w:cs="Arial"/>
          <w:b w:val="0"/>
          <w:bCs w:val="0"/>
          <w:i w:val="0"/>
          <w:u w:val="none"/>
        </w:rPr>
      </w:pPr>
      <w:bookmarkStart w:id="48" w:name="_TOC_250005"/>
      <w:bookmarkStart w:id="49" w:name="_Toc501388870"/>
      <w:r>
        <w:rPr>
          <w:rFonts w:ascii="Arial" w:hAnsi="Arial" w:cs="Arial"/>
          <w:u w:val="thick" w:color="000000"/>
        </w:rPr>
        <w:t>注明知情同意书签署日期</w:t>
      </w:r>
      <w:bookmarkEnd w:id="48"/>
      <w:bookmarkEnd w:id="49"/>
    </w:p>
    <w:p w14:paraId="13F5882B">
      <w:pPr>
        <w:pStyle w:val="6"/>
        <w:snapToGrid w:val="0"/>
        <w:spacing w:after="180" w:afterLines="75" w:line="360" w:lineRule="auto"/>
        <w:ind w:left="0"/>
        <w:jc w:val="both"/>
        <w:rPr>
          <w:rFonts w:ascii="Arial" w:hAnsi="Arial" w:cs="Arial"/>
        </w:rPr>
      </w:pPr>
      <w:r>
        <w:rPr>
          <w:rFonts w:ascii="Arial" w:hAnsi="Arial" w:cs="Arial"/>
        </w:rPr>
        <w:t>在1996年11月5日的联邦公报（61 FR 57277）中，FDA发布了最终规则，宣布其知情同意法规（21 CFR Part 50）已经修订，以便：</w:t>
      </w:r>
    </w:p>
    <w:p w14:paraId="62349CAC">
      <w:pPr>
        <w:pStyle w:val="22"/>
        <w:numPr>
          <w:ilvl w:val="0"/>
          <w:numId w:val="7"/>
        </w:numPr>
        <w:tabs>
          <w:tab w:val="left" w:pos="1560"/>
        </w:tabs>
        <w:snapToGrid w:val="0"/>
        <w:spacing w:after="180" w:afterLines="75" w:line="360" w:lineRule="auto"/>
        <w:ind w:left="922" w:leftChars="200" w:hanging="482" w:hangingChars="201"/>
        <w:jc w:val="both"/>
        <w:rPr>
          <w:rFonts w:ascii="Arial" w:hAnsi="Arial" w:eastAsia="宋体" w:cs="Arial"/>
          <w:sz w:val="24"/>
          <w:szCs w:val="24"/>
        </w:rPr>
      </w:pPr>
      <w:r>
        <w:rPr>
          <w:rFonts w:ascii="Arial" w:hAnsi="Arial" w:eastAsia="宋体" w:cs="Arial"/>
          <w:sz w:val="24"/>
          <w:szCs w:val="24"/>
        </w:rPr>
        <w:t>要求受试者或受试者合法授权代表在签署同意书后，注明授予同意的日期（第50.27（a）节）；以及</w:t>
      </w:r>
    </w:p>
    <w:p w14:paraId="1A60282E">
      <w:pPr>
        <w:pStyle w:val="22"/>
        <w:numPr>
          <w:ilvl w:val="0"/>
          <w:numId w:val="7"/>
        </w:numPr>
        <w:tabs>
          <w:tab w:val="left" w:pos="1560"/>
        </w:tabs>
        <w:snapToGrid w:val="0"/>
        <w:spacing w:after="180" w:afterLines="75" w:line="360" w:lineRule="auto"/>
        <w:ind w:left="922" w:leftChars="200" w:hanging="482" w:hangingChars="201"/>
        <w:jc w:val="both"/>
        <w:rPr>
          <w:rFonts w:ascii="Arial" w:hAnsi="Arial" w:eastAsia="宋体" w:cs="Arial"/>
          <w:sz w:val="24"/>
          <w:szCs w:val="24"/>
        </w:rPr>
      </w:pPr>
      <w:r>
        <w:rPr>
          <w:rFonts w:ascii="Arial" w:hAnsi="Arial" w:eastAsia="宋体" w:cs="Arial"/>
          <w:sz w:val="24"/>
          <w:szCs w:val="24"/>
        </w:rPr>
        <w:t>说明合格病例历史的内容，并说明病例历史应该记载是否已在参与研究之前获得知情同意（第812.140（a）（3））。根据该法规的该新条款，病例历史应包括</w:t>
      </w:r>
      <w:r>
        <w:rPr>
          <w:rFonts w:ascii="宋体" w:hAnsi="宋体" w:eastAsia="宋体" w:cs="Arial"/>
          <w:sz w:val="24"/>
          <w:szCs w:val="24"/>
        </w:rPr>
        <w:t>“</w:t>
      </w:r>
      <w:r>
        <w:rPr>
          <w:rFonts w:ascii="Arial" w:hAnsi="Arial" w:eastAsia="宋体" w:cs="Arial"/>
          <w:sz w:val="24"/>
          <w:szCs w:val="24"/>
        </w:rPr>
        <w:t>病例报告表和支持性数据，其中包括已签署并注明日期的同意书和医疗记录（包括医师的进度记录；个人病历；和护士笔记）</w:t>
      </w:r>
      <w:r>
        <w:rPr>
          <w:rFonts w:ascii="宋体" w:hAnsi="宋体" w:eastAsia="宋体" w:cs="Arial"/>
          <w:sz w:val="24"/>
          <w:szCs w:val="24"/>
        </w:rPr>
        <w:t>”</w:t>
      </w:r>
      <w:r>
        <w:rPr>
          <w:rFonts w:ascii="Arial" w:hAnsi="Arial" w:eastAsia="宋体" w:cs="Arial"/>
          <w:sz w:val="24"/>
          <w:szCs w:val="24"/>
        </w:rPr>
        <w:t>。</w:t>
      </w:r>
    </w:p>
    <w:p w14:paraId="5332FCF5">
      <w:pPr>
        <w:pStyle w:val="3"/>
        <w:snapToGrid w:val="0"/>
        <w:spacing w:after="180" w:afterLines="75" w:line="360" w:lineRule="auto"/>
        <w:ind w:left="0"/>
        <w:jc w:val="both"/>
        <w:rPr>
          <w:rFonts w:ascii="Arial" w:hAnsi="Arial" w:cs="Arial"/>
          <w:b w:val="0"/>
          <w:bCs w:val="0"/>
          <w:i w:val="0"/>
          <w:u w:val="none"/>
        </w:rPr>
      </w:pPr>
      <w:bookmarkStart w:id="50" w:name="_Toc501388871"/>
      <w:bookmarkStart w:id="51" w:name="_TOC_250004"/>
      <w:r>
        <w:rPr>
          <w:rFonts w:ascii="Arial" w:hAnsi="Arial" w:cs="Arial"/>
          <w:u w:val="thick" w:color="000000"/>
        </w:rPr>
        <w:t>取消临床研究者的资格</w:t>
      </w:r>
      <w:bookmarkEnd w:id="50"/>
      <w:bookmarkEnd w:id="51"/>
    </w:p>
    <w:p w14:paraId="48CBF849">
      <w:pPr>
        <w:pStyle w:val="6"/>
        <w:snapToGrid w:val="0"/>
        <w:spacing w:after="180" w:afterLines="75" w:line="360" w:lineRule="auto"/>
        <w:ind w:left="0"/>
        <w:jc w:val="both"/>
        <w:rPr>
          <w:rFonts w:ascii="Arial" w:hAnsi="Arial" w:cs="Arial"/>
        </w:rPr>
      </w:pPr>
      <w:r>
        <w:rPr>
          <w:rFonts w:ascii="Arial" w:hAnsi="Arial" w:cs="Arial"/>
        </w:rPr>
        <w:t>在1997年3月14日的联邦公报（62 FR 12087）中，FDA发布了关于取消临床研究者资格的最终规定。此类规定适用于所有已经许可或批准以及正在审批的器械申请，条件是此类申请包含或依赖于由不合格研究者进行的临床研究。此类申请包括IDE、上市前通知（510（k））和PMA。</w:t>
      </w:r>
    </w:p>
    <w:p w14:paraId="17B466D0">
      <w:pPr>
        <w:pStyle w:val="6"/>
        <w:snapToGrid w:val="0"/>
        <w:spacing w:after="180" w:afterLines="75" w:line="360" w:lineRule="auto"/>
        <w:ind w:left="0"/>
        <w:jc w:val="both"/>
        <w:rPr>
          <w:rFonts w:ascii="Arial" w:hAnsi="Arial" w:cs="Arial"/>
        </w:rPr>
      </w:pPr>
      <w:r>
        <w:rPr>
          <w:rFonts w:ascii="Arial" w:hAnsi="Arial" w:cs="Arial"/>
        </w:rPr>
        <w:t>根据该最终规则，如果FDA有资料表明研究者涉及以下情况，可以启动临床研究者资格取消程序：（1）反复或故意不遵守21 CFR第812部分第50或56条的要求；（2）反复或故意向研究申办方或在所需报告中提供虚假信息。</w:t>
      </w:r>
    </w:p>
    <w:p w14:paraId="6F143A6A">
      <w:pPr>
        <w:pStyle w:val="6"/>
        <w:snapToGrid w:val="0"/>
        <w:spacing w:after="180" w:afterLines="75" w:line="360" w:lineRule="auto"/>
        <w:ind w:left="0"/>
        <w:jc w:val="both"/>
        <w:rPr>
          <w:rFonts w:ascii="Arial" w:hAnsi="Arial" w:cs="Arial"/>
        </w:rPr>
      </w:pPr>
      <w:r>
        <w:rPr>
          <w:rFonts w:ascii="Arial" w:hAnsi="Arial" w:cs="Arial"/>
        </w:rPr>
        <w:t>取消资格后，FDA应检查所有含有由没有资格接受研究器械（即被取消资格）的研究者报告的数据的核准IDE、许可510（k）或核准PMA。此检查旨在确定该研究者是否提交了不可靠数据，进而决定研究是否可以继续，或者是否许可/批准上市申请。</w:t>
      </w:r>
    </w:p>
    <w:p w14:paraId="7D0F6064">
      <w:pPr>
        <w:pStyle w:val="6"/>
        <w:snapToGrid w:val="0"/>
        <w:spacing w:after="180" w:afterLines="75" w:line="360" w:lineRule="auto"/>
        <w:ind w:left="0"/>
        <w:jc w:val="both"/>
        <w:rPr>
          <w:rFonts w:ascii="Arial" w:hAnsi="Arial" w:cs="Arial"/>
        </w:rPr>
      </w:pPr>
      <w:r>
        <w:rPr>
          <w:rFonts w:ascii="Arial" w:hAnsi="Arial" w:cs="Arial"/>
        </w:rPr>
        <w:t>如果在确定该研究者所提交的数据均可靠后，专员认为，剩余数据仍然不足以证明继续进行研究不会造成风险，则专员将通知申办方，申办方可以根据21 CFR第16部分申请进行监管听证会。此外，如果在确定该研究者所提交的数据均可靠后，专员认为，由于上市申请含有该研究者提交的数据，不应该继续许可或批准该申请，则专员可以着手按照该法案的适用规定和本机构的法规，撤销医疗器械的批准或废除医疗器械的许可。</w:t>
      </w:r>
    </w:p>
    <w:p w14:paraId="5CBFEF95">
      <w:pPr>
        <w:pStyle w:val="6"/>
        <w:snapToGrid w:val="0"/>
        <w:spacing w:after="180" w:afterLines="75" w:line="360" w:lineRule="auto"/>
        <w:ind w:left="0"/>
        <w:jc w:val="both"/>
        <w:rPr>
          <w:rFonts w:ascii="Arial" w:hAnsi="Arial" w:cs="Arial"/>
        </w:rPr>
      </w:pPr>
      <w:r>
        <w:rPr>
          <w:rFonts w:ascii="Arial" w:hAnsi="Arial" w:cs="Arial"/>
        </w:rPr>
        <w:t>生物研究监测处（OC）正在制定关于此法规的指导性文件。</w:t>
      </w:r>
    </w:p>
    <w:p w14:paraId="080001D9">
      <w:pPr>
        <w:pStyle w:val="3"/>
        <w:snapToGrid w:val="0"/>
        <w:spacing w:after="180" w:afterLines="75" w:line="360" w:lineRule="auto"/>
        <w:ind w:left="0"/>
        <w:jc w:val="both"/>
        <w:rPr>
          <w:rFonts w:ascii="Arial" w:hAnsi="Arial" w:cs="Arial"/>
          <w:u w:val="thick" w:color="000000"/>
        </w:rPr>
      </w:pPr>
      <w:bookmarkStart w:id="52" w:name="_TOC_250003"/>
    </w:p>
    <w:p w14:paraId="2137EF3D">
      <w:pPr>
        <w:pStyle w:val="3"/>
        <w:snapToGrid w:val="0"/>
        <w:spacing w:after="180" w:afterLines="75" w:line="360" w:lineRule="auto"/>
        <w:ind w:left="0"/>
        <w:jc w:val="both"/>
        <w:rPr>
          <w:rFonts w:ascii="Arial" w:hAnsi="Arial" w:cs="Arial"/>
          <w:b w:val="0"/>
          <w:bCs w:val="0"/>
          <w:i w:val="0"/>
          <w:u w:val="none"/>
        </w:rPr>
      </w:pPr>
      <w:bookmarkStart w:id="53" w:name="_Toc501388872"/>
      <w:r>
        <w:rPr>
          <w:rFonts w:ascii="Arial" w:hAnsi="Arial" w:cs="Arial"/>
          <w:u w:val="thick" w:color="000000"/>
        </w:rPr>
        <w:t>研究器械豁免；治疗使用</w:t>
      </w:r>
      <w:bookmarkEnd w:id="52"/>
      <w:bookmarkEnd w:id="53"/>
    </w:p>
    <w:p w14:paraId="2C60FF59">
      <w:pPr>
        <w:pStyle w:val="6"/>
        <w:snapToGrid w:val="0"/>
        <w:spacing w:after="180" w:afterLines="75" w:line="360" w:lineRule="auto"/>
        <w:ind w:left="0"/>
        <w:jc w:val="both"/>
        <w:rPr>
          <w:rFonts w:ascii="Arial" w:hAnsi="Arial" w:cs="Arial"/>
        </w:rPr>
      </w:pPr>
      <w:r>
        <w:rPr>
          <w:rFonts w:ascii="Arial" w:hAnsi="Arial" w:cs="Arial"/>
        </w:rPr>
        <w:t>新的治疗IDE法规（21 CFR 812.36）解决了研究器械的治疗使用问题。此法规与治疗IND法规相似，可促进在器械开发过程早期，尽早向重症患者提供更有效果的新型治疗和诊断器械。根据该新法规，对于患有严重或致命性疾病/病症，且没有其他替代器械可用于治疗该疾病/病症的患者，可以提供未经受控临床试验测试的研究器械。</w:t>
      </w:r>
      <w:r>
        <w:rPr>
          <w:rFonts w:ascii="Arial" w:hAnsi="Arial" w:cs="Arial"/>
        </w:rPr>
        <w:br w:type="page"/>
      </w:r>
    </w:p>
    <w:p w14:paraId="17408C01">
      <w:pPr>
        <w:pStyle w:val="6"/>
        <w:snapToGrid w:val="0"/>
        <w:spacing w:after="180" w:afterLines="75" w:line="360" w:lineRule="auto"/>
        <w:ind w:left="0"/>
        <w:jc w:val="both"/>
        <w:rPr>
          <w:rFonts w:ascii="Arial" w:hAnsi="Arial" w:cs="Arial"/>
        </w:rPr>
      </w:pPr>
      <w:r>
        <w:rPr>
          <w:rFonts w:ascii="Arial" w:hAnsi="Arial" w:cs="Arial"/>
        </w:rPr>
        <w:t>此法规将在第III章—研究器械的治疗使用中详细讨论。</w:t>
      </w:r>
    </w:p>
    <w:p w14:paraId="07087142">
      <w:pPr>
        <w:pStyle w:val="3"/>
        <w:snapToGrid w:val="0"/>
        <w:spacing w:after="180" w:afterLines="75" w:line="360" w:lineRule="auto"/>
        <w:ind w:left="0"/>
        <w:jc w:val="both"/>
        <w:rPr>
          <w:rFonts w:ascii="Arial" w:hAnsi="Arial" w:cs="Arial"/>
          <w:b w:val="0"/>
          <w:bCs w:val="0"/>
          <w:i w:val="0"/>
          <w:u w:val="none"/>
        </w:rPr>
      </w:pPr>
      <w:bookmarkStart w:id="54" w:name="_TOC_250002"/>
      <w:bookmarkStart w:id="55" w:name="_Toc501388873"/>
      <w:r>
        <w:rPr>
          <w:rFonts w:ascii="Arial" w:hAnsi="Arial" w:cs="Arial"/>
          <w:u w:val="thick" w:color="000000"/>
        </w:rPr>
        <w:t>FDA现代化法案第201条</w:t>
      </w:r>
      <w:bookmarkEnd w:id="54"/>
      <w:bookmarkEnd w:id="55"/>
    </w:p>
    <w:p w14:paraId="2D7A7AB0">
      <w:pPr>
        <w:pStyle w:val="6"/>
        <w:snapToGrid w:val="0"/>
        <w:spacing w:after="180" w:afterLines="75" w:line="360" w:lineRule="auto"/>
        <w:ind w:left="0"/>
        <w:jc w:val="both"/>
        <w:rPr>
          <w:rFonts w:ascii="Arial" w:hAnsi="Arial" w:cs="Arial"/>
        </w:rPr>
      </w:pPr>
      <w:r>
        <w:rPr>
          <w:rFonts w:ascii="Arial" w:hAnsi="Arial" w:cs="Arial"/>
        </w:rPr>
        <w:t>1997年FDA现代化法案第201条规定，在新法律颁布后一年内，FDA应制定法规，规定程序和条件，以便可以根据现有IDE进行某些器械或方案更改，而无需提交补充文件供FDA批准。未经FDA批准前允许进行的更改是：</w:t>
      </w:r>
    </w:p>
    <w:p w14:paraId="2461F7CA">
      <w:pPr>
        <w:pStyle w:val="22"/>
        <w:numPr>
          <w:ilvl w:val="0"/>
          <w:numId w:val="8"/>
        </w:numPr>
        <w:tabs>
          <w:tab w:val="left" w:pos="520"/>
        </w:tabs>
        <w:snapToGrid w:val="0"/>
        <w:spacing w:after="180" w:afterLines="75" w:line="360" w:lineRule="auto"/>
        <w:ind w:left="490" w:hanging="489" w:hangingChars="204"/>
        <w:jc w:val="both"/>
        <w:rPr>
          <w:rFonts w:ascii="Arial" w:hAnsi="Arial" w:eastAsia="宋体" w:cs="Arial"/>
          <w:sz w:val="24"/>
          <w:szCs w:val="24"/>
        </w:rPr>
      </w:pPr>
      <w:r>
        <w:rPr>
          <w:rFonts w:ascii="Arial" w:hAnsi="Arial" w:eastAsia="宋体" w:cs="Arial"/>
          <w:sz w:val="24"/>
          <w:szCs w:val="24"/>
        </w:rPr>
        <w:t>器械的开发计划更改（包括制造更改），但此类更改不得使设计或基本操作原则出现重大变化，且基于研究期间收集到的信息；以及</w:t>
      </w:r>
    </w:p>
    <w:p w14:paraId="530F9E72">
      <w:pPr>
        <w:pStyle w:val="22"/>
        <w:numPr>
          <w:ilvl w:val="0"/>
          <w:numId w:val="8"/>
        </w:numPr>
        <w:tabs>
          <w:tab w:val="left" w:pos="522"/>
        </w:tabs>
        <w:snapToGrid w:val="0"/>
        <w:spacing w:after="180" w:afterLines="75" w:line="360" w:lineRule="auto"/>
        <w:ind w:left="0" w:firstLine="0"/>
        <w:jc w:val="both"/>
        <w:rPr>
          <w:rFonts w:ascii="Arial" w:hAnsi="Arial" w:eastAsia="宋体" w:cs="Arial"/>
          <w:sz w:val="24"/>
          <w:szCs w:val="24"/>
        </w:rPr>
      </w:pPr>
      <w:r>
        <w:rPr>
          <w:rFonts w:ascii="Arial" w:hAnsi="Arial" w:eastAsia="宋体" w:cs="Arial"/>
          <w:sz w:val="24"/>
          <w:szCs w:val="24"/>
        </w:rPr>
        <w:t>临床方案更改或修改，但此类更改或修改不得影响：</w:t>
      </w:r>
    </w:p>
    <w:p w14:paraId="468172C3">
      <w:pPr>
        <w:pStyle w:val="22"/>
        <w:numPr>
          <w:ilvl w:val="1"/>
          <w:numId w:val="8"/>
        </w:numPr>
        <w:tabs>
          <w:tab w:val="left" w:pos="1289"/>
        </w:tabs>
        <w:snapToGrid w:val="0"/>
        <w:spacing w:after="180" w:afterLines="75" w:line="360" w:lineRule="auto"/>
        <w:ind w:left="978" w:leftChars="242" w:hanging="446" w:hangingChars="186"/>
        <w:jc w:val="both"/>
        <w:rPr>
          <w:rFonts w:ascii="Arial" w:hAnsi="Arial" w:eastAsia="宋体" w:cs="Arial"/>
          <w:sz w:val="24"/>
          <w:szCs w:val="24"/>
        </w:rPr>
      </w:pPr>
      <w:r>
        <w:rPr>
          <w:rFonts w:ascii="Arial" w:hAnsi="Arial" w:eastAsia="宋体" w:cs="Arial"/>
          <w:sz w:val="24"/>
          <w:szCs w:val="24"/>
        </w:rPr>
        <w:t>完成核准方案后获得的数据或信息的有效性，或根据核准方案确定的潜在患者风险与获益间的关系；</w:t>
      </w:r>
    </w:p>
    <w:p w14:paraId="0040DDAA">
      <w:pPr>
        <w:pStyle w:val="22"/>
        <w:numPr>
          <w:ilvl w:val="1"/>
          <w:numId w:val="8"/>
        </w:numPr>
        <w:tabs>
          <w:tab w:val="left" w:pos="1301"/>
        </w:tabs>
        <w:snapToGrid w:val="0"/>
        <w:spacing w:after="180" w:afterLines="75" w:line="360" w:lineRule="auto"/>
        <w:ind w:left="978" w:leftChars="242" w:hanging="446" w:hangingChars="186"/>
        <w:jc w:val="both"/>
        <w:rPr>
          <w:rFonts w:ascii="Arial" w:hAnsi="Arial" w:eastAsia="宋体" w:cs="Arial"/>
          <w:sz w:val="24"/>
          <w:szCs w:val="24"/>
        </w:rPr>
      </w:pPr>
      <w:r>
        <w:rPr>
          <w:rFonts w:ascii="Arial" w:hAnsi="Arial" w:eastAsia="宋体" w:cs="Arial"/>
          <w:sz w:val="24"/>
          <w:szCs w:val="24"/>
        </w:rPr>
        <w:t>研究计划的科学性；或</w:t>
      </w:r>
    </w:p>
    <w:p w14:paraId="4F382DA5">
      <w:pPr>
        <w:pStyle w:val="22"/>
        <w:numPr>
          <w:ilvl w:val="1"/>
          <w:numId w:val="8"/>
        </w:numPr>
        <w:tabs>
          <w:tab w:val="left" w:pos="1288"/>
        </w:tabs>
        <w:snapToGrid w:val="0"/>
        <w:spacing w:after="180" w:afterLines="75" w:line="360" w:lineRule="auto"/>
        <w:ind w:left="978" w:leftChars="242" w:hanging="446" w:hangingChars="186"/>
        <w:jc w:val="both"/>
        <w:rPr>
          <w:rFonts w:ascii="Arial" w:hAnsi="Arial" w:eastAsia="宋体" w:cs="Arial"/>
          <w:sz w:val="24"/>
          <w:szCs w:val="24"/>
        </w:rPr>
      </w:pPr>
      <w:r>
        <w:rPr>
          <w:rFonts w:ascii="Arial" w:hAnsi="Arial" w:eastAsia="宋体" w:cs="Arial"/>
          <w:sz w:val="24"/>
          <w:szCs w:val="24"/>
        </w:rPr>
        <w:t>参与研究的人类受试者的权利、安全或福祉。</w:t>
      </w:r>
    </w:p>
    <w:p w14:paraId="515D764F">
      <w:pPr>
        <w:pStyle w:val="6"/>
        <w:snapToGrid w:val="0"/>
        <w:spacing w:after="180" w:afterLines="75" w:line="360" w:lineRule="auto"/>
        <w:ind w:left="0"/>
        <w:jc w:val="both"/>
        <w:rPr>
          <w:rFonts w:ascii="Arial" w:hAnsi="Arial" w:cs="Arial"/>
        </w:rPr>
      </w:pPr>
      <w:r>
        <w:rPr>
          <w:rFonts w:ascii="Arial" w:hAnsi="Arial" w:cs="Arial"/>
        </w:rPr>
        <w:t>如果（i）研究申办方根据可靠信息（由FDA界定）确定，上述适用条件得到满足；（ii）申办方在进行更改或修改后5日向FDA提交了更改或修改通知，则可以进行上述更改或修改。</w:t>
      </w:r>
    </w:p>
    <w:p w14:paraId="2E5D3E59">
      <w:pPr>
        <w:pStyle w:val="6"/>
        <w:snapToGrid w:val="0"/>
        <w:spacing w:after="180" w:afterLines="75" w:line="360" w:lineRule="auto"/>
        <w:ind w:left="0"/>
        <w:jc w:val="both"/>
        <w:rPr>
          <w:rFonts w:ascii="Arial" w:hAnsi="Arial" w:cs="Arial"/>
        </w:rPr>
      </w:pPr>
      <w:r>
        <w:rPr>
          <w:rFonts w:ascii="Arial" w:hAnsi="Arial" w:cs="Arial"/>
        </w:rPr>
        <w:t>该法案此条款的实施法规目前正在制定当中。</w:t>
      </w:r>
    </w:p>
    <w:p w14:paraId="62C6BC57">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500BC0A4">
      <w:pPr>
        <w:pStyle w:val="2"/>
        <w:snapToGrid w:val="0"/>
        <w:spacing w:after="180" w:afterLines="75" w:line="360" w:lineRule="auto"/>
        <w:ind w:left="119"/>
        <w:jc w:val="center"/>
        <w:rPr>
          <w:rFonts w:ascii="Arial" w:hAnsi="Arial" w:cs="Arial"/>
          <w:i/>
        </w:rPr>
      </w:pPr>
      <w:bookmarkStart w:id="56" w:name="_Toc501388874"/>
      <w:r>
        <w:rPr>
          <w:rFonts w:ascii="Arial" w:hAnsi="Arial" w:cs="Arial"/>
          <w:i/>
        </w:rPr>
        <w:t>第III章</w:t>
      </w:r>
      <w:r>
        <w:rPr>
          <w:rFonts w:hint="eastAsia" w:ascii="Arial" w:hAnsi="Arial" w:cs="Arial"/>
          <w:i/>
        </w:rPr>
        <w:br w:type="textWrapping"/>
      </w:r>
      <w:r>
        <w:rPr>
          <w:rFonts w:ascii="Arial" w:hAnsi="Arial" w:cs="Arial"/>
          <w:i/>
        </w:rPr>
        <w:t>扩大未批准器械的使用范围</w:t>
      </w:r>
      <w:bookmarkEnd w:id="56"/>
    </w:p>
    <w:p w14:paraId="2BEB59BD">
      <w:pPr>
        <w:pStyle w:val="6"/>
        <w:snapToGrid w:val="0"/>
        <w:spacing w:after="180" w:afterLines="75" w:line="360" w:lineRule="auto"/>
        <w:ind w:left="0"/>
        <w:jc w:val="both"/>
        <w:rPr>
          <w:rFonts w:ascii="Arial" w:hAnsi="Arial" w:cs="Arial"/>
        </w:rPr>
      </w:pPr>
      <w:r>
        <w:rPr>
          <w:rFonts w:ascii="Arial" w:hAnsi="Arial" w:cs="Arial"/>
        </w:rPr>
        <w:t>根据法律和FDA法规，未批准医疗器械通常仅可在用于临床研究以及由参与临床试验的研究者使用时才可用于人类受试者。但是，FDA认识到，在某些情况下，卫生保健提供者可能希望使用未批准器械来挽救患者的生命、预防不可逆发病、或者帮助患有严重疾病或病症，且没有其他替代疗法可用于治疗该疾病或病症的患者。以下将讨论FDA允许面临所述情况的患者/医生使用未批准器械的四种主要机制。此类机制符合1997年FDA现代化法案扩展访问规定（请参见联邦食品、药品和化妆品法案第561条）。FDA计划根据需要小幅修改现有指南，以符合新法律。</w:t>
      </w:r>
    </w:p>
    <w:p w14:paraId="135058F9">
      <w:pPr>
        <w:pStyle w:val="3"/>
        <w:snapToGrid w:val="0"/>
        <w:spacing w:after="180" w:afterLines="75" w:line="360" w:lineRule="auto"/>
        <w:ind w:left="0"/>
        <w:jc w:val="both"/>
        <w:rPr>
          <w:rFonts w:ascii="Arial" w:hAnsi="Arial" w:cs="Arial"/>
          <w:b w:val="0"/>
          <w:bCs w:val="0"/>
          <w:i w:val="0"/>
          <w:u w:val="none"/>
        </w:rPr>
      </w:pPr>
      <w:bookmarkStart w:id="57" w:name="_TOC_250001"/>
      <w:bookmarkStart w:id="58" w:name="_Toc501388875"/>
      <w:r>
        <w:rPr>
          <w:rFonts w:ascii="Arial" w:hAnsi="Arial" w:cs="Arial"/>
          <w:u w:val="thick" w:color="000000"/>
        </w:rPr>
        <w:t>未批准医疗器械的紧急使用</w:t>
      </w:r>
      <w:bookmarkEnd w:id="57"/>
      <w:bookmarkEnd w:id="58"/>
    </w:p>
    <w:p w14:paraId="74B86B2B">
      <w:pPr>
        <w:pStyle w:val="6"/>
        <w:snapToGrid w:val="0"/>
        <w:spacing w:after="180" w:afterLines="75" w:line="360" w:lineRule="auto"/>
        <w:ind w:left="0"/>
        <w:jc w:val="both"/>
        <w:rPr>
          <w:rFonts w:ascii="Arial" w:hAnsi="Arial" w:cs="Arial"/>
        </w:rPr>
      </w:pPr>
      <w:r>
        <w:rPr>
          <w:rFonts w:ascii="Arial" w:hAnsi="Arial" w:cs="Arial"/>
        </w:rPr>
        <w:t>有关研究器械紧急使用的程序见以下两个文档：IDE法规（21 CFR第812部分）和FDA的《未批准医疗器械的紧急使用指南》（以下简称</w:t>
      </w:r>
      <w:r>
        <w:rPr>
          <w:rFonts w:ascii="宋体" w:hAnsi="宋体" w:cs="Arial"/>
        </w:rPr>
        <w:t>“</w:t>
      </w:r>
      <w:r>
        <w:rPr>
          <w:rFonts w:ascii="Arial" w:hAnsi="Arial" w:cs="Arial"/>
        </w:rPr>
        <w:t>紧急使用指南</w:t>
      </w:r>
      <w:r>
        <w:rPr>
          <w:rFonts w:ascii="宋体" w:hAnsi="宋体" w:cs="Arial"/>
        </w:rPr>
        <w:t>”</w:t>
      </w:r>
      <w:r>
        <w:rPr>
          <w:rFonts w:ascii="Arial" w:hAnsi="Arial" w:cs="Arial"/>
        </w:rPr>
        <w:t>，请参见1985年10月22日的</w:t>
      </w:r>
      <w:r>
        <w:rPr>
          <w:rFonts w:ascii="Arial" w:hAnsi="Arial" w:cs="Arial"/>
          <w:b/>
        </w:rPr>
        <w:t>联邦公报</w:t>
      </w:r>
      <w:r>
        <w:rPr>
          <w:rFonts w:ascii="Arial" w:hAnsi="Arial" w:cs="Arial"/>
        </w:rPr>
        <w:t>（50 FR 42866））。</w:t>
      </w:r>
    </w:p>
    <w:p w14:paraId="7FB2A705">
      <w:pPr>
        <w:pStyle w:val="6"/>
        <w:snapToGrid w:val="0"/>
        <w:spacing w:after="180" w:afterLines="75" w:line="360" w:lineRule="auto"/>
        <w:ind w:left="0"/>
        <w:jc w:val="both"/>
        <w:rPr>
          <w:rFonts w:ascii="Arial" w:hAnsi="Arial" w:cs="Arial"/>
        </w:rPr>
      </w:pPr>
      <w:r>
        <w:rPr>
          <w:rFonts w:ascii="Arial" w:hAnsi="Arial" w:cs="Arial"/>
        </w:rPr>
        <w:t>IDE法规认识到，在紧急情况下，需要以不符合核准研究计划的方式或由未参与临床研究的医师使用研究器械。因此，在必要时，法规允许偏离研究计划，以便受试者的生命或身体健康在紧急情况下也可得到保护。（请参见21 CFR 812.35（a））。无需在装运或紧急使用研究器械之前获得批准，但IDE申办方应该在申办方了解相关信息后的5个工作日内向FDA提交补充文件，报告此用途。补充文件应提供紧急情况的总结、所遵循的患者保护措施（如下所述）以及患者结果信息。</w:t>
      </w:r>
    </w:p>
    <w:p w14:paraId="23880E13">
      <w:pPr>
        <w:pStyle w:val="6"/>
        <w:snapToGrid w:val="0"/>
        <w:spacing w:after="180" w:afterLines="75" w:line="360" w:lineRule="auto"/>
        <w:ind w:left="0"/>
        <w:jc w:val="both"/>
        <w:rPr>
          <w:rFonts w:ascii="Arial" w:hAnsi="Arial" w:cs="Arial"/>
        </w:rPr>
      </w:pPr>
      <w:r>
        <w:rPr>
          <w:rFonts w:ascii="Arial" w:hAnsi="Arial" w:cs="Arial"/>
        </w:rPr>
        <w:t>除IDE法规外，FDA的指导性文件也涉及紧急使用。由于IDE法规并未全面涵盖紧急使用情况，本机构发布了《紧急使用指南》（例如，未定义术语</w:t>
      </w:r>
      <w:r>
        <w:rPr>
          <w:rFonts w:ascii="宋体" w:hAnsi="宋体" w:cs="Arial"/>
        </w:rPr>
        <w:t>“</w:t>
      </w:r>
      <w:r>
        <w:rPr>
          <w:rFonts w:ascii="Arial" w:hAnsi="Arial" w:cs="Arial"/>
        </w:rPr>
        <w:t>紧急使用</w:t>
      </w:r>
      <w:r>
        <w:rPr>
          <w:rFonts w:ascii="宋体" w:hAnsi="宋体" w:cs="Arial"/>
        </w:rPr>
        <w:t>”</w:t>
      </w:r>
      <w:r>
        <w:rPr>
          <w:rFonts w:ascii="Arial" w:hAnsi="Arial" w:cs="Arial"/>
        </w:rPr>
        <w:t>，未规定在此类情况下应遵循的患者保护措施，未处理IDE未涵盖的器械紧急使用）。该指南规定，未批准医疗器械是指用于其预期目的、条件或用途，但其上市前批准申请尚未根据联邦食品、药品和化妆品法案第515条获批（21 USC 360e）（该法案）或其IDE尚未根据该法案第520（g）条（21 USC 360j（g））获批的器械。如该指南所述，如果未批准器械已根据IDE批准用于临床使用，并由研究者代替申办方根据申请条款和条件使用，则其可以用于人类受试者。</w:t>
      </w:r>
      <w:r>
        <w:rPr>
          <w:rFonts w:ascii="Arial" w:hAnsi="Arial" w:cs="Arial"/>
        </w:rPr>
        <w:br w:type="page"/>
      </w:r>
    </w:p>
    <w:p w14:paraId="5905C749">
      <w:pPr>
        <w:pStyle w:val="6"/>
        <w:snapToGrid w:val="0"/>
        <w:spacing w:after="180" w:afterLines="75" w:line="360" w:lineRule="auto"/>
        <w:ind w:left="0"/>
        <w:jc w:val="both"/>
        <w:rPr>
          <w:rFonts w:ascii="Arial" w:hAnsi="Arial" w:cs="Arial"/>
        </w:rPr>
      </w:pPr>
      <w:r>
        <w:rPr>
          <w:rFonts w:ascii="Arial" w:hAnsi="Arial" w:cs="Arial"/>
        </w:rPr>
        <w:t>但是，在以下情况下，也可以紧急使用未批准器械：（i）器械尚未获得IDE，（ii）医师希望以未经IDE批准的方式使用该器械，或者（iii）医师不是IDE涵盖的研究者。</w:t>
      </w:r>
    </w:p>
    <w:p w14:paraId="5704D63A">
      <w:pPr>
        <w:pStyle w:val="6"/>
        <w:snapToGrid w:val="0"/>
        <w:spacing w:after="180" w:afterLines="75" w:line="360" w:lineRule="auto"/>
        <w:ind w:left="0"/>
        <w:jc w:val="both"/>
        <w:rPr>
          <w:rFonts w:ascii="Arial" w:hAnsi="Arial" w:cs="Arial"/>
        </w:rPr>
      </w:pPr>
      <w:r>
        <w:rPr>
          <w:rFonts w:ascii="Arial" w:hAnsi="Arial" w:cs="Arial"/>
        </w:rPr>
        <w:t>紧急使用指南文档旨在处理此类紧急情况。根据该指南的规定，拟在紧急情况下使用未批准医疗器械治疗患者的医师应证明：</w:t>
      </w:r>
    </w:p>
    <w:p w14:paraId="59716F97">
      <w:pPr>
        <w:pStyle w:val="22"/>
        <w:numPr>
          <w:ilvl w:val="0"/>
          <w:numId w:val="9"/>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患者有生命危险，需要立即治疗。</w:t>
      </w:r>
      <w:r>
        <w:rPr>
          <w:rStyle w:val="20"/>
          <w:rFonts w:ascii="Arial" w:hAnsi="Arial" w:eastAsia="宋体" w:cs="Arial"/>
          <w:sz w:val="24"/>
          <w:szCs w:val="24"/>
        </w:rPr>
        <w:footnoteReference w:id="1" w:customMarkFollows="1"/>
        <w:t>†</w:t>
      </w:r>
    </w:p>
    <w:p w14:paraId="5A2D8D89">
      <w:pPr>
        <w:pStyle w:val="22"/>
        <w:numPr>
          <w:ilvl w:val="0"/>
          <w:numId w:val="9"/>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目前没有替代治疗方法可用于治疗该患者；以及</w:t>
      </w:r>
    </w:p>
    <w:p w14:paraId="16F4759A">
      <w:pPr>
        <w:pStyle w:val="22"/>
        <w:numPr>
          <w:ilvl w:val="0"/>
          <w:numId w:val="9"/>
        </w:numPr>
        <w:tabs>
          <w:tab w:val="left" w:pos="840"/>
        </w:tabs>
        <w:snapToGrid w:val="0"/>
        <w:spacing w:after="180" w:afterLines="75" w:line="360" w:lineRule="auto"/>
        <w:ind w:left="838" w:leftChars="200" w:hanging="398" w:hangingChars="166"/>
        <w:jc w:val="both"/>
        <w:rPr>
          <w:rFonts w:ascii="Arial" w:hAnsi="Arial" w:eastAsia="宋体" w:cs="Arial"/>
          <w:sz w:val="24"/>
          <w:szCs w:val="24"/>
        </w:rPr>
      </w:pPr>
      <w:r>
        <w:rPr>
          <w:rFonts w:ascii="Arial" w:hAnsi="Arial" w:eastAsia="宋体" w:cs="Arial"/>
          <w:sz w:val="24"/>
          <w:szCs w:val="24"/>
        </w:rPr>
        <w:t>由于需要立即使用该器械，因此，没有时间使用现有程序来获得FDA批准使用。</w:t>
      </w:r>
    </w:p>
    <w:p w14:paraId="0225E258">
      <w:pPr>
        <w:pStyle w:val="6"/>
        <w:snapToGrid w:val="0"/>
        <w:spacing w:after="180" w:afterLines="75" w:line="360" w:lineRule="auto"/>
        <w:ind w:left="0"/>
        <w:jc w:val="both"/>
        <w:rPr>
          <w:rFonts w:ascii="Arial" w:hAnsi="Arial" w:cs="Arial"/>
        </w:rPr>
      </w:pPr>
      <w:r>
        <w:rPr>
          <w:rFonts w:ascii="Arial" w:hAnsi="Arial" w:cs="Arial"/>
        </w:rPr>
        <w:t>FDA希望医师能够确定患者情况符合上述标准，评估使用未批准器械可能带来的获益，并拥有证明可提供此类获益的实质证据。如果在满足上述标准的情况下使用器械，医师应该尽可能多地遵循患者保护程序。此类患者保护程序包括获得：</w:t>
      </w:r>
    </w:p>
    <w:p w14:paraId="301100DA">
      <w:pPr>
        <w:pStyle w:val="22"/>
        <w:numPr>
          <w:ilvl w:val="1"/>
          <w:numId w:val="9"/>
        </w:numPr>
        <w:tabs>
          <w:tab w:val="left" w:pos="1200"/>
        </w:tabs>
        <w:snapToGrid w:val="0"/>
        <w:spacing w:after="180" w:afterLines="75" w:line="360" w:lineRule="auto"/>
        <w:ind w:left="852" w:leftChars="191" w:hanging="432" w:hangingChars="180"/>
        <w:jc w:val="both"/>
        <w:rPr>
          <w:rFonts w:ascii="Arial" w:hAnsi="Arial" w:eastAsia="宋体" w:cs="Arial"/>
          <w:sz w:val="24"/>
          <w:szCs w:val="24"/>
        </w:rPr>
      </w:pPr>
      <w:r>
        <w:rPr>
          <w:rFonts w:ascii="Arial" w:hAnsi="Arial" w:eastAsia="宋体" w:cs="Arial"/>
          <w:sz w:val="24"/>
          <w:szCs w:val="24"/>
        </w:rPr>
        <w:t>患者或法定代表的知情同意；</w:t>
      </w:r>
    </w:p>
    <w:p w14:paraId="58115CF9">
      <w:pPr>
        <w:pStyle w:val="22"/>
        <w:numPr>
          <w:ilvl w:val="1"/>
          <w:numId w:val="9"/>
        </w:numPr>
        <w:tabs>
          <w:tab w:val="left" w:pos="1200"/>
        </w:tabs>
        <w:snapToGrid w:val="0"/>
        <w:spacing w:after="180" w:afterLines="75" w:line="360" w:lineRule="auto"/>
        <w:ind w:left="852" w:leftChars="191" w:hanging="432" w:hangingChars="180"/>
        <w:jc w:val="both"/>
        <w:rPr>
          <w:rFonts w:ascii="Arial" w:hAnsi="Arial" w:eastAsia="宋体" w:cs="Arial"/>
          <w:sz w:val="24"/>
          <w:szCs w:val="24"/>
        </w:rPr>
      </w:pPr>
      <w:r>
        <w:rPr>
          <w:rFonts w:ascii="Arial" w:hAnsi="Arial" w:eastAsia="宋体" w:cs="Arial"/>
          <w:sz w:val="24"/>
          <w:szCs w:val="24"/>
        </w:rPr>
        <w:t>政策规定的机构许可；</w:t>
      </w:r>
    </w:p>
    <w:p w14:paraId="07CE0A69">
      <w:pPr>
        <w:pStyle w:val="22"/>
        <w:numPr>
          <w:ilvl w:val="1"/>
          <w:numId w:val="9"/>
        </w:numPr>
        <w:tabs>
          <w:tab w:val="left" w:pos="1200"/>
        </w:tabs>
        <w:snapToGrid w:val="0"/>
        <w:spacing w:after="180" w:afterLines="75" w:line="360" w:lineRule="auto"/>
        <w:ind w:left="852" w:leftChars="191" w:hanging="432" w:hangingChars="180"/>
        <w:jc w:val="both"/>
        <w:rPr>
          <w:rFonts w:ascii="Arial" w:hAnsi="Arial" w:eastAsia="宋体" w:cs="Arial"/>
          <w:sz w:val="24"/>
          <w:szCs w:val="24"/>
        </w:rPr>
      </w:pPr>
      <w:r>
        <w:rPr>
          <w:rFonts w:ascii="Arial" w:hAnsi="Arial" w:eastAsia="宋体" w:cs="Arial"/>
          <w:sz w:val="24"/>
          <w:szCs w:val="24"/>
        </w:rPr>
        <w:t>IRB主席的同意；</w:t>
      </w:r>
    </w:p>
    <w:p w14:paraId="64DB7687">
      <w:pPr>
        <w:pStyle w:val="22"/>
        <w:numPr>
          <w:ilvl w:val="1"/>
          <w:numId w:val="9"/>
        </w:numPr>
        <w:tabs>
          <w:tab w:val="left" w:pos="1200"/>
        </w:tabs>
        <w:snapToGrid w:val="0"/>
        <w:spacing w:after="180" w:afterLines="75" w:line="360" w:lineRule="auto"/>
        <w:ind w:left="852" w:leftChars="191" w:hanging="432" w:hangingChars="180"/>
        <w:jc w:val="both"/>
        <w:rPr>
          <w:rFonts w:ascii="Arial" w:hAnsi="Arial" w:eastAsia="宋体" w:cs="Arial"/>
          <w:sz w:val="24"/>
          <w:szCs w:val="24"/>
        </w:rPr>
      </w:pPr>
      <w:r>
        <w:rPr>
          <w:rFonts w:ascii="Arial" w:hAnsi="Arial" w:eastAsia="宋体" w:cs="Arial"/>
          <w:sz w:val="24"/>
          <w:szCs w:val="24"/>
        </w:rPr>
        <w:t>未参与研究医师的独立评估；以及</w:t>
      </w:r>
    </w:p>
    <w:p w14:paraId="112D29A7">
      <w:pPr>
        <w:pStyle w:val="22"/>
        <w:numPr>
          <w:ilvl w:val="1"/>
          <w:numId w:val="9"/>
        </w:numPr>
        <w:tabs>
          <w:tab w:val="left" w:pos="1200"/>
        </w:tabs>
        <w:snapToGrid w:val="0"/>
        <w:spacing w:after="180" w:afterLines="75" w:line="360" w:lineRule="auto"/>
        <w:ind w:left="852" w:leftChars="191" w:hanging="432" w:hangingChars="180"/>
        <w:jc w:val="both"/>
        <w:rPr>
          <w:rFonts w:ascii="Arial" w:hAnsi="Arial" w:eastAsia="宋体" w:cs="Arial"/>
          <w:sz w:val="24"/>
          <w:szCs w:val="24"/>
        </w:rPr>
      </w:pPr>
      <w:r>
        <w:rPr>
          <w:rFonts w:ascii="Arial" w:hAnsi="Arial" w:eastAsia="宋体" w:cs="Arial"/>
          <w:sz w:val="24"/>
          <w:szCs w:val="24"/>
        </w:rPr>
        <w:t>如果器械的IDE已获批准，IDE申办方的授权。</w:t>
      </w:r>
    </w:p>
    <w:p w14:paraId="0BBFF5F8">
      <w:pPr>
        <w:pStyle w:val="6"/>
        <w:snapToGrid w:val="0"/>
        <w:spacing w:after="180" w:afterLines="75" w:line="360" w:lineRule="auto"/>
        <w:ind w:left="0"/>
        <w:jc w:val="both"/>
        <w:rPr>
          <w:rFonts w:ascii="Arial" w:hAnsi="Arial" w:cs="Arial"/>
        </w:rPr>
      </w:pPr>
      <w:r>
        <w:rPr>
          <w:rFonts w:ascii="Arial" w:hAnsi="Arial" w:cs="Arial"/>
        </w:rPr>
        <w:t>虽然该指南中没有相应规定，但面对上述紧急情况的医生通常应联系FDA来讨论其患者的病症。在这种情况下，ODE将提供建议，而不是进行审批。接到电话的ODE员工应与医生讨论紧急使用标准，但应由医师决定情况是否符合紧急使用标准以及是否使用未批准器械。如果医师决定紧急使用该器械，则ODE员工应建议医师在发生紧急情况之前实施上述患者保护程序，并填写紧急使用清单。</w:t>
      </w:r>
    </w:p>
    <w:p w14:paraId="4CB1949F">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6EDC272C">
      <w:pPr>
        <w:pStyle w:val="6"/>
        <w:snapToGrid w:val="0"/>
        <w:spacing w:after="180" w:afterLines="75" w:line="360" w:lineRule="auto"/>
        <w:ind w:left="0"/>
        <w:jc w:val="both"/>
        <w:rPr>
          <w:rFonts w:ascii="Arial" w:hAnsi="Arial" w:cs="Arial"/>
        </w:rPr>
      </w:pPr>
      <w:r>
        <w:rPr>
          <w:rFonts w:ascii="Arial" w:hAnsi="Arial" w:cs="Arial"/>
        </w:rPr>
        <w:t>此清单有助于确保紧急使用标准得到满足，医师已知晓其应该尽可能多地遵循患者保护程序。在与医生讨论情况并填写完成清单后，应将清单编入程序操作人员的紧急使用报告文件中。</w:t>
      </w:r>
    </w:p>
    <w:p w14:paraId="3264AA94">
      <w:pPr>
        <w:pStyle w:val="6"/>
        <w:snapToGrid w:val="0"/>
        <w:spacing w:after="180" w:afterLines="75" w:line="360" w:lineRule="auto"/>
        <w:ind w:left="0"/>
        <w:jc w:val="both"/>
        <w:rPr>
          <w:rFonts w:ascii="Arial" w:hAnsi="Arial" w:cs="Arial"/>
        </w:rPr>
      </w:pPr>
      <w:r>
        <w:rPr>
          <w:rFonts w:ascii="Arial" w:hAnsi="Arial" w:cs="Arial"/>
        </w:rPr>
        <w:t>紧急事件发生后，主治医师负责确保进行某些随访程序。如果器械已获得IDE，医师应向IDE申办方提供充分的患者随访信息，以使申办方能够遵守IDE法规的报告要求。如果尚未获得IDE，医师应该向IDE工作人员提交有关器械使用情况的随访报告。报告应包含紧急情况的总结、所遵循的患者保护措施以及患者结果信息。</w:t>
      </w:r>
    </w:p>
    <w:p w14:paraId="38D4D023">
      <w:pPr>
        <w:pStyle w:val="6"/>
        <w:snapToGrid w:val="0"/>
        <w:spacing w:after="180" w:afterLines="75" w:line="360" w:lineRule="auto"/>
        <w:ind w:left="0"/>
        <w:jc w:val="both"/>
        <w:rPr>
          <w:rFonts w:ascii="Arial" w:hAnsi="Arial" w:cs="Arial"/>
        </w:rPr>
      </w:pPr>
      <w:r>
        <w:rPr>
          <w:rFonts w:ascii="Arial" w:hAnsi="Arial" w:cs="Arial"/>
        </w:rPr>
        <w:t>有关紧急使用研究器械的更多信息，请参见50 FR 42866和21 CFR 812.35（a）。</w:t>
      </w:r>
    </w:p>
    <w:p w14:paraId="2F5D3BA9">
      <w:pPr>
        <w:snapToGrid w:val="0"/>
        <w:spacing w:after="180" w:afterLines="75" w:line="360" w:lineRule="auto"/>
        <w:jc w:val="both"/>
        <w:rPr>
          <w:rFonts w:ascii="Arial" w:hAnsi="Arial" w:eastAsia="宋体" w:cs="Arial"/>
          <w:sz w:val="24"/>
          <w:szCs w:val="24"/>
        </w:rPr>
      </w:pPr>
    </w:p>
    <w:p w14:paraId="584CD856">
      <w:pPr>
        <w:pStyle w:val="3"/>
        <w:snapToGrid w:val="0"/>
        <w:spacing w:after="180" w:afterLines="75" w:line="360" w:lineRule="auto"/>
        <w:ind w:left="0"/>
        <w:jc w:val="both"/>
        <w:rPr>
          <w:rFonts w:ascii="Arial" w:hAnsi="Arial" w:cs="Arial"/>
          <w:b w:val="0"/>
          <w:bCs w:val="0"/>
          <w:i w:val="0"/>
          <w:u w:val="none"/>
        </w:rPr>
      </w:pPr>
      <w:bookmarkStart w:id="59" w:name="_Toc501388876"/>
      <w:r>
        <w:rPr>
          <w:rFonts w:ascii="Arial" w:hAnsi="Arial" w:cs="Arial"/>
          <w:u w:val="thick" w:color="000000"/>
        </w:rPr>
        <w:t>个体患者获取用于严重疾病的研究器械</w:t>
      </w:r>
      <w:bookmarkEnd w:id="59"/>
    </w:p>
    <w:p w14:paraId="4ABE3922">
      <w:pPr>
        <w:pStyle w:val="6"/>
        <w:snapToGrid w:val="0"/>
        <w:spacing w:after="180" w:afterLines="75" w:line="360" w:lineRule="auto"/>
        <w:ind w:left="0"/>
        <w:jc w:val="both"/>
        <w:rPr>
          <w:rFonts w:ascii="Arial" w:hAnsi="Arial" w:cs="Arial"/>
        </w:rPr>
      </w:pPr>
      <w:r>
        <w:rPr>
          <w:rFonts w:ascii="Arial" w:hAnsi="Arial" w:cs="Arial"/>
        </w:rPr>
        <w:t>如上所述，IDE法规和紧急使用指南分别规定需要使用研究或未批准器械来挽救患者生命或预防不可逆的发病率。但是，FDA认识到，在某些情况下，研究器械是面临严重（尽管不危及生命）病症（以下简称</w:t>
      </w:r>
      <w:r>
        <w:rPr>
          <w:rFonts w:ascii="宋体" w:hAnsi="宋体" w:cs="Arial"/>
        </w:rPr>
        <w:t>“</w:t>
      </w:r>
      <w:r>
        <w:rPr>
          <w:rFonts w:ascii="Arial" w:hAnsi="Arial" w:cs="Arial"/>
        </w:rPr>
        <w:t>同情使用</w:t>
      </w:r>
      <w:r>
        <w:rPr>
          <w:rFonts w:ascii="宋体" w:hAnsi="宋体" w:cs="Arial"/>
        </w:rPr>
        <w:t>”</w:t>
      </w:r>
      <w:r>
        <w:rPr>
          <w:rFonts w:ascii="Arial" w:hAnsi="Arial" w:cs="Arial"/>
        </w:rPr>
        <w:t>）的患者的唯一选择。在此类情况下，FDA使用其监管自由裁量权来确定是否应该允许使用研究器械。</w:t>
      </w:r>
    </w:p>
    <w:p w14:paraId="369EAD19">
      <w:pPr>
        <w:pStyle w:val="6"/>
        <w:snapToGrid w:val="0"/>
        <w:spacing w:after="180" w:afterLines="75" w:line="360" w:lineRule="auto"/>
        <w:ind w:left="0"/>
        <w:jc w:val="both"/>
        <w:rPr>
          <w:rFonts w:ascii="Arial" w:hAnsi="Arial" w:cs="Arial"/>
        </w:rPr>
      </w:pPr>
      <w:r>
        <w:rPr>
          <w:rFonts w:ascii="Arial" w:hAnsi="Arial" w:cs="Arial"/>
        </w:rPr>
        <w:t>与紧急使用未批准器械不同，在进行同情使用之前需要获得FDA批准。为获得机构批准，申办方应提交IDE补充文件，要求根据第812.35（a）条批准方案偏差，以便对患者进行治疗。IDE补充文件应包括：</w:t>
      </w:r>
    </w:p>
    <w:p w14:paraId="3FF3AC66">
      <w:pPr>
        <w:pStyle w:val="22"/>
        <w:numPr>
          <w:ilvl w:val="0"/>
          <w:numId w:val="10"/>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需要治疗的患者病症和情况的描述；</w:t>
      </w:r>
    </w:p>
    <w:p w14:paraId="219BF20E">
      <w:pPr>
        <w:pStyle w:val="22"/>
        <w:numPr>
          <w:ilvl w:val="0"/>
          <w:numId w:val="10"/>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替代疗法无法令人满意，以及使用研究器械的可能风险小于疾病或病症的可能风险的原因讨论；</w:t>
      </w:r>
    </w:p>
    <w:p w14:paraId="0AB2B826">
      <w:pPr>
        <w:pStyle w:val="22"/>
        <w:numPr>
          <w:ilvl w:val="0"/>
          <w:numId w:val="10"/>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为治疗患者，可能需要确定批准的临床方案偏离说明；以及</w:t>
      </w:r>
    </w:p>
    <w:p w14:paraId="3F172855">
      <w:pPr>
        <w:pStyle w:val="22"/>
        <w:numPr>
          <w:ilvl w:val="0"/>
          <w:numId w:val="10"/>
        </w:numPr>
        <w:tabs>
          <w:tab w:val="left" w:pos="840"/>
        </w:tabs>
        <w:snapToGrid w:val="0"/>
        <w:spacing w:after="180" w:afterLines="75" w:line="360" w:lineRule="auto"/>
        <w:ind w:left="843" w:leftChars="200" w:hanging="403"/>
        <w:jc w:val="both"/>
        <w:rPr>
          <w:rFonts w:ascii="Arial" w:hAnsi="Arial" w:eastAsia="宋体" w:cs="Arial"/>
          <w:sz w:val="24"/>
          <w:szCs w:val="24"/>
        </w:rPr>
      </w:pPr>
      <w:r>
        <w:rPr>
          <w:rFonts w:ascii="Arial" w:hAnsi="Arial" w:eastAsia="宋体" w:cs="Arial"/>
          <w:sz w:val="24"/>
          <w:szCs w:val="24"/>
        </w:rPr>
        <w:t>将遵循的患者保护措施。（此类措施先前已在</w:t>
      </w:r>
      <w:r>
        <w:rPr>
          <w:rFonts w:ascii="宋体" w:hAnsi="宋体" w:eastAsia="宋体" w:cs="Arial"/>
          <w:sz w:val="24"/>
          <w:szCs w:val="24"/>
        </w:rPr>
        <w:t>“</w:t>
      </w:r>
      <w:r>
        <w:rPr>
          <w:rFonts w:ascii="Arial" w:hAnsi="Arial" w:eastAsia="宋体" w:cs="Arial"/>
          <w:sz w:val="24"/>
          <w:szCs w:val="24"/>
        </w:rPr>
        <w:t>紧急使用指南</w:t>
      </w:r>
      <w:r>
        <w:rPr>
          <w:rFonts w:ascii="宋体" w:hAnsi="宋体" w:eastAsia="宋体" w:cs="Arial"/>
          <w:sz w:val="24"/>
          <w:szCs w:val="24"/>
        </w:rPr>
        <w:t>”</w:t>
      </w:r>
      <w:r>
        <w:rPr>
          <w:rFonts w:ascii="Arial" w:hAnsi="Arial" w:eastAsia="宋体" w:cs="Arial"/>
          <w:sz w:val="24"/>
          <w:szCs w:val="24"/>
        </w:rPr>
        <w:t>中讨论。）</w:t>
      </w:r>
    </w:p>
    <w:p w14:paraId="5AE63F3A">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59A123E3">
      <w:pPr>
        <w:pStyle w:val="6"/>
        <w:snapToGrid w:val="0"/>
        <w:spacing w:after="180" w:afterLines="75" w:line="360" w:lineRule="auto"/>
        <w:ind w:left="0"/>
        <w:jc w:val="both"/>
        <w:rPr>
          <w:rFonts w:ascii="Arial" w:hAnsi="Arial" w:cs="Arial"/>
        </w:rPr>
      </w:pPr>
      <w:r>
        <w:rPr>
          <w:rFonts w:ascii="Arial" w:hAnsi="Arial" w:cs="Arial"/>
        </w:rPr>
        <w:t>在FDA批准在拟定情况下使用该器械前，申办方不得治疗补充文件中确定的患者。（已制定IDE样板G-16A，供审查者在处理这种申请时使用。）审查这种申请时，FDA将考虑上述信息以及初步安全性和有效性证据是否证明此类用途合理，以及此类用途是否会干扰旨在支持上市批准的临床试验。</w:t>
      </w:r>
    </w:p>
    <w:p w14:paraId="036E9C60">
      <w:pPr>
        <w:pStyle w:val="6"/>
        <w:snapToGrid w:val="0"/>
        <w:spacing w:after="180" w:afterLines="75" w:line="360" w:lineRule="auto"/>
        <w:ind w:left="0"/>
        <w:jc w:val="both"/>
        <w:rPr>
          <w:rFonts w:ascii="Arial" w:hAnsi="Arial" w:cs="Arial"/>
        </w:rPr>
      </w:pPr>
      <w:r>
        <w:rPr>
          <w:rFonts w:ascii="Arial" w:hAnsi="Arial" w:cs="Arial"/>
        </w:rPr>
        <w:t>如果申请获得批准，主治医师应根据器械的研究性质和患者的具体需求，制定适当的患者监测时间表。应该对患者进行监测，以发现使用该器械可能引起的任何问题。在同情使用该器械之后，应向FDA提交随访报告作为IDE补充文件，其中应总结患者结果信息。如果因使用器械而出现任何问题，应在补充文件中讨论此类问题，并尽快向审查IRB报告。</w:t>
      </w:r>
    </w:p>
    <w:p w14:paraId="355201C6">
      <w:pPr>
        <w:pStyle w:val="6"/>
        <w:snapToGrid w:val="0"/>
        <w:spacing w:after="180" w:afterLines="75" w:line="360" w:lineRule="auto"/>
        <w:ind w:left="0"/>
        <w:jc w:val="both"/>
        <w:rPr>
          <w:rFonts w:ascii="Arial" w:hAnsi="Arial" w:cs="Arial"/>
        </w:rPr>
      </w:pPr>
      <w:r>
        <w:rPr>
          <w:rFonts w:ascii="Arial" w:hAnsi="Arial" w:cs="Arial"/>
        </w:rPr>
        <w:t>如果医师希望治疗若干患者而不是患有严重疾病或病症，且没有其他替代疗法可用于治疗该疾病或病症的个体患者时，上述同情使用标准和程序也适用。在这种情况下，医师应从IDE申办方处获得使用研究器械的权限。申办方应提交包含上述信息的IDE补充文件，并指出待治疗的患者数量。此类补充文件应该包括要遵循的方案或说明与批准临床方案的偏离。与单个患者同情使用一样，应该根据器械的研究性质和患者需求制定监测时间表。在所有同情使用患者均已接受治疗后，应该在IDE补充文件中提交有关使用该器械的随访信息。</w:t>
      </w:r>
    </w:p>
    <w:p w14:paraId="0FA61585">
      <w:pPr>
        <w:snapToGrid w:val="0"/>
        <w:spacing w:after="180" w:afterLines="75" w:line="360" w:lineRule="auto"/>
        <w:jc w:val="both"/>
        <w:rPr>
          <w:rFonts w:ascii="Arial" w:hAnsi="Arial" w:eastAsia="宋体" w:cs="Arial"/>
          <w:sz w:val="24"/>
          <w:szCs w:val="24"/>
        </w:rPr>
      </w:pPr>
    </w:p>
    <w:p w14:paraId="0C5E25B4">
      <w:pPr>
        <w:pStyle w:val="3"/>
        <w:snapToGrid w:val="0"/>
        <w:spacing w:after="180" w:afterLines="75" w:line="360" w:lineRule="auto"/>
        <w:ind w:left="0"/>
        <w:jc w:val="both"/>
        <w:rPr>
          <w:rFonts w:ascii="Arial" w:hAnsi="Arial" w:cs="Arial"/>
          <w:b w:val="0"/>
          <w:bCs w:val="0"/>
          <w:i w:val="0"/>
          <w:u w:val="none"/>
        </w:rPr>
      </w:pPr>
      <w:bookmarkStart w:id="60" w:name="_Toc501388877"/>
      <w:bookmarkStart w:id="61" w:name="_TOC_250000"/>
      <w:r>
        <w:rPr>
          <w:rFonts w:ascii="Arial" w:hAnsi="Arial" w:cs="Arial"/>
          <w:u w:val="thick" w:color="000000"/>
        </w:rPr>
        <w:t>研究器械的治疗使用</w:t>
      </w:r>
      <w:bookmarkEnd w:id="60"/>
      <w:bookmarkEnd w:id="61"/>
    </w:p>
    <w:p w14:paraId="1B248F2C">
      <w:pPr>
        <w:pStyle w:val="4"/>
        <w:keepNext w:val="0"/>
        <w:keepLines w:val="0"/>
        <w:snapToGrid w:val="0"/>
        <w:spacing w:before="0" w:after="180" w:afterLines="75" w:line="360" w:lineRule="auto"/>
        <w:rPr>
          <w:rFonts w:ascii="Arial" w:hAnsi="Arial" w:cs="Arial"/>
          <w:sz w:val="24"/>
          <w:szCs w:val="24"/>
        </w:rPr>
      </w:pPr>
      <w:bookmarkStart w:id="62" w:name="_Toc501388878"/>
      <w:r>
        <w:rPr>
          <w:rFonts w:ascii="Arial" w:hAnsi="Arial" w:cs="Arial"/>
          <w:sz w:val="24"/>
          <w:szCs w:val="24"/>
        </w:rPr>
        <w:t>法规规定</w:t>
      </w:r>
      <w:bookmarkEnd w:id="62"/>
    </w:p>
    <w:p w14:paraId="6049D118">
      <w:pPr>
        <w:pStyle w:val="6"/>
        <w:snapToGrid w:val="0"/>
        <w:spacing w:after="180" w:afterLines="75" w:line="360" w:lineRule="auto"/>
        <w:ind w:left="0"/>
        <w:jc w:val="both"/>
        <w:rPr>
          <w:rFonts w:ascii="Arial" w:hAnsi="Arial" w:cs="Arial"/>
        </w:rPr>
      </w:pPr>
      <w:r>
        <w:rPr>
          <w:rFonts w:ascii="Arial" w:hAnsi="Arial" w:cs="Arial"/>
        </w:rPr>
        <w:t>在1997年9月18日的联邦公报（62 FR 48940）中，FDA规定了将研究器械用于治疗的程序。此类程序可帮助在器械开发过程早期（即在开始一般上市前）为重症患者提供更为有效的新型治疗和诊断器械，并帮助申办方获得有关器械安全性和有效性的更多数据。此类程序适用于患有严重或即刻危及生命的疾病或病症，且无类似或有效替代器械、药品或其他疗法可用于治疗该疾病或病症的患者。</w:t>
      </w:r>
    </w:p>
    <w:p w14:paraId="59C60962">
      <w:pPr>
        <w:pStyle w:val="6"/>
        <w:snapToGrid w:val="0"/>
        <w:spacing w:after="180" w:afterLines="75" w:line="360" w:lineRule="auto"/>
        <w:ind w:left="0"/>
        <w:jc w:val="both"/>
        <w:rPr>
          <w:rFonts w:ascii="Arial" w:hAnsi="Arial" w:cs="Arial"/>
        </w:rPr>
      </w:pPr>
      <w:r>
        <w:rPr>
          <w:rFonts w:ascii="Arial" w:hAnsi="Arial" w:cs="Arial"/>
        </w:rPr>
        <w:t>根据最终规则，在下列情况下，可将研究器械用于治疗：</w:t>
      </w:r>
    </w:p>
    <w:p w14:paraId="743C67C1">
      <w:pPr>
        <w:pStyle w:val="22"/>
        <w:numPr>
          <w:ilvl w:val="1"/>
          <w:numId w:val="10"/>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该器械旨在治疗或诊断严重或即刻危及生命的疾病或病症；</w:t>
      </w:r>
    </w:p>
    <w:p w14:paraId="7DC05671">
      <w:pPr>
        <w:pStyle w:val="22"/>
        <w:numPr>
          <w:ilvl w:val="1"/>
          <w:numId w:val="10"/>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无类似或有效替代器械可用于治疗或诊断预期患者群体中的疾病或病症；</w:t>
      </w:r>
    </w:p>
    <w:p w14:paraId="1CC05D27">
      <w:pPr>
        <w:pStyle w:val="22"/>
        <w:numPr>
          <w:ilvl w:val="1"/>
          <w:numId w:val="10"/>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该器械根据经批准的IDE相同用途进行的受控临床试验中接受测试，或者所有临床试验均已完成；以及</w:t>
      </w:r>
    </w:p>
    <w:p w14:paraId="715D6F1F">
      <w:pPr>
        <w:pStyle w:val="22"/>
        <w:numPr>
          <w:ilvl w:val="1"/>
          <w:numId w:val="10"/>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受控临床试验的申办方正尽力为研究器械寻求上市批准/许可。</w:t>
      </w:r>
    </w:p>
    <w:p w14:paraId="7F4D4970">
      <w:pPr>
        <w:pStyle w:val="4"/>
        <w:keepNext w:val="0"/>
        <w:keepLines w:val="0"/>
        <w:snapToGrid w:val="0"/>
        <w:spacing w:before="0" w:after="180" w:afterLines="75" w:line="360" w:lineRule="auto"/>
        <w:rPr>
          <w:rFonts w:ascii="Arial" w:hAnsi="Arial" w:cs="Arial"/>
          <w:sz w:val="24"/>
          <w:szCs w:val="24"/>
        </w:rPr>
      </w:pPr>
      <w:bookmarkStart w:id="63" w:name="_Toc501388879"/>
      <w:r>
        <w:rPr>
          <w:rFonts w:ascii="Arial" w:hAnsi="Arial" w:cs="Arial"/>
          <w:sz w:val="24"/>
          <w:szCs w:val="24"/>
        </w:rPr>
        <w:t>程序</w:t>
      </w:r>
      <w:bookmarkEnd w:id="63"/>
    </w:p>
    <w:p w14:paraId="52595F02">
      <w:pPr>
        <w:pStyle w:val="6"/>
        <w:snapToGrid w:val="0"/>
        <w:spacing w:after="180" w:afterLines="75" w:line="360" w:lineRule="auto"/>
        <w:ind w:left="0"/>
        <w:jc w:val="both"/>
        <w:rPr>
          <w:rFonts w:ascii="Arial" w:hAnsi="Arial" w:cs="Arial"/>
        </w:rPr>
      </w:pPr>
      <w:r>
        <w:rPr>
          <w:rFonts w:ascii="Arial" w:hAnsi="Arial" w:cs="Arial"/>
        </w:rPr>
        <w:t>如果申办方考虑提交治疗IDE，则申办方应咨询相应的审查部门，以便确定该器械/适应症是否符合批准标准。请注意，治疗IDE仅限于符合上述标准的器械/适应症。根据21 CFR 812.36，治疗使用申请应作为现有IDE的补充文件提交，并应包括：</w:t>
      </w:r>
    </w:p>
    <w:p w14:paraId="7AE5EDBF">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治疗IDE申办方的姓名、地址和电话号码；</w:t>
      </w:r>
    </w:p>
    <w:p w14:paraId="7F12DBC8">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器械的预期用途、患者选择标准和描述治疗使用的书面方案；</w:t>
      </w:r>
    </w:p>
    <w:p w14:paraId="18BA1FF2">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使用该器械的理由说明，包括通常应在使用该器械之前尝试的可用方案列表，或使用该器械优先于使用可用上市治疗的理由说明；</w:t>
      </w:r>
    </w:p>
    <w:p w14:paraId="346D295D">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临床程序、实验室试验或用于监测器械影响并尽量减少风险的其他措施的描述；</w:t>
      </w:r>
    </w:p>
    <w:p w14:paraId="79B94B69">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监督治疗使用情况的书面程序和监督员的姓名/地址；</w:t>
      </w:r>
    </w:p>
    <w:p w14:paraId="54554ABD">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第812.5（a）及（b）条要求的器械使用说明书和所有标签；</w:t>
      </w:r>
    </w:p>
    <w:p w14:paraId="7C959883">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与器械用于预定治疗用途的安全性和有效性有关的信息；</w:t>
      </w:r>
    </w:p>
    <w:p w14:paraId="46B172C5">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申办方承诺遵守第812和56部分规定的所有适用责任，并确保所有参与研究者遵守第50部分规定的声明；</w:t>
      </w:r>
    </w:p>
    <w:p w14:paraId="506CC88B">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所有研究者将签署的研究者协议示例，以及在签署协议前，不会将研究者加入治疗IDE的证明；以及</w:t>
      </w:r>
    </w:p>
    <w:p w14:paraId="5A068530">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6DFBA8EB">
      <w:pPr>
        <w:pStyle w:val="22"/>
        <w:numPr>
          <w:ilvl w:val="0"/>
          <w:numId w:val="11"/>
        </w:numPr>
        <w:tabs>
          <w:tab w:val="left" w:pos="1200"/>
        </w:tabs>
        <w:snapToGrid w:val="0"/>
        <w:spacing w:after="180" w:afterLines="75" w:line="360" w:lineRule="auto"/>
        <w:ind w:left="992" w:leftChars="200" w:hanging="552" w:hangingChars="230"/>
        <w:jc w:val="both"/>
        <w:rPr>
          <w:rFonts w:ascii="Arial" w:hAnsi="Arial" w:eastAsia="宋体" w:cs="Arial"/>
          <w:sz w:val="24"/>
          <w:szCs w:val="24"/>
        </w:rPr>
      </w:pPr>
      <w:r>
        <w:rPr>
          <w:rFonts w:ascii="Arial" w:hAnsi="Arial" w:eastAsia="宋体" w:cs="Arial"/>
          <w:sz w:val="24"/>
          <w:szCs w:val="24"/>
        </w:rPr>
        <w:t>如果器械用于销售，销售价格以及价格仅基于制造和处理成本制定的声明。</w:t>
      </w:r>
    </w:p>
    <w:p w14:paraId="7A737AC0">
      <w:pPr>
        <w:pStyle w:val="6"/>
        <w:snapToGrid w:val="0"/>
        <w:spacing w:after="180" w:afterLines="75" w:line="360" w:lineRule="auto"/>
        <w:ind w:left="0"/>
        <w:jc w:val="both"/>
        <w:rPr>
          <w:rFonts w:ascii="Arial" w:hAnsi="Arial" w:cs="Arial"/>
        </w:rPr>
      </w:pPr>
      <w:r>
        <w:rPr>
          <w:rFonts w:ascii="Arial" w:hAnsi="Arial" w:cs="Arial"/>
        </w:rPr>
        <w:t>与所有IDE一样，如果FDA未在收到申请后30天内通知申办方是否可以开始治疗，则在30天后，可以实施治疗IDE。本机构可以批准整个拟定治疗用途、要求在修改后/有条件批准或驳回。如果确定不再符合上述标准，FDA可以撤销治疗IDE的批准。</w:t>
      </w:r>
    </w:p>
    <w:p w14:paraId="63AAF385">
      <w:pPr>
        <w:pStyle w:val="6"/>
        <w:snapToGrid w:val="0"/>
        <w:spacing w:after="180" w:afterLines="75" w:line="360" w:lineRule="auto"/>
        <w:ind w:left="0"/>
        <w:jc w:val="both"/>
        <w:rPr>
          <w:rFonts w:ascii="Arial" w:hAnsi="Arial" w:cs="Arial"/>
        </w:rPr>
      </w:pPr>
      <w:r>
        <w:rPr>
          <w:rFonts w:ascii="Arial" w:hAnsi="Arial" w:cs="Arial"/>
        </w:rPr>
        <w:t>为了保护参与临床试验的人类受试者的权利、安全和福祉，同时促进有益器械疗法的开发，FDA在治疗IDE过程中提供一些保障措施。其中一些措施已经成为IDE法规的一部分，而其他保障措施则专门用于治疗用途。此过程的保障措施包括：通过合格专家分销器械；维持足够的生产设施；根据21 CFR 812.150提交报告；以及遵守有关知情同意和机构审查委员会的法规。在编制治疗IDE申请时，申办方应审查法规的此类条款，确保此类问题已妥善解决。</w:t>
      </w:r>
    </w:p>
    <w:p w14:paraId="3255DB5A">
      <w:pPr>
        <w:pStyle w:val="6"/>
        <w:snapToGrid w:val="0"/>
        <w:spacing w:after="180" w:afterLines="75" w:line="360" w:lineRule="auto"/>
        <w:ind w:left="0"/>
        <w:jc w:val="both"/>
        <w:rPr>
          <w:rFonts w:ascii="Arial" w:hAnsi="Arial" w:cs="Arial"/>
        </w:rPr>
      </w:pPr>
      <w:r>
        <w:rPr>
          <w:rFonts w:ascii="Arial" w:hAnsi="Arial" w:cs="Arial"/>
        </w:rPr>
        <w:t>在审查部门收到请求批准治疗用途的IDE补充文件后，审查者应立即通知IDE工作人员。IDE工作人员将协助该部门对申请进行审查，以便在批准申请之前，确保所有适用的保障措施已得到满足，且法规规定的所有标准（见上文）均已得到满足。有三种样板信函可用于回复治疗使用申请：G-46——批准，G-47——有条件批准，G-48——驳回。</w:t>
      </w:r>
    </w:p>
    <w:p w14:paraId="40CEF8C7">
      <w:pPr>
        <w:pStyle w:val="6"/>
        <w:snapToGrid w:val="0"/>
        <w:spacing w:after="180" w:afterLines="75" w:line="360" w:lineRule="auto"/>
        <w:ind w:left="0"/>
        <w:jc w:val="both"/>
        <w:rPr>
          <w:rFonts w:ascii="Arial" w:hAnsi="Arial" w:cs="Arial"/>
        </w:rPr>
      </w:pPr>
      <w:r>
        <w:rPr>
          <w:rFonts w:ascii="Arial" w:hAnsi="Arial" w:cs="Arial"/>
        </w:rPr>
        <w:t>ODE审查部门应该注意，IDE跟踪表提供用于治疗IDE补充文件的提交原因代码。该部门必须在跟踪表上标明申请属于治疗IDE，以便可正确跟踪此类申请。</w:t>
      </w:r>
    </w:p>
    <w:p w14:paraId="2FE67D38">
      <w:pPr>
        <w:pStyle w:val="6"/>
        <w:snapToGrid w:val="0"/>
        <w:spacing w:after="180" w:afterLines="75" w:line="360" w:lineRule="auto"/>
        <w:ind w:left="0"/>
        <w:jc w:val="both"/>
        <w:rPr>
          <w:rFonts w:ascii="Arial" w:hAnsi="Arial" w:cs="Arial"/>
        </w:rPr>
      </w:pPr>
      <w:r>
        <w:rPr>
          <w:rFonts w:ascii="Arial" w:hAnsi="Arial" w:cs="Arial"/>
        </w:rPr>
        <w:t>治疗IDE法规于1998年1月16日生效。有关治疗IDE的其他指导，请参见1997年9月18日</w:t>
      </w:r>
      <w:r>
        <w:rPr>
          <w:rFonts w:ascii="Arial" w:hAnsi="Arial" w:cs="Arial"/>
          <w:b/>
        </w:rPr>
        <w:t>联邦公报</w:t>
      </w:r>
      <w:r>
        <w:rPr>
          <w:rFonts w:ascii="Arial" w:hAnsi="Arial" w:cs="Arial"/>
        </w:rPr>
        <w:t>（62 FR 48940）或联系IDE工作人员，电话：（301）594-1190。</w:t>
      </w:r>
    </w:p>
    <w:p w14:paraId="614E9B4C">
      <w:pPr>
        <w:pStyle w:val="3"/>
        <w:snapToGrid w:val="0"/>
        <w:spacing w:after="180" w:afterLines="75" w:line="360" w:lineRule="auto"/>
        <w:ind w:left="0"/>
        <w:jc w:val="both"/>
        <w:rPr>
          <w:rFonts w:ascii="Arial" w:hAnsi="Arial" w:cs="Arial"/>
          <w:b w:val="0"/>
          <w:bCs w:val="0"/>
          <w:i w:val="0"/>
          <w:u w:val="none"/>
        </w:rPr>
      </w:pPr>
      <w:bookmarkStart w:id="64" w:name="_Toc501388880"/>
      <w:r>
        <w:rPr>
          <w:rFonts w:ascii="Arial" w:hAnsi="Arial" w:cs="Arial"/>
          <w:u w:val="thick" w:color="000000"/>
        </w:rPr>
        <w:t>继续使用研究器械</w:t>
      </w:r>
      <w:bookmarkEnd w:id="64"/>
    </w:p>
    <w:p w14:paraId="14C53A3E">
      <w:pPr>
        <w:pStyle w:val="6"/>
        <w:snapToGrid w:val="0"/>
        <w:spacing w:after="180" w:afterLines="75" w:line="360" w:lineRule="auto"/>
        <w:ind w:left="0"/>
        <w:jc w:val="both"/>
        <w:rPr>
          <w:rFonts w:ascii="Arial" w:hAnsi="Arial" w:cs="Arial"/>
        </w:rPr>
      </w:pPr>
      <w:r>
        <w:rPr>
          <w:rFonts w:ascii="Arial" w:hAnsi="Arial" w:cs="Arial"/>
        </w:rPr>
        <w:t>如ODE蓝皮书备忘录《在PMA编制和审查期间继续使用研究器械》（以下简称</w:t>
      </w:r>
      <w:r>
        <w:rPr>
          <w:rFonts w:ascii="宋体" w:hAnsi="宋体" w:cs="Arial"/>
        </w:rPr>
        <w:t>“</w:t>
      </w:r>
      <w:r>
        <w:rPr>
          <w:rFonts w:ascii="Arial" w:hAnsi="Arial" w:cs="Arial"/>
        </w:rPr>
        <w:t>继续使用政策</w:t>
      </w:r>
      <w:r>
        <w:rPr>
          <w:rFonts w:ascii="宋体" w:hAnsi="宋体" w:cs="Arial"/>
        </w:rPr>
        <w:t>”</w:t>
      </w:r>
      <w:r>
        <w:rPr>
          <w:rFonts w:ascii="Arial" w:hAnsi="Arial" w:cs="Arial"/>
        </w:rPr>
        <w:t>）中所述，如果存在以下情况，在申办方编制和/或本机构审查上市申请期间，临床研究申办方可以继续招募受试者：</w:t>
      </w:r>
    </w:p>
    <w:p w14:paraId="15A8BB95">
      <w:pPr>
        <w:pStyle w:val="22"/>
        <w:numPr>
          <w:ilvl w:val="0"/>
          <w:numId w:val="12"/>
        </w:numPr>
        <w:tabs>
          <w:tab w:val="left" w:pos="840"/>
        </w:tabs>
        <w:snapToGrid w:val="0"/>
        <w:spacing w:after="180" w:afterLines="75" w:line="360" w:lineRule="auto"/>
        <w:ind w:left="440" w:leftChars="200" w:firstLine="0"/>
        <w:jc w:val="both"/>
        <w:rPr>
          <w:rFonts w:ascii="Arial" w:hAnsi="Arial" w:eastAsia="宋体" w:cs="Arial"/>
          <w:sz w:val="24"/>
          <w:szCs w:val="24"/>
        </w:rPr>
      </w:pPr>
      <w:r>
        <w:rPr>
          <w:rFonts w:ascii="Arial" w:hAnsi="Arial" w:eastAsia="宋体" w:cs="Arial"/>
          <w:sz w:val="24"/>
          <w:szCs w:val="24"/>
        </w:rPr>
        <w:t>公共健康需要使用该器械；或</w:t>
      </w:r>
    </w:p>
    <w:p w14:paraId="161BFB18">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458583A0">
      <w:pPr>
        <w:pStyle w:val="22"/>
        <w:numPr>
          <w:ilvl w:val="0"/>
          <w:numId w:val="12"/>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初步证据表明该器械可能有效，且对于尚未针对拟定适应症确定任何重大安全问题。</w:t>
      </w:r>
    </w:p>
    <w:p w14:paraId="69C3333F">
      <w:pPr>
        <w:pStyle w:val="6"/>
        <w:snapToGrid w:val="0"/>
        <w:spacing w:after="180" w:afterLines="75" w:line="360" w:lineRule="auto"/>
        <w:ind w:left="0"/>
        <w:jc w:val="both"/>
        <w:rPr>
          <w:rFonts w:ascii="Arial" w:hAnsi="Arial" w:cs="Arial"/>
        </w:rPr>
      </w:pPr>
      <w:r>
        <w:rPr>
          <w:rFonts w:ascii="Arial" w:hAnsi="Arial" w:cs="Arial"/>
        </w:rPr>
        <w:t>在申办方编制和/或ODE审查上市申请期间，继续为研究招募受试者也称为</w:t>
      </w:r>
      <w:r>
        <w:rPr>
          <w:rFonts w:ascii="宋体" w:hAnsi="宋体" w:cs="Arial"/>
        </w:rPr>
        <w:t>“</w:t>
      </w:r>
      <w:r>
        <w:rPr>
          <w:rFonts w:ascii="Arial" w:hAnsi="Arial" w:cs="Arial"/>
        </w:rPr>
        <w:t>延期研究</w:t>
      </w:r>
      <w:r>
        <w:rPr>
          <w:rFonts w:ascii="宋体" w:hAnsi="宋体" w:cs="Arial"/>
        </w:rPr>
        <w:t>”</w:t>
      </w:r>
      <w:r>
        <w:rPr>
          <w:rFonts w:ascii="Arial" w:hAnsi="Arial" w:cs="Arial"/>
        </w:rPr>
        <w:t>。延期研究允许患者和/或医生继续使用器械，同时还允许收集额外的安全性和有效性数据来支持上市申请或解决关于研究器械的新问题。继续使用政策可适用于任何符合上述标准的临床研究；然而，该政策</w:t>
      </w:r>
      <w:r>
        <w:rPr>
          <w:rFonts w:hint="eastAsia" w:ascii="Arial" w:hAnsi="Arial" w:cs="Arial"/>
        </w:rPr>
        <w:t>将</w:t>
      </w:r>
      <w:r>
        <w:rPr>
          <w:rFonts w:ascii="Arial" w:hAnsi="Arial" w:cs="Arial"/>
        </w:rPr>
        <w:t>在器械开发过程后期，即在完成受控临床试验之后应用。</w:t>
      </w:r>
    </w:p>
    <w:p w14:paraId="45B78384">
      <w:pPr>
        <w:pStyle w:val="6"/>
        <w:snapToGrid w:val="0"/>
        <w:spacing w:after="180" w:afterLines="75" w:line="360" w:lineRule="auto"/>
        <w:ind w:left="0"/>
        <w:jc w:val="both"/>
        <w:rPr>
          <w:rFonts w:ascii="Arial" w:hAnsi="Arial" w:cs="Arial"/>
        </w:rPr>
      </w:pPr>
      <w:r>
        <w:rPr>
          <w:rFonts w:ascii="Arial" w:hAnsi="Arial" w:cs="Arial"/>
        </w:rPr>
        <w:t>申办方的延期研究申请应作为IDE补充文件提交，并包括以下信息：</w:t>
      </w:r>
    </w:p>
    <w:p w14:paraId="604D770B">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延期理由；</w:t>
      </w:r>
    </w:p>
    <w:p w14:paraId="5BCA4B4F">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根据IDE生成的初步安全性和有效性数据总结；</w:t>
      </w:r>
    </w:p>
    <w:p w14:paraId="793EEA83">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器械风险的简要讨论；</w:t>
      </w:r>
    </w:p>
    <w:p w14:paraId="474FF505">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拟定继续招募率（地点和受试者数量）；</w:t>
      </w:r>
    </w:p>
    <w:p w14:paraId="756D5C02">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临床方案（如果与用于受控临床试验的方案不同），以及延期研究的拟定目标，以及</w:t>
      </w:r>
    </w:p>
    <w:p w14:paraId="7496A1DC">
      <w:pPr>
        <w:pStyle w:val="22"/>
        <w:numPr>
          <w:ilvl w:val="0"/>
          <w:numId w:val="13"/>
        </w:numPr>
        <w:tabs>
          <w:tab w:val="left" w:pos="820"/>
        </w:tabs>
        <w:snapToGrid w:val="0"/>
        <w:spacing w:after="180" w:afterLines="75" w:line="360" w:lineRule="auto"/>
        <w:ind w:left="824" w:leftChars="200" w:hanging="384" w:hangingChars="160"/>
        <w:jc w:val="both"/>
        <w:rPr>
          <w:rFonts w:ascii="Arial" w:hAnsi="Arial" w:eastAsia="宋体" w:cs="Arial"/>
          <w:sz w:val="24"/>
          <w:szCs w:val="24"/>
        </w:rPr>
      </w:pPr>
      <w:r>
        <w:rPr>
          <w:rFonts w:ascii="Arial" w:hAnsi="Arial" w:eastAsia="宋体" w:cs="Arial"/>
          <w:sz w:val="24"/>
          <w:szCs w:val="24"/>
        </w:rPr>
        <w:t>申办方在获得器械上市批准/许可方面的进展情况的简要讨论。</w:t>
      </w:r>
    </w:p>
    <w:p w14:paraId="7654F532">
      <w:pPr>
        <w:pStyle w:val="6"/>
        <w:snapToGrid w:val="0"/>
        <w:spacing w:after="180" w:afterLines="75" w:line="360" w:lineRule="auto"/>
        <w:ind w:left="0"/>
        <w:jc w:val="both"/>
        <w:rPr>
          <w:rFonts w:ascii="Arial" w:hAnsi="Arial" w:cs="Arial"/>
        </w:rPr>
      </w:pPr>
      <w:r>
        <w:rPr>
          <w:rFonts w:ascii="Arial" w:hAnsi="Arial" w:cs="Arial"/>
        </w:rPr>
        <w:t>在决定是否批准、修改后批准或驳回拟定延期研究申请时，除ODE审查上市申请的进展情况外，审查者还应该考虑所有上述因素。在确定适当的招募率、研究者数量和延期研究的研究中心数量时，也应考虑上述因素。在做出此类决定时，也应该考虑申办方过去对适用FDA法规的遵守情况。例如，疏于监督责任或者有其他未解决的合规问题的申办方不得参与延期研究。</w:t>
      </w:r>
    </w:p>
    <w:p w14:paraId="07EE8C68">
      <w:pPr>
        <w:pStyle w:val="6"/>
        <w:snapToGrid w:val="0"/>
        <w:spacing w:after="180" w:afterLines="75" w:line="360" w:lineRule="auto"/>
        <w:ind w:left="0"/>
        <w:jc w:val="both"/>
        <w:rPr>
          <w:rFonts w:ascii="Arial" w:hAnsi="Arial" w:cs="Arial"/>
        </w:rPr>
      </w:pPr>
      <w:r>
        <w:rPr>
          <w:rFonts w:ascii="Arial" w:hAnsi="Arial" w:cs="Arial"/>
        </w:rPr>
        <w:t>请注意，治疗IDE法规和继续使用政策之间有大量重叠。如治疗IDE最终规则的序言部分所述，在FDA获得初步安全性和有效性证据后，继续使用政策和治疗IDE法规均允许继续使用未批准器械。</w:t>
      </w:r>
    </w:p>
    <w:p w14:paraId="3DF9EC85">
      <w:pPr>
        <w:snapToGrid w:val="0"/>
        <w:spacing w:after="180" w:afterLines="75" w:line="360" w:lineRule="auto"/>
        <w:jc w:val="both"/>
        <w:rPr>
          <w:rFonts w:ascii="Arial" w:hAnsi="Arial" w:eastAsia="宋体" w:cs="Arial"/>
          <w:sz w:val="24"/>
          <w:szCs w:val="24"/>
        </w:rPr>
      </w:pPr>
      <w:r>
        <w:rPr>
          <w:rFonts w:ascii="Arial" w:hAnsi="Arial" w:eastAsia="宋体" w:cs="Arial"/>
          <w:sz w:val="24"/>
          <w:szCs w:val="24"/>
        </w:rPr>
        <w:br w:type="page"/>
      </w:r>
    </w:p>
    <w:p w14:paraId="2F790B35">
      <w:pPr>
        <w:pStyle w:val="6"/>
        <w:snapToGrid w:val="0"/>
        <w:spacing w:after="180" w:afterLines="75" w:line="360" w:lineRule="auto"/>
        <w:ind w:left="0"/>
        <w:jc w:val="both"/>
        <w:rPr>
          <w:rFonts w:ascii="Arial" w:hAnsi="Arial" w:cs="Arial"/>
        </w:rPr>
      </w:pPr>
      <w:r>
        <w:rPr>
          <w:rFonts w:ascii="Arial" w:hAnsi="Arial" w:cs="Arial"/>
        </w:rPr>
        <w:t>但是，由于治疗IDE可能在IDE过程早期提交，即已根据IDE收集有利的安全性和有效性证据，但临床研究仍在进行当中，其可以使更广泛的患者群体在IDE过程早期获得器械。治疗IDE法规的适用范围也较继续使用政策窄，因为治疗使用仅针对患有即刻危及生命或严重疾病或病症的患者，而继续使用政策一般在临床试验完成后应用，可能适用于任何临床研究。</w:t>
      </w:r>
    </w:p>
    <w:p w14:paraId="4134AD92">
      <w:pPr>
        <w:pStyle w:val="6"/>
        <w:snapToGrid w:val="0"/>
        <w:spacing w:after="180" w:afterLines="75" w:line="360" w:lineRule="auto"/>
        <w:ind w:left="0"/>
        <w:jc w:val="both"/>
        <w:rPr>
          <w:rFonts w:ascii="Arial" w:hAnsi="Arial" w:cs="Arial"/>
        </w:rPr>
      </w:pPr>
      <w:r>
        <w:rPr>
          <w:rFonts w:ascii="Arial" w:hAnsi="Arial" w:cs="Arial"/>
        </w:rPr>
        <w:t>有关更多信息，请参见ODE蓝皮书备忘录＃D96-1《在PMA编制和审查期间继续使用研究器械》。</w:t>
      </w:r>
    </w:p>
    <w:p w14:paraId="128016C7">
      <w:pPr>
        <w:pStyle w:val="2"/>
        <w:snapToGrid w:val="0"/>
        <w:spacing w:after="180" w:afterLines="75" w:line="300" w:lineRule="auto"/>
        <w:ind w:left="0"/>
        <w:jc w:val="both"/>
        <w:rPr>
          <w:rFonts w:ascii="Arial" w:hAnsi="Arial" w:cs="Arial"/>
        </w:rPr>
        <w:sectPr>
          <w:footerReference r:id="rId6" w:type="default"/>
          <w:pgSz w:w="11907" w:h="16839"/>
          <w:pgMar w:top="1134" w:right="1440" w:bottom="1134" w:left="1440" w:header="0" w:footer="720" w:gutter="0"/>
          <w:pgNumType w:start="1"/>
          <w:cols w:space="720" w:num="1"/>
          <w:docGrid w:linePitch="299" w:charSpace="0"/>
        </w:sectPr>
      </w:pPr>
    </w:p>
    <w:p w14:paraId="1D1CD736">
      <w:pPr>
        <w:pStyle w:val="3"/>
        <w:snapToGrid w:val="0"/>
        <w:spacing w:after="180" w:afterLines="75" w:line="300" w:lineRule="auto"/>
        <w:ind w:left="0"/>
        <w:jc w:val="center"/>
        <w:rPr>
          <w:rFonts w:ascii="Arial" w:hAnsi="Arial" w:cs="Arial"/>
          <w:i w:val="0"/>
          <w:u w:val="none"/>
        </w:rPr>
      </w:pPr>
      <w:bookmarkStart w:id="65" w:name="_Toc501388881"/>
      <w:r>
        <w:rPr>
          <w:rFonts w:ascii="Arial" w:hAnsi="Arial" w:cs="Arial"/>
          <w:i w:val="0"/>
          <w:u w:val="none"/>
        </w:rPr>
        <w:t>未批准器械的扩大访问机制</w:t>
      </w:r>
      <w:bookmarkEnd w:id="65"/>
    </w:p>
    <w:tbl>
      <w:tblPr>
        <w:tblStyle w:val="21"/>
        <w:tblW w:w="5000" w:type="pct"/>
        <w:tblInd w:w="0" w:type="dxa"/>
        <w:tblLayout w:type="fixed"/>
        <w:tblCellMar>
          <w:top w:w="0" w:type="dxa"/>
          <w:left w:w="108" w:type="dxa"/>
          <w:bottom w:w="0" w:type="dxa"/>
          <w:right w:w="108" w:type="dxa"/>
        </w:tblCellMar>
      </w:tblPr>
      <w:tblGrid>
        <w:gridCol w:w="1546"/>
        <w:gridCol w:w="1901"/>
        <w:gridCol w:w="2005"/>
        <w:gridCol w:w="1553"/>
        <w:gridCol w:w="1683"/>
        <w:gridCol w:w="1145"/>
        <w:gridCol w:w="2573"/>
        <w:gridCol w:w="2381"/>
      </w:tblGrid>
      <w:tr w14:paraId="049D2EB8">
        <w:tblPrEx>
          <w:tblCellMar>
            <w:top w:w="0" w:type="dxa"/>
            <w:left w:w="108" w:type="dxa"/>
            <w:bottom w:w="0" w:type="dxa"/>
            <w:right w:w="108" w:type="dxa"/>
          </w:tblCellMar>
        </w:tblPrEx>
        <w:tc>
          <w:tcPr>
            <w:tcW w:w="523" w:type="pct"/>
            <w:tcBorders>
              <w:top w:val="single" w:color="000000" w:sz="16" w:space="0"/>
              <w:left w:val="single" w:color="000000" w:sz="16" w:space="0"/>
              <w:bottom w:val="single" w:color="000000" w:sz="16" w:space="0"/>
              <w:right w:val="single" w:color="000000" w:sz="16" w:space="0"/>
            </w:tcBorders>
          </w:tcPr>
          <w:p w14:paraId="2F2C0D02">
            <w:pPr>
              <w:pStyle w:val="23"/>
              <w:snapToGrid w:val="0"/>
              <w:spacing w:before="12" w:beforeLines="5"/>
              <w:jc w:val="both"/>
              <w:rPr>
                <w:rFonts w:ascii="Arial" w:hAnsi="Arial" w:eastAsia="宋体" w:cs="Arial"/>
                <w:sz w:val="21"/>
                <w:szCs w:val="21"/>
              </w:rPr>
            </w:pPr>
            <w:r>
              <w:rPr>
                <w:rFonts w:ascii="Arial" w:hAnsi="Arial" w:eastAsia="宋体" w:cs="Arial"/>
                <w:sz w:val="21"/>
                <w:szCs w:val="21"/>
              </w:rPr>
              <w:t>扩大访问机制</w:t>
            </w:r>
          </w:p>
        </w:tc>
        <w:tc>
          <w:tcPr>
            <w:tcW w:w="643" w:type="pct"/>
            <w:tcBorders>
              <w:top w:val="single" w:color="000000" w:sz="16" w:space="0"/>
              <w:left w:val="single" w:color="000000" w:sz="16" w:space="0"/>
              <w:bottom w:val="single" w:color="000000" w:sz="16" w:space="0"/>
              <w:right w:val="single" w:color="000000" w:sz="6" w:space="0"/>
            </w:tcBorders>
          </w:tcPr>
          <w:p w14:paraId="26EF209B">
            <w:pPr>
              <w:pStyle w:val="23"/>
              <w:snapToGrid w:val="0"/>
              <w:spacing w:before="12" w:beforeLines="5"/>
              <w:jc w:val="both"/>
              <w:rPr>
                <w:rFonts w:ascii="Arial" w:hAnsi="Arial" w:eastAsia="宋体" w:cs="Arial"/>
                <w:sz w:val="21"/>
                <w:szCs w:val="21"/>
              </w:rPr>
            </w:pPr>
            <w:r>
              <w:rPr>
                <w:rFonts w:ascii="Arial" w:hAnsi="Arial" w:eastAsia="宋体" w:cs="Arial"/>
                <w:sz w:val="21"/>
                <w:szCs w:val="21"/>
              </w:rPr>
              <w:t>法规授权</w:t>
            </w:r>
          </w:p>
        </w:tc>
        <w:tc>
          <w:tcPr>
            <w:tcW w:w="678" w:type="pct"/>
            <w:tcBorders>
              <w:top w:val="single" w:color="000000" w:sz="16" w:space="0"/>
              <w:left w:val="single" w:color="000000" w:sz="6" w:space="0"/>
              <w:bottom w:val="single" w:color="000000" w:sz="16" w:space="0"/>
              <w:right w:val="single" w:color="000000" w:sz="6" w:space="0"/>
            </w:tcBorders>
          </w:tcPr>
          <w:p w14:paraId="4770B964">
            <w:pPr>
              <w:pStyle w:val="23"/>
              <w:snapToGrid w:val="0"/>
              <w:spacing w:before="12" w:beforeLines="5"/>
              <w:jc w:val="both"/>
              <w:rPr>
                <w:rFonts w:ascii="Arial" w:hAnsi="Arial" w:eastAsia="宋体" w:cs="Arial"/>
                <w:sz w:val="21"/>
                <w:szCs w:val="21"/>
              </w:rPr>
            </w:pPr>
            <w:r>
              <w:rPr>
                <w:rFonts w:ascii="Arial" w:hAnsi="Arial" w:eastAsia="宋体" w:cs="Arial"/>
                <w:sz w:val="21"/>
                <w:szCs w:val="21"/>
              </w:rPr>
              <w:t>使用标准</w:t>
            </w:r>
          </w:p>
        </w:tc>
        <w:tc>
          <w:tcPr>
            <w:tcW w:w="525" w:type="pct"/>
            <w:tcBorders>
              <w:top w:val="single" w:color="000000" w:sz="16" w:space="0"/>
              <w:left w:val="single" w:color="000000" w:sz="6" w:space="0"/>
              <w:bottom w:val="single" w:color="000000" w:sz="16" w:space="0"/>
              <w:right w:val="single" w:color="000000" w:sz="6" w:space="0"/>
            </w:tcBorders>
          </w:tcPr>
          <w:p w14:paraId="5E9A33B0">
            <w:pPr>
              <w:pStyle w:val="23"/>
              <w:snapToGrid w:val="0"/>
              <w:spacing w:before="12" w:beforeLines="5"/>
              <w:jc w:val="both"/>
              <w:rPr>
                <w:rFonts w:ascii="Arial" w:hAnsi="Arial" w:eastAsia="宋体" w:cs="Arial"/>
                <w:sz w:val="21"/>
                <w:szCs w:val="21"/>
              </w:rPr>
            </w:pPr>
            <w:r>
              <w:rPr>
                <w:rFonts w:ascii="Arial" w:hAnsi="Arial" w:eastAsia="宋体" w:cs="Arial"/>
                <w:sz w:val="21"/>
                <w:szCs w:val="21"/>
              </w:rPr>
              <w:t>应用时间</w:t>
            </w:r>
          </w:p>
        </w:tc>
        <w:tc>
          <w:tcPr>
            <w:tcW w:w="569" w:type="pct"/>
            <w:tcBorders>
              <w:top w:val="single" w:color="000000" w:sz="16" w:space="0"/>
              <w:left w:val="single" w:color="000000" w:sz="6" w:space="0"/>
              <w:bottom w:val="single" w:color="000000" w:sz="16" w:space="0"/>
              <w:right w:val="single" w:color="000000" w:sz="6" w:space="0"/>
            </w:tcBorders>
          </w:tcPr>
          <w:p w14:paraId="76FAA762">
            <w:pPr>
              <w:pStyle w:val="23"/>
              <w:snapToGrid w:val="0"/>
              <w:spacing w:before="12" w:beforeLines="5"/>
              <w:jc w:val="both"/>
              <w:rPr>
                <w:rFonts w:ascii="Arial" w:hAnsi="Arial" w:eastAsia="宋体" w:cs="Arial"/>
                <w:sz w:val="21"/>
                <w:szCs w:val="21"/>
              </w:rPr>
            </w:pPr>
            <w:r>
              <w:rPr>
                <w:rFonts w:ascii="Arial" w:hAnsi="Arial" w:eastAsia="宋体" w:cs="Arial"/>
                <w:sz w:val="21"/>
                <w:szCs w:val="21"/>
              </w:rPr>
              <w:t>待治疗患者数量</w:t>
            </w:r>
          </w:p>
        </w:tc>
        <w:tc>
          <w:tcPr>
            <w:tcW w:w="387" w:type="pct"/>
            <w:tcBorders>
              <w:top w:val="single" w:color="000000" w:sz="16" w:space="0"/>
              <w:left w:val="single" w:color="000000" w:sz="6" w:space="0"/>
              <w:bottom w:val="single" w:color="000000" w:sz="16" w:space="0"/>
              <w:right w:val="single" w:color="000000" w:sz="6" w:space="0"/>
            </w:tcBorders>
          </w:tcPr>
          <w:p w14:paraId="3EE58AF2">
            <w:pPr>
              <w:pStyle w:val="23"/>
              <w:snapToGrid w:val="0"/>
              <w:spacing w:before="12" w:beforeLines="5"/>
              <w:rPr>
                <w:rFonts w:ascii="Arial" w:hAnsi="Arial" w:eastAsia="宋体" w:cs="Arial"/>
                <w:sz w:val="21"/>
                <w:szCs w:val="21"/>
              </w:rPr>
            </w:pPr>
            <w:r>
              <w:rPr>
                <w:rFonts w:ascii="Arial" w:hAnsi="Arial" w:eastAsia="宋体" w:cs="Arial"/>
                <w:sz w:val="21"/>
                <w:szCs w:val="21"/>
              </w:rPr>
              <w:t>是否需要FDA批准？</w:t>
            </w:r>
          </w:p>
        </w:tc>
        <w:tc>
          <w:tcPr>
            <w:tcW w:w="870" w:type="pct"/>
            <w:tcBorders>
              <w:top w:val="single" w:color="000000" w:sz="16" w:space="0"/>
              <w:left w:val="single" w:color="000000" w:sz="6" w:space="0"/>
              <w:bottom w:val="single" w:color="000000" w:sz="16" w:space="0"/>
              <w:right w:val="single" w:color="000000" w:sz="6" w:space="0"/>
            </w:tcBorders>
          </w:tcPr>
          <w:p w14:paraId="07F8CA59">
            <w:pPr>
              <w:pStyle w:val="23"/>
              <w:snapToGrid w:val="0"/>
              <w:spacing w:before="12" w:beforeLines="5"/>
              <w:jc w:val="both"/>
              <w:rPr>
                <w:rFonts w:ascii="Arial" w:hAnsi="Arial" w:eastAsia="宋体" w:cs="Arial"/>
                <w:sz w:val="21"/>
                <w:szCs w:val="21"/>
              </w:rPr>
            </w:pPr>
            <w:r>
              <w:rPr>
                <w:rFonts w:ascii="Arial" w:hAnsi="Arial" w:eastAsia="宋体" w:cs="Arial"/>
                <w:sz w:val="21"/>
                <w:szCs w:val="21"/>
              </w:rPr>
              <w:t>如何获得FDA批准？</w:t>
            </w:r>
          </w:p>
        </w:tc>
        <w:tc>
          <w:tcPr>
            <w:tcW w:w="805" w:type="pct"/>
            <w:tcBorders>
              <w:top w:val="single" w:color="000000" w:sz="16" w:space="0"/>
              <w:left w:val="single" w:color="000000" w:sz="6" w:space="0"/>
              <w:bottom w:val="single" w:color="000000" w:sz="16" w:space="0"/>
              <w:right w:val="single" w:color="000000" w:sz="16" w:space="0"/>
            </w:tcBorders>
          </w:tcPr>
          <w:p w14:paraId="10BC8DF3">
            <w:pPr>
              <w:pStyle w:val="23"/>
              <w:snapToGrid w:val="0"/>
              <w:spacing w:before="12" w:beforeLines="5"/>
              <w:jc w:val="both"/>
              <w:rPr>
                <w:rFonts w:ascii="Arial" w:hAnsi="Arial" w:eastAsia="宋体" w:cs="Arial"/>
                <w:sz w:val="21"/>
                <w:szCs w:val="21"/>
              </w:rPr>
            </w:pPr>
            <w:r>
              <w:rPr>
                <w:rFonts w:ascii="Arial" w:hAnsi="Arial" w:eastAsia="宋体" w:cs="Arial"/>
                <w:sz w:val="21"/>
                <w:szCs w:val="21"/>
              </w:rPr>
              <w:t>患者保护措施</w:t>
            </w:r>
          </w:p>
        </w:tc>
      </w:tr>
      <w:tr w14:paraId="306E1981">
        <w:tblPrEx>
          <w:tblCellMar>
            <w:top w:w="0" w:type="dxa"/>
            <w:left w:w="108" w:type="dxa"/>
            <w:bottom w:w="0" w:type="dxa"/>
            <w:right w:w="108" w:type="dxa"/>
          </w:tblCellMar>
        </w:tblPrEx>
        <w:tc>
          <w:tcPr>
            <w:tcW w:w="523" w:type="pct"/>
            <w:tcBorders>
              <w:top w:val="single" w:color="000000" w:sz="16" w:space="0"/>
              <w:left w:val="single" w:color="000000" w:sz="16" w:space="0"/>
              <w:bottom w:val="single" w:color="000000" w:sz="6" w:space="0"/>
              <w:right w:val="single" w:color="000000" w:sz="16" w:space="0"/>
            </w:tcBorders>
          </w:tcPr>
          <w:p w14:paraId="308DEC7A">
            <w:pPr>
              <w:pStyle w:val="23"/>
              <w:snapToGrid w:val="0"/>
              <w:spacing w:before="12" w:beforeLines="5"/>
              <w:jc w:val="both"/>
              <w:rPr>
                <w:rFonts w:ascii="Arial" w:hAnsi="Arial" w:eastAsia="宋体" w:cs="Arial"/>
                <w:sz w:val="21"/>
                <w:szCs w:val="21"/>
              </w:rPr>
            </w:pPr>
            <w:r>
              <w:rPr>
                <w:rFonts w:ascii="Arial" w:hAnsi="Arial" w:eastAsia="宋体" w:cs="Arial"/>
                <w:sz w:val="21"/>
                <w:szCs w:val="21"/>
              </w:rPr>
              <w:t>紧急使用</w:t>
            </w:r>
          </w:p>
        </w:tc>
        <w:tc>
          <w:tcPr>
            <w:tcW w:w="643" w:type="pct"/>
            <w:tcBorders>
              <w:top w:val="single" w:color="000000" w:sz="16" w:space="0"/>
              <w:left w:val="single" w:color="000000" w:sz="16" w:space="0"/>
              <w:bottom w:val="single" w:color="000000" w:sz="6" w:space="0"/>
              <w:right w:val="single" w:color="000000" w:sz="6" w:space="0"/>
            </w:tcBorders>
          </w:tcPr>
          <w:p w14:paraId="31BB2302">
            <w:pPr>
              <w:pStyle w:val="23"/>
              <w:snapToGrid w:val="0"/>
              <w:spacing w:before="12" w:beforeLines="5"/>
              <w:jc w:val="both"/>
              <w:rPr>
                <w:rFonts w:ascii="Arial" w:hAnsi="Arial" w:eastAsia="宋体" w:cs="Arial"/>
                <w:sz w:val="21"/>
                <w:szCs w:val="21"/>
              </w:rPr>
            </w:pPr>
            <w:r>
              <w:rPr>
                <w:rFonts w:ascii="Arial" w:hAnsi="Arial" w:eastAsia="宋体" w:cs="Arial"/>
                <w:sz w:val="21"/>
                <w:szCs w:val="21"/>
              </w:rPr>
              <w:t>《未批准医疗器械的紧急使用指南》</w:t>
            </w:r>
          </w:p>
          <w:p w14:paraId="38AF818A">
            <w:pPr>
              <w:pStyle w:val="23"/>
              <w:snapToGrid w:val="0"/>
              <w:spacing w:before="12" w:beforeLines="5"/>
              <w:jc w:val="both"/>
              <w:rPr>
                <w:rFonts w:ascii="Arial" w:hAnsi="Arial" w:eastAsia="宋体" w:cs="Arial"/>
                <w:b/>
                <w:bCs/>
                <w:sz w:val="21"/>
                <w:szCs w:val="21"/>
              </w:rPr>
            </w:pPr>
          </w:p>
          <w:p w14:paraId="7BEF1C76">
            <w:pPr>
              <w:pStyle w:val="23"/>
              <w:snapToGrid w:val="0"/>
              <w:spacing w:before="12" w:beforeLines="5"/>
              <w:jc w:val="both"/>
              <w:rPr>
                <w:rFonts w:ascii="Arial" w:hAnsi="Arial" w:eastAsia="宋体" w:cs="Arial"/>
                <w:sz w:val="21"/>
                <w:szCs w:val="21"/>
              </w:rPr>
            </w:pPr>
            <w:r>
              <w:rPr>
                <w:rFonts w:ascii="Arial" w:hAnsi="Arial" w:eastAsia="宋体" w:cs="Arial"/>
                <w:sz w:val="21"/>
                <w:szCs w:val="21"/>
              </w:rPr>
              <w:t>50 FR 42866</w:t>
            </w:r>
          </w:p>
          <w:p w14:paraId="53336A4E">
            <w:pPr>
              <w:pStyle w:val="23"/>
              <w:snapToGrid w:val="0"/>
              <w:spacing w:before="12" w:beforeLines="5"/>
              <w:jc w:val="both"/>
              <w:rPr>
                <w:rFonts w:ascii="Arial" w:hAnsi="Arial" w:eastAsia="宋体" w:cs="Arial"/>
                <w:sz w:val="21"/>
                <w:szCs w:val="21"/>
              </w:rPr>
            </w:pPr>
            <w:r>
              <w:rPr>
                <w:rFonts w:ascii="Arial" w:hAnsi="Arial" w:eastAsia="宋体" w:cs="Arial"/>
                <w:sz w:val="21"/>
                <w:szCs w:val="21"/>
              </w:rPr>
              <w:t>21 CFR 812.35(a)</w:t>
            </w:r>
          </w:p>
        </w:tc>
        <w:tc>
          <w:tcPr>
            <w:tcW w:w="678" w:type="pct"/>
            <w:tcBorders>
              <w:top w:val="single" w:color="000000" w:sz="16" w:space="0"/>
              <w:left w:val="single" w:color="000000" w:sz="6" w:space="0"/>
              <w:bottom w:val="single" w:color="000000" w:sz="6" w:space="0"/>
              <w:right w:val="single" w:color="000000" w:sz="6" w:space="0"/>
            </w:tcBorders>
          </w:tcPr>
          <w:p w14:paraId="3272BE16">
            <w:pPr>
              <w:pStyle w:val="23"/>
              <w:numPr>
                <w:ilvl w:val="0"/>
                <w:numId w:val="14"/>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致命性病症</w:t>
            </w:r>
            <w:r>
              <w:rPr>
                <w:rFonts w:ascii="Arial" w:hAnsi="Arial" w:eastAsia="宋体" w:cs="Arial"/>
                <w:sz w:val="21"/>
                <w:szCs w:val="21"/>
                <w:vertAlign w:val="superscript"/>
              </w:rPr>
              <w:t>‡</w:t>
            </w:r>
            <w:r>
              <w:rPr>
                <w:rFonts w:ascii="Arial" w:hAnsi="Arial" w:eastAsia="宋体" w:cs="Arial"/>
                <w:sz w:val="21"/>
                <w:szCs w:val="21"/>
              </w:rPr>
              <w:t>；</w:t>
            </w:r>
          </w:p>
          <w:p w14:paraId="38AA5E6B">
            <w:pPr>
              <w:pStyle w:val="23"/>
              <w:numPr>
                <w:ilvl w:val="0"/>
                <w:numId w:val="14"/>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无替代疗法；以及</w:t>
            </w:r>
          </w:p>
          <w:p w14:paraId="40F7CB14">
            <w:pPr>
              <w:pStyle w:val="23"/>
              <w:numPr>
                <w:ilvl w:val="0"/>
                <w:numId w:val="14"/>
              </w:numPr>
              <w:tabs>
                <w:tab w:val="left" w:pos="362"/>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没有时间获得</w:t>
            </w:r>
            <w:r>
              <w:rPr>
                <w:rFonts w:hint="eastAsia" w:ascii="Arial" w:hAnsi="Arial" w:eastAsia="宋体" w:cs="Arial"/>
                <w:sz w:val="21"/>
                <w:szCs w:val="21"/>
              </w:rPr>
              <w:br w:type="textWrapping"/>
            </w:r>
            <w:r>
              <w:rPr>
                <w:rFonts w:ascii="Arial" w:hAnsi="Arial" w:eastAsia="宋体" w:cs="Arial"/>
                <w:sz w:val="21"/>
                <w:szCs w:val="21"/>
              </w:rPr>
              <w:t>FDA批准。</w:t>
            </w:r>
          </w:p>
        </w:tc>
        <w:tc>
          <w:tcPr>
            <w:tcW w:w="525" w:type="pct"/>
            <w:tcBorders>
              <w:top w:val="single" w:color="000000" w:sz="16" w:space="0"/>
              <w:left w:val="single" w:color="000000" w:sz="6" w:space="0"/>
              <w:bottom w:val="single" w:color="000000" w:sz="6" w:space="0"/>
              <w:right w:val="single" w:color="000000" w:sz="6" w:space="0"/>
            </w:tcBorders>
          </w:tcPr>
          <w:p w14:paraId="7FEF6F3B">
            <w:pPr>
              <w:pStyle w:val="23"/>
              <w:snapToGrid w:val="0"/>
              <w:spacing w:before="12" w:beforeLines="5"/>
              <w:jc w:val="both"/>
              <w:rPr>
                <w:rFonts w:ascii="Arial" w:hAnsi="Arial" w:eastAsia="宋体" w:cs="Arial"/>
                <w:sz w:val="21"/>
                <w:szCs w:val="21"/>
              </w:rPr>
            </w:pPr>
            <w:r>
              <w:rPr>
                <w:rFonts w:ascii="Arial" w:hAnsi="Arial" w:eastAsia="宋体" w:cs="Arial"/>
                <w:sz w:val="21"/>
                <w:szCs w:val="21"/>
              </w:rPr>
              <w:t>开展临床试验之前或之后</w:t>
            </w:r>
          </w:p>
        </w:tc>
        <w:tc>
          <w:tcPr>
            <w:tcW w:w="569" w:type="pct"/>
            <w:tcBorders>
              <w:top w:val="single" w:color="000000" w:sz="16" w:space="0"/>
              <w:left w:val="single" w:color="000000" w:sz="6" w:space="0"/>
              <w:bottom w:val="single" w:color="000000" w:sz="6" w:space="0"/>
              <w:right w:val="single" w:color="000000" w:sz="6" w:space="0"/>
            </w:tcBorders>
          </w:tcPr>
          <w:p w14:paraId="15CDAB11">
            <w:pPr>
              <w:pStyle w:val="23"/>
              <w:snapToGrid w:val="0"/>
              <w:spacing w:before="12" w:beforeLines="5"/>
              <w:jc w:val="both"/>
              <w:rPr>
                <w:rFonts w:ascii="Arial" w:hAnsi="Arial" w:eastAsia="宋体" w:cs="Arial"/>
                <w:sz w:val="21"/>
                <w:szCs w:val="21"/>
              </w:rPr>
            </w:pPr>
            <w:r>
              <w:rPr>
                <w:rFonts w:ascii="Arial" w:hAnsi="Arial" w:eastAsia="宋体" w:cs="Arial"/>
                <w:sz w:val="21"/>
                <w:szCs w:val="21"/>
              </w:rPr>
              <w:t>限于少数患者</w:t>
            </w:r>
          </w:p>
        </w:tc>
        <w:tc>
          <w:tcPr>
            <w:tcW w:w="387" w:type="pct"/>
            <w:tcBorders>
              <w:top w:val="single" w:color="000000" w:sz="16" w:space="0"/>
              <w:left w:val="single" w:color="000000" w:sz="6" w:space="0"/>
              <w:bottom w:val="single" w:color="000000" w:sz="6" w:space="0"/>
              <w:right w:val="single" w:color="000000" w:sz="6" w:space="0"/>
            </w:tcBorders>
          </w:tcPr>
          <w:p w14:paraId="0E21E6F9">
            <w:pPr>
              <w:pStyle w:val="23"/>
              <w:snapToGrid w:val="0"/>
              <w:spacing w:before="12" w:beforeLines="5"/>
              <w:jc w:val="both"/>
              <w:rPr>
                <w:rFonts w:ascii="Arial" w:hAnsi="Arial" w:eastAsia="宋体" w:cs="Arial"/>
                <w:sz w:val="21"/>
                <w:szCs w:val="21"/>
              </w:rPr>
            </w:pPr>
            <w:r>
              <w:rPr>
                <w:rFonts w:ascii="Arial" w:hAnsi="Arial" w:eastAsia="宋体" w:cs="Arial"/>
                <w:sz w:val="21"/>
                <w:szCs w:val="21"/>
              </w:rPr>
              <w:t>否；器械使用后，向FDA提交报告</w:t>
            </w:r>
          </w:p>
        </w:tc>
        <w:tc>
          <w:tcPr>
            <w:tcW w:w="870" w:type="pct"/>
            <w:tcBorders>
              <w:top w:val="single" w:color="000000" w:sz="16" w:space="0"/>
              <w:left w:val="single" w:color="000000" w:sz="6" w:space="0"/>
              <w:bottom w:val="single" w:color="000000" w:sz="6" w:space="0"/>
              <w:right w:val="single" w:color="000000" w:sz="6" w:space="0"/>
            </w:tcBorders>
          </w:tcPr>
          <w:p w14:paraId="3B4B40BF">
            <w:pPr>
              <w:pStyle w:val="23"/>
              <w:snapToGrid w:val="0"/>
              <w:spacing w:before="12" w:beforeLines="5"/>
              <w:jc w:val="both"/>
              <w:rPr>
                <w:rFonts w:ascii="Arial" w:hAnsi="Arial" w:eastAsia="宋体" w:cs="Arial"/>
                <w:sz w:val="21"/>
                <w:szCs w:val="21"/>
              </w:rPr>
            </w:pPr>
            <w:r>
              <w:rPr>
                <w:rFonts w:ascii="Arial" w:hAnsi="Arial" w:eastAsia="宋体" w:cs="Arial"/>
                <w:sz w:val="21"/>
                <w:szCs w:val="21"/>
              </w:rPr>
              <w:t>不适用</w:t>
            </w:r>
          </w:p>
        </w:tc>
        <w:tc>
          <w:tcPr>
            <w:tcW w:w="805" w:type="pct"/>
            <w:tcBorders>
              <w:top w:val="single" w:color="000000" w:sz="16" w:space="0"/>
              <w:left w:val="single" w:color="000000" w:sz="6" w:space="0"/>
              <w:bottom w:val="single" w:color="000000" w:sz="6" w:space="0"/>
              <w:right w:val="single" w:color="000000" w:sz="16" w:space="0"/>
            </w:tcBorders>
          </w:tcPr>
          <w:p w14:paraId="670A7154">
            <w:pPr>
              <w:pStyle w:val="23"/>
              <w:numPr>
                <w:ilvl w:val="0"/>
                <w:numId w:val="15"/>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未参与研究医生的独立评估</w:t>
            </w:r>
          </w:p>
          <w:p w14:paraId="72D04222">
            <w:pPr>
              <w:pStyle w:val="23"/>
              <w:numPr>
                <w:ilvl w:val="0"/>
                <w:numId w:val="15"/>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IRB主席的同意；</w:t>
            </w:r>
          </w:p>
          <w:p w14:paraId="0C9620F2">
            <w:pPr>
              <w:pStyle w:val="23"/>
              <w:numPr>
                <w:ilvl w:val="0"/>
                <w:numId w:val="15"/>
              </w:numPr>
              <w:tabs>
                <w:tab w:val="left" w:pos="360"/>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机构许可；以及</w:t>
            </w:r>
          </w:p>
          <w:p w14:paraId="18025B9B">
            <w:pPr>
              <w:pStyle w:val="23"/>
              <w:numPr>
                <w:ilvl w:val="0"/>
                <w:numId w:val="15"/>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知情同意</w:t>
            </w:r>
          </w:p>
        </w:tc>
      </w:tr>
      <w:tr w14:paraId="6425F871">
        <w:tblPrEx>
          <w:tblCellMar>
            <w:top w:w="0" w:type="dxa"/>
            <w:left w:w="108" w:type="dxa"/>
            <w:bottom w:w="0" w:type="dxa"/>
            <w:right w:w="108" w:type="dxa"/>
          </w:tblCellMar>
        </w:tblPrEx>
        <w:tc>
          <w:tcPr>
            <w:tcW w:w="523" w:type="pct"/>
            <w:tcBorders>
              <w:top w:val="single" w:color="000000" w:sz="6" w:space="0"/>
              <w:left w:val="single" w:color="000000" w:sz="16" w:space="0"/>
              <w:bottom w:val="single" w:color="000000" w:sz="6" w:space="0"/>
              <w:right w:val="single" w:color="000000" w:sz="16" w:space="0"/>
            </w:tcBorders>
          </w:tcPr>
          <w:p w14:paraId="394DCA38">
            <w:pPr>
              <w:pStyle w:val="23"/>
              <w:snapToGrid w:val="0"/>
              <w:spacing w:before="12" w:beforeLines="5"/>
              <w:jc w:val="both"/>
              <w:rPr>
                <w:rFonts w:ascii="Arial" w:hAnsi="Arial" w:eastAsia="宋体" w:cs="Arial"/>
                <w:sz w:val="21"/>
                <w:szCs w:val="21"/>
              </w:rPr>
            </w:pPr>
            <w:r>
              <w:rPr>
                <w:rFonts w:ascii="Arial" w:hAnsi="Arial" w:eastAsia="宋体" w:cs="Arial"/>
                <w:sz w:val="21"/>
                <w:szCs w:val="21"/>
              </w:rPr>
              <w:t>同情使用</w:t>
            </w:r>
          </w:p>
        </w:tc>
        <w:tc>
          <w:tcPr>
            <w:tcW w:w="643" w:type="pct"/>
            <w:tcBorders>
              <w:top w:val="single" w:color="000000" w:sz="6" w:space="0"/>
              <w:left w:val="single" w:color="000000" w:sz="16" w:space="0"/>
              <w:bottom w:val="single" w:color="000000" w:sz="6" w:space="0"/>
              <w:right w:val="single" w:color="000000" w:sz="6" w:space="0"/>
            </w:tcBorders>
          </w:tcPr>
          <w:p w14:paraId="7F268087">
            <w:pPr>
              <w:pStyle w:val="23"/>
              <w:snapToGrid w:val="0"/>
              <w:spacing w:before="12" w:beforeLines="5"/>
              <w:jc w:val="both"/>
              <w:rPr>
                <w:rFonts w:ascii="Arial" w:hAnsi="Arial" w:eastAsia="宋体" w:cs="Arial"/>
                <w:sz w:val="21"/>
                <w:szCs w:val="21"/>
              </w:rPr>
            </w:pPr>
            <w:r>
              <w:rPr>
                <w:rFonts w:ascii="Arial" w:hAnsi="Arial" w:eastAsia="宋体" w:cs="Arial"/>
                <w:sz w:val="21"/>
                <w:szCs w:val="21"/>
              </w:rPr>
              <w:t>21 CFR 812.35(a)</w:t>
            </w:r>
          </w:p>
        </w:tc>
        <w:tc>
          <w:tcPr>
            <w:tcW w:w="678" w:type="pct"/>
            <w:tcBorders>
              <w:top w:val="single" w:color="000000" w:sz="6" w:space="0"/>
              <w:left w:val="single" w:color="000000" w:sz="6" w:space="0"/>
              <w:bottom w:val="single" w:color="000000" w:sz="6" w:space="0"/>
              <w:right w:val="single" w:color="000000" w:sz="6" w:space="0"/>
            </w:tcBorders>
          </w:tcPr>
          <w:p w14:paraId="2C4B9BF9">
            <w:pPr>
              <w:pStyle w:val="23"/>
              <w:numPr>
                <w:ilvl w:val="0"/>
                <w:numId w:val="16"/>
              </w:numPr>
              <w:tabs>
                <w:tab w:val="left" w:pos="362"/>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严重疾病或病症以及</w:t>
            </w:r>
          </w:p>
          <w:p w14:paraId="31630E10">
            <w:pPr>
              <w:pStyle w:val="23"/>
              <w:numPr>
                <w:ilvl w:val="0"/>
                <w:numId w:val="16"/>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无替代疗法。</w:t>
            </w:r>
          </w:p>
        </w:tc>
        <w:tc>
          <w:tcPr>
            <w:tcW w:w="525" w:type="pct"/>
            <w:tcBorders>
              <w:top w:val="single" w:color="000000" w:sz="6" w:space="0"/>
              <w:left w:val="single" w:color="000000" w:sz="6" w:space="0"/>
              <w:bottom w:val="single" w:color="000000" w:sz="6" w:space="0"/>
              <w:right w:val="single" w:color="000000" w:sz="6" w:space="0"/>
            </w:tcBorders>
          </w:tcPr>
          <w:p w14:paraId="1E8E2615">
            <w:pPr>
              <w:pStyle w:val="23"/>
              <w:snapToGrid w:val="0"/>
              <w:spacing w:before="12" w:beforeLines="5"/>
              <w:jc w:val="both"/>
              <w:rPr>
                <w:rFonts w:ascii="Arial" w:hAnsi="Arial" w:eastAsia="宋体" w:cs="Arial"/>
                <w:sz w:val="21"/>
                <w:szCs w:val="21"/>
              </w:rPr>
            </w:pPr>
            <w:r>
              <w:rPr>
                <w:rFonts w:ascii="Arial" w:hAnsi="Arial" w:eastAsia="宋体" w:cs="Arial"/>
                <w:sz w:val="21"/>
                <w:szCs w:val="21"/>
              </w:rPr>
              <w:t>临床实验期间</w:t>
            </w:r>
          </w:p>
        </w:tc>
        <w:tc>
          <w:tcPr>
            <w:tcW w:w="569" w:type="pct"/>
            <w:tcBorders>
              <w:top w:val="single" w:color="000000" w:sz="6" w:space="0"/>
              <w:left w:val="single" w:color="000000" w:sz="6" w:space="0"/>
              <w:bottom w:val="single" w:color="000000" w:sz="6" w:space="0"/>
              <w:right w:val="single" w:color="000000" w:sz="6" w:space="0"/>
            </w:tcBorders>
          </w:tcPr>
          <w:p w14:paraId="66938653">
            <w:pPr>
              <w:pStyle w:val="23"/>
              <w:snapToGrid w:val="0"/>
              <w:spacing w:before="12" w:beforeLines="5"/>
              <w:jc w:val="both"/>
              <w:rPr>
                <w:rFonts w:ascii="Arial" w:hAnsi="Arial" w:eastAsia="宋体" w:cs="Arial"/>
                <w:sz w:val="21"/>
                <w:szCs w:val="21"/>
              </w:rPr>
            </w:pPr>
            <w:r>
              <w:rPr>
                <w:rFonts w:ascii="Arial" w:hAnsi="Arial" w:eastAsia="宋体" w:cs="Arial"/>
                <w:sz w:val="21"/>
                <w:szCs w:val="21"/>
              </w:rPr>
              <w:t>个体患者或小型患者群体</w:t>
            </w:r>
          </w:p>
        </w:tc>
        <w:tc>
          <w:tcPr>
            <w:tcW w:w="387" w:type="pct"/>
            <w:tcBorders>
              <w:top w:val="single" w:color="000000" w:sz="6" w:space="0"/>
              <w:left w:val="single" w:color="000000" w:sz="6" w:space="0"/>
              <w:bottom w:val="single" w:color="000000" w:sz="6" w:space="0"/>
              <w:right w:val="single" w:color="000000" w:sz="6" w:space="0"/>
            </w:tcBorders>
          </w:tcPr>
          <w:p w14:paraId="6448A923">
            <w:pPr>
              <w:pStyle w:val="23"/>
              <w:snapToGrid w:val="0"/>
              <w:spacing w:before="12" w:beforeLines="5"/>
              <w:jc w:val="both"/>
              <w:rPr>
                <w:rFonts w:ascii="Arial" w:hAnsi="Arial" w:eastAsia="宋体" w:cs="Arial"/>
                <w:sz w:val="21"/>
                <w:szCs w:val="21"/>
              </w:rPr>
            </w:pPr>
            <w:r>
              <w:rPr>
                <w:rFonts w:ascii="Arial" w:hAnsi="Arial" w:eastAsia="宋体" w:cs="Arial"/>
                <w:sz w:val="21"/>
                <w:szCs w:val="21"/>
              </w:rPr>
              <w:t>是</w:t>
            </w:r>
          </w:p>
        </w:tc>
        <w:tc>
          <w:tcPr>
            <w:tcW w:w="870" w:type="pct"/>
            <w:tcBorders>
              <w:top w:val="single" w:color="000000" w:sz="6" w:space="0"/>
              <w:left w:val="single" w:color="000000" w:sz="6" w:space="0"/>
              <w:bottom w:val="single" w:color="000000" w:sz="6" w:space="0"/>
              <w:right w:val="single" w:color="000000" w:sz="6" w:space="0"/>
            </w:tcBorders>
          </w:tcPr>
          <w:p w14:paraId="75DC997A">
            <w:pPr>
              <w:pStyle w:val="23"/>
              <w:snapToGrid w:val="0"/>
              <w:spacing w:before="12" w:beforeLines="5"/>
              <w:jc w:val="both"/>
              <w:rPr>
                <w:rFonts w:ascii="Arial" w:hAnsi="Arial" w:eastAsia="宋体" w:cs="Arial"/>
                <w:sz w:val="21"/>
                <w:szCs w:val="21"/>
              </w:rPr>
            </w:pPr>
            <w:r>
              <w:rPr>
                <w:rFonts w:ascii="Arial" w:hAnsi="Arial" w:eastAsia="宋体" w:cs="Arial"/>
                <w:sz w:val="21"/>
                <w:szCs w:val="21"/>
              </w:rPr>
              <w:t>IDE补充文件以及；</w:t>
            </w:r>
          </w:p>
          <w:p w14:paraId="37EB8417">
            <w:pPr>
              <w:pStyle w:val="23"/>
              <w:numPr>
                <w:ilvl w:val="0"/>
                <w:numId w:val="17"/>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需要使用器械的情况说明；</w:t>
            </w:r>
          </w:p>
          <w:p w14:paraId="08C4E7ED">
            <w:pPr>
              <w:pStyle w:val="23"/>
              <w:numPr>
                <w:ilvl w:val="0"/>
                <w:numId w:val="17"/>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替代疗法不可接受的</w:t>
            </w:r>
          </w:p>
          <w:p w14:paraId="64F8D117">
            <w:pPr>
              <w:pStyle w:val="23"/>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原因；</w:t>
            </w:r>
          </w:p>
          <w:p w14:paraId="03B50524">
            <w:pPr>
              <w:pStyle w:val="23"/>
              <w:numPr>
                <w:ilvl w:val="0"/>
                <w:numId w:val="17"/>
              </w:numPr>
              <w:tabs>
                <w:tab w:val="left" w:pos="357"/>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方案偏离（如果有）；以及</w:t>
            </w:r>
          </w:p>
          <w:p w14:paraId="0AD38153">
            <w:pPr>
              <w:pStyle w:val="23"/>
              <w:numPr>
                <w:ilvl w:val="0"/>
                <w:numId w:val="17"/>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患者保护措施。</w:t>
            </w:r>
          </w:p>
        </w:tc>
        <w:tc>
          <w:tcPr>
            <w:tcW w:w="805" w:type="pct"/>
            <w:tcBorders>
              <w:top w:val="single" w:color="000000" w:sz="6" w:space="0"/>
              <w:left w:val="single" w:color="000000" w:sz="6" w:space="0"/>
              <w:bottom w:val="single" w:color="000000" w:sz="6" w:space="0"/>
              <w:right w:val="single" w:color="000000" w:sz="16" w:space="0"/>
            </w:tcBorders>
          </w:tcPr>
          <w:p w14:paraId="4637DAEE">
            <w:pPr>
              <w:pStyle w:val="23"/>
              <w:numPr>
                <w:ilvl w:val="0"/>
                <w:numId w:val="18"/>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未参与研究医生的独立评估</w:t>
            </w:r>
          </w:p>
          <w:p w14:paraId="7F48C374">
            <w:pPr>
              <w:pStyle w:val="23"/>
              <w:numPr>
                <w:ilvl w:val="0"/>
                <w:numId w:val="18"/>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IRB主席的同意；</w:t>
            </w:r>
          </w:p>
          <w:p w14:paraId="20A72019">
            <w:pPr>
              <w:pStyle w:val="23"/>
              <w:numPr>
                <w:ilvl w:val="0"/>
                <w:numId w:val="18"/>
              </w:numPr>
              <w:tabs>
                <w:tab w:val="left" w:pos="360"/>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机构许可；以及</w:t>
            </w:r>
          </w:p>
          <w:p w14:paraId="62E51F46">
            <w:pPr>
              <w:pStyle w:val="23"/>
              <w:numPr>
                <w:ilvl w:val="0"/>
                <w:numId w:val="18"/>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知情同意。</w:t>
            </w:r>
          </w:p>
        </w:tc>
      </w:tr>
      <w:tr w14:paraId="69552A5D">
        <w:tblPrEx>
          <w:tblCellMar>
            <w:top w:w="0" w:type="dxa"/>
            <w:left w:w="108" w:type="dxa"/>
            <w:bottom w:w="0" w:type="dxa"/>
            <w:right w:w="108" w:type="dxa"/>
          </w:tblCellMar>
        </w:tblPrEx>
        <w:tc>
          <w:tcPr>
            <w:tcW w:w="523" w:type="pct"/>
            <w:tcBorders>
              <w:top w:val="single" w:color="000000" w:sz="6" w:space="0"/>
              <w:left w:val="single" w:color="000000" w:sz="16" w:space="0"/>
              <w:bottom w:val="single" w:color="000000" w:sz="16" w:space="0"/>
              <w:right w:val="single" w:color="000000" w:sz="16" w:space="0"/>
            </w:tcBorders>
          </w:tcPr>
          <w:p w14:paraId="17B08AA4">
            <w:pPr>
              <w:pStyle w:val="23"/>
              <w:snapToGrid w:val="0"/>
              <w:spacing w:before="12" w:beforeLines="5"/>
              <w:jc w:val="both"/>
              <w:rPr>
                <w:rFonts w:ascii="Arial" w:hAnsi="Arial" w:eastAsia="宋体" w:cs="Arial"/>
                <w:sz w:val="21"/>
                <w:szCs w:val="21"/>
              </w:rPr>
            </w:pPr>
            <w:r>
              <w:rPr>
                <w:rFonts w:ascii="Arial" w:hAnsi="Arial" w:eastAsia="宋体" w:cs="Arial"/>
                <w:sz w:val="21"/>
                <w:szCs w:val="21"/>
              </w:rPr>
              <w:t>治疗IDE</w:t>
            </w:r>
          </w:p>
        </w:tc>
        <w:tc>
          <w:tcPr>
            <w:tcW w:w="643" w:type="pct"/>
            <w:tcBorders>
              <w:top w:val="single" w:color="000000" w:sz="6" w:space="0"/>
              <w:left w:val="single" w:color="000000" w:sz="16" w:space="0"/>
              <w:bottom w:val="single" w:color="000000" w:sz="16" w:space="0"/>
              <w:right w:val="single" w:color="000000" w:sz="6" w:space="0"/>
            </w:tcBorders>
          </w:tcPr>
          <w:p w14:paraId="555B38F3">
            <w:pPr>
              <w:pStyle w:val="23"/>
              <w:snapToGrid w:val="0"/>
              <w:spacing w:before="12" w:beforeLines="5"/>
              <w:jc w:val="both"/>
              <w:rPr>
                <w:rFonts w:ascii="Arial" w:hAnsi="Arial" w:eastAsia="宋体" w:cs="Arial"/>
                <w:sz w:val="21"/>
                <w:szCs w:val="21"/>
              </w:rPr>
            </w:pPr>
            <w:r>
              <w:rPr>
                <w:rFonts w:ascii="Arial" w:hAnsi="Arial" w:eastAsia="宋体" w:cs="Arial"/>
                <w:sz w:val="21"/>
                <w:szCs w:val="21"/>
              </w:rPr>
              <w:t>21 CFR 812.36。</w:t>
            </w:r>
          </w:p>
        </w:tc>
        <w:tc>
          <w:tcPr>
            <w:tcW w:w="678" w:type="pct"/>
            <w:tcBorders>
              <w:top w:val="single" w:color="000000" w:sz="6" w:space="0"/>
              <w:left w:val="single" w:color="000000" w:sz="6" w:space="0"/>
              <w:bottom w:val="single" w:color="000000" w:sz="16" w:space="0"/>
              <w:right w:val="single" w:color="000000" w:sz="6" w:space="0"/>
            </w:tcBorders>
          </w:tcPr>
          <w:p w14:paraId="3647F6EB">
            <w:pPr>
              <w:pStyle w:val="23"/>
              <w:numPr>
                <w:ilvl w:val="0"/>
                <w:numId w:val="19"/>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致命性或严重疾病；</w:t>
            </w:r>
          </w:p>
          <w:p w14:paraId="3A76D940">
            <w:pPr>
              <w:pStyle w:val="23"/>
              <w:numPr>
                <w:ilvl w:val="0"/>
                <w:numId w:val="19"/>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无替代疗法；</w:t>
            </w:r>
          </w:p>
          <w:p w14:paraId="68908551">
            <w:pPr>
              <w:pStyle w:val="23"/>
              <w:numPr>
                <w:ilvl w:val="0"/>
                <w:numId w:val="19"/>
              </w:numPr>
              <w:tabs>
                <w:tab w:val="left" w:pos="364"/>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受控临床实验；以及</w:t>
            </w:r>
          </w:p>
          <w:p w14:paraId="569A1542">
            <w:pPr>
              <w:pStyle w:val="23"/>
              <w:numPr>
                <w:ilvl w:val="0"/>
                <w:numId w:val="19"/>
              </w:numPr>
              <w:tabs>
                <w:tab w:val="left" w:pos="363"/>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申办方寻求上市批准。</w:t>
            </w:r>
          </w:p>
        </w:tc>
        <w:tc>
          <w:tcPr>
            <w:tcW w:w="525" w:type="pct"/>
            <w:tcBorders>
              <w:top w:val="single" w:color="000000" w:sz="6" w:space="0"/>
              <w:left w:val="single" w:color="000000" w:sz="6" w:space="0"/>
              <w:bottom w:val="single" w:color="000000" w:sz="16" w:space="0"/>
              <w:right w:val="single" w:color="000000" w:sz="6" w:space="0"/>
            </w:tcBorders>
          </w:tcPr>
          <w:p w14:paraId="6B5F33AF">
            <w:pPr>
              <w:pStyle w:val="23"/>
              <w:snapToGrid w:val="0"/>
              <w:spacing w:before="12" w:beforeLines="5"/>
              <w:jc w:val="both"/>
              <w:rPr>
                <w:rFonts w:ascii="Arial" w:hAnsi="Arial" w:eastAsia="宋体" w:cs="Arial"/>
                <w:sz w:val="21"/>
                <w:szCs w:val="21"/>
              </w:rPr>
            </w:pPr>
            <w:r>
              <w:rPr>
                <w:rFonts w:ascii="Arial" w:hAnsi="Arial" w:eastAsia="宋体" w:cs="Arial"/>
                <w:sz w:val="21"/>
                <w:szCs w:val="21"/>
              </w:rPr>
              <w:t>临床实验期间</w:t>
            </w:r>
          </w:p>
        </w:tc>
        <w:tc>
          <w:tcPr>
            <w:tcW w:w="569" w:type="pct"/>
            <w:tcBorders>
              <w:top w:val="single" w:color="000000" w:sz="6" w:space="0"/>
              <w:left w:val="single" w:color="000000" w:sz="6" w:space="0"/>
              <w:bottom w:val="single" w:color="000000" w:sz="16" w:space="0"/>
              <w:right w:val="single" w:color="000000" w:sz="6" w:space="0"/>
            </w:tcBorders>
          </w:tcPr>
          <w:p w14:paraId="489D425F">
            <w:pPr>
              <w:pStyle w:val="23"/>
              <w:snapToGrid w:val="0"/>
              <w:spacing w:before="12" w:beforeLines="5"/>
              <w:jc w:val="both"/>
              <w:rPr>
                <w:rFonts w:ascii="Arial" w:hAnsi="Arial" w:eastAsia="宋体" w:cs="Arial"/>
                <w:sz w:val="21"/>
                <w:szCs w:val="21"/>
              </w:rPr>
            </w:pPr>
            <w:r>
              <w:rPr>
                <w:rFonts w:ascii="Arial" w:hAnsi="Arial" w:eastAsia="宋体" w:cs="Arial"/>
                <w:sz w:val="21"/>
                <w:szCs w:val="21"/>
              </w:rPr>
              <w:t>广泛使用；取决于患者/医师需求</w:t>
            </w:r>
          </w:p>
        </w:tc>
        <w:tc>
          <w:tcPr>
            <w:tcW w:w="387" w:type="pct"/>
            <w:tcBorders>
              <w:top w:val="single" w:color="000000" w:sz="6" w:space="0"/>
              <w:left w:val="single" w:color="000000" w:sz="6" w:space="0"/>
              <w:bottom w:val="single" w:color="000000" w:sz="16" w:space="0"/>
              <w:right w:val="single" w:color="000000" w:sz="6" w:space="0"/>
            </w:tcBorders>
          </w:tcPr>
          <w:p w14:paraId="3D268452">
            <w:pPr>
              <w:pStyle w:val="23"/>
              <w:snapToGrid w:val="0"/>
              <w:spacing w:before="12" w:beforeLines="5"/>
              <w:jc w:val="both"/>
              <w:rPr>
                <w:rFonts w:ascii="Arial" w:hAnsi="Arial" w:eastAsia="宋体" w:cs="Arial"/>
                <w:sz w:val="21"/>
                <w:szCs w:val="21"/>
              </w:rPr>
            </w:pPr>
            <w:r>
              <w:rPr>
                <w:rFonts w:ascii="Arial" w:hAnsi="Arial" w:eastAsia="宋体" w:cs="Arial"/>
                <w:sz w:val="21"/>
                <w:szCs w:val="21"/>
              </w:rPr>
              <w:t>是</w:t>
            </w:r>
          </w:p>
        </w:tc>
        <w:tc>
          <w:tcPr>
            <w:tcW w:w="870" w:type="pct"/>
            <w:tcBorders>
              <w:top w:val="single" w:color="000000" w:sz="6" w:space="0"/>
              <w:left w:val="single" w:color="000000" w:sz="6" w:space="0"/>
              <w:bottom w:val="single" w:color="000000" w:sz="16" w:space="0"/>
              <w:right w:val="single" w:color="000000" w:sz="6" w:space="0"/>
            </w:tcBorders>
          </w:tcPr>
          <w:p w14:paraId="4BF9818B">
            <w:pPr>
              <w:pStyle w:val="23"/>
              <w:snapToGrid w:val="0"/>
              <w:spacing w:before="12" w:beforeLines="5"/>
              <w:jc w:val="both"/>
              <w:rPr>
                <w:rFonts w:ascii="Arial" w:hAnsi="Arial" w:eastAsia="宋体" w:cs="Arial"/>
                <w:sz w:val="21"/>
                <w:szCs w:val="21"/>
              </w:rPr>
            </w:pPr>
            <w:r>
              <w:rPr>
                <w:rFonts w:ascii="Arial" w:hAnsi="Arial" w:eastAsia="宋体" w:cs="Arial"/>
                <w:sz w:val="21"/>
                <w:szCs w:val="21"/>
              </w:rPr>
              <w:t>治疗IDE补充文件以及；</w:t>
            </w:r>
          </w:p>
          <w:p w14:paraId="0A5EEA02">
            <w:pPr>
              <w:pStyle w:val="23"/>
              <w:numPr>
                <w:ilvl w:val="0"/>
                <w:numId w:val="20"/>
              </w:numPr>
              <w:tabs>
                <w:tab w:val="left" w:pos="357"/>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预期用途、方案和患者选择标准；</w:t>
            </w:r>
          </w:p>
          <w:p w14:paraId="26DB76B0">
            <w:pPr>
              <w:pStyle w:val="23"/>
              <w:numPr>
                <w:ilvl w:val="0"/>
                <w:numId w:val="20"/>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治疗使用理由</w:t>
            </w:r>
          </w:p>
          <w:p w14:paraId="5E63178C">
            <w:pPr>
              <w:pStyle w:val="23"/>
              <w:numPr>
                <w:ilvl w:val="0"/>
                <w:numId w:val="20"/>
              </w:numPr>
              <w:tabs>
                <w:tab w:val="left" w:pos="357"/>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用于评价器械用途和降低风险的方法；</w:t>
            </w:r>
          </w:p>
          <w:p w14:paraId="234D66F5">
            <w:pPr>
              <w:pStyle w:val="23"/>
              <w:numPr>
                <w:ilvl w:val="0"/>
                <w:numId w:val="20"/>
              </w:numPr>
              <w:tabs>
                <w:tab w:val="left" w:pos="360"/>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监督计划；</w:t>
            </w:r>
          </w:p>
          <w:p w14:paraId="6B20716B">
            <w:pPr>
              <w:pStyle w:val="23"/>
              <w:numPr>
                <w:ilvl w:val="0"/>
                <w:numId w:val="20"/>
              </w:numPr>
              <w:tabs>
                <w:tab w:val="left" w:pos="357"/>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安全性和有效性数据总结</w:t>
            </w:r>
          </w:p>
          <w:p w14:paraId="00450924">
            <w:pPr>
              <w:pStyle w:val="23"/>
              <w:numPr>
                <w:ilvl w:val="0"/>
                <w:numId w:val="20"/>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使用说明书和器械标签；</w:t>
            </w:r>
          </w:p>
          <w:p w14:paraId="5F6954C4">
            <w:pPr>
              <w:pStyle w:val="23"/>
              <w:numPr>
                <w:ilvl w:val="0"/>
                <w:numId w:val="20"/>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保护患者的承诺；</w:t>
            </w:r>
          </w:p>
          <w:p w14:paraId="45549707">
            <w:pPr>
              <w:pStyle w:val="23"/>
              <w:numPr>
                <w:ilvl w:val="0"/>
                <w:numId w:val="20"/>
              </w:numPr>
              <w:tabs>
                <w:tab w:val="left" w:pos="359"/>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研究者协议；以及</w:t>
            </w:r>
          </w:p>
        </w:tc>
        <w:tc>
          <w:tcPr>
            <w:tcW w:w="805" w:type="pct"/>
            <w:tcBorders>
              <w:top w:val="single" w:color="000000" w:sz="6" w:space="0"/>
              <w:left w:val="single" w:color="000000" w:sz="6" w:space="0"/>
              <w:bottom w:val="single" w:color="000000" w:sz="16" w:space="0"/>
              <w:right w:val="single" w:color="000000" w:sz="16" w:space="0"/>
            </w:tcBorders>
          </w:tcPr>
          <w:p w14:paraId="02C33F5B">
            <w:pPr>
              <w:pStyle w:val="23"/>
              <w:numPr>
                <w:ilvl w:val="0"/>
                <w:numId w:val="21"/>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IRB批准以及</w:t>
            </w:r>
          </w:p>
          <w:p w14:paraId="2E386CCB">
            <w:pPr>
              <w:pStyle w:val="23"/>
              <w:numPr>
                <w:ilvl w:val="0"/>
                <w:numId w:val="21"/>
              </w:numPr>
              <w:tabs>
                <w:tab w:val="left" w:pos="358"/>
              </w:tabs>
              <w:snapToGrid w:val="0"/>
              <w:spacing w:before="12" w:beforeLines="5"/>
              <w:ind w:left="220" w:hanging="220" w:hangingChars="105"/>
              <w:jc w:val="both"/>
              <w:rPr>
                <w:rFonts w:ascii="Arial" w:hAnsi="Arial" w:eastAsia="宋体" w:cs="Arial"/>
                <w:sz w:val="21"/>
                <w:szCs w:val="21"/>
              </w:rPr>
            </w:pPr>
            <w:r>
              <w:rPr>
                <w:rFonts w:ascii="Arial" w:hAnsi="Arial" w:eastAsia="宋体" w:cs="Arial"/>
                <w:sz w:val="21"/>
                <w:szCs w:val="21"/>
              </w:rPr>
              <w:t>知情同意。</w:t>
            </w:r>
          </w:p>
        </w:tc>
      </w:tr>
    </w:tbl>
    <w:p w14:paraId="2A6F6760">
      <w:pPr>
        <w:snapToGrid w:val="0"/>
        <w:spacing w:after="180" w:afterLines="75" w:line="300" w:lineRule="auto"/>
        <w:jc w:val="center"/>
        <w:rPr>
          <w:rFonts w:ascii="Arial" w:hAnsi="Arial" w:eastAsia="宋体" w:cs="Arial"/>
          <w:sz w:val="24"/>
          <w:szCs w:val="24"/>
        </w:rPr>
      </w:pPr>
      <w:r>
        <w:rPr>
          <w:rFonts w:ascii="Arial" w:hAnsi="Arial" w:eastAsia="宋体" w:cs="Arial"/>
          <w:b/>
          <w:sz w:val="24"/>
          <w:szCs w:val="24"/>
        </w:rPr>
        <w:t>未批准器械的扩大访问机制</w:t>
      </w:r>
    </w:p>
    <w:tbl>
      <w:tblPr>
        <w:tblStyle w:val="21"/>
        <w:tblW w:w="5000" w:type="pct"/>
        <w:tblInd w:w="0" w:type="dxa"/>
        <w:tblLayout w:type="autofit"/>
        <w:tblCellMar>
          <w:top w:w="0" w:type="dxa"/>
          <w:left w:w="108" w:type="dxa"/>
          <w:bottom w:w="0" w:type="dxa"/>
          <w:right w:w="108" w:type="dxa"/>
        </w:tblCellMar>
      </w:tblPr>
      <w:tblGrid>
        <w:gridCol w:w="1546"/>
        <w:gridCol w:w="1901"/>
        <w:gridCol w:w="2005"/>
        <w:gridCol w:w="1553"/>
        <w:gridCol w:w="1683"/>
        <w:gridCol w:w="1145"/>
        <w:gridCol w:w="2573"/>
        <w:gridCol w:w="2381"/>
      </w:tblGrid>
      <w:tr w14:paraId="1176794A">
        <w:tblPrEx>
          <w:tblCellMar>
            <w:top w:w="0" w:type="dxa"/>
            <w:left w:w="108" w:type="dxa"/>
            <w:bottom w:w="0" w:type="dxa"/>
            <w:right w:w="108" w:type="dxa"/>
          </w:tblCellMar>
        </w:tblPrEx>
        <w:tc>
          <w:tcPr>
            <w:tcW w:w="523" w:type="pct"/>
            <w:tcBorders>
              <w:top w:val="single" w:color="000000" w:sz="16" w:space="0"/>
              <w:left w:val="single" w:color="000000" w:sz="16" w:space="0"/>
              <w:bottom w:val="single" w:color="000000" w:sz="16" w:space="0"/>
              <w:right w:val="single" w:color="000000" w:sz="16" w:space="0"/>
            </w:tcBorders>
          </w:tcPr>
          <w:p w14:paraId="20F6B9D8">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扩大访问机制</w:t>
            </w:r>
          </w:p>
        </w:tc>
        <w:tc>
          <w:tcPr>
            <w:tcW w:w="643" w:type="pct"/>
            <w:tcBorders>
              <w:top w:val="single" w:color="000000" w:sz="16" w:space="0"/>
              <w:left w:val="single" w:color="000000" w:sz="16" w:space="0"/>
              <w:bottom w:val="single" w:color="000000" w:sz="16" w:space="0"/>
              <w:right w:val="single" w:color="000000" w:sz="6" w:space="0"/>
            </w:tcBorders>
          </w:tcPr>
          <w:p w14:paraId="36888B80">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法规授权</w:t>
            </w:r>
          </w:p>
        </w:tc>
        <w:tc>
          <w:tcPr>
            <w:tcW w:w="678" w:type="pct"/>
            <w:tcBorders>
              <w:top w:val="single" w:color="000000" w:sz="16" w:space="0"/>
              <w:left w:val="single" w:color="000000" w:sz="6" w:space="0"/>
              <w:bottom w:val="single" w:color="000000" w:sz="16" w:space="0"/>
              <w:right w:val="single" w:color="000000" w:sz="6" w:space="0"/>
            </w:tcBorders>
          </w:tcPr>
          <w:p w14:paraId="60AEBEAE">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使用标准</w:t>
            </w:r>
          </w:p>
        </w:tc>
        <w:tc>
          <w:tcPr>
            <w:tcW w:w="525" w:type="pct"/>
            <w:tcBorders>
              <w:top w:val="single" w:color="000000" w:sz="16" w:space="0"/>
              <w:left w:val="single" w:color="000000" w:sz="6" w:space="0"/>
              <w:bottom w:val="single" w:color="000000" w:sz="16" w:space="0"/>
              <w:right w:val="single" w:color="000000" w:sz="6" w:space="0"/>
            </w:tcBorders>
          </w:tcPr>
          <w:p w14:paraId="07A02B2C">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应用时间</w:t>
            </w:r>
          </w:p>
        </w:tc>
        <w:tc>
          <w:tcPr>
            <w:tcW w:w="569" w:type="pct"/>
            <w:tcBorders>
              <w:top w:val="single" w:color="000000" w:sz="16" w:space="0"/>
              <w:left w:val="single" w:color="000000" w:sz="6" w:space="0"/>
              <w:bottom w:val="single" w:color="000000" w:sz="16" w:space="0"/>
              <w:right w:val="single" w:color="000000" w:sz="6" w:space="0"/>
            </w:tcBorders>
          </w:tcPr>
          <w:p w14:paraId="61E47A69">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待治疗患者数量</w:t>
            </w:r>
          </w:p>
        </w:tc>
        <w:tc>
          <w:tcPr>
            <w:tcW w:w="387" w:type="pct"/>
            <w:tcBorders>
              <w:top w:val="single" w:color="000000" w:sz="16" w:space="0"/>
              <w:left w:val="single" w:color="000000" w:sz="6" w:space="0"/>
              <w:bottom w:val="single" w:color="000000" w:sz="16" w:space="0"/>
              <w:right w:val="single" w:color="000000" w:sz="6" w:space="0"/>
            </w:tcBorders>
          </w:tcPr>
          <w:p w14:paraId="1BCAFB0C">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FDA</w:t>
            </w:r>
          </w:p>
          <w:p w14:paraId="2BB2DB66">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是否需要FDA批准？</w:t>
            </w:r>
          </w:p>
        </w:tc>
        <w:tc>
          <w:tcPr>
            <w:tcW w:w="870" w:type="pct"/>
            <w:tcBorders>
              <w:top w:val="single" w:color="000000" w:sz="16" w:space="0"/>
              <w:left w:val="single" w:color="000000" w:sz="6" w:space="0"/>
              <w:bottom w:val="single" w:color="000000" w:sz="16" w:space="0"/>
              <w:right w:val="single" w:color="000000" w:sz="6" w:space="0"/>
            </w:tcBorders>
          </w:tcPr>
          <w:p w14:paraId="0CD1C2F4">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如何获得FDA批准？</w:t>
            </w:r>
          </w:p>
        </w:tc>
        <w:tc>
          <w:tcPr>
            <w:tcW w:w="805" w:type="pct"/>
            <w:tcBorders>
              <w:top w:val="single" w:color="000000" w:sz="16" w:space="0"/>
              <w:left w:val="single" w:color="000000" w:sz="6" w:space="0"/>
              <w:bottom w:val="single" w:color="000000" w:sz="16" w:space="0"/>
              <w:right w:val="single" w:color="000000" w:sz="16" w:space="0"/>
            </w:tcBorders>
          </w:tcPr>
          <w:p w14:paraId="1D8DC1A5">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患者保护措施</w:t>
            </w:r>
          </w:p>
        </w:tc>
      </w:tr>
      <w:tr w14:paraId="25E82C75">
        <w:tblPrEx>
          <w:tblCellMar>
            <w:top w:w="0" w:type="dxa"/>
            <w:left w:w="108" w:type="dxa"/>
            <w:bottom w:w="0" w:type="dxa"/>
            <w:right w:w="108" w:type="dxa"/>
          </w:tblCellMar>
        </w:tblPrEx>
        <w:tc>
          <w:tcPr>
            <w:tcW w:w="523" w:type="pct"/>
            <w:tcBorders>
              <w:top w:val="single" w:color="000000" w:sz="16" w:space="0"/>
              <w:left w:val="single" w:color="000000" w:sz="16" w:space="0"/>
              <w:bottom w:val="single" w:color="000000" w:sz="6" w:space="0"/>
              <w:right w:val="single" w:color="000000" w:sz="16" w:space="0"/>
            </w:tcBorders>
          </w:tcPr>
          <w:p w14:paraId="095399B1">
            <w:pPr>
              <w:snapToGrid w:val="0"/>
              <w:spacing w:before="24" w:beforeLines="10" w:line="276" w:lineRule="auto"/>
              <w:rPr>
                <w:rFonts w:ascii="Arial" w:hAnsi="Arial" w:eastAsia="宋体" w:cs="Arial"/>
                <w:sz w:val="21"/>
                <w:szCs w:val="21"/>
              </w:rPr>
            </w:pPr>
          </w:p>
        </w:tc>
        <w:tc>
          <w:tcPr>
            <w:tcW w:w="643" w:type="pct"/>
            <w:tcBorders>
              <w:top w:val="single" w:color="000000" w:sz="16" w:space="0"/>
              <w:left w:val="single" w:color="000000" w:sz="16" w:space="0"/>
              <w:bottom w:val="single" w:color="000000" w:sz="6" w:space="0"/>
              <w:right w:val="single" w:color="000000" w:sz="6" w:space="0"/>
            </w:tcBorders>
          </w:tcPr>
          <w:p w14:paraId="11E3DC26">
            <w:pPr>
              <w:snapToGrid w:val="0"/>
              <w:spacing w:before="24" w:beforeLines="10" w:line="276" w:lineRule="auto"/>
              <w:rPr>
                <w:rFonts w:ascii="Arial" w:hAnsi="Arial" w:eastAsia="宋体" w:cs="Arial"/>
                <w:sz w:val="21"/>
                <w:szCs w:val="21"/>
              </w:rPr>
            </w:pPr>
          </w:p>
        </w:tc>
        <w:tc>
          <w:tcPr>
            <w:tcW w:w="678" w:type="pct"/>
            <w:tcBorders>
              <w:top w:val="single" w:color="000000" w:sz="16" w:space="0"/>
              <w:left w:val="single" w:color="000000" w:sz="6" w:space="0"/>
              <w:bottom w:val="single" w:color="000000" w:sz="6" w:space="0"/>
              <w:right w:val="single" w:color="000000" w:sz="6" w:space="0"/>
            </w:tcBorders>
          </w:tcPr>
          <w:p w14:paraId="4D0657D1">
            <w:pPr>
              <w:snapToGrid w:val="0"/>
              <w:spacing w:before="24" w:beforeLines="10" w:line="276" w:lineRule="auto"/>
              <w:rPr>
                <w:rFonts w:ascii="Arial" w:hAnsi="Arial" w:eastAsia="宋体" w:cs="Arial"/>
                <w:sz w:val="21"/>
                <w:szCs w:val="21"/>
              </w:rPr>
            </w:pPr>
          </w:p>
        </w:tc>
        <w:tc>
          <w:tcPr>
            <w:tcW w:w="525" w:type="pct"/>
            <w:tcBorders>
              <w:top w:val="single" w:color="000000" w:sz="16" w:space="0"/>
              <w:left w:val="single" w:color="000000" w:sz="6" w:space="0"/>
              <w:bottom w:val="single" w:color="000000" w:sz="6" w:space="0"/>
              <w:right w:val="single" w:color="000000" w:sz="6" w:space="0"/>
            </w:tcBorders>
          </w:tcPr>
          <w:p w14:paraId="66C873D2">
            <w:pPr>
              <w:snapToGrid w:val="0"/>
              <w:spacing w:before="24" w:beforeLines="10" w:line="276" w:lineRule="auto"/>
              <w:rPr>
                <w:rFonts w:ascii="Arial" w:hAnsi="Arial" w:eastAsia="宋体" w:cs="Arial"/>
                <w:sz w:val="21"/>
                <w:szCs w:val="21"/>
              </w:rPr>
            </w:pPr>
          </w:p>
        </w:tc>
        <w:tc>
          <w:tcPr>
            <w:tcW w:w="569" w:type="pct"/>
            <w:tcBorders>
              <w:top w:val="single" w:color="000000" w:sz="16" w:space="0"/>
              <w:left w:val="single" w:color="000000" w:sz="6" w:space="0"/>
              <w:bottom w:val="single" w:color="000000" w:sz="6" w:space="0"/>
              <w:right w:val="single" w:color="000000" w:sz="6" w:space="0"/>
            </w:tcBorders>
          </w:tcPr>
          <w:p w14:paraId="0765A960">
            <w:pPr>
              <w:snapToGrid w:val="0"/>
              <w:spacing w:before="24" w:beforeLines="10" w:line="276" w:lineRule="auto"/>
              <w:rPr>
                <w:rFonts w:ascii="Arial" w:hAnsi="Arial" w:eastAsia="宋体" w:cs="Arial"/>
                <w:sz w:val="21"/>
                <w:szCs w:val="21"/>
              </w:rPr>
            </w:pPr>
          </w:p>
        </w:tc>
        <w:tc>
          <w:tcPr>
            <w:tcW w:w="387" w:type="pct"/>
            <w:tcBorders>
              <w:top w:val="single" w:color="000000" w:sz="16" w:space="0"/>
              <w:left w:val="single" w:color="000000" w:sz="6" w:space="0"/>
              <w:bottom w:val="single" w:color="000000" w:sz="6" w:space="0"/>
              <w:right w:val="single" w:color="000000" w:sz="6" w:space="0"/>
            </w:tcBorders>
          </w:tcPr>
          <w:p w14:paraId="3E4B4DB9">
            <w:pPr>
              <w:snapToGrid w:val="0"/>
              <w:spacing w:before="24" w:beforeLines="10" w:line="276" w:lineRule="auto"/>
              <w:rPr>
                <w:rFonts w:ascii="Arial" w:hAnsi="Arial" w:eastAsia="宋体" w:cs="Arial"/>
                <w:sz w:val="21"/>
                <w:szCs w:val="21"/>
              </w:rPr>
            </w:pPr>
          </w:p>
        </w:tc>
        <w:tc>
          <w:tcPr>
            <w:tcW w:w="870" w:type="pct"/>
            <w:tcBorders>
              <w:top w:val="single" w:color="000000" w:sz="16" w:space="0"/>
              <w:left w:val="single" w:color="000000" w:sz="6" w:space="0"/>
              <w:bottom w:val="single" w:color="000000" w:sz="6" w:space="0"/>
              <w:right w:val="single" w:color="000000" w:sz="6" w:space="0"/>
            </w:tcBorders>
          </w:tcPr>
          <w:p w14:paraId="63BC627F">
            <w:pPr>
              <w:pStyle w:val="23"/>
              <w:numPr>
                <w:ilvl w:val="0"/>
                <w:numId w:val="20"/>
              </w:numPr>
              <w:tabs>
                <w:tab w:val="left" w:pos="359"/>
              </w:tabs>
              <w:snapToGrid w:val="0"/>
              <w:spacing w:before="24" w:beforeLines="10"/>
              <w:ind w:left="220" w:hanging="220" w:hangingChars="105"/>
              <w:jc w:val="both"/>
              <w:rPr>
                <w:rFonts w:ascii="Arial" w:hAnsi="Arial" w:eastAsia="宋体" w:cs="Arial"/>
                <w:sz w:val="21"/>
                <w:szCs w:val="21"/>
              </w:rPr>
            </w:pPr>
            <w:r>
              <w:rPr>
                <w:rFonts w:ascii="Arial" w:hAnsi="Arial" w:eastAsia="宋体" w:cs="Arial"/>
                <w:sz w:val="21"/>
                <w:szCs w:val="21"/>
              </w:rPr>
              <w:t>价格（如果用于销售）。</w:t>
            </w:r>
          </w:p>
        </w:tc>
        <w:tc>
          <w:tcPr>
            <w:tcW w:w="805" w:type="pct"/>
            <w:tcBorders>
              <w:top w:val="single" w:color="000000" w:sz="16" w:space="0"/>
              <w:left w:val="single" w:color="000000" w:sz="6" w:space="0"/>
              <w:bottom w:val="single" w:color="000000" w:sz="6" w:space="0"/>
              <w:right w:val="single" w:color="000000" w:sz="16" w:space="0"/>
            </w:tcBorders>
          </w:tcPr>
          <w:p w14:paraId="62F8F8A0">
            <w:pPr>
              <w:snapToGrid w:val="0"/>
              <w:spacing w:before="24" w:beforeLines="10" w:line="276" w:lineRule="auto"/>
              <w:rPr>
                <w:rFonts w:ascii="Arial" w:hAnsi="Arial" w:eastAsia="宋体" w:cs="Arial"/>
                <w:sz w:val="21"/>
                <w:szCs w:val="21"/>
              </w:rPr>
            </w:pPr>
          </w:p>
        </w:tc>
      </w:tr>
      <w:tr w14:paraId="4DBC5E0D">
        <w:tblPrEx>
          <w:tblCellMar>
            <w:top w:w="0" w:type="dxa"/>
            <w:left w:w="108" w:type="dxa"/>
            <w:bottom w:w="0" w:type="dxa"/>
            <w:right w:w="108" w:type="dxa"/>
          </w:tblCellMar>
        </w:tblPrEx>
        <w:tc>
          <w:tcPr>
            <w:tcW w:w="523" w:type="pct"/>
            <w:tcBorders>
              <w:top w:val="single" w:color="000000" w:sz="6" w:space="0"/>
              <w:left w:val="single" w:color="000000" w:sz="16" w:space="0"/>
              <w:bottom w:val="single" w:color="000000" w:sz="16" w:space="0"/>
              <w:right w:val="single" w:color="000000" w:sz="16" w:space="0"/>
            </w:tcBorders>
          </w:tcPr>
          <w:p w14:paraId="7F176F04">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继续使用</w:t>
            </w:r>
          </w:p>
        </w:tc>
        <w:tc>
          <w:tcPr>
            <w:tcW w:w="643" w:type="pct"/>
            <w:tcBorders>
              <w:top w:val="single" w:color="000000" w:sz="6" w:space="0"/>
              <w:left w:val="single" w:color="000000" w:sz="16" w:space="0"/>
              <w:bottom w:val="single" w:color="000000" w:sz="16" w:space="0"/>
              <w:right w:val="single" w:color="000000" w:sz="6" w:space="0"/>
            </w:tcBorders>
          </w:tcPr>
          <w:p w14:paraId="1B38A152">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《在PMA编制和审查期间继续使用研究器械》</w:t>
            </w:r>
          </w:p>
          <w:p w14:paraId="1A09718C">
            <w:pPr>
              <w:pStyle w:val="23"/>
              <w:snapToGrid w:val="0"/>
              <w:spacing w:before="24" w:beforeLines="10" w:line="276" w:lineRule="auto"/>
              <w:rPr>
                <w:rFonts w:ascii="Arial" w:hAnsi="Arial" w:eastAsia="宋体" w:cs="Arial"/>
                <w:sz w:val="21"/>
                <w:szCs w:val="21"/>
              </w:rPr>
            </w:pPr>
          </w:p>
          <w:p w14:paraId="5385AA38">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ODE蓝皮书IDE备忘录</w:t>
            </w:r>
          </w:p>
          <w:p w14:paraId="5CB90364">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#D96-1</w:t>
            </w:r>
          </w:p>
        </w:tc>
        <w:tc>
          <w:tcPr>
            <w:tcW w:w="678" w:type="pct"/>
            <w:tcBorders>
              <w:top w:val="single" w:color="000000" w:sz="6" w:space="0"/>
              <w:left w:val="single" w:color="000000" w:sz="6" w:space="0"/>
              <w:bottom w:val="single" w:color="000000" w:sz="16" w:space="0"/>
              <w:right w:val="single" w:color="000000" w:sz="6" w:space="0"/>
            </w:tcBorders>
          </w:tcPr>
          <w:p w14:paraId="0F335A66">
            <w:pPr>
              <w:pStyle w:val="23"/>
              <w:numPr>
                <w:ilvl w:val="0"/>
                <w:numId w:val="22"/>
              </w:numPr>
              <w:tabs>
                <w:tab w:val="left" w:pos="364"/>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公共健康需求；或</w:t>
            </w:r>
          </w:p>
          <w:p w14:paraId="2DFDAA2F">
            <w:pPr>
              <w:pStyle w:val="23"/>
              <w:numPr>
                <w:ilvl w:val="0"/>
                <w:numId w:val="22"/>
              </w:numPr>
              <w:tabs>
                <w:tab w:val="left" w:pos="364"/>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表明该器械有效，且未发现重大安全问题的初步证据。</w:t>
            </w:r>
          </w:p>
        </w:tc>
        <w:tc>
          <w:tcPr>
            <w:tcW w:w="525" w:type="pct"/>
            <w:tcBorders>
              <w:top w:val="single" w:color="000000" w:sz="6" w:space="0"/>
              <w:left w:val="single" w:color="000000" w:sz="6" w:space="0"/>
              <w:bottom w:val="single" w:color="000000" w:sz="16" w:space="0"/>
              <w:right w:val="single" w:color="000000" w:sz="6" w:space="0"/>
            </w:tcBorders>
          </w:tcPr>
          <w:p w14:paraId="0265C11C">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临床实验完成后</w:t>
            </w:r>
          </w:p>
        </w:tc>
        <w:tc>
          <w:tcPr>
            <w:tcW w:w="569" w:type="pct"/>
            <w:tcBorders>
              <w:top w:val="single" w:color="000000" w:sz="6" w:space="0"/>
              <w:left w:val="single" w:color="000000" w:sz="6" w:space="0"/>
              <w:bottom w:val="single" w:color="000000" w:sz="16" w:space="0"/>
              <w:right w:val="single" w:color="000000" w:sz="6" w:space="0"/>
            </w:tcBorders>
          </w:tcPr>
          <w:p w14:paraId="4D5608B0">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招募率与普通研究相同</w:t>
            </w:r>
          </w:p>
        </w:tc>
        <w:tc>
          <w:tcPr>
            <w:tcW w:w="387" w:type="pct"/>
            <w:tcBorders>
              <w:top w:val="single" w:color="000000" w:sz="6" w:space="0"/>
              <w:left w:val="single" w:color="000000" w:sz="6" w:space="0"/>
              <w:bottom w:val="single" w:color="000000" w:sz="16" w:space="0"/>
              <w:right w:val="single" w:color="000000" w:sz="6" w:space="0"/>
            </w:tcBorders>
          </w:tcPr>
          <w:p w14:paraId="5AA77B8A">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是</w:t>
            </w:r>
          </w:p>
        </w:tc>
        <w:tc>
          <w:tcPr>
            <w:tcW w:w="870" w:type="pct"/>
            <w:tcBorders>
              <w:top w:val="single" w:color="000000" w:sz="6" w:space="0"/>
              <w:left w:val="single" w:color="000000" w:sz="6" w:space="0"/>
              <w:bottom w:val="single" w:color="000000" w:sz="16" w:space="0"/>
              <w:right w:val="single" w:color="000000" w:sz="6" w:space="0"/>
            </w:tcBorders>
          </w:tcPr>
          <w:p w14:paraId="24C692FF">
            <w:pPr>
              <w:pStyle w:val="23"/>
              <w:snapToGrid w:val="0"/>
              <w:spacing w:before="24" w:beforeLines="10" w:line="276" w:lineRule="auto"/>
              <w:rPr>
                <w:rFonts w:ascii="Arial" w:hAnsi="Arial" w:eastAsia="宋体" w:cs="Arial"/>
                <w:sz w:val="21"/>
                <w:szCs w:val="21"/>
              </w:rPr>
            </w:pPr>
            <w:r>
              <w:rPr>
                <w:rFonts w:ascii="Arial" w:hAnsi="Arial" w:eastAsia="宋体" w:cs="Arial"/>
                <w:sz w:val="21"/>
                <w:szCs w:val="21"/>
              </w:rPr>
              <w:t>IDE补充文件以及；</w:t>
            </w:r>
          </w:p>
          <w:p w14:paraId="10D74DC7">
            <w:pPr>
              <w:pStyle w:val="23"/>
              <w:numPr>
                <w:ilvl w:val="0"/>
                <w:numId w:val="23"/>
              </w:numPr>
              <w:tabs>
                <w:tab w:val="left" w:pos="358"/>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预期研究说明；</w:t>
            </w:r>
          </w:p>
          <w:p w14:paraId="6849AF43">
            <w:pPr>
              <w:pStyle w:val="23"/>
              <w:numPr>
                <w:ilvl w:val="0"/>
                <w:numId w:val="23"/>
              </w:numPr>
              <w:tabs>
                <w:tab w:val="left" w:pos="356"/>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安全性和有效性数据总结和器械风险；</w:t>
            </w:r>
          </w:p>
          <w:p w14:paraId="6857D747">
            <w:pPr>
              <w:pStyle w:val="23"/>
              <w:numPr>
                <w:ilvl w:val="0"/>
                <w:numId w:val="23"/>
              </w:numPr>
              <w:tabs>
                <w:tab w:val="left" w:pos="358"/>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拟定招募率；</w:t>
            </w:r>
          </w:p>
          <w:p w14:paraId="21A70BAC">
            <w:pPr>
              <w:pStyle w:val="23"/>
              <w:numPr>
                <w:ilvl w:val="0"/>
                <w:numId w:val="23"/>
              </w:numPr>
              <w:tabs>
                <w:tab w:val="left" w:pos="359"/>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临床方案；以及</w:t>
            </w:r>
          </w:p>
          <w:p w14:paraId="2AF77966">
            <w:pPr>
              <w:pStyle w:val="23"/>
              <w:numPr>
                <w:ilvl w:val="0"/>
                <w:numId w:val="23"/>
              </w:numPr>
              <w:tabs>
                <w:tab w:val="left" w:pos="357"/>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上市批准的审批进展。</w:t>
            </w:r>
          </w:p>
        </w:tc>
        <w:tc>
          <w:tcPr>
            <w:tcW w:w="805" w:type="pct"/>
            <w:tcBorders>
              <w:top w:val="single" w:color="000000" w:sz="6" w:space="0"/>
              <w:left w:val="single" w:color="000000" w:sz="6" w:space="0"/>
              <w:bottom w:val="single" w:color="000000" w:sz="16" w:space="0"/>
              <w:right w:val="single" w:color="000000" w:sz="16" w:space="0"/>
            </w:tcBorders>
          </w:tcPr>
          <w:p w14:paraId="5D843AAD">
            <w:pPr>
              <w:pStyle w:val="23"/>
              <w:numPr>
                <w:ilvl w:val="0"/>
                <w:numId w:val="24"/>
              </w:numPr>
              <w:tabs>
                <w:tab w:val="left" w:pos="358"/>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IRB批准以及</w:t>
            </w:r>
          </w:p>
          <w:p w14:paraId="649D0866">
            <w:pPr>
              <w:pStyle w:val="23"/>
              <w:numPr>
                <w:ilvl w:val="0"/>
                <w:numId w:val="24"/>
              </w:numPr>
              <w:tabs>
                <w:tab w:val="left" w:pos="358"/>
              </w:tabs>
              <w:snapToGrid w:val="0"/>
              <w:spacing w:before="24" w:beforeLines="10" w:line="276" w:lineRule="auto"/>
              <w:ind w:left="246" w:hanging="245" w:hangingChars="117"/>
              <w:rPr>
                <w:rFonts w:ascii="Arial" w:hAnsi="Arial" w:eastAsia="宋体" w:cs="Arial"/>
                <w:sz w:val="21"/>
                <w:szCs w:val="21"/>
              </w:rPr>
            </w:pPr>
            <w:r>
              <w:rPr>
                <w:rFonts w:ascii="Arial" w:hAnsi="Arial" w:eastAsia="宋体" w:cs="Arial"/>
                <w:sz w:val="21"/>
                <w:szCs w:val="21"/>
              </w:rPr>
              <w:t>知情同意。</w:t>
            </w:r>
          </w:p>
        </w:tc>
      </w:tr>
    </w:tbl>
    <w:p w14:paraId="00E40C3B">
      <w:pPr>
        <w:snapToGrid w:val="0"/>
        <w:spacing w:before="36" w:beforeLines="15" w:after="180" w:afterLines="75" w:line="300" w:lineRule="auto"/>
        <w:jc w:val="both"/>
        <w:rPr>
          <w:rFonts w:ascii="Arial" w:hAnsi="Arial" w:eastAsia="宋体" w:cs="Arial"/>
          <w:sz w:val="21"/>
          <w:szCs w:val="21"/>
        </w:rPr>
      </w:pPr>
      <w:r>
        <w:rPr>
          <w:rFonts w:ascii="Arial" w:hAnsi="Arial" w:eastAsia="宋体" w:cs="Arial"/>
          <w:sz w:val="21"/>
          <w:szCs w:val="21"/>
          <w:vertAlign w:val="superscript"/>
        </w:rPr>
        <w:t>‡</w:t>
      </w:r>
      <w:r>
        <w:rPr>
          <w:rFonts w:ascii="Arial" w:hAnsi="Arial" w:eastAsia="宋体" w:cs="Arial"/>
          <w:sz w:val="21"/>
          <w:szCs w:val="21"/>
        </w:rPr>
        <w:t>实际上，FDA扩大了</w:t>
      </w:r>
      <w:r>
        <w:rPr>
          <w:rFonts w:ascii="宋体" w:hAnsi="宋体" w:eastAsia="宋体" w:cs="Arial"/>
          <w:sz w:val="21"/>
          <w:szCs w:val="21"/>
        </w:rPr>
        <w:t>“</w:t>
      </w:r>
      <w:r>
        <w:rPr>
          <w:rFonts w:ascii="Arial" w:hAnsi="Arial" w:eastAsia="宋体" w:cs="Arial"/>
          <w:sz w:val="21"/>
          <w:szCs w:val="21"/>
        </w:rPr>
        <w:t>致命性病症</w:t>
      </w:r>
      <w:r>
        <w:rPr>
          <w:rFonts w:ascii="宋体" w:hAnsi="宋体" w:eastAsia="宋体" w:cs="Arial"/>
          <w:sz w:val="21"/>
          <w:szCs w:val="21"/>
        </w:rPr>
        <w:t>”</w:t>
      </w:r>
      <w:r>
        <w:rPr>
          <w:rFonts w:ascii="Arial" w:hAnsi="Arial" w:eastAsia="宋体" w:cs="Arial"/>
          <w:sz w:val="21"/>
          <w:szCs w:val="21"/>
        </w:rPr>
        <w:t>标准的范围，使其涵盖危及视觉和危及肢体病症等严重病症以及涉及不可逆发病风险的其他情况。</w:t>
      </w:r>
    </w:p>
    <w:p w14:paraId="47A50E94">
      <w:pPr>
        <w:snapToGrid w:val="0"/>
        <w:spacing w:after="180" w:afterLines="75" w:line="300" w:lineRule="auto"/>
        <w:jc w:val="both"/>
        <w:rPr>
          <w:rFonts w:ascii="Arial" w:hAnsi="Arial" w:eastAsia="宋体" w:cs="Arial"/>
          <w:sz w:val="21"/>
          <w:szCs w:val="21"/>
        </w:rPr>
      </w:pPr>
      <w:r>
        <w:rPr>
          <w:rFonts w:ascii="Arial" w:hAnsi="Arial" w:eastAsia="宋体" w:cs="Arial"/>
          <w:sz w:val="21"/>
          <w:szCs w:val="21"/>
        </w:rPr>
        <w:t>有关上述表格的问题或其他信息，请致电联系IDE工作人员，电话：（301）594-1190。</w:t>
      </w:r>
    </w:p>
    <w:p w14:paraId="16ED1660">
      <w:pPr>
        <w:snapToGrid w:val="0"/>
        <w:spacing w:after="180" w:afterLines="75" w:line="300" w:lineRule="auto"/>
        <w:jc w:val="both"/>
        <w:rPr>
          <w:rFonts w:hint="eastAsia" w:eastAsia="宋体"/>
          <w:lang w:eastAsia="zh-CN"/>
        </w:rPr>
      </w:pPr>
    </w:p>
    <w:p w14:paraId="197F274C">
      <w:pPr>
        <w:snapToGrid w:val="0"/>
        <w:spacing w:after="180" w:afterLines="75" w:line="300" w:lineRule="auto"/>
        <w:jc w:val="center"/>
        <w:rPr>
          <w:rFonts w:hint="eastAsia" w:eastAsia="宋体"/>
          <w:lang w:eastAsia="zh-CN"/>
        </w:rPr>
      </w:pPr>
    </w:p>
    <w:p w14:paraId="00F9FC4A">
      <w:pPr>
        <w:snapToGrid w:val="0"/>
        <w:spacing w:after="180" w:afterLines="75"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6839" w:h="11907" w:orient="landscape"/>
      <w:pgMar w:top="1440" w:right="1134" w:bottom="1440" w:left="1134" w:header="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82B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91829"/>
      <w:docPartObj>
        <w:docPartGallery w:val="AutoText"/>
      </w:docPartObj>
    </w:sdtPr>
    <w:sdtEndPr>
      <w:rPr>
        <w:rFonts w:ascii="Arial" w:hAnsi="Arial" w:cs="Arial"/>
      </w:rPr>
    </w:sdtEndPr>
    <w:sdtContent>
      <w:p w14:paraId="2817D5A5">
        <w:pPr>
          <w:pStyle w:val="10"/>
          <w:spacing w:line="300" w:lineRule="auto"/>
          <w:jc w:val="center"/>
        </w:pPr>
      </w:p>
      <w:p w14:paraId="5EA42E4A">
        <w:pPr>
          <w:pStyle w:val="10"/>
          <w:spacing w:line="300" w:lineRule="auto"/>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ii</w:t>
        </w:r>
        <w:r>
          <w:rPr>
            <w:rFonts w:ascii="Arial" w:hAnsi="Arial" w:cs="Arial"/>
          </w:rPr>
          <w:fldChar w:fldCharType="end"/>
        </w:r>
      </w:p>
    </w:sdtContent>
  </w:sdt>
  <w:p w14:paraId="6B6652F7">
    <w:pPr>
      <w:pStyle w:val="10"/>
      <w:spacing w:line="300" w:lineRule="auto"/>
      <w:jc w:val="center"/>
    </w:pPr>
  </w:p>
  <w:p w14:paraId="2DFE516F">
    <w:pPr>
      <w:pStyle w:val="10"/>
      <w:spacing w:line="300" w:lineRule="auto"/>
      <w:jc w:val="center"/>
    </w:pPr>
  </w:p>
  <w:p w14:paraId="209DB640">
    <w:pPr>
      <w:pStyle w:val="10"/>
      <w:spacing w:line="30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97913"/>
      <w:docPartObj>
        <w:docPartGallery w:val="AutoText"/>
      </w:docPartObj>
    </w:sdtPr>
    <w:sdtEndPr>
      <w:rPr>
        <w:rFonts w:ascii="Arial" w:hAnsi="Arial" w:cs="Arial"/>
      </w:rPr>
    </w:sdtEndPr>
    <w:sdtContent>
      <w:p w14:paraId="1C7F9968">
        <w:pPr>
          <w:pStyle w:val="10"/>
          <w:spacing w:line="300" w:lineRule="auto"/>
          <w:jc w:val="center"/>
        </w:pPr>
      </w:p>
      <w:p w14:paraId="14EAEC26">
        <w:pPr>
          <w:pStyle w:val="10"/>
          <w:spacing w:line="300" w:lineRule="auto"/>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24</w:t>
        </w:r>
        <w:r>
          <w:rPr>
            <w:rFonts w:ascii="Arial" w:hAnsi="Arial" w:cs="Arial"/>
          </w:rPr>
          <w:fldChar w:fldCharType="end"/>
        </w:r>
      </w:p>
    </w:sdtContent>
  </w:sdt>
  <w:p w14:paraId="577F418A">
    <w:pPr>
      <w:pStyle w:val="10"/>
      <w:spacing w:line="300" w:lineRule="auto"/>
      <w:jc w:val="center"/>
    </w:pPr>
  </w:p>
  <w:p w14:paraId="28F3484C">
    <w:pPr>
      <w:pStyle w:val="10"/>
      <w:spacing w:line="300" w:lineRule="auto"/>
      <w:jc w:val="center"/>
    </w:pPr>
  </w:p>
  <w:p w14:paraId="12B009E9">
    <w:pPr>
      <w:pStyle w:val="10"/>
      <w:spacing w:line="300" w:lineRule="auto"/>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282382"/>
      <w:docPartObj>
        <w:docPartGallery w:val="AutoText"/>
      </w:docPartObj>
    </w:sdtPr>
    <w:sdtEndPr>
      <w:rPr>
        <w:rFonts w:ascii="Arial" w:hAnsi="Arial" w:cs="Arial"/>
      </w:rPr>
    </w:sdtEndPr>
    <w:sdtContent>
      <w:p w14:paraId="56F1F36E">
        <w:pPr>
          <w:pStyle w:val="10"/>
          <w:spacing w:line="300" w:lineRule="auto"/>
          <w:jc w:val="center"/>
        </w:pPr>
      </w:p>
      <w:p w14:paraId="09C8E324">
        <w:pPr>
          <w:pStyle w:val="10"/>
          <w:spacing w:line="300" w:lineRule="auto"/>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26</w:t>
        </w:r>
        <w:r>
          <w:rPr>
            <w:rFonts w:ascii="Arial" w:hAnsi="Arial" w:cs="Arial"/>
          </w:rPr>
          <w:fldChar w:fldCharType="end"/>
        </w:r>
      </w:p>
    </w:sdtContent>
  </w:sdt>
  <w:p w14:paraId="02C5A3D5">
    <w:pPr>
      <w:pStyle w:val="10"/>
      <w:spacing w:line="30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0AA34D6">
      <w:pPr>
        <w:pStyle w:val="14"/>
        <w:spacing w:line="300" w:lineRule="auto"/>
        <w:jc w:val="both"/>
        <w:rPr>
          <w:rFonts w:ascii="Arial" w:hAnsi="Arial" w:cs="Arial"/>
          <w:sz w:val="21"/>
          <w:szCs w:val="21"/>
        </w:rPr>
      </w:pPr>
      <w:r>
        <w:rPr>
          <w:rStyle w:val="20"/>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本文档旨在提供指导。其代表本机构目前关于该主题的思考。其不会为任何人创造或赋予任何权利，也不对FDA或公众具有约束力。如果替代方法满足适用的法律、法规或其两者的要求，可以使用替代方法。</w:t>
      </w:r>
    </w:p>
  </w:footnote>
  <w:footnote w:id="1">
    <w:p w14:paraId="3F1B14CB">
      <w:pPr>
        <w:pStyle w:val="14"/>
        <w:spacing w:line="300" w:lineRule="auto"/>
        <w:rPr>
          <w:rFonts w:ascii="Arial" w:hAnsi="Arial" w:cs="Arial"/>
          <w:sz w:val="21"/>
          <w:szCs w:val="21"/>
        </w:rPr>
      </w:pPr>
      <w:r>
        <w:rPr>
          <w:rStyle w:val="20"/>
          <w:rFonts w:ascii="Arial" w:hAnsi="Arial" w:cs="Arial"/>
          <w:sz w:val="21"/>
          <w:szCs w:val="21"/>
        </w:rPr>
        <w:t>†</w:t>
      </w:r>
      <w:r>
        <w:rPr>
          <w:rFonts w:ascii="Arial" w:hAnsi="Arial" w:cs="Arial"/>
          <w:sz w:val="21"/>
          <w:szCs w:val="21"/>
        </w:rPr>
        <w:t xml:space="preserve"> </w:t>
      </w:r>
      <w:r>
        <w:rPr>
          <w:rFonts w:ascii="Arial" w:hAnsi="Arial" w:eastAsia="宋体" w:cs="Arial"/>
          <w:sz w:val="21"/>
          <w:szCs w:val="21"/>
        </w:rPr>
        <w:t>实际上，FDA扩大了“致命性病症”标准的范围，使其涵盖危及视觉和危及肢体病症等严重疾病或病症以及涉及不可逆发病风险的其他情况。这符合新法律。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61263"/>
    <w:multiLevelType w:val="multilevel"/>
    <w:tmpl w:val="01D61263"/>
    <w:lvl w:ilvl="0" w:tentative="0">
      <w:start w:val="1"/>
      <w:numFmt w:val="decimal"/>
      <w:lvlText w:val="%1."/>
      <w:lvlJc w:val="left"/>
      <w:pPr>
        <w:ind w:left="364" w:hanging="259"/>
        <w:jc w:val="left"/>
      </w:pPr>
      <w:rPr>
        <w:rFonts w:hint="default" w:ascii="Arial" w:hAnsi="Arial" w:eastAsia="Times New Roman" w:cs="Arial"/>
        <w:w w:val="100"/>
        <w:sz w:val="21"/>
        <w:szCs w:val="21"/>
      </w:rPr>
    </w:lvl>
    <w:lvl w:ilvl="1" w:tentative="0">
      <w:start w:val="1"/>
      <w:numFmt w:val="bullet"/>
      <w:lvlText w:val="•"/>
      <w:lvlJc w:val="left"/>
      <w:pPr>
        <w:ind w:left="545" w:hanging="259"/>
      </w:pPr>
      <w:rPr>
        <w:rFonts w:hint="default"/>
      </w:rPr>
    </w:lvl>
    <w:lvl w:ilvl="2" w:tentative="0">
      <w:start w:val="1"/>
      <w:numFmt w:val="bullet"/>
      <w:lvlText w:val="•"/>
      <w:lvlJc w:val="left"/>
      <w:pPr>
        <w:ind w:left="731" w:hanging="259"/>
      </w:pPr>
      <w:rPr>
        <w:rFonts w:hint="default"/>
      </w:rPr>
    </w:lvl>
    <w:lvl w:ilvl="3" w:tentative="0">
      <w:start w:val="1"/>
      <w:numFmt w:val="bullet"/>
      <w:lvlText w:val="•"/>
      <w:lvlJc w:val="left"/>
      <w:pPr>
        <w:ind w:left="917" w:hanging="259"/>
      </w:pPr>
      <w:rPr>
        <w:rFonts w:hint="default"/>
      </w:rPr>
    </w:lvl>
    <w:lvl w:ilvl="4" w:tentative="0">
      <w:start w:val="1"/>
      <w:numFmt w:val="bullet"/>
      <w:lvlText w:val="•"/>
      <w:lvlJc w:val="left"/>
      <w:pPr>
        <w:ind w:left="1103" w:hanging="259"/>
      </w:pPr>
      <w:rPr>
        <w:rFonts w:hint="default"/>
      </w:rPr>
    </w:lvl>
    <w:lvl w:ilvl="5" w:tentative="0">
      <w:start w:val="1"/>
      <w:numFmt w:val="bullet"/>
      <w:lvlText w:val="•"/>
      <w:lvlJc w:val="left"/>
      <w:pPr>
        <w:ind w:left="1288" w:hanging="259"/>
      </w:pPr>
      <w:rPr>
        <w:rFonts w:hint="default"/>
      </w:rPr>
    </w:lvl>
    <w:lvl w:ilvl="6" w:tentative="0">
      <w:start w:val="1"/>
      <w:numFmt w:val="bullet"/>
      <w:lvlText w:val="•"/>
      <w:lvlJc w:val="left"/>
      <w:pPr>
        <w:ind w:left="1474" w:hanging="259"/>
      </w:pPr>
      <w:rPr>
        <w:rFonts w:hint="default"/>
      </w:rPr>
    </w:lvl>
    <w:lvl w:ilvl="7" w:tentative="0">
      <w:start w:val="1"/>
      <w:numFmt w:val="bullet"/>
      <w:lvlText w:val="•"/>
      <w:lvlJc w:val="left"/>
      <w:pPr>
        <w:ind w:left="1660" w:hanging="259"/>
      </w:pPr>
      <w:rPr>
        <w:rFonts w:hint="default"/>
      </w:rPr>
    </w:lvl>
    <w:lvl w:ilvl="8" w:tentative="0">
      <w:start w:val="1"/>
      <w:numFmt w:val="bullet"/>
      <w:lvlText w:val="•"/>
      <w:lvlJc w:val="left"/>
      <w:pPr>
        <w:ind w:left="1846" w:hanging="259"/>
      </w:pPr>
      <w:rPr>
        <w:rFonts w:hint="default"/>
      </w:rPr>
    </w:lvl>
  </w:abstractNum>
  <w:abstractNum w:abstractNumId="1">
    <w:nsid w:val="0F351CF7"/>
    <w:multiLevelType w:val="multilevel"/>
    <w:tmpl w:val="0F351CF7"/>
    <w:lvl w:ilvl="0" w:tentative="0">
      <w:start w:val="1"/>
      <w:numFmt w:val="decimal"/>
      <w:lvlText w:val="%1."/>
      <w:lvlJc w:val="left"/>
      <w:pPr>
        <w:ind w:left="369" w:hanging="256"/>
        <w:jc w:val="left"/>
      </w:pPr>
      <w:rPr>
        <w:rFonts w:hint="default" w:ascii="Arial" w:hAnsi="Arial" w:eastAsia="Times New Roman" w:cs="Arial"/>
        <w:spacing w:val="-1"/>
        <w:w w:val="100"/>
        <w:sz w:val="21"/>
        <w:szCs w:val="21"/>
      </w:rPr>
    </w:lvl>
    <w:lvl w:ilvl="1" w:tentative="0">
      <w:start w:val="1"/>
      <w:numFmt w:val="bullet"/>
      <w:lvlText w:val="•"/>
      <w:lvlJc w:val="left"/>
      <w:pPr>
        <w:ind w:left="511" w:hanging="256"/>
      </w:pPr>
      <w:rPr>
        <w:rFonts w:hint="default"/>
      </w:rPr>
    </w:lvl>
    <w:lvl w:ilvl="2" w:tentative="0">
      <w:start w:val="1"/>
      <w:numFmt w:val="bullet"/>
      <w:lvlText w:val="•"/>
      <w:lvlJc w:val="left"/>
      <w:pPr>
        <w:ind w:left="663" w:hanging="256"/>
      </w:pPr>
      <w:rPr>
        <w:rFonts w:hint="default"/>
      </w:rPr>
    </w:lvl>
    <w:lvl w:ilvl="3" w:tentative="0">
      <w:start w:val="1"/>
      <w:numFmt w:val="bullet"/>
      <w:lvlText w:val="•"/>
      <w:lvlJc w:val="left"/>
      <w:pPr>
        <w:ind w:left="815" w:hanging="256"/>
      </w:pPr>
      <w:rPr>
        <w:rFonts w:hint="default"/>
      </w:rPr>
    </w:lvl>
    <w:lvl w:ilvl="4" w:tentative="0">
      <w:start w:val="1"/>
      <w:numFmt w:val="bullet"/>
      <w:lvlText w:val="•"/>
      <w:lvlJc w:val="left"/>
      <w:pPr>
        <w:ind w:left="966" w:hanging="256"/>
      </w:pPr>
      <w:rPr>
        <w:rFonts w:hint="default"/>
      </w:rPr>
    </w:lvl>
    <w:lvl w:ilvl="5" w:tentative="0">
      <w:start w:val="1"/>
      <w:numFmt w:val="bullet"/>
      <w:lvlText w:val="•"/>
      <w:lvlJc w:val="left"/>
      <w:pPr>
        <w:ind w:left="1118" w:hanging="256"/>
      </w:pPr>
      <w:rPr>
        <w:rFonts w:hint="default"/>
      </w:rPr>
    </w:lvl>
    <w:lvl w:ilvl="6" w:tentative="0">
      <w:start w:val="1"/>
      <w:numFmt w:val="bullet"/>
      <w:lvlText w:val="•"/>
      <w:lvlJc w:val="left"/>
      <w:pPr>
        <w:ind w:left="1270" w:hanging="256"/>
      </w:pPr>
      <w:rPr>
        <w:rFonts w:hint="default"/>
      </w:rPr>
    </w:lvl>
    <w:lvl w:ilvl="7" w:tentative="0">
      <w:start w:val="1"/>
      <w:numFmt w:val="bullet"/>
      <w:lvlText w:val="•"/>
      <w:lvlJc w:val="left"/>
      <w:pPr>
        <w:ind w:left="1421" w:hanging="256"/>
      </w:pPr>
      <w:rPr>
        <w:rFonts w:hint="default"/>
      </w:rPr>
    </w:lvl>
    <w:lvl w:ilvl="8" w:tentative="0">
      <w:start w:val="1"/>
      <w:numFmt w:val="bullet"/>
      <w:lvlText w:val="•"/>
      <w:lvlJc w:val="left"/>
      <w:pPr>
        <w:ind w:left="1573" w:hanging="256"/>
      </w:pPr>
      <w:rPr>
        <w:rFonts w:hint="default"/>
      </w:rPr>
    </w:lvl>
  </w:abstractNum>
  <w:abstractNum w:abstractNumId="2">
    <w:nsid w:val="0F600DC6"/>
    <w:multiLevelType w:val="multilevel"/>
    <w:tmpl w:val="0F600DC6"/>
    <w:lvl w:ilvl="0" w:tentative="0">
      <w:start w:val="1"/>
      <w:numFmt w:val="decimal"/>
      <w:lvlText w:val="%1."/>
      <w:lvlJc w:val="left"/>
      <w:pPr>
        <w:ind w:left="820" w:hanging="360"/>
        <w:jc w:val="left"/>
      </w:pPr>
      <w:rPr>
        <w:rFonts w:hint="default" w:ascii="Arial" w:hAnsi="Arial" w:eastAsia="Times New Roman" w:cs="Arial"/>
        <w:spacing w:val="0"/>
        <w:w w:val="100"/>
        <w:sz w:val="24"/>
        <w:szCs w:val="24"/>
      </w:rPr>
    </w:lvl>
    <w:lvl w:ilvl="1" w:tentative="0">
      <w:start w:val="1"/>
      <w:numFmt w:val="bullet"/>
      <w:lvlText w:val="•"/>
      <w:lvlJc w:val="left"/>
      <w:pPr>
        <w:ind w:left="1696" w:hanging="360"/>
      </w:pPr>
      <w:rPr>
        <w:rFonts w:hint="default"/>
      </w:rPr>
    </w:lvl>
    <w:lvl w:ilvl="2" w:tentative="0">
      <w:start w:val="1"/>
      <w:numFmt w:val="bullet"/>
      <w:lvlText w:val="•"/>
      <w:lvlJc w:val="left"/>
      <w:pPr>
        <w:ind w:left="2572" w:hanging="360"/>
      </w:pPr>
      <w:rPr>
        <w:rFonts w:hint="default"/>
      </w:rPr>
    </w:lvl>
    <w:lvl w:ilvl="3" w:tentative="0">
      <w:start w:val="1"/>
      <w:numFmt w:val="bullet"/>
      <w:lvlText w:val="•"/>
      <w:lvlJc w:val="left"/>
      <w:pPr>
        <w:ind w:left="3448" w:hanging="360"/>
      </w:pPr>
      <w:rPr>
        <w:rFonts w:hint="default"/>
      </w:rPr>
    </w:lvl>
    <w:lvl w:ilvl="4" w:tentative="0">
      <w:start w:val="1"/>
      <w:numFmt w:val="bullet"/>
      <w:lvlText w:val="•"/>
      <w:lvlJc w:val="left"/>
      <w:pPr>
        <w:ind w:left="4324"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6" w:hanging="360"/>
      </w:pPr>
      <w:rPr>
        <w:rFonts w:hint="default"/>
      </w:rPr>
    </w:lvl>
    <w:lvl w:ilvl="7" w:tentative="0">
      <w:start w:val="1"/>
      <w:numFmt w:val="bullet"/>
      <w:lvlText w:val="•"/>
      <w:lvlJc w:val="left"/>
      <w:pPr>
        <w:ind w:left="6952" w:hanging="360"/>
      </w:pPr>
      <w:rPr>
        <w:rFonts w:hint="default"/>
      </w:rPr>
    </w:lvl>
    <w:lvl w:ilvl="8" w:tentative="0">
      <w:start w:val="1"/>
      <w:numFmt w:val="bullet"/>
      <w:lvlText w:val="•"/>
      <w:lvlJc w:val="left"/>
      <w:pPr>
        <w:ind w:left="7828" w:hanging="360"/>
      </w:pPr>
      <w:rPr>
        <w:rFonts w:hint="default"/>
      </w:rPr>
    </w:lvl>
  </w:abstractNum>
  <w:abstractNum w:abstractNumId="3">
    <w:nsid w:val="0FBE1BD0"/>
    <w:multiLevelType w:val="multilevel"/>
    <w:tmpl w:val="0FBE1BD0"/>
    <w:lvl w:ilvl="0" w:tentative="0">
      <w:start w:val="1"/>
      <w:numFmt w:val="bullet"/>
      <w:lvlText w:val=""/>
      <w:lvlJc w:val="left"/>
      <w:pPr>
        <w:ind w:left="820" w:hanging="360"/>
      </w:pPr>
      <w:rPr>
        <w:rFonts w:hint="default" w:ascii="Symbol" w:hAnsi="Symbol" w:eastAsia="Symbol"/>
        <w:w w:val="100"/>
        <w:sz w:val="24"/>
        <w:szCs w:val="24"/>
      </w:rPr>
    </w:lvl>
    <w:lvl w:ilvl="1" w:tentative="0">
      <w:start w:val="1"/>
      <w:numFmt w:val="bullet"/>
      <w:lvlText w:val="•"/>
      <w:lvlJc w:val="left"/>
      <w:pPr>
        <w:ind w:left="1690" w:hanging="360"/>
      </w:pPr>
      <w:rPr>
        <w:rFonts w:hint="default"/>
      </w:rPr>
    </w:lvl>
    <w:lvl w:ilvl="2" w:tentative="0">
      <w:start w:val="1"/>
      <w:numFmt w:val="bullet"/>
      <w:lvlText w:val="•"/>
      <w:lvlJc w:val="left"/>
      <w:pPr>
        <w:ind w:left="2560" w:hanging="360"/>
      </w:pPr>
      <w:rPr>
        <w:rFonts w:hint="default"/>
      </w:rPr>
    </w:lvl>
    <w:lvl w:ilvl="3" w:tentative="0">
      <w:start w:val="1"/>
      <w:numFmt w:val="bullet"/>
      <w:lvlText w:val="•"/>
      <w:lvlJc w:val="left"/>
      <w:pPr>
        <w:ind w:left="3430" w:hanging="360"/>
      </w:pPr>
      <w:rPr>
        <w:rFonts w:hint="default"/>
      </w:rPr>
    </w:lvl>
    <w:lvl w:ilvl="4" w:tentative="0">
      <w:start w:val="1"/>
      <w:numFmt w:val="bullet"/>
      <w:lvlText w:val="•"/>
      <w:lvlJc w:val="left"/>
      <w:pPr>
        <w:ind w:left="4300" w:hanging="360"/>
      </w:pPr>
      <w:rPr>
        <w:rFonts w:hint="default"/>
      </w:rPr>
    </w:lvl>
    <w:lvl w:ilvl="5" w:tentative="0">
      <w:start w:val="1"/>
      <w:numFmt w:val="bullet"/>
      <w:lvlText w:val="•"/>
      <w:lvlJc w:val="left"/>
      <w:pPr>
        <w:ind w:left="5170" w:hanging="360"/>
      </w:pPr>
      <w:rPr>
        <w:rFonts w:hint="default"/>
      </w:rPr>
    </w:lvl>
    <w:lvl w:ilvl="6" w:tentative="0">
      <w:start w:val="1"/>
      <w:numFmt w:val="bullet"/>
      <w:lvlText w:val="•"/>
      <w:lvlJc w:val="left"/>
      <w:pPr>
        <w:ind w:left="6040" w:hanging="360"/>
      </w:pPr>
      <w:rPr>
        <w:rFonts w:hint="default"/>
      </w:rPr>
    </w:lvl>
    <w:lvl w:ilvl="7" w:tentative="0">
      <w:start w:val="1"/>
      <w:numFmt w:val="bullet"/>
      <w:lvlText w:val="•"/>
      <w:lvlJc w:val="left"/>
      <w:pPr>
        <w:ind w:left="6910" w:hanging="360"/>
      </w:pPr>
      <w:rPr>
        <w:rFonts w:hint="default"/>
      </w:rPr>
    </w:lvl>
    <w:lvl w:ilvl="8" w:tentative="0">
      <w:start w:val="1"/>
      <w:numFmt w:val="bullet"/>
      <w:lvlText w:val="•"/>
      <w:lvlJc w:val="left"/>
      <w:pPr>
        <w:ind w:left="7780" w:hanging="360"/>
      </w:pPr>
      <w:rPr>
        <w:rFonts w:hint="default"/>
      </w:rPr>
    </w:lvl>
  </w:abstractNum>
  <w:abstractNum w:abstractNumId="4">
    <w:nsid w:val="1AE15591"/>
    <w:multiLevelType w:val="multilevel"/>
    <w:tmpl w:val="1AE15591"/>
    <w:lvl w:ilvl="0" w:tentative="0">
      <w:start w:val="1"/>
      <w:numFmt w:val="decimal"/>
      <w:lvlText w:val="%1."/>
      <w:lvlJc w:val="left"/>
      <w:pPr>
        <w:ind w:left="820" w:hanging="360"/>
        <w:jc w:val="left"/>
      </w:pPr>
      <w:rPr>
        <w:rFonts w:hint="default" w:ascii="Arial" w:hAnsi="Arial" w:eastAsia="Times New Roman" w:cs="Arial"/>
        <w:spacing w:val="0"/>
        <w:w w:val="100"/>
        <w:sz w:val="24"/>
        <w:szCs w:val="24"/>
      </w:rPr>
    </w:lvl>
    <w:lvl w:ilvl="1" w:tentative="0">
      <w:start w:val="1"/>
      <w:numFmt w:val="decimal"/>
      <w:lvlText w:val="%2."/>
      <w:lvlJc w:val="left"/>
      <w:pPr>
        <w:ind w:left="1180" w:hanging="360"/>
        <w:jc w:val="left"/>
      </w:pPr>
      <w:rPr>
        <w:rFonts w:hint="default" w:ascii="Arial" w:hAnsi="Arial" w:eastAsia="Times New Roman" w:cs="Arial"/>
        <w:spacing w:val="0"/>
        <w:w w:val="100"/>
        <w:sz w:val="24"/>
        <w:szCs w:val="24"/>
      </w:rPr>
    </w:lvl>
    <w:lvl w:ilvl="2" w:tentative="0">
      <w:start w:val="1"/>
      <w:numFmt w:val="bullet"/>
      <w:lvlText w:val="•"/>
      <w:lvlJc w:val="left"/>
      <w:pPr>
        <w:ind w:left="2104" w:hanging="360"/>
      </w:pPr>
      <w:rPr>
        <w:rFonts w:hint="default"/>
      </w:rPr>
    </w:lvl>
    <w:lvl w:ilvl="3" w:tentative="0">
      <w:start w:val="1"/>
      <w:numFmt w:val="bullet"/>
      <w:lvlText w:val="•"/>
      <w:lvlJc w:val="left"/>
      <w:pPr>
        <w:ind w:left="3028" w:hanging="360"/>
      </w:pPr>
      <w:rPr>
        <w:rFonts w:hint="default"/>
      </w:rPr>
    </w:lvl>
    <w:lvl w:ilvl="4" w:tentative="0">
      <w:start w:val="1"/>
      <w:numFmt w:val="bullet"/>
      <w:lvlText w:val="•"/>
      <w:lvlJc w:val="left"/>
      <w:pPr>
        <w:ind w:left="3953" w:hanging="360"/>
      </w:pPr>
      <w:rPr>
        <w:rFonts w:hint="default"/>
      </w:rPr>
    </w:lvl>
    <w:lvl w:ilvl="5" w:tentative="0">
      <w:start w:val="1"/>
      <w:numFmt w:val="bullet"/>
      <w:lvlText w:val="•"/>
      <w:lvlJc w:val="left"/>
      <w:pPr>
        <w:ind w:left="4877" w:hanging="360"/>
      </w:pPr>
      <w:rPr>
        <w:rFonts w:hint="default"/>
      </w:rPr>
    </w:lvl>
    <w:lvl w:ilvl="6" w:tentative="0">
      <w:start w:val="1"/>
      <w:numFmt w:val="bullet"/>
      <w:lvlText w:val="•"/>
      <w:lvlJc w:val="left"/>
      <w:pPr>
        <w:ind w:left="5802" w:hanging="360"/>
      </w:pPr>
      <w:rPr>
        <w:rFonts w:hint="default"/>
      </w:rPr>
    </w:lvl>
    <w:lvl w:ilvl="7" w:tentative="0">
      <w:start w:val="1"/>
      <w:numFmt w:val="bullet"/>
      <w:lvlText w:val="•"/>
      <w:lvlJc w:val="left"/>
      <w:pPr>
        <w:ind w:left="6726" w:hanging="360"/>
      </w:pPr>
      <w:rPr>
        <w:rFonts w:hint="default"/>
      </w:rPr>
    </w:lvl>
    <w:lvl w:ilvl="8" w:tentative="0">
      <w:start w:val="1"/>
      <w:numFmt w:val="bullet"/>
      <w:lvlText w:val="•"/>
      <w:lvlJc w:val="left"/>
      <w:pPr>
        <w:ind w:left="7651" w:hanging="360"/>
      </w:pPr>
      <w:rPr>
        <w:rFonts w:hint="default"/>
      </w:rPr>
    </w:lvl>
  </w:abstractNum>
  <w:abstractNum w:abstractNumId="5">
    <w:nsid w:val="1C3020D4"/>
    <w:multiLevelType w:val="multilevel"/>
    <w:tmpl w:val="1C3020D4"/>
    <w:lvl w:ilvl="0" w:tentative="0">
      <w:start w:val="1"/>
      <w:numFmt w:val="decimal"/>
      <w:lvlText w:val="%1."/>
      <w:lvlJc w:val="left"/>
      <w:pPr>
        <w:ind w:left="369" w:hanging="259"/>
        <w:jc w:val="left"/>
      </w:pPr>
      <w:rPr>
        <w:rFonts w:hint="default" w:ascii="Arial" w:hAnsi="Arial" w:eastAsia="Times New Roman" w:cs="Arial"/>
        <w:w w:val="100"/>
        <w:sz w:val="21"/>
        <w:szCs w:val="21"/>
      </w:rPr>
    </w:lvl>
    <w:lvl w:ilvl="1" w:tentative="0">
      <w:start w:val="1"/>
      <w:numFmt w:val="bullet"/>
      <w:lvlText w:val="•"/>
      <w:lvlJc w:val="left"/>
      <w:pPr>
        <w:ind w:left="511" w:hanging="259"/>
      </w:pPr>
      <w:rPr>
        <w:rFonts w:hint="default"/>
      </w:rPr>
    </w:lvl>
    <w:lvl w:ilvl="2" w:tentative="0">
      <w:start w:val="1"/>
      <w:numFmt w:val="bullet"/>
      <w:lvlText w:val="•"/>
      <w:lvlJc w:val="left"/>
      <w:pPr>
        <w:ind w:left="663" w:hanging="259"/>
      </w:pPr>
      <w:rPr>
        <w:rFonts w:hint="default"/>
      </w:rPr>
    </w:lvl>
    <w:lvl w:ilvl="3" w:tentative="0">
      <w:start w:val="1"/>
      <w:numFmt w:val="bullet"/>
      <w:lvlText w:val="•"/>
      <w:lvlJc w:val="left"/>
      <w:pPr>
        <w:ind w:left="815" w:hanging="259"/>
      </w:pPr>
      <w:rPr>
        <w:rFonts w:hint="default"/>
      </w:rPr>
    </w:lvl>
    <w:lvl w:ilvl="4" w:tentative="0">
      <w:start w:val="1"/>
      <w:numFmt w:val="bullet"/>
      <w:lvlText w:val="•"/>
      <w:lvlJc w:val="left"/>
      <w:pPr>
        <w:ind w:left="966" w:hanging="259"/>
      </w:pPr>
      <w:rPr>
        <w:rFonts w:hint="default"/>
      </w:rPr>
    </w:lvl>
    <w:lvl w:ilvl="5" w:tentative="0">
      <w:start w:val="1"/>
      <w:numFmt w:val="bullet"/>
      <w:lvlText w:val="•"/>
      <w:lvlJc w:val="left"/>
      <w:pPr>
        <w:ind w:left="1118" w:hanging="259"/>
      </w:pPr>
      <w:rPr>
        <w:rFonts w:hint="default"/>
      </w:rPr>
    </w:lvl>
    <w:lvl w:ilvl="6" w:tentative="0">
      <w:start w:val="1"/>
      <w:numFmt w:val="bullet"/>
      <w:lvlText w:val="•"/>
      <w:lvlJc w:val="left"/>
      <w:pPr>
        <w:ind w:left="1270" w:hanging="259"/>
      </w:pPr>
      <w:rPr>
        <w:rFonts w:hint="default"/>
      </w:rPr>
    </w:lvl>
    <w:lvl w:ilvl="7" w:tentative="0">
      <w:start w:val="1"/>
      <w:numFmt w:val="bullet"/>
      <w:lvlText w:val="•"/>
      <w:lvlJc w:val="left"/>
      <w:pPr>
        <w:ind w:left="1421" w:hanging="259"/>
      </w:pPr>
      <w:rPr>
        <w:rFonts w:hint="default"/>
      </w:rPr>
    </w:lvl>
    <w:lvl w:ilvl="8" w:tentative="0">
      <w:start w:val="1"/>
      <w:numFmt w:val="bullet"/>
      <w:lvlText w:val="•"/>
      <w:lvlJc w:val="left"/>
      <w:pPr>
        <w:ind w:left="1573" w:hanging="259"/>
      </w:pPr>
      <w:rPr>
        <w:rFonts w:hint="default"/>
      </w:rPr>
    </w:lvl>
  </w:abstractNum>
  <w:abstractNum w:abstractNumId="6">
    <w:nsid w:val="221951F9"/>
    <w:multiLevelType w:val="multilevel"/>
    <w:tmpl w:val="221951F9"/>
    <w:lvl w:ilvl="0" w:tentative="0">
      <w:start w:val="1"/>
      <w:numFmt w:val="decimal"/>
      <w:lvlText w:val="(%1)"/>
      <w:lvlJc w:val="left"/>
      <w:pPr>
        <w:ind w:left="684" w:hanging="400"/>
        <w:jc w:val="left"/>
      </w:pPr>
      <w:rPr>
        <w:rFonts w:hint="default" w:ascii="Arial" w:hAnsi="Arial" w:eastAsia="Times New Roman" w:cs="Arial"/>
        <w:spacing w:val="0"/>
        <w:w w:val="100"/>
        <w:sz w:val="24"/>
        <w:szCs w:val="24"/>
      </w:rPr>
    </w:lvl>
    <w:lvl w:ilvl="1" w:tentative="0">
      <w:start w:val="1"/>
      <w:numFmt w:val="lowerLetter"/>
      <w:lvlText w:val="(%2)"/>
      <w:lvlJc w:val="left"/>
      <w:pPr>
        <w:ind w:left="1404" w:hanging="449"/>
        <w:jc w:val="left"/>
      </w:pPr>
      <w:rPr>
        <w:rFonts w:hint="default" w:ascii="Arial" w:hAnsi="Arial" w:eastAsia="Times New Roman" w:cs="Arial"/>
        <w:spacing w:val="0"/>
        <w:w w:val="100"/>
        <w:sz w:val="24"/>
        <w:szCs w:val="24"/>
      </w:rPr>
    </w:lvl>
    <w:lvl w:ilvl="2" w:tentative="0">
      <w:start w:val="1"/>
      <w:numFmt w:val="bullet"/>
      <w:lvlText w:val="•"/>
      <w:lvlJc w:val="left"/>
      <w:pPr>
        <w:ind w:left="2332" w:hanging="449"/>
      </w:pPr>
      <w:rPr>
        <w:rFonts w:hint="default"/>
      </w:rPr>
    </w:lvl>
    <w:lvl w:ilvl="3" w:tentative="0">
      <w:start w:val="1"/>
      <w:numFmt w:val="bullet"/>
      <w:lvlText w:val="•"/>
      <w:lvlJc w:val="left"/>
      <w:pPr>
        <w:ind w:left="3252" w:hanging="449"/>
      </w:pPr>
      <w:rPr>
        <w:rFonts w:hint="default"/>
      </w:rPr>
    </w:lvl>
    <w:lvl w:ilvl="4" w:tentative="0">
      <w:start w:val="1"/>
      <w:numFmt w:val="bullet"/>
      <w:lvlText w:val="•"/>
      <w:lvlJc w:val="left"/>
      <w:pPr>
        <w:ind w:left="4172" w:hanging="449"/>
      </w:pPr>
      <w:rPr>
        <w:rFonts w:hint="default"/>
      </w:rPr>
    </w:lvl>
    <w:lvl w:ilvl="5" w:tentative="0">
      <w:start w:val="1"/>
      <w:numFmt w:val="bullet"/>
      <w:lvlText w:val="•"/>
      <w:lvlJc w:val="left"/>
      <w:pPr>
        <w:ind w:left="5092" w:hanging="449"/>
      </w:pPr>
      <w:rPr>
        <w:rFonts w:hint="default"/>
      </w:rPr>
    </w:lvl>
    <w:lvl w:ilvl="6" w:tentative="0">
      <w:start w:val="1"/>
      <w:numFmt w:val="bullet"/>
      <w:lvlText w:val="•"/>
      <w:lvlJc w:val="left"/>
      <w:pPr>
        <w:ind w:left="6012" w:hanging="449"/>
      </w:pPr>
      <w:rPr>
        <w:rFonts w:hint="default"/>
      </w:rPr>
    </w:lvl>
    <w:lvl w:ilvl="7" w:tentative="0">
      <w:start w:val="1"/>
      <w:numFmt w:val="bullet"/>
      <w:lvlText w:val="•"/>
      <w:lvlJc w:val="left"/>
      <w:pPr>
        <w:ind w:left="6932" w:hanging="449"/>
      </w:pPr>
      <w:rPr>
        <w:rFonts w:hint="default"/>
      </w:rPr>
    </w:lvl>
    <w:lvl w:ilvl="8" w:tentative="0">
      <w:start w:val="1"/>
      <w:numFmt w:val="bullet"/>
      <w:lvlText w:val="•"/>
      <w:lvlJc w:val="left"/>
      <w:pPr>
        <w:ind w:left="7852" w:hanging="449"/>
      </w:pPr>
      <w:rPr>
        <w:rFonts w:hint="default"/>
      </w:rPr>
    </w:lvl>
  </w:abstractNum>
  <w:abstractNum w:abstractNumId="7">
    <w:nsid w:val="2C207FC4"/>
    <w:multiLevelType w:val="multilevel"/>
    <w:tmpl w:val="2C207FC4"/>
    <w:lvl w:ilvl="0" w:tentative="0">
      <w:start w:val="1"/>
      <w:numFmt w:val="decimal"/>
      <w:lvlText w:val="%1."/>
      <w:lvlJc w:val="left"/>
      <w:pPr>
        <w:ind w:left="840" w:hanging="360"/>
        <w:jc w:val="left"/>
      </w:pPr>
      <w:rPr>
        <w:rFonts w:hint="default" w:ascii="Arial" w:hAnsi="Arial" w:eastAsia="Times New Roman" w:cs="Arial"/>
        <w:spacing w:val="0"/>
        <w:w w:val="100"/>
        <w:sz w:val="24"/>
        <w:szCs w:val="24"/>
      </w:rPr>
    </w:lvl>
    <w:lvl w:ilvl="1" w:tentative="0">
      <w:start w:val="1"/>
      <w:numFmt w:val="decimal"/>
      <w:lvlText w:val="%2."/>
      <w:lvlJc w:val="left"/>
      <w:pPr>
        <w:ind w:left="1200" w:hanging="360"/>
        <w:jc w:val="left"/>
      </w:pPr>
      <w:rPr>
        <w:rFonts w:hint="default" w:ascii="Arial" w:hAnsi="Arial" w:eastAsia="Times New Roman" w:cs="Arial"/>
        <w:spacing w:val="0"/>
        <w:w w:val="100"/>
        <w:sz w:val="24"/>
        <w:szCs w:val="24"/>
      </w:rPr>
    </w:lvl>
    <w:lvl w:ilvl="2" w:tentative="0">
      <w:start w:val="1"/>
      <w:numFmt w:val="bullet"/>
      <w:lvlText w:val="•"/>
      <w:lvlJc w:val="left"/>
      <w:pPr>
        <w:ind w:left="2128" w:hanging="360"/>
      </w:pPr>
      <w:rPr>
        <w:rFonts w:hint="default"/>
      </w:rPr>
    </w:lvl>
    <w:lvl w:ilvl="3" w:tentative="0">
      <w:start w:val="1"/>
      <w:numFmt w:val="bullet"/>
      <w:lvlText w:val="•"/>
      <w:lvlJc w:val="left"/>
      <w:pPr>
        <w:ind w:left="3057" w:hanging="360"/>
      </w:pPr>
      <w:rPr>
        <w:rFonts w:hint="default"/>
      </w:rPr>
    </w:lvl>
    <w:lvl w:ilvl="4" w:tentative="0">
      <w:start w:val="1"/>
      <w:numFmt w:val="bullet"/>
      <w:lvlText w:val="•"/>
      <w:lvlJc w:val="left"/>
      <w:pPr>
        <w:ind w:left="3986" w:hanging="360"/>
      </w:pPr>
      <w:rPr>
        <w:rFonts w:hint="default"/>
      </w:rPr>
    </w:lvl>
    <w:lvl w:ilvl="5" w:tentative="0">
      <w:start w:val="1"/>
      <w:numFmt w:val="bullet"/>
      <w:lvlText w:val="•"/>
      <w:lvlJc w:val="left"/>
      <w:pPr>
        <w:ind w:left="4915" w:hanging="360"/>
      </w:pPr>
      <w:rPr>
        <w:rFonts w:hint="default"/>
      </w:rPr>
    </w:lvl>
    <w:lvl w:ilvl="6" w:tentative="0">
      <w:start w:val="1"/>
      <w:numFmt w:val="bullet"/>
      <w:lvlText w:val="•"/>
      <w:lvlJc w:val="left"/>
      <w:pPr>
        <w:ind w:left="5844" w:hanging="360"/>
      </w:pPr>
      <w:rPr>
        <w:rFonts w:hint="default"/>
      </w:rPr>
    </w:lvl>
    <w:lvl w:ilvl="7" w:tentative="0">
      <w:start w:val="1"/>
      <w:numFmt w:val="bullet"/>
      <w:lvlText w:val="•"/>
      <w:lvlJc w:val="left"/>
      <w:pPr>
        <w:ind w:left="6773" w:hanging="360"/>
      </w:pPr>
      <w:rPr>
        <w:rFonts w:hint="default"/>
      </w:rPr>
    </w:lvl>
    <w:lvl w:ilvl="8" w:tentative="0">
      <w:start w:val="1"/>
      <w:numFmt w:val="bullet"/>
      <w:lvlText w:val="•"/>
      <w:lvlJc w:val="left"/>
      <w:pPr>
        <w:ind w:left="7702" w:hanging="360"/>
      </w:pPr>
      <w:rPr>
        <w:rFonts w:hint="default"/>
      </w:rPr>
    </w:lvl>
  </w:abstractNum>
  <w:abstractNum w:abstractNumId="8">
    <w:nsid w:val="3634373F"/>
    <w:multiLevelType w:val="multilevel"/>
    <w:tmpl w:val="3634373F"/>
    <w:lvl w:ilvl="0" w:tentative="0">
      <w:start w:val="1"/>
      <w:numFmt w:val="decimal"/>
      <w:lvlText w:val="%1."/>
      <w:lvlJc w:val="left"/>
      <w:pPr>
        <w:ind w:left="364" w:hanging="257"/>
        <w:jc w:val="left"/>
      </w:pPr>
      <w:rPr>
        <w:rFonts w:hint="default" w:ascii="Arial" w:hAnsi="Arial" w:eastAsia="Times New Roman" w:cs="Arial"/>
        <w:spacing w:val="-1"/>
        <w:w w:val="100"/>
        <w:sz w:val="21"/>
        <w:szCs w:val="21"/>
      </w:rPr>
    </w:lvl>
    <w:lvl w:ilvl="1" w:tentative="0">
      <w:start w:val="1"/>
      <w:numFmt w:val="bullet"/>
      <w:lvlText w:val="•"/>
      <w:lvlJc w:val="left"/>
      <w:pPr>
        <w:ind w:left="565" w:hanging="257"/>
      </w:pPr>
      <w:rPr>
        <w:rFonts w:hint="default"/>
      </w:rPr>
    </w:lvl>
    <w:lvl w:ilvl="2" w:tentative="0">
      <w:start w:val="1"/>
      <w:numFmt w:val="bullet"/>
      <w:lvlText w:val="•"/>
      <w:lvlJc w:val="left"/>
      <w:pPr>
        <w:ind w:left="770" w:hanging="257"/>
      </w:pPr>
      <w:rPr>
        <w:rFonts w:hint="default"/>
      </w:rPr>
    </w:lvl>
    <w:lvl w:ilvl="3" w:tentative="0">
      <w:start w:val="1"/>
      <w:numFmt w:val="bullet"/>
      <w:lvlText w:val="•"/>
      <w:lvlJc w:val="left"/>
      <w:pPr>
        <w:ind w:left="976" w:hanging="257"/>
      </w:pPr>
      <w:rPr>
        <w:rFonts w:hint="default"/>
      </w:rPr>
    </w:lvl>
    <w:lvl w:ilvl="4" w:tentative="0">
      <w:start w:val="1"/>
      <w:numFmt w:val="bullet"/>
      <w:lvlText w:val="•"/>
      <w:lvlJc w:val="left"/>
      <w:pPr>
        <w:ind w:left="1181" w:hanging="257"/>
      </w:pPr>
      <w:rPr>
        <w:rFonts w:hint="default"/>
      </w:rPr>
    </w:lvl>
    <w:lvl w:ilvl="5" w:tentative="0">
      <w:start w:val="1"/>
      <w:numFmt w:val="bullet"/>
      <w:lvlText w:val="•"/>
      <w:lvlJc w:val="left"/>
      <w:pPr>
        <w:ind w:left="1387" w:hanging="257"/>
      </w:pPr>
      <w:rPr>
        <w:rFonts w:hint="default"/>
      </w:rPr>
    </w:lvl>
    <w:lvl w:ilvl="6" w:tentative="0">
      <w:start w:val="1"/>
      <w:numFmt w:val="bullet"/>
      <w:lvlText w:val="•"/>
      <w:lvlJc w:val="left"/>
      <w:pPr>
        <w:ind w:left="1592" w:hanging="257"/>
      </w:pPr>
      <w:rPr>
        <w:rFonts w:hint="default"/>
      </w:rPr>
    </w:lvl>
    <w:lvl w:ilvl="7" w:tentative="0">
      <w:start w:val="1"/>
      <w:numFmt w:val="bullet"/>
      <w:lvlText w:val="•"/>
      <w:lvlJc w:val="left"/>
      <w:pPr>
        <w:ind w:left="1798" w:hanging="257"/>
      </w:pPr>
      <w:rPr>
        <w:rFonts w:hint="default"/>
      </w:rPr>
    </w:lvl>
    <w:lvl w:ilvl="8" w:tentative="0">
      <w:start w:val="1"/>
      <w:numFmt w:val="bullet"/>
      <w:lvlText w:val="•"/>
      <w:lvlJc w:val="left"/>
      <w:pPr>
        <w:ind w:left="2003" w:hanging="257"/>
      </w:pPr>
      <w:rPr>
        <w:rFonts w:hint="default"/>
      </w:rPr>
    </w:lvl>
  </w:abstractNum>
  <w:abstractNum w:abstractNumId="9">
    <w:nsid w:val="3BD403B4"/>
    <w:multiLevelType w:val="multilevel"/>
    <w:tmpl w:val="3BD403B4"/>
    <w:lvl w:ilvl="0" w:tentative="0">
      <w:start w:val="1"/>
      <w:numFmt w:val="decimal"/>
      <w:lvlText w:val="%1."/>
      <w:lvlJc w:val="left"/>
      <w:pPr>
        <w:ind w:left="364" w:hanging="259"/>
        <w:jc w:val="left"/>
      </w:pPr>
      <w:rPr>
        <w:rFonts w:hint="default" w:ascii="Arial" w:hAnsi="Arial" w:eastAsia="Times New Roman" w:cs="Arial"/>
        <w:w w:val="100"/>
        <w:sz w:val="21"/>
        <w:szCs w:val="21"/>
      </w:rPr>
    </w:lvl>
    <w:lvl w:ilvl="1" w:tentative="0">
      <w:start w:val="1"/>
      <w:numFmt w:val="bullet"/>
      <w:lvlText w:val="•"/>
      <w:lvlJc w:val="left"/>
      <w:pPr>
        <w:ind w:left="545" w:hanging="259"/>
      </w:pPr>
      <w:rPr>
        <w:rFonts w:hint="default"/>
      </w:rPr>
    </w:lvl>
    <w:lvl w:ilvl="2" w:tentative="0">
      <w:start w:val="1"/>
      <w:numFmt w:val="bullet"/>
      <w:lvlText w:val="•"/>
      <w:lvlJc w:val="left"/>
      <w:pPr>
        <w:ind w:left="731" w:hanging="259"/>
      </w:pPr>
      <w:rPr>
        <w:rFonts w:hint="default"/>
      </w:rPr>
    </w:lvl>
    <w:lvl w:ilvl="3" w:tentative="0">
      <w:start w:val="1"/>
      <w:numFmt w:val="bullet"/>
      <w:lvlText w:val="•"/>
      <w:lvlJc w:val="left"/>
      <w:pPr>
        <w:ind w:left="917" w:hanging="259"/>
      </w:pPr>
      <w:rPr>
        <w:rFonts w:hint="default"/>
      </w:rPr>
    </w:lvl>
    <w:lvl w:ilvl="4" w:tentative="0">
      <w:start w:val="1"/>
      <w:numFmt w:val="bullet"/>
      <w:lvlText w:val="•"/>
      <w:lvlJc w:val="left"/>
      <w:pPr>
        <w:ind w:left="1103" w:hanging="259"/>
      </w:pPr>
      <w:rPr>
        <w:rFonts w:hint="default"/>
      </w:rPr>
    </w:lvl>
    <w:lvl w:ilvl="5" w:tentative="0">
      <w:start w:val="1"/>
      <w:numFmt w:val="bullet"/>
      <w:lvlText w:val="•"/>
      <w:lvlJc w:val="left"/>
      <w:pPr>
        <w:ind w:left="1288" w:hanging="259"/>
      </w:pPr>
      <w:rPr>
        <w:rFonts w:hint="default"/>
      </w:rPr>
    </w:lvl>
    <w:lvl w:ilvl="6" w:tentative="0">
      <w:start w:val="1"/>
      <w:numFmt w:val="bullet"/>
      <w:lvlText w:val="•"/>
      <w:lvlJc w:val="left"/>
      <w:pPr>
        <w:ind w:left="1474" w:hanging="259"/>
      </w:pPr>
      <w:rPr>
        <w:rFonts w:hint="default"/>
      </w:rPr>
    </w:lvl>
    <w:lvl w:ilvl="7" w:tentative="0">
      <w:start w:val="1"/>
      <w:numFmt w:val="bullet"/>
      <w:lvlText w:val="•"/>
      <w:lvlJc w:val="left"/>
      <w:pPr>
        <w:ind w:left="1660" w:hanging="259"/>
      </w:pPr>
      <w:rPr>
        <w:rFonts w:hint="default"/>
      </w:rPr>
    </w:lvl>
    <w:lvl w:ilvl="8" w:tentative="0">
      <w:start w:val="1"/>
      <w:numFmt w:val="bullet"/>
      <w:lvlText w:val="•"/>
      <w:lvlJc w:val="left"/>
      <w:pPr>
        <w:ind w:left="1846" w:hanging="259"/>
      </w:pPr>
      <w:rPr>
        <w:rFonts w:hint="default"/>
      </w:rPr>
    </w:lvl>
  </w:abstractNum>
  <w:abstractNum w:abstractNumId="10">
    <w:nsid w:val="404E33BB"/>
    <w:multiLevelType w:val="multilevel"/>
    <w:tmpl w:val="404E33BB"/>
    <w:lvl w:ilvl="0" w:tentative="0">
      <w:start w:val="1"/>
      <w:numFmt w:val="decimal"/>
      <w:lvlText w:val="%1."/>
      <w:lvlJc w:val="left"/>
      <w:pPr>
        <w:ind w:left="357" w:hanging="257"/>
        <w:jc w:val="left"/>
      </w:pPr>
      <w:rPr>
        <w:rFonts w:hint="default" w:ascii="Arial" w:hAnsi="Arial" w:eastAsia="Times New Roman" w:cs="Arial"/>
        <w:spacing w:val="-1"/>
        <w:w w:val="100"/>
        <w:sz w:val="21"/>
        <w:szCs w:val="21"/>
      </w:rPr>
    </w:lvl>
    <w:lvl w:ilvl="1" w:tentative="0">
      <w:start w:val="1"/>
      <w:numFmt w:val="bullet"/>
      <w:lvlText w:val="•"/>
      <w:lvlJc w:val="left"/>
      <w:pPr>
        <w:ind w:left="545" w:hanging="257"/>
      </w:pPr>
      <w:rPr>
        <w:rFonts w:hint="default"/>
      </w:rPr>
    </w:lvl>
    <w:lvl w:ilvl="2" w:tentative="0">
      <w:start w:val="1"/>
      <w:numFmt w:val="bullet"/>
      <w:lvlText w:val="•"/>
      <w:lvlJc w:val="left"/>
      <w:pPr>
        <w:ind w:left="731" w:hanging="257"/>
      </w:pPr>
      <w:rPr>
        <w:rFonts w:hint="default"/>
      </w:rPr>
    </w:lvl>
    <w:lvl w:ilvl="3" w:tentative="0">
      <w:start w:val="1"/>
      <w:numFmt w:val="bullet"/>
      <w:lvlText w:val="•"/>
      <w:lvlJc w:val="left"/>
      <w:pPr>
        <w:ind w:left="917" w:hanging="257"/>
      </w:pPr>
      <w:rPr>
        <w:rFonts w:hint="default"/>
      </w:rPr>
    </w:lvl>
    <w:lvl w:ilvl="4" w:tentative="0">
      <w:start w:val="1"/>
      <w:numFmt w:val="bullet"/>
      <w:lvlText w:val="•"/>
      <w:lvlJc w:val="left"/>
      <w:pPr>
        <w:ind w:left="1103" w:hanging="257"/>
      </w:pPr>
      <w:rPr>
        <w:rFonts w:hint="default"/>
      </w:rPr>
    </w:lvl>
    <w:lvl w:ilvl="5" w:tentative="0">
      <w:start w:val="1"/>
      <w:numFmt w:val="bullet"/>
      <w:lvlText w:val="•"/>
      <w:lvlJc w:val="left"/>
      <w:pPr>
        <w:ind w:left="1288" w:hanging="257"/>
      </w:pPr>
      <w:rPr>
        <w:rFonts w:hint="default"/>
      </w:rPr>
    </w:lvl>
    <w:lvl w:ilvl="6" w:tentative="0">
      <w:start w:val="1"/>
      <w:numFmt w:val="bullet"/>
      <w:lvlText w:val="•"/>
      <w:lvlJc w:val="left"/>
      <w:pPr>
        <w:ind w:left="1474" w:hanging="257"/>
      </w:pPr>
      <w:rPr>
        <w:rFonts w:hint="default"/>
      </w:rPr>
    </w:lvl>
    <w:lvl w:ilvl="7" w:tentative="0">
      <w:start w:val="1"/>
      <w:numFmt w:val="bullet"/>
      <w:lvlText w:val="•"/>
      <w:lvlJc w:val="left"/>
      <w:pPr>
        <w:ind w:left="1660" w:hanging="257"/>
      </w:pPr>
      <w:rPr>
        <w:rFonts w:hint="default"/>
      </w:rPr>
    </w:lvl>
    <w:lvl w:ilvl="8" w:tentative="0">
      <w:start w:val="1"/>
      <w:numFmt w:val="bullet"/>
      <w:lvlText w:val="•"/>
      <w:lvlJc w:val="left"/>
      <w:pPr>
        <w:ind w:left="1846" w:hanging="257"/>
      </w:pPr>
      <w:rPr>
        <w:rFonts w:hint="default"/>
      </w:rPr>
    </w:lvl>
  </w:abstractNum>
  <w:abstractNum w:abstractNumId="11">
    <w:nsid w:val="42882DA8"/>
    <w:multiLevelType w:val="multilevel"/>
    <w:tmpl w:val="42882DA8"/>
    <w:lvl w:ilvl="0" w:tentative="0">
      <w:start w:val="1"/>
      <w:numFmt w:val="decimal"/>
      <w:lvlText w:val="%1."/>
      <w:lvlJc w:val="left"/>
      <w:pPr>
        <w:ind w:left="357" w:hanging="257"/>
        <w:jc w:val="left"/>
      </w:pPr>
      <w:rPr>
        <w:rFonts w:hint="default" w:ascii="Arial" w:hAnsi="Arial" w:eastAsia="Times New Roman" w:cs="Arial"/>
        <w:spacing w:val="-1"/>
        <w:w w:val="100"/>
        <w:sz w:val="21"/>
        <w:szCs w:val="21"/>
      </w:rPr>
    </w:lvl>
    <w:lvl w:ilvl="1" w:tentative="0">
      <w:start w:val="1"/>
      <w:numFmt w:val="bullet"/>
      <w:lvlText w:val="•"/>
      <w:lvlJc w:val="left"/>
      <w:pPr>
        <w:ind w:left="545" w:hanging="257"/>
      </w:pPr>
      <w:rPr>
        <w:rFonts w:hint="default"/>
      </w:rPr>
    </w:lvl>
    <w:lvl w:ilvl="2" w:tentative="0">
      <w:start w:val="1"/>
      <w:numFmt w:val="bullet"/>
      <w:lvlText w:val="•"/>
      <w:lvlJc w:val="left"/>
      <w:pPr>
        <w:ind w:left="731" w:hanging="257"/>
      </w:pPr>
      <w:rPr>
        <w:rFonts w:hint="default"/>
      </w:rPr>
    </w:lvl>
    <w:lvl w:ilvl="3" w:tentative="0">
      <w:start w:val="1"/>
      <w:numFmt w:val="bullet"/>
      <w:lvlText w:val="•"/>
      <w:lvlJc w:val="left"/>
      <w:pPr>
        <w:ind w:left="917" w:hanging="257"/>
      </w:pPr>
      <w:rPr>
        <w:rFonts w:hint="default"/>
      </w:rPr>
    </w:lvl>
    <w:lvl w:ilvl="4" w:tentative="0">
      <w:start w:val="1"/>
      <w:numFmt w:val="bullet"/>
      <w:lvlText w:val="•"/>
      <w:lvlJc w:val="left"/>
      <w:pPr>
        <w:ind w:left="1103" w:hanging="257"/>
      </w:pPr>
      <w:rPr>
        <w:rFonts w:hint="default"/>
      </w:rPr>
    </w:lvl>
    <w:lvl w:ilvl="5" w:tentative="0">
      <w:start w:val="1"/>
      <w:numFmt w:val="bullet"/>
      <w:lvlText w:val="•"/>
      <w:lvlJc w:val="left"/>
      <w:pPr>
        <w:ind w:left="1288" w:hanging="257"/>
      </w:pPr>
      <w:rPr>
        <w:rFonts w:hint="default"/>
      </w:rPr>
    </w:lvl>
    <w:lvl w:ilvl="6" w:tentative="0">
      <w:start w:val="1"/>
      <w:numFmt w:val="bullet"/>
      <w:lvlText w:val="•"/>
      <w:lvlJc w:val="left"/>
      <w:pPr>
        <w:ind w:left="1474" w:hanging="257"/>
      </w:pPr>
      <w:rPr>
        <w:rFonts w:hint="default"/>
      </w:rPr>
    </w:lvl>
    <w:lvl w:ilvl="7" w:tentative="0">
      <w:start w:val="1"/>
      <w:numFmt w:val="bullet"/>
      <w:lvlText w:val="•"/>
      <w:lvlJc w:val="left"/>
      <w:pPr>
        <w:ind w:left="1660" w:hanging="257"/>
      </w:pPr>
      <w:rPr>
        <w:rFonts w:hint="default"/>
      </w:rPr>
    </w:lvl>
    <w:lvl w:ilvl="8" w:tentative="0">
      <w:start w:val="1"/>
      <w:numFmt w:val="bullet"/>
      <w:lvlText w:val="•"/>
      <w:lvlJc w:val="left"/>
      <w:pPr>
        <w:ind w:left="1846" w:hanging="257"/>
      </w:pPr>
      <w:rPr>
        <w:rFonts w:hint="default"/>
      </w:rPr>
    </w:lvl>
  </w:abstractNum>
  <w:abstractNum w:abstractNumId="12">
    <w:nsid w:val="44C90300"/>
    <w:multiLevelType w:val="multilevel"/>
    <w:tmpl w:val="44C90300"/>
    <w:lvl w:ilvl="0" w:tentative="0">
      <w:start w:val="1"/>
      <w:numFmt w:val="decimal"/>
      <w:lvlText w:val="%1."/>
      <w:lvlJc w:val="left"/>
      <w:pPr>
        <w:ind w:left="1200" w:hanging="360"/>
        <w:jc w:val="left"/>
      </w:pPr>
      <w:rPr>
        <w:rFonts w:hint="default" w:ascii="Arial" w:hAnsi="Arial" w:eastAsia="Times New Roman" w:cs="Arial"/>
        <w:spacing w:val="-2"/>
        <w:w w:val="1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C936C6"/>
    <w:multiLevelType w:val="multilevel"/>
    <w:tmpl w:val="47C936C6"/>
    <w:lvl w:ilvl="0" w:tentative="0">
      <w:start w:val="1"/>
      <w:numFmt w:val="decimal"/>
      <w:lvlText w:val="%1."/>
      <w:lvlJc w:val="left"/>
      <w:pPr>
        <w:ind w:left="840" w:hanging="360"/>
        <w:jc w:val="left"/>
      </w:pPr>
      <w:rPr>
        <w:rFonts w:hint="default" w:ascii="Arial" w:hAnsi="Arial" w:eastAsia="Times New Roman" w:cs="Arial"/>
        <w:spacing w:val="0"/>
        <w:w w:val="100"/>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14">
    <w:nsid w:val="4B0C51B6"/>
    <w:multiLevelType w:val="multilevel"/>
    <w:tmpl w:val="4B0C51B6"/>
    <w:lvl w:ilvl="0" w:tentative="0">
      <w:start w:val="1"/>
      <w:numFmt w:val="decimal"/>
      <w:lvlText w:val="%1."/>
      <w:lvlJc w:val="left"/>
      <w:pPr>
        <w:ind w:left="840" w:hanging="360"/>
        <w:jc w:val="left"/>
      </w:pPr>
      <w:rPr>
        <w:rFonts w:hint="default" w:ascii="Arial" w:hAnsi="Arial" w:eastAsia="Times New Roman" w:cs="Arial"/>
        <w:spacing w:val="0"/>
        <w:w w:val="100"/>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15">
    <w:nsid w:val="502F5768"/>
    <w:multiLevelType w:val="multilevel"/>
    <w:tmpl w:val="502F5768"/>
    <w:lvl w:ilvl="0" w:tentative="0">
      <w:start w:val="1"/>
      <w:numFmt w:val="decimal"/>
      <w:lvlText w:val="%1."/>
      <w:lvlJc w:val="left"/>
      <w:pPr>
        <w:ind w:left="1540" w:hanging="720"/>
        <w:jc w:val="left"/>
      </w:pPr>
      <w:rPr>
        <w:rFonts w:hint="default" w:ascii="Arial" w:hAnsi="Arial" w:eastAsia="Times New Roman" w:cs="Arial"/>
        <w:spacing w:val="0"/>
        <w:w w:val="100"/>
        <w:sz w:val="24"/>
        <w:szCs w:val="24"/>
      </w:rPr>
    </w:lvl>
    <w:lvl w:ilvl="1" w:tentative="0">
      <w:start w:val="1"/>
      <w:numFmt w:val="bullet"/>
      <w:lvlText w:val="•"/>
      <w:lvlJc w:val="left"/>
      <w:pPr>
        <w:ind w:left="2340" w:hanging="720"/>
      </w:pPr>
      <w:rPr>
        <w:rFonts w:hint="default"/>
      </w:rPr>
    </w:lvl>
    <w:lvl w:ilvl="2" w:tentative="0">
      <w:start w:val="1"/>
      <w:numFmt w:val="bullet"/>
      <w:lvlText w:val="•"/>
      <w:lvlJc w:val="left"/>
      <w:pPr>
        <w:ind w:left="3140" w:hanging="720"/>
      </w:pPr>
      <w:rPr>
        <w:rFonts w:hint="default"/>
      </w:rPr>
    </w:lvl>
    <w:lvl w:ilvl="3" w:tentative="0">
      <w:start w:val="1"/>
      <w:numFmt w:val="bullet"/>
      <w:lvlText w:val="•"/>
      <w:lvlJc w:val="left"/>
      <w:pPr>
        <w:ind w:left="3940" w:hanging="720"/>
      </w:pPr>
      <w:rPr>
        <w:rFonts w:hint="default"/>
      </w:rPr>
    </w:lvl>
    <w:lvl w:ilvl="4" w:tentative="0">
      <w:start w:val="1"/>
      <w:numFmt w:val="bullet"/>
      <w:lvlText w:val="•"/>
      <w:lvlJc w:val="left"/>
      <w:pPr>
        <w:ind w:left="4740" w:hanging="720"/>
      </w:pPr>
      <w:rPr>
        <w:rFonts w:hint="default"/>
      </w:rPr>
    </w:lvl>
    <w:lvl w:ilvl="5" w:tentative="0">
      <w:start w:val="1"/>
      <w:numFmt w:val="bullet"/>
      <w:lvlText w:val="•"/>
      <w:lvlJc w:val="left"/>
      <w:pPr>
        <w:ind w:left="5540" w:hanging="720"/>
      </w:pPr>
      <w:rPr>
        <w:rFonts w:hint="default"/>
      </w:rPr>
    </w:lvl>
    <w:lvl w:ilvl="6" w:tentative="0">
      <w:start w:val="1"/>
      <w:numFmt w:val="bullet"/>
      <w:lvlText w:val="•"/>
      <w:lvlJc w:val="left"/>
      <w:pPr>
        <w:ind w:left="6340" w:hanging="720"/>
      </w:pPr>
      <w:rPr>
        <w:rFonts w:hint="default"/>
      </w:rPr>
    </w:lvl>
    <w:lvl w:ilvl="7" w:tentative="0">
      <w:start w:val="1"/>
      <w:numFmt w:val="bullet"/>
      <w:lvlText w:val="•"/>
      <w:lvlJc w:val="left"/>
      <w:pPr>
        <w:ind w:left="7140" w:hanging="720"/>
      </w:pPr>
      <w:rPr>
        <w:rFonts w:hint="default"/>
      </w:rPr>
    </w:lvl>
    <w:lvl w:ilvl="8" w:tentative="0">
      <w:start w:val="1"/>
      <w:numFmt w:val="bullet"/>
      <w:lvlText w:val="•"/>
      <w:lvlJc w:val="left"/>
      <w:pPr>
        <w:ind w:left="7940" w:hanging="720"/>
      </w:pPr>
      <w:rPr>
        <w:rFonts w:hint="default"/>
      </w:rPr>
    </w:lvl>
  </w:abstractNum>
  <w:abstractNum w:abstractNumId="16">
    <w:nsid w:val="50464F98"/>
    <w:multiLevelType w:val="multilevel"/>
    <w:tmpl w:val="50464F98"/>
    <w:lvl w:ilvl="0" w:tentative="0">
      <w:start w:val="1"/>
      <w:numFmt w:val="decimal"/>
      <w:lvlText w:val="%1."/>
      <w:lvlJc w:val="left"/>
      <w:pPr>
        <w:ind w:left="840" w:hanging="360"/>
        <w:jc w:val="left"/>
      </w:pPr>
      <w:rPr>
        <w:rFonts w:hint="default" w:ascii="Arial" w:hAnsi="Arial" w:eastAsia="Times New Roman" w:cs="Arial"/>
        <w:spacing w:val="0"/>
        <w:w w:val="100"/>
        <w:sz w:val="24"/>
        <w:szCs w:val="24"/>
      </w:rPr>
    </w:lvl>
    <w:lvl w:ilvl="1" w:tentative="0">
      <w:start w:val="1"/>
      <w:numFmt w:val="decimal"/>
      <w:lvlText w:val="%2."/>
      <w:lvlJc w:val="left"/>
      <w:pPr>
        <w:ind w:left="1200" w:hanging="360"/>
        <w:jc w:val="left"/>
      </w:pPr>
      <w:rPr>
        <w:rFonts w:hint="default" w:ascii="Arial" w:hAnsi="Arial" w:eastAsia="Times New Roman" w:cs="Arial"/>
        <w:spacing w:val="-2"/>
        <w:w w:val="100"/>
        <w:sz w:val="24"/>
        <w:szCs w:val="24"/>
      </w:rPr>
    </w:lvl>
    <w:lvl w:ilvl="2" w:tentative="0">
      <w:start w:val="1"/>
      <w:numFmt w:val="bullet"/>
      <w:lvlText w:val="•"/>
      <w:lvlJc w:val="left"/>
      <w:pPr>
        <w:ind w:left="2131" w:hanging="360"/>
      </w:pPr>
      <w:rPr>
        <w:rFonts w:hint="default"/>
      </w:rPr>
    </w:lvl>
    <w:lvl w:ilvl="3" w:tentative="0">
      <w:start w:val="1"/>
      <w:numFmt w:val="bullet"/>
      <w:lvlText w:val="•"/>
      <w:lvlJc w:val="left"/>
      <w:pPr>
        <w:ind w:left="3062" w:hanging="360"/>
      </w:pPr>
      <w:rPr>
        <w:rFonts w:hint="default"/>
      </w:rPr>
    </w:lvl>
    <w:lvl w:ilvl="4" w:tentative="0">
      <w:start w:val="1"/>
      <w:numFmt w:val="bullet"/>
      <w:lvlText w:val="•"/>
      <w:lvlJc w:val="left"/>
      <w:pPr>
        <w:ind w:left="3993" w:hanging="360"/>
      </w:pPr>
      <w:rPr>
        <w:rFonts w:hint="default"/>
      </w:rPr>
    </w:lvl>
    <w:lvl w:ilvl="5" w:tentative="0">
      <w:start w:val="1"/>
      <w:numFmt w:val="bullet"/>
      <w:lvlText w:val="•"/>
      <w:lvlJc w:val="left"/>
      <w:pPr>
        <w:ind w:left="4924" w:hanging="360"/>
      </w:pPr>
      <w:rPr>
        <w:rFonts w:hint="default"/>
      </w:rPr>
    </w:lvl>
    <w:lvl w:ilvl="6" w:tentative="0">
      <w:start w:val="1"/>
      <w:numFmt w:val="bullet"/>
      <w:lvlText w:val="•"/>
      <w:lvlJc w:val="left"/>
      <w:pPr>
        <w:ind w:left="5855" w:hanging="360"/>
      </w:pPr>
      <w:rPr>
        <w:rFonts w:hint="default"/>
      </w:rPr>
    </w:lvl>
    <w:lvl w:ilvl="7" w:tentative="0">
      <w:start w:val="1"/>
      <w:numFmt w:val="bullet"/>
      <w:lvlText w:val="•"/>
      <w:lvlJc w:val="left"/>
      <w:pPr>
        <w:ind w:left="6786" w:hanging="360"/>
      </w:pPr>
      <w:rPr>
        <w:rFonts w:hint="default"/>
      </w:rPr>
    </w:lvl>
    <w:lvl w:ilvl="8" w:tentative="0">
      <w:start w:val="1"/>
      <w:numFmt w:val="bullet"/>
      <w:lvlText w:val="•"/>
      <w:lvlJc w:val="left"/>
      <w:pPr>
        <w:ind w:left="7717" w:hanging="360"/>
      </w:pPr>
      <w:rPr>
        <w:rFonts w:hint="default"/>
      </w:rPr>
    </w:lvl>
  </w:abstractNum>
  <w:abstractNum w:abstractNumId="17">
    <w:nsid w:val="538C7C49"/>
    <w:multiLevelType w:val="multilevel"/>
    <w:tmpl w:val="538C7C49"/>
    <w:lvl w:ilvl="0" w:tentative="0">
      <w:start w:val="1"/>
      <w:numFmt w:val="decimal"/>
      <w:lvlText w:val="%1."/>
      <w:lvlJc w:val="left"/>
      <w:pPr>
        <w:ind w:left="369" w:hanging="259"/>
        <w:jc w:val="left"/>
      </w:pPr>
      <w:rPr>
        <w:rFonts w:hint="default" w:ascii="Arial" w:hAnsi="Arial" w:eastAsia="Times New Roman" w:cs="Arial"/>
        <w:w w:val="100"/>
        <w:sz w:val="21"/>
        <w:szCs w:val="21"/>
      </w:rPr>
    </w:lvl>
    <w:lvl w:ilvl="1" w:tentative="0">
      <w:start w:val="1"/>
      <w:numFmt w:val="bullet"/>
      <w:lvlText w:val="•"/>
      <w:lvlJc w:val="left"/>
      <w:pPr>
        <w:ind w:left="511" w:hanging="259"/>
      </w:pPr>
      <w:rPr>
        <w:rFonts w:hint="default"/>
      </w:rPr>
    </w:lvl>
    <w:lvl w:ilvl="2" w:tentative="0">
      <w:start w:val="1"/>
      <w:numFmt w:val="bullet"/>
      <w:lvlText w:val="•"/>
      <w:lvlJc w:val="left"/>
      <w:pPr>
        <w:ind w:left="663" w:hanging="259"/>
      </w:pPr>
      <w:rPr>
        <w:rFonts w:hint="default"/>
      </w:rPr>
    </w:lvl>
    <w:lvl w:ilvl="3" w:tentative="0">
      <w:start w:val="1"/>
      <w:numFmt w:val="bullet"/>
      <w:lvlText w:val="•"/>
      <w:lvlJc w:val="left"/>
      <w:pPr>
        <w:ind w:left="815" w:hanging="259"/>
      </w:pPr>
      <w:rPr>
        <w:rFonts w:hint="default"/>
      </w:rPr>
    </w:lvl>
    <w:lvl w:ilvl="4" w:tentative="0">
      <w:start w:val="1"/>
      <w:numFmt w:val="bullet"/>
      <w:lvlText w:val="•"/>
      <w:lvlJc w:val="left"/>
      <w:pPr>
        <w:ind w:left="966" w:hanging="259"/>
      </w:pPr>
      <w:rPr>
        <w:rFonts w:hint="default"/>
      </w:rPr>
    </w:lvl>
    <w:lvl w:ilvl="5" w:tentative="0">
      <w:start w:val="1"/>
      <w:numFmt w:val="bullet"/>
      <w:lvlText w:val="•"/>
      <w:lvlJc w:val="left"/>
      <w:pPr>
        <w:ind w:left="1118" w:hanging="259"/>
      </w:pPr>
      <w:rPr>
        <w:rFonts w:hint="default"/>
      </w:rPr>
    </w:lvl>
    <w:lvl w:ilvl="6" w:tentative="0">
      <w:start w:val="1"/>
      <w:numFmt w:val="bullet"/>
      <w:lvlText w:val="•"/>
      <w:lvlJc w:val="left"/>
      <w:pPr>
        <w:ind w:left="1270" w:hanging="259"/>
      </w:pPr>
      <w:rPr>
        <w:rFonts w:hint="default"/>
      </w:rPr>
    </w:lvl>
    <w:lvl w:ilvl="7" w:tentative="0">
      <w:start w:val="1"/>
      <w:numFmt w:val="bullet"/>
      <w:lvlText w:val="•"/>
      <w:lvlJc w:val="left"/>
      <w:pPr>
        <w:ind w:left="1421" w:hanging="259"/>
      </w:pPr>
      <w:rPr>
        <w:rFonts w:hint="default"/>
      </w:rPr>
    </w:lvl>
    <w:lvl w:ilvl="8" w:tentative="0">
      <w:start w:val="1"/>
      <w:numFmt w:val="bullet"/>
      <w:lvlText w:val="•"/>
      <w:lvlJc w:val="left"/>
      <w:pPr>
        <w:ind w:left="1573" w:hanging="259"/>
      </w:pPr>
      <w:rPr>
        <w:rFonts w:hint="default"/>
      </w:rPr>
    </w:lvl>
  </w:abstractNum>
  <w:abstractNum w:abstractNumId="18">
    <w:nsid w:val="5735602E"/>
    <w:multiLevelType w:val="multilevel"/>
    <w:tmpl w:val="5735602E"/>
    <w:lvl w:ilvl="0" w:tentative="0">
      <w:start w:val="1"/>
      <w:numFmt w:val="decimal"/>
      <w:lvlText w:val="%1."/>
      <w:lvlJc w:val="left"/>
      <w:pPr>
        <w:ind w:left="364" w:hanging="257"/>
        <w:jc w:val="left"/>
      </w:pPr>
      <w:rPr>
        <w:rFonts w:hint="default" w:ascii="Arial" w:hAnsi="Arial" w:eastAsia="Times New Roman" w:cs="Arial"/>
        <w:spacing w:val="-1"/>
        <w:w w:val="100"/>
        <w:sz w:val="21"/>
        <w:szCs w:val="21"/>
      </w:rPr>
    </w:lvl>
    <w:lvl w:ilvl="1" w:tentative="0">
      <w:start w:val="1"/>
      <w:numFmt w:val="bullet"/>
      <w:lvlText w:val="•"/>
      <w:lvlJc w:val="left"/>
      <w:pPr>
        <w:ind w:left="565" w:hanging="257"/>
      </w:pPr>
      <w:rPr>
        <w:rFonts w:hint="default"/>
      </w:rPr>
    </w:lvl>
    <w:lvl w:ilvl="2" w:tentative="0">
      <w:start w:val="1"/>
      <w:numFmt w:val="bullet"/>
      <w:lvlText w:val="•"/>
      <w:lvlJc w:val="left"/>
      <w:pPr>
        <w:ind w:left="770" w:hanging="257"/>
      </w:pPr>
      <w:rPr>
        <w:rFonts w:hint="default"/>
      </w:rPr>
    </w:lvl>
    <w:lvl w:ilvl="3" w:tentative="0">
      <w:start w:val="1"/>
      <w:numFmt w:val="bullet"/>
      <w:lvlText w:val="•"/>
      <w:lvlJc w:val="left"/>
      <w:pPr>
        <w:ind w:left="976" w:hanging="257"/>
      </w:pPr>
      <w:rPr>
        <w:rFonts w:hint="default"/>
      </w:rPr>
    </w:lvl>
    <w:lvl w:ilvl="4" w:tentative="0">
      <w:start w:val="1"/>
      <w:numFmt w:val="bullet"/>
      <w:lvlText w:val="•"/>
      <w:lvlJc w:val="left"/>
      <w:pPr>
        <w:ind w:left="1181" w:hanging="257"/>
      </w:pPr>
      <w:rPr>
        <w:rFonts w:hint="default"/>
      </w:rPr>
    </w:lvl>
    <w:lvl w:ilvl="5" w:tentative="0">
      <w:start w:val="1"/>
      <w:numFmt w:val="bullet"/>
      <w:lvlText w:val="•"/>
      <w:lvlJc w:val="left"/>
      <w:pPr>
        <w:ind w:left="1387" w:hanging="257"/>
      </w:pPr>
      <w:rPr>
        <w:rFonts w:hint="default"/>
      </w:rPr>
    </w:lvl>
    <w:lvl w:ilvl="6" w:tentative="0">
      <w:start w:val="1"/>
      <w:numFmt w:val="bullet"/>
      <w:lvlText w:val="•"/>
      <w:lvlJc w:val="left"/>
      <w:pPr>
        <w:ind w:left="1592" w:hanging="257"/>
      </w:pPr>
      <w:rPr>
        <w:rFonts w:hint="default"/>
      </w:rPr>
    </w:lvl>
    <w:lvl w:ilvl="7" w:tentative="0">
      <w:start w:val="1"/>
      <w:numFmt w:val="bullet"/>
      <w:lvlText w:val="•"/>
      <w:lvlJc w:val="left"/>
      <w:pPr>
        <w:ind w:left="1798" w:hanging="257"/>
      </w:pPr>
      <w:rPr>
        <w:rFonts w:hint="default"/>
      </w:rPr>
    </w:lvl>
    <w:lvl w:ilvl="8" w:tentative="0">
      <w:start w:val="1"/>
      <w:numFmt w:val="bullet"/>
      <w:lvlText w:val="•"/>
      <w:lvlJc w:val="left"/>
      <w:pPr>
        <w:ind w:left="2003" w:hanging="257"/>
      </w:pPr>
      <w:rPr>
        <w:rFonts w:hint="default"/>
      </w:rPr>
    </w:lvl>
  </w:abstractNum>
  <w:abstractNum w:abstractNumId="19">
    <w:nsid w:val="5FAB7220"/>
    <w:multiLevelType w:val="multilevel"/>
    <w:tmpl w:val="5FAB7220"/>
    <w:lvl w:ilvl="0" w:tentative="0">
      <w:start w:val="1"/>
      <w:numFmt w:val="decimal"/>
      <w:lvlText w:val="%1."/>
      <w:lvlJc w:val="left"/>
      <w:pPr>
        <w:ind w:left="364" w:hanging="258"/>
        <w:jc w:val="left"/>
      </w:pPr>
      <w:rPr>
        <w:rFonts w:hint="default" w:ascii="Arial" w:hAnsi="Arial" w:eastAsia="Times New Roman" w:cs="Arial"/>
        <w:w w:val="100"/>
        <w:sz w:val="21"/>
        <w:szCs w:val="21"/>
      </w:rPr>
    </w:lvl>
    <w:lvl w:ilvl="1" w:tentative="0">
      <w:start w:val="1"/>
      <w:numFmt w:val="bullet"/>
      <w:lvlText w:val="•"/>
      <w:lvlJc w:val="left"/>
      <w:pPr>
        <w:ind w:left="565" w:hanging="258"/>
      </w:pPr>
      <w:rPr>
        <w:rFonts w:hint="default"/>
      </w:rPr>
    </w:lvl>
    <w:lvl w:ilvl="2" w:tentative="0">
      <w:start w:val="1"/>
      <w:numFmt w:val="bullet"/>
      <w:lvlText w:val="•"/>
      <w:lvlJc w:val="left"/>
      <w:pPr>
        <w:ind w:left="770" w:hanging="258"/>
      </w:pPr>
      <w:rPr>
        <w:rFonts w:hint="default"/>
      </w:rPr>
    </w:lvl>
    <w:lvl w:ilvl="3" w:tentative="0">
      <w:start w:val="1"/>
      <w:numFmt w:val="bullet"/>
      <w:lvlText w:val="•"/>
      <w:lvlJc w:val="left"/>
      <w:pPr>
        <w:ind w:left="976" w:hanging="258"/>
      </w:pPr>
      <w:rPr>
        <w:rFonts w:hint="default"/>
      </w:rPr>
    </w:lvl>
    <w:lvl w:ilvl="4" w:tentative="0">
      <w:start w:val="1"/>
      <w:numFmt w:val="bullet"/>
      <w:lvlText w:val="•"/>
      <w:lvlJc w:val="left"/>
      <w:pPr>
        <w:ind w:left="1181" w:hanging="258"/>
      </w:pPr>
      <w:rPr>
        <w:rFonts w:hint="default"/>
      </w:rPr>
    </w:lvl>
    <w:lvl w:ilvl="5" w:tentative="0">
      <w:start w:val="1"/>
      <w:numFmt w:val="bullet"/>
      <w:lvlText w:val="•"/>
      <w:lvlJc w:val="left"/>
      <w:pPr>
        <w:ind w:left="1387" w:hanging="258"/>
      </w:pPr>
      <w:rPr>
        <w:rFonts w:hint="default"/>
      </w:rPr>
    </w:lvl>
    <w:lvl w:ilvl="6" w:tentative="0">
      <w:start w:val="1"/>
      <w:numFmt w:val="bullet"/>
      <w:lvlText w:val="•"/>
      <w:lvlJc w:val="left"/>
      <w:pPr>
        <w:ind w:left="1592" w:hanging="258"/>
      </w:pPr>
      <w:rPr>
        <w:rFonts w:hint="default"/>
      </w:rPr>
    </w:lvl>
    <w:lvl w:ilvl="7" w:tentative="0">
      <w:start w:val="1"/>
      <w:numFmt w:val="bullet"/>
      <w:lvlText w:val="•"/>
      <w:lvlJc w:val="left"/>
      <w:pPr>
        <w:ind w:left="1798" w:hanging="258"/>
      </w:pPr>
      <w:rPr>
        <w:rFonts w:hint="default"/>
      </w:rPr>
    </w:lvl>
    <w:lvl w:ilvl="8" w:tentative="0">
      <w:start w:val="1"/>
      <w:numFmt w:val="bullet"/>
      <w:lvlText w:val="•"/>
      <w:lvlJc w:val="left"/>
      <w:pPr>
        <w:ind w:left="2003" w:hanging="258"/>
      </w:pPr>
      <w:rPr>
        <w:rFonts w:hint="default"/>
      </w:rPr>
    </w:lvl>
  </w:abstractNum>
  <w:abstractNum w:abstractNumId="20">
    <w:nsid w:val="67056907"/>
    <w:multiLevelType w:val="multilevel"/>
    <w:tmpl w:val="67056907"/>
    <w:lvl w:ilvl="0" w:tentative="0">
      <w:start w:val="1"/>
      <w:numFmt w:val="decimal"/>
      <w:lvlText w:val="%1."/>
      <w:lvlJc w:val="left"/>
      <w:pPr>
        <w:ind w:left="369" w:hanging="258"/>
        <w:jc w:val="left"/>
      </w:pPr>
      <w:rPr>
        <w:rFonts w:hint="default" w:ascii="Arial" w:hAnsi="Arial" w:eastAsia="Times New Roman" w:cs="Arial"/>
        <w:w w:val="100"/>
        <w:sz w:val="21"/>
        <w:szCs w:val="21"/>
      </w:rPr>
    </w:lvl>
    <w:lvl w:ilvl="1" w:tentative="0">
      <w:start w:val="1"/>
      <w:numFmt w:val="bullet"/>
      <w:lvlText w:val="•"/>
      <w:lvlJc w:val="left"/>
      <w:pPr>
        <w:ind w:left="511" w:hanging="258"/>
      </w:pPr>
      <w:rPr>
        <w:rFonts w:hint="default"/>
      </w:rPr>
    </w:lvl>
    <w:lvl w:ilvl="2" w:tentative="0">
      <w:start w:val="1"/>
      <w:numFmt w:val="bullet"/>
      <w:lvlText w:val="•"/>
      <w:lvlJc w:val="left"/>
      <w:pPr>
        <w:ind w:left="663" w:hanging="258"/>
      </w:pPr>
      <w:rPr>
        <w:rFonts w:hint="default"/>
      </w:rPr>
    </w:lvl>
    <w:lvl w:ilvl="3" w:tentative="0">
      <w:start w:val="1"/>
      <w:numFmt w:val="bullet"/>
      <w:lvlText w:val="•"/>
      <w:lvlJc w:val="left"/>
      <w:pPr>
        <w:ind w:left="815" w:hanging="258"/>
      </w:pPr>
      <w:rPr>
        <w:rFonts w:hint="default"/>
      </w:rPr>
    </w:lvl>
    <w:lvl w:ilvl="4" w:tentative="0">
      <w:start w:val="1"/>
      <w:numFmt w:val="bullet"/>
      <w:lvlText w:val="•"/>
      <w:lvlJc w:val="left"/>
      <w:pPr>
        <w:ind w:left="966" w:hanging="258"/>
      </w:pPr>
      <w:rPr>
        <w:rFonts w:hint="default"/>
      </w:rPr>
    </w:lvl>
    <w:lvl w:ilvl="5" w:tentative="0">
      <w:start w:val="1"/>
      <w:numFmt w:val="bullet"/>
      <w:lvlText w:val="•"/>
      <w:lvlJc w:val="left"/>
      <w:pPr>
        <w:ind w:left="1118" w:hanging="258"/>
      </w:pPr>
      <w:rPr>
        <w:rFonts w:hint="default"/>
      </w:rPr>
    </w:lvl>
    <w:lvl w:ilvl="6" w:tentative="0">
      <w:start w:val="1"/>
      <w:numFmt w:val="bullet"/>
      <w:lvlText w:val="•"/>
      <w:lvlJc w:val="left"/>
      <w:pPr>
        <w:ind w:left="1270" w:hanging="258"/>
      </w:pPr>
      <w:rPr>
        <w:rFonts w:hint="default"/>
      </w:rPr>
    </w:lvl>
    <w:lvl w:ilvl="7" w:tentative="0">
      <w:start w:val="1"/>
      <w:numFmt w:val="bullet"/>
      <w:lvlText w:val="•"/>
      <w:lvlJc w:val="left"/>
      <w:pPr>
        <w:ind w:left="1421" w:hanging="258"/>
      </w:pPr>
      <w:rPr>
        <w:rFonts w:hint="default"/>
      </w:rPr>
    </w:lvl>
    <w:lvl w:ilvl="8" w:tentative="0">
      <w:start w:val="1"/>
      <w:numFmt w:val="bullet"/>
      <w:lvlText w:val="•"/>
      <w:lvlJc w:val="left"/>
      <w:pPr>
        <w:ind w:left="1573" w:hanging="258"/>
      </w:pPr>
      <w:rPr>
        <w:rFonts w:hint="default"/>
      </w:rPr>
    </w:lvl>
  </w:abstractNum>
  <w:abstractNum w:abstractNumId="21">
    <w:nsid w:val="6F1B2BB4"/>
    <w:multiLevelType w:val="multilevel"/>
    <w:tmpl w:val="6F1B2BB4"/>
    <w:lvl w:ilvl="0" w:tentative="0">
      <w:start w:val="1"/>
      <w:numFmt w:val="decimal"/>
      <w:lvlText w:val="%1."/>
      <w:lvlJc w:val="left"/>
      <w:pPr>
        <w:ind w:left="460" w:hanging="360"/>
        <w:jc w:val="left"/>
      </w:pPr>
      <w:rPr>
        <w:rFonts w:hint="default" w:ascii="Arial" w:hAnsi="Arial" w:eastAsia="Times New Roman" w:cs="Arial"/>
        <w:spacing w:val="0"/>
        <w:w w:val="100"/>
        <w:sz w:val="24"/>
        <w:szCs w:val="24"/>
      </w:rPr>
    </w:lvl>
    <w:lvl w:ilvl="1" w:tentative="0">
      <w:start w:val="1"/>
      <w:numFmt w:val="decimal"/>
      <w:lvlText w:val="%2."/>
      <w:lvlJc w:val="left"/>
      <w:pPr>
        <w:ind w:left="840" w:hanging="360"/>
        <w:jc w:val="left"/>
      </w:pPr>
      <w:rPr>
        <w:rFonts w:hint="default" w:ascii="Arial" w:hAnsi="Arial" w:eastAsia="Times New Roman" w:cs="Arial"/>
        <w:spacing w:val="-3"/>
        <w:w w:val="100"/>
        <w:sz w:val="24"/>
        <w:szCs w:val="24"/>
      </w:rPr>
    </w:lvl>
    <w:lvl w:ilvl="2" w:tentative="0">
      <w:start w:val="1"/>
      <w:numFmt w:val="decimal"/>
      <w:lvlText w:val="%3."/>
      <w:lvlJc w:val="left"/>
      <w:pPr>
        <w:ind w:left="1560" w:hanging="720"/>
        <w:jc w:val="left"/>
      </w:pPr>
      <w:rPr>
        <w:rFonts w:hint="default" w:ascii="Arial" w:hAnsi="Arial" w:eastAsia="Times New Roman" w:cs="Arial"/>
        <w:spacing w:val="0"/>
        <w:w w:val="100"/>
        <w:sz w:val="24"/>
        <w:szCs w:val="24"/>
      </w:rPr>
    </w:lvl>
    <w:lvl w:ilvl="3" w:tentative="0">
      <w:start w:val="1"/>
      <w:numFmt w:val="bullet"/>
      <w:lvlText w:val="•"/>
      <w:lvlJc w:val="left"/>
      <w:pPr>
        <w:ind w:left="2560" w:hanging="720"/>
      </w:pPr>
      <w:rPr>
        <w:rFonts w:hint="default"/>
      </w:rPr>
    </w:lvl>
    <w:lvl w:ilvl="4" w:tentative="0">
      <w:start w:val="1"/>
      <w:numFmt w:val="bullet"/>
      <w:lvlText w:val="•"/>
      <w:lvlJc w:val="left"/>
      <w:pPr>
        <w:ind w:left="3560" w:hanging="720"/>
      </w:pPr>
      <w:rPr>
        <w:rFonts w:hint="default"/>
      </w:rPr>
    </w:lvl>
    <w:lvl w:ilvl="5" w:tentative="0">
      <w:start w:val="1"/>
      <w:numFmt w:val="bullet"/>
      <w:lvlText w:val="•"/>
      <w:lvlJc w:val="left"/>
      <w:pPr>
        <w:ind w:left="4560" w:hanging="720"/>
      </w:pPr>
      <w:rPr>
        <w:rFonts w:hint="default"/>
      </w:rPr>
    </w:lvl>
    <w:lvl w:ilvl="6" w:tentative="0">
      <w:start w:val="1"/>
      <w:numFmt w:val="bullet"/>
      <w:lvlText w:val="•"/>
      <w:lvlJc w:val="left"/>
      <w:pPr>
        <w:ind w:left="5560" w:hanging="720"/>
      </w:pPr>
      <w:rPr>
        <w:rFonts w:hint="default"/>
      </w:rPr>
    </w:lvl>
    <w:lvl w:ilvl="7" w:tentative="0">
      <w:start w:val="1"/>
      <w:numFmt w:val="bullet"/>
      <w:lvlText w:val="•"/>
      <w:lvlJc w:val="left"/>
      <w:pPr>
        <w:ind w:left="6560" w:hanging="720"/>
      </w:pPr>
      <w:rPr>
        <w:rFonts w:hint="default"/>
      </w:rPr>
    </w:lvl>
    <w:lvl w:ilvl="8" w:tentative="0">
      <w:start w:val="1"/>
      <w:numFmt w:val="bullet"/>
      <w:lvlText w:val="•"/>
      <w:lvlJc w:val="left"/>
      <w:pPr>
        <w:ind w:left="7560" w:hanging="720"/>
      </w:pPr>
      <w:rPr>
        <w:rFonts w:hint="default"/>
      </w:rPr>
    </w:lvl>
  </w:abstractNum>
  <w:abstractNum w:abstractNumId="22">
    <w:nsid w:val="7B1B7DC5"/>
    <w:multiLevelType w:val="multilevel"/>
    <w:tmpl w:val="7B1B7DC5"/>
    <w:lvl w:ilvl="0" w:tentative="0">
      <w:start w:val="1"/>
      <w:numFmt w:val="bullet"/>
      <w:lvlText w:val=""/>
      <w:lvlJc w:val="left"/>
      <w:pPr>
        <w:ind w:left="1560" w:hanging="720"/>
      </w:pPr>
      <w:rPr>
        <w:rFonts w:hint="default" w:ascii="Symbol" w:hAnsi="Symbol" w:eastAsia="Symbol"/>
        <w:w w:val="100"/>
        <w:sz w:val="24"/>
        <w:szCs w:val="24"/>
      </w:rPr>
    </w:lvl>
    <w:lvl w:ilvl="1" w:tentative="0">
      <w:start w:val="1"/>
      <w:numFmt w:val="bullet"/>
      <w:lvlText w:val="•"/>
      <w:lvlJc w:val="left"/>
      <w:pPr>
        <w:ind w:left="2362" w:hanging="720"/>
      </w:pPr>
      <w:rPr>
        <w:rFonts w:hint="default"/>
      </w:rPr>
    </w:lvl>
    <w:lvl w:ilvl="2" w:tentative="0">
      <w:start w:val="1"/>
      <w:numFmt w:val="bullet"/>
      <w:lvlText w:val="•"/>
      <w:lvlJc w:val="left"/>
      <w:pPr>
        <w:ind w:left="3164" w:hanging="720"/>
      </w:pPr>
      <w:rPr>
        <w:rFonts w:hint="default"/>
      </w:rPr>
    </w:lvl>
    <w:lvl w:ilvl="3" w:tentative="0">
      <w:start w:val="1"/>
      <w:numFmt w:val="bullet"/>
      <w:lvlText w:val="•"/>
      <w:lvlJc w:val="left"/>
      <w:pPr>
        <w:ind w:left="3966" w:hanging="720"/>
      </w:pPr>
      <w:rPr>
        <w:rFonts w:hint="default"/>
      </w:rPr>
    </w:lvl>
    <w:lvl w:ilvl="4" w:tentative="0">
      <w:start w:val="1"/>
      <w:numFmt w:val="bullet"/>
      <w:lvlText w:val="•"/>
      <w:lvlJc w:val="left"/>
      <w:pPr>
        <w:ind w:left="4768" w:hanging="720"/>
      </w:pPr>
      <w:rPr>
        <w:rFonts w:hint="default"/>
      </w:rPr>
    </w:lvl>
    <w:lvl w:ilvl="5" w:tentative="0">
      <w:start w:val="1"/>
      <w:numFmt w:val="bullet"/>
      <w:lvlText w:val="•"/>
      <w:lvlJc w:val="left"/>
      <w:pPr>
        <w:ind w:left="5570" w:hanging="720"/>
      </w:pPr>
      <w:rPr>
        <w:rFonts w:hint="default"/>
      </w:rPr>
    </w:lvl>
    <w:lvl w:ilvl="6" w:tentative="0">
      <w:start w:val="1"/>
      <w:numFmt w:val="bullet"/>
      <w:lvlText w:val="•"/>
      <w:lvlJc w:val="left"/>
      <w:pPr>
        <w:ind w:left="6372" w:hanging="720"/>
      </w:pPr>
      <w:rPr>
        <w:rFonts w:hint="default"/>
      </w:rPr>
    </w:lvl>
    <w:lvl w:ilvl="7" w:tentative="0">
      <w:start w:val="1"/>
      <w:numFmt w:val="bullet"/>
      <w:lvlText w:val="•"/>
      <w:lvlJc w:val="left"/>
      <w:pPr>
        <w:ind w:left="7174" w:hanging="720"/>
      </w:pPr>
      <w:rPr>
        <w:rFonts w:hint="default"/>
      </w:rPr>
    </w:lvl>
    <w:lvl w:ilvl="8" w:tentative="0">
      <w:start w:val="1"/>
      <w:numFmt w:val="bullet"/>
      <w:lvlText w:val="•"/>
      <w:lvlJc w:val="left"/>
      <w:pPr>
        <w:ind w:left="7976" w:hanging="720"/>
      </w:pPr>
      <w:rPr>
        <w:rFonts w:hint="default"/>
      </w:rPr>
    </w:lvl>
  </w:abstractNum>
  <w:abstractNum w:abstractNumId="23">
    <w:nsid w:val="7C854241"/>
    <w:multiLevelType w:val="multilevel"/>
    <w:tmpl w:val="7C854241"/>
    <w:lvl w:ilvl="0" w:tentative="0">
      <w:start w:val="1"/>
      <w:numFmt w:val="decimal"/>
      <w:lvlText w:val="%1."/>
      <w:lvlJc w:val="left"/>
      <w:pPr>
        <w:ind w:left="820" w:hanging="360"/>
        <w:jc w:val="left"/>
      </w:pPr>
      <w:rPr>
        <w:rFonts w:hint="default" w:ascii="Arial" w:hAnsi="Arial" w:eastAsia="Times New Roman" w:cs="Arial"/>
        <w:spacing w:val="0"/>
        <w:w w:val="100"/>
        <w:sz w:val="24"/>
        <w:szCs w:val="24"/>
      </w:rPr>
    </w:lvl>
    <w:lvl w:ilvl="1" w:tentative="0">
      <w:start w:val="1"/>
      <w:numFmt w:val="bullet"/>
      <w:lvlText w:val="•"/>
      <w:lvlJc w:val="left"/>
      <w:pPr>
        <w:ind w:left="1696" w:hanging="360"/>
      </w:pPr>
      <w:rPr>
        <w:rFonts w:hint="default"/>
      </w:rPr>
    </w:lvl>
    <w:lvl w:ilvl="2" w:tentative="0">
      <w:start w:val="1"/>
      <w:numFmt w:val="bullet"/>
      <w:lvlText w:val="•"/>
      <w:lvlJc w:val="left"/>
      <w:pPr>
        <w:ind w:left="2572" w:hanging="360"/>
      </w:pPr>
      <w:rPr>
        <w:rFonts w:hint="default"/>
      </w:rPr>
    </w:lvl>
    <w:lvl w:ilvl="3" w:tentative="0">
      <w:start w:val="1"/>
      <w:numFmt w:val="bullet"/>
      <w:lvlText w:val="•"/>
      <w:lvlJc w:val="left"/>
      <w:pPr>
        <w:ind w:left="3448" w:hanging="360"/>
      </w:pPr>
      <w:rPr>
        <w:rFonts w:hint="default"/>
      </w:rPr>
    </w:lvl>
    <w:lvl w:ilvl="4" w:tentative="0">
      <w:start w:val="1"/>
      <w:numFmt w:val="bullet"/>
      <w:lvlText w:val="•"/>
      <w:lvlJc w:val="left"/>
      <w:pPr>
        <w:ind w:left="4324"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6" w:hanging="360"/>
      </w:pPr>
      <w:rPr>
        <w:rFonts w:hint="default"/>
      </w:rPr>
    </w:lvl>
    <w:lvl w:ilvl="7" w:tentative="0">
      <w:start w:val="1"/>
      <w:numFmt w:val="bullet"/>
      <w:lvlText w:val="•"/>
      <w:lvlJc w:val="left"/>
      <w:pPr>
        <w:ind w:left="6952" w:hanging="360"/>
      </w:pPr>
      <w:rPr>
        <w:rFonts w:hint="default"/>
      </w:rPr>
    </w:lvl>
    <w:lvl w:ilvl="8" w:tentative="0">
      <w:start w:val="1"/>
      <w:numFmt w:val="bullet"/>
      <w:lvlText w:val="•"/>
      <w:lvlJc w:val="left"/>
      <w:pPr>
        <w:ind w:left="7828" w:hanging="360"/>
      </w:pPr>
      <w:rPr>
        <w:rFonts w:hint="default"/>
      </w:rPr>
    </w:lvl>
  </w:abstractNum>
  <w:num w:numId="1">
    <w:abstractNumId w:val="15"/>
  </w:num>
  <w:num w:numId="2">
    <w:abstractNumId w:val="3"/>
  </w:num>
  <w:num w:numId="3">
    <w:abstractNumId w:val="13"/>
  </w:num>
  <w:num w:numId="4">
    <w:abstractNumId w:val="14"/>
  </w:num>
  <w:num w:numId="5">
    <w:abstractNumId w:val="4"/>
  </w:num>
  <w:num w:numId="6">
    <w:abstractNumId w:val="21"/>
  </w:num>
  <w:num w:numId="7">
    <w:abstractNumId w:val="22"/>
  </w:num>
  <w:num w:numId="8">
    <w:abstractNumId w:val="6"/>
  </w:num>
  <w:num w:numId="9">
    <w:abstractNumId w:val="7"/>
  </w:num>
  <w:num w:numId="10">
    <w:abstractNumId w:val="16"/>
  </w:num>
  <w:num w:numId="11">
    <w:abstractNumId w:val="12"/>
  </w:num>
  <w:num w:numId="12">
    <w:abstractNumId w:val="2"/>
  </w:num>
  <w:num w:numId="13">
    <w:abstractNumId w:val="23"/>
  </w:num>
  <w:num w:numId="14">
    <w:abstractNumId w:val="17"/>
  </w:num>
  <w:num w:numId="15">
    <w:abstractNumId w:val="0"/>
  </w:num>
  <w:num w:numId="16">
    <w:abstractNumId w:val="1"/>
  </w:num>
  <w:num w:numId="17">
    <w:abstractNumId w:val="19"/>
  </w:num>
  <w:num w:numId="18">
    <w:abstractNumId w:val="9"/>
  </w:num>
  <w:num w:numId="19">
    <w:abstractNumId w:val="5"/>
  </w:num>
  <w:num w:numId="20">
    <w:abstractNumId w:val="18"/>
  </w:num>
  <w:num w:numId="21">
    <w:abstractNumId w:val="10"/>
  </w:num>
  <w:num w:numId="22">
    <w:abstractNumId w:val="20"/>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4"/>
    <w:footnote w:id="5"/>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7F"/>
    <w:rsid w:val="00024451"/>
    <w:rsid w:val="00052C0A"/>
    <w:rsid w:val="000A2F78"/>
    <w:rsid w:val="000F0E47"/>
    <w:rsid w:val="00114E37"/>
    <w:rsid w:val="001725DE"/>
    <w:rsid w:val="001B3618"/>
    <w:rsid w:val="001F5FCC"/>
    <w:rsid w:val="00217B8A"/>
    <w:rsid w:val="002250AF"/>
    <w:rsid w:val="00251913"/>
    <w:rsid w:val="00255784"/>
    <w:rsid w:val="002849E2"/>
    <w:rsid w:val="0029278B"/>
    <w:rsid w:val="00295ED5"/>
    <w:rsid w:val="00297820"/>
    <w:rsid w:val="002E6C02"/>
    <w:rsid w:val="002F0641"/>
    <w:rsid w:val="00307407"/>
    <w:rsid w:val="00320E57"/>
    <w:rsid w:val="003401B9"/>
    <w:rsid w:val="00354AAC"/>
    <w:rsid w:val="00357952"/>
    <w:rsid w:val="00361141"/>
    <w:rsid w:val="00381534"/>
    <w:rsid w:val="00383B21"/>
    <w:rsid w:val="00385132"/>
    <w:rsid w:val="003B12DB"/>
    <w:rsid w:val="003E6DA7"/>
    <w:rsid w:val="003F6E63"/>
    <w:rsid w:val="00414005"/>
    <w:rsid w:val="00443F66"/>
    <w:rsid w:val="004657B0"/>
    <w:rsid w:val="00474018"/>
    <w:rsid w:val="004967E5"/>
    <w:rsid w:val="004C0882"/>
    <w:rsid w:val="004E000B"/>
    <w:rsid w:val="00513543"/>
    <w:rsid w:val="005221C7"/>
    <w:rsid w:val="005520EA"/>
    <w:rsid w:val="00555AB0"/>
    <w:rsid w:val="005E79B0"/>
    <w:rsid w:val="005F35EB"/>
    <w:rsid w:val="0062435E"/>
    <w:rsid w:val="006425DF"/>
    <w:rsid w:val="0065731C"/>
    <w:rsid w:val="006C654B"/>
    <w:rsid w:val="00732D11"/>
    <w:rsid w:val="00760843"/>
    <w:rsid w:val="00795ACF"/>
    <w:rsid w:val="007A15BB"/>
    <w:rsid w:val="007A1F02"/>
    <w:rsid w:val="007B67AB"/>
    <w:rsid w:val="007E352D"/>
    <w:rsid w:val="00800D40"/>
    <w:rsid w:val="008063BD"/>
    <w:rsid w:val="00836243"/>
    <w:rsid w:val="008378ED"/>
    <w:rsid w:val="00842383"/>
    <w:rsid w:val="0084283F"/>
    <w:rsid w:val="00843822"/>
    <w:rsid w:val="00856788"/>
    <w:rsid w:val="00866109"/>
    <w:rsid w:val="008E5CA8"/>
    <w:rsid w:val="008F4879"/>
    <w:rsid w:val="00931FEA"/>
    <w:rsid w:val="009D7923"/>
    <w:rsid w:val="009F012D"/>
    <w:rsid w:val="00A76FEE"/>
    <w:rsid w:val="00AD6218"/>
    <w:rsid w:val="00AF2287"/>
    <w:rsid w:val="00AF3F2A"/>
    <w:rsid w:val="00B17BC8"/>
    <w:rsid w:val="00B40ADF"/>
    <w:rsid w:val="00B76164"/>
    <w:rsid w:val="00B85A36"/>
    <w:rsid w:val="00B95D9B"/>
    <w:rsid w:val="00BB11C9"/>
    <w:rsid w:val="00BE7053"/>
    <w:rsid w:val="00C12677"/>
    <w:rsid w:val="00C56F57"/>
    <w:rsid w:val="00C82136"/>
    <w:rsid w:val="00D035D4"/>
    <w:rsid w:val="00D10ED3"/>
    <w:rsid w:val="00D71CC6"/>
    <w:rsid w:val="00D87C74"/>
    <w:rsid w:val="00D96C68"/>
    <w:rsid w:val="00DC65D7"/>
    <w:rsid w:val="00DD42BA"/>
    <w:rsid w:val="00DE4EEA"/>
    <w:rsid w:val="00E316C7"/>
    <w:rsid w:val="00E564AA"/>
    <w:rsid w:val="00E667C6"/>
    <w:rsid w:val="00E9737F"/>
    <w:rsid w:val="00EA28D5"/>
    <w:rsid w:val="00F21299"/>
    <w:rsid w:val="00F278C9"/>
    <w:rsid w:val="00F632CE"/>
    <w:rsid w:val="00FC2873"/>
    <w:rsid w:val="00FD11F4"/>
    <w:rsid w:val="7C0B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1" w:semiHidden="0" w:name="toc 5"/>
    <w:lsdException w:qFormat="1" w:unhideWhenUsed="0" w:uiPriority="1" w:semiHidden="0" w:name="toc 6"/>
    <w:lsdException w:qFormat="1" w:unhideWhenUsed="0" w:uiPriority="1" w:semiHidden="0"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20"/>
      <w:outlineLvl w:val="0"/>
    </w:pPr>
    <w:rPr>
      <w:rFonts w:ascii="Times New Roman" w:hAnsi="Times New Roman" w:eastAsia="宋体"/>
      <w:b/>
      <w:bCs/>
      <w:sz w:val="24"/>
      <w:szCs w:val="24"/>
    </w:rPr>
  </w:style>
  <w:style w:type="paragraph" w:styleId="3">
    <w:name w:val="heading 2"/>
    <w:basedOn w:val="1"/>
    <w:qFormat/>
    <w:uiPriority w:val="1"/>
    <w:pPr>
      <w:ind w:left="100"/>
      <w:outlineLvl w:val="1"/>
    </w:pPr>
    <w:rPr>
      <w:rFonts w:ascii="Times New Roman" w:hAnsi="Times New Roman" w:eastAsia="宋体"/>
      <w:b/>
      <w:bCs/>
      <w:i/>
      <w:sz w:val="24"/>
      <w:szCs w:val="24"/>
      <w:u w:val="single"/>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toc 7"/>
    <w:basedOn w:val="1"/>
    <w:qFormat/>
    <w:uiPriority w:val="1"/>
    <w:pPr>
      <w:spacing w:before="7"/>
      <w:ind w:left="1900"/>
    </w:pPr>
    <w:rPr>
      <w:rFonts w:ascii="Times New Roman" w:hAnsi="Times New Roman" w:eastAsia="宋体"/>
      <w:b/>
      <w:bCs/>
      <w:i/>
      <w:sz w:val="24"/>
      <w:szCs w:val="24"/>
    </w:rPr>
  </w:style>
  <w:style w:type="paragraph" w:styleId="6">
    <w:name w:val="Body Text"/>
    <w:basedOn w:val="1"/>
    <w:qFormat/>
    <w:uiPriority w:val="1"/>
    <w:pPr>
      <w:ind w:left="100"/>
    </w:pPr>
    <w:rPr>
      <w:rFonts w:ascii="Times New Roman" w:hAnsi="Times New Roman" w:eastAsia="宋体"/>
      <w:sz w:val="24"/>
      <w:szCs w:val="24"/>
    </w:rPr>
  </w:style>
  <w:style w:type="paragraph" w:styleId="7">
    <w:name w:val="toc 5"/>
    <w:basedOn w:val="1"/>
    <w:qFormat/>
    <w:uiPriority w:val="1"/>
    <w:pPr>
      <w:spacing w:before="25"/>
      <w:ind w:left="1247"/>
    </w:pPr>
    <w:rPr>
      <w:rFonts w:ascii="Times New Roman" w:hAnsi="Times New Roman" w:eastAsia="宋体"/>
      <w:sz w:val="20"/>
      <w:szCs w:val="20"/>
    </w:rPr>
  </w:style>
  <w:style w:type="paragraph" w:styleId="8">
    <w:name w:val="toc 3"/>
    <w:basedOn w:val="1"/>
    <w:qFormat/>
    <w:uiPriority w:val="39"/>
    <w:pPr>
      <w:snapToGrid w:val="0"/>
      <w:spacing w:line="300" w:lineRule="auto"/>
      <w:ind w:left="587" w:leftChars="400" w:hanging="187"/>
    </w:pPr>
    <w:rPr>
      <w:rFonts w:ascii="Arial" w:hAnsi="Arial" w:eastAsia="宋体"/>
      <w:b/>
      <w:bCs/>
      <w:i/>
      <w:sz w:val="24"/>
      <w:szCs w:val="24"/>
    </w:rPr>
  </w:style>
  <w:style w:type="paragraph" w:styleId="9">
    <w:name w:val="Balloon Text"/>
    <w:basedOn w:val="1"/>
    <w:link w:val="24"/>
    <w:semiHidden/>
    <w:unhideWhenUsed/>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napToGrid w:val="0"/>
      <w:spacing w:line="300" w:lineRule="auto"/>
    </w:pPr>
    <w:rPr>
      <w:rFonts w:ascii="Arial" w:hAnsi="Arial" w:eastAsia="宋体"/>
      <w:b/>
      <w:bCs/>
      <w:i/>
      <w:sz w:val="24"/>
      <w:szCs w:val="24"/>
    </w:rPr>
  </w:style>
  <w:style w:type="paragraph" w:styleId="13">
    <w:name w:val="toc 4"/>
    <w:basedOn w:val="1"/>
    <w:qFormat/>
    <w:uiPriority w:val="39"/>
    <w:pPr>
      <w:snapToGrid w:val="0"/>
      <w:spacing w:line="300" w:lineRule="auto"/>
      <w:ind w:left="600" w:leftChars="600"/>
    </w:pPr>
    <w:rPr>
      <w:rFonts w:ascii="Arial" w:hAnsi="Arial" w:eastAsia="宋体"/>
      <w:b/>
      <w:bCs/>
      <w:i/>
      <w:sz w:val="24"/>
      <w:szCs w:val="24"/>
    </w:rPr>
  </w:style>
  <w:style w:type="paragraph" w:styleId="14">
    <w:name w:val="footnote text"/>
    <w:basedOn w:val="1"/>
    <w:link w:val="27"/>
    <w:semiHidden/>
    <w:unhideWhenUsed/>
    <w:qFormat/>
    <w:uiPriority w:val="99"/>
    <w:pPr>
      <w:snapToGrid w:val="0"/>
    </w:pPr>
    <w:rPr>
      <w:sz w:val="18"/>
      <w:szCs w:val="18"/>
    </w:rPr>
  </w:style>
  <w:style w:type="paragraph" w:styleId="15">
    <w:name w:val="toc 6"/>
    <w:basedOn w:val="1"/>
    <w:qFormat/>
    <w:uiPriority w:val="1"/>
    <w:pPr>
      <w:spacing w:before="7"/>
      <w:ind w:left="1540"/>
    </w:pPr>
    <w:rPr>
      <w:rFonts w:ascii="Times New Roman" w:hAnsi="Times New Roman" w:eastAsia="宋体"/>
      <w:b/>
      <w:bCs/>
      <w:i/>
      <w:sz w:val="24"/>
      <w:szCs w:val="24"/>
    </w:rPr>
  </w:style>
  <w:style w:type="paragraph" w:styleId="16">
    <w:name w:val="toc 2"/>
    <w:basedOn w:val="1"/>
    <w:qFormat/>
    <w:uiPriority w:val="39"/>
    <w:pPr>
      <w:snapToGrid w:val="0"/>
      <w:spacing w:line="300" w:lineRule="auto"/>
      <w:ind w:left="200" w:leftChars="200"/>
    </w:pPr>
    <w:rPr>
      <w:rFonts w:ascii="Arial" w:hAnsi="Arial" w:eastAsia="宋体"/>
      <w:b/>
      <w:bCs/>
      <w:i/>
      <w:sz w:val="24"/>
      <w:szCs w:val="2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footnote reference"/>
    <w:basedOn w:val="18"/>
    <w:semiHidden/>
    <w:unhideWhenUsed/>
    <w:qFormat/>
    <w:uiPriority w:val="99"/>
    <w:rPr>
      <w:vertAlign w:val="superscript"/>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批注框文本 Char"/>
    <w:basedOn w:val="18"/>
    <w:link w:val="9"/>
    <w:semiHidden/>
    <w:qFormat/>
    <w:uiPriority w:val="99"/>
    <w:rPr>
      <w:sz w:val="18"/>
      <w:szCs w:val="18"/>
    </w:rPr>
  </w:style>
  <w:style w:type="character" w:customStyle="1" w:styleId="25">
    <w:name w:val="页眉 Char"/>
    <w:basedOn w:val="18"/>
    <w:link w:val="11"/>
    <w:qFormat/>
    <w:uiPriority w:val="99"/>
    <w:rPr>
      <w:sz w:val="18"/>
      <w:szCs w:val="18"/>
    </w:rPr>
  </w:style>
  <w:style w:type="character" w:customStyle="1" w:styleId="26">
    <w:name w:val="页脚 Char"/>
    <w:basedOn w:val="18"/>
    <w:link w:val="10"/>
    <w:qFormat/>
    <w:uiPriority w:val="99"/>
    <w:rPr>
      <w:sz w:val="18"/>
      <w:szCs w:val="18"/>
    </w:rPr>
  </w:style>
  <w:style w:type="character" w:customStyle="1" w:styleId="27">
    <w:name w:val="脚注文本 Char"/>
    <w:basedOn w:val="18"/>
    <w:link w:val="14"/>
    <w:semiHidden/>
    <w:uiPriority w:val="99"/>
    <w:rPr>
      <w:sz w:val="18"/>
      <w:szCs w:val="18"/>
    </w:rPr>
  </w:style>
  <w:style w:type="character" w:customStyle="1" w:styleId="28">
    <w:name w:val="标题 3 Char"/>
    <w:basedOn w:val="18"/>
    <w:link w:val="4"/>
    <w:semiHidden/>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143F-71FE-4F28-9F53-5F8035AD5B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16154</Words>
  <Characters>17931</Characters>
  <Lines>146</Lines>
  <Paragraphs>41</Paragraphs>
  <TotalTime>0</TotalTime>
  <ScaleCrop>false</ScaleCrop>
  <LinksUpToDate>false</LinksUpToDate>
  <CharactersWithSpaces>18050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2017-12-18T13:16:00Z</dcterms:created>
  <dc:creator>Theresa Mcdonald</dc:creator>
  <cp:lastModifiedBy>太极箫客</cp:lastModifiedBy>
  <dcterms:modified xsi:type="dcterms:W3CDTF">2025-08-14T06:17:10Z</dcterms:modified>
  <dc:title>ide policy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vt:lpwstr>
  </property>
  <property fmtid="{D5CDD505-2E9C-101B-9397-08002B2CF9AE}" pid="4" name="LastSaved">
    <vt:filetime>2017-12-01T00:00:00Z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1DFFF63C2FE6401198DE6FBD20B863ED_12</vt:lpwstr>
  </property>
</Properties>
</file>