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6B6289">
      <w:pPr>
        <w:pStyle w:val="2"/>
        <w:spacing w:before="50" w:line="221" w:lineRule="auto"/>
        <w:ind w:left="3333"/>
      </w:pPr>
      <w:bookmarkStart w:id="0" w:name="_GoBack"/>
      <w:bookmarkEnd w:id="0"/>
      <w:r>
        <w:rPr>
          <w:b/>
          <w:bCs/>
          <w:spacing w:val="-9"/>
        </w:rPr>
        <w:t>GB/T</w:t>
      </w:r>
      <w:r>
        <w:rPr>
          <w:spacing w:val="-9"/>
        </w:rPr>
        <w:t xml:space="preserve"> </w:t>
      </w:r>
      <w:r>
        <w:rPr>
          <w:b/>
          <w:bCs/>
          <w:spacing w:val="-9"/>
        </w:rPr>
        <w:t>42062风险管理考试</w:t>
      </w:r>
    </w:p>
    <w:p w14:paraId="68829CB3">
      <w:pPr>
        <w:spacing w:line="241" w:lineRule="auto"/>
        <w:rPr>
          <w:rFonts w:ascii="Arial"/>
          <w:sz w:val="21"/>
        </w:rPr>
      </w:pPr>
    </w:p>
    <w:p w14:paraId="52F2E16E">
      <w:pPr>
        <w:spacing w:line="241" w:lineRule="auto"/>
        <w:rPr>
          <w:rFonts w:ascii="Arial"/>
          <w:sz w:val="21"/>
        </w:rPr>
      </w:pPr>
    </w:p>
    <w:p w14:paraId="3DF2FD9A">
      <w:pPr>
        <w:spacing w:line="241" w:lineRule="auto"/>
        <w:rPr>
          <w:rFonts w:ascii="Arial"/>
          <w:sz w:val="21"/>
        </w:rPr>
      </w:pPr>
    </w:p>
    <w:p w14:paraId="2E3F4AC1">
      <w:pPr>
        <w:spacing w:line="241" w:lineRule="auto"/>
        <w:rPr>
          <w:rFonts w:ascii="Arial"/>
          <w:sz w:val="21"/>
        </w:rPr>
      </w:pPr>
    </w:p>
    <w:p w14:paraId="0E2F104E">
      <w:pPr>
        <w:spacing w:line="242" w:lineRule="auto"/>
        <w:rPr>
          <w:rFonts w:ascii="Arial"/>
          <w:sz w:val="21"/>
        </w:rPr>
      </w:pPr>
    </w:p>
    <w:p w14:paraId="68B8FCBB">
      <w:pPr>
        <w:spacing w:line="242" w:lineRule="auto"/>
        <w:rPr>
          <w:rFonts w:ascii="Arial"/>
          <w:sz w:val="21"/>
        </w:rPr>
      </w:pPr>
    </w:p>
    <w:p w14:paraId="6F6A0C02">
      <w:pPr>
        <w:spacing w:line="242" w:lineRule="auto"/>
        <w:rPr>
          <w:rFonts w:ascii="Arial"/>
          <w:sz w:val="21"/>
        </w:rPr>
      </w:pPr>
    </w:p>
    <w:p w14:paraId="2BE11815">
      <w:pPr>
        <w:spacing w:line="242" w:lineRule="auto"/>
        <w:rPr>
          <w:rFonts w:ascii="Arial"/>
          <w:sz w:val="21"/>
        </w:rPr>
      </w:pPr>
    </w:p>
    <w:p w14:paraId="1F10ECE9">
      <w:pPr>
        <w:pStyle w:val="2"/>
        <w:spacing w:before="82" w:line="233" w:lineRule="auto"/>
        <w:ind w:left="229" w:right="227" w:hanging="229"/>
        <w:rPr>
          <w:rFonts w:ascii="宋体" w:hAnsi="宋体" w:eastAsia="宋体" w:cs="宋体"/>
        </w:rPr>
      </w:pPr>
      <w:r>
        <w:rPr>
          <w:spacing w:val="-8"/>
        </w:rPr>
        <w:t>·□1、GB/T42062-2022《</w:t>
      </w:r>
      <w:r>
        <w:rPr>
          <w:spacing w:val="93"/>
        </w:rPr>
        <w:t xml:space="preserve"> </w:t>
      </w:r>
      <w:r>
        <w:rPr>
          <w:spacing w:val="-8"/>
        </w:rPr>
        <w:t>医疗器械风险管理对医疗器械的应用》标准</w:t>
      </w:r>
      <w:r>
        <w:rPr>
          <w:spacing w:val="-9"/>
        </w:rPr>
        <w:t>实施日期是2023年11月</w:t>
      </w:r>
      <w:r>
        <w:t xml:space="preserve"> </w:t>
      </w:r>
      <w:r>
        <w:rPr>
          <w:rFonts w:ascii="宋体" w:hAnsi="宋体" w:eastAsia="宋体" w:cs="宋体"/>
          <w:spacing w:val="-13"/>
        </w:rPr>
        <w:t>01日。</w:t>
      </w:r>
    </w:p>
    <w:p w14:paraId="546FA38B">
      <w:pPr>
        <w:pStyle w:val="2"/>
        <w:spacing w:before="16" w:line="209" w:lineRule="auto"/>
        <w:ind w:left="229" w:right="683" w:hanging="229"/>
        <w:rPr>
          <w:sz w:val="29"/>
          <w:szCs w:val="29"/>
        </w:rPr>
      </w:pPr>
      <w:r>
        <w:rPr>
          <w:rFonts w:ascii="Arial" w:hAnsi="Arial" w:eastAsia="Arial" w:cs="Arial"/>
          <w:spacing w:val="-6"/>
        </w:rPr>
        <w:t>·□2</w:t>
      </w:r>
      <w:r>
        <w:rPr>
          <w:rFonts w:ascii="宋体" w:hAnsi="宋体" w:eastAsia="宋体" w:cs="宋体"/>
          <w:spacing w:val="-6"/>
        </w:rPr>
        <w:t xml:space="preserve">、  </w:t>
      </w:r>
      <w:r>
        <w:rPr>
          <w:spacing w:val="-6"/>
        </w:rPr>
        <w:t>本标准使用的翻译法等同采用ISO14971:2019《医疗器械风险管理对医疗器械的应</w:t>
      </w:r>
      <w:r>
        <w:rPr>
          <w:spacing w:val="6"/>
        </w:rPr>
        <w:t xml:space="preserve"> </w:t>
      </w:r>
      <w:r>
        <w:rPr>
          <w:spacing w:val="-35"/>
          <w:sz w:val="29"/>
          <w:szCs w:val="29"/>
        </w:rPr>
        <w:t>用》。</w:t>
      </w:r>
    </w:p>
    <w:p w14:paraId="752D776E">
      <w:pPr>
        <w:pStyle w:val="2"/>
        <w:spacing w:before="9" w:line="221" w:lineRule="auto"/>
        <w:ind w:right="66"/>
        <w:jc w:val="right"/>
      </w:pPr>
      <w:r>
        <w:rPr>
          <w:spacing w:val="-9"/>
        </w:rPr>
        <w:t>·□3、GB/T42062-2022《</w:t>
      </w:r>
      <w:r>
        <w:rPr>
          <w:spacing w:val="43"/>
        </w:rPr>
        <w:t xml:space="preserve"> </w:t>
      </w:r>
      <w:r>
        <w:rPr>
          <w:spacing w:val="-9"/>
        </w:rPr>
        <w:t>医疗器械风险管理对医疗</w:t>
      </w:r>
      <w:r>
        <w:rPr>
          <w:spacing w:val="-10"/>
        </w:rPr>
        <w:t>器械的应用》标准由国家药品监督局提出。</w:t>
      </w:r>
      <w:r>
        <w:t xml:space="preserve"> </w:t>
      </w:r>
      <w:r>
        <w:rPr>
          <w:spacing w:val="-8"/>
        </w:rPr>
        <w:t>□4、本标准基于多年来逐步发展的已建立的风险管理原则专门为医疗器械制造商而制定，对</w:t>
      </w:r>
      <w:r>
        <w:t xml:space="preserve"> </w:t>
      </w:r>
      <w:r>
        <w:rPr>
          <w:spacing w:val="-10"/>
        </w:rPr>
        <w:t>于在某些管辖区属于非医疗器械的其他产品，以及在医疗器械生命周期中涉及的供方和其他各</w:t>
      </w:r>
    </w:p>
    <w:p w14:paraId="0106B8D0">
      <w:pPr>
        <w:pStyle w:val="2"/>
        <w:spacing w:before="31" w:line="213" w:lineRule="auto"/>
        <w:ind w:left="229"/>
      </w:pPr>
      <w:r>
        <w:rPr>
          <w:spacing w:val="-12"/>
        </w:rPr>
        <w:t>方，本文件可以用作开发和保持风险管理过程的指南。</w:t>
      </w:r>
    </w:p>
    <w:p w14:paraId="2763BAF7">
      <w:pPr>
        <w:pStyle w:val="2"/>
        <w:spacing w:before="32" w:line="186" w:lineRule="auto"/>
      </w:pPr>
      <w:r>
        <w:rPr>
          <w:spacing w:val="-9"/>
        </w:rPr>
        <w:t>·□5、本标准涉及管理风险的过程，均是对患者的风险</w:t>
      </w:r>
      <w:r>
        <w:rPr>
          <w:spacing w:val="-10"/>
        </w:rPr>
        <w:t>，不包括对操作者的风险。</w:t>
      </w:r>
    </w:p>
    <w:p w14:paraId="5D747EC1">
      <w:pPr>
        <w:pStyle w:val="2"/>
        <w:spacing w:line="339" w:lineRule="exact"/>
      </w:pPr>
      <w:r>
        <w:rPr>
          <w:spacing w:val="-13"/>
          <w:position w:val="2"/>
        </w:rPr>
        <w:t>·□6、风险概念具有两个组成部分：</w:t>
      </w:r>
      <w:r>
        <w:rPr>
          <w:spacing w:val="75"/>
          <w:position w:val="2"/>
        </w:rPr>
        <w:t xml:space="preserve"> </w:t>
      </w:r>
      <w:r>
        <w:rPr>
          <w:rFonts w:ascii="Arial" w:hAnsi="Arial" w:eastAsia="Arial" w:cs="Arial"/>
          <w:spacing w:val="-13"/>
          <w:position w:val="2"/>
        </w:rPr>
        <w:t>a)</w:t>
      </w:r>
      <w:r>
        <w:rPr>
          <w:rFonts w:ascii="Arial" w:hAnsi="Arial" w:eastAsia="Arial" w:cs="Arial"/>
          <w:spacing w:val="58"/>
          <w:position w:val="2"/>
        </w:rPr>
        <w:t xml:space="preserve"> </w:t>
      </w:r>
      <w:r>
        <w:rPr>
          <w:spacing w:val="-13"/>
          <w:position w:val="2"/>
        </w:rPr>
        <w:t>伤害发生的概率；</w:t>
      </w:r>
      <w:r>
        <w:rPr>
          <w:spacing w:val="65"/>
          <w:position w:val="2"/>
        </w:rPr>
        <w:t xml:space="preserve"> </w:t>
      </w:r>
      <w:r>
        <w:rPr>
          <w:rFonts w:ascii="Arial" w:hAnsi="Arial" w:eastAsia="Arial" w:cs="Arial"/>
          <w:spacing w:val="-13"/>
          <w:position w:val="2"/>
        </w:rPr>
        <w:t xml:space="preserve">b)  </w:t>
      </w:r>
      <w:r>
        <w:rPr>
          <w:spacing w:val="-13"/>
          <w:position w:val="2"/>
        </w:rPr>
        <w:t>伤害的后果</w:t>
      </w:r>
      <w:r>
        <w:rPr>
          <w:spacing w:val="-14"/>
          <w:position w:val="2"/>
        </w:rPr>
        <w:t>，即可能的严重程</w:t>
      </w:r>
    </w:p>
    <w:p w14:paraId="07526F15">
      <w:pPr>
        <w:pStyle w:val="2"/>
        <w:spacing w:before="60" w:line="214" w:lineRule="auto"/>
        <w:ind w:left="229"/>
      </w:pPr>
      <w:r>
        <w:rPr>
          <w:spacing w:val="-11"/>
        </w:rPr>
        <w:t>度。</w:t>
      </w:r>
    </w:p>
    <w:p w14:paraId="1C32AF71">
      <w:pPr>
        <w:pStyle w:val="2"/>
        <w:spacing w:before="2" w:line="231" w:lineRule="auto"/>
        <w:ind w:left="229" w:right="88" w:hanging="229"/>
      </w:pPr>
      <w:r>
        <w:rPr>
          <w:spacing w:val="-10"/>
        </w:rPr>
        <w:t>·□7、在特定临床程序情况下使用医疗器械的决定要求权衡剩余风险与临床程序的预期受益。 该决定未超出本文件的范围，宜考虑与医疗器械相关的预期用途、使用环</w:t>
      </w:r>
      <w:r>
        <w:rPr>
          <w:spacing w:val="-11"/>
        </w:rPr>
        <w:t>境、性能和风险、以</w:t>
      </w:r>
      <w:r>
        <w:t xml:space="preserve"> </w:t>
      </w:r>
      <w:r>
        <w:rPr>
          <w:spacing w:val="-14"/>
        </w:rPr>
        <w:t>及与临床程序相关的风险和受益。</w:t>
      </w:r>
    </w:p>
    <w:p w14:paraId="5A66553B">
      <w:pPr>
        <w:pStyle w:val="2"/>
        <w:spacing w:before="17" w:line="225" w:lineRule="auto"/>
        <w:ind w:left="229" w:right="326" w:hanging="229"/>
      </w:pPr>
      <w:r>
        <w:rPr>
          <w:spacing w:val="-9"/>
        </w:rPr>
        <w:t>□8、作为利益相关方之一，制造商降低风险和判定医疗器械的安全包括剩余风险的可接受</w:t>
      </w:r>
      <w:r>
        <w:rPr>
          <w:spacing w:val="13"/>
        </w:rPr>
        <w:t xml:space="preserve"> </w:t>
      </w:r>
      <w:r>
        <w:rPr>
          <w:spacing w:val="-10"/>
        </w:rPr>
        <w:t>性。制造商考虑普遍公认的最新技术水平，从而确定医疗器械按其预期用途</w:t>
      </w:r>
      <w:r>
        <w:rPr>
          <w:spacing w:val="-11"/>
        </w:rPr>
        <w:t>上市的适宜性。</w:t>
      </w:r>
    </w:p>
    <w:p w14:paraId="64D43674">
      <w:pPr>
        <w:pStyle w:val="2"/>
        <w:spacing w:before="1" w:line="234" w:lineRule="auto"/>
        <w:ind w:left="229" w:right="80" w:hanging="229"/>
      </w:pPr>
      <w:r>
        <w:rPr>
          <w:spacing w:val="-8"/>
        </w:rPr>
        <w:t>·□9、本文件规定了一个过程，在医疗器械的整个全生命周期中，医疗器械制造商按此过程能</w:t>
      </w:r>
      <w:r>
        <w:rPr>
          <w:spacing w:val="3"/>
        </w:rPr>
        <w:t xml:space="preserve"> </w:t>
      </w:r>
      <w:r>
        <w:rPr>
          <w:spacing w:val="-10"/>
        </w:rPr>
        <w:t>够识别与医疗器械相关的危险、估计和评价这些危险相关的风险、控制这些风险和监视控制的</w:t>
      </w:r>
      <w:r>
        <w:t xml:space="preserve"> </w:t>
      </w:r>
      <w:r>
        <w:rPr>
          <w:spacing w:val="-15"/>
        </w:rPr>
        <w:t>有效性。</w:t>
      </w:r>
    </w:p>
    <w:p w14:paraId="63B4CFEA">
      <w:pPr>
        <w:pStyle w:val="2"/>
        <w:spacing w:before="22" w:line="330" w:lineRule="exact"/>
      </w:pPr>
      <w:r>
        <w:rPr>
          <w:spacing w:val="-9"/>
          <w:position w:val="5"/>
        </w:rPr>
        <w:t>·□10、本标准的要求适用于医疗器械生命</w:t>
      </w:r>
      <w:r>
        <w:rPr>
          <w:spacing w:val="-10"/>
          <w:position w:val="5"/>
        </w:rPr>
        <w:t>周期的所有阶段。</w:t>
      </w:r>
    </w:p>
    <w:p w14:paraId="54459C45">
      <w:pPr>
        <w:pStyle w:val="2"/>
        <w:spacing w:line="220" w:lineRule="auto"/>
      </w:pPr>
      <w:r>
        <w:rPr>
          <w:spacing w:val="-9"/>
        </w:rPr>
        <w:t>·□11、本标准规定了可接受的风险水平。</w:t>
      </w:r>
    </w:p>
    <w:p w14:paraId="62285FA3">
      <w:pPr>
        <w:pStyle w:val="2"/>
        <w:spacing w:before="2" w:line="212" w:lineRule="auto"/>
      </w:pPr>
      <w:r>
        <w:rPr>
          <w:spacing w:val="-8"/>
        </w:rPr>
        <w:t>·□12、本标准要求制造商有一个适当的质量体系，风险管理必须</w:t>
      </w:r>
      <w:r>
        <w:rPr>
          <w:spacing w:val="-9"/>
        </w:rPr>
        <w:t>是质量管理体系的一个组成部</w:t>
      </w:r>
    </w:p>
    <w:p w14:paraId="09729B87">
      <w:pPr>
        <w:pStyle w:val="2"/>
        <w:spacing w:before="24" w:line="222" w:lineRule="auto"/>
        <w:ind w:left="229"/>
      </w:pPr>
      <w:r>
        <w:rPr>
          <w:spacing w:val="-12"/>
        </w:rPr>
        <w:t>分。</w:t>
      </w:r>
    </w:p>
    <w:p w14:paraId="517B9291">
      <w:pPr>
        <w:pStyle w:val="2"/>
        <w:spacing w:before="6" w:line="213" w:lineRule="auto"/>
      </w:pPr>
      <w:r>
        <w:rPr>
          <w:spacing w:val="-9"/>
        </w:rPr>
        <w:t>·□13、伤害是指对人健康的损伤或损害，或对财产或环境的损害。</w:t>
      </w:r>
    </w:p>
    <w:p w14:paraId="232189A9">
      <w:pPr>
        <w:pStyle w:val="2"/>
        <w:spacing w:before="53" w:line="221" w:lineRule="auto"/>
      </w:pPr>
      <w:r>
        <w:rPr>
          <w:spacing w:val="-7"/>
        </w:rPr>
        <w:t>·□14、危险指可能导致伤害的潜在根源。</w:t>
      </w:r>
    </w:p>
    <w:p w14:paraId="3D1F789A">
      <w:pPr>
        <w:pStyle w:val="2"/>
        <w:spacing w:before="10" w:line="221" w:lineRule="auto"/>
      </w:pPr>
      <w:r>
        <w:rPr>
          <w:spacing w:val="-8"/>
        </w:rPr>
        <w:t>·□15、危险情况是指人员、财产或环境暴露于一个或多个</w:t>
      </w:r>
      <w:r>
        <w:rPr>
          <w:spacing w:val="-9"/>
        </w:rPr>
        <w:t>危险中的情形。</w:t>
      </w:r>
    </w:p>
    <w:p w14:paraId="508B5599">
      <w:pPr>
        <w:pStyle w:val="2"/>
        <w:spacing w:before="1" w:line="213" w:lineRule="auto"/>
      </w:pPr>
      <w:r>
        <w:rPr>
          <w:spacing w:val="-9"/>
        </w:rPr>
        <w:t>·□16、生命周期是指在医疗器械生命中，从初始概念到最终停用和处置的所有阶段。</w:t>
      </w:r>
    </w:p>
    <w:p w14:paraId="4DFE7A50">
      <w:pPr>
        <w:pStyle w:val="2"/>
        <w:spacing w:before="22" w:line="228" w:lineRule="auto"/>
        <w:ind w:left="228" w:right="170" w:hanging="229"/>
      </w:pPr>
      <w:r>
        <w:rPr>
          <w:spacing w:val="-9"/>
        </w:rPr>
        <w:t>·□17、制造商是指以其名义制造预期可获得的医疗器械并负有医疗器械设</w:t>
      </w:r>
      <w:r>
        <w:rPr>
          <w:spacing w:val="-10"/>
        </w:rPr>
        <w:t>计和/或制造责任的</w:t>
      </w:r>
      <w:r>
        <w:t xml:space="preserve"> </w:t>
      </w:r>
      <w:r>
        <w:rPr>
          <w:spacing w:val="-13"/>
        </w:rPr>
        <w:t>自然人或法人，此医疗器械的设计和/或制造</w:t>
      </w:r>
      <w:r>
        <w:rPr>
          <w:spacing w:val="-14"/>
        </w:rPr>
        <w:t>不能或由第三方代其完成。</w:t>
      </w:r>
    </w:p>
    <w:p w14:paraId="1A90D701">
      <w:pPr>
        <w:pStyle w:val="2"/>
        <w:spacing w:before="23" w:line="222" w:lineRule="auto"/>
      </w:pPr>
      <w:r>
        <w:rPr>
          <w:spacing w:val="-9"/>
        </w:rPr>
        <w:t>·□18、剩余风险是指实施风险控制措施</w:t>
      </w:r>
      <w:r>
        <w:rPr>
          <w:spacing w:val="-10"/>
        </w:rPr>
        <w:t>后还存在的风险。</w:t>
      </w:r>
    </w:p>
    <w:p w14:paraId="3B3F4957">
      <w:pPr>
        <w:pStyle w:val="2"/>
        <w:spacing w:before="10" w:line="229" w:lineRule="auto"/>
        <w:ind w:left="229" w:right="13" w:hanging="229"/>
      </w:pPr>
      <w:r>
        <w:rPr>
          <w:spacing w:val="-8"/>
        </w:rPr>
        <w:t>·□19、风险分析是指系统地运用现有信息识别危</w:t>
      </w:r>
      <w:r>
        <w:rPr>
          <w:spacing w:val="-9"/>
        </w:rPr>
        <w:t>险和估计风险的过程。风险评估是指包括风险</w:t>
      </w:r>
      <w:r>
        <w:t xml:space="preserve"> </w:t>
      </w:r>
      <w:r>
        <w:rPr>
          <w:spacing w:val="-14"/>
        </w:rPr>
        <w:t>分析和风险评价的全过程。</w:t>
      </w:r>
    </w:p>
    <w:p w14:paraId="36CC95D5">
      <w:pPr>
        <w:pStyle w:val="2"/>
        <w:spacing w:before="28" w:line="221" w:lineRule="auto"/>
        <w:ind w:left="229" w:hanging="229"/>
      </w:pPr>
      <w:r>
        <w:rPr>
          <w:spacing w:val="-8"/>
        </w:rPr>
        <w:t>·□20、风险估计是指用于对伤害发生率和该伤害严重度赋值的过程。风险评价是</w:t>
      </w:r>
      <w:r>
        <w:rPr>
          <w:spacing w:val="-9"/>
        </w:rPr>
        <w:t>指将已估计的</w:t>
      </w:r>
      <w:r>
        <w:t xml:space="preserve"> </w:t>
      </w:r>
      <w:r>
        <w:rPr>
          <w:spacing w:val="-12"/>
        </w:rPr>
        <w:t>风险和给定的风险准则进行比较，以决定风险可接受性的过程。</w:t>
      </w:r>
    </w:p>
    <w:p w14:paraId="37A97A7C">
      <w:pPr>
        <w:pStyle w:val="2"/>
        <w:spacing w:before="8" w:line="230" w:lineRule="auto"/>
        <w:ind w:left="229" w:right="13" w:hanging="229"/>
      </w:pPr>
      <w:r>
        <w:rPr>
          <w:spacing w:val="-8"/>
        </w:rPr>
        <w:t>·□21、风险管理是指将管理方针、程序及其实践</w:t>
      </w:r>
      <w:r>
        <w:rPr>
          <w:spacing w:val="-9"/>
        </w:rPr>
        <w:t>系统性地应用于分析、评价、控制和监视风险</w:t>
      </w:r>
      <w:r>
        <w:t xml:space="preserve"> </w:t>
      </w:r>
      <w:r>
        <w:rPr>
          <w:spacing w:val="-12"/>
        </w:rPr>
        <w:t>的活动。风险管理文档是指由风险管理产生的一组记录和其他文件。</w:t>
      </w:r>
    </w:p>
    <w:p w14:paraId="047635EA">
      <w:pPr>
        <w:pStyle w:val="2"/>
        <w:spacing w:before="1" w:line="236" w:lineRule="auto"/>
        <w:ind w:left="229" w:right="11" w:hanging="229"/>
      </w:pPr>
      <w:r>
        <w:rPr>
          <w:spacing w:val="-8"/>
        </w:rPr>
        <w:t>□22、质量管理体系中形成文件的过程不能用于系统</w:t>
      </w:r>
      <w:r>
        <w:rPr>
          <w:spacing w:val="-9"/>
        </w:rPr>
        <w:t>性地处理安全问题，特别是复杂医疗器械</w:t>
      </w:r>
      <w:r>
        <w:t xml:space="preserve"> </w:t>
      </w:r>
      <w:r>
        <w:rPr>
          <w:spacing w:val="-13"/>
        </w:rPr>
        <w:t>和系统中的危险和危险情况早期识别。</w:t>
      </w:r>
    </w:p>
    <w:p w14:paraId="67CF6C90">
      <w:pPr>
        <w:pStyle w:val="2"/>
        <w:spacing w:before="20" w:line="229" w:lineRule="auto"/>
        <w:ind w:left="229" w:right="50"/>
      </w:pPr>
      <w:r>
        <w:rPr>
          <w:spacing w:val="-9"/>
        </w:rPr>
        <w:t>□23、最高管理者应规定用于建立风险可接受性准则的方针并形成文件。此方针应提供</w:t>
      </w:r>
      <w:r>
        <w:rPr>
          <w:spacing w:val="-10"/>
        </w:rPr>
        <w:t>一个框</w:t>
      </w:r>
      <w:r>
        <w:t xml:space="preserve"> </w:t>
      </w:r>
      <w:r>
        <w:rPr>
          <w:spacing w:val="-10"/>
        </w:rPr>
        <w:t>架确保准则基于适用的国家或地区法规和相关标准，并考虑可用的</w:t>
      </w:r>
      <w:r>
        <w:rPr>
          <w:spacing w:val="-11"/>
        </w:rPr>
        <w:t>信息，例如普遍公认的最新</w:t>
      </w:r>
      <w:r>
        <w:t xml:space="preserve"> </w:t>
      </w:r>
      <w:r>
        <w:rPr>
          <w:spacing w:val="-13"/>
        </w:rPr>
        <w:t>技术水平和已知的利益相关方的关注点。</w:t>
      </w:r>
    </w:p>
    <w:p w14:paraId="6B92AC4F">
      <w:pPr>
        <w:spacing w:line="229" w:lineRule="auto"/>
        <w:sectPr>
          <w:pgSz w:w="11910" w:h="16840"/>
          <w:pgMar w:top="1013" w:right="718" w:bottom="0" w:left="1039" w:header="0" w:footer="0" w:gutter="0"/>
          <w:cols w:space="720" w:num="1"/>
        </w:sectPr>
      </w:pPr>
    </w:p>
    <w:p w14:paraId="40404E0F">
      <w:pPr>
        <w:pStyle w:val="2"/>
        <w:spacing w:before="51" w:line="217" w:lineRule="auto"/>
        <w:ind w:left="569" w:right="29" w:hanging="239"/>
      </w:pPr>
      <w:r>
        <w:rPr>
          <w:spacing w:val="-8"/>
        </w:rPr>
        <w:t>·□24、最高管理者应按照策划的时间间隔评审风险管理过程的适宜性，以确保风</w:t>
      </w:r>
      <w:r>
        <w:rPr>
          <w:spacing w:val="-9"/>
        </w:rPr>
        <w:t>险管理过程的</w:t>
      </w:r>
      <w:r>
        <w:t xml:space="preserve"> </w:t>
      </w:r>
      <w:r>
        <w:rPr>
          <w:spacing w:val="-12"/>
        </w:rPr>
        <w:t>持续有效性，并且应将任何决定和采取的措施形成文件。</w:t>
      </w:r>
    </w:p>
    <w:p w14:paraId="51D92DBC">
      <w:pPr>
        <w:pStyle w:val="2"/>
        <w:spacing w:before="33" w:line="229" w:lineRule="auto"/>
        <w:ind w:left="570" w:right="38"/>
      </w:pPr>
      <w:r>
        <w:rPr>
          <w:spacing w:val="-9"/>
        </w:rPr>
        <w:t>□25、基于与所分配的任务相适应的教育、培训、技能和经验，执行风险管理任</w:t>
      </w:r>
      <w:r>
        <w:rPr>
          <w:spacing w:val="-10"/>
        </w:rPr>
        <w:t>务的人员应是</w:t>
      </w:r>
      <w:r>
        <w:t xml:space="preserve"> </w:t>
      </w:r>
      <w:r>
        <w:rPr>
          <w:spacing w:val="-2"/>
        </w:rPr>
        <w:t>能够胜任的。适当时，这些人员应具备特定医疗器械</w:t>
      </w:r>
      <w:r>
        <w:rPr>
          <w:spacing w:val="-3"/>
        </w:rPr>
        <w:t>(或类似医疗器械)及其使用的知识和经</w:t>
      </w:r>
      <w:r>
        <w:t xml:space="preserve"> </w:t>
      </w:r>
      <w:r>
        <w:rPr>
          <w:spacing w:val="-10"/>
        </w:rPr>
        <w:t>验、有关的技术或风险管理技术。</w:t>
      </w:r>
    </w:p>
    <w:p w14:paraId="5C77B8A6">
      <w:pPr>
        <w:pStyle w:val="2"/>
        <w:spacing w:before="17" w:line="219" w:lineRule="auto"/>
        <w:ind w:left="330"/>
      </w:pPr>
      <w:r>
        <w:rPr>
          <w:spacing w:val="-9"/>
        </w:rPr>
        <w:t>·□26、风险管理任务必须由具备几种职能的一个</w:t>
      </w:r>
      <w:r>
        <w:rPr>
          <w:spacing w:val="-10"/>
        </w:rPr>
        <w:t>代表执行。</w:t>
      </w:r>
    </w:p>
    <w:p w14:paraId="05BA6ECD">
      <w:pPr>
        <w:pStyle w:val="2"/>
        <w:spacing w:before="36" w:line="220" w:lineRule="auto"/>
        <w:ind w:left="390"/>
      </w:pPr>
      <w:r>
        <w:rPr>
          <w:spacing w:val="-11"/>
        </w:rPr>
        <w:t>·□27、风险管理计划不属于风险管理文档。</w:t>
      </w:r>
    </w:p>
    <w:p w14:paraId="5BD32E4B">
      <w:pPr>
        <w:pStyle w:val="2"/>
        <w:spacing w:before="1" w:line="212" w:lineRule="auto"/>
        <w:ind w:left="330"/>
      </w:pPr>
      <w:r>
        <w:rPr>
          <w:spacing w:val="-9"/>
        </w:rPr>
        <w:t>·□28、对所考虑的特定的医疗器械，制造商应将预期用途以及可合理预见的误使用形成文件。</w:t>
      </w:r>
    </w:p>
    <w:p w14:paraId="7DD21FDF">
      <w:pPr>
        <w:pStyle w:val="2"/>
        <w:spacing w:before="21" w:line="229" w:lineRule="auto"/>
        <w:ind w:left="569" w:right="37" w:hanging="239"/>
      </w:pPr>
      <w:r>
        <w:rPr>
          <w:spacing w:val="-8"/>
        </w:rPr>
        <w:t>□29、制造商应基于正常状态和故障状态下的与安全有关的特</w:t>
      </w:r>
      <w:r>
        <w:rPr>
          <w:spacing w:val="-9"/>
        </w:rPr>
        <w:t>性，识别已知的和可预见的与医</w:t>
      </w:r>
      <w:r>
        <w:t xml:space="preserve"> </w:t>
      </w:r>
      <w:r>
        <w:rPr>
          <w:spacing w:val="-14"/>
        </w:rPr>
        <w:t>疗器械相关的危险并形成文件。</w:t>
      </w:r>
    </w:p>
    <w:p w14:paraId="16B0A6CF">
      <w:pPr>
        <w:pStyle w:val="2"/>
        <w:spacing w:line="228" w:lineRule="auto"/>
        <w:ind w:left="569" w:hanging="239"/>
      </w:pPr>
      <w:r>
        <w:rPr>
          <w:spacing w:val="-7"/>
        </w:rPr>
        <w:t>·□30、对于每个已识别的危险，制造商应确定能</w:t>
      </w:r>
      <w:r>
        <w:rPr>
          <w:spacing w:val="-8"/>
        </w:rPr>
        <w:t>够造成危险情况的可合理预见的事件序列或组</w:t>
      </w:r>
      <w:r>
        <w:t xml:space="preserve"> </w:t>
      </w:r>
      <w:r>
        <w:rPr>
          <w:spacing w:val="-12"/>
        </w:rPr>
        <w:t>合，并对导致的一个或多个危险情况进行识别和形成文件。</w:t>
      </w:r>
    </w:p>
    <w:p w14:paraId="06C53829">
      <w:pPr>
        <w:pStyle w:val="2"/>
        <w:spacing w:before="11" w:line="235" w:lineRule="auto"/>
        <w:ind w:left="569" w:right="32" w:hanging="239"/>
      </w:pPr>
      <w:r>
        <w:rPr>
          <w:spacing w:val="-8"/>
        </w:rPr>
        <w:t>·□31、对每个已识别的危险情况，制造商应利用可获得的信息或数据估计</w:t>
      </w:r>
      <w:r>
        <w:rPr>
          <w:spacing w:val="-9"/>
        </w:rPr>
        <w:t>与其相关的一个或多</w:t>
      </w:r>
      <w:r>
        <w:t xml:space="preserve"> </w:t>
      </w:r>
      <w:r>
        <w:rPr>
          <w:spacing w:val="-10"/>
        </w:rPr>
        <w:t>个风险。对于伤害发生概率不能估计的危险情况，可能的后果仅作</w:t>
      </w:r>
      <w:r>
        <w:rPr>
          <w:spacing w:val="-11"/>
        </w:rPr>
        <w:t>为风险评价和风险控制的参</w:t>
      </w:r>
      <w:r>
        <w:t xml:space="preserve"> </w:t>
      </w:r>
      <w:r>
        <w:rPr>
          <w:spacing w:val="-12"/>
        </w:rPr>
        <w:t>照。</w:t>
      </w:r>
    </w:p>
    <w:p w14:paraId="023AC0A7">
      <w:pPr>
        <w:pStyle w:val="2"/>
        <w:spacing w:before="27" w:line="217" w:lineRule="auto"/>
        <w:ind w:left="570" w:right="71"/>
      </w:pPr>
      <w:r>
        <w:rPr>
          <w:spacing w:val="-9"/>
        </w:rPr>
        <w:t>□32、对每个已识别的危险情况，制造商应使用风险管理计划中定义的风险可接受性</w:t>
      </w:r>
      <w:r>
        <w:rPr>
          <w:spacing w:val="-10"/>
        </w:rPr>
        <w:t>准则评价</w:t>
      </w:r>
      <w:r>
        <w:t xml:space="preserve"> </w:t>
      </w:r>
      <w:r>
        <w:rPr>
          <w:spacing w:val="-11"/>
        </w:rPr>
        <w:t>估计风险，并确定此风险是否可接受，决定是否需要降低风险。</w:t>
      </w:r>
    </w:p>
    <w:p w14:paraId="187C9BCB">
      <w:pPr>
        <w:pStyle w:val="2"/>
        <w:spacing w:before="31" w:line="221" w:lineRule="auto"/>
        <w:ind w:left="569" w:right="410" w:hanging="239"/>
      </w:pPr>
      <w:r>
        <w:rPr>
          <w:spacing w:val="-11"/>
        </w:rPr>
        <w:t xml:space="preserve">·□33、制造商应按下列优先顺序，使用一种或多种风险控制方案： </w:t>
      </w:r>
      <w:r>
        <w:rPr>
          <w:rFonts w:ascii="宋体" w:hAnsi="宋体" w:eastAsia="宋体" w:cs="宋体"/>
          <w:spacing w:val="-11"/>
        </w:rPr>
        <w:t xml:space="preserve">a) </w:t>
      </w:r>
      <w:r>
        <w:rPr>
          <w:spacing w:val="-11"/>
        </w:rPr>
        <w:t>固有安全的设计和制</w:t>
      </w:r>
      <w:r>
        <w:rPr>
          <w:spacing w:val="2"/>
        </w:rPr>
        <w:t xml:space="preserve"> </w:t>
      </w:r>
      <w:r>
        <w:rPr>
          <w:spacing w:val="-10"/>
        </w:rPr>
        <w:t>造；</w:t>
      </w:r>
      <w:r>
        <w:rPr>
          <w:rFonts w:ascii="宋体" w:hAnsi="宋体" w:eastAsia="宋体" w:cs="宋体"/>
          <w:spacing w:val="-10"/>
        </w:rPr>
        <w:t xml:space="preserve">b) </w:t>
      </w:r>
      <w:r>
        <w:rPr>
          <w:spacing w:val="-10"/>
        </w:rPr>
        <w:t>安全信息和适当时的用户培训；</w:t>
      </w:r>
      <w:r>
        <w:rPr>
          <w:rFonts w:ascii="宋体" w:hAnsi="宋体" w:eastAsia="宋体" w:cs="宋体"/>
          <w:spacing w:val="-10"/>
        </w:rPr>
        <w:t xml:space="preserve">c) </w:t>
      </w:r>
      <w:r>
        <w:rPr>
          <w:spacing w:val="-10"/>
        </w:rPr>
        <w:t>医疗器</w:t>
      </w:r>
      <w:r>
        <w:rPr>
          <w:spacing w:val="-11"/>
        </w:rPr>
        <w:t>械本身或制造过程中的防护措施。</w:t>
      </w:r>
    </w:p>
    <w:p w14:paraId="271ED50F">
      <w:pPr>
        <w:pStyle w:val="2"/>
        <w:spacing w:before="33" w:line="221" w:lineRule="auto"/>
        <w:ind w:left="330"/>
      </w:pPr>
      <w:r>
        <w:rPr>
          <w:spacing w:val="-9"/>
        </w:rPr>
        <w:t>·□34、不要求每一项风险控制措施的实施都予以验证。</w:t>
      </w:r>
    </w:p>
    <w:p w14:paraId="5E6C2621">
      <w:pPr>
        <w:pStyle w:val="2"/>
        <w:spacing w:before="30" w:line="217" w:lineRule="auto"/>
        <w:ind w:left="569" w:right="40" w:hanging="239"/>
      </w:pPr>
      <w:r>
        <w:rPr>
          <w:spacing w:val="-8"/>
        </w:rPr>
        <w:t>·□35、如果使用风险管理计划中建立的准则，判断剩余</w:t>
      </w:r>
      <w:r>
        <w:rPr>
          <w:spacing w:val="-9"/>
        </w:rPr>
        <w:t>风险是不可接受的，而进一步的风险控</w:t>
      </w:r>
      <w:r>
        <w:t xml:space="preserve"> </w:t>
      </w:r>
      <w:r>
        <w:rPr>
          <w:spacing w:val="-10"/>
        </w:rPr>
        <w:t>制又不可行，制造商可以收集和评审数据和文献，以便确定预期用途的受益是否超过剩余风</w:t>
      </w:r>
    </w:p>
    <w:p w14:paraId="1C9A2A51">
      <w:pPr>
        <w:pStyle w:val="2"/>
        <w:spacing w:before="25" w:line="222" w:lineRule="auto"/>
        <w:ind w:left="570"/>
      </w:pPr>
      <w:r>
        <w:rPr>
          <w:spacing w:val="-14"/>
        </w:rPr>
        <w:t>险。</w:t>
      </w:r>
    </w:p>
    <w:p w14:paraId="1B604044">
      <w:pPr>
        <w:pStyle w:val="2"/>
        <w:spacing w:before="26" w:line="221" w:lineRule="auto"/>
        <w:ind w:left="569" w:right="42" w:hanging="239"/>
      </w:pPr>
      <w:r>
        <w:rPr>
          <w:spacing w:val="-8"/>
        </w:rPr>
        <w:t>·□36、在所有的风险控制措施经实施并验证后，</w:t>
      </w:r>
      <w:r>
        <w:rPr>
          <w:spacing w:val="-9"/>
        </w:rPr>
        <w:t>制造商应使用风险管理计划中定义的方法和综</w:t>
      </w:r>
      <w:r>
        <w:t xml:space="preserve"> </w:t>
      </w:r>
      <w:r>
        <w:rPr>
          <w:spacing w:val="-12"/>
        </w:rPr>
        <w:t>合剩余风险可接受性准则，评价医疗器械造成的综合剩余风险。</w:t>
      </w:r>
    </w:p>
    <w:p w14:paraId="139F6F5F">
      <w:pPr>
        <w:pStyle w:val="2"/>
        <w:spacing w:before="32" w:line="225" w:lineRule="auto"/>
        <w:ind w:left="569" w:right="51" w:hanging="239"/>
      </w:pPr>
      <w:r>
        <w:rPr>
          <w:spacing w:val="-9"/>
        </w:rPr>
        <w:t>·□37、如果综合剩余风险判定为可接受，制造商应向用户告知重大的剩余风险或在随附文件中</w:t>
      </w:r>
      <w:r>
        <w:rPr>
          <w:spacing w:val="15"/>
        </w:rPr>
        <w:t xml:space="preserve"> </w:t>
      </w:r>
      <w:r>
        <w:rPr>
          <w:spacing w:val="-9"/>
        </w:rPr>
        <w:t>包括必要的信息以公开这些剩余风险。</w:t>
      </w:r>
    </w:p>
    <w:p w14:paraId="70D4BDEB">
      <w:pPr>
        <w:pStyle w:val="2"/>
        <w:spacing w:before="4" w:line="229" w:lineRule="auto"/>
        <w:ind w:left="569" w:right="112" w:hanging="239"/>
      </w:pPr>
      <w:r>
        <w:rPr>
          <w:spacing w:val="-7"/>
        </w:rPr>
        <w:t xml:space="preserve">□38、在医疗器械商业销售发布前，制造商应对风险管理计划的执行情况进行评审。评审应 </w:t>
      </w:r>
      <w:r>
        <w:rPr>
          <w:spacing w:val="-10"/>
        </w:rPr>
        <w:t>至少确保：风险管理计划已被适当地实施；综合剩余风险是可接</w:t>
      </w:r>
      <w:r>
        <w:rPr>
          <w:spacing w:val="-11"/>
        </w:rPr>
        <w:t>受的；已有适当方法收集和评</w:t>
      </w:r>
      <w:r>
        <w:t xml:space="preserve"> </w:t>
      </w:r>
      <w:r>
        <w:rPr>
          <w:spacing w:val="-12"/>
        </w:rPr>
        <w:t>审生产和生产后阶段的信息。</w:t>
      </w:r>
    </w:p>
    <w:p w14:paraId="356CA449">
      <w:pPr>
        <w:pStyle w:val="2"/>
        <w:spacing w:before="36" w:line="226" w:lineRule="auto"/>
        <w:ind w:left="569" w:right="27" w:hanging="239"/>
      </w:pPr>
      <w:r>
        <w:rPr>
          <w:spacing w:val="-8"/>
        </w:rPr>
        <w:t>·□39、制造商应建立、形成文件并保持一个系统，以在生产和生产后阶段主动地收集</w:t>
      </w:r>
      <w:r>
        <w:rPr>
          <w:spacing w:val="-9"/>
        </w:rPr>
        <w:t>和评审与</w:t>
      </w:r>
      <w:r>
        <w:t xml:space="preserve"> </w:t>
      </w:r>
      <w:r>
        <w:rPr>
          <w:spacing w:val="-14"/>
        </w:rPr>
        <w:t>医疗器械有关的信息。</w:t>
      </w:r>
    </w:p>
    <w:p w14:paraId="65FA28E7">
      <w:pPr>
        <w:pStyle w:val="2"/>
        <w:spacing w:before="8" w:line="226" w:lineRule="auto"/>
        <w:ind w:left="569" w:right="111" w:hanging="239"/>
      </w:pPr>
      <w:r>
        <w:rPr>
          <w:spacing w:val="-7"/>
        </w:rPr>
        <w:t xml:space="preserve">·□40、最重要的是要有完成风险管理任务所需知识和经验的能胜任的人。风险管理过程要求 </w:t>
      </w:r>
      <w:r>
        <w:rPr>
          <w:spacing w:val="-10"/>
        </w:rPr>
        <w:t>人员具备下列领域的知识和经验：医疗器械是如何构成的；医疗器</w:t>
      </w:r>
      <w:r>
        <w:rPr>
          <w:spacing w:val="-11"/>
        </w:rPr>
        <w:t>械是如何工作的；医疗器械</w:t>
      </w:r>
      <w:r>
        <w:t xml:space="preserve"> </w:t>
      </w:r>
      <w:r>
        <w:rPr>
          <w:spacing w:val="-10"/>
        </w:rPr>
        <w:t>是如何生产的；医疗器械实际是如何使用的；如何应用风险管理过程</w:t>
      </w:r>
    </w:p>
    <w:p w14:paraId="35F35840">
      <w:pPr>
        <w:spacing w:line="257" w:lineRule="auto"/>
        <w:rPr>
          <w:rFonts w:ascii="Arial"/>
          <w:sz w:val="21"/>
        </w:rPr>
      </w:pPr>
    </w:p>
    <w:p w14:paraId="28054F33">
      <w:pPr>
        <w:spacing w:line="257" w:lineRule="auto"/>
        <w:rPr>
          <w:rFonts w:ascii="Arial"/>
          <w:sz w:val="21"/>
        </w:rPr>
      </w:pPr>
    </w:p>
    <w:p w14:paraId="27E3F404">
      <w:pPr>
        <w:spacing w:line="257" w:lineRule="auto"/>
        <w:rPr>
          <w:rFonts w:ascii="Arial"/>
          <w:sz w:val="21"/>
        </w:rPr>
      </w:pPr>
    </w:p>
    <w:p w14:paraId="7C2D4FA7">
      <w:pPr>
        <w:spacing w:line="258" w:lineRule="auto"/>
        <w:rPr>
          <w:rFonts w:ascii="Arial"/>
          <w:sz w:val="21"/>
        </w:rPr>
      </w:pPr>
    </w:p>
    <w:p w14:paraId="23CF2AF0">
      <w:pPr>
        <w:spacing w:line="258" w:lineRule="auto"/>
        <w:rPr>
          <w:rFonts w:ascii="Arial"/>
          <w:sz w:val="21"/>
        </w:rPr>
      </w:pPr>
    </w:p>
    <w:p w14:paraId="4D5229D3">
      <w:pPr>
        <w:spacing w:line="258" w:lineRule="auto"/>
        <w:rPr>
          <w:rFonts w:ascii="Arial"/>
          <w:sz w:val="21"/>
        </w:rPr>
      </w:pPr>
    </w:p>
    <w:p w14:paraId="5F4132E7">
      <w:pPr>
        <w:spacing w:line="258" w:lineRule="auto"/>
        <w:rPr>
          <w:rFonts w:ascii="Arial"/>
          <w:sz w:val="21"/>
        </w:rPr>
      </w:pPr>
    </w:p>
    <w:p w14:paraId="399481D0">
      <w:pPr>
        <w:spacing w:line="258" w:lineRule="auto"/>
        <w:rPr>
          <w:rFonts w:ascii="Arial"/>
          <w:sz w:val="21"/>
        </w:rPr>
      </w:pPr>
    </w:p>
    <w:p w14:paraId="35CCAE79">
      <w:pPr>
        <w:spacing w:line="258" w:lineRule="auto"/>
        <w:rPr>
          <w:rFonts w:ascii="Arial"/>
          <w:sz w:val="21"/>
        </w:rPr>
      </w:pPr>
    </w:p>
    <w:p w14:paraId="19C69EFA">
      <w:pPr>
        <w:spacing w:line="258" w:lineRule="auto"/>
        <w:rPr>
          <w:rFonts w:ascii="Arial"/>
          <w:sz w:val="21"/>
        </w:rPr>
      </w:pPr>
    </w:p>
    <w:p w14:paraId="4D395823">
      <w:pPr>
        <w:spacing w:line="258" w:lineRule="auto"/>
        <w:rPr>
          <w:rFonts w:ascii="Arial"/>
          <w:sz w:val="21"/>
        </w:rPr>
      </w:pPr>
    </w:p>
    <w:p w14:paraId="37B9E1CC">
      <w:pPr>
        <w:spacing w:line="258" w:lineRule="auto"/>
        <w:rPr>
          <w:rFonts w:ascii="Arial"/>
          <w:sz w:val="21"/>
        </w:rPr>
      </w:pPr>
    </w:p>
    <w:p w14:paraId="7E27EEF6">
      <w:pPr>
        <w:spacing w:line="258" w:lineRule="auto"/>
        <w:rPr>
          <w:rFonts w:ascii="Arial"/>
          <w:sz w:val="21"/>
        </w:rPr>
      </w:pPr>
    </w:p>
    <w:p w14:paraId="212E650B">
      <w:pPr>
        <w:spacing w:line="258" w:lineRule="auto"/>
        <w:rPr>
          <w:rFonts w:ascii="Arial"/>
          <w:sz w:val="21"/>
        </w:rPr>
      </w:pPr>
    </w:p>
    <w:p w14:paraId="57DD6840">
      <w:pPr>
        <w:spacing w:line="258" w:lineRule="auto"/>
        <w:rPr>
          <w:rFonts w:ascii="Arial"/>
          <w:sz w:val="21"/>
        </w:rPr>
      </w:pPr>
    </w:p>
    <w:p w14:paraId="4B74D6A8">
      <w:pPr>
        <w:spacing w:line="258" w:lineRule="auto"/>
        <w:rPr>
          <w:rFonts w:ascii="Arial"/>
          <w:sz w:val="21"/>
        </w:rPr>
      </w:pPr>
    </w:p>
    <w:p w14:paraId="3AA17B67">
      <w:pPr>
        <w:spacing w:line="258" w:lineRule="auto"/>
        <w:rPr>
          <w:rFonts w:ascii="Arial"/>
          <w:sz w:val="21"/>
        </w:rPr>
      </w:pPr>
    </w:p>
    <w:p w14:paraId="6ECCAB42">
      <w:pPr>
        <w:spacing w:line="258" w:lineRule="auto"/>
        <w:rPr>
          <w:rFonts w:ascii="Arial"/>
          <w:sz w:val="21"/>
        </w:rPr>
      </w:pPr>
    </w:p>
    <w:p w14:paraId="376D9040">
      <w:pPr>
        <w:spacing w:line="258" w:lineRule="auto"/>
        <w:rPr>
          <w:rFonts w:ascii="Arial"/>
          <w:sz w:val="21"/>
        </w:rPr>
      </w:pPr>
    </w:p>
    <w:p w14:paraId="4E02CBF7">
      <w:pPr>
        <w:spacing w:line="258" w:lineRule="auto"/>
        <w:rPr>
          <w:rFonts w:ascii="Arial"/>
          <w:sz w:val="21"/>
        </w:rPr>
      </w:pPr>
    </w:p>
    <w:p w14:paraId="12591BC5">
      <w:pPr>
        <w:pStyle w:val="2"/>
        <w:spacing w:before="82" w:line="234" w:lineRule="auto"/>
      </w:pPr>
      <w:r>
        <w:rPr>
          <w:spacing w:val="-2"/>
        </w:rPr>
        <w:t>判断题得分</w:t>
      </w:r>
    </w:p>
    <w:p w14:paraId="10C5D491">
      <w:pPr>
        <w:spacing w:line="224" w:lineRule="auto"/>
        <w:rPr>
          <w:rFonts w:ascii="宋体" w:hAnsi="宋体" w:eastAsia="宋体" w:cs="宋体"/>
          <w:sz w:val="25"/>
          <w:szCs w:val="25"/>
        </w:rPr>
      </w:pPr>
      <w:r>
        <w:rPr>
          <w:rFonts w:ascii="宋体" w:hAnsi="宋体" w:eastAsia="宋体" w:cs="宋体"/>
          <w:spacing w:val="-11"/>
          <w:sz w:val="25"/>
          <w:szCs w:val="25"/>
        </w:rPr>
        <w:t>80/100</w:t>
      </w:r>
    </w:p>
    <w:p w14:paraId="0E4AE112">
      <w:pPr>
        <w:pStyle w:val="2"/>
        <w:spacing w:before="306" w:line="230" w:lineRule="auto"/>
        <w:ind w:left="949" w:right="445" w:hanging="946"/>
      </w:pPr>
      <w:r>
        <w:rPr>
          <w:b/>
          <w:bCs/>
          <w:spacing w:val="-10"/>
        </w:rPr>
        <w:t>1、GB/T42062-2022《</w:t>
      </w:r>
      <w:r>
        <w:rPr>
          <w:spacing w:val="-30"/>
        </w:rPr>
        <w:t xml:space="preserve"> </w:t>
      </w:r>
      <w:r>
        <w:rPr>
          <w:b/>
          <w:bCs/>
          <w:spacing w:val="-10"/>
        </w:rPr>
        <w:t>医疗器械风险管理对医疗器械的应用》标准实</w:t>
      </w:r>
      <w:r>
        <w:rPr>
          <w:b/>
          <w:bCs/>
          <w:spacing w:val="-11"/>
        </w:rPr>
        <w:t>施日期是2023年11月01日</w:t>
      </w:r>
      <w:r>
        <w:rPr>
          <w:spacing w:val="-11"/>
        </w:rPr>
        <w:t>。</w:t>
      </w:r>
      <w:r>
        <w:t xml:space="preserve">  </w:t>
      </w:r>
      <w:r>
        <w:rPr>
          <w:spacing w:val="-2"/>
        </w:rPr>
        <w:t>正确【正确答案】</w:t>
      </w:r>
    </w:p>
    <w:p w14:paraId="7DC5253A">
      <w:pPr>
        <w:pStyle w:val="2"/>
        <w:spacing w:before="19" w:line="222" w:lineRule="auto"/>
        <w:ind w:left="779"/>
      </w:pPr>
      <w:r>
        <w:rPr>
          <w:rFonts w:ascii="宋体" w:hAnsi="宋体" w:eastAsia="宋体" w:cs="宋体"/>
          <w:spacing w:val="-3"/>
        </w:rPr>
        <w:t>D</w:t>
      </w:r>
      <w:r>
        <w:rPr>
          <w:rFonts w:ascii="宋体" w:hAnsi="宋体" w:eastAsia="宋体" w:cs="宋体"/>
          <w:spacing w:val="-62"/>
        </w:rPr>
        <w:t xml:space="preserve"> </w:t>
      </w:r>
      <w:r>
        <w:rPr>
          <w:spacing w:val="-3"/>
        </w:rPr>
        <w:t>错误</w:t>
      </w:r>
    </w:p>
    <w:p w14:paraId="29404E94">
      <w:pPr>
        <w:pStyle w:val="2"/>
        <w:spacing w:before="50" w:line="222" w:lineRule="auto"/>
        <w:ind w:left="573"/>
      </w:pPr>
      <w:r>
        <w:rPr>
          <w:b/>
          <w:bCs/>
          <w:spacing w:val="-21"/>
        </w:rPr>
        <w:t>得分：得2.5分/满分2.5分正确答案：正确</w:t>
      </w:r>
    </w:p>
    <w:p w14:paraId="410BF805">
      <w:pPr>
        <w:spacing w:before="262" w:line="224" w:lineRule="auto"/>
        <w:ind w:left="570" w:right="103"/>
        <w:rPr>
          <w:rFonts w:ascii="宋体" w:hAnsi="宋体" w:eastAsia="宋体" w:cs="宋体"/>
          <w:sz w:val="21"/>
          <w:szCs w:val="21"/>
        </w:rPr>
      </w:pPr>
      <w:r>
        <w:rPr>
          <w:rFonts w:ascii="宋体" w:hAnsi="宋体" w:eastAsia="宋体" w:cs="宋体"/>
          <w:color w:val="FF0000"/>
          <w:sz w:val="21"/>
          <w:szCs w:val="21"/>
        </w:rPr>
        <w:t>解析：见GB/T42062-2022《 医疗器械风险管理对医疗器械的应用》标准原文，2022年10月12日发布，2023</w:t>
      </w:r>
      <w:r>
        <w:rPr>
          <w:rFonts w:ascii="宋体" w:hAnsi="宋体" w:eastAsia="宋体" w:cs="宋体"/>
          <w:color w:val="FF0000"/>
          <w:spacing w:val="6"/>
          <w:sz w:val="21"/>
          <w:szCs w:val="21"/>
        </w:rPr>
        <w:t xml:space="preserve"> </w:t>
      </w:r>
      <w:r>
        <w:rPr>
          <w:rFonts w:ascii="宋体" w:hAnsi="宋体" w:eastAsia="宋体" w:cs="宋体"/>
          <w:color w:val="FF0000"/>
          <w:spacing w:val="-4"/>
          <w:sz w:val="21"/>
          <w:szCs w:val="21"/>
        </w:rPr>
        <w:t>年11月01日实施。</w:t>
      </w:r>
    </w:p>
    <w:p w14:paraId="0CCD9120">
      <w:pPr>
        <w:pStyle w:val="2"/>
        <w:spacing w:before="237" w:line="229" w:lineRule="auto"/>
        <w:ind w:left="943" w:right="874" w:hanging="943"/>
      </w:pPr>
      <w:r>
        <w:rPr>
          <w:spacing w:val="-12"/>
        </w:rPr>
        <w:t>2</w:t>
      </w:r>
      <w:r>
        <w:rPr>
          <w:b/>
          <w:bCs/>
          <w:spacing w:val="-12"/>
        </w:rPr>
        <w:t>、本标准使用的翻译法等同采用ISO14971:2019《医疗器械风险管理对医疗器械的应用》。</w:t>
      </w:r>
      <w:r>
        <w:rPr>
          <w:spacing w:val="13"/>
        </w:rPr>
        <w:t xml:space="preserve"> </w:t>
      </w:r>
      <w:r>
        <w:rPr>
          <w:b/>
          <w:bCs/>
          <w:spacing w:val="-8"/>
        </w:rPr>
        <w:t>正确【正确答案】</w:t>
      </w:r>
    </w:p>
    <w:p w14:paraId="10E29D23">
      <w:pPr>
        <w:pStyle w:val="2"/>
        <w:spacing w:before="19" w:line="222" w:lineRule="auto"/>
        <w:ind w:left="943"/>
      </w:pPr>
      <w:r>
        <w:rPr>
          <w:b/>
          <w:bCs/>
          <w:spacing w:val="-5"/>
        </w:rPr>
        <w:t>错误</w:t>
      </w:r>
    </w:p>
    <w:p w14:paraId="0B8F30BA">
      <w:pPr>
        <w:pStyle w:val="2"/>
        <w:spacing w:before="39" w:line="222" w:lineRule="auto"/>
        <w:ind w:left="573"/>
      </w:pPr>
      <w:r>
        <w:rPr>
          <w:b/>
          <w:bCs/>
          <w:spacing w:val="-21"/>
        </w:rPr>
        <w:t>得分：得2.5分/满分2.5分正确答案：正确</w:t>
      </w:r>
    </w:p>
    <w:p w14:paraId="58936C95">
      <w:pPr>
        <w:spacing w:before="253" w:line="219" w:lineRule="auto"/>
        <w:ind w:left="570"/>
        <w:rPr>
          <w:rFonts w:ascii="宋体" w:hAnsi="宋体" w:eastAsia="宋体" w:cs="宋体"/>
          <w:sz w:val="21"/>
          <w:szCs w:val="21"/>
        </w:rPr>
      </w:pPr>
      <w:r>
        <w:rPr>
          <w:rFonts w:ascii="宋体" w:hAnsi="宋体" w:eastAsia="宋体" w:cs="宋体"/>
          <w:color w:val="FF0000"/>
          <w:spacing w:val="-1"/>
          <w:sz w:val="21"/>
          <w:szCs w:val="21"/>
        </w:rPr>
        <w:t>解析：见GB/T42062-2022《 医疗器械风险管理对医疗器械的应用》标准原文——前言。</w:t>
      </w:r>
    </w:p>
    <w:p w14:paraId="1D1979EF">
      <w:pPr>
        <w:pStyle w:val="2"/>
        <w:spacing w:before="236" w:line="221" w:lineRule="auto"/>
      </w:pPr>
      <w:r>
        <w:rPr>
          <w:spacing w:val="-10"/>
        </w:rPr>
        <w:t>3</w:t>
      </w:r>
      <w:r>
        <w:rPr>
          <w:b/>
          <w:bCs/>
          <w:spacing w:val="-10"/>
        </w:rPr>
        <w:t>、GB/T42062-2022《医疗器械风险管理对医疗器械的应用》标准由国家药品监督局提出。</w:t>
      </w:r>
    </w:p>
    <w:p w14:paraId="03BF6855">
      <w:pPr>
        <w:pStyle w:val="2"/>
        <w:spacing w:before="26" w:line="236" w:lineRule="auto"/>
        <w:ind w:left="940"/>
      </w:pPr>
      <w:r>
        <w:t>正确【正确答案】</w:t>
      </w:r>
    </w:p>
    <w:p w14:paraId="2707410F">
      <w:pPr>
        <w:pStyle w:val="2"/>
        <w:spacing w:before="1" w:line="221" w:lineRule="auto"/>
        <w:ind w:left="940"/>
      </w:pPr>
      <w:r>
        <w:rPr>
          <w:spacing w:val="-2"/>
        </w:rPr>
        <w:t>错误</w:t>
      </w:r>
    </w:p>
    <w:p w14:paraId="24920A0A">
      <w:pPr>
        <w:pStyle w:val="2"/>
        <w:spacing w:before="19" w:line="222" w:lineRule="auto"/>
        <w:ind w:left="570"/>
      </w:pPr>
      <w:r>
        <w:rPr>
          <w:spacing w:val="-18"/>
        </w:rPr>
        <w:t>得分：得2.5分/满分2.5分正确答案：</w:t>
      </w:r>
      <w:r>
        <w:rPr>
          <w:spacing w:val="-19"/>
        </w:rPr>
        <w:t>正确</w:t>
      </w:r>
    </w:p>
    <w:p w14:paraId="16270908">
      <w:pPr>
        <w:spacing w:before="250" w:line="219" w:lineRule="auto"/>
        <w:ind w:left="570"/>
        <w:rPr>
          <w:rFonts w:ascii="宋体" w:hAnsi="宋体" w:eastAsia="宋体" w:cs="宋体"/>
          <w:sz w:val="21"/>
          <w:szCs w:val="21"/>
        </w:rPr>
      </w:pPr>
      <w:r>
        <w:rPr>
          <w:rFonts w:ascii="宋体" w:hAnsi="宋体" w:eastAsia="宋体" w:cs="宋体"/>
          <w:color w:val="FF0000"/>
          <w:spacing w:val="-1"/>
          <w:sz w:val="21"/>
          <w:szCs w:val="21"/>
        </w:rPr>
        <w:t>解析：见GB/T42062-2022《 医疗器械风险管理对医疗器械的应用》标准原文——前言。</w:t>
      </w:r>
    </w:p>
    <w:p w14:paraId="3A9100DD">
      <w:pPr>
        <w:pStyle w:val="2"/>
        <w:spacing w:before="239" w:line="234" w:lineRule="auto"/>
      </w:pPr>
      <w:r>
        <w:rPr>
          <w:spacing w:val="-10"/>
        </w:rPr>
        <w:t>4、本标准基于多年来逐步发展的已建立的风险管理原则专门为医疗器械制造商而制定，对于在某些</w:t>
      </w:r>
      <w:r>
        <w:rPr>
          <w:spacing w:val="9"/>
        </w:rPr>
        <w:t xml:space="preserve"> </w:t>
      </w:r>
      <w:r>
        <w:rPr>
          <w:spacing w:val="-10"/>
        </w:rPr>
        <w:t>管辖区属于非医疗器械的其他产品，以及在医疗器械生命周期中涉及的供方和其</w:t>
      </w:r>
      <w:r>
        <w:rPr>
          <w:spacing w:val="-11"/>
        </w:rPr>
        <w:t>他各方，本文件可</w:t>
      </w:r>
      <w:r>
        <w:t xml:space="preserve">  </w:t>
      </w:r>
      <w:r>
        <w:rPr>
          <w:spacing w:val="-13"/>
        </w:rPr>
        <w:t>以用作开发和保持风险管理过程的指南。</w:t>
      </w:r>
    </w:p>
    <w:p w14:paraId="20EFB11E">
      <w:pPr>
        <w:pStyle w:val="2"/>
        <w:spacing w:before="32" w:line="236" w:lineRule="auto"/>
        <w:ind w:left="940"/>
      </w:pPr>
      <w:r>
        <w:rPr>
          <w:spacing w:val="-2"/>
        </w:rPr>
        <w:t>正确【正确答案】</w:t>
      </w:r>
    </w:p>
    <w:p w14:paraId="52967BD4">
      <w:pPr>
        <w:pStyle w:val="2"/>
        <w:spacing w:before="1" w:line="221" w:lineRule="auto"/>
        <w:ind w:left="660"/>
      </w:pPr>
      <w:r>
        <w:rPr>
          <w:spacing w:val="13"/>
        </w:rPr>
        <w:t>○错误</w:t>
      </w:r>
    </w:p>
    <w:p w14:paraId="0304FCCD">
      <w:pPr>
        <w:pStyle w:val="2"/>
        <w:spacing w:before="19" w:line="222" w:lineRule="auto"/>
        <w:ind w:left="570"/>
      </w:pPr>
      <w:r>
        <w:rPr>
          <w:spacing w:val="-18"/>
        </w:rPr>
        <w:t>得分：得2.5分/满分2.5分正确答案：</w:t>
      </w:r>
      <w:r>
        <w:rPr>
          <w:spacing w:val="-19"/>
        </w:rPr>
        <w:t>正确</w:t>
      </w:r>
    </w:p>
    <w:p w14:paraId="763100C1">
      <w:pPr>
        <w:spacing w:before="230" w:line="219" w:lineRule="auto"/>
        <w:ind w:left="570"/>
        <w:rPr>
          <w:rFonts w:ascii="宋体" w:hAnsi="宋体" w:eastAsia="宋体" w:cs="宋体"/>
          <w:sz w:val="21"/>
          <w:szCs w:val="21"/>
        </w:rPr>
      </w:pPr>
      <w:r>
        <w:rPr>
          <w:rFonts w:ascii="宋体" w:hAnsi="宋体" w:eastAsia="宋体" w:cs="宋体"/>
          <w:color w:val="FF0000"/>
          <w:spacing w:val="-1"/>
          <w:sz w:val="21"/>
          <w:szCs w:val="21"/>
        </w:rPr>
        <w:t>解析：见GB/T42062-2022《 医疗器械风险管理对医疗器械的应用》标准原文——引言。</w:t>
      </w:r>
    </w:p>
    <w:p w14:paraId="1D10288A">
      <w:pPr>
        <w:pStyle w:val="2"/>
        <w:spacing w:before="256" w:line="213" w:lineRule="auto"/>
        <w:ind w:left="3"/>
        <w:outlineLvl w:val="0"/>
      </w:pPr>
      <w:r>
        <w:rPr>
          <w:b/>
          <w:bCs/>
          <w:spacing w:val="-14"/>
        </w:rPr>
        <w:t>5、本标准涉及管理风险的过程，均是对患者的风险，不包括对操作者的</w:t>
      </w:r>
      <w:r>
        <w:rPr>
          <w:b/>
          <w:bCs/>
          <w:spacing w:val="-15"/>
        </w:rPr>
        <w:t>风险。</w:t>
      </w:r>
    </w:p>
    <w:p w14:paraId="3728C676">
      <w:pPr>
        <w:pStyle w:val="2"/>
        <w:spacing w:before="46" w:line="222" w:lineRule="auto"/>
        <w:ind w:left="940"/>
      </w:pPr>
      <w:r>
        <w:rPr>
          <w:spacing w:val="8"/>
        </w:rPr>
        <w:t>正确</w:t>
      </w:r>
    </w:p>
    <w:p w14:paraId="4ED29906">
      <w:pPr>
        <w:pStyle w:val="2"/>
        <w:spacing w:before="9" w:line="222" w:lineRule="auto"/>
        <w:ind w:left="940"/>
      </w:pPr>
      <w:r>
        <w:rPr>
          <w:spacing w:val="-2"/>
        </w:rPr>
        <w:t>错误【正确答案】</w:t>
      </w:r>
    </w:p>
    <w:p w14:paraId="27B25021">
      <w:pPr>
        <w:pStyle w:val="2"/>
        <w:spacing w:before="16" w:line="222" w:lineRule="auto"/>
        <w:ind w:left="573"/>
      </w:pPr>
      <w:r>
        <w:rPr>
          <w:b/>
          <w:bCs/>
          <w:spacing w:val="-20"/>
        </w:rPr>
        <w:t>得分：得2.5分/满分2.5分正确答案：错误</w:t>
      </w:r>
    </w:p>
    <w:p w14:paraId="74788558">
      <w:pPr>
        <w:spacing w:before="263" w:line="219" w:lineRule="auto"/>
        <w:ind w:left="570"/>
        <w:rPr>
          <w:rFonts w:ascii="宋体" w:hAnsi="宋体" w:eastAsia="宋体" w:cs="宋体"/>
          <w:sz w:val="21"/>
          <w:szCs w:val="21"/>
        </w:rPr>
      </w:pPr>
      <w:r>
        <w:rPr>
          <w:rFonts w:ascii="宋体" w:hAnsi="宋体" w:eastAsia="宋体" w:cs="宋体"/>
          <w:color w:val="FF0000"/>
          <w:spacing w:val="-2"/>
          <w:sz w:val="21"/>
          <w:szCs w:val="21"/>
        </w:rPr>
        <w:t>解析：见GB/T42062-2022《 医疗器械风险管理对医疗器械的应用》标准原文——引言。</w:t>
      </w:r>
    </w:p>
    <w:p w14:paraId="24624014">
      <w:pPr>
        <w:spacing w:before="270" w:line="225" w:lineRule="auto"/>
        <w:ind w:left="570" w:right="8"/>
        <w:rPr>
          <w:rFonts w:ascii="宋体" w:hAnsi="宋体" w:eastAsia="宋体" w:cs="宋体"/>
          <w:sz w:val="21"/>
          <w:szCs w:val="21"/>
        </w:rPr>
      </w:pPr>
      <w:r>
        <w:rPr>
          <w:rFonts w:ascii="宋体" w:hAnsi="宋体" w:eastAsia="宋体" w:cs="宋体"/>
          <w:color w:val="FF0404"/>
          <w:spacing w:val="-10"/>
          <w:sz w:val="21"/>
          <w:szCs w:val="21"/>
        </w:rPr>
        <w:t>风险不仅可能与患者的损伤有关，也可能与使用</w:t>
      </w:r>
      <w:r>
        <w:rPr>
          <w:rFonts w:ascii="宋体" w:hAnsi="宋体" w:eastAsia="宋体" w:cs="宋体"/>
          <w:color w:val="FF0404"/>
          <w:spacing w:val="-11"/>
          <w:sz w:val="21"/>
          <w:szCs w:val="21"/>
        </w:rPr>
        <w:t>者和其他人员的损伤有关，还可能与财产(例如物品，数据、其他</w:t>
      </w:r>
      <w:r>
        <w:rPr>
          <w:rFonts w:ascii="宋体" w:hAnsi="宋体" w:eastAsia="宋体" w:cs="宋体"/>
          <w:color w:val="FF0404"/>
          <w:sz w:val="21"/>
          <w:szCs w:val="21"/>
        </w:rPr>
        <w:t xml:space="preserve"> </w:t>
      </w:r>
      <w:r>
        <w:rPr>
          <w:rFonts w:ascii="宋体" w:hAnsi="宋体" w:eastAsia="宋体" w:cs="宋体"/>
          <w:color w:val="FF0404"/>
          <w:spacing w:val="-8"/>
          <w:sz w:val="21"/>
          <w:szCs w:val="21"/>
        </w:rPr>
        <w:t>设备)或环境的损害有关。</w:t>
      </w:r>
    </w:p>
    <w:p w14:paraId="0B8A2D4A">
      <w:pPr>
        <w:spacing w:before="268" w:line="220" w:lineRule="auto"/>
        <w:ind w:left="570" w:right="138"/>
        <w:rPr>
          <w:rFonts w:ascii="宋体" w:hAnsi="宋体" w:eastAsia="宋体" w:cs="宋体"/>
          <w:sz w:val="21"/>
          <w:szCs w:val="21"/>
        </w:rPr>
      </w:pPr>
      <w:r>
        <w:rPr>
          <w:rFonts w:ascii="宋体" w:hAnsi="宋体" w:eastAsia="宋体" w:cs="宋体"/>
          <w:color w:val="FF0404"/>
          <w:spacing w:val="-7"/>
          <w:sz w:val="21"/>
          <w:szCs w:val="21"/>
        </w:rPr>
        <w:t>由于利益相关方的多样性，包括医疗工作者、提供医疗保健的组织、政府、行业、患者和公</w:t>
      </w:r>
      <w:r>
        <w:rPr>
          <w:rFonts w:ascii="宋体" w:hAnsi="宋体" w:eastAsia="宋体" w:cs="宋体"/>
          <w:color w:val="FF0404"/>
          <w:spacing w:val="-8"/>
          <w:sz w:val="21"/>
          <w:szCs w:val="21"/>
        </w:rPr>
        <w:t>众，因此风险管理</w:t>
      </w:r>
      <w:r>
        <w:rPr>
          <w:rFonts w:ascii="宋体" w:hAnsi="宋体" w:eastAsia="宋体" w:cs="宋体"/>
          <w:color w:val="FF0404"/>
          <w:sz w:val="21"/>
          <w:szCs w:val="21"/>
        </w:rPr>
        <w:t xml:space="preserve"> </w:t>
      </w:r>
      <w:r>
        <w:rPr>
          <w:rFonts w:ascii="宋体" w:hAnsi="宋体" w:eastAsia="宋体" w:cs="宋体"/>
          <w:color w:val="FF0404"/>
          <w:spacing w:val="-4"/>
          <w:sz w:val="21"/>
          <w:szCs w:val="21"/>
        </w:rPr>
        <w:t>的概念对于医疗器械特别重要。</w:t>
      </w:r>
    </w:p>
    <w:p w14:paraId="0A4F9359">
      <w:pPr>
        <w:pStyle w:val="2"/>
        <w:spacing w:before="246" w:line="213" w:lineRule="auto"/>
        <w:ind w:left="3"/>
        <w:outlineLvl w:val="0"/>
      </w:pPr>
      <w:r>
        <w:rPr>
          <w:b/>
          <w:bCs/>
          <w:spacing w:val="-19"/>
        </w:rPr>
        <w:t>6、风险概念具有两个组成部分：</w:t>
      </w:r>
      <w:r>
        <w:rPr>
          <w:spacing w:val="82"/>
        </w:rPr>
        <w:t xml:space="preserve"> </w:t>
      </w:r>
      <w:r>
        <w:rPr>
          <w:rFonts w:ascii="宋体" w:hAnsi="宋体" w:eastAsia="宋体" w:cs="宋体"/>
          <w:b/>
          <w:bCs/>
          <w:spacing w:val="-19"/>
        </w:rPr>
        <w:t>a)</w:t>
      </w:r>
      <w:r>
        <w:rPr>
          <w:rFonts w:ascii="宋体" w:hAnsi="宋体" w:eastAsia="宋体" w:cs="宋体"/>
          <w:spacing w:val="-19"/>
        </w:rPr>
        <w:t xml:space="preserve"> </w:t>
      </w:r>
      <w:r>
        <w:rPr>
          <w:b/>
          <w:bCs/>
          <w:spacing w:val="-19"/>
        </w:rPr>
        <w:t>伤</w:t>
      </w:r>
      <w:r>
        <w:rPr>
          <w:b/>
          <w:bCs/>
          <w:spacing w:val="-20"/>
        </w:rPr>
        <w:t>害发生的概率；</w:t>
      </w:r>
      <w:r>
        <w:rPr>
          <w:spacing w:val="62"/>
        </w:rPr>
        <w:t xml:space="preserve"> </w:t>
      </w:r>
      <w:r>
        <w:rPr>
          <w:rFonts w:ascii="宋体" w:hAnsi="宋体" w:eastAsia="宋体" w:cs="宋体"/>
          <w:b/>
          <w:bCs/>
          <w:spacing w:val="-20"/>
        </w:rPr>
        <w:t>b)</w:t>
      </w:r>
      <w:r>
        <w:rPr>
          <w:rFonts w:ascii="宋体" w:hAnsi="宋体" w:eastAsia="宋体" w:cs="宋体"/>
          <w:spacing w:val="-20"/>
        </w:rPr>
        <w:t xml:space="preserve"> </w:t>
      </w:r>
      <w:r>
        <w:rPr>
          <w:b/>
          <w:bCs/>
          <w:spacing w:val="-20"/>
        </w:rPr>
        <w:t>伤害的后果，即可能的严重程度。</w:t>
      </w:r>
    </w:p>
    <w:p w14:paraId="1FFAE027">
      <w:pPr>
        <w:pStyle w:val="2"/>
        <w:spacing w:before="44" w:line="236" w:lineRule="auto"/>
        <w:ind w:left="943"/>
      </w:pPr>
      <w:r>
        <w:rPr>
          <w:b/>
          <w:bCs/>
          <w:spacing w:val="-8"/>
        </w:rPr>
        <w:t>正确【正确答案】</w:t>
      </w:r>
    </w:p>
    <w:p w14:paraId="566DFA19">
      <w:pPr>
        <w:pStyle w:val="2"/>
        <w:spacing w:line="221" w:lineRule="auto"/>
        <w:ind w:left="943"/>
      </w:pPr>
      <w:r>
        <w:rPr>
          <w:b/>
          <w:bCs/>
          <w:spacing w:val="-5"/>
        </w:rPr>
        <w:t>错误</w:t>
      </w:r>
    </w:p>
    <w:p w14:paraId="6B87C2F0">
      <w:pPr>
        <w:pStyle w:val="2"/>
        <w:spacing w:before="10" w:line="222" w:lineRule="auto"/>
        <w:ind w:left="573"/>
      </w:pPr>
      <w:r>
        <w:rPr>
          <w:b/>
          <w:bCs/>
          <w:spacing w:val="-21"/>
        </w:rPr>
        <w:t>得分：得2.5分/满分2.5分正确答案：正确</w:t>
      </w:r>
    </w:p>
    <w:p w14:paraId="68A7B4F8">
      <w:pPr>
        <w:spacing w:before="272" w:line="500" w:lineRule="exact"/>
        <w:ind w:left="570"/>
        <w:rPr>
          <w:rFonts w:ascii="宋体" w:hAnsi="宋体" w:eastAsia="宋体" w:cs="宋体"/>
          <w:sz w:val="21"/>
          <w:szCs w:val="21"/>
        </w:rPr>
      </w:pPr>
      <w:r>
        <w:rPr>
          <w:rFonts w:ascii="宋体" w:hAnsi="宋体" w:eastAsia="宋体" w:cs="宋体"/>
          <w:color w:val="FF0000"/>
          <w:spacing w:val="-1"/>
          <w:position w:val="22"/>
          <w:sz w:val="21"/>
          <w:szCs w:val="21"/>
        </w:rPr>
        <w:t>解析：见GB/T42062-2022《 医疗器械风险管理对医疗器械的应用》标准原文——引言。</w:t>
      </w:r>
    </w:p>
    <w:p w14:paraId="0ADA056D">
      <w:pPr>
        <w:spacing w:before="1" w:line="219" w:lineRule="auto"/>
        <w:ind w:left="570"/>
        <w:rPr>
          <w:rFonts w:ascii="宋体" w:hAnsi="宋体" w:eastAsia="宋体" w:cs="宋体"/>
          <w:sz w:val="21"/>
          <w:szCs w:val="21"/>
        </w:rPr>
      </w:pPr>
      <w:r>
        <w:rPr>
          <w:rFonts w:ascii="宋体" w:hAnsi="宋体" w:eastAsia="宋体" w:cs="宋体"/>
          <w:color w:val="FF0000"/>
          <w:spacing w:val="-10"/>
          <w:sz w:val="21"/>
          <w:szCs w:val="21"/>
        </w:rPr>
        <w:t>普遍地认为，风险的概念具有两个关键组成部分：</w:t>
      </w:r>
    </w:p>
    <w:p w14:paraId="49790D79">
      <w:pPr>
        <w:tabs>
          <w:tab w:val="left" w:pos="1069"/>
        </w:tabs>
        <w:spacing w:before="251" w:line="219" w:lineRule="auto"/>
        <w:ind w:left="570"/>
        <w:rPr>
          <w:rFonts w:ascii="宋体" w:hAnsi="宋体" w:eastAsia="宋体" w:cs="宋体"/>
          <w:sz w:val="21"/>
          <w:szCs w:val="21"/>
        </w:rPr>
      </w:pPr>
      <w:r>
        <w:rPr>
          <w:rFonts w:ascii="宋体" w:hAnsi="宋体" w:eastAsia="宋体" w:cs="宋体"/>
          <w:color w:val="FF0000"/>
          <w:sz w:val="21"/>
          <w:szCs w:val="21"/>
          <w:u w:val="single" w:color="000000"/>
        </w:rPr>
        <w:tab/>
      </w:r>
      <w:r>
        <w:rPr>
          <w:rFonts w:ascii="宋体" w:hAnsi="宋体" w:eastAsia="宋体" w:cs="宋体"/>
          <w:color w:val="FF0000"/>
          <w:spacing w:val="-81"/>
          <w:sz w:val="21"/>
          <w:szCs w:val="21"/>
        </w:rPr>
        <w:t xml:space="preserve"> </w:t>
      </w:r>
      <w:r>
        <w:rPr>
          <w:rFonts w:ascii="宋体" w:hAnsi="宋体" w:eastAsia="宋体" w:cs="宋体"/>
          <w:color w:val="FF0000"/>
          <w:spacing w:val="-16"/>
          <w:sz w:val="21"/>
          <w:szCs w:val="21"/>
        </w:rPr>
        <w:t>伤害发生概率：</w:t>
      </w:r>
    </w:p>
    <w:p w14:paraId="4CC8515F">
      <w:pPr>
        <w:spacing w:before="250" w:line="219" w:lineRule="auto"/>
        <w:ind w:left="570"/>
        <w:rPr>
          <w:rFonts w:ascii="宋体" w:hAnsi="宋体" w:eastAsia="宋体" w:cs="宋体"/>
          <w:sz w:val="21"/>
          <w:szCs w:val="21"/>
        </w:rPr>
      </w:pPr>
      <w:r>
        <w:rPr>
          <w:rFonts w:ascii="宋体" w:hAnsi="宋体" w:eastAsia="宋体" w:cs="宋体"/>
          <w:color w:val="FF0000"/>
          <w:spacing w:val="-11"/>
          <w:sz w:val="21"/>
          <w:szCs w:val="21"/>
        </w:rPr>
        <w:t>——伤害的后果，即可能的严重程度。</w:t>
      </w:r>
    </w:p>
    <w:p w14:paraId="12C317DF">
      <w:pPr>
        <w:pStyle w:val="2"/>
        <w:spacing w:before="52" w:line="231" w:lineRule="auto"/>
        <w:ind w:left="3" w:right="54"/>
        <w:jc w:val="both"/>
      </w:pPr>
      <w:r>
        <w:rPr>
          <w:b/>
          <w:bCs/>
          <w:spacing w:val="-13"/>
        </w:rPr>
        <w:t>7、在特定临床程序情况下使用医疗器械的决定要求权衡剩余风险与临床程序的预期受益。该决定未</w:t>
      </w:r>
      <w:r>
        <w:rPr>
          <w:spacing w:val="-13"/>
        </w:rPr>
        <w:t xml:space="preserve"> </w:t>
      </w:r>
      <w:r>
        <w:rPr>
          <w:b/>
          <w:bCs/>
          <w:spacing w:val="-13"/>
        </w:rPr>
        <w:t>超出本文件的范围，宜考虑与医疗器械相关的预期用途、使用环境、性能和风险、以及与临床程序</w:t>
      </w:r>
      <w:r>
        <w:rPr>
          <w:spacing w:val="-13"/>
        </w:rPr>
        <w:t xml:space="preserve">  </w:t>
      </w:r>
      <w:r>
        <w:rPr>
          <w:b/>
          <w:bCs/>
          <w:spacing w:val="-19"/>
        </w:rPr>
        <w:t>相关的风险和受益。</w:t>
      </w:r>
    </w:p>
    <w:p w14:paraId="751F2162">
      <w:pPr>
        <w:pStyle w:val="2"/>
        <w:spacing w:before="9" w:line="222" w:lineRule="auto"/>
        <w:ind w:left="963"/>
      </w:pPr>
      <w:r>
        <w:rPr>
          <w:b/>
          <w:bCs/>
          <w:spacing w:val="-7"/>
        </w:rPr>
        <w:t>正确</w:t>
      </w:r>
    </w:p>
    <w:p w14:paraId="7E39CFFA">
      <w:pPr>
        <w:pStyle w:val="2"/>
        <w:spacing w:before="19" w:line="222" w:lineRule="auto"/>
        <w:ind w:left="680"/>
      </w:pPr>
      <w:r>
        <w:rPr>
          <w:spacing w:val="-12"/>
        </w:rPr>
        <w:t>○</w:t>
      </w:r>
      <w:r>
        <w:rPr>
          <w:spacing w:val="-54"/>
        </w:rPr>
        <w:t xml:space="preserve"> </w:t>
      </w:r>
      <w:r>
        <w:rPr>
          <w:b/>
          <w:bCs/>
          <w:spacing w:val="-12"/>
        </w:rPr>
        <w:t>错误【正确答案】</w:t>
      </w:r>
    </w:p>
    <w:p w14:paraId="4C31E0D9">
      <w:pPr>
        <w:pStyle w:val="2"/>
        <w:spacing w:before="9" w:line="222" w:lineRule="auto"/>
        <w:ind w:left="613"/>
      </w:pPr>
      <w:r>
        <w:rPr>
          <w:b/>
          <w:bCs/>
          <w:spacing w:val="-20"/>
        </w:rPr>
        <w:t>得分：得0分/满分2.5分正确答案：错误</w:t>
      </w:r>
    </w:p>
    <w:p w14:paraId="7DB1BB4D">
      <w:pPr>
        <w:spacing w:before="263" w:line="219" w:lineRule="auto"/>
        <w:ind w:left="610"/>
        <w:rPr>
          <w:rFonts w:ascii="宋体" w:hAnsi="宋体" w:eastAsia="宋体" w:cs="宋体"/>
          <w:sz w:val="21"/>
          <w:szCs w:val="21"/>
        </w:rPr>
      </w:pPr>
      <w:r>
        <w:rPr>
          <w:rFonts w:ascii="宋体" w:hAnsi="宋体" w:eastAsia="宋体" w:cs="宋体"/>
          <w:color w:val="FF0000"/>
          <w:spacing w:val="-1"/>
          <w:sz w:val="21"/>
          <w:szCs w:val="21"/>
        </w:rPr>
        <w:t>解析：见GB/T42062-2022《 医疗器械风险管理对医疗器械的应用》标准原文——引言。</w:t>
      </w:r>
    </w:p>
    <w:p w14:paraId="23909153">
      <w:pPr>
        <w:spacing w:before="280" w:line="219" w:lineRule="auto"/>
        <w:ind w:left="610" w:right="7"/>
        <w:rPr>
          <w:rFonts w:ascii="宋体" w:hAnsi="宋体" w:eastAsia="宋体" w:cs="宋体"/>
          <w:sz w:val="21"/>
          <w:szCs w:val="21"/>
        </w:rPr>
      </w:pPr>
      <w:r>
        <w:rPr>
          <w:rFonts w:ascii="宋体" w:hAnsi="宋体" w:eastAsia="宋体" w:cs="宋体"/>
          <w:color w:val="FF0404"/>
          <w:sz w:val="21"/>
          <w:szCs w:val="21"/>
        </w:rPr>
        <w:t>在特定临床程序情况下使用医疗器械的决定要求权衡剩余风险与临床程序的预期受益。</w:t>
      </w:r>
      <w:r>
        <w:rPr>
          <w:rFonts w:ascii="宋体" w:hAnsi="宋体" w:eastAsia="宋体" w:cs="宋体"/>
          <w:color w:val="FF0404"/>
          <w:spacing w:val="-1"/>
          <w:sz w:val="21"/>
          <w:szCs w:val="21"/>
        </w:rPr>
        <w:t>该决定超出了本文件</w:t>
      </w:r>
      <w:r>
        <w:rPr>
          <w:rFonts w:ascii="宋体" w:hAnsi="宋体" w:eastAsia="宋体" w:cs="宋体"/>
          <w:color w:val="FF0404"/>
          <w:sz w:val="21"/>
          <w:szCs w:val="21"/>
        </w:rPr>
        <w:t xml:space="preserve"> </w:t>
      </w:r>
      <w:r>
        <w:rPr>
          <w:rFonts w:ascii="宋体" w:hAnsi="宋体" w:eastAsia="宋体" w:cs="宋体"/>
          <w:color w:val="FF0404"/>
          <w:spacing w:val="-4"/>
          <w:sz w:val="21"/>
          <w:szCs w:val="21"/>
        </w:rPr>
        <w:t>的范围，宜考虑与医疗器械相关的预期用途、使用环境、性能和风险，以及</w:t>
      </w:r>
      <w:r>
        <w:rPr>
          <w:rFonts w:ascii="宋体" w:hAnsi="宋体" w:eastAsia="宋体" w:cs="宋体"/>
          <w:color w:val="FF0404"/>
          <w:spacing w:val="-5"/>
          <w:sz w:val="21"/>
          <w:szCs w:val="21"/>
        </w:rPr>
        <w:t>与临床程序相关的风险和受益。</w:t>
      </w:r>
    </w:p>
    <w:p w14:paraId="4EA70FA7">
      <w:pPr>
        <w:pStyle w:val="2"/>
        <w:spacing w:before="218" w:line="239" w:lineRule="auto"/>
        <w:ind w:left="3" w:right="13" w:hanging="3"/>
      </w:pPr>
      <w:r>
        <w:rPr>
          <w:spacing w:val="-12"/>
        </w:rPr>
        <w:t>8</w:t>
      </w:r>
      <w:r>
        <w:rPr>
          <w:b/>
          <w:bCs/>
          <w:spacing w:val="-12"/>
        </w:rPr>
        <w:t>、作为利益相关方之一，制造商降低风险和判定医疗器械的安全包括剩余风险的可接受性。制造商</w:t>
      </w:r>
      <w:r>
        <w:rPr>
          <w:spacing w:val="-12"/>
        </w:rPr>
        <w:t xml:space="preserve"> </w:t>
      </w:r>
      <w:r>
        <w:rPr>
          <w:b/>
          <w:bCs/>
          <w:spacing w:val="-14"/>
        </w:rPr>
        <w:t>考虑普遍公认的最新技术水平，从而确定医疗器械按其预期用途上市的适</w:t>
      </w:r>
      <w:r>
        <w:rPr>
          <w:b/>
          <w:bCs/>
          <w:spacing w:val="-15"/>
        </w:rPr>
        <w:t>宜性。</w:t>
      </w:r>
    </w:p>
    <w:p w14:paraId="1A5FF7E2">
      <w:pPr>
        <w:pStyle w:val="2"/>
        <w:spacing w:before="37" w:line="229" w:lineRule="auto"/>
        <w:ind w:left="960"/>
      </w:pPr>
      <w:r>
        <w:rPr>
          <w:spacing w:val="-2"/>
        </w:rPr>
        <w:t>正确【正确答案】</w:t>
      </w:r>
    </w:p>
    <w:p w14:paraId="7D46EE00">
      <w:pPr>
        <w:pStyle w:val="2"/>
        <w:spacing w:line="221" w:lineRule="auto"/>
        <w:ind w:left="960"/>
      </w:pPr>
      <w:r>
        <w:rPr>
          <w:spacing w:val="-2"/>
        </w:rPr>
        <w:t>错误</w:t>
      </w:r>
    </w:p>
    <w:p w14:paraId="485FCFC3">
      <w:pPr>
        <w:pStyle w:val="2"/>
        <w:spacing w:before="6" w:line="222" w:lineRule="auto"/>
        <w:ind w:left="613"/>
      </w:pPr>
      <w:r>
        <w:rPr>
          <w:b/>
          <w:bCs/>
          <w:spacing w:val="-22"/>
        </w:rPr>
        <w:t>得分：得2.5分/满分2.5分正确答案：正确</w:t>
      </w:r>
    </w:p>
    <w:p w14:paraId="52E99896">
      <w:pPr>
        <w:spacing w:before="263" w:line="219" w:lineRule="auto"/>
        <w:ind w:left="610"/>
        <w:rPr>
          <w:rFonts w:ascii="宋体" w:hAnsi="宋体" w:eastAsia="宋体" w:cs="宋体"/>
          <w:sz w:val="21"/>
          <w:szCs w:val="21"/>
        </w:rPr>
      </w:pPr>
      <w:r>
        <w:rPr>
          <w:rFonts w:ascii="宋体" w:hAnsi="宋体" w:eastAsia="宋体" w:cs="宋体"/>
          <w:color w:val="FF0000"/>
          <w:spacing w:val="-1"/>
          <w:sz w:val="21"/>
          <w:szCs w:val="21"/>
        </w:rPr>
        <w:t>解析：见GB/T42062-2022《 医疗器械风险管理对医疗器械的应用》标准原文——引言。</w:t>
      </w:r>
    </w:p>
    <w:p w14:paraId="62D37817">
      <w:pPr>
        <w:spacing w:before="281" w:line="220" w:lineRule="auto"/>
        <w:ind w:left="610" w:right="8"/>
        <w:jc w:val="both"/>
        <w:rPr>
          <w:rFonts w:ascii="宋体" w:hAnsi="宋体" w:eastAsia="宋体" w:cs="宋体"/>
          <w:sz w:val="21"/>
          <w:szCs w:val="21"/>
        </w:rPr>
      </w:pPr>
      <w:r>
        <w:rPr>
          <w:rFonts w:ascii="宋体" w:hAnsi="宋体" w:eastAsia="宋体" w:cs="宋体"/>
          <w:color w:val="FF0404"/>
          <w:sz w:val="21"/>
          <w:szCs w:val="21"/>
        </w:rPr>
        <w:t>作为利益相关方之一，制造商降低风险和判定医疗器械</w:t>
      </w:r>
      <w:r>
        <w:rPr>
          <w:rFonts w:ascii="宋体" w:hAnsi="宋体" w:eastAsia="宋体" w:cs="宋体"/>
          <w:color w:val="FF0404"/>
          <w:spacing w:val="-1"/>
          <w:sz w:val="21"/>
          <w:szCs w:val="21"/>
        </w:rPr>
        <w:t>的安全包括剩余风险的可接受性。制造商考虑普遍公</w:t>
      </w:r>
      <w:r>
        <w:rPr>
          <w:rFonts w:ascii="宋体" w:hAnsi="宋体" w:eastAsia="宋体" w:cs="宋体"/>
          <w:color w:val="FF0404"/>
          <w:sz w:val="21"/>
          <w:szCs w:val="21"/>
        </w:rPr>
        <w:t xml:space="preserve"> 认的最新技术水平，从而确定医疗器械按其预期用途上市的适宜性。本文件规定了一</w:t>
      </w:r>
      <w:r>
        <w:rPr>
          <w:rFonts w:ascii="宋体" w:hAnsi="宋体" w:eastAsia="宋体" w:cs="宋体"/>
          <w:color w:val="FF0404"/>
          <w:spacing w:val="-1"/>
          <w:sz w:val="21"/>
          <w:szCs w:val="21"/>
        </w:rPr>
        <w:t>个过程，在医疗器械的</w:t>
      </w:r>
      <w:r>
        <w:rPr>
          <w:rFonts w:ascii="宋体" w:hAnsi="宋体" w:eastAsia="宋体" w:cs="宋体"/>
          <w:color w:val="FF0404"/>
          <w:sz w:val="21"/>
          <w:szCs w:val="21"/>
        </w:rPr>
        <w:t xml:space="preserve"> 整个生命周期中，医疗器械制造商按此过程能够识别与医疗器械相关的危险、估计</w:t>
      </w:r>
      <w:r>
        <w:rPr>
          <w:rFonts w:ascii="宋体" w:hAnsi="宋体" w:eastAsia="宋体" w:cs="宋体"/>
          <w:color w:val="FF0404"/>
          <w:spacing w:val="-1"/>
          <w:sz w:val="21"/>
          <w:szCs w:val="21"/>
        </w:rPr>
        <w:t>和评价这些危险相关的风</w:t>
      </w:r>
      <w:r>
        <w:rPr>
          <w:rFonts w:ascii="宋体" w:hAnsi="宋体" w:eastAsia="宋体" w:cs="宋体"/>
          <w:color w:val="FF0404"/>
          <w:sz w:val="21"/>
          <w:szCs w:val="21"/>
        </w:rPr>
        <w:t xml:space="preserve"> </w:t>
      </w:r>
      <w:r>
        <w:rPr>
          <w:rFonts w:ascii="宋体" w:hAnsi="宋体" w:eastAsia="宋体" w:cs="宋体"/>
          <w:color w:val="FF0404"/>
          <w:spacing w:val="-3"/>
          <w:sz w:val="21"/>
          <w:szCs w:val="21"/>
        </w:rPr>
        <w:t>险、控制这些风险和监视控制的有效性。</w:t>
      </w:r>
    </w:p>
    <w:p w14:paraId="6D4A6543">
      <w:pPr>
        <w:pStyle w:val="2"/>
        <w:spacing w:before="263" w:line="233" w:lineRule="auto"/>
        <w:ind w:left="3" w:right="40" w:hanging="3"/>
      </w:pPr>
      <w:r>
        <w:rPr>
          <w:spacing w:val="-12"/>
        </w:rPr>
        <w:t>9、</w:t>
      </w:r>
      <w:r>
        <w:rPr>
          <w:b/>
          <w:bCs/>
          <w:spacing w:val="-12"/>
        </w:rPr>
        <w:t>本文件规定了一个过程，在医疗器械的整个全生</w:t>
      </w:r>
      <w:r>
        <w:rPr>
          <w:b/>
          <w:bCs/>
          <w:spacing w:val="-13"/>
        </w:rPr>
        <w:t>命周期中，医疗器械制造商按此过程能够识别与</w:t>
      </w:r>
      <w:r>
        <w:rPr>
          <w:spacing w:val="-13"/>
        </w:rPr>
        <w:t xml:space="preserve"> </w:t>
      </w:r>
      <w:r>
        <w:rPr>
          <w:b/>
          <w:bCs/>
          <w:spacing w:val="-14"/>
        </w:rPr>
        <w:t>医疗器械相关的危险、估计和评价这些危险相关的风险、控制这些风险和监视控制</w:t>
      </w:r>
      <w:r>
        <w:rPr>
          <w:b/>
          <w:bCs/>
          <w:spacing w:val="-15"/>
        </w:rPr>
        <w:t>的有效性。</w:t>
      </w:r>
    </w:p>
    <w:p w14:paraId="23913FBD">
      <w:pPr>
        <w:pStyle w:val="2"/>
        <w:spacing w:before="22" w:line="236" w:lineRule="auto"/>
        <w:ind w:left="963"/>
      </w:pPr>
      <w:r>
        <w:rPr>
          <w:b/>
          <w:bCs/>
          <w:spacing w:val="-5"/>
        </w:rPr>
        <w:t>正确【正确答案】</w:t>
      </w:r>
    </w:p>
    <w:p w14:paraId="66FA9335">
      <w:pPr>
        <w:pStyle w:val="2"/>
        <w:spacing w:before="1" w:line="221" w:lineRule="auto"/>
        <w:ind w:left="680"/>
      </w:pPr>
      <w:r>
        <w:rPr>
          <w:spacing w:val="-19"/>
          <w:w w:val="96"/>
        </w:rPr>
        <w:t>○</w:t>
      </w:r>
      <w:r>
        <w:rPr>
          <w:spacing w:val="-15"/>
        </w:rPr>
        <w:t xml:space="preserve"> </w:t>
      </w:r>
      <w:r>
        <w:rPr>
          <w:b/>
          <w:bCs/>
          <w:spacing w:val="-19"/>
          <w:w w:val="96"/>
        </w:rPr>
        <w:t>错误</w:t>
      </w:r>
    </w:p>
    <w:p w14:paraId="5054EAA8">
      <w:pPr>
        <w:pStyle w:val="2"/>
        <w:spacing w:before="30" w:line="222" w:lineRule="auto"/>
        <w:ind w:left="613"/>
      </w:pPr>
      <w:r>
        <w:rPr>
          <w:b/>
          <w:bCs/>
          <w:spacing w:val="-22"/>
        </w:rPr>
        <w:t>得分：得2.5分/满分2.5分正确答案：正确</w:t>
      </w:r>
    </w:p>
    <w:p w14:paraId="327B1F1F">
      <w:pPr>
        <w:spacing w:before="253" w:line="219" w:lineRule="auto"/>
        <w:ind w:left="610"/>
        <w:rPr>
          <w:rFonts w:ascii="宋体" w:hAnsi="宋体" w:eastAsia="宋体" w:cs="宋体"/>
          <w:sz w:val="21"/>
          <w:szCs w:val="21"/>
        </w:rPr>
      </w:pPr>
      <w:r>
        <w:rPr>
          <w:rFonts w:ascii="宋体" w:hAnsi="宋体" w:eastAsia="宋体" w:cs="宋体"/>
          <w:color w:val="FF0000"/>
          <w:sz w:val="21"/>
          <w:szCs w:val="21"/>
        </w:rPr>
        <w:t>解析：见GB/T42062-2022《 医疗器械风险管理对医疗器械的应用》标准原文——1.范围。</w:t>
      </w:r>
    </w:p>
    <w:p w14:paraId="47B91648">
      <w:pPr>
        <w:spacing w:before="279" w:line="220" w:lineRule="auto"/>
        <w:ind w:left="610"/>
        <w:jc w:val="both"/>
        <w:rPr>
          <w:rFonts w:ascii="宋体" w:hAnsi="宋体" w:eastAsia="宋体" w:cs="宋体"/>
          <w:sz w:val="21"/>
          <w:szCs w:val="21"/>
        </w:rPr>
      </w:pPr>
      <w:r>
        <w:rPr>
          <w:rFonts w:ascii="宋体" w:hAnsi="宋体" w:eastAsia="宋体" w:cs="宋体"/>
          <w:color w:val="FF0404"/>
          <w:spacing w:val="5"/>
          <w:sz w:val="21"/>
          <w:szCs w:val="21"/>
        </w:rPr>
        <w:t>本文件规定了医疗器械(包括作为医疗器械的</w:t>
      </w:r>
      <w:r>
        <w:rPr>
          <w:rFonts w:ascii="宋体" w:hAnsi="宋体" w:eastAsia="宋体" w:cs="宋体"/>
          <w:color w:val="FF0404"/>
          <w:spacing w:val="4"/>
          <w:sz w:val="21"/>
          <w:szCs w:val="21"/>
        </w:rPr>
        <w:t>软件和体外诊断医疗器械)风险管理的术语、原则和过程。本</w:t>
      </w:r>
      <w:r>
        <w:rPr>
          <w:rFonts w:ascii="宋体" w:hAnsi="宋体" w:eastAsia="宋体" w:cs="宋体"/>
          <w:color w:val="FF0404"/>
          <w:sz w:val="21"/>
          <w:szCs w:val="21"/>
        </w:rPr>
        <w:t xml:space="preserve"> 文件中描述的过程旨在帮助医疗器械制造商识别与医疗器械相关的危险，估计和评</w:t>
      </w:r>
      <w:r>
        <w:rPr>
          <w:rFonts w:ascii="宋体" w:hAnsi="宋体" w:eastAsia="宋体" w:cs="宋体"/>
          <w:color w:val="FF0404"/>
          <w:spacing w:val="-1"/>
          <w:sz w:val="21"/>
          <w:szCs w:val="21"/>
        </w:rPr>
        <w:t>价相关的风险，控制这些</w:t>
      </w:r>
      <w:r>
        <w:rPr>
          <w:rFonts w:ascii="宋体" w:hAnsi="宋体" w:eastAsia="宋体" w:cs="宋体"/>
          <w:color w:val="FF0404"/>
          <w:sz w:val="21"/>
          <w:szCs w:val="21"/>
        </w:rPr>
        <w:t xml:space="preserve"> </w:t>
      </w:r>
      <w:r>
        <w:rPr>
          <w:rFonts w:ascii="宋体" w:hAnsi="宋体" w:eastAsia="宋体" w:cs="宋体"/>
          <w:color w:val="FF0404"/>
          <w:spacing w:val="-4"/>
          <w:sz w:val="21"/>
          <w:szCs w:val="21"/>
        </w:rPr>
        <w:t>风险并监视控制的有效性。</w:t>
      </w:r>
    </w:p>
    <w:p w14:paraId="354F7431">
      <w:pPr>
        <w:pStyle w:val="2"/>
        <w:spacing w:before="277" w:line="222" w:lineRule="auto"/>
        <w:ind w:left="3"/>
        <w:outlineLvl w:val="0"/>
      </w:pPr>
      <w:r>
        <w:rPr>
          <w:b/>
          <w:bCs/>
          <w:spacing w:val="-15"/>
        </w:rPr>
        <w:t>10、本标准的要求适用于医疗器械生命周期的所有阶段。</w:t>
      </w:r>
    </w:p>
    <w:p w14:paraId="17E2BF0B">
      <w:pPr>
        <w:pStyle w:val="2"/>
        <w:spacing w:before="20" w:line="229" w:lineRule="auto"/>
        <w:ind w:left="963"/>
      </w:pPr>
      <w:r>
        <w:rPr>
          <w:b/>
          <w:bCs/>
          <w:spacing w:val="-10"/>
        </w:rPr>
        <w:t>正确【正确答案】</w:t>
      </w:r>
    </w:p>
    <w:p w14:paraId="36D982E0">
      <w:pPr>
        <w:pStyle w:val="2"/>
        <w:spacing w:before="1" w:line="221" w:lineRule="auto"/>
        <w:ind w:left="680"/>
      </w:pPr>
      <w:r>
        <w:rPr>
          <w:spacing w:val="-16"/>
        </w:rPr>
        <w:t>○</w:t>
      </w:r>
      <w:r>
        <w:rPr>
          <w:spacing w:val="-33"/>
        </w:rPr>
        <w:t xml:space="preserve"> </w:t>
      </w:r>
      <w:r>
        <w:rPr>
          <w:b/>
          <w:bCs/>
          <w:spacing w:val="-16"/>
        </w:rPr>
        <w:t>错误</w:t>
      </w:r>
    </w:p>
    <w:p w14:paraId="504E616E">
      <w:pPr>
        <w:pStyle w:val="2"/>
        <w:spacing w:before="19" w:line="222" w:lineRule="auto"/>
        <w:ind w:left="613"/>
      </w:pPr>
      <w:r>
        <w:rPr>
          <w:b/>
          <w:bCs/>
          <w:spacing w:val="-22"/>
        </w:rPr>
        <w:t>得分：得2.5分/满分2.5分正确答案：正确</w:t>
      </w:r>
    </w:p>
    <w:p w14:paraId="5DBA6C8D">
      <w:pPr>
        <w:spacing w:before="273" w:line="479" w:lineRule="exact"/>
        <w:ind w:left="610"/>
        <w:rPr>
          <w:rFonts w:ascii="宋体" w:hAnsi="宋体" w:eastAsia="宋体" w:cs="宋体"/>
          <w:sz w:val="21"/>
          <w:szCs w:val="21"/>
        </w:rPr>
      </w:pPr>
      <w:r>
        <w:rPr>
          <w:rFonts w:ascii="宋体" w:hAnsi="宋体" w:eastAsia="宋体" w:cs="宋体"/>
          <w:color w:val="FF0404"/>
          <w:spacing w:val="-2"/>
          <w:position w:val="20"/>
          <w:sz w:val="21"/>
          <w:szCs w:val="21"/>
        </w:rPr>
        <w:t>解析：见GB/T42062-2022《 医疗器械风险管理对医疗器械的应用》标准原文——1.范围。</w:t>
      </w:r>
    </w:p>
    <w:p w14:paraId="6F9F4B38">
      <w:pPr>
        <w:spacing w:before="1" w:line="218" w:lineRule="auto"/>
        <w:ind w:left="610"/>
        <w:rPr>
          <w:rFonts w:ascii="宋体" w:hAnsi="宋体" w:eastAsia="宋体" w:cs="宋体"/>
          <w:sz w:val="21"/>
          <w:szCs w:val="21"/>
        </w:rPr>
      </w:pPr>
      <w:r>
        <w:rPr>
          <w:rFonts w:ascii="宋体" w:hAnsi="宋体" w:eastAsia="宋体" w:cs="宋体"/>
          <w:color w:val="FF0404"/>
          <w:spacing w:val="-2"/>
          <w:sz w:val="21"/>
          <w:szCs w:val="21"/>
        </w:rPr>
        <w:t>本文件的要求适用于医疗器械生命周期的所有阶段。</w:t>
      </w:r>
    </w:p>
    <w:p w14:paraId="491EB8AA">
      <w:pPr>
        <w:pStyle w:val="2"/>
        <w:spacing w:before="278" w:line="222" w:lineRule="auto"/>
        <w:ind w:left="2"/>
        <w:outlineLvl w:val="0"/>
      </w:pPr>
      <w:r>
        <w:rPr>
          <w:b/>
          <w:bCs/>
          <w:spacing w:val="-19"/>
        </w:rPr>
        <w:t>11、本标准规定了可接受的风险水平。</w:t>
      </w:r>
    </w:p>
    <w:p w14:paraId="4BAF4D79">
      <w:pPr>
        <w:pStyle w:val="2"/>
        <w:spacing w:before="24" w:line="222" w:lineRule="auto"/>
        <w:ind w:left="960"/>
      </w:pPr>
      <w:r>
        <w:rPr>
          <w:spacing w:val="-4"/>
        </w:rPr>
        <w:t>正确</w:t>
      </w:r>
    </w:p>
    <w:p w14:paraId="38725F35">
      <w:pPr>
        <w:pStyle w:val="2"/>
        <w:spacing w:before="9" w:line="222" w:lineRule="auto"/>
        <w:ind w:left="960"/>
      </w:pPr>
      <w:r>
        <w:rPr>
          <w:spacing w:val="-7"/>
        </w:rPr>
        <w:t>错误【正确答案】</w:t>
      </w:r>
    </w:p>
    <w:p w14:paraId="2C9B87EC">
      <w:pPr>
        <w:pStyle w:val="2"/>
        <w:spacing w:before="6" w:line="222" w:lineRule="auto"/>
        <w:ind w:left="613"/>
      </w:pPr>
      <w:r>
        <w:rPr>
          <w:b/>
          <w:bCs/>
          <w:spacing w:val="-22"/>
        </w:rPr>
        <w:t>得分：得2.5分/满分2.5分正确答案：错误</w:t>
      </w:r>
    </w:p>
    <w:p w14:paraId="1CBD87A3">
      <w:pPr>
        <w:spacing w:before="272" w:line="480" w:lineRule="exact"/>
        <w:ind w:left="610"/>
        <w:rPr>
          <w:rFonts w:ascii="宋体" w:hAnsi="宋体" w:eastAsia="宋体" w:cs="宋体"/>
          <w:sz w:val="21"/>
          <w:szCs w:val="21"/>
        </w:rPr>
      </w:pPr>
      <w:r>
        <w:rPr>
          <w:rFonts w:ascii="宋体" w:hAnsi="宋体" w:eastAsia="宋体" w:cs="宋体"/>
          <w:color w:val="FF0404"/>
          <w:spacing w:val="-2"/>
          <w:position w:val="20"/>
          <w:sz w:val="21"/>
          <w:szCs w:val="21"/>
        </w:rPr>
        <w:t>解析：见GB/T42062-2022《 医疗器械风险管理对医疗器械的应用》标准原文——1.范围。</w:t>
      </w:r>
    </w:p>
    <w:p w14:paraId="7CD41436">
      <w:pPr>
        <w:spacing w:line="218" w:lineRule="auto"/>
        <w:ind w:left="610"/>
        <w:rPr>
          <w:rFonts w:ascii="宋体" w:hAnsi="宋体" w:eastAsia="宋体" w:cs="宋体"/>
          <w:sz w:val="21"/>
          <w:szCs w:val="21"/>
        </w:rPr>
      </w:pPr>
      <w:r>
        <w:rPr>
          <w:rFonts w:ascii="宋体" w:hAnsi="宋体" w:eastAsia="宋体" w:cs="宋体"/>
          <w:color w:val="FF0404"/>
          <w:spacing w:val="-1"/>
          <w:sz w:val="21"/>
          <w:szCs w:val="21"/>
        </w:rPr>
        <w:t>本文要求制造商建立客观的风险可接受性准则，但本文件不规定可接受的风险</w:t>
      </w:r>
      <w:r>
        <w:rPr>
          <w:rFonts w:ascii="宋体" w:hAnsi="宋体" w:eastAsia="宋体" w:cs="宋体"/>
          <w:color w:val="FF0404"/>
          <w:spacing w:val="-2"/>
          <w:sz w:val="21"/>
          <w:szCs w:val="21"/>
        </w:rPr>
        <w:t>水平。</w:t>
      </w:r>
    </w:p>
    <w:p w14:paraId="56EF321E">
      <w:pPr>
        <w:spacing w:line="218" w:lineRule="auto"/>
        <w:rPr>
          <w:rFonts w:ascii="宋体" w:hAnsi="宋体" w:eastAsia="宋体" w:cs="宋体"/>
          <w:sz w:val="21"/>
          <w:szCs w:val="21"/>
        </w:rPr>
        <w:sectPr>
          <w:pgSz w:w="11910" w:h="16840"/>
          <w:pgMar w:top="555" w:right="740" w:bottom="0" w:left="689" w:header="0" w:footer="0" w:gutter="0"/>
          <w:cols w:space="720" w:num="1"/>
        </w:sectPr>
      </w:pPr>
    </w:p>
    <w:p w14:paraId="19E06BA6">
      <w:pPr>
        <w:pStyle w:val="2"/>
        <w:spacing w:before="45"/>
        <w:ind w:left="953" w:right="395" w:hanging="953"/>
        <w:rPr>
          <w:sz w:val="23"/>
          <w:szCs w:val="23"/>
        </w:rPr>
      </w:pPr>
      <w:r>
        <w:rPr>
          <w:spacing w:val="3"/>
          <w:sz w:val="23"/>
          <w:szCs w:val="23"/>
        </w:rPr>
        <w:t>1</w:t>
      </w:r>
      <w:r>
        <w:rPr>
          <w:b/>
          <w:bCs/>
          <w:spacing w:val="3"/>
          <w:sz w:val="23"/>
          <w:szCs w:val="23"/>
        </w:rPr>
        <w:t>2、</w:t>
      </w:r>
      <w:r>
        <w:rPr>
          <w:spacing w:val="-52"/>
          <w:sz w:val="23"/>
          <w:szCs w:val="23"/>
        </w:rPr>
        <w:t xml:space="preserve"> </w:t>
      </w:r>
      <w:r>
        <w:rPr>
          <w:b/>
          <w:bCs/>
          <w:spacing w:val="3"/>
          <w:sz w:val="23"/>
          <w:szCs w:val="23"/>
        </w:rPr>
        <w:t>本标准要求制造商有一个适当的质量体系，风险管理必须是质量管理体系的一个组成部分。</w:t>
      </w:r>
      <w:r>
        <w:rPr>
          <w:spacing w:val="3"/>
          <w:sz w:val="23"/>
          <w:szCs w:val="23"/>
        </w:rPr>
        <w:t xml:space="preserve"> </w:t>
      </w:r>
      <w:r>
        <w:rPr>
          <w:b/>
          <w:bCs/>
          <w:spacing w:val="12"/>
          <w:sz w:val="23"/>
          <w:szCs w:val="23"/>
        </w:rPr>
        <w:t>正确</w:t>
      </w:r>
    </w:p>
    <w:p w14:paraId="155D5BCE">
      <w:pPr>
        <w:pStyle w:val="2"/>
        <w:spacing w:before="34" w:line="223" w:lineRule="auto"/>
        <w:ind w:left="670"/>
        <w:rPr>
          <w:sz w:val="23"/>
          <w:szCs w:val="23"/>
        </w:rPr>
      </w:pPr>
      <w:r>
        <w:rPr>
          <w:rFonts w:ascii="宋体" w:hAnsi="宋体" w:eastAsia="宋体" w:cs="宋体"/>
          <w:spacing w:val="5"/>
          <w:sz w:val="23"/>
          <w:szCs w:val="23"/>
        </w:rPr>
        <w:t>◎</w:t>
      </w:r>
      <w:r>
        <w:rPr>
          <w:rFonts w:ascii="宋体" w:hAnsi="宋体" w:eastAsia="宋体" w:cs="宋体"/>
          <w:spacing w:val="-29"/>
          <w:sz w:val="23"/>
          <w:szCs w:val="23"/>
        </w:rPr>
        <w:t xml:space="preserve"> </w:t>
      </w:r>
      <w:r>
        <w:rPr>
          <w:b/>
          <w:bCs/>
          <w:spacing w:val="5"/>
          <w:sz w:val="23"/>
          <w:szCs w:val="23"/>
        </w:rPr>
        <w:t>错误【正确答案】</w:t>
      </w:r>
    </w:p>
    <w:p w14:paraId="18295666">
      <w:pPr>
        <w:pStyle w:val="2"/>
        <w:spacing w:before="31" w:line="222" w:lineRule="auto"/>
        <w:ind w:left="603"/>
        <w:rPr>
          <w:sz w:val="23"/>
          <w:szCs w:val="23"/>
        </w:rPr>
      </w:pPr>
      <w:r>
        <w:rPr>
          <w:b/>
          <w:bCs/>
          <w:spacing w:val="-6"/>
          <w:sz w:val="23"/>
          <w:szCs w:val="23"/>
        </w:rPr>
        <w:t>得分：得2.5分/满分2.5分正确答案：错误</w:t>
      </w:r>
    </w:p>
    <w:p w14:paraId="42A90188">
      <w:pPr>
        <w:spacing w:before="258" w:line="219" w:lineRule="auto"/>
        <w:ind w:left="600"/>
        <w:rPr>
          <w:rFonts w:ascii="宋体" w:hAnsi="宋体" w:eastAsia="宋体" w:cs="宋体"/>
          <w:sz w:val="23"/>
          <w:szCs w:val="23"/>
        </w:rPr>
      </w:pPr>
      <w:r>
        <w:rPr>
          <w:rFonts w:ascii="宋体" w:hAnsi="宋体" w:eastAsia="宋体" w:cs="宋体"/>
          <w:color w:val="FF0404"/>
          <w:spacing w:val="-15"/>
          <w:sz w:val="23"/>
          <w:szCs w:val="23"/>
        </w:rPr>
        <w:t>解析：见GB/T42062-2022《医疗器械风险管理对医疗器械的应用》标准原文——1</w:t>
      </w:r>
      <w:r>
        <w:rPr>
          <w:rFonts w:ascii="宋体" w:hAnsi="宋体" w:eastAsia="宋体" w:cs="宋体"/>
          <w:color w:val="FF0404"/>
          <w:spacing w:val="-16"/>
          <w:sz w:val="23"/>
          <w:szCs w:val="23"/>
        </w:rPr>
        <w:t>.范围。</w:t>
      </w:r>
    </w:p>
    <w:p w14:paraId="1244FFA6">
      <w:pPr>
        <w:spacing w:before="205" w:line="219" w:lineRule="auto"/>
        <w:ind w:left="600"/>
        <w:rPr>
          <w:rFonts w:ascii="宋体" w:hAnsi="宋体" w:eastAsia="宋体" w:cs="宋体"/>
          <w:sz w:val="23"/>
          <w:szCs w:val="23"/>
        </w:rPr>
      </w:pPr>
      <w:r>
        <w:rPr>
          <w:rFonts w:ascii="宋体" w:hAnsi="宋体" w:eastAsia="宋体" w:cs="宋体"/>
          <w:color w:val="FF0404"/>
          <w:spacing w:val="-22"/>
          <w:sz w:val="23"/>
          <w:szCs w:val="23"/>
        </w:rPr>
        <w:t>风险管理能是质量管理体系的一个组成部分。</w:t>
      </w:r>
      <w:r>
        <w:rPr>
          <w:rFonts w:ascii="宋体" w:hAnsi="宋体" w:eastAsia="宋体" w:cs="宋体"/>
          <w:color w:val="FF0404"/>
          <w:spacing w:val="92"/>
          <w:sz w:val="23"/>
          <w:szCs w:val="23"/>
        </w:rPr>
        <w:t xml:space="preserve"> </w:t>
      </w:r>
      <w:r>
        <w:rPr>
          <w:rFonts w:ascii="宋体" w:hAnsi="宋体" w:eastAsia="宋体" w:cs="宋体"/>
          <w:color w:val="FF0404"/>
          <w:spacing w:val="-22"/>
          <w:sz w:val="23"/>
          <w:szCs w:val="23"/>
        </w:rPr>
        <w:t>然而，本文件不要求制造商</w:t>
      </w:r>
      <w:r>
        <w:rPr>
          <w:rFonts w:ascii="宋体" w:hAnsi="宋体" w:eastAsia="宋体" w:cs="宋体"/>
          <w:color w:val="FF0404"/>
          <w:spacing w:val="-23"/>
          <w:sz w:val="23"/>
          <w:szCs w:val="23"/>
        </w:rPr>
        <w:t>具有已建立的质量管理体系。</w:t>
      </w:r>
    </w:p>
    <w:p w14:paraId="11E4A2F7">
      <w:pPr>
        <w:pStyle w:val="2"/>
        <w:spacing w:before="283" w:line="213" w:lineRule="auto"/>
        <w:ind w:left="2"/>
        <w:outlineLvl w:val="0"/>
        <w:rPr>
          <w:sz w:val="23"/>
          <w:szCs w:val="23"/>
        </w:rPr>
      </w:pPr>
      <w:r>
        <w:rPr>
          <w:b/>
          <w:bCs/>
          <w:spacing w:val="2"/>
          <w:sz w:val="23"/>
          <w:szCs w:val="23"/>
        </w:rPr>
        <w:t>13、</w:t>
      </w:r>
      <w:r>
        <w:rPr>
          <w:spacing w:val="-56"/>
          <w:sz w:val="23"/>
          <w:szCs w:val="23"/>
        </w:rPr>
        <w:t xml:space="preserve"> </w:t>
      </w:r>
      <w:r>
        <w:rPr>
          <w:b/>
          <w:bCs/>
          <w:spacing w:val="2"/>
          <w:sz w:val="23"/>
          <w:szCs w:val="23"/>
        </w:rPr>
        <w:t>伤害是指对人健康的损伤或损害，或对财产或环境的损害。</w:t>
      </w:r>
    </w:p>
    <w:p w14:paraId="21B1E12E">
      <w:pPr>
        <w:pStyle w:val="2"/>
        <w:spacing w:before="69" w:line="320" w:lineRule="exact"/>
        <w:ind w:left="950"/>
        <w:rPr>
          <w:sz w:val="23"/>
          <w:szCs w:val="23"/>
        </w:rPr>
      </w:pPr>
      <w:r>
        <w:rPr>
          <w:spacing w:val="19"/>
          <w:position w:val="6"/>
          <w:sz w:val="23"/>
          <w:szCs w:val="23"/>
        </w:rPr>
        <w:t>正确【正确答案】</w:t>
      </w:r>
    </w:p>
    <w:p w14:paraId="3810D818">
      <w:pPr>
        <w:pStyle w:val="2"/>
        <w:spacing w:before="1" w:line="221" w:lineRule="auto"/>
        <w:ind w:left="950"/>
        <w:rPr>
          <w:sz w:val="23"/>
          <w:szCs w:val="23"/>
        </w:rPr>
      </w:pPr>
      <w:r>
        <w:rPr>
          <w:spacing w:val="14"/>
          <w:sz w:val="23"/>
          <w:szCs w:val="23"/>
        </w:rPr>
        <w:t>错误</w:t>
      </w:r>
    </w:p>
    <w:p w14:paraId="568239BE">
      <w:pPr>
        <w:pStyle w:val="2"/>
        <w:spacing w:before="30" w:line="222" w:lineRule="auto"/>
        <w:ind w:left="603"/>
        <w:rPr>
          <w:sz w:val="23"/>
          <w:szCs w:val="23"/>
        </w:rPr>
      </w:pPr>
      <w:r>
        <w:rPr>
          <w:b/>
          <w:bCs/>
          <w:spacing w:val="-6"/>
          <w:sz w:val="23"/>
          <w:szCs w:val="23"/>
        </w:rPr>
        <w:t>得分：得2.5分/满分2.5分正确答案：正确</w:t>
      </w:r>
    </w:p>
    <w:p w14:paraId="41056ADE">
      <w:pPr>
        <w:spacing w:before="248" w:line="210" w:lineRule="auto"/>
        <w:ind w:left="600" w:right="22"/>
        <w:rPr>
          <w:rFonts w:ascii="宋体" w:hAnsi="宋体" w:eastAsia="宋体" w:cs="宋体"/>
          <w:sz w:val="23"/>
          <w:szCs w:val="23"/>
        </w:rPr>
      </w:pPr>
      <w:r>
        <w:rPr>
          <w:rFonts w:ascii="宋体" w:hAnsi="宋体" w:eastAsia="宋体" w:cs="宋体"/>
          <w:color w:val="FF0404"/>
          <w:spacing w:val="-17"/>
          <w:sz w:val="23"/>
          <w:szCs w:val="23"/>
        </w:rPr>
        <w:t>解析：见GB/T42062-2022《医疗器械风险管理对医疗器械的应用》标准原文——3.术语和定义。3.3伤害：</w:t>
      </w:r>
      <w:r>
        <w:rPr>
          <w:rFonts w:ascii="宋体" w:hAnsi="宋体" w:eastAsia="宋体" w:cs="宋体"/>
          <w:color w:val="FF0404"/>
          <w:spacing w:val="1"/>
          <w:sz w:val="23"/>
          <w:szCs w:val="23"/>
        </w:rPr>
        <w:t xml:space="preserve"> </w:t>
      </w:r>
      <w:r>
        <w:rPr>
          <w:rFonts w:ascii="宋体" w:hAnsi="宋体" w:eastAsia="宋体" w:cs="宋体"/>
          <w:color w:val="FF0404"/>
          <w:spacing w:val="-20"/>
          <w:sz w:val="23"/>
          <w:szCs w:val="23"/>
        </w:rPr>
        <w:t>对人健康的损伤或损害，或对财产或环境的损害。</w:t>
      </w:r>
    </w:p>
    <w:p w14:paraId="4DE40196">
      <w:pPr>
        <w:pStyle w:val="2"/>
        <w:spacing w:before="281" w:line="221" w:lineRule="auto"/>
        <w:ind w:left="2"/>
        <w:outlineLvl w:val="0"/>
        <w:rPr>
          <w:sz w:val="23"/>
          <w:szCs w:val="23"/>
        </w:rPr>
      </w:pPr>
      <w:r>
        <w:rPr>
          <w:b/>
          <w:bCs/>
          <w:spacing w:val="-3"/>
          <w:sz w:val="23"/>
          <w:szCs w:val="23"/>
        </w:rPr>
        <w:t>14、</w:t>
      </w:r>
      <w:r>
        <w:rPr>
          <w:spacing w:val="-57"/>
          <w:sz w:val="23"/>
          <w:szCs w:val="23"/>
        </w:rPr>
        <w:t xml:space="preserve"> </w:t>
      </w:r>
      <w:r>
        <w:rPr>
          <w:b/>
          <w:bCs/>
          <w:spacing w:val="-3"/>
          <w:sz w:val="23"/>
          <w:szCs w:val="23"/>
        </w:rPr>
        <w:t>危险指可能导致伤害的潜在根源。</w:t>
      </w:r>
    </w:p>
    <w:p w14:paraId="43E8E3B9">
      <w:pPr>
        <w:pStyle w:val="2"/>
        <w:spacing w:before="49" w:line="320" w:lineRule="exact"/>
        <w:ind w:left="950"/>
        <w:rPr>
          <w:sz w:val="23"/>
          <w:szCs w:val="23"/>
        </w:rPr>
      </w:pPr>
      <w:r>
        <w:rPr>
          <w:spacing w:val="13"/>
          <w:position w:val="6"/>
          <w:sz w:val="23"/>
          <w:szCs w:val="23"/>
        </w:rPr>
        <w:t>正确【正确答案】</w:t>
      </w:r>
    </w:p>
    <w:p w14:paraId="5441E69E">
      <w:pPr>
        <w:pStyle w:val="2"/>
        <w:spacing w:before="1" w:line="221" w:lineRule="auto"/>
        <w:ind w:left="950"/>
        <w:rPr>
          <w:sz w:val="23"/>
          <w:szCs w:val="23"/>
        </w:rPr>
      </w:pPr>
      <w:r>
        <w:rPr>
          <w:spacing w:val="30"/>
          <w:sz w:val="23"/>
          <w:szCs w:val="23"/>
        </w:rPr>
        <w:t>错误</w:t>
      </w:r>
    </w:p>
    <w:p w14:paraId="7D895BF6">
      <w:pPr>
        <w:pStyle w:val="2"/>
        <w:spacing w:before="30" w:line="222" w:lineRule="auto"/>
        <w:ind w:left="603"/>
        <w:rPr>
          <w:sz w:val="23"/>
          <w:szCs w:val="23"/>
        </w:rPr>
      </w:pPr>
      <w:r>
        <w:rPr>
          <w:b/>
          <w:bCs/>
          <w:spacing w:val="-6"/>
          <w:sz w:val="23"/>
          <w:szCs w:val="23"/>
        </w:rPr>
        <w:t>得分：得2.5分/满分2.5分正确答案：正确</w:t>
      </w:r>
    </w:p>
    <w:p w14:paraId="150248EB">
      <w:pPr>
        <w:spacing w:before="258" w:line="210" w:lineRule="auto"/>
        <w:ind w:left="600" w:right="62"/>
        <w:rPr>
          <w:rFonts w:ascii="宋体" w:hAnsi="宋体" w:eastAsia="宋体" w:cs="宋体"/>
          <w:sz w:val="23"/>
          <w:szCs w:val="23"/>
        </w:rPr>
      </w:pPr>
      <w:r>
        <w:rPr>
          <w:rFonts w:ascii="宋体" w:hAnsi="宋体" w:eastAsia="宋体" w:cs="宋体"/>
          <w:color w:val="FF0404"/>
          <w:spacing w:val="-18"/>
          <w:sz w:val="23"/>
          <w:szCs w:val="23"/>
        </w:rPr>
        <w:t>解析：见GB/T42062-2022《医疗器械风险管理对医疗器械的应用》标准原文——3.术语和定义。3.4危险：</w:t>
      </w:r>
      <w:r>
        <w:rPr>
          <w:rFonts w:ascii="宋体" w:hAnsi="宋体" w:eastAsia="宋体" w:cs="宋体"/>
          <w:color w:val="FF0404"/>
          <w:spacing w:val="17"/>
          <w:sz w:val="23"/>
          <w:szCs w:val="23"/>
        </w:rPr>
        <w:t xml:space="preserve"> </w:t>
      </w:r>
      <w:r>
        <w:rPr>
          <w:rFonts w:ascii="宋体" w:hAnsi="宋体" w:eastAsia="宋体" w:cs="宋体"/>
          <w:color w:val="FF0404"/>
          <w:spacing w:val="-22"/>
          <w:sz w:val="23"/>
          <w:szCs w:val="23"/>
        </w:rPr>
        <w:t>可能导致伤害的潜在根源。</w:t>
      </w:r>
    </w:p>
    <w:p w14:paraId="2BBA7EF9">
      <w:pPr>
        <w:pStyle w:val="2"/>
        <w:spacing w:before="282" w:line="221" w:lineRule="auto"/>
        <w:ind w:left="2"/>
        <w:outlineLvl w:val="0"/>
        <w:rPr>
          <w:sz w:val="23"/>
          <w:szCs w:val="23"/>
        </w:rPr>
      </w:pPr>
      <w:r>
        <w:rPr>
          <w:b/>
          <w:bCs/>
          <w:spacing w:val="3"/>
          <w:sz w:val="23"/>
          <w:szCs w:val="23"/>
        </w:rPr>
        <w:t>15、</w:t>
      </w:r>
      <w:r>
        <w:rPr>
          <w:spacing w:val="-51"/>
          <w:sz w:val="23"/>
          <w:szCs w:val="23"/>
        </w:rPr>
        <w:t xml:space="preserve"> </w:t>
      </w:r>
      <w:r>
        <w:rPr>
          <w:b/>
          <w:bCs/>
          <w:spacing w:val="3"/>
          <w:sz w:val="23"/>
          <w:szCs w:val="23"/>
        </w:rPr>
        <w:t>危险情况是指人员、财产或环境暴露于一个或多个危险中的情形。</w:t>
      </w:r>
    </w:p>
    <w:p w14:paraId="6A6E9106">
      <w:pPr>
        <w:pStyle w:val="2"/>
        <w:spacing w:before="38" w:line="222" w:lineRule="auto"/>
        <w:ind w:left="950"/>
        <w:rPr>
          <w:sz w:val="23"/>
          <w:szCs w:val="23"/>
        </w:rPr>
      </w:pPr>
      <w:r>
        <w:rPr>
          <w:spacing w:val="13"/>
          <w:sz w:val="23"/>
          <w:szCs w:val="23"/>
        </w:rPr>
        <w:t>正确【正确答案】</w:t>
      </w:r>
    </w:p>
    <w:p w14:paraId="7F0AD4BF">
      <w:pPr>
        <w:pStyle w:val="2"/>
        <w:spacing w:before="64" w:line="222" w:lineRule="auto"/>
        <w:ind w:left="950"/>
        <w:rPr>
          <w:sz w:val="23"/>
          <w:szCs w:val="23"/>
        </w:rPr>
      </w:pPr>
      <w:r>
        <w:rPr>
          <w:spacing w:val="14"/>
          <w:sz w:val="23"/>
          <w:szCs w:val="23"/>
        </w:rPr>
        <w:t>错误</w:t>
      </w:r>
    </w:p>
    <w:p w14:paraId="282BFC3B">
      <w:pPr>
        <w:pStyle w:val="2"/>
        <w:spacing w:before="10" w:line="222" w:lineRule="auto"/>
        <w:ind w:left="603"/>
        <w:rPr>
          <w:sz w:val="23"/>
          <w:szCs w:val="23"/>
        </w:rPr>
      </w:pPr>
      <w:r>
        <w:rPr>
          <w:b/>
          <w:bCs/>
          <w:spacing w:val="-6"/>
          <w:sz w:val="23"/>
          <w:szCs w:val="23"/>
        </w:rPr>
        <w:t>得分：得2.5分/满分2.5分正确答案：正确</w:t>
      </w:r>
    </w:p>
    <w:p w14:paraId="3D4A1D4A">
      <w:pPr>
        <w:spacing w:before="238" w:line="219" w:lineRule="auto"/>
        <w:ind w:right="14"/>
        <w:jc w:val="right"/>
        <w:rPr>
          <w:rFonts w:ascii="宋体" w:hAnsi="宋体" w:eastAsia="宋体" w:cs="宋体"/>
          <w:sz w:val="23"/>
          <w:szCs w:val="23"/>
        </w:rPr>
      </w:pPr>
      <w:r>
        <w:rPr>
          <w:rFonts w:ascii="宋体" w:hAnsi="宋体" w:eastAsia="宋体" w:cs="宋体"/>
          <w:color w:val="FF0000"/>
          <w:spacing w:val="-17"/>
          <w:sz w:val="23"/>
          <w:szCs w:val="23"/>
        </w:rPr>
        <w:t>解析：见GB/T42062-2022《医疗器械风险管理对医疗器械的应用》标准原文——3.术语和定义。3.5危险情</w:t>
      </w:r>
    </w:p>
    <w:p w14:paraId="6B0455AD">
      <w:pPr>
        <w:spacing w:before="16" w:line="219" w:lineRule="auto"/>
        <w:ind w:left="600"/>
        <w:rPr>
          <w:rFonts w:ascii="宋体" w:hAnsi="宋体" w:eastAsia="宋体" w:cs="宋体"/>
          <w:sz w:val="23"/>
          <w:szCs w:val="23"/>
        </w:rPr>
      </w:pPr>
      <w:r>
        <w:rPr>
          <w:rFonts w:ascii="宋体" w:hAnsi="宋体" w:eastAsia="宋体" w:cs="宋体"/>
          <w:color w:val="FF0000"/>
          <w:spacing w:val="-20"/>
          <w:sz w:val="23"/>
          <w:szCs w:val="23"/>
        </w:rPr>
        <w:t>况：人员、财产或环境暴露于一种或多种危险</w:t>
      </w:r>
      <w:r>
        <w:rPr>
          <w:rFonts w:ascii="宋体" w:hAnsi="宋体" w:eastAsia="宋体" w:cs="宋体"/>
          <w:color w:val="FF0000"/>
          <w:spacing w:val="-21"/>
          <w:sz w:val="23"/>
          <w:szCs w:val="23"/>
        </w:rPr>
        <w:t>中的情形。</w:t>
      </w:r>
    </w:p>
    <w:p w14:paraId="547E93CD">
      <w:pPr>
        <w:pStyle w:val="2"/>
        <w:spacing w:before="273" w:line="213" w:lineRule="auto"/>
        <w:rPr>
          <w:sz w:val="23"/>
          <w:szCs w:val="23"/>
        </w:rPr>
      </w:pPr>
      <w:r>
        <w:rPr>
          <w:spacing w:val="5"/>
          <w:sz w:val="23"/>
          <w:szCs w:val="23"/>
        </w:rPr>
        <w:t>1</w:t>
      </w:r>
      <w:r>
        <w:rPr>
          <w:b/>
          <w:bCs/>
          <w:spacing w:val="5"/>
          <w:sz w:val="23"/>
          <w:szCs w:val="23"/>
        </w:rPr>
        <w:t>6、</w:t>
      </w:r>
      <w:r>
        <w:rPr>
          <w:spacing w:val="-59"/>
          <w:sz w:val="23"/>
          <w:szCs w:val="23"/>
        </w:rPr>
        <w:t xml:space="preserve"> </w:t>
      </w:r>
      <w:r>
        <w:rPr>
          <w:b/>
          <w:bCs/>
          <w:spacing w:val="5"/>
          <w:sz w:val="23"/>
          <w:szCs w:val="23"/>
        </w:rPr>
        <w:t>生命周期是指在医疗器械生命中，从初始概念到最终停用和处置的所有阶段</w:t>
      </w:r>
      <w:r>
        <w:rPr>
          <w:spacing w:val="5"/>
          <w:sz w:val="23"/>
          <w:szCs w:val="23"/>
        </w:rPr>
        <w:t>。</w:t>
      </w:r>
    </w:p>
    <w:p w14:paraId="6D05BA81">
      <w:pPr>
        <w:pStyle w:val="2"/>
        <w:spacing w:before="59" w:line="310" w:lineRule="exact"/>
        <w:ind w:left="950"/>
        <w:rPr>
          <w:sz w:val="23"/>
          <w:szCs w:val="23"/>
        </w:rPr>
      </w:pPr>
      <w:r>
        <w:rPr>
          <w:spacing w:val="13"/>
          <w:position w:val="5"/>
          <w:sz w:val="23"/>
          <w:szCs w:val="23"/>
        </w:rPr>
        <w:t>正确【正确答案】</w:t>
      </w:r>
    </w:p>
    <w:p w14:paraId="2A0A0B4D">
      <w:pPr>
        <w:pStyle w:val="2"/>
        <w:spacing w:before="1" w:line="221" w:lineRule="auto"/>
        <w:ind w:left="950"/>
        <w:rPr>
          <w:sz w:val="23"/>
          <w:szCs w:val="23"/>
        </w:rPr>
      </w:pPr>
      <w:r>
        <w:rPr>
          <w:spacing w:val="30"/>
          <w:sz w:val="23"/>
          <w:szCs w:val="23"/>
        </w:rPr>
        <w:t>错误</w:t>
      </w:r>
    </w:p>
    <w:p w14:paraId="51F96A15">
      <w:pPr>
        <w:pStyle w:val="2"/>
        <w:spacing w:before="40" w:line="222" w:lineRule="auto"/>
        <w:ind w:left="603"/>
        <w:rPr>
          <w:sz w:val="23"/>
          <w:szCs w:val="23"/>
        </w:rPr>
      </w:pPr>
      <w:r>
        <w:rPr>
          <w:b/>
          <w:bCs/>
          <w:spacing w:val="-6"/>
          <w:sz w:val="23"/>
          <w:szCs w:val="23"/>
        </w:rPr>
        <w:t>得分：得2.5分/满分2.5分正确答案：正确</w:t>
      </w:r>
    </w:p>
    <w:p w14:paraId="5ACFAABB">
      <w:pPr>
        <w:spacing w:before="238" w:line="219" w:lineRule="auto"/>
        <w:jc w:val="right"/>
        <w:rPr>
          <w:rFonts w:ascii="宋体" w:hAnsi="宋体" w:eastAsia="宋体" w:cs="宋体"/>
          <w:sz w:val="23"/>
          <w:szCs w:val="23"/>
        </w:rPr>
      </w:pPr>
      <w:r>
        <w:rPr>
          <w:rFonts w:ascii="宋体" w:hAnsi="宋体" w:eastAsia="宋体" w:cs="宋体"/>
          <w:color w:val="FF0404"/>
          <w:spacing w:val="-16"/>
          <w:sz w:val="23"/>
          <w:szCs w:val="23"/>
        </w:rPr>
        <w:t>解析：见GB/T42062-2022《医疗器</w:t>
      </w:r>
      <w:r>
        <w:rPr>
          <w:rFonts w:ascii="宋体" w:hAnsi="宋体" w:eastAsia="宋体" w:cs="宋体"/>
          <w:color w:val="FF0404"/>
          <w:spacing w:val="-17"/>
          <w:sz w:val="23"/>
          <w:szCs w:val="23"/>
        </w:rPr>
        <w:t>械风险管理对医疗器械的应用》标准原文——3.术语和定义。3.8生命周</w:t>
      </w:r>
    </w:p>
    <w:p w14:paraId="08C68916">
      <w:pPr>
        <w:spacing w:before="18" w:line="219" w:lineRule="auto"/>
        <w:ind w:left="600"/>
        <w:rPr>
          <w:rFonts w:ascii="宋体" w:hAnsi="宋体" w:eastAsia="宋体" w:cs="宋体"/>
          <w:sz w:val="23"/>
          <w:szCs w:val="23"/>
        </w:rPr>
      </w:pPr>
      <w:r>
        <w:rPr>
          <w:rFonts w:ascii="宋体" w:hAnsi="宋体" w:eastAsia="宋体" w:cs="宋体"/>
          <w:color w:val="FF0404"/>
          <w:spacing w:val="-21"/>
          <w:sz w:val="23"/>
          <w:szCs w:val="23"/>
        </w:rPr>
        <w:t>期：在医疗器械生命中，从初始概念到最终停用和处置的所有阶段。</w:t>
      </w:r>
    </w:p>
    <w:p w14:paraId="4ABE6C7B">
      <w:pPr>
        <w:pStyle w:val="2"/>
        <w:spacing w:before="261" w:line="221" w:lineRule="auto"/>
        <w:jc w:val="right"/>
        <w:outlineLvl w:val="0"/>
        <w:rPr>
          <w:sz w:val="23"/>
          <w:szCs w:val="23"/>
        </w:rPr>
      </w:pPr>
      <w:r>
        <w:rPr>
          <w:b/>
          <w:bCs/>
          <w:spacing w:val="6"/>
          <w:sz w:val="23"/>
          <w:szCs w:val="23"/>
        </w:rPr>
        <w:t>17、制造商是指以其名义制造预期可获得的医疗器械</w:t>
      </w:r>
      <w:r>
        <w:rPr>
          <w:b/>
          <w:bCs/>
          <w:spacing w:val="5"/>
          <w:sz w:val="23"/>
          <w:szCs w:val="23"/>
        </w:rPr>
        <w:t>并负有医疗器械设计和/或制造责任的自然人或</w:t>
      </w:r>
    </w:p>
    <w:p w14:paraId="1308B872">
      <w:pPr>
        <w:pStyle w:val="2"/>
        <w:spacing w:before="45" w:line="321" w:lineRule="exact"/>
        <w:ind w:left="3"/>
        <w:rPr>
          <w:sz w:val="23"/>
          <w:szCs w:val="23"/>
        </w:rPr>
      </w:pPr>
      <w:r>
        <w:rPr>
          <w:b/>
          <w:bCs/>
          <w:spacing w:val="5"/>
          <w:position w:val="6"/>
          <w:sz w:val="23"/>
          <w:szCs w:val="23"/>
        </w:rPr>
        <w:t>法人，此医疗器械的设计和/或制造不能或由第三方代其完成</w:t>
      </w:r>
      <w:r>
        <w:rPr>
          <w:spacing w:val="5"/>
          <w:position w:val="6"/>
          <w:sz w:val="23"/>
          <w:szCs w:val="23"/>
        </w:rPr>
        <w:t>。</w:t>
      </w:r>
    </w:p>
    <w:p w14:paraId="6DDBCB11">
      <w:pPr>
        <w:pStyle w:val="2"/>
        <w:spacing w:before="1" w:line="221" w:lineRule="auto"/>
        <w:ind w:left="953"/>
        <w:rPr>
          <w:sz w:val="23"/>
          <w:szCs w:val="23"/>
        </w:rPr>
      </w:pPr>
      <w:r>
        <w:rPr>
          <w:b/>
          <w:bCs/>
          <w:spacing w:val="12"/>
          <w:sz w:val="23"/>
          <w:szCs w:val="23"/>
        </w:rPr>
        <w:t>正确</w:t>
      </w:r>
    </w:p>
    <w:p w14:paraId="1A758BD0">
      <w:pPr>
        <w:pStyle w:val="2"/>
        <w:spacing w:before="13" w:line="222" w:lineRule="auto"/>
        <w:ind w:left="953"/>
        <w:rPr>
          <w:sz w:val="23"/>
          <w:szCs w:val="23"/>
        </w:rPr>
      </w:pPr>
      <w:r>
        <w:rPr>
          <w:b/>
          <w:bCs/>
          <w:spacing w:val="9"/>
          <w:sz w:val="23"/>
          <w:szCs w:val="23"/>
        </w:rPr>
        <w:t>错误【正确答案】</w:t>
      </w:r>
    </w:p>
    <w:p w14:paraId="2CA548F6">
      <w:pPr>
        <w:pStyle w:val="2"/>
        <w:spacing w:before="64" w:line="222" w:lineRule="auto"/>
        <w:ind w:left="603"/>
        <w:rPr>
          <w:sz w:val="23"/>
          <w:szCs w:val="23"/>
        </w:rPr>
      </w:pPr>
      <w:r>
        <w:rPr>
          <w:b/>
          <w:bCs/>
          <w:spacing w:val="-3"/>
          <w:sz w:val="23"/>
          <w:szCs w:val="23"/>
        </w:rPr>
        <w:t>得分：得0分/满分2.5分正确答案：错误</w:t>
      </w:r>
    </w:p>
    <w:p w14:paraId="144600B6">
      <w:pPr>
        <w:spacing w:before="258" w:line="212" w:lineRule="auto"/>
        <w:ind w:left="600" w:right="58"/>
        <w:jc w:val="both"/>
        <w:rPr>
          <w:rFonts w:ascii="宋体" w:hAnsi="宋体" w:eastAsia="宋体" w:cs="宋体"/>
          <w:sz w:val="23"/>
          <w:szCs w:val="23"/>
        </w:rPr>
      </w:pPr>
      <w:r>
        <w:rPr>
          <w:rFonts w:ascii="宋体" w:hAnsi="宋体" w:eastAsia="宋体" w:cs="宋体"/>
          <w:color w:val="FF0404"/>
          <w:spacing w:val="-14"/>
          <w:sz w:val="23"/>
          <w:szCs w:val="23"/>
        </w:rPr>
        <w:t>解析：见GB/T42062-2022《医疗器械风险管理对医疗器械的应用》标</w:t>
      </w:r>
      <w:r>
        <w:rPr>
          <w:rFonts w:ascii="宋体" w:hAnsi="宋体" w:eastAsia="宋体" w:cs="宋体"/>
          <w:color w:val="FF0404"/>
          <w:spacing w:val="-15"/>
          <w:sz w:val="23"/>
          <w:szCs w:val="23"/>
        </w:rPr>
        <w:t>准原文——3.术语和定义。3.9制造</w:t>
      </w:r>
      <w:r>
        <w:rPr>
          <w:rFonts w:ascii="宋体" w:hAnsi="宋体" w:eastAsia="宋体" w:cs="宋体"/>
          <w:color w:val="FF0404"/>
          <w:sz w:val="23"/>
          <w:szCs w:val="23"/>
        </w:rPr>
        <w:t xml:space="preserve"> </w:t>
      </w:r>
      <w:r>
        <w:rPr>
          <w:rFonts w:ascii="宋体" w:hAnsi="宋体" w:eastAsia="宋体" w:cs="宋体"/>
          <w:color w:val="FF0404"/>
          <w:spacing w:val="-21"/>
          <w:sz w:val="23"/>
          <w:szCs w:val="23"/>
        </w:rPr>
        <w:t>商：以其名义制造预期可获得的医疗器械并负有医疗器械设计和/或制造责任的自然人或法人，无论此医疗</w:t>
      </w:r>
      <w:r>
        <w:rPr>
          <w:rFonts w:ascii="宋体" w:hAnsi="宋体" w:eastAsia="宋体" w:cs="宋体"/>
          <w:color w:val="FF0404"/>
          <w:sz w:val="23"/>
          <w:szCs w:val="23"/>
        </w:rPr>
        <w:t xml:space="preserve"> </w:t>
      </w:r>
      <w:r>
        <w:rPr>
          <w:rFonts w:ascii="宋体" w:hAnsi="宋体" w:eastAsia="宋体" w:cs="宋体"/>
          <w:color w:val="FF0404"/>
          <w:spacing w:val="-21"/>
          <w:sz w:val="23"/>
          <w:szCs w:val="23"/>
        </w:rPr>
        <w:t>器械的设计和/或制造是由该自然人或法人进行或由他人代表其进行。</w:t>
      </w:r>
    </w:p>
    <w:p w14:paraId="79769913">
      <w:pPr>
        <w:pStyle w:val="2"/>
        <w:spacing w:before="283" w:line="222" w:lineRule="auto"/>
        <w:ind w:left="2"/>
        <w:outlineLvl w:val="0"/>
        <w:rPr>
          <w:sz w:val="23"/>
          <w:szCs w:val="23"/>
        </w:rPr>
      </w:pPr>
      <w:r>
        <w:rPr>
          <w:b/>
          <w:bCs/>
          <w:sz w:val="23"/>
          <w:szCs w:val="23"/>
        </w:rPr>
        <w:t>18、</w:t>
      </w:r>
      <w:r>
        <w:rPr>
          <w:spacing w:val="-38"/>
          <w:sz w:val="23"/>
          <w:szCs w:val="23"/>
        </w:rPr>
        <w:t xml:space="preserve"> </w:t>
      </w:r>
      <w:r>
        <w:rPr>
          <w:b/>
          <w:bCs/>
          <w:sz w:val="23"/>
          <w:szCs w:val="23"/>
        </w:rPr>
        <w:t>剩余风险是指实施风险控制措施后还存在的风险。</w:t>
      </w:r>
    </w:p>
    <w:p w14:paraId="23A23171">
      <w:pPr>
        <w:pStyle w:val="2"/>
        <w:spacing w:before="47" w:line="320" w:lineRule="exact"/>
        <w:ind w:left="950"/>
        <w:rPr>
          <w:sz w:val="23"/>
          <w:szCs w:val="23"/>
        </w:rPr>
      </w:pPr>
      <w:r>
        <w:rPr>
          <w:spacing w:val="13"/>
          <w:position w:val="6"/>
          <w:sz w:val="23"/>
          <w:szCs w:val="23"/>
        </w:rPr>
        <w:t>正确【正确答案】</w:t>
      </w:r>
    </w:p>
    <w:p w14:paraId="3B6E3C03">
      <w:pPr>
        <w:pStyle w:val="2"/>
        <w:spacing w:before="1" w:line="221" w:lineRule="auto"/>
        <w:ind w:left="950"/>
        <w:rPr>
          <w:sz w:val="23"/>
          <w:szCs w:val="23"/>
        </w:rPr>
      </w:pPr>
      <w:r>
        <w:rPr>
          <w:spacing w:val="30"/>
          <w:sz w:val="23"/>
          <w:szCs w:val="23"/>
        </w:rPr>
        <w:t>错误</w:t>
      </w:r>
    </w:p>
    <w:p w14:paraId="1A39225A">
      <w:pPr>
        <w:spacing w:line="221" w:lineRule="auto"/>
        <w:rPr>
          <w:sz w:val="23"/>
          <w:szCs w:val="23"/>
        </w:rPr>
        <w:sectPr>
          <w:pgSz w:w="11910" w:h="16840"/>
          <w:pgMar w:top="587" w:right="842" w:bottom="0" w:left="699" w:header="0" w:footer="0" w:gutter="0"/>
          <w:cols w:space="720" w:num="1"/>
        </w:sectPr>
      </w:pPr>
    </w:p>
    <w:p w14:paraId="4640BE6E">
      <w:pPr>
        <w:pStyle w:val="2"/>
        <w:spacing w:before="46" w:line="222" w:lineRule="auto"/>
        <w:ind w:left="603"/>
        <w:rPr>
          <w:sz w:val="23"/>
          <w:szCs w:val="23"/>
        </w:rPr>
      </w:pPr>
      <w:r>
        <w:rPr>
          <w:b/>
          <w:bCs/>
          <w:spacing w:val="-6"/>
          <w:sz w:val="23"/>
          <w:szCs w:val="23"/>
        </w:rPr>
        <w:t>得分：得2.5分/满分2.5分正确答案：正确</w:t>
      </w:r>
    </w:p>
    <w:p w14:paraId="1ADD9638">
      <w:pPr>
        <w:spacing w:before="237" w:line="209" w:lineRule="auto"/>
        <w:ind w:right="5"/>
        <w:jc w:val="right"/>
        <w:rPr>
          <w:rFonts w:ascii="宋体" w:hAnsi="宋体" w:eastAsia="宋体" w:cs="宋体"/>
          <w:sz w:val="23"/>
          <w:szCs w:val="23"/>
        </w:rPr>
      </w:pPr>
      <w:r>
        <w:rPr>
          <w:rFonts w:ascii="宋体" w:hAnsi="宋体" w:eastAsia="宋体" w:cs="宋体"/>
          <w:color w:val="FF0404"/>
          <w:spacing w:val="-14"/>
          <w:sz w:val="23"/>
          <w:szCs w:val="23"/>
        </w:rPr>
        <w:t>解析：见GB/T42062-2022《医疗器械风险管理对医疗器械的应用》标准原文——3.术语和定义。3.17剩余</w:t>
      </w:r>
    </w:p>
    <w:p w14:paraId="14470232">
      <w:pPr>
        <w:spacing w:line="219" w:lineRule="auto"/>
        <w:ind w:left="600"/>
        <w:rPr>
          <w:rFonts w:ascii="宋体" w:hAnsi="宋体" w:eastAsia="宋体" w:cs="宋体"/>
          <w:sz w:val="23"/>
          <w:szCs w:val="23"/>
        </w:rPr>
      </w:pPr>
      <w:r>
        <w:rPr>
          <w:rFonts w:ascii="宋体" w:hAnsi="宋体" w:eastAsia="宋体" w:cs="宋体"/>
          <w:color w:val="FF0404"/>
          <w:spacing w:val="-21"/>
          <w:sz w:val="23"/>
          <w:szCs w:val="23"/>
        </w:rPr>
        <w:t>风险：实施风险控制措施后还存在的风险。</w:t>
      </w:r>
    </w:p>
    <w:p w14:paraId="0B5BB6D8">
      <w:pPr>
        <w:pStyle w:val="2"/>
        <w:spacing w:before="280"/>
        <w:ind w:left="3" w:right="96" w:hanging="3"/>
        <w:rPr>
          <w:sz w:val="23"/>
          <w:szCs w:val="23"/>
        </w:rPr>
      </w:pPr>
      <w:r>
        <w:rPr>
          <w:spacing w:val="6"/>
          <w:sz w:val="23"/>
          <w:szCs w:val="23"/>
        </w:rPr>
        <w:t>19、风</w:t>
      </w:r>
      <w:r>
        <w:rPr>
          <w:spacing w:val="-51"/>
          <w:sz w:val="23"/>
          <w:szCs w:val="23"/>
        </w:rPr>
        <w:t xml:space="preserve"> </w:t>
      </w:r>
      <w:r>
        <w:rPr>
          <w:b/>
          <w:bCs/>
          <w:spacing w:val="6"/>
          <w:sz w:val="23"/>
          <w:szCs w:val="23"/>
        </w:rPr>
        <w:t>险分析是指系统地运用现有信息识别危险和估计风险的过程。风险评</w:t>
      </w:r>
      <w:r>
        <w:rPr>
          <w:b/>
          <w:bCs/>
          <w:spacing w:val="5"/>
          <w:sz w:val="23"/>
          <w:szCs w:val="23"/>
        </w:rPr>
        <w:t>估是指包括风险分析和</w:t>
      </w:r>
      <w:r>
        <w:rPr>
          <w:sz w:val="23"/>
          <w:szCs w:val="23"/>
        </w:rPr>
        <w:t xml:space="preserve"> </w:t>
      </w:r>
      <w:r>
        <w:rPr>
          <w:b/>
          <w:bCs/>
          <w:spacing w:val="-2"/>
          <w:sz w:val="23"/>
          <w:szCs w:val="23"/>
        </w:rPr>
        <w:t>风险评价的全过程。</w:t>
      </w:r>
    </w:p>
    <w:p w14:paraId="65C32C7A">
      <w:pPr>
        <w:pStyle w:val="2"/>
        <w:spacing w:before="33" w:line="222" w:lineRule="auto"/>
        <w:ind w:left="710"/>
        <w:rPr>
          <w:sz w:val="23"/>
          <w:szCs w:val="23"/>
        </w:rPr>
      </w:pPr>
      <w:r>
        <w:rPr>
          <w:spacing w:val="-20"/>
          <w:sz w:val="23"/>
          <w:szCs w:val="23"/>
        </w:rPr>
        <w:t>◎</w:t>
      </w:r>
      <w:r>
        <w:rPr>
          <w:spacing w:val="-19"/>
          <w:sz w:val="23"/>
          <w:szCs w:val="23"/>
        </w:rPr>
        <w:t xml:space="preserve"> </w:t>
      </w:r>
      <w:r>
        <w:rPr>
          <w:b/>
          <w:bCs/>
          <w:spacing w:val="-20"/>
          <w:sz w:val="23"/>
          <w:szCs w:val="23"/>
        </w:rPr>
        <w:t>正确</w:t>
      </w:r>
    </w:p>
    <w:p w14:paraId="42EF1120">
      <w:pPr>
        <w:pStyle w:val="2"/>
        <w:spacing w:before="43" w:line="222" w:lineRule="auto"/>
        <w:ind w:left="710"/>
        <w:rPr>
          <w:sz w:val="23"/>
          <w:szCs w:val="23"/>
        </w:rPr>
      </w:pPr>
      <w:r>
        <w:rPr>
          <w:spacing w:val="-1"/>
          <w:sz w:val="23"/>
          <w:szCs w:val="23"/>
        </w:rPr>
        <w:t xml:space="preserve">○ </w:t>
      </w:r>
      <w:r>
        <w:rPr>
          <w:b/>
          <w:bCs/>
          <w:spacing w:val="-1"/>
          <w:sz w:val="23"/>
          <w:szCs w:val="23"/>
        </w:rPr>
        <w:t>错误【正确答案】</w:t>
      </w:r>
    </w:p>
    <w:p w14:paraId="07A3D406">
      <w:pPr>
        <w:pStyle w:val="2"/>
        <w:spacing w:before="44" w:line="222" w:lineRule="auto"/>
        <w:ind w:left="603"/>
        <w:rPr>
          <w:sz w:val="23"/>
          <w:szCs w:val="23"/>
        </w:rPr>
      </w:pPr>
      <w:r>
        <w:rPr>
          <w:b/>
          <w:bCs/>
          <w:spacing w:val="3"/>
          <w:sz w:val="23"/>
          <w:szCs w:val="23"/>
        </w:rPr>
        <w:t>得分：得0分满分2.5分正确答案：错误</w:t>
      </w:r>
    </w:p>
    <w:p w14:paraId="5D956F3B">
      <w:pPr>
        <w:spacing w:before="238" w:line="498" w:lineRule="exact"/>
        <w:ind w:left="600"/>
        <w:rPr>
          <w:rFonts w:ascii="宋体" w:hAnsi="宋体" w:eastAsia="宋体" w:cs="宋体"/>
          <w:sz w:val="23"/>
          <w:szCs w:val="23"/>
        </w:rPr>
      </w:pPr>
      <w:r>
        <w:rPr>
          <w:rFonts w:ascii="宋体" w:hAnsi="宋体" w:eastAsia="宋体" w:cs="宋体"/>
          <w:color w:val="FF0000"/>
          <w:spacing w:val="-14"/>
          <w:position w:val="20"/>
          <w:sz w:val="23"/>
          <w:szCs w:val="23"/>
        </w:rPr>
        <w:t>解析：见GB/T42062-2022</w:t>
      </w:r>
      <w:r>
        <w:rPr>
          <w:rFonts w:ascii="宋体" w:hAnsi="宋体" w:eastAsia="宋体" w:cs="宋体"/>
          <w:color w:val="FF0000"/>
          <w:spacing w:val="37"/>
          <w:position w:val="20"/>
          <w:sz w:val="23"/>
          <w:szCs w:val="23"/>
        </w:rPr>
        <w:t xml:space="preserve"> </w:t>
      </w:r>
      <w:r>
        <w:rPr>
          <w:rFonts w:ascii="宋体" w:hAnsi="宋体" w:eastAsia="宋体" w:cs="宋体"/>
          <w:color w:val="FF0000"/>
          <w:spacing w:val="-14"/>
          <w:position w:val="20"/>
          <w:sz w:val="23"/>
          <w:szCs w:val="23"/>
        </w:rPr>
        <w:t>《医疗器械风险管理对医疗器械的应用》标准原文——3</w:t>
      </w:r>
      <w:r>
        <w:rPr>
          <w:rFonts w:ascii="宋体" w:hAnsi="宋体" w:eastAsia="宋体" w:cs="宋体"/>
          <w:color w:val="FF0000"/>
          <w:spacing w:val="-15"/>
          <w:position w:val="20"/>
          <w:sz w:val="23"/>
          <w:szCs w:val="23"/>
        </w:rPr>
        <w:t>.术语和定义。</w:t>
      </w:r>
    </w:p>
    <w:p w14:paraId="25433267">
      <w:pPr>
        <w:spacing w:before="1" w:line="217" w:lineRule="auto"/>
        <w:ind w:left="600"/>
        <w:rPr>
          <w:rFonts w:ascii="宋体" w:hAnsi="宋体" w:eastAsia="宋体" w:cs="宋体"/>
          <w:sz w:val="23"/>
          <w:szCs w:val="23"/>
        </w:rPr>
      </w:pPr>
      <w:r>
        <w:rPr>
          <w:rFonts w:ascii="宋体" w:hAnsi="宋体" w:eastAsia="宋体" w:cs="宋体"/>
          <w:color w:val="FF0000"/>
          <w:spacing w:val="-19"/>
          <w:sz w:val="23"/>
          <w:szCs w:val="23"/>
        </w:rPr>
        <w:t>3.19风险分析：系统性地使用可获得的信息以识别危险和估计风险。</w:t>
      </w:r>
    </w:p>
    <w:p w14:paraId="274D82F4">
      <w:pPr>
        <w:spacing w:before="238" w:line="218" w:lineRule="auto"/>
        <w:ind w:left="600"/>
        <w:rPr>
          <w:rFonts w:ascii="宋体" w:hAnsi="宋体" w:eastAsia="宋体" w:cs="宋体"/>
          <w:sz w:val="23"/>
          <w:szCs w:val="23"/>
        </w:rPr>
      </w:pPr>
      <w:r>
        <w:rPr>
          <w:rFonts w:ascii="宋体" w:hAnsi="宋体" w:eastAsia="宋体" w:cs="宋体"/>
          <w:color w:val="FF0000"/>
          <w:spacing w:val="-18"/>
          <w:sz w:val="23"/>
          <w:szCs w:val="23"/>
        </w:rPr>
        <w:t>3.20风险评估：包括风险分析和风险评</w:t>
      </w:r>
      <w:r>
        <w:rPr>
          <w:rFonts w:ascii="宋体" w:hAnsi="宋体" w:eastAsia="宋体" w:cs="宋体"/>
          <w:color w:val="FF0000"/>
          <w:spacing w:val="-19"/>
          <w:sz w:val="23"/>
          <w:szCs w:val="23"/>
        </w:rPr>
        <w:t>价的全过程。</w:t>
      </w:r>
    </w:p>
    <w:p w14:paraId="3A066C4B">
      <w:pPr>
        <w:pStyle w:val="2"/>
        <w:spacing w:before="289" w:line="231" w:lineRule="auto"/>
        <w:ind w:right="93"/>
        <w:rPr>
          <w:sz w:val="23"/>
          <w:szCs w:val="23"/>
        </w:rPr>
      </w:pPr>
      <w:r>
        <w:rPr>
          <w:spacing w:val="10"/>
          <w:sz w:val="23"/>
          <w:szCs w:val="23"/>
        </w:rPr>
        <w:t>20、风险估计是指用于对伤害发生率和该伤害</w:t>
      </w:r>
      <w:r>
        <w:rPr>
          <w:spacing w:val="9"/>
          <w:sz w:val="23"/>
          <w:szCs w:val="23"/>
        </w:rPr>
        <w:t>严重度赋值的过程。风险评价是指将已估计的风险和</w:t>
      </w:r>
      <w:r>
        <w:rPr>
          <w:sz w:val="23"/>
          <w:szCs w:val="23"/>
        </w:rPr>
        <w:t xml:space="preserve"> </w:t>
      </w:r>
      <w:r>
        <w:rPr>
          <w:spacing w:val="7"/>
          <w:sz w:val="23"/>
          <w:szCs w:val="23"/>
        </w:rPr>
        <w:t>给定的风险准则进行比较，以决定风险可接受性的过程。</w:t>
      </w:r>
    </w:p>
    <w:p w14:paraId="22C43A04">
      <w:pPr>
        <w:pStyle w:val="2"/>
        <w:spacing w:before="52" w:line="320" w:lineRule="exact"/>
        <w:ind w:left="953"/>
        <w:rPr>
          <w:sz w:val="23"/>
          <w:szCs w:val="23"/>
        </w:rPr>
      </w:pPr>
      <w:r>
        <w:rPr>
          <w:b/>
          <w:bCs/>
          <w:spacing w:val="16"/>
          <w:position w:val="6"/>
          <w:sz w:val="23"/>
          <w:szCs w:val="23"/>
        </w:rPr>
        <w:t>正确【正确答案】</w:t>
      </w:r>
    </w:p>
    <w:p w14:paraId="6FCCAA0F">
      <w:pPr>
        <w:pStyle w:val="2"/>
        <w:spacing w:before="1" w:line="221" w:lineRule="auto"/>
        <w:ind w:left="670"/>
        <w:rPr>
          <w:sz w:val="23"/>
          <w:szCs w:val="23"/>
        </w:rPr>
      </w:pPr>
      <w:r>
        <w:rPr>
          <w:spacing w:val="-4"/>
          <w:sz w:val="23"/>
          <w:szCs w:val="23"/>
        </w:rPr>
        <w:t>○</w:t>
      </w:r>
      <w:r>
        <w:rPr>
          <w:spacing w:val="-12"/>
          <w:sz w:val="23"/>
          <w:szCs w:val="23"/>
        </w:rPr>
        <w:t xml:space="preserve"> </w:t>
      </w:r>
      <w:r>
        <w:rPr>
          <w:b/>
          <w:bCs/>
          <w:spacing w:val="-4"/>
          <w:sz w:val="23"/>
          <w:szCs w:val="23"/>
        </w:rPr>
        <w:t>错误</w:t>
      </w:r>
    </w:p>
    <w:p w14:paraId="16BA7ABE">
      <w:pPr>
        <w:pStyle w:val="2"/>
        <w:spacing w:before="33" w:line="222" w:lineRule="auto"/>
        <w:ind w:left="603"/>
        <w:rPr>
          <w:sz w:val="23"/>
          <w:szCs w:val="23"/>
        </w:rPr>
      </w:pPr>
      <w:r>
        <w:rPr>
          <w:b/>
          <w:bCs/>
          <w:spacing w:val="-6"/>
          <w:sz w:val="23"/>
          <w:szCs w:val="23"/>
        </w:rPr>
        <w:t>得分：得2.5分/满分2.5分正确答案：正确</w:t>
      </w:r>
    </w:p>
    <w:p w14:paraId="21E7DF2E">
      <w:pPr>
        <w:spacing w:before="248" w:line="499" w:lineRule="exact"/>
        <w:ind w:left="600"/>
        <w:rPr>
          <w:rFonts w:ascii="宋体" w:hAnsi="宋体" w:eastAsia="宋体" w:cs="宋体"/>
          <w:sz w:val="23"/>
          <w:szCs w:val="23"/>
        </w:rPr>
      </w:pPr>
      <w:r>
        <w:rPr>
          <w:rFonts w:ascii="宋体" w:hAnsi="宋体" w:eastAsia="宋体" w:cs="宋体"/>
          <w:color w:val="FF0000"/>
          <w:spacing w:val="-14"/>
          <w:position w:val="20"/>
          <w:sz w:val="23"/>
          <w:szCs w:val="23"/>
        </w:rPr>
        <w:t>解析：见GB/T42062-2022</w:t>
      </w:r>
      <w:r>
        <w:rPr>
          <w:rFonts w:ascii="宋体" w:hAnsi="宋体" w:eastAsia="宋体" w:cs="宋体"/>
          <w:color w:val="FF0000"/>
          <w:spacing w:val="37"/>
          <w:position w:val="20"/>
          <w:sz w:val="23"/>
          <w:szCs w:val="23"/>
        </w:rPr>
        <w:t xml:space="preserve"> </w:t>
      </w:r>
      <w:r>
        <w:rPr>
          <w:rFonts w:ascii="宋体" w:hAnsi="宋体" w:eastAsia="宋体" w:cs="宋体"/>
          <w:color w:val="FF0000"/>
          <w:spacing w:val="-14"/>
          <w:position w:val="20"/>
          <w:sz w:val="23"/>
          <w:szCs w:val="23"/>
        </w:rPr>
        <w:t>《医疗器械风险管理对医疗器械的应用》标准原文——3</w:t>
      </w:r>
      <w:r>
        <w:rPr>
          <w:rFonts w:ascii="宋体" w:hAnsi="宋体" w:eastAsia="宋体" w:cs="宋体"/>
          <w:color w:val="FF0000"/>
          <w:spacing w:val="-15"/>
          <w:position w:val="20"/>
          <w:sz w:val="23"/>
          <w:szCs w:val="23"/>
        </w:rPr>
        <w:t>.术语和定义。</w:t>
      </w:r>
    </w:p>
    <w:p w14:paraId="6E25ACEA">
      <w:pPr>
        <w:spacing w:before="1" w:line="217" w:lineRule="auto"/>
        <w:ind w:left="600"/>
        <w:rPr>
          <w:rFonts w:ascii="宋体" w:hAnsi="宋体" w:eastAsia="宋体" w:cs="宋体"/>
          <w:sz w:val="23"/>
          <w:szCs w:val="23"/>
        </w:rPr>
      </w:pPr>
      <w:r>
        <w:rPr>
          <w:rFonts w:ascii="宋体" w:hAnsi="宋体" w:eastAsia="宋体" w:cs="宋体"/>
          <w:color w:val="FF0000"/>
          <w:spacing w:val="-20"/>
          <w:sz w:val="23"/>
          <w:szCs w:val="23"/>
        </w:rPr>
        <w:t>3.22风险估计：用于对伤害发生概率和该伤害严重度赋值的过程。</w:t>
      </w:r>
    </w:p>
    <w:p w14:paraId="78EA7E22">
      <w:pPr>
        <w:spacing w:before="228" w:line="218" w:lineRule="auto"/>
        <w:ind w:left="600"/>
        <w:rPr>
          <w:rFonts w:ascii="宋体" w:hAnsi="宋体" w:eastAsia="宋体" w:cs="宋体"/>
          <w:sz w:val="23"/>
          <w:szCs w:val="23"/>
        </w:rPr>
      </w:pPr>
      <w:r>
        <w:rPr>
          <w:rFonts w:ascii="宋体" w:hAnsi="宋体" w:eastAsia="宋体" w:cs="宋体"/>
          <w:color w:val="FF0000"/>
          <w:spacing w:val="-21"/>
          <w:sz w:val="23"/>
          <w:szCs w:val="23"/>
        </w:rPr>
        <w:t>3.23风险评价：将已估计的风险和给定的风险准则进行比较，以确定风险可接受性的过程。</w:t>
      </w:r>
    </w:p>
    <w:p w14:paraId="586EE778">
      <w:pPr>
        <w:pStyle w:val="2"/>
        <w:spacing w:before="265" w:line="257" w:lineRule="auto"/>
        <w:ind w:right="330"/>
        <w:rPr>
          <w:sz w:val="23"/>
          <w:szCs w:val="23"/>
        </w:rPr>
      </w:pPr>
      <w:r>
        <w:rPr>
          <w:spacing w:val="10"/>
          <w:sz w:val="23"/>
          <w:szCs w:val="23"/>
        </w:rPr>
        <w:t>21、风险管理是指将管理方针、程序及其实践系统</w:t>
      </w:r>
      <w:r>
        <w:rPr>
          <w:spacing w:val="9"/>
          <w:sz w:val="23"/>
          <w:szCs w:val="23"/>
        </w:rPr>
        <w:t>性地应用于分析、评价、控制和监视风险的活</w:t>
      </w:r>
      <w:r>
        <w:rPr>
          <w:sz w:val="23"/>
          <w:szCs w:val="23"/>
        </w:rPr>
        <w:t xml:space="preserve"> </w:t>
      </w:r>
      <w:r>
        <w:rPr>
          <w:spacing w:val="7"/>
          <w:sz w:val="23"/>
          <w:szCs w:val="23"/>
        </w:rPr>
        <w:t>动。风险管理文档是指由风险管理产生的一组记录和其他文件。</w:t>
      </w:r>
    </w:p>
    <w:p w14:paraId="062F1DEA">
      <w:pPr>
        <w:pStyle w:val="2"/>
        <w:spacing w:before="21" w:line="320" w:lineRule="exact"/>
        <w:ind w:left="953"/>
        <w:rPr>
          <w:sz w:val="23"/>
          <w:szCs w:val="23"/>
        </w:rPr>
      </w:pPr>
      <w:r>
        <w:rPr>
          <w:b/>
          <w:bCs/>
          <w:spacing w:val="12"/>
          <w:position w:val="6"/>
          <w:sz w:val="23"/>
          <w:szCs w:val="23"/>
        </w:rPr>
        <w:t>正确【正确答案】</w:t>
      </w:r>
    </w:p>
    <w:p w14:paraId="02C90CEE">
      <w:pPr>
        <w:pStyle w:val="2"/>
        <w:spacing w:before="1" w:line="221" w:lineRule="auto"/>
        <w:ind w:left="670"/>
        <w:rPr>
          <w:sz w:val="23"/>
          <w:szCs w:val="23"/>
        </w:rPr>
      </w:pPr>
      <w:r>
        <w:rPr>
          <w:spacing w:val="2"/>
          <w:sz w:val="23"/>
          <w:szCs w:val="23"/>
        </w:rPr>
        <w:t>○</w:t>
      </w:r>
      <w:r>
        <w:rPr>
          <w:spacing w:val="-31"/>
          <w:sz w:val="23"/>
          <w:szCs w:val="23"/>
        </w:rPr>
        <w:t xml:space="preserve"> </w:t>
      </w:r>
      <w:r>
        <w:rPr>
          <w:b/>
          <w:bCs/>
          <w:spacing w:val="2"/>
          <w:sz w:val="23"/>
          <w:szCs w:val="23"/>
        </w:rPr>
        <w:t>错误</w:t>
      </w:r>
    </w:p>
    <w:p w14:paraId="5D2E6B91">
      <w:pPr>
        <w:pStyle w:val="2"/>
        <w:spacing w:before="33" w:line="222" w:lineRule="auto"/>
        <w:ind w:left="603"/>
        <w:rPr>
          <w:sz w:val="23"/>
          <w:szCs w:val="23"/>
        </w:rPr>
      </w:pPr>
      <w:r>
        <w:rPr>
          <w:b/>
          <w:bCs/>
          <w:spacing w:val="-6"/>
          <w:sz w:val="23"/>
          <w:szCs w:val="23"/>
        </w:rPr>
        <w:t>得分：得2.5分/满分2.5分正确答案：正确</w:t>
      </w:r>
    </w:p>
    <w:p w14:paraId="1827AF47">
      <w:pPr>
        <w:spacing w:before="238" w:line="226" w:lineRule="auto"/>
        <w:ind w:left="600" w:right="52"/>
        <w:rPr>
          <w:rFonts w:ascii="宋体" w:hAnsi="宋体" w:eastAsia="宋体" w:cs="宋体"/>
          <w:sz w:val="23"/>
          <w:szCs w:val="23"/>
        </w:rPr>
      </w:pPr>
      <w:r>
        <w:rPr>
          <w:rFonts w:ascii="宋体" w:hAnsi="宋体" w:eastAsia="宋体" w:cs="宋体"/>
          <w:color w:val="FF0404"/>
          <w:spacing w:val="-14"/>
          <w:sz w:val="23"/>
          <w:szCs w:val="23"/>
        </w:rPr>
        <w:t>解析：见GB/T42062-2022</w:t>
      </w:r>
      <w:r>
        <w:rPr>
          <w:rFonts w:ascii="宋体" w:hAnsi="宋体" w:eastAsia="宋体" w:cs="宋体"/>
          <w:color w:val="FF0404"/>
          <w:spacing w:val="56"/>
          <w:sz w:val="23"/>
          <w:szCs w:val="23"/>
        </w:rPr>
        <w:t xml:space="preserve"> </w:t>
      </w:r>
      <w:r>
        <w:rPr>
          <w:rFonts w:ascii="宋体" w:hAnsi="宋体" w:eastAsia="宋体" w:cs="宋体"/>
          <w:color w:val="FF0404"/>
          <w:spacing w:val="-14"/>
          <w:sz w:val="23"/>
          <w:szCs w:val="23"/>
        </w:rPr>
        <w:t>《医疗器械风险管理对医疗器械的应用》标准原文——3.术语和定义。3.</w:t>
      </w:r>
      <w:r>
        <w:rPr>
          <w:rFonts w:ascii="宋体" w:hAnsi="宋体" w:eastAsia="宋体" w:cs="宋体"/>
          <w:color w:val="FF0404"/>
          <w:spacing w:val="-15"/>
          <w:sz w:val="23"/>
          <w:szCs w:val="23"/>
        </w:rPr>
        <w:t>24风</w:t>
      </w:r>
      <w:r>
        <w:rPr>
          <w:rFonts w:ascii="宋体" w:hAnsi="宋体" w:eastAsia="宋体" w:cs="宋体"/>
          <w:color w:val="FF0404"/>
          <w:sz w:val="23"/>
          <w:szCs w:val="23"/>
        </w:rPr>
        <w:t xml:space="preserve"> </w:t>
      </w:r>
      <w:r>
        <w:rPr>
          <w:rFonts w:ascii="宋体" w:hAnsi="宋体" w:eastAsia="宋体" w:cs="宋体"/>
          <w:color w:val="FF0404"/>
          <w:spacing w:val="-19"/>
          <w:sz w:val="23"/>
          <w:szCs w:val="23"/>
        </w:rPr>
        <w:t>险管理、3.25风险管理文档。</w:t>
      </w:r>
    </w:p>
    <w:p w14:paraId="3227594D">
      <w:pPr>
        <w:pStyle w:val="2"/>
        <w:spacing w:before="261" w:line="244" w:lineRule="auto"/>
        <w:ind w:left="3" w:right="107" w:hanging="3"/>
        <w:rPr>
          <w:sz w:val="23"/>
          <w:szCs w:val="23"/>
        </w:rPr>
      </w:pPr>
      <w:r>
        <w:rPr>
          <w:spacing w:val="7"/>
          <w:sz w:val="23"/>
          <w:szCs w:val="23"/>
        </w:rPr>
        <w:t>22</w:t>
      </w:r>
      <w:r>
        <w:rPr>
          <w:b/>
          <w:bCs/>
          <w:spacing w:val="7"/>
          <w:sz w:val="23"/>
          <w:szCs w:val="23"/>
        </w:rPr>
        <w:t>、质量管理体系中形成文件的过程不能</w:t>
      </w:r>
      <w:r>
        <w:rPr>
          <w:b/>
          <w:bCs/>
          <w:spacing w:val="6"/>
          <w:sz w:val="23"/>
          <w:szCs w:val="23"/>
        </w:rPr>
        <w:t>用于系统性地处理安全问题，特别是复杂医疗器械和系统</w:t>
      </w:r>
      <w:r>
        <w:rPr>
          <w:spacing w:val="6"/>
          <w:sz w:val="23"/>
          <w:szCs w:val="23"/>
        </w:rPr>
        <w:t xml:space="preserve"> </w:t>
      </w:r>
      <w:r>
        <w:rPr>
          <w:b/>
          <w:bCs/>
          <w:sz w:val="23"/>
          <w:szCs w:val="23"/>
        </w:rPr>
        <w:t>中的危险和危险情况早期识别。</w:t>
      </w:r>
    </w:p>
    <w:p w14:paraId="7C8B27A6">
      <w:pPr>
        <w:pStyle w:val="2"/>
        <w:spacing w:before="43" w:line="222" w:lineRule="auto"/>
        <w:ind w:left="953"/>
        <w:rPr>
          <w:sz w:val="23"/>
          <w:szCs w:val="23"/>
        </w:rPr>
      </w:pPr>
      <w:r>
        <w:rPr>
          <w:b/>
          <w:bCs/>
          <w:spacing w:val="12"/>
          <w:sz w:val="23"/>
          <w:szCs w:val="23"/>
        </w:rPr>
        <w:t>正确</w:t>
      </w:r>
    </w:p>
    <w:p w14:paraId="175937E7">
      <w:pPr>
        <w:pStyle w:val="2"/>
        <w:spacing w:before="34" w:line="222" w:lineRule="auto"/>
        <w:ind w:left="710"/>
        <w:rPr>
          <w:sz w:val="23"/>
          <w:szCs w:val="23"/>
        </w:rPr>
      </w:pPr>
      <w:r>
        <w:rPr>
          <w:spacing w:val="-1"/>
          <w:sz w:val="23"/>
          <w:szCs w:val="23"/>
        </w:rPr>
        <w:t xml:space="preserve">○ </w:t>
      </w:r>
      <w:r>
        <w:rPr>
          <w:b/>
          <w:bCs/>
          <w:spacing w:val="-1"/>
          <w:sz w:val="23"/>
          <w:szCs w:val="23"/>
        </w:rPr>
        <w:t>错误【正确答案】</w:t>
      </w:r>
    </w:p>
    <w:p w14:paraId="498EDBA6">
      <w:pPr>
        <w:pStyle w:val="2"/>
        <w:spacing w:before="43" w:line="222" w:lineRule="auto"/>
        <w:ind w:left="603"/>
        <w:rPr>
          <w:sz w:val="23"/>
          <w:szCs w:val="23"/>
        </w:rPr>
      </w:pPr>
      <w:r>
        <w:rPr>
          <w:b/>
          <w:bCs/>
          <w:spacing w:val="-3"/>
          <w:sz w:val="23"/>
          <w:szCs w:val="23"/>
        </w:rPr>
        <w:t>得分：得0分/满分2.5分正确答案：错误</w:t>
      </w:r>
    </w:p>
    <w:p w14:paraId="4BA38DD1">
      <w:pPr>
        <w:spacing w:before="238" w:line="210" w:lineRule="auto"/>
        <w:ind w:right="33"/>
        <w:jc w:val="right"/>
        <w:rPr>
          <w:rFonts w:ascii="宋体" w:hAnsi="宋体" w:eastAsia="宋体" w:cs="宋体"/>
          <w:sz w:val="23"/>
          <w:szCs w:val="23"/>
        </w:rPr>
      </w:pPr>
      <w:r>
        <w:rPr>
          <w:rFonts w:ascii="宋体" w:hAnsi="宋体" w:eastAsia="宋体" w:cs="宋体"/>
          <w:color w:val="FF0404"/>
          <w:spacing w:val="-14"/>
          <w:sz w:val="23"/>
          <w:szCs w:val="23"/>
        </w:rPr>
        <w:t>解析：见GB/T42062-2022</w:t>
      </w:r>
      <w:r>
        <w:rPr>
          <w:rFonts w:ascii="宋体" w:hAnsi="宋体" w:eastAsia="宋体" w:cs="宋体"/>
          <w:color w:val="FF0404"/>
          <w:spacing w:val="57"/>
          <w:sz w:val="23"/>
          <w:szCs w:val="23"/>
        </w:rPr>
        <w:t xml:space="preserve"> </w:t>
      </w:r>
      <w:r>
        <w:rPr>
          <w:rFonts w:ascii="宋体" w:hAnsi="宋体" w:eastAsia="宋体" w:cs="宋体"/>
          <w:color w:val="FF0404"/>
          <w:spacing w:val="-14"/>
          <w:sz w:val="23"/>
          <w:szCs w:val="23"/>
        </w:rPr>
        <w:t>《医疗器械风险管理对医疗器械的应用》标准原文</w:t>
      </w:r>
      <w:r>
        <w:rPr>
          <w:rFonts w:ascii="宋体" w:hAnsi="宋体" w:eastAsia="宋体" w:cs="宋体"/>
          <w:color w:val="FF0404"/>
          <w:spacing w:val="-15"/>
          <w:sz w:val="23"/>
          <w:szCs w:val="23"/>
        </w:rPr>
        <w:t>——4.风险管理系统通用要</w:t>
      </w:r>
    </w:p>
    <w:p w14:paraId="78940D47">
      <w:pPr>
        <w:spacing w:before="1" w:line="220" w:lineRule="auto"/>
        <w:ind w:left="600"/>
        <w:rPr>
          <w:rFonts w:ascii="宋体" w:hAnsi="宋体" w:eastAsia="宋体" w:cs="宋体"/>
          <w:sz w:val="23"/>
          <w:szCs w:val="23"/>
        </w:rPr>
      </w:pPr>
      <w:r>
        <w:rPr>
          <w:rFonts w:ascii="宋体" w:hAnsi="宋体" w:eastAsia="宋体" w:cs="宋体"/>
          <w:color w:val="FF0404"/>
          <w:spacing w:val="-12"/>
          <w:sz w:val="23"/>
          <w:szCs w:val="23"/>
        </w:rPr>
        <w:t>求。</w:t>
      </w:r>
    </w:p>
    <w:p w14:paraId="39550383">
      <w:pPr>
        <w:spacing w:before="244" w:line="214" w:lineRule="auto"/>
        <w:ind w:left="600"/>
        <w:rPr>
          <w:rFonts w:ascii="宋体" w:hAnsi="宋体" w:eastAsia="宋体" w:cs="宋体"/>
          <w:sz w:val="23"/>
          <w:szCs w:val="23"/>
        </w:rPr>
      </w:pPr>
      <w:r>
        <w:rPr>
          <w:rFonts w:ascii="宋体" w:hAnsi="宋体" w:eastAsia="宋体" w:cs="宋体"/>
          <w:color w:val="FF0404"/>
          <w:spacing w:val="-21"/>
          <w:sz w:val="23"/>
          <w:szCs w:val="23"/>
        </w:rPr>
        <w:t>4.1风险管理</w:t>
      </w:r>
      <w:r>
        <w:rPr>
          <w:rFonts w:ascii="宋体" w:hAnsi="宋体" w:eastAsia="宋体" w:cs="宋体"/>
          <w:color w:val="FF0404"/>
          <w:spacing w:val="-20"/>
          <w:sz w:val="23"/>
          <w:szCs w:val="23"/>
        </w:rPr>
        <w:t>过程：注2--质量管理体系中形成文件的过程能用于系统性地处理安全问题</w:t>
      </w:r>
      <w:r>
        <w:rPr>
          <w:rFonts w:ascii="宋体" w:hAnsi="宋体" w:eastAsia="宋体" w:cs="宋体"/>
          <w:color w:val="FF0404"/>
          <w:spacing w:val="-21"/>
          <w:sz w:val="23"/>
          <w:szCs w:val="23"/>
        </w:rPr>
        <w:t>，特别是能够早期</w:t>
      </w:r>
      <w:r>
        <w:rPr>
          <w:rFonts w:ascii="宋体" w:hAnsi="宋体" w:eastAsia="宋体" w:cs="宋体"/>
          <w:color w:val="FF0404"/>
          <w:spacing w:val="-14"/>
          <w:sz w:val="23"/>
          <w:szCs w:val="23"/>
        </w:rPr>
        <w:t>识</w:t>
      </w:r>
      <w:r>
        <w:rPr>
          <w:rFonts w:ascii="宋体" w:hAnsi="宋体" w:eastAsia="宋体" w:cs="宋体"/>
          <w:color w:val="FF0404"/>
          <w:sz w:val="23"/>
          <w:szCs w:val="23"/>
        </w:rPr>
        <w:t xml:space="preserve"> </w:t>
      </w:r>
      <w:r>
        <w:rPr>
          <w:rFonts w:ascii="宋体" w:hAnsi="宋体" w:eastAsia="宋体" w:cs="宋体"/>
          <w:color w:val="FF0404"/>
          <w:spacing w:val="-21"/>
          <w:sz w:val="23"/>
          <w:szCs w:val="23"/>
        </w:rPr>
        <w:t>别复杂医疗器械中的危险和危险情况。</w:t>
      </w:r>
    </w:p>
    <w:p w14:paraId="1CFD9BA3">
      <w:pPr>
        <w:pStyle w:val="2"/>
        <w:spacing w:before="312" w:line="234" w:lineRule="auto"/>
        <w:ind w:left="3" w:right="96" w:hanging="3"/>
        <w:jc w:val="both"/>
        <w:rPr>
          <w:sz w:val="23"/>
          <w:szCs w:val="23"/>
        </w:rPr>
      </w:pPr>
      <w:r>
        <w:rPr>
          <w:spacing w:val="7"/>
          <w:sz w:val="23"/>
          <w:szCs w:val="23"/>
        </w:rPr>
        <w:t>23</w:t>
      </w:r>
      <w:r>
        <w:rPr>
          <w:b/>
          <w:bCs/>
          <w:spacing w:val="7"/>
          <w:sz w:val="23"/>
          <w:szCs w:val="23"/>
        </w:rPr>
        <w:t>、最高管理者应规定用于建立风险可接受性准则的方针并形成</w:t>
      </w:r>
      <w:r>
        <w:rPr>
          <w:b/>
          <w:bCs/>
          <w:spacing w:val="6"/>
          <w:sz w:val="23"/>
          <w:szCs w:val="23"/>
        </w:rPr>
        <w:t>文件。此方针应提供一个框架确保</w:t>
      </w:r>
      <w:r>
        <w:rPr>
          <w:spacing w:val="6"/>
          <w:sz w:val="23"/>
          <w:szCs w:val="23"/>
        </w:rPr>
        <w:t xml:space="preserve"> </w:t>
      </w:r>
      <w:r>
        <w:rPr>
          <w:b/>
          <w:bCs/>
          <w:spacing w:val="7"/>
          <w:sz w:val="23"/>
          <w:szCs w:val="23"/>
        </w:rPr>
        <w:t>准则基于适用的国家或地区法规和相关标准，并考虑可用的信息，例如普</w:t>
      </w:r>
      <w:r>
        <w:rPr>
          <w:b/>
          <w:bCs/>
          <w:spacing w:val="6"/>
          <w:sz w:val="23"/>
          <w:szCs w:val="23"/>
        </w:rPr>
        <w:t>遍公认的最新技术水平和</w:t>
      </w:r>
      <w:r>
        <w:rPr>
          <w:spacing w:val="6"/>
          <w:sz w:val="23"/>
          <w:szCs w:val="23"/>
        </w:rPr>
        <w:t xml:space="preserve"> </w:t>
      </w:r>
      <w:r>
        <w:rPr>
          <w:b/>
          <w:bCs/>
          <w:spacing w:val="-1"/>
          <w:sz w:val="23"/>
          <w:szCs w:val="23"/>
        </w:rPr>
        <w:t>已知的利益相关方的关注点。</w:t>
      </w:r>
    </w:p>
    <w:p w14:paraId="637E3D2A">
      <w:pPr>
        <w:pStyle w:val="2"/>
        <w:spacing w:before="48" w:line="222" w:lineRule="auto"/>
        <w:ind w:left="950"/>
        <w:rPr>
          <w:sz w:val="23"/>
          <w:szCs w:val="23"/>
        </w:rPr>
      </w:pPr>
      <w:r>
        <w:rPr>
          <w:spacing w:val="18"/>
          <w:sz w:val="23"/>
          <w:szCs w:val="23"/>
        </w:rPr>
        <w:t>正确</w:t>
      </w:r>
    </w:p>
    <w:p w14:paraId="3C055832">
      <w:pPr>
        <w:pStyle w:val="2"/>
        <w:spacing w:before="54" w:line="222" w:lineRule="auto"/>
        <w:ind w:left="950"/>
        <w:rPr>
          <w:sz w:val="23"/>
          <w:szCs w:val="23"/>
        </w:rPr>
      </w:pPr>
      <w:r>
        <w:rPr>
          <w:spacing w:val="15"/>
          <w:sz w:val="23"/>
          <w:szCs w:val="23"/>
        </w:rPr>
        <w:t>错误【正确答案】</w:t>
      </w:r>
    </w:p>
    <w:p w14:paraId="0C77496D">
      <w:pPr>
        <w:spacing w:line="222" w:lineRule="auto"/>
        <w:rPr>
          <w:sz w:val="23"/>
          <w:szCs w:val="23"/>
        </w:rPr>
        <w:sectPr>
          <w:pgSz w:w="11910" w:h="16840"/>
          <w:pgMar w:top="588" w:right="807" w:bottom="0" w:left="699" w:header="0" w:footer="0" w:gutter="0"/>
          <w:cols w:space="720" w:num="1"/>
        </w:sectPr>
      </w:pPr>
    </w:p>
    <w:p w14:paraId="1737BA61">
      <w:pPr>
        <w:pStyle w:val="2"/>
        <w:spacing w:before="46" w:line="222" w:lineRule="auto"/>
        <w:ind w:left="613"/>
        <w:rPr>
          <w:sz w:val="23"/>
          <w:szCs w:val="23"/>
        </w:rPr>
      </w:pPr>
      <w:r>
        <w:rPr>
          <w:b/>
          <w:bCs/>
          <w:spacing w:val="-3"/>
          <w:sz w:val="23"/>
          <w:szCs w:val="23"/>
        </w:rPr>
        <w:t>得分：得0分/满分2.5分正确答案：错误</w:t>
      </w:r>
    </w:p>
    <w:p w14:paraId="0EB772B3">
      <w:pPr>
        <w:spacing w:before="248" w:line="202" w:lineRule="auto"/>
        <w:ind w:left="610"/>
        <w:rPr>
          <w:rFonts w:ascii="宋体" w:hAnsi="宋体" w:eastAsia="宋体" w:cs="宋体"/>
          <w:sz w:val="23"/>
          <w:szCs w:val="23"/>
        </w:rPr>
      </w:pPr>
      <w:r>
        <w:rPr>
          <w:rFonts w:ascii="宋体" w:hAnsi="宋体" w:eastAsia="宋体" w:cs="宋体"/>
          <w:color w:val="FF0404"/>
          <w:spacing w:val="-14"/>
          <w:sz w:val="23"/>
          <w:szCs w:val="23"/>
        </w:rPr>
        <w:t>解析：见GB/T42062-2022</w:t>
      </w:r>
      <w:r>
        <w:rPr>
          <w:rFonts w:ascii="宋体" w:hAnsi="宋体" w:eastAsia="宋体" w:cs="宋体"/>
          <w:color w:val="FF0404"/>
          <w:spacing w:val="67"/>
          <w:sz w:val="23"/>
          <w:szCs w:val="23"/>
        </w:rPr>
        <w:t xml:space="preserve"> </w:t>
      </w:r>
      <w:r>
        <w:rPr>
          <w:rFonts w:ascii="宋体" w:hAnsi="宋体" w:eastAsia="宋体" w:cs="宋体"/>
          <w:color w:val="FF0404"/>
          <w:spacing w:val="-14"/>
          <w:sz w:val="23"/>
          <w:szCs w:val="23"/>
        </w:rPr>
        <w:t>《医疗器械风险管理对医疗器</w:t>
      </w:r>
      <w:r>
        <w:rPr>
          <w:rFonts w:ascii="宋体" w:hAnsi="宋体" w:eastAsia="宋体" w:cs="宋体"/>
          <w:color w:val="FF0404"/>
          <w:spacing w:val="-15"/>
          <w:sz w:val="23"/>
          <w:szCs w:val="23"/>
        </w:rPr>
        <w:t>械的应用》标准原文——4.风险管理系统通用要</w:t>
      </w:r>
    </w:p>
    <w:p w14:paraId="12F75820">
      <w:pPr>
        <w:spacing w:line="220" w:lineRule="auto"/>
        <w:ind w:left="610"/>
        <w:rPr>
          <w:rFonts w:ascii="宋体" w:hAnsi="宋体" w:eastAsia="宋体" w:cs="宋体"/>
          <w:sz w:val="23"/>
          <w:szCs w:val="23"/>
        </w:rPr>
      </w:pPr>
      <w:r>
        <w:rPr>
          <w:rFonts w:ascii="宋体" w:hAnsi="宋体" w:eastAsia="宋体" w:cs="宋体"/>
          <w:color w:val="FF0404"/>
          <w:spacing w:val="-19"/>
          <w:sz w:val="23"/>
          <w:szCs w:val="23"/>
        </w:rPr>
        <w:t>求。</w:t>
      </w:r>
    </w:p>
    <w:p w14:paraId="38481ADE">
      <w:pPr>
        <w:spacing w:before="252" w:line="213" w:lineRule="auto"/>
        <w:ind w:left="610" w:right="93"/>
        <w:jc w:val="both"/>
        <w:rPr>
          <w:rFonts w:ascii="宋体" w:hAnsi="宋体" w:eastAsia="宋体" w:cs="宋体"/>
          <w:sz w:val="23"/>
          <w:szCs w:val="23"/>
        </w:rPr>
      </w:pPr>
      <w:r>
        <w:rPr>
          <w:rFonts w:ascii="宋体" w:hAnsi="宋体" w:eastAsia="宋体" w:cs="宋体"/>
          <w:color w:val="FF2626"/>
          <w:spacing w:val="-19"/>
          <w:sz w:val="23"/>
          <w:szCs w:val="23"/>
        </w:rPr>
        <w:t>4.2管理职责：最高管理者应规定用于建立风险可接受性准则的方</w:t>
      </w:r>
      <w:r>
        <w:rPr>
          <w:rFonts w:ascii="宋体" w:hAnsi="宋体" w:eastAsia="宋体" w:cs="宋体"/>
          <w:color w:val="FF2626"/>
          <w:spacing w:val="-20"/>
          <w:sz w:val="23"/>
          <w:szCs w:val="23"/>
        </w:rPr>
        <w:t>针并形成文件。此方针应提供一个框架确</w:t>
      </w:r>
      <w:r>
        <w:rPr>
          <w:rFonts w:ascii="宋体" w:hAnsi="宋体" w:eastAsia="宋体" w:cs="宋体"/>
          <w:color w:val="FF2626"/>
          <w:sz w:val="23"/>
          <w:szCs w:val="23"/>
        </w:rPr>
        <w:t xml:space="preserve"> </w:t>
      </w:r>
      <w:r>
        <w:rPr>
          <w:rFonts w:ascii="宋体" w:hAnsi="宋体" w:eastAsia="宋体" w:cs="宋体"/>
          <w:color w:val="FF2626"/>
          <w:spacing w:val="-18"/>
          <w:sz w:val="23"/>
          <w:szCs w:val="23"/>
        </w:rPr>
        <w:t>保准则基于适用的国家或地区法规和相关标准，并考虑可获得的信息，例如普遍公认的最新技术水平和已</w:t>
      </w:r>
      <w:r>
        <w:rPr>
          <w:rFonts w:ascii="宋体" w:hAnsi="宋体" w:eastAsia="宋体" w:cs="宋体"/>
          <w:color w:val="FF2626"/>
          <w:spacing w:val="11"/>
          <w:sz w:val="23"/>
          <w:szCs w:val="23"/>
        </w:rPr>
        <w:t xml:space="preserve"> </w:t>
      </w:r>
      <w:r>
        <w:rPr>
          <w:rFonts w:ascii="宋体" w:hAnsi="宋体" w:eastAsia="宋体" w:cs="宋体"/>
          <w:color w:val="FF2626"/>
          <w:spacing w:val="-22"/>
          <w:sz w:val="23"/>
          <w:szCs w:val="23"/>
        </w:rPr>
        <w:t>知的利益相关方关注点。</w:t>
      </w:r>
    </w:p>
    <w:p w14:paraId="055ADCFE">
      <w:pPr>
        <w:pStyle w:val="2"/>
        <w:spacing w:before="259" w:line="239" w:lineRule="auto"/>
        <w:ind w:left="3" w:right="149" w:hanging="3"/>
        <w:rPr>
          <w:sz w:val="23"/>
          <w:szCs w:val="23"/>
        </w:rPr>
      </w:pPr>
      <w:r>
        <w:rPr>
          <w:spacing w:val="6"/>
          <w:sz w:val="23"/>
          <w:szCs w:val="23"/>
        </w:rPr>
        <w:t>24、</w:t>
      </w:r>
      <w:r>
        <w:rPr>
          <w:spacing w:val="-44"/>
          <w:sz w:val="23"/>
          <w:szCs w:val="23"/>
        </w:rPr>
        <w:t xml:space="preserve"> </w:t>
      </w:r>
      <w:r>
        <w:rPr>
          <w:b/>
          <w:bCs/>
          <w:spacing w:val="6"/>
          <w:sz w:val="23"/>
          <w:szCs w:val="23"/>
        </w:rPr>
        <w:t>最高管理者应按照策划的时间间隔评审风险管理过程的适宜性，以确保风险管理过</w:t>
      </w:r>
      <w:r>
        <w:rPr>
          <w:b/>
          <w:bCs/>
          <w:spacing w:val="5"/>
          <w:sz w:val="23"/>
          <w:szCs w:val="23"/>
        </w:rPr>
        <w:t>程的持续有</w:t>
      </w:r>
      <w:r>
        <w:rPr>
          <w:sz w:val="23"/>
          <w:szCs w:val="23"/>
        </w:rPr>
        <w:t xml:space="preserve"> </w:t>
      </w:r>
      <w:r>
        <w:rPr>
          <w:b/>
          <w:bCs/>
          <w:spacing w:val="5"/>
          <w:sz w:val="23"/>
          <w:szCs w:val="23"/>
        </w:rPr>
        <w:t>效性，并且应将任何决定和采取的措施形成文件。</w:t>
      </w:r>
    </w:p>
    <w:p w14:paraId="2BB03B7A">
      <w:pPr>
        <w:pStyle w:val="2"/>
        <w:spacing w:before="68" w:line="321" w:lineRule="exact"/>
        <w:ind w:left="960"/>
        <w:rPr>
          <w:sz w:val="23"/>
          <w:szCs w:val="23"/>
        </w:rPr>
      </w:pPr>
      <w:r>
        <w:rPr>
          <w:spacing w:val="13"/>
          <w:position w:val="6"/>
          <w:sz w:val="23"/>
          <w:szCs w:val="23"/>
        </w:rPr>
        <w:t>正确【正确答案】</w:t>
      </w:r>
    </w:p>
    <w:p w14:paraId="67215996">
      <w:pPr>
        <w:pStyle w:val="2"/>
        <w:spacing w:line="221" w:lineRule="auto"/>
        <w:ind w:left="960"/>
        <w:rPr>
          <w:sz w:val="23"/>
          <w:szCs w:val="23"/>
        </w:rPr>
      </w:pPr>
      <w:r>
        <w:rPr>
          <w:spacing w:val="14"/>
          <w:sz w:val="23"/>
          <w:szCs w:val="23"/>
        </w:rPr>
        <w:t>错误</w:t>
      </w:r>
    </w:p>
    <w:p w14:paraId="56B01865">
      <w:pPr>
        <w:pStyle w:val="2"/>
        <w:spacing w:before="30" w:line="222" w:lineRule="auto"/>
        <w:ind w:left="613"/>
        <w:rPr>
          <w:sz w:val="23"/>
          <w:szCs w:val="23"/>
        </w:rPr>
      </w:pPr>
      <w:r>
        <w:rPr>
          <w:b/>
          <w:bCs/>
          <w:spacing w:val="-5"/>
          <w:sz w:val="23"/>
          <w:szCs w:val="23"/>
        </w:rPr>
        <w:t>得分：得2.5分/满分2.5分正确答案：正确</w:t>
      </w:r>
    </w:p>
    <w:p w14:paraId="7AB318DB">
      <w:pPr>
        <w:spacing w:before="229" w:line="219" w:lineRule="auto"/>
        <w:ind w:left="610"/>
        <w:rPr>
          <w:rFonts w:ascii="宋体" w:hAnsi="宋体" w:eastAsia="宋体" w:cs="宋体"/>
          <w:sz w:val="23"/>
          <w:szCs w:val="23"/>
        </w:rPr>
      </w:pPr>
      <w:r>
        <w:rPr>
          <w:rFonts w:ascii="宋体" w:hAnsi="宋体" w:eastAsia="宋体" w:cs="宋体"/>
          <w:color w:val="FF0000"/>
          <w:spacing w:val="-14"/>
          <w:sz w:val="23"/>
          <w:szCs w:val="23"/>
        </w:rPr>
        <w:t>见GB/T42062-2022</w:t>
      </w:r>
      <w:r>
        <w:rPr>
          <w:rFonts w:ascii="宋体" w:hAnsi="宋体" w:eastAsia="宋体" w:cs="宋体"/>
          <w:color w:val="FF0000"/>
          <w:spacing w:val="47"/>
          <w:sz w:val="23"/>
          <w:szCs w:val="23"/>
        </w:rPr>
        <w:t xml:space="preserve"> </w:t>
      </w:r>
      <w:r>
        <w:rPr>
          <w:rFonts w:ascii="宋体" w:hAnsi="宋体" w:eastAsia="宋体" w:cs="宋体"/>
          <w:color w:val="FF0000"/>
          <w:spacing w:val="-14"/>
          <w:sz w:val="23"/>
          <w:szCs w:val="23"/>
        </w:rPr>
        <w:t>《医疗器械风险管理对医疗器械的应用》标准原文——4.</w:t>
      </w:r>
      <w:r>
        <w:rPr>
          <w:rFonts w:ascii="宋体" w:hAnsi="宋体" w:eastAsia="宋体" w:cs="宋体"/>
          <w:color w:val="FF0000"/>
          <w:spacing w:val="-15"/>
          <w:sz w:val="23"/>
          <w:szCs w:val="23"/>
        </w:rPr>
        <w:t>风险管理系统通用要求。</w:t>
      </w:r>
    </w:p>
    <w:p w14:paraId="3CB39C6B">
      <w:pPr>
        <w:spacing w:before="238" w:line="221" w:lineRule="auto"/>
        <w:ind w:left="610" w:right="59"/>
        <w:rPr>
          <w:rFonts w:ascii="宋体" w:hAnsi="宋体" w:eastAsia="宋体" w:cs="宋体"/>
          <w:sz w:val="23"/>
          <w:szCs w:val="23"/>
        </w:rPr>
      </w:pPr>
      <w:r>
        <w:rPr>
          <w:rFonts w:ascii="宋体" w:hAnsi="宋体" w:eastAsia="宋体" w:cs="宋体"/>
          <w:color w:val="FF0404"/>
          <w:spacing w:val="-19"/>
          <w:sz w:val="23"/>
          <w:szCs w:val="23"/>
        </w:rPr>
        <w:t>4.2管理职责：最高管理者应按照策划的时间间隔评审风险管理过程的适宜性，以确保风险管理过程的持续</w:t>
      </w:r>
      <w:r>
        <w:rPr>
          <w:rFonts w:ascii="宋体" w:hAnsi="宋体" w:eastAsia="宋体" w:cs="宋体"/>
          <w:color w:val="FF0404"/>
          <w:spacing w:val="16"/>
          <w:sz w:val="23"/>
          <w:szCs w:val="23"/>
        </w:rPr>
        <w:t xml:space="preserve"> </w:t>
      </w:r>
      <w:r>
        <w:rPr>
          <w:rFonts w:ascii="宋体" w:hAnsi="宋体" w:eastAsia="宋体" w:cs="宋体"/>
          <w:color w:val="FF0404"/>
          <w:spacing w:val="-21"/>
          <w:sz w:val="23"/>
          <w:szCs w:val="23"/>
        </w:rPr>
        <w:t>有效性，并且应将任何决定和采取的措施形成文件。</w:t>
      </w:r>
    </w:p>
    <w:p w14:paraId="63F9CC05">
      <w:pPr>
        <w:pStyle w:val="2"/>
        <w:spacing w:before="244" w:line="253" w:lineRule="auto"/>
        <w:ind w:left="3" w:right="93" w:hanging="3"/>
        <w:jc w:val="both"/>
        <w:rPr>
          <w:sz w:val="23"/>
          <w:szCs w:val="23"/>
        </w:rPr>
      </w:pPr>
      <w:r>
        <w:rPr>
          <w:spacing w:val="6"/>
          <w:sz w:val="23"/>
          <w:szCs w:val="23"/>
        </w:rPr>
        <w:t>2</w:t>
      </w:r>
      <w:r>
        <w:rPr>
          <w:b/>
          <w:bCs/>
          <w:spacing w:val="6"/>
          <w:sz w:val="23"/>
          <w:szCs w:val="23"/>
        </w:rPr>
        <w:t>5、</w:t>
      </w:r>
      <w:r>
        <w:rPr>
          <w:spacing w:val="-50"/>
          <w:sz w:val="23"/>
          <w:szCs w:val="23"/>
        </w:rPr>
        <w:t xml:space="preserve"> </w:t>
      </w:r>
      <w:r>
        <w:rPr>
          <w:b/>
          <w:bCs/>
          <w:spacing w:val="6"/>
          <w:sz w:val="23"/>
          <w:szCs w:val="23"/>
        </w:rPr>
        <w:t>基于与所分配的任务相适应的教育、培训、技能和经验，执行风险管理任务的人员应是能够胜</w:t>
      </w:r>
      <w:r>
        <w:rPr>
          <w:sz w:val="23"/>
          <w:szCs w:val="23"/>
        </w:rPr>
        <w:t xml:space="preserve">  </w:t>
      </w:r>
      <w:r>
        <w:rPr>
          <w:b/>
          <w:bCs/>
          <w:spacing w:val="14"/>
          <w:sz w:val="23"/>
          <w:szCs w:val="23"/>
        </w:rPr>
        <w:t>任的。适当时，这些人员应具备特定医疗器械(或类似医</w:t>
      </w:r>
      <w:r>
        <w:rPr>
          <w:b/>
          <w:bCs/>
          <w:spacing w:val="13"/>
          <w:sz w:val="23"/>
          <w:szCs w:val="23"/>
        </w:rPr>
        <w:t>疗器械)及其使用的知识和经验、有关的</w:t>
      </w:r>
      <w:r>
        <w:rPr>
          <w:spacing w:val="13"/>
          <w:sz w:val="23"/>
          <w:szCs w:val="23"/>
        </w:rPr>
        <w:t xml:space="preserve"> </w:t>
      </w:r>
      <w:r>
        <w:rPr>
          <w:b/>
          <w:bCs/>
          <w:spacing w:val="5"/>
          <w:sz w:val="23"/>
          <w:szCs w:val="23"/>
        </w:rPr>
        <w:t>技术或风险管理技术。</w:t>
      </w:r>
    </w:p>
    <w:p w14:paraId="573140F6">
      <w:pPr>
        <w:pStyle w:val="2"/>
        <w:spacing w:before="34" w:line="320" w:lineRule="exact"/>
        <w:ind w:left="963"/>
        <w:rPr>
          <w:sz w:val="23"/>
          <w:szCs w:val="23"/>
        </w:rPr>
      </w:pPr>
      <w:r>
        <w:rPr>
          <w:b/>
          <w:bCs/>
          <w:spacing w:val="9"/>
          <w:position w:val="6"/>
          <w:sz w:val="23"/>
          <w:szCs w:val="23"/>
        </w:rPr>
        <w:t>正确【正确答案】</w:t>
      </w:r>
    </w:p>
    <w:p w14:paraId="0759736C">
      <w:pPr>
        <w:pStyle w:val="2"/>
        <w:spacing w:before="1" w:line="221" w:lineRule="auto"/>
        <w:ind w:left="680"/>
        <w:rPr>
          <w:sz w:val="23"/>
          <w:szCs w:val="23"/>
        </w:rPr>
      </w:pPr>
      <w:r>
        <w:rPr>
          <w:spacing w:val="5"/>
          <w:sz w:val="23"/>
          <w:szCs w:val="23"/>
        </w:rPr>
        <w:t>○</w:t>
      </w:r>
      <w:r>
        <w:rPr>
          <w:spacing w:val="-30"/>
          <w:sz w:val="23"/>
          <w:szCs w:val="23"/>
        </w:rPr>
        <w:t xml:space="preserve"> </w:t>
      </w:r>
      <w:r>
        <w:rPr>
          <w:b/>
          <w:bCs/>
          <w:spacing w:val="5"/>
          <w:sz w:val="23"/>
          <w:szCs w:val="23"/>
        </w:rPr>
        <w:t>错误</w:t>
      </w:r>
    </w:p>
    <w:p w14:paraId="166038C8">
      <w:pPr>
        <w:pStyle w:val="2"/>
        <w:spacing w:before="33" w:line="222" w:lineRule="auto"/>
        <w:ind w:left="613"/>
        <w:rPr>
          <w:sz w:val="23"/>
          <w:szCs w:val="23"/>
        </w:rPr>
      </w:pPr>
      <w:r>
        <w:rPr>
          <w:b/>
          <w:bCs/>
          <w:spacing w:val="-5"/>
          <w:sz w:val="23"/>
          <w:szCs w:val="23"/>
        </w:rPr>
        <w:t>得分：得2.5分/满分2.5分正确答案：正确</w:t>
      </w:r>
    </w:p>
    <w:p w14:paraId="78092C98">
      <w:pPr>
        <w:spacing w:before="249" w:line="219" w:lineRule="auto"/>
        <w:ind w:left="610"/>
        <w:rPr>
          <w:rFonts w:ascii="宋体" w:hAnsi="宋体" w:eastAsia="宋体" w:cs="宋体"/>
          <w:sz w:val="23"/>
          <w:szCs w:val="23"/>
        </w:rPr>
      </w:pPr>
      <w:r>
        <w:rPr>
          <w:rFonts w:ascii="宋体" w:hAnsi="宋体" w:eastAsia="宋体" w:cs="宋体"/>
          <w:color w:val="FF0000"/>
          <w:spacing w:val="-14"/>
          <w:sz w:val="23"/>
          <w:szCs w:val="23"/>
        </w:rPr>
        <w:t>见GB/T42062-2022</w:t>
      </w:r>
      <w:r>
        <w:rPr>
          <w:rFonts w:ascii="宋体" w:hAnsi="宋体" w:eastAsia="宋体" w:cs="宋体"/>
          <w:color w:val="FF0000"/>
          <w:spacing w:val="57"/>
          <w:sz w:val="23"/>
          <w:szCs w:val="23"/>
        </w:rPr>
        <w:t xml:space="preserve"> </w:t>
      </w:r>
      <w:r>
        <w:rPr>
          <w:rFonts w:ascii="宋体" w:hAnsi="宋体" w:eastAsia="宋体" w:cs="宋体"/>
          <w:color w:val="FF0000"/>
          <w:spacing w:val="-14"/>
          <w:sz w:val="23"/>
          <w:szCs w:val="23"/>
        </w:rPr>
        <w:t>《医疗器械风险管理对医疗器械的应</w:t>
      </w:r>
      <w:r>
        <w:rPr>
          <w:rFonts w:ascii="宋体" w:hAnsi="宋体" w:eastAsia="宋体" w:cs="宋体"/>
          <w:color w:val="FF0000"/>
          <w:spacing w:val="-15"/>
          <w:sz w:val="23"/>
          <w:szCs w:val="23"/>
        </w:rPr>
        <w:t>用》标准原文——4.风险管理系统通用要求。</w:t>
      </w:r>
    </w:p>
    <w:p w14:paraId="63729068">
      <w:pPr>
        <w:spacing w:before="237" w:line="212" w:lineRule="auto"/>
        <w:ind w:left="610"/>
        <w:jc w:val="both"/>
        <w:rPr>
          <w:rFonts w:ascii="宋体" w:hAnsi="宋体" w:eastAsia="宋体" w:cs="宋体"/>
          <w:sz w:val="23"/>
          <w:szCs w:val="23"/>
        </w:rPr>
      </w:pPr>
      <w:r>
        <w:rPr>
          <w:rFonts w:ascii="宋体" w:hAnsi="宋体" w:eastAsia="宋体" w:cs="宋体"/>
          <w:color w:val="FF0000"/>
          <w:spacing w:val="-19"/>
          <w:sz w:val="23"/>
          <w:szCs w:val="23"/>
        </w:rPr>
        <w:t>4.3人员能力：基于与所分配的任务相适应的教育、培</w:t>
      </w:r>
      <w:r>
        <w:rPr>
          <w:rFonts w:ascii="宋体" w:hAnsi="宋体" w:eastAsia="宋体" w:cs="宋体"/>
          <w:color w:val="FF0000"/>
          <w:spacing w:val="-20"/>
          <w:sz w:val="23"/>
          <w:szCs w:val="23"/>
        </w:rPr>
        <w:t>训、技能和经验，执行风险管理任务的人员应是能够</w:t>
      </w:r>
      <w:r>
        <w:rPr>
          <w:rFonts w:ascii="宋体" w:hAnsi="宋体" w:eastAsia="宋体" w:cs="宋体"/>
          <w:color w:val="FF0000"/>
          <w:sz w:val="23"/>
          <w:szCs w:val="23"/>
        </w:rPr>
        <w:t xml:space="preserve">  </w:t>
      </w:r>
      <w:r>
        <w:rPr>
          <w:rFonts w:ascii="宋体" w:hAnsi="宋体" w:eastAsia="宋体" w:cs="宋体"/>
          <w:color w:val="FF0000"/>
          <w:spacing w:val="-16"/>
          <w:sz w:val="23"/>
          <w:szCs w:val="23"/>
        </w:rPr>
        <w:t>胜任的。适</w:t>
      </w:r>
      <w:r>
        <w:rPr>
          <w:rFonts w:ascii="宋体" w:hAnsi="宋体" w:eastAsia="宋体" w:cs="宋体"/>
          <w:color w:val="FF0000"/>
          <w:spacing w:val="-15"/>
          <w:sz w:val="23"/>
          <w:szCs w:val="23"/>
        </w:rPr>
        <w:t>当时，这些人员应具备特定医疗器械(或类似医疗器械)及</w:t>
      </w:r>
      <w:r>
        <w:rPr>
          <w:rFonts w:ascii="宋体" w:hAnsi="宋体" w:eastAsia="宋体" w:cs="宋体"/>
          <w:color w:val="FF0000"/>
          <w:spacing w:val="-16"/>
          <w:sz w:val="23"/>
          <w:szCs w:val="23"/>
        </w:rPr>
        <w:t>其使用的知识和经验、有关的技术</w:t>
      </w:r>
      <w:r>
        <w:rPr>
          <w:rFonts w:ascii="宋体" w:hAnsi="宋体" w:eastAsia="宋体" w:cs="宋体"/>
          <w:color w:val="FF0000"/>
          <w:spacing w:val="-11"/>
          <w:sz w:val="23"/>
          <w:szCs w:val="23"/>
        </w:rPr>
        <w:t>或</w:t>
      </w:r>
      <w:r>
        <w:rPr>
          <w:rFonts w:ascii="宋体" w:hAnsi="宋体" w:eastAsia="宋体" w:cs="宋体"/>
          <w:color w:val="FF0000"/>
          <w:sz w:val="23"/>
          <w:szCs w:val="23"/>
        </w:rPr>
        <w:t xml:space="preserve"> </w:t>
      </w:r>
      <w:r>
        <w:rPr>
          <w:rFonts w:ascii="宋体" w:hAnsi="宋体" w:eastAsia="宋体" w:cs="宋体"/>
          <w:color w:val="FF0000"/>
          <w:spacing w:val="-21"/>
          <w:sz w:val="23"/>
          <w:szCs w:val="23"/>
        </w:rPr>
        <w:t>风险管理技术。</w:t>
      </w:r>
    </w:p>
    <w:p w14:paraId="4A3974D5">
      <w:pPr>
        <w:pStyle w:val="2"/>
        <w:spacing w:before="290" w:line="313" w:lineRule="exact"/>
        <w:ind w:left="3"/>
        <w:rPr>
          <w:sz w:val="23"/>
          <w:szCs w:val="23"/>
        </w:rPr>
      </w:pPr>
      <w:r>
        <w:rPr>
          <w:b/>
          <w:bCs/>
          <w:spacing w:val="2"/>
          <w:position w:val="5"/>
          <w:sz w:val="23"/>
          <w:szCs w:val="23"/>
        </w:rPr>
        <w:t>26、</w:t>
      </w:r>
      <w:r>
        <w:rPr>
          <w:spacing w:val="-43"/>
          <w:position w:val="5"/>
          <w:sz w:val="23"/>
          <w:szCs w:val="23"/>
        </w:rPr>
        <w:t xml:space="preserve"> </w:t>
      </w:r>
      <w:r>
        <w:rPr>
          <w:b/>
          <w:bCs/>
          <w:spacing w:val="2"/>
          <w:position w:val="5"/>
          <w:sz w:val="23"/>
          <w:szCs w:val="23"/>
        </w:rPr>
        <w:t>风险管理任务必须由具备几种职能的一个代表执行。</w:t>
      </w:r>
    </w:p>
    <w:p w14:paraId="3016D9B1">
      <w:pPr>
        <w:pStyle w:val="2"/>
        <w:spacing w:before="1" w:line="221" w:lineRule="auto"/>
        <w:ind w:left="963"/>
        <w:rPr>
          <w:sz w:val="23"/>
          <w:szCs w:val="23"/>
        </w:rPr>
      </w:pPr>
      <w:r>
        <w:rPr>
          <w:b/>
          <w:bCs/>
          <w:spacing w:val="12"/>
          <w:sz w:val="23"/>
          <w:szCs w:val="23"/>
        </w:rPr>
        <w:t>正确</w:t>
      </w:r>
    </w:p>
    <w:p w14:paraId="15088B01">
      <w:pPr>
        <w:pStyle w:val="2"/>
        <w:spacing w:before="43" w:line="222" w:lineRule="auto"/>
        <w:ind w:left="963"/>
        <w:rPr>
          <w:sz w:val="23"/>
          <w:szCs w:val="23"/>
        </w:rPr>
      </w:pPr>
      <w:r>
        <w:rPr>
          <w:b/>
          <w:bCs/>
          <w:spacing w:val="9"/>
          <w:sz w:val="23"/>
          <w:szCs w:val="23"/>
        </w:rPr>
        <w:t>错误【正确答案】</w:t>
      </w:r>
    </w:p>
    <w:p w14:paraId="0CA86AEE">
      <w:pPr>
        <w:pStyle w:val="2"/>
        <w:spacing w:before="44" w:line="222" w:lineRule="auto"/>
        <w:ind w:left="613"/>
        <w:rPr>
          <w:sz w:val="23"/>
          <w:szCs w:val="23"/>
        </w:rPr>
      </w:pPr>
      <w:r>
        <w:rPr>
          <w:b/>
          <w:bCs/>
          <w:spacing w:val="-5"/>
          <w:sz w:val="23"/>
          <w:szCs w:val="23"/>
        </w:rPr>
        <w:t>得分：得2.5分/满分2.5分正确答案：错误</w:t>
      </w:r>
    </w:p>
    <w:p w14:paraId="55C4F7F8">
      <w:pPr>
        <w:spacing w:before="249" w:line="213" w:lineRule="auto"/>
        <w:ind w:left="610" w:right="97"/>
        <w:rPr>
          <w:rFonts w:ascii="宋体" w:hAnsi="宋体" w:eastAsia="宋体" w:cs="宋体"/>
          <w:sz w:val="23"/>
          <w:szCs w:val="23"/>
        </w:rPr>
      </w:pPr>
      <w:r>
        <w:rPr>
          <w:rFonts w:ascii="宋体" w:hAnsi="宋体" w:eastAsia="宋体" w:cs="宋体"/>
          <w:color w:val="FF0404"/>
          <w:spacing w:val="-16"/>
          <w:sz w:val="23"/>
          <w:szCs w:val="23"/>
        </w:rPr>
        <w:t>见GB/T42062-2022</w:t>
      </w:r>
      <w:r>
        <w:rPr>
          <w:rFonts w:ascii="宋体" w:hAnsi="宋体" w:eastAsia="宋体" w:cs="宋体"/>
          <w:color w:val="FF0404"/>
          <w:spacing w:val="62"/>
          <w:sz w:val="23"/>
          <w:szCs w:val="23"/>
        </w:rPr>
        <w:t xml:space="preserve"> </w:t>
      </w:r>
      <w:r>
        <w:rPr>
          <w:rFonts w:ascii="宋体" w:hAnsi="宋体" w:eastAsia="宋体" w:cs="宋体"/>
          <w:color w:val="FF0404"/>
          <w:spacing w:val="-16"/>
          <w:sz w:val="23"/>
          <w:szCs w:val="23"/>
        </w:rPr>
        <w:t>《医疗器械风险管理对医疗器械的应用》标准原文——4.风险管理系统通用要求。4.3</w:t>
      </w:r>
      <w:r>
        <w:rPr>
          <w:rFonts w:ascii="宋体" w:hAnsi="宋体" w:eastAsia="宋体" w:cs="宋体"/>
          <w:color w:val="FF0404"/>
          <w:sz w:val="23"/>
          <w:szCs w:val="23"/>
        </w:rPr>
        <w:t xml:space="preserve"> </w:t>
      </w:r>
      <w:r>
        <w:rPr>
          <w:rFonts w:ascii="宋体" w:hAnsi="宋体" w:eastAsia="宋体" w:cs="宋体"/>
          <w:color w:val="FF0404"/>
          <w:spacing w:val="-11"/>
          <w:sz w:val="23"/>
          <w:szCs w:val="23"/>
        </w:rPr>
        <w:t>人员能力(注):风险管理任务可能由几个职能</w:t>
      </w:r>
      <w:r>
        <w:rPr>
          <w:rFonts w:ascii="宋体" w:hAnsi="宋体" w:eastAsia="宋体" w:cs="宋体"/>
          <w:color w:val="FF0404"/>
          <w:spacing w:val="-12"/>
          <w:sz w:val="23"/>
          <w:szCs w:val="23"/>
        </w:rPr>
        <w:t>的代表执行，每个代表贡献其专业的知识。</w:t>
      </w:r>
    </w:p>
    <w:p w14:paraId="2314CBD0">
      <w:pPr>
        <w:pStyle w:val="2"/>
        <w:spacing w:before="274" w:line="222" w:lineRule="auto"/>
        <w:ind w:left="3"/>
        <w:outlineLvl w:val="0"/>
        <w:rPr>
          <w:sz w:val="23"/>
          <w:szCs w:val="23"/>
        </w:rPr>
      </w:pPr>
      <w:r>
        <w:rPr>
          <w:b/>
          <w:bCs/>
          <w:spacing w:val="2"/>
          <w:sz w:val="23"/>
          <w:szCs w:val="23"/>
        </w:rPr>
        <w:t>27、风险管理计划不属于风险管理文档。</w:t>
      </w:r>
    </w:p>
    <w:p w14:paraId="06D73E1F">
      <w:pPr>
        <w:pStyle w:val="2"/>
        <w:spacing w:before="46" w:line="222" w:lineRule="auto"/>
        <w:ind w:left="960"/>
        <w:rPr>
          <w:sz w:val="23"/>
          <w:szCs w:val="23"/>
        </w:rPr>
      </w:pPr>
      <w:r>
        <w:rPr>
          <w:spacing w:val="-4"/>
          <w:sz w:val="23"/>
          <w:szCs w:val="23"/>
        </w:rPr>
        <w:t>正确</w:t>
      </w:r>
    </w:p>
    <w:p w14:paraId="381906CD">
      <w:pPr>
        <w:pStyle w:val="2"/>
        <w:spacing w:before="34" w:line="222" w:lineRule="auto"/>
        <w:ind w:left="960"/>
        <w:rPr>
          <w:sz w:val="23"/>
          <w:szCs w:val="23"/>
        </w:rPr>
      </w:pPr>
      <w:r>
        <w:rPr>
          <w:spacing w:val="13"/>
          <w:sz w:val="23"/>
          <w:szCs w:val="23"/>
        </w:rPr>
        <w:t>错误【正确答案】</w:t>
      </w:r>
    </w:p>
    <w:p w14:paraId="6F0B9ED5">
      <w:pPr>
        <w:pStyle w:val="2"/>
        <w:spacing w:before="40" w:line="222" w:lineRule="auto"/>
        <w:ind w:left="613"/>
        <w:rPr>
          <w:sz w:val="23"/>
          <w:szCs w:val="23"/>
        </w:rPr>
      </w:pPr>
      <w:r>
        <w:rPr>
          <w:b/>
          <w:bCs/>
          <w:spacing w:val="-5"/>
          <w:sz w:val="23"/>
          <w:szCs w:val="23"/>
        </w:rPr>
        <w:t>得分：得2.5分/满分2.5分正确答案：错误</w:t>
      </w:r>
    </w:p>
    <w:p w14:paraId="7BA0730D">
      <w:pPr>
        <w:spacing w:before="248" w:line="172" w:lineRule="auto"/>
        <w:ind w:left="610"/>
        <w:rPr>
          <w:rFonts w:ascii="宋体" w:hAnsi="宋体" w:eastAsia="宋体" w:cs="宋体"/>
          <w:sz w:val="23"/>
          <w:szCs w:val="23"/>
        </w:rPr>
      </w:pPr>
      <w:r>
        <w:rPr>
          <w:rFonts w:ascii="宋体" w:hAnsi="宋体" w:eastAsia="宋体" w:cs="宋体"/>
          <w:color w:val="FF0404"/>
          <w:spacing w:val="-16"/>
          <w:position w:val="5"/>
          <w:sz w:val="23"/>
          <w:szCs w:val="23"/>
        </w:rPr>
        <w:t xml:space="preserve">解析：见GB/T42062-2022   </w:t>
      </w:r>
      <w:r>
        <w:rPr>
          <w:rFonts w:ascii="宋体" w:hAnsi="宋体" w:eastAsia="宋体" w:cs="宋体"/>
          <w:color w:val="FF0404"/>
          <w:spacing w:val="-16"/>
          <w:position w:val="-2"/>
          <w:sz w:val="23"/>
          <w:szCs w:val="23"/>
        </w:rPr>
        <w:t>《医疗器械风险管理对医疗器</w:t>
      </w:r>
      <w:r>
        <w:rPr>
          <w:rFonts w:ascii="宋体" w:hAnsi="宋体" w:eastAsia="宋体" w:cs="宋体"/>
          <w:color w:val="FF0404"/>
          <w:spacing w:val="-17"/>
          <w:position w:val="-2"/>
          <w:sz w:val="23"/>
          <w:szCs w:val="23"/>
        </w:rPr>
        <w:t>械的应用》标准原文——4.风险管理系统通用要</w:t>
      </w:r>
    </w:p>
    <w:p w14:paraId="179C9086">
      <w:pPr>
        <w:spacing w:before="1" w:line="199" w:lineRule="auto"/>
        <w:ind w:left="610"/>
        <w:rPr>
          <w:rFonts w:ascii="宋体" w:hAnsi="宋体" w:eastAsia="宋体" w:cs="宋体"/>
          <w:sz w:val="23"/>
          <w:szCs w:val="23"/>
        </w:rPr>
      </w:pPr>
      <w:r>
        <w:rPr>
          <w:rFonts w:ascii="宋体" w:hAnsi="宋体" w:eastAsia="宋体" w:cs="宋体"/>
          <w:color w:val="FF0404"/>
          <w:spacing w:val="-24"/>
          <w:sz w:val="23"/>
          <w:szCs w:val="23"/>
        </w:rPr>
        <w:t>求。4.4 风险管理计划：</w:t>
      </w:r>
    </w:p>
    <w:p w14:paraId="24452A10">
      <w:pPr>
        <w:spacing w:before="246" w:line="210" w:lineRule="auto"/>
        <w:ind w:left="610" w:right="1"/>
        <w:rPr>
          <w:rFonts w:ascii="宋体" w:hAnsi="宋体" w:eastAsia="宋体" w:cs="宋体"/>
          <w:sz w:val="23"/>
          <w:szCs w:val="23"/>
        </w:rPr>
      </w:pPr>
      <w:r>
        <w:rPr>
          <w:rFonts w:ascii="宋体" w:hAnsi="宋体" w:eastAsia="宋体" w:cs="宋体"/>
          <w:color w:val="FF0404"/>
          <w:spacing w:val="-21"/>
          <w:sz w:val="23"/>
          <w:szCs w:val="23"/>
        </w:rPr>
        <w:t>风险管理活动应得到策</w:t>
      </w:r>
      <w:r>
        <w:rPr>
          <w:rFonts w:ascii="宋体" w:hAnsi="宋体" w:eastAsia="宋体" w:cs="宋体"/>
          <w:color w:val="FF0404"/>
          <w:spacing w:val="-20"/>
          <w:sz w:val="23"/>
          <w:szCs w:val="23"/>
        </w:rPr>
        <w:t>划。对于所考虑的特定的医疗器械，制造商应按照风险管</w:t>
      </w:r>
      <w:r>
        <w:rPr>
          <w:rFonts w:ascii="宋体" w:hAnsi="宋体" w:eastAsia="宋体" w:cs="宋体"/>
          <w:color w:val="FF0404"/>
          <w:spacing w:val="-21"/>
          <w:sz w:val="23"/>
          <w:szCs w:val="23"/>
        </w:rPr>
        <w:t>理过程建立风险管理计划</w:t>
      </w:r>
      <w:r>
        <w:rPr>
          <w:rFonts w:ascii="宋体" w:hAnsi="宋体" w:eastAsia="宋体" w:cs="宋体"/>
          <w:color w:val="FF0404"/>
          <w:spacing w:val="-11"/>
          <w:sz w:val="23"/>
          <w:szCs w:val="23"/>
        </w:rPr>
        <w:t>并</w:t>
      </w:r>
      <w:r>
        <w:rPr>
          <w:rFonts w:ascii="宋体" w:hAnsi="宋体" w:eastAsia="宋体" w:cs="宋体"/>
          <w:color w:val="FF0404"/>
          <w:sz w:val="23"/>
          <w:szCs w:val="23"/>
        </w:rPr>
        <w:t xml:space="preserve"> </w:t>
      </w:r>
      <w:r>
        <w:rPr>
          <w:rFonts w:ascii="宋体" w:hAnsi="宋体" w:eastAsia="宋体" w:cs="宋体"/>
          <w:color w:val="FF0404"/>
          <w:spacing w:val="-20"/>
          <w:sz w:val="23"/>
          <w:szCs w:val="23"/>
        </w:rPr>
        <w:t>形成文件。风险管理计划应是风险管理文档的一部分。</w:t>
      </w:r>
    </w:p>
    <w:p w14:paraId="5D61C0D1">
      <w:pPr>
        <w:pStyle w:val="2"/>
        <w:spacing w:before="262" w:line="213" w:lineRule="auto"/>
        <w:ind w:left="3"/>
        <w:outlineLvl w:val="0"/>
        <w:rPr>
          <w:sz w:val="23"/>
          <w:szCs w:val="23"/>
        </w:rPr>
      </w:pPr>
      <w:r>
        <w:rPr>
          <w:b/>
          <w:bCs/>
          <w:spacing w:val="4"/>
          <w:sz w:val="23"/>
          <w:szCs w:val="23"/>
        </w:rPr>
        <w:t>28、</w:t>
      </w:r>
      <w:r>
        <w:rPr>
          <w:spacing w:val="-11"/>
          <w:sz w:val="23"/>
          <w:szCs w:val="23"/>
        </w:rPr>
        <w:t xml:space="preserve"> </w:t>
      </w:r>
      <w:r>
        <w:rPr>
          <w:b/>
          <w:bCs/>
          <w:spacing w:val="4"/>
          <w:sz w:val="23"/>
          <w:szCs w:val="23"/>
        </w:rPr>
        <w:t>对所考虑的特定的医疗器械，制造商应将预期用途以及可合理预见的误使用形成文件。</w:t>
      </w:r>
    </w:p>
    <w:p w14:paraId="0D0FC1EC">
      <w:pPr>
        <w:pStyle w:val="2"/>
        <w:spacing w:before="66" w:line="320" w:lineRule="exact"/>
        <w:ind w:left="963"/>
        <w:rPr>
          <w:sz w:val="23"/>
          <w:szCs w:val="23"/>
        </w:rPr>
      </w:pPr>
      <w:r>
        <w:rPr>
          <w:b/>
          <w:bCs/>
          <w:spacing w:val="9"/>
          <w:position w:val="6"/>
          <w:sz w:val="23"/>
          <w:szCs w:val="23"/>
        </w:rPr>
        <w:t>正确【正确答案】</w:t>
      </w:r>
    </w:p>
    <w:p w14:paraId="31770C2B">
      <w:pPr>
        <w:pStyle w:val="2"/>
        <w:spacing w:before="1" w:line="221" w:lineRule="auto"/>
        <w:ind w:left="963"/>
        <w:rPr>
          <w:sz w:val="23"/>
          <w:szCs w:val="23"/>
        </w:rPr>
      </w:pPr>
      <w:r>
        <w:rPr>
          <w:b/>
          <w:bCs/>
          <w:spacing w:val="9"/>
          <w:sz w:val="23"/>
          <w:szCs w:val="23"/>
        </w:rPr>
        <w:t>错误</w:t>
      </w:r>
    </w:p>
    <w:p w14:paraId="644E686B">
      <w:pPr>
        <w:spacing w:line="221" w:lineRule="auto"/>
        <w:rPr>
          <w:sz w:val="23"/>
          <w:szCs w:val="23"/>
        </w:rPr>
        <w:sectPr>
          <w:pgSz w:w="11910" w:h="16840"/>
          <w:pgMar w:top="588" w:right="749" w:bottom="0" w:left="689" w:header="0" w:footer="0" w:gutter="0"/>
          <w:cols w:space="720" w:num="1"/>
        </w:sectPr>
      </w:pPr>
    </w:p>
    <w:p w14:paraId="2F62ED71">
      <w:pPr>
        <w:pStyle w:val="2"/>
        <w:spacing w:before="50" w:line="222" w:lineRule="auto"/>
        <w:ind w:left="613"/>
      </w:pPr>
      <w:r>
        <w:rPr>
          <w:b/>
          <w:bCs/>
          <w:spacing w:val="-22"/>
        </w:rPr>
        <w:t>得分：得2.5分/满分2.5分正确答案：正确</w:t>
      </w:r>
    </w:p>
    <w:p w14:paraId="7149C1ED">
      <w:pPr>
        <w:spacing w:before="254" w:line="225" w:lineRule="auto"/>
        <w:ind w:left="610" w:right="46"/>
        <w:jc w:val="both"/>
        <w:rPr>
          <w:rFonts w:ascii="宋体" w:hAnsi="宋体" w:eastAsia="宋体" w:cs="宋体"/>
          <w:sz w:val="21"/>
          <w:szCs w:val="21"/>
        </w:rPr>
      </w:pPr>
      <w:r>
        <w:rPr>
          <w:rFonts w:ascii="宋体" w:hAnsi="宋体" w:eastAsia="宋体" w:cs="宋体"/>
          <w:color w:val="FF0000"/>
          <w:sz w:val="21"/>
          <w:szCs w:val="21"/>
        </w:rPr>
        <w:t>解析：见GB/T42062-2022《 医疗器械风险</w:t>
      </w:r>
      <w:r>
        <w:rPr>
          <w:rFonts w:ascii="宋体" w:hAnsi="宋体" w:eastAsia="宋体" w:cs="宋体"/>
          <w:color w:val="FF0000"/>
          <w:spacing w:val="-1"/>
          <w:sz w:val="21"/>
          <w:szCs w:val="21"/>
        </w:rPr>
        <w:t>管理对医疗器械的应用》标准原文——5.风险分析。5.2预期用途</w:t>
      </w:r>
      <w:r>
        <w:rPr>
          <w:rFonts w:ascii="宋体" w:hAnsi="宋体" w:eastAsia="宋体" w:cs="宋体"/>
          <w:color w:val="FF0000"/>
          <w:sz w:val="21"/>
          <w:szCs w:val="21"/>
        </w:rPr>
        <w:t xml:space="preserve"> </w:t>
      </w:r>
      <w:r>
        <w:rPr>
          <w:rFonts w:ascii="宋体" w:hAnsi="宋体" w:eastAsia="宋体" w:cs="宋体"/>
          <w:color w:val="FF0000"/>
          <w:spacing w:val="-2"/>
          <w:sz w:val="21"/>
          <w:szCs w:val="21"/>
        </w:rPr>
        <w:t>和可合理预见的误使用：  制造商应将所</w:t>
      </w:r>
      <w:r>
        <w:rPr>
          <w:rFonts w:ascii="宋体" w:hAnsi="宋体" w:eastAsia="宋体" w:cs="宋体"/>
          <w:color w:val="FF0000"/>
          <w:spacing w:val="-3"/>
          <w:sz w:val="21"/>
          <w:szCs w:val="21"/>
        </w:rPr>
        <w:t>考虑的特定的医疗器械的预期用途形成文件；也应将可合理预见的</w:t>
      </w:r>
      <w:r>
        <w:rPr>
          <w:rFonts w:ascii="宋体" w:hAnsi="宋体" w:eastAsia="宋体" w:cs="宋体"/>
          <w:color w:val="FF0000"/>
          <w:sz w:val="21"/>
          <w:szCs w:val="21"/>
        </w:rPr>
        <w:t xml:space="preserve">  </w:t>
      </w:r>
      <w:r>
        <w:rPr>
          <w:rFonts w:ascii="宋体" w:hAnsi="宋体" w:eastAsia="宋体" w:cs="宋体"/>
          <w:color w:val="FF0000"/>
          <w:spacing w:val="-5"/>
          <w:sz w:val="21"/>
          <w:szCs w:val="21"/>
        </w:rPr>
        <w:t>误使用形成文件。</w:t>
      </w:r>
    </w:p>
    <w:p w14:paraId="3840650C">
      <w:pPr>
        <w:pStyle w:val="2"/>
        <w:spacing w:before="236" w:line="248" w:lineRule="auto"/>
        <w:ind w:left="3" w:right="150" w:hanging="3"/>
      </w:pPr>
      <w:r>
        <w:rPr>
          <w:spacing w:val="-12"/>
        </w:rPr>
        <w:t>29、制</w:t>
      </w:r>
      <w:r>
        <w:rPr>
          <w:b/>
          <w:bCs/>
          <w:spacing w:val="-12"/>
        </w:rPr>
        <w:t>造商应基于正常状态和故障状态下的与安全有关的特性，识别已知的和可预见的与医疗器械</w:t>
      </w:r>
      <w:r>
        <w:rPr>
          <w:spacing w:val="-12"/>
        </w:rPr>
        <w:t xml:space="preserve"> </w:t>
      </w:r>
      <w:r>
        <w:rPr>
          <w:b/>
          <w:bCs/>
          <w:spacing w:val="-18"/>
        </w:rPr>
        <w:t>相关的危险并形成文件。</w:t>
      </w:r>
    </w:p>
    <w:p w14:paraId="4311B0C4">
      <w:pPr>
        <w:pStyle w:val="2"/>
        <w:spacing w:before="9" w:line="229" w:lineRule="auto"/>
        <w:ind w:left="963"/>
      </w:pPr>
      <w:r>
        <w:rPr>
          <w:b/>
          <w:bCs/>
          <w:spacing w:val="-5"/>
        </w:rPr>
        <w:t>正确【正确答案】</w:t>
      </w:r>
    </w:p>
    <w:p w14:paraId="6BC3F296">
      <w:pPr>
        <w:pStyle w:val="2"/>
        <w:spacing w:line="221" w:lineRule="auto"/>
        <w:ind w:left="680"/>
      </w:pPr>
      <w:r>
        <w:rPr>
          <w:spacing w:val="-19"/>
          <w:w w:val="98"/>
        </w:rPr>
        <w:t>○</w:t>
      </w:r>
      <w:r>
        <w:rPr>
          <w:spacing w:val="-20"/>
        </w:rPr>
        <w:t xml:space="preserve"> </w:t>
      </w:r>
      <w:r>
        <w:rPr>
          <w:b/>
          <w:bCs/>
          <w:spacing w:val="-19"/>
          <w:w w:val="98"/>
        </w:rPr>
        <w:t>错误</w:t>
      </w:r>
    </w:p>
    <w:p w14:paraId="672D3A05">
      <w:pPr>
        <w:pStyle w:val="2"/>
        <w:spacing w:before="29" w:line="222" w:lineRule="auto"/>
        <w:ind w:left="613"/>
      </w:pPr>
      <w:r>
        <w:rPr>
          <w:b/>
          <w:bCs/>
          <w:spacing w:val="-17"/>
        </w:rPr>
        <w:t>得分：得2.5分满分2.5分正确答案：正确</w:t>
      </w:r>
    </w:p>
    <w:p w14:paraId="252D4F91">
      <w:pPr>
        <w:spacing w:before="245" w:line="225" w:lineRule="auto"/>
        <w:ind w:left="610" w:right="5"/>
        <w:jc w:val="both"/>
        <w:rPr>
          <w:rFonts w:ascii="宋体" w:hAnsi="宋体" w:eastAsia="宋体" w:cs="宋体"/>
          <w:sz w:val="21"/>
          <w:szCs w:val="21"/>
        </w:rPr>
      </w:pPr>
      <w:r>
        <w:rPr>
          <w:rFonts w:ascii="宋体" w:hAnsi="宋体" w:eastAsia="宋体" w:cs="宋体"/>
          <w:color w:val="FF0404"/>
          <w:sz w:val="21"/>
          <w:szCs w:val="21"/>
        </w:rPr>
        <w:t>解析：见GB/T42062-2022《 医疗器械风险管理对医疗器械的应用》标准原文——5.风险分析。5.4危险和危</w:t>
      </w:r>
      <w:r>
        <w:rPr>
          <w:rFonts w:ascii="宋体" w:hAnsi="宋体" w:eastAsia="宋体" w:cs="宋体"/>
          <w:color w:val="FF0404"/>
          <w:spacing w:val="10"/>
          <w:sz w:val="21"/>
          <w:szCs w:val="21"/>
        </w:rPr>
        <w:t xml:space="preserve"> </w:t>
      </w:r>
      <w:r>
        <w:rPr>
          <w:rFonts w:ascii="宋体" w:hAnsi="宋体" w:eastAsia="宋体" w:cs="宋体"/>
          <w:color w:val="FF0404"/>
          <w:sz w:val="21"/>
          <w:szCs w:val="21"/>
        </w:rPr>
        <w:t>险情况的识别：制造商应基于预期用途、可合理预见的误使</w:t>
      </w:r>
      <w:r>
        <w:rPr>
          <w:rFonts w:ascii="宋体" w:hAnsi="宋体" w:eastAsia="宋体" w:cs="宋体"/>
          <w:color w:val="FF0404"/>
          <w:spacing w:val="-1"/>
          <w:sz w:val="21"/>
          <w:szCs w:val="21"/>
        </w:rPr>
        <w:t>用以及正常状态和故障状态下的与安全有关的特</w:t>
      </w:r>
      <w:r>
        <w:rPr>
          <w:rFonts w:ascii="宋体" w:hAnsi="宋体" w:eastAsia="宋体" w:cs="宋体"/>
          <w:color w:val="FF0404"/>
          <w:sz w:val="21"/>
          <w:szCs w:val="21"/>
        </w:rPr>
        <w:t xml:space="preserve"> </w:t>
      </w:r>
      <w:r>
        <w:rPr>
          <w:rFonts w:ascii="宋体" w:hAnsi="宋体" w:eastAsia="宋体" w:cs="宋体"/>
          <w:color w:val="FF0404"/>
          <w:spacing w:val="-2"/>
          <w:sz w:val="21"/>
          <w:szCs w:val="21"/>
        </w:rPr>
        <w:t>性，识别已知的和可预见的与医疗器械相关的危险并形成文件。</w:t>
      </w:r>
    </w:p>
    <w:p w14:paraId="629278A9">
      <w:pPr>
        <w:pStyle w:val="2"/>
        <w:spacing w:before="255" w:line="237" w:lineRule="auto"/>
        <w:ind w:left="3" w:right="147" w:hanging="3"/>
      </w:pPr>
      <w:r>
        <w:rPr>
          <w:spacing w:val="-12"/>
        </w:rPr>
        <w:t>3</w:t>
      </w:r>
      <w:r>
        <w:rPr>
          <w:b/>
          <w:bCs/>
          <w:spacing w:val="-12"/>
        </w:rPr>
        <w:t>0、对于每个已识别的危险，制造商应确定能够造成危险情况的可合理预见的事件序列或组合，并</w:t>
      </w:r>
      <w:r>
        <w:rPr>
          <w:spacing w:val="-12"/>
        </w:rPr>
        <w:t xml:space="preserve"> </w:t>
      </w:r>
      <w:r>
        <w:rPr>
          <w:b/>
          <w:bCs/>
          <w:spacing w:val="-12"/>
        </w:rPr>
        <w:t>对导致的一个或多个危险情况进行识别和形成文件</w:t>
      </w:r>
      <w:r>
        <w:rPr>
          <w:spacing w:val="-12"/>
        </w:rPr>
        <w:t>。</w:t>
      </w:r>
    </w:p>
    <w:p w14:paraId="6297E8A9">
      <w:pPr>
        <w:pStyle w:val="2"/>
        <w:spacing w:before="14" w:line="236" w:lineRule="auto"/>
        <w:ind w:left="960"/>
      </w:pPr>
      <w:r>
        <w:rPr>
          <w:spacing w:val="-5"/>
        </w:rPr>
        <w:t>正确【正确答案】</w:t>
      </w:r>
    </w:p>
    <w:p w14:paraId="47CC0C9D">
      <w:pPr>
        <w:pStyle w:val="2"/>
        <w:spacing w:before="1" w:line="221" w:lineRule="auto"/>
        <w:ind w:left="960"/>
      </w:pPr>
      <w:r>
        <w:rPr>
          <w:spacing w:val="-2"/>
        </w:rPr>
        <w:t>错误</w:t>
      </w:r>
    </w:p>
    <w:p w14:paraId="52D1DD1D">
      <w:pPr>
        <w:pStyle w:val="2"/>
        <w:spacing w:before="16" w:line="222" w:lineRule="auto"/>
        <w:ind w:left="613"/>
      </w:pPr>
      <w:r>
        <w:rPr>
          <w:b/>
          <w:bCs/>
          <w:spacing w:val="-22"/>
        </w:rPr>
        <w:t>得分：得2.5分/满分2.5分正确答案：正确</w:t>
      </w:r>
    </w:p>
    <w:p w14:paraId="28FE5A7C">
      <w:pPr>
        <w:spacing w:before="243" w:line="219" w:lineRule="auto"/>
        <w:ind w:left="610"/>
        <w:rPr>
          <w:rFonts w:ascii="宋体" w:hAnsi="宋体" w:eastAsia="宋体" w:cs="宋体"/>
          <w:sz w:val="21"/>
          <w:szCs w:val="21"/>
        </w:rPr>
      </w:pPr>
      <w:r>
        <w:rPr>
          <w:rFonts w:ascii="宋体" w:hAnsi="宋体" w:eastAsia="宋体" w:cs="宋体"/>
          <w:color w:val="FF0000"/>
          <w:sz w:val="21"/>
          <w:szCs w:val="21"/>
        </w:rPr>
        <w:t>解析：见GB/T42062-2022《 医疗器械风险管理对医疗器械的应用》标准原文——5.风险分析。</w:t>
      </w:r>
    </w:p>
    <w:p w14:paraId="1D2886DD">
      <w:pPr>
        <w:spacing w:before="261" w:line="228" w:lineRule="auto"/>
        <w:ind w:left="610" w:right="133"/>
        <w:rPr>
          <w:rFonts w:ascii="宋体" w:hAnsi="宋体" w:eastAsia="宋体" w:cs="宋体"/>
          <w:sz w:val="21"/>
          <w:szCs w:val="21"/>
        </w:rPr>
      </w:pPr>
      <w:r>
        <w:rPr>
          <w:rFonts w:ascii="宋体" w:hAnsi="宋体" w:eastAsia="宋体" w:cs="宋体"/>
          <w:color w:val="FF0404"/>
          <w:sz w:val="21"/>
          <w:szCs w:val="21"/>
        </w:rPr>
        <w:t>5.4危险和危险情况的识别：对于每个已识别的危险，制造商应确定能够造</w:t>
      </w:r>
      <w:r>
        <w:rPr>
          <w:rFonts w:ascii="宋体" w:hAnsi="宋体" w:eastAsia="宋体" w:cs="宋体"/>
          <w:color w:val="FF0404"/>
          <w:spacing w:val="-1"/>
          <w:sz w:val="21"/>
          <w:szCs w:val="21"/>
        </w:rPr>
        <w:t>成危险情况的可合理预见的事件</w:t>
      </w:r>
      <w:r>
        <w:rPr>
          <w:rFonts w:ascii="宋体" w:hAnsi="宋体" w:eastAsia="宋体" w:cs="宋体"/>
          <w:color w:val="FF0404"/>
          <w:sz w:val="21"/>
          <w:szCs w:val="21"/>
        </w:rPr>
        <w:t xml:space="preserve"> </w:t>
      </w:r>
      <w:r>
        <w:rPr>
          <w:rFonts w:ascii="宋体" w:hAnsi="宋体" w:eastAsia="宋体" w:cs="宋体"/>
          <w:color w:val="FF0404"/>
          <w:spacing w:val="-2"/>
          <w:sz w:val="21"/>
          <w:szCs w:val="21"/>
        </w:rPr>
        <w:t>序列或组合，并对导致的危险情况进行识别和形成文件。</w:t>
      </w:r>
    </w:p>
    <w:p w14:paraId="56C23DD7">
      <w:pPr>
        <w:pStyle w:val="2"/>
        <w:spacing w:before="259" w:line="225" w:lineRule="auto"/>
        <w:ind w:right="419"/>
      </w:pPr>
      <w:r>
        <w:rPr>
          <w:spacing w:val="-10"/>
        </w:rPr>
        <w:t>31、对每个已识别的危险情况，制造商应利用可获得的信息或数据估计与其相关的一个或多个风</w:t>
      </w:r>
      <w:r>
        <w:rPr>
          <w:spacing w:val="6"/>
        </w:rPr>
        <w:t xml:space="preserve"> </w:t>
      </w:r>
      <w:r>
        <w:rPr>
          <w:spacing w:val="-11"/>
        </w:rPr>
        <w:t>险。对于伤害发生概率不能估计的危险情况，可能的后果仅作为风险评价和风险控制的参照。</w:t>
      </w:r>
    </w:p>
    <w:p w14:paraId="2516B4CC">
      <w:pPr>
        <w:pStyle w:val="2"/>
        <w:spacing w:before="33" w:line="222" w:lineRule="auto"/>
        <w:ind w:left="960"/>
      </w:pPr>
      <w:r>
        <w:rPr>
          <w:spacing w:val="8"/>
        </w:rPr>
        <w:t>正确</w:t>
      </w:r>
    </w:p>
    <w:p w14:paraId="19764655">
      <w:pPr>
        <w:pStyle w:val="2"/>
        <w:spacing w:before="19" w:line="222" w:lineRule="auto"/>
        <w:ind w:left="960"/>
      </w:pPr>
      <w:r>
        <w:rPr>
          <w:spacing w:val="-5"/>
        </w:rPr>
        <w:t>错误【正确答案】</w:t>
      </w:r>
    </w:p>
    <w:p w14:paraId="649925D6">
      <w:pPr>
        <w:pStyle w:val="2"/>
        <w:spacing w:before="6" w:line="222" w:lineRule="auto"/>
        <w:ind w:left="613"/>
      </w:pPr>
      <w:r>
        <w:rPr>
          <w:b/>
          <w:bCs/>
          <w:spacing w:val="-20"/>
        </w:rPr>
        <w:t>得分：得0分/满分2.5分正确答案：错误</w:t>
      </w:r>
    </w:p>
    <w:p w14:paraId="22C8E10B">
      <w:pPr>
        <w:spacing w:before="263" w:line="219" w:lineRule="auto"/>
        <w:ind w:left="610"/>
        <w:rPr>
          <w:rFonts w:ascii="宋体" w:hAnsi="宋体" w:eastAsia="宋体" w:cs="宋体"/>
          <w:sz w:val="21"/>
          <w:szCs w:val="21"/>
        </w:rPr>
      </w:pPr>
      <w:r>
        <w:rPr>
          <w:rFonts w:ascii="宋体" w:hAnsi="宋体" w:eastAsia="宋体" w:cs="宋体"/>
          <w:color w:val="FF0000"/>
          <w:sz w:val="21"/>
          <w:szCs w:val="21"/>
        </w:rPr>
        <w:t>解析：见GB/T42062-2022《 医疗器械风险管理对医疗器械的应用》标准原文——5.风险分析。</w:t>
      </w:r>
    </w:p>
    <w:p w14:paraId="52A10AA5">
      <w:pPr>
        <w:spacing w:before="268" w:line="228" w:lineRule="auto"/>
        <w:ind w:left="610" w:right="107"/>
        <w:rPr>
          <w:rFonts w:ascii="宋体" w:hAnsi="宋体" w:eastAsia="宋体" w:cs="宋体"/>
          <w:sz w:val="21"/>
          <w:szCs w:val="21"/>
        </w:rPr>
      </w:pPr>
      <w:r>
        <w:rPr>
          <w:rFonts w:ascii="宋体" w:hAnsi="宋体" w:eastAsia="宋体" w:cs="宋体"/>
          <w:color w:val="FF0404"/>
          <w:sz w:val="21"/>
          <w:szCs w:val="21"/>
        </w:rPr>
        <w:t>5.5风险估计：对每个已识别的危险情况，制造商应利用可获得的信息或数据估计相关的风险。对于伤害发</w:t>
      </w:r>
      <w:r>
        <w:rPr>
          <w:rFonts w:ascii="宋体" w:hAnsi="宋体" w:eastAsia="宋体" w:cs="宋体"/>
          <w:color w:val="FF0404"/>
          <w:spacing w:val="12"/>
          <w:sz w:val="21"/>
          <w:szCs w:val="21"/>
        </w:rPr>
        <w:t xml:space="preserve"> </w:t>
      </w:r>
      <w:r>
        <w:rPr>
          <w:rFonts w:ascii="宋体" w:hAnsi="宋体" w:eastAsia="宋体" w:cs="宋体"/>
          <w:color w:val="FF0404"/>
          <w:spacing w:val="-1"/>
          <w:sz w:val="21"/>
          <w:szCs w:val="21"/>
        </w:rPr>
        <w:t>生概率不能估计的危险情况，应列出可能的后果。这些活动的结果应记录在风险管理文档中。</w:t>
      </w:r>
    </w:p>
    <w:p w14:paraId="7AB681B6">
      <w:pPr>
        <w:pStyle w:val="2"/>
        <w:spacing w:before="229" w:line="236" w:lineRule="auto"/>
        <w:ind w:left="3" w:right="172" w:hanging="3"/>
      </w:pPr>
      <w:r>
        <w:rPr>
          <w:spacing w:val="-12"/>
        </w:rPr>
        <w:t>3</w:t>
      </w:r>
      <w:r>
        <w:rPr>
          <w:b/>
          <w:bCs/>
          <w:spacing w:val="-12"/>
        </w:rPr>
        <w:t>2、对每个已识别的危险情况，制造商应使用风险管理计划中定义的风险</w:t>
      </w:r>
      <w:r>
        <w:rPr>
          <w:b/>
          <w:bCs/>
          <w:spacing w:val="-13"/>
        </w:rPr>
        <w:t>可接受性准则评价估计风</w:t>
      </w:r>
      <w:r>
        <w:rPr>
          <w:spacing w:val="-13"/>
        </w:rPr>
        <w:t xml:space="preserve"> </w:t>
      </w:r>
      <w:r>
        <w:rPr>
          <w:b/>
          <w:bCs/>
          <w:spacing w:val="-12"/>
        </w:rPr>
        <w:t>险，并确定此风险是否可接受，决定是否需要降</w:t>
      </w:r>
      <w:r>
        <w:rPr>
          <w:b/>
          <w:bCs/>
          <w:spacing w:val="-13"/>
        </w:rPr>
        <w:t>低风险</w:t>
      </w:r>
      <w:r>
        <w:rPr>
          <w:spacing w:val="-13"/>
        </w:rPr>
        <w:t>。</w:t>
      </w:r>
    </w:p>
    <w:p w14:paraId="4D1D6CAA">
      <w:pPr>
        <w:pStyle w:val="2"/>
        <w:spacing w:before="37" w:line="236" w:lineRule="auto"/>
        <w:ind w:left="960"/>
      </w:pPr>
      <w:r>
        <w:rPr>
          <w:spacing w:val="-5"/>
        </w:rPr>
        <w:t>正确【正确答案】</w:t>
      </w:r>
    </w:p>
    <w:p w14:paraId="71BA2B49">
      <w:pPr>
        <w:pStyle w:val="2"/>
        <w:spacing w:before="1" w:line="221" w:lineRule="auto"/>
        <w:ind w:left="960"/>
      </w:pPr>
      <w:r>
        <w:rPr>
          <w:spacing w:val="-2"/>
        </w:rPr>
        <w:t>错误</w:t>
      </w:r>
    </w:p>
    <w:p w14:paraId="34DF42D6">
      <w:pPr>
        <w:pStyle w:val="2"/>
        <w:spacing w:before="6" w:line="222" w:lineRule="auto"/>
        <w:ind w:left="613"/>
      </w:pPr>
      <w:r>
        <w:rPr>
          <w:b/>
          <w:bCs/>
          <w:spacing w:val="-22"/>
        </w:rPr>
        <w:t>得分：得2.5分/满分2.5分正确答案：正确</w:t>
      </w:r>
    </w:p>
    <w:p w14:paraId="2A5D377F">
      <w:pPr>
        <w:spacing w:before="261" w:line="218" w:lineRule="auto"/>
        <w:ind w:left="610"/>
        <w:rPr>
          <w:rFonts w:ascii="宋体" w:hAnsi="宋体" w:eastAsia="宋体" w:cs="宋体"/>
          <w:sz w:val="21"/>
          <w:szCs w:val="21"/>
        </w:rPr>
      </w:pPr>
      <w:r>
        <w:rPr>
          <w:rFonts w:ascii="宋体" w:hAnsi="宋体" w:eastAsia="宋体" w:cs="宋体"/>
          <w:color w:val="FF0000"/>
          <w:sz w:val="21"/>
          <w:szCs w:val="21"/>
        </w:rPr>
        <w:t>解析：见GB/T42062-2022《 医疗器械风险管理对医疗器械的应用》标准原文——6.风险评价。</w:t>
      </w:r>
    </w:p>
    <w:p w14:paraId="08E8E78B">
      <w:pPr>
        <w:spacing w:before="281" w:line="219" w:lineRule="auto"/>
        <w:ind w:left="610"/>
        <w:rPr>
          <w:rFonts w:ascii="宋体" w:hAnsi="宋体" w:eastAsia="宋体" w:cs="宋体"/>
          <w:sz w:val="21"/>
          <w:szCs w:val="21"/>
        </w:rPr>
      </w:pPr>
      <w:r>
        <w:rPr>
          <w:rFonts w:ascii="宋体" w:hAnsi="宋体" w:eastAsia="宋体" w:cs="宋体"/>
          <w:color w:val="FF0404"/>
          <w:sz w:val="21"/>
          <w:szCs w:val="21"/>
        </w:rPr>
        <w:t>对于每个已识别的危险情况，制造商应使用风险管理计划中定义的风险可接受性准则评价估计的风险，并确</w:t>
      </w:r>
      <w:r>
        <w:rPr>
          <w:rFonts w:ascii="宋体" w:hAnsi="宋体" w:eastAsia="宋体" w:cs="宋体"/>
          <w:color w:val="FF0404"/>
          <w:spacing w:val="15"/>
          <w:sz w:val="21"/>
          <w:szCs w:val="21"/>
        </w:rPr>
        <w:t xml:space="preserve"> </w:t>
      </w:r>
      <w:r>
        <w:rPr>
          <w:rFonts w:ascii="宋体" w:hAnsi="宋体" w:eastAsia="宋体" w:cs="宋体"/>
          <w:color w:val="FF0404"/>
          <w:spacing w:val="-1"/>
          <w:sz w:val="21"/>
          <w:szCs w:val="21"/>
        </w:rPr>
        <w:t>定此风险是否可接受。如果风险可以接受，此估计的风险应视为剩余风险。</w:t>
      </w:r>
    </w:p>
    <w:p w14:paraId="02C3ABD2">
      <w:pPr>
        <w:pStyle w:val="2"/>
        <w:spacing w:before="272" w:line="225" w:lineRule="auto"/>
        <w:ind w:right="216"/>
      </w:pPr>
      <w:r>
        <w:rPr>
          <w:spacing w:val="-12"/>
        </w:rPr>
        <w:t>33、制造商应按下列优先顺序，使用一种或多种风险控制方案</w:t>
      </w:r>
      <w:r>
        <w:rPr>
          <w:spacing w:val="-13"/>
        </w:rPr>
        <w:t xml:space="preserve">： </w:t>
      </w:r>
      <w:r>
        <w:rPr>
          <w:rFonts w:ascii="宋体" w:hAnsi="宋体" w:eastAsia="宋体" w:cs="宋体"/>
          <w:spacing w:val="-13"/>
        </w:rPr>
        <w:t xml:space="preserve">a) </w:t>
      </w:r>
      <w:r>
        <w:rPr>
          <w:spacing w:val="-13"/>
        </w:rPr>
        <w:t>固有安全的设计和制造；</w:t>
      </w:r>
      <w:r>
        <w:rPr>
          <w:rFonts w:ascii="宋体" w:hAnsi="宋体" w:eastAsia="宋体" w:cs="宋体"/>
          <w:spacing w:val="-13"/>
        </w:rPr>
        <w:t xml:space="preserve">b) </w:t>
      </w:r>
      <w:r>
        <w:rPr>
          <w:spacing w:val="-13"/>
        </w:rPr>
        <w:t>安</w:t>
      </w:r>
      <w:r>
        <w:t xml:space="preserve"> </w:t>
      </w:r>
      <w:r>
        <w:rPr>
          <w:spacing w:val="-11"/>
        </w:rPr>
        <w:t>全信息和适当时的用户培训；</w:t>
      </w:r>
      <w:r>
        <w:rPr>
          <w:rFonts w:ascii="宋体" w:hAnsi="宋体" w:eastAsia="宋体" w:cs="宋体"/>
          <w:spacing w:val="-11"/>
        </w:rPr>
        <w:t xml:space="preserve">c) </w:t>
      </w:r>
      <w:r>
        <w:rPr>
          <w:spacing w:val="-11"/>
        </w:rPr>
        <w:t>医疗器械本身或制造过程中的</w:t>
      </w:r>
      <w:r>
        <w:rPr>
          <w:spacing w:val="-12"/>
        </w:rPr>
        <w:t>防护措施。</w:t>
      </w:r>
    </w:p>
    <w:p w14:paraId="2A35A61E">
      <w:pPr>
        <w:pStyle w:val="2"/>
        <w:spacing w:before="23" w:line="222" w:lineRule="auto"/>
        <w:ind w:left="960"/>
      </w:pPr>
      <w:r>
        <w:rPr>
          <w:spacing w:val="8"/>
        </w:rPr>
        <w:t>正确</w:t>
      </w:r>
    </w:p>
    <w:p w14:paraId="3C720E22">
      <w:pPr>
        <w:pStyle w:val="2"/>
        <w:spacing w:before="19" w:line="222" w:lineRule="auto"/>
        <w:ind w:left="960"/>
      </w:pPr>
      <w:r>
        <w:rPr>
          <w:spacing w:val="-5"/>
        </w:rPr>
        <w:t>错误【正确答案】</w:t>
      </w:r>
    </w:p>
    <w:p w14:paraId="2A8FF06E">
      <w:pPr>
        <w:pStyle w:val="2"/>
        <w:spacing w:before="6" w:line="222" w:lineRule="auto"/>
        <w:ind w:left="613"/>
      </w:pPr>
      <w:r>
        <w:rPr>
          <w:b/>
          <w:bCs/>
          <w:spacing w:val="-20"/>
        </w:rPr>
        <w:t>得分：得0分/满分2.5分正确答案：错误</w:t>
      </w:r>
    </w:p>
    <w:p w14:paraId="12C769AC">
      <w:pPr>
        <w:spacing w:line="222" w:lineRule="auto"/>
        <w:sectPr>
          <w:pgSz w:w="11910" w:h="16840"/>
          <w:pgMar w:top="564" w:right="723" w:bottom="0" w:left="689" w:header="0" w:footer="0" w:gutter="0"/>
          <w:cols w:space="720" w:num="1"/>
        </w:sectPr>
      </w:pPr>
    </w:p>
    <w:p w14:paraId="60C31AF9">
      <w:pPr>
        <w:spacing w:before="41" w:line="520" w:lineRule="exact"/>
        <w:ind w:left="600"/>
        <w:rPr>
          <w:rFonts w:ascii="宋体" w:hAnsi="宋体" w:eastAsia="宋体" w:cs="宋体"/>
          <w:sz w:val="21"/>
          <w:szCs w:val="21"/>
        </w:rPr>
      </w:pPr>
      <w:r>
        <w:rPr>
          <w:rFonts w:ascii="宋体" w:hAnsi="宋体" w:eastAsia="宋体" w:cs="宋体"/>
          <w:color w:val="FF0000"/>
          <w:position w:val="24"/>
          <w:sz w:val="21"/>
          <w:szCs w:val="21"/>
        </w:rPr>
        <w:t>解析：见GB/T42062-2022《 医疗器械风险管理对医疗器械的应用》标准原文——7.风险控制。</w:t>
      </w:r>
    </w:p>
    <w:p w14:paraId="2702ACC0">
      <w:pPr>
        <w:pStyle w:val="2"/>
        <w:spacing w:line="222" w:lineRule="auto"/>
        <w:ind w:left="600"/>
        <w:rPr>
          <w:rFonts w:ascii="宋体" w:hAnsi="宋体" w:eastAsia="宋体" w:cs="宋体"/>
          <w:sz w:val="21"/>
          <w:szCs w:val="21"/>
        </w:rPr>
      </w:pPr>
      <w:r>
        <w:rPr>
          <w:rFonts w:ascii="宋体" w:hAnsi="宋体" w:eastAsia="宋体" w:cs="宋体"/>
          <w:color w:val="FF0000"/>
          <w:spacing w:val="-3"/>
          <w:sz w:val="21"/>
          <w:szCs w:val="21"/>
        </w:rPr>
        <w:t>7.1风险控制方案分析：制造商应按下列优先顺序，使</w:t>
      </w:r>
      <w:r>
        <w:rPr>
          <w:color w:val="FF0000"/>
          <w:spacing w:val="-3"/>
          <w:sz w:val="21"/>
          <w:szCs w:val="21"/>
        </w:rPr>
        <w:t>用一</w:t>
      </w:r>
      <w:r>
        <w:rPr>
          <w:rFonts w:ascii="宋体" w:hAnsi="宋体" w:eastAsia="宋体" w:cs="宋体"/>
          <w:color w:val="FF0000"/>
          <w:spacing w:val="-3"/>
          <w:sz w:val="21"/>
          <w:szCs w:val="21"/>
        </w:rPr>
        <w:t>种或多种风险控制方案：</w:t>
      </w:r>
    </w:p>
    <w:p w14:paraId="1DD96D78">
      <w:pPr>
        <w:spacing w:before="243" w:line="212" w:lineRule="auto"/>
        <w:ind w:left="600"/>
        <w:rPr>
          <w:rFonts w:ascii="宋体" w:hAnsi="宋体" w:eastAsia="宋体" w:cs="宋体"/>
          <w:sz w:val="21"/>
          <w:szCs w:val="21"/>
        </w:rPr>
      </w:pPr>
      <w:r>
        <w:rPr>
          <w:rFonts w:ascii="Times New Roman" w:hAnsi="Times New Roman" w:eastAsia="Times New Roman" w:cs="Times New Roman"/>
          <w:color w:val="FF0000"/>
          <w:spacing w:val="-4"/>
          <w:sz w:val="21"/>
          <w:szCs w:val="21"/>
        </w:rPr>
        <w:t>a)</w:t>
      </w:r>
      <w:r>
        <w:rPr>
          <w:rFonts w:ascii="Times New Roman" w:hAnsi="Times New Roman" w:eastAsia="Times New Roman" w:cs="Times New Roman"/>
          <w:color w:val="FF0000"/>
          <w:spacing w:val="20"/>
          <w:w w:val="101"/>
          <w:sz w:val="21"/>
          <w:szCs w:val="21"/>
        </w:rPr>
        <w:t xml:space="preserve">  </w:t>
      </w:r>
      <w:r>
        <w:rPr>
          <w:rFonts w:ascii="宋体" w:hAnsi="宋体" w:eastAsia="宋体" w:cs="宋体"/>
          <w:color w:val="FF0000"/>
          <w:spacing w:val="-4"/>
          <w:sz w:val="21"/>
          <w:szCs w:val="21"/>
        </w:rPr>
        <w:t>固有安全的设计和制造；</w:t>
      </w:r>
    </w:p>
    <w:p w14:paraId="4E1EF88F">
      <w:pPr>
        <w:spacing w:before="291" w:line="487" w:lineRule="exact"/>
        <w:ind w:left="600"/>
        <w:rPr>
          <w:rFonts w:ascii="宋体" w:hAnsi="宋体" w:eastAsia="宋体" w:cs="宋体"/>
          <w:sz w:val="21"/>
          <w:szCs w:val="21"/>
        </w:rPr>
      </w:pPr>
      <w:r>
        <w:rPr>
          <w:rFonts w:ascii="宋体" w:hAnsi="宋体" w:eastAsia="宋体" w:cs="宋体"/>
          <w:color w:val="FF0000"/>
          <w:spacing w:val="-3"/>
          <w:position w:val="21"/>
          <w:sz w:val="21"/>
          <w:szCs w:val="21"/>
        </w:rPr>
        <w:t>b) 医疗器械本身或制造过程中的防护措施；</w:t>
      </w:r>
    </w:p>
    <w:p w14:paraId="49AEC282">
      <w:pPr>
        <w:spacing w:line="212" w:lineRule="auto"/>
        <w:ind w:left="600"/>
        <w:rPr>
          <w:rFonts w:ascii="宋体" w:hAnsi="宋体" w:eastAsia="宋体" w:cs="宋体"/>
          <w:sz w:val="21"/>
          <w:szCs w:val="21"/>
        </w:rPr>
      </w:pPr>
      <w:r>
        <w:rPr>
          <w:rFonts w:ascii="Times New Roman" w:hAnsi="Times New Roman" w:eastAsia="Times New Roman" w:cs="Times New Roman"/>
          <w:color w:val="FF0000"/>
          <w:spacing w:val="-5"/>
          <w:sz w:val="21"/>
          <w:szCs w:val="21"/>
        </w:rPr>
        <w:t>c)</w:t>
      </w:r>
      <w:r>
        <w:rPr>
          <w:rFonts w:ascii="Times New Roman" w:hAnsi="Times New Roman" w:eastAsia="Times New Roman" w:cs="Times New Roman"/>
          <w:color w:val="FF0000"/>
          <w:spacing w:val="21"/>
          <w:w w:val="101"/>
          <w:sz w:val="21"/>
          <w:szCs w:val="21"/>
        </w:rPr>
        <w:t xml:space="preserve">  </w:t>
      </w:r>
      <w:r>
        <w:rPr>
          <w:rFonts w:ascii="宋体" w:hAnsi="宋体" w:eastAsia="宋体" w:cs="宋体"/>
          <w:color w:val="FF0000"/>
          <w:spacing w:val="-5"/>
          <w:sz w:val="21"/>
          <w:szCs w:val="21"/>
        </w:rPr>
        <w:t>安全信息和适当时的用户培训；</w:t>
      </w:r>
    </w:p>
    <w:p w14:paraId="1983C52B">
      <w:pPr>
        <w:spacing w:before="292" w:line="233" w:lineRule="auto"/>
        <w:ind w:left="600" w:right="162"/>
        <w:rPr>
          <w:rFonts w:ascii="宋体" w:hAnsi="宋体" w:eastAsia="宋体" w:cs="宋体"/>
          <w:sz w:val="21"/>
          <w:szCs w:val="21"/>
        </w:rPr>
      </w:pPr>
      <w:r>
        <w:rPr>
          <w:rFonts w:ascii="宋体" w:hAnsi="宋体" w:eastAsia="宋体" w:cs="宋体"/>
          <w:color w:val="FF0000"/>
          <w:spacing w:val="-2"/>
          <w:sz w:val="21"/>
          <w:szCs w:val="21"/>
        </w:rPr>
        <w:t>附录A:A.2.7.1</w:t>
      </w:r>
      <w:r>
        <w:rPr>
          <w:rFonts w:ascii="宋体" w:hAnsi="宋体" w:eastAsia="宋体" w:cs="宋体"/>
          <w:color w:val="FF0000"/>
          <w:spacing w:val="-59"/>
          <w:sz w:val="21"/>
          <w:szCs w:val="21"/>
        </w:rPr>
        <w:t xml:space="preserve"> </w:t>
      </w:r>
      <w:r>
        <w:rPr>
          <w:rFonts w:ascii="宋体" w:hAnsi="宋体" w:eastAsia="宋体" w:cs="宋体"/>
          <w:color w:val="FF0000"/>
          <w:spacing w:val="-2"/>
          <w:sz w:val="21"/>
          <w:szCs w:val="21"/>
        </w:rPr>
        <w:t>风险控制方案分析--通常降低风险的途径不止一种。列出了三种机理</w:t>
      </w:r>
      <w:r>
        <w:rPr>
          <w:rFonts w:ascii="宋体" w:hAnsi="宋体" w:eastAsia="宋体" w:cs="宋体"/>
          <w:color w:val="FF0000"/>
          <w:spacing w:val="-3"/>
          <w:sz w:val="21"/>
          <w:szCs w:val="21"/>
        </w:rPr>
        <w:t>，它们都是标准的风险</w:t>
      </w:r>
      <w:r>
        <w:rPr>
          <w:rFonts w:ascii="宋体" w:hAnsi="宋体" w:eastAsia="宋体" w:cs="宋体"/>
          <w:color w:val="FF0000"/>
          <w:sz w:val="21"/>
          <w:szCs w:val="21"/>
        </w:rPr>
        <w:t xml:space="preserve"> </w:t>
      </w:r>
      <w:r>
        <w:rPr>
          <w:rFonts w:ascii="宋体" w:hAnsi="宋体" w:eastAsia="宋体" w:cs="宋体"/>
          <w:color w:val="FF0000"/>
          <w:spacing w:val="-5"/>
          <w:sz w:val="21"/>
          <w:szCs w:val="21"/>
        </w:rPr>
        <w:t>降低措施，源自ISO/IEC Guide 63:2019。其列出的优先</w:t>
      </w:r>
      <w:r>
        <w:rPr>
          <w:rFonts w:ascii="宋体" w:hAnsi="宋体" w:eastAsia="宋体" w:cs="宋体"/>
          <w:color w:val="FF0000"/>
          <w:spacing w:val="-6"/>
          <w:sz w:val="21"/>
          <w:szCs w:val="21"/>
        </w:rPr>
        <w:t>顺序很重要。</w:t>
      </w:r>
    </w:p>
    <w:p w14:paraId="56B95C4B">
      <w:pPr>
        <w:pStyle w:val="2"/>
        <w:spacing w:before="267" w:line="221" w:lineRule="auto"/>
        <w:ind w:left="3"/>
        <w:outlineLvl w:val="0"/>
      </w:pPr>
      <w:r>
        <w:rPr>
          <w:b/>
          <w:bCs/>
          <w:spacing w:val="-15"/>
        </w:rPr>
        <w:t>34、不要求每一项风险控制措施的实施都予以验证。</w:t>
      </w:r>
    </w:p>
    <w:p w14:paraId="21B51BC3">
      <w:pPr>
        <w:pStyle w:val="2"/>
        <w:spacing w:before="36" w:line="221" w:lineRule="auto"/>
        <w:ind w:left="950"/>
      </w:pPr>
      <w:r>
        <w:rPr>
          <w:spacing w:val="-4"/>
        </w:rPr>
        <w:t>正确</w:t>
      </w:r>
    </w:p>
    <w:p w14:paraId="398CDD2F">
      <w:pPr>
        <w:pStyle w:val="2"/>
        <w:spacing w:before="1" w:line="221" w:lineRule="auto"/>
        <w:ind w:left="950"/>
      </w:pPr>
      <w:r>
        <w:rPr>
          <w:spacing w:val="-5"/>
        </w:rPr>
        <w:t>错误【正确答案】</w:t>
      </w:r>
    </w:p>
    <w:p w14:paraId="45F47929">
      <w:pPr>
        <w:pStyle w:val="2"/>
        <w:spacing w:before="15" w:line="222" w:lineRule="auto"/>
        <w:ind w:left="603"/>
      </w:pPr>
      <w:r>
        <w:rPr>
          <w:b/>
          <w:bCs/>
          <w:spacing w:val="-21"/>
        </w:rPr>
        <w:t>得分：得2.5分/满分2.5分正确答案：错误</w:t>
      </w:r>
    </w:p>
    <w:p w14:paraId="6DED3118">
      <w:pPr>
        <w:spacing w:before="265" w:line="225" w:lineRule="auto"/>
        <w:ind w:left="600"/>
        <w:jc w:val="both"/>
        <w:rPr>
          <w:rFonts w:ascii="宋体" w:hAnsi="宋体" w:eastAsia="宋体" w:cs="宋体"/>
          <w:sz w:val="21"/>
          <w:szCs w:val="21"/>
        </w:rPr>
      </w:pPr>
      <w:r>
        <w:rPr>
          <w:rFonts w:ascii="宋体" w:hAnsi="宋体" w:eastAsia="宋体" w:cs="宋体"/>
          <w:color w:val="FF0404"/>
          <w:sz w:val="21"/>
          <w:szCs w:val="21"/>
        </w:rPr>
        <w:t>解析：见GB/T42062-2022《 医疗器</w:t>
      </w:r>
      <w:r>
        <w:rPr>
          <w:rFonts w:ascii="宋体" w:hAnsi="宋体" w:eastAsia="宋体" w:cs="宋体"/>
          <w:color w:val="FF0404"/>
          <w:spacing w:val="-1"/>
          <w:sz w:val="21"/>
          <w:szCs w:val="21"/>
        </w:rPr>
        <w:t>械风险管理对医疗器械的应用》标准原文——7.风险控制。7.2风险控制</w:t>
      </w:r>
      <w:r>
        <w:rPr>
          <w:rFonts w:ascii="宋体" w:hAnsi="宋体" w:eastAsia="宋体" w:cs="宋体"/>
          <w:color w:val="FF0404"/>
          <w:sz w:val="21"/>
          <w:szCs w:val="21"/>
        </w:rPr>
        <w:t xml:space="preserve"> 措施的实施：制造商应对每个风险控制措施的实施予以验证，此验证应记录在风险管</w:t>
      </w:r>
      <w:r>
        <w:rPr>
          <w:rFonts w:ascii="宋体" w:hAnsi="宋体" w:eastAsia="宋体" w:cs="宋体"/>
          <w:color w:val="FF0404"/>
          <w:spacing w:val="-1"/>
          <w:sz w:val="21"/>
          <w:szCs w:val="21"/>
        </w:rPr>
        <w:t>理文档中。并可能作为</w:t>
      </w:r>
      <w:r>
        <w:rPr>
          <w:rFonts w:ascii="宋体" w:hAnsi="宋体" w:eastAsia="宋体" w:cs="宋体"/>
          <w:color w:val="FF0404"/>
          <w:sz w:val="21"/>
          <w:szCs w:val="21"/>
        </w:rPr>
        <w:t xml:space="preserve"> </w:t>
      </w:r>
      <w:r>
        <w:rPr>
          <w:rFonts w:ascii="宋体" w:hAnsi="宋体" w:eastAsia="宋体" w:cs="宋体"/>
          <w:color w:val="FF0404"/>
          <w:spacing w:val="-2"/>
          <w:sz w:val="21"/>
          <w:szCs w:val="21"/>
        </w:rPr>
        <w:t>质量管理体系中设计和开发验证或过程鉴定的一部分。</w:t>
      </w:r>
    </w:p>
    <w:p w14:paraId="30C28655">
      <w:pPr>
        <w:pStyle w:val="2"/>
        <w:spacing w:before="247" w:line="228" w:lineRule="auto"/>
        <w:ind w:left="3" w:right="139" w:hanging="3"/>
      </w:pPr>
      <w:r>
        <w:rPr>
          <w:spacing w:val="-12"/>
        </w:rPr>
        <w:t>35</w:t>
      </w:r>
      <w:r>
        <w:rPr>
          <w:b/>
          <w:bCs/>
          <w:spacing w:val="-12"/>
        </w:rPr>
        <w:t>、如果使用风险管理计划中建立的准则，判断剩余风险是不可接受</w:t>
      </w:r>
      <w:r>
        <w:rPr>
          <w:b/>
          <w:bCs/>
          <w:spacing w:val="-13"/>
        </w:rPr>
        <w:t>的，而进一步的风险控制又不</w:t>
      </w:r>
      <w:r>
        <w:rPr>
          <w:spacing w:val="-13"/>
        </w:rPr>
        <w:t xml:space="preserve"> </w:t>
      </w:r>
      <w:r>
        <w:rPr>
          <w:b/>
          <w:bCs/>
          <w:spacing w:val="-13"/>
        </w:rPr>
        <w:t>可行，制造商可以收集和评审数据和文献，以便确定预期用途的受益是</w:t>
      </w:r>
      <w:r>
        <w:rPr>
          <w:b/>
          <w:bCs/>
          <w:spacing w:val="-14"/>
        </w:rPr>
        <w:t>否超过剩余风险。</w:t>
      </w:r>
    </w:p>
    <w:p w14:paraId="3975BA53">
      <w:pPr>
        <w:pStyle w:val="2"/>
        <w:spacing w:before="47" w:line="229" w:lineRule="auto"/>
        <w:ind w:left="950"/>
      </w:pPr>
      <w:r>
        <w:rPr>
          <w:spacing w:val="-5"/>
        </w:rPr>
        <w:t>正确【正确答案】</w:t>
      </w:r>
    </w:p>
    <w:p w14:paraId="0D9D2F31">
      <w:pPr>
        <w:pStyle w:val="2"/>
        <w:spacing w:line="221" w:lineRule="auto"/>
        <w:ind w:left="950"/>
      </w:pPr>
      <w:r>
        <w:rPr>
          <w:spacing w:val="-2"/>
        </w:rPr>
        <w:t>错误</w:t>
      </w:r>
    </w:p>
    <w:p w14:paraId="65F1F9EC">
      <w:pPr>
        <w:pStyle w:val="2"/>
        <w:spacing w:before="16" w:line="222" w:lineRule="auto"/>
        <w:ind w:left="603"/>
      </w:pPr>
      <w:r>
        <w:rPr>
          <w:b/>
          <w:bCs/>
          <w:spacing w:val="-21"/>
        </w:rPr>
        <w:t>得分：得2.5分/满分2.5分正确答案：正确</w:t>
      </w:r>
    </w:p>
    <w:p w14:paraId="3FD9A119">
      <w:pPr>
        <w:spacing w:before="263" w:line="219" w:lineRule="auto"/>
        <w:ind w:left="600"/>
        <w:rPr>
          <w:rFonts w:ascii="宋体" w:hAnsi="宋体" w:eastAsia="宋体" w:cs="宋体"/>
          <w:sz w:val="21"/>
          <w:szCs w:val="21"/>
        </w:rPr>
      </w:pPr>
      <w:r>
        <w:rPr>
          <w:rFonts w:ascii="宋体" w:hAnsi="宋体" w:eastAsia="宋体" w:cs="宋体"/>
          <w:color w:val="FF0000"/>
          <w:sz w:val="21"/>
          <w:szCs w:val="21"/>
        </w:rPr>
        <w:t>解析：见GB/T42062-2022《 医疗器械风险管理对医疗器械的应用》标准原文——7.风险控制。</w:t>
      </w:r>
    </w:p>
    <w:p w14:paraId="33644E78">
      <w:pPr>
        <w:spacing w:before="259" w:line="234" w:lineRule="auto"/>
        <w:ind w:left="600" w:right="3"/>
        <w:jc w:val="both"/>
        <w:rPr>
          <w:rFonts w:ascii="宋体" w:hAnsi="宋体" w:eastAsia="宋体" w:cs="宋体"/>
          <w:sz w:val="21"/>
          <w:szCs w:val="21"/>
        </w:rPr>
      </w:pPr>
      <w:r>
        <w:rPr>
          <w:rFonts w:ascii="宋体" w:hAnsi="宋体" w:eastAsia="宋体" w:cs="宋体"/>
          <w:color w:val="FF3838"/>
          <w:spacing w:val="-1"/>
          <w:sz w:val="21"/>
          <w:szCs w:val="21"/>
        </w:rPr>
        <w:t>7.4受益-风险分析：如果使用风险管理计划中建立的准</w:t>
      </w:r>
      <w:r>
        <w:rPr>
          <w:rFonts w:ascii="宋体" w:hAnsi="宋体" w:eastAsia="宋体" w:cs="宋体"/>
          <w:color w:val="FF3838"/>
          <w:spacing w:val="-2"/>
          <w:sz w:val="21"/>
          <w:szCs w:val="21"/>
        </w:rPr>
        <w:t>则，判定某个剩余风险是不可接受的，而进一步的风</w:t>
      </w:r>
      <w:r>
        <w:rPr>
          <w:rFonts w:ascii="宋体" w:hAnsi="宋体" w:eastAsia="宋体" w:cs="宋体"/>
          <w:color w:val="FF3838"/>
          <w:sz w:val="21"/>
          <w:szCs w:val="21"/>
        </w:rPr>
        <w:t xml:space="preserve"> </w:t>
      </w:r>
      <w:r>
        <w:rPr>
          <w:rFonts w:ascii="宋体" w:hAnsi="宋体" w:eastAsia="宋体" w:cs="宋体"/>
          <w:color w:val="FF3838"/>
          <w:spacing w:val="-1"/>
          <w:sz w:val="21"/>
          <w:szCs w:val="21"/>
        </w:rPr>
        <w:t>险控制又不可行，制造商可收集和评审数据和文献，以便确定预期用途的受益是否超过该剩余风险。如果此</w:t>
      </w:r>
      <w:r>
        <w:rPr>
          <w:rFonts w:ascii="宋体" w:hAnsi="宋体" w:eastAsia="宋体" w:cs="宋体"/>
          <w:color w:val="FF3838"/>
          <w:spacing w:val="4"/>
          <w:sz w:val="21"/>
          <w:szCs w:val="21"/>
        </w:rPr>
        <w:t xml:space="preserve"> </w:t>
      </w:r>
      <w:r>
        <w:rPr>
          <w:rFonts w:ascii="宋体" w:hAnsi="宋体" w:eastAsia="宋体" w:cs="宋体"/>
          <w:color w:val="FF3838"/>
          <w:sz w:val="21"/>
          <w:szCs w:val="21"/>
        </w:rPr>
        <w:t>项证据不支持受益超过剩余风险的结论，则制造商可考虑修改医疗器械或其预</w:t>
      </w:r>
      <w:r>
        <w:rPr>
          <w:rFonts w:ascii="宋体" w:hAnsi="宋体" w:eastAsia="宋体" w:cs="宋体"/>
          <w:color w:val="FF3838"/>
          <w:spacing w:val="-1"/>
          <w:sz w:val="21"/>
          <w:szCs w:val="21"/>
        </w:rPr>
        <w:t>期用途。否则，该风险是不可</w:t>
      </w:r>
      <w:r>
        <w:rPr>
          <w:rFonts w:ascii="宋体" w:hAnsi="宋体" w:eastAsia="宋体" w:cs="宋体"/>
          <w:color w:val="FF3838"/>
          <w:sz w:val="21"/>
          <w:szCs w:val="21"/>
        </w:rPr>
        <w:t xml:space="preserve"> </w:t>
      </w:r>
      <w:r>
        <w:rPr>
          <w:rFonts w:ascii="宋体" w:hAnsi="宋体" w:eastAsia="宋体" w:cs="宋体"/>
          <w:color w:val="FF3838"/>
          <w:spacing w:val="-8"/>
          <w:sz w:val="21"/>
          <w:szCs w:val="21"/>
        </w:rPr>
        <w:t>接受的。</w:t>
      </w:r>
    </w:p>
    <w:p w14:paraId="17EA2961">
      <w:pPr>
        <w:pStyle w:val="2"/>
        <w:spacing w:before="243" w:line="232" w:lineRule="auto"/>
        <w:ind w:left="3" w:right="165"/>
      </w:pPr>
      <w:r>
        <w:rPr>
          <w:b/>
          <w:bCs/>
          <w:spacing w:val="-13"/>
        </w:rPr>
        <w:t>36、在所有的风险控制措施经实施并验证后，制造商应使用风险管理计划中定义的方法和综合剩余</w:t>
      </w:r>
      <w:r>
        <w:rPr>
          <w:spacing w:val="-13"/>
        </w:rPr>
        <w:t xml:space="preserve"> </w:t>
      </w:r>
      <w:r>
        <w:rPr>
          <w:b/>
          <w:bCs/>
          <w:spacing w:val="-12"/>
        </w:rPr>
        <w:t>风险可接受性准则，评价医疗器械造成的综合剩</w:t>
      </w:r>
      <w:r>
        <w:rPr>
          <w:b/>
          <w:bCs/>
          <w:spacing w:val="-13"/>
        </w:rPr>
        <w:t>余风险</w:t>
      </w:r>
      <w:r>
        <w:rPr>
          <w:spacing w:val="-13"/>
        </w:rPr>
        <w:t>。</w:t>
      </w:r>
    </w:p>
    <w:p w14:paraId="33225597">
      <w:pPr>
        <w:pStyle w:val="2"/>
        <w:spacing w:before="47" w:line="236" w:lineRule="auto"/>
        <w:ind w:left="950"/>
      </w:pPr>
      <w:r>
        <w:rPr>
          <w:spacing w:val="-5"/>
        </w:rPr>
        <w:t>正确【正确答案】</w:t>
      </w:r>
    </w:p>
    <w:p w14:paraId="24DACF83">
      <w:pPr>
        <w:pStyle w:val="2"/>
        <w:spacing w:before="1" w:line="221" w:lineRule="auto"/>
        <w:ind w:left="950"/>
      </w:pPr>
      <w:r>
        <w:rPr>
          <w:spacing w:val="-2"/>
        </w:rPr>
        <w:t>错误</w:t>
      </w:r>
    </w:p>
    <w:p w14:paraId="6503A3AC">
      <w:pPr>
        <w:pStyle w:val="2"/>
        <w:spacing w:before="5" w:line="222" w:lineRule="auto"/>
        <w:ind w:left="603"/>
      </w:pPr>
      <w:r>
        <w:rPr>
          <w:b/>
          <w:bCs/>
          <w:spacing w:val="-22"/>
        </w:rPr>
        <w:t>得分：得2.5分/满分2.5分正确答案：正确</w:t>
      </w:r>
    </w:p>
    <w:p w14:paraId="33B5D77A">
      <w:pPr>
        <w:spacing w:before="264" w:line="219" w:lineRule="auto"/>
        <w:ind w:left="600"/>
        <w:rPr>
          <w:rFonts w:ascii="宋体" w:hAnsi="宋体" w:eastAsia="宋体" w:cs="宋体"/>
          <w:sz w:val="21"/>
          <w:szCs w:val="21"/>
        </w:rPr>
      </w:pPr>
      <w:r>
        <w:rPr>
          <w:rFonts w:ascii="宋体" w:hAnsi="宋体" w:eastAsia="宋体" w:cs="宋体"/>
          <w:color w:val="FF0000"/>
          <w:spacing w:val="2"/>
          <w:sz w:val="21"/>
          <w:szCs w:val="21"/>
        </w:rPr>
        <w:t>解析：见</w:t>
      </w:r>
      <w:r>
        <w:rPr>
          <w:rFonts w:ascii="宋体" w:hAnsi="宋体" w:eastAsia="宋体" w:cs="宋体"/>
          <w:color w:val="FF0000"/>
          <w:sz w:val="21"/>
          <w:szCs w:val="21"/>
        </w:rPr>
        <w:t>GB</w:t>
      </w:r>
      <w:r>
        <w:rPr>
          <w:rFonts w:ascii="宋体" w:hAnsi="宋体" w:eastAsia="宋体" w:cs="宋体"/>
          <w:color w:val="FF0000"/>
          <w:spacing w:val="2"/>
          <w:sz w:val="21"/>
          <w:szCs w:val="21"/>
        </w:rPr>
        <w:t>/T42062-2022《 医疗器械风险管理对医疗器械</w:t>
      </w:r>
      <w:r>
        <w:rPr>
          <w:rFonts w:ascii="宋体" w:hAnsi="宋体" w:eastAsia="宋体" w:cs="宋体"/>
          <w:color w:val="FF0000"/>
          <w:spacing w:val="1"/>
          <w:sz w:val="21"/>
          <w:szCs w:val="21"/>
        </w:rPr>
        <w:t>的应用》标准原文——8.</w:t>
      </w:r>
    </w:p>
    <w:p w14:paraId="36A90F0E">
      <w:pPr>
        <w:spacing w:before="248" w:line="218" w:lineRule="auto"/>
        <w:ind w:left="600"/>
        <w:rPr>
          <w:rFonts w:ascii="宋体" w:hAnsi="宋体" w:eastAsia="宋体" w:cs="宋体"/>
          <w:sz w:val="21"/>
          <w:szCs w:val="21"/>
        </w:rPr>
      </w:pPr>
      <w:r>
        <w:rPr>
          <w:rFonts w:ascii="宋体" w:hAnsi="宋体" w:eastAsia="宋体" w:cs="宋体"/>
          <w:color w:val="FF0404"/>
          <w:spacing w:val="-5"/>
          <w:sz w:val="21"/>
          <w:szCs w:val="21"/>
        </w:rPr>
        <w:t>综合剩余风险评价。</w:t>
      </w:r>
    </w:p>
    <w:p w14:paraId="0D6005B3">
      <w:pPr>
        <w:pStyle w:val="2"/>
        <w:spacing w:before="229"/>
        <w:ind w:left="3" w:right="145" w:hanging="3"/>
      </w:pPr>
      <w:r>
        <w:rPr>
          <w:spacing w:val="-12"/>
        </w:rPr>
        <w:t>3</w:t>
      </w:r>
      <w:r>
        <w:rPr>
          <w:b/>
          <w:bCs/>
          <w:spacing w:val="-12"/>
        </w:rPr>
        <w:t>7、如果综合剩余风险判定为可接受，制造商应向用</w:t>
      </w:r>
      <w:r>
        <w:rPr>
          <w:b/>
          <w:bCs/>
          <w:spacing w:val="-13"/>
        </w:rPr>
        <w:t>户告知重大的剩余风险或在随附文件中包括必</w:t>
      </w:r>
      <w:r>
        <w:rPr>
          <w:spacing w:val="-13"/>
        </w:rPr>
        <w:t xml:space="preserve"> </w:t>
      </w:r>
      <w:r>
        <w:rPr>
          <w:b/>
          <w:bCs/>
          <w:spacing w:val="-17"/>
        </w:rPr>
        <w:t>要的信息以公开这些剩余风险。</w:t>
      </w:r>
    </w:p>
    <w:p w14:paraId="448F955D">
      <w:pPr>
        <w:pStyle w:val="2"/>
        <w:spacing w:before="15" w:line="222" w:lineRule="auto"/>
        <w:ind w:left="950"/>
      </w:pPr>
      <w:r>
        <w:rPr>
          <w:spacing w:val="-4"/>
        </w:rPr>
        <w:t>正确</w:t>
      </w:r>
    </w:p>
    <w:p w14:paraId="27D4F2AB">
      <w:pPr>
        <w:pStyle w:val="2"/>
        <w:spacing w:before="20" w:line="222" w:lineRule="auto"/>
        <w:ind w:left="950"/>
      </w:pPr>
      <w:r>
        <w:rPr>
          <w:spacing w:val="-5"/>
        </w:rPr>
        <w:t>错误【正确答案】</w:t>
      </w:r>
    </w:p>
    <w:p w14:paraId="326C35A1">
      <w:pPr>
        <w:pStyle w:val="2"/>
        <w:spacing w:before="16" w:line="222" w:lineRule="auto"/>
        <w:ind w:left="603"/>
      </w:pPr>
      <w:r>
        <w:rPr>
          <w:b/>
          <w:bCs/>
          <w:spacing w:val="-20"/>
        </w:rPr>
        <w:t>得分：得0分/满分2.5分正确答案：错误</w:t>
      </w:r>
    </w:p>
    <w:p w14:paraId="78335CD9">
      <w:pPr>
        <w:spacing w:before="243" w:line="219" w:lineRule="auto"/>
        <w:ind w:left="600"/>
        <w:rPr>
          <w:rFonts w:ascii="宋体" w:hAnsi="宋体" w:eastAsia="宋体" w:cs="宋体"/>
          <w:sz w:val="21"/>
          <w:szCs w:val="21"/>
        </w:rPr>
      </w:pPr>
      <w:r>
        <w:rPr>
          <w:rFonts w:ascii="宋体" w:hAnsi="宋体" w:eastAsia="宋体" w:cs="宋体"/>
          <w:color w:val="FF0000"/>
          <w:spacing w:val="2"/>
          <w:sz w:val="21"/>
          <w:szCs w:val="21"/>
        </w:rPr>
        <w:t>解析：见</w:t>
      </w:r>
      <w:r>
        <w:rPr>
          <w:rFonts w:ascii="宋体" w:hAnsi="宋体" w:eastAsia="宋体" w:cs="宋体"/>
          <w:color w:val="FF0000"/>
          <w:sz w:val="21"/>
          <w:szCs w:val="21"/>
        </w:rPr>
        <w:t>GB</w:t>
      </w:r>
      <w:r>
        <w:rPr>
          <w:rFonts w:ascii="宋体" w:hAnsi="宋体" w:eastAsia="宋体" w:cs="宋体"/>
          <w:color w:val="FF0000"/>
          <w:spacing w:val="2"/>
          <w:sz w:val="21"/>
          <w:szCs w:val="21"/>
        </w:rPr>
        <w:t>/T42062-2022《 医疗器械风险管理对医疗器械</w:t>
      </w:r>
      <w:r>
        <w:rPr>
          <w:rFonts w:ascii="宋体" w:hAnsi="宋体" w:eastAsia="宋体" w:cs="宋体"/>
          <w:color w:val="FF0000"/>
          <w:spacing w:val="1"/>
          <w:sz w:val="21"/>
          <w:szCs w:val="21"/>
        </w:rPr>
        <w:t>的应用》标准原文——8.</w:t>
      </w:r>
    </w:p>
    <w:p w14:paraId="35E9FBC2">
      <w:pPr>
        <w:spacing w:before="288" w:line="216" w:lineRule="auto"/>
        <w:ind w:left="600" w:right="2"/>
        <w:rPr>
          <w:rFonts w:ascii="宋体" w:hAnsi="宋体" w:eastAsia="宋体" w:cs="宋体"/>
          <w:sz w:val="21"/>
          <w:szCs w:val="21"/>
        </w:rPr>
      </w:pPr>
      <w:r>
        <w:rPr>
          <w:rFonts w:ascii="宋体" w:hAnsi="宋体" w:eastAsia="宋体" w:cs="宋体"/>
          <w:color w:val="FF0404"/>
          <w:sz w:val="21"/>
          <w:szCs w:val="21"/>
        </w:rPr>
        <w:t>综合剩余风险评价。如果综合剩余风险判定为可接受，制造商应向用户告知重大</w:t>
      </w:r>
      <w:r>
        <w:rPr>
          <w:rFonts w:ascii="宋体" w:hAnsi="宋体" w:eastAsia="宋体" w:cs="宋体"/>
          <w:color w:val="FF0404"/>
          <w:spacing w:val="-1"/>
          <w:sz w:val="21"/>
          <w:szCs w:val="21"/>
        </w:rPr>
        <w:t>的剩余风险并且在随附文件</w:t>
      </w:r>
      <w:r>
        <w:rPr>
          <w:rFonts w:ascii="宋体" w:hAnsi="宋体" w:eastAsia="宋体" w:cs="宋体"/>
          <w:color w:val="FF0404"/>
          <w:sz w:val="21"/>
          <w:szCs w:val="21"/>
        </w:rPr>
        <w:t xml:space="preserve"> </w:t>
      </w:r>
      <w:r>
        <w:rPr>
          <w:rFonts w:ascii="宋体" w:hAnsi="宋体" w:eastAsia="宋体" w:cs="宋体"/>
          <w:color w:val="FF0404"/>
          <w:spacing w:val="-4"/>
          <w:sz w:val="21"/>
          <w:szCs w:val="21"/>
        </w:rPr>
        <w:t>中包括必要的信息以公开这些剩余风险。</w:t>
      </w:r>
    </w:p>
    <w:p w14:paraId="5A806837">
      <w:pPr>
        <w:spacing w:line="216" w:lineRule="auto"/>
        <w:rPr>
          <w:rFonts w:ascii="宋体" w:hAnsi="宋体" w:eastAsia="宋体" w:cs="宋体"/>
          <w:sz w:val="21"/>
          <w:szCs w:val="21"/>
        </w:rPr>
        <w:sectPr>
          <w:pgSz w:w="11910" w:h="16840"/>
          <w:pgMar w:top="566" w:right="748" w:bottom="0" w:left="699" w:header="0" w:footer="0" w:gutter="0"/>
          <w:cols w:space="720" w:num="1"/>
        </w:sectPr>
      </w:pPr>
    </w:p>
    <w:p w14:paraId="2E2D57A6">
      <w:pPr>
        <w:pStyle w:val="2"/>
        <w:spacing w:before="49" w:line="236" w:lineRule="auto"/>
        <w:ind w:right="97" w:firstLine="10"/>
        <w:rPr>
          <w:sz w:val="24"/>
          <w:szCs w:val="24"/>
        </w:rPr>
      </w:pPr>
      <w:r>
        <w:rPr>
          <w:spacing w:val="2"/>
          <w:sz w:val="24"/>
          <w:szCs w:val="24"/>
        </w:rPr>
        <w:t>38、在医疗器械商业销售发布前，制造商应对风</w:t>
      </w:r>
      <w:r>
        <w:rPr>
          <w:spacing w:val="1"/>
          <w:sz w:val="24"/>
          <w:szCs w:val="24"/>
        </w:rPr>
        <w:t>险管理计划的执行情况进行评审。评审应至少确</w:t>
      </w:r>
      <w:r>
        <w:rPr>
          <w:sz w:val="24"/>
          <w:szCs w:val="24"/>
        </w:rPr>
        <w:t xml:space="preserve">  保：风险管理计划已被适当地实施；综合剩余风险是可接受的；已有适当方法</w:t>
      </w:r>
      <w:r>
        <w:rPr>
          <w:spacing w:val="-1"/>
          <w:sz w:val="24"/>
          <w:szCs w:val="24"/>
        </w:rPr>
        <w:t>收集和评审生产和生</w:t>
      </w:r>
      <w:r>
        <w:rPr>
          <w:sz w:val="24"/>
          <w:szCs w:val="24"/>
        </w:rPr>
        <w:t xml:space="preserve"> </w:t>
      </w:r>
      <w:r>
        <w:rPr>
          <w:spacing w:val="-5"/>
          <w:sz w:val="24"/>
          <w:szCs w:val="24"/>
        </w:rPr>
        <w:t>产后阶段的信息。</w:t>
      </w:r>
    </w:p>
    <w:p w14:paraId="27A051D3">
      <w:pPr>
        <w:pStyle w:val="2"/>
        <w:spacing w:before="20" w:line="320" w:lineRule="exact"/>
        <w:ind w:left="700"/>
        <w:rPr>
          <w:sz w:val="24"/>
          <w:szCs w:val="24"/>
        </w:rPr>
      </w:pPr>
      <w:r>
        <w:rPr>
          <w:spacing w:val="8"/>
          <w:position w:val="5"/>
          <w:sz w:val="24"/>
          <w:szCs w:val="24"/>
        </w:rPr>
        <w:t>◎正确【正确答案】</w:t>
      </w:r>
    </w:p>
    <w:p w14:paraId="63DBA407">
      <w:pPr>
        <w:pStyle w:val="2"/>
        <w:spacing w:line="221" w:lineRule="auto"/>
        <w:ind w:left="960"/>
        <w:rPr>
          <w:sz w:val="24"/>
          <w:szCs w:val="24"/>
        </w:rPr>
      </w:pPr>
      <w:r>
        <w:rPr>
          <w:spacing w:val="10"/>
          <w:sz w:val="24"/>
          <w:szCs w:val="24"/>
        </w:rPr>
        <w:t>错误</w:t>
      </w:r>
    </w:p>
    <w:p w14:paraId="7589473C">
      <w:pPr>
        <w:pStyle w:val="2"/>
        <w:spacing w:before="21" w:line="222" w:lineRule="auto"/>
        <w:ind w:left="600"/>
        <w:rPr>
          <w:sz w:val="24"/>
          <w:szCs w:val="24"/>
        </w:rPr>
      </w:pPr>
      <w:r>
        <w:rPr>
          <w:spacing w:val="-10"/>
          <w:sz w:val="24"/>
          <w:szCs w:val="24"/>
        </w:rPr>
        <w:t>得分：得2.5分/满分2.5分正确答案</w:t>
      </w:r>
      <w:r>
        <w:rPr>
          <w:spacing w:val="-11"/>
          <w:sz w:val="24"/>
          <w:szCs w:val="24"/>
        </w:rPr>
        <w:t>：正确</w:t>
      </w:r>
    </w:p>
    <w:p w14:paraId="7C44B97D">
      <w:pPr>
        <w:spacing w:before="261" w:line="219" w:lineRule="auto"/>
        <w:ind w:left="620"/>
        <w:rPr>
          <w:rFonts w:ascii="宋体" w:hAnsi="宋体" w:eastAsia="宋体" w:cs="宋体"/>
          <w:sz w:val="21"/>
          <w:szCs w:val="21"/>
        </w:rPr>
      </w:pPr>
      <w:r>
        <w:rPr>
          <w:rFonts w:ascii="宋体" w:hAnsi="宋体" w:eastAsia="宋体" w:cs="宋体"/>
          <w:color w:val="E53516"/>
          <w:sz w:val="21"/>
          <w:szCs w:val="21"/>
        </w:rPr>
        <w:t>解析：见GB/T42062-2022《 医疗器械风险管理对医疗器械</w:t>
      </w:r>
      <w:r>
        <w:rPr>
          <w:rFonts w:ascii="宋体" w:hAnsi="宋体" w:eastAsia="宋体" w:cs="宋体"/>
          <w:color w:val="E53516"/>
          <w:spacing w:val="-1"/>
          <w:sz w:val="21"/>
          <w:szCs w:val="21"/>
        </w:rPr>
        <w:t>的应用》标准原文——9.风险管理评审。</w:t>
      </w:r>
    </w:p>
    <w:p w14:paraId="4AA51025">
      <w:pPr>
        <w:pStyle w:val="2"/>
        <w:spacing w:before="261" w:line="243" w:lineRule="auto"/>
        <w:ind w:right="78" w:firstLine="10"/>
        <w:rPr>
          <w:sz w:val="24"/>
          <w:szCs w:val="24"/>
        </w:rPr>
      </w:pPr>
      <w:r>
        <w:rPr>
          <w:sz w:val="24"/>
          <w:szCs w:val="24"/>
        </w:rPr>
        <w:t xml:space="preserve">39、制造商应建立、形成文件并保持一个系统，以在生产和生产后阶段主动地收集和评审与医疗器 </w:t>
      </w:r>
      <w:r>
        <w:rPr>
          <w:spacing w:val="-5"/>
          <w:sz w:val="24"/>
          <w:szCs w:val="24"/>
        </w:rPr>
        <w:t>械有关的信息。</w:t>
      </w:r>
    </w:p>
    <w:p w14:paraId="3388CF6A">
      <w:pPr>
        <w:pStyle w:val="2"/>
        <w:spacing w:before="8" w:line="320" w:lineRule="exact"/>
        <w:ind w:left="680"/>
        <w:rPr>
          <w:sz w:val="24"/>
          <w:szCs w:val="24"/>
        </w:rPr>
      </w:pPr>
      <w:r>
        <w:rPr>
          <w:spacing w:val="10"/>
          <w:position w:val="5"/>
          <w:sz w:val="24"/>
          <w:szCs w:val="24"/>
        </w:rPr>
        <w:t>◎正确【正确答案】</w:t>
      </w:r>
    </w:p>
    <w:p w14:paraId="17F80EE4">
      <w:pPr>
        <w:pStyle w:val="2"/>
        <w:spacing w:before="1" w:line="221" w:lineRule="auto"/>
        <w:ind w:left="960"/>
        <w:rPr>
          <w:sz w:val="24"/>
          <w:szCs w:val="24"/>
        </w:rPr>
      </w:pPr>
      <w:r>
        <w:rPr>
          <w:spacing w:val="15"/>
          <w:sz w:val="24"/>
          <w:szCs w:val="24"/>
        </w:rPr>
        <w:t>错误</w:t>
      </w:r>
    </w:p>
    <w:p w14:paraId="21972CCC">
      <w:pPr>
        <w:pStyle w:val="2"/>
        <w:spacing w:before="21" w:line="222" w:lineRule="auto"/>
        <w:ind w:left="600"/>
        <w:rPr>
          <w:sz w:val="24"/>
          <w:szCs w:val="24"/>
        </w:rPr>
      </w:pPr>
      <w:r>
        <w:rPr>
          <w:spacing w:val="-10"/>
          <w:sz w:val="24"/>
          <w:szCs w:val="24"/>
        </w:rPr>
        <w:t>得分：得2.5分/满分2.5分正确答案</w:t>
      </w:r>
      <w:r>
        <w:rPr>
          <w:spacing w:val="-11"/>
          <w:sz w:val="24"/>
          <w:szCs w:val="24"/>
        </w:rPr>
        <w:t>：正确</w:t>
      </w:r>
    </w:p>
    <w:p w14:paraId="55C94930">
      <w:pPr>
        <w:spacing w:before="263" w:line="220" w:lineRule="auto"/>
        <w:ind w:left="610" w:right="154" w:firstLine="10"/>
        <w:rPr>
          <w:rFonts w:ascii="宋体" w:hAnsi="宋体" w:eastAsia="宋体" w:cs="宋体"/>
          <w:sz w:val="21"/>
          <w:szCs w:val="21"/>
        </w:rPr>
      </w:pPr>
      <w:r>
        <w:rPr>
          <w:rFonts w:ascii="宋体" w:hAnsi="宋体" w:eastAsia="宋体" w:cs="宋体"/>
          <w:color w:val="E53516"/>
          <w:sz w:val="21"/>
          <w:szCs w:val="21"/>
        </w:rPr>
        <w:t>解析：见GB/T42062-2022《 医疗器械风险管理对</w:t>
      </w:r>
      <w:r>
        <w:rPr>
          <w:rFonts w:ascii="宋体" w:hAnsi="宋体" w:eastAsia="宋体" w:cs="宋体"/>
          <w:color w:val="E53516"/>
          <w:spacing w:val="-1"/>
          <w:sz w:val="21"/>
          <w:szCs w:val="21"/>
        </w:rPr>
        <w:t>医疗器械的应用》标准原文——10.生产和生产后活动。</w:t>
      </w:r>
      <w:r>
        <w:rPr>
          <w:rFonts w:ascii="宋体" w:hAnsi="宋体" w:eastAsia="宋体" w:cs="宋体"/>
          <w:color w:val="E53516"/>
          <w:sz w:val="21"/>
          <w:szCs w:val="21"/>
        </w:rPr>
        <w:t xml:space="preserve"> </w:t>
      </w:r>
      <w:r>
        <w:rPr>
          <w:rFonts w:ascii="宋体" w:hAnsi="宋体" w:eastAsia="宋体" w:cs="宋体"/>
          <w:color w:val="E53516"/>
          <w:spacing w:val="-15"/>
          <w:sz w:val="21"/>
          <w:szCs w:val="21"/>
        </w:rPr>
        <w:t>10.1总则。</w:t>
      </w:r>
    </w:p>
    <w:p w14:paraId="430A78B9">
      <w:pPr>
        <w:pStyle w:val="2"/>
        <w:spacing w:before="289" w:line="229" w:lineRule="auto"/>
        <w:ind w:left="10" w:right="21"/>
        <w:rPr>
          <w:sz w:val="24"/>
          <w:szCs w:val="24"/>
        </w:rPr>
      </w:pPr>
      <w:r>
        <w:rPr>
          <w:spacing w:val="1"/>
          <w:sz w:val="24"/>
          <w:szCs w:val="24"/>
        </w:rPr>
        <w:t>40、最重要的是要有完成风险管理任务所需知识和经验的能胜任的人。风险管理过程要求人员具备</w:t>
      </w:r>
      <w:r>
        <w:rPr>
          <w:spacing w:val="13"/>
          <w:sz w:val="24"/>
          <w:szCs w:val="24"/>
        </w:rPr>
        <w:t xml:space="preserve"> </w:t>
      </w:r>
      <w:r>
        <w:rPr>
          <w:sz w:val="24"/>
          <w:szCs w:val="24"/>
        </w:rPr>
        <w:t>下列领域的知识和经验：医疗器械是如何构成的；医疗器械是如何工作的；医疗器械是如何生产</w:t>
      </w:r>
    </w:p>
    <w:p w14:paraId="6949DC27">
      <w:pPr>
        <w:pStyle w:val="2"/>
        <w:spacing w:before="23" w:line="213" w:lineRule="auto"/>
        <w:ind w:left="20"/>
        <w:rPr>
          <w:sz w:val="24"/>
          <w:szCs w:val="24"/>
        </w:rPr>
      </w:pPr>
      <w:r>
        <w:rPr>
          <w:spacing w:val="-2"/>
          <w:sz w:val="24"/>
          <w:szCs w:val="24"/>
        </w:rPr>
        <w:t>的；医疗器械实际是如何使用的；如何应用风险管理过程。</w:t>
      </w:r>
    </w:p>
    <w:p w14:paraId="12B87EE1">
      <w:pPr>
        <w:pStyle w:val="2"/>
        <w:spacing w:before="55" w:line="238" w:lineRule="auto"/>
        <w:ind w:left="680"/>
        <w:rPr>
          <w:sz w:val="24"/>
          <w:szCs w:val="24"/>
        </w:rPr>
      </w:pPr>
      <w:r>
        <w:rPr>
          <w:spacing w:val="11"/>
          <w:sz w:val="24"/>
          <w:szCs w:val="24"/>
        </w:rPr>
        <w:t>◎正确【正确答案】</w:t>
      </w:r>
    </w:p>
    <w:p w14:paraId="46FD563A">
      <w:pPr>
        <w:pStyle w:val="2"/>
        <w:spacing w:before="1" w:line="221" w:lineRule="auto"/>
        <w:ind w:left="950"/>
        <w:rPr>
          <w:sz w:val="24"/>
          <w:szCs w:val="24"/>
        </w:rPr>
      </w:pPr>
      <w:r>
        <w:rPr>
          <w:spacing w:val="20"/>
          <w:sz w:val="24"/>
          <w:szCs w:val="24"/>
        </w:rPr>
        <w:t>错误</w:t>
      </w:r>
    </w:p>
    <w:p w14:paraId="13812921">
      <w:pPr>
        <w:pStyle w:val="2"/>
        <w:spacing w:before="31" w:line="222" w:lineRule="auto"/>
        <w:ind w:left="610"/>
        <w:rPr>
          <w:sz w:val="24"/>
          <w:szCs w:val="24"/>
        </w:rPr>
      </w:pPr>
      <w:r>
        <w:rPr>
          <w:spacing w:val="-10"/>
          <w:sz w:val="24"/>
          <w:szCs w:val="24"/>
        </w:rPr>
        <w:t>得分：得2.5分/满分2.5分正确答案：正确</w:t>
      </w:r>
    </w:p>
    <w:p w14:paraId="38EFDFA7">
      <w:pPr>
        <w:spacing w:before="222" w:line="210" w:lineRule="auto"/>
        <w:ind w:left="620"/>
        <w:rPr>
          <w:rFonts w:ascii="宋体" w:hAnsi="宋体" w:eastAsia="宋体" w:cs="宋体"/>
          <w:sz w:val="24"/>
          <w:szCs w:val="24"/>
        </w:rPr>
      </w:pPr>
      <w:r>
        <w:rPr>
          <w:rFonts w:ascii="宋体" w:hAnsi="宋体" w:eastAsia="宋体" w:cs="宋体"/>
          <w:color w:val="E53516"/>
          <w:spacing w:val="-18"/>
          <w:w w:val="97"/>
          <w:sz w:val="24"/>
          <w:szCs w:val="24"/>
        </w:rPr>
        <w:t>解析：见</w:t>
      </w:r>
      <w:r>
        <w:rPr>
          <w:rFonts w:ascii="Arial" w:hAnsi="Arial" w:eastAsia="Arial" w:cs="Arial"/>
          <w:color w:val="E53516"/>
          <w:spacing w:val="-18"/>
          <w:w w:val="97"/>
          <w:sz w:val="24"/>
          <w:szCs w:val="24"/>
        </w:rPr>
        <w:t>GB/T42062-2022</w:t>
      </w:r>
      <w:r>
        <w:rPr>
          <w:rFonts w:ascii="宋体" w:hAnsi="宋体" w:eastAsia="宋体" w:cs="宋体"/>
          <w:color w:val="E53516"/>
          <w:spacing w:val="-18"/>
          <w:w w:val="97"/>
          <w:sz w:val="24"/>
          <w:szCs w:val="24"/>
        </w:rPr>
        <w:t>《医疗器械风险管理对医疗器械</w:t>
      </w:r>
      <w:r>
        <w:rPr>
          <w:rFonts w:ascii="宋体" w:hAnsi="宋体" w:eastAsia="宋体" w:cs="宋体"/>
          <w:color w:val="E53516"/>
          <w:spacing w:val="-19"/>
          <w:w w:val="97"/>
          <w:sz w:val="24"/>
          <w:szCs w:val="24"/>
        </w:rPr>
        <w:t>的应用》标准原文——附录</w:t>
      </w:r>
      <w:r>
        <w:rPr>
          <w:rFonts w:ascii="Arial" w:hAnsi="Arial" w:eastAsia="Arial" w:cs="Arial"/>
          <w:color w:val="E53516"/>
          <w:spacing w:val="-19"/>
          <w:w w:val="97"/>
          <w:sz w:val="24"/>
          <w:szCs w:val="24"/>
        </w:rPr>
        <w:t>A—A2.4</w:t>
      </w:r>
      <w:r>
        <w:rPr>
          <w:rFonts w:ascii="宋体" w:hAnsi="宋体" w:eastAsia="宋体" w:cs="宋体"/>
          <w:color w:val="E53516"/>
          <w:spacing w:val="-19"/>
          <w:w w:val="97"/>
          <w:sz w:val="24"/>
          <w:szCs w:val="24"/>
        </w:rPr>
        <w:t>风险管理系</w:t>
      </w:r>
      <w:r>
        <w:rPr>
          <w:rFonts w:ascii="宋体" w:hAnsi="宋体" w:eastAsia="宋体" w:cs="宋体"/>
          <w:color w:val="E53516"/>
          <w:sz w:val="24"/>
          <w:szCs w:val="24"/>
        </w:rPr>
        <w:t xml:space="preserve"> </w:t>
      </w:r>
      <w:r>
        <w:rPr>
          <w:rFonts w:ascii="宋体" w:hAnsi="宋体" w:eastAsia="宋体" w:cs="宋体"/>
          <w:color w:val="E53516"/>
          <w:spacing w:val="-13"/>
          <w:sz w:val="24"/>
          <w:szCs w:val="24"/>
        </w:rPr>
        <w:t>统通用要求(人员能力)。</w:t>
      </w:r>
    </w:p>
    <w:p w14:paraId="3B893064">
      <w:pPr>
        <w:pStyle w:val="2"/>
        <w:spacing w:before="50" w:line="221" w:lineRule="auto"/>
        <w:ind w:left="3333"/>
        <w:rPr>
          <w:rFonts w:hint="eastAsia" w:eastAsia="宋体"/>
          <w:lang w:eastAsia="zh-CN"/>
        </w:rPr>
      </w:pPr>
    </w:p>
    <w:p w14:paraId="45BE0F44">
      <w:pPr>
        <w:pStyle w:val="2"/>
        <w:spacing w:before="50" w:line="221" w:lineRule="auto"/>
        <w:ind w:left="3333"/>
        <w:jc w:val="center"/>
        <w:rPr>
          <w:rFonts w:hint="eastAsia" w:eastAsia="宋体"/>
          <w:lang w:eastAsia="zh-CN"/>
        </w:rPr>
      </w:pPr>
    </w:p>
    <w:p w14:paraId="063640ED">
      <w:pPr>
        <w:pStyle w:val="2"/>
        <w:spacing w:before="50" w:line="221" w:lineRule="auto"/>
        <w:ind w:left="3333"/>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pgSz w:w="11910" w:h="16840"/>
      <w:pgMar w:top="578" w:right="800" w:bottom="0" w:left="69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c2ZGZiNzZiNDVlOGViOWVmM2JhOTY0NGJkNjUyYzgifQ=="/>
  </w:docVars>
  <w:rsids>
    <w:rsidRoot w:val="00000000"/>
    <w:rsid w:val="77003BBD"/>
    <w:rsid w:val="7E0D66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25"/>
      <w:szCs w:val="25"/>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9407</Words>
  <Characters>10381</Characters>
  <TotalTime>13</TotalTime>
  <ScaleCrop>false</ScaleCrop>
  <LinksUpToDate>false</LinksUpToDate>
  <CharactersWithSpaces>10583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2024-05-23T18:13:00Z</dcterms:created>
  <dc:creator>Administrator</dc:creator>
  <cp:lastModifiedBy>太极箫客</cp:lastModifiedBy>
  <dcterms:modified xsi:type="dcterms:W3CDTF">2025-08-14T06:16:53Z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2024-05-23T18:13:20Z</vt:filetime>
  </property>
  <property fmtid="{D5CDD505-2E9C-101B-9397-08002B2CF9AE}" pid="4" name="UsrData">
    <vt:lpwstr>664f16bb15333c001f5ffa0ewl</vt:lpwstr>
  </property>
  <property fmtid="{D5CDD505-2E9C-101B-9397-08002B2CF9AE}" pid="5" name="KSOProductBuildVer">
    <vt:lpwstr>2052-12.1.0.21915</vt:lpwstr>
  </property>
  <property fmtid="{D5CDD505-2E9C-101B-9397-08002B2CF9AE}" pid="6" name="ICV">
    <vt:lpwstr>FA935452B2444DEDA5E3C02422E0EEE5_12</vt:lpwstr>
  </property>
  <property fmtid="{D5CDD505-2E9C-101B-9397-08002B2CF9AE}" pid="7" name="KSOTemplateDocerSaveRecord">
    <vt:lpwstr>eyJoZGlkIjoiMDJiMzI3ODBiNTFmMWRjNDUyMjM1ZmZjODY5NDc2MWMiLCJ1c2VySWQiOiI0NTQ4Nzg1NzAifQ==</vt:lpwstr>
  </property>
</Properties>
</file>