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720"/>
        <w:gridCol w:w="3506"/>
        <w:gridCol w:w="994"/>
        <w:gridCol w:w="1080"/>
        <w:gridCol w:w="1080"/>
        <w:gridCol w:w="876"/>
      </w:tblGrid>
      <w:tr w14:paraId="5440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0FEE4239">
            <w:pPr>
              <w:ind w:right="-108"/>
            </w:pPr>
            <w:bookmarkStart w:id="4" w:name="_GoBack"/>
            <w:bookmarkEnd w:id="4"/>
            <w:r>
              <w:rPr>
                <w:rFonts w:hint="eastAsia"/>
              </w:rPr>
              <w:t>1</w:t>
            </w:r>
          </w:p>
        </w:tc>
        <w:tc>
          <w:tcPr>
            <w:tcW w:w="1080" w:type="dxa"/>
          </w:tcPr>
          <w:p w14:paraId="7AFF63B1">
            <w:r>
              <w:rPr>
                <w:rFonts w:hint="eastAsia"/>
              </w:rPr>
              <w:t>基本性能</w:t>
            </w:r>
          </w:p>
        </w:tc>
        <w:tc>
          <w:tcPr>
            <w:tcW w:w="720" w:type="dxa"/>
          </w:tcPr>
          <w:p w14:paraId="7E66E32E">
            <w:r>
              <w:rPr>
                <w:rFonts w:hint="eastAsia"/>
              </w:rPr>
              <w:t>201.4.3</w:t>
            </w:r>
          </w:p>
        </w:tc>
        <w:tc>
          <w:tcPr>
            <w:tcW w:w="4500" w:type="dxa"/>
            <w:gridSpan w:val="2"/>
          </w:tcPr>
          <w:p w14:paraId="71306945">
            <w:pPr>
              <w:pStyle w:val="6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hint="eastAsia" w:ascii="Times New Roman"/>
              </w:rPr>
              <w:t>增补：</w:t>
            </w:r>
          </w:p>
          <w:p w14:paraId="4198FE0D">
            <w:pPr>
              <w:pStyle w:val="6"/>
              <w:spacing w:before="156" w:beforeLines="50" w:after="156" w:afterLines="50"/>
              <w:ind w:firstLine="0" w:firstLineChars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  <w:r>
              <w:rPr>
                <w:rFonts w:hint="eastAsia" w:ascii="Times New Roman"/>
              </w:rPr>
              <w:t>1</w:t>
            </w:r>
            <w:r>
              <w:rPr>
                <w:rFonts w:ascii="Times New Roman"/>
              </w:rPr>
              <w:t>.</w:t>
            </w:r>
            <w:r>
              <w:rPr>
                <w:rFonts w:hint="eastAsia" w:ascii="Times New Roman"/>
              </w:rPr>
              <w:t>4</w:t>
            </w:r>
            <w:r>
              <w:rPr>
                <w:rFonts w:ascii="Times New Roman"/>
              </w:rPr>
              <w:t>.</w:t>
            </w:r>
            <w:r>
              <w:rPr>
                <w:rFonts w:hint="eastAsia" w:ascii="Times New Roman"/>
              </w:rPr>
              <w:t>3</w:t>
            </w:r>
            <w:r>
              <w:rPr>
                <w:rFonts w:ascii="Times New Roman"/>
              </w:rPr>
              <w:t>.</w:t>
            </w:r>
            <w:r>
              <w:rPr>
                <w:rFonts w:hint="eastAsia" w:ascii="Times New Roman"/>
              </w:rPr>
              <w:t>101</w:t>
            </w:r>
            <w:r>
              <w:rPr>
                <w:rFonts w:ascii="Times New Roman"/>
              </w:rPr>
              <w:t> </w:t>
            </w:r>
            <w:r>
              <w:rPr>
                <w:rFonts w:hint="eastAsia" w:ascii="Times New Roman"/>
              </w:rPr>
              <w:t>增补的基本性能要求</w:t>
            </w:r>
          </w:p>
          <w:p w14:paraId="7950A530">
            <w:pPr>
              <w:pStyle w:val="6"/>
              <w:jc w:val="left"/>
              <w:rPr>
                <w:rFonts w:ascii="Times New Roman"/>
              </w:rPr>
            </w:pPr>
            <w:r>
              <w:rPr>
                <w:rFonts w:hint="eastAsia" w:ascii="Times New Roman"/>
              </w:rPr>
              <w:t>增补的基本性能要求见表201.101</w:t>
            </w:r>
          </w:p>
          <w:p w14:paraId="647681BB">
            <w:pPr>
              <w:pStyle w:val="7"/>
              <w:numPr>
                <w:ilvl w:val="0"/>
                <w:numId w:val="2"/>
              </w:numPr>
              <w:rPr>
                <w:sz w:val="18"/>
                <w:szCs w:val="18"/>
              </w:rPr>
            </w:pPr>
            <w:bookmarkStart w:id="0" w:name="_Toc512688337"/>
            <w:bookmarkStart w:id="1" w:name="_Toc512688514"/>
            <w:bookmarkStart w:id="2" w:name="_Toc513814816"/>
            <w:r>
              <w:rPr>
                <w:rFonts w:hint="eastAsia"/>
                <w:sz w:val="18"/>
                <w:szCs w:val="18"/>
              </w:rPr>
              <w:t>分散的</w:t>
            </w:r>
            <w:r>
              <w:rPr>
                <w:rFonts w:hint="eastAsia" w:hAnsi="黑体"/>
                <w:sz w:val="18"/>
                <w:szCs w:val="18"/>
              </w:rPr>
              <w:t>基本性能</w:t>
            </w:r>
            <w:r>
              <w:rPr>
                <w:rFonts w:hint="eastAsia"/>
                <w:sz w:val="18"/>
                <w:szCs w:val="18"/>
              </w:rPr>
              <w:t>要求</w:t>
            </w:r>
            <w:bookmarkEnd w:id="0"/>
            <w:bookmarkEnd w:id="1"/>
            <w:bookmarkEnd w:id="2"/>
          </w:p>
          <w:tbl>
            <w:tblPr>
              <w:tblStyle w:val="4"/>
              <w:tblW w:w="0" w:type="auto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7"/>
              <w:gridCol w:w="2077"/>
            </w:tblGrid>
            <w:tr w14:paraId="346193ED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2077" w:type="dxa"/>
                  <w:tcBorders>
                    <w:top w:val="single" w:color="auto" w:sz="4" w:space="0"/>
                    <w:bottom w:val="single" w:color="auto" w:sz="8" w:space="0"/>
                  </w:tcBorders>
                </w:tcPr>
                <w:p w14:paraId="5BEF5453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要求</w:t>
                  </w:r>
                </w:p>
              </w:tc>
              <w:tc>
                <w:tcPr>
                  <w:tcW w:w="2077" w:type="dxa"/>
                  <w:tcBorders>
                    <w:top w:val="single" w:color="auto" w:sz="8" w:space="0"/>
                    <w:bottom w:val="single" w:color="auto" w:sz="8" w:space="0"/>
                  </w:tcBorders>
                </w:tcPr>
                <w:p w14:paraId="1461FCBA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章条号</w:t>
                  </w:r>
                </w:p>
              </w:tc>
            </w:tr>
            <w:tr w14:paraId="4B5BF600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2077" w:type="dxa"/>
                  <w:tcBorders>
                    <w:top w:val="single" w:color="auto" w:sz="8" w:space="0"/>
                  </w:tcBorders>
                </w:tcPr>
                <w:p w14:paraId="7FF8C1C4"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信号的重建准确度</w:t>
                  </w:r>
                </w:p>
              </w:tc>
              <w:tc>
                <w:tcPr>
                  <w:tcW w:w="2077" w:type="dxa"/>
                  <w:tcBorders>
                    <w:top w:val="single" w:color="auto" w:sz="8" w:space="0"/>
                  </w:tcBorders>
                </w:tcPr>
                <w:p w14:paraId="3AAC9EF9">
                  <w:pPr>
                    <w:rPr>
                      <w:rFonts w:ascii="宋体"/>
                    </w:rPr>
                  </w:pPr>
                  <w:r>
                    <w:rPr>
                      <w:rFonts w:ascii="宋体"/>
                    </w:rPr>
                    <w:t>201.12.1.101.1</w:t>
                  </w:r>
                </w:p>
              </w:tc>
            </w:tr>
            <w:tr w14:paraId="28CB9B5D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2077" w:type="dxa"/>
                  <w:tcBorders>
                    <w:bottom w:val="single" w:color="auto" w:sz="4" w:space="0"/>
                  </w:tcBorders>
                </w:tcPr>
                <w:p w14:paraId="112BFA38"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输入动态范围和差模偏置电压</w:t>
                  </w:r>
                </w:p>
              </w:tc>
              <w:tc>
                <w:tcPr>
                  <w:tcW w:w="2077" w:type="dxa"/>
                  <w:tcBorders>
                    <w:bottom w:val="single" w:color="auto" w:sz="4" w:space="0"/>
                  </w:tcBorders>
                </w:tcPr>
                <w:p w14:paraId="1183EB3E">
                  <w:pPr>
                    <w:rPr>
                      <w:rFonts w:ascii="宋体"/>
                    </w:rPr>
                  </w:pPr>
                  <w:r>
                    <w:rPr>
                      <w:rFonts w:ascii="宋体"/>
                    </w:rPr>
                    <w:t>201.12.1.101.2</w:t>
                  </w:r>
                </w:p>
              </w:tc>
            </w:tr>
            <w:tr w14:paraId="3D0BCE36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2077" w:type="dxa"/>
                  <w:tcBorders>
                    <w:top w:val="single" w:color="auto" w:sz="4" w:space="0"/>
                    <w:bottom w:val="single" w:color="auto" w:sz="8" w:space="0"/>
                  </w:tcBorders>
                </w:tcPr>
                <w:p w14:paraId="4D39D7FB"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输入噪声</w:t>
                  </w:r>
                </w:p>
              </w:tc>
              <w:tc>
                <w:tcPr>
                  <w:tcW w:w="2077" w:type="dxa"/>
                  <w:tcBorders>
                    <w:top w:val="single" w:color="auto" w:sz="4" w:space="0"/>
                    <w:bottom w:val="single" w:color="auto" w:sz="8" w:space="0"/>
                  </w:tcBorders>
                </w:tcPr>
                <w:p w14:paraId="0149EB09">
                  <w:pPr>
                    <w:rPr>
                      <w:rFonts w:ascii="宋体"/>
                    </w:rPr>
                  </w:pPr>
                  <w:r>
                    <w:rPr>
                      <w:rFonts w:ascii="宋体"/>
                    </w:rPr>
                    <w:t>201.12.1.101.3</w:t>
                  </w:r>
                </w:p>
              </w:tc>
            </w:tr>
            <w:tr w14:paraId="5A46A11E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2077" w:type="dxa"/>
                  <w:tcBorders>
                    <w:top w:val="single" w:color="auto" w:sz="8" w:space="0"/>
                  </w:tcBorders>
                </w:tcPr>
                <w:p w14:paraId="0F607DE5"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频率响应</w:t>
                  </w:r>
                </w:p>
              </w:tc>
              <w:tc>
                <w:tcPr>
                  <w:tcW w:w="2077" w:type="dxa"/>
                  <w:tcBorders>
                    <w:top w:val="single" w:color="auto" w:sz="8" w:space="0"/>
                  </w:tcBorders>
                </w:tcPr>
                <w:p w14:paraId="13463658">
                  <w:pPr>
                    <w:rPr>
                      <w:rFonts w:ascii="宋体"/>
                    </w:rPr>
                  </w:pPr>
                  <w:r>
                    <w:rPr>
                      <w:rFonts w:ascii="宋体"/>
                    </w:rPr>
                    <w:t>201.12.1.101.4</w:t>
                  </w:r>
                </w:p>
              </w:tc>
            </w:tr>
            <w:tr w14:paraId="4E526C6D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2077" w:type="dxa"/>
                </w:tcPr>
                <w:p w14:paraId="7A5B7457"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共模抑制</w:t>
                  </w:r>
                </w:p>
              </w:tc>
              <w:tc>
                <w:tcPr>
                  <w:tcW w:w="2077" w:type="dxa"/>
                </w:tcPr>
                <w:p w14:paraId="4B5CEEC3">
                  <w:pPr>
                    <w:rPr>
                      <w:rFonts w:ascii="宋体"/>
                    </w:rPr>
                  </w:pPr>
                  <w:r>
                    <w:rPr>
                      <w:rFonts w:ascii="宋体"/>
                    </w:rPr>
                    <w:t>201.12.1.101.5</w:t>
                  </w:r>
                </w:p>
              </w:tc>
            </w:tr>
          </w:tbl>
          <w:p w14:paraId="3EFF9A1F">
            <w:pPr>
              <w:ind w:right="840"/>
            </w:pPr>
          </w:p>
        </w:tc>
        <w:tc>
          <w:tcPr>
            <w:tcW w:w="1080" w:type="dxa"/>
            <w:vAlign w:val="center"/>
          </w:tcPr>
          <w:p w14:paraId="16F8176F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6E851B7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14:paraId="3EC0EEDA">
            <w:pPr>
              <w:jc w:val="center"/>
            </w:pPr>
          </w:p>
        </w:tc>
      </w:tr>
      <w:tr w14:paraId="5FD7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  <w:vMerge w:val="restart"/>
          </w:tcPr>
          <w:p w14:paraId="1DCFD384">
            <w:pPr>
              <w:ind w:right="-108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Merge w:val="restart"/>
          </w:tcPr>
          <w:p w14:paraId="78DC5BD4">
            <w:r>
              <w:rPr>
                <w:rFonts w:hint="eastAsia"/>
              </w:rPr>
              <w:t>ME设备试验的通用要求</w:t>
            </w:r>
          </w:p>
        </w:tc>
        <w:tc>
          <w:tcPr>
            <w:tcW w:w="720" w:type="dxa"/>
            <w:vMerge w:val="restart"/>
          </w:tcPr>
          <w:p w14:paraId="3815BBA5">
            <w:r>
              <w:rPr>
                <w:rFonts w:hint="eastAsia"/>
              </w:rPr>
              <w:t>201.5</w:t>
            </w:r>
          </w:p>
        </w:tc>
        <w:tc>
          <w:tcPr>
            <w:tcW w:w="4500" w:type="dxa"/>
            <w:gridSpan w:val="2"/>
          </w:tcPr>
          <w:p w14:paraId="14D5D629">
            <w:r>
              <w:rPr>
                <w:rFonts w:hint="eastAsia"/>
              </w:rPr>
              <w:t>除下述内容外，通用标准中的第5章适用。</w:t>
            </w:r>
          </w:p>
          <w:p w14:paraId="38BC35AC">
            <w:r>
              <w:rPr>
                <w:rFonts w:hint="eastAsia"/>
              </w:rPr>
              <w:t>201.5.4　其它条件</w:t>
            </w:r>
          </w:p>
          <w:p w14:paraId="33A91A96">
            <w:r>
              <w:rPr>
                <w:rFonts w:hint="eastAsia"/>
              </w:rPr>
              <w:t>增补：</w:t>
            </w:r>
          </w:p>
          <w:p w14:paraId="338AA195">
            <w:r>
              <w:rPr>
                <w:rFonts w:hint="eastAsia"/>
              </w:rPr>
              <w:t>aa)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除非另有说明，测试应使用制造商所指定的附件和记录材料。</w:t>
            </w:r>
          </w:p>
          <w:p w14:paraId="69514DDB">
            <w:r>
              <w:rPr>
                <w:rFonts w:hint="eastAsia"/>
              </w:rPr>
              <w:t>对于有内部电源的ME设备，如果试验结果受到内部电源电压的影响，则应使用制造商规定的最不利的内部电源电压进行试验。如果需要进行这项测试，可使用外部电池或直流供电提供所需的试验电压。</w:t>
            </w:r>
          </w:p>
          <w:p w14:paraId="6113A91E">
            <w:r>
              <w:rPr>
                <w:rFonts w:hint="eastAsia"/>
              </w:rPr>
              <w:t>除非另有规定，测试电路中的各个器件值应至少达到以下精度：</w:t>
            </w:r>
          </w:p>
          <w:p w14:paraId="4CCA1E9E">
            <w:r>
              <w:rPr>
                <w:rFonts w:hint="eastAsia"/>
              </w:rPr>
              <w:t>——电阻:±1 %；</w:t>
            </w:r>
          </w:p>
          <w:p w14:paraId="31A716A4">
            <w:r>
              <w:rPr>
                <w:rFonts w:hint="eastAsia"/>
              </w:rPr>
              <w:t>——电容器:±10 %；</w:t>
            </w:r>
          </w:p>
          <w:p w14:paraId="4BCB3920">
            <w:r>
              <w:rPr>
                <w:rFonts w:hint="eastAsia"/>
              </w:rPr>
              <w:t>——电感:±10 %；</w:t>
            </w:r>
          </w:p>
          <w:p w14:paraId="02CC4798">
            <w:r>
              <w:rPr>
                <w:rFonts w:hint="eastAsia"/>
              </w:rPr>
              <w:t>——试验电压:±1 % 。</w:t>
            </w:r>
          </w:p>
        </w:tc>
        <w:tc>
          <w:tcPr>
            <w:tcW w:w="1080" w:type="dxa"/>
            <w:vAlign w:val="center"/>
          </w:tcPr>
          <w:p w14:paraId="171D3AA8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14:paraId="1C6A1FB5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14B8DD4C">
            <w:pPr>
              <w:jc w:val="center"/>
            </w:pPr>
          </w:p>
        </w:tc>
      </w:tr>
      <w:tr w14:paraId="117F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  <w:vMerge w:val="continue"/>
          </w:tcPr>
          <w:p w14:paraId="6B42DA2F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54D764BD"/>
        </w:tc>
        <w:tc>
          <w:tcPr>
            <w:tcW w:w="720" w:type="dxa"/>
            <w:vMerge w:val="continue"/>
          </w:tcPr>
          <w:p w14:paraId="72BB649F"/>
        </w:tc>
        <w:tc>
          <w:tcPr>
            <w:tcW w:w="4500" w:type="dxa"/>
            <w:gridSpan w:val="2"/>
          </w:tcPr>
          <w:p w14:paraId="26DC8DD4">
            <w:r>
              <w:rPr>
                <w:rFonts w:hint="eastAsia"/>
              </w:rPr>
              <w:t>201.5.8　*试验顺序</w:t>
            </w:r>
          </w:p>
          <w:p w14:paraId="56A02BDF">
            <w:r>
              <w:rPr>
                <w:rFonts w:hint="eastAsia"/>
              </w:rPr>
              <w:t>修改：</w:t>
            </w:r>
          </w:p>
          <w:p w14:paraId="77CEB560">
            <w:r>
              <w:rPr>
                <w:rFonts w:hint="eastAsia"/>
              </w:rPr>
              <w:t>本文件的201.8.5.5.1和通用标准的8.5.5中要求的测试，其执行顺序应优先通用标准的8.7和8.8中描述的漏电流和电介质强度测试，且应优先于本文件的201.12.1.101中规定的测试。</w:t>
            </w:r>
          </w:p>
        </w:tc>
        <w:tc>
          <w:tcPr>
            <w:tcW w:w="1080" w:type="dxa"/>
            <w:vAlign w:val="center"/>
          </w:tcPr>
          <w:p w14:paraId="6818A89E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4CCF8FED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40EF5BF4">
            <w:pPr>
              <w:jc w:val="center"/>
            </w:pPr>
          </w:p>
        </w:tc>
      </w:tr>
      <w:tr w14:paraId="1634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2B2FB454">
            <w:pPr>
              <w:ind w:right="-108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</w:tcPr>
          <w:p w14:paraId="1222823A">
            <w:r>
              <w:rPr>
                <w:rFonts w:hint="eastAsia"/>
              </w:rPr>
              <w:t>对电击防护</w:t>
            </w:r>
          </w:p>
        </w:tc>
        <w:tc>
          <w:tcPr>
            <w:tcW w:w="720" w:type="dxa"/>
          </w:tcPr>
          <w:p w14:paraId="2C64E893">
            <w:r>
              <w:rPr>
                <w:rFonts w:hint="eastAsia"/>
              </w:rPr>
              <w:t>201.6.2</w:t>
            </w:r>
          </w:p>
        </w:tc>
        <w:tc>
          <w:tcPr>
            <w:tcW w:w="4500" w:type="dxa"/>
            <w:gridSpan w:val="2"/>
          </w:tcPr>
          <w:p w14:paraId="79286EB5">
            <w:r>
              <w:rPr>
                <w:rFonts w:hint="eastAsia"/>
              </w:rPr>
              <w:t>最后一段替换为：</w:t>
            </w:r>
          </w:p>
          <w:p w14:paraId="79DE6806">
            <w:r>
              <w:rPr>
                <w:rFonts w:hint="eastAsia"/>
              </w:rPr>
              <w:t>应用部分分类应为BF型应用部分或CF型应用部分[见通用标准的7.2.10和8.3 b）]。</w:t>
            </w:r>
          </w:p>
        </w:tc>
        <w:tc>
          <w:tcPr>
            <w:tcW w:w="1080" w:type="dxa"/>
            <w:vAlign w:val="center"/>
          </w:tcPr>
          <w:p w14:paraId="4A78E30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93614B1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44AAB48A">
            <w:pPr>
              <w:jc w:val="center"/>
            </w:pPr>
          </w:p>
        </w:tc>
      </w:tr>
      <w:tr w14:paraId="39D8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5DEF4791">
            <w:pPr>
              <w:ind w:right="-108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</w:tcPr>
          <w:p w14:paraId="3129E71F">
            <w:r>
              <w:rPr>
                <w:rFonts w:hint="eastAsia"/>
              </w:rPr>
              <w:t>运行模式</w:t>
            </w:r>
          </w:p>
        </w:tc>
        <w:tc>
          <w:tcPr>
            <w:tcW w:w="720" w:type="dxa"/>
          </w:tcPr>
          <w:p w14:paraId="33AA34DC">
            <w:r>
              <w:rPr>
                <w:rFonts w:hint="eastAsia"/>
              </w:rPr>
              <w:t>201.6.6</w:t>
            </w:r>
          </w:p>
        </w:tc>
        <w:tc>
          <w:tcPr>
            <w:tcW w:w="4500" w:type="dxa"/>
            <w:gridSpan w:val="2"/>
          </w:tcPr>
          <w:p w14:paraId="34EFF65B">
            <w:pPr>
              <w:ind w:left="-3" w:firstLine="3"/>
            </w:pPr>
            <w:r>
              <w:rPr>
                <w:rFonts w:hint="eastAsia"/>
              </w:rPr>
              <w:t>替换：</w:t>
            </w:r>
          </w:p>
          <w:p w14:paraId="14940C8F">
            <w:r>
              <w:rPr>
                <w:rFonts w:hint="eastAsia"/>
              </w:rPr>
              <w:t>ME设备分类应为连续运行。</w:t>
            </w:r>
          </w:p>
        </w:tc>
        <w:tc>
          <w:tcPr>
            <w:tcW w:w="1080" w:type="dxa"/>
            <w:vAlign w:val="center"/>
          </w:tcPr>
          <w:p w14:paraId="665C0FE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0896F95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14:paraId="22BF5CB6">
            <w:pPr>
              <w:jc w:val="center"/>
            </w:pPr>
          </w:p>
        </w:tc>
      </w:tr>
      <w:tr w14:paraId="29E6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788E64DA">
            <w:pPr>
              <w:ind w:right="-108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</w:tcPr>
          <w:p w14:paraId="50D80522">
            <w:r>
              <w:rPr>
                <w:rFonts w:hint="eastAsia"/>
              </w:rPr>
              <w:t>ME设备和可更换部件上标记的最低要求</w:t>
            </w:r>
          </w:p>
          <w:p w14:paraId="63D4E9CC"/>
        </w:tc>
        <w:tc>
          <w:tcPr>
            <w:tcW w:w="720" w:type="dxa"/>
          </w:tcPr>
          <w:p w14:paraId="473C68AD">
            <w:r>
              <w:rPr>
                <w:rFonts w:hint="eastAsia"/>
              </w:rPr>
              <w:t>201.7.2.1</w:t>
            </w:r>
          </w:p>
        </w:tc>
        <w:tc>
          <w:tcPr>
            <w:tcW w:w="4500" w:type="dxa"/>
            <w:gridSpan w:val="2"/>
          </w:tcPr>
          <w:p w14:paraId="313F5D92">
            <w:r>
              <w:rPr>
                <w:rFonts w:hint="eastAsia"/>
              </w:rPr>
              <w:t>增补：</w:t>
            </w:r>
          </w:p>
          <w:p w14:paraId="0FEE71EC">
            <w:r>
              <w:rPr>
                <w:rFonts w:hint="eastAsia"/>
              </w:rPr>
              <w:t>如果ME设备规定具备防除颤效应：</w:t>
            </w:r>
          </w:p>
          <w:p w14:paraId="5D39164D">
            <w:r>
              <w:rPr>
                <w:rFonts w:hint="eastAsia"/>
              </w:rPr>
              <w:t>ME设备部件（例如，患者电缆或传感器）规定具备防除颤效应，应根据通用标准BF型应用部分或CF型应用部分的分类，按通用标准附录D中表D.1 的符号26 或27 标记。</w:t>
            </w:r>
          </w:p>
        </w:tc>
        <w:tc>
          <w:tcPr>
            <w:tcW w:w="1080" w:type="dxa"/>
            <w:vAlign w:val="center"/>
          </w:tcPr>
          <w:p w14:paraId="77B29496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BC35103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358AD6F4">
            <w:pPr>
              <w:jc w:val="center"/>
            </w:pPr>
          </w:p>
        </w:tc>
      </w:tr>
      <w:tr w14:paraId="0115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540" w:type="dxa"/>
            <w:vMerge w:val="restart"/>
          </w:tcPr>
          <w:p w14:paraId="2BF46EC7">
            <w:pPr>
              <w:ind w:right="-108"/>
            </w:pP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  <w:vMerge w:val="restart"/>
          </w:tcPr>
          <w:p w14:paraId="3376A4E2">
            <w:r>
              <w:rPr>
                <w:rFonts w:hint="eastAsia"/>
              </w:rPr>
              <w:t>使用说明书</w:t>
            </w:r>
          </w:p>
        </w:tc>
        <w:tc>
          <w:tcPr>
            <w:tcW w:w="720" w:type="dxa"/>
            <w:vMerge w:val="restart"/>
          </w:tcPr>
          <w:p w14:paraId="6866A18E">
            <w:r>
              <w:rPr>
                <w:rFonts w:hint="eastAsia"/>
              </w:rPr>
              <w:t>201.7.9.2</w:t>
            </w:r>
          </w:p>
        </w:tc>
        <w:tc>
          <w:tcPr>
            <w:tcW w:w="4500" w:type="dxa"/>
            <w:gridSpan w:val="2"/>
          </w:tcPr>
          <w:p w14:paraId="36A832A2">
            <w:r>
              <w:rPr>
                <w:rFonts w:hint="eastAsia"/>
              </w:rPr>
              <w:t>增补条款：</w:t>
            </w:r>
          </w:p>
          <w:p w14:paraId="0C773B69">
            <w:r>
              <w:t>201.7.9.2.101 </w:t>
            </w:r>
            <w:r>
              <w:rPr>
                <w:rFonts w:hint="eastAsia"/>
              </w:rPr>
              <w:t>补充使用说明书</w:t>
            </w:r>
          </w:p>
          <w:p w14:paraId="10497E82">
            <w:r>
              <w:rPr>
                <w:rFonts w:hint="eastAsia"/>
              </w:rPr>
              <w:t>使用说明书还应包括：</w:t>
            </w:r>
          </w:p>
          <w:p w14:paraId="77CBEB1D">
            <w:r>
              <w:rPr>
                <w:rFonts w:hint="eastAsia"/>
              </w:rPr>
              <w:t>a)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预期用途/预期目的，包括使用环境。如有必要，宜通过风险分析来识别可能的误用并公开（例如：“不用于脑死亡的判定”）。</w:t>
            </w:r>
          </w:p>
        </w:tc>
        <w:tc>
          <w:tcPr>
            <w:tcW w:w="1080" w:type="dxa"/>
            <w:vAlign w:val="center"/>
          </w:tcPr>
          <w:p w14:paraId="7C7AC437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14:paraId="143EE8E9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75880E7A">
            <w:pPr>
              <w:jc w:val="center"/>
            </w:pPr>
          </w:p>
        </w:tc>
      </w:tr>
      <w:tr w14:paraId="5AC9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540" w:type="dxa"/>
            <w:vMerge w:val="continue"/>
          </w:tcPr>
          <w:p w14:paraId="4E8C2115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324A6C61"/>
        </w:tc>
        <w:tc>
          <w:tcPr>
            <w:tcW w:w="720" w:type="dxa"/>
            <w:vMerge w:val="continue"/>
          </w:tcPr>
          <w:p w14:paraId="339AE579"/>
        </w:tc>
        <w:tc>
          <w:tcPr>
            <w:tcW w:w="4500" w:type="dxa"/>
            <w:gridSpan w:val="2"/>
          </w:tcPr>
          <w:p w14:paraId="7D4FCEE8"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安全操作必要的步骤。</w:t>
            </w:r>
          </w:p>
        </w:tc>
        <w:tc>
          <w:tcPr>
            <w:tcW w:w="1080" w:type="dxa"/>
            <w:vAlign w:val="center"/>
          </w:tcPr>
          <w:p w14:paraId="0834784B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39F61007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69BF668F">
            <w:pPr>
              <w:jc w:val="center"/>
            </w:pPr>
          </w:p>
        </w:tc>
      </w:tr>
      <w:tr w14:paraId="3B22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540" w:type="dxa"/>
            <w:vMerge w:val="continue"/>
          </w:tcPr>
          <w:p w14:paraId="06C63C30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4873497D"/>
        </w:tc>
        <w:tc>
          <w:tcPr>
            <w:tcW w:w="720" w:type="dxa"/>
            <w:vMerge w:val="continue"/>
          </w:tcPr>
          <w:p w14:paraId="5B90629C"/>
        </w:tc>
        <w:tc>
          <w:tcPr>
            <w:tcW w:w="4500" w:type="dxa"/>
            <w:gridSpan w:val="2"/>
          </w:tcPr>
          <w:p w14:paraId="5D939D7F">
            <w:r>
              <w:rPr>
                <w:rFonts w:hint="eastAsia"/>
              </w:rPr>
              <w:t>c)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连接电位均衡导线的使用说明，如适用。</w:t>
            </w:r>
          </w:p>
        </w:tc>
        <w:tc>
          <w:tcPr>
            <w:tcW w:w="1080" w:type="dxa"/>
            <w:vAlign w:val="center"/>
          </w:tcPr>
          <w:p w14:paraId="14C33832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23828582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241C746D">
            <w:pPr>
              <w:jc w:val="center"/>
            </w:pPr>
          </w:p>
        </w:tc>
      </w:tr>
      <w:tr w14:paraId="2656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540" w:type="dxa"/>
            <w:vMerge w:val="continue"/>
          </w:tcPr>
          <w:p w14:paraId="16C62989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4C689479"/>
        </w:tc>
        <w:tc>
          <w:tcPr>
            <w:tcW w:w="720" w:type="dxa"/>
            <w:vMerge w:val="continue"/>
          </w:tcPr>
          <w:p w14:paraId="41A2CEDF"/>
        </w:tc>
        <w:tc>
          <w:tcPr>
            <w:tcW w:w="4500" w:type="dxa"/>
            <w:gridSpan w:val="2"/>
          </w:tcPr>
          <w:p w14:paraId="067F27A0">
            <w:r>
              <w:rPr>
                <w:rFonts w:hint="eastAsia"/>
              </w:rPr>
              <w:t>d)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电极及应用部分连接器的导电部件，包括中性电极，不宜接触其它导电部件，包括不与大地接触。</w:t>
            </w:r>
          </w:p>
        </w:tc>
        <w:tc>
          <w:tcPr>
            <w:tcW w:w="1080" w:type="dxa"/>
            <w:vAlign w:val="center"/>
          </w:tcPr>
          <w:p w14:paraId="616ADC58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42396FCF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03188A34">
            <w:pPr>
              <w:jc w:val="center"/>
            </w:pPr>
          </w:p>
        </w:tc>
      </w:tr>
      <w:tr w14:paraId="6D6A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540" w:type="dxa"/>
            <w:vMerge w:val="continue"/>
          </w:tcPr>
          <w:p w14:paraId="28B36499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2CBA0B26"/>
        </w:tc>
        <w:tc>
          <w:tcPr>
            <w:tcW w:w="720" w:type="dxa"/>
            <w:vMerge w:val="continue"/>
          </w:tcPr>
          <w:p w14:paraId="3ADF22FB"/>
        </w:tc>
        <w:tc>
          <w:tcPr>
            <w:tcW w:w="4500" w:type="dxa"/>
            <w:gridSpan w:val="2"/>
          </w:tcPr>
          <w:p w14:paraId="4C88905E">
            <w:r>
              <w:rPr>
                <w:rFonts w:hint="eastAsia"/>
              </w:rPr>
              <w:t>e)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提醒操作者关注ME设备和高频手术设备一起使用时，是否具有防止患者灼伤的防护装置的说明。应对电极和导联线等安放位置给出建议，以减少因高频手术设备中性电极连接不良而造成灼伤的危害。</w:t>
            </w:r>
          </w:p>
        </w:tc>
        <w:tc>
          <w:tcPr>
            <w:tcW w:w="1080" w:type="dxa"/>
            <w:vAlign w:val="center"/>
          </w:tcPr>
          <w:p w14:paraId="6C4D59BC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7BBA1B48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13D4933E">
            <w:pPr>
              <w:jc w:val="center"/>
            </w:pPr>
          </w:p>
        </w:tc>
      </w:tr>
      <w:tr w14:paraId="6E07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40" w:type="dxa"/>
            <w:vMerge w:val="continue"/>
          </w:tcPr>
          <w:p w14:paraId="679536F3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137B025C"/>
        </w:tc>
        <w:tc>
          <w:tcPr>
            <w:tcW w:w="720" w:type="dxa"/>
            <w:vMerge w:val="continue"/>
          </w:tcPr>
          <w:p w14:paraId="1986E982"/>
        </w:tc>
        <w:tc>
          <w:tcPr>
            <w:tcW w:w="4500" w:type="dxa"/>
            <w:gridSpan w:val="2"/>
          </w:tcPr>
          <w:p w14:paraId="6B6289E9">
            <w:r>
              <w:rPr>
                <w:rFonts w:hint="eastAsia"/>
              </w:rPr>
              <w:t>f)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*ME设备及其附件需要定期的检测。</w:t>
            </w:r>
          </w:p>
        </w:tc>
        <w:tc>
          <w:tcPr>
            <w:tcW w:w="1080" w:type="dxa"/>
            <w:vAlign w:val="center"/>
          </w:tcPr>
          <w:p w14:paraId="6B37F086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7E9341A7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35093D92">
            <w:pPr>
              <w:jc w:val="center"/>
            </w:pPr>
          </w:p>
        </w:tc>
      </w:tr>
      <w:tr w14:paraId="0963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540" w:type="dxa"/>
            <w:vMerge w:val="continue"/>
          </w:tcPr>
          <w:p w14:paraId="5E5E3B88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103F949C"/>
        </w:tc>
        <w:tc>
          <w:tcPr>
            <w:tcW w:w="720" w:type="dxa"/>
            <w:vMerge w:val="continue"/>
          </w:tcPr>
          <w:p w14:paraId="4213F4FB"/>
        </w:tc>
        <w:tc>
          <w:tcPr>
            <w:tcW w:w="4500" w:type="dxa"/>
            <w:gridSpan w:val="2"/>
          </w:tcPr>
          <w:p w14:paraId="0FE41903">
            <w:r>
              <w:rPr>
                <w:rFonts w:hint="eastAsia"/>
              </w:rPr>
              <w:t>g)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对患者使用除颤器时采取的预防措施；除颤器放电对ME设备的影响的描述；除颤防护需要使用制造商指定的附件（包括导联线和患者电缆）的警告。应公开此类附件的规格（或型号）（见201.8.5.5.1）。</w:t>
            </w:r>
          </w:p>
        </w:tc>
        <w:tc>
          <w:tcPr>
            <w:tcW w:w="1080" w:type="dxa"/>
            <w:vAlign w:val="center"/>
          </w:tcPr>
          <w:p w14:paraId="70D554E6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27396162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6F3E5D4F">
            <w:pPr>
              <w:jc w:val="center"/>
            </w:pPr>
          </w:p>
        </w:tc>
      </w:tr>
      <w:tr w14:paraId="1491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40" w:type="dxa"/>
            <w:vMerge w:val="continue"/>
          </w:tcPr>
          <w:p w14:paraId="3BA505D2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084318FD"/>
        </w:tc>
        <w:tc>
          <w:tcPr>
            <w:tcW w:w="720" w:type="dxa"/>
            <w:vMerge w:val="continue"/>
          </w:tcPr>
          <w:p w14:paraId="73FB391C"/>
        </w:tc>
        <w:tc>
          <w:tcPr>
            <w:tcW w:w="4500" w:type="dxa"/>
            <w:gridSpan w:val="2"/>
          </w:tcPr>
          <w:p w14:paraId="0B30B0CB">
            <w:r>
              <w:rPr>
                <w:rFonts w:hint="eastAsia"/>
              </w:rPr>
              <w:t>h)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指定患者电缆和导联线的选择及使用方法；电极的选择和使用方法。</w:t>
            </w:r>
          </w:p>
        </w:tc>
        <w:tc>
          <w:tcPr>
            <w:tcW w:w="1080" w:type="dxa"/>
            <w:vAlign w:val="center"/>
          </w:tcPr>
          <w:p w14:paraId="510ACB61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29E9D44F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3AC34061">
            <w:pPr>
              <w:jc w:val="center"/>
            </w:pPr>
          </w:p>
        </w:tc>
      </w:tr>
      <w:tr w14:paraId="0C14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40" w:type="dxa"/>
            <w:vMerge w:val="continue"/>
          </w:tcPr>
          <w:p w14:paraId="315C7BFB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14E33519"/>
        </w:tc>
        <w:tc>
          <w:tcPr>
            <w:tcW w:w="720" w:type="dxa"/>
            <w:vMerge w:val="continue"/>
          </w:tcPr>
          <w:p w14:paraId="74F74EE4"/>
        </w:tc>
        <w:tc>
          <w:tcPr>
            <w:tcW w:w="4500" w:type="dxa"/>
            <w:gridSpan w:val="2"/>
          </w:tcPr>
          <w:p w14:paraId="104BD361">
            <w:r>
              <w:rPr>
                <w:rFonts w:hint="eastAsia"/>
              </w:rPr>
              <w:t>i)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供电网中断超过30 s 后ME设备随后的运行（见201.11.8）。</w:t>
            </w:r>
          </w:p>
        </w:tc>
        <w:tc>
          <w:tcPr>
            <w:tcW w:w="1080" w:type="dxa"/>
            <w:vAlign w:val="center"/>
          </w:tcPr>
          <w:p w14:paraId="4CB31ACB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7780B75B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63CA8CAF">
            <w:pPr>
              <w:jc w:val="center"/>
            </w:pPr>
          </w:p>
        </w:tc>
      </w:tr>
      <w:tr w14:paraId="4C49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540" w:type="dxa"/>
            <w:vMerge w:val="continue"/>
          </w:tcPr>
          <w:p w14:paraId="71E05B4F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1F9CB181"/>
        </w:tc>
        <w:tc>
          <w:tcPr>
            <w:tcW w:w="720" w:type="dxa"/>
            <w:vMerge w:val="continue"/>
          </w:tcPr>
          <w:p w14:paraId="113B6248"/>
        </w:tc>
        <w:tc>
          <w:tcPr>
            <w:tcW w:w="4500" w:type="dxa"/>
            <w:gridSpan w:val="2"/>
          </w:tcPr>
          <w:p w14:paraId="7FE22A55">
            <w:r>
              <w:rPr>
                <w:rFonts w:hint="eastAsia"/>
              </w:rPr>
              <w:t>j)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由于同时使用其他带患者连接的ME设备而引发的任何危险（例如，心脏起搏器或其他电刺激器）。</w:t>
            </w:r>
          </w:p>
          <w:p w14:paraId="2D80B8B8"/>
          <w:p w14:paraId="6F3DDCB7"/>
        </w:tc>
        <w:tc>
          <w:tcPr>
            <w:tcW w:w="1080" w:type="dxa"/>
            <w:vAlign w:val="center"/>
          </w:tcPr>
          <w:p w14:paraId="22F6E55A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661132E4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68892CA8">
            <w:pPr>
              <w:jc w:val="center"/>
            </w:pPr>
          </w:p>
        </w:tc>
      </w:tr>
      <w:tr w14:paraId="230E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40" w:type="dxa"/>
            <w:vMerge w:val="restart"/>
          </w:tcPr>
          <w:p w14:paraId="717EBA64">
            <w:pPr>
              <w:ind w:right="-108"/>
            </w:pPr>
            <w:r>
              <w:rPr>
                <w:rFonts w:hint="eastAsia"/>
              </w:rPr>
              <w:t>续6</w:t>
            </w:r>
          </w:p>
        </w:tc>
        <w:tc>
          <w:tcPr>
            <w:tcW w:w="1080" w:type="dxa"/>
            <w:vMerge w:val="restart"/>
          </w:tcPr>
          <w:p w14:paraId="38A6E7D2">
            <w:r>
              <w:rPr>
                <w:rFonts w:hint="eastAsia"/>
              </w:rPr>
              <w:t>使用说明书</w:t>
            </w:r>
          </w:p>
        </w:tc>
        <w:tc>
          <w:tcPr>
            <w:tcW w:w="720" w:type="dxa"/>
            <w:vMerge w:val="restart"/>
          </w:tcPr>
          <w:p w14:paraId="457DDF4D">
            <w:r>
              <w:rPr>
                <w:rFonts w:hint="eastAsia"/>
              </w:rPr>
              <w:t>201.7.9.2</w:t>
            </w:r>
          </w:p>
        </w:tc>
        <w:tc>
          <w:tcPr>
            <w:tcW w:w="4500" w:type="dxa"/>
            <w:gridSpan w:val="2"/>
          </w:tcPr>
          <w:p w14:paraId="2BA08792">
            <w:r>
              <w:rPr>
                <w:rFonts w:hint="eastAsia"/>
              </w:rPr>
              <w:t>k)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ME设备的技术说明书要足够详细，要考虑</w:t>
            </w:r>
          </w:p>
        </w:tc>
        <w:tc>
          <w:tcPr>
            <w:tcW w:w="1080" w:type="dxa"/>
            <w:vAlign w:val="center"/>
          </w:tcPr>
          <w:p w14:paraId="44367F04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14:paraId="3785382D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14:paraId="6C8267BA">
            <w:pPr>
              <w:jc w:val="center"/>
            </w:pPr>
          </w:p>
        </w:tc>
      </w:tr>
      <w:tr w14:paraId="68CA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540" w:type="dxa"/>
            <w:vMerge w:val="continue"/>
          </w:tcPr>
          <w:p w14:paraId="763C182F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0673846D"/>
        </w:tc>
        <w:tc>
          <w:tcPr>
            <w:tcW w:w="720" w:type="dxa"/>
            <w:vMerge w:val="continue"/>
          </w:tcPr>
          <w:p w14:paraId="306EC3E4"/>
        </w:tc>
        <w:tc>
          <w:tcPr>
            <w:tcW w:w="4500" w:type="dxa"/>
            <w:gridSpan w:val="2"/>
          </w:tcPr>
          <w:p w14:paraId="0B7EA44E">
            <w:r>
              <w:rPr>
                <w:rFonts w:hint="eastAsia"/>
              </w:rPr>
              <w:t>让操作者了解在测量什么和有何限制，至少要包括：</w:t>
            </w:r>
          </w:p>
          <w:p w14:paraId="21F77AEB">
            <w:r>
              <w:rPr>
                <w:rFonts w:hint="eastAsia"/>
              </w:rPr>
              <w:t>——频率范围和带宽；</w:t>
            </w:r>
          </w:p>
          <w:p w14:paraId="4D90C8A7">
            <w:r>
              <w:rPr>
                <w:rFonts w:hint="eastAsia"/>
              </w:rPr>
              <w:t>——所有功能的描述；</w:t>
            </w:r>
          </w:p>
          <w:p w14:paraId="50544A9D">
            <w:r>
              <w:rPr>
                <w:rFonts w:hint="eastAsia"/>
              </w:rPr>
              <w:t>——波形显示的描述（如适用）。</w:t>
            </w:r>
          </w:p>
        </w:tc>
        <w:tc>
          <w:tcPr>
            <w:tcW w:w="1080" w:type="dxa"/>
            <w:vAlign w:val="center"/>
          </w:tcPr>
          <w:p w14:paraId="1C22C4B7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3CC5B9FE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31F3CE0A">
            <w:pPr>
              <w:jc w:val="center"/>
            </w:pPr>
          </w:p>
        </w:tc>
      </w:tr>
      <w:tr w14:paraId="2C2D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40" w:type="dxa"/>
            <w:vMerge w:val="continue"/>
          </w:tcPr>
          <w:p w14:paraId="4D727647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02DD476F"/>
        </w:tc>
        <w:tc>
          <w:tcPr>
            <w:tcW w:w="720" w:type="dxa"/>
            <w:vMerge w:val="continue"/>
          </w:tcPr>
          <w:p w14:paraId="2D96CF26"/>
        </w:tc>
        <w:tc>
          <w:tcPr>
            <w:tcW w:w="4500" w:type="dxa"/>
            <w:gridSpan w:val="2"/>
          </w:tcPr>
          <w:p w14:paraId="156F5646">
            <w:r>
              <w:rPr>
                <w:rFonts w:hint="eastAsia"/>
              </w:rPr>
              <w:t>l)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*任何已知的对电磁现象的敏感性。</w:t>
            </w:r>
          </w:p>
        </w:tc>
        <w:tc>
          <w:tcPr>
            <w:tcW w:w="1080" w:type="dxa"/>
            <w:vAlign w:val="center"/>
          </w:tcPr>
          <w:p w14:paraId="7985D880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1E24D682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45F36F0C">
            <w:pPr>
              <w:jc w:val="center"/>
            </w:pPr>
          </w:p>
        </w:tc>
      </w:tr>
      <w:tr w14:paraId="266A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7148E90C">
            <w:pPr>
              <w:ind w:right="-108"/>
            </w:pPr>
            <w:r>
              <w:rPr>
                <w:rFonts w:hint="eastAsia"/>
              </w:rPr>
              <w:t>7</w:t>
            </w:r>
          </w:p>
        </w:tc>
        <w:tc>
          <w:tcPr>
            <w:tcW w:w="1080" w:type="dxa"/>
          </w:tcPr>
          <w:p w14:paraId="00573526">
            <w:r>
              <w:rPr>
                <w:rFonts w:hint="eastAsia"/>
              </w:rPr>
              <w:t>电击防护的基本原则</w:t>
            </w:r>
          </w:p>
        </w:tc>
        <w:tc>
          <w:tcPr>
            <w:tcW w:w="720" w:type="dxa"/>
          </w:tcPr>
          <w:p w14:paraId="221BDF75">
            <w:r>
              <w:rPr>
                <w:rFonts w:hint="eastAsia"/>
              </w:rPr>
              <w:t>201.8.1</w:t>
            </w:r>
          </w:p>
        </w:tc>
        <w:tc>
          <w:tcPr>
            <w:tcW w:w="4500" w:type="dxa"/>
            <w:gridSpan w:val="2"/>
          </w:tcPr>
          <w:p w14:paraId="52AF6A19">
            <w:r>
              <w:rPr>
                <w:rFonts w:hint="eastAsia"/>
              </w:rPr>
              <w:t>增补：</w:t>
            </w:r>
          </w:p>
          <w:p w14:paraId="5572B7CF">
            <w:r>
              <w:rPr>
                <w:rFonts w:hint="eastAsia"/>
              </w:rPr>
              <w:t>201.8.101　多用途通道</w:t>
            </w:r>
          </w:p>
          <w:p w14:paraId="0E0B839F">
            <w:r>
              <w:rPr>
                <w:rFonts w:hint="eastAsia"/>
              </w:rPr>
              <w:t>如果脑电图机允许使用通道检测其他非EEG信号，那么这个设备应通过相关标准条款的测试。</w:t>
            </w:r>
          </w:p>
        </w:tc>
        <w:tc>
          <w:tcPr>
            <w:tcW w:w="1080" w:type="dxa"/>
            <w:vAlign w:val="center"/>
          </w:tcPr>
          <w:p w14:paraId="04D7C5A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C4524C3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32DC6917">
            <w:pPr>
              <w:jc w:val="center"/>
            </w:pPr>
          </w:p>
        </w:tc>
      </w:tr>
      <w:tr w14:paraId="7EAF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0ACE5147">
            <w:pPr>
              <w:ind w:right="-108"/>
            </w:pPr>
            <w:r>
              <w:rPr>
                <w:rFonts w:hint="eastAsia"/>
              </w:rPr>
              <w:t>8</w:t>
            </w:r>
          </w:p>
        </w:tc>
        <w:tc>
          <w:tcPr>
            <w:tcW w:w="1080" w:type="dxa"/>
          </w:tcPr>
          <w:p w14:paraId="41E2E244">
            <w:r>
              <w:rPr>
                <w:rFonts w:hint="eastAsia"/>
              </w:rPr>
              <w:t>应用部分的分类</w:t>
            </w:r>
          </w:p>
        </w:tc>
        <w:tc>
          <w:tcPr>
            <w:tcW w:w="720" w:type="dxa"/>
          </w:tcPr>
          <w:p w14:paraId="084FABEF">
            <w:r>
              <w:rPr>
                <w:rFonts w:hint="eastAsia"/>
              </w:rPr>
              <w:t>201.8.3</w:t>
            </w:r>
          </w:p>
        </w:tc>
        <w:tc>
          <w:tcPr>
            <w:tcW w:w="4500" w:type="dxa"/>
            <w:gridSpan w:val="2"/>
          </w:tcPr>
          <w:p w14:paraId="7796A10A">
            <w:r>
              <w:rPr>
                <w:rFonts w:hint="eastAsia"/>
              </w:rPr>
              <w:t>201.8.3　应用部分的分类</w:t>
            </w:r>
          </w:p>
          <w:p w14:paraId="5F83EBE8">
            <w:r>
              <w:rPr>
                <w:rFonts w:hint="eastAsia"/>
              </w:rPr>
              <w:t>a）、b）、c）项的替换：</w:t>
            </w:r>
          </w:p>
          <w:p w14:paraId="5186B1B8">
            <w:r>
              <w:rPr>
                <w:rFonts w:hint="eastAsia"/>
              </w:rPr>
              <w:t>ME设备应用部分应为BF型应用部分或CF型应用部分。</w:t>
            </w:r>
          </w:p>
        </w:tc>
        <w:tc>
          <w:tcPr>
            <w:tcW w:w="1080" w:type="dxa"/>
            <w:vAlign w:val="center"/>
          </w:tcPr>
          <w:p w14:paraId="23A206E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F2E7384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2E3B03C4">
            <w:pPr>
              <w:jc w:val="center"/>
            </w:pPr>
          </w:p>
        </w:tc>
      </w:tr>
      <w:tr w14:paraId="3AE9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70FFCB63">
            <w:pPr>
              <w:ind w:right="-108"/>
            </w:pPr>
            <w:r>
              <w:rPr>
                <w:rFonts w:hint="eastAsia"/>
              </w:rPr>
              <w:t>9</w:t>
            </w:r>
          </w:p>
        </w:tc>
        <w:tc>
          <w:tcPr>
            <w:tcW w:w="1080" w:type="dxa"/>
          </w:tcPr>
          <w:p w14:paraId="0A50D2A1">
            <w:r>
              <w:rPr>
                <w:rFonts w:hint="eastAsia"/>
              </w:rPr>
              <w:t>患者导联</w:t>
            </w:r>
          </w:p>
        </w:tc>
        <w:tc>
          <w:tcPr>
            <w:tcW w:w="720" w:type="dxa"/>
          </w:tcPr>
          <w:p w14:paraId="6F1366B3">
            <w:r>
              <w:rPr>
                <w:rFonts w:hint="eastAsia"/>
              </w:rPr>
              <w:t>201.8.5.2.3</w:t>
            </w:r>
          </w:p>
        </w:tc>
        <w:tc>
          <w:tcPr>
            <w:tcW w:w="4500" w:type="dxa"/>
            <w:gridSpan w:val="2"/>
          </w:tcPr>
          <w:p w14:paraId="33376EB6">
            <w:r>
              <w:rPr>
                <w:rFonts w:hint="eastAsia"/>
              </w:rPr>
              <w:t>增补：</w:t>
            </w:r>
          </w:p>
          <w:p w14:paraId="7BCB9B61">
            <w:r>
              <w:rPr>
                <w:rFonts w:hint="eastAsia"/>
              </w:rPr>
              <w:t>注101：对于EMC（电磁兼容性）和物理电缆管理，脑电图机的导联通常都是比较短而且绑在一起。因此任何脱落的导联都会在病人头部的附近，所以对于连接到电极（患者端）的导联的传导连接部分没有额外的要求。</w:t>
            </w:r>
          </w:p>
        </w:tc>
        <w:tc>
          <w:tcPr>
            <w:tcW w:w="1080" w:type="dxa"/>
            <w:vAlign w:val="center"/>
          </w:tcPr>
          <w:p w14:paraId="34A8CD2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5A47253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45C80EC7">
            <w:pPr>
              <w:jc w:val="center"/>
            </w:pPr>
          </w:p>
        </w:tc>
      </w:tr>
      <w:tr w14:paraId="57BD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8" w:hRule="atLeast"/>
          <w:jc w:val="center"/>
        </w:trPr>
        <w:tc>
          <w:tcPr>
            <w:tcW w:w="540" w:type="dxa"/>
            <w:vMerge w:val="restart"/>
          </w:tcPr>
          <w:p w14:paraId="28115DFF">
            <w:pPr>
              <w:ind w:right="-108"/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Merge w:val="restart"/>
          </w:tcPr>
          <w:p w14:paraId="7AFD47F0">
            <w:r>
              <w:rPr>
                <w:rFonts w:hint="eastAsia"/>
              </w:rPr>
              <w:t>防除颤应用部分</w:t>
            </w:r>
          </w:p>
        </w:tc>
        <w:tc>
          <w:tcPr>
            <w:tcW w:w="720" w:type="dxa"/>
            <w:vMerge w:val="restart"/>
          </w:tcPr>
          <w:p w14:paraId="429D54CD">
            <w:r>
              <w:t>201.8.</w:t>
            </w:r>
            <w:r>
              <w:rPr>
                <w:rFonts w:hint="eastAsia"/>
              </w:rPr>
              <w:t>5.5</w:t>
            </w:r>
          </w:p>
        </w:tc>
        <w:tc>
          <w:tcPr>
            <w:tcW w:w="4500" w:type="dxa"/>
            <w:gridSpan w:val="2"/>
          </w:tcPr>
          <w:p w14:paraId="7D2C4F09">
            <w:r>
              <w:rPr>
                <w:rFonts w:hint="eastAsia"/>
              </w:rPr>
              <w:t>增补：</w:t>
            </w:r>
          </w:p>
          <w:p w14:paraId="732C3A07">
            <w:r>
              <w:rPr>
                <w:rFonts w:hint="eastAsia"/>
              </w:rPr>
              <w:t>如果ME设备提供除颤效应的防护，下列各项测试应被执行：</w:t>
            </w:r>
          </w:p>
          <w:p w14:paraId="60713096">
            <w:r>
              <w:rPr>
                <w:rFonts w:hint="eastAsia"/>
              </w:rPr>
              <w:t>进行ME设备的除颤试验时，使用制造商指定的患者电缆。</w:t>
            </w:r>
          </w:p>
          <w:p w14:paraId="3C946237">
            <w:r>
              <w:rPr>
                <w:rFonts w:hint="eastAsia"/>
              </w:rPr>
              <w:t>除通用标准8.5.5.1 规定的要求和试验外，以下要求和试验适用。</w:t>
            </w:r>
          </w:p>
          <w:p w14:paraId="538F2C6E">
            <w:r>
              <w:rPr>
                <w:rFonts w:hint="eastAsia"/>
              </w:rPr>
              <w:t>共模试验</w:t>
            </w:r>
          </w:p>
          <w:p w14:paraId="3FD100B5">
            <w:r>
              <w:rPr>
                <w:rFonts w:hint="eastAsia"/>
              </w:rPr>
              <w:t>增补：</w:t>
            </w:r>
          </w:p>
          <w:p w14:paraId="0169841B">
            <w:r>
              <w:rPr>
                <w:rFonts w:hint="eastAsia"/>
              </w:rPr>
              <w:t xml:space="preserve">ME设备应在承受除颤电压后的30 s内恢复至上一个运行模式的正常运行状态，    </w:t>
            </w:r>
          </w:p>
          <w:p w14:paraId="76523B46">
            <w:pPr>
              <w:ind w:firstLine="3570" w:firstLineChars="1700"/>
            </w:pPr>
            <w:r>
              <w:rPr>
                <w:rFonts w:hint="eastAsia"/>
              </w:rPr>
              <w:t>单位：s</w:t>
            </w:r>
          </w:p>
        </w:tc>
        <w:tc>
          <w:tcPr>
            <w:tcW w:w="1080" w:type="dxa"/>
            <w:vAlign w:val="center"/>
          </w:tcPr>
          <w:p w14:paraId="3D204254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14:paraId="2C065C99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14:paraId="31A263A9">
            <w:pPr>
              <w:jc w:val="center"/>
            </w:pPr>
          </w:p>
        </w:tc>
      </w:tr>
      <w:tr w14:paraId="6A9B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540" w:type="dxa"/>
            <w:vMerge w:val="continue"/>
          </w:tcPr>
          <w:p w14:paraId="56F25C29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6E0F0FCF"/>
        </w:tc>
        <w:tc>
          <w:tcPr>
            <w:tcW w:w="720" w:type="dxa"/>
            <w:vMerge w:val="continue"/>
          </w:tcPr>
          <w:p w14:paraId="557BAB48"/>
        </w:tc>
        <w:tc>
          <w:tcPr>
            <w:tcW w:w="4500" w:type="dxa"/>
            <w:gridSpan w:val="2"/>
          </w:tcPr>
          <w:p w14:paraId="6D1BB4B0">
            <w:r>
              <w:rPr>
                <w:rFonts w:hint="eastAsia"/>
              </w:rPr>
              <w:t>且不会丢失任何操作者设置或储存数据，并应能继续提供本文件中规定的预期功能。</w:t>
            </w:r>
          </w:p>
        </w:tc>
        <w:tc>
          <w:tcPr>
            <w:tcW w:w="1080" w:type="dxa"/>
            <w:vAlign w:val="center"/>
          </w:tcPr>
          <w:p w14:paraId="3360DF5F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18F8AC27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370ECF17">
            <w:pPr>
              <w:jc w:val="center"/>
            </w:pPr>
          </w:p>
        </w:tc>
      </w:tr>
      <w:tr w14:paraId="48C1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540" w:type="dxa"/>
            <w:vMerge w:val="restart"/>
          </w:tcPr>
          <w:p w14:paraId="5001BE45">
            <w:pPr>
              <w:ind w:right="-108"/>
            </w:pPr>
            <w:r>
              <w:rPr>
                <w:rFonts w:hint="eastAsia"/>
              </w:rPr>
              <w:t>续10</w:t>
            </w:r>
          </w:p>
        </w:tc>
        <w:tc>
          <w:tcPr>
            <w:tcW w:w="1080" w:type="dxa"/>
            <w:vMerge w:val="restart"/>
          </w:tcPr>
          <w:p w14:paraId="0B30D8A0">
            <w:r>
              <w:rPr>
                <w:rFonts w:hint="eastAsia"/>
              </w:rPr>
              <w:t>防除颤应用部分</w:t>
            </w:r>
          </w:p>
        </w:tc>
        <w:tc>
          <w:tcPr>
            <w:tcW w:w="720" w:type="dxa"/>
            <w:vMerge w:val="restart"/>
          </w:tcPr>
          <w:p w14:paraId="72F45960">
            <w:r>
              <w:t>201.8.</w:t>
            </w:r>
            <w:r>
              <w:rPr>
                <w:rFonts w:hint="eastAsia"/>
              </w:rPr>
              <w:t>5.5</w:t>
            </w:r>
          </w:p>
        </w:tc>
        <w:tc>
          <w:tcPr>
            <w:tcW w:w="4500" w:type="dxa"/>
            <w:gridSpan w:val="2"/>
          </w:tcPr>
          <w:p w14:paraId="411D9BF4">
            <w:r>
              <w:rPr>
                <w:rFonts w:hint="eastAsia"/>
              </w:rPr>
              <w:t>差模试验</w:t>
            </w:r>
          </w:p>
          <w:p w14:paraId="1EA5A497">
            <w:r>
              <w:rPr>
                <w:rFonts w:hint="eastAsia"/>
              </w:rPr>
              <w:t>增补：</w:t>
            </w:r>
          </w:p>
          <w:p w14:paraId="4F798237">
            <w:r>
              <w:rPr>
                <w:rFonts w:hint="eastAsia"/>
              </w:rPr>
              <w:t>ME设备应在承受除颤电压后的30 s内恢复至上一个运行模式的正常运行状态，    单位：s</w:t>
            </w:r>
          </w:p>
        </w:tc>
        <w:tc>
          <w:tcPr>
            <w:tcW w:w="1080" w:type="dxa"/>
            <w:vAlign w:val="center"/>
          </w:tcPr>
          <w:p w14:paraId="590EBB32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14:paraId="4DA9124B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14:paraId="2B964DF4">
            <w:pPr>
              <w:jc w:val="center"/>
            </w:pPr>
          </w:p>
        </w:tc>
      </w:tr>
      <w:tr w14:paraId="3FB6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540" w:type="dxa"/>
            <w:vMerge w:val="continue"/>
          </w:tcPr>
          <w:p w14:paraId="52765ECA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012BCAE9"/>
        </w:tc>
        <w:tc>
          <w:tcPr>
            <w:tcW w:w="720" w:type="dxa"/>
            <w:vMerge w:val="continue"/>
          </w:tcPr>
          <w:p w14:paraId="338683D3"/>
        </w:tc>
        <w:tc>
          <w:tcPr>
            <w:tcW w:w="4500" w:type="dxa"/>
            <w:gridSpan w:val="2"/>
          </w:tcPr>
          <w:p w14:paraId="368CA384">
            <w:r>
              <w:rPr>
                <w:rFonts w:hint="eastAsia"/>
              </w:rPr>
              <w:t>且不会丢失任何操作者设置或储存数据，并应能继续提供本文件中规定的预期功能。</w:t>
            </w:r>
          </w:p>
          <w:p w14:paraId="1B3F914A">
            <w:r>
              <w:rPr>
                <w:rFonts w:hint="eastAsia"/>
              </w:rPr>
              <w:t>能通过供电网充电的含内部电源的ME设备，若和供电网连接时可运行，则应在和供电网连接、未和供电网连接时分别进行试验。</w:t>
            </w:r>
          </w:p>
        </w:tc>
        <w:tc>
          <w:tcPr>
            <w:tcW w:w="1080" w:type="dxa"/>
            <w:vAlign w:val="center"/>
          </w:tcPr>
          <w:p w14:paraId="69D5ED19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506ECEF9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68771181">
            <w:pPr>
              <w:jc w:val="center"/>
            </w:pPr>
          </w:p>
        </w:tc>
      </w:tr>
      <w:tr w14:paraId="7A4A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  <w:vMerge w:val="continue"/>
          </w:tcPr>
          <w:p w14:paraId="3546349A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3CB67B44"/>
        </w:tc>
        <w:tc>
          <w:tcPr>
            <w:tcW w:w="720" w:type="dxa"/>
            <w:vMerge w:val="continue"/>
          </w:tcPr>
          <w:p w14:paraId="58CDAEC4"/>
        </w:tc>
        <w:tc>
          <w:tcPr>
            <w:tcW w:w="4500" w:type="dxa"/>
            <w:gridSpan w:val="2"/>
          </w:tcPr>
          <w:p w14:paraId="3E407260">
            <w:r>
              <w:t>201.8.5.5.2 </w:t>
            </w:r>
            <w:r>
              <w:rPr>
                <w:rFonts w:hint="eastAsia"/>
              </w:rPr>
              <w:t>能量减少试验</w:t>
            </w:r>
          </w:p>
          <w:p w14:paraId="0D29567C">
            <w:r>
              <w:rPr>
                <w:rFonts w:hint="eastAsia"/>
              </w:rPr>
              <w:t>增补：</w:t>
            </w:r>
          </w:p>
          <w:p w14:paraId="15BD6FF5">
            <w:r>
              <w:rPr>
                <w:rFonts w:hint="eastAsia"/>
              </w:rPr>
              <w:t>能量减少试验装置见图201.103</w:t>
            </w:r>
          </w:p>
        </w:tc>
        <w:tc>
          <w:tcPr>
            <w:tcW w:w="1080" w:type="dxa"/>
            <w:vAlign w:val="center"/>
          </w:tcPr>
          <w:p w14:paraId="02A6F55D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011A7355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2CBB5150">
            <w:pPr>
              <w:jc w:val="center"/>
            </w:pPr>
          </w:p>
        </w:tc>
      </w:tr>
      <w:tr w14:paraId="3DDC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5A11491B">
            <w:pPr>
              <w:ind w:right="-108"/>
            </w:pPr>
            <w:r>
              <w:rPr>
                <w:rFonts w:hint="eastAsia"/>
              </w:rPr>
              <w:t>11</w:t>
            </w:r>
          </w:p>
        </w:tc>
        <w:tc>
          <w:tcPr>
            <w:tcW w:w="1080" w:type="dxa"/>
          </w:tcPr>
          <w:p w14:paraId="03F117DB">
            <w:r>
              <w:rPr>
                <w:rFonts w:hint="eastAsia"/>
              </w:rPr>
              <w:t>漏电流和患者辅助电流</w:t>
            </w:r>
          </w:p>
        </w:tc>
        <w:tc>
          <w:tcPr>
            <w:tcW w:w="720" w:type="dxa"/>
          </w:tcPr>
          <w:p w14:paraId="61EB3BCA">
            <w:r>
              <w:rPr>
                <w:rFonts w:hint="eastAsia"/>
              </w:rPr>
              <w:t>201.8.7</w:t>
            </w:r>
          </w:p>
        </w:tc>
        <w:tc>
          <w:tcPr>
            <w:tcW w:w="4500" w:type="dxa"/>
            <w:gridSpan w:val="2"/>
          </w:tcPr>
          <w:p w14:paraId="06B1957D">
            <w:pPr>
              <w:ind w:left="-3" w:right="-108"/>
            </w:pPr>
            <w:r>
              <w:rPr>
                <w:rFonts w:hint="eastAsia"/>
              </w:rPr>
              <w:t>201.8.7.1　通用要求</w:t>
            </w:r>
          </w:p>
          <w:p w14:paraId="098192DA">
            <w:pPr>
              <w:ind w:left="-3" w:right="-108"/>
            </w:pPr>
            <w:r>
              <w:rPr>
                <w:rFonts w:hint="eastAsia"/>
              </w:rPr>
              <w:t>增补 ：</w:t>
            </w:r>
          </w:p>
          <w:p w14:paraId="28B10D8E">
            <w:pPr>
              <w:ind w:left="-3" w:right="-108"/>
            </w:pPr>
            <w:r>
              <w:rPr>
                <w:rFonts w:hint="eastAsia"/>
              </w:rPr>
              <w:t>在b)的前3个破折号后增加</w:t>
            </w:r>
          </w:p>
          <w:p w14:paraId="4A9EFDB9">
            <w:r>
              <w:rPr>
                <w:rFonts w:hint="eastAsia"/>
              </w:rPr>
              <w:t>——为了满足通用标准的试验要求，任何输入或导联组合的选择器置于能产生最不利的状况。最不利的状况应由检查电原理图和/或脑电图机和它的有关的附件决定。</w:t>
            </w:r>
          </w:p>
        </w:tc>
        <w:tc>
          <w:tcPr>
            <w:tcW w:w="1080" w:type="dxa"/>
            <w:vAlign w:val="center"/>
          </w:tcPr>
          <w:p w14:paraId="2E616353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1D082EE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14:paraId="07C001F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17E4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1DC9BF54">
            <w:pPr>
              <w:ind w:right="-108"/>
            </w:pPr>
            <w:r>
              <w:rPr>
                <w:rFonts w:hint="eastAsia"/>
              </w:rPr>
              <w:t>12</w:t>
            </w:r>
          </w:p>
        </w:tc>
        <w:tc>
          <w:tcPr>
            <w:tcW w:w="1080" w:type="dxa"/>
          </w:tcPr>
          <w:p w14:paraId="61C60336">
            <w:r>
              <w:rPr>
                <w:rFonts w:hint="eastAsia"/>
              </w:rPr>
              <w:t>ME设备和ME系统中的液体泼洒</w:t>
            </w:r>
          </w:p>
        </w:tc>
        <w:tc>
          <w:tcPr>
            <w:tcW w:w="720" w:type="dxa"/>
          </w:tcPr>
          <w:p w14:paraId="0020ED44">
            <w:r>
              <w:rPr>
                <w:rFonts w:hint="eastAsia"/>
              </w:rPr>
              <w:t>201.11.6.3</w:t>
            </w:r>
          </w:p>
        </w:tc>
        <w:tc>
          <w:tcPr>
            <w:tcW w:w="4500" w:type="dxa"/>
            <w:gridSpan w:val="2"/>
          </w:tcPr>
          <w:p w14:paraId="0E3B02E8">
            <w:r>
              <w:rPr>
                <w:rFonts w:hint="eastAsia"/>
              </w:rPr>
              <w:t>替换：</w:t>
            </w:r>
          </w:p>
          <w:p w14:paraId="645D8546">
            <w:r>
              <w:rPr>
                <w:rFonts w:hint="eastAsia"/>
              </w:rPr>
              <w:t>可携带的/可运输的ME设备或ME设备部件是可分离的并保持功能，结构应保证在液体泼洒（意外受潮）时，不会由进液导致危险状况。</w:t>
            </w:r>
          </w:p>
          <w:p w14:paraId="6822583C">
            <w:r>
              <w:rPr>
                <w:rFonts w:hint="eastAsia"/>
              </w:rPr>
              <w:t>ME设备应满足通用标准8.8.3电介质强度的要求且应符合本文件的要求。</w:t>
            </w:r>
          </w:p>
        </w:tc>
        <w:tc>
          <w:tcPr>
            <w:tcW w:w="1080" w:type="dxa"/>
            <w:vAlign w:val="center"/>
          </w:tcPr>
          <w:p w14:paraId="2F94C5F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8AB505C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42E30EDC">
            <w:pPr>
              <w:jc w:val="center"/>
            </w:pPr>
          </w:p>
        </w:tc>
      </w:tr>
      <w:tr w14:paraId="6A96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  <w:vMerge w:val="restart"/>
          </w:tcPr>
          <w:p w14:paraId="780359A8">
            <w:pPr>
              <w:ind w:right="-108"/>
            </w:pPr>
            <w:r>
              <w:rPr>
                <w:rFonts w:hint="eastAsia"/>
              </w:rPr>
              <w:t>13</w:t>
            </w:r>
          </w:p>
        </w:tc>
        <w:tc>
          <w:tcPr>
            <w:tcW w:w="1080" w:type="dxa"/>
            <w:vMerge w:val="restart"/>
          </w:tcPr>
          <w:p w14:paraId="4D777249">
            <w:r>
              <w:rPr>
                <w:rFonts w:hint="eastAsia"/>
              </w:rPr>
              <w:t>ME设备的供电电源/供电网中断</w:t>
            </w:r>
          </w:p>
        </w:tc>
        <w:tc>
          <w:tcPr>
            <w:tcW w:w="720" w:type="dxa"/>
            <w:vMerge w:val="restart"/>
          </w:tcPr>
          <w:p w14:paraId="759DAEDE">
            <w:r>
              <w:rPr>
                <w:rFonts w:hint="eastAsia"/>
              </w:rPr>
              <w:t>201.11.8</w:t>
            </w:r>
          </w:p>
        </w:tc>
        <w:tc>
          <w:tcPr>
            <w:tcW w:w="4500" w:type="dxa"/>
            <w:gridSpan w:val="2"/>
          </w:tcPr>
          <w:p w14:paraId="496E9078">
            <w:r>
              <w:rPr>
                <w:rFonts w:hint="eastAsia"/>
              </w:rPr>
              <w:t>增补：</w:t>
            </w:r>
          </w:p>
          <w:p w14:paraId="70A7CDAF">
            <w:r>
              <w:rPr>
                <w:rFonts w:hint="eastAsia"/>
              </w:rPr>
              <w:t>如果ME设备的供电网中断不超过30 s，操作者的设置不应改变，包括运行模式和所有存储的患者数据应保持可用。</w:t>
            </w:r>
          </w:p>
        </w:tc>
        <w:tc>
          <w:tcPr>
            <w:tcW w:w="1080" w:type="dxa"/>
            <w:vAlign w:val="center"/>
          </w:tcPr>
          <w:p w14:paraId="5E47157E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14:paraId="6AF43D7D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136238A4">
            <w:pPr>
              <w:jc w:val="center"/>
            </w:pPr>
          </w:p>
        </w:tc>
      </w:tr>
      <w:tr w14:paraId="6D1C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  <w:vMerge w:val="continue"/>
          </w:tcPr>
          <w:p w14:paraId="5835876B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143E7CDD"/>
        </w:tc>
        <w:tc>
          <w:tcPr>
            <w:tcW w:w="720" w:type="dxa"/>
            <w:vMerge w:val="continue"/>
          </w:tcPr>
          <w:p w14:paraId="69F254EC"/>
        </w:tc>
        <w:tc>
          <w:tcPr>
            <w:tcW w:w="4500" w:type="dxa"/>
            <w:gridSpan w:val="2"/>
          </w:tcPr>
          <w:p w14:paraId="63907BE7">
            <w:r>
              <w:rPr>
                <w:rFonts w:hint="eastAsia"/>
              </w:rPr>
              <w:t>如果ME设备有内部电源且供电网中断，ME设备应自动切换为内部电源供电来继续正常的运行，并且运行模式、所有的操作者设置和存储数据不应改变。可采用省电措施以使ME设备继续符合本文件。</w:t>
            </w:r>
          </w:p>
          <w:p w14:paraId="0DD47031">
            <w:r>
              <w:rPr>
                <w:rFonts w:hint="eastAsia"/>
              </w:rPr>
              <w:t>当ME设备运行于内部电源供电状态时，应有视觉指示。</w:t>
            </w:r>
          </w:p>
        </w:tc>
        <w:tc>
          <w:tcPr>
            <w:tcW w:w="1080" w:type="dxa"/>
            <w:vAlign w:val="center"/>
          </w:tcPr>
          <w:p w14:paraId="452FE3F4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418F82BF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0469CF64">
            <w:pPr>
              <w:jc w:val="center"/>
            </w:pPr>
          </w:p>
        </w:tc>
      </w:tr>
      <w:tr w14:paraId="18CC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021B02E6">
            <w:pPr>
              <w:ind w:right="-108"/>
            </w:pPr>
            <w:r>
              <w:rPr>
                <w:rFonts w:hint="eastAsia"/>
              </w:rPr>
              <w:t>14</w:t>
            </w:r>
          </w:p>
        </w:tc>
        <w:tc>
          <w:tcPr>
            <w:tcW w:w="1080" w:type="dxa"/>
          </w:tcPr>
          <w:p w14:paraId="160DE05F">
            <w:r>
              <w:rPr>
                <w:rFonts w:hint="eastAsia"/>
              </w:rPr>
              <w:t>信号的重建准确度</w:t>
            </w:r>
          </w:p>
        </w:tc>
        <w:tc>
          <w:tcPr>
            <w:tcW w:w="720" w:type="dxa"/>
          </w:tcPr>
          <w:p w14:paraId="63C036C2">
            <w:r>
              <w:rPr>
                <w:rFonts w:hint="eastAsia"/>
              </w:rPr>
              <w:t>201.12.1.101.1</w:t>
            </w:r>
          </w:p>
        </w:tc>
        <w:tc>
          <w:tcPr>
            <w:tcW w:w="4500" w:type="dxa"/>
            <w:gridSpan w:val="2"/>
          </w:tcPr>
          <w:p w14:paraId="7325D35A">
            <w:r>
              <w:rPr>
                <w:rFonts w:hint="eastAsia"/>
              </w:rPr>
              <w:t>幅度范围为±0.5 mV，变化率为12 mV/s的输入信号，重建在输出端的误差应≤ ±20 %标称值或±10 μV，取较大者。</w:t>
            </w:r>
          </w:p>
        </w:tc>
        <w:tc>
          <w:tcPr>
            <w:tcW w:w="1080" w:type="dxa"/>
            <w:vAlign w:val="center"/>
          </w:tcPr>
          <w:p w14:paraId="156C89C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BD26A3E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640E8FF5">
            <w:pPr>
              <w:jc w:val="center"/>
            </w:pPr>
          </w:p>
        </w:tc>
      </w:tr>
      <w:tr w14:paraId="37D3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32A03C67">
            <w:pPr>
              <w:ind w:right="-108"/>
            </w:pPr>
            <w:r>
              <w:rPr>
                <w:rFonts w:hint="eastAsia"/>
              </w:rPr>
              <w:t>15</w:t>
            </w:r>
          </w:p>
        </w:tc>
        <w:tc>
          <w:tcPr>
            <w:tcW w:w="1080" w:type="dxa"/>
          </w:tcPr>
          <w:p w14:paraId="65E36D91">
            <w:r>
              <w:rPr>
                <w:rFonts w:hint="eastAsia"/>
              </w:rPr>
              <w:t>输入动态范围和差模偏置电压</w:t>
            </w:r>
          </w:p>
        </w:tc>
        <w:tc>
          <w:tcPr>
            <w:tcW w:w="720" w:type="dxa"/>
          </w:tcPr>
          <w:p w14:paraId="26192DB0">
            <w:r>
              <w:rPr>
                <w:rFonts w:hint="eastAsia"/>
              </w:rPr>
              <w:t>201.12.1.101.2</w:t>
            </w:r>
          </w:p>
        </w:tc>
        <w:tc>
          <w:tcPr>
            <w:tcW w:w="4500" w:type="dxa"/>
            <w:gridSpan w:val="2"/>
          </w:tcPr>
          <w:p w14:paraId="5590E01D">
            <w:r>
              <w:rPr>
                <w:rFonts w:hint="eastAsia"/>
              </w:rPr>
              <w:t>叠加范围为±300 mV的直流偏置电压，同时输入电压为±0.5 mV，变化率为12 mV/s的差模信号，当连接任何导联线的时候，在指定的直流偏置电压范围内，其随时间变化的输出信号振幅不应大于±10%。</w:t>
            </w:r>
          </w:p>
        </w:tc>
        <w:tc>
          <w:tcPr>
            <w:tcW w:w="1080" w:type="dxa"/>
            <w:vAlign w:val="center"/>
          </w:tcPr>
          <w:p w14:paraId="27930756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CDBA214">
            <w:pPr>
              <w:jc w:val="center"/>
            </w:pPr>
          </w:p>
        </w:tc>
        <w:tc>
          <w:tcPr>
            <w:tcW w:w="876" w:type="dxa"/>
            <w:vMerge w:val="restart"/>
            <w:vAlign w:val="center"/>
          </w:tcPr>
          <w:p w14:paraId="2E07C7A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7FF5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5A904F80">
            <w:pPr>
              <w:ind w:right="-108"/>
            </w:pPr>
            <w:r>
              <w:rPr>
                <w:rFonts w:hint="eastAsia"/>
              </w:rPr>
              <w:t>16</w:t>
            </w:r>
          </w:p>
        </w:tc>
        <w:tc>
          <w:tcPr>
            <w:tcW w:w="1080" w:type="dxa"/>
          </w:tcPr>
          <w:p w14:paraId="382F6C0A">
            <w:r>
              <w:rPr>
                <w:rFonts w:hint="eastAsia"/>
              </w:rPr>
              <w:t>输入噪声</w:t>
            </w:r>
          </w:p>
        </w:tc>
        <w:tc>
          <w:tcPr>
            <w:tcW w:w="720" w:type="dxa"/>
          </w:tcPr>
          <w:p w14:paraId="0A9AB81F">
            <w:r>
              <w:rPr>
                <w:rFonts w:hint="eastAsia"/>
              </w:rPr>
              <w:t>201.12.1.101.3</w:t>
            </w:r>
          </w:p>
        </w:tc>
        <w:tc>
          <w:tcPr>
            <w:tcW w:w="4500" w:type="dxa"/>
            <w:gridSpan w:val="2"/>
          </w:tcPr>
          <w:p w14:paraId="0B01DE10">
            <w:r>
              <w:rPr>
                <w:rFonts w:hint="eastAsia"/>
              </w:rPr>
              <w:t>折合到输入端由EEG运放和患者电缆引起的信号噪声不应超过6 μV峰谷值（RTI）。</w:t>
            </w:r>
          </w:p>
          <w:p w14:paraId="254F4AF2">
            <w:pPr>
              <w:ind w:firstLine="2100" w:firstLineChars="1000"/>
            </w:pPr>
            <w:r>
              <w:rPr>
                <w:rFonts w:hint="eastAsia"/>
              </w:rPr>
              <w:t>单位：μV峰谷值（RTI）</w:t>
            </w:r>
          </w:p>
        </w:tc>
        <w:tc>
          <w:tcPr>
            <w:tcW w:w="1080" w:type="dxa"/>
            <w:vAlign w:val="center"/>
          </w:tcPr>
          <w:p w14:paraId="11F2347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CE87171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08DC15C3">
            <w:pPr>
              <w:jc w:val="center"/>
            </w:pPr>
          </w:p>
        </w:tc>
      </w:tr>
      <w:tr w14:paraId="1A51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40" w:type="dxa"/>
            <w:vMerge w:val="restart"/>
          </w:tcPr>
          <w:p w14:paraId="1B438B98">
            <w:pPr>
              <w:ind w:right="-108"/>
            </w:pPr>
            <w:r>
              <w:rPr>
                <w:rFonts w:hint="eastAsia"/>
              </w:rPr>
              <w:t>17</w:t>
            </w:r>
          </w:p>
        </w:tc>
        <w:tc>
          <w:tcPr>
            <w:tcW w:w="1080" w:type="dxa"/>
            <w:vMerge w:val="restart"/>
          </w:tcPr>
          <w:p w14:paraId="70DB2CD5">
            <w:r>
              <w:rPr>
                <w:rFonts w:hint="eastAsia"/>
              </w:rPr>
              <w:t>频率响应</w:t>
            </w:r>
          </w:p>
        </w:tc>
        <w:tc>
          <w:tcPr>
            <w:tcW w:w="720" w:type="dxa"/>
            <w:vMerge w:val="restart"/>
          </w:tcPr>
          <w:p w14:paraId="253F4B9F">
            <w:r>
              <w:rPr>
                <w:rFonts w:hint="eastAsia"/>
              </w:rPr>
              <w:t>201.12.1.101.4</w:t>
            </w:r>
          </w:p>
        </w:tc>
        <w:tc>
          <w:tcPr>
            <w:tcW w:w="3506" w:type="dxa"/>
            <w:vMerge w:val="restart"/>
          </w:tcPr>
          <w:p w14:paraId="15922B53">
            <w:r>
              <w:rPr>
                <w:rFonts w:hint="eastAsia"/>
              </w:rPr>
              <w:t>当试验加载正弦波信号的时候，ME设备至少应满足0.5 Hz到50 Hz的频率响应（带宽）的要求。0.5 Hz和50 Hz的输出应为输入5 Hz正弦波信号获得的输出的71 %到110 %。</w:t>
            </w:r>
          </w:p>
        </w:tc>
        <w:tc>
          <w:tcPr>
            <w:tcW w:w="994" w:type="dxa"/>
            <w:vAlign w:val="center"/>
          </w:tcPr>
          <w:p w14:paraId="54711F6C">
            <w:pPr>
              <w:jc w:val="center"/>
            </w:pPr>
            <w:r>
              <w:rPr>
                <w:rFonts w:hint="eastAsia"/>
              </w:rPr>
              <w:t>0.5Hz</w:t>
            </w:r>
          </w:p>
        </w:tc>
        <w:tc>
          <w:tcPr>
            <w:tcW w:w="1080" w:type="dxa"/>
            <w:vAlign w:val="center"/>
          </w:tcPr>
          <w:p w14:paraId="464CC86A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14:paraId="0F747D0E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698E8211">
            <w:pPr>
              <w:jc w:val="center"/>
            </w:pPr>
          </w:p>
        </w:tc>
      </w:tr>
      <w:tr w14:paraId="422D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540" w:type="dxa"/>
            <w:vMerge w:val="continue"/>
          </w:tcPr>
          <w:p w14:paraId="59A722D9">
            <w:pPr>
              <w:ind w:right="-108"/>
            </w:pPr>
          </w:p>
        </w:tc>
        <w:tc>
          <w:tcPr>
            <w:tcW w:w="1080" w:type="dxa"/>
            <w:vMerge w:val="continue"/>
          </w:tcPr>
          <w:p w14:paraId="180BB8AE"/>
        </w:tc>
        <w:tc>
          <w:tcPr>
            <w:tcW w:w="720" w:type="dxa"/>
            <w:vMerge w:val="continue"/>
          </w:tcPr>
          <w:p w14:paraId="6CA71B33"/>
        </w:tc>
        <w:tc>
          <w:tcPr>
            <w:tcW w:w="3506" w:type="dxa"/>
            <w:vMerge w:val="continue"/>
          </w:tcPr>
          <w:p w14:paraId="75BF3EC7"/>
        </w:tc>
        <w:tc>
          <w:tcPr>
            <w:tcW w:w="994" w:type="dxa"/>
            <w:vAlign w:val="center"/>
          </w:tcPr>
          <w:p w14:paraId="0A15A4C3">
            <w:pPr>
              <w:jc w:val="center"/>
            </w:pPr>
            <w:r>
              <w:rPr>
                <w:rFonts w:hint="eastAsia"/>
              </w:rPr>
              <w:t>50Hz</w:t>
            </w:r>
          </w:p>
        </w:tc>
        <w:tc>
          <w:tcPr>
            <w:tcW w:w="1080" w:type="dxa"/>
            <w:vAlign w:val="center"/>
          </w:tcPr>
          <w:p w14:paraId="132EEE3C"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0835F6B0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22726180">
            <w:pPr>
              <w:jc w:val="center"/>
            </w:pPr>
          </w:p>
        </w:tc>
      </w:tr>
      <w:tr w14:paraId="0E78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110C7F15">
            <w:pPr>
              <w:ind w:right="-108"/>
            </w:pPr>
            <w:r>
              <w:rPr>
                <w:rFonts w:hint="eastAsia"/>
              </w:rPr>
              <w:t>18</w:t>
            </w:r>
          </w:p>
        </w:tc>
        <w:tc>
          <w:tcPr>
            <w:tcW w:w="1080" w:type="dxa"/>
          </w:tcPr>
          <w:p w14:paraId="404313D7">
            <w:r>
              <w:rPr>
                <w:rFonts w:hint="eastAsia"/>
              </w:rPr>
              <w:t>共模抑制</w:t>
            </w:r>
          </w:p>
        </w:tc>
        <w:tc>
          <w:tcPr>
            <w:tcW w:w="720" w:type="dxa"/>
          </w:tcPr>
          <w:p w14:paraId="518E975B">
            <w:r>
              <w:rPr>
                <w:rFonts w:hint="eastAsia"/>
              </w:rPr>
              <w:t>201.12.1.101.5</w:t>
            </w:r>
          </w:p>
        </w:tc>
        <w:tc>
          <w:tcPr>
            <w:tcW w:w="4500" w:type="dxa"/>
            <w:gridSpan w:val="2"/>
          </w:tcPr>
          <w:p w14:paraId="7F6ACE91">
            <w:r>
              <w:rPr>
                <w:rFonts w:hint="eastAsia"/>
              </w:rPr>
              <w:t xml:space="preserve">一个1 Vr.m.s的工频信号(50 Hz/60 Hz)和200 pF的源电容连接在大地与所有连接在一起的导联线之间，不应产生峰谷值大于10 mm的输出信号（调整增益为0.1 mm/μV，在60 s期间内）。将每一个电极串联一个阻容网络（一个51 kΩ的电阻和一个47 nF的电容并联）。应使用制造商指定的患者电缆。 </w:t>
            </w:r>
            <w:r>
              <w:t xml:space="preserve">            </w:t>
            </w:r>
            <w:r>
              <w:rPr>
                <w:rFonts w:hint="eastAsia"/>
              </w:rPr>
              <w:t>单位：mm</w:t>
            </w:r>
          </w:p>
        </w:tc>
        <w:tc>
          <w:tcPr>
            <w:tcW w:w="1080" w:type="dxa"/>
            <w:vAlign w:val="center"/>
          </w:tcPr>
          <w:p w14:paraId="364027B9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E4BD97E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4CCB7014">
            <w:pPr>
              <w:jc w:val="center"/>
            </w:pPr>
          </w:p>
        </w:tc>
      </w:tr>
      <w:tr w14:paraId="5F6D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6EE0C6F7">
            <w:pPr>
              <w:ind w:right="-108"/>
            </w:pPr>
            <w:r>
              <w:rPr>
                <w:rFonts w:hint="eastAsia"/>
              </w:rPr>
              <w:t>19</w:t>
            </w:r>
          </w:p>
        </w:tc>
        <w:tc>
          <w:tcPr>
            <w:tcW w:w="1080" w:type="dxa"/>
          </w:tcPr>
          <w:p w14:paraId="3BC7D617">
            <w:bookmarkStart w:id="3" w:name="_Toc513814801"/>
            <w:r>
              <w:rPr>
                <w:rFonts w:hint="eastAsia"/>
              </w:rPr>
              <w:t>ME设备和ME系统的电磁兼容性</w:t>
            </w:r>
            <w:bookmarkEnd w:id="3"/>
          </w:p>
        </w:tc>
        <w:tc>
          <w:tcPr>
            <w:tcW w:w="720" w:type="dxa"/>
          </w:tcPr>
          <w:p w14:paraId="6C114A38">
            <w:r>
              <w:rPr>
                <w:rFonts w:hint="eastAsia"/>
              </w:rPr>
              <w:t>201.17</w:t>
            </w:r>
          </w:p>
        </w:tc>
        <w:tc>
          <w:tcPr>
            <w:tcW w:w="4500" w:type="dxa"/>
            <w:gridSpan w:val="2"/>
          </w:tcPr>
          <w:p w14:paraId="2746C329">
            <w:r>
              <w:rPr>
                <w:rFonts w:hint="eastAsia"/>
              </w:rPr>
              <w:t>除下述内容外，通用标准中的第17章适用：</w:t>
            </w:r>
          </w:p>
          <w:p w14:paraId="762D0AC7">
            <w:r>
              <w:rPr>
                <w:rFonts w:hint="eastAsia"/>
              </w:rPr>
              <w:t>增补:</w:t>
            </w:r>
          </w:p>
          <w:p w14:paraId="66B4E687">
            <w:r>
              <w:rPr>
                <w:rFonts w:hint="eastAsia"/>
              </w:rPr>
              <w:t>本专用标准202章适用</w:t>
            </w:r>
          </w:p>
        </w:tc>
        <w:tc>
          <w:tcPr>
            <w:tcW w:w="1080" w:type="dxa"/>
            <w:vAlign w:val="center"/>
          </w:tcPr>
          <w:p w14:paraId="554CBDB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08F5E24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667D5C3C">
            <w:pPr>
              <w:jc w:val="center"/>
            </w:pPr>
          </w:p>
        </w:tc>
      </w:tr>
      <w:tr w14:paraId="413F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540" w:type="dxa"/>
          </w:tcPr>
          <w:p w14:paraId="1B140463">
            <w:pPr>
              <w:ind w:right="-108"/>
            </w:pPr>
            <w:r>
              <w:rPr>
                <w:rFonts w:hint="eastAsia"/>
              </w:rPr>
              <w:t>20</w:t>
            </w:r>
          </w:p>
        </w:tc>
        <w:tc>
          <w:tcPr>
            <w:tcW w:w="1080" w:type="dxa"/>
          </w:tcPr>
          <w:p w14:paraId="118939DF">
            <w:r>
              <w:rPr>
                <w:rFonts w:hint="eastAsia"/>
              </w:rPr>
              <w:t>电磁兼容性-要求和试验</w:t>
            </w:r>
          </w:p>
        </w:tc>
        <w:tc>
          <w:tcPr>
            <w:tcW w:w="720" w:type="dxa"/>
          </w:tcPr>
          <w:p w14:paraId="7A48D6C8">
            <w:r>
              <w:rPr>
                <w:rFonts w:hint="eastAsia"/>
              </w:rPr>
              <w:t>202</w:t>
            </w:r>
          </w:p>
        </w:tc>
        <w:tc>
          <w:tcPr>
            <w:tcW w:w="4500" w:type="dxa"/>
            <w:gridSpan w:val="2"/>
          </w:tcPr>
          <w:p w14:paraId="2620B8D3">
            <w:r>
              <w:rPr>
                <w:rFonts w:hint="eastAsia"/>
              </w:rPr>
              <w:t>除以下内容外，YY 9706.102-2021适用。</w:t>
            </w:r>
          </w:p>
        </w:tc>
        <w:tc>
          <w:tcPr>
            <w:tcW w:w="1080" w:type="dxa"/>
            <w:vAlign w:val="center"/>
          </w:tcPr>
          <w:p w14:paraId="26E9F06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F5BB31D">
            <w:pPr>
              <w:jc w:val="center"/>
            </w:pPr>
          </w:p>
        </w:tc>
        <w:tc>
          <w:tcPr>
            <w:tcW w:w="876" w:type="dxa"/>
            <w:vMerge w:val="continue"/>
            <w:vAlign w:val="center"/>
          </w:tcPr>
          <w:p w14:paraId="61232B76">
            <w:pPr>
              <w:jc w:val="center"/>
            </w:pPr>
          </w:p>
        </w:tc>
      </w:tr>
    </w:tbl>
    <w:p w14:paraId="67482F1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450BC">
    <w:pPr>
      <w:jc w:val="center"/>
      <w:rPr>
        <w:rFonts w:ascii="宋体"/>
        <w:spacing w:val="200"/>
        <w:sz w:val="30"/>
        <w:szCs w:val="30"/>
      </w:rPr>
    </w:pPr>
    <w:r>
      <w:rPr>
        <w:rFonts w:hint="eastAsia" w:ascii="宋体" w:hAnsi="宋体"/>
        <w:b/>
        <w:sz w:val="36"/>
        <w:szCs w:val="36"/>
      </w:rPr>
      <w:t>GB</w:t>
    </w:r>
    <w:r>
      <w:rPr>
        <w:rFonts w:ascii="宋体" w:hAnsi="宋体"/>
        <w:b/>
        <w:sz w:val="36"/>
        <w:szCs w:val="36"/>
      </w:rPr>
      <w:t xml:space="preserve"> 9706.2</w:t>
    </w:r>
    <w:r>
      <w:rPr>
        <w:rFonts w:hint="eastAsia" w:ascii="宋体" w:hAnsi="宋体"/>
        <w:b/>
        <w:sz w:val="36"/>
        <w:szCs w:val="36"/>
      </w:rPr>
      <w:t>26</w:t>
    </w:r>
    <w:r>
      <w:rPr>
        <w:rFonts w:ascii="宋体" w:hAnsi="宋体"/>
        <w:b/>
        <w:sz w:val="36"/>
        <w:szCs w:val="36"/>
      </w:rPr>
      <w:t>-202</w:t>
    </w:r>
    <w:r>
      <w:rPr>
        <w:rFonts w:hint="eastAsia" w:ascii="宋体" w:hAnsi="宋体"/>
        <w:b/>
        <w:sz w:val="36"/>
        <w:szCs w:val="36"/>
      </w:rPr>
      <w:t>1检验报告内容模板</w:t>
    </w:r>
  </w:p>
  <w:p w14:paraId="3CE2915C">
    <w:pPr>
      <w:jc w:val="right"/>
      <w:rPr>
        <w:rFonts w:hint="eastAsia" w:ascii="宋体" w:hAnsi="宋体" w:cs="宋体"/>
        <w:b/>
        <w:bCs/>
        <w:sz w:val="44"/>
        <w:szCs w:val="44"/>
      </w:rPr>
    </w:pPr>
  </w:p>
  <w:p w14:paraId="33D26DB1">
    <w:pPr>
      <w:jc w:val="right"/>
      <w:rPr>
        <w:rFonts w:ascii="仿宋_GB2312" w:eastAsia="仿宋_GB2312"/>
      </w:rPr>
    </w:pPr>
    <w:r>
      <w:rPr>
        <w:rFonts w:hint="eastAsia" w:hAnsi="宋体" w:cs="宋体"/>
      </w:rPr>
      <w:t>共</w:t>
    </w:r>
    <w:r>
      <w:rPr>
        <w:rFonts w:hAnsi="宋体"/>
      </w:rPr>
      <w:fldChar w:fldCharType="begin"/>
    </w:r>
    <w:r>
      <w:rPr>
        <w:rFonts w:hAnsi="宋体"/>
      </w:rPr>
      <w:instrText xml:space="preserve"> =</w:instrText>
    </w:r>
    <w:r>
      <w:rPr>
        <w:rFonts w:hAnsi="宋体"/>
      </w:rPr>
      <w:fldChar w:fldCharType="begin"/>
    </w:r>
    <w:r>
      <w:rPr>
        <w:rFonts w:hAnsi="宋体"/>
      </w:rPr>
      <w:instrText xml:space="preserve"> numpages </w:instrText>
    </w:r>
    <w:r>
      <w:rPr>
        <w:rFonts w:hAnsi="宋体"/>
      </w:rPr>
      <w:fldChar w:fldCharType="separate"/>
    </w:r>
    <w:r>
      <w:rPr>
        <w:rFonts w:hAnsi="宋体"/>
      </w:rPr>
      <w:instrText xml:space="preserve">5</w:instrText>
    </w:r>
    <w:r>
      <w:rPr>
        <w:rFonts w:hAnsi="宋体"/>
      </w:rPr>
      <w:fldChar w:fldCharType="end"/>
    </w:r>
    <w:r>
      <w:rPr>
        <w:rFonts w:hAnsi="宋体"/>
      </w:rPr>
      <w:instrText xml:space="preserve">-1 </w:instrText>
    </w:r>
    <w:r>
      <w:rPr>
        <w:rFonts w:hAnsi="宋体"/>
      </w:rPr>
      <w:fldChar w:fldCharType="separate"/>
    </w:r>
    <w:r>
      <w:rPr>
        <w:rFonts w:hAnsi="宋体"/>
      </w:rPr>
      <w:t>4</w:t>
    </w:r>
    <w:r>
      <w:rPr>
        <w:rFonts w:hAnsi="宋体"/>
      </w:rPr>
      <w:fldChar w:fldCharType="end"/>
    </w:r>
    <w:r>
      <w:rPr>
        <w:rFonts w:hint="eastAsia" w:hAnsi="宋体" w:cs="宋体"/>
      </w:rPr>
      <w:t>页 第</w:t>
    </w:r>
    <w:r>
      <w:rPr>
        <w:rFonts w:hAnsi="宋体"/>
      </w:rPr>
      <w:fldChar w:fldCharType="begin"/>
    </w:r>
    <w:r>
      <w:rPr>
        <w:rFonts w:hAnsi="宋体"/>
      </w:rPr>
      <w:instrText xml:space="preserve"> =</w:instrText>
    </w:r>
    <w:r>
      <w:rPr>
        <w:rFonts w:hAnsi="宋体"/>
      </w:rPr>
      <w:fldChar w:fldCharType="begin"/>
    </w:r>
    <w:r>
      <w:rPr>
        <w:rFonts w:hAnsi="宋体"/>
      </w:rPr>
      <w:instrText xml:space="preserve"> page </w:instrText>
    </w:r>
    <w:r>
      <w:rPr>
        <w:rFonts w:hAnsi="宋体"/>
      </w:rPr>
      <w:fldChar w:fldCharType="separate"/>
    </w:r>
    <w:r>
      <w:rPr>
        <w:rFonts w:hAnsi="宋体"/>
      </w:rPr>
      <w:instrText xml:space="preserve">5</w:instrText>
    </w:r>
    <w:r>
      <w:rPr>
        <w:rFonts w:hAnsi="宋体"/>
      </w:rPr>
      <w:fldChar w:fldCharType="end"/>
    </w:r>
    <w:r>
      <w:rPr>
        <w:rFonts w:hAnsi="宋体"/>
      </w:rPr>
      <w:instrText xml:space="preserve">-0 </w:instrText>
    </w:r>
    <w:r>
      <w:rPr>
        <w:rFonts w:hAnsi="宋体"/>
      </w:rPr>
      <w:fldChar w:fldCharType="separate"/>
    </w:r>
    <w:r>
      <w:rPr>
        <w:rFonts w:hAnsi="宋体"/>
      </w:rPr>
      <w:t>5</w:t>
    </w:r>
    <w:r>
      <w:rPr>
        <w:rFonts w:hAnsi="宋体"/>
      </w:rPr>
      <w:fldChar w:fldCharType="end"/>
    </w:r>
    <w:r>
      <w:rPr>
        <w:rFonts w:hint="eastAsia" w:hAnsi="宋体" w:cs="宋体"/>
      </w:rPr>
      <w:t>页</w:t>
    </w:r>
  </w:p>
  <w:tbl>
    <w:tblPr>
      <w:tblStyle w:val="4"/>
      <w:tblpPr w:leftFromText="181" w:rightFromText="181" w:vertAnchor="page" w:tblpXSpec="center" w:tblpY="2241"/>
      <w:tblOverlap w:val="never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40"/>
      <w:gridCol w:w="1080"/>
      <w:gridCol w:w="720"/>
      <w:gridCol w:w="4500"/>
      <w:gridCol w:w="1080"/>
      <w:gridCol w:w="1080"/>
      <w:gridCol w:w="871"/>
    </w:tblGrid>
    <w:tr w14:paraId="73051FCB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7" w:hRule="exact"/>
        <w:tblHeader/>
      </w:trPr>
      <w:tc>
        <w:tcPr>
          <w:tcW w:w="540" w:type="dxa"/>
          <w:tcBorders>
            <w:top w:val="nil"/>
            <w:left w:val="nil"/>
            <w:right w:val="nil"/>
          </w:tcBorders>
          <w:vAlign w:val="center"/>
        </w:tcPr>
        <w:p w14:paraId="58C132D5">
          <w:pPr>
            <w:jc w:val="center"/>
            <w:rPr>
              <w:rFonts w:ascii="仿宋_GB2312" w:hAnsi="宋体" w:eastAsia="仿宋_GB2312"/>
            </w:rPr>
          </w:pP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center"/>
        </w:tcPr>
        <w:p w14:paraId="0FFD36D9">
          <w:pPr>
            <w:jc w:val="center"/>
            <w:rPr>
              <w:rFonts w:ascii="仿宋_GB2312" w:hAnsi="宋体" w:eastAsia="仿宋_GB2312"/>
            </w:rPr>
          </w:pPr>
        </w:p>
      </w:tc>
      <w:tc>
        <w:tcPr>
          <w:tcW w:w="720" w:type="dxa"/>
          <w:tcBorders>
            <w:top w:val="nil"/>
            <w:left w:val="nil"/>
            <w:right w:val="nil"/>
          </w:tcBorders>
          <w:vAlign w:val="center"/>
        </w:tcPr>
        <w:p w14:paraId="4EE7C866">
          <w:pPr>
            <w:jc w:val="center"/>
            <w:rPr>
              <w:rFonts w:ascii="仿宋_GB2312" w:hAnsi="宋体" w:eastAsia="仿宋_GB2312"/>
            </w:rPr>
          </w:pPr>
        </w:p>
      </w:tc>
      <w:tc>
        <w:tcPr>
          <w:tcW w:w="4500" w:type="dxa"/>
          <w:tcBorders>
            <w:top w:val="nil"/>
            <w:left w:val="nil"/>
            <w:right w:val="nil"/>
          </w:tcBorders>
          <w:vAlign w:val="center"/>
        </w:tcPr>
        <w:p w14:paraId="4D02511A">
          <w:pPr>
            <w:jc w:val="center"/>
            <w:rPr>
              <w:rFonts w:ascii="仿宋_GB2312" w:hAnsi="宋体" w:eastAsia="仿宋_GB2312"/>
            </w:rPr>
          </w:pP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center"/>
        </w:tcPr>
        <w:p w14:paraId="78C521B1">
          <w:pPr>
            <w:jc w:val="center"/>
            <w:rPr>
              <w:rFonts w:ascii="仿宋_GB2312" w:hAnsi="宋体" w:eastAsia="仿宋_GB2312"/>
            </w:rPr>
          </w:pP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center"/>
        </w:tcPr>
        <w:p w14:paraId="27CC3D26">
          <w:pPr>
            <w:jc w:val="center"/>
            <w:rPr>
              <w:rFonts w:ascii="仿宋_GB2312" w:hAnsi="宋体" w:eastAsia="仿宋_GB2312"/>
            </w:rPr>
          </w:pPr>
        </w:p>
      </w:tc>
      <w:tc>
        <w:tcPr>
          <w:tcW w:w="871" w:type="dxa"/>
          <w:tcBorders>
            <w:top w:val="nil"/>
            <w:left w:val="nil"/>
            <w:right w:val="nil"/>
          </w:tcBorders>
          <w:vAlign w:val="center"/>
        </w:tcPr>
        <w:p w14:paraId="34651FB7">
          <w:pPr>
            <w:jc w:val="center"/>
            <w:rPr>
              <w:rFonts w:ascii="仿宋_GB2312" w:hAnsi="宋体" w:eastAsia="仿宋_GB2312"/>
            </w:rPr>
          </w:pPr>
        </w:p>
      </w:tc>
    </w:tr>
    <w:tr w14:paraId="1B6014E6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46" w:hRule="atLeast"/>
        <w:tblHeader/>
      </w:trPr>
      <w:tc>
        <w:tcPr>
          <w:tcW w:w="540" w:type="dxa"/>
          <w:tcBorders>
            <w:bottom w:val="nil"/>
          </w:tcBorders>
          <w:vAlign w:val="center"/>
        </w:tcPr>
        <w:p w14:paraId="215E3268">
          <w:pPr>
            <w:jc w:val="center"/>
            <w:rPr>
              <w:rFonts w:ascii="仿宋" w:hAnsi="仿宋" w:eastAsia="仿宋"/>
            </w:rPr>
          </w:pPr>
          <w:r>
            <w:rPr>
              <w:rFonts w:hint="eastAsia" w:ascii="仿宋" w:hAnsi="仿宋" w:eastAsia="仿宋" w:cs="仿宋_GB2312"/>
            </w:rPr>
            <w:t>序号</w:t>
          </w:r>
        </w:p>
      </w:tc>
      <w:tc>
        <w:tcPr>
          <w:tcW w:w="1080" w:type="dxa"/>
          <w:tcBorders>
            <w:bottom w:val="nil"/>
          </w:tcBorders>
          <w:vAlign w:val="center"/>
        </w:tcPr>
        <w:p w14:paraId="073EF382">
          <w:pPr>
            <w:jc w:val="center"/>
            <w:rPr>
              <w:rFonts w:ascii="仿宋" w:hAnsi="仿宋" w:eastAsia="仿宋"/>
            </w:rPr>
          </w:pPr>
          <w:r>
            <w:rPr>
              <w:rFonts w:hint="eastAsia" w:ascii="仿宋" w:hAnsi="仿宋" w:eastAsia="仿宋" w:cs="仿宋_GB2312"/>
            </w:rPr>
            <w:t>检验</w:t>
          </w:r>
        </w:p>
        <w:p w14:paraId="6266C16C">
          <w:pPr>
            <w:jc w:val="center"/>
            <w:rPr>
              <w:rFonts w:ascii="仿宋" w:hAnsi="仿宋" w:eastAsia="仿宋"/>
            </w:rPr>
          </w:pPr>
          <w:r>
            <w:rPr>
              <w:rFonts w:hint="eastAsia" w:ascii="仿宋" w:hAnsi="仿宋" w:eastAsia="仿宋" w:cs="仿宋_GB2312"/>
            </w:rPr>
            <w:t>项目</w:t>
          </w:r>
        </w:p>
      </w:tc>
      <w:tc>
        <w:tcPr>
          <w:tcW w:w="720" w:type="dxa"/>
          <w:tcBorders>
            <w:bottom w:val="nil"/>
          </w:tcBorders>
          <w:vAlign w:val="center"/>
        </w:tcPr>
        <w:p w14:paraId="52FBA631">
          <w:pPr>
            <w:jc w:val="center"/>
            <w:rPr>
              <w:rFonts w:ascii="仿宋" w:hAnsi="仿宋" w:eastAsia="仿宋"/>
            </w:rPr>
          </w:pPr>
          <w:r>
            <w:rPr>
              <w:rFonts w:hint="eastAsia" w:ascii="仿宋" w:hAnsi="仿宋" w:eastAsia="仿宋" w:cs="仿宋_GB2312"/>
            </w:rPr>
            <w:t>标准条款</w:t>
          </w:r>
        </w:p>
      </w:tc>
      <w:tc>
        <w:tcPr>
          <w:tcW w:w="4500" w:type="dxa"/>
          <w:tcBorders>
            <w:bottom w:val="nil"/>
          </w:tcBorders>
          <w:vAlign w:val="center"/>
        </w:tcPr>
        <w:p w14:paraId="2A779FCB">
          <w:pPr>
            <w:jc w:val="center"/>
            <w:rPr>
              <w:rFonts w:ascii="仿宋" w:hAnsi="仿宋" w:eastAsia="仿宋"/>
            </w:rPr>
          </w:pPr>
          <w:r>
            <w:rPr>
              <w:rFonts w:hint="eastAsia" w:ascii="仿宋" w:hAnsi="仿宋" w:eastAsia="仿宋" w:cs="仿宋_GB2312"/>
            </w:rPr>
            <w:t>标准要求(GB 9706.226-2021)</w:t>
          </w:r>
        </w:p>
      </w:tc>
      <w:tc>
        <w:tcPr>
          <w:tcW w:w="1080" w:type="dxa"/>
          <w:tcBorders>
            <w:bottom w:val="nil"/>
          </w:tcBorders>
          <w:vAlign w:val="center"/>
        </w:tcPr>
        <w:p w14:paraId="291532E3">
          <w:pPr>
            <w:jc w:val="center"/>
            <w:rPr>
              <w:rFonts w:ascii="仿宋" w:hAnsi="仿宋" w:eastAsia="仿宋"/>
            </w:rPr>
          </w:pPr>
          <w:r>
            <w:rPr>
              <w:rFonts w:hint="eastAsia" w:ascii="仿宋" w:hAnsi="仿宋" w:eastAsia="仿宋" w:cs="仿宋_GB2312"/>
            </w:rPr>
            <w:t>检验结果</w:t>
          </w:r>
        </w:p>
      </w:tc>
      <w:tc>
        <w:tcPr>
          <w:tcW w:w="1080" w:type="dxa"/>
          <w:tcBorders>
            <w:bottom w:val="nil"/>
          </w:tcBorders>
          <w:vAlign w:val="center"/>
        </w:tcPr>
        <w:p w14:paraId="5042E7B0">
          <w:pPr>
            <w:jc w:val="center"/>
            <w:rPr>
              <w:rFonts w:ascii="仿宋" w:hAnsi="仿宋" w:eastAsia="仿宋"/>
            </w:rPr>
          </w:pPr>
          <w:r>
            <w:rPr>
              <w:rFonts w:hint="eastAsia" w:ascii="仿宋" w:hAnsi="仿宋" w:eastAsia="仿宋" w:cs="仿宋_GB2312"/>
            </w:rPr>
            <w:t>单项</w:t>
          </w:r>
        </w:p>
        <w:p w14:paraId="70AE7AD9">
          <w:pPr>
            <w:jc w:val="center"/>
            <w:rPr>
              <w:rFonts w:ascii="仿宋" w:hAnsi="仿宋" w:eastAsia="仿宋"/>
            </w:rPr>
          </w:pPr>
          <w:r>
            <w:rPr>
              <w:rFonts w:hint="eastAsia" w:ascii="仿宋" w:hAnsi="仿宋" w:eastAsia="仿宋" w:cs="仿宋_GB2312"/>
            </w:rPr>
            <w:t>结论</w:t>
          </w:r>
        </w:p>
      </w:tc>
      <w:tc>
        <w:tcPr>
          <w:tcW w:w="871" w:type="dxa"/>
          <w:tcBorders>
            <w:bottom w:val="nil"/>
          </w:tcBorders>
          <w:vAlign w:val="center"/>
        </w:tcPr>
        <w:p w14:paraId="359A0639">
          <w:pPr>
            <w:jc w:val="center"/>
            <w:rPr>
              <w:rFonts w:ascii="仿宋" w:hAnsi="仿宋" w:eastAsia="仿宋"/>
            </w:rPr>
          </w:pPr>
          <w:r>
            <w:rPr>
              <w:rFonts w:hint="eastAsia" w:ascii="仿宋" w:hAnsi="仿宋" w:eastAsia="仿宋" w:cs="仿宋_GB2312"/>
            </w:rPr>
            <w:t>备注</w:t>
          </w:r>
        </w:p>
      </w:tc>
    </w:tr>
  </w:tbl>
  <w:p w14:paraId="05CFEA3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260FA"/>
    <w:multiLevelType w:val="multilevel"/>
    <w:tmpl w:val="646260FA"/>
    <w:lvl w:ilvl="0" w:tentative="0">
      <w:start w:val="101"/>
      <w:numFmt w:val="decimal"/>
      <w:lvlText w:val="表 201.%1"/>
      <w:lvlJc w:val="left"/>
      <w:pPr>
        <w:ind w:left="0" w:firstLine="0"/>
      </w:pPr>
      <w:rPr>
        <w:rFonts w:hint="eastAsia"/>
        <w:b w:val="0"/>
        <w:i w:val="0"/>
        <w:sz w:val="18"/>
        <w:szCs w:val="18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7D9F7FA3"/>
    <w:multiLevelType w:val="multilevel"/>
    <w:tmpl w:val="7D9F7FA3"/>
    <w:lvl w:ilvl="0" w:tentative="0">
      <w:start w:val="1"/>
      <w:numFmt w:val="decimal"/>
      <w:pStyle w:val="7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B824A95"/>
    <w:rsid w:val="0037541B"/>
    <w:rsid w:val="005F5BD0"/>
    <w:rsid w:val="00996150"/>
    <w:rsid w:val="03700555"/>
    <w:rsid w:val="0B824A95"/>
    <w:rsid w:val="45982789"/>
    <w:rsid w:val="59267ED2"/>
    <w:rsid w:val="76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正文表标题"/>
    <w:next w:val="6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2553</Words>
  <Characters>3127</Characters>
  <Lines>25</Lines>
  <Paragraphs>7</Paragraphs>
  <TotalTime>3</TotalTime>
  <ScaleCrop>false</ScaleCrop>
  <LinksUpToDate>false</LinksUpToDate>
  <CharactersWithSpaces>3208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2023-03-20T07:11:00Z</dcterms:created>
  <dc:creator>张君</dc:creator>
  <cp:lastModifiedBy>太极箫客</cp:lastModifiedBy>
  <dcterms:modified xsi:type="dcterms:W3CDTF">2025-08-14T06:16:46Z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FE6C61B21001428EA9F1CAB5E7BFF71A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