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F4896">
      <w:pPr>
        <w:spacing w:line="295" w:lineRule="auto"/>
        <w:rPr>
          <w:rFonts w:ascii="Arial"/>
          <w:sz w:val="21"/>
        </w:rPr>
      </w:pPr>
      <w:bookmarkStart w:id="0" w:name="_GoBack"/>
      <w:bookmarkEnd w:id="0"/>
    </w:p>
    <w:p w14:paraId="408EC56A">
      <w:pPr>
        <w:spacing w:line="295" w:lineRule="auto"/>
        <w:rPr>
          <w:rFonts w:ascii="Arial"/>
          <w:sz w:val="21"/>
        </w:rPr>
      </w:pPr>
    </w:p>
    <w:p w14:paraId="361D48E2">
      <w:pPr>
        <w:spacing w:line="295" w:lineRule="auto"/>
        <w:rPr>
          <w:rFonts w:ascii="Arial"/>
          <w:sz w:val="21"/>
        </w:rPr>
      </w:pPr>
    </w:p>
    <w:p w14:paraId="1ACDEFCB">
      <w:pPr>
        <w:spacing w:before="98" w:line="190" w:lineRule="auto"/>
        <w:ind w:firstLine="5042"/>
        <w:outlineLvl w:val="0"/>
        <w:rPr>
          <w:rFonts w:ascii="微软雅黑" w:hAnsi="微软雅黑" w:eastAsia="微软雅黑" w:cs="微软雅黑"/>
          <w:sz w:val="32"/>
          <w:szCs w:val="32"/>
        </w:rPr>
      </w:pPr>
      <w:r>
        <w:rPr>
          <w:rFonts w:ascii="微软雅黑" w:hAnsi="微软雅黑" w:eastAsia="微软雅黑" w:cs="微软雅黑"/>
          <w:color w:val="444444"/>
          <w:spacing w:val="18"/>
          <w:sz w:val="32"/>
          <w:szCs w:val="32"/>
          <w14:textOutline w14:w="3175" w14:cap="flat" w14:cmpd="sng">
            <w14:solidFill>
              <w14:srgbClr w14:val="444444"/>
            </w14:solidFill>
            <w14:prstDash w14:val="solid"/>
            <w14:miter w14:val="0"/>
          </w14:textOutline>
        </w:rPr>
        <w:t>G</w:t>
      </w:r>
      <w:r>
        <w:rPr>
          <w:rFonts w:ascii="微软雅黑" w:hAnsi="微软雅黑" w:eastAsia="微软雅黑" w:cs="微软雅黑"/>
          <w:color w:val="444444"/>
          <w:spacing w:val="15"/>
          <w:sz w:val="32"/>
          <w:szCs w:val="32"/>
          <w14:textOutline w14:w="3175" w14:cap="flat" w14:cmpd="sng">
            <w14:solidFill>
              <w14:srgbClr w14:val="444444"/>
            </w14:solidFill>
            <w14:prstDash w14:val="solid"/>
            <w14:miter w14:val="0"/>
          </w14:textOutline>
        </w:rPr>
        <w:t>B</w:t>
      </w:r>
      <w:r>
        <w:rPr>
          <w:rFonts w:ascii="微软雅黑" w:hAnsi="微软雅黑" w:eastAsia="微软雅黑" w:cs="微软雅黑"/>
          <w:color w:val="444444"/>
          <w:spacing w:val="8"/>
          <w:sz w:val="32"/>
          <w:szCs w:val="32"/>
        </w:rPr>
        <w:t xml:space="preserve"> </w:t>
      </w:r>
      <w:r>
        <w:rPr>
          <w:rFonts w:ascii="微软雅黑" w:hAnsi="微软雅黑" w:eastAsia="微软雅黑" w:cs="微软雅黑"/>
          <w:color w:val="444444"/>
          <w:spacing w:val="14"/>
          <w:sz w:val="32"/>
          <w:szCs w:val="32"/>
          <w14:textOutline w14:w="3175" w14:cap="flat" w14:cmpd="sng">
            <w14:solidFill>
              <w14:srgbClr w14:val="444444"/>
            </w14:solidFill>
            <w14:prstDash w14:val="solid"/>
            <w14:miter w14:val="0"/>
          </w14:textOutline>
        </w:rPr>
        <w:t>9706</w:t>
      </w:r>
      <w:r>
        <w:rPr>
          <w:rFonts w:ascii="微软雅黑" w:hAnsi="微软雅黑" w:eastAsia="微软雅黑" w:cs="微软雅黑"/>
          <w:color w:val="444444"/>
          <w:spacing w:val="6"/>
          <w:sz w:val="32"/>
          <w:szCs w:val="32"/>
          <w14:textOutline w14:w="3175" w14:cap="flat" w14:cmpd="sng">
            <w14:solidFill>
              <w14:srgbClr w14:val="444444"/>
            </w14:solidFill>
            <w14:prstDash w14:val="solid"/>
            <w14:miter w14:val="0"/>
          </w14:textOutline>
        </w:rPr>
        <w:t>.</w:t>
      </w:r>
      <w:r>
        <w:rPr>
          <w:rFonts w:ascii="微软雅黑" w:hAnsi="微软雅黑" w:eastAsia="微软雅黑" w:cs="微软雅黑"/>
          <w:color w:val="444444"/>
          <w:spacing w:val="8"/>
          <w:sz w:val="32"/>
          <w:szCs w:val="32"/>
        </w:rPr>
        <w:t xml:space="preserve"> </w:t>
      </w:r>
      <w:r>
        <w:rPr>
          <w:rFonts w:ascii="微软雅黑" w:hAnsi="微软雅黑" w:eastAsia="微软雅黑" w:cs="微软雅黑"/>
          <w:color w:val="444444"/>
          <w:spacing w:val="14"/>
          <w:sz w:val="32"/>
          <w:szCs w:val="32"/>
          <w14:textOutline w14:w="3175" w14:cap="flat" w14:cmpd="sng">
            <w14:solidFill>
              <w14:srgbClr w14:val="444444"/>
            </w14:solidFill>
            <w14:prstDash w14:val="solid"/>
            <w14:miter w14:val="0"/>
          </w14:textOutline>
        </w:rPr>
        <w:t>1</w:t>
      </w:r>
      <w:r>
        <w:rPr>
          <w:rFonts w:ascii="微软雅黑" w:hAnsi="微软雅黑" w:eastAsia="微软雅黑" w:cs="微软雅黑"/>
          <w:color w:val="444444"/>
          <w:spacing w:val="11"/>
          <w:sz w:val="32"/>
          <w:szCs w:val="32"/>
          <w14:textOutline w14:w="3175" w14:cap="flat" w14:cmpd="sng">
            <w14:solidFill>
              <w14:srgbClr w14:val="444444"/>
            </w14:solidFill>
            <w14:prstDash w14:val="solid"/>
            <w14:miter w14:val="0"/>
          </w14:textOutline>
        </w:rPr>
        <w:t>-</w:t>
      </w:r>
      <w:r>
        <w:rPr>
          <w:rFonts w:ascii="微软雅黑" w:hAnsi="微软雅黑" w:eastAsia="微软雅黑" w:cs="微软雅黑"/>
          <w:color w:val="444444"/>
          <w:spacing w:val="14"/>
          <w:sz w:val="32"/>
          <w:szCs w:val="32"/>
          <w14:textOutline w14:w="3175" w14:cap="flat" w14:cmpd="sng">
            <w14:solidFill>
              <w14:srgbClr w14:val="444444"/>
            </w14:solidFill>
            <w14:prstDash w14:val="solid"/>
            <w14:miter w14:val="0"/>
          </w14:textOutline>
        </w:rPr>
        <w:t>2020</w:t>
      </w:r>
      <w:r>
        <w:rPr>
          <w:rFonts w:ascii="微软雅黑" w:hAnsi="微软雅黑" w:eastAsia="微软雅黑" w:cs="微软雅黑"/>
          <w:color w:val="444444"/>
          <w:spacing w:val="8"/>
          <w:sz w:val="32"/>
          <w:szCs w:val="32"/>
        </w:rPr>
        <w:t xml:space="preserve"> </w:t>
      </w:r>
      <w:r>
        <w:rPr>
          <w:rFonts w:ascii="微软雅黑" w:hAnsi="微软雅黑" w:eastAsia="微软雅黑" w:cs="微软雅黑"/>
          <w:color w:val="444444"/>
          <w:spacing w:val="24"/>
          <w:sz w:val="32"/>
          <w:szCs w:val="32"/>
          <w14:textOutline w14:w="3175" w14:cap="flat" w14:cmpd="sng">
            <w14:solidFill>
              <w14:srgbClr w14:val="444444"/>
            </w14:solidFill>
            <w14:prstDash w14:val="solid"/>
            <w14:miter w14:val="0"/>
          </w14:textOutline>
        </w:rPr>
        <w:t>标准的主要变化</w:t>
      </w:r>
    </w:p>
    <w:p w14:paraId="21D35E2D">
      <w:pPr>
        <w:spacing w:line="270" w:lineRule="auto"/>
        <w:rPr>
          <w:rFonts w:ascii="Arial"/>
          <w:sz w:val="32"/>
          <w:szCs w:val="32"/>
        </w:rPr>
      </w:pPr>
    </w:p>
    <w:p w14:paraId="786C1E30">
      <w:pPr>
        <w:spacing w:line="270" w:lineRule="auto"/>
        <w:rPr>
          <w:rFonts w:ascii="Arial"/>
          <w:sz w:val="21"/>
        </w:rPr>
      </w:pPr>
    </w:p>
    <w:p w14:paraId="4B467631">
      <w:pPr>
        <w:spacing w:before="98" w:line="190" w:lineRule="auto"/>
        <w:ind w:firstLine="1"/>
        <w:rPr>
          <w:rFonts w:ascii="微软雅黑" w:hAnsi="微软雅黑" w:eastAsia="微软雅黑" w:cs="微软雅黑"/>
          <w:sz w:val="23"/>
          <w:szCs w:val="23"/>
        </w:rPr>
      </w:pPr>
      <w:r>
        <w:rPr>
          <w:rFonts w:ascii="微软雅黑" w:hAnsi="微软雅黑" w:eastAsia="微软雅黑" w:cs="微软雅黑"/>
          <w:color w:val="444444"/>
          <w:spacing w:val="24"/>
          <w:sz w:val="23"/>
          <w:szCs w:val="23"/>
        </w:rPr>
        <w:t>第一</w:t>
      </w:r>
      <w:r>
        <w:rPr>
          <w:rFonts w:ascii="微软雅黑" w:hAnsi="微软雅黑" w:eastAsia="微软雅黑" w:cs="微软雅黑"/>
          <w:color w:val="444444"/>
          <w:spacing w:val="8"/>
          <w:sz w:val="23"/>
          <w:szCs w:val="23"/>
        </w:rPr>
        <w:t xml:space="preserve">   </w:t>
      </w:r>
      <w:r>
        <w:rPr>
          <w:rFonts w:ascii="微软雅黑" w:hAnsi="微软雅黑" w:eastAsia="微软雅黑" w:cs="微软雅黑"/>
          <w:color w:val="444444"/>
          <w:spacing w:val="24"/>
          <w:sz w:val="23"/>
          <w:szCs w:val="23"/>
        </w:rPr>
        <w:t>引入了基本性能的概念和风险管理的内容</w:t>
      </w:r>
      <w:r>
        <w:rPr>
          <w:rFonts w:ascii="微软雅黑" w:hAnsi="微软雅黑" w:eastAsia="微软雅黑" w:cs="微软雅黑"/>
          <w:color w:val="444444"/>
          <w:spacing w:val="25"/>
          <w:sz w:val="23"/>
          <w:szCs w:val="23"/>
        </w:rPr>
        <w:t>。</w:t>
      </w:r>
    </w:p>
    <w:p w14:paraId="6F93B3B1">
      <w:pPr>
        <w:spacing w:before="311" w:line="190" w:lineRule="auto"/>
        <w:ind w:firstLine="1"/>
        <w:rPr>
          <w:rFonts w:ascii="微软雅黑" w:hAnsi="微软雅黑" w:eastAsia="微软雅黑" w:cs="微软雅黑"/>
          <w:sz w:val="23"/>
          <w:szCs w:val="23"/>
        </w:rPr>
      </w:pPr>
      <w:r>
        <w:rPr>
          <w:rFonts w:ascii="微软雅黑" w:hAnsi="微软雅黑" w:eastAsia="微软雅黑" w:cs="微软雅黑"/>
          <w:color w:val="444444"/>
          <w:spacing w:val="25"/>
          <w:sz w:val="23"/>
          <w:szCs w:val="23"/>
        </w:rPr>
        <w:t>第二</w:t>
      </w:r>
      <w:r>
        <w:rPr>
          <w:rFonts w:ascii="微软雅黑" w:hAnsi="微软雅黑" w:eastAsia="微软雅黑" w:cs="微软雅黑"/>
          <w:color w:val="444444"/>
          <w:spacing w:val="8"/>
          <w:sz w:val="23"/>
          <w:szCs w:val="23"/>
        </w:rPr>
        <w:t xml:space="preserve">   </w:t>
      </w:r>
      <w:r>
        <w:rPr>
          <w:rFonts w:ascii="微软雅黑" w:hAnsi="微软雅黑" w:eastAsia="微软雅黑" w:cs="微软雅黑"/>
          <w:color w:val="444444"/>
          <w:spacing w:val="25"/>
          <w:sz w:val="23"/>
          <w:szCs w:val="23"/>
        </w:rPr>
        <w:t>适用范围增加了行动不方便的人使用的设备和非医疗监护使用</w:t>
      </w:r>
      <w:r>
        <w:rPr>
          <w:rFonts w:ascii="微软雅黑" w:hAnsi="微软雅黑" w:eastAsia="微软雅黑" w:cs="微软雅黑"/>
          <w:color w:val="444444"/>
          <w:spacing w:val="24"/>
          <w:sz w:val="23"/>
          <w:szCs w:val="23"/>
        </w:rPr>
        <w:t>的</w:t>
      </w:r>
      <w:r>
        <w:rPr>
          <w:rFonts w:ascii="微软雅黑" w:hAnsi="微软雅黑" w:eastAsia="微软雅黑" w:cs="微软雅黑"/>
          <w:color w:val="444444"/>
          <w:spacing w:val="13"/>
          <w:sz w:val="23"/>
          <w:szCs w:val="23"/>
        </w:rPr>
        <w:t>设备</w:t>
      </w:r>
      <w:r>
        <w:rPr>
          <w:rFonts w:ascii="微软雅黑" w:hAnsi="微软雅黑" w:eastAsia="微软雅黑" w:cs="微软雅黑"/>
          <w:color w:val="444444"/>
          <w:spacing w:val="20"/>
          <w:sz w:val="23"/>
          <w:szCs w:val="23"/>
        </w:rPr>
        <w:t>。</w:t>
      </w:r>
    </w:p>
    <w:p w14:paraId="58CEE50E">
      <w:pPr>
        <w:spacing w:before="313" w:line="189" w:lineRule="auto"/>
        <w:ind w:firstLine="1"/>
        <w:rPr>
          <w:rFonts w:ascii="微软雅黑" w:hAnsi="微软雅黑" w:eastAsia="微软雅黑" w:cs="微软雅黑"/>
          <w:sz w:val="23"/>
          <w:szCs w:val="23"/>
        </w:rPr>
      </w:pPr>
      <w:r>
        <w:rPr>
          <w:rFonts w:ascii="微软雅黑" w:hAnsi="微软雅黑" w:eastAsia="微软雅黑" w:cs="微软雅黑"/>
          <w:color w:val="444444"/>
          <w:spacing w:val="24"/>
          <w:sz w:val="23"/>
          <w:szCs w:val="23"/>
        </w:rPr>
        <w:t>第三</w:t>
      </w:r>
      <w:r>
        <w:rPr>
          <w:rFonts w:ascii="微软雅黑" w:hAnsi="微软雅黑" w:eastAsia="微软雅黑" w:cs="微软雅黑"/>
          <w:color w:val="444444"/>
          <w:spacing w:val="9"/>
          <w:sz w:val="23"/>
          <w:szCs w:val="23"/>
        </w:rPr>
        <w:t xml:space="preserve">   </w:t>
      </w:r>
      <w:r>
        <w:rPr>
          <w:rFonts w:ascii="微软雅黑" w:hAnsi="微软雅黑" w:eastAsia="微软雅黑" w:cs="微软雅黑"/>
          <w:color w:val="444444"/>
          <w:spacing w:val="24"/>
          <w:sz w:val="23"/>
          <w:szCs w:val="23"/>
        </w:rPr>
        <w:t>对患者和操作者采取不</w:t>
      </w:r>
      <w:r>
        <w:rPr>
          <w:rFonts w:ascii="微软雅黑" w:hAnsi="微软雅黑" w:eastAsia="微软雅黑" w:cs="微软雅黑"/>
          <w:color w:val="444444"/>
          <w:spacing w:val="23"/>
          <w:sz w:val="23"/>
          <w:szCs w:val="23"/>
        </w:rPr>
        <w:t>同的防护方式</w:t>
      </w:r>
      <w:r>
        <w:rPr>
          <w:rFonts w:ascii="微软雅黑" w:hAnsi="微软雅黑" w:eastAsia="微软雅黑" w:cs="微软雅黑"/>
          <w:color w:val="444444"/>
          <w:spacing w:val="25"/>
          <w:sz w:val="23"/>
          <w:szCs w:val="23"/>
        </w:rPr>
        <w:t>。</w:t>
      </w:r>
    </w:p>
    <w:p w14:paraId="2247D0EB">
      <w:pPr>
        <w:spacing w:before="311" w:line="190" w:lineRule="auto"/>
        <w:ind w:firstLine="1"/>
        <w:rPr>
          <w:rFonts w:ascii="微软雅黑" w:hAnsi="微软雅黑" w:eastAsia="微软雅黑" w:cs="微软雅黑"/>
          <w:sz w:val="23"/>
          <w:szCs w:val="23"/>
        </w:rPr>
      </w:pPr>
      <w:r>
        <w:rPr>
          <w:rFonts w:ascii="微软雅黑" w:hAnsi="微软雅黑" w:eastAsia="微软雅黑" w:cs="微软雅黑"/>
          <w:color w:val="444444"/>
          <w:spacing w:val="24"/>
          <w:sz w:val="23"/>
          <w:szCs w:val="23"/>
        </w:rPr>
        <w:t>第四</w:t>
      </w:r>
      <w:r>
        <w:rPr>
          <w:rFonts w:ascii="微软雅黑" w:hAnsi="微软雅黑" w:eastAsia="微软雅黑" w:cs="微软雅黑"/>
          <w:color w:val="444444"/>
          <w:spacing w:val="9"/>
          <w:sz w:val="23"/>
          <w:szCs w:val="23"/>
        </w:rPr>
        <w:t xml:space="preserve">   </w:t>
      </w:r>
      <w:r>
        <w:rPr>
          <w:rFonts w:ascii="微软雅黑" w:hAnsi="微软雅黑" w:eastAsia="微软雅黑" w:cs="微软雅黑"/>
          <w:color w:val="444444"/>
          <w:spacing w:val="24"/>
          <w:sz w:val="23"/>
          <w:szCs w:val="23"/>
        </w:rPr>
        <w:t>引入了接触电流和总患者</w:t>
      </w:r>
      <w:r>
        <w:rPr>
          <w:rFonts w:ascii="微软雅黑" w:hAnsi="微软雅黑" w:eastAsia="微软雅黑" w:cs="微软雅黑"/>
          <w:color w:val="444444"/>
          <w:spacing w:val="23"/>
          <w:sz w:val="23"/>
          <w:szCs w:val="23"/>
        </w:rPr>
        <w:t>漏电流的概念</w:t>
      </w:r>
      <w:r>
        <w:rPr>
          <w:rFonts w:ascii="微软雅黑" w:hAnsi="微软雅黑" w:eastAsia="微软雅黑" w:cs="微软雅黑"/>
          <w:color w:val="444444"/>
          <w:spacing w:val="26"/>
          <w:sz w:val="23"/>
          <w:szCs w:val="23"/>
        </w:rPr>
        <w:t>。</w:t>
      </w:r>
    </w:p>
    <w:p w14:paraId="320C19F2">
      <w:pPr>
        <w:spacing w:before="313" w:line="623" w:lineRule="exact"/>
        <w:ind w:firstLine="1"/>
        <w:rPr>
          <w:rFonts w:ascii="微软雅黑" w:hAnsi="微软雅黑" w:eastAsia="微软雅黑" w:cs="微软雅黑"/>
          <w:sz w:val="23"/>
          <w:szCs w:val="23"/>
        </w:rPr>
      </w:pPr>
      <w:r>
        <w:rPr>
          <w:rFonts w:ascii="微软雅黑" w:hAnsi="微软雅黑" w:eastAsia="微软雅黑" w:cs="微软雅黑"/>
          <w:color w:val="444444"/>
          <w:spacing w:val="19"/>
          <w:position w:val="30"/>
          <w:sz w:val="23"/>
          <w:szCs w:val="23"/>
        </w:rPr>
        <w:t>第五</w:t>
      </w:r>
      <w:r>
        <w:rPr>
          <w:rFonts w:ascii="微软雅黑" w:hAnsi="微软雅黑" w:eastAsia="微软雅黑" w:cs="微软雅黑"/>
          <w:color w:val="444444"/>
          <w:spacing w:val="7"/>
          <w:position w:val="30"/>
          <w:sz w:val="23"/>
          <w:szCs w:val="23"/>
        </w:rPr>
        <w:t xml:space="preserve">   </w:t>
      </w:r>
      <w:r>
        <w:rPr>
          <w:rFonts w:ascii="微软雅黑" w:hAnsi="微软雅黑" w:eastAsia="微软雅黑" w:cs="微软雅黑"/>
          <w:color w:val="444444"/>
          <w:spacing w:val="18"/>
          <w:position w:val="30"/>
          <w:sz w:val="23"/>
          <w:szCs w:val="23"/>
        </w:rPr>
        <w:t>对应用部分的温升容许值放宽</w:t>
      </w:r>
      <w:r>
        <w:rPr>
          <w:rFonts w:ascii="微软雅黑" w:hAnsi="微软雅黑" w:eastAsia="微软雅黑" w:cs="微软雅黑"/>
          <w:color w:val="444444"/>
          <w:spacing w:val="21"/>
          <w:position w:val="30"/>
          <w:sz w:val="23"/>
          <w:szCs w:val="23"/>
        </w:rPr>
        <w:t>，</w:t>
      </w:r>
      <w:r>
        <w:rPr>
          <w:rFonts w:ascii="微软雅黑" w:hAnsi="微软雅黑" w:eastAsia="微软雅黑" w:cs="微软雅黑"/>
          <w:color w:val="444444"/>
          <w:position w:val="30"/>
          <w:sz w:val="23"/>
          <w:szCs w:val="23"/>
        </w:rPr>
        <w:t xml:space="preserve">  </w:t>
      </w:r>
      <w:r>
        <w:rPr>
          <w:rFonts w:ascii="微软雅黑" w:hAnsi="微软雅黑" w:eastAsia="微软雅黑" w:cs="微软雅黑"/>
          <w:color w:val="444444"/>
          <w:spacing w:val="18"/>
          <w:position w:val="30"/>
          <w:sz w:val="23"/>
          <w:szCs w:val="23"/>
        </w:rPr>
        <w:t>引入接触时间</w:t>
      </w:r>
      <w:r>
        <w:rPr>
          <w:rFonts w:ascii="微软雅黑" w:hAnsi="微软雅黑" w:eastAsia="微软雅黑" w:cs="微软雅黑"/>
          <w:color w:val="444444"/>
          <w:spacing w:val="21"/>
          <w:position w:val="30"/>
          <w:sz w:val="23"/>
          <w:szCs w:val="23"/>
        </w:rPr>
        <w:t>，</w:t>
      </w:r>
      <w:r>
        <w:rPr>
          <w:rFonts w:ascii="微软雅黑" w:hAnsi="微软雅黑" w:eastAsia="微软雅黑" w:cs="微软雅黑"/>
          <w:color w:val="444444"/>
          <w:position w:val="30"/>
          <w:sz w:val="23"/>
          <w:szCs w:val="23"/>
        </w:rPr>
        <w:t xml:space="preserve">  </w:t>
      </w:r>
      <w:r>
        <w:rPr>
          <w:rFonts w:ascii="微软雅黑" w:hAnsi="微软雅黑" w:eastAsia="微软雅黑" w:cs="微软雅黑"/>
          <w:color w:val="444444"/>
          <w:spacing w:val="18"/>
          <w:position w:val="30"/>
          <w:sz w:val="23"/>
          <w:szCs w:val="23"/>
        </w:rPr>
        <w:t>不同的接触时间要求的容许值不一致</w:t>
      </w:r>
      <w:r>
        <w:rPr>
          <w:rFonts w:ascii="微软雅黑" w:hAnsi="微软雅黑" w:eastAsia="微软雅黑" w:cs="微软雅黑"/>
          <w:color w:val="444444"/>
          <w:spacing w:val="21"/>
          <w:position w:val="30"/>
          <w:sz w:val="23"/>
          <w:szCs w:val="23"/>
        </w:rPr>
        <w:t>。</w:t>
      </w:r>
    </w:p>
    <w:p w14:paraId="28CF74BB">
      <w:pPr>
        <w:spacing w:line="190" w:lineRule="auto"/>
        <w:ind w:firstLine="1"/>
        <w:rPr>
          <w:rFonts w:ascii="微软雅黑" w:hAnsi="微软雅黑" w:eastAsia="微软雅黑" w:cs="微软雅黑"/>
          <w:sz w:val="23"/>
          <w:szCs w:val="23"/>
        </w:rPr>
      </w:pPr>
      <w:r>
        <w:rPr>
          <w:rFonts w:ascii="微软雅黑" w:hAnsi="微软雅黑" w:eastAsia="微软雅黑" w:cs="微软雅黑"/>
          <w:color w:val="444444"/>
          <w:spacing w:val="16"/>
          <w:sz w:val="23"/>
          <w:szCs w:val="23"/>
        </w:rPr>
        <w:t>第六</w:t>
      </w:r>
      <w:r>
        <w:rPr>
          <w:rFonts w:ascii="微软雅黑" w:hAnsi="微软雅黑" w:eastAsia="微软雅黑" w:cs="微软雅黑"/>
          <w:color w:val="444444"/>
          <w:spacing w:val="6"/>
          <w:sz w:val="23"/>
          <w:szCs w:val="23"/>
        </w:rPr>
        <w:t xml:space="preserve">   </w:t>
      </w:r>
      <w:r>
        <w:rPr>
          <w:rFonts w:ascii="微软雅黑" w:hAnsi="微软雅黑" w:eastAsia="微软雅黑" w:cs="微软雅黑"/>
          <w:color w:val="444444"/>
          <w:spacing w:val="16"/>
          <w:sz w:val="23"/>
          <w:szCs w:val="23"/>
        </w:rPr>
        <w:t>增加</w:t>
      </w:r>
      <w:r>
        <w:rPr>
          <w:rFonts w:ascii="微软雅黑" w:hAnsi="微软雅黑" w:eastAsia="微软雅黑" w:cs="微软雅黑"/>
          <w:color w:val="444444"/>
          <w:spacing w:val="6"/>
          <w:sz w:val="23"/>
          <w:szCs w:val="23"/>
        </w:rPr>
        <w:t xml:space="preserve"> </w:t>
      </w:r>
      <w:r>
        <w:rPr>
          <w:rFonts w:ascii="微软雅黑" w:hAnsi="微软雅黑" w:eastAsia="微软雅黑" w:cs="微软雅黑"/>
          <w:color w:val="444444"/>
          <w:spacing w:val="10"/>
          <w:sz w:val="23"/>
          <w:szCs w:val="23"/>
        </w:rPr>
        <w:t>YY</w:t>
      </w:r>
      <w:r>
        <w:rPr>
          <w:rFonts w:ascii="微软雅黑" w:hAnsi="微软雅黑" w:eastAsia="微软雅黑" w:cs="微软雅黑"/>
          <w:color w:val="444444"/>
          <w:spacing w:val="6"/>
          <w:sz w:val="23"/>
          <w:szCs w:val="23"/>
        </w:rPr>
        <w:t xml:space="preserve"> </w:t>
      </w:r>
      <w:r>
        <w:rPr>
          <w:rFonts w:ascii="微软雅黑" w:hAnsi="微软雅黑" w:eastAsia="微软雅黑" w:cs="微软雅黑"/>
          <w:color w:val="444444"/>
          <w:spacing w:val="9"/>
          <w:sz w:val="23"/>
          <w:szCs w:val="23"/>
        </w:rPr>
        <w:t>07</w:t>
      </w:r>
      <w:r>
        <w:rPr>
          <w:rFonts w:ascii="微软雅黑" w:hAnsi="微软雅黑" w:eastAsia="微软雅黑" w:cs="微软雅黑"/>
          <w:color w:val="444444"/>
          <w:spacing w:val="8"/>
          <w:sz w:val="23"/>
          <w:szCs w:val="23"/>
        </w:rPr>
        <w:t>08</w:t>
      </w:r>
      <w:r>
        <w:rPr>
          <w:rFonts w:ascii="微软雅黑" w:hAnsi="微软雅黑" w:eastAsia="微软雅黑" w:cs="微软雅黑"/>
          <w:color w:val="444444"/>
          <w:spacing w:val="6"/>
          <w:sz w:val="23"/>
          <w:szCs w:val="23"/>
        </w:rPr>
        <w:t xml:space="preserve"> </w:t>
      </w:r>
      <w:r>
        <w:rPr>
          <w:rFonts w:ascii="微软雅黑" w:hAnsi="微软雅黑" w:eastAsia="微软雅黑" w:cs="微软雅黑"/>
          <w:color w:val="444444"/>
          <w:spacing w:val="15"/>
          <w:sz w:val="23"/>
          <w:szCs w:val="23"/>
        </w:rPr>
        <w:t>的内容</w:t>
      </w:r>
      <w:r>
        <w:rPr>
          <w:rFonts w:ascii="微软雅黑" w:hAnsi="微软雅黑" w:eastAsia="微软雅黑" w:cs="微软雅黑"/>
          <w:color w:val="444444"/>
          <w:spacing w:val="17"/>
          <w:sz w:val="23"/>
          <w:szCs w:val="23"/>
        </w:rPr>
        <w:t>，</w:t>
      </w:r>
      <w:r>
        <w:rPr>
          <w:rFonts w:ascii="微软雅黑" w:hAnsi="微软雅黑" w:eastAsia="微软雅黑" w:cs="微软雅黑"/>
          <w:color w:val="444444"/>
          <w:sz w:val="23"/>
          <w:szCs w:val="23"/>
        </w:rPr>
        <w:t xml:space="preserve">  </w:t>
      </w:r>
      <w:r>
        <w:rPr>
          <w:rFonts w:ascii="微软雅黑" w:hAnsi="微软雅黑" w:eastAsia="微软雅黑" w:cs="微软雅黑"/>
          <w:color w:val="444444"/>
          <w:spacing w:val="15"/>
          <w:sz w:val="23"/>
          <w:szCs w:val="23"/>
        </w:rPr>
        <w:t>在</w:t>
      </w:r>
      <w:r>
        <w:rPr>
          <w:rFonts w:ascii="微软雅黑" w:hAnsi="微软雅黑" w:eastAsia="微软雅黑" w:cs="微软雅黑"/>
          <w:color w:val="444444"/>
          <w:spacing w:val="6"/>
          <w:sz w:val="23"/>
          <w:szCs w:val="23"/>
        </w:rPr>
        <w:t xml:space="preserve"> </w:t>
      </w:r>
      <w:r>
        <w:rPr>
          <w:rFonts w:ascii="微软雅黑" w:hAnsi="微软雅黑" w:eastAsia="微软雅黑" w:cs="微软雅黑"/>
          <w:color w:val="444444"/>
          <w:spacing w:val="11"/>
          <w:sz w:val="23"/>
          <w:szCs w:val="23"/>
        </w:rPr>
        <w:t>G</w:t>
      </w:r>
      <w:r>
        <w:rPr>
          <w:rFonts w:ascii="微软雅黑" w:hAnsi="微软雅黑" w:eastAsia="微软雅黑" w:cs="微软雅黑"/>
          <w:color w:val="444444"/>
          <w:spacing w:val="9"/>
          <w:sz w:val="23"/>
          <w:szCs w:val="23"/>
        </w:rPr>
        <w:t>B</w:t>
      </w:r>
      <w:r>
        <w:rPr>
          <w:rFonts w:ascii="微软雅黑" w:hAnsi="微软雅黑" w:eastAsia="微软雅黑" w:cs="微软雅黑"/>
          <w:color w:val="444444"/>
          <w:spacing w:val="6"/>
          <w:sz w:val="23"/>
          <w:szCs w:val="23"/>
        </w:rPr>
        <w:t xml:space="preserve"> </w:t>
      </w:r>
      <w:r>
        <w:rPr>
          <w:rFonts w:ascii="微软雅黑" w:hAnsi="微软雅黑" w:eastAsia="微软雅黑" w:cs="微软雅黑"/>
          <w:color w:val="444444"/>
          <w:spacing w:val="8"/>
          <w:sz w:val="23"/>
          <w:szCs w:val="23"/>
        </w:rPr>
        <w:t>9706</w:t>
      </w:r>
      <w:r>
        <w:rPr>
          <w:rFonts w:ascii="微软雅黑" w:hAnsi="微软雅黑" w:eastAsia="微软雅黑" w:cs="微软雅黑"/>
          <w:color w:val="444444"/>
          <w:spacing w:val="4"/>
          <w:sz w:val="23"/>
          <w:szCs w:val="23"/>
        </w:rPr>
        <w:t>.</w:t>
      </w:r>
      <w:r>
        <w:rPr>
          <w:rFonts w:ascii="微软雅黑" w:hAnsi="微软雅黑" w:eastAsia="微软雅黑" w:cs="微软雅黑"/>
          <w:color w:val="444444"/>
          <w:spacing w:val="6"/>
          <w:sz w:val="23"/>
          <w:szCs w:val="23"/>
        </w:rPr>
        <w:t xml:space="preserve"> </w:t>
      </w:r>
      <w:r>
        <w:rPr>
          <w:rFonts w:ascii="微软雅黑" w:hAnsi="微软雅黑" w:eastAsia="微软雅黑" w:cs="微软雅黑"/>
          <w:color w:val="444444"/>
          <w:spacing w:val="8"/>
          <w:sz w:val="23"/>
          <w:szCs w:val="23"/>
        </w:rPr>
        <w:t>1</w:t>
      </w:r>
      <w:r>
        <w:rPr>
          <w:rFonts w:ascii="微软雅黑" w:hAnsi="微软雅黑" w:eastAsia="微软雅黑" w:cs="微软雅黑"/>
          <w:color w:val="444444"/>
          <w:spacing w:val="6"/>
          <w:sz w:val="23"/>
          <w:szCs w:val="23"/>
        </w:rPr>
        <w:t>-</w:t>
      </w:r>
      <w:r>
        <w:rPr>
          <w:rFonts w:ascii="微软雅黑" w:hAnsi="微软雅黑" w:eastAsia="微软雅黑" w:cs="微软雅黑"/>
          <w:color w:val="444444"/>
          <w:spacing w:val="8"/>
          <w:sz w:val="23"/>
          <w:szCs w:val="23"/>
        </w:rPr>
        <w:t>2020</w:t>
      </w:r>
      <w:r>
        <w:rPr>
          <w:rFonts w:ascii="微软雅黑" w:hAnsi="微软雅黑" w:eastAsia="微软雅黑" w:cs="微软雅黑"/>
          <w:color w:val="444444"/>
          <w:spacing w:val="6"/>
          <w:sz w:val="23"/>
          <w:szCs w:val="23"/>
        </w:rPr>
        <w:t xml:space="preserve"> </w:t>
      </w:r>
      <w:r>
        <w:rPr>
          <w:rFonts w:ascii="微软雅黑" w:hAnsi="微软雅黑" w:eastAsia="微软雅黑" w:cs="微软雅黑"/>
          <w:color w:val="444444"/>
          <w:spacing w:val="15"/>
          <w:sz w:val="23"/>
          <w:szCs w:val="23"/>
        </w:rPr>
        <w:t>标准中单列为</w:t>
      </w:r>
      <w:r>
        <w:rPr>
          <w:rFonts w:ascii="微软雅黑" w:hAnsi="微软雅黑" w:eastAsia="微软雅黑" w:cs="微软雅黑"/>
          <w:color w:val="444444"/>
          <w:spacing w:val="6"/>
          <w:sz w:val="23"/>
          <w:szCs w:val="23"/>
        </w:rPr>
        <w:t xml:space="preserve"> </w:t>
      </w:r>
      <w:r>
        <w:rPr>
          <w:rFonts w:ascii="微软雅黑" w:hAnsi="微软雅黑" w:eastAsia="微软雅黑" w:cs="微软雅黑"/>
          <w:color w:val="444444"/>
          <w:spacing w:val="8"/>
          <w:sz w:val="23"/>
          <w:szCs w:val="23"/>
        </w:rPr>
        <w:t>14</w:t>
      </w:r>
      <w:r>
        <w:rPr>
          <w:rFonts w:ascii="微软雅黑" w:hAnsi="微软雅黑" w:eastAsia="微软雅黑" w:cs="微软雅黑"/>
          <w:color w:val="444444"/>
          <w:spacing w:val="6"/>
          <w:sz w:val="23"/>
          <w:szCs w:val="23"/>
        </w:rPr>
        <w:t xml:space="preserve"> </w:t>
      </w:r>
      <w:r>
        <w:rPr>
          <w:rFonts w:ascii="微软雅黑" w:hAnsi="微软雅黑" w:eastAsia="微软雅黑" w:cs="微软雅黑"/>
          <w:color w:val="444444"/>
          <w:spacing w:val="15"/>
          <w:sz w:val="23"/>
          <w:szCs w:val="23"/>
        </w:rPr>
        <w:t>章</w:t>
      </w:r>
      <w:r>
        <w:rPr>
          <w:rFonts w:ascii="微软雅黑" w:hAnsi="微软雅黑" w:eastAsia="微软雅黑" w:cs="微软雅黑"/>
          <w:color w:val="444444"/>
          <w:spacing w:val="17"/>
          <w:sz w:val="23"/>
          <w:szCs w:val="23"/>
        </w:rPr>
        <w:t>。</w:t>
      </w:r>
    </w:p>
    <w:p w14:paraId="657B42CA">
      <w:pPr>
        <w:spacing w:before="312" w:line="190" w:lineRule="auto"/>
        <w:ind w:firstLine="1"/>
        <w:rPr>
          <w:rFonts w:ascii="微软雅黑" w:hAnsi="微软雅黑" w:eastAsia="微软雅黑" w:cs="微软雅黑"/>
          <w:sz w:val="23"/>
          <w:szCs w:val="23"/>
        </w:rPr>
      </w:pPr>
      <w:r>
        <w:rPr>
          <w:rFonts w:ascii="微软雅黑" w:hAnsi="微软雅黑" w:eastAsia="微软雅黑" w:cs="微软雅黑"/>
          <w:color w:val="444444"/>
          <w:spacing w:val="16"/>
          <w:sz w:val="23"/>
          <w:szCs w:val="23"/>
        </w:rPr>
        <w:t>第七</w:t>
      </w:r>
      <w:r>
        <w:rPr>
          <w:rFonts w:ascii="微软雅黑" w:hAnsi="微软雅黑" w:eastAsia="微软雅黑" w:cs="微软雅黑"/>
          <w:color w:val="444444"/>
          <w:spacing w:val="6"/>
          <w:sz w:val="23"/>
          <w:szCs w:val="23"/>
        </w:rPr>
        <w:t xml:space="preserve">   </w:t>
      </w:r>
      <w:r>
        <w:rPr>
          <w:rFonts w:ascii="微软雅黑" w:hAnsi="微软雅黑" w:eastAsia="微软雅黑" w:cs="微软雅黑"/>
          <w:color w:val="444444"/>
          <w:spacing w:val="16"/>
          <w:sz w:val="23"/>
          <w:szCs w:val="23"/>
        </w:rPr>
        <w:t>在</w:t>
      </w:r>
      <w:r>
        <w:rPr>
          <w:rFonts w:ascii="微软雅黑" w:hAnsi="微软雅黑" w:eastAsia="微软雅黑" w:cs="微软雅黑"/>
          <w:color w:val="444444"/>
          <w:spacing w:val="6"/>
          <w:sz w:val="23"/>
          <w:szCs w:val="23"/>
        </w:rPr>
        <w:t xml:space="preserve"> </w:t>
      </w:r>
      <w:r>
        <w:rPr>
          <w:rFonts w:ascii="微软雅黑" w:hAnsi="微软雅黑" w:eastAsia="微软雅黑" w:cs="微软雅黑"/>
          <w:color w:val="444444"/>
          <w:spacing w:val="9"/>
          <w:sz w:val="23"/>
          <w:szCs w:val="23"/>
        </w:rPr>
        <w:t>16</w:t>
      </w:r>
      <w:r>
        <w:rPr>
          <w:rFonts w:ascii="微软雅黑" w:hAnsi="微软雅黑" w:eastAsia="微软雅黑" w:cs="微软雅黑"/>
          <w:color w:val="444444"/>
          <w:spacing w:val="6"/>
          <w:sz w:val="23"/>
          <w:szCs w:val="23"/>
        </w:rPr>
        <w:t xml:space="preserve"> </w:t>
      </w:r>
      <w:r>
        <w:rPr>
          <w:rFonts w:ascii="微软雅黑" w:hAnsi="微软雅黑" w:eastAsia="微软雅黑" w:cs="微软雅黑"/>
          <w:color w:val="444444"/>
          <w:spacing w:val="16"/>
          <w:sz w:val="23"/>
          <w:szCs w:val="23"/>
        </w:rPr>
        <w:t>章中增加了</w:t>
      </w:r>
      <w:r>
        <w:rPr>
          <w:rFonts w:ascii="微软雅黑" w:hAnsi="微软雅黑" w:eastAsia="微软雅黑" w:cs="微软雅黑"/>
          <w:color w:val="444444"/>
          <w:spacing w:val="6"/>
          <w:sz w:val="23"/>
          <w:szCs w:val="23"/>
        </w:rPr>
        <w:t xml:space="preserve"> </w:t>
      </w:r>
      <w:r>
        <w:rPr>
          <w:rFonts w:ascii="微软雅黑" w:hAnsi="微软雅黑" w:eastAsia="微软雅黑" w:cs="微软雅黑"/>
          <w:color w:val="444444"/>
          <w:spacing w:val="11"/>
          <w:sz w:val="23"/>
          <w:szCs w:val="23"/>
        </w:rPr>
        <w:t>G</w:t>
      </w:r>
      <w:r>
        <w:rPr>
          <w:rFonts w:ascii="微软雅黑" w:hAnsi="微软雅黑" w:eastAsia="微软雅黑" w:cs="微软雅黑"/>
          <w:color w:val="444444"/>
          <w:spacing w:val="10"/>
          <w:sz w:val="23"/>
          <w:szCs w:val="23"/>
        </w:rPr>
        <w:t>B</w:t>
      </w:r>
      <w:r>
        <w:rPr>
          <w:rFonts w:ascii="微软雅黑" w:hAnsi="微软雅黑" w:eastAsia="微软雅黑" w:cs="微软雅黑"/>
          <w:color w:val="444444"/>
          <w:spacing w:val="6"/>
          <w:sz w:val="23"/>
          <w:szCs w:val="23"/>
        </w:rPr>
        <w:t xml:space="preserve"> </w:t>
      </w:r>
      <w:r>
        <w:rPr>
          <w:rFonts w:ascii="微软雅黑" w:hAnsi="微软雅黑" w:eastAsia="微软雅黑" w:cs="微软雅黑"/>
          <w:color w:val="444444"/>
          <w:spacing w:val="9"/>
          <w:sz w:val="23"/>
          <w:szCs w:val="23"/>
        </w:rPr>
        <w:t>9706</w:t>
      </w:r>
      <w:r>
        <w:rPr>
          <w:rFonts w:ascii="微软雅黑" w:hAnsi="微软雅黑" w:eastAsia="微软雅黑" w:cs="微软雅黑"/>
          <w:color w:val="444444"/>
          <w:spacing w:val="4"/>
          <w:sz w:val="23"/>
          <w:szCs w:val="23"/>
        </w:rPr>
        <w:t>.</w:t>
      </w:r>
      <w:r>
        <w:rPr>
          <w:rFonts w:ascii="微软雅黑" w:hAnsi="微软雅黑" w:eastAsia="微软雅黑" w:cs="微软雅黑"/>
          <w:color w:val="444444"/>
          <w:spacing w:val="5"/>
          <w:sz w:val="23"/>
          <w:szCs w:val="23"/>
        </w:rPr>
        <w:t xml:space="preserve"> </w:t>
      </w:r>
      <w:r>
        <w:rPr>
          <w:rFonts w:ascii="微软雅黑" w:hAnsi="微软雅黑" w:eastAsia="微软雅黑" w:cs="微软雅黑"/>
          <w:color w:val="444444"/>
          <w:spacing w:val="9"/>
          <w:sz w:val="23"/>
          <w:szCs w:val="23"/>
        </w:rPr>
        <w:t>1</w:t>
      </w:r>
      <w:r>
        <w:rPr>
          <w:rFonts w:ascii="微软雅黑" w:hAnsi="微软雅黑" w:eastAsia="微软雅黑" w:cs="微软雅黑"/>
          <w:color w:val="444444"/>
          <w:spacing w:val="5"/>
          <w:sz w:val="23"/>
          <w:szCs w:val="23"/>
        </w:rPr>
        <w:t xml:space="preserve"> </w:t>
      </w:r>
      <w:r>
        <w:rPr>
          <w:rFonts w:ascii="微软雅黑" w:hAnsi="微软雅黑" w:eastAsia="微软雅黑" w:cs="微软雅黑"/>
          <w:color w:val="444444"/>
          <w:spacing w:val="9"/>
          <w:sz w:val="23"/>
          <w:szCs w:val="23"/>
        </w:rPr>
        <w:t>5</w:t>
      </w:r>
      <w:r>
        <w:rPr>
          <w:rFonts w:ascii="微软雅黑" w:hAnsi="微软雅黑" w:eastAsia="微软雅黑" w:cs="微软雅黑"/>
          <w:color w:val="444444"/>
          <w:spacing w:val="5"/>
          <w:sz w:val="23"/>
          <w:szCs w:val="23"/>
        </w:rPr>
        <w:t xml:space="preserve"> </w:t>
      </w:r>
      <w:r>
        <w:rPr>
          <w:rFonts w:ascii="微软雅黑" w:hAnsi="微软雅黑" w:eastAsia="微软雅黑" w:cs="微软雅黑"/>
          <w:color w:val="444444"/>
          <w:spacing w:val="16"/>
          <w:sz w:val="23"/>
          <w:szCs w:val="23"/>
        </w:rPr>
        <w:t>的内容</w:t>
      </w:r>
      <w:r>
        <w:rPr>
          <w:rFonts w:ascii="微软雅黑" w:hAnsi="微软雅黑" w:eastAsia="微软雅黑" w:cs="微软雅黑"/>
          <w:color w:val="444444"/>
          <w:spacing w:val="17"/>
          <w:sz w:val="23"/>
          <w:szCs w:val="23"/>
        </w:rPr>
        <w:t>，</w:t>
      </w:r>
      <w:r>
        <w:rPr>
          <w:rFonts w:ascii="微软雅黑" w:hAnsi="微软雅黑" w:eastAsia="微软雅黑" w:cs="微软雅黑"/>
          <w:color w:val="444444"/>
          <w:sz w:val="23"/>
          <w:szCs w:val="23"/>
        </w:rPr>
        <w:t xml:space="preserve">  </w:t>
      </w:r>
      <w:r>
        <w:rPr>
          <w:rFonts w:ascii="微软雅黑" w:hAnsi="微软雅黑" w:eastAsia="微软雅黑" w:cs="微软雅黑"/>
          <w:color w:val="444444"/>
          <w:spacing w:val="16"/>
          <w:sz w:val="23"/>
          <w:szCs w:val="23"/>
        </w:rPr>
        <w:t>即医用电气设备和医用电气系统的要求</w:t>
      </w:r>
      <w:r>
        <w:rPr>
          <w:rFonts w:ascii="微软雅黑" w:hAnsi="微软雅黑" w:eastAsia="微软雅黑" w:cs="微软雅黑"/>
          <w:color w:val="444444"/>
          <w:spacing w:val="17"/>
          <w:sz w:val="23"/>
          <w:szCs w:val="23"/>
        </w:rPr>
        <w:t>。</w:t>
      </w:r>
    </w:p>
    <w:p w14:paraId="4C6E8DE0">
      <w:pPr>
        <w:sectPr>
          <w:pgSz w:w="16839" w:h="11906"/>
          <w:pgMar w:top="1012" w:right="1440" w:bottom="0" w:left="1440" w:header="0" w:footer="0" w:gutter="0"/>
          <w:cols w:space="720" w:num="1"/>
        </w:sectPr>
      </w:pPr>
    </w:p>
    <w:p w14:paraId="0B4DC82F">
      <w:pPr>
        <w:spacing w:line="284" w:lineRule="auto"/>
        <w:rPr>
          <w:rFonts w:ascii="Arial"/>
          <w:sz w:val="21"/>
        </w:rPr>
      </w:pPr>
    </w:p>
    <w:tbl>
      <w:tblPr>
        <w:tblStyle w:val="3"/>
        <w:tblpPr w:leftFromText="180" w:rightFromText="180" w:vertAnchor="text" w:horzAnchor="page" w:tblpX="1469" w:tblpY="48"/>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859"/>
        <w:gridCol w:w="2826"/>
        <w:gridCol w:w="8790"/>
      </w:tblGrid>
      <w:tr w14:paraId="3217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31" w:type="pct"/>
            <w:vAlign w:val="center"/>
          </w:tcPr>
          <w:p w14:paraId="5EBBB92A">
            <w:pPr>
              <w:widowControl w:val="0"/>
              <w:jc w:val="center"/>
              <w:rPr>
                <w:rFonts w:hint="eastAsia" w:eastAsiaTheme="minorEastAsia"/>
                <w:b/>
                <w:bCs/>
                <w:vertAlign w:val="baseline"/>
                <w:lang w:val="en-US" w:eastAsia="zh-CN"/>
              </w:rPr>
            </w:pPr>
            <w:r>
              <w:rPr>
                <w:rFonts w:hint="eastAsia"/>
                <w:b/>
                <w:bCs/>
                <w:vertAlign w:val="baseline"/>
                <w:lang w:val="en-US" w:eastAsia="zh-CN"/>
              </w:rPr>
              <w:t>序号</w:t>
            </w:r>
          </w:p>
        </w:tc>
        <w:tc>
          <w:tcPr>
            <w:tcW w:w="328" w:type="pct"/>
            <w:vAlign w:val="center"/>
          </w:tcPr>
          <w:p w14:paraId="0AAE3ABD">
            <w:pPr>
              <w:widowControl w:val="0"/>
              <w:jc w:val="center"/>
              <w:rPr>
                <w:rFonts w:hint="eastAsia" w:eastAsiaTheme="minorEastAsia"/>
                <w:b/>
                <w:bCs/>
                <w:vertAlign w:val="baseline"/>
                <w:lang w:val="en-US" w:eastAsia="zh-CN"/>
              </w:rPr>
            </w:pPr>
            <w:r>
              <w:rPr>
                <w:rFonts w:hint="eastAsia"/>
                <w:b/>
                <w:bCs/>
                <w:vertAlign w:val="baseline"/>
                <w:lang w:val="en-US" w:eastAsia="zh-CN"/>
              </w:rPr>
              <w:t>条款</w:t>
            </w:r>
          </w:p>
        </w:tc>
        <w:tc>
          <w:tcPr>
            <w:tcW w:w="1080" w:type="pct"/>
            <w:vAlign w:val="center"/>
          </w:tcPr>
          <w:p w14:paraId="26E5AF56">
            <w:pPr>
              <w:widowControl w:val="0"/>
              <w:jc w:val="center"/>
              <w:rPr>
                <w:rFonts w:hint="eastAsia" w:eastAsiaTheme="minorEastAsia"/>
                <w:b/>
                <w:bCs/>
                <w:vertAlign w:val="baseline"/>
                <w:lang w:val="en-US" w:eastAsia="zh-CN"/>
              </w:rPr>
            </w:pPr>
            <w:r>
              <w:rPr>
                <w:rFonts w:hint="eastAsia"/>
                <w:b/>
                <w:bCs/>
                <w:vertAlign w:val="baseline"/>
                <w:lang w:val="en-US" w:eastAsia="zh-CN"/>
              </w:rPr>
              <w:t>项目</w:t>
            </w:r>
          </w:p>
        </w:tc>
        <w:tc>
          <w:tcPr>
            <w:tcW w:w="3360" w:type="pct"/>
            <w:vAlign w:val="center"/>
          </w:tcPr>
          <w:p w14:paraId="72D1ADBA">
            <w:pPr>
              <w:widowControl w:val="0"/>
              <w:jc w:val="center"/>
              <w:rPr>
                <w:rFonts w:hint="default" w:eastAsiaTheme="minorEastAsia"/>
                <w:b/>
                <w:bCs/>
                <w:vertAlign w:val="baseline"/>
                <w:lang w:val="en-US" w:eastAsia="zh-CN"/>
              </w:rPr>
            </w:pPr>
            <w:r>
              <w:rPr>
                <w:rFonts w:hint="eastAsia"/>
                <w:b/>
                <w:bCs/>
                <w:vertAlign w:val="baseline"/>
                <w:lang w:val="en-US" w:eastAsia="zh-CN"/>
              </w:rPr>
              <w:t>主要变化</w:t>
            </w:r>
          </w:p>
        </w:tc>
      </w:tr>
      <w:tr w14:paraId="2B74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31" w:type="pct"/>
            <w:vAlign w:val="center"/>
          </w:tcPr>
          <w:p w14:paraId="322C7871">
            <w:pPr>
              <w:widowControl w:val="0"/>
              <w:jc w:val="center"/>
              <w:rPr>
                <w:rFonts w:hint="eastAsia" w:eastAsiaTheme="minorEastAsia"/>
                <w:vertAlign w:val="baseline"/>
                <w:lang w:val="en-US" w:eastAsia="zh-CN"/>
              </w:rPr>
            </w:pPr>
            <w:r>
              <w:rPr>
                <w:rFonts w:hint="eastAsia"/>
                <w:vertAlign w:val="baseline"/>
                <w:lang w:val="en-US" w:eastAsia="zh-CN"/>
              </w:rPr>
              <w:t>1</w:t>
            </w:r>
          </w:p>
        </w:tc>
        <w:tc>
          <w:tcPr>
            <w:tcW w:w="328" w:type="pct"/>
            <w:vAlign w:val="center"/>
          </w:tcPr>
          <w:p w14:paraId="2C8E8504">
            <w:pPr>
              <w:widowControl w:val="0"/>
              <w:jc w:val="center"/>
              <w:rPr>
                <w:rFonts w:hint="default" w:eastAsiaTheme="minorEastAsia"/>
                <w:vertAlign w:val="baseline"/>
                <w:lang w:val="en-US" w:eastAsia="zh-CN"/>
              </w:rPr>
            </w:pPr>
            <w:r>
              <w:rPr>
                <w:rFonts w:hint="eastAsia"/>
                <w:vertAlign w:val="baseline"/>
                <w:lang w:val="en-US" w:eastAsia="zh-CN"/>
              </w:rPr>
              <w:t>4.11</w:t>
            </w:r>
          </w:p>
        </w:tc>
        <w:tc>
          <w:tcPr>
            <w:tcW w:w="1080" w:type="pct"/>
            <w:vAlign w:val="center"/>
          </w:tcPr>
          <w:p w14:paraId="546C58E5">
            <w:pPr>
              <w:widowControl w:val="0"/>
              <w:jc w:val="center"/>
              <w:rPr>
                <w:rFonts w:hint="default" w:eastAsiaTheme="minorEastAsia"/>
                <w:vertAlign w:val="baseline"/>
                <w:lang w:val="en-US" w:eastAsia="zh-CN"/>
              </w:rPr>
            </w:pPr>
            <w:r>
              <w:rPr>
                <w:rFonts w:hint="eastAsia"/>
                <w:vertAlign w:val="baseline"/>
                <w:lang w:val="en-US" w:eastAsia="zh-CN"/>
              </w:rPr>
              <w:t>输入功率</w:t>
            </w:r>
          </w:p>
        </w:tc>
        <w:tc>
          <w:tcPr>
            <w:tcW w:w="3360" w:type="pct"/>
            <w:vAlign w:val="center"/>
          </w:tcPr>
          <w:p w14:paraId="5EB784AF">
            <w:pPr>
              <w:widowControl w:val="0"/>
              <w:jc w:val="left"/>
              <w:rPr>
                <w:rFonts w:hint="eastAsia" w:asciiTheme="minorEastAsia" w:hAnsiTheme="minorEastAsia" w:cstheme="minorEastAsia"/>
                <w:vertAlign w:val="baseline"/>
                <w:lang w:val="en-US" w:eastAsia="zh-CN"/>
              </w:rPr>
            </w:pPr>
            <w:r>
              <w:rPr>
                <w:rFonts w:hint="eastAsia"/>
                <w:vertAlign w:val="baseline"/>
                <w:lang w:val="en-US" w:eastAsia="zh-CN"/>
              </w:rPr>
              <w:t>GB9706.1-2020标准要求在额定电压和使用说明书规定的工作设定时，医用电气设备或医用电气系统的稳态输入功率不应超出标称值的10%，在GB9706.1-2007中分别为</w:t>
            </w:r>
            <w:r>
              <w:rPr>
                <w:rFonts w:hint="eastAsia" w:ascii="宋体" w:hAnsi="宋体" w:eastAsia="宋体" w:cs="宋体"/>
                <w:vertAlign w:val="baseline"/>
                <w:lang w:val="en-US" w:eastAsia="zh-CN"/>
              </w:rPr>
              <w:t>±</w:t>
            </w:r>
            <w:r>
              <w:rPr>
                <w:rFonts w:hint="eastAsia" w:asciiTheme="minorEastAsia" w:hAnsiTheme="minorEastAsia" w:cstheme="minorEastAsia"/>
                <w:vertAlign w:val="baseline"/>
                <w:lang w:val="en-US" w:eastAsia="zh-CN"/>
              </w:rPr>
              <w:t>10%，</w:t>
            </w:r>
            <w:r>
              <w:rPr>
                <w:rFonts w:hint="eastAsia" w:ascii="宋体" w:hAnsi="宋体" w:eastAsia="宋体" w:cs="宋体"/>
                <w:vertAlign w:val="baseline"/>
                <w:lang w:val="en-US" w:eastAsia="zh-CN"/>
              </w:rPr>
              <w:t>±</w:t>
            </w:r>
            <w:r>
              <w:rPr>
                <w:rFonts w:hint="eastAsia" w:asciiTheme="minorEastAsia" w:hAnsiTheme="minorEastAsia" w:cstheme="minorEastAsia"/>
                <w:vertAlign w:val="baseline"/>
                <w:lang w:val="en-US" w:eastAsia="zh-CN"/>
              </w:rPr>
              <w:t>15%，</w:t>
            </w:r>
            <w:r>
              <w:rPr>
                <w:rFonts w:hint="eastAsia" w:ascii="宋体" w:hAnsi="宋体" w:eastAsia="宋体" w:cs="宋体"/>
                <w:vertAlign w:val="baseline"/>
                <w:lang w:val="en-US" w:eastAsia="zh-CN"/>
              </w:rPr>
              <w:t>±</w:t>
            </w:r>
            <w:r>
              <w:rPr>
                <w:rFonts w:hint="eastAsia" w:asciiTheme="minorEastAsia" w:hAnsiTheme="minorEastAsia" w:cstheme="minorEastAsia"/>
                <w:vertAlign w:val="baseline"/>
                <w:lang w:val="en-US" w:eastAsia="zh-CN"/>
              </w:rPr>
              <w:t>25%，</w:t>
            </w:r>
          </w:p>
          <w:p w14:paraId="4B36E881">
            <w:pPr>
              <w:widowControl w:val="0"/>
              <w:jc w:val="left"/>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测试方法没有变化。</w:t>
            </w:r>
          </w:p>
        </w:tc>
      </w:tr>
      <w:tr w14:paraId="7F89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Align w:val="center"/>
          </w:tcPr>
          <w:p w14:paraId="270934E1">
            <w:pPr>
              <w:widowControl w:val="0"/>
              <w:jc w:val="center"/>
              <w:rPr>
                <w:rFonts w:hint="eastAsia" w:eastAsiaTheme="minorEastAsia"/>
                <w:vertAlign w:val="baseline"/>
                <w:lang w:val="en-US" w:eastAsia="zh-CN"/>
              </w:rPr>
            </w:pPr>
            <w:r>
              <w:rPr>
                <w:rFonts w:hint="eastAsia"/>
                <w:vertAlign w:val="baseline"/>
                <w:lang w:val="en-US" w:eastAsia="zh-CN"/>
              </w:rPr>
              <w:t>2</w:t>
            </w:r>
          </w:p>
        </w:tc>
        <w:tc>
          <w:tcPr>
            <w:tcW w:w="328" w:type="pct"/>
            <w:vAlign w:val="center"/>
          </w:tcPr>
          <w:p w14:paraId="1DE8792F">
            <w:pPr>
              <w:widowControl w:val="0"/>
              <w:jc w:val="center"/>
              <w:rPr>
                <w:rFonts w:hint="default" w:eastAsiaTheme="minorEastAsia"/>
                <w:vertAlign w:val="baseline"/>
                <w:lang w:val="en-US" w:eastAsia="zh-CN"/>
              </w:rPr>
            </w:pPr>
            <w:r>
              <w:rPr>
                <w:rFonts w:hint="eastAsia"/>
                <w:vertAlign w:val="baseline"/>
                <w:lang w:val="en-US" w:eastAsia="zh-CN"/>
              </w:rPr>
              <w:t>7.1.2</w:t>
            </w:r>
          </w:p>
        </w:tc>
        <w:tc>
          <w:tcPr>
            <w:tcW w:w="1080" w:type="pct"/>
            <w:vAlign w:val="center"/>
          </w:tcPr>
          <w:p w14:paraId="025DC539">
            <w:pPr>
              <w:widowControl w:val="0"/>
              <w:jc w:val="center"/>
              <w:rPr>
                <w:rFonts w:hint="default" w:eastAsiaTheme="minorEastAsia"/>
                <w:vertAlign w:val="baseline"/>
                <w:lang w:val="en-US" w:eastAsia="zh-CN"/>
              </w:rPr>
            </w:pPr>
            <w:r>
              <w:rPr>
                <w:rFonts w:hint="eastAsia"/>
                <w:vertAlign w:val="baseline"/>
                <w:lang w:val="en-US" w:eastAsia="zh-CN"/>
              </w:rPr>
              <w:t>标识易读性</w:t>
            </w:r>
          </w:p>
        </w:tc>
        <w:tc>
          <w:tcPr>
            <w:tcW w:w="3360" w:type="pct"/>
            <w:vAlign w:val="center"/>
          </w:tcPr>
          <w:p w14:paraId="7CA35317">
            <w:pPr>
              <w:widowControl w:val="0"/>
              <w:jc w:val="left"/>
              <w:rPr>
                <w:rFonts w:hint="eastAsia"/>
                <w:vertAlign w:val="baseline"/>
                <w:lang w:val="en-US" w:eastAsia="zh-CN"/>
              </w:rPr>
            </w:pPr>
            <w:r>
              <w:rPr>
                <w:rFonts w:hint="eastAsia"/>
                <w:vertAlign w:val="baseline"/>
                <w:lang w:val="en-US" w:eastAsia="zh-CN"/>
              </w:rPr>
              <w:t>GB9706.1-2020标准增加标识易读性的要求，要求周围照度在100Lx至1500Lx的最不利条件下，</w:t>
            </w:r>
          </w:p>
          <w:p w14:paraId="01351CE7">
            <w:pPr>
              <w:widowControl w:val="0"/>
              <w:jc w:val="left"/>
              <w:rPr>
                <w:rFonts w:hint="default"/>
                <w:vertAlign w:val="baseline"/>
                <w:lang w:val="en-US"/>
              </w:rPr>
            </w:pPr>
            <w:r>
              <w:rPr>
                <w:rFonts w:hint="eastAsia"/>
                <w:vertAlign w:val="baseline"/>
                <w:lang w:val="en-US" w:eastAsia="zh-CN"/>
              </w:rPr>
              <w:t>在操作者位置能看清楚标识。</w:t>
            </w:r>
          </w:p>
        </w:tc>
      </w:tr>
      <w:tr w14:paraId="57A6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Align w:val="center"/>
          </w:tcPr>
          <w:p w14:paraId="20DA4ABD">
            <w:pPr>
              <w:widowControl w:val="0"/>
              <w:jc w:val="center"/>
              <w:rPr>
                <w:rFonts w:hint="eastAsia" w:eastAsiaTheme="minorEastAsia"/>
                <w:vertAlign w:val="baseline"/>
                <w:lang w:val="en-US" w:eastAsia="zh-CN"/>
              </w:rPr>
            </w:pPr>
            <w:r>
              <w:rPr>
                <w:rFonts w:hint="eastAsia"/>
                <w:vertAlign w:val="baseline"/>
                <w:lang w:val="en-US" w:eastAsia="zh-CN"/>
              </w:rPr>
              <w:t>3</w:t>
            </w:r>
          </w:p>
        </w:tc>
        <w:tc>
          <w:tcPr>
            <w:tcW w:w="328" w:type="pct"/>
            <w:vAlign w:val="center"/>
          </w:tcPr>
          <w:p w14:paraId="1C215653">
            <w:pPr>
              <w:widowControl w:val="0"/>
              <w:jc w:val="center"/>
              <w:rPr>
                <w:rFonts w:hint="default" w:eastAsiaTheme="minorEastAsia"/>
                <w:vertAlign w:val="baseline"/>
                <w:lang w:val="en-US" w:eastAsia="zh-CN"/>
              </w:rPr>
            </w:pPr>
            <w:r>
              <w:rPr>
                <w:rFonts w:hint="eastAsia"/>
                <w:vertAlign w:val="baseline"/>
                <w:lang w:val="en-US" w:eastAsia="zh-CN"/>
              </w:rPr>
              <w:t>8.5</w:t>
            </w:r>
          </w:p>
        </w:tc>
        <w:tc>
          <w:tcPr>
            <w:tcW w:w="1080" w:type="pct"/>
            <w:vAlign w:val="center"/>
          </w:tcPr>
          <w:p w14:paraId="6FEBE329">
            <w:pPr>
              <w:widowControl w:val="0"/>
              <w:jc w:val="center"/>
              <w:rPr>
                <w:rFonts w:hint="default" w:eastAsiaTheme="minorEastAsia"/>
                <w:vertAlign w:val="baseline"/>
                <w:lang w:val="en-US" w:eastAsia="zh-CN"/>
              </w:rPr>
            </w:pPr>
            <w:r>
              <w:rPr>
                <w:rFonts w:hint="eastAsia"/>
                <w:vertAlign w:val="baseline"/>
                <w:lang w:val="en-US" w:eastAsia="zh-CN"/>
              </w:rPr>
              <w:t>防护方式</w:t>
            </w:r>
          </w:p>
        </w:tc>
        <w:tc>
          <w:tcPr>
            <w:tcW w:w="3360" w:type="pct"/>
            <w:vAlign w:val="center"/>
          </w:tcPr>
          <w:p w14:paraId="7CA4221B">
            <w:pPr>
              <w:widowControl w:val="0"/>
              <w:jc w:val="left"/>
              <w:rPr>
                <w:rFonts w:hint="eastAsia"/>
                <w:vertAlign w:val="baseline"/>
                <w:lang w:val="en-US" w:eastAsia="zh-CN"/>
              </w:rPr>
            </w:pPr>
            <w:r>
              <w:rPr>
                <w:rFonts w:hint="eastAsia"/>
                <w:vertAlign w:val="baseline"/>
                <w:lang w:val="en-US" w:eastAsia="zh-CN"/>
              </w:rPr>
              <w:t>GB9706.1-2020标准中引入防护方式的概念，分别为患者防护方式（MOPP）和操作者防护方式</w:t>
            </w:r>
          </w:p>
          <w:p w14:paraId="041CA257">
            <w:pPr>
              <w:widowControl w:val="0"/>
              <w:jc w:val="left"/>
              <w:rPr>
                <w:rFonts w:hint="default"/>
                <w:vertAlign w:val="baseline"/>
                <w:lang w:val="en-US"/>
              </w:rPr>
            </w:pPr>
            <w:r>
              <w:rPr>
                <w:rFonts w:hint="eastAsia"/>
                <w:vertAlign w:val="baseline"/>
                <w:lang w:val="en-US" w:eastAsia="zh-CN"/>
              </w:rPr>
              <w:t>（MOOP）,与GB9706.1-2007相比降低了对操作者的要求。</w:t>
            </w:r>
          </w:p>
        </w:tc>
      </w:tr>
      <w:tr w14:paraId="3850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231" w:type="pct"/>
            <w:vAlign w:val="center"/>
          </w:tcPr>
          <w:p w14:paraId="723AD014">
            <w:pPr>
              <w:widowControl w:val="0"/>
              <w:jc w:val="center"/>
              <w:rPr>
                <w:rFonts w:hint="eastAsia" w:eastAsiaTheme="minorEastAsia"/>
                <w:vertAlign w:val="baseline"/>
                <w:lang w:val="en-US" w:eastAsia="zh-CN"/>
              </w:rPr>
            </w:pPr>
            <w:r>
              <w:rPr>
                <w:rFonts w:hint="eastAsia"/>
                <w:vertAlign w:val="baseline"/>
                <w:lang w:val="en-US" w:eastAsia="zh-CN"/>
              </w:rPr>
              <w:t>4</w:t>
            </w:r>
          </w:p>
        </w:tc>
        <w:tc>
          <w:tcPr>
            <w:tcW w:w="328" w:type="pct"/>
            <w:vAlign w:val="center"/>
          </w:tcPr>
          <w:p w14:paraId="7E059E4E">
            <w:pPr>
              <w:widowControl w:val="0"/>
              <w:jc w:val="center"/>
              <w:rPr>
                <w:rFonts w:hint="default" w:eastAsiaTheme="minorEastAsia"/>
                <w:vertAlign w:val="baseline"/>
                <w:lang w:val="en-US" w:eastAsia="zh-CN"/>
              </w:rPr>
            </w:pPr>
            <w:r>
              <w:rPr>
                <w:rFonts w:hint="eastAsia"/>
                <w:vertAlign w:val="baseline"/>
                <w:lang w:val="en-US" w:eastAsia="zh-CN"/>
              </w:rPr>
              <w:t>8.7</w:t>
            </w:r>
          </w:p>
        </w:tc>
        <w:tc>
          <w:tcPr>
            <w:tcW w:w="1080" w:type="pct"/>
            <w:vAlign w:val="center"/>
          </w:tcPr>
          <w:p w14:paraId="42E3E8D4">
            <w:pPr>
              <w:widowControl w:val="0"/>
              <w:jc w:val="center"/>
              <w:rPr>
                <w:rFonts w:hint="default" w:eastAsiaTheme="minorEastAsia"/>
                <w:vertAlign w:val="baseline"/>
                <w:lang w:val="en-US" w:eastAsia="zh-CN"/>
              </w:rPr>
            </w:pPr>
            <w:r>
              <w:rPr>
                <w:rFonts w:hint="eastAsia"/>
                <w:vertAlign w:val="baseline"/>
                <w:lang w:val="en-US" w:eastAsia="zh-CN"/>
              </w:rPr>
              <w:t>漏电流和患者辅助漏电流</w:t>
            </w:r>
          </w:p>
        </w:tc>
        <w:tc>
          <w:tcPr>
            <w:tcW w:w="3360" w:type="pct"/>
            <w:vAlign w:val="center"/>
          </w:tcPr>
          <w:p w14:paraId="514B3ED8">
            <w:pPr>
              <w:widowControl w:val="0"/>
              <w:jc w:val="left"/>
              <w:rPr>
                <w:rFonts w:hint="eastAsia"/>
                <w:vertAlign w:val="baseline"/>
                <w:lang w:val="en-US" w:eastAsia="zh-CN"/>
              </w:rPr>
            </w:pPr>
            <w:r>
              <w:rPr>
                <w:rFonts w:hint="eastAsia"/>
                <w:vertAlign w:val="baseline"/>
                <w:lang w:val="en-US" w:eastAsia="zh-CN"/>
              </w:rPr>
              <w:t>GB9706.1-2020标准中引入接触电流和总患者漏电流。接触电流与GB9706.1-2007外壳漏电流的概念一致，总患者漏电流是新增概念，仅对有多种应用部分的设备适用。</w:t>
            </w:r>
          </w:p>
          <w:p w14:paraId="3B5B7D71">
            <w:pPr>
              <w:widowControl w:val="0"/>
              <w:jc w:val="left"/>
              <w:rPr>
                <w:rFonts w:hint="eastAsia"/>
                <w:vertAlign w:val="baseline"/>
                <w:lang w:val="en-US" w:eastAsia="zh-CN"/>
              </w:rPr>
            </w:pPr>
            <w:r>
              <w:rPr>
                <w:rFonts w:hint="eastAsia"/>
                <w:vertAlign w:val="baseline"/>
                <w:lang w:val="en-US" w:eastAsia="zh-CN"/>
              </w:rPr>
              <w:t>GB9706.1-2020标准的患者漏电流容许值发生变化。依据GB9706.1-2007标准，在信号输入或输出部分施加网电源电压被认为是单一故障状态，容许值为5mA。而依据GB9706.1-2020标准此情况被认为是正常工作状态，容许值为0.1mA，要求加严。</w:t>
            </w:r>
          </w:p>
          <w:p w14:paraId="2245A3C8">
            <w:pPr>
              <w:widowControl w:val="0"/>
              <w:jc w:val="left"/>
              <w:rPr>
                <w:rFonts w:hint="eastAsia"/>
                <w:vertAlign w:val="baseline"/>
                <w:lang w:val="en-US" w:eastAsia="zh-CN"/>
              </w:rPr>
            </w:pPr>
            <w:r>
              <w:rPr>
                <w:rFonts w:hint="eastAsia"/>
                <w:vertAlign w:val="baseline"/>
                <w:lang w:val="en-US" w:eastAsia="zh-CN"/>
              </w:rPr>
              <w:t>在GB9706.1-2020标准中新增“特定测试条件下患者漏电流的要求”。</w:t>
            </w:r>
          </w:p>
          <w:p w14:paraId="6A705FB0">
            <w:pPr>
              <w:widowControl w:val="0"/>
              <w:jc w:val="left"/>
              <w:rPr>
                <w:rFonts w:hint="default"/>
                <w:vertAlign w:val="baseline"/>
                <w:lang w:val="en-US" w:eastAsia="zh-CN"/>
              </w:rPr>
            </w:pPr>
            <w:r>
              <w:rPr>
                <w:rFonts w:hint="eastAsia"/>
                <w:vertAlign w:val="baseline"/>
                <w:lang w:val="en-US" w:eastAsia="zh-CN"/>
              </w:rPr>
              <w:t>GB9706.1-2020标准对地漏电流的容许值统一放宽到：正常状态5mA，单一故障状态10mA，对于永久性安装的设备容许值放宽。</w:t>
            </w:r>
          </w:p>
        </w:tc>
      </w:tr>
      <w:tr w14:paraId="17FA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Align w:val="center"/>
          </w:tcPr>
          <w:p w14:paraId="481902C8">
            <w:pPr>
              <w:widowControl w:val="0"/>
              <w:jc w:val="center"/>
              <w:rPr>
                <w:rFonts w:hint="eastAsia" w:eastAsiaTheme="minorEastAsia"/>
                <w:vertAlign w:val="baseline"/>
                <w:lang w:val="en-US" w:eastAsia="zh-CN"/>
              </w:rPr>
            </w:pPr>
            <w:r>
              <w:rPr>
                <w:rFonts w:hint="eastAsia"/>
                <w:vertAlign w:val="baseline"/>
                <w:lang w:val="en-US" w:eastAsia="zh-CN"/>
              </w:rPr>
              <w:t>5</w:t>
            </w:r>
          </w:p>
        </w:tc>
        <w:tc>
          <w:tcPr>
            <w:tcW w:w="328" w:type="pct"/>
            <w:vAlign w:val="center"/>
          </w:tcPr>
          <w:p w14:paraId="3C1DFA69">
            <w:pPr>
              <w:widowControl w:val="0"/>
              <w:jc w:val="center"/>
              <w:rPr>
                <w:rFonts w:hint="default" w:eastAsiaTheme="minorEastAsia"/>
                <w:vertAlign w:val="baseline"/>
                <w:lang w:val="en-US" w:eastAsia="zh-CN"/>
              </w:rPr>
            </w:pPr>
            <w:r>
              <w:rPr>
                <w:rFonts w:hint="eastAsia"/>
                <w:vertAlign w:val="baseline"/>
                <w:lang w:val="en-US" w:eastAsia="zh-CN"/>
              </w:rPr>
              <w:t>8.8.3</w:t>
            </w:r>
          </w:p>
        </w:tc>
        <w:tc>
          <w:tcPr>
            <w:tcW w:w="1080" w:type="pct"/>
            <w:vAlign w:val="center"/>
          </w:tcPr>
          <w:p w14:paraId="3132F4BD">
            <w:pPr>
              <w:widowControl w:val="0"/>
              <w:jc w:val="center"/>
              <w:rPr>
                <w:rFonts w:hint="default" w:eastAsiaTheme="minorEastAsia"/>
                <w:vertAlign w:val="baseline"/>
                <w:lang w:val="en-US" w:eastAsia="zh-CN"/>
              </w:rPr>
            </w:pPr>
            <w:r>
              <w:rPr>
                <w:rFonts w:hint="eastAsia"/>
                <w:vertAlign w:val="baseline"/>
                <w:lang w:val="en-US" w:eastAsia="zh-CN"/>
              </w:rPr>
              <w:t>电解质强度</w:t>
            </w:r>
          </w:p>
        </w:tc>
        <w:tc>
          <w:tcPr>
            <w:tcW w:w="3360" w:type="pct"/>
            <w:vAlign w:val="center"/>
          </w:tcPr>
          <w:p w14:paraId="401A2880">
            <w:pPr>
              <w:widowControl w:val="0"/>
              <w:jc w:val="left"/>
              <w:rPr>
                <w:rFonts w:hint="eastAsia"/>
                <w:vertAlign w:val="baseline"/>
                <w:lang w:val="en-US" w:eastAsia="zh-CN"/>
              </w:rPr>
            </w:pPr>
            <w:r>
              <w:rPr>
                <w:rFonts w:hint="eastAsia"/>
                <w:vertAlign w:val="baseline"/>
                <w:lang w:val="en-US" w:eastAsia="zh-CN"/>
              </w:rPr>
              <w:t>GB9706.1-2020标准电解质强度试验电压发生变化。</w:t>
            </w:r>
          </w:p>
          <w:p w14:paraId="1150DCB7">
            <w:pPr>
              <w:widowControl w:val="0"/>
              <w:jc w:val="left"/>
              <w:rPr>
                <w:rFonts w:hint="eastAsia"/>
                <w:vertAlign w:val="baseline"/>
                <w:lang w:val="en-US" w:eastAsia="zh-CN"/>
              </w:rPr>
            </w:pPr>
            <w:r>
              <w:rPr>
                <w:rFonts w:hint="eastAsia"/>
                <w:vertAlign w:val="baseline"/>
                <w:lang w:val="en-US" w:eastAsia="zh-CN"/>
              </w:rPr>
              <w:t>第一以工作电压和峰值来查表确定电解质强度的试验电压。</w:t>
            </w:r>
          </w:p>
          <w:p w14:paraId="1066E0B8">
            <w:pPr>
              <w:widowControl w:val="0"/>
              <w:jc w:val="left"/>
              <w:rPr>
                <w:rFonts w:hint="eastAsia"/>
                <w:vertAlign w:val="baseline"/>
                <w:lang w:val="en-US" w:eastAsia="zh-CN"/>
              </w:rPr>
            </w:pPr>
            <w:r>
              <w:rPr>
                <w:rFonts w:hint="eastAsia"/>
                <w:vertAlign w:val="baseline"/>
                <w:lang w:val="en-US" w:eastAsia="zh-CN"/>
              </w:rPr>
              <w:t>第二对操作者和患者，网电源部分和次级电路的试验电压不同。</w:t>
            </w:r>
          </w:p>
          <w:p w14:paraId="0BFCEC94">
            <w:pPr>
              <w:widowControl w:val="0"/>
              <w:jc w:val="left"/>
              <w:rPr>
                <w:rFonts w:hint="eastAsia"/>
                <w:vertAlign w:val="baseline"/>
                <w:lang w:val="en-US" w:eastAsia="zh-CN"/>
              </w:rPr>
            </w:pPr>
            <w:r>
              <w:rPr>
                <w:rFonts w:hint="eastAsia"/>
                <w:vertAlign w:val="baseline"/>
                <w:lang w:val="en-US" w:eastAsia="zh-CN"/>
              </w:rPr>
              <w:t>第三电压分档细化，尤其是对操作者次级电路的防护。</w:t>
            </w:r>
          </w:p>
          <w:p w14:paraId="78FA4FD7">
            <w:pPr>
              <w:widowControl w:val="0"/>
              <w:jc w:val="left"/>
              <w:rPr>
                <w:rFonts w:hint="eastAsia"/>
                <w:vertAlign w:val="baseline"/>
                <w:lang w:val="en-US" w:eastAsia="zh-CN"/>
              </w:rPr>
            </w:pPr>
            <w:r>
              <w:rPr>
                <w:rFonts w:hint="eastAsia"/>
                <w:vertAlign w:val="baseline"/>
                <w:lang w:val="en-US" w:eastAsia="zh-CN"/>
              </w:rPr>
              <w:t>第四对操作者的防护，试验电压降低；对患者的防护不变。</w:t>
            </w:r>
          </w:p>
          <w:p w14:paraId="54915FD1">
            <w:pPr>
              <w:widowControl w:val="0"/>
              <w:jc w:val="left"/>
              <w:rPr>
                <w:rFonts w:hint="default"/>
                <w:vertAlign w:val="baseline"/>
                <w:lang w:val="en-US" w:eastAsia="zh-CN"/>
              </w:rPr>
            </w:pPr>
          </w:p>
        </w:tc>
      </w:tr>
      <w:tr w14:paraId="45B3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Align w:val="center"/>
          </w:tcPr>
          <w:p w14:paraId="4A6328DE">
            <w:pPr>
              <w:widowControl w:val="0"/>
              <w:jc w:val="center"/>
              <w:rPr>
                <w:rFonts w:hint="eastAsia" w:eastAsiaTheme="minorEastAsia"/>
                <w:vertAlign w:val="baseline"/>
                <w:lang w:val="en-US" w:eastAsia="zh-CN"/>
              </w:rPr>
            </w:pPr>
            <w:r>
              <w:rPr>
                <w:rFonts w:hint="eastAsia"/>
                <w:vertAlign w:val="baseline"/>
                <w:lang w:val="en-US" w:eastAsia="zh-CN"/>
              </w:rPr>
              <w:t>6</w:t>
            </w:r>
          </w:p>
        </w:tc>
        <w:tc>
          <w:tcPr>
            <w:tcW w:w="328" w:type="pct"/>
            <w:vAlign w:val="center"/>
          </w:tcPr>
          <w:p w14:paraId="413BD0B6">
            <w:pPr>
              <w:widowControl w:val="0"/>
              <w:jc w:val="center"/>
              <w:rPr>
                <w:rFonts w:hint="default" w:eastAsiaTheme="minorEastAsia"/>
                <w:vertAlign w:val="baseline"/>
                <w:lang w:val="en-US" w:eastAsia="zh-CN"/>
              </w:rPr>
            </w:pPr>
            <w:r>
              <w:rPr>
                <w:rFonts w:hint="eastAsia"/>
                <w:vertAlign w:val="baseline"/>
                <w:lang w:val="en-US" w:eastAsia="zh-CN"/>
              </w:rPr>
              <w:t>8.9</w:t>
            </w:r>
          </w:p>
        </w:tc>
        <w:tc>
          <w:tcPr>
            <w:tcW w:w="1080" w:type="pct"/>
            <w:vAlign w:val="center"/>
          </w:tcPr>
          <w:p w14:paraId="1DF4E5EC">
            <w:pPr>
              <w:widowControl w:val="0"/>
              <w:jc w:val="center"/>
              <w:rPr>
                <w:rFonts w:hint="default" w:eastAsiaTheme="minorEastAsia"/>
                <w:vertAlign w:val="baseline"/>
                <w:lang w:val="en-US" w:eastAsia="zh-CN"/>
              </w:rPr>
            </w:pPr>
            <w:r>
              <w:rPr>
                <w:rFonts w:hint="eastAsia"/>
                <w:vertAlign w:val="baseline"/>
                <w:lang w:val="en-US" w:eastAsia="zh-CN"/>
              </w:rPr>
              <w:t>爬电距离和电气间隙</w:t>
            </w:r>
          </w:p>
        </w:tc>
        <w:tc>
          <w:tcPr>
            <w:tcW w:w="3360" w:type="pct"/>
            <w:vAlign w:val="center"/>
          </w:tcPr>
          <w:p w14:paraId="0BAD5048">
            <w:pPr>
              <w:widowControl w:val="0"/>
              <w:jc w:val="left"/>
              <w:rPr>
                <w:rFonts w:hint="eastAsia"/>
                <w:vertAlign w:val="baseline"/>
                <w:lang w:val="en-US" w:eastAsia="zh-CN"/>
              </w:rPr>
            </w:pPr>
            <w:r>
              <w:rPr>
                <w:rFonts w:hint="eastAsia"/>
                <w:vertAlign w:val="baseline"/>
                <w:lang w:val="en-US" w:eastAsia="zh-CN"/>
              </w:rPr>
              <w:t>GB9706.1-2020标准对电气间隙引入海拔高度的概念，海拔高度2000米时，不需要乘以系数。大于2000米时，乘以规定的系数，爬电距离对海拔高度没有区别，但至少大于电气间隙。</w:t>
            </w:r>
          </w:p>
          <w:p w14:paraId="66AE959D">
            <w:pPr>
              <w:widowControl w:val="0"/>
              <w:jc w:val="left"/>
              <w:rPr>
                <w:rFonts w:hint="default"/>
                <w:vertAlign w:val="baseline"/>
                <w:lang w:val="en-US" w:eastAsia="zh-CN"/>
              </w:rPr>
            </w:pPr>
            <w:r>
              <w:rPr>
                <w:rFonts w:hint="eastAsia"/>
                <w:vertAlign w:val="baseline"/>
                <w:lang w:val="en-US" w:eastAsia="zh-CN"/>
              </w:rPr>
              <w:t>容许值查询更加复杂，引入材料分类、污染等级和过电压等概念，查询时需考虑多种情况；不同于以往仅考虑电压值和绝缘。</w:t>
            </w:r>
          </w:p>
        </w:tc>
      </w:tr>
      <w:tr w14:paraId="2F0F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Align w:val="center"/>
          </w:tcPr>
          <w:p w14:paraId="7D5B0C50">
            <w:pPr>
              <w:widowControl w:val="0"/>
              <w:jc w:val="center"/>
              <w:rPr>
                <w:rFonts w:hint="eastAsia" w:eastAsiaTheme="minorEastAsia"/>
                <w:vertAlign w:val="baseline"/>
                <w:lang w:val="en-US" w:eastAsia="zh-CN"/>
              </w:rPr>
            </w:pPr>
            <w:r>
              <w:rPr>
                <w:rFonts w:hint="eastAsia"/>
                <w:vertAlign w:val="baseline"/>
                <w:lang w:val="en-US" w:eastAsia="zh-CN"/>
              </w:rPr>
              <w:t>7</w:t>
            </w:r>
          </w:p>
        </w:tc>
        <w:tc>
          <w:tcPr>
            <w:tcW w:w="328" w:type="pct"/>
            <w:vAlign w:val="center"/>
          </w:tcPr>
          <w:p w14:paraId="69B1D86C">
            <w:pPr>
              <w:widowControl w:val="0"/>
              <w:jc w:val="center"/>
              <w:rPr>
                <w:rFonts w:hint="default" w:eastAsiaTheme="minorEastAsia"/>
                <w:vertAlign w:val="baseline"/>
                <w:lang w:val="en-US" w:eastAsia="zh-CN"/>
              </w:rPr>
            </w:pPr>
            <w:r>
              <w:rPr>
                <w:rFonts w:hint="eastAsia"/>
                <w:vertAlign w:val="baseline"/>
                <w:lang w:val="en-US" w:eastAsia="zh-CN"/>
              </w:rPr>
              <w:t>8.11.5</w:t>
            </w:r>
          </w:p>
        </w:tc>
        <w:tc>
          <w:tcPr>
            <w:tcW w:w="1080" w:type="pct"/>
            <w:vAlign w:val="center"/>
          </w:tcPr>
          <w:p w14:paraId="4F76974F">
            <w:pPr>
              <w:widowControl w:val="0"/>
              <w:jc w:val="center"/>
              <w:rPr>
                <w:rFonts w:hint="default" w:eastAsiaTheme="minorEastAsia"/>
                <w:vertAlign w:val="baseline"/>
                <w:lang w:val="en-US" w:eastAsia="zh-CN"/>
              </w:rPr>
            </w:pPr>
            <w:r>
              <w:rPr>
                <w:rFonts w:hint="eastAsia"/>
                <w:vertAlign w:val="baseline"/>
                <w:lang w:val="en-US" w:eastAsia="zh-CN"/>
              </w:rPr>
              <w:t>网电流熔断器和过流释放器</w:t>
            </w:r>
          </w:p>
        </w:tc>
        <w:tc>
          <w:tcPr>
            <w:tcW w:w="3360" w:type="pct"/>
            <w:vAlign w:val="center"/>
          </w:tcPr>
          <w:p w14:paraId="6E149EB2">
            <w:pPr>
              <w:widowControl w:val="0"/>
              <w:jc w:val="left"/>
              <w:rPr>
                <w:rFonts w:hint="default" w:eastAsiaTheme="minorEastAsia"/>
                <w:vertAlign w:val="baseline"/>
                <w:lang w:val="en-US" w:eastAsia="zh-CN"/>
              </w:rPr>
            </w:pPr>
            <w:r>
              <w:rPr>
                <w:rFonts w:hint="eastAsia"/>
                <w:vertAlign w:val="baseline"/>
                <w:lang w:val="en-US" w:eastAsia="zh-CN"/>
              </w:rPr>
              <w:t>如果检查网电源部分相反极性，网电源部件和地之间有双重防护措施，则网电源熔断器和过流释放器可忽略，在风险管理文档中应阐明该情况。设计者应注意短路保护。</w:t>
            </w:r>
          </w:p>
        </w:tc>
      </w:tr>
      <w:tr w14:paraId="1DCB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Align w:val="center"/>
          </w:tcPr>
          <w:p w14:paraId="5186771F">
            <w:pPr>
              <w:widowControl w:val="0"/>
              <w:jc w:val="center"/>
              <w:rPr>
                <w:rFonts w:hint="default"/>
                <w:vertAlign w:val="baseline"/>
                <w:lang w:val="en-US" w:eastAsia="zh-CN"/>
              </w:rPr>
            </w:pPr>
            <w:r>
              <w:rPr>
                <w:rFonts w:hint="eastAsia"/>
                <w:vertAlign w:val="baseline"/>
                <w:lang w:val="en-US" w:eastAsia="zh-CN"/>
              </w:rPr>
              <w:t>8</w:t>
            </w:r>
          </w:p>
        </w:tc>
        <w:tc>
          <w:tcPr>
            <w:tcW w:w="328" w:type="pct"/>
            <w:vAlign w:val="center"/>
          </w:tcPr>
          <w:p w14:paraId="7A1CB19B">
            <w:pPr>
              <w:widowControl w:val="0"/>
              <w:jc w:val="center"/>
              <w:rPr>
                <w:rFonts w:hint="default"/>
                <w:vertAlign w:val="baseline"/>
                <w:lang w:val="en-US" w:eastAsia="zh-CN"/>
              </w:rPr>
            </w:pPr>
            <w:r>
              <w:rPr>
                <w:rFonts w:hint="eastAsia"/>
                <w:vertAlign w:val="baseline"/>
                <w:lang w:val="en-US" w:eastAsia="zh-CN"/>
              </w:rPr>
              <w:t>9.2</w:t>
            </w:r>
          </w:p>
        </w:tc>
        <w:tc>
          <w:tcPr>
            <w:tcW w:w="1080" w:type="pct"/>
            <w:vAlign w:val="center"/>
          </w:tcPr>
          <w:p w14:paraId="5ED47F9B">
            <w:pPr>
              <w:widowControl w:val="0"/>
              <w:jc w:val="center"/>
              <w:rPr>
                <w:rFonts w:hint="default"/>
                <w:vertAlign w:val="baseline"/>
                <w:lang w:val="en-US" w:eastAsia="zh-CN"/>
              </w:rPr>
            </w:pPr>
            <w:r>
              <w:rPr>
                <w:rFonts w:hint="eastAsia"/>
                <w:vertAlign w:val="baseline"/>
                <w:lang w:val="en-US" w:eastAsia="zh-CN"/>
              </w:rPr>
              <w:t>与活动部件相关的危险</w:t>
            </w:r>
          </w:p>
        </w:tc>
        <w:tc>
          <w:tcPr>
            <w:tcW w:w="3360" w:type="pct"/>
            <w:vAlign w:val="center"/>
          </w:tcPr>
          <w:p w14:paraId="1EA3D2A2">
            <w:pPr>
              <w:widowControl w:val="0"/>
              <w:jc w:val="left"/>
              <w:rPr>
                <w:rFonts w:hint="eastAsia"/>
                <w:vertAlign w:val="baseline"/>
                <w:lang w:val="en-US" w:eastAsia="zh-CN"/>
              </w:rPr>
            </w:pPr>
            <w:r>
              <w:rPr>
                <w:rFonts w:hint="eastAsia"/>
                <w:vertAlign w:val="baseline"/>
                <w:lang w:val="en-US" w:eastAsia="zh-CN"/>
              </w:rPr>
              <w:t>GB9706.1-2020标准增加篇幅较多，对于活动部件的危险增加提出了明确要求，比如对身体、头、手等的机械防护间隙。考虑到成人和小孩的不同，给出了明确的间隙标准。</w:t>
            </w:r>
          </w:p>
          <w:p w14:paraId="062AEBBD">
            <w:pPr>
              <w:widowControl w:val="0"/>
              <w:jc w:val="left"/>
              <w:rPr>
                <w:rFonts w:hint="default"/>
                <w:vertAlign w:val="baseline"/>
                <w:lang w:val="en-US" w:eastAsia="zh-CN"/>
              </w:rPr>
            </w:pPr>
            <w:r>
              <w:rPr>
                <w:rFonts w:hint="eastAsia"/>
                <w:vertAlign w:val="baseline"/>
                <w:lang w:val="en-US" w:eastAsia="zh-CN"/>
              </w:rPr>
              <w:t>GB9706.1-2020标准对于移动的速度也给出要求，对于运动的超程也要考虑。</w:t>
            </w:r>
          </w:p>
        </w:tc>
      </w:tr>
      <w:tr w14:paraId="6C0F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Align w:val="center"/>
          </w:tcPr>
          <w:p w14:paraId="5A0DB5A7">
            <w:pPr>
              <w:widowControl w:val="0"/>
              <w:jc w:val="center"/>
              <w:rPr>
                <w:rFonts w:hint="default"/>
                <w:vertAlign w:val="baseline"/>
                <w:lang w:val="en-US" w:eastAsia="zh-CN"/>
              </w:rPr>
            </w:pPr>
            <w:r>
              <w:rPr>
                <w:rFonts w:hint="eastAsia"/>
                <w:vertAlign w:val="baseline"/>
                <w:lang w:val="en-US" w:eastAsia="zh-CN"/>
              </w:rPr>
              <w:t>9</w:t>
            </w:r>
          </w:p>
        </w:tc>
        <w:tc>
          <w:tcPr>
            <w:tcW w:w="328" w:type="pct"/>
            <w:vAlign w:val="center"/>
          </w:tcPr>
          <w:p w14:paraId="79465357">
            <w:pPr>
              <w:widowControl w:val="0"/>
              <w:jc w:val="center"/>
              <w:rPr>
                <w:rFonts w:hint="default"/>
                <w:vertAlign w:val="baseline"/>
                <w:lang w:val="en-US" w:eastAsia="zh-CN"/>
              </w:rPr>
            </w:pPr>
            <w:r>
              <w:rPr>
                <w:rFonts w:hint="eastAsia"/>
                <w:vertAlign w:val="baseline"/>
                <w:lang w:val="en-US" w:eastAsia="zh-CN"/>
              </w:rPr>
              <w:t>9.4</w:t>
            </w:r>
          </w:p>
        </w:tc>
        <w:tc>
          <w:tcPr>
            <w:tcW w:w="1080" w:type="pct"/>
            <w:vAlign w:val="center"/>
          </w:tcPr>
          <w:p w14:paraId="5D343833">
            <w:pPr>
              <w:widowControl w:val="0"/>
              <w:jc w:val="center"/>
              <w:rPr>
                <w:rFonts w:hint="default"/>
                <w:vertAlign w:val="baseline"/>
                <w:lang w:val="en-US" w:eastAsia="zh-CN"/>
              </w:rPr>
            </w:pPr>
            <w:r>
              <w:rPr>
                <w:rFonts w:hint="eastAsia"/>
                <w:vertAlign w:val="baseline"/>
                <w:lang w:val="en-US" w:eastAsia="zh-CN"/>
              </w:rPr>
              <w:t>不稳定的危险</w:t>
            </w:r>
          </w:p>
        </w:tc>
        <w:tc>
          <w:tcPr>
            <w:tcW w:w="3360" w:type="pct"/>
            <w:vAlign w:val="center"/>
          </w:tcPr>
          <w:p w14:paraId="67E98A68">
            <w:pPr>
              <w:widowControl w:val="0"/>
              <w:numPr>
                <w:ilvl w:val="0"/>
                <w:numId w:val="1"/>
              </w:numPr>
              <w:jc w:val="left"/>
              <w:rPr>
                <w:rFonts w:hint="eastAsia"/>
                <w:vertAlign w:val="baseline"/>
                <w:lang w:val="en-US" w:eastAsia="zh-CN"/>
              </w:rPr>
            </w:pPr>
            <w:r>
              <w:rPr>
                <w:rFonts w:hint="eastAsia"/>
                <w:vertAlign w:val="baseline"/>
                <w:lang w:val="en-US" w:eastAsia="zh-CN"/>
              </w:rPr>
              <w:t>水平和垂直外力（条款9.4.2.3）</w:t>
            </w:r>
          </w:p>
          <w:p w14:paraId="1C9A0597">
            <w:pPr>
              <w:widowControl w:val="0"/>
              <w:numPr>
                <w:ilvl w:val="0"/>
                <w:numId w:val="0"/>
              </w:numPr>
              <w:jc w:val="left"/>
              <w:rPr>
                <w:rFonts w:hint="eastAsia"/>
                <w:vertAlign w:val="baseline"/>
                <w:lang w:val="en-US" w:eastAsia="zh-CN"/>
              </w:rPr>
            </w:pPr>
            <w:r>
              <w:rPr>
                <w:rFonts w:hint="eastAsia"/>
                <w:vertAlign w:val="baseline"/>
                <w:lang w:val="en-US" w:eastAsia="zh-CN"/>
              </w:rPr>
              <w:t>增加施加水平和垂直方向的作用力，考核设备的平衡状态。水平方向要求施加设备重25%的外力，最大不超过220N,作用点不超过距离地面1.5m。垂直方向要求在设备工作表面施加，始终向下的800N外力，作用点不超过距离地面1m。</w:t>
            </w:r>
          </w:p>
          <w:p w14:paraId="055A4F99">
            <w:pPr>
              <w:widowControl w:val="0"/>
              <w:numPr>
                <w:ilvl w:val="0"/>
                <w:numId w:val="0"/>
              </w:numPr>
              <w:jc w:val="left"/>
              <w:rPr>
                <w:rFonts w:hint="eastAsia"/>
                <w:vertAlign w:val="baseline"/>
                <w:lang w:val="en-US" w:eastAsia="zh-CN"/>
              </w:rPr>
            </w:pPr>
            <w:r>
              <w:rPr>
                <w:rFonts w:hint="eastAsia"/>
                <w:vertAlign w:val="baseline"/>
                <w:lang w:val="en-US" w:eastAsia="zh-CN"/>
              </w:rPr>
              <w:t>（2）设备的水平推力（条款9.4.2.4.2）</w:t>
            </w:r>
          </w:p>
          <w:p w14:paraId="294A9C3D">
            <w:pPr>
              <w:widowControl w:val="0"/>
              <w:numPr>
                <w:ilvl w:val="0"/>
                <w:numId w:val="0"/>
              </w:numPr>
              <w:jc w:val="left"/>
              <w:rPr>
                <w:rFonts w:hint="eastAsia"/>
                <w:vertAlign w:val="baseline"/>
                <w:lang w:val="en-US" w:eastAsia="zh-CN"/>
              </w:rPr>
            </w:pPr>
            <w:r>
              <w:rPr>
                <w:rFonts w:hint="eastAsia"/>
                <w:vertAlign w:val="baseline"/>
                <w:lang w:val="en-US" w:eastAsia="zh-CN"/>
              </w:rPr>
              <w:t>用于实现移动式医用电气设备在坚硬平坦水平面的外力不能超过200N,除非声明需多人才能移动。</w:t>
            </w:r>
          </w:p>
          <w:p w14:paraId="7D02486F">
            <w:pPr>
              <w:widowControl w:val="0"/>
              <w:numPr>
                <w:ilvl w:val="0"/>
                <w:numId w:val="0"/>
              </w:numPr>
              <w:ind w:leftChars="0"/>
              <w:jc w:val="left"/>
              <w:rPr>
                <w:rFonts w:hint="eastAsia"/>
                <w:vertAlign w:val="baseline"/>
                <w:lang w:val="en-US" w:eastAsia="zh-CN"/>
              </w:rPr>
            </w:pPr>
            <w:r>
              <w:rPr>
                <w:rFonts w:hint="eastAsia"/>
                <w:vertAlign w:val="baseline"/>
                <w:lang w:val="en-US" w:eastAsia="zh-CN"/>
              </w:rPr>
              <w:t>（3）跨越门槛的移动（条款9.4.2.4.3）重量超过45kg的移动式医疗设备能跨越20mm门槛，且风险可接受。</w:t>
            </w:r>
          </w:p>
          <w:p w14:paraId="384FE090">
            <w:pPr>
              <w:widowControl w:val="0"/>
              <w:numPr>
                <w:ilvl w:val="0"/>
                <w:numId w:val="0"/>
              </w:numPr>
              <w:ind w:leftChars="0"/>
              <w:jc w:val="left"/>
              <w:rPr>
                <w:rFonts w:hint="default" w:asciiTheme="minorHAnsi" w:hAnsiTheme="minorHAnsi" w:cstheme="minorHAnsi"/>
                <w:vertAlign w:val="baseline"/>
                <w:lang w:val="en-US" w:eastAsia="zh-CN"/>
              </w:rPr>
            </w:pPr>
            <w:r>
              <w:rPr>
                <w:rFonts w:hint="eastAsia"/>
                <w:vertAlign w:val="baseline"/>
                <w:lang w:val="en-US" w:eastAsia="zh-CN"/>
              </w:rPr>
              <w:t>（4）由不必要的侧向移动（包括滑动）造成的不稳定性对搬运中和搬运外的不稳定性给出测试要求和评价的指标，要求在10º和5º的斜面上的滑动不超过50mm。</w:t>
            </w:r>
          </w:p>
        </w:tc>
      </w:tr>
      <w:tr w14:paraId="3A9C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Align w:val="center"/>
          </w:tcPr>
          <w:p w14:paraId="3B6BB85C">
            <w:pPr>
              <w:widowControl w:val="0"/>
              <w:jc w:val="center"/>
              <w:rPr>
                <w:rFonts w:hint="default"/>
                <w:vertAlign w:val="baseline"/>
                <w:lang w:val="en-US" w:eastAsia="zh-CN"/>
              </w:rPr>
            </w:pPr>
            <w:r>
              <w:rPr>
                <w:rFonts w:hint="eastAsia"/>
                <w:vertAlign w:val="baseline"/>
                <w:lang w:val="en-US" w:eastAsia="zh-CN"/>
              </w:rPr>
              <w:t>10</w:t>
            </w:r>
          </w:p>
        </w:tc>
        <w:tc>
          <w:tcPr>
            <w:tcW w:w="328" w:type="pct"/>
            <w:vAlign w:val="center"/>
          </w:tcPr>
          <w:p w14:paraId="37C1269A">
            <w:pPr>
              <w:widowControl w:val="0"/>
              <w:jc w:val="center"/>
              <w:rPr>
                <w:rFonts w:hint="default"/>
                <w:vertAlign w:val="baseline"/>
                <w:lang w:val="en-US" w:eastAsia="zh-CN"/>
              </w:rPr>
            </w:pPr>
            <w:r>
              <w:rPr>
                <w:rFonts w:hint="eastAsia"/>
                <w:vertAlign w:val="baseline"/>
                <w:lang w:val="en-US" w:eastAsia="zh-CN"/>
              </w:rPr>
              <w:t>9.4.4</w:t>
            </w:r>
          </w:p>
        </w:tc>
        <w:tc>
          <w:tcPr>
            <w:tcW w:w="1080" w:type="pct"/>
            <w:vAlign w:val="center"/>
          </w:tcPr>
          <w:p w14:paraId="1A886CE6">
            <w:pPr>
              <w:widowControl w:val="0"/>
              <w:jc w:val="center"/>
              <w:rPr>
                <w:rFonts w:hint="default"/>
                <w:vertAlign w:val="baseline"/>
                <w:lang w:val="en-US" w:eastAsia="zh-CN"/>
              </w:rPr>
            </w:pPr>
            <w:r>
              <w:rPr>
                <w:rFonts w:hint="eastAsia"/>
                <w:vertAlign w:val="baseline"/>
                <w:lang w:val="en-US" w:eastAsia="zh-CN"/>
              </w:rPr>
              <w:t>手柄和其他把手装置</w:t>
            </w:r>
          </w:p>
        </w:tc>
        <w:tc>
          <w:tcPr>
            <w:tcW w:w="3360" w:type="pct"/>
            <w:vAlign w:val="center"/>
          </w:tcPr>
          <w:p w14:paraId="6B4AFC6F">
            <w:pPr>
              <w:widowControl w:val="0"/>
              <w:jc w:val="left"/>
              <w:rPr>
                <w:rFonts w:hint="eastAsia"/>
                <w:vertAlign w:val="baseline"/>
                <w:lang w:val="en-US" w:eastAsia="zh-CN"/>
              </w:rPr>
            </w:pPr>
            <w:r>
              <w:rPr>
                <w:rFonts w:hint="eastAsia"/>
                <w:vertAlign w:val="baseline"/>
                <w:lang w:val="en-US" w:eastAsia="zh-CN"/>
              </w:rPr>
              <w:t>增加对于超过20kg的非便携式设备，制造商需要提供合适的把手装置或者在随机文件中指出可以被全吊起的位置点。</w:t>
            </w:r>
          </w:p>
          <w:p w14:paraId="3D73F1AC">
            <w:pPr>
              <w:widowControl w:val="0"/>
              <w:jc w:val="left"/>
              <w:rPr>
                <w:rFonts w:hint="default"/>
                <w:vertAlign w:val="baseline"/>
                <w:lang w:val="en-US" w:eastAsia="zh-CN"/>
              </w:rPr>
            </w:pPr>
            <w:r>
              <w:rPr>
                <w:rFonts w:hint="eastAsia"/>
                <w:vertAlign w:val="baseline"/>
                <w:lang w:val="en-US" w:eastAsia="zh-CN"/>
              </w:rPr>
              <w:t>超过20kg的便携式设备需要配一个或以上把手，且放置在适当位置，可以由两人以上搬运。设备上把手或手柄的试验没有变化。</w:t>
            </w:r>
          </w:p>
        </w:tc>
      </w:tr>
      <w:tr w14:paraId="4487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Align w:val="center"/>
          </w:tcPr>
          <w:p w14:paraId="79B73B0D">
            <w:pPr>
              <w:widowControl w:val="0"/>
              <w:jc w:val="center"/>
              <w:rPr>
                <w:rFonts w:hint="default"/>
                <w:vertAlign w:val="baseline"/>
                <w:lang w:val="en-US" w:eastAsia="zh-CN"/>
              </w:rPr>
            </w:pPr>
            <w:r>
              <w:rPr>
                <w:rFonts w:hint="eastAsia"/>
                <w:vertAlign w:val="baseline"/>
                <w:lang w:val="en-US" w:eastAsia="zh-CN"/>
              </w:rPr>
              <w:t>11</w:t>
            </w:r>
          </w:p>
        </w:tc>
        <w:tc>
          <w:tcPr>
            <w:tcW w:w="328" w:type="pct"/>
            <w:vAlign w:val="center"/>
          </w:tcPr>
          <w:p w14:paraId="12D7D46F">
            <w:pPr>
              <w:widowControl w:val="0"/>
              <w:jc w:val="center"/>
              <w:rPr>
                <w:rFonts w:hint="default"/>
                <w:vertAlign w:val="baseline"/>
                <w:lang w:val="en-US" w:eastAsia="zh-CN"/>
              </w:rPr>
            </w:pPr>
            <w:r>
              <w:rPr>
                <w:rFonts w:hint="eastAsia"/>
                <w:vertAlign w:val="baseline"/>
                <w:lang w:val="en-US" w:eastAsia="zh-CN"/>
              </w:rPr>
              <w:t>9.6</w:t>
            </w:r>
          </w:p>
        </w:tc>
        <w:tc>
          <w:tcPr>
            <w:tcW w:w="1080" w:type="pct"/>
            <w:vAlign w:val="center"/>
          </w:tcPr>
          <w:p w14:paraId="6CCD04FE">
            <w:pPr>
              <w:widowControl w:val="0"/>
              <w:jc w:val="center"/>
              <w:rPr>
                <w:rFonts w:hint="default"/>
                <w:vertAlign w:val="baseline"/>
                <w:lang w:val="en-US" w:eastAsia="zh-CN"/>
              </w:rPr>
            </w:pPr>
            <w:r>
              <w:rPr>
                <w:rFonts w:hint="eastAsia"/>
                <w:vertAlign w:val="baseline"/>
                <w:lang w:val="en-US" w:eastAsia="zh-CN"/>
              </w:rPr>
              <w:t>声能和振动</w:t>
            </w:r>
          </w:p>
        </w:tc>
        <w:tc>
          <w:tcPr>
            <w:tcW w:w="3360" w:type="pct"/>
            <w:vAlign w:val="center"/>
          </w:tcPr>
          <w:p w14:paraId="704164C1">
            <w:pPr>
              <w:widowControl w:val="0"/>
              <w:jc w:val="left"/>
              <w:rPr>
                <w:rFonts w:hint="default"/>
                <w:vertAlign w:val="baseline"/>
                <w:lang w:val="en-US" w:eastAsia="zh-CN"/>
              </w:rPr>
            </w:pPr>
            <w:r>
              <w:rPr>
                <w:rFonts w:hint="eastAsia"/>
                <w:vertAlign w:val="baseline"/>
                <w:lang w:val="en-US" w:eastAsia="zh-CN"/>
              </w:rPr>
              <w:t>新增对声能的要求，对于可听见声能给出限值，对于次声能和超声能，要求在风险管理文档中给出风险分析，对手部传递振动给出限值。</w:t>
            </w:r>
          </w:p>
        </w:tc>
      </w:tr>
      <w:tr w14:paraId="0351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Align w:val="center"/>
          </w:tcPr>
          <w:p w14:paraId="2653C77D">
            <w:pPr>
              <w:widowControl w:val="0"/>
              <w:jc w:val="center"/>
              <w:rPr>
                <w:rFonts w:hint="default"/>
                <w:vertAlign w:val="baseline"/>
                <w:lang w:val="en-US" w:eastAsia="zh-CN"/>
              </w:rPr>
            </w:pPr>
            <w:r>
              <w:rPr>
                <w:rFonts w:hint="eastAsia"/>
                <w:vertAlign w:val="baseline"/>
                <w:lang w:val="en-US" w:eastAsia="zh-CN"/>
              </w:rPr>
              <w:t>12</w:t>
            </w:r>
          </w:p>
        </w:tc>
        <w:tc>
          <w:tcPr>
            <w:tcW w:w="328" w:type="pct"/>
            <w:vAlign w:val="center"/>
          </w:tcPr>
          <w:p w14:paraId="338CFEDD">
            <w:pPr>
              <w:widowControl w:val="0"/>
              <w:jc w:val="center"/>
              <w:rPr>
                <w:rFonts w:hint="default"/>
                <w:vertAlign w:val="baseline"/>
                <w:lang w:val="en-US" w:eastAsia="zh-CN"/>
              </w:rPr>
            </w:pPr>
            <w:r>
              <w:rPr>
                <w:rFonts w:hint="eastAsia"/>
                <w:vertAlign w:val="baseline"/>
                <w:lang w:val="en-US" w:eastAsia="zh-CN"/>
              </w:rPr>
              <w:t>9.8.3</w:t>
            </w:r>
          </w:p>
        </w:tc>
        <w:tc>
          <w:tcPr>
            <w:tcW w:w="1080" w:type="pct"/>
            <w:vAlign w:val="center"/>
          </w:tcPr>
          <w:p w14:paraId="5CC32A13">
            <w:pPr>
              <w:widowControl w:val="0"/>
              <w:jc w:val="center"/>
              <w:rPr>
                <w:rFonts w:hint="default"/>
                <w:vertAlign w:val="baseline"/>
                <w:lang w:val="en-US" w:eastAsia="zh-CN"/>
              </w:rPr>
            </w:pPr>
            <w:r>
              <w:rPr>
                <w:rFonts w:hint="eastAsia"/>
                <w:vertAlign w:val="baseline"/>
                <w:lang w:val="en-US" w:eastAsia="zh-CN"/>
              </w:rPr>
              <w:t>患者、操作者支撑装置和悬挂系统的强度</w:t>
            </w:r>
          </w:p>
        </w:tc>
        <w:tc>
          <w:tcPr>
            <w:tcW w:w="3360" w:type="pct"/>
            <w:vAlign w:val="center"/>
          </w:tcPr>
          <w:p w14:paraId="21AF1A28">
            <w:pPr>
              <w:widowControl w:val="0"/>
              <w:jc w:val="left"/>
              <w:rPr>
                <w:rFonts w:hint="default"/>
                <w:vertAlign w:val="baseline"/>
                <w:lang w:val="en-US" w:eastAsia="zh-CN"/>
              </w:rPr>
            </w:pPr>
            <w:r>
              <w:rPr>
                <w:rFonts w:hint="eastAsia"/>
                <w:vertAlign w:val="baseline"/>
                <w:lang w:val="en-US" w:eastAsia="zh-CN"/>
              </w:rPr>
              <w:t>新增患者支撑装置和悬挂部件静态和动态载荷的试验，静态载荷试验要求施加规定重量的60%或至少80kg，持续时间1分钟，且风险能接受；动态载荷试验要求施加规定重量，在模拟座位的正上面150mm出落下，风险可接受。</w:t>
            </w:r>
          </w:p>
        </w:tc>
      </w:tr>
      <w:tr w14:paraId="7ADA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Align w:val="center"/>
          </w:tcPr>
          <w:p w14:paraId="30F42182">
            <w:pPr>
              <w:widowControl w:val="0"/>
              <w:jc w:val="center"/>
              <w:rPr>
                <w:rFonts w:hint="default"/>
                <w:vertAlign w:val="baseline"/>
                <w:lang w:val="en-US" w:eastAsia="zh-CN"/>
              </w:rPr>
            </w:pPr>
            <w:r>
              <w:rPr>
                <w:rFonts w:hint="eastAsia"/>
                <w:vertAlign w:val="baseline"/>
                <w:lang w:val="en-US" w:eastAsia="zh-CN"/>
              </w:rPr>
              <w:t>13</w:t>
            </w:r>
          </w:p>
        </w:tc>
        <w:tc>
          <w:tcPr>
            <w:tcW w:w="328" w:type="pct"/>
            <w:vAlign w:val="center"/>
          </w:tcPr>
          <w:p w14:paraId="34357A83">
            <w:pPr>
              <w:widowControl w:val="0"/>
              <w:jc w:val="center"/>
              <w:rPr>
                <w:rFonts w:hint="default"/>
                <w:vertAlign w:val="baseline"/>
                <w:lang w:val="en-US" w:eastAsia="zh-CN"/>
              </w:rPr>
            </w:pPr>
            <w:r>
              <w:rPr>
                <w:rFonts w:hint="eastAsia"/>
                <w:vertAlign w:val="baseline"/>
                <w:lang w:val="en-US" w:eastAsia="zh-CN"/>
              </w:rPr>
              <w:t>11.1</w:t>
            </w:r>
          </w:p>
        </w:tc>
        <w:tc>
          <w:tcPr>
            <w:tcW w:w="1080" w:type="pct"/>
            <w:vAlign w:val="center"/>
          </w:tcPr>
          <w:p w14:paraId="68A10D2F">
            <w:pPr>
              <w:widowControl w:val="0"/>
              <w:jc w:val="center"/>
              <w:rPr>
                <w:rFonts w:hint="default"/>
                <w:vertAlign w:val="baseline"/>
                <w:lang w:val="en-US" w:eastAsia="zh-CN"/>
              </w:rPr>
            </w:pPr>
            <w:r>
              <w:rPr>
                <w:rFonts w:hint="eastAsia"/>
                <w:vertAlign w:val="baseline"/>
                <w:lang w:val="en-US" w:eastAsia="zh-CN"/>
              </w:rPr>
              <w:t>超温</w:t>
            </w:r>
          </w:p>
        </w:tc>
        <w:tc>
          <w:tcPr>
            <w:tcW w:w="3360" w:type="pct"/>
            <w:vAlign w:val="center"/>
          </w:tcPr>
          <w:p w14:paraId="0CC822F2">
            <w:pPr>
              <w:widowControl w:val="0"/>
              <w:jc w:val="left"/>
              <w:rPr>
                <w:rFonts w:hint="eastAsia"/>
                <w:vertAlign w:val="baseline"/>
                <w:lang w:val="en-US" w:eastAsia="zh-CN"/>
              </w:rPr>
            </w:pPr>
            <w:r>
              <w:rPr>
                <w:rFonts w:hint="eastAsia"/>
                <w:vertAlign w:val="baseline"/>
                <w:lang w:val="en-US" w:eastAsia="zh-CN"/>
              </w:rPr>
              <w:t>内容变化比较大，限值引入接触时间，对于可能接触的部件，接触时间因限值而异；</w:t>
            </w:r>
          </w:p>
          <w:p w14:paraId="3E6D1B76">
            <w:pPr>
              <w:widowControl w:val="0"/>
              <w:jc w:val="left"/>
              <w:rPr>
                <w:rFonts w:hint="eastAsia"/>
                <w:vertAlign w:val="baseline"/>
                <w:lang w:val="en-US" w:eastAsia="zh-CN"/>
              </w:rPr>
            </w:pPr>
            <w:r>
              <w:rPr>
                <w:rFonts w:hint="eastAsia"/>
                <w:vertAlign w:val="baseline"/>
                <w:lang w:val="en-US" w:eastAsia="zh-CN"/>
              </w:rPr>
              <w:t>对与皮肤接触的应用部分，接触时间和材料的限值不同；</w:t>
            </w:r>
          </w:p>
          <w:p w14:paraId="61254A12">
            <w:pPr>
              <w:widowControl w:val="0"/>
              <w:jc w:val="left"/>
              <w:rPr>
                <w:rFonts w:hint="eastAsia" w:ascii="宋体" w:hAnsi="宋体" w:eastAsia="宋体" w:cs="宋体"/>
                <w:vertAlign w:val="baseline"/>
                <w:lang w:val="en-US" w:eastAsia="zh-CN"/>
              </w:rPr>
            </w:pPr>
            <w:r>
              <w:rPr>
                <w:rFonts w:hint="eastAsia"/>
                <w:vertAlign w:val="baseline"/>
                <w:lang w:val="en-US" w:eastAsia="zh-CN"/>
              </w:rPr>
              <w:t>对患者接触超过10分钟应用部分的限值从41</w:t>
            </w:r>
            <w:r>
              <w:rPr>
                <w:rFonts w:hint="eastAsia" w:ascii="宋体" w:hAnsi="宋体" w:eastAsia="宋体" w:cs="宋体"/>
                <w:vertAlign w:val="baseline"/>
                <w:lang w:val="en-US" w:eastAsia="zh-CN"/>
              </w:rPr>
              <w:t>℃</w:t>
            </w:r>
            <w:r>
              <w:rPr>
                <w:rFonts w:hint="eastAsia"/>
                <w:vertAlign w:val="baseline"/>
                <w:lang w:val="en-US" w:eastAsia="zh-CN"/>
              </w:rPr>
              <w:t>增加到43</w:t>
            </w:r>
            <w:r>
              <w:rPr>
                <w:rFonts w:hint="eastAsia" w:ascii="宋体" w:hAnsi="宋体" w:eastAsia="宋体" w:cs="宋体"/>
                <w:vertAlign w:val="baseline"/>
                <w:lang w:val="en-US" w:eastAsia="zh-CN"/>
              </w:rPr>
              <w:t>℃，如果表面温度超过</w:t>
            </w:r>
            <w:r>
              <w:rPr>
                <w:rFonts w:hint="eastAsia"/>
                <w:vertAlign w:val="baseline"/>
                <w:lang w:val="en-US" w:eastAsia="zh-CN"/>
              </w:rPr>
              <w:t>41</w:t>
            </w:r>
            <w:r>
              <w:rPr>
                <w:rFonts w:hint="eastAsia" w:ascii="宋体" w:hAnsi="宋体" w:eastAsia="宋体" w:cs="宋体"/>
                <w:vertAlign w:val="baseline"/>
                <w:lang w:val="en-US" w:eastAsia="zh-CN"/>
              </w:rPr>
              <w:t>℃，应在随机文件中阐明。</w:t>
            </w:r>
          </w:p>
          <w:p w14:paraId="7AAAB382">
            <w:pPr>
              <w:widowControl w:val="0"/>
              <w:jc w:val="left"/>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如果应用热电偶法测温，温度限值减去</w:t>
            </w:r>
            <w:r>
              <w:rPr>
                <w:rFonts w:hint="eastAsia"/>
                <w:vertAlign w:val="baseline"/>
                <w:lang w:val="en-US" w:eastAsia="zh-CN"/>
              </w:rPr>
              <w:t>10</w:t>
            </w:r>
            <w:r>
              <w:rPr>
                <w:rFonts w:hint="eastAsia" w:ascii="宋体" w:hAnsi="宋体" w:eastAsia="宋体" w:cs="宋体"/>
                <w:vertAlign w:val="baseline"/>
                <w:lang w:val="en-US" w:eastAsia="zh-CN"/>
              </w:rPr>
              <w:t>℃.</w:t>
            </w:r>
          </w:p>
        </w:tc>
      </w:tr>
      <w:tr w14:paraId="5481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Align w:val="center"/>
          </w:tcPr>
          <w:p w14:paraId="75FB3D4B">
            <w:pPr>
              <w:widowControl w:val="0"/>
              <w:jc w:val="center"/>
              <w:rPr>
                <w:rFonts w:hint="default"/>
                <w:vertAlign w:val="baseline"/>
                <w:lang w:val="en-US" w:eastAsia="zh-CN"/>
              </w:rPr>
            </w:pPr>
            <w:r>
              <w:rPr>
                <w:rFonts w:hint="eastAsia"/>
                <w:vertAlign w:val="baseline"/>
                <w:lang w:val="en-US" w:eastAsia="zh-CN"/>
              </w:rPr>
              <w:t>14</w:t>
            </w:r>
          </w:p>
        </w:tc>
        <w:tc>
          <w:tcPr>
            <w:tcW w:w="328" w:type="pct"/>
            <w:vAlign w:val="center"/>
          </w:tcPr>
          <w:p w14:paraId="0A76BB69">
            <w:pPr>
              <w:widowControl w:val="0"/>
              <w:jc w:val="center"/>
              <w:rPr>
                <w:rFonts w:hint="default"/>
                <w:vertAlign w:val="baseline"/>
                <w:lang w:val="en-US" w:eastAsia="zh-CN"/>
              </w:rPr>
            </w:pPr>
            <w:r>
              <w:rPr>
                <w:rFonts w:hint="eastAsia"/>
                <w:vertAlign w:val="baseline"/>
                <w:lang w:val="en-US" w:eastAsia="zh-CN"/>
              </w:rPr>
              <w:t>11.2</w:t>
            </w:r>
          </w:p>
        </w:tc>
        <w:tc>
          <w:tcPr>
            <w:tcW w:w="1080" w:type="pct"/>
            <w:vAlign w:val="center"/>
          </w:tcPr>
          <w:p w14:paraId="01620AB6">
            <w:pPr>
              <w:widowControl w:val="0"/>
              <w:jc w:val="center"/>
              <w:rPr>
                <w:rFonts w:hint="default"/>
                <w:vertAlign w:val="baseline"/>
                <w:lang w:val="en-US" w:eastAsia="zh-CN"/>
              </w:rPr>
            </w:pPr>
            <w:r>
              <w:rPr>
                <w:rFonts w:hint="eastAsia"/>
                <w:vertAlign w:val="baseline"/>
                <w:lang w:val="en-US" w:eastAsia="zh-CN"/>
              </w:rPr>
              <w:t>富氧环境防火的要求</w:t>
            </w:r>
          </w:p>
        </w:tc>
        <w:tc>
          <w:tcPr>
            <w:tcW w:w="3360" w:type="pct"/>
            <w:vAlign w:val="center"/>
          </w:tcPr>
          <w:p w14:paraId="2E1D444B">
            <w:pPr>
              <w:widowControl w:val="0"/>
              <w:jc w:val="left"/>
              <w:rPr>
                <w:rFonts w:hint="default"/>
                <w:vertAlign w:val="baseline"/>
                <w:lang w:val="en-US" w:eastAsia="zh-CN"/>
              </w:rPr>
            </w:pPr>
            <w:r>
              <w:rPr>
                <w:rFonts w:hint="eastAsia"/>
                <w:vertAlign w:val="baseline"/>
                <w:lang w:val="en-US" w:eastAsia="zh-CN"/>
              </w:rPr>
              <w:t>增加富氧环境防火的要求，对测试要求给出规定。</w:t>
            </w:r>
          </w:p>
        </w:tc>
      </w:tr>
      <w:tr w14:paraId="4658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Align w:val="center"/>
          </w:tcPr>
          <w:p w14:paraId="683A9810">
            <w:pPr>
              <w:widowControl w:val="0"/>
              <w:jc w:val="center"/>
              <w:rPr>
                <w:rFonts w:hint="default"/>
                <w:vertAlign w:val="baseline"/>
                <w:lang w:val="en-US" w:eastAsia="zh-CN"/>
              </w:rPr>
            </w:pPr>
            <w:r>
              <w:rPr>
                <w:rFonts w:hint="eastAsia"/>
                <w:vertAlign w:val="baseline"/>
                <w:lang w:val="en-US" w:eastAsia="zh-CN"/>
              </w:rPr>
              <w:t>15</w:t>
            </w:r>
          </w:p>
        </w:tc>
        <w:tc>
          <w:tcPr>
            <w:tcW w:w="328" w:type="pct"/>
            <w:vAlign w:val="center"/>
          </w:tcPr>
          <w:p w14:paraId="3E6273A9">
            <w:pPr>
              <w:widowControl w:val="0"/>
              <w:jc w:val="center"/>
              <w:rPr>
                <w:rFonts w:hint="default"/>
                <w:vertAlign w:val="baseline"/>
                <w:lang w:val="en-US" w:eastAsia="zh-CN"/>
              </w:rPr>
            </w:pPr>
            <w:r>
              <w:rPr>
                <w:rFonts w:hint="eastAsia"/>
                <w:vertAlign w:val="baseline"/>
                <w:lang w:val="en-US" w:eastAsia="zh-CN"/>
              </w:rPr>
              <w:t>11.3</w:t>
            </w:r>
          </w:p>
        </w:tc>
        <w:tc>
          <w:tcPr>
            <w:tcW w:w="1080" w:type="pct"/>
            <w:vAlign w:val="center"/>
          </w:tcPr>
          <w:p w14:paraId="385CA788">
            <w:pPr>
              <w:widowControl w:val="0"/>
              <w:jc w:val="center"/>
              <w:rPr>
                <w:rFonts w:hint="default"/>
                <w:vertAlign w:val="baseline"/>
                <w:lang w:val="en-US" w:eastAsia="zh-CN"/>
              </w:rPr>
            </w:pPr>
            <w:r>
              <w:rPr>
                <w:rFonts w:hint="eastAsia"/>
                <w:vertAlign w:val="baseline"/>
                <w:lang w:val="en-US" w:eastAsia="zh-CN"/>
              </w:rPr>
              <w:t>医用电气设备外壳防火的要求</w:t>
            </w:r>
          </w:p>
        </w:tc>
        <w:tc>
          <w:tcPr>
            <w:tcW w:w="3360" w:type="pct"/>
            <w:vAlign w:val="center"/>
          </w:tcPr>
          <w:p w14:paraId="3CBBC366">
            <w:pPr>
              <w:widowControl w:val="0"/>
              <w:jc w:val="left"/>
              <w:rPr>
                <w:rFonts w:hint="eastAsia"/>
                <w:vertAlign w:val="baseline"/>
                <w:lang w:val="en-US" w:eastAsia="zh-CN"/>
              </w:rPr>
            </w:pPr>
            <w:r>
              <w:rPr>
                <w:rFonts w:hint="eastAsia"/>
                <w:vertAlign w:val="baseline"/>
                <w:lang w:val="en-US" w:eastAsia="zh-CN"/>
              </w:rPr>
              <w:t>对外壳材料防火的要求更明确。</w:t>
            </w:r>
          </w:p>
          <w:p w14:paraId="1BA8B25B">
            <w:pPr>
              <w:widowControl w:val="0"/>
              <w:jc w:val="left"/>
              <w:rPr>
                <w:rFonts w:hint="eastAsia"/>
                <w:vertAlign w:val="baseline"/>
                <w:lang w:val="en-US" w:eastAsia="zh-CN"/>
              </w:rPr>
            </w:pPr>
            <w:r>
              <w:rPr>
                <w:rFonts w:hint="eastAsia"/>
                <w:vertAlign w:val="baseline"/>
                <w:lang w:val="en-US" w:eastAsia="zh-CN"/>
              </w:rPr>
              <w:t>第一对可燃性等级给出规定；</w:t>
            </w:r>
          </w:p>
          <w:p w14:paraId="423854B5">
            <w:pPr>
              <w:widowControl w:val="0"/>
              <w:jc w:val="left"/>
              <w:rPr>
                <w:rFonts w:hint="default"/>
                <w:vertAlign w:val="baseline"/>
                <w:lang w:val="en-US" w:eastAsia="zh-CN"/>
              </w:rPr>
            </w:pPr>
            <w:r>
              <w:rPr>
                <w:rFonts w:hint="eastAsia"/>
                <w:vertAlign w:val="baseline"/>
                <w:lang w:val="en-US" w:eastAsia="zh-CN"/>
              </w:rPr>
              <w:t>第二对底部开孔给出规定，防止设备内部可燃物从顶部落下。</w:t>
            </w:r>
          </w:p>
        </w:tc>
      </w:tr>
      <w:tr w14:paraId="07F4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31" w:type="pct"/>
            <w:vAlign w:val="center"/>
          </w:tcPr>
          <w:p w14:paraId="5DA6EAB1">
            <w:pPr>
              <w:widowControl w:val="0"/>
              <w:jc w:val="center"/>
              <w:rPr>
                <w:rFonts w:hint="default"/>
                <w:vertAlign w:val="baseline"/>
                <w:lang w:val="en-US" w:eastAsia="zh-CN"/>
              </w:rPr>
            </w:pPr>
            <w:r>
              <w:rPr>
                <w:rFonts w:hint="eastAsia"/>
                <w:vertAlign w:val="baseline"/>
                <w:lang w:val="en-US" w:eastAsia="zh-CN"/>
              </w:rPr>
              <w:t>16</w:t>
            </w:r>
          </w:p>
        </w:tc>
        <w:tc>
          <w:tcPr>
            <w:tcW w:w="328" w:type="pct"/>
            <w:vAlign w:val="center"/>
          </w:tcPr>
          <w:p w14:paraId="4D52BF0E">
            <w:pPr>
              <w:widowControl w:val="0"/>
              <w:jc w:val="center"/>
              <w:rPr>
                <w:rFonts w:hint="default"/>
                <w:vertAlign w:val="baseline"/>
                <w:lang w:val="en-US" w:eastAsia="zh-CN"/>
              </w:rPr>
            </w:pPr>
            <w:r>
              <w:rPr>
                <w:rFonts w:hint="eastAsia"/>
                <w:vertAlign w:val="baseline"/>
                <w:lang w:val="en-US" w:eastAsia="zh-CN"/>
              </w:rPr>
              <w:t>15.3</w:t>
            </w:r>
          </w:p>
        </w:tc>
        <w:tc>
          <w:tcPr>
            <w:tcW w:w="1080" w:type="pct"/>
            <w:vAlign w:val="center"/>
          </w:tcPr>
          <w:p w14:paraId="03C2A8BD">
            <w:pPr>
              <w:widowControl w:val="0"/>
              <w:jc w:val="center"/>
              <w:rPr>
                <w:rFonts w:hint="default"/>
                <w:vertAlign w:val="baseline"/>
                <w:lang w:val="en-US" w:eastAsia="zh-CN"/>
              </w:rPr>
            </w:pPr>
            <w:r>
              <w:rPr>
                <w:rFonts w:hint="eastAsia"/>
                <w:vertAlign w:val="baseline"/>
                <w:lang w:val="en-US" w:eastAsia="zh-CN"/>
              </w:rPr>
              <w:t>机械强度</w:t>
            </w:r>
          </w:p>
        </w:tc>
        <w:tc>
          <w:tcPr>
            <w:tcW w:w="3360" w:type="pct"/>
            <w:vAlign w:val="center"/>
          </w:tcPr>
          <w:p w14:paraId="4EBCE6C2">
            <w:pPr>
              <w:widowControl w:val="0"/>
              <w:jc w:val="left"/>
              <w:rPr>
                <w:rFonts w:hint="eastAsia"/>
                <w:vertAlign w:val="baseline"/>
                <w:lang w:val="en-US" w:eastAsia="zh-CN"/>
              </w:rPr>
            </w:pPr>
            <w:r>
              <w:rPr>
                <w:rFonts w:hint="eastAsia"/>
                <w:vertAlign w:val="baseline"/>
                <w:lang w:val="en-US" w:eastAsia="zh-CN"/>
              </w:rPr>
              <w:t>对于机械强度调整了GB9706.1-2007中部分试验的要求，增加新试验。</w:t>
            </w:r>
          </w:p>
          <w:p w14:paraId="6B8FCE94">
            <w:pPr>
              <w:widowControl w:val="0"/>
              <w:jc w:val="left"/>
              <w:rPr>
                <w:rFonts w:hint="default" w:ascii="宋体" w:hAnsi="宋体" w:eastAsia="宋体" w:cs="宋体"/>
                <w:vertAlign w:val="baseline"/>
                <w:lang w:val="en-US" w:eastAsia="zh-CN"/>
              </w:rPr>
            </w:pPr>
            <w:r>
              <w:rPr>
                <w:rFonts w:hint="eastAsia"/>
                <w:vertAlign w:val="baseline"/>
                <w:lang w:val="en-US" w:eastAsia="zh-CN"/>
              </w:rPr>
              <w:t>调整水平推力试验值为250</w:t>
            </w:r>
            <w:r>
              <w:rPr>
                <w:rFonts w:hint="eastAsia" w:ascii="宋体" w:hAnsi="宋体" w:eastAsia="宋体" w:cs="宋体"/>
                <w:vertAlign w:val="baseline"/>
                <w:lang w:val="en-US" w:eastAsia="zh-CN"/>
              </w:rPr>
              <w:t>±10N,试验时间5s，作用在直径为30mm的圆形平面上；冲击试验的试验值为直径50mm，重500±25g的实心铁球目1.3m处自由下落到试验表面；这两个试验对设备外壳的要求更严。粗鲁搬运增加了门框震动试验，要求以0.4±0.1m/s的速度跨越厚度和高度均为40mm的垂直硬木阻碍物。</w:t>
            </w:r>
          </w:p>
        </w:tc>
      </w:tr>
      <w:tr w14:paraId="0929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Align w:val="center"/>
          </w:tcPr>
          <w:p w14:paraId="66760059">
            <w:pPr>
              <w:widowControl w:val="0"/>
              <w:jc w:val="center"/>
              <w:rPr>
                <w:rFonts w:hint="default"/>
                <w:vertAlign w:val="baseline"/>
                <w:lang w:val="en-US" w:eastAsia="zh-CN"/>
              </w:rPr>
            </w:pPr>
            <w:r>
              <w:rPr>
                <w:rFonts w:hint="eastAsia"/>
                <w:vertAlign w:val="baseline"/>
                <w:lang w:val="en-US" w:eastAsia="zh-CN"/>
              </w:rPr>
              <w:t>17</w:t>
            </w:r>
          </w:p>
        </w:tc>
        <w:tc>
          <w:tcPr>
            <w:tcW w:w="328" w:type="pct"/>
            <w:vAlign w:val="center"/>
          </w:tcPr>
          <w:p w14:paraId="117F691F">
            <w:pPr>
              <w:widowControl w:val="0"/>
              <w:jc w:val="center"/>
              <w:rPr>
                <w:rFonts w:hint="default"/>
                <w:vertAlign w:val="baseline"/>
                <w:lang w:val="en-US" w:eastAsia="zh-CN"/>
              </w:rPr>
            </w:pPr>
            <w:r>
              <w:rPr>
                <w:rFonts w:hint="eastAsia"/>
                <w:vertAlign w:val="baseline"/>
                <w:lang w:val="en-US" w:eastAsia="zh-CN"/>
              </w:rPr>
              <w:t>15.4.3</w:t>
            </w:r>
          </w:p>
        </w:tc>
        <w:tc>
          <w:tcPr>
            <w:tcW w:w="1080" w:type="pct"/>
            <w:vAlign w:val="center"/>
          </w:tcPr>
          <w:p w14:paraId="12FE7396">
            <w:pPr>
              <w:widowControl w:val="0"/>
              <w:jc w:val="center"/>
              <w:rPr>
                <w:rFonts w:hint="default"/>
                <w:vertAlign w:val="baseline"/>
                <w:lang w:val="en-US" w:eastAsia="zh-CN"/>
              </w:rPr>
            </w:pPr>
            <w:r>
              <w:rPr>
                <w:rFonts w:hint="eastAsia"/>
                <w:vertAlign w:val="baseline"/>
                <w:lang w:val="en-US" w:eastAsia="zh-CN"/>
              </w:rPr>
              <w:t>电池</w:t>
            </w:r>
          </w:p>
        </w:tc>
        <w:tc>
          <w:tcPr>
            <w:tcW w:w="3360" w:type="pct"/>
            <w:vAlign w:val="center"/>
          </w:tcPr>
          <w:p w14:paraId="50223EFC">
            <w:pPr>
              <w:widowControl w:val="0"/>
              <w:jc w:val="left"/>
              <w:rPr>
                <w:rFonts w:hint="default"/>
                <w:vertAlign w:val="baseline"/>
                <w:lang w:val="en-US" w:eastAsia="zh-CN"/>
              </w:rPr>
            </w:pPr>
            <w:r>
              <w:rPr>
                <w:rFonts w:hint="eastAsia"/>
                <w:vertAlign w:val="baseline"/>
                <w:lang w:val="en-US" w:eastAsia="zh-CN"/>
              </w:rPr>
              <w:t>增加了对锂原电池应符合GB8897.4的要求。锂蓄电池应符合GB/T28164的要求。</w:t>
            </w:r>
          </w:p>
        </w:tc>
      </w:tr>
      <w:tr w14:paraId="05B8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Align w:val="center"/>
          </w:tcPr>
          <w:p w14:paraId="327598B0">
            <w:pPr>
              <w:widowControl w:val="0"/>
              <w:jc w:val="center"/>
              <w:rPr>
                <w:rFonts w:hint="default"/>
                <w:vertAlign w:val="baseline"/>
                <w:lang w:val="en-US" w:eastAsia="zh-CN"/>
              </w:rPr>
            </w:pPr>
            <w:r>
              <w:rPr>
                <w:rFonts w:hint="eastAsia"/>
                <w:vertAlign w:val="baseline"/>
                <w:lang w:val="en-US" w:eastAsia="zh-CN"/>
              </w:rPr>
              <w:t>18</w:t>
            </w:r>
          </w:p>
        </w:tc>
        <w:tc>
          <w:tcPr>
            <w:tcW w:w="328" w:type="pct"/>
            <w:vAlign w:val="center"/>
          </w:tcPr>
          <w:p w14:paraId="099865F5">
            <w:pPr>
              <w:widowControl w:val="0"/>
              <w:jc w:val="center"/>
              <w:rPr>
                <w:rFonts w:hint="default"/>
                <w:vertAlign w:val="baseline"/>
                <w:lang w:val="en-US" w:eastAsia="zh-CN"/>
              </w:rPr>
            </w:pPr>
            <w:r>
              <w:rPr>
                <w:rFonts w:hint="eastAsia"/>
                <w:vertAlign w:val="baseline"/>
                <w:lang w:val="en-US" w:eastAsia="zh-CN"/>
              </w:rPr>
              <w:t>15.4.7</w:t>
            </w:r>
          </w:p>
        </w:tc>
        <w:tc>
          <w:tcPr>
            <w:tcW w:w="1080" w:type="pct"/>
            <w:vAlign w:val="center"/>
          </w:tcPr>
          <w:p w14:paraId="0F07CCF5">
            <w:pPr>
              <w:widowControl w:val="0"/>
              <w:jc w:val="center"/>
              <w:rPr>
                <w:rFonts w:hint="default"/>
                <w:vertAlign w:val="baseline"/>
                <w:lang w:val="en-US" w:eastAsia="zh-CN"/>
              </w:rPr>
            </w:pPr>
            <w:r>
              <w:rPr>
                <w:rFonts w:hint="eastAsia"/>
                <w:vertAlign w:val="baseline"/>
                <w:lang w:val="en-US" w:eastAsia="zh-CN"/>
              </w:rPr>
              <w:t>脚踏控制装置</w:t>
            </w:r>
          </w:p>
        </w:tc>
        <w:tc>
          <w:tcPr>
            <w:tcW w:w="3360" w:type="pct"/>
            <w:vAlign w:val="center"/>
          </w:tcPr>
          <w:p w14:paraId="411161BE">
            <w:pPr>
              <w:widowControl w:val="0"/>
              <w:jc w:val="left"/>
              <w:rPr>
                <w:rFonts w:hint="eastAsia"/>
                <w:vertAlign w:val="baseline"/>
                <w:lang w:val="en-US" w:eastAsia="zh-CN"/>
              </w:rPr>
            </w:pPr>
            <w:r>
              <w:rPr>
                <w:rFonts w:hint="eastAsia"/>
                <w:vertAlign w:val="baseline"/>
                <w:lang w:val="en-US" w:eastAsia="zh-CN"/>
              </w:rPr>
              <w:t>对脚踏控制装置降低了要求。</w:t>
            </w:r>
          </w:p>
          <w:p w14:paraId="13AEB56B">
            <w:pPr>
              <w:widowControl w:val="0"/>
              <w:jc w:val="left"/>
              <w:rPr>
                <w:rFonts w:hint="default"/>
                <w:vertAlign w:val="baseline"/>
                <w:lang w:val="en-US" w:eastAsia="zh-CN"/>
              </w:rPr>
            </w:pPr>
            <w:r>
              <w:rPr>
                <w:rFonts w:hint="eastAsia"/>
                <w:vertAlign w:val="baseline"/>
                <w:lang w:val="en-US" w:eastAsia="zh-CN"/>
              </w:rPr>
              <w:t>第一承重试验由1350N力作用到625mm</w:t>
            </w:r>
            <w:r>
              <w:rPr>
                <w:rFonts w:hint="eastAsia"/>
                <w:vertAlign w:val="superscript"/>
                <w:lang w:val="en-US" w:eastAsia="zh-CN"/>
              </w:rPr>
              <w:t>2</w:t>
            </w:r>
            <w:r>
              <w:rPr>
                <w:rFonts w:hint="eastAsia"/>
                <w:vertAlign w:val="baseline"/>
                <w:lang w:val="en-US" w:eastAsia="zh-CN"/>
              </w:rPr>
              <w:t>的圆形区域上，改为1350N力作用到直径为30mm的圆形区域上（706.5mm</w:t>
            </w:r>
            <w:r>
              <w:rPr>
                <w:rFonts w:hint="eastAsia"/>
                <w:vertAlign w:val="superscript"/>
                <w:lang w:val="en-US" w:eastAsia="zh-CN"/>
              </w:rPr>
              <w:t>2</w:t>
            </w:r>
            <w:r>
              <w:rPr>
                <w:rFonts w:hint="eastAsia"/>
                <w:vertAlign w:val="baseline"/>
                <w:lang w:val="en-US" w:eastAsia="zh-CN"/>
              </w:rPr>
              <w:t>）；第二对于预期在有液体的区域使用的脚踏控制装置由IPX8降到IPX6.</w:t>
            </w:r>
          </w:p>
        </w:tc>
      </w:tr>
    </w:tbl>
    <w:p w14:paraId="4D203E93">
      <w:pPr>
        <w:spacing w:line="8296" w:lineRule="exact"/>
        <w:textAlignment w:val="center"/>
      </w:pPr>
    </w:p>
    <w:p w14:paraId="7B8A088E">
      <w:pPr>
        <w:spacing w:line="295" w:lineRule="auto"/>
        <w:rPr>
          <w:rFonts w:hint="eastAsia" w:eastAsia="宋体"/>
          <w:lang w:eastAsia="zh-CN"/>
        </w:rPr>
      </w:pPr>
    </w:p>
    <w:p w14:paraId="1F592848">
      <w:pPr>
        <w:spacing w:line="295" w:lineRule="auto"/>
        <w:jc w:val="center"/>
        <w:rPr>
          <w:rFonts w:hint="eastAsia" w:eastAsia="宋体"/>
          <w:lang w:eastAsia="zh-CN"/>
        </w:rPr>
      </w:pPr>
    </w:p>
    <w:p w14:paraId="172FE0A0">
      <w:pPr>
        <w:spacing w:line="295"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pgSz w:w="16839" w:h="11906"/>
      <w:pgMar w:top="1012" w:right="2525" w:bottom="0" w:left="144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F1169"/>
    <w:multiLevelType w:val="singleLevel"/>
    <w:tmpl w:val="A9FF11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ZjOWIzMjY0NWViNDY3ODk3YTIxMjcxODY4MGU3MTAifQ=="/>
  </w:docVars>
  <w:rsids>
    <w:rsidRoot w:val="00000000"/>
    <w:rsid w:val="2BA463B0"/>
    <w:rsid w:val="4A142B7F"/>
    <w:rsid w:val="55BA0C1F"/>
    <w:rsid w:val="75A800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2202</Words>
  <Characters>2689</Characters>
  <TotalTime>26</TotalTime>
  <ScaleCrop>false</ScaleCrop>
  <LinksUpToDate>false</LinksUpToDate>
  <CharactersWithSpaces>2737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2022-05-06T09:04:00Z</dcterms:created>
  <dc:creator>Administrator</dc:creator>
  <cp:lastModifiedBy>太极箫客</cp:lastModifiedBy>
  <dcterms:modified xsi:type="dcterms:W3CDTF">2025-08-14T06:16:41Z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2022-05-06T09:03:42Z</vt:filetime>
  </property>
  <property fmtid="{D5CDD505-2E9C-101B-9397-08002B2CF9AE}" pid="4" name="KSOProductBuildVer">
    <vt:lpwstr>2052-12.1.0.21915</vt:lpwstr>
  </property>
  <property fmtid="{D5CDD505-2E9C-101B-9397-08002B2CF9AE}" pid="5" name="ICV">
    <vt:lpwstr>7BBBA048A4BC4601BF3687AB74D283FC</vt:lpwstr>
  </property>
  <property fmtid="{D5CDD505-2E9C-101B-9397-08002B2CF9AE}" pid="6" name="KSOTemplateDocerSaveRecord">
    <vt:lpwstr>eyJoZGlkIjoiMDJiMzI3ODBiNTFmMWRjNDUyMjM1ZmZjODY5NDc2MWMiLCJ1c2VySWQiOiI0NTQ4Nzg1NzAifQ==</vt:lpwstr>
  </property>
</Properties>
</file>