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B356B8">
      <w:pPr>
        <w:widowControl/>
        <w:jc w:val="left"/>
        <w:rPr>
          <w:rFonts w:ascii="宋体" w:hAnsi="宋体" w:eastAsia="宋体" w:cs="宋体"/>
          <w:kern w:val="0"/>
          <w:szCs w:val="21"/>
        </w:rPr>
      </w:pPr>
      <w:bookmarkStart w:id="0" w:name="_GoBack"/>
      <w:bookmarkEnd w:id="0"/>
      <w:r>
        <w:rPr>
          <w:rFonts w:ascii="微软雅黑" w:hAnsi="微软雅黑" w:eastAsia="微软雅黑" w:cs="宋体"/>
          <w:color w:val="333333"/>
          <w:kern w:val="0"/>
          <w:szCs w:val="21"/>
          <w:shd w:val="clear" w:color="auto" w:fill="FFFFFF"/>
        </w:rPr>
        <w:t>医疗器械公司准备提交510K上市前通告资料之后， FDA在进行实质审查之前，首先会根据</w:t>
      </w:r>
      <w:r>
        <w:rPr>
          <w:rFonts w:ascii="微软雅黑" w:hAnsi="微软雅黑" w:eastAsia="微软雅黑" w:cs="宋体"/>
          <w:i/>
          <w:iCs/>
          <w:color w:val="333333"/>
          <w:kern w:val="0"/>
          <w:szCs w:val="21"/>
          <w:shd w:val="clear" w:color="auto" w:fill="FFFFFF"/>
        </w:rPr>
        <w:t>拒绝接受指南（RTA policy）</w:t>
      </w:r>
      <w:r>
        <w:rPr>
          <w:rFonts w:ascii="微软雅黑" w:hAnsi="微软雅黑" w:eastAsia="微软雅黑" w:cs="宋体"/>
          <w:color w:val="333333"/>
          <w:kern w:val="0"/>
          <w:szCs w:val="21"/>
          <w:shd w:val="clear" w:color="auto" w:fill="FFFFFF"/>
        </w:rPr>
        <w:t>来审核文件的完整性，所以申请者需要确保他们的文件满足指南的要求，以避免收到FDA的RTA letter（拒绝接受函）。以下，我们会讨论一些导致申请者收到RTA letter最常见的几种原因。</w:t>
      </w:r>
    </w:p>
    <w:p w14:paraId="0212A73D">
      <w:pPr>
        <w:widowControl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微软雅黑" w:hAnsi="微软雅黑" w:eastAsia="微软雅黑" w:cs="宋体"/>
          <w:color w:val="333333"/>
          <w:kern w:val="0"/>
          <w:szCs w:val="21"/>
          <w:shd w:val="clear" w:color="auto" w:fill="FFFFFF"/>
        </w:rPr>
        <w:t>FDA发出RTA letter的五个主要原因：</w:t>
      </w:r>
    </w:p>
    <w:p w14:paraId="20A69333">
      <w:pPr>
        <w:widowControl/>
        <w:jc w:val="left"/>
        <w:rPr>
          <w:rFonts w:ascii="宋体" w:hAnsi="宋体" w:eastAsia="宋体" w:cs="宋体"/>
          <w:kern w:val="0"/>
          <w:szCs w:val="21"/>
        </w:rPr>
      </w:pPr>
    </w:p>
    <w:p w14:paraId="3169BC4F">
      <w:pPr>
        <w:widowControl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Cs w:val="21"/>
          <w:shd w:val="clear" w:color="auto" w:fill="FFFFFF"/>
        </w:rPr>
        <w:t>1.</w:t>
      </w:r>
      <w:r>
        <w:rPr>
          <w:rFonts w:ascii="微软雅黑" w:hAnsi="微软雅黑" w:eastAsia="微软雅黑" w:cs="宋体"/>
          <w:color w:val="333333"/>
          <w:kern w:val="0"/>
          <w:szCs w:val="21"/>
          <w:shd w:val="clear" w:color="auto" w:fill="FFFFFF"/>
        </w:rPr>
        <w:t>  </w:t>
      </w:r>
      <w:r>
        <w:rPr>
          <w:rFonts w:ascii="微软雅黑" w:hAnsi="微软雅黑" w:eastAsia="微软雅黑" w:cs="宋体"/>
          <w:b/>
          <w:bCs/>
          <w:color w:val="333333"/>
          <w:kern w:val="0"/>
          <w:szCs w:val="21"/>
          <w:shd w:val="clear" w:color="auto" w:fill="FFFFFF"/>
        </w:rPr>
        <w:t>没有遵循FDA相关指南的要求。</w:t>
      </w:r>
      <w:r>
        <w:rPr>
          <w:rFonts w:ascii="微软雅黑" w:hAnsi="微软雅黑" w:eastAsia="微软雅黑" w:cs="宋体"/>
          <w:color w:val="333333"/>
          <w:kern w:val="0"/>
          <w:szCs w:val="21"/>
          <w:shd w:val="clear" w:color="auto" w:fill="FFFFFF"/>
        </w:rPr>
        <w:t>申请者需要遵循关于传统</w:t>
      </w:r>
      <w:r>
        <w:rPr>
          <w:rFonts w:ascii="微软雅黑" w:hAnsi="微软雅黑" w:eastAsia="微软雅黑" w:cs="宋体"/>
          <w:b/>
          <w:bCs/>
          <w:color w:val="FF0000"/>
          <w:kern w:val="0"/>
          <w:szCs w:val="21"/>
          <w:shd w:val="clear" w:color="auto" w:fill="FFFFFF"/>
        </w:rPr>
        <w:t>510k</w:t>
      </w:r>
      <w:r>
        <w:rPr>
          <w:rFonts w:ascii="微软雅黑" w:hAnsi="微软雅黑" w:eastAsia="微软雅黑" w:cs="宋体"/>
          <w:color w:val="333333"/>
          <w:kern w:val="0"/>
          <w:szCs w:val="21"/>
          <w:shd w:val="clear" w:color="auto" w:fill="FFFFFF"/>
        </w:rPr>
        <w:t>、特殊510k、简略510k申请格式化要求的相关指南。有些申请者不明白该如何编写并排版其510k文件。</w:t>
      </w:r>
    </w:p>
    <w:p w14:paraId="4069F6B2">
      <w:pPr>
        <w:widowControl/>
        <w:jc w:val="left"/>
        <w:rPr>
          <w:rFonts w:ascii="宋体" w:hAnsi="宋体" w:eastAsia="宋体" w:cs="宋体"/>
          <w:kern w:val="0"/>
          <w:szCs w:val="21"/>
        </w:rPr>
      </w:pPr>
    </w:p>
    <w:p w14:paraId="3C29D5E5">
      <w:pPr>
        <w:widowControl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Cs w:val="21"/>
          <w:shd w:val="clear" w:color="auto" w:fill="FFFFFF"/>
        </w:rPr>
        <w:t>2. 没有提供eCopy文件。</w:t>
      </w:r>
      <w:r>
        <w:rPr>
          <w:rFonts w:ascii="微软雅黑" w:hAnsi="微软雅黑" w:eastAsia="微软雅黑" w:cs="宋体"/>
          <w:color w:val="333333"/>
          <w:kern w:val="0"/>
          <w:szCs w:val="21"/>
          <w:shd w:val="clear" w:color="auto" w:fill="FFFFFF"/>
        </w:rPr>
        <w:t>申请者必须提交一份510k的电子文档（eCopy）给FDA。</w:t>
      </w:r>
    </w:p>
    <w:p w14:paraId="2BFF73C1">
      <w:pPr>
        <w:widowControl/>
        <w:jc w:val="left"/>
        <w:rPr>
          <w:rFonts w:ascii="宋体" w:hAnsi="宋体" w:eastAsia="宋体" w:cs="宋体"/>
          <w:kern w:val="0"/>
          <w:szCs w:val="21"/>
        </w:rPr>
      </w:pPr>
    </w:p>
    <w:p w14:paraId="02088A7C">
      <w:pPr>
        <w:widowControl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Cs w:val="21"/>
          <w:shd w:val="clear" w:color="auto" w:fill="FFFFFF"/>
        </w:rPr>
        <w:t>3.  没有理解不同510k提交方式之间的区别。</w:t>
      </w:r>
      <w:r>
        <w:rPr>
          <w:rFonts w:ascii="微软雅黑" w:hAnsi="微软雅黑" w:eastAsia="微软雅黑" w:cs="宋体"/>
          <w:color w:val="333333"/>
          <w:kern w:val="0"/>
          <w:szCs w:val="21"/>
          <w:shd w:val="clear" w:color="auto" w:fill="FFFFFF"/>
        </w:rPr>
        <w:t>提交510k有三种方式：传统型（最常见），特殊型（较少见），简略型（最少见）。一些申请者不理解这三种方式之间的区别并且以错误方式提交申请，这导致了在FDA行政审查阶段发出了拒绝接受信。</w:t>
      </w:r>
    </w:p>
    <w:p w14:paraId="1CB56295">
      <w:pPr>
        <w:widowControl/>
        <w:jc w:val="left"/>
        <w:rPr>
          <w:rFonts w:ascii="宋体" w:hAnsi="宋体" w:eastAsia="宋体" w:cs="宋体"/>
          <w:kern w:val="0"/>
          <w:szCs w:val="21"/>
        </w:rPr>
      </w:pPr>
    </w:p>
    <w:p w14:paraId="7593B60F">
      <w:pPr>
        <w:widowControl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Cs w:val="21"/>
          <w:shd w:val="clear" w:color="auto" w:fill="FFFFFF"/>
        </w:rPr>
        <w:t>4.  没有识别适用于其器械的FDA指南。</w:t>
      </w:r>
      <w:r>
        <w:rPr>
          <w:rFonts w:ascii="微软雅黑" w:hAnsi="微软雅黑" w:eastAsia="微软雅黑" w:cs="宋体"/>
          <w:color w:val="333333"/>
          <w:kern w:val="0"/>
          <w:szCs w:val="21"/>
          <w:shd w:val="clear" w:color="auto" w:fill="FFFFFF"/>
        </w:rPr>
        <w:t>申请者应识别出适用于其产品代码的指南文件。如果这些信息没有包含在申请文件中，FDA审核官将判定为提交文件缺失，从而发出RTA letter。</w:t>
      </w:r>
    </w:p>
    <w:p w14:paraId="3EBC5CAE">
      <w:pPr>
        <w:widowControl/>
        <w:jc w:val="left"/>
        <w:rPr>
          <w:rFonts w:ascii="宋体" w:hAnsi="宋体" w:eastAsia="宋体" w:cs="宋体"/>
          <w:kern w:val="0"/>
          <w:szCs w:val="21"/>
        </w:rPr>
      </w:pPr>
    </w:p>
    <w:p w14:paraId="5B3C432B">
      <w:pPr>
        <w:widowControl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Cs w:val="21"/>
          <w:shd w:val="clear" w:color="auto" w:fill="FFFFFF"/>
        </w:rPr>
        <w:t>5.  没有提供适用于其器械的测试数据。</w:t>
      </w:r>
      <w:r>
        <w:rPr>
          <w:rFonts w:ascii="微软雅黑" w:hAnsi="微软雅黑" w:eastAsia="微软雅黑" w:cs="宋体"/>
          <w:color w:val="333333"/>
          <w:kern w:val="0"/>
          <w:szCs w:val="21"/>
          <w:shd w:val="clear" w:color="auto" w:fill="FFFFFF"/>
        </w:rPr>
        <w:t>事实上所有类型的510k申请文件必须包含一些类型的测试数据（比如电磁兼容性、电气安全、灭菌、生物相容性、货架寿命、机械性能等等）；或需要其他一些验证和确认的文件，如一个器械含有软件，这个器械是否受网络安全的影响，或者人因工程在产品的操作和使用中是否起着至关重要的作用。然而，很多申请者可能并没有意识到必须包含这些信息在申请文件里。</w:t>
      </w:r>
    </w:p>
    <w:p w14:paraId="31E9BF29">
      <w:pPr>
        <w:widowControl/>
        <w:jc w:val="left"/>
        <w:rPr>
          <w:rFonts w:ascii="宋体" w:hAnsi="宋体" w:eastAsia="宋体" w:cs="宋体"/>
          <w:kern w:val="0"/>
          <w:szCs w:val="21"/>
        </w:rPr>
      </w:pPr>
    </w:p>
    <w:p w14:paraId="1AEF6C0F">
      <w:r>
        <w:rPr>
          <w:rFonts w:ascii="微软雅黑" w:hAnsi="微软雅黑" w:eastAsia="微软雅黑" w:cs="宋体"/>
          <w:color w:val="333333"/>
          <w:kern w:val="0"/>
          <w:szCs w:val="21"/>
          <w:shd w:val="clear" w:color="auto" w:fill="FFFFFF"/>
        </w:rPr>
        <w:t>总之，提交不完整的510k申请会导致FDA发出RTA letter，或510k实质性审查开始后会收到FDA AI（补充信息）的要求。因此，医疗器械公司应该首先要做好自我审查，如果有存在不确定的地方可以考虑在正式提交510k申请前通过预提交程序（Pre-submission program）与FDA讨论不同的问题，从而快速通过FDA审查。</w:t>
      </w:r>
    </w:p>
    <w:p w14:paraId="31D6FD2F">
      <w:pPr>
        <w:widowControl/>
        <w:jc w:val="left"/>
        <w:rPr>
          <w:rFonts w:hint="eastAsia" w:eastAsia="等线"/>
          <w:lang w:eastAsia="zh-CN"/>
        </w:rPr>
      </w:pPr>
    </w:p>
    <w:p w14:paraId="54C9DD85">
      <w:pPr>
        <w:widowControl/>
        <w:jc w:val="center"/>
        <w:rPr>
          <w:rFonts w:hint="eastAsia" w:eastAsia="等线"/>
          <w:lang w:eastAsia="zh-CN"/>
        </w:rPr>
      </w:pPr>
    </w:p>
    <w:p w14:paraId="5C658DEC">
      <w:pPr>
        <w:widowControl/>
        <w:jc w:val="center"/>
        <w:rPr>
          <w:rFonts w:hint="eastAsia" w:eastAsia="等线"/>
          <w:lang w:eastAsia="zh-CN"/>
        </w:rPr>
      </w:pPr>
      <w:r>
        <w:rPr>
          <w:rFonts w:hint="eastAsia" w:eastAsia="等线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455"/>
    <w:rsid w:val="00102455"/>
    <w:rsid w:val="00B7499B"/>
    <w:rsid w:val="00DA4945"/>
    <w:rsid w:val="5CEE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717</Words>
  <Characters>852</Characters>
  <Lines>6</Lines>
  <Paragraphs>1</Paragraphs>
  <TotalTime>0</TotalTime>
  <ScaleCrop>false</ScaleCrop>
  <LinksUpToDate>false</LinksUpToDate>
  <CharactersWithSpaces>870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2022-08-31T08:26:00Z</dcterms:created>
  <dc:creator>韩 健春</dc:creator>
  <cp:lastModifiedBy>太极箫客</cp:lastModifiedBy>
  <dcterms:modified xsi:type="dcterms:W3CDTF">2025-08-14T06:16:41Z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eyJoZGlkIjoiMDJiMzI3ODBiNTFmMWRjNDUyMjM1ZmZjODY5NDc2MWMiLCJ1c2VySWQiOiI0NTQ4Nzg1NzAifQ==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9469E0AF8E804E3F99EA0BE36FF5C0D4_12</vt:lpwstr>
  </property>
</Properties>
</file>