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88BD8">
      <w:pPr>
        <w:pBdr>
          <w:top w:val="single" w:color="auto" w:sz="24" w:space="1"/>
        </w:pBdr>
        <w:snapToGrid w:val="0"/>
        <w:spacing w:line="300" w:lineRule="auto"/>
        <w:jc w:val="center"/>
        <w:rPr>
          <w:rFonts w:ascii="Arial" w:hAnsi="Arial" w:eastAsia="宋体" w:cs="Arial"/>
          <w:b/>
          <w:bCs/>
          <w:sz w:val="44"/>
          <w:szCs w:val="44"/>
        </w:rPr>
      </w:pPr>
      <w:bookmarkStart w:id="22" w:name="_GoBack"/>
      <w:bookmarkEnd w:id="22"/>
      <w:r>
        <w:rPr>
          <w:rFonts w:ascii="Arial" w:hAnsi="Arial" w:eastAsia="宋体" w:cs="Arial"/>
          <w:b/>
          <w:sz w:val="44"/>
          <w:szCs w:val="44"/>
        </w:rPr>
        <w:t>行业指南</w:t>
      </w:r>
    </w:p>
    <w:p w14:paraId="48230F9D">
      <w:pPr>
        <w:snapToGrid w:val="0"/>
        <w:spacing w:line="300" w:lineRule="auto"/>
        <w:jc w:val="center"/>
        <w:rPr>
          <w:rFonts w:ascii="Arial" w:hAnsi="Arial" w:eastAsia="宋体" w:cs="Arial"/>
          <w:b/>
          <w:sz w:val="44"/>
          <w:szCs w:val="44"/>
        </w:rPr>
      </w:pPr>
      <w:bookmarkStart w:id="0" w:name="OLE_LINK5"/>
      <w:bookmarkStart w:id="1" w:name="OLE_LINK6"/>
      <w:r>
        <w:rPr>
          <w:rFonts w:ascii="Arial" w:hAnsi="Arial" w:eastAsia="宋体" w:cs="Arial"/>
          <w:b/>
          <w:sz w:val="44"/>
          <w:szCs w:val="44"/>
        </w:rPr>
        <w:t>FDA监管产品是否涉及应用纳米技术</w:t>
      </w:r>
      <w:r>
        <w:rPr>
          <w:rFonts w:hint="eastAsia" w:ascii="Arial" w:hAnsi="Arial" w:eastAsia="宋体" w:cs="Arial"/>
          <w:b/>
          <w:sz w:val="44"/>
          <w:szCs w:val="44"/>
        </w:rPr>
        <w:t>的</w:t>
      </w:r>
      <w:r>
        <w:rPr>
          <w:rFonts w:ascii="Arial" w:hAnsi="Arial" w:eastAsia="宋体" w:cs="Arial"/>
          <w:b/>
          <w:sz w:val="44"/>
          <w:szCs w:val="44"/>
        </w:rPr>
        <w:t>考虑</w:t>
      </w:r>
    </w:p>
    <w:bookmarkEnd w:id="0"/>
    <w:bookmarkEnd w:id="1"/>
    <w:p w14:paraId="3625EA1F">
      <w:pPr>
        <w:overflowPunct w:val="0"/>
        <w:snapToGrid w:val="0"/>
        <w:spacing w:before="5" w:line="300" w:lineRule="auto"/>
        <w:jc w:val="both"/>
        <w:rPr>
          <w:rFonts w:ascii="Arial" w:hAnsi="Arial" w:eastAsia="宋体" w:cs="Arial"/>
          <w:b/>
          <w:bCs/>
          <w:sz w:val="47"/>
          <w:szCs w:val="47"/>
        </w:rPr>
      </w:pPr>
    </w:p>
    <w:p w14:paraId="7F9E3F1C">
      <w:pPr>
        <w:overflowPunct w:val="0"/>
        <w:snapToGrid w:val="0"/>
        <w:spacing w:line="300" w:lineRule="auto"/>
        <w:jc w:val="both"/>
        <w:rPr>
          <w:rFonts w:ascii="Arial" w:hAnsi="Arial" w:eastAsia="宋体" w:cs="Arial"/>
          <w:sz w:val="24"/>
          <w:szCs w:val="24"/>
        </w:rPr>
      </w:pPr>
      <w:bookmarkStart w:id="2" w:name="OLE_LINK4"/>
      <w:bookmarkStart w:id="3" w:name="OLE_LINK3"/>
      <w:r>
        <w:rPr>
          <w:rFonts w:hint="eastAsia" w:ascii="Arial" w:hAnsi="Arial" w:eastAsia="宋体" w:cs="Arial"/>
          <w:i/>
          <w:sz w:val="24"/>
        </w:rPr>
        <w:t>所含建议不具约束力</w:t>
      </w:r>
    </w:p>
    <w:bookmarkEnd w:id="2"/>
    <w:bookmarkEnd w:id="3"/>
    <w:p w14:paraId="474755CE">
      <w:pPr>
        <w:overflowPunct w:val="0"/>
        <w:snapToGrid w:val="0"/>
        <w:spacing w:line="300" w:lineRule="auto"/>
        <w:jc w:val="both"/>
        <w:rPr>
          <w:rFonts w:ascii="Arial" w:hAnsi="Arial" w:eastAsia="宋体" w:cs="Arial"/>
          <w:i/>
          <w:sz w:val="24"/>
          <w:szCs w:val="24"/>
        </w:rPr>
      </w:pPr>
    </w:p>
    <w:p w14:paraId="6C15A00D">
      <w:pPr>
        <w:pStyle w:val="4"/>
        <w:overflowPunct w:val="0"/>
        <w:snapToGrid w:val="0"/>
        <w:spacing w:line="300" w:lineRule="auto"/>
        <w:ind w:left="0"/>
        <w:jc w:val="both"/>
        <w:rPr>
          <w:rFonts w:ascii="Arial" w:hAnsi="Arial" w:cs="Arial"/>
        </w:rPr>
      </w:pPr>
      <w:r>
        <w:rPr>
          <w:rFonts w:ascii="Arial" w:hAnsi="Arial" w:cs="Arial"/>
        </w:rPr>
        <w:t>2014年6月</w:t>
      </w:r>
    </w:p>
    <w:p w14:paraId="2E89C161">
      <w:pPr>
        <w:overflowPunct w:val="0"/>
        <w:snapToGrid w:val="0"/>
        <w:spacing w:line="300" w:lineRule="auto"/>
        <w:jc w:val="both"/>
        <w:rPr>
          <w:rFonts w:ascii="Arial" w:hAnsi="Arial" w:eastAsia="宋体" w:cs="Arial"/>
          <w:sz w:val="24"/>
          <w:szCs w:val="24"/>
        </w:rPr>
      </w:pPr>
    </w:p>
    <w:p w14:paraId="09CD3B26">
      <w:pPr>
        <w:pStyle w:val="4"/>
        <w:overflowPunct w:val="0"/>
        <w:snapToGrid w:val="0"/>
        <w:spacing w:line="300" w:lineRule="auto"/>
        <w:ind w:left="0"/>
        <w:jc w:val="both"/>
        <w:rPr>
          <w:rFonts w:ascii="Arial" w:hAnsi="Arial" w:cs="Arial"/>
        </w:rPr>
      </w:pPr>
      <w:r>
        <w:rPr>
          <w:rFonts w:hint="eastAsia" w:ascii="Arial" w:hAnsi="Arial" w:cs="Arial"/>
        </w:rPr>
        <w:t>其他</w:t>
      </w:r>
      <w:r>
        <w:rPr>
          <w:rFonts w:ascii="Arial" w:hAnsi="Arial" w:cs="Arial"/>
        </w:rPr>
        <w:t>副本可从以下地址获得：</w:t>
      </w:r>
    </w:p>
    <w:p w14:paraId="7FFC51D9">
      <w:pPr>
        <w:pStyle w:val="4"/>
        <w:overflowPunct w:val="0"/>
        <w:snapToGrid w:val="0"/>
        <w:spacing w:line="300" w:lineRule="auto"/>
        <w:ind w:left="0"/>
        <w:jc w:val="both"/>
        <w:rPr>
          <w:rFonts w:ascii="Arial" w:hAnsi="Arial" w:cs="Arial"/>
        </w:rPr>
      </w:pPr>
      <w:r>
        <w:rPr>
          <w:rFonts w:ascii="Arial" w:hAnsi="Arial" w:cs="Arial"/>
        </w:rPr>
        <w:t>政策办公室</w:t>
      </w:r>
    </w:p>
    <w:p w14:paraId="6B67FABC">
      <w:pPr>
        <w:pStyle w:val="4"/>
        <w:overflowPunct w:val="0"/>
        <w:snapToGrid w:val="0"/>
        <w:spacing w:line="300" w:lineRule="auto"/>
        <w:ind w:left="0"/>
        <w:jc w:val="both"/>
        <w:rPr>
          <w:rFonts w:ascii="Arial" w:hAnsi="Arial" w:cs="Arial"/>
        </w:rPr>
      </w:pPr>
      <w:r>
        <w:rPr>
          <w:rFonts w:ascii="Arial" w:hAnsi="Arial" w:cs="Arial"/>
        </w:rPr>
        <w:t>专员办公室</w:t>
      </w:r>
    </w:p>
    <w:p w14:paraId="0718DCDE">
      <w:pPr>
        <w:pStyle w:val="4"/>
        <w:overflowPunct w:val="0"/>
        <w:snapToGrid w:val="0"/>
        <w:spacing w:line="300" w:lineRule="auto"/>
        <w:ind w:left="0"/>
        <w:jc w:val="both"/>
        <w:rPr>
          <w:rFonts w:ascii="Arial" w:hAnsi="Arial" w:cs="Arial"/>
        </w:rPr>
      </w:pPr>
      <w:r>
        <w:rPr>
          <w:rFonts w:ascii="Arial" w:hAnsi="Arial" w:cs="Arial"/>
        </w:rPr>
        <w:t>食品药品监督管理局</w:t>
      </w:r>
    </w:p>
    <w:p w14:paraId="66442E6F">
      <w:pPr>
        <w:pStyle w:val="4"/>
        <w:overflowPunct w:val="0"/>
        <w:snapToGrid w:val="0"/>
        <w:spacing w:line="300" w:lineRule="auto"/>
        <w:ind w:left="0"/>
        <w:rPr>
          <w:rFonts w:ascii="Arial" w:hAnsi="Arial" w:cs="Arial"/>
        </w:rPr>
      </w:pPr>
      <w:r>
        <w:rPr>
          <w:rFonts w:ascii="Arial" w:hAnsi="Arial" w:cs="Arial"/>
        </w:rPr>
        <w:t xml:space="preserve">10903 New Hampshire Avenue </w:t>
      </w:r>
      <w:r>
        <w:rPr>
          <w:rFonts w:ascii="Arial" w:hAnsi="Arial" w:cs="Arial"/>
        </w:rPr>
        <w:br w:type="textWrapping"/>
      </w:r>
      <w:r>
        <w:rPr>
          <w:rFonts w:ascii="Arial" w:hAnsi="Arial" w:cs="Arial"/>
        </w:rPr>
        <w:t xml:space="preserve">Silver Spring，MD 20993 </w:t>
      </w:r>
    </w:p>
    <w:p w14:paraId="178F68BB">
      <w:pPr>
        <w:pStyle w:val="4"/>
        <w:overflowPunct w:val="0"/>
        <w:snapToGrid w:val="0"/>
        <w:spacing w:line="300" w:lineRule="auto"/>
        <w:ind w:left="0"/>
        <w:jc w:val="both"/>
        <w:rPr>
          <w:rFonts w:ascii="Arial" w:hAnsi="Arial" w:cs="Arial"/>
        </w:rPr>
      </w:pPr>
      <w:r>
        <w:rPr>
          <w:rFonts w:ascii="Arial" w:hAnsi="Arial" w:cs="Arial"/>
        </w:rPr>
        <w:t>电话</w:t>
      </w:r>
      <w:r>
        <w:rPr>
          <w:rFonts w:hint="eastAsia" w:ascii="Arial" w:hAnsi="Arial" w:cs="Arial"/>
        </w:rPr>
        <w:t>：</w:t>
      </w:r>
      <w:r>
        <w:rPr>
          <w:rFonts w:ascii="Arial" w:hAnsi="Arial" w:cs="Arial"/>
        </w:rPr>
        <w:t>301-796-4830</w:t>
      </w:r>
    </w:p>
    <w:p w14:paraId="20F35CD6">
      <w:pPr>
        <w:pStyle w:val="4"/>
        <w:overflowPunct w:val="0"/>
        <w:snapToGrid w:val="0"/>
        <w:spacing w:line="300" w:lineRule="auto"/>
        <w:ind w:left="0"/>
        <w:jc w:val="both"/>
        <w:rPr>
          <w:rFonts w:ascii="Arial" w:hAnsi="Arial" w:cs="Arial"/>
        </w:rPr>
      </w:pPr>
      <w:r>
        <w:fldChar w:fldCharType="begin"/>
      </w:r>
      <w:r>
        <w:instrText xml:space="preserve"> HYPERLINK "http://www.fda.gov/RegulatoryInformation/Guidances/ucm257698.htm" \h </w:instrText>
      </w:r>
      <w:r>
        <w:fldChar w:fldCharType="separate"/>
      </w:r>
      <w:r>
        <w:rPr>
          <w:rFonts w:ascii="Arial" w:hAnsi="Arial" w:cs="Arial"/>
          <w:color w:val="0000FF"/>
          <w:u w:val="single" w:color="0000FF"/>
        </w:rPr>
        <w:t>http://www.fda.gov/RegulatoryInformation/Guidances/ucm257698.htm</w:t>
      </w:r>
      <w:r>
        <w:rPr>
          <w:rFonts w:ascii="Arial" w:hAnsi="Arial" w:cs="Arial"/>
          <w:color w:val="0000FF"/>
          <w:u w:val="single" w:color="0000FF"/>
        </w:rPr>
        <w:fldChar w:fldCharType="end"/>
      </w:r>
    </w:p>
    <w:p w14:paraId="6934C981">
      <w:pPr>
        <w:overflowPunct w:val="0"/>
        <w:snapToGrid w:val="0"/>
        <w:spacing w:before="11" w:line="300" w:lineRule="auto"/>
        <w:jc w:val="both"/>
        <w:rPr>
          <w:rFonts w:ascii="Arial" w:hAnsi="Arial" w:eastAsia="宋体" w:cs="Arial"/>
          <w:sz w:val="17"/>
          <w:szCs w:val="17"/>
        </w:rPr>
      </w:pPr>
    </w:p>
    <w:p w14:paraId="6853204F">
      <w:pPr>
        <w:pStyle w:val="4"/>
        <w:overflowPunct w:val="0"/>
        <w:snapToGrid w:val="0"/>
        <w:spacing w:before="69" w:line="300" w:lineRule="auto"/>
        <w:ind w:left="0"/>
        <w:jc w:val="both"/>
        <w:rPr>
          <w:rFonts w:ascii="Arial" w:hAnsi="Arial" w:cs="Arial"/>
        </w:rPr>
      </w:pPr>
      <w:r>
        <w:rPr>
          <w:rFonts w:ascii="Arial" w:hAnsi="Arial" w:cs="Arial"/>
        </w:rPr>
        <w:t>可随时提交针对本指南的电子或书面评论。针对本指南的书面评论请提交至食品药品监督管理局案卷管理处（HFA-305），5630 Fishers Lane，rm.1061，Rockville，MD 20852</w:t>
      </w:r>
      <w:r>
        <w:rPr>
          <w:rFonts w:hint="eastAsia" w:ascii="Arial" w:hAnsi="Arial" w:cs="Arial"/>
        </w:rPr>
        <w:t>。</w:t>
      </w:r>
      <w:r>
        <w:rPr>
          <w:rFonts w:ascii="Arial" w:hAnsi="Arial" w:cs="Arial"/>
        </w:rPr>
        <w:t>电子评论请提交至</w:t>
      </w:r>
      <w:r>
        <w:fldChar w:fldCharType="begin"/>
      </w:r>
      <w:r>
        <w:instrText xml:space="preserve"> HYPERLINK "http://www.regulations.gov/" \h </w:instrText>
      </w:r>
      <w:r>
        <w:fldChar w:fldCharType="separate"/>
      </w:r>
      <w:r>
        <w:rPr>
          <w:rFonts w:ascii="Arial" w:hAnsi="Arial" w:cs="Arial"/>
          <w:color w:val="0000FF"/>
          <w:u w:val="single" w:color="0000FF"/>
        </w:rPr>
        <w:t>http://www.regulations.gov</w:t>
      </w:r>
      <w:r>
        <w:rPr>
          <w:rFonts w:ascii="Arial" w:hAnsi="Arial" w:cs="Arial"/>
          <w:color w:val="0000FF"/>
          <w:u w:val="single" w:color="0000FF"/>
        </w:rPr>
        <w:fldChar w:fldCharType="end"/>
      </w:r>
      <w:r>
        <w:rPr>
          <w:rFonts w:ascii="Arial" w:hAnsi="Arial" w:cs="Arial"/>
        </w:rPr>
        <w:t>。所有评论应当注明案卷编号（FDA-2010-D-0530），该编号列于</w:t>
      </w:r>
      <w:r>
        <w:rPr>
          <w:rFonts w:hint="eastAsia" w:ascii="Arial" w:hAnsi="Arial" w:cs="Arial"/>
        </w:rPr>
        <w:t>公布</w:t>
      </w:r>
      <w:r>
        <w:rPr>
          <w:rFonts w:ascii="Arial" w:hAnsi="Arial" w:cs="Arial"/>
        </w:rPr>
        <w:t>提供指南的联邦公告中。</w:t>
      </w:r>
    </w:p>
    <w:p w14:paraId="28AA0BF8">
      <w:pPr>
        <w:overflowPunct w:val="0"/>
        <w:snapToGrid w:val="0"/>
        <w:spacing w:line="300" w:lineRule="auto"/>
        <w:jc w:val="both"/>
        <w:rPr>
          <w:rFonts w:ascii="Arial" w:hAnsi="Arial" w:eastAsia="宋体" w:cs="Arial"/>
          <w:sz w:val="24"/>
          <w:szCs w:val="24"/>
        </w:rPr>
      </w:pPr>
    </w:p>
    <w:p w14:paraId="200C0211">
      <w:pPr>
        <w:overflowPunct w:val="0"/>
        <w:snapToGrid w:val="0"/>
        <w:spacing w:line="300" w:lineRule="auto"/>
        <w:jc w:val="both"/>
        <w:rPr>
          <w:rFonts w:ascii="Arial" w:hAnsi="Arial" w:eastAsia="宋体" w:cs="Arial"/>
          <w:sz w:val="20"/>
          <w:szCs w:val="20"/>
        </w:rPr>
      </w:pPr>
    </w:p>
    <w:p w14:paraId="36DEEB81">
      <w:pPr>
        <w:pStyle w:val="4"/>
        <w:overflowPunct w:val="0"/>
        <w:snapToGrid w:val="0"/>
        <w:spacing w:line="300" w:lineRule="auto"/>
        <w:ind w:left="0"/>
        <w:jc w:val="both"/>
        <w:rPr>
          <w:rFonts w:ascii="Arial" w:hAnsi="Arial" w:cs="Arial"/>
        </w:rPr>
      </w:pPr>
      <w:r>
        <w:rPr>
          <w:rFonts w:ascii="Arial" w:hAnsi="Arial" w:cs="Arial"/>
        </w:rPr>
        <w:t>针对本文档的问题，请联系：食品药品监督管理局专员办公室</w:t>
      </w:r>
      <w:r>
        <w:rPr>
          <w:rFonts w:hint="eastAsia" w:ascii="Arial" w:hAnsi="Arial" w:cs="Arial"/>
        </w:rPr>
        <w:t>（</w:t>
      </w:r>
      <w:r>
        <w:rPr>
          <w:rFonts w:ascii="Arial" w:hAnsi="Arial" w:cs="Arial"/>
        </w:rPr>
        <w:t>10903 New Hampshire Avenue，Silver Spring，MD 20993</w:t>
      </w:r>
      <w:r>
        <w:rPr>
          <w:rFonts w:hint="eastAsia" w:ascii="Arial" w:hAnsi="Arial" w:cs="Arial"/>
        </w:rPr>
        <w:t>）</w:t>
      </w:r>
      <w:r>
        <w:rPr>
          <w:rFonts w:ascii="Arial" w:hAnsi="Arial" w:cs="Arial"/>
        </w:rPr>
        <w:t>，</w:t>
      </w:r>
      <w:r>
        <w:rPr>
          <w:rFonts w:hint="eastAsia" w:ascii="Arial" w:hAnsi="Arial" w:cs="Arial"/>
        </w:rPr>
        <w:t>电话：</w:t>
      </w:r>
      <w:r>
        <w:rPr>
          <w:rFonts w:ascii="Arial" w:hAnsi="Arial" w:cs="Arial"/>
        </w:rPr>
        <w:t>301-796-4830。</w:t>
      </w:r>
    </w:p>
    <w:p w14:paraId="54A66819">
      <w:pPr>
        <w:overflowPunct w:val="0"/>
        <w:snapToGrid w:val="0"/>
        <w:spacing w:line="300" w:lineRule="auto"/>
        <w:jc w:val="both"/>
        <w:rPr>
          <w:rFonts w:ascii="Arial" w:hAnsi="Arial" w:eastAsia="宋体" w:cs="Arial"/>
          <w:sz w:val="24"/>
          <w:szCs w:val="24"/>
        </w:rPr>
      </w:pPr>
    </w:p>
    <w:p w14:paraId="4199D72E">
      <w:pPr>
        <w:overflowPunct w:val="0"/>
        <w:snapToGrid w:val="0"/>
        <w:spacing w:line="300" w:lineRule="auto"/>
        <w:jc w:val="both"/>
        <w:rPr>
          <w:rFonts w:ascii="Arial" w:hAnsi="Arial" w:eastAsia="宋体" w:cs="Arial"/>
          <w:sz w:val="24"/>
          <w:szCs w:val="24"/>
        </w:rPr>
      </w:pPr>
    </w:p>
    <w:p w14:paraId="24361D5C">
      <w:pPr>
        <w:overflowPunct w:val="0"/>
        <w:snapToGrid w:val="0"/>
        <w:spacing w:before="5" w:line="300" w:lineRule="auto"/>
        <w:jc w:val="both"/>
        <w:rPr>
          <w:rFonts w:ascii="Arial" w:hAnsi="Arial" w:eastAsia="宋体" w:cs="Arial"/>
          <w:sz w:val="24"/>
          <w:szCs w:val="24"/>
        </w:rPr>
      </w:pPr>
    </w:p>
    <w:p w14:paraId="6D35B03D">
      <w:pPr>
        <w:snapToGrid w:val="0"/>
        <w:spacing w:line="300" w:lineRule="auto"/>
        <w:jc w:val="center"/>
        <w:rPr>
          <w:rFonts w:ascii="Arial" w:hAnsi="Arial" w:eastAsia="宋体" w:cs="Arial"/>
          <w:b/>
          <w:sz w:val="24"/>
          <w:szCs w:val="24"/>
        </w:rPr>
      </w:pPr>
      <w:bookmarkStart w:id="4" w:name="U.S._Department_of_Health_and_Human_Serv"/>
      <w:bookmarkEnd w:id="4"/>
      <w:r>
        <w:rPr>
          <w:rFonts w:ascii="Arial" w:hAnsi="Arial" w:eastAsia="宋体" w:cs="Arial"/>
          <w:b/>
          <w:sz w:val="24"/>
          <w:szCs w:val="24"/>
        </w:rPr>
        <w:t xml:space="preserve">美国卫生与公众服务部 </w:t>
      </w:r>
    </w:p>
    <w:p w14:paraId="4777DEB7">
      <w:pPr>
        <w:snapToGrid w:val="0"/>
        <w:spacing w:line="300" w:lineRule="auto"/>
        <w:jc w:val="center"/>
        <w:rPr>
          <w:rFonts w:ascii="Arial" w:hAnsi="Arial" w:eastAsia="宋体" w:cs="Arial"/>
          <w:b/>
          <w:sz w:val="24"/>
          <w:szCs w:val="24"/>
        </w:rPr>
      </w:pPr>
      <w:r>
        <w:rPr>
          <w:rFonts w:ascii="Arial" w:hAnsi="Arial" w:eastAsia="宋体" w:cs="Arial"/>
          <w:b/>
          <w:sz w:val="24"/>
          <w:szCs w:val="24"/>
        </w:rPr>
        <w:t>食品药品监督管理局</w:t>
      </w:r>
    </w:p>
    <w:p w14:paraId="02DCFF02">
      <w:pPr>
        <w:overflowPunct w:val="0"/>
        <w:snapToGrid w:val="0"/>
        <w:spacing w:line="300" w:lineRule="auto"/>
        <w:jc w:val="center"/>
        <w:rPr>
          <w:rFonts w:ascii="Arial" w:hAnsi="Arial" w:eastAsia="宋体" w:cs="Arial"/>
          <w:b/>
          <w:sz w:val="24"/>
        </w:rPr>
      </w:pPr>
      <w:r>
        <w:rPr>
          <w:rFonts w:ascii="Arial" w:hAnsi="Arial" w:eastAsia="宋体" w:cs="Arial"/>
          <w:b/>
          <w:sz w:val="24"/>
        </w:rPr>
        <w:t>专员办公室</w:t>
      </w:r>
    </w:p>
    <w:p w14:paraId="63EC44C7">
      <w:pPr>
        <w:overflowPunct w:val="0"/>
        <w:snapToGrid w:val="0"/>
        <w:spacing w:line="300" w:lineRule="auto"/>
        <w:jc w:val="center"/>
        <w:rPr>
          <w:rFonts w:ascii="Arial" w:hAnsi="Arial" w:eastAsia="宋体" w:cs="Arial"/>
          <w:b/>
          <w:sz w:val="24"/>
        </w:rPr>
      </w:pPr>
    </w:p>
    <w:p w14:paraId="6941AA5B">
      <w:pPr>
        <w:overflowPunct w:val="0"/>
        <w:snapToGrid w:val="0"/>
        <w:spacing w:line="300" w:lineRule="auto"/>
        <w:jc w:val="center"/>
        <w:rPr>
          <w:rFonts w:ascii="Arial" w:hAnsi="Arial" w:eastAsia="宋体" w:cs="Arial"/>
          <w:sz w:val="24"/>
          <w:szCs w:val="24"/>
        </w:rPr>
      </w:pPr>
      <w:r>
        <w:rPr>
          <w:rFonts w:ascii="Arial" w:hAnsi="Arial" w:eastAsia="宋体" w:cs="Arial"/>
          <w:b/>
          <w:sz w:val="24"/>
        </w:rPr>
        <w:t>2014年6月</w:t>
      </w:r>
    </w:p>
    <w:p w14:paraId="340C536A">
      <w:pPr>
        <w:overflowPunct w:val="0"/>
        <w:snapToGrid w:val="0"/>
        <w:spacing w:line="300" w:lineRule="auto"/>
        <w:jc w:val="both"/>
        <w:rPr>
          <w:rFonts w:ascii="Arial" w:hAnsi="Arial" w:eastAsia="宋体" w:cs="Arial"/>
          <w:sz w:val="24"/>
          <w:szCs w:val="24"/>
        </w:rPr>
        <w:sectPr>
          <w:headerReference r:id="rId4" w:type="default"/>
          <w:footerReference r:id="rId5" w:type="default"/>
          <w:type w:val="continuous"/>
          <w:pgSz w:w="12240" w:h="15840"/>
          <w:pgMar w:top="1134" w:right="1134" w:bottom="1134" w:left="1134" w:header="720" w:footer="850" w:gutter="0"/>
          <w:pgNumType w:start="1"/>
          <w:cols w:space="720" w:num="1"/>
          <w:docGrid w:linePitch="299" w:charSpace="0"/>
        </w:sectPr>
      </w:pPr>
    </w:p>
    <w:sdt>
      <w:sdtPr>
        <w:rPr>
          <w:rFonts w:asciiTheme="minorHAnsi" w:hAnsiTheme="minorHAnsi" w:eastAsiaTheme="minorEastAsia" w:cstheme="minorBidi"/>
          <w:b w:val="0"/>
          <w:bCs w:val="0"/>
          <w:color w:val="auto"/>
          <w:sz w:val="22"/>
          <w:szCs w:val="22"/>
          <w:lang w:val="zh-CN"/>
        </w:rPr>
        <w:id w:val="2126653655"/>
        <w:docPartObj>
          <w:docPartGallery w:val="Table of Contents"/>
          <w:docPartUnique/>
        </w:docPartObj>
      </w:sdtPr>
      <w:sdtEndPr>
        <w:rPr>
          <w:rFonts w:asciiTheme="minorHAnsi" w:hAnsiTheme="minorHAnsi" w:eastAsiaTheme="minorEastAsia" w:cstheme="minorBidi"/>
          <w:b w:val="0"/>
          <w:bCs w:val="0"/>
          <w:color w:val="auto"/>
          <w:sz w:val="22"/>
          <w:szCs w:val="22"/>
          <w:lang w:val="zh-CN"/>
        </w:rPr>
      </w:sdtEndPr>
      <w:sdtContent>
        <w:p w14:paraId="04D7CE81">
          <w:pPr>
            <w:pStyle w:val="23"/>
            <w:snapToGrid w:val="0"/>
            <w:spacing w:before="0" w:after="240" w:afterLines="100" w:line="300" w:lineRule="auto"/>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14:paraId="5BFE2EEE">
          <w:pPr>
            <w:pStyle w:val="9"/>
            <w:tabs>
              <w:tab w:val="left" w:pos="400"/>
              <w:tab w:val="right" w:leader="dot" w:pos="9962"/>
            </w:tabs>
            <w:spacing w:after="120"/>
            <w:rPr>
              <w:rFonts w:eastAsiaTheme="minorEastAsia"/>
              <w:kern w:val="2"/>
              <w:sz w:val="21"/>
            </w:rPr>
          </w:pPr>
          <w:r>
            <w:fldChar w:fldCharType="begin"/>
          </w:r>
          <w:r>
            <w:instrText xml:space="preserve"> TOC \o "1-3" \n \h \z \u </w:instrText>
          </w:r>
          <w:r>
            <w:fldChar w:fldCharType="separate"/>
          </w:r>
          <w:r>
            <w:fldChar w:fldCharType="begin"/>
          </w:r>
          <w:r>
            <w:instrText xml:space="preserve"> HYPERLINK \l "_Toc495671513" </w:instrText>
          </w:r>
          <w:r>
            <w:fldChar w:fldCharType="separate"/>
          </w:r>
          <w:r>
            <w:rPr>
              <w:rStyle w:val="15"/>
              <w:rFonts w:ascii="Arial" w:hAnsi="Arial" w:eastAsia="Times New Roman" w:cs="Arial"/>
              <w:b/>
              <w:bCs/>
            </w:rPr>
            <w:t>I.</w:t>
          </w:r>
          <w:r>
            <w:rPr>
              <w:rFonts w:eastAsiaTheme="minorEastAsia"/>
              <w:kern w:val="2"/>
              <w:sz w:val="21"/>
            </w:rPr>
            <w:tab/>
          </w:r>
          <w:r>
            <w:rPr>
              <w:rStyle w:val="15"/>
              <w:rFonts w:hint="eastAsia" w:ascii="Arial" w:hAnsi="Arial" w:cs="Arial"/>
              <w:b/>
            </w:rPr>
            <w:t>引言和范围</w:t>
          </w:r>
          <w:r>
            <w:rPr>
              <w:rStyle w:val="15"/>
              <w:rFonts w:hint="eastAsia" w:ascii="Arial" w:hAnsi="Arial" w:cs="Arial"/>
              <w:b/>
            </w:rPr>
            <w:fldChar w:fldCharType="end"/>
          </w:r>
        </w:p>
        <w:p w14:paraId="2613B7C5">
          <w:pPr>
            <w:pStyle w:val="9"/>
            <w:tabs>
              <w:tab w:val="left" w:pos="630"/>
              <w:tab w:val="right" w:leader="dot" w:pos="9962"/>
            </w:tabs>
            <w:spacing w:after="120"/>
            <w:rPr>
              <w:rFonts w:eastAsiaTheme="minorEastAsia"/>
              <w:kern w:val="2"/>
              <w:sz w:val="21"/>
            </w:rPr>
          </w:pPr>
          <w:r>
            <w:fldChar w:fldCharType="begin"/>
          </w:r>
          <w:r>
            <w:instrText xml:space="preserve"> HYPERLINK \l "_Toc495671514" </w:instrText>
          </w:r>
          <w:r>
            <w:fldChar w:fldCharType="separate"/>
          </w:r>
          <w:r>
            <w:rPr>
              <w:rStyle w:val="15"/>
              <w:rFonts w:ascii="Arial" w:hAnsi="Arial" w:eastAsia="Times New Roman" w:cs="Arial"/>
              <w:b/>
              <w:bCs/>
            </w:rPr>
            <w:t>II.</w:t>
          </w:r>
          <w:r>
            <w:rPr>
              <w:rFonts w:eastAsiaTheme="minorEastAsia"/>
              <w:kern w:val="2"/>
              <w:sz w:val="21"/>
            </w:rPr>
            <w:tab/>
          </w:r>
          <w:r>
            <w:rPr>
              <w:rStyle w:val="15"/>
              <w:rFonts w:hint="eastAsia" w:ascii="Arial" w:hAnsi="Arial" w:cs="Arial"/>
              <w:b/>
            </w:rPr>
            <w:t>讨论</w:t>
          </w:r>
          <w:r>
            <w:rPr>
              <w:rStyle w:val="15"/>
              <w:rFonts w:hint="eastAsia" w:ascii="Arial" w:hAnsi="Arial" w:cs="Arial"/>
              <w:b/>
            </w:rPr>
            <w:fldChar w:fldCharType="end"/>
          </w:r>
        </w:p>
        <w:p w14:paraId="65C53B6F">
          <w:pPr>
            <w:pStyle w:val="11"/>
            <w:tabs>
              <w:tab w:val="left" w:pos="1050"/>
              <w:tab w:val="right" w:leader="dot" w:pos="9962"/>
            </w:tabs>
            <w:spacing w:after="120"/>
            <w:ind w:left="440"/>
            <w:rPr>
              <w:rFonts w:eastAsiaTheme="minorEastAsia"/>
              <w:b w:val="0"/>
              <w:kern w:val="2"/>
              <w:sz w:val="21"/>
            </w:rPr>
          </w:pPr>
          <w:r>
            <w:fldChar w:fldCharType="begin"/>
          </w:r>
          <w:r>
            <w:instrText xml:space="preserve"> HYPERLINK \l "_Toc495671515" </w:instrText>
          </w:r>
          <w:r>
            <w:fldChar w:fldCharType="separate"/>
          </w:r>
          <w:r>
            <w:rPr>
              <w:rStyle w:val="15"/>
              <w:rFonts w:ascii="Arial" w:hAnsi="Arial" w:eastAsia="Times New Roman" w:cs="Arial"/>
            </w:rPr>
            <w:t>A.</w:t>
          </w:r>
          <w:r>
            <w:rPr>
              <w:rFonts w:eastAsiaTheme="minorEastAsia"/>
              <w:b w:val="0"/>
              <w:kern w:val="2"/>
              <w:sz w:val="21"/>
            </w:rPr>
            <w:tab/>
          </w:r>
          <w:r>
            <w:rPr>
              <w:rStyle w:val="15"/>
              <w:rFonts w:hint="eastAsia" w:ascii="Arial" w:hAnsi="Arial" w:cs="Arial"/>
            </w:rPr>
            <w:t>需考虑的点</w:t>
          </w:r>
          <w:r>
            <w:rPr>
              <w:rStyle w:val="15"/>
              <w:rFonts w:hint="eastAsia" w:ascii="Arial" w:hAnsi="Arial" w:cs="Arial"/>
            </w:rPr>
            <w:fldChar w:fldCharType="end"/>
          </w:r>
        </w:p>
        <w:p w14:paraId="702EA3DD">
          <w:pPr>
            <w:pStyle w:val="11"/>
            <w:tabs>
              <w:tab w:val="left" w:pos="1050"/>
              <w:tab w:val="right" w:leader="dot" w:pos="9962"/>
            </w:tabs>
            <w:spacing w:after="120"/>
            <w:ind w:left="440"/>
            <w:rPr>
              <w:rFonts w:eastAsiaTheme="minorEastAsia"/>
              <w:b w:val="0"/>
              <w:kern w:val="2"/>
              <w:sz w:val="21"/>
            </w:rPr>
          </w:pPr>
          <w:r>
            <w:fldChar w:fldCharType="begin"/>
          </w:r>
          <w:r>
            <w:instrText xml:space="preserve"> HYPERLINK \l "_Toc495671516" </w:instrText>
          </w:r>
          <w:r>
            <w:fldChar w:fldCharType="separate"/>
          </w:r>
          <w:r>
            <w:rPr>
              <w:rStyle w:val="15"/>
              <w:rFonts w:ascii="Arial" w:hAnsi="Arial" w:eastAsia="Times New Roman" w:cs="Arial"/>
            </w:rPr>
            <w:t>B.</w:t>
          </w:r>
          <w:r>
            <w:rPr>
              <w:rFonts w:eastAsiaTheme="minorEastAsia"/>
              <w:b w:val="0"/>
              <w:kern w:val="2"/>
              <w:sz w:val="21"/>
            </w:rPr>
            <w:tab/>
          </w:r>
          <w:r>
            <w:rPr>
              <w:rStyle w:val="15"/>
              <w:rFonts w:hint="eastAsia" w:ascii="Arial" w:hAnsi="Arial" w:cs="Arial"/>
            </w:rPr>
            <w:t>需考虑的点中的要素原理</w:t>
          </w:r>
          <w:r>
            <w:rPr>
              <w:rStyle w:val="15"/>
              <w:rFonts w:hint="eastAsia" w:ascii="Arial" w:hAnsi="Arial" w:cs="Arial"/>
            </w:rPr>
            <w:fldChar w:fldCharType="end"/>
          </w:r>
        </w:p>
        <w:p w14:paraId="0114C4B9">
          <w:pPr>
            <w:pStyle w:val="5"/>
            <w:tabs>
              <w:tab w:val="left" w:pos="1260"/>
              <w:tab w:val="right" w:leader="dot" w:pos="9962"/>
            </w:tabs>
            <w:spacing w:after="120"/>
            <w:ind w:left="880"/>
            <w:rPr>
              <w:rFonts w:eastAsiaTheme="minorEastAsia"/>
              <w:b w:val="0"/>
              <w:kern w:val="2"/>
              <w:sz w:val="21"/>
            </w:rPr>
          </w:pPr>
          <w:r>
            <w:fldChar w:fldCharType="begin"/>
          </w:r>
          <w:r>
            <w:instrText xml:space="preserve"> HYPERLINK \l "_Toc495671517" </w:instrText>
          </w:r>
          <w:r>
            <w:fldChar w:fldCharType="separate"/>
          </w:r>
          <w:r>
            <w:rPr>
              <w:rStyle w:val="15"/>
              <w:rFonts w:ascii="Arial" w:hAnsi="Arial" w:eastAsia="Times New Roman" w:cs="Arial"/>
            </w:rPr>
            <w:t>1.</w:t>
          </w:r>
          <w:r>
            <w:rPr>
              <w:rFonts w:eastAsiaTheme="minorEastAsia"/>
              <w:b w:val="0"/>
              <w:kern w:val="2"/>
              <w:sz w:val="21"/>
            </w:rPr>
            <w:tab/>
          </w:r>
          <w:r>
            <w:rPr>
              <w:rStyle w:val="15"/>
              <w:rFonts w:hint="eastAsia" w:ascii="Arial" w:hAnsi="Arial" w:cs="Arial"/>
            </w:rPr>
            <w:t>设计具有某些尺寸或具有某些性质的材料或最终产品（点</w:t>
          </w:r>
          <w:r>
            <w:rPr>
              <w:rStyle w:val="15"/>
              <w:rFonts w:ascii="Arial" w:hAnsi="Arial" w:cs="Arial"/>
            </w:rPr>
            <w:t>1</w:t>
          </w:r>
          <w:r>
            <w:rPr>
              <w:rStyle w:val="15"/>
              <w:rFonts w:hint="eastAsia" w:ascii="Arial" w:hAnsi="Arial" w:cs="Arial"/>
            </w:rPr>
            <w:t>和点</w:t>
          </w:r>
          <w:r>
            <w:rPr>
              <w:rStyle w:val="15"/>
              <w:rFonts w:ascii="Arial" w:hAnsi="Arial" w:cs="Arial"/>
            </w:rPr>
            <w:t>2</w:t>
          </w:r>
          <w:r>
            <w:rPr>
              <w:rStyle w:val="15"/>
              <w:rFonts w:hint="eastAsia" w:ascii="Arial" w:hAnsi="Arial" w:cs="Arial"/>
            </w:rPr>
            <w:t>）</w:t>
          </w:r>
          <w:r>
            <w:rPr>
              <w:rStyle w:val="15"/>
              <w:rFonts w:hint="eastAsia" w:ascii="Arial" w:hAnsi="Arial" w:cs="Arial"/>
            </w:rPr>
            <w:fldChar w:fldCharType="end"/>
          </w:r>
        </w:p>
        <w:p w14:paraId="3295CCEE">
          <w:pPr>
            <w:pStyle w:val="5"/>
            <w:tabs>
              <w:tab w:val="left" w:pos="1260"/>
              <w:tab w:val="right" w:leader="dot" w:pos="9962"/>
            </w:tabs>
            <w:spacing w:after="120"/>
            <w:ind w:left="880"/>
            <w:rPr>
              <w:rFonts w:eastAsiaTheme="minorEastAsia"/>
              <w:b w:val="0"/>
              <w:kern w:val="2"/>
              <w:sz w:val="21"/>
            </w:rPr>
          </w:pPr>
          <w:r>
            <w:fldChar w:fldCharType="begin"/>
          </w:r>
          <w:r>
            <w:instrText xml:space="preserve"> HYPERLINK \l "_Toc495671518" </w:instrText>
          </w:r>
          <w:r>
            <w:fldChar w:fldCharType="separate"/>
          </w:r>
          <w:r>
            <w:rPr>
              <w:rStyle w:val="15"/>
              <w:rFonts w:ascii="Arial" w:hAnsi="Arial" w:eastAsia="Times New Roman" w:cs="Arial"/>
            </w:rPr>
            <w:t>2.</w:t>
          </w:r>
          <w:r>
            <w:rPr>
              <w:rFonts w:eastAsiaTheme="minorEastAsia"/>
              <w:b w:val="0"/>
              <w:kern w:val="2"/>
              <w:sz w:val="21"/>
            </w:rPr>
            <w:tab/>
          </w:r>
          <w:r>
            <w:rPr>
              <w:rStyle w:val="15"/>
              <w:rFonts w:hint="eastAsia" w:ascii="Arial" w:hAnsi="Arial" w:cs="Arial"/>
            </w:rPr>
            <w:t>材料或最终产品（点</w:t>
          </w:r>
          <w:r>
            <w:rPr>
              <w:rStyle w:val="15"/>
              <w:rFonts w:ascii="Arial" w:hAnsi="Arial" w:cs="Arial"/>
            </w:rPr>
            <w:t>1</w:t>
          </w:r>
          <w:r>
            <w:rPr>
              <w:rStyle w:val="15"/>
              <w:rFonts w:hint="eastAsia" w:ascii="Arial" w:hAnsi="Arial" w:cs="Arial"/>
            </w:rPr>
            <w:t>和点</w:t>
          </w:r>
          <w:r>
            <w:rPr>
              <w:rStyle w:val="15"/>
              <w:rFonts w:ascii="Arial" w:hAnsi="Arial" w:cs="Arial"/>
            </w:rPr>
            <w:t>2</w:t>
          </w:r>
          <w:r>
            <w:rPr>
              <w:rStyle w:val="15"/>
              <w:rFonts w:hint="eastAsia" w:ascii="Arial" w:hAnsi="Arial" w:cs="Arial"/>
            </w:rPr>
            <w:t>）</w:t>
          </w:r>
          <w:r>
            <w:rPr>
              <w:rStyle w:val="15"/>
              <w:rFonts w:hint="eastAsia" w:ascii="Arial" w:hAnsi="Arial" w:cs="Arial"/>
            </w:rPr>
            <w:fldChar w:fldCharType="end"/>
          </w:r>
        </w:p>
        <w:p w14:paraId="71E398DB">
          <w:pPr>
            <w:pStyle w:val="5"/>
            <w:tabs>
              <w:tab w:val="left" w:pos="1260"/>
              <w:tab w:val="right" w:leader="dot" w:pos="9962"/>
            </w:tabs>
            <w:spacing w:after="120"/>
            <w:ind w:left="880"/>
            <w:rPr>
              <w:rFonts w:eastAsiaTheme="minorEastAsia"/>
              <w:b w:val="0"/>
              <w:kern w:val="2"/>
              <w:sz w:val="21"/>
            </w:rPr>
          </w:pPr>
          <w:r>
            <w:fldChar w:fldCharType="begin"/>
          </w:r>
          <w:r>
            <w:instrText xml:space="preserve"> HYPERLINK \l "_Toc495671519" </w:instrText>
          </w:r>
          <w:r>
            <w:fldChar w:fldCharType="separate"/>
          </w:r>
          <w:r>
            <w:rPr>
              <w:rStyle w:val="15"/>
              <w:rFonts w:ascii="Arial" w:hAnsi="Arial" w:eastAsia="Times New Roman" w:cs="Arial"/>
            </w:rPr>
            <w:t>3.</w:t>
          </w:r>
          <w:r>
            <w:rPr>
              <w:rFonts w:eastAsiaTheme="minorEastAsia"/>
              <w:b w:val="0"/>
              <w:kern w:val="2"/>
              <w:sz w:val="21"/>
            </w:rPr>
            <w:tab/>
          </w:r>
          <w:r>
            <w:rPr>
              <w:rStyle w:val="15"/>
              <w:rFonts w:hint="eastAsia" w:ascii="Arial" w:hAnsi="Arial" w:cs="Arial"/>
            </w:rPr>
            <w:t>至少有一个外部尺寸或内部或表面结构在纳米尺度范围内（约</w:t>
          </w:r>
          <w:r>
            <w:rPr>
              <w:rStyle w:val="15"/>
              <w:rFonts w:ascii="Arial" w:hAnsi="Arial" w:cs="Arial"/>
            </w:rPr>
            <w:t>1nm</w:t>
          </w:r>
          <w:r>
            <w:rPr>
              <w:rStyle w:val="15"/>
              <w:rFonts w:hint="eastAsia" w:ascii="Arial" w:hAnsi="Arial" w:cs="Arial"/>
            </w:rPr>
            <w:t>至</w:t>
          </w:r>
          <w:r>
            <w:rPr>
              <w:rStyle w:val="15"/>
              <w:rFonts w:ascii="Arial" w:hAnsi="Arial" w:cs="Arial"/>
            </w:rPr>
            <w:t>100nm</w:t>
          </w:r>
          <w:r>
            <w:rPr>
              <w:rStyle w:val="15"/>
              <w:rFonts w:hint="eastAsia" w:ascii="Arial" w:hAnsi="Arial" w:cs="Arial"/>
            </w:rPr>
            <w:t>）（点</w:t>
          </w:r>
          <w:r>
            <w:rPr>
              <w:rStyle w:val="15"/>
              <w:rFonts w:ascii="Arial" w:hAnsi="Arial" w:cs="Arial"/>
            </w:rPr>
            <w:t>1</w:t>
          </w:r>
          <w:r>
            <w:rPr>
              <w:rStyle w:val="15"/>
              <w:rFonts w:hint="eastAsia" w:ascii="Arial" w:hAnsi="Arial" w:cs="Arial"/>
            </w:rPr>
            <w:t>）</w:t>
          </w:r>
          <w:r>
            <w:rPr>
              <w:rStyle w:val="15"/>
              <w:rFonts w:hint="eastAsia" w:ascii="Arial" w:hAnsi="Arial" w:cs="Arial"/>
            </w:rPr>
            <w:fldChar w:fldCharType="end"/>
          </w:r>
        </w:p>
        <w:p w14:paraId="18886545">
          <w:pPr>
            <w:pStyle w:val="5"/>
            <w:tabs>
              <w:tab w:val="left" w:pos="1260"/>
              <w:tab w:val="right" w:leader="dot" w:pos="9962"/>
            </w:tabs>
            <w:spacing w:after="120"/>
            <w:ind w:left="880"/>
            <w:rPr>
              <w:rFonts w:eastAsiaTheme="minorEastAsia"/>
              <w:b w:val="0"/>
              <w:kern w:val="2"/>
              <w:sz w:val="21"/>
            </w:rPr>
          </w:pPr>
          <w:r>
            <w:fldChar w:fldCharType="begin"/>
          </w:r>
          <w:r>
            <w:instrText xml:space="preserve"> HYPERLINK \l "_Toc495671520" </w:instrText>
          </w:r>
          <w:r>
            <w:fldChar w:fldCharType="separate"/>
          </w:r>
          <w:r>
            <w:rPr>
              <w:rStyle w:val="15"/>
              <w:rFonts w:ascii="Arial" w:hAnsi="Arial" w:eastAsia="Times New Roman" w:cs="Arial"/>
            </w:rPr>
            <w:t>4.</w:t>
          </w:r>
          <w:r>
            <w:rPr>
              <w:rFonts w:eastAsiaTheme="minorEastAsia"/>
              <w:b w:val="0"/>
              <w:kern w:val="2"/>
              <w:sz w:val="21"/>
            </w:rPr>
            <w:tab/>
          </w:r>
          <w:r>
            <w:rPr>
              <w:rStyle w:val="15"/>
              <w:rFonts w:hint="eastAsia" w:ascii="Arial" w:hAnsi="Arial" w:cs="Arial"/>
            </w:rPr>
            <w:t>因尺寸产生的性质或现象（点</w:t>
          </w:r>
          <w:r>
            <w:rPr>
              <w:rStyle w:val="15"/>
              <w:rFonts w:ascii="Arial" w:hAnsi="Arial" w:cs="Arial"/>
            </w:rPr>
            <w:t>2</w:t>
          </w:r>
          <w:r>
            <w:rPr>
              <w:rStyle w:val="15"/>
              <w:rFonts w:hint="eastAsia" w:ascii="Arial" w:hAnsi="Arial" w:cs="Arial"/>
            </w:rPr>
            <w:t>）</w:t>
          </w:r>
          <w:r>
            <w:rPr>
              <w:rStyle w:val="15"/>
              <w:rFonts w:hint="eastAsia" w:ascii="Arial" w:hAnsi="Arial" w:cs="Arial"/>
            </w:rPr>
            <w:fldChar w:fldCharType="end"/>
          </w:r>
        </w:p>
        <w:p w14:paraId="29816FF6">
          <w:pPr>
            <w:pStyle w:val="5"/>
            <w:tabs>
              <w:tab w:val="left" w:pos="1260"/>
              <w:tab w:val="right" w:leader="dot" w:pos="9962"/>
            </w:tabs>
            <w:spacing w:after="120"/>
            <w:ind w:left="880"/>
            <w:rPr>
              <w:rFonts w:eastAsiaTheme="minorEastAsia"/>
              <w:b w:val="0"/>
              <w:kern w:val="2"/>
              <w:sz w:val="21"/>
            </w:rPr>
          </w:pPr>
          <w:r>
            <w:fldChar w:fldCharType="begin"/>
          </w:r>
          <w:r>
            <w:instrText xml:space="preserve"> HYPERLINK \l "_Toc495671521" </w:instrText>
          </w:r>
          <w:r>
            <w:fldChar w:fldCharType="separate"/>
          </w:r>
          <w:r>
            <w:rPr>
              <w:rStyle w:val="15"/>
              <w:rFonts w:ascii="Arial" w:hAnsi="Arial" w:eastAsia="Times New Roman" w:cs="Arial"/>
            </w:rPr>
            <w:t>5.</w:t>
          </w:r>
          <w:r>
            <w:rPr>
              <w:rFonts w:eastAsiaTheme="minorEastAsia"/>
              <w:b w:val="0"/>
              <w:kern w:val="2"/>
              <w:sz w:val="21"/>
            </w:rPr>
            <w:tab/>
          </w:r>
          <w:r>
            <w:rPr>
              <w:rStyle w:val="15"/>
              <w:rFonts w:hint="eastAsia" w:ascii="Arial" w:hAnsi="Arial" w:cs="Arial"/>
            </w:rPr>
            <w:t>高达</w:t>
          </w:r>
          <w:r>
            <w:rPr>
              <w:rStyle w:val="15"/>
              <w:rFonts w:ascii="Arial" w:hAnsi="Arial" w:cs="Arial"/>
            </w:rPr>
            <w:t>1</w:t>
          </w:r>
          <w:r>
            <w:rPr>
              <w:rStyle w:val="15"/>
              <w:rFonts w:hint="eastAsia" w:ascii="Arial" w:hAnsi="Arial" w:cs="Arial"/>
            </w:rPr>
            <w:t>微米（</w:t>
          </w:r>
          <w:r>
            <w:rPr>
              <w:rStyle w:val="15"/>
              <w:rFonts w:ascii="Arial" w:hAnsi="Arial" w:cs="Arial"/>
            </w:rPr>
            <w:t>1000nm</w:t>
          </w:r>
          <w:r>
            <w:rPr>
              <w:rStyle w:val="15"/>
              <w:rFonts w:hint="eastAsia" w:ascii="Arial" w:hAnsi="Arial" w:cs="Arial"/>
            </w:rPr>
            <w:t>）的尺寸（点</w:t>
          </w:r>
          <w:r>
            <w:rPr>
              <w:rStyle w:val="15"/>
              <w:rFonts w:ascii="Arial" w:hAnsi="Arial" w:cs="Arial"/>
            </w:rPr>
            <w:t>2</w:t>
          </w:r>
          <w:r>
            <w:rPr>
              <w:rStyle w:val="15"/>
              <w:rFonts w:hint="eastAsia" w:ascii="Arial" w:hAnsi="Arial" w:cs="Arial"/>
            </w:rPr>
            <w:t>）</w:t>
          </w:r>
          <w:r>
            <w:rPr>
              <w:rStyle w:val="15"/>
              <w:rFonts w:hint="eastAsia" w:ascii="Arial" w:hAnsi="Arial" w:cs="Arial"/>
            </w:rPr>
            <w:fldChar w:fldCharType="end"/>
          </w:r>
        </w:p>
        <w:p w14:paraId="23D5CDD3">
          <w:pPr>
            <w:pStyle w:val="9"/>
            <w:tabs>
              <w:tab w:val="left" w:pos="630"/>
              <w:tab w:val="right" w:leader="dot" w:pos="9962"/>
            </w:tabs>
            <w:spacing w:after="120"/>
            <w:rPr>
              <w:rFonts w:eastAsiaTheme="minorEastAsia"/>
              <w:kern w:val="2"/>
              <w:sz w:val="21"/>
            </w:rPr>
          </w:pPr>
          <w:r>
            <w:fldChar w:fldCharType="begin"/>
          </w:r>
          <w:r>
            <w:instrText xml:space="preserve"> HYPERLINK \l "_Toc495671522" </w:instrText>
          </w:r>
          <w:r>
            <w:fldChar w:fldCharType="separate"/>
          </w:r>
          <w:r>
            <w:rPr>
              <w:rStyle w:val="15"/>
              <w:rFonts w:ascii="Arial" w:hAnsi="Arial" w:eastAsia="Times New Roman" w:cs="Arial"/>
              <w:b/>
              <w:bCs/>
            </w:rPr>
            <w:t>III.</w:t>
          </w:r>
          <w:r>
            <w:rPr>
              <w:rFonts w:eastAsiaTheme="minorEastAsia"/>
              <w:kern w:val="2"/>
              <w:sz w:val="21"/>
            </w:rPr>
            <w:tab/>
          </w:r>
          <w:r>
            <w:rPr>
              <w:rStyle w:val="15"/>
              <w:rFonts w:hint="eastAsia" w:ascii="Arial" w:hAnsi="Arial" w:cs="Arial"/>
              <w:b/>
            </w:rPr>
            <w:t>结论</w:t>
          </w:r>
          <w:r>
            <w:rPr>
              <w:rStyle w:val="15"/>
              <w:rFonts w:hint="eastAsia" w:ascii="Arial" w:hAnsi="Arial" w:cs="Arial"/>
              <w:b/>
            </w:rPr>
            <w:fldChar w:fldCharType="end"/>
          </w:r>
        </w:p>
        <w:p w14:paraId="152AA7C7">
          <w:pPr>
            <w:pStyle w:val="9"/>
            <w:tabs>
              <w:tab w:val="left" w:pos="630"/>
              <w:tab w:val="right" w:leader="dot" w:pos="9962"/>
            </w:tabs>
            <w:spacing w:after="120"/>
            <w:rPr>
              <w:rFonts w:eastAsiaTheme="minorEastAsia"/>
              <w:kern w:val="2"/>
              <w:sz w:val="21"/>
            </w:rPr>
          </w:pPr>
          <w:r>
            <w:fldChar w:fldCharType="begin"/>
          </w:r>
          <w:r>
            <w:instrText xml:space="preserve"> HYPERLINK \l "_Toc495671523" </w:instrText>
          </w:r>
          <w:r>
            <w:fldChar w:fldCharType="separate"/>
          </w:r>
          <w:r>
            <w:rPr>
              <w:rStyle w:val="15"/>
              <w:rFonts w:ascii="Arial" w:hAnsi="Arial" w:eastAsia="Times New Roman" w:cs="Arial"/>
              <w:b/>
              <w:bCs/>
            </w:rPr>
            <w:t>IV.</w:t>
          </w:r>
          <w:r>
            <w:rPr>
              <w:rFonts w:eastAsiaTheme="minorEastAsia"/>
              <w:kern w:val="2"/>
              <w:sz w:val="21"/>
            </w:rPr>
            <w:tab/>
          </w:r>
          <w:r>
            <w:rPr>
              <w:rStyle w:val="15"/>
              <w:rFonts w:hint="eastAsia" w:ascii="Arial" w:hAnsi="Arial" w:cs="Arial"/>
              <w:b/>
            </w:rPr>
            <w:t>参考文件</w:t>
          </w:r>
          <w:r>
            <w:rPr>
              <w:rStyle w:val="15"/>
              <w:rFonts w:hint="eastAsia" w:ascii="Arial" w:hAnsi="Arial" w:cs="Arial"/>
              <w:b/>
            </w:rPr>
            <w:fldChar w:fldCharType="end"/>
          </w:r>
        </w:p>
        <w:p w14:paraId="4A4AC619">
          <w:r>
            <w:rPr>
              <w:rFonts w:eastAsia="宋体"/>
              <w:sz w:val="24"/>
            </w:rPr>
            <w:fldChar w:fldCharType="end"/>
          </w:r>
        </w:p>
      </w:sdtContent>
    </w:sdt>
    <w:p w14:paraId="06BDB02F">
      <w:pPr>
        <w:overflowPunct w:val="0"/>
        <w:snapToGrid w:val="0"/>
        <w:spacing w:before="4" w:line="300" w:lineRule="auto"/>
        <w:jc w:val="both"/>
        <w:rPr>
          <w:rFonts w:ascii="Arial" w:hAnsi="Arial" w:eastAsia="宋体" w:cs="Arial"/>
          <w:b/>
          <w:bCs/>
          <w:sz w:val="23"/>
          <w:szCs w:val="23"/>
        </w:rPr>
      </w:pPr>
    </w:p>
    <w:p w14:paraId="3A0C26F7">
      <w:pPr>
        <w:overflowPunct w:val="0"/>
        <w:rPr>
          <w:rFonts w:ascii="Arial" w:hAnsi="Arial" w:eastAsia="宋体" w:cs="Arial"/>
          <w:sz w:val="24"/>
          <w:szCs w:val="24"/>
        </w:rPr>
      </w:pPr>
      <w:bookmarkStart w:id="5" w:name="TABLE_OF_CONTENTS"/>
      <w:bookmarkEnd w:id="5"/>
      <w:r>
        <w:rPr>
          <w:rFonts w:ascii="Arial" w:hAnsi="Arial" w:eastAsia="宋体" w:cs="Arial"/>
          <w:sz w:val="24"/>
          <w:szCs w:val="24"/>
        </w:rPr>
        <w:br w:type="page"/>
      </w:r>
    </w:p>
    <w:p w14:paraId="24D268A7">
      <w:pPr>
        <w:overflowPunct w:val="0"/>
        <w:snapToGrid w:val="0"/>
        <w:spacing w:before="53" w:line="300" w:lineRule="auto"/>
        <w:jc w:val="center"/>
        <w:rPr>
          <w:rFonts w:ascii="Arial" w:hAnsi="Arial" w:eastAsia="宋体" w:cs="Arial"/>
          <w:sz w:val="36"/>
          <w:szCs w:val="36"/>
        </w:rPr>
      </w:pPr>
      <w:bookmarkStart w:id="6" w:name="Guidance_for_Industry"/>
      <w:bookmarkEnd w:id="6"/>
      <w:r>
        <w:rPr>
          <w:rFonts w:ascii="Arial" w:hAnsi="Arial" w:eastAsia="宋体" w:cs="Arial"/>
          <w:b/>
          <w:sz w:val="36"/>
        </w:rPr>
        <w:t>行业指南</w:t>
      </w:r>
    </w:p>
    <w:p w14:paraId="340E59DA">
      <w:pPr>
        <w:overflowPunct w:val="0"/>
        <w:snapToGrid w:val="0"/>
        <w:spacing w:before="2" w:line="300" w:lineRule="auto"/>
        <w:jc w:val="center"/>
        <w:rPr>
          <w:rFonts w:ascii="Arial" w:hAnsi="Arial" w:eastAsia="宋体" w:cs="Arial"/>
          <w:sz w:val="23"/>
          <w:szCs w:val="23"/>
        </w:rPr>
      </w:pPr>
      <w:r>
        <w:rPr>
          <w:rFonts w:hint="eastAsia" w:ascii="Arial" w:hAnsi="Arial" w:eastAsia="宋体" w:cs="Arial"/>
          <w:b/>
          <w:sz w:val="36"/>
        </w:rPr>
        <w:t>FDA监管产品是否涉及应用纳米技术的考虑</w:t>
      </w:r>
      <w:r>
        <w:rPr>
          <w:rStyle w:val="16"/>
          <w:rFonts w:ascii="Arial" w:hAnsi="Arial" w:eastAsia="宋体" w:cs="Arial"/>
          <w:b/>
          <w:sz w:val="36"/>
        </w:rPr>
        <w:footnoteReference w:id="0"/>
      </w:r>
    </w:p>
    <w:p w14:paraId="3D0D1E8A">
      <w:pPr>
        <w:overflowPunct w:val="0"/>
        <w:snapToGrid w:val="0"/>
        <w:spacing w:line="300" w:lineRule="auto"/>
        <w:jc w:val="both"/>
        <w:rPr>
          <w:rFonts w:ascii="Arial" w:hAnsi="Arial" w:eastAsia="宋体" w:cs="Arial"/>
          <w:b/>
          <w:bCs/>
          <w:sz w:val="20"/>
          <w:szCs w:val="20"/>
        </w:rPr>
      </w:pPr>
    </w:p>
    <w:p w14:paraId="4979BB78">
      <w:pPr>
        <w:overflowPunct w:val="0"/>
        <w:snapToGrid w:val="0"/>
        <w:spacing w:before="4" w:line="300" w:lineRule="auto"/>
        <w:jc w:val="both"/>
        <w:rPr>
          <w:rFonts w:ascii="Arial" w:hAnsi="Arial" w:eastAsia="宋体" w:cs="Arial"/>
          <w:b/>
          <w:bCs/>
          <w:sz w:val="10"/>
          <w:szCs w:val="10"/>
        </w:rPr>
      </w:pPr>
    </w:p>
    <w:tbl>
      <w:tblPr>
        <w:tblStyle w:val="13"/>
        <w:tblW w:w="0" w:type="auto"/>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10188"/>
      </w:tblGrid>
      <w:tr w14:paraId="0361A85F">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c>
          <w:tcPr>
            <w:tcW w:w="10188" w:type="dxa"/>
          </w:tcPr>
          <w:p w14:paraId="53EC49D8">
            <w:pPr>
              <w:overflowPunct w:val="0"/>
              <w:snapToGrid w:val="0"/>
              <w:spacing w:before="120" w:beforeLines="50" w:after="120" w:afterLines="50" w:line="300" w:lineRule="auto"/>
              <w:jc w:val="both"/>
              <w:rPr>
                <w:rFonts w:ascii="Arial" w:hAnsi="Arial" w:eastAsia="宋体" w:cs="Arial"/>
              </w:rPr>
            </w:pPr>
            <w:r>
              <w:rPr>
                <w:rFonts w:ascii="Arial" w:hAnsi="Arial" w:eastAsia="宋体" w:cs="Arial"/>
              </w:rPr>
              <w:t>本指南代表食品药品监督管理局（FDA或机构）对此主题的最新见解。其不会为任何人创造或赋予任何权利，也不对FDA或公众具有约束力。如果替代方法满足适用的法律、法规的要求，可以使用替代方法。如果贵公司希望讨论一种替代方法，请联系负责实施本指南的FDA工作人员。如果贵公司无法确定适当的FDA工作人员，请拨打本指南标题页上列出的合适的电话号码。</w:t>
            </w:r>
          </w:p>
        </w:tc>
      </w:tr>
    </w:tbl>
    <w:p w14:paraId="18A232AB">
      <w:pPr>
        <w:overflowPunct w:val="0"/>
        <w:snapToGrid w:val="0"/>
        <w:spacing w:line="300" w:lineRule="auto"/>
        <w:jc w:val="both"/>
        <w:rPr>
          <w:rFonts w:ascii="Arial" w:hAnsi="Arial" w:eastAsia="宋体" w:cs="Arial"/>
          <w:sz w:val="20"/>
          <w:szCs w:val="20"/>
        </w:rPr>
      </w:pPr>
    </w:p>
    <w:p w14:paraId="64B6D1EE">
      <w:pPr>
        <w:overflowPunct w:val="0"/>
        <w:snapToGrid w:val="0"/>
        <w:spacing w:line="300" w:lineRule="auto"/>
        <w:jc w:val="both"/>
        <w:rPr>
          <w:rFonts w:ascii="Arial" w:hAnsi="Arial" w:eastAsia="宋体" w:cs="Arial"/>
          <w:b/>
          <w:bCs/>
          <w:sz w:val="20"/>
          <w:szCs w:val="20"/>
        </w:rPr>
      </w:pPr>
    </w:p>
    <w:p w14:paraId="6116FA8E">
      <w:pPr>
        <w:overflowPunct w:val="0"/>
        <w:snapToGrid w:val="0"/>
        <w:spacing w:before="3" w:line="300" w:lineRule="auto"/>
        <w:jc w:val="both"/>
        <w:rPr>
          <w:rFonts w:ascii="Arial" w:hAnsi="Arial" w:eastAsia="宋体" w:cs="Arial"/>
          <w:b/>
          <w:bCs/>
          <w:sz w:val="25"/>
          <w:szCs w:val="25"/>
        </w:rPr>
      </w:pPr>
    </w:p>
    <w:p w14:paraId="4D3C1205">
      <w:pPr>
        <w:pStyle w:val="18"/>
        <w:numPr>
          <w:ilvl w:val="0"/>
          <w:numId w:val="1"/>
        </w:numPr>
        <w:tabs>
          <w:tab w:val="left" w:pos="980"/>
        </w:tabs>
        <w:overflowPunct w:val="0"/>
        <w:snapToGrid w:val="0"/>
        <w:spacing w:before="69" w:line="300" w:lineRule="auto"/>
        <w:ind w:left="720"/>
        <w:jc w:val="both"/>
        <w:outlineLvl w:val="0"/>
        <w:rPr>
          <w:rFonts w:ascii="Arial" w:hAnsi="Arial" w:eastAsia="宋体" w:cs="Arial"/>
          <w:sz w:val="28"/>
          <w:szCs w:val="28"/>
        </w:rPr>
      </w:pPr>
      <w:bookmarkStart w:id="7" w:name="I._INTRODUCTION_and_scope"/>
      <w:bookmarkEnd w:id="7"/>
      <w:bookmarkStart w:id="8" w:name="_Toc495671513"/>
      <w:r>
        <w:rPr>
          <w:rFonts w:ascii="Arial" w:hAnsi="Arial" w:eastAsia="宋体" w:cs="Arial"/>
          <w:b/>
          <w:sz w:val="28"/>
          <w:szCs w:val="28"/>
        </w:rPr>
        <w:t>引言和范围</w:t>
      </w:r>
      <w:bookmarkEnd w:id="8"/>
    </w:p>
    <w:p w14:paraId="12B1EA5B">
      <w:pPr>
        <w:overflowPunct w:val="0"/>
        <w:snapToGrid w:val="0"/>
        <w:spacing w:before="7" w:line="300" w:lineRule="auto"/>
        <w:jc w:val="both"/>
        <w:rPr>
          <w:rFonts w:ascii="Arial" w:hAnsi="Arial" w:eastAsia="宋体" w:cs="Arial"/>
          <w:b/>
          <w:bCs/>
          <w:sz w:val="23"/>
          <w:szCs w:val="23"/>
        </w:rPr>
      </w:pPr>
    </w:p>
    <w:p w14:paraId="0F2D51B5">
      <w:pPr>
        <w:pStyle w:val="4"/>
        <w:overflowPunct w:val="0"/>
        <w:snapToGrid w:val="0"/>
        <w:spacing w:line="300" w:lineRule="auto"/>
        <w:ind w:left="0"/>
        <w:jc w:val="both"/>
        <w:rPr>
          <w:rFonts w:ascii="Arial" w:hAnsi="Arial" w:cs="Arial"/>
        </w:rPr>
      </w:pPr>
      <w:r>
        <w:rPr>
          <w:rFonts w:ascii="Arial" w:hAnsi="Arial" w:cs="Arial"/>
        </w:rPr>
        <w:t>纳米技术是一种可用于包括医疗产品（</w:t>
      </w:r>
      <w:bookmarkStart w:id="9" w:name="OLE_LINK1"/>
      <w:bookmarkStart w:id="10" w:name="OLE_LINK2"/>
      <w:r>
        <w:rPr>
          <w:rFonts w:ascii="Arial" w:hAnsi="Arial" w:cs="Arial"/>
        </w:rPr>
        <w:t>例</w:t>
      </w:r>
      <w:bookmarkEnd w:id="9"/>
      <w:bookmarkEnd w:id="10"/>
      <w:r>
        <w:rPr>
          <w:rFonts w:ascii="Arial" w:hAnsi="Arial" w:cs="Arial"/>
        </w:rPr>
        <w:t>如提高药物生物利用度）</w:t>
      </w:r>
      <w:r>
        <w:rPr>
          <w:rFonts w:hint="eastAsia" w:ascii="Arial" w:hAnsi="Arial" w:cs="Arial"/>
        </w:rPr>
        <w:t>、</w:t>
      </w:r>
      <w:r>
        <w:rPr>
          <w:rFonts w:ascii="Arial" w:hAnsi="Arial" w:cs="Arial"/>
        </w:rPr>
        <w:t>食品（例如改善食品包装）和化妆品（例如影响化妆品外观和感觉）</w:t>
      </w:r>
      <w:r>
        <w:rPr>
          <w:rFonts w:hint="eastAsia" w:ascii="Arial" w:hAnsi="Arial" w:cs="Arial"/>
        </w:rPr>
        <w:t>等</w:t>
      </w:r>
      <w:r>
        <w:rPr>
          <w:rFonts w:ascii="Arial" w:hAnsi="Arial" w:cs="Arial"/>
        </w:rPr>
        <w:t>大部分FDA监管产品</w:t>
      </w:r>
      <w:r>
        <w:rPr>
          <w:rFonts w:hint="eastAsia" w:ascii="Arial" w:hAnsi="Arial" w:cs="Arial"/>
        </w:rPr>
        <w:t>的</w:t>
      </w:r>
      <w:r>
        <w:rPr>
          <w:rFonts w:ascii="Arial" w:hAnsi="Arial" w:cs="Arial"/>
        </w:rPr>
        <w:t>新兴技术。与大</w:t>
      </w:r>
      <w:r>
        <w:rPr>
          <w:rFonts w:hint="eastAsia" w:ascii="Arial" w:hAnsi="Arial" w:cs="Arial"/>
        </w:rPr>
        <w:t>规模</w:t>
      </w:r>
      <w:r>
        <w:rPr>
          <w:rFonts w:ascii="Arial" w:hAnsi="Arial" w:cs="Arial"/>
        </w:rPr>
        <w:t>对应物相比，纳米尺度材料（即至少有一种尺寸约为1纳米（nm）至100纳米）可表现出不同的化学或物理性质或生物效应。例如，尺寸依赖</w:t>
      </w:r>
      <w:r>
        <w:rPr>
          <w:rFonts w:hint="eastAsia" w:ascii="Arial" w:hAnsi="Arial" w:cs="Arial"/>
        </w:rPr>
        <w:t>性质</w:t>
      </w:r>
      <w:r>
        <w:rPr>
          <w:rFonts w:ascii="Arial" w:hAnsi="Arial" w:cs="Arial"/>
        </w:rPr>
        <w:t>或现象可用于功能效应，例如增加生物利用度，降低剂量或增加药物产品的效价，降低药物产品的毒性，更好地检测病原体，更具保护性的食品包装材料，或改善食品中功能成分或营养物质的输送（参考文件1-6）。此类效应可能来自纳米尺度材料的化学、生物或磁性及电学或光学活性已经改变，结构完整性增加或其他独特特征，而此类现象通常无法在具有相同化学成分的大规模材料中观察到或</w:t>
      </w:r>
      <w:r>
        <w:rPr>
          <w:rFonts w:hint="eastAsia" w:ascii="Arial" w:hAnsi="Arial" w:cs="Arial"/>
        </w:rPr>
        <w:t>预测</w:t>
      </w:r>
      <w:r>
        <w:rPr>
          <w:rFonts w:ascii="Arial" w:hAnsi="Arial" w:cs="Arial"/>
        </w:rPr>
        <w:t>（参考文件7）。尽管其尺寸不在约1nm到100nm的纳米尺度范围内，材料或最终产品也可以表现出类似性质或现象（参考文件27-30；另请参见第II.B.5节中的讨论）。</w:t>
      </w:r>
    </w:p>
    <w:p w14:paraId="5B193B8E">
      <w:pPr>
        <w:overflowPunct w:val="0"/>
        <w:snapToGrid w:val="0"/>
        <w:spacing w:line="300" w:lineRule="auto"/>
        <w:jc w:val="both"/>
        <w:rPr>
          <w:rFonts w:ascii="Arial" w:hAnsi="Arial" w:eastAsia="宋体" w:cs="Arial"/>
          <w:sz w:val="24"/>
          <w:szCs w:val="24"/>
        </w:rPr>
      </w:pPr>
    </w:p>
    <w:p w14:paraId="0EB38FC1">
      <w:pPr>
        <w:pStyle w:val="4"/>
        <w:overflowPunct w:val="0"/>
        <w:snapToGrid w:val="0"/>
        <w:spacing w:line="300" w:lineRule="auto"/>
        <w:ind w:left="0"/>
        <w:jc w:val="both"/>
        <w:rPr>
          <w:rFonts w:ascii="Arial" w:hAnsi="Arial" w:cs="Arial"/>
        </w:rPr>
      </w:pPr>
      <w:r>
        <w:rPr>
          <w:rFonts w:ascii="Arial" w:hAnsi="Arial" w:cs="Arial"/>
        </w:rPr>
        <w:t>就本指南而言，</w:t>
      </w:r>
      <w:r>
        <w:rPr>
          <w:rFonts w:ascii="宋体" w:hAnsi="宋体" w:cs="Arial"/>
        </w:rPr>
        <w:t>“</w:t>
      </w:r>
      <w:r>
        <w:rPr>
          <w:rFonts w:ascii="Arial" w:hAnsi="Arial" w:cs="Arial"/>
        </w:rPr>
        <w:t>涉及纳米技术应用的产品</w:t>
      </w:r>
      <w:r>
        <w:rPr>
          <w:rFonts w:ascii="宋体" w:hAnsi="宋体" w:cs="Arial"/>
        </w:rPr>
        <w:t>”</w:t>
      </w:r>
      <w:r>
        <w:rPr>
          <w:rFonts w:ascii="Arial" w:hAnsi="Arial" w:cs="Arial"/>
        </w:rPr>
        <w:t>或</w:t>
      </w:r>
      <w:r>
        <w:rPr>
          <w:rFonts w:ascii="宋体" w:hAnsi="宋体" w:cs="Arial"/>
        </w:rPr>
        <w:t>“</w:t>
      </w:r>
      <w:r>
        <w:rPr>
          <w:rFonts w:ascii="Arial" w:hAnsi="Arial" w:cs="Arial"/>
        </w:rPr>
        <w:t>纳米技术产品</w:t>
      </w:r>
      <w:r>
        <w:rPr>
          <w:rFonts w:ascii="宋体" w:hAnsi="宋体" w:cs="Arial"/>
        </w:rPr>
        <w:t>”</w:t>
      </w:r>
      <w:r>
        <w:rPr>
          <w:rFonts w:ascii="Arial" w:hAnsi="Arial" w:cs="Arial"/>
        </w:rPr>
        <w:t>指含有或使用纳米尺度材料制造的产品，以及含有或使用以其他方式表现出相关尺寸依赖性性质或现象的某些材料制造的产品。同样，术语</w:t>
      </w:r>
      <w:r>
        <w:rPr>
          <w:rFonts w:ascii="宋体" w:hAnsi="宋体" w:cs="Arial"/>
        </w:rPr>
        <w:t>“</w:t>
      </w:r>
      <w:r>
        <w:rPr>
          <w:rFonts w:ascii="Arial" w:hAnsi="Arial" w:cs="Arial"/>
        </w:rPr>
        <w:t>纳米材料</w:t>
      </w:r>
      <w:r>
        <w:rPr>
          <w:rFonts w:ascii="宋体" w:hAnsi="宋体" w:cs="Arial"/>
        </w:rPr>
        <w:t>”</w:t>
      </w:r>
      <w:r>
        <w:rPr>
          <w:rFonts w:ascii="Arial" w:hAnsi="Arial" w:cs="Arial"/>
        </w:rPr>
        <w:t>通常指纳米尺度两种材料及以其他方式表现出相关尺寸依赖性性质或现象的某些材料。此类术语仅用于传达本文档阐述FDA的最新见解。</w:t>
      </w:r>
    </w:p>
    <w:p w14:paraId="4910DEAD">
      <w:pPr>
        <w:overflowPunct w:val="0"/>
        <w:snapToGrid w:val="0"/>
        <w:spacing w:before="3" w:line="300" w:lineRule="auto"/>
        <w:jc w:val="both"/>
        <w:rPr>
          <w:rFonts w:ascii="Arial" w:hAnsi="Arial" w:eastAsia="宋体" w:cs="Arial"/>
          <w:sz w:val="24"/>
          <w:szCs w:val="24"/>
        </w:rPr>
      </w:pPr>
    </w:p>
    <w:p w14:paraId="1BED57DB">
      <w:pPr>
        <w:rPr>
          <w:rFonts w:ascii="Arial" w:hAnsi="Arial" w:eastAsia="宋体" w:cs="Arial"/>
          <w:sz w:val="24"/>
          <w:szCs w:val="24"/>
        </w:rPr>
      </w:pPr>
      <w:r>
        <w:rPr>
          <w:rFonts w:ascii="Arial" w:hAnsi="Arial" w:cs="Arial"/>
        </w:rPr>
        <w:br w:type="page"/>
      </w:r>
    </w:p>
    <w:p w14:paraId="5FDE0804">
      <w:pPr>
        <w:pStyle w:val="4"/>
        <w:overflowPunct w:val="0"/>
        <w:snapToGrid w:val="0"/>
        <w:spacing w:line="360" w:lineRule="auto"/>
        <w:ind w:left="0"/>
        <w:jc w:val="both"/>
        <w:rPr>
          <w:rFonts w:ascii="Arial" w:hAnsi="Arial" w:cs="Arial"/>
          <w:sz w:val="16"/>
          <w:szCs w:val="16"/>
        </w:rPr>
      </w:pPr>
      <w:r>
        <w:rPr>
          <w:rFonts w:ascii="Arial" w:hAnsi="Arial" w:cs="Arial"/>
        </w:rPr>
        <w:t>如本指南</w:t>
      </w:r>
      <w:r>
        <w:rPr>
          <w:rFonts w:hint="eastAsia" w:ascii="Arial" w:hAnsi="Arial" w:cs="Arial"/>
        </w:rPr>
        <w:t>所述</w:t>
      </w:r>
      <w:r>
        <w:rPr>
          <w:rFonts w:ascii="Arial" w:hAnsi="Arial" w:cs="Arial"/>
        </w:rPr>
        <w:t>，</w:t>
      </w:r>
      <w:r>
        <w:rPr>
          <w:rFonts w:ascii="宋体" w:hAnsi="宋体" w:cs="Arial"/>
        </w:rPr>
        <w:t>“</w:t>
      </w:r>
      <w:r>
        <w:rPr>
          <w:rFonts w:ascii="Arial" w:hAnsi="Arial" w:cs="Arial"/>
        </w:rPr>
        <w:t>产品</w:t>
      </w:r>
      <w:r>
        <w:rPr>
          <w:rFonts w:ascii="宋体" w:hAnsi="宋体" w:cs="Arial"/>
        </w:rPr>
        <w:t>”</w:t>
      </w:r>
      <w:r>
        <w:rPr>
          <w:rFonts w:ascii="Arial" w:hAnsi="Arial" w:cs="Arial"/>
        </w:rPr>
        <w:t>（或</w:t>
      </w:r>
      <w:r>
        <w:rPr>
          <w:rFonts w:ascii="宋体" w:hAnsi="宋体" w:cs="Arial"/>
        </w:rPr>
        <w:t>“</w:t>
      </w:r>
      <w:r>
        <w:rPr>
          <w:rFonts w:ascii="Arial" w:hAnsi="Arial" w:cs="Arial"/>
        </w:rPr>
        <w:t>FDA监管产品</w:t>
      </w:r>
      <w:r>
        <w:rPr>
          <w:rFonts w:ascii="宋体" w:hAnsi="宋体" w:cs="Arial"/>
        </w:rPr>
        <w:t>”</w:t>
      </w:r>
      <w:r>
        <w:rPr>
          <w:rFonts w:ascii="Arial" w:hAnsi="Arial" w:cs="Arial"/>
        </w:rPr>
        <w:t>）一词包括FDA监管的产品、材料、成分和其他物质，其中包括药物、生物制品、医疗器械、食品（包括供动物食用的食品）、膳食补充剂、化妆品和烟草制品。</w:t>
      </w:r>
      <w:r>
        <w:rPr>
          <w:rStyle w:val="16"/>
          <w:rFonts w:ascii="Arial" w:hAnsi="Arial" w:cs="Arial"/>
        </w:rPr>
        <w:footnoteReference w:id="1"/>
      </w:r>
    </w:p>
    <w:p w14:paraId="1AC80D32">
      <w:pPr>
        <w:overflowPunct w:val="0"/>
        <w:snapToGrid w:val="0"/>
        <w:spacing w:before="8" w:line="360" w:lineRule="auto"/>
        <w:jc w:val="both"/>
        <w:rPr>
          <w:rFonts w:ascii="Arial" w:hAnsi="Arial" w:eastAsia="宋体" w:cs="Arial"/>
          <w:sz w:val="23"/>
          <w:szCs w:val="23"/>
        </w:rPr>
      </w:pPr>
    </w:p>
    <w:p w14:paraId="474D7C65">
      <w:pPr>
        <w:pStyle w:val="4"/>
        <w:overflowPunct w:val="0"/>
        <w:snapToGrid w:val="0"/>
        <w:spacing w:line="360" w:lineRule="auto"/>
        <w:ind w:left="0"/>
        <w:jc w:val="both"/>
        <w:rPr>
          <w:rFonts w:ascii="Arial" w:hAnsi="Arial" w:cs="Arial"/>
        </w:rPr>
      </w:pPr>
      <w:r>
        <w:rPr>
          <w:rFonts w:ascii="Arial" w:hAnsi="Arial" w:cs="Arial"/>
        </w:rPr>
        <w:t>本指南介绍了FDA关于确定FDA监管产品是否涉及纳米技术应用的最新见解。本指南适用于制造商、供应商、进口商和其他利益相关者。（为方便起见，本指南将此类当事方统称为</w:t>
      </w:r>
      <w:r>
        <w:rPr>
          <w:rFonts w:ascii="宋体" w:hAnsi="宋体" w:cs="Arial"/>
        </w:rPr>
        <w:t>“</w:t>
      </w:r>
      <w:r>
        <w:rPr>
          <w:rFonts w:ascii="Arial" w:hAnsi="Arial" w:cs="Arial"/>
        </w:rPr>
        <w:t>行业</w:t>
      </w:r>
      <w:r>
        <w:rPr>
          <w:rFonts w:ascii="宋体" w:hAnsi="宋体" w:cs="Arial"/>
        </w:rPr>
        <w:t>”</w:t>
      </w:r>
      <w:r>
        <w:rPr>
          <w:rFonts w:ascii="Arial" w:hAnsi="Arial" w:cs="Arial"/>
        </w:rPr>
        <w:t>。）FDA的指导性文件，包括本指南，不构成具有法律强制力的责任。相反，指南表明了FDA对某一主题的最新见解，除非引用具体的法规或法律要求，否则只应视为建议。在本审查机构指南中使用词语</w:t>
      </w:r>
      <w:r>
        <w:rPr>
          <w:rFonts w:ascii="宋体" w:hAnsi="宋体" w:cs="Arial"/>
        </w:rPr>
        <w:t>“</w:t>
      </w:r>
      <w:r>
        <w:rPr>
          <w:rFonts w:ascii="Arial" w:hAnsi="Arial" w:cs="Arial"/>
        </w:rPr>
        <w:t>应</w:t>
      </w:r>
      <w:r>
        <w:rPr>
          <w:rFonts w:ascii="宋体" w:hAnsi="宋体" w:cs="Arial"/>
        </w:rPr>
        <w:t>”</w:t>
      </w:r>
      <w:r>
        <w:rPr>
          <w:rFonts w:ascii="Arial" w:hAnsi="Arial" w:cs="Arial"/>
        </w:rPr>
        <w:t>是指建议或推荐进行某一事项，并非强制要求。</w:t>
      </w:r>
    </w:p>
    <w:p w14:paraId="1A57848A">
      <w:pPr>
        <w:overflowPunct w:val="0"/>
        <w:snapToGrid w:val="0"/>
        <w:spacing w:line="360" w:lineRule="auto"/>
        <w:jc w:val="both"/>
        <w:rPr>
          <w:rFonts w:ascii="Arial" w:hAnsi="Arial" w:eastAsia="宋体" w:cs="Arial"/>
          <w:sz w:val="24"/>
          <w:szCs w:val="24"/>
        </w:rPr>
      </w:pPr>
    </w:p>
    <w:p w14:paraId="018905EE">
      <w:pPr>
        <w:pStyle w:val="4"/>
        <w:overflowPunct w:val="0"/>
        <w:snapToGrid w:val="0"/>
        <w:spacing w:line="360" w:lineRule="auto"/>
        <w:ind w:left="0"/>
        <w:jc w:val="both"/>
        <w:rPr>
          <w:rFonts w:ascii="Arial" w:hAnsi="Arial" w:cs="Arial"/>
        </w:rPr>
      </w:pPr>
      <w:r>
        <w:rPr>
          <w:rFonts w:ascii="Arial" w:hAnsi="Arial" w:cs="Arial"/>
        </w:rPr>
        <w:t>应用纳米技术可能产生与传统制造产品不同的产品属性，因此可能值得特别考察。然而，FDA（或</w:t>
      </w:r>
      <w:r>
        <w:rPr>
          <w:rFonts w:ascii="宋体" w:hAnsi="宋体" w:cs="Arial"/>
        </w:rPr>
        <w:t>“</w:t>
      </w:r>
      <w:r>
        <w:rPr>
          <w:rFonts w:ascii="Arial" w:hAnsi="Arial" w:cs="Arial"/>
        </w:rPr>
        <w:t>本机构</w:t>
      </w:r>
      <w:r>
        <w:rPr>
          <w:rFonts w:ascii="宋体" w:hAnsi="宋体" w:cs="Arial"/>
        </w:rPr>
        <w:t>”</w:t>
      </w:r>
      <w:r>
        <w:rPr>
          <w:rFonts w:ascii="Arial" w:hAnsi="Arial" w:cs="Arial"/>
        </w:rPr>
        <w:t>）并未明确确定涉及纳米技术应用的所有产品具有固有收益或危害。FDA将根据适用于其管辖的每种产品的具体法律标准，对现有法定机构的纳米技术产品进行监管。本机构认为现有安全评估框架足够稳健和灵活，适用于各种材料，包括纳米材料。FDA坚持以产品为重点，以科学为基础的监管政策。技术评估具有产品特异性，且需考虑到纳米材料在每种产品的特定生物和力学环境下的作用及其预期用途。因此，每种产品的特殊实质性和程序性政策将因法定机构和相关监管框架而有所不同（参考文件8）。本机构认为，这项监管政策有助于定制符</w:t>
      </w:r>
      <w:r>
        <w:rPr>
          <w:rFonts w:hint="eastAsia" w:ascii="Arial" w:hAnsi="Arial" w:cs="Arial"/>
        </w:rPr>
        <w:t>适用</w:t>
      </w:r>
      <w:r>
        <w:rPr>
          <w:rFonts w:ascii="Arial" w:hAnsi="Arial" w:cs="Arial"/>
        </w:rPr>
        <w:t>法律框架，</w:t>
      </w:r>
      <w:r>
        <w:rPr>
          <w:rFonts w:hint="eastAsia" w:ascii="Arial" w:hAnsi="Arial" w:cs="Arial"/>
        </w:rPr>
        <w:t>表示</w:t>
      </w:r>
      <w:r>
        <w:rPr>
          <w:rFonts w:ascii="Arial" w:hAnsi="Arial" w:cs="Arial"/>
        </w:rPr>
        <w:t>具体产品或产品类别的特性，以及不断变化的技术和科学认识的方法。</w:t>
      </w:r>
    </w:p>
    <w:p w14:paraId="667049BA">
      <w:pPr>
        <w:overflowPunct w:val="0"/>
        <w:snapToGrid w:val="0"/>
        <w:spacing w:line="360" w:lineRule="auto"/>
        <w:jc w:val="both"/>
        <w:rPr>
          <w:rFonts w:ascii="Arial" w:hAnsi="Arial" w:eastAsia="宋体" w:cs="Arial"/>
          <w:sz w:val="24"/>
          <w:szCs w:val="24"/>
        </w:rPr>
      </w:pPr>
    </w:p>
    <w:p w14:paraId="3A9C95B6">
      <w:pPr>
        <w:pStyle w:val="4"/>
        <w:overflowPunct w:val="0"/>
        <w:snapToGrid w:val="0"/>
        <w:spacing w:line="360" w:lineRule="auto"/>
        <w:ind w:left="0"/>
        <w:jc w:val="both"/>
        <w:rPr>
          <w:rFonts w:ascii="Arial" w:hAnsi="Arial" w:cs="Arial"/>
        </w:rPr>
      </w:pPr>
      <w:r>
        <w:rPr>
          <w:rFonts w:ascii="Arial" w:hAnsi="Arial" w:cs="Arial"/>
        </w:rPr>
        <w:t>本指南提供了FDA用于监管纳米技术产品的方法的总体框架。本指南确定了在确定FDA监管产品是否涉及纳米技术应用时要考虑的两点。如果明确发现</w:t>
      </w:r>
      <w:r>
        <w:rPr>
          <w:rFonts w:ascii="宋体" w:hAnsi="宋体" w:cs="Arial"/>
        </w:rPr>
        <w:t>“</w:t>
      </w:r>
      <w:r>
        <w:rPr>
          <w:rFonts w:ascii="Arial" w:hAnsi="Arial" w:cs="Arial"/>
        </w:rPr>
        <w:t>需考虑的点</w:t>
      </w:r>
      <w:r>
        <w:rPr>
          <w:rFonts w:ascii="宋体" w:hAnsi="宋体" w:cs="Arial"/>
        </w:rPr>
        <w:t>”</w:t>
      </w:r>
      <w:r>
        <w:rPr>
          <w:rFonts w:ascii="Arial" w:hAnsi="Arial" w:cs="Arial"/>
        </w:rPr>
        <w:t>（见下文第II节）中任何一点，则可能表明本机构和/或行业需要特别关注该产品，以确定和解决对安全性和有效性的可能影响、公共卫生影响或产品的监管状态。</w:t>
      </w:r>
    </w:p>
    <w:p w14:paraId="5897241D">
      <w:pPr>
        <w:overflowPunct w:val="0"/>
        <w:snapToGrid w:val="0"/>
        <w:spacing w:line="360" w:lineRule="auto"/>
        <w:jc w:val="both"/>
        <w:rPr>
          <w:rFonts w:ascii="Arial" w:hAnsi="Arial" w:eastAsia="宋体" w:cs="Arial"/>
          <w:sz w:val="24"/>
          <w:szCs w:val="24"/>
        </w:rPr>
      </w:pPr>
    </w:p>
    <w:p w14:paraId="3E8B5296">
      <w:pPr>
        <w:pStyle w:val="4"/>
        <w:overflowPunct w:val="0"/>
        <w:snapToGrid w:val="0"/>
        <w:spacing w:line="360" w:lineRule="auto"/>
        <w:ind w:left="0"/>
        <w:jc w:val="both"/>
        <w:rPr>
          <w:rFonts w:ascii="Arial" w:hAnsi="Arial" w:cs="Arial"/>
          <w:sz w:val="20"/>
          <w:szCs w:val="20"/>
        </w:rPr>
      </w:pPr>
      <w:r>
        <w:rPr>
          <w:rFonts w:ascii="Arial" w:hAnsi="Arial" w:cs="Arial"/>
        </w:rPr>
        <w:t>本指南并未涉及或预先假定特殊情况下会产生何种最终监管结果（如果有），其中使用这些点可能表明FDA监管产品涉及纳米技术应用。</w:t>
      </w:r>
      <w:r>
        <w:rPr>
          <w:rFonts w:ascii="Arial" w:hAnsi="Arial" w:cs="Arial"/>
          <w:sz w:val="20"/>
          <w:szCs w:val="20"/>
        </w:rPr>
        <w:br w:type="page"/>
      </w:r>
    </w:p>
    <w:p w14:paraId="796DC170">
      <w:pPr>
        <w:pStyle w:val="4"/>
        <w:overflowPunct w:val="0"/>
        <w:snapToGrid w:val="0"/>
        <w:spacing w:before="72" w:line="300" w:lineRule="auto"/>
        <w:ind w:left="0"/>
        <w:jc w:val="both"/>
        <w:rPr>
          <w:rFonts w:ascii="Arial" w:hAnsi="Arial" w:cs="Arial"/>
          <w:sz w:val="16"/>
          <w:szCs w:val="16"/>
        </w:rPr>
      </w:pPr>
      <w:r>
        <w:rPr>
          <w:rFonts w:ascii="Arial" w:hAnsi="Arial" w:cs="Arial"/>
        </w:rPr>
        <w:t>目前使用FDA现有审查程序根据具体情况处理纳米技术产品的安全性、有效性、公共卫生影响或监管状态等问题。</w:t>
      </w:r>
      <w:r>
        <w:rPr>
          <w:rStyle w:val="16"/>
          <w:rFonts w:ascii="Arial" w:hAnsi="Arial" w:cs="Arial"/>
        </w:rPr>
        <w:footnoteReference w:id="2"/>
      </w:r>
    </w:p>
    <w:p w14:paraId="53DFD27A">
      <w:pPr>
        <w:overflowPunct w:val="0"/>
        <w:snapToGrid w:val="0"/>
        <w:spacing w:before="8" w:line="300" w:lineRule="auto"/>
        <w:jc w:val="both"/>
        <w:rPr>
          <w:rFonts w:ascii="Arial" w:hAnsi="Arial" w:eastAsia="宋体" w:cs="Arial"/>
          <w:sz w:val="23"/>
          <w:szCs w:val="23"/>
        </w:rPr>
      </w:pPr>
    </w:p>
    <w:p w14:paraId="41FA1E31">
      <w:pPr>
        <w:pStyle w:val="4"/>
        <w:overflowPunct w:val="0"/>
        <w:snapToGrid w:val="0"/>
        <w:spacing w:line="300" w:lineRule="auto"/>
        <w:ind w:left="0"/>
        <w:jc w:val="both"/>
        <w:rPr>
          <w:rFonts w:ascii="Arial" w:hAnsi="Arial" w:cs="Arial"/>
        </w:rPr>
      </w:pPr>
      <w:r>
        <w:rPr>
          <w:rFonts w:ascii="Arial" w:hAnsi="Arial" w:cs="Arial"/>
        </w:rPr>
        <w:t>本指南也未制定监管定义。相反，其旨在帮助行业和其他人确定其应考虑在FDA监管产品中应用纳米技术时可能出现的</w:t>
      </w:r>
      <w:r>
        <w:rPr>
          <w:rFonts w:hint="eastAsia" w:ascii="Arial" w:hAnsi="Arial" w:cs="Arial"/>
        </w:rPr>
        <w:t>，</w:t>
      </w:r>
      <w:r>
        <w:rPr>
          <w:rFonts w:ascii="Arial" w:hAnsi="Arial" w:cs="Arial"/>
        </w:rPr>
        <w:t>对监管状态、安全性、有效性的可能影响或公共卫生影响。本机构建议行业在早期开发过程与FDA协商，以促进对纳米技术产品的具体科学和监管问题的相互了解。</w:t>
      </w:r>
    </w:p>
    <w:p w14:paraId="6B2CDF77">
      <w:pPr>
        <w:overflowPunct w:val="0"/>
        <w:snapToGrid w:val="0"/>
        <w:spacing w:before="3" w:line="300" w:lineRule="auto"/>
        <w:jc w:val="both"/>
        <w:rPr>
          <w:rFonts w:ascii="Arial" w:hAnsi="Arial" w:eastAsia="宋体" w:cs="Arial"/>
          <w:sz w:val="24"/>
          <w:szCs w:val="24"/>
        </w:rPr>
      </w:pPr>
    </w:p>
    <w:p w14:paraId="1CB54E7F">
      <w:pPr>
        <w:pStyle w:val="4"/>
        <w:overflowPunct w:val="0"/>
        <w:snapToGrid w:val="0"/>
        <w:spacing w:line="300" w:lineRule="auto"/>
        <w:ind w:left="0"/>
        <w:jc w:val="both"/>
        <w:rPr>
          <w:rFonts w:ascii="Arial" w:hAnsi="Arial" w:cs="Arial"/>
          <w:sz w:val="16"/>
          <w:szCs w:val="16"/>
        </w:rPr>
      </w:pPr>
      <w:r>
        <w:rPr>
          <w:rFonts w:ascii="Arial" w:hAnsi="Arial" w:cs="Arial"/>
        </w:rPr>
        <w:t>如果需要，FDA将根据现行联邦政策为行业提供其他指导，处理纳米技术在具体FDA监管产品或产品类别（例如，人类食品，药物或化妆品）中的应用（参考文件9，10）。如果适当，FDA的产品特定指导性文件将解决纳米技术产品的监管状态、安全性、有效性、性能、质量或公共卫生影响等问题。</w:t>
      </w:r>
      <w:r>
        <w:rPr>
          <w:rStyle w:val="16"/>
          <w:rFonts w:ascii="Arial" w:hAnsi="Arial" w:cs="Arial"/>
        </w:rPr>
        <w:footnoteReference w:id="3"/>
      </w:r>
    </w:p>
    <w:p w14:paraId="339B7016">
      <w:pPr>
        <w:overflowPunct w:val="0"/>
        <w:snapToGrid w:val="0"/>
        <w:spacing w:line="300" w:lineRule="auto"/>
        <w:jc w:val="both"/>
        <w:rPr>
          <w:rFonts w:ascii="Arial" w:hAnsi="Arial" w:eastAsia="宋体" w:cs="Arial"/>
          <w:sz w:val="28"/>
          <w:szCs w:val="28"/>
        </w:rPr>
      </w:pPr>
    </w:p>
    <w:p w14:paraId="4F5EDB00">
      <w:pPr>
        <w:pStyle w:val="18"/>
        <w:numPr>
          <w:ilvl w:val="0"/>
          <w:numId w:val="1"/>
        </w:numPr>
        <w:tabs>
          <w:tab w:val="left" w:pos="980"/>
        </w:tabs>
        <w:overflowPunct w:val="0"/>
        <w:snapToGrid w:val="0"/>
        <w:spacing w:before="69" w:line="300" w:lineRule="auto"/>
        <w:ind w:left="720"/>
        <w:jc w:val="both"/>
        <w:outlineLvl w:val="0"/>
        <w:rPr>
          <w:rFonts w:ascii="Arial" w:hAnsi="Arial" w:eastAsia="宋体" w:cs="Arial"/>
          <w:b/>
          <w:sz w:val="28"/>
          <w:szCs w:val="28"/>
        </w:rPr>
      </w:pPr>
      <w:bookmarkStart w:id="11" w:name="_Toc495671514"/>
      <w:r>
        <w:rPr>
          <w:rFonts w:ascii="Arial" w:hAnsi="Arial" w:eastAsia="宋体" w:cs="Arial"/>
          <w:b/>
          <w:sz w:val="28"/>
          <w:szCs w:val="28"/>
        </w:rPr>
        <w:t>讨论</w:t>
      </w:r>
      <w:bookmarkEnd w:id="11"/>
    </w:p>
    <w:p w14:paraId="7C20EBAC">
      <w:pPr>
        <w:overflowPunct w:val="0"/>
        <w:snapToGrid w:val="0"/>
        <w:spacing w:before="7" w:line="300" w:lineRule="auto"/>
        <w:jc w:val="both"/>
        <w:rPr>
          <w:rFonts w:ascii="Arial" w:hAnsi="Arial" w:eastAsia="宋体" w:cs="Arial"/>
          <w:b/>
          <w:bCs/>
          <w:sz w:val="23"/>
          <w:szCs w:val="23"/>
        </w:rPr>
      </w:pPr>
    </w:p>
    <w:p w14:paraId="5248C5B1">
      <w:pPr>
        <w:pStyle w:val="4"/>
        <w:overflowPunct w:val="0"/>
        <w:snapToGrid w:val="0"/>
        <w:spacing w:line="300" w:lineRule="auto"/>
        <w:ind w:left="0"/>
        <w:jc w:val="both"/>
        <w:rPr>
          <w:rFonts w:ascii="Arial" w:hAnsi="Arial" w:cs="Arial"/>
        </w:rPr>
      </w:pPr>
      <w:r>
        <w:rPr>
          <w:rFonts w:ascii="Arial" w:hAnsi="Arial" w:cs="Arial"/>
        </w:rPr>
        <w:t>FDA尚未制定</w:t>
      </w:r>
      <w:r>
        <w:rPr>
          <w:rFonts w:ascii="宋体" w:hAnsi="宋体" w:cs="Arial"/>
        </w:rPr>
        <w:t>“</w:t>
      </w:r>
      <w:r>
        <w:rPr>
          <w:rFonts w:ascii="Arial" w:hAnsi="Arial" w:cs="Arial"/>
        </w:rPr>
        <w:t>纳米技术</w:t>
      </w:r>
      <w:r>
        <w:rPr>
          <w:rFonts w:ascii="宋体" w:hAnsi="宋体" w:cs="Arial"/>
        </w:rPr>
        <w:t>”</w:t>
      </w:r>
      <w:r>
        <w:rPr>
          <w:rFonts w:ascii="Arial" w:hAnsi="Arial" w:cs="Arial"/>
        </w:rPr>
        <w:t>、</w:t>
      </w:r>
      <w:r>
        <w:rPr>
          <w:rFonts w:ascii="宋体" w:hAnsi="宋体" w:cs="Arial"/>
        </w:rPr>
        <w:t>“</w:t>
      </w:r>
      <w:r>
        <w:rPr>
          <w:rFonts w:ascii="Arial" w:hAnsi="Arial" w:cs="Arial"/>
        </w:rPr>
        <w:t>纳米材料</w:t>
      </w:r>
      <w:r>
        <w:rPr>
          <w:rFonts w:ascii="宋体" w:hAnsi="宋体" w:cs="Arial"/>
        </w:rPr>
        <w:t>”</w:t>
      </w:r>
      <w:r>
        <w:rPr>
          <w:rFonts w:ascii="Arial" w:hAnsi="Arial" w:cs="Arial"/>
        </w:rPr>
        <w:t>、</w:t>
      </w:r>
      <w:r>
        <w:rPr>
          <w:rFonts w:ascii="宋体" w:hAnsi="宋体" w:cs="Arial"/>
        </w:rPr>
        <w:t>“</w:t>
      </w:r>
      <w:r>
        <w:rPr>
          <w:rFonts w:ascii="Arial" w:hAnsi="Arial" w:cs="Arial"/>
        </w:rPr>
        <w:t>纳米尺度</w:t>
      </w:r>
      <w:r>
        <w:rPr>
          <w:rFonts w:ascii="宋体" w:hAnsi="宋体" w:cs="Arial"/>
        </w:rPr>
        <w:t>”</w:t>
      </w:r>
      <w:r>
        <w:rPr>
          <w:rFonts w:ascii="Arial" w:hAnsi="Arial" w:cs="Arial"/>
        </w:rPr>
        <w:t>或其他相关术语的监管定义。此类术语通常用于至少有一种尺寸约为1纳米（nm）至100纳米的材料的工程设计（即有意操纵、制造或选择）。例如，国家纳米技术倡议项目将纳米技术定义为</w:t>
      </w:r>
      <w:r>
        <w:rPr>
          <w:rFonts w:ascii="宋体" w:hAnsi="宋体" w:cs="Arial"/>
        </w:rPr>
        <w:t>“</w:t>
      </w:r>
      <w:r>
        <w:rPr>
          <w:rFonts w:ascii="Arial" w:hAnsi="Arial" w:cs="Arial"/>
        </w:rPr>
        <w:t>对约1至100纳米之间的物质的认识和控制，其中独特现象允许进行新型应用</w:t>
      </w:r>
      <w:r>
        <w:rPr>
          <w:rFonts w:ascii="宋体" w:hAnsi="宋体" w:cs="Arial"/>
        </w:rPr>
        <w:t>”</w:t>
      </w:r>
      <w:r>
        <w:rPr>
          <w:rFonts w:ascii="Arial" w:hAnsi="Arial" w:cs="Arial"/>
        </w:rPr>
        <w:t>（参考文件11）。一些已发布定义提到了其他因素，如功能、形状、电荷，表面积与体积的比例或其他物理或化学性质。</w:t>
      </w:r>
    </w:p>
    <w:p w14:paraId="6A0D5B5B">
      <w:pPr>
        <w:overflowPunct w:val="0"/>
        <w:snapToGrid w:val="0"/>
        <w:spacing w:line="300" w:lineRule="auto"/>
        <w:jc w:val="both"/>
        <w:rPr>
          <w:rFonts w:ascii="Arial" w:hAnsi="Arial" w:eastAsia="宋体" w:cs="Arial"/>
          <w:sz w:val="24"/>
          <w:szCs w:val="24"/>
        </w:rPr>
      </w:pPr>
    </w:p>
    <w:p w14:paraId="55E56632">
      <w:pPr>
        <w:pStyle w:val="4"/>
        <w:overflowPunct w:val="0"/>
        <w:snapToGrid w:val="0"/>
        <w:spacing w:line="300" w:lineRule="auto"/>
        <w:ind w:left="0"/>
        <w:jc w:val="both"/>
        <w:rPr>
          <w:rFonts w:ascii="Arial" w:hAnsi="Arial" w:cs="Arial"/>
        </w:rPr>
      </w:pPr>
      <w:r>
        <w:rPr>
          <w:rFonts w:ascii="Arial" w:hAnsi="Arial" w:cs="Arial"/>
        </w:rPr>
        <w:t>根据本机构目前对纳米材料及其特性的科学和技术认识，FDA认为，在对纳米技术产品的安全性、有效性、公共卫生影响或监管状态进行评价时，应考虑纳米技术应用可能产生的任何特殊性质和行为。本指南确定了两个</w:t>
      </w:r>
      <w:r>
        <w:rPr>
          <w:rFonts w:ascii="宋体" w:hAnsi="宋体" w:cs="Arial"/>
        </w:rPr>
        <w:t>“</w:t>
      </w:r>
      <w:r>
        <w:rPr>
          <w:rFonts w:ascii="Arial" w:hAnsi="Arial" w:cs="Arial"/>
        </w:rPr>
        <w:t>需考虑的点</w:t>
      </w:r>
      <w:r>
        <w:rPr>
          <w:rFonts w:ascii="宋体" w:hAnsi="宋体" w:cs="Arial"/>
        </w:rPr>
        <w:t>”</w:t>
      </w:r>
      <w:r>
        <w:rPr>
          <w:rFonts w:ascii="Arial" w:hAnsi="Arial" w:cs="Arial"/>
        </w:rPr>
        <w:t>，可用于评价FDA监管产品是否涉及纳米技术应用。这些点涉及粒子尺寸和尺寸依赖性性质或现象。如果需要，FDA将进行产品特定上市前审查，以应用这些点，且如果产品未经受上市前审查，行业应考虑这些点。</w:t>
      </w:r>
    </w:p>
    <w:p w14:paraId="21CC15EF">
      <w:pPr>
        <w:overflowPunct w:val="0"/>
        <w:rPr>
          <w:rFonts w:ascii="Arial" w:hAnsi="Arial" w:eastAsia="宋体" w:cs="Arial"/>
          <w:sz w:val="20"/>
          <w:szCs w:val="20"/>
        </w:rPr>
      </w:pPr>
      <w:r>
        <w:rPr>
          <w:rFonts w:ascii="Arial" w:hAnsi="Arial" w:eastAsia="宋体" w:cs="Arial"/>
          <w:sz w:val="20"/>
          <w:szCs w:val="20"/>
        </w:rPr>
        <w:br w:type="page"/>
      </w:r>
    </w:p>
    <w:p w14:paraId="5B8BF1C9">
      <w:pPr>
        <w:overflowPunct w:val="0"/>
        <w:snapToGrid w:val="0"/>
        <w:spacing w:line="300" w:lineRule="auto"/>
        <w:jc w:val="both"/>
        <w:rPr>
          <w:rFonts w:ascii="Arial" w:hAnsi="Arial" w:eastAsia="宋体" w:cs="Arial"/>
          <w:sz w:val="20"/>
          <w:szCs w:val="20"/>
        </w:rPr>
      </w:pPr>
    </w:p>
    <w:p w14:paraId="5C64EE84">
      <w:pPr>
        <w:overflowPunct w:val="0"/>
        <w:snapToGrid w:val="0"/>
        <w:spacing w:before="10" w:line="300" w:lineRule="auto"/>
        <w:jc w:val="both"/>
        <w:rPr>
          <w:rFonts w:ascii="Arial" w:hAnsi="Arial" w:eastAsia="宋体" w:cs="Arial"/>
          <w:sz w:val="18"/>
          <w:szCs w:val="18"/>
        </w:rPr>
      </w:pPr>
    </w:p>
    <w:p w14:paraId="021D860A">
      <w:pPr>
        <w:pStyle w:val="4"/>
        <w:overflowPunct w:val="0"/>
        <w:snapToGrid w:val="0"/>
        <w:spacing w:before="69" w:line="300" w:lineRule="auto"/>
        <w:ind w:left="0"/>
        <w:jc w:val="both"/>
        <w:rPr>
          <w:rFonts w:ascii="Arial" w:hAnsi="Arial" w:cs="Arial"/>
        </w:rPr>
      </w:pPr>
      <w:r>
        <w:rPr>
          <w:rFonts w:ascii="Arial" w:hAnsi="Arial" w:cs="Arial"/>
        </w:rPr>
        <w:t>如果有任一点适用于给定产品，行业和FDA应考虑对该产品的安全性、有效性、公共卫生影响或监管状态的评价是否已确定并适当解决了产品的任何特殊性质或行为。</w:t>
      </w:r>
    </w:p>
    <w:p w14:paraId="29439611">
      <w:pPr>
        <w:overflowPunct w:val="0"/>
        <w:snapToGrid w:val="0"/>
        <w:spacing w:before="3" w:line="300" w:lineRule="auto"/>
        <w:jc w:val="both"/>
        <w:rPr>
          <w:rFonts w:ascii="Arial" w:hAnsi="Arial" w:eastAsia="宋体" w:cs="Arial"/>
          <w:sz w:val="24"/>
          <w:szCs w:val="24"/>
        </w:rPr>
      </w:pPr>
    </w:p>
    <w:p w14:paraId="0C285690">
      <w:pPr>
        <w:pStyle w:val="4"/>
        <w:overflowPunct w:val="0"/>
        <w:snapToGrid w:val="0"/>
        <w:spacing w:line="300" w:lineRule="auto"/>
        <w:ind w:left="0"/>
        <w:jc w:val="both"/>
        <w:rPr>
          <w:rFonts w:ascii="Arial" w:hAnsi="Arial" w:cs="Arial"/>
        </w:rPr>
      </w:pPr>
      <w:r>
        <w:rPr>
          <w:rFonts w:ascii="Arial" w:hAnsi="Arial" w:cs="Arial"/>
        </w:rPr>
        <w:t>这两个</w:t>
      </w:r>
      <w:r>
        <w:rPr>
          <w:rFonts w:ascii="宋体" w:hAnsi="宋体" w:cs="Arial"/>
        </w:rPr>
        <w:t>“</w:t>
      </w:r>
      <w:r>
        <w:rPr>
          <w:rFonts w:ascii="Arial" w:hAnsi="Arial" w:cs="Arial"/>
        </w:rPr>
        <w:t>需考虑的点</w:t>
      </w:r>
      <w:r>
        <w:rPr>
          <w:rFonts w:ascii="宋体" w:hAnsi="宋体" w:cs="Arial"/>
        </w:rPr>
        <w:t>”</w:t>
      </w:r>
      <w:r>
        <w:rPr>
          <w:rFonts w:ascii="Arial" w:hAnsi="Arial" w:cs="Arial"/>
        </w:rPr>
        <w:t>旨在提供可以广泛应用于所有FDA监管产品的初步筛选工具，但应了解，获得新信息后，这些点将来会有所更改。</w:t>
      </w:r>
      <w:r>
        <w:rPr>
          <w:rFonts w:hint="eastAsia" w:ascii="Arial" w:hAnsi="Arial" w:cs="Arial"/>
        </w:rPr>
        <w:t>尤其是</w:t>
      </w:r>
      <w:r>
        <w:rPr>
          <w:rFonts w:ascii="Arial" w:hAnsi="Arial" w:cs="Arial"/>
        </w:rPr>
        <w:t>FDA可能会根据科学信息进一步细化这些点，使其广泛适用于所有FDA监管产品，或适用于特殊产品或产品类别。这可能包括细化粒子尺寸参数或引入附加参数，如与粒子尺寸分布或具体性质相关的参数。</w:t>
      </w:r>
      <w:r>
        <w:rPr>
          <w:rStyle w:val="16"/>
          <w:rFonts w:ascii="Arial" w:hAnsi="Arial" w:cs="Arial"/>
        </w:rPr>
        <w:footnoteReference w:id="4"/>
      </w:r>
      <w:r>
        <w:rPr>
          <w:rFonts w:ascii="Arial" w:hAnsi="Arial" w:cs="Arial"/>
        </w:rPr>
        <w:t>本机构未来将考虑对本机构的方法进行修订，包括制定与纳米技术相关的监管定义，以及协调不断发展的科学认识。如前所述，FDA还可能提供附加指导（包括产品特定指导性文件），以解决纳米技术产品的监管状态、安全性、有效性、性能、质量或公共卫生影响等问题。</w:t>
      </w:r>
    </w:p>
    <w:p w14:paraId="5704C6A3">
      <w:pPr>
        <w:overflowPunct w:val="0"/>
        <w:snapToGrid w:val="0"/>
        <w:spacing w:before="2" w:line="300" w:lineRule="auto"/>
        <w:jc w:val="both"/>
        <w:rPr>
          <w:rFonts w:ascii="Arial" w:hAnsi="Arial" w:eastAsia="宋体" w:cs="Arial"/>
          <w:sz w:val="24"/>
          <w:szCs w:val="24"/>
        </w:rPr>
      </w:pPr>
    </w:p>
    <w:p w14:paraId="22FAD7E9">
      <w:pPr>
        <w:pStyle w:val="3"/>
        <w:numPr>
          <w:ilvl w:val="1"/>
          <w:numId w:val="1"/>
        </w:numPr>
        <w:tabs>
          <w:tab w:val="left" w:pos="1560"/>
        </w:tabs>
        <w:overflowPunct w:val="0"/>
        <w:snapToGrid w:val="0"/>
        <w:spacing w:line="300" w:lineRule="auto"/>
        <w:ind w:left="1160" w:leftChars="200"/>
        <w:jc w:val="both"/>
        <w:rPr>
          <w:rFonts w:ascii="Arial" w:hAnsi="Arial" w:cs="Arial"/>
          <w:b w:val="0"/>
          <w:bCs w:val="0"/>
        </w:rPr>
      </w:pPr>
      <w:bookmarkStart w:id="12" w:name="_Toc495671515"/>
      <w:r>
        <w:rPr>
          <w:rFonts w:ascii="Arial" w:hAnsi="Arial" w:cs="Arial"/>
        </w:rPr>
        <w:t>需考虑的点</w:t>
      </w:r>
      <w:bookmarkEnd w:id="12"/>
    </w:p>
    <w:p w14:paraId="65E49A51">
      <w:pPr>
        <w:overflowPunct w:val="0"/>
        <w:snapToGrid w:val="0"/>
        <w:spacing w:before="7" w:line="300" w:lineRule="auto"/>
        <w:jc w:val="both"/>
        <w:rPr>
          <w:rFonts w:ascii="Arial" w:hAnsi="Arial" w:eastAsia="宋体" w:cs="Arial"/>
          <w:b/>
          <w:bCs/>
          <w:sz w:val="23"/>
          <w:szCs w:val="23"/>
        </w:rPr>
      </w:pPr>
    </w:p>
    <w:p w14:paraId="247B8202">
      <w:pPr>
        <w:pStyle w:val="4"/>
        <w:overflowPunct w:val="0"/>
        <w:snapToGrid w:val="0"/>
        <w:spacing w:line="300" w:lineRule="auto"/>
        <w:ind w:left="0"/>
        <w:jc w:val="both"/>
        <w:rPr>
          <w:rFonts w:ascii="Arial" w:hAnsi="Arial" w:cs="Arial"/>
        </w:rPr>
      </w:pPr>
      <w:r>
        <w:rPr>
          <w:rFonts w:ascii="Arial" w:hAnsi="Arial" w:cs="Arial"/>
        </w:rPr>
        <w:t>目前，在考虑FDA监管产品是否涉及纳米技术应用时，FDA会询问：</w:t>
      </w:r>
    </w:p>
    <w:p w14:paraId="693852DE">
      <w:pPr>
        <w:overflowPunct w:val="0"/>
        <w:snapToGrid w:val="0"/>
        <w:spacing w:line="300" w:lineRule="auto"/>
        <w:jc w:val="both"/>
        <w:rPr>
          <w:rFonts w:ascii="Arial" w:hAnsi="Arial" w:eastAsia="宋体" w:cs="Arial"/>
          <w:sz w:val="24"/>
          <w:szCs w:val="24"/>
        </w:rPr>
      </w:pPr>
    </w:p>
    <w:p w14:paraId="3130D0DB">
      <w:pPr>
        <w:pStyle w:val="18"/>
        <w:numPr>
          <w:ilvl w:val="0"/>
          <w:numId w:val="2"/>
        </w:numPr>
        <w:tabs>
          <w:tab w:val="left" w:pos="48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材料或最终产品的设计是否具有至少一个在纳米尺度范围（约1nm至100nm）内的外部尺寸或内部或表面结构；</w:t>
      </w:r>
    </w:p>
    <w:p w14:paraId="76C86AE9">
      <w:pPr>
        <w:overflowPunct w:val="0"/>
        <w:snapToGrid w:val="0"/>
        <w:spacing w:line="300" w:lineRule="auto"/>
        <w:jc w:val="both"/>
        <w:rPr>
          <w:rFonts w:ascii="Arial" w:hAnsi="Arial" w:eastAsia="宋体" w:cs="Arial"/>
          <w:sz w:val="24"/>
          <w:szCs w:val="24"/>
        </w:rPr>
      </w:pPr>
    </w:p>
    <w:p w14:paraId="2D0E70FC">
      <w:pPr>
        <w:pStyle w:val="4"/>
        <w:overflowPunct w:val="0"/>
        <w:snapToGrid w:val="0"/>
        <w:spacing w:line="300" w:lineRule="auto"/>
        <w:ind w:left="0"/>
        <w:jc w:val="both"/>
        <w:rPr>
          <w:rFonts w:ascii="Arial" w:hAnsi="Arial" w:cs="Arial"/>
        </w:rPr>
      </w:pPr>
      <w:r>
        <w:rPr>
          <w:rFonts w:ascii="Arial" w:hAnsi="Arial" w:cs="Arial"/>
        </w:rPr>
        <w:t>此外，正如本机构在下文所述，</w:t>
      </w:r>
      <w:r>
        <w:rPr>
          <w:rFonts w:hint="eastAsia" w:ascii="Arial" w:hAnsi="Arial" w:cs="Arial"/>
        </w:rPr>
        <w:t>即使</w:t>
      </w:r>
      <w:r>
        <w:rPr>
          <w:rFonts w:ascii="Arial" w:hAnsi="Arial" w:cs="Arial"/>
        </w:rPr>
        <w:t>其尺寸不在约1nm至100nm的纳米尺度范围内，材料或最终产品也可以表现出与安全性、有效性、性能、质量、公共卫生影响或产品监管状态评价有关的相关性质或现象，本机构也会询问：</w:t>
      </w:r>
    </w:p>
    <w:p w14:paraId="7D2F5853">
      <w:pPr>
        <w:overflowPunct w:val="0"/>
        <w:snapToGrid w:val="0"/>
        <w:spacing w:before="3" w:line="300" w:lineRule="auto"/>
        <w:jc w:val="both"/>
        <w:rPr>
          <w:rFonts w:ascii="Arial" w:hAnsi="Arial" w:eastAsia="宋体" w:cs="Arial"/>
          <w:sz w:val="24"/>
          <w:szCs w:val="24"/>
        </w:rPr>
      </w:pPr>
    </w:p>
    <w:p w14:paraId="2103E83A">
      <w:pPr>
        <w:pStyle w:val="18"/>
        <w:numPr>
          <w:ilvl w:val="0"/>
          <w:numId w:val="2"/>
        </w:numPr>
        <w:tabs>
          <w:tab w:val="left" w:pos="480"/>
        </w:tabs>
        <w:overflowPunct w:val="0"/>
        <w:snapToGrid w:val="0"/>
        <w:spacing w:line="300" w:lineRule="auto"/>
        <w:ind w:left="357" w:hanging="357"/>
        <w:jc w:val="both"/>
        <w:rPr>
          <w:rFonts w:ascii="Arial" w:hAnsi="Arial" w:eastAsia="宋体" w:cs="Arial"/>
          <w:sz w:val="24"/>
        </w:rPr>
      </w:pPr>
      <w:r>
        <w:rPr>
          <w:rFonts w:ascii="Arial" w:hAnsi="Arial" w:eastAsia="宋体" w:cs="Arial"/>
          <w:sz w:val="24"/>
        </w:rPr>
        <w:t>材料或最终产品的设计是否可表现出源于其尺寸的性质或现象，包括物理或化学性质或生物效应，即使此类尺寸不在纳米尺度范围内，高达1微米（1000nm））。</w:t>
      </w:r>
      <w:r>
        <w:rPr>
          <w:rStyle w:val="16"/>
          <w:rFonts w:ascii="Arial" w:hAnsi="Arial" w:eastAsia="宋体" w:cs="Arial"/>
          <w:sz w:val="24"/>
        </w:rPr>
        <w:footnoteReference w:id="5"/>
      </w:r>
    </w:p>
    <w:p w14:paraId="17106B29">
      <w:pPr>
        <w:overflowPunct w:val="0"/>
        <w:rPr>
          <w:rFonts w:ascii="Arial" w:hAnsi="Arial" w:eastAsia="宋体" w:cs="Arial"/>
          <w:sz w:val="20"/>
          <w:szCs w:val="20"/>
        </w:rPr>
      </w:pPr>
      <w:r>
        <w:rPr>
          <w:rFonts w:ascii="Arial" w:hAnsi="Arial" w:eastAsia="宋体" w:cs="Arial"/>
          <w:sz w:val="20"/>
          <w:szCs w:val="20"/>
        </w:rPr>
        <w:br w:type="page"/>
      </w:r>
    </w:p>
    <w:p w14:paraId="750B5BC1">
      <w:pPr>
        <w:pStyle w:val="4"/>
        <w:overflowPunct w:val="0"/>
        <w:snapToGrid w:val="0"/>
        <w:spacing w:before="72" w:line="300" w:lineRule="auto"/>
        <w:ind w:left="0"/>
        <w:jc w:val="both"/>
        <w:rPr>
          <w:rFonts w:ascii="Arial" w:hAnsi="Arial" w:cs="Arial"/>
          <w:sz w:val="16"/>
          <w:szCs w:val="16"/>
        </w:rPr>
      </w:pPr>
      <w:r>
        <w:rPr>
          <w:rFonts w:ascii="Arial" w:hAnsi="Arial" w:cs="Arial"/>
        </w:rPr>
        <w:t>此类考虑因素不仅适用于新产品，在制造工艺</w:t>
      </w:r>
      <w:r>
        <w:rPr>
          <w:rFonts w:hint="eastAsia" w:ascii="Arial" w:hAnsi="Arial" w:cs="Arial"/>
        </w:rPr>
        <w:t>变更</w:t>
      </w:r>
      <w:r>
        <w:rPr>
          <w:rFonts w:ascii="Arial" w:hAnsi="Arial" w:cs="Arial"/>
        </w:rPr>
        <w:t>改变FDA监管产品或其组成部分的尺寸、性能或效应时也适用。</w:t>
      </w:r>
      <w:r>
        <w:rPr>
          <w:rStyle w:val="16"/>
          <w:rFonts w:ascii="Arial" w:hAnsi="Arial" w:cs="Arial"/>
        </w:rPr>
        <w:footnoteReference w:id="6"/>
      </w:r>
    </w:p>
    <w:p w14:paraId="03FD4CA3">
      <w:pPr>
        <w:overflowPunct w:val="0"/>
        <w:snapToGrid w:val="0"/>
        <w:spacing w:before="2" w:line="300" w:lineRule="auto"/>
        <w:jc w:val="both"/>
        <w:rPr>
          <w:rFonts w:ascii="Arial" w:hAnsi="Arial" w:eastAsia="宋体" w:cs="Arial"/>
          <w:sz w:val="24"/>
          <w:szCs w:val="24"/>
        </w:rPr>
      </w:pPr>
    </w:p>
    <w:p w14:paraId="065EA006">
      <w:pPr>
        <w:pStyle w:val="3"/>
        <w:numPr>
          <w:ilvl w:val="1"/>
          <w:numId w:val="1"/>
        </w:numPr>
        <w:tabs>
          <w:tab w:val="left" w:pos="1560"/>
        </w:tabs>
        <w:overflowPunct w:val="0"/>
        <w:snapToGrid w:val="0"/>
        <w:spacing w:line="300" w:lineRule="auto"/>
        <w:ind w:left="1160" w:leftChars="200"/>
        <w:jc w:val="both"/>
        <w:rPr>
          <w:rFonts w:ascii="Arial" w:hAnsi="Arial" w:cs="Arial"/>
        </w:rPr>
      </w:pPr>
      <w:bookmarkStart w:id="13" w:name="_Toc495671516"/>
      <w:r>
        <w:rPr>
          <w:rFonts w:ascii="Arial" w:hAnsi="Arial" w:cs="Arial"/>
        </w:rPr>
        <w:t>需考虑的点中的要素</w:t>
      </w:r>
      <w:r>
        <w:rPr>
          <w:rFonts w:hint="eastAsia" w:ascii="Arial" w:hAnsi="Arial" w:cs="Arial"/>
        </w:rPr>
        <w:t>原理</w:t>
      </w:r>
      <w:bookmarkEnd w:id="13"/>
    </w:p>
    <w:p w14:paraId="102BF5CA">
      <w:pPr>
        <w:overflowPunct w:val="0"/>
        <w:snapToGrid w:val="0"/>
        <w:spacing w:before="7" w:line="300" w:lineRule="auto"/>
        <w:jc w:val="both"/>
        <w:rPr>
          <w:rFonts w:ascii="Arial" w:hAnsi="Arial" w:eastAsia="宋体" w:cs="Arial"/>
          <w:b/>
          <w:bCs/>
          <w:sz w:val="23"/>
          <w:szCs w:val="23"/>
        </w:rPr>
      </w:pPr>
    </w:p>
    <w:p w14:paraId="005DA006">
      <w:pPr>
        <w:pStyle w:val="18"/>
        <w:numPr>
          <w:ilvl w:val="2"/>
          <w:numId w:val="1"/>
        </w:numPr>
        <w:tabs>
          <w:tab w:val="left" w:pos="1204"/>
        </w:tabs>
        <w:overflowPunct w:val="0"/>
        <w:snapToGrid w:val="0"/>
        <w:spacing w:line="300" w:lineRule="auto"/>
        <w:ind w:left="440" w:leftChars="200" w:firstLine="0"/>
        <w:jc w:val="both"/>
        <w:outlineLvl w:val="2"/>
        <w:rPr>
          <w:rFonts w:ascii="Arial" w:hAnsi="Arial" w:eastAsia="宋体" w:cs="Arial"/>
          <w:sz w:val="24"/>
          <w:szCs w:val="24"/>
        </w:rPr>
      </w:pPr>
      <w:bookmarkStart w:id="14" w:name="_Toc495671517"/>
      <w:r>
        <w:rPr>
          <w:rFonts w:ascii="Arial" w:hAnsi="Arial" w:eastAsia="宋体" w:cs="Arial"/>
          <w:sz w:val="24"/>
        </w:rPr>
        <w:t>设计具有某些尺寸或具有某些性质的材料或最终产品（点1和点2）</w:t>
      </w:r>
      <w:bookmarkEnd w:id="14"/>
    </w:p>
    <w:p w14:paraId="385D8590">
      <w:pPr>
        <w:overflowPunct w:val="0"/>
        <w:snapToGrid w:val="0"/>
        <w:spacing w:line="300" w:lineRule="auto"/>
        <w:jc w:val="both"/>
        <w:rPr>
          <w:rFonts w:ascii="Arial" w:hAnsi="Arial" w:eastAsia="宋体" w:cs="Arial"/>
          <w:sz w:val="24"/>
          <w:szCs w:val="24"/>
        </w:rPr>
      </w:pPr>
    </w:p>
    <w:p w14:paraId="6F0DFC0A">
      <w:pPr>
        <w:pStyle w:val="4"/>
        <w:overflowPunct w:val="0"/>
        <w:snapToGrid w:val="0"/>
        <w:spacing w:line="300" w:lineRule="auto"/>
        <w:ind w:left="0"/>
        <w:jc w:val="both"/>
        <w:rPr>
          <w:rFonts w:ascii="Arial" w:hAnsi="Arial" w:cs="Arial"/>
        </w:rPr>
      </w:pPr>
      <w:r>
        <w:rPr>
          <w:rFonts w:ascii="Arial" w:hAnsi="Arial" w:cs="Arial"/>
        </w:rPr>
        <w:t>点1和点2使用的术语</w:t>
      </w:r>
      <w:r>
        <w:rPr>
          <w:rFonts w:ascii="宋体" w:hAnsi="宋体" w:cs="Arial"/>
        </w:rPr>
        <w:t>“</w:t>
      </w:r>
      <w:r>
        <w:rPr>
          <w:rFonts w:ascii="Arial" w:hAnsi="Arial" w:cs="Arial"/>
        </w:rPr>
        <w:t>设计</w:t>
      </w:r>
      <w:r>
        <w:rPr>
          <w:rFonts w:ascii="宋体" w:hAnsi="宋体" w:cs="Arial"/>
        </w:rPr>
        <w:t>”</w:t>
      </w:r>
      <w:r>
        <w:rPr>
          <w:rFonts w:ascii="Arial" w:hAnsi="Arial" w:cs="Arial"/>
        </w:rPr>
        <w:t>用于区分通过应用纳米技术有意操纵的产品与包含天然纳米尺度材料的产品。FDA特别关注有意和目的性地操纵和控制尺寸以产生具体性质，因为此类新性质或现象的出现可能会引起关于安全性、有效性、性能、质量或公共卫生影响的问题并可能须进行进一步评价。FDA对设计具有纳米尺度尺寸或相关尺寸依赖性性质或现象的材料或产品的兴趣不同于可能以小尺度（包括纳米尺度）天然存在的生物或化学物质的常见用途，例如微生物或蛋白质。</w:t>
      </w:r>
    </w:p>
    <w:p w14:paraId="0FEB6737">
      <w:pPr>
        <w:overflowPunct w:val="0"/>
        <w:snapToGrid w:val="0"/>
        <w:spacing w:line="300" w:lineRule="auto"/>
        <w:jc w:val="both"/>
        <w:rPr>
          <w:rFonts w:ascii="Arial" w:hAnsi="Arial" w:eastAsia="宋体" w:cs="Arial"/>
          <w:sz w:val="24"/>
          <w:szCs w:val="24"/>
        </w:rPr>
      </w:pPr>
    </w:p>
    <w:p w14:paraId="0C5D056C">
      <w:pPr>
        <w:pStyle w:val="4"/>
        <w:overflowPunct w:val="0"/>
        <w:snapToGrid w:val="0"/>
        <w:spacing w:line="300" w:lineRule="auto"/>
        <w:ind w:left="0"/>
        <w:jc w:val="both"/>
        <w:rPr>
          <w:rFonts w:ascii="Arial" w:hAnsi="Arial" w:cs="Arial"/>
        </w:rPr>
      </w:pPr>
      <w:r>
        <w:rPr>
          <w:rFonts w:ascii="Arial" w:hAnsi="Arial" w:cs="Arial"/>
        </w:rPr>
        <w:t>术语</w:t>
      </w:r>
      <w:r>
        <w:rPr>
          <w:rFonts w:ascii="宋体" w:hAnsi="宋体" w:cs="Arial"/>
        </w:rPr>
        <w:t>“</w:t>
      </w:r>
      <w:r>
        <w:rPr>
          <w:rFonts w:ascii="Arial" w:hAnsi="Arial" w:cs="Arial"/>
        </w:rPr>
        <w:t>设计</w:t>
      </w:r>
      <w:r>
        <w:rPr>
          <w:rFonts w:ascii="宋体" w:hAnsi="宋体" w:cs="Arial"/>
        </w:rPr>
        <w:t>”</w:t>
      </w:r>
      <w:r>
        <w:rPr>
          <w:rFonts w:ascii="Arial" w:hAnsi="Arial" w:cs="Arial"/>
        </w:rPr>
        <w:t>也用于区分通过应用纳米技术有意操纵的产品与可能无意地纳入纳米尺度材料的产品。</w:t>
      </w:r>
    </w:p>
    <w:p w14:paraId="4CDD8A47">
      <w:pPr>
        <w:pStyle w:val="4"/>
        <w:overflowPunct w:val="0"/>
        <w:snapToGrid w:val="0"/>
        <w:spacing w:before="3" w:line="300" w:lineRule="auto"/>
        <w:ind w:left="0"/>
        <w:jc w:val="both"/>
        <w:rPr>
          <w:rFonts w:ascii="Arial" w:hAnsi="Arial" w:cs="Arial"/>
          <w:sz w:val="16"/>
          <w:szCs w:val="16"/>
        </w:rPr>
      </w:pPr>
      <w:r>
        <w:rPr>
          <w:rFonts w:ascii="Arial" w:hAnsi="Arial" w:cs="Arial"/>
        </w:rPr>
        <w:t>例如，本指南</w:t>
      </w:r>
      <w:r>
        <w:rPr>
          <w:rFonts w:hint="eastAsia" w:ascii="Arial" w:hAnsi="Arial" w:cs="Arial"/>
        </w:rPr>
        <w:t>未</w:t>
      </w:r>
      <w:r>
        <w:rPr>
          <w:rFonts w:ascii="Arial" w:hAnsi="Arial" w:cs="Arial"/>
        </w:rPr>
        <w:t>涵盖常规制造产品</w:t>
      </w:r>
      <w:r>
        <w:rPr>
          <w:rStyle w:val="16"/>
          <w:rFonts w:ascii="Arial" w:hAnsi="Arial" w:cs="Arial"/>
        </w:rPr>
        <w:footnoteReference w:id="7"/>
      </w:r>
      <w:r>
        <w:rPr>
          <w:rFonts w:ascii="Arial" w:hAnsi="Arial" w:cs="Arial"/>
        </w:rPr>
        <w:t>中偶然存在</w:t>
      </w:r>
      <w:r>
        <w:rPr>
          <w:rFonts w:hint="eastAsia" w:ascii="Arial" w:hAnsi="Arial" w:cs="Arial"/>
        </w:rPr>
        <w:t>的</w:t>
      </w:r>
      <w:r>
        <w:rPr>
          <w:rFonts w:ascii="Arial" w:hAnsi="Arial" w:cs="Arial"/>
        </w:rPr>
        <w:t>纳米尺度粒子。</w:t>
      </w:r>
      <w:r>
        <w:rPr>
          <w:rStyle w:val="16"/>
          <w:rFonts w:ascii="Arial" w:hAnsi="Arial" w:cs="Arial"/>
        </w:rPr>
        <w:footnoteReference w:id="8"/>
      </w:r>
    </w:p>
    <w:p w14:paraId="392BB419">
      <w:pPr>
        <w:overflowPunct w:val="0"/>
        <w:snapToGrid w:val="0"/>
        <w:spacing w:before="8" w:line="300" w:lineRule="auto"/>
        <w:jc w:val="both"/>
        <w:rPr>
          <w:rFonts w:ascii="Arial" w:hAnsi="Arial" w:eastAsia="宋体" w:cs="Arial"/>
          <w:sz w:val="23"/>
          <w:szCs w:val="23"/>
        </w:rPr>
      </w:pPr>
    </w:p>
    <w:p w14:paraId="413FF58F">
      <w:pPr>
        <w:pStyle w:val="18"/>
        <w:numPr>
          <w:ilvl w:val="2"/>
          <w:numId w:val="1"/>
        </w:numPr>
        <w:tabs>
          <w:tab w:val="left" w:pos="1204"/>
        </w:tabs>
        <w:overflowPunct w:val="0"/>
        <w:snapToGrid w:val="0"/>
        <w:spacing w:line="300" w:lineRule="auto"/>
        <w:ind w:left="440" w:leftChars="200" w:firstLine="0"/>
        <w:jc w:val="both"/>
        <w:outlineLvl w:val="2"/>
        <w:rPr>
          <w:rFonts w:ascii="Arial" w:hAnsi="Arial" w:eastAsia="宋体" w:cs="Arial"/>
          <w:sz w:val="24"/>
        </w:rPr>
      </w:pPr>
      <w:bookmarkStart w:id="15" w:name="_Toc495671518"/>
      <w:r>
        <w:rPr>
          <w:rFonts w:ascii="Arial" w:hAnsi="Arial" w:eastAsia="宋体" w:cs="Arial"/>
          <w:sz w:val="24"/>
        </w:rPr>
        <w:t>材料或最终产品（点1和点2）</w:t>
      </w:r>
      <w:bookmarkEnd w:id="15"/>
    </w:p>
    <w:p w14:paraId="46536F80">
      <w:pPr>
        <w:overflowPunct w:val="0"/>
        <w:snapToGrid w:val="0"/>
        <w:spacing w:line="300" w:lineRule="auto"/>
        <w:jc w:val="both"/>
        <w:rPr>
          <w:rFonts w:ascii="Arial" w:hAnsi="Arial" w:eastAsia="宋体" w:cs="Arial"/>
          <w:sz w:val="24"/>
          <w:szCs w:val="24"/>
        </w:rPr>
      </w:pPr>
    </w:p>
    <w:p w14:paraId="7D43B0F5">
      <w:pPr>
        <w:pStyle w:val="4"/>
        <w:overflowPunct w:val="0"/>
        <w:snapToGrid w:val="0"/>
        <w:spacing w:line="300" w:lineRule="auto"/>
        <w:ind w:left="0"/>
        <w:jc w:val="both"/>
        <w:rPr>
          <w:rFonts w:ascii="Arial" w:hAnsi="Arial" w:cs="Arial"/>
        </w:rPr>
      </w:pPr>
      <w:r>
        <w:rPr>
          <w:rFonts w:ascii="Arial" w:hAnsi="Arial" w:cs="Arial"/>
        </w:rPr>
        <w:t>点1和点2中提到的短语</w:t>
      </w:r>
      <w:r>
        <w:rPr>
          <w:rFonts w:ascii="宋体" w:hAnsi="宋体" w:cs="Arial"/>
        </w:rPr>
        <w:t>“</w:t>
      </w:r>
      <w:r>
        <w:rPr>
          <w:rFonts w:ascii="Arial" w:hAnsi="Arial" w:cs="Arial"/>
        </w:rPr>
        <w:t>材料或最终产品</w:t>
      </w:r>
      <w:r>
        <w:rPr>
          <w:rFonts w:ascii="宋体" w:hAnsi="宋体" w:cs="Arial"/>
        </w:rPr>
        <w:t>”</w:t>
      </w:r>
      <w:r>
        <w:rPr>
          <w:rFonts w:ascii="Arial" w:hAnsi="Arial" w:cs="Arial"/>
        </w:rPr>
        <w:t>涵盖受FDA监管的不同类型的制品，如产品、材料、成分和FDA监管的其他物质。这包括成品（例如，施用给患者的药物片剂）以及旨在用于成品（例如加工期间加入食品的食品添加剂）的材料。在确定材料或最终产品是否满足点1或点2时，FDA将考察材料或最终产品，并且还将考虑材料或最终产品的组成部分。因此，相关考虑因素包括材料或最终产品是否含有或其制造中涉及使用满足点1或点2的材料。</w:t>
      </w:r>
    </w:p>
    <w:p w14:paraId="5014B5BD">
      <w:pPr>
        <w:overflowPunct w:val="0"/>
        <w:snapToGrid w:val="0"/>
        <w:spacing w:line="300" w:lineRule="auto"/>
        <w:jc w:val="both"/>
        <w:rPr>
          <w:rFonts w:ascii="Arial" w:hAnsi="Arial" w:eastAsia="宋体" w:cs="Arial"/>
          <w:sz w:val="20"/>
          <w:szCs w:val="20"/>
        </w:rPr>
      </w:pPr>
    </w:p>
    <w:p w14:paraId="284A00F3">
      <w:pPr>
        <w:overflowPunct w:val="0"/>
        <w:snapToGrid w:val="0"/>
        <w:spacing w:line="300" w:lineRule="auto"/>
        <w:jc w:val="both"/>
        <w:rPr>
          <w:rFonts w:ascii="Arial" w:hAnsi="Arial" w:eastAsia="宋体" w:cs="Arial"/>
          <w:sz w:val="20"/>
          <w:szCs w:val="20"/>
        </w:rPr>
      </w:pPr>
    </w:p>
    <w:p w14:paraId="1ABDA5D1">
      <w:pPr>
        <w:overflowPunct w:val="0"/>
        <w:rPr>
          <w:rFonts w:ascii="Arial" w:hAnsi="Arial" w:eastAsia="宋体" w:cs="Arial"/>
          <w:sz w:val="20"/>
          <w:szCs w:val="20"/>
        </w:rPr>
      </w:pPr>
      <w:r>
        <w:rPr>
          <w:rFonts w:ascii="Arial" w:hAnsi="Arial" w:eastAsia="宋体" w:cs="Arial"/>
          <w:sz w:val="20"/>
          <w:szCs w:val="20"/>
        </w:rPr>
        <w:br w:type="page"/>
      </w:r>
    </w:p>
    <w:p w14:paraId="3E02DA65">
      <w:pPr>
        <w:overflowPunct w:val="0"/>
        <w:snapToGrid w:val="0"/>
        <w:spacing w:line="300" w:lineRule="auto"/>
        <w:jc w:val="both"/>
        <w:rPr>
          <w:rFonts w:ascii="Arial" w:hAnsi="Arial" w:eastAsia="宋体" w:cs="Arial"/>
          <w:sz w:val="20"/>
          <w:szCs w:val="20"/>
        </w:rPr>
      </w:pPr>
    </w:p>
    <w:p w14:paraId="5E888BC5">
      <w:pPr>
        <w:overflowPunct w:val="0"/>
        <w:snapToGrid w:val="0"/>
        <w:spacing w:before="10" w:line="300" w:lineRule="auto"/>
        <w:jc w:val="both"/>
        <w:rPr>
          <w:rFonts w:ascii="Arial" w:hAnsi="Arial" w:eastAsia="宋体" w:cs="Arial"/>
          <w:sz w:val="18"/>
          <w:szCs w:val="18"/>
        </w:rPr>
      </w:pPr>
    </w:p>
    <w:p w14:paraId="253F513A">
      <w:pPr>
        <w:pStyle w:val="18"/>
        <w:numPr>
          <w:ilvl w:val="2"/>
          <w:numId w:val="1"/>
        </w:numPr>
        <w:tabs>
          <w:tab w:val="left" w:pos="1204"/>
        </w:tabs>
        <w:overflowPunct w:val="0"/>
        <w:snapToGrid w:val="0"/>
        <w:spacing w:line="300" w:lineRule="auto"/>
        <w:ind w:left="1203" w:leftChars="200" w:hanging="763" w:hangingChars="318"/>
        <w:jc w:val="both"/>
        <w:outlineLvl w:val="2"/>
        <w:rPr>
          <w:rFonts w:ascii="Arial" w:hAnsi="Arial" w:eastAsia="宋体" w:cs="Arial"/>
          <w:sz w:val="24"/>
        </w:rPr>
      </w:pPr>
      <w:bookmarkStart w:id="16" w:name="_Toc495671519"/>
      <w:r>
        <w:rPr>
          <w:rFonts w:ascii="Arial" w:hAnsi="Arial" w:eastAsia="宋体" w:cs="Arial"/>
          <w:sz w:val="24"/>
        </w:rPr>
        <w:t>至少有一个外部尺寸或内部或表面结构在纳米尺度范围内（约1nm至100nm）（点1）</w:t>
      </w:r>
      <w:bookmarkEnd w:id="16"/>
    </w:p>
    <w:p w14:paraId="594F85D3">
      <w:pPr>
        <w:overflowPunct w:val="0"/>
        <w:snapToGrid w:val="0"/>
        <w:spacing w:before="3" w:line="300" w:lineRule="auto"/>
        <w:jc w:val="both"/>
        <w:rPr>
          <w:rFonts w:ascii="Arial" w:hAnsi="Arial" w:eastAsia="宋体" w:cs="Arial"/>
          <w:sz w:val="24"/>
          <w:szCs w:val="24"/>
        </w:rPr>
      </w:pPr>
    </w:p>
    <w:p w14:paraId="47B8BB3B">
      <w:pPr>
        <w:pStyle w:val="4"/>
        <w:overflowPunct w:val="0"/>
        <w:snapToGrid w:val="0"/>
        <w:spacing w:line="300" w:lineRule="auto"/>
        <w:ind w:left="0"/>
        <w:jc w:val="both"/>
        <w:rPr>
          <w:rFonts w:ascii="Arial" w:hAnsi="Arial" w:cs="Arial"/>
        </w:rPr>
      </w:pPr>
      <w:r>
        <w:rPr>
          <w:rFonts w:ascii="Arial" w:hAnsi="Arial" w:cs="Arial"/>
        </w:rPr>
        <w:t>约1nm至100nm的尺寸范围常用于有关监管和科学界提出的纳米技术的各种工作定义或描述。</w:t>
      </w:r>
      <w:r>
        <w:rPr>
          <w:rStyle w:val="16"/>
          <w:rFonts w:ascii="Arial" w:hAnsi="Arial" w:cs="Arial"/>
        </w:rPr>
        <w:footnoteReference w:id="9"/>
      </w:r>
      <w:r>
        <w:rPr>
          <w:rFonts w:ascii="Arial" w:hAnsi="Arial" w:cs="Arial"/>
        </w:rPr>
        <w:t>在该尺寸范围内，材料可以表现出新的或已改变的物理化学性质，从而允许进行新型应用（参考文件11、13-15）。因此，根据点1，如果材料或最终产品的设计至少有一个外部尺寸在1nm至100nm范围内，或有一个内部或表面结构在1nm至100nm范围内，则行业和FDA应考虑产品表现出的任何可能影响其安全性、有效性、公共卫生影响或监管状态的特殊特征或生物效应。</w:t>
      </w:r>
    </w:p>
    <w:p w14:paraId="6D95BA5E">
      <w:pPr>
        <w:pStyle w:val="4"/>
        <w:overflowPunct w:val="0"/>
        <w:snapToGrid w:val="0"/>
        <w:spacing w:line="300" w:lineRule="auto"/>
        <w:ind w:left="0"/>
        <w:jc w:val="both"/>
        <w:rPr>
          <w:rFonts w:ascii="Arial" w:hAnsi="Arial" w:cs="Arial"/>
        </w:rPr>
      </w:pPr>
      <w:r>
        <w:rPr>
          <w:rFonts w:ascii="Arial" w:hAnsi="Arial" w:cs="Arial"/>
        </w:rPr>
        <w:t>点1中涵盖了设计有一个外部尺寸在纳米尺度范围内的原始粒子。该点还涵盖由此类纳米尺度原始粒子形成的任何聚集体或团聚体。此外，点1还涵盖设计含有内部或表面离散和功能性纳米尺度实体的涂层、功能化或分层组装结构，例如将此类实体嵌入或附接至表面。</w:t>
      </w:r>
      <w:r>
        <w:rPr>
          <w:rStyle w:val="16"/>
          <w:rFonts w:ascii="Arial" w:hAnsi="Arial" w:cs="Arial"/>
        </w:rPr>
        <w:footnoteReference w:id="10"/>
      </w:r>
      <w:r>
        <w:rPr>
          <w:rFonts w:ascii="Arial" w:hAnsi="Arial" w:cs="Arial"/>
        </w:rPr>
        <w:t>具有这种设计的结构（即将离散和功能性纳米尺度实体嵌入或附接至表面）可能具有可影响产品安全性或有效性的改变性质或现象（参考文件16）。涵盖具有纳米尺度内部、表面或外部尺寸的粒子、物体或结构符合其他科学和监管机构采用的方法（参考文件17-23）。</w:t>
      </w:r>
    </w:p>
    <w:p w14:paraId="4D69387E">
      <w:pPr>
        <w:overflowPunct w:val="0"/>
        <w:snapToGrid w:val="0"/>
        <w:spacing w:before="8" w:line="300" w:lineRule="auto"/>
        <w:jc w:val="both"/>
        <w:rPr>
          <w:rFonts w:ascii="Arial" w:hAnsi="Arial" w:eastAsia="宋体" w:cs="Arial"/>
          <w:sz w:val="23"/>
          <w:szCs w:val="23"/>
        </w:rPr>
      </w:pPr>
    </w:p>
    <w:p w14:paraId="1E7F372B">
      <w:pPr>
        <w:pStyle w:val="18"/>
        <w:numPr>
          <w:ilvl w:val="2"/>
          <w:numId w:val="1"/>
        </w:numPr>
        <w:tabs>
          <w:tab w:val="left" w:pos="1204"/>
        </w:tabs>
        <w:overflowPunct w:val="0"/>
        <w:snapToGrid w:val="0"/>
        <w:spacing w:line="300" w:lineRule="auto"/>
        <w:ind w:left="1203" w:leftChars="200" w:hanging="763" w:hangingChars="318"/>
        <w:jc w:val="both"/>
        <w:outlineLvl w:val="2"/>
        <w:rPr>
          <w:rFonts w:ascii="Arial" w:hAnsi="Arial" w:eastAsia="宋体" w:cs="Arial"/>
          <w:sz w:val="24"/>
        </w:rPr>
      </w:pPr>
      <w:bookmarkStart w:id="17" w:name="_Toc495671520"/>
      <w:r>
        <w:rPr>
          <w:rFonts w:ascii="Arial" w:hAnsi="Arial" w:eastAsia="宋体" w:cs="Arial"/>
          <w:sz w:val="24"/>
        </w:rPr>
        <w:t>因尺寸产生的性质或现象（点2）</w:t>
      </w:r>
      <w:bookmarkEnd w:id="17"/>
    </w:p>
    <w:p w14:paraId="4C9EE3F0">
      <w:pPr>
        <w:overflowPunct w:val="0"/>
        <w:snapToGrid w:val="0"/>
        <w:spacing w:before="3" w:line="300" w:lineRule="auto"/>
        <w:jc w:val="both"/>
        <w:rPr>
          <w:rFonts w:ascii="Arial" w:hAnsi="Arial" w:eastAsia="宋体" w:cs="Arial"/>
          <w:sz w:val="24"/>
          <w:szCs w:val="24"/>
        </w:rPr>
      </w:pPr>
    </w:p>
    <w:p w14:paraId="1713601D">
      <w:pPr>
        <w:pStyle w:val="4"/>
        <w:overflowPunct w:val="0"/>
        <w:snapToGrid w:val="0"/>
        <w:spacing w:line="300" w:lineRule="auto"/>
        <w:ind w:left="0"/>
        <w:jc w:val="both"/>
        <w:rPr>
          <w:rFonts w:ascii="Arial" w:hAnsi="Arial" w:cs="Arial"/>
        </w:rPr>
      </w:pPr>
      <w:r>
        <w:rPr>
          <w:rFonts w:ascii="Arial" w:hAnsi="Arial" w:cs="Arial"/>
        </w:rPr>
        <w:t>虽然对于小型粒子，尺寸就可表明是否存在需要进一步考察的性质，但就FDA监管审查和监督而言，确定和评估特定尺寸依赖性性质和现象更具相关性。因此，点2侧重于材料性质及其在生物系统中的行为。</w:t>
      </w:r>
      <w:r>
        <w:rPr>
          <w:rStyle w:val="16"/>
          <w:rFonts w:ascii="Arial" w:hAnsi="Arial" w:cs="Arial"/>
        </w:rPr>
        <w:footnoteReference w:id="11"/>
      </w:r>
      <w:r>
        <w:rPr>
          <w:rFonts w:ascii="Arial" w:hAnsi="Arial" w:cs="Arial"/>
        </w:rPr>
        <w:t>使用短语</w:t>
      </w:r>
      <w:r>
        <w:rPr>
          <w:rFonts w:ascii="宋体" w:hAnsi="宋体" w:cs="Arial"/>
        </w:rPr>
        <w:t>“</w:t>
      </w:r>
      <w:r>
        <w:rPr>
          <w:rFonts w:ascii="Arial" w:hAnsi="Arial" w:cs="Arial"/>
        </w:rPr>
        <w:t>表现出因其尺寸产生的性质或现象</w:t>
      </w:r>
      <w:r>
        <w:rPr>
          <w:rFonts w:ascii="宋体" w:hAnsi="宋体" w:cs="Arial"/>
        </w:rPr>
        <w:t>”</w:t>
      </w:r>
      <w:r>
        <w:rPr>
          <w:rFonts w:ascii="Arial" w:hAnsi="Arial" w:cs="Arial"/>
        </w:rPr>
        <w:t>的原因在于纳米尺度材料的性质和现象可能使其应用影响FDA监管产品的安全性、有效性、性能、质量、公共卫生影响或监管状态。例如，如上所述，尺寸依赖性性质或现象可用于各种功能效应，例如增加药物产品生物利用度或降低毒性，更好地检测病原体，改进食品包装材料或改善营养物质的输送。</w:t>
      </w:r>
    </w:p>
    <w:p w14:paraId="78BB93F5">
      <w:pPr>
        <w:overflowPunct w:val="0"/>
        <w:rPr>
          <w:rFonts w:ascii="Arial" w:hAnsi="Arial" w:eastAsia="宋体" w:cs="Arial"/>
          <w:sz w:val="20"/>
          <w:szCs w:val="20"/>
        </w:rPr>
      </w:pPr>
      <w:r>
        <w:rPr>
          <w:rFonts w:ascii="Arial" w:hAnsi="Arial" w:eastAsia="宋体" w:cs="Arial"/>
          <w:sz w:val="20"/>
          <w:szCs w:val="20"/>
        </w:rPr>
        <w:br w:type="page"/>
      </w:r>
    </w:p>
    <w:p w14:paraId="3FA74E93">
      <w:pPr>
        <w:pStyle w:val="4"/>
        <w:overflowPunct w:val="0"/>
        <w:snapToGrid w:val="0"/>
        <w:spacing w:before="69" w:line="300" w:lineRule="auto"/>
        <w:ind w:left="0"/>
        <w:jc w:val="both"/>
        <w:rPr>
          <w:rFonts w:ascii="Arial" w:hAnsi="Arial" w:cs="Arial"/>
        </w:rPr>
      </w:pPr>
      <w:r>
        <w:rPr>
          <w:rFonts w:ascii="Arial" w:hAnsi="Arial" w:cs="Arial"/>
        </w:rPr>
        <w:t>此类效应可能源于纳米尺度材料已改变或特殊特征，而此类现象通常无法在具有相同化学成分的大规模材料中观察到或</w:t>
      </w:r>
      <w:r>
        <w:rPr>
          <w:rFonts w:hint="eastAsia" w:ascii="Arial" w:hAnsi="Arial" w:cs="Arial"/>
        </w:rPr>
        <w:t>预测</w:t>
      </w:r>
      <w:r>
        <w:rPr>
          <w:rFonts w:ascii="Arial" w:hAnsi="Arial" w:cs="Arial"/>
        </w:rPr>
        <w:t>（参考文件7）。</w:t>
      </w:r>
    </w:p>
    <w:p w14:paraId="6CD58A11">
      <w:pPr>
        <w:pStyle w:val="4"/>
        <w:overflowPunct w:val="0"/>
        <w:snapToGrid w:val="0"/>
        <w:spacing w:line="300" w:lineRule="auto"/>
        <w:ind w:left="0"/>
        <w:jc w:val="both"/>
        <w:rPr>
          <w:rFonts w:ascii="Arial" w:hAnsi="Arial" w:cs="Arial"/>
        </w:rPr>
      </w:pPr>
      <w:r>
        <w:rPr>
          <w:rFonts w:ascii="Arial" w:hAnsi="Arial" w:cs="Arial"/>
        </w:rPr>
        <w:t>然而，此类变化可能会引起关于纳米技术产品安全性、有效性、性能、质量或公共卫生影响的问题。此外，评价FDA管辖的大部分产品的安全性、有效性、公共卫生影响或监管状态时，各种生物系统（包括特定组织和器官）中的接触途径、剂量和行为等考虑因素起着重要作用（参考文件13，24）。此类评价应包括考虑可能需要以确定涉及纳米技术应用的产品的物理化学性质和生物效应的具体试验（传统，改良或新型）（参考文件25，26）。</w:t>
      </w:r>
    </w:p>
    <w:p w14:paraId="25861816">
      <w:pPr>
        <w:overflowPunct w:val="0"/>
        <w:snapToGrid w:val="0"/>
        <w:spacing w:line="300" w:lineRule="auto"/>
        <w:jc w:val="both"/>
        <w:rPr>
          <w:rFonts w:ascii="Arial" w:hAnsi="Arial" w:eastAsia="宋体" w:cs="Arial"/>
          <w:sz w:val="24"/>
          <w:szCs w:val="24"/>
        </w:rPr>
      </w:pPr>
    </w:p>
    <w:p w14:paraId="3871C8A3">
      <w:pPr>
        <w:pStyle w:val="18"/>
        <w:numPr>
          <w:ilvl w:val="2"/>
          <w:numId w:val="1"/>
        </w:numPr>
        <w:tabs>
          <w:tab w:val="left" w:pos="1204"/>
        </w:tabs>
        <w:overflowPunct w:val="0"/>
        <w:snapToGrid w:val="0"/>
        <w:spacing w:line="300" w:lineRule="auto"/>
        <w:ind w:left="1203" w:leftChars="200" w:hanging="763" w:hangingChars="318"/>
        <w:jc w:val="both"/>
        <w:outlineLvl w:val="2"/>
        <w:rPr>
          <w:rFonts w:ascii="Arial" w:hAnsi="Arial" w:eastAsia="宋体" w:cs="Arial"/>
          <w:sz w:val="24"/>
        </w:rPr>
      </w:pPr>
      <w:bookmarkStart w:id="18" w:name="_Toc495671521"/>
      <w:r>
        <w:rPr>
          <w:rFonts w:ascii="Arial" w:hAnsi="Arial" w:eastAsia="宋体" w:cs="Arial"/>
          <w:sz w:val="24"/>
        </w:rPr>
        <w:t>高达1微米（1000nm）的尺寸（点2）</w:t>
      </w:r>
      <w:bookmarkEnd w:id="18"/>
    </w:p>
    <w:p w14:paraId="66619355">
      <w:pPr>
        <w:overflowPunct w:val="0"/>
        <w:snapToGrid w:val="0"/>
        <w:spacing w:before="3" w:line="300" w:lineRule="auto"/>
        <w:jc w:val="both"/>
        <w:rPr>
          <w:rFonts w:ascii="Arial" w:hAnsi="Arial" w:eastAsia="宋体" w:cs="Arial"/>
          <w:sz w:val="24"/>
          <w:szCs w:val="24"/>
        </w:rPr>
      </w:pPr>
    </w:p>
    <w:p w14:paraId="21154F32">
      <w:pPr>
        <w:pStyle w:val="4"/>
        <w:overflowPunct w:val="0"/>
        <w:snapToGrid w:val="0"/>
        <w:spacing w:line="300" w:lineRule="auto"/>
        <w:ind w:left="0"/>
        <w:jc w:val="both"/>
        <w:rPr>
          <w:rFonts w:ascii="Arial" w:hAnsi="Arial" w:cs="Arial"/>
          <w:sz w:val="16"/>
          <w:szCs w:val="16"/>
        </w:rPr>
      </w:pPr>
      <w:r>
        <w:rPr>
          <w:rFonts w:ascii="Arial" w:hAnsi="Arial" w:cs="Arial"/>
        </w:rPr>
        <w:t>尽管其尺寸不在约1nm到100nm的纳米尺度范围内，材料或最终产品也可以表现出类似性质或现象。当尺寸不在约1nm到100nm的纳米尺度范围内时，也观察到与安全性、有效性、性能、质量、公共卫生影响或产品监管状态评价相关的物理化学性质和生物学行为（参考文件27-30）。因此，点2侧重于考虑因尺寸产生的性质或现象的重要性，即使此类尺寸可能不在约1nm到100nm的纳米尺度范围内时。FDA对尺寸不在约1 nm到100 nm范围内的材料的考虑符合其他科学和管理组织采取的方法。</w:t>
      </w:r>
      <w:r>
        <w:rPr>
          <w:rStyle w:val="16"/>
          <w:rFonts w:ascii="Arial" w:hAnsi="Arial" w:cs="Arial"/>
        </w:rPr>
        <w:footnoteReference w:id="12"/>
      </w:r>
    </w:p>
    <w:p w14:paraId="5A05E026">
      <w:pPr>
        <w:overflowPunct w:val="0"/>
        <w:snapToGrid w:val="0"/>
        <w:spacing w:line="300" w:lineRule="auto"/>
        <w:jc w:val="both"/>
        <w:rPr>
          <w:rFonts w:ascii="Arial" w:hAnsi="Arial" w:eastAsia="宋体" w:cs="Arial"/>
          <w:sz w:val="20"/>
          <w:szCs w:val="20"/>
        </w:rPr>
      </w:pPr>
    </w:p>
    <w:p w14:paraId="7C43FBBF">
      <w:pPr>
        <w:overflowPunct w:val="0"/>
        <w:rPr>
          <w:rFonts w:ascii="Arial" w:hAnsi="Arial" w:eastAsia="宋体" w:cs="Arial"/>
          <w:sz w:val="20"/>
          <w:szCs w:val="20"/>
        </w:rPr>
      </w:pPr>
      <w:r>
        <w:rPr>
          <w:rFonts w:ascii="Arial" w:hAnsi="Arial" w:eastAsia="宋体" w:cs="Arial"/>
          <w:sz w:val="20"/>
          <w:szCs w:val="20"/>
        </w:rPr>
        <w:br w:type="page"/>
      </w:r>
    </w:p>
    <w:p w14:paraId="2DA4DA3A">
      <w:pPr>
        <w:pStyle w:val="4"/>
        <w:overflowPunct w:val="0"/>
        <w:snapToGrid w:val="0"/>
        <w:spacing w:before="72" w:line="360" w:lineRule="auto"/>
        <w:ind w:left="0"/>
        <w:jc w:val="both"/>
        <w:rPr>
          <w:rFonts w:ascii="Arial" w:hAnsi="Arial" w:cs="Arial"/>
        </w:rPr>
      </w:pPr>
      <w:r>
        <w:rPr>
          <w:rFonts w:ascii="Arial" w:hAnsi="Arial" w:cs="Arial"/>
        </w:rPr>
        <w:t>目前，对于100nm以上的尺寸，由于尚未在所有潜在材料和产品中观察到类似于尺寸在纳米尺度范围内的材料的新型性质和现象，无法使用可用科学信息确定</w:t>
      </w:r>
      <w:r>
        <w:rPr>
          <w:rFonts w:hint="eastAsia" w:ascii="Arial" w:hAnsi="Arial" w:cs="Arial"/>
        </w:rPr>
        <w:t>统一</w:t>
      </w:r>
      <w:r>
        <w:rPr>
          <w:rFonts w:ascii="Arial" w:hAnsi="Arial" w:cs="Arial"/>
        </w:rPr>
        <w:t>上限。因此，FDA目前认为，可考虑对设计用于表现出因高达1000 nm的尺寸产生的性质和现象进行评价，作为筛选用于进一步考查材料的方法，并可确定此类材料是否可表现出因其尺寸产生的并与纳米技术应用相关的性质或现象。</w:t>
      </w:r>
      <w:r>
        <w:rPr>
          <w:rStyle w:val="16"/>
          <w:rFonts w:ascii="Arial" w:hAnsi="Arial" w:cs="Arial"/>
        </w:rPr>
        <w:footnoteReference w:id="13"/>
      </w:r>
      <w:r>
        <w:rPr>
          <w:rFonts w:ascii="Arial" w:hAnsi="Arial" w:cs="Arial"/>
        </w:rPr>
        <w:t>如果性质或现象与尺寸相关，所应用的一微米（1000nm）上限足以：（1）包括尺寸不在约1nm到100nm的纳米尺度范围内，但可以表现出与纳米技术应用相关且与大规模材料不同的尺寸依赖性性质或现象的材料；和（2）排除可能具有因其尺寸产生但不可能与纳米技术应用相关的特性的大规模材料。</w:t>
      </w:r>
    </w:p>
    <w:p w14:paraId="04CE0F2A">
      <w:pPr>
        <w:overflowPunct w:val="0"/>
        <w:snapToGrid w:val="0"/>
        <w:spacing w:before="8" w:line="360" w:lineRule="auto"/>
        <w:jc w:val="both"/>
        <w:rPr>
          <w:rFonts w:ascii="Arial" w:hAnsi="Arial" w:eastAsia="宋体" w:cs="Arial"/>
          <w:sz w:val="23"/>
          <w:szCs w:val="23"/>
        </w:rPr>
      </w:pPr>
    </w:p>
    <w:p w14:paraId="4EE25000">
      <w:pPr>
        <w:pStyle w:val="4"/>
        <w:overflowPunct w:val="0"/>
        <w:snapToGrid w:val="0"/>
        <w:spacing w:line="360" w:lineRule="auto"/>
        <w:ind w:left="0"/>
        <w:jc w:val="both"/>
        <w:rPr>
          <w:rFonts w:ascii="Arial" w:hAnsi="Arial" w:cs="Arial"/>
        </w:rPr>
      </w:pPr>
      <w:r>
        <w:rPr>
          <w:rFonts w:ascii="Arial" w:hAnsi="Arial" w:cs="Arial"/>
        </w:rPr>
        <w:t>1000nm的上限以及是否存在与纳米尺度材料类似的尺寸依赖性性质或现象提供了初步筛选工具，可帮助确定具有与监管审查特别相关的性质或现象的材料或产品。在这种情况下，使用1000nm作为参考点不应视为尺寸在1000nm以上的材料或产品不能表现出可影响材料或产品的安全性、有效性、公共卫生影响或监管状态的尺寸依赖性质或现象。如上所述，本机构将进一步细化此类</w:t>
      </w:r>
      <w:r>
        <w:rPr>
          <w:rFonts w:ascii="宋体" w:hAnsi="宋体" w:cs="Arial"/>
        </w:rPr>
        <w:t>“</w:t>
      </w:r>
      <w:r>
        <w:rPr>
          <w:rFonts w:ascii="Arial" w:hAnsi="Arial" w:cs="Arial"/>
        </w:rPr>
        <w:t>需考虑的点</w:t>
      </w:r>
      <w:r>
        <w:rPr>
          <w:rFonts w:ascii="宋体" w:hAnsi="宋体" w:cs="Arial"/>
        </w:rPr>
        <w:t>”</w:t>
      </w:r>
      <w:r>
        <w:rPr>
          <w:rFonts w:ascii="Arial" w:hAnsi="Arial" w:cs="Arial"/>
        </w:rPr>
        <w:t>，包括此上限，以使其广泛适用于FDA监管产品或适用于特定产品或产品类别。</w:t>
      </w:r>
    </w:p>
    <w:p w14:paraId="497ACDB4">
      <w:pPr>
        <w:overflowPunct w:val="0"/>
        <w:snapToGrid w:val="0"/>
        <w:spacing w:line="360" w:lineRule="auto"/>
        <w:jc w:val="both"/>
        <w:rPr>
          <w:rFonts w:ascii="Arial" w:hAnsi="Arial" w:eastAsia="宋体" w:cs="Arial"/>
          <w:sz w:val="24"/>
          <w:szCs w:val="24"/>
        </w:rPr>
      </w:pPr>
    </w:p>
    <w:p w14:paraId="76CEE264">
      <w:pPr>
        <w:pStyle w:val="18"/>
        <w:numPr>
          <w:ilvl w:val="0"/>
          <w:numId w:val="1"/>
        </w:numPr>
        <w:tabs>
          <w:tab w:val="left" w:pos="980"/>
        </w:tabs>
        <w:overflowPunct w:val="0"/>
        <w:snapToGrid w:val="0"/>
        <w:spacing w:before="69" w:line="360" w:lineRule="auto"/>
        <w:ind w:left="720"/>
        <w:jc w:val="both"/>
        <w:outlineLvl w:val="0"/>
        <w:rPr>
          <w:rFonts w:ascii="Arial" w:hAnsi="Arial" w:eastAsia="宋体" w:cs="Arial"/>
          <w:b/>
          <w:sz w:val="28"/>
          <w:szCs w:val="28"/>
        </w:rPr>
      </w:pPr>
      <w:bookmarkStart w:id="19" w:name="_Toc495671522"/>
      <w:r>
        <w:rPr>
          <w:rFonts w:ascii="Arial" w:hAnsi="Arial" w:eastAsia="宋体" w:cs="Arial"/>
          <w:b/>
          <w:sz w:val="28"/>
          <w:szCs w:val="28"/>
        </w:rPr>
        <w:t>结论</w:t>
      </w:r>
      <w:bookmarkEnd w:id="19"/>
    </w:p>
    <w:p w14:paraId="6B17DB93">
      <w:pPr>
        <w:overflowPunct w:val="0"/>
        <w:snapToGrid w:val="0"/>
        <w:spacing w:before="7" w:line="360" w:lineRule="auto"/>
        <w:jc w:val="both"/>
        <w:rPr>
          <w:rFonts w:ascii="Arial" w:hAnsi="Arial" w:eastAsia="宋体" w:cs="Arial"/>
          <w:b/>
          <w:bCs/>
          <w:sz w:val="23"/>
          <w:szCs w:val="23"/>
        </w:rPr>
      </w:pPr>
    </w:p>
    <w:p w14:paraId="55A46B5B">
      <w:pPr>
        <w:pStyle w:val="4"/>
        <w:overflowPunct w:val="0"/>
        <w:snapToGrid w:val="0"/>
        <w:spacing w:line="360" w:lineRule="auto"/>
        <w:ind w:left="0"/>
        <w:jc w:val="both"/>
        <w:rPr>
          <w:rFonts w:ascii="Arial" w:hAnsi="Arial" w:cs="Arial"/>
        </w:rPr>
      </w:pPr>
      <w:r>
        <w:rPr>
          <w:rFonts w:ascii="Arial" w:hAnsi="Arial" w:cs="Arial"/>
        </w:rPr>
        <w:t>在考虑FDA监管产品是否涉及纳米技术应用时，应用本指南中阐述的两个</w:t>
      </w:r>
      <w:r>
        <w:rPr>
          <w:rFonts w:ascii="宋体" w:hAnsi="宋体" w:cs="Arial"/>
        </w:rPr>
        <w:t>“</w:t>
      </w:r>
      <w:r>
        <w:rPr>
          <w:rFonts w:ascii="Arial" w:hAnsi="Arial" w:cs="Arial"/>
        </w:rPr>
        <w:t>需考虑的点</w:t>
      </w:r>
      <w:r>
        <w:rPr>
          <w:rFonts w:ascii="宋体" w:hAnsi="宋体" w:cs="Arial"/>
        </w:rPr>
        <w:t>”</w:t>
      </w:r>
      <w:r>
        <w:rPr>
          <w:rFonts w:ascii="Arial" w:hAnsi="Arial" w:cs="Arial"/>
        </w:rPr>
        <w:t>。如果明确发现</w:t>
      </w:r>
      <w:r>
        <w:rPr>
          <w:rFonts w:ascii="宋体" w:hAnsi="宋体" w:cs="Arial"/>
        </w:rPr>
        <w:t>“</w:t>
      </w:r>
      <w:r>
        <w:rPr>
          <w:rFonts w:ascii="Arial" w:hAnsi="Arial" w:cs="Arial"/>
        </w:rPr>
        <w:t>需考虑的点</w:t>
      </w:r>
      <w:r>
        <w:rPr>
          <w:rFonts w:ascii="宋体" w:hAnsi="宋体" w:cs="Arial"/>
        </w:rPr>
        <w:t>”</w:t>
      </w:r>
      <w:r>
        <w:rPr>
          <w:rFonts w:ascii="Arial" w:hAnsi="Arial" w:cs="Arial"/>
        </w:rPr>
        <w:t>（如本指南所述）中任何一点，则可能表明FDA和/或行业需要特别关注对安全性和有效性的可能影响、公共卫生影响或产品的监管状态。未来本机构将考虑对方法进行修订，包括制定与纳米技术相关的监管定义，以及协调不断变化的科学认知。</w:t>
      </w:r>
    </w:p>
    <w:p w14:paraId="4A16C4C9">
      <w:pPr>
        <w:overflowPunct w:val="0"/>
        <w:snapToGrid w:val="0"/>
        <w:spacing w:line="300" w:lineRule="auto"/>
        <w:jc w:val="both"/>
        <w:rPr>
          <w:rFonts w:ascii="Arial" w:hAnsi="Arial" w:eastAsia="宋体" w:cs="Arial"/>
          <w:sz w:val="24"/>
          <w:szCs w:val="24"/>
        </w:rPr>
      </w:pPr>
    </w:p>
    <w:p w14:paraId="76042AF3">
      <w:pPr>
        <w:rPr>
          <w:rFonts w:ascii="Arial" w:hAnsi="Arial" w:eastAsia="宋体" w:cs="Arial"/>
          <w:sz w:val="24"/>
          <w:szCs w:val="24"/>
        </w:rPr>
      </w:pPr>
      <w:r>
        <w:rPr>
          <w:rFonts w:ascii="Arial" w:hAnsi="Arial" w:cs="Arial"/>
        </w:rPr>
        <w:br w:type="page"/>
      </w:r>
    </w:p>
    <w:p w14:paraId="42E75BD0">
      <w:pPr>
        <w:pStyle w:val="4"/>
        <w:overflowPunct w:val="0"/>
        <w:snapToGrid w:val="0"/>
        <w:spacing w:line="300" w:lineRule="auto"/>
        <w:ind w:left="0"/>
        <w:jc w:val="both"/>
        <w:rPr>
          <w:rFonts w:ascii="Arial" w:hAnsi="Arial" w:cs="Arial"/>
        </w:rPr>
      </w:pPr>
      <w:r>
        <w:rPr>
          <w:rFonts w:ascii="Arial" w:hAnsi="Arial" w:cs="Arial"/>
        </w:rPr>
        <w:t>仍然需要深入了解尺寸在涉及纳米技术应用的FDA监管产品所表现出的物理和化学特征以及生物学效应中的潜在作用和重要性。</w:t>
      </w:r>
      <w:r>
        <w:rPr>
          <w:rStyle w:val="16"/>
          <w:rFonts w:ascii="Arial" w:hAnsi="Arial" w:cs="Arial"/>
        </w:rPr>
        <w:footnoteReference w:id="14"/>
      </w:r>
      <w:r>
        <w:rPr>
          <w:rFonts w:ascii="Arial" w:hAnsi="Arial" w:cs="Arial"/>
        </w:rPr>
        <w:t>如果需要，FDA将进行产品特定上市前审查，以更好地了解涉及纳米技术应用的产品的性质和行为。</w:t>
      </w:r>
    </w:p>
    <w:p w14:paraId="596BF5AB">
      <w:pPr>
        <w:overflowPunct w:val="0"/>
        <w:snapToGrid w:val="0"/>
        <w:spacing w:before="9" w:line="300" w:lineRule="auto"/>
        <w:jc w:val="both"/>
        <w:rPr>
          <w:rFonts w:ascii="Arial" w:hAnsi="Arial" w:eastAsia="宋体" w:cs="Arial"/>
          <w:sz w:val="21"/>
          <w:szCs w:val="21"/>
        </w:rPr>
      </w:pPr>
    </w:p>
    <w:p w14:paraId="4D37FFB0">
      <w:pPr>
        <w:pStyle w:val="4"/>
        <w:overflowPunct w:val="0"/>
        <w:snapToGrid w:val="0"/>
        <w:spacing w:line="300" w:lineRule="auto"/>
        <w:ind w:left="0"/>
        <w:jc w:val="both"/>
        <w:rPr>
          <w:rFonts w:ascii="Arial" w:hAnsi="Arial" w:cs="Arial"/>
        </w:rPr>
      </w:pPr>
      <w:r>
        <w:rPr>
          <w:rFonts w:ascii="Arial" w:hAnsi="Arial" w:cs="Arial"/>
        </w:rPr>
        <w:t>如果涉及纳米技术应用的产品未经上市前审查，本机构敦促行业在产品早期开发过程与本机构进行协商。这样就可以适当和充分解决有关产品监管状态、安全性、有效性或公共卫生影响的任何问题。FDA</w:t>
      </w:r>
      <w:r>
        <w:rPr>
          <w:rFonts w:hint="eastAsia" w:ascii="Arial" w:hAnsi="Arial" w:cs="Arial"/>
        </w:rPr>
        <w:t>已经并将持续（如需要）</w:t>
      </w:r>
      <w:r>
        <w:rPr>
          <w:rFonts w:ascii="Arial" w:hAnsi="Arial" w:cs="Arial"/>
        </w:rPr>
        <w:t>根据更具有针对性的指导性文件为行业提供附加指导，以解决此类考虑因素。</w:t>
      </w:r>
    </w:p>
    <w:p w14:paraId="0ABFCB56">
      <w:pPr>
        <w:overflowPunct w:val="0"/>
        <w:snapToGrid w:val="0"/>
        <w:spacing w:before="5" w:line="300" w:lineRule="auto"/>
        <w:jc w:val="both"/>
        <w:rPr>
          <w:rFonts w:ascii="Arial" w:hAnsi="Arial" w:eastAsia="宋体" w:cs="Arial"/>
          <w:sz w:val="24"/>
          <w:szCs w:val="24"/>
        </w:rPr>
      </w:pPr>
    </w:p>
    <w:p w14:paraId="47689F7E">
      <w:pPr>
        <w:pStyle w:val="18"/>
        <w:numPr>
          <w:ilvl w:val="0"/>
          <w:numId w:val="1"/>
        </w:numPr>
        <w:tabs>
          <w:tab w:val="left" w:pos="980"/>
        </w:tabs>
        <w:overflowPunct w:val="0"/>
        <w:snapToGrid w:val="0"/>
        <w:spacing w:before="69" w:line="300" w:lineRule="auto"/>
        <w:ind w:left="720"/>
        <w:jc w:val="both"/>
        <w:outlineLvl w:val="0"/>
        <w:rPr>
          <w:rFonts w:ascii="Arial" w:hAnsi="Arial" w:eastAsia="宋体" w:cs="Arial"/>
          <w:b/>
          <w:sz w:val="28"/>
          <w:szCs w:val="28"/>
        </w:rPr>
      </w:pPr>
      <w:bookmarkStart w:id="20" w:name="_Toc495671523"/>
      <w:r>
        <w:rPr>
          <w:rFonts w:ascii="Arial" w:hAnsi="Arial" w:eastAsia="宋体" w:cs="Arial"/>
          <w:b/>
          <w:sz w:val="28"/>
          <w:szCs w:val="28"/>
        </w:rPr>
        <w:t>参考文件</w:t>
      </w:r>
      <w:bookmarkEnd w:id="20"/>
    </w:p>
    <w:p w14:paraId="0E4746F0">
      <w:pPr>
        <w:overflowPunct w:val="0"/>
        <w:snapToGrid w:val="0"/>
        <w:spacing w:before="7" w:line="300" w:lineRule="auto"/>
        <w:jc w:val="both"/>
        <w:rPr>
          <w:rFonts w:ascii="Arial" w:hAnsi="Arial" w:eastAsia="宋体" w:cs="Arial"/>
          <w:b/>
          <w:bCs/>
          <w:sz w:val="23"/>
          <w:szCs w:val="23"/>
        </w:rPr>
      </w:pPr>
    </w:p>
    <w:p w14:paraId="1B6876F2">
      <w:pPr>
        <w:pStyle w:val="4"/>
        <w:overflowPunct w:val="0"/>
        <w:snapToGrid w:val="0"/>
        <w:spacing w:line="300" w:lineRule="auto"/>
        <w:ind w:left="0"/>
        <w:jc w:val="both"/>
        <w:rPr>
          <w:rFonts w:ascii="Arial" w:hAnsi="Arial" w:cs="Arial"/>
          <w:spacing w:val="-4"/>
        </w:rPr>
      </w:pPr>
      <w:r>
        <w:rPr>
          <w:rFonts w:ascii="Arial" w:hAnsi="Arial" w:cs="Arial"/>
          <w:spacing w:val="-4"/>
        </w:rPr>
        <w:t>本机构已将此类参考文件</w:t>
      </w:r>
      <w:r>
        <w:rPr>
          <w:rFonts w:hint="eastAsia" w:ascii="Arial" w:hAnsi="Arial" w:cs="Arial"/>
          <w:spacing w:val="-4"/>
        </w:rPr>
        <w:t>展示</w:t>
      </w:r>
      <w:r>
        <w:rPr>
          <w:rFonts w:ascii="Arial" w:hAnsi="Arial" w:cs="Arial"/>
          <w:spacing w:val="-4"/>
        </w:rPr>
        <w:t>于食品药品监督管理局案卷管理处</w:t>
      </w:r>
      <w:r>
        <w:rPr>
          <w:rFonts w:hint="eastAsia" w:ascii="Arial" w:hAnsi="Arial" w:cs="Arial"/>
          <w:spacing w:val="-4"/>
        </w:rPr>
        <w:t>（</w:t>
      </w:r>
      <w:r>
        <w:rPr>
          <w:rFonts w:ascii="Arial" w:hAnsi="Arial" w:cs="Arial"/>
          <w:spacing w:val="-4"/>
        </w:rPr>
        <w:t>5630 Fishers Lane，rm.1061，Rockville，MD 20852</w:t>
      </w:r>
      <w:r>
        <w:rPr>
          <w:rFonts w:hint="eastAsia" w:ascii="Arial" w:hAnsi="Arial" w:cs="Arial"/>
          <w:spacing w:val="-4"/>
        </w:rPr>
        <w:t>）。</w:t>
      </w:r>
      <w:r>
        <w:rPr>
          <w:rFonts w:ascii="Arial" w:hAnsi="Arial" w:cs="Arial"/>
          <w:spacing w:val="-4"/>
        </w:rPr>
        <w:t>贵公司可在周一至周五上午9点至下午4点前来参阅。截至2014年6月1日，FDA已全部验证其以超链接形式在本指南的互联网副本中提供的参考文件网站地址，但FDA对2014年6月1日之后对非FDA网站参考文件的任何后续更改概不负责。</w:t>
      </w:r>
    </w:p>
    <w:p w14:paraId="5AFDE78E">
      <w:pPr>
        <w:overflowPunct w:val="0"/>
        <w:snapToGrid w:val="0"/>
        <w:spacing w:line="300" w:lineRule="auto"/>
        <w:jc w:val="both"/>
        <w:rPr>
          <w:rFonts w:ascii="Arial" w:hAnsi="Arial" w:eastAsia="宋体" w:cs="Arial"/>
          <w:sz w:val="24"/>
          <w:szCs w:val="24"/>
        </w:rPr>
      </w:pPr>
    </w:p>
    <w:p w14:paraId="465B24A8">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rPr>
        <w:t>Merisko-Liversidge EM和Liversidge GG。药物纳米粒子：配制水溶性差的化合物。毒理学病理学，36：43-48，2008。</w:t>
      </w:r>
    </w:p>
    <w:p w14:paraId="0EDFEF26">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rPr>
        <w:t>Paciotti GF，Myer L，Weinreich D等人。胶体金：用于肿瘤导向药物输送的新型纳米粒子载体。药物输送，11：169-183，2004。</w:t>
      </w:r>
    </w:p>
    <w:p w14:paraId="6033D24D">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rPr>
        <w:t>Kaittanis C，Santra S，Manuel PJ。基于新型纳米技术的微生物发病机制鉴定策略。高级药物输送审查62：408-423，2010。</w:t>
      </w:r>
    </w:p>
    <w:p w14:paraId="0A18924B">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rPr>
        <w:t>Chaudhry Q，Scotter M，Blackburn J等人。纳米技术在食品行业中的应用及其影响。食品添加剂和污染物25：241-258，2008。</w:t>
      </w:r>
    </w:p>
    <w:p w14:paraId="5DDE4A71">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rPr>
        <w:t>医学研究所。食品中的纳米技术：会议总结。华盛顿特区：国家学术出版社，2009年。</w:t>
      </w:r>
    </w:p>
    <w:p w14:paraId="541492A2">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lang w:val="de-DE"/>
        </w:rPr>
        <w:t>Chen L，Remondetto GE，Subirade M</w:t>
      </w:r>
      <w:r>
        <w:rPr>
          <w:rFonts w:ascii="Arial" w:hAnsi="Arial" w:eastAsia="宋体" w:cs="Arial"/>
          <w:sz w:val="24"/>
        </w:rPr>
        <w:t>。作为营养制品输送系统的食品蛋白质基材料。食品科学与技术趋势 17：272-283，2006。</w:t>
      </w:r>
    </w:p>
    <w:p w14:paraId="41775E8F">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0"/>
          <w:szCs w:val="20"/>
        </w:rPr>
      </w:pPr>
      <w:r>
        <w:rPr>
          <w:rFonts w:ascii="Arial" w:hAnsi="Arial" w:eastAsia="宋体" w:cs="Arial"/>
          <w:spacing w:val="-4"/>
          <w:sz w:val="24"/>
          <w:szCs w:val="24"/>
        </w:rPr>
        <w:t>纳米技术。美国食品药品监督管理局纳米技术工作小组报告，2007年7月25日；网址：</w:t>
      </w:r>
      <w:r>
        <w:fldChar w:fldCharType="begin"/>
      </w:r>
      <w:r>
        <w:instrText xml:space="preserve"> HYPERLINK "http://www.fda.gov/ScienceResearch/SpecialTopics/Nanotechnology/UCM2006659.htm" \h </w:instrText>
      </w:r>
      <w:r>
        <w:fldChar w:fldCharType="separate"/>
      </w:r>
      <w:r>
        <w:rPr>
          <w:rFonts w:ascii="Arial" w:hAnsi="Arial" w:eastAsia="宋体" w:cs="Arial"/>
          <w:color w:val="0000FF"/>
          <w:spacing w:val="-4"/>
          <w:sz w:val="24"/>
          <w:szCs w:val="24"/>
          <w:u w:val="single" w:color="0000FF"/>
        </w:rPr>
        <w:t>http://www.fda.gov/ScienceResearch/SpecialTopics/Nanotechnology/UCM2006659.htm</w:t>
      </w:r>
      <w:r>
        <w:rPr>
          <w:rFonts w:ascii="Arial" w:hAnsi="Arial" w:eastAsia="宋体" w:cs="Arial"/>
          <w:color w:val="0000FF"/>
          <w:spacing w:val="-4"/>
          <w:sz w:val="24"/>
          <w:szCs w:val="24"/>
          <w:u w:val="single" w:color="0000FF"/>
        </w:rPr>
        <w:fldChar w:fldCharType="end"/>
      </w:r>
      <w:r>
        <w:rPr>
          <w:rFonts w:ascii="Arial" w:hAnsi="Arial" w:eastAsia="宋体" w:cs="Arial"/>
          <w:sz w:val="20"/>
          <w:szCs w:val="20"/>
        </w:rPr>
        <w:br w:type="page"/>
      </w:r>
    </w:p>
    <w:p w14:paraId="200402F6">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FDA对纳米</w:t>
      </w:r>
      <w:r>
        <w:rPr>
          <w:rFonts w:ascii="Arial" w:hAnsi="Arial" w:eastAsia="宋体" w:cs="Arial"/>
          <w:sz w:val="24"/>
          <w:szCs w:val="24"/>
          <w:lang w:val="de-DE"/>
        </w:rPr>
        <w:t>技术</w:t>
      </w:r>
      <w:r>
        <w:rPr>
          <w:rFonts w:ascii="Arial" w:hAnsi="Arial" w:eastAsia="宋体" w:cs="Arial"/>
          <w:sz w:val="24"/>
          <w:szCs w:val="24"/>
        </w:rPr>
        <w:t>产品的监管方法； 网址：</w:t>
      </w:r>
      <w:r>
        <w:fldChar w:fldCharType="begin"/>
      </w:r>
      <w:r>
        <w:instrText xml:space="preserve"> HYPERLINK "http://www.fda.gov/ScienceResearch/SpecialTopics/Nanotechnology/ucm301114.htm" \h </w:instrText>
      </w:r>
      <w:r>
        <w:fldChar w:fldCharType="separate"/>
      </w:r>
      <w:r>
        <w:rPr>
          <w:rFonts w:ascii="Arial" w:hAnsi="Arial" w:eastAsia="宋体" w:cs="Arial"/>
          <w:color w:val="0000FF"/>
          <w:sz w:val="24"/>
          <w:szCs w:val="24"/>
          <w:u w:val="single" w:color="0000FF"/>
        </w:rPr>
        <w:t>http://www.fda.gov/ScienceResearch/SpecialTopics/Nanotechnology/ucm301114.htm</w:t>
      </w:r>
      <w:r>
        <w:rPr>
          <w:rFonts w:ascii="Arial" w:hAnsi="Arial" w:eastAsia="宋体" w:cs="Arial"/>
          <w:color w:val="0000FF"/>
          <w:sz w:val="24"/>
          <w:szCs w:val="24"/>
          <w:u w:val="single" w:color="0000FF"/>
        </w:rPr>
        <w:fldChar w:fldCharType="end"/>
      </w:r>
    </w:p>
    <w:p w14:paraId="1F90F06A">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科学和技术政策办公室，管理和预算办公室和美国贸易代表办公室。新兴技术监管与监督原则，2011年3月11日； 网址：</w:t>
      </w:r>
      <w:r>
        <w:fldChar w:fldCharType="begin"/>
      </w:r>
      <w:r>
        <w:instrText xml:space="preserve"> HYPERLINK "http://www.whitehouse.gov/sites/default/files/omb/inforeg/for-agencies/Principles-for-Regulation-and-Oversight-of-Emerging-Technologies-new.pdf" \h </w:instrText>
      </w:r>
      <w:r>
        <w:fldChar w:fldCharType="separate"/>
      </w:r>
      <w:r>
        <w:rPr>
          <w:rFonts w:ascii="Arial" w:hAnsi="Arial" w:eastAsia="宋体" w:cs="Arial"/>
          <w:color w:val="0000FF"/>
          <w:sz w:val="24"/>
          <w:szCs w:val="24"/>
          <w:u w:val="single" w:color="0000FF"/>
        </w:rPr>
        <w:t>http://www.whitehouse.gov/sites/default/files/omb/inforeg/for-agencies/Principles-for-</w:t>
      </w:r>
      <w:r>
        <w:rPr>
          <w:rFonts w:ascii="Arial" w:hAnsi="Arial" w:eastAsia="宋体" w:cs="Arial"/>
          <w:color w:val="0000FF"/>
          <w:sz w:val="24"/>
          <w:szCs w:val="24"/>
          <w:u w:val="single" w:color="0000FF"/>
        </w:rPr>
        <w:fldChar w:fldCharType="end"/>
      </w:r>
      <w:r>
        <w:rPr>
          <w:rFonts w:ascii="Arial" w:hAnsi="Arial" w:eastAsia="宋体" w:cs="Arial"/>
          <w:color w:val="0000FF"/>
          <w:sz w:val="24"/>
          <w:szCs w:val="24"/>
        </w:rPr>
        <w:t xml:space="preserve"> </w:t>
      </w:r>
      <w:r>
        <w:fldChar w:fldCharType="begin"/>
      </w:r>
      <w:r>
        <w:instrText xml:space="preserve"> HYPERLINK "http://www.whitehouse.gov/sites/default/files/omb/inforeg/for-agencies/Principles-for-Regulation-and-Oversight-of-Emerging-Technologies-new.pdf" \h </w:instrText>
      </w:r>
      <w:r>
        <w:fldChar w:fldCharType="separate"/>
      </w:r>
      <w:r>
        <w:rPr>
          <w:rFonts w:ascii="Arial" w:hAnsi="Arial" w:eastAsia="宋体" w:cs="Arial"/>
          <w:color w:val="0000FF"/>
          <w:sz w:val="24"/>
          <w:szCs w:val="24"/>
          <w:u w:val="single" w:color="0000FF"/>
        </w:rPr>
        <w:t>Regulation-and-Oversight-of-Emerging-Technologies-new.pdf</w:t>
      </w:r>
      <w:r>
        <w:rPr>
          <w:rFonts w:ascii="Arial" w:hAnsi="Arial" w:eastAsia="宋体" w:cs="Arial"/>
          <w:color w:val="0000FF"/>
          <w:sz w:val="24"/>
          <w:szCs w:val="24"/>
          <w:u w:val="single" w:color="0000FF"/>
        </w:rPr>
        <w:fldChar w:fldCharType="end"/>
      </w:r>
    </w:p>
    <w:p w14:paraId="233BFC35">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科学和技术政策办公室，管理和预算办公室和美国贸易代表办公室。美国关于纳米技术和纳米材料应用监管和监督的决策的政策原则，2011年6月9日；网址：</w:t>
      </w:r>
      <w:r>
        <w:fldChar w:fldCharType="begin"/>
      </w:r>
      <w:r>
        <w:instrText xml:space="preserve"> HYPERLINK "http://www.whitehouse.gov/sites/default/files/omb/inforeg/for-agencies/nanotechnology-regulation-and-oversight-principles.pdf" \h </w:instrText>
      </w:r>
      <w:r>
        <w:fldChar w:fldCharType="separate"/>
      </w:r>
      <w:r>
        <w:rPr>
          <w:rFonts w:ascii="Arial" w:hAnsi="Arial" w:eastAsia="宋体" w:cs="Arial"/>
          <w:color w:val="0000FF"/>
          <w:sz w:val="24"/>
          <w:szCs w:val="24"/>
          <w:u w:val="single" w:color="0000FF"/>
        </w:rPr>
        <w:t xml:space="preserve">http://www.whitehouse.gov/sites/default/files/omb/inforeg/for-agencies/nanotechnology- </w:t>
      </w:r>
      <w:r>
        <w:rPr>
          <w:rFonts w:ascii="Arial" w:hAnsi="Arial" w:eastAsia="宋体" w:cs="Arial"/>
          <w:color w:val="0000FF"/>
          <w:sz w:val="24"/>
          <w:szCs w:val="24"/>
          <w:u w:val="single" w:color="0000FF"/>
        </w:rPr>
        <w:fldChar w:fldCharType="end"/>
      </w:r>
      <w:r>
        <w:fldChar w:fldCharType="begin"/>
      </w:r>
      <w:r>
        <w:instrText xml:space="preserve"> HYPERLINK "http://www.whitehouse.gov/sites/default/files/omb/inforeg/for-agencies/nanotechnology-regulation-and-oversight-principles.pdf" \h </w:instrText>
      </w:r>
      <w:r>
        <w:fldChar w:fldCharType="separate"/>
      </w:r>
      <w:r>
        <w:rPr>
          <w:rFonts w:ascii="Arial" w:hAnsi="Arial" w:eastAsia="宋体" w:cs="Arial"/>
          <w:color w:val="0000FF"/>
          <w:sz w:val="24"/>
          <w:szCs w:val="24"/>
          <w:u w:val="single" w:color="0000FF"/>
        </w:rPr>
        <w:t>regulation-and-oversight-principles.pdf</w:t>
      </w:r>
      <w:r>
        <w:rPr>
          <w:rFonts w:ascii="Arial" w:hAnsi="Arial" w:eastAsia="宋体" w:cs="Arial"/>
          <w:color w:val="0000FF"/>
          <w:sz w:val="24"/>
          <w:szCs w:val="24"/>
          <w:u w:val="single" w:color="0000FF"/>
        </w:rPr>
        <w:fldChar w:fldCharType="end"/>
      </w:r>
    </w:p>
    <w:p w14:paraId="5BE28D42">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国家纳米技术</w:t>
      </w:r>
      <w:r>
        <w:rPr>
          <w:rFonts w:ascii="Arial" w:hAnsi="Arial" w:eastAsia="宋体" w:cs="Arial"/>
          <w:sz w:val="24"/>
          <w:szCs w:val="24"/>
          <w:lang w:val="de-DE"/>
        </w:rPr>
        <w:t>倡议</w:t>
      </w:r>
      <w:r>
        <w:rPr>
          <w:rFonts w:ascii="Arial" w:hAnsi="Arial" w:eastAsia="宋体" w:cs="Arial"/>
          <w:sz w:val="24"/>
          <w:szCs w:val="24"/>
        </w:rPr>
        <w:t>战略计划，2014年2月；网址：</w:t>
      </w:r>
      <w:r>
        <w:fldChar w:fldCharType="begin"/>
      </w:r>
      <w:r>
        <w:instrText xml:space="preserve"> HYPERLINK "http://nano.gov/sites/default/files/pub_resource/2014_nni_strategic_plan.pdf" \h </w:instrText>
      </w:r>
      <w:r>
        <w:fldChar w:fldCharType="separate"/>
      </w:r>
      <w:r>
        <w:rPr>
          <w:rFonts w:ascii="Arial" w:hAnsi="Arial" w:eastAsia="宋体" w:cs="Arial"/>
          <w:color w:val="0000FF"/>
          <w:sz w:val="24"/>
          <w:szCs w:val="24"/>
          <w:u w:val="single" w:color="0000FF"/>
        </w:rPr>
        <w:t>http://nano.gov/sites/default/files/pub_resource/2014_nni_strategic_plan.pdf</w:t>
      </w:r>
      <w:r>
        <w:rPr>
          <w:rFonts w:ascii="Arial" w:hAnsi="Arial" w:eastAsia="宋体" w:cs="Arial"/>
          <w:color w:val="0000FF"/>
          <w:sz w:val="24"/>
          <w:szCs w:val="24"/>
          <w:u w:val="single" w:color="0000FF"/>
        </w:rPr>
        <w:fldChar w:fldCharType="end"/>
      </w:r>
    </w:p>
    <w:p w14:paraId="307E2DF4">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Palashuddin M，Jaiswal A，Paul A等人。食品焦糖中无定形碳纳米粒子的存在。科学报告2（383）：1-5，2012。</w:t>
      </w:r>
    </w:p>
    <w:p w14:paraId="56B9E488">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Kunzman A，Andersson B，Thurnherr T等人。所设计的纳米材料的毒理学：注重生物相容性、生物分布和生物降解。生物物理学报 1810：361-373，2011。</w:t>
      </w:r>
    </w:p>
    <w:p w14:paraId="770194E1">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Myers JD，Doane T，Burda C和Basilion JP。用于成像和治疗脑癌的纳米粒子。纳米医学8（1）：123-143，2013。</w:t>
      </w:r>
    </w:p>
    <w:p w14:paraId="17E3584C">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Powers KW，Brown SC，Krishna VB等人。安全评价纳米材料的研究策略。第VI部分。毒理学评价中的纳米粒子表征。毒理科学90：296-303，2006。</w:t>
      </w:r>
    </w:p>
    <w:p w14:paraId="08F0AEF4">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所谓的</w:t>
      </w:r>
      <w:r>
        <w:rPr>
          <w:rFonts w:ascii="宋体" w:hAnsi="宋体" w:eastAsia="宋体" w:cs="Arial"/>
          <w:sz w:val="24"/>
          <w:szCs w:val="24"/>
        </w:rPr>
        <w:t>“</w:t>
      </w:r>
      <w:r>
        <w:rPr>
          <w:rFonts w:ascii="Arial" w:hAnsi="Arial" w:eastAsia="宋体" w:cs="Arial"/>
          <w:sz w:val="24"/>
          <w:szCs w:val="24"/>
        </w:rPr>
        <w:t>小</w:t>
      </w:r>
      <w:r>
        <w:rPr>
          <w:rFonts w:ascii="宋体" w:hAnsi="宋体" w:eastAsia="宋体" w:cs="Arial"/>
          <w:sz w:val="24"/>
          <w:szCs w:val="24"/>
        </w:rPr>
        <w:t>”</w:t>
      </w:r>
      <w:r>
        <w:rPr>
          <w:rFonts w:ascii="Arial" w:hAnsi="Arial" w:eastAsia="宋体" w:cs="Arial"/>
          <w:sz w:val="24"/>
          <w:szCs w:val="24"/>
        </w:rPr>
        <w:t>并不相同：关于纳米尺度监管挑战的科学视角。纳米技术专家小组报告。加拿大科学院委员会，</w:t>
      </w:r>
      <w:r>
        <w:rPr>
          <w:rFonts w:ascii="Arial" w:hAnsi="Arial" w:eastAsia="宋体" w:cs="Arial"/>
          <w:sz w:val="24"/>
          <w:szCs w:val="24"/>
          <w:lang w:val="de-DE"/>
        </w:rPr>
        <w:t>2008</w:t>
      </w:r>
      <w:r>
        <w:rPr>
          <w:rFonts w:ascii="Arial" w:hAnsi="Arial" w:eastAsia="宋体" w:cs="Arial"/>
          <w:sz w:val="24"/>
          <w:szCs w:val="24"/>
        </w:rPr>
        <w:t>年9月； 网址：</w:t>
      </w:r>
      <w:r>
        <w:fldChar w:fldCharType="begin"/>
      </w:r>
      <w:r>
        <w:instrText xml:space="preserve"> HYPERLINK "http://www.scienceadvice.ca/en/assessments/completed/nanotechnology.aspx" \h </w:instrText>
      </w:r>
      <w:r>
        <w:fldChar w:fldCharType="separate"/>
      </w:r>
      <w:r>
        <w:rPr>
          <w:rFonts w:ascii="Arial" w:hAnsi="Arial" w:eastAsia="宋体" w:cs="Arial"/>
          <w:color w:val="0000FF"/>
          <w:sz w:val="24"/>
          <w:szCs w:val="24"/>
          <w:u w:val="single" w:color="0000FF"/>
        </w:rPr>
        <w:t>http://www.scienceadvice.ca/en/assessments/completed/nanotechnology.aspx</w:t>
      </w:r>
      <w:r>
        <w:rPr>
          <w:rFonts w:ascii="Arial" w:hAnsi="Arial" w:eastAsia="宋体" w:cs="Arial"/>
          <w:color w:val="0000FF"/>
          <w:sz w:val="24"/>
          <w:szCs w:val="24"/>
          <w:u w:val="single" w:color="0000FF"/>
        </w:rPr>
        <w:fldChar w:fldCharType="end"/>
      </w:r>
      <w:r>
        <w:rPr>
          <w:rFonts w:ascii="Arial" w:hAnsi="Arial" w:eastAsia="宋体" w:cs="Arial"/>
          <w:sz w:val="24"/>
          <w:szCs w:val="24"/>
        </w:rPr>
        <w:t>.</w:t>
      </w:r>
    </w:p>
    <w:p w14:paraId="53593ED3">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欧盟委员会纳米材料定义建议，2011年10月；网址：</w:t>
      </w:r>
      <w:r>
        <w:fldChar w:fldCharType="begin"/>
      </w:r>
      <w:r>
        <w:instrText xml:space="preserve"> HYPERLINK "http://ec.europa.eu/environment/chemicals/nanotech/pdf/commission_recommendation.pdf" \h </w:instrText>
      </w:r>
      <w:r>
        <w:fldChar w:fldCharType="separate"/>
      </w:r>
      <w:r>
        <w:rPr>
          <w:rFonts w:ascii="Arial" w:hAnsi="Arial" w:eastAsia="宋体" w:cs="Arial"/>
          <w:color w:val="0000FF"/>
          <w:sz w:val="24"/>
          <w:szCs w:val="24"/>
          <w:u w:val="single" w:color="0000FF"/>
        </w:rPr>
        <w:t>http://ec.europa.eu/environment/chemicals/nanotech/pdf/commission_recommendation.p</w:t>
      </w:r>
      <w:r>
        <w:rPr>
          <w:rFonts w:ascii="Arial" w:hAnsi="Arial" w:eastAsia="宋体" w:cs="Arial"/>
          <w:color w:val="0000FF"/>
          <w:sz w:val="24"/>
          <w:szCs w:val="24"/>
          <w:u w:val="single" w:color="0000FF"/>
        </w:rPr>
        <w:fldChar w:fldCharType="end"/>
      </w:r>
      <w:r>
        <w:fldChar w:fldCharType="begin"/>
      </w:r>
      <w:r>
        <w:instrText xml:space="preserve"> HYPERLINK "http://ec.europa.eu/environment/chemicals/nanotech/pdf/commission_recommendation.pdf" \h </w:instrText>
      </w:r>
      <w:r>
        <w:fldChar w:fldCharType="separate"/>
      </w:r>
      <w:r>
        <w:rPr>
          <w:rFonts w:ascii="Arial" w:hAnsi="Arial" w:eastAsia="宋体" w:cs="Arial"/>
          <w:color w:val="0000FF"/>
          <w:sz w:val="24"/>
          <w:szCs w:val="24"/>
          <w:u w:val="single" w:color="0000FF"/>
        </w:rPr>
        <w:t>df</w:t>
      </w:r>
      <w:r>
        <w:rPr>
          <w:rFonts w:ascii="Arial" w:hAnsi="Arial" w:eastAsia="宋体" w:cs="Arial"/>
          <w:color w:val="0000FF"/>
          <w:sz w:val="24"/>
          <w:szCs w:val="24"/>
          <w:u w:val="single" w:color="0000FF"/>
        </w:rPr>
        <w:fldChar w:fldCharType="end"/>
      </w:r>
    </w:p>
    <w:p w14:paraId="4D797D30">
      <w:pPr>
        <w:pStyle w:val="18"/>
        <w:numPr>
          <w:ilvl w:val="0"/>
          <w:numId w:val="3"/>
        </w:numPr>
        <w:tabs>
          <w:tab w:val="left" w:pos="784"/>
        </w:tabs>
        <w:overflowPunct w:val="0"/>
        <w:snapToGrid w:val="0"/>
        <w:spacing w:after="72" w:afterLines="30" w:line="300" w:lineRule="auto"/>
        <w:ind w:left="772" w:hanging="437"/>
        <w:jc w:val="left"/>
        <w:rPr>
          <w:rFonts w:ascii="Arial" w:hAnsi="Arial" w:cs="Arial"/>
          <w:sz w:val="24"/>
          <w:szCs w:val="24"/>
        </w:rPr>
      </w:pPr>
      <w:r>
        <w:rPr>
          <w:rFonts w:ascii="Arial" w:hAnsi="Arial" w:eastAsia="宋体" w:cs="Arial"/>
          <w:sz w:val="24"/>
          <w:szCs w:val="24"/>
        </w:rPr>
        <w:t>委员会与欧盟议会、理事会和欧洲经济和社会委员会的通信，第二次纳米材料监管审查，2012年10月；网址：</w:t>
      </w:r>
      <w:r>
        <w:fldChar w:fldCharType="begin"/>
      </w:r>
      <w:r>
        <w:instrText xml:space="preserve"> HYPERLINK "http://ec.europa.eu/nanotechnology/pdf/second_regulatory_review_on_nanomaterials_-_com(2012)_572.pdf" \h </w:instrText>
      </w:r>
      <w:r>
        <w:fldChar w:fldCharType="separate"/>
      </w:r>
      <w:r>
        <w:rPr>
          <w:rFonts w:ascii="Arial" w:hAnsi="Arial" w:cs="Arial"/>
          <w:color w:val="0000FF"/>
          <w:sz w:val="24"/>
          <w:szCs w:val="24"/>
          <w:u w:val="single" w:color="0000FF"/>
        </w:rPr>
        <w:t>http://ec.europa.eu/nanotechnology/pdf/second_regulatory_review_on_nanomaterials_-</w:t>
      </w:r>
      <w:r>
        <w:rPr>
          <w:rFonts w:ascii="Arial" w:hAnsi="Arial" w:cs="Arial"/>
          <w:color w:val="0000FF"/>
          <w:sz w:val="24"/>
          <w:szCs w:val="24"/>
          <w:u w:val="single" w:color="0000FF"/>
        </w:rPr>
        <w:fldChar w:fldCharType="end"/>
      </w:r>
      <w:r>
        <w:fldChar w:fldCharType="begin"/>
      </w:r>
      <w:r>
        <w:instrText xml:space="preserve"> HYPERLINK "http://ec.europa.eu/nanotechnology/pdf/second_regulatory_review_on_nanomaterials_-_com(2012)_572.pdf" \h </w:instrText>
      </w:r>
      <w:r>
        <w:fldChar w:fldCharType="separate"/>
      </w:r>
      <w:r>
        <w:rPr>
          <w:rFonts w:ascii="Arial" w:hAnsi="Arial" w:cs="Arial"/>
          <w:color w:val="0000FF"/>
          <w:sz w:val="24"/>
          <w:szCs w:val="24"/>
          <w:u w:val="single" w:color="0000FF"/>
        </w:rPr>
        <w:t>_com（2012）_572.pdf</w:t>
      </w:r>
      <w:r>
        <w:rPr>
          <w:rFonts w:ascii="Arial" w:hAnsi="Arial" w:cs="Arial"/>
          <w:color w:val="0000FF"/>
          <w:sz w:val="24"/>
          <w:szCs w:val="24"/>
          <w:u w:val="single" w:color="0000FF"/>
        </w:rPr>
        <w:fldChar w:fldCharType="end"/>
      </w:r>
    </w:p>
    <w:p w14:paraId="69DBA2C1">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加拿大卫生部纳米材料工作定义的政策声明，2011年；网址：</w:t>
      </w:r>
      <w:r>
        <w:fldChar w:fldCharType="begin"/>
      </w:r>
      <w:r>
        <w:instrText xml:space="preserve"> HYPERLINK "http://www.hc-sc.gc.ca/sr-sr/pubs/nano/pol-eng.php" \h </w:instrText>
      </w:r>
      <w:r>
        <w:fldChar w:fldCharType="separate"/>
      </w:r>
      <w:r>
        <w:rPr>
          <w:rFonts w:ascii="Arial" w:hAnsi="Arial" w:eastAsia="宋体" w:cs="Arial"/>
          <w:color w:val="0000FF"/>
          <w:sz w:val="24"/>
          <w:szCs w:val="24"/>
          <w:u w:val="single" w:color="0000FF"/>
        </w:rPr>
        <w:t>http://www.hc-sc.gc.ca/sr-sr/pubs/nano/pol-eng.php</w:t>
      </w:r>
      <w:r>
        <w:rPr>
          <w:rFonts w:ascii="Arial" w:hAnsi="Arial" w:eastAsia="宋体" w:cs="Arial"/>
          <w:color w:val="0000FF"/>
          <w:sz w:val="24"/>
          <w:szCs w:val="24"/>
          <w:u w:val="single" w:color="0000FF"/>
        </w:rPr>
        <w:fldChar w:fldCharType="end"/>
      </w:r>
    </w:p>
    <w:p w14:paraId="523266E5">
      <w:pPr>
        <w:rPr>
          <w:rFonts w:ascii="Arial" w:hAnsi="Arial" w:eastAsia="宋体" w:cs="Arial"/>
          <w:sz w:val="24"/>
        </w:rPr>
      </w:pPr>
      <w:r>
        <w:rPr>
          <w:rFonts w:ascii="Arial" w:hAnsi="Arial" w:eastAsia="宋体" w:cs="Arial"/>
          <w:sz w:val="24"/>
        </w:rPr>
        <w:br w:type="page"/>
      </w:r>
    </w:p>
    <w:p w14:paraId="09BA2E5F">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国际标准化组织/技术</w:t>
      </w:r>
      <w:r>
        <w:rPr>
          <w:rFonts w:hint="eastAsia" w:ascii="Arial" w:hAnsi="Arial" w:eastAsia="宋体" w:cs="Arial"/>
          <w:sz w:val="24"/>
          <w:szCs w:val="24"/>
        </w:rPr>
        <w:t>规范</w:t>
      </w:r>
      <w:r>
        <w:rPr>
          <w:rFonts w:ascii="Arial" w:hAnsi="Arial" w:eastAsia="宋体" w:cs="Arial"/>
          <w:sz w:val="24"/>
          <w:szCs w:val="24"/>
        </w:rPr>
        <w:t>，纳米技术 - 词汇 - 第1部分：核心术语，2010（ISO / TS 80004-1：2010）。</w:t>
      </w:r>
    </w:p>
    <w:p w14:paraId="5E8759CF">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澳大利亚国家工业化学品通报和评估计划行业纳米材料的工作定义，2010； 网址：</w:t>
      </w:r>
      <w:r>
        <w:fldChar w:fldCharType="begin"/>
      </w:r>
      <w:r>
        <w:instrText xml:space="preserve"> HYPERLINK "http://nanotech.lawbc.com/2010/10/articles/international/other/australia-announces-adjustments-to-nicnas-new-chemicals-processes-for-industrial-nanomaterials/" \h </w:instrText>
      </w:r>
      <w:r>
        <w:fldChar w:fldCharType="separate"/>
      </w:r>
      <w:r>
        <w:rPr>
          <w:rFonts w:ascii="Arial" w:hAnsi="Arial" w:eastAsia="宋体" w:cs="Arial"/>
          <w:color w:val="0000FF"/>
          <w:sz w:val="24"/>
          <w:szCs w:val="24"/>
          <w:u w:val="single" w:color="0000FF"/>
        </w:rPr>
        <w:t>http://nanotech.lawbc.com/2010/10/articles/international/other/australia-announces-</w:t>
      </w:r>
      <w:r>
        <w:rPr>
          <w:rFonts w:ascii="Arial" w:hAnsi="Arial" w:eastAsia="宋体" w:cs="Arial"/>
          <w:color w:val="0000FF"/>
          <w:sz w:val="24"/>
          <w:szCs w:val="24"/>
          <w:u w:val="single" w:color="0000FF"/>
        </w:rPr>
        <w:fldChar w:fldCharType="end"/>
      </w:r>
      <w:r>
        <w:rPr>
          <w:rFonts w:ascii="Arial" w:hAnsi="Arial" w:eastAsia="宋体" w:cs="Arial"/>
          <w:color w:val="0000FF"/>
          <w:sz w:val="24"/>
          <w:szCs w:val="24"/>
        </w:rPr>
        <w:t xml:space="preserve"> </w:t>
      </w:r>
      <w:r>
        <w:fldChar w:fldCharType="begin"/>
      </w:r>
      <w:r>
        <w:instrText xml:space="preserve"> HYPERLINK "http://nanotech.lawbc.com/2010/10/articles/international/other/australia-announces-adjustments-to-nicnas-new-chemicals-processes-for-industrial-nanomaterials/" \h </w:instrText>
      </w:r>
      <w:r>
        <w:fldChar w:fldCharType="separate"/>
      </w:r>
      <w:r>
        <w:rPr>
          <w:rFonts w:ascii="Arial" w:hAnsi="Arial" w:eastAsia="宋体" w:cs="Arial"/>
          <w:color w:val="0000FF"/>
          <w:sz w:val="24"/>
          <w:szCs w:val="24"/>
          <w:u w:val="single" w:color="0000FF"/>
        </w:rPr>
        <w:t>adjustments-to-nicnas-new-chemicals-processes-for-industrial-nanomaterials/</w:t>
      </w:r>
      <w:r>
        <w:rPr>
          <w:rFonts w:ascii="Arial" w:hAnsi="Arial" w:eastAsia="宋体" w:cs="Arial"/>
          <w:color w:val="0000FF"/>
          <w:sz w:val="24"/>
          <w:szCs w:val="24"/>
          <w:u w:val="single" w:color="0000FF"/>
        </w:rPr>
        <w:fldChar w:fldCharType="end"/>
      </w:r>
    </w:p>
    <w:p w14:paraId="760287FB">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Arial" w:hAnsi="Arial" w:eastAsia="宋体" w:cs="Arial"/>
          <w:sz w:val="24"/>
          <w:szCs w:val="24"/>
        </w:rPr>
        <w:t>为方便监管定义纳米材料的考虑因素，联合研究中心，2010年：网址：</w:t>
      </w:r>
      <w:r>
        <w:fldChar w:fldCharType="begin"/>
      </w:r>
      <w:r>
        <w:instrText xml:space="preserve"> HYPERLINK "http://ec.europa.eu/dgs/jrc/downloads/jrc_reference_report_201007_nanomaterials.pdf" \h </w:instrText>
      </w:r>
      <w:r>
        <w:fldChar w:fldCharType="separate"/>
      </w:r>
      <w:r>
        <w:rPr>
          <w:rFonts w:ascii="Arial" w:hAnsi="Arial" w:eastAsia="宋体" w:cs="Arial"/>
          <w:color w:val="0000FF"/>
          <w:sz w:val="24"/>
          <w:szCs w:val="24"/>
          <w:u w:val="single" w:color="0000FF"/>
        </w:rPr>
        <w:t>http://ec.europa.eu/dgs/jrc/downloads/jrc_reference_report_201007_nanomaterials.pdf</w:t>
      </w:r>
      <w:r>
        <w:rPr>
          <w:rFonts w:ascii="Arial" w:hAnsi="Arial" w:eastAsia="宋体" w:cs="Arial"/>
          <w:color w:val="0000FF"/>
          <w:sz w:val="24"/>
          <w:szCs w:val="24"/>
          <w:u w:val="single" w:color="0000FF"/>
        </w:rPr>
        <w:fldChar w:fldCharType="end"/>
      </w:r>
    </w:p>
    <w:p w14:paraId="1234B936">
      <w:pPr>
        <w:pStyle w:val="18"/>
        <w:numPr>
          <w:ilvl w:val="0"/>
          <w:numId w:val="3"/>
        </w:numPr>
        <w:tabs>
          <w:tab w:val="left" w:pos="784"/>
        </w:tabs>
        <w:overflowPunct w:val="0"/>
        <w:snapToGrid w:val="0"/>
        <w:spacing w:after="72" w:afterLines="30" w:line="300" w:lineRule="auto"/>
        <w:ind w:left="772" w:hanging="437"/>
        <w:jc w:val="left"/>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纳米材料</w:t>
      </w:r>
      <w:r>
        <w:rPr>
          <w:rFonts w:ascii="宋体" w:hAnsi="宋体" w:eastAsia="宋体" w:cs="Arial"/>
          <w:sz w:val="24"/>
          <w:szCs w:val="24"/>
        </w:rPr>
        <w:t>”</w:t>
      </w:r>
      <w:r>
        <w:rPr>
          <w:rFonts w:ascii="Arial" w:hAnsi="Arial" w:eastAsia="宋体" w:cs="Arial"/>
          <w:sz w:val="24"/>
          <w:szCs w:val="24"/>
        </w:rPr>
        <w:t>定义的科学依据，新型和最近确定的健康风险科学委员会，2010年； 网址：</w:t>
      </w:r>
      <w:r>
        <w:fldChar w:fldCharType="begin"/>
      </w:r>
      <w:r>
        <w:instrText xml:space="preserve"> HYPERLINK "http://ec.europa.eu/health/scientific_committees/emerging/docs/scenihr_o_030.pdf" \h </w:instrText>
      </w:r>
      <w:r>
        <w:fldChar w:fldCharType="separate"/>
      </w:r>
      <w:r>
        <w:rPr>
          <w:rFonts w:ascii="Arial" w:hAnsi="Arial" w:eastAsia="宋体" w:cs="Arial"/>
          <w:color w:val="0000FF"/>
          <w:sz w:val="24"/>
          <w:szCs w:val="24"/>
          <w:u w:val="single" w:color="0000FF"/>
        </w:rPr>
        <w:t>http://ec.europa.eu/health/scientific_committees/emerging/docs/scenihr_o_030.pdf</w:t>
      </w:r>
      <w:r>
        <w:rPr>
          <w:rFonts w:ascii="Arial" w:hAnsi="Arial" w:eastAsia="宋体" w:cs="Arial"/>
          <w:color w:val="0000FF"/>
          <w:sz w:val="24"/>
          <w:szCs w:val="24"/>
          <w:u w:val="single" w:color="0000FF"/>
        </w:rPr>
        <w:fldChar w:fldCharType="end"/>
      </w:r>
    </w:p>
    <w:p w14:paraId="1BFBFF07">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Nel AE，Madler L，Velegol D等人。了解纳米生物界面的生物物理化学相互作用。自然材料 8：543-557，2009。</w:t>
      </w:r>
    </w:p>
    <w:p w14:paraId="4B6FEBE1">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lang w:val="de-DE"/>
        </w:rPr>
        <w:t>Khushf G</w:t>
      </w:r>
      <w:r>
        <w:rPr>
          <w:rFonts w:ascii="Arial" w:hAnsi="Arial" w:eastAsia="宋体" w:cs="Arial"/>
          <w:sz w:val="24"/>
          <w:szCs w:val="24"/>
        </w:rPr>
        <w:t>和</w:t>
      </w:r>
      <w:r>
        <w:rPr>
          <w:rFonts w:ascii="Arial" w:hAnsi="Arial" w:eastAsia="宋体" w:cs="Arial"/>
          <w:sz w:val="24"/>
          <w:szCs w:val="24"/>
          <w:lang w:val="de-DE"/>
        </w:rPr>
        <w:t>Siegel RA</w:t>
      </w:r>
      <w:r>
        <w:rPr>
          <w:rFonts w:ascii="Arial" w:hAnsi="Arial" w:eastAsia="宋体" w:cs="Arial"/>
          <w:sz w:val="24"/>
          <w:szCs w:val="24"/>
        </w:rPr>
        <w:t>。纳米医学有何独特之处？</w:t>
      </w:r>
      <w:r>
        <w:rPr>
          <w:rFonts w:hint="eastAsia" w:ascii="Arial" w:hAnsi="Arial" w:eastAsia="宋体" w:cs="Arial"/>
          <w:sz w:val="24"/>
          <w:szCs w:val="24"/>
        </w:rPr>
        <w:t>中等规模</w:t>
      </w:r>
      <w:r>
        <w:rPr>
          <w:rFonts w:ascii="Arial" w:hAnsi="Arial" w:eastAsia="宋体" w:cs="Arial"/>
          <w:sz w:val="24"/>
          <w:szCs w:val="24"/>
        </w:rPr>
        <w:t>的意义。法律、医学与伦理学杂志40（4）780-794，2012。</w:t>
      </w:r>
    </w:p>
    <w:p w14:paraId="39785737">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Mauer-Jones MA和Haynes CL。有关体内和体外纳米毒理学研究的相关性。法律、医学与伦理学杂志40（4）795-801，2012。</w:t>
      </w:r>
    </w:p>
    <w:p w14:paraId="497A3DF4">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Etheridge ML，Campbell SA，Erdman AG等人。纳米医学概述：研究和核准纳米医学产品的现状。纳米医学：纳米技术、生物学和医学9：1-14，2013。</w:t>
      </w:r>
    </w:p>
    <w:p w14:paraId="7D3DB7E9">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Almeida JPM，Chen AL，Foster A和Drezek R。纳米粒子的体内生物分布。纳米医学 6（5）：815-835，2011。</w:t>
      </w:r>
    </w:p>
    <w:p w14:paraId="1BAA2016">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Sonavane G，Tomoda K和Makino K。静脉内给药后胶体金纳米粒子的生物分布：粒子尺寸的影响。胶体和表面B：生物界面66：274-280，2008。</w:t>
      </w:r>
    </w:p>
    <w:p w14:paraId="67F28671">
      <w:pPr>
        <w:pStyle w:val="18"/>
        <w:numPr>
          <w:ilvl w:val="0"/>
          <w:numId w:val="3"/>
        </w:numPr>
        <w:tabs>
          <w:tab w:val="left" w:pos="784"/>
        </w:tabs>
        <w:overflowPunct w:val="0"/>
        <w:snapToGrid w:val="0"/>
        <w:spacing w:after="72" w:afterLines="30" w:line="300" w:lineRule="auto"/>
        <w:ind w:left="772" w:hanging="437"/>
        <w:jc w:val="both"/>
        <w:rPr>
          <w:rFonts w:ascii="Arial" w:hAnsi="Arial" w:eastAsia="宋体" w:cs="Arial"/>
          <w:sz w:val="24"/>
          <w:szCs w:val="24"/>
        </w:rPr>
      </w:pPr>
      <w:r>
        <w:rPr>
          <w:rFonts w:ascii="Arial" w:hAnsi="Arial" w:eastAsia="宋体" w:cs="Arial"/>
          <w:sz w:val="24"/>
          <w:szCs w:val="24"/>
        </w:rPr>
        <w:t>Liu Z，Chen K，Davis C等人。用碳纳米管输送药物以用于体内癌症治疗。癌症研究68（16）：6652-6660，2008。</w:t>
      </w:r>
    </w:p>
    <w:p w14:paraId="02470D8A">
      <w:pPr>
        <w:overflowPunct w:val="0"/>
        <w:rPr>
          <w:rFonts w:ascii="Arial" w:hAnsi="Arial" w:eastAsia="宋体" w:cs="Arial"/>
          <w:sz w:val="24"/>
          <w:szCs w:val="24"/>
        </w:rPr>
      </w:pPr>
      <w:r>
        <w:rPr>
          <w:rFonts w:ascii="Arial" w:hAnsi="Arial" w:eastAsia="宋体" w:cs="Arial"/>
          <w:sz w:val="24"/>
          <w:szCs w:val="24"/>
        </w:rPr>
        <w:br w:type="page"/>
      </w:r>
    </w:p>
    <w:p w14:paraId="1B372452">
      <w:pPr>
        <w:pStyle w:val="18"/>
        <w:numPr>
          <w:ilvl w:val="0"/>
          <w:numId w:val="3"/>
        </w:numPr>
        <w:tabs>
          <w:tab w:val="left" w:pos="784"/>
        </w:tabs>
        <w:overflowPunct w:val="0"/>
        <w:snapToGrid w:val="0"/>
        <w:spacing w:after="72" w:afterLines="30" w:line="300" w:lineRule="auto"/>
        <w:ind w:left="772" w:hanging="437"/>
        <w:jc w:val="left"/>
        <w:rPr>
          <w:rFonts w:ascii="Arial" w:hAnsi="Arial" w:cs="Arial"/>
        </w:rPr>
      </w:pPr>
      <w:r>
        <w:rPr>
          <w:rFonts w:ascii="Arial" w:hAnsi="Arial" w:eastAsia="宋体" w:cs="Arial"/>
          <w:sz w:val="24"/>
        </w:rPr>
        <w:t>欧盟委员会工作人员工作文件，纳米材料的类型和用途（包括安全性），2012年10月；网址：</w:t>
      </w:r>
      <w:r>
        <w:fldChar w:fldCharType="begin"/>
      </w:r>
      <w:r>
        <w:instrText xml:space="preserve"> HYPERLINK "http://ec.europa.eu/nanotechnology/pdf/second_regulatory_review_on_nanomaterials_-_staff_working_paper_accompanying_com(2012)_572.pdf" \h </w:instrText>
      </w:r>
      <w:r>
        <w:fldChar w:fldCharType="separate"/>
      </w:r>
      <w:r>
        <w:rPr>
          <w:rFonts w:ascii="Arial" w:hAnsi="Arial" w:eastAsia="宋体" w:cs="Arial"/>
          <w:color w:val="0000FF"/>
          <w:sz w:val="24"/>
          <w:u w:val="single" w:color="0000FF"/>
        </w:rPr>
        <w:t>http://ec.europa.eu/nanotechnology/pdf/second_regulatory_review_on_nanomaterials_-</w:t>
      </w:r>
      <w:r>
        <w:rPr>
          <w:rFonts w:ascii="Arial" w:hAnsi="Arial" w:eastAsia="宋体" w:cs="Arial"/>
          <w:color w:val="0000FF"/>
          <w:sz w:val="24"/>
          <w:u w:val="single" w:color="0000FF"/>
        </w:rPr>
        <w:fldChar w:fldCharType="end"/>
      </w:r>
      <w:r>
        <w:fldChar w:fldCharType="begin"/>
      </w:r>
      <w:r>
        <w:instrText xml:space="preserve"> HYPERLINK "http://ec.europa.eu/nanotechnology/pdf/second_regulatory_review_on_nanomaterials_-_staff_working_paper_accompanying_com(2012)_572.pdf" \h </w:instrText>
      </w:r>
      <w:r>
        <w:fldChar w:fldCharType="separate"/>
      </w:r>
      <w:r>
        <w:rPr>
          <w:rFonts w:ascii="Arial" w:hAnsi="Arial" w:cs="Arial"/>
          <w:color w:val="0000FF"/>
          <w:u w:val="single" w:color="0000FF"/>
        </w:rPr>
        <w:t>_staff_working_paper_accompanying_com（2012）_572.pdf</w:t>
      </w:r>
      <w:r>
        <w:rPr>
          <w:rFonts w:ascii="Arial" w:hAnsi="Arial" w:cs="Arial"/>
          <w:color w:val="0000FF"/>
          <w:u w:val="single" w:color="0000FF"/>
        </w:rPr>
        <w:fldChar w:fldCharType="end"/>
      </w:r>
    </w:p>
    <w:p w14:paraId="181E6A2B">
      <w:pPr>
        <w:pBdr>
          <w:top w:val="single" w:color="auto" w:sz="24" w:space="1"/>
        </w:pBdr>
        <w:snapToGrid w:val="0"/>
        <w:spacing w:line="300" w:lineRule="auto"/>
        <w:jc w:val="center"/>
        <w:rPr>
          <w:rFonts w:hint="eastAsia" w:eastAsia="宋体"/>
          <w:lang w:eastAsia="zh-CN"/>
        </w:rPr>
      </w:pPr>
    </w:p>
    <w:p w14:paraId="7D125A93">
      <w:pPr>
        <w:pBdr>
          <w:top w:val="single" w:color="auto" w:sz="24" w:space="1"/>
        </w:pBdr>
        <w:snapToGrid w:val="0"/>
        <w:spacing w:line="300" w:lineRule="auto"/>
        <w:jc w:val="center"/>
        <w:rPr>
          <w:rFonts w:hint="eastAsia" w:eastAsia="宋体"/>
          <w:lang w:eastAsia="zh-CN"/>
        </w:rPr>
      </w:pPr>
    </w:p>
    <w:p w14:paraId="78B3280D">
      <w:pPr>
        <w:pBdr>
          <w:top w:val="single" w:color="auto" w:sz="24" w:space="1"/>
        </w:pBd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first"/>
      <w:headerReference r:id="rId6" w:type="default"/>
      <w:footerReference r:id="rId8" w:type="default"/>
      <w:pgSz w:w="12240" w:h="15840"/>
      <w:pgMar w:top="1134" w:right="1134" w:bottom="1134" w:left="1134" w:header="748" w:footer="85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691409484"/>
      <w:docPartObj>
        <w:docPartGallery w:val="AutoText"/>
      </w:docPartObj>
    </w:sdtPr>
    <w:sdtEndPr>
      <w:rPr>
        <w:rFonts w:ascii="Arial" w:hAnsi="Arial" w:cs="Arial"/>
        <w:sz w:val="21"/>
        <w:szCs w:val="21"/>
      </w:rPr>
    </w:sdtEndPr>
    <w:sdtContent>
      <w:p w14:paraId="4D0FB15A">
        <w:pPr>
          <w:pStyle w:val="7"/>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w:t>
        </w:r>
        <w:r>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572820338"/>
      <w:docPartObj>
        <w:docPartGallery w:val="AutoText"/>
      </w:docPartObj>
    </w:sdtPr>
    <w:sdtEndPr>
      <w:rPr>
        <w:rFonts w:ascii="Arial" w:hAnsi="Arial" w:cs="Arial"/>
        <w:sz w:val="21"/>
        <w:szCs w:val="21"/>
      </w:rPr>
    </w:sdtEndPr>
    <w:sdtContent>
      <w:p w14:paraId="51E15E76">
        <w:pPr>
          <w:pStyle w:val="7"/>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0197ACE2">
      <w:pPr>
        <w:pStyle w:val="10"/>
        <w:spacing w:line="276" w:lineRule="auto"/>
        <w:jc w:val="both"/>
        <w:rPr>
          <w:rFonts w:ascii="Arial" w:hAnsi="Arial" w:eastAsia="宋体" w:cs="Arial"/>
        </w:rPr>
      </w:pPr>
      <w:r>
        <w:rPr>
          <w:rStyle w:val="16"/>
          <w:rFonts w:ascii="Arial" w:hAnsi="Arial" w:eastAsia="宋体" w:cs="Arial"/>
        </w:rPr>
        <w:footnoteRef/>
      </w:r>
      <w:r>
        <w:rPr>
          <w:rFonts w:ascii="Arial" w:hAnsi="Arial" w:eastAsia="宋体" w:cs="Arial"/>
        </w:rPr>
        <w:t xml:space="preserve"> 本指南最终确定了指南草案</w:t>
      </w:r>
      <w:r>
        <w:rPr>
          <w:rFonts w:ascii="宋体" w:hAnsi="宋体" w:eastAsia="宋体" w:cs="Arial"/>
        </w:rPr>
        <w:t>“</w:t>
      </w:r>
      <w:r>
        <w:rPr>
          <w:rFonts w:ascii="Arial" w:hAnsi="Arial" w:eastAsia="宋体" w:cs="Arial"/>
        </w:rPr>
        <w:t>行业指南草案：FDA监管产品是否涉及纳米技术应用的考虑</w:t>
      </w:r>
      <w:r>
        <w:rPr>
          <w:rFonts w:ascii="宋体" w:hAnsi="宋体" w:eastAsia="宋体" w:cs="Arial"/>
        </w:rPr>
        <w:t>”</w:t>
      </w:r>
      <w:r>
        <w:rPr>
          <w:rFonts w:ascii="Arial" w:hAnsi="Arial" w:eastAsia="宋体" w:cs="Arial"/>
        </w:rPr>
        <w:t>（于2011年6月发布）。本指南由FDA专员办公室，政策办公室在咨询FDA生物制剂评价和研究中心，药物评价和研究中心，器械和放射</w:t>
      </w:r>
      <w:r>
        <w:rPr>
          <w:rFonts w:hint="eastAsia" w:ascii="Arial" w:hAnsi="Arial" w:eastAsia="宋体" w:cs="Arial"/>
        </w:rPr>
        <w:t>卫生</w:t>
      </w:r>
      <w:r>
        <w:rPr>
          <w:rFonts w:ascii="Arial" w:hAnsi="Arial" w:eastAsia="宋体" w:cs="Arial"/>
        </w:rPr>
        <w:t>中心，食品安全和应用营养中心，烟草制品中心，兽医医学中心，国家毒理学研究中心，首席科学家办公室，食品和兽医医学办公室，监管事务办公室，特殊医学项目办公室和纳米技术工作小组后编制。</w:t>
      </w:r>
    </w:p>
  </w:footnote>
  <w:footnote w:id="1">
    <w:p w14:paraId="0B376A6B">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纳米技术也可用于</w:t>
      </w:r>
      <w:r>
        <w:rPr>
          <w:rFonts w:hint="eastAsia" w:ascii="Arial" w:hAnsi="Arial" w:eastAsia="宋体" w:cs="Arial"/>
        </w:rPr>
        <w:t>组合</w:t>
      </w:r>
      <w:r>
        <w:rPr>
          <w:rFonts w:ascii="Arial" w:hAnsi="Arial" w:eastAsia="宋体" w:cs="Arial"/>
        </w:rPr>
        <w:t>产品（如21 CFR 3.2（e）中所定义）。</w:t>
      </w:r>
    </w:p>
  </w:footnote>
  <w:footnote w:id="2">
    <w:p w14:paraId="417ECE82">
      <w:pPr>
        <w:snapToGrid w:val="0"/>
        <w:spacing w:before="71" w:line="276" w:lineRule="auto"/>
        <w:ind w:hanging="1"/>
        <w:jc w:val="both"/>
        <w:rPr>
          <w:rFonts w:ascii="Arial" w:hAnsi="Arial" w:eastAsia="宋体" w:cs="Arial"/>
          <w:sz w:val="18"/>
          <w:szCs w:val="18"/>
        </w:rPr>
      </w:pPr>
      <w:r>
        <w:rPr>
          <w:rStyle w:val="16"/>
          <w:rFonts w:ascii="Arial" w:hAnsi="Arial" w:eastAsia="宋体" w:cs="Arial"/>
          <w:sz w:val="18"/>
          <w:szCs w:val="18"/>
        </w:rPr>
        <w:footnoteRef/>
      </w:r>
      <w:r>
        <w:rPr>
          <w:rFonts w:ascii="Arial" w:hAnsi="Arial" w:eastAsia="宋体" w:cs="Arial"/>
          <w:sz w:val="18"/>
          <w:szCs w:val="18"/>
        </w:rPr>
        <w:t xml:space="preserve"> 请注意，纳米技术应用也可能影响产品分类。例如，医疗产品中使用的纳米材料可以通过不同的作用方式</w:t>
      </w:r>
      <w:r>
        <w:rPr>
          <w:rFonts w:hint="eastAsia" w:ascii="Arial" w:hAnsi="Arial" w:eastAsia="宋体" w:cs="Arial"/>
          <w:sz w:val="18"/>
          <w:szCs w:val="18"/>
        </w:rPr>
        <w:t>而不是</w:t>
      </w:r>
      <w:r>
        <w:rPr>
          <w:rFonts w:ascii="Arial" w:hAnsi="Arial" w:eastAsia="宋体" w:cs="Arial"/>
          <w:sz w:val="18"/>
          <w:szCs w:val="18"/>
        </w:rPr>
        <w:t>具有相同化学成分的大</w:t>
      </w:r>
      <w:r>
        <w:rPr>
          <w:rFonts w:hint="eastAsia" w:ascii="Arial" w:hAnsi="Arial" w:eastAsia="宋体" w:cs="Arial"/>
          <w:sz w:val="18"/>
          <w:szCs w:val="18"/>
        </w:rPr>
        <w:t>规模</w:t>
      </w:r>
      <w:r>
        <w:rPr>
          <w:rFonts w:ascii="Arial" w:hAnsi="Arial" w:eastAsia="宋体" w:cs="Arial"/>
          <w:sz w:val="18"/>
          <w:szCs w:val="18"/>
        </w:rPr>
        <w:t>材料起作用</w:t>
      </w:r>
      <w:r>
        <w:rPr>
          <w:rFonts w:hint="eastAsia" w:ascii="Arial" w:hAnsi="Arial" w:eastAsia="宋体" w:cs="Arial"/>
          <w:sz w:val="18"/>
          <w:szCs w:val="18"/>
        </w:rPr>
        <w:t>，</w:t>
      </w:r>
      <w:r>
        <w:rPr>
          <w:rFonts w:ascii="Arial" w:hAnsi="Arial" w:eastAsia="宋体" w:cs="Arial"/>
          <w:sz w:val="18"/>
          <w:szCs w:val="18"/>
        </w:rPr>
        <w:t>从而可能影响产品分类，例如作药物或器械。</w:t>
      </w:r>
      <w:bookmarkStart w:id="21" w:name="_bookmark3"/>
      <w:bookmarkEnd w:id="21"/>
    </w:p>
  </w:footnote>
  <w:footnote w:id="3">
    <w:p w14:paraId="51479CC7">
      <w:pPr>
        <w:snapToGrid w:val="0"/>
        <w:spacing w:before="4" w:line="276" w:lineRule="auto"/>
        <w:jc w:val="both"/>
        <w:rPr>
          <w:rFonts w:ascii="Arial" w:hAnsi="Arial" w:eastAsia="宋体" w:cs="Arial"/>
          <w:sz w:val="18"/>
          <w:szCs w:val="18"/>
        </w:rPr>
      </w:pPr>
      <w:r>
        <w:rPr>
          <w:rStyle w:val="16"/>
          <w:rFonts w:ascii="Arial" w:hAnsi="Arial" w:eastAsia="宋体" w:cs="Arial"/>
          <w:sz w:val="18"/>
          <w:szCs w:val="18"/>
        </w:rPr>
        <w:footnoteRef/>
      </w:r>
      <w:r>
        <w:rPr>
          <w:rFonts w:ascii="Arial" w:hAnsi="Arial" w:eastAsia="宋体" w:cs="Arial"/>
          <w:sz w:val="18"/>
          <w:szCs w:val="18"/>
        </w:rPr>
        <w:t xml:space="preserve"> 与纳米技术有关的FDA指导性文件（包括专注于纳米技术在具体产品领域中应用的产品指导性文件）可在以下网址找到：</w:t>
      </w:r>
    </w:p>
    <w:p w14:paraId="142242C6">
      <w:pPr>
        <w:pStyle w:val="10"/>
        <w:spacing w:line="276" w:lineRule="auto"/>
        <w:rPr>
          <w:rFonts w:ascii="Arial" w:hAnsi="Arial" w:eastAsia="宋体" w:cs="Arial"/>
        </w:rPr>
      </w:pPr>
      <w:r>
        <w:fldChar w:fldCharType="begin"/>
      </w:r>
      <w:r>
        <w:instrText xml:space="preserve"> HYPERLINK "http://www.fda.gov/ScienceResearch/SpecialTopics/Nanotechnology/default.htm" \h </w:instrText>
      </w:r>
      <w:r>
        <w:fldChar w:fldCharType="separate"/>
      </w:r>
      <w:r>
        <w:rPr>
          <w:rFonts w:ascii="Arial" w:hAnsi="Arial" w:eastAsia="宋体" w:cs="Arial"/>
          <w:color w:val="0000FF"/>
          <w:u w:val="single" w:color="0000FF"/>
        </w:rPr>
        <w:t>http://www.fda.gov/ScienceResearch/SpecialTopics/Nanotechnology/default.htm</w:t>
      </w:r>
      <w:r>
        <w:rPr>
          <w:rFonts w:ascii="Arial" w:hAnsi="Arial" w:eastAsia="宋体" w:cs="Arial"/>
          <w:color w:val="0000FF"/>
          <w:u w:val="single" w:color="0000FF"/>
        </w:rPr>
        <w:fldChar w:fldCharType="end"/>
      </w:r>
    </w:p>
  </w:footnote>
  <w:footnote w:id="4">
    <w:p w14:paraId="01664420">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目前，本机构尚未拥有足够依据来确定广泛适用于FDA监管产品的粒子数量阈值或</w:t>
      </w:r>
      <w:r>
        <w:rPr>
          <w:rFonts w:ascii="宋体" w:hAnsi="宋体" w:eastAsia="宋体" w:cs="Arial"/>
        </w:rPr>
        <w:t>“</w:t>
      </w:r>
      <w:r>
        <w:rPr>
          <w:rFonts w:ascii="Arial" w:hAnsi="Arial" w:eastAsia="宋体" w:cs="Arial"/>
        </w:rPr>
        <w:t>特殊</w:t>
      </w:r>
      <w:r>
        <w:rPr>
          <w:rFonts w:ascii="宋体" w:hAnsi="宋体" w:eastAsia="宋体" w:cs="Arial"/>
        </w:rPr>
        <w:t>”</w:t>
      </w:r>
      <w:r>
        <w:rPr>
          <w:rFonts w:ascii="Arial" w:hAnsi="Arial" w:eastAsia="宋体" w:cs="Arial"/>
        </w:rPr>
        <w:t>或</w:t>
      </w:r>
      <w:r>
        <w:rPr>
          <w:rFonts w:ascii="宋体" w:hAnsi="宋体" w:eastAsia="宋体" w:cs="Arial"/>
        </w:rPr>
        <w:t>“</w:t>
      </w:r>
      <w:r>
        <w:rPr>
          <w:rFonts w:ascii="Arial" w:hAnsi="Arial" w:eastAsia="宋体" w:cs="Arial"/>
        </w:rPr>
        <w:t>新型</w:t>
      </w:r>
      <w:r>
        <w:rPr>
          <w:rFonts w:ascii="宋体" w:hAnsi="宋体" w:eastAsia="宋体" w:cs="Arial"/>
        </w:rPr>
        <w:t>”</w:t>
      </w:r>
      <w:r>
        <w:rPr>
          <w:rFonts w:ascii="Arial" w:hAnsi="Arial" w:eastAsia="宋体" w:cs="Arial"/>
        </w:rPr>
        <w:t>性质列表。此外，测量方法和生物效应产生的挑战进一步增加了推荐使用粒子数量、重量或表面积作为最适用测量单位的复杂性。FDA拟积极关注这一问题的科学进展，并提供附加指导（如果适用）。</w:t>
      </w:r>
    </w:p>
  </w:footnote>
  <w:footnote w:id="5">
    <w:p w14:paraId="70877EBA">
      <w:pPr>
        <w:overflowPunct w:val="0"/>
        <w:snapToGrid w:val="0"/>
        <w:spacing w:line="276" w:lineRule="auto"/>
        <w:jc w:val="both"/>
        <w:rPr>
          <w:rFonts w:ascii="Arial" w:hAnsi="Arial" w:eastAsia="宋体" w:cs="Arial"/>
          <w:sz w:val="18"/>
          <w:szCs w:val="18"/>
        </w:rPr>
      </w:pPr>
      <w:r>
        <w:rPr>
          <w:rStyle w:val="16"/>
          <w:rFonts w:ascii="Arial" w:hAnsi="Arial" w:eastAsia="宋体" w:cs="Arial"/>
          <w:sz w:val="18"/>
          <w:szCs w:val="18"/>
        </w:rPr>
        <w:footnoteRef/>
      </w:r>
      <w:r>
        <w:rPr>
          <w:rFonts w:ascii="Arial" w:hAnsi="Arial" w:eastAsia="宋体" w:cs="Arial"/>
          <w:sz w:val="18"/>
          <w:szCs w:val="18"/>
        </w:rPr>
        <w:t xml:space="preserve"> 如下文第II.B.5节所述，使用1000nm作为参考点不得视为尺寸在1000nm以上的材料或产品不能表现出可影响材料或产品的安全性、有效性、公共卫生影响或监管状态的尺寸依赖性性质或现象。有关这一问题的其他讨论，请参见下文第II.B.5节。</w:t>
      </w:r>
    </w:p>
  </w:footnote>
  <w:footnote w:id="6">
    <w:p w14:paraId="226853FB">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如果产品先前已由FDA审查或批准，且如果未对制造工艺进行可能改变产品或其组成部分的尺寸、性能或效应的更改，则这些点不适用。</w:t>
      </w:r>
    </w:p>
  </w:footnote>
  <w:footnote w:id="7">
    <w:p w14:paraId="248A5DA9">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例如，据报道，在使用常规食品制造实践制造的食品中存在少量纳米尺度粒子（参考文件12）。</w:t>
      </w:r>
    </w:p>
  </w:footnote>
  <w:footnote w:id="8">
    <w:p w14:paraId="500CE36B">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但是，评价常规制造产品时可能需考虑纳米尺度粒子的偶然存在对产品安全性、有效性或公共卫生的影响（如果有）。</w:t>
      </w:r>
    </w:p>
  </w:footnote>
  <w:footnote w:id="9">
    <w:p w14:paraId="50DA4EC9">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例如，国家纳米技术倡议（参考文件11）发表的定义、工作定义或描述中使用了约1nm至100nm的尺寸范围；环境保护署（</w:t>
      </w:r>
      <w:r>
        <w:fldChar w:fldCharType="begin"/>
      </w:r>
      <w:r>
        <w:instrText xml:space="preserve"> HYPERLINK "http://www.epa.gov/pesticides/regulating/nanotechnology.html" \h </w:instrText>
      </w:r>
      <w:r>
        <w:fldChar w:fldCharType="separate"/>
      </w:r>
      <w:r>
        <w:rPr>
          <w:rFonts w:ascii="Arial" w:hAnsi="Arial" w:eastAsia="宋体" w:cs="Arial"/>
          <w:color w:val="0000FF"/>
          <w:u w:val="single" w:color="0000FF"/>
        </w:rPr>
        <w:t>http://www.epa.gov/pesticides/regulating/nanotechnology.html</w:t>
      </w:r>
      <w:r>
        <w:rPr>
          <w:rFonts w:ascii="Arial" w:hAnsi="Arial" w:eastAsia="宋体" w:cs="Arial"/>
          <w:color w:val="0000FF"/>
          <w:u w:val="single" w:color="0000FF"/>
        </w:rPr>
        <w:fldChar w:fldCharType="end"/>
      </w:r>
      <w:r>
        <w:rPr>
          <w:rFonts w:ascii="Arial" w:hAnsi="Arial" w:eastAsia="宋体" w:cs="Arial"/>
        </w:rPr>
        <w:t>）；欧盟委员会（参考文件17）；加拿大卫生部（参考文件19）；国际标准组织（参考文件20）；经济合作与发展组织纳米技术工作小组和制造纳米材料工作小组（</w:t>
      </w:r>
      <w:r>
        <w:fldChar w:fldCharType="begin"/>
      </w:r>
      <w:r>
        <w:instrText xml:space="preserve"> HYPERLINK "http://www.oecd.org/sti/nano/" \h </w:instrText>
      </w:r>
      <w:r>
        <w:fldChar w:fldCharType="separate"/>
      </w:r>
      <w:r>
        <w:rPr>
          <w:rFonts w:ascii="Arial" w:hAnsi="Arial" w:eastAsia="宋体" w:cs="Arial"/>
          <w:color w:val="0000FF"/>
          <w:u w:val="single" w:color="0000FF"/>
        </w:rPr>
        <w:t>http://www.oecd.org/sti/nano/</w:t>
      </w:r>
      <w:r>
        <w:rPr>
          <w:rFonts w:ascii="Arial" w:hAnsi="Arial" w:eastAsia="宋体" w:cs="Arial"/>
          <w:color w:val="0000FF"/>
          <w:u w:val="single" w:color="0000FF"/>
        </w:rPr>
        <w:fldChar w:fldCharType="end"/>
      </w:r>
      <w:r>
        <w:rPr>
          <w:rFonts w:ascii="Arial" w:hAnsi="Arial" w:eastAsia="宋体" w:cs="Arial"/>
        </w:rPr>
        <w:t>）；国家癌症研究所（</w:t>
      </w:r>
      <w:r>
        <w:fldChar w:fldCharType="begin"/>
      </w:r>
      <w:r>
        <w:instrText xml:space="preserve"> HYPERLINK "http://www.cancer.gov/dictionary?cdrid=445071" \h </w:instrText>
      </w:r>
      <w:r>
        <w:fldChar w:fldCharType="separate"/>
      </w:r>
      <w:r>
        <w:rPr>
          <w:rFonts w:ascii="Arial" w:hAnsi="Arial" w:eastAsia="宋体" w:cs="Arial"/>
          <w:color w:val="0000FF"/>
          <w:u w:val="single" w:color="0000FF"/>
        </w:rPr>
        <w:t>http://www.cancer.gov/dictionary?cdrid=445071</w:t>
      </w:r>
      <w:r>
        <w:rPr>
          <w:rFonts w:ascii="Arial" w:hAnsi="Arial" w:eastAsia="宋体" w:cs="Arial"/>
          <w:color w:val="0000FF"/>
          <w:u w:val="single" w:color="0000FF"/>
        </w:rPr>
        <w:fldChar w:fldCharType="end"/>
      </w:r>
      <w:r>
        <w:rPr>
          <w:rFonts w:ascii="Arial" w:hAnsi="Arial" w:eastAsia="宋体" w:cs="Arial"/>
        </w:rPr>
        <w:t>）；和美国国家标准学会（</w:t>
      </w:r>
      <w:r>
        <w:fldChar w:fldCharType="begin"/>
      </w:r>
      <w:r>
        <w:instrText xml:space="preserve"> HYPERLINK "http://nanostandards.ansi.org/tiki-index.php" \h </w:instrText>
      </w:r>
      <w:r>
        <w:fldChar w:fldCharType="separate"/>
      </w:r>
      <w:r>
        <w:rPr>
          <w:rFonts w:ascii="Arial" w:hAnsi="Arial" w:eastAsia="宋体" w:cs="Arial"/>
          <w:color w:val="0000FF"/>
          <w:u w:val="single" w:color="0000FF"/>
        </w:rPr>
        <w:t>http://nanostandards.ansi.org/tiki-index.php</w:t>
      </w:r>
      <w:r>
        <w:rPr>
          <w:rFonts w:ascii="Arial" w:hAnsi="Arial" w:eastAsia="宋体" w:cs="Arial"/>
          <w:color w:val="0000FF"/>
          <w:u w:val="single" w:color="0000FF"/>
        </w:rPr>
        <w:fldChar w:fldCharType="end"/>
      </w:r>
      <w:r>
        <w:rPr>
          <w:rFonts w:ascii="Arial" w:hAnsi="Arial" w:eastAsia="宋体" w:cs="Arial"/>
        </w:rPr>
        <w:t>）。</w:t>
      </w:r>
    </w:p>
  </w:footnote>
  <w:footnote w:id="10">
    <w:p w14:paraId="2A5E28F6">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这并</w:t>
      </w:r>
      <w:r>
        <w:rPr>
          <w:rFonts w:hint="eastAsia" w:ascii="Arial" w:hAnsi="Arial" w:eastAsia="宋体" w:cs="Arial"/>
        </w:rPr>
        <w:t>未表明</w:t>
      </w:r>
      <w:r>
        <w:rPr>
          <w:rFonts w:ascii="Arial" w:hAnsi="Arial" w:eastAsia="宋体" w:cs="Arial"/>
        </w:rPr>
        <w:t>其涵盖可能存在于常规制造物质（例如，内部孔隙率，表面粗糙度或表面缺陷）的纳米尺度内部或表面特征的任何偶然存在。</w:t>
      </w:r>
    </w:p>
  </w:footnote>
  <w:footnote w:id="11">
    <w:p w14:paraId="104C70C9">
      <w:pPr>
        <w:pStyle w:val="10"/>
        <w:spacing w:line="276" w:lineRule="auto"/>
        <w:rPr>
          <w:rFonts w:ascii="Arial" w:hAnsi="Arial" w:eastAsia="宋体" w:cs="Arial"/>
        </w:rPr>
      </w:pPr>
      <w:r>
        <w:rPr>
          <w:rStyle w:val="16"/>
          <w:rFonts w:ascii="Arial" w:hAnsi="Arial" w:eastAsia="宋体" w:cs="Arial"/>
        </w:rPr>
        <w:footnoteRef/>
      </w:r>
      <w:r>
        <w:rPr>
          <w:rFonts w:ascii="Arial" w:hAnsi="Arial" w:eastAsia="宋体" w:cs="Arial"/>
        </w:rPr>
        <w:t xml:space="preserve"> 符合</w:t>
      </w:r>
      <w:r>
        <w:rPr>
          <w:rFonts w:ascii="宋体" w:hAnsi="宋体" w:eastAsia="宋体" w:cs="Arial"/>
        </w:rPr>
        <w:t>“</w:t>
      </w:r>
      <w:r>
        <w:rPr>
          <w:rFonts w:ascii="Arial" w:hAnsi="Arial" w:eastAsia="宋体" w:cs="Arial"/>
        </w:rPr>
        <w:t>美国关于纳米技术和纳米材料应用监管和监督决策的政策原则</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美国贸易代表办公室，管理与预算办公室，科学和技术政策办公室</w:t>
      </w:r>
      <w:r>
        <w:rPr>
          <w:rFonts w:ascii="宋体" w:hAnsi="宋体" w:eastAsia="宋体" w:cs="Arial"/>
        </w:rPr>
        <w:t>”</w:t>
      </w:r>
      <w:r>
        <w:rPr>
          <w:rFonts w:ascii="Arial" w:hAnsi="Arial" w:eastAsia="宋体" w:cs="Arial"/>
        </w:rPr>
        <w:t xml:space="preserve"> ，2011年6月9日（参考文件10）。</w:t>
      </w:r>
    </w:p>
  </w:footnote>
  <w:footnote w:id="12">
    <w:p w14:paraId="12FD4826">
      <w:pPr>
        <w:overflowPunct w:val="0"/>
        <w:snapToGrid w:val="0"/>
        <w:spacing w:before="71" w:line="276" w:lineRule="auto"/>
        <w:jc w:val="both"/>
        <w:rPr>
          <w:rFonts w:ascii="Arial" w:hAnsi="Arial" w:eastAsia="宋体" w:cs="Arial"/>
          <w:sz w:val="18"/>
          <w:szCs w:val="18"/>
        </w:rPr>
      </w:pPr>
      <w:r>
        <w:rPr>
          <w:rStyle w:val="16"/>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例如，联合研究中心和欧盟委员会新型和最近确定的健康风险科学委员会认为：</w:t>
      </w:r>
      <w:r>
        <w:rPr>
          <w:rFonts w:ascii="宋体" w:hAnsi="宋体" w:eastAsia="宋体" w:cs="Arial"/>
          <w:sz w:val="18"/>
          <w:szCs w:val="18"/>
        </w:rPr>
        <w:t>“</w:t>
      </w:r>
      <w:r>
        <w:rPr>
          <w:rFonts w:ascii="Arial" w:hAnsi="Arial" w:eastAsia="宋体" w:cs="Arial"/>
          <w:sz w:val="18"/>
          <w:szCs w:val="18"/>
        </w:rPr>
        <w:t>仅基于尺寸定义纳米材料以方便监管，理想情况下，纳米尺度上限值应足以涵盖由于其纳米尺度尺寸而在监管时需要特别关注的所有类型的材料。常用于现有定义的上限（例如100nm）可能需要基于除尺寸以外的结构特征或性质引入一个或多个限定符，以使监管涵盖尺寸大于100nm的相关结构（例如团聚体或聚集体）（参考文件22）；</w:t>
      </w:r>
      <w:r>
        <w:rPr>
          <w:rFonts w:ascii="宋体" w:hAnsi="宋体" w:eastAsia="宋体" w:cs="Arial"/>
          <w:sz w:val="18"/>
          <w:szCs w:val="18"/>
        </w:rPr>
        <w:t>“</w:t>
      </w:r>
      <w:r>
        <w:rPr>
          <w:rFonts w:ascii="Arial" w:hAnsi="Arial" w:eastAsia="宋体" w:cs="Arial"/>
          <w:sz w:val="18"/>
          <w:szCs w:val="18"/>
        </w:rPr>
        <w:t>有一个或多个外部尺寸为100nm的尺寸上限可能会排除外部尺寸大于此上限聚集体、团聚体和多组分总成</w:t>
      </w:r>
      <w:r>
        <w:rPr>
          <w:rFonts w:ascii="宋体" w:hAnsi="宋体" w:eastAsia="宋体" w:cs="Arial"/>
          <w:sz w:val="18"/>
          <w:szCs w:val="18"/>
        </w:rPr>
        <w:t>”</w:t>
      </w:r>
      <w:r>
        <w:rPr>
          <w:rFonts w:ascii="Arial" w:hAnsi="Arial" w:eastAsia="宋体" w:cs="Arial"/>
          <w:sz w:val="18"/>
          <w:szCs w:val="18"/>
        </w:rPr>
        <w:t xml:space="preserve">参考文件23）。 </w:t>
      </w:r>
      <w:r>
        <w:rPr>
          <w:rFonts w:ascii="宋体" w:hAnsi="宋体" w:eastAsia="宋体" w:cs="Arial"/>
          <w:sz w:val="18"/>
          <w:szCs w:val="18"/>
        </w:rPr>
        <w:t>“</w:t>
      </w:r>
      <w:r>
        <w:rPr>
          <w:rFonts w:ascii="Arial" w:hAnsi="Arial" w:eastAsia="宋体" w:cs="Arial"/>
          <w:sz w:val="18"/>
          <w:szCs w:val="18"/>
        </w:rPr>
        <w:t>一般认为，上限应为100nm，但未获得科学证据来支持该值的</w:t>
      </w:r>
      <w:r>
        <w:rPr>
          <w:rFonts w:hint="eastAsia" w:ascii="Arial" w:hAnsi="Arial" w:eastAsia="宋体" w:cs="Arial"/>
          <w:sz w:val="18"/>
          <w:szCs w:val="18"/>
        </w:rPr>
        <w:t>适用性</w:t>
      </w:r>
      <w:r>
        <w:rPr>
          <w:rFonts w:ascii="Arial" w:hAnsi="Arial" w:eastAsia="宋体" w:cs="Arial"/>
          <w:sz w:val="18"/>
          <w:szCs w:val="18"/>
        </w:rPr>
        <w:t>（如欧盟委员会纳米材料定义建议中的SCENIHR结论所述（参考文件17））。欧盟委员会进一步指出，</w:t>
      </w:r>
      <w:r>
        <w:rPr>
          <w:rFonts w:ascii="宋体" w:hAnsi="宋体" w:eastAsia="宋体" w:cs="Arial"/>
          <w:sz w:val="18"/>
          <w:szCs w:val="18"/>
        </w:rPr>
        <w:t>“</w:t>
      </w:r>
      <w:r>
        <w:rPr>
          <w:rFonts w:ascii="Arial" w:hAnsi="Arial" w:eastAsia="宋体" w:cs="Arial"/>
          <w:sz w:val="18"/>
          <w:szCs w:val="18"/>
        </w:rPr>
        <w:t>有关纳米材料的具体立法或立法规定的适用范围应涵盖其他材料，例如尺寸大于100nm的材料（参考文件17）。此外，国际标准化组织（ISO）承认，</w:t>
      </w:r>
      <w:r>
        <w:rPr>
          <w:rFonts w:ascii="宋体" w:hAnsi="宋体" w:eastAsia="宋体" w:cs="Arial"/>
          <w:sz w:val="18"/>
          <w:szCs w:val="18"/>
        </w:rPr>
        <w:t>“</w:t>
      </w:r>
      <w:r>
        <w:rPr>
          <w:rFonts w:ascii="Arial" w:hAnsi="Arial" w:eastAsia="宋体" w:cs="Arial"/>
          <w:sz w:val="18"/>
          <w:szCs w:val="18"/>
        </w:rPr>
        <w:t>与有意产生和附带的纳米物体相关的健康和安全考虑因素不仅限于尺寸≤100nm的物体。随着认识不断深化，非常清楚的是，除其基本尺寸和形状外，其定义还需要提供稳健的术语来有效获取并传达有意产生的纳米物体和纳米结构材料</w:t>
      </w:r>
      <w:r>
        <w:rPr>
          <w:rFonts w:ascii="宋体" w:hAnsi="宋体" w:eastAsia="宋体" w:cs="Arial"/>
          <w:sz w:val="18"/>
          <w:szCs w:val="18"/>
        </w:rPr>
        <w:t>”</w:t>
      </w:r>
      <w:r>
        <w:rPr>
          <w:rFonts w:ascii="Arial" w:hAnsi="Arial" w:eastAsia="宋体" w:cs="Arial"/>
          <w:sz w:val="18"/>
          <w:szCs w:val="18"/>
        </w:rPr>
        <w:t>（参考文件20）。</w:t>
      </w:r>
    </w:p>
    <w:p w14:paraId="49E1E4BB">
      <w:pPr>
        <w:pStyle w:val="10"/>
        <w:spacing w:line="276" w:lineRule="auto"/>
        <w:jc w:val="both"/>
        <w:rPr>
          <w:rFonts w:ascii="Arial" w:hAnsi="Arial" w:cs="Arial"/>
        </w:rPr>
      </w:pPr>
      <w:r>
        <w:rPr>
          <w:rFonts w:ascii="Arial" w:hAnsi="Arial" w:eastAsia="宋体" w:cs="Arial"/>
        </w:rPr>
        <w:t>最近，加拿大卫生部采纳了纳米材料的工作定义，该定义在某种程度上表明，即使尺寸不在1 nm至100 nm的范围内，也可表现出纳米尺度性质/现象，如选择量子器械（参考文件19）。最后，欧盟委员会在其对纳米材料进行的第二次监管审查中指出，</w:t>
      </w:r>
      <w:r>
        <w:rPr>
          <w:rFonts w:ascii="宋体" w:hAnsi="宋体" w:eastAsia="宋体" w:cs="Arial"/>
        </w:rPr>
        <w:t>“</w:t>
      </w:r>
      <w:r>
        <w:rPr>
          <w:rFonts w:ascii="Arial" w:hAnsi="Arial" w:eastAsia="宋体" w:cs="Arial"/>
        </w:rPr>
        <w:t>有一个或多个外部尺寸小于1nm的富勒烯、石墨烯薄片和单壁碳纳米管应被视为纳米材料。确定了几种不符合欧盟定义的纳米材料，并承认</w:t>
      </w:r>
      <w:r>
        <w:rPr>
          <w:rFonts w:ascii="宋体" w:hAnsi="宋体" w:eastAsia="宋体" w:cs="Arial"/>
        </w:rPr>
        <w:t>“</w:t>
      </w:r>
      <w:r>
        <w:rPr>
          <w:rFonts w:ascii="Arial" w:hAnsi="Arial" w:eastAsia="宋体" w:cs="Arial"/>
        </w:rPr>
        <w:t>具有内部纳米尺度特征的粒子设计越来越多。示例包括核壳粒子和纳米封装。此类粒子可以用于药学应用，其中需在某些环境中</w:t>
      </w:r>
      <w:r>
        <w:rPr>
          <w:rFonts w:ascii="宋体" w:hAnsi="宋体" w:eastAsia="宋体" w:cs="Arial"/>
        </w:rPr>
        <w:t>“</w:t>
      </w:r>
      <w:r>
        <w:rPr>
          <w:rFonts w:ascii="Arial" w:hAnsi="Arial" w:eastAsia="宋体" w:cs="Arial"/>
        </w:rPr>
        <w:t>释放</w:t>
      </w:r>
      <w:r>
        <w:rPr>
          <w:rFonts w:ascii="宋体" w:hAnsi="宋体" w:eastAsia="宋体" w:cs="Arial"/>
        </w:rPr>
        <w:t>”</w:t>
      </w:r>
      <w:r>
        <w:rPr>
          <w:rFonts w:ascii="Arial" w:hAnsi="Arial" w:eastAsia="宋体" w:cs="Arial"/>
        </w:rPr>
        <w:t>内核粒子。</w:t>
      </w:r>
      <w:r>
        <w:rPr>
          <w:rFonts w:hint="eastAsia" w:ascii="Arial" w:hAnsi="Arial" w:eastAsia="宋体" w:cs="Arial"/>
        </w:rPr>
        <w:t>此类材料中的一些材料的外径小于100nm，符合欧盟纳米材料定义，但其它材料的外径大于100nm，不符合欧盟纳米材料定义</w:t>
      </w:r>
      <w:r>
        <w:rPr>
          <w:rFonts w:hint="eastAsia" w:ascii="宋体" w:hAnsi="宋体" w:eastAsia="宋体" w:cs="Arial"/>
        </w:rPr>
        <w:t>“</w:t>
      </w:r>
      <w:r>
        <w:rPr>
          <w:rFonts w:hint="eastAsia" w:ascii="Arial" w:hAnsi="Arial" w:eastAsia="宋体" w:cs="Arial"/>
        </w:rPr>
        <w:t>（参考文件31）。</w:t>
      </w:r>
    </w:p>
  </w:footnote>
  <w:footnote w:id="13">
    <w:p w14:paraId="710A7747">
      <w:pPr>
        <w:pStyle w:val="10"/>
      </w:pPr>
      <w:r>
        <w:rPr>
          <w:rStyle w:val="16"/>
        </w:rPr>
        <w:footnoteRef/>
      </w:r>
      <w:r>
        <w:t xml:space="preserve"> </w:t>
      </w:r>
      <w:r>
        <w:rPr>
          <w:rFonts w:ascii="Arial" w:hAnsi="Arial" w:eastAsia="宋体" w:cs="Arial"/>
        </w:rPr>
        <w:t>然而，如前所述，获得新的科学信息后，FDA未来将考虑进一步细化特定产品或产品类别的</w:t>
      </w:r>
      <w:r>
        <w:rPr>
          <w:rFonts w:ascii="宋体" w:hAnsi="宋体" w:eastAsia="宋体" w:cs="Arial"/>
        </w:rPr>
        <w:t>“</w:t>
      </w:r>
      <w:r>
        <w:rPr>
          <w:rFonts w:ascii="Arial" w:hAnsi="Arial" w:eastAsia="宋体" w:cs="Arial"/>
        </w:rPr>
        <w:t>需考虑的点</w:t>
      </w:r>
      <w:r>
        <w:rPr>
          <w:rFonts w:ascii="宋体" w:hAnsi="宋体" w:eastAsia="宋体" w:cs="Arial"/>
        </w:rPr>
        <w:t>”</w:t>
      </w:r>
      <w:r>
        <w:rPr>
          <w:rFonts w:ascii="Arial" w:hAnsi="Arial" w:eastAsia="宋体" w:cs="Arial"/>
        </w:rPr>
        <w:t>，包括细化粒子尺寸参数。</w:t>
      </w:r>
    </w:p>
  </w:footnote>
  <w:footnote w:id="14">
    <w:p w14:paraId="29F97888">
      <w:pPr>
        <w:pStyle w:val="10"/>
      </w:pPr>
      <w:r>
        <w:rPr>
          <w:rStyle w:val="16"/>
        </w:rPr>
        <w:footnoteRef/>
      </w:r>
      <w:r>
        <w:t xml:space="preserve"> </w:t>
      </w:r>
      <w:r>
        <w:rPr>
          <w:rFonts w:ascii="Arial" w:hAnsi="Arial" w:eastAsia="宋体" w:cs="Arial"/>
        </w:rPr>
        <w:t>FDA的纳米技术监管科学项目旨在进一步提高FDA的科学能力，包括开发必要的数据和工具，以确定和衡量尺寸依赖性性质并评估其对安全性或有效性的可能影响。请参见</w:t>
      </w:r>
      <w:r>
        <w:fldChar w:fldCharType="begin"/>
      </w:r>
      <w:r>
        <w:instrText xml:space="preserve"> HYPERLINK "http://www.fda.gov/ScienceResearch/SpecialTopics/Nanotechnology/ucm273325.htm" \h </w:instrText>
      </w:r>
      <w:r>
        <w:fldChar w:fldCharType="separate"/>
      </w:r>
      <w:r>
        <w:rPr>
          <w:rFonts w:ascii="Arial" w:hAnsi="Arial" w:eastAsia="宋体" w:cs="Arial"/>
          <w:color w:val="0000FF"/>
          <w:u w:val="single" w:color="0000FF"/>
        </w:rPr>
        <w:t>http://www.fda.gov/ScienceResearch/SpecialTopics/Nanotechnology/ucm273325.htm</w:t>
      </w:r>
      <w:r>
        <w:rPr>
          <w:rFonts w:ascii="Arial" w:hAnsi="Arial" w:eastAsia="宋体" w:cs="Arial"/>
          <w:color w:val="0000FF"/>
          <w:u w:val="single" w:color="0000FF"/>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0CA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61AC">
    <w:pPr>
      <w:spacing w:line="265" w:lineRule="exact"/>
      <w:ind w:left="20"/>
      <w:jc w:val="center"/>
      <w:rPr>
        <w:rFonts w:ascii="Times New Roman" w:hAnsi="Times New Roman" w:eastAsia="宋体" w:cs="Times New Roman"/>
        <w:sz w:val="24"/>
        <w:szCs w:val="24"/>
      </w:rPr>
    </w:pPr>
    <w:r>
      <w:rPr>
        <w:rFonts w:hint="eastAsia" w:ascii="Times New Roman" w:eastAsia="宋体"/>
        <w:b/>
        <w:i/>
        <w:sz w:val="24"/>
      </w:rPr>
      <w:t>所含建议不具约束力</w:t>
    </w:r>
  </w:p>
  <w:p w14:paraId="46C2BCDC">
    <w:pPr>
      <w:spacing w:line="265" w:lineRule="exact"/>
      <w:ind w:left="20"/>
      <w:jc w:val="center"/>
      <w:rPr>
        <w:rFonts w:ascii="Times New Roman" w:hAnsi="Times New Roman" w:eastAsia="宋体" w:cs="Times New Roman"/>
        <w:sz w:val="24"/>
        <w:szCs w:val="24"/>
      </w:rPr>
    </w:pPr>
  </w:p>
  <w:p w14:paraId="27063A92">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4BD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A1B5E"/>
    <w:multiLevelType w:val="multilevel"/>
    <w:tmpl w:val="031A1B5E"/>
    <w:lvl w:ilvl="0" w:tentative="0">
      <w:start w:val="1"/>
      <w:numFmt w:val="upperRoman"/>
      <w:lvlText w:val="%1."/>
      <w:lvlJc w:val="left"/>
      <w:pPr>
        <w:ind w:left="980" w:hanging="720"/>
        <w:jc w:val="right"/>
      </w:pPr>
      <w:rPr>
        <w:rFonts w:hint="default" w:ascii="Arial" w:hAnsi="Arial" w:eastAsia="Times New Roman" w:cs="Arial"/>
        <w:b/>
        <w:bCs/>
        <w:sz w:val="28"/>
        <w:szCs w:val="28"/>
      </w:rPr>
    </w:lvl>
    <w:lvl w:ilvl="1" w:tentative="0">
      <w:start w:val="1"/>
      <w:numFmt w:val="upperLetter"/>
      <w:lvlText w:val="%2."/>
      <w:lvlJc w:val="left"/>
      <w:pPr>
        <w:ind w:left="1560" w:hanging="720"/>
        <w:jc w:val="left"/>
      </w:pPr>
      <w:rPr>
        <w:rFonts w:hint="default" w:ascii="Arial" w:hAnsi="Arial" w:eastAsia="Times New Roman" w:cs="Arial"/>
        <w:b/>
        <w:bCs/>
        <w:sz w:val="24"/>
        <w:szCs w:val="24"/>
      </w:rPr>
    </w:lvl>
    <w:lvl w:ilvl="2" w:tentative="0">
      <w:start w:val="1"/>
      <w:numFmt w:val="decimal"/>
      <w:lvlText w:val="%3."/>
      <w:lvlJc w:val="left"/>
      <w:pPr>
        <w:ind w:left="840" w:hanging="720"/>
        <w:jc w:val="left"/>
      </w:pPr>
      <w:rPr>
        <w:rFonts w:hint="default" w:ascii="Arial" w:hAnsi="Arial" w:eastAsia="Times New Roman" w:cs="Arial"/>
        <w:sz w:val="24"/>
        <w:szCs w:val="24"/>
      </w:rPr>
    </w:lvl>
    <w:lvl w:ilvl="3" w:tentative="0">
      <w:start w:val="1"/>
      <w:numFmt w:val="bullet"/>
      <w:lvlText w:val="•"/>
      <w:lvlJc w:val="left"/>
      <w:pPr>
        <w:ind w:left="2560" w:hanging="720"/>
      </w:pPr>
      <w:rPr>
        <w:rFonts w:hint="default"/>
      </w:rPr>
    </w:lvl>
    <w:lvl w:ilvl="4" w:tentative="0">
      <w:start w:val="1"/>
      <w:numFmt w:val="bullet"/>
      <w:lvlText w:val="•"/>
      <w:lvlJc w:val="left"/>
      <w:pPr>
        <w:ind w:left="3560" w:hanging="720"/>
      </w:pPr>
      <w:rPr>
        <w:rFonts w:hint="default"/>
      </w:rPr>
    </w:lvl>
    <w:lvl w:ilvl="5" w:tentative="0">
      <w:start w:val="1"/>
      <w:numFmt w:val="bullet"/>
      <w:lvlText w:val="•"/>
      <w:lvlJc w:val="left"/>
      <w:pPr>
        <w:ind w:left="4560" w:hanging="720"/>
      </w:pPr>
      <w:rPr>
        <w:rFonts w:hint="default"/>
      </w:rPr>
    </w:lvl>
    <w:lvl w:ilvl="6" w:tentative="0">
      <w:start w:val="1"/>
      <w:numFmt w:val="bullet"/>
      <w:lvlText w:val="•"/>
      <w:lvlJc w:val="left"/>
      <w:pPr>
        <w:ind w:left="5560" w:hanging="720"/>
      </w:pPr>
      <w:rPr>
        <w:rFonts w:hint="default"/>
      </w:rPr>
    </w:lvl>
    <w:lvl w:ilvl="7" w:tentative="0">
      <w:start w:val="1"/>
      <w:numFmt w:val="bullet"/>
      <w:lvlText w:val="•"/>
      <w:lvlJc w:val="left"/>
      <w:pPr>
        <w:ind w:left="6560" w:hanging="720"/>
      </w:pPr>
      <w:rPr>
        <w:rFonts w:hint="default"/>
      </w:rPr>
    </w:lvl>
    <w:lvl w:ilvl="8" w:tentative="0">
      <w:start w:val="1"/>
      <w:numFmt w:val="bullet"/>
      <w:lvlText w:val="•"/>
      <w:lvlJc w:val="left"/>
      <w:pPr>
        <w:ind w:left="7560" w:hanging="720"/>
      </w:pPr>
      <w:rPr>
        <w:rFonts w:hint="default"/>
      </w:rPr>
    </w:lvl>
  </w:abstractNum>
  <w:abstractNum w:abstractNumId="1">
    <w:nsid w:val="03341B4F"/>
    <w:multiLevelType w:val="multilevel"/>
    <w:tmpl w:val="03341B4F"/>
    <w:lvl w:ilvl="0" w:tentative="0">
      <w:start w:val="1"/>
      <w:numFmt w:val="decimal"/>
      <w:lvlText w:val="%1."/>
      <w:lvlJc w:val="left"/>
      <w:pPr>
        <w:ind w:left="840" w:hanging="360"/>
        <w:jc w:val="right"/>
      </w:pPr>
      <w:rPr>
        <w:rFonts w:hint="default" w:ascii="Arial" w:hAnsi="Arial" w:eastAsia="Times New Roman" w:cs="Arial"/>
        <w:sz w:val="24"/>
        <w:szCs w:val="24"/>
      </w:rPr>
    </w:lvl>
    <w:lvl w:ilvl="1" w:tentative="0">
      <w:start w:val="1"/>
      <w:numFmt w:val="bullet"/>
      <w:lvlText w:val="•"/>
      <w:lvlJc w:val="left"/>
      <w:pPr>
        <w:ind w:left="1712" w:hanging="360"/>
      </w:pPr>
      <w:rPr>
        <w:rFonts w:hint="default"/>
      </w:rPr>
    </w:lvl>
    <w:lvl w:ilvl="2" w:tentative="0">
      <w:start w:val="1"/>
      <w:numFmt w:val="bullet"/>
      <w:lvlText w:val="•"/>
      <w:lvlJc w:val="left"/>
      <w:pPr>
        <w:ind w:left="2584" w:hanging="360"/>
      </w:pPr>
      <w:rPr>
        <w:rFonts w:hint="default"/>
      </w:rPr>
    </w:lvl>
    <w:lvl w:ilvl="3" w:tentative="0">
      <w:start w:val="1"/>
      <w:numFmt w:val="bullet"/>
      <w:lvlText w:val="•"/>
      <w:lvlJc w:val="left"/>
      <w:pPr>
        <w:ind w:left="3456" w:hanging="360"/>
      </w:pPr>
      <w:rPr>
        <w:rFonts w:hint="default"/>
      </w:rPr>
    </w:lvl>
    <w:lvl w:ilvl="4" w:tentative="0">
      <w:start w:val="1"/>
      <w:numFmt w:val="bullet"/>
      <w:lvlText w:val="•"/>
      <w:lvlJc w:val="left"/>
      <w:pPr>
        <w:ind w:left="4328"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72" w:hanging="360"/>
      </w:pPr>
      <w:rPr>
        <w:rFonts w:hint="default"/>
      </w:rPr>
    </w:lvl>
    <w:lvl w:ilvl="7" w:tentative="0">
      <w:start w:val="1"/>
      <w:numFmt w:val="bullet"/>
      <w:lvlText w:val="•"/>
      <w:lvlJc w:val="left"/>
      <w:pPr>
        <w:ind w:left="6944" w:hanging="360"/>
      </w:pPr>
      <w:rPr>
        <w:rFonts w:hint="default"/>
      </w:rPr>
    </w:lvl>
    <w:lvl w:ilvl="8" w:tentative="0">
      <w:start w:val="1"/>
      <w:numFmt w:val="bullet"/>
      <w:lvlText w:val="•"/>
      <w:lvlJc w:val="left"/>
      <w:pPr>
        <w:ind w:left="7816" w:hanging="360"/>
      </w:pPr>
      <w:rPr>
        <w:rFonts w:hint="default"/>
      </w:rPr>
    </w:lvl>
  </w:abstractNum>
  <w:abstractNum w:abstractNumId="2">
    <w:nsid w:val="1DE5125B"/>
    <w:multiLevelType w:val="multilevel"/>
    <w:tmpl w:val="1DE5125B"/>
    <w:lvl w:ilvl="0" w:tentative="0">
      <w:start w:val="1"/>
      <w:numFmt w:val="decimal"/>
      <w:lvlText w:val="%1."/>
      <w:lvlJc w:val="left"/>
      <w:pPr>
        <w:ind w:left="480" w:hanging="360"/>
        <w:jc w:val="left"/>
      </w:pPr>
      <w:rPr>
        <w:rFonts w:hint="default" w:ascii="Arial" w:hAnsi="Arial" w:eastAsia="Times New Roman" w:cs="Arial"/>
        <w:sz w:val="24"/>
        <w:szCs w:val="24"/>
      </w:rPr>
    </w:lvl>
    <w:lvl w:ilvl="1" w:tentative="0">
      <w:start w:val="1"/>
      <w:numFmt w:val="bullet"/>
      <w:lvlText w:val="•"/>
      <w:lvlJc w:val="left"/>
      <w:pPr>
        <w:ind w:left="1390" w:hanging="360"/>
      </w:pPr>
      <w:rPr>
        <w:rFonts w:hint="default"/>
      </w:rPr>
    </w:lvl>
    <w:lvl w:ilvl="2" w:tentative="0">
      <w:start w:val="1"/>
      <w:numFmt w:val="bullet"/>
      <w:lvlText w:val="•"/>
      <w:lvlJc w:val="left"/>
      <w:pPr>
        <w:ind w:left="2300" w:hanging="360"/>
      </w:pPr>
      <w:rPr>
        <w:rFonts w:hint="default"/>
      </w:rPr>
    </w:lvl>
    <w:lvl w:ilvl="3" w:tentative="0">
      <w:start w:val="1"/>
      <w:numFmt w:val="bullet"/>
      <w:lvlText w:val="•"/>
      <w:lvlJc w:val="left"/>
      <w:pPr>
        <w:ind w:left="3210" w:hanging="360"/>
      </w:pPr>
      <w:rPr>
        <w:rFonts w:hint="default"/>
      </w:rPr>
    </w:lvl>
    <w:lvl w:ilvl="4" w:tentative="0">
      <w:start w:val="1"/>
      <w:numFmt w:val="bullet"/>
      <w:lvlText w:val="•"/>
      <w:lvlJc w:val="left"/>
      <w:pPr>
        <w:ind w:left="4120" w:hanging="360"/>
      </w:pPr>
      <w:rPr>
        <w:rFonts w:hint="default"/>
      </w:rPr>
    </w:lvl>
    <w:lvl w:ilvl="5" w:tentative="0">
      <w:start w:val="1"/>
      <w:numFmt w:val="bullet"/>
      <w:lvlText w:val="•"/>
      <w:lvlJc w:val="left"/>
      <w:pPr>
        <w:ind w:left="5030" w:hanging="360"/>
      </w:pPr>
      <w:rPr>
        <w:rFonts w:hint="default"/>
      </w:rPr>
    </w:lvl>
    <w:lvl w:ilvl="6" w:tentative="0">
      <w:start w:val="1"/>
      <w:numFmt w:val="bullet"/>
      <w:lvlText w:val="•"/>
      <w:lvlJc w:val="left"/>
      <w:pPr>
        <w:ind w:left="5940" w:hanging="360"/>
      </w:pPr>
      <w:rPr>
        <w:rFonts w:hint="default"/>
      </w:rPr>
    </w:lvl>
    <w:lvl w:ilvl="7" w:tentative="0">
      <w:start w:val="1"/>
      <w:numFmt w:val="bullet"/>
      <w:lvlText w:val="•"/>
      <w:lvlJc w:val="left"/>
      <w:pPr>
        <w:ind w:left="6850" w:hanging="360"/>
      </w:pPr>
      <w:rPr>
        <w:rFonts w:hint="default"/>
      </w:rPr>
    </w:lvl>
    <w:lvl w:ilvl="8" w:tentative="0">
      <w:start w:val="1"/>
      <w:numFmt w:val="bullet"/>
      <w:lvlText w:val="•"/>
      <w:lvlJc w:val="left"/>
      <w:pPr>
        <w:ind w:left="77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30"/>
    <w:footnote w:id="3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F8"/>
    <w:rsid w:val="000157CC"/>
    <w:rsid w:val="00020908"/>
    <w:rsid w:val="00021A3F"/>
    <w:rsid w:val="000455EC"/>
    <w:rsid w:val="00063AB1"/>
    <w:rsid w:val="000745C9"/>
    <w:rsid w:val="0008498E"/>
    <w:rsid w:val="000B0667"/>
    <w:rsid w:val="000B14F8"/>
    <w:rsid w:val="000C5883"/>
    <w:rsid w:val="000D471F"/>
    <w:rsid w:val="000E5D61"/>
    <w:rsid w:val="0011496D"/>
    <w:rsid w:val="00121EE7"/>
    <w:rsid w:val="001269BE"/>
    <w:rsid w:val="0013027A"/>
    <w:rsid w:val="001D6A86"/>
    <w:rsid w:val="002022D0"/>
    <w:rsid w:val="00215FEB"/>
    <w:rsid w:val="002245D7"/>
    <w:rsid w:val="00232462"/>
    <w:rsid w:val="002859C5"/>
    <w:rsid w:val="002C0312"/>
    <w:rsid w:val="002D0300"/>
    <w:rsid w:val="002D3262"/>
    <w:rsid w:val="002D53A2"/>
    <w:rsid w:val="00317AC1"/>
    <w:rsid w:val="00320262"/>
    <w:rsid w:val="00335717"/>
    <w:rsid w:val="00356C45"/>
    <w:rsid w:val="00386DD9"/>
    <w:rsid w:val="003A5050"/>
    <w:rsid w:val="003A73E3"/>
    <w:rsid w:val="003C64D6"/>
    <w:rsid w:val="003D3369"/>
    <w:rsid w:val="003D70E5"/>
    <w:rsid w:val="003E23BC"/>
    <w:rsid w:val="003E2869"/>
    <w:rsid w:val="003E4A0B"/>
    <w:rsid w:val="003F6028"/>
    <w:rsid w:val="00404BF4"/>
    <w:rsid w:val="00417E51"/>
    <w:rsid w:val="00486654"/>
    <w:rsid w:val="00496C33"/>
    <w:rsid w:val="004A356B"/>
    <w:rsid w:val="004B01FB"/>
    <w:rsid w:val="004C2313"/>
    <w:rsid w:val="004C7166"/>
    <w:rsid w:val="004D1A44"/>
    <w:rsid w:val="00510231"/>
    <w:rsid w:val="00510EDD"/>
    <w:rsid w:val="00551004"/>
    <w:rsid w:val="005536DD"/>
    <w:rsid w:val="005D0B5D"/>
    <w:rsid w:val="005D1000"/>
    <w:rsid w:val="006A5CCB"/>
    <w:rsid w:val="006C0DED"/>
    <w:rsid w:val="006F5616"/>
    <w:rsid w:val="00701678"/>
    <w:rsid w:val="00706DAA"/>
    <w:rsid w:val="00762D58"/>
    <w:rsid w:val="007764D8"/>
    <w:rsid w:val="007D1C32"/>
    <w:rsid w:val="007F0488"/>
    <w:rsid w:val="007F0905"/>
    <w:rsid w:val="008064FA"/>
    <w:rsid w:val="00806A16"/>
    <w:rsid w:val="0083473D"/>
    <w:rsid w:val="008543A8"/>
    <w:rsid w:val="00887325"/>
    <w:rsid w:val="008B0609"/>
    <w:rsid w:val="008B6722"/>
    <w:rsid w:val="008F703A"/>
    <w:rsid w:val="00900490"/>
    <w:rsid w:val="00944A42"/>
    <w:rsid w:val="00964B9E"/>
    <w:rsid w:val="009655DD"/>
    <w:rsid w:val="009675A3"/>
    <w:rsid w:val="00967FCA"/>
    <w:rsid w:val="009931BF"/>
    <w:rsid w:val="009C6EC9"/>
    <w:rsid w:val="009E0890"/>
    <w:rsid w:val="009F0C67"/>
    <w:rsid w:val="00A829FB"/>
    <w:rsid w:val="00AA6ADA"/>
    <w:rsid w:val="00AC3987"/>
    <w:rsid w:val="00B35579"/>
    <w:rsid w:val="00B66875"/>
    <w:rsid w:val="00B83603"/>
    <w:rsid w:val="00BD559E"/>
    <w:rsid w:val="00C73327"/>
    <w:rsid w:val="00C86C0B"/>
    <w:rsid w:val="00C877D3"/>
    <w:rsid w:val="00CD11BF"/>
    <w:rsid w:val="00CF184C"/>
    <w:rsid w:val="00D035B3"/>
    <w:rsid w:val="00D12BB9"/>
    <w:rsid w:val="00D215A2"/>
    <w:rsid w:val="00D45BDF"/>
    <w:rsid w:val="00D6472C"/>
    <w:rsid w:val="00D759A2"/>
    <w:rsid w:val="00D80138"/>
    <w:rsid w:val="00D94285"/>
    <w:rsid w:val="00DF69CC"/>
    <w:rsid w:val="00E221EA"/>
    <w:rsid w:val="00E3668C"/>
    <w:rsid w:val="00E55FBC"/>
    <w:rsid w:val="00E609AC"/>
    <w:rsid w:val="00E60B68"/>
    <w:rsid w:val="00E6372A"/>
    <w:rsid w:val="00E94E09"/>
    <w:rsid w:val="00EB748E"/>
    <w:rsid w:val="00EE6921"/>
    <w:rsid w:val="00F31055"/>
    <w:rsid w:val="00F31BF9"/>
    <w:rsid w:val="00F414F2"/>
    <w:rsid w:val="00F44467"/>
    <w:rsid w:val="00F72016"/>
    <w:rsid w:val="00F7679F"/>
    <w:rsid w:val="00F85D4F"/>
    <w:rsid w:val="00FD7B27"/>
    <w:rsid w:val="05EF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53"/>
      <w:ind w:left="312"/>
      <w:outlineLvl w:val="0"/>
    </w:pPr>
    <w:rPr>
      <w:rFonts w:ascii="Times New Roman" w:hAnsi="Times New Roman" w:eastAsia="宋体"/>
      <w:b/>
      <w:bCs/>
      <w:sz w:val="36"/>
      <w:szCs w:val="36"/>
    </w:rPr>
  </w:style>
  <w:style w:type="paragraph" w:styleId="3">
    <w:name w:val="heading 2"/>
    <w:basedOn w:val="1"/>
    <w:qFormat/>
    <w:uiPriority w:val="1"/>
    <w:pPr>
      <w:ind w:left="840" w:hanging="720"/>
      <w:outlineLvl w:val="1"/>
    </w:pPr>
    <w:rPr>
      <w:rFonts w:ascii="Times New Roman" w:hAnsi="Times New Roman" w:eastAsia="宋体"/>
      <w:b/>
      <w:bCs/>
      <w:sz w:val="24"/>
      <w:szCs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rFonts w:ascii="Times New Roman" w:hAnsi="Times New Roman" w:eastAsia="宋体"/>
      <w:sz w:val="24"/>
      <w:szCs w:val="24"/>
    </w:rPr>
  </w:style>
  <w:style w:type="paragraph" w:styleId="5">
    <w:name w:val="toc 3"/>
    <w:basedOn w:val="1"/>
    <w:next w:val="1"/>
    <w:autoRedefine/>
    <w:unhideWhenUsed/>
    <w:uiPriority w:val="39"/>
    <w:pPr>
      <w:snapToGrid w:val="0"/>
      <w:spacing w:after="50" w:afterLines="50" w:line="300" w:lineRule="auto"/>
      <w:ind w:left="400" w:leftChars="400"/>
    </w:pPr>
    <w:rPr>
      <w:rFonts w:eastAsia="宋体"/>
      <w:b/>
    </w:rPr>
  </w:style>
  <w:style w:type="paragraph" w:styleId="6">
    <w:name w:val="Balloon Text"/>
    <w:basedOn w:val="1"/>
    <w:link w:val="24"/>
    <w:semiHidden/>
    <w:unhideWhenUsed/>
    <w:uiPriority w:val="99"/>
    <w:rPr>
      <w:sz w:val="18"/>
      <w:szCs w:val="18"/>
    </w:rPr>
  </w:style>
  <w:style w:type="paragraph" w:styleId="7">
    <w:name w:val="footer"/>
    <w:basedOn w:val="1"/>
    <w:link w:val="21"/>
    <w:unhideWhenUsed/>
    <w:qFormat/>
    <w:uiPriority w:val="99"/>
    <w:pPr>
      <w:tabs>
        <w:tab w:val="center" w:pos="4153"/>
        <w:tab w:val="right" w:pos="8306"/>
      </w:tabs>
      <w:snapToGrid w:val="0"/>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pPr>
      <w:snapToGrid w:val="0"/>
      <w:spacing w:after="50" w:afterLines="50" w:line="300" w:lineRule="auto"/>
    </w:pPr>
    <w:rPr>
      <w:rFonts w:eastAsia="宋体"/>
      <w:sz w:val="24"/>
    </w:rPr>
  </w:style>
  <w:style w:type="paragraph" w:styleId="10">
    <w:name w:val="footnote text"/>
    <w:basedOn w:val="1"/>
    <w:link w:val="22"/>
    <w:semiHidden/>
    <w:unhideWhenUsed/>
    <w:uiPriority w:val="99"/>
    <w:pPr>
      <w:snapToGrid w:val="0"/>
    </w:pPr>
    <w:rPr>
      <w:sz w:val="18"/>
      <w:szCs w:val="18"/>
    </w:rPr>
  </w:style>
  <w:style w:type="paragraph" w:styleId="11">
    <w:name w:val="toc 2"/>
    <w:basedOn w:val="1"/>
    <w:next w:val="1"/>
    <w:autoRedefine/>
    <w:unhideWhenUsed/>
    <w:uiPriority w:val="39"/>
    <w:pPr>
      <w:snapToGrid w:val="0"/>
      <w:spacing w:after="50" w:afterLines="50" w:line="300" w:lineRule="auto"/>
      <w:ind w:left="200" w:leftChars="200"/>
    </w:pPr>
    <w:rPr>
      <w:rFonts w:eastAsia="宋体"/>
      <w:b/>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footnote reference"/>
    <w:basedOn w:val="14"/>
    <w:semiHidden/>
    <w:unhideWhenUsed/>
    <w:qFormat/>
    <w:uiPriority w:val="99"/>
    <w:rPr>
      <w:vertAlign w:val="superscript"/>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Char"/>
    <w:basedOn w:val="14"/>
    <w:link w:val="8"/>
    <w:qFormat/>
    <w:uiPriority w:val="99"/>
    <w:rPr>
      <w:sz w:val="18"/>
      <w:szCs w:val="18"/>
    </w:rPr>
  </w:style>
  <w:style w:type="character" w:customStyle="1" w:styleId="21">
    <w:name w:val="页脚 Char"/>
    <w:basedOn w:val="14"/>
    <w:link w:val="7"/>
    <w:uiPriority w:val="99"/>
    <w:rPr>
      <w:sz w:val="18"/>
      <w:szCs w:val="18"/>
    </w:rPr>
  </w:style>
  <w:style w:type="character" w:customStyle="1" w:styleId="22">
    <w:name w:val="脚注文本 Char"/>
    <w:basedOn w:val="14"/>
    <w:link w:val="10"/>
    <w:semiHidden/>
    <w:qFormat/>
    <w:uiPriority w:val="99"/>
    <w:rPr>
      <w:sz w:val="18"/>
      <w:szCs w:val="18"/>
    </w:rPr>
  </w:style>
  <w:style w:type="paragraph" w:customStyle="1" w:styleId="23">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sz w:val="28"/>
      <w:szCs w:val="28"/>
    </w:rPr>
  </w:style>
  <w:style w:type="character" w:customStyle="1" w:styleId="24">
    <w:name w:val="批注框文本 Char"/>
    <w:basedOn w:val="14"/>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1CAC-1E7F-46A6-99F2-7A4E12133724}">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14</Pages>
  <Words>7357</Words>
  <Characters>9784</Characters>
  <Lines>91</Lines>
  <Paragraphs>25</Paragraphs>
  <TotalTime>0</TotalTime>
  <ScaleCrop>false</ScaleCrop>
  <LinksUpToDate>false</LinksUpToDate>
  <CharactersWithSpaces>9905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2017-10-16T11:02:00Z</dcterms:created>
  <dc:creator>Food and Drug Administration</dc:creator>
  <cp:keywords>nanotechnology, guidance, regulation, application</cp:keywords>
  <cp:lastModifiedBy>太极箫客</cp:lastModifiedBy>
  <dcterms:modified xsi:type="dcterms:W3CDTF">2025-08-14T06:16:40Z</dcterms:modified>
  <dc:subject>Guidance for Industry: Considering Whether an FDA-Regulated Product Involves the Application of Nanotechnology</dc:subject>
  <dc:title>Considering Whether an FDA-Regulated Product Involves the Application of Nanotechnology: Guidance for Industry</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2014-06-18T00:00:00Z</vt:filetime>
  </property>
  <property fmtid="{D5CDD505-2E9C-101B-9397-08002B2CF9AE}" pid="3" name="Creator">
    <vt:lpwstr>Acrobat PDFMaker 10.1 for Word</vt:lpwstr>
  </property>
  <property fmtid="{D5CDD505-2E9C-101B-9397-08002B2CF9AE}" pid="4" name="LastSaved">
    <vt:filetime>2017-10-07T00:00:00Z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8DD8E5646103433BB22DF67FC2A0AB3E_12</vt:lpwstr>
  </property>
</Properties>
</file>