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C449">
      <w:pPr>
        <w:overflowPunct w:val="0"/>
        <w:spacing w:before="120" w:beforeLines="50" w:line="300" w:lineRule="auto"/>
        <w:jc w:val="center"/>
        <w:rPr>
          <w:rFonts w:cs="Times New Roman"/>
          <w:b/>
          <w:sz w:val="44"/>
          <w:szCs w:val="24"/>
          <w:lang w:eastAsia="zh-CN"/>
        </w:rPr>
      </w:pPr>
      <w:bookmarkStart w:id="16" w:name="_GoBack"/>
      <w:bookmarkEnd w:id="16"/>
      <w:r>
        <w:rPr>
          <w:rFonts w:cs="宋体"/>
          <w:b/>
          <w:sz w:val="44"/>
          <w:lang w:eastAsia="zh-CN"/>
        </w:rPr>
        <w:t>FDA对组合产品的反馈请求</w:t>
      </w:r>
    </w:p>
    <w:p w14:paraId="3C340660">
      <w:pPr>
        <w:overflowPunct w:val="0"/>
        <w:spacing w:before="120" w:beforeLines="50" w:line="300" w:lineRule="auto"/>
        <w:jc w:val="center"/>
        <w:rPr>
          <w:rFonts w:cs="Times New Roman"/>
          <w:b/>
          <w:sz w:val="44"/>
          <w:szCs w:val="24"/>
          <w:lang w:eastAsia="zh-CN"/>
        </w:rPr>
      </w:pPr>
      <w:r>
        <w:rPr>
          <w:rFonts w:cs="宋体"/>
          <w:b/>
          <w:sz w:val="44"/>
          <w:lang w:eastAsia="zh-CN"/>
        </w:rPr>
        <w:t>行业和FDA工作人员指南</w:t>
      </w:r>
    </w:p>
    <w:p w14:paraId="32E57342">
      <w:pPr>
        <w:overflowPunct w:val="0"/>
        <w:spacing w:before="120" w:beforeLines="50" w:line="300" w:lineRule="auto"/>
        <w:jc w:val="center"/>
        <w:rPr>
          <w:rFonts w:cs="Times New Roman"/>
          <w:b/>
          <w:i/>
          <w:sz w:val="32"/>
          <w:szCs w:val="24"/>
          <w:lang w:eastAsia="zh-CN"/>
        </w:rPr>
      </w:pPr>
      <w:r>
        <w:rPr>
          <w:rFonts w:cs="宋体"/>
          <w:b/>
          <w:i/>
          <w:sz w:val="32"/>
          <w:lang w:eastAsia="zh-CN"/>
        </w:rPr>
        <w:t>指南草案</w:t>
      </w:r>
    </w:p>
    <w:p w14:paraId="27837169">
      <w:pPr>
        <w:overflowPunct w:val="0"/>
        <w:spacing w:before="120" w:beforeLines="50" w:line="300" w:lineRule="auto"/>
        <w:jc w:val="center"/>
        <w:rPr>
          <w:rFonts w:cs="Times New Roman"/>
          <w:b/>
          <w:sz w:val="24"/>
          <w:szCs w:val="24"/>
          <w:lang w:eastAsia="zh-CN"/>
        </w:rPr>
      </w:pPr>
      <w:r>
        <w:rPr>
          <w:rFonts w:cs="宋体"/>
          <w:b/>
          <w:sz w:val="24"/>
          <w:lang w:eastAsia="zh-CN"/>
        </w:rPr>
        <w:t>本指南文件仅供征求意见</w:t>
      </w:r>
    </w:p>
    <w:p w14:paraId="78A29917">
      <w:pPr>
        <w:overflowPunct w:val="0"/>
        <w:spacing w:before="120" w:beforeLines="50" w:line="300" w:lineRule="auto"/>
        <w:rPr>
          <w:rFonts w:cs="Times New Roman"/>
          <w:sz w:val="24"/>
          <w:szCs w:val="24"/>
          <w:lang w:eastAsia="zh-CN"/>
        </w:rPr>
      </w:pPr>
      <w:r>
        <w:rPr>
          <w:rFonts w:cs="宋体"/>
          <w:sz w:val="24"/>
          <w:lang w:eastAsia="zh-CN"/>
        </w:rPr>
        <w:t>应在《联邦公报》刊登通知向公众宣布已发布本草案指南后的60天内提出针对本文件草案的意见和建议。可将电子版意见提交至</w:t>
      </w:r>
      <w:r>
        <w:rPr>
          <w:rFonts w:cs="宋体"/>
          <w:color w:val="0000FF"/>
          <w:sz w:val="24"/>
          <w:u w:val="single"/>
          <w:lang w:eastAsia="zh-CN"/>
        </w:rPr>
        <w:t>https://www.regulations.gov</w:t>
      </w:r>
      <w:r>
        <w:rPr>
          <w:rFonts w:cs="宋体"/>
          <w:sz w:val="24"/>
          <w:lang w:eastAsia="zh-CN"/>
        </w:rPr>
        <w:t>。请将书面意见提交至美国食品药品监督管理局文档管理工作人员，</w:t>
      </w:r>
      <w:r>
        <w:rPr>
          <w:rFonts w:hint="eastAsia" w:cs="宋体"/>
          <w:sz w:val="24"/>
          <w:lang w:eastAsia="zh-CN"/>
        </w:rPr>
        <w:t xml:space="preserve"> 地址为5630 Fishers Lane, Room 1061, (HFA-305), Rockville, MD 20852。</w:t>
      </w:r>
      <w:r>
        <w:rPr>
          <w:rFonts w:cs="宋体"/>
          <w:sz w:val="24"/>
          <w:lang w:eastAsia="zh-CN"/>
        </w:rPr>
        <w:t>所提交的意见中必须注明《联邦公报》发布的通知中列示的备案编号。</w:t>
      </w:r>
    </w:p>
    <w:p w14:paraId="10D8004B">
      <w:pPr>
        <w:overflowPunct w:val="0"/>
        <w:spacing w:before="120" w:beforeLines="50" w:line="300" w:lineRule="auto"/>
        <w:jc w:val="center"/>
        <w:rPr>
          <w:rFonts w:cs="Times New Roman"/>
          <w:i/>
          <w:sz w:val="24"/>
          <w:szCs w:val="24"/>
          <w:lang w:eastAsia="zh-CN"/>
        </w:rPr>
      </w:pPr>
      <w:r>
        <w:rPr>
          <w:rFonts w:cs="宋体"/>
          <w:i/>
          <w:sz w:val="24"/>
          <w:lang w:eastAsia="zh-CN"/>
        </w:rPr>
        <w:t>如需获取更多副本，请联系：</w:t>
      </w:r>
    </w:p>
    <w:p w14:paraId="498FF751">
      <w:pPr>
        <w:overflowPunct w:val="0"/>
        <w:spacing w:before="120" w:beforeLines="50" w:line="300" w:lineRule="auto"/>
        <w:jc w:val="center"/>
        <w:rPr>
          <w:rFonts w:cs="Times New Roman"/>
          <w:i/>
          <w:sz w:val="24"/>
          <w:szCs w:val="24"/>
          <w:lang w:eastAsia="zh-CN"/>
        </w:rPr>
      </w:pPr>
      <w:r>
        <w:rPr>
          <w:rFonts w:cs="宋体"/>
          <w:i/>
          <w:sz w:val="24"/>
          <w:lang w:eastAsia="zh-CN"/>
        </w:rPr>
        <w:t>组合产品办公室</w:t>
      </w:r>
    </w:p>
    <w:p w14:paraId="330FAF80">
      <w:pPr>
        <w:overflowPunct w:val="0"/>
        <w:spacing w:before="120" w:beforeLines="50" w:line="300" w:lineRule="auto"/>
        <w:jc w:val="center"/>
        <w:rPr>
          <w:rFonts w:cs="Times New Roman"/>
          <w:i/>
          <w:sz w:val="24"/>
          <w:szCs w:val="24"/>
          <w:lang w:eastAsia="zh-CN"/>
        </w:rPr>
      </w:pPr>
      <w:r>
        <w:rPr>
          <w:rFonts w:cs="宋体"/>
          <w:i/>
          <w:sz w:val="24"/>
          <w:lang w:eastAsia="zh-CN"/>
        </w:rPr>
        <w:t>美国食品药品监督管理局</w:t>
      </w:r>
    </w:p>
    <w:p w14:paraId="7BCC8981">
      <w:pPr>
        <w:overflowPunct w:val="0"/>
        <w:spacing w:before="120" w:beforeLines="50" w:line="300" w:lineRule="auto"/>
        <w:jc w:val="center"/>
        <w:rPr>
          <w:rFonts w:cs="Times New Roman"/>
          <w:i/>
          <w:sz w:val="24"/>
          <w:szCs w:val="24"/>
          <w:lang w:eastAsia="zh-CN"/>
        </w:rPr>
      </w:pPr>
      <w:r>
        <w:rPr>
          <w:rFonts w:cs="Times New Roman"/>
          <w:i/>
          <w:sz w:val="24"/>
          <w:szCs w:val="24"/>
        </w:rPr>
        <w:t>WO32, Hub/Mail Room #5129</w:t>
      </w:r>
    </w:p>
    <w:p w14:paraId="70C4090E">
      <w:pPr>
        <w:overflowPunct w:val="0"/>
        <w:spacing w:before="120" w:beforeLines="50" w:line="300" w:lineRule="auto"/>
        <w:jc w:val="center"/>
        <w:rPr>
          <w:rFonts w:cs="Times New Roman"/>
          <w:i/>
          <w:sz w:val="24"/>
          <w:szCs w:val="24"/>
        </w:rPr>
      </w:pPr>
      <w:r>
        <w:rPr>
          <w:rFonts w:cs="Times New Roman"/>
          <w:i/>
          <w:sz w:val="24"/>
          <w:szCs w:val="24"/>
        </w:rPr>
        <w:t>10903 New Hampshire Avenue</w:t>
      </w:r>
    </w:p>
    <w:p w14:paraId="2B9C4D35">
      <w:pPr>
        <w:overflowPunct w:val="0"/>
        <w:spacing w:before="120" w:beforeLines="50" w:line="300" w:lineRule="auto"/>
        <w:jc w:val="center"/>
        <w:rPr>
          <w:rFonts w:cs="Times New Roman"/>
          <w:i/>
          <w:sz w:val="24"/>
          <w:szCs w:val="24"/>
          <w:lang w:eastAsia="zh-CN"/>
        </w:rPr>
      </w:pPr>
      <w:r>
        <w:rPr>
          <w:rFonts w:cs="Times New Roman"/>
          <w:i/>
          <w:sz w:val="24"/>
          <w:szCs w:val="24"/>
        </w:rPr>
        <w:t>Silver Spring, MD 20993</w:t>
      </w:r>
    </w:p>
    <w:p w14:paraId="264AAC1E">
      <w:pPr>
        <w:overflowPunct w:val="0"/>
        <w:spacing w:before="120" w:beforeLines="50" w:line="300" w:lineRule="auto"/>
        <w:jc w:val="center"/>
        <w:rPr>
          <w:rFonts w:cs="Times New Roman"/>
          <w:i/>
          <w:sz w:val="24"/>
          <w:szCs w:val="24"/>
        </w:rPr>
      </w:pPr>
      <w:r>
        <w:rPr>
          <w:rFonts w:cs="Times New Roman"/>
          <w:i/>
          <w:sz w:val="24"/>
          <w:szCs w:val="24"/>
        </w:rPr>
        <w:t>（</w:t>
      </w:r>
      <w:r>
        <w:rPr>
          <w:rFonts w:hint="eastAsia" w:cs="Times New Roman"/>
          <w:i/>
          <w:sz w:val="24"/>
          <w:szCs w:val="24"/>
          <w:lang w:eastAsia="zh-CN"/>
        </w:rPr>
        <w:t>电话</w:t>
      </w:r>
      <w:r>
        <w:rPr>
          <w:rFonts w:cs="Times New Roman"/>
          <w:i/>
          <w:sz w:val="24"/>
          <w:szCs w:val="24"/>
        </w:rPr>
        <w:t>）301-796-8930</w:t>
      </w:r>
    </w:p>
    <w:p w14:paraId="19B9C7C7">
      <w:pPr>
        <w:overflowPunct w:val="0"/>
        <w:spacing w:before="120" w:beforeLines="50" w:line="300" w:lineRule="auto"/>
        <w:jc w:val="center"/>
        <w:rPr>
          <w:rFonts w:cs="Times New Roman"/>
          <w:i/>
          <w:sz w:val="24"/>
          <w:szCs w:val="24"/>
        </w:rPr>
      </w:pPr>
      <w:r>
        <w:rPr>
          <w:rFonts w:cs="Times New Roman"/>
          <w:i/>
          <w:sz w:val="24"/>
          <w:szCs w:val="24"/>
        </w:rPr>
        <w:t>（</w:t>
      </w:r>
      <w:r>
        <w:rPr>
          <w:rFonts w:hint="eastAsia" w:cs="Times New Roman"/>
          <w:i/>
          <w:sz w:val="24"/>
          <w:szCs w:val="24"/>
          <w:lang w:eastAsia="zh-CN"/>
        </w:rPr>
        <w:t>传真</w:t>
      </w:r>
      <w:r>
        <w:rPr>
          <w:rFonts w:cs="Times New Roman"/>
          <w:i/>
          <w:sz w:val="24"/>
          <w:szCs w:val="24"/>
        </w:rPr>
        <w:t>）301-847-8619</w:t>
      </w:r>
    </w:p>
    <w:p w14:paraId="0731DEB6">
      <w:pPr>
        <w:overflowPunct w:val="0"/>
        <w:spacing w:before="120" w:beforeLines="50" w:line="300" w:lineRule="auto"/>
        <w:jc w:val="center"/>
        <w:rPr>
          <w:rFonts w:cs="Times New Roman"/>
          <w:i/>
          <w:sz w:val="24"/>
          <w:szCs w:val="24"/>
        </w:rPr>
      </w:pPr>
      <w:r>
        <w:rPr>
          <w:rFonts w:cs="Times New Roman"/>
          <w:i/>
          <w:color w:val="0000FF"/>
          <w:sz w:val="24"/>
          <w:szCs w:val="24"/>
          <w:u w:val="single" w:color="0000FF"/>
        </w:rPr>
        <w:t>https://www.fda.gov/combination-products</w:t>
      </w:r>
    </w:p>
    <w:p w14:paraId="1F398F30">
      <w:pPr>
        <w:overflowPunct w:val="0"/>
        <w:spacing w:before="120" w:beforeLines="50" w:line="300" w:lineRule="auto"/>
        <w:rPr>
          <w:rFonts w:cs="Times New Roman"/>
          <w:sz w:val="24"/>
          <w:szCs w:val="24"/>
        </w:rPr>
      </w:pPr>
      <w:r>
        <w:rPr>
          <w:rFonts w:cs="宋体"/>
          <w:sz w:val="24"/>
        </w:rPr>
        <w:t>如对本文件有任何疑问，请致电301-796-8930或发送电子邮件至</w:t>
      </w:r>
      <w:r>
        <w:rPr>
          <w:rFonts w:cs="宋体"/>
          <w:color w:val="0000FF"/>
          <w:sz w:val="24"/>
          <w:u w:val="single"/>
        </w:rPr>
        <w:t>melissa.burns@fda.hhs.gov</w:t>
      </w:r>
      <w:r>
        <w:rPr>
          <w:rFonts w:cs="宋体"/>
          <w:sz w:val="24"/>
        </w:rPr>
        <w:t>联系组合产品办公室的Melissa Burns。</w:t>
      </w:r>
    </w:p>
    <w:p w14:paraId="7E36D836">
      <w:pPr>
        <w:overflowPunct w:val="0"/>
        <w:spacing w:before="120" w:beforeLines="50" w:line="300" w:lineRule="auto"/>
        <w:jc w:val="center"/>
        <w:rPr>
          <w:rFonts w:cs="Times New Roman"/>
          <w:b/>
          <w:sz w:val="24"/>
          <w:szCs w:val="24"/>
          <w:lang w:eastAsia="zh-CN"/>
        </w:rPr>
      </w:pPr>
      <w:r>
        <w:rPr>
          <w:rFonts w:cs="宋体"/>
          <w:b/>
          <w:sz w:val="24"/>
          <w:lang w:eastAsia="zh-CN"/>
        </w:rPr>
        <w:t>美国卫生与公共服务部</w:t>
      </w:r>
    </w:p>
    <w:p w14:paraId="19117D2A">
      <w:pPr>
        <w:overflowPunct w:val="0"/>
        <w:spacing w:before="120" w:beforeLines="50" w:line="300" w:lineRule="auto"/>
        <w:jc w:val="center"/>
        <w:rPr>
          <w:rFonts w:cs="Times New Roman"/>
          <w:b/>
          <w:sz w:val="24"/>
          <w:szCs w:val="24"/>
          <w:lang w:eastAsia="zh-CN"/>
        </w:rPr>
      </w:pPr>
      <w:r>
        <w:rPr>
          <w:rFonts w:cs="宋体"/>
          <w:b/>
          <w:sz w:val="24"/>
          <w:lang w:eastAsia="zh-CN"/>
        </w:rPr>
        <w:t>美国食品药品监督管理局</w:t>
      </w:r>
    </w:p>
    <w:p w14:paraId="4EFB7D50">
      <w:pPr>
        <w:overflowPunct w:val="0"/>
        <w:spacing w:before="120" w:beforeLines="50" w:line="300" w:lineRule="auto"/>
        <w:jc w:val="center"/>
        <w:rPr>
          <w:rFonts w:cs="Times New Roman"/>
          <w:b/>
          <w:sz w:val="24"/>
          <w:szCs w:val="24"/>
          <w:lang w:eastAsia="zh-CN"/>
        </w:rPr>
      </w:pPr>
      <w:r>
        <w:rPr>
          <w:rFonts w:cs="宋体"/>
          <w:b/>
          <w:sz w:val="24"/>
          <w:lang w:eastAsia="zh-CN"/>
        </w:rPr>
        <w:t>组合产品办公室（OCP）</w:t>
      </w:r>
    </w:p>
    <w:p w14:paraId="210343BA">
      <w:pPr>
        <w:overflowPunct w:val="0"/>
        <w:spacing w:before="120" w:beforeLines="50" w:line="300" w:lineRule="auto"/>
        <w:jc w:val="center"/>
        <w:rPr>
          <w:rFonts w:cs="Times New Roman"/>
          <w:b/>
          <w:sz w:val="24"/>
          <w:szCs w:val="24"/>
          <w:lang w:eastAsia="zh-CN"/>
        </w:rPr>
      </w:pPr>
      <w:r>
        <w:rPr>
          <w:rFonts w:cs="宋体"/>
          <w:b/>
          <w:sz w:val="24"/>
          <w:lang w:eastAsia="zh-CN"/>
        </w:rPr>
        <w:t>生物制品评价与研究中心（CBER）</w:t>
      </w:r>
    </w:p>
    <w:p w14:paraId="1549EBFF">
      <w:pPr>
        <w:overflowPunct w:val="0"/>
        <w:spacing w:before="120" w:beforeLines="50" w:line="300" w:lineRule="auto"/>
        <w:jc w:val="center"/>
        <w:rPr>
          <w:rFonts w:cs="Times New Roman"/>
          <w:b/>
          <w:sz w:val="24"/>
          <w:szCs w:val="24"/>
          <w:lang w:eastAsia="zh-CN"/>
        </w:rPr>
      </w:pPr>
      <w:r>
        <w:rPr>
          <w:rFonts w:cs="宋体"/>
          <w:b/>
          <w:sz w:val="24"/>
          <w:lang w:eastAsia="zh-CN"/>
        </w:rPr>
        <w:t>药品评价与研究中心（CDER）</w:t>
      </w:r>
    </w:p>
    <w:p w14:paraId="4FEF5CAB">
      <w:pPr>
        <w:overflowPunct w:val="0"/>
        <w:spacing w:before="120" w:beforeLines="50" w:line="300" w:lineRule="auto"/>
        <w:jc w:val="center"/>
        <w:rPr>
          <w:rFonts w:cs="Times New Roman"/>
          <w:b/>
          <w:sz w:val="24"/>
          <w:szCs w:val="24"/>
          <w:lang w:eastAsia="zh-CN"/>
        </w:rPr>
      </w:pPr>
      <w:r>
        <w:rPr>
          <w:rFonts w:cs="宋体"/>
          <w:b/>
          <w:sz w:val="24"/>
          <w:lang w:eastAsia="zh-CN"/>
        </w:rPr>
        <w:t>医疗器械和辐射健康中心（CDRH）</w:t>
      </w:r>
    </w:p>
    <w:p w14:paraId="2CC2ED74">
      <w:pPr>
        <w:overflowPunct w:val="0"/>
        <w:spacing w:before="120" w:beforeLines="50" w:line="300" w:lineRule="auto"/>
        <w:jc w:val="center"/>
        <w:rPr>
          <w:rFonts w:cs="Times New Roman"/>
          <w:b/>
          <w:sz w:val="24"/>
          <w:szCs w:val="24"/>
        </w:rPr>
      </w:pPr>
      <w:r>
        <w:rPr>
          <w:rFonts w:cs="宋体"/>
          <w:b/>
          <w:sz w:val="24"/>
        </w:rPr>
        <w:t>2019年12月</w:t>
      </w:r>
    </w:p>
    <w:p w14:paraId="4D1C531B">
      <w:pPr>
        <w:overflowPunct w:val="0"/>
        <w:spacing w:before="120" w:beforeLines="50" w:line="300" w:lineRule="auto"/>
        <w:rPr>
          <w:rFonts w:cs="Times New Roman"/>
          <w:b/>
          <w:sz w:val="24"/>
          <w:szCs w:val="24"/>
        </w:rPr>
        <w:sectPr>
          <w:headerReference r:id="rId3" w:type="default"/>
          <w:footerReference r:id="rId4" w:type="default"/>
          <w:pgSz w:w="11907" w:h="16840"/>
          <w:pgMar w:top="1418" w:right="1418" w:bottom="1418" w:left="1418" w:header="720" w:footer="720" w:gutter="0"/>
          <w:cols w:space="720" w:num="1"/>
          <w:docGrid w:linePitch="286" w:charSpace="0"/>
        </w:sectPr>
      </w:pPr>
    </w:p>
    <w:p w14:paraId="52AD1616">
      <w:pPr>
        <w:overflowPunct w:val="0"/>
        <w:spacing w:before="120" w:beforeLines="50" w:line="300" w:lineRule="auto"/>
        <w:jc w:val="center"/>
        <w:rPr>
          <w:rFonts w:cs="Times New Roman"/>
          <w:b/>
          <w:sz w:val="24"/>
          <w:szCs w:val="24"/>
        </w:rPr>
      </w:pPr>
      <w:r>
        <w:rPr>
          <w:rFonts w:cs="宋体"/>
          <w:b/>
          <w:sz w:val="24"/>
        </w:rPr>
        <w:t>目录</w:t>
      </w:r>
    </w:p>
    <w:p w14:paraId="0D25CEEE">
      <w:pPr>
        <w:pStyle w:val="11"/>
        <w:rPr>
          <w:rFonts w:asciiTheme="minorHAnsi" w:hAnsiTheme="minorHAnsi" w:eastAsiaTheme="minorEastAsia"/>
          <w:kern w:val="2"/>
          <w:sz w:val="21"/>
          <w:szCs w:val="22"/>
          <w:lang w:eastAsia="zh-CN"/>
        </w:rPr>
      </w:pPr>
      <w:r>
        <w:rPr>
          <w:rFonts w:cs="宋体"/>
          <w:lang w:eastAsia="zh-CN"/>
        </w:rPr>
        <w:fldChar w:fldCharType="begin"/>
      </w:r>
      <w:r>
        <w:rPr>
          <w:rFonts w:cs="宋体"/>
          <w:lang w:eastAsia="zh-CN"/>
        </w:rPr>
        <w:instrText xml:space="preserve"> TOC \o "1-3" \h \z \u </w:instrText>
      </w:r>
      <w:r>
        <w:rPr>
          <w:rFonts w:cs="宋体"/>
          <w:lang w:eastAsia="zh-CN"/>
        </w:rPr>
        <w:fldChar w:fldCharType="separate"/>
      </w:r>
      <w:r>
        <w:fldChar w:fldCharType="begin"/>
      </w:r>
      <w:r>
        <w:instrText xml:space="preserve"> HYPERLINK \l "_Toc97897453" </w:instrText>
      </w:r>
      <w:r>
        <w:fldChar w:fldCharType="separate"/>
      </w:r>
      <w:r>
        <w:rPr>
          <w:rStyle w:val="17"/>
          <w:rFonts w:cs="宋体"/>
          <w:lang w:eastAsia="zh-CN"/>
        </w:rPr>
        <w:t>I.</w:t>
      </w:r>
      <w:r>
        <w:rPr>
          <w:rFonts w:asciiTheme="minorHAnsi" w:hAnsiTheme="minorHAnsi" w:eastAsiaTheme="minorEastAsia"/>
          <w:kern w:val="2"/>
          <w:sz w:val="21"/>
          <w:szCs w:val="22"/>
          <w:lang w:eastAsia="zh-CN"/>
        </w:rPr>
        <w:tab/>
      </w:r>
      <w:r>
        <w:rPr>
          <w:rStyle w:val="17"/>
          <w:rFonts w:hint="eastAsia" w:cs="宋体"/>
          <w:lang w:eastAsia="zh-CN"/>
        </w:rPr>
        <w:t>引言</w:t>
      </w:r>
      <w:r>
        <w:tab/>
      </w:r>
      <w:r>
        <w:fldChar w:fldCharType="begin"/>
      </w:r>
      <w:r>
        <w:instrText xml:space="preserve"> PAGEREF _Toc97897453 \h </w:instrText>
      </w:r>
      <w:r>
        <w:fldChar w:fldCharType="separate"/>
      </w:r>
      <w:r>
        <w:t>2</w:t>
      </w:r>
      <w:r>
        <w:fldChar w:fldCharType="end"/>
      </w:r>
      <w:r>
        <w:fldChar w:fldCharType="end"/>
      </w:r>
    </w:p>
    <w:p w14:paraId="7E804312">
      <w:pPr>
        <w:pStyle w:val="11"/>
        <w:rPr>
          <w:rFonts w:asciiTheme="minorHAnsi" w:hAnsiTheme="minorHAnsi" w:eastAsiaTheme="minorEastAsia"/>
          <w:kern w:val="2"/>
          <w:sz w:val="21"/>
          <w:szCs w:val="22"/>
          <w:lang w:eastAsia="zh-CN"/>
        </w:rPr>
      </w:pPr>
      <w:r>
        <w:fldChar w:fldCharType="begin"/>
      </w:r>
      <w:r>
        <w:instrText xml:space="preserve"> HYPERLINK \l "_Toc97897454" </w:instrText>
      </w:r>
      <w:r>
        <w:fldChar w:fldCharType="separate"/>
      </w:r>
      <w:r>
        <w:rPr>
          <w:rStyle w:val="17"/>
          <w:rFonts w:cs="宋体"/>
          <w:lang w:eastAsia="zh-CN"/>
        </w:rPr>
        <w:t>II.</w:t>
      </w:r>
      <w:r>
        <w:rPr>
          <w:rFonts w:asciiTheme="minorHAnsi" w:hAnsiTheme="minorHAnsi" w:eastAsiaTheme="minorEastAsia"/>
          <w:kern w:val="2"/>
          <w:sz w:val="21"/>
          <w:szCs w:val="22"/>
          <w:lang w:eastAsia="zh-CN"/>
        </w:rPr>
        <w:tab/>
      </w:r>
      <w:r>
        <w:rPr>
          <w:rStyle w:val="17"/>
          <w:rFonts w:hint="eastAsia" w:cs="宋体"/>
          <w:lang w:eastAsia="zh-CN"/>
        </w:rPr>
        <w:t>背景</w:t>
      </w:r>
      <w:r>
        <w:tab/>
      </w:r>
      <w:r>
        <w:fldChar w:fldCharType="begin"/>
      </w:r>
      <w:r>
        <w:instrText xml:space="preserve"> PAGEREF _Toc97897454 \h </w:instrText>
      </w:r>
      <w:r>
        <w:fldChar w:fldCharType="separate"/>
      </w:r>
      <w:r>
        <w:t>3</w:t>
      </w:r>
      <w:r>
        <w:fldChar w:fldCharType="end"/>
      </w:r>
      <w:r>
        <w:fldChar w:fldCharType="end"/>
      </w:r>
    </w:p>
    <w:p w14:paraId="1999F5BD">
      <w:pPr>
        <w:pStyle w:val="12"/>
        <w:rPr>
          <w:rFonts w:asciiTheme="minorHAnsi" w:hAnsiTheme="minorHAnsi" w:eastAsiaTheme="minorEastAsia"/>
          <w:kern w:val="2"/>
          <w:sz w:val="21"/>
          <w:szCs w:val="22"/>
          <w:lang w:eastAsia="zh-CN"/>
        </w:rPr>
      </w:pPr>
      <w:r>
        <w:fldChar w:fldCharType="begin"/>
      </w:r>
      <w:r>
        <w:instrText xml:space="preserve"> HYPERLINK \l "_Toc97897455" </w:instrText>
      </w:r>
      <w:r>
        <w:fldChar w:fldCharType="separate"/>
      </w:r>
      <w:r>
        <w:rPr>
          <w:rStyle w:val="17"/>
          <w:rFonts w:cs="宋体"/>
          <w:lang w:eastAsia="zh-CN"/>
        </w:rPr>
        <w:t>A.</w:t>
      </w:r>
      <w:r>
        <w:rPr>
          <w:rFonts w:asciiTheme="minorHAnsi" w:hAnsiTheme="minorHAnsi" w:eastAsiaTheme="minorEastAsia"/>
          <w:kern w:val="2"/>
          <w:sz w:val="21"/>
          <w:szCs w:val="22"/>
          <w:lang w:eastAsia="zh-CN"/>
        </w:rPr>
        <w:tab/>
      </w:r>
      <w:r>
        <w:rPr>
          <w:rStyle w:val="17"/>
          <w:rFonts w:hint="eastAsia" w:cs="宋体"/>
          <w:lang w:eastAsia="zh-CN"/>
        </w:rPr>
        <w:t>什么是组合产品？</w:t>
      </w:r>
      <w:r>
        <w:tab/>
      </w:r>
      <w:r>
        <w:fldChar w:fldCharType="begin"/>
      </w:r>
      <w:r>
        <w:instrText xml:space="preserve"> PAGEREF _Toc97897455 \h </w:instrText>
      </w:r>
      <w:r>
        <w:fldChar w:fldCharType="separate"/>
      </w:r>
      <w:r>
        <w:t>3</w:t>
      </w:r>
      <w:r>
        <w:fldChar w:fldCharType="end"/>
      </w:r>
      <w:r>
        <w:fldChar w:fldCharType="end"/>
      </w:r>
    </w:p>
    <w:p w14:paraId="4275123A">
      <w:pPr>
        <w:pStyle w:val="12"/>
        <w:rPr>
          <w:rFonts w:asciiTheme="minorHAnsi" w:hAnsiTheme="minorHAnsi" w:eastAsiaTheme="minorEastAsia"/>
          <w:kern w:val="2"/>
          <w:sz w:val="21"/>
          <w:szCs w:val="22"/>
          <w:lang w:eastAsia="zh-CN"/>
        </w:rPr>
      </w:pPr>
      <w:r>
        <w:fldChar w:fldCharType="begin"/>
      </w:r>
      <w:r>
        <w:instrText xml:space="preserve"> HYPERLINK \l "_Toc97897456" </w:instrText>
      </w:r>
      <w:r>
        <w:fldChar w:fldCharType="separate"/>
      </w:r>
      <w:r>
        <w:rPr>
          <w:rStyle w:val="17"/>
          <w:rFonts w:cs="宋体"/>
          <w:lang w:eastAsia="zh-CN"/>
        </w:rPr>
        <w:t>B.</w:t>
      </w:r>
      <w:r>
        <w:rPr>
          <w:rFonts w:asciiTheme="minorHAnsi" w:hAnsiTheme="minorHAnsi" w:eastAsiaTheme="minorEastAsia"/>
          <w:kern w:val="2"/>
          <w:sz w:val="21"/>
          <w:szCs w:val="22"/>
          <w:lang w:eastAsia="zh-CN"/>
        </w:rPr>
        <w:tab/>
      </w:r>
      <w:r>
        <w:rPr>
          <w:rStyle w:val="17"/>
          <w:rFonts w:cs="宋体"/>
          <w:lang w:eastAsia="zh-CN"/>
        </w:rPr>
        <w:t>FDA</w:t>
      </w:r>
      <w:r>
        <w:rPr>
          <w:rStyle w:val="17"/>
          <w:rFonts w:hint="eastAsia" w:cs="宋体"/>
          <w:lang w:eastAsia="zh-CN"/>
        </w:rPr>
        <w:t>如何审查和监管组合产品？</w:t>
      </w:r>
      <w:r>
        <w:tab/>
      </w:r>
      <w:r>
        <w:fldChar w:fldCharType="begin"/>
      </w:r>
      <w:r>
        <w:instrText xml:space="preserve"> PAGEREF _Toc97897456 \h </w:instrText>
      </w:r>
      <w:r>
        <w:fldChar w:fldCharType="separate"/>
      </w:r>
      <w:r>
        <w:t>4</w:t>
      </w:r>
      <w:r>
        <w:fldChar w:fldCharType="end"/>
      </w:r>
      <w:r>
        <w:fldChar w:fldCharType="end"/>
      </w:r>
    </w:p>
    <w:p w14:paraId="20490840">
      <w:pPr>
        <w:pStyle w:val="12"/>
        <w:rPr>
          <w:rFonts w:asciiTheme="minorHAnsi" w:hAnsiTheme="minorHAnsi" w:eastAsiaTheme="minorEastAsia"/>
          <w:kern w:val="2"/>
          <w:sz w:val="21"/>
          <w:szCs w:val="22"/>
          <w:lang w:eastAsia="zh-CN"/>
        </w:rPr>
      </w:pPr>
      <w:r>
        <w:fldChar w:fldCharType="begin"/>
      </w:r>
      <w:r>
        <w:instrText xml:space="preserve"> HYPERLINK \l "_Toc97897457" </w:instrText>
      </w:r>
      <w:r>
        <w:fldChar w:fldCharType="separate"/>
      </w:r>
      <w:r>
        <w:rPr>
          <w:rStyle w:val="17"/>
          <w:rFonts w:cs="宋体"/>
          <w:lang w:eastAsia="zh-CN"/>
        </w:rPr>
        <w:t>C.</w:t>
      </w:r>
      <w:r>
        <w:rPr>
          <w:rFonts w:asciiTheme="minorHAnsi" w:hAnsiTheme="minorHAnsi" w:eastAsiaTheme="minorEastAsia"/>
          <w:kern w:val="2"/>
          <w:sz w:val="21"/>
          <w:szCs w:val="22"/>
          <w:lang w:eastAsia="zh-CN"/>
        </w:rPr>
        <w:tab/>
      </w:r>
      <w:r>
        <w:rPr>
          <w:rStyle w:val="17"/>
          <w:rFonts w:hint="eastAsia" w:cs="宋体"/>
          <w:lang w:eastAsia="zh-CN"/>
        </w:rPr>
        <w:t>如有初步或一般问题，应该联系谁？</w:t>
      </w:r>
      <w:r>
        <w:tab/>
      </w:r>
      <w:r>
        <w:fldChar w:fldCharType="begin"/>
      </w:r>
      <w:r>
        <w:instrText xml:space="preserve"> PAGEREF _Toc97897457 \h </w:instrText>
      </w:r>
      <w:r>
        <w:fldChar w:fldCharType="separate"/>
      </w:r>
      <w:r>
        <w:t>4</w:t>
      </w:r>
      <w:r>
        <w:fldChar w:fldCharType="end"/>
      </w:r>
      <w:r>
        <w:fldChar w:fldCharType="end"/>
      </w:r>
    </w:p>
    <w:p w14:paraId="2CCE362D">
      <w:pPr>
        <w:pStyle w:val="11"/>
        <w:rPr>
          <w:rFonts w:asciiTheme="minorHAnsi" w:hAnsiTheme="minorHAnsi" w:eastAsiaTheme="minorEastAsia"/>
          <w:kern w:val="2"/>
          <w:sz w:val="21"/>
          <w:szCs w:val="22"/>
          <w:lang w:eastAsia="zh-CN"/>
        </w:rPr>
      </w:pPr>
      <w:r>
        <w:fldChar w:fldCharType="begin"/>
      </w:r>
      <w:r>
        <w:instrText xml:space="preserve"> HYPERLINK \l "_Toc97897458" </w:instrText>
      </w:r>
      <w:r>
        <w:fldChar w:fldCharType="separate"/>
      </w:r>
      <w:r>
        <w:rPr>
          <w:rStyle w:val="17"/>
          <w:rFonts w:cs="宋体"/>
          <w:lang w:eastAsia="zh-CN"/>
        </w:rPr>
        <w:t>III.</w:t>
      </w:r>
      <w:r>
        <w:rPr>
          <w:rFonts w:asciiTheme="minorHAnsi" w:hAnsiTheme="minorHAnsi" w:eastAsiaTheme="minorEastAsia"/>
          <w:kern w:val="2"/>
          <w:sz w:val="21"/>
          <w:szCs w:val="22"/>
          <w:lang w:eastAsia="zh-CN"/>
        </w:rPr>
        <w:tab/>
      </w:r>
      <w:r>
        <w:rPr>
          <w:rStyle w:val="17"/>
          <w:rFonts w:cs="宋体"/>
          <w:lang w:eastAsia="zh-CN"/>
        </w:rPr>
        <w:t>FDA</w:t>
      </w:r>
      <w:r>
        <w:rPr>
          <w:rStyle w:val="17"/>
          <w:rFonts w:hint="eastAsia" w:cs="宋体"/>
          <w:lang w:eastAsia="zh-CN"/>
        </w:rPr>
        <w:t>与组合产品申请人之间交流的最佳实践</w:t>
      </w:r>
      <w:r>
        <w:tab/>
      </w:r>
      <w:r>
        <w:fldChar w:fldCharType="begin"/>
      </w:r>
      <w:r>
        <w:instrText xml:space="preserve"> PAGEREF _Toc97897458 \h </w:instrText>
      </w:r>
      <w:r>
        <w:fldChar w:fldCharType="separate"/>
      </w:r>
      <w:r>
        <w:t>5</w:t>
      </w:r>
      <w:r>
        <w:fldChar w:fldCharType="end"/>
      </w:r>
      <w:r>
        <w:fldChar w:fldCharType="end"/>
      </w:r>
    </w:p>
    <w:p w14:paraId="7E01154A">
      <w:pPr>
        <w:pStyle w:val="12"/>
        <w:rPr>
          <w:rFonts w:asciiTheme="minorHAnsi" w:hAnsiTheme="minorHAnsi" w:eastAsiaTheme="minorEastAsia"/>
          <w:kern w:val="2"/>
          <w:sz w:val="21"/>
          <w:szCs w:val="22"/>
          <w:lang w:eastAsia="zh-CN"/>
        </w:rPr>
      </w:pPr>
      <w:r>
        <w:fldChar w:fldCharType="begin"/>
      </w:r>
      <w:r>
        <w:instrText xml:space="preserve"> HYPERLINK \l "_Toc97897459" </w:instrText>
      </w:r>
      <w:r>
        <w:fldChar w:fldCharType="separate"/>
      </w:r>
      <w:r>
        <w:rPr>
          <w:rStyle w:val="17"/>
          <w:rFonts w:cs="宋体"/>
          <w:lang w:eastAsia="zh-CN"/>
        </w:rPr>
        <w:t>A.</w:t>
      </w:r>
      <w:r>
        <w:rPr>
          <w:rFonts w:asciiTheme="minorHAnsi" w:hAnsiTheme="minorHAnsi" w:eastAsiaTheme="minorEastAsia"/>
          <w:kern w:val="2"/>
          <w:sz w:val="21"/>
          <w:szCs w:val="22"/>
          <w:lang w:eastAsia="zh-CN"/>
        </w:rPr>
        <w:tab/>
      </w:r>
      <w:r>
        <w:rPr>
          <w:rStyle w:val="17"/>
          <w:rFonts w:hint="eastAsia" w:cs="宋体"/>
          <w:lang w:eastAsia="zh-CN"/>
        </w:rPr>
        <w:t>申请人最佳实践</w:t>
      </w:r>
      <w:r>
        <w:tab/>
      </w:r>
      <w:r>
        <w:fldChar w:fldCharType="begin"/>
      </w:r>
      <w:r>
        <w:instrText xml:space="preserve"> PAGEREF _Toc97897459 \h </w:instrText>
      </w:r>
      <w:r>
        <w:fldChar w:fldCharType="separate"/>
      </w:r>
      <w:r>
        <w:t>6</w:t>
      </w:r>
      <w:r>
        <w:fldChar w:fldCharType="end"/>
      </w:r>
      <w:r>
        <w:fldChar w:fldCharType="end"/>
      </w:r>
    </w:p>
    <w:p w14:paraId="0A9AB9E3">
      <w:pPr>
        <w:pStyle w:val="12"/>
        <w:rPr>
          <w:rFonts w:asciiTheme="minorHAnsi" w:hAnsiTheme="minorHAnsi" w:eastAsiaTheme="minorEastAsia"/>
          <w:kern w:val="2"/>
          <w:sz w:val="21"/>
          <w:szCs w:val="22"/>
          <w:lang w:eastAsia="zh-CN"/>
        </w:rPr>
      </w:pPr>
      <w:r>
        <w:fldChar w:fldCharType="begin"/>
      </w:r>
      <w:r>
        <w:instrText xml:space="preserve"> HYPERLINK \l "_Toc97897460" </w:instrText>
      </w:r>
      <w:r>
        <w:fldChar w:fldCharType="separate"/>
      </w:r>
      <w:r>
        <w:rPr>
          <w:rStyle w:val="17"/>
          <w:rFonts w:cs="宋体"/>
          <w:lang w:eastAsia="zh-CN"/>
        </w:rPr>
        <w:t>B.</w:t>
      </w:r>
      <w:r>
        <w:rPr>
          <w:rFonts w:asciiTheme="minorHAnsi" w:hAnsiTheme="minorHAnsi" w:eastAsiaTheme="minorEastAsia"/>
          <w:kern w:val="2"/>
          <w:sz w:val="21"/>
          <w:szCs w:val="22"/>
          <w:lang w:eastAsia="zh-CN"/>
        </w:rPr>
        <w:tab/>
      </w:r>
      <w:r>
        <w:rPr>
          <w:rStyle w:val="17"/>
          <w:rFonts w:cs="宋体"/>
          <w:lang w:eastAsia="zh-CN"/>
        </w:rPr>
        <w:t>FDA</w:t>
      </w:r>
      <w:r>
        <w:rPr>
          <w:rStyle w:val="17"/>
          <w:rFonts w:hint="eastAsia" w:cs="宋体"/>
          <w:lang w:eastAsia="zh-CN"/>
        </w:rPr>
        <w:t>最佳实践</w:t>
      </w:r>
      <w:r>
        <w:tab/>
      </w:r>
      <w:r>
        <w:fldChar w:fldCharType="begin"/>
      </w:r>
      <w:r>
        <w:instrText xml:space="preserve"> PAGEREF _Toc97897460 \h </w:instrText>
      </w:r>
      <w:r>
        <w:fldChar w:fldCharType="separate"/>
      </w:r>
      <w:r>
        <w:t>6</w:t>
      </w:r>
      <w:r>
        <w:fldChar w:fldCharType="end"/>
      </w:r>
      <w:r>
        <w:fldChar w:fldCharType="end"/>
      </w:r>
    </w:p>
    <w:p w14:paraId="6CD9F2A2">
      <w:pPr>
        <w:pStyle w:val="12"/>
        <w:rPr>
          <w:rFonts w:asciiTheme="minorHAnsi" w:hAnsiTheme="minorHAnsi" w:eastAsiaTheme="minorEastAsia"/>
          <w:kern w:val="2"/>
          <w:sz w:val="21"/>
          <w:szCs w:val="22"/>
          <w:lang w:eastAsia="zh-CN"/>
        </w:rPr>
      </w:pPr>
      <w:r>
        <w:fldChar w:fldCharType="begin"/>
      </w:r>
      <w:r>
        <w:instrText xml:space="preserve"> HYPERLINK \l "_Toc97897461" </w:instrText>
      </w:r>
      <w:r>
        <w:fldChar w:fldCharType="separate"/>
      </w:r>
      <w:r>
        <w:rPr>
          <w:rStyle w:val="17"/>
          <w:rFonts w:cs="宋体"/>
          <w:lang w:eastAsia="zh-CN"/>
        </w:rPr>
        <w:t>C.</w:t>
      </w:r>
      <w:r>
        <w:rPr>
          <w:rFonts w:asciiTheme="minorHAnsi" w:hAnsiTheme="minorHAnsi" w:eastAsiaTheme="minorEastAsia"/>
          <w:kern w:val="2"/>
          <w:sz w:val="21"/>
          <w:szCs w:val="22"/>
          <w:lang w:eastAsia="zh-CN"/>
        </w:rPr>
        <w:tab/>
      </w:r>
      <w:r>
        <w:rPr>
          <w:rStyle w:val="17"/>
          <w:rFonts w:hint="eastAsia" w:cs="宋体"/>
          <w:lang w:eastAsia="zh-CN"/>
        </w:rPr>
        <w:t>通过基于申请的机制请求提供组合产品反馈时应包括的信息</w:t>
      </w:r>
      <w:r>
        <w:tab/>
      </w:r>
      <w:r>
        <w:fldChar w:fldCharType="begin"/>
      </w:r>
      <w:r>
        <w:instrText xml:space="preserve"> PAGEREF _Toc97897461 \h </w:instrText>
      </w:r>
      <w:r>
        <w:fldChar w:fldCharType="separate"/>
      </w:r>
      <w:r>
        <w:t>7</w:t>
      </w:r>
      <w:r>
        <w:fldChar w:fldCharType="end"/>
      </w:r>
      <w:r>
        <w:fldChar w:fldCharType="end"/>
      </w:r>
    </w:p>
    <w:p w14:paraId="003E2166">
      <w:pPr>
        <w:pStyle w:val="12"/>
        <w:rPr>
          <w:rFonts w:asciiTheme="minorHAnsi" w:hAnsiTheme="minorHAnsi" w:eastAsiaTheme="minorEastAsia"/>
          <w:kern w:val="2"/>
          <w:sz w:val="21"/>
          <w:szCs w:val="22"/>
          <w:lang w:eastAsia="zh-CN"/>
        </w:rPr>
      </w:pPr>
      <w:r>
        <w:fldChar w:fldCharType="begin"/>
      </w:r>
      <w:r>
        <w:instrText xml:space="preserve"> HYPERLINK \l "_Toc97897462" </w:instrText>
      </w:r>
      <w:r>
        <w:fldChar w:fldCharType="separate"/>
      </w:r>
      <w:r>
        <w:rPr>
          <w:rStyle w:val="17"/>
          <w:rFonts w:cs="宋体"/>
          <w:lang w:eastAsia="zh-CN"/>
        </w:rPr>
        <w:t>D.</w:t>
      </w:r>
      <w:r>
        <w:rPr>
          <w:rFonts w:asciiTheme="minorHAnsi" w:hAnsiTheme="minorHAnsi" w:eastAsiaTheme="minorEastAsia"/>
          <w:kern w:val="2"/>
          <w:sz w:val="21"/>
          <w:szCs w:val="22"/>
          <w:lang w:eastAsia="zh-CN"/>
        </w:rPr>
        <w:tab/>
      </w:r>
      <w:r>
        <w:rPr>
          <w:rStyle w:val="17"/>
          <w:rFonts w:hint="eastAsia" w:cs="宋体"/>
          <w:lang w:eastAsia="zh-CN"/>
        </w:rPr>
        <w:t>通过</w:t>
      </w:r>
      <w:r>
        <w:rPr>
          <w:rStyle w:val="17"/>
          <w:rFonts w:cs="宋体"/>
          <w:lang w:eastAsia="zh-CN"/>
        </w:rPr>
        <w:t>CPAM</w:t>
      </w:r>
      <w:r>
        <w:rPr>
          <w:rStyle w:val="17"/>
          <w:rFonts w:hint="eastAsia" w:cs="宋体"/>
          <w:lang w:eastAsia="zh-CN"/>
        </w:rPr>
        <w:t>请求提供组合产品反馈时应包括的信息</w:t>
      </w:r>
      <w:r>
        <w:tab/>
      </w:r>
      <w:r>
        <w:fldChar w:fldCharType="begin"/>
      </w:r>
      <w:r>
        <w:instrText xml:space="preserve"> PAGEREF _Toc97897462 \h </w:instrText>
      </w:r>
      <w:r>
        <w:fldChar w:fldCharType="separate"/>
      </w:r>
      <w:r>
        <w:t>8</w:t>
      </w:r>
      <w:r>
        <w:fldChar w:fldCharType="end"/>
      </w:r>
      <w:r>
        <w:fldChar w:fldCharType="end"/>
      </w:r>
    </w:p>
    <w:p w14:paraId="6A93F2C9">
      <w:pPr>
        <w:pStyle w:val="11"/>
        <w:rPr>
          <w:rFonts w:asciiTheme="minorHAnsi" w:hAnsiTheme="minorHAnsi" w:eastAsiaTheme="minorEastAsia"/>
          <w:kern w:val="2"/>
          <w:sz w:val="21"/>
          <w:szCs w:val="22"/>
          <w:lang w:eastAsia="zh-CN"/>
        </w:rPr>
      </w:pPr>
      <w:r>
        <w:fldChar w:fldCharType="begin"/>
      </w:r>
      <w:r>
        <w:instrText xml:space="preserve"> HYPERLINK \l "_Toc97897463" </w:instrText>
      </w:r>
      <w:r>
        <w:fldChar w:fldCharType="separate"/>
      </w:r>
      <w:r>
        <w:rPr>
          <w:rStyle w:val="17"/>
          <w:rFonts w:cs="宋体"/>
          <w:lang w:eastAsia="zh-CN"/>
        </w:rPr>
        <w:t>IV.</w:t>
      </w:r>
      <w:r>
        <w:rPr>
          <w:rFonts w:asciiTheme="minorHAnsi" w:hAnsiTheme="minorHAnsi" w:eastAsiaTheme="minorEastAsia"/>
          <w:kern w:val="2"/>
          <w:sz w:val="21"/>
          <w:szCs w:val="22"/>
          <w:lang w:eastAsia="zh-CN"/>
        </w:rPr>
        <w:tab/>
      </w:r>
      <w:r>
        <w:rPr>
          <w:rStyle w:val="17"/>
          <w:rFonts w:hint="eastAsia" w:cs="宋体"/>
          <w:lang w:eastAsia="zh-CN"/>
        </w:rPr>
        <w:t>组合产品的可用反馈机制</w:t>
      </w:r>
      <w:r>
        <w:tab/>
      </w:r>
      <w:r>
        <w:fldChar w:fldCharType="begin"/>
      </w:r>
      <w:r>
        <w:instrText xml:space="preserve"> PAGEREF _Toc97897463 \h </w:instrText>
      </w:r>
      <w:r>
        <w:fldChar w:fldCharType="separate"/>
      </w:r>
      <w:r>
        <w:t>9</w:t>
      </w:r>
      <w:r>
        <w:fldChar w:fldCharType="end"/>
      </w:r>
      <w:r>
        <w:fldChar w:fldCharType="end"/>
      </w:r>
    </w:p>
    <w:p w14:paraId="48D5F3B8">
      <w:pPr>
        <w:pStyle w:val="12"/>
        <w:rPr>
          <w:rFonts w:asciiTheme="minorHAnsi" w:hAnsiTheme="minorHAnsi" w:eastAsiaTheme="minorEastAsia"/>
          <w:kern w:val="2"/>
          <w:sz w:val="21"/>
          <w:szCs w:val="22"/>
          <w:lang w:eastAsia="zh-CN"/>
        </w:rPr>
      </w:pPr>
      <w:r>
        <w:fldChar w:fldCharType="begin"/>
      </w:r>
      <w:r>
        <w:instrText xml:space="preserve"> HYPERLINK \l "_Toc97897464" </w:instrText>
      </w:r>
      <w:r>
        <w:fldChar w:fldCharType="separate"/>
      </w:r>
      <w:r>
        <w:rPr>
          <w:rStyle w:val="17"/>
          <w:rFonts w:cs="宋体"/>
          <w:lang w:eastAsia="zh-CN"/>
        </w:rPr>
        <w:t>A.</w:t>
      </w:r>
      <w:r>
        <w:rPr>
          <w:rFonts w:asciiTheme="minorHAnsi" w:hAnsiTheme="minorHAnsi" w:eastAsiaTheme="minorEastAsia"/>
          <w:kern w:val="2"/>
          <w:sz w:val="21"/>
          <w:szCs w:val="22"/>
          <w:lang w:eastAsia="zh-CN"/>
        </w:rPr>
        <w:tab/>
      </w:r>
      <w:r>
        <w:rPr>
          <w:rStyle w:val="17"/>
          <w:rFonts w:hint="eastAsia" w:cs="宋体"/>
          <w:lang w:eastAsia="zh-CN"/>
        </w:rPr>
        <w:t>基于申请的机制</w:t>
      </w:r>
      <w:r>
        <w:tab/>
      </w:r>
      <w:r>
        <w:fldChar w:fldCharType="begin"/>
      </w:r>
      <w:r>
        <w:instrText xml:space="preserve"> PAGEREF _Toc97897464 \h </w:instrText>
      </w:r>
      <w:r>
        <w:fldChar w:fldCharType="separate"/>
      </w:r>
      <w:r>
        <w:t>9</w:t>
      </w:r>
      <w:r>
        <w:fldChar w:fldCharType="end"/>
      </w:r>
      <w:r>
        <w:fldChar w:fldCharType="end"/>
      </w:r>
    </w:p>
    <w:p w14:paraId="52F3B4E1">
      <w:pPr>
        <w:pStyle w:val="12"/>
        <w:rPr>
          <w:rFonts w:asciiTheme="minorHAnsi" w:hAnsiTheme="minorHAnsi" w:eastAsiaTheme="minorEastAsia"/>
          <w:kern w:val="2"/>
          <w:sz w:val="21"/>
          <w:szCs w:val="22"/>
          <w:lang w:eastAsia="zh-CN"/>
        </w:rPr>
      </w:pPr>
      <w:r>
        <w:fldChar w:fldCharType="begin"/>
      </w:r>
      <w:r>
        <w:instrText xml:space="preserve"> HYPERLINK \l "_Toc97897465" </w:instrText>
      </w:r>
      <w:r>
        <w:fldChar w:fldCharType="separate"/>
      </w:r>
      <w:r>
        <w:rPr>
          <w:rStyle w:val="17"/>
          <w:rFonts w:cs="宋体"/>
          <w:lang w:eastAsia="zh-CN"/>
        </w:rPr>
        <w:t>B.</w:t>
      </w:r>
      <w:r>
        <w:rPr>
          <w:rFonts w:asciiTheme="minorHAnsi" w:hAnsiTheme="minorHAnsi" w:eastAsiaTheme="minorEastAsia"/>
          <w:kern w:val="2"/>
          <w:sz w:val="21"/>
          <w:szCs w:val="22"/>
          <w:lang w:eastAsia="zh-CN"/>
        </w:rPr>
        <w:tab/>
      </w:r>
      <w:r>
        <w:rPr>
          <w:rStyle w:val="17"/>
          <w:rFonts w:hint="eastAsia" w:cs="宋体"/>
          <w:lang w:eastAsia="zh-CN"/>
        </w:rPr>
        <w:t>组合产品协议会议（</w:t>
      </w:r>
      <w:r>
        <w:rPr>
          <w:rStyle w:val="17"/>
          <w:rFonts w:cs="宋体"/>
          <w:lang w:eastAsia="zh-CN"/>
        </w:rPr>
        <w:t>CPAM</w:t>
      </w:r>
      <w:r>
        <w:rPr>
          <w:rStyle w:val="17"/>
          <w:rFonts w:hint="eastAsia" w:cs="宋体"/>
          <w:lang w:eastAsia="zh-CN"/>
        </w:rPr>
        <w:t>）</w:t>
      </w:r>
      <w:r>
        <w:tab/>
      </w:r>
      <w:r>
        <w:fldChar w:fldCharType="begin"/>
      </w:r>
      <w:r>
        <w:instrText xml:space="preserve"> PAGEREF _Toc97897465 \h </w:instrText>
      </w:r>
      <w:r>
        <w:fldChar w:fldCharType="separate"/>
      </w:r>
      <w:r>
        <w:t>10</w:t>
      </w:r>
      <w:r>
        <w:fldChar w:fldCharType="end"/>
      </w:r>
      <w:r>
        <w:fldChar w:fldCharType="end"/>
      </w:r>
    </w:p>
    <w:p w14:paraId="6A6F102D">
      <w:pPr>
        <w:pStyle w:val="11"/>
        <w:rPr>
          <w:rFonts w:asciiTheme="minorHAnsi" w:hAnsiTheme="minorHAnsi" w:eastAsiaTheme="minorEastAsia"/>
          <w:kern w:val="2"/>
          <w:sz w:val="21"/>
          <w:szCs w:val="22"/>
          <w:lang w:eastAsia="zh-CN"/>
        </w:rPr>
      </w:pPr>
      <w:r>
        <w:fldChar w:fldCharType="begin"/>
      </w:r>
      <w:r>
        <w:instrText xml:space="preserve"> HYPERLINK \l "_Toc97897466" </w:instrText>
      </w:r>
      <w:r>
        <w:fldChar w:fldCharType="separate"/>
      </w:r>
      <w:r>
        <w:rPr>
          <w:rStyle w:val="17"/>
          <w:rFonts w:hint="eastAsia" w:cs="宋体"/>
          <w:lang w:eastAsia="zh-CN"/>
        </w:rPr>
        <w:t>附录</w:t>
      </w:r>
      <w:r>
        <w:rPr>
          <w:rStyle w:val="17"/>
          <w:rFonts w:cs="宋体"/>
          <w:lang w:eastAsia="zh-CN"/>
        </w:rPr>
        <w:t xml:space="preserve">1. </w:t>
      </w:r>
      <w:r>
        <w:rPr>
          <w:rStyle w:val="17"/>
          <w:rFonts w:hint="eastAsia" w:cs="宋体"/>
          <w:lang w:eastAsia="zh-CN"/>
        </w:rPr>
        <w:t>器械主导型组合产品的基于申请的机制示例</w:t>
      </w:r>
      <w:r>
        <w:tab/>
      </w:r>
      <w:r>
        <w:fldChar w:fldCharType="begin"/>
      </w:r>
      <w:r>
        <w:instrText xml:space="preserve"> PAGEREF _Toc97897466 \h </w:instrText>
      </w:r>
      <w:r>
        <w:fldChar w:fldCharType="separate"/>
      </w:r>
      <w:r>
        <w:t>15</w:t>
      </w:r>
      <w:r>
        <w:fldChar w:fldCharType="end"/>
      </w:r>
      <w:r>
        <w:fldChar w:fldCharType="end"/>
      </w:r>
    </w:p>
    <w:p w14:paraId="41CC7287">
      <w:pPr>
        <w:pStyle w:val="11"/>
        <w:rPr>
          <w:rFonts w:asciiTheme="minorHAnsi" w:hAnsiTheme="minorHAnsi" w:eastAsiaTheme="minorEastAsia"/>
          <w:kern w:val="2"/>
          <w:sz w:val="21"/>
          <w:szCs w:val="22"/>
          <w:lang w:eastAsia="zh-CN"/>
        </w:rPr>
      </w:pPr>
      <w:r>
        <w:fldChar w:fldCharType="begin"/>
      </w:r>
      <w:r>
        <w:instrText xml:space="preserve"> HYPERLINK \l "_Toc97897467" </w:instrText>
      </w:r>
      <w:r>
        <w:fldChar w:fldCharType="separate"/>
      </w:r>
      <w:r>
        <w:rPr>
          <w:rStyle w:val="17"/>
          <w:rFonts w:hint="eastAsia" w:cs="宋体"/>
          <w:lang w:eastAsia="zh-CN"/>
        </w:rPr>
        <w:t>附录</w:t>
      </w:r>
      <w:r>
        <w:rPr>
          <w:rStyle w:val="17"/>
          <w:rFonts w:cs="宋体"/>
          <w:lang w:eastAsia="zh-CN"/>
        </w:rPr>
        <w:t xml:space="preserve">2. </w:t>
      </w:r>
      <w:r>
        <w:rPr>
          <w:rStyle w:val="17"/>
          <w:rFonts w:hint="eastAsia" w:cs="宋体"/>
          <w:lang w:eastAsia="zh-CN"/>
        </w:rPr>
        <w:t>药物或生物制品主导型组合产品的基于申请的机制示例</w:t>
      </w:r>
      <w:r>
        <w:tab/>
      </w:r>
      <w:r>
        <w:fldChar w:fldCharType="begin"/>
      </w:r>
      <w:r>
        <w:instrText xml:space="preserve"> PAGEREF _Toc97897467 \h </w:instrText>
      </w:r>
      <w:r>
        <w:fldChar w:fldCharType="separate"/>
      </w:r>
      <w:r>
        <w:t>16</w:t>
      </w:r>
      <w:r>
        <w:fldChar w:fldCharType="end"/>
      </w:r>
      <w:r>
        <w:fldChar w:fldCharType="end"/>
      </w:r>
    </w:p>
    <w:p w14:paraId="4C92C27C">
      <w:pPr>
        <w:overflowPunct w:val="0"/>
        <w:spacing w:before="120" w:beforeLines="50" w:line="300" w:lineRule="auto"/>
        <w:jc w:val="center"/>
        <w:rPr>
          <w:rFonts w:cs="Times New Roman"/>
          <w:b/>
          <w:sz w:val="44"/>
          <w:szCs w:val="24"/>
          <w:lang w:eastAsia="zh-CN"/>
        </w:rPr>
      </w:pPr>
      <w:r>
        <w:rPr>
          <w:rFonts w:cs="宋体"/>
          <w:sz w:val="24"/>
          <w:lang w:eastAsia="zh-CN"/>
        </w:rPr>
        <w:fldChar w:fldCharType="end"/>
      </w:r>
      <w:r>
        <w:rPr>
          <w:rFonts w:cs="宋体"/>
          <w:sz w:val="24"/>
          <w:lang w:eastAsia="zh-CN"/>
        </w:rPr>
        <w:br w:type="page"/>
      </w:r>
      <w:r>
        <w:rPr>
          <w:rFonts w:cs="宋体"/>
          <w:b/>
          <w:sz w:val="24"/>
          <w:lang w:eastAsia="zh-CN"/>
        </w:rPr>
        <w:t>FDA对组合产品的反馈请求</w:t>
      </w:r>
    </w:p>
    <w:p w14:paraId="353BF5A0">
      <w:pPr>
        <w:overflowPunct w:val="0"/>
        <w:spacing w:before="120" w:beforeLines="50" w:line="300" w:lineRule="auto"/>
        <w:jc w:val="center"/>
        <w:rPr>
          <w:rFonts w:cs="Times New Roman"/>
          <w:b/>
          <w:sz w:val="44"/>
          <w:szCs w:val="24"/>
          <w:lang w:eastAsia="zh-CN"/>
        </w:rPr>
      </w:pPr>
      <w:r>
        <w:rPr>
          <w:rFonts w:cs="宋体"/>
          <w:b/>
          <w:sz w:val="44"/>
          <w:lang w:eastAsia="zh-CN"/>
        </w:rPr>
        <w:t>行业和FDA工作人员指南</w:t>
      </w:r>
    </w:p>
    <w:p w14:paraId="584AC826">
      <w:pPr>
        <w:pBdr>
          <w:top w:val="single" w:color="auto" w:sz="4" w:space="1"/>
          <w:left w:val="single" w:color="auto" w:sz="4" w:space="4"/>
          <w:bottom w:val="single" w:color="auto" w:sz="4" w:space="1"/>
          <w:right w:val="single" w:color="auto" w:sz="4" w:space="4"/>
        </w:pBdr>
        <w:overflowPunct w:val="0"/>
        <w:spacing w:before="120" w:beforeLines="50" w:line="300" w:lineRule="auto"/>
        <w:rPr>
          <w:rFonts w:cs="Times New Roman"/>
          <w:b/>
          <w:bCs/>
          <w:i/>
          <w:iCs/>
          <w:sz w:val="24"/>
          <w:szCs w:val="24"/>
          <w:lang w:eastAsia="zh-CN"/>
        </w:rPr>
      </w:pPr>
      <w:r>
        <w:rPr>
          <w:rFonts w:hint="eastAsia" w:cs="宋体"/>
          <w:b/>
          <w:bCs/>
          <w:i/>
          <w:iCs/>
          <w:sz w:val="24"/>
          <w:lang w:eastAsia="zh-CN"/>
        </w:rPr>
        <w:t>本指南草案的定稿将代表美国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p w14:paraId="47ED4F84">
      <w:pPr>
        <w:pStyle w:val="2"/>
        <w:overflowPunct w:val="0"/>
        <w:rPr>
          <w:lang w:eastAsia="zh-CN"/>
        </w:rPr>
      </w:pPr>
      <w:bookmarkStart w:id="0" w:name="_Toc97897453"/>
      <w:r>
        <w:rPr>
          <w:rFonts w:cs="宋体"/>
          <w:lang w:eastAsia="zh-CN"/>
        </w:rPr>
        <w:t>I.</w:t>
      </w:r>
      <w:r>
        <w:rPr>
          <w:rFonts w:cs="宋体"/>
          <w:lang w:eastAsia="zh-CN"/>
        </w:rPr>
        <w:tab/>
      </w:r>
      <w:r>
        <w:rPr>
          <w:rFonts w:cs="宋体"/>
          <w:lang w:eastAsia="zh-CN"/>
        </w:rPr>
        <w:t>引言</w:t>
      </w:r>
      <w:bookmarkEnd w:id="0"/>
    </w:p>
    <w:p w14:paraId="76106280">
      <w:pPr>
        <w:overflowPunct w:val="0"/>
        <w:spacing w:before="120" w:beforeLines="50" w:line="300" w:lineRule="auto"/>
        <w:rPr>
          <w:rFonts w:cs="宋体"/>
          <w:sz w:val="24"/>
          <w:lang w:eastAsia="zh-CN"/>
        </w:rPr>
      </w:pPr>
      <w:r>
        <w:rPr>
          <w:rFonts w:cs="宋体"/>
          <w:sz w:val="24"/>
          <w:lang w:eastAsia="zh-CN"/>
        </w:rPr>
        <w:t>本指南的目的是讨论组合产品申请人</w:t>
      </w:r>
      <w:r>
        <w:rPr>
          <w:rFonts w:cs="宋体"/>
          <w:sz w:val="24"/>
          <w:vertAlign w:val="superscript"/>
          <w:lang w:eastAsia="zh-CN"/>
        </w:rPr>
        <w:t>1</w:t>
      </w:r>
      <w:r>
        <w:rPr>
          <w:rFonts w:cs="宋体"/>
          <w:sz w:val="24"/>
          <w:lang w:eastAsia="zh-CN"/>
        </w:rPr>
        <w:t>获得FDA关于科学和监管问题的反馈的方式，并描述FDA和申请人就此类主题进行交流时的最佳实践。</w:t>
      </w:r>
      <w:r>
        <w:rPr>
          <w:rFonts w:cs="宋体"/>
          <w:sz w:val="24"/>
          <w:vertAlign w:val="superscript"/>
          <w:lang w:eastAsia="zh-CN"/>
        </w:rPr>
        <w:t>2</w:t>
      </w:r>
      <w:r>
        <w:rPr>
          <w:rFonts w:cs="宋体"/>
          <w:sz w:val="24"/>
          <w:lang w:eastAsia="zh-CN"/>
        </w:rPr>
        <w:t>此类交流可以通过基于申请的机制（通常是最有效的方法），例如CDRH和CBER使用的预申请过程</w:t>
      </w:r>
      <w:r>
        <w:rPr>
          <w:rFonts w:cs="宋体"/>
          <w:sz w:val="24"/>
          <w:vertAlign w:val="superscript"/>
          <w:lang w:eastAsia="zh-CN"/>
        </w:rPr>
        <w:t>3</w:t>
      </w:r>
      <w:r>
        <w:rPr>
          <w:rFonts w:cs="宋体"/>
          <w:sz w:val="24"/>
          <w:lang w:eastAsia="zh-CN"/>
        </w:rPr>
        <w:t>和CDER和CBER采用的正式会议</w:t>
      </w:r>
      <w:r>
        <w:rPr>
          <w:rFonts w:cs="宋体"/>
          <w:sz w:val="24"/>
          <w:vertAlign w:val="superscript"/>
          <w:lang w:eastAsia="zh-CN"/>
        </w:rPr>
        <w:t>4</w:t>
      </w:r>
      <w:r>
        <w:rPr>
          <w:rFonts w:cs="宋体"/>
          <w:sz w:val="24"/>
          <w:lang w:eastAsia="zh-CN"/>
        </w:rPr>
        <w:t>，或通过组合产品协议会议（CPAM）</w:t>
      </w:r>
      <w:r>
        <w:rPr>
          <w:rFonts w:cs="宋体"/>
          <w:sz w:val="24"/>
          <w:vertAlign w:val="superscript"/>
          <w:lang w:eastAsia="zh-CN"/>
        </w:rPr>
        <w:t>5</w:t>
      </w:r>
      <w:r>
        <w:rPr>
          <w:rFonts w:cs="宋体"/>
          <w:sz w:val="24"/>
          <w:lang w:eastAsia="zh-CN"/>
        </w:rPr>
        <w:t>（如适用）进行。</w:t>
      </w:r>
    </w:p>
    <w:p w14:paraId="6D9FC9C0">
      <w:pPr>
        <w:pStyle w:val="23"/>
        <w:overflowPunct w:val="0"/>
        <w:rPr>
          <w:lang w:eastAsia="zh-CN"/>
        </w:rPr>
      </w:pPr>
      <w:r>
        <w:rPr>
          <w:rFonts w:cs="宋体"/>
          <w:lang w:eastAsia="zh-CN"/>
        </w:rPr>
        <w:t>______________________</w:t>
      </w:r>
    </w:p>
    <w:p w14:paraId="260BB154">
      <w:pPr>
        <w:pStyle w:val="23"/>
        <w:overflowPunct w:val="0"/>
        <w:rPr>
          <w:sz w:val="18"/>
          <w:szCs w:val="18"/>
          <w:lang w:eastAsia="zh-CN"/>
        </w:rPr>
      </w:pPr>
      <w:r>
        <w:rPr>
          <w:rFonts w:cs="宋体"/>
          <w:sz w:val="18"/>
          <w:szCs w:val="18"/>
          <w:vertAlign w:val="superscript"/>
          <w:lang w:eastAsia="zh-CN"/>
        </w:rPr>
        <w:t xml:space="preserve">1 </w:t>
      </w:r>
      <w:r>
        <w:rPr>
          <w:rFonts w:cs="宋体"/>
          <w:sz w:val="18"/>
          <w:szCs w:val="18"/>
          <w:lang w:eastAsia="zh-CN"/>
        </w:rPr>
        <w:tab/>
      </w:r>
      <w:r>
        <w:rPr>
          <w:rFonts w:cs="宋体"/>
          <w:sz w:val="18"/>
          <w:szCs w:val="18"/>
          <w:lang w:eastAsia="zh-CN"/>
        </w:rPr>
        <w:t>根据21 CFR 3.2中的定义，“申请人”是指向FDA提交或计划提交上市前审查申请的任何人（例如，正在为未来的申请开发组合产品并希望就其组合产品的相关科学或监管问题与FDA进行交流的实体）。在本指南草案中，术语“申请”包括新药临床试验申请（IND）、新药申请（NDA）、简化新药申请（ANDA）、</w:t>
      </w:r>
      <w:r>
        <w:rPr>
          <w:rFonts w:hint="eastAsia" w:cs="宋体"/>
          <w:sz w:val="18"/>
          <w:szCs w:val="18"/>
          <w:lang w:eastAsia="zh-CN"/>
        </w:rPr>
        <w:t>试验</w:t>
      </w:r>
      <w:r>
        <w:rPr>
          <w:rFonts w:cs="宋体"/>
          <w:sz w:val="18"/>
          <w:szCs w:val="18"/>
          <w:lang w:eastAsia="zh-CN"/>
        </w:rPr>
        <w:t>用器械豁免（IDE）申请、上市前批准申请（PMA）、上市前通知（510(k)）、人道主义器械豁免（HDE）申请、产品开发计划（PDP）、根据《联邦食品、药品和化妆品法案》（《FD&amp;C法案》）第513(f)(2)节提交的分类申请（创新产品分类及申请）和生物制品许可申请（BLA）。请注意，HDE可能不是组合产品上市的适当途径。如对组合产品HDE途径的可用性有任何疑问，请发送电子邮件至</w:t>
      </w:r>
      <w:r>
        <w:rPr>
          <w:rFonts w:cs="宋体"/>
          <w:color w:val="0000FF"/>
          <w:sz w:val="18"/>
          <w:szCs w:val="18"/>
          <w:u w:val="single"/>
          <w:lang w:eastAsia="zh-CN"/>
        </w:rPr>
        <w:t>atcombination@fda.gov</w:t>
      </w:r>
      <w:r>
        <w:rPr>
          <w:rFonts w:cs="宋体"/>
          <w:sz w:val="18"/>
          <w:szCs w:val="18"/>
          <w:lang w:eastAsia="zh-CN"/>
        </w:rPr>
        <w:t>联系组合产品办公室。</w:t>
      </w:r>
    </w:p>
    <w:p w14:paraId="299EB09E">
      <w:pPr>
        <w:pStyle w:val="23"/>
        <w:overflowPunct w:val="0"/>
        <w:rPr>
          <w:sz w:val="18"/>
          <w:szCs w:val="18"/>
          <w:lang w:eastAsia="zh-CN"/>
        </w:rPr>
      </w:pPr>
      <w:r>
        <w:rPr>
          <w:rFonts w:cs="宋体"/>
          <w:sz w:val="18"/>
          <w:szCs w:val="18"/>
          <w:vertAlign w:val="superscript"/>
          <w:lang w:eastAsia="zh-CN"/>
        </w:rPr>
        <w:t xml:space="preserve">2 </w:t>
      </w:r>
      <w:r>
        <w:rPr>
          <w:rFonts w:cs="宋体"/>
          <w:sz w:val="18"/>
          <w:szCs w:val="18"/>
          <w:lang w:eastAsia="zh-CN"/>
        </w:rPr>
        <w:tab/>
      </w:r>
      <w:r>
        <w:rPr>
          <w:rFonts w:cs="宋体"/>
          <w:sz w:val="18"/>
          <w:szCs w:val="18"/>
          <w:lang w:eastAsia="zh-CN"/>
        </w:rPr>
        <w:t>关于组合产品上市前审查原则的更多信息，包括如何确定适当类型的申请，请参见《</w:t>
      </w:r>
      <w:r>
        <w:rPr>
          <w:rFonts w:cs="宋体"/>
          <w:color w:val="0000FF"/>
          <w:sz w:val="18"/>
          <w:szCs w:val="18"/>
          <w:u w:val="single"/>
          <w:lang w:eastAsia="zh-CN"/>
        </w:rPr>
        <w:t>组合产品上市前途径原则：面向行业和FDA工作人员的指南草案</w:t>
      </w:r>
      <w:r>
        <w:rPr>
          <w:rFonts w:cs="宋体"/>
          <w:sz w:val="18"/>
          <w:szCs w:val="18"/>
          <w:lang w:eastAsia="zh-CN"/>
        </w:rPr>
        <w:t>》，该草案定稿后将代表FDA目前对该议题的看法。</w:t>
      </w:r>
    </w:p>
    <w:p w14:paraId="47EA73B7">
      <w:pPr>
        <w:pStyle w:val="23"/>
        <w:overflowPunct w:val="0"/>
        <w:rPr>
          <w:i/>
          <w:sz w:val="18"/>
          <w:szCs w:val="18"/>
          <w:lang w:eastAsia="zh-CN"/>
        </w:rPr>
      </w:pPr>
      <w:r>
        <w:rPr>
          <w:rFonts w:cs="宋体"/>
          <w:sz w:val="18"/>
          <w:szCs w:val="18"/>
          <w:vertAlign w:val="superscript"/>
          <w:lang w:eastAsia="zh-CN"/>
        </w:rPr>
        <w:t xml:space="preserve">3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医疗器械申请的反馈和会议申请：Q-申请计划 - 面向行业和美国食品药品监督管理局工作人员的指南</w:t>
      </w:r>
      <w:r>
        <w:rPr>
          <w:rFonts w:cs="宋体"/>
          <w:sz w:val="18"/>
          <w:szCs w:val="18"/>
          <w:lang w:eastAsia="zh-CN"/>
        </w:rPr>
        <w:t>》。</w:t>
      </w:r>
    </w:p>
    <w:p w14:paraId="086616EA">
      <w:pPr>
        <w:pStyle w:val="23"/>
        <w:overflowPunct w:val="0"/>
        <w:rPr>
          <w:sz w:val="18"/>
          <w:szCs w:val="18"/>
          <w:lang w:eastAsia="zh-CN"/>
        </w:rPr>
      </w:pPr>
      <w:r>
        <w:rPr>
          <w:rFonts w:cs="宋体"/>
          <w:sz w:val="18"/>
          <w:szCs w:val="18"/>
          <w:vertAlign w:val="superscript"/>
          <w:lang w:eastAsia="zh-CN"/>
        </w:rPr>
        <w:t xml:space="preserve">4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FDA与PDUFA产品申请人或申请人之间的正式会议：行业指南草案</w:t>
      </w:r>
      <w:r>
        <w:rPr>
          <w:rFonts w:cs="宋体"/>
          <w:sz w:val="18"/>
          <w:szCs w:val="18"/>
          <w:lang w:eastAsia="zh-CN"/>
        </w:rPr>
        <w:t>》、《</w:t>
      </w:r>
      <w:r>
        <w:rPr>
          <w:rFonts w:cs="宋体"/>
          <w:color w:val="0000FF"/>
          <w:sz w:val="18"/>
          <w:szCs w:val="18"/>
          <w:u w:val="single"/>
          <w:lang w:eastAsia="zh-CN"/>
        </w:rPr>
        <w:t>FDA与BsUFA产品申请人或申请人之间的正式会议：行业指南草案</w:t>
      </w:r>
      <w:r>
        <w:rPr>
          <w:rFonts w:cs="宋体"/>
          <w:sz w:val="18"/>
          <w:szCs w:val="18"/>
          <w:lang w:eastAsia="zh-CN"/>
        </w:rPr>
        <w:t>》以及《</w:t>
      </w:r>
      <w:r>
        <w:rPr>
          <w:rFonts w:cs="宋体"/>
          <w:color w:val="0000FF"/>
          <w:sz w:val="18"/>
          <w:szCs w:val="18"/>
          <w:u w:val="single"/>
          <w:lang w:eastAsia="zh-CN"/>
        </w:rPr>
        <w:t>FDA与复杂产品ANDA申请人根据GDUFA举行的正式会议：行业指南草案</w:t>
      </w:r>
      <w:r>
        <w:rPr>
          <w:rFonts w:cs="宋体"/>
          <w:sz w:val="18"/>
          <w:szCs w:val="18"/>
          <w:lang w:eastAsia="zh-CN"/>
        </w:rPr>
        <w:t>》。最终定稿后，此类指南可代表FDA目前关于此类议题的看法。</w:t>
      </w:r>
    </w:p>
    <w:p w14:paraId="4F89C3E8">
      <w:pPr>
        <w:pStyle w:val="23"/>
        <w:overflowPunct w:val="0"/>
        <w:rPr>
          <w:sz w:val="18"/>
          <w:szCs w:val="18"/>
          <w:lang w:eastAsia="zh-CN"/>
        </w:rPr>
      </w:pPr>
      <w:r>
        <w:rPr>
          <w:rFonts w:cs="宋体"/>
          <w:sz w:val="18"/>
          <w:szCs w:val="18"/>
          <w:vertAlign w:val="superscript"/>
          <w:lang w:eastAsia="zh-CN"/>
        </w:rPr>
        <w:t xml:space="preserve">5 </w:t>
      </w:r>
      <w:r>
        <w:rPr>
          <w:rFonts w:cs="宋体"/>
          <w:sz w:val="18"/>
          <w:szCs w:val="18"/>
          <w:lang w:eastAsia="zh-CN"/>
        </w:rPr>
        <w:tab/>
      </w:r>
      <w:r>
        <w:rPr>
          <w:rFonts w:cs="宋体"/>
          <w:sz w:val="18"/>
          <w:szCs w:val="18"/>
          <w:lang w:eastAsia="zh-CN"/>
        </w:rPr>
        <w:t>《21世纪治愈法案》（公法第114-255号）（《治愈法案》）修订了《FD&amp;C法案》（21 USC 353(g)）第503(g)节，新增第503(g)(2)(A)节，为组合产品申请人设立了额外会议类型 – CPAM，以解决组合产品上市许可的标准和要求和/或与组合产品有关的其他问题，例如与产品上市后修改有关的要求或现行生产质量管理规范（CGMP）。</w:t>
      </w:r>
    </w:p>
    <w:p w14:paraId="732D7E42">
      <w:pPr>
        <w:overflowPunct w:val="0"/>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本机构按照FDA一直以来的承诺，即提高对组合产品监管考虑因素的清晰度和透明度，并遵循《FD&amp;C法案》第503(g)(8)(C)(vi)节的规定（21 USC 353(g)(8)(C)(vi)，由《治愈法案》第3038节进行补充），发布本指南。第503(g)(8)(C)(vi)节要求FDA发布最终指南以解决以下问题：（1）与开发组合产品的申请人进行的预申请交流的结构化管理流程；（2）确保FDA在预申请交流中的反馈能够代表FDA基于预申请交流期间所提供信息提出的最佳建议的最佳实践；以及（3）CPAM与FDA其他会议类型的关系，CPAM之前应提交哪些信息，以及通过CPAM达成的协议的形式和内容。</w:t>
      </w:r>
    </w:p>
    <w:p w14:paraId="3351A828">
      <w:pPr>
        <w:pStyle w:val="2"/>
        <w:overflowPunct w:val="0"/>
        <w:rPr>
          <w:lang w:eastAsia="zh-CN"/>
        </w:rPr>
      </w:pPr>
      <w:bookmarkStart w:id="1" w:name="_Toc97897454"/>
      <w:r>
        <w:rPr>
          <w:rFonts w:cs="宋体"/>
          <w:lang w:eastAsia="zh-CN"/>
        </w:rPr>
        <w:t>II.</w:t>
      </w:r>
      <w:r>
        <w:rPr>
          <w:rFonts w:cs="宋体"/>
          <w:lang w:eastAsia="zh-CN"/>
        </w:rPr>
        <w:tab/>
      </w:r>
      <w:r>
        <w:rPr>
          <w:rFonts w:cs="宋体"/>
          <w:lang w:eastAsia="zh-CN"/>
        </w:rPr>
        <w:t>背景</w:t>
      </w:r>
      <w:bookmarkEnd w:id="1"/>
    </w:p>
    <w:p w14:paraId="5EACDBDF">
      <w:pPr>
        <w:overflowPunct w:val="0"/>
        <w:spacing w:before="120" w:beforeLines="50" w:line="300" w:lineRule="auto"/>
        <w:rPr>
          <w:rFonts w:cs="Times New Roman"/>
          <w:sz w:val="24"/>
          <w:szCs w:val="24"/>
          <w:lang w:eastAsia="zh-CN"/>
        </w:rPr>
      </w:pPr>
      <w:r>
        <w:rPr>
          <w:rFonts w:cs="宋体"/>
          <w:sz w:val="24"/>
          <w:lang w:eastAsia="zh-CN"/>
        </w:rPr>
        <w:t>本节讨论了的议题有：组合产品的定义；组合产品分配至“牵头中心”的方法；上市前审查的中心之间的协调；以及有关组合产品问题，与FDA相关负责人取得联系的方式。</w:t>
      </w:r>
    </w:p>
    <w:p w14:paraId="287BF5F2">
      <w:pPr>
        <w:pStyle w:val="3"/>
        <w:overflowPunct w:val="0"/>
        <w:rPr>
          <w:lang w:eastAsia="zh-CN"/>
        </w:rPr>
      </w:pPr>
      <w:bookmarkStart w:id="2" w:name="_Toc97897455"/>
      <w:r>
        <w:rPr>
          <w:rFonts w:cs="宋体"/>
          <w:lang w:eastAsia="zh-CN"/>
        </w:rPr>
        <w:t>A.</w:t>
      </w:r>
      <w:r>
        <w:rPr>
          <w:rFonts w:cs="宋体"/>
          <w:lang w:eastAsia="zh-CN"/>
        </w:rPr>
        <w:tab/>
      </w:r>
      <w:r>
        <w:rPr>
          <w:rFonts w:cs="宋体"/>
          <w:lang w:eastAsia="zh-CN"/>
        </w:rPr>
        <w:t>什么是组合产品？</w:t>
      </w:r>
      <w:bookmarkEnd w:id="2"/>
    </w:p>
    <w:p w14:paraId="36970906">
      <w:pPr>
        <w:overflowPunct w:val="0"/>
        <w:spacing w:before="120" w:beforeLines="50" w:line="300" w:lineRule="auto"/>
        <w:rPr>
          <w:rFonts w:cs="Times New Roman"/>
          <w:sz w:val="24"/>
          <w:szCs w:val="24"/>
          <w:lang w:eastAsia="zh-CN"/>
        </w:rPr>
      </w:pPr>
      <w:r>
        <w:rPr>
          <w:rFonts w:cs="宋体"/>
          <w:sz w:val="24"/>
          <w:lang w:eastAsia="zh-CN"/>
        </w:rPr>
        <w:t>组合产品是指由药物、器械和/或生物制品的任何组合组成的产品。</w:t>
      </w:r>
      <w:r>
        <w:rPr>
          <w:rFonts w:cs="宋体"/>
          <w:sz w:val="24"/>
          <w:vertAlign w:val="superscript"/>
          <w:lang w:eastAsia="zh-CN"/>
        </w:rPr>
        <w:t>6</w:t>
      </w:r>
      <w:r>
        <w:rPr>
          <w:rFonts w:cs="宋体"/>
          <w:sz w:val="24"/>
          <w:lang w:eastAsia="zh-CN"/>
        </w:rPr>
        <w:t>包含在组合产品中的药物、器械和生物制品被称为组合产品的“组成部分”。</w:t>
      </w:r>
    </w:p>
    <w:p w14:paraId="5B42094A">
      <w:pPr>
        <w:overflowPunct w:val="0"/>
        <w:spacing w:before="120" w:beforeLines="50" w:line="300" w:lineRule="auto"/>
        <w:rPr>
          <w:rFonts w:cs="Times New Roman"/>
          <w:sz w:val="24"/>
          <w:szCs w:val="24"/>
          <w:lang w:eastAsia="zh-CN"/>
        </w:rPr>
      </w:pPr>
      <w:r>
        <w:rPr>
          <w:rFonts w:cs="宋体"/>
          <w:sz w:val="24"/>
          <w:lang w:eastAsia="zh-CN"/>
        </w:rPr>
        <w:t>根据21 CFR 3.2(e)，组合产品包括：</w:t>
      </w:r>
    </w:p>
    <w:p w14:paraId="0F6B3B1F">
      <w:pPr>
        <w:overflowPunct w:val="0"/>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由两种或两种以上受监管组件（即药物/器械、生物制品/器械、药物/生物制品或药物/器械/生物制品）组成，以物理、化学或其他方式组合或混合，并作为单一实体生产的产品（“单一实体”组合产品，如预充式药物或生物制品注射器或药物洗脱支架）；</w:t>
      </w:r>
    </w:p>
    <w:p w14:paraId="1FC7C292">
      <w:pPr>
        <w:overflowPunct w:val="0"/>
        <w:spacing w:before="120" w:beforeLines="50" w:line="300" w:lineRule="auto"/>
        <w:ind w:left="900" w:leftChars="2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用单个包装或作为一个整体包装在一起的两种或两种以上独立产品（药物和器械、器械和生物制品、或生物制品和药物）组成的产品（“共同包装”组合产品，例如包含器械和药物的手术或急救套件）；</w:t>
      </w:r>
    </w:p>
    <w:p w14:paraId="4D801841">
      <w:pPr>
        <w:overflowPunct w:val="0"/>
        <w:spacing w:before="120" w:beforeLines="50" w:line="300" w:lineRule="auto"/>
        <w:ind w:left="900" w:leftChars="200" w:hanging="480" w:hangingChars="200"/>
        <w:rPr>
          <w:rFonts w:cs="宋体"/>
          <w:sz w:val="24"/>
          <w:lang w:eastAsia="zh-CN"/>
        </w:rPr>
      </w:pPr>
      <w:r>
        <w:rPr>
          <w:rFonts w:cs="宋体"/>
          <w:sz w:val="24"/>
          <w:lang w:eastAsia="zh-CN"/>
        </w:rPr>
        <w:t>●</w:t>
      </w:r>
      <w:r>
        <w:rPr>
          <w:rFonts w:cs="宋体"/>
          <w:sz w:val="24"/>
          <w:lang w:eastAsia="zh-CN"/>
        </w:rPr>
        <w:tab/>
      </w:r>
      <w:r>
        <w:rPr>
          <w:rFonts w:cs="宋体"/>
          <w:sz w:val="24"/>
          <w:lang w:eastAsia="zh-CN"/>
        </w:rPr>
        <w:t>根据研究计划或申报标签，预期仅用于与已获批的单独指定药物、器械或生物制品配合使用的单独包装的药物、器械或生物制品，其中两者都需要实现预期用途、适应症或疗效，且在申报产品获批后，已获批产品的标签需要变更，以反映预期用途、剂型、规格、给药途径的变更或剂量的明显变更（“交叉标签”组合产品，</w:t>
      </w:r>
      <w:r>
        <w:rPr>
          <w:rFonts w:cs="宋体"/>
          <w:color w:val="000000"/>
          <w:sz w:val="24"/>
          <w:lang w:eastAsia="zh-CN"/>
        </w:rPr>
        <w:t>例如预期与特定光激活药物配合使用的发光器械</w:t>
      </w:r>
      <w:r>
        <w:rPr>
          <w:rFonts w:cs="宋体"/>
          <w:sz w:val="24"/>
          <w:lang w:eastAsia="zh-CN"/>
        </w:rPr>
        <w:t>）；以及</w:t>
      </w:r>
    </w:p>
    <w:p w14:paraId="462F5ED0">
      <w:pPr>
        <w:overflowPunct w:val="0"/>
        <w:spacing w:before="120" w:beforeLines="50" w:line="300" w:lineRule="auto"/>
        <w:ind w:left="900" w:leftChars="200" w:hanging="480" w:hangingChars="200"/>
        <w:rPr>
          <w:rFonts w:cs="宋体"/>
          <w:sz w:val="24"/>
          <w:lang w:eastAsia="zh-CN"/>
        </w:rPr>
      </w:pPr>
    </w:p>
    <w:p w14:paraId="38915E8A">
      <w:pPr>
        <w:overflowPunct w:val="0"/>
        <w:spacing w:before="120" w:beforeLines="50" w:line="300" w:lineRule="auto"/>
        <w:rPr>
          <w:rFonts w:cs="Times New Roman"/>
          <w:sz w:val="24"/>
          <w:szCs w:val="24"/>
          <w:lang w:eastAsia="zh-CN"/>
        </w:rPr>
      </w:pPr>
    </w:p>
    <w:p w14:paraId="3BE4A26F">
      <w:pPr>
        <w:pStyle w:val="23"/>
        <w:overflowPunct w:val="0"/>
        <w:rPr>
          <w:lang w:eastAsia="zh-CN"/>
        </w:rPr>
      </w:pPr>
      <w:r>
        <w:rPr>
          <w:rFonts w:cs="宋体"/>
          <w:lang w:eastAsia="zh-CN"/>
        </w:rPr>
        <w:t>______________________</w:t>
      </w:r>
    </w:p>
    <w:p w14:paraId="4D384F0B">
      <w:pPr>
        <w:pStyle w:val="23"/>
        <w:overflowPunct w:val="0"/>
        <w:rPr>
          <w:sz w:val="18"/>
          <w:szCs w:val="18"/>
          <w:lang w:eastAsia="zh-CN"/>
        </w:rPr>
      </w:pPr>
      <w:r>
        <w:rPr>
          <w:rFonts w:cs="宋体"/>
          <w:sz w:val="18"/>
          <w:szCs w:val="18"/>
          <w:vertAlign w:val="superscript"/>
          <w:lang w:eastAsia="zh-CN"/>
        </w:rPr>
        <w:t xml:space="preserve">6 </w:t>
      </w:r>
      <w:r>
        <w:rPr>
          <w:rFonts w:cs="宋体"/>
          <w:sz w:val="18"/>
          <w:szCs w:val="18"/>
          <w:lang w:eastAsia="zh-CN"/>
        </w:rPr>
        <w:tab/>
      </w:r>
      <w:r>
        <w:rPr>
          <w:rFonts w:cs="宋体"/>
          <w:sz w:val="18"/>
          <w:szCs w:val="18"/>
          <w:lang w:eastAsia="zh-CN"/>
        </w:rPr>
        <w:t>根据《FD&amp;C法案》第503(g)节和21 CFR 3.2(e)的规定，仅包含两种或两种以上</w:t>
      </w:r>
      <w:r>
        <w:rPr>
          <w:rFonts w:cs="宋体"/>
          <w:i/>
          <w:sz w:val="18"/>
          <w:szCs w:val="18"/>
          <w:lang w:eastAsia="zh-CN"/>
        </w:rPr>
        <w:t>相同</w:t>
      </w:r>
      <w:r>
        <w:rPr>
          <w:rFonts w:cs="宋体"/>
          <w:sz w:val="18"/>
          <w:szCs w:val="18"/>
          <w:lang w:eastAsia="zh-CN"/>
        </w:rPr>
        <w:t>类型的医疗产品的组合</w:t>
      </w:r>
      <w:r>
        <w:rPr>
          <w:rFonts w:cs="宋体"/>
          <w:i/>
          <w:sz w:val="18"/>
          <w:szCs w:val="18"/>
          <w:lang w:eastAsia="zh-CN"/>
        </w:rPr>
        <w:t>不是</w:t>
      </w:r>
      <w:r>
        <w:rPr>
          <w:rFonts w:cs="宋体"/>
          <w:sz w:val="18"/>
          <w:szCs w:val="18"/>
          <w:lang w:eastAsia="zh-CN"/>
        </w:rPr>
        <w:t>“组合产品”。例如，两种药物组成的单一制剂或多个器械组成的套件不属于组合产品。</w:t>
      </w:r>
    </w:p>
    <w:p w14:paraId="043D4738">
      <w:pPr>
        <w:overflowPunct w:val="0"/>
        <w:rPr>
          <w:rFonts w:cs="Times New Roman"/>
          <w:color w:val="000000"/>
          <w:sz w:val="24"/>
          <w:szCs w:val="24"/>
          <w:lang w:eastAsia="zh-CN"/>
        </w:rPr>
      </w:pPr>
      <w:r>
        <w:rPr>
          <w:rFonts w:cs="宋体"/>
          <w:color w:val="000000"/>
          <w:sz w:val="24"/>
          <w:lang w:eastAsia="zh-CN"/>
        </w:rPr>
        <w:br w:type="page"/>
      </w:r>
    </w:p>
    <w:p w14:paraId="3DE1EA3D">
      <w:pPr>
        <w:overflowPunct w:val="0"/>
        <w:spacing w:before="120" w:beforeLines="50" w:line="300" w:lineRule="auto"/>
        <w:ind w:left="900" w:leftChars="200" w:hanging="480" w:hangingChars="200"/>
        <w:rPr>
          <w:rFonts w:cs="Times New Roman"/>
          <w:sz w:val="24"/>
          <w:szCs w:val="24"/>
          <w:lang w:eastAsia="zh-CN"/>
        </w:rPr>
      </w:pPr>
      <w:r>
        <w:rPr>
          <w:rFonts w:cs="宋体"/>
          <w:color w:val="000000"/>
          <w:sz w:val="24"/>
          <w:lang w:eastAsia="zh-CN"/>
        </w:rPr>
        <w:t>•</w:t>
      </w:r>
      <w:r>
        <w:rPr>
          <w:rFonts w:cs="宋体"/>
          <w:sz w:val="24"/>
          <w:lang w:eastAsia="zh-CN"/>
        </w:rPr>
        <w:tab/>
      </w:r>
      <w:r>
        <w:rPr>
          <w:rFonts w:cs="宋体"/>
          <w:color w:val="000000"/>
          <w:sz w:val="24"/>
          <w:lang w:eastAsia="zh-CN"/>
        </w:rPr>
        <w:t>根据申报标签，仅用于与另一种单独指定的试验用药物、器械或生物制品配合使用的任何单独包装的试验用药物、器械或生物制品，其中两者均需要实现预期用途、适应症或疗效（另一种类型的交叉标签组合产品）</w:t>
      </w:r>
      <w:r>
        <w:rPr>
          <w:rFonts w:cs="宋体"/>
          <w:sz w:val="24"/>
          <w:lang w:eastAsia="zh-CN"/>
        </w:rPr>
        <w:t>。</w:t>
      </w:r>
    </w:p>
    <w:p w14:paraId="1EE3F729">
      <w:pPr>
        <w:pStyle w:val="3"/>
        <w:overflowPunct w:val="0"/>
        <w:rPr>
          <w:lang w:eastAsia="zh-CN"/>
        </w:rPr>
      </w:pPr>
      <w:bookmarkStart w:id="3" w:name="_Toc97897456"/>
      <w:r>
        <w:rPr>
          <w:rFonts w:cs="宋体"/>
          <w:lang w:eastAsia="zh-CN"/>
        </w:rPr>
        <w:t>B.</w:t>
      </w:r>
      <w:r>
        <w:rPr>
          <w:rFonts w:cs="宋体"/>
          <w:lang w:eastAsia="zh-CN"/>
        </w:rPr>
        <w:tab/>
      </w:r>
      <w:r>
        <w:rPr>
          <w:rFonts w:cs="宋体"/>
          <w:lang w:eastAsia="zh-CN"/>
        </w:rPr>
        <w:t>FDA如何审查和监管组合产品？</w:t>
      </w:r>
      <w:bookmarkEnd w:id="3"/>
    </w:p>
    <w:p w14:paraId="2A8DA0EF">
      <w:pPr>
        <w:overflowPunct w:val="0"/>
        <w:autoSpaceDE/>
        <w:autoSpaceDN/>
        <w:spacing w:before="120" w:beforeLines="50" w:line="300" w:lineRule="auto"/>
        <w:rPr>
          <w:rFonts w:cs="Times New Roman"/>
          <w:sz w:val="24"/>
          <w:szCs w:val="24"/>
          <w:lang w:eastAsia="zh-CN"/>
        </w:rPr>
      </w:pPr>
      <w:r>
        <w:rPr>
          <w:rFonts w:cs="宋体"/>
          <w:color w:val="000000"/>
          <w:sz w:val="24"/>
          <w:lang w:eastAsia="zh-CN"/>
        </w:rPr>
        <w:t>将组合产品分配给对该组合产品的上市前审查和监管具有主要管辖权的FDA中心（即“牵头中心”）。</w:t>
      </w:r>
      <w:r>
        <w:rPr>
          <w:rFonts w:cs="宋体"/>
          <w:sz w:val="24"/>
          <w:lang w:eastAsia="zh-CN"/>
        </w:rPr>
        <w:t>根据《FD&amp;C法案》第503(g)(1)节（21 USC 353(g)(1)）的规定，在确定哪个组成部分提供了组合产品的主要作用方式（PMOA）之后，决定将组合产品分配给哪个牵头中心。</w:t>
      </w:r>
      <w:r>
        <w:rPr>
          <w:rFonts w:cs="宋体"/>
          <w:color w:val="000000"/>
          <w:sz w:val="24"/>
          <w:vertAlign w:val="superscript"/>
          <w:lang w:eastAsia="zh-CN"/>
        </w:rPr>
        <w:t>7</w:t>
      </w:r>
      <w:r>
        <w:rPr>
          <w:rFonts w:cs="宋体"/>
          <w:color w:val="000000"/>
          <w:sz w:val="24"/>
          <w:lang w:eastAsia="zh-CN"/>
        </w:rPr>
        <w:t>例如，如果器械-生物制品组合产品的PMOA由生物制品提供，则负责此生物制品上市前审查的中心将对该组合产品的监管具有主要管辖权。</w:t>
      </w:r>
    </w:p>
    <w:p w14:paraId="1663BDC7">
      <w:pPr>
        <w:overflowPunct w:val="0"/>
        <w:autoSpaceDE/>
        <w:autoSpaceDN/>
        <w:spacing w:before="120" w:beforeLines="50" w:line="300" w:lineRule="auto"/>
        <w:rPr>
          <w:rFonts w:cs="Times New Roman"/>
          <w:sz w:val="24"/>
          <w:szCs w:val="24"/>
          <w:lang w:eastAsia="zh-CN"/>
        </w:rPr>
      </w:pPr>
      <w:r>
        <w:rPr>
          <w:rFonts w:cs="宋体"/>
          <w:color w:val="000000"/>
          <w:sz w:val="24"/>
          <w:lang w:eastAsia="zh-CN"/>
        </w:rPr>
        <w:t>负责组合产品上市前审查的牵头中心也是上市后监管的牵头中心。无论PMOA归属如何，FDA各部门应进行适当协调，以确保对组合产品进行高效、有效的监管。</w:t>
      </w:r>
    </w:p>
    <w:p w14:paraId="0B7443AD">
      <w:pPr>
        <w:pStyle w:val="3"/>
        <w:overflowPunct w:val="0"/>
        <w:rPr>
          <w:lang w:eastAsia="zh-CN"/>
        </w:rPr>
      </w:pPr>
      <w:bookmarkStart w:id="4" w:name="_Toc97897457"/>
      <w:r>
        <w:rPr>
          <w:rFonts w:cs="宋体"/>
          <w:lang w:eastAsia="zh-CN"/>
        </w:rPr>
        <w:t>C.</w:t>
      </w:r>
      <w:r>
        <w:rPr>
          <w:rFonts w:cs="宋体"/>
          <w:lang w:eastAsia="zh-CN"/>
        </w:rPr>
        <w:tab/>
      </w:r>
      <w:r>
        <w:rPr>
          <w:rFonts w:cs="宋体"/>
          <w:lang w:eastAsia="zh-CN"/>
        </w:rPr>
        <w:t>如有初步或一般问题，应该联系谁？</w:t>
      </w:r>
      <w:bookmarkEnd w:id="4"/>
    </w:p>
    <w:p w14:paraId="06550929">
      <w:pPr>
        <w:overflowPunct w:val="0"/>
        <w:autoSpaceDE/>
        <w:autoSpaceDN/>
        <w:spacing w:before="120" w:beforeLines="50" w:line="300" w:lineRule="auto"/>
        <w:rPr>
          <w:rFonts w:cs="Times New Roman"/>
          <w:sz w:val="24"/>
          <w:szCs w:val="24"/>
          <w:lang w:eastAsia="zh-CN"/>
        </w:rPr>
      </w:pPr>
      <w:r>
        <w:rPr>
          <w:rFonts w:cs="宋体"/>
          <w:color w:val="000000"/>
          <w:sz w:val="24"/>
          <w:lang w:eastAsia="zh-CN"/>
        </w:rPr>
        <w:t>如果不确定产品是组合产品还是组合产品的组成部分，或者哪个中心拥有主要管辖权，可以联系组合产品办公室（OCP）。</w:t>
      </w:r>
      <w:r>
        <w:rPr>
          <w:rFonts w:cs="宋体"/>
          <w:sz w:val="24"/>
          <w:lang w:eastAsia="zh-CN"/>
        </w:rPr>
        <w:t>如果希望FDA就分类和/或中心分配做出具有约束力的决定，可以向OCP提交指定请求（RFD），或者如果希望获得非正式反馈，可以向OCP提交RFD预申请。</w:t>
      </w:r>
      <w:r>
        <w:rPr>
          <w:rFonts w:cs="宋体"/>
          <w:color w:val="000000"/>
          <w:sz w:val="24"/>
          <w:vertAlign w:val="superscript"/>
          <w:lang w:eastAsia="zh-CN"/>
        </w:rPr>
        <w:t>8</w:t>
      </w:r>
    </w:p>
    <w:p w14:paraId="074D1E0C">
      <w:pPr>
        <w:overflowPunct w:val="0"/>
        <w:autoSpaceDE/>
        <w:autoSpaceDN/>
        <w:spacing w:before="120" w:beforeLines="50" w:line="300" w:lineRule="auto"/>
        <w:rPr>
          <w:rFonts w:cs="Times New Roman"/>
          <w:sz w:val="24"/>
          <w:szCs w:val="24"/>
          <w:lang w:eastAsia="zh-CN"/>
        </w:rPr>
      </w:pPr>
      <w:r>
        <w:rPr>
          <w:rFonts w:cs="宋体"/>
          <w:sz w:val="24"/>
          <w:lang w:eastAsia="zh-CN"/>
        </w:rPr>
        <w:t>如果知道组合产品的牵头中心（例如，有待决申请），请联系FDA联系人（POC）（参见下文第III.B节），或者，如果还没有FDA POC，请联系牵头中心产品管辖官。</w:t>
      </w:r>
      <w:r>
        <w:rPr>
          <w:rFonts w:cs="宋体"/>
          <w:color w:val="000000"/>
          <w:sz w:val="24"/>
          <w:vertAlign w:val="superscript"/>
          <w:lang w:eastAsia="zh-CN"/>
        </w:rPr>
        <w:t>9</w:t>
      </w:r>
    </w:p>
    <w:p w14:paraId="34867605">
      <w:pPr>
        <w:overflowPunct w:val="0"/>
        <w:autoSpaceDE/>
        <w:autoSpaceDN/>
        <w:spacing w:before="120" w:beforeLines="50" w:line="300" w:lineRule="auto"/>
        <w:rPr>
          <w:rFonts w:cs="宋体"/>
          <w:sz w:val="24"/>
          <w:vertAlign w:val="superscript"/>
          <w:lang w:eastAsia="zh-CN"/>
        </w:rPr>
      </w:pPr>
      <w:r>
        <w:rPr>
          <w:rFonts w:cs="宋体"/>
          <w:sz w:val="24"/>
          <w:lang w:eastAsia="zh-CN"/>
        </w:rPr>
        <w:t>如果有关于组合产品的中心间合作、组合产品法规、组合产品指南或政策的一般问题，或者在浏览FDA组合产品审查流程时需要帮助，请联系OCP（</w:t>
      </w:r>
      <w:r>
        <w:rPr>
          <w:rFonts w:cs="宋体"/>
          <w:color w:val="0000FF"/>
          <w:sz w:val="24"/>
          <w:u w:val="single"/>
          <w:lang w:eastAsia="zh-CN"/>
        </w:rPr>
        <w:t>combination@fda.gov</w:t>
      </w:r>
      <w:r>
        <w:rPr>
          <w:rFonts w:cs="宋体"/>
          <w:sz w:val="24"/>
          <w:lang w:eastAsia="zh-CN"/>
        </w:rPr>
        <w:t>）。</w:t>
      </w:r>
      <w:r>
        <w:rPr>
          <w:rFonts w:cs="宋体"/>
          <w:sz w:val="24"/>
          <w:vertAlign w:val="superscript"/>
          <w:lang w:eastAsia="zh-CN"/>
        </w:rPr>
        <w:t>10</w:t>
      </w:r>
    </w:p>
    <w:p w14:paraId="256A787B">
      <w:pPr>
        <w:overflowPunct w:val="0"/>
        <w:autoSpaceDE/>
        <w:autoSpaceDN/>
        <w:spacing w:before="120" w:beforeLines="50" w:line="300" w:lineRule="auto"/>
        <w:rPr>
          <w:rFonts w:cs="宋体"/>
          <w:sz w:val="24"/>
          <w:vertAlign w:val="superscript"/>
          <w:lang w:eastAsia="zh-CN"/>
        </w:rPr>
      </w:pPr>
    </w:p>
    <w:p w14:paraId="009CD849">
      <w:pPr>
        <w:overflowPunct w:val="0"/>
        <w:autoSpaceDE/>
        <w:autoSpaceDN/>
        <w:spacing w:before="120" w:beforeLines="50" w:line="300" w:lineRule="auto"/>
        <w:rPr>
          <w:rFonts w:cs="宋体"/>
          <w:sz w:val="24"/>
          <w:vertAlign w:val="superscript"/>
          <w:lang w:eastAsia="zh-CN"/>
        </w:rPr>
      </w:pPr>
    </w:p>
    <w:p w14:paraId="1C221494">
      <w:pPr>
        <w:overflowPunct w:val="0"/>
        <w:autoSpaceDE/>
        <w:autoSpaceDN/>
        <w:spacing w:before="120" w:beforeLines="50" w:line="300" w:lineRule="auto"/>
        <w:rPr>
          <w:rFonts w:cs="Times New Roman"/>
          <w:sz w:val="24"/>
          <w:szCs w:val="24"/>
          <w:lang w:eastAsia="zh-CN"/>
        </w:rPr>
      </w:pPr>
    </w:p>
    <w:p w14:paraId="627C441C">
      <w:pPr>
        <w:pStyle w:val="23"/>
        <w:overflowPunct w:val="0"/>
        <w:rPr>
          <w:lang w:eastAsia="zh-CN"/>
        </w:rPr>
      </w:pPr>
      <w:r>
        <w:rPr>
          <w:rFonts w:cs="宋体"/>
          <w:lang w:eastAsia="zh-CN"/>
        </w:rPr>
        <w:t>______________________</w:t>
      </w:r>
    </w:p>
    <w:p w14:paraId="544DE36A">
      <w:pPr>
        <w:pStyle w:val="23"/>
        <w:overflowPunct w:val="0"/>
        <w:rPr>
          <w:sz w:val="18"/>
          <w:szCs w:val="18"/>
          <w:lang w:eastAsia="zh-CN"/>
        </w:rPr>
      </w:pPr>
      <w:r>
        <w:rPr>
          <w:rFonts w:cs="宋体"/>
          <w:color w:val="000000"/>
          <w:sz w:val="18"/>
          <w:szCs w:val="18"/>
          <w:vertAlign w:val="superscript"/>
          <w:lang w:eastAsia="zh-CN"/>
        </w:rPr>
        <w:t>7</w:t>
      </w:r>
      <w:r>
        <w:rPr>
          <w:rFonts w:cs="宋体"/>
          <w:sz w:val="18"/>
          <w:szCs w:val="18"/>
          <w:lang w:eastAsia="zh-CN"/>
        </w:rPr>
        <w:t xml:space="preserve"> </w:t>
      </w:r>
      <w:r>
        <w:rPr>
          <w:rFonts w:cs="宋体"/>
          <w:sz w:val="18"/>
          <w:szCs w:val="18"/>
          <w:lang w:eastAsia="zh-CN"/>
        </w:rPr>
        <w:tab/>
      </w:r>
      <w:r>
        <w:rPr>
          <w:rFonts w:cs="宋体"/>
          <w:color w:val="000000"/>
          <w:sz w:val="18"/>
          <w:szCs w:val="18"/>
          <w:lang w:eastAsia="zh-CN"/>
        </w:rPr>
        <w:t>组合产品的“主要作用方式”是指“预计会使组合产品产生最大整体预期治疗效果的单一作用方式”。《FD&amp;C法案》第503(g)(1)(C)节（21 USC 353(g)(1)(C)）；另参见21 CFR 3.2(k)（定义“作用方式”）、(m)（定义“主要作用方式”）。</w:t>
      </w:r>
    </w:p>
    <w:p w14:paraId="4B1A379E">
      <w:pPr>
        <w:pStyle w:val="23"/>
        <w:overflowPunct w:val="0"/>
        <w:rPr>
          <w:sz w:val="18"/>
          <w:szCs w:val="18"/>
          <w:lang w:eastAsia="zh-CN"/>
        </w:rPr>
      </w:pPr>
      <w:r>
        <w:rPr>
          <w:rFonts w:cs="宋体"/>
          <w:color w:val="000000"/>
          <w:sz w:val="18"/>
          <w:szCs w:val="18"/>
          <w:vertAlign w:val="superscript"/>
          <w:lang w:eastAsia="zh-CN"/>
        </w:rPr>
        <w:t>8</w:t>
      </w:r>
      <w:r>
        <w:rPr>
          <w:rFonts w:cs="宋体"/>
          <w:color w:val="000000"/>
          <w:sz w:val="18"/>
          <w:szCs w:val="18"/>
          <w:lang w:eastAsia="zh-CN"/>
        </w:rPr>
        <w:t xml:space="preserve"> </w:t>
      </w:r>
      <w:r>
        <w:rPr>
          <w:rFonts w:cs="宋体"/>
          <w:color w:val="000000"/>
          <w:sz w:val="18"/>
          <w:szCs w:val="18"/>
          <w:lang w:eastAsia="zh-CN"/>
        </w:rPr>
        <w:tab/>
      </w:r>
      <w:r>
        <w:rPr>
          <w:rFonts w:cs="宋体"/>
          <w:sz w:val="18"/>
          <w:szCs w:val="18"/>
          <w:lang w:eastAsia="zh-CN"/>
        </w:rPr>
        <w:t>参见《</w:t>
      </w:r>
      <w:r>
        <w:rPr>
          <w:rFonts w:cs="宋体"/>
          <w:color w:val="0000FF"/>
          <w:sz w:val="18"/>
          <w:szCs w:val="18"/>
          <w:u w:val="single"/>
          <w:lang w:eastAsia="zh-CN"/>
        </w:rPr>
        <w:t>如何撰写指定请求（RFD）：行业指南</w:t>
      </w:r>
      <w:r>
        <w:rPr>
          <w:rFonts w:cs="宋体"/>
          <w:sz w:val="18"/>
          <w:szCs w:val="18"/>
          <w:lang w:eastAsia="zh-CN"/>
        </w:rPr>
        <w:t>》和《</w:t>
      </w:r>
      <w:r>
        <w:rPr>
          <w:rFonts w:cs="宋体"/>
          <w:color w:val="0000FF"/>
          <w:sz w:val="18"/>
          <w:szCs w:val="18"/>
          <w:u w:val="single"/>
          <w:lang w:eastAsia="zh-CN"/>
        </w:rPr>
        <w:t>如何编写预指定请求（RFD预申请）：行业指南</w:t>
      </w:r>
      <w:r>
        <w:rPr>
          <w:rFonts w:cs="宋体"/>
          <w:sz w:val="18"/>
          <w:szCs w:val="18"/>
          <w:lang w:eastAsia="zh-CN"/>
        </w:rPr>
        <w:t>》；另参见《</w:t>
      </w:r>
      <w:r>
        <w:rPr>
          <w:rFonts w:cs="宋体"/>
          <w:color w:val="0000FF"/>
          <w:sz w:val="18"/>
          <w:szCs w:val="18"/>
          <w:u w:val="single"/>
          <w:lang w:eastAsia="zh-CN"/>
        </w:rPr>
        <w:t>药品和器械产品分类及其他产品分类问题：面向行业和FDA工作人员的指南</w:t>
      </w:r>
      <w:r>
        <w:rPr>
          <w:rFonts w:cs="宋体"/>
          <w:sz w:val="18"/>
          <w:szCs w:val="18"/>
          <w:lang w:eastAsia="zh-CN"/>
        </w:rPr>
        <w:t>》。</w:t>
      </w:r>
    </w:p>
    <w:p w14:paraId="47D487A2">
      <w:pPr>
        <w:pStyle w:val="23"/>
        <w:overflowPunct w:val="0"/>
        <w:rPr>
          <w:sz w:val="18"/>
          <w:szCs w:val="18"/>
          <w:lang w:eastAsia="zh-CN"/>
        </w:rPr>
      </w:pPr>
      <w:r>
        <w:rPr>
          <w:rFonts w:cs="宋体"/>
          <w:color w:val="000000"/>
          <w:sz w:val="18"/>
          <w:szCs w:val="18"/>
          <w:vertAlign w:val="superscript"/>
        </w:rPr>
        <w:t>9</w:t>
      </w:r>
      <w:r>
        <w:rPr>
          <w:rFonts w:cs="宋体"/>
          <w:color w:val="000000"/>
          <w:sz w:val="18"/>
          <w:szCs w:val="18"/>
        </w:rPr>
        <w:t xml:space="preserve"> </w:t>
      </w:r>
      <w:r>
        <w:rPr>
          <w:rFonts w:cs="宋体"/>
          <w:color w:val="000000"/>
          <w:sz w:val="18"/>
          <w:szCs w:val="18"/>
        </w:rPr>
        <w:tab/>
      </w:r>
      <w:r>
        <w:rPr>
          <w:rFonts w:cs="宋体"/>
          <w:color w:val="000000"/>
          <w:sz w:val="18"/>
          <w:szCs w:val="18"/>
        </w:rPr>
        <w:t>牵头中心产品管辖官联系方式：</w:t>
      </w:r>
      <w:r>
        <w:rPr>
          <w:rFonts w:cs="宋体"/>
          <w:color w:val="0000FF"/>
          <w:sz w:val="18"/>
          <w:szCs w:val="18"/>
          <w:u w:val="single"/>
        </w:rPr>
        <w:t>CBERProductJurisdiction@fda.hhs.gov</w:t>
      </w:r>
      <w:r>
        <w:rPr>
          <w:rFonts w:cs="宋体"/>
          <w:sz w:val="18"/>
          <w:szCs w:val="18"/>
        </w:rPr>
        <w:t>、</w:t>
      </w:r>
      <w:r>
        <w:rPr>
          <w:rFonts w:cs="宋体"/>
          <w:color w:val="0000FF"/>
          <w:sz w:val="18"/>
          <w:szCs w:val="18"/>
          <w:u w:val="single"/>
        </w:rPr>
        <w:t>CDERProductJurisdiction@fda.hhs.gov</w:t>
      </w:r>
      <w:r>
        <w:rPr>
          <w:rFonts w:cs="宋体"/>
          <w:color w:val="000000"/>
          <w:sz w:val="18"/>
          <w:szCs w:val="18"/>
        </w:rPr>
        <w:t>或</w:t>
      </w:r>
      <w:r>
        <w:rPr>
          <w:rFonts w:cs="宋体"/>
          <w:color w:val="0000FF"/>
          <w:sz w:val="18"/>
          <w:szCs w:val="18"/>
          <w:u w:val="single"/>
        </w:rPr>
        <w:t>CDRHProductJurisdiction@fda.hhs.gov</w:t>
      </w:r>
      <w:r>
        <w:rPr>
          <w:rFonts w:cs="宋体"/>
          <w:color w:val="000000"/>
          <w:sz w:val="18"/>
          <w:szCs w:val="18"/>
        </w:rPr>
        <w:t>。</w:t>
      </w:r>
    </w:p>
    <w:p w14:paraId="3F642685">
      <w:pPr>
        <w:pStyle w:val="2"/>
        <w:overflowPunct w:val="0"/>
        <w:rPr>
          <w:lang w:eastAsia="zh-CN"/>
        </w:rPr>
      </w:pPr>
      <w:r>
        <w:rPr>
          <w:rFonts w:cs="宋体"/>
          <w:lang w:eastAsia="zh-CN"/>
        </w:rPr>
        <w:br w:type="page"/>
      </w:r>
      <w:bookmarkStart w:id="5" w:name="_Toc97897458"/>
      <w:r>
        <w:rPr>
          <w:rFonts w:cs="宋体"/>
          <w:lang w:eastAsia="zh-CN"/>
        </w:rPr>
        <w:t>III.</w:t>
      </w:r>
      <w:r>
        <w:rPr>
          <w:rFonts w:cs="宋体"/>
          <w:b w:val="0"/>
          <w:lang w:eastAsia="zh-CN"/>
        </w:rPr>
        <w:tab/>
      </w:r>
      <w:r>
        <w:rPr>
          <w:rFonts w:cs="宋体"/>
          <w:lang w:eastAsia="zh-CN"/>
        </w:rPr>
        <w:t>FDA与组合产品申请人之间交流的最佳实践</w:t>
      </w:r>
      <w:bookmarkEnd w:id="5"/>
    </w:p>
    <w:p w14:paraId="00269FE6">
      <w:pPr>
        <w:overflowPunct w:val="0"/>
        <w:spacing w:before="120" w:beforeLines="50" w:line="300" w:lineRule="auto"/>
        <w:rPr>
          <w:rFonts w:cs="Times New Roman"/>
          <w:sz w:val="24"/>
          <w:szCs w:val="24"/>
          <w:lang w:eastAsia="zh-CN"/>
        </w:rPr>
      </w:pPr>
      <w:r>
        <w:rPr>
          <w:rFonts w:cs="宋体"/>
          <w:sz w:val="24"/>
          <w:lang w:eastAsia="zh-CN"/>
        </w:rPr>
        <w:t>组合产品申请人和FDA有共同的目标，即确保组合产品的安全性和有效性，以及确保与其上市前审查和上市后监管的相关监管要求和流程清晰、高效、有效和适当实施。为此，当申请人请求FDA提供对组合产品的反馈时，以下内容是帮助确保FDA和申请人之间有效交流的关键方面：</w:t>
      </w:r>
    </w:p>
    <w:p w14:paraId="64D0FD64">
      <w:pPr>
        <w:pStyle w:val="25"/>
        <w:numPr>
          <w:ilvl w:val="0"/>
          <w:numId w:val="1"/>
        </w:numPr>
        <w:overflowPunct w:val="0"/>
        <w:spacing w:before="120" w:beforeLines="50" w:line="300" w:lineRule="auto"/>
        <w:ind w:firstLineChars="0"/>
        <w:rPr>
          <w:rFonts w:cs="Times New Roman"/>
          <w:sz w:val="24"/>
          <w:szCs w:val="24"/>
          <w:lang w:eastAsia="zh-CN"/>
        </w:rPr>
      </w:pPr>
      <w:r>
        <w:rPr>
          <w:rFonts w:cs="宋体"/>
          <w:sz w:val="24"/>
          <w:u w:val="single"/>
          <w:lang w:eastAsia="zh-CN"/>
        </w:rPr>
        <w:t>适当的产品标识和处理。</w:t>
      </w:r>
      <w:r>
        <w:rPr>
          <w:rFonts w:cs="宋体"/>
          <w:sz w:val="24"/>
          <w:lang w:eastAsia="zh-CN"/>
        </w:rPr>
        <w:t>应将基于申请机制下的申请和CPAM请求（以下简称“申请/请求”）提交至适当的牵头中心，并由FDA转交给相应中心的工作人员进行审查。如下文第IV.B节所述，CPAM仅适用于组合产品。组合产品申请人必须在CPAM请求中以及在使用基于申请的机制时，注明其产品为组合产品。</w:t>
      </w:r>
      <w:r>
        <w:rPr>
          <w:rFonts w:cs="宋体"/>
          <w:sz w:val="24"/>
          <w:vertAlign w:val="superscript"/>
          <w:lang w:eastAsia="zh-CN"/>
        </w:rPr>
        <w:t>11</w:t>
      </w:r>
    </w:p>
    <w:p w14:paraId="4095C011">
      <w:pPr>
        <w:pStyle w:val="25"/>
        <w:numPr>
          <w:ilvl w:val="0"/>
          <w:numId w:val="1"/>
        </w:numPr>
        <w:overflowPunct w:val="0"/>
        <w:spacing w:before="120" w:beforeLines="50" w:line="300" w:lineRule="auto"/>
        <w:ind w:firstLineChars="0"/>
        <w:rPr>
          <w:rFonts w:cs="Times New Roman"/>
          <w:sz w:val="24"/>
          <w:szCs w:val="24"/>
          <w:lang w:eastAsia="zh-CN"/>
        </w:rPr>
      </w:pPr>
      <w:r>
        <w:rPr>
          <w:rFonts w:cs="宋体"/>
          <w:sz w:val="24"/>
          <w:u w:val="single"/>
          <w:lang w:eastAsia="zh-CN"/>
        </w:rPr>
        <w:t>及时使用适当的沟通程序</w:t>
      </w:r>
      <w:r>
        <w:rPr>
          <w:rFonts w:cs="宋体"/>
          <w:sz w:val="24"/>
          <w:lang w:eastAsia="zh-CN"/>
        </w:rPr>
        <w:t>。FDA与申请人应及时沟通，此类沟通（会议、书面回复等）应采用FDA指南中规定的机制。</w:t>
      </w:r>
    </w:p>
    <w:p w14:paraId="4BF63320">
      <w:pPr>
        <w:pStyle w:val="25"/>
        <w:numPr>
          <w:ilvl w:val="0"/>
          <w:numId w:val="1"/>
        </w:numPr>
        <w:overflowPunct w:val="0"/>
        <w:spacing w:before="120" w:beforeLines="50" w:line="300" w:lineRule="auto"/>
        <w:ind w:firstLineChars="0"/>
        <w:rPr>
          <w:rFonts w:cs="Times New Roman"/>
          <w:sz w:val="24"/>
          <w:szCs w:val="24"/>
          <w:lang w:eastAsia="zh-CN"/>
        </w:rPr>
      </w:pPr>
      <w:r>
        <w:rPr>
          <w:rFonts w:cs="宋体"/>
          <w:sz w:val="24"/>
          <w:u w:val="single"/>
          <w:lang w:eastAsia="zh-CN"/>
        </w:rPr>
        <w:t>明确、稳健的信息共享</w:t>
      </w:r>
      <w:r>
        <w:rPr>
          <w:rFonts w:cs="宋体"/>
          <w:sz w:val="24"/>
          <w:lang w:eastAsia="zh-CN"/>
        </w:rPr>
        <w:t>。申请人与FDA之间的沟通（包括就申请人提交的信息以及FDA提出的问题和信息要求进行的沟通）应明确且足够稳健，以尽量减少对同一问题的重复交流，并使FDA能够及时提供明确的反馈。</w:t>
      </w:r>
    </w:p>
    <w:p w14:paraId="3F14427E">
      <w:pPr>
        <w:overflowPunct w:val="0"/>
        <w:spacing w:before="120" w:beforeLines="50" w:line="300" w:lineRule="auto"/>
        <w:rPr>
          <w:rFonts w:cs="宋体"/>
          <w:sz w:val="24"/>
          <w:lang w:eastAsia="zh-CN"/>
        </w:rPr>
      </w:pPr>
      <w:r>
        <w:rPr>
          <w:rFonts w:cs="宋体"/>
          <w:sz w:val="24"/>
          <w:lang w:eastAsia="zh-CN"/>
        </w:rPr>
        <w:t>以下章节为申请人和FDA提供了针对组合产品的此类交流的最佳实践，无论是基于申请机制还是CPAM请求。</w:t>
      </w:r>
    </w:p>
    <w:p w14:paraId="0747BCE2">
      <w:pPr>
        <w:overflowPunct w:val="0"/>
        <w:spacing w:before="120" w:beforeLines="50" w:line="300" w:lineRule="auto"/>
        <w:rPr>
          <w:rFonts w:cs="宋体"/>
          <w:sz w:val="24"/>
          <w:lang w:eastAsia="zh-CN"/>
        </w:rPr>
      </w:pPr>
    </w:p>
    <w:p w14:paraId="6625ED29">
      <w:pPr>
        <w:pStyle w:val="23"/>
        <w:overflowPunct w:val="0"/>
        <w:rPr>
          <w:lang w:eastAsia="zh-CN"/>
        </w:rPr>
      </w:pPr>
      <w:r>
        <w:rPr>
          <w:rFonts w:cs="宋体"/>
          <w:lang w:eastAsia="zh-CN"/>
        </w:rPr>
        <w:t>______________________</w:t>
      </w:r>
    </w:p>
    <w:p w14:paraId="58082D89">
      <w:pPr>
        <w:pStyle w:val="23"/>
        <w:overflowPunct w:val="0"/>
        <w:rPr>
          <w:sz w:val="18"/>
          <w:szCs w:val="18"/>
          <w:lang w:eastAsia="zh-CN"/>
        </w:rPr>
      </w:pPr>
      <w:r>
        <w:rPr>
          <w:rFonts w:cs="宋体"/>
          <w:sz w:val="18"/>
          <w:szCs w:val="18"/>
          <w:vertAlign w:val="superscript"/>
          <w:lang w:eastAsia="zh-CN"/>
        </w:rPr>
        <w:t>10</w:t>
      </w:r>
      <w:r>
        <w:rPr>
          <w:rFonts w:cs="宋体"/>
          <w:sz w:val="18"/>
          <w:szCs w:val="18"/>
          <w:lang w:eastAsia="zh-CN"/>
        </w:rPr>
        <w:t xml:space="preserve"> </w:t>
      </w:r>
      <w:r>
        <w:rPr>
          <w:rFonts w:cs="宋体"/>
          <w:sz w:val="18"/>
          <w:szCs w:val="18"/>
          <w:lang w:eastAsia="zh-CN"/>
        </w:rPr>
        <w:tab/>
      </w:r>
      <w:r>
        <w:rPr>
          <w:rFonts w:cs="宋体"/>
          <w:sz w:val="18"/>
          <w:szCs w:val="18"/>
          <w:lang w:eastAsia="zh-CN"/>
        </w:rPr>
        <w:t>OCP需要协调组合产品的上市前审查；监督向申请人反馈的及时性和一致性；确保牵头中心有主要POC；如需要，协调牵头中心与咨询中心之间的沟通；根据具体情况确保参与审查的各中心出席与申请人的会议；并确保咨询中心就相关法规、指南和政策提供适当建议，并遵循本指南（定稿后）。参见《FD&amp;C法案》第503(g)(8)节（21 USC 353(g)(8)）。</w:t>
      </w:r>
    </w:p>
    <w:p w14:paraId="4CC7D356">
      <w:pPr>
        <w:pStyle w:val="23"/>
        <w:overflowPunct w:val="0"/>
        <w:rPr>
          <w:sz w:val="18"/>
          <w:szCs w:val="18"/>
          <w:lang w:eastAsia="zh-CN"/>
        </w:rPr>
      </w:pPr>
      <w:r>
        <w:rPr>
          <w:rFonts w:cs="宋体"/>
          <w:sz w:val="18"/>
          <w:szCs w:val="18"/>
          <w:vertAlign w:val="superscript"/>
          <w:lang w:eastAsia="zh-CN"/>
        </w:rPr>
        <w:t>11</w:t>
      </w:r>
      <w:r>
        <w:rPr>
          <w:rFonts w:cs="宋体"/>
          <w:sz w:val="18"/>
          <w:szCs w:val="18"/>
          <w:lang w:eastAsia="zh-CN"/>
        </w:rPr>
        <w:t xml:space="preserve"> </w:t>
      </w:r>
      <w:r>
        <w:rPr>
          <w:rFonts w:cs="宋体"/>
          <w:sz w:val="18"/>
          <w:szCs w:val="18"/>
          <w:lang w:eastAsia="zh-CN"/>
        </w:rPr>
        <w:tab/>
      </w:r>
      <w:r>
        <w:rPr>
          <w:rFonts w:cs="宋体"/>
          <w:sz w:val="18"/>
          <w:szCs w:val="18"/>
          <w:lang w:eastAsia="zh-CN"/>
        </w:rPr>
        <w:t>《治愈法案》修订了《FD&amp;C法案》第503(g)节，要求申请人寻求组合产品“FDA行动”，以注明产品为组合产品。参见《FD&amp;C法案》第503(g)(8)(C)(v)(I)节（21 USC 503(g)(8)(C)(v)(I)）。本机构认为，CPAM请求在此条款范围内。因此，在CPAM请求中，申请人必须注明其产品为组合产品。此外，即使并非所有通过基于申请的机制请求反馈的申请都需要提交，但本机构仍建议申请人在此类申请中注明其产品为组合产品，以便于组合产品的审查。</w:t>
      </w:r>
    </w:p>
    <w:p w14:paraId="290359AB">
      <w:pPr>
        <w:pStyle w:val="3"/>
        <w:overflowPunct w:val="0"/>
        <w:rPr>
          <w:lang w:eastAsia="zh-CN"/>
        </w:rPr>
      </w:pPr>
      <w:r>
        <w:rPr>
          <w:rFonts w:cs="宋体"/>
          <w:lang w:eastAsia="zh-CN"/>
        </w:rPr>
        <w:br w:type="page"/>
      </w:r>
      <w:bookmarkStart w:id="6" w:name="_Toc97897459"/>
      <w:r>
        <w:rPr>
          <w:rFonts w:cs="宋体"/>
          <w:lang w:eastAsia="zh-CN"/>
        </w:rPr>
        <w:t>A.</w:t>
      </w:r>
      <w:r>
        <w:rPr>
          <w:rFonts w:cs="宋体"/>
          <w:b w:val="0"/>
          <w:lang w:eastAsia="zh-CN"/>
        </w:rPr>
        <w:tab/>
      </w:r>
      <w:r>
        <w:rPr>
          <w:rFonts w:cs="宋体"/>
          <w:lang w:eastAsia="zh-CN"/>
        </w:rPr>
        <w:t>申请人最佳实践</w:t>
      </w:r>
      <w:bookmarkEnd w:id="6"/>
    </w:p>
    <w:p w14:paraId="0093BD48">
      <w:pPr>
        <w:overflowPunct w:val="0"/>
        <w:spacing w:before="120" w:beforeLines="50" w:line="300" w:lineRule="auto"/>
        <w:rPr>
          <w:rFonts w:cs="Times New Roman"/>
          <w:sz w:val="24"/>
          <w:szCs w:val="24"/>
          <w:lang w:eastAsia="zh-CN"/>
        </w:rPr>
      </w:pPr>
      <w:r>
        <w:rPr>
          <w:rFonts w:cs="宋体"/>
          <w:sz w:val="24"/>
          <w:lang w:eastAsia="zh-CN"/>
        </w:rPr>
        <w:t>为确保交流</w:t>
      </w:r>
      <w:r>
        <w:rPr>
          <w:rFonts w:hint="eastAsia" w:cs="宋体"/>
          <w:sz w:val="24"/>
          <w:lang w:eastAsia="zh-CN"/>
        </w:rPr>
        <w:t>高效率且有效果</w:t>
      </w:r>
      <w:r>
        <w:rPr>
          <w:rFonts w:cs="宋体"/>
          <w:sz w:val="24"/>
          <w:lang w:eastAsia="zh-CN"/>
        </w:rPr>
        <w:t>，申请人应：</w:t>
      </w:r>
    </w:p>
    <w:p w14:paraId="3ED1238F">
      <w:pPr>
        <w:pStyle w:val="25"/>
        <w:numPr>
          <w:ilvl w:val="0"/>
          <w:numId w:val="2"/>
        </w:numPr>
        <w:overflowPunct w:val="0"/>
        <w:spacing w:before="120" w:beforeLines="50" w:line="300" w:lineRule="auto"/>
        <w:ind w:firstLineChars="0"/>
        <w:rPr>
          <w:rFonts w:cs="Times New Roman"/>
          <w:sz w:val="24"/>
          <w:szCs w:val="24"/>
          <w:lang w:eastAsia="zh-CN"/>
        </w:rPr>
      </w:pPr>
      <w:r>
        <w:rPr>
          <w:rFonts w:cs="宋体"/>
          <w:sz w:val="24"/>
          <w:u w:val="single"/>
          <w:lang w:eastAsia="zh-CN"/>
        </w:rPr>
        <w:t>提出明确而适当的问题。</w:t>
      </w:r>
      <w:r>
        <w:rPr>
          <w:rFonts w:cs="宋体"/>
          <w:sz w:val="24"/>
          <w:lang w:eastAsia="zh-CN"/>
        </w:rPr>
        <w:t>在提出的问题中应明确所请求的具体反馈。此外，问题应适合于组合产品的开发阶段。例如，如果组合产品的组成/设计仍在开发中，则提出与全面制造过程控制相关的问题是无用的。</w:t>
      </w:r>
    </w:p>
    <w:p w14:paraId="784E0BD3">
      <w:pPr>
        <w:pStyle w:val="25"/>
        <w:numPr>
          <w:ilvl w:val="0"/>
          <w:numId w:val="2"/>
        </w:numPr>
        <w:overflowPunct w:val="0"/>
        <w:spacing w:before="120" w:beforeLines="50" w:line="300" w:lineRule="auto"/>
        <w:ind w:firstLineChars="0"/>
        <w:rPr>
          <w:rFonts w:cs="Times New Roman"/>
          <w:sz w:val="24"/>
          <w:szCs w:val="24"/>
          <w:lang w:eastAsia="zh-CN"/>
        </w:rPr>
      </w:pPr>
      <w:r>
        <w:rPr>
          <w:rFonts w:cs="宋体"/>
          <w:sz w:val="24"/>
          <w:u w:val="single"/>
          <w:lang w:eastAsia="zh-CN"/>
        </w:rPr>
        <w:t>提供全面的理由和支持信息。</w:t>
      </w:r>
      <w:r>
        <w:rPr>
          <w:rFonts w:cs="宋体"/>
          <w:sz w:val="24"/>
          <w:lang w:eastAsia="zh-CN"/>
        </w:rPr>
        <w:t>申请/请求中应包含充足的信息，以便FDA无需要求提供重要额外信息即可考虑相关问题并提供反馈（另请参见下文第III.C节以及附录1和附录2中引用的相关指南）。在请求FDA就某一特定问题提供反馈意见时，申请人应提供充足的信息（如适用），说明该问题与组成部分以及整体组合产品的相关性。</w:t>
      </w:r>
    </w:p>
    <w:p w14:paraId="65289204">
      <w:pPr>
        <w:pStyle w:val="25"/>
        <w:numPr>
          <w:ilvl w:val="0"/>
          <w:numId w:val="2"/>
        </w:numPr>
        <w:overflowPunct w:val="0"/>
        <w:spacing w:before="120" w:beforeLines="50" w:line="300" w:lineRule="auto"/>
        <w:ind w:firstLineChars="0"/>
        <w:rPr>
          <w:rFonts w:cs="Times New Roman"/>
          <w:sz w:val="24"/>
          <w:szCs w:val="24"/>
          <w:lang w:eastAsia="zh-CN"/>
        </w:rPr>
      </w:pPr>
      <w:r>
        <w:rPr>
          <w:rFonts w:cs="宋体"/>
          <w:sz w:val="24"/>
          <w:u w:val="single"/>
          <w:lang w:eastAsia="zh-CN"/>
        </w:rPr>
        <w:t>通过确定的FDA POC进行沟通。</w:t>
      </w:r>
      <w:r>
        <w:rPr>
          <w:rFonts w:cs="宋体"/>
          <w:sz w:val="24"/>
          <w:lang w:eastAsia="zh-CN"/>
        </w:rPr>
        <w:t>申请人应通过指定的POC与FDA沟通。即使当请求的重点问题主要涉及牵头中心专业领域以外的专业知识，也应与已确定的牵头中心内部POC进行沟通，该POC会聘请适当的专家（参见下文第III.B节）。</w:t>
      </w:r>
    </w:p>
    <w:p w14:paraId="607680BD">
      <w:pPr>
        <w:pStyle w:val="3"/>
        <w:overflowPunct w:val="0"/>
        <w:rPr>
          <w:lang w:eastAsia="zh-CN"/>
        </w:rPr>
      </w:pPr>
      <w:bookmarkStart w:id="7" w:name="_Toc97897460"/>
      <w:r>
        <w:rPr>
          <w:rFonts w:cs="宋体"/>
          <w:lang w:eastAsia="zh-CN"/>
        </w:rPr>
        <w:t>B.</w:t>
      </w:r>
      <w:r>
        <w:rPr>
          <w:rFonts w:cs="宋体"/>
          <w:lang w:eastAsia="zh-CN"/>
        </w:rPr>
        <w:tab/>
      </w:r>
      <w:r>
        <w:rPr>
          <w:rFonts w:cs="宋体"/>
          <w:lang w:eastAsia="zh-CN"/>
        </w:rPr>
        <w:t>FDA最佳实践</w:t>
      </w:r>
      <w:bookmarkEnd w:id="7"/>
    </w:p>
    <w:p w14:paraId="3D35B1F8">
      <w:pPr>
        <w:overflowPunct w:val="0"/>
        <w:spacing w:before="120" w:beforeLines="50" w:line="300" w:lineRule="auto"/>
        <w:rPr>
          <w:rFonts w:cs="Times New Roman"/>
          <w:sz w:val="24"/>
          <w:szCs w:val="24"/>
          <w:lang w:eastAsia="zh-CN"/>
        </w:rPr>
      </w:pPr>
      <w:r>
        <w:rPr>
          <w:rFonts w:cs="宋体"/>
          <w:sz w:val="24"/>
          <w:lang w:eastAsia="zh-CN"/>
        </w:rPr>
        <w:t>为了确保FDA对基于申请的机制或CPAM请求的审查</w:t>
      </w:r>
      <w:r>
        <w:rPr>
          <w:rFonts w:hint="eastAsia" w:cs="宋体"/>
          <w:sz w:val="24"/>
          <w:lang w:eastAsia="zh-CN"/>
        </w:rPr>
        <w:t>高效率</w:t>
      </w:r>
      <w:r>
        <w:rPr>
          <w:rFonts w:cs="宋体"/>
          <w:sz w:val="24"/>
          <w:lang w:eastAsia="zh-CN"/>
        </w:rPr>
        <w:t>且有效果，FDA应：</w:t>
      </w:r>
    </w:p>
    <w:p w14:paraId="4FF952BB">
      <w:pPr>
        <w:pStyle w:val="25"/>
        <w:numPr>
          <w:ilvl w:val="0"/>
          <w:numId w:val="3"/>
        </w:numPr>
        <w:overflowPunct w:val="0"/>
        <w:spacing w:before="120" w:beforeLines="50" w:line="300" w:lineRule="auto"/>
        <w:ind w:firstLineChars="0"/>
        <w:rPr>
          <w:rFonts w:cs="Times New Roman"/>
          <w:sz w:val="24"/>
          <w:szCs w:val="24"/>
          <w:lang w:eastAsia="zh-CN"/>
        </w:rPr>
      </w:pPr>
      <w:r>
        <w:rPr>
          <w:rFonts w:cs="宋体"/>
          <w:sz w:val="24"/>
          <w:u w:val="single"/>
          <w:lang w:eastAsia="zh-CN"/>
        </w:rPr>
        <w:t>向申请人通知其FDA POC</w:t>
      </w:r>
      <w:r>
        <w:rPr>
          <w:rFonts w:cs="宋体"/>
          <w:sz w:val="24"/>
          <w:lang w:eastAsia="zh-CN"/>
        </w:rPr>
        <w:t>。</w:t>
      </w:r>
      <w:r>
        <w:rPr>
          <w:rFonts w:cs="宋体"/>
          <w:sz w:val="24"/>
          <w:vertAlign w:val="superscript"/>
          <w:lang w:eastAsia="zh-CN"/>
        </w:rPr>
        <w:t>12</w:t>
      </w:r>
      <w:r>
        <w:rPr>
          <w:rFonts w:cs="宋体"/>
          <w:sz w:val="24"/>
          <w:lang w:eastAsia="zh-CN"/>
        </w:rPr>
        <w:t>一旦按照中心指南和流程受理申请/请求，牵头中心应确保向申请人通知其FDA POC</w:t>
      </w:r>
      <w:r>
        <w:rPr>
          <w:rFonts w:cs="宋体"/>
          <w:sz w:val="24"/>
          <w:vertAlign w:val="superscript"/>
          <w:lang w:eastAsia="zh-CN"/>
        </w:rPr>
        <w:t>13</w:t>
      </w:r>
      <w:r>
        <w:rPr>
          <w:rFonts w:cs="宋体"/>
          <w:sz w:val="24"/>
          <w:lang w:eastAsia="zh-CN"/>
        </w:rPr>
        <w:t>，该POC在该组合产品申请将被分配的中心内。POC应协调申请人与FDA工作人员之间的沟通，并知悉FDA工作人员与申请人之间的任何沟通的结果。</w:t>
      </w:r>
    </w:p>
    <w:p w14:paraId="2AE7AF65">
      <w:pPr>
        <w:pStyle w:val="25"/>
        <w:numPr>
          <w:ilvl w:val="0"/>
          <w:numId w:val="3"/>
        </w:numPr>
        <w:overflowPunct w:val="0"/>
        <w:spacing w:before="120" w:beforeLines="50" w:line="300" w:lineRule="auto"/>
        <w:ind w:firstLineChars="0"/>
        <w:rPr>
          <w:rFonts w:cs="Times New Roman"/>
          <w:sz w:val="24"/>
          <w:szCs w:val="24"/>
          <w:lang w:eastAsia="zh-CN"/>
        </w:rPr>
      </w:pPr>
      <w:r>
        <w:rPr>
          <w:rFonts w:cs="宋体"/>
          <w:sz w:val="24"/>
          <w:u w:val="single"/>
          <w:lang w:eastAsia="zh-CN"/>
        </w:rPr>
        <w:t>聘请相关专家</w:t>
      </w:r>
      <w:r>
        <w:rPr>
          <w:rFonts w:cs="宋体"/>
          <w:sz w:val="24"/>
          <w:lang w:eastAsia="zh-CN"/>
        </w:rPr>
        <w:t>。牵头中心应根据需要从其他医疗产品中心和OCP聘请合适的专家，以支持对申请/请求的全面审查和反馈。应在审查过程早期聘请此类人员，并邀请其参加相关会议或与申请人的其他交流（如适用）。</w:t>
      </w:r>
      <w:r>
        <w:rPr>
          <w:rFonts w:cs="宋体"/>
          <w:sz w:val="24"/>
          <w:vertAlign w:val="superscript"/>
          <w:lang w:eastAsia="zh-CN"/>
        </w:rPr>
        <w:t>14</w:t>
      </w:r>
      <w:r>
        <w:rPr>
          <w:rFonts w:cs="宋体"/>
          <w:sz w:val="24"/>
          <w:lang w:eastAsia="zh-CN"/>
        </w:rPr>
        <w:t>如果申请人请求有特定专业知识的参与者（另参见下文第III.C节），FDA通常会酌情（例如，他们拥有与所讨论问题相关的专业知识）邀请此类人员参加会议和其他交流活动。申请人还可以要求OCP参加会议或以其他方式参与组合产品的相关监管事宜（参见《FD&amp;C法案》第503(g)(8)(C)(v)(II)节（21 USC 353(g)(8)(C)(v)(II)））。</w:t>
      </w:r>
    </w:p>
    <w:p w14:paraId="154078E8">
      <w:pPr>
        <w:pStyle w:val="23"/>
        <w:overflowPunct w:val="0"/>
        <w:rPr>
          <w:lang w:eastAsia="zh-CN"/>
        </w:rPr>
      </w:pPr>
      <w:r>
        <w:rPr>
          <w:rFonts w:cs="宋体"/>
          <w:lang w:eastAsia="zh-CN"/>
        </w:rPr>
        <w:t>______________________</w:t>
      </w:r>
    </w:p>
    <w:p w14:paraId="656B0D22">
      <w:pPr>
        <w:pStyle w:val="23"/>
        <w:overflowPunct w:val="0"/>
        <w:rPr>
          <w:sz w:val="18"/>
          <w:szCs w:val="18"/>
          <w:lang w:eastAsia="zh-CN"/>
        </w:rPr>
      </w:pPr>
      <w:r>
        <w:rPr>
          <w:rFonts w:cs="宋体"/>
          <w:sz w:val="18"/>
          <w:szCs w:val="18"/>
          <w:vertAlign w:val="superscript"/>
          <w:lang w:eastAsia="zh-CN"/>
        </w:rPr>
        <w:t xml:space="preserve">12 </w:t>
      </w:r>
      <w:r>
        <w:rPr>
          <w:rFonts w:cs="宋体"/>
          <w:sz w:val="18"/>
          <w:szCs w:val="18"/>
          <w:lang w:eastAsia="zh-CN"/>
        </w:rPr>
        <w:tab/>
      </w:r>
      <w:r>
        <w:rPr>
          <w:rFonts w:cs="宋体"/>
          <w:sz w:val="18"/>
          <w:szCs w:val="18"/>
          <w:lang w:eastAsia="zh-CN"/>
        </w:rPr>
        <w:t>根据《FD&amp;C法案》第503(g)(8)(C)(iii)节（21 USC 353(g)(8)(C)(iii)），OCP必须确保主要FDA中心的指定人员是组合产品申请人的主要POC。</w:t>
      </w:r>
    </w:p>
    <w:p w14:paraId="56E3BBAC">
      <w:pPr>
        <w:pStyle w:val="23"/>
        <w:overflowPunct w:val="0"/>
        <w:rPr>
          <w:sz w:val="18"/>
          <w:szCs w:val="18"/>
          <w:lang w:eastAsia="zh-CN"/>
        </w:rPr>
      </w:pPr>
      <w:r>
        <w:rPr>
          <w:rFonts w:cs="宋体"/>
          <w:sz w:val="18"/>
          <w:szCs w:val="18"/>
          <w:vertAlign w:val="superscript"/>
          <w:lang w:eastAsia="zh-CN"/>
        </w:rPr>
        <w:t xml:space="preserve">13 </w:t>
      </w:r>
      <w:r>
        <w:rPr>
          <w:rFonts w:cs="宋体"/>
          <w:sz w:val="18"/>
          <w:szCs w:val="18"/>
          <w:lang w:eastAsia="zh-CN"/>
        </w:rPr>
        <w:tab/>
      </w:r>
      <w:r>
        <w:rPr>
          <w:rFonts w:cs="宋体"/>
          <w:sz w:val="18"/>
          <w:szCs w:val="18"/>
          <w:lang w:eastAsia="zh-CN"/>
        </w:rPr>
        <w:t>在CBER和CDER，FDA POC通常是法规项目经理（RPM），在CDRH，FDA POC通常是审查负责人。</w:t>
      </w:r>
    </w:p>
    <w:p w14:paraId="79A3AC05">
      <w:pPr>
        <w:overflowPunct w:val="0"/>
        <w:spacing w:before="120" w:beforeLines="50" w:line="300" w:lineRule="auto"/>
        <w:rPr>
          <w:rFonts w:cs="Times New Roman"/>
          <w:sz w:val="24"/>
          <w:szCs w:val="24"/>
          <w:lang w:eastAsia="zh-CN"/>
        </w:rPr>
      </w:pPr>
      <w:r>
        <w:rPr>
          <w:rFonts w:cs="宋体"/>
          <w:sz w:val="24"/>
          <w:lang w:eastAsia="zh-CN"/>
        </w:rPr>
        <w:br w:type="page"/>
      </w:r>
    </w:p>
    <w:p w14:paraId="170B234C">
      <w:pPr>
        <w:pStyle w:val="25"/>
        <w:numPr>
          <w:ilvl w:val="0"/>
          <w:numId w:val="4"/>
        </w:numPr>
        <w:overflowPunct w:val="0"/>
        <w:spacing w:before="120" w:beforeLines="50" w:line="300" w:lineRule="auto"/>
        <w:ind w:firstLineChars="0"/>
        <w:rPr>
          <w:rFonts w:cs="Times New Roman"/>
          <w:sz w:val="24"/>
          <w:szCs w:val="24"/>
          <w:lang w:eastAsia="zh-CN"/>
        </w:rPr>
      </w:pPr>
      <w:r>
        <w:rPr>
          <w:rFonts w:cs="宋体"/>
          <w:sz w:val="24"/>
          <w:u w:val="single"/>
          <w:lang w:eastAsia="zh-CN"/>
        </w:rPr>
        <w:t>合并和调整反馈</w:t>
      </w:r>
      <w:r>
        <w:rPr>
          <w:rFonts w:cs="宋体"/>
          <w:sz w:val="24"/>
          <w:lang w:eastAsia="zh-CN"/>
        </w:rPr>
        <w:t>。FDA应根据所提供的信息尽可能对申请/请求中提出的问题提供全面的答复。提供给申请人的反馈应代表FDA目前的观点，并包括所有参与审查申请/请求的FDA中心和小组的相关意见。</w:t>
      </w:r>
    </w:p>
    <w:p w14:paraId="2155C83E">
      <w:pPr>
        <w:pStyle w:val="25"/>
        <w:numPr>
          <w:ilvl w:val="0"/>
          <w:numId w:val="4"/>
        </w:numPr>
        <w:overflowPunct w:val="0"/>
        <w:spacing w:before="120" w:beforeLines="50" w:line="300" w:lineRule="auto"/>
        <w:ind w:firstLineChars="0"/>
        <w:rPr>
          <w:rFonts w:cs="Times New Roman"/>
          <w:sz w:val="24"/>
          <w:szCs w:val="24"/>
          <w:lang w:eastAsia="zh-CN"/>
        </w:rPr>
      </w:pPr>
      <w:r>
        <w:rPr>
          <w:rFonts w:cs="宋体"/>
          <w:sz w:val="24"/>
          <w:u w:val="single"/>
          <w:lang w:eastAsia="zh-CN"/>
        </w:rPr>
        <w:t>提供可靠建议</w:t>
      </w:r>
      <w:r>
        <w:rPr>
          <w:rFonts w:cs="宋体"/>
          <w:sz w:val="24"/>
          <w:lang w:eastAsia="zh-CN"/>
        </w:rPr>
        <w:t>。无论采用哪种机制与FDA交流，FDA的反馈都应以书面形式收集，并反映FDA根据现有信息提出的最佳建议。FDA通常不应改变其提供给申请人的反馈，除非有因素（例如新的信息）影响先前提供的反馈的有效性，或法规变化改变了要求。</w:t>
      </w:r>
    </w:p>
    <w:p w14:paraId="72EFBDC0">
      <w:pPr>
        <w:pStyle w:val="3"/>
        <w:overflowPunct w:val="0"/>
        <w:rPr>
          <w:lang w:eastAsia="zh-CN"/>
        </w:rPr>
      </w:pPr>
      <w:bookmarkStart w:id="8" w:name="_Toc97897461"/>
      <w:r>
        <w:rPr>
          <w:rFonts w:cs="宋体"/>
          <w:lang w:eastAsia="zh-CN"/>
        </w:rPr>
        <w:t>C.</w:t>
      </w:r>
      <w:r>
        <w:rPr>
          <w:rFonts w:cs="宋体"/>
          <w:lang w:eastAsia="zh-CN"/>
        </w:rPr>
        <w:tab/>
      </w:r>
      <w:r>
        <w:rPr>
          <w:rFonts w:cs="宋体"/>
          <w:lang w:eastAsia="zh-CN"/>
        </w:rPr>
        <w:t>通过基于申请的机制请求提供组合产品反馈时应包括的信息</w:t>
      </w:r>
      <w:bookmarkEnd w:id="8"/>
    </w:p>
    <w:p w14:paraId="724F56AC">
      <w:pPr>
        <w:overflowPunct w:val="0"/>
        <w:spacing w:before="120" w:beforeLines="50" w:line="300" w:lineRule="auto"/>
        <w:rPr>
          <w:rFonts w:cs="Times New Roman"/>
          <w:sz w:val="24"/>
          <w:szCs w:val="24"/>
          <w:lang w:eastAsia="zh-CN"/>
        </w:rPr>
      </w:pPr>
      <w:r>
        <w:rPr>
          <w:rFonts w:cs="宋体"/>
          <w:sz w:val="24"/>
          <w:lang w:eastAsia="zh-CN"/>
        </w:rPr>
        <w:t>对于基于申请的机制，申请人应参考适用指南（参见附录1和附录2中引用的指南）作为确定提供哪些信息时的主要参考。以下显示的是申请人为组合产品提供的其他信息示例：</w:t>
      </w:r>
    </w:p>
    <w:p w14:paraId="68BD0249">
      <w:pPr>
        <w:pStyle w:val="25"/>
        <w:numPr>
          <w:ilvl w:val="0"/>
          <w:numId w:val="4"/>
        </w:numPr>
        <w:overflowPunct w:val="0"/>
        <w:spacing w:before="120" w:beforeLines="50" w:line="300" w:lineRule="auto"/>
        <w:ind w:firstLineChars="0"/>
        <w:rPr>
          <w:rFonts w:cs="Times New Roman"/>
          <w:sz w:val="24"/>
          <w:szCs w:val="24"/>
          <w:lang w:eastAsia="zh-CN"/>
        </w:rPr>
      </w:pPr>
      <w:r>
        <w:rPr>
          <w:rFonts w:cs="宋体"/>
          <w:sz w:val="24"/>
          <w:lang w:eastAsia="zh-CN"/>
        </w:rPr>
        <w:t>应注明请求反馈的产品为组合产品（参见《FD&amp;C法案》第503(g)(8)(C)(v)(I)节（21 USC 353(g)(8)(C)(v)(I)）和脚注11）；以及</w:t>
      </w:r>
    </w:p>
    <w:p w14:paraId="360DA9D3">
      <w:pPr>
        <w:pStyle w:val="25"/>
        <w:numPr>
          <w:ilvl w:val="0"/>
          <w:numId w:val="4"/>
        </w:numPr>
        <w:overflowPunct w:val="0"/>
        <w:spacing w:before="120" w:beforeLines="50" w:line="300" w:lineRule="auto"/>
        <w:ind w:firstLineChars="0"/>
        <w:rPr>
          <w:rFonts w:cs="Times New Roman"/>
          <w:sz w:val="24"/>
          <w:szCs w:val="24"/>
          <w:lang w:eastAsia="zh-CN"/>
        </w:rPr>
      </w:pPr>
      <w:r>
        <w:rPr>
          <w:rFonts w:cs="宋体"/>
          <w:sz w:val="24"/>
          <w:lang w:eastAsia="zh-CN"/>
        </w:rPr>
        <w:t>应包含组合产品和组成部分的相关信息，包括：</w:t>
      </w:r>
    </w:p>
    <w:p w14:paraId="4538CE6E">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对于包含器械组成部分的药物或生物制品主导型组合产品，提供器械描述、设计图或其他图像，并注明构成器械的组件。</w:t>
      </w:r>
    </w:p>
    <w:p w14:paraId="2F543671">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对于器械主导型组合产品，提供药物和/或生物制品组成部分的化学名称、正式或专有名称（如有）和结构。</w:t>
      </w:r>
    </w:p>
    <w:p w14:paraId="4CB956C8">
      <w:pPr>
        <w:pStyle w:val="23"/>
        <w:overflowPunct w:val="0"/>
        <w:rPr>
          <w:lang w:eastAsia="zh-CN"/>
        </w:rPr>
      </w:pPr>
      <w:r>
        <w:rPr>
          <w:rFonts w:cs="宋体"/>
          <w:lang w:eastAsia="zh-CN"/>
        </w:rPr>
        <w:t>______________________</w:t>
      </w:r>
    </w:p>
    <w:p w14:paraId="7D43064D">
      <w:pPr>
        <w:pStyle w:val="23"/>
        <w:overflowPunct w:val="0"/>
        <w:rPr>
          <w:sz w:val="18"/>
          <w:szCs w:val="18"/>
          <w:lang w:eastAsia="zh-CN"/>
        </w:rPr>
      </w:pPr>
      <w:r>
        <w:rPr>
          <w:rFonts w:cs="宋体"/>
          <w:sz w:val="18"/>
          <w:szCs w:val="18"/>
          <w:vertAlign w:val="superscript"/>
          <w:lang w:eastAsia="zh-CN"/>
        </w:rPr>
        <w:t xml:space="preserve">14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工作人员手册指南（SMG）4101，中心间咨询请求过程</w:t>
      </w:r>
      <w:r>
        <w:rPr>
          <w:rFonts w:cs="宋体"/>
          <w:sz w:val="18"/>
          <w:szCs w:val="18"/>
          <w:lang w:eastAsia="zh-CN"/>
        </w:rPr>
        <w:t>》中关于组合产品的中心间咨询预期和流程等内容；另参见《</w:t>
      </w:r>
      <w:r>
        <w:rPr>
          <w:rFonts w:cs="宋体"/>
          <w:color w:val="0000FF"/>
          <w:sz w:val="18"/>
          <w:szCs w:val="18"/>
          <w:u w:val="single"/>
          <w:lang w:eastAsia="zh-CN"/>
        </w:rPr>
        <w:t>SMG 4103，医疗产品中心和组合产品办公室关于组合产品相关法规和指南的参与预期和程序</w:t>
      </w:r>
      <w:r>
        <w:rPr>
          <w:rFonts w:cs="宋体"/>
          <w:sz w:val="18"/>
          <w:szCs w:val="18"/>
          <w:lang w:eastAsia="zh-CN"/>
        </w:rPr>
        <w:t>》。</w:t>
      </w:r>
    </w:p>
    <w:p w14:paraId="0F55BB66">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br w:type="page"/>
      </w:r>
      <w:r>
        <w:rPr>
          <w:rFonts w:cs="宋体"/>
          <w:sz w:val="24"/>
          <w:lang w:eastAsia="zh-CN"/>
        </w:rPr>
        <w:t>○</w:t>
      </w:r>
      <w:r>
        <w:rPr>
          <w:rFonts w:cs="宋体"/>
          <w:sz w:val="24"/>
          <w:lang w:eastAsia="zh-CN"/>
        </w:rPr>
        <w:tab/>
      </w:r>
      <w:r>
        <w:rPr>
          <w:rFonts w:cs="宋体"/>
          <w:sz w:val="24"/>
          <w:lang w:eastAsia="zh-CN"/>
        </w:rPr>
        <w:t>对于器械主导型组合产品，提供药物和/或生物制品组成部分的给药途径和/或剂量信息。</w:t>
      </w:r>
    </w:p>
    <w:p w14:paraId="6703029B">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如果组合产品包含申请人希望在其申请文件中交叉引用或依赖的已获批药品的活性成分，应注明已获批产品的申请编号。</w:t>
      </w:r>
    </w:p>
    <w:p w14:paraId="7987EA3E">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如果组合产品的一个组成部分是申请人希望交叉引用的已获得许可或已获批的器械，应注明之前已获得许可或已获批的器械的申请或申请文件编号。</w:t>
      </w:r>
    </w:p>
    <w:p w14:paraId="6E3248FA">
      <w:pPr>
        <w:pStyle w:val="3"/>
        <w:overflowPunct w:val="0"/>
        <w:rPr>
          <w:lang w:eastAsia="zh-CN"/>
        </w:rPr>
      </w:pPr>
      <w:bookmarkStart w:id="9" w:name="_Toc97897462"/>
      <w:r>
        <w:rPr>
          <w:rFonts w:cs="宋体"/>
          <w:lang w:eastAsia="zh-CN"/>
        </w:rPr>
        <w:t>D.</w:t>
      </w:r>
      <w:r>
        <w:rPr>
          <w:rFonts w:cs="宋体"/>
          <w:lang w:eastAsia="zh-CN"/>
        </w:rPr>
        <w:tab/>
      </w:r>
      <w:r>
        <w:rPr>
          <w:rFonts w:cs="宋体"/>
          <w:lang w:eastAsia="zh-CN"/>
        </w:rPr>
        <w:t>通过CPAM请求提供组合产品反馈时应包括的信息</w:t>
      </w:r>
      <w:bookmarkEnd w:id="9"/>
    </w:p>
    <w:p w14:paraId="1A2693C9">
      <w:pPr>
        <w:overflowPunct w:val="0"/>
        <w:spacing w:before="120" w:beforeLines="50" w:line="300" w:lineRule="auto"/>
        <w:rPr>
          <w:rFonts w:cs="Times New Roman"/>
          <w:sz w:val="24"/>
          <w:szCs w:val="24"/>
          <w:lang w:eastAsia="zh-CN"/>
        </w:rPr>
      </w:pPr>
      <w:r>
        <w:rPr>
          <w:rFonts w:cs="宋体"/>
          <w:sz w:val="24"/>
          <w:lang w:eastAsia="zh-CN"/>
        </w:rPr>
        <w:t>对于CPAM请求，申请人应提供以下内容：</w:t>
      </w:r>
    </w:p>
    <w:p w14:paraId="55004E53">
      <w:pPr>
        <w:pStyle w:val="25"/>
        <w:numPr>
          <w:ilvl w:val="0"/>
          <w:numId w:val="5"/>
        </w:numPr>
        <w:overflowPunct w:val="0"/>
        <w:spacing w:before="120" w:beforeLines="50" w:line="300" w:lineRule="auto"/>
        <w:ind w:firstLineChars="0"/>
        <w:rPr>
          <w:rFonts w:cs="Times New Roman"/>
          <w:sz w:val="24"/>
          <w:szCs w:val="24"/>
          <w:lang w:eastAsia="zh-CN"/>
        </w:rPr>
      </w:pPr>
      <w:r>
        <w:rPr>
          <w:rFonts w:cs="宋体"/>
          <w:sz w:val="24"/>
          <w:u w:val="single"/>
          <w:lang w:eastAsia="zh-CN"/>
        </w:rPr>
        <w:t>产品信息。</w:t>
      </w:r>
    </w:p>
    <w:p w14:paraId="07C9AADC">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包括产品名称、整个组合产品和组成部分的描述、适应症声明，以及给药途径和剂量信息（如适用）。</w:t>
      </w:r>
    </w:p>
    <w:p w14:paraId="5EAC7231">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如相关，包括与上文第III.C节中提及的信息相同的组合产品组成部分信息。如前所述，组合产品申请人必须在CPAM请求中注明其产品为组合产品。</w:t>
      </w:r>
    </w:p>
    <w:p w14:paraId="18A5AB74">
      <w:pPr>
        <w:pStyle w:val="25"/>
        <w:numPr>
          <w:ilvl w:val="0"/>
          <w:numId w:val="5"/>
        </w:numPr>
        <w:overflowPunct w:val="0"/>
        <w:spacing w:before="120" w:beforeLines="50" w:line="300" w:lineRule="auto"/>
        <w:ind w:firstLineChars="0"/>
        <w:rPr>
          <w:rFonts w:cs="Times New Roman"/>
          <w:sz w:val="24"/>
          <w:szCs w:val="24"/>
          <w:lang w:eastAsia="zh-CN"/>
        </w:rPr>
      </w:pPr>
      <w:r>
        <w:rPr>
          <w:rFonts w:cs="宋体"/>
          <w:sz w:val="24"/>
          <w:u w:val="single"/>
          <w:lang w:eastAsia="zh-CN"/>
        </w:rPr>
        <w:t>背景。</w:t>
      </w:r>
      <w:r>
        <w:rPr>
          <w:rFonts w:cs="宋体"/>
          <w:sz w:val="24"/>
          <w:lang w:eastAsia="zh-CN"/>
        </w:rPr>
        <w:t>描述产品开发状态，总结之前与FDA就该产品进行的任何交流（包括申请、基于申请的机制、其他会议、RFD或RFD预申请），并确定拟定的监管途径（如尚未确立）。</w:t>
      </w:r>
    </w:p>
    <w:p w14:paraId="26AF38F7">
      <w:pPr>
        <w:pStyle w:val="25"/>
        <w:numPr>
          <w:ilvl w:val="0"/>
          <w:numId w:val="5"/>
        </w:numPr>
        <w:overflowPunct w:val="0"/>
        <w:spacing w:before="120" w:beforeLines="50" w:line="300" w:lineRule="auto"/>
        <w:ind w:firstLineChars="0"/>
        <w:rPr>
          <w:rFonts w:cs="Times New Roman"/>
          <w:sz w:val="24"/>
          <w:szCs w:val="24"/>
          <w:lang w:eastAsia="zh-CN"/>
        </w:rPr>
      </w:pPr>
      <w:r>
        <w:rPr>
          <w:rFonts w:cs="宋体"/>
          <w:sz w:val="24"/>
          <w:u w:val="single"/>
          <w:lang w:eastAsia="zh-CN"/>
        </w:rPr>
        <w:t>会议请求</w:t>
      </w:r>
      <w:r>
        <w:rPr>
          <w:rFonts w:cs="宋体"/>
          <w:sz w:val="24"/>
          <w:lang w:eastAsia="zh-CN"/>
        </w:rPr>
        <w:t>。包括请求的沟通形式（即面对面会议、电话会议或书面答复）。总结采用特定沟通方式的原因。如果提议面对面会议或电话会议，应提供三个拟定的会议日期/时间、申请人无法参会的日期和时间以及拟定的议程。</w:t>
      </w:r>
    </w:p>
    <w:p w14:paraId="2B291B92">
      <w:pPr>
        <w:pStyle w:val="25"/>
        <w:numPr>
          <w:ilvl w:val="0"/>
          <w:numId w:val="5"/>
        </w:numPr>
        <w:overflowPunct w:val="0"/>
        <w:spacing w:before="120" w:beforeLines="50" w:line="300" w:lineRule="auto"/>
        <w:ind w:firstLineChars="0"/>
        <w:rPr>
          <w:rFonts w:cs="Times New Roman"/>
          <w:sz w:val="24"/>
          <w:szCs w:val="24"/>
          <w:lang w:eastAsia="zh-CN"/>
        </w:rPr>
      </w:pPr>
      <w:r>
        <w:rPr>
          <w:rFonts w:cs="宋体"/>
          <w:sz w:val="24"/>
          <w:u w:val="single"/>
          <w:lang w:eastAsia="zh-CN"/>
        </w:rPr>
        <w:t>一般协议提案</w:t>
      </w:r>
      <w:r>
        <w:rPr>
          <w:rFonts w:cs="宋体"/>
          <w:sz w:val="24"/>
          <w:lang w:eastAsia="zh-CN"/>
        </w:rPr>
        <w:t>。确定申请人希望与FDA协议的具体提案。应尽量按学科（例如药理学/毒理学、药品质量/化学和制造控制（CMC）、工程、人为因素）对提案进行分组。提案应仅限于申请人希望与FDA协议的提案。</w:t>
      </w:r>
    </w:p>
    <w:p w14:paraId="63138096">
      <w:pPr>
        <w:pStyle w:val="25"/>
        <w:numPr>
          <w:ilvl w:val="0"/>
          <w:numId w:val="5"/>
        </w:numPr>
        <w:overflowPunct w:val="0"/>
        <w:spacing w:before="120" w:beforeLines="50" w:line="300" w:lineRule="auto"/>
        <w:ind w:firstLineChars="0"/>
        <w:rPr>
          <w:rFonts w:cs="Times New Roman"/>
          <w:sz w:val="24"/>
          <w:szCs w:val="24"/>
          <w:lang w:eastAsia="zh-CN"/>
        </w:rPr>
      </w:pPr>
      <w:r>
        <w:rPr>
          <w:rFonts w:cs="宋体"/>
          <w:sz w:val="24"/>
          <w:u w:val="single"/>
          <w:lang w:eastAsia="zh-CN"/>
        </w:rPr>
        <w:t>支持提案的理由和数据</w:t>
      </w:r>
      <w:r>
        <w:rPr>
          <w:rFonts w:cs="宋体"/>
          <w:sz w:val="24"/>
          <w:lang w:eastAsia="zh-CN"/>
        </w:rPr>
        <w:t>。提供充分的理由和数据，以支持FDA对协议提案的审查。适当时按主题组织理由和数据。</w:t>
      </w:r>
    </w:p>
    <w:p w14:paraId="7E38DE71">
      <w:pPr>
        <w:pStyle w:val="25"/>
        <w:numPr>
          <w:ilvl w:val="0"/>
          <w:numId w:val="6"/>
        </w:numPr>
        <w:overflowPunct w:val="0"/>
        <w:spacing w:before="120" w:beforeLines="50" w:line="300" w:lineRule="auto"/>
        <w:ind w:firstLineChars="0"/>
        <w:rPr>
          <w:rFonts w:cs="Times New Roman"/>
          <w:sz w:val="24"/>
          <w:szCs w:val="24"/>
          <w:lang w:eastAsia="zh-CN"/>
        </w:rPr>
      </w:pPr>
      <w:r>
        <w:rPr>
          <w:rFonts w:cs="宋体"/>
          <w:sz w:val="24"/>
          <w:lang w:eastAsia="zh-CN"/>
        </w:rPr>
        <w:br w:type="page"/>
      </w:r>
      <w:r>
        <w:rPr>
          <w:rFonts w:cs="宋体"/>
          <w:sz w:val="24"/>
          <w:u w:val="single"/>
          <w:lang w:eastAsia="zh-CN"/>
        </w:rPr>
        <w:t>与会人员</w:t>
      </w:r>
      <w:r>
        <w:rPr>
          <w:rFonts w:cs="宋体"/>
          <w:sz w:val="24"/>
          <w:lang w:eastAsia="zh-CN"/>
        </w:rPr>
        <w:t>。包括申请人组织的计划参与者清单，包括姓名和职务。还应包括顾问和口译员的姓名、职务和所属机构的清单。如果该信息发生变化，应在会议前至少5个工作日进行更新。如果申请人希望邀请特定的FDA工作人员或专家参加会议，则应在CPAM请求中包含该信息。在适当（即，该专家是解决拟议协议所必需的）和可能（即，日程安排允许）的情况下，FDA通常应同意此类请求。</w:t>
      </w:r>
    </w:p>
    <w:p w14:paraId="66BAA117">
      <w:pPr>
        <w:pStyle w:val="2"/>
        <w:overflowPunct w:val="0"/>
        <w:rPr>
          <w:lang w:eastAsia="zh-CN"/>
        </w:rPr>
      </w:pPr>
      <w:bookmarkStart w:id="10" w:name="_Toc97897463"/>
      <w:r>
        <w:rPr>
          <w:rFonts w:cs="宋体"/>
          <w:lang w:eastAsia="zh-CN"/>
        </w:rPr>
        <w:t>IV.</w:t>
      </w:r>
      <w:r>
        <w:rPr>
          <w:rFonts w:cs="宋体"/>
          <w:lang w:eastAsia="zh-CN"/>
        </w:rPr>
        <w:tab/>
      </w:r>
      <w:r>
        <w:rPr>
          <w:rFonts w:cs="宋体"/>
          <w:lang w:eastAsia="zh-CN"/>
        </w:rPr>
        <w:t>组合产品的可用反馈机制</w:t>
      </w:r>
      <w:bookmarkEnd w:id="10"/>
    </w:p>
    <w:p w14:paraId="20C2DBEE">
      <w:pPr>
        <w:overflowPunct w:val="0"/>
        <w:spacing w:before="120" w:beforeLines="50" w:line="300" w:lineRule="auto"/>
        <w:rPr>
          <w:rFonts w:cs="Times New Roman"/>
          <w:sz w:val="24"/>
          <w:szCs w:val="24"/>
          <w:lang w:eastAsia="zh-CN"/>
        </w:rPr>
      </w:pPr>
      <w:r>
        <w:rPr>
          <w:rFonts w:cs="宋体"/>
          <w:sz w:val="24"/>
          <w:lang w:eastAsia="zh-CN"/>
        </w:rPr>
        <w:t>以下章节讨论了申请人可以通过基于申请的机制或CPAM与FDA交流讨论组合产品问题的各种方式。FDA鼓励使用基于申请的机制，因为此类机制通常可提供最高效和有效的方式来获得组合产品申请人可以依赖的反馈。</w:t>
      </w:r>
      <w:r>
        <w:rPr>
          <w:rFonts w:cs="宋体"/>
          <w:sz w:val="24"/>
          <w:vertAlign w:val="superscript"/>
          <w:lang w:eastAsia="zh-CN"/>
        </w:rPr>
        <w:t>15</w:t>
      </w:r>
      <w:r>
        <w:rPr>
          <w:rFonts w:cs="宋体"/>
          <w:sz w:val="24"/>
          <w:lang w:eastAsia="zh-CN"/>
        </w:rPr>
        <w:t>关于已经有FDA技术指南的议题的具体问题（例如请求说明如何开展FDA指南中描述的试验或根据公认标准开展试验）应通过基于申请的机制来解决。</w:t>
      </w:r>
    </w:p>
    <w:p w14:paraId="6E7BF480">
      <w:pPr>
        <w:overflowPunct w:val="0"/>
        <w:spacing w:before="120" w:beforeLines="50" w:line="300" w:lineRule="auto"/>
        <w:rPr>
          <w:rFonts w:cs="Times New Roman"/>
          <w:sz w:val="24"/>
          <w:szCs w:val="24"/>
          <w:lang w:eastAsia="zh-CN"/>
        </w:rPr>
      </w:pPr>
      <w:r>
        <w:rPr>
          <w:rFonts w:cs="宋体"/>
          <w:sz w:val="24"/>
          <w:lang w:eastAsia="zh-CN"/>
        </w:rPr>
        <w:t>CPAM可以补充但不应取代基于申请的机制，不得用于解决关于科学或监管问题的争议，此类争议应通过牵头中心的争议解决和/或申诉程序进行审查。</w:t>
      </w:r>
      <w:r>
        <w:rPr>
          <w:rFonts w:cs="宋体"/>
          <w:sz w:val="24"/>
          <w:vertAlign w:val="superscript"/>
          <w:lang w:eastAsia="zh-CN"/>
        </w:rPr>
        <w:t>16</w:t>
      </w:r>
      <w:r>
        <w:rPr>
          <w:rFonts w:cs="宋体"/>
          <w:sz w:val="24"/>
          <w:lang w:eastAsia="zh-CN"/>
        </w:rPr>
        <w:t>由于在不确定或数据有限的情况下达成协议可能具有挑战性，FDA建议申请人仅在认为已确定组合产品的适应症和设计且可提供充分信息以确保所有相关学科和中心进行有效审查时，才考虑使用CPAM。因此，在考虑CPAM之前，通过基于申请的机制进行交流，为FDA提供评价技术数据或参与科学讨论的机会可能有所帮助。</w:t>
      </w:r>
    </w:p>
    <w:p w14:paraId="245FD7CD">
      <w:pPr>
        <w:pStyle w:val="3"/>
        <w:overflowPunct w:val="0"/>
        <w:rPr>
          <w:lang w:eastAsia="zh-CN"/>
        </w:rPr>
      </w:pPr>
      <w:bookmarkStart w:id="11" w:name="_Toc97897464"/>
      <w:r>
        <w:rPr>
          <w:rFonts w:cs="宋体"/>
          <w:lang w:eastAsia="zh-CN"/>
        </w:rPr>
        <w:t>A.</w:t>
      </w:r>
      <w:r>
        <w:rPr>
          <w:rFonts w:cs="宋体"/>
          <w:lang w:eastAsia="zh-CN"/>
        </w:rPr>
        <w:tab/>
      </w:r>
      <w:r>
        <w:rPr>
          <w:rFonts w:cs="宋体"/>
          <w:lang w:eastAsia="zh-CN"/>
        </w:rPr>
        <w:t>基于申请的机制</w:t>
      </w:r>
      <w:bookmarkEnd w:id="11"/>
    </w:p>
    <w:p w14:paraId="0BE68C59">
      <w:pPr>
        <w:overflowPunct w:val="0"/>
        <w:spacing w:before="120" w:beforeLines="50" w:line="300" w:lineRule="auto"/>
        <w:rPr>
          <w:rFonts w:cs="Times New Roman"/>
          <w:sz w:val="24"/>
          <w:szCs w:val="24"/>
          <w:vertAlign w:val="superscript"/>
          <w:lang w:eastAsia="zh-CN"/>
        </w:rPr>
      </w:pPr>
      <w:r>
        <w:rPr>
          <w:rFonts w:cs="宋体"/>
          <w:sz w:val="24"/>
          <w:lang w:eastAsia="zh-CN"/>
        </w:rPr>
        <w:t>可用于药物、器械和生物制品的基于申请的与FDA交流机制也可用于组合产品。此类机制通常是与FDA沟通的最</w:t>
      </w:r>
      <w:r>
        <w:rPr>
          <w:rFonts w:hint="eastAsia" w:cs="宋体"/>
          <w:sz w:val="24"/>
          <w:lang w:eastAsia="zh-CN"/>
        </w:rPr>
        <w:t>高效率且有效果</w:t>
      </w:r>
      <w:r>
        <w:rPr>
          <w:rFonts w:cs="宋体"/>
          <w:sz w:val="24"/>
          <w:lang w:eastAsia="zh-CN"/>
        </w:rPr>
        <w:t>的机制，并且是基于将提交的组合产品申请类型。</w:t>
      </w:r>
      <w:r>
        <w:rPr>
          <w:rFonts w:cs="宋体"/>
          <w:sz w:val="24"/>
          <w:vertAlign w:val="superscript"/>
          <w:lang w:eastAsia="zh-CN"/>
        </w:rPr>
        <w:t>17</w:t>
      </w:r>
    </w:p>
    <w:p w14:paraId="26A2E0A4">
      <w:pPr>
        <w:pStyle w:val="23"/>
        <w:overflowPunct w:val="0"/>
        <w:rPr>
          <w:lang w:eastAsia="zh-CN"/>
        </w:rPr>
      </w:pPr>
      <w:r>
        <w:rPr>
          <w:rFonts w:cs="宋体"/>
          <w:vertAlign w:val="superscript"/>
          <w:lang w:eastAsia="zh-CN"/>
        </w:rPr>
        <w:t>_______________________</w:t>
      </w:r>
    </w:p>
    <w:p w14:paraId="5190B0CB">
      <w:pPr>
        <w:pStyle w:val="23"/>
        <w:overflowPunct w:val="0"/>
        <w:rPr>
          <w:sz w:val="18"/>
          <w:szCs w:val="18"/>
          <w:lang w:eastAsia="zh-CN"/>
        </w:rPr>
      </w:pPr>
      <w:r>
        <w:rPr>
          <w:rFonts w:cs="宋体"/>
          <w:sz w:val="18"/>
          <w:szCs w:val="18"/>
          <w:vertAlign w:val="superscript"/>
          <w:lang w:eastAsia="zh-CN"/>
        </w:rPr>
        <w:t>15</w:t>
      </w:r>
      <w:r>
        <w:rPr>
          <w:rFonts w:cs="宋体"/>
          <w:sz w:val="18"/>
          <w:szCs w:val="18"/>
          <w:lang w:eastAsia="zh-CN"/>
        </w:rPr>
        <w:t xml:space="preserve"> </w:t>
      </w:r>
      <w:r>
        <w:rPr>
          <w:rFonts w:cs="宋体"/>
          <w:sz w:val="18"/>
          <w:szCs w:val="18"/>
          <w:lang w:eastAsia="zh-CN"/>
        </w:rPr>
        <w:tab/>
      </w:r>
      <w:r>
        <w:rPr>
          <w:rFonts w:cs="宋体"/>
          <w:sz w:val="18"/>
          <w:szCs w:val="18"/>
          <w:lang w:eastAsia="zh-CN"/>
        </w:rPr>
        <w:t>关于初步和一般问题的联系人，请参见第II.C节。</w:t>
      </w:r>
    </w:p>
    <w:p w14:paraId="36DB44F2">
      <w:pPr>
        <w:pStyle w:val="23"/>
        <w:overflowPunct w:val="0"/>
        <w:rPr>
          <w:sz w:val="18"/>
          <w:szCs w:val="18"/>
          <w:lang w:eastAsia="zh-CN"/>
        </w:rPr>
      </w:pPr>
      <w:r>
        <w:rPr>
          <w:rFonts w:cs="宋体"/>
          <w:sz w:val="18"/>
          <w:szCs w:val="18"/>
          <w:vertAlign w:val="superscript"/>
          <w:lang w:eastAsia="zh-CN"/>
        </w:rPr>
        <w:t>16</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根据GDUFA提交部门级复议申请：行业指南草案</w:t>
      </w:r>
      <w:r>
        <w:rPr>
          <w:rFonts w:cs="宋体"/>
          <w:sz w:val="18"/>
          <w:szCs w:val="18"/>
          <w:lang w:eastAsia="zh-CN"/>
        </w:rPr>
        <w:t>》（针对CDER的仿制药办公室，该指南定稿后将代表FDA目前对该议题的看法）、《</w:t>
      </w:r>
      <w:r>
        <w:rPr>
          <w:rFonts w:cs="宋体"/>
          <w:color w:val="0000FF"/>
          <w:sz w:val="18"/>
          <w:szCs w:val="18"/>
          <w:u w:val="single"/>
          <w:lang w:eastAsia="zh-CN"/>
        </w:rPr>
        <w:t>正式争议解决：部门级以上的申请人申诉：面向行业和审查人员的指南</w:t>
      </w:r>
      <w:r>
        <w:rPr>
          <w:rFonts w:cs="宋体"/>
          <w:sz w:val="18"/>
          <w:szCs w:val="18"/>
          <w:lang w:eastAsia="zh-CN"/>
        </w:rPr>
        <w:t>》（适用于CBER和CDER）以及《</w:t>
      </w:r>
      <w:r>
        <w:rPr>
          <w:rFonts w:cs="宋体"/>
          <w:color w:val="0000FF"/>
          <w:sz w:val="18"/>
          <w:szCs w:val="18"/>
          <w:u w:val="single"/>
          <w:lang w:eastAsia="zh-CN"/>
        </w:rPr>
        <w:t>医疗器械和辐射健康中心申诉流程：面向行业和美国食品药品监督管理局工作人员的指南</w:t>
      </w:r>
      <w:r>
        <w:rPr>
          <w:rFonts w:cs="宋体"/>
          <w:sz w:val="18"/>
          <w:szCs w:val="18"/>
          <w:lang w:eastAsia="zh-CN"/>
        </w:rPr>
        <w:t>》。</w:t>
      </w:r>
      <w:r>
        <w:rPr>
          <w:rFonts w:cs="宋体"/>
          <w:sz w:val="18"/>
          <w:szCs w:val="18"/>
        </w:rPr>
        <w:t>组合产品申请人可以从牵头中心监察员处获得关于非正式争议解决方式的信息（参见</w:t>
      </w:r>
      <w:r>
        <w:rPr>
          <w:rFonts w:cs="宋体"/>
          <w:color w:val="0000FF"/>
          <w:sz w:val="18"/>
          <w:szCs w:val="18"/>
          <w:u w:val="single"/>
        </w:rPr>
        <w:t>https://www.fda.gov/about-fda/office-chief-scientist/contact- ombudsman-fda</w:t>
      </w:r>
      <w:r>
        <w:rPr>
          <w:rFonts w:cs="宋体"/>
          <w:sz w:val="18"/>
          <w:szCs w:val="18"/>
        </w:rPr>
        <w:t>）。</w:t>
      </w:r>
      <w:r>
        <w:rPr>
          <w:rFonts w:cs="宋体"/>
          <w:sz w:val="18"/>
          <w:szCs w:val="18"/>
          <w:lang w:eastAsia="zh-CN"/>
        </w:rPr>
        <w:t>OCP也可以协助受FDA监管的实体解决其与中心或FDA其他部门之间可能出现的与组合产品上市前审查相关的问题或其他监管问题。协助请求可发送至OCP的邮箱</w:t>
      </w:r>
      <w:r>
        <w:rPr>
          <w:rFonts w:cs="宋体"/>
          <w:color w:val="0000FF"/>
          <w:sz w:val="18"/>
          <w:szCs w:val="18"/>
          <w:u w:val="single"/>
          <w:lang w:eastAsia="zh-CN"/>
        </w:rPr>
        <w:t>combination@fda.gov</w:t>
      </w:r>
      <w:r>
        <w:rPr>
          <w:rFonts w:cs="宋体"/>
          <w:sz w:val="18"/>
          <w:szCs w:val="18"/>
          <w:lang w:eastAsia="zh-CN"/>
        </w:rPr>
        <w:t>。</w:t>
      </w:r>
    </w:p>
    <w:p w14:paraId="14F0D2A8">
      <w:pPr>
        <w:overflowPunct w:val="0"/>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如上所述，无论请求什么反馈，与FDA的所有交流都应通过组合产品牵头中心，并采用该中心的基于申请的机制进行。例如，如果申请人对器械主导型组合产品的药物部分有一般问题，则通过CDRH进行交流，合适的基于申请的机制是预申请会议流程。</w:t>
      </w:r>
      <w:r>
        <w:rPr>
          <w:rFonts w:cs="宋体"/>
          <w:sz w:val="24"/>
          <w:vertAlign w:val="superscript"/>
          <w:lang w:eastAsia="zh-CN"/>
        </w:rPr>
        <w:t>18</w:t>
      </w:r>
      <w:r>
        <w:rPr>
          <w:rFonts w:cs="宋体"/>
          <w:sz w:val="24"/>
          <w:lang w:eastAsia="zh-CN"/>
        </w:rPr>
        <w:t>基于申请的机制包括专门的会议类型和用于解决特定请求（例如，器械突破性认定）和产品类型（例如，复杂仿制药）的机会。附录1和2列出了组合产品申请人在获取FDA反馈时使用的常见问题和基于申请的机制示例。</w:t>
      </w:r>
    </w:p>
    <w:p w14:paraId="75CE293B">
      <w:pPr>
        <w:overflowPunct w:val="0"/>
        <w:spacing w:before="120" w:beforeLines="50" w:line="300" w:lineRule="auto"/>
        <w:rPr>
          <w:rFonts w:cs="Times New Roman"/>
          <w:sz w:val="24"/>
          <w:szCs w:val="24"/>
          <w:lang w:eastAsia="zh-CN"/>
        </w:rPr>
      </w:pPr>
      <w:r>
        <w:rPr>
          <w:rFonts w:cs="宋体"/>
          <w:sz w:val="24"/>
          <w:lang w:eastAsia="zh-CN"/>
        </w:rPr>
        <w:t>对于基于申请的机制，应按照交流类型的现有流程，向组合产品申请人提供FDA的处理和反馈（参见附录1和2中引用的相关指南；另参见</w:t>
      </w:r>
      <w:r>
        <w:rPr>
          <w:rFonts w:cs="宋体"/>
          <w:color w:val="0000FF"/>
          <w:sz w:val="24"/>
          <w:u w:val="single"/>
          <w:lang w:eastAsia="zh-CN"/>
        </w:rPr>
        <w:t>电子申请文件</w:t>
      </w:r>
      <w:r>
        <w:rPr>
          <w:rFonts w:cs="宋体"/>
          <w:sz w:val="24"/>
          <w:vertAlign w:val="superscript"/>
          <w:lang w:eastAsia="zh-CN"/>
        </w:rPr>
        <w:t>19</w:t>
      </w:r>
      <w:r>
        <w:rPr>
          <w:rFonts w:cs="宋体"/>
          <w:sz w:val="24"/>
          <w:lang w:eastAsia="zh-CN"/>
        </w:rPr>
        <w:t>）。</w:t>
      </w:r>
    </w:p>
    <w:p w14:paraId="0110B11A">
      <w:pPr>
        <w:pStyle w:val="3"/>
        <w:overflowPunct w:val="0"/>
        <w:rPr>
          <w:lang w:eastAsia="zh-CN"/>
        </w:rPr>
      </w:pPr>
      <w:bookmarkStart w:id="12" w:name="_Toc97897465"/>
      <w:r>
        <w:rPr>
          <w:rFonts w:cs="宋体"/>
          <w:lang w:eastAsia="zh-CN"/>
        </w:rPr>
        <w:t>B.</w:t>
      </w:r>
      <w:r>
        <w:rPr>
          <w:rFonts w:cs="宋体"/>
          <w:lang w:eastAsia="zh-CN"/>
        </w:rPr>
        <w:tab/>
      </w:r>
      <w:r>
        <w:rPr>
          <w:rFonts w:cs="宋体"/>
          <w:lang w:eastAsia="zh-CN"/>
        </w:rPr>
        <w:t>组合产品协议会议（CPAM）</w:t>
      </w:r>
      <w:bookmarkEnd w:id="12"/>
    </w:p>
    <w:p w14:paraId="7866DEE0">
      <w:pPr>
        <w:overflowPunct w:val="0"/>
        <w:spacing w:before="120" w:beforeLines="50" w:line="300" w:lineRule="auto"/>
        <w:rPr>
          <w:rFonts w:cs="Times New Roman"/>
          <w:sz w:val="24"/>
          <w:szCs w:val="24"/>
          <w:lang w:eastAsia="zh-CN"/>
        </w:rPr>
      </w:pPr>
      <w:r>
        <w:rPr>
          <w:rFonts w:cs="宋体"/>
          <w:sz w:val="24"/>
          <w:lang w:eastAsia="zh-CN"/>
        </w:rPr>
        <w:t>CPAM是申请人获得说明和确定性的一种手段（上述基于申请的机制除外），并可用于牵头中心分配明确的组合产品。</w:t>
      </w:r>
      <w:r>
        <w:rPr>
          <w:rFonts w:cs="宋体"/>
          <w:sz w:val="24"/>
          <w:vertAlign w:val="superscript"/>
          <w:lang w:eastAsia="zh-CN"/>
        </w:rPr>
        <w:t>20</w:t>
      </w:r>
    </w:p>
    <w:p w14:paraId="1D812C91">
      <w:pPr>
        <w:overflowPunct w:val="0"/>
        <w:spacing w:before="120" w:beforeLines="50" w:line="300" w:lineRule="auto"/>
        <w:rPr>
          <w:rFonts w:cs="Times New Roman"/>
          <w:sz w:val="24"/>
          <w:szCs w:val="24"/>
          <w:lang w:eastAsia="zh-CN"/>
        </w:rPr>
      </w:pPr>
      <w:r>
        <w:rPr>
          <w:rFonts w:cs="宋体"/>
          <w:sz w:val="24"/>
          <w:lang w:eastAsia="zh-CN"/>
        </w:rPr>
        <w:t>作为对书面CPAM请求的回应，FDA必须：</w:t>
      </w:r>
    </w:p>
    <w:p w14:paraId="7F9778FC">
      <w:pPr>
        <w:pStyle w:val="25"/>
        <w:numPr>
          <w:ilvl w:val="0"/>
          <w:numId w:val="7"/>
        </w:numPr>
        <w:overflowPunct w:val="0"/>
        <w:spacing w:before="120" w:beforeLines="50" w:line="300" w:lineRule="auto"/>
        <w:ind w:firstLineChars="0"/>
        <w:rPr>
          <w:rFonts w:cs="Times New Roman"/>
          <w:sz w:val="24"/>
          <w:szCs w:val="24"/>
          <w:lang w:eastAsia="zh-CN"/>
        </w:rPr>
      </w:pPr>
      <w:r>
        <w:rPr>
          <w:rFonts w:cs="宋体"/>
          <w:sz w:val="24"/>
          <w:lang w:eastAsia="zh-CN"/>
        </w:rPr>
        <w:t>在收到请求后75个日历日内与申请人举行会议；以及</w:t>
      </w:r>
    </w:p>
    <w:p w14:paraId="7109523B">
      <w:pPr>
        <w:pStyle w:val="25"/>
        <w:numPr>
          <w:ilvl w:val="0"/>
          <w:numId w:val="7"/>
        </w:numPr>
        <w:overflowPunct w:val="0"/>
        <w:spacing w:before="120" w:beforeLines="50" w:line="300" w:lineRule="auto"/>
        <w:ind w:firstLineChars="0"/>
        <w:rPr>
          <w:rFonts w:cs="Times New Roman"/>
          <w:sz w:val="24"/>
          <w:szCs w:val="24"/>
          <w:lang w:eastAsia="zh-CN"/>
        </w:rPr>
      </w:pPr>
      <w:r>
        <w:rPr>
          <w:rFonts w:cs="宋体"/>
          <w:sz w:val="24"/>
          <w:lang w:eastAsia="zh-CN"/>
        </w:rPr>
        <w:t>以书面形式记录与申请人达成的协议，并将其作为管理记录的一部分。</w:t>
      </w:r>
    </w:p>
    <w:p w14:paraId="0DA496DA">
      <w:pPr>
        <w:overflowPunct w:val="0"/>
        <w:spacing w:before="120" w:beforeLines="50" w:line="300" w:lineRule="auto"/>
        <w:rPr>
          <w:rFonts w:cs="Times New Roman"/>
          <w:sz w:val="24"/>
          <w:szCs w:val="24"/>
        </w:rPr>
      </w:pPr>
      <w:r>
        <w:rPr>
          <w:rFonts w:cs="宋体"/>
          <w:sz w:val="24"/>
        </w:rPr>
        <w:t>另参见《FD&amp;C法案》第503(g)(2)(A)(i)和(iii)节（21 USC 353(g)(2)(A)(i)和(iii)）。</w:t>
      </w:r>
    </w:p>
    <w:p w14:paraId="7E3BCE95">
      <w:pPr>
        <w:pStyle w:val="23"/>
        <w:overflowPunct w:val="0"/>
        <w:rPr>
          <w:lang w:eastAsia="zh-CN"/>
        </w:rPr>
      </w:pPr>
      <w:r>
        <w:rPr>
          <w:rFonts w:cs="宋体"/>
          <w:lang w:eastAsia="zh-CN"/>
        </w:rPr>
        <w:t>_______________</w:t>
      </w:r>
    </w:p>
    <w:p w14:paraId="57711C78">
      <w:pPr>
        <w:pStyle w:val="23"/>
        <w:overflowPunct w:val="0"/>
        <w:rPr>
          <w:sz w:val="18"/>
          <w:szCs w:val="18"/>
          <w:lang w:eastAsia="zh-CN"/>
        </w:rPr>
      </w:pPr>
      <w:r>
        <w:rPr>
          <w:rFonts w:cs="宋体"/>
          <w:sz w:val="18"/>
          <w:szCs w:val="18"/>
          <w:vertAlign w:val="superscript"/>
          <w:lang w:eastAsia="zh-CN"/>
        </w:rPr>
        <w:t xml:space="preserve">17 </w:t>
      </w:r>
      <w:r>
        <w:rPr>
          <w:rFonts w:cs="宋体"/>
          <w:sz w:val="18"/>
          <w:szCs w:val="18"/>
          <w:lang w:eastAsia="zh-CN"/>
        </w:rPr>
        <w:tab/>
      </w:r>
      <w:r>
        <w:rPr>
          <w:rFonts w:cs="宋体"/>
          <w:sz w:val="18"/>
          <w:szCs w:val="18"/>
          <w:lang w:eastAsia="zh-CN"/>
        </w:rPr>
        <w:t>虽然对于所有组合产品，基于申请的机制可用，并且通常应该使用，但申请人预计会提交或已经提交每个组成部分的单独上市申请（例如，药物NDA和器械510(k)）的交叉标签组合产品可能提出不同的考虑因素。在提交交叉标签组合产品各组成部分的单独上市申请之前，无论请求什么反馈，与FDA的所有交流都应通过组合产品的牵头中心进行。申请人可能希望与中心（和OCP，如需要）讨论如何以最佳方式确保上市申请审查期间的高效、协调参与（例如，由于组成部分资料提交的相对时间安排）。</w:t>
      </w:r>
    </w:p>
    <w:p w14:paraId="295E08A1">
      <w:pPr>
        <w:pStyle w:val="23"/>
        <w:overflowPunct w:val="0"/>
        <w:rPr>
          <w:i/>
          <w:sz w:val="18"/>
          <w:szCs w:val="18"/>
          <w:lang w:eastAsia="zh-CN"/>
        </w:rPr>
      </w:pPr>
      <w:r>
        <w:rPr>
          <w:rFonts w:cs="宋体"/>
          <w:sz w:val="18"/>
          <w:szCs w:val="18"/>
          <w:vertAlign w:val="superscript"/>
          <w:lang w:eastAsia="zh-CN"/>
        </w:rPr>
        <w:t xml:space="preserve">18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医疗器械申请的反馈和会议申请：Q-申请计划 - 面向行业和美国食品药品监督管理局工作人员的指南</w:t>
      </w:r>
      <w:r>
        <w:rPr>
          <w:rFonts w:cs="宋体"/>
          <w:sz w:val="18"/>
          <w:szCs w:val="18"/>
          <w:lang w:eastAsia="zh-CN"/>
        </w:rPr>
        <w:t>》。</w:t>
      </w:r>
    </w:p>
    <w:p w14:paraId="177DC495">
      <w:pPr>
        <w:pStyle w:val="23"/>
        <w:overflowPunct w:val="0"/>
        <w:rPr>
          <w:sz w:val="18"/>
          <w:szCs w:val="18"/>
        </w:rPr>
      </w:pPr>
      <w:r>
        <w:rPr>
          <w:sz w:val="18"/>
          <w:szCs w:val="18"/>
          <w:vertAlign w:val="superscript"/>
        </w:rPr>
        <w:t xml:space="preserve">19 </w:t>
      </w:r>
      <w:r>
        <w:rPr>
          <w:color w:val="0000FF"/>
          <w:sz w:val="18"/>
          <w:szCs w:val="18"/>
          <w:u w:val="single" w:color="0000FF"/>
        </w:rPr>
        <w:t>https://www.fda.gov/industry/policiesguidance/links-center-specific-submission-preparation-guidelines。</w:t>
      </w:r>
    </w:p>
    <w:p w14:paraId="4EEB5587">
      <w:pPr>
        <w:pStyle w:val="23"/>
        <w:overflowPunct w:val="0"/>
        <w:rPr>
          <w:sz w:val="18"/>
          <w:szCs w:val="18"/>
          <w:lang w:eastAsia="zh-CN"/>
        </w:rPr>
      </w:pPr>
      <w:r>
        <w:rPr>
          <w:rFonts w:cs="宋体"/>
          <w:sz w:val="18"/>
          <w:szCs w:val="18"/>
          <w:vertAlign w:val="superscript"/>
          <w:lang w:eastAsia="zh-CN"/>
        </w:rPr>
        <w:t>20</w:t>
      </w:r>
      <w:r>
        <w:rPr>
          <w:rFonts w:cs="宋体"/>
          <w:sz w:val="18"/>
          <w:szCs w:val="18"/>
          <w:lang w:eastAsia="zh-CN"/>
        </w:rPr>
        <w:tab/>
      </w:r>
      <w:r>
        <w:rPr>
          <w:rFonts w:cs="宋体"/>
          <w:sz w:val="18"/>
          <w:szCs w:val="18"/>
          <w:lang w:eastAsia="zh-CN"/>
        </w:rPr>
        <w:t>如果FDA认为需要确定PMOA，在FDA确定PMOA之前，申请人不能提出CPAM请求。参见《FD&amp;C法案》第503(g)(2)(A)(i)节（21 USC 353(g)(2)(A)(i)）；另参见第II.C节关于如何获得分类或PMOA确定的内容。</w:t>
      </w:r>
    </w:p>
    <w:p w14:paraId="353D0E3C">
      <w:pPr>
        <w:overflowPunct w:val="0"/>
        <w:spacing w:before="120" w:beforeLines="50" w:line="300" w:lineRule="auto"/>
        <w:rPr>
          <w:rFonts w:cs="Times New Roman"/>
          <w:sz w:val="24"/>
          <w:szCs w:val="24"/>
          <w:lang w:eastAsia="zh-CN"/>
        </w:rPr>
      </w:pPr>
      <w:r>
        <w:rPr>
          <w:rFonts w:cs="宋体"/>
          <w:sz w:val="24"/>
          <w:lang w:eastAsia="zh-CN"/>
        </w:rPr>
        <w:br w:type="page"/>
      </w:r>
      <w:r>
        <w:rPr>
          <w:rFonts w:cs="宋体"/>
          <w:sz w:val="24"/>
          <w:lang w:eastAsia="zh-CN"/>
        </w:rPr>
        <w:t>根据第503(g)(2)(A)节达成的任何协议应继续有效，除非：</w:t>
      </w:r>
    </w:p>
    <w:p w14:paraId="0257E6BF">
      <w:pPr>
        <w:pStyle w:val="25"/>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FDA和申请人书面同意；或</w:t>
      </w:r>
    </w:p>
    <w:p w14:paraId="013BE3CA">
      <w:pPr>
        <w:pStyle w:val="25"/>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根据法规中规定的某些个体所做的决定（视情况而定）：（1）自达成协议以来发现了对确定是否符合上市标准至关重要的问题，</w:t>
      </w:r>
      <w:r>
        <w:rPr>
          <w:rFonts w:cs="宋体"/>
          <w:sz w:val="24"/>
          <w:vertAlign w:val="superscript"/>
          <w:lang w:eastAsia="zh-CN"/>
        </w:rPr>
        <w:t>21</w:t>
      </w:r>
      <w:r>
        <w:rPr>
          <w:rFonts w:cs="宋体"/>
          <w:sz w:val="24"/>
          <w:lang w:eastAsia="zh-CN"/>
        </w:rPr>
        <w:t>或（2）基于科学证据或公众健康原因，偏离达成的协议在其他方面是合理的。</w:t>
      </w:r>
    </w:p>
    <w:p w14:paraId="719E6AEA">
      <w:pPr>
        <w:overflowPunct w:val="0"/>
        <w:spacing w:before="120" w:beforeLines="50" w:line="300" w:lineRule="auto"/>
        <w:rPr>
          <w:rFonts w:cs="Times New Roman"/>
          <w:sz w:val="24"/>
          <w:szCs w:val="24"/>
        </w:rPr>
      </w:pPr>
      <w:r>
        <w:rPr>
          <w:rFonts w:cs="宋体"/>
          <w:sz w:val="24"/>
        </w:rPr>
        <w:t>参见《FD&amp;C法案》第503(g)(2)(A)(iv)节（21 USC 353(g)(2)(A)(iv)）。</w:t>
      </w:r>
    </w:p>
    <w:p w14:paraId="65787C20">
      <w:pPr>
        <w:overflowPunct w:val="0"/>
        <w:spacing w:before="120" w:beforeLines="50" w:line="300" w:lineRule="auto"/>
        <w:rPr>
          <w:rFonts w:cs="Times New Roman"/>
          <w:sz w:val="24"/>
          <w:szCs w:val="24"/>
          <w:lang w:eastAsia="zh-CN"/>
        </w:rPr>
      </w:pPr>
      <w:r>
        <w:rPr>
          <w:rFonts w:cs="宋体"/>
          <w:sz w:val="24"/>
          <w:lang w:eastAsia="zh-CN"/>
        </w:rPr>
        <w:t>如上文第IV.A节所述，FDA鼓励使用基于申请的机制，因为此类机制通常可提供获得反馈的最</w:t>
      </w:r>
      <w:r>
        <w:rPr>
          <w:rFonts w:hint="eastAsia" w:cs="宋体"/>
          <w:sz w:val="24"/>
          <w:lang w:eastAsia="zh-CN"/>
        </w:rPr>
        <w:t>高效率</w:t>
      </w:r>
      <w:r>
        <w:rPr>
          <w:rFonts w:cs="宋体"/>
          <w:sz w:val="24"/>
          <w:lang w:eastAsia="zh-CN"/>
        </w:rPr>
        <w:t>且有效果的方式。</w:t>
      </w:r>
    </w:p>
    <w:p w14:paraId="5A3EBEA6">
      <w:pPr>
        <w:overflowPunct w:val="0"/>
        <w:spacing w:before="120" w:beforeLines="50" w:line="300" w:lineRule="auto"/>
        <w:ind w:left="1322" w:leftChars="400" w:hanging="482" w:hangingChars="200"/>
        <w:rPr>
          <w:rFonts w:cs="Times New Roman"/>
          <w:b/>
          <w:sz w:val="24"/>
          <w:szCs w:val="24"/>
          <w:lang w:eastAsia="zh-CN"/>
        </w:rPr>
      </w:pPr>
      <w:r>
        <w:rPr>
          <w:rFonts w:cs="宋体"/>
          <w:b/>
          <w:sz w:val="24"/>
          <w:lang w:eastAsia="zh-CN"/>
        </w:rPr>
        <w:t>1.</w:t>
      </w:r>
      <w:r>
        <w:rPr>
          <w:rFonts w:cs="宋体"/>
          <w:sz w:val="24"/>
          <w:lang w:eastAsia="zh-CN"/>
        </w:rPr>
        <w:tab/>
      </w:r>
      <w:r>
        <w:rPr>
          <w:rFonts w:cs="宋体"/>
          <w:b/>
          <w:sz w:val="24"/>
          <w:lang w:eastAsia="zh-CN"/>
        </w:rPr>
        <w:t>提交CPAM请求</w:t>
      </w:r>
    </w:p>
    <w:p w14:paraId="3424DD24">
      <w:pPr>
        <w:overflowPunct w:val="0"/>
        <w:spacing w:before="120" w:beforeLines="50" w:line="300" w:lineRule="auto"/>
        <w:rPr>
          <w:rFonts w:cs="Times New Roman"/>
          <w:sz w:val="24"/>
          <w:szCs w:val="24"/>
          <w:lang w:eastAsia="zh-CN"/>
        </w:rPr>
      </w:pPr>
      <w:r>
        <w:rPr>
          <w:rFonts w:cs="宋体"/>
          <w:sz w:val="24"/>
          <w:lang w:eastAsia="zh-CN"/>
        </w:rPr>
        <w:t>CPAM请求应：</w:t>
      </w:r>
    </w:p>
    <w:p w14:paraId="05448B11">
      <w:pPr>
        <w:pStyle w:val="25"/>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按照下文表1中所述的流程提交给组合产品牵头中心；</w:t>
      </w:r>
    </w:p>
    <w:p w14:paraId="3197CE9D">
      <w:pPr>
        <w:pStyle w:val="25"/>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在附信中注明申请为“组合产品协议会议请求”；以及</w:t>
      </w:r>
    </w:p>
    <w:p w14:paraId="27DE22CC">
      <w:pPr>
        <w:pStyle w:val="25"/>
        <w:numPr>
          <w:ilvl w:val="0"/>
          <w:numId w:val="8"/>
        </w:numPr>
        <w:overflowPunct w:val="0"/>
        <w:spacing w:before="120" w:beforeLines="50" w:line="300" w:lineRule="auto"/>
        <w:ind w:firstLineChars="0"/>
        <w:rPr>
          <w:rFonts w:cs="Times New Roman"/>
          <w:sz w:val="24"/>
          <w:szCs w:val="24"/>
          <w:lang w:eastAsia="zh-CN"/>
        </w:rPr>
      </w:pPr>
      <w:r>
        <w:rPr>
          <w:rFonts w:cs="宋体"/>
          <w:sz w:val="24"/>
          <w:lang w:eastAsia="zh-CN"/>
        </w:rPr>
        <w:t>提供完整信息，包括上文第III.D节所述内容。</w:t>
      </w:r>
    </w:p>
    <w:p w14:paraId="0FE9A3B6">
      <w:pPr>
        <w:overflowPunct w:val="0"/>
        <w:spacing w:before="120" w:beforeLines="50" w:line="300" w:lineRule="auto"/>
        <w:rPr>
          <w:rFonts w:cs="Times New Roman"/>
          <w:sz w:val="24"/>
          <w:szCs w:val="24"/>
          <w:lang w:eastAsia="zh-CN"/>
        </w:rPr>
      </w:pPr>
      <w:r>
        <w:rPr>
          <w:rFonts w:cs="宋体"/>
          <w:sz w:val="24"/>
          <w:lang w:eastAsia="zh-CN"/>
        </w:rPr>
        <w:t>FDA鼓励申请人尽可能将准备考虑的组合产品的相关问题合并到单个CPAM请求中，而不是提交多个CPAM请求。</w:t>
      </w:r>
    </w:p>
    <w:p w14:paraId="113A280E">
      <w:pPr>
        <w:overflowPunct w:val="0"/>
        <w:spacing w:before="120" w:beforeLines="50" w:line="300" w:lineRule="auto"/>
        <w:rPr>
          <w:rFonts w:cs="Times New Roman"/>
          <w:sz w:val="24"/>
          <w:szCs w:val="24"/>
          <w:lang w:eastAsia="zh-CN"/>
        </w:rPr>
      </w:pPr>
      <w:r>
        <w:rPr>
          <w:rFonts w:cs="宋体"/>
          <w:sz w:val="24"/>
          <w:lang w:eastAsia="zh-CN"/>
        </w:rPr>
        <w:t>申请人应遵循表1中描述的申请流程，以确保CPAM请求的适当接收和提交。</w:t>
      </w:r>
    </w:p>
    <w:p w14:paraId="7F1F57A1">
      <w:pPr>
        <w:pStyle w:val="23"/>
        <w:overflowPunct w:val="0"/>
        <w:rPr>
          <w:lang w:eastAsia="zh-CN"/>
        </w:rPr>
      </w:pPr>
      <w:r>
        <w:rPr>
          <w:rFonts w:cs="宋体"/>
          <w:lang w:eastAsia="zh-CN"/>
        </w:rPr>
        <w:t>______________________</w:t>
      </w:r>
    </w:p>
    <w:p w14:paraId="7071C4AE">
      <w:pPr>
        <w:pStyle w:val="23"/>
        <w:overflowPunct w:val="0"/>
        <w:rPr>
          <w:sz w:val="18"/>
          <w:szCs w:val="18"/>
          <w:lang w:eastAsia="zh-CN"/>
        </w:rPr>
      </w:pPr>
      <w:r>
        <w:rPr>
          <w:rFonts w:cs="宋体"/>
          <w:sz w:val="18"/>
          <w:szCs w:val="18"/>
          <w:vertAlign w:val="superscript"/>
          <w:lang w:eastAsia="zh-CN"/>
        </w:rPr>
        <w:t>21</w:t>
      </w:r>
      <w:r>
        <w:rPr>
          <w:rFonts w:cs="宋体"/>
          <w:sz w:val="18"/>
          <w:szCs w:val="18"/>
          <w:lang w:eastAsia="zh-CN"/>
        </w:rPr>
        <w:tab/>
      </w:r>
      <w:r>
        <w:rPr>
          <w:rFonts w:cs="宋体"/>
          <w:sz w:val="18"/>
          <w:szCs w:val="18"/>
          <w:lang w:eastAsia="zh-CN"/>
        </w:rPr>
        <w:t>第503(g)(2)(A)(iv)节中指出：“任何此类协议均应继续有效，除非—</w:t>
      </w:r>
    </w:p>
    <w:p w14:paraId="57933787">
      <w:pPr>
        <w:pStyle w:val="23"/>
        <w:overflowPunct w:val="0"/>
        <w:ind w:left="840" w:leftChars="400"/>
        <w:rPr>
          <w:sz w:val="18"/>
          <w:szCs w:val="18"/>
          <w:lang w:eastAsia="zh-CN"/>
        </w:rPr>
      </w:pPr>
      <w:r>
        <w:rPr>
          <w:rFonts w:cs="宋体"/>
          <w:sz w:val="18"/>
          <w:szCs w:val="18"/>
          <w:lang w:eastAsia="zh-CN"/>
        </w:rPr>
        <w:t>（I）</w:t>
      </w:r>
      <w:r>
        <w:rPr>
          <w:rFonts w:cs="宋体"/>
          <w:sz w:val="18"/>
          <w:szCs w:val="18"/>
          <w:lang w:eastAsia="zh-CN"/>
        </w:rPr>
        <w:tab/>
      </w:r>
      <w:r>
        <w:rPr>
          <w:rFonts w:cs="宋体"/>
          <w:sz w:val="18"/>
          <w:szCs w:val="18"/>
          <w:lang w:eastAsia="zh-CN"/>
        </w:rPr>
        <w:t>部长和申请人或申请人书面同意；或</w:t>
      </w:r>
    </w:p>
    <w:p w14:paraId="45C61AAC">
      <w:pPr>
        <w:pStyle w:val="23"/>
        <w:overflowPunct w:val="0"/>
        <w:ind w:left="840" w:leftChars="400"/>
        <w:rPr>
          <w:sz w:val="18"/>
          <w:szCs w:val="18"/>
          <w:lang w:eastAsia="zh-CN"/>
        </w:rPr>
      </w:pPr>
      <w:r>
        <w:rPr>
          <w:rFonts w:cs="宋体"/>
          <w:sz w:val="18"/>
          <w:szCs w:val="18"/>
          <w:lang w:eastAsia="zh-CN"/>
        </w:rPr>
        <w:t>（II）根据主要FDA中心的审查部门主任或更高级人员与咨询中心和办公室（视情况而定）协商后做出的决定，自达成协议以来，发现了对确定上市许可标准或其他适用标准是否适用于组合产品（根据本法案或《公共健康服务法案》）至关重要的问题，或者基于科学证据或公众健康原因，偏离该协议在其他方面是合理的。</w:t>
      </w:r>
    </w:p>
    <w:p w14:paraId="5BFA1026">
      <w:pPr>
        <w:pStyle w:val="23"/>
        <w:overflowPunct w:val="0"/>
        <w:rPr>
          <w:sz w:val="18"/>
          <w:szCs w:val="18"/>
          <w:lang w:eastAsia="zh-CN"/>
        </w:rPr>
      </w:pPr>
      <w:r>
        <w:rPr>
          <w:rFonts w:cs="宋体"/>
          <w:sz w:val="18"/>
          <w:szCs w:val="18"/>
          <w:lang w:eastAsia="zh-CN"/>
        </w:rPr>
        <w:t>本机构注意到，尽管该条款并未明确提及是否“已满足”上市许可或其他适用标准，这似乎是该法规条款的含义。</w:t>
      </w:r>
    </w:p>
    <w:p w14:paraId="234A6F94">
      <w:pPr>
        <w:overflowPunct w:val="0"/>
        <w:spacing w:before="120" w:beforeLines="50" w:line="300" w:lineRule="auto"/>
        <w:rPr>
          <w:rFonts w:cs="Times New Roman"/>
          <w:b/>
          <w:sz w:val="24"/>
          <w:szCs w:val="24"/>
          <w:lang w:eastAsia="zh-CN"/>
        </w:rPr>
      </w:pPr>
      <w:r>
        <w:rPr>
          <w:rFonts w:cs="宋体"/>
          <w:sz w:val="24"/>
          <w:lang w:eastAsia="zh-CN"/>
        </w:rPr>
        <w:br w:type="page"/>
      </w:r>
      <w:r>
        <w:rPr>
          <w:rFonts w:cs="宋体"/>
          <w:b/>
          <w:sz w:val="24"/>
          <w:lang w:eastAsia="zh-CN"/>
        </w:rPr>
        <w:t>表1.CPAM请求的申请流程</w:t>
      </w:r>
      <w:r>
        <w:rPr>
          <w:rFonts w:cs="宋体"/>
          <w:b/>
          <w:sz w:val="24"/>
          <w:vertAlign w:val="superscript"/>
          <w:lang w:eastAsia="zh-CN"/>
        </w:rPr>
        <w:t>22</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
        <w:gridCol w:w="2428"/>
        <w:gridCol w:w="5897"/>
      </w:tblGrid>
      <w:tr w14:paraId="7D2B2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8" w:type="pct"/>
          </w:tcPr>
          <w:p w14:paraId="79A73836">
            <w:pPr>
              <w:overflowPunct w:val="0"/>
              <w:spacing w:before="36" w:beforeLines="15" w:line="276" w:lineRule="auto"/>
              <w:rPr>
                <w:rFonts w:cs="Times New Roman"/>
                <w:b/>
                <w:szCs w:val="24"/>
              </w:rPr>
            </w:pPr>
            <w:r>
              <w:rPr>
                <w:rFonts w:cs="宋体"/>
                <w:b/>
              </w:rPr>
              <w:t>牵头中心</w:t>
            </w:r>
          </w:p>
        </w:tc>
        <w:tc>
          <w:tcPr>
            <w:tcW w:w="1307" w:type="pct"/>
          </w:tcPr>
          <w:p w14:paraId="1F245958">
            <w:pPr>
              <w:overflowPunct w:val="0"/>
              <w:spacing w:before="36" w:beforeLines="15" w:line="276" w:lineRule="auto"/>
              <w:rPr>
                <w:rFonts w:cs="Times New Roman"/>
                <w:b/>
                <w:szCs w:val="24"/>
              </w:rPr>
            </w:pPr>
            <w:r>
              <w:rPr>
                <w:rFonts w:cs="宋体"/>
                <w:b/>
              </w:rPr>
              <w:t>组合产品申请类型</w:t>
            </w:r>
          </w:p>
        </w:tc>
        <w:tc>
          <w:tcPr>
            <w:tcW w:w="3175" w:type="pct"/>
          </w:tcPr>
          <w:p w14:paraId="508443D5">
            <w:pPr>
              <w:overflowPunct w:val="0"/>
              <w:spacing w:before="36" w:beforeLines="15" w:line="276" w:lineRule="auto"/>
              <w:rPr>
                <w:rFonts w:cs="Times New Roman"/>
                <w:b/>
                <w:szCs w:val="24"/>
              </w:rPr>
            </w:pPr>
            <w:r>
              <w:rPr>
                <w:rFonts w:cs="宋体"/>
                <w:b/>
              </w:rPr>
              <w:t>CPAM请求流程</w:t>
            </w:r>
          </w:p>
        </w:tc>
      </w:tr>
      <w:tr w14:paraId="3293F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8" w:type="pct"/>
            <w:vMerge w:val="restart"/>
          </w:tcPr>
          <w:p w14:paraId="7C2DE7C2">
            <w:pPr>
              <w:overflowPunct w:val="0"/>
              <w:spacing w:before="36" w:beforeLines="15" w:line="276" w:lineRule="auto"/>
              <w:rPr>
                <w:rFonts w:cs="Times New Roman"/>
                <w:vanish/>
                <w:szCs w:val="24"/>
              </w:rPr>
            </w:pPr>
            <w:r>
              <w:rPr>
                <w:rFonts w:cs="Times New Roman"/>
                <w:szCs w:val="24"/>
              </w:rPr>
              <w:t>CBER</w:t>
            </w:r>
          </w:p>
        </w:tc>
        <w:tc>
          <w:tcPr>
            <w:tcW w:w="1307" w:type="pct"/>
          </w:tcPr>
          <w:p w14:paraId="082104BA">
            <w:pPr>
              <w:overflowPunct w:val="0"/>
              <w:spacing w:before="36" w:beforeLines="15" w:line="276" w:lineRule="auto"/>
              <w:rPr>
                <w:rFonts w:cs="Times New Roman"/>
                <w:szCs w:val="24"/>
              </w:rPr>
            </w:pPr>
            <w:r>
              <w:rPr>
                <w:rFonts w:cs="Times New Roman"/>
                <w:szCs w:val="24"/>
              </w:rPr>
              <w:t>IND, NDA, BLA, ANDA</w:t>
            </w:r>
          </w:p>
        </w:tc>
        <w:tc>
          <w:tcPr>
            <w:tcW w:w="3175" w:type="pct"/>
          </w:tcPr>
          <w:p w14:paraId="75BF01CC">
            <w:pPr>
              <w:overflowPunct w:val="0"/>
              <w:spacing w:before="36" w:beforeLines="15" w:line="276" w:lineRule="auto"/>
              <w:rPr>
                <w:rFonts w:cs="Times New Roman"/>
                <w:szCs w:val="24"/>
                <w:lang w:eastAsia="zh-CN"/>
              </w:rPr>
            </w:pPr>
            <w:r>
              <w:rPr>
                <w:rFonts w:cs="宋体"/>
                <w:lang w:eastAsia="zh-CN"/>
              </w:rPr>
              <w:t>提交CPAM请求：</w:t>
            </w:r>
          </w:p>
          <w:p w14:paraId="3BB4F216">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以电子方式提交，或提交给CBER文件控制中心；</w:t>
            </w:r>
            <w:r>
              <w:rPr>
                <w:rFonts w:cs="宋体"/>
                <w:vertAlign w:val="superscript"/>
                <w:lang w:eastAsia="zh-CN"/>
              </w:rPr>
              <w:t>23</w:t>
            </w:r>
          </w:p>
          <w:p w14:paraId="27B7FCF3">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向相关审查部门提出CPAM请求；以及</w:t>
            </w:r>
          </w:p>
          <w:p w14:paraId="586FD0A4">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如适用，在附信中注明申请编号。</w:t>
            </w:r>
            <w:r>
              <w:rPr>
                <w:rFonts w:cs="宋体"/>
                <w:vertAlign w:val="superscript"/>
                <w:lang w:eastAsia="zh-CN"/>
              </w:rPr>
              <w:t>24</w:t>
            </w:r>
          </w:p>
          <w:p w14:paraId="54A3FFAA">
            <w:pPr>
              <w:overflowPunct w:val="0"/>
              <w:spacing w:before="36" w:beforeLines="15" w:line="276" w:lineRule="auto"/>
              <w:rPr>
                <w:rFonts w:cs="Times New Roman"/>
                <w:szCs w:val="24"/>
                <w:lang w:eastAsia="zh-CN"/>
              </w:rPr>
            </w:pPr>
            <w:r>
              <w:rPr>
                <w:rFonts w:cs="宋体"/>
                <w:lang w:eastAsia="zh-CN"/>
              </w:rPr>
              <w:t>注：CPAM包（包括审查所需的所有信息）应与初始请求</w:t>
            </w:r>
            <w:r>
              <w:rPr>
                <w:rFonts w:cs="宋体"/>
                <w:i/>
                <w:lang w:eastAsia="zh-CN"/>
              </w:rPr>
              <w:t>一起</w:t>
            </w:r>
            <w:r>
              <w:rPr>
                <w:rFonts w:cs="宋体"/>
                <w:lang w:eastAsia="zh-CN"/>
              </w:rPr>
              <w:t>提供。</w:t>
            </w:r>
          </w:p>
        </w:tc>
      </w:tr>
      <w:tr w14:paraId="0D03B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hidden/>
        </w:trPr>
        <w:tc>
          <w:tcPr>
            <w:tcW w:w="518" w:type="pct"/>
            <w:vMerge w:val="continue"/>
            <w:tcBorders>
              <w:top w:val="nil"/>
            </w:tcBorders>
          </w:tcPr>
          <w:p w14:paraId="72C3ED9A">
            <w:pPr>
              <w:overflowPunct w:val="0"/>
              <w:spacing w:before="36" w:beforeLines="15" w:line="276" w:lineRule="auto"/>
              <w:rPr>
                <w:rFonts w:cs="Times New Roman"/>
                <w:vanish/>
                <w:szCs w:val="24"/>
                <w:lang w:eastAsia="zh-CN"/>
              </w:rPr>
            </w:pPr>
          </w:p>
        </w:tc>
        <w:tc>
          <w:tcPr>
            <w:tcW w:w="1307" w:type="pct"/>
          </w:tcPr>
          <w:p w14:paraId="617F2CC5">
            <w:pPr>
              <w:overflowPunct w:val="0"/>
              <w:spacing w:before="36" w:beforeLines="15" w:line="276" w:lineRule="auto"/>
              <w:rPr>
                <w:rFonts w:cs="Times New Roman"/>
                <w:szCs w:val="24"/>
                <w:lang w:val="de-DE"/>
              </w:rPr>
            </w:pPr>
            <w:r>
              <w:rPr>
                <w:rFonts w:cs="Times New Roman"/>
                <w:szCs w:val="24"/>
                <w:lang w:val="de-DE"/>
              </w:rPr>
              <w:t>IDE, PMA, 510(k), De Novo, HDE, PDP</w:t>
            </w:r>
          </w:p>
        </w:tc>
        <w:tc>
          <w:tcPr>
            <w:tcW w:w="3175" w:type="pct"/>
          </w:tcPr>
          <w:p w14:paraId="66E57D45">
            <w:pPr>
              <w:overflowPunct w:val="0"/>
              <w:spacing w:before="36" w:beforeLines="15" w:line="276" w:lineRule="auto"/>
              <w:rPr>
                <w:rFonts w:cs="Times New Roman"/>
                <w:szCs w:val="24"/>
                <w:lang w:eastAsia="zh-CN"/>
              </w:rPr>
            </w:pPr>
            <w:r>
              <w:rPr>
                <w:rFonts w:cs="宋体"/>
                <w:lang w:eastAsia="zh-CN"/>
              </w:rPr>
              <w:t>向CBER文件控制中心提交有效的电子副本</w:t>
            </w:r>
            <w:r>
              <w:rPr>
                <w:rFonts w:cs="宋体"/>
                <w:vertAlign w:val="superscript"/>
                <w:lang w:eastAsia="zh-CN"/>
              </w:rPr>
              <w:t>25</w:t>
            </w:r>
            <w:r>
              <w:rPr>
                <w:rFonts w:cs="宋体"/>
                <w:lang w:eastAsia="zh-CN"/>
              </w:rPr>
              <w:t>。如适用，在附信中注明申请编号。</w:t>
            </w:r>
          </w:p>
        </w:tc>
      </w:tr>
      <w:tr w14:paraId="02CDC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8" w:type="pct"/>
            <w:vMerge w:val="restart"/>
          </w:tcPr>
          <w:p w14:paraId="6350101C">
            <w:pPr>
              <w:overflowPunct w:val="0"/>
              <w:spacing w:before="36" w:beforeLines="15" w:line="276" w:lineRule="auto"/>
              <w:rPr>
                <w:rFonts w:cs="Times New Roman"/>
                <w:vanish/>
                <w:szCs w:val="24"/>
              </w:rPr>
            </w:pPr>
            <w:r>
              <w:rPr>
                <w:rFonts w:cs="Times New Roman"/>
                <w:szCs w:val="24"/>
              </w:rPr>
              <w:t>CDER</w:t>
            </w:r>
          </w:p>
        </w:tc>
        <w:tc>
          <w:tcPr>
            <w:tcW w:w="1307" w:type="pct"/>
          </w:tcPr>
          <w:p w14:paraId="1186E049">
            <w:pPr>
              <w:overflowPunct w:val="0"/>
              <w:spacing w:before="36" w:beforeLines="15" w:line="276" w:lineRule="auto"/>
              <w:rPr>
                <w:rFonts w:cs="Times New Roman"/>
                <w:szCs w:val="24"/>
              </w:rPr>
            </w:pPr>
            <w:r>
              <w:rPr>
                <w:rFonts w:cs="Times New Roman"/>
                <w:szCs w:val="24"/>
              </w:rPr>
              <w:t>IND, NDA, BLA</w:t>
            </w:r>
          </w:p>
        </w:tc>
        <w:tc>
          <w:tcPr>
            <w:tcW w:w="3175" w:type="pct"/>
          </w:tcPr>
          <w:p w14:paraId="7E570963">
            <w:pPr>
              <w:overflowPunct w:val="0"/>
              <w:spacing w:before="36" w:beforeLines="15" w:line="276" w:lineRule="auto"/>
              <w:rPr>
                <w:rFonts w:cs="Times New Roman"/>
                <w:szCs w:val="24"/>
                <w:lang w:eastAsia="zh-CN"/>
              </w:rPr>
            </w:pPr>
            <w:r>
              <w:rPr>
                <w:rFonts w:cs="宋体"/>
                <w:lang w:eastAsia="zh-CN"/>
              </w:rPr>
              <w:t>提交CPAM请求：</w:t>
            </w:r>
          </w:p>
          <w:p w14:paraId="6C1015FF">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 xml:space="preserve">以电子方式提交，或提交给CDER文件控制中心； </w:t>
            </w:r>
            <w:r>
              <w:rPr>
                <w:rFonts w:cs="宋体"/>
                <w:vertAlign w:val="superscript"/>
                <w:lang w:eastAsia="zh-CN"/>
              </w:rPr>
              <w:t>23</w:t>
            </w:r>
          </w:p>
          <w:p w14:paraId="4028BB5E">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向相关审查部门提出CPAM请求；以及</w:t>
            </w:r>
          </w:p>
          <w:p w14:paraId="75A8D5FE">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如适用，在附信中注明申请编号。</w:t>
            </w:r>
            <w:r>
              <w:rPr>
                <w:rFonts w:cs="宋体"/>
                <w:vertAlign w:val="superscript"/>
                <w:lang w:eastAsia="zh-CN"/>
              </w:rPr>
              <w:t>24</w:t>
            </w:r>
          </w:p>
          <w:p w14:paraId="69267119">
            <w:pPr>
              <w:overflowPunct w:val="0"/>
              <w:spacing w:before="36" w:beforeLines="15" w:line="276" w:lineRule="auto"/>
              <w:rPr>
                <w:rFonts w:cs="Times New Roman"/>
                <w:szCs w:val="24"/>
                <w:lang w:eastAsia="zh-CN"/>
              </w:rPr>
            </w:pPr>
            <w:r>
              <w:rPr>
                <w:rFonts w:cs="宋体"/>
                <w:lang w:eastAsia="zh-CN"/>
              </w:rPr>
              <w:t>注：CPAM包（包括审查所需的所有信息）应与初始请求</w:t>
            </w:r>
            <w:r>
              <w:rPr>
                <w:rFonts w:cs="宋体"/>
                <w:i/>
                <w:lang w:eastAsia="zh-CN"/>
              </w:rPr>
              <w:t>一起</w:t>
            </w:r>
            <w:r>
              <w:rPr>
                <w:rFonts w:cs="宋体"/>
                <w:lang w:eastAsia="zh-CN"/>
              </w:rPr>
              <w:t>提供。</w:t>
            </w:r>
          </w:p>
        </w:tc>
      </w:tr>
      <w:tr w14:paraId="7FC1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8" w:type="pct"/>
            <w:vMerge w:val="continue"/>
            <w:tcBorders>
              <w:top w:val="nil"/>
            </w:tcBorders>
          </w:tcPr>
          <w:p w14:paraId="2B7665F4">
            <w:pPr>
              <w:overflowPunct w:val="0"/>
              <w:spacing w:before="36" w:beforeLines="15" w:line="276" w:lineRule="auto"/>
              <w:rPr>
                <w:rFonts w:cs="Times New Roman"/>
                <w:szCs w:val="24"/>
                <w:lang w:eastAsia="zh-CN"/>
              </w:rPr>
            </w:pPr>
          </w:p>
        </w:tc>
        <w:tc>
          <w:tcPr>
            <w:tcW w:w="1307" w:type="pct"/>
          </w:tcPr>
          <w:p w14:paraId="783205C0">
            <w:pPr>
              <w:overflowPunct w:val="0"/>
              <w:spacing w:before="36" w:beforeLines="15" w:line="276" w:lineRule="auto"/>
              <w:rPr>
                <w:rFonts w:cs="Times New Roman"/>
                <w:szCs w:val="24"/>
              </w:rPr>
            </w:pPr>
            <w:r>
              <w:rPr>
                <w:rFonts w:cs="Times New Roman"/>
                <w:szCs w:val="24"/>
              </w:rPr>
              <w:t>ANDA</w:t>
            </w:r>
          </w:p>
        </w:tc>
        <w:tc>
          <w:tcPr>
            <w:tcW w:w="3175" w:type="pct"/>
          </w:tcPr>
          <w:p w14:paraId="32138BDD">
            <w:pPr>
              <w:overflowPunct w:val="0"/>
              <w:spacing w:before="36" w:beforeLines="15" w:line="276" w:lineRule="auto"/>
              <w:rPr>
                <w:rFonts w:cs="Times New Roman"/>
                <w:szCs w:val="24"/>
                <w:lang w:eastAsia="zh-CN"/>
              </w:rPr>
            </w:pPr>
            <w:r>
              <w:rPr>
                <w:rFonts w:cs="宋体"/>
                <w:lang w:eastAsia="zh-CN"/>
              </w:rPr>
              <w:t>提交CPAM请求：</w:t>
            </w:r>
          </w:p>
          <w:p w14:paraId="32E97387">
            <w:pPr>
              <w:overflowPunct w:val="0"/>
              <w:spacing w:before="36" w:beforeLines="15" w:line="276" w:lineRule="auto"/>
              <w:ind w:left="420" w:hanging="420" w:hangingChars="200"/>
              <w:rPr>
                <w:rFonts w:cs="Times New Roman"/>
                <w:szCs w:val="24"/>
                <w:lang w:eastAsia="zh-CN"/>
              </w:rPr>
            </w:pPr>
            <w:r>
              <w:rPr>
                <w:rFonts w:cs="宋体"/>
                <w:lang w:eastAsia="zh-CN"/>
              </w:rPr>
              <w:t>●</w:t>
            </w:r>
            <w:r>
              <w:rPr>
                <w:rFonts w:cs="宋体"/>
                <w:lang w:eastAsia="zh-CN"/>
              </w:rPr>
              <w:tab/>
            </w:r>
            <w:r>
              <w:rPr>
                <w:rFonts w:cs="宋体"/>
                <w:lang w:eastAsia="zh-CN"/>
              </w:rPr>
              <w:t>以电子方式提交给</w:t>
            </w:r>
            <w:r>
              <w:rPr>
                <w:rFonts w:cs="宋体"/>
                <w:color w:val="0000FF"/>
                <w:u w:val="single"/>
                <w:lang w:eastAsia="zh-CN"/>
              </w:rPr>
              <w:t>CDER新一代协作门户网站</w:t>
            </w:r>
            <w:r>
              <w:rPr>
                <w:rFonts w:cs="宋体"/>
                <w:lang w:eastAsia="zh-CN"/>
              </w:rPr>
              <w:t>。</w:t>
            </w:r>
          </w:p>
          <w:p w14:paraId="4101DE81">
            <w:pPr>
              <w:overflowPunct w:val="0"/>
              <w:spacing w:before="36" w:beforeLines="15" w:line="276" w:lineRule="auto"/>
              <w:ind w:left="420" w:hanging="420" w:hangingChars="200"/>
              <w:rPr>
                <w:rFonts w:cs="Times New Roman"/>
                <w:szCs w:val="24"/>
              </w:rPr>
            </w:pPr>
            <w:r>
              <w:rPr>
                <w:rFonts w:cs="宋体"/>
                <w:lang w:eastAsia="zh-CN"/>
              </w:rPr>
              <w:t>●</w:t>
            </w:r>
            <w:r>
              <w:rPr>
                <w:rFonts w:cs="宋体"/>
                <w:lang w:eastAsia="zh-CN"/>
              </w:rPr>
              <w:tab/>
            </w:r>
            <w:r>
              <w:rPr>
                <w:rFonts w:cs="宋体"/>
                <w:lang w:eastAsia="zh-CN"/>
              </w:rPr>
              <w:t>注明申请（或预分配）编号。</w:t>
            </w:r>
            <w:r>
              <w:rPr>
                <w:rFonts w:cs="宋体"/>
                <w:vertAlign w:val="superscript"/>
              </w:rPr>
              <w:t>24</w:t>
            </w:r>
          </w:p>
        </w:tc>
      </w:tr>
      <w:tr w14:paraId="2525A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18" w:type="pct"/>
          </w:tcPr>
          <w:p w14:paraId="4ADE857E">
            <w:pPr>
              <w:overflowPunct w:val="0"/>
              <w:spacing w:before="36" w:beforeLines="15" w:line="276" w:lineRule="auto"/>
              <w:rPr>
                <w:rFonts w:cs="Times New Roman"/>
                <w:szCs w:val="24"/>
              </w:rPr>
            </w:pPr>
            <w:r>
              <w:rPr>
                <w:rFonts w:cs="宋体"/>
              </w:rPr>
              <w:t>CDRH</w:t>
            </w:r>
          </w:p>
        </w:tc>
        <w:tc>
          <w:tcPr>
            <w:tcW w:w="1307" w:type="pct"/>
          </w:tcPr>
          <w:p w14:paraId="55B40E1C">
            <w:pPr>
              <w:overflowPunct w:val="0"/>
              <w:spacing w:before="36" w:beforeLines="15" w:line="276" w:lineRule="auto"/>
              <w:rPr>
                <w:rFonts w:cs="Times New Roman"/>
                <w:szCs w:val="24"/>
                <w:lang w:val="de-DE"/>
              </w:rPr>
            </w:pPr>
            <w:r>
              <w:rPr>
                <w:rFonts w:cs="Times New Roman"/>
                <w:szCs w:val="24"/>
                <w:lang w:val="de-DE"/>
              </w:rPr>
              <w:t>IDE, PMA, 510(k), De Novo, HDE, PDP</w:t>
            </w:r>
          </w:p>
        </w:tc>
        <w:tc>
          <w:tcPr>
            <w:tcW w:w="3175" w:type="pct"/>
          </w:tcPr>
          <w:p w14:paraId="778E321E">
            <w:pPr>
              <w:overflowPunct w:val="0"/>
              <w:spacing w:before="36" w:beforeLines="15" w:line="276" w:lineRule="auto"/>
              <w:rPr>
                <w:rFonts w:cs="Times New Roman"/>
                <w:szCs w:val="24"/>
                <w:lang w:eastAsia="zh-CN"/>
              </w:rPr>
            </w:pPr>
            <w:r>
              <w:rPr>
                <w:rFonts w:cs="宋体"/>
                <w:lang w:eastAsia="zh-CN"/>
              </w:rPr>
              <w:t>向CDRH文件控制中心提交有效的电子副本</w:t>
            </w:r>
            <w:r>
              <w:rPr>
                <w:rFonts w:cs="宋体"/>
                <w:vertAlign w:val="superscript"/>
                <w:lang w:eastAsia="zh-CN"/>
              </w:rPr>
              <w:t>25</w:t>
            </w:r>
            <w:r>
              <w:rPr>
                <w:rFonts w:cs="宋体"/>
                <w:lang w:eastAsia="zh-CN"/>
              </w:rPr>
              <w:t>。如适用，在附信中注明申请编号。</w:t>
            </w:r>
          </w:p>
        </w:tc>
      </w:tr>
    </w:tbl>
    <w:p w14:paraId="2FE966CC">
      <w:pPr>
        <w:pStyle w:val="23"/>
        <w:overflowPunct w:val="0"/>
        <w:rPr>
          <w:lang w:eastAsia="zh-CN"/>
        </w:rPr>
      </w:pPr>
      <w:r>
        <w:rPr>
          <w:rFonts w:cs="宋体"/>
          <w:lang w:eastAsia="zh-CN"/>
        </w:rPr>
        <w:t>______________________</w:t>
      </w:r>
    </w:p>
    <w:p w14:paraId="28197920">
      <w:pPr>
        <w:pStyle w:val="23"/>
        <w:overflowPunct w:val="0"/>
        <w:rPr>
          <w:sz w:val="18"/>
          <w:szCs w:val="18"/>
          <w:lang w:eastAsia="zh-CN"/>
        </w:rPr>
      </w:pPr>
      <w:r>
        <w:rPr>
          <w:rFonts w:cs="宋体"/>
          <w:sz w:val="18"/>
          <w:szCs w:val="18"/>
          <w:vertAlign w:val="superscript"/>
          <w:lang w:eastAsia="zh-CN"/>
        </w:rPr>
        <w:t xml:space="preserve">22 </w:t>
      </w:r>
      <w:r>
        <w:rPr>
          <w:rFonts w:cs="宋体"/>
          <w:sz w:val="18"/>
          <w:szCs w:val="18"/>
          <w:lang w:eastAsia="zh-CN"/>
        </w:rPr>
        <w:tab/>
      </w:r>
      <w:r>
        <w:rPr>
          <w:rFonts w:cs="宋体"/>
          <w:sz w:val="18"/>
          <w:szCs w:val="18"/>
          <w:lang w:eastAsia="zh-CN"/>
        </w:rPr>
        <w:t>向牵头中心提交CPAM请求适用于任何组合产品，包括申请人预计会提交或已提交各组成部分单独申请的交叉标签组合产品。</w:t>
      </w:r>
    </w:p>
    <w:p w14:paraId="7448925E">
      <w:pPr>
        <w:pStyle w:val="23"/>
        <w:overflowPunct w:val="0"/>
        <w:rPr>
          <w:sz w:val="18"/>
          <w:szCs w:val="18"/>
          <w:lang w:eastAsia="zh-CN"/>
        </w:rPr>
      </w:pPr>
      <w:r>
        <w:rPr>
          <w:rFonts w:cs="宋体"/>
          <w:sz w:val="18"/>
          <w:szCs w:val="18"/>
          <w:vertAlign w:val="superscript"/>
          <w:lang w:eastAsia="zh-CN"/>
        </w:rPr>
        <w:t>23</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以电子格式提交监管申请 - 使用eCTD规范的某些人用药品产品申请和相关申请：行业指南</w:t>
      </w:r>
      <w:r>
        <w:rPr>
          <w:rFonts w:cs="宋体"/>
          <w:sz w:val="18"/>
          <w:szCs w:val="18"/>
          <w:lang w:eastAsia="zh-CN"/>
        </w:rPr>
        <w:t>》。</w:t>
      </w:r>
    </w:p>
    <w:p w14:paraId="1F2426DF">
      <w:pPr>
        <w:pStyle w:val="23"/>
        <w:overflowPunct w:val="0"/>
        <w:rPr>
          <w:sz w:val="18"/>
          <w:szCs w:val="18"/>
        </w:rPr>
      </w:pPr>
      <w:r>
        <w:rPr>
          <w:rFonts w:cs="宋体"/>
          <w:sz w:val="18"/>
          <w:szCs w:val="18"/>
          <w:vertAlign w:val="superscript"/>
        </w:rPr>
        <w:t xml:space="preserve">24 </w:t>
      </w:r>
      <w:r>
        <w:rPr>
          <w:rFonts w:cs="宋体"/>
          <w:sz w:val="18"/>
          <w:szCs w:val="18"/>
        </w:rPr>
        <w:tab/>
      </w:r>
      <w:r>
        <w:rPr>
          <w:rFonts w:cs="宋体"/>
          <w:sz w:val="18"/>
          <w:szCs w:val="18"/>
        </w:rPr>
        <w:t>如果尚未分配申请编号，请参阅FDA网站上提供的关于预分配申请编号请求的信息，网址为：</w:t>
      </w:r>
      <w:r>
        <w:rPr>
          <w:rFonts w:cs="宋体"/>
          <w:color w:val="0000FF"/>
          <w:sz w:val="18"/>
          <w:szCs w:val="18"/>
          <w:u w:val="single"/>
        </w:rPr>
        <w:t>https://www.fda.gov/drugs/electronic-regulatory-submission-and- review/requesting-pre-assigned-application-number</w:t>
      </w:r>
      <w:r>
        <w:rPr>
          <w:rFonts w:cs="宋体"/>
          <w:sz w:val="18"/>
          <w:szCs w:val="18"/>
        </w:rPr>
        <w:t>。</w:t>
      </w:r>
    </w:p>
    <w:p w14:paraId="48F40344">
      <w:pPr>
        <w:pStyle w:val="23"/>
        <w:overflowPunct w:val="0"/>
        <w:rPr>
          <w:i/>
          <w:sz w:val="18"/>
          <w:szCs w:val="18"/>
          <w:lang w:eastAsia="zh-CN"/>
        </w:rPr>
      </w:pPr>
      <w:r>
        <w:rPr>
          <w:rFonts w:cs="宋体"/>
          <w:sz w:val="18"/>
          <w:szCs w:val="18"/>
          <w:vertAlign w:val="superscript"/>
          <w:lang w:eastAsia="zh-CN"/>
        </w:rPr>
        <w:t>25</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医疗器械申请的电子副本程序 - 面向行业和美国食品药品监督管理局工作人员的指南</w:t>
      </w:r>
      <w:r>
        <w:rPr>
          <w:rFonts w:cs="宋体"/>
          <w:sz w:val="18"/>
          <w:szCs w:val="18"/>
          <w:lang w:eastAsia="zh-CN"/>
        </w:rPr>
        <w:t>》。</w:t>
      </w:r>
    </w:p>
    <w:p w14:paraId="542E21C4">
      <w:pPr>
        <w:overflowPunct w:val="0"/>
        <w:spacing w:before="120" w:beforeLines="50" w:line="300" w:lineRule="auto"/>
        <w:ind w:left="1320" w:leftChars="400" w:hanging="480" w:hangingChars="200"/>
        <w:rPr>
          <w:rFonts w:cs="Times New Roman"/>
          <w:b/>
          <w:sz w:val="24"/>
          <w:szCs w:val="24"/>
          <w:lang w:eastAsia="zh-CN"/>
        </w:rPr>
      </w:pPr>
      <w:r>
        <w:rPr>
          <w:rFonts w:cs="宋体"/>
          <w:sz w:val="24"/>
          <w:lang w:eastAsia="zh-CN"/>
        </w:rPr>
        <w:br w:type="page"/>
      </w:r>
      <w:r>
        <w:rPr>
          <w:rFonts w:cs="宋体"/>
          <w:b/>
          <w:sz w:val="24"/>
          <w:lang w:eastAsia="zh-CN"/>
        </w:rPr>
        <w:t>2.</w:t>
      </w:r>
      <w:r>
        <w:rPr>
          <w:rFonts w:cs="宋体"/>
          <w:sz w:val="24"/>
          <w:lang w:eastAsia="zh-CN"/>
        </w:rPr>
        <w:tab/>
      </w:r>
      <w:r>
        <w:rPr>
          <w:rFonts w:cs="宋体"/>
          <w:b/>
          <w:sz w:val="24"/>
          <w:lang w:eastAsia="zh-CN"/>
        </w:rPr>
        <w:t>FDA对CPAM的回复</w:t>
      </w:r>
    </w:p>
    <w:p w14:paraId="08D242C9">
      <w:pPr>
        <w:overflowPunct w:val="0"/>
        <w:spacing w:before="120" w:beforeLines="50" w:line="300" w:lineRule="auto"/>
        <w:rPr>
          <w:rFonts w:cs="Times New Roman"/>
          <w:sz w:val="24"/>
          <w:szCs w:val="24"/>
          <w:lang w:eastAsia="zh-CN"/>
        </w:rPr>
      </w:pPr>
      <w:r>
        <w:rPr>
          <w:rFonts w:cs="宋体"/>
          <w:sz w:val="24"/>
          <w:lang w:eastAsia="zh-CN"/>
        </w:rPr>
        <w:t>下文概述了CPAM流程步骤：</w:t>
      </w:r>
    </w:p>
    <w:p w14:paraId="0558BFB0">
      <w:pPr>
        <w:pStyle w:val="25"/>
        <w:numPr>
          <w:ilvl w:val="0"/>
          <w:numId w:val="9"/>
        </w:numPr>
        <w:overflowPunct w:val="0"/>
        <w:spacing w:before="120" w:beforeLines="50" w:line="300" w:lineRule="auto"/>
        <w:ind w:firstLineChars="0"/>
        <w:rPr>
          <w:rFonts w:cs="Times New Roman"/>
          <w:sz w:val="24"/>
          <w:szCs w:val="24"/>
          <w:lang w:eastAsia="zh-CN"/>
        </w:rPr>
      </w:pPr>
      <w:r>
        <w:rPr>
          <w:rFonts w:cs="宋体"/>
          <w:sz w:val="24"/>
          <w:u w:val="single"/>
          <w:lang w:eastAsia="zh-CN"/>
        </w:rPr>
        <w:t>受理CPAM请求</w:t>
      </w:r>
      <w:r>
        <w:rPr>
          <w:rFonts w:cs="宋体"/>
          <w:sz w:val="24"/>
          <w:lang w:eastAsia="zh-CN"/>
        </w:rPr>
        <w:t>。一般情况下CPAM请求会得到批准，除非申请不是针对组合产品或组合产品的PMOA尚未确定（参见《FD&amp;C法案》第503(g)(2)(a)(i)节（21 USC 353(g)(2)(A)(i)）。但是，本机构注意到，采用CPAM解决科学或监管争议不合适，此类争议应通过牵头中心的争议解决和/或申诉程序进行审查。</w:t>
      </w:r>
      <w:r>
        <w:rPr>
          <w:rFonts w:cs="宋体"/>
          <w:sz w:val="24"/>
          <w:vertAlign w:val="superscript"/>
          <w:lang w:eastAsia="zh-CN"/>
        </w:rPr>
        <w:t>26</w:t>
      </w:r>
      <w:r>
        <w:rPr>
          <w:rFonts w:cs="宋体"/>
          <w:sz w:val="24"/>
          <w:lang w:eastAsia="zh-CN"/>
        </w:rPr>
        <w:t>本机构还注意到，如果申请人的请求中未提供足够的信息，无法进行有意义的讨论或提供反馈，FDA可能无法就申请人的提议达成协议。如果FDA认为另一种会议类型可能更高效、更能清楚地说明，则FDA可能会联系申请人并提议改为该会议类型。FDA会在收到CPAM请求后21个日历日内联系申请人，确认收到，并提供会议时间（如要求）或提供不同意CPAM的实质性依据。</w:t>
      </w:r>
    </w:p>
    <w:p w14:paraId="38BE6BED">
      <w:pPr>
        <w:pStyle w:val="25"/>
        <w:numPr>
          <w:ilvl w:val="0"/>
          <w:numId w:val="9"/>
        </w:numPr>
        <w:overflowPunct w:val="0"/>
        <w:spacing w:before="120" w:beforeLines="50" w:line="300" w:lineRule="auto"/>
        <w:ind w:firstLineChars="0"/>
        <w:rPr>
          <w:rFonts w:cs="Times New Roman"/>
          <w:sz w:val="24"/>
          <w:szCs w:val="24"/>
          <w:lang w:eastAsia="zh-CN"/>
        </w:rPr>
      </w:pPr>
      <w:r>
        <w:rPr>
          <w:rFonts w:cs="宋体"/>
          <w:sz w:val="24"/>
          <w:u w:val="single"/>
          <w:lang w:eastAsia="zh-CN"/>
        </w:rPr>
        <w:t>CPAM交流</w:t>
      </w:r>
      <w:r>
        <w:rPr>
          <w:rFonts w:cs="宋体"/>
          <w:sz w:val="24"/>
          <w:lang w:eastAsia="zh-CN"/>
        </w:rPr>
        <w:t>。如果申请人提交了面对面会议或电话会议的书面请求，并且FDA受理了该请求，则FDA将在收到CPAM请求后75个日历日内安排会议。会议通常持续一小时。FDA可以在会议之前或会议之后联系申请人，要求说明。此外，申请人可以选择提交仅要求书面反馈的请求，或者如果FDA认为仅书面反馈合适，可能会联系申请人。</w:t>
      </w:r>
    </w:p>
    <w:p w14:paraId="7C3F2448">
      <w:pPr>
        <w:pStyle w:val="25"/>
        <w:numPr>
          <w:ilvl w:val="0"/>
          <w:numId w:val="9"/>
        </w:numPr>
        <w:overflowPunct w:val="0"/>
        <w:spacing w:before="120" w:beforeLines="50" w:line="300" w:lineRule="auto"/>
        <w:ind w:firstLineChars="0"/>
        <w:rPr>
          <w:rFonts w:cs="Times New Roman"/>
          <w:sz w:val="24"/>
          <w:szCs w:val="24"/>
          <w:lang w:eastAsia="zh-CN"/>
        </w:rPr>
      </w:pPr>
      <w:r>
        <w:rPr>
          <w:rFonts w:cs="宋体"/>
          <w:sz w:val="24"/>
          <w:u w:val="single"/>
          <w:lang w:eastAsia="zh-CN"/>
        </w:rPr>
        <w:t>关于CPAM的书面反馈和CPAM协议</w:t>
      </w:r>
      <w:r>
        <w:rPr>
          <w:rFonts w:cs="宋体"/>
          <w:sz w:val="24"/>
          <w:lang w:eastAsia="zh-CN"/>
        </w:rPr>
        <w:t>。FDA会在会议后30个日历日内或在收到请求后75个日历日内（如果未召开会议）向申请人提供书面反馈。FDA的书面反馈应表明，对于申请人寻求FDA同意的每个领域：</w:t>
      </w:r>
    </w:p>
    <w:p w14:paraId="1D5FDF69">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FDA同意申请人的提议和协议的细节；</w:t>
      </w:r>
    </w:p>
    <w:p w14:paraId="020A7F5D">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FDA不同意申请人的提议，以及FDA认为申请人的提议不可接受的具体原因；或者</w:t>
      </w:r>
    </w:p>
    <w:p w14:paraId="67C4B972">
      <w:pPr>
        <w:overflowPunct w:val="0"/>
        <w:spacing w:before="120" w:beforeLines="50" w:line="300" w:lineRule="auto"/>
        <w:ind w:left="1320" w:leftChars="400" w:hanging="480" w:hangingChars="200"/>
        <w:rPr>
          <w:rFonts w:cs="Times New Roman"/>
          <w:sz w:val="24"/>
          <w:szCs w:val="24"/>
          <w:lang w:eastAsia="zh-CN"/>
        </w:rPr>
      </w:pPr>
      <w:r>
        <w:rPr>
          <w:rFonts w:cs="宋体"/>
          <w:sz w:val="24"/>
          <w:lang w:eastAsia="zh-CN"/>
        </w:rPr>
        <w:t>○</w:t>
      </w:r>
      <w:r>
        <w:rPr>
          <w:rFonts w:cs="宋体"/>
          <w:sz w:val="24"/>
          <w:lang w:eastAsia="zh-CN"/>
        </w:rPr>
        <w:tab/>
      </w:r>
      <w:r>
        <w:rPr>
          <w:rFonts w:cs="宋体"/>
          <w:sz w:val="24"/>
          <w:lang w:eastAsia="zh-CN"/>
        </w:rPr>
        <w:t>由于信息不充分或不足，FDA此时无法同意该提议。该回复应包括支持进一步审查申请人提议所需的更多科学数据或其他信息的总结。针对发现的不足/不充分点，如果申请人想要提交信息，可以通过使用基于申请的机制或提交新CPAM请求来提交。</w:t>
      </w:r>
    </w:p>
    <w:p w14:paraId="010B4022">
      <w:pPr>
        <w:pStyle w:val="23"/>
        <w:overflowPunct w:val="0"/>
        <w:rPr>
          <w:lang w:eastAsia="zh-CN"/>
        </w:rPr>
      </w:pPr>
      <w:r>
        <w:rPr>
          <w:rFonts w:cs="宋体"/>
          <w:lang w:eastAsia="zh-CN"/>
        </w:rPr>
        <w:t>______________________</w:t>
      </w:r>
    </w:p>
    <w:p w14:paraId="27A80A2E">
      <w:pPr>
        <w:pStyle w:val="23"/>
        <w:overflowPunct w:val="0"/>
        <w:rPr>
          <w:sz w:val="18"/>
          <w:szCs w:val="18"/>
          <w:lang w:eastAsia="zh-CN"/>
        </w:rPr>
      </w:pPr>
      <w:r>
        <w:rPr>
          <w:rFonts w:cs="宋体"/>
          <w:sz w:val="18"/>
          <w:szCs w:val="18"/>
          <w:vertAlign w:val="superscript"/>
          <w:lang w:eastAsia="zh-CN"/>
        </w:rPr>
        <w:t xml:space="preserve">26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根据GDUFA提交部门级复议申请：行业指南草案</w:t>
      </w:r>
      <w:r>
        <w:rPr>
          <w:rFonts w:cs="宋体"/>
          <w:sz w:val="18"/>
          <w:szCs w:val="18"/>
          <w:lang w:eastAsia="zh-CN"/>
        </w:rPr>
        <w:t>》（针对CDER的仿制药办公室，该指南定稿后将代表FDA目前对该议题的看法）、《</w:t>
      </w:r>
      <w:r>
        <w:rPr>
          <w:rFonts w:cs="宋体"/>
          <w:color w:val="0000FF"/>
          <w:sz w:val="18"/>
          <w:szCs w:val="18"/>
          <w:u w:val="single"/>
          <w:lang w:eastAsia="zh-CN"/>
        </w:rPr>
        <w:t>正式争议解决：部门级以上的申请人申诉：面向行业和审查人员的指南</w:t>
      </w:r>
      <w:r>
        <w:rPr>
          <w:rFonts w:cs="宋体"/>
          <w:sz w:val="18"/>
          <w:szCs w:val="18"/>
          <w:lang w:eastAsia="zh-CN"/>
        </w:rPr>
        <w:t>》（适用于CBER和CDER）以及《</w:t>
      </w:r>
      <w:r>
        <w:rPr>
          <w:rFonts w:cs="宋体"/>
          <w:color w:val="0000FF"/>
          <w:sz w:val="18"/>
          <w:szCs w:val="18"/>
          <w:u w:val="single"/>
          <w:lang w:eastAsia="zh-CN"/>
        </w:rPr>
        <w:t>医疗器械和辐射健康中心申诉流程：面向行业和美国食品药品监督管理局工作人员的指南</w:t>
      </w:r>
      <w:r>
        <w:rPr>
          <w:rFonts w:cs="宋体"/>
          <w:sz w:val="18"/>
          <w:szCs w:val="18"/>
          <w:lang w:eastAsia="zh-CN"/>
        </w:rPr>
        <w:t>》。</w:t>
      </w:r>
      <w:r>
        <w:rPr>
          <w:rFonts w:cs="宋体"/>
          <w:sz w:val="18"/>
          <w:szCs w:val="18"/>
        </w:rPr>
        <w:t>组合产品申请人可以从牵头中心监察员处获得关于非正式争议解决方式的信息（参见</w:t>
      </w:r>
      <w:r>
        <w:rPr>
          <w:rFonts w:cs="宋体"/>
          <w:color w:val="0000FF"/>
          <w:sz w:val="18"/>
          <w:szCs w:val="18"/>
          <w:u w:val="single"/>
        </w:rPr>
        <w:t>https://www.fda.gov/about-fda/office-chief-scientist/contact- ombudsman-fda</w:t>
      </w:r>
      <w:r>
        <w:rPr>
          <w:rFonts w:cs="宋体"/>
          <w:sz w:val="18"/>
          <w:szCs w:val="18"/>
        </w:rPr>
        <w:t>）。</w:t>
      </w:r>
      <w:r>
        <w:rPr>
          <w:rFonts w:cs="宋体"/>
          <w:sz w:val="18"/>
          <w:szCs w:val="18"/>
          <w:lang w:eastAsia="zh-CN"/>
        </w:rPr>
        <w:t>OCP也可以协助受FDA监管的实体解决其与中心或FDA其他部门之间可能出现的与组合产品上市前审查相关的问题或其他监管问题。协助请求可发送至OCP的邮箱</w:t>
      </w:r>
      <w:r>
        <w:rPr>
          <w:rFonts w:cs="宋体"/>
          <w:color w:val="0000FF"/>
          <w:sz w:val="18"/>
          <w:szCs w:val="18"/>
          <w:u w:val="single"/>
          <w:lang w:eastAsia="zh-CN"/>
        </w:rPr>
        <w:t>combination@fda.gov</w:t>
      </w:r>
      <w:r>
        <w:rPr>
          <w:rFonts w:cs="宋体"/>
          <w:sz w:val="18"/>
          <w:szCs w:val="18"/>
          <w:lang w:eastAsia="zh-CN"/>
        </w:rPr>
        <w:t>。</w:t>
      </w:r>
    </w:p>
    <w:p w14:paraId="749B5888">
      <w:pPr>
        <w:overflowPunct w:val="0"/>
        <w:spacing w:before="120" w:beforeLines="50" w:line="300" w:lineRule="auto"/>
        <w:ind w:left="1320" w:leftChars="400" w:hanging="480" w:hangingChars="200"/>
        <w:rPr>
          <w:rFonts w:cs="Times New Roman"/>
          <w:b/>
          <w:i/>
          <w:sz w:val="24"/>
          <w:szCs w:val="24"/>
          <w:lang w:eastAsia="zh-CN"/>
        </w:rPr>
      </w:pPr>
      <w:r>
        <w:rPr>
          <w:rFonts w:cs="宋体"/>
          <w:sz w:val="24"/>
          <w:lang w:eastAsia="zh-CN"/>
        </w:rPr>
        <w:br w:type="page"/>
      </w:r>
      <w:r>
        <w:rPr>
          <w:rFonts w:cs="宋体"/>
          <w:b/>
          <w:i/>
          <w:sz w:val="24"/>
          <w:lang w:eastAsia="zh-CN"/>
        </w:rPr>
        <w:t>3.</w:t>
      </w:r>
      <w:r>
        <w:rPr>
          <w:rFonts w:cs="宋体"/>
          <w:b/>
          <w:i/>
          <w:lang w:eastAsia="zh-CN"/>
        </w:rPr>
        <w:tab/>
      </w:r>
      <w:r>
        <w:rPr>
          <w:rFonts w:cs="宋体"/>
          <w:b/>
          <w:i/>
          <w:sz w:val="24"/>
          <w:lang w:eastAsia="zh-CN"/>
        </w:rPr>
        <w:t>通过CPAM达成的协议的有效性</w:t>
      </w:r>
    </w:p>
    <w:p w14:paraId="06A04C3D">
      <w:pPr>
        <w:overflowPunct w:val="0"/>
        <w:spacing w:before="120" w:beforeLines="50" w:line="300" w:lineRule="auto"/>
        <w:rPr>
          <w:rFonts w:cs="Times New Roman"/>
          <w:sz w:val="24"/>
          <w:szCs w:val="24"/>
          <w:lang w:eastAsia="zh-CN"/>
        </w:rPr>
      </w:pPr>
      <w:r>
        <w:rPr>
          <w:rFonts w:cs="宋体"/>
          <w:sz w:val="24"/>
          <w:lang w:eastAsia="zh-CN"/>
        </w:rPr>
        <w:t>通过CPAM流程达成的任何协议应继续有效，但如上文第IV.B节中讨论的《FD&amp;C法案》第503(g)(2)(A)(iv)节（21 USC 353(g)(2)(A)(iv)）中所述的有限情况除外。正式协议仅针对特定产品，其前提是申请人不改变协议的基础，例如不遵循商定的临床前或临床方案、对终点进行实质性变更、改变拟定的预期用途或适应症或产品设计，或改变研究计划。申请人后续未遵守的CPAM协议不再有效，但FDA可以考虑其认为适合上市前审查或上市后监管的数据或信息（如适用）。</w:t>
      </w:r>
    </w:p>
    <w:p w14:paraId="4E996E8A">
      <w:pPr>
        <w:overflowPunct w:val="0"/>
        <w:spacing w:before="120" w:beforeLines="50" w:line="300" w:lineRule="auto"/>
        <w:rPr>
          <w:rFonts w:cs="Times New Roman"/>
          <w:sz w:val="24"/>
          <w:szCs w:val="24"/>
          <w:lang w:eastAsia="zh-CN"/>
        </w:rPr>
      </w:pPr>
      <w:r>
        <w:rPr>
          <w:rFonts w:cs="宋体"/>
          <w:sz w:val="24"/>
          <w:lang w:eastAsia="zh-CN"/>
        </w:rPr>
        <w:br w:type="page"/>
      </w:r>
    </w:p>
    <w:p w14:paraId="6F328EAE">
      <w:pPr>
        <w:pStyle w:val="2"/>
        <w:overflowPunct w:val="0"/>
        <w:rPr>
          <w:lang w:eastAsia="zh-CN"/>
        </w:rPr>
      </w:pPr>
      <w:bookmarkStart w:id="13" w:name="_Toc97897466"/>
      <w:r>
        <w:rPr>
          <w:rFonts w:cs="宋体"/>
          <w:lang w:eastAsia="zh-CN"/>
        </w:rPr>
        <w:t>附录1.</w:t>
      </w:r>
      <w:r>
        <w:rPr>
          <w:rFonts w:hint="eastAsia" w:cs="宋体"/>
          <w:lang w:eastAsia="zh-CN"/>
        </w:rPr>
        <w:t xml:space="preserve"> </w:t>
      </w:r>
      <w:r>
        <w:rPr>
          <w:rFonts w:cs="宋体"/>
          <w:lang w:eastAsia="zh-CN"/>
        </w:rPr>
        <w:t>器械主导型组合产品的基于申请的机制示例</w:t>
      </w:r>
      <w:bookmarkEnd w:id="13"/>
    </w:p>
    <w:p w14:paraId="01988E4B">
      <w:pPr>
        <w:overflowPunct w:val="0"/>
        <w:spacing w:before="120" w:beforeLines="50" w:line="300" w:lineRule="auto"/>
        <w:rPr>
          <w:rFonts w:cs="Times New Roman"/>
          <w:sz w:val="24"/>
          <w:szCs w:val="24"/>
          <w:lang w:eastAsia="zh-CN"/>
        </w:rPr>
      </w:pPr>
      <w:r>
        <w:rPr>
          <w:rFonts w:cs="宋体"/>
          <w:sz w:val="24"/>
          <w:lang w:eastAsia="zh-CN"/>
        </w:rPr>
        <w:t>下表提供了器械主导型组合产品的基于申请的机制示例。无论请求什么反馈，与FDA的所有交流都应通过组合产品的牵头中心进行（例如，对于器械主导型组合产品的交流，无论问题涉及器械、药物和/或生物制品组成部分，还是整个组合产品，都应使用以下基于申请的机制）。</w:t>
      </w:r>
    </w:p>
    <w:tbl>
      <w:tblPr>
        <w:tblStyle w:val="1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2182"/>
        <w:gridCol w:w="4617"/>
        <w:gridCol w:w="2488"/>
      </w:tblGrid>
      <w:tr w14:paraId="51F3D5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5" w:type="pct"/>
            <w:tcBorders>
              <w:right w:val="single" w:color="000000" w:sz="4" w:space="0"/>
            </w:tcBorders>
          </w:tcPr>
          <w:p w14:paraId="54978812">
            <w:pPr>
              <w:overflowPunct w:val="0"/>
              <w:spacing w:before="36" w:beforeLines="15" w:line="276" w:lineRule="auto"/>
              <w:rPr>
                <w:rFonts w:cs="Times New Roman"/>
                <w:b/>
                <w:szCs w:val="24"/>
              </w:rPr>
            </w:pPr>
            <w:r>
              <w:rPr>
                <w:rFonts w:cs="宋体"/>
                <w:b/>
              </w:rPr>
              <w:t>申请类型</w:t>
            </w:r>
          </w:p>
        </w:tc>
        <w:tc>
          <w:tcPr>
            <w:tcW w:w="2486" w:type="pct"/>
            <w:tcBorders>
              <w:left w:val="single" w:color="000000" w:sz="4" w:space="0"/>
              <w:right w:val="single" w:color="000000" w:sz="4" w:space="0"/>
            </w:tcBorders>
          </w:tcPr>
          <w:p w14:paraId="544BF68D">
            <w:pPr>
              <w:overflowPunct w:val="0"/>
              <w:spacing w:before="36" w:beforeLines="15" w:line="276" w:lineRule="auto"/>
              <w:rPr>
                <w:rFonts w:cs="Times New Roman"/>
                <w:b/>
                <w:szCs w:val="24"/>
              </w:rPr>
            </w:pPr>
            <w:r>
              <w:rPr>
                <w:rFonts w:cs="宋体"/>
                <w:b/>
              </w:rPr>
              <w:t>问题类型示例</w:t>
            </w:r>
          </w:p>
        </w:tc>
        <w:tc>
          <w:tcPr>
            <w:tcW w:w="1339" w:type="pct"/>
            <w:tcBorders>
              <w:left w:val="single" w:color="000000" w:sz="4" w:space="0"/>
            </w:tcBorders>
          </w:tcPr>
          <w:p w14:paraId="013E66A1">
            <w:pPr>
              <w:overflowPunct w:val="0"/>
              <w:spacing w:before="36" w:beforeLines="15" w:line="276" w:lineRule="auto"/>
              <w:rPr>
                <w:rFonts w:cs="Times New Roman"/>
                <w:b/>
                <w:szCs w:val="24"/>
              </w:rPr>
            </w:pPr>
            <w:r>
              <w:rPr>
                <w:rFonts w:cs="宋体"/>
                <w:b/>
              </w:rPr>
              <w:t>基于申请的机制</w:t>
            </w:r>
            <w:r>
              <w:rPr>
                <w:rFonts w:cs="宋体"/>
                <w:b/>
                <w:vertAlign w:val="superscript"/>
              </w:rPr>
              <w:t>17</w:t>
            </w:r>
          </w:p>
        </w:tc>
      </w:tr>
      <w:tr w14:paraId="51BF66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5" w:type="pct"/>
            <w:vMerge w:val="restart"/>
            <w:tcBorders>
              <w:bottom w:val="single" w:color="000000" w:sz="4" w:space="0"/>
              <w:right w:val="single" w:color="000000" w:sz="4" w:space="0"/>
            </w:tcBorders>
          </w:tcPr>
          <w:p w14:paraId="124228A7">
            <w:pPr>
              <w:overflowPunct w:val="0"/>
              <w:spacing w:before="36" w:beforeLines="15" w:line="276" w:lineRule="auto"/>
              <w:rPr>
                <w:rFonts w:cs="Times New Roman"/>
                <w:szCs w:val="24"/>
                <w:lang w:eastAsia="zh-CN"/>
              </w:rPr>
            </w:pPr>
            <w:r>
              <w:rPr>
                <w:rFonts w:cs="宋体"/>
                <w:lang w:eastAsia="zh-CN"/>
              </w:rPr>
              <w:t>上市前批准申请（PMA）上市前通知（510(k)）</w:t>
            </w:r>
          </w:p>
          <w:p w14:paraId="5956582C">
            <w:pPr>
              <w:overflowPunct w:val="0"/>
              <w:spacing w:before="36" w:beforeLines="15" w:line="276" w:lineRule="auto"/>
              <w:rPr>
                <w:rFonts w:cs="宋体"/>
                <w:lang w:eastAsia="zh-CN"/>
              </w:rPr>
            </w:pPr>
            <w:r>
              <w:rPr>
                <w:rFonts w:cs="宋体"/>
                <w:lang w:eastAsia="zh-CN"/>
              </w:rPr>
              <w:t>创新产品分类及申请</w:t>
            </w:r>
          </w:p>
          <w:p w14:paraId="0F1E3915">
            <w:pPr>
              <w:overflowPunct w:val="0"/>
              <w:spacing w:before="36" w:beforeLines="15" w:line="276" w:lineRule="auto"/>
              <w:rPr>
                <w:rFonts w:cs="Times New Roman"/>
                <w:szCs w:val="24"/>
                <w:lang w:eastAsia="zh-CN"/>
              </w:rPr>
            </w:pPr>
            <w:r>
              <w:rPr>
                <w:rFonts w:cs="宋体"/>
                <w:lang w:eastAsia="zh-CN"/>
              </w:rPr>
              <w:t>人道主义器械豁免（HDE）申请</w:t>
            </w:r>
          </w:p>
          <w:p w14:paraId="158086C4">
            <w:pPr>
              <w:overflowPunct w:val="0"/>
              <w:spacing w:before="36" w:beforeLines="15" w:line="276" w:lineRule="auto"/>
              <w:rPr>
                <w:rFonts w:cs="Times New Roman"/>
                <w:szCs w:val="24"/>
                <w:lang w:eastAsia="zh-CN"/>
              </w:rPr>
            </w:pPr>
            <w:r>
              <w:rPr>
                <w:rFonts w:cs="宋体"/>
                <w:lang w:eastAsia="zh-CN"/>
              </w:rPr>
              <w:t>试验用器械豁免（IDE）申请</w:t>
            </w:r>
          </w:p>
        </w:tc>
        <w:tc>
          <w:tcPr>
            <w:tcW w:w="2486" w:type="pct"/>
            <w:tcBorders>
              <w:left w:val="single" w:color="000000" w:sz="4" w:space="0"/>
              <w:bottom w:val="single" w:color="000000" w:sz="4" w:space="0"/>
              <w:right w:val="single" w:color="000000" w:sz="4" w:space="0"/>
            </w:tcBorders>
          </w:tcPr>
          <w:p w14:paraId="7EBEC027">
            <w:pPr>
              <w:overflowPunct w:val="0"/>
              <w:spacing w:before="36" w:beforeLines="15" w:line="276" w:lineRule="auto"/>
              <w:rPr>
                <w:rFonts w:cs="Times New Roman"/>
                <w:szCs w:val="24"/>
                <w:lang w:eastAsia="zh-CN"/>
              </w:rPr>
            </w:pPr>
            <w:r>
              <w:rPr>
                <w:rFonts w:cs="宋体"/>
                <w:lang w:eastAsia="zh-CN"/>
              </w:rPr>
              <w:t>关于产品开发、申请准备或上市后问题的一般问题和反馈请求</w:t>
            </w:r>
          </w:p>
        </w:tc>
        <w:tc>
          <w:tcPr>
            <w:tcW w:w="1339" w:type="pct"/>
            <w:tcBorders>
              <w:left w:val="single" w:color="000000" w:sz="4" w:space="0"/>
              <w:bottom w:val="single" w:color="000000" w:sz="4" w:space="0"/>
            </w:tcBorders>
          </w:tcPr>
          <w:p w14:paraId="76DE85C9">
            <w:pPr>
              <w:overflowPunct w:val="0"/>
              <w:spacing w:before="36" w:beforeLines="15" w:line="276" w:lineRule="auto"/>
              <w:rPr>
                <w:rFonts w:cs="Times New Roman"/>
                <w:szCs w:val="24"/>
                <w:lang w:eastAsia="zh-CN"/>
              </w:rPr>
            </w:pPr>
            <w:r>
              <w:rPr>
                <w:rFonts w:cs="宋体"/>
                <w:lang w:eastAsia="zh-CN"/>
              </w:rPr>
              <w:t>预申请 - 会议和书面反馈或仅书面反馈</w:t>
            </w:r>
            <w:r>
              <w:rPr>
                <w:rFonts w:cs="宋体"/>
                <w:vertAlign w:val="superscript"/>
                <w:lang w:eastAsia="zh-CN"/>
              </w:rPr>
              <w:t>27</w:t>
            </w:r>
          </w:p>
        </w:tc>
      </w:tr>
      <w:tr w14:paraId="77C31F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5" w:type="pct"/>
            <w:vMerge w:val="continue"/>
            <w:tcBorders>
              <w:top w:val="nil"/>
              <w:bottom w:val="single" w:color="000000" w:sz="4" w:space="0"/>
              <w:right w:val="single" w:color="000000" w:sz="4" w:space="0"/>
            </w:tcBorders>
          </w:tcPr>
          <w:p w14:paraId="36C59D87">
            <w:pPr>
              <w:overflowPunct w:val="0"/>
              <w:spacing w:before="36" w:beforeLines="15" w:line="276" w:lineRule="auto"/>
              <w:rPr>
                <w:rFonts w:cs="Times New Roman"/>
                <w:szCs w:val="24"/>
                <w:lang w:eastAsia="zh-CN"/>
              </w:rPr>
            </w:pPr>
          </w:p>
        </w:tc>
        <w:tc>
          <w:tcPr>
            <w:tcW w:w="2486" w:type="pct"/>
            <w:tcBorders>
              <w:top w:val="single" w:color="000000" w:sz="4" w:space="0"/>
              <w:left w:val="single" w:color="000000" w:sz="4" w:space="0"/>
              <w:bottom w:val="single" w:color="000000" w:sz="4" w:space="0"/>
              <w:right w:val="single" w:color="000000" w:sz="4" w:space="0"/>
            </w:tcBorders>
          </w:tcPr>
          <w:p w14:paraId="563904EE">
            <w:pPr>
              <w:overflowPunct w:val="0"/>
              <w:spacing w:before="36" w:beforeLines="15" w:line="276" w:lineRule="auto"/>
              <w:rPr>
                <w:rFonts w:cs="Times New Roman"/>
                <w:szCs w:val="24"/>
                <w:lang w:eastAsia="zh-CN"/>
              </w:rPr>
            </w:pPr>
            <w:r>
              <w:rPr>
                <w:rFonts w:cs="宋体"/>
                <w:lang w:eastAsia="zh-CN"/>
              </w:rPr>
              <w:t>讨论用于解决在审查某些类型的器械申请过程中发现的具体缺陷的拟议方法，其中申请目前被搁置（例如，510(k)要求提供更多信息），或者存在与临床研究设计相关的问题</w:t>
            </w:r>
          </w:p>
        </w:tc>
        <w:tc>
          <w:tcPr>
            <w:tcW w:w="1339" w:type="pct"/>
            <w:tcBorders>
              <w:top w:val="single" w:color="000000" w:sz="4" w:space="0"/>
              <w:left w:val="single" w:color="000000" w:sz="4" w:space="0"/>
              <w:bottom w:val="single" w:color="000000" w:sz="4" w:space="0"/>
            </w:tcBorders>
          </w:tcPr>
          <w:p w14:paraId="647F03D6">
            <w:pPr>
              <w:overflowPunct w:val="0"/>
              <w:spacing w:before="36" w:beforeLines="15" w:line="276" w:lineRule="auto"/>
              <w:rPr>
                <w:rFonts w:cs="Times New Roman"/>
                <w:szCs w:val="24"/>
                <w:lang w:eastAsia="zh-CN"/>
              </w:rPr>
            </w:pPr>
            <w:r>
              <w:rPr>
                <w:rFonts w:cs="宋体"/>
                <w:lang w:eastAsia="zh-CN"/>
              </w:rPr>
              <w:t>提交问题请求 - 会议或书面反馈</w:t>
            </w:r>
            <w:r>
              <w:rPr>
                <w:rFonts w:cs="宋体"/>
                <w:vertAlign w:val="superscript"/>
                <w:lang w:eastAsia="zh-CN"/>
              </w:rPr>
              <w:t>27</w:t>
            </w:r>
          </w:p>
        </w:tc>
      </w:tr>
      <w:tr w14:paraId="726109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5" w:type="pct"/>
            <w:vMerge w:val="continue"/>
            <w:tcBorders>
              <w:top w:val="nil"/>
              <w:bottom w:val="single" w:color="000000" w:sz="4" w:space="0"/>
              <w:right w:val="single" w:color="000000" w:sz="4" w:space="0"/>
            </w:tcBorders>
          </w:tcPr>
          <w:p w14:paraId="13A50D7F">
            <w:pPr>
              <w:overflowPunct w:val="0"/>
              <w:spacing w:before="36" w:beforeLines="15" w:line="276" w:lineRule="auto"/>
              <w:rPr>
                <w:rFonts w:cs="Times New Roman"/>
                <w:szCs w:val="24"/>
                <w:lang w:eastAsia="zh-CN"/>
              </w:rPr>
            </w:pPr>
          </w:p>
        </w:tc>
        <w:tc>
          <w:tcPr>
            <w:tcW w:w="2486" w:type="pct"/>
            <w:tcBorders>
              <w:top w:val="single" w:color="000000" w:sz="4" w:space="0"/>
              <w:left w:val="single" w:color="000000" w:sz="4" w:space="0"/>
              <w:bottom w:val="single" w:color="000000" w:sz="4" w:space="0"/>
              <w:right w:val="single" w:color="000000" w:sz="4" w:space="0"/>
            </w:tcBorders>
          </w:tcPr>
          <w:p w14:paraId="3E037C68">
            <w:pPr>
              <w:overflowPunct w:val="0"/>
              <w:spacing w:before="36" w:beforeLines="15" w:line="276" w:lineRule="auto"/>
              <w:rPr>
                <w:rFonts w:cs="Times New Roman"/>
                <w:szCs w:val="24"/>
                <w:lang w:eastAsia="zh-CN"/>
              </w:rPr>
            </w:pPr>
            <w:r>
              <w:rPr>
                <w:rFonts w:cs="宋体"/>
                <w:lang w:eastAsia="zh-CN"/>
              </w:rPr>
              <w:t>根据《FD&amp;C法案》第515B节规定的合格标准，请求将器械主导型组合产品认定为突破性器械</w:t>
            </w:r>
          </w:p>
        </w:tc>
        <w:tc>
          <w:tcPr>
            <w:tcW w:w="1339" w:type="pct"/>
            <w:tcBorders>
              <w:top w:val="single" w:color="000000" w:sz="4" w:space="0"/>
              <w:left w:val="single" w:color="000000" w:sz="4" w:space="0"/>
              <w:bottom w:val="single" w:color="000000" w:sz="4" w:space="0"/>
            </w:tcBorders>
          </w:tcPr>
          <w:p w14:paraId="26C86F42">
            <w:pPr>
              <w:overflowPunct w:val="0"/>
              <w:spacing w:before="36" w:beforeLines="15" w:line="276" w:lineRule="auto"/>
              <w:rPr>
                <w:rFonts w:cs="Times New Roman"/>
                <w:szCs w:val="24"/>
                <w:lang w:eastAsia="zh-CN"/>
              </w:rPr>
            </w:pPr>
            <w:r>
              <w:rPr>
                <w:rFonts w:cs="宋体"/>
                <w:lang w:eastAsia="zh-CN"/>
              </w:rPr>
              <w:t>突破性器械Q-申请认定请求</w:t>
            </w:r>
            <w:r>
              <w:rPr>
                <w:rFonts w:cs="宋体"/>
                <w:vertAlign w:val="superscript"/>
                <w:lang w:eastAsia="zh-CN"/>
              </w:rPr>
              <w:t>28</w:t>
            </w:r>
          </w:p>
        </w:tc>
      </w:tr>
      <w:tr w14:paraId="3AE80B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5" w:type="pct"/>
            <w:tcBorders>
              <w:top w:val="single" w:color="000000" w:sz="4" w:space="0"/>
              <w:right w:val="single" w:color="000000" w:sz="4" w:space="0"/>
            </w:tcBorders>
          </w:tcPr>
          <w:p w14:paraId="0FC0BFC2">
            <w:pPr>
              <w:overflowPunct w:val="0"/>
              <w:spacing w:before="36" w:beforeLines="15" w:line="276" w:lineRule="auto"/>
              <w:rPr>
                <w:rFonts w:cs="Times New Roman"/>
                <w:szCs w:val="24"/>
              </w:rPr>
            </w:pPr>
            <w:r>
              <w:rPr>
                <w:rFonts w:cs="宋体"/>
              </w:rPr>
              <w:t>在IDE预申请之前</w:t>
            </w:r>
          </w:p>
        </w:tc>
        <w:tc>
          <w:tcPr>
            <w:tcW w:w="2486" w:type="pct"/>
            <w:tcBorders>
              <w:top w:val="single" w:color="000000" w:sz="4" w:space="0"/>
              <w:left w:val="single" w:color="000000" w:sz="4" w:space="0"/>
              <w:right w:val="single" w:color="000000" w:sz="4" w:space="0"/>
            </w:tcBorders>
          </w:tcPr>
          <w:p w14:paraId="70892C3F">
            <w:pPr>
              <w:overflowPunct w:val="0"/>
              <w:spacing w:before="36" w:beforeLines="15" w:line="276" w:lineRule="auto"/>
              <w:rPr>
                <w:rFonts w:cs="Times New Roman"/>
                <w:szCs w:val="24"/>
                <w:lang w:eastAsia="zh-CN"/>
              </w:rPr>
            </w:pPr>
            <w:r>
              <w:rPr>
                <w:rFonts w:cs="宋体"/>
                <w:i/>
                <w:lang w:eastAsia="zh-CN"/>
              </w:rPr>
              <w:t>[向CBER申请]</w:t>
            </w:r>
            <w:r>
              <w:rPr>
                <w:rFonts w:cs="宋体"/>
                <w:lang w:eastAsia="zh-CN"/>
              </w:rPr>
              <w:t>在早期开发阶段对创新试验用产品进行的初步咨询</w:t>
            </w:r>
          </w:p>
        </w:tc>
        <w:tc>
          <w:tcPr>
            <w:tcW w:w="1339" w:type="pct"/>
            <w:tcBorders>
              <w:top w:val="single" w:color="000000" w:sz="4" w:space="0"/>
              <w:left w:val="single" w:color="000000" w:sz="4" w:space="0"/>
            </w:tcBorders>
          </w:tcPr>
          <w:p w14:paraId="5973649F">
            <w:pPr>
              <w:overflowPunct w:val="0"/>
              <w:spacing w:before="36" w:beforeLines="15" w:line="276" w:lineRule="auto"/>
              <w:rPr>
                <w:rFonts w:cs="Times New Roman"/>
                <w:szCs w:val="24"/>
              </w:rPr>
            </w:pPr>
            <w:r>
              <w:rPr>
                <w:rFonts w:cs="宋体"/>
              </w:rPr>
              <w:t>INTERACT会议</w:t>
            </w:r>
            <w:r>
              <w:rPr>
                <w:rFonts w:cs="宋体"/>
                <w:vertAlign w:val="superscript"/>
              </w:rPr>
              <w:t>29</w:t>
            </w:r>
          </w:p>
        </w:tc>
      </w:tr>
    </w:tbl>
    <w:p w14:paraId="73193107">
      <w:pPr>
        <w:pStyle w:val="23"/>
        <w:overflowPunct w:val="0"/>
        <w:rPr>
          <w:lang w:eastAsia="zh-CN"/>
        </w:rPr>
      </w:pPr>
      <w:r>
        <w:rPr>
          <w:rFonts w:cs="宋体"/>
        </w:rPr>
        <w:t>______________________</w:t>
      </w:r>
    </w:p>
    <w:p w14:paraId="287AC1EB">
      <w:pPr>
        <w:pStyle w:val="23"/>
        <w:overflowPunct w:val="0"/>
        <w:rPr>
          <w:i/>
          <w:sz w:val="18"/>
          <w:szCs w:val="18"/>
          <w:lang w:eastAsia="zh-CN"/>
        </w:rPr>
      </w:pPr>
      <w:r>
        <w:rPr>
          <w:rFonts w:cs="宋体"/>
          <w:sz w:val="18"/>
          <w:szCs w:val="18"/>
          <w:vertAlign w:val="superscript"/>
          <w:lang w:eastAsia="zh-CN"/>
        </w:rPr>
        <w:t xml:space="preserve">27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医疗器械申请的反馈和会议申请：Q-申请计划 - 面向行业和美国食品药品监督管理局工作人员的指南</w:t>
      </w:r>
      <w:r>
        <w:rPr>
          <w:rFonts w:cs="宋体"/>
          <w:sz w:val="18"/>
          <w:szCs w:val="18"/>
          <w:lang w:eastAsia="zh-CN"/>
        </w:rPr>
        <w:t>》。</w:t>
      </w:r>
    </w:p>
    <w:p w14:paraId="086E2F43">
      <w:pPr>
        <w:pStyle w:val="23"/>
        <w:overflowPunct w:val="0"/>
        <w:rPr>
          <w:i/>
          <w:sz w:val="18"/>
          <w:szCs w:val="18"/>
          <w:lang w:eastAsia="zh-CN"/>
        </w:rPr>
      </w:pPr>
      <w:r>
        <w:rPr>
          <w:rFonts w:cs="宋体"/>
          <w:sz w:val="18"/>
          <w:szCs w:val="18"/>
          <w:vertAlign w:val="superscript"/>
          <w:lang w:eastAsia="zh-CN"/>
        </w:rPr>
        <w:t xml:space="preserve">28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突破性器械计划 - 面向行业和美国食品药品监督管理局工作人员的指南</w:t>
      </w:r>
      <w:r>
        <w:rPr>
          <w:rFonts w:cs="宋体"/>
          <w:sz w:val="18"/>
          <w:szCs w:val="18"/>
          <w:lang w:eastAsia="zh-CN"/>
        </w:rPr>
        <w:t>》。</w:t>
      </w:r>
    </w:p>
    <w:p w14:paraId="0617DD7B">
      <w:pPr>
        <w:pStyle w:val="23"/>
        <w:overflowPunct w:val="0"/>
        <w:rPr>
          <w:sz w:val="18"/>
          <w:szCs w:val="18"/>
        </w:rPr>
      </w:pPr>
      <w:r>
        <w:rPr>
          <w:rFonts w:cs="宋体"/>
          <w:sz w:val="18"/>
          <w:szCs w:val="18"/>
          <w:vertAlign w:val="superscript"/>
        </w:rPr>
        <w:t xml:space="preserve">29 </w:t>
      </w:r>
      <w:r>
        <w:rPr>
          <w:rFonts w:cs="宋体"/>
          <w:sz w:val="18"/>
          <w:szCs w:val="18"/>
        </w:rPr>
        <w:tab/>
      </w:r>
      <w:r>
        <w:rPr>
          <w:rFonts w:cs="宋体"/>
          <w:sz w:val="18"/>
          <w:szCs w:val="18"/>
        </w:rPr>
        <w:t>参见针对CBER产品的初步有针对性的产品监管建议（INTERACT）计划：</w:t>
      </w:r>
      <w:r>
        <w:rPr>
          <w:rFonts w:cs="宋体"/>
          <w:color w:val="0000FF"/>
          <w:sz w:val="18"/>
          <w:szCs w:val="18"/>
          <w:u w:val="single"/>
        </w:rPr>
        <w:t>https://www.fda.gov/vaccines-blood-biologics/industry-biologics/interact-meetings-initial-targeted-engagement-</w:t>
      </w:r>
      <w:r>
        <w:rPr>
          <w:rFonts w:cs="宋体"/>
          <w:color w:val="0000FF"/>
          <w:sz w:val="18"/>
          <w:szCs w:val="18"/>
        </w:rPr>
        <w:t xml:space="preserve"> </w:t>
      </w:r>
      <w:r>
        <w:rPr>
          <w:rFonts w:cs="宋体"/>
          <w:color w:val="0000FF"/>
          <w:sz w:val="18"/>
          <w:szCs w:val="18"/>
          <w:u w:val="single"/>
        </w:rPr>
        <w:t>regulatory-advice-cber-products</w:t>
      </w:r>
      <w:r>
        <w:rPr>
          <w:rFonts w:cs="宋体"/>
          <w:sz w:val="18"/>
          <w:szCs w:val="18"/>
        </w:rPr>
        <w:t>。</w:t>
      </w:r>
    </w:p>
    <w:p w14:paraId="5C987DBD">
      <w:pPr>
        <w:pStyle w:val="2"/>
        <w:overflowPunct w:val="0"/>
        <w:rPr>
          <w:lang w:eastAsia="zh-CN"/>
        </w:rPr>
      </w:pPr>
      <w:r>
        <w:rPr>
          <w:rFonts w:cs="宋体"/>
          <w:lang w:eastAsia="zh-CN"/>
        </w:rPr>
        <w:br w:type="page"/>
      </w:r>
      <w:bookmarkStart w:id="14" w:name="_Toc97897467"/>
      <w:r>
        <w:rPr>
          <w:rFonts w:cs="宋体"/>
          <w:lang w:eastAsia="zh-CN"/>
        </w:rPr>
        <w:t>附录2.</w:t>
      </w:r>
      <w:r>
        <w:rPr>
          <w:rFonts w:hint="eastAsia" w:cs="宋体"/>
          <w:lang w:eastAsia="zh-CN"/>
        </w:rPr>
        <w:t xml:space="preserve"> </w:t>
      </w:r>
      <w:r>
        <w:rPr>
          <w:rFonts w:cs="宋体"/>
          <w:lang w:eastAsia="zh-CN"/>
        </w:rPr>
        <w:t>药物或生物制品主导型组合产品的基于申请的机制示例</w:t>
      </w:r>
      <w:bookmarkEnd w:id="14"/>
    </w:p>
    <w:p w14:paraId="611CB57E">
      <w:pPr>
        <w:overflowPunct w:val="0"/>
        <w:spacing w:before="120" w:beforeLines="50" w:line="300" w:lineRule="auto"/>
        <w:rPr>
          <w:rFonts w:cs="Times New Roman"/>
          <w:sz w:val="24"/>
          <w:szCs w:val="24"/>
          <w:lang w:eastAsia="zh-CN"/>
        </w:rPr>
      </w:pPr>
      <w:r>
        <w:rPr>
          <w:rFonts w:cs="宋体"/>
          <w:sz w:val="24"/>
          <w:lang w:eastAsia="zh-CN"/>
        </w:rPr>
        <w:t>下表提供了药物和生物制品主导型组合产品的基于申请的机制示例。无论请求什么反馈，与FDA的所有交流都应通过组合产品牵头中心的基于申请的机制进行（例如，对于药物和生物制品主导型组合产品的交流，无论问题涉及器械、药物和/或生物制品组成部分，还是整个组合产品，都应使用以下基于申请的机制）。</w:t>
      </w:r>
    </w:p>
    <w:tbl>
      <w:tblPr>
        <w:tblStyle w:val="1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2208"/>
        <w:gridCol w:w="4311"/>
        <w:gridCol w:w="2768"/>
      </w:tblGrid>
      <w:tr w14:paraId="671816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tcBorders>
              <w:right w:val="single" w:color="000000" w:sz="4" w:space="0"/>
            </w:tcBorders>
          </w:tcPr>
          <w:p w14:paraId="256B89F4">
            <w:pPr>
              <w:overflowPunct w:val="0"/>
              <w:spacing w:before="36" w:beforeLines="15" w:line="276" w:lineRule="auto"/>
              <w:rPr>
                <w:rFonts w:cs="Times New Roman"/>
                <w:b/>
                <w:szCs w:val="24"/>
              </w:rPr>
            </w:pPr>
            <w:r>
              <w:rPr>
                <w:rFonts w:cs="宋体"/>
                <w:b/>
              </w:rPr>
              <w:t>申请类型</w:t>
            </w:r>
          </w:p>
        </w:tc>
        <w:tc>
          <w:tcPr>
            <w:tcW w:w="2321" w:type="pct"/>
            <w:tcBorders>
              <w:left w:val="single" w:color="000000" w:sz="4" w:space="0"/>
              <w:right w:val="single" w:color="000000" w:sz="4" w:space="0"/>
            </w:tcBorders>
          </w:tcPr>
          <w:p w14:paraId="29980DB0">
            <w:pPr>
              <w:overflowPunct w:val="0"/>
              <w:spacing w:before="36" w:beforeLines="15" w:line="276" w:lineRule="auto"/>
              <w:rPr>
                <w:rFonts w:cs="Times New Roman"/>
                <w:b/>
                <w:szCs w:val="24"/>
              </w:rPr>
            </w:pPr>
            <w:r>
              <w:rPr>
                <w:rFonts w:cs="宋体"/>
                <w:b/>
              </w:rPr>
              <w:t>问题类型示例</w:t>
            </w:r>
          </w:p>
        </w:tc>
        <w:tc>
          <w:tcPr>
            <w:tcW w:w="1490" w:type="pct"/>
            <w:tcBorders>
              <w:left w:val="single" w:color="000000" w:sz="4" w:space="0"/>
            </w:tcBorders>
          </w:tcPr>
          <w:p w14:paraId="4951EDAE">
            <w:pPr>
              <w:overflowPunct w:val="0"/>
              <w:spacing w:before="36" w:beforeLines="15" w:line="276" w:lineRule="auto"/>
              <w:rPr>
                <w:rFonts w:cs="Times New Roman"/>
                <w:b/>
                <w:szCs w:val="24"/>
              </w:rPr>
            </w:pPr>
            <w:r>
              <w:rPr>
                <w:rFonts w:cs="宋体"/>
                <w:b/>
              </w:rPr>
              <w:t>基于申请的机制</w:t>
            </w:r>
            <w:r>
              <w:rPr>
                <w:rFonts w:cs="宋体"/>
                <w:b/>
                <w:vertAlign w:val="superscript"/>
              </w:rPr>
              <w:t>17</w:t>
            </w:r>
          </w:p>
        </w:tc>
      </w:tr>
      <w:tr w14:paraId="3B9C15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tcBorders>
              <w:bottom w:val="nil"/>
              <w:right w:val="single" w:color="000000" w:sz="4" w:space="0"/>
            </w:tcBorders>
          </w:tcPr>
          <w:p w14:paraId="222DF58F">
            <w:pPr>
              <w:overflowPunct w:val="0"/>
              <w:spacing w:before="36" w:beforeLines="15" w:line="276" w:lineRule="auto"/>
              <w:rPr>
                <w:rFonts w:cs="Times New Roman"/>
                <w:szCs w:val="24"/>
                <w:lang w:eastAsia="zh-CN"/>
              </w:rPr>
            </w:pPr>
            <w:r>
              <w:rPr>
                <w:rFonts w:cs="宋体"/>
                <w:lang w:eastAsia="zh-CN"/>
              </w:rPr>
              <w:t>PDUFA产品的新药临床试验申请（IND）</w:t>
            </w:r>
          </w:p>
        </w:tc>
        <w:tc>
          <w:tcPr>
            <w:tcW w:w="2321" w:type="pct"/>
            <w:tcBorders>
              <w:left w:val="single" w:color="000000" w:sz="4" w:space="0"/>
              <w:bottom w:val="single" w:color="000000" w:sz="4" w:space="0"/>
              <w:right w:val="single" w:color="000000" w:sz="4" w:space="0"/>
            </w:tcBorders>
          </w:tcPr>
          <w:p w14:paraId="583223B3">
            <w:pPr>
              <w:overflowPunct w:val="0"/>
              <w:spacing w:before="36" w:beforeLines="15" w:line="276" w:lineRule="auto"/>
              <w:rPr>
                <w:rFonts w:cs="Times New Roman"/>
                <w:szCs w:val="24"/>
                <w:lang w:eastAsia="zh-CN"/>
              </w:rPr>
            </w:pPr>
            <w:r>
              <w:rPr>
                <w:rFonts w:cs="宋体"/>
                <w:lang w:eastAsia="zh-CN"/>
              </w:rPr>
              <w:t>为继续进行产品开发计划（否则会停滞）或为解决重要安全性问题而举行的会议</w:t>
            </w:r>
          </w:p>
        </w:tc>
        <w:tc>
          <w:tcPr>
            <w:tcW w:w="1490" w:type="pct"/>
            <w:tcBorders>
              <w:left w:val="single" w:color="000000" w:sz="4" w:space="0"/>
              <w:bottom w:val="single" w:color="000000" w:sz="4" w:space="0"/>
            </w:tcBorders>
          </w:tcPr>
          <w:p w14:paraId="16905F13">
            <w:pPr>
              <w:overflowPunct w:val="0"/>
              <w:spacing w:before="36" w:beforeLines="15" w:line="276" w:lineRule="auto"/>
              <w:rPr>
                <w:rFonts w:cs="Times New Roman"/>
                <w:szCs w:val="24"/>
              </w:rPr>
            </w:pPr>
            <w:r>
              <w:rPr>
                <w:rFonts w:cs="宋体"/>
              </w:rPr>
              <w:t>A类会议</w:t>
            </w:r>
            <w:r>
              <w:rPr>
                <w:rFonts w:cs="宋体"/>
                <w:vertAlign w:val="superscript"/>
              </w:rPr>
              <w:t>31</w:t>
            </w:r>
          </w:p>
        </w:tc>
      </w:tr>
      <w:tr w14:paraId="69F50F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vMerge w:val="restart"/>
            <w:tcBorders>
              <w:top w:val="nil"/>
              <w:right w:val="single" w:color="000000" w:sz="4" w:space="0"/>
            </w:tcBorders>
          </w:tcPr>
          <w:p w14:paraId="6DF5632C">
            <w:pPr>
              <w:overflowPunct w:val="0"/>
              <w:spacing w:before="36" w:beforeLines="15" w:line="276" w:lineRule="auto"/>
              <w:rPr>
                <w:rFonts w:cs="Times New Roman"/>
                <w:szCs w:val="24"/>
              </w:rPr>
            </w:pPr>
          </w:p>
          <w:p w14:paraId="79EA91F5">
            <w:pPr>
              <w:overflowPunct w:val="0"/>
              <w:spacing w:before="36" w:beforeLines="15" w:line="276" w:lineRule="auto"/>
              <w:rPr>
                <w:rFonts w:cs="Times New Roman"/>
                <w:szCs w:val="24"/>
              </w:rPr>
            </w:pPr>
            <w:r>
              <w:rPr>
                <w:rFonts w:cs="宋体"/>
              </w:rPr>
              <w:t>新药申请（NDA）</w:t>
            </w:r>
          </w:p>
          <w:p w14:paraId="36EE5153">
            <w:pPr>
              <w:overflowPunct w:val="0"/>
              <w:spacing w:before="36" w:beforeLines="15" w:line="276" w:lineRule="auto"/>
              <w:rPr>
                <w:rFonts w:cs="Times New Roman"/>
                <w:szCs w:val="24"/>
              </w:rPr>
            </w:pPr>
            <w:r>
              <w:rPr>
                <w:rFonts w:cs="宋体"/>
              </w:rPr>
              <w:t>351(a)生物制品许可申请（BLA）</w:t>
            </w:r>
            <w:r>
              <w:rPr>
                <w:rFonts w:cs="宋体"/>
                <w:vertAlign w:val="superscript"/>
              </w:rPr>
              <w:t>30</w:t>
            </w:r>
          </w:p>
        </w:tc>
        <w:tc>
          <w:tcPr>
            <w:tcW w:w="2321" w:type="pct"/>
            <w:tcBorders>
              <w:top w:val="single" w:color="000000" w:sz="4" w:space="0"/>
              <w:left w:val="single" w:color="000000" w:sz="4" w:space="0"/>
              <w:bottom w:val="single" w:color="000000" w:sz="4" w:space="0"/>
              <w:right w:val="single" w:color="000000" w:sz="4" w:space="0"/>
            </w:tcBorders>
          </w:tcPr>
          <w:p w14:paraId="6FB2B797">
            <w:pPr>
              <w:overflowPunct w:val="0"/>
              <w:spacing w:before="36" w:beforeLines="15" w:line="276" w:lineRule="auto"/>
              <w:rPr>
                <w:rFonts w:cs="Times New Roman"/>
                <w:szCs w:val="24"/>
                <w:lang w:eastAsia="zh-CN"/>
              </w:rPr>
            </w:pPr>
            <w:r>
              <w:rPr>
                <w:rFonts w:cs="宋体"/>
                <w:lang w:eastAsia="zh-CN"/>
              </w:rPr>
              <w:t>IND、BLA、NDA预申请会议，用于讨论拟议的上市或试验申请的内容和格式</w:t>
            </w:r>
          </w:p>
        </w:tc>
        <w:tc>
          <w:tcPr>
            <w:tcW w:w="1490" w:type="pct"/>
            <w:tcBorders>
              <w:top w:val="single" w:color="000000" w:sz="4" w:space="0"/>
              <w:left w:val="single" w:color="000000" w:sz="4" w:space="0"/>
              <w:bottom w:val="single" w:color="000000" w:sz="4" w:space="0"/>
            </w:tcBorders>
          </w:tcPr>
          <w:p w14:paraId="3639FEE9">
            <w:pPr>
              <w:overflowPunct w:val="0"/>
              <w:spacing w:before="36" w:beforeLines="15" w:line="276" w:lineRule="auto"/>
              <w:rPr>
                <w:rFonts w:cs="Times New Roman"/>
                <w:szCs w:val="24"/>
              </w:rPr>
            </w:pPr>
            <w:r>
              <w:rPr>
                <w:rFonts w:cs="宋体"/>
              </w:rPr>
              <w:t>B类会议</w:t>
            </w:r>
            <w:r>
              <w:rPr>
                <w:rFonts w:cs="宋体"/>
                <w:vertAlign w:val="superscript"/>
              </w:rPr>
              <w:t>31</w:t>
            </w:r>
          </w:p>
        </w:tc>
      </w:tr>
      <w:tr w14:paraId="28D5D6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vMerge w:val="continue"/>
            <w:tcBorders>
              <w:right w:val="single" w:color="000000" w:sz="4" w:space="0"/>
            </w:tcBorders>
          </w:tcPr>
          <w:p w14:paraId="79637FEC">
            <w:pPr>
              <w:overflowPunct w:val="0"/>
              <w:spacing w:before="36" w:beforeLines="15" w:line="276" w:lineRule="auto"/>
              <w:rPr>
                <w:rFonts w:cs="Times New Roman"/>
                <w:szCs w:val="24"/>
              </w:rPr>
            </w:pPr>
          </w:p>
        </w:tc>
        <w:tc>
          <w:tcPr>
            <w:tcW w:w="2321" w:type="pct"/>
            <w:tcBorders>
              <w:top w:val="single" w:color="000000" w:sz="4" w:space="0"/>
              <w:left w:val="single" w:color="000000" w:sz="4" w:space="0"/>
              <w:bottom w:val="single" w:color="000000" w:sz="4" w:space="0"/>
              <w:right w:val="single" w:color="000000" w:sz="4" w:space="0"/>
            </w:tcBorders>
          </w:tcPr>
          <w:p w14:paraId="792F74CC">
            <w:pPr>
              <w:overflowPunct w:val="0"/>
              <w:spacing w:before="36" w:beforeLines="15" w:line="276" w:lineRule="auto"/>
              <w:rPr>
                <w:rFonts w:cs="Times New Roman"/>
                <w:szCs w:val="24"/>
                <w:lang w:eastAsia="zh-CN"/>
              </w:rPr>
            </w:pPr>
            <w:r>
              <w:rPr>
                <w:rFonts w:cs="宋体"/>
                <w:lang w:eastAsia="zh-CN"/>
              </w:rPr>
              <w:t>关于产品开发或上市后问题或使用生物标志物作为新的替代终点的一般问题和反馈请求</w:t>
            </w:r>
          </w:p>
        </w:tc>
        <w:tc>
          <w:tcPr>
            <w:tcW w:w="1490" w:type="pct"/>
            <w:tcBorders>
              <w:top w:val="single" w:color="000000" w:sz="4" w:space="0"/>
              <w:left w:val="single" w:color="000000" w:sz="4" w:space="0"/>
              <w:bottom w:val="single" w:color="000000" w:sz="4" w:space="0"/>
            </w:tcBorders>
          </w:tcPr>
          <w:p w14:paraId="2CA09DE3">
            <w:pPr>
              <w:overflowPunct w:val="0"/>
              <w:spacing w:before="36" w:beforeLines="15" w:line="276" w:lineRule="auto"/>
              <w:rPr>
                <w:rFonts w:cs="Times New Roman"/>
                <w:szCs w:val="24"/>
              </w:rPr>
            </w:pPr>
            <w:r>
              <w:rPr>
                <w:rFonts w:cs="宋体"/>
              </w:rPr>
              <w:t>C类会议</w:t>
            </w:r>
            <w:r>
              <w:rPr>
                <w:rFonts w:cs="宋体"/>
                <w:vertAlign w:val="superscript"/>
              </w:rPr>
              <w:t>31</w:t>
            </w:r>
          </w:p>
        </w:tc>
      </w:tr>
      <w:tr w14:paraId="42CF20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vMerge w:val="continue"/>
            <w:tcBorders>
              <w:bottom w:val="nil"/>
              <w:right w:val="single" w:color="000000" w:sz="4" w:space="0"/>
            </w:tcBorders>
          </w:tcPr>
          <w:p w14:paraId="2EA4C934">
            <w:pPr>
              <w:overflowPunct w:val="0"/>
              <w:spacing w:before="36" w:beforeLines="15" w:line="276" w:lineRule="auto"/>
              <w:rPr>
                <w:rFonts w:cs="Times New Roman"/>
                <w:szCs w:val="24"/>
              </w:rPr>
            </w:pPr>
          </w:p>
        </w:tc>
        <w:tc>
          <w:tcPr>
            <w:tcW w:w="2321" w:type="pct"/>
            <w:tcBorders>
              <w:top w:val="single" w:color="000000" w:sz="4" w:space="0"/>
              <w:left w:val="single" w:color="000000" w:sz="4" w:space="0"/>
              <w:bottom w:val="single" w:color="000000" w:sz="4" w:space="0"/>
              <w:right w:val="single" w:color="000000" w:sz="4" w:space="0"/>
            </w:tcBorders>
          </w:tcPr>
          <w:p w14:paraId="02C792F5">
            <w:pPr>
              <w:overflowPunct w:val="0"/>
              <w:spacing w:before="36" w:beforeLines="15" w:line="276" w:lineRule="auto"/>
              <w:rPr>
                <w:rFonts w:cs="Times New Roman"/>
                <w:szCs w:val="24"/>
                <w:lang w:eastAsia="zh-CN"/>
              </w:rPr>
            </w:pPr>
            <w:r>
              <w:rPr>
                <w:rFonts w:cs="宋体"/>
                <w:lang w:eastAsia="zh-CN"/>
              </w:rPr>
              <w:t>某些临床试验、临床研究或动物研究的设计和规模</w:t>
            </w:r>
          </w:p>
        </w:tc>
        <w:tc>
          <w:tcPr>
            <w:tcW w:w="1490" w:type="pct"/>
            <w:tcBorders>
              <w:top w:val="single" w:color="000000" w:sz="4" w:space="0"/>
              <w:left w:val="single" w:color="000000" w:sz="4" w:space="0"/>
              <w:bottom w:val="single" w:color="000000" w:sz="4" w:space="0"/>
            </w:tcBorders>
          </w:tcPr>
          <w:p w14:paraId="3D5D63EC">
            <w:pPr>
              <w:overflowPunct w:val="0"/>
              <w:spacing w:before="36" w:beforeLines="15" w:line="276" w:lineRule="auto"/>
              <w:rPr>
                <w:rFonts w:cs="Times New Roman"/>
                <w:szCs w:val="24"/>
              </w:rPr>
            </w:pPr>
            <w:r>
              <w:rPr>
                <w:rFonts w:cs="宋体"/>
              </w:rPr>
              <w:t>特殊方案评估</w:t>
            </w:r>
            <w:r>
              <w:rPr>
                <w:rFonts w:cs="宋体"/>
                <w:vertAlign w:val="superscript"/>
              </w:rPr>
              <w:t>32</w:t>
            </w:r>
          </w:p>
        </w:tc>
      </w:tr>
      <w:tr w14:paraId="29418A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tcBorders>
              <w:top w:val="nil"/>
              <w:bottom w:val="nil"/>
              <w:right w:val="single" w:color="000000" w:sz="4" w:space="0"/>
            </w:tcBorders>
          </w:tcPr>
          <w:p w14:paraId="1F2F7D9E">
            <w:pPr>
              <w:overflowPunct w:val="0"/>
              <w:spacing w:before="36" w:beforeLines="15" w:line="276" w:lineRule="auto"/>
              <w:rPr>
                <w:rFonts w:cs="Times New Roman"/>
                <w:szCs w:val="24"/>
              </w:rPr>
            </w:pPr>
          </w:p>
        </w:tc>
        <w:tc>
          <w:tcPr>
            <w:tcW w:w="2321" w:type="pct"/>
            <w:tcBorders>
              <w:top w:val="single" w:color="000000" w:sz="4" w:space="0"/>
              <w:left w:val="single" w:color="000000" w:sz="4" w:space="0"/>
              <w:bottom w:val="single" w:color="000000" w:sz="4" w:space="0"/>
              <w:right w:val="single" w:color="000000" w:sz="4" w:space="0"/>
            </w:tcBorders>
          </w:tcPr>
          <w:p w14:paraId="7BF2D57C">
            <w:pPr>
              <w:overflowPunct w:val="0"/>
              <w:spacing w:before="36" w:beforeLines="15" w:line="276" w:lineRule="auto"/>
              <w:rPr>
                <w:rFonts w:cs="Times New Roman"/>
                <w:szCs w:val="24"/>
                <w:lang w:eastAsia="zh-CN"/>
              </w:rPr>
            </w:pPr>
            <w:r>
              <w:rPr>
                <w:rFonts w:cs="宋体"/>
                <w:lang w:eastAsia="zh-CN"/>
              </w:rPr>
              <w:t>快速通道资格认定、突破性疗法认定或优先审查资格认定</w:t>
            </w:r>
          </w:p>
        </w:tc>
        <w:tc>
          <w:tcPr>
            <w:tcW w:w="1490" w:type="pct"/>
            <w:tcBorders>
              <w:top w:val="single" w:color="000000" w:sz="4" w:space="0"/>
              <w:left w:val="single" w:color="000000" w:sz="4" w:space="0"/>
              <w:bottom w:val="single" w:color="000000" w:sz="4" w:space="0"/>
            </w:tcBorders>
          </w:tcPr>
          <w:p w14:paraId="2DF4F401">
            <w:pPr>
              <w:overflowPunct w:val="0"/>
              <w:spacing w:before="36" w:beforeLines="15" w:line="276" w:lineRule="auto"/>
              <w:rPr>
                <w:rFonts w:cs="Times New Roman"/>
                <w:szCs w:val="24"/>
              </w:rPr>
            </w:pPr>
            <w:r>
              <w:rPr>
                <w:rFonts w:cs="宋体"/>
              </w:rPr>
              <w:t>认定申请</w:t>
            </w:r>
            <w:r>
              <w:rPr>
                <w:rFonts w:cs="宋体"/>
                <w:vertAlign w:val="superscript"/>
              </w:rPr>
              <w:t>33</w:t>
            </w:r>
          </w:p>
        </w:tc>
      </w:tr>
      <w:tr w14:paraId="781FEE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tcBorders>
              <w:top w:val="nil"/>
              <w:right w:val="single" w:color="000000" w:sz="4" w:space="0"/>
            </w:tcBorders>
          </w:tcPr>
          <w:p w14:paraId="52799C46">
            <w:pPr>
              <w:overflowPunct w:val="0"/>
              <w:spacing w:before="36" w:beforeLines="15" w:line="276" w:lineRule="auto"/>
              <w:rPr>
                <w:rFonts w:cs="Times New Roman"/>
                <w:szCs w:val="24"/>
              </w:rPr>
            </w:pPr>
          </w:p>
        </w:tc>
        <w:tc>
          <w:tcPr>
            <w:tcW w:w="2321" w:type="pct"/>
            <w:tcBorders>
              <w:top w:val="single" w:color="000000" w:sz="4" w:space="0"/>
              <w:left w:val="single" w:color="000000" w:sz="4" w:space="0"/>
              <w:right w:val="single" w:color="000000" w:sz="4" w:space="0"/>
            </w:tcBorders>
          </w:tcPr>
          <w:p w14:paraId="1E6D0EA9">
            <w:pPr>
              <w:overflowPunct w:val="0"/>
              <w:spacing w:before="36" w:beforeLines="15" w:line="276" w:lineRule="auto"/>
              <w:rPr>
                <w:rFonts w:cs="Times New Roman"/>
                <w:szCs w:val="24"/>
                <w:lang w:eastAsia="zh-CN"/>
              </w:rPr>
            </w:pPr>
            <w:r>
              <w:rPr>
                <w:rFonts w:cs="宋体"/>
                <w:i/>
                <w:lang w:eastAsia="zh-CN"/>
              </w:rPr>
              <w:t xml:space="preserve">[向CBER申请] </w:t>
            </w:r>
            <w:r>
              <w:rPr>
                <w:rFonts w:cs="宋体"/>
                <w:lang w:eastAsia="zh-CN"/>
              </w:rPr>
              <w:t>再生医学高级疗法（RMAT）认定</w:t>
            </w:r>
          </w:p>
        </w:tc>
        <w:tc>
          <w:tcPr>
            <w:tcW w:w="1490" w:type="pct"/>
            <w:tcBorders>
              <w:top w:val="single" w:color="000000" w:sz="4" w:space="0"/>
              <w:left w:val="single" w:color="000000" w:sz="4" w:space="0"/>
            </w:tcBorders>
          </w:tcPr>
          <w:p w14:paraId="58D82C14">
            <w:pPr>
              <w:overflowPunct w:val="0"/>
              <w:spacing w:before="36" w:beforeLines="15" w:line="276" w:lineRule="auto"/>
              <w:rPr>
                <w:rFonts w:cs="Times New Roman"/>
                <w:szCs w:val="24"/>
              </w:rPr>
            </w:pPr>
            <w:r>
              <w:rPr>
                <w:rFonts w:cs="宋体"/>
              </w:rPr>
              <w:t>RMAT认定</w:t>
            </w:r>
            <w:r>
              <w:rPr>
                <w:rFonts w:cs="宋体"/>
                <w:vertAlign w:val="superscript"/>
              </w:rPr>
              <w:t>34</w:t>
            </w:r>
          </w:p>
        </w:tc>
      </w:tr>
      <w:tr w14:paraId="2BF8D34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vMerge w:val="restart"/>
            <w:tcBorders>
              <w:bottom w:val="single" w:color="000000" w:sz="4" w:space="0"/>
              <w:right w:val="single" w:color="000000" w:sz="4" w:space="0"/>
            </w:tcBorders>
          </w:tcPr>
          <w:p w14:paraId="7C0AD2C4">
            <w:pPr>
              <w:overflowPunct w:val="0"/>
              <w:spacing w:before="36" w:beforeLines="15" w:line="276" w:lineRule="auto"/>
              <w:rPr>
                <w:rFonts w:cs="Times New Roman"/>
                <w:szCs w:val="24"/>
              </w:rPr>
            </w:pPr>
            <w:r>
              <w:rPr>
                <w:rFonts w:cs="宋体"/>
              </w:rPr>
              <w:t>BsUFA产品的IND</w:t>
            </w:r>
          </w:p>
          <w:p w14:paraId="46449D1E">
            <w:pPr>
              <w:overflowPunct w:val="0"/>
              <w:spacing w:before="36" w:beforeLines="15" w:line="276" w:lineRule="auto"/>
              <w:rPr>
                <w:rFonts w:cs="Times New Roman"/>
                <w:szCs w:val="24"/>
              </w:rPr>
            </w:pPr>
            <w:r>
              <w:rPr>
                <w:rFonts w:cs="宋体"/>
              </w:rPr>
              <w:t>351(k) BLA</w:t>
            </w:r>
            <w:r>
              <w:rPr>
                <w:rFonts w:cs="宋体"/>
                <w:vertAlign w:val="superscript"/>
              </w:rPr>
              <w:t>35</w:t>
            </w:r>
          </w:p>
        </w:tc>
        <w:tc>
          <w:tcPr>
            <w:tcW w:w="2321" w:type="pct"/>
            <w:tcBorders>
              <w:left w:val="single" w:color="000000" w:sz="4" w:space="0"/>
              <w:bottom w:val="single" w:color="000000" w:sz="4" w:space="0"/>
              <w:right w:val="single" w:color="000000" w:sz="4" w:space="0"/>
            </w:tcBorders>
          </w:tcPr>
          <w:p w14:paraId="514C61BD">
            <w:pPr>
              <w:overflowPunct w:val="0"/>
              <w:spacing w:before="36" w:beforeLines="15" w:line="276" w:lineRule="auto"/>
              <w:rPr>
                <w:rFonts w:cs="Times New Roman"/>
                <w:szCs w:val="24"/>
                <w:lang w:eastAsia="zh-CN"/>
              </w:rPr>
            </w:pPr>
            <w:r>
              <w:rPr>
                <w:rFonts w:cs="宋体"/>
                <w:lang w:eastAsia="zh-CN"/>
              </w:rPr>
              <w:t>初步评估仅限于关于根据《PHS法案》第351(k)节获得许可的可行性的一般讨论</w:t>
            </w:r>
          </w:p>
        </w:tc>
        <w:tc>
          <w:tcPr>
            <w:tcW w:w="1490" w:type="pct"/>
            <w:tcBorders>
              <w:left w:val="single" w:color="000000" w:sz="4" w:space="0"/>
              <w:bottom w:val="single" w:color="000000" w:sz="4" w:space="0"/>
            </w:tcBorders>
          </w:tcPr>
          <w:p w14:paraId="7A4E6154">
            <w:pPr>
              <w:overflowPunct w:val="0"/>
              <w:spacing w:before="36" w:beforeLines="15" w:line="276" w:lineRule="auto"/>
              <w:rPr>
                <w:rFonts w:cs="Times New Roman"/>
                <w:szCs w:val="24"/>
              </w:rPr>
            </w:pPr>
            <w:r>
              <w:rPr>
                <w:rFonts w:cs="宋体"/>
              </w:rPr>
              <w:t>生物类似药初步咨询</w:t>
            </w:r>
            <w:r>
              <w:rPr>
                <w:rFonts w:cs="宋体"/>
                <w:vertAlign w:val="superscript"/>
              </w:rPr>
              <w:t>36</w:t>
            </w:r>
          </w:p>
        </w:tc>
      </w:tr>
      <w:tr w14:paraId="122F73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89" w:type="pct"/>
            <w:vMerge w:val="continue"/>
            <w:tcBorders>
              <w:top w:val="nil"/>
              <w:bottom w:val="single" w:color="000000" w:sz="4" w:space="0"/>
              <w:right w:val="single" w:color="000000" w:sz="4" w:space="0"/>
            </w:tcBorders>
          </w:tcPr>
          <w:p w14:paraId="03CDCC5F">
            <w:pPr>
              <w:overflowPunct w:val="0"/>
              <w:spacing w:before="36" w:beforeLines="15" w:line="276" w:lineRule="auto"/>
              <w:rPr>
                <w:rFonts w:cs="Times New Roman"/>
                <w:szCs w:val="24"/>
              </w:rPr>
            </w:pPr>
          </w:p>
        </w:tc>
        <w:tc>
          <w:tcPr>
            <w:tcW w:w="2321" w:type="pct"/>
            <w:tcBorders>
              <w:top w:val="single" w:color="000000" w:sz="4" w:space="0"/>
              <w:left w:val="single" w:color="000000" w:sz="4" w:space="0"/>
              <w:bottom w:val="single" w:color="000000" w:sz="4" w:space="0"/>
              <w:right w:val="single" w:color="000000" w:sz="4" w:space="0"/>
            </w:tcBorders>
          </w:tcPr>
          <w:p w14:paraId="092604DF">
            <w:pPr>
              <w:overflowPunct w:val="0"/>
              <w:spacing w:before="36" w:beforeLines="15" w:line="276" w:lineRule="auto"/>
              <w:rPr>
                <w:rFonts w:cs="Times New Roman"/>
                <w:szCs w:val="24"/>
                <w:lang w:eastAsia="zh-CN"/>
              </w:rPr>
            </w:pPr>
            <w:r>
              <w:rPr>
                <w:rFonts w:cs="宋体"/>
                <w:lang w:eastAsia="zh-CN"/>
              </w:rPr>
              <w:t>为继续进行开发计划（否则会停滞）或为解决重要安全性问题而举行的会议。</w:t>
            </w:r>
          </w:p>
        </w:tc>
        <w:tc>
          <w:tcPr>
            <w:tcW w:w="1490" w:type="pct"/>
            <w:tcBorders>
              <w:top w:val="single" w:color="000000" w:sz="4" w:space="0"/>
              <w:left w:val="single" w:color="000000" w:sz="4" w:space="0"/>
              <w:bottom w:val="single" w:color="000000" w:sz="4" w:space="0"/>
            </w:tcBorders>
          </w:tcPr>
          <w:p w14:paraId="1295A6DF">
            <w:pPr>
              <w:overflowPunct w:val="0"/>
              <w:spacing w:before="36" w:beforeLines="15" w:line="276" w:lineRule="auto"/>
              <w:rPr>
                <w:rFonts w:cs="Times New Roman"/>
                <w:szCs w:val="24"/>
              </w:rPr>
            </w:pPr>
            <w:r>
              <w:rPr>
                <w:rFonts w:cs="宋体"/>
              </w:rPr>
              <w:t>BPD 1类会议</w:t>
            </w:r>
            <w:r>
              <w:rPr>
                <w:rFonts w:cs="宋体"/>
                <w:vertAlign w:val="superscript"/>
              </w:rPr>
              <w:t>36</w:t>
            </w:r>
          </w:p>
        </w:tc>
      </w:tr>
    </w:tbl>
    <w:p w14:paraId="417E5C47">
      <w:pPr>
        <w:pStyle w:val="23"/>
        <w:overflowPunct w:val="0"/>
        <w:rPr>
          <w:lang w:eastAsia="zh-CN"/>
        </w:rPr>
      </w:pPr>
      <w:r>
        <w:rPr>
          <w:rFonts w:cs="宋体"/>
        </w:rPr>
        <w:t>______________________</w:t>
      </w:r>
    </w:p>
    <w:p w14:paraId="27A6F732">
      <w:pPr>
        <w:pStyle w:val="23"/>
        <w:overflowPunct w:val="0"/>
        <w:rPr>
          <w:sz w:val="18"/>
          <w:szCs w:val="18"/>
        </w:rPr>
      </w:pPr>
      <w:r>
        <w:rPr>
          <w:rFonts w:cs="宋体"/>
          <w:sz w:val="18"/>
          <w:szCs w:val="18"/>
          <w:vertAlign w:val="superscript"/>
        </w:rPr>
        <w:t xml:space="preserve">30 </w:t>
      </w:r>
      <w:r>
        <w:rPr>
          <w:rFonts w:cs="宋体"/>
          <w:sz w:val="18"/>
          <w:szCs w:val="18"/>
        </w:rPr>
        <w:tab/>
      </w:r>
      <w:r>
        <w:rPr>
          <w:rFonts w:cs="宋体"/>
          <w:sz w:val="18"/>
          <w:szCs w:val="18"/>
        </w:rPr>
        <w:t>“351(a) BLA”是根据《公共卫生服务（PHS）法案》第351(a)节提交的申报生物制品的许可申请，也称为“独立BLA”。</w:t>
      </w:r>
    </w:p>
    <w:p w14:paraId="4B66061D">
      <w:pPr>
        <w:pStyle w:val="23"/>
        <w:overflowPunct w:val="0"/>
        <w:rPr>
          <w:sz w:val="18"/>
          <w:szCs w:val="18"/>
          <w:lang w:eastAsia="zh-CN"/>
        </w:rPr>
      </w:pPr>
      <w:r>
        <w:rPr>
          <w:rFonts w:cs="宋体"/>
          <w:sz w:val="18"/>
          <w:szCs w:val="18"/>
          <w:vertAlign w:val="superscript"/>
          <w:lang w:eastAsia="zh-CN"/>
        </w:rPr>
        <w:t xml:space="preserve">31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FDA与PDUFA产品申请人或申请人之间的正式会议：行业指南草案</w:t>
      </w:r>
      <w:r>
        <w:rPr>
          <w:rFonts w:cs="宋体"/>
          <w:sz w:val="18"/>
          <w:szCs w:val="18"/>
          <w:lang w:eastAsia="zh-CN"/>
        </w:rPr>
        <w:t>》，该草案最终定稿后将代表FDA目前对该议题的看法。</w:t>
      </w:r>
    </w:p>
    <w:p w14:paraId="24057548">
      <w:pPr>
        <w:pStyle w:val="23"/>
        <w:overflowPunct w:val="0"/>
        <w:rPr>
          <w:sz w:val="18"/>
          <w:szCs w:val="18"/>
          <w:lang w:eastAsia="zh-CN"/>
        </w:rPr>
      </w:pPr>
      <w:r>
        <w:rPr>
          <w:rFonts w:cs="宋体"/>
          <w:sz w:val="18"/>
          <w:szCs w:val="18"/>
          <w:vertAlign w:val="superscript"/>
          <w:lang w:eastAsia="zh-CN"/>
        </w:rPr>
        <w:t xml:space="preserve">32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特殊方案评估：行业指南</w:t>
      </w:r>
      <w:r>
        <w:rPr>
          <w:rFonts w:cs="宋体"/>
          <w:sz w:val="18"/>
          <w:szCs w:val="18"/>
          <w:lang w:eastAsia="zh-CN"/>
        </w:rPr>
        <w:t>》。</w:t>
      </w:r>
    </w:p>
    <w:p w14:paraId="00711078">
      <w:pPr>
        <w:pStyle w:val="23"/>
        <w:overflowPunct w:val="0"/>
        <w:rPr>
          <w:sz w:val="18"/>
          <w:szCs w:val="18"/>
          <w:lang w:eastAsia="zh-CN"/>
        </w:rPr>
      </w:pPr>
      <w:r>
        <w:rPr>
          <w:rFonts w:cs="宋体"/>
          <w:sz w:val="18"/>
          <w:szCs w:val="18"/>
          <w:vertAlign w:val="superscript"/>
          <w:lang w:eastAsia="zh-CN"/>
        </w:rPr>
        <w:t xml:space="preserve">33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严重疾病的加速程序 – 药品和生物制品：行业指南</w:t>
      </w:r>
      <w:r>
        <w:rPr>
          <w:rFonts w:cs="宋体"/>
          <w:sz w:val="18"/>
          <w:szCs w:val="18"/>
          <w:lang w:eastAsia="zh-CN"/>
        </w:rPr>
        <w:t>》。</w:t>
      </w:r>
    </w:p>
    <w:p w14:paraId="0C917FBF">
      <w:pPr>
        <w:pStyle w:val="23"/>
        <w:overflowPunct w:val="0"/>
        <w:rPr>
          <w:sz w:val="18"/>
          <w:szCs w:val="18"/>
          <w:lang w:eastAsia="zh-CN"/>
        </w:rPr>
      </w:pPr>
      <w:r>
        <w:rPr>
          <w:rFonts w:cs="宋体"/>
          <w:sz w:val="18"/>
          <w:szCs w:val="18"/>
          <w:vertAlign w:val="superscript"/>
          <w:lang w:eastAsia="zh-CN"/>
        </w:rPr>
        <w:t>34</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严重疾病再生医学疗法的加速程序：行业指南</w:t>
      </w:r>
      <w:r>
        <w:rPr>
          <w:rFonts w:cs="宋体"/>
          <w:sz w:val="18"/>
          <w:szCs w:val="18"/>
          <w:lang w:eastAsia="zh-CN"/>
        </w:rPr>
        <w:t>》。</w:t>
      </w:r>
    </w:p>
    <w:p w14:paraId="44DE860C">
      <w:pPr>
        <w:pStyle w:val="23"/>
        <w:overflowPunct w:val="0"/>
        <w:rPr>
          <w:sz w:val="18"/>
          <w:szCs w:val="18"/>
        </w:rPr>
      </w:pPr>
      <w:r>
        <w:rPr>
          <w:rFonts w:cs="宋体"/>
          <w:sz w:val="18"/>
          <w:szCs w:val="18"/>
          <w:vertAlign w:val="superscript"/>
        </w:rPr>
        <w:t xml:space="preserve">35 </w:t>
      </w:r>
      <w:r>
        <w:rPr>
          <w:rFonts w:cs="宋体"/>
          <w:sz w:val="18"/>
          <w:szCs w:val="18"/>
        </w:rPr>
        <w:tab/>
      </w:r>
      <w:r>
        <w:rPr>
          <w:rFonts w:cs="宋体"/>
          <w:sz w:val="18"/>
          <w:szCs w:val="18"/>
        </w:rPr>
        <w:t>关于生物类似药的更多信息，请参见：</w:t>
      </w:r>
      <w:r>
        <w:rPr>
          <w:rFonts w:cs="宋体"/>
          <w:color w:val="0000FF"/>
          <w:sz w:val="18"/>
          <w:szCs w:val="18"/>
          <w:u w:val="single"/>
        </w:rPr>
        <w:t>https://www.fda.gov/drugs/biosimilars/biosimilar-and-</w:t>
      </w:r>
      <w:r>
        <w:rPr>
          <w:rFonts w:cs="宋体"/>
          <w:color w:val="0000FF"/>
          <w:sz w:val="18"/>
          <w:szCs w:val="18"/>
        </w:rPr>
        <w:t xml:space="preserve"> </w:t>
      </w:r>
      <w:r>
        <w:rPr>
          <w:rFonts w:cs="宋体"/>
          <w:color w:val="0000FF"/>
          <w:sz w:val="18"/>
          <w:szCs w:val="18"/>
          <w:u w:val="single"/>
        </w:rPr>
        <w:t>interchangeable-products</w:t>
      </w:r>
      <w:r>
        <w:rPr>
          <w:rFonts w:cs="宋体"/>
          <w:sz w:val="18"/>
          <w:szCs w:val="18"/>
        </w:rPr>
        <w:t>。</w:t>
      </w:r>
    </w:p>
    <w:p w14:paraId="27C96087">
      <w:pPr>
        <w:pStyle w:val="23"/>
        <w:overflowPunct w:val="0"/>
        <w:rPr>
          <w:sz w:val="18"/>
          <w:szCs w:val="18"/>
          <w:lang w:eastAsia="zh-CN"/>
        </w:rPr>
      </w:pPr>
      <w:r>
        <w:rPr>
          <w:rFonts w:cs="宋体"/>
          <w:sz w:val="18"/>
          <w:szCs w:val="18"/>
          <w:vertAlign w:val="superscript"/>
          <w:lang w:eastAsia="zh-CN"/>
        </w:rPr>
        <w:t xml:space="preserve">36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FDA与BsUFA产品申请人或申请人之间的正式会议：行业指南</w:t>
      </w:r>
      <w:r>
        <w:rPr>
          <w:rFonts w:cs="宋体"/>
          <w:sz w:val="18"/>
          <w:szCs w:val="18"/>
          <w:lang w:eastAsia="zh-CN"/>
        </w:rPr>
        <w:t>》。</w:t>
      </w:r>
    </w:p>
    <w:p w14:paraId="7388D4E3">
      <w:pPr>
        <w:overflowPunct w:val="0"/>
        <w:spacing w:before="120" w:beforeLines="50" w:line="300" w:lineRule="auto"/>
        <w:rPr>
          <w:rFonts w:cs="Times New Roman"/>
          <w:sz w:val="24"/>
          <w:szCs w:val="24"/>
          <w:lang w:eastAsia="zh-CN"/>
        </w:rPr>
      </w:pPr>
      <w:r>
        <w:rPr>
          <w:rFonts w:cs="宋体"/>
          <w:sz w:val="24"/>
          <w:lang w:eastAsia="zh-CN"/>
        </w:rPr>
        <w:br w:type="page"/>
      </w:r>
    </w:p>
    <w:tbl>
      <w:tblPr>
        <w:tblStyle w:val="1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2175"/>
        <w:gridCol w:w="4317"/>
        <w:gridCol w:w="2795"/>
      </w:tblGrid>
      <w:tr w14:paraId="2AEA58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tcBorders>
              <w:right w:val="single" w:color="000000" w:sz="4" w:space="0"/>
            </w:tcBorders>
          </w:tcPr>
          <w:p w14:paraId="635BEAFE">
            <w:pPr>
              <w:overflowPunct w:val="0"/>
              <w:spacing w:before="36" w:beforeLines="15" w:line="276" w:lineRule="auto"/>
              <w:rPr>
                <w:rFonts w:cs="Times New Roman"/>
                <w:b/>
                <w:szCs w:val="24"/>
              </w:rPr>
            </w:pPr>
            <w:r>
              <w:rPr>
                <w:rFonts w:cs="宋体"/>
                <w:b/>
              </w:rPr>
              <w:t>申请类型</w:t>
            </w:r>
          </w:p>
        </w:tc>
        <w:tc>
          <w:tcPr>
            <w:tcW w:w="2324" w:type="pct"/>
            <w:tcBorders>
              <w:left w:val="single" w:color="000000" w:sz="4" w:space="0"/>
              <w:right w:val="single" w:color="000000" w:sz="4" w:space="0"/>
            </w:tcBorders>
          </w:tcPr>
          <w:p w14:paraId="58530D14">
            <w:pPr>
              <w:overflowPunct w:val="0"/>
              <w:spacing w:before="36" w:beforeLines="15" w:line="276" w:lineRule="auto"/>
              <w:rPr>
                <w:rFonts w:cs="Times New Roman"/>
                <w:b/>
                <w:szCs w:val="24"/>
              </w:rPr>
            </w:pPr>
            <w:r>
              <w:rPr>
                <w:rFonts w:cs="宋体"/>
                <w:b/>
              </w:rPr>
              <w:t>问题类型示例</w:t>
            </w:r>
          </w:p>
        </w:tc>
        <w:tc>
          <w:tcPr>
            <w:tcW w:w="1505" w:type="pct"/>
            <w:tcBorders>
              <w:left w:val="single" w:color="000000" w:sz="4" w:space="0"/>
            </w:tcBorders>
          </w:tcPr>
          <w:p w14:paraId="0529AD4F">
            <w:pPr>
              <w:overflowPunct w:val="0"/>
              <w:spacing w:before="36" w:beforeLines="15" w:line="276" w:lineRule="auto"/>
              <w:rPr>
                <w:rFonts w:cs="Times New Roman"/>
                <w:b/>
                <w:szCs w:val="24"/>
              </w:rPr>
            </w:pPr>
            <w:r>
              <w:rPr>
                <w:rFonts w:cs="宋体"/>
                <w:b/>
              </w:rPr>
              <w:t>基于申请的机制</w:t>
            </w:r>
            <w:r>
              <w:rPr>
                <w:rFonts w:cs="宋体"/>
                <w:b/>
                <w:vertAlign w:val="superscript"/>
              </w:rPr>
              <w:t>17</w:t>
            </w:r>
          </w:p>
        </w:tc>
      </w:tr>
      <w:tr w14:paraId="7E81CA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vMerge w:val="restart"/>
            <w:tcBorders>
              <w:right w:val="single" w:color="000000" w:sz="4" w:space="0"/>
            </w:tcBorders>
          </w:tcPr>
          <w:p w14:paraId="7B535961">
            <w:pPr>
              <w:overflowPunct w:val="0"/>
              <w:spacing w:before="36" w:beforeLines="15" w:line="276" w:lineRule="auto"/>
              <w:rPr>
                <w:rFonts w:cs="Times New Roman"/>
                <w:szCs w:val="24"/>
              </w:rPr>
            </w:pPr>
          </w:p>
        </w:tc>
        <w:tc>
          <w:tcPr>
            <w:tcW w:w="2324" w:type="pct"/>
            <w:tcBorders>
              <w:left w:val="single" w:color="000000" w:sz="4" w:space="0"/>
              <w:bottom w:val="single" w:color="000000" w:sz="4" w:space="0"/>
              <w:right w:val="single" w:color="000000" w:sz="4" w:space="0"/>
            </w:tcBorders>
          </w:tcPr>
          <w:p w14:paraId="4798E7BB">
            <w:pPr>
              <w:overflowPunct w:val="0"/>
              <w:spacing w:before="36" w:beforeLines="15" w:line="276" w:lineRule="auto"/>
              <w:rPr>
                <w:rFonts w:cs="Times New Roman"/>
                <w:szCs w:val="24"/>
                <w:lang w:eastAsia="zh-CN"/>
              </w:rPr>
            </w:pPr>
            <w:r>
              <w:rPr>
                <w:rFonts w:cs="宋体"/>
                <w:lang w:eastAsia="zh-CN"/>
              </w:rPr>
              <w:t>讨论与化学、制造、CMC、研究设计等相关的具体问题。</w:t>
            </w:r>
          </w:p>
        </w:tc>
        <w:tc>
          <w:tcPr>
            <w:tcW w:w="1505" w:type="pct"/>
            <w:tcBorders>
              <w:left w:val="single" w:color="000000" w:sz="4" w:space="0"/>
              <w:bottom w:val="single" w:color="000000" w:sz="4" w:space="0"/>
            </w:tcBorders>
          </w:tcPr>
          <w:p w14:paraId="4FFED6C3">
            <w:pPr>
              <w:overflowPunct w:val="0"/>
              <w:spacing w:before="36" w:beforeLines="15" w:line="276" w:lineRule="auto"/>
              <w:rPr>
                <w:rFonts w:cs="Times New Roman"/>
                <w:szCs w:val="24"/>
              </w:rPr>
            </w:pPr>
            <w:r>
              <w:rPr>
                <w:rFonts w:cs="宋体"/>
              </w:rPr>
              <w:t>BPD 2类会议</w:t>
            </w:r>
            <w:r>
              <w:rPr>
                <w:rFonts w:cs="宋体"/>
                <w:vertAlign w:val="superscript"/>
              </w:rPr>
              <w:t>36</w:t>
            </w:r>
          </w:p>
        </w:tc>
      </w:tr>
      <w:tr w14:paraId="4FEB51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vMerge w:val="continue"/>
            <w:tcBorders>
              <w:top w:val="nil"/>
              <w:right w:val="single" w:color="000000" w:sz="4" w:space="0"/>
            </w:tcBorders>
          </w:tcPr>
          <w:p w14:paraId="54521ED7">
            <w:pPr>
              <w:overflowPunct w:val="0"/>
              <w:spacing w:before="36" w:beforeLines="15" w:line="276" w:lineRule="auto"/>
              <w:rPr>
                <w:rFonts w:cs="Times New Roman"/>
                <w:szCs w:val="24"/>
              </w:rPr>
            </w:pPr>
          </w:p>
        </w:tc>
        <w:tc>
          <w:tcPr>
            <w:tcW w:w="2324" w:type="pct"/>
            <w:tcBorders>
              <w:top w:val="single" w:color="000000" w:sz="4" w:space="0"/>
              <w:left w:val="single" w:color="000000" w:sz="4" w:space="0"/>
              <w:bottom w:val="single" w:color="000000" w:sz="4" w:space="0"/>
              <w:right w:val="single" w:color="000000" w:sz="4" w:space="0"/>
            </w:tcBorders>
          </w:tcPr>
          <w:p w14:paraId="6D7601FC">
            <w:pPr>
              <w:overflowPunct w:val="0"/>
              <w:spacing w:before="36" w:beforeLines="15" w:line="276" w:lineRule="auto"/>
              <w:rPr>
                <w:rFonts w:cs="Times New Roman"/>
                <w:szCs w:val="24"/>
                <w:lang w:eastAsia="zh-CN"/>
              </w:rPr>
            </w:pPr>
            <w:r>
              <w:rPr>
                <w:rFonts w:cs="宋体"/>
                <w:lang w:eastAsia="zh-CN"/>
              </w:rPr>
              <w:t>关于正在进行的生物类似药开发计划的深入数据审查和建议。</w:t>
            </w:r>
          </w:p>
        </w:tc>
        <w:tc>
          <w:tcPr>
            <w:tcW w:w="1505" w:type="pct"/>
            <w:tcBorders>
              <w:top w:val="single" w:color="000000" w:sz="4" w:space="0"/>
              <w:left w:val="single" w:color="000000" w:sz="4" w:space="0"/>
              <w:bottom w:val="single" w:color="000000" w:sz="4" w:space="0"/>
            </w:tcBorders>
          </w:tcPr>
          <w:p w14:paraId="6336FF41">
            <w:pPr>
              <w:overflowPunct w:val="0"/>
              <w:spacing w:before="36" w:beforeLines="15" w:line="276" w:lineRule="auto"/>
              <w:rPr>
                <w:rFonts w:cs="Times New Roman"/>
                <w:szCs w:val="24"/>
              </w:rPr>
            </w:pPr>
            <w:r>
              <w:rPr>
                <w:rFonts w:cs="宋体"/>
              </w:rPr>
              <w:t>BPD 3类会议</w:t>
            </w:r>
            <w:r>
              <w:rPr>
                <w:rFonts w:cs="宋体"/>
                <w:vertAlign w:val="superscript"/>
              </w:rPr>
              <w:t>36</w:t>
            </w:r>
          </w:p>
        </w:tc>
      </w:tr>
      <w:tr w14:paraId="4B6373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vMerge w:val="continue"/>
            <w:tcBorders>
              <w:top w:val="nil"/>
              <w:right w:val="single" w:color="000000" w:sz="4" w:space="0"/>
            </w:tcBorders>
          </w:tcPr>
          <w:p w14:paraId="11981E80">
            <w:pPr>
              <w:overflowPunct w:val="0"/>
              <w:spacing w:before="36" w:beforeLines="15" w:line="276" w:lineRule="auto"/>
              <w:rPr>
                <w:rFonts w:cs="Times New Roman"/>
                <w:szCs w:val="24"/>
              </w:rPr>
            </w:pPr>
          </w:p>
        </w:tc>
        <w:tc>
          <w:tcPr>
            <w:tcW w:w="2324" w:type="pct"/>
            <w:tcBorders>
              <w:top w:val="single" w:color="000000" w:sz="4" w:space="0"/>
              <w:left w:val="single" w:color="000000" w:sz="4" w:space="0"/>
              <w:bottom w:val="single" w:color="000000" w:sz="4" w:space="0"/>
              <w:right w:val="single" w:color="000000" w:sz="4" w:space="0"/>
            </w:tcBorders>
          </w:tcPr>
          <w:p w14:paraId="13D6D4B7">
            <w:pPr>
              <w:overflowPunct w:val="0"/>
              <w:spacing w:before="36" w:beforeLines="15" w:line="276" w:lineRule="auto"/>
              <w:rPr>
                <w:rFonts w:cs="Times New Roman"/>
                <w:szCs w:val="24"/>
                <w:lang w:eastAsia="zh-CN"/>
              </w:rPr>
            </w:pPr>
            <w:r>
              <w:rPr>
                <w:rFonts w:cs="宋体"/>
                <w:lang w:eastAsia="zh-CN"/>
              </w:rPr>
              <w:t>完整申请或补充申请的格式和内容。</w:t>
            </w:r>
          </w:p>
        </w:tc>
        <w:tc>
          <w:tcPr>
            <w:tcW w:w="1505" w:type="pct"/>
            <w:tcBorders>
              <w:top w:val="single" w:color="000000" w:sz="4" w:space="0"/>
              <w:left w:val="single" w:color="000000" w:sz="4" w:space="0"/>
              <w:bottom w:val="single" w:color="000000" w:sz="4" w:space="0"/>
            </w:tcBorders>
          </w:tcPr>
          <w:p w14:paraId="33AB3D82">
            <w:pPr>
              <w:overflowPunct w:val="0"/>
              <w:spacing w:before="36" w:beforeLines="15" w:line="276" w:lineRule="auto"/>
              <w:rPr>
                <w:rFonts w:cs="Times New Roman"/>
                <w:szCs w:val="24"/>
              </w:rPr>
            </w:pPr>
            <w:r>
              <w:rPr>
                <w:rFonts w:cs="宋体"/>
              </w:rPr>
              <w:t>BPD 4类会议</w:t>
            </w:r>
            <w:r>
              <w:rPr>
                <w:rFonts w:cs="宋体"/>
                <w:vertAlign w:val="superscript"/>
              </w:rPr>
              <w:t>36</w:t>
            </w:r>
          </w:p>
        </w:tc>
      </w:tr>
      <w:tr w14:paraId="76F149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vMerge w:val="continue"/>
            <w:tcBorders>
              <w:top w:val="nil"/>
              <w:right w:val="single" w:color="000000" w:sz="4" w:space="0"/>
            </w:tcBorders>
          </w:tcPr>
          <w:p w14:paraId="4155B5F4">
            <w:pPr>
              <w:overflowPunct w:val="0"/>
              <w:spacing w:before="36" w:beforeLines="15" w:line="276" w:lineRule="auto"/>
              <w:rPr>
                <w:rFonts w:cs="Times New Roman"/>
                <w:szCs w:val="24"/>
              </w:rPr>
            </w:pPr>
          </w:p>
        </w:tc>
        <w:tc>
          <w:tcPr>
            <w:tcW w:w="2324" w:type="pct"/>
            <w:tcBorders>
              <w:top w:val="single" w:color="000000" w:sz="4" w:space="0"/>
              <w:left w:val="single" w:color="000000" w:sz="4" w:space="0"/>
              <w:right w:val="single" w:color="000000" w:sz="4" w:space="0"/>
            </w:tcBorders>
          </w:tcPr>
          <w:p w14:paraId="10322C88">
            <w:pPr>
              <w:overflowPunct w:val="0"/>
              <w:spacing w:before="36" w:beforeLines="15" w:line="276" w:lineRule="auto"/>
              <w:rPr>
                <w:rFonts w:cs="Times New Roman"/>
                <w:szCs w:val="24"/>
                <w:lang w:eastAsia="zh-CN"/>
              </w:rPr>
            </w:pPr>
            <w:r>
              <w:rPr>
                <w:rFonts w:cs="宋体"/>
                <w:lang w:eastAsia="zh-CN"/>
              </w:rPr>
              <w:t>某些临床试验、临床研究或动物研究的设计和规模</w:t>
            </w:r>
          </w:p>
        </w:tc>
        <w:tc>
          <w:tcPr>
            <w:tcW w:w="1505" w:type="pct"/>
            <w:tcBorders>
              <w:top w:val="single" w:color="000000" w:sz="4" w:space="0"/>
              <w:left w:val="single" w:color="000000" w:sz="4" w:space="0"/>
            </w:tcBorders>
          </w:tcPr>
          <w:p w14:paraId="6FE31D8B">
            <w:pPr>
              <w:overflowPunct w:val="0"/>
              <w:spacing w:before="36" w:beforeLines="15" w:line="276" w:lineRule="auto"/>
              <w:rPr>
                <w:rFonts w:cs="Times New Roman"/>
                <w:szCs w:val="24"/>
              </w:rPr>
            </w:pPr>
            <w:r>
              <w:rPr>
                <w:rFonts w:cs="宋体"/>
              </w:rPr>
              <w:t>特殊方案评估</w:t>
            </w:r>
            <w:r>
              <w:rPr>
                <w:rFonts w:cs="宋体"/>
                <w:vertAlign w:val="superscript"/>
              </w:rPr>
              <w:t>32</w:t>
            </w:r>
          </w:p>
        </w:tc>
      </w:tr>
      <w:tr w14:paraId="4BA973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vMerge w:val="restart"/>
            <w:tcBorders>
              <w:right w:val="single" w:color="000000" w:sz="4" w:space="0"/>
            </w:tcBorders>
          </w:tcPr>
          <w:p w14:paraId="21AD8FEB">
            <w:pPr>
              <w:overflowPunct w:val="0"/>
              <w:spacing w:before="36" w:beforeLines="15" w:line="276" w:lineRule="auto"/>
              <w:rPr>
                <w:rFonts w:cs="Times New Roman"/>
                <w:szCs w:val="24"/>
                <w:lang w:eastAsia="zh-CN"/>
              </w:rPr>
            </w:pPr>
            <w:r>
              <w:rPr>
                <w:rFonts w:cs="宋体"/>
                <w:lang w:eastAsia="zh-CN"/>
              </w:rPr>
              <w:t>简化新药申请（ANDA）</w:t>
            </w:r>
          </w:p>
        </w:tc>
        <w:tc>
          <w:tcPr>
            <w:tcW w:w="2324" w:type="pct"/>
            <w:tcBorders>
              <w:left w:val="single" w:color="000000" w:sz="4" w:space="0"/>
              <w:bottom w:val="single" w:color="000000" w:sz="4" w:space="0"/>
              <w:right w:val="single" w:color="000000" w:sz="4" w:space="0"/>
            </w:tcBorders>
          </w:tcPr>
          <w:p w14:paraId="1A76F23B">
            <w:pPr>
              <w:overflowPunct w:val="0"/>
              <w:spacing w:before="36" w:beforeLines="15" w:line="276" w:lineRule="auto"/>
              <w:rPr>
                <w:rFonts w:cs="Times New Roman"/>
                <w:szCs w:val="24"/>
                <w:lang w:eastAsia="zh-CN"/>
              </w:rPr>
            </w:pPr>
            <w:r>
              <w:rPr>
                <w:rFonts w:cs="宋体"/>
                <w:lang w:eastAsia="zh-CN"/>
              </w:rPr>
              <w:t>关于仿制药产品开发特定要素和某些批准后申请要求的信息</w:t>
            </w:r>
          </w:p>
        </w:tc>
        <w:tc>
          <w:tcPr>
            <w:tcW w:w="1505" w:type="pct"/>
            <w:tcBorders>
              <w:left w:val="single" w:color="000000" w:sz="4" w:space="0"/>
              <w:bottom w:val="single" w:color="000000" w:sz="4" w:space="0"/>
            </w:tcBorders>
          </w:tcPr>
          <w:p w14:paraId="60377C53">
            <w:pPr>
              <w:overflowPunct w:val="0"/>
              <w:spacing w:before="36" w:beforeLines="15" w:line="276" w:lineRule="auto"/>
              <w:rPr>
                <w:rFonts w:cs="Times New Roman"/>
                <w:szCs w:val="24"/>
              </w:rPr>
            </w:pPr>
            <w:r>
              <w:rPr>
                <w:rFonts w:cs="宋体"/>
              </w:rPr>
              <w:t>标准受控函</w:t>
            </w:r>
            <w:r>
              <w:rPr>
                <w:rFonts w:cs="宋体"/>
                <w:vertAlign w:val="superscript"/>
              </w:rPr>
              <w:t>37</w:t>
            </w:r>
          </w:p>
        </w:tc>
      </w:tr>
      <w:tr w14:paraId="49782C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vMerge w:val="continue"/>
            <w:tcBorders>
              <w:top w:val="nil"/>
              <w:right w:val="single" w:color="000000" w:sz="4" w:space="0"/>
            </w:tcBorders>
          </w:tcPr>
          <w:p w14:paraId="3EC14FFE">
            <w:pPr>
              <w:overflowPunct w:val="0"/>
              <w:spacing w:before="36" w:beforeLines="15" w:line="276" w:lineRule="auto"/>
              <w:rPr>
                <w:rFonts w:cs="Times New Roman"/>
                <w:szCs w:val="24"/>
              </w:rPr>
            </w:pPr>
          </w:p>
        </w:tc>
        <w:tc>
          <w:tcPr>
            <w:tcW w:w="2324" w:type="pct"/>
            <w:tcBorders>
              <w:top w:val="single" w:color="000000" w:sz="4" w:space="0"/>
              <w:left w:val="single" w:color="000000" w:sz="4" w:space="0"/>
              <w:bottom w:val="single" w:color="000000" w:sz="4" w:space="0"/>
              <w:right w:val="single" w:color="000000" w:sz="4" w:space="0"/>
            </w:tcBorders>
          </w:tcPr>
          <w:p w14:paraId="1926903A">
            <w:pPr>
              <w:overflowPunct w:val="0"/>
              <w:spacing w:before="36" w:beforeLines="15" w:line="276" w:lineRule="auto"/>
              <w:rPr>
                <w:rFonts w:cs="Times New Roman"/>
                <w:szCs w:val="24"/>
                <w:lang w:eastAsia="zh-CN"/>
              </w:rPr>
            </w:pPr>
            <w:r>
              <w:rPr>
                <w:rFonts w:cs="宋体"/>
                <w:lang w:eastAsia="zh-CN"/>
              </w:rPr>
              <w:t>提交ANDA前的具体科学问题或疑问</w:t>
            </w:r>
          </w:p>
        </w:tc>
        <w:tc>
          <w:tcPr>
            <w:tcW w:w="1505" w:type="pct"/>
            <w:tcBorders>
              <w:top w:val="single" w:color="000000" w:sz="4" w:space="0"/>
              <w:left w:val="single" w:color="000000" w:sz="4" w:space="0"/>
              <w:bottom w:val="single" w:color="000000" w:sz="4" w:space="0"/>
            </w:tcBorders>
          </w:tcPr>
          <w:p w14:paraId="7777C973">
            <w:pPr>
              <w:overflowPunct w:val="0"/>
              <w:spacing w:before="36" w:beforeLines="15" w:line="276" w:lineRule="auto"/>
              <w:rPr>
                <w:rFonts w:cs="Times New Roman"/>
                <w:szCs w:val="24"/>
                <w:lang w:eastAsia="zh-CN"/>
              </w:rPr>
            </w:pPr>
            <w:r>
              <w:rPr>
                <w:rFonts w:cs="宋体"/>
                <w:lang w:eastAsia="zh-CN"/>
              </w:rPr>
              <w:t>产品开发会议</w:t>
            </w:r>
            <w:r>
              <w:rPr>
                <w:rFonts w:cs="宋体"/>
                <w:vertAlign w:val="superscript"/>
                <w:lang w:eastAsia="zh-CN"/>
              </w:rPr>
              <w:t>38</w:t>
            </w:r>
            <w:r>
              <w:rPr>
                <w:rFonts w:cs="宋体"/>
                <w:lang w:eastAsia="zh-CN"/>
              </w:rPr>
              <w:t>（拟用于受《2017年仿制药用户费用修正案》（GDUFA II）</w:t>
            </w:r>
            <w:r>
              <w:rPr>
                <w:rFonts w:cs="宋体"/>
                <w:vertAlign w:val="superscript"/>
                <w:lang w:eastAsia="zh-CN"/>
              </w:rPr>
              <w:t>39</w:t>
            </w:r>
            <w:r>
              <w:rPr>
                <w:rFonts w:cs="宋体"/>
                <w:lang w:eastAsia="zh-CN"/>
              </w:rPr>
              <w:t>监管的复杂产品）</w:t>
            </w:r>
          </w:p>
        </w:tc>
      </w:tr>
      <w:tr w14:paraId="0DAC25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vMerge w:val="continue"/>
            <w:tcBorders>
              <w:top w:val="nil"/>
              <w:right w:val="single" w:color="000000" w:sz="4" w:space="0"/>
            </w:tcBorders>
          </w:tcPr>
          <w:p w14:paraId="224E125E">
            <w:pPr>
              <w:overflowPunct w:val="0"/>
              <w:spacing w:before="36" w:beforeLines="15" w:line="276" w:lineRule="auto"/>
              <w:rPr>
                <w:rFonts w:cs="Times New Roman"/>
                <w:szCs w:val="24"/>
                <w:lang w:eastAsia="zh-CN"/>
              </w:rPr>
            </w:pPr>
          </w:p>
        </w:tc>
        <w:tc>
          <w:tcPr>
            <w:tcW w:w="2324" w:type="pct"/>
            <w:tcBorders>
              <w:top w:val="single" w:color="000000" w:sz="4" w:space="0"/>
              <w:left w:val="single" w:color="000000" w:sz="4" w:space="0"/>
              <w:bottom w:val="single" w:color="000000" w:sz="4" w:space="0"/>
              <w:right w:val="single" w:color="000000" w:sz="4" w:space="0"/>
            </w:tcBorders>
          </w:tcPr>
          <w:p w14:paraId="28236AC7">
            <w:pPr>
              <w:overflowPunct w:val="0"/>
              <w:spacing w:before="36" w:beforeLines="15" w:line="276" w:lineRule="auto"/>
              <w:rPr>
                <w:rFonts w:cs="Times New Roman"/>
                <w:szCs w:val="24"/>
              </w:rPr>
            </w:pPr>
            <w:r>
              <w:rPr>
                <w:rFonts w:cs="宋体"/>
              </w:rPr>
              <w:t>待提交的ANDA的格式和内容</w:t>
            </w:r>
          </w:p>
        </w:tc>
        <w:tc>
          <w:tcPr>
            <w:tcW w:w="1505" w:type="pct"/>
            <w:tcBorders>
              <w:top w:val="single" w:color="000000" w:sz="4" w:space="0"/>
              <w:left w:val="single" w:color="000000" w:sz="4" w:space="0"/>
              <w:bottom w:val="single" w:color="000000" w:sz="4" w:space="0"/>
            </w:tcBorders>
          </w:tcPr>
          <w:p w14:paraId="71C42AD5">
            <w:pPr>
              <w:overflowPunct w:val="0"/>
              <w:spacing w:before="36" w:beforeLines="15" w:line="276" w:lineRule="auto"/>
              <w:rPr>
                <w:rFonts w:cs="Times New Roman"/>
                <w:szCs w:val="24"/>
                <w:lang w:eastAsia="zh-CN"/>
              </w:rPr>
            </w:pPr>
            <w:r>
              <w:rPr>
                <w:rFonts w:cs="宋体"/>
                <w:lang w:eastAsia="zh-CN"/>
              </w:rPr>
              <w:t>预申请会议</w:t>
            </w:r>
            <w:r>
              <w:rPr>
                <w:rFonts w:cs="宋体"/>
                <w:vertAlign w:val="superscript"/>
                <w:lang w:eastAsia="zh-CN"/>
              </w:rPr>
              <w:t>38</w:t>
            </w:r>
            <w:r>
              <w:rPr>
                <w:rFonts w:cs="宋体"/>
                <w:lang w:eastAsia="zh-CN"/>
              </w:rPr>
              <w:t>（拟用于受GDUFA II</w:t>
            </w:r>
            <w:r>
              <w:rPr>
                <w:rFonts w:cs="宋体"/>
                <w:vertAlign w:val="superscript"/>
                <w:lang w:eastAsia="zh-CN"/>
              </w:rPr>
              <w:t>39</w:t>
            </w:r>
            <w:r>
              <w:rPr>
                <w:rFonts w:cs="宋体"/>
                <w:lang w:eastAsia="zh-CN"/>
              </w:rPr>
              <w:t>监管的复杂产品）</w:t>
            </w:r>
          </w:p>
        </w:tc>
      </w:tr>
      <w:tr w14:paraId="53FCC3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vMerge w:val="continue"/>
            <w:tcBorders>
              <w:top w:val="nil"/>
              <w:right w:val="single" w:color="000000" w:sz="4" w:space="0"/>
            </w:tcBorders>
          </w:tcPr>
          <w:p w14:paraId="202FAC88">
            <w:pPr>
              <w:overflowPunct w:val="0"/>
              <w:spacing w:before="36" w:beforeLines="15" w:line="276" w:lineRule="auto"/>
              <w:rPr>
                <w:rFonts w:cs="Times New Roman"/>
                <w:szCs w:val="24"/>
                <w:lang w:eastAsia="zh-CN"/>
              </w:rPr>
            </w:pPr>
          </w:p>
        </w:tc>
        <w:tc>
          <w:tcPr>
            <w:tcW w:w="2324" w:type="pct"/>
            <w:tcBorders>
              <w:top w:val="single" w:color="000000" w:sz="4" w:space="0"/>
              <w:left w:val="single" w:color="000000" w:sz="4" w:space="0"/>
              <w:right w:val="single" w:color="000000" w:sz="4" w:space="0"/>
            </w:tcBorders>
          </w:tcPr>
          <w:p w14:paraId="5FFAA915">
            <w:pPr>
              <w:overflowPunct w:val="0"/>
              <w:spacing w:before="36" w:beforeLines="15" w:line="276" w:lineRule="auto"/>
              <w:rPr>
                <w:rFonts w:cs="Times New Roman"/>
                <w:szCs w:val="24"/>
                <w:lang w:eastAsia="zh-CN"/>
              </w:rPr>
            </w:pPr>
            <w:r>
              <w:rPr>
                <w:rFonts w:cs="宋体"/>
                <w:lang w:eastAsia="zh-CN"/>
              </w:rPr>
              <w:t>申请审查过程中发现的具体问题/缺陷</w:t>
            </w:r>
          </w:p>
        </w:tc>
        <w:tc>
          <w:tcPr>
            <w:tcW w:w="1505" w:type="pct"/>
            <w:tcBorders>
              <w:top w:val="single" w:color="000000" w:sz="4" w:space="0"/>
              <w:left w:val="single" w:color="000000" w:sz="4" w:space="0"/>
            </w:tcBorders>
          </w:tcPr>
          <w:p w14:paraId="2E357601">
            <w:pPr>
              <w:overflowPunct w:val="0"/>
              <w:spacing w:before="36" w:beforeLines="15" w:line="276" w:lineRule="auto"/>
              <w:rPr>
                <w:rFonts w:cs="Times New Roman"/>
                <w:szCs w:val="24"/>
                <w:lang w:eastAsia="zh-CN"/>
              </w:rPr>
            </w:pPr>
            <w:r>
              <w:rPr>
                <w:rFonts w:cs="宋体"/>
                <w:lang w:eastAsia="zh-CN"/>
              </w:rPr>
              <w:t>审查周期中期会议</w:t>
            </w:r>
            <w:r>
              <w:rPr>
                <w:rFonts w:cs="宋体"/>
                <w:vertAlign w:val="superscript"/>
                <w:lang w:eastAsia="zh-CN"/>
              </w:rPr>
              <w:t>38</w:t>
            </w:r>
            <w:r>
              <w:rPr>
                <w:rFonts w:cs="宋体"/>
                <w:lang w:eastAsia="zh-CN"/>
              </w:rPr>
              <w:t>（拟用于受GDUFA II</w:t>
            </w:r>
            <w:r>
              <w:rPr>
                <w:rFonts w:cs="宋体"/>
                <w:vertAlign w:val="superscript"/>
                <w:lang w:eastAsia="zh-CN"/>
              </w:rPr>
              <w:t>39</w:t>
            </w:r>
            <w:r>
              <w:rPr>
                <w:rFonts w:cs="宋体"/>
                <w:lang w:eastAsia="zh-CN"/>
              </w:rPr>
              <w:t>监管的复杂产品）</w:t>
            </w:r>
          </w:p>
        </w:tc>
      </w:tr>
      <w:tr w14:paraId="499B40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1" w:type="pct"/>
            <w:tcBorders>
              <w:bottom w:val="single" w:color="000000" w:sz="4" w:space="0"/>
              <w:right w:val="single" w:color="000000" w:sz="4" w:space="0"/>
            </w:tcBorders>
          </w:tcPr>
          <w:p w14:paraId="22D1D183">
            <w:pPr>
              <w:overflowPunct w:val="0"/>
              <w:spacing w:before="36" w:beforeLines="15" w:line="276" w:lineRule="auto"/>
              <w:rPr>
                <w:rFonts w:cs="Times New Roman"/>
                <w:szCs w:val="24"/>
              </w:rPr>
            </w:pPr>
            <w:r>
              <w:rPr>
                <w:rFonts w:cs="宋体"/>
              </w:rPr>
              <w:t>在IND预申请（针对INTERACT）或计划但尚未提交NDA之前，</w:t>
            </w:r>
          </w:p>
        </w:tc>
        <w:tc>
          <w:tcPr>
            <w:tcW w:w="2324" w:type="pct"/>
            <w:tcBorders>
              <w:left w:val="single" w:color="000000" w:sz="4" w:space="0"/>
              <w:bottom w:val="single" w:color="000000" w:sz="4" w:space="0"/>
              <w:right w:val="single" w:color="000000" w:sz="4" w:space="0"/>
            </w:tcBorders>
          </w:tcPr>
          <w:p w14:paraId="665F4164">
            <w:pPr>
              <w:overflowPunct w:val="0"/>
              <w:spacing w:before="36" w:beforeLines="15" w:line="276" w:lineRule="auto"/>
              <w:rPr>
                <w:rFonts w:cs="Times New Roman"/>
                <w:szCs w:val="24"/>
                <w:lang w:eastAsia="zh-CN"/>
              </w:rPr>
            </w:pPr>
            <w:r>
              <w:rPr>
                <w:rFonts w:cs="宋体"/>
                <w:i/>
                <w:lang w:eastAsia="zh-CN"/>
              </w:rPr>
              <w:t xml:space="preserve">[向CBER申请] </w:t>
            </w:r>
            <w:r>
              <w:rPr>
                <w:rFonts w:cs="宋体"/>
                <w:lang w:eastAsia="zh-CN"/>
              </w:rPr>
              <w:t>在早期开发阶段对创新试验用产品进行的初步咨询</w:t>
            </w:r>
          </w:p>
        </w:tc>
        <w:tc>
          <w:tcPr>
            <w:tcW w:w="1505" w:type="pct"/>
            <w:tcBorders>
              <w:left w:val="single" w:color="000000" w:sz="4" w:space="0"/>
              <w:bottom w:val="single" w:color="000000" w:sz="4" w:space="0"/>
            </w:tcBorders>
          </w:tcPr>
          <w:p w14:paraId="6F5C7902">
            <w:pPr>
              <w:overflowPunct w:val="0"/>
              <w:spacing w:before="36" w:beforeLines="15" w:line="276" w:lineRule="auto"/>
              <w:rPr>
                <w:rFonts w:cs="Times New Roman"/>
                <w:szCs w:val="24"/>
              </w:rPr>
            </w:pPr>
            <w:r>
              <w:rPr>
                <w:rFonts w:cs="宋体"/>
              </w:rPr>
              <w:t>INTERACT会议</w:t>
            </w:r>
            <w:r>
              <w:rPr>
                <w:rFonts w:cs="宋体"/>
                <w:vertAlign w:val="superscript"/>
              </w:rPr>
              <w:t>40</w:t>
            </w:r>
          </w:p>
        </w:tc>
      </w:tr>
    </w:tbl>
    <w:p w14:paraId="63FAFC1B">
      <w:pPr>
        <w:pStyle w:val="23"/>
        <w:overflowPunct w:val="0"/>
        <w:rPr>
          <w:lang w:eastAsia="zh-CN"/>
        </w:rPr>
      </w:pPr>
      <w:r>
        <w:rPr>
          <w:rFonts w:cs="宋体"/>
        </w:rPr>
        <w:t>______________________</w:t>
      </w:r>
    </w:p>
    <w:p w14:paraId="2EA68342">
      <w:pPr>
        <w:pStyle w:val="23"/>
        <w:overflowPunct w:val="0"/>
        <w:rPr>
          <w:sz w:val="18"/>
          <w:szCs w:val="18"/>
          <w:lang w:eastAsia="zh-CN"/>
        </w:rPr>
      </w:pPr>
      <w:r>
        <w:rPr>
          <w:rFonts w:cs="宋体"/>
          <w:sz w:val="18"/>
          <w:szCs w:val="18"/>
          <w:vertAlign w:val="superscript"/>
          <w:lang w:eastAsia="zh-CN"/>
        </w:rPr>
        <w:t xml:space="preserve">37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与仿制药开发有关的受控函：行业指南草案</w:t>
      </w:r>
      <w:r>
        <w:rPr>
          <w:rFonts w:cs="宋体"/>
          <w:sz w:val="18"/>
          <w:szCs w:val="18"/>
          <w:lang w:eastAsia="zh-CN"/>
        </w:rPr>
        <w:t>》，</w:t>
      </w:r>
      <w:r>
        <w:rPr>
          <w:rFonts w:cs="宋体"/>
          <w:iCs/>
          <w:sz w:val="18"/>
          <w:szCs w:val="18"/>
          <w:lang w:eastAsia="zh-CN"/>
        </w:rPr>
        <w:t>该草案最终定稿后将代表FDA目前对该议题的看法。</w:t>
      </w:r>
    </w:p>
    <w:p w14:paraId="45064096">
      <w:pPr>
        <w:pStyle w:val="23"/>
        <w:overflowPunct w:val="0"/>
        <w:rPr>
          <w:sz w:val="18"/>
          <w:szCs w:val="18"/>
          <w:lang w:eastAsia="zh-CN"/>
        </w:rPr>
      </w:pPr>
      <w:r>
        <w:rPr>
          <w:rFonts w:cs="宋体"/>
          <w:sz w:val="18"/>
          <w:szCs w:val="18"/>
          <w:vertAlign w:val="superscript"/>
          <w:lang w:eastAsia="zh-CN"/>
        </w:rPr>
        <w:t xml:space="preserve">38 </w:t>
      </w:r>
      <w:r>
        <w:rPr>
          <w:rFonts w:cs="宋体"/>
          <w:sz w:val="18"/>
          <w:szCs w:val="18"/>
          <w:lang w:eastAsia="zh-CN"/>
        </w:rPr>
        <w:tab/>
      </w:r>
      <w:r>
        <w:rPr>
          <w:rFonts w:cs="宋体"/>
          <w:sz w:val="18"/>
          <w:szCs w:val="18"/>
          <w:lang w:eastAsia="zh-CN"/>
        </w:rPr>
        <w:t>参见《</w:t>
      </w:r>
      <w:r>
        <w:rPr>
          <w:rFonts w:cs="宋体"/>
          <w:color w:val="0000FF"/>
          <w:sz w:val="18"/>
          <w:szCs w:val="18"/>
          <w:u w:val="single"/>
          <w:lang w:eastAsia="zh-CN"/>
        </w:rPr>
        <w:t>FDA与复杂产品ANDA申请人根据GDUFA举行的正式会议：行业指南草案</w:t>
      </w:r>
      <w:r>
        <w:rPr>
          <w:rFonts w:cs="宋体"/>
          <w:sz w:val="18"/>
          <w:szCs w:val="18"/>
          <w:lang w:eastAsia="zh-CN"/>
        </w:rPr>
        <w:t>》，该草案最终定稿后，将代表FDA目前对该议题的看法。</w:t>
      </w:r>
    </w:p>
    <w:p w14:paraId="1BE88A85">
      <w:pPr>
        <w:pStyle w:val="23"/>
        <w:overflowPunct w:val="0"/>
        <w:rPr>
          <w:sz w:val="18"/>
          <w:szCs w:val="18"/>
          <w:lang w:eastAsia="zh-CN"/>
        </w:rPr>
      </w:pPr>
      <w:r>
        <w:rPr>
          <w:rFonts w:cs="宋体"/>
          <w:sz w:val="18"/>
          <w:szCs w:val="18"/>
          <w:vertAlign w:val="superscript"/>
          <w:lang w:eastAsia="zh-CN"/>
        </w:rPr>
        <w:t xml:space="preserve">39 </w:t>
      </w:r>
      <w:r>
        <w:rPr>
          <w:rFonts w:cs="宋体"/>
          <w:sz w:val="18"/>
          <w:szCs w:val="18"/>
          <w:lang w:eastAsia="zh-CN"/>
        </w:rPr>
        <w:tab/>
      </w:r>
      <w:r>
        <w:rPr>
          <w:rFonts w:cs="宋体"/>
          <w:color w:val="0000FF"/>
          <w:sz w:val="18"/>
          <w:szCs w:val="18"/>
          <w:u w:val="single"/>
          <w:lang w:eastAsia="zh-CN"/>
        </w:rPr>
        <w:t>GDUFA II承诺函</w:t>
      </w:r>
      <w:r>
        <w:rPr>
          <w:rFonts w:cs="宋体"/>
          <w:sz w:val="18"/>
          <w:szCs w:val="18"/>
          <w:lang w:eastAsia="zh-CN"/>
        </w:rPr>
        <w:t>对“复杂产品”进行了定义，其中包括复杂药物器械组合产品（例如预充式自动注射器、定量吸入器、缓释注射剂）。并非所有组合产品都被视为复杂产品。</w:t>
      </w:r>
    </w:p>
    <w:p w14:paraId="4316C37E">
      <w:pPr>
        <w:pStyle w:val="23"/>
        <w:overflowPunct w:val="0"/>
        <w:rPr>
          <w:sz w:val="18"/>
          <w:szCs w:val="18"/>
          <w:lang w:eastAsia="zh-CN"/>
        </w:rPr>
      </w:pPr>
      <w:r>
        <w:rPr>
          <w:rFonts w:cs="宋体"/>
          <w:sz w:val="18"/>
          <w:szCs w:val="18"/>
          <w:vertAlign w:val="superscript"/>
          <w:lang w:eastAsia="zh-CN"/>
        </w:rPr>
        <w:t xml:space="preserve">40 </w:t>
      </w:r>
      <w:r>
        <w:rPr>
          <w:rFonts w:cs="宋体"/>
          <w:sz w:val="18"/>
          <w:szCs w:val="18"/>
          <w:lang w:eastAsia="zh-CN"/>
        </w:rPr>
        <w:tab/>
      </w:r>
      <w:r>
        <w:rPr>
          <w:rFonts w:cs="宋体"/>
          <w:sz w:val="18"/>
          <w:szCs w:val="18"/>
          <w:lang w:eastAsia="zh-CN"/>
        </w:rPr>
        <w:t>参见针对CBER产品的初步有针对性的产品监管建议（INTERACT）计划：</w:t>
      </w:r>
      <w:r>
        <w:rPr>
          <w:rFonts w:cs="宋体"/>
          <w:color w:val="0000FF"/>
          <w:sz w:val="18"/>
          <w:szCs w:val="18"/>
          <w:u w:val="single"/>
          <w:lang w:eastAsia="zh-CN"/>
        </w:rPr>
        <w:t>https://www.fda.gov/vaccines-blood-biologics/industry-biologics/interact-meetings-initial-targeted-engagement-</w:t>
      </w:r>
      <w:r>
        <w:rPr>
          <w:rFonts w:cs="宋体"/>
          <w:color w:val="0000FF"/>
          <w:sz w:val="18"/>
          <w:szCs w:val="18"/>
          <w:lang w:eastAsia="zh-CN"/>
        </w:rPr>
        <w:t xml:space="preserve"> </w:t>
      </w:r>
      <w:r>
        <w:rPr>
          <w:rFonts w:cs="宋体"/>
          <w:color w:val="0000FF"/>
          <w:sz w:val="18"/>
          <w:szCs w:val="18"/>
          <w:u w:val="single"/>
          <w:lang w:eastAsia="zh-CN"/>
        </w:rPr>
        <w:t>regulatory-advice-cber-products</w:t>
      </w:r>
      <w:r>
        <w:rPr>
          <w:rFonts w:cs="宋体"/>
          <w:sz w:val="18"/>
          <w:szCs w:val="18"/>
          <w:lang w:eastAsia="zh-CN"/>
        </w:rPr>
        <w:t>。</w:t>
      </w:r>
    </w:p>
    <w:p w14:paraId="5B5694EF">
      <w:pPr>
        <w:overflowPunct w:val="0"/>
        <w:spacing w:before="120" w:beforeLines="50" w:line="300" w:lineRule="auto"/>
        <w:rPr>
          <w:rFonts w:cs="Times New Roman"/>
          <w:sz w:val="24"/>
          <w:szCs w:val="24"/>
          <w:lang w:eastAsia="zh-CN"/>
        </w:rPr>
      </w:pPr>
      <w:r>
        <w:rPr>
          <w:rFonts w:cs="宋体"/>
          <w:sz w:val="24"/>
          <w:lang w:eastAsia="zh-CN"/>
        </w:rPr>
        <w:br w:type="page"/>
      </w:r>
    </w:p>
    <w:tbl>
      <w:tblPr>
        <w:tblStyle w:val="1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2190"/>
        <w:gridCol w:w="4328"/>
        <w:gridCol w:w="2769"/>
      </w:tblGrid>
      <w:tr w14:paraId="2E9940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9" w:type="pct"/>
            <w:tcBorders>
              <w:right w:val="single" w:color="000000" w:sz="4" w:space="0"/>
            </w:tcBorders>
          </w:tcPr>
          <w:p w14:paraId="239C7EB3">
            <w:pPr>
              <w:overflowPunct w:val="0"/>
              <w:spacing w:before="36" w:beforeLines="15" w:line="276" w:lineRule="auto"/>
              <w:rPr>
                <w:rFonts w:cs="Times New Roman"/>
                <w:b/>
                <w:szCs w:val="24"/>
              </w:rPr>
            </w:pPr>
            <w:r>
              <w:rPr>
                <w:rFonts w:cs="宋体"/>
                <w:b/>
              </w:rPr>
              <w:t>申请类型</w:t>
            </w:r>
          </w:p>
        </w:tc>
        <w:tc>
          <w:tcPr>
            <w:tcW w:w="2330" w:type="pct"/>
            <w:tcBorders>
              <w:left w:val="single" w:color="000000" w:sz="4" w:space="0"/>
              <w:right w:val="single" w:color="000000" w:sz="4" w:space="0"/>
            </w:tcBorders>
          </w:tcPr>
          <w:p w14:paraId="45B565C1">
            <w:pPr>
              <w:overflowPunct w:val="0"/>
              <w:spacing w:before="36" w:beforeLines="15" w:line="276" w:lineRule="auto"/>
              <w:rPr>
                <w:rFonts w:cs="Times New Roman"/>
                <w:b/>
                <w:szCs w:val="24"/>
              </w:rPr>
            </w:pPr>
            <w:r>
              <w:rPr>
                <w:rFonts w:cs="宋体"/>
                <w:b/>
              </w:rPr>
              <w:t>问题类型示例</w:t>
            </w:r>
          </w:p>
        </w:tc>
        <w:tc>
          <w:tcPr>
            <w:tcW w:w="1491" w:type="pct"/>
            <w:tcBorders>
              <w:left w:val="single" w:color="000000" w:sz="4" w:space="0"/>
            </w:tcBorders>
          </w:tcPr>
          <w:p w14:paraId="5B0D76F3">
            <w:pPr>
              <w:overflowPunct w:val="0"/>
              <w:spacing w:before="36" w:beforeLines="15" w:line="276" w:lineRule="auto"/>
              <w:rPr>
                <w:rFonts w:cs="Times New Roman"/>
                <w:b/>
                <w:szCs w:val="24"/>
              </w:rPr>
            </w:pPr>
            <w:r>
              <w:rPr>
                <w:rFonts w:cs="宋体"/>
                <w:b/>
              </w:rPr>
              <w:t>基于申请的机制</w:t>
            </w:r>
            <w:r>
              <w:rPr>
                <w:rFonts w:cs="宋体"/>
                <w:b/>
                <w:vertAlign w:val="superscript"/>
              </w:rPr>
              <w:t>17</w:t>
            </w:r>
          </w:p>
        </w:tc>
      </w:tr>
      <w:tr w14:paraId="5A0644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0" w:hRule="atLeast"/>
        </w:trPr>
        <w:tc>
          <w:tcPr>
            <w:tcW w:w="1179" w:type="pct"/>
            <w:tcBorders>
              <w:right w:val="single" w:color="000000" w:sz="4" w:space="0"/>
            </w:tcBorders>
          </w:tcPr>
          <w:p w14:paraId="48451674">
            <w:pPr>
              <w:overflowPunct w:val="0"/>
              <w:spacing w:before="36" w:beforeLines="15" w:line="276" w:lineRule="auto"/>
              <w:rPr>
                <w:rFonts w:cs="Times New Roman"/>
                <w:szCs w:val="24"/>
                <w:lang w:eastAsia="zh-CN"/>
              </w:rPr>
            </w:pPr>
            <w:r>
              <w:rPr>
                <w:rFonts w:cs="宋体"/>
                <w:lang w:eastAsia="zh-CN"/>
              </w:rPr>
              <w:t>BLA、ANDA或IND（新兴技术计划）</w:t>
            </w:r>
          </w:p>
        </w:tc>
        <w:tc>
          <w:tcPr>
            <w:tcW w:w="2330" w:type="pct"/>
            <w:tcBorders>
              <w:left w:val="single" w:color="000000" w:sz="4" w:space="0"/>
              <w:right w:val="single" w:color="000000" w:sz="4" w:space="0"/>
            </w:tcBorders>
          </w:tcPr>
          <w:p w14:paraId="1D7B2E5E">
            <w:pPr>
              <w:overflowPunct w:val="0"/>
              <w:spacing w:before="36" w:beforeLines="15" w:line="276" w:lineRule="auto"/>
              <w:rPr>
                <w:rFonts w:cs="Times New Roman"/>
                <w:szCs w:val="24"/>
                <w:lang w:eastAsia="zh-CN"/>
              </w:rPr>
            </w:pPr>
            <w:r>
              <w:rPr>
                <w:rFonts w:cs="宋体"/>
                <w:i/>
                <w:lang w:eastAsia="zh-CN"/>
              </w:rPr>
              <w:t>[向CDER申请]</w:t>
            </w:r>
            <w:r>
              <w:rPr>
                <w:rFonts w:cs="宋体"/>
                <w:lang w:eastAsia="zh-CN"/>
              </w:rPr>
              <w:t>在提交监管申请之前，对新产品或生产技术开发和实施的潜在担忧</w:t>
            </w:r>
          </w:p>
        </w:tc>
        <w:tc>
          <w:tcPr>
            <w:tcW w:w="1491" w:type="pct"/>
            <w:tcBorders>
              <w:left w:val="single" w:color="000000" w:sz="4" w:space="0"/>
            </w:tcBorders>
          </w:tcPr>
          <w:p w14:paraId="19AE97E7">
            <w:pPr>
              <w:overflowPunct w:val="0"/>
              <w:spacing w:before="36" w:beforeLines="15" w:line="276" w:lineRule="auto"/>
              <w:rPr>
                <w:rFonts w:cs="Times New Roman"/>
                <w:szCs w:val="24"/>
              </w:rPr>
            </w:pPr>
            <w:r>
              <w:rPr>
                <w:rFonts w:cs="宋体"/>
              </w:rPr>
              <w:t>新兴技术计划会议</w:t>
            </w:r>
            <w:r>
              <w:rPr>
                <w:rFonts w:cs="宋体"/>
                <w:vertAlign w:val="superscript"/>
              </w:rPr>
              <w:t>41</w:t>
            </w:r>
          </w:p>
        </w:tc>
      </w:tr>
    </w:tbl>
    <w:p w14:paraId="3D8DE613">
      <w:pPr>
        <w:pStyle w:val="23"/>
        <w:overflowPunct w:val="0"/>
        <w:rPr>
          <w:lang w:eastAsia="zh-CN"/>
        </w:rPr>
      </w:pPr>
      <w:bookmarkStart w:id="15" w:name="_bookmark67"/>
      <w:bookmarkEnd w:id="15"/>
    </w:p>
    <w:p w14:paraId="07C03B6D">
      <w:pPr>
        <w:pStyle w:val="23"/>
        <w:overflowPunct w:val="0"/>
        <w:rPr>
          <w:lang w:eastAsia="zh-CN"/>
        </w:rPr>
      </w:pPr>
    </w:p>
    <w:p w14:paraId="74B473E0">
      <w:pPr>
        <w:pStyle w:val="23"/>
        <w:overflowPunct w:val="0"/>
        <w:rPr>
          <w:lang w:eastAsia="zh-CN"/>
        </w:rPr>
      </w:pPr>
    </w:p>
    <w:p w14:paraId="49CE49D1">
      <w:pPr>
        <w:pStyle w:val="23"/>
        <w:overflowPunct w:val="0"/>
        <w:rPr>
          <w:lang w:eastAsia="zh-CN"/>
        </w:rPr>
      </w:pPr>
    </w:p>
    <w:p w14:paraId="09F2B111">
      <w:pPr>
        <w:pStyle w:val="23"/>
        <w:overflowPunct w:val="0"/>
        <w:rPr>
          <w:lang w:eastAsia="zh-CN"/>
        </w:rPr>
      </w:pPr>
    </w:p>
    <w:p w14:paraId="3E7FA05C">
      <w:pPr>
        <w:pStyle w:val="23"/>
        <w:overflowPunct w:val="0"/>
        <w:rPr>
          <w:lang w:eastAsia="zh-CN"/>
        </w:rPr>
      </w:pPr>
    </w:p>
    <w:p w14:paraId="4137B254">
      <w:pPr>
        <w:pStyle w:val="23"/>
        <w:overflowPunct w:val="0"/>
        <w:rPr>
          <w:lang w:eastAsia="zh-CN"/>
        </w:rPr>
      </w:pPr>
    </w:p>
    <w:p w14:paraId="10C1103E">
      <w:pPr>
        <w:pStyle w:val="23"/>
        <w:overflowPunct w:val="0"/>
        <w:rPr>
          <w:lang w:eastAsia="zh-CN"/>
        </w:rPr>
      </w:pPr>
    </w:p>
    <w:p w14:paraId="5998D830">
      <w:pPr>
        <w:pStyle w:val="23"/>
        <w:overflowPunct w:val="0"/>
        <w:rPr>
          <w:lang w:eastAsia="zh-CN"/>
        </w:rPr>
      </w:pPr>
    </w:p>
    <w:p w14:paraId="57AA9615">
      <w:pPr>
        <w:pStyle w:val="23"/>
        <w:overflowPunct w:val="0"/>
        <w:rPr>
          <w:lang w:eastAsia="zh-CN"/>
        </w:rPr>
      </w:pPr>
    </w:p>
    <w:p w14:paraId="464C8C01">
      <w:pPr>
        <w:pStyle w:val="23"/>
        <w:overflowPunct w:val="0"/>
        <w:rPr>
          <w:lang w:eastAsia="zh-CN"/>
        </w:rPr>
      </w:pPr>
    </w:p>
    <w:p w14:paraId="01A3DD2E">
      <w:pPr>
        <w:pStyle w:val="23"/>
        <w:overflowPunct w:val="0"/>
        <w:rPr>
          <w:lang w:eastAsia="zh-CN"/>
        </w:rPr>
      </w:pPr>
    </w:p>
    <w:p w14:paraId="0668E6E3">
      <w:pPr>
        <w:pStyle w:val="23"/>
        <w:overflowPunct w:val="0"/>
        <w:rPr>
          <w:lang w:eastAsia="zh-CN"/>
        </w:rPr>
      </w:pPr>
    </w:p>
    <w:p w14:paraId="016E3649">
      <w:pPr>
        <w:pStyle w:val="23"/>
        <w:overflowPunct w:val="0"/>
        <w:rPr>
          <w:lang w:eastAsia="zh-CN"/>
        </w:rPr>
      </w:pPr>
    </w:p>
    <w:p w14:paraId="7C2546BF">
      <w:pPr>
        <w:pStyle w:val="23"/>
        <w:overflowPunct w:val="0"/>
        <w:rPr>
          <w:lang w:eastAsia="zh-CN"/>
        </w:rPr>
      </w:pPr>
    </w:p>
    <w:p w14:paraId="3D17FF1B">
      <w:pPr>
        <w:pStyle w:val="23"/>
        <w:overflowPunct w:val="0"/>
        <w:rPr>
          <w:lang w:eastAsia="zh-CN"/>
        </w:rPr>
      </w:pPr>
    </w:p>
    <w:p w14:paraId="5CA28A25">
      <w:pPr>
        <w:pStyle w:val="23"/>
        <w:overflowPunct w:val="0"/>
        <w:rPr>
          <w:lang w:eastAsia="zh-CN"/>
        </w:rPr>
      </w:pPr>
    </w:p>
    <w:p w14:paraId="629A9763">
      <w:pPr>
        <w:pStyle w:val="23"/>
        <w:overflowPunct w:val="0"/>
        <w:rPr>
          <w:lang w:eastAsia="zh-CN"/>
        </w:rPr>
      </w:pPr>
    </w:p>
    <w:p w14:paraId="5FAEAB05">
      <w:pPr>
        <w:pStyle w:val="23"/>
        <w:overflowPunct w:val="0"/>
        <w:rPr>
          <w:lang w:eastAsia="zh-CN"/>
        </w:rPr>
      </w:pPr>
    </w:p>
    <w:p w14:paraId="4AE3DAE6">
      <w:pPr>
        <w:pStyle w:val="23"/>
        <w:overflowPunct w:val="0"/>
        <w:rPr>
          <w:lang w:eastAsia="zh-CN"/>
        </w:rPr>
      </w:pPr>
    </w:p>
    <w:p w14:paraId="22517B9A">
      <w:pPr>
        <w:pStyle w:val="23"/>
        <w:overflowPunct w:val="0"/>
        <w:rPr>
          <w:lang w:eastAsia="zh-CN"/>
        </w:rPr>
      </w:pPr>
    </w:p>
    <w:p w14:paraId="2AFF98D1">
      <w:pPr>
        <w:pStyle w:val="23"/>
        <w:overflowPunct w:val="0"/>
        <w:rPr>
          <w:lang w:eastAsia="zh-CN"/>
        </w:rPr>
      </w:pPr>
    </w:p>
    <w:p w14:paraId="2A96438C">
      <w:pPr>
        <w:pStyle w:val="23"/>
        <w:overflowPunct w:val="0"/>
        <w:rPr>
          <w:lang w:eastAsia="zh-CN"/>
        </w:rPr>
      </w:pPr>
    </w:p>
    <w:p w14:paraId="61AA1F7C">
      <w:pPr>
        <w:pStyle w:val="23"/>
        <w:overflowPunct w:val="0"/>
        <w:rPr>
          <w:lang w:eastAsia="zh-CN"/>
        </w:rPr>
      </w:pPr>
    </w:p>
    <w:p w14:paraId="5686B8C7">
      <w:pPr>
        <w:pStyle w:val="23"/>
        <w:overflowPunct w:val="0"/>
        <w:rPr>
          <w:lang w:eastAsia="zh-CN"/>
        </w:rPr>
      </w:pPr>
    </w:p>
    <w:p w14:paraId="096B973E">
      <w:pPr>
        <w:pStyle w:val="23"/>
        <w:overflowPunct w:val="0"/>
        <w:rPr>
          <w:lang w:eastAsia="zh-CN"/>
        </w:rPr>
      </w:pPr>
    </w:p>
    <w:p w14:paraId="7F95DD0B">
      <w:pPr>
        <w:pStyle w:val="23"/>
        <w:overflowPunct w:val="0"/>
        <w:rPr>
          <w:lang w:eastAsia="zh-CN"/>
        </w:rPr>
      </w:pPr>
    </w:p>
    <w:p w14:paraId="334DDFB0">
      <w:pPr>
        <w:pStyle w:val="23"/>
        <w:overflowPunct w:val="0"/>
        <w:rPr>
          <w:lang w:eastAsia="zh-CN"/>
        </w:rPr>
      </w:pPr>
    </w:p>
    <w:p w14:paraId="4D8B43F8">
      <w:pPr>
        <w:pStyle w:val="23"/>
        <w:overflowPunct w:val="0"/>
        <w:rPr>
          <w:lang w:eastAsia="zh-CN"/>
        </w:rPr>
      </w:pPr>
    </w:p>
    <w:p w14:paraId="72BB638C">
      <w:pPr>
        <w:pStyle w:val="23"/>
        <w:overflowPunct w:val="0"/>
        <w:rPr>
          <w:lang w:eastAsia="zh-CN"/>
        </w:rPr>
      </w:pPr>
    </w:p>
    <w:p w14:paraId="19E6E5A0">
      <w:pPr>
        <w:pStyle w:val="23"/>
        <w:overflowPunct w:val="0"/>
        <w:rPr>
          <w:lang w:eastAsia="zh-CN"/>
        </w:rPr>
      </w:pPr>
    </w:p>
    <w:p w14:paraId="4A03F707">
      <w:pPr>
        <w:pStyle w:val="23"/>
        <w:overflowPunct w:val="0"/>
        <w:rPr>
          <w:lang w:eastAsia="zh-CN"/>
        </w:rPr>
      </w:pPr>
    </w:p>
    <w:p w14:paraId="1528A176">
      <w:pPr>
        <w:pStyle w:val="23"/>
        <w:overflowPunct w:val="0"/>
        <w:rPr>
          <w:lang w:eastAsia="zh-CN"/>
        </w:rPr>
      </w:pPr>
      <w:r>
        <w:rPr>
          <w:rFonts w:cs="宋体"/>
        </w:rPr>
        <w:t>______________________</w:t>
      </w:r>
    </w:p>
    <w:p w14:paraId="52C6DE25">
      <w:pPr>
        <w:pStyle w:val="23"/>
        <w:overflowPunct w:val="0"/>
        <w:rPr>
          <w:sz w:val="18"/>
          <w:szCs w:val="18"/>
        </w:rPr>
      </w:pPr>
      <w:r>
        <w:rPr>
          <w:rFonts w:cs="宋体"/>
          <w:sz w:val="18"/>
          <w:szCs w:val="18"/>
          <w:vertAlign w:val="superscript"/>
        </w:rPr>
        <w:t xml:space="preserve">41 </w:t>
      </w:r>
      <w:r>
        <w:rPr>
          <w:rFonts w:cs="宋体"/>
          <w:sz w:val="18"/>
          <w:szCs w:val="18"/>
        </w:rPr>
        <w:tab/>
      </w:r>
      <w:r>
        <w:rPr>
          <w:rFonts w:cs="宋体"/>
          <w:sz w:val="18"/>
          <w:szCs w:val="18"/>
        </w:rPr>
        <w:t>参见CDER产品新兴技术计划：</w:t>
      </w:r>
      <w:r>
        <w:rPr>
          <w:rFonts w:cs="宋体"/>
          <w:color w:val="0000FF"/>
          <w:sz w:val="18"/>
          <w:szCs w:val="18"/>
          <w:u w:val="single"/>
        </w:rPr>
        <w:t>https://www.fda.gov/about-fda/center-drug-evaluation-</w:t>
      </w:r>
      <w:r>
        <w:rPr>
          <w:rFonts w:cs="宋体"/>
          <w:color w:val="0000FF"/>
          <w:sz w:val="18"/>
          <w:szCs w:val="18"/>
        </w:rPr>
        <w:t xml:space="preserve"> </w:t>
      </w:r>
      <w:r>
        <w:rPr>
          <w:rFonts w:cs="宋体"/>
          <w:color w:val="0000FF"/>
          <w:sz w:val="18"/>
          <w:szCs w:val="18"/>
          <w:u w:val="single"/>
        </w:rPr>
        <w:t>and-research/emerging-technology-program</w:t>
      </w:r>
      <w:r>
        <w:rPr>
          <w:rFonts w:cs="宋体"/>
          <w:sz w:val="18"/>
          <w:szCs w:val="18"/>
        </w:rPr>
        <w:t>。</w:t>
      </w:r>
    </w:p>
    <w:p w14:paraId="02D3115E">
      <w:pPr>
        <w:overflowPunct w:val="0"/>
        <w:spacing w:before="120" w:beforeLines="50" w:line="300" w:lineRule="auto"/>
        <w:jc w:val="center"/>
        <w:rPr>
          <w:rFonts w:hint="eastAsia" w:eastAsia="宋体"/>
          <w:lang w:eastAsia="zh-CN"/>
        </w:rPr>
      </w:pPr>
    </w:p>
    <w:p w14:paraId="73D2EAEF">
      <w:pPr>
        <w:overflowPunct w:val="0"/>
        <w:spacing w:before="120" w:beforeLines="50" w:line="300" w:lineRule="auto"/>
        <w:jc w:val="center"/>
        <w:rPr>
          <w:rFonts w:hint="eastAsia" w:eastAsia="宋体"/>
          <w:lang w:eastAsia="zh-CN"/>
        </w:rPr>
      </w:pPr>
    </w:p>
    <w:p w14:paraId="3A75C2F3">
      <w:pPr>
        <w:overflowPunct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7" w:h="16840"/>
      <w:pgMar w:top="1418" w:right="1418" w:bottom="1418" w:left="1418"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0DFE">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D29C8">
    <w:pPr>
      <w:pStyle w:val="9"/>
      <w:jc w:val="right"/>
      <w:rPr>
        <w:sz w:val="21"/>
      </w:rPr>
    </w:pPr>
    <w:r>
      <w:rPr>
        <w:rStyle w:val="16"/>
        <w:sz w:val="21"/>
      </w:rPr>
      <w:fldChar w:fldCharType="begin"/>
    </w:r>
    <w:r>
      <w:rPr>
        <w:rStyle w:val="16"/>
        <w:sz w:val="21"/>
      </w:rPr>
      <w:instrText xml:space="preserve"> PAGE </w:instrText>
    </w:r>
    <w:r>
      <w:rPr>
        <w:rStyle w:val="16"/>
        <w:sz w:val="21"/>
      </w:rPr>
      <w:fldChar w:fldCharType="separate"/>
    </w:r>
    <w:r>
      <w:rPr>
        <w:rStyle w:val="16"/>
        <w:sz w:val="21"/>
      </w:rPr>
      <w:t>18</w:t>
    </w:r>
    <w:r>
      <w:rPr>
        <w:rStyle w:val="16"/>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0DB0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D12B">
    <w:pPr>
      <w:spacing w:before="36" w:beforeLines="15" w:line="276" w:lineRule="auto"/>
      <w:jc w:val="center"/>
      <w:rPr>
        <w:i/>
        <w:lang w:eastAsia="zh-CN"/>
      </w:rPr>
    </w:pPr>
    <w:r>
      <w:rPr>
        <w:rFonts w:hint="eastAsia" w:cs="宋体"/>
        <w:i/>
        <w:lang w:eastAsia="zh-CN"/>
      </w:rPr>
      <w:t>所含建议不具约束力</w:t>
    </w:r>
  </w:p>
  <w:p w14:paraId="5872523C">
    <w:pPr>
      <w:spacing w:before="36" w:beforeLines="15" w:line="276" w:lineRule="auto"/>
      <w:jc w:val="center"/>
      <w:rPr>
        <w:i/>
        <w:lang w:eastAsia="zh-CN"/>
      </w:rPr>
    </w:pPr>
    <w:r>
      <w:rPr>
        <w:rFonts w:cs="宋体"/>
        <w:i/>
        <w:lang w:eastAsia="zh-CN"/>
      </w:rPr>
      <w:t>草案—非执行版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F0974"/>
    <w:multiLevelType w:val="multilevel"/>
    <w:tmpl w:val="017F097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16336A3D"/>
    <w:multiLevelType w:val="multilevel"/>
    <w:tmpl w:val="16336A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1D700108"/>
    <w:multiLevelType w:val="multilevel"/>
    <w:tmpl w:val="1D70010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DE34CDA"/>
    <w:multiLevelType w:val="multilevel"/>
    <w:tmpl w:val="1DE34CD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30DF0F34"/>
    <w:multiLevelType w:val="multilevel"/>
    <w:tmpl w:val="30DF0F3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48A702ED"/>
    <w:multiLevelType w:val="multilevel"/>
    <w:tmpl w:val="48A702E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078439C"/>
    <w:multiLevelType w:val="multilevel"/>
    <w:tmpl w:val="5078439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6D47793A"/>
    <w:multiLevelType w:val="multilevel"/>
    <w:tmpl w:val="6D47793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73210E5D"/>
    <w:multiLevelType w:val="multilevel"/>
    <w:tmpl w:val="73210E5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4"/>
  </w:num>
  <w:num w:numId="3">
    <w:abstractNumId w:val="6"/>
  </w:num>
  <w:num w:numId="4">
    <w:abstractNumId w:val="5"/>
  </w:num>
  <w:num w:numId="5">
    <w:abstractNumId w:val="7"/>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5F"/>
    <w:rsid w:val="00027F4D"/>
    <w:rsid w:val="0003432C"/>
    <w:rsid w:val="00060E20"/>
    <w:rsid w:val="000660CF"/>
    <w:rsid w:val="00102CF7"/>
    <w:rsid w:val="0017017D"/>
    <w:rsid w:val="001742BB"/>
    <w:rsid w:val="001A2671"/>
    <w:rsid w:val="001B4A3C"/>
    <w:rsid w:val="001B5115"/>
    <w:rsid w:val="001E6265"/>
    <w:rsid w:val="00244BA9"/>
    <w:rsid w:val="00292797"/>
    <w:rsid w:val="00296819"/>
    <w:rsid w:val="002B312B"/>
    <w:rsid w:val="002F3FA7"/>
    <w:rsid w:val="00314F13"/>
    <w:rsid w:val="00355166"/>
    <w:rsid w:val="00363E4A"/>
    <w:rsid w:val="003708CE"/>
    <w:rsid w:val="00375489"/>
    <w:rsid w:val="00390AA0"/>
    <w:rsid w:val="0041216B"/>
    <w:rsid w:val="00414FC2"/>
    <w:rsid w:val="00417572"/>
    <w:rsid w:val="00460B74"/>
    <w:rsid w:val="00462CF1"/>
    <w:rsid w:val="004A1874"/>
    <w:rsid w:val="004B17AD"/>
    <w:rsid w:val="004D4976"/>
    <w:rsid w:val="004F181F"/>
    <w:rsid w:val="00535D43"/>
    <w:rsid w:val="00562463"/>
    <w:rsid w:val="00590151"/>
    <w:rsid w:val="005C444E"/>
    <w:rsid w:val="005D1D34"/>
    <w:rsid w:val="005D669B"/>
    <w:rsid w:val="005F32A7"/>
    <w:rsid w:val="00605239"/>
    <w:rsid w:val="00636064"/>
    <w:rsid w:val="006401BB"/>
    <w:rsid w:val="00665A96"/>
    <w:rsid w:val="00682572"/>
    <w:rsid w:val="00684CA5"/>
    <w:rsid w:val="00694741"/>
    <w:rsid w:val="006C29A3"/>
    <w:rsid w:val="00706397"/>
    <w:rsid w:val="007220C9"/>
    <w:rsid w:val="007A3680"/>
    <w:rsid w:val="007B65B0"/>
    <w:rsid w:val="007B786A"/>
    <w:rsid w:val="007E6E1C"/>
    <w:rsid w:val="00835F26"/>
    <w:rsid w:val="008C65CF"/>
    <w:rsid w:val="008D2A5F"/>
    <w:rsid w:val="00982A07"/>
    <w:rsid w:val="009B3542"/>
    <w:rsid w:val="009C6573"/>
    <w:rsid w:val="009E6F39"/>
    <w:rsid w:val="009F0288"/>
    <w:rsid w:val="00A2207B"/>
    <w:rsid w:val="00A2626E"/>
    <w:rsid w:val="00A40E04"/>
    <w:rsid w:val="00A43466"/>
    <w:rsid w:val="00A542AC"/>
    <w:rsid w:val="00A7063F"/>
    <w:rsid w:val="00A82F43"/>
    <w:rsid w:val="00A87D4A"/>
    <w:rsid w:val="00AA0343"/>
    <w:rsid w:val="00AA1225"/>
    <w:rsid w:val="00AA3F59"/>
    <w:rsid w:val="00AC6FF0"/>
    <w:rsid w:val="00B34140"/>
    <w:rsid w:val="00B56333"/>
    <w:rsid w:val="00B76B82"/>
    <w:rsid w:val="00B9323F"/>
    <w:rsid w:val="00C615FB"/>
    <w:rsid w:val="00CB7362"/>
    <w:rsid w:val="00D05BE6"/>
    <w:rsid w:val="00D207C7"/>
    <w:rsid w:val="00D545E9"/>
    <w:rsid w:val="00D74489"/>
    <w:rsid w:val="00D80751"/>
    <w:rsid w:val="00D862D3"/>
    <w:rsid w:val="00DC3B3B"/>
    <w:rsid w:val="00DD453A"/>
    <w:rsid w:val="00E01A90"/>
    <w:rsid w:val="00E34CB0"/>
    <w:rsid w:val="00E476A8"/>
    <w:rsid w:val="00E54408"/>
    <w:rsid w:val="00E57743"/>
    <w:rsid w:val="00E84D47"/>
    <w:rsid w:val="00E900B5"/>
    <w:rsid w:val="00E95D31"/>
    <w:rsid w:val="00EA20BB"/>
    <w:rsid w:val="00EB03C3"/>
    <w:rsid w:val="00EF0032"/>
    <w:rsid w:val="00F26FEA"/>
    <w:rsid w:val="00F45EF5"/>
    <w:rsid w:val="00F561AA"/>
    <w:rsid w:val="00F64AC9"/>
    <w:rsid w:val="00F967D0"/>
    <w:rsid w:val="00F971FE"/>
    <w:rsid w:val="00FB3A42"/>
    <w:rsid w:val="00FB4A72"/>
    <w:rsid w:val="00FB5AA9"/>
    <w:rsid w:val="00FE3775"/>
    <w:rsid w:val="00FE5DBE"/>
    <w:rsid w:val="200B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1"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jc w:val="both"/>
    </w:pPr>
    <w:rPr>
      <w:rFonts w:ascii="Times New Roman" w:hAnsi="Times New Roman" w:eastAsia="宋体" w:cstheme="minorBidi"/>
      <w:sz w:val="21"/>
      <w:szCs w:val="21"/>
      <w:lang w:val="en-US" w:eastAsia="en-US" w:bidi="ar-SA"/>
    </w:rPr>
  </w:style>
  <w:style w:type="paragraph" w:styleId="2">
    <w:name w:val="heading 1"/>
    <w:basedOn w:val="1"/>
    <w:qFormat/>
    <w:uiPriority w:val="1"/>
    <w:pPr>
      <w:keepNext/>
      <w:spacing w:before="120" w:beforeLines="50" w:line="300" w:lineRule="auto"/>
      <w:outlineLvl w:val="0"/>
    </w:pPr>
    <w:rPr>
      <w:rFonts w:cs="Times New Roman"/>
      <w:b/>
      <w:sz w:val="32"/>
      <w:szCs w:val="24"/>
    </w:rPr>
  </w:style>
  <w:style w:type="paragraph" w:styleId="3">
    <w:name w:val="heading 2"/>
    <w:basedOn w:val="1"/>
    <w:qFormat/>
    <w:uiPriority w:val="1"/>
    <w:pPr>
      <w:keepNext/>
      <w:spacing w:before="120" w:beforeLines="50" w:line="300" w:lineRule="auto"/>
      <w:ind w:left="420" w:hanging="420"/>
      <w:outlineLvl w:val="1"/>
    </w:pPr>
    <w:rPr>
      <w:rFonts w:cs="Times New Roman"/>
      <w:b/>
      <w:sz w:val="28"/>
      <w:szCs w:val="24"/>
    </w:rPr>
  </w:style>
  <w:style w:type="paragraph" w:styleId="4">
    <w:name w:val="heading 3"/>
    <w:basedOn w:val="1"/>
    <w:qFormat/>
    <w:uiPriority w:val="1"/>
    <w:pPr>
      <w:ind w:left="999" w:right="597"/>
      <w:outlineLvl w:val="2"/>
    </w:pPr>
    <w:rPr>
      <w:b/>
      <w:bCs/>
      <w:sz w:val="32"/>
      <w:szCs w:val="32"/>
    </w:rPr>
  </w:style>
  <w:style w:type="paragraph" w:styleId="5">
    <w:name w:val="heading 4"/>
    <w:basedOn w:val="1"/>
    <w:qFormat/>
    <w:uiPriority w:val="1"/>
    <w:pPr>
      <w:ind w:left="1720" w:right="1593" w:hanging="1"/>
      <w:outlineLvl w:val="3"/>
    </w:pPr>
    <w:rPr>
      <w:b/>
      <w:bCs/>
      <w:sz w:val="28"/>
      <w:szCs w:val="28"/>
    </w:rPr>
  </w:style>
  <w:style w:type="paragraph" w:styleId="6">
    <w:name w:val="heading 5"/>
    <w:basedOn w:val="1"/>
    <w:link w:val="22"/>
    <w:qFormat/>
    <w:uiPriority w:val="1"/>
    <w:pPr>
      <w:ind w:left="1680" w:hanging="360"/>
      <w:outlineLvl w:val="4"/>
    </w:pPr>
    <w:rPr>
      <w:b/>
      <w:bCs/>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6"/>
    <w:semiHidden/>
    <w:unhideWhenUsed/>
    <w:qFormat/>
    <w:uiPriority w:val="99"/>
    <w:rPr>
      <w:sz w:val="20"/>
      <w:szCs w:val="20"/>
    </w:rPr>
  </w:style>
  <w:style w:type="paragraph" w:styleId="8">
    <w:name w:val="Balloon Text"/>
    <w:basedOn w:val="1"/>
    <w:link w:val="19"/>
    <w:semiHidden/>
    <w:unhideWhenUsed/>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left" w:pos="630"/>
        <w:tab w:val="right" w:leader="dot" w:pos="9061"/>
      </w:tabs>
      <w:spacing w:before="120" w:beforeLines="50" w:line="300" w:lineRule="auto"/>
    </w:pPr>
    <w:rPr>
      <w:sz w:val="24"/>
      <w:szCs w:val="24"/>
    </w:rPr>
  </w:style>
  <w:style w:type="paragraph" w:styleId="12">
    <w:name w:val="toc 2"/>
    <w:basedOn w:val="1"/>
    <w:next w:val="1"/>
    <w:autoRedefine/>
    <w:unhideWhenUsed/>
    <w:qFormat/>
    <w:uiPriority w:val="39"/>
    <w:pPr>
      <w:tabs>
        <w:tab w:val="left" w:pos="840"/>
        <w:tab w:val="right" w:leader="dot" w:pos="9061"/>
      </w:tabs>
      <w:spacing w:before="120" w:beforeLines="50" w:line="300" w:lineRule="auto"/>
      <w:ind w:left="420" w:leftChars="200"/>
    </w:pPr>
    <w:rPr>
      <w:sz w:val="24"/>
      <w:szCs w:val="24"/>
    </w:rPr>
  </w:style>
  <w:style w:type="paragraph" w:styleId="13">
    <w:name w:val="annotation subject"/>
    <w:basedOn w:val="7"/>
    <w:next w:val="7"/>
    <w:link w:val="27"/>
    <w:semiHidden/>
    <w:unhideWhenUsed/>
    <w:qFormat/>
    <w:uiPriority w:val="99"/>
    <w:rPr>
      <w:b/>
      <w:bCs/>
    </w:rPr>
  </w:style>
  <w:style w:type="character" w:styleId="16">
    <w:name w:val="page number"/>
    <w:basedOn w:val="15"/>
    <w:semiHidden/>
    <w:unhideWhenUsed/>
    <w:uiPriority w:val="99"/>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16"/>
      <w:szCs w:val="16"/>
    </w:rPr>
  </w:style>
  <w:style w:type="character" w:customStyle="1" w:styleId="19">
    <w:name w:val="批注框文本 Char"/>
    <w:basedOn w:val="15"/>
    <w:link w:val="8"/>
    <w:semiHidden/>
    <w:uiPriority w:val="99"/>
    <w:rPr>
      <w:sz w:val="18"/>
      <w:szCs w:val="18"/>
    </w:rPr>
  </w:style>
  <w:style w:type="character" w:customStyle="1" w:styleId="20">
    <w:name w:val="页眉 Char"/>
    <w:basedOn w:val="15"/>
    <w:link w:val="10"/>
    <w:qFormat/>
    <w:uiPriority w:val="99"/>
    <w:rPr>
      <w:sz w:val="18"/>
      <w:szCs w:val="18"/>
    </w:rPr>
  </w:style>
  <w:style w:type="character" w:customStyle="1" w:styleId="21">
    <w:name w:val="页脚 Char"/>
    <w:basedOn w:val="15"/>
    <w:link w:val="9"/>
    <w:uiPriority w:val="99"/>
    <w:rPr>
      <w:sz w:val="18"/>
      <w:szCs w:val="18"/>
    </w:rPr>
  </w:style>
  <w:style w:type="character" w:customStyle="1" w:styleId="22">
    <w:name w:val="标题 5 Char"/>
    <w:basedOn w:val="15"/>
    <w:link w:val="6"/>
    <w:qFormat/>
    <w:uiPriority w:val="1"/>
    <w:rPr>
      <w:rFonts w:ascii="Times New Roman" w:hAnsi="Times New Roman" w:eastAsia="Times New Roman" w:cs="Times New Roman"/>
      <w:b/>
      <w:bCs/>
      <w:sz w:val="24"/>
      <w:szCs w:val="24"/>
      <w:lang w:bidi="en-US"/>
    </w:rPr>
  </w:style>
  <w:style w:type="paragraph" w:customStyle="1" w:styleId="23">
    <w:name w:val="脚注新"/>
    <w:basedOn w:val="1"/>
    <w:next w:val="1"/>
    <w:qFormat/>
    <w:uiPriority w:val="1"/>
    <w:pPr>
      <w:spacing w:before="36" w:beforeLines="15" w:line="276" w:lineRule="auto"/>
    </w:pPr>
    <w:rPr>
      <w:rFonts w:cs="Times New Roman"/>
    </w:rPr>
  </w:style>
  <w:style w:type="paragraph" w:customStyle="1" w:styleId="24">
    <w:name w:val="Table Paragraph"/>
    <w:basedOn w:val="1"/>
    <w:qFormat/>
    <w:uiPriority w:val="1"/>
    <w:pPr>
      <w:spacing w:line="210" w:lineRule="exact"/>
      <w:ind w:left="-1"/>
      <w:jc w:val="left"/>
    </w:pPr>
    <w:rPr>
      <w:rFonts w:eastAsia="Times New Roman" w:cs="Times New Roman"/>
      <w:sz w:val="22"/>
      <w:szCs w:val="22"/>
    </w:rPr>
  </w:style>
  <w:style w:type="paragraph" w:styleId="25">
    <w:name w:val="List Paragraph"/>
    <w:basedOn w:val="1"/>
    <w:qFormat/>
    <w:uiPriority w:val="1"/>
    <w:pPr>
      <w:ind w:firstLine="420" w:firstLineChars="200"/>
    </w:pPr>
  </w:style>
  <w:style w:type="character" w:customStyle="1" w:styleId="26">
    <w:name w:val="批注文字 Char"/>
    <w:basedOn w:val="15"/>
    <w:link w:val="7"/>
    <w:semiHidden/>
    <w:qFormat/>
    <w:uiPriority w:val="99"/>
    <w:rPr>
      <w:sz w:val="20"/>
      <w:szCs w:val="20"/>
    </w:rPr>
  </w:style>
  <w:style w:type="character" w:customStyle="1" w:styleId="27">
    <w:name w:val="批注主题 Char"/>
    <w:basedOn w:val="26"/>
    <w:link w:val="13"/>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6715-1B70-485C-A7D3-572EBE0E5257}">
  <ds:schemaRefs/>
</ds:datastoreItem>
</file>

<file path=docProps/app.xml><?xml version="1.0" encoding="utf-8"?>
<Properties xmlns="http://schemas.openxmlformats.org/officeDocument/2006/extended-properties" xmlns:vt="http://schemas.openxmlformats.org/officeDocument/2006/docPropsVTypes">
  <Template>Normal</Template>
  <Pages>20</Pages>
  <Words>10671</Words>
  <Characters>13342</Characters>
  <Lines>118</Lines>
  <Paragraphs>33</Paragraphs>
  <TotalTime>72</TotalTime>
  <ScaleCrop>false</ScaleCrop>
  <LinksUpToDate>false</LinksUpToDate>
  <CharactersWithSpaces>13567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2022-03-04T09:57:00Z</dcterms:created>
  <dc:creator>Wen, Mary</dc:creator>
  <cp:lastModifiedBy>太极箫客</cp:lastModifiedBy>
  <dcterms:modified xsi:type="dcterms:W3CDTF">2025-08-14T06:16:39Z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MSIP_Label_ff6dbec8-95a8-4638-9f5f-bd076536645c_Enabled">
    <vt:lpwstr>true</vt:lpwstr>
  </property>
  <property fmtid="{D5CDD505-2E9C-101B-9397-08002B2CF9AE}" pid="6" name="MSIP_Label_ff6dbec8-95a8-4638-9f5f-bd076536645c_SetDate">
    <vt:lpwstr>2022-03-04T07:17:44Z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427c734d-f026-4880-8a2a-69be4411c006</vt:lpwstr>
  </property>
  <property fmtid="{D5CDD505-2E9C-101B-9397-08002B2CF9AE}" pid="11" name="MSIP_Label_ff6dbec8-95a8-4638-9f5f-bd076536645c_ContentBits">
    <vt:lpwstr>0</vt:lpwstr>
  </property>
  <property fmtid="{D5CDD505-2E9C-101B-9397-08002B2CF9AE}" pid="12" name="KSOTemplateDocerSaveRecord">
    <vt:lpwstr>eyJoZGlkIjoiMDJiMzI3ODBiNTFmMWRjNDUyMjM1ZmZjODY5NDc2MWMiLCJ1c2VySWQiOiI0NTQ4Nzg1NzAifQ==</vt:lpwstr>
  </property>
  <property fmtid="{D5CDD505-2E9C-101B-9397-08002B2CF9AE}" pid="13" name="KSOProductBuildVer">
    <vt:lpwstr>2052-12.1.0.21915</vt:lpwstr>
  </property>
  <property fmtid="{D5CDD505-2E9C-101B-9397-08002B2CF9AE}" pid="14" name="ICV">
    <vt:lpwstr>40B79FF92EE5406A8675B621270FEE0E_12</vt:lpwstr>
  </property>
</Properties>
</file>