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06710">
      <w:pPr>
        <w:snapToGrid w:val="0"/>
        <w:spacing w:after="240" w:afterLines="100" w:line="300" w:lineRule="auto"/>
        <w:jc w:val="both"/>
        <w:rPr>
          <w:rFonts w:hint="eastAsia" w:ascii="Arial" w:hAnsi="Arial" w:eastAsia="宋体" w:cs="Arial"/>
          <w:b/>
          <w:sz w:val="64"/>
        </w:rPr>
      </w:pPr>
      <w:bookmarkStart w:id="0" w:name="_GoBack"/>
      <w:bookmarkEnd w:id="0"/>
    </w:p>
    <w:p w14:paraId="4A6FA121">
      <w:pPr>
        <w:snapToGrid w:val="0"/>
        <w:spacing w:after="240" w:afterLines="100" w:line="300" w:lineRule="auto"/>
        <w:jc w:val="both"/>
        <w:rPr>
          <w:rFonts w:ascii="Arial" w:hAnsi="Arial" w:eastAsia="宋体" w:cs="Arial"/>
          <w:b/>
          <w:sz w:val="64"/>
        </w:rPr>
      </w:pPr>
    </w:p>
    <w:p w14:paraId="71DF318F">
      <w:pPr>
        <w:snapToGrid w:val="0"/>
        <w:spacing w:after="240" w:afterLines="100" w:line="300" w:lineRule="auto"/>
        <w:jc w:val="both"/>
        <w:rPr>
          <w:rFonts w:ascii="Arial" w:hAnsi="Arial" w:eastAsia="宋体" w:cs="Arial"/>
          <w:sz w:val="52"/>
          <w:szCs w:val="52"/>
        </w:rPr>
      </w:pPr>
      <w:r>
        <w:rPr>
          <w:rFonts w:ascii="Arial" w:hAnsi="Arial" w:eastAsia="宋体" w:cs="Arial"/>
          <w:b/>
          <w:sz w:val="52"/>
          <w:szCs w:val="52"/>
        </w:rPr>
        <w:t>FDA</w:t>
      </w:r>
      <w:r>
        <w:rPr>
          <w:rFonts w:hint="eastAsia" w:ascii="Arial" w:hAnsi="Arial" w:eastAsia="宋体" w:cs="Arial"/>
          <w:b/>
          <w:sz w:val="52"/>
          <w:szCs w:val="52"/>
        </w:rPr>
        <w:t>在</w:t>
      </w:r>
      <w:r>
        <w:rPr>
          <w:rFonts w:ascii="Arial" w:hAnsi="Arial" w:eastAsia="宋体" w:cs="Arial"/>
          <w:b/>
          <w:sz w:val="52"/>
          <w:szCs w:val="52"/>
        </w:rPr>
        <w:t>2000年日期问题方面对医疗器械制造商的要求指南</w:t>
      </w:r>
    </w:p>
    <w:p w14:paraId="2DB7A2C2">
      <w:pPr>
        <w:pStyle w:val="3"/>
        <w:snapToGrid w:val="0"/>
        <w:spacing w:after="240" w:afterLines="100" w:line="300" w:lineRule="auto"/>
        <w:ind w:left="0"/>
        <w:jc w:val="center"/>
        <w:rPr>
          <w:rFonts w:cs="Arial"/>
          <w:sz w:val="24"/>
          <w:szCs w:val="24"/>
        </w:rPr>
      </w:pPr>
      <w:r>
        <w:rPr>
          <w:rFonts w:cs="Arial"/>
          <w:sz w:val="24"/>
          <w:szCs w:val="24"/>
        </w:rPr>
        <w:t>文档发布日期：1998年5月15日</w:t>
      </w:r>
    </w:p>
    <w:p w14:paraId="423A8A4A">
      <w:pPr>
        <w:pStyle w:val="2"/>
        <w:snapToGrid w:val="0"/>
        <w:spacing w:after="240" w:afterLines="100" w:line="300" w:lineRule="auto"/>
        <w:ind w:left="0"/>
        <w:jc w:val="right"/>
        <w:rPr>
          <w:rFonts w:cs="Arial"/>
          <w:b w:val="0"/>
          <w:bCs w:val="0"/>
          <w:sz w:val="24"/>
          <w:szCs w:val="24"/>
        </w:rPr>
      </w:pPr>
      <w:r>
        <w:rPr>
          <w:rFonts w:cs="Arial"/>
          <w:sz w:val="24"/>
          <w:szCs w:val="24"/>
        </w:rPr>
        <w:drawing>
          <wp:anchor distT="0" distB="0" distL="114300" distR="114300" simplePos="0" relativeHeight="251659264" behindDoc="0" locked="0" layoutInCell="1" allowOverlap="1">
            <wp:simplePos x="0" y="0"/>
            <wp:positionH relativeFrom="page">
              <wp:posOffset>891540</wp:posOffset>
            </wp:positionH>
            <wp:positionV relativeFrom="paragraph">
              <wp:posOffset>39370</wp:posOffset>
            </wp:positionV>
            <wp:extent cx="986155" cy="1016635"/>
            <wp:effectExtent l="0" t="0" r="4445" b="0"/>
            <wp:wrapNone/>
            <wp:docPr id="2371" name="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 name="64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86155" cy="1016635"/>
                    </a:xfrm>
                    <a:prstGeom prst="rect">
                      <a:avLst/>
                    </a:prstGeom>
                    <a:noFill/>
                  </pic:spPr>
                </pic:pic>
              </a:graphicData>
            </a:graphic>
          </wp:anchor>
        </w:drawing>
      </w:r>
      <w:r>
        <w:rPr>
          <w:rFonts w:cs="Arial"/>
          <w:sz w:val="24"/>
          <w:szCs w:val="24"/>
        </w:rPr>
        <w:t>美国卫生和人类服务署</w:t>
      </w:r>
    </w:p>
    <w:p w14:paraId="7B34EBE1">
      <w:pPr>
        <w:snapToGrid w:val="0"/>
        <w:spacing w:after="240" w:afterLines="100" w:line="300" w:lineRule="auto"/>
        <w:jc w:val="right"/>
        <w:rPr>
          <w:rFonts w:ascii="Arial" w:hAnsi="Arial" w:eastAsia="宋体" w:cs="Arial"/>
          <w:sz w:val="24"/>
          <w:szCs w:val="24"/>
        </w:rPr>
      </w:pPr>
      <w:r>
        <w:rPr>
          <w:rFonts w:ascii="Arial" w:hAnsi="Arial" w:eastAsia="宋体" w:cs="Arial"/>
          <w:b/>
          <w:sz w:val="24"/>
          <w:szCs w:val="24"/>
        </w:rPr>
        <w:t>食品药品监督管理局</w:t>
      </w:r>
      <w:r>
        <w:rPr>
          <w:rFonts w:ascii="Arial" w:hAnsi="Arial" w:eastAsia="宋体" w:cs="Arial"/>
          <w:b/>
          <w:sz w:val="24"/>
          <w:szCs w:val="24"/>
        </w:rPr>
        <w:br w:type="textWrapping"/>
      </w:r>
      <w:r>
        <w:rPr>
          <w:rFonts w:ascii="Arial" w:hAnsi="Arial" w:eastAsia="宋体" w:cs="Arial"/>
          <w:b/>
          <w:sz w:val="24"/>
          <w:szCs w:val="24"/>
        </w:rPr>
        <w:t>器械与放射卫生中心</w:t>
      </w:r>
      <w:r>
        <w:rPr>
          <w:rFonts w:ascii="Arial" w:hAnsi="Arial" w:eastAsia="宋体" w:cs="Arial"/>
          <w:b/>
          <w:sz w:val="24"/>
          <w:szCs w:val="24"/>
        </w:rPr>
        <w:br w:type="textWrapping"/>
      </w:r>
      <w:r>
        <w:rPr>
          <w:rFonts w:ascii="Arial" w:hAnsi="Arial" w:eastAsia="宋体" w:cs="Arial"/>
          <w:b/>
          <w:sz w:val="24"/>
          <w:szCs w:val="24"/>
        </w:rPr>
        <w:t>电子与计算机科学科</w:t>
      </w:r>
      <w:r>
        <w:rPr>
          <w:rFonts w:ascii="Arial" w:hAnsi="Arial" w:eastAsia="宋体" w:cs="Arial"/>
          <w:b/>
          <w:sz w:val="24"/>
          <w:szCs w:val="24"/>
        </w:rPr>
        <w:br w:type="textWrapping"/>
      </w:r>
      <w:r>
        <w:rPr>
          <w:rFonts w:ascii="Arial" w:hAnsi="Arial" w:eastAsia="宋体" w:cs="Arial"/>
          <w:b/>
          <w:sz w:val="24"/>
          <w:szCs w:val="24"/>
        </w:rPr>
        <w:t>科学与技术办公室</w:t>
      </w:r>
    </w:p>
    <w:p w14:paraId="138A6D80">
      <w:pPr>
        <w:pBdr>
          <w:bottom w:val="single" w:color="7F7F7F" w:themeColor="background1" w:themeShade="80" w:sz="12" w:space="1"/>
        </w:pBdr>
        <w:snapToGrid w:val="0"/>
        <w:spacing w:after="240" w:afterLines="100" w:line="300" w:lineRule="auto"/>
        <w:jc w:val="both"/>
        <w:rPr>
          <w:rFonts w:ascii="Arial" w:hAnsi="Arial" w:eastAsia="宋体" w:cs="Arial"/>
          <w:b/>
          <w:bCs/>
          <w:sz w:val="24"/>
          <w:szCs w:val="24"/>
        </w:rPr>
      </w:pPr>
    </w:p>
    <w:p w14:paraId="61810C4C">
      <w:pPr>
        <w:snapToGrid w:val="0"/>
        <w:spacing w:after="240" w:afterLines="100" w:line="300" w:lineRule="auto"/>
        <w:jc w:val="center"/>
        <w:rPr>
          <w:rFonts w:ascii="Arial" w:hAnsi="Arial" w:eastAsia="宋体" w:cs="Arial"/>
          <w:sz w:val="28"/>
          <w:szCs w:val="28"/>
        </w:rPr>
      </w:pPr>
      <w:r>
        <w:rPr>
          <w:rFonts w:ascii="Arial" w:hAnsi="Arial" w:eastAsia="宋体" w:cs="Arial"/>
          <w:b/>
          <w:sz w:val="28"/>
          <w:szCs w:val="28"/>
        </w:rPr>
        <w:t>引言</w:t>
      </w:r>
    </w:p>
    <w:p w14:paraId="36EA6E74">
      <w:pPr>
        <w:snapToGrid w:val="0"/>
        <w:spacing w:after="240" w:afterLines="100" w:line="300" w:lineRule="auto"/>
        <w:jc w:val="both"/>
        <w:rPr>
          <w:rFonts w:ascii="Arial" w:hAnsi="Arial" w:eastAsia="宋体" w:cs="Arial"/>
          <w:sz w:val="28"/>
          <w:szCs w:val="28"/>
        </w:rPr>
      </w:pPr>
      <w:r>
        <w:rPr>
          <w:rFonts w:ascii="Arial" w:hAnsi="Arial" w:eastAsia="宋体" w:cs="Arial"/>
          <w:b/>
          <w:sz w:val="28"/>
          <w:szCs w:val="28"/>
        </w:rPr>
        <w:t>公共评论</w:t>
      </w:r>
    </w:p>
    <w:p w14:paraId="3ABCFB4D">
      <w:pPr>
        <w:pStyle w:val="3"/>
        <w:snapToGrid w:val="0"/>
        <w:spacing w:after="240" w:afterLines="100" w:line="300" w:lineRule="auto"/>
        <w:ind w:left="0"/>
        <w:jc w:val="both"/>
        <w:rPr>
          <w:rFonts w:cs="Arial"/>
          <w:sz w:val="24"/>
          <w:szCs w:val="24"/>
        </w:rPr>
      </w:pPr>
      <w:r>
        <w:rPr>
          <w:rFonts w:cs="Arial"/>
          <w:sz w:val="24"/>
          <w:szCs w:val="24"/>
        </w:rPr>
        <w:t>在联邦公告发布公告宣布本指南可用之后90天内，针对本文档的评论和建议应提交至食品药品监督管理局，人力资源和管理事务办公室，管理制度和政策处，案卷管理科，该公告附带的案卷编号（12420 Parklawn Drive（HFA-305），Rockville，MD 20857，Room 1-23）。决定是否需要修正现行指南时将考虑此类评论。</w:t>
      </w:r>
    </w:p>
    <w:p w14:paraId="593775B3">
      <w:pPr>
        <w:pStyle w:val="3"/>
        <w:snapToGrid w:val="0"/>
        <w:spacing w:after="240" w:afterLines="100" w:line="300" w:lineRule="auto"/>
        <w:ind w:left="0"/>
        <w:jc w:val="both"/>
        <w:rPr>
          <w:rFonts w:cs="Arial"/>
          <w:sz w:val="24"/>
          <w:szCs w:val="24"/>
        </w:rPr>
      </w:pPr>
      <w:r>
        <w:rPr>
          <w:rFonts w:cs="Arial"/>
          <w:sz w:val="24"/>
          <w:szCs w:val="24"/>
        </w:rPr>
        <w:t>为便于本机构收集评论和建议，在联邦公告发布公告宣布本指南可用后90天之后，评论和建议可随时提交至器械与放射卫生中心，科学与技术办公室，电子与计算机科学处（HFZ-140）（9200 Corporate Boulevard，Rockville，Maryland 20850）。再次进行文件修订或更新之前，本机构可能不会针对评论采取行动。针对使用和解释本指南的问题，请联系食品药品监督管理局，器械与放射卫生中心，科学与技术办公室（HFZ-140），Thomas B. Shope博士（9200 Corporate Boulevard，Rockville，Maryland，20850，301-443-3314，extension 32）。</w:t>
      </w:r>
    </w:p>
    <w:p w14:paraId="70BF2D59">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5AB43332">
      <w:pPr>
        <w:pStyle w:val="2"/>
        <w:snapToGrid w:val="0"/>
        <w:spacing w:after="240" w:afterLines="100" w:line="300" w:lineRule="auto"/>
        <w:ind w:left="0"/>
        <w:jc w:val="both"/>
        <w:rPr>
          <w:rFonts w:cs="Arial"/>
          <w:b w:val="0"/>
          <w:bCs w:val="0"/>
          <w:sz w:val="28"/>
          <w:szCs w:val="28"/>
        </w:rPr>
      </w:pPr>
      <w:r>
        <w:rPr>
          <w:rFonts w:cs="Arial"/>
          <w:sz w:val="28"/>
          <w:szCs w:val="28"/>
        </w:rPr>
        <w:t>其他副本</w:t>
      </w:r>
    </w:p>
    <w:p w14:paraId="5B793473">
      <w:pPr>
        <w:snapToGrid w:val="0"/>
        <w:spacing w:after="240" w:afterLines="100" w:line="300" w:lineRule="auto"/>
        <w:jc w:val="both"/>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互联网提供其他副本。</w:t>
      </w:r>
      <w:r>
        <w:fldChar w:fldCharType="begin"/>
      </w:r>
      <w:r>
        <w:instrText xml:space="preserve"> HYPERLINK "mailto:您还可以向CDRH-Guidance@fda.hhs.gov发送电子邮件请求，以接收本指南副本。" </w:instrText>
      </w:r>
      <w:r>
        <w:fldChar w:fldCharType="separate"/>
      </w:r>
      <w:r>
        <w:rPr>
          <w:rStyle w:val="10"/>
          <w:rFonts w:ascii="Arial" w:hAnsi="Arial" w:eastAsia="宋体" w:cs="Arial"/>
          <w:color w:val="000000" w:themeColor="text1"/>
          <w:sz w:val="24"/>
          <w:szCs w:val="24"/>
          <w:u w:val="none"/>
          <w14:textFill>
            <w14:solidFill>
              <w14:schemeClr w14:val="tx1"/>
            </w14:solidFill>
          </w14:textFill>
        </w:rPr>
        <w:t>您还可以向</w:t>
      </w:r>
      <w:r>
        <w:rPr>
          <w:rStyle w:val="10"/>
          <w:rFonts w:ascii="Arial" w:hAnsi="Arial" w:eastAsia="宋体" w:cs="Arial"/>
          <w:color w:val="000000" w:themeColor="text1"/>
          <w:sz w:val="24"/>
          <w:szCs w:val="24"/>
          <w:u w:val="dottedHeavy"/>
          <w14:textFill>
            <w14:solidFill>
              <w14:schemeClr w14:val="tx1"/>
            </w14:solidFill>
          </w14:textFill>
        </w:rPr>
        <w:t>CDRH-Guidance@fda.hhs.gov</w:t>
      </w:r>
      <w:r>
        <w:rPr>
          <w:rStyle w:val="10"/>
          <w:rFonts w:ascii="Arial" w:hAnsi="Arial" w:eastAsia="宋体" w:cs="Arial"/>
          <w:color w:val="000000" w:themeColor="text1"/>
          <w:sz w:val="24"/>
          <w:szCs w:val="24"/>
          <w:u w:val="none"/>
          <w14:textFill>
            <w14:solidFill>
              <w14:schemeClr w14:val="tx1"/>
            </w14:solidFill>
          </w14:textFill>
        </w:rPr>
        <w:t>发送电子邮件请求，以接收本指南副本。</w:t>
      </w:r>
      <w:r>
        <w:rPr>
          <w:rStyle w:val="10"/>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请使用文档编号2000来注明您所要求获得的指南。</w:t>
      </w:r>
    </w:p>
    <w:p w14:paraId="4F815244">
      <w:pPr>
        <w:pBdr>
          <w:bottom w:val="single" w:color="7F7F7F" w:themeColor="background1" w:themeShade="80" w:sz="12" w:space="1"/>
        </w:pBdr>
        <w:snapToGrid w:val="0"/>
        <w:spacing w:after="240" w:afterLines="100" w:line="300" w:lineRule="auto"/>
        <w:jc w:val="both"/>
        <w:rPr>
          <w:rFonts w:ascii="Arial" w:hAnsi="Arial" w:eastAsia="宋体" w:cs="Arial"/>
          <w:sz w:val="24"/>
          <w:szCs w:val="24"/>
        </w:rPr>
      </w:pPr>
    </w:p>
    <w:p w14:paraId="7938B2B7">
      <w:pPr>
        <w:snapToGrid w:val="0"/>
        <w:spacing w:after="240" w:afterLines="100" w:line="300" w:lineRule="auto"/>
        <w:jc w:val="both"/>
        <w:rPr>
          <w:rFonts w:ascii="Arial" w:hAnsi="Arial" w:eastAsia="宋体" w:cs="Arial"/>
          <w:b/>
          <w:sz w:val="24"/>
          <w:szCs w:val="24"/>
        </w:rPr>
      </w:pPr>
    </w:p>
    <w:p w14:paraId="3CD05A2F">
      <w:pPr>
        <w:snapToGrid w:val="0"/>
        <w:spacing w:after="240" w:afterLines="100" w:line="300" w:lineRule="auto"/>
        <w:jc w:val="center"/>
        <w:rPr>
          <w:rFonts w:ascii="Arial" w:hAnsi="Arial" w:eastAsia="宋体" w:cs="Arial"/>
          <w:sz w:val="36"/>
          <w:szCs w:val="36"/>
        </w:rPr>
      </w:pPr>
      <w:r>
        <w:rPr>
          <w:rFonts w:ascii="Arial" w:hAnsi="Arial" w:eastAsia="宋体" w:cs="Arial"/>
          <w:b/>
          <w:sz w:val="36"/>
          <w:szCs w:val="36"/>
        </w:rPr>
        <w:t>FDA</w:t>
      </w:r>
      <w:r>
        <w:rPr>
          <w:rFonts w:hint="eastAsia" w:ascii="Arial" w:hAnsi="Arial" w:eastAsia="宋体" w:cs="Arial"/>
          <w:b/>
          <w:sz w:val="36"/>
          <w:szCs w:val="36"/>
        </w:rPr>
        <w:t>在</w:t>
      </w:r>
      <w:r>
        <w:rPr>
          <w:rFonts w:ascii="Arial" w:hAnsi="Arial" w:eastAsia="宋体" w:cs="Arial"/>
          <w:b/>
          <w:sz w:val="36"/>
          <w:szCs w:val="36"/>
        </w:rPr>
        <w:t>2000年日期问题方面对医疗器械制造商的要求指南</w:t>
      </w:r>
      <w:r>
        <w:rPr>
          <w:rFonts w:ascii="Arial" w:hAnsi="Arial" w:eastAsia="宋体" w:cs="Arial"/>
          <w:b/>
          <w:sz w:val="36"/>
          <w:szCs w:val="36"/>
          <w:u w:val="dottedHeavy" w:color="000000"/>
          <w:vertAlign w:val="superscript"/>
        </w:rPr>
        <w:t>1</w:t>
      </w:r>
    </w:p>
    <w:p w14:paraId="0C4246C3">
      <w:pPr>
        <w:pStyle w:val="2"/>
        <w:numPr>
          <w:ilvl w:val="0"/>
          <w:numId w:val="1"/>
        </w:numPr>
        <w:tabs>
          <w:tab w:val="left" w:pos="313"/>
        </w:tabs>
        <w:snapToGrid w:val="0"/>
        <w:spacing w:after="240" w:afterLines="100" w:line="300" w:lineRule="auto"/>
        <w:ind w:left="0" w:firstLine="0"/>
        <w:jc w:val="both"/>
        <w:rPr>
          <w:rFonts w:cs="Arial"/>
          <w:b w:val="0"/>
          <w:bCs w:val="0"/>
          <w:sz w:val="28"/>
          <w:szCs w:val="28"/>
        </w:rPr>
      </w:pPr>
      <w:r>
        <w:rPr>
          <w:rFonts w:cs="Arial"/>
          <w:sz w:val="28"/>
          <w:szCs w:val="28"/>
        </w:rPr>
        <w:t>背景</w:t>
      </w:r>
    </w:p>
    <w:p w14:paraId="4ED0FC31">
      <w:pPr>
        <w:pStyle w:val="3"/>
        <w:snapToGrid w:val="0"/>
        <w:spacing w:after="240" w:afterLines="100" w:line="300" w:lineRule="auto"/>
        <w:ind w:left="0"/>
        <w:jc w:val="both"/>
        <w:rPr>
          <w:rFonts w:cs="Arial"/>
          <w:sz w:val="24"/>
          <w:szCs w:val="24"/>
        </w:rPr>
      </w:pPr>
      <w:r>
        <w:rPr>
          <w:rFonts w:cs="Arial"/>
          <w:sz w:val="24"/>
          <w:szCs w:val="24"/>
        </w:rPr>
        <w:t>许多医疗器械的设计会采用或并入计算机系统或微处理器控制。由于使用两个数字来表示年份，一些计算机系统和软件应用（包括嵌入式微处理器）可能无法处理某些日期或日期相关数据。此问题也称为</w:t>
      </w:r>
      <w:r>
        <w:rPr>
          <w:rFonts w:ascii="宋体" w:hAnsi="宋体" w:cs="Arial"/>
          <w:sz w:val="24"/>
          <w:szCs w:val="24"/>
        </w:rPr>
        <w:t>“</w:t>
      </w:r>
      <w:r>
        <w:rPr>
          <w:rFonts w:cs="Arial"/>
          <w:sz w:val="24"/>
          <w:szCs w:val="24"/>
        </w:rPr>
        <w:t>2000年日期问题</w:t>
      </w:r>
      <w:r>
        <w:rPr>
          <w:rFonts w:ascii="宋体" w:hAnsi="宋体" w:cs="Arial"/>
          <w:sz w:val="24"/>
          <w:szCs w:val="24"/>
        </w:rPr>
        <w:t>”</w:t>
      </w:r>
      <w:r>
        <w:rPr>
          <w:rFonts w:cs="Arial"/>
          <w:sz w:val="24"/>
          <w:szCs w:val="24"/>
        </w:rPr>
        <w:t>或</w:t>
      </w:r>
      <w:r>
        <w:rPr>
          <w:rFonts w:ascii="宋体" w:hAnsi="宋体" w:cs="Arial"/>
          <w:sz w:val="24"/>
          <w:szCs w:val="24"/>
        </w:rPr>
        <w:t>“</w:t>
      </w:r>
      <w:r>
        <w:rPr>
          <w:rFonts w:cs="Arial"/>
          <w:sz w:val="24"/>
          <w:szCs w:val="24"/>
        </w:rPr>
        <w:t>2000年问题</w:t>
      </w:r>
      <w:r>
        <w:rPr>
          <w:rFonts w:ascii="宋体" w:hAnsi="宋体" w:cs="Arial"/>
          <w:sz w:val="24"/>
          <w:szCs w:val="24"/>
        </w:rPr>
        <w:t>”</w:t>
      </w:r>
      <w:r>
        <w:rPr>
          <w:rFonts w:cs="Arial"/>
          <w:sz w:val="24"/>
          <w:szCs w:val="24"/>
        </w:rPr>
        <w:t>，且其并非医疗器械所特有。此类问题可能会在2000年1月1日或之后显现，此时，2000年也被表示为</w:t>
      </w:r>
      <w:r>
        <w:rPr>
          <w:rFonts w:ascii="宋体" w:hAnsi="宋体" w:cs="Arial"/>
          <w:sz w:val="24"/>
          <w:szCs w:val="24"/>
        </w:rPr>
        <w:t>“</w:t>
      </w:r>
      <w:r>
        <w:rPr>
          <w:rFonts w:cs="Arial"/>
          <w:sz w:val="24"/>
          <w:szCs w:val="24"/>
        </w:rPr>
        <w:t>00</w:t>
      </w:r>
      <w:r>
        <w:rPr>
          <w:rFonts w:ascii="宋体" w:hAnsi="宋体" w:cs="Arial"/>
          <w:sz w:val="24"/>
          <w:szCs w:val="24"/>
        </w:rPr>
        <w:t>”</w:t>
      </w:r>
      <w:r>
        <w:rPr>
          <w:rFonts w:cs="Arial"/>
          <w:sz w:val="24"/>
          <w:szCs w:val="24"/>
        </w:rPr>
        <w:t>，使得计算机系统或软件无法区分1900年与2000年。</w:t>
      </w:r>
    </w:p>
    <w:p w14:paraId="48D22820">
      <w:pPr>
        <w:pStyle w:val="3"/>
        <w:snapToGrid w:val="0"/>
        <w:spacing w:after="240" w:afterLines="100" w:line="300" w:lineRule="auto"/>
        <w:ind w:left="0"/>
        <w:jc w:val="both"/>
        <w:rPr>
          <w:rFonts w:cs="Arial"/>
          <w:sz w:val="24"/>
          <w:szCs w:val="24"/>
        </w:rPr>
      </w:pPr>
      <w:r>
        <w:rPr>
          <w:rFonts w:cs="Arial"/>
          <w:sz w:val="24"/>
          <w:szCs w:val="24"/>
        </w:rPr>
        <w:t>还可能出现其他日期相关问题，例如某些特定计算机无法准确处理闰年（例如2000年2月29日）或某些日期的使用（如1999年9月9日[9/9/99]）。除了对某些医疗器械的功能造成不利影响外，两位数的年份格式还会影响器械设计、生产或质量控制活动中的计算机控制过程或器械性能评价研究。</w:t>
      </w:r>
    </w:p>
    <w:p w14:paraId="48CE1F99">
      <w:pPr>
        <w:pStyle w:val="3"/>
        <w:snapToGrid w:val="0"/>
        <w:spacing w:after="240" w:afterLines="100" w:line="300" w:lineRule="auto"/>
        <w:ind w:left="0"/>
        <w:jc w:val="both"/>
        <w:rPr>
          <w:rFonts w:cs="Arial"/>
          <w:sz w:val="24"/>
          <w:szCs w:val="24"/>
        </w:rPr>
      </w:pPr>
      <w:r>
        <w:rPr>
          <w:rFonts w:cs="Arial"/>
          <w:sz w:val="24"/>
          <w:szCs w:val="24"/>
        </w:rPr>
        <w:t>1996年间，FDA审查了因2000年日期问题而可能引发问题或潜在患者风险的器械类型。基于FDA对所有器械类型的功能和设计的了解，上述审查确定，大部分器械的功能不会受日期使用影响，或日期表示错误不会对患者安全产生不利影响。FDA专家通常熟知各种器械的功能和设计；但是，只有制造商才了解特定器械设计的详细信息，而这正是有效评价潜在患者风险所需要的。</w:t>
      </w:r>
    </w:p>
    <w:p w14:paraId="5ED37F53">
      <w:pPr>
        <w:pStyle w:val="2"/>
        <w:numPr>
          <w:ilvl w:val="0"/>
          <w:numId w:val="1"/>
        </w:numPr>
        <w:tabs>
          <w:tab w:val="left" w:pos="313"/>
        </w:tabs>
        <w:snapToGrid w:val="0"/>
        <w:spacing w:after="240" w:afterLines="100" w:line="300" w:lineRule="auto"/>
        <w:ind w:left="0" w:firstLine="0"/>
        <w:jc w:val="both"/>
        <w:rPr>
          <w:rFonts w:cs="Arial"/>
          <w:sz w:val="28"/>
          <w:szCs w:val="28"/>
        </w:rPr>
      </w:pPr>
      <w:r>
        <w:rPr>
          <w:rFonts w:cs="Arial"/>
          <w:sz w:val="28"/>
          <w:szCs w:val="28"/>
        </w:rPr>
        <w:t>FDA关于医疗器械2000年问题的目标</w:t>
      </w:r>
    </w:p>
    <w:p w14:paraId="1E4CF5AF">
      <w:pPr>
        <w:pStyle w:val="3"/>
        <w:snapToGrid w:val="0"/>
        <w:spacing w:after="240" w:afterLines="100" w:line="300" w:lineRule="auto"/>
        <w:ind w:left="0"/>
        <w:jc w:val="both"/>
        <w:rPr>
          <w:rFonts w:cs="Arial"/>
          <w:sz w:val="24"/>
          <w:szCs w:val="24"/>
        </w:rPr>
      </w:pPr>
      <w:r>
        <w:rPr>
          <w:rFonts w:cs="Arial"/>
          <w:sz w:val="24"/>
          <w:szCs w:val="24"/>
        </w:rPr>
        <w:t>FDA拟提供相关信息，指导制造商解决计算机日期表示问题，方便其满足FDA的法规要求。FDA主要关注可能会对健康构成风险的日期相关问题。虽然制造商有责任确保其生产的医疗器械可以正常运作，但FDA仍然担心，制造商是否会针对此类器械纠正日期相关问题，特别是在如果无法正确处理日期，器械可能会对健康构成风险时。</w:t>
      </w:r>
    </w:p>
    <w:p w14:paraId="3B06F067">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71D4BD3A">
      <w:pPr>
        <w:pStyle w:val="3"/>
        <w:snapToGrid w:val="0"/>
        <w:spacing w:after="240" w:afterLines="100" w:line="300" w:lineRule="auto"/>
        <w:ind w:left="0"/>
        <w:jc w:val="both"/>
        <w:rPr>
          <w:rFonts w:cs="Arial"/>
          <w:sz w:val="24"/>
          <w:szCs w:val="24"/>
        </w:rPr>
      </w:pPr>
      <w:r>
        <w:rPr>
          <w:rFonts w:cs="Arial"/>
          <w:sz w:val="24"/>
          <w:szCs w:val="24"/>
        </w:rPr>
        <w:t>例如，如果器械仅使用日期来标记记录或记录日期，且日期记录错误仅导致年份表示错误，则器械几乎不会构成任何风险。如果记录仅供人员阅读，则由计算机化器械生成，使用年份</w:t>
      </w:r>
      <w:r>
        <w:rPr>
          <w:rFonts w:ascii="宋体" w:hAnsi="宋体" w:cs="Arial"/>
          <w:sz w:val="24"/>
          <w:szCs w:val="24"/>
        </w:rPr>
        <w:t>“</w:t>
      </w:r>
      <w:r>
        <w:rPr>
          <w:rFonts w:cs="Arial"/>
          <w:sz w:val="24"/>
          <w:szCs w:val="24"/>
        </w:rPr>
        <w:t>00</w:t>
      </w:r>
      <w:r>
        <w:rPr>
          <w:rFonts w:ascii="宋体" w:hAnsi="宋体" w:cs="Arial"/>
          <w:sz w:val="24"/>
          <w:szCs w:val="24"/>
        </w:rPr>
        <w:t>”</w:t>
      </w:r>
      <w:r>
        <w:rPr>
          <w:rFonts w:cs="Arial"/>
          <w:sz w:val="24"/>
          <w:szCs w:val="24"/>
        </w:rPr>
        <w:t>来表示2000年的记录不会与1900年的类似记录混淆。人类操作员应了解，在1900年，计算机未生成此类记录。当然，如果日期记录旨在由另一台计算机化器械处理，但该器械可能无法正确处理两位数年份表示，则所造成的风险将会有所不同。同样，如果日期问题导致将2000年表示为1900年以外的某个年份，例如1980年等计算机基年，或者以某种其他方式表示，则可能无法消除潜在混淆，必须解决此类风险。</w:t>
      </w:r>
    </w:p>
    <w:p w14:paraId="1CD982DA">
      <w:pPr>
        <w:pStyle w:val="3"/>
        <w:snapToGrid w:val="0"/>
        <w:spacing w:after="240" w:afterLines="100" w:line="300" w:lineRule="auto"/>
        <w:ind w:left="0"/>
        <w:jc w:val="both"/>
        <w:rPr>
          <w:rFonts w:cs="Arial"/>
          <w:sz w:val="24"/>
          <w:szCs w:val="24"/>
        </w:rPr>
      </w:pPr>
      <w:r>
        <w:rPr>
          <w:rFonts w:cs="Arial"/>
          <w:sz w:val="24"/>
          <w:szCs w:val="24"/>
        </w:rPr>
        <w:t>如果日期将用于计算或器械生成的记录将自动排序，以便向医师展示患者病症在一段时间内的变化，从而方便医师进行诊断和治疗，则错误的日期表示或使用可能会造成风险。具体来说，如果记录按照记录日期排序，且展示队列中首先出现最早的记录，则排序器械故障可能会将在2000年1月1日作出的记录列于在1999年12月31日作出的另一记录之前，因为排序器械可能会错误地认为，年份</w:t>
      </w:r>
      <w:r>
        <w:rPr>
          <w:rFonts w:ascii="宋体" w:hAnsi="宋体" w:cs="Arial"/>
          <w:sz w:val="24"/>
          <w:szCs w:val="24"/>
        </w:rPr>
        <w:t>“</w:t>
      </w:r>
      <w:r>
        <w:rPr>
          <w:rFonts w:cs="Arial"/>
          <w:sz w:val="24"/>
          <w:szCs w:val="24"/>
        </w:rPr>
        <w:t>00</w:t>
      </w:r>
      <w:r>
        <w:rPr>
          <w:rFonts w:ascii="宋体" w:hAnsi="宋体" w:cs="Arial"/>
          <w:sz w:val="24"/>
          <w:szCs w:val="24"/>
        </w:rPr>
        <w:t>”</w:t>
      </w:r>
      <w:r>
        <w:rPr>
          <w:rFonts w:cs="Arial"/>
          <w:sz w:val="24"/>
          <w:szCs w:val="24"/>
        </w:rPr>
        <w:t>发生在年份</w:t>
      </w:r>
      <w:r>
        <w:rPr>
          <w:rFonts w:ascii="宋体" w:hAnsi="宋体" w:cs="Arial"/>
          <w:sz w:val="24"/>
          <w:szCs w:val="24"/>
        </w:rPr>
        <w:t>“</w:t>
      </w:r>
      <w:r>
        <w:rPr>
          <w:rFonts w:cs="Arial"/>
          <w:sz w:val="24"/>
          <w:szCs w:val="24"/>
        </w:rPr>
        <w:t>99</w:t>
      </w:r>
      <w:r>
        <w:rPr>
          <w:rFonts w:ascii="宋体" w:hAnsi="宋体" w:cs="Arial"/>
          <w:sz w:val="24"/>
          <w:szCs w:val="24"/>
        </w:rPr>
        <w:t>”</w:t>
      </w:r>
      <w:r>
        <w:rPr>
          <w:rFonts w:cs="Arial"/>
          <w:sz w:val="24"/>
          <w:szCs w:val="24"/>
        </w:rPr>
        <w:t>之前。虽然后一种情况下，记录所载信息没有错误，但医师会认为记录按时间顺序排列，进而可能导致误诊或错误治疗。为避免任何不良健康后果，必须解决这种潜在患者风险。</w:t>
      </w:r>
    </w:p>
    <w:p w14:paraId="048F2488">
      <w:pPr>
        <w:pStyle w:val="3"/>
        <w:snapToGrid w:val="0"/>
        <w:spacing w:after="240" w:afterLines="100" w:line="300" w:lineRule="auto"/>
        <w:ind w:left="0"/>
        <w:jc w:val="both"/>
        <w:rPr>
          <w:rFonts w:cs="Arial"/>
          <w:sz w:val="24"/>
          <w:szCs w:val="24"/>
        </w:rPr>
      </w:pPr>
      <w:r>
        <w:rPr>
          <w:rFonts w:cs="Arial"/>
          <w:sz w:val="24"/>
          <w:szCs w:val="24"/>
        </w:rPr>
        <w:t>根据质量体系法规，器械制造商必须评价其整个医疗器械和软件产品线（而不仅仅是目前生产或支持的产品），确定和评估可能由日期表示不准确造成的问题。进行评估时，应该考虑到可能导致器械故障的日期错误，例如未能提供诊断或患者治疗，日期表示错误，并生成可能影响未来治疗的不正确记录，或者受2000年日期问题影响的任何过程，特别是在如果未得到纠正，其可能会对健康构成风险时。如果评估表明，医疗器械无法正确处理日期会对患者或公众健康构成风险，则器械制造商必须按照第806条（21 CFR 806）（即要求报告器械纠正和撤回的法规）报告所采取的纠正措施。食品、药品和化妆品法案（21 USC 360h）（法案）第518条规定，如果日期相关故障会对公众健康构成不合理风险，即造成重大损害，但制造商未能采取纠正措施，FDA有权强制要求制造商采取纠正措施，并不得使器械购买者或所有者产生额外费用。如果制造商的评估表明，日期相关故障符合规范或设计，且故障导致的风险未达到第518条规定的强制性召回阈值（即，器械对公众健康构成不合理风险，即造成重大损害），则FDA不会要求召回。</w:t>
      </w:r>
    </w:p>
    <w:p w14:paraId="0036E218">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0FB8F266">
      <w:pPr>
        <w:pStyle w:val="3"/>
        <w:snapToGrid w:val="0"/>
        <w:spacing w:after="240" w:afterLines="100" w:line="300" w:lineRule="auto"/>
        <w:ind w:left="0"/>
        <w:jc w:val="both"/>
        <w:rPr>
          <w:rFonts w:cs="Arial"/>
          <w:sz w:val="24"/>
          <w:szCs w:val="24"/>
        </w:rPr>
      </w:pPr>
      <w:r>
        <w:rPr>
          <w:rFonts w:cs="Arial"/>
          <w:sz w:val="24"/>
          <w:szCs w:val="24"/>
        </w:rPr>
        <w:t>本机构已经收到了相关询问，即制造商在该法案下负有哪些责任，以及生产后，对于存在2000年日期问题，且不能按照设计运作的产品，其应该采取哪些措施来进行纠正或补救。该法案第518条规定，如果除其他标准外，确定器械会对公众健康构成不合理风险（即造成重大损害），本机构有权要求强制性通知购买者并召回器械。本机构指出，由于制造商通常会自愿纠正可能造成风险，且风险满足第518条所述标准的问题，一般不会使用此权力。FDA预计，制造商将采取负责任的行动来消除2000年日期问题带来的任何健康风险。</w:t>
      </w:r>
    </w:p>
    <w:p w14:paraId="143035FC">
      <w:pPr>
        <w:pStyle w:val="3"/>
        <w:snapToGrid w:val="0"/>
        <w:spacing w:after="240" w:afterLines="100" w:line="300" w:lineRule="auto"/>
        <w:ind w:left="0"/>
        <w:jc w:val="both"/>
        <w:rPr>
          <w:rFonts w:cs="Arial"/>
          <w:sz w:val="24"/>
          <w:szCs w:val="24"/>
        </w:rPr>
      </w:pPr>
      <w:r>
        <w:rPr>
          <w:rFonts w:cs="Arial"/>
          <w:sz w:val="24"/>
          <w:szCs w:val="24"/>
        </w:rPr>
        <w:t>对于2000年或其他导致不符合规范或未能按预期运作，但不会构成第518条规定的健康风险的日期相关问题，FDA不会要求纠正先前已上市的器械。本机构鼓励制造商在可能和经济可行的情况下，提供解决方案。</w:t>
      </w:r>
    </w:p>
    <w:p w14:paraId="261F2108">
      <w:pPr>
        <w:pStyle w:val="2"/>
        <w:numPr>
          <w:ilvl w:val="0"/>
          <w:numId w:val="1"/>
        </w:numPr>
        <w:tabs>
          <w:tab w:val="left" w:pos="313"/>
        </w:tabs>
        <w:snapToGrid w:val="0"/>
        <w:spacing w:after="240" w:afterLines="100" w:line="300" w:lineRule="auto"/>
        <w:ind w:left="0" w:firstLine="0"/>
        <w:jc w:val="both"/>
        <w:rPr>
          <w:rFonts w:cs="Arial"/>
          <w:sz w:val="28"/>
          <w:szCs w:val="28"/>
        </w:rPr>
      </w:pPr>
      <w:r>
        <w:rPr>
          <w:rFonts w:cs="Arial"/>
          <w:sz w:val="28"/>
          <w:szCs w:val="28"/>
        </w:rPr>
        <w:t>FDA早期发给器械制造商的信函</w:t>
      </w:r>
    </w:p>
    <w:p w14:paraId="1E9BC114">
      <w:pPr>
        <w:pStyle w:val="3"/>
        <w:snapToGrid w:val="0"/>
        <w:spacing w:after="240" w:afterLines="100" w:line="300" w:lineRule="auto"/>
        <w:ind w:left="0"/>
        <w:jc w:val="both"/>
        <w:rPr>
          <w:rFonts w:cs="Arial"/>
          <w:sz w:val="24"/>
          <w:szCs w:val="24"/>
        </w:rPr>
      </w:pPr>
      <w:r>
        <w:rPr>
          <w:rFonts w:cs="Arial"/>
          <w:sz w:val="24"/>
          <w:szCs w:val="24"/>
        </w:rPr>
        <w:t>在审查日期问题可能对医疗器械造成的影响后，FDA于1997年6月25日，向所有医疗器械制造商发出了一封信函。信函界定了2000年日期问题，提醒制造商注意现有法规的要求，提出评估医疗器械安全性和有效性的建议，并提供关于未来上市前提交材料的指导。此外，信函还通知制造商，其必须评估其所有器械（当前和需求制造的）的功能，并通过因处理日期信息而可能给患者带来风险的器械。该信函已完整发布在FDA的万维网（WWW）网站上。</w:t>
      </w:r>
    </w:p>
    <w:p w14:paraId="77B11E59">
      <w:pPr>
        <w:pStyle w:val="3"/>
        <w:snapToGrid w:val="0"/>
        <w:spacing w:after="240" w:afterLines="100" w:line="300" w:lineRule="auto"/>
        <w:ind w:left="0"/>
        <w:jc w:val="both"/>
        <w:rPr>
          <w:rFonts w:cs="Arial"/>
          <w:sz w:val="24"/>
          <w:szCs w:val="24"/>
        </w:rPr>
      </w:pPr>
      <w:r>
        <w:rPr>
          <w:rFonts w:cs="Arial"/>
          <w:sz w:val="24"/>
          <w:szCs w:val="24"/>
        </w:rPr>
        <w:t>该信函建议制造商采取以下措施：</w:t>
      </w:r>
    </w:p>
    <w:p w14:paraId="21A90C24">
      <w:pPr>
        <w:pStyle w:val="3"/>
        <w:numPr>
          <w:ilvl w:val="0"/>
          <w:numId w:val="2"/>
        </w:numPr>
        <w:snapToGrid w:val="0"/>
        <w:spacing w:after="240" w:afterLines="100" w:line="300" w:lineRule="auto"/>
        <w:jc w:val="both"/>
        <w:rPr>
          <w:rFonts w:cs="Arial"/>
          <w:sz w:val="24"/>
          <w:szCs w:val="24"/>
        </w:rPr>
      </w:pPr>
      <w:r>
        <w:rPr>
          <w:rFonts w:cs="Arial"/>
          <w:sz w:val="24"/>
          <w:szCs w:val="24"/>
        </w:rPr>
        <w:t>对于未来的医疗器械上市前提交，制造商应确保，产品可以正确执行日期操作，且计算不受2000年日期变更的影响。</w:t>
      </w:r>
    </w:p>
    <w:p w14:paraId="4EE8D2F4">
      <w:pPr>
        <w:pStyle w:val="3"/>
        <w:numPr>
          <w:ilvl w:val="0"/>
          <w:numId w:val="2"/>
        </w:numPr>
        <w:snapToGrid w:val="0"/>
        <w:spacing w:after="240" w:afterLines="100" w:line="300" w:lineRule="auto"/>
        <w:jc w:val="both"/>
        <w:rPr>
          <w:rFonts w:cs="Arial"/>
          <w:sz w:val="24"/>
          <w:szCs w:val="24"/>
        </w:rPr>
      </w:pPr>
      <w:r>
        <w:rPr>
          <w:rFonts w:cs="Arial"/>
          <w:sz w:val="24"/>
          <w:szCs w:val="24"/>
        </w:rPr>
        <w:t>对于当前和先前制造的医疗器械，制造商应进行危害和安全分析，确定器械性能是否会受到2000年日期问题的影响。如果分析表明，器械安全性或有效性受到影响，则应采取适当措施来纠正当前和以往产品，并协助已购买此类器械的客户。</w:t>
      </w:r>
    </w:p>
    <w:p w14:paraId="2FA599AA">
      <w:pPr>
        <w:pStyle w:val="3"/>
        <w:numPr>
          <w:ilvl w:val="0"/>
          <w:numId w:val="2"/>
        </w:numPr>
        <w:snapToGrid w:val="0"/>
        <w:spacing w:after="240" w:afterLines="100" w:line="300" w:lineRule="auto"/>
        <w:jc w:val="both"/>
        <w:rPr>
          <w:rFonts w:cs="Arial"/>
          <w:sz w:val="24"/>
          <w:szCs w:val="24"/>
        </w:rPr>
      </w:pPr>
      <w:r>
        <w:rPr>
          <w:rFonts w:cs="Arial"/>
          <w:sz w:val="24"/>
          <w:szCs w:val="24"/>
        </w:rPr>
        <w:t>对于计算机控制的设计、生产和质量控制过程，制造商应确保，两位数的年份格式或计算不会造成问题。</w:t>
      </w:r>
    </w:p>
    <w:p w14:paraId="0DB09B0A">
      <w:pPr>
        <w:pStyle w:val="3"/>
        <w:snapToGrid w:val="0"/>
        <w:spacing w:after="240" w:afterLines="100" w:line="300" w:lineRule="auto"/>
        <w:ind w:left="0"/>
        <w:jc w:val="both"/>
        <w:rPr>
          <w:rFonts w:cs="Arial"/>
          <w:sz w:val="24"/>
          <w:szCs w:val="24"/>
        </w:rPr>
      </w:pPr>
      <w:r>
        <w:rPr>
          <w:rFonts w:cs="Arial"/>
          <w:sz w:val="24"/>
          <w:szCs w:val="24"/>
        </w:rPr>
        <w:t>该信函还提供以下建议来帮助针对现有器械更改编制上市前提交：</w:t>
      </w:r>
    </w:p>
    <w:p w14:paraId="32ADA23D">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200F34A9">
      <w:pPr>
        <w:pStyle w:val="3"/>
        <w:numPr>
          <w:ilvl w:val="0"/>
          <w:numId w:val="2"/>
        </w:numPr>
        <w:snapToGrid w:val="0"/>
        <w:spacing w:after="240" w:afterLines="100" w:line="300" w:lineRule="auto"/>
        <w:jc w:val="both"/>
        <w:rPr>
          <w:rFonts w:cs="Arial"/>
          <w:sz w:val="24"/>
          <w:szCs w:val="24"/>
        </w:rPr>
      </w:pPr>
      <w:r>
        <w:rPr>
          <w:rFonts w:cs="Arial"/>
          <w:sz w:val="24"/>
          <w:szCs w:val="24"/>
        </w:rPr>
        <w:t>对于II类器械，制造商无需提交上市前批准申请补充材料来证明其已经解决了2000年日期问题，前提是器械修改不会改变其性能的其他方面。</w:t>
      </w:r>
    </w:p>
    <w:p w14:paraId="48834828">
      <w:pPr>
        <w:pStyle w:val="3"/>
        <w:numPr>
          <w:ilvl w:val="0"/>
          <w:numId w:val="2"/>
        </w:numPr>
        <w:snapToGrid w:val="0"/>
        <w:spacing w:after="240" w:afterLines="100" w:line="300" w:lineRule="auto"/>
        <w:jc w:val="both"/>
        <w:rPr>
          <w:rFonts w:cs="Arial"/>
          <w:sz w:val="24"/>
          <w:szCs w:val="24"/>
        </w:rPr>
      </w:pPr>
      <w:r>
        <w:rPr>
          <w:rFonts w:cs="Arial"/>
          <w:sz w:val="24"/>
          <w:szCs w:val="24"/>
        </w:rPr>
        <w:t>对于对现有器械作出的2000年日期更改，制造商无需提交新的510（k）（上市前通知），前提是此类更改不会影响安全性和有效性。这与器械评价办公室指导性文件</w:t>
      </w:r>
      <w:r>
        <w:rPr>
          <w:rFonts w:ascii="宋体" w:hAnsi="宋体" w:cs="Arial"/>
          <w:sz w:val="24"/>
          <w:szCs w:val="24"/>
        </w:rPr>
        <w:t>“</w:t>
      </w:r>
      <w:r>
        <w:rPr>
          <w:rFonts w:cs="Arial"/>
          <w:sz w:val="24"/>
          <w:szCs w:val="24"/>
        </w:rPr>
        <w:t>决定何时针对现有器械更改提交510（k）</w:t>
      </w:r>
      <w:r>
        <w:rPr>
          <w:rFonts w:ascii="宋体" w:hAnsi="宋体" w:cs="Arial"/>
          <w:sz w:val="24"/>
          <w:szCs w:val="24"/>
        </w:rPr>
        <w:t>”</w:t>
      </w:r>
      <w:r>
        <w:rPr>
          <w:rFonts w:cs="Arial"/>
          <w:sz w:val="24"/>
          <w:szCs w:val="24"/>
        </w:rPr>
        <w:t>中提供的信息保持一致，指导性文件可从小型制造商援助司和FDA网站获得。（请注意，如果对器械进行了重大更改，则必须在未来的510（k）提交中提供旨在纠正2000年日期问题的更改。）</w:t>
      </w:r>
    </w:p>
    <w:p w14:paraId="019D277B">
      <w:pPr>
        <w:pStyle w:val="3"/>
        <w:snapToGrid w:val="0"/>
        <w:spacing w:after="240" w:afterLines="100" w:line="300" w:lineRule="auto"/>
        <w:ind w:left="0"/>
        <w:jc w:val="both"/>
        <w:rPr>
          <w:rFonts w:cs="Arial"/>
          <w:sz w:val="24"/>
          <w:szCs w:val="24"/>
        </w:rPr>
      </w:pPr>
      <w:r>
        <w:rPr>
          <w:rFonts w:cs="Arial"/>
          <w:sz w:val="24"/>
          <w:szCs w:val="24"/>
        </w:rPr>
        <w:t>此外，制造商还应注意现行质量体系法规的要求，根据该法规，其必须调查和纠正医疗器械问题。这包括由于无法准确进行日期记录和／或计算而不符合规范的器械。信函传达的要求由该法案第518条授权，其中，该法案要求，如果器械会对公众健康构成不合理风险（即造成重大损害），则必须通知用户或购买者。</w:t>
      </w:r>
    </w:p>
    <w:p w14:paraId="697502EE">
      <w:pPr>
        <w:pStyle w:val="2"/>
        <w:numPr>
          <w:ilvl w:val="0"/>
          <w:numId w:val="1"/>
        </w:numPr>
        <w:tabs>
          <w:tab w:val="left" w:pos="313"/>
        </w:tabs>
        <w:snapToGrid w:val="0"/>
        <w:spacing w:after="240" w:afterLines="100" w:line="300" w:lineRule="auto"/>
        <w:ind w:left="0" w:firstLine="0"/>
        <w:jc w:val="both"/>
        <w:rPr>
          <w:rFonts w:cs="Arial"/>
          <w:sz w:val="28"/>
          <w:szCs w:val="28"/>
        </w:rPr>
      </w:pPr>
      <w:r>
        <w:rPr>
          <w:rFonts w:cs="Arial"/>
          <w:sz w:val="28"/>
          <w:szCs w:val="28"/>
        </w:rPr>
        <w:t>法规责任</w:t>
      </w:r>
    </w:p>
    <w:p w14:paraId="112190BB">
      <w:pPr>
        <w:pStyle w:val="12"/>
        <w:numPr>
          <w:ilvl w:val="0"/>
          <w:numId w:val="3"/>
        </w:numPr>
        <w:tabs>
          <w:tab w:val="left" w:pos="373"/>
        </w:tabs>
        <w:snapToGrid w:val="0"/>
        <w:spacing w:after="240" w:afterLines="100" w:line="300" w:lineRule="auto"/>
        <w:ind w:left="0" w:firstLine="0"/>
        <w:jc w:val="both"/>
        <w:rPr>
          <w:rFonts w:ascii="Arial" w:hAnsi="Arial" w:eastAsia="宋体" w:cs="Arial"/>
          <w:sz w:val="24"/>
          <w:szCs w:val="24"/>
        </w:rPr>
      </w:pPr>
      <w:r>
        <w:rPr>
          <w:rFonts w:ascii="Arial" w:hAnsi="Arial" w:eastAsia="宋体" w:cs="Arial"/>
          <w:sz w:val="24"/>
          <w:szCs w:val="24"/>
        </w:rPr>
        <w:t>质量体系法规</w:t>
      </w:r>
    </w:p>
    <w:p w14:paraId="45AA707E">
      <w:pPr>
        <w:pStyle w:val="3"/>
        <w:snapToGrid w:val="0"/>
        <w:spacing w:after="240" w:afterLines="100" w:line="300" w:lineRule="auto"/>
        <w:ind w:left="0"/>
        <w:jc w:val="both"/>
        <w:rPr>
          <w:rFonts w:cs="Arial"/>
          <w:sz w:val="24"/>
          <w:szCs w:val="24"/>
        </w:rPr>
      </w:pPr>
      <w:r>
        <w:rPr>
          <w:rFonts w:cs="Arial"/>
          <w:sz w:val="24"/>
          <w:szCs w:val="24"/>
        </w:rPr>
        <w:t>根据质量体系法规 21 CFR第820部分，器械制造商必须确保并确认其器械和制造工艺的质量。该法规规定，制造商应持续负责调查器械故障并防止潜在故障，包括可能由错误处理或日期记录引起的故障。</w:t>
      </w:r>
    </w:p>
    <w:p w14:paraId="30D9C046">
      <w:pPr>
        <w:pStyle w:val="12"/>
        <w:numPr>
          <w:ilvl w:val="0"/>
          <w:numId w:val="3"/>
        </w:numPr>
        <w:tabs>
          <w:tab w:val="left" w:pos="373"/>
        </w:tabs>
        <w:snapToGrid w:val="0"/>
        <w:spacing w:after="240" w:afterLines="100" w:line="300" w:lineRule="auto"/>
        <w:ind w:left="0" w:firstLine="0"/>
        <w:jc w:val="both"/>
        <w:rPr>
          <w:rFonts w:ascii="Arial" w:hAnsi="Arial" w:eastAsia="宋体" w:cs="Arial"/>
          <w:sz w:val="24"/>
          <w:szCs w:val="24"/>
        </w:rPr>
      </w:pPr>
      <w:r>
        <w:rPr>
          <w:rFonts w:ascii="Arial" w:hAnsi="Arial" w:eastAsia="宋体" w:cs="Arial"/>
          <w:sz w:val="24"/>
          <w:szCs w:val="24"/>
        </w:rPr>
        <w:t>纠正和撤回报告法规</w:t>
      </w:r>
    </w:p>
    <w:p w14:paraId="6C2084FB">
      <w:pPr>
        <w:pStyle w:val="3"/>
        <w:snapToGrid w:val="0"/>
        <w:spacing w:after="240" w:afterLines="100" w:line="300" w:lineRule="auto"/>
        <w:ind w:left="0"/>
        <w:jc w:val="both"/>
        <w:rPr>
          <w:rFonts w:cs="Arial"/>
          <w:sz w:val="24"/>
          <w:szCs w:val="24"/>
        </w:rPr>
      </w:pPr>
      <w:r>
        <w:rPr>
          <w:rFonts w:cs="Arial"/>
          <w:sz w:val="24"/>
          <w:szCs w:val="24"/>
        </w:rPr>
        <w:t>最近生效的纠正和撤回报告法规（21 CFR第806部分）规定，在采取纠正和撤回措施来降低器械造成的健康风险，或补救因器械可能会造成健康风险而导致的法案违反行为后，制造商和进口商应立即向FDA报告。该法规要求报告与2000年日期有关，且旨在避免或纠正潜在健康风险的纠正和撤回措施。</w:t>
      </w:r>
    </w:p>
    <w:p w14:paraId="34252650">
      <w:pPr>
        <w:pStyle w:val="12"/>
        <w:numPr>
          <w:ilvl w:val="0"/>
          <w:numId w:val="3"/>
        </w:numPr>
        <w:tabs>
          <w:tab w:val="left" w:pos="373"/>
        </w:tabs>
        <w:snapToGrid w:val="0"/>
        <w:spacing w:after="240" w:afterLines="100" w:line="300" w:lineRule="auto"/>
        <w:ind w:left="0" w:firstLine="0"/>
        <w:jc w:val="both"/>
        <w:rPr>
          <w:rFonts w:ascii="Arial" w:hAnsi="Arial" w:eastAsia="宋体" w:cs="Arial"/>
          <w:sz w:val="24"/>
          <w:szCs w:val="24"/>
        </w:rPr>
      </w:pPr>
      <w:r>
        <w:rPr>
          <w:rFonts w:ascii="Arial" w:hAnsi="Arial" w:eastAsia="宋体" w:cs="Arial"/>
          <w:sz w:val="24"/>
          <w:szCs w:val="24"/>
        </w:rPr>
        <w:t>医疗器械报告要求</w:t>
      </w:r>
    </w:p>
    <w:p w14:paraId="74C2FE46">
      <w:pPr>
        <w:pStyle w:val="3"/>
        <w:snapToGrid w:val="0"/>
        <w:spacing w:after="240" w:afterLines="100" w:line="300" w:lineRule="auto"/>
        <w:ind w:left="0"/>
        <w:jc w:val="both"/>
        <w:rPr>
          <w:rFonts w:cs="Arial"/>
          <w:sz w:val="24"/>
          <w:szCs w:val="24"/>
        </w:rPr>
      </w:pPr>
      <w:r>
        <w:rPr>
          <w:rFonts w:cs="Arial"/>
          <w:sz w:val="24"/>
          <w:szCs w:val="24"/>
        </w:rPr>
        <w:t>如果需要采取补救措施来防止对公众健康构成不合理风险（即造成重大损害），制造商需要根据21 CFR第803部分医疗器械报告（MDR）法规提交5天的报告。根据第806部分，无需在5天MDR中重新提交有关纠正和撤回的信息。</w:t>
      </w:r>
    </w:p>
    <w:p w14:paraId="3F7FEBE1">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p w14:paraId="2EC475C3">
      <w:pPr>
        <w:pStyle w:val="12"/>
        <w:numPr>
          <w:ilvl w:val="0"/>
          <w:numId w:val="3"/>
        </w:numPr>
        <w:tabs>
          <w:tab w:val="left" w:pos="393"/>
        </w:tabs>
        <w:snapToGrid w:val="0"/>
        <w:spacing w:after="240" w:afterLines="100" w:line="300" w:lineRule="auto"/>
        <w:ind w:left="0" w:firstLine="0"/>
        <w:jc w:val="both"/>
        <w:rPr>
          <w:rFonts w:ascii="Arial" w:hAnsi="Arial" w:eastAsia="宋体" w:cs="Arial"/>
          <w:sz w:val="24"/>
          <w:szCs w:val="24"/>
        </w:rPr>
      </w:pPr>
      <w:r>
        <w:rPr>
          <w:rFonts w:ascii="Arial" w:hAnsi="Arial" w:eastAsia="宋体" w:cs="Arial"/>
          <w:sz w:val="24"/>
          <w:szCs w:val="24"/>
        </w:rPr>
        <w:t>召回分类</w:t>
      </w:r>
    </w:p>
    <w:p w14:paraId="147524F6">
      <w:pPr>
        <w:pStyle w:val="3"/>
        <w:snapToGrid w:val="0"/>
        <w:spacing w:after="240" w:afterLines="100" w:line="300" w:lineRule="auto"/>
        <w:ind w:left="0"/>
        <w:jc w:val="both"/>
        <w:rPr>
          <w:rFonts w:cs="Arial"/>
          <w:sz w:val="24"/>
          <w:szCs w:val="24"/>
        </w:rPr>
      </w:pPr>
      <w:r>
        <w:rPr>
          <w:rFonts w:cs="Arial"/>
          <w:sz w:val="24"/>
          <w:szCs w:val="24"/>
        </w:rPr>
        <w:t>根据FDA的自愿召回法规21 CFR第7部分，如果制造商于2000年1月1日之前采取并完成措施来纠正2000年日期问题，则此措施不会被视为召回措施。</w:t>
      </w:r>
      <w:r>
        <w:rPr>
          <w:rFonts w:cs="Arial"/>
          <w:sz w:val="24"/>
          <w:szCs w:val="24"/>
        </w:rPr>
        <w:cr/>
      </w:r>
      <w:r>
        <w:rPr>
          <w:rFonts w:cs="Arial"/>
          <w:sz w:val="24"/>
          <w:szCs w:val="24"/>
        </w:rPr>
        <w:cr/>
      </w:r>
      <w:r>
        <w:rPr>
          <w:rFonts w:cs="Arial"/>
          <w:sz w:val="24"/>
          <w:szCs w:val="24"/>
        </w:rPr>
        <w:t>本机构将不会将此类行动归类为召回措施，前提是该措施仅纠正日期相关问题，且在问题造成实际器械故障之前完成。但是，制造商仍然必须根据21 CFR 806.20报告或保存此类纠正和撤回的记录。</w:t>
      </w:r>
    </w:p>
    <w:p w14:paraId="655B0522">
      <w:pPr>
        <w:pStyle w:val="2"/>
        <w:numPr>
          <w:ilvl w:val="0"/>
          <w:numId w:val="1"/>
        </w:numPr>
        <w:tabs>
          <w:tab w:val="left" w:pos="313"/>
        </w:tabs>
        <w:snapToGrid w:val="0"/>
        <w:spacing w:after="240" w:afterLines="100" w:line="300" w:lineRule="auto"/>
        <w:ind w:left="0" w:firstLine="0"/>
        <w:rPr>
          <w:rFonts w:cs="Arial"/>
          <w:sz w:val="28"/>
          <w:szCs w:val="28"/>
        </w:rPr>
      </w:pPr>
      <w:r>
        <w:rPr>
          <w:rFonts w:cs="Arial"/>
          <w:sz w:val="28"/>
          <w:szCs w:val="28"/>
        </w:rPr>
        <w:t>卫生和人类服务署发给器械制造商的信函</w:t>
      </w:r>
    </w:p>
    <w:p w14:paraId="417F7138">
      <w:pPr>
        <w:pStyle w:val="3"/>
        <w:snapToGrid w:val="0"/>
        <w:spacing w:after="240" w:afterLines="100" w:line="300" w:lineRule="auto"/>
        <w:ind w:left="0"/>
        <w:jc w:val="both"/>
        <w:rPr>
          <w:rFonts w:cs="Arial"/>
          <w:sz w:val="24"/>
          <w:szCs w:val="24"/>
        </w:rPr>
      </w:pPr>
      <w:r>
        <w:rPr>
          <w:rFonts w:cs="Arial"/>
          <w:sz w:val="24"/>
          <w:szCs w:val="24"/>
        </w:rPr>
        <w:t>1998年1月21日，卫生和人类服务署向生物医学设备制造商发送信函，要求提供受2000年日期影响的产品信息。信函表达了机构对生物医学和实验室设备是否可在下个世纪继续运作的担忧。信函发出后，制造商可以确定将受到影响的特定产品，并通过政府运营的WWW网站与相关各方分享此类信息。有关该网站和报告日期问题相关产品状况的其他信息，可访问FDA的WWW网站。FDA敦促制造商利用该机制，向公众和政府购买者和此类产品的用户传达受到2000年日期问题影响的产品状态。此类信息将有助于卫生保健机构确定受影响的产品，并协助其规划和采取补救措施。</w:t>
      </w:r>
    </w:p>
    <w:p w14:paraId="45C37975">
      <w:pPr>
        <w:pStyle w:val="2"/>
        <w:numPr>
          <w:ilvl w:val="0"/>
          <w:numId w:val="1"/>
        </w:numPr>
        <w:tabs>
          <w:tab w:val="left" w:pos="313"/>
        </w:tabs>
        <w:snapToGrid w:val="0"/>
        <w:spacing w:after="240" w:afterLines="100" w:line="300" w:lineRule="auto"/>
        <w:ind w:left="0" w:firstLine="0"/>
        <w:jc w:val="both"/>
        <w:rPr>
          <w:rFonts w:cs="Arial"/>
          <w:sz w:val="28"/>
          <w:szCs w:val="28"/>
        </w:rPr>
      </w:pPr>
      <w:r>
        <w:rPr>
          <w:rFonts w:cs="Arial"/>
          <w:sz w:val="28"/>
          <w:szCs w:val="28"/>
        </w:rPr>
        <w:t>根据MedWatch项目进行报告</w:t>
      </w:r>
    </w:p>
    <w:p w14:paraId="6233BBA7">
      <w:pPr>
        <w:pStyle w:val="3"/>
        <w:snapToGrid w:val="0"/>
        <w:spacing w:after="240" w:afterLines="100" w:line="300" w:lineRule="auto"/>
        <w:ind w:left="0"/>
        <w:jc w:val="both"/>
        <w:rPr>
          <w:rFonts w:cs="Arial"/>
          <w:sz w:val="24"/>
          <w:szCs w:val="24"/>
        </w:rPr>
      </w:pPr>
      <w:r>
        <w:rPr>
          <w:rFonts w:cs="Arial"/>
          <w:sz w:val="24"/>
          <w:szCs w:val="24"/>
        </w:rPr>
        <w:t>根据医疗器械报告法规（21 CFR第803部分），医疗器械用户机构和制造商必须报告器械已经或可能引起或造成的死亡和严重损伤。制造商也需要报告某些器械故障。此外，鼓励医疗器械用户和卫生专业人员自愿根据FDA MedWatch项目报告器械故障或问题。该项目的创建目的是为卫生专业人员或其他相关方提供报告不良事件的方法，可用于报告因2000年或其他日期问题，疑似或确定发生故障，从而造成健康风险的器械。</w:t>
      </w:r>
    </w:p>
    <w:p w14:paraId="660DF92C">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t>有关MedWatch项目的信息（包括报告医疗器械问题的程序），可致电1-800-FDA-1088，联系MedWatch办公室获取，或从WWW上FDA的</w:t>
      </w:r>
      <w:r>
        <w:fldChar w:fldCharType="begin"/>
      </w:r>
      <w:r>
        <w:instrText xml:space="preserve"> HYPERLINK "https://www.fda.gov/Safety/MedWatch/default.htm" \h </w:instrText>
      </w:r>
      <w:r>
        <w:fldChar w:fldCharType="separate"/>
      </w:r>
      <w:r>
        <w:rPr>
          <w:rFonts w:ascii="Arial" w:hAnsi="Arial" w:eastAsia="宋体" w:cs="Arial"/>
          <w:b/>
          <w:sz w:val="24"/>
          <w:szCs w:val="24"/>
          <w:u w:val="dottedHeavy" w:color="000000"/>
        </w:rPr>
        <w:t>MedWatch网站（/Safety/MedWatch/default.htm）</w:t>
      </w:r>
      <w:r>
        <w:rPr>
          <w:rFonts w:ascii="Arial" w:hAnsi="Arial" w:eastAsia="宋体" w:cs="Arial"/>
          <w:b/>
          <w:sz w:val="24"/>
          <w:szCs w:val="24"/>
          <w:u w:val="dottedHeavy" w:color="000000"/>
        </w:rPr>
        <w:fldChar w:fldCharType="end"/>
      </w:r>
      <w:r>
        <w:rPr>
          <w:rFonts w:ascii="Arial" w:hAnsi="Arial" w:eastAsia="宋体" w:cs="Arial"/>
          <w:sz w:val="24"/>
          <w:szCs w:val="24"/>
        </w:rPr>
        <w:t>获取。</w:t>
      </w:r>
    </w:p>
    <w:p w14:paraId="09BBFEDF">
      <w:pPr>
        <w:snapToGrid w:val="0"/>
        <w:spacing w:after="240" w:afterLines="100" w:line="300" w:lineRule="auto"/>
        <w:jc w:val="both"/>
        <w:rPr>
          <w:rFonts w:ascii="Arial" w:hAnsi="Arial" w:eastAsia="宋体" w:cs="Arial"/>
          <w:b/>
          <w:sz w:val="24"/>
          <w:szCs w:val="24"/>
        </w:rPr>
      </w:pPr>
      <w:r>
        <w:rPr>
          <w:rFonts w:hint="eastAsia" w:ascii="Arial" w:hAnsi="Arial" w:eastAsia="宋体" w:cs="Arial"/>
          <w:b/>
          <w:color w:val="808080" w:themeColor="background1" w:themeShade="80"/>
          <w:sz w:val="24"/>
          <w:szCs w:val="24"/>
        </w:rPr>
        <w:t>_________________</w:t>
      </w:r>
    </w:p>
    <w:p w14:paraId="631B8153">
      <w:pPr>
        <w:snapToGrid w:val="0"/>
        <w:spacing w:after="240" w:afterLines="100" w:line="300" w:lineRule="auto"/>
        <w:jc w:val="both"/>
        <w:rPr>
          <w:rFonts w:ascii="Arial" w:hAnsi="Arial" w:eastAsia="宋体" w:cs="Arial"/>
          <w:sz w:val="24"/>
          <w:szCs w:val="24"/>
          <w:u w:val="dottedHeavy"/>
        </w:rPr>
      </w:pPr>
      <w:r>
        <w:rPr>
          <w:rFonts w:ascii="Arial" w:hAnsi="Arial" w:eastAsia="宋体" w:cs="Arial"/>
          <w:sz w:val="24"/>
          <w:szCs w:val="24"/>
          <w:u w:val="dottedHeavy"/>
        </w:rPr>
        <w:t>1.本文档旨在提供指导。其代表本机构目前关于该主题的思考。其不会为任何人创造或赋予任何权利，也不对FDA或公众具有约束力。如果替代方法满足适用的法律、法规或其两者的要求，可以使用替代方法。</w:t>
      </w:r>
    </w:p>
    <w:p w14:paraId="0FE8D4FE">
      <w:pPr>
        <w:snapToGrid w:val="0"/>
        <w:spacing w:after="240" w:afterLines="100" w:line="300" w:lineRule="auto"/>
        <w:jc w:val="both"/>
        <w:rPr>
          <w:rFonts w:ascii="Arial" w:hAnsi="Arial" w:eastAsia="宋体" w:cs="Arial"/>
          <w:sz w:val="24"/>
          <w:szCs w:val="24"/>
        </w:rPr>
      </w:pPr>
      <w:r>
        <w:rPr>
          <w:rFonts w:ascii="Arial" w:hAnsi="Arial" w:eastAsia="宋体" w:cs="Arial"/>
          <w:sz w:val="24"/>
          <w:szCs w:val="24"/>
        </w:rPr>
        <w:br w:type="page"/>
      </w:r>
    </w:p>
    <w:tbl>
      <w:tblPr>
        <w:tblStyle w:val="8"/>
        <w:tblW w:w="5000" w:type="pct"/>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9243"/>
      </w:tblGrid>
      <w:tr w14:paraId="1DB83BE1">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6922E548">
            <w:pPr>
              <w:snapToGrid w:val="0"/>
              <w:spacing w:before="120" w:beforeLines="50" w:after="120" w:afterLines="50" w:line="276" w:lineRule="auto"/>
              <w:rPr>
                <w:rFonts w:ascii="Arial" w:hAnsi="Arial" w:eastAsia="宋体" w:cs="Arial"/>
                <w:sz w:val="21"/>
                <w:szCs w:val="21"/>
              </w:rPr>
            </w:pPr>
            <w:r>
              <w:fldChar w:fldCharType="begin"/>
            </w:r>
            <w:r>
              <w:instrText xml:space="preserve"> HYPERLINK "https://www.fda.gov/MedicalDevices/DeviceRegulationandGuidance/GuidanceDocuments/default.htm" \h </w:instrText>
            </w:r>
            <w:r>
              <w:fldChar w:fldCharType="separate"/>
            </w:r>
            <w:r>
              <w:rPr>
                <w:rFonts w:hint="eastAsia" w:ascii="Arial" w:eastAsia="宋体"/>
                <w:b/>
                <w:sz w:val="21"/>
                <w:szCs w:val="21"/>
                <w:u w:val="single" w:color="000000"/>
              </w:rPr>
              <w:t>指导性文件（医疗器械和辐射产品）的更多信息(/MedicalDevices/DeviceRegulationandGuidance/GuidanceDocuments/default.htm)</w:t>
            </w:r>
            <w:r>
              <w:rPr>
                <w:rFonts w:hint="eastAsia" w:ascii="Arial" w:eastAsia="宋体"/>
                <w:b/>
                <w:sz w:val="21"/>
                <w:szCs w:val="21"/>
                <w:u w:val="single" w:color="000000"/>
              </w:rPr>
              <w:fldChar w:fldCharType="end"/>
            </w:r>
          </w:p>
        </w:tc>
      </w:tr>
      <w:tr w14:paraId="6CD92306">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Borders>
              <w:top w:val="single" w:color="4F81BD" w:themeColor="accent1" w:sz="12" w:space="0"/>
            </w:tcBorders>
          </w:tcPr>
          <w:p w14:paraId="7C7BC5C4">
            <w:pPr>
              <w:pStyle w:val="13"/>
              <w:snapToGrid w:val="0"/>
              <w:spacing w:before="120" w:beforeLines="50" w:after="120" w:afterLines="50" w:line="276" w:lineRule="auto"/>
              <w:rPr>
                <w:rFonts w:ascii="Arial" w:hAnsi="Arial" w:eastAsia="宋体" w:cs="Arial"/>
                <w:sz w:val="21"/>
                <w:szCs w:val="21"/>
              </w:rPr>
            </w:pPr>
            <w:r>
              <w:rPr>
                <w:rFonts w:ascii="Arial" w:hAnsi="Arial" w:eastAsia="宋体" w:cs="Arial"/>
                <w:b/>
                <w:sz w:val="21"/>
                <w:szCs w:val="21"/>
                <w:u w:val="single" w:color="000000"/>
              </w:rPr>
              <w:t>跨中心最终指南</w:t>
            </w:r>
            <w:r>
              <w:fldChar w:fldCharType="begin"/>
            </w:r>
            <w:r>
              <w:instrText xml:space="preserve"> HYPERLINK "https://www.fda.gov/MedicalDevices/DeviceRegulationandGuidance/GuidanceDocuments/ucm081752.htm" \h </w:instrText>
            </w:r>
            <w:r>
              <w:fldChar w:fldCharType="separate"/>
            </w:r>
            <w:r>
              <w:rPr>
                <w:rFonts w:ascii="Arial" w:hAnsi="Arial" w:eastAsia="宋体" w:cs="Arial"/>
                <w:b/>
                <w:sz w:val="21"/>
                <w:szCs w:val="21"/>
                <w:u w:val="single" w:color="000000"/>
              </w:rPr>
              <w:t>(/MedicalDevices/DeviceRegulationandGuidance/GuidanceDocuments/ucm081752.htm)</w:t>
            </w:r>
            <w:r>
              <w:rPr>
                <w:rFonts w:ascii="Arial" w:hAnsi="Arial" w:eastAsia="宋体" w:cs="Arial"/>
                <w:b/>
                <w:sz w:val="21"/>
                <w:szCs w:val="21"/>
                <w:u w:val="single" w:color="000000"/>
              </w:rPr>
              <w:fldChar w:fldCharType="end"/>
            </w:r>
          </w:p>
        </w:tc>
      </w:tr>
      <w:tr w14:paraId="1635F982">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24432A81">
            <w:pPr>
              <w:pStyle w:val="13"/>
              <w:snapToGrid w:val="0"/>
              <w:spacing w:before="120" w:beforeLines="50" w:after="120" w:afterLines="50" w:line="276" w:lineRule="auto"/>
              <w:rPr>
                <w:rFonts w:ascii="Arial" w:hAnsi="Arial" w:eastAsia="宋体" w:cs="Arial"/>
                <w:sz w:val="21"/>
                <w:szCs w:val="21"/>
              </w:rPr>
            </w:pPr>
            <w:r>
              <w:rPr>
                <w:rFonts w:hint="eastAsia" w:ascii="Arial" w:hAnsi="Arial" w:eastAsia="宋体" w:cs="Arial"/>
                <w:b/>
                <w:sz w:val="21"/>
                <w:szCs w:val="21"/>
                <w:u w:val="single"/>
              </w:rPr>
              <w:t>合规办公室最终指南</w:t>
            </w:r>
            <w:r>
              <w:fldChar w:fldCharType="begin"/>
            </w:r>
            <w:r>
              <w:instrText xml:space="preserve"> HYPERLINK "https://www.fda.gov/MedicalDevices/DeviceRegulationandGuidance/GuidanceDocuments/ucm070269.htm" \h </w:instrText>
            </w:r>
            <w:r>
              <w:fldChar w:fldCharType="separate"/>
            </w:r>
            <w:r>
              <w:rPr>
                <w:rFonts w:ascii="Arial" w:hAnsi="Arial" w:eastAsia="宋体" w:cs="Arial"/>
                <w:b/>
                <w:sz w:val="21"/>
                <w:szCs w:val="21"/>
                <w:u w:val="single" w:color="000000"/>
              </w:rPr>
              <w:t>(/MedicalDevices/DeviceRegulationandGuidance/GuidanceDocuments/ucm070269.htm)</w:t>
            </w:r>
            <w:r>
              <w:rPr>
                <w:rFonts w:ascii="Arial" w:hAnsi="Arial" w:eastAsia="宋体" w:cs="Arial"/>
                <w:b/>
                <w:sz w:val="21"/>
                <w:szCs w:val="21"/>
                <w:u w:val="single" w:color="000000"/>
              </w:rPr>
              <w:fldChar w:fldCharType="end"/>
            </w:r>
          </w:p>
        </w:tc>
      </w:tr>
      <w:tr w14:paraId="1C9856C6">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4978EFDF">
            <w:pPr>
              <w:pStyle w:val="13"/>
              <w:snapToGrid w:val="0"/>
              <w:spacing w:before="120" w:beforeLines="50" w:after="120" w:afterLines="50" w:line="276" w:lineRule="auto"/>
              <w:rPr>
                <w:rFonts w:ascii="Arial" w:hAnsi="Arial" w:eastAsia="宋体" w:cs="Arial"/>
                <w:sz w:val="21"/>
                <w:szCs w:val="21"/>
              </w:rPr>
            </w:pPr>
            <w:r>
              <w:fldChar w:fldCharType="begin"/>
            </w:r>
            <w:r>
              <w:instrText xml:space="preserve"> HYPERLINK "https://www.fda.gov/MedicalDevices/DeviceRegulationandGuidance/GuidanceDocuments/ucm110228.htm" \h </w:instrText>
            </w:r>
            <w:r>
              <w:fldChar w:fldCharType="separate"/>
            </w:r>
            <w:r>
              <w:rPr>
                <w:rFonts w:ascii="Arial" w:hAnsi="Arial" w:eastAsia="宋体" w:cs="Arial"/>
                <w:b/>
                <w:sz w:val="21"/>
                <w:szCs w:val="21"/>
                <w:u w:val="single" w:color="000000"/>
              </w:rPr>
              <w:t>中心主任办公室最终指南</w:t>
            </w:r>
            <w:r>
              <w:rPr>
                <w:rFonts w:ascii="Arial" w:hAnsi="Arial" w:eastAsia="宋体" w:cs="Arial"/>
                <w:b/>
                <w:sz w:val="21"/>
                <w:szCs w:val="21"/>
                <w:u w:val="single" w:color="000000"/>
              </w:rPr>
              <w:fldChar w:fldCharType="end"/>
            </w:r>
            <w:r>
              <w:fldChar w:fldCharType="begin"/>
            </w:r>
            <w:r>
              <w:instrText xml:space="preserve"> HYPERLINK "https://www.fda.gov/MedicalDevices/DeviceRegulationandGuidance/GuidanceDocuments/ucm110228.htm" \h </w:instrText>
            </w:r>
            <w:r>
              <w:fldChar w:fldCharType="separate"/>
            </w:r>
            <w:r>
              <w:rPr>
                <w:rFonts w:ascii="Arial" w:hAnsi="Arial" w:eastAsia="宋体" w:cs="Arial"/>
                <w:b/>
                <w:sz w:val="21"/>
                <w:szCs w:val="21"/>
                <w:u w:val="single" w:color="000000"/>
              </w:rPr>
              <w:t>(/MedicalDevices/DeviceRegulationandGuidance/GuidanceDocuments/ucm110228.htm)</w:t>
            </w:r>
            <w:r>
              <w:rPr>
                <w:rFonts w:ascii="Arial" w:hAnsi="Arial" w:eastAsia="宋体" w:cs="Arial"/>
                <w:b/>
                <w:sz w:val="21"/>
                <w:szCs w:val="21"/>
                <w:u w:val="single" w:color="000000"/>
              </w:rPr>
              <w:fldChar w:fldCharType="end"/>
            </w:r>
          </w:p>
        </w:tc>
      </w:tr>
      <w:tr w14:paraId="61D7CC33">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46DA6119">
            <w:pPr>
              <w:pStyle w:val="13"/>
              <w:snapToGrid w:val="0"/>
              <w:spacing w:before="120" w:beforeLines="50" w:after="120" w:afterLines="50" w:line="276" w:lineRule="auto"/>
              <w:rPr>
                <w:rFonts w:ascii="Arial" w:hAnsi="Arial" w:eastAsia="宋体" w:cs="Arial"/>
                <w:sz w:val="21"/>
                <w:szCs w:val="21"/>
              </w:rPr>
            </w:pPr>
            <w:r>
              <w:rPr>
                <w:rFonts w:ascii="Arial" w:hAnsi="Arial" w:eastAsia="宋体" w:cs="Arial"/>
                <w:b/>
                <w:sz w:val="21"/>
                <w:szCs w:val="21"/>
                <w:u w:val="single" w:color="000000"/>
              </w:rPr>
              <w:t>交流和教育办公室最终指南(/MedicalDevices/DeviceRegulationandGuidance/GuidanceDocuments/ucm070271.htm)</w:t>
            </w:r>
          </w:p>
        </w:tc>
      </w:tr>
      <w:tr w14:paraId="382DACBE">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1FFF2101">
            <w:pPr>
              <w:pStyle w:val="13"/>
              <w:snapToGrid w:val="0"/>
              <w:spacing w:before="120" w:beforeLines="50" w:after="120" w:afterLines="50" w:line="276" w:lineRule="auto"/>
              <w:rPr>
                <w:rFonts w:ascii="Arial" w:hAnsi="Arial" w:eastAsia="宋体" w:cs="Arial"/>
                <w:sz w:val="21"/>
                <w:szCs w:val="21"/>
              </w:rPr>
            </w:pPr>
            <w:r>
              <w:rPr>
                <w:rFonts w:ascii="Arial" w:hAnsi="Arial" w:eastAsia="宋体" w:cs="Arial"/>
                <w:b/>
                <w:sz w:val="21"/>
                <w:szCs w:val="21"/>
                <w:u w:val="single" w:color="000000"/>
              </w:rPr>
              <w:t xml:space="preserve">器械评价办公室最终指南2010 - 2016 </w:t>
            </w:r>
            <w:r>
              <w:fldChar w:fldCharType="begin"/>
            </w:r>
            <w:r>
              <w:instrText xml:space="preserve"> HYPERLINK "https://www.fda.gov/MedicalDevices/DeviceRegulationandGuidance/GuidanceDocuments/ucm198577.htm" \h </w:instrText>
            </w:r>
            <w:r>
              <w:fldChar w:fldCharType="separate"/>
            </w:r>
            <w:r>
              <w:rPr>
                <w:rFonts w:ascii="Arial" w:hAnsi="Arial" w:eastAsia="宋体" w:cs="Arial"/>
                <w:b/>
                <w:sz w:val="21"/>
                <w:szCs w:val="21"/>
                <w:u w:val="single" w:color="000000"/>
              </w:rPr>
              <w:t>(/MedicalDevices/DeviceRegulationandGuidance/GuidanceDocuments/ucm198577.htm)</w:t>
            </w:r>
            <w:r>
              <w:rPr>
                <w:rFonts w:ascii="Arial" w:hAnsi="Arial" w:eastAsia="宋体" w:cs="Arial"/>
                <w:b/>
                <w:sz w:val="21"/>
                <w:szCs w:val="21"/>
                <w:u w:val="single" w:color="000000"/>
              </w:rPr>
              <w:fldChar w:fldCharType="end"/>
            </w:r>
          </w:p>
        </w:tc>
      </w:tr>
      <w:tr w14:paraId="4C6CFE78">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5DA8E3E5">
            <w:pPr>
              <w:pStyle w:val="13"/>
              <w:snapToGrid w:val="0"/>
              <w:spacing w:before="120" w:beforeLines="50" w:after="120" w:afterLines="50" w:line="276" w:lineRule="auto"/>
              <w:rPr>
                <w:rFonts w:ascii="Arial" w:hAnsi="Arial" w:eastAsia="宋体" w:cs="Arial"/>
                <w:sz w:val="21"/>
                <w:szCs w:val="21"/>
              </w:rPr>
            </w:pPr>
            <w:r>
              <w:fldChar w:fldCharType="begin"/>
            </w:r>
            <w:r>
              <w:instrText xml:space="preserve"> HYPERLINK "https://www.fda.gov/MedicalDevices/DeviceRegulationandGuidance/GuidanceDocuments/ucm070272.htm" \h </w:instrText>
            </w:r>
            <w:r>
              <w:fldChar w:fldCharType="separate"/>
            </w:r>
            <w:r>
              <w:rPr>
                <w:rFonts w:ascii="Arial" w:hAnsi="Arial" w:eastAsia="宋体" w:cs="Arial"/>
                <w:b/>
                <w:sz w:val="21"/>
                <w:szCs w:val="21"/>
                <w:u w:val="single" w:color="000000"/>
              </w:rPr>
              <w:t xml:space="preserve">器械评价办公室最终指南1998 - 2009 </w:t>
            </w:r>
            <w:r>
              <w:rPr>
                <w:rFonts w:ascii="Arial" w:hAnsi="Arial" w:eastAsia="宋体" w:cs="Arial"/>
                <w:b/>
                <w:sz w:val="21"/>
                <w:szCs w:val="21"/>
                <w:u w:val="single" w:color="000000"/>
              </w:rPr>
              <w:fldChar w:fldCharType="end"/>
            </w:r>
            <w:r>
              <w:fldChar w:fldCharType="begin"/>
            </w:r>
            <w:r>
              <w:instrText xml:space="preserve"> HYPERLINK "https://www.fda.gov/MedicalDevices/DeviceRegulationandGuidance/GuidanceDocuments/ucm070272.htm" \h </w:instrText>
            </w:r>
            <w:r>
              <w:fldChar w:fldCharType="separate"/>
            </w:r>
            <w:r>
              <w:rPr>
                <w:rFonts w:ascii="Arial" w:hAnsi="Arial" w:eastAsia="宋体" w:cs="Arial"/>
                <w:b/>
                <w:sz w:val="21"/>
                <w:szCs w:val="21"/>
                <w:u w:val="single" w:color="000000"/>
              </w:rPr>
              <w:t>(/MedicalDevices/DeviceRegulationandGuidance/GuidanceDocuments/ucm070272.htm)</w:t>
            </w:r>
            <w:r>
              <w:rPr>
                <w:rFonts w:ascii="Arial" w:hAnsi="Arial" w:eastAsia="宋体" w:cs="Arial"/>
                <w:b/>
                <w:sz w:val="21"/>
                <w:szCs w:val="21"/>
                <w:u w:val="single" w:color="000000"/>
              </w:rPr>
              <w:fldChar w:fldCharType="end"/>
            </w:r>
          </w:p>
        </w:tc>
      </w:tr>
      <w:tr w14:paraId="3BF25C93">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445F07AC">
            <w:pPr>
              <w:pStyle w:val="13"/>
              <w:snapToGrid w:val="0"/>
              <w:spacing w:before="120" w:beforeLines="50" w:after="120" w:afterLines="50" w:line="276" w:lineRule="auto"/>
              <w:rPr>
                <w:rFonts w:ascii="Arial" w:hAnsi="Arial" w:eastAsia="宋体" w:cs="Arial"/>
                <w:sz w:val="21"/>
                <w:szCs w:val="21"/>
              </w:rPr>
            </w:pPr>
            <w:r>
              <w:fldChar w:fldCharType="begin"/>
            </w:r>
            <w:r>
              <w:instrText xml:space="preserve"> HYPERLINK "https://www.fda.gov/MedicalDevices/DeviceRegulationandGuidance/GuidanceDocuments/ucm080283.htm" \h </w:instrText>
            </w:r>
            <w:r>
              <w:fldChar w:fldCharType="separate"/>
            </w:r>
            <w:r>
              <w:rPr>
                <w:rFonts w:ascii="Arial" w:hAnsi="Arial" w:eastAsia="宋体" w:cs="Arial"/>
                <w:b/>
                <w:sz w:val="21"/>
                <w:szCs w:val="21"/>
                <w:u w:val="single" w:color="000000"/>
              </w:rPr>
              <w:t xml:space="preserve">器械评价办公室最终指南1976 - 1997 </w:t>
            </w:r>
            <w:r>
              <w:rPr>
                <w:rFonts w:ascii="Arial" w:hAnsi="Arial" w:eastAsia="宋体" w:cs="Arial"/>
                <w:b/>
                <w:sz w:val="21"/>
                <w:szCs w:val="21"/>
                <w:u w:val="single" w:color="000000"/>
              </w:rPr>
              <w:fldChar w:fldCharType="end"/>
            </w:r>
            <w:r>
              <w:fldChar w:fldCharType="begin"/>
            </w:r>
            <w:r>
              <w:instrText xml:space="preserve"> HYPERLINK "https://www.fda.gov/MedicalDevices/DeviceRegulationandGuidance/GuidanceDocuments/ucm080283.htm" \h </w:instrText>
            </w:r>
            <w:r>
              <w:fldChar w:fldCharType="separate"/>
            </w:r>
            <w:r>
              <w:rPr>
                <w:rFonts w:ascii="Arial" w:hAnsi="Arial" w:eastAsia="宋体" w:cs="Arial"/>
                <w:b/>
                <w:sz w:val="21"/>
                <w:szCs w:val="21"/>
                <w:u w:val="single" w:color="000000"/>
              </w:rPr>
              <w:t>(/MedicalDevices/DeviceRegulationandGuidance/GuidanceDocuments/ucm080283.htm)</w:t>
            </w:r>
            <w:r>
              <w:rPr>
                <w:rFonts w:ascii="Arial" w:hAnsi="Arial" w:eastAsia="宋体" w:cs="Arial"/>
                <w:b/>
                <w:sz w:val="21"/>
                <w:szCs w:val="21"/>
                <w:u w:val="single" w:color="000000"/>
              </w:rPr>
              <w:fldChar w:fldCharType="end"/>
            </w:r>
          </w:p>
        </w:tc>
      </w:tr>
      <w:tr w14:paraId="7520C38C">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024AFA27">
            <w:pPr>
              <w:pStyle w:val="13"/>
              <w:snapToGrid w:val="0"/>
              <w:spacing w:before="120" w:beforeLines="50" w:after="120" w:afterLines="50" w:line="276" w:lineRule="auto"/>
              <w:rPr>
                <w:rFonts w:ascii="Arial" w:hAnsi="Arial" w:eastAsia="宋体" w:cs="Arial"/>
                <w:sz w:val="21"/>
                <w:szCs w:val="21"/>
              </w:rPr>
            </w:pPr>
            <w:r>
              <w:fldChar w:fldCharType="begin"/>
            </w:r>
            <w:r>
              <w:instrText xml:space="preserve"> HYPERLINK "https://www.fda.gov/MedicalDevices/DeviceRegulationandGuidance/GuidanceDocuments/ucm070274.htm" \h </w:instrText>
            </w:r>
            <w:r>
              <w:fldChar w:fldCharType="separate"/>
            </w:r>
            <w:r>
              <w:rPr>
                <w:rFonts w:ascii="Arial" w:hAnsi="Arial" w:eastAsia="宋体" w:cs="Arial"/>
                <w:b/>
                <w:sz w:val="21"/>
                <w:szCs w:val="21"/>
                <w:u w:val="single" w:color="000000"/>
              </w:rPr>
              <w:t>体外诊断和放射卫生办公室最终指南(/MedicalDevices/DeviceRegulationandGuidance/GuidanceDocuments/ucm070274.htm)</w:t>
            </w:r>
            <w:r>
              <w:rPr>
                <w:rFonts w:ascii="Arial" w:hAnsi="Arial" w:eastAsia="宋体" w:cs="Arial"/>
                <w:b/>
                <w:sz w:val="21"/>
                <w:szCs w:val="21"/>
                <w:u w:val="single" w:color="000000"/>
              </w:rPr>
              <w:fldChar w:fldCharType="end"/>
            </w:r>
          </w:p>
        </w:tc>
      </w:tr>
      <w:tr w14:paraId="79AF96AE">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42C5A7D4">
            <w:pPr>
              <w:pStyle w:val="13"/>
              <w:snapToGrid w:val="0"/>
              <w:spacing w:before="120" w:beforeLines="50" w:after="120" w:afterLines="50" w:line="276" w:lineRule="auto"/>
              <w:rPr>
                <w:rFonts w:ascii="Arial" w:hAnsi="Arial" w:eastAsia="宋体" w:cs="Arial"/>
                <w:sz w:val="21"/>
                <w:szCs w:val="21"/>
              </w:rPr>
            </w:pPr>
            <w:r>
              <w:rPr>
                <w:rFonts w:ascii="Arial" w:hAnsi="Arial" w:eastAsia="宋体" w:cs="Arial"/>
                <w:b/>
                <w:sz w:val="21"/>
                <w:szCs w:val="21"/>
                <w:u w:val="single" w:color="000000"/>
              </w:rPr>
              <w:t>监督和生物统计办公室最终指南(/MedicalDevices/Device</w:t>
            </w:r>
            <w:r>
              <w:fldChar w:fldCharType="begin"/>
            </w:r>
            <w:r>
              <w:instrText xml:space="preserve"> HYPERLINK "https://www.fda.gov/MedicalDevices/DeviceRegulationandGuidance/GuidanceDocuments/ucm070275.htm" \h </w:instrText>
            </w:r>
            <w:r>
              <w:fldChar w:fldCharType="separate"/>
            </w:r>
            <w:r>
              <w:rPr>
                <w:rFonts w:ascii="Arial" w:hAnsi="Arial" w:eastAsia="宋体" w:cs="Arial"/>
                <w:b/>
                <w:sz w:val="21"/>
                <w:szCs w:val="21"/>
                <w:u w:val="single" w:color="000000"/>
              </w:rPr>
              <w:t>RegulationandGuidance/GuidanceDocuments/ucm070275.htm)</w:t>
            </w:r>
            <w:r>
              <w:rPr>
                <w:rFonts w:ascii="Arial" w:hAnsi="Arial" w:eastAsia="宋体" w:cs="Arial"/>
                <w:b/>
                <w:sz w:val="21"/>
                <w:szCs w:val="21"/>
                <w:u w:val="single" w:color="000000"/>
              </w:rPr>
              <w:fldChar w:fldCharType="end"/>
            </w:r>
          </w:p>
        </w:tc>
      </w:tr>
      <w:tr w14:paraId="26CABD0B">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58DF5239">
            <w:pPr>
              <w:pStyle w:val="13"/>
              <w:snapToGrid w:val="0"/>
              <w:spacing w:before="120" w:beforeLines="50" w:after="120" w:afterLines="50" w:line="276" w:lineRule="auto"/>
              <w:rPr>
                <w:rFonts w:ascii="Arial" w:hAnsi="Arial" w:eastAsia="宋体" w:cs="Arial"/>
                <w:sz w:val="21"/>
                <w:szCs w:val="21"/>
              </w:rPr>
            </w:pPr>
            <w:r>
              <w:rPr>
                <w:rFonts w:ascii="Arial" w:hAnsi="Arial" w:eastAsia="宋体" w:cs="Arial"/>
                <w:b/>
                <w:sz w:val="21"/>
                <w:szCs w:val="21"/>
                <w:u w:val="single" w:color="000000"/>
              </w:rPr>
              <w:t>科学和工程实验室办公室最终指南</w:t>
            </w:r>
            <w:r>
              <w:fldChar w:fldCharType="begin"/>
            </w:r>
            <w:r>
              <w:instrText xml:space="preserve"> HYPERLINK "https://www.fda.gov/MedicalDevices/DeviceRegulationandGuidance/GuidanceDocuments/ucm070277.htm" \h </w:instrText>
            </w:r>
            <w:r>
              <w:fldChar w:fldCharType="separate"/>
            </w:r>
            <w:r>
              <w:rPr>
                <w:rFonts w:ascii="Arial" w:hAnsi="Arial" w:eastAsia="宋体" w:cs="Arial"/>
                <w:b/>
                <w:sz w:val="21"/>
                <w:szCs w:val="21"/>
                <w:u w:val="single" w:color="000000"/>
              </w:rPr>
              <w:t>(/MedicalDevices/DeviceRegulationandGuidance/GuidanceDocuments/ucm070277.htm)</w:t>
            </w:r>
            <w:r>
              <w:rPr>
                <w:rFonts w:ascii="Arial" w:hAnsi="Arial" w:eastAsia="宋体" w:cs="Arial"/>
                <w:b/>
                <w:sz w:val="21"/>
                <w:szCs w:val="21"/>
                <w:u w:val="single" w:color="000000"/>
              </w:rPr>
              <w:fldChar w:fldCharType="end"/>
            </w:r>
          </w:p>
        </w:tc>
      </w:tr>
      <w:tr w14:paraId="559E2498">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078F9CE1">
            <w:pPr>
              <w:pStyle w:val="13"/>
              <w:snapToGrid w:val="0"/>
              <w:spacing w:before="120" w:beforeLines="50" w:after="120" w:afterLines="50" w:line="276" w:lineRule="auto"/>
              <w:rPr>
                <w:rFonts w:ascii="Arial" w:hAnsi="Arial" w:eastAsia="宋体" w:cs="Arial"/>
                <w:sz w:val="21"/>
                <w:szCs w:val="21"/>
              </w:rPr>
            </w:pPr>
            <w:r>
              <w:fldChar w:fldCharType="begin"/>
            </w:r>
            <w:r>
              <w:instrText xml:space="preserve"> HYPERLINK "https://www.fda.gov/MedicalDevices/DeviceRegulationandGuidance/GuidanceDocuments/ucm407274.htm" \h </w:instrText>
            </w:r>
            <w:r>
              <w:fldChar w:fldCharType="separate"/>
            </w:r>
            <w:r>
              <w:rPr>
                <w:rFonts w:ascii="Arial" w:hAnsi="Arial" w:eastAsia="宋体" w:cs="Arial"/>
                <w:b/>
                <w:sz w:val="21"/>
                <w:szCs w:val="21"/>
                <w:u w:val="single" w:color="000000"/>
              </w:rPr>
              <w:t>指南草案</w:t>
            </w:r>
            <w:r>
              <w:rPr>
                <w:rFonts w:ascii="Arial" w:hAnsi="Arial" w:eastAsia="宋体" w:cs="Arial"/>
                <w:b/>
                <w:sz w:val="21"/>
                <w:szCs w:val="21"/>
                <w:u w:val="single" w:color="000000"/>
              </w:rPr>
              <w:fldChar w:fldCharType="end"/>
            </w:r>
            <w:r>
              <w:fldChar w:fldCharType="begin"/>
            </w:r>
            <w:r>
              <w:instrText xml:space="preserve"> HYPERLINK "https://www.fda.gov/MedicalDevices/DeviceRegulationandGuidance/GuidanceDocuments/ucm407274.htm" \h </w:instrText>
            </w:r>
            <w:r>
              <w:fldChar w:fldCharType="separate"/>
            </w:r>
            <w:r>
              <w:rPr>
                <w:rFonts w:ascii="Arial" w:hAnsi="Arial" w:eastAsia="宋体" w:cs="Arial"/>
                <w:b/>
                <w:sz w:val="21"/>
                <w:szCs w:val="21"/>
                <w:u w:val="single" w:color="000000"/>
              </w:rPr>
              <w:t>(/MedicalDevices/DeviceRegulationandGuidance/GuidanceDocuments/ucm407274.htm)</w:t>
            </w:r>
            <w:r>
              <w:rPr>
                <w:rFonts w:ascii="Arial" w:hAnsi="Arial" w:eastAsia="宋体" w:cs="Arial"/>
                <w:b/>
                <w:sz w:val="21"/>
                <w:szCs w:val="21"/>
                <w:u w:val="single" w:color="000000"/>
              </w:rPr>
              <w:fldChar w:fldCharType="end"/>
            </w:r>
          </w:p>
        </w:tc>
      </w:tr>
      <w:tr w14:paraId="0B02FA5B">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002F9CD9">
            <w:pPr>
              <w:pStyle w:val="13"/>
              <w:snapToGrid w:val="0"/>
              <w:spacing w:before="120" w:beforeLines="50" w:after="120" w:afterLines="50" w:line="276" w:lineRule="auto"/>
              <w:rPr>
                <w:rFonts w:ascii="Arial" w:hAnsi="Arial" w:eastAsia="宋体" w:cs="Arial"/>
                <w:sz w:val="21"/>
                <w:szCs w:val="21"/>
              </w:rPr>
            </w:pPr>
            <w:r>
              <w:fldChar w:fldCharType="begin"/>
            </w:r>
            <w:r>
              <w:instrText xml:space="preserve"> HYPERLINK "https://www.fda.gov/MedicalDevices/DeviceRegulationandGuidance/GuidanceDocuments/ucm283507.htm" \h </w:instrText>
            </w:r>
            <w:r>
              <w:fldChar w:fldCharType="separate"/>
            </w:r>
            <w:r>
              <w:rPr>
                <w:rFonts w:ascii="Arial" w:hAnsi="Arial" w:eastAsia="宋体" w:cs="Arial"/>
                <w:b/>
                <w:sz w:val="21"/>
                <w:szCs w:val="21"/>
                <w:u w:val="single" w:color="000000"/>
              </w:rPr>
              <w:t>辐射产品指南</w:t>
            </w:r>
            <w:r>
              <w:rPr>
                <w:rFonts w:ascii="Arial" w:hAnsi="Arial" w:eastAsia="宋体" w:cs="Arial"/>
                <w:b/>
                <w:sz w:val="21"/>
                <w:szCs w:val="21"/>
                <w:u w:val="single" w:color="000000"/>
              </w:rPr>
              <w:fldChar w:fldCharType="end"/>
            </w:r>
            <w:r>
              <w:fldChar w:fldCharType="begin"/>
            </w:r>
            <w:r>
              <w:instrText xml:space="preserve"> HYPERLINK "https://www.fda.gov/MedicalDevices/DeviceRegulationandGuidance/GuidanceDocuments/ucm283507.htm" \h </w:instrText>
            </w:r>
            <w:r>
              <w:fldChar w:fldCharType="separate"/>
            </w:r>
            <w:r>
              <w:rPr>
                <w:rFonts w:ascii="Arial" w:hAnsi="Arial" w:eastAsia="宋体" w:cs="Arial"/>
                <w:b/>
                <w:sz w:val="21"/>
                <w:szCs w:val="21"/>
                <w:u w:val="single" w:color="000000"/>
              </w:rPr>
              <w:t>(/MedicalDevices/DeviceRegulationandGuidance/GuidanceDocuments/ucm283507.htm)</w:t>
            </w:r>
            <w:r>
              <w:rPr>
                <w:rFonts w:ascii="Arial" w:hAnsi="Arial" w:eastAsia="宋体" w:cs="Arial"/>
                <w:b/>
                <w:sz w:val="21"/>
                <w:szCs w:val="21"/>
                <w:u w:val="single" w:color="000000"/>
              </w:rPr>
              <w:fldChar w:fldCharType="end"/>
            </w:r>
          </w:p>
        </w:tc>
      </w:tr>
      <w:tr w14:paraId="783605B5">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5000" w:type="pct"/>
          </w:tcPr>
          <w:p w14:paraId="58CB53B7">
            <w:pPr>
              <w:snapToGrid w:val="0"/>
              <w:spacing w:before="120" w:beforeLines="50" w:after="120" w:afterLines="50" w:line="276" w:lineRule="auto"/>
              <w:rPr>
                <w:rFonts w:ascii="Arial" w:hAnsi="Arial" w:eastAsia="宋体" w:cs="Arial"/>
                <w:sz w:val="21"/>
                <w:szCs w:val="21"/>
              </w:rPr>
            </w:pPr>
            <w:r>
              <w:fldChar w:fldCharType="begin"/>
            </w:r>
            <w:r>
              <w:instrText xml:space="preserve"> HYPERLINK "https://www.fda.gov/MedicalDevices/DeviceRegulationandGuidance/GuidanceDocuments/ucm425025.htm" \h </w:instrText>
            </w:r>
            <w:r>
              <w:fldChar w:fldCharType="separate"/>
            </w:r>
            <w:r>
              <w:rPr>
                <w:rFonts w:hint="eastAsia" w:ascii="Arial" w:eastAsia="宋体"/>
                <w:b/>
                <w:sz w:val="21"/>
                <w:szCs w:val="21"/>
                <w:u w:val="single" w:color="000000"/>
              </w:rPr>
              <w:t>撤回指南</w:t>
            </w:r>
            <w:r>
              <w:rPr>
                <w:rFonts w:hint="eastAsia" w:ascii="Arial" w:eastAsia="宋体"/>
                <w:b/>
                <w:sz w:val="21"/>
                <w:szCs w:val="21"/>
                <w:u w:val="single" w:color="000000"/>
              </w:rPr>
              <w:fldChar w:fldCharType="end"/>
            </w:r>
            <w:r>
              <w:fldChar w:fldCharType="begin"/>
            </w:r>
            <w:r>
              <w:instrText xml:space="preserve"> HYPERLINK "https://www.fda.gov/MedicalDevices/DeviceRegulationandGuidance/GuidanceDocuments/ucm425025.htm" \h </w:instrText>
            </w:r>
            <w:r>
              <w:fldChar w:fldCharType="separate"/>
            </w:r>
            <w:r>
              <w:rPr>
                <w:rFonts w:hint="eastAsia" w:ascii="Arial" w:eastAsia="宋体"/>
                <w:b/>
                <w:sz w:val="21"/>
                <w:szCs w:val="21"/>
                <w:u w:val="single" w:color="000000"/>
              </w:rPr>
              <w:t>(/MedicalDevices/DeviceRegulationandGuidance/GuidanceDocuments/ucm425025.htm)</w:t>
            </w:r>
            <w:r>
              <w:rPr>
                <w:rFonts w:hint="eastAsia" w:ascii="Arial" w:eastAsia="宋体"/>
                <w:b/>
                <w:sz w:val="21"/>
                <w:szCs w:val="21"/>
                <w:u w:val="single" w:color="000000"/>
              </w:rPr>
              <w:fldChar w:fldCharType="end"/>
            </w:r>
          </w:p>
        </w:tc>
      </w:tr>
    </w:tbl>
    <w:p w14:paraId="08B49EDA">
      <w:pPr>
        <w:snapToGrid w:val="0"/>
        <w:spacing w:after="240" w:afterLines="100" w:line="300" w:lineRule="auto"/>
        <w:jc w:val="both"/>
        <w:rPr>
          <w:rFonts w:ascii="Arial" w:hAnsi="Arial" w:eastAsia="宋体" w:cs="Arial"/>
          <w:sz w:val="24"/>
          <w:szCs w:val="24"/>
        </w:rPr>
      </w:pPr>
    </w:p>
    <w:p w14:paraId="149162CE">
      <w:pPr>
        <w:snapToGrid w:val="0"/>
        <w:spacing w:after="240" w:afterLines="100" w:line="300" w:lineRule="auto"/>
        <w:jc w:val="both"/>
        <w:rPr>
          <w:rFonts w:hint="eastAsia" w:eastAsia="宋体"/>
          <w:lang w:eastAsia="zh-CN"/>
        </w:rPr>
      </w:pPr>
    </w:p>
    <w:p w14:paraId="26669A5F">
      <w:pPr>
        <w:snapToGrid w:val="0"/>
        <w:spacing w:after="240" w:afterLines="100" w:line="300" w:lineRule="auto"/>
        <w:jc w:val="center"/>
        <w:rPr>
          <w:rFonts w:hint="eastAsia" w:eastAsia="宋体"/>
          <w:lang w:eastAsia="zh-CN"/>
        </w:rPr>
      </w:pPr>
    </w:p>
    <w:p w14:paraId="33571A07">
      <w:pPr>
        <w:snapToGrid w:val="0"/>
        <w:spacing w:after="240" w:afterLines="10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39"/>
      <w:pgMar w:top="1134" w:right="1440" w:bottom="1134" w:left="1440" w:header="283" w:footer="28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A418">
    <w:pPr>
      <w:tabs>
        <w:tab w:val="right" w:pos="9015"/>
      </w:tabs>
      <w:spacing w:line="184" w:lineRule="exact"/>
      <w:ind w:left="40"/>
      <w:rPr>
        <w:rFonts w:ascii="Arial" w:hAnsi="Arial" w:eastAsia="宋体" w:cs="Arial"/>
        <w:sz w:val="16"/>
        <w:szCs w:val="16"/>
      </w:rPr>
    </w:pPr>
    <w:r>
      <w:rPr>
        <w:rFonts w:hint="eastAsia" w:ascii="Arial" w:eastAsia="宋体"/>
        <w:sz w:val="16"/>
        <w:szCs w:val="16"/>
      </w:rPr>
      <w:t>https://</w:t>
    </w:r>
    <w:r>
      <w:fldChar w:fldCharType="begin"/>
    </w:r>
    <w:r>
      <w:instrText xml:space="preserve"> HYPERLINK "http://www.fda.gov/MedicalDevices/DeviceRegulationandGuidance/GuidanceDocuments/ucm107719.htm" \h </w:instrText>
    </w:r>
    <w:r>
      <w:fldChar w:fldCharType="separate"/>
    </w:r>
    <w:r>
      <w:rPr>
        <w:rFonts w:hint="eastAsia" w:ascii="Arial" w:eastAsia="宋体"/>
        <w:sz w:val="16"/>
        <w:szCs w:val="16"/>
      </w:rPr>
      <w:t>www.fda.gov/MedicalDevices/DeviceRegulationandGuidance/GuidanceDocuments/ucm107719.htm</w:t>
    </w:r>
    <w:r>
      <w:rPr>
        <w:rFonts w:hint="eastAsia" w:ascii="Arial" w:eastAsia="宋体"/>
        <w:sz w:val="16"/>
        <w:szCs w:val="16"/>
      </w:rPr>
      <w:fldChar w:fldCharType="end"/>
    </w:r>
    <w:r>
      <w:rPr>
        <w:rFonts w:hint="eastAsia" w:ascii="Arial" w:eastAsia="宋体"/>
        <w:sz w:val="16"/>
        <w:szCs w:val="16"/>
      </w:rPr>
      <w:tab/>
    </w:r>
    <w:r>
      <w:rPr>
        <w:sz w:val="16"/>
        <w:szCs w:val="16"/>
      </w:rPr>
      <w:fldChar w:fldCharType="begin"/>
    </w:r>
    <w:r>
      <w:rPr>
        <w:rFonts w:hint="eastAsia" w:ascii="Arial" w:eastAsia="宋体"/>
        <w:sz w:val="16"/>
        <w:szCs w:val="16"/>
      </w:rPr>
      <w:instrText xml:space="preserve"> PAGE </w:instrText>
    </w:r>
    <w:r>
      <w:rPr>
        <w:sz w:val="16"/>
        <w:szCs w:val="16"/>
      </w:rPr>
      <w:fldChar w:fldCharType="separate"/>
    </w:r>
    <w:r>
      <w:rPr>
        <w:rFonts w:ascii="Arial" w:eastAsia="宋体"/>
        <w:sz w:val="16"/>
        <w:szCs w:val="16"/>
      </w:rPr>
      <w:t>7</w:t>
    </w:r>
    <w:r>
      <w:rPr>
        <w:sz w:val="16"/>
        <w:szCs w:val="16"/>
      </w:rPr>
      <w:fldChar w:fldCharType="end"/>
    </w:r>
    <w:r>
      <w:rPr>
        <w:rFonts w:hint="eastAsia" w:ascii="Arial" w:eastAsia="宋体"/>
        <w:sz w:val="16"/>
        <w:szCs w:val="16"/>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13F8">
    <w:pPr>
      <w:spacing w:line="184" w:lineRule="exact"/>
      <w:ind w:left="20"/>
      <w:rPr>
        <w:rFonts w:ascii="Arial" w:hAnsi="Arial" w:eastAsia="宋体" w:cs="Arial"/>
        <w:sz w:val="16"/>
        <w:szCs w:val="16"/>
      </w:rPr>
    </w:pPr>
    <w:r>
      <w:rPr>
        <w:rFonts w:hint="eastAsia" w:ascii="Arial" w:hAnsi="Arial" w:eastAsia="宋体"/>
        <w:sz w:val="16"/>
        <w:szCs w:val="16"/>
      </w:rPr>
      <w:t>2017/8/10    指导性文件(医疗器械和辐射产品) &gt; FDA在2000年日期问题方面对医疗器械制造商的要求指南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86AE2"/>
    <w:multiLevelType w:val="multilevel"/>
    <w:tmpl w:val="2E286A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08D757E"/>
    <w:multiLevelType w:val="multilevel"/>
    <w:tmpl w:val="508D757E"/>
    <w:lvl w:ilvl="0" w:tentative="0">
      <w:start w:val="1"/>
      <w:numFmt w:val="decimal"/>
      <w:lvlText w:val="%1."/>
      <w:lvlJc w:val="left"/>
      <w:pPr>
        <w:ind w:left="372" w:hanging="273"/>
      </w:pPr>
      <w:rPr>
        <w:rFonts w:hint="default" w:ascii="Arial" w:hAnsi="Arial" w:eastAsia="Arial"/>
        <w:spacing w:val="0"/>
        <w:w w:val="102"/>
        <w:sz w:val="25"/>
        <w:szCs w:val="25"/>
      </w:rPr>
    </w:lvl>
    <w:lvl w:ilvl="1" w:tentative="0">
      <w:start w:val="1"/>
      <w:numFmt w:val="bullet"/>
      <w:lvlText w:val="•"/>
      <w:lvlJc w:val="left"/>
      <w:pPr>
        <w:ind w:left="1452" w:hanging="273"/>
      </w:pPr>
      <w:rPr>
        <w:rFonts w:hint="default"/>
      </w:rPr>
    </w:lvl>
    <w:lvl w:ilvl="2" w:tentative="0">
      <w:start w:val="1"/>
      <w:numFmt w:val="bullet"/>
      <w:lvlText w:val="•"/>
      <w:lvlJc w:val="left"/>
      <w:pPr>
        <w:ind w:left="2524" w:hanging="273"/>
      </w:pPr>
      <w:rPr>
        <w:rFonts w:hint="default"/>
      </w:rPr>
    </w:lvl>
    <w:lvl w:ilvl="3" w:tentative="0">
      <w:start w:val="1"/>
      <w:numFmt w:val="bullet"/>
      <w:lvlText w:val="•"/>
      <w:lvlJc w:val="left"/>
      <w:pPr>
        <w:ind w:left="3596" w:hanging="273"/>
      </w:pPr>
      <w:rPr>
        <w:rFonts w:hint="default"/>
      </w:rPr>
    </w:lvl>
    <w:lvl w:ilvl="4" w:tentative="0">
      <w:start w:val="1"/>
      <w:numFmt w:val="bullet"/>
      <w:lvlText w:val="•"/>
      <w:lvlJc w:val="left"/>
      <w:pPr>
        <w:ind w:left="4668" w:hanging="273"/>
      </w:pPr>
      <w:rPr>
        <w:rFonts w:hint="default"/>
      </w:rPr>
    </w:lvl>
    <w:lvl w:ilvl="5" w:tentative="0">
      <w:start w:val="1"/>
      <w:numFmt w:val="bullet"/>
      <w:lvlText w:val="•"/>
      <w:lvlJc w:val="left"/>
      <w:pPr>
        <w:ind w:left="5740" w:hanging="273"/>
      </w:pPr>
      <w:rPr>
        <w:rFonts w:hint="default"/>
      </w:rPr>
    </w:lvl>
    <w:lvl w:ilvl="6" w:tentative="0">
      <w:start w:val="1"/>
      <w:numFmt w:val="bullet"/>
      <w:lvlText w:val="•"/>
      <w:lvlJc w:val="left"/>
      <w:pPr>
        <w:ind w:left="6812" w:hanging="273"/>
      </w:pPr>
      <w:rPr>
        <w:rFonts w:hint="default"/>
      </w:rPr>
    </w:lvl>
    <w:lvl w:ilvl="7" w:tentative="0">
      <w:start w:val="1"/>
      <w:numFmt w:val="bullet"/>
      <w:lvlText w:val="•"/>
      <w:lvlJc w:val="left"/>
      <w:pPr>
        <w:ind w:left="7884" w:hanging="273"/>
      </w:pPr>
      <w:rPr>
        <w:rFonts w:hint="default"/>
      </w:rPr>
    </w:lvl>
    <w:lvl w:ilvl="8" w:tentative="0">
      <w:start w:val="1"/>
      <w:numFmt w:val="bullet"/>
      <w:lvlText w:val="•"/>
      <w:lvlJc w:val="left"/>
      <w:pPr>
        <w:ind w:left="8956" w:hanging="273"/>
      </w:pPr>
      <w:rPr>
        <w:rFonts w:hint="default"/>
      </w:rPr>
    </w:lvl>
  </w:abstractNum>
  <w:abstractNum w:abstractNumId="2">
    <w:nsid w:val="6FAA2E22"/>
    <w:multiLevelType w:val="multilevel"/>
    <w:tmpl w:val="6FAA2E22"/>
    <w:lvl w:ilvl="0" w:tentative="0">
      <w:start w:val="1"/>
      <w:numFmt w:val="upperRoman"/>
      <w:lvlText w:val="%1."/>
      <w:lvlJc w:val="left"/>
      <w:pPr>
        <w:ind w:left="120" w:hanging="193"/>
      </w:pPr>
      <w:rPr>
        <w:rFonts w:hint="default" w:ascii="Arial" w:hAnsi="Arial" w:eastAsia="Arial"/>
        <w:b/>
        <w:bCs/>
        <w:spacing w:val="-8"/>
        <w:w w:val="102"/>
        <w:sz w:val="28"/>
        <w:szCs w:val="28"/>
      </w:rPr>
    </w:lvl>
    <w:lvl w:ilvl="1" w:tentative="0">
      <w:start w:val="1"/>
      <w:numFmt w:val="bullet"/>
      <w:lvlText w:val="•"/>
      <w:lvlJc w:val="left"/>
      <w:pPr>
        <w:ind w:left="1222" w:hanging="193"/>
      </w:pPr>
      <w:rPr>
        <w:rFonts w:hint="default"/>
      </w:rPr>
    </w:lvl>
    <w:lvl w:ilvl="2" w:tentative="0">
      <w:start w:val="1"/>
      <w:numFmt w:val="bullet"/>
      <w:lvlText w:val="•"/>
      <w:lvlJc w:val="left"/>
      <w:pPr>
        <w:ind w:left="2324" w:hanging="193"/>
      </w:pPr>
      <w:rPr>
        <w:rFonts w:hint="default"/>
      </w:rPr>
    </w:lvl>
    <w:lvl w:ilvl="3" w:tentative="0">
      <w:start w:val="1"/>
      <w:numFmt w:val="bullet"/>
      <w:lvlText w:val="•"/>
      <w:lvlJc w:val="left"/>
      <w:pPr>
        <w:ind w:left="3426" w:hanging="193"/>
      </w:pPr>
      <w:rPr>
        <w:rFonts w:hint="default"/>
      </w:rPr>
    </w:lvl>
    <w:lvl w:ilvl="4" w:tentative="0">
      <w:start w:val="1"/>
      <w:numFmt w:val="bullet"/>
      <w:lvlText w:val="•"/>
      <w:lvlJc w:val="left"/>
      <w:pPr>
        <w:ind w:left="4528" w:hanging="193"/>
      </w:pPr>
      <w:rPr>
        <w:rFonts w:hint="default"/>
      </w:rPr>
    </w:lvl>
    <w:lvl w:ilvl="5" w:tentative="0">
      <w:start w:val="1"/>
      <w:numFmt w:val="bullet"/>
      <w:lvlText w:val="•"/>
      <w:lvlJc w:val="left"/>
      <w:pPr>
        <w:ind w:left="5630" w:hanging="193"/>
      </w:pPr>
      <w:rPr>
        <w:rFonts w:hint="default"/>
      </w:rPr>
    </w:lvl>
    <w:lvl w:ilvl="6" w:tentative="0">
      <w:start w:val="1"/>
      <w:numFmt w:val="bullet"/>
      <w:lvlText w:val="•"/>
      <w:lvlJc w:val="left"/>
      <w:pPr>
        <w:ind w:left="6732" w:hanging="193"/>
      </w:pPr>
      <w:rPr>
        <w:rFonts w:hint="default"/>
      </w:rPr>
    </w:lvl>
    <w:lvl w:ilvl="7" w:tentative="0">
      <w:start w:val="1"/>
      <w:numFmt w:val="bullet"/>
      <w:lvlText w:val="•"/>
      <w:lvlJc w:val="left"/>
      <w:pPr>
        <w:ind w:left="7834" w:hanging="193"/>
      </w:pPr>
      <w:rPr>
        <w:rFonts w:hint="default"/>
      </w:rPr>
    </w:lvl>
    <w:lvl w:ilvl="8" w:tentative="0">
      <w:start w:val="1"/>
      <w:numFmt w:val="bullet"/>
      <w:lvlText w:val="•"/>
      <w:lvlJc w:val="left"/>
      <w:pPr>
        <w:ind w:left="8936" w:hanging="19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39"/>
    <w:rsid w:val="000101EC"/>
    <w:rsid w:val="000D64D6"/>
    <w:rsid w:val="0012236A"/>
    <w:rsid w:val="001308AE"/>
    <w:rsid w:val="001414DC"/>
    <w:rsid w:val="001469EC"/>
    <w:rsid w:val="00152758"/>
    <w:rsid w:val="00163811"/>
    <w:rsid w:val="001C58BD"/>
    <w:rsid w:val="002F6D47"/>
    <w:rsid w:val="00300563"/>
    <w:rsid w:val="00326A34"/>
    <w:rsid w:val="003363CB"/>
    <w:rsid w:val="004640B0"/>
    <w:rsid w:val="00477838"/>
    <w:rsid w:val="004C1FA0"/>
    <w:rsid w:val="005622C4"/>
    <w:rsid w:val="00597B35"/>
    <w:rsid w:val="00637A6B"/>
    <w:rsid w:val="006F0C05"/>
    <w:rsid w:val="007978F0"/>
    <w:rsid w:val="00810748"/>
    <w:rsid w:val="00854574"/>
    <w:rsid w:val="008576ED"/>
    <w:rsid w:val="008B0CA5"/>
    <w:rsid w:val="008E1523"/>
    <w:rsid w:val="00A43D39"/>
    <w:rsid w:val="00AA0A38"/>
    <w:rsid w:val="00AB7BEE"/>
    <w:rsid w:val="00AF4985"/>
    <w:rsid w:val="00B310A2"/>
    <w:rsid w:val="00BC209D"/>
    <w:rsid w:val="00BD55AC"/>
    <w:rsid w:val="00D424A2"/>
    <w:rsid w:val="00D441BB"/>
    <w:rsid w:val="00D82839"/>
    <w:rsid w:val="00DA3379"/>
    <w:rsid w:val="00F52567"/>
    <w:rsid w:val="00FB19F7"/>
    <w:rsid w:val="00FC3992"/>
    <w:rsid w:val="00FE1DF3"/>
    <w:rsid w:val="4A722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20"/>
      <w:outlineLvl w:val="0"/>
    </w:pPr>
    <w:rPr>
      <w:rFonts w:ascii="Arial" w:hAnsi="Arial" w:eastAsia="宋体"/>
      <w:b/>
      <w:bCs/>
      <w:sz w:val="25"/>
      <w:szCs w:val="25"/>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Arial" w:hAnsi="Arial" w:eastAsia="宋体"/>
      <w:sz w:val="25"/>
      <w:szCs w:val="25"/>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4460</Words>
  <Characters>6113</Characters>
  <Lines>60</Lines>
  <Paragraphs>17</Paragraphs>
  <TotalTime>1</TotalTime>
  <ScaleCrop>false</ScaleCrop>
  <LinksUpToDate>false</LinksUpToDate>
  <CharactersWithSpaces>6147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2017-12-18T13:09:00Z</dcterms:created>
  <dc:creator>MJ</dc:creator>
  <cp:lastModifiedBy>太极箫客</cp:lastModifiedBy>
  <dcterms:modified xsi:type="dcterms:W3CDTF">2025-08-14T06:16:38Z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A361381ADF544D29996E9C4A9CCE2EC1_12</vt:lpwstr>
  </property>
</Properties>
</file>