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1C453D">
      <w:pPr>
        <w:jc w:val="right"/>
        <w:rPr>
          <w:rFonts w:ascii="Arial" w:hAnsi="Arial" w:eastAsia="宋体" w:cs="Arial"/>
        </w:rPr>
      </w:pPr>
      <w:bookmarkStart w:id="23" w:name="_GoBack"/>
      <w:bookmarkEnd w:id="23"/>
      <w:r>
        <w:rPr>
          <w:rFonts w:ascii="Arial" w:hAnsi="Arial" w:eastAsia="宋体" w:cs="Arial"/>
        </w:rPr>
        <mc:AlternateContent>
          <mc:Choice Requires="wps">
            <w:drawing>
              <wp:anchor distT="0" distB="0" distL="114300" distR="114300" simplePos="0" relativeHeight="251659264" behindDoc="0" locked="0" layoutInCell="1" allowOverlap="1">
                <wp:simplePos x="0" y="0"/>
                <wp:positionH relativeFrom="column">
                  <wp:posOffset>1797685</wp:posOffset>
                </wp:positionH>
                <wp:positionV relativeFrom="paragraph">
                  <wp:posOffset>-149225</wp:posOffset>
                </wp:positionV>
                <wp:extent cx="661670" cy="3683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61916" cy="3684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F9014D">
                            <w:r>
                              <w:drawing>
                                <wp:inline distT="0" distB="0" distL="0" distR="0">
                                  <wp:extent cx="327660" cy="27051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327660" cy="2705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1.55pt;margin-top:-11.75pt;height:29pt;width:52.1pt;z-index:251659264;mso-width-relative:page;mso-height-relative:page;" filled="f" stroked="f" coordsize="21600,21600" o:gfxdata="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Mx341PbAAAACgEAAA8AAAAAAAAAAQAgAAAA&#10;IgAAAGRycy9kb3ducmV2LnhtbFBLAQIUABQAAAAIAIdO4kAoUvwzQQIAAHMEAAAOAAAAAAAAAAEA&#10;IAAAACoBAABkcnMvZTJvRG9jLnhtbFBLBQYAAAAABgAGAFkBAADdBQAAAAA=&#10;">
                <v:fill on="f" focussize="0,0"/>
                <v:stroke on="f" weight="0.5pt"/>
                <v:imagedata o:title=""/>
                <o:lock v:ext="edit" aspectratio="f"/>
                <v:textbox>
                  <w:txbxContent>
                    <w:p w14:paraId="5EF9014D">
                      <w:r>
                        <w:drawing>
                          <wp:inline distT="0" distB="0" distL="0" distR="0">
                            <wp:extent cx="327660" cy="27051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327660" cy="270510"/>
                                    </a:xfrm>
                                    <a:prstGeom prst="rect">
                                      <a:avLst/>
                                    </a:prstGeom>
                                  </pic:spPr>
                                </pic:pic>
                              </a:graphicData>
                            </a:graphic>
                          </wp:inline>
                        </w:drawing>
                      </w:r>
                    </w:p>
                  </w:txbxContent>
                </v:textbox>
              </v:shape>
            </w:pict>
          </mc:Fallback>
        </mc:AlternateContent>
      </w:r>
      <w:r>
        <w:rPr>
          <w:rFonts w:ascii="Arial" w:hAnsi="Arial" w:eastAsia="宋体" w:cs="Arial"/>
        </w:rPr>
        <w:t>文件编号：Ares(2015)2029798 - 2015年5月13日</w:t>
      </w:r>
    </w:p>
    <w:p w14:paraId="26503EBC">
      <w:pPr>
        <w:rPr>
          <w:rFonts w:ascii="Arial" w:hAnsi="Arial" w:eastAsia="宋体" w:cs="Arial"/>
        </w:rPr>
      </w:pPr>
    </w:p>
    <w:p w14:paraId="71280DB2">
      <w:pPr>
        <w:rPr>
          <w:rFonts w:ascii="Arial" w:hAnsi="Arial" w:eastAsia="宋体" w:cs="Arial"/>
          <w:b/>
          <w:color w:val="00008B"/>
        </w:rPr>
      </w:pPr>
      <w:r>
        <w:rPr>
          <w:rFonts w:ascii="Arial" w:hAnsi="Arial" w:eastAsia="宋体" w:cs="Arial"/>
          <w:b/>
          <w:color w:val="00008B"/>
        </w:rPr>
        <w:t>欧盟委员会</w:t>
      </w:r>
    </w:p>
    <w:p w14:paraId="5E442B73">
      <w:pPr>
        <w:rPr>
          <w:rFonts w:ascii="Arial" w:hAnsi="Arial" w:eastAsia="宋体" w:cs="Arial"/>
          <w:b/>
          <w:color w:val="00008B"/>
        </w:rPr>
      </w:pPr>
      <w:r>
        <w:rPr>
          <w:rFonts w:ascii="Arial" w:hAnsi="Arial" w:eastAsia="宋体" w:cs="Arial"/>
          <w:b/>
          <w:color w:val="00008B"/>
        </w:rPr>
        <w:t>企业总署</w:t>
      </w:r>
    </w:p>
    <w:p w14:paraId="14D76C21">
      <w:pPr>
        <w:rPr>
          <w:rFonts w:ascii="Arial" w:hAnsi="Arial" w:eastAsia="宋体" w:cs="Arial"/>
          <w:b/>
          <w:color w:val="00008B"/>
        </w:rPr>
      </w:pPr>
      <w:r>
        <w:rPr>
          <w:rFonts w:ascii="Arial" w:hAnsi="Arial" w:eastAsia="宋体" w:cs="Arial"/>
          <w:b/>
          <w:color w:val="00008B"/>
        </w:rPr>
        <w:t>G署</w:t>
      </w:r>
    </w:p>
    <w:p w14:paraId="1B32E837">
      <w:pPr>
        <w:rPr>
          <w:rFonts w:ascii="Arial" w:hAnsi="Arial" w:eastAsia="宋体" w:cs="Arial"/>
          <w:b/>
          <w:color w:val="00008B"/>
        </w:rPr>
      </w:pPr>
      <w:r>
        <w:rPr>
          <w:rFonts w:ascii="Arial" w:hAnsi="Arial" w:eastAsia="宋体" w:cs="Arial"/>
          <w:b/>
          <w:color w:val="00008B"/>
        </w:rPr>
        <w:t>第4部分－压力设备、医疗器械、</w:t>
      </w:r>
      <w:r>
        <w:rPr>
          <w:rFonts w:hint="eastAsia" w:ascii="Arial" w:hAnsi="Arial" w:eastAsia="宋体" w:cs="Arial"/>
          <w:b/>
          <w:color w:val="00008B"/>
        </w:rPr>
        <w:t>计量学</w:t>
      </w:r>
    </w:p>
    <w:p w14:paraId="2D710156">
      <w:pPr>
        <w:rPr>
          <w:rFonts w:ascii="Arial" w:hAnsi="Arial" w:eastAsia="宋体" w:cs="Arial"/>
          <w:color w:val="00008B"/>
        </w:rPr>
      </w:pPr>
    </w:p>
    <w:p w14:paraId="21BC9F9F">
      <w:pPr>
        <w:rPr>
          <w:rFonts w:ascii="Arial" w:hAnsi="Arial" w:eastAsia="宋体" w:cs="Arial"/>
          <w:color w:val="00008B"/>
        </w:rPr>
      </w:pPr>
    </w:p>
    <w:p w14:paraId="049FF934">
      <w:pPr>
        <w:jc w:val="center"/>
        <w:rPr>
          <w:rFonts w:ascii="Arial" w:hAnsi="Arial" w:eastAsia="宋体" w:cs="Arial"/>
          <w:b/>
          <w:color w:val="00008B"/>
        </w:rPr>
      </w:pPr>
      <w:r>
        <w:rPr>
          <w:rFonts w:ascii="Arial" w:hAnsi="Arial" w:eastAsia="宋体" w:cs="Arial"/>
          <w:b/>
          <w:color w:val="00008B"/>
        </w:rPr>
        <w:t>医疗器械：指导性文件</w:t>
      </w:r>
    </w:p>
    <w:p w14:paraId="2617ADF5">
      <w:pPr>
        <w:rPr>
          <w:rFonts w:ascii="Arial" w:hAnsi="Arial" w:eastAsia="宋体" w:cs="Arial"/>
        </w:rPr>
      </w:pPr>
      <w:r>
        <w:rPr>
          <w:rFonts w:ascii="Arial" w:hAnsi="Arial" w:eastAsia="宋体" w:cs="Arial"/>
        </w:rP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102870</wp:posOffset>
                </wp:positionV>
                <wp:extent cx="5248275" cy="0"/>
                <wp:effectExtent l="0" t="0" r="28575" b="19050"/>
                <wp:wrapNone/>
                <wp:docPr id="3" name="直接连接符 3"/>
                <wp:cNvGraphicFramePr/>
                <a:graphic xmlns:a="http://schemas.openxmlformats.org/drawingml/2006/main">
                  <a:graphicData uri="http://schemas.microsoft.com/office/word/2010/wordprocessingShape">
                    <wps:wsp>
                      <wps:cNvCnPr/>
                      <wps:spPr>
                        <a:xfrm>
                          <a:off x="0" y="0"/>
                          <a:ext cx="5248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45pt;margin-top:8.1pt;height:0pt;width:413.25pt;z-index:251660288;mso-width-relative:page;mso-height-relative:page;" filled="f" stroked="t" coordsize="21600,21600" o:gfxdata="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5PGin0wAAAAcBAAAPAAAAAAAAAAEAIAAA&#10;ACIAAABkcnMvZG93bnJldi54bWxQSwECFAAUAAAACACHTuJA83GI0NgBAACaAwAADgAAAAAAAAAB&#10;ACAAAAAiAQAAZHJzL2Uyb0RvYy54bWxQSwUGAAAAAAYABgBZAQAAbAUAAAAA&#10;">
                <v:fill on="f" focussize="0,0"/>
                <v:stroke color="#000000 [3213]" joinstyle="round"/>
                <v:imagedata o:title=""/>
                <o:lock v:ext="edit" aspectratio="f"/>
              </v:line>
            </w:pict>
          </mc:Fallback>
        </mc:AlternateContent>
      </w:r>
    </w:p>
    <w:p w14:paraId="5E1F6A3E">
      <w:pPr>
        <w:rPr>
          <w:rFonts w:ascii="Arial" w:hAnsi="Arial" w:eastAsia="宋体" w:cs="Arial"/>
        </w:rPr>
      </w:pPr>
    </w:p>
    <w:p w14:paraId="02054A23">
      <w:pPr>
        <w:rPr>
          <w:rFonts w:ascii="Arial" w:hAnsi="Arial" w:eastAsia="宋体" w:cs="Arial"/>
        </w:rPr>
      </w:pPr>
    </w:p>
    <w:tbl>
      <w:tblPr>
        <w:tblStyle w:val="6"/>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8"/>
      </w:tblGrid>
      <w:tr w14:paraId="4B55F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2318" w:type="dxa"/>
            <w:shd w:val="clear" w:color="auto" w:fill="F1F1F1" w:themeFill="background1" w:themeFillShade="F2"/>
            <w:vAlign w:val="center"/>
          </w:tcPr>
          <w:p w14:paraId="6B106995">
            <w:pPr>
              <w:jc w:val="center"/>
              <w:rPr>
                <w:rFonts w:ascii="Arial" w:hAnsi="Arial" w:eastAsia="宋体" w:cs="Arial"/>
                <w:b/>
              </w:rPr>
            </w:pPr>
            <w:bookmarkStart w:id="0" w:name="OLE_LINK12"/>
            <w:bookmarkStart w:id="1" w:name="OLE_LINK11"/>
            <w:r>
              <w:rPr>
                <w:rFonts w:ascii="Arial" w:hAnsi="Arial" w:eastAsia="宋体" w:cs="Arial"/>
                <w:b/>
              </w:rPr>
              <w:t>MEDDEV 2. 2/1</w:t>
            </w:r>
            <w:bookmarkEnd w:id="0"/>
            <w:r>
              <w:rPr>
                <w:rFonts w:ascii="Arial" w:hAnsi="Arial" w:eastAsia="宋体" w:cs="Arial"/>
                <w:b/>
              </w:rPr>
              <w:t>第1版</w:t>
            </w:r>
          </w:p>
        </w:tc>
      </w:tr>
      <w:tr w14:paraId="6E4AC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2318" w:type="dxa"/>
            <w:shd w:val="clear" w:color="auto" w:fill="F1F1F1" w:themeFill="background1" w:themeFillShade="F2"/>
            <w:vAlign w:val="center"/>
          </w:tcPr>
          <w:p w14:paraId="7780C399">
            <w:pPr>
              <w:jc w:val="center"/>
              <w:rPr>
                <w:rFonts w:ascii="Arial" w:hAnsi="Arial" w:eastAsia="宋体" w:cs="Arial"/>
                <w:b/>
              </w:rPr>
            </w:pPr>
            <w:bookmarkStart w:id="2" w:name="OLE_LINK13"/>
            <w:bookmarkStart w:id="3" w:name="OLE_LINK14"/>
            <w:r>
              <w:rPr>
                <w:rFonts w:ascii="Arial" w:hAnsi="Arial" w:eastAsia="宋体" w:cs="Arial"/>
                <w:b/>
              </w:rPr>
              <w:t>1998年2月</w:t>
            </w:r>
            <w:bookmarkEnd w:id="2"/>
            <w:bookmarkEnd w:id="3"/>
          </w:p>
        </w:tc>
      </w:tr>
      <w:bookmarkEnd w:id="1"/>
    </w:tbl>
    <w:p w14:paraId="51EE1FE1">
      <w:pPr>
        <w:rPr>
          <w:rFonts w:ascii="Arial" w:hAnsi="Arial" w:eastAsia="宋体" w:cs="Arial"/>
        </w:rPr>
      </w:pPr>
    </w:p>
    <w:p w14:paraId="160B9002">
      <w:pPr>
        <w:rPr>
          <w:rFonts w:ascii="Arial" w:hAnsi="Arial" w:eastAsia="宋体" w:cs="Arial"/>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F672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4F529684">
            <w:pPr>
              <w:jc w:val="center"/>
              <w:rPr>
                <w:rFonts w:ascii="Arial" w:hAnsi="Arial" w:eastAsia="宋体" w:cs="Arial"/>
                <w:b/>
              </w:rPr>
            </w:pPr>
            <w:bookmarkStart w:id="4" w:name="OLE_LINK9"/>
          </w:p>
          <w:p w14:paraId="11927D84">
            <w:pPr>
              <w:jc w:val="center"/>
              <w:rPr>
                <w:rFonts w:ascii="Arial" w:hAnsi="Arial" w:eastAsia="宋体" w:cs="Arial"/>
                <w:b/>
              </w:rPr>
            </w:pPr>
            <w:r>
              <w:rPr>
                <w:rFonts w:ascii="Arial" w:hAnsi="Arial" w:eastAsia="宋体" w:cs="Arial"/>
                <w:b/>
              </w:rPr>
              <w:t>欧盟理事会有源植入式医疗器械指令90/385/EEC</w:t>
            </w:r>
          </w:p>
          <w:p w14:paraId="3CB06731">
            <w:pPr>
              <w:jc w:val="center"/>
              <w:rPr>
                <w:rFonts w:ascii="Arial" w:hAnsi="Arial" w:eastAsia="宋体" w:cs="Arial"/>
                <w:b/>
              </w:rPr>
            </w:pPr>
            <w:r>
              <w:rPr>
                <w:rFonts w:ascii="Arial" w:hAnsi="Arial" w:eastAsia="宋体" w:cs="Arial"/>
                <w:b/>
              </w:rPr>
              <w:t>和欧盟理事会医疗器械指令93/42/EEC的应用指南</w:t>
            </w:r>
            <w:bookmarkEnd w:id="4"/>
          </w:p>
          <w:p w14:paraId="16687E16">
            <w:pPr>
              <w:jc w:val="center"/>
              <w:rPr>
                <w:rFonts w:ascii="Arial" w:hAnsi="Arial" w:eastAsia="宋体" w:cs="Arial"/>
              </w:rPr>
            </w:pPr>
          </w:p>
        </w:tc>
      </w:tr>
    </w:tbl>
    <w:p w14:paraId="3A786ADA">
      <w:pPr>
        <w:rPr>
          <w:rFonts w:ascii="Arial" w:hAnsi="Arial" w:eastAsia="宋体" w:cs="Arial"/>
        </w:rPr>
      </w:pPr>
    </w:p>
    <w:p w14:paraId="5D4A3E19">
      <w:pPr>
        <w:rPr>
          <w:rFonts w:ascii="Arial" w:hAnsi="Arial" w:eastAsia="宋体" w:cs="Arial"/>
        </w:rPr>
      </w:pPr>
    </w:p>
    <w:p w14:paraId="7159C74E">
      <w:pPr>
        <w:jc w:val="center"/>
        <w:rPr>
          <w:rFonts w:ascii="Arial" w:hAnsi="Arial" w:eastAsia="宋体" w:cs="Arial"/>
          <w:b/>
          <w:u w:val="single"/>
        </w:rPr>
      </w:pPr>
      <w:r>
        <w:rPr>
          <w:rFonts w:ascii="Arial" w:hAnsi="Arial" w:eastAsia="宋体" w:cs="Arial"/>
          <w:b/>
          <w:u w:val="single"/>
        </w:rPr>
        <w:t>“电磁兼容性要求”</w:t>
      </w:r>
    </w:p>
    <w:p w14:paraId="502FD354">
      <w:pPr>
        <w:rPr>
          <w:rFonts w:ascii="Arial" w:hAnsi="Arial" w:eastAsia="宋体" w:cs="Arial"/>
        </w:rPr>
      </w:pPr>
    </w:p>
    <w:p w14:paraId="63E02392">
      <w:pPr>
        <w:rPr>
          <w:rFonts w:ascii="Arial" w:hAnsi="Arial" w:eastAsia="宋体" w:cs="Arial"/>
        </w:rPr>
      </w:pPr>
    </w:p>
    <w:p w14:paraId="46E4CA74">
      <w:pPr>
        <w:rPr>
          <w:rFonts w:ascii="Arial" w:hAnsi="Arial" w:eastAsia="宋体" w:cs="Arial"/>
        </w:rPr>
      </w:pPr>
    </w:p>
    <w:p w14:paraId="79F09C67">
      <w:pPr>
        <w:rPr>
          <w:rFonts w:ascii="Arial" w:hAnsi="Arial" w:eastAsia="宋体" w:cs="Arial"/>
        </w:rPr>
      </w:pPr>
    </w:p>
    <w:p w14:paraId="1FD607E7">
      <w:pPr>
        <w:rPr>
          <w:rFonts w:ascii="Arial" w:hAnsi="Arial" w:eastAsia="宋体" w:cs="Arial"/>
        </w:rPr>
      </w:pPr>
    </w:p>
    <w:p w14:paraId="44B325B2">
      <w:pPr>
        <w:rPr>
          <w:rFonts w:ascii="Arial" w:hAnsi="Arial" w:eastAsia="宋体" w:cs="Arial"/>
        </w:rPr>
      </w:pPr>
    </w:p>
    <w:p w14:paraId="0EE2D979">
      <w:pPr>
        <w:rPr>
          <w:rFonts w:ascii="Arial" w:hAnsi="Arial" w:eastAsia="宋体" w:cs="Arial"/>
        </w:rPr>
      </w:pPr>
    </w:p>
    <w:p w14:paraId="62121479">
      <w:pPr>
        <w:rPr>
          <w:rFonts w:ascii="Arial" w:hAnsi="Arial" w:eastAsia="宋体" w:cs="Arial"/>
        </w:rPr>
      </w:pPr>
    </w:p>
    <w:p w14:paraId="3E743C80">
      <w:pPr>
        <w:rPr>
          <w:rFonts w:ascii="Arial" w:hAnsi="Arial" w:eastAsia="宋体" w:cs="Arial"/>
        </w:rPr>
      </w:pPr>
    </w:p>
    <w:p w14:paraId="4D955535">
      <w:pPr>
        <w:rPr>
          <w:rFonts w:ascii="Arial" w:hAnsi="Arial" w:eastAsia="宋体" w:cs="Arial"/>
        </w:rPr>
      </w:pPr>
    </w:p>
    <w:p w14:paraId="1C276108">
      <w:pPr>
        <w:rPr>
          <w:rFonts w:ascii="Arial" w:hAnsi="Arial" w:eastAsia="宋体" w:cs="Arial"/>
        </w:rPr>
      </w:pPr>
    </w:p>
    <w:p w14:paraId="6864D4B2">
      <w:pPr>
        <w:rPr>
          <w:rFonts w:ascii="Arial" w:hAnsi="Arial" w:eastAsia="宋体" w:cs="Arial"/>
        </w:rPr>
      </w:pPr>
    </w:p>
    <w:p w14:paraId="296629F8">
      <w:pPr>
        <w:rPr>
          <w:rFonts w:ascii="Arial" w:hAnsi="Arial" w:eastAsia="宋体" w:cs="Arial"/>
        </w:rPr>
      </w:pPr>
    </w:p>
    <w:p w14:paraId="2B53F572">
      <w:pPr>
        <w:rPr>
          <w:rFonts w:ascii="Arial" w:hAnsi="Arial" w:eastAsia="宋体" w:cs="Arial"/>
        </w:rPr>
      </w:pPr>
    </w:p>
    <w:p w14:paraId="58699444">
      <w:pPr>
        <w:rPr>
          <w:rFonts w:ascii="Arial" w:hAnsi="Arial" w:eastAsia="宋体" w:cs="Arial"/>
        </w:rPr>
      </w:pPr>
    </w:p>
    <w:p w14:paraId="354C9D57">
      <w:pPr>
        <w:jc w:val="center"/>
        <w:rPr>
          <w:rFonts w:ascii="Arial" w:hAnsi="Arial" w:eastAsia="宋体" w:cs="Arial"/>
        </w:rPr>
      </w:pPr>
      <w:r>
        <w:rPr>
          <w:rFonts w:ascii="Arial" w:hAnsi="Arial" w:eastAsia="宋体" w:cs="Arial"/>
        </w:rPr>
        <w:t>---(())---</w:t>
      </w:r>
    </w:p>
    <w:p w14:paraId="31B9095A">
      <w:pPr>
        <w:rPr>
          <w:rFonts w:ascii="Arial" w:hAnsi="Arial" w:eastAsia="宋体" w:cs="Arial"/>
        </w:rPr>
      </w:pPr>
    </w:p>
    <w:p w14:paraId="6C367EE0">
      <w:pPr>
        <w:rPr>
          <w:rFonts w:ascii="Arial" w:hAnsi="Arial" w:eastAsia="宋体" w:cs="Arial"/>
        </w:rPr>
      </w:pPr>
    </w:p>
    <w:p w14:paraId="056B06B6">
      <w:pPr>
        <w:rPr>
          <w:rFonts w:ascii="Arial" w:hAnsi="Arial" w:eastAsia="宋体" w:cs="Arial"/>
          <w:kern w:val="0"/>
          <w:sz w:val="16"/>
          <w:szCs w:val="16"/>
        </w:rPr>
      </w:pPr>
      <w:r>
        <w:rPr>
          <w:rFonts w:ascii="Arial" w:hAnsi="Arial" w:eastAsia="宋体" w:cs="Arial"/>
          <w:kern w:val="0"/>
          <w:sz w:val="16"/>
          <w:szCs w:val="16"/>
        </w:rPr>
        <w:t>Rue de la Loi 200, B-1049 Bruxelles/Wetstraat 200, B-1049 Brussel - Belgium –</w:t>
      </w:r>
    </w:p>
    <w:p w14:paraId="57FE0194">
      <w:pPr>
        <w:rPr>
          <w:rFonts w:ascii="Arial" w:hAnsi="Arial" w:eastAsia="宋体" w:cs="Arial"/>
          <w:sz w:val="16"/>
          <w:szCs w:val="16"/>
        </w:rPr>
      </w:pPr>
      <w:r>
        <w:rPr>
          <w:rFonts w:ascii="Arial" w:hAnsi="Arial" w:eastAsia="宋体" w:cs="Arial"/>
          <w:sz w:val="16"/>
          <w:szCs w:val="16"/>
        </w:rPr>
        <w:t>办公电话：直线（+32-2）29……，总机299.11.11，传真：29......</w:t>
      </w:r>
    </w:p>
    <w:p w14:paraId="58301930">
      <w:pPr>
        <w:rPr>
          <w:rFonts w:ascii="Arial" w:hAnsi="Arial" w:eastAsia="宋体" w:cs="Arial"/>
          <w:sz w:val="16"/>
          <w:szCs w:val="16"/>
        </w:rPr>
      </w:pPr>
      <w:r>
        <w:rPr>
          <w:rFonts w:ascii="Arial" w:hAnsi="Arial" w:eastAsia="宋体" w:cs="Arial"/>
          <w:sz w:val="16"/>
          <w:szCs w:val="16"/>
        </w:rPr>
        <w:t>电报：COMEU B 21877 电报挂号：COMEUR Brussels</w:t>
      </w:r>
    </w:p>
    <w:p w14:paraId="682ADB4B">
      <w:pPr>
        <w:rPr>
          <w:rFonts w:ascii="Arial" w:hAnsi="Arial" w:eastAsia="宋体" w:cs="Arial"/>
          <w:b/>
        </w:rPr>
      </w:pPr>
      <w:r>
        <w:rPr>
          <w:rFonts w:ascii="Arial" w:hAnsi="Arial" w:eastAsia="宋体" w:cs="Arial"/>
          <w:b/>
        </w:rPr>
        <w:t>1. 背景</w:t>
      </w:r>
    </w:p>
    <w:p w14:paraId="32DB7A2E">
      <w:pPr>
        <w:rPr>
          <w:rFonts w:ascii="Arial" w:hAnsi="Arial" w:eastAsia="宋体" w:cs="Arial"/>
        </w:rPr>
      </w:pPr>
    </w:p>
    <w:p w14:paraId="75EB8687">
      <w:pPr>
        <w:rPr>
          <w:rFonts w:ascii="Arial" w:hAnsi="Arial" w:eastAsia="宋体" w:cs="Arial"/>
        </w:rPr>
      </w:pPr>
      <w:r>
        <w:rPr>
          <w:rFonts w:ascii="Arial" w:hAnsi="Arial" w:eastAsia="宋体" w:cs="Arial"/>
        </w:rPr>
        <w:t>公告机构组织认识到这样一个事实，即：不同公告机构选择不同方式对电磁兼容性基本要求进行检查然后确认现行实践的协调需求。因此，该组织成立了一个专门工作组，收集数据并提出公认做法的建议书。该工作组不应从事其它标准化工作，因为欧洲电工标准化委员会（CENELEC）的下设委员会已经做了这些工作，但应尝试基于现有标准找到一个解决办法。</w:t>
      </w:r>
    </w:p>
    <w:p w14:paraId="46647674">
      <w:pPr>
        <w:rPr>
          <w:rFonts w:ascii="Arial" w:hAnsi="Arial" w:eastAsia="宋体" w:cs="Arial"/>
        </w:rPr>
      </w:pPr>
    </w:p>
    <w:p w14:paraId="6F06CB82">
      <w:pPr>
        <w:rPr>
          <w:rFonts w:ascii="Arial" w:hAnsi="Arial" w:eastAsia="宋体" w:cs="Arial"/>
        </w:rPr>
      </w:pPr>
      <w:r>
        <w:rPr>
          <w:rFonts w:ascii="Arial" w:hAnsi="Arial" w:eastAsia="宋体" w:cs="Arial"/>
        </w:rPr>
        <w:t>在1996年4月29-30日的内部会议上，公告机构组织同意了这个立场文件。</w:t>
      </w:r>
    </w:p>
    <w:p w14:paraId="375477A9">
      <w:pPr>
        <w:rPr>
          <w:rFonts w:ascii="Arial" w:hAnsi="Arial" w:eastAsia="宋体" w:cs="Arial"/>
        </w:rPr>
      </w:pPr>
    </w:p>
    <w:p w14:paraId="44B847E0">
      <w:pPr>
        <w:rPr>
          <w:rFonts w:ascii="Arial" w:hAnsi="Arial" w:eastAsia="宋体" w:cs="Arial"/>
          <w:b/>
        </w:rPr>
      </w:pPr>
      <w:r>
        <w:rPr>
          <w:rFonts w:ascii="Arial" w:hAnsi="Arial" w:eastAsia="宋体" w:cs="Arial"/>
          <w:b/>
        </w:rPr>
        <w:t>2. 数据收集</w:t>
      </w:r>
    </w:p>
    <w:p w14:paraId="4CC8E5DE">
      <w:pPr>
        <w:rPr>
          <w:rFonts w:ascii="Arial" w:hAnsi="Arial" w:eastAsia="宋体" w:cs="Arial"/>
        </w:rPr>
      </w:pPr>
    </w:p>
    <w:p w14:paraId="106CAE3B">
      <w:pPr>
        <w:rPr>
          <w:rFonts w:ascii="Arial" w:hAnsi="Arial" w:eastAsia="宋体" w:cs="Arial"/>
        </w:rPr>
      </w:pPr>
      <w:r>
        <w:rPr>
          <w:rFonts w:ascii="Arial" w:hAnsi="Arial" w:eastAsia="宋体" w:cs="Arial"/>
        </w:rPr>
        <w:t>借助一个调查问卷，询问公告机构是否已将欧洲标准（EN）60601-1-2作为根据基本要求进行测试的基础以及它们如何处理标准中尚未得到充分描述的那些要点。到1995年4月公告机构召开会议为止，有12家公告机构做出了回复；到1995年7月初，专门工作组总共收到22份填好的调查问卷，然后决定将其推荐建议建立在此法定人数的基础之上。1995年9月在公告机构组织的会议上对第1稿进行了讨论；在该立场文件的第2版中考虑了截止2月29日收到的评论。</w:t>
      </w:r>
    </w:p>
    <w:p w14:paraId="42C61F5A">
      <w:pPr>
        <w:rPr>
          <w:rFonts w:ascii="Arial" w:hAnsi="Arial" w:eastAsia="宋体" w:cs="Arial"/>
        </w:rPr>
      </w:pPr>
    </w:p>
    <w:p w14:paraId="553E4750">
      <w:pPr>
        <w:rPr>
          <w:rFonts w:ascii="Arial" w:hAnsi="Arial" w:eastAsia="宋体" w:cs="Arial"/>
        </w:rPr>
      </w:pPr>
      <w:r>
        <w:rPr>
          <w:rFonts w:ascii="Arial" w:hAnsi="Arial" w:eastAsia="宋体" w:cs="Arial"/>
        </w:rPr>
        <w:t>调查结果可总结如下：</w:t>
      </w:r>
    </w:p>
    <w:p w14:paraId="27F0ACA1">
      <w:pPr>
        <w:rPr>
          <w:rFonts w:ascii="Arial" w:hAnsi="Arial" w:eastAsia="宋体" w:cs="Arial"/>
        </w:rPr>
      </w:pPr>
    </w:p>
    <w:p w14:paraId="49F9758C">
      <w:pPr>
        <w:pStyle w:val="11"/>
        <w:numPr>
          <w:ilvl w:val="0"/>
          <w:numId w:val="1"/>
        </w:numPr>
        <w:ind w:firstLineChars="0"/>
        <w:rPr>
          <w:rFonts w:ascii="Arial" w:hAnsi="Arial" w:eastAsia="宋体" w:cs="Arial"/>
        </w:rPr>
      </w:pPr>
      <w:r>
        <w:rPr>
          <w:rFonts w:ascii="Arial" w:hAnsi="Arial" w:eastAsia="宋体" w:cs="Arial"/>
        </w:rPr>
        <w:t>几乎每个公告机构都接受将欧洲标准60601-1-2作为根据基本要求进行测试的基础。</w:t>
      </w:r>
    </w:p>
    <w:p w14:paraId="1E5F9921">
      <w:pPr>
        <w:rPr>
          <w:rFonts w:ascii="Arial" w:hAnsi="Arial" w:eastAsia="宋体" w:cs="Arial"/>
        </w:rPr>
      </w:pPr>
    </w:p>
    <w:p w14:paraId="27428F52">
      <w:pPr>
        <w:pStyle w:val="11"/>
        <w:numPr>
          <w:ilvl w:val="0"/>
          <w:numId w:val="1"/>
        </w:numPr>
        <w:ind w:firstLineChars="0"/>
        <w:rPr>
          <w:rFonts w:ascii="Arial" w:hAnsi="Arial" w:eastAsia="宋体" w:cs="Arial"/>
        </w:rPr>
      </w:pPr>
      <w:r>
        <w:rPr>
          <w:rFonts w:ascii="Arial" w:hAnsi="Arial" w:eastAsia="宋体" w:cs="Arial"/>
        </w:rPr>
        <w:t>由于缺失了一些测试步骤和限制值，不同公告机构对几个具体条款进行了不同的处理。对欧洲标准60601-1-2中仅用标题提及的</w:t>
      </w:r>
      <w:bookmarkStart w:id="5" w:name="OLE_LINK5"/>
      <w:r>
        <w:rPr>
          <w:rFonts w:ascii="Arial" w:hAnsi="Arial" w:eastAsia="宋体" w:cs="Arial"/>
        </w:rPr>
        <w:t>一些</w:t>
      </w:r>
      <w:bookmarkEnd w:id="5"/>
      <w:r>
        <w:rPr>
          <w:rFonts w:ascii="Arial" w:hAnsi="Arial" w:eastAsia="宋体" w:cs="Arial"/>
        </w:rPr>
        <w:t>要求，不同公告机构给予了不同的考虑。</w:t>
      </w:r>
    </w:p>
    <w:p w14:paraId="465FF71C">
      <w:pPr>
        <w:rPr>
          <w:rFonts w:ascii="Arial" w:hAnsi="Arial" w:eastAsia="宋体" w:cs="Arial"/>
        </w:rPr>
      </w:pPr>
    </w:p>
    <w:p w14:paraId="17FAC191">
      <w:pPr>
        <w:pStyle w:val="11"/>
        <w:numPr>
          <w:ilvl w:val="0"/>
          <w:numId w:val="1"/>
        </w:numPr>
        <w:ind w:firstLineChars="0"/>
        <w:rPr>
          <w:rFonts w:ascii="Arial" w:hAnsi="Arial" w:eastAsia="宋体" w:cs="Arial"/>
        </w:rPr>
      </w:pPr>
      <w:r>
        <w:rPr>
          <w:rFonts w:ascii="Arial" w:hAnsi="Arial" w:eastAsia="宋体" w:cs="Arial"/>
        </w:rPr>
        <w:t>需要确立器械的详细分类规则并对不同要求设定界限。</w:t>
      </w:r>
    </w:p>
    <w:p w14:paraId="40B1822D">
      <w:pPr>
        <w:rPr>
          <w:rFonts w:ascii="Arial" w:hAnsi="Arial" w:eastAsia="宋体" w:cs="Arial"/>
        </w:rPr>
      </w:pPr>
    </w:p>
    <w:p w14:paraId="2F23F661">
      <w:pPr>
        <w:rPr>
          <w:rFonts w:ascii="Arial" w:hAnsi="Arial" w:eastAsia="宋体" w:cs="Arial"/>
          <w:b/>
        </w:rPr>
      </w:pPr>
      <w:r>
        <w:rPr>
          <w:rFonts w:ascii="Arial" w:hAnsi="Arial" w:eastAsia="宋体" w:cs="Arial"/>
          <w:b/>
        </w:rPr>
        <w:t>3. 推荐意见</w:t>
      </w:r>
    </w:p>
    <w:p w14:paraId="776969D9">
      <w:pPr>
        <w:rPr>
          <w:rFonts w:ascii="Arial" w:hAnsi="Arial" w:eastAsia="宋体" w:cs="Arial"/>
        </w:rPr>
      </w:pPr>
    </w:p>
    <w:p w14:paraId="1AC564BB">
      <w:pPr>
        <w:rPr>
          <w:rFonts w:ascii="Arial" w:hAnsi="Arial" w:eastAsia="宋体" w:cs="Arial"/>
        </w:rPr>
      </w:pPr>
      <w:r>
        <w:rPr>
          <w:rFonts w:ascii="Arial" w:hAnsi="Arial" w:eastAsia="宋体" w:cs="Arial"/>
        </w:rPr>
        <w:t>尽管电磁兼容性可成为电磁器械的一个重要问题，但迄今为止，在公告机构组织会议上的讨论显示，在这方面存在一些过度测试趋势。实际上，一方面，电磁兼容性测试费用已占到电动医疗器械测试总费用的20％-50％。IEC801-1/1984早先得出的结论是，不考虑预期用途和期望电磁环境而要求最高的抗扰度可能会导致不合理的 负担。</w:t>
      </w:r>
    </w:p>
    <w:p w14:paraId="194A1654">
      <w:pPr>
        <w:rPr>
          <w:rFonts w:ascii="Arial" w:hAnsi="Arial" w:eastAsia="宋体" w:cs="Arial"/>
        </w:rPr>
      </w:pPr>
    </w:p>
    <w:p w14:paraId="43E3508E">
      <w:pPr>
        <w:rPr>
          <w:rFonts w:ascii="Arial" w:hAnsi="Arial" w:eastAsia="宋体" w:cs="Arial"/>
        </w:rPr>
      </w:pPr>
      <w:r>
        <w:rPr>
          <w:rFonts w:ascii="Arial" w:hAnsi="Arial" w:eastAsia="宋体" w:cs="Arial"/>
        </w:rPr>
        <w:t>通过对现实情况的评估和分析，电磁兼容性专门工作组提出下列建议：</w:t>
      </w:r>
    </w:p>
    <w:p w14:paraId="6BD1D154">
      <w:pPr>
        <w:rPr>
          <w:rFonts w:ascii="Arial" w:hAnsi="Arial" w:eastAsia="宋体" w:cs="Arial"/>
        </w:rPr>
      </w:pPr>
    </w:p>
    <w:p w14:paraId="4240B8CE">
      <w:pPr>
        <w:widowControl/>
        <w:jc w:val="left"/>
        <w:rPr>
          <w:rFonts w:ascii="Arial" w:hAnsi="Arial" w:eastAsia="宋体" w:cs="Arial"/>
        </w:rPr>
      </w:pPr>
      <w:bookmarkStart w:id="6" w:name="OLE_LINK15"/>
      <w:r>
        <w:rPr>
          <w:rFonts w:ascii="Arial" w:hAnsi="Arial" w:eastAsia="宋体" w:cs="Arial"/>
        </w:rPr>
        <w:br w:type="page"/>
      </w:r>
    </w:p>
    <w:p w14:paraId="537436FA">
      <w:pPr>
        <w:rPr>
          <w:rFonts w:ascii="Arial" w:hAnsi="Arial" w:eastAsia="宋体" w:cs="Arial"/>
        </w:rPr>
      </w:pPr>
      <w:r>
        <w:rPr>
          <w:rFonts w:ascii="Arial" w:hAnsi="Arial" w:eastAsia="宋体" w:cs="Arial"/>
        </w:rPr>
        <w:t>应</w:t>
      </w:r>
      <w:bookmarkEnd w:id="6"/>
      <w:r>
        <w:rPr>
          <w:rFonts w:ascii="Arial" w:hAnsi="Arial" w:eastAsia="宋体" w:cs="Arial"/>
        </w:rPr>
        <w:t>将</w:t>
      </w:r>
      <w:r>
        <w:rPr>
          <w:rFonts w:hint="eastAsia" w:ascii="Arial" w:hAnsi="Arial" w:eastAsia="宋体" w:cs="Arial"/>
          <w:b/>
        </w:rPr>
        <w:t>基本标准</w:t>
      </w:r>
      <w:r>
        <w:rPr>
          <w:rFonts w:ascii="Arial" w:hAnsi="Arial" w:eastAsia="宋体" w:cs="Arial"/>
        </w:rPr>
        <w:t>EN</w:t>
      </w:r>
      <w:r>
        <w:rPr>
          <w:rFonts w:ascii="Arial" w:hAnsi="Arial" w:eastAsia="宋体" w:cs="Arial"/>
          <w:b/>
        </w:rPr>
        <w:t xml:space="preserve"> </w:t>
      </w:r>
      <w:r>
        <w:rPr>
          <w:rFonts w:ascii="Arial" w:hAnsi="Arial" w:eastAsia="宋体" w:cs="Arial"/>
        </w:rPr>
        <w:t>60601-1-2作为EMC基本要求的协调标准。目前已经认识到还存在一些缺失信息。这些信息将在本标准的第1版修正案中说明。在此期间，为了根据现有标准采用一种通用方法，我们提出了下列推荐意见：</w:t>
      </w:r>
    </w:p>
    <w:p w14:paraId="0891C4B2">
      <w:pPr>
        <w:rPr>
          <w:rFonts w:ascii="Arial" w:hAnsi="Arial" w:eastAsia="宋体" w:cs="Arial"/>
        </w:rPr>
      </w:pPr>
    </w:p>
    <w:p w14:paraId="60264D29">
      <w:pPr>
        <w:widowControl/>
        <w:jc w:val="left"/>
        <w:rPr>
          <w:rFonts w:ascii="Arial" w:hAnsi="Arial" w:eastAsia="宋体" w:cs="Arial"/>
          <w:b/>
        </w:rPr>
      </w:pPr>
      <w:r>
        <w:rPr>
          <w:rFonts w:ascii="Arial" w:hAnsi="Arial" w:eastAsia="宋体" w:cs="Arial"/>
          <w:b/>
        </w:rPr>
        <w:br w:type="page"/>
      </w:r>
    </w:p>
    <w:p w14:paraId="3699ECCC">
      <w:pPr>
        <w:rPr>
          <w:rFonts w:ascii="Arial" w:hAnsi="Arial" w:eastAsia="宋体" w:cs="Arial"/>
          <w:b/>
        </w:rPr>
      </w:pPr>
      <w:r>
        <w:rPr>
          <w:rFonts w:ascii="Arial" w:hAnsi="Arial" w:eastAsia="宋体" w:cs="Arial"/>
          <w:b/>
        </w:rPr>
        <w:t>I. 发射</w:t>
      </w:r>
    </w:p>
    <w:p w14:paraId="53BD9639">
      <w:pPr>
        <w:rPr>
          <w:rFonts w:ascii="Arial" w:hAnsi="Arial" w:eastAsia="宋体" w:cs="Arial"/>
        </w:rPr>
      </w:pPr>
    </w:p>
    <w:p w14:paraId="6F430886">
      <w:pPr>
        <w:rPr>
          <w:rFonts w:ascii="Arial" w:hAnsi="Arial" w:eastAsia="宋体" w:cs="Arial"/>
        </w:rPr>
      </w:pPr>
      <w:r>
        <w:rPr>
          <w:rFonts w:ascii="Arial" w:hAnsi="Arial" w:eastAsia="宋体" w:cs="Arial"/>
        </w:rPr>
        <w:t>考虑到对医用电气设备的使用日益增加，电磁兼容性专门工作组意识到了对高频范围内电磁发射测试的需求。</w:t>
      </w:r>
    </w:p>
    <w:p w14:paraId="6214313E">
      <w:pPr>
        <w:rPr>
          <w:rFonts w:ascii="Arial" w:hAnsi="Arial" w:eastAsia="宋体" w:cs="Arial"/>
        </w:rPr>
      </w:pPr>
    </w:p>
    <w:p w14:paraId="15846E52">
      <w:pPr>
        <w:pStyle w:val="11"/>
        <w:numPr>
          <w:ilvl w:val="0"/>
          <w:numId w:val="2"/>
        </w:numPr>
        <w:ind w:firstLineChars="0"/>
        <w:rPr>
          <w:rFonts w:ascii="Arial" w:hAnsi="Arial" w:eastAsia="宋体" w:cs="Arial"/>
        </w:rPr>
      </w:pPr>
      <w:r>
        <w:rPr>
          <w:rFonts w:ascii="Arial" w:hAnsi="Arial" w:eastAsia="宋体" w:cs="Arial"/>
        </w:rPr>
        <w:t>然而，迄今为止，因下列原因该工作组不支持低频范围内的发射测试：</w:t>
      </w:r>
    </w:p>
    <w:p w14:paraId="1C8CB69C">
      <w:pPr>
        <w:rPr>
          <w:rFonts w:ascii="Arial" w:hAnsi="Arial" w:eastAsia="宋体" w:cs="Arial"/>
        </w:rPr>
      </w:pPr>
    </w:p>
    <w:p w14:paraId="18943493">
      <w:pPr>
        <w:pStyle w:val="11"/>
        <w:numPr>
          <w:ilvl w:val="0"/>
          <w:numId w:val="3"/>
        </w:numPr>
        <w:ind w:left="742" w:hanging="462" w:firstLineChars="0"/>
        <w:rPr>
          <w:rFonts w:ascii="Arial" w:hAnsi="Arial" w:eastAsia="宋体" w:cs="Arial"/>
        </w:rPr>
      </w:pPr>
      <w:r>
        <w:rPr>
          <w:rFonts w:ascii="Arial" w:hAnsi="Arial" w:eastAsia="宋体" w:cs="Arial"/>
        </w:rPr>
        <w:t>一般而言，超低频磁场发射器不会导致安全问题。对某些特殊器械的要求应在产品标准中做出规定。</w:t>
      </w:r>
    </w:p>
    <w:p w14:paraId="512A10CF">
      <w:pPr>
        <w:ind w:left="742" w:hanging="462"/>
        <w:rPr>
          <w:rFonts w:ascii="Arial" w:hAnsi="Arial" w:eastAsia="宋体" w:cs="Arial"/>
        </w:rPr>
      </w:pPr>
    </w:p>
    <w:p w14:paraId="2F15C7F7">
      <w:pPr>
        <w:pStyle w:val="11"/>
        <w:numPr>
          <w:ilvl w:val="0"/>
          <w:numId w:val="3"/>
        </w:numPr>
        <w:ind w:left="742" w:hanging="462" w:firstLineChars="0"/>
        <w:rPr>
          <w:rFonts w:ascii="Arial" w:hAnsi="Arial" w:eastAsia="宋体" w:cs="Arial"/>
        </w:rPr>
      </w:pPr>
      <w:r>
        <w:rPr>
          <w:rFonts w:ascii="Arial" w:hAnsi="Arial" w:eastAsia="宋体" w:cs="Arial"/>
        </w:rPr>
        <w:t>在这个领域尚无适用标准可利用。</w:t>
      </w:r>
    </w:p>
    <w:p w14:paraId="2BD91547">
      <w:pPr>
        <w:ind w:left="742" w:hanging="462"/>
        <w:rPr>
          <w:rFonts w:ascii="Arial" w:hAnsi="Arial" w:eastAsia="宋体" w:cs="Arial"/>
        </w:rPr>
      </w:pPr>
    </w:p>
    <w:p w14:paraId="7EBAB845">
      <w:pPr>
        <w:pStyle w:val="11"/>
        <w:numPr>
          <w:ilvl w:val="0"/>
          <w:numId w:val="3"/>
        </w:numPr>
        <w:ind w:left="742" w:hanging="462" w:firstLineChars="0"/>
        <w:rPr>
          <w:rFonts w:ascii="Arial" w:hAnsi="Arial" w:eastAsia="宋体" w:cs="Arial"/>
        </w:rPr>
      </w:pPr>
      <w:r>
        <w:rPr>
          <w:rFonts w:ascii="Arial" w:hAnsi="Arial" w:eastAsia="宋体" w:cs="Arial"/>
        </w:rPr>
        <w:t>大多数公告机构未就此类测试的必要性达成一致。</w:t>
      </w:r>
    </w:p>
    <w:p w14:paraId="3007F16C">
      <w:pPr>
        <w:rPr>
          <w:rFonts w:ascii="Arial" w:hAnsi="Arial" w:eastAsia="宋体" w:cs="Arial"/>
        </w:rPr>
      </w:pPr>
    </w:p>
    <w:p w14:paraId="295FF834">
      <w:pPr>
        <w:pStyle w:val="11"/>
        <w:numPr>
          <w:ilvl w:val="0"/>
          <w:numId w:val="2"/>
        </w:numPr>
        <w:ind w:firstLineChars="0"/>
        <w:rPr>
          <w:rFonts w:ascii="Arial" w:hAnsi="Arial" w:eastAsia="宋体" w:cs="Arial"/>
        </w:rPr>
      </w:pPr>
      <w:r>
        <w:rPr>
          <w:rFonts w:ascii="Arial" w:hAnsi="Arial" w:eastAsia="宋体" w:cs="Arial"/>
        </w:rPr>
        <w:t>医院通用电源的电压波动问题随医用电气设备使用的增加而增加，因此有可能对设备性能造成安全相关性损害。电磁兼容性专门工作组确认，需要测试医院局部电源受干扰的可能性。然而，在和谐要求纳入EN 60601-1-2前，不应进行强制性测试（如根据EN 60555-2和60555-3）。与公共供电系统相比，局部供电系统中由耗能器械引起的干扰发生得更为频繁，且有可能影响抢救设备的性能。因此，电磁兼容性专门工作组对36.201.2.1条款的合理性持不同意见。</w:t>
      </w:r>
    </w:p>
    <w:p w14:paraId="6DA1E14C">
      <w:pPr>
        <w:rPr>
          <w:rFonts w:ascii="Arial" w:hAnsi="Arial" w:eastAsia="宋体" w:cs="Arial"/>
        </w:rPr>
      </w:pPr>
    </w:p>
    <w:p w14:paraId="63340FE8">
      <w:pPr>
        <w:rPr>
          <w:rFonts w:ascii="Arial" w:hAnsi="Arial" w:eastAsia="宋体" w:cs="Arial"/>
          <w:b/>
        </w:rPr>
      </w:pPr>
      <w:r>
        <w:rPr>
          <w:rFonts w:ascii="Arial" w:hAnsi="Arial" w:eastAsia="宋体" w:cs="Arial"/>
          <w:b/>
        </w:rPr>
        <w:t>II. 抗扰度</w:t>
      </w:r>
    </w:p>
    <w:p w14:paraId="394DDC96">
      <w:pPr>
        <w:rPr>
          <w:rFonts w:ascii="Arial" w:hAnsi="Arial" w:eastAsia="宋体" w:cs="Arial"/>
        </w:rPr>
      </w:pPr>
    </w:p>
    <w:p w14:paraId="7D87AA28">
      <w:pPr>
        <w:rPr>
          <w:rFonts w:ascii="Arial" w:hAnsi="Arial" w:eastAsia="宋体" w:cs="Arial"/>
        </w:rPr>
      </w:pPr>
      <w:r>
        <w:rPr>
          <w:rFonts w:ascii="Arial" w:hAnsi="Arial" w:eastAsia="宋体" w:cs="Arial"/>
        </w:rPr>
        <w:t>一般来说，医疗器械指令的基本要求描述了安全和免于不可接受风险方面的内容。具体地，第9.2条和第12.5条适用</w:t>
      </w:r>
      <w:bookmarkStart w:id="7" w:name="OLE_LINK4"/>
      <w:r>
        <w:rPr>
          <w:rFonts w:ascii="Arial" w:hAnsi="Arial" w:eastAsia="宋体" w:cs="Arial"/>
        </w:rPr>
        <w:t>于</w:t>
      </w:r>
      <w:bookmarkEnd w:id="7"/>
      <w:r>
        <w:rPr>
          <w:rFonts w:ascii="Arial" w:hAnsi="Arial" w:eastAsia="宋体" w:cs="Arial"/>
        </w:rPr>
        <w:t>来自磁场、外部电影响和静电放电的风险，而不是来自任何性能退化的风险。</w:t>
      </w:r>
    </w:p>
    <w:p w14:paraId="2BD4F358">
      <w:pPr>
        <w:rPr>
          <w:rFonts w:ascii="Arial" w:hAnsi="Arial" w:eastAsia="宋体" w:cs="Arial"/>
        </w:rPr>
      </w:pPr>
    </w:p>
    <w:p w14:paraId="3246B934">
      <w:pPr>
        <w:rPr>
          <w:rFonts w:ascii="Arial" w:hAnsi="Arial" w:eastAsia="宋体" w:cs="Arial"/>
        </w:rPr>
      </w:pPr>
      <w:r>
        <w:rPr>
          <w:rFonts w:ascii="Arial" w:hAnsi="Arial" w:eastAsia="宋体" w:cs="Arial"/>
        </w:rPr>
        <w:t>电磁兼容性专门工作组认为，当要求设备“出现故障但不造成安全危害”或“执行制造商规定的预期功能”时，有必要对EN 60601-1-2第36.202条款描述的“功能”和“安全故障”术语做出澄清。</w:t>
      </w:r>
    </w:p>
    <w:p w14:paraId="2071C3A8">
      <w:pPr>
        <w:rPr>
          <w:rFonts w:ascii="Arial" w:hAnsi="Arial" w:eastAsia="宋体" w:cs="Arial"/>
        </w:rPr>
      </w:pPr>
    </w:p>
    <w:p w14:paraId="5D538DCD">
      <w:pPr>
        <w:rPr>
          <w:rFonts w:ascii="Arial" w:hAnsi="Arial" w:eastAsia="宋体" w:cs="Arial"/>
        </w:rPr>
      </w:pPr>
      <w:r>
        <w:rPr>
          <w:rFonts w:ascii="Arial" w:hAnsi="Arial" w:eastAsia="宋体" w:cs="Arial"/>
        </w:rPr>
        <w:t>医疗器械指令中安全相关问题的通用要求仅打算将风险降至可接受的最低水平。对这些通用要求做出下列澄清：</w:t>
      </w:r>
    </w:p>
    <w:p w14:paraId="75F3054E">
      <w:pPr>
        <w:rPr>
          <w:rFonts w:ascii="Arial" w:hAnsi="Arial" w:eastAsia="宋体" w:cs="Arial"/>
        </w:rPr>
      </w:pPr>
    </w:p>
    <w:p w14:paraId="2AE11792">
      <w:pPr>
        <w:ind w:left="462" w:leftChars="220"/>
        <w:rPr>
          <w:rFonts w:ascii="Arial" w:hAnsi="Arial" w:eastAsia="宋体" w:cs="Arial"/>
        </w:rPr>
      </w:pPr>
      <w:r>
        <w:rPr>
          <w:rFonts w:ascii="Arial" w:hAnsi="Arial" w:eastAsia="宋体" w:cs="Arial"/>
        </w:rPr>
        <w:t>“</w:t>
      </w:r>
      <w:r>
        <w:rPr>
          <w:rFonts w:ascii="Arial" w:hAnsi="Arial" w:eastAsia="宋体" w:cs="Arial"/>
          <w:b/>
        </w:rPr>
        <w:t>功能</w:t>
      </w:r>
      <w:r>
        <w:rPr>
          <w:rFonts w:ascii="Arial" w:hAnsi="Arial" w:eastAsia="宋体" w:cs="Arial"/>
        </w:rPr>
        <w:t>”是指安全相关问题而不是指任何种类的器械性能。例如，这意味着显示器的轻微失真是可接受的，而任何种类能量释放的改变都是不可容忍的。</w:t>
      </w:r>
    </w:p>
    <w:p w14:paraId="40EB1AF0">
      <w:pPr>
        <w:ind w:left="462" w:leftChars="220"/>
        <w:rPr>
          <w:rFonts w:ascii="Arial" w:hAnsi="Arial" w:eastAsia="宋体" w:cs="Arial"/>
        </w:rPr>
      </w:pPr>
    </w:p>
    <w:p w14:paraId="49006E3A">
      <w:pPr>
        <w:ind w:left="462" w:leftChars="220"/>
        <w:rPr>
          <w:rFonts w:ascii="Arial" w:hAnsi="Arial" w:eastAsia="宋体" w:cs="Arial"/>
        </w:rPr>
      </w:pPr>
      <w:r>
        <w:rPr>
          <w:rFonts w:ascii="Arial" w:hAnsi="Arial" w:eastAsia="宋体" w:cs="Arial"/>
        </w:rPr>
        <w:t>“</w:t>
      </w:r>
      <w:r>
        <w:rPr>
          <w:rFonts w:ascii="Arial" w:hAnsi="Arial" w:eastAsia="宋体" w:cs="Arial"/>
          <w:b/>
        </w:rPr>
        <w:t>安全故障</w:t>
      </w:r>
      <w:r>
        <w:rPr>
          <w:rFonts w:ascii="Arial" w:hAnsi="Arial" w:eastAsia="宋体" w:cs="Arial"/>
        </w:rPr>
        <w:t>”意味着任何种类的性能改变。这种改变即便不对患者造成危害，亦会给用户带来预期功能的明显退化。这种改变既可是操作中断，亦可是可闻和/或可视的干扰迹象。</w:t>
      </w:r>
    </w:p>
    <w:p w14:paraId="28DFBE38">
      <w:pPr>
        <w:rPr>
          <w:rFonts w:ascii="Arial" w:hAnsi="Arial" w:eastAsia="宋体" w:cs="Arial"/>
        </w:rPr>
      </w:pPr>
    </w:p>
    <w:p w14:paraId="29C0DF3A">
      <w:pPr>
        <w:widowControl/>
        <w:jc w:val="left"/>
        <w:rPr>
          <w:rFonts w:ascii="Arial" w:hAnsi="Arial" w:eastAsia="宋体" w:cs="Arial"/>
          <w:b/>
        </w:rPr>
      </w:pPr>
      <w:r>
        <w:rPr>
          <w:rFonts w:ascii="Arial" w:hAnsi="Arial" w:eastAsia="宋体" w:cs="Arial"/>
          <w:b/>
        </w:rPr>
        <w:br w:type="page"/>
      </w:r>
    </w:p>
    <w:p w14:paraId="5385D3F1">
      <w:pPr>
        <w:rPr>
          <w:rFonts w:ascii="Arial" w:hAnsi="Arial" w:eastAsia="宋体" w:cs="Arial"/>
        </w:rPr>
      </w:pPr>
      <w:r>
        <w:rPr>
          <w:rFonts w:hint="eastAsia" w:ascii="Arial" w:hAnsi="Arial" w:eastAsia="宋体" w:cs="Arial"/>
          <w:b/>
        </w:rPr>
        <w:t>一般而言</w:t>
      </w:r>
      <w:r>
        <w:rPr>
          <w:rFonts w:ascii="Arial" w:hAnsi="Arial" w:eastAsia="宋体" w:cs="Arial"/>
        </w:rPr>
        <w:t>，风险评估应包括电磁兼容性风险和预期电磁环境的影响。然而，应当牢记的是，即便是在医院内部，电磁环境亦可有明显差异。根据这个分析和预期用途，制造商应：</w:t>
      </w:r>
    </w:p>
    <w:p w14:paraId="7024E10F">
      <w:pPr>
        <w:rPr>
          <w:rFonts w:ascii="Arial" w:hAnsi="Arial" w:eastAsia="宋体" w:cs="Arial"/>
        </w:rPr>
      </w:pPr>
    </w:p>
    <w:p w14:paraId="26B11F88">
      <w:pPr>
        <w:ind w:firstLine="432" w:firstLineChars="206"/>
        <w:rPr>
          <w:rFonts w:ascii="Arial" w:hAnsi="Arial" w:eastAsia="宋体" w:cs="Arial"/>
        </w:rPr>
      </w:pPr>
      <w:r>
        <w:rPr>
          <w:rFonts w:ascii="Arial" w:hAnsi="Arial" w:eastAsia="宋体" w:cs="Arial"/>
        </w:rPr>
        <w:t>a）根据EN 55011将该设备归入A类或B类</w:t>
      </w:r>
    </w:p>
    <w:p w14:paraId="52F5F268">
      <w:pPr>
        <w:ind w:firstLine="432" w:firstLineChars="206"/>
        <w:rPr>
          <w:rFonts w:ascii="Arial" w:hAnsi="Arial" w:eastAsia="宋体" w:cs="Arial"/>
        </w:rPr>
      </w:pPr>
      <w:r>
        <w:rPr>
          <w:rFonts w:ascii="Arial" w:hAnsi="Arial" w:eastAsia="宋体" w:cs="Arial"/>
        </w:rPr>
        <w:t>b）将该设备的干扰特性设计成</w:t>
      </w:r>
    </w:p>
    <w:p w14:paraId="7CC7DF68">
      <w:pPr>
        <w:rPr>
          <w:rFonts w:ascii="Arial" w:hAnsi="Arial" w:eastAsia="宋体" w:cs="Arial"/>
        </w:rPr>
      </w:pPr>
    </w:p>
    <w:p w14:paraId="22794CCB">
      <w:pPr>
        <w:ind w:firstLine="798" w:firstLineChars="380"/>
        <w:rPr>
          <w:rFonts w:ascii="Arial" w:hAnsi="Arial" w:eastAsia="宋体" w:cs="Arial"/>
        </w:rPr>
      </w:pPr>
      <w:r>
        <w:rPr>
          <w:rFonts w:ascii="Arial" w:hAnsi="Arial" w:eastAsia="宋体" w:cs="Arial"/>
        </w:rPr>
        <w:t>－对所应用的测试磁场具有抗干扰能力或</w:t>
      </w:r>
    </w:p>
    <w:p w14:paraId="5B5EB58B">
      <w:pPr>
        <w:ind w:firstLine="798" w:firstLineChars="380"/>
        <w:rPr>
          <w:rFonts w:ascii="Arial" w:hAnsi="Arial" w:eastAsia="宋体" w:cs="Arial"/>
        </w:rPr>
      </w:pPr>
      <w:r>
        <w:rPr>
          <w:rFonts w:ascii="Arial" w:hAnsi="Arial" w:eastAsia="宋体" w:cs="Arial"/>
        </w:rPr>
        <w:t>－与器械性能改变无关或</w:t>
      </w:r>
    </w:p>
    <w:p w14:paraId="7D892BB8">
      <w:pPr>
        <w:ind w:firstLine="798" w:firstLineChars="380"/>
        <w:rPr>
          <w:rFonts w:ascii="Arial" w:hAnsi="Arial" w:eastAsia="宋体" w:cs="Arial"/>
        </w:rPr>
      </w:pPr>
      <w:r>
        <w:rPr>
          <w:rFonts w:ascii="Arial" w:hAnsi="Arial" w:eastAsia="宋体" w:cs="Arial"/>
        </w:rPr>
        <w:t>－就上述意义而言的安全故障</w:t>
      </w:r>
    </w:p>
    <w:p w14:paraId="53BECE5F">
      <w:pPr>
        <w:rPr>
          <w:rFonts w:ascii="Arial" w:hAnsi="Arial" w:eastAsia="宋体" w:cs="Arial"/>
        </w:rPr>
      </w:pPr>
    </w:p>
    <w:p w14:paraId="34C3AE50">
      <w:pPr>
        <w:rPr>
          <w:rFonts w:ascii="Arial" w:hAnsi="Arial" w:eastAsia="宋体" w:cs="Arial"/>
        </w:rPr>
      </w:pPr>
      <w:r>
        <w:rPr>
          <w:rFonts w:ascii="Arial" w:hAnsi="Arial" w:eastAsia="宋体" w:cs="Arial"/>
        </w:rPr>
        <w:t>尽管建议制造商在设计产品时将其抗扰度提高到合理的可达到的高水平，但对产品进行强制性抗扰度测试的必要性取决于通过产品风险分析得到的医疗器械出现风险的可能性。</w:t>
      </w:r>
    </w:p>
    <w:p w14:paraId="1F5D69C7">
      <w:pPr>
        <w:rPr>
          <w:rFonts w:ascii="Arial" w:hAnsi="Arial" w:eastAsia="宋体" w:cs="Arial"/>
        </w:rPr>
      </w:pPr>
    </w:p>
    <w:p w14:paraId="5276021B">
      <w:pPr>
        <w:rPr>
          <w:rFonts w:ascii="Arial" w:hAnsi="Arial" w:eastAsia="宋体" w:cs="Arial"/>
        </w:rPr>
      </w:pPr>
      <w:r>
        <w:rPr>
          <w:rFonts w:ascii="Arial" w:hAnsi="Arial" w:eastAsia="宋体" w:cs="Arial"/>
        </w:rPr>
        <w:t>一般而言，电磁兼容性专门工作组建议将I类器械的抗扰度测试视为非强制性的。根据定义，此类器械对患者不造成内生性危害。应允许制造商采用其它手段（如从其设备的工</w:t>
      </w:r>
      <w:bookmarkStart w:id="8" w:name="OLE_LINK21"/>
      <w:bookmarkStart w:id="9" w:name="OLE_LINK20"/>
      <w:r>
        <w:rPr>
          <w:rFonts w:ascii="Arial" w:hAnsi="Arial" w:eastAsia="宋体" w:cs="Arial"/>
        </w:rPr>
        <w:t>作原理和</w:t>
      </w:r>
      <w:bookmarkEnd w:id="8"/>
      <w:bookmarkEnd w:id="9"/>
      <w:r>
        <w:rPr>
          <w:rFonts w:ascii="Arial" w:hAnsi="Arial" w:eastAsia="宋体" w:cs="Arial"/>
        </w:rPr>
        <w:t>首选设计得出结论）证实对基本要求的符合性。</w:t>
      </w:r>
    </w:p>
    <w:p w14:paraId="67DD9CC9">
      <w:pPr>
        <w:rPr>
          <w:rFonts w:ascii="Arial" w:hAnsi="Arial" w:eastAsia="宋体" w:cs="Arial"/>
        </w:rPr>
      </w:pPr>
    </w:p>
    <w:p w14:paraId="0E4A4A61">
      <w:pPr>
        <w:rPr>
          <w:rFonts w:ascii="Arial" w:hAnsi="Arial" w:eastAsia="宋体" w:cs="Arial"/>
        </w:rPr>
      </w:pPr>
      <w:r>
        <w:rPr>
          <w:rFonts w:ascii="Arial" w:hAnsi="Arial" w:eastAsia="宋体" w:cs="Arial"/>
        </w:rPr>
        <w:t>然而，在特殊情况下，通过风险分析可能会得出某些I类产品亦有必要提高抗干扰性能的结论。电动轮椅就是一个这样的例证。电动轮椅需要在高压线下安全操作。在这种环境中磁场强度超出了EN 60601-1-2关于抗扰度要求的限值。</w:t>
      </w:r>
    </w:p>
    <w:p w14:paraId="1D980D7F">
      <w:pPr>
        <w:rPr>
          <w:rFonts w:ascii="Arial" w:hAnsi="Arial" w:eastAsia="宋体" w:cs="Arial"/>
        </w:rPr>
      </w:pPr>
    </w:p>
    <w:p w14:paraId="79534CC5">
      <w:pPr>
        <w:rPr>
          <w:rFonts w:ascii="Arial" w:hAnsi="Arial" w:eastAsia="宋体" w:cs="Arial"/>
          <w:b/>
        </w:rPr>
      </w:pPr>
      <w:r>
        <w:rPr>
          <w:rFonts w:ascii="Arial" w:hAnsi="Arial" w:eastAsia="宋体" w:cs="Arial"/>
          <w:b/>
        </w:rPr>
        <w:t xml:space="preserve">III. </w:t>
      </w:r>
      <w:bookmarkStart w:id="10" w:name="OLE_LINK1"/>
      <w:bookmarkStart w:id="11" w:name="OLE_LINK2"/>
      <w:r>
        <w:rPr>
          <w:rFonts w:ascii="Arial" w:hAnsi="Arial" w:eastAsia="宋体" w:cs="Arial"/>
          <w:b/>
        </w:rPr>
        <w:t>EN</w:t>
      </w:r>
      <w:bookmarkEnd w:id="10"/>
      <w:bookmarkEnd w:id="11"/>
      <w:r>
        <w:rPr>
          <w:rFonts w:ascii="Arial" w:hAnsi="Arial" w:eastAsia="宋体" w:cs="Arial"/>
          <w:b/>
        </w:rPr>
        <w:t xml:space="preserve"> 60601-1-2的应用</w:t>
      </w:r>
    </w:p>
    <w:p w14:paraId="2942549B">
      <w:pPr>
        <w:rPr>
          <w:rFonts w:ascii="Arial" w:hAnsi="Arial" w:eastAsia="宋体" w:cs="Arial"/>
        </w:rPr>
      </w:pPr>
    </w:p>
    <w:p w14:paraId="4562BB53">
      <w:pPr>
        <w:rPr>
          <w:rFonts w:ascii="Arial" w:hAnsi="Arial" w:eastAsia="宋体" w:cs="Arial"/>
        </w:rPr>
      </w:pPr>
      <w:r>
        <w:rPr>
          <w:rFonts w:ascii="Arial" w:hAnsi="Arial" w:eastAsia="宋体" w:cs="Arial"/>
        </w:rPr>
        <w:t>根据调查结果，电磁兼容性专门工作组建议应用EN</w:t>
      </w:r>
      <w:r>
        <w:rPr>
          <w:rFonts w:ascii="Arial" w:hAnsi="Arial" w:eastAsia="宋体" w:cs="Arial"/>
          <w:b/>
        </w:rPr>
        <w:t xml:space="preserve"> </w:t>
      </w:r>
      <w:r>
        <w:rPr>
          <w:rFonts w:ascii="Arial" w:hAnsi="Arial" w:eastAsia="宋体" w:cs="Arial"/>
        </w:rPr>
        <w:t>60601-1-2中与电磁兼容性测试有关的下列条款：</w:t>
      </w:r>
    </w:p>
    <w:p w14:paraId="4038AF0A">
      <w:pPr>
        <w:rPr>
          <w:rFonts w:ascii="Arial" w:hAnsi="Arial" w:eastAsia="宋体" w:cs="Arial"/>
        </w:r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84"/>
        <w:gridCol w:w="7138"/>
      </w:tblGrid>
      <w:tr w14:paraId="1DBB9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384" w:type="dxa"/>
          </w:tcPr>
          <w:p w14:paraId="72B262E5">
            <w:pPr>
              <w:spacing w:before="93" w:beforeLines="30"/>
              <w:rPr>
                <w:rFonts w:ascii="Arial" w:hAnsi="Arial" w:eastAsia="宋体" w:cs="Arial"/>
              </w:rPr>
            </w:pPr>
            <w:r>
              <w:rPr>
                <w:rFonts w:ascii="Arial" w:hAnsi="Arial" w:eastAsia="宋体" w:cs="Arial"/>
              </w:rPr>
              <w:t>36.201.1</w:t>
            </w:r>
          </w:p>
        </w:tc>
        <w:tc>
          <w:tcPr>
            <w:tcW w:w="7138" w:type="dxa"/>
          </w:tcPr>
          <w:p w14:paraId="073A95D0">
            <w:pPr>
              <w:spacing w:before="93" w:beforeLines="30"/>
              <w:rPr>
                <w:rFonts w:ascii="Arial" w:hAnsi="Arial" w:eastAsia="宋体" w:cs="Arial"/>
                <w:b/>
              </w:rPr>
            </w:pPr>
            <w:r>
              <w:rPr>
                <w:rFonts w:ascii="Arial" w:hAnsi="Arial" w:eastAsia="宋体" w:cs="Arial"/>
                <w:b/>
              </w:rPr>
              <w:t>射频发射</w:t>
            </w:r>
          </w:p>
        </w:tc>
      </w:tr>
      <w:tr w14:paraId="7D89A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tcPr>
          <w:p w14:paraId="2C44AD11">
            <w:pPr>
              <w:spacing w:before="93" w:beforeLines="30"/>
              <w:rPr>
                <w:rFonts w:ascii="Arial" w:hAnsi="Arial" w:eastAsia="宋体" w:cs="Arial"/>
              </w:rPr>
            </w:pPr>
          </w:p>
        </w:tc>
        <w:tc>
          <w:tcPr>
            <w:tcW w:w="7138" w:type="dxa"/>
          </w:tcPr>
          <w:p w14:paraId="48547749">
            <w:pPr>
              <w:spacing w:before="93" w:beforeLines="30"/>
              <w:rPr>
                <w:rFonts w:ascii="Arial" w:hAnsi="Arial" w:eastAsia="宋体" w:cs="Arial"/>
              </w:rPr>
            </w:pPr>
            <w:r>
              <w:rPr>
                <w:rFonts w:ascii="Arial" w:hAnsi="Arial" w:eastAsia="宋体" w:cs="Arial"/>
              </w:rPr>
              <w:t>制造商根据设备的预期用途和事实（即：即便是在医院内部，不同区域的电磁环境亦有差别）按EN 55011的规定将设备归入A类或B类器械。一般来说，设备是A类器械，拟用于家庭用途的设备是B类器械。</w:t>
            </w:r>
          </w:p>
        </w:tc>
      </w:tr>
      <w:tr w14:paraId="63D14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tcPr>
          <w:p w14:paraId="6AD2391F">
            <w:pPr>
              <w:spacing w:before="93" w:beforeLines="30"/>
              <w:rPr>
                <w:rFonts w:ascii="Arial" w:hAnsi="Arial" w:eastAsia="宋体" w:cs="Arial"/>
              </w:rPr>
            </w:pPr>
            <w:r>
              <w:rPr>
                <w:rFonts w:ascii="Arial" w:hAnsi="Arial" w:eastAsia="宋体" w:cs="Arial"/>
              </w:rPr>
              <w:t>36.201.1.6</w:t>
            </w:r>
          </w:p>
        </w:tc>
        <w:tc>
          <w:tcPr>
            <w:tcW w:w="7138" w:type="dxa"/>
          </w:tcPr>
          <w:p w14:paraId="073ED909">
            <w:pPr>
              <w:spacing w:before="93" w:beforeLines="30"/>
              <w:rPr>
                <w:rFonts w:ascii="Arial" w:hAnsi="Arial" w:eastAsia="宋体" w:cs="Arial"/>
                <w:b/>
              </w:rPr>
            </w:pPr>
            <w:r>
              <w:rPr>
                <w:rFonts w:ascii="Arial" w:hAnsi="Arial" w:eastAsia="宋体" w:cs="Arial"/>
                <w:b/>
              </w:rPr>
              <w:t>高频手术设备</w:t>
            </w:r>
          </w:p>
        </w:tc>
      </w:tr>
      <w:tr w14:paraId="458D7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tcPr>
          <w:p w14:paraId="71E6EAE5">
            <w:pPr>
              <w:spacing w:before="93" w:beforeLines="30"/>
              <w:rPr>
                <w:rFonts w:ascii="Arial" w:hAnsi="Arial" w:eastAsia="宋体" w:cs="Arial"/>
              </w:rPr>
            </w:pPr>
          </w:p>
        </w:tc>
        <w:tc>
          <w:tcPr>
            <w:tcW w:w="7138" w:type="dxa"/>
          </w:tcPr>
          <w:p w14:paraId="54373E89">
            <w:pPr>
              <w:spacing w:before="93" w:beforeLines="30"/>
              <w:rPr>
                <w:rFonts w:ascii="Arial" w:hAnsi="Arial" w:eastAsia="宋体" w:cs="Arial"/>
              </w:rPr>
            </w:pPr>
            <w:r>
              <w:rPr>
                <w:rFonts w:ascii="Arial" w:hAnsi="Arial" w:eastAsia="宋体" w:cs="Arial"/>
              </w:rPr>
              <w:t>根据</w:t>
            </w:r>
            <w:bookmarkStart w:id="12" w:name="OLE_LINK3"/>
            <w:bookmarkStart w:id="13" w:name="OLE_LINK6"/>
            <w:r>
              <w:rPr>
                <w:rFonts w:ascii="Arial" w:hAnsi="Arial" w:eastAsia="宋体" w:cs="Arial"/>
              </w:rPr>
              <w:t>EN</w:t>
            </w:r>
            <w:bookmarkEnd w:id="12"/>
            <w:bookmarkEnd w:id="13"/>
            <w:r>
              <w:rPr>
                <w:rFonts w:ascii="Arial" w:hAnsi="Arial" w:eastAsia="宋体" w:cs="Arial"/>
              </w:rPr>
              <w:t xml:space="preserve"> 55011进行测试，根据EN 60601-2-2规定的工作条件，将器械归入A类2组。</w:t>
            </w:r>
          </w:p>
        </w:tc>
      </w:tr>
      <w:tr w14:paraId="01C19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tcPr>
          <w:p w14:paraId="41A673D2">
            <w:pPr>
              <w:spacing w:before="93" w:beforeLines="30"/>
              <w:rPr>
                <w:rFonts w:ascii="Arial" w:hAnsi="Arial" w:eastAsia="宋体" w:cs="Arial"/>
              </w:rPr>
            </w:pPr>
            <w:r>
              <w:rPr>
                <w:rFonts w:ascii="Arial" w:hAnsi="Arial" w:eastAsia="宋体" w:cs="Arial"/>
              </w:rPr>
              <w:t>36.201.2</w:t>
            </w:r>
          </w:p>
        </w:tc>
        <w:tc>
          <w:tcPr>
            <w:tcW w:w="7138" w:type="dxa"/>
          </w:tcPr>
          <w:p w14:paraId="269EC6F6">
            <w:pPr>
              <w:spacing w:before="93" w:beforeLines="30"/>
              <w:rPr>
                <w:rFonts w:ascii="Arial" w:hAnsi="Arial" w:eastAsia="宋体" w:cs="Arial"/>
                <w:b/>
              </w:rPr>
            </w:pPr>
            <w:r>
              <w:rPr>
                <w:rFonts w:ascii="Arial" w:hAnsi="Arial" w:eastAsia="宋体" w:cs="Arial"/>
                <w:b/>
              </w:rPr>
              <w:t>低频发射</w:t>
            </w:r>
          </w:p>
        </w:tc>
      </w:tr>
      <w:tr w14:paraId="0BB68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tcPr>
          <w:p w14:paraId="3C43C5B7">
            <w:pPr>
              <w:spacing w:before="93" w:beforeLines="30"/>
              <w:rPr>
                <w:rFonts w:ascii="Arial" w:hAnsi="Arial" w:eastAsia="宋体" w:cs="Arial"/>
              </w:rPr>
            </w:pPr>
          </w:p>
        </w:tc>
        <w:tc>
          <w:tcPr>
            <w:tcW w:w="7138" w:type="dxa"/>
          </w:tcPr>
          <w:p w14:paraId="6541D8D0">
            <w:pPr>
              <w:spacing w:before="93" w:beforeLines="30"/>
              <w:rPr>
                <w:rFonts w:ascii="Arial" w:hAnsi="Arial" w:eastAsia="宋体" w:cs="Arial"/>
              </w:rPr>
            </w:pPr>
            <w:r>
              <w:rPr>
                <w:rFonts w:ascii="Arial" w:hAnsi="Arial" w:eastAsia="宋体" w:cs="Arial"/>
                <w:b/>
              </w:rPr>
              <w:t>不要求测试</w:t>
            </w:r>
            <w:r>
              <w:rPr>
                <w:rFonts w:ascii="Arial" w:hAnsi="Arial" w:eastAsia="宋体" w:cs="Arial"/>
              </w:rPr>
              <w:t>（64％的公告机构对该测试的必要性持不同意见）。</w:t>
            </w:r>
          </w:p>
        </w:tc>
      </w:tr>
      <w:tr w14:paraId="244CA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tcPr>
          <w:p w14:paraId="7CB4C25F">
            <w:pPr>
              <w:spacing w:before="93" w:beforeLines="30"/>
              <w:rPr>
                <w:rFonts w:ascii="Arial" w:hAnsi="Arial" w:eastAsia="宋体" w:cs="Arial"/>
              </w:rPr>
            </w:pPr>
            <w:r>
              <w:rPr>
                <w:rFonts w:ascii="Arial" w:hAnsi="Arial" w:eastAsia="宋体" w:cs="Arial"/>
              </w:rPr>
              <w:t>36.202.1</w:t>
            </w:r>
          </w:p>
        </w:tc>
        <w:tc>
          <w:tcPr>
            <w:tcW w:w="7138" w:type="dxa"/>
          </w:tcPr>
          <w:p w14:paraId="32A8FD48">
            <w:pPr>
              <w:spacing w:before="93" w:beforeLines="30"/>
              <w:rPr>
                <w:rFonts w:ascii="Arial" w:hAnsi="Arial" w:eastAsia="宋体" w:cs="Arial"/>
                <w:b/>
              </w:rPr>
            </w:pPr>
            <w:r>
              <w:rPr>
                <w:rFonts w:ascii="Arial" w:hAnsi="Arial" w:eastAsia="宋体" w:cs="Arial"/>
                <w:b/>
              </w:rPr>
              <w:t>静电放电</w:t>
            </w:r>
          </w:p>
        </w:tc>
      </w:tr>
      <w:tr w14:paraId="151EA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tcPr>
          <w:p w14:paraId="047C7D1E">
            <w:pPr>
              <w:spacing w:before="93" w:beforeLines="30"/>
              <w:rPr>
                <w:rFonts w:ascii="Arial" w:hAnsi="Arial" w:eastAsia="宋体" w:cs="Arial"/>
              </w:rPr>
            </w:pPr>
          </w:p>
        </w:tc>
        <w:tc>
          <w:tcPr>
            <w:tcW w:w="7138" w:type="dxa"/>
          </w:tcPr>
          <w:p w14:paraId="44E1F952">
            <w:pPr>
              <w:spacing w:before="93" w:beforeLines="30"/>
              <w:rPr>
                <w:rFonts w:ascii="Arial" w:hAnsi="Arial" w:eastAsia="宋体" w:cs="Arial"/>
              </w:rPr>
            </w:pPr>
            <w:r>
              <w:rPr>
                <w:rFonts w:ascii="Arial" w:hAnsi="Arial" w:eastAsia="宋体" w:cs="Arial"/>
              </w:rPr>
              <w:t>根据EN 61000-4-2的规定分别对3</w:t>
            </w:r>
            <w:bookmarkStart w:id="14" w:name="OLE_LINK7"/>
            <w:bookmarkStart w:id="15" w:name="OLE_LINK8"/>
            <w:r>
              <w:rPr>
                <w:rFonts w:ascii="Arial" w:hAnsi="Arial" w:eastAsia="宋体" w:cs="Arial"/>
              </w:rPr>
              <w:t>kV</w:t>
            </w:r>
            <w:bookmarkEnd w:id="14"/>
            <w:bookmarkEnd w:id="15"/>
            <w:r>
              <w:rPr>
                <w:rFonts w:ascii="Arial" w:hAnsi="Arial" w:eastAsia="宋体" w:cs="Arial"/>
              </w:rPr>
              <w:t>和8kV进行测试。（专门工作组知晓标准化委员会对测试电压增加对接触放电的影响进行了讨论，但必须等候决定。）</w:t>
            </w:r>
          </w:p>
        </w:tc>
      </w:tr>
    </w:tbl>
    <w:p w14:paraId="1FB53F7D">
      <w:r>
        <w:br w:type="page"/>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84"/>
        <w:gridCol w:w="7138"/>
      </w:tblGrid>
      <w:tr w14:paraId="64DFF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384" w:type="dxa"/>
          </w:tcPr>
          <w:p w14:paraId="4E10184B">
            <w:pPr>
              <w:spacing w:before="93" w:beforeLines="30"/>
              <w:rPr>
                <w:rFonts w:ascii="Arial" w:hAnsi="Arial" w:eastAsia="宋体" w:cs="Arial"/>
              </w:rPr>
            </w:pPr>
            <w:r>
              <w:rPr>
                <w:rFonts w:ascii="Arial" w:hAnsi="Arial" w:eastAsia="宋体" w:cs="Arial"/>
              </w:rPr>
              <w:t>36.202.2</w:t>
            </w:r>
          </w:p>
        </w:tc>
        <w:tc>
          <w:tcPr>
            <w:tcW w:w="7138" w:type="dxa"/>
          </w:tcPr>
          <w:p w14:paraId="7DB402D1">
            <w:pPr>
              <w:spacing w:before="93" w:beforeLines="30"/>
              <w:rPr>
                <w:rFonts w:ascii="Arial" w:hAnsi="Arial" w:eastAsia="宋体" w:cs="Arial"/>
                <w:b/>
              </w:rPr>
            </w:pPr>
            <w:r>
              <w:rPr>
                <w:rFonts w:ascii="Arial" w:hAnsi="Arial" w:eastAsia="宋体" w:cs="Arial"/>
                <w:b/>
              </w:rPr>
              <w:t>放射状射频场</w:t>
            </w:r>
          </w:p>
        </w:tc>
      </w:tr>
      <w:tr w14:paraId="2C128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tcPr>
          <w:p w14:paraId="26B56F13">
            <w:pPr>
              <w:spacing w:before="93" w:beforeLines="30"/>
              <w:rPr>
                <w:rFonts w:ascii="Arial" w:hAnsi="Arial" w:eastAsia="宋体" w:cs="Arial"/>
              </w:rPr>
            </w:pPr>
          </w:p>
        </w:tc>
        <w:tc>
          <w:tcPr>
            <w:tcW w:w="7138" w:type="dxa"/>
          </w:tcPr>
          <w:p w14:paraId="65F8C205">
            <w:pPr>
              <w:spacing w:before="93" w:beforeLines="30"/>
              <w:rPr>
                <w:rFonts w:ascii="Arial" w:hAnsi="Arial" w:eastAsia="宋体" w:cs="Arial"/>
              </w:rPr>
            </w:pPr>
            <w:r>
              <w:rPr>
                <w:rFonts w:ascii="Arial" w:hAnsi="Arial" w:eastAsia="宋体" w:cs="Arial"/>
              </w:rPr>
              <w:t>根据EN 61000-4-3的水平2（3 V/米）进行测试。</w:t>
            </w:r>
          </w:p>
        </w:tc>
      </w:tr>
      <w:tr w14:paraId="22238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tcPr>
          <w:p w14:paraId="29C0508F">
            <w:pPr>
              <w:spacing w:before="93" w:beforeLines="30"/>
              <w:rPr>
                <w:rFonts w:ascii="Arial" w:hAnsi="Arial" w:eastAsia="宋体" w:cs="Arial"/>
              </w:rPr>
            </w:pPr>
            <w:r>
              <w:rPr>
                <w:rFonts w:ascii="Arial" w:hAnsi="Arial" w:eastAsia="宋体" w:cs="Arial"/>
              </w:rPr>
              <w:t>36.202.3.1</w:t>
            </w:r>
          </w:p>
        </w:tc>
        <w:tc>
          <w:tcPr>
            <w:tcW w:w="7138" w:type="dxa"/>
          </w:tcPr>
          <w:p w14:paraId="75ACE22F">
            <w:pPr>
              <w:spacing w:before="93" w:beforeLines="30"/>
              <w:rPr>
                <w:rFonts w:ascii="Arial" w:hAnsi="Arial" w:eastAsia="宋体" w:cs="Arial"/>
                <w:b/>
              </w:rPr>
            </w:pPr>
            <w:r>
              <w:rPr>
                <w:rFonts w:ascii="Arial" w:hAnsi="Arial" w:eastAsia="宋体" w:cs="Arial"/>
                <w:b/>
              </w:rPr>
              <w:t>突发脉冲</w:t>
            </w:r>
          </w:p>
        </w:tc>
      </w:tr>
      <w:tr w14:paraId="2CAB3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tcPr>
          <w:p w14:paraId="250C7C7E">
            <w:pPr>
              <w:spacing w:before="93" w:beforeLines="30"/>
              <w:rPr>
                <w:rFonts w:ascii="Arial" w:hAnsi="Arial" w:eastAsia="宋体" w:cs="Arial"/>
              </w:rPr>
            </w:pPr>
          </w:p>
        </w:tc>
        <w:tc>
          <w:tcPr>
            <w:tcW w:w="7138" w:type="dxa"/>
          </w:tcPr>
          <w:p w14:paraId="0AC68BA4">
            <w:pPr>
              <w:spacing w:before="93" w:beforeLines="30"/>
              <w:rPr>
                <w:rFonts w:ascii="Arial" w:hAnsi="Arial" w:eastAsia="宋体" w:cs="Arial"/>
              </w:rPr>
            </w:pPr>
            <w:r>
              <w:rPr>
                <w:rFonts w:ascii="Arial" w:hAnsi="Arial" w:eastAsia="宋体" w:cs="Arial"/>
              </w:rPr>
              <w:t>根据EN 61000-4-4的规定进行测试。（对将来通过插头连接到2KV电源上的器械，测试电压水平可能会有变化。）</w:t>
            </w:r>
          </w:p>
        </w:tc>
      </w:tr>
      <w:tr w14:paraId="09AB8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tcPr>
          <w:p w14:paraId="47B4C72A">
            <w:pPr>
              <w:spacing w:before="93" w:beforeLines="30"/>
              <w:rPr>
                <w:rFonts w:ascii="Arial" w:hAnsi="Arial" w:eastAsia="宋体" w:cs="Arial"/>
              </w:rPr>
            </w:pPr>
            <w:r>
              <w:rPr>
                <w:rFonts w:ascii="Arial" w:hAnsi="Arial" w:eastAsia="宋体" w:cs="Arial"/>
              </w:rPr>
              <w:t>36.202.3.2</w:t>
            </w:r>
          </w:p>
        </w:tc>
        <w:tc>
          <w:tcPr>
            <w:tcW w:w="7138" w:type="dxa"/>
          </w:tcPr>
          <w:p w14:paraId="56687CFD">
            <w:pPr>
              <w:spacing w:before="93" w:beforeLines="30"/>
              <w:rPr>
                <w:rFonts w:ascii="Arial" w:hAnsi="Arial" w:eastAsia="宋体" w:cs="Arial"/>
                <w:b/>
              </w:rPr>
            </w:pPr>
            <w:r>
              <w:rPr>
                <w:rFonts w:ascii="Arial" w:hAnsi="Arial" w:eastAsia="宋体" w:cs="Arial"/>
                <w:b/>
              </w:rPr>
              <w:t>浪涌</w:t>
            </w:r>
          </w:p>
        </w:tc>
      </w:tr>
      <w:tr w14:paraId="11266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tcPr>
          <w:p w14:paraId="42CDE9DC">
            <w:pPr>
              <w:spacing w:before="93" w:beforeLines="30"/>
              <w:rPr>
                <w:rFonts w:ascii="Arial" w:hAnsi="Arial" w:eastAsia="宋体" w:cs="Arial"/>
              </w:rPr>
            </w:pPr>
          </w:p>
        </w:tc>
        <w:tc>
          <w:tcPr>
            <w:tcW w:w="7138" w:type="dxa"/>
          </w:tcPr>
          <w:p w14:paraId="5C020360">
            <w:pPr>
              <w:spacing w:before="93" w:beforeLines="30"/>
              <w:rPr>
                <w:rFonts w:ascii="Arial" w:hAnsi="Arial" w:eastAsia="宋体" w:cs="Arial"/>
              </w:rPr>
            </w:pPr>
            <w:r>
              <w:rPr>
                <w:rFonts w:ascii="Arial" w:hAnsi="Arial" w:eastAsia="宋体" w:cs="Arial"/>
              </w:rPr>
              <w:t>根据</w:t>
            </w:r>
            <w:bookmarkStart w:id="16" w:name="OLE_LINK16"/>
            <w:bookmarkStart w:id="17" w:name="OLE_LINK10"/>
            <w:r>
              <w:rPr>
                <w:rFonts w:ascii="Arial" w:hAnsi="Arial" w:eastAsia="宋体" w:cs="Arial"/>
              </w:rPr>
              <w:t>EN</w:t>
            </w:r>
            <w:bookmarkEnd w:id="16"/>
            <w:bookmarkEnd w:id="17"/>
            <w:r>
              <w:rPr>
                <w:rFonts w:ascii="Arial" w:hAnsi="Arial" w:eastAsia="宋体" w:cs="Arial"/>
              </w:rPr>
              <w:t xml:space="preserve"> 61000-4-5的规定进行测试。</w:t>
            </w:r>
          </w:p>
        </w:tc>
      </w:tr>
      <w:tr w14:paraId="3F2CD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tcPr>
          <w:p w14:paraId="41349770">
            <w:pPr>
              <w:spacing w:before="93" w:beforeLines="30"/>
              <w:rPr>
                <w:rFonts w:ascii="Arial" w:hAnsi="Arial" w:eastAsia="宋体" w:cs="Arial"/>
              </w:rPr>
            </w:pPr>
            <w:r>
              <w:rPr>
                <w:rFonts w:ascii="Arial" w:hAnsi="Arial" w:eastAsia="宋体" w:cs="Arial"/>
              </w:rPr>
              <w:t>36.202.4</w:t>
            </w:r>
          </w:p>
        </w:tc>
        <w:tc>
          <w:tcPr>
            <w:tcW w:w="7138" w:type="dxa"/>
          </w:tcPr>
          <w:p w14:paraId="6A2C7860">
            <w:pPr>
              <w:spacing w:before="93" w:beforeLines="30"/>
              <w:rPr>
                <w:rFonts w:ascii="Arial" w:hAnsi="Arial" w:eastAsia="宋体" w:cs="Arial"/>
                <w:b/>
              </w:rPr>
            </w:pPr>
            <w:r>
              <w:rPr>
                <w:rFonts w:ascii="Arial" w:hAnsi="Arial" w:eastAsia="宋体" w:cs="Arial"/>
                <w:b/>
              </w:rPr>
              <w:t>电源输入线上的电压骤降、短时中断和电压波动</w:t>
            </w:r>
          </w:p>
        </w:tc>
      </w:tr>
      <w:tr w14:paraId="612FE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tcPr>
          <w:p w14:paraId="1BA69998">
            <w:pPr>
              <w:spacing w:before="93" w:beforeLines="30"/>
              <w:rPr>
                <w:rFonts w:ascii="Arial" w:hAnsi="Arial" w:eastAsia="宋体" w:cs="Arial"/>
              </w:rPr>
            </w:pPr>
          </w:p>
        </w:tc>
        <w:tc>
          <w:tcPr>
            <w:tcW w:w="7138" w:type="dxa"/>
          </w:tcPr>
          <w:p w14:paraId="60033D70">
            <w:pPr>
              <w:spacing w:before="93" w:beforeLines="30"/>
              <w:rPr>
                <w:rFonts w:ascii="Arial" w:hAnsi="Arial" w:eastAsia="宋体" w:cs="Arial"/>
              </w:rPr>
            </w:pPr>
            <w:r>
              <w:rPr>
                <w:rFonts w:ascii="Arial" w:hAnsi="Arial" w:eastAsia="宋体" w:cs="Arial"/>
              </w:rPr>
              <w:t>根据EN 61000-4-11进行测试。</w:t>
            </w:r>
          </w:p>
        </w:tc>
      </w:tr>
      <w:tr w14:paraId="0996D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tcPr>
          <w:p w14:paraId="73E37098">
            <w:pPr>
              <w:spacing w:before="93" w:beforeLines="30"/>
              <w:rPr>
                <w:rFonts w:ascii="Arial" w:hAnsi="Arial" w:eastAsia="宋体" w:cs="Arial"/>
              </w:rPr>
            </w:pPr>
            <w:r>
              <w:rPr>
                <w:rFonts w:ascii="Arial" w:hAnsi="Arial" w:eastAsia="宋体" w:cs="Arial"/>
              </w:rPr>
              <w:t>36.202.5</w:t>
            </w:r>
          </w:p>
        </w:tc>
        <w:tc>
          <w:tcPr>
            <w:tcW w:w="7138" w:type="dxa"/>
          </w:tcPr>
          <w:p w14:paraId="4682FC45">
            <w:pPr>
              <w:spacing w:before="93" w:beforeLines="30"/>
              <w:rPr>
                <w:rFonts w:ascii="Arial" w:hAnsi="Arial" w:eastAsia="宋体" w:cs="Arial"/>
                <w:b/>
              </w:rPr>
            </w:pPr>
            <w:r>
              <w:rPr>
                <w:rFonts w:ascii="Arial" w:hAnsi="Arial" w:eastAsia="宋体" w:cs="Arial"/>
                <w:b/>
              </w:rPr>
              <w:t>由射频场诱发的传导性干扰</w:t>
            </w:r>
          </w:p>
        </w:tc>
      </w:tr>
      <w:tr w14:paraId="7DF97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tcPr>
          <w:p w14:paraId="662EB7DF">
            <w:pPr>
              <w:spacing w:before="93" w:beforeLines="30"/>
              <w:rPr>
                <w:rFonts w:ascii="Arial" w:hAnsi="Arial" w:eastAsia="宋体" w:cs="Arial"/>
              </w:rPr>
            </w:pPr>
          </w:p>
        </w:tc>
        <w:tc>
          <w:tcPr>
            <w:tcW w:w="7138" w:type="dxa"/>
          </w:tcPr>
          <w:p w14:paraId="15CE77A9">
            <w:pPr>
              <w:spacing w:before="93" w:beforeLines="30"/>
              <w:rPr>
                <w:rFonts w:ascii="Arial" w:hAnsi="Arial" w:eastAsia="宋体" w:cs="Arial"/>
              </w:rPr>
            </w:pPr>
            <w:r>
              <w:rPr>
                <w:rFonts w:ascii="Arial" w:hAnsi="Arial" w:eastAsia="宋体" w:cs="Arial"/>
              </w:rPr>
              <w:t>根据IEC 1000-4-6进行测试（</w:t>
            </w:r>
            <w:bookmarkStart w:id="18" w:name="OLE_LINK43"/>
            <w:r>
              <w:rPr>
                <w:rFonts w:ascii="Arial" w:hAnsi="Arial" w:eastAsia="宋体" w:cs="Arial"/>
              </w:rPr>
              <w:t>86％的公告机构对该测试的必要性持一致意见</w:t>
            </w:r>
            <w:bookmarkEnd w:id="18"/>
            <w:r>
              <w:rPr>
                <w:rFonts w:ascii="Arial" w:hAnsi="Arial" w:eastAsia="宋体" w:cs="Arial"/>
              </w:rPr>
              <w:t>）。</w:t>
            </w:r>
          </w:p>
        </w:tc>
      </w:tr>
      <w:tr w14:paraId="67A06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tcPr>
          <w:p w14:paraId="59C5B15B">
            <w:pPr>
              <w:spacing w:before="93" w:beforeLines="30"/>
              <w:rPr>
                <w:rFonts w:ascii="Arial" w:hAnsi="Arial" w:eastAsia="宋体" w:cs="Arial"/>
              </w:rPr>
            </w:pPr>
            <w:bookmarkStart w:id="19" w:name="OLE_LINK39"/>
            <w:bookmarkStart w:id="20" w:name="OLE_LINK40"/>
            <w:r>
              <w:rPr>
                <w:rFonts w:ascii="Arial" w:hAnsi="Arial" w:eastAsia="宋体" w:cs="Arial"/>
              </w:rPr>
              <w:t>36.202.6</w:t>
            </w:r>
          </w:p>
        </w:tc>
        <w:tc>
          <w:tcPr>
            <w:tcW w:w="7138" w:type="dxa"/>
          </w:tcPr>
          <w:p w14:paraId="3F4564E8">
            <w:pPr>
              <w:spacing w:before="93" w:beforeLines="30"/>
              <w:rPr>
                <w:rFonts w:ascii="Arial" w:hAnsi="Arial" w:eastAsia="宋体" w:cs="Arial"/>
                <w:b/>
              </w:rPr>
            </w:pPr>
            <w:r>
              <w:rPr>
                <w:rFonts w:ascii="Arial" w:hAnsi="Arial" w:eastAsia="宋体" w:cs="Arial"/>
                <w:b/>
              </w:rPr>
              <w:t>磁场</w:t>
            </w:r>
          </w:p>
        </w:tc>
        <w:bookmarkStart w:id="21" w:name="OLE_LINK41"/>
        <w:bookmarkStart w:id="22" w:name="OLE_LINK42"/>
      </w:tr>
      <w:tr w14:paraId="1338C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tcPr>
          <w:p w14:paraId="41D4399B">
            <w:pPr>
              <w:spacing w:before="93" w:beforeLines="30"/>
              <w:rPr>
                <w:rFonts w:ascii="Arial" w:hAnsi="Arial" w:eastAsia="宋体" w:cs="Arial"/>
              </w:rPr>
            </w:pPr>
          </w:p>
        </w:tc>
        <w:tc>
          <w:tcPr>
            <w:tcW w:w="7138" w:type="dxa"/>
          </w:tcPr>
          <w:p w14:paraId="0ED9727A">
            <w:pPr>
              <w:spacing w:before="93" w:beforeLines="30"/>
              <w:rPr>
                <w:rFonts w:ascii="Arial" w:hAnsi="Arial" w:eastAsia="宋体" w:cs="Arial"/>
              </w:rPr>
            </w:pPr>
            <w:r>
              <w:rPr>
                <w:rFonts w:ascii="Arial" w:hAnsi="Arial" w:eastAsia="宋体" w:cs="Arial"/>
              </w:rPr>
              <w:t>根据EN 61000-4-8进行测试（77％的公告机构对该测试的必要性持一致意见）。</w:t>
            </w:r>
          </w:p>
        </w:tc>
      </w:tr>
    </w:tbl>
    <w:p w14:paraId="12774792">
      <w:pPr>
        <w:rPr>
          <w:rFonts w:ascii="Arial" w:hAnsi="Arial" w:eastAsia="宋体" w:cs="Arial"/>
        </w:rPr>
      </w:pPr>
    </w:p>
    <w:bookmarkEnd w:id="19"/>
    <w:bookmarkEnd w:id="20"/>
    <w:p w14:paraId="48B4287B">
      <w:pPr>
        <w:rPr>
          <w:rFonts w:ascii="Arial" w:hAnsi="Arial" w:eastAsia="宋体" w:cs="Arial"/>
        </w:rPr>
      </w:pPr>
      <w:r>
        <w:rPr>
          <w:rFonts w:ascii="Arial" w:hAnsi="Arial" w:eastAsia="宋体" w:cs="Arial"/>
        </w:rPr>
        <w:t>尽管EN 60601-1-2的确指出根据36.202.4、36.202.5和36.202.6条款进行的测试仍在考虑中，但鉴于如下理由，电磁兼容性专门工作组建议进行这些测试：</w:t>
      </w:r>
    </w:p>
    <w:p w14:paraId="2EA22B55">
      <w:pPr>
        <w:rPr>
          <w:rFonts w:ascii="Arial" w:hAnsi="Arial" w:eastAsia="宋体" w:cs="Arial"/>
        </w:rPr>
      </w:pPr>
    </w:p>
    <w:p w14:paraId="76953E61">
      <w:pPr>
        <w:ind w:left="321" w:hanging="321" w:hangingChars="153"/>
        <w:rPr>
          <w:rFonts w:ascii="Arial" w:hAnsi="Arial" w:eastAsia="宋体" w:cs="Arial"/>
        </w:rPr>
      </w:pPr>
      <w:r>
        <w:rPr>
          <w:rFonts w:ascii="Arial" w:hAnsi="Arial" w:eastAsia="宋体" w:cs="Arial"/>
        </w:rPr>
        <w:t>a）绝大多数公告机构对测试的必要性持一致意见。他们认为通过测试可证实对</w:t>
      </w:r>
      <w:bookmarkEnd w:id="21"/>
      <w:bookmarkEnd w:id="22"/>
      <w:r>
        <w:rPr>
          <w:rFonts w:ascii="Arial" w:hAnsi="Arial" w:eastAsia="宋体" w:cs="Arial"/>
        </w:rPr>
        <w:t>基本要求的符合性。</w:t>
      </w:r>
    </w:p>
    <w:p w14:paraId="17A2337A">
      <w:pPr>
        <w:rPr>
          <w:rFonts w:ascii="Arial" w:hAnsi="Arial" w:eastAsia="宋体" w:cs="Arial"/>
        </w:rPr>
      </w:pPr>
    </w:p>
    <w:p w14:paraId="7F4DACF7">
      <w:pPr>
        <w:rPr>
          <w:rFonts w:ascii="Arial" w:hAnsi="Arial" w:eastAsia="宋体" w:cs="Arial"/>
        </w:rPr>
      </w:pPr>
      <w:r>
        <w:rPr>
          <w:rFonts w:ascii="Arial" w:hAnsi="Arial" w:eastAsia="宋体" w:cs="Arial"/>
        </w:rPr>
        <w:t>b）现有的EN 61000系列或IEC 1000系列标准可用。</w:t>
      </w:r>
    </w:p>
    <w:p w14:paraId="5FA1A666">
      <w:pPr>
        <w:jc w:val="right"/>
        <w:rPr>
          <w:rFonts w:hint="eastAsia" w:eastAsia="宋体"/>
          <w:lang w:eastAsia="zh-CN"/>
        </w:rPr>
      </w:pPr>
    </w:p>
    <w:p w14:paraId="04BE7CB9">
      <w:pPr>
        <w:jc w:val="center"/>
        <w:rPr>
          <w:rFonts w:hint="eastAsia" w:eastAsia="宋体"/>
          <w:lang w:eastAsia="zh-CN"/>
        </w:rPr>
      </w:pPr>
    </w:p>
    <w:p w14:paraId="29CF6836">
      <w:pPr>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4" name="图片 4" descr="2"/>
            <wp:cNvGraphicFramePr/>
            <a:graphic xmlns:a="http://schemas.openxmlformats.org/drawingml/2006/main">
              <a:graphicData uri="http://schemas.openxmlformats.org/drawingml/2006/picture">
                <pic:pic xmlns:pic="http://schemas.openxmlformats.org/drawingml/2006/picture">
                  <pic:nvPicPr>
                    <pic:cNvPr id="4" name="图片 4" descr="2"/>
                    <pic:cNvPicPr/>
                  </pic:nvPicPr>
                  <pic:blipFill>
                    <a:blip r:embed="rId6"/>
                    <a:stretch>
                      <a:fillRect/>
                    </a:stretch>
                  </pic:blipFill>
                  <pic:spPr>
                    <a:xfrm>
                      <a:off x="0" y="0"/>
                      <a:ext cx="5210175" cy="7343775"/>
                    </a:xfrm>
                    <a:prstGeom prst="rect">
                      <a:avLst/>
                    </a:prstGeom>
                  </pic:spPr>
                </pic:pic>
              </a:graphicData>
            </a:graphic>
          </wp:inline>
        </w:drawing>
      </w:r>
    </w:p>
    <w:sectPr>
      <w:footerReference r:id="rId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rPr>
      <w:id w:val="1315454555"/>
      <w:docPartObj>
        <w:docPartGallery w:val="AutoText"/>
      </w:docPartObj>
    </w:sdtPr>
    <w:sdtEndPr>
      <w:rPr>
        <w:rFonts w:ascii="Arial" w:hAnsi="Arial" w:cs="Arial"/>
      </w:rPr>
    </w:sdtEndPr>
    <w:sdtContent>
      <w:p w14:paraId="4B1241D4">
        <w:pPr>
          <w:pStyle w:val="3"/>
          <w:jc w:val="right"/>
          <w:rPr>
            <w:rFonts w:ascii="Arial" w:hAnsi="Arial" w:cs="Arial"/>
          </w:rPr>
        </w:pPr>
        <w:r>
          <w:rPr>
            <w:rFonts w:ascii="Arial" w:hAnsi="Arial" w:cs="Arial"/>
          </w:rPr>
          <w:fldChar w:fldCharType="begin"/>
        </w:r>
        <w:r>
          <w:rPr>
            <w:rFonts w:ascii="Arial" w:hAnsi="Arial" w:cs="Arial"/>
          </w:rPr>
          <w:instrText xml:space="preserve">PAGE   \* MERGEFORMAT</w:instrText>
        </w:r>
        <w:r>
          <w:rPr>
            <w:rFonts w:ascii="Arial" w:hAnsi="Arial" w:cs="Arial"/>
          </w:rPr>
          <w:fldChar w:fldCharType="separate"/>
        </w:r>
        <w:r>
          <w:rPr>
            <w:rFonts w:ascii="Arial" w:hAnsi="Arial" w:cs="Arial"/>
            <w:lang w:val="zh-CN"/>
          </w:rPr>
          <w:t>6</w:t>
        </w:r>
        <w:r>
          <w:rPr>
            <w:rFonts w:ascii="Arial" w:hAnsi="Arial" w:cs="Arial"/>
          </w:rPr>
          <w:fldChar w:fldCharType="end"/>
        </w:r>
      </w:p>
    </w:sdtContent>
  </w:sdt>
  <w:p w14:paraId="305BC49A">
    <w:pPr>
      <w:pStyle w:val="3"/>
      <w:rPr>
        <w:rFonts w:ascii="Arial" w:hAnsi="Arial" w:cs="Aria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EC4ECF"/>
    <w:multiLevelType w:val="multilevel"/>
    <w:tmpl w:val="5EEC4EC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FCC635B"/>
    <w:multiLevelType w:val="multilevel"/>
    <w:tmpl w:val="5FCC635B"/>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91862E5"/>
    <w:multiLevelType w:val="multilevel"/>
    <w:tmpl w:val="791862E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7AE"/>
    <w:rsid w:val="000208CD"/>
    <w:rsid w:val="00022683"/>
    <w:rsid w:val="00040905"/>
    <w:rsid w:val="00047C7A"/>
    <w:rsid w:val="00076BC1"/>
    <w:rsid w:val="000B2A96"/>
    <w:rsid w:val="000C2E8F"/>
    <w:rsid w:val="00103426"/>
    <w:rsid w:val="00111BDA"/>
    <w:rsid w:val="00127111"/>
    <w:rsid w:val="00162AB2"/>
    <w:rsid w:val="00170AC7"/>
    <w:rsid w:val="001758D1"/>
    <w:rsid w:val="001C1873"/>
    <w:rsid w:val="001F1376"/>
    <w:rsid w:val="00204070"/>
    <w:rsid w:val="00210FE6"/>
    <w:rsid w:val="00216989"/>
    <w:rsid w:val="00221A6D"/>
    <w:rsid w:val="00233AB5"/>
    <w:rsid w:val="00247A79"/>
    <w:rsid w:val="002571F2"/>
    <w:rsid w:val="00263BD6"/>
    <w:rsid w:val="002648B4"/>
    <w:rsid w:val="002A2E6A"/>
    <w:rsid w:val="002C2F32"/>
    <w:rsid w:val="002E08A8"/>
    <w:rsid w:val="002E750D"/>
    <w:rsid w:val="00305C8B"/>
    <w:rsid w:val="003437AE"/>
    <w:rsid w:val="00366386"/>
    <w:rsid w:val="00372700"/>
    <w:rsid w:val="00383E1A"/>
    <w:rsid w:val="00384FF0"/>
    <w:rsid w:val="003B4081"/>
    <w:rsid w:val="003C094C"/>
    <w:rsid w:val="003D2A85"/>
    <w:rsid w:val="003E003E"/>
    <w:rsid w:val="003E3EFD"/>
    <w:rsid w:val="003E5CB2"/>
    <w:rsid w:val="0040225E"/>
    <w:rsid w:val="00402310"/>
    <w:rsid w:val="00403BCD"/>
    <w:rsid w:val="004043C9"/>
    <w:rsid w:val="00413EB8"/>
    <w:rsid w:val="004177A6"/>
    <w:rsid w:val="00420F39"/>
    <w:rsid w:val="0044367E"/>
    <w:rsid w:val="00444C95"/>
    <w:rsid w:val="00454F31"/>
    <w:rsid w:val="004642EA"/>
    <w:rsid w:val="00486CC6"/>
    <w:rsid w:val="00490C59"/>
    <w:rsid w:val="004D3826"/>
    <w:rsid w:val="005106C9"/>
    <w:rsid w:val="00511801"/>
    <w:rsid w:val="005167C0"/>
    <w:rsid w:val="00520FA5"/>
    <w:rsid w:val="005260CA"/>
    <w:rsid w:val="00527613"/>
    <w:rsid w:val="00552537"/>
    <w:rsid w:val="0055702B"/>
    <w:rsid w:val="00567D26"/>
    <w:rsid w:val="005A5578"/>
    <w:rsid w:val="005B448B"/>
    <w:rsid w:val="005C694D"/>
    <w:rsid w:val="005E0974"/>
    <w:rsid w:val="005E0FA1"/>
    <w:rsid w:val="005E5DAD"/>
    <w:rsid w:val="005E7819"/>
    <w:rsid w:val="005F271B"/>
    <w:rsid w:val="00622EB3"/>
    <w:rsid w:val="00631FBC"/>
    <w:rsid w:val="00636126"/>
    <w:rsid w:val="0064710D"/>
    <w:rsid w:val="006538D5"/>
    <w:rsid w:val="006A513B"/>
    <w:rsid w:val="006E160C"/>
    <w:rsid w:val="006E2947"/>
    <w:rsid w:val="006E33E2"/>
    <w:rsid w:val="006F2CF1"/>
    <w:rsid w:val="00706750"/>
    <w:rsid w:val="00710976"/>
    <w:rsid w:val="007436BE"/>
    <w:rsid w:val="00743F83"/>
    <w:rsid w:val="00752375"/>
    <w:rsid w:val="007541D8"/>
    <w:rsid w:val="00755727"/>
    <w:rsid w:val="00760368"/>
    <w:rsid w:val="00760D9D"/>
    <w:rsid w:val="00761347"/>
    <w:rsid w:val="00785233"/>
    <w:rsid w:val="007B168B"/>
    <w:rsid w:val="007B3919"/>
    <w:rsid w:val="007D0B65"/>
    <w:rsid w:val="007D73A7"/>
    <w:rsid w:val="008017E8"/>
    <w:rsid w:val="00805614"/>
    <w:rsid w:val="0080692F"/>
    <w:rsid w:val="00820157"/>
    <w:rsid w:val="00865214"/>
    <w:rsid w:val="008723B2"/>
    <w:rsid w:val="00894B06"/>
    <w:rsid w:val="008A56E7"/>
    <w:rsid w:val="008A6B94"/>
    <w:rsid w:val="008C62A4"/>
    <w:rsid w:val="008E2077"/>
    <w:rsid w:val="008E650A"/>
    <w:rsid w:val="008E69AD"/>
    <w:rsid w:val="009162DC"/>
    <w:rsid w:val="00930524"/>
    <w:rsid w:val="00932093"/>
    <w:rsid w:val="00952CF5"/>
    <w:rsid w:val="00955FF2"/>
    <w:rsid w:val="009744B9"/>
    <w:rsid w:val="0099538F"/>
    <w:rsid w:val="009A25CA"/>
    <w:rsid w:val="00A11744"/>
    <w:rsid w:val="00A127D9"/>
    <w:rsid w:val="00A26D6A"/>
    <w:rsid w:val="00A27E53"/>
    <w:rsid w:val="00A30DF4"/>
    <w:rsid w:val="00A334CF"/>
    <w:rsid w:val="00A865E9"/>
    <w:rsid w:val="00AB1E3C"/>
    <w:rsid w:val="00AE68DF"/>
    <w:rsid w:val="00AF41E6"/>
    <w:rsid w:val="00B03A18"/>
    <w:rsid w:val="00B26C09"/>
    <w:rsid w:val="00B31EAA"/>
    <w:rsid w:val="00B3447F"/>
    <w:rsid w:val="00B51055"/>
    <w:rsid w:val="00B62883"/>
    <w:rsid w:val="00B62AA7"/>
    <w:rsid w:val="00B6337E"/>
    <w:rsid w:val="00B77A35"/>
    <w:rsid w:val="00B80EBF"/>
    <w:rsid w:val="00B822F2"/>
    <w:rsid w:val="00B93E60"/>
    <w:rsid w:val="00B948A2"/>
    <w:rsid w:val="00B956AC"/>
    <w:rsid w:val="00BC482D"/>
    <w:rsid w:val="00BD2DB0"/>
    <w:rsid w:val="00BE6F54"/>
    <w:rsid w:val="00BF32F4"/>
    <w:rsid w:val="00C03D76"/>
    <w:rsid w:val="00C202C9"/>
    <w:rsid w:val="00C2219A"/>
    <w:rsid w:val="00C3462C"/>
    <w:rsid w:val="00C347E4"/>
    <w:rsid w:val="00C40F9F"/>
    <w:rsid w:val="00C9602D"/>
    <w:rsid w:val="00C975A0"/>
    <w:rsid w:val="00CA7218"/>
    <w:rsid w:val="00CB3576"/>
    <w:rsid w:val="00CB3E0B"/>
    <w:rsid w:val="00CB48E4"/>
    <w:rsid w:val="00CC7AFF"/>
    <w:rsid w:val="00CE4D76"/>
    <w:rsid w:val="00CF48AD"/>
    <w:rsid w:val="00D03B1C"/>
    <w:rsid w:val="00D12049"/>
    <w:rsid w:val="00D5510D"/>
    <w:rsid w:val="00D6083F"/>
    <w:rsid w:val="00D641A4"/>
    <w:rsid w:val="00D80B37"/>
    <w:rsid w:val="00D9398D"/>
    <w:rsid w:val="00DA1CAD"/>
    <w:rsid w:val="00DA1F7B"/>
    <w:rsid w:val="00DB0C40"/>
    <w:rsid w:val="00DC2FA2"/>
    <w:rsid w:val="00DD231F"/>
    <w:rsid w:val="00DD524E"/>
    <w:rsid w:val="00DE7EAB"/>
    <w:rsid w:val="00E10C72"/>
    <w:rsid w:val="00E240D0"/>
    <w:rsid w:val="00E4675E"/>
    <w:rsid w:val="00E47176"/>
    <w:rsid w:val="00E50D06"/>
    <w:rsid w:val="00E57550"/>
    <w:rsid w:val="00E6471A"/>
    <w:rsid w:val="00E650F6"/>
    <w:rsid w:val="00E7638C"/>
    <w:rsid w:val="00E8285F"/>
    <w:rsid w:val="00EA1277"/>
    <w:rsid w:val="00EC11D3"/>
    <w:rsid w:val="00ED2C84"/>
    <w:rsid w:val="00EF3FD2"/>
    <w:rsid w:val="00F00F37"/>
    <w:rsid w:val="00F14825"/>
    <w:rsid w:val="00F31A89"/>
    <w:rsid w:val="00F3597F"/>
    <w:rsid w:val="00F465DC"/>
    <w:rsid w:val="00F46E5B"/>
    <w:rsid w:val="00F52751"/>
    <w:rsid w:val="00F57041"/>
    <w:rsid w:val="00F63F28"/>
    <w:rsid w:val="00F64198"/>
    <w:rsid w:val="00F65284"/>
    <w:rsid w:val="00F91E9D"/>
    <w:rsid w:val="00FA19E8"/>
    <w:rsid w:val="00FB40B1"/>
    <w:rsid w:val="00FF65DF"/>
    <w:rsid w:val="78B26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6</Pages>
  <Words>2690</Words>
  <Characters>3233</Characters>
  <Lines>24</Lines>
  <Paragraphs>6</Paragraphs>
  <TotalTime>0</TotalTime>
  <ScaleCrop>false</ScaleCrop>
  <LinksUpToDate>false</LinksUpToDate>
  <CharactersWithSpaces>3282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2017-06-07T06:16:00Z</dcterms:created>
  <dc:creator>BH</dc:creator>
  <cp:lastModifiedBy>太极箫客</cp:lastModifiedBy>
  <dcterms:modified xsi:type="dcterms:W3CDTF">2025-08-14T06:16:30Z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683AEBECF0814338BBFE9142E5C94066_12</vt:lpwstr>
  </property>
</Properties>
</file>