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6EC7C">
      <w:pPr>
        <w:snapToGrid w:val="0"/>
        <w:spacing w:before="1440" w:beforeLines="600" w:after="240" w:afterLines="100" w:line="300" w:lineRule="auto"/>
        <w:jc w:val="both"/>
        <w:rPr>
          <w:rFonts w:ascii="Arial" w:hAnsi="Arial" w:eastAsia="宋体" w:cs="Arial"/>
          <w:sz w:val="64"/>
          <w:szCs w:val="64"/>
        </w:rPr>
      </w:pPr>
      <w:bookmarkStart w:id="0" w:name="_GoBack"/>
      <w:bookmarkEnd w:id="0"/>
      <w:r>
        <w:rPr>
          <w:rFonts w:hint="eastAsia" w:ascii="Arial" w:eastAsia="宋体"/>
          <w:b/>
          <w:sz w:val="64"/>
        </w:rPr>
        <w:t>CPG章节398.450 PBL在“非固定式一般用途”的射线照相系统上提供时的正光束限制（PBL）要求的适用性</w:t>
      </w:r>
    </w:p>
    <w:p w14:paraId="015105F6">
      <w:pPr>
        <w:pStyle w:val="2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背景：</w:t>
      </w:r>
    </w:p>
    <w:p w14:paraId="213EEC08">
      <w:pPr>
        <w:pStyle w:val="2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根据FDA合规政策指南编号7133.11（日期为1980年10月1日），为诊断目的而设计并仅限于以下身体区域的X射线系统，根据第1020.31节归类为“非一般用途”。</w:t>
      </w:r>
    </w:p>
    <w:p w14:paraId="7EE9C363">
      <w:pPr>
        <w:pStyle w:val="2"/>
        <w:numPr>
          <w:ilvl w:val="0"/>
          <w:numId w:val="1"/>
        </w:numPr>
        <w:tabs>
          <w:tab w:val="left" w:pos="613"/>
        </w:tabs>
        <w:snapToGrid w:val="0"/>
        <w:spacing w:after="240" w:afterLines="100" w:line="300" w:lineRule="auto"/>
        <w:ind w:left="352" w:hanging="35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四肢</w:t>
      </w:r>
    </w:p>
    <w:p w14:paraId="47F60F69">
      <w:pPr>
        <w:pStyle w:val="2"/>
        <w:numPr>
          <w:ilvl w:val="0"/>
          <w:numId w:val="1"/>
        </w:numPr>
        <w:tabs>
          <w:tab w:val="left" w:pos="613"/>
        </w:tabs>
        <w:snapToGrid w:val="0"/>
        <w:spacing w:after="240" w:afterLines="100" w:line="300" w:lineRule="auto"/>
        <w:ind w:left="352" w:hanging="35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头颅和颈部</w:t>
      </w:r>
    </w:p>
    <w:p w14:paraId="37E3DDBF">
      <w:pPr>
        <w:pStyle w:val="2"/>
        <w:numPr>
          <w:ilvl w:val="0"/>
          <w:numId w:val="1"/>
        </w:numPr>
        <w:tabs>
          <w:tab w:val="left" w:pos="613"/>
        </w:tabs>
        <w:snapToGrid w:val="0"/>
        <w:spacing w:after="240" w:afterLines="100" w:line="300" w:lineRule="auto"/>
        <w:ind w:left="352" w:hanging="35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胸部</w:t>
      </w:r>
    </w:p>
    <w:p w14:paraId="4036DDA7">
      <w:pPr>
        <w:pStyle w:val="2"/>
        <w:numPr>
          <w:ilvl w:val="0"/>
          <w:numId w:val="1"/>
        </w:numPr>
        <w:tabs>
          <w:tab w:val="left" w:pos="613"/>
        </w:tabs>
        <w:snapToGrid w:val="0"/>
        <w:spacing w:after="240" w:afterLines="100" w:line="300" w:lineRule="auto"/>
        <w:ind w:left="352" w:hanging="35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腹部</w:t>
      </w:r>
    </w:p>
    <w:p w14:paraId="183A84FF">
      <w:pPr>
        <w:pStyle w:val="2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一些X射线系统制造商即使不需要PBL，也可以使用非PBL的一般用途系统。不需要PBL本身时，1020.31（e）（2）的PBL要求是否适用的问题。</w:t>
      </w:r>
    </w:p>
    <w:p w14:paraId="547CFFAE">
      <w:pPr>
        <w:pStyle w:val="2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政策：</w:t>
      </w:r>
    </w:p>
    <w:p w14:paraId="6EB64DD7">
      <w:pPr>
        <w:pStyle w:val="2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如果PBL系统无法正常工作（特别是超过X射线场），则用户依赖于PBL而非手动校准系统会产生额外的危险。</w:t>
      </w:r>
    </w:p>
    <w:p w14:paraId="51D113D4">
      <w:pPr>
        <w:pStyle w:val="2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因此，当放射线照相系统提供PBL操作时，即使不需要PBL，也必须满足适用于PBL系统的所有要求，例如1020.31（d）（1）和（2）以及1020.31（e）（1）和（2）。符合PBL要求的系统将视为符合1020.31(f)(4)的要求。</w:t>
      </w:r>
    </w:p>
    <w:p w14:paraId="1EBA7461">
      <w:pPr>
        <w:pStyle w:val="2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发布日期：1983年8月1日</w:t>
      </w:r>
    </w:p>
    <w:p w14:paraId="69F639E0">
      <w:pPr>
        <w:snapToGrid w:val="0"/>
        <w:spacing w:after="240" w:afterLines="100" w:line="300" w:lineRule="auto"/>
        <w:jc w:val="both"/>
      </w:pPr>
    </w:p>
    <w:tbl>
      <w:tblPr>
        <w:tblStyle w:val="7"/>
        <w:tblW w:w="108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4"/>
      </w:tblGrid>
      <w:tr w14:paraId="23957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4F81BD" w:themeColor="accent1" w:sz="6" w:space="0"/>
            </w:tcBorders>
            <w:vAlign w:val="center"/>
          </w:tcPr>
          <w:p w14:paraId="067DAD87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eastAsia="宋体"/>
                <w:b/>
                <w:sz w:val="24"/>
                <w:szCs w:val="24"/>
                <w:u w:val="single" w:color="000000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"https://www.fda.gov/ICECI/ComplianceManuals/CompliancePolicyGuidanceManual/default.htm"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合规政策指南的更多信息</w:t>
            </w:r>
            <w:r>
              <w:rPr>
                <w:rFonts w:ascii="Arial" w:eastAsia="宋体"/>
                <w:b/>
                <w:sz w:val="24"/>
                <w:szCs w:val="24"/>
                <w:u w:val="single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Manual/default.htm)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3B5EE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45132EB7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前言：合规政策指南（CPG）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 xml:space="preserve">(/ICECI/Compliance Manuals/Compliance PolicyGuidance Manual/ucm116271.htm) </w:t>
            </w:r>
          </w:p>
        </w:tc>
      </w:tr>
      <w:tr w14:paraId="68612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53FCDF0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第一章-通则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Manual/ucm116280.htm)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27EA5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2D2A3A92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第二章-生物制剂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Manual/ucm116336.htm)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111A6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4ECC73B2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 xml:space="preserve">第三章-器械 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Manual/ucm116801.htm)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3777C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073BDC2B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第四章-人用药品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Manual/ucm119572.htm)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39CEF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42AE6D6D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第五章-食品、颜料和化妆品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Manual/ucm119194.htm)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4918E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EDA0C55">
            <w:pPr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\h </w:instrText>
            </w:r>
            <w:r>
              <w:fldChar w:fldCharType="separate"/>
            </w:r>
            <w:r>
              <w:rPr>
                <w:rFonts w:hint="eastAsia" w:ascii="Arial"/>
                <w:b/>
                <w:sz w:val="24"/>
                <w:szCs w:val="24"/>
                <w:u w:val="single" w:color="000000"/>
              </w:rPr>
              <w:t>第六章-兽医医学</w:t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/>
                <w:b/>
                <w:sz w:val="24"/>
                <w:szCs w:val="24"/>
                <w:u w:val="single" w:color="000000"/>
              </w:rPr>
              <w:t>(/ICECI/Compliance Manuals/Compliance PolicyGuidance Manual/ucm117042.htm)</w:t>
            </w:r>
            <w:r>
              <w:rPr>
                <w:rFonts w:hint="eastAsia" w:ascii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</w:tbl>
    <w:p w14:paraId="600E565F">
      <w:pPr>
        <w:snapToGrid w:val="0"/>
        <w:spacing w:after="240" w:afterLines="100" w:line="300" w:lineRule="auto"/>
        <w:jc w:val="both"/>
      </w:pPr>
    </w:p>
    <w:p w14:paraId="09967B20">
      <w:pPr>
        <w:snapToGrid w:val="0"/>
        <w:spacing w:before="1440" w:beforeLines="600" w:after="240" w:afterLines="100" w:line="300" w:lineRule="auto"/>
        <w:jc w:val="both"/>
        <w:rPr>
          <w:rFonts w:hint="eastAsia" w:eastAsia="宋体"/>
          <w:lang w:eastAsia="zh-CN"/>
        </w:rPr>
      </w:pPr>
    </w:p>
    <w:p w14:paraId="55AFB58E">
      <w:pPr>
        <w:snapToGrid w:val="0"/>
        <w:spacing w:before="1440" w:beforeLines="600" w:after="240" w:afterLines="100" w:line="300" w:lineRule="auto"/>
        <w:jc w:val="center"/>
        <w:rPr>
          <w:rFonts w:hint="eastAsia" w:eastAsia="宋体"/>
          <w:lang w:eastAsia="zh-CN"/>
        </w:rPr>
      </w:pPr>
    </w:p>
    <w:p w14:paraId="1FF28CEE">
      <w:pPr>
        <w:snapToGrid w:val="0"/>
        <w:spacing w:before="1440" w:beforeLines="600" w:after="240" w:afterLines="10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20"/>
      <w:pgMar w:top="567" w:right="567" w:bottom="567" w:left="567" w:header="290" w:footer="27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2423D">
    <w:pPr>
      <w:tabs>
        <w:tab w:val="right" w:pos="10773"/>
      </w:tabs>
      <w:spacing w:line="184" w:lineRule="exact"/>
      <w:ind w:left="40"/>
      <w:rPr>
        <w:rFonts w:ascii="Arial" w:hAnsi="Arial" w:eastAsia="宋体" w:cs="Arial"/>
        <w:sz w:val="15"/>
        <w:szCs w:val="15"/>
      </w:rPr>
    </w:pPr>
    <w:r>
      <w:rPr>
        <w:rFonts w:ascii="Arial" w:hAnsi="Arial" w:eastAsia="宋体" w:cs="Arial"/>
        <w:sz w:val="15"/>
        <w:szCs w:val="15"/>
      </w:rPr>
      <w:t>https://</w:t>
    </w:r>
    <w:r>
      <w:fldChar w:fldCharType="begin"/>
    </w:r>
    <w:r>
      <w:instrText xml:space="preserve"> HYPERLINK "http://www.fda.gov/ICECI/ComplianceManuals/CompliancePolicyGuidanceManual/ucm073936.htm" \h </w:instrText>
    </w:r>
    <w:r>
      <w:fldChar w:fldCharType="separate"/>
    </w:r>
    <w:r>
      <w:rPr>
        <w:rFonts w:ascii="Arial" w:hAnsi="Arial" w:eastAsia="宋体" w:cs="Arial"/>
        <w:sz w:val="15"/>
        <w:szCs w:val="15"/>
      </w:rPr>
      <w:t>www.fda.gov/ICECI/ComplianceManuals/CompliancePolicyGuidanceManual/ucm073936.htm</w:t>
    </w:r>
    <w:r>
      <w:rPr>
        <w:rFonts w:ascii="Arial" w:hAnsi="Arial" w:eastAsia="宋体" w:cs="Arial"/>
        <w:sz w:val="15"/>
        <w:szCs w:val="15"/>
      </w:rPr>
      <w:fldChar w:fldCharType="end"/>
    </w:r>
    <w:r>
      <w:rPr>
        <w:rFonts w:ascii="Arial" w:hAnsi="Arial" w:eastAsia="宋体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eastAsia="宋体" w:cs="Arial"/>
        <w:sz w:val="15"/>
        <w:szCs w:val="15"/>
      </w:rPr>
      <w:instrText xml:space="preserve"> PAGE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eastAsia="宋体" w:cs="Arial"/>
        <w:sz w:val="15"/>
        <w:szCs w:val="15"/>
      </w:rPr>
      <w:t>2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eastAsia="宋体" w:cs="Arial"/>
        <w:sz w:val="15"/>
        <w:szCs w:val="15"/>
      </w:rPr>
      <w:t>/2</w:t>
    </w:r>
  </w:p>
  <w:p w14:paraId="498FD853">
    <w:pPr>
      <w:spacing w:line="14" w:lineRule="auto"/>
      <w:rPr>
        <w:rFonts w:ascii="Arial" w:hAnsi="Arial" w:cs="Arial"/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2F0CF">
    <w:pPr>
      <w:tabs>
        <w:tab w:val="left" w:pos="1985"/>
      </w:tabs>
      <w:snapToGrid w:val="0"/>
      <w:spacing w:after="480" w:afterLines="200" w:line="300" w:lineRule="auto"/>
      <w:ind w:left="20"/>
      <w:rPr>
        <w:rFonts w:ascii="Arial" w:hAnsi="Arial" w:eastAsia="宋体" w:cs="Arial"/>
        <w:sz w:val="15"/>
        <w:szCs w:val="15"/>
      </w:rPr>
    </w:pPr>
    <w:r>
      <w:rPr>
        <w:rFonts w:hint="eastAsia" w:ascii="Arial" w:hAnsi="Arial" w:eastAsia="宋体"/>
        <w:sz w:val="15"/>
        <w:szCs w:val="15"/>
      </w:rPr>
      <w:t>2017年8月10日</w:t>
    </w:r>
    <w:r>
      <w:rPr>
        <w:rFonts w:hint="eastAsia" w:ascii="Arial" w:hAnsi="Arial" w:eastAsia="宋体"/>
        <w:sz w:val="15"/>
        <w:szCs w:val="15"/>
      </w:rPr>
      <w:tab/>
    </w:r>
    <w:r>
      <w:rPr>
        <w:rFonts w:hint="eastAsia" w:ascii="Arial" w:hAnsi="Arial" w:eastAsia="宋体"/>
        <w:sz w:val="15"/>
        <w:szCs w:val="15"/>
      </w:rPr>
      <w:t>CPG章节398.450 PBL在“非固定式一般用途”的射线照相系统上提供时的正光束限制（PBL）要求的适用性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44271"/>
    <w:multiLevelType w:val="multilevel"/>
    <w:tmpl w:val="0DC44271"/>
    <w:lvl w:ilvl="0" w:tentative="0">
      <w:start w:val="1"/>
      <w:numFmt w:val="decimal"/>
      <w:lvlText w:val="%1."/>
      <w:lvlJc w:val="left"/>
      <w:pPr>
        <w:ind w:left="612" w:hanging="353"/>
        <w:jc w:val="left"/>
      </w:pPr>
      <w:rPr>
        <w:rFonts w:hint="default" w:ascii="Arial" w:hAnsi="Arial" w:eastAsia="Arial"/>
        <w:spacing w:val="1"/>
        <w:w w:val="102"/>
        <w:sz w:val="28"/>
        <w:szCs w:val="28"/>
      </w:rPr>
    </w:lvl>
    <w:lvl w:ilvl="1" w:tentative="0">
      <w:start w:val="1"/>
      <w:numFmt w:val="bullet"/>
      <w:lvlText w:val="•"/>
      <w:lvlJc w:val="left"/>
      <w:pPr>
        <w:ind w:left="1661" w:hanging="353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709" w:hanging="353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758" w:hanging="353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807" w:hanging="353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856" w:hanging="353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904" w:hanging="353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953" w:hanging="353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9002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DB"/>
    <w:rsid w:val="0034543D"/>
    <w:rsid w:val="00681A86"/>
    <w:rsid w:val="007A787A"/>
    <w:rsid w:val="007B3B99"/>
    <w:rsid w:val="00804135"/>
    <w:rsid w:val="008D3C16"/>
    <w:rsid w:val="0090071C"/>
    <w:rsid w:val="009E25BD"/>
    <w:rsid w:val="00B53207"/>
    <w:rsid w:val="00B8114C"/>
    <w:rsid w:val="00CC74E9"/>
    <w:rsid w:val="00CF2348"/>
    <w:rsid w:val="00DD5D80"/>
    <w:rsid w:val="00EA17DE"/>
    <w:rsid w:val="00F1740F"/>
    <w:rsid w:val="00FC02DB"/>
    <w:rsid w:val="00FC460B"/>
    <w:rsid w:val="65B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Arial" w:hAnsi="Arial" w:eastAsia="宋体"/>
      <w:sz w:val="25"/>
      <w:szCs w:val="25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432</Words>
  <Characters>1059</Characters>
  <Lines>13</Lines>
  <Paragraphs>3</Paragraphs>
  <TotalTime>0</TotalTime>
  <ScaleCrop>false</ScaleCrop>
  <LinksUpToDate>false</LinksUpToDate>
  <CharactersWithSpaces>1086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2017-11-17T13:00:00Z</dcterms:created>
  <dc:creator>cathy-wen</dc:creator>
  <cp:lastModifiedBy>太极箫客</cp:lastModifiedBy>
  <dcterms:modified xsi:type="dcterms:W3CDTF">2025-08-14T06:16:26Z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798F6699824E4353A019FAD1DF210CEC_12</vt:lpwstr>
  </property>
</Properties>
</file>