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E18C">
      <w:pPr>
        <w:overflowPunct w:val="0"/>
        <w:snapToGrid w:val="0"/>
        <w:spacing w:before="1440" w:beforeLines="600" w:after="240" w:afterLines="100" w:line="300" w:lineRule="auto"/>
        <w:rPr>
          <w:rFonts w:ascii="Arial" w:hAnsi="Arial" w:eastAsia="宋体" w:cs="Arial"/>
          <w:sz w:val="64"/>
          <w:szCs w:val="64"/>
          <w:lang w:eastAsia="zh-CN"/>
        </w:rPr>
      </w:pPr>
      <w:bookmarkStart w:id="4" w:name="_GoBack"/>
      <w:bookmarkEnd w:id="4"/>
      <w:r>
        <w:rPr>
          <w:rFonts w:ascii="Arial" w:hAnsi="Arial" w:eastAsia="宋体" w:cs="Arial"/>
          <w:b/>
          <w:sz w:val="64"/>
          <w:lang w:eastAsia="zh-CN"/>
        </w:rPr>
        <w:t>CPG章节398.400 X射线射野尺寸自动调整至所选点片尺寸- 21 CFR 1020.31</w:t>
      </w:r>
      <w:r>
        <w:rPr>
          <w:rFonts w:hint="eastAsia" w:ascii="Arial" w:hAnsi="Arial" w:eastAsia="宋体" w:cs="Arial"/>
          <w:b/>
          <w:sz w:val="64"/>
          <w:lang w:eastAsia="zh-CN"/>
        </w:rPr>
        <w:t xml:space="preserve"> (</w:t>
      </w:r>
      <w:r>
        <w:rPr>
          <w:rFonts w:ascii="Arial" w:hAnsi="Arial" w:eastAsia="宋体" w:cs="Arial"/>
          <w:b/>
          <w:sz w:val="64"/>
          <w:lang w:eastAsia="zh-CN"/>
        </w:rPr>
        <w:t>g</w:t>
      </w:r>
      <w:r>
        <w:rPr>
          <w:rFonts w:hint="eastAsia" w:ascii="Arial" w:hAnsi="Arial" w:eastAsia="宋体" w:cs="Arial"/>
          <w:b/>
          <w:sz w:val="64"/>
          <w:lang w:eastAsia="zh-CN"/>
        </w:rPr>
        <w:t>) (</w:t>
      </w:r>
      <w:r>
        <w:rPr>
          <w:rFonts w:ascii="Arial" w:hAnsi="Arial" w:eastAsia="宋体" w:cs="Arial"/>
          <w:b/>
          <w:sz w:val="64"/>
          <w:lang w:eastAsia="zh-CN"/>
        </w:rPr>
        <w:t>1</w:t>
      </w:r>
      <w:r>
        <w:rPr>
          <w:rFonts w:hint="eastAsia" w:ascii="Arial" w:hAnsi="Arial" w:eastAsia="宋体" w:cs="Arial"/>
          <w:b/>
          <w:sz w:val="64"/>
          <w:lang w:eastAsia="zh-CN"/>
        </w:rPr>
        <w:t>)</w:t>
      </w:r>
    </w:p>
    <w:p w14:paraId="6F6AB2EE">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背景：</w:t>
      </w:r>
    </w:p>
    <w:p w14:paraId="04C4A292">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X射线诊断标准的1020.31（g）（1）节</w:t>
      </w:r>
      <w:r>
        <w:rPr>
          <w:rFonts w:hint="eastAsia" w:eastAsia="宋体" w:cs="Arial"/>
          <w:sz w:val="28"/>
          <w:szCs w:val="28"/>
          <w:lang w:eastAsia="zh-CN"/>
        </w:rPr>
        <w:t>介绍</w:t>
      </w:r>
      <w:r>
        <w:rPr>
          <w:rFonts w:eastAsia="宋体" w:cs="Arial"/>
          <w:sz w:val="28"/>
          <w:szCs w:val="28"/>
          <w:lang w:eastAsia="zh-CN"/>
        </w:rPr>
        <w:t>点片器械的射野限制和校准。其要求制造商提供方法以便X射线射野尺寸调整至用户在点片选择器上所选胶片部分的尺寸。并进一步要求X射线设备自动执行该调整，X射线射野尺寸小于所选胶片部分尺寸除外。</w:t>
      </w:r>
    </w:p>
    <w:p w14:paraId="14901592">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制备本政策指南是为阐明标准中对后一种情况的要求，即荧光透视期间所用X射线射野尺寸小于所选点片尺寸。</w:t>
      </w:r>
    </w:p>
    <w:p w14:paraId="5160B407">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政策：</w:t>
      </w:r>
    </w:p>
    <w:p w14:paraId="74B0C9EA">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如果X射线在胶片上的射野尺寸小于所选点片尺寸，X射线诊断标准</w:t>
      </w:r>
      <w:r>
        <w:rPr>
          <w:rFonts w:hint="eastAsia" w:eastAsia="宋体" w:cs="Arial"/>
          <w:sz w:val="28"/>
          <w:szCs w:val="28"/>
          <w:lang w:eastAsia="zh-CN"/>
        </w:rPr>
        <w:t>预期</w:t>
      </w:r>
      <w:r>
        <w:rPr>
          <w:rFonts w:eastAsia="宋体" w:cs="Arial"/>
          <w:sz w:val="28"/>
          <w:szCs w:val="28"/>
          <w:lang w:eastAsia="zh-CN"/>
        </w:rPr>
        <w:t>要求设计的荧光透视/点片系统允许荧光透视医生在获取点片时保留这个更小的X射线射野尺寸。这种设计将使患者所受辐射最小化，由于自动放大X射线射野尺寸以覆盖所选点片尺寸将导致射野尺寸比荧光透视医生预期的更大和使患者受到不必要辐射照射。为此，制造商应将1020.31（g）（1）节解释为如果X射线在胶片上的射野尺寸小于所选点片尺寸，则禁止制造不允许荧光透视医生在获取点片时保留</w:t>
      </w:r>
      <w:bookmarkStart w:id="0" w:name="OLE_LINK16"/>
      <w:bookmarkStart w:id="1" w:name="OLE_LINK17"/>
      <w:r>
        <w:rPr>
          <w:rFonts w:eastAsia="宋体" w:cs="Arial"/>
          <w:sz w:val="28"/>
          <w:szCs w:val="28"/>
          <w:lang w:eastAsia="zh-CN"/>
        </w:rPr>
        <w:t>X射线射野尺寸</w:t>
      </w:r>
      <w:bookmarkEnd w:id="0"/>
      <w:bookmarkEnd w:id="1"/>
      <w:r>
        <w:rPr>
          <w:rFonts w:eastAsia="宋体" w:cs="Arial"/>
          <w:sz w:val="28"/>
          <w:szCs w:val="28"/>
          <w:lang w:eastAsia="zh-CN"/>
        </w:rPr>
        <w:t>的荧光透视/点片系统。</w:t>
      </w:r>
    </w:p>
    <w:p w14:paraId="4532DA41">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然而，在某些场合荧光透视医生可能希望X射线射野尺寸从小于所选格式增加至选定格式尺寸。以下是允许这类灵活性又不会与1020.31（g）（1）节的意图冲突的系统示例。</w:t>
      </w:r>
    </w:p>
    <w:p w14:paraId="553A89BA">
      <w:pPr>
        <w:pStyle w:val="2"/>
        <w:numPr>
          <w:ilvl w:val="0"/>
          <w:numId w:val="1"/>
        </w:numPr>
        <w:tabs>
          <w:tab w:val="left" w:pos="613"/>
        </w:tabs>
        <w:overflowPunct w:val="0"/>
        <w:snapToGrid w:val="0"/>
        <w:spacing w:after="240" w:afterLines="100" w:line="300" w:lineRule="auto"/>
        <w:ind w:left="352" w:hanging="352"/>
        <w:jc w:val="both"/>
        <w:rPr>
          <w:rFonts w:eastAsia="宋体" w:cs="Arial"/>
          <w:sz w:val="28"/>
          <w:szCs w:val="28"/>
          <w:lang w:eastAsia="zh-CN"/>
        </w:rPr>
      </w:pPr>
      <w:r>
        <w:rPr>
          <w:rFonts w:eastAsia="宋体" w:cs="Arial"/>
          <w:sz w:val="28"/>
          <w:szCs w:val="28"/>
          <w:lang w:eastAsia="zh-CN"/>
        </w:rPr>
        <w:t>为荧光透视医生提供手动调整至所选点片尺寸方法的系统，或</w:t>
      </w:r>
    </w:p>
    <w:p w14:paraId="14134F32">
      <w:pPr>
        <w:pStyle w:val="2"/>
        <w:numPr>
          <w:ilvl w:val="0"/>
          <w:numId w:val="1"/>
        </w:numPr>
        <w:tabs>
          <w:tab w:val="left" w:pos="613"/>
        </w:tabs>
        <w:overflowPunct w:val="0"/>
        <w:snapToGrid w:val="0"/>
        <w:spacing w:after="240" w:afterLines="100" w:line="300" w:lineRule="auto"/>
        <w:ind w:left="352" w:hanging="352"/>
        <w:jc w:val="both"/>
        <w:rPr>
          <w:rFonts w:eastAsia="宋体" w:cs="Arial"/>
          <w:sz w:val="28"/>
          <w:szCs w:val="28"/>
          <w:lang w:eastAsia="zh-CN"/>
        </w:rPr>
      </w:pPr>
      <w:r>
        <w:rPr>
          <w:rFonts w:eastAsia="宋体" w:cs="Arial"/>
          <w:sz w:val="28"/>
          <w:szCs w:val="28"/>
          <w:lang w:eastAsia="zh-CN"/>
        </w:rPr>
        <w:t>提供必须在每个点片曝光前激活，每当得到完全符合所选点片尺寸的X射线射野时使用的开关、按钮或类似器械的系统，或</w:t>
      </w:r>
    </w:p>
    <w:p w14:paraId="3FC6473D">
      <w:pPr>
        <w:pStyle w:val="2"/>
        <w:numPr>
          <w:ilvl w:val="0"/>
          <w:numId w:val="1"/>
        </w:numPr>
        <w:tabs>
          <w:tab w:val="left" w:pos="613"/>
        </w:tabs>
        <w:overflowPunct w:val="0"/>
        <w:snapToGrid w:val="0"/>
        <w:spacing w:after="240" w:afterLines="100" w:line="300" w:lineRule="auto"/>
        <w:ind w:left="352" w:hanging="352"/>
        <w:jc w:val="both"/>
        <w:rPr>
          <w:rFonts w:eastAsia="宋体" w:cs="Arial"/>
          <w:sz w:val="28"/>
          <w:szCs w:val="28"/>
          <w:lang w:eastAsia="zh-CN"/>
        </w:rPr>
      </w:pPr>
      <w:r>
        <w:rPr>
          <w:rFonts w:eastAsia="宋体" w:cs="Arial"/>
          <w:sz w:val="28"/>
          <w:szCs w:val="28"/>
          <w:lang w:eastAsia="zh-CN"/>
        </w:rPr>
        <w:t>给荧光透视医生提供两种可选择操作模式的系统。在一个模式中，限定光束器械将会自动调整至所选点片尺寸，而在另一模式中，当X射线在胶片上的射野尺寸小于所选点片尺寸时，限定光束器械不会自动调整至所选点片尺寸。应允许荧光透视医生随时变换模式，但在变换之前应一直停留在所选模式。（对于点片和其他射线照相程序使用相同X射线管的</w:t>
      </w:r>
      <w:bookmarkStart w:id="2" w:name="OLE_LINK18"/>
      <w:bookmarkStart w:id="3" w:name="OLE_LINK19"/>
      <w:r>
        <w:rPr>
          <w:rFonts w:eastAsia="宋体" w:cs="Arial"/>
          <w:sz w:val="28"/>
          <w:szCs w:val="28"/>
          <w:lang w:eastAsia="zh-CN"/>
        </w:rPr>
        <w:t>X射线</w:t>
      </w:r>
      <w:bookmarkEnd w:id="2"/>
      <w:bookmarkEnd w:id="3"/>
      <w:r>
        <w:rPr>
          <w:rFonts w:eastAsia="宋体" w:cs="Arial"/>
          <w:sz w:val="28"/>
          <w:szCs w:val="28"/>
          <w:lang w:eastAsia="zh-CN"/>
        </w:rPr>
        <w:t>系统，这是唯一可接受的设计。对于这些系统，当选择自动调整至点片尺寸模式时，应满足适用于PBL 系统的要求（21 CFR 1020.31（e））。选择另一模式时，应满足适用于点片器械的要求（21 CFR 1020.31（g））。</w:t>
      </w:r>
    </w:p>
    <w:p w14:paraId="6286F31C">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发布日期</w:t>
      </w:r>
      <w:r>
        <w:rPr>
          <w:rFonts w:hint="eastAsia" w:eastAsia="宋体" w:cs="Arial"/>
          <w:sz w:val="28"/>
          <w:szCs w:val="28"/>
          <w:lang w:eastAsia="zh-CN"/>
        </w:rPr>
        <w:t>：</w:t>
      </w:r>
      <w:r>
        <w:rPr>
          <w:rFonts w:eastAsia="宋体" w:cs="Arial"/>
          <w:sz w:val="28"/>
          <w:szCs w:val="28"/>
          <w:lang w:eastAsia="zh-CN"/>
        </w:rPr>
        <w:t>19</w:t>
      </w:r>
      <w:r>
        <w:rPr>
          <w:rFonts w:eastAsia="宋体" w:cs="Arial"/>
          <w:sz w:val="28"/>
          <w:szCs w:val="28"/>
        </w:rPr>
        <w:t>80</w:t>
      </w:r>
      <w:r>
        <w:rPr>
          <w:rFonts w:eastAsia="宋体" w:cs="Arial"/>
          <w:sz w:val="28"/>
          <w:szCs w:val="28"/>
          <w:lang w:eastAsia="zh-CN"/>
        </w:rPr>
        <w:t>年10月1日</w:t>
      </w:r>
    </w:p>
    <w:tbl>
      <w:tblPr>
        <w:tblStyle w:val="8"/>
        <w:tblW w:w="10884" w:type="dxa"/>
        <w:tblInd w:w="100" w:type="dxa"/>
        <w:tblLayout w:type="fixed"/>
        <w:tblCellMar>
          <w:top w:w="0" w:type="dxa"/>
          <w:left w:w="0" w:type="dxa"/>
          <w:bottom w:w="0" w:type="dxa"/>
          <w:right w:w="0" w:type="dxa"/>
        </w:tblCellMar>
      </w:tblPr>
      <w:tblGrid>
        <w:gridCol w:w="10884"/>
      </w:tblGrid>
      <w:tr w14:paraId="6C7267C8">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34FCCE44">
            <w:pPr>
              <w:snapToGrid w:val="0"/>
              <w:spacing w:before="120" w:beforeLines="50" w:after="120" w:afterLines="50" w:line="300" w:lineRule="auto"/>
              <w:ind w:left="44" w:leftChars="20" w:right="44" w:rightChars="20"/>
              <w:rPr>
                <w:rFonts w:ascii="Arial" w:hAnsi="Arial" w:eastAsia="宋体" w:cs="Arial"/>
                <w:b/>
                <w:w w:val="101"/>
                <w:sz w:val="24"/>
                <w:szCs w:val="24"/>
                <w:lang w:eastAsia="zh-CN"/>
              </w:rPr>
            </w:pPr>
            <w:r>
              <w:rPr>
                <w:rFonts w:ascii="Arial" w:hAnsi="Arial" w:eastAsia="宋体" w:cs="Arial"/>
              </w:rPr>
              <w:fldChar w:fldCharType="begin"/>
            </w:r>
            <w:r>
              <w:rPr>
                <w:rFonts w:ascii="Arial" w:hAnsi="Arial" w:eastAsia="宋体" w:cs="Arial"/>
                <w:sz w:val="24"/>
                <w:szCs w:val="24"/>
                <w:lang w:eastAsia="zh-CN"/>
              </w:rPr>
              <w:instrText xml:space="preserve"> HYPERLINK "https://www.fda.gov/ICECI/ComplianceManuals/CompliancePolicyGuidanceManual/default.htm" \h </w:instrText>
            </w:r>
            <w:r>
              <w:rPr>
                <w:rFonts w:ascii="Arial" w:hAnsi="Arial" w:eastAsia="宋体" w:cs="Arial"/>
              </w:rPr>
              <w:fldChar w:fldCharType="separate"/>
            </w:r>
            <w:r>
              <w:rPr>
                <w:rFonts w:ascii="Arial" w:hAnsi="Arial" w:eastAsia="宋体" w:cs="Arial"/>
                <w:b/>
                <w:sz w:val="24"/>
                <w:szCs w:val="24"/>
                <w:u w:val="single" w:color="000000"/>
                <w:lang w:eastAsia="zh-CN"/>
              </w:rPr>
              <w:t>合规政策指南的更多信息</w:t>
            </w:r>
          </w:p>
          <w:p w14:paraId="49850331">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rPr>
              <w:t>(/ICECI/Compliance Manuals/Compliance PolicyGuidance Manual/default.htm)</w:t>
            </w:r>
            <w:r>
              <w:rPr>
                <w:rFonts w:ascii="Arial" w:hAnsi="Arial" w:eastAsia="宋体" w:cs="Arial"/>
                <w:b/>
                <w:u w:val="single" w:color="000000"/>
              </w:rPr>
              <w:fldChar w:fldCharType="end"/>
            </w:r>
          </w:p>
        </w:tc>
      </w:tr>
      <w:tr w14:paraId="5A260A8F">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2891C14C">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lang w:eastAsia="zh-CN"/>
              </w:rPr>
              <w:t>前言</w:t>
            </w:r>
            <w:r>
              <w:rPr>
                <w:rFonts w:hint="eastAsia" w:ascii="Arial" w:hAnsi="Arial" w:eastAsia="宋体" w:cs="Arial"/>
                <w:b/>
                <w:sz w:val="24"/>
                <w:szCs w:val="24"/>
                <w:u w:val="single" w:color="000000"/>
                <w:lang w:eastAsia="zh-CN"/>
              </w:rPr>
              <w:t>：</w:t>
            </w:r>
            <w:r>
              <w:rPr>
                <w:rFonts w:ascii="Arial" w:hAnsi="Arial" w:eastAsia="宋体" w:cs="Arial"/>
                <w:b/>
                <w:sz w:val="24"/>
                <w:szCs w:val="24"/>
                <w:u w:val="single" w:color="000000"/>
                <w:lang w:eastAsia="zh-CN"/>
              </w:rPr>
              <w:t>合规政策指南</w:t>
            </w:r>
            <w:r>
              <w:rPr>
                <w:rFonts w:ascii="Arial" w:hAnsi="Arial" w:eastAsia="宋体" w:cs="Arial"/>
                <w:b/>
                <w:sz w:val="24"/>
                <w:szCs w:val="24"/>
                <w:u w:val="single" w:color="000000"/>
              </w:rPr>
              <w:t>（CPG）</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49A1E44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BC80B16">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lang w:eastAsia="zh-CN"/>
              </w:rPr>
              <w:t>第一章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通则</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3082954F">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01157EE">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lang w:eastAsia="zh-CN"/>
              </w:rPr>
              <w:t>第二章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生物制剂</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549825BE">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4853B40">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lang w:eastAsia="zh-CN"/>
              </w:rPr>
              <w:t>第三章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器械</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7FD85CB7">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8584089">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lang w:eastAsia="zh-CN"/>
              </w:rPr>
              <w:t>第四章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人用药品</w:t>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0EE23EDB">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EC396E7">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lang w:eastAsia="zh-CN"/>
              </w:rPr>
              <w:t>第五章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食品、颜料和化妆品</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78814FD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3E176AF">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eastAsia="zh-CN"/>
              </w:rPr>
              <w:t>第六章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兽医医学</w:t>
            </w:r>
            <w:r>
              <w:rPr>
                <w:rFonts w:ascii="Arial" w:hAnsi="Arial" w:eastAsia="宋体" w:cs="Arial"/>
                <w:b/>
                <w:sz w:val="24"/>
                <w:szCs w:val="24"/>
                <w:u w:val="single" w:color="000000"/>
                <w:lang w:eastAsia="zh-CN"/>
              </w:rPr>
              <w:fldChar w:fldCharType="end"/>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73DD9DAC">
      <w:pPr>
        <w:overflowPunct w:val="0"/>
        <w:snapToGrid w:val="0"/>
        <w:spacing w:after="240" w:afterLines="100" w:line="300" w:lineRule="auto"/>
        <w:jc w:val="both"/>
        <w:rPr>
          <w:rFonts w:ascii="Arial" w:hAnsi="Arial" w:eastAsia="宋体" w:cs="Arial"/>
          <w:sz w:val="20"/>
          <w:szCs w:val="20"/>
        </w:rPr>
      </w:pPr>
    </w:p>
    <w:p w14:paraId="79127A67">
      <w:pPr>
        <w:overflowPunct w:val="0"/>
        <w:snapToGrid w:val="0"/>
        <w:spacing w:before="1440" w:beforeLines="600" w:after="240" w:afterLines="100" w:line="300" w:lineRule="auto"/>
        <w:rPr>
          <w:rFonts w:hint="eastAsia" w:eastAsia="宋体"/>
          <w:lang w:eastAsia="zh-CN"/>
        </w:rPr>
      </w:pPr>
    </w:p>
    <w:p w14:paraId="2E77BFE5">
      <w:pPr>
        <w:overflowPunct w:val="0"/>
        <w:snapToGrid w:val="0"/>
        <w:spacing w:before="1440" w:beforeLines="600" w:after="240" w:afterLines="100" w:line="300" w:lineRule="auto"/>
        <w:jc w:val="center"/>
        <w:rPr>
          <w:rFonts w:hint="eastAsia" w:eastAsia="宋体"/>
          <w:lang w:eastAsia="zh-CN"/>
        </w:rPr>
      </w:pPr>
    </w:p>
    <w:p w14:paraId="2262E7C6">
      <w:pPr>
        <w:overflowPunct w:val="0"/>
        <w:snapToGrid w:val="0"/>
        <w:spacing w:before="1440" w:beforeLines="600" w:after="240" w:afterLines="1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1F1B">
    <w:pPr>
      <w:tabs>
        <w:tab w:val="right" w:pos="10773"/>
      </w:tabs>
      <w:spacing w:line="184" w:lineRule="exact"/>
      <w:ind w:left="40"/>
      <w:rPr>
        <w:rFonts w:ascii="Arial" w:hAnsi="Arial" w:cs="Arial"/>
        <w:sz w:val="15"/>
        <w:szCs w:val="15"/>
        <w:lang w:eastAsia="zh-CN"/>
      </w:rPr>
    </w:pPr>
    <w:r>
      <w:rPr>
        <w:rFonts w:ascii="Arial"/>
        <w:spacing w:val="-6"/>
        <w:sz w:val="15"/>
        <w:szCs w:val="15"/>
      </w:rPr>
      <w:t>h</w:t>
    </w:r>
    <w:r>
      <w:rPr>
        <w:rFonts w:ascii="Arial"/>
        <w:spacing w:val="-7"/>
        <w:sz w:val="15"/>
        <w:szCs w:val="15"/>
      </w:rPr>
      <w:t>tt</w:t>
    </w:r>
    <w:r>
      <w:rPr>
        <w:rFonts w:ascii="Arial"/>
        <w:spacing w:val="-6"/>
        <w:sz w:val="15"/>
        <w:szCs w:val="15"/>
      </w:rPr>
      <w:t>ps</w:t>
    </w:r>
    <w:r>
      <w:rPr>
        <w:rFonts w:ascii="Arial"/>
        <w:spacing w:val="-7"/>
        <w:sz w:val="15"/>
        <w:szCs w:val="15"/>
      </w:rPr>
      <w:t>://</w:t>
    </w:r>
    <w:r>
      <w:fldChar w:fldCharType="begin"/>
    </w:r>
    <w:r>
      <w:instrText xml:space="preserve"> HYPERLINK "http://www.fda.gov/ICECI/ComplianceManuals/CompliancePolicyGuidanceManual/ucm073934.htm" \h </w:instrText>
    </w:r>
    <w:r>
      <w:fldChar w:fldCharType="separate"/>
    </w:r>
    <w:r>
      <w:rPr>
        <w:rFonts w:ascii="Arial"/>
        <w:spacing w:val="-6"/>
        <w:sz w:val="15"/>
        <w:szCs w:val="15"/>
      </w:rPr>
      <w:t>www</w:t>
    </w:r>
    <w:r>
      <w:rPr>
        <w:rFonts w:ascii="Arial"/>
        <w:spacing w:val="-7"/>
        <w:sz w:val="15"/>
        <w:szCs w:val="15"/>
      </w:rPr>
      <w:t>.f</w:t>
    </w:r>
    <w:r>
      <w:rPr>
        <w:rFonts w:ascii="Arial"/>
        <w:spacing w:val="-6"/>
        <w:sz w:val="15"/>
        <w:szCs w:val="15"/>
      </w:rPr>
      <w:t>da</w:t>
    </w:r>
    <w:r>
      <w:rPr>
        <w:rFonts w:ascii="Arial"/>
        <w:spacing w:val="-7"/>
        <w:sz w:val="15"/>
        <w:szCs w:val="15"/>
      </w:rPr>
      <w:t>.</w:t>
    </w:r>
    <w:r>
      <w:rPr>
        <w:rFonts w:ascii="Arial"/>
        <w:spacing w:val="-6"/>
        <w:sz w:val="15"/>
        <w:szCs w:val="15"/>
      </w:rPr>
      <w:t>gov</w:t>
    </w:r>
    <w:r>
      <w:rPr>
        <w:rFonts w:ascii="Arial"/>
        <w:spacing w:val="-7"/>
        <w:sz w:val="15"/>
        <w:szCs w:val="15"/>
      </w:rPr>
      <w:t>/I</w:t>
    </w:r>
    <w:r>
      <w:rPr>
        <w:rFonts w:ascii="Arial"/>
        <w:spacing w:val="-6"/>
        <w:sz w:val="15"/>
        <w:szCs w:val="15"/>
      </w:rPr>
      <w:t>C</w:t>
    </w:r>
    <w:r>
      <w:rPr>
        <w:rFonts w:ascii="Arial"/>
        <w:spacing w:val="-7"/>
        <w:sz w:val="15"/>
        <w:szCs w:val="15"/>
      </w:rPr>
      <w:t>E</w:t>
    </w:r>
    <w:r>
      <w:rPr>
        <w:rFonts w:ascii="Arial"/>
        <w:spacing w:val="-6"/>
        <w:sz w:val="15"/>
        <w:szCs w:val="15"/>
      </w:rPr>
      <w:t>C</w:t>
    </w:r>
    <w:r>
      <w:rPr>
        <w:rFonts w:ascii="Arial"/>
        <w:spacing w:val="-7"/>
        <w:sz w:val="15"/>
        <w:szCs w:val="15"/>
      </w:rPr>
      <w:t>I/</w:t>
    </w:r>
    <w:r>
      <w:rPr>
        <w:rFonts w:ascii="Arial"/>
        <w:spacing w:val="-6"/>
        <w:sz w:val="15"/>
        <w:szCs w:val="15"/>
      </w:rPr>
      <w:t>ComplianceManuals</w:t>
    </w:r>
    <w:r>
      <w:rPr>
        <w:rFonts w:ascii="Arial"/>
        <w:spacing w:val="-7"/>
        <w:sz w:val="15"/>
        <w:szCs w:val="15"/>
      </w:rPr>
      <w:t>/</w:t>
    </w:r>
    <w:r>
      <w:rPr>
        <w:rFonts w:ascii="Arial"/>
        <w:spacing w:val="-6"/>
        <w:sz w:val="15"/>
        <w:szCs w:val="15"/>
      </w:rPr>
      <w:t>Compliance</w:t>
    </w:r>
    <w:r>
      <w:rPr>
        <w:rFonts w:ascii="Arial"/>
        <w:spacing w:val="-7"/>
        <w:sz w:val="15"/>
        <w:szCs w:val="15"/>
      </w:rPr>
      <w:t>P</w:t>
    </w:r>
    <w:r>
      <w:rPr>
        <w:rFonts w:ascii="Arial"/>
        <w:spacing w:val="-6"/>
        <w:sz w:val="15"/>
        <w:szCs w:val="15"/>
      </w:rPr>
      <w:t>olicy</w:t>
    </w:r>
    <w:r>
      <w:rPr>
        <w:rFonts w:ascii="Arial"/>
        <w:spacing w:val="-7"/>
        <w:sz w:val="15"/>
        <w:szCs w:val="15"/>
      </w:rPr>
      <w:t>G</w:t>
    </w:r>
    <w:r>
      <w:rPr>
        <w:rFonts w:ascii="Arial"/>
        <w:spacing w:val="-6"/>
        <w:sz w:val="15"/>
        <w:szCs w:val="15"/>
      </w:rPr>
      <w:t>uidanceManual</w:t>
    </w:r>
    <w:r>
      <w:rPr>
        <w:rFonts w:ascii="Arial"/>
        <w:spacing w:val="-7"/>
        <w:sz w:val="15"/>
        <w:szCs w:val="15"/>
      </w:rPr>
      <w:t>/</w:t>
    </w:r>
    <w:r>
      <w:rPr>
        <w:rFonts w:ascii="Arial"/>
        <w:spacing w:val="-6"/>
        <w:sz w:val="15"/>
        <w:szCs w:val="15"/>
      </w:rPr>
      <w:t>ucm073934</w:t>
    </w:r>
    <w:r>
      <w:rPr>
        <w:rFonts w:ascii="Arial"/>
        <w:spacing w:val="-7"/>
        <w:sz w:val="15"/>
        <w:szCs w:val="15"/>
      </w:rPr>
      <w:t>.</w:t>
    </w:r>
    <w:r>
      <w:rPr>
        <w:rFonts w:ascii="Arial"/>
        <w:spacing w:val="-6"/>
        <w:sz w:val="15"/>
        <w:szCs w:val="15"/>
      </w:rPr>
      <w:t>h</w:t>
    </w:r>
    <w:r>
      <w:rPr>
        <w:rFonts w:ascii="Arial"/>
        <w:spacing w:val="-7"/>
        <w:sz w:val="15"/>
        <w:szCs w:val="15"/>
      </w:rPr>
      <w:t>t</w:t>
    </w:r>
    <w:r>
      <w:rPr>
        <w:rFonts w:ascii="Arial"/>
        <w:spacing w:val="-6"/>
        <w:sz w:val="15"/>
        <w:szCs w:val="15"/>
      </w:rPr>
      <w:t>m</w:t>
    </w:r>
    <w:r>
      <w:rPr>
        <w:rFonts w:ascii="Arial"/>
        <w:spacing w:val="-6"/>
        <w:sz w:val="15"/>
        <w:szCs w:val="15"/>
      </w:rPr>
      <w:fldChar w:fldCharType="end"/>
    </w:r>
    <w:r>
      <w:rPr>
        <w:rFonts w:hint="eastAsia" w:ascii="Arial"/>
        <w:spacing w:val="-6"/>
        <w:sz w:val="15"/>
        <w:szCs w:val="15"/>
        <w:lang w:eastAsia="zh-CN"/>
      </w:rPr>
      <w:tab/>
    </w:r>
    <w:r>
      <w:rPr>
        <w:sz w:val="15"/>
        <w:szCs w:val="15"/>
      </w:rPr>
      <w:fldChar w:fldCharType="begin"/>
    </w:r>
    <w:r>
      <w:rPr>
        <w:rFonts w:ascii="Arial"/>
        <w:spacing w:val="-2"/>
        <w:sz w:val="15"/>
        <w:szCs w:val="15"/>
      </w:rPr>
      <w:instrText xml:space="preserve"> PAGE </w:instrText>
    </w:r>
    <w:r>
      <w:rPr>
        <w:sz w:val="15"/>
        <w:szCs w:val="15"/>
      </w:rPr>
      <w:fldChar w:fldCharType="separate"/>
    </w:r>
    <w:r>
      <w:rPr>
        <w:rFonts w:ascii="Arial"/>
        <w:spacing w:val="-2"/>
        <w:sz w:val="15"/>
        <w:szCs w:val="15"/>
      </w:rPr>
      <w:t>1</w:t>
    </w:r>
    <w:r>
      <w:rPr>
        <w:sz w:val="15"/>
        <w:szCs w:val="15"/>
      </w:rPr>
      <w:fldChar w:fldCharType="end"/>
    </w:r>
    <w:r>
      <w:rPr>
        <w:rFonts w:ascii="Arial"/>
        <w:spacing w:val="-2"/>
        <w:sz w:val="15"/>
        <w:szCs w:val="15"/>
      </w:rPr>
      <w:t>/2</w:t>
    </w:r>
  </w:p>
  <w:p w14:paraId="1E62AB48">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D5A1">
    <w:pPr>
      <w:tabs>
        <w:tab w:val="left" w:pos="1843"/>
      </w:tabs>
      <w:snapToGrid w:val="0"/>
      <w:spacing w:after="480" w:afterLines="200" w:line="300" w:lineRule="auto"/>
      <w:ind w:left="20"/>
      <w:rPr>
        <w:rFonts w:ascii="Arial" w:hAnsi="Arial" w:eastAsia="Arial" w:cs="Arial"/>
        <w:sz w:val="15"/>
        <w:szCs w:val="15"/>
        <w:lang w:eastAsia="zh-CN"/>
      </w:rPr>
    </w:pPr>
    <w:r>
      <w:rPr>
        <w:rFonts w:ascii="Arial"/>
        <w:sz w:val="15"/>
        <w:szCs w:val="15"/>
        <w:lang w:eastAsia="zh-CN"/>
      </w:rPr>
      <w:t>2017/8/10</w:t>
    </w:r>
    <w:r>
      <w:rPr>
        <w:rFonts w:ascii="Arial"/>
        <w:sz w:val="15"/>
        <w:szCs w:val="15"/>
        <w:lang w:eastAsia="zh-CN"/>
      </w:rPr>
      <w:tab/>
    </w:r>
    <w:r>
      <w:rPr>
        <w:rFonts w:hint="eastAsia" w:ascii="Arial"/>
        <w:sz w:val="15"/>
        <w:szCs w:val="15"/>
        <w:lang w:eastAsia="zh-CN"/>
      </w:rPr>
      <w:t>合规政策指南</w:t>
    </w:r>
    <w:r>
      <w:rPr>
        <w:rFonts w:ascii="Arial"/>
        <w:sz w:val="15"/>
        <w:szCs w:val="15"/>
        <w:lang w:eastAsia="zh-CN"/>
      </w:rPr>
      <w:t>&gt; CPG</w:t>
    </w:r>
    <w:r>
      <w:rPr>
        <w:rFonts w:hint="eastAsia" w:ascii="Arial"/>
        <w:sz w:val="15"/>
        <w:szCs w:val="15"/>
        <w:lang w:eastAsia="zh-CN"/>
      </w:rPr>
      <w:t>章节</w:t>
    </w:r>
    <w:r>
      <w:rPr>
        <w:rFonts w:ascii="Arial"/>
        <w:sz w:val="15"/>
        <w:szCs w:val="15"/>
        <w:lang w:eastAsia="zh-CN"/>
      </w:rPr>
      <w:t xml:space="preserve">398.400 </w:t>
    </w:r>
    <w:r>
      <w:rPr>
        <w:rFonts w:hint="eastAsia" w:ascii="Arial"/>
        <w:sz w:val="15"/>
        <w:szCs w:val="15"/>
        <w:lang w:eastAsia="zh-CN"/>
      </w:rPr>
      <w:t xml:space="preserve"> X射线射野尺寸自动调整至所选点胶片尺寸- 21 CFR 1020.31（g）（1）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B448E"/>
    <w:multiLevelType w:val="multilevel"/>
    <w:tmpl w:val="765B448E"/>
    <w:lvl w:ilvl="0" w:tentative="0">
      <w:start w:val="1"/>
      <w:numFmt w:val="decimal"/>
      <w:lvlText w:val="%1."/>
      <w:lvlJc w:val="left"/>
      <w:pPr>
        <w:ind w:left="612" w:hanging="353"/>
        <w:jc w:val="left"/>
      </w:pPr>
      <w:rPr>
        <w:rFonts w:hint="default" w:ascii="Arial" w:hAnsi="Arial" w:eastAsia="Arial"/>
        <w:spacing w:val="1"/>
        <w:w w:val="102"/>
        <w:sz w:val="28"/>
        <w:szCs w:val="28"/>
      </w:rPr>
    </w:lvl>
    <w:lvl w:ilvl="1" w:tentative="0">
      <w:start w:val="1"/>
      <w:numFmt w:val="bullet"/>
      <w:lvlText w:val="•"/>
      <w:lvlJc w:val="left"/>
      <w:pPr>
        <w:ind w:left="1663" w:hanging="353"/>
      </w:pPr>
      <w:rPr>
        <w:rFonts w:hint="default"/>
      </w:rPr>
    </w:lvl>
    <w:lvl w:ilvl="2" w:tentative="0">
      <w:start w:val="1"/>
      <w:numFmt w:val="bullet"/>
      <w:lvlText w:val="•"/>
      <w:lvlJc w:val="left"/>
      <w:pPr>
        <w:ind w:left="2713"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5" w:hanging="353"/>
      </w:pPr>
      <w:rPr>
        <w:rFonts w:hint="default"/>
      </w:rPr>
    </w:lvl>
    <w:lvl w:ilvl="5" w:tentative="0">
      <w:start w:val="1"/>
      <w:numFmt w:val="bullet"/>
      <w:lvlText w:val="•"/>
      <w:lvlJc w:val="left"/>
      <w:pPr>
        <w:ind w:left="5866" w:hanging="353"/>
      </w:pPr>
      <w:rPr>
        <w:rFonts w:hint="default"/>
      </w:rPr>
    </w:lvl>
    <w:lvl w:ilvl="6" w:tentative="0">
      <w:start w:val="1"/>
      <w:numFmt w:val="bullet"/>
      <w:lvlText w:val="•"/>
      <w:lvlJc w:val="left"/>
      <w:pPr>
        <w:ind w:left="6916" w:hanging="353"/>
      </w:pPr>
      <w:rPr>
        <w:rFonts w:hint="default"/>
      </w:rPr>
    </w:lvl>
    <w:lvl w:ilvl="7" w:tentative="0">
      <w:start w:val="1"/>
      <w:numFmt w:val="bullet"/>
      <w:lvlText w:val="•"/>
      <w:lvlJc w:val="left"/>
      <w:pPr>
        <w:ind w:left="7967" w:hanging="353"/>
      </w:pPr>
      <w:rPr>
        <w:rFonts w:hint="default"/>
      </w:rPr>
    </w:lvl>
    <w:lvl w:ilvl="8" w:tentative="0">
      <w:start w:val="1"/>
      <w:numFmt w:val="bullet"/>
      <w:lvlText w:val="•"/>
      <w:lvlJc w:val="left"/>
      <w:pPr>
        <w:ind w:left="9018"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8D"/>
    <w:rsid w:val="00033F3C"/>
    <w:rsid w:val="0003470A"/>
    <w:rsid w:val="00041F8D"/>
    <w:rsid w:val="0009407D"/>
    <w:rsid w:val="000A4291"/>
    <w:rsid w:val="000A61BD"/>
    <w:rsid w:val="000D0198"/>
    <w:rsid w:val="000D3EEC"/>
    <w:rsid w:val="00155FEC"/>
    <w:rsid w:val="00161332"/>
    <w:rsid w:val="001742FB"/>
    <w:rsid w:val="001C65E1"/>
    <w:rsid w:val="001E1E02"/>
    <w:rsid w:val="001E4C21"/>
    <w:rsid w:val="0021482E"/>
    <w:rsid w:val="00222482"/>
    <w:rsid w:val="00231DD8"/>
    <w:rsid w:val="00246BC5"/>
    <w:rsid w:val="002604FF"/>
    <w:rsid w:val="002A1DDC"/>
    <w:rsid w:val="002D15C6"/>
    <w:rsid w:val="00304915"/>
    <w:rsid w:val="00374C8A"/>
    <w:rsid w:val="003910C3"/>
    <w:rsid w:val="003C6A00"/>
    <w:rsid w:val="003E406B"/>
    <w:rsid w:val="00443308"/>
    <w:rsid w:val="004630CD"/>
    <w:rsid w:val="004C5F43"/>
    <w:rsid w:val="004C6C3A"/>
    <w:rsid w:val="004D4537"/>
    <w:rsid w:val="004D5DAB"/>
    <w:rsid w:val="004F2A49"/>
    <w:rsid w:val="005035F1"/>
    <w:rsid w:val="005069D0"/>
    <w:rsid w:val="005208FE"/>
    <w:rsid w:val="0053551A"/>
    <w:rsid w:val="0053659B"/>
    <w:rsid w:val="00546710"/>
    <w:rsid w:val="00557838"/>
    <w:rsid w:val="0057005F"/>
    <w:rsid w:val="00590D59"/>
    <w:rsid w:val="005B7C74"/>
    <w:rsid w:val="005C2792"/>
    <w:rsid w:val="005E0A39"/>
    <w:rsid w:val="005F2697"/>
    <w:rsid w:val="00602328"/>
    <w:rsid w:val="00651142"/>
    <w:rsid w:val="00691A84"/>
    <w:rsid w:val="006A03F3"/>
    <w:rsid w:val="00711BBE"/>
    <w:rsid w:val="007A1AA4"/>
    <w:rsid w:val="007C0D32"/>
    <w:rsid w:val="007C4519"/>
    <w:rsid w:val="00824901"/>
    <w:rsid w:val="00831BD6"/>
    <w:rsid w:val="008513C5"/>
    <w:rsid w:val="00862C38"/>
    <w:rsid w:val="008644DC"/>
    <w:rsid w:val="00897E8D"/>
    <w:rsid w:val="008B6F72"/>
    <w:rsid w:val="008C15BD"/>
    <w:rsid w:val="008E60F6"/>
    <w:rsid w:val="008F7184"/>
    <w:rsid w:val="009028D8"/>
    <w:rsid w:val="009079B3"/>
    <w:rsid w:val="00941779"/>
    <w:rsid w:val="0095316C"/>
    <w:rsid w:val="00972B58"/>
    <w:rsid w:val="009A4CA6"/>
    <w:rsid w:val="009B3E83"/>
    <w:rsid w:val="009D0E46"/>
    <w:rsid w:val="009F5A65"/>
    <w:rsid w:val="00A14124"/>
    <w:rsid w:val="00A506CC"/>
    <w:rsid w:val="00A51B67"/>
    <w:rsid w:val="00A67BE0"/>
    <w:rsid w:val="00A7398E"/>
    <w:rsid w:val="00AF3F88"/>
    <w:rsid w:val="00B3680C"/>
    <w:rsid w:val="00B63688"/>
    <w:rsid w:val="00B63FC6"/>
    <w:rsid w:val="00B65F5B"/>
    <w:rsid w:val="00B844E0"/>
    <w:rsid w:val="00BC7264"/>
    <w:rsid w:val="00C50C23"/>
    <w:rsid w:val="00C70F04"/>
    <w:rsid w:val="00C71AA3"/>
    <w:rsid w:val="00C95182"/>
    <w:rsid w:val="00CB3A66"/>
    <w:rsid w:val="00CF4211"/>
    <w:rsid w:val="00D4503F"/>
    <w:rsid w:val="00D546ED"/>
    <w:rsid w:val="00DF2476"/>
    <w:rsid w:val="00E404E4"/>
    <w:rsid w:val="00E93EC3"/>
    <w:rsid w:val="00EE27C5"/>
    <w:rsid w:val="00EF2B69"/>
    <w:rsid w:val="00F021D8"/>
    <w:rsid w:val="00F55D68"/>
    <w:rsid w:val="00F915E0"/>
    <w:rsid w:val="00FC2929"/>
    <w:rsid w:val="00FC5C23"/>
    <w:rsid w:val="5B53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Balloon Text"/>
    <w:basedOn w:val="1"/>
    <w:link w:val="14"/>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正文文本 (4)"/>
    <w:basedOn w:val="7"/>
    <w:uiPriority w:val="0"/>
    <w:rPr>
      <w:rFonts w:ascii="Arial" w:hAnsi="Arial" w:eastAsia="Arial" w:cs="Arial"/>
      <w:b/>
      <w:bCs/>
      <w:color w:val="000000"/>
      <w:spacing w:val="0"/>
      <w:w w:val="100"/>
      <w:position w:val="0"/>
      <w:sz w:val="22"/>
      <w:szCs w:val="22"/>
      <w:u w:val="single"/>
      <w:lang w:val="en-US" w:eastAsia="en-US" w:bidi="en-US"/>
    </w:r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940</Words>
  <Characters>1545</Characters>
  <Lines>18</Lines>
  <Paragraphs>5</Paragraphs>
  <TotalTime>0</TotalTime>
  <ScaleCrop>false</ScaleCrop>
  <LinksUpToDate>false</LinksUpToDate>
  <CharactersWithSpaces>1590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2017-11-15T06:25:00Z</dcterms:created>
  <dc:creator>MJ</dc:creator>
  <cp:lastModifiedBy>太极箫客</cp:lastModifiedBy>
  <dcterms:modified xsi:type="dcterms:W3CDTF">2025-08-14T06:16:26Z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89F6DDDB02234062AC4F02DE6009FE87_12</vt:lpwstr>
  </property>
</Properties>
</file>