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CBE9F">
      <w:pPr>
        <w:pStyle w:val="12"/>
        <w:keepNext/>
        <w:keepLines/>
        <w:shd w:val="clear" w:color="auto" w:fill="auto"/>
        <w:snapToGrid w:val="0"/>
        <w:spacing w:before="1440" w:beforeLines="600" w:after="120" w:afterLines="50" w:line="300" w:lineRule="auto"/>
        <w:jc w:val="both"/>
        <w:rPr>
          <w:spacing w:val="0"/>
          <w:sz w:val="64"/>
          <w:szCs w:val="64"/>
        </w:rPr>
      </w:pPr>
      <w:bookmarkStart w:id="1" w:name="_GoBack"/>
      <w:bookmarkEnd w:id="1"/>
      <w:bookmarkStart w:id="0" w:name="bookmark0"/>
      <w:r>
        <w:rPr>
          <w:spacing w:val="0"/>
          <w:sz w:val="64"/>
          <w:szCs w:val="64"/>
        </w:rPr>
        <w:t>CPG章节396.300 有缺陷的</w:t>
      </w:r>
      <w:r>
        <w:rPr>
          <w:rFonts w:hint="eastAsia"/>
          <w:spacing w:val="0"/>
          <w:sz w:val="64"/>
          <w:szCs w:val="64"/>
        </w:rPr>
        <w:br w:type="textWrapping"/>
      </w:r>
      <w:r>
        <w:rPr>
          <w:spacing w:val="0"/>
          <w:sz w:val="64"/>
          <w:szCs w:val="64"/>
        </w:rPr>
        <w:t>日光浴台和床</w:t>
      </w:r>
      <w:bookmarkEnd w:id="0"/>
    </w:p>
    <w:p w14:paraId="501DF693">
      <w:pPr>
        <w:pStyle w:val="17"/>
        <w:shd w:val="clear" w:color="auto" w:fill="auto"/>
        <w:snapToGrid w:val="0"/>
        <w:spacing w:before="0" w:after="120" w:afterLines="50" w:line="30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背景：</w:t>
      </w:r>
    </w:p>
    <w:p w14:paraId="5C4C97F6">
      <w:pPr>
        <w:pStyle w:val="17"/>
        <w:shd w:val="clear" w:color="auto" w:fill="auto"/>
        <w:snapToGrid w:val="0"/>
        <w:spacing w:before="0" w:after="120" w:afterLines="50" w:line="30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在1980年5月7日以前制造的Sunlamp产品、日光浴台和床不受日照性能标准的限制；然而，这些电子产品受21CFR 1003和《联邦食品、药物和化妆品法案》（FFDCA）第五章C子章中缺陷规定的限制，该法案曾被称为1968年《健康与安全辐射控制法案》（RCHSA）。晒黑产品、日光浴台和床也是符合FFDCA其他规定的医疗器械。</w:t>
      </w:r>
    </w:p>
    <w:p w14:paraId="46139B38">
      <w:pPr>
        <w:pStyle w:val="17"/>
        <w:shd w:val="clear" w:color="auto" w:fill="auto"/>
        <w:snapToGrid w:val="0"/>
        <w:spacing w:before="0" w:after="120" w:afterLines="50" w:line="30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FDA现场监督活动已经找到一些在缺乏防护眼镜和/或定时器的健康水疗中心运作的日光浴台。缺乏防护眼镜或计时器被认为是一个严重的缺陷和健康危害，并且根据FFDCA的C子章制造商要求进行纠正。</w:t>
      </w:r>
    </w:p>
    <w:p w14:paraId="10789B6E">
      <w:pPr>
        <w:pStyle w:val="17"/>
        <w:shd w:val="clear" w:color="auto" w:fill="auto"/>
        <w:snapToGrid w:val="0"/>
        <w:spacing w:before="0" w:after="120" w:afterLines="50" w:line="30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根据FFDCA的C子章授权，健康水疗中心的所有者/运营商不需要纠正或停止使用有缺陷的日光浴台/床。因此，在制造商尚不清楚的情况下，FFDCA第304节的授权将在必要时使用，以获得对缺陷产品的控制，直到纠正为止。将通知所有者/运营商该缺陷，并要求自行撤回使用中的危险装置，直到制造商作出纠正。</w:t>
      </w:r>
    </w:p>
    <w:p w14:paraId="040545CC">
      <w:pPr>
        <w:pStyle w:val="17"/>
        <w:shd w:val="clear" w:color="auto" w:fill="auto"/>
        <w:snapToGrid w:val="0"/>
        <w:spacing w:before="0" w:after="120" w:afterLines="50" w:line="30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政策：</w:t>
      </w:r>
    </w:p>
    <w:p w14:paraId="42AE94F8">
      <w:pPr>
        <w:pStyle w:val="17"/>
        <w:shd w:val="clear" w:color="auto" w:fill="auto"/>
        <w:snapToGrid w:val="0"/>
        <w:spacing w:before="0" w:after="120" w:afterLines="50" w:line="30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在可能的情况下，根据FFDCA的C子章缺陷规定的执行，而不是根据FFDCA第304节的规定的选择行动。如果制造商未能执行所要求的纠正，或所有者/运营商拒绝撤回危险装置，或在自愿的基础上进行纠正，或在制造商进行纠正之前将装置返回使用，如果符合以下标准，则根据FFDCA第304节规定进行扣押和/或没收，以移除该器械。</w:t>
      </w:r>
    </w:p>
    <w:p w14:paraId="4D7792BA">
      <w:pPr>
        <w:pStyle w:val="17"/>
        <w:numPr>
          <w:ilvl w:val="0"/>
          <w:numId w:val="1"/>
        </w:numPr>
        <w:shd w:val="clear" w:color="auto" w:fill="auto"/>
        <w:tabs>
          <w:tab w:val="left" w:pos="551"/>
        </w:tabs>
        <w:snapToGrid w:val="0"/>
        <w:spacing w:before="0" w:after="120" w:afterLines="50" w:line="300" w:lineRule="auto"/>
        <w:ind w:left="531" w:leftChars="100" w:hanging="291" w:hangingChars="104"/>
        <w:jc w:val="both"/>
      </w:pPr>
      <w:r>
        <w:rPr>
          <w:sz w:val="28"/>
          <w:szCs w:val="28"/>
        </w:rPr>
        <w:t>该产品具有CP * 7386.002 *定义的A类健康危害（在FFDCA 502（f）（1）和5020的含义内，缺乏防护眼镜或计时器的日光浴器械为贴错标签；</w:t>
      </w:r>
      <w:r>
        <w:br w:type="page"/>
      </w:r>
      <w:r>
        <w:t>和</w:t>
      </w:r>
    </w:p>
    <w:p w14:paraId="0FA49C0E">
      <w:pPr>
        <w:pStyle w:val="17"/>
        <w:numPr>
          <w:ilvl w:val="0"/>
          <w:numId w:val="1"/>
        </w:numPr>
        <w:shd w:val="clear" w:color="auto" w:fill="auto"/>
        <w:tabs>
          <w:tab w:val="left" w:pos="551"/>
        </w:tabs>
        <w:snapToGrid w:val="0"/>
        <w:spacing w:before="0" w:after="120" w:afterLines="50" w:line="300" w:lineRule="auto"/>
        <w:ind w:left="531" w:leftChars="100" w:hanging="291" w:hangingChars="104"/>
        <w:jc w:val="both"/>
        <w:rPr>
          <w:sz w:val="28"/>
          <w:szCs w:val="28"/>
        </w:rPr>
      </w:pPr>
      <w:r>
        <w:rPr>
          <w:sz w:val="28"/>
          <w:szCs w:val="28"/>
        </w:rPr>
        <w:t>已经书面通知主要责任的所有者/运营商停止使用；以及</w:t>
      </w:r>
    </w:p>
    <w:p w14:paraId="16E8C91D">
      <w:pPr>
        <w:pStyle w:val="17"/>
        <w:numPr>
          <w:ilvl w:val="0"/>
          <w:numId w:val="1"/>
        </w:numPr>
        <w:shd w:val="clear" w:color="auto" w:fill="auto"/>
        <w:tabs>
          <w:tab w:val="left" w:pos="551"/>
        </w:tabs>
        <w:snapToGrid w:val="0"/>
        <w:spacing w:before="0" w:after="120" w:afterLines="50" w:line="300" w:lineRule="auto"/>
        <w:ind w:left="531" w:leftChars="100" w:hanging="291" w:hangingChars="104"/>
        <w:jc w:val="both"/>
        <w:rPr>
          <w:sz w:val="28"/>
          <w:szCs w:val="28"/>
        </w:rPr>
      </w:pPr>
      <w:r>
        <w:rPr>
          <w:sz w:val="28"/>
          <w:szCs w:val="28"/>
        </w:rPr>
        <w:t>所有者/操作员在产品更正之前不能或拒绝停止使用。</w:t>
      </w:r>
    </w:p>
    <w:p w14:paraId="00174696">
      <w:pPr>
        <w:pStyle w:val="17"/>
        <w:shd w:val="clear" w:color="auto" w:fill="auto"/>
        <w:snapToGrid w:val="0"/>
        <w:spacing w:before="0" w:after="120" w:afterLines="50" w:line="300" w:lineRule="auto"/>
        <w:ind w:firstLine="0"/>
        <w:jc w:val="both"/>
      </w:pPr>
      <w:r>
        <w:t>在下令行政扣押之前，请联系HFZ-300讨论详情。</w:t>
      </w:r>
    </w:p>
    <w:p w14:paraId="15675C7F">
      <w:pPr>
        <w:pStyle w:val="17"/>
        <w:shd w:val="clear" w:color="auto" w:fill="auto"/>
        <w:snapToGrid w:val="0"/>
        <w:spacing w:before="0" w:after="120" w:afterLines="50" w:line="300" w:lineRule="auto"/>
        <w:ind w:firstLine="0"/>
        <w:jc w:val="both"/>
      </w:pPr>
      <w:r>
        <w:t>*星号之间的材料是新材料或改进材料*</w:t>
      </w:r>
    </w:p>
    <w:p w14:paraId="76E232CB">
      <w:pPr>
        <w:pStyle w:val="17"/>
        <w:shd w:val="clear" w:color="auto" w:fill="auto"/>
        <w:snapToGrid w:val="0"/>
        <w:spacing w:before="0" w:after="0" w:line="300" w:lineRule="auto"/>
        <w:ind w:right="2262" w:firstLine="0"/>
        <w:jc w:val="both"/>
      </w:pPr>
      <w:r>
        <w:t>发布日期：1983年3月1 日</w:t>
      </w:r>
    </w:p>
    <w:p w14:paraId="09FB558F">
      <w:pPr>
        <w:pStyle w:val="17"/>
        <w:shd w:val="clear" w:color="auto" w:fill="auto"/>
        <w:snapToGrid w:val="0"/>
        <w:spacing w:before="0" w:after="120" w:afterLines="50" w:line="300" w:lineRule="auto"/>
        <w:ind w:right="2260" w:firstLine="0"/>
        <w:jc w:val="both"/>
      </w:pPr>
      <w:r>
        <w:t>修订日期：1995年3月、2005年3月</w:t>
      </w:r>
    </w:p>
    <w:p w14:paraId="4BE7889F">
      <w:pPr>
        <w:pStyle w:val="17"/>
        <w:shd w:val="clear" w:color="auto" w:fill="auto"/>
        <w:snapToGrid w:val="0"/>
        <w:spacing w:before="0" w:after="120" w:afterLines="50" w:line="300" w:lineRule="auto"/>
        <w:ind w:right="2260" w:firstLine="0"/>
        <w:jc w:val="both"/>
      </w:pPr>
    </w:p>
    <w:p w14:paraId="2C2C8D67">
      <w:pPr>
        <w:pStyle w:val="17"/>
        <w:shd w:val="clear" w:color="auto" w:fill="auto"/>
        <w:snapToGrid w:val="0"/>
        <w:spacing w:before="0" w:after="120" w:afterLines="50" w:line="300" w:lineRule="auto"/>
        <w:ind w:right="2260" w:firstLine="0"/>
        <w:jc w:val="both"/>
      </w:pPr>
    </w:p>
    <w:tbl>
      <w:tblPr>
        <w:tblStyle w:val="21"/>
        <w:tblW w:w="1088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4"/>
      </w:tblGrid>
      <w:tr w14:paraId="5468A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4F81BD" w:themeColor="accent1" w:sz="6" w:space="0"/>
              <w:left w:val="single" w:color="4F81BD" w:themeColor="accent1" w:sz="6" w:space="0"/>
              <w:bottom w:val="single" w:color="4F81BD" w:themeColor="accent1" w:sz="6" w:space="0"/>
              <w:right w:val="single" w:color="4F81BD" w:themeColor="accent1" w:sz="6" w:space="0"/>
            </w:tcBorders>
            <w:vAlign w:val="center"/>
          </w:tcPr>
          <w:p w14:paraId="497C2405">
            <w:pPr>
              <w:pStyle w:val="22"/>
              <w:snapToGrid w:val="0"/>
              <w:spacing w:before="120" w:beforeLines="50" w:after="120" w:afterLines="50" w:line="300" w:lineRule="auto"/>
              <w:ind w:left="48" w:leftChars="20" w:right="48" w:rightChars="20"/>
              <w:jc w:val="both"/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"https://www.fda.gov/ICECI/ComplianceManuals/CompliancePolicyGuidanceManual/default.htm"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/>
              </w:rPr>
              <w:t>合规政策指南的更多信息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（/ICECI/Compliance Manuals/Compliance PolicyGuidance Manual/default.htm）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1839C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4F81BD" w:themeColor="accent1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717DEAA4">
            <w:pPr>
              <w:pStyle w:val="22"/>
              <w:snapToGrid w:val="0"/>
              <w:spacing w:before="120" w:beforeLines="50" w:after="120" w:afterLines="50" w:line="300" w:lineRule="auto"/>
              <w:ind w:left="48" w:leftChars="20" w:right="48" w:rightChars="20"/>
              <w:jc w:val="both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前言：合规政策指南（CPG）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 xml:space="preserve">（/ICECI/Compliance Manuals/Compliance PolicyGuidance Manual/ucm116271.htm） </w:t>
            </w:r>
          </w:p>
        </w:tc>
      </w:tr>
      <w:tr w14:paraId="33622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054271F3">
            <w:pPr>
              <w:pStyle w:val="22"/>
              <w:snapToGrid w:val="0"/>
              <w:spacing w:before="120" w:beforeLines="50" w:after="120" w:afterLines="50" w:line="300" w:lineRule="auto"/>
              <w:ind w:left="48" w:leftChars="20" w:right="48" w:rightChars="20"/>
              <w:jc w:val="both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"https://www.fda.gov/ICECI/ComplianceManuals/CompliancePolicyGuidanceManual/ucm116280.htm"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第一章-通则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（/ICECI/Compliance Manuals/Compliance PolicyGuidance Manual/ucm116280.htm）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14644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7FD2F806">
            <w:pPr>
              <w:pStyle w:val="22"/>
              <w:snapToGrid w:val="0"/>
              <w:spacing w:before="120" w:beforeLines="50" w:after="120" w:afterLines="50" w:line="300" w:lineRule="auto"/>
              <w:ind w:left="48" w:leftChars="20" w:right="48" w:rightChars="20"/>
              <w:jc w:val="both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"https://www.fda.gov/ICECI/ComplianceManuals/CompliancePolicyGuidanceManual/ucm116336.htm"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第二章-生物制剂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（/ICECI/Compliance Manuals/Compliance PolicyGuidance Manual/ucm116336.htm）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52F67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47B533BE">
            <w:pPr>
              <w:pStyle w:val="22"/>
              <w:snapToGrid w:val="0"/>
              <w:spacing w:before="120" w:beforeLines="50" w:after="120" w:afterLines="50" w:line="300" w:lineRule="auto"/>
              <w:ind w:left="48" w:leftChars="20" w:right="48" w:rightChars="20"/>
              <w:jc w:val="both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"https://www.fda.gov/ICECI/ComplianceManuals/CompliancePolicyGuidanceManual/ucm116801.htm"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第三章-器械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（/ICECI/Compliance Manuals/Compliance PolicyGuidance Manual/ucm116801.htm）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5EA63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7BFB9B8B">
            <w:pPr>
              <w:pStyle w:val="22"/>
              <w:snapToGrid w:val="0"/>
              <w:spacing w:before="120" w:beforeLines="50" w:after="120" w:afterLines="50" w:line="300" w:lineRule="auto"/>
              <w:ind w:left="48" w:leftChars="20" w:right="48" w:rightChars="20"/>
              <w:jc w:val="both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"https://www.fda.gov/ICECI/ComplianceManuals/CompliancePolicyGuidanceManual/ucm119572.htm"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第四章-人用药品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（/ICECI/Compliance Manuals/Compliance PolicyGuidance Manual/ucm119572.htm）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1369A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060C72DA">
            <w:pPr>
              <w:pStyle w:val="22"/>
              <w:snapToGrid w:val="0"/>
              <w:spacing w:before="120" w:beforeLines="50" w:after="120" w:afterLines="50" w:line="300" w:lineRule="auto"/>
              <w:ind w:left="48" w:leftChars="20" w:right="48" w:rightChars="20"/>
              <w:jc w:val="both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"https://www.fda.gov/ICECI/ComplianceManuals/CompliancePolicyGuidanceManual/ucm119194.htm"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第五章-食品、颜料和化妆品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（/ICECI/Compliance Manuals/Compliance PolicyGuidance Manual/ucm119194.htm）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7AFC5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50784056">
            <w:pPr>
              <w:snapToGrid w:val="0"/>
              <w:spacing w:before="120" w:beforeLines="50" w:after="120" w:afterLines="50" w:line="300" w:lineRule="auto"/>
              <w:ind w:left="48" w:leftChars="20" w:right="48" w:rightChars="20"/>
              <w:jc w:val="both"/>
              <w:rPr>
                <w:rFonts w:ascii="Arial" w:hAnsi="Arial" w:eastAsia="宋体" w:cs="Arial"/>
                <w:sz w:val="22"/>
                <w:szCs w:val="22"/>
                <w:lang w:bidi="ar-SA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"https://www.fda.gov/ICECI/ComplianceManuals/CompliancePolicyGuidanceManual/ucm117042.htm"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2"/>
                <w:szCs w:val="22"/>
                <w:u w:val="single" w:color="000000"/>
                <w:lang w:bidi="ar-SA"/>
              </w:rPr>
              <w:t xml:space="preserve">第六章-兽医医学 </w:t>
            </w:r>
            <w:r>
              <w:rPr>
                <w:rFonts w:ascii="Arial" w:hAnsi="Arial" w:eastAsia="宋体" w:cs="Arial"/>
                <w:b/>
                <w:sz w:val="22"/>
                <w:szCs w:val="22"/>
                <w:u w:val="single" w:color="000000"/>
                <w:lang w:bidi="ar-SA"/>
              </w:rPr>
              <w:br w:type="textWrapping"/>
            </w:r>
            <w:r>
              <w:rPr>
                <w:rFonts w:ascii="Arial" w:hAnsi="Arial" w:eastAsia="宋体" w:cs="Arial"/>
                <w:b/>
                <w:sz w:val="22"/>
                <w:szCs w:val="22"/>
                <w:u w:val="single" w:color="000000"/>
                <w:lang w:bidi="ar-SA"/>
              </w:rPr>
              <w:t>（/ICECI/Compliance Manuals/Compliance PolicyGuidance Manual/ucm117042.htm）</w:t>
            </w:r>
            <w:r>
              <w:rPr>
                <w:rFonts w:ascii="Arial" w:hAnsi="Arial" w:eastAsia="宋体" w:cs="Arial"/>
                <w:b/>
                <w:sz w:val="22"/>
                <w:szCs w:val="22"/>
                <w:u w:val="single" w:color="000000"/>
                <w:lang w:bidi="ar-SA"/>
              </w:rPr>
              <w:fldChar w:fldCharType="end"/>
            </w:r>
          </w:p>
        </w:tc>
      </w:tr>
    </w:tbl>
    <w:p w14:paraId="545C7181">
      <w:pPr>
        <w:pStyle w:val="10"/>
        <w:shd w:val="clear" w:color="auto" w:fill="auto"/>
        <w:snapToGrid w:val="0"/>
        <w:spacing w:before="0" w:after="120" w:afterLines="50" w:line="300" w:lineRule="auto"/>
        <w:ind w:left="300"/>
        <w:jc w:val="both"/>
      </w:pPr>
    </w:p>
    <w:p w14:paraId="187CECF5">
      <w:pPr>
        <w:pStyle w:val="12"/>
        <w:keepNext/>
        <w:keepLines/>
        <w:shd w:val="clear" w:color="auto" w:fill="auto"/>
        <w:snapToGrid w:val="0"/>
        <w:spacing w:before="1440" w:beforeLines="600" w:after="120" w:afterLines="50" w:line="300" w:lineRule="auto"/>
        <w:jc w:val="both"/>
        <w:rPr>
          <w:rFonts w:hint="eastAsia" w:eastAsia="宋体"/>
          <w:lang w:eastAsia="zh-CN"/>
        </w:rPr>
      </w:pPr>
    </w:p>
    <w:p w14:paraId="1534D659">
      <w:pPr>
        <w:pStyle w:val="12"/>
        <w:keepNext/>
        <w:keepLines/>
        <w:shd w:val="clear" w:color="auto" w:fill="auto"/>
        <w:snapToGrid w:val="0"/>
        <w:spacing w:before="1440" w:beforeLines="600" w:after="120" w:afterLines="50" w:line="300" w:lineRule="auto"/>
        <w:jc w:val="center"/>
        <w:rPr>
          <w:rFonts w:hint="eastAsia" w:eastAsia="宋体"/>
          <w:lang w:eastAsia="zh-CN"/>
        </w:rPr>
      </w:pPr>
    </w:p>
    <w:p w14:paraId="5B54998F">
      <w:pPr>
        <w:pStyle w:val="12"/>
        <w:keepNext/>
        <w:keepLines/>
        <w:shd w:val="clear" w:color="auto" w:fill="auto"/>
        <w:snapToGrid w:val="0"/>
        <w:spacing w:before="1440" w:beforeLines="600" w:after="120" w:afterLines="50" w:line="30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type w:val="continuous"/>
      <w:pgSz w:w="11900" w:h="16840"/>
      <w:pgMar w:top="567" w:right="567" w:bottom="567" w:left="567" w:header="283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Light">
    <w:panose1 w:val="020B0304030504040204"/>
    <w:charset w:val="88"/>
    <w:family w:val="roman"/>
    <w:pitch w:val="default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429EC">
    <w:pPr>
      <w:pStyle w:val="14"/>
      <w:shd w:val="clear" w:color="auto" w:fill="auto"/>
      <w:tabs>
        <w:tab w:val="right" w:pos="10773"/>
        <w:tab w:val="right" w:pos="10886"/>
      </w:tabs>
      <w:spacing w:line="240" w:lineRule="auto"/>
      <w:rPr>
        <w:sz w:val="15"/>
        <w:szCs w:val="15"/>
      </w:rPr>
    </w:pPr>
    <w:r>
      <w:rPr>
        <w:rStyle w:val="15"/>
        <w:b w:val="0"/>
        <w:bCs/>
        <w:sz w:val="15"/>
        <w:szCs w:val="15"/>
      </w:rPr>
      <w:t>https://www.fda.gov/ICECI/ComplianceManuals/CompliancePolicyGuidanceManual/ucm073925.htm</w:t>
    </w:r>
    <w:r>
      <w:rPr>
        <w:rStyle w:val="15"/>
        <w:b w:val="0"/>
        <w:bCs/>
        <w:sz w:val="15"/>
        <w:szCs w:val="15"/>
      </w:rPr>
      <w:tab/>
    </w:r>
    <w:r>
      <w:fldChar w:fldCharType="begin"/>
    </w:r>
    <w:r>
      <w:rPr>
        <w:sz w:val="15"/>
        <w:szCs w:val="15"/>
      </w:rPr>
      <w:instrText xml:space="preserve"> PAGE \* MERGEFORMAT </w:instrText>
    </w:r>
    <w:r>
      <w:fldChar w:fldCharType="separate"/>
    </w:r>
    <w:r>
      <w:rPr>
        <w:rStyle w:val="15"/>
        <w:b w:val="0"/>
        <w:bCs/>
        <w:sz w:val="15"/>
        <w:szCs w:val="15"/>
      </w:rPr>
      <w:t>2</w:t>
    </w:r>
    <w:r>
      <w:rPr>
        <w:rStyle w:val="15"/>
        <w:b w:val="0"/>
        <w:bCs/>
        <w:sz w:val="15"/>
        <w:szCs w:val="15"/>
      </w:rPr>
      <w:fldChar w:fldCharType="end"/>
    </w:r>
    <w:r>
      <w:rPr>
        <w:rStyle w:val="15"/>
        <w:b w:val="0"/>
        <w:bCs/>
        <w:sz w:val="15"/>
        <w:szCs w:val="15"/>
      </w:rPr>
      <w:t>/2</w:t>
    </w:r>
  </w:p>
  <w:p w14:paraId="4EA80851">
    <w:pPr>
      <w:tabs>
        <w:tab w:val="right" w:pos="10773"/>
      </w:tabs>
      <w:rPr>
        <w:rFonts w:ascii="Arial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DEC18">
    <w:pPr>
      <w:pStyle w:val="14"/>
      <w:shd w:val="clear" w:color="auto" w:fill="auto"/>
      <w:tabs>
        <w:tab w:val="center" w:pos="5103"/>
      </w:tabs>
      <w:snapToGrid w:val="0"/>
      <w:spacing w:after="480" w:afterLines="200" w:line="300" w:lineRule="auto"/>
      <w:rPr>
        <w:sz w:val="15"/>
        <w:szCs w:val="15"/>
      </w:rPr>
    </w:pPr>
    <w:r>
      <w:rPr>
        <w:rStyle w:val="15"/>
        <w:rFonts w:hint="eastAsia"/>
        <w:b w:val="0"/>
        <w:bCs/>
        <w:sz w:val="15"/>
        <w:szCs w:val="15"/>
      </w:rPr>
      <w:t>2017年8月9日</w:t>
    </w:r>
    <w:r>
      <w:rPr>
        <w:rStyle w:val="15"/>
        <w:rFonts w:hint="eastAsia"/>
        <w:b w:val="0"/>
        <w:bCs/>
        <w:sz w:val="15"/>
        <w:szCs w:val="15"/>
      </w:rPr>
      <w:tab/>
    </w:r>
    <w:r>
      <w:rPr>
        <w:rStyle w:val="15"/>
        <w:rFonts w:hint="eastAsia"/>
        <w:b w:val="0"/>
        <w:bCs/>
        <w:sz w:val="15"/>
        <w:szCs w:val="15"/>
      </w:rPr>
      <w:t>合规政策指南&gt;CPG章节396.300 有缺陷的日光浴台和床</w:t>
    </w:r>
  </w:p>
  <w:p w14:paraId="41F26654">
    <w:pPr>
      <w:rPr>
        <w:rFonts w:hint="eastAsia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DF7CE0"/>
    <w:multiLevelType w:val="multilevel"/>
    <w:tmpl w:val="3FDF7CE0"/>
    <w:lvl w:ilvl="0" w:tentative="0">
      <w:start w:val="1"/>
      <w:numFmt w:val="decimal"/>
      <w:lvlText w:val="%1.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3F"/>
    <w:rsid w:val="00113EBC"/>
    <w:rsid w:val="00164FCD"/>
    <w:rsid w:val="001F36AC"/>
    <w:rsid w:val="002362CC"/>
    <w:rsid w:val="002445F7"/>
    <w:rsid w:val="0029003F"/>
    <w:rsid w:val="00316E97"/>
    <w:rsid w:val="0032434C"/>
    <w:rsid w:val="00386AF5"/>
    <w:rsid w:val="003C6F1A"/>
    <w:rsid w:val="009F04E8"/>
    <w:rsid w:val="009F760A"/>
    <w:rsid w:val="00AF388F"/>
    <w:rsid w:val="00B9638D"/>
    <w:rsid w:val="00F2258C"/>
    <w:rsid w:val="253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JhengHei Light" w:hAnsi="Microsoft JhengHei Light" w:eastAsia="宋体" w:cs="Microsoft JhengHei Light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Microsoft JhengHei Light" w:hAnsi="Microsoft JhengHei Light" w:eastAsia="宋体" w:cs="Microsoft JhengHei Light"/>
      <w:color w:val="000000"/>
      <w:sz w:val="24"/>
      <w:szCs w:val="24"/>
      <w:lang w:val="en-US" w:eastAsia="zh-CN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66CC"/>
      <w:u w:val="single"/>
    </w:rPr>
  </w:style>
  <w:style w:type="character" w:customStyle="1" w:styleId="7">
    <w:name w:val="正文文本 (3) Exact"/>
    <w:basedOn w:val="5"/>
    <w:uiPriority w:val="0"/>
    <w:rPr>
      <w:rFonts w:ascii="Arial" w:hAnsi="Arial" w:eastAsia="宋体" w:cs="Arial"/>
      <w:b/>
      <w:bCs/>
      <w:sz w:val="22"/>
      <w:szCs w:val="22"/>
      <w:u w:val="none"/>
    </w:rPr>
  </w:style>
  <w:style w:type="character" w:customStyle="1" w:styleId="8">
    <w:name w:val="正文文本 (3) Exact1"/>
    <w:basedOn w:val="9"/>
    <w:uiPriority w:val="0"/>
    <w:rPr>
      <w:rFonts w:ascii="Arial" w:hAnsi="Arial" w:eastAsia="宋体" w:cs="Arial"/>
      <w:sz w:val="22"/>
      <w:szCs w:val="22"/>
      <w:u w:val="single"/>
    </w:rPr>
  </w:style>
  <w:style w:type="character" w:customStyle="1" w:styleId="9">
    <w:name w:val="正文文本 (3)_"/>
    <w:basedOn w:val="5"/>
    <w:link w:val="10"/>
    <w:qFormat/>
    <w:uiPriority w:val="0"/>
    <w:rPr>
      <w:rFonts w:ascii="Arial" w:hAnsi="Arial" w:eastAsia="宋体" w:cs="Arial"/>
      <w:b/>
      <w:bCs/>
      <w:sz w:val="22"/>
      <w:szCs w:val="22"/>
      <w:u w:val="none"/>
    </w:rPr>
  </w:style>
  <w:style w:type="paragraph" w:customStyle="1" w:styleId="10">
    <w:name w:val="正文文本 (3)1"/>
    <w:basedOn w:val="1"/>
    <w:link w:val="9"/>
    <w:qFormat/>
    <w:uiPriority w:val="0"/>
    <w:pPr>
      <w:shd w:val="clear" w:color="auto" w:fill="FFFFFF"/>
      <w:spacing w:before="360" w:after="60" w:line="0" w:lineRule="atLeast"/>
    </w:pPr>
    <w:rPr>
      <w:rFonts w:ascii="Arial" w:hAnsi="Arial" w:cs="Arial"/>
      <w:b/>
      <w:bCs/>
      <w:sz w:val="22"/>
      <w:szCs w:val="22"/>
    </w:rPr>
  </w:style>
  <w:style w:type="character" w:customStyle="1" w:styleId="11">
    <w:name w:val="标题 #1_"/>
    <w:basedOn w:val="5"/>
    <w:link w:val="12"/>
    <w:uiPriority w:val="0"/>
    <w:rPr>
      <w:rFonts w:ascii="Arial" w:hAnsi="Arial" w:eastAsia="宋体" w:cs="Arial"/>
      <w:b/>
      <w:bCs/>
      <w:spacing w:val="-10"/>
      <w:sz w:val="62"/>
      <w:szCs w:val="62"/>
      <w:u w:val="none"/>
    </w:rPr>
  </w:style>
  <w:style w:type="paragraph" w:customStyle="1" w:styleId="12">
    <w:name w:val="标题 #1"/>
    <w:basedOn w:val="1"/>
    <w:link w:val="11"/>
    <w:uiPriority w:val="0"/>
    <w:pPr>
      <w:shd w:val="clear" w:color="auto" w:fill="FFFFFF"/>
      <w:spacing w:after="60" w:line="643" w:lineRule="exact"/>
      <w:outlineLvl w:val="0"/>
    </w:pPr>
    <w:rPr>
      <w:rFonts w:ascii="Arial" w:hAnsi="Arial" w:cs="Arial"/>
      <w:b/>
      <w:bCs/>
      <w:spacing w:val="-10"/>
      <w:sz w:val="62"/>
      <w:szCs w:val="62"/>
    </w:rPr>
  </w:style>
  <w:style w:type="character" w:customStyle="1" w:styleId="13">
    <w:name w:val="页眉或页脚_"/>
    <w:basedOn w:val="5"/>
    <w:link w:val="14"/>
    <w:uiPriority w:val="0"/>
    <w:rPr>
      <w:rFonts w:ascii="Arial" w:hAnsi="Arial" w:eastAsia="宋体" w:cs="Arial"/>
      <w:b/>
      <w:bCs/>
      <w:sz w:val="13"/>
      <w:szCs w:val="13"/>
      <w:u w:val="none"/>
    </w:rPr>
  </w:style>
  <w:style w:type="paragraph" w:customStyle="1" w:styleId="14">
    <w:name w:val="页眉或页脚1"/>
    <w:basedOn w:val="1"/>
    <w:link w:val="13"/>
    <w:qFormat/>
    <w:uiPriority w:val="0"/>
    <w:pPr>
      <w:shd w:val="clear" w:color="auto" w:fill="FFFFFF"/>
      <w:spacing w:line="0" w:lineRule="atLeast"/>
    </w:pPr>
    <w:rPr>
      <w:rFonts w:ascii="Arial" w:hAnsi="Arial" w:cs="Arial"/>
      <w:b/>
      <w:bCs/>
      <w:sz w:val="13"/>
      <w:szCs w:val="13"/>
    </w:rPr>
  </w:style>
  <w:style w:type="character" w:customStyle="1" w:styleId="15">
    <w:name w:val="页眉或页脚"/>
    <w:basedOn w:val="13"/>
    <w:uiPriority w:val="0"/>
    <w:rPr>
      <w:rFonts w:ascii="Arial" w:hAnsi="Arial" w:eastAsia="宋体" w:cs="Arial"/>
      <w:color w:val="000000"/>
      <w:spacing w:val="0"/>
      <w:w w:val="100"/>
      <w:position w:val="0"/>
      <w:sz w:val="13"/>
      <w:szCs w:val="13"/>
      <w:u w:val="none"/>
      <w:lang w:val="en-US" w:eastAsia="zh-CN" w:bidi="en-US"/>
    </w:rPr>
  </w:style>
  <w:style w:type="character" w:customStyle="1" w:styleId="16">
    <w:name w:val="正文文本 (2)_"/>
    <w:basedOn w:val="5"/>
    <w:link w:val="17"/>
    <w:uiPriority w:val="0"/>
    <w:rPr>
      <w:rFonts w:ascii="Arial" w:hAnsi="Arial" w:eastAsia="宋体" w:cs="Arial"/>
      <w:spacing w:val="0"/>
      <w:u w:val="none"/>
    </w:rPr>
  </w:style>
  <w:style w:type="paragraph" w:customStyle="1" w:styleId="17">
    <w:name w:val="正文文本 (2)"/>
    <w:basedOn w:val="1"/>
    <w:link w:val="16"/>
    <w:uiPriority w:val="0"/>
    <w:pPr>
      <w:shd w:val="clear" w:color="auto" w:fill="FFFFFF"/>
      <w:spacing w:before="60" w:after="360" w:line="0" w:lineRule="atLeast"/>
      <w:ind w:hanging="360"/>
    </w:pPr>
    <w:rPr>
      <w:rFonts w:ascii="Arial" w:hAnsi="Arial" w:cs="Arial"/>
    </w:rPr>
  </w:style>
  <w:style w:type="character" w:customStyle="1" w:styleId="18">
    <w:name w:val="正文文本 (3)"/>
    <w:basedOn w:val="9"/>
    <w:uiPriority w:val="0"/>
    <w:rPr>
      <w:rFonts w:ascii="Arial" w:hAnsi="Arial" w:eastAsia="宋体" w:cs="Arial"/>
      <w:color w:val="000000"/>
      <w:spacing w:val="0"/>
      <w:w w:val="100"/>
      <w:position w:val="0"/>
      <w:sz w:val="22"/>
      <w:szCs w:val="22"/>
      <w:u w:val="single"/>
      <w:lang w:val="en-US" w:eastAsia="zh-CN" w:bidi="en-US"/>
    </w:rPr>
  </w:style>
  <w:style w:type="character" w:customStyle="1" w:styleId="19">
    <w:name w:val="页眉 Char"/>
    <w:basedOn w:val="5"/>
    <w:link w:val="3"/>
    <w:qFormat/>
    <w:uiPriority w:val="99"/>
    <w:rPr>
      <w:color w:val="000000"/>
      <w:sz w:val="18"/>
      <w:szCs w:val="18"/>
    </w:rPr>
  </w:style>
  <w:style w:type="character" w:customStyle="1" w:styleId="20">
    <w:name w:val="页脚 Char"/>
    <w:basedOn w:val="5"/>
    <w:link w:val="2"/>
    <w:uiPriority w:val="99"/>
    <w:rPr>
      <w:color w:val="000000"/>
      <w:sz w:val="18"/>
      <w:szCs w:val="18"/>
    </w:rPr>
  </w:style>
  <w:style w:type="table" w:customStyle="1" w:styleId="21">
    <w:name w:val="Table Normal"/>
    <w:semiHidden/>
    <w:unhideWhenUsed/>
    <w:qFormat/>
    <w:uiPriority w:val="2"/>
    <w:rPr>
      <w:rFonts w:asciiTheme="minorHAnsi" w:hAnsiTheme="minorHAnsi" w:eastAsiaTheme="minorEastAsia" w:cstheme="minorBidi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Paragraph"/>
    <w:basedOn w:val="1"/>
    <w:qFormat/>
    <w:uiPriority w:val="1"/>
    <w:rPr>
      <w:rFonts w:asciiTheme="minorHAnsi" w:hAnsiTheme="minorHAnsi" w:eastAsiaTheme="minorEastAsia" w:cstheme="minorBidi"/>
      <w:color w:val="auto"/>
      <w:sz w:val="22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804</Words>
  <Characters>1433</Characters>
  <Lines>16</Lines>
  <Paragraphs>4</Paragraphs>
  <TotalTime>0</TotalTime>
  <ScaleCrop>false</ScaleCrop>
  <LinksUpToDate>false</LinksUpToDate>
  <CharactersWithSpaces>1466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2017-11-17T12:13:00Z</dcterms:created>
  <dc:creator>cathy-wen</dc:creator>
  <cp:lastModifiedBy>太极箫客</cp:lastModifiedBy>
  <dcterms:modified xsi:type="dcterms:W3CDTF">2025-08-14T06:16:22Z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01DFFADFA87E42D6B01D871C9BC9E76E_12</vt:lpwstr>
  </property>
</Properties>
</file>