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F6651">
      <w:pPr>
        <w:snapToGrid w:val="0"/>
        <w:spacing w:after="120" w:afterLines="50"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8FB6763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5757BBC2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0E86B818">
      <w:pPr>
        <w:snapToGrid w:val="0"/>
        <w:spacing w:after="120" w:afterLines="5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22D5A6DF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b/>
          <w:sz w:val="64"/>
          <w:szCs w:val="64"/>
        </w:rPr>
      </w:pPr>
      <w:r>
        <w:rPr>
          <w:rFonts w:hint="eastAsia" w:ascii="Arial" w:eastAsia="宋体"/>
          <w:b/>
          <w:sz w:val="64"/>
          <w:szCs w:val="64"/>
        </w:rPr>
        <w:t>CPG章节300.750符合515（b）要求的III类器械</w:t>
      </w:r>
    </w:p>
    <w:p w14:paraId="2171813D">
      <w:pPr>
        <w:tabs>
          <w:tab w:val="left" w:pos="4207"/>
        </w:tabs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背景：</w:t>
      </w:r>
    </w:p>
    <w:p w14:paraId="4017F1C9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6850163D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联邦食品、药品和化妆品法案（简称法案）第515（b）条规定，FDA应颁布法规，要求下述III类器械提交上市前批准申请（PMA）以获得批准。III类器械描述见该法案第513（a）（1）（C）条。</w:t>
      </w:r>
    </w:p>
    <w:p w14:paraId="0B7D834C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1E92D7BD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515（b）要求涵盖的器械分为两类：</w:t>
      </w:r>
    </w:p>
    <w:p w14:paraId="5CB6374E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42BEB5D8">
      <w:pPr>
        <w:pStyle w:val="10"/>
        <w:numPr>
          <w:ilvl w:val="0"/>
          <w:numId w:val="1"/>
        </w:numPr>
        <w:tabs>
          <w:tab w:val="left" w:pos="632"/>
        </w:tabs>
        <w:snapToGrid w:val="0"/>
        <w:spacing w:after="120" w:afterLines="50" w:line="300" w:lineRule="auto"/>
        <w:ind w:left="335" w:hanging="335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1976年5月28日前已进入商业分销但随后由食品药品监督管理局（FDA）通过根据该法案第513条颁布的分类法规分类为III类器械的器械（修正案前器械）。</w:t>
      </w:r>
    </w:p>
    <w:p w14:paraId="2037675A">
      <w:pPr>
        <w:pStyle w:val="10"/>
        <w:numPr>
          <w:ilvl w:val="0"/>
          <w:numId w:val="1"/>
        </w:numPr>
        <w:tabs>
          <w:tab w:val="left" w:pos="632"/>
        </w:tabs>
        <w:snapToGrid w:val="0"/>
        <w:spacing w:after="120" w:afterLines="50" w:line="300" w:lineRule="auto"/>
        <w:ind w:left="335" w:hanging="335"/>
        <w:jc w:val="both"/>
        <w:rPr>
          <w:rFonts w:ascii="Arial" w:eastAsia="宋体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1976年5月</w:t>
      </w:r>
      <w:r>
        <w:rPr>
          <w:rFonts w:ascii="Arial" w:eastAsia="宋体"/>
          <w:sz w:val="24"/>
          <w:szCs w:val="24"/>
        </w:rPr>
        <w:t>28</w:t>
      </w:r>
      <w:r>
        <w:rPr>
          <w:rFonts w:hint="eastAsia" w:ascii="Arial" w:eastAsia="宋体"/>
          <w:sz w:val="24"/>
          <w:szCs w:val="24"/>
        </w:rPr>
        <w:t>日或之后进入商业分销且通过</w:t>
      </w:r>
      <w:r>
        <w:rPr>
          <w:rFonts w:ascii="Arial" w:eastAsia="宋体"/>
          <w:sz w:val="24"/>
          <w:szCs w:val="24"/>
        </w:rPr>
        <w:t>510</w:t>
      </w:r>
      <w:r>
        <w:rPr>
          <w:rFonts w:hint="eastAsia" w:ascii="Arial" w:eastAsia="宋体"/>
          <w:sz w:val="24"/>
          <w:szCs w:val="24"/>
        </w:rPr>
        <w:t>（</w:t>
      </w:r>
      <w:r>
        <w:rPr>
          <w:rFonts w:ascii="Arial" w:eastAsia="宋体"/>
          <w:sz w:val="24"/>
          <w:szCs w:val="24"/>
        </w:rPr>
        <w:t>k</w:t>
      </w:r>
      <w:r>
        <w:rPr>
          <w:rFonts w:hint="eastAsia" w:ascii="Arial" w:eastAsia="宋体"/>
          <w:sz w:val="24"/>
          <w:szCs w:val="24"/>
        </w:rPr>
        <w:t>）过程确定与</w:t>
      </w:r>
      <w:r>
        <w:rPr>
          <w:rFonts w:ascii="Arial" w:eastAsia="宋体"/>
          <w:sz w:val="24"/>
          <w:szCs w:val="24"/>
        </w:rPr>
        <w:t>III</w:t>
      </w:r>
      <w:r>
        <w:rPr>
          <w:rFonts w:hint="eastAsia" w:ascii="Arial" w:eastAsia="宋体"/>
          <w:sz w:val="24"/>
          <w:szCs w:val="24"/>
        </w:rPr>
        <w:t>类修正案前器械具有实质等同性的器械（修正案后器械）。</w:t>
      </w:r>
    </w:p>
    <w:p w14:paraId="5607BCAE">
      <w:pPr>
        <w:snapToGrid w:val="0"/>
        <w:spacing w:after="120" w:afterLines="5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 xml:space="preserve"> </w:t>
      </w:r>
    </w:p>
    <w:p w14:paraId="3F85DB46">
      <w:pPr>
        <w:pStyle w:val="2"/>
        <w:snapToGrid w:val="0"/>
        <w:spacing w:after="120" w:afterLines="50" w:line="300" w:lineRule="auto"/>
        <w:ind w:left="0" w:hanging="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分类后——-如果为类别（1），或通过510（k）上市前通知提交材料确定实质等同性后——如果为类别（2），在FDA根据515（b）发布最终规则要求提交PMA之前，可继续销售此类器械，无需提供核准PMA。如该法案第515（I）条所述，PMA的形式可以为产品开发方案（PDP）完成通知。</w:t>
      </w:r>
    </w:p>
    <w:p w14:paraId="0C353F19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128274CD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在联邦公报上公布最终515（b）法规后，则制造商、美国初始分销商（如果器械为进口器械）或出口商必须向FDA提交器械的PMA或PDP完成通知。该法案要求在该最终法规颁布之日起90天内，或在器械最终分类发布后30个月内（以较迟者为准）提交此类材料。（请参见501（I）（2）（B））。事实上，根据第513条发布最终分类法规后，FDA可能会在数年后才针对III类器械发布最终515（b）法规，要求提交PMA或PDP。</w:t>
      </w:r>
    </w:p>
    <w:p w14:paraId="479F63A4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0EC2902E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提交此类材料后，FDA必须根据该法案第501（I）（1）（A）条批准PMA，或声明PDP已经完成，或声明该器械掺假。</w:t>
      </w:r>
    </w:p>
    <w:p w14:paraId="465FCDB4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6422EA37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政策：</w:t>
      </w:r>
    </w:p>
    <w:p w14:paraId="6B045F46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19B7FAA1">
      <w:pPr>
        <w:pStyle w:val="2"/>
        <w:snapToGrid w:val="0"/>
        <w:spacing w:after="120" w:afterLines="50" w:line="300" w:lineRule="auto"/>
        <w:ind w:left="0" w:firstLine="1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对于515（b）器械，必须在已发布的第515（b）条法规规定的日期之前提交PMA或PDP完成通知。如果未提交此类材料，则将根据该法案第501（I）（1）（A）条声明在该日期后分销的器械掺假，除根据该法案第520（g）条获得器械临床研究豁免（IDE）的器械和*符合*该法案第801（e）（2）条豁免规定的器械。</w:t>
      </w:r>
    </w:p>
    <w:p w14:paraId="6CE856B1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2E8CB72C">
      <w:pPr>
        <w:pStyle w:val="2"/>
        <w:snapToGrid w:val="0"/>
        <w:spacing w:after="120" w:afterLines="50" w:line="300" w:lineRule="auto"/>
        <w:ind w:left="0" w:hanging="1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可能允许已进行贸易分销且在已发布的515（b）法规中确定日期之前已引入或已配送的任何515（b）器械继续进行贸易活动。如果需要采取行动保护公众卫生，或者确定器械可对公众卫生造成不合理的重大损害风险，则上述情况不适用。</w:t>
      </w:r>
    </w:p>
    <w:p w14:paraId="56A750C7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2E40D24C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监管指南：</w:t>
      </w:r>
    </w:p>
    <w:p w14:paraId="3DA51B77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51174870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在建议直接进行扣押前，应联系器械和放射卫生中心、合规办公室（HFZ-300），以确认尚未提交PMA或PDP。</w:t>
      </w:r>
    </w:p>
    <w:p w14:paraId="40AA162A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111AD8FB">
      <w:pPr>
        <w:pStyle w:val="2"/>
        <w:snapToGrid w:val="0"/>
        <w:spacing w:after="120" w:afterLines="50" w:line="300" w:lineRule="auto"/>
        <w:ind w:left="0" w:hanging="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以下代表了建议执法管理和工作处（HFC-210）直接进行扣押的标准：</w:t>
      </w:r>
    </w:p>
    <w:p w14:paraId="7BE8A057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7EFE7904">
      <w:pPr>
        <w:pStyle w:val="2"/>
        <w:snapToGrid w:val="0"/>
        <w:spacing w:after="120" w:afterLines="50" w:line="300" w:lineRule="auto"/>
        <w:ind w:left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如果制造商、进口器械的美国初始分销商或出口商（1）在已发布的第515（b）条规定的日期之后将III类医疗器械引进市场，但未提交PMA或PDP，或（2）未提交核准IDE或（3）未根据该法案第801（e）（2）条进行*出口*，则将宣布器械掺假并直接扣押。</w:t>
      </w:r>
    </w:p>
    <w:p w14:paraId="0502A50E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6BC27D44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样本控告：</w:t>
      </w:r>
    </w:p>
    <w:p w14:paraId="5F8A0B94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409D21FC">
      <w:pPr>
        <w:pStyle w:val="2"/>
        <w:snapToGrid w:val="0"/>
        <w:spacing w:after="120" w:afterLines="50" w:line="300" w:lineRule="auto"/>
        <w:ind w:left="0" w:hanging="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由于该医疗器械为III类医疗器械，但未根据该法案第515（b）条要求颁布的法规提交上市前批准申请或产品开发方案完成通知，且其未根据第520（g）条豁免第515条的要求，因此根据该法案第501（f）（1）（A）条宣布制品掺假**。</w:t>
      </w:r>
    </w:p>
    <w:p w14:paraId="00D4AEC7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3B007B36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*星号之间的材料为新材料或修改材料*</w:t>
      </w:r>
    </w:p>
    <w:p w14:paraId="351FB8C7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3C9F8AF7">
      <w:pPr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eastAsia="宋体"/>
          <w:sz w:val="24"/>
          <w:szCs w:val="24"/>
        </w:rPr>
        <w:t>发布日期：1990/10/19</w:t>
      </w:r>
    </w:p>
    <w:p w14:paraId="75AC165C">
      <w:pPr>
        <w:pStyle w:val="2"/>
        <w:snapToGrid w:val="0"/>
        <w:spacing w:after="120" w:afterLines="50" w:line="300" w:lineRule="auto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修订日期：1995/3，2005/7</w:t>
      </w:r>
    </w:p>
    <w:p w14:paraId="24E9F85C">
      <w:pPr>
        <w:pStyle w:val="2"/>
        <w:snapToGrid w:val="0"/>
        <w:spacing w:after="120" w:afterLines="50" w:line="300" w:lineRule="auto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更新日期：2005/12/6</w:t>
      </w:r>
    </w:p>
    <w:p w14:paraId="75BCA0B5">
      <w:pPr>
        <w:rPr>
          <w:rFonts w:ascii="Arial" w:hAnsi="Arial" w:eastAsia="Arial" w:cs="Arial"/>
          <w:sz w:val="24"/>
          <w:szCs w:val="24"/>
        </w:rPr>
      </w:pPr>
    </w:p>
    <w:tbl>
      <w:tblPr>
        <w:tblStyle w:val="9"/>
        <w:tblW w:w="10884" w:type="dxa"/>
        <w:tblInd w:w="10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3D08A4A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754E7AA6">
            <w:pPr>
              <w:overflowPunct w:val="0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合规政策指南的更多信息（/ICECI/ComplianceManuals/CompliancePolicyGuidanceManual/default.htm）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45317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</w:tcBorders>
          </w:tcPr>
          <w:p w14:paraId="4B25D983">
            <w:pPr>
              <w:pStyle w:val="11"/>
              <w:overflowPunct w:val="0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前言：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合规政策指南（CPG） （/ICECI/ComplianceManuals/CompliancePolicyGuidanceManual/ucm116271.htm）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4A6F7E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</w:tcPr>
          <w:p w14:paraId="4D520FC4">
            <w:pPr>
              <w:pStyle w:val="11"/>
              <w:overflowPunct w:val="0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第1章 - 通则 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（/ICECI/ComplianceManuals/CompliancePolicyGuidanceManual/ucm116280.htm）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102E9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</w:tcPr>
          <w:p w14:paraId="727F78D4">
            <w:pPr>
              <w:pStyle w:val="11"/>
              <w:overflowPunct w:val="0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第2章 - 生物制剂（/ICECI/ComplianceManuals/CompliancePolicyGuidanceManual/ucm116336.htm）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70126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</w:tcPr>
          <w:p w14:paraId="13691F6A">
            <w:pPr>
              <w:pStyle w:val="11"/>
              <w:overflowPunct w:val="0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第3章 - 器械 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（/ICECI/ComplianceManuals/CompliancePolicyGuidanceManual/ucm116801.htm）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8C899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</w:tcPr>
          <w:p w14:paraId="1B616779">
            <w:pPr>
              <w:pStyle w:val="11"/>
              <w:overflowPunct w:val="0"/>
              <w:snapToGrid w:val="0"/>
              <w:spacing w:before="120" w:beforeLines="50"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第4章 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t>–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 人用药品 （/ICECI/ComplianceManuals/CompliancePolicyGuidanceManual/ucm119572.htm）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652B5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</w:tcPr>
          <w:p w14:paraId="0886B896">
            <w:pPr>
              <w:overflowPunct w:val="0"/>
              <w:snapToGrid w:val="0"/>
              <w:spacing w:before="120" w:beforeLines="50" w:after="120" w:afterLines="5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第5章 - 食品，颜料和化妆品（/ICECI/ComplianceManuals/CompliancePolicyGuidanceManual/ucm119194.htm）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0129C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</w:tcPr>
          <w:p w14:paraId="519EAEB9">
            <w:pPr>
              <w:overflowPunct w:val="0"/>
              <w:snapToGrid w:val="0"/>
              <w:spacing w:before="120" w:beforeLines="50" w:after="120" w:afterLines="5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第6章 - 兽医医学（/ICECI/ComplianceManuals/CompliancePolicyGuidanceManual/ucm117042.htm）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58236313">
      <w:pPr>
        <w:snapToGrid w:val="0"/>
        <w:spacing w:after="120" w:afterLines="50" w:line="300" w:lineRule="auto"/>
        <w:jc w:val="both"/>
        <w:rPr>
          <w:rFonts w:ascii="Arial" w:hAnsi="Arial" w:eastAsia="Arial" w:cs="Arial"/>
          <w:sz w:val="24"/>
          <w:szCs w:val="24"/>
        </w:rPr>
      </w:pPr>
    </w:p>
    <w:p w14:paraId="1F5A3A6F">
      <w:pPr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472DF1D2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4F97E3F4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10" w:h="16840"/>
      <w:pgMar w:top="567" w:right="567" w:bottom="567" w:left="567" w:header="286" w:footer="26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D01A3">
    <w:pPr>
      <w:tabs>
        <w:tab w:val="right" w:pos="10773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https://www.fda.go'v/lCECl/ComplianceManuaIs/CompliancePolicyGuidanceManuaI/ucm123766.htm</w:t>
    </w:r>
    <w:r>
      <w:rPr>
        <w:rFonts w:hint="eastAsia" w:ascii="Arial" w:eastAsia="宋体"/>
        <w:sz w:val="15"/>
        <w:szCs w:val="15"/>
      </w:rPr>
      <w:tab/>
    </w:r>
    <w:r>
      <w:rPr>
        <w:rFonts w:ascii="Arial" w:eastAsia="宋体"/>
        <w:sz w:val="15"/>
        <w:szCs w:val="15"/>
      </w:rPr>
      <w:fldChar w:fldCharType="begin"/>
    </w:r>
    <w:r>
      <w:rPr>
        <w:rFonts w:ascii="Arial" w:eastAsia="宋体"/>
        <w:sz w:val="15"/>
        <w:szCs w:val="15"/>
      </w:rPr>
      <w:instrText xml:space="preserve">PAGE   \* MERGEFORMAT</w:instrText>
    </w:r>
    <w:r>
      <w:rPr>
        <w:rFonts w:ascii="Arial" w:eastAsia="宋体"/>
        <w:sz w:val="15"/>
        <w:szCs w:val="15"/>
      </w:rPr>
      <w:fldChar w:fldCharType="separate"/>
    </w:r>
    <w:r>
      <w:rPr>
        <w:rFonts w:ascii="Arial" w:eastAsia="宋体"/>
        <w:sz w:val="15"/>
        <w:szCs w:val="15"/>
        <w:lang w:val="zh-CN"/>
      </w:rPr>
      <w:t>2</w:t>
    </w:r>
    <w:r>
      <w:rPr>
        <w:rFonts w:ascii="Arial" w:eastAsia="宋体"/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>/3</w:t>
    </w:r>
  </w:p>
  <w:p w14:paraId="0AD2CB1E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FA8D5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  <w:r>
      <w:rPr>
        <w:rFonts w:hint="eastAsia" w:ascii="Arial" w:eastAsia="宋体"/>
        <w:sz w:val="15"/>
        <w:szCs w:val="15"/>
      </w:rPr>
      <w:t>2017/8/9</w:t>
    </w:r>
    <w:r>
      <w:rPr>
        <w:rFonts w:hint="eastAsia" w:ascii="Arial" w:hAnsi="Arial" w:eastAsia="宋体" w:cs="Arial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合规政策指南＞ CPG章节300.750 符合515(b)要求的III类器械</w:t>
    </w:r>
  </w:p>
  <w:p w14:paraId="7FA4931B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52EE18DF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589D8EBB">
    <w:pPr>
      <w:tabs>
        <w:tab w:val="left" w:pos="2552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829ED"/>
    <w:multiLevelType w:val="multilevel"/>
    <w:tmpl w:val="378829ED"/>
    <w:lvl w:ilvl="0" w:tentative="0">
      <w:start w:val="1"/>
      <w:numFmt w:val="decimal"/>
      <w:lvlText w:val="%1."/>
      <w:lvlJc w:val="left"/>
      <w:pPr>
        <w:ind w:left="621" w:hanging="346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670" w:hanging="34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720" w:hanging="34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771" w:hanging="34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821" w:hanging="34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872" w:hanging="34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922" w:hanging="34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973" w:hanging="34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023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D2"/>
    <w:rsid w:val="000433CD"/>
    <w:rsid w:val="000B57B1"/>
    <w:rsid w:val="0014385D"/>
    <w:rsid w:val="0017046C"/>
    <w:rsid w:val="00183D02"/>
    <w:rsid w:val="001E14BC"/>
    <w:rsid w:val="002D585B"/>
    <w:rsid w:val="00376093"/>
    <w:rsid w:val="00427E09"/>
    <w:rsid w:val="004302AA"/>
    <w:rsid w:val="004B1211"/>
    <w:rsid w:val="004C1B1E"/>
    <w:rsid w:val="00532D8F"/>
    <w:rsid w:val="00545295"/>
    <w:rsid w:val="005C30E7"/>
    <w:rsid w:val="00665E30"/>
    <w:rsid w:val="00793178"/>
    <w:rsid w:val="007B1CC1"/>
    <w:rsid w:val="007B53BD"/>
    <w:rsid w:val="00874595"/>
    <w:rsid w:val="009130AB"/>
    <w:rsid w:val="009568C4"/>
    <w:rsid w:val="009B1E62"/>
    <w:rsid w:val="00A14C6C"/>
    <w:rsid w:val="00A26D60"/>
    <w:rsid w:val="00A53B62"/>
    <w:rsid w:val="00C47076"/>
    <w:rsid w:val="00C54470"/>
    <w:rsid w:val="00C800E6"/>
    <w:rsid w:val="00D336B9"/>
    <w:rsid w:val="00DB236A"/>
    <w:rsid w:val="00DE6BFB"/>
    <w:rsid w:val="00EA25D2"/>
    <w:rsid w:val="00F6688F"/>
    <w:rsid w:val="00FE3D9A"/>
    <w:rsid w:val="458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Arial" w:hAnsi="Arial" w:eastAsia="宋体"/>
      <w:sz w:val="26"/>
      <w:szCs w:val="26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ShunDaJiaYi</Company>
  <Pages>3</Pages>
  <Words>1272</Words>
  <Characters>1998</Characters>
  <Lines>21</Lines>
  <Paragraphs>6</Paragraphs>
  <TotalTime>3</TotalTime>
  <ScaleCrop>false</ScaleCrop>
  <LinksUpToDate>false</LinksUpToDate>
  <CharactersWithSpaces>2015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2017-10-25T08:06:00Z</dcterms:created>
  <dc:creator>CML</dc:creator>
  <cp:lastModifiedBy>太极箫客</cp:lastModifiedBy>
  <dcterms:modified xsi:type="dcterms:W3CDTF">2025-08-14T06:16:12Z</dcterms:modified>
  <dc:title>Compliance Policy Guides &gt; CPG Sec. 300...Devices Subject to 515(b) Requirements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2017-10-10T00:00:00Z</vt:filetime>
  </property>
  <property fmtid="{D5CDD505-2E9C-101B-9397-08002B2CF9AE}" pid="5" name="KSOTemplateDocerSaveRecord">
    <vt:lpwstr>eyJoZGlkIjoiMDJiMzI3ODBiNTFmMWRjNDUyMjM1ZmZjODY5NDc2MWMiLCJ1c2VySWQiOiI0NTQ4Nzg1NzAifQ==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C1371B7147D042719CE31A55CCA76022_12</vt:lpwstr>
  </property>
</Properties>
</file>