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F7C652">
      <w:pPr>
        <w:snapToGrid w:val="0"/>
        <w:spacing w:after="120" w:afterLines="50" w:line="30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14:paraId="7FAAF8EF">
      <w:pPr>
        <w:snapToGrid w:val="0"/>
        <w:spacing w:after="120" w:afterLines="50" w:line="300" w:lineRule="auto"/>
        <w:jc w:val="both"/>
        <w:rPr>
          <w:rFonts w:ascii="Times New Roman" w:hAnsi="Times New Roman" w:eastAsia="Times New Roman" w:cs="Times New Roman"/>
          <w:sz w:val="20"/>
          <w:szCs w:val="20"/>
        </w:rPr>
      </w:pPr>
    </w:p>
    <w:p w14:paraId="4C26BBCB">
      <w:pPr>
        <w:snapToGrid w:val="0"/>
        <w:spacing w:after="120" w:afterLines="50" w:line="300" w:lineRule="auto"/>
        <w:jc w:val="both"/>
        <w:rPr>
          <w:rFonts w:ascii="Times New Roman" w:hAnsi="Times New Roman" w:eastAsia="Times New Roman" w:cs="Times New Roman"/>
          <w:sz w:val="20"/>
          <w:szCs w:val="20"/>
        </w:rPr>
      </w:pPr>
    </w:p>
    <w:p w14:paraId="286A2C4D">
      <w:pPr>
        <w:snapToGrid w:val="0"/>
        <w:spacing w:after="120" w:afterLines="50" w:line="300" w:lineRule="auto"/>
        <w:jc w:val="both"/>
        <w:rPr>
          <w:rFonts w:ascii="Times New Roman" w:hAnsi="Times New Roman" w:eastAsia="Times New Roman" w:cs="Times New Roman"/>
          <w:sz w:val="20"/>
          <w:szCs w:val="20"/>
        </w:rPr>
      </w:pPr>
    </w:p>
    <w:p w14:paraId="0DF9FDC9">
      <w:pPr>
        <w:snapToGrid w:val="0"/>
        <w:spacing w:after="120" w:afterLines="50" w:line="300" w:lineRule="auto"/>
        <w:jc w:val="both"/>
        <w:rPr>
          <w:rFonts w:ascii="Arial" w:hAnsi="Arial" w:eastAsia="宋体" w:cs="Arial"/>
          <w:sz w:val="64"/>
          <w:szCs w:val="64"/>
        </w:rPr>
      </w:pPr>
      <w:r>
        <w:rPr>
          <w:rFonts w:hint="eastAsia" w:ascii="Arial" w:eastAsia="宋体"/>
          <w:b/>
          <w:sz w:val="64"/>
        </w:rPr>
        <w:t>CPG章节300.600 关于上市前通知的商业分配（章节510（k））</w:t>
      </w:r>
    </w:p>
    <w:p w14:paraId="1EE7F0D2">
      <w:pPr>
        <w:pStyle w:val="2"/>
        <w:snapToGrid w:val="0"/>
        <w:spacing w:after="240" w:afterLines="100" w:line="300" w:lineRule="auto"/>
        <w:ind w:left="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背景：</w:t>
      </w:r>
    </w:p>
    <w:p w14:paraId="79698E2C">
      <w:pPr>
        <w:pStyle w:val="2"/>
        <w:snapToGrid w:val="0"/>
        <w:spacing w:after="240" w:afterLines="100" w:line="300" w:lineRule="auto"/>
        <w:ind w:left="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已经提出许多关于什么是商业分配的问题。本合规政策指南基于1978年3月24日对关于该主题（案卷号77A-0307）咨询意见的正式请求作出回应。</w:t>
      </w:r>
    </w:p>
    <w:p w14:paraId="504F9094">
      <w:pPr>
        <w:pStyle w:val="2"/>
        <w:snapToGrid w:val="0"/>
        <w:spacing w:after="240" w:afterLines="100" w:line="300" w:lineRule="auto"/>
        <w:ind w:left="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政策：</w:t>
      </w:r>
    </w:p>
    <w:p w14:paraId="1A13FC04">
      <w:pPr>
        <w:pStyle w:val="2"/>
        <w:snapToGrid w:val="0"/>
        <w:spacing w:after="240" w:afterLines="100" w:line="300" w:lineRule="auto"/>
        <w:ind w:left="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如果制造商能够满足以下所有条件，我们认为一种器械目前正处于商业分销中，而且在1976年5月28日之前已在商业分销中，尽管在此之前，该器械的任何装置均未交付给购买者或收货人：</w:t>
      </w:r>
    </w:p>
    <w:p w14:paraId="7B27F0F1">
      <w:pPr>
        <w:pStyle w:val="2"/>
        <w:numPr>
          <w:ilvl w:val="0"/>
          <w:numId w:val="1"/>
        </w:numPr>
        <w:tabs>
          <w:tab w:val="left" w:pos="613"/>
        </w:tabs>
        <w:snapToGrid w:val="0"/>
        <w:spacing w:after="240" w:afterLines="100" w:line="300" w:lineRule="auto"/>
        <w:ind w:left="352" w:hanging="352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在1976年5月28日之前对该器械进行展示、广告或以其他方式销售，用于特定的目的或没限制性目的（例如，不限于研究或调查使用）；</w:t>
      </w:r>
    </w:p>
    <w:p w14:paraId="56DF9C85">
      <w:pPr>
        <w:pStyle w:val="2"/>
        <w:numPr>
          <w:ilvl w:val="0"/>
          <w:numId w:val="1"/>
        </w:numPr>
        <w:tabs>
          <w:tab w:val="left" w:pos="613"/>
        </w:tabs>
        <w:snapToGrid w:val="0"/>
        <w:spacing w:after="240" w:afterLines="100" w:line="300" w:lineRule="auto"/>
        <w:ind w:left="352" w:hanging="352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在1976年5月28日之前，制造商已经接受或已经准备接受至少一个订单，以购买在美国的器械销售合同中产生或将要产生的器械，一般在交货时立即或在未来承诺的日期发生；</w:t>
      </w:r>
    </w:p>
    <w:p w14:paraId="1ACC6B15">
      <w:pPr>
        <w:pStyle w:val="2"/>
        <w:numPr>
          <w:ilvl w:val="0"/>
          <w:numId w:val="1"/>
        </w:numPr>
        <w:tabs>
          <w:tab w:val="left" w:pos="613"/>
        </w:tabs>
        <w:snapToGrid w:val="0"/>
        <w:spacing w:after="240" w:afterLines="100" w:line="300" w:lineRule="auto"/>
        <w:ind w:left="352" w:hanging="352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该器械未被提供或仅接受研究或调查使用；*以及*</w:t>
      </w:r>
    </w:p>
    <w:p w14:paraId="428F5C6B">
      <w:pPr>
        <w:pStyle w:val="2"/>
        <w:numPr>
          <w:ilvl w:val="0"/>
          <w:numId w:val="1"/>
        </w:numPr>
        <w:tabs>
          <w:tab w:val="left" w:pos="613"/>
        </w:tabs>
        <w:snapToGrid w:val="0"/>
        <w:spacing w:after="240" w:afterLines="100" w:line="300" w:lineRule="auto"/>
        <w:ind w:left="352" w:hanging="352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该器械的制造商可以提供足够的文件建立上述(1)-(3)达到食品药品监督管理局的满意度。</w:t>
      </w:r>
    </w:p>
    <w:p w14:paraId="5F7C3424">
      <w:pPr>
        <w:pStyle w:val="2"/>
        <w:snapToGrid w:val="0"/>
        <w:spacing w:after="240" w:afterLines="100" w:line="300" w:lineRule="auto"/>
        <w:ind w:left="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这种观点影响510（k）（上市前通知提交）的待决期间器械公司的促销活动。虽然公司可能会宣传或展示待决510（k）问题的器械 - 希望FDA能够得出结论：该器械基本上等同于预先修正的器械，但公司不得接受订单，或准备接受订单，这可能会导致该器械的销售合同，除非限于研究或调查使用。</w:t>
      </w:r>
      <w:r>
        <w:rPr>
          <w:sz w:val="28"/>
          <w:szCs w:val="28"/>
        </w:rPr>
        <w:br w:type="page"/>
      </w:r>
    </w:p>
    <w:p w14:paraId="0F87678E">
      <w:pPr>
        <w:pStyle w:val="2"/>
        <w:snapToGrid w:val="0"/>
        <w:spacing w:after="120" w:afterLines="50" w:line="300" w:lineRule="auto"/>
        <w:ind w:left="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*星号之间的材料是新材料或改进材料*</w:t>
      </w:r>
    </w:p>
    <w:p w14:paraId="287A024E">
      <w:pPr>
        <w:pStyle w:val="2"/>
        <w:snapToGrid w:val="0"/>
        <w:spacing w:after="120" w:afterLines="50" w:line="300" w:lineRule="auto"/>
        <w:ind w:left="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发布日期：1978年7月28日</w:t>
      </w:r>
    </w:p>
    <w:p w14:paraId="56045EEC">
      <w:pPr>
        <w:pStyle w:val="2"/>
        <w:snapToGrid w:val="0"/>
        <w:spacing w:after="120" w:afterLines="50" w:line="300" w:lineRule="auto"/>
        <w:ind w:left="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再发行日期：1980年10月1日、1987/9/24</w:t>
      </w:r>
    </w:p>
    <w:p w14:paraId="6D824E93">
      <w:pPr>
        <w:snapToGrid w:val="0"/>
        <w:spacing w:after="120" w:afterLines="50" w:line="300" w:lineRule="auto"/>
        <w:jc w:val="both"/>
        <w:rPr>
          <w:rFonts w:ascii="Arial" w:hAnsi="Arial" w:eastAsia="Arial" w:cs="Arial"/>
          <w:sz w:val="28"/>
          <w:szCs w:val="28"/>
        </w:rPr>
      </w:pPr>
    </w:p>
    <w:tbl>
      <w:tblPr>
        <w:tblStyle w:val="7"/>
        <w:tblW w:w="0" w:type="auto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84"/>
      </w:tblGrid>
      <w:tr w14:paraId="03FCDF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8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vAlign w:val="center"/>
          </w:tcPr>
          <w:p w14:paraId="6E706295">
            <w:pPr>
              <w:snapToGrid w:val="0"/>
              <w:spacing w:before="120" w:beforeLines="50" w:after="120" w:afterLines="50" w:line="276" w:lineRule="auto"/>
              <w:ind w:left="44" w:leftChars="20" w:right="44" w:rightChars="20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hint="eastAsia" w:ascii="Arial" w:hAnsi="Arial" w:cs="Arial"/>
                <w:b/>
                <w:sz w:val="24"/>
                <w:szCs w:val="24"/>
                <w:u w:val="single"/>
              </w:rPr>
              <w:t>合规政策指南的更多信息</w:t>
            </w:r>
          </w:p>
          <w:p w14:paraId="0A899463">
            <w:pPr>
              <w:pStyle w:val="9"/>
              <w:snapToGrid w:val="0"/>
              <w:spacing w:before="120" w:beforeLines="50" w:after="120" w:afterLines="50" w:line="276" w:lineRule="auto"/>
              <w:ind w:left="44" w:leftChars="20" w:right="44" w:rightChars="20"/>
              <w:rPr>
                <w:sz w:val="24"/>
                <w:szCs w:val="24"/>
                <w:u w:val="single"/>
              </w:rPr>
            </w:pPr>
            <w:r>
              <w:rPr>
                <w:rFonts w:ascii="Arial" w:hAnsi="Arial" w:eastAsia="Arial" w:cs="Arial"/>
                <w:b/>
                <w:sz w:val="24"/>
                <w:szCs w:val="24"/>
                <w:u w:val="single"/>
              </w:rPr>
              <w:t>(/ICECI/ComplianceManuals/CompliancePolicyGuidanceManual/default.htm)</w:t>
            </w:r>
          </w:p>
        </w:tc>
      </w:tr>
      <w:tr w14:paraId="195091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8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vAlign w:val="center"/>
          </w:tcPr>
          <w:p w14:paraId="6B767416">
            <w:pPr>
              <w:pStyle w:val="9"/>
              <w:snapToGrid w:val="0"/>
              <w:spacing w:before="120" w:beforeLines="50" w:after="120" w:afterLines="50" w:line="276" w:lineRule="auto"/>
              <w:ind w:left="44" w:leftChars="20" w:right="44" w:rightChars="20"/>
              <w:rPr>
                <w:rFonts w:ascii="Arial" w:hAnsi="Arial" w:eastAsia="宋体" w:cs="Arial"/>
                <w:sz w:val="24"/>
                <w:szCs w:val="24"/>
                <w:u w:val="single"/>
              </w:rPr>
            </w:pPr>
            <w:r>
              <w:fldChar w:fldCharType="begin"/>
            </w:r>
            <w:r>
              <w:instrText xml:space="preserve"> HYPERLINK "https://www.fda.gov/ICECI/ComplianceManuals/CompliancePolicyGuidanceManual/ucm116271.htm" \h </w:instrText>
            </w:r>
            <w:r>
              <w:fldChar w:fldCharType="separate"/>
            </w:r>
            <w:r>
              <w:rPr>
                <w:rFonts w:hint="eastAsia" w:ascii="Arial" w:eastAsia="宋体"/>
                <w:b/>
                <w:sz w:val="24"/>
                <w:szCs w:val="24"/>
                <w:u w:val="single"/>
              </w:rPr>
              <w:t>前言：合规政策指南（CPG）</w:t>
            </w:r>
            <w:r>
              <w:rPr>
                <w:rFonts w:ascii="Arial" w:eastAsia="宋体"/>
                <w:b/>
                <w:sz w:val="24"/>
                <w:szCs w:val="24"/>
                <w:u w:val="single"/>
              </w:rPr>
              <w:br w:type="textWrapping"/>
            </w:r>
            <w:r>
              <w:rPr>
                <w:rFonts w:hint="eastAsia" w:ascii="Arial" w:eastAsia="宋体"/>
                <w:b/>
                <w:sz w:val="24"/>
                <w:szCs w:val="24"/>
                <w:u w:val="single"/>
              </w:rPr>
              <w:t>(/ICECI/Compliance Manuals/Compliance PolicyGuidance Manual/ucm116271.htm)</w:t>
            </w:r>
            <w:r>
              <w:rPr>
                <w:rFonts w:hint="eastAsia" w:ascii="Arial" w:eastAsia="宋体"/>
                <w:b/>
                <w:sz w:val="24"/>
                <w:szCs w:val="24"/>
                <w:u w:val="single"/>
              </w:rPr>
              <w:fldChar w:fldCharType="end"/>
            </w:r>
          </w:p>
        </w:tc>
      </w:tr>
      <w:tr w14:paraId="014104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8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vAlign w:val="center"/>
          </w:tcPr>
          <w:p w14:paraId="30DC6B78">
            <w:pPr>
              <w:pStyle w:val="9"/>
              <w:snapToGrid w:val="0"/>
              <w:spacing w:before="120" w:beforeLines="50" w:after="120" w:afterLines="50" w:line="276" w:lineRule="auto"/>
              <w:ind w:left="44" w:leftChars="20" w:right="44" w:rightChars="20"/>
              <w:rPr>
                <w:rFonts w:ascii="Arial" w:hAnsi="Arial" w:eastAsia="宋体" w:cs="Arial"/>
                <w:sz w:val="24"/>
                <w:szCs w:val="24"/>
                <w:u w:val="single"/>
              </w:rPr>
            </w:pPr>
            <w:r>
              <w:fldChar w:fldCharType="begin"/>
            </w:r>
            <w:r>
              <w:instrText xml:space="preserve"> HYPERLINK "https://www.fda.gov/ICECI/ComplianceManuals/CompliancePolicyGuidanceManual/ucm116280.htm" \h </w:instrText>
            </w:r>
            <w:r>
              <w:fldChar w:fldCharType="separate"/>
            </w:r>
            <w:r>
              <w:rPr>
                <w:rFonts w:hint="eastAsia" w:ascii="Arial" w:eastAsia="宋体"/>
                <w:b/>
                <w:sz w:val="24"/>
                <w:szCs w:val="24"/>
                <w:u w:val="single"/>
              </w:rPr>
              <w:t>第一章-通则</w:t>
            </w:r>
            <w:r>
              <w:rPr>
                <w:rFonts w:ascii="Arial" w:eastAsia="宋体"/>
                <w:b/>
                <w:sz w:val="24"/>
                <w:szCs w:val="24"/>
                <w:u w:val="single"/>
              </w:rPr>
              <w:br w:type="textWrapping"/>
            </w:r>
            <w:r>
              <w:rPr>
                <w:rFonts w:hint="eastAsia" w:ascii="Arial" w:eastAsia="宋体"/>
                <w:b/>
                <w:sz w:val="24"/>
                <w:szCs w:val="24"/>
                <w:u w:val="single"/>
              </w:rPr>
              <w:t>(/ICECI/Compliance Manuals/Compliance PolicyGuidance Manual/ucm116280.htm)</w:t>
            </w:r>
            <w:r>
              <w:rPr>
                <w:rFonts w:hint="eastAsia" w:ascii="Arial" w:eastAsia="宋体"/>
                <w:b/>
                <w:sz w:val="24"/>
                <w:szCs w:val="24"/>
                <w:u w:val="single"/>
              </w:rPr>
              <w:fldChar w:fldCharType="end"/>
            </w:r>
          </w:p>
        </w:tc>
      </w:tr>
      <w:tr w14:paraId="4FE934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8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vAlign w:val="center"/>
          </w:tcPr>
          <w:p w14:paraId="3813D8B4">
            <w:pPr>
              <w:pStyle w:val="9"/>
              <w:snapToGrid w:val="0"/>
              <w:spacing w:before="120" w:beforeLines="50" w:after="120" w:afterLines="50" w:line="276" w:lineRule="auto"/>
              <w:ind w:left="44" w:leftChars="20" w:right="44" w:rightChars="20"/>
              <w:rPr>
                <w:rFonts w:ascii="Arial" w:hAnsi="Arial" w:eastAsia="宋体" w:cs="Arial"/>
                <w:sz w:val="24"/>
                <w:szCs w:val="24"/>
                <w:u w:val="single"/>
              </w:rPr>
            </w:pPr>
            <w:r>
              <w:fldChar w:fldCharType="begin"/>
            </w:r>
            <w:r>
              <w:instrText xml:space="preserve"> HYPERLINK "https://www.fda.gov/ICECI/ComplianceManuals/CompliancePolicyGuidanceManual/ucm116336.htm" \h </w:instrText>
            </w:r>
            <w:r>
              <w:fldChar w:fldCharType="separate"/>
            </w:r>
            <w:r>
              <w:rPr>
                <w:rFonts w:hint="eastAsia" w:ascii="Arial" w:eastAsia="宋体"/>
                <w:b/>
                <w:sz w:val="24"/>
                <w:szCs w:val="24"/>
                <w:u w:val="single"/>
              </w:rPr>
              <w:t>第二章-生物制剂</w:t>
            </w:r>
            <w:r>
              <w:rPr>
                <w:rFonts w:ascii="Arial" w:eastAsia="宋体"/>
                <w:b/>
                <w:sz w:val="24"/>
                <w:szCs w:val="24"/>
                <w:u w:val="single"/>
              </w:rPr>
              <w:br w:type="textWrapping"/>
            </w:r>
            <w:r>
              <w:rPr>
                <w:rFonts w:hint="eastAsia" w:ascii="Arial" w:eastAsia="宋体"/>
                <w:b/>
                <w:sz w:val="24"/>
                <w:szCs w:val="24"/>
                <w:u w:val="single"/>
              </w:rPr>
              <w:t>(/ICECI/Compliance Manuals/Compliance PolicyGuidance Manual/ucm116336.htm)</w:t>
            </w:r>
            <w:r>
              <w:rPr>
                <w:rFonts w:hint="eastAsia" w:ascii="Arial" w:eastAsia="宋体"/>
                <w:b/>
                <w:sz w:val="24"/>
                <w:szCs w:val="24"/>
                <w:u w:val="single"/>
              </w:rPr>
              <w:fldChar w:fldCharType="end"/>
            </w:r>
          </w:p>
        </w:tc>
      </w:tr>
      <w:tr w14:paraId="23D7C5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8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vAlign w:val="center"/>
          </w:tcPr>
          <w:p w14:paraId="246A259B">
            <w:pPr>
              <w:pStyle w:val="9"/>
              <w:snapToGrid w:val="0"/>
              <w:spacing w:before="120" w:beforeLines="50" w:after="120" w:afterLines="50" w:line="276" w:lineRule="auto"/>
              <w:ind w:left="44" w:leftChars="20" w:right="44" w:rightChars="20"/>
              <w:rPr>
                <w:rFonts w:ascii="Arial" w:hAnsi="Arial" w:eastAsia="宋体" w:cs="Arial"/>
                <w:sz w:val="24"/>
                <w:szCs w:val="24"/>
                <w:u w:val="single"/>
              </w:rPr>
            </w:pPr>
            <w:r>
              <w:fldChar w:fldCharType="begin"/>
            </w:r>
            <w:r>
              <w:instrText xml:space="preserve"> HYPERLINK "https://www.fda.gov/ICECI/ComplianceManuals/CompliancePolicyGuidanceManual/ucm116801.htm" \h </w:instrText>
            </w:r>
            <w:r>
              <w:fldChar w:fldCharType="separate"/>
            </w:r>
            <w:r>
              <w:rPr>
                <w:rFonts w:hint="eastAsia" w:ascii="Arial" w:eastAsia="宋体"/>
                <w:b/>
                <w:sz w:val="24"/>
                <w:szCs w:val="24"/>
                <w:u w:val="single"/>
              </w:rPr>
              <w:t>第三章-器械</w:t>
            </w:r>
            <w:r>
              <w:rPr>
                <w:rFonts w:ascii="Arial" w:eastAsia="宋体"/>
                <w:b/>
                <w:sz w:val="24"/>
                <w:szCs w:val="24"/>
                <w:u w:val="single"/>
              </w:rPr>
              <w:br w:type="textWrapping"/>
            </w:r>
            <w:r>
              <w:rPr>
                <w:rFonts w:hint="eastAsia" w:ascii="Arial" w:eastAsia="宋体"/>
                <w:b/>
                <w:sz w:val="24"/>
                <w:szCs w:val="24"/>
                <w:u w:val="single"/>
              </w:rPr>
              <w:t>(/ICECI/Compliance Manuals/Compliance PolicyGuidance Manual/ucm116801.htm)</w:t>
            </w:r>
            <w:r>
              <w:rPr>
                <w:rFonts w:hint="eastAsia" w:ascii="Arial" w:eastAsia="宋体"/>
                <w:b/>
                <w:sz w:val="24"/>
                <w:szCs w:val="24"/>
                <w:u w:val="single"/>
              </w:rPr>
              <w:fldChar w:fldCharType="end"/>
            </w:r>
          </w:p>
        </w:tc>
      </w:tr>
      <w:tr w14:paraId="2D11F5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8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vAlign w:val="center"/>
          </w:tcPr>
          <w:p w14:paraId="14BCD067">
            <w:pPr>
              <w:pStyle w:val="9"/>
              <w:snapToGrid w:val="0"/>
              <w:spacing w:before="120" w:beforeLines="50" w:after="120" w:afterLines="50" w:line="276" w:lineRule="auto"/>
              <w:ind w:left="44" w:leftChars="20" w:right="44" w:rightChars="20"/>
              <w:rPr>
                <w:rFonts w:ascii="Arial" w:hAnsi="Arial" w:eastAsia="宋体" w:cs="Arial"/>
                <w:sz w:val="24"/>
                <w:szCs w:val="24"/>
                <w:u w:val="single"/>
              </w:rPr>
            </w:pPr>
            <w:r>
              <w:fldChar w:fldCharType="begin"/>
            </w:r>
            <w:r>
              <w:instrText xml:space="preserve"> HYPERLINK "https://www.fda.gov/ICECI/ComplianceManuals/CompliancePolicyGuidanceManual/ucm119572.htm" \h </w:instrText>
            </w:r>
            <w:r>
              <w:fldChar w:fldCharType="separate"/>
            </w:r>
            <w:r>
              <w:rPr>
                <w:rFonts w:hint="eastAsia" w:ascii="Arial" w:eastAsia="宋体"/>
                <w:b/>
                <w:sz w:val="24"/>
                <w:szCs w:val="24"/>
                <w:u w:val="single"/>
              </w:rPr>
              <w:t>第四章-人用药品</w:t>
            </w:r>
            <w:r>
              <w:rPr>
                <w:rFonts w:ascii="Arial" w:eastAsia="宋体"/>
                <w:b/>
                <w:sz w:val="24"/>
                <w:szCs w:val="24"/>
                <w:u w:val="single"/>
              </w:rPr>
              <w:br w:type="textWrapping"/>
            </w:r>
            <w:r>
              <w:rPr>
                <w:rFonts w:hint="eastAsia" w:ascii="Arial" w:eastAsia="宋体"/>
                <w:b/>
                <w:sz w:val="24"/>
                <w:szCs w:val="24"/>
                <w:u w:val="single"/>
              </w:rPr>
              <w:t>(/ICECI/Compliance Manuals/Compliance PolicyGuidance Manual/ucm119572.htm)</w:t>
            </w:r>
            <w:r>
              <w:rPr>
                <w:rFonts w:hint="eastAsia" w:ascii="Arial" w:eastAsia="宋体"/>
                <w:b/>
                <w:sz w:val="24"/>
                <w:szCs w:val="24"/>
                <w:u w:val="single"/>
              </w:rPr>
              <w:fldChar w:fldCharType="end"/>
            </w:r>
          </w:p>
        </w:tc>
      </w:tr>
      <w:tr w14:paraId="696A06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8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vAlign w:val="center"/>
          </w:tcPr>
          <w:p w14:paraId="33632A5A">
            <w:pPr>
              <w:pStyle w:val="9"/>
              <w:tabs>
                <w:tab w:val="left" w:pos="10256"/>
              </w:tabs>
              <w:snapToGrid w:val="0"/>
              <w:spacing w:before="120" w:beforeLines="50" w:after="120" w:afterLines="50" w:line="276" w:lineRule="auto"/>
              <w:ind w:left="44" w:leftChars="20" w:right="44" w:rightChars="20"/>
              <w:rPr>
                <w:rFonts w:ascii="Arial" w:eastAsia="宋体"/>
                <w:b/>
                <w:sz w:val="24"/>
                <w:szCs w:val="24"/>
                <w:u w:val="single"/>
              </w:rPr>
            </w:pPr>
            <w:r>
              <w:fldChar w:fldCharType="begin"/>
            </w:r>
            <w:r>
              <w:instrText xml:space="preserve"> HYPERLINK "https://www.fda.gov/ICECI/ComplianceManuals/CompliancePolicyGuidanceManual/ucm119194.htm" \h </w:instrText>
            </w:r>
            <w:r>
              <w:fldChar w:fldCharType="separate"/>
            </w:r>
            <w:r>
              <w:rPr>
                <w:rFonts w:hint="eastAsia" w:ascii="Arial" w:eastAsia="宋体"/>
                <w:b/>
                <w:sz w:val="24"/>
                <w:szCs w:val="24"/>
                <w:u w:val="single"/>
              </w:rPr>
              <w:t>第五章-食品、颜料和化妆品</w:t>
            </w:r>
            <w:r>
              <w:rPr>
                <w:rFonts w:ascii="Arial" w:eastAsia="宋体"/>
                <w:b/>
                <w:sz w:val="24"/>
                <w:szCs w:val="24"/>
                <w:u w:val="single"/>
              </w:rPr>
              <w:br w:type="textWrapping"/>
            </w:r>
            <w:r>
              <w:rPr>
                <w:rFonts w:hint="eastAsia" w:ascii="Arial" w:eastAsia="宋体"/>
                <w:b/>
                <w:sz w:val="24"/>
                <w:szCs w:val="24"/>
                <w:u w:val="single"/>
              </w:rPr>
              <w:t xml:space="preserve">(/ICECI/Compliance Manuals/Compliance PolicyGuidance </w:t>
            </w:r>
            <w:r>
              <w:rPr>
                <w:rFonts w:hint="eastAsia" w:ascii="Arial" w:eastAsia="宋体"/>
                <w:b/>
                <w:sz w:val="24"/>
                <w:szCs w:val="24"/>
                <w:u w:val="single"/>
              </w:rPr>
              <w:fldChar w:fldCharType="end"/>
            </w:r>
            <w:r>
              <w:rPr>
                <w:rFonts w:hint="eastAsia" w:ascii="Arial" w:eastAsia="宋体"/>
                <w:b/>
                <w:sz w:val="24"/>
                <w:szCs w:val="24"/>
                <w:u w:val="single"/>
              </w:rPr>
              <w:t>Manual/ucm119194.htm)</w:t>
            </w:r>
          </w:p>
        </w:tc>
      </w:tr>
      <w:tr w14:paraId="6E030B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8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vAlign w:val="center"/>
          </w:tcPr>
          <w:p w14:paraId="618D83DA">
            <w:pPr>
              <w:pStyle w:val="9"/>
              <w:tabs>
                <w:tab w:val="left" w:pos="10256"/>
              </w:tabs>
              <w:snapToGrid w:val="0"/>
              <w:spacing w:before="120" w:beforeLines="50" w:after="120" w:afterLines="50" w:line="276" w:lineRule="auto"/>
              <w:ind w:left="44" w:leftChars="20" w:right="44" w:rightChars="20"/>
              <w:rPr>
                <w:rFonts w:ascii="Arial" w:hAnsi="Arial" w:eastAsia="宋体" w:cs="Arial"/>
                <w:sz w:val="24"/>
                <w:szCs w:val="24"/>
                <w:u w:val="single"/>
              </w:rPr>
            </w:pPr>
            <w:r>
              <w:fldChar w:fldCharType="begin"/>
            </w:r>
            <w:r>
              <w:instrText xml:space="preserve"> HYPERLINK "https://www.fda.gov/ICECI/ComplianceManuals/CompliancePolicyGuidanceManual/ucm117042.htm" \h </w:instrText>
            </w:r>
            <w:r>
              <w:fldChar w:fldCharType="separate"/>
            </w:r>
            <w:r>
              <w:rPr>
                <w:rFonts w:hint="eastAsia" w:ascii="Arial" w:eastAsia="宋体"/>
                <w:b/>
                <w:sz w:val="24"/>
                <w:szCs w:val="24"/>
                <w:u w:val="single"/>
              </w:rPr>
              <w:t>第六章-兽医医学</w:t>
            </w:r>
            <w:r>
              <w:rPr>
                <w:rFonts w:ascii="Arial" w:eastAsia="宋体"/>
                <w:b/>
                <w:sz w:val="24"/>
                <w:szCs w:val="24"/>
                <w:u w:val="single"/>
              </w:rPr>
              <w:br w:type="textWrapping"/>
            </w:r>
            <w:r>
              <w:rPr>
                <w:rFonts w:hint="eastAsia" w:ascii="Arial" w:eastAsia="宋体"/>
                <w:b/>
                <w:sz w:val="24"/>
                <w:szCs w:val="24"/>
                <w:u w:val="single"/>
              </w:rPr>
              <w:t>(/ICECI/Compliance Manuals/Compliance PolicyGuidance Manual/ucm117042.htm)</w:t>
            </w:r>
            <w:r>
              <w:rPr>
                <w:rFonts w:hint="eastAsia" w:ascii="Arial" w:eastAsia="宋体"/>
                <w:b/>
                <w:sz w:val="24"/>
                <w:szCs w:val="24"/>
                <w:u w:val="single"/>
              </w:rPr>
              <w:fldChar w:fldCharType="end"/>
            </w:r>
          </w:p>
        </w:tc>
      </w:tr>
    </w:tbl>
    <w:p w14:paraId="23A93C56">
      <w:pPr>
        <w:snapToGrid w:val="0"/>
        <w:spacing w:after="120" w:afterLines="50" w:line="300" w:lineRule="auto"/>
        <w:jc w:val="both"/>
        <w:rPr>
          <w:sz w:val="28"/>
          <w:szCs w:val="28"/>
        </w:rPr>
      </w:pPr>
    </w:p>
    <w:p w14:paraId="660A8D3D">
      <w:pPr>
        <w:snapToGrid w:val="0"/>
        <w:spacing w:after="120" w:afterLines="50" w:line="300" w:lineRule="auto"/>
        <w:jc w:val="both"/>
        <w:rPr>
          <w:rFonts w:hint="eastAsia" w:eastAsia="宋体"/>
          <w:lang w:eastAsia="zh-CN"/>
        </w:rPr>
      </w:pPr>
    </w:p>
    <w:p w14:paraId="4B386A04">
      <w:pPr>
        <w:snapToGrid w:val="0"/>
        <w:spacing w:after="120" w:afterLines="50" w:line="300" w:lineRule="auto"/>
        <w:jc w:val="center"/>
        <w:rPr>
          <w:rFonts w:hint="eastAsia" w:eastAsia="宋体"/>
          <w:lang w:eastAsia="zh-CN"/>
        </w:rPr>
      </w:pPr>
    </w:p>
    <w:p w14:paraId="5C63665F">
      <w:pPr>
        <w:snapToGrid w:val="0"/>
        <w:spacing w:after="120" w:afterLines="50" w:line="300" w:lineRule="auto"/>
        <w:jc w:val="center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10175" cy="7343775"/>
            <wp:effectExtent l="0" t="0" r="9525" b="9525"/>
            <wp:docPr id="3" name="图片 3" descr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734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0" w:h="16820"/>
      <w:pgMar w:top="567" w:right="567" w:bottom="567" w:left="567" w:header="290" w:footer="27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B176EC">
    <w:pPr>
      <w:spacing w:line="14" w:lineRule="auto"/>
      <w:rPr>
        <w:sz w:val="20"/>
        <w:szCs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317500</wp:posOffset>
              </wp:positionH>
              <wp:positionV relativeFrom="page">
                <wp:posOffset>10369550</wp:posOffset>
              </wp:positionV>
              <wp:extent cx="4225290" cy="127000"/>
              <wp:effectExtent l="3175" t="0" r="635" b="0"/>
              <wp:wrapNone/>
              <wp:docPr id="2" name="95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2529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FAEF21C">
                          <w:pPr>
                            <w:spacing w:line="184" w:lineRule="exact"/>
                            <w:ind w:left="20"/>
                            <w:rPr>
                              <w:rFonts w:ascii="Arial" w:hAnsi="Arial" w:eastAsia="宋体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hint="eastAsia" w:ascii="Arial" w:eastAsia="宋体"/>
                              <w:sz w:val="16"/>
                            </w:rPr>
                            <w:t>https://</w:t>
                          </w:r>
                          <w:r>
                            <w:fldChar w:fldCharType="begin"/>
                          </w:r>
                          <w:r>
                            <w:instrText xml:space="preserve"> HYPERLINK "http://www.fda.gov/ICECI/ComplianceManuals/CompliancePolicyGuidanceManual/ucm073888.htm" \h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hint="eastAsia" w:ascii="Arial" w:eastAsia="宋体"/>
                              <w:sz w:val="16"/>
                            </w:rPr>
                            <w:t>www.fda.gov/ICECI/ComplianceManuals/CompliancePolicyGuidanceManual/ucm073888.htm</w:t>
                          </w:r>
                          <w:r>
                            <w:rPr>
                              <w:rFonts w:hint="eastAsia" w:ascii="Arial" w:eastAsia="宋体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955" o:spid="_x0000_s1026" o:spt="202" type="#_x0000_t202" style="position:absolute;left:0pt;margin-left:25pt;margin-top:816.5pt;height:10pt;width:332.7pt;mso-position-horizontal-relative:page;mso-position-vertical-relative:page;z-index:-251657216;mso-width-relative:page;mso-height-relative:page;" filled="f" stroked="f" coordsize="21600,21600" o:gfxdata="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gDXVG2QAAAAwBAAAPAAAAAAAAAAEAIAAAACIAAABkcnMvZG93bnJldi54&#10;bWxQSwECFAAUAAAACACHTuJAuXUbcfkBAAD9AwAADgAAAAAAAAABACAAAAAoAQAAZHJzL2Uyb0Rv&#10;Yy54bWxQSwUGAAAAAAYABgBZAQAAk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1FAEF21C">
                    <w:pPr>
                      <w:spacing w:line="184" w:lineRule="exact"/>
                      <w:ind w:left="20"/>
                      <w:rPr>
                        <w:rFonts w:ascii="Arial" w:hAnsi="Arial" w:eastAsia="宋体" w:cs="Arial"/>
                        <w:sz w:val="16"/>
                        <w:szCs w:val="16"/>
                      </w:rPr>
                    </w:pPr>
                    <w:r>
                      <w:rPr>
                        <w:rFonts w:hint="eastAsia" w:ascii="Arial" w:eastAsia="宋体"/>
                        <w:sz w:val="16"/>
                      </w:rPr>
                      <w:t>https://</w:t>
                    </w:r>
                    <w:r>
                      <w:fldChar w:fldCharType="begin"/>
                    </w:r>
                    <w:r>
                      <w:instrText xml:space="preserve"> HYPERLINK "http://www.fda.gov/ICECI/ComplianceManuals/CompliancePolicyGuidanceManual/ucm073888.htm" \h </w:instrText>
                    </w:r>
                    <w:r>
                      <w:fldChar w:fldCharType="separate"/>
                    </w:r>
                    <w:r>
                      <w:rPr>
                        <w:rFonts w:hint="eastAsia" w:ascii="Arial" w:eastAsia="宋体"/>
                        <w:sz w:val="16"/>
                      </w:rPr>
                      <w:t>www.fda.gov/ICECI/ComplianceManuals/CompliancePolicyGuidanceManual/ucm073888.htm</w:t>
                    </w:r>
                    <w:r>
                      <w:rPr>
                        <w:rFonts w:hint="eastAsia" w:ascii="Arial" w:eastAsia="宋体"/>
                        <w:sz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7073900</wp:posOffset>
              </wp:positionH>
              <wp:positionV relativeFrom="page">
                <wp:posOffset>10369550</wp:posOffset>
              </wp:positionV>
              <wp:extent cx="170815" cy="127000"/>
              <wp:effectExtent l="0" t="0" r="3810" b="0"/>
              <wp:wrapNone/>
              <wp:docPr id="1" name="457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81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E814D7C">
                          <w:pPr>
                            <w:spacing w:line="184" w:lineRule="exact"/>
                            <w:ind w:left="40"/>
                            <w:rPr>
                              <w:rFonts w:ascii="Arial" w:hAnsi="Arial" w:eastAsia="宋体" w:cs="Arial"/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hint="eastAsia" w:ascii="Arial" w:eastAsia="宋体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宋体"/>
                              <w:sz w:val="16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 w:ascii="Arial" w:eastAsia="宋体"/>
                              <w:sz w:val="16"/>
                            </w:rPr>
                            <w:t>/2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4576" o:spid="_x0000_s1026" o:spt="202" type="#_x0000_t202" style="position:absolute;left:0pt;margin-left:557pt;margin-top:816.5pt;height:10pt;width:13.45pt;mso-position-horizontal-relative:page;mso-position-vertical-relative:page;z-index:-251657216;mso-width-relative:page;mso-height-relative:page;" filled="f" stroked="f" coordsize="21600,21600" o:gfxdata="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HCQXGzYAAAADwEAAA8AAAAAAAAAAQAgAAAAIgAAAGRycy9kb3ducmV2Lnht&#10;bFBLAQIUABQAAAAIAIdO4kCP8Wpj+QEAAP0DAAAOAAAAAAAAAAEAIAAAACcBAABkcnMvZTJvRG9j&#10;LnhtbFBLBQYAAAAABgAGAFkBAACS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2E814D7C">
                    <w:pPr>
                      <w:spacing w:line="184" w:lineRule="exact"/>
                      <w:ind w:left="40"/>
                      <w:rPr>
                        <w:rFonts w:ascii="Arial" w:hAnsi="Arial" w:eastAsia="宋体" w:cs="Arial"/>
                        <w:sz w:val="16"/>
                        <w:szCs w:val="16"/>
                      </w:rPr>
                    </w:pPr>
                    <w:r>
                      <w:fldChar w:fldCharType="begin"/>
                    </w:r>
                    <w:r>
                      <w:rPr>
                        <w:rFonts w:hint="eastAsia" w:ascii="Arial" w:eastAsia="宋体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Arial" w:eastAsia="宋体"/>
                        <w:sz w:val="16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hint="eastAsia" w:ascii="Arial" w:eastAsia="宋体"/>
                        <w:sz w:val="16"/>
                      </w:rPr>
                      <w:t>/2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8E1D11">
    <w:pPr>
      <w:tabs>
        <w:tab w:val="left" w:pos="3119"/>
      </w:tabs>
      <w:spacing w:line="184" w:lineRule="exact"/>
      <w:ind w:left="20"/>
      <w:rPr>
        <w:rFonts w:ascii="Arial" w:hAnsi="Arial" w:eastAsia="宋体" w:cs="Arial"/>
        <w:sz w:val="15"/>
        <w:szCs w:val="15"/>
      </w:rPr>
    </w:pPr>
    <w:r>
      <w:rPr>
        <w:rFonts w:hint="eastAsia" w:ascii="Arial" w:eastAsia="宋体"/>
        <w:sz w:val="15"/>
        <w:szCs w:val="15"/>
      </w:rPr>
      <w:t>2017年8月10日</w:t>
    </w:r>
    <w:r>
      <w:rPr>
        <w:rFonts w:hint="eastAsia" w:ascii="Arial" w:eastAsia="宋体"/>
        <w:sz w:val="15"/>
        <w:szCs w:val="15"/>
      </w:rPr>
      <w:tab/>
    </w:r>
    <w:r>
      <w:rPr>
        <w:rFonts w:hint="eastAsia" w:ascii="Arial" w:eastAsia="宋体"/>
        <w:sz w:val="15"/>
        <w:szCs w:val="15"/>
      </w:rPr>
      <w:t>合规政策指南&gt;CPG章节300.600 关于上市前通知的商业分配（章节510（k））</w:t>
    </w:r>
  </w:p>
  <w:p w14:paraId="1DF9C866">
    <w:pPr>
      <w:spacing w:line="184" w:lineRule="exact"/>
      <w:ind w:left="20"/>
      <w:rPr>
        <w:rFonts w:ascii="Arial" w:hAnsi="Arial" w:eastAsia="宋体" w:cs="Arial"/>
        <w:sz w:val="15"/>
        <w:szCs w:val="15"/>
      </w:rPr>
    </w:pPr>
  </w:p>
  <w:p w14:paraId="548A59C6">
    <w:pPr>
      <w:spacing w:line="184" w:lineRule="exact"/>
      <w:ind w:left="20"/>
      <w:rPr>
        <w:rFonts w:ascii="Arial" w:hAnsi="Arial" w:eastAsia="宋体" w:cs="Arial"/>
        <w:sz w:val="15"/>
        <w:szCs w:val="15"/>
      </w:rPr>
    </w:pPr>
  </w:p>
  <w:p w14:paraId="62A575BD">
    <w:pPr>
      <w:spacing w:line="184" w:lineRule="exact"/>
      <w:ind w:left="20"/>
      <w:rPr>
        <w:rFonts w:ascii="Arial" w:hAnsi="Arial" w:eastAsia="宋体" w:cs="Arial"/>
        <w:sz w:val="15"/>
        <w:szCs w:val="15"/>
      </w:rPr>
    </w:pPr>
  </w:p>
  <w:p w14:paraId="1565CCE8">
    <w:pPr>
      <w:spacing w:line="14" w:lineRule="auto"/>
      <w:rPr>
        <w:sz w:val="15"/>
        <w:szCs w:val="15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D8227E"/>
    <w:multiLevelType w:val="multilevel"/>
    <w:tmpl w:val="16D8227E"/>
    <w:lvl w:ilvl="0" w:tentative="0">
      <w:start w:val="1"/>
      <w:numFmt w:val="decimal"/>
      <w:lvlText w:val="%1."/>
      <w:lvlJc w:val="left"/>
      <w:pPr>
        <w:ind w:left="612" w:hanging="353"/>
        <w:jc w:val="left"/>
      </w:pPr>
      <w:rPr>
        <w:rFonts w:hint="default" w:ascii="Arial" w:hAnsi="Arial" w:eastAsia="Arial"/>
        <w:spacing w:val="1"/>
        <w:w w:val="102"/>
        <w:sz w:val="28"/>
        <w:szCs w:val="28"/>
      </w:rPr>
    </w:lvl>
    <w:lvl w:ilvl="1" w:tentative="0">
      <w:start w:val="1"/>
      <w:numFmt w:val="bullet"/>
      <w:lvlText w:val="•"/>
      <w:lvlJc w:val="left"/>
      <w:pPr>
        <w:ind w:left="980" w:hanging="353"/>
      </w:pPr>
      <w:rPr>
        <w:rFonts w:hint="default"/>
      </w:rPr>
    </w:lvl>
    <w:lvl w:ilvl="2" w:tentative="0">
      <w:start w:val="1"/>
      <w:numFmt w:val="bullet"/>
      <w:lvlText w:val="•"/>
      <w:lvlJc w:val="left"/>
      <w:pPr>
        <w:ind w:left="2104" w:hanging="353"/>
      </w:pPr>
      <w:rPr>
        <w:rFonts w:hint="default"/>
      </w:rPr>
    </w:lvl>
    <w:lvl w:ilvl="3" w:tentative="0">
      <w:start w:val="1"/>
      <w:numFmt w:val="bullet"/>
      <w:lvlText w:val="•"/>
      <w:lvlJc w:val="left"/>
      <w:pPr>
        <w:ind w:left="3229" w:hanging="353"/>
      </w:pPr>
      <w:rPr>
        <w:rFonts w:hint="default"/>
      </w:rPr>
    </w:lvl>
    <w:lvl w:ilvl="4" w:tentative="0">
      <w:start w:val="1"/>
      <w:numFmt w:val="bullet"/>
      <w:lvlText w:val="•"/>
      <w:lvlJc w:val="left"/>
      <w:pPr>
        <w:ind w:left="4353" w:hanging="353"/>
      </w:pPr>
      <w:rPr>
        <w:rFonts w:hint="default"/>
      </w:rPr>
    </w:lvl>
    <w:lvl w:ilvl="5" w:tentative="0">
      <w:start w:val="1"/>
      <w:numFmt w:val="bullet"/>
      <w:lvlText w:val="•"/>
      <w:lvlJc w:val="left"/>
      <w:pPr>
        <w:ind w:left="5478" w:hanging="353"/>
      </w:pPr>
      <w:rPr>
        <w:rFonts w:hint="default"/>
      </w:rPr>
    </w:lvl>
    <w:lvl w:ilvl="6" w:tentative="0">
      <w:start w:val="1"/>
      <w:numFmt w:val="bullet"/>
      <w:lvlText w:val="•"/>
      <w:lvlJc w:val="left"/>
      <w:pPr>
        <w:ind w:left="6602" w:hanging="353"/>
      </w:pPr>
      <w:rPr>
        <w:rFonts w:hint="default"/>
      </w:rPr>
    </w:lvl>
    <w:lvl w:ilvl="7" w:tentative="0">
      <w:start w:val="1"/>
      <w:numFmt w:val="bullet"/>
      <w:lvlText w:val="•"/>
      <w:lvlJc w:val="left"/>
      <w:pPr>
        <w:ind w:left="7726" w:hanging="353"/>
      </w:pPr>
      <w:rPr>
        <w:rFonts w:hint="default"/>
      </w:rPr>
    </w:lvl>
    <w:lvl w:ilvl="8" w:tentative="0">
      <w:start w:val="1"/>
      <w:numFmt w:val="bullet"/>
      <w:lvlText w:val="•"/>
      <w:lvlJc w:val="left"/>
      <w:pPr>
        <w:ind w:left="8851" w:hanging="35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A76"/>
    <w:rsid w:val="00205EE5"/>
    <w:rsid w:val="002F62DE"/>
    <w:rsid w:val="002F6EC2"/>
    <w:rsid w:val="003D2BA3"/>
    <w:rsid w:val="004D4266"/>
    <w:rsid w:val="005342A5"/>
    <w:rsid w:val="00584A4B"/>
    <w:rsid w:val="00650403"/>
    <w:rsid w:val="006933F4"/>
    <w:rsid w:val="00890705"/>
    <w:rsid w:val="00970F46"/>
    <w:rsid w:val="00A87723"/>
    <w:rsid w:val="00BE720E"/>
    <w:rsid w:val="00CC71C1"/>
    <w:rsid w:val="00D24163"/>
    <w:rsid w:val="00E22ECF"/>
    <w:rsid w:val="00E31111"/>
    <w:rsid w:val="00FF1A76"/>
    <w:rsid w:val="29846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00"/>
    </w:pPr>
    <w:rPr>
      <w:rFonts w:ascii="Arial" w:hAnsi="Arial" w:eastAsia="宋体"/>
      <w:sz w:val="25"/>
      <w:szCs w:val="25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</w:style>
  <w:style w:type="paragraph" w:customStyle="1" w:styleId="9">
    <w:name w:val="Table Paragraph"/>
    <w:basedOn w:val="1"/>
    <w:qFormat/>
    <w:uiPriority w:val="1"/>
  </w:style>
  <w:style w:type="character" w:customStyle="1" w:styleId="10">
    <w:name w:val="页眉 Char"/>
    <w:basedOn w:val="6"/>
    <w:link w:val="4"/>
    <w:uiPriority w:val="99"/>
    <w:rPr>
      <w:sz w:val="18"/>
      <w:szCs w:val="18"/>
    </w:rPr>
  </w:style>
  <w:style w:type="character" w:customStyle="1" w:styleId="11">
    <w:name w:val="页脚 Char"/>
    <w:basedOn w:val="6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SimSun"/>
        <a:cs typeface=""/>
      </a:majorFont>
      <a:minorFont>
        <a:latin typeface="Calibri"/>
        <a:ea typeface="SimSun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641</Words>
  <Characters>1249</Characters>
  <Lines>14</Lines>
  <Paragraphs>4</Paragraphs>
  <TotalTime>0</TotalTime>
  <ScaleCrop>false</ScaleCrop>
  <LinksUpToDate>false</LinksUpToDate>
  <CharactersWithSpaces>1273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2017-11-10T01:52:00Z</dcterms:created>
  <dc:creator>wenrongzhen</dc:creator>
  <cp:lastModifiedBy>太极箫客</cp:lastModifiedBy>
  <dcterms:modified xsi:type="dcterms:W3CDTF">2025-08-14T06:16:12Z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eyJoZGlkIjoiMDJiMzI3ODBiNTFmMWRjNDUyMjM1ZmZjODY5NDc2MWMiLCJ1c2VySWQiOiI0NTQ4Nzg1NzAifQ==</vt:lpwstr>
  </property>
  <property fmtid="{D5CDD505-2E9C-101B-9397-08002B2CF9AE}" pid="3" name="KSOProductBuildVer">
    <vt:lpwstr>2052-12.1.0.21915</vt:lpwstr>
  </property>
  <property fmtid="{D5CDD505-2E9C-101B-9397-08002B2CF9AE}" pid="4" name="ICV">
    <vt:lpwstr>91716A43A02B4EFB81BD30E43079A91E_12</vt:lpwstr>
  </property>
</Properties>
</file>