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1E842">
      <w:pPr>
        <w:overflowPunct w:val="0"/>
        <w:snapToGrid w:val="0"/>
        <w:spacing w:after="120" w:afterLines="50" w:line="300" w:lineRule="auto"/>
        <w:jc w:val="both"/>
        <w:rPr>
          <w:rFonts w:ascii="Times New Roman" w:hAnsi="Times New Roman" w:cs="Times New Roman"/>
          <w:sz w:val="20"/>
          <w:szCs w:val="20"/>
        </w:rPr>
      </w:pPr>
      <w:bookmarkStart w:id="0" w:name="_GoBack"/>
      <w:bookmarkEnd w:id="0"/>
    </w:p>
    <w:p w14:paraId="614F363E">
      <w:pPr>
        <w:overflowPunct w:val="0"/>
        <w:snapToGrid w:val="0"/>
        <w:spacing w:after="120" w:afterLines="50" w:line="300" w:lineRule="auto"/>
        <w:jc w:val="both"/>
        <w:rPr>
          <w:rFonts w:ascii="Times New Roman" w:hAnsi="Times New Roman" w:eastAsia="Times New Roman" w:cs="Times New Roman"/>
          <w:sz w:val="20"/>
          <w:szCs w:val="20"/>
        </w:rPr>
      </w:pPr>
    </w:p>
    <w:p w14:paraId="5103E26F">
      <w:pPr>
        <w:overflowPunct w:val="0"/>
        <w:snapToGrid w:val="0"/>
        <w:spacing w:after="120" w:afterLines="50" w:line="300" w:lineRule="auto"/>
        <w:jc w:val="both"/>
        <w:rPr>
          <w:rFonts w:ascii="Times New Roman" w:hAnsi="Times New Roman" w:eastAsia="Times New Roman" w:cs="Times New Roman"/>
          <w:sz w:val="20"/>
          <w:szCs w:val="20"/>
        </w:rPr>
      </w:pPr>
    </w:p>
    <w:p w14:paraId="640DBDA8">
      <w:pPr>
        <w:overflowPunct w:val="0"/>
        <w:snapToGrid w:val="0"/>
        <w:spacing w:after="120" w:afterLines="50" w:line="300" w:lineRule="auto"/>
        <w:jc w:val="both"/>
        <w:rPr>
          <w:rFonts w:ascii="Times New Roman" w:hAnsi="Times New Roman" w:eastAsia="Times New Roman" w:cs="Times New Roman"/>
          <w:sz w:val="20"/>
          <w:szCs w:val="20"/>
        </w:rPr>
      </w:pPr>
    </w:p>
    <w:p w14:paraId="2A4B5F8D">
      <w:pPr>
        <w:overflowPunct w:val="0"/>
        <w:snapToGrid w:val="0"/>
        <w:spacing w:after="120" w:afterLines="50" w:line="300" w:lineRule="auto"/>
        <w:jc w:val="both"/>
        <w:rPr>
          <w:rFonts w:ascii="Arial" w:hAnsi="Arial" w:eastAsia="宋体" w:cs="Arial"/>
          <w:sz w:val="64"/>
          <w:szCs w:val="64"/>
        </w:rPr>
      </w:pPr>
      <w:r>
        <w:rPr>
          <w:rFonts w:hint="eastAsia" w:ascii="Arial" w:eastAsia="宋体"/>
          <w:b/>
          <w:sz w:val="64"/>
        </w:rPr>
        <w:t>CPG章节300.400 标记为无菌器械的污染</w:t>
      </w:r>
    </w:p>
    <w:p w14:paraId="70161260">
      <w:pPr>
        <w:pStyle w:val="2"/>
        <w:overflowPunct w:val="0"/>
        <w:snapToGrid w:val="0"/>
        <w:spacing w:after="240" w:afterLines="100" w:line="300" w:lineRule="auto"/>
        <w:ind w:left="0"/>
        <w:jc w:val="both"/>
        <w:rPr>
          <w:sz w:val="28"/>
          <w:szCs w:val="28"/>
        </w:rPr>
      </w:pPr>
      <w:r>
        <w:rPr>
          <w:rFonts w:hint="eastAsia"/>
          <w:sz w:val="28"/>
          <w:szCs w:val="28"/>
        </w:rPr>
        <w:t>背景：</w:t>
      </w:r>
    </w:p>
    <w:p w14:paraId="0869E667">
      <w:pPr>
        <w:pStyle w:val="2"/>
        <w:overflowPunct w:val="0"/>
        <w:snapToGrid w:val="0"/>
        <w:spacing w:after="240" w:afterLines="100" w:line="300" w:lineRule="auto"/>
        <w:ind w:left="0"/>
        <w:jc w:val="both"/>
        <w:rPr>
          <w:sz w:val="28"/>
          <w:szCs w:val="28"/>
        </w:rPr>
      </w:pPr>
      <w:r>
        <w:rPr>
          <w:rFonts w:hint="eastAsia"/>
          <w:sz w:val="28"/>
          <w:szCs w:val="28"/>
        </w:rPr>
        <w:t>标记为无菌的某些器械经常用于对微生物的抗性低于正常健康人的衰弱患者。</w:t>
      </w:r>
    </w:p>
    <w:p w14:paraId="11781E80">
      <w:pPr>
        <w:pStyle w:val="2"/>
        <w:overflowPunct w:val="0"/>
        <w:snapToGrid w:val="0"/>
        <w:spacing w:after="240" w:afterLines="100" w:line="300" w:lineRule="auto"/>
        <w:ind w:left="0"/>
        <w:jc w:val="both"/>
        <w:rPr>
          <w:sz w:val="28"/>
          <w:szCs w:val="28"/>
        </w:rPr>
      </w:pPr>
      <w:r>
        <w:rPr>
          <w:rFonts w:hint="eastAsia"/>
          <w:sz w:val="28"/>
          <w:szCs w:val="28"/>
        </w:rPr>
        <w:t>最近的经验表明，标记为无菌且旨在无菌条件下使用的器械可能是非无菌器械。</w:t>
      </w:r>
    </w:p>
    <w:p w14:paraId="39DC9B07">
      <w:pPr>
        <w:pStyle w:val="2"/>
        <w:overflowPunct w:val="0"/>
        <w:snapToGrid w:val="0"/>
        <w:spacing w:after="240" w:afterLines="100" w:line="300" w:lineRule="auto"/>
        <w:ind w:left="0"/>
        <w:jc w:val="both"/>
        <w:rPr>
          <w:sz w:val="28"/>
          <w:szCs w:val="28"/>
        </w:rPr>
      </w:pPr>
      <w:r>
        <w:rPr>
          <w:rFonts w:hint="eastAsia"/>
          <w:sz w:val="28"/>
          <w:szCs w:val="28"/>
        </w:rPr>
        <w:t>政策：</w:t>
      </w:r>
    </w:p>
    <w:p w14:paraId="0B32BC85">
      <w:pPr>
        <w:pStyle w:val="2"/>
        <w:overflowPunct w:val="0"/>
        <w:snapToGrid w:val="0"/>
        <w:spacing w:after="240" w:afterLines="100" w:line="300" w:lineRule="auto"/>
        <w:ind w:left="0"/>
        <w:jc w:val="both"/>
        <w:rPr>
          <w:sz w:val="28"/>
          <w:szCs w:val="28"/>
        </w:rPr>
      </w:pPr>
      <w:r>
        <w:rPr>
          <w:rFonts w:hint="eastAsia"/>
          <w:sz w:val="28"/>
          <w:szCs w:val="28"/>
        </w:rPr>
        <w:t>标示无菌但USP无菌性实验不合格的器械，由于其纯度和质量低于标示，则视为不符合501（c）要求，如果标签声明“无菌”错误或误导性的用于非无菌且被活生物体污染的产品，则视为502（a）条的贴错标签。</w:t>
      </w:r>
    </w:p>
    <w:p w14:paraId="445C94DE">
      <w:pPr>
        <w:pStyle w:val="2"/>
        <w:overflowPunct w:val="0"/>
        <w:snapToGrid w:val="0"/>
        <w:spacing w:after="240" w:afterLines="100" w:line="300" w:lineRule="auto"/>
        <w:ind w:left="0"/>
        <w:jc w:val="both"/>
        <w:rPr>
          <w:sz w:val="28"/>
          <w:szCs w:val="28"/>
        </w:rPr>
      </w:pPr>
      <w:r>
        <w:rPr>
          <w:rFonts w:hint="eastAsia"/>
          <w:sz w:val="28"/>
          <w:szCs w:val="28"/>
        </w:rPr>
        <w:t>由于无菌产品的微生物污染造成的健康危害的严重性，器械的非无菌性应被视为首要任务。应向负责的公司通知我们的调查结果，以便有机会自愿召回其器械。</w:t>
      </w:r>
    </w:p>
    <w:p w14:paraId="5A271D20">
      <w:pPr>
        <w:pStyle w:val="2"/>
        <w:overflowPunct w:val="0"/>
        <w:snapToGrid w:val="0"/>
        <w:spacing w:after="240" w:afterLines="100" w:line="300" w:lineRule="auto"/>
        <w:ind w:left="0"/>
        <w:jc w:val="both"/>
        <w:rPr>
          <w:sz w:val="28"/>
          <w:szCs w:val="28"/>
        </w:rPr>
      </w:pPr>
      <w:r>
        <w:rPr>
          <w:rFonts w:hint="eastAsia"/>
          <w:sz w:val="28"/>
          <w:szCs w:val="28"/>
        </w:rPr>
        <w:t>检查无菌器械时，发现包装有缺陷（缝合处分离，外包装撕裂或穿刺）且包装内容并没有其他保护时，应建议采取适当的法律行动和/或召回。在这种情况下，无需通过无菌性试验确定非无菌性。检查报告、展品和有缺陷包装分析的结果应包括在该区域建议的* HFZ-300 *中。分析结果应包括检查的装置数量、发现缺陷的装置数量、识别的缺陷类型以及每装置发现的孔或缝合处破裂的大小和数量范围。</w:t>
      </w:r>
    </w:p>
    <w:p w14:paraId="3C568F2C">
      <w:pPr>
        <w:pStyle w:val="2"/>
        <w:overflowPunct w:val="0"/>
        <w:snapToGrid w:val="0"/>
        <w:spacing w:after="240" w:afterLines="100" w:line="300" w:lineRule="auto"/>
        <w:ind w:left="0"/>
        <w:jc w:val="both"/>
        <w:rPr>
          <w:sz w:val="28"/>
          <w:szCs w:val="28"/>
        </w:rPr>
      </w:pPr>
      <w:r>
        <w:rPr>
          <w:rFonts w:hint="eastAsia"/>
          <w:sz w:val="28"/>
          <w:szCs w:val="28"/>
        </w:rPr>
        <w:t>在存在不止一个包装或有关包装缺陷的性质是否符合本指南所述条件的问题时，该区域应咨询* HFZ-300 *。</w:t>
      </w:r>
    </w:p>
    <w:p w14:paraId="651EB658">
      <w:pPr>
        <w:pStyle w:val="2"/>
        <w:overflowPunct w:val="0"/>
        <w:snapToGrid w:val="0"/>
        <w:spacing w:after="240" w:afterLines="100" w:line="300" w:lineRule="auto"/>
        <w:ind w:left="0"/>
        <w:jc w:val="both"/>
        <w:rPr>
          <w:sz w:val="28"/>
          <w:szCs w:val="28"/>
        </w:rPr>
      </w:pPr>
      <w:r>
        <w:rPr>
          <w:rFonts w:hint="eastAsia"/>
          <w:sz w:val="28"/>
          <w:szCs w:val="28"/>
        </w:rPr>
        <w:t>*星号之间的材料是新材料或改进材料*</w:t>
      </w:r>
    </w:p>
    <w:p w14:paraId="7F4F2443">
      <w:pPr>
        <w:pStyle w:val="2"/>
        <w:overflowPunct w:val="0"/>
        <w:snapToGrid w:val="0"/>
        <w:spacing w:after="240" w:afterLines="100" w:line="300" w:lineRule="auto"/>
        <w:ind w:left="0"/>
        <w:jc w:val="both"/>
        <w:rPr>
          <w:sz w:val="28"/>
          <w:szCs w:val="28"/>
        </w:rPr>
      </w:pPr>
      <w:r>
        <w:rPr>
          <w:rFonts w:hint="eastAsia"/>
          <w:sz w:val="28"/>
          <w:szCs w:val="28"/>
        </w:rPr>
        <w:t>发布日期：1974年8月23日</w:t>
      </w:r>
    </w:p>
    <w:p w14:paraId="0F50B622">
      <w:pPr>
        <w:overflowPunct w:val="0"/>
        <w:rPr>
          <w:sz w:val="28"/>
          <w:szCs w:val="28"/>
        </w:rPr>
      </w:pPr>
      <w:r>
        <w:rPr>
          <w:sz w:val="28"/>
          <w:szCs w:val="28"/>
        </w:rPr>
        <w:br w:type="page"/>
      </w:r>
    </w:p>
    <w:p w14:paraId="6DF56A9D">
      <w:pPr>
        <w:pStyle w:val="2"/>
        <w:overflowPunct w:val="0"/>
        <w:snapToGrid w:val="0"/>
        <w:spacing w:after="120" w:afterLines="50" w:line="300" w:lineRule="auto"/>
        <w:ind w:left="0"/>
        <w:jc w:val="both"/>
        <w:rPr>
          <w:sz w:val="28"/>
          <w:szCs w:val="28"/>
        </w:rPr>
      </w:pPr>
      <w:r>
        <w:rPr>
          <w:rFonts w:hint="eastAsia"/>
          <w:sz w:val="28"/>
          <w:szCs w:val="28"/>
        </w:rPr>
        <w:t>再发行日期：1976年6月11日</w:t>
      </w:r>
    </w:p>
    <w:p w14:paraId="685CFC99">
      <w:pPr>
        <w:pStyle w:val="2"/>
        <w:overflowPunct w:val="0"/>
        <w:snapToGrid w:val="0"/>
        <w:spacing w:after="120" w:afterLines="50" w:line="300" w:lineRule="auto"/>
        <w:ind w:left="0"/>
        <w:jc w:val="both"/>
        <w:rPr>
          <w:sz w:val="28"/>
          <w:szCs w:val="28"/>
        </w:rPr>
      </w:pPr>
      <w:r>
        <w:rPr>
          <w:rFonts w:hint="eastAsia"/>
          <w:sz w:val="28"/>
          <w:szCs w:val="28"/>
        </w:rPr>
        <w:t>修订日期：1980年10月1日、1987年9月24日、1995年3月</w:t>
      </w:r>
    </w:p>
    <w:p w14:paraId="4D3CF1C4">
      <w:pPr>
        <w:overflowPunct w:val="0"/>
        <w:snapToGrid w:val="0"/>
        <w:spacing w:after="120" w:afterLines="50" w:line="300" w:lineRule="auto"/>
        <w:jc w:val="both"/>
        <w:rPr>
          <w:rFonts w:ascii="Arial" w:hAnsi="Arial" w:eastAsia="Arial" w:cs="Arial"/>
          <w:sz w:val="28"/>
          <w:szCs w:val="28"/>
        </w:rPr>
      </w:pPr>
    </w:p>
    <w:tbl>
      <w:tblPr>
        <w:tblStyle w:val="7"/>
        <w:tblW w:w="5000" w:type="pct"/>
        <w:tblInd w:w="0" w:type="dxa"/>
        <w:tblLayout w:type="autofit"/>
        <w:tblCellMar>
          <w:top w:w="0" w:type="dxa"/>
          <w:left w:w="0" w:type="dxa"/>
          <w:bottom w:w="0" w:type="dxa"/>
          <w:right w:w="0" w:type="dxa"/>
        </w:tblCellMar>
      </w:tblPr>
      <w:tblGrid>
        <w:gridCol w:w="10796"/>
      </w:tblGrid>
      <w:tr w14:paraId="057A0E93">
        <w:tblPrEx>
          <w:tblCellMar>
            <w:top w:w="0" w:type="dxa"/>
            <w:left w:w="0" w:type="dxa"/>
            <w:bottom w:w="0" w:type="dxa"/>
            <w:right w:w="0" w:type="dxa"/>
          </w:tblCellMar>
        </w:tblPrEx>
        <w:tc>
          <w:tcPr>
            <w:tcW w:w="5000" w:type="pct"/>
            <w:tcBorders>
              <w:top w:val="single" w:color="4F81BD" w:themeColor="accent1" w:sz="12" w:space="0"/>
              <w:left w:val="single" w:color="4F81BD" w:themeColor="accent1" w:sz="12" w:space="0"/>
              <w:bottom w:val="single" w:color="4F81BD" w:themeColor="accent1" w:sz="12" w:space="0"/>
              <w:right w:val="single" w:color="4F81BD" w:themeColor="accent1" w:sz="12" w:space="0"/>
            </w:tcBorders>
            <w:vAlign w:val="center"/>
          </w:tcPr>
          <w:p w14:paraId="5930E9C6">
            <w:pPr>
              <w:pStyle w:val="9"/>
              <w:overflowPunct w:val="0"/>
              <w:snapToGrid w:val="0"/>
              <w:spacing w:before="120" w:beforeLines="50" w:after="120" w:afterLines="50" w:line="276" w:lineRule="auto"/>
              <w:ind w:left="44" w:leftChars="20" w:right="44" w:rightChars="20"/>
              <w:rPr>
                <w:sz w:val="24"/>
                <w:szCs w:val="24"/>
              </w:rPr>
            </w:pPr>
            <w:r>
              <w:fldChar w:fldCharType="begin"/>
            </w:r>
            <w:r>
              <w:instrText xml:space="preserve"> HYPERLINK "https://www.fda.gov/ICECI/ComplianceManuals/CompliancePolicyGuidanceManual/default.htm" \h </w:instrText>
            </w:r>
            <w:r>
              <w:fldChar w:fldCharType="separate"/>
            </w:r>
            <w:r>
              <w:rPr>
                <w:rFonts w:hint="eastAsia" w:ascii="Arial" w:eastAsia="宋体"/>
                <w:b/>
                <w:sz w:val="24"/>
                <w:szCs w:val="24"/>
              </w:rPr>
              <w:t>合规政策指南的更多信息</w:t>
            </w:r>
            <w:r>
              <w:rPr>
                <w:rFonts w:ascii="Arial" w:eastAsia="宋体"/>
                <w:b/>
                <w:sz w:val="24"/>
                <w:szCs w:val="24"/>
              </w:rPr>
              <w:br w:type="textWrapping"/>
            </w:r>
            <w:r>
              <w:rPr>
                <w:rFonts w:hint="eastAsia" w:ascii="Arial" w:eastAsia="宋体"/>
                <w:b/>
                <w:sz w:val="24"/>
                <w:szCs w:val="24"/>
                <w:u w:val="single" w:color="000000"/>
              </w:rPr>
              <w:t>(/ICECI/Compliance Manuals/Compliance PolicyGuidance Manual/default.htm)</w:t>
            </w:r>
            <w:r>
              <w:rPr>
                <w:rFonts w:hint="eastAsia" w:ascii="Arial" w:eastAsia="宋体"/>
                <w:b/>
                <w:sz w:val="24"/>
                <w:szCs w:val="24"/>
                <w:u w:val="single" w:color="000000"/>
              </w:rPr>
              <w:fldChar w:fldCharType="end"/>
            </w:r>
          </w:p>
        </w:tc>
      </w:tr>
      <w:tr w14:paraId="3BA1C2E6">
        <w:tblPrEx>
          <w:tblCellMar>
            <w:top w:w="0" w:type="dxa"/>
            <w:left w:w="0" w:type="dxa"/>
            <w:bottom w:w="0" w:type="dxa"/>
            <w:right w:w="0" w:type="dxa"/>
          </w:tblCellMar>
        </w:tblPrEx>
        <w:tc>
          <w:tcPr>
            <w:tcW w:w="5000" w:type="pct"/>
            <w:tcBorders>
              <w:top w:val="single" w:color="4F81BD" w:themeColor="accent1" w:sz="12" w:space="0"/>
              <w:left w:val="single" w:color="DDDDDD" w:sz="6" w:space="0"/>
              <w:bottom w:val="single" w:color="DDDDDD" w:sz="6" w:space="0"/>
              <w:right w:val="single" w:color="DDDDDD" w:sz="6" w:space="0"/>
            </w:tcBorders>
            <w:vAlign w:val="center"/>
          </w:tcPr>
          <w:p w14:paraId="003404AA">
            <w:pPr>
              <w:pStyle w:val="9"/>
              <w:overflowPunct w:val="0"/>
              <w:snapToGrid w:val="0"/>
              <w:spacing w:before="120" w:beforeLines="50" w:after="120" w:afterLines="5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"https://www.fda.gov/ICECI/ComplianceManuals/CompliancePolicyGuidanceManual/ucm116271.htm" \h </w:instrText>
            </w:r>
            <w:r>
              <w:fldChar w:fldCharType="separate"/>
            </w:r>
            <w:r>
              <w:rPr>
                <w:rFonts w:hint="eastAsia" w:ascii="Arial" w:eastAsia="宋体"/>
                <w:b/>
                <w:sz w:val="24"/>
                <w:szCs w:val="24"/>
                <w:u w:val="single" w:color="000000"/>
              </w:rPr>
              <w:t>前言：合规政策指南（CPG）</w:t>
            </w:r>
            <w:r>
              <w:rPr>
                <w:rFonts w:ascii="Arial" w:eastAsia="宋体"/>
                <w:b/>
                <w:sz w:val="24"/>
                <w:szCs w:val="24"/>
                <w:u w:val="single" w:color="000000"/>
              </w:rPr>
              <w:br w:type="textWrapping"/>
            </w:r>
            <w:r>
              <w:rPr>
                <w:rFonts w:hint="eastAsia" w:ascii="Arial" w:eastAsia="宋体"/>
                <w:b/>
                <w:sz w:val="24"/>
                <w:szCs w:val="24"/>
                <w:u w:val="single" w:color="000000"/>
              </w:rPr>
              <w:t>(/ICECI/Compliance Manuals/Compliance PolicyGuidance Manual/ucm116271.htm)</w:t>
            </w:r>
            <w:r>
              <w:rPr>
                <w:rFonts w:hint="eastAsia" w:ascii="Arial" w:eastAsia="宋体"/>
                <w:b/>
                <w:sz w:val="24"/>
                <w:szCs w:val="24"/>
                <w:u w:val="single" w:color="000000"/>
              </w:rPr>
              <w:fldChar w:fldCharType="end"/>
            </w:r>
          </w:p>
        </w:tc>
      </w:tr>
      <w:tr w14:paraId="0BE3F672">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2BDF0C8E">
            <w:pPr>
              <w:pStyle w:val="9"/>
              <w:overflowPunct w:val="0"/>
              <w:snapToGrid w:val="0"/>
              <w:spacing w:before="120" w:beforeLines="50" w:after="120" w:afterLines="5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"https://www.fda.gov/ICECI/ComplianceManuals/CompliancePolicyGuidanceManual/ucm116280.htm" \h </w:instrText>
            </w:r>
            <w:r>
              <w:fldChar w:fldCharType="separate"/>
            </w:r>
            <w:r>
              <w:rPr>
                <w:rFonts w:hint="eastAsia" w:ascii="Arial" w:eastAsia="宋体"/>
                <w:b/>
                <w:sz w:val="24"/>
                <w:szCs w:val="24"/>
                <w:u w:val="single" w:color="000000"/>
              </w:rPr>
              <w:t>第一章-通则</w:t>
            </w:r>
            <w:r>
              <w:rPr>
                <w:rFonts w:ascii="Arial" w:eastAsia="宋体"/>
                <w:b/>
                <w:sz w:val="24"/>
                <w:szCs w:val="24"/>
                <w:u w:val="single" w:color="000000"/>
              </w:rPr>
              <w:br w:type="textWrapping"/>
            </w:r>
            <w:r>
              <w:rPr>
                <w:rFonts w:hint="eastAsia" w:ascii="Arial" w:eastAsia="宋体"/>
                <w:b/>
                <w:sz w:val="24"/>
                <w:szCs w:val="24"/>
                <w:u w:val="single" w:color="000000"/>
              </w:rPr>
              <w:t>(/ICECI/Compliance Manuals/Compliance PolicyGuidance Manual/ucm116280.htm)</w:t>
            </w:r>
            <w:r>
              <w:rPr>
                <w:rFonts w:hint="eastAsia" w:ascii="Arial" w:eastAsia="宋体"/>
                <w:b/>
                <w:sz w:val="24"/>
                <w:szCs w:val="24"/>
                <w:u w:val="single" w:color="000000"/>
              </w:rPr>
              <w:fldChar w:fldCharType="end"/>
            </w:r>
          </w:p>
        </w:tc>
      </w:tr>
      <w:tr w14:paraId="70E79016">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20835F46">
            <w:pPr>
              <w:pStyle w:val="9"/>
              <w:overflowPunct w:val="0"/>
              <w:snapToGrid w:val="0"/>
              <w:spacing w:before="120" w:beforeLines="50" w:after="120" w:afterLines="5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"https://www.fda.gov/ICECI/ComplianceManuals/CompliancePolicyGuidanceManual/ucm116336.htm" \h </w:instrText>
            </w:r>
            <w:r>
              <w:fldChar w:fldCharType="separate"/>
            </w:r>
            <w:r>
              <w:rPr>
                <w:rFonts w:hint="eastAsia" w:ascii="Arial" w:eastAsia="宋体"/>
                <w:b/>
                <w:sz w:val="24"/>
                <w:szCs w:val="24"/>
                <w:u w:val="single" w:color="000000"/>
              </w:rPr>
              <w:t>第二章-生物制剂</w:t>
            </w:r>
            <w:r>
              <w:rPr>
                <w:rFonts w:ascii="Arial" w:eastAsia="宋体"/>
                <w:b/>
                <w:sz w:val="24"/>
                <w:szCs w:val="24"/>
                <w:u w:val="single" w:color="000000"/>
              </w:rPr>
              <w:br w:type="textWrapping"/>
            </w:r>
            <w:r>
              <w:rPr>
                <w:rFonts w:hint="eastAsia" w:ascii="Arial" w:eastAsia="宋体"/>
                <w:b/>
                <w:sz w:val="24"/>
                <w:szCs w:val="24"/>
                <w:u w:val="single" w:color="000000"/>
              </w:rPr>
              <w:t>(/ICECI/Compliance Manuals/Compliance PolicyGuidance Manual/ucm116336.htm)</w:t>
            </w:r>
            <w:r>
              <w:rPr>
                <w:rFonts w:hint="eastAsia" w:ascii="Arial" w:eastAsia="宋体"/>
                <w:b/>
                <w:sz w:val="24"/>
                <w:szCs w:val="24"/>
                <w:u w:val="single" w:color="000000"/>
              </w:rPr>
              <w:fldChar w:fldCharType="end"/>
            </w:r>
          </w:p>
        </w:tc>
      </w:tr>
      <w:tr w14:paraId="047BEB35">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2B0E1D33">
            <w:pPr>
              <w:pStyle w:val="9"/>
              <w:overflowPunct w:val="0"/>
              <w:snapToGrid w:val="0"/>
              <w:spacing w:before="120" w:beforeLines="50" w:after="120" w:afterLines="5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"https://www.fda.gov/ICECI/ComplianceManuals/CompliancePolicyGuidanceManual/ucm116801.htm" \h </w:instrText>
            </w:r>
            <w:r>
              <w:fldChar w:fldCharType="separate"/>
            </w:r>
            <w:r>
              <w:rPr>
                <w:rFonts w:hint="eastAsia" w:ascii="Arial" w:eastAsia="宋体"/>
                <w:b/>
                <w:sz w:val="24"/>
                <w:szCs w:val="24"/>
                <w:u w:val="single" w:color="000000"/>
              </w:rPr>
              <w:t>第三章-器械</w:t>
            </w:r>
            <w:r>
              <w:rPr>
                <w:rFonts w:ascii="Arial" w:eastAsia="宋体"/>
                <w:b/>
                <w:sz w:val="24"/>
                <w:szCs w:val="24"/>
                <w:u w:val="single" w:color="000000"/>
              </w:rPr>
              <w:br w:type="textWrapping"/>
            </w:r>
            <w:r>
              <w:rPr>
                <w:rFonts w:hint="eastAsia" w:ascii="Arial" w:eastAsia="宋体"/>
                <w:b/>
                <w:sz w:val="24"/>
                <w:szCs w:val="24"/>
                <w:u w:val="single" w:color="000000"/>
              </w:rPr>
              <w:t>(/ICECI/Compliance Manuals/Compliance PolicyGuidance Manual/ucm116801.htm)</w:t>
            </w:r>
            <w:r>
              <w:rPr>
                <w:rFonts w:hint="eastAsia" w:ascii="Arial" w:eastAsia="宋体"/>
                <w:b/>
                <w:sz w:val="24"/>
                <w:szCs w:val="24"/>
                <w:u w:val="single" w:color="000000"/>
              </w:rPr>
              <w:fldChar w:fldCharType="end"/>
            </w:r>
          </w:p>
        </w:tc>
      </w:tr>
      <w:tr w14:paraId="4DF69B34">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0444570A">
            <w:pPr>
              <w:pStyle w:val="9"/>
              <w:overflowPunct w:val="0"/>
              <w:snapToGrid w:val="0"/>
              <w:spacing w:before="120" w:beforeLines="50" w:after="120" w:afterLines="5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"https://www.fda.gov/ICECI/ComplianceManuals/CompliancePolicyGuidanceManual/ucm119572.htm" \h </w:instrText>
            </w:r>
            <w:r>
              <w:fldChar w:fldCharType="separate"/>
            </w:r>
            <w:r>
              <w:rPr>
                <w:rFonts w:hint="eastAsia" w:ascii="Arial" w:eastAsia="宋体"/>
                <w:b/>
                <w:sz w:val="24"/>
                <w:szCs w:val="24"/>
                <w:u w:val="single" w:color="000000"/>
              </w:rPr>
              <w:t>第四章-人用药品</w:t>
            </w:r>
            <w:r>
              <w:rPr>
                <w:rFonts w:ascii="Arial" w:eastAsia="宋体"/>
                <w:b/>
                <w:sz w:val="24"/>
                <w:szCs w:val="24"/>
                <w:u w:val="single" w:color="000000"/>
              </w:rPr>
              <w:br w:type="textWrapping"/>
            </w:r>
            <w:r>
              <w:rPr>
                <w:rFonts w:hint="eastAsia" w:ascii="Arial" w:eastAsia="宋体"/>
                <w:b/>
                <w:sz w:val="24"/>
                <w:szCs w:val="24"/>
                <w:u w:val="single" w:color="000000"/>
              </w:rPr>
              <w:t>(/ICECI/Compliance Manuals/Compliance PolicyGuidance Manual/ucm119572.htm)</w:t>
            </w:r>
            <w:r>
              <w:rPr>
                <w:rFonts w:hint="eastAsia" w:ascii="Arial" w:eastAsia="宋体"/>
                <w:b/>
                <w:sz w:val="24"/>
                <w:szCs w:val="24"/>
                <w:u w:val="single" w:color="000000"/>
              </w:rPr>
              <w:fldChar w:fldCharType="end"/>
            </w:r>
          </w:p>
        </w:tc>
      </w:tr>
      <w:tr w14:paraId="64BAED4A">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3C4DF3ED">
            <w:pPr>
              <w:pStyle w:val="9"/>
              <w:overflowPunct w:val="0"/>
              <w:snapToGrid w:val="0"/>
              <w:spacing w:before="120" w:beforeLines="50" w:after="120" w:afterLines="5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"https://www.fda.gov/ICECI/ComplianceManuals/CompliancePolicyGuidanceManual/ucm119194.htm" \h </w:instrText>
            </w:r>
            <w:r>
              <w:fldChar w:fldCharType="separate"/>
            </w:r>
            <w:r>
              <w:rPr>
                <w:rFonts w:hint="eastAsia" w:ascii="Arial" w:eastAsia="宋体"/>
                <w:b/>
                <w:sz w:val="24"/>
                <w:szCs w:val="24"/>
                <w:u w:val="single" w:color="000000"/>
              </w:rPr>
              <w:t>第五章-食品、颜料和化妆品</w:t>
            </w:r>
            <w:r>
              <w:rPr>
                <w:rFonts w:ascii="Arial" w:eastAsia="宋体"/>
                <w:b/>
                <w:sz w:val="24"/>
                <w:szCs w:val="24"/>
                <w:u w:val="single" w:color="000000"/>
              </w:rPr>
              <w:br w:type="textWrapping"/>
            </w:r>
            <w:r>
              <w:rPr>
                <w:rFonts w:hint="eastAsia" w:ascii="Arial" w:eastAsia="宋体"/>
                <w:b/>
                <w:sz w:val="24"/>
                <w:szCs w:val="24"/>
                <w:u w:val="single" w:color="000000"/>
              </w:rPr>
              <w:t>(/ICECI/Compliance Manuals/Compliance PolicyGuidance Manual/ucm119194.htm)</w:t>
            </w:r>
            <w:r>
              <w:rPr>
                <w:rFonts w:hint="eastAsia" w:ascii="Arial" w:eastAsia="宋体"/>
                <w:b/>
                <w:sz w:val="24"/>
                <w:szCs w:val="24"/>
                <w:u w:val="single" w:color="000000"/>
              </w:rPr>
              <w:fldChar w:fldCharType="end"/>
            </w:r>
          </w:p>
        </w:tc>
      </w:tr>
      <w:tr w14:paraId="73D9D3BF">
        <w:tblPrEx>
          <w:tblCellMar>
            <w:top w:w="0" w:type="dxa"/>
            <w:left w:w="0" w:type="dxa"/>
            <w:bottom w:w="0" w:type="dxa"/>
            <w:right w:w="0" w:type="dxa"/>
          </w:tblCellMar>
        </w:tblPrEx>
        <w:tc>
          <w:tcPr>
            <w:tcW w:w="5000" w:type="pct"/>
            <w:tcBorders>
              <w:top w:val="single" w:color="DDDDDD" w:sz="6" w:space="0"/>
              <w:left w:val="single" w:color="DDDDDD" w:sz="6" w:space="0"/>
              <w:bottom w:val="single" w:color="DDDDDD" w:sz="6" w:space="0"/>
              <w:right w:val="single" w:color="DDDDDD" w:sz="6" w:space="0"/>
            </w:tcBorders>
            <w:vAlign w:val="center"/>
          </w:tcPr>
          <w:p w14:paraId="75C85FFD">
            <w:pPr>
              <w:overflowPunct w:val="0"/>
              <w:snapToGrid w:val="0"/>
              <w:spacing w:before="120" w:beforeLines="50" w:after="120" w:afterLines="5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"https://www.fda.gov/ICECI/ComplianceManuals/CompliancePolicyGuidanceManual/ucm117042.htm" \h </w:instrText>
            </w:r>
            <w:r>
              <w:fldChar w:fldCharType="separate"/>
            </w:r>
            <w:r>
              <w:rPr>
                <w:rFonts w:hint="eastAsia" w:ascii="Arial" w:eastAsia="宋体"/>
                <w:b/>
                <w:sz w:val="24"/>
                <w:szCs w:val="24"/>
                <w:u w:val="single" w:color="000000"/>
              </w:rPr>
              <w:t>第六章-兽医医学</w:t>
            </w:r>
            <w:r>
              <w:rPr>
                <w:rFonts w:ascii="Arial" w:eastAsia="宋体"/>
                <w:b/>
                <w:sz w:val="24"/>
                <w:szCs w:val="24"/>
                <w:u w:val="single" w:color="000000"/>
              </w:rPr>
              <w:br w:type="textWrapping"/>
            </w:r>
            <w:r>
              <w:rPr>
                <w:rFonts w:hint="eastAsia" w:ascii="Arial" w:eastAsia="宋体"/>
                <w:b/>
                <w:sz w:val="24"/>
                <w:szCs w:val="24"/>
                <w:u w:val="single" w:color="000000"/>
              </w:rPr>
              <w:t>(/ICECI/Compliance Manuals/Compliance PolicyGuidance Manual/ucm117042.htm)</w:t>
            </w:r>
            <w:r>
              <w:rPr>
                <w:rFonts w:hint="eastAsia" w:ascii="Arial" w:eastAsia="宋体"/>
                <w:b/>
                <w:sz w:val="24"/>
                <w:szCs w:val="24"/>
                <w:u w:val="single" w:color="000000"/>
              </w:rPr>
              <w:fldChar w:fldCharType="end"/>
            </w:r>
          </w:p>
        </w:tc>
      </w:tr>
    </w:tbl>
    <w:p w14:paraId="768A5B28">
      <w:pPr>
        <w:overflowPunct w:val="0"/>
        <w:snapToGrid w:val="0"/>
        <w:spacing w:after="120" w:afterLines="50" w:line="300" w:lineRule="auto"/>
        <w:jc w:val="both"/>
        <w:rPr>
          <w:sz w:val="28"/>
          <w:szCs w:val="28"/>
        </w:rPr>
      </w:pPr>
    </w:p>
    <w:p w14:paraId="2363012C">
      <w:pPr>
        <w:overflowPunct w:val="0"/>
        <w:snapToGrid w:val="0"/>
        <w:spacing w:after="120" w:afterLines="50" w:line="300" w:lineRule="auto"/>
        <w:jc w:val="both"/>
        <w:rPr>
          <w:rFonts w:hint="eastAsia" w:eastAsia="宋体"/>
          <w:lang w:eastAsia="zh-CN"/>
        </w:rPr>
      </w:pPr>
    </w:p>
    <w:p w14:paraId="100D788D">
      <w:pPr>
        <w:overflowPunct w:val="0"/>
        <w:snapToGrid w:val="0"/>
        <w:spacing w:after="120" w:afterLines="50" w:line="300" w:lineRule="auto"/>
        <w:jc w:val="center"/>
        <w:rPr>
          <w:rFonts w:hint="eastAsia" w:eastAsia="宋体"/>
          <w:lang w:eastAsia="zh-CN"/>
        </w:rPr>
      </w:pPr>
    </w:p>
    <w:p w14:paraId="26512EB2">
      <w:pPr>
        <w:overflowPunct w:val="0"/>
        <w:snapToGrid w:val="0"/>
        <w:spacing w:after="120" w:after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0" w:h="16820"/>
      <w:pgMar w:top="567" w:right="567" w:bottom="567" w:left="567" w:header="290" w:footer="27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97778">
    <w:pPr>
      <w:tabs>
        <w:tab w:val="right" w:pos="10773"/>
      </w:tabs>
      <w:spacing w:line="184" w:lineRule="exact"/>
      <w:ind w:left="40"/>
      <w:rPr>
        <w:rFonts w:ascii="Arial" w:hAnsi="Arial" w:eastAsia="宋体" w:cs="Arial"/>
        <w:sz w:val="15"/>
        <w:szCs w:val="15"/>
      </w:rPr>
    </w:pPr>
    <w:r>
      <w:rPr>
        <w:rFonts w:ascii="Arial" w:hAnsi="Arial" w:eastAsia="宋体" w:cs="Arial"/>
        <w:sz w:val="15"/>
        <w:szCs w:val="15"/>
      </w:rPr>
      <w:t>https://</w:t>
    </w:r>
    <w:r>
      <w:fldChar w:fldCharType="begin"/>
    </w:r>
    <w:r>
      <w:instrText xml:space="preserve"> HYPERLINK "http://www.fda.gov/ICECI/ComplianceManuals/CompliancePolicyGuidanceManual/ucm123127.htm" \h </w:instrText>
    </w:r>
    <w:r>
      <w:fldChar w:fldCharType="separate"/>
    </w:r>
    <w:r>
      <w:rPr>
        <w:rFonts w:ascii="Arial" w:hAnsi="Arial" w:eastAsia="宋体" w:cs="Arial"/>
        <w:sz w:val="15"/>
        <w:szCs w:val="15"/>
      </w:rPr>
      <w:t>www.fda.gov/ICECI/ComplianceManuals/CompliancePolicyGuidanceManual/ucm123127.htm</w:t>
    </w:r>
    <w:r>
      <w:rPr>
        <w:rFonts w:ascii="Arial" w:hAnsi="Arial" w:eastAsia="宋体" w:cs="Arial"/>
        <w:sz w:val="15"/>
        <w:szCs w:val="15"/>
      </w:rPr>
      <w:fldChar w:fldCharType="end"/>
    </w:r>
    <w:r>
      <w:rPr>
        <w:rFonts w:ascii="Arial" w:hAnsi="Arial" w:eastAsia="宋体" w:cs="Arial"/>
        <w:sz w:val="15"/>
        <w:szCs w:val="15"/>
      </w:rPr>
      <w:tab/>
    </w:r>
    <w:r>
      <w:rPr>
        <w:rFonts w:ascii="Arial" w:hAnsi="Arial" w:cs="Arial"/>
        <w:sz w:val="15"/>
        <w:szCs w:val="15"/>
      </w:rPr>
      <w:fldChar w:fldCharType="begin"/>
    </w:r>
    <w:r>
      <w:rPr>
        <w:rFonts w:ascii="Arial" w:hAnsi="Arial" w:eastAsia="宋体" w:cs="Arial"/>
        <w:sz w:val="15"/>
        <w:szCs w:val="15"/>
      </w:rPr>
      <w:instrText xml:space="preserve"> PAGE </w:instrText>
    </w:r>
    <w:r>
      <w:rPr>
        <w:rFonts w:ascii="Arial" w:hAnsi="Arial" w:cs="Arial"/>
        <w:sz w:val="15"/>
        <w:szCs w:val="15"/>
      </w:rPr>
      <w:fldChar w:fldCharType="separate"/>
    </w:r>
    <w:r>
      <w:rPr>
        <w:rFonts w:ascii="Arial" w:hAnsi="Arial" w:eastAsia="宋体" w:cs="Arial"/>
        <w:sz w:val="15"/>
        <w:szCs w:val="15"/>
      </w:rPr>
      <w:t>2</w:t>
    </w:r>
    <w:r>
      <w:rPr>
        <w:rFonts w:ascii="Arial" w:hAnsi="Arial" w:cs="Arial"/>
        <w:sz w:val="15"/>
        <w:szCs w:val="15"/>
      </w:rPr>
      <w:fldChar w:fldCharType="end"/>
    </w:r>
    <w:r>
      <w:rPr>
        <w:rFonts w:ascii="Arial" w:hAnsi="Arial" w:eastAsia="宋体" w:cs="Arial"/>
        <w:sz w:val="15"/>
        <w:szCs w:val="15"/>
      </w:rPr>
      <w:t>/2</w:t>
    </w:r>
  </w:p>
  <w:p w14:paraId="7EC53DD0">
    <w:pPr>
      <w:spacing w:line="14" w:lineRule="auto"/>
      <w:rPr>
        <w:rFonts w:ascii="Arial" w:hAnsi="Arial" w:cs="Arial"/>
        <w:sz w:val="15"/>
        <w:szCs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03017">
    <w:pPr>
      <w:tabs>
        <w:tab w:val="left" w:pos="3686"/>
      </w:tabs>
      <w:spacing w:line="184" w:lineRule="exact"/>
      <w:ind w:left="20"/>
      <w:rPr>
        <w:rFonts w:ascii="Arial" w:hAnsi="Arial" w:eastAsia="宋体" w:cs="Arial"/>
        <w:sz w:val="15"/>
        <w:szCs w:val="15"/>
      </w:rPr>
    </w:pPr>
    <w:r>
      <w:rPr>
        <w:rFonts w:hint="eastAsia" w:ascii="Arial" w:eastAsia="宋体"/>
        <w:sz w:val="15"/>
        <w:szCs w:val="15"/>
      </w:rPr>
      <w:t>2017年8月10日</w:t>
    </w:r>
    <w:r>
      <w:rPr>
        <w:rFonts w:hint="eastAsia" w:ascii="Arial" w:eastAsia="宋体"/>
        <w:sz w:val="15"/>
        <w:szCs w:val="15"/>
      </w:rPr>
      <w:tab/>
    </w:r>
    <w:r>
      <w:rPr>
        <w:rFonts w:hint="eastAsia" w:ascii="Arial" w:eastAsia="宋体"/>
        <w:sz w:val="15"/>
        <w:szCs w:val="15"/>
      </w:rPr>
      <w:t>合规政策指南&gt;CPG章节300.400 标记为无菌的器械污染</w:t>
    </w:r>
  </w:p>
  <w:p w14:paraId="3CC17E89">
    <w:pPr>
      <w:spacing w:line="184" w:lineRule="exact"/>
      <w:ind w:left="20"/>
      <w:rPr>
        <w:rFonts w:ascii="Arial" w:hAnsi="Arial" w:eastAsia="宋体" w:cs="Arial"/>
        <w:sz w:val="15"/>
        <w:szCs w:val="15"/>
      </w:rPr>
    </w:pPr>
  </w:p>
  <w:p w14:paraId="7D1A4998">
    <w:pPr>
      <w:spacing w:line="184" w:lineRule="exact"/>
      <w:ind w:left="20"/>
      <w:rPr>
        <w:rFonts w:ascii="Arial" w:hAnsi="Arial" w:eastAsia="宋体" w:cs="Arial"/>
        <w:sz w:val="15"/>
        <w:szCs w:val="15"/>
      </w:rPr>
    </w:pPr>
  </w:p>
  <w:p w14:paraId="2479AEB2">
    <w:pPr>
      <w:spacing w:line="184" w:lineRule="exact"/>
      <w:ind w:left="20"/>
      <w:rPr>
        <w:rFonts w:ascii="Arial" w:hAnsi="Arial" w:eastAsia="宋体" w:cs="Arial"/>
        <w:sz w:val="15"/>
        <w:szCs w:val="15"/>
      </w:rPr>
    </w:pPr>
  </w:p>
  <w:p w14:paraId="0A763425">
    <w:pPr>
      <w:spacing w:line="14" w:lineRule="auto"/>
      <w:rPr>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3D6"/>
    <w:rsid w:val="00014366"/>
    <w:rsid w:val="00073DFA"/>
    <w:rsid w:val="0018077C"/>
    <w:rsid w:val="00280B1A"/>
    <w:rsid w:val="003C3A4E"/>
    <w:rsid w:val="004A594A"/>
    <w:rsid w:val="006B33A4"/>
    <w:rsid w:val="007D257D"/>
    <w:rsid w:val="007F28F7"/>
    <w:rsid w:val="008E33E7"/>
    <w:rsid w:val="009445D1"/>
    <w:rsid w:val="009709CC"/>
    <w:rsid w:val="00A103D6"/>
    <w:rsid w:val="00C82CA6"/>
    <w:rsid w:val="00FD2289"/>
    <w:rsid w:val="43B60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0"/>
    </w:pPr>
    <w:rPr>
      <w:rFonts w:ascii="Arial" w:hAnsi="Arial" w:eastAsia="宋体"/>
      <w:sz w:val="25"/>
      <w:szCs w:val="25"/>
    </w:rPr>
  </w:style>
  <w:style w:type="paragraph" w:styleId="3">
    <w:name w:val="footer"/>
    <w:basedOn w:val="1"/>
    <w:link w:val="11"/>
    <w:unhideWhenUsed/>
    <w:qFormat/>
    <w:uiPriority w:val="99"/>
    <w:pPr>
      <w:tabs>
        <w:tab w:val="center" w:pos="4153"/>
        <w:tab w:val="right" w:pos="8306"/>
      </w:tabs>
      <w:snapToGrid w:val="0"/>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639</Words>
  <Characters>1220</Characters>
  <Lines>15</Lines>
  <Paragraphs>4</Paragraphs>
  <TotalTime>1</TotalTime>
  <ScaleCrop>false</ScaleCrop>
  <LinksUpToDate>false</LinksUpToDate>
  <CharactersWithSpaces>1249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2017-11-10T01:51:00Z</dcterms:created>
  <dc:creator>wenrongzhen</dc:creator>
  <cp:lastModifiedBy>太极箫客</cp:lastModifiedBy>
  <dcterms:modified xsi:type="dcterms:W3CDTF">2025-08-14T06:16:11Z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C5FAADB737A84599A33686274F09FA29_12</vt:lpwstr>
  </property>
</Properties>
</file>