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7E3F1">
      <w:pPr>
        <w:overflowPunct w:val="0"/>
        <w:snapToGrid w:val="0"/>
        <w:spacing w:after="120" w:afterLines="50" w:line="300" w:lineRule="auto"/>
        <w:jc w:val="both"/>
        <w:rPr>
          <w:rFonts w:ascii="Arial" w:hAnsi="Arial" w:eastAsia="宋体" w:cs="Arial"/>
          <w:sz w:val="20"/>
          <w:szCs w:val="20"/>
        </w:rPr>
      </w:pPr>
      <w:bookmarkStart w:id="0" w:name="_GoBack"/>
      <w:bookmarkEnd w:id="0"/>
    </w:p>
    <w:p w14:paraId="21378ED6">
      <w:pPr>
        <w:overflowPunct w:val="0"/>
        <w:snapToGrid w:val="0"/>
        <w:spacing w:after="120" w:afterLines="50" w:line="300" w:lineRule="auto"/>
        <w:jc w:val="both"/>
        <w:rPr>
          <w:rFonts w:ascii="Arial" w:hAnsi="Arial" w:eastAsia="宋体" w:cs="Arial"/>
          <w:sz w:val="20"/>
          <w:szCs w:val="20"/>
        </w:rPr>
      </w:pPr>
    </w:p>
    <w:p w14:paraId="62614FB2">
      <w:pPr>
        <w:overflowPunct w:val="0"/>
        <w:snapToGrid w:val="0"/>
        <w:spacing w:after="120" w:afterLines="50" w:line="300" w:lineRule="auto"/>
        <w:jc w:val="both"/>
        <w:rPr>
          <w:rFonts w:ascii="Arial" w:hAnsi="Arial" w:eastAsia="宋体" w:cs="Arial"/>
          <w:sz w:val="20"/>
          <w:szCs w:val="20"/>
        </w:rPr>
      </w:pPr>
    </w:p>
    <w:p w14:paraId="1451BE1D">
      <w:pPr>
        <w:overflowPunct w:val="0"/>
        <w:snapToGrid w:val="0"/>
        <w:spacing w:after="120" w:afterLines="50" w:line="300" w:lineRule="auto"/>
        <w:jc w:val="both"/>
        <w:rPr>
          <w:rFonts w:ascii="Arial" w:hAnsi="Arial" w:eastAsia="宋体" w:cs="Arial"/>
          <w:sz w:val="20"/>
          <w:szCs w:val="20"/>
        </w:rPr>
      </w:pPr>
    </w:p>
    <w:p w14:paraId="57B3AA10">
      <w:pPr>
        <w:overflowPunct w:val="0"/>
        <w:snapToGrid w:val="0"/>
        <w:spacing w:after="120" w:afterLines="50" w:line="300" w:lineRule="auto"/>
        <w:jc w:val="both"/>
        <w:rPr>
          <w:rFonts w:ascii="Arial" w:hAnsi="Arial" w:eastAsia="宋体" w:cs="Arial"/>
          <w:sz w:val="64"/>
          <w:szCs w:val="64"/>
        </w:rPr>
      </w:pPr>
      <w:r>
        <w:rPr>
          <w:rFonts w:ascii="Arial" w:hAnsi="Arial" w:eastAsia="宋体" w:cs="Arial"/>
          <w:b/>
          <w:sz w:val="64"/>
        </w:rPr>
        <w:t>CPG章节160.500 刑事诉讼咨询解答</w:t>
      </w:r>
    </w:p>
    <w:p w14:paraId="3C944423">
      <w:pPr>
        <w:pStyle w:val="2"/>
        <w:overflowPunct w:val="0"/>
        <w:snapToGrid w:val="0"/>
        <w:spacing w:after="120" w:afterLines="50" w:line="300" w:lineRule="auto"/>
        <w:ind w:left="0"/>
        <w:jc w:val="both"/>
        <w:rPr>
          <w:rFonts w:cs="Arial"/>
          <w:sz w:val="28"/>
          <w:szCs w:val="28"/>
        </w:rPr>
      </w:pPr>
      <w:r>
        <w:rPr>
          <w:rFonts w:cs="Arial"/>
          <w:sz w:val="28"/>
          <w:szCs w:val="28"/>
        </w:rPr>
        <w:t>背景：</w:t>
      </w:r>
    </w:p>
    <w:p w14:paraId="708EB512">
      <w:pPr>
        <w:pStyle w:val="2"/>
        <w:overflowPunct w:val="0"/>
        <w:snapToGrid w:val="0"/>
        <w:spacing w:after="120" w:afterLines="50" w:line="300" w:lineRule="auto"/>
        <w:ind w:left="0"/>
        <w:jc w:val="both"/>
        <w:rPr>
          <w:rFonts w:cs="Arial"/>
          <w:sz w:val="28"/>
          <w:szCs w:val="28"/>
        </w:rPr>
      </w:pPr>
      <w:r>
        <w:rPr>
          <w:rFonts w:cs="Arial"/>
          <w:sz w:val="28"/>
          <w:szCs w:val="28"/>
        </w:rPr>
        <w:t>在潜在刑事案件之前，通常有机会让拟定的被告提出关于他们对刑事诉讼是否应提交给美国律师的意见。潜在的被告、其律师和/或其代表在第305条会议之后联系地区总部办公室，咨询机构的决定和案件的状况并不罕见。以下政策适用于此类人群的咨询。</w:t>
      </w:r>
    </w:p>
    <w:p w14:paraId="7A2BE236">
      <w:pPr>
        <w:pStyle w:val="2"/>
        <w:overflowPunct w:val="0"/>
        <w:snapToGrid w:val="0"/>
        <w:spacing w:after="120" w:afterLines="50" w:line="300" w:lineRule="auto"/>
        <w:ind w:left="0"/>
        <w:jc w:val="both"/>
        <w:rPr>
          <w:rFonts w:cs="Arial"/>
          <w:sz w:val="28"/>
          <w:szCs w:val="28"/>
        </w:rPr>
      </w:pPr>
      <w:r>
        <w:rPr>
          <w:rFonts w:cs="Arial"/>
          <w:sz w:val="28"/>
          <w:szCs w:val="28"/>
        </w:rPr>
        <w:t>政策：</w:t>
      </w:r>
    </w:p>
    <w:p w14:paraId="79608A62">
      <w:pPr>
        <w:pStyle w:val="2"/>
        <w:numPr>
          <w:ilvl w:val="0"/>
          <w:numId w:val="1"/>
        </w:numPr>
        <w:tabs>
          <w:tab w:val="left" w:pos="613"/>
        </w:tabs>
        <w:overflowPunct w:val="0"/>
        <w:snapToGrid w:val="0"/>
        <w:spacing w:after="120" w:afterLines="50" w:line="300" w:lineRule="auto"/>
        <w:ind w:left="352" w:hanging="352"/>
        <w:jc w:val="both"/>
        <w:rPr>
          <w:rFonts w:cs="Arial"/>
          <w:sz w:val="28"/>
          <w:szCs w:val="28"/>
        </w:rPr>
      </w:pPr>
      <w:r>
        <w:rPr>
          <w:rFonts w:cs="Arial"/>
          <w:sz w:val="28"/>
          <w:szCs w:val="28"/>
        </w:rPr>
        <w:t>如果是真的，则可以建议咨询者做出不提出起诉的决定。</w:t>
      </w:r>
    </w:p>
    <w:p w14:paraId="3C971179">
      <w:pPr>
        <w:pStyle w:val="2"/>
        <w:numPr>
          <w:ilvl w:val="0"/>
          <w:numId w:val="1"/>
        </w:numPr>
        <w:tabs>
          <w:tab w:val="left" w:pos="613"/>
        </w:tabs>
        <w:overflowPunct w:val="0"/>
        <w:snapToGrid w:val="0"/>
        <w:spacing w:after="120" w:afterLines="50" w:line="300" w:lineRule="auto"/>
        <w:ind w:left="352" w:hanging="352"/>
        <w:jc w:val="both"/>
        <w:rPr>
          <w:rFonts w:cs="Arial"/>
          <w:sz w:val="28"/>
          <w:szCs w:val="28"/>
        </w:rPr>
      </w:pPr>
      <w:r>
        <w:rPr>
          <w:rFonts w:cs="Arial"/>
          <w:sz w:val="28"/>
          <w:szCs w:val="28"/>
        </w:rPr>
        <w:t>如果确认咨询者是潜在的涉及对象（或者某个对象的代表），而且拟定的案件还尚未提交给司法部，则通知咨询者案件仍在审理中。避免识别当时处理案件的单位（即地区，中心，首席律师*或专员办公室）。</w:t>
      </w:r>
    </w:p>
    <w:p w14:paraId="1C967A1E">
      <w:pPr>
        <w:pStyle w:val="2"/>
        <w:numPr>
          <w:ilvl w:val="0"/>
          <w:numId w:val="1"/>
        </w:numPr>
        <w:tabs>
          <w:tab w:val="left" w:pos="613"/>
        </w:tabs>
        <w:overflowPunct w:val="0"/>
        <w:snapToGrid w:val="0"/>
        <w:spacing w:after="120" w:afterLines="50" w:line="300" w:lineRule="auto"/>
        <w:ind w:left="352" w:hanging="352"/>
        <w:jc w:val="both"/>
        <w:rPr>
          <w:rFonts w:cs="Arial"/>
          <w:sz w:val="28"/>
          <w:szCs w:val="28"/>
        </w:rPr>
      </w:pPr>
      <w:r>
        <w:rPr>
          <w:rFonts w:cs="Arial"/>
          <w:sz w:val="28"/>
          <w:szCs w:val="28"/>
        </w:rPr>
        <w:t>如果潜在涉及对象希望提交更多的事实，请遵循21 CFR 7.85（g）的指南。</w:t>
      </w:r>
    </w:p>
    <w:p w14:paraId="73651A3D">
      <w:pPr>
        <w:pStyle w:val="2"/>
        <w:numPr>
          <w:ilvl w:val="0"/>
          <w:numId w:val="1"/>
        </w:numPr>
        <w:tabs>
          <w:tab w:val="left" w:pos="613"/>
        </w:tabs>
        <w:overflowPunct w:val="0"/>
        <w:snapToGrid w:val="0"/>
        <w:spacing w:after="120" w:afterLines="50" w:line="300" w:lineRule="auto"/>
        <w:ind w:left="352" w:hanging="352"/>
        <w:jc w:val="both"/>
        <w:rPr>
          <w:rFonts w:cs="Arial"/>
          <w:sz w:val="28"/>
          <w:szCs w:val="28"/>
        </w:rPr>
      </w:pPr>
      <w:r>
        <w:rPr>
          <w:rFonts w:cs="Arial"/>
          <w:sz w:val="28"/>
          <w:szCs w:val="28"/>
        </w:rPr>
        <w:t>如果咨询者希望通过会见来提交这些事实，如果不会不适当地延迟处理该问题，则该机构可能希望与个人见面。通知咨询者，我们将适当考虑与案件有直接关系的其他事实。任何此类与先前有机会根据第305条提出意见的人会见均视为该机会的延伸。</w:t>
      </w:r>
    </w:p>
    <w:p w14:paraId="65AF01F8">
      <w:pPr>
        <w:pStyle w:val="2"/>
        <w:numPr>
          <w:ilvl w:val="0"/>
          <w:numId w:val="1"/>
        </w:numPr>
        <w:tabs>
          <w:tab w:val="left" w:pos="613"/>
        </w:tabs>
        <w:overflowPunct w:val="0"/>
        <w:snapToGrid w:val="0"/>
        <w:spacing w:after="120" w:afterLines="50" w:line="300" w:lineRule="auto"/>
        <w:ind w:left="352" w:hanging="352"/>
        <w:jc w:val="both"/>
        <w:rPr>
          <w:rFonts w:cs="Arial"/>
          <w:sz w:val="28"/>
          <w:szCs w:val="28"/>
        </w:rPr>
      </w:pPr>
      <w:r>
        <w:rPr>
          <w:rFonts w:cs="Arial"/>
          <w:sz w:val="28"/>
          <w:szCs w:val="28"/>
        </w:rPr>
        <w:t>一旦将案件提交给司法部，事件就不再是由机构负责。然后司法部就有权决定与拟定的被告有什么联系。除非FDA首席法律顾问办公室确认提交可能被披露，否则不再向咨询者披露已提交给司法部任何事项。通知咨询者，该案件仍在审议中，并通知*交流总顾问办公室*。</w:t>
      </w:r>
    </w:p>
    <w:p w14:paraId="56ACCF97">
      <w:pPr>
        <w:overflowPunct w:val="0"/>
        <w:snapToGrid w:val="0"/>
        <w:spacing w:after="120" w:afterLines="50" w:line="300" w:lineRule="auto"/>
        <w:jc w:val="both"/>
        <w:rPr>
          <w:rFonts w:ascii="Arial" w:hAnsi="Arial" w:eastAsia="宋体" w:cs="Arial"/>
          <w:sz w:val="28"/>
          <w:szCs w:val="28"/>
        </w:rPr>
      </w:pPr>
    </w:p>
    <w:p w14:paraId="214F55A4">
      <w:pPr>
        <w:pStyle w:val="2"/>
        <w:overflowPunct w:val="0"/>
        <w:snapToGrid w:val="0"/>
        <w:spacing w:after="120" w:afterLines="50" w:line="300" w:lineRule="auto"/>
        <w:ind w:left="0"/>
        <w:jc w:val="both"/>
        <w:rPr>
          <w:rFonts w:cs="Arial"/>
          <w:sz w:val="28"/>
          <w:szCs w:val="28"/>
        </w:rPr>
      </w:pPr>
      <w:r>
        <w:rPr>
          <w:rFonts w:cs="Arial"/>
          <w:sz w:val="28"/>
          <w:szCs w:val="28"/>
        </w:rPr>
        <w:t>*星号之间的材料是新材料或改进材料*</w:t>
      </w:r>
    </w:p>
    <w:p w14:paraId="16C07E1F">
      <w:pPr>
        <w:rPr>
          <w:rFonts w:ascii="Arial" w:hAnsi="Arial" w:eastAsia="宋体" w:cs="Arial"/>
        </w:rPr>
      </w:pPr>
      <w:r>
        <w:rPr>
          <w:rFonts w:cs="Arial"/>
        </w:rPr>
        <w:br w:type="page"/>
      </w:r>
    </w:p>
    <w:p w14:paraId="72259D02">
      <w:pPr>
        <w:pStyle w:val="2"/>
        <w:tabs>
          <w:tab w:val="left" w:pos="4962"/>
        </w:tabs>
        <w:overflowPunct w:val="0"/>
        <w:snapToGrid w:val="0"/>
        <w:spacing w:after="120" w:afterLines="50" w:line="300" w:lineRule="auto"/>
        <w:ind w:left="0"/>
        <w:jc w:val="both"/>
        <w:rPr>
          <w:rFonts w:cs="Arial"/>
          <w:sz w:val="28"/>
          <w:szCs w:val="28"/>
        </w:rPr>
      </w:pPr>
      <w:r>
        <w:rPr>
          <w:rFonts w:cs="Arial"/>
          <w:sz w:val="28"/>
          <w:szCs w:val="28"/>
        </w:rPr>
        <w:t>发布日期：1980年10月1日</w:t>
      </w:r>
    </w:p>
    <w:p w14:paraId="7ED6FC95">
      <w:pPr>
        <w:pStyle w:val="2"/>
        <w:tabs>
          <w:tab w:val="left" w:pos="5529"/>
          <w:tab w:val="left" w:pos="5812"/>
        </w:tabs>
        <w:overflowPunct w:val="0"/>
        <w:snapToGrid w:val="0"/>
        <w:spacing w:after="120" w:afterLines="50" w:line="300" w:lineRule="auto"/>
        <w:ind w:left="0"/>
        <w:jc w:val="both"/>
        <w:rPr>
          <w:rFonts w:cs="Arial"/>
          <w:sz w:val="28"/>
          <w:szCs w:val="28"/>
        </w:rPr>
      </w:pPr>
      <w:r>
        <w:rPr>
          <w:rFonts w:cs="Arial"/>
          <w:sz w:val="28"/>
          <w:szCs w:val="28"/>
        </w:rPr>
        <w:t>修订日期：1989年4月10日、1996年8月</w:t>
      </w:r>
    </w:p>
    <w:p w14:paraId="2DDF50E4">
      <w:pPr>
        <w:overflowPunct w:val="0"/>
        <w:snapToGrid w:val="0"/>
        <w:spacing w:after="120" w:afterLines="50" w:line="300" w:lineRule="auto"/>
        <w:jc w:val="both"/>
        <w:rPr>
          <w:rFonts w:ascii="Arial" w:hAnsi="Arial" w:eastAsia="宋体" w:cs="Arial"/>
          <w:sz w:val="28"/>
          <w:szCs w:val="28"/>
        </w:rPr>
      </w:pPr>
    </w:p>
    <w:tbl>
      <w:tblPr>
        <w:tblStyle w:val="7"/>
        <w:tblW w:w="10884" w:type="dxa"/>
        <w:tblInd w:w="100" w:type="dxa"/>
        <w:tblLayout w:type="fixed"/>
        <w:tblCellMar>
          <w:top w:w="0" w:type="dxa"/>
          <w:left w:w="0" w:type="dxa"/>
          <w:bottom w:w="0" w:type="dxa"/>
          <w:right w:w="0" w:type="dxa"/>
        </w:tblCellMar>
      </w:tblPr>
      <w:tblGrid>
        <w:gridCol w:w="10884"/>
      </w:tblGrid>
      <w:tr w14:paraId="4DAED655">
        <w:tblPrEx>
          <w:tblCellMar>
            <w:top w:w="0" w:type="dxa"/>
            <w:left w:w="0" w:type="dxa"/>
            <w:bottom w:w="0" w:type="dxa"/>
            <w:right w:w="0" w:type="dxa"/>
          </w:tblCellMar>
        </w:tblPrEx>
        <w:tc>
          <w:tcPr>
            <w:tcW w:w="10884" w:type="dxa"/>
            <w:tcBorders>
              <w:top w:val="single" w:color="4F81BD" w:themeColor="accent1" w:sz="12" w:space="0"/>
              <w:left w:val="single" w:color="4F81BD" w:themeColor="accent1" w:sz="12" w:space="0"/>
              <w:bottom w:val="single" w:color="4F81BD" w:themeColor="accent1" w:sz="12" w:space="0"/>
              <w:right w:val="single" w:color="4F81BD" w:themeColor="accent1" w:sz="12" w:space="0"/>
            </w:tcBorders>
            <w:vAlign w:val="center"/>
          </w:tcPr>
          <w:p w14:paraId="59F3091E">
            <w:pPr>
              <w:pStyle w:val="9"/>
              <w:overflowPunct w:val="0"/>
              <w:snapToGrid w:val="0"/>
              <w:spacing w:before="120" w:beforeLines="50" w:after="120" w:afterLines="50" w:line="276"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"https://www.fda.gov/ICECI/ComplianceManuals/CompliancePolicyGuidanceManual/ucm116271.htm" \h </w:instrText>
            </w:r>
            <w:r>
              <w:fldChar w:fldCharType="separate"/>
            </w:r>
            <w:r>
              <w:rPr>
                <w:rFonts w:ascii="Arial" w:hAnsi="Arial" w:eastAsia="宋体" w:cs="Arial"/>
                <w:b/>
                <w:sz w:val="24"/>
                <w:szCs w:val="24"/>
                <w:u w:val="single" w:color="000000"/>
              </w:rPr>
              <w:t>前言：合规政策指南（CPG）</w:t>
            </w:r>
            <w:r>
              <w:rPr>
                <w:rFonts w:hint="eastAsia" w:ascii="Arial" w:hAnsi="Arial" w:eastAsia="宋体" w:cs="Arial"/>
                <w:b/>
                <w:sz w:val="24"/>
                <w:szCs w:val="24"/>
                <w:u w:val="single" w:color="000000"/>
              </w:rPr>
              <w:br w:type="textWrapping"/>
            </w:r>
            <w:r>
              <w:rPr>
                <w:rFonts w:ascii="Arial" w:hAnsi="Arial" w:eastAsia="宋体" w:cs="Arial"/>
                <w:b/>
                <w:sz w:val="24"/>
                <w:szCs w:val="24"/>
                <w:u w:val="single" w:color="000000"/>
              </w:rPr>
              <w:t>(/ICECI/Compliance Manuals/Compliance PolicyGuidance Manual/ucm116271.htm)</w:t>
            </w:r>
            <w:r>
              <w:rPr>
                <w:rFonts w:ascii="Arial" w:hAnsi="Arial" w:eastAsia="宋体" w:cs="Arial"/>
                <w:b/>
                <w:sz w:val="24"/>
                <w:szCs w:val="24"/>
                <w:u w:val="single" w:color="000000"/>
              </w:rPr>
              <w:fldChar w:fldCharType="end"/>
            </w:r>
          </w:p>
        </w:tc>
      </w:tr>
      <w:tr w14:paraId="32EC3946">
        <w:tblPrEx>
          <w:tblCellMar>
            <w:top w:w="0" w:type="dxa"/>
            <w:left w:w="0" w:type="dxa"/>
            <w:bottom w:w="0" w:type="dxa"/>
            <w:right w:w="0" w:type="dxa"/>
          </w:tblCellMar>
        </w:tblPrEx>
        <w:tc>
          <w:tcPr>
            <w:tcW w:w="10884" w:type="dxa"/>
            <w:tcBorders>
              <w:top w:val="single" w:color="4F81BD" w:themeColor="accent1" w:sz="12" w:space="0"/>
              <w:left w:val="single" w:color="DDDDDD" w:sz="6" w:space="0"/>
              <w:bottom w:val="single" w:color="DDDDDD" w:sz="6" w:space="0"/>
              <w:right w:val="single" w:color="DDDDDD" w:sz="6" w:space="0"/>
            </w:tcBorders>
            <w:vAlign w:val="center"/>
          </w:tcPr>
          <w:p w14:paraId="3102B7D0">
            <w:pPr>
              <w:pStyle w:val="9"/>
              <w:overflowPunct w:val="0"/>
              <w:snapToGrid w:val="0"/>
              <w:spacing w:before="120" w:beforeLines="50" w:after="120" w:afterLines="50" w:line="276"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"https://www.fda.gov/ICECI/ComplianceManuals/CompliancePolicyGuidanceManual/ucm116280.htm" \h </w:instrText>
            </w:r>
            <w:r>
              <w:fldChar w:fldCharType="separate"/>
            </w:r>
            <w:r>
              <w:rPr>
                <w:rFonts w:ascii="Arial" w:hAnsi="Arial" w:eastAsia="宋体" w:cs="Arial"/>
                <w:b/>
                <w:sz w:val="24"/>
                <w:szCs w:val="24"/>
                <w:u w:val="single" w:color="000000"/>
              </w:rPr>
              <w:t>第一章-通则</w:t>
            </w:r>
            <w:r>
              <w:rPr>
                <w:rFonts w:hint="eastAsia" w:ascii="Arial" w:hAnsi="Arial" w:eastAsia="宋体" w:cs="Arial"/>
                <w:b/>
                <w:sz w:val="24"/>
                <w:szCs w:val="24"/>
                <w:u w:val="single" w:color="000000"/>
              </w:rPr>
              <w:br w:type="textWrapping"/>
            </w:r>
            <w:r>
              <w:rPr>
                <w:rFonts w:ascii="Arial" w:hAnsi="Arial" w:eastAsia="宋体" w:cs="Arial"/>
                <w:b/>
                <w:sz w:val="24"/>
                <w:szCs w:val="24"/>
                <w:u w:val="single" w:color="000000"/>
              </w:rPr>
              <w:t>(/ICECI/Compliance Manuals/Compliance PolicyGuidance Manual/ucm116280.htm)</w:t>
            </w:r>
            <w:r>
              <w:rPr>
                <w:rFonts w:ascii="Arial" w:hAnsi="Arial" w:eastAsia="宋体" w:cs="Arial"/>
                <w:b/>
                <w:sz w:val="24"/>
                <w:szCs w:val="24"/>
                <w:u w:val="single" w:color="000000"/>
              </w:rPr>
              <w:fldChar w:fldCharType="end"/>
            </w:r>
          </w:p>
        </w:tc>
      </w:tr>
      <w:tr w14:paraId="66D6E71A">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vAlign w:val="center"/>
          </w:tcPr>
          <w:p w14:paraId="498C712D">
            <w:pPr>
              <w:pStyle w:val="9"/>
              <w:overflowPunct w:val="0"/>
              <w:snapToGrid w:val="0"/>
              <w:spacing w:before="120" w:beforeLines="50" w:after="120" w:afterLines="50" w:line="276"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"https://www.fda.gov/ICECI/ComplianceManuals/CompliancePolicyGuidanceManual/ucm116336.htm" \h </w:instrText>
            </w:r>
            <w:r>
              <w:fldChar w:fldCharType="separate"/>
            </w:r>
            <w:r>
              <w:rPr>
                <w:rFonts w:ascii="Arial" w:hAnsi="Arial" w:eastAsia="宋体" w:cs="Arial"/>
                <w:b/>
                <w:sz w:val="24"/>
                <w:szCs w:val="24"/>
                <w:u w:val="single" w:color="000000"/>
              </w:rPr>
              <w:t>第二章-生物制剂</w:t>
            </w:r>
            <w:r>
              <w:rPr>
                <w:rFonts w:hint="eastAsia" w:ascii="Arial" w:hAnsi="Arial" w:eastAsia="宋体" w:cs="Arial"/>
                <w:b/>
                <w:sz w:val="24"/>
                <w:szCs w:val="24"/>
                <w:u w:val="single" w:color="000000"/>
              </w:rPr>
              <w:br w:type="textWrapping"/>
            </w:r>
            <w:r>
              <w:rPr>
                <w:rFonts w:ascii="Arial" w:hAnsi="Arial" w:eastAsia="宋体" w:cs="Arial"/>
                <w:b/>
                <w:sz w:val="24"/>
                <w:szCs w:val="24"/>
                <w:u w:val="single" w:color="000000"/>
              </w:rPr>
              <w:t>(/ICECI/Compliance Manuals/Compliance PolicyGuidance Manual/ucm116336.htm)</w:t>
            </w:r>
            <w:r>
              <w:rPr>
                <w:rFonts w:ascii="Arial" w:hAnsi="Arial" w:eastAsia="宋体" w:cs="Arial"/>
                <w:b/>
                <w:sz w:val="24"/>
                <w:szCs w:val="24"/>
                <w:u w:val="single" w:color="000000"/>
              </w:rPr>
              <w:fldChar w:fldCharType="end"/>
            </w:r>
          </w:p>
        </w:tc>
      </w:tr>
      <w:tr w14:paraId="2E58CE1A">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vAlign w:val="center"/>
          </w:tcPr>
          <w:p w14:paraId="1E0B0990">
            <w:pPr>
              <w:pStyle w:val="9"/>
              <w:overflowPunct w:val="0"/>
              <w:snapToGrid w:val="0"/>
              <w:spacing w:before="120" w:beforeLines="50" w:after="120" w:afterLines="50" w:line="276"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"https://www.fda.gov/ICECI/ComplianceManuals/CompliancePolicyGuidanceManual/ucm116801.htm" \h </w:instrText>
            </w:r>
            <w:r>
              <w:fldChar w:fldCharType="separate"/>
            </w:r>
            <w:r>
              <w:rPr>
                <w:rFonts w:ascii="Arial" w:hAnsi="Arial" w:eastAsia="宋体" w:cs="Arial"/>
                <w:b/>
                <w:sz w:val="24"/>
                <w:szCs w:val="24"/>
                <w:u w:val="single" w:color="000000"/>
              </w:rPr>
              <w:t>第三章-器械</w:t>
            </w:r>
            <w:r>
              <w:rPr>
                <w:rFonts w:hint="eastAsia" w:ascii="Arial" w:hAnsi="Arial" w:eastAsia="宋体" w:cs="Arial"/>
                <w:b/>
                <w:sz w:val="24"/>
                <w:szCs w:val="24"/>
                <w:u w:val="single" w:color="000000"/>
              </w:rPr>
              <w:br w:type="textWrapping"/>
            </w:r>
            <w:r>
              <w:rPr>
                <w:rFonts w:ascii="Arial" w:hAnsi="Arial" w:eastAsia="宋体" w:cs="Arial"/>
                <w:b/>
                <w:sz w:val="24"/>
                <w:szCs w:val="24"/>
                <w:u w:val="single" w:color="000000"/>
              </w:rPr>
              <w:t>(/ICECI/Compliance Manuals/Compliance PolicyGuidance Manual/ucm116801.htm)</w:t>
            </w:r>
            <w:r>
              <w:rPr>
                <w:rFonts w:ascii="Arial" w:hAnsi="Arial" w:eastAsia="宋体" w:cs="Arial"/>
                <w:b/>
                <w:sz w:val="24"/>
                <w:szCs w:val="24"/>
                <w:u w:val="single" w:color="000000"/>
              </w:rPr>
              <w:fldChar w:fldCharType="end"/>
            </w:r>
          </w:p>
        </w:tc>
      </w:tr>
      <w:tr w14:paraId="73E65042">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vAlign w:val="center"/>
          </w:tcPr>
          <w:p w14:paraId="038F7661">
            <w:pPr>
              <w:pStyle w:val="9"/>
              <w:overflowPunct w:val="0"/>
              <w:snapToGrid w:val="0"/>
              <w:spacing w:before="120" w:beforeLines="50" w:after="120" w:afterLines="50" w:line="276"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"https://www.fda.gov/ICECI/ComplianceManuals/CompliancePolicyGuidanceManual/ucm119572.htm" \h </w:instrText>
            </w:r>
            <w:r>
              <w:fldChar w:fldCharType="separate"/>
            </w:r>
            <w:r>
              <w:rPr>
                <w:rFonts w:ascii="Arial" w:hAnsi="Arial" w:eastAsia="宋体" w:cs="Arial"/>
                <w:b/>
                <w:sz w:val="24"/>
                <w:szCs w:val="24"/>
                <w:u w:val="single" w:color="000000"/>
              </w:rPr>
              <w:t>第四章-人用药品</w:t>
            </w:r>
            <w:r>
              <w:rPr>
                <w:rFonts w:hint="eastAsia" w:ascii="Arial" w:hAnsi="Arial" w:eastAsia="宋体" w:cs="Arial"/>
                <w:b/>
                <w:sz w:val="24"/>
                <w:szCs w:val="24"/>
                <w:u w:val="single" w:color="000000"/>
              </w:rPr>
              <w:br w:type="textWrapping"/>
            </w:r>
            <w:r>
              <w:rPr>
                <w:rFonts w:ascii="Arial" w:hAnsi="Arial" w:eastAsia="宋体" w:cs="Arial"/>
                <w:b/>
                <w:sz w:val="24"/>
                <w:szCs w:val="24"/>
                <w:u w:val="single" w:color="000000"/>
              </w:rPr>
              <w:t>(/ICECI/Compliance Manuals/Compliance PolicyGuidance Manual/ucm119572.htm)</w:t>
            </w:r>
            <w:r>
              <w:rPr>
                <w:rFonts w:ascii="Arial" w:hAnsi="Arial" w:eastAsia="宋体" w:cs="Arial"/>
                <w:b/>
                <w:sz w:val="24"/>
                <w:szCs w:val="24"/>
                <w:u w:val="single" w:color="000000"/>
              </w:rPr>
              <w:fldChar w:fldCharType="end"/>
            </w:r>
          </w:p>
        </w:tc>
      </w:tr>
      <w:tr w14:paraId="3D35CB18">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vAlign w:val="center"/>
          </w:tcPr>
          <w:p w14:paraId="1EDD4100">
            <w:pPr>
              <w:pStyle w:val="9"/>
              <w:overflowPunct w:val="0"/>
              <w:snapToGrid w:val="0"/>
              <w:spacing w:before="120" w:beforeLines="50" w:after="120" w:afterLines="50" w:line="276"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"https://www.fda.gov/ICECI/ComplianceManuals/CompliancePolicyGuidanceManual/ucm119194.htm" \h </w:instrText>
            </w:r>
            <w:r>
              <w:fldChar w:fldCharType="separate"/>
            </w:r>
            <w:r>
              <w:rPr>
                <w:rFonts w:ascii="Arial" w:hAnsi="Arial" w:eastAsia="宋体" w:cs="Arial"/>
                <w:b/>
                <w:sz w:val="24"/>
                <w:szCs w:val="24"/>
                <w:u w:val="single" w:color="000000"/>
              </w:rPr>
              <w:t>第五章-食品、颜料和化妆品</w:t>
            </w:r>
            <w:r>
              <w:rPr>
                <w:rFonts w:hint="eastAsia" w:ascii="Arial" w:hAnsi="Arial" w:eastAsia="宋体" w:cs="Arial"/>
                <w:b/>
                <w:sz w:val="24"/>
                <w:szCs w:val="24"/>
                <w:u w:val="single" w:color="000000"/>
              </w:rPr>
              <w:br w:type="textWrapping"/>
            </w:r>
            <w:r>
              <w:rPr>
                <w:rFonts w:ascii="Arial" w:hAnsi="Arial" w:eastAsia="宋体" w:cs="Arial"/>
                <w:b/>
                <w:sz w:val="24"/>
                <w:szCs w:val="24"/>
                <w:u w:val="single" w:color="000000"/>
              </w:rPr>
              <w:t>(/ICECI/Compliance Manuals/Compliance PolicyGuidance Manual/ucm119194.htm)</w:t>
            </w:r>
            <w:r>
              <w:rPr>
                <w:rFonts w:ascii="Arial" w:hAnsi="Arial" w:eastAsia="宋体" w:cs="Arial"/>
                <w:b/>
                <w:sz w:val="24"/>
                <w:szCs w:val="24"/>
                <w:u w:val="single" w:color="000000"/>
              </w:rPr>
              <w:fldChar w:fldCharType="end"/>
            </w:r>
          </w:p>
        </w:tc>
      </w:tr>
      <w:tr w14:paraId="39AF22B6">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vAlign w:val="center"/>
          </w:tcPr>
          <w:p w14:paraId="721A2005">
            <w:pPr>
              <w:snapToGrid w:val="0"/>
              <w:spacing w:before="120" w:beforeLines="50" w:after="50" w:line="276" w:lineRule="auto"/>
              <w:ind w:left="20" w:right="20"/>
              <w:rPr>
                <w:rFonts w:ascii="Arial" w:hAnsi="Arial" w:eastAsia="宋体" w:cs="Arial"/>
                <w:sz w:val="24"/>
                <w:szCs w:val="24"/>
              </w:rPr>
            </w:pPr>
            <w:r>
              <w:fldChar w:fldCharType="begin"/>
            </w:r>
            <w:r>
              <w:instrText xml:space="preserve"> HYPERLINK "https://www.fda.gov/ICECI/ComplianceManuals/CompliancePolicyGuidanceManual/ucm117042.htm" \h </w:instrText>
            </w:r>
            <w:r>
              <w:fldChar w:fldCharType="separate"/>
            </w:r>
            <w:r>
              <w:rPr>
                <w:rFonts w:hint="eastAsia" w:ascii="Arial" w:eastAsia="宋体"/>
                <w:b/>
                <w:sz w:val="24"/>
                <w:szCs w:val="24"/>
                <w:u w:val="single" w:color="000000"/>
              </w:rPr>
              <w:t>第六章-兽医医学</w:t>
            </w:r>
            <w:r>
              <w:rPr>
                <w:rFonts w:ascii="Arial" w:eastAsia="宋体"/>
                <w:b/>
                <w:sz w:val="24"/>
                <w:szCs w:val="24"/>
                <w:u w:val="single" w:color="000000"/>
              </w:rPr>
              <w:br w:type="textWrapping"/>
            </w:r>
            <w:r>
              <w:rPr>
                <w:rFonts w:hint="eastAsia" w:ascii="Arial" w:eastAsia="宋体"/>
                <w:b/>
                <w:sz w:val="24"/>
                <w:szCs w:val="24"/>
                <w:u w:val="single" w:color="000000"/>
              </w:rPr>
              <w:t>(/ICECI/Compliance Manuals/Compliance PolicyGuidance Manual/ucm117042.htm)</w:t>
            </w:r>
            <w:r>
              <w:rPr>
                <w:rFonts w:hint="eastAsia" w:ascii="Arial" w:eastAsia="宋体"/>
                <w:b/>
                <w:sz w:val="24"/>
                <w:szCs w:val="24"/>
                <w:u w:val="single" w:color="000000"/>
              </w:rPr>
              <w:fldChar w:fldCharType="end"/>
            </w:r>
          </w:p>
        </w:tc>
      </w:tr>
    </w:tbl>
    <w:p w14:paraId="27882193">
      <w:pPr>
        <w:overflowPunct w:val="0"/>
        <w:snapToGrid w:val="0"/>
        <w:spacing w:after="120" w:afterLines="50" w:line="300" w:lineRule="auto"/>
        <w:jc w:val="both"/>
        <w:rPr>
          <w:rFonts w:ascii="Arial" w:hAnsi="Arial" w:eastAsia="宋体" w:cs="Arial"/>
        </w:rPr>
      </w:pPr>
    </w:p>
    <w:p w14:paraId="47FBF0AD">
      <w:pPr>
        <w:overflowPunct w:val="0"/>
        <w:snapToGrid w:val="0"/>
        <w:spacing w:after="120" w:afterLines="50" w:line="300" w:lineRule="auto"/>
        <w:jc w:val="both"/>
        <w:rPr>
          <w:rFonts w:hint="eastAsia" w:eastAsia="宋体"/>
          <w:lang w:eastAsia="zh-CN"/>
        </w:rPr>
      </w:pPr>
    </w:p>
    <w:p w14:paraId="02D36D29">
      <w:pPr>
        <w:overflowPunct w:val="0"/>
        <w:snapToGrid w:val="0"/>
        <w:spacing w:after="120" w:afterLines="50" w:line="300" w:lineRule="auto"/>
        <w:jc w:val="center"/>
        <w:rPr>
          <w:rFonts w:hint="eastAsia" w:eastAsia="宋体"/>
          <w:lang w:eastAsia="zh-CN"/>
        </w:rPr>
      </w:pPr>
    </w:p>
    <w:p w14:paraId="46D09C67">
      <w:pPr>
        <w:overflowPunct w:val="0"/>
        <w:snapToGrid w:val="0"/>
        <w:spacing w:after="120" w:after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0" w:h="16820"/>
      <w:pgMar w:top="567" w:right="567" w:bottom="567" w:left="567" w:header="289" w:footer="272"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8D05A">
    <w:pPr>
      <w:tabs>
        <w:tab w:val="right" w:pos="10773"/>
      </w:tabs>
      <w:spacing w:line="184" w:lineRule="exact"/>
      <w:ind w:left="40"/>
      <w:rPr>
        <w:rFonts w:ascii="Arial" w:hAnsi="Arial" w:eastAsia="宋体" w:cs="Arial"/>
        <w:sz w:val="15"/>
        <w:szCs w:val="15"/>
      </w:rPr>
    </w:pPr>
    <w:r>
      <w:rPr>
        <w:rFonts w:hint="eastAsia" w:ascii="Arial" w:eastAsia="宋体"/>
        <w:sz w:val="15"/>
        <w:szCs w:val="15"/>
      </w:rPr>
      <w:t>https://</w:t>
    </w:r>
    <w:r>
      <w:fldChar w:fldCharType="begin"/>
    </w:r>
    <w:r>
      <w:instrText xml:space="preserve"> HYPERLINK "http://www.fda.gov/ICECI/ComplianceManuals/CompliancePolicyGuidanceManual/ucm073851.htm" \h </w:instrText>
    </w:r>
    <w:r>
      <w:fldChar w:fldCharType="separate"/>
    </w:r>
    <w:r>
      <w:rPr>
        <w:rFonts w:hint="eastAsia" w:ascii="Arial" w:eastAsia="宋体"/>
        <w:sz w:val="15"/>
        <w:szCs w:val="15"/>
      </w:rPr>
      <w:t>www.fda.gov/ICECI/ComplianceManuals/CompliancePolicyGuidanceManual/ucm073851.htm</w:t>
    </w:r>
    <w:r>
      <w:rPr>
        <w:rFonts w:hint="eastAsia" w:ascii="Arial" w:eastAsia="宋体"/>
        <w:sz w:val="15"/>
        <w:szCs w:val="15"/>
      </w:rPr>
      <w:fldChar w:fldCharType="end"/>
    </w:r>
    <w:r>
      <w:rPr>
        <w:rFonts w:hint="eastAsia" w:ascii="Arial" w:eastAsia="宋体"/>
        <w:sz w:val="15"/>
        <w:szCs w:val="15"/>
      </w:rPr>
      <w:tab/>
    </w:r>
    <w:r>
      <w:rPr>
        <w:sz w:val="15"/>
        <w:szCs w:val="15"/>
      </w:rPr>
      <w:fldChar w:fldCharType="begin"/>
    </w:r>
    <w:r>
      <w:rPr>
        <w:rFonts w:hint="eastAsia" w:ascii="Arial" w:eastAsia="宋体"/>
        <w:sz w:val="15"/>
        <w:szCs w:val="15"/>
      </w:rPr>
      <w:instrText xml:space="preserve"> PAGE </w:instrText>
    </w:r>
    <w:r>
      <w:rPr>
        <w:sz w:val="15"/>
        <w:szCs w:val="15"/>
      </w:rPr>
      <w:fldChar w:fldCharType="separate"/>
    </w:r>
    <w:r>
      <w:rPr>
        <w:rFonts w:ascii="Arial" w:eastAsia="宋体"/>
        <w:sz w:val="15"/>
        <w:szCs w:val="15"/>
      </w:rPr>
      <w:t>1</w:t>
    </w:r>
    <w:r>
      <w:rPr>
        <w:sz w:val="15"/>
        <w:szCs w:val="15"/>
      </w:rPr>
      <w:fldChar w:fldCharType="end"/>
    </w:r>
    <w:r>
      <w:rPr>
        <w:rFonts w:hint="eastAsia" w:ascii="Arial" w:eastAsia="宋体"/>
        <w:sz w:val="15"/>
        <w:szCs w:val="15"/>
      </w:rPr>
      <w:t>/2</w:t>
    </w:r>
  </w:p>
  <w:p w14:paraId="6CF9CCF0">
    <w:pPr>
      <w:spacing w:line="14" w:lineRule="auto"/>
      <w:rPr>
        <w:sz w:val="15"/>
        <w:szCs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720E2">
    <w:pPr>
      <w:spacing w:line="184" w:lineRule="exact"/>
      <w:ind w:left="20"/>
      <w:rPr>
        <w:rFonts w:ascii="Arial" w:hAnsi="Arial" w:eastAsia="宋体" w:cs="Arial"/>
        <w:sz w:val="15"/>
        <w:szCs w:val="15"/>
      </w:rPr>
    </w:pPr>
    <w:r>
      <w:rPr>
        <w:rFonts w:ascii="Arial" w:hAnsi="Arial" w:eastAsia="宋体" w:cs="Arial"/>
        <w:sz w:val="15"/>
        <w:szCs w:val="15"/>
      </w:rPr>
      <w:t>2017年8月10日</w:t>
    </w:r>
    <w:r>
      <w:rPr>
        <w:rFonts w:ascii="Arial" w:hAnsi="Arial" w:eastAsia="宋体" w:cs="Arial"/>
        <w:sz w:val="15"/>
        <w:szCs w:val="15"/>
      </w:rPr>
      <w:tab/>
    </w:r>
    <w:r>
      <w:rPr>
        <w:rFonts w:ascii="Arial" w:hAnsi="Arial" w:eastAsia="宋体" w:cs="Arial"/>
        <w:sz w:val="15"/>
        <w:szCs w:val="15"/>
      </w:rPr>
      <w:t>合规政策指南&gt;CPG章节160.500 刑事诉讼咨询解答</w:t>
    </w:r>
  </w:p>
  <w:p w14:paraId="7DD5700F">
    <w:pPr>
      <w:spacing w:line="184" w:lineRule="exact"/>
      <w:ind w:left="20"/>
      <w:rPr>
        <w:rFonts w:ascii="Arial" w:hAnsi="Arial" w:eastAsia="宋体" w:cs="Arial"/>
        <w:sz w:val="15"/>
        <w:szCs w:val="15"/>
      </w:rPr>
    </w:pPr>
  </w:p>
  <w:p w14:paraId="408121D9">
    <w:pPr>
      <w:spacing w:line="184" w:lineRule="exact"/>
      <w:ind w:left="20"/>
      <w:rPr>
        <w:rFonts w:ascii="Arial" w:hAnsi="Arial" w:eastAsia="宋体" w:cs="Arial"/>
        <w:sz w:val="15"/>
        <w:szCs w:val="15"/>
      </w:rPr>
    </w:pPr>
  </w:p>
  <w:p w14:paraId="5CF513D1">
    <w:pPr>
      <w:spacing w:line="184" w:lineRule="exact"/>
      <w:ind w:left="20"/>
      <w:rPr>
        <w:rFonts w:ascii="Arial" w:hAnsi="Arial" w:eastAsia="宋体" w:cs="Arial"/>
        <w:sz w:val="15"/>
        <w:szCs w:val="15"/>
      </w:rPr>
    </w:pPr>
  </w:p>
  <w:p w14:paraId="7BDED9BC">
    <w:pPr>
      <w:spacing w:line="14" w:lineRule="auto"/>
      <w:rPr>
        <w:rFonts w:ascii="Arial" w:hAnsi="Arial" w:cs="Arial"/>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EC0BBA"/>
    <w:multiLevelType w:val="multilevel"/>
    <w:tmpl w:val="0FEC0BBA"/>
    <w:lvl w:ilvl="0" w:tentative="0">
      <w:start w:val="1"/>
      <w:numFmt w:val="decimal"/>
      <w:lvlText w:val="%1."/>
      <w:lvlJc w:val="left"/>
      <w:pPr>
        <w:ind w:left="612" w:hanging="353"/>
        <w:jc w:val="left"/>
      </w:pPr>
      <w:rPr>
        <w:rFonts w:hint="default" w:ascii="Arial" w:hAnsi="Arial" w:eastAsia="Arial"/>
        <w:spacing w:val="1"/>
        <w:w w:val="102"/>
        <w:sz w:val="28"/>
        <w:szCs w:val="28"/>
      </w:rPr>
    </w:lvl>
    <w:lvl w:ilvl="1" w:tentative="0">
      <w:start w:val="1"/>
      <w:numFmt w:val="bullet"/>
      <w:lvlText w:val="•"/>
      <w:lvlJc w:val="left"/>
      <w:pPr>
        <w:ind w:left="1661" w:hanging="353"/>
      </w:pPr>
      <w:rPr>
        <w:rFonts w:hint="default"/>
      </w:rPr>
    </w:lvl>
    <w:lvl w:ilvl="2" w:tentative="0">
      <w:start w:val="1"/>
      <w:numFmt w:val="bullet"/>
      <w:lvlText w:val="•"/>
      <w:lvlJc w:val="left"/>
      <w:pPr>
        <w:ind w:left="2709" w:hanging="353"/>
      </w:pPr>
      <w:rPr>
        <w:rFonts w:hint="default"/>
      </w:rPr>
    </w:lvl>
    <w:lvl w:ilvl="3" w:tentative="0">
      <w:start w:val="1"/>
      <w:numFmt w:val="bullet"/>
      <w:lvlText w:val="•"/>
      <w:lvlJc w:val="left"/>
      <w:pPr>
        <w:ind w:left="3758" w:hanging="353"/>
      </w:pPr>
      <w:rPr>
        <w:rFonts w:hint="default"/>
      </w:rPr>
    </w:lvl>
    <w:lvl w:ilvl="4" w:tentative="0">
      <w:start w:val="1"/>
      <w:numFmt w:val="bullet"/>
      <w:lvlText w:val="•"/>
      <w:lvlJc w:val="left"/>
      <w:pPr>
        <w:ind w:left="4807" w:hanging="353"/>
      </w:pPr>
      <w:rPr>
        <w:rFonts w:hint="default"/>
      </w:rPr>
    </w:lvl>
    <w:lvl w:ilvl="5" w:tentative="0">
      <w:start w:val="1"/>
      <w:numFmt w:val="bullet"/>
      <w:lvlText w:val="•"/>
      <w:lvlJc w:val="left"/>
      <w:pPr>
        <w:ind w:left="5856" w:hanging="353"/>
      </w:pPr>
      <w:rPr>
        <w:rFonts w:hint="default"/>
      </w:rPr>
    </w:lvl>
    <w:lvl w:ilvl="6" w:tentative="0">
      <w:start w:val="1"/>
      <w:numFmt w:val="bullet"/>
      <w:lvlText w:val="•"/>
      <w:lvlJc w:val="left"/>
      <w:pPr>
        <w:ind w:left="6904" w:hanging="353"/>
      </w:pPr>
      <w:rPr>
        <w:rFonts w:hint="default"/>
      </w:rPr>
    </w:lvl>
    <w:lvl w:ilvl="7" w:tentative="0">
      <w:start w:val="1"/>
      <w:numFmt w:val="bullet"/>
      <w:lvlText w:val="•"/>
      <w:lvlJc w:val="left"/>
      <w:pPr>
        <w:ind w:left="7953" w:hanging="353"/>
      </w:pPr>
      <w:rPr>
        <w:rFonts w:hint="default"/>
      </w:rPr>
    </w:lvl>
    <w:lvl w:ilvl="8" w:tentative="0">
      <w:start w:val="1"/>
      <w:numFmt w:val="bullet"/>
      <w:lvlText w:val="•"/>
      <w:lvlJc w:val="left"/>
      <w:pPr>
        <w:ind w:left="9002" w:hanging="35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54D"/>
    <w:rsid w:val="00311E1B"/>
    <w:rsid w:val="00325BA4"/>
    <w:rsid w:val="003876CD"/>
    <w:rsid w:val="00556F4C"/>
    <w:rsid w:val="00587D9F"/>
    <w:rsid w:val="007A25C1"/>
    <w:rsid w:val="007B4C37"/>
    <w:rsid w:val="00830573"/>
    <w:rsid w:val="00A150B8"/>
    <w:rsid w:val="00A8470F"/>
    <w:rsid w:val="00AC1FB3"/>
    <w:rsid w:val="00AF598D"/>
    <w:rsid w:val="00BA32A9"/>
    <w:rsid w:val="00CB754D"/>
    <w:rsid w:val="00CD4F6B"/>
    <w:rsid w:val="00E37C35"/>
    <w:rsid w:val="00F35CFE"/>
    <w:rsid w:val="72092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ind w:left="100"/>
    </w:pPr>
    <w:rPr>
      <w:rFonts w:ascii="Arial" w:hAnsi="Arial" w:eastAsia="宋体"/>
      <w:sz w:val="25"/>
      <w:szCs w:val="25"/>
    </w:rPr>
  </w:style>
  <w:style w:type="paragraph" w:styleId="3">
    <w:name w:val="footer"/>
    <w:basedOn w:val="1"/>
    <w:link w:val="11"/>
    <w:unhideWhenUsed/>
    <w:qFormat/>
    <w:uiPriority w:val="99"/>
    <w:pPr>
      <w:tabs>
        <w:tab w:val="center" w:pos="4153"/>
        <w:tab w:val="right" w:pos="8306"/>
      </w:tabs>
      <w:snapToGrid w:val="0"/>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style>
  <w:style w:type="character" w:customStyle="1" w:styleId="10">
    <w:name w:val="页眉 Char"/>
    <w:basedOn w:val="6"/>
    <w:link w:val="4"/>
    <w:qFormat/>
    <w:uiPriority w:val="99"/>
    <w:rPr>
      <w:sz w:val="18"/>
      <w:szCs w:val="18"/>
    </w:rPr>
  </w:style>
  <w:style w:type="character" w:customStyle="1" w:styleId="11">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640</Words>
  <Characters>1152</Characters>
  <Lines>13</Lines>
  <Paragraphs>3</Paragraphs>
  <TotalTime>0</TotalTime>
  <ScaleCrop>false</ScaleCrop>
  <LinksUpToDate>false</LinksUpToDate>
  <CharactersWithSpaces>1176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2017-11-10T01:46:00Z</dcterms:created>
  <dc:creator>wenrongzhen</dc:creator>
  <cp:lastModifiedBy>太极箫客</cp:lastModifiedBy>
  <dcterms:modified xsi:type="dcterms:W3CDTF">2025-08-14T06:16:09Z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442D717072A3471885BED99E9C8E8D72_12</vt:lpwstr>
  </property>
</Properties>
</file>