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96EA9">
      <w:pPr>
        <w:snapToGrid w:val="0"/>
        <w:spacing w:line="300" w:lineRule="auto"/>
        <w:jc w:val="both"/>
        <w:rPr>
          <w:rFonts w:ascii="Times New Roman" w:hAnsi="Times New Roman" w:eastAsia="Times New Roman" w:cs="Times New Roman"/>
          <w:sz w:val="20"/>
          <w:szCs w:val="20"/>
        </w:rPr>
      </w:pPr>
      <w:bookmarkStart w:id="0" w:name="_GoBack"/>
      <w:bookmarkEnd w:id="0"/>
    </w:p>
    <w:p w14:paraId="3698BE53">
      <w:pPr>
        <w:snapToGrid w:val="0"/>
        <w:spacing w:line="300" w:lineRule="auto"/>
        <w:jc w:val="both"/>
        <w:rPr>
          <w:rFonts w:ascii="Times New Roman" w:hAnsi="Times New Roman" w:eastAsia="Times New Roman" w:cs="Times New Roman"/>
          <w:sz w:val="20"/>
          <w:szCs w:val="20"/>
        </w:rPr>
      </w:pPr>
    </w:p>
    <w:p w14:paraId="2565D74F">
      <w:pPr>
        <w:snapToGrid w:val="0"/>
        <w:spacing w:line="300" w:lineRule="auto"/>
        <w:jc w:val="both"/>
        <w:rPr>
          <w:rFonts w:ascii="Times New Roman" w:hAnsi="Times New Roman" w:eastAsia="Times New Roman" w:cs="Times New Roman"/>
          <w:sz w:val="20"/>
          <w:szCs w:val="20"/>
        </w:rPr>
      </w:pPr>
    </w:p>
    <w:p w14:paraId="423617A1">
      <w:pPr>
        <w:snapToGrid w:val="0"/>
        <w:spacing w:line="300" w:lineRule="auto"/>
        <w:jc w:val="both"/>
        <w:rPr>
          <w:rFonts w:ascii="Times New Roman" w:hAnsi="Times New Roman" w:eastAsia="Times New Roman" w:cs="Times New Roman"/>
          <w:sz w:val="20"/>
          <w:szCs w:val="20"/>
        </w:rPr>
      </w:pPr>
    </w:p>
    <w:p w14:paraId="0EE23550">
      <w:pPr>
        <w:snapToGrid w:val="0"/>
        <w:spacing w:before="106" w:line="300" w:lineRule="auto"/>
        <w:jc w:val="both"/>
        <w:rPr>
          <w:rFonts w:ascii="Arial" w:hAnsi="Arial" w:eastAsia="宋体" w:cs="Arial"/>
          <w:sz w:val="64"/>
          <w:szCs w:val="64"/>
          <w:lang w:eastAsia="zh-CN"/>
        </w:rPr>
      </w:pPr>
      <w:r>
        <w:rPr>
          <w:rFonts w:ascii="Arial" w:hAnsi="Arial" w:eastAsia="宋体" w:cs="Arial"/>
          <w:b/>
          <w:sz w:val="64"/>
          <w:lang w:eastAsia="zh-CN"/>
        </w:rPr>
        <w:t>CPG章节 *第305章会议*在违法犯罪报告前</w:t>
      </w:r>
    </w:p>
    <w:p w14:paraId="0BB53EE3">
      <w:pPr>
        <w:pStyle w:val="2"/>
        <w:snapToGrid w:val="0"/>
        <w:spacing w:before="389" w:line="300" w:lineRule="auto"/>
        <w:ind w:left="0"/>
        <w:jc w:val="both"/>
        <w:rPr>
          <w:sz w:val="24"/>
          <w:szCs w:val="24"/>
          <w:lang w:eastAsia="zh-CN"/>
        </w:rPr>
      </w:pPr>
      <w:r>
        <w:rPr>
          <w:sz w:val="24"/>
          <w:szCs w:val="24"/>
          <w:lang w:eastAsia="zh-CN"/>
        </w:rPr>
        <w:t>背景：</w:t>
      </w:r>
    </w:p>
    <w:p w14:paraId="088F5624">
      <w:pPr>
        <w:snapToGrid w:val="0"/>
        <w:spacing w:before="10" w:line="300" w:lineRule="auto"/>
        <w:jc w:val="both"/>
        <w:rPr>
          <w:rFonts w:ascii="Arial" w:hAnsi="Arial" w:eastAsia="Arial" w:cs="Arial"/>
          <w:sz w:val="24"/>
          <w:szCs w:val="24"/>
          <w:lang w:eastAsia="zh-CN"/>
        </w:rPr>
      </w:pPr>
    </w:p>
    <w:p w14:paraId="4125977F">
      <w:pPr>
        <w:pStyle w:val="2"/>
        <w:snapToGrid w:val="0"/>
        <w:spacing w:line="300" w:lineRule="auto"/>
        <w:ind w:left="0"/>
        <w:jc w:val="both"/>
        <w:rPr>
          <w:sz w:val="24"/>
          <w:szCs w:val="24"/>
          <w:lang w:eastAsia="zh-CN"/>
        </w:rPr>
      </w:pPr>
      <w:r>
        <w:rPr>
          <w:sz w:val="24"/>
          <w:szCs w:val="24"/>
          <w:lang w:eastAsia="zh-CN"/>
        </w:rPr>
        <w:t>法案的第305章规定：</w:t>
      </w:r>
      <w:r>
        <w:rPr>
          <w:rFonts w:ascii="宋体" w:hAnsi="宋体" w:eastAsia="宋体"/>
          <w:sz w:val="24"/>
          <w:szCs w:val="24"/>
          <w:lang w:eastAsia="zh-CN"/>
        </w:rPr>
        <w:t>“在秘书向任何美国律师报告任何违反本法案的行为制定刑事诉讼程序前，应考虑对这种程序进行审议的人员适当的通知和机会，以口头或书面形式对关于这些审议的程序提出意见。”</w:t>
      </w:r>
    </w:p>
    <w:p w14:paraId="0C94ADA3">
      <w:pPr>
        <w:snapToGrid w:val="0"/>
        <w:spacing w:before="5" w:line="300" w:lineRule="auto"/>
        <w:jc w:val="both"/>
        <w:rPr>
          <w:rFonts w:ascii="Arial" w:hAnsi="Arial" w:eastAsia="Arial" w:cs="Arial"/>
          <w:sz w:val="24"/>
          <w:szCs w:val="24"/>
          <w:lang w:eastAsia="zh-CN"/>
        </w:rPr>
      </w:pPr>
    </w:p>
    <w:p w14:paraId="698BCD28">
      <w:pPr>
        <w:pStyle w:val="2"/>
        <w:snapToGrid w:val="0"/>
        <w:spacing w:line="300" w:lineRule="auto"/>
        <w:ind w:left="0"/>
        <w:jc w:val="both"/>
        <w:rPr>
          <w:sz w:val="24"/>
          <w:szCs w:val="24"/>
          <w:lang w:eastAsia="zh-CN"/>
        </w:rPr>
      </w:pPr>
      <w:r>
        <w:rPr>
          <w:sz w:val="24"/>
          <w:szCs w:val="24"/>
          <w:lang w:eastAsia="zh-CN"/>
        </w:rPr>
        <w:t>在1906年的法案中也加入了类似的条款</w:t>
      </w:r>
      <w:r>
        <w:rPr>
          <w:rFonts w:hint="eastAsia" w:ascii="宋体" w:hAnsi="宋体" w:eastAsia="宋体" w:cs="宋体"/>
          <w:sz w:val="24"/>
          <w:szCs w:val="24"/>
          <w:lang w:eastAsia="zh-CN"/>
        </w:rPr>
        <w:t>。</w:t>
      </w:r>
      <w:r>
        <w:rPr>
          <w:sz w:val="24"/>
          <w:szCs w:val="24"/>
          <w:lang w:eastAsia="zh-CN"/>
        </w:rPr>
        <w:t>根据21 CFR 7.84、7.85和7.87的规定也涵盖了该主题。</w:t>
      </w:r>
    </w:p>
    <w:p w14:paraId="06FA7E05">
      <w:pPr>
        <w:snapToGrid w:val="0"/>
        <w:spacing w:before="5" w:line="300" w:lineRule="auto"/>
        <w:jc w:val="both"/>
        <w:rPr>
          <w:rFonts w:ascii="Arial" w:hAnsi="Arial" w:eastAsia="Arial" w:cs="Arial"/>
          <w:sz w:val="24"/>
          <w:szCs w:val="24"/>
          <w:lang w:eastAsia="zh-CN"/>
        </w:rPr>
      </w:pPr>
    </w:p>
    <w:p w14:paraId="61AF1FA7">
      <w:pPr>
        <w:pStyle w:val="2"/>
        <w:snapToGrid w:val="0"/>
        <w:spacing w:line="300" w:lineRule="auto"/>
        <w:ind w:left="0"/>
        <w:jc w:val="both"/>
        <w:rPr>
          <w:sz w:val="24"/>
          <w:szCs w:val="24"/>
          <w:lang w:eastAsia="zh-CN"/>
        </w:rPr>
      </w:pPr>
      <w:r>
        <w:rPr>
          <w:sz w:val="24"/>
          <w:szCs w:val="24"/>
          <w:lang w:eastAsia="zh-CN"/>
        </w:rPr>
        <w:t>*第305章程序已用作警告，以引起纠正措施</w:t>
      </w:r>
      <w:r>
        <w:rPr>
          <w:rFonts w:hint="eastAsia" w:ascii="宋体" w:hAnsi="宋体" w:eastAsia="宋体" w:cs="宋体"/>
          <w:sz w:val="24"/>
          <w:szCs w:val="24"/>
          <w:lang w:eastAsia="zh-CN"/>
        </w:rPr>
        <w:t>。</w:t>
      </w:r>
      <w:r>
        <w:rPr>
          <w:sz w:val="24"/>
          <w:szCs w:val="24"/>
          <w:lang w:eastAsia="zh-CN"/>
        </w:rPr>
        <w:t>与第305章的目的相反，此类程序仅用于警告目的，以便引起纠正，不应用于替代其他程序以达到纠正措施。</w:t>
      </w:r>
    </w:p>
    <w:p w14:paraId="0A7C52C6">
      <w:pPr>
        <w:snapToGrid w:val="0"/>
        <w:spacing w:before="5" w:line="300" w:lineRule="auto"/>
        <w:jc w:val="both"/>
        <w:rPr>
          <w:rFonts w:ascii="Arial" w:hAnsi="Arial" w:eastAsia="Arial" w:cs="Arial"/>
          <w:sz w:val="24"/>
          <w:szCs w:val="24"/>
          <w:lang w:eastAsia="zh-CN"/>
        </w:rPr>
      </w:pPr>
    </w:p>
    <w:p w14:paraId="467E0AC2">
      <w:pPr>
        <w:pStyle w:val="2"/>
        <w:snapToGrid w:val="0"/>
        <w:spacing w:line="300" w:lineRule="auto"/>
        <w:ind w:left="0"/>
        <w:jc w:val="both"/>
        <w:rPr>
          <w:sz w:val="24"/>
          <w:szCs w:val="24"/>
          <w:lang w:eastAsia="zh-CN"/>
        </w:rPr>
      </w:pPr>
      <w:r>
        <w:rPr>
          <w:sz w:val="24"/>
          <w:szCs w:val="24"/>
          <w:lang w:eastAsia="zh-CN"/>
        </w:rPr>
        <w:t>政策：</w:t>
      </w:r>
    </w:p>
    <w:p w14:paraId="479C0F0D">
      <w:pPr>
        <w:snapToGrid w:val="0"/>
        <w:spacing w:before="10" w:line="300" w:lineRule="auto"/>
        <w:jc w:val="both"/>
        <w:rPr>
          <w:rFonts w:ascii="Arial" w:hAnsi="Arial" w:eastAsia="Arial" w:cs="Arial"/>
          <w:sz w:val="24"/>
          <w:szCs w:val="24"/>
          <w:lang w:eastAsia="zh-CN"/>
        </w:rPr>
      </w:pPr>
    </w:p>
    <w:p w14:paraId="2BA1C384">
      <w:pPr>
        <w:pStyle w:val="2"/>
        <w:snapToGrid w:val="0"/>
        <w:spacing w:line="300" w:lineRule="auto"/>
        <w:ind w:left="0"/>
        <w:jc w:val="both"/>
        <w:rPr>
          <w:sz w:val="24"/>
          <w:szCs w:val="24"/>
          <w:lang w:eastAsia="zh-CN"/>
        </w:rPr>
      </w:pPr>
      <w:r>
        <w:rPr>
          <w:sz w:val="24"/>
          <w:szCs w:val="24"/>
          <w:lang w:eastAsia="zh-CN"/>
        </w:rPr>
        <w:t>*第305 章*只有在该机构实际考虑起诉时才应使用。</w:t>
      </w:r>
    </w:p>
    <w:p w14:paraId="3B2A61C3">
      <w:pPr>
        <w:snapToGrid w:val="0"/>
        <w:spacing w:before="5" w:line="300" w:lineRule="auto"/>
        <w:jc w:val="both"/>
        <w:rPr>
          <w:rFonts w:ascii="Arial" w:hAnsi="Arial" w:eastAsia="Arial" w:cs="Arial"/>
          <w:sz w:val="24"/>
          <w:szCs w:val="24"/>
          <w:lang w:eastAsia="zh-CN"/>
        </w:rPr>
      </w:pPr>
    </w:p>
    <w:p w14:paraId="5F4EF76A">
      <w:pPr>
        <w:pStyle w:val="2"/>
        <w:snapToGrid w:val="0"/>
        <w:spacing w:line="300" w:lineRule="auto"/>
        <w:ind w:left="0"/>
        <w:jc w:val="both"/>
        <w:rPr>
          <w:rFonts w:eastAsiaTheme="minorEastAsia"/>
          <w:sz w:val="24"/>
          <w:szCs w:val="24"/>
          <w:lang w:eastAsia="zh-CN"/>
        </w:rPr>
      </w:pPr>
      <w:r>
        <w:rPr>
          <w:sz w:val="24"/>
          <w:szCs w:val="24"/>
          <w:lang w:eastAsia="zh-CN"/>
        </w:rPr>
        <w:t>*星号之间的材料是新</w:t>
      </w:r>
      <w:r>
        <w:rPr>
          <w:rFonts w:hint="eastAsia" w:eastAsiaTheme="minorEastAsia"/>
          <w:sz w:val="24"/>
          <w:szCs w:val="24"/>
          <w:lang w:eastAsia="zh-CN"/>
        </w:rPr>
        <w:t>材料</w:t>
      </w:r>
      <w:r>
        <w:rPr>
          <w:sz w:val="24"/>
          <w:szCs w:val="24"/>
          <w:lang w:eastAsia="zh-CN"/>
        </w:rPr>
        <w:t>或</w:t>
      </w:r>
      <w:r>
        <w:rPr>
          <w:rFonts w:hint="eastAsia" w:eastAsiaTheme="minorEastAsia"/>
          <w:sz w:val="24"/>
          <w:szCs w:val="24"/>
          <w:lang w:eastAsia="zh-CN"/>
        </w:rPr>
        <w:t>改进材料</w:t>
      </w:r>
      <w:r>
        <w:rPr>
          <w:sz w:val="24"/>
          <w:szCs w:val="24"/>
          <w:lang w:eastAsia="zh-CN"/>
        </w:rPr>
        <w:t>*</w:t>
      </w:r>
    </w:p>
    <w:p w14:paraId="26D815CC">
      <w:pPr>
        <w:pStyle w:val="2"/>
        <w:snapToGrid w:val="0"/>
        <w:spacing w:line="300" w:lineRule="auto"/>
        <w:ind w:left="0"/>
        <w:jc w:val="both"/>
        <w:rPr>
          <w:rFonts w:eastAsiaTheme="minorEastAsia"/>
          <w:sz w:val="24"/>
          <w:szCs w:val="24"/>
          <w:lang w:eastAsia="zh-CN"/>
        </w:rPr>
      </w:pPr>
    </w:p>
    <w:p w14:paraId="2A1BCC75">
      <w:pPr>
        <w:pStyle w:val="2"/>
        <w:snapToGrid w:val="0"/>
        <w:spacing w:line="300" w:lineRule="auto"/>
        <w:ind w:left="0"/>
        <w:jc w:val="both"/>
        <w:rPr>
          <w:rFonts w:eastAsiaTheme="minorEastAsia"/>
          <w:sz w:val="24"/>
          <w:szCs w:val="24"/>
          <w:lang w:eastAsia="zh-CN"/>
        </w:rPr>
      </w:pPr>
      <w:r>
        <w:rPr>
          <w:sz w:val="24"/>
          <w:szCs w:val="24"/>
          <w:lang w:eastAsia="zh-CN"/>
        </w:rPr>
        <w:t>发布日期：1973年12月3日</w:t>
      </w:r>
    </w:p>
    <w:p w14:paraId="32FA08F6">
      <w:pPr>
        <w:pStyle w:val="2"/>
        <w:snapToGrid w:val="0"/>
        <w:spacing w:line="300" w:lineRule="auto"/>
        <w:ind w:left="0"/>
        <w:jc w:val="both"/>
        <w:rPr>
          <w:rFonts w:eastAsiaTheme="minorEastAsia"/>
          <w:sz w:val="24"/>
          <w:szCs w:val="24"/>
          <w:lang w:eastAsia="zh-CN"/>
        </w:rPr>
      </w:pPr>
    </w:p>
    <w:p w14:paraId="716A99D5">
      <w:pPr>
        <w:pStyle w:val="2"/>
        <w:snapToGrid w:val="0"/>
        <w:spacing w:before="9" w:line="300" w:lineRule="auto"/>
        <w:ind w:left="0"/>
        <w:jc w:val="both"/>
        <w:rPr>
          <w:rFonts w:eastAsiaTheme="minorEastAsia"/>
          <w:sz w:val="24"/>
          <w:szCs w:val="24"/>
          <w:lang w:eastAsia="zh-CN"/>
        </w:rPr>
      </w:pPr>
      <w:r>
        <w:rPr>
          <w:sz w:val="24"/>
          <w:szCs w:val="24"/>
          <w:lang w:eastAsia="zh-CN"/>
        </w:rPr>
        <w:t>修订日期：1980年10月1日、1989年8月31日</w:t>
      </w:r>
    </w:p>
    <w:p w14:paraId="1FB97501">
      <w:pPr>
        <w:pStyle w:val="2"/>
        <w:snapToGrid w:val="0"/>
        <w:spacing w:before="9" w:line="300" w:lineRule="auto"/>
        <w:ind w:left="0"/>
        <w:jc w:val="both"/>
        <w:rPr>
          <w:rFonts w:eastAsiaTheme="minorEastAsia"/>
          <w:sz w:val="24"/>
          <w:szCs w:val="24"/>
          <w:lang w:eastAsia="zh-CN"/>
        </w:rPr>
      </w:pPr>
    </w:p>
    <w:tbl>
      <w:tblPr>
        <w:tblStyle w:val="7"/>
        <w:tblW w:w="10884" w:type="dxa"/>
        <w:tblInd w:w="103" w:type="dxa"/>
        <w:tblLayout w:type="fixed"/>
        <w:tblCellMar>
          <w:top w:w="0" w:type="dxa"/>
          <w:left w:w="0" w:type="dxa"/>
          <w:bottom w:w="0" w:type="dxa"/>
          <w:right w:w="0" w:type="dxa"/>
        </w:tblCellMar>
      </w:tblPr>
      <w:tblGrid>
        <w:gridCol w:w="10884"/>
      </w:tblGrid>
      <w:tr w14:paraId="71EF5185">
        <w:tblPrEx>
          <w:tblCellMar>
            <w:top w:w="0" w:type="dxa"/>
            <w:left w:w="0" w:type="dxa"/>
            <w:bottom w:w="0" w:type="dxa"/>
            <w:right w:w="0" w:type="dxa"/>
          </w:tblCellMar>
        </w:tblPrEx>
        <w:tc>
          <w:tcPr>
            <w:tcW w:w="10884" w:type="dxa"/>
            <w:tcBorders>
              <w:top w:val="single" w:color="4F81BD" w:themeColor="accent1" w:sz="12" w:space="0"/>
              <w:left w:val="single" w:color="4F81BD" w:themeColor="accent1" w:sz="12" w:space="0"/>
              <w:bottom w:val="single" w:color="4F81BD" w:themeColor="accent1" w:sz="12" w:space="0"/>
              <w:right w:val="single" w:color="4F81BD" w:themeColor="accent1" w:sz="12" w:space="0"/>
            </w:tcBorders>
            <w:vAlign w:val="center"/>
          </w:tcPr>
          <w:p w14:paraId="5AD98E48">
            <w:pPr>
              <w:pStyle w:val="9"/>
              <w:overflowPunct w:val="0"/>
              <w:snapToGrid w:val="0"/>
              <w:spacing w:before="120" w:beforeLines="50" w:after="120" w:afterLines="50" w:line="300" w:lineRule="auto"/>
              <w:ind w:left="44" w:leftChars="20" w:right="44" w:rightChars="20"/>
              <w:rPr>
                <w:rFonts w:ascii="Arial" w:hAnsi="Arial" w:eastAsia="宋体" w:cs="Arial"/>
                <w:b/>
                <w:sz w:val="24"/>
                <w:szCs w:val="24"/>
                <w:u w:val="single"/>
              </w:rPr>
            </w:pPr>
            <w:r>
              <w:rPr>
                <w:rFonts w:ascii="Arial" w:hAnsi="Arial" w:eastAsia="宋体" w:cs="Arial"/>
                <w:b/>
                <w:sz w:val="24"/>
                <w:szCs w:val="24"/>
                <w:u w:val="single"/>
              </w:rPr>
              <w:t>合规政策指南</w:t>
            </w:r>
            <w:r>
              <w:rPr>
                <w:rFonts w:hint="eastAsia" w:ascii="Arial" w:hAnsi="Arial" w:eastAsia="宋体" w:cs="Arial"/>
                <w:b/>
                <w:sz w:val="24"/>
                <w:szCs w:val="24"/>
                <w:u w:val="single"/>
                <w:lang w:eastAsia="zh-CN"/>
              </w:rPr>
              <w:t>的更多信息</w:t>
            </w:r>
            <w:r>
              <w:rPr>
                <w:rFonts w:ascii="Arial" w:hAnsi="Arial" w:eastAsia="宋体" w:cs="Arial"/>
                <w:b/>
                <w:sz w:val="24"/>
                <w:szCs w:val="24"/>
                <w:u w:val="single"/>
                <w:lang w:eastAsia="zh-CN"/>
              </w:rPr>
              <w:br w:type="textWrapping"/>
            </w:r>
            <w:r>
              <w:rPr>
                <w:rFonts w:ascii="Arial" w:hAnsi="Arial" w:eastAsia="宋体" w:cs="Arial"/>
                <w:b/>
                <w:sz w:val="24"/>
                <w:szCs w:val="24"/>
                <w:u w:val="single"/>
              </w:rPr>
              <w:t>(/ICECI/ComplianceManuals/CompliancePolicvGuidanceManual/default.htm)</w:t>
            </w:r>
          </w:p>
        </w:tc>
      </w:tr>
      <w:tr w14:paraId="3B070CCE">
        <w:tblPrEx>
          <w:tblCellMar>
            <w:top w:w="0" w:type="dxa"/>
            <w:left w:w="0" w:type="dxa"/>
            <w:bottom w:w="0" w:type="dxa"/>
            <w:right w:w="0" w:type="dxa"/>
          </w:tblCellMar>
        </w:tblPrEx>
        <w:tc>
          <w:tcPr>
            <w:tcW w:w="10884" w:type="dxa"/>
            <w:tcBorders>
              <w:top w:val="single" w:color="4F81BD" w:themeColor="accent1" w:sz="12" w:space="0"/>
              <w:left w:val="single" w:color="DDDDDD" w:sz="6" w:space="0"/>
              <w:bottom w:val="single" w:color="DDDDDD" w:sz="6" w:space="0"/>
              <w:right w:val="single" w:color="DDDDDD" w:sz="6" w:space="0"/>
            </w:tcBorders>
            <w:vAlign w:val="center"/>
          </w:tcPr>
          <w:p w14:paraId="7FAB51AC">
            <w:pPr>
              <w:pStyle w:val="9"/>
              <w:overflowPunct w:val="0"/>
              <w:snapToGrid w:val="0"/>
              <w:spacing w:before="120" w:beforeLines="50" w:after="120" w:afterLines="50" w:line="300" w:lineRule="auto"/>
              <w:ind w:left="44" w:leftChars="20" w:right="44" w:rightChars="20"/>
              <w:rPr>
                <w:rFonts w:ascii="Arial" w:hAnsi="Arial" w:eastAsia="宋体" w:cs="Arial"/>
                <w:b/>
                <w:sz w:val="24"/>
                <w:szCs w:val="24"/>
                <w:lang w:eastAsia="zh-CN"/>
              </w:rPr>
            </w:pPr>
            <w:r>
              <w:fldChar w:fldCharType="begin"/>
            </w:r>
            <w:r>
              <w:instrText xml:space="preserve"> HYPERLINK "https://www.fda.gov/ICECI/ComplianceManuals/CompliancePolicyGuidanceManual/ucm116271.htm" \h </w:instrText>
            </w:r>
            <w:r>
              <w:fldChar w:fldCharType="separate"/>
            </w:r>
            <w:r>
              <w:rPr>
                <w:rFonts w:hint="eastAsia" w:ascii="Arial" w:hAnsi="Arial" w:eastAsia="宋体" w:cs="Arial"/>
                <w:b/>
                <w:sz w:val="24"/>
                <w:szCs w:val="24"/>
                <w:u w:val="single" w:color="000000"/>
                <w:lang w:eastAsia="zh-CN"/>
              </w:rPr>
              <w:t>前言</w:t>
            </w:r>
            <w:r>
              <w:rPr>
                <w:rFonts w:ascii="Arial" w:hAnsi="Arial" w:eastAsia="宋体" w:cs="Arial"/>
                <w:b/>
                <w:sz w:val="24"/>
                <w:szCs w:val="24"/>
                <w:u w:val="single" w:color="000000"/>
              </w:rPr>
              <w:t>：合规政策指南（CPG）</w:t>
            </w:r>
            <w:r>
              <w:rPr>
                <w:rFonts w:hint="eastAsia" w:ascii="Arial" w:hAnsi="Arial" w:eastAsia="宋体" w:cs="Arial"/>
                <w:b/>
                <w:sz w:val="24"/>
                <w:szCs w:val="24"/>
                <w:u w:val="single" w:color="000000"/>
                <w:lang w:eastAsia="zh-CN"/>
              </w:rPr>
              <w:br w:type="textWrapping"/>
            </w:r>
            <w:r>
              <w:rPr>
                <w:rFonts w:ascii="Arial" w:hAnsi="Arial" w:eastAsia="宋体" w:cs="Arial"/>
                <w:b/>
                <w:sz w:val="24"/>
                <w:szCs w:val="24"/>
                <w:u w:val="single" w:color="000000"/>
              </w:rPr>
              <w:t>(/ICECI/Compliance Manuals/Compliance PolicyGuidance Manual/ucm116271.htm)</w:t>
            </w:r>
            <w:r>
              <w:rPr>
                <w:rFonts w:ascii="Arial" w:hAnsi="Arial" w:eastAsia="宋体" w:cs="Arial"/>
                <w:b/>
                <w:sz w:val="24"/>
                <w:szCs w:val="24"/>
                <w:u w:val="single" w:color="000000"/>
              </w:rPr>
              <w:fldChar w:fldCharType="end"/>
            </w:r>
          </w:p>
        </w:tc>
      </w:tr>
      <w:tr w14:paraId="4BC8270D">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72AAB668">
            <w:pPr>
              <w:pStyle w:val="9"/>
              <w:overflowPunct w:val="0"/>
              <w:snapToGrid w:val="0"/>
              <w:spacing w:before="120" w:beforeLines="50" w:after="120" w:afterLines="50" w:line="300" w:lineRule="auto"/>
              <w:ind w:left="44" w:leftChars="20" w:right="44" w:rightChars="20"/>
              <w:rPr>
                <w:rFonts w:ascii="Arial" w:hAnsi="Arial" w:eastAsia="宋体" w:cs="Arial"/>
                <w:b/>
                <w:sz w:val="24"/>
                <w:szCs w:val="24"/>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rPr>
              <w:t>第一章-通则</w:t>
            </w:r>
            <w:r>
              <w:rPr>
                <w:rFonts w:hint="eastAsia" w:ascii="Arial" w:hAnsi="Arial" w:eastAsia="宋体" w:cs="Arial"/>
                <w:b/>
                <w:sz w:val="24"/>
                <w:szCs w:val="24"/>
                <w:u w:val="single" w:color="000000"/>
                <w:lang w:eastAsia="zh-CN"/>
              </w:rPr>
              <w:br w:type="textWrapping"/>
            </w:r>
            <w:r>
              <w:rPr>
                <w:rFonts w:ascii="Arial" w:hAnsi="Arial" w:eastAsia="宋体" w:cs="Arial"/>
                <w:b/>
                <w:sz w:val="24"/>
                <w:szCs w:val="24"/>
                <w:u w:val="single" w:color="000000"/>
              </w:rPr>
              <w:t>(/ICECI/Compliance Manuals/Compliance PolicyGuidance Manual/ucm116280.htm)</w:t>
            </w:r>
            <w:r>
              <w:rPr>
                <w:rFonts w:ascii="Arial" w:hAnsi="Arial" w:eastAsia="宋体" w:cs="Arial"/>
                <w:b/>
                <w:sz w:val="24"/>
                <w:szCs w:val="24"/>
                <w:u w:val="single" w:color="000000"/>
              </w:rPr>
              <w:fldChar w:fldCharType="end"/>
            </w:r>
          </w:p>
        </w:tc>
      </w:tr>
      <w:tr w14:paraId="182052D9">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6BA70BFF">
            <w:pPr>
              <w:pStyle w:val="9"/>
              <w:pageBreakBefore/>
              <w:overflowPunct w:val="0"/>
              <w:snapToGrid w:val="0"/>
              <w:spacing w:before="120" w:beforeLines="50" w:after="120" w:afterLines="50" w:line="300" w:lineRule="auto"/>
              <w:ind w:left="44" w:leftChars="20" w:right="44" w:rightChars="20"/>
              <w:rPr>
                <w:rFonts w:ascii="Arial" w:hAnsi="Arial" w:eastAsia="宋体" w:cs="Arial"/>
                <w:b/>
                <w:sz w:val="24"/>
                <w:szCs w:val="24"/>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color="000000"/>
              </w:rPr>
              <w:t>第二章-生物制剂</w:t>
            </w:r>
            <w:r>
              <w:rPr>
                <w:rFonts w:hint="eastAsia" w:ascii="Arial" w:hAnsi="Arial" w:eastAsia="宋体" w:cs="Arial"/>
                <w:b/>
                <w:sz w:val="24"/>
                <w:szCs w:val="24"/>
                <w:u w:val="single" w:color="000000"/>
                <w:lang w:eastAsia="zh-CN"/>
              </w:rPr>
              <w:br w:type="textWrapping"/>
            </w:r>
            <w:r>
              <w:rPr>
                <w:rFonts w:ascii="Arial" w:hAnsi="Arial" w:eastAsia="宋体" w:cs="Arial"/>
                <w:b/>
                <w:sz w:val="24"/>
                <w:szCs w:val="24"/>
                <w:u w:val="single" w:color="000000"/>
              </w:rPr>
              <w:t>(/ICECI/Compliance Manuals/Compliance PolicyGuidance Manual/ucm116336.htm)</w:t>
            </w:r>
            <w:r>
              <w:rPr>
                <w:rFonts w:ascii="Arial" w:hAnsi="Arial" w:eastAsia="宋体" w:cs="Arial"/>
                <w:b/>
                <w:sz w:val="24"/>
                <w:szCs w:val="24"/>
                <w:u w:val="single" w:color="000000"/>
              </w:rPr>
              <w:fldChar w:fldCharType="end"/>
            </w:r>
          </w:p>
        </w:tc>
      </w:tr>
      <w:tr w14:paraId="45B41483">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7C47CEA0">
            <w:pPr>
              <w:pStyle w:val="9"/>
              <w:overflowPunct w:val="0"/>
              <w:snapToGrid w:val="0"/>
              <w:spacing w:before="120" w:beforeLines="50" w:after="120" w:afterLines="50" w:line="300" w:lineRule="auto"/>
              <w:ind w:left="44" w:leftChars="20" w:right="44" w:rightChars="20"/>
              <w:rPr>
                <w:rFonts w:ascii="Arial" w:hAnsi="Arial" w:eastAsia="宋体" w:cs="Arial"/>
                <w:b/>
                <w:sz w:val="24"/>
                <w:szCs w:val="24"/>
                <w:lang w:val="en-US"/>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color="000000"/>
              </w:rPr>
              <w:t>第三章</w:t>
            </w:r>
            <w:r>
              <w:rPr>
                <w:rFonts w:ascii="Arial" w:hAnsi="Arial" w:eastAsia="宋体" w:cs="Arial"/>
                <w:b/>
                <w:sz w:val="24"/>
                <w:szCs w:val="24"/>
                <w:u w:val="single" w:color="000000"/>
                <w:lang w:val="en-US"/>
              </w:rPr>
              <w:t>-</w:t>
            </w:r>
            <w:r>
              <w:rPr>
                <w:rFonts w:ascii="Arial" w:hAnsi="Arial" w:eastAsia="宋体" w:cs="Arial"/>
                <w:b/>
                <w:sz w:val="24"/>
                <w:szCs w:val="24"/>
                <w:u w:val="single" w:color="000000"/>
              </w:rPr>
              <w:t>器械</w:t>
            </w:r>
            <w:r>
              <w:rPr>
                <w:rFonts w:hint="eastAsia" w:ascii="Arial" w:hAnsi="Arial" w:eastAsia="宋体" w:cs="Arial"/>
                <w:b/>
                <w:sz w:val="24"/>
                <w:szCs w:val="24"/>
                <w:u w:val="single" w:color="000000"/>
                <w:lang w:val="en-US" w:eastAsia="zh-CN"/>
              </w:rPr>
              <w:br w:type="textWrapping"/>
            </w:r>
            <w:r>
              <w:rPr>
                <w:rFonts w:ascii="Arial" w:hAnsi="Arial" w:eastAsia="宋体" w:cs="Arial"/>
                <w:b/>
                <w:sz w:val="24"/>
                <w:szCs w:val="24"/>
                <w:u w:val="single" w:color="000000"/>
                <w:lang w:val="en-US"/>
              </w:rPr>
              <w:t>(/ICECI/Compliance Manuals/Compliance PolicyGuidance Manual/ucm116801.htm)</w:t>
            </w:r>
            <w:r>
              <w:rPr>
                <w:rFonts w:ascii="Arial" w:hAnsi="Arial" w:eastAsia="宋体" w:cs="Arial"/>
                <w:b/>
                <w:sz w:val="24"/>
                <w:szCs w:val="24"/>
                <w:u w:val="single" w:color="000000"/>
                <w:lang w:val="en-US"/>
              </w:rPr>
              <w:fldChar w:fldCharType="end"/>
            </w:r>
          </w:p>
        </w:tc>
      </w:tr>
      <w:tr w14:paraId="68A0C586">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1A8D4C39">
            <w:pPr>
              <w:pStyle w:val="9"/>
              <w:overflowPunct w:val="0"/>
              <w:snapToGrid w:val="0"/>
              <w:spacing w:before="120" w:beforeLines="50" w:after="120" w:afterLines="50" w:line="300" w:lineRule="auto"/>
              <w:ind w:left="44" w:leftChars="20" w:right="44" w:rightChars="20"/>
              <w:rPr>
                <w:rFonts w:ascii="Arial" w:hAnsi="Arial" w:eastAsia="宋体" w:cs="Arial"/>
                <w:b/>
                <w:sz w:val="24"/>
                <w:szCs w:val="24"/>
              </w:rPr>
            </w:pP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color="000000"/>
              </w:rPr>
              <w:t>第四章-人用药品</w:t>
            </w:r>
            <w:r>
              <w:rPr>
                <w:rFonts w:hint="eastAsia" w:ascii="Arial" w:hAnsi="Arial" w:eastAsia="宋体" w:cs="Arial"/>
                <w:b/>
                <w:sz w:val="24"/>
                <w:szCs w:val="24"/>
                <w:u w:val="single" w:color="000000"/>
                <w:lang w:eastAsia="zh-CN"/>
              </w:rPr>
              <w:br w:type="textWrapping"/>
            </w:r>
            <w:r>
              <w:rPr>
                <w:rFonts w:ascii="Arial" w:hAnsi="Arial" w:eastAsia="宋体" w:cs="Arial"/>
                <w:b/>
                <w:sz w:val="24"/>
                <w:szCs w:val="24"/>
                <w:u w:val="single" w:color="000000"/>
              </w:rPr>
              <w:t>(/ICECI/Compliance Manuals/Compliance PolicyGuidance Manual/ucm119572.htm)</w:t>
            </w:r>
            <w:r>
              <w:rPr>
                <w:rFonts w:ascii="Arial" w:hAnsi="Arial" w:eastAsia="宋体" w:cs="Arial"/>
                <w:b/>
                <w:sz w:val="24"/>
                <w:szCs w:val="24"/>
                <w:u w:val="single" w:color="000000"/>
              </w:rPr>
              <w:fldChar w:fldCharType="end"/>
            </w:r>
          </w:p>
        </w:tc>
      </w:tr>
      <w:tr w14:paraId="7F4293E4">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78E53F9B">
            <w:pPr>
              <w:pStyle w:val="9"/>
              <w:overflowPunct w:val="0"/>
              <w:snapToGrid w:val="0"/>
              <w:spacing w:before="120" w:beforeLines="50" w:after="120" w:afterLines="50" w:line="300" w:lineRule="auto"/>
              <w:ind w:left="44" w:leftChars="20" w:right="44" w:rightChars="20"/>
              <w:rPr>
                <w:rFonts w:ascii="Arial" w:hAnsi="Arial" w:eastAsia="宋体" w:cs="Arial"/>
                <w:b/>
                <w:sz w:val="24"/>
                <w:szCs w:val="24"/>
              </w:rPr>
            </w:pPr>
            <w:r>
              <w:fldChar w:fldCharType="begin"/>
            </w:r>
            <w:r>
              <w:instrText xml:space="preserve"> HYPERLINK "https://www.fda.gov/ICECI/ComplianceManuals/CompliancePolicyGuidanceManual/ucm119194.htm" \h </w:instrText>
            </w:r>
            <w:r>
              <w:fldChar w:fldCharType="separate"/>
            </w:r>
            <w:r>
              <w:rPr>
                <w:rFonts w:ascii="Arial" w:hAnsi="Arial" w:eastAsia="宋体" w:cs="Arial"/>
                <w:b/>
                <w:sz w:val="24"/>
                <w:szCs w:val="24"/>
                <w:u w:val="single" w:color="000000"/>
              </w:rPr>
              <w:t>第五章-食品、颜料和化妆品</w:t>
            </w:r>
            <w:r>
              <w:rPr>
                <w:rFonts w:hint="eastAsia" w:ascii="Arial" w:hAnsi="Arial" w:eastAsia="宋体" w:cs="Arial"/>
                <w:b/>
                <w:sz w:val="24"/>
                <w:szCs w:val="24"/>
                <w:u w:val="single" w:color="000000"/>
                <w:lang w:eastAsia="zh-CN"/>
              </w:rPr>
              <w:br w:type="textWrapping"/>
            </w:r>
            <w:r>
              <w:rPr>
                <w:rFonts w:ascii="Arial" w:hAnsi="Arial" w:eastAsia="宋体" w:cs="Arial"/>
                <w:b/>
                <w:sz w:val="24"/>
                <w:szCs w:val="24"/>
                <w:u w:val="single" w:color="000000"/>
              </w:rPr>
              <w:t>(/ICECI/Compliance Manuals/Compliance PolicyGuidance Manual/ucm119194.htm)</w:t>
            </w:r>
            <w:r>
              <w:rPr>
                <w:rFonts w:ascii="Arial" w:hAnsi="Arial" w:eastAsia="宋体" w:cs="Arial"/>
                <w:b/>
                <w:sz w:val="24"/>
                <w:szCs w:val="24"/>
                <w:u w:val="single" w:color="000000"/>
              </w:rPr>
              <w:fldChar w:fldCharType="end"/>
            </w:r>
          </w:p>
        </w:tc>
      </w:tr>
      <w:tr w14:paraId="766D3A5F">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653BC2F5">
            <w:pPr>
              <w:overflowPunct w:val="0"/>
              <w:snapToGrid w:val="0"/>
              <w:spacing w:before="120" w:beforeLines="50" w:after="120" w:afterLines="50" w:line="300" w:lineRule="auto"/>
              <w:ind w:left="44" w:leftChars="20" w:right="44" w:rightChars="20"/>
              <w:rPr>
                <w:rFonts w:ascii="Arial" w:hAnsi="Arial" w:eastAsia="宋体" w:cs="Arial"/>
                <w:b/>
                <w:sz w:val="24"/>
                <w:szCs w:val="24"/>
                <w:lang w:eastAsia="zh-CN"/>
              </w:rPr>
            </w:pPr>
            <w:r>
              <w:fldChar w:fldCharType="begin"/>
            </w:r>
            <w:r>
              <w:instrText xml:space="preserve"> HYPERLINK "https://www.fda.gov/ICECI/ComplianceManuals/CompliancePolicyGuidanceManual/ucm117042.htm" \h </w:instrText>
            </w:r>
            <w:r>
              <w:fldChar w:fldCharType="separate"/>
            </w:r>
            <w:r>
              <w:rPr>
                <w:rFonts w:ascii="Arial" w:hAnsi="Arial" w:eastAsia="宋体" w:cs="Arial"/>
                <w:b/>
                <w:sz w:val="24"/>
                <w:szCs w:val="24"/>
                <w:u w:val="single" w:color="000000"/>
              </w:rPr>
              <w:t>第六章-兽医</w:t>
            </w:r>
            <w:r>
              <w:rPr>
                <w:rFonts w:hint="eastAsia" w:ascii="Arial" w:hAnsi="Arial" w:eastAsia="宋体" w:cs="Arial"/>
                <w:b/>
                <w:sz w:val="24"/>
                <w:szCs w:val="24"/>
                <w:u w:val="single" w:color="000000"/>
                <w:lang w:eastAsia="zh-CN"/>
              </w:rPr>
              <w:t>医</w:t>
            </w:r>
            <w:r>
              <w:rPr>
                <w:rFonts w:ascii="Arial" w:hAnsi="Arial" w:eastAsia="宋体" w:cs="Arial"/>
                <w:b/>
                <w:sz w:val="24"/>
                <w:szCs w:val="24"/>
                <w:u w:val="single" w:color="000000"/>
              </w:rPr>
              <w:t>学</w:t>
            </w:r>
            <w:r>
              <w:rPr>
                <w:rFonts w:hint="eastAsia" w:ascii="Arial" w:hAnsi="Arial" w:eastAsia="宋体" w:cs="Arial"/>
                <w:b/>
                <w:sz w:val="24"/>
                <w:szCs w:val="24"/>
                <w:u w:val="single" w:color="000000"/>
                <w:lang w:eastAsia="zh-CN"/>
              </w:rPr>
              <w:br w:type="textWrapping"/>
            </w:r>
            <w:r>
              <w:rPr>
                <w:rFonts w:ascii="Arial" w:hAnsi="Arial" w:eastAsia="宋体" w:cs="Arial"/>
                <w:b/>
                <w:sz w:val="24"/>
                <w:szCs w:val="24"/>
                <w:u w:val="single" w:color="000000"/>
              </w:rPr>
              <w:t>(/ICECI/Compliance Manuals/Compliance PolicyGuidance Manual/ucm117042.htm)</w:t>
            </w:r>
            <w:r>
              <w:rPr>
                <w:rFonts w:ascii="Arial" w:hAnsi="Arial" w:eastAsia="宋体" w:cs="Arial"/>
                <w:b/>
                <w:sz w:val="24"/>
                <w:szCs w:val="24"/>
                <w:u w:val="single" w:color="000000"/>
              </w:rPr>
              <w:fldChar w:fldCharType="end"/>
            </w:r>
          </w:p>
        </w:tc>
      </w:tr>
    </w:tbl>
    <w:p w14:paraId="2AD5C49C">
      <w:pPr>
        <w:snapToGrid w:val="0"/>
        <w:spacing w:line="300" w:lineRule="auto"/>
        <w:jc w:val="both"/>
        <w:rPr>
          <w:rFonts w:ascii="Arial" w:hAnsi="Arial" w:eastAsia="Arial" w:cs="Arial"/>
          <w:sz w:val="24"/>
          <w:szCs w:val="24"/>
          <w:lang w:eastAsia="zh-CN"/>
        </w:rPr>
      </w:pPr>
    </w:p>
    <w:p w14:paraId="0445BC92">
      <w:pPr>
        <w:snapToGrid w:val="0"/>
        <w:spacing w:line="300" w:lineRule="auto"/>
        <w:jc w:val="both"/>
        <w:rPr>
          <w:rFonts w:hint="eastAsia" w:eastAsia="宋体"/>
          <w:lang w:eastAsia="zh-CN"/>
        </w:rPr>
      </w:pPr>
    </w:p>
    <w:p w14:paraId="4DB89150">
      <w:pPr>
        <w:snapToGrid w:val="0"/>
        <w:spacing w:line="300" w:lineRule="auto"/>
        <w:jc w:val="center"/>
        <w:rPr>
          <w:rFonts w:hint="eastAsia" w:eastAsia="宋体"/>
          <w:lang w:eastAsia="zh-CN"/>
        </w:rPr>
      </w:pPr>
    </w:p>
    <w:p w14:paraId="5B04BFCD">
      <w:pPr>
        <w:snapToGrid w:val="0"/>
        <w:spacing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567" w:right="567" w:bottom="567" w:left="567" w:header="290" w:footer="27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5B171">
    <w:pPr>
      <w:tabs>
        <w:tab w:val="right" w:pos="10773"/>
      </w:tabs>
      <w:spacing w:line="184" w:lineRule="exact"/>
      <w:ind w:left="40"/>
      <w:rPr>
        <w:rFonts w:ascii="Arial" w:hAnsi="Arial" w:cs="Arial"/>
        <w:sz w:val="15"/>
        <w:szCs w:val="15"/>
        <w:lang w:eastAsia="zh-CN"/>
      </w:rPr>
    </w:pPr>
    <w:r>
      <w:fldChar w:fldCharType="begin"/>
    </w:r>
    <w:r>
      <w:instrText xml:space="preserve"> HYPERLINK "https://www.fda.gov/ICECI/ComplianceManuals/CompliancePolicyGuidanceManual/ucm116336.htm" \h </w:instrText>
    </w:r>
    <w:r>
      <w:fldChar w:fldCharType="separate"/>
    </w:r>
    <w:r>
      <w:rPr>
        <w:rFonts w:ascii="Arial" w:hAnsi="Arial" w:cs="Arial"/>
        <w:sz w:val="15"/>
        <w:szCs w:val="15"/>
      </w:rPr>
      <w:t>https://www.fda.gov/ICECI/ComplianceManuals/CompliancePolicyGuidanceManual/ucm073850.htm</w:t>
    </w:r>
    <w:r>
      <w:rPr>
        <w:rFonts w:ascii="Arial" w:hAnsi="Arial" w:cs="Arial"/>
        <w:sz w:val="15"/>
        <w:szCs w:val="15"/>
      </w:rPr>
      <w:fldChar w:fldCharType="end"/>
    </w:r>
    <w:r>
      <w:rPr>
        <w:rFonts w:ascii="Arial" w:hAnsi="Arial" w:cs="Arial"/>
        <w:sz w:val="15"/>
        <w:szCs w:val="15"/>
        <w:lang w:eastAsia="zh-CN"/>
      </w:rPr>
      <w:tab/>
    </w:r>
    <w:r>
      <w:rPr>
        <w:rFonts w:ascii="Arial" w:hAnsi="Arial" w:cs="Arial"/>
        <w:sz w:val="15"/>
        <w:szCs w:val="15"/>
      </w:rPr>
      <w:fldChar w:fldCharType="begin"/>
    </w:r>
    <w:r>
      <w:rPr>
        <w:rFonts w:ascii="Arial" w:hAnsi="Arial" w:cs="Arial"/>
        <w:sz w:val="15"/>
        <w:szCs w:val="15"/>
      </w:rPr>
      <w:instrText xml:space="preserve"> PAGE </w:instrText>
    </w:r>
    <w:r>
      <w:rPr>
        <w:rFonts w:ascii="Arial" w:hAnsi="Arial" w:cs="Arial"/>
        <w:sz w:val="15"/>
        <w:szCs w:val="15"/>
      </w:rPr>
      <w:fldChar w:fldCharType="separate"/>
    </w:r>
    <w:r>
      <w:rPr>
        <w:rFonts w:ascii="Arial" w:hAnsi="Arial" w:cs="Arial"/>
        <w:sz w:val="15"/>
        <w:szCs w:val="15"/>
      </w:rPr>
      <w:t>1</w:t>
    </w:r>
    <w:r>
      <w:rPr>
        <w:rFonts w:ascii="Arial" w:hAnsi="Arial" w:cs="Arial"/>
        <w:sz w:val="15"/>
        <w:szCs w:val="15"/>
      </w:rPr>
      <w:fldChar w:fldCharType="end"/>
    </w:r>
    <w:r>
      <w:fldChar w:fldCharType="begin"/>
    </w:r>
    <w:r>
      <w:instrText xml:space="preserve"> HYPERLINK "https://www.fda.gov/ICECI/ComplianceManuals/CompliancePolicyGuidanceManual/ucm116336.htm" \h </w:instrText>
    </w:r>
    <w:r>
      <w:fldChar w:fldCharType="separate"/>
    </w:r>
    <w:r>
      <w:rPr>
        <w:rFonts w:ascii="Arial" w:hAnsi="Arial" w:cs="Arial"/>
        <w:sz w:val="15"/>
        <w:szCs w:val="15"/>
      </w:rPr>
      <w:t>/2</w:t>
    </w:r>
    <w:r>
      <w:rPr>
        <w:rFonts w:ascii="Arial" w:hAnsi="Arial" w:cs="Arial"/>
        <w:sz w:val="15"/>
        <w:szCs w:val="15"/>
      </w:rPr>
      <w:fldChar w:fldCharType="end"/>
    </w:r>
  </w:p>
  <w:p w14:paraId="1057EFE4">
    <w:pPr>
      <w:spacing w:line="14" w:lineRule="auto"/>
      <w:rPr>
        <w:rFonts w:ascii="Arial" w:hAnsi="Arial" w:cs="Arial"/>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219B">
    <w:pPr>
      <w:tabs>
        <w:tab w:val="left" w:pos="3261"/>
      </w:tabs>
      <w:spacing w:line="184" w:lineRule="exact"/>
      <w:ind w:left="20"/>
      <w:rPr>
        <w:rFonts w:ascii="Arial" w:hAnsi="Arial" w:eastAsia="Arial" w:cs="Arial"/>
        <w:sz w:val="15"/>
        <w:szCs w:val="15"/>
        <w:lang w:eastAsia="zh-CN"/>
      </w:rPr>
    </w:pPr>
    <w:r>
      <w:rPr>
        <w:rFonts w:ascii="Arial" w:hAnsi="Arial" w:cs="Arial"/>
        <w:sz w:val="15"/>
        <w:szCs w:val="15"/>
        <w:lang w:eastAsia="zh-CN"/>
      </w:rPr>
      <w:t>2017年8月10日</w:t>
    </w:r>
    <w:r>
      <w:rPr>
        <w:rFonts w:ascii="Arial" w:hAnsi="Arial" w:cs="Arial"/>
        <w:sz w:val="15"/>
        <w:szCs w:val="15"/>
        <w:lang w:eastAsia="zh-CN"/>
      </w:rPr>
      <w:tab/>
    </w:r>
    <w:r>
      <w:rPr>
        <w:rFonts w:ascii="Arial" w:hAnsi="Arial" w:cs="Arial"/>
        <w:sz w:val="15"/>
        <w:szCs w:val="15"/>
        <w:lang w:eastAsia="zh-CN"/>
      </w:rPr>
      <w:t>合规政策指南&gt;CPG章节 *第305章会议*在违法犯罪报告前</w:t>
    </w:r>
  </w:p>
  <w:p w14:paraId="0E7150B3">
    <w:pPr>
      <w:spacing w:line="184" w:lineRule="exact"/>
      <w:ind w:left="20"/>
      <w:rPr>
        <w:rFonts w:ascii="Arial" w:hAnsi="Arial" w:cs="Arial"/>
        <w:sz w:val="15"/>
        <w:szCs w:val="15"/>
        <w:lang w:eastAsia="zh-CN"/>
      </w:rPr>
    </w:pPr>
  </w:p>
  <w:p w14:paraId="354F6E3A">
    <w:pPr>
      <w:spacing w:line="184" w:lineRule="exact"/>
      <w:ind w:left="20"/>
      <w:rPr>
        <w:rFonts w:ascii="Arial" w:hAnsi="Arial" w:cs="Arial"/>
        <w:sz w:val="15"/>
        <w:szCs w:val="15"/>
        <w:lang w:eastAsia="zh-CN"/>
      </w:rPr>
    </w:pPr>
  </w:p>
  <w:p w14:paraId="5FE0D1F6">
    <w:pPr>
      <w:spacing w:line="184" w:lineRule="exact"/>
      <w:ind w:left="20"/>
      <w:rPr>
        <w:rFonts w:ascii="Arial" w:hAnsi="Arial" w:cs="Arial"/>
        <w:sz w:val="15"/>
        <w:szCs w:val="15"/>
        <w:lang w:eastAsia="zh-CN"/>
      </w:rPr>
    </w:pPr>
  </w:p>
  <w:p w14:paraId="6E52466B">
    <w:pPr>
      <w:spacing w:line="14" w:lineRule="auto"/>
      <w:rPr>
        <w:rFonts w:ascii="Arial" w:hAnsi="Arial" w:cs="Arial"/>
        <w:sz w:val="15"/>
        <w:szCs w:val="15"/>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096"/>
    <w:rsid w:val="00025BC3"/>
    <w:rsid w:val="00036766"/>
    <w:rsid w:val="00113DB3"/>
    <w:rsid w:val="00176BF2"/>
    <w:rsid w:val="003946D2"/>
    <w:rsid w:val="003C2131"/>
    <w:rsid w:val="00481096"/>
    <w:rsid w:val="005E786C"/>
    <w:rsid w:val="00705949"/>
    <w:rsid w:val="007E048E"/>
    <w:rsid w:val="007E59A6"/>
    <w:rsid w:val="00804D67"/>
    <w:rsid w:val="00837E68"/>
    <w:rsid w:val="008E0515"/>
    <w:rsid w:val="009161B8"/>
    <w:rsid w:val="00A1260D"/>
    <w:rsid w:val="00A47AD1"/>
    <w:rsid w:val="00A92518"/>
    <w:rsid w:val="00BE1E93"/>
    <w:rsid w:val="00D35096"/>
    <w:rsid w:val="00E17B2B"/>
    <w:rsid w:val="1F8A4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de-DE"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Arial"/>
      <w:sz w:val="25"/>
      <w:szCs w:val="25"/>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389</Words>
  <Characters>967</Characters>
  <Lines>12</Lines>
  <Paragraphs>3</Paragraphs>
  <TotalTime>0</TotalTime>
  <ScaleCrop>false</ScaleCrop>
  <LinksUpToDate>false</LinksUpToDate>
  <CharactersWithSpaces>992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2017-11-10T01:45:00Z</dcterms:created>
  <dc:creator>wenrongzhen</dc:creator>
  <cp:lastModifiedBy>太极箫客</cp:lastModifiedBy>
  <dcterms:modified xsi:type="dcterms:W3CDTF">2025-08-14T06:16:08Z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6647962DE7B74071B6A70BF539FCFFD7_12</vt:lpwstr>
  </property>
</Properties>
</file>