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3835D">
      <w:pPr>
        <w:snapToGrid w:val="0"/>
        <w:spacing w:line="300" w:lineRule="auto"/>
        <w:jc w:val="both"/>
        <w:rPr>
          <w:rFonts w:hint="eastAsia" w:ascii="Arial" w:hAnsi="Arial" w:eastAsia="宋体" w:cs="Arial"/>
          <w:sz w:val="20"/>
          <w:szCs w:val="20"/>
        </w:rPr>
      </w:pPr>
      <w:bookmarkStart w:id="0" w:name="_GoBack"/>
      <w:bookmarkEnd w:id="0"/>
    </w:p>
    <w:p w14:paraId="22665E12">
      <w:pPr>
        <w:snapToGrid w:val="0"/>
        <w:spacing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724A4E84">
      <w:pPr>
        <w:snapToGrid w:val="0"/>
        <w:spacing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70DF9384">
      <w:pPr>
        <w:snapToGrid w:val="0"/>
        <w:spacing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4FA90078">
      <w:pPr>
        <w:snapToGrid w:val="0"/>
        <w:spacing w:before="121" w:line="300" w:lineRule="auto"/>
        <w:ind w:hanging="15"/>
        <w:jc w:val="both"/>
        <w:rPr>
          <w:rFonts w:ascii="Arial" w:hAnsi="Arial" w:eastAsia="宋体" w:cs="Arial"/>
          <w:b/>
          <w:sz w:val="64"/>
          <w:szCs w:val="64"/>
        </w:rPr>
      </w:pPr>
      <w:r>
        <w:rPr>
          <w:rFonts w:ascii="Arial" w:hAnsi="Arial" w:eastAsia="宋体" w:cs="Arial"/>
          <w:b/>
          <w:sz w:val="64"/>
          <w:szCs w:val="64"/>
        </w:rPr>
        <w:t xml:space="preserve">CPG </w:t>
      </w:r>
      <w:r>
        <w:rPr>
          <w:rFonts w:hint="eastAsia" w:ascii="Arial" w:hAnsi="Arial" w:eastAsia="宋体" w:cs="Arial"/>
          <w:b/>
          <w:sz w:val="64"/>
          <w:szCs w:val="64"/>
        </w:rPr>
        <w:t>章节</w:t>
      </w:r>
      <w:r>
        <w:rPr>
          <w:rFonts w:ascii="Arial" w:hAnsi="Arial" w:eastAsia="宋体" w:cs="Arial"/>
          <w:b/>
          <w:sz w:val="64"/>
          <w:szCs w:val="64"/>
        </w:rPr>
        <w:t>130.300 FDA对质量保证程序审核和检查结果的访问</w:t>
      </w:r>
    </w:p>
    <w:p w14:paraId="16735728">
      <w:pPr>
        <w:pStyle w:val="2"/>
        <w:snapToGrid w:val="0"/>
        <w:spacing w:before="387" w:line="300" w:lineRule="auto"/>
        <w:ind w:left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文档发布日期：2007年6月2日</w:t>
      </w:r>
    </w:p>
    <w:p w14:paraId="6386F86D">
      <w:pPr>
        <w:snapToGrid w:val="0"/>
        <w:spacing w:before="3" w:line="300" w:lineRule="auto"/>
        <w:jc w:val="both"/>
        <w:rPr>
          <w:rFonts w:ascii="Arial" w:hAnsi="Arial" w:eastAsia="宋体" w:cs="Arial"/>
          <w:b/>
          <w:sz w:val="24"/>
          <w:szCs w:val="24"/>
        </w:rPr>
      </w:pPr>
    </w:p>
    <w:p w14:paraId="2BC6A094">
      <w:pPr>
        <w:pStyle w:val="2"/>
        <w:snapToGrid w:val="0"/>
        <w:spacing w:line="300" w:lineRule="auto"/>
        <w:ind w:left="0" w:hanging="15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本文档将取代1996年3月发布的合规政策</w:t>
      </w:r>
      <w:r>
        <w:rPr>
          <w:rFonts w:hint="eastAsia" w:cs="Arial"/>
          <w:b/>
          <w:sz w:val="24"/>
          <w:szCs w:val="24"/>
        </w:rPr>
        <w:t>指南</w:t>
      </w:r>
      <w:r>
        <w:rPr>
          <w:rFonts w:cs="Arial"/>
          <w:b/>
          <w:sz w:val="24"/>
          <w:szCs w:val="24"/>
        </w:rPr>
        <w:t>（CPG）</w:t>
      </w:r>
      <w:r>
        <w:rPr>
          <w:rFonts w:ascii="宋体" w:hAnsi="宋体" w:cs="Arial"/>
          <w:b/>
          <w:sz w:val="24"/>
          <w:szCs w:val="24"/>
        </w:rPr>
        <w:t>“</w:t>
      </w:r>
      <w:r>
        <w:rPr>
          <w:rFonts w:hint="eastAsia" w:cs="Arial"/>
          <w:b/>
          <w:sz w:val="24"/>
          <w:szCs w:val="24"/>
        </w:rPr>
        <w:t>章节</w:t>
      </w:r>
      <w:r>
        <w:rPr>
          <w:rFonts w:cs="Arial"/>
          <w:b/>
          <w:sz w:val="24"/>
          <w:szCs w:val="24"/>
        </w:rPr>
        <w:t>130.300 FDA对质量保证程序审核和检查结果的访问（CPG 7151.02）</w:t>
      </w:r>
      <w:r>
        <w:rPr>
          <w:rFonts w:ascii="宋体" w:hAnsi="宋体" w:cs="Arial"/>
          <w:b/>
          <w:sz w:val="24"/>
          <w:szCs w:val="24"/>
        </w:rPr>
        <w:t>”</w:t>
      </w:r>
    </w:p>
    <w:p w14:paraId="5C577B35">
      <w:pPr>
        <w:snapToGrid w:val="0"/>
        <w:spacing w:before="2" w:line="300" w:lineRule="auto"/>
        <w:jc w:val="both"/>
        <w:rPr>
          <w:rFonts w:ascii="Arial" w:hAnsi="Arial" w:eastAsia="宋体" w:cs="Arial"/>
          <w:b/>
          <w:sz w:val="24"/>
          <w:szCs w:val="24"/>
        </w:rPr>
      </w:pPr>
    </w:p>
    <w:p w14:paraId="768E50EB">
      <w:pPr>
        <w:pStyle w:val="11"/>
        <w:tabs>
          <w:tab w:val="left" w:pos="680"/>
        </w:tabs>
        <w:snapToGrid w:val="0"/>
        <w:spacing w:line="300" w:lineRule="auto"/>
        <w:jc w:val="both"/>
        <w:rPr>
          <w:rFonts w:ascii="Arial" w:hAnsi="Arial" w:eastAsia="宋体" w:cs="Arial"/>
          <w:b/>
          <w:sz w:val="24"/>
          <w:szCs w:val="24"/>
        </w:rPr>
      </w:pPr>
      <w:r>
        <w:rPr>
          <w:rFonts w:ascii="Arial" w:hAnsi="Arial" w:eastAsia="宋体" w:cs="Arial"/>
          <w:b/>
          <w:sz w:val="24"/>
          <w:szCs w:val="24"/>
        </w:rPr>
        <w:t>美国卫生</w:t>
      </w:r>
      <w:r>
        <w:rPr>
          <w:rFonts w:hint="eastAsia" w:ascii="Arial" w:hAnsi="Arial" w:eastAsia="宋体" w:cs="Arial"/>
          <w:b/>
          <w:sz w:val="24"/>
          <w:szCs w:val="24"/>
        </w:rPr>
        <w:t>和人类服务署</w:t>
      </w:r>
      <w:r>
        <w:rPr>
          <w:rFonts w:ascii="Arial" w:hAnsi="Arial" w:eastAsia="宋体" w:cs="Arial"/>
          <w:b/>
          <w:sz w:val="24"/>
          <w:szCs w:val="24"/>
        </w:rPr>
        <w:cr/>
      </w:r>
      <w:r>
        <w:rPr>
          <w:rFonts w:ascii="Arial" w:hAnsi="Arial" w:eastAsia="宋体" w:cs="Arial"/>
          <w:b/>
          <w:sz w:val="24"/>
          <w:szCs w:val="24"/>
        </w:rPr>
        <w:t>食品药品监督管理局</w:t>
      </w:r>
    </w:p>
    <w:p w14:paraId="4C4827B5">
      <w:pPr>
        <w:pStyle w:val="2"/>
        <w:snapToGrid w:val="0"/>
        <w:spacing w:before="1" w:line="300" w:lineRule="auto"/>
        <w:ind w:left="0"/>
        <w:jc w:val="both"/>
        <w:rPr>
          <w:rFonts w:cs="Arial"/>
          <w:b/>
          <w:sz w:val="24"/>
          <w:szCs w:val="24"/>
        </w:rPr>
      </w:pPr>
      <w:r>
        <w:rPr>
          <w:rFonts w:hint="eastAsia" w:cs="Arial"/>
          <w:b/>
          <w:sz w:val="24"/>
          <w:szCs w:val="24"/>
        </w:rPr>
        <w:t>法规</w:t>
      </w:r>
      <w:r>
        <w:rPr>
          <w:rFonts w:cs="Arial"/>
          <w:b/>
          <w:sz w:val="24"/>
          <w:szCs w:val="24"/>
        </w:rPr>
        <w:t>事务办公室</w:t>
      </w:r>
      <w:r>
        <w:rPr>
          <w:rFonts w:cs="Arial"/>
          <w:b/>
          <w:sz w:val="24"/>
          <w:szCs w:val="24"/>
        </w:rPr>
        <w:cr/>
      </w:r>
      <w:r>
        <w:rPr>
          <w:rFonts w:cs="Arial"/>
          <w:b/>
          <w:sz w:val="24"/>
          <w:szCs w:val="24"/>
        </w:rPr>
        <w:t>强制执法办公室</w:t>
      </w:r>
    </w:p>
    <w:p w14:paraId="1F6B2412">
      <w:pPr>
        <w:pStyle w:val="2"/>
        <w:snapToGrid w:val="0"/>
        <w:spacing w:line="300" w:lineRule="auto"/>
        <w:ind w:left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合规政策司</w:t>
      </w:r>
    </w:p>
    <w:p w14:paraId="4BFF555E">
      <w:pPr>
        <w:snapToGrid w:val="0"/>
        <w:spacing w:before="7" w:line="300" w:lineRule="auto"/>
        <w:jc w:val="both"/>
        <w:rPr>
          <w:rFonts w:ascii="Arial" w:hAnsi="Arial" w:eastAsia="宋体" w:cs="Arial"/>
          <w:b/>
          <w:sz w:val="24"/>
          <w:szCs w:val="24"/>
        </w:rPr>
      </w:pPr>
    </w:p>
    <w:p w14:paraId="571F47F4">
      <w:pPr>
        <w:pStyle w:val="2"/>
        <w:snapToGrid w:val="0"/>
        <w:spacing w:before="67" w:line="300" w:lineRule="auto"/>
        <w:ind w:left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引言</w:t>
      </w:r>
    </w:p>
    <w:p w14:paraId="6EFEFC2D">
      <w:pPr>
        <w:snapToGrid w:val="0"/>
        <w:spacing w:before="209" w:line="300" w:lineRule="auto"/>
        <w:jc w:val="both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公共</w:t>
      </w:r>
      <w:r>
        <w:rPr>
          <w:rFonts w:ascii="Arial" w:hAnsi="Arial" w:eastAsia="宋体" w:cs="Arial"/>
          <w:sz w:val="24"/>
          <w:szCs w:val="24"/>
        </w:rPr>
        <w:t>评论：</w:t>
      </w:r>
    </w:p>
    <w:p w14:paraId="683C26D9">
      <w:pPr>
        <w:snapToGrid w:val="0"/>
        <w:spacing w:before="4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1F5448EC">
      <w:pPr>
        <w:pStyle w:val="2"/>
        <w:tabs>
          <w:tab w:val="left" w:pos="9128"/>
        </w:tabs>
        <w:snapToGrid w:val="0"/>
        <w:spacing w:before="67" w:line="300" w:lineRule="auto"/>
        <w:ind w:left="0" w:hanging="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针对本文档的书面评论请提交至食品药品监督管理局案卷管理</w:t>
      </w:r>
      <w:r>
        <w:rPr>
          <w:rFonts w:hint="eastAsia" w:cs="Arial"/>
          <w:sz w:val="24"/>
          <w:szCs w:val="24"/>
        </w:rPr>
        <w:t>科</w:t>
      </w:r>
      <w:r>
        <w:rPr>
          <w:rFonts w:cs="Arial"/>
          <w:sz w:val="24"/>
          <w:szCs w:val="24"/>
        </w:rPr>
        <w:t>（HFA-305），5630 Fishers Lane， rm.1061，Rockville， MD 20852.电子评论请提交至</w:t>
      </w:r>
      <w:r>
        <w:rPr>
          <w:rFonts w:cs="Arial"/>
          <w:sz w:val="24"/>
          <w:szCs w:val="24"/>
          <w:u w:val="dottedHeavy"/>
        </w:rPr>
        <w:fldChar w:fldCharType="begin"/>
      </w:r>
      <w:r>
        <w:rPr>
          <w:rFonts w:cs="Arial"/>
          <w:sz w:val="24"/>
          <w:szCs w:val="24"/>
          <w:u w:val="dottedHeavy"/>
        </w:rPr>
        <w:instrText xml:space="preserve"> HYPERLINK "http://www.fda.gov/RequIatoryInformation/Dockets/Comments/default.htm" \h </w:instrText>
      </w:r>
      <w:r>
        <w:rPr>
          <w:rFonts w:cs="Arial"/>
          <w:sz w:val="24"/>
          <w:szCs w:val="24"/>
          <w:u w:val="dottedHeavy"/>
        </w:rPr>
        <w:fldChar w:fldCharType="separate"/>
      </w:r>
      <w:r>
        <w:rPr>
          <w:rFonts w:cs="Arial"/>
          <w:sz w:val="24"/>
          <w:szCs w:val="24"/>
          <w:u w:val="dottedHeavy" w:color="181818"/>
        </w:rPr>
        <w:t>http://www.fda.gov/RequIatoryInformation/Dockets/Comments/default.htm</w:t>
      </w:r>
      <w:r>
        <w:rPr>
          <w:rFonts w:cs="Arial"/>
          <w:sz w:val="24"/>
          <w:szCs w:val="24"/>
          <w:u w:val="dottedHeavy" w:color="181818"/>
        </w:rPr>
        <w:fldChar w:fldCharType="end"/>
      </w:r>
      <w:r>
        <w:rPr>
          <w:rFonts w:cs="Arial"/>
          <w:sz w:val="24"/>
          <w:szCs w:val="24"/>
        </w:rPr>
        <w:t>（</w:t>
      </w:r>
      <w:r>
        <w:rPr>
          <w:rFonts w:cs="Arial"/>
          <w:sz w:val="24"/>
          <w:szCs w:val="24"/>
          <w:u w:val="dottedHeavy" w:color="0C0C0C"/>
        </w:rPr>
        <w:t>/RequIatoryInformation/Dockets/Comments/default</w:t>
      </w:r>
      <w:r>
        <w:rPr>
          <w:rFonts w:hint="eastAsia" w:cs="Arial"/>
          <w:sz w:val="24"/>
          <w:szCs w:val="24"/>
          <w:u w:val="dottedHeavy" w:color="0C0C0C"/>
        </w:rPr>
        <w:t>.</w:t>
      </w:r>
      <w:r>
        <w:rPr>
          <w:rFonts w:cs="Arial"/>
          <w:sz w:val="24"/>
          <w:szCs w:val="24"/>
          <w:u w:val="dottedHeavy" w:color="0C0C0C"/>
        </w:rPr>
        <w:t>htm）</w:t>
      </w:r>
      <w:r>
        <w:rPr>
          <w:rFonts w:cs="Arial"/>
          <w:sz w:val="24"/>
          <w:szCs w:val="24"/>
        </w:rPr>
        <w:t>。针对使用和解释本指南的问题，请致电联系Jeffrey Governale，电话：240-632-6851。</w:t>
      </w:r>
    </w:p>
    <w:p w14:paraId="405CCDB4">
      <w:pPr>
        <w:snapToGrid w:val="0"/>
        <w:spacing w:before="9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357D5639">
      <w:pPr>
        <w:snapToGrid w:val="0"/>
        <w:spacing w:line="300" w:lineRule="auto"/>
        <w:jc w:val="both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其他</w:t>
      </w:r>
      <w:r>
        <w:rPr>
          <w:rFonts w:ascii="Arial" w:hAnsi="Arial" w:eastAsia="宋体" w:cs="Arial"/>
          <w:sz w:val="24"/>
          <w:szCs w:val="24"/>
        </w:rPr>
        <w:t>副本：</w:t>
      </w:r>
    </w:p>
    <w:p w14:paraId="1A183F32">
      <w:pPr>
        <w:snapToGrid w:val="0"/>
        <w:spacing w:before="4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20CFC2E8">
      <w:pPr>
        <w:pStyle w:val="2"/>
        <w:snapToGrid w:val="0"/>
        <w:spacing w:before="67" w:line="300" w:lineRule="auto"/>
        <w:ind w:left="0" w:firstLine="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要求获得本指南单份副本的书面请求请提交至食品药品监督管理局，</w:t>
      </w:r>
      <w:r>
        <w:rPr>
          <w:rFonts w:hint="eastAsia" w:cs="Arial"/>
          <w:sz w:val="24"/>
          <w:szCs w:val="24"/>
        </w:rPr>
        <w:t>法规</w:t>
      </w:r>
      <w:r>
        <w:rPr>
          <w:rFonts w:cs="Arial"/>
          <w:sz w:val="24"/>
          <w:szCs w:val="24"/>
        </w:rPr>
        <w:t>事务办公室，合规政策</w:t>
      </w:r>
      <w:r>
        <w:rPr>
          <w:rFonts w:hint="eastAsia" w:cs="Arial"/>
          <w:sz w:val="24"/>
          <w:szCs w:val="24"/>
        </w:rPr>
        <w:t>司</w:t>
      </w:r>
      <w:r>
        <w:rPr>
          <w:rFonts w:cs="Arial"/>
          <w:sz w:val="24"/>
          <w:szCs w:val="24"/>
        </w:rPr>
        <w:t>（HFC-230），5600 Fishers Lane，Rockville，MD 20857-001，或使用传真将请求发送至240-632-6861。本指南副本也可以下载到可访问互联网的个人计算机。法规事务办公室的网站提供本指南，网址：</w:t>
      </w:r>
    </w:p>
    <w:p w14:paraId="74642DA4">
      <w:pPr>
        <w:pStyle w:val="2"/>
        <w:tabs>
          <w:tab w:val="left" w:pos="4509"/>
        </w:tabs>
        <w:snapToGrid w:val="0"/>
        <w:spacing w:line="300" w:lineRule="auto"/>
        <w:ind w:left="0" w:firstLine="4"/>
        <w:rPr>
          <w:rFonts w:cs="Arial"/>
          <w:sz w:val="24"/>
          <w:szCs w:val="24"/>
        </w:rPr>
      </w:pPr>
      <w:r>
        <w:fldChar w:fldCharType="begin"/>
      </w:r>
      <w:r>
        <w:instrText xml:space="preserve"> HYPERLINK "http://www.fda.gov/ora/complianceref/revisions.htm" \h </w:instrText>
      </w:r>
      <w:r>
        <w:fldChar w:fldCharType="separate"/>
      </w:r>
      <w:r>
        <w:rPr>
          <w:rFonts w:cs="Arial"/>
          <w:sz w:val="24"/>
          <w:szCs w:val="24"/>
          <w:u w:val="dottedHeavy" w:color="181818"/>
        </w:rPr>
        <w:t>http://www.fda.gov/ora/compliance</w:t>
      </w:r>
      <w:r>
        <w:rPr>
          <w:rFonts w:hint="eastAsia" w:cs="Arial"/>
          <w:sz w:val="24"/>
          <w:szCs w:val="24"/>
          <w:u w:val="dottedHeavy" w:color="181818"/>
        </w:rPr>
        <w:t xml:space="preserve"> </w:t>
      </w:r>
      <w:r>
        <w:rPr>
          <w:rFonts w:cs="Arial"/>
          <w:sz w:val="24"/>
          <w:szCs w:val="24"/>
          <w:u w:val="dottedHeavy" w:color="181818"/>
        </w:rPr>
        <w:t>ref/revisions.htm</w:t>
      </w:r>
      <w:r>
        <w:rPr>
          <w:rFonts w:cs="Arial"/>
          <w:sz w:val="24"/>
          <w:szCs w:val="24"/>
          <w:u w:val="dottedHeavy" w:color="181818"/>
        </w:rPr>
        <w:fldChar w:fldCharType="end"/>
      </w:r>
      <w:r>
        <w:rPr>
          <w:rFonts w:cs="Arial"/>
          <w:sz w:val="24"/>
          <w:szCs w:val="24"/>
          <w:u w:val="dottedHeavy"/>
        </w:rPr>
        <w:t>（</w:t>
      </w:r>
      <w:r>
        <w:rPr>
          <w:rFonts w:cs="Arial"/>
          <w:sz w:val="24"/>
          <w:szCs w:val="24"/>
          <w:u w:val="dottedHeavy" w:color="030303"/>
        </w:rPr>
        <w:t>/ICECI/ComplianceManuaIs/RevisionstoCompIianceManuaIs/ucm2005383.htm）</w:t>
      </w:r>
      <w:r>
        <w:rPr>
          <w:rFonts w:cs="Arial"/>
          <w:sz w:val="24"/>
          <w:szCs w:val="24"/>
        </w:rPr>
        <w:t>.</w:t>
      </w:r>
    </w:p>
    <w:p w14:paraId="42E9D67D">
      <w:pPr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br w:type="page"/>
      </w:r>
    </w:p>
    <w:p w14:paraId="70FAB42F">
      <w:pPr>
        <w:pStyle w:val="2"/>
        <w:snapToGrid w:val="0"/>
        <w:spacing w:before="67" w:line="360" w:lineRule="auto"/>
        <w:ind w:left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合规政策</w:t>
      </w:r>
      <w:r>
        <w:rPr>
          <w:rFonts w:hint="eastAsia" w:cs="Arial"/>
          <w:b/>
          <w:sz w:val="24"/>
          <w:szCs w:val="24"/>
        </w:rPr>
        <w:t>指南</w:t>
      </w:r>
    </w:p>
    <w:p w14:paraId="151F1D86">
      <w:pPr>
        <w:pStyle w:val="2"/>
        <w:snapToGrid w:val="0"/>
        <w:spacing w:line="360" w:lineRule="auto"/>
        <w:ind w:left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指南</w:t>
      </w:r>
    </w:p>
    <w:p w14:paraId="15BD81B3">
      <w:pPr>
        <w:pStyle w:val="2"/>
        <w:snapToGrid w:val="0"/>
        <w:spacing w:before="195"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本指南代表食品药品监督管理局（FDA）</w:t>
      </w:r>
      <w:r>
        <w:rPr>
          <w:rFonts w:hint="eastAsia" w:cs="Arial"/>
          <w:sz w:val="24"/>
          <w:szCs w:val="24"/>
        </w:rPr>
        <w:t>目前关于该</w:t>
      </w:r>
      <w:r>
        <w:rPr>
          <w:rFonts w:cs="Arial"/>
          <w:sz w:val="24"/>
          <w:szCs w:val="24"/>
        </w:rPr>
        <w:t>主题的</w:t>
      </w:r>
      <w:r>
        <w:rPr>
          <w:rFonts w:hint="eastAsia" w:cs="Arial"/>
          <w:sz w:val="24"/>
          <w:szCs w:val="24"/>
        </w:rPr>
        <w:t>思考</w:t>
      </w:r>
      <w:r>
        <w:rPr>
          <w:rFonts w:cs="Arial"/>
          <w:sz w:val="24"/>
          <w:szCs w:val="24"/>
        </w:rPr>
        <w:t>。</w:t>
      </w:r>
      <w:r>
        <w:rPr>
          <w:rFonts w:hint="eastAsia"/>
        </w:rPr>
        <w:t>其不会为任何人创造或赋予任何权利，也不会对FDA或公众产生约束。如果替代方法满足适用的法律法规的要求，则可以使用该方法。如果您想讨论另一种方法，请联系FDA负责实施本指南的人员。如果您无法确定适当的FDA工作人员，请拨打本指南标题页上列出的适当号码。</w:t>
      </w:r>
    </w:p>
    <w:p w14:paraId="6836AB77">
      <w:pPr>
        <w:pStyle w:val="2"/>
        <w:snapToGrid w:val="0"/>
        <w:spacing w:line="360" w:lineRule="auto"/>
        <w:ind w:left="0" w:firstLine="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FDA指导性文件，包括本指南</w:t>
      </w:r>
      <w:r>
        <w:rPr>
          <w:rFonts w:hint="eastAsia" w:cs="Arial"/>
          <w:sz w:val="24"/>
          <w:szCs w:val="24"/>
        </w:rPr>
        <w:t>在内</w:t>
      </w:r>
      <w:r>
        <w:rPr>
          <w:rFonts w:cs="Arial"/>
          <w:sz w:val="24"/>
          <w:szCs w:val="24"/>
        </w:rPr>
        <w:t>，不构成具有法律强制力的责任。相反，指南表明了本审查机构</w:t>
      </w:r>
      <w:r>
        <w:rPr>
          <w:rFonts w:hint="eastAsia" w:cs="Arial"/>
          <w:sz w:val="24"/>
          <w:szCs w:val="24"/>
        </w:rPr>
        <w:t>目前关于</w:t>
      </w:r>
      <w:r>
        <w:rPr>
          <w:rFonts w:cs="Arial"/>
          <w:sz w:val="24"/>
          <w:szCs w:val="24"/>
        </w:rPr>
        <w:t>某一主题的</w:t>
      </w:r>
      <w:r>
        <w:rPr>
          <w:rFonts w:hint="eastAsia" w:cs="Arial"/>
          <w:sz w:val="24"/>
          <w:szCs w:val="24"/>
        </w:rPr>
        <w:t>思考</w:t>
      </w:r>
      <w:r>
        <w:rPr>
          <w:rFonts w:cs="Arial"/>
          <w:sz w:val="24"/>
          <w:szCs w:val="24"/>
        </w:rPr>
        <w:t>，除非引用具体的法规或法律要求，否则只应视为建议。在本审查机构指南中使用词语</w:t>
      </w:r>
      <w:r>
        <w:rPr>
          <w:rFonts w:ascii="宋体" w:hAnsi="宋体"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>应</w:t>
      </w:r>
      <w:r>
        <w:rPr>
          <w:rFonts w:ascii="宋体" w:hAnsi="宋体"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>是指建议或推荐进行某一事项，并非强制要求。</w:t>
      </w:r>
    </w:p>
    <w:p w14:paraId="7DC4FBE1">
      <w:pPr>
        <w:snapToGrid w:val="0"/>
        <w:spacing w:before="5" w:line="360" w:lineRule="auto"/>
        <w:jc w:val="both"/>
        <w:rPr>
          <w:rFonts w:ascii="Arial" w:hAnsi="Arial" w:eastAsia="宋体" w:cs="Arial"/>
          <w:sz w:val="24"/>
          <w:szCs w:val="24"/>
        </w:rPr>
      </w:pPr>
    </w:p>
    <w:p w14:paraId="5C134422">
      <w:pPr>
        <w:pStyle w:val="2"/>
        <w:snapToGrid w:val="0"/>
        <w:spacing w:after="120" w:afterLines="50" w:line="360" w:lineRule="auto"/>
        <w:ind w:left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合规政策</w:t>
      </w:r>
      <w:r>
        <w:rPr>
          <w:rFonts w:hint="eastAsia" w:cs="Arial"/>
          <w:b/>
          <w:sz w:val="24"/>
          <w:szCs w:val="24"/>
        </w:rPr>
        <w:t>指南</w:t>
      </w:r>
    </w:p>
    <w:p w14:paraId="42502530">
      <w:pPr>
        <w:pStyle w:val="2"/>
        <w:snapToGrid w:val="0"/>
        <w:spacing w:after="120" w:afterLines="50" w:line="360" w:lineRule="auto"/>
        <w:ind w:left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CPG Sec.130.300</w:t>
      </w:r>
    </w:p>
    <w:p w14:paraId="60E3AB1C">
      <w:pPr>
        <w:pStyle w:val="2"/>
        <w:snapToGrid w:val="0"/>
        <w:spacing w:before="8" w:line="360" w:lineRule="auto"/>
        <w:ind w:left="0" w:firstLine="9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FDA对质量保证程序审核和检查结果的访问（CPG 7151.02）</w:t>
      </w:r>
    </w:p>
    <w:p w14:paraId="5F01296E">
      <w:pPr>
        <w:snapToGrid w:val="0"/>
        <w:spacing w:before="8" w:line="360" w:lineRule="auto"/>
        <w:jc w:val="both"/>
        <w:rPr>
          <w:rFonts w:ascii="Arial" w:hAnsi="Arial" w:eastAsia="宋体" w:cs="Arial"/>
          <w:sz w:val="24"/>
          <w:szCs w:val="24"/>
        </w:rPr>
      </w:pPr>
    </w:p>
    <w:p w14:paraId="03FB7A1A">
      <w:pPr>
        <w:pStyle w:val="2"/>
        <w:snapToGrid w:val="0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背景：</w:t>
      </w:r>
    </w:p>
    <w:p w14:paraId="49FC8125">
      <w:pPr>
        <w:snapToGrid w:val="0"/>
        <w:spacing w:before="5" w:line="360" w:lineRule="auto"/>
        <w:jc w:val="both"/>
        <w:rPr>
          <w:rFonts w:ascii="Arial" w:hAnsi="Arial" w:eastAsia="宋体" w:cs="Arial"/>
          <w:sz w:val="24"/>
          <w:szCs w:val="24"/>
        </w:rPr>
      </w:pPr>
    </w:p>
    <w:p w14:paraId="1635C3D7">
      <w:pPr>
        <w:pStyle w:val="2"/>
        <w:snapToGrid w:val="0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在所有FDA监管行业内，一些公司设立了质量保证部门（QAU），该部门独立于制造或质量控制机构执行职能。QAU可以定期审核和批判性地审查过程和程序（例如，数据收集、制造规范和质量控制过程），以确定是否已遵循规定方案和程序。</w:t>
      </w:r>
    </w:p>
    <w:p w14:paraId="4ED66573">
      <w:pPr>
        <w:snapToGrid w:val="0"/>
        <w:spacing w:before="5" w:line="360" w:lineRule="auto"/>
        <w:jc w:val="both"/>
        <w:rPr>
          <w:rFonts w:ascii="Arial" w:hAnsi="Arial" w:eastAsia="宋体" w:cs="Arial"/>
          <w:sz w:val="24"/>
          <w:szCs w:val="24"/>
        </w:rPr>
      </w:pPr>
    </w:p>
    <w:p w14:paraId="3958972C">
      <w:pPr>
        <w:pStyle w:val="2"/>
        <w:snapToGrid w:val="0"/>
        <w:spacing w:line="360" w:lineRule="auto"/>
        <w:ind w:left="0" w:firstLine="1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在</w:t>
      </w:r>
      <w:r>
        <w:rPr>
          <w:rFonts w:ascii="宋体" w:hAnsi="宋体"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>质量体系法规</w:t>
      </w:r>
      <w:r>
        <w:rPr>
          <w:rFonts w:ascii="宋体" w:hAnsi="宋体"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 xml:space="preserve"> - 医疗器械良好制造规范（* 61 FR 52602；1996年10月7日）</w:t>
      </w:r>
      <w:r>
        <w:rPr>
          <w:rFonts w:ascii="宋体" w:hAnsi="宋体"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>（21 CFR  * 第820部分*）和非临床实验室研究良好实验室规范的最终法规的序言（43 FR 59986；1978年12月22日）（21 CFR * 第58部分*）中，FDA宣布了其政策，声明如果审核由监管实体根据公司的书面质量保证程序进行，则FDA不会审查或复制公司的质量保证程序审核结果的记录和报告。该政策旨在鼓励企业进行坦诚的、有意义的质量保证程序审核和检查。</w:t>
      </w:r>
    </w:p>
    <w:p w14:paraId="39299908">
      <w:pPr>
        <w:snapToGrid w:val="0"/>
        <w:spacing w:before="1" w:line="360" w:lineRule="auto"/>
        <w:jc w:val="both"/>
        <w:rPr>
          <w:rFonts w:ascii="Arial" w:hAnsi="Arial" w:eastAsia="宋体" w:cs="Arial"/>
          <w:sz w:val="24"/>
          <w:szCs w:val="24"/>
        </w:rPr>
      </w:pPr>
    </w:p>
    <w:p w14:paraId="542E742E">
      <w:pPr>
        <w:pStyle w:val="2"/>
        <w:snapToGrid w:val="0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政策</w:t>
      </w:r>
      <w:r>
        <w:rPr>
          <w:rFonts w:hint="eastAsia" w:cs="Arial"/>
          <w:sz w:val="24"/>
          <w:szCs w:val="24"/>
        </w:rPr>
        <w:t>：</w:t>
      </w:r>
    </w:p>
    <w:p w14:paraId="7C3ED528">
      <w:pPr>
        <w:spacing w:line="360" w:lineRule="auto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br w:type="page"/>
      </w:r>
    </w:p>
    <w:p w14:paraId="126C2A25">
      <w:pPr>
        <w:pStyle w:val="2"/>
        <w:snapToGrid w:val="0"/>
        <w:spacing w:before="202" w:line="360" w:lineRule="auto"/>
        <w:ind w:left="0" w:firstLine="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在拥有书面质量保证程序的任何监管实体进行常规检查和调查时，FDA不会审查或复制来自书面质量保证程序审核和检查的报告和记录，包括根据21 CFR</w:t>
      </w:r>
      <w:r>
        <w:rPr>
          <w:rFonts w:ascii="宋体" w:hAnsi="宋体"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>820.22 *</w:t>
      </w:r>
      <w:r>
        <w:rPr>
          <w:rFonts w:ascii="宋体" w:hAnsi="宋体"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>进行的审核和 21 CFR 58.35（b）（4）要求的书面状态报告。</w:t>
      </w:r>
    </w:p>
    <w:p w14:paraId="30AF95BA">
      <w:pPr>
        <w:snapToGrid w:val="0"/>
        <w:spacing w:before="5" w:line="360" w:lineRule="auto"/>
        <w:jc w:val="both"/>
        <w:rPr>
          <w:rFonts w:ascii="Arial" w:hAnsi="Arial" w:eastAsia="宋体" w:cs="Arial"/>
          <w:sz w:val="24"/>
          <w:szCs w:val="24"/>
        </w:rPr>
      </w:pPr>
    </w:p>
    <w:p w14:paraId="0AC4A210">
      <w:pPr>
        <w:pStyle w:val="2"/>
        <w:snapToGrid w:val="0"/>
        <w:spacing w:line="360" w:lineRule="auto"/>
        <w:ind w:left="0" w:firstLine="1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FDA可能会要求提供书面证明，以证明此类审核和检查已实施、执行和记录，且已采取任何必要的纠正措施。在要求提供书面认证前，地区人员应咨询合适的总部办公室。</w:t>
      </w:r>
    </w:p>
    <w:p w14:paraId="4FDAAE90">
      <w:pPr>
        <w:snapToGrid w:val="0"/>
        <w:spacing w:before="3" w:line="360" w:lineRule="auto"/>
        <w:jc w:val="both"/>
        <w:rPr>
          <w:rFonts w:ascii="Arial" w:hAnsi="Arial" w:eastAsia="宋体" w:cs="Arial"/>
          <w:sz w:val="24"/>
          <w:szCs w:val="24"/>
        </w:rPr>
      </w:pPr>
    </w:p>
    <w:p w14:paraId="4DBC52B4">
      <w:pPr>
        <w:snapToGrid w:val="0"/>
        <w:spacing w:line="360" w:lineRule="auto"/>
        <w:jc w:val="both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对于以下情况，FDA将继续审查和复制此类审核和检查的记录和报告：</w:t>
      </w:r>
    </w:p>
    <w:p w14:paraId="051DFD5F">
      <w:pPr>
        <w:snapToGrid w:val="0"/>
        <w:spacing w:before="2" w:line="360" w:lineRule="auto"/>
        <w:jc w:val="both"/>
        <w:rPr>
          <w:rFonts w:ascii="Arial" w:hAnsi="Arial" w:eastAsia="宋体" w:cs="Arial"/>
          <w:sz w:val="24"/>
          <w:szCs w:val="24"/>
        </w:rPr>
      </w:pPr>
    </w:p>
    <w:p w14:paraId="230CCE00">
      <w:pPr>
        <w:pStyle w:val="11"/>
        <w:numPr>
          <w:ilvl w:val="2"/>
          <w:numId w:val="1"/>
        </w:numPr>
        <w:tabs>
          <w:tab w:val="left" w:pos="657"/>
        </w:tabs>
        <w:snapToGrid w:val="0"/>
        <w:spacing w:after="120" w:afterLines="50" w:line="360" w:lineRule="auto"/>
        <w:ind w:left="346" w:hanging="346"/>
        <w:jc w:val="both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在对临床研究申办方或监督者进行的</w:t>
      </w:r>
      <w:r>
        <w:rPr>
          <w:rFonts w:ascii="宋体" w:hAnsi="宋体" w:eastAsia="宋体" w:cs="Arial"/>
          <w:sz w:val="24"/>
          <w:szCs w:val="24"/>
        </w:rPr>
        <w:t>“</w:t>
      </w:r>
      <w:r>
        <w:rPr>
          <w:rFonts w:ascii="Arial" w:hAnsi="Arial" w:eastAsia="宋体" w:cs="Arial"/>
          <w:sz w:val="24"/>
          <w:szCs w:val="24"/>
        </w:rPr>
        <w:t>指导</w:t>
      </w:r>
      <w:r>
        <w:rPr>
          <w:rFonts w:ascii="宋体" w:hAnsi="宋体" w:eastAsia="宋体" w:cs="Arial"/>
          <w:sz w:val="24"/>
          <w:szCs w:val="24"/>
        </w:rPr>
        <w:t>”</w:t>
      </w:r>
      <w:r>
        <w:rPr>
          <w:rFonts w:ascii="Arial" w:hAnsi="Arial" w:eastAsia="宋体" w:cs="Arial"/>
          <w:sz w:val="24"/>
          <w:szCs w:val="24"/>
        </w:rPr>
        <w:t>或</w:t>
      </w:r>
      <w:r>
        <w:rPr>
          <w:rFonts w:ascii="宋体" w:hAnsi="宋体" w:eastAsia="宋体" w:cs="Arial"/>
          <w:sz w:val="24"/>
          <w:szCs w:val="24"/>
        </w:rPr>
        <w:t>“</w:t>
      </w:r>
      <w:r>
        <w:rPr>
          <w:rFonts w:ascii="Arial" w:hAnsi="Arial" w:eastAsia="宋体" w:cs="Arial"/>
          <w:sz w:val="24"/>
          <w:szCs w:val="24"/>
        </w:rPr>
        <w:t>原因</w:t>
      </w:r>
      <w:r>
        <w:rPr>
          <w:rFonts w:ascii="宋体" w:hAnsi="宋体" w:eastAsia="宋体" w:cs="Arial"/>
          <w:sz w:val="24"/>
          <w:szCs w:val="24"/>
        </w:rPr>
        <w:t>”</w:t>
      </w:r>
      <w:r>
        <w:rPr>
          <w:rFonts w:ascii="Arial" w:hAnsi="Arial" w:eastAsia="宋体" w:cs="Arial"/>
          <w:sz w:val="24"/>
          <w:szCs w:val="24"/>
        </w:rPr>
        <w:t>检查和调查；</w:t>
      </w:r>
    </w:p>
    <w:p w14:paraId="40DB3AB8">
      <w:pPr>
        <w:pStyle w:val="11"/>
        <w:numPr>
          <w:ilvl w:val="2"/>
          <w:numId w:val="1"/>
        </w:numPr>
        <w:tabs>
          <w:tab w:val="left" w:pos="657"/>
        </w:tabs>
        <w:snapToGrid w:val="0"/>
        <w:spacing w:after="120" w:afterLines="50" w:line="360" w:lineRule="auto"/>
        <w:ind w:left="346" w:hanging="346"/>
        <w:jc w:val="both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在诉讼中（例如但不限于：大陪审团传讯，证据展示或其他机构或司法部的执法活动（包括行政监管行动））；</w:t>
      </w:r>
    </w:p>
    <w:p w14:paraId="4AD32B48">
      <w:pPr>
        <w:pStyle w:val="11"/>
        <w:numPr>
          <w:ilvl w:val="2"/>
          <w:numId w:val="1"/>
        </w:numPr>
        <w:tabs>
          <w:tab w:val="left" w:pos="652"/>
        </w:tabs>
        <w:snapToGrid w:val="0"/>
        <w:spacing w:after="120" w:afterLines="50" w:line="360" w:lineRule="auto"/>
        <w:ind w:left="346" w:hanging="346"/>
        <w:jc w:val="both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根据检查令进行检查（其中，记录访问权限由法规授予）；以及</w:t>
      </w:r>
    </w:p>
    <w:p w14:paraId="1C9BDD39">
      <w:pPr>
        <w:pStyle w:val="11"/>
        <w:numPr>
          <w:ilvl w:val="2"/>
          <w:numId w:val="1"/>
        </w:numPr>
        <w:tabs>
          <w:tab w:val="left" w:pos="637"/>
        </w:tabs>
        <w:snapToGrid w:val="0"/>
        <w:spacing w:line="360" w:lineRule="auto"/>
        <w:ind w:left="346" w:hanging="346"/>
        <w:jc w:val="both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执行任何司法搜查令。</w:t>
      </w:r>
    </w:p>
    <w:p w14:paraId="7D09BED9">
      <w:pPr>
        <w:snapToGrid w:val="0"/>
        <w:spacing w:before="2" w:line="360" w:lineRule="auto"/>
        <w:jc w:val="both"/>
        <w:rPr>
          <w:rFonts w:ascii="Arial" w:hAnsi="Arial" w:eastAsia="宋体" w:cs="Arial"/>
          <w:sz w:val="24"/>
          <w:szCs w:val="24"/>
        </w:rPr>
      </w:pPr>
    </w:p>
    <w:p w14:paraId="5D40E9D3">
      <w:pPr>
        <w:pStyle w:val="2"/>
        <w:snapToGrid w:val="0"/>
        <w:spacing w:line="360" w:lineRule="auto"/>
        <w:ind w:left="0" w:firstLine="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FDA将继续访问、审查和复制法规要求的、涉及产品故障和制造误差质量控制调查的记录和报告。</w:t>
      </w:r>
    </w:p>
    <w:p w14:paraId="13B0775B">
      <w:pPr>
        <w:snapToGrid w:val="0"/>
        <w:spacing w:line="360" w:lineRule="auto"/>
        <w:jc w:val="both"/>
        <w:rPr>
          <w:rFonts w:ascii="Arial" w:hAnsi="Arial" w:eastAsia="宋体" w:cs="Arial"/>
          <w:sz w:val="24"/>
          <w:szCs w:val="24"/>
        </w:rPr>
      </w:pPr>
    </w:p>
    <w:p w14:paraId="50C48DBF">
      <w:pPr>
        <w:pStyle w:val="2"/>
        <w:snapToGrid w:val="0"/>
        <w:spacing w:line="360" w:lineRule="auto"/>
        <w:ind w:left="0" w:firstLine="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*星号之间的材料为新材料或修订材料</w:t>
      </w:r>
      <w:r>
        <w:rPr>
          <w:rFonts w:ascii="宋体" w:hAnsi="宋体" w:cs="Arial"/>
          <w:sz w:val="24"/>
          <w:szCs w:val="24"/>
        </w:rPr>
        <w:t>”</w:t>
      </w:r>
    </w:p>
    <w:p w14:paraId="34E3A104">
      <w:pPr>
        <w:snapToGrid w:val="0"/>
        <w:spacing w:line="300" w:lineRule="auto"/>
        <w:jc w:val="both"/>
        <w:rPr>
          <w:rFonts w:ascii="Arial" w:hAnsi="Arial" w:eastAsia="宋体" w:cs="Arial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1F497D" w:themeColor="text2" w:sz="12" w:space="0"/>
          <w:left w:val="single" w:color="1F497D" w:themeColor="text2" w:sz="12" w:space="0"/>
          <w:bottom w:val="single" w:color="1F497D" w:themeColor="text2" w:sz="12" w:space="0"/>
          <w:right w:val="single" w:color="1F497D" w:themeColor="text2" w:sz="12" w:space="0"/>
          <w:insideH w:val="single" w:color="1F497D" w:themeColor="text2" w:sz="12" w:space="0"/>
          <w:insideV w:val="single" w:color="1F497D" w:themeColor="text2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2"/>
      </w:tblGrid>
      <w:tr w14:paraId="0B70ECA5">
        <w:tblPrEx>
          <w:tblBorders>
            <w:top w:val="single" w:color="1F497D" w:themeColor="text2" w:sz="12" w:space="0"/>
            <w:left w:val="single" w:color="1F497D" w:themeColor="text2" w:sz="12" w:space="0"/>
            <w:bottom w:val="single" w:color="1F497D" w:themeColor="text2" w:sz="12" w:space="0"/>
            <w:right w:val="single" w:color="1F497D" w:themeColor="text2" w:sz="12" w:space="0"/>
            <w:insideH w:val="single" w:color="1F497D" w:themeColor="text2" w:sz="12" w:space="0"/>
            <w:insideV w:val="single" w:color="1F497D" w:themeColor="text2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2" w:type="dxa"/>
            <w:tcBorders>
              <w:bottom w:val="single" w:color="7F7F7F" w:themeColor="background1" w:themeShade="80" w:sz="2" w:space="0"/>
            </w:tcBorders>
          </w:tcPr>
          <w:p w14:paraId="2C976AF6">
            <w:pPr>
              <w:overflowPunct w:val="0"/>
              <w:snapToGrid w:val="0"/>
              <w:spacing w:before="96" w:beforeLines="40" w:after="96" w:afterLines="40" w:line="300" w:lineRule="auto"/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</w:pP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</w:rPr>
              <w:t>合规政策指导的更多信息</w:t>
            </w:r>
          </w:p>
          <w:p w14:paraId="030678F6">
            <w:pPr>
              <w:overflowPunct w:val="0"/>
              <w:snapToGrid w:val="0"/>
              <w:spacing w:before="96" w:beforeLines="40" w:after="96" w:afterLines="40" w:line="300" w:lineRule="auto"/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</w:pP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</w:rPr>
              <w:t>（/ICECI/Compliance Manuals/Compliance PolicyGuidance Manual/default.htm）</w:t>
            </w:r>
          </w:p>
        </w:tc>
      </w:tr>
      <w:tr w14:paraId="43A9370B">
        <w:tblPrEx>
          <w:tblBorders>
            <w:top w:val="single" w:color="1F497D" w:themeColor="text2" w:sz="12" w:space="0"/>
            <w:left w:val="single" w:color="1F497D" w:themeColor="text2" w:sz="12" w:space="0"/>
            <w:bottom w:val="single" w:color="1F497D" w:themeColor="text2" w:sz="12" w:space="0"/>
            <w:right w:val="single" w:color="1F497D" w:themeColor="text2" w:sz="12" w:space="0"/>
            <w:insideH w:val="single" w:color="1F497D" w:themeColor="text2" w:sz="12" w:space="0"/>
            <w:insideV w:val="single" w:color="1F497D" w:themeColor="text2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2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</w:tcPr>
          <w:p w14:paraId="22765B27">
            <w:pPr>
              <w:overflowPunct w:val="0"/>
              <w:snapToGrid w:val="0"/>
              <w:spacing w:before="96" w:beforeLines="40" w:after="96" w:afterLines="40" w:line="300" w:lineRule="auto"/>
              <w:jc w:val="both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前言：合规政策指南（CPG）</w:t>
            </w:r>
          </w:p>
          <w:p w14:paraId="683BF5C1">
            <w:pPr>
              <w:tabs>
                <w:tab w:val="left" w:pos="10158"/>
              </w:tabs>
              <w:overflowPunct w:val="0"/>
              <w:snapToGrid w:val="0"/>
              <w:spacing w:before="96" w:beforeLines="40" w:after="96" w:afterLines="40" w:line="300" w:lineRule="auto"/>
              <w:jc w:val="both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（/ICECI/Compliance Manuals/Compliance PolicyGuidance ManuaI/ucm116271.htm）</w:t>
            </w:r>
          </w:p>
        </w:tc>
      </w:tr>
      <w:tr w14:paraId="7DDDDC5A">
        <w:tblPrEx>
          <w:tblBorders>
            <w:top w:val="single" w:color="1F497D" w:themeColor="text2" w:sz="12" w:space="0"/>
            <w:left w:val="single" w:color="1F497D" w:themeColor="text2" w:sz="12" w:space="0"/>
            <w:bottom w:val="single" w:color="1F497D" w:themeColor="text2" w:sz="12" w:space="0"/>
            <w:right w:val="single" w:color="1F497D" w:themeColor="text2" w:sz="12" w:space="0"/>
            <w:insideH w:val="single" w:color="1F497D" w:themeColor="text2" w:sz="12" w:space="0"/>
            <w:insideV w:val="single" w:color="1F497D" w:themeColor="text2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2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</w:tcPr>
          <w:p w14:paraId="3E16C270">
            <w:pPr>
              <w:overflowPunct w:val="0"/>
              <w:snapToGrid w:val="0"/>
              <w:spacing w:before="96" w:beforeLines="40" w:after="96" w:afterLines="40" w:line="300" w:lineRule="auto"/>
              <w:jc w:val="both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1C1C1C"/>
              </w:rPr>
              <w:t>第1章 - 通则</w:t>
            </w:r>
          </w:p>
          <w:p w14:paraId="3D66E7FB">
            <w:pPr>
              <w:overflowPunct w:val="0"/>
              <w:snapToGrid w:val="0"/>
              <w:spacing w:before="96" w:beforeLines="40" w:after="96" w:afterLines="40" w:line="300" w:lineRule="auto"/>
              <w:jc w:val="both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（/ICECI/Compliance Manuals/Compliance PolicyGuidance ManuaI/ucm116280.htm）</w:t>
            </w:r>
          </w:p>
        </w:tc>
      </w:tr>
      <w:tr w14:paraId="688B7165">
        <w:tblPrEx>
          <w:tblBorders>
            <w:top w:val="single" w:color="1F497D" w:themeColor="text2" w:sz="12" w:space="0"/>
            <w:left w:val="single" w:color="1F497D" w:themeColor="text2" w:sz="12" w:space="0"/>
            <w:bottom w:val="single" w:color="1F497D" w:themeColor="text2" w:sz="12" w:space="0"/>
            <w:right w:val="single" w:color="1F497D" w:themeColor="text2" w:sz="12" w:space="0"/>
            <w:insideH w:val="single" w:color="1F497D" w:themeColor="text2" w:sz="12" w:space="0"/>
            <w:insideV w:val="single" w:color="1F497D" w:themeColor="text2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2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</w:tcPr>
          <w:p w14:paraId="1AA95ED4">
            <w:pPr>
              <w:overflowPunct w:val="0"/>
              <w:snapToGrid w:val="0"/>
              <w:spacing w:before="96" w:beforeLines="40" w:after="96" w:afterLines="40" w:line="300" w:lineRule="auto"/>
              <w:jc w:val="both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1C1C1C"/>
              </w:rPr>
              <w:t>第2章 - 生物制剂</w:t>
            </w:r>
          </w:p>
          <w:p w14:paraId="0DFFEFAC">
            <w:pPr>
              <w:overflowPunct w:val="0"/>
              <w:snapToGrid w:val="0"/>
              <w:spacing w:before="96" w:beforeLines="40" w:after="96" w:afterLines="40" w:line="300" w:lineRule="auto"/>
              <w:jc w:val="both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1C1C1C"/>
              </w:rPr>
              <w:t>（/ICECI/Compliance Manuals/Compliance PolicyGuidance ManuaI/ucm116336.htm）</w:t>
            </w:r>
          </w:p>
        </w:tc>
      </w:tr>
      <w:tr w14:paraId="06B409BD">
        <w:tblPrEx>
          <w:tblBorders>
            <w:top w:val="single" w:color="1F497D" w:themeColor="text2" w:sz="12" w:space="0"/>
            <w:left w:val="single" w:color="1F497D" w:themeColor="text2" w:sz="12" w:space="0"/>
            <w:bottom w:val="single" w:color="1F497D" w:themeColor="text2" w:sz="12" w:space="0"/>
            <w:right w:val="single" w:color="1F497D" w:themeColor="text2" w:sz="12" w:space="0"/>
            <w:insideH w:val="single" w:color="1F497D" w:themeColor="text2" w:sz="12" w:space="0"/>
            <w:insideV w:val="single" w:color="1F497D" w:themeColor="text2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2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</w:tcPr>
          <w:p w14:paraId="45F9C475">
            <w:pPr>
              <w:overflowPunct w:val="0"/>
              <w:snapToGrid w:val="0"/>
              <w:spacing w:before="96" w:beforeLines="40" w:after="96" w:afterLines="40" w:line="300" w:lineRule="auto"/>
              <w:jc w:val="both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1C1C1C"/>
              </w:rPr>
              <w:t>第3章 - 器械</w:t>
            </w:r>
          </w:p>
          <w:p w14:paraId="4FE50967">
            <w:pPr>
              <w:overflowPunct w:val="0"/>
              <w:snapToGrid w:val="0"/>
              <w:spacing w:before="96" w:beforeLines="40" w:after="96" w:afterLines="40" w:line="300" w:lineRule="auto"/>
              <w:jc w:val="both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1C1C1C"/>
              </w:rPr>
              <w:t>（/ICECI/Compliance Manuals/Compliance PolicyGuidance ManuaI/ucm116801.htm）</w:t>
            </w:r>
          </w:p>
        </w:tc>
      </w:tr>
      <w:tr w14:paraId="6504636E">
        <w:tblPrEx>
          <w:tblBorders>
            <w:top w:val="single" w:color="1F497D" w:themeColor="text2" w:sz="12" w:space="0"/>
            <w:left w:val="single" w:color="1F497D" w:themeColor="text2" w:sz="12" w:space="0"/>
            <w:bottom w:val="single" w:color="1F497D" w:themeColor="text2" w:sz="12" w:space="0"/>
            <w:right w:val="single" w:color="1F497D" w:themeColor="text2" w:sz="12" w:space="0"/>
            <w:insideH w:val="single" w:color="1F497D" w:themeColor="text2" w:sz="12" w:space="0"/>
            <w:insideV w:val="single" w:color="1F497D" w:themeColor="text2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2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</w:tcPr>
          <w:p w14:paraId="025EA1BA">
            <w:pPr>
              <w:overflowPunct w:val="0"/>
              <w:snapToGrid w:val="0"/>
              <w:spacing w:before="96" w:beforeLines="40" w:after="96" w:afterLines="40" w:line="300" w:lineRule="auto"/>
              <w:jc w:val="both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1C1C1C"/>
              </w:rPr>
              <w:t xml:space="preserve">第4章 </w:t>
            </w:r>
            <w:r>
              <w:rPr>
                <w:rFonts w:ascii="Arial" w:eastAsia="宋体"/>
                <w:b/>
                <w:sz w:val="24"/>
                <w:szCs w:val="24"/>
                <w:u w:val="single" w:color="1C1C1C"/>
              </w:rPr>
              <w:t>–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1C1C1C"/>
              </w:rPr>
              <w:t xml:space="preserve"> 人用药品</w:t>
            </w:r>
          </w:p>
          <w:p w14:paraId="1F900B76">
            <w:pPr>
              <w:overflowPunct w:val="0"/>
              <w:snapToGrid w:val="0"/>
              <w:spacing w:before="96" w:beforeLines="40" w:after="96" w:afterLines="40" w:line="300" w:lineRule="auto"/>
              <w:jc w:val="both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（/ICECI/Compliance Manuals/Compliance PolicyGuidance ManuaI/ucm119572.htm）</w:t>
            </w:r>
          </w:p>
        </w:tc>
      </w:tr>
      <w:tr w14:paraId="58F0227E">
        <w:tblPrEx>
          <w:tblBorders>
            <w:top w:val="single" w:color="1F497D" w:themeColor="text2" w:sz="12" w:space="0"/>
            <w:left w:val="single" w:color="1F497D" w:themeColor="text2" w:sz="12" w:space="0"/>
            <w:bottom w:val="single" w:color="1F497D" w:themeColor="text2" w:sz="12" w:space="0"/>
            <w:right w:val="single" w:color="1F497D" w:themeColor="text2" w:sz="12" w:space="0"/>
            <w:insideH w:val="single" w:color="1F497D" w:themeColor="text2" w:sz="12" w:space="0"/>
            <w:insideV w:val="single" w:color="1F497D" w:themeColor="text2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2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</w:tcPr>
          <w:p w14:paraId="61075FDA">
            <w:pPr>
              <w:overflowPunct w:val="0"/>
              <w:snapToGrid w:val="0"/>
              <w:spacing w:before="96" w:beforeLines="40" w:after="96" w:afterLines="40" w:line="300" w:lineRule="auto"/>
              <w:jc w:val="both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1C1C1C"/>
              </w:rPr>
              <w:t>第5章 - 食品，颜料和化妆品</w:t>
            </w:r>
          </w:p>
          <w:p w14:paraId="48857E40">
            <w:pPr>
              <w:overflowPunct w:val="0"/>
              <w:snapToGrid w:val="0"/>
              <w:spacing w:before="96" w:beforeLines="40" w:after="96" w:afterLines="40" w:line="300" w:lineRule="auto"/>
              <w:jc w:val="both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（/ICECI/Compliance Manuals/Compliance PolicyGuidance ManuaI/ucm119194.htm）</w:t>
            </w:r>
          </w:p>
        </w:tc>
      </w:tr>
      <w:tr w14:paraId="6C0E1F15">
        <w:tblPrEx>
          <w:tblBorders>
            <w:top w:val="single" w:color="1F497D" w:themeColor="text2" w:sz="12" w:space="0"/>
            <w:left w:val="single" w:color="1F497D" w:themeColor="text2" w:sz="12" w:space="0"/>
            <w:bottom w:val="single" w:color="1F497D" w:themeColor="text2" w:sz="12" w:space="0"/>
            <w:right w:val="single" w:color="1F497D" w:themeColor="text2" w:sz="12" w:space="0"/>
            <w:insideH w:val="single" w:color="1F497D" w:themeColor="text2" w:sz="12" w:space="0"/>
            <w:insideV w:val="single" w:color="1F497D" w:themeColor="text2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2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</w:tcPr>
          <w:p w14:paraId="2D23685D">
            <w:pPr>
              <w:overflowPunct w:val="0"/>
              <w:snapToGrid w:val="0"/>
              <w:spacing w:before="96" w:beforeLines="40" w:after="96" w:afterLines="40" w:line="300" w:lineRule="auto"/>
              <w:jc w:val="both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181818"/>
              </w:rPr>
              <w:t>第6章 - 兽医医学</w:t>
            </w:r>
          </w:p>
          <w:p w14:paraId="056B7E08">
            <w:pPr>
              <w:overflowPunct w:val="0"/>
              <w:snapToGrid w:val="0"/>
              <w:spacing w:before="96" w:beforeLines="40" w:after="96" w:afterLines="40" w:line="300" w:lineRule="auto"/>
              <w:jc w:val="both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（/ICECI/Compliance Manuals/Compliance PolicyGuidance ManuaI/ucm117042.htm）</w:t>
            </w:r>
          </w:p>
        </w:tc>
      </w:tr>
    </w:tbl>
    <w:p w14:paraId="6FA89665">
      <w:pPr>
        <w:tabs>
          <w:tab w:val="left" w:pos="9224"/>
        </w:tabs>
        <w:snapToGrid w:val="0"/>
        <w:spacing w:before="38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0CB9FCDF">
      <w:pPr>
        <w:snapToGrid w:val="0"/>
        <w:spacing w:line="300" w:lineRule="auto"/>
        <w:jc w:val="both"/>
        <w:rPr>
          <w:rFonts w:hint="eastAsia" w:eastAsia="宋体"/>
          <w:lang w:eastAsia="zh-CN"/>
        </w:rPr>
      </w:pPr>
    </w:p>
    <w:p w14:paraId="700C172F">
      <w:pPr>
        <w:snapToGrid w:val="0"/>
        <w:spacing w:line="300" w:lineRule="auto"/>
        <w:jc w:val="center"/>
        <w:rPr>
          <w:rFonts w:hint="eastAsia" w:eastAsia="宋体"/>
          <w:lang w:eastAsia="zh-CN"/>
        </w:rPr>
      </w:pPr>
    </w:p>
    <w:p w14:paraId="12EB9235">
      <w:pPr>
        <w:snapToGrid w:val="0"/>
        <w:spacing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10" w:h="16840"/>
      <w:pgMar w:top="567" w:right="567" w:bottom="567" w:left="567" w:header="286" w:footer="261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8A6D9">
    <w:pPr>
      <w:tabs>
        <w:tab w:val="right" w:pos="10773"/>
      </w:tabs>
      <w:spacing w:line="184" w:lineRule="exact"/>
      <w:ind w:left="40"/>
      <w:rPr>
        <w:rFonts w:ascii="Arial" w:hAnsi="Arial" w:eastAsia="宋体" w:cs="Arial"/>
        <w:sz w:val="15"/>
        <w:szCs w:val="15"/>
      </w:rPr>
    </w:pPr>
    <w:r>
      <w:rPr>
        <w:rFonts w:hint="eastAsia" w:ascii="Arial" w:eastAsia="宋体"/>
        <w:sz w:val="15"/>
        <w:szCs w:val="15"/>
      </w:rPr>
      <w:t>https://www.fda.go'v/lCECl/ComplianceManuaIs/CompliancePolicyGuidanceManuaI/ucm073841.htm</w:t>
    </w:r>
    <w:r>
      <w:rPr>
        <w:rFonts w:hint="eastAsia" w:ascii="Arial" w:eastAsia="宋体"/>
        <w:sz w:val="15"/>
        <w:szCs w:val="15"/>
      </w:rPr>
      <w:tab/>
    </w:r>
    <w:r>
      <w:rPr>
        <w:sz w:val="15"/>
        <w:szCs w:val="15"/>
      </w:rPr>
      <w:fldChar w:fldCharType="begin"/>
    </w:r>
    <w:r>
      <w:rPr>
        <w:rFonts w:hint="eastAsia" w:ascii="Arial" w:eastAsia="宋体"/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>
      <w:rPr>
        <w:rFonts w:ascii="Arial" w:eastAsia="宋体"/>
        <w:sz w:val="15"/>
        <w:szCs w:val="15"/>
      </w:rPr>
      <w:t>1</w:t>
    </w:r>
    <w:r>
      <w:rPr>
        <w:sz w:val="15"/>
        <w:szCs w:val="15"/>
      </w:rPr>
      <w:fldChar w:fldCharType="end"/>
    </w:r>
    <w:r>
      <w:rPr>
        <w:rFonts w:hint="eastAsia" w:ascii="Arial" w:eastAsia="宋体"/>
        <w:sz w:val="15"/>
        <w:szCs w:val="15"/>
      </w:rPr>
      <w:t>/4</w:t>
    </w:r>
  </w:p>
  <w:p w14:paraId="0E31CCEE">
    <w:pPr>
      <w:spacing w:line="14" w:lineRule="auto"/>
      <w:rPr>
        <w:sz w:val="15"/>
        <w:szCs w:val="15"/>
      </w:rPr>
    </w:pPr>
    <w:r>
      <w:rPr>
        <w:rFonts w:hint="eastAsia"/>
        <w:sz w:val="15"/>
        <w:szCs w:val="15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4474B">
    <w:pPr>
      <w:tabs>
        <w:tab w:val="left" w:pos="2410"/>
      </w:tabs>
      <w:spacing w:line="184" w:lineRule="exact"/>
      <w:ind w:left="20"/>
      <w:rPr>
        <w:rFonts w:ascii="Arial" w:hAnsi="Arial" w:eastAsia="宋体" w:cs="Arial"/>
        <w:sz w:val="15"/>
        <w:szCs w:val="15"/>
      </w:rPr>
    </w:pPr>
    <w:r>
      <w:rPr>
        <w:rFonts w:hint="eastAsia" w:ascii="Arial" w:eastAsia="宋体"/>
        <w:sz w:val="15"/>
        <w:szCs w:val="15"/>
      </w:rPr>
      <w:t>2017/8/9</w:t>
    </w:r>
    <w:r>
      <w:rPr>
        <w:rFonts w:hint="eastAsia" w:ascii="Arial" w:eastAsia="宋体"/>
        <w:sz w:val="15"/>
        <w:szCs w:val="15"/>
      </w:rPr>
      <w:tab/>
    </w:r>
    <w:r>
      <w:rPr>
        <w:rFonts w:hint="eastAsia" w:ascii="Arial" w:hAnsi="Arial" w:eastAsia="宋体"/>
        <w:sz w:val="15"/>
        <w:szCs w:val="15"/>
      </w:rPr>
      <w:t>合规政策指南＞ CPG Sec.130.300 FDA对质量保证程序审核和检查结果的访问</w:t>
    </w:r>
  </w:p>
  <w:p w14:paraId="0F8D70DB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1A1BC606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02B470C1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6D6F8390">
    <w:pPr>
      <w:spacing w:line="14" w:lineRule="auto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C45A3"/>
    <w:multiLevelType w:val="multilevel"/>
    <w:tmpl w:val="4F5C45A3"/>
    <w:lvl w:ilvl="0" w:tentative="0">
      <w:start w:val="21"/>
      <w:numFmt w:val="upperLetter"/>
      <w:lvlText w:val="%1"/>
      <w:lvlJc w:val="left"/>
      <w:pPr>
        <w:ind w:left="117" w:hanging="562"/>
        <w:jc w:val="left"/>
      </w:pPr>
      <w:rPr>
        <w:rFonts w:hint="default"/>
      </w:rPr>
    </w:lvl>
    <w:lvl w:ilvl="1" w:tentative="0">
      <w:start w:val="19"/>
      <w:numFmt w:val="upperLetter"/>
      <w:lvlText w:val="%1.%2."/>
      <w:lvlJc w:val="left"/>
      <w:pPr>
        <w:ind w:left="117" w:hanging="562"/>
        <w:jc w:val="left"/>
      </w:pPr>
      <w:rPr>
        <w:rFonts w:hint="default" w:ascii="Arial" w:hAnsi="Arial" w:eastAsia="Arial"/>
        <w:w w:val="98"/>
        <w:sz w:val="26"/>
        <w:szCs w:val="26"/>
      </w:rPr>
    </w:lvl>
    <w:lvl w:ilvl="2" w:tentative="0">
      <w:start w:val="1"/>
      <w:numFmt w:val="decimal"/>
      <w:lvlText w:val="%3."/>
      <w:lvlJc w:val="left"/>
      <w:pPr>
        <w:ind w:left="651" w:hanging="351"/>
        <w:jc w:val="left"/>
      </w:pPr>
      <w:rPr>
        <w:rFonts w:hint="default" w:ascii="Arial" w:hAnsi="Arial" w:eastAsia="Arial"/>
        <w:w w:val="100"/>
      </w:rPr>
    </w:lvl>
    <w:lvl w:ilvl="3" w:tentative="0">
      <w:start w:val="1"/>
      <w:numFmt w:val="bullet"/>
      <w:lvlText w:val="•"/>
      <w:lvlJc w:val="left"/>
      <w:pPr>
        <w:ind w:left="2985" w:hanging="351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148" w:hanging="351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310" w:hanging="351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473" w:hanging="351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636" w:hanging="351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798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20"/>
    <w:rsid w:val="000527D6"/>
    <w:rsid w:val="0007309B"/>
    <w:rsid w:val="000A5BD5"/>
    <w:rsid w:val="000E0B0C"/>
    <w:rsid w:val="001353CB"/>
    <w:rsid w:val="0014092C"/>
    <w:rsid w:val="001F6F94"/>
    <w:rsid w:val="00222A59"/>
    <w:rsid w:val="002230C9"/>
    <w:rsid w:val="0033498B"/>
    <w:rsid w:val="003A4C9A"/>
    <w:rsid w:val="003A4E36"/>
    <w:rsid w:val="00527D7D"/>
    <w:rsid w:val="005B25C2"/>
    <w:rsid w:val="005E0D56"/>
    <w:rsid w:val="00666176"/>
    <w:rsid w:val="007138D5"/>
    <w:rsid w:val="00734FF9"/>
    <w:rsid w:val="007964D2"/>
    <w:rsid w:val="007B36F5"/>
    <w:rsid w:val="00802B12"/>
    <w:rsid w:val="008955AC"/>
    <w:rsid w:val="00983846"/>
    <w:rsid w:val="009A4CDF"/>
    <w:rsid w:val="00AA6960"/>
    <w:rsid w:val="00B249D4"/>
    <w:rsid w:val="00B95020"/>
    <w:rsid w:val="00C657C6"/>
    <w:rsid w:val="00C6752F"/>
    <w:rsid w:val="00C911ED"/>
    <w:rsid w:val="00E85955"/>
    <w:rsid w:val="00E95555"/>
    <w:rsid w:val="00EF4FC3"/>
    <w:rsid w:val="00F67874"/>
    <w:rsid w:val="00F77645"/>
    <w:rsid w:val="00F828AD"/>
    <w:rsid w:val="00FE740B"/>
    <w:rsid w:val="59A7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7"/>
    </w:pPr>
    <w:rPr>
      <w:rFonts w:ascii="Arial" w:hAnsi="Arial" w:eastAsia="宋体"/>
      <w:sz w:val="26"/>
      <w:szCs w:val="26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6B5A-9101-4AA9-94E1-C8FD20929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1427</Words>
  <Characters>2426</Characters>
  <Lines>19</Lines>
  <Paragraphs>5</Paragraphs>
  <TotalTime>0</TotalTime>
  <ScaleCrop>false</ScaleCrop>
  <LinksUpToDate>false</LinksUpToDate>
  <CharactersWithSpaces>2497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2017-10-22T07:13:00Z</dcterms:created>
  <dc:creator>CML</dc:creator>
  <cp:lastModifiedBy>太极箫客</cp:lastModifiedBy>
  <dcterms:modified xsi:type="dcterms:W3CDTF">2025-08-14T06:16:06Z</dcterms:modified>
  <dc:title>Compliance Policy Guides &gt; CPG Sec. 130...surance Program Audits and Inspections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2017-10-12T00:00:00Z</vt:filetime>
  </property>
  <property fmtid="{D5CDD505-2E9C-101B-9397-08002B2CF9AE}" pid="5" name="KSOTemplateDocerSaveRecord">
    <vt:lpwstr>eyJoZGlkIjoiMDJiMzI3ODBiNTFmMWRjNDUyMjM1ZmZjODY5NDc2MWMiLCJ1c2VySWQiOiI0NTQ4Nzg1NzAifQ==</vt:lpwstr>
  </property>
  <property fmtid="{D5CDD505-2E9C-101B-9397-08002B2CF9AE}" pid="6" name="KSOProductBuildVer">
    <vt:lpwstr>2052-12.1.0.21915</vt:lpwstr>
  </property>
  <property fmtid="{D5CDD505-2E9C-101B-9397-08002B2CF9AE}" pid="7" name="ICV">
    <vt:lpwstr>6B08C0804CE3424E98A2BFFBEE205398_12</vt:lpwstr>
  </property>
</Properties>
</file>