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E442C">
      <w:pPr>
        <w:overflowPunct w:val="0"/>
        <w:spacing w:line="300" w:lineRule="auto"/>
        <w:jc w:val="both"/>
        <w:rPr>
          <w:rFonts w:ascii="Times New Roman" w:hAnsi="Times New Roman" w:eastAsia="Times New Roman" w:cs="Times New Roman"/>
          <w:sz w:val="20"/>
          <w:szCs w:val="20"/>
        </w:rPr>
      </w:pPr>
      <w:bookmarkStart w:id="0" w:name="_GoBack"/>
      <w:bookmarkEnd w:id="0"/>
    </w:p>
    <w:p w14:paraId="4F2AFA5C">
      <w:pPr>
        <w:overflowPunct w:val="0"/>
        <w:spacing w:line="300" w:lineRule="auto"/>
        <w:jc w:val="both"/>
        <w:rPr>
          <w:rFonts w:ascii="Times New Roman" w:hAnsi="Times New Roman" w:eastAsia="Times New Roman" w:cs="Times New Roman"/>
          <w:sz w:val="20"/>
          <w:szCs w:val="20"/>
        </w:rPr>
      </w:pPr>
    </w:p>
    <w:p w14:paraId="60F95D94">
      <w:pPr>
        <w:overflowPunct w:val="0"/>
        <w:spacing w:line="300" w:lineRule="auto"/>
        <w:jc w:val="both"/>
        <w:rPr>
          <w:rFonts w:ascii="Times New Roman" w:hAnsi="Times New Roman" w:eastAsia="Times New Roman" w:cs="Times New Roman"/>
          <w:sz w:val="20"/>
          <w:szCs w:val="20"/>
        </w:rPr>
      </w:pPr>
    </w:p>
    <w:p w14:paraId="0EB75683">
      <w:pPr>
        <w:overflowPunct w:val="0"/>
        <w:spacing w:line="300" w:lineRule="auto"/>
        <w:jc w:val="both"/>
        <w:rPr>
          <w:rFonts w:ascii="Times New Roman" w:hAnsi="Times New Roman" w:eastAsia="Times New Roman" w:cs="Times New Roman"/>
          <w:sz w:val="20"/>
          <w:szCs w:val="20"/>
        </w:rPr>
      </w:pPr>
    </w:p>
    <w:p w14:paraId="2AC9963A">
      <w:pPr>
        <w:overflowPunct w:val="0"/>
        <w:spacing w:before="106" w:line="300" w:lineRule="auto"/>
        <w:jc w:val="both"/>
        <w:rPr>
          <w:rFonts w:ascii="Arial" w:hAnsi="Arial" w:eastAsia="宋体" w:cs="Arial"/>
          <w:sz w:val="64"/>
          <w:szCs w:val="64"/>
        </w:rPr>
      </w:pPr>
      <w:r>
        <w:rPr>
          <w:rFonts w:hint="eastAsia" w:ascii="Arial" w:eastAsia="宋体"/>
          <w:b/>
          <w:sz w:val="64"/>
        </w:rPr>
        <w:t>CPG章节110.800 进口、扣押后取样</w:t>
      </w:r>
    </w:p>
    <w:p w14:paraId="6E8D38BD">
      <w:pPr>
        <w:pStyle w:val="2"/>
        <w:overflowPunct w:val="0"/>
        <w:spacing w:before="389" w:line="300" w:lineRule="auto"/>
        <w:ind w:left="0"/>
        <w:jc w:val="both"/>
        <w:rPr>
          <w:sz w:val="24"/>
          <w:szCs w:val="24"/>
        </w:rPr>
      </w:pPr>
      <w:r>
        <w:rPr>
          <w:rFonts w:hint="eastAsia"/>
          <w:sz w:val="24"/>
          <w:szCs w:val="24"/>
        </w:rPr>
        <w:t>背景：</w:t>
      </w:r>
    </w:p>
    <w:p w14:paraId="64C89C64">
      <w:pPr>
        <w:overflowPunct w:val="0"/>
        <w:spacing w:before="10" w:line="300" w:lineRule="auto"/>
        <w:jc w:val="both"/>
        <w:rPr>
          <w:rFonts w:ascii="Arial" w:hAnsi="Arial" w:eastAsia="Arial" w:cs="Arial"/>
          <w:sz w:val="24"/>
          <w:szCs w:val="24"/>
        </w:rPr>
      </w:pPr>
    </w:p>
    <w:p w14:paraId="0D6AF6DF">
      <w:pPr>
        <w:pStyle w:val="2"/>
        <w:overflowPunct w:val="0"/>
        <w:spacing w:line="300" w:lineRule="auto"/>
        <w:ind w:left="0"/>
        <w:jc w:val="both"/>
        <w:rPr>
          <w:sz w:val="24"/>
          <w:szCs w:val="24"/>
        </w:rPr>
      </w:pPr>
      <w:r>
        <w:rPr>
          <w:rFonts w:hint="eastAsia"/>
          <w:sz w:val="24"/>
          <w:szCs w:val="24"/>
        </w:rPr>
        <w:t>*进口商有时候要求FDA，而不是海关，允许从被扣留的货物中取样，以进行分析或其他检查，通常来探讨重新调整或竞争的可能性。通常，进口的货物在实际情况下是属于进口商，并持有的重新缴纳保税或在海关监管下进行最终处理。</w:t>
      </w:r>
    </w:p>
    <w:p w14:paraId="420A54AF">
      <w:pPr>
        <w:overflowPunct w:val="0"/>
        <w:spacing w:before="5" w:line="300" w:lineRule="auto"/>
        <w:jc w:val="both"/>
        <w:rPr>
          <w:rFonts w:ascii="Arial" w:hAnsi="Arial" w:eastAsia="Arial" w:cs="Arial"/>
          <w:sz w:val="24"/>
          <w:szCs w:val="24"/>
        </w:rPr>
      </w:pPr>
    </w:p>
    <w:p w14:paraId="56EE6A56">
      <w:pPr>
        <w:pStyle w:val="2"/>
        <w:overflowPunct w:val="0"/>
        <w:spacing w:line="300" w:lineRule="auto"/>
        <w:ind w:left="0"/>
        <w:jc w:val="both"/>
        <w:rPr>
          <w:sz w:val="24"/>
          <w:szCs w:val="24"/>
        </w:rPr>
      </w:pPr>
      <w:r>
        <w:rPr>
          <w:rFonts w:hint="eastAsia"/>
          <w:sz w:val="24"/>
          <w:szCs w:val="24"/>
        </w:rPr>
        <w:t>政策：</w:t>
      </w:r>
    </w:p>
    <w:p w14:paraId="4F1D4072">
      <w:pPr>
        <w:overflowPunct w:val="0"/>
        <w:spacing w:before="10" w:line="300" w:lineRule="auto"/>
        <w:jc w:val="both"/>
        <w:rPr>
          <w:rFonts w:ascii="Arial" w:hAnsi="Arial" w:eastAsia="Arial" w:cs="Arial"/>
          <w:sz w:val="24"/>
          <w:szCs w:val="24"/>
        </w:rPr>
      </w:pPr>
    </w:p>
    <w:p w14:paraId="58C9F591">
      <w:pPr>
        <w:pStyle w:val="2"/>
        <w:overflowPunct w:val="0"/>
        <w:spacing w:line="300" w:lineRule="auto"/>
        <w:ind w:left="0"/>
        <w:jc w:val="both"/>
        <w:rPr>
          <w:sz w:val="24"/>
          <w:szCs w:val="24"/>
        </w:rPr>
      </w:pPr>
      <w:r>
        <w:rPr>
          <w:rFonts w:hint="eastAsia"/>
          <w:sz w:val="24"/>
          <w:szCs w:val="24"/>
        </w:rPr>
        <w:t>*食品药品监督管理局不反对进口商从扣押的货物中采取合理样品进行适当分析或其他检查。无论货物是在海关保管，还是在重新缴纳保税的进口商的实际占有中，进口商必须承担从海关获得许可的责任，并遵守该机构的任何指示。如果要求进口商将扣押的货物重新交付海关监管以销毁或出口，则进口商必须采取必要的措施，向海关申报任何缺失的数量。</w:t>
      </w:r>
    </w:p>
    <w:p w14:paraId="2D7CBF29">
      <w:pPr>
        <w:pStyle w:val="2"/>
        <w:overflowPunct w:val="0"/>
        <w:spacing w:before="6" w:line="300" w:lineRule="auto"/>
        <w:ind w:left="0"/>
        <w:jc w:val="both"/>
        <w:rPr>
          <w:sz w:val="24"/>
          <w:szCs w:val="24"/>
        </w:rPr>
      </w:pPr>
    </w:p>
    <w:p w14:paraId="2CBED2F9">
      <w:pPr>
        <w:pStyle w:val="2"/>
        <w:overflowPunct w:val="0"/>
        <w:spacing w:before="6" w:line="300" w:lineRule="auto"/>
        <w:ind w:left="0"/>
        <w:jc w:val="both"/>
        <w:rPr>
          <w:sz w:val="24"/>
          <w:szCs w:val="24"/>
        </w:rPr>
      </w:pPr>
      <w:r>
        <w:rPr>
          <w:rFonts w:hint="eastAsia"/>
          <w:sz w:val="24"/>
          <w:szCs w:val="24"/>
        </w:rPr>
        <w:t>*星号之间的材料是新材料或改进材料*</w:t>
      </w:r>
    </w:p>
    <w:p w14:paraId="7363E595">
      <w:pPr>
        <w:pStyle w:val="2"/>
        <w:overflowPunct w:val="0"/>
        <w:spacing w:before="6" w:line="300" w:lineRule="auto"/>
        <w:ind w:left="0"/>
        <w:jc w:val="both"/>
        <w:rPr>
          <w:sz w:val="24"/>
          <w:szCs w:val="24"/>
        </w:rPr>
      </w:pPr>
    </w:p>
    <w:p w14:paraId="626E9B7F">
      <w:pPr>
        <w:pStyle w:val="2"/>
        <w:overflowPunct w:val="0"/>
        <w:spacing w:before="6" w:line="300" w:lineRule="auto"/>
        <w:ind w:left="0"/>
        <w:jc w:val="both"/>
        <w:rPr>
          <w:sz w:val="24"/>
          <w:szCs w:val="24"/>
        </w:rPr>
      </w:pPr>
      <w:r>
        <w:rPr>
          <w:rFonts w:hint="eastAsia"/>
          <w:sz w:val="24"/>
          <w:szCs w:val="24"/>
        </w:rPr>
        <w:t>发布日期：1977/3/15</w:t>
      </w:r>
    </w:p>
    <w:p w14:paraId="758C7874">
      <w:pPr>
        <w:pStyle w:val="2"/>
        <w:overflowPunct w:val="0"/>
        <w:spacing w:line="300" w:lineRule="auto"/>
        <w:ind w:left="0"/>
        <w:jc w:val="both"/>
        <w:rPr>
          <w:sz w:val="24"/>
          <w:szCs w:val="24"/>
        </w:rPr>
      </w:pPr>
      <w:r>
        <w:rPr>
          <w:rFonts w:hint="eastAsia"/>
          <w:sz w:val="24"/>
          <w:szCs w:val="24"/>
        </w:rPr>
        <w:t>修订日期：1980年10月1日、1989年8月31日</w:t>
      </w:r>
    </w:p>
    <w:p w14:paraId="31A0FD77">
      <w:pPr>
        <w:overflowPunct w:val="0"/>
        <w:spacing w:line="300" w:lineRule="auto"/>
        <w:jc w:val="both"/>
        <w:rPr>
          <w:rFonts w:ascii="Arial" w:hAnsi="Arial" w:eastAsia="Arial" w:cs="Arial"/>
          <w:sz w:val="24"/>
          <w:szCs w:val="24"/>
        </w:rPr>
      </w:pPr>
    </w:p>
    <w:p w14:paraId="2014D93D">
      <w:pPr>
        <w:overflowPunct w:val="0"/>
        <w:spacing w:line="300" w:lineRule="auto"/>
        <w:jc w:val="both"/>
        <w:rPr>
          <w:rFonts w:ascii="Arial" w:hAnsi="Arial" w:eastAsia="Arial" w:cs="Arial"/>
          <w:sz w:val="24"/>
          <w:szCs w:val="24"/>
        </w:rPr>
      </w:pPr>
    </w:p>
    <w:tbl>
      <w:tblPr>
        <w:tblStyle w:val="7"/>
        <w:tblW w:w="10884" w:type="dxa"/>
        <w:tblInd w:w="100" w:type="dxa"/>
        <w:tblLayout w:type="fixed"/>
        <w:tblCellMar>
          <w:top w:w="0" w:type="dxa"/>
          <w:left w:w="0" w:type="dxa"/>
          <w:bottom w:w="0" w:type="dxa"/>
          <w:right w:w="0" w:type="dxa"/>
        </w:tblCellMar>
      </w:tblPr>
      <w:tblGrid>
        <w:gridCol w:w="10884"/>
      </w:tblGrid>
      <w:tr w14:paraId="7D7A3FDE">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6BCC4DEE">
            <w:pPr>
              <w:pStyle w:val="9"/>
              <w:overflowPunct w:val="0"/>
              <w:snapToGrid w:val="0"/>
              <w:spacing w:before="72" w:beforeLines="30" w:after="72" w:afterLines="30" w:line="300" w:lineRule="auto"/>
              <w:ind w:left="20" w:right="20"/>
              <w:rPr>
                <w:rFonts w:ascii="Arial" w:hAnsi="Arial" w:eastAsia="宋体" w:cs="Arial"/>
                <w:b/>
                <w:sz w:val="24"/>
                <w:szCs w:val="24"/>
                <w:u w:val="single" w:color="000000"/>
              </w:rPr>
            </w:pPr>
            <w:r>
              <w:rPr>
                <w:rFonts w:hint="eastAsia" w:ascii="Arial" w:hAnsi="Arial" w:eastAsia="宋体" w:cs="Arial"/>
                <w:b/>
                <w:sz w:val="24"/>
                <w:szCs w:val="24"/>
                <w:u w:val="single" w:color="000000"/>
              </w:rPr>
              <w:t>合规政策指南的更多信息</w:t>
            </w:r>
          </w:p>
          <w:p w14:paraId="4E88F9D7">
            <w:pPr>
              <w:pStyle w:val="9"/>
              <w:overflowPunct w:val="0"/>
              <w:snapToGrid w:val="0"/>
              <w:spacing w:before="72" w:beforeLines="30" w:after="72" w:afterLines="30" w:line="300" w:lineRule="auto"/>
              <w:ind w:left="20" w:right="20"/>
              <w:rPr>
                <w:rFonts w:ascii="Arial" w:hAnsi="Arial" w:cs="Arial"/>
                <w:sz w:val="24"/>
                <w:szCs w:val="24"/>
              </w:rPr>
            </w:pPr>
            <w:r>
              <w:fldChar w:fldCharType="begin"/>
            </w:r>
            <w:r>
              <w:instrText xml:space="preserve"> HYPERLINK "https://www.fda.gov/ICECI/ComplianceManuals/CompliancePolicyGuidanceManual/default.htm" \h </w:instrText>
            </w:r>
            <w:r>
              <w:fldChar w:fldCharType="separate"/>
            </w:r>
            <w:r>
              <w:rPr>
                <w:rFonts w:ascii="Arial" w:hAnsi="Arial" w:eastAsia="宋体" w:cs="Arial"/>
                <w:b/>
                <w:sz w:val="24"/>
                <w:szCs w:val="24"/>
                <w:u w:val="single" w:color="000000"/>
              </w:rPr>
              <w:t>(/ICECI/Compliance Manuals/Compliance PolicyGuidance Manual/default.htm)</w:t>
            </w:r>
            <w:r>
              <w:rPr>
                <w:rFonts w:ascii="Arial" w:hAnsi="Arial" w:eastAsia="宋体" w:cs="Arial"/>
                <w:b/>
                <w:sz w:val="24"/>
                <w:szCs w:val="24"/>
                <w:u w:val="single" w:color="000000"/>
              </w:rPr>
              <w:fldChar w:fldCharType="end"/>
            </w:r>
          </w:p>
        </w:tc>
      </w:tr>
      <w:tr w14:paraId="76EE9BEE">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tcPr>
          <w:p w14:paraId="48EBC642">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04B307A6">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09E8D323">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w:t>
            </w:r>
            <w:r>
              <w:rPr>
                <w:rFonts w:hint="eastAsia" w:ascii="Arial" w:hAnsi="Arial" w:eastAsia="宋体" w:cs="Arial"/>
                <w:b/>
                <w:sz w:val="24"/>
                <w:szCs w:val="24"/>
                <w:u w:val="single" w:color="000000"/>
              </w:rPr>
              <w:t>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7098C73">
        <w:tblPrEx>
          <w:tblCellMar>
            <w:top w:w="0" w:type="dxa"/>
            <w:left w:w="0" w:type="dxa"/>
            <w:bottom w:w="0" w:type="dxa"/>
            <w:right w:w="0" w:type="dxa"/>
          </w:tblCellMar>
        </w:tblPrEx>
        <w:tc>
          <w:tcPr>
            <w:tcW w:w="10884" w:type="dxa"/>
            <w:tcBorders>
              <w:top w:val="single" w:color="DDDDDD" w:sz="6" w:space="0"/>
              <w:left w:val="single" w:color="DDDDDD" w:sz="6" w:space="0"/>
              <w:bottom w:val="nil"/>
              <w:right w:val="single" w:color="DDDDDD" w:sz="6" w:space="0"/>
            </w:tcBorders>
          </w:tcPr>
          <w:p w14:paraId="365B8F89">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050F1C5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333B9EFB">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0866036E">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0E9F8279">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09CBE2A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246F1570">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w:t>
            </w:r>
            <w:r>
              <w:rPr>
                <w:rFonts w:hint="eastAsia" w:ascii="Arial" w:hAnsi="Arial" w:eastAsia="宋体" w:cs="Arial"/>
                <w:b/>
                <w:sz w:val="24"/>
                <w:szCs w:val="24"/>
                <w:u w:val="single" w:color="000000"/>
              </w:rPr>
              <w:t>食品、颜料和化妆品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6B5E10E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0EC1D31F">
            <w:pPr>
              <w:overflowPunct w:val="0"/>
              <w:snapToGrid w:val="0"/>
              <w:spacing w:before="72" w:beforeLines="30" w:after="72" w:afterLines="30" w:line="300" w:lineRule="auto"/>
              <w:ind w:left="20" w:right="20"/>
              <w:rPr>
                <w:rFonts w:ascii="Arial" w:hAnsi="Arial" w:eastAsia="宋体" w:cs="Arial"/>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u w:val="single" w:color="000000"/>
              </w:rPr>
              <w:t>第六章-兽医</w:t>
            </w:r>
            <w:r>
              <w:rPr>
                <w:rFonts w:hint="eastAsia" w:ascii="Arial" w:hAnsi="Arial" w:eastAsia="宋体" w:cs="Arial"/>
                <w:b/>
                <w:u w:val="single" w:color="000000"/>
              </w:rPr>
              <w:t>医</w:t>
            </w:r>
            <w:r>
              <w:rPr>
                <w:rFonts w:ascii="Arial" w:hAnsi="Arial" w:eastAsia="宋体" w:cs="Arial"/>
                <w:b/>
                <w:u w:val="single" w:color="000000"/>
              </w:rPr>
              <w:t>学</w:t>
            </w:r>
            <w:r>
              <w:rPr>
                <w:rFonts w:hint="eastAsia" w:ascii="Arial" w:hAnsi="Arial" w:eastAsia="宋体" w:cs="Arial"/>
                <w:b/>
                <w:u w:val="single" w:color="000000"/>
              </w:rPr>
              <w:br w:type="textWrapping"/>
            </w:r>
            <w:r>
              <w:rPr>
                <w:rFonts w:ascii="Arial" w:hAnsi="Arial" w:eastAsia="宋体" w:cs="Arial"/>
                <w:b/>
                <w:u w:val="single" w:color="000000"/>
              </w:rPr>
              <w:t>(/ICECI/Compliance Manuals/Compliance PolicyGuidance Manual/ucm117042.htm)</w:t>
            </w:r>
            <w:r>
              <w:rPr>
                <w:rFonts w:ascii="Arial" w:hAnsi="Arial" w:eastAsia="宋体" w:cs="Arial"/>
                <w:b/>
                <w:u w:val="single" w:color="000000"/>
              </w:rPr>
              <w:fldChar w:fldCharType="end"/>
            </w:r>
          </w:p>
        </w:tc>
      </w:tr>
    </w:tbl>
    <w:p w14:paraId="09334F54">
      <w:pPr>
        <w:overflowPunct w:val="0"/>
        <w:spacing w:line="300" w:lineRule="auto"/>
        <w:jc w:val="both"/>
        <w:rPr>
          <w:rFonts w:ascii="Arial" w:hAnsi="Arial" w:eastAsia="Arial" w:cs="Arial"/>
          <w:sz w:val="24"/>
          <w:szCs w:val="24"/>
        </w:rPr>
      </w:pPr>
    </w:p>
    <w:p w14:paraId="208FF324">
      <w:pPr>
        <w:overflowPunct w:val="0"/>
        <w:spacing w:line="300" w:lineRule="auto"/>
        <w:jc w:val="both"/>
        <w:rPr>
          <w:rFonts w:hint="eastAsia" w:eastAsia="宋体"/>
          <w:lang w:eastAsia="zh-CN"/>
        </w:rPr>
      </w:pPr>
    </w:p>
    <w:p w14:paraId="76DDDF5B">
      <w:pPr>
        <w:overflowPunct w:val="0"/>
        <w:spacing w:line="300" w:lineRule="auto"/>
        <w:jc w:val="center"/>
        <w:rPr>
          <w:rFonts w:hint="eastAsia" w:eastAsia="宋体"/>
          <w:lang w:eastAsia="zh-CN"/>
        </w:rPr>
      </w:pPr>
    </w:p>
    <w:p w14:paraId="09A0385A">
      <w:pPr>
        <w:overflowPunct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C59C">
    <w:pPr>
      <w:tabs>
        <w:tab w:val="right" w:pos="10773"/>
      </w:tabs>
      <w:spacing w:line="184" w:lineRule="exact"/>
      <w:ind w:left="4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"http://www.fda.gov/ICECI/ComplianceManuals/CompliancePolicyGuidanceManual/ucm073835.htm" \h </w:instrText>
    </w:r>
    <w:r>
      <w:fldChar w:fldCharType="separate"/>
    </w:r>
    <w:r>
      <w:rPr>
        <w:rFonts w:ascii="Arial" w:hAnsi="Arial" w:eastAsia="宋体" w:cs="Arial"/>
        <w:sz w:val="15"/>
        <w:szCs w:val="15"/>
      </w:rPr>
      <w:t>www.fda.gov/ICECI/ComplianceManuals/CompliancePolicyGuidanceManual/ucm073835.htm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1</w:t>
    </w:r>
    <w:r>
      <w:rPr>
        <w:rFonts w:ascii="Arial" w:hAnsi="Arial" w:cs="Arial"/>
        <w:sz w:val="15"/>
        <w:szCs w:val="15"/>
      </w:rPr>
      <w:fldChar w:fldCharType="end"/>
    </w:r>
    <w:r>
      <w:rPr>
        <w:rFonts w:ascii="Arial" w:hAnsi="Arial" w:eastAsia="宋体" w:cs="Arial"/>
        <w:sz w:val="15"/>
        <w:szCs w:val="15"/>
      </w:rPr>
      <w:t>/2</w:t>
    </w:r>
  </w:p>
  <w:p w14:paraId="49CC9150">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51EF">
    <w:pPr>
      <w:tabs>
        <w:tab w:val="left" w:pos="3686"/>
      </w:tabs>
      <w:spacing w:line="184" w:lineRule="exact"/>
      <w:ind w:left="20"/>
      <w:rPr>
        <w:rFonts w:ascii="Arial" w:eastAsia="宋体"/>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合规政策指南&gt;CPG章节110.800 进口、扣押后取样</w:t>
    </w:r>
  </w:p>
  <w:p w14:paraId="0DFD6E26">
    <w:pPr>
      <w:tabs>
        <w:tab w:val="left" w:pos="3686"/>
      </w:tabs>
      <w:spacing w:line="184" w:lineRule="exact"/>
      <w:ind w:left="20"/>
      <w:rPr>
        <w:rFonts w:ascii="Arial" w:eastAsia="宋体"/>
        <w:sz w:val="15"/>
        <w:szCs w:val="15"/>
      </w:rPr>
    </w:pPr>
  </w:p>
  <w:p w14:paraId="57B65BAC">
    <w:pPr>
      <w:tabs>
        <w:tab w:val="left" w:pos="3686"/>
      </w:tabs>
      <w:spacing w:line="184" w:lineRule="exact"/>
      <w:ind w:left="20"/>
      <w:rPr>
        <w:rFonts w:ascii="Arial" w:eastAsia="宋体"/>
        <w:sz w:val="15"/>
        <w:szCs w:val="15"/>
      </w:rPr>
    </w:pPr>
  </w:p>
  <w:p w14:paraId="3B64CA6F">
    <w:pPr>
      <w:tabs>
        <w:tab w:val="left" w:pos="3686"/>
      </w:tabs>
      <w:spacing w:line="184" w:lineRule="exact"/>
      <w:ind w:left="20"/>
      <w:rPr>
        <w:rFonts w:ascii="Arial" w:hAnsi="Arial" w:eastAsia="宋体" w:cs="Arial"/>
        <w:sz w:val="15"/>
        <w:szCs w:val="15"/>
      </w:rPr>
    </w:pPr>
  </w:p>
  <w:p w14:paraId="77D23976">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48"/>
    <w:rsid w:val="002535FF"/>
    <w:rsid w:val="00263059"/>
    <w:rsid w:val="002E3437"/>
    <w:rsid w:val="003B6203"/>
    <w:rsid w:val="004B6EA9"/>
    <w:rsid w:val="004D5BFB"/>
    <w:rsid w:val="00517363"/>
    <w:rsid w:val="007A66B4"/>
    <w:rsid w:val="00816F48"/>
    <w:rsid w:val="00A0594D"/>
    <w:rsid w:val="00A319E6"/>
    <w:rsid w:val="00B61B71"/>
    <w:rsid w:val="00BA60FC"/>
    <w:rsid w:val="00CD0BDD"/>
    <w:rsid w:val="00D45068"/>
    <w:rsid w:val="00DC427B"/>
    <w:rsid w:val="00DE202E"/>
    <w:rsid w:val="00EF4421"/>
    <w:rsid w:val="67A9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ShunDaJiaYi</Company>
  <Pages>2</Pages>
  <Words>424</Words>
  <Characters>986</Characters>
  <Lines>13</Lines>
  <Paragraphs>3</Paragraphs>
  <TotalTime>0</TotalTime>
  <ScaleCrop>false</ScaleCrop>
  <LinksUpToDate>false</LinksUpToDate>
  <CharactersWithSpaces>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2017-11-10T01:38:00Z</dcterms:created>
  <dc:creator>wenrongzhen</dc:creator>
  <cp:lastModifiedBy>太极箫客</cp:lastModifiedBy>
  <dcterms:modified xsi:type="dcterms:W3CDTF">2025-08-14T06:16:04Z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F0C853F4C13947AD8CF24793E0BDD5CB_12</vt:lpwstr>
  </property>
</Properties>
</file>