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AC3BE">
      <w:pPr>
        <w:snapToGrid w:val="0"/>
        <w:spacing w:line="300" w:lineRule="auto"/>
        <w:jc w:val="both"/>
        <w:rPr>
          <w:rFonts w:ascii="Arial" w:hAnsi="Arial" w:eastAsia="宋体" w:cs="Arial"/>
          <w:sz w:val="20"/>
          <w:szCs w:val="20"/>
        </w:rPr>
      </w:pPr>
      <w:bookmarkStart w:id="0" w:name="_GoBack"/>
      <w:bookmarkEnd w:id="0"/>
    </w:p>
    <w:p w14:paraId="29AFE945">
      <w:pPr>
        <w:snapToGrid w:val="0"/>
        <w:spacing w:line="300" w:lineRule="auto"/>
        <w:jc w:val="both"/>
        <w:rPr>
          <w:rFonts w:ascii="Arial" w:hAnsi="Arial" w:eastAsia="宋体" w:cs="Arial"/>
          <w:sz w:val="20"/>
          <w:szCs w:val="20"/>
        </w:rPr>
      </w:pPr>
    </w:p>
    <w:p w14:paraId="51C3FD3D">
      <w:pPr>
        <w:snapToGrid w:val="0"/>
        <w:spacing w:line="300" w:lineRule="auto"/>
        <w:jc w:val="both"/>
        <w:rPr>
          <w:rFonts w:ascii="Arial" w:hAnsi="Arial" w:eastAsia="宋体" w:cs="Arial"/>
          <w:sz w:val="20"/>
          <w:szCs w:val="20"/>
        </w:rPr>
      </w:pPr>
    </w:p>
    <w:p w14:paraId="67005157">
      <w:pPr>
        <w:snapToGrid w:val="0"/>
        <w:spacing w:line="300" w:lineRule="auto"/>
        <w:jc w:val="both"/>
        <w:rPr>
          <w:rFonts w:ascii="Arial" w:hAnsi="Arial" w:eastAsia="宋体" w:cs="Arial"/>
          <w:sz w:val="20"/>
          <w:szCs w:val="20"/>
        </w:rPr>
      </w:pPr>
    </w:p>
    <w:p w14:paraId="3BAC3B7C">
      <w:pPr>
        <w:snapToGrid w:val="0"/>
        <w:spacing w:before="106" w:line="300" w:lineRule="auto"/>
        <w:jc w:val="both"/>
        <w:rPr>
          <w:rFonts w:ascii="Arial" w:hAnsi="Arial" w:eastAsia="宋体" w:cs="Arial"/>
          <w:sz w:val="64"/>
          <w:szCs w:val="64"/>
        </w:rPr>
      </w:pPr>
      <w:r>
        <w:rPr>
          <w:rFonts w:ascii="Arial" w:hAnsi="Arial" w:eastAsia="宋体" w:cs="Arial"/>
          <w:b/>
          <w:sz w:val="64"/>
        </w:rPr>
        <w:t>CPG</w:t>
      </w:r>
      <w:r>
        <w:rPr>
          <w:rFonts w:hint="eastAsia" w:ascii="Arial" w:hAnsi="Arial" w:eastAsia="宋体" w:cs="Arial"/>
          <w:b/>
          <w:sz w:val="64"/>
        </w:rPr>
        <w:t>章节</w:t>
      </w:r>
      <w:r>
        <w:rPr>
          <w:rFonts w:ascii="Arial" w:hAnsi="Arial" w:eastAsia="宋体" w:cs="Arial"/>
          <w:b/>
          <w:sz w:val="64"/>
        </w:rPr>
        <w:t>110.600 FDA对位于对外贸易区、保税仓或保税承运商的国外产品的</w:t>
      </w:r>
      <w:r>
        <w:rPr>
          <w:rFonts w:hint="eastAsia" w:ascii="Arial" w:hAnsi="Arial" w:eastAsia="宋体" w:cs="Arial"/>
          <w:b/>
          <w:sz w:val="64"/>
        </w:rPr>
        <w:t>管辖权</w:t>
      </w:r>
    </w:p>
    <w:p w14:paraId="4620FFAD">
      <w:pPr>
        <w:pStyle w:val="2"/>
        <w:snapToGrid w:val="0"/>
        <w:spacing w:before="389" w:line="30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背景：</w:t>
      </w:r>
    </w:p>
    <w:p w14:paraId="17700282">
      <w:pPr>
        <w:snapToGrid w:val="0"/>
        <w:spacing w:before="10" w:line="300" w:lineRule="auto"/>
        <w:jc w:val="both"/>
        <w:rPr>
          <w:rFonts w:ascii="Arial" w:hAnsi="Arial" w:eastAsia="宋体" w:cs="Arial"/>
          <w:sz w:val="24"/>
          <w:szCs w:val="24"/>
        </w:rPr>
      </w:pPr>
    </w:p>
    <w:p w14:paraId="4CB47DBD">
      <w:pPr>
        <w:pStyle w:val="2"/>
        <w:snapToGrid w:val="0"/>
        <w:spacing w:line="30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在某些情况下，关于FDA对尚未提交任何入境或进口申请而引进美国的国外产品的</w:t>
      </w:r>
      <w:r>
        <w:rPr>
          <w:rFonts w:hint="eastAsia" w:cs="Arial"/>
          <w:sz w:val="24"/>
          <w:szCs w:val="24"/>
        </w:rPr>
        <w:t>管辖权</w:t>
      </w:r>
      <w:r>
        <w:rPr>
          <w:rFonts w:cs="Arial"/>
          <w:sz w:val="24"/>
          <w:szCs w:val="24"/>
        </w:rPr>
        <w:t>提出了质疑。这些产品通常位于美国的国外</w:t>
      </w:r>
      <w:r>
        <w:rPr>
          <w:rFonts w:hint="eastAsia" w:cs="Arial"/>
          <w:sz w:val="24"/>
          <w:szCs w:val="24"/>
        </w:rPr>
        <w:t>（</w:t>
      </w:r>
      <w:r>
        <w:rPr>
          <w:rFonts w:cs="Arial"/>
          <w:sz w:val="24"/>
          <w:szCs w:val="24"/>
        </w:rPr>
        <w:t>自由</w:t>
      </w:r>
      <w:r>
        <w:rPr>
          <w:rFonts w:hint="eastAsia" w:cs="Arial"/>
          <w:sz w:val="24"/>
          <w:szCs w:val="24"/>
        </w:rPr>
        <w:t>）</w:t>
      </w:r>
      <w:r>
        <w:rPr>
          <w:rFonts w:cs="Arial"/>
          <w:sz w:val="24"/>
          <w:szCs w:val="24"/>
        </w:rPr>
        <w:t>贸易区。然而，也可能在保税仓或保税车辆中找到。</w:t>
      </w:r>
    </w:p>
    <w:p w14:paraId="1AC40F1C">
      <w:pPr>
        <w:snapToGrid w:val="0"/>
        <w:spacing w:before="5" w:line="300" w:lineRule="auto"/>
        <w:jc w:val="both"/>
        <w:rPr>
          <w:rFonts w:ascii="Arial" w:hAnsi="Arial" w:eastAsia="宋体" w:cs="Arial"/>
          <w:sz w:val="24"/>
          <w:szCs w:val="24"/>
        </w:rPr>
      </w:pPr>
    </w:p>
    <w:p w14:paraId="75C22FAA">
      <w:pPr>
        <w:pStyle w:val="2"/>
        <w:snapToGrid w:val="0"/>
        <w:spacing w:line="30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如CPG 7150.11所述（参见规范110.200）</w:t>
      </w:r>
      <w:r>
        <w:rPr>
          <w:rFonts w:ascii="宋体" w:hAnsi="宋体" w:cs="Arial"/>
          <w:sz w:val="24"/>
          <w:szCs w:val="24"/>
        </w:rPr>
        <w:t>“</w:t>
      </w:r>
      <w:r>
        <w:rPr>
          <w:rFonts w:cs="Arial"/>
          <w:sz w:val="24"/>
          <w:szCs w:val="24"/>
        </w:rPr>
        <w:t>从美国对外贸易区出口的FDA监管产品</w:t>
      </w:r>
      <w:r>
        <w:rPr>
          <w:rFonts w:ascii="宋体" w:hAnsi="宋体" w:cs="Arial"/>
          <w:sz w:val="24"/>
          <w:szCs w:val="24"/>
        </w:rPr>
        <w:t>”</w:t>
      </w:r>
      <w:r>
        <w:rPr>
          <w:rFonts w:cs="Arial"/>
          <w:sz w:val="24"/>
          <w:szCs w:val="24"/>
        </w:rPr>
        <w:t>，这些区域由美国海关提供，作为避免缴纳关税、税收和保税的手段，如果货物不打算进入消费，则将此类缴费延迟到实际进入消费。</w:t>
      </w:r>
    </w:p>
    <w:p w14:paraId="2E3B0FEC">
      <w:pPr>
        <w:snapToGrid w:val="0"/>
        <w:spacing w:before="5" w:line="300" w:lineRule="auto"/>
        <w:jc w:val="both"/>
        <w:rPr>
          <w:rFonts w:ascii="Arial" w:hAnsi="Arial" w:eastAsia="宋体" w:cs="Arial"/>
          <w:sz w:val="24"/>
          <w:szCs w:val="24"/>
        </w:rPr>
      </w:pPr>
    </w:p>
    <w:p w14:paraId="0BE26E0D">
      <w:pPr>
        <w:pStyle w:val="2"/>
        <w:snapToGrid w:val="0"/>
        <w:spacing w:line="30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国外产品在对外贸易区或在保税仓中，在美国，均属于州际贸易中，因此受到FDA管理的法律约束。</w:t>
      </w:r>
    </w:p>
    <w:p w14:paraId="14C8F6F1">
      <w:pPr>
        <w:snapToGrid w:val="0"/>
        <w:spacing w:before="5" w:line="300" w:lineRule="auto"/>
        <w:jc w:val="both"/>
        <w:rPr>
          <w:rFonts w:ascii="Arial" w:hAnsi="Arial" w:eastAsia="宋体" w:cs="Arial"/>
          <w:sz w:val="24"/>
          <w:szCs w:val="24"/>
        </w:rPr>
      </w:pPr>
    </w:p>
    <w:p w14:paraId="0AFF674D">
      <w:pPr>
        <w:pStyle w:val="2"/>
        <w:snapToGrid w:val="0"/>
        <w:spacing w:line="30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运输进口和出口的产品</w:t>
      </w:r>
      <w:r>
        <w:rPr>
          <w:rFonts w:hint="eastAsia" w:cs="Arial"/>
          <w:sz w:val="24"/>
          <w:szCs w:val="24"/>
        </w:rPr>
        <w:t>（</w:t>
      </w:r>
      <w:r>
        <w:rPr>
          <w:rFonts w:cs="Arial"/>
          <w:sz w:val="24"/>
          <w:szCs w:val="24"/>
        </w:rPr>
        <w:t>由保税承运商通过美国的保税运输无需评估或缴纳关税</w:t>
      </w:r>
      <w:r>
        <w:rPr>
          <w:rFonts w:hint="eastAsia" w:cs="Arial"/>
          <w:sz w:val="24"/>
          <w:szCs w:val="24"/>
        </w:rPr>
        <w:t>）</w:t>
      </w:r>
      <w:r>
        <w:rPr>
          <w:rFonts w:cs="Arial"/>
          <w:sz w:val="24"/>
          <w:szCs w:val="24"/>
        </w:rPr>
        <w:t>也受FDA管理的法律约束。</w:t>
      </w:r>
    </w:p>
    <w:p w14:paraId="2054BEBF">
      <w:pPr>
        <w:snapToGrid w:val="0"/>
        <w:spacing w:before="5" w:line="300" w:lineRule="auto"/>
        <w:jc w:val="both"/>
        <w:rPr>
          <w:rFonts w:ascii="Arial" w:hAnsi="Arial" w:eastAsia="宋体" w:cs="Arial"/>
          <w:sz w:val="24"/>
          <w:szCs w:val="24"/>
        </w:rPr>
      </w:pPr>
    </w:p>
    <w:p w14:paraId="247F16AB">
      <w:pPr>
        <w:pStyle w:val="2"/>
        <w:snapToGrid w:val="0"/>
        <w:spacing w:line="30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政策：</w:t>
      </w:r>
    </w:p>
    <w:p w14:paraId="0CE4B11D">
      <w:pPr>
        <w:snapToGrid w:val="0"/>
        <w:spacing w:before="10" w:line="300" w:lineRule="auto"/>
        <w:jc w:val="both"/>
        <w:rPr>
          <w:rFonts w:ascii="Arial" w:hAnsi="Arial" w:eastAsia="宋体" w:cs="Arial"/>
          <w:sz w:val="24"/>
          <w:szCs w:val="24"/>
        </w:rPr>
      </w:pPr>
    </w:p>
    <w:p w14:paraId="594AC0B7">
      <w:pPr>
        <w:pStyle w:val="2"/>
        <w:snapToGrid w:val="0"/>
        <w:spacing w:line="30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FDA有权对引进到美国的国外产品（无论是否提交入境申请）进行监管。货物的位置（卡车、保税仓、对外贸易区等）不影响FDA对货物的权威。</w:t>
      </w:r>
    </w:p>
    <w:p w14:paraId="633EFA65">
      <w:pPr>
        <w:snapToGrid w:val="0"/>
        <w:spacing w:before="5" w:line="300" w:lineRule="auto"/>
        <w:jc w:val="both"/>
        <w:rPr>
          <w:rFonts w:ascii="Arial" w:hAnsi="Arial" w:eastAsia="宋体" w:cs="Arial"/>
          <w:sz w:val="24"/>
          <w:szCs w:val="24"/>
        </w:rPr>
      </w:pPr>
    </w:p>
    <w:p w14:paraId="7E687F3B">
      <w:pPr>
        <w:pStyle w:val="2"/>
        <w:snapToGrid w:val="0"/>
        <w:spacing w:line="300" w:lineRule="auto"/>
        <w:ind w:left="0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未进口或提供进口的产品：</w:t>
      </w:r>
    </w:p>
    <w:p w14:paraId="5EE07FCE">
      <w:pPr>
        <w:pStyle w:val="2"/>
        <w:snapToGrid w:val="0"/>
        <w:spacing w:before="207" w:line="30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不属于进口但位于美国合法范围内的国外产品，应依照美国国内法规规定进行管理。</w:t>
      </w:r>
    </w:p>
    <w:p w14:paraId="44DA43B8">
      <w:pPr>
        <w:rPr>
          <w:rFonts w:ascii="Arial" w:hAnsi="Arial" w:eastAsia="宋体"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14AA0167">
      <w:pPr>
        <w:pStyle w:val="2"/>
        <w:snapToGrid w:val="0"/>
        <w:spacing w:before="64" w:line="300" w:lineRule="auto"/>
        <w:ind w:left="0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进口或提供进口的产品：</w:t>
      </w:r>
    </w:p>
    <w:p w14:paraId="489B8440">
      <w:pPr>
        <w:rPr>
          <w:rFonts w:ascii="Arial" w:hAnsi="Arial" w:eastAsia="宋体" w:cs="Arial"/>
          <w:sz w:val="24"/>
          <w:szCs w:val="24"/>
        </w:rPr>
      </w:pPr>
    </w:p>
    <w:p w14:paraId="06542FE7">
      <w:pPr>
        <w:pStyle w:val="2"/>
        <w:snapToGrid w:val="0"/>
        <w:spacing w:before="9" w:line="30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已提交申请入境和已经进口但仍处于进口状态的产品（是否在对外贸区、保税仓等）按照</w:t>
      </w:r>
      <w:r>
        <w:rPr>
          <w:rFonts w:ascii="宋体" w:hAnsi="宋体" w:cs="Arial"/>
          <w:sz w:val="24"/>
          <w:szCs w:val="24"/>
        </w:rPr>
        <w:t>“</w:t>
      </w:r>
      <w:r>
        <w:rPr>
          <w:rFonts w:cs="Arial"/>
          <w:sz w:val="24"/>
          <w:szCs w:val="24"/>
        </w:rPr>
        <w:t>FD＆C法案</w:t>
      </w:r>
      <w:r>
        <w:rPr>
          <w:rFonts w:ascii="宋体" w:hAnsi="宋体" w:cs="Arial"/>
          <w:sz w:val="24"/>
          <w:szCs w:val="24"/>
        </w:rPr>
        <w:t>”</w:t>
      </w:r>
      <w:r>
        <w:rPr>
          <w:rFonts w:cs="Arial"/>
          <w:sz w:val="24"/>
          <w:szCs w:val="24"/>
        </w:rPr>
        <w:t>第801</w:t>
      </w:r>
      <w:r>
        <w:rPr>
          <w:rFonts w:hint="eastAsia" w:cs="Arial"/>
          <w:sz w:val="24"/>
          <w:szCs w:val="24"/>
        </w:rPr>
        <w:t>章</w:t>
      </w:r>
      <w:r>
        <w:rPr>
          <w:rFonts w:cs="Arial"/>
          <w:sz w:val="24"/>
          <w:szCs w:val="24"/>
        </w:rPr>
        <w:t>或</w:t>
      </w:r>
      <w:r>
        <w:rPr>
          <w:rFonts w:ascii="宋体" w:hAnsi="宋体" w:cs="Arial"/>
          <w:sz w:val="24"/>
          <w:szCs w:val="24"/>
        </w:rPr>
        <w:t>“</w:t>
      </w:r>
      <w:r>
        <w:rPr>
          <w:rFonts w:cs="Arial"/>
          <w:sz w:val="24"/>
          <w:szCs w:val="24"/>
        </w:rPr>
        <w:t>RCHS法案</w:t>
      </w:r>
      <w:r>
        <w:rPr>
          <w:rFonts w:ascii="宋体" w:hAnsi="宋体" w:cs="Arial"/>
          <w:sz w:val="24"/>
          <w:szCs w:val="24"/>
        </w:rPr>
        <w:t>”</w:t>
      </w:r>
      <w:r>
        <w:rPr>
          <w:rFonts w:cs="Arial"/>
          <w:sz w:val="24"/>
          <w:szCs w:val="24"/>
        </w:rPr>
        <w:t>第360（a）</w:t>
      </w:r>
      <w:r>
        <w:rPr>
          <w:rFonts w:hint="eastAsia" w:cs="Arial"/>
          <w:sz w:val="24"/>
          <w:szCs w:val="24"/>
        </w:rPr>
        <w:t>章</w:t>
      </w:r>
      <w:r>
        <w:rPr>
          <w:rFonts w:cs="Arial"/>
          <w:sz w:val="24"/>
          <w:szCs w:val="24"/>
        </w:rPr>
        <w:t>的规定进行管理。</w:t>
      </w:r>
    </w:p>
    <w:p w14:paraId="5ED95989">
      <w:pPr>
        <w:snapToGrid w:val="0"/>
        <w:spacing w:before="5" w:line="300" w:lineRule="auto"/>
        <w:jc w:val="both"/>
        <w:rPr>
          <w:rFonts w:ascii="Arial" w:hAnsi="Arial" w:eastAsia="宋体" w:cs="Arial"/>
          <w:sz w:val="24"/>
          <w:szCs w:val="24"/>
        </w:rPr>
      </w:pPr>
    </w:p>
    <w:p w14:paraId="1C0515BE">
      <w:pPr>
        <w:pStyle w:val="2"/>
        <w:snapToGrid w:val="0"/>
        <w:spacing w:line="30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发布日期：1981年4月1日</w:t>
      </w:r>
    </w:p>
    <w:p w14:paraId="4718E027">
      <w:pPr>
        <w:pStyle w:val="2"/>
        <w:snapToGrid w:val="0"/>
        <w:spacing w:line="30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收到日期：1989年8月31日</w:t>
      </w:r>
    </w:p>
    <w:p w14:paraId="3F45BC6A">
      <w:pPr>
        <w:snapToGrid w:val="0"/>
        <w:spacing w:line="300" w:lineRule="auto"/>
        <w:jc w:val="both"/>
        <w:rPr>
          <w:rFonts w:ascii="Arial" w:hAnsi="Arial" w:eastAsia="宋体" w:cs="Arial"/>
          <w:sz w:val="24"/>
          <w:szCs w:val="24"/>
        </w:rPr>
      </w:pPr>
    </w:p>
    <w:p w14:paraId="0CDAB68F">
      <w:pPr>
        <w:snapToGrid w:val="0"/>
        <w:spacing w:line="300" w:lineRule="auto"/>
        <w:jc w:val="both"/>
        <w:rPr>
          <w:rFonts w:ascii="Arial" w:hAnsi="Arial" w:eastAsia="宋体" w:cs="Arial"/>
          <w:sz w:val="24"/>
          <w:szCs w:val="24"/>
        </w:rPr>
      </w:pPr>
    </w:p>
    <w:tbl>
      <w:tblPr>
        <w:tblStyle w:val="7"/>
        <w:tblW w:w="10884" w:type="dxa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4"/>
      </w:tblGrid>
      <w:tr w14:paraId="32E6B6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4F81BD" w:themeColor="accent1" w:sz="12" w:space="0"/>
              <w:left w:val="single" w:color="4F81BD" w:themeColor="accent1" w:sz="12" w:space="0"/>
              <w:bottom w:val="single" w:color="4F81BD" w:themeColor="accent1" w:sz="12" w:space="0"/>
              <w:right w:val="single" w:color="4F81BD" w:themeColor="accent1" w:sz="12" w:space="0"/>
            </w:tcBorders>
          </w:tcPr>
          <w:p w14:paraId="31A1FB7F">
            <w:pPr>
              <w:overflowPunct w:val="0"/>
              <w:snapToGrid w:val="0"/>
              <w:spacing w:before="72" w:beforeLines="30" w:after="72" w:afterLines="30" w:line="300" w:lineRule="auto"/>
              <w:ind w:left="44" w:leftChars="20" w:right="44" w:rightChars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"https://www.fda.gov/ICECI/ComplianceManuals/CompliancePolicyGuidanceManual/default.htm"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合规政策指南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fldChar w:fldCharType="end"/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</w:rPr>
              <w:t>的更多信息</w:t>
            </w:r>
          </w:p>
          <w:p w14:paraId="0E75A53A">
            <w:pPr>
              <w:pStyle w:val="9"/>
              <w:overflowPunct w:val="0"/>
              <w:snapToGrid w:val="0"/>
              <w:spacing w:before="72" w:beforeLines="30" w:after="72" w:afterLines="30" w:line="300" w:lineRule="auto"/>
              <w:ind w:left="20" w:right="20"/>
              <w:rPr>
                <w:rFonts w:ascii="Arial" w:hAnsi="Arial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"https://www.fda.gov/ICECI/ComplianceManuals/CompliancePolicyGuidanceManual/default.htm"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(/ICECI/Compliance Manuals/Compliance PolicyGuidance Manual/default.htm)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39C5AB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4F81BD" w:themeColor="accent1" w:sz="12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</w:tcPr>
          <w:p w14:paraId="5EDDC46E">
            <w:pPr>
              <w:pStyle w:val="9"/>
              <w:overflowPunct w:val="0"/>
              <w:snapToGrid w:val="0"/>
              <w:spacing w:before="72" w:beforeLines="30" w:after="72" w:afterLines="30" w:line="300" w:lineRule="auto"/>
              <w:ind w:left="20" w:right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"https://www.fda.gov/ICECI/ComplianceManuals/CompliancePolicyGuidanceManual/ucm116271.htm" \h </w:instrText>
            </w:r>
            <w:r>
              <w:fldChar w:fldCharType="separate"/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</w:rPr>
              <w:t>前言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：合规政策指南（CPG）</w:t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(/ICECI/Compliance Manuals/Compliance PolicyGuidance Manual/ucm116271.htm)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05098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</w:tcPr>
          <w:p w14:paraId="73DE86F6">
            <w:pPr>
              <w:pStyle w:val="9"/>
              <w:overflowPunct w:val="0"/>
              <w:snapToGrid w:val="0"/>
              <w:spacing w:before="72" w:beforeLines="30" w:after="72" w:afterLines="30" w:line="300" w:lineRule="auto"/>
              <w:ind w:left="20" w:right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"https://www.fda.gov/ICECI/ComplianceManuals/CompliancePolicyGuidanceManual/ucm116280.htm"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第一章-</w:t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</w:rPr>
              <w:t>通则</w:t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(/ICECI/Compliance Manuals/Compliance PolicyGuidance Manual/ucm116280.htm)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196AD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nil"/>
              <w:right w:val="single" w:color="DDDDDD" w:sz="6" w:space="0"/>
            </w:tcBorders>
          </w:tcPr>
          <w:p w14:paraId="62BC1FC8">
            <w:pPr>
              <w:pStyle w:val="9"/>
              <w:overflowPunct w:val="0"/>
              <w:snapToGrid w:val="0"/>
              <w:spacing w:before="72" w:beforeLines="30" w:after="72" w:afterLines="30" w:line="300" w:lineRule="auto"/>
              <w:ind w:left="20" w:right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"https://www.fda.gov/ICECI/ComplianceManuals/CompliancePolicyGuidanceManual/ucm116336.htm"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第二章-生物制剂</w:t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(/ICECI/Compliance Manuals/Compliance PolicyGuidance Manual/ucm116336.htm)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06310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</w:tcPr>
          <w:p w14:paraId="2188EE44">
            <w:pPr>
              <w:pStyle w:val="9"/>
              <w:overflowPunct w:val="0"/>
              <w:snapToGrid w:val="0"/>
              <w:spacing w:before="72" w:beforeLines="30" w:after="72" w:afterLines="30" w:line="300" w:lineRule="auto"/>
              <w:ind w:left="20" w:right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"https://www.fda.gov/ICECI/ComplianceManuals/CompliancePolicyGuidanceManual/ucm116801.htm"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第三章-器械</w:t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(/ICECI/Compliance Manuals/Compliance PolicyGuidance Manual/ucm116801.htm)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506F5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</w:tcPr>
          <w:p w14:paraId="6C3C756B">
            <w:pPr>
              <w:pStyle w:val="9"/>
              <w:overflowPunct w:val="0"/>
              <w:snapToGrid w:val="0"/>
              <w:spacing w:before="72" w:beforeLines="30" w:after="72" w:afterLines="30" w:line="300" w:lineRule="auto"/>
              <w:ind w:left="20" w:right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"https://www.fda.gov/ICECI/ComplianceManuals/CompliancePolicyGuidanceManual/ucm119572.htm"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第四章-人用药品</w:t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(/ICECI/Compliance Manuals/Compliance PolicyGuidance Manual/ucm119572.htm)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564B5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</w:tcPr>
          <w:p w14:paraId="33FE825F">
            <w:pPr>
              <w:pStyle w:val="9"/>
              <w:overflowPunct w:val="0"/>
              <w:snapToGrid w:val="0"/>
              <w:spacing w:before="72" w:beforeLines="30" w:after="72" w:afterLines="30" w:line="300" w:lineRule="auto"/>
              <w:ind w:left="20" w:right="20"/>
              <w:rPr>
                <w:rFonts w:ascii="Arial" w:hAnsi="Arial" w:eastAsia="宋体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"https://www.fda.gov/ICECI/ComplianceManuals/CompliancePolicyGuidanceManual/ucm119194.htm"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第五章-</w:t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</w:rPr>
              <w:t>食品、颜料和化妆品</w:t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 w:color="000000"/>
              </w:rPr>
              <w:br w:type="textWrapping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t>(/ICECI/Compliance Manuals/Compliance PolicyGuidance Manual/ucm119194.htm)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 w:color="000000"/>
              </w:rPr>
              <w:fldChar w:fldCharType="end"/>
            </w:r>
          </w:p>
        </w:tc>
      </w:tr>
      <w:tr w14:paraId="1C484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</w:tcPr>
          <w:p w14:paraId="5A821047">
            <w:pPr>
              <w:overflowPunct w:val="0"/>
              <w:snapToGrid w:val="0"/>
              <w:spacing w:before="72" w:beforeLines="30" w:after="72" w:afterLines="30" w:line="300" w:lineRule="auto"/>
              <w:ind w:left="20" w:right="20"/>
              <w:rPr>
                <w:rFonts w:ascii="Arial" w:hAnsi="Arial" w:eastAsia="宋体" w:cs="Arial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"https://www.fda.gov/ICECI/ComplianceManuals/CompliancePolicyGuidanceManual/ucm117042.htm"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u w:val="single" w:color="000000"/>
              </w:rPr>
              <w:t>第六章-兽医</w:t>
            </w:r>
            <w:r>
              <w:rPr>
                <w:rFonts w:hint="eastAsia" w:ascii="Arial" w:hAnsi="Arial" w:eastAsia="宋体" w:cs="Arial"/>
                <w:b/>
                <w:u w:val="single" w:color="000000"/>
              </w:rPr>
              <w:t>医</w:t>
            </w:r>
            <w:r>
              <w:rPr>
                <w:rFonts w:ascii="Arial" w:hAnsi="Arial" w:eastAsia="宋体" w:cs="Arial"/>
                <w:b/>
                <w:u w:val="single" w:color="000000"/>
              </w:rPr>
              <w:t>学</w:t>
            </w:r>
            <w:r>
              <w:rPr>
                <w:rFonts w:hint="eastAsia" w:ascii="Arial" w:hAnsi="Arial" w:eastAsia="宋体" w:cs="Arial"/>
                <w:b/>
                <w:u w:val="single" w:color="000000"/>
              </w:rPr>
              <w:br w:type="textWrapping"/>
            </w:r>
            <w:r>
              <w:rPr>
                <w:rFonts w:ascii="Arial" w:hAnsi="Arial" w:eastAsia="宋体" w:cs="Arial"/>
                <w:b/>
                <w:u w:val="single" w:color="000000"/>
              </w:rPr>
              <w:t>(/ICECI/Compliance Manuals/Compliance PolicyGuidance Manual/ucm117042.htm)</w:t>
            </w:r>
            <w:r>
              <w:rPr>
                <w:rFonts w:ascii="Arial" w:hAnsi="Arial" w:eastAsia="宋体" w:cs="Arial"/>
                <w:b/>
                <w:u w:val="single" w:color="000000"/>
              </w:rPr>
              <w:fldChar w:fldCharType="end"/>
            </w:r>
          </w:p>
        </w:tc>
      </w:tr>
    </w:tbl>
    <w:p w14:paraId="2ED3F9A6">
      <w:pPr>
        <w:snapToGrid w:val="0"/>
        <w:spacing w:before="1" w:line="300" w:lineRule="auto"/>
        <w:jc w:val="both"/>
        <w:rPr>
          <w:rFonts w:ascii="Arial" w:hAnsi="Arial" w:eastAsia="宋体" w:cs="Arial"/>
          <w:sz w:val="24"/>
          <w:szCs w:val="24"/>
        </w:rPr>
      </w:pPr>
    </w:p>
    <w:p w14:paraId="0FBF3FCD">
      <w:pPr>
        <w:snapToGrid w:val="0"/>
        <w:spacing w:line="300" w:lineRule="auto"/>
        <w:jc w:val="both"/>
        <w:rPr>
          <w:rFonts w:hint="eastAsia" w:eastAsia="宋体"/>
          <w:lang w:eastAsia="zh-CN"/>
        </w:rPr>
      </w:pPr>
    </w:p>
    <w:p w14:paraId="531C0145">
      <w:pPr>
        <w:snapToGrid w:val="0"/>
        <w:spacing w:line="300" w:lineRule="auto"/>
        <w:jc w:val="center"/>
        <w:rPr>
          <w:rFonts w:hint="eastAsia" w:eastAsia="宋体"/>
          <w:lang w:eastAsia="zh-CN"/>
        </w:rPr>
      </w:pPr>
    </w:p>
    <w:p w14:paraId="70F36F90">
      <w:pPr>
        <w:snapToGrid w:val="0"/>
        <w:spacing w:line="30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3" name="图片 3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0" w:h="16820"/>
      <w:pgMar w:top="567" w:right="567" w:bottom="567" w:left="567" w:header="290" w:footer="27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4FFA3">
    <w:pPr>
      <w:spacing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10369550</wp:posOffset>
              </wp:positionV>
              <wp:extent cx="4225290" cy="127000"/>
              <wp:effectExtent l="3175" t="0" r="635" b="0"/>
              <wp:wrapNone/>
              <wp:docPr id="2" name="9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529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B4D043">
                          <w:pPr>
                            <w:spacing w:line="184" w:lineRule="exact"/>
                            <w:ind w:left="20"/>
                            <w:rPr>
                              <w:rFonts w:ascii="Arial" w:hAnsi="Arial" w:eastAsia="宋体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ascii="Arial" w:eastAsia="宋体"/>
                              <w:sz w:val="16"/>
                            </w:rPr>
                            <w:t>https://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"http://www.fda.gov/ICECI/ComplianceManuals/CompliancePolicyGuidanceManual/ucm073833.htm"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 w:ascii="Arial" w:eastAsia="宋体"/>
                              <w:sz w:val="16"/>
                            </w:rPr>
                            <w:t>www.fda.gov/ICECI/ComplianceManuals/CompliancePolicyGuidanceManual/ucm073833.htm</w:t>
                          </w:r>
                          <w:r>
                            <w:rPr>
                              <w:rFonts w:hint="eastAsia" w:ascii="Arial" w:eastAsia="宋体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955" o:spid="_x0000_s1026" o:spt="202" type="#_x0000_t202" style="position:absolute;left:0pt;margin-left:25pt;margin-top:816.5pt;height:10pt;width:332.7pt;mso-position-horizontal-relative:page;mso-position-vertical-relative:page;z-index:-251657216;mso-width-relative:page;mso-height-relative:page;" filled="f" stroked="f" coordsize="21600,21600" o:gfxdata="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gDXVG2QAAAAwBAAAPAAAAAAAAAAEAIAAAACIAAABkcnMvZG93bnJldi54&#10;bWxQSwECFAAUAAAACACHTuJAuXUbcfkBAAD9AwAADgAAAAAAAAABACAAAAAo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8B4D043">
                    <w:pPr>
                      <w:spacing w:line="184" w:lineRule="exact"/>
                      <w:ind w:left="20"/>
                      <w:rPr>
                        <w:rFonts w:ascii="Arial" w:hAnsi="Arial" w:eastAsia="宋体" w:cs="Arial"/>
                        <w:sz w:val="16"/>
                        <w:szCs w:val="16"/>
                      </w:rPr>
                    </w:pPr>
                    <w:r>
                      <w:rPr>
                        <w:rFonts w:hint="eastAsia" w:ascii="Arial" w:eastAsia="宋体"/>
                        <w:sz w:val="16"/>
                      </w:rPr>
                      <w:t>https://</w:t>
                    </w:r>
                    <w:r>
                      <w:fldChar w:fldCharType="begin"/>
                    </w:r>
                    <w:r>
                      <w:instrText xml:space="preserve"> HYPERLINK "http://www.fda.gov/ICECI/ComplianceManuals/CompliancePolicyGuidanceManual/ucm073833.htm" \h </w:instrText>
                    </w:r>
                    <w:r>
                      <w:fldChar w:fldCharType="separate"/>
                    </w:r>
                    <w:r>
                      <w:rPr>
                        <w:rFonts w:hint="eastAsia" w:ascii="Arial" w:eastAsia="宋体"/>
                        <w:sz w:val="16"/>
                      </w:rPr>
                      <w:t>www.fda.gov/ICECI/ComplianceManuals/CompliancePolicyGuidanceManual/ucm073833.htm</w:t>
                    </w:r>
                    <w:r>
                      <w:rPr>
                        <w:rFonts w:hint="eastAsia" w:ascii="Arial" w:eastAsia="宋体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7073900</wp:posOffset>
              </wp:positionH>
              <wp:positionV relativeFrom="page">
                <wp:posOffset>10369550</wp:posOffset>
              </wp:positionV>
              <wp:extent cx="170815" cy="127000"/>
              <wp:effectExtent l="0" t="0" r="3810" b="0"/>
              <wp:wrapNone/>
              <wp:docPr id="1" name="45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962A22">
                          <w:pPr>
                            <w:spacing w:line="184" w:lineRule="exact"/>
                            <w:ind w:left="40"/>
                            <w:rPr>
                              <w:rFonts w:ascii="Arial" w:hAnsi="Arial" w:eastAsia="宋体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hint="eastAsia" w:ascii="Arial" w:eastAsia="宋体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宋体"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 w:ascii="Arial" w:eastAsia="宋体"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4576" o:spid="_x0000_s1026" o:spt="202" type="#_x0000_t202" style="position:absolute;left:0pt;margin-left:557pt;margin-top:816.5pt;height:10pt;width:13.45pt;mso-position-horizontal-relative:page;mso-position-vertical-relative:page;z-index:-251657216;mso-width-relative:page;mso-height-relative:page;" filled="f" stroked="f" coordsize="21600,21600" o:gfxdata="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CQXGzYAAAADwEAAA8AAAAAAAAAAQAgAAAAIgAAAGRycy9kb3ducmV2Lnht&#10;bFBLAQIUABQAAAAIAIdO4kCP8Wpj+QEAAP0DAAAOAAAAAAAAAAEAIAAAACcBAABkcnMvZTJvRG9j&#10;LnhtbFBLBQYAAAAABgAGAFkBAACS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A962A22">
                    <w:pPr>
                      <w:spacing w:line="184" w:lineRule="exact"/>
                      <w:ind w:left="40"/>
                      <w:rPr>
                        <w:rFonts w:ascii="Arial" w:hAnsi="Arial" w:eastAsia="宋体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hint="eastAsia" w:ascii="Arial" w:eastAsia="宋体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宋体"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 w:ascii="Arial" w:eastAsia="宋体"/>
                        <w:sz w:val="16"/>
                      </w:rPr>
                      <w:t>/2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D46BF">
    <w:pPr>
      <w:tabs>
        <w:tab w:val="left" w:pos="2552"/>
      </w:tabs>
      <w:spacing w:line="184" w:lineRule="exact"/>
      <w:ind w:left="20"/>
      <w:rPr>
        <w:rFonts w:ascii="Arial" w:hAnsi="Arial" w:eastAsia="宋体"/>
        <w:sz w:val="15"/>
        <w:szCs w:val="15"/>
      </w:rPr>
    </w:pPr>
    <w:r>
      <w:rPr>
        <w:rFonts w:hint="eastAsia" w:ascii="Arial" w:hAnsi="Arial" w:eastAsia="宋体"/>
        <w:sz w:val="15"/>
        <w:szCs w:val="15"/>
      </w:rPr>
      <w:t xml:space="preserve">2017年8月10日 </w:t>
    </w:r>
    <w:r>
      <w:rPr>
        <w:rFonts w:hint="eastAsia" w:ascii="Arial" w:hAnsi="Arial" w:eastAsia="宋体"/>
        <w:sz w:val="15"/>
        <w:szCs w:val="15"/>
      </w:rPr>
      <w:tab/>
    </w:r>
    <w:r>
      <w:rPr>
        <w:rFonts w:hint="eastAsia" w:ascii="Arial" w:hAnsi="Arial" w:eastAsia="宋体"/>
        <w:sz w:val="15"/>
        <w:szCs w:val="15"/>
      </w:rPr>
      <w:t>合规政策指南&gt;CPG章节110.600 FDA对位于对外贸易区、保税仓或保税承运商的国外产品的权威...</w:t>
    </w:r>
  </w:p>
  <w:p w14:paraId="2B5431C3">
    <w:pPr>
      <w:tabs>
        <w:tab w:val="left" w:pos="2552"/>
      </w:tabs>
      <w:spacing w:line="184" w:lineRule="exact"/>
      <w:ind w:left="20"/>
      <w:rPr>
        <w:rFonts w:ascii="Arial" w:hAnsi="Arial" w:eastAsia="宋体"/>
        <w:sz w:val="15"/>
        <w:szCs w:val="15"/>
      </w:rPr>
    </w:pPr>
  </w:p>
  <w:p w14:paraId="3CF18858">
    <w:pPr>
      <w:tabs>
        <w:tab w:val="left" w:pos="2552"/>
      </w:tabs>
      <w:spacing w:line="184" w:lineRule="exact"/>
      <w:ind w:left="20"/>
      <w:rPr>
        <w:rFonts w:ascii="Arial" w:hAnsi="Arial" w:eastAsia="宋体"/>
        <w:sz w:val="15"/>
        <w:szCs w:val="15"/>
      </w:rPr>
    </w:pPr>
  </w:p>
  <w:p w14:paraId="20A0583F">
    <w:pPr>
      <w:tabs>
        <w:tab w:val="left" w:pos="2552"/>
      </w:tabs>
      <w:spacing w:line="184" w:lineRule="exact"/>
      <w:ind w:left="20"/>
      <w:rPr>
        <w:rFonts w:ascii="Arial" w:hAnsi="Arial" w:eastAsia="宋体" w:cs="Arial"/>
        <w:sz w:val="15"/>
        <w:szCs w:val="15"/>
      </w:rPr>
    </w:pPr>
  </w:p>
  <w:p w14:paraId="00C18543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330"/>
    <w:rsid w:val="00047ED7"/>
    <w:rsid w:val="001A7254"/>
    <w:rsid w:val="0025314B"/>
    <w:rsid w:val="002F6946"/>
    <w:rsid w:val="006363DC"/>
    <w:rsid w:val="006A33B2"/>
    <w:rsid w:val="0072154D"/>
    <w:rsid w:val="007607D4"/>
    <w:rsid w:val="007A5330"/>
    <w:rsid w:val="0082504F"/>
    <w:rsid w:val="00894923"/>
    <w:rsid w:val="00950D37"/>
    <w:rsid w:val="009E0BBE"/>
    <w:rsid w:val="009E5CF8"/>
    <w:rsid w:val="00AB019B"/>
    <w:rsid w:val="00C30B2E"/>
    <w:rsid w:val="00CF2C83"/>
    <w:rsid w:val="00D64B24"/>
    <w:rsid w:val="00F657DF"/>
    <w:rsid w:val="00FA5907"/>
    <w:rsid w:val="00FB37C3"/>
    <w:rsid w:val="3E2B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0"/>
    </w:pPr>
    <w:rPr>
      <w:rFonts w:ascii="Arial" w:hAnsi="Arial" w:eastAsia="宋体"/>
      <w:sz w:val="25"/>
      <w:szCs w:val="25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618</Words>
  <Characters>1205</Characters>
  <Lines>15</Lines>
  <Paragraphs>4</Paragraphs>
  <TotalTime>1</TotalTime>
  <ScaleCrop>false</ScaleCrop>
  <LinksUpToDate>false</LinksUpToDate>
  <CharactersWithSpaces>1231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2017-11-10T01:33:00Z</dcterms:created>
  <dc:creator>wenrongzhen</dc:creator>
  <cp:lastModifiedBy>太极箫客</cp:lastModifiedBy>
  <dcterms:modified xsi:type="dcterms:W3CDTF">2025-08-14T06:16:03Z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E5F043FC176B47F8B7DF9F824173316C_12</vt:lpwstr>
  </property>
</Properties>
</file>