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400E6">
      <w:pPr>
        <w:overflowPunct w:val="0"/>
        <w:snapToGrid w:val="0"/>
        <w:spacing w:line="300" w:lineRule="auto"/>
        <w:jc w:val="both"/>
        <w:rPr>
          <w:rFonts w:ascii="Times New Roman" w:hAnsi="Times New Roman" w:cs="Times New Roman"/>
          <w:sz w:val="20"/>
          <w:szCs w:val="20"/>
        </w:rPr>
      </w:pPr>
      <w:bookmarkStart w:id="0" w:name="_GoBack"/>
      <w:bookmarkEnd w:id="0"/>
    </w:p>
    <w:p w14:paraId="6D2DA7EB">
      <w:pPr>
        <w:overflowPunct w:val="0"/>
        <w:snapToGrid w:val="0"/>
        <w:spacing w:line="300" w:lineRule="auto"/>
        <w:jc w:val="both"/>
        <w:rPr>
          <w:rFonts w:ascii="Times New Roman" w:hAnsi="Times New Roman" w:eastAsia="Times New Roman" w:cs="Times New Roman"/>
          <w:sz w:val="20"/>
          <w:szCs w:val="20"/>
        </w:rPr>
      </w:pPr>
    </w:p>
    <w:p w14:paraId="3684E7DB">
      <w:pPr>
        <w:overflowPunct w:val="0"/>
        <w:snapToGrid w:val="0"/>
        <w:spacing w:line="300" w:lineRule="auto"/>
        <w:jc w:val="both"/>
        <w:rPr>
          <w:rFonts w:ascii="Times New Roman" w:hAnsi="Times New Roman" w:eastAsia="Times New Roman" w:cs="Times New Roman"/>
          <w:sz w:val="20"/>
          <w:szCs w:val="20"/>
        </w:rPr>
      </w:pPr>
    </w:p>
    <w:p w14:paraId="54166B3C">
      <w:pPr>
        <w:overflowPunct w:val="0"/>
        <w:snapToGrid w:val="0"/>
        <w:spacing w:line="300" w:lineRule="auto"/>
        <w:jc w:val="both"/>
        <w:rPr>
          <w:rFonts w:ascii="Times New Roman" w:hAnsi="Times New Roman" w:eastAsia="Times New Roman" w:cs="Times New Roman"/>
          <w:sz w:val="20"/>
          <w:szCs w:val="20"/>
        </w:rPr>
      </w:pPr>
    </w:p>
    <w:p w14:paraId="73CE41AD">
      <w:pPr>
        <w:overflowPunct w:val="0"/>
        <w:snapToGrid w:val="0"/>
        <w:spacing w:before="106" w:line="300" w:lineRule="auto"/>
        <w:jc w:val="both"/>
        <w:rPr>
          <w:rFonts w:ascii="Arial" w:hAnsi="Arial" w:eastAsia="宋体" w:cs="Arial"/>
          <w:sz w:val="72"/>
          <w:szCs w:val="72"/>
        </w:rPr>
      </w:pPr>
      <w:r>
        <w:rPr>
          <w:rFonts w:hint="eastAsia" w:ascii="Arial" w:eastAsia="宋体"/>
          <w:b/>
          <w:sz w:val="72"/>
          <w:szCs w:val="72"/>
        </w:rPr>
        <w:t>CPG章节110.500 食品药品担保 - 进口</w:t>
      </w:r>
    </w:p>
    <w:p w14:paraId="4D851E8C">
      <w:pPr>
        <w:pStyle w:val="2"/>
        <w:overflowPunct w:val="0"/>
        <w:snapToGrid w:val="0"/>
        <w:spacing w:before="389" w:line="300" w:lineRule="auto"/>
        <w:ind w:left="0"/>
        <w:jc w:val="both"/>
        <w:rPr>
          <w:sz w:val="24"/>
          <w:szCs w:val="24"/>
        </w:rPr>
      </w:pPr>
      <w:r>
        <w:rPr>
          <w:rFonts w:hint="eastAsia"/>
          <w:sz w:val="24"/>
          <w:szCs w:val="24"/>
        </w:rPr>
        <w:t>背景：</w:t>
      </w:r>
    </w:p>
    <w:p w14:paraId="2CC42EFB">
      <w:pPr>
        <w:overflowPunct w:val="0"/>
        <w:snapToGrid w:val="0"/>
        <w:spacing w:before="10" w:line="300" w:lineRule="auto"/>
        <w:jc w:val="both"/>
        <w:rPr>
          <w:rFonts w:ascii="Arial" w:hAnsi="Arial" w:eastAsia="Arial" w:cs="Arial"/>
          <w:sz w:val="24"/>
          <w:szCs w:val="24"/>
        </w:rPr>
      </w:pPr>
    </w:p>
    <w:p w14:paraId="0610C75C">
      <w:pPr>
        <w:pStyle w:val="2"/>
        <w:overflowPunct w:val="0"/>
        <w:snapToGrid w:val="0"/>
        <w:spacing w:line="300" w:lineRule="auto"/>
        <w:ind w:left="0"/>
        <w:jc w:val="both"/>
        <w:rPr>
          <w:sz w:val="24"/>
          <w:szCs w:val="24"/>
        </w:rPr>
      </w:pPr>
      <w:r>
        <w:rPr>
          <w:rFonts w:hint="eastAsia"/>
          <w:sz w:val="24"/>
          <w:szCs w:val="24"/>
        </w:rPr>
        <w:t>地区合规官员咨询国内经销商是否可利用国外制造商或其驻地代理人（持续的担保）获得21 USC 333（c）（2）提供的豁免权。</w:t>
      </w:r>
    </w:p>
    <w:p w14:paraId="3C0D9C0B">
      <w:pPr>
        <w:overflowPunct w:val="0"/>
        <w:snapToGrid w:val="0"/>
        <w:spacing w:before="5" w:line="300" w:lineRule="auto"/>
        <w:jc w:val="both"/>
        <w:rPr>
          <w:rFonts w:ascii="Arial" w:hAnsi="Arial" w:eastAsia="Arial" w:cs="Arial"/>
          <w:sz w:val="24"/>
          <w:szCs w:val="24"/>
        </w:rPr>
      </w:pPr>
    </w:p>
    <w:p w14:paraId="545572D1">
      <w:pPr>
        <w:pStyle w:val="2"/>
        <w:overflowPunct w:val="0"/>
        <w:snapToGrid w:val="0"/>
        <w:spacing w:line="300" w:lineRule="auto"/>
        <w:ind w:left="0"/>
        <w:jc w:val="both"/>
        <w:rPr>
          <w:sz w:val="24"/>
          <w:szCs w:val="24"/>
        </w:rPr>
      </w:pPr>
      <w:r>
        <w:rPr>
          <w:rFonts w:hint="eastAsia"/>
          <w:sz w:val="24"/>
          <w:szCs w:val="24"/>
        </w:rPr>
        <w:t>政策：</w:t>
      </w:r>
    </w:p>
    <w:p w14:paraId="1F4F3382">
      <w:pPr>
        <w:overflowPunct w:val="0"/>
        <w:snapToGrid w:val="0"/>
        <w:spacing w:before="10" w:line="300" w:lineRule="auto"/>
        <w:jc w:val="both"/>
        <w:rPr>
          <w:rFonts w:ascii="Arial" w:hAnsi="Arial" w:eastAsia="Arial" w:cs="Arial"/>
          <w:sz w:val="24"/>
          <w:szCs w:val="24"/>
        </w:rPr>
      </w:pPr>
    </w:p>
    <w:p w14:paraId="2EE26231">
      <w:pPr>
        <w:pStyle w:val="2"/>
        <w:overflowPunct w:val="0"/>
        <w:snapToGrid w:val="0"/>
        <w:spacing w:line="300" w:lineRule="auto"/>
        <w:ind w:left="0"/>
        <w:jc w:val="both"/>
        <w:rPr>
          <w:sz w:val="24"/>
          <w:szCs w:val="24"/>
        </w:rPr>
      </w:pPr>
      <w:r>
        <w:rPr>
          <w:rFonts w:hint="eastAsia"/>
          <w:sz w:val="24"/>
          <w:szCs w:val="24"/>
        </w:rPr>
        <w:t>21 USC 333（c）（2）仅在考虑采取行动人员建立“由他本人收到在美国境内居住人的姓名和地址，并由其签名的担保或承诺的真诚协议时...”才提供豁免。因此，从法律本身来看，担保人必须是一名符合该法案的美国居民。</w:t>
      </w:r>
    </w:p>
    <w:p w14:paraId="0428732F">
      <w:pPr>
        <w:overflowPunct w:val="0"/>
        <w:snapToGrid w:val="0"/>
        <w:spacing w:before="5" w:line="300" w:lineRule="auto"/>
        <w:jc w:val="both"/>
        <w:rPr>
          <w:rFonts w:ascii="Arial" w:hAnsi="Arial" w:eastAsia="Arial" w:cs="Arial"/>
          <w:sz w:val="24"/>
          <w:szCs w:val="24"/>
        </w:rPr>
      </w:pPr>
    </w:p>
    <w:p w14:paraId="3BBB4E63">
      <w:pPr>
        <w:pStyle w:val="2"/>
        <w:overflowPunct w:val="0"/>
        <w:snapToGrid w:val="0"/>
        <w:spacing w:line="300" w:lineRule="auto"/>
        <w:ind w:left="0"/>
        <w:jc w:val="both"/>
        <w:rPr>
          <w:sz w:val="24"/>
          <w:szCs w:val="24"/>
        </w:rPr>
      </w:pPr>
      <w:r>
        <w:rPr>
          <w:rFonts w:hint="eastAsia"/>
          <w:sz w:val="24"/>
          <w:szCs w:val="24"/>
        </w:rPr>
        <w:t>然而，似乎没有理由，国外制造商的国内代理人（如果他居住在美国）不能向经销商提供这样的担保。法律不要求制造商、批发商、包装商或任何其他直接分销商提供担保。所需要的是担保人的签名者是美国居民，并且是收到该协议的经销商人员。</w:t>
      </w:r>
    </w:p>
    <w:p w14:paraId="0B6168E8">
      <w:pPr>
        <w:overflowPunct w:val="0"/>
        <w:snapToGrid w:val="0"/>
        <w:spacing w:before="5" w:line="300" w:lineRule="auto"/>
        <w:jc w:val="both"/>
        <w:rPr>
          <w:rFonts w:ascii="Arial" w:hAnsi="Arial" w:eastAsia="Arial" w:cs="Arial"/>
          <w:sz w:val="24"/>
          <w:szCs w:val="24"/>
        </w:rPr>
      </w:pPr>
    </w:p>
    <w:p w14:paraId="52CF0F3C">
      <w:pPr>
        <w:pStyle w:val="2"/>
        <w:overflowPunct w:val="0"/>
        <w:snapToGrid w:val="0"/>
        <w:spacing w:line="300" w:lineRule="auto"/>
        <w:ind w:left="0"/>
        <w:jc w:val="both"/>
        <w:rPr>
          <w:sz w:val="24"/>
          <w:szCs w:val="24"/>
        </w:rPr>
      </w:pPr>
      <w:r>
        <w:rPr>
          <w:rFonts w:hint="eastAsia"/>
          <w:sz w:val="24"/>
          <w:szCs w:val="24"/>
        </w:rPr>
        <w:t>21 USC 333（c）（3）也规定了由于存在担保而引起的掺假的豁免。</w:t>
      </w:r>
    </w:p>
    <w:p w14:paraId="0C4B0AA2">
      <w:pPr>
        <w:overflowPunct w:val="0"/>
        <w:snapToGrid w:val="0"/>
        <w:spacing w:before="5" w:line="300" w:lineRule="auto"/>
        <w:jc w:val="both"/>
        <w:rPr>
          <w:rFonts w:ascii="Arial" w:hAnsi="Arial" w:eastAsia="Arial" w:cs="Arial"/>
          <w:sz w:val="24"/>
          <w:szCs w:val="24"/>
        </w:rPr>
      </w:pPr>
    </w:p>
    <w:p w14:paraId="5BFB37B3">
      <w:pPr>
        <w:pStyle w:val="2"/>
        <w:overflowPunct w:val="0"/>
        <w:snapToGrid w:val="0"/>
        <w:spacing w:line="300" w:lineRule="auto"/>
        <w:ind w:left="0"/>
        <w:jc w:val="both"/>
        <w:rPr>
          <w:sz w:val="24"/>
          <w:szCs w:val="24"/>
        </w:rPr>
      </w:pPr>
      <w:r>
        <w:rPr>
          <w:rFonts w:hint="eastAsia"/>
          <w:sz w:val="24"/>
          <w:szCs w:val="24"/>
        </w:rPr>
        <w:t>发布日期：1980年10月1日</w:t>
      </w:r>
    </w:p>
    <w:p w14:paraId="68C38BF4">
      <w:pPr>
        <w:overflowPunct w:val="0"/>
        <w:snapToGrid w:val="0"/>
        <w:spacing w:line="300" w:lineRule="auto"/>
        <w:jc w:val="both"/>
        <w:rPr>
          <w:rFonts w:ascii="Arial" w:hAnsi="Arial" w:eastAsia="Arial" w:cs="Arial"/>
          <w:sz w:val="24"/>
          <w:szCs w:val="24"/>
        </w:rPr>
      </w:pPr>
    </w:p>
    <w:tbl>
      <w:tblPr>
        <w:tblStyle w:val="7"/>
        <w:tblW w:w="10884" w:type="dxa"/>
        <w:tblInd w:w="100" w:type="dxa"/>
        <w:tblLayout w:type="fixed"/>
        <w:tblCellMar>
          <w:top w:w="0" w:type="dxa"/>
          <w:left w:w="0" w:type="dxa"/>
          <w:bottom w:w="0" w:type="dxa"/>
          <w:right w:w="0" w:type="dxa"/>
        </w:tblCellMar>
      </w:tblPr>
      <w:tblGrid>
        <w:gridCol w:w="10884"/>
      </w:tblGrid>
      <w:tr w14:paraId="07307F44">
        <w:tblPrEx>
          <w:tblCellMar>
            <w:top w:w="0" w:type="dxa"/>
            <w:left w:w="0" w:type="dxa"/>
            <w:bottom w:w="0" w:type="dxa"/>
            <w:right w:w="0" w:type="dxa"/>
          </w:tblCellMar>
        </w:tblPrEx>
        <w:tc>
          <w:tcPr>
            <w:tcW w:w="10884" w:type="dxa"/>
            <w:tcBorders>
              <w:top w:val="single" w:color="4F81BD" w:themeColor="accent1" w:sz="12" w:space="0"/>
              <w:left w:val="single" w:color="4F81BD" w:themeColor="accent1" w:sz="12" w:space="0"/>
              <w:bottom w:val="single" w:color="4F81BD" w:themeColor="accent1" w:sz="12" w:space="0"/>
              <w:right w:val="single" w:color="4F81BD" w:themeColor="accent1" w:sz="12" w:space="0"/>
            </w:tcBorders>
          </w:tcPr>
          <w:p w14:paraId="02B84CAC">
            <w:pPr>
              <w:overflowPunct w:val="0"/>
              <w:snapToGrid w:val="0"/>
              <w:spacing w:before="72" w:beforeLines="30" w:after="72" w:afterLines="30"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"https://www.fda.gov/ICECI/ComplianceManuals/CompliancePolicyGuidanceManual/default.htm" \h </w:instrText>
            </w:r>
            <w:r>
              <w:fldChar w:fldCharType="separate"/>
            </w:r>
            <w:r>
              <w:rPr>
                <w:rFonts w:ascii="Arial" w:hAnsi="Arial" w:eastAsia="宋体" w:cs="Arial"/>
                <w:b/>
                <w:sz w:val="24"/>
                <w:szCs w:val="24"/>
                <w:u w:val="single" w:color="000000"/>
              </w:rPr>
              <w:t>合规政策指南</w:t>
            </w:r>
            <w:r>
              <w:rPr>
                <w:rFonts w:ascii="Arial" w:hAnsi="Arial" w:eastAsia="宋体" w:cs="Arial"/>
                <w:b/>
                <w:sz w:val="24"/>
                <w:szCs w:val="24"/>
                <w:u w:val="single" w:color="000000"/>
              </w:rPr>
              <w:fldChar w:fldCharType="end"/>
            </w:r>
            <w:r>
              <w:rPr>
                <w:rFonts w:hint="eastAsia" w:ascii="Arial" w:hAnsi="Arial" w:eastAsia="宋体" w:cs="Arial"/>
                <w:b/>
                <w:sz w:val="24"/>
                <w:szCs w:val="24"/>
                <w:u w:val="single" w:color="000000"/>
              </w:rPr>
              <w:t>的更多信息</w:t>
            </w:r>
          </w:p>
          <w:p w14:paraId="7A3A0DDA">
            <w:pPr>
              <w:pStyle w:val="9"/>
              <w:overflowPunct w:val="0"/>
              <w:snapToGrid w:val="0"/>
              <w:spacing w:before="72" w:beforeLines="30" w:after="72" w:afterLines="30" w:line="300" w:lineRule="auto"/>
              <w:ind w:left="20" w:right="20"/>
              <w:rPr>
                <w:rFonts w:ascii="Arial" w:hAnsi="Arial" w:cs="Arial"/>
                <w:sz w:val="24"/>
                <w:szCs w:val="24"/>
              </w:rPr>
            </w:pPr>
            <w:r>
              <w:fldChar w:fldCharType="begin"/>
            </w:r>
            <w:r>
              <w:instrText xml:space="preserve"> HYPERLINK "https://www.fda.gov/ICECI/ComplianceManuals/CompliancePolicyGuidanceManual/default.htm" \h </w:instrText>
            </w:r>
            <w:r>
              <w:fldChar w:fldCharType="separate"/>
            </w:r>
            <w:r>
              <w:rPr>
                <w:rFonts w:ascii="Arial" w:hAnsi="Arial" w:eastAsia="宋体" w:cs="Arial"/>
                <w:b/>
                <w:sz w:val="24"/>
                <w:szCs w:val="24"/>
                <w:u w:val="single" w:color="000000"/>
              </w:rPr>
              <w:t>(/ICECI/Compliance Manuals/Compliance PolicyGuidance Manual/default.htm)</w:t>
            </w:r>
            <w:r>
              <w:rPr>
                <w:rFonts w:ascii="Arial" w:hAnsi="Arial" w:eastAsia="宋体" w:cs="Arial"/>
                <w:b/>
                <w:sz w:val="24"/>
                <w:szCs w:val="24"/>
                <w:u w:val="single" w:color="000000"/>
              </w:rPr>
              <w:fldChar w:fldCharType="end"/>
            </w:r>
          </w:p>
        </w:tc>
      </w:tr>
      <w:tr w14:paraId="4C481954">
        <w:tblPrEx>
          <w:tblCellMar>
            <w:top w:w="0" w:type="dxa"/>
            <w:left w:w="0" w:type="dxa"/>
            <w:bottom w:w="0" w:type="dxa"/>
            <w:right w:w="0" w:type="dxa"/>
          </w:tblCellMar>
        </w:tblPrEx>
        <w:tc>
          <w:tcPr>
            <w:tcW w:w="10884" w:type="dxa"/>
            <w:tcBorders>
              <w:top w:val="single" w:color="4F81BD" w:themeColor="accent1" w:sz="12" w:space="0"/>
              <w:left w:val="single" w:color="DDDDDD" w:sz="6" w:space="0"/>
              <w:bottom w:val="single" w:color="DDDDDD" w:sz="6" w:space="0"/>
              <w:right w:val="single" w:color="DDDDDD" w:sz="6" w:space="0"/>
            </w:tcBorders>
          </w:tcPr>
          <w:p w14:paraId="608508C5">
            <w:pPr>
              <w:pStyle w:val="9"/>
              <w:overflowPunct w:val="0"/>
              <w:snapToGrid w:val="0"/>
              <w:spacing w:before="72" w:beforeLines="30" w:after="72" w:afterLines="30" w:line="300" w:lineRule="auto"/>
              <w:ind w:left="20" w:right="20"/>
              <w:rPr>
                <w:rFonts w:ascii="Arial" w:hAnsi="Arial" w:eastAsia="宋体" w:cs="Arial"/>
                <w:sz w:val="24"/>
                <w:szCs w:val="24"/>
              </w:rPr>
            </w:pPr>
            <w:r>
              <w:fldChar w:fldCharType="begin"/>
            </w:r>
            <w:r>
              <w:instrText xml:space="preserve"> HYPERLINK "https://www.fda.gov/ICECI/ComplianceManuals/CompliancePolicyGuidanceManual/ucm116271.htm" \h </w:instrText>
            </w:r>
            <w:r>
              <w:fldChar w:fldCharType="separate"/>
            </w:r>
            <w:r>
              <w:rPr>
                <w:rFonts w:hint="eastAsia" w:ascii="Arial" w:hAnsi="Arial" w:eastAsia="宋体" w:cs="Arial"/>
                <w:b/>
                <w:sz w:val="24"/>
                <w:szCs w:val="24"/>
                <w:u w:val="single" w:color="000000"/>
              </w:rPr>
              <w:t>前言</w:t>
            </w:r>
            <w:r>
              <w:rPr>
                <w:rFonts w:ascii="Arial" w:hAnsi="Arial" w:eastAsia="宋体" w:cs="Arial"/>
                <w:b/>
                <w:sz w:val="24"/>
                <w:szCs w:val="24"/>
                <w:u w:val="single" w:color="000000"/>
              </w:rPr>
              <w:t>：合规政策指南（CPG）</w:t>
            </w:r>
            <w:r>
              <w:rPr>
                <w:rFonts w:hint="eastAsia" w:ascii="Arial" w:hAnsi="Arial" w:eastAsia="宋体" w:cs="Arial"/>
                <w:b/>
                <w:sz w:val="24"/>
                <w:szCs w:val="24"/>
                <w:u w:val="single" w:color="000000"/>
              </w:rPr>
              <w:br w:type="textWrapping"/>
            </w:r>
            <w:r>
              <w:rPr>
                <w:rFonts w:ascii="Arial" w:hAnsi="Arial" w:eastAsia="宋体" w:cs="Arial"/>
                <w:b/>
                <w:sz w:val="24"/>
                <w:szCs w:val="24"/>
                <w:u w:val="single" w:color="000000"/>
              </w:rPr>
              <w:t>(/ICECI/Compliance Manuals/Compliance PolicyGuidance Manual/ucm116271.htm)</w:t>
            </w:r>
            <w:r>
              <w:rPr>
                <w:rFonts w:ascii="Arial" w:hAnsi="Arial" w:eastAsia="宋体" w:cs="Arial"/>
                <w:b/>
                <w:sz w:val="24"/>
                <w:szCs w:val="24"/>
                <w:u w:val="single" w:color="000000"/>
              </w:rPr>
              <w:fldChar w:fldCharType="end"/>
            </w:r>
          </w:p>
        </w:tc>
      </w:tr>
      <w:tr w14:paraId="5FB73337">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tcPr>
          <w:p w14:paraId="476B00E9">
            <w:pPr>
              <w:pStyle w:val="9"/>
              <w:overflowPunct w:val="0"/>
              <w:snapToGrid w:val="0"/>
              <w:spacing w:before="72" w:beforeLines="30" w:after="72" w:afterLines="30" w:line="300" w:lineRule="auto"/>
              <w:ind w:left="20" w:right="20"/>
              <w:rPr>
                <w:rFonts w:ascii="Arial" w:hAnsi="Arial" w:eastAsia="宋体" w:cs="Arial"/>
                <w:sz w:val="24"/>
                <w:szCs w:val="24"/>
              </w:rPr>
            </w:pPr>
            <w:r>
              <w:fldChar w:fldCharType="begin"/>
            </w:r>
            <w:r>
              <w:instrText xml:space="preserve"> HYPERLINK "https://www.fda.gov/ICECI/ComplianceManuals/CompliancePolicyGuidanceManual/ucm116280.htm" \h </w:instrText>
            </w:r>
            <w:r>
              <w:fldChar w:fldCharType="separate"/>
            </w:r>
            <w:r>
              <w:rPr>
                <w:rFonts w:ascii="Arial" w:hAnsi="Arial" w:eastAsia="宋体" w:cs="Arial"/>
                <w:b/>
                <w:sz w:val="24"/>
                <w:szCs w:val="24"/>
                <w:u w:val="single" w:color="000000"/>
              </w:rPr>
              <w:t>第一章-</w:t>
            </w:r>
            <w:r>
              <w:rPr>
                <w:rFonts w:hint="eastAsia" w:ascii="Arial" w:hAnsi="Arial" w:eastAsia="宋体" w:cs="Arial"/>
                <w:b/>
                <w:sz w:val="24"/>
                <w:szCs w:val="24"/>
                <w:u w:val="single" w:color="000000"/>
              </w:rPr>
              <w:t>通则</w:t>
            </w:r>
            <w:r>
              <w:rPr>
                <w:rFonts w:hint="eastAsia" w:ascii="Arial" w:hAnsi="Arial" w:eastAsia="宋体" w:cs="Arial"/>
                <w:b/>
                <w:sz w:val="24"/>
                <w:szCs w:val="24"/>
                <w:u w:val="single" w:color="000000"/>
              </w:rPr>
              <w:br w:type="textWrapping"/>
            </w:r>
            <w:r>
              <w:rPr>
                <w:rFonts w:ascii="Arial" w:hAnsi="Arial" w:eastAsia="宋体" w:cs="Arial"/>
                <w:b/>
                <w:sz w:val="24"/>
                <w:szCs w:val="24"/>
                <w:u w:val="single" w:color="000000"/>
              </w:rPr>
              <w:t>(/ICECI/Compliance Manuals/Compliance PolicyGuidance Manual/ucm116280.htm)</w:t>
            </w:r>
            <w:r>
              <w:rPr>
                <w:rFonts w:ascii="Arial" w:hAnsi="Arial" w:eastAsia="宋体" w:cs="Arial"/>
                <w:b/>
                <w:sz w:val="24"/>
                <w:szCs w:val="24"/>
                <w:u w:val="single" w:color="000000"/>
              </w:rPr>
              <w:fldChar w:fldCharType="end"/>
            </w:r>
          </w:p>
        </w:tc>
      </w:tr>
      <w:tr w14:paraId="3053E5D9">
        <w:tblPrEx>
          <w:tblCellMar>
            <w:top w:w="0" w:type="dxa"/>
            <w:left w:w="0" w:type="dxa"/>
            <w:bottom w:w="0" w:type="dxa"/>
            <w:right w:w="0" w:type="dxa"/>
          </w:tblCellMar>
        </w:tblPrEx>
        <w:tc>
          <w:tcPr>
            <w:tcW w:w="10884" w:type="dxa"/>
            <w:tcBorders>
              <w:top w:val="single" w:color="DDDDDD" w:sz="6" w:space="0"/>
              <w:left w:val="single" w:color="DDDDDD" w:sz="6" w:space="0"/>
              <w:bottom w:val="nil"/>
              <w:right w:val="single" w:color="DDDDDD" w:sz="6" w:space="0"/>
            </w:tcBorders>
          </w:tcPr>
          <w:p w14:paraId="7DA5D776">
            <w:pPr>
              <w:pStyle w:val="9"/>
              <w:overflowPunct w:val="0"/>
              <w:snapToGrid w:val="0"/>
              <w:spacing w:before="72" w:beforeLines="30" w:after="72" w:afterLines="30" w:line="300" w:lineRule="auto"/>
              <w:ind w:left="20" w:right="20"/>
              <w:rPr>
                <w:rFonts w:ascii="Arial" w:hAnsi="Arial" w:eastAsia="宋体" w:cs="Arial"/>
                <w:sz w:val="24"/>
                <w:szCs w:val="24"/>
              </w:rPr>
            </w:pPr>
            <w:r>
              <w:fldChar w:fldCharType="begin"/>
            </w:r>
            <w:r>
              <w:instrText xml:space="preserve"> HYPERLINK "https://www.fda.gov/ICECI/ComplianceManuals/CompliancePolicyGuidanceManual/ucm116336.htm" \h </w:instrText>
            </w:r>
            <w:r>
              <w:fldChar w:fldCharType="separate"/>
            </w:r>
            <w:r>
              <w:rPr>
                <w:rFonts w:ascii="Arial" w:hAnsi="Arial" w:eastAsia="宋体" w:cs="Arial"/>
                <w:b/>
                <w:sz w:val="24"/>
                <w:szCs w:val="24"/>
                <w:u w:val="single" w:color="000000"/>
              </w:rPr>
              <w:t>第二章-生物制剂</w:t>
            </w:r>
            <w:r>
              <w:rPr>
                <w:rFonts w:hint="eastAsia" w:ascii="Arial" w:hAnsi="Arial" w:eastAsia="宋体" w:cs="Arial"/>
                <w:b/>
                <w:sz w:val="24"/>
                <w:szCs w:val="24"/>
                <w:u w:val="single" w:color="000000"/>
              </w:rPr>
              <w:br w:type="textWrapping"/>
            </w:r>
            <w:r>
              <w:rPr>
                <w:rFonts w:ascii="Arial" w:hAnsi="Arial" w:eastAsia="宋体" w:cs="Arial"/>
                <w:b/>
                <w:sz w:val="24"/>
                <w:szCs w:val="24"/>
                <w:u w:val="single" w:color="000000"/>
              </w:rPr>
              <w:t>(/ICECI/Compliance Manuals/Compliance PolicyGuidance Manual/ucm116336.htm)</w:t>
            </w:r>
            <w:r>
              <w:rPr>
                <w:rFonts w:ascii="Arial" w:hAnsi="Arial" w:eastAsia="宋体" w:cs="Arial"/>
                <w:b/>
                <w:sz w:val="24"/>
                <w:szCs w:val="24"/>
                <w:u w:val="single" w:color="000000"/>
              </w:rPr>
              <w:fldChar w:fldCharType="end"/>
            </w:r>
          </w:p>
        </w:tc>
      </w:tr>
      <w:tr w14:paraId="7C0586EA">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tcPr>
          <w:p w14:paraId="7AC77EEB">
            <w:pPr>
              <w:pStyle w:val="9"/>
              <w:overflowPunct w:val="0"/>
              <w:snapToGrid w:val="0"/>
              <w:spacing w:before="72" w:beforeLines="30" w:after="72" w:afterLines="30" w:line="300" w:lineRule="auto"/>
              <w:ind w:left="20" w:right="20"/>
              <w:rPr>
                <w:rFonts w:ascii="Arial" w:hAnsi="Arial" w:eastAsia="宋体" w:cs="Arial"/>
                <w:sz w:val="24"/>
                <w:szCs w:val="24"/>
              </w:rPr>
            </w:pPr>
            <w:r>
              <w:fldChar w:fldCharType="begin"/>
            </w:r>
            <w:r>
              <w:instrText xml:space="preserve"> HYPERLINK "https://www.fda.gov/ICECI/ComplianceManuals/CompliancePolicyGuidanceManual/ucm116801.htm" \h </w:instrText>
            </w:r>
            <w:r>
              <w:fldChar w:fldCharType="separate"/>
            </w:r>
            <w:r>
              <w:rPr>
                <w:rFonts w:ascii="Arial" w:hAnsi="Arial" w:eastAsia="宋体" w:cs="Arial"/>
                <w:b/>
                <w:sz w:val="24"/>
                <w:szCs w:val="24"/>
                <w:u w:val="single" w:color="000000"/>
              </w:rPr>
              <w:t>第三章-器械</w:t>
            </w:r>
            <w:r>
              <w:rPr>
                <w:rFonts w:hint="eastAsia" w:ascii="Arial" w:hAnsi="Arial" w:eastAsia="宋体" w:cs="Arial"/>
                <w:b/>
                <w:sz w:val="24"/>
                <w:szCs w:val="24"/>
                <w:u w:val="single" w:color="000000"/>
              </w:rPr>
              <w:br w:type="textWrapping"/>
            </w:r>
            <w:r>
              <w:rPr>
                <w:rFonts w:ascii="Arial" w:hAnsi="Arial" w:eastAsia="宋体" w:cs="Arial"/>
                <w:b/>
                <w:sz w:val="24"/>
                <w:szCs w:val="24"/>
                <w:u w:val="single" w:color="000000"/>
              </w:rPr>
              <w:t>(/ICECI/Compliance Manuals/Compliance PolicyGuidance Manual/ucm116801.htm)</w:t>
            </w:r>
            <w:r>
              <w:rPr>
                <w:rFonts w:ascii="Arial" w:hAnsi="Arial" w:eastAsia="宋体" w:cs="Arial"/>
                <w:b/>
                <w:sz w:val="24"/>
                <w:szCs w:val="24"/>
                <w:u w:val="single" w:color="000000"/>
              </w:rPr>
              <w:fldChar w:fldCharType="end"/>
            </w:r>
          </w:p>
        </w:tc>
      </w:tr>
      <w:tr w14:paraId="561B79B8">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tcPr>
          <w:p w14:paraId="376BDF9D">
            <w:pPr>
              <w:pStyle w:val="9"/>
              <w:overflowPunct w:val="0"/>
              <w:snapToGrid w:val="0"/>
              <w:spacing w:before="72" w:beforeLines="30" w:after="72" w:afterLines="30" w:line="300" w:lineRule="auto"/>
              <w:ind w:left="20" w:right="20"/>
              <w:rPr>
                <w:rFonts w:ascii="Arial" w:hAnsi="Arial" w:eastAsia="宋体" w:cs="Arial"/>
                <w:sz w:val="24"/>
                <w:szCs w:val="24"/>
              </w:rPr>
            </w:pPr>
            <w:r>
              <w:fldChar w:fldCharType="begin"/>
            </w:r>
            <w:r>
              <w:instrText xml:space="preserve"> HYPERLINK "https://www.fda.gov/ICECI/ComplianceManuals/CompliancePolicyGuidanceManual/ucm119572.htm" \h </w:instrText>
            </w:r>
            <w:r>
              <w:fldChar w:fldCharType="separate"/>
            </w:r>
            <w:r>
              <w:rPr>
                <w:rFonts w:ascii="Arial" w:hAnsi="Arial" w:eastAsia="宋体" w:cs="Arial"/>
                <w:b/>
                <w:sz w:val="24"/>
                <w:szCs w:val="24"/>
                <w:u w:val="single" w:color="000000"/>
              </w:rPr>
              <w:t>第四章-人用药品</w:t>
            </w:r>
            <w:r>
              <w:rPr>
                <w:rFonts w:hint="eastAsia" w:ascii="Arial" w:hAnsi="Arial" w:eastAsia="宋体" w:cs="Arial"/>
                <w:b/>
                <w:sz w:val="24"/>
                <w:szCs w:val="24"/>
                <w:u w:val="single" w:color="000000"/>
              </w:rPr>
              <w:br w:type="textWrapping"/>
            </w:r>
            <w:r>
              <w:rPr>
                <w:rFonts w:ascii="Arial" w:hAnsi="Arial" w:eastAsia="宋体" w:cs="Arial"/>
                <w:b/>
                <w:sz w:val="24"/>
                <w:szCs w:val="24"/>
                <w:u w:val="single" w:color="000000"/>
              </w:rPr>
              <w:t>(/ICECI/Compliance Manuals/Compliance PolicyGuidance Manual/ucm119572.htm)</w:t>
            </w:r>
            <w:r>
              <w:rPr>
                <w:rFonts w:ascii="Arial" w:hAnsi="Arial" w:eastAsia="宋体" w:cs="Arial"/>
                <w:b/>
                <w:sz w:val="24"/>
                <w:szCs w:val="24"/>
                <w:u w:val="single" w:color="000000"/>
              </w:rPr>
              <w:fldChar w:fldCharType="end"/>
            </w:r>
          </w:p>
        </w:tc>
      </w:tr>
      <w:tr w14:paraId="0B694774">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tcPr>
          <w:p w14:paraId="78C8F71F">
            <w:pPr>
              <w:pStyle w:val="9"/>
              <w:overflowPunct w:val="0"/>
              <w:snapToGrid w:val="0"/>
              <w:spacing w:before="72" w:beforeLines="30" w:after="72" w:afterLines="30" w:line="300" w:lineRule="auto"/>
              <w:ind w:left="20" w:right="20"/>
              <w:rPr>
                <w:rFonts w:ascii="Arial" w:hAnsi="Arial" w:eastAsia="宋体" w:cs="Arial"/>
                <w:sz w:val="24"/>
                <w:szCs w:val="24"/>
              </w:rPr>
            </w:pPr>
            <w:r>
              <w:fldChar w:fldCharType="begin"/>
            </w:r>
            <w:r>
              <w:instrText xml:space="preserve"> HYPERLINK "https://www.fda.gov/ICECI/ComplianceManuals/CompliancePolicyGuidanceManual/ucm119194.htm" \h </w:instrText>
            </w:r>
            <w:r>
              <w:fldChar w:fldCharType="separate"/>
            </w:r>
            <w:r>
              <w:rPr>
                <w:rFonts w:ascii="Arial" w:hAnsi="Arial" w:eastAsia="宋体" w:cs="Arial"/>
                <w:b/>
                <w:sz w:val="24"/>
                <w:szCs w:val="24"/>
                <w:u w:val="single" w:color="000000"/>
              </w:rPr>
              <w:t>第五章-食品、</w:t>
            </w:r>
            <w:r>
              <w:rPr>
                <w:rFonts w:hint="eastAsia" w:ascii="Arial" w:hAnsi="Arial" w:eastAsia="宋体" w:cs="Arial"/>
                <w:b/>
                <w:sz w:val="24"/>
                <w:szCs w:val="24"/>
                <w:u w:val="single" w:color="000000"/>
              </w:rPr>
              <w:t>颜料</w:t>
            </w:r>
            <w:r>
              <w:rPr>
                <w:rFonts w:ascii="Arial" w:hAnsi="Arial" w:eastAsia="宋体" w:cs="Arial"/>
                <w:b/>
                <w:sz w:val="24"/>
                <w:szCs w:val="24"/>
                <w:u w:val="single" w:color="000000"/>
              </w:rPr>
              <w:t>和化妆品</w:t>
            </w:r>
            <w:r>
              <w:rPr>
                <w:rFonts w:hint="eastAsia" w:ascii="Arial" w:hAnsi="Arial" w:eastAsia="宋体" w:cs="Arial"/>
                <w:b/>
                <w:sz w:val="24"/>
                <w:szCs w:val="24"/>
                <w:u w:val="single" w:color="000000"/>
              </w:rPr>
              <w:br w:type="textWrapping"/>
            </w:r>
            <w:r>
              <w:rPr>
                <w:rFonts w:ascii="Arial" w:hAnsi="Arial" w:eastAsia="宋体" w:cs="Arial"/>
                <w:b/>
                <w:sz w:val="24"/>
                <w:szCs w:val="24"/>
                <w:u w:val="single" w:color="000000"/>
              </w:rPr>
              <w:t>(/ICECI/Compliance Manuals/Compliance PolicyGuidance Manual/ucm119194.htm)</w:t>
            </w:r>
            <w:r>
              <w:rPr>
                <w:rFonts w:ascii="Arial" w:hAnsi="Arial" w:eastAsia="宋体" w:cs="Arial"/>
                <w:b/>
                <w:sz w:val="24"/>
                <w:szCs w:val="24"/>
                <w:u w:val="single" w:color="000000"/>
              </w:rPr>
              <w:fldChar w:fldCharType="end"/>
            </w:r>
          </w:p>
        </w:tc>
      </w:tr>
      <w:tr w14:paraId="61BE6DDF">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tcPr>
          <w:p w14:paraId="09519ABD">
            <w:pPr>
              <w:overflowPunct w:val="0"/>
              <w:snapToGrid w:val="0"/>
              <w:spacing w:before="72" w:beforeLines="30" w:after="72" w:afterLines="30" w:line="300" w:lineRule="auto"/>
              <w:ind w:left="20" w:right="20"/>
              <w:rPr>
                <w:rFonts w:ascii="Arial" w:hAnsi="Arial" w:eastAsia="宋体" w:cs="Arial"/>
              </w:rPr>
            </w:pPr>
            <w:r>
              <w:fldChar w:fldCharType="begin"/>
            </w:r>
            <w:r>
              <w:instrText xml:space="preserve"> HYPERLINK "https://www.fda.gov/ICECI/ComplianceManuals/CompliancePolicyGuidanceManual/ucm117042.htm" \h </w:instrText>
            </w:r>
            <w:r>
              <w:fldChar w:fldCharType="separate"/>
            </w:r>
            <w:r>
              <w:rPr>
                <w:rFonts w:ascii="Arial" w:hAnsi="Arial" w:eastAsia="宋体" w:cs="Arial"/>
                <w:b/>
                <w:u w:val="single" w:color="000000"/>
              </w:rPr>
              <w:t>第六章-兽医</w:t>
            </w:r>
            <w:r>
              <w:rPr>
                <w:rFonts w:hint="eastAsia" w:ascii="Arial" w:hAnsi="Arial" w:eastAsia="宋体" w:cs="Arial"/>
                <w:b/>
                <w:u w:val="single" w:color="000000"/>
              </w:rPr>
              <w:t>医</w:t>
            </w:r>
            <w:r>
              <w:rPr>
                <w:rFonts w:ascii="Arial" w:hAnsi="Arial" w:eastAsia="宋体" w:cs="Arial"/>
                <w:b/>
                <w:u w:val="single" w:color="000000"/>
              </w:rPr>
              <w:t>学</w:t>
            </w:r>
            <w:r>
              <w:rPr>
                <w:rFonts w:hint="eastAsia" w:ascii="Arial" w:hAnsi="Arial" w:eastAsia="宋体" w:cs="Arial"/>
                <w:b/>
                <w:u w:val="single" w:color="000000"/>
              </w:rPr>
              <w:br w:type="textWrapping"/>
            </w:r>
            <w:r>
              <w:rPr>
                <w:rFonts w:ascii="Arial" w:hAnsi="Arial" w:eastAsia="宋体" w:cs="Arial"/>
                <w:b/>
                <w:u w:val="single" w:color="000000"/>
              </w:rPr>
              <w:t>(/ICECI/Compliance Manuals/Compliance PolicyGuidance Manual/ucm117042.htm)</w:t>
            </w:r>
            <w:r>
              <w:rPr>
                <w:rFonts w:ascii="Arial" w:hAnsi="Arial" w:eastAsia="宋体" w:cs="Arial"/>
                <w:b/>
                <w:u w:val="single" w:color="000000"/>
              </w:rPr>
              <w:fldChar w:fldCharType="end"/>
            </w:r>
          </w:p>
        </w:tc>
      </w:tr>
    </w:tbl>
    <w:p w14:paraId="674B5E99">
      <w:pPr>
        <w:overflowPunct w:val="0"/>
        <w:snapToGrid w:val="0"/>
        <w:spacing w:line="300" w:lineRule="auto"/>
        <w:jc w:val="both"/>
        <w:rPr>
          <w:sz w:val="24"/>
          <w:szCs w:val="24"/>
        </w:rPr>
      </w:pPr>
    </w:p>
    <w:p w14:paraId="269A149C">
      <w:pPr>
        <w:overflowPunct w:val="0"/>
        <w:snapToGrid w:val="0"/>
        <w:spacing w:line="300" w:lineRule="auto"/>
        <w:jc w:val="both"/>
        <w:rPr>
          <w:rFonts w:hint="eastAsia" w:eastAsia="宋体"/>
          <w:lang w:eastAsia="zh-CN"/>
        </w:rPr>
      </w:pPr>
    </w:p>
    <w:p w14:paraId="23EDF167">
      <w:pPr>
        <w:overflowPunct w:val="0"/>
        <w:snapToGrid w:val="0"/>
        <w:spacing w:line="300" w:lineRule="auto"/>
        <w:jc w:val="center"/>
        <w:rPr>
          <w:rFonts w:hint="eastAsia" w:eastAsia="宋体"/>
          <w:lang w:eastAsia="zh-CN"/>
        </w:rPr>
      </w:pPr>
    </w:p>
    <w:p w14:paraId="3E0781E1">
      <w:pPr>
        <w:overflowPunct w:val="0"/>
        <w:snapToGrid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0" w:h="16820"/>
      <w:pgMar w:top="567" w:right="567" w:bottom="567" w:left="567" w:header="290" w:footer="27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75348">
    <w:pPr>
      <w:tabs>
        <w:tab w:val="right" w:pos="10773"/>
      </w:tabs>
      <w:spacing w:line="184" w:lineRule="exact"/>
      <w:ind w:left="40" w:right="-7" w:rightChars="-3"/>
      <w:rPr>
        <w:rFonts w:ascii="Arial" w:hAnsi="Arial" w:eastAsia="宋体" w:cs="Arial"/>
        <w:sz w:val="15"/>
        <w:szCs w:val="15"/>
      </w:rPr>
    </w:pPr>
    <w:r>
      <w:rPr>
        <w:rFonts w:hint="eastAsia" w:ascii="Arial" w:eastAsia="宋体"/>
        <w:sz w:val="15"/>
        <w:szCs w:val="15"/>
      </w:rPr>
      <w:t>https://</w:t>
    </w:r>
    <w:r>
      <w:fldChar w:fldCharType="begin"/>
    </w:r>
    <w:r>
      <w:instrText xml:space="preserve"> HYPERLINK "http://www.fda.gov/ICECI/ComplianceManuals/CompliancePolicyGuidanceManual/ucm073832.htm" \h </w:instrText>
    </w:r>
    <w:r>
      <w:fldChar w:fldCharType="separate"/>
    </w:r>
    <w:r>
      <w:rPr>
        <w:rFonts w:hint="eastAsia" w:ascii="Arial" w:eastAsia="宋体"/>
        <w:sz w:val="15"/>
        <w:szCs w:val="15"/>
      </w:rPr>
      <w:t>www.fda.gov/ICECI/ComplianceManuals/CompliancePolicyGuidanceManual/ucm073832.htm</w:t>
    </w:r>
    <w:r>
      <w:rPr>
        <w:rFonts w:hint="eastAsia" w:ascii="Arial" w:eastAsia="宋体"/>
        <w:sz w:val="15"/>
        <w:szCs w:val="15"/>
      </w:rPr>
      <w:fldChar w:fldCharType="end"/>
    </w:r>
    <w:r>
      <w:rPr>
        <w:rFonts w:hint="eastAsia" w:ascii="Arial" w:eastAsia="宋体"/>
        <w:sz w:val="15"/>
        <w:szCs w:val="15"/>
      </w:rPr>
      <w:tab/>
    </w:r>
    <w:r>
      <w:rPr>
        <w:sz w:val="15"/>
        <w:szCs w:val="15"/>
      </w:rPr>
      <w:fldChar w:fldCharType="begin"/>
    </w:r>
    <w:r>
      <w:rPr>
        <w:rFonts w:hint="eastAsia" w:ascii="Arial" w:eastAsia="宋体"/>
        <w:sz w:val="15"/>
        <w:szCs w:val="15"/>
      </w:rPr>
      <w:instrText xml:space="preserve"> PAGE </w:instrText>
    </w:r>
    <w:r>
      <w:rPr>
        <w:sz w:val="15"/>
        <w:szCs w:val="15"/>
      </w:rPr>
      <w:fldChar w:fldCharType="separate"/>
    </w:r>
    <w:r>
      <w:rPr>
        <w:rFonts w:ascii="Arial" w:eastAsia="宋体"/>
        <w:sz w:val="15"/>
        <w:szCs w:val="15"/>
      </w:rPr>
      <w:t>1</w:t>
    </w:r>
    <w:r>
      <w:rPr>
        <w:sz w:val="15"/>
        <w:szCs w:val="15"/>
      </w:rPr>
      <w:fldChar w:fldCharType="end"/>
    </w:r>
    <w:r>
      <w:rPr>
        <w:rFonts w:hint="eastAsia" w:ascii="Arial" w:eastAsia="宋体"/>
        <w:sz w:val="15"/>
        <w:szCs w:val="15"/>
      </w:rPr>
      <w:t>/2</w:t>
    </w:r>
  </w:p>
  <w:p w14:paraId="2B579CD6">
    <w:pPr>
      <w:spacing w:line="14" w:lineRule="auto"/>
      <w:rPr>
        <w:sz w:val="15"/>
        <w:szCs w:val="15"/>
      </w:rPr>
    </w:pPr>
    <w:r>
      <w:rPr>
        <w:rFonts w:hint="eastAsia"/>
        <w:sz w:val="15"/>
        <w:szCs w:val="15"/>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A956E">
    <w:pPr>
      <w:tabs>
        <w:tab w:val="left" w:pos="3402"/>
      </w:tabs>
      <w:spacing w:line="184" w:lineRule="exact"/>
      <w:ind w:left="20"/>
      <w:rPr>
        <w:rFonts w:ascii="Arial" w:hAnsi="Arial" w:eastAsia="宋体" w:cs="Arial"/>
        <w:sz w:val="15"/>
        <w:szCs w:val="15"/>
      </w:rPr>
    </w:pPr>
    <w:r>
      <w:rPr>
        <w:rFonts w:hint="eastAsia" w:ascii="Arial" w:eastAsia="宋体"/>
        <w:sz w:val="15"/>
        <w:szCs w:val="15"/>
      </w:rPr>
      <w:t>2017年8月10日</w:t>
    </w:r>
    <w:r>
      <w:rPr>
        <w:rFonts w:hint="eastAsia" w:ascii="Arial" w:eastAsia="宋体"/>
        <w:sz w:val="15"/>
        <w:szCs w:val="15"/>
      </w:rPr>
      <w:tab/>
    </w:r>
    <w:r>
      <w:rPr>
        <w:rFonts w:hint="eastAsia" w:ascii="Arial" w:eastAsia="宋体"/>
        <w:sz w:val="15"/>
        <w:szCs w:val="15"/>
      </w:rPr>
      <w:t>合规政策指南&gt;CPG章节110.500 食品药品担保 - 进口</w:t>
    </w:r>
  </w:p>
  <w:p w14:paraId="3149F278">
    <w:pPr>
      <w:spacing w:line="184" w:lineRule="exact"/>
      <w:ind w:left="20"/>
      <w:rPr>
        <w:rFonts w:ascii="Arial" w:hAnsi="Arial" w:eastAsia="宋体" w:cs="Arial"/>
        <w:sz w:val="15"/>
        <w:szCs w:val="15"/>
      </w:rPr>
    </w:pPr>
  </w:p>
  <w:p w14:paraId="19B728D8">
    <w:pPr>
      <w:spacing w:line="184" w:lineRule="exact"/>
      <w:ind w:left="20"/>
      <w:rPr>
        <w:rFonts w:ascii="Arial" w:hAnsi="Arial" w:eastAsia="宋体" w:cs="Arial"/>
        <w:sz w:val="15"/>
        <w:szCs w:val="15"/>
      </w:rPr>
    </w:pPr>
  </w:p>
  <w:p w14:paraId="2199E9D7">
    <w:pPr>
      <w:spacing w:line="184" w:lineRule="exact"/>
      <w:ind w:left="20"/>
      <w:rPr>
        <w:rFonts w:ascii="Arial" w:hAnsi="Arial" w:eastAsia="宋体" w:cs="Arial"/>
        <w:sz w:val="15"/>
        <w:szCs w:val="15"/>
      </w:rPr>
    </w:pPr>
  </w:p>
  <w:p w14:paraId="68827DFA">
    <w:pPr>
      <w:spacing w:line="14" w:lineRule="auto"/>
      <w:rPr>
        <w:sz w:val="15"/>
        <w:szCs w:val="15"/>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1A3"/>
    <w:rsid w:val="00294952"/>
    <w:rsid w:val="002E3C03"/>
    <w:rsid w:val="00305E8C"/>
    <w:rsid w:val="00354AFD"/>
    <w:rsid w:val="003F3A53"/>
    <w:rsid w:val="00740E7F"/>
    <w:rsid w:val="00827BB3"/>
    <w:rsid w:val="008C56DF"/>
    <w:rsid w:val="00956185"/>
    <w:rsid w:val="00A058A5"/>
    <w:rsid w:val="00A66C99"/>
    <w:rsid w:val="00B25B1E"/>
    <w:rsid w:val="00BA10D1"/>
    <w:rsid w:val="00C27A42"/>
    <w:rsid w:val="00CD533A"/>
    <w:rsid w:val="00CD6722"/>
    <w:rsid w:val="00CD6DB2"/>
    <w:rsid w:val="00D87049"/>
    <w:rsid w:val="00D921A3"/>
    <w:rsid w:val="00EE704C"/>
    <w:rsid w:val="00F02D06"/>
    <w:rsid w:val="00F56A6E"/>
    <w:rsid w:val="00FB3C7A"/>
    <w:rsid w:val="6BAC2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ind w:left="100"/>
    </w:pPr>
    <w:rPr>
      <w:rFonts w:ascii="Arial" w:hAnsi="Arial" w:eastAsia="宋体"/>
      <w:sz w:val="25"/>
      <w:szCs w:val="25"/>
    </w:rPr>
  </w:style>
  <w:style w:type="paragraph" w:styleId="3">
    <w:name w:val="footer"/>
    <w:basedOn w:val="1"/>
    <w:link w:val="11"/>
    <w:unhideWhenUsed/>
    <w:qFormat/>
    <w:uiPriority w:val="99"/>
    <w:pPr>
      <w:tabs>
        <w:tab w:val="center" w:pos="4153"/>
        <w:tab w:val="right" w:pos="8306"/>
      </w:tabs>
      <w:snapToGrid w:val="0"/>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style>
  <w:style w:type="character" w:customStyle="1" w:styleId="10">
    <w:name w:val="页眉 Char"/>
    <w:basedOn w:val="6"/>
    <w:link w:val="4"/>
    <w:uiPriority w:val="99"/>
    <w:rPr>
      <w:sz w:val="18"/>
      <w:szCs w:val="18"/>
    </w:rPr>
  </w:style>
  <w:style w:type="character" w:customStyle="1" w:styleId="11">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425</Words>
  <Characters>990</Characters>
  <Lines>14</Lines>
  <Paragraphs>4</Paragraphs>
  <TotalTime>0</TotalTime>
  <ScaleCrop>false</ScaleCrop>
  <LinksUpToDate>false</LinksUpToDate>
  <CharactersWithSpaces>1023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2017-11-10T01:31:00Z</dcterms:created>
  <dc:creator>wenrongzhen</dc:creator>
  <cp:lastModifiedBy>太极箫客</cp:lastModifiedBy>
  <dcterms:modified xsi:type="dcterms:W3CDTF">2025-08-14T06:16:03Z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EAB205E1B65843FBBE4E75BBF771CB85_12</vt:lpwstr>
  </property>
</Properties>
</file>