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25C0C">
      <w:pPr>
        <w:snapToGrid w:val="0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0125D34">
      <w:pPr>
        <w:snapToGrid w:val="0"/>
        <w:spacing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596B576E">
      <w:pPr>
        <w:snapToGrid w:val="0"/>
        <w:spacing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4A021AC4">
      <w:pPr>
        <w:snapToGrid w:val="0"/>
        <w:spacing w:before="7" w:line="300" w:lineRule="auto"/>
        <w:jc w:val="both"/>
        <w:rPr>
          <w:rFonts w:ascii="Times New Roman" w:hAnsi="Times New Roman" w:eastAsia="Times New Roman" w:cs="Times New Roman"/>
          <w:sz w:val="19"/>
          <w:szCs w:val="19"/>
        </w:rPr>
      </w:pPr>
    </w:p>
    <w:p w14:paraId="708191B4">
      <w:pPr>
        <w:snapToGrid w:val="0"/>
        <w:spacing w:before="106" w:line="300" w:lineRule="auto"/>
        <w:jc w:val="both"/>
        <w:rPr>
          <w:rFonts w:ascii="Arial" w:hAnsi="Arial" w:eastAsia="宋体" w:cs="Arial"/>
          <w:sz w:val="64"/>
          <w:szCs w:val="64"/>
        </w:rPr>
      </w:pPr>
      <w:r>
        <w:rPr>
          <w:rFonts w:hint="eastAsia" w:ascii="Arial" w:eastAsia="宋体"/>
          <w:b/>
          <w:sz w:val="64"/>
        </w:rPr>
        <w:t>CPG章节100.350 FDA对印度保留区的管辖权</w:t>
      </w:r>
    </w:p>
    <w:p w14:paraId="781DBDEE">
      <w:pPr>
        <w:pStyle w:val="2"/>
        <w:snapToGrid w:val="0"/>
        <w:spacing w:before="389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背景和政策：</w:t>
      </w:r>
    </w:p>
    <w:p w14:paraId="1A35C3EB">
      <w:pPr>
        <w:snapToGrid w:val="0"/>
        <w:spacing w:before="1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0A18E0B8">
      <w:pPr>
        <w:pStyle w:val="2"/>
        <w:snapToGrid w:val="0"/>
        <w:spacing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美国食品药品监督管理局（FDA）认为“印度保留区”属于《联邦食品，药品和化妆品法案》第20l（a）（2）章所述的美国领地。因此，FDA对在“印度保留区”生产的法案范围内的产品具有完全管辖权。根据法案第201（b）章所述，产品始终在州际贸易范围中。</w:t>
      </w:r>
    </w:p>
    <w:p w14:paraId="689D3632">
      <w:pPr>
        <w:snapToGrid w:val="0"/>
        <w:spacing w:before="5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7AA49859">
      <w:pPr>
        <w:pStyle w:val="2"/>
        <w:snapToGrid w:val="0"/>
        <w:spacing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根据《食品、药品和化妆品法案》，FDA在“保留区”拥有与其他任何地方相同的权力，检查、采取官方样品并开始监管行动。</w:t>
      </w:r>
    </w:p>
    <w:p w14:paraId="66E2E861">
      <w:pPr>
        <w:pStyle w:val="2"/>
        <w:snapToGrid w:val="0"/>
        <w:spacing w:before="6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*星号之间的材料是新材料或改进材料*</w:t>
      </w:r>
    </w:p>
    <w:p w14:paraId="0388DCBE">
      <w:pPr>
        <w:pStyle w:val="2"/>
        <w:snapToGrid w:val="0"/>
        <w:spacing w:before="6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发布日期：1977年3月15日</w:t>
      </w:r>
    </w:p>
    <w:p w14:paraId="25AB8A83">
      <w:pPr>
        <w:pStyle w:val="2"/>
        <w:snapToGrid w:val="0"/>
        <w:spacing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修订日期：1980年10月1日、1987年9月1日</w:t>
      </w:r>
    </w:p>
    <w:p w14:paraId="5B1339BD">
      <w:pPr>
        <w:snapToGrid w:val="0"/>
        <w:spacing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4C9201F4">
      <w:pPr>
        <w:snapToGrid w:val="0"/>
        <w:spacing w:line="300" w:lineRule="auto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Style w:val="8"/>
        <w:tblW w:w="108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4"/>
      </w:tblGrid>
      <w:tr w14:paraId="0F64F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4F81BD" w:themeColor="accent1" w:sz="6" w:space="0"/>
            </w:tcBorders>
          </w:tcPr>
          <w:p w14:paraId="11345E19">
            <w:pPr>
              <w:pStyle w:val="10"/>
              <w:snapToGrid w:val="0"/>
              <w:spacing w:before="72" w:beforeLines="30" w:after="72" w:afterLines="30" w:line="312" w:lineRule="auto"/>
              <w:ind w:left="44" w:leftChars="20" w:right="44" w:rightChars="20"/>
              <w:jc w:val="both"/>
              <w:rPr>
                <w:rFonts w:ascii="Arial" w:eastAsia="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"https://www.fda.gov/ICECI/ComplianceManuals/CompliancePolicyGuidanceManual/default.htm"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</w:rPr>
              <w:t>合规政策指南的更多信息</w:t>
            </w:r>
          </w:p>
          <w:p w14:paraId="31046BEE">
            <w:pPr>
              <w:pStyle w:val="10"/>
              <w:snapToGrid w:val="0"/>
              <w:spacing w:before="72" w:beforeLines="30" w:after="72" w:afterLines="30" w:line="312" w:lineRule="auto"/>
              <w:ind w:left="44" w:leftChars="20" w:right="44" w:rightChars="20"/>
              <w:jc w:val="both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8F4D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13B16D35">
            <w:pPr>
              <w:pStyle w:val="10"/>
              <w:snapToGrid w:val="0"/>
              <w:spacing w:before="72" w:beforeLines="30" w:after="72" w:afterLines="30" w:line="312" w:lineRule="auto"/>
              <w:ind w:left="44" w:leftChars="20" w:right="44" w:rightChars="20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前言：合规政策指南（CPG）</w:t>
            </w:r>
          </w:p>
          <w:p w14:paraId="7A0631DB">
            <w:pPr>
              <w:pStyle w:val="10"/>
              <w:snapToGrid w:val="0"/>
              <w:spacing w:before="72" w:beforeLines="30" w:after="72" w:afterLines="30" w:line="312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 xml:space="preserve">(/ICECI/Compliance Manuals/Compliance PolicyGuidance Manual/ucm116271.htm) </w:t>
            </w:r>
          </w:p>
        </w:tc>
      </w:tr>
      <w:tr w14:paraId="75D9B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39EAB161">
            <w:pPr>
              <w:pStyle w:val="10"/>
              <w:snapToGrid w:val="0"/>
              <w:spacing w:before="72" w:beforeLines="30" w:after="72" w:afterLines="30" w:line="312" w:lineRule="auto"/>
              <w:ind w:left="44" w:leftChars="20" w:right="44" w:rightChars="20"/>
              <w:jc w:val="both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"https://www.fda.gov/ICECI/ComplianceManuals/CompliancePolicyGuidanceManual/ucm116280.htm"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第一章-通则</w:t>
            </w:r>
          </w:p>
          <w:p w14:paraId="176C18F4">
            <w:pPr>
              <w:pStyle w:val="10"/>
              <w:snapToGrid w:val="0"/>
              <w:spacing w:before="72" w:beforeLines="30" w:after="72" w:afterLines="30" w:line="312" w:lineRule="auto"/>
              <w:ind w:left="44" w:leftChars="20" w:right="44" w:rightChars="2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E648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14531CE1">
            <w:pPr>
              <w:pStyle w:val="10"/>
              <w:snapToGrid w:val="0"/>
              <w:spacing w:before="72" w:beforeLines="30" w:after="72" w:afterLines="30" w:line="312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第二章-生物制剂 (/ICECI/Compliance Manuals/Compliance PolicyGuidance Manual/ucm116336.htm)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6C92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4B4723A8">
            <w:pPr>
              <w:pStyle w:val="10"/>
              <w:snapToGrid w:val="0"/>
              <w:spacing w:before="72" w:beforeLines="30" w:after="72" w:afterLines="30" w:line="312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第三章-器械 (/ICECI/Compliance Manuals/Compliance PolicyGuidance Manual/ucm116801.htm)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4766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305CADA2">
            <w:pPr>
              <w:pStyle w:val="10"/>
              <w:snapToGrid w:val="0"/>
              <w:spacing w:before="72" w:beforeLines="30" w:after="72" w:afterLines="30" w:line="312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第四章-人用药品(/ICECI/Compliance Manuals/Compliance PolicyGuidance Manual/ucm119572.htm)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20A4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10CA9DEA">
            <w:pPr>
              <w:pStyle w:val="10"/>
              <w:snapToGrid w:val="0"/>
              <w:spacing w:before="72" w:beforeLines="30" w:after="72" w:afterLines="30" w:line="312" w:lineRule="auto"/>
              <w:ind w:left="44" w:leftChars="20" w:right="44" w:rightChars="20"/>
              <w:jc w:val="both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"https://www.fda.gov/ICECI/ComplianceManuals/CompliancePolicyGuidanceManual/ucm119194.htm"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第五章-食品、颜料和化妆品</w:t>
            </w:r>
          </w:p>
          <w:p w14:paraId="4F76EFC4">
            <w:pPr>
              <w:pStyle w:val="10"/>
              <w:snapToGrid w:val="0"/>
              <w:spacing w:before="72" w:beforeLines="30" w:after="72" w:afterLines="30" w:line="312" w:lineRule="auto"/>
              <w:ind w:left="44" w:leftChars="20" w:right="44" w:rightChars="2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7583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7366A9EC">
            <w:pPr>
              <w:snapToGrid w:val="0"/>
              <w:spacing w:before="72" w:beforeLines="30" w:after="72" w:afterLines="30" w:line="312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第六章-兽医医学 (/ICECI/Compliance Manuals/Compliance PolicyGuidance Manual/ucm117042.htm)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</w:tbl>
    <w:p w14:paraId="2DF5C379">
      <w:pPr>
        <w:snapToGrid w:val="0"/>
        <w:spacing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017B8485">
      <w:pPr>
        <w:snapToGrid w:val="0"/>
        <w:spacing w:line="300" w:lineRule="auto"/>
        <w:jc w:val="both"/>
        <w:rPr>
          <w:rFonts w:hint="eastAsia" w:eastAsia="宋体"/>
          <w:lang w:eastAsia="zh-CN"/>
        </w:rPr>
      </w:pPr>
    </w:p>
    <w:p w14:paraId="4110F46A">
      <w:pPr>
        <w:snapToGrid w:val="0"/>
        <w:spacing w:line="300" w:lineRule="auto"/>
        <w:jc w:val="center"/>
        <w:rPr>
          <w:rFonts w:hint="eastAsia" w:eastAsia="宋体"/>
          <w:lang w:eastAsia="zh-CN"/>
        </w:rPr>
      </w:pPr>
    </w:p>
    <w:p w14:paraId="7F1390B1">
      <w:pPr>
        <w:snapToGrid w:val="0"/>
        <w:spacing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1BCF4">
    <w:pPr>
      <w:tabs>
        <w:tab w:val="right" w:pos="10773"/>
      </w:tabs>
      <w:spacing w:line="184" w:lineRule="exact"/>
      <w:ind w:left="4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https://</w:t>
    </w:r>
    <w:r>
      <w:fldChar w:fldCharType="begin"/>
    </w:r>
    <w:r>
      <w:instrText xml:space="preserve"> HYPERLINK "http://www.fda.gov/ICECI/ComplianceManuals/CompliancePolicyGuidanceManual/ucm073822.htm" \h </w:instrText>
    </w:r>
    <w:r>
      <w:fldChar w:fldCharType="separate"/>
    </w:r>
    <w:r>
      <w:rPr>
        <w:rFonts w:hint="eastAsia" w:ascii="Arial" w:eastAsia="宋体"/>
        <w:sz w:val="15"/>
        <w:szCs w:val="15"/>
      </w:rPr>
      <w:t>www.fda.gov/ICECI/ComplianceManuals/CompliancePolicyGuidanceManual/ucm073822.htm</w:t>
    </w:r>
    <w:r>
      <w:rPr>
        <w:rFonts w:hint="eastAsia" w:ascii="Arial" w:eastAsia="宋体"/>
        <w:sz w:val="15"/>
        <w:szCs w:val="15"/>
      </w:rPr>
      <w:fldChar w:fldCharType="end"/>
    </w:r>
    <w:r>
      <w:rPr>
        <w:rFonts w:hint="eastAsia" w:ascii="Arial" w:eastAsia="宋体"/>
        <w:sz w:val="15"/>
        <w:szCs w:val="15"/>
      </w:rPr>
      <w:tab/>
    </w:r>
    <w:r>
      <w:rPr>
        <w:sz w:val="15"/>
        <w:szCs w:val="15"/>
      </w:rPr>
      <w:fldChar w:fldCharType="begin"/>
    </w:r>
    <w:r>
      <w:rPr>
        <w:rFonts w:hint="eastAsia" w:ascii="Arial" w:eastAsia="宋体"/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>
      <w:rPr>
        <w:rFonts w:ascii="Arial" w:eastAsia="宋体"/>
        <w:sz w:val="15"/>
        <w:szCs w:val="15"/>
      </w:rPr>
      <w:t>1</w:t>
    </w:r>
    <w:r>
      <w:rPr>
        <w:sz w:val="15"/>
        <w:szCs w:val="15"/>
      </w:rPr>
      <w:fldChar w:fldCharType="end"/>
    </w:r>
    <w:r>
      <w:rPr>
        <w:rFonts w:hint="eastAsia" w:ascii="Arial" w:eastAsia="宋体"/>
        <w:sz w:val="15"/>
        <w:szCs w:val="15"/>
      </w:rPr>
      <w:t>/2</w:t>
    </w:r>
  </w:p>
  <w:p w14:paraId="6D8C4F71">
    <w:pPr>
      <w:spacing w:line="14" w:lineRule="auto"/>
      <w:rPr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E00E0">
    <w:pPr>
      <w:tabs>
        <w:tab w:val="left" w:pos="3261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2017年8月10日</w:t>
    </w:r>
    <w:r>
      <w:rPr>
        <w:rFonts w:hint="eastAsia" w:ascii="Arial" w:eastAsia="宋体"/>
        <w:sz w:val="15"/>
        <w:szCs w:val="15"/>
      </w:rPr>
      <w:tab/>
    </w:r>
    <w:r>
      <w:rPr>
        <w:rFonts w:hint="eastAsia" w:ascii="Arial" w:eastAsia="宋体"/>
        <w:sz w:val="15"/>
        <w:szCs w:val="15"/>
      </w:rPr>
      <w:t>合规政策指南&gt;CPG章节100.350 FDA对“印度保留区”的管辖权</w:t>
    </w:r>
  </w:p>
  <w:p w14:paraId="3077F1A6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2116B8AC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23872F35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3FE58C44">
    <w:pPr>
      <w:spacing w:line="14" w:lineRule="auto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5"/>
    <w:rsid w:val="00105434"/>
    <w:rsid w:val="001C51C8"/>
    <w:rsid w:val="002454AB"/>
    <w:rsid w:val="002726E5"/>
    <w:rsid w:val="003A718B"/>
    <w:rsid w:val="003C3480"/>
    <w:rsid w:val="00476FA2"/>
    <w:rsid w:val="00481BD3"/>
    <w:rsid w:val="004A68BC"/>
    <w:rsid w:val="006D78FB"/>
    <w:rsid w:val="00853D11"/>
    <w:rsid w:val="00865C32"/>
    <w:rsid w:val="009D20BA"/>
    <w:rsid w:val="009E405A"/>
    <w:rsid w:val="00A14510"/>
    <w:rsid w:val="00A469CD"/>
    <w:rsid w:val="00B85315"/>
    <w:rsid w:val="00EF5DA1"/>
    <w:rsid w:val="00FA7D35"/>
    <w:rsid w:val="00FB4B7F"/>
    <w:rsid w:val="00FE49E4"/>
    <w:rsid w:val="4719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342</Words>
  <Characters>909</Characters>
  <Lines>12</Lines>
  <Paragraphs>3</Paragraphs>
  <TotalTime>0</TotalTime>
  <ScaleCrop>false</ScaleCrop>
  <LinksUpToDate>false</LinksUpToDate>
  <CharactersWithSpaces>938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2017-10-23T09:28:00Z</dcterms:created>
  <dc:creator>cathy-wen</dc:creator>
  <cp:lastModifiedBy>太极箫客</cp:lastModifiedBy>
  <dcterms:modified xsi:type="dcterms:W3CDTF">2025-08-14T06:15:58Z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5336330A18F54113B79FC67524208EFD_12</vt:lpwstr>
  </property>
</Properties>
</file>