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1D73">
      <w:pPr>
        <w:overflowPunct w:val="0"/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  <w:bookmarkStart w:id="0" w:name="_GoBack"/>
      <w:bookmarkEnd w:id="0"/>
    </w:p>
    <w:p w14:paraId="6145EEE2">
      <w:pPr>
        <w:overflowPunct w:val="0"/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2866482D">
      <w:pPr>
        <w:overflowPunct w:val="0"/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36F5CACE">
      <w:pPr>
        <w:overflowPunct w:val="0"/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41CDB730">
      <w:pPr>
        <w:overflowPunct w:val="0"/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2BFD9BE9">
      <w:pPr>
        <w:overflowPunct w:val="0"/>
        <w:snapToGrid w:val="0"/>
        <w:spacing w:before="106" w:line="300" w:lineRule="auto"/>
        <w:rPr>
          <w:rFonts w:ascii="Arial" w:hAnsi="Arial" w:eastAsia="宋体" w:cs="Arial"/>
          <w:sz w:val="64"/>
          <w:szCs w:val="64"/>
        </w:rPr>
      </w:pPr>
      <w:r>
        <w:rPr>
          <w:rFonts w:ascii="Arial" w:hAnsi="Arial" w:eastAsia="宋体" w:cs="Arial"/>
          <w:b/>
          <w:sz w:val="64"/>
        </w:rPr>
        <w:t xml:space="preserve">CPG </w:t>
      </w:r>
      <w:r>
        <w:rPr>
          <w:rFonts w:hint="eastAsia" w:ascii="Arial" w:hAnsi="Arial" w:eastAsia="宋体" w:cs="Arial"/>
          <w:b/>
          <w:sz w:val="64"/>
        </w:rPr>
        <w:t>章节</w:t>
      </w:r>
      <w:r>
        <w:rPr>
          <w:rFonts w:ascii="Arial" w:hAnsi="Arial" w:eastAsia="宋体" w:cs="Arial"/>
          <w:b/>
          <w:sz w:val="64"/>
        </w:rPr>
        <w:t>100.200州际成分组成产品的FDA管辖权</w:t>
      </w:r>
    </w:p>
    <w:p w14:paraId="451FA992">
      <w:pPr>
        <w:pStyle w:val="2"/>
        <w:tabs>
          <w:tab w:val="left" w:pos="7037"/>
        </w:tabs>
        <w:overflowPunct w:val="0"/>
        <w:snapToGrid w:val="0"/>
        <w:spacing w:before="389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背景：</w:t>
      </w:r>
      <w:r>
        <w:rPr>
          <w:rFonts w:cs="Arial"/>
          <w:sz w:val="24"/>
          <w:szCs w:val="24"/>
        </w:rPr>
        <w:tab/>
      </w:r>
    </w:p>
    <w:p w14:paraId="3FEE7C7E">
      <w:pPr>
        <w:overflowPunct w:val="0"/>
        <w:snapToGrid w:val="0"/>
        <w:spacing w:before="10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3BD7729">
      <w:pPr>
        <w:pStyle w:val="2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该政策指南</w:t>
      </w:r>
      <w:r>
        <w:rPr>
          <w:rFonts w:hint="eastAsia" w:cs="Arial"/>
          <w:sz w:val="24"/>
          <w:szCs w:val="24"/>
        </w:rPr>
        <w:t>提出</w:t>
      </w:r>
      <w:r>
        <w:rPr>
          <w:rFonts w:cs="Arial"/>
          <w:sz w:val="24"/>
          <w:szCs w:val="24"/>
        </w:rPr>
        <w:t>州际成分组成产品中FDA的</w:t>
      </w:r>
      <w:r>
        <w:rPr>
          <w:rFonts w:hint="eastAsia" w:cs="Arial"/>
          <w:sz w:val="24"/>
          <w:szCs w:val="24"/>
        </w:rPr>
        <w:t>职务</w:t>
      </w:r>
      <w:r>
        <w:rPr>
          <w:rFonts w:cs="Arial"/>
          <w:sz w:val="24"/>
          <w:szCs w:val="24"/>
        </w:rPr>
        <w:t>，这些成分以州际贸易的形式进行装运，并用于制造成品。仅当成品本身未按 FD&amp;C法案第20l（b）部分中定义的州际贸易进行装运时，该政策才适用。有关人造黄油信息，参见 FD&amp;C法案的407部分。有关器械信息，参见304（a）（2）（D）和FD&amp;C法案的709部分。有关药品和材料伪造品信息，参见FD&amp;C法案的304（a）（2）（A），（B）和（C），以及301（i）（2）和（3）部分。</w:t>
      </w:r>
    </w:p>
    <w:p w14:paraId="6CD4900B">
      <w:pPr>
        <w:overflowPunct w:val="0"/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1D57358B">
      <w:pPr>
        <w:pStyle w:val="2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近些年，法院已审查有关使用州际成分制成产品的管辖问题。为成品</w:t>
      </w:r>
      <w:r>
        <w:rPr>
          <w:rFonts w:hint="eastAsia" w:cs="Arial"/>
          <w:sz w:val="24"/>
          <w:szCs w:val="24"/>
        </w:rPr>
        <w:t>作为</w:t>
      </w:r>
      <w:r>
        <w:rPr>
          <w:rFonts w:cs="Arial"/>
          <w:sz w:val="24"/>
          <w:szCs w:val="24"/>
        </w:rPr>
        <w:t>新型实体，FDA缺乏管辖直至“新型”产品以州际贸易形式装运</w:t>
      </w:r>
      <w:r>
        <w:rPr>
          <w:rFonts w:hint="eastAsia" w:cs="Arial"/>
          <w:sz w:val="24"/>
          <w:szCs w:val="24"/>
        </w:rPr>
        <w:t>等案例提供防护机制</w:t>
      </w:r>
      <w:r>
        <w:rPr>
          <w:rFonts w:cs="Arial"/>
          <w:sz w:val="24"/>
          <w:szCs w:val="24"/>
        </w:rPr>
        <w:t>。</w:t>
      </w:r>
    </w:p>
    <w:p w14:paraId="4F0C7389">
      <w:pPr>
        <w:overflowPunct w:val="0"/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4A0BF8EC">
      <w:pPr>
        <w:pStyle w:val="2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以下涉及该问题的法院案例确立FDA明确拥有州际成分制成产品的管辖权。</w:t>
      </w:r>
    </w:p>
    <w:p w14:paraId="36B9C2F9">
      <w:pPr>
        <w:overflowPunct w:val="0"/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57C4A287">
      <w:pPr>
        <w:pStyle w:val="2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 w:color="000000"/>
        </w:rPr>
        <w:t>U.S. v. An Article of Drug ...Korleen Tablets</w:t>
      </w:r>
    </w:p>
    <w:p w14:paraId="786E7857">
      <w:pPr>
        <w:pStyle w:val="2"/>
        <w:overflowPunct w:val="0"/>
        <w:snapToGrid w:val="0"/>
        <w:spacing w:before="0" w:line="300" w:lineRule="auto"/>
        <w:ind w:left="390" w:leftChars="172" w:hanging="12" w:hangingChars="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192 F. Supp.51 （E.D.Mich.，1961），</w:t>
      </w:r>
      <w:r>
        <w:rPr>
          <w:rFonts w:ascii="Helvetica" w:hAnsi="Helvetica" w:cs="Helvetica"/>
          <w:sz w:val="26"/>
          <w:szCs w:val="26"/>
        </w:rPr>
        <w:t>Affirmed at</w:t>
      </w:r>
      <w:r>
        <w:rPr>
          <w:rFonts w:hint="eastAsia" w:ascii="Helvetica" w:hAnsi="Helvetica" w:cs="Helvetica"/>
          <w:sz w:val="26"/>
          <w:szCs w:val="26"/>
        </w:rPr>
        <w:t xml:space="preserve"> </w:t>
      </w:r>
      <w:r>
        <w:rPr>
          <w:rFonts w:cs="Arial"/>
          <w:sz w:val="24"/>
          <w:szCs w:val="24"/>
        </w:rPr>
        <w:t xml:space="preserve">330 F. 2nd 78 （C. A. 6，1964） KK 61-64 </w:t>
      </w:r>
      <w:r>
        <w:rPr>
          <w:rFonts w:hint="eastAsia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6"/>
          <w:szCs w:val="26"/>
        </w:rPr>
        <w:t>at</w:t>
      </w:r>
      <w:r>
        <w:rPr>
          <w:rFonts w:hint="eastAsia" w:ascii="Helvetica" w:hAnsi="Helvetica" w:cs="Helvetica"/>
          <w:sz w:val="26"/>
          <w:szCs w:val="26"/>
        </w:rPr>
        <w:t xml:space="preserve"> 754</w:t>
      </w:r>
    </w:p>
    <w:p w14:paraId="4D963736">
      <w:pPr>
        <w:pStyle w:val="2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 w:color="000000"/>
        </w:rPr>
        <w:t>U.S. v. 40 Cases ...Pinocchio Brand ...Olive Oil</w:t>
      </w:r>
    </w:p>
    <w:p w14:paraId="24FFE684">
      <w:pPr>
        <w:pStyle w:val="2"/>
        <w:tabs>
          <w:tab w:val="left" w:pos="613"/>
        </w:tabs>
        <w:overflowPunct w:val="0"/>
        <w:snapToGrid w:val="0"/>
        <w:spacing w:before="0" w:line="300" w:lineRule="auto"/>
        <w:ind w:left="3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289 F. 2nd 343 (C. A. 2, 1961) KK 58-60 at 106 and 35</w:t>
      </w:r>
    </w:p>
    <w:p w14:paraId="2C3EEA2F">
      <w:pPr>
        <w:pStyle w:val="2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 w:color="000000"/>
        </w:rPr>
        <w:t>Palmer v. U. S.</w:t>
      </w:r>
    </w:p>
    <w:p w14:paraId="01D4611F">
      <w:pPr>
        <w:pStyle w:val="2"/>
        <w:tabs>
          <w:tab w:val="left" w:pos="613"/>
        </w:tabs>
        <w:overflowPunct w:val="0"/>
        <w:snapToGrid w:val="0"/>
        <w:spacing w:before="0" w:line="300" w:lineRule="auto"/>
        <w:ind w:left="352"/>
        <w:jc w:val="both"/>
        <w:rPr>
          <w:rFonts w:cs="Arial"/>
          <w:sz w:val="24"/>
          <w:szCs w:val="24"/>
        </w:rPr>
      </w:pPr>
      <w:r>
        <w:rPr>
          <w:rFonts w:ascii="Helvetica" w:hAnsi="Helvetica" w:cs="Helvetica"/>
          <w:sz w:val="26"/>
          <w:szCs w:val="26"/>
        </w:rPr>
        <w:t>340 F. 2nd 48 (C. A. 5, 1964) KK 61-64 at 809</w:t>
      </w:r>
    </w:p>
    <w:p w14:paraId="1CEBBDE1">
      <w:pPr>
        <w:pStyle w:val="2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 w:color="000000"/>
        </w:rPr>
        <w:t>*U.S. v. Dianovin Pharmaceuticals，Inc.</w:t>
      </w:r>
    </w:p>
    <w:p w14:paraId="5B59C335">
      <w:pPr>
        <w:autoSpaceDE w:val="0"/>
        <w:autoSpaceDN w:val="0"/>
        <w:adjustRightInd w:val="0"/>
        <w:ind w:left="342" w:leftChars="150" w:hanging="12"/>
        <w:rPr>
          <w:rFonts w:cs="Arial"/>
          <w:sz w:val="24"/>
          <w:szCs w:val="24"/>
        </w:rPr>
      </w:pPr>
      <w:r>
        <w:rPr>
          <w:rFonts w:ascii="Helvetica" w:hAnsi="Helvetica" w:cs="Helvetica"/>
          <w:sz w:val="26"/>
          <w:szCs w:val="26"/>
        </w:rPr>
        <w:t>342 F. Supp. 724(D.P.R. 1972). Affirmed at 475 F. 2nd 100 (C. A. 1, 1973) KKW 69-74 at</w:t>
      </w:r>
      <w:r>
        <w:rPr>
          <w:rFonts w:hint="eastAsia" w:ascii="Helvetica" w:hAnsi="Helvetica" w:cs="Helvetica"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369 and 382*</w:t>
      </w:r>
    </w:p>
    <w:p w14:paraId="4A53CEE8">
      <w:pPr>
        <w:pStyle w:val="2"/>
        <w:numPr>
          <w:ilvl w:val="0"/>
          <w:numId w:val="1"/>
        </w:numPr>
        <w:tabs>
          <w:tab w:val="left" w:pos="613"/>
        </w:tabs>
        <w:overflowPunct w:val="0"/>
        <w:snapToGrid w:val="0"/>
        <w:spacing w:before="0" w:line="300" w:lineRule="auto"/>
        <w:ind w:left="352" w:hanging="3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 w:color="000000"/>
        </w:rPr>
        <w:t>*U.S. v. 14</w:t>
      </w:r>
      <w:r>
        <w:rPr>
          <w:rFonts w:hint="eastAsia" w:cs="Arial"/>
          <w:sz w:val="24"/>
          <w:szCs w:val="24"/>
          <w:u w:val="single" w:color="000000"/>
        </w:rPr>
        <w:t xml:space="preserve"> cases</w:t>
      </w:r>
      <w:r>
        <w:rPr>
          <w:rFonts w:cs="Arial"/>
          <w:sz w:val="24"/>
          <w:szCs w:val="24"/>
          <w:u w:val="single" w:color="000000"/>
        </w:rPr>
        <w:t>...Naremco Medimatic</w:t>
      </w:r>
    </w:p>
    <w:p w14:paraId="363A86B8">
      <w:pPr>
        <w:pStyle w:val="9"/>
        <w:ind w:firstLine="360" w:firstLineChars="1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374 F. Supp. 922 (W. D. Mo., 1974) KKW 69-74 at 168*</w:t>
      </w:r>
      <w:r>
        <w:rPr>
          <w:rFonts w:ascii="Arial" w:hAnsi="Arial" w:eastAsia="宋体" w:cs="Arial"/>
          <w:sz w:val="24"/>
          <w:szCs w:val="24"/>
        </w:rPr>
        <w:br w:type="page"/>
      </w:r>
    </w:p>
    <w:p w14:paraId="1172B29E">
      <w:pPr>
        <w:overflowPunct w:val="0"/>
        <w:snapToGrid w:val="0"/>
        <w:spacing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政策：</w:t>
      </w:r>
    </w:p>
    <w:p w14:paraId="203111E7">
      <w:pPr>
        <w:overflowPunct w:val="0"/>
        <w:snapToGrid w:val="0"/>
        <w:spacing w:before="10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1C7DDE28">
      <w:pPr>
        <w:pStyle w:val="2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不管现有数量多少，即使成品还未进入州际贸易，食品药品监督管理局拥有州际成分制成产品的管辖权。当遇到违规成品或生产状况导致非违规州际成分掺假或误用品牌时，可能会对产品和责任公司采取措施。在决定是否要采取措施时，将会考虑产品中成分的重要性、含量以及违规严重性。</w:t>
      </w:r>
    </w:p>
    <w:p w14:paraId="5F297037">
      <w:pPr>
        <w:pStyle w:val="2"/>
        <w:overflowPunct w:val="0"/>
        <w:snapToGrid w:val="0"/>
        <w:spacing w:before="6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星号间的材料为新型或</w:t>
      </w:r>
      <w:r>
        <w:rPr>
          <w:rFonts w:hint="eastAsia" w:cs="Arial"/>
          <w:sz w:val="24"/>
          <w:szCs w:val="24"/>
        </w:rPr>
        <w:t>修改材料</w:t>
      </w:r>
      <w:r>
        <w:rPr>
          <w:rFonts w:cs="Arial"/>
          <w:sz w:val="24"/>
          <w:szCs w:val="24"/>
        </w:rPr>
        <w:t>*</w:t>
      </w:r>
    </w:p>
    <w:p w14:paraId="2D1DA33B">
      <w:pPr>
        <w:pStyle w:val="2"/>
        <w:overflowPunct w:val="0"/>
        <w:snapToGrid w:val="0"/>
        <w:spacing w:before="6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发布：1978年11月10日</w:t>
      </w:r>
    </w:p>
    <w:p w14:paraId="3AD4E9CA">
      <w:pPr>
        <w:pStyle w:val="2"/>
        <w:overflowPunct w:val="0"/>
        <w:snapToGrid w:val="0"/>
        <w:spacing w:before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修订：1980年10月1日，1989年8月31日</w:t>
      </w:r>
    </w:p>
    <w:p w14:paraId="71C705E6">
      <w:pPr>
        <w:overflowPunct w:val="0"/>
        <w:snapToGrid w:val="0"/>
        <w:spacing w:line="300" w:lineRule="auto"/>
        <w:jc w:val="both"/>
        <w:rPr>
          <w:rFonts w:ascii="Arial" w:hAnsi="Arial" w:eastAsia="宋体" w:cs="Arial"/>
          <w:sz w:val="24"/>
          <w:szCs w:val="24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2"/>
      </w:tblGrid>
      <w:tr w14:paraId="36F8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14:paraId="271A1320">
            <w:pPr>
              <w:snapToGrid w:val="0"/>
              <w:spacing w:before="72" w:beforeLines="30" w:after="72" w:afterLines="30" w:line="276" w:lineRule="auto"/>
              <w:ind w:left="66" w:leftChars="30" w:right="66" w:rightChars="30"/>
              <w:rPr>
                <w:rFonts w:ascii="Arial" w:eastAsia="宋体"/>
                <w:b/>
                <w:sz w:val="21"/>
                <w:szCs w:val="21"/>
                <w:u w:val="single" w:color="000000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"https://www.fda.gov/ICECI/ComplianceManuals/CompliancePolicyGuidanceManual/default.htm"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 w:ascii="Arial" w:eastAsia="宋体"/>
                <w:b/>
                <w:sz w:val="21"/>
                <w:szCs w:val="21"/>
                <w:u w:val="single" w:color="000000"/>
              </w:rPr>
              <w:t xml:space="preserve">合规政策指南的更多信息 </w:t>
            </w:r>
          </w:p>
          <w:p w14:paraId="3DFECB49">
            <w:pPr>
              <w:snapToGrid w:val="0"/>
              <w:spacing w:before="72" w:beforeLines="30" w:after="72" w:afterLines="30" w:line="276" w:lineRule="auto"/>
              <w:ind w:left="66" w:leftChars="30" w:right="66" w:rightChars="30"/>
              <w:rPr>
                <w:rFonts w:ascii="Arial" w:hAnsi="Arial" w:eastAsia="宋体" w:cs="Arial"/>
                <w:sz w:val="21"/>
                <w:szCs w:val="21"/>
              </w:rPr>
            </w:pPr>
            <w:r>
              <w:rPr>
                <w:rFonts w:hint="eastAsia" w:ascii="Arial" w:eastAsia="宋体"/>
                <w:b/>
                <w:sz w:val="21"/>
                <w:szCs w:val="21"/>
                <w:u w:val="single" w:color="000000"/>
              </w:rPr>
              <w:t>(/ICECI/Compliance Manuals/Compliance PolicyGuidance Manual/default.htm)</w:t>
            </w:r>
            <w:r>
              <w:rPr>
                <w:rFonts w:ascii="Arial" w:eastAsia="宋体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40BA8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03D9C8FD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</w:rPr>
              <w:t>前言：合规政策指南 （CPG）</w: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begin"/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instrText xml:space="preserve"> HYPERLINK "https://www.fda.gov/ICECI/ComplianceManuals/CompliancePolicyGuidanceManual/ucm116271.htm" \h </w:instrTex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separate"/>
            </w:r>
          </w:p>
          <w:p w14:paraId="24DDCEF3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（/ICECI/Compliance Manuals/Compliance PolicyGuidance Manual/ucm116271.htm）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18C8E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47EA2447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</w:rPr>
              <w:t xml:space="preserve">第1章 – 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</w:rPr>
              <w:t>通则</w: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begin"/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instrText xml:space="preserve"> HYPERLINK "https://www.fda.gov/ICECI/ComplianceManuals/CompliancePolicyGuidanceManual/ucm116280.htm" \h </w:instrTex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separate"/>
            </w:r>
          </w:p>
          <w:p w14:paraId="517FC022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（/ICECI/Compliance Manuals/Compliance PolicyGuidance Manual/ucm116280.htm）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36ED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75DC1473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</w:rPr>
              <w:t>第2章 - 生物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</w:rPr>
              <w:t>制剂</w: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begin"/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instrText xml:space="preserve"> HYPERLINK "https://www.fda.gov/ICECI/ComplianceManuals/CompliancePolicyGuidanceManual/ucm116336.htm" \h </w:instrTex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 xml:space="preserve"> </w:t>
            </w:r>
          </w:p>
          <w:p w14:paraId="6E5632C4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（/ICECI/Compliance Manuals/Compliance PolicyGuidance Manual/ucm116336.htm）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20054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1801EE6B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begin"/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instrText xml:space="preserve"> HYPERLINK "https://www.fda.gov/ICECI/ComplianceManuals/CompliancePolicyGuidanceManual/ucm116801.htm" \h </w:instrTex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第3章 - 器械</w:t>
            </w:r>
          </w:p>
          <w:p w14:paraId="25012F68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（/ICECI/Compliance Manuals/Compliance PolicyGuidance Manual/ucm116801.htm）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63A86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2BF2F5BB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</w:rPr>
              <w:t>第4章 - 人用药品</w: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begin"/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instrText xml:space="preserve"> HYPERLINK "https://www.fda.gov/ICECI/ComplianceManuals/CompliancePolicyGuidanceManual/ucm119572.htm" \h </w:instrTex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separate"/>
            </w:r>
          </w:p>
          <w:p w14:paraId="5CF99716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（/ICECI/Compliance Manuals/Compliance PolicyGuidance Manual/ucm119572.htm）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78BC2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68A5A976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</w:rPr>
              <w:t>第5章 - 食品、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</w:rPr>
              <w:t>颜料</w: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t>和化妆品</w: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begin"/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instrText xml:space="preserve"> HYPERLINK "https://www.fda.gov/ICECI/ComplianceManuals/CompliancePolicyGuidanceManual/ucm119194.htm" \h </w:instrText>
            </w:r>
            <w:r>
              <w:rPr>
                <w:rFonts w:ascii="Arial" w:hAnsi="Arial" w:eastAsia="宋体" w:cs="Arial"/>
                <w:b/>
                <w:sz w:val="21"/>
                <w:szCs w:val="21"/>
              </w:rPr>
              <w:fldChar w:fldCharType="separate"/>
            </w:r>
          </w:p>
          <w:p w14:paraId="093029C6">
            <w:pPr>
              <w:pStyle w:val="10"/>
              <w:overflowPunct w:val="0"/>
              <w:snapToGrid w:val="0"/>
              <w:spacing w:before="72" w:beforeLines="30" w:after="72" w:afterLines="30" w:line="276" w:lineRule="auto"/>
              <w:ind w:left="66" w:leftChars="30" w:right="66" w:rightChars="30"/>
              <w:jc w:val="both"/>
              <w:rPr>
                <w:rFonts w:ascii="Arial" w:hAnsi="Arial" w:eastAsia="宋体" w:cs="Arial"/>
                <w:b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（/ICECI/Compliance Manuals/Compliance PolicyGuidance Manual/ucm119194.htm）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66BBD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38051D8">
            <w:pPr>
              <w:snapToGrid w:val="0"/>
              <w:spacing w:before="72" w:beforeLines="30" w:after="72" w:afterLines="30" w:line="276" w:lineRule="auto"/>
              <w:ind w:left="66" w:leftChars="30" w:right="66" w:rightChars="30"/>
              <w:rPr>
                <w:rFonts w:ascii="Arial" w:eastAsia="宋体"/>
                <w:b/>
                <w:sz w:val="21"/>
                <w:szCs w:val="21"/>
                <w:u w:val="single" w:color="000000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第6章 </w:t>
            </w:r>
            <w:r>
              <w:rPr>
                <w:b/>
                <w:sz w:val="21"/>
                <w:szCs w:val="21"/>
              </w:rPr>
              <w:t>–</w:t>
            </w:r>
            <w:r>
              <w:rPr>
                <w:rFonts w:hint="eastAsia"/>
                <w:b/>
                <w:sz w:val="21"/>
                <w:szCs w:val="21"/>
              </w:rPr>
              <w:t xml:space="preserve"> 兽医医学</w:t>
            </w:r>
            <w:r>
              <w:rPr>
                <w:b/>
                <w:sz w:val="21"/>
                <w:szCs w:val="21"/>
              </w:rPr>
              <w:fldChar w:fldCharType="begin"/>
            </w:r>
            <w:r>
              <w:rPr>
                <w:b/>
                <w:sz w:val="21"/>
                <w:szCs w:val="21"/>
              </w:rPr>
              <w:instrText xml:space="preserve"> HYPERLINK "https://www.fda.gov/ICECI/ComplianceManuals/CompliancePolicyGuidanceManual/ucm117042.htm" \h </w:instrText>
            </w:r>
            <w:r>
              <w:rPr>
                <w:b/>
                <w:sz w:val="21"/>
                <w:szCs w:val="21"/>
              </w:rPr>
              <w:fldChar w:fldCharType="separate"/>
            </w:r>
          </w:p>
          <w:p w14:paraId="6CA435A0">
            <w:pPr>
              <w:snapToGrid w:val="0"/>
              <w:spacing w:before="72" w:beforeLines="30" w:after="72" w:afterLines="30" w:line="276" w:lineRule="auto"/>
              <w:ind w:left="66" w:leftChars="30" w:right="66" w:rightChars="30"/>
              <w:rPr>
                <w:rFonts w:ascii="Arial" w:hAnsi="Arial" w:eastAsia="宋体" w:cs="Arial"/>
                <w:b/>
                <w:sz w:val="21"/>
                <w:szCs w:val="21"/>
              </w:rPr>
            </w:pPr>
            <w:r>
              <w:rPr>
                <w:rFonts w:hint="eastAsia" w:ascii="Arial" w:eastAsia="宋体"/>
                <w:b/>
                <w:sz w:val="21"/>
                <w:szCs w:val="21"/>
                <w:u w:val="single" w:color="000000"/>
              </w:rPr>
              <w:t>（/ICECI/Compliance Manuals/Compliance PolicyGuidance Manual/ucm117042.htm）</w:t>
            </w:r>
            <w:r>
              <w:rPr>
                <w:rFonts w:ascii="Arial" w:eastAsia="宋体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</w:tbl>
    <w:p w14:paraId="71E0162F">
      <w:pPr>
        <w:overflowPunct w:val="0"/>
        <w:snapToGrid w:val="0"/>
        <w:spacing w:line="300" w:lineRule="auto"/>
        <w:jc w:val="both"/>
        <w:rPr>
          <w:rFonts w:ascii="Arial" w:hAnsi="Arial" w:eastAsia="宋体" w:cs="Arial"/>
        </w:rPr>
      </w:pPr>
    </w:p>
    <w:p w14:paraId="5B05441A">
      <w:pPr>
        <w:overflowPunct w:val="0"/>
        <w:snapToGrid w:val="0"/>
        <w:spacing w:line="300" w:lineRule="auto"/>
        <w:jc w:val="both"/>
        <w:rPr>
          <w:rFonts w:hint="eastAsia" w:eastAsia="宋体"/>
          <w:lang w:eastAsia="zh-CN"/>
        </w:rPr>
      </w:pPr>
    </w:p>
    <w:p w14:paraId="5171EEF3">
      <w:pPr>
        <w:overflowPunct w:val="0"/>
        <w:snapToGrid w:val="0"/>
        <w:spacing w:line="300" w:lineRule="auto"/>
        <w:jc w:val="center"/>
        <w:rPr>
          <w:rFonts w:hint="eastAsia" w:eastAsia="宋体"/>
          <w:lang w:eastAsia="zh-CN"/>
        </w:rPr>
      </w:pPr>
    </w:p>
    <w:p w14:paraId="3F405D1D">
      <w:pPr>
        <w:overflowPunct w:val="0"/>
        <w:snapToGrid w:val="0"/>
        <w:spacing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1134" w:right="1134" w:bottom="1134" w:left="1134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55D67">
    <w:pPr>
      <w:tabs>
        <w:tab w:val="right" w:pos="9639"/>
      </w:tabs>
      <w:spacing w:line="184" w:lineRule="exact"/>
      <w:ind w:left="40"/>
      <w:rPr>
        <w:rFonts w:ascii="Arial" w:hAnsi="Arial" w:eastAsia="宋体" w:cs="Arial"/>
        <w:sz w:val="18"/>
        <w:szCs w:val="18"/>
      </w:rPr>
    </w:pPr>
    <w:r>
      <w:rPr>
        <w:rFonts w:ascii="Arial" w:hAnsi="Arial" w:eastAsia="宋体" w:cs="Arial"/>
        <w:sz w:val="18"/>
        <w:szCs w:val="18"/>
      </w:rPr>
      <w:t>https://</w:t>
    </w:r>
    <w:r>
      <w:fldChar w:fldCharType="begin"/>
    </w:r>
    <w:r>
      <w:instrText xml:space="preserve"> HYPERLINK "http://www.fda.gov/ICECI/ComplianceManuals/CompliancePolicyGuidanceManual/ucm073820.htm" \h </w:instrText>
    </w:r>
    <w:r>
      <w:fldChar w:fldCharType="separate"/>
    </w:r>
    <w:r>
      <w:rPr>
        <w:rFonts w:ascii="Arial" w:hAnsi="Arial" w:eastAsia="宋体" w:cs="Arial"/>
        <w:sz w:val="18"/>
        <w:szCs w:val="18"/>
      </w:rPr>
      <w:t>www.fda.gov/ICECI/ComplianceManuals/CompliancePolicyGuidanceManual/ucm073820.htm</w:t>
    </w:r>
    <w:r>
      <w:rPr>
        <w:rFonts w:ascii="Arial" w:hAnsi="Arial" w:eastAsia="宋体" w:cs="Arial"/>
        <w:sz w:val="18"/>
        <w:szCs w:val="18"/>
      </w:rPr>
      <w:fldChar w:fldCharType="end"/>
    </w:r>
    <w:r>
      <w:rPr>
        <w:rFonts w:ascii="Arial" w:hAnsi="Arial" w:eastAsia="宋体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eastAsia="宋体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eastAsia="宋体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eastAsia="宋体" w:cs="Arial"/>
        <w:sz w:val="18"/>
        <w:szCs w:val="18"/>
      </w:rPr>
      <w:t>/2</w:t>
    </w:r>
  </w:p>
  <w:p w14:paraId="4EC67C80">
    <w:pPr>
      <w:spacing w:line="14" w:lineRule="auto"/>
      <w:rPr>
        <w:rFonts w:ascii="Arial" w:hAnsi="Arial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C9493">
    <w:pPr>
      <w:tabs>
        <w:tab w:val="left" w:pos="2268"/>
      </w:tabs>
      <w:spacing w:line="184" w:lineRule="exact"/>
      <w:ind w:left="20"/>
      <w:rPr>
        <w:rFonts w:ascii="Arial" w:hAnsi="Arial" w:eastAsia="宋体" w:cs="Arial"/>
        <w:sz w:val="18"/>
        <w:szCs w:val="18"/>
      </w:rPr>
    </w:pPr>
    <w:r>
      <w:rPr>
        <w:rFonts w:ascii="Arial" w:hAnsi="Arial" w:eastAsia="宋体" w:cs="Arial"/>
        <w:sz w:val="18"/>
        <w:szCs w:val="18"/>
      </w:rPr>
      <w:t>2017年8月10日</w:t>
    </w:r>
    <w:r>
      <w:rPr>
        <w:rFonts w:ascii="Arial" w:hAnsi="Arial" w:eastAsia="宋体" w:cs="Arial"/>
        <w:sz w:val="18"/>
        <w:szCs w:val="18"/>
      </w:rPr>
      <w:tab/>
    </w:r>
    <w:r>
      <w:rPr>
        <w:rFonts w:hint="eastAsia" w:ascii="Arial" w:hAnsi="Arial" w:eastAsia="宋体" w:cs="Arial"/>
        <w:sz w:val="18"/>
        <w:szCs w:val="18"/>
      </w:rPr>
      <w:t>合规</w:t>
    </w:r>
    <w:r>
      <w:rPr>
        <w:rFonts w:ascii="Arial" w:hAnsi="Arial" w:eastAsia="宋体" w:cs="Arial"/>
        <w:sz w:val="18"/>
        <w:szCs w:val="18"/>
      </w:rPr>
      <w:t>政策</w:t>
    </w:r>
    <w:r>
      <w:rPr>
        <w:rFonts w:hint="eastAsia" w:ascii="Arial" w:hAnsi="Arial" w:eastAsia="宋体" w:cs="Arial"/>
        <w:sz w:val="18"/>
        <w:szCs w:val="18"/>
      </w:rPr>
      <w:t>指南</w:t>
    </w:r>
    <w:r>
      <w:rPr>
        <w:rFonts w:ascii="Arial" w:hAnsi="Arial" w:eastAsia="宋体" w:cs="Arial"/>
        <w:sz w:val="18"/>
        <w:szCs w:val="18"/>
      </w:rPr>
      <w:t xml:space="preserve">&gt; CPG </w:t>
    </w:r>
    <w:r>
      <w:rPr>
        <w:rFonts w:hint="eastAsia" w:ascii="Arial" w:hAnsi="Arial" w:eastAsia="宋体" w:cs="Arial"/>
        <w:sz w:val="18"/>
        <w:szCs w:val="18"/>
      </w:rPr>
      <w:t>章节</w:t>
    </w:r>
    <w:r>
      <w:rPr>
        <w:rFonts w:ascii="Arial" w:hAnsi="Arial" w:eastAsia="宋体" w:cs="Arial"/>
        <w:sz w:val="18"/>
        <w:szCs w:val="18"/>
      </w:rPr>
      <w:t xml:space="preserve">100.200州际成分组成产品的FDA管辖权 </w:t>
    </w:r>
  </w:p>
  <w:p w14:paraId="4B43F2A3">
    <w:pPr>
      <w:spacing w:line="184" w:lineRule="exact"/>
      <w:ind w:left="20"/>
      <w:rPr>
        <w:rFonts w:ascii="Arial" w:hAnsi="Arial" w:eastAsia="宋体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9671C"/>
    <w:multiLevelType w:val="multilevel"/>
    <w:tmpl w:val="4269671C"/>
    <w:lvl w:ilvl="0" w:tentative="0">
      <w:start w:val="1"/>
      <w:numFmt w:val="decimal"/>
      <w:lvlText w:val="%1."/>
      <w:lvlJc w:val="left"/>
      <w:pPr>
        <w:ind w:left="612" w:hanging="353"/>
      </w:pPr>
      <w:rPr>
        <w:rFonts w:hint="default" w:ascii="Arial" w:hAnsi="Arial" w:eastAsia="Arial"/>
        <w:spacing w:val="1"/>
        <w:w w:val="102"/>
        <w:sz w:val="25"/>
        <w:szCs w:val="25"/>
      </w:rPr>
    </w:lvl>
    <w:lvl w:ilvl="1" w:tentative="0">
      <w:start w:val="1"/>
      <w:numFmt w:val="bullet"/>
      <w:lvlText w:val="•"/>
      <w:lvlJc w:val="left"/>
      <w:pPr>
        <w:ind w:left="1661" w:hanging="353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709" w:hanging="353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758" w:hanging="353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807" w:hanging="353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856" w:hanging="353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904" w:hanging="353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953" w:hanging="353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900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54"/>
    <w:rsid w:val="00034FD0"/>
    <w:rsid w:val="00052938"/>
    <w:rsid w:val="00056248"/>
    <w:rsid w:val="000D47B4"/>
    <w:rsid w:val="000E7835"/>
    <w:rsid w:val="00111F9D"/>
    <w:rsid w:val="00132199"/>
    <w:rsid w:val="001427E9"/>
    <w:rsid w:val="001A4E15"/>
    <w:rsid w:val="001B3085"/>
    <w:rsid w:val="001E0B99"/>
    <w:rsid w:val="00217B43"/>
    <w:rsid w:val="00242CF9"/>
    <w:rsid w:val="002B20AE"/>
    <w:rsid w:val="002B5428"/>
    <w:rsid w:val="002C79A8"/>
    <w:rsid w:val="003154AE"/>
    <w:rsid w:val="00317A7B"/>
    <w:rsid w:val="003E180C"/>
    <w:rsid w:val="003E3FFE"/>
    <w:rsid w:val="0041663E"/>
    <w:rsid w:val="0042776E"/>
    <w:rsid w:val="00451DF7"/>
    <w:rsid w:val="0048375F"/>
    <w:rsid w:val="004A2553"/>
    <w:rsid w:val="004A3287"/>
    <w:rsid w:val="004B523D"/>
    <w:rsid w:val="004C40E4"/>
    <w:rsid w:val="00512977"/>
    <w:rsid w:val="00563596"/>
    <w:rsid w:val="00611477"/>
    <w:rsid w:val="006540C9"/>
    <w:rsid w:val="00705C09"/>
    <w:rsid w:val="00741E67"/>
    <w:rsid w:val="007763B9"/>
    <w:rsid w:val="007A0149"/>
    <w:rsid w:val="007F0CED"/>
    <w:rsid w:val="007F19F3"/>
    <w:rsid w:val="008227F0"/>
    <w:rsid w:val="0082785B"/>
    <w:rsid w:val="00873695"/>
    <w:rsid w:val="008817EC"/>
    <w:rsid w:val="00890FAF"/>
    <w:rsid w:val="008F65F1"/>
    <w:rsid w:val="008F695E"/>
    <w:rsid w:val="00942742"/>
    <w:rsid w:val="00947A1D"/>
    <w:rsid w:val="0097654B"/>
    <w:rsid w:val="009A6F4C"/>
    <w:rsid w:val="009B6B68"/>
    <w:rsid w:val="00A10D4D"/>
    <w:rsid w:val="00A3157A"/>
    <w:rsid w:val="00A5051C"/>
    <w:rsid w:val="00B57ED2"/>
    <w:rsid w:val="00B65575"/>
    <w:rsid w:val="00C00100"/>
    <w:rsid w:val="00C35FD3"/>
    <w:rsid w:val="00C434A1"/>
    <w:rsid w:val="00C8392A"/>
    <w:rsid w:val="00CC4C01"/>
    <w:rsid w:val="00CF0154"/>
    <w:rsid w:val="00F57CEC"/>
    <w:rsid w:val="00F63DEB"/>
    <w:rsid w:val="00FB458C"/>
    <w:rsid w:val="00FD4A72"/>
    <w:rsid w:val="589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2"/>
      <w:ind w:left="612"/>
    </w:pPr>
    <w:rPr>
      <w:rFonts w:ascii="Arial" w:hAnsi="Arial" w:eastAsia="宋体"/>
      <w:sz w:val="25"/>
      <w:szCs w:val="25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712</Words>
  <Characters>1607</Characters>
  <Lines>19</Lines>
  <Paragraphs>5</Paragraphs>
  <TotalTime>1</TotalTime>
  <ScaleCrop>false</ScaleCrop>
  <LinksUpToDate>false</LinksUpToDate>
  <CharactersWithSpaces>1746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2017-10-23T08:09:00Z</dcterms:created>
  <dc:creator>cathy-wen</dc:creator>
  <cp:lastModifiedBy>太极箫客</cp:lastModifiedBy>
  <dcterms:modified xsi:type="dcterms:W3CDTF">2025-08-14T06:15:58Z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2BCC11CD45F64FE8A109567E7CD8D205_12</vt:lpwstr>
  </property>
</Properties>
</file>