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4A434">
      <w:pPr>
        <w:tabs>
          <w:tab w:val="left" w:pos="709"/>
        </w:tabs>
        <w:spacing w:line="360" w:lineRule="auto"/>
        <w:jc w:val="center"/>
        <w:rPr>
          <w:rFonts w:ascii="宋体" w:hAnsi="宋体"/>
          <w:b/>
          <w:bCs/>
          <w:sz w:val="22"/>
          <w:szCs w:val="22"/>
        </w:rPr>
      </w:pPr>
      <w:bookmarkStart w:id="0" w:name="_Hlk489617946"/>
      <w:bookmarkStart w:id="4" w:name="_GoBack"/>
      <w:bookmarkEnd w:id="4"/>
      <w:r>
        <w:rPr>
          <w:rFonts w:ascii="宋体" w:hAnsi="宋体"/>
          <w:b/>
          <w:bCs/>
          <w:sz w:val="22"/>
          <w:szCs w:val="22"/>
        </w:rPr>
        <w:t>更改历史</w:t>
      </w:r>
      <w:bookmarkEnd w:id="0"/>
    </w:p>
    <w:tbl>
      <w:tblPr>
        <w:tblStyle w:val="9"/>
        <w:tblW w:w="10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75"/>
        <w:gridCol w:w="3183"/>
        <w:gridCol w:w="1672"/>
        <w:gridCol w:w="2590"/>
      </w:tblGrid>
      <w:tr w14:paraId="5F22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7" w:type="dxa"/>
            <w:shd w:val="clear" w:color="auto" w:fill="auto"/>
          </w:tcPr>
          <w:p w14:paraId="18B111AB">
            <w:pPr>
              <w:spacing w:line="360" w:lineRule="auto"/>
              <w:rPr>
                <w:rFonts w:ascii="宋体" w:hAnsi="宋体"/>
                <w:szCs w:val="22"/>
              </w:rPr>
            </w:pPr>
            <w:bookmarkStart w:id="1" w:name="_Hlk489617917"/>
            <w:r>
              <w:rPr>
                <w:rFonts w:ascii="宋体" w:hAnsi="宋体"/>
                <w:b/>
                <w:sz w:val="22"/>
                <w:szCs w:val="22"/>
              </w:rPr>
              <w:t>版本号</w:t>
            </w:r>
          </w:p>
        </w:tc>
        <w:tc>
          <w:tcPr>
            <w:tcW w:w="1575" w:type="dxa"/>
            <w:shd w:val="clear" w:color="auto" w:fill="auto"/>
          </w:tcPr>
          <w:p w14:paraId="2B9C5D96"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文件更改号</w:t>
            </w:r>
          </w:p>
        </w:tc>
        <w:tc>
          <w:tcPr>
            <w:tcW w:w="3183" w:type="dxa"/>
            <w:shd w:val="clear" w:color="auto" w:fill="auto"/>
          </w:tcPr>
          <w:p w14:paraId="405C0DC4"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更改概要</w:t>
            </w:r>
          </w:p>
        </w:tc>
        <w:tc>
          <w:tcPr>
            <w:tcW w:w="1672" w:type="dxa"/>
          </w:tcPr>
          <w:p w14:paraId="568D7080">
            <w:pPr>
              <w:spacing w:line="360" w:lineRule="auto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修改人</w:t>
            </w:r>
          </w:p>
        </w:tc>
        <w:tc>
          <w:tcPr>
            <w:tcW w:w="2590" w:type="dxa"/>
          </w:tcPr>
          <w:p w14:paraId="628D711D">
            <w:pPr>
              <w:spacing w:line="360" w:lineRule="auto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批准人</w:t>
            </w:r>
          </w:p>
        </w:tc>
      </w:tr>
      <w:tr w14:paraId="1D3F9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77" w:type="dxa"/>
            <w:shd w:val="clear" w:color="auto" w:fill="auto"/>
          </w:tcPr>
          <w:p w14:paraId="69DCC23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01</w:t>
            </w:r>
          </w:p>
        </w:tc>
        <w:tc>
          <w:tcPr>
            <w:tcW w:w="1575" w:type="dxa"/>
            <w:shd w:val="clear" w:color="auto" w:fill="auto"/>
          </w:tcPr>
          <w:p w14:paraId="4AD5989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首发行</w:t>
            </w:r>
          </w:p>
        </w:tc>
        <w:tc>
          <w:tcPr>
            <w:tcW w:w="3183" w:type="dxa"/>
            <w:shd w:val="clear" w:color="auto" w:fill="auto"/>
          </w:tcPr>
          <w:p w14:paraId="2BC6869B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/</w:t>
            </w:r>
          </w:p>
        </w:tc>
        <w:tc>
          <w:tcPr>
            <w:tcW w:w="1672" w:type="dxa"/>
          </w:tcPr>
          <w:p w14:paraId="70EEA21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/</w:t>
            </w:r>
          </w:p>
        </w:tc>
        <w:tc>
          <w:tcPr>
            <w:tcW w:w="2590" w:type="dxa"/>
          </w:tcPr>
          <w:p w14:paraId="513943D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/</w:t>
            </w:r>
          </w:p>
        </w:tc>
      </w:tr>
      <w:tr w14:paraId="442A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  <w:vAlign w:val="center"/>
          </w:tcPr>
          <w:p w14:paraId="1850098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93641B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13D651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2" w:type="dxa"/>
            <w:vAlign w:val="center"/>
          </w:tcPr>
          <w:p w14:paraId="59E4A7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0" w:type="dxa"/>
            <w:vAlign w:val="center"/>
          </w:tcPr>
          <w:p w14:paraId="6156D6A0">
            <w:pPr>
              <w:jc w:val="center"/>
              <w:rPr>
                <w:rFonts w:ascii="宋体" w:hAnsi="宋体"/>
              </w:rPr>
            </w:pPr>
          </w:p>
        </w:tc>
      </w:tr>
      <w:tr w14:paraId="6055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3A7ED214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68BF33FB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5A644678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</w:tcPr>
          <w:p w14:paraId="2F889AFA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</w:tcPr>
          <w:p w14:paraId="1645E87C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1BC9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6814D3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AD86B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A4D47D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E867A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233A1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3417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1CFBE2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40A038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5384AA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97404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03938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67B6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956F57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E5A95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B21FCA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D6164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90B43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1F3DE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60E0C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48075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EEADC5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7A2C5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65A36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09A3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4AE61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A6174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1DE589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35CF3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2390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09D3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26B4B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6E161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22A94C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DEF99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B93E3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3209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9AFA7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6EA15B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2A581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E3BB7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4D0D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18C3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B4786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D17FB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E98CAF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B65ED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81C16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1D7E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B4A371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16C6E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5B36A9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EAB78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EEC9C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44D1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89A2D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CBD81E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85DF1C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BB85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23FF4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6886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445EA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623B06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7FC26E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D31F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22C8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3A41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7B5B2A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9D1C5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5446BA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7A12A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CED3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23FE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8498B6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6577AB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018174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48A7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2A8BC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351B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B651BC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1B9564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03CAB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88238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4734E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3367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911B8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8A471D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70B1CD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5E51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73B7C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5CC7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4DB72B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64050E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B621EE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A5CA9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EAC7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1BA8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9B0AFA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3533F4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DA979B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014EF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4EA59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2D35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25558A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101ED5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E51D5C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35568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46C3D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60BF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36FC46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A04A81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CC236A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32297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1EB4C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3677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BDBE2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发放范围</w:t>
            </w:r>
          </w:p>
        </w:tc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69CD6">
            <w:pPr>
              <w:ind w:firstLine="1050" w:firstLineChars="500"/>
              <w:jc w:val="left"/>
              <w:rPr>
                <w:rFonts w:ascii="宋体" w:hAnsi="宋体"/>
                <w:szCs w:val="22"/>
              </w:rPr>
            </w:pPr>
          </w:p>
        </w:tc>
      </w:tr>
      <w:bookmarkEnd w:id="1"/>
    </w:tbl>
    <w:p w14:paraId="19C3B5E2">
      <w:pPr>
        <w:spacing w:line="360" w:lineRule="auto"/>
        <w:rPr>
          <w:rFonts w:ascii="宋体" w:hAnsi="宋体"/>
          <w:b/>
          <w:sz w:val="22"/>
          <w:szCs w:val="22"/>
        </w:rPr>
      </w:pPr>
    </w:p>
    <w:p w14:paraId="0634CF2F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2"/>
          <w:szCs w:val="22"/>
        </w:rPr>
      </w:pPr>
      <w:bookmarkStart w:id="2" w:name="_Hlk489618160"/>
      <w:r>
        <w:rPr>
          <w:rFonts w:ascii="宋体" w:hAnsi="宋体"/>
          <w:b/>
          <w:bCs/>
          <w:sz w:val="22"/>
          <w:szCs w:val="22"/>
        </w:rPr>
        <w:t>目的</w:t>
      </w:r>
    </w:p>
    <w:bookmarkEnd w:id="2"/>
    <w:p w14:paraId="735D8301">
      <w:pPr>
        <w:tabs>
          <w:tab w:val="left" w:pos="709"/>
        </w:tabs>
        <w:spacing w:line="360" w:lineRule="auto"/>
        <w:ind w:left="709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根据医疗器械生产质量管理规范的要求，特开展并进一步规范对各部门负责人达到规定的要求。</w:t>
      </w:r>
    </w:p>
    <w:p w14:paraId="001AC837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2"/>
          <w:szCs w:val="22"/>
        </w:rPr>
      </w:pPr>
      <w:r>
        <w:rPr>
          <w:rFonts w:ascii="宋体" w:hAnsi="宋体"/>
          <w:b/>
          <w:bCs/>
          <w:sz w:val="22"/>
          <w:szCs w:val="22"/>
        </w:rPr>
        <w:t>范围</w:t>
      </w:r>
    </w:p>
    <w:p w14:paraId="1178B04B">
      <w:pPr>
        <w:tabs>
          <w:tab w:val="left" w:pos="709"/>
        </w:tabs>
        <w:spacing w:line="360" w:lineRule="auto"/>
        <w:ind w:left="709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适用于对本公司各部门负责人年度的考核、评价与再评价。</w:t>
      </w:r>
    </w:p>
    <w:p w14:paraId="68D8D4A2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2"/>
          <w:szCs w:val="22"/>
        </w:rPr>
      </w:pPr>
      <w:r>
        <w:rPr>
          <w:rFonts w:ascii="宋体" w:hAnsi="宋体"/>
          <w:b/>
          <w:bCs/>
          <w:sz w:val="22"/>
          <w:szCs w:val="22"/>
        </w:rPr>
        <w:t>职责</w:t>
      </w:r>
    </w:p>
    <w:p w14:paraId="265900C9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行政人事部负责《部门负责人考核、评价与再评价</w:t>
      </w:r>
      <w:r>
        <w:rPr>
          <w:rFonts w:hint="eastAsia" w:ascii="宋体" w:hAnsi="宋体" w:eastAsiaTheme="minorEastAsia"/>
          <w:sz w:val="22"/>
          <w:szCs w:val="22"/>
        </w:rPr>
        <w:t>规定</w:t>
      </w:r>
      <w:r>
        <w:rPr>
          <w:rFonts w:hint="eastAsia" w:ascii="宋体" w:hAnsi="宋体"/>
          <w:sz w:val="22"/>
          <w:szCs w:val="22"/>
        </w:rPr>
        <w:t>》的编制和修订；</w:t>
      </w:r>
    </w:p>
    <w:p w14:paraId="6134CE86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总经理负责每年组织一次对各部门负责人的考核、评价与再评价；</w:t>
      </w:r>
    </w:p>
    <w:p w14:paraId="3761C670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管理者代表、行政人事部协助总经理开展考核、评价与再评价工作；</w:t>
      </w:r>
    </w:p>
    <w:p w14:paraId="03A92BC4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各部门负责配合做好考核、评价与再评价工作。</w:t>
      </w:r>
    </w:p>
    <w:p w14:paraId="0E2D855D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考核、评价与再评价的参考依据</w:t>
      </w:r>
    </w:p>
    <w:p w14:paraId="5A7938AF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质量手册中规定的各部门职责与权限</w:t>
      </w:r>
    </w:p>
    <w:p w14:paraId="3CA84580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《岗位职责及任职能力要求》；</w:t>
      </w:r>
    </w:p>
    <w:p w14:paraId="59F9ACB5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各部门当年度的质量目标。</w:t>
      </w:r>
    </w:p>
    <w:p w14:paraId="0516BD76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考核、评价与再评价频次</w:t>
      </w:r>
    </w:p>
    <w:p w14:paraId="40A2FE67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年度考核、评价和再评价每年一次，安排在每年的年末或次年年初。</w:t>
      </w:r>
    </w:p>
    <w:p w14:paraId="4FA60C46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考核内容</w:t>
      </w:r>
    </w:p>
    <w:p w14:paraId="19D99EA4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行政负责人</w:t>
      </w:r>
    </w:p>
    <w:p w14:paraId="791DD4EA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本部门工作完成情况</w:t>
      </w:r>
    </w:p>
    <w:p w14:paraId="22858B84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是否按公司需求完成人员招聘计划；</w:t>
      </w:r>
    </w:p>
    <w:p w14:paraId="500E2C01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是否编制培训计划并按计划实施培训；</w:t>
      </w:r>
    </w:p>
    <w:p w14:paraId="3E9C1286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是否组织开展了培训有效性评估；</w:t>
      </w:r>
    </w:p>
    <w:p w14:paraId="47A68FF2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是否按要求组织了岗位能力评价；</w:t>
      </w:r>
    </w:p>
    <w:p w14:paraId="378341FC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是否及时收集了相关法律法规并组织了培训；</w:t>
      </w:r>
    </w:p>
    <w:p w14:paraId="13E07369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纠正/预防措施与改进计划实施情况；</w:t>
      </w:r>
    </w:p>
    <w:p w14:paraId="7DA952C3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是否能很好的完成领导交办的其他工作。</w:t>
      </w:r>
    </w:p>
    <w:p w14:paraId="0DCC5703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沟通情况</w:t>
      </w:r>
    </w:p>
    <w:p w14:paraId="67B8C7C8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与内部和外部的沟通能力</w:t>
      </w:r>
    </w:p>
    <w:p w14:paraId="49F8790A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是否按要求与其他部门进行了必要的沟通，有无因沟通不够而影响了工作；</w:t>
      </w:r>
    </w:p>
    <w:p w14:paraId="79DE57B5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岗位能力、团队精神</w:t>
      </w:r>
    </w:p>
    <w:p w14:paraId="074E9110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与各方面协调能力、人才招聘与管理能力如何</w:t>
      </w:r>
    </w:p>
    <w:p w14:paraId="7AE1D519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能否密切配合其他部门工作</w:t>
      </w:r>
    </w:p>
    <w:p w14:paraId="335A9459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能否带领和团结本部门人员共同搞好工作</w:t>
      </w:r>
    </w:p>
    <w:p w14:paraId="137E176A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 w:eastAsiaTheme="minorEastAsia"/>
          <w:b/>
          <w:sz w:val="22"/>
          <w:szCs w:val="22"/>
        </w:rPr>
        <w:t>技术</w:t>
      </w:r>
      <w:r>
        <w:rPr>
          <w:rFonts w:hint="eastAsia" w:ascii="宋体" w:hAnsi="宋体"/>
          <w:b/>
          <w:sz w:val="22"/>
          <w:szCs w:val="22"/>
        </w:rPr>
        <w:t>负责人</w:t>
      </w:r>
    </w:p>
    <w:p w14:paraId="1063ACA8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产品开发、技术管理工作</w:t>
      </w:r>
    </w:p>
    <w:p w14:paraId="4532704C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本部门工作完成情况</w:t>
      </w:r>
    </w:p>
    <w:p w14:paraId="291F210B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有无按计划进行新产品设计与开发或老产品改进；</w:t>
      </w:r>
    </w:p>
    <w:p w14:paraId="4A8BFFA7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有无按照相关程序文件要求做好特殊过程的确认与再确认；</w:t>
      </w:r>
    </w:p>
    <w:p w14:paraId="450DEEDD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有无及时解决生产过程中出现的技术问题；</w:t>
      </w:r>
    </w:p>
    <w:p w14:paraId="3862ECDB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纠正/预防措施与改进计划实施情况；</w:t>
      </w:r>
    </w:p>
    <w:p w14:paraId="3A10806C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风险管理情况；</w:t>
      </w:r>
    </w:p>
    <w:p w14:paraId="11C2DE79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有无很好完成领导交办的其他工作。</w:t>
      </w:r>
    </w:p>
    <w:p w14:paraId="3666D2DF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沟通情况</w:t>
      </w:r>
    </w:p>
    <w:p w14:paraId="460F4C71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与各部门沟通能力如何；</w:t>
      </w:r>
    </w:p>
    <w:p w14:paraId="2935E869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是否按要求与其他部门进行了必要的沟通，有无因沟通不够而影响了工作；</w:t>
      </w:r>
    </w:p>
    <w:p w14:paraId="05B65AC6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岗位能力、团队精神</w:t>
      </w:r>
    </w:p>
    <w:p w14:paraId="405D13DD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新产品研发能力；</w:t>
      </w:r>
    </w:p>
    <w:p w14:paraId="548E4B9C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发现和处理生产技术问题的能力；</w:t>
      </w:r>
    </w:p>
    <w:p w14:paraId="3A64F949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能否密切配合其他部门工作；</w:t>
      </w:r>
    </w:p>
    <w:p w14:paraId="58F38BF7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能否带领和团结技术部全体人员共同搞好工作。</w:t>
      </w:r>
    </w:p>
    <w:p w14:paraId="630CA5FA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对医疗器械法规的熟悉程度</w:t>
      </w:r>
    </w:p>
    <w:p w14:paraId="4C5FF45D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量化考核指标</w:t>
      </w:r>
    </w:p>
    <w:p w14:paraId="6521C37F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产品开发项目阶段目标完成率。</w:t>
      </w:r>
    </w:p>
    <w:p w14:paraId="0A03A3EB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产品工艺改善达成率。</w:t>
      </w:r>
    </w:p>
    <w:p w14:paraId="134B1783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质量负责人</w:t>
      </w:r>
    </w:p>
    <w:p w14:paraId="26FC99A5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本部门工作完成情况</w:t>
      </w:r>
    </w:p>
    <w:p w14:paraId="0C9E21AD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是否按批完成物料进货检验、过程检验和成品最终检验；</w:t>
      </w:r>
    </w:p>
    <w:p w14:paraId="4F785B1F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是否按要求做好计量器具的管理（包括购置验收、送检、校准）；</w:t>
      </w:r>
    </w:p>
    <w:p w14:paraId="1F484328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是否按相关程序文件要求做好质量记录管理；</w:t>
      </w:r>
    </w:p>
    <w:p w14:paraId="27896C59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是否及时做好不合格品的评审、处置并落实必要的纠正措施；</w:t>
      </w:r>
    </w:p>
    <w:p w14:paraId="67A21EFD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是否及时做好顾客投诉处理与不良事件处理与报告；</w:t>
      </w:r>
    </w:p>
    <w:p w14:paraId="41CF82F9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是否及时做好质量管理体系文件的编制、修订；</w:t>
      </w:r>
    </w:p>
    <w:p w14:paraId="3BB34EB1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有无及时做好产品注册；</w:t>
      </w:r>
    </w:p>
    <w:p w14:paraId="75F9885C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本部门纠正/预防措施与改进计划实施情况；</w:t>
      </w:r>
    </w:p>
    <w:p w14:paraId="36E857BA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有无做好其他部门纠正/预防措施与改进计划实施情况的检查跟踪；</w:t>
      </w:r>
    </w:p>
    <w:p w14:paraId="6BDFF9B4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有无及时准确的完成领导交办的其他工作。</w:t>
      </w:r>
    </w:p>
    <w:p w14:paraId="32162D3A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沟通情况</w:t>
      </w:r>
    </w:p>
    <w:p w14:paraId="55B72549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与各相关部门的沟通能力；</w:t>
      </w:r>
    </w:p>
    <w:p w14:paraId="7E83A553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是否按要求与其他部门进行了必要的沟通，有无因沟通不够影响了工作；</w:t>
      </w:r>
    </w:p>
    <w:p w14:paraId="05B4047B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岗位能力、团队精神</w:t>
      </w:r>
    </w:p>
    <w:p w14:paraId="79186F42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产品质量控制能力；</w:t>
      </w:r>
    </w:p>
    <w:p w14:paraId="216189D8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质量管理检查、内部审核能力；</w:t>
      </w:r>
    </w:p>
    <w:p w14:paraId="4236EFB7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文件编制、修改能力；</w:t>
      </w:r>
    </w:p>
    <w:p w14:paraId="23B34877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能否密切配合其他部门工作；</w:t>
      </w:r>
    </w:p>
    <w:p w14:paraId="7AA37F08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对医疗器械法律、法规的熟悉程度。</w:t>
      </w:r>
    </w:p>
    <w:p w14:paraId="63440BEF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量化考核指标</w:t>
      </w:r>
    </w:p>
    <w:p w14:paraId="05E07317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产品出厂零缺陷；</w:t>
      </w:r>
    </w:p>
    <w:p w14:paraId="58F27417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产品客户投诉；</w:t>
      </w:r>
    </w:p>
    <w:p w14:paraId="0220EA74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产品合格率。</w:t>
      </w:r>
    </w:p>
    <w:p w14:paraId="7337707F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生产负责人</w:t>
      </w:r>
    </w:p>
    <w:p w14:paraId="497EE9BC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本部门工作完成情况</w:t>
      </w:r>
    </w:p>
    <w:p w14:paraId="5DB66904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是否按时按质完成全年各批次生产任务；</w:t>
      </w:r>
    </w:p>
    <w:p w14:paraId="02937A1D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有无发生产品批量性不合格及发生的次数；</w:t>
      </w:r>
    </w:p>
    <w:p w14:paraId="097BAD84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有无发生生产安全事故及发生次数；</w:t>
      </w:r>
    </w:p>
    <w:p w14:paraId="0B21BE7F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本年度工作环境和基础设施检查情况；</w:t>
      </w:r>
    </w:p>
    <w:p w14:paraId="2CFC5E7E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生产现场定置管理、文明卫生；</w:t>
      </w:r>
    </w:p>
    <w:p w14:paraId="12EF9CDA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操作工人培训与员工素质提高情况；</w:t>
      </w:r>
    </w:p>
    <w:p w14:paraId="56F62684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生产设备管理情况；</w:t>
      </w:r>
    </w:p>
    <w:p w14:paraId="54085D76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特殊过程、关键工序控制情况；</w:t>
      </w:r>
    </w:p>
    <w:p w14:paraId="6BA44F8C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纠正/预防措施与改进计划实施情况；</w:t>
      </w:r>
    </w:p>
    <w:p w14:paraId="0F8AB20C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能否及时准确地完成领导交办的其他工作。</w:t>
      </w:r>
    </w:p>
    <w:p w14:paraId="55D470C1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沟通情况</w:t>
      </w:r>
    </w:p>
    <w:p w14:paraId="0B19819F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与供方和内部相关部门的沟通能力；</w:t>
      </w:r>
    </w:p>
    <w:p w14:paraId="5C6998F0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是否按要求与其他部门进行了必要的沟通，有无因沟通不够而影响了工作。</w:t>
      </w:r>
    </w:p>
    <w:p w14:paraId="3BF326A7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岗位能力、团队精神</w:t>
      </w:r>
    </w:p>
    <w:p w14:paraId="4BDD8F05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对生产运作中的实际问题的判断能力与处理能力；</w:t>
      </w:r>
    </w:p>
    <w:p w14:paraId="3015B49A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能否密切配合其他部门工作；</w:t>
      </w:r>
    </w:p>
    <w:p w14:paraId="0A0796E6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能否充分发挥班组长作用，带领生产部全体员工共同搞好工作和完成生产任务；</w:t>
      </w:r>
    </w:p>
    <w:p w14:paraId="0CE06E51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对医疗器械法规的熟悉程度。</w:t>
      </w:r>
    </w:p>
    <w:p w14:paraId="7418A11B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量化考核指标</w:t>
      </w:r>
    </w:p>
    <w:p w14:paraId="52D34BFE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产品成品率；</w:t>
      </w:r>
    </w:p>
    <w:p w14:paraId="00F777C8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306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主要生产设备平均无故障运行时间；</w:t>
      </w:r>
    </w:p>
    <w:p w14:paraId="765CFF7A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考核、评价办法</w:t>
      </w:r>
    </w:p>
    <w:p w14:paraId="21C40743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考核、评价记录：按照本考核办法规定的考核内容编制考核评价表；</w:t>
      </w:r>
    </w:p>
    <w:p w14:paraId="1203B715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考核、评价方法：</w:t>
      </w:r>
    </w:p>
    <w:p w14:paraId="1DAB1BA1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考核小组对其进行综合评价；</w:t>
      </w:r>
    </w:p>
    <w:p w14:paraId="3AC375A3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总经理根据以上评价情况做出考核、评价结论。</w:t>
      </w:r>
    </w:p>
    <w:p w14:paraId="2391AB2D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奖罚措施</w:t>
      </w:r>
    </w:p>
    <w:p w14:paraId="38B1E438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考核与评价结果作为续任、降职、升职或撤销职务的依据之一。</w:t>
      </w:r>
    </w:p>
    <w:p w14:paraId="07E47888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再评价</w:t>
      </w:r>
    </w:p>
    <w:p w14:paraId="73E25054">
      <w:pPr>
        <w:tabs>
          <w:tab w:val="left" w:pos="709"/>
        </w:tabs>
        <w:spacing w:line="360" w:lineRule="auto"/>
        <w:ind w:firstLine="660" w:firstLineChars="300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在出现以下情况时要实施再评价工作：</w:t>
      </w:r>
    </w:p>
    <w:p w14:paraId="164B508C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部门的负责人在工作中出现较大失误；</w:t>
      </w:r>
    </w:p>
    <w:p w14:paraId="11B55A0D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在年度考核、评价中不及格；</w:t>
      </w:r>
    </w:p>
    <w:p w14:paraId="3CD57AB8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连续两年在年度考核、评价中评分较低或偏低。</w:t>
      </w:r>
    </w:p>
    <w:p w14:paraId="477AAE83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再评价内容：</w:t>
      </w:r>
    </w:p>
    <w:p w14:paraId="1120DA59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考核的基本要求；</w:t>
      </w:r>
    </w:p>
    <w:p w14:paraId="3F4B1DB7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评价的结论意见；</w:t>
      </w:r>
    </w:p>
    <w:p w14:paraId="2226D6A0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查找出现问题的症结原因和后果程度。</w:t>
      </w:r>
    </w:p>
    <w:p w14:paraId="7732513C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如出现违法犯罪情况则不在再评价之列，送交有关法律部门处理。</w:t>
      </w:r>
    </w:p>
    <w:p w14:paraId="241A79F9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再评价的方法：</w:t>
      </w:r>
    </w:p>
    <w:p w14:paraId="587B9A14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由当事人自查根源并表明态度；</w:t>
      </w:r>
    </w:p>
    <w:p w14:paraId="0B895F04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考核组根据考核的基本要求和发生的具体情况，客观进行重新评价，并形成再评价结论。</w:t>
      </w:r>
    </w:p>
    <w:p w14:paraId="448D8158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总经理根据再评价的结论意见，做出具体处理措施的决定。</w:t>
      </w:r>
    </w:p>
    <w:p w14:paraId="412A68BF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 w:eastAsiaTheme="minorEastAsia"/>
          <w:b/>
          <w:bCs/>
          <w:sz w:val="22"/>
          <w:szCs w:val="22"/>
        </w:rPr>
        <w:t>相关文件</w:t>
      </w:r>
    </w:p>
    <w:p w14:paraId="56F5EC09">
      <w:pPr>
        <w:numPr>
          <w:ilvl w:val="1"/>
          <w:numId w:val="1"/>
        </w:numPr>
        <w:tabs>
          <w:tab w:val="left" w:pos="709"/>
          <w:tab w:val="left" w:pos="1276"/>
        </w:tabs>
        <w:spacing w:line="360" w:lineRule="auto"/>
        <w:ind w:hanging="1500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 w:eastAsiaTheme="minorEastAsia"/>
          <w:bCs/>
          <w:sz w:val="22"/>
          <w:szCs w:val="22"/>
        </w:rPr>
        <w:t>各部门</w:t>
      </w:r>
      <w:r>
        <w:rPr>
          <w:rFonts w:hint="eastAsia" w:ascii="宋体" w:hAnsi="宋体"/>
          <w:bCs/>
          <w:sz w:val="22"/>
          <w:szCs w:val="22"/>
        </w:rPr>
        <w:t>《</w:t>
      </w:r>
      <w:r>
        <w:rPr>
          <w:rFonts w:hint="eastAsia" w:ascii="宋体" w:hAnsi="宋体"/>
          <w:sz w:val="24"/>
        </w:rPr>
        <w:t>岗位职责及任职能力要求</w:t>
      </w:r>
      <w:r>
        <w:rPr>
          <w:rFonts w:hint="eastAsia" w:ascii="宋体" w:hAnsi="宋体" w:eastAsiaTheme="minorEastAsia"/>
          <w:bCs/>
          <w:sz w:val="22"/>
          <w:szCs w:val="22"/>
        </w:rPr>
        <w:t>》</w:t>
      </w:r>
    </w:p>
    <w:p w14:paraId="0863F578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相关表单</w:t>
      </w:r>
    </w:p>
    <w:p w14:paraId="6A2FBE90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AD-FM-010 《技术负责人考核、评价和再评价记录表》</w:t>
      </w:r>
    </w:p>
    <w:p w14:paraId="439AA39C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AD-FM-011 《生产负责人考核、评价和再评价记录表》</w:t>
      </w:r>
    </w:p>
    <w:p w14:paraId="051C38C0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AD-FM-012 《质量负责人考核、评价和再评价记录表》</w:t>
      </w:r>
    </w:p>
    <w:p w14:paraId="4E1959B9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47EB6027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26376D9E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5" w:type="first"/>
      <w:headerReference r:id="rId3" w:type="defaul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AD7D9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4BCA1D39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172A911C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4D6C5B16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sz w:val="32"/>
              <w:szCs w:val="32"/>
            </w:rPr>
          </w:pPr>
          <w:r>
            <w:rPr>
              <w:rFonts w:hint="eastAsia"/>
              <w:b/>
              <w:sz w:val="32"/>
              <w:szCs w:val="32"/>
            </w:rPr>
            <w:t>部门负责人考核、评价与再评价规定</w:t>
          </w:r>
        </w:p>
      </w:tc>
      <w:tc>
        <w:tcPr>
          <w:tcW w:w="1418" w:type="dxa"/>
          <w:vAlign w:val="center"/>
        </w:tcPr>
        <w:p w14:paraId="07254517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:</w:t>
          </w:r>
        </w:p>
      </w:tc>
      <w:tc>
        <w:tcPr>
          <w:tcW w:w="2139" w:type="dxa"/>
          <w:vAlign w:val="center"/>
        </w:tcPr>
        <w:p w14:paraId="56C6DF95">
          <w:pPr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AD</w:t>
          </w:r>
          <w:r>
            <w:rPr>
              <w:sz w:val="20"/>
            </w:rPr>
            <w:t>-</w:t>
          </w:r>
          <w:r>
            <w:rPr>
              <w:rFonts w:hint="eastAsia"/>
              <w:sz w:val="20"/>
            </w:rPr>
            <w:t>RG</w:t>
          </w:r>
          <w:r>
            <w:rPr>
              <w:sz w:val="20"/>
            </w:rPr>
            <w:t>-0</w:t>
          </w:r>
          <w:r>
            <w:rPr>
              <w:rFonts w:hint="eastAsia"/>
              <w:sz w:val="20"/>
            </w:rPr>
            <w:t>0</w:t>
          </w:r>
          <w:r>
            <w:rPr>
              <w:sz w:val="20"/>
            </w:rPr>
            <w:t>3</w:t>
          </w:r>
        </w:p>
      </w:tc>
    </w:tr>
    <w:tr w14:paraId="44AD6881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7E03D4E9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70F72BD6">
          <w:pPr>
            <w:jc w:val="center"/>
          </w:pPr>
        </w:p>
      </w:tc>
      <w:tc>
        <w:tcPr>
          <w:tcW w:w="1418" w:type="dxa"/>
          <w:vAlign w:val="center"/>
        </w:tcPr>
        <w:p w14:paraId="79FCFE23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</w:t>
          </w:r>
          <w:r>
            <w:rPr>
              <w:rFonts w:hint="eastAsia" w:ascii="Times New Roman" w:hAnsi="Times New Roman" w:eastAsia="宋体"/>
              <w:color w:val="auto"/>
              <w:sz w:val="22"/>
              <w:szCs w:val="22"/>
              <w:lang w:eastAsia="zh-CN"/>
            </w:rPr>
            <w:t xml:space="preserve">        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本</w:t>
          </w:r>
        </w:p>
      </w:tc>
      <w:tc>
        <w:tcPr>
          <w:tcW w:w="2139" w:type="dxa"/>
          <w:vAlign w:val="center"/>
        </w:tcPr>
        <w:p w14:paraId="033C98AB">
          <w:pPr>
            <w:jc w:val="center"/>
            <w:rPr>
              <w:sz w:val="20"/>
            </w:rPr>
          </w:pPr>
          <w:r>
            <w:rPr>
              <w:sz w:val="20"/>
            </w:rPr>
            <w:t>0</w:t>
          </w:r>
          <w:r>
            <w:rPr>
              <w:rFonts w:hint="eastAsia"/>
              <w:sz w:val="20"/>
            </w:rPr>
            <w:t>1</w:t>
          </w:r>
        </w:p>
      </w:tc>
    </w:tr>
    <w:tr w14:paraId="7202E61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0F718BB4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4C31BFE1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73DB2754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49771C87">
          <w:pPr>
            <w:jc w:val="center"/>
          </w:pPr>
          <w:r>
            <w:rPr>
              <w:rFonts w:hint="eastAsia"/>
              <w:sz w:val="20"/>
            </w:rPr>
            <w:t>20</w:t>
          </w:r>
          <w:r>
            <w:rPr>
              <w:sz w:val="20"/>
            </w:rPr>
            <w:t>20</w:t>
          </w:r>
          <w:r>
            <w:rPr>
              <w:rFonts w:hint="eastAsia"/>
              <w:sz w:val="20"/>
            </w:rPr>
            <w:t>年</w:t>
          </w:r>
          <w:r>
            <w:rPr>
              <w:sz w:val="20"/>
            </w:rPr>
            <w:t>0</w:t>
          </w:r>
          <w:r>
            <w:rPr>
              <w:rFonts w:hint="eastAsia"/>
              <w:sz w:val="20"/>
            </w:rPr>
            <w:t>2月19日</w:t>
          </w:r>
        </w:p>
      </w:tc>
    </w:tr>
    <w:tr w14:paraId="24FB22B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1968E72F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4A74A78D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09E9DF2D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</w:t>
          </w:r>
          <w:r>
            <w:rPr>
              <w:rFonts w:hint="eastAsia" w:ascii="Times New Roman" w:hAnsi="Times New Roman" w:eastAsia="宋体"/>
              <w:color w:val="auto"/>
              <w:sz w:val="22"/>
              <w:szCs w:val="22"/>
              <w:lang w:eastAsia="zh-CN"/>
            </w:rPr>
            <w:t xml:space="preserve">       </w:t>
          </w: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码</w:t>
          </w:r>
        </w:p>
      </w:tc>
      <w:tc>
        <w:tcPr>
          <w:tcW w:w="2139" w:type="dxa"/>
          <w:vAlign w:val="center"/>
        </w:tcPr>
        <w:p w14:paraId="5AD7DEC7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6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6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6A401B84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8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58"/>
      <w:gridCol w:w="5377"/>
      <w:gridCol w:w="1415"/>
      <w:gridCol w:w="555"/>
      <w:gridCol w:w="1170"/>
      <w:gridCol w:w="411"/>
    </w:tblGrid>
    <w:tr w14:paraId="5036DA69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558" w:type="dxa"/>
          <w:vMerge w:val="restart"/>
          <w:tcBorders>
            <w:right w:val="single" w:color="auto" w:sz="4" w:space="0"/>
          </w:tcBorders>
          <w:vAlign w:val="center"/>
        </w:tcPr>
        <w:p w14:paraId="571551A1">
          <w:pPr>
            <w:jc w:val="center"/>
          </w:pPr>
          <w:bookmarkStart w:id="3" w:name="_Hlk489625929"/>
        </w:p>
      </w:tc>
      <w:tc>
        <w:tcPr>
          <w:tcW w:w="5377" w:type="dxa"/>
          <w:vMerge w:val="restart"/>
          <w:tcBorders>
            <w:left w:val="single" w:color="auto" w:sz="4" w:space="0"/>
          </w:tcBorders>
          <w:vAlign w:val="center"/>
        </w:tcPr>
        <w:p w14:paraId="63BF55FE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sz w:val="32"/>
              <w:szCs w:val="32"/>
            </w:rPr>
          </w:pPr>
          <w:r>
            <w:rPr>
              <w:rFonts w:hint="eastAsia"/>
              <w:b/>
              <w:sz w:val="32"/>
              <w:szCs w:val="32"/>
            </w:rPr>
            <w:t>部门负责人考核、评价与再评价规定</w:t>
          </w:r>
        </w:p>
      </w:tc>
      <w:tc>
        <w:tcPr>
          <w:tcW w:w="1415" w:type="dxa"/>
          <w:vAlign w:val="center"/>
        </w:tcPr>
        <w:p w14:paraId="404DA30C">
          <w:pPr>
            <w:pStyle w:val="2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36" w:type="dxa"/>
          <w:gridSpan w:val="3"/>
          <w:vAlign w:val="center"/>
        </w:tcPr>
        <w:p w14:paraId="1D114476">
          <w:pPr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AD</w:t>
          </w:r>
          <w:r>
            <w:rPr>
              <w:sz w:val="20"/>
            </w:rPr>
            <w:t>-</w:t>
          </w:r>
          <w:r>
            <w:rPr>
              <w:rFonts w:hint="eastAsia"/>
              <w:sz w:val="20"/>
            </w:rPr>
            <w:t>RG</w:t>
          </w:r>
          <w:r>
            <w:rPr>
              <w:sz w:val="20"/>
            </w:rPr>
            <w:t>-0</w:t>
          </w:r>
          <w:r>
            <w:rPr>
              <w:rFonts w:hint="eastAsia"/>
              <w:sz w:val="20"/>
            </w:rPr>
            <w:t>0</w:t>
          </w:r>
          <w:r>
            <w:rPr>
              <w:sz w:val="20"/>
            </w:rPr>
            <w:t>3</w:t>
          </w:r>
        </w:p>
      </w:tc>
    </w:tr>
    <w:tr w14:paraId="74AE65A6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558" w:type="dxa"/>
          <w:vMerge w:val="continue"/>
          <w:tcBorders>
            <w:right w:val="single" w:color="auto" w:sz="4" w:space="0"/>
          </w:tcBorders>
          <w:vAlign w:val="center"/>
        </w:tcPr>
        <w:p w14:paraId="552B9F9C">
          <w:pPr>
            <w:jc w:val="center"/>
            <w:rPr>
              <w:b/>
            </w:rPr>
          </w:pPr>
        </w:p>
      </w:tc>
      <w:tc>
        <w:tcPr>
          <w:tcW w:w="5377" w:type="dxa"/>
          <w:vMerge w:val="continue"/>
          <w:tcBorders>
            <w:left w:val="single" w:color="auto" w:sz="4" w:space="0"/>
          </w:tcBorders>
          <w:vAlign w:val="center"/>
        </w:tcPr>
        <w:p w14:paraId="30937A65">
          <w:pPr>
            <w:jc w:val="center"/>
            <w:rPr>
              <w:b/>
            </w:rPr>
          </w:pPr>
        </w:p>
      </w:tc>
      <w:tc>
        <w:tcPr>
          <w:tcW w:w="1415" w:type="dxa"/>
          <w:vAlign w:val="center"/>
        </w:tcPr>
        <w:p w14:paraId="16852016">
          <w:pPr>
            <w:pStyle w:val="2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</w:t>
          </w:r>
          <w:r>
            <w:rPr>
              <w:rFonts w:hint="eastAsia" w:ascii="Times New Roman" w:hAnsi="Times New Roman" w:eastAsia="宋体"/>
              <w:color w:val="auto"/>
              <w:sz w:val="22"/>
              <w:szCs w:val="22"/>
              <w:lang w:eastAsia="zh-CN"/>
            </w:rPr>
            <w:t xml:space="preserve">        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本</w:t>
          </w:r>
        </w:p>
      </w:tc>
      <w:tc>
        <w:tcPr>
          <w:tcW w:w="555" w:type="dxa"/>
          <w:vAlign w:val="center"/>
        </w:tcPr>
        <w:p w14:paraId="4A990DB0">
          <w:pPr>
            <w:jc w:val="center"/>
            <w:rPr>
              <w:sz w:val="20"/>
            </w:rPr>
          </w:pPr>
          <w:r>
            <w:rPr>
              <w:sz w:val="20"/>
            </w:rPr>
            <w:t>0</w:t>
          </w:r>
          <w:r>
            <w:rPr>
              <w:rFonts w:hint="eastAsia"/>
              <w:sz w:val="20"/>
            </w:rPr>
            <w:t>1</w:t>
          </w:r>
        </w:p>
      </w:tc>
      <w:tc>
        <w:tcPr>
          <w:tcW w:w="1170" w:type="dxa"/>
          <w:vAlign w:val="center"/>
        </w:tcPr>
        <w:p w14:paraId="64113284">
          <w:pPr>
            <w:jc w:val="center"/>
            <w:rPr>
              <w:rFonts w:ascii="宋体" w:hAnsi="宋体"/>
            </w:rPr>
          </w:pPr>
          <w:r>
            <w:rPr>
              <w:rFonts w:hint="eastAsia" w:ascii="宋体" w:hAnsi="宋体"/>
              <w:sz w:val="22"/>
            </w:rPr>
            <w:t>修改次数</w:t>
          </w:r>
        </w:p>
      </w:tc>
      <w:tc>
        <w:tcPr>
          <w:tcW w:w="411" w:type="dxa"/>
          <w:vAlign w:val="center"/>
        </w:tcPr>
        <w:p w14:paraId="129E6BFB">
          <w:pPr>
            <w:jc w:val="center"/>
            <w:rPr>
              <w:rFonts w:ascii="宋体" w:hAnsi="宋体"/>
              <w:sz w:val="20"/>
            </w:rPr>
          </w:pPr>
          <w:r>
            <w:rPr>
              <w:rFonts w:hint="eastAsia" w:ascii="宋体" w:hAnsi="宋体"/>
              <w:sz w:val="20"/>
            </w:rPr>
            <w:t>0</w:t>
          </w:r>
        </w:p>
      </w:tc>
    </w:tr>
    <w:tr w14:paraId="6637CFD2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558" w:type="dxa"/>
          <w:tcBorders>
            <w:right w:val="single" w:color="auto" w:sz="4" w:space="0"/>
          </w:tcBorders>
          <w:vAlign w:val="center"/>
        </w:tcPr>
        <w:p w14:paraId="0BE5F0A5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tcBorders>
            <w:bottom w:val="single" w:color="auto" w:sz="4" w:space="0"/>
          </w:tcBorders>
          <w:vAlign w:val="center"/>
        </w:tcPr>
        <w:p w14:paraId="69A680F3">
          <w:pPr>
            <w:jc w:val="left"/>
          </w:pPr>
        </w:p>
      </w:tc>
      <w:tc>
        <w:tcPr>
          <w:tcW w:w="1415" w:type="dxa"/>
          <w:tcBorders>
            <w:bottom w:val="single" w:color="auto" w:sz="4" w:space="0"/>
          </w:tcBorders>
          <w:vAlign w:val="center"/>
        </w:tcPr>
        <w:p w14:paraId="5A35AE04">
          <w:pPr>
            <w:pStyle w:val="2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6" w:type="dxa"/>
          <w:gridSpan w:val="3"/>
          <w:tcBorders>
            <w:bottom w:val="single" w:color="auto" w:sz="4" w:space="0"/>
          </w:tcBorders>
          <w:vAlign w:val="center"/>
        </w:tcPr>
        <w:p w14:paraId="759C907F">
          <w:pPr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20</w:t>
          </w:r>
          <w:r>
            <w:rPr>
              <w:sz w:val="20"/>
            </w:rPr>
            <w:t>20</w:t>
          </w:r>
          <w:r>
            <w:rPr>
              <w:rFonts w:hint="eastAsia"/>
              <w:sz w:val="20"/>
            </w:rPr>
            <w:t>年</w:t>
          </w:r>
          <w:r>
            <w:rPr>
              <w:sz w:val="20"/>
            </w:rPr>
            <w:t>0</w:t>
          </w:r>
          <w:r>
            <w:rPr>
              <w:rFonts w:hint="eastAsia"/>
              <w:sz w:val="20"/>
            </w:rPr>
            <w:t>2月19日</w:t>
          </w:r>
        </w:p>
      </w:tc>
    </w:tr>
    <w:tr w14:paraId="09E650C9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558" w:type="dxa"/>
          <w:vAlign w:val="center"/>
        </w:tcPr>
        <w:p w14:paraId="7E5F0852">
          <w:pPr>
            <w:jc w:val="left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78DBC7CE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075BC717">
          <w:pPr>
            <w:pStyle w:val="2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</w:t>
          </w:r>
          <w:r>
            <w:rPr>
              <w:rFonts w:hint="eastAsia" w:ascii="Times New Roman" w:hAnsi="Times New Roman" w:eastAsia="宋体"/>
              <w:color w:val="auto"/>
              <w:sz w:val="22"/>
              <w:szCs w:val="22"/>
              <w:lang w:eastAsia="zh-CN"/>
            </w:rPr>
            <w:t xml:space="preserve">        </w:t>
          </w: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码</w:t>
          </w:r>
        </w:p>
      </w:tc>
      <w:tc>
        <w:tcPr>
          <w:tcW w:w="2136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3787D77D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6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3695441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558" w:type="dxa"/>
          <w:vAlign w:val="center"/>
        </w:tcPr>
        <w:p w14:paraId="26BC8F2F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1381C6AE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</w:tcBorders>
          <w:vAlign w:val="center"/>
        </w:tcPr>
        <w:p w14:paraId="219675AC">
          <w:r>
            <w:rPr>
              <w:sz w:val="22"/>
              <w:szCs w:val="22"/>
            </w:rPr>
            <w:t>受控状态</w:t>
          </w:r>
        </w:p>
      </w:tc>
      <w:tc>
        <w:tcPr>
          <w:tcW w:w="2136" w:type="dxa"/>
          <w:gridSpan w:val="3"/>
          <w:tcBorders>
            <w:top w:val="single" w:color="auto" w:sz="4" w:space="0"/>
          </w:tcBorders>
          <w:vAlign w:val="center"/>
        </w:tcPr>
        <w:p w14:paraId="0CB1A712">
          <w:pPr>
            <w:jc w:val="center"/>
          </w:pPr>
          <w:r>
            <w:rPr>
              <w:szCs w:val="22"/>
            </w:rPr>
            <w:t>受控</w:t>
          </w:r>
        </w:p>
      </w:tc>
    </w:tr>
    <w:bookmarkEnd w:id="3"/>
  </w:tbl>
  <w:p w14:paraId="7416047F">
    <w:pPr>
      <w:pStyle w:val="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C550F"/>
    <w:multiLevelType w:val="multilevel"/>
    <w:tmpl w:val="377C550F"/>
    <w:lvl w:ilvl="0" w:tentative="0">
      <w:start w:val="1"/>
      <w:numFmt w:val="decimal"/>
      <w:lvlText w:val="%1.0"/>
      <w:lvlJc w:val="left"/>
      <w:pPr>
        <w:ind w:left="1789" w:hanging="360"/>
      </w:pPr>
      <w:rPr>
        <w:rFonts w:hint="default" w:ascii="宋体" w:hAnsi="宋体" w:eastAsia="宋体"/>
        <w:b/>
        <w:sz w:val="22"/>
        <w:lang w:val="en-GB"/>
      </w:rPr>
    </w:lvl>
    <w:lvl w:ilvl="1" w:tentative="0">
      <w:start w:val="1"/>
      <w:numFmt w:val="decimal"/>
      <w:lvlText w:val="%1.%2"/>
      <w:lvlJc w:val="left"/>
      <w:pPr>
        <w:ind w:left="2209" w:hanging="360"/>
      </w:pPr>
      <w:rPr>
        <w:rFonts w:hint="default" w:ascii="宋体" w:hAnsi="宋体" w:eastAsia="宋体"/>
        <w:b w:val="0"/>
        <w:sz w:val="22"/>
        <w:szCs w:val="22"/>
      </w:rPr>
    </w:lvl>
    <w:lvl w:ilvl="2" w:tentative="0">
      <w:start w:val="1"/>
      <w:numFmt w:val="decimal"/>
      <w:lvlText w:val="%1.%2.%3"/>
      <w:lvlJc w:val="left"/>
      <w:pPr>
        <w:ind w:left="1980" w:hanging="720"/>
      </w:pPr>
      <w:rPr>
        <w:rFonts w:hint="default" w:ascii="宋体" w:hAnsi="宋体" w:eastAsia="宋体" w:cs="Arial"/>
        <w:b w:val="0"/>
        <w:sz w:val="22"/>
      </w:rPr>
    </w:lvl>
    <w:lvl w:ilvl="3" w:tentative="0">
      <w:start w:val="1"/>
      <w:numFmt w:val="decimal"/>
      <w:lvlText w:val="%1.%2.%3.%4."/>
      <w:lvlJc w:val="left"/>
      <w:pPr>
        <w:ind w:left="3769" w:hanging="1080"/>
      </w:pPr>
      <w:rPr>
        <w:rFonts w:hint="default" w:ascii="宋体" w:hAnsi="宋体" w:eastAsia="宋体" w:cs="Arial"/>
      </w:rPr>
    </w:lvl>
    <w:lvl w:ilvl="4" w:tentative="0">
      <w:start w:val="1"/>
      <w:numFmt w:val="lowerLetter"/>
      <w:lvlText w:val="%5."/>
      <w:lvlJc w:val="left"/>
      <w:pPr>
        <w:ind w:left="4189" w:hanging="1080"/>
      </w:pPr>
      <w:rPr>
        <w:rFonts w:hint="default" w:ascii="Arial" w:hAnsi="Arial" w:eastAsia="PMingLiU" w:cs="Arial"/>
      </w:rPr>
    </w:lvl>
    <w:lvl w:ilvl="5" w:tentative="0">
      <w:start w:val="1"/>
      <w:numFmt w:val="decimal"/>
      <w:lvlText w:val="%1.%2.%3.%4.%5.%6"/>
      <w:lvlJc w:val="left"/>
      <w:pPr>
        <w:ind w:left="4969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389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169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5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1509"/>
    <w:rsid w:val="00033F9E"/>
    <w:rsid w:val="00037C71"/>
    <w:rsid w:val="000437F5"/>
    <w:rsid w:val="000508A1"/>
    <w:rsid w:val="000546B6"/>
    <w:rsid w:val="000566AC"/>
    <w:rsid w:val="000622BC"/>
    <w:rsid w:val="0006596D"/>
    <w:rsid w:val="00074C4D"/>
    <w:rsid w:val="0007577B"/>
    <w:rsid w:val="000901DF"/>
    <w:rsid w:val="00093A75"/>
    <w:rsid w:val="000C2C7E"/>
    <w:rsid w:val="000C3E3B"/>
    <w:rsid w:val="000F5249"/>
    <w:rsid w:val="000F7932"/>
    <w:rsid w:val="000F7A88"/>
    <w:rsid w:val="00106B06"/>
    <w:rsid w:val="00110ABA"/>
    <w:rsid w:val="001164F3"/>
    <w:rsid w:val="00130DFA"/>
    <w:rsid w:val="00131552"/>
    <w:rsid w:val="001421C8"/>
    <w:rsid w:val="00153CBD"/>
    <w:rsid w:val="001849B4"/>
    <w:rsid w:val="001A03E9"/>
    <w:rsid w:val="001A3D6C"/>
    <w:rsid w:val="001B054E"/>
    <w:rsid w:val="001B1494"/>
    <w:rsid w:val="001B7511"/>
    <w:rsid w:val="001D03FE"/>
    <w:rsid w:val="001D22E3"/>
    <w:rsid w:val="001D75F1"/>
    <w:rsid w:val="001E6B14"/>
    <w:rsid w:val="001F11B8"/>
    <w:rsid w:val="001F6043"/>
    <w:rsid w:val="001F68C6"/>
    <w:rsid w:val="00205D30"/>
    <w:rsid w:val="00214FC3"/>
    <w:rsid w:val="002200D3"/>
    <w:rsid w:val="00223D4B"/>
    <w:rsid w:val="002403C0"/>
    <w:rsid w:val="00240898"/>
    <w:rsid w:val="00244DDA"/>
    <w:rsid w:val="002515CA"/>
    <w:rsid w:val="00251F12"/>
    <w:rsid w:val="00255F32"/>
    <w:rsid w:val="00256506"/>
    <w:rsid w:val="002653C0"/>
    <w:rsid w:val="00266C76"/>
    <w:rsid w:val="0027440C"/>
    <w:rsid w:val="00280AC4"/>
    <w:rsid w:val="00284EC9"/>
    <w:rsid w:val="00286F70"/>
    <w:rsid w:val="002875EB"/>
    <w:rsid w:val="00297513"/>
    <w:rsid w:val="002C0FC6"/>
    <w:rsid w:val="002F2FC0"/>
    <w:rsid w:val="00303F87"/>
    <w:rsid w:val="00310D30"/>
    <w:rsid w:val="00313BCC"/>
    <w:rsid w:val="00332C36"/>
    <w:rsid w:val="00333BEF"/>
    <w:rsid w:val="00347BD9"/>
    <w:rsid w:val="00361C94"/>
    <w:rsid w:val="0036433E"/>
    <w:rsid w:val="00367E46"/>
    <w:rsid w:val="00383D30"/>
    <w:rsid w:val="0038751A"/>
    <w:rsid w:val="003C752B"/>
    <w:rsid w:val="003D384C"/>
    <w:rsid w:val="004074C9"/>
    <w:rsid w:val="00412719"/>
    <w:rsid w:val="00414551"/>
    <w:rsid w:val="00416532"/>
    <w:rsid w:val="004214BE"/>
    <w:rsid w:val="00422780"/>
    <w:rsid w:val="00423F19"/>
    <w:rsid w:val="00431F7A"/>
    <w:rsid w:val="004360FF"/>
    <w:rsid w:val="00447ECD"/>
    <w:rsid w:val="0047134B"/>
    <w:rsid w:val="004841EE"/>
    <w:rsid w:val="0048621C"/>
    <w:rsid w:val="00493B8E"/>
    <w:rsid w:val="00497C2C"/>
    <w:rsid w:val="004A218D"/>
    <w:rsid w:val="004B3BA4"/>
    <w:rsid w:val="004C3C1F"/>
    <w:rsid w:val="004C4C80"/>
    <w:rsid w:val="004C6221"/>
    <w:rsid w:val="004C6D60"/>
    <w:rsid w:val="004C70E4"/>
    <w:rsid w:val="004F228A"/>
    <w:rsid w:val="004F2CD9"/>
    <w:rsid w:val="004F35F6"/>
    <w:rsid w:val="004F44E1"/>
    <w:rsid w:val="004F5BF5"/>
    <w:rsid w:val="00507256"/>
    <w:rsid w:val="005072DD"/>
    <w:rsid w:val="005172E4"/>
    <w:rsid w:val="00532A6F"/>
    <w:rsid w:val="00534135"/>
    <w:rsid w:val="0053448C"/>
    <w:rsid w:val="00540F51"/>
    <w:rsid w:val="005427AF"/>
    <w:rsid w:val="00554A69"/>
    <w:rsid w:val="00556451"/>
    <w:rsid w:val="00556DF7"/>
    <w:rsid w:val="00560CB9"/>
    <w:rsid w:val="00576701"/>
    <w:rsid w:val="005802B2"/>
    <w:rsid w:val="005A105B"/>
    <w:rsid w:val="005A72EA"/>
    <w:rsid w:val="005B199A"/>
    <w:rsid w:val="005B3CC2"/>
    <w:rsid w:val="005B58C7"/>
    <w:rsid w:val="005E4724"/>
    <w:rsid w:val="005F6765"/>
    <w:rsid w:val="005F76E9"/>
    <w:rsid w:val="006004CE"/>
    <w:rsid w:val="006076EA"/>
    <w:rsid w:val="006118D1"/>
    <w:rsid w:val="006123F7"/>
    <w:rsid w:val="006136C0"/>
    <w:rsid w:val="0061490E"/>
    <w:rsid w:val="00615CF6"/>
    <w:rsid w:val="006307CE"/>
    <w:rsid w:val="00633DC0"/>
    <w:rsid w:val="00643503"/>
    <w:rsid w:val="0065667F"/>
    <w:rsid w:val="00660700"/>
    <w:rsid w:val="00661863"/>
    <w:rsid w:val="00664881"/>
    <w:rsid w:val="00666262"/>
    <w:rsid w:val="006707BA"/>
    <w:rsid w:val="006709E2"/>
    <w:rsid w:val="00677BB1"/>
    <w:rsid w:val="0068156C"/>
    <w:rsid w:val="006849FC"/>
    <w:rsid w:val="006A2A6F"/>
    <w:rsid w:val="006B0E20"/>
    <w:rsid w:val="006E4313"/>
    <w:rsid w:val="00715EA3"/>
    <w:rsid w:val="00741DA4"/>
    <w:rsid w:val="00744415"/>
    <w:rsid w:val="007722F0"/>
    <w:rsid w:val="00785BE2"/>
    <w:rsid w:val="00793B92"/>
    <w:rsid w:val="00794E0F"/>
    <w:rsid w:val="00795997"/>
    <w:rsid w:val="0079736C"/>
    <w:rsid w:val="007B5C07"/>
    <w:rsid w:val="007B6DE9"/>
    <w:rsid w:val="007C29E7"/>
    <w:rsid w:val="007C573E"/>
    <w:rsid w:val="007D105F"/>
    <w:rsid w:val="007E1B4C"/>
    <w:rsid w:val="007E608D"/>
    <w:rsid w:val="007F20CC"/>
    <w:rsid w:val="00802148"/>
    <w:rsid w:val="00803259"/>
    <w:rsid w:val="00825130"/>
    <w:rsid w:val="00833520"/>
    <w:rsid w:val="00862D06"/>
    <w:rsid w:val="008743CB"/>
    <w:rsid w:val="00877016"/>
    <w:rsid w:val="0088239F"/>
    <w:rsid w:val="008975EF"/>
    <w:rsid w:val="008A472F"/>
    <w:rsid w:val="008B4A01"/>
    <w:rsid w:val="008B6FA3"/>
    <w:rsid w:val="008C19BF"/>
    <w:rsid w:val="008D76CA"/>
    <w:rsid w:val="008E7FB2"/>
    <w:rsid w:val="009006D5"/>
    <w:rsid w:val="009432A6"/>
    <w:rsid w:val="00943388"/>
    <w:rsid w:val="009513FC"/>
    <w:rsid w:val="00955B42"/>
    <w:rsid w:val="00956605"/>
    <w:rsid w:val="0097035E"/>
    <w:rsid w:val="00973017"/>
    <w:rsid w:val="009759E9"/>
    <w:rsid w:val="00984FD4"/>
    <w:rsid w:val="00996157"/>
    <w:rsid w:val="009C4077"/>
    <w:rsid w:val="009E2C62"/>
    <w:rsid w:val="009E34F2"/>
    <w:rsid w:val="009F13E4"/>
    <w:rsid w:val="009F23A2"/>
    <w:rsid w:val="00A05E34"/>
    <w:rsid w:val="00A451B8"/>
    <w:rsid w:val="00A53D80"/>
    <w:rsid w:val="00A600C8"/>
    <w:rsid w:val="00A73790"/>
    <w:rsid w:val="00A765EE"/>
    <w:rsid w:val="00A91035"/>
    <w:rsid w:val="00A941EE"/>
    <w:rsid w:val="00AD22E7"/>
    <w:rsid w:val="00AD6DCA"/>
    <w:rsid w:val="00B07A94"/>
    <w:rsid w:val="00B1191C"/>
    <w:rsid w:val="00B23254"/>
    <w:rsid w:val="00B263C0"/>
    <w:rsid w:val="00B4049A"/>
    <w:rsid w:val="00B42140"/>
    <w:rsid w:val="00B50CC3"/>
    <w:rsid w:val="00B553E2"/>
    <w:rsid w:val="00B56E5C"/>
    <w:rsid w:val="00B77D84"/>
    <w:rsid w:val="00B8253A"/>
    <w:rsid w:val="00B91B69"/>
    <w:rsid w:val="00BA3637"/>
    <w:rsid w:val="00BA4135"/>
    <w:rsid w:val="00BA483F"/>
    <w:rsid w:val="00BB0A40"/>
    <w:rsid w:val="00BC439F"/>
    <w:rsid w:val="00BC50F6"/>
    <w:rsid w:val="00BC6EC4"/>
    <w:rsid w:val="00BD094F"/>
    <w:rsid w:val="00BE78BB"/>
    <w:rsid w:val="00BF261B"/>
    <w:rsid w:val="00BF57E1"/>
    <w:rsid w:val="00C023E1"/>
    <w:rsid w:val="00C10857"/>
    <w:rsid w:val="00C1256D"/>
    <w:rsid w:val="00C30A2C"/>
    <w:rsid w:val="00C701B1"/>
    <w:rsid w:val="00C80ADC"/>
    <w:rsid w:val="00C8340F"/>
    <w:rsid w:val="00C8464D"/>
    <w:rsid w:val="00C852B8"/>
    <w:rsid w:val="00C92ABA"/>
    <w:rsid w:val="00CB7F06"/>
    <w:rsid w:val="00CC1794"/>
    <w:rsid w:val="00CD7210"/>
    <w:rsid w:val="00CF1042"/>
    <w:rsid w:val="00CF4928"/>
    <w:rsid w:val="00D03687"/>
    <w:rsid w:val="00D17336"/>
    <w:rsid w:val="00D3765F"/>
    <w:rsid w:val="00D613F2"/>
    <w:rsid w:val="00D61F9C"/>
    <w:rsid w:val="00D6726B"/>
    <w:rsid w:val="00D67D05"/>
    <w:rsid w:val="00D714F9"/>
    <w:rsid w:val="00D803C6"/>
    <w:rsid w:val="00DC691A"/>
    <w:rsid w:val="00DE707E"/>
    <w:rsid w:val="00DF0978"/>
    <w:rsid w:val="00DF4776"/>
    <w:rsid w:val="00E005C9"/>
    <w:rsid w:val="00E1250F"/>
    <w:rsid w:val="00E26CF8"/>
    <w:rsid w:val="00E336AC"/>
    <w:rsid w:val="00E34118"/>
    <w:rsid w:val="00E43D41"/>
    <w:rsid w:val="00E668E2"/>
    <w:rsid w:val="00E76CDA"/>
    <w:rsid w:val="00E87B7A"/>
    <w:rsid w:val="00EB272E"/>
    <w:rsid w:val="00EB512C"/>
    <w:rsid w:val="00EB6962"/>
    <w:rsid w:val="00EB7F2A"/>
    <w:rsid w:val="00EE7D19"/>
    <w:rsid w:val="00EF2779"/>
    <w:rsid w:val="00EF43BF"/>
    <w:rsid w:val="00F0486F"/>
    <w:rsid w:val="00F12707"/>
    <w:rsid w:val="00F129C7"/>
    <w:rsid w:val="00F34700"/>
    <w:rsid w:val="00F43E3F"/>
    <w:rsid w:val="00F45155"/>
    <w:rsid w:val="00F51A0A"/>
    <w:rsid w:val="00F51B24"/>
    <w:rsid w:val="00F57173"/>
    <w:rsid w:val="00FA4DFA"/>
    <w:rsid w:val="00FA5070"/>
    <w:rsid w:val="00FB5F13"/>
    <w:rsid w:val="00FB6D29"/>
    <w:rsid w:val="00FD5B21"/>
    <w:rsid w:val="00FF5C4C"/>
    <w:rsid w:val="32904F7A"/>
    <w:rsid w:val="347348F3"/>
    <w:rsid w:val="4269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uiPriority w:val="0"/>
    <w:pPr>
      <w:spacing w:line="240" w:lineRule="atLeast"/>
      <w:ind w:firstLine="640" w:firstLineChars="200"/>
    </w:pPr>
    <w:rPr>
      <w:sz w:val="32"/>
    </w:rPr>
  </w:style>
  <w:style w:type="paragraph" w:styleId="4">
    <w:name w:val="Plain Text"/>
    <w:basedOn w:val="1"/>
    <w:link w:val="18"/>
    <w:uiPriority w:val="0"/>
    <w:rPr>
      <w:rFonts w:ascii="宋体" w:hAnsi="Courier New"/>
      <w:sz w:val="24"/>
      <w:szCs w:val="20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2">
    <w:name w:val="页脚 字符"/>
    <w:basedOn w:val="10"/>
    <w:link w:val="6"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3">
    <w:name w:val="标题 3 字符"/>
    <w:basedOn w:val="10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4">
    <w:name w:val="Level 1 - bullet"/>
    <w:basedOn w:val="1"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正文文本缩进 字符"/>
    <w:basedOn w:val="10"/>
    <w:link w:val="3"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17">
    <w:name w:val="批注框文本 字符"/>
    <w:basedOn w:val="10"/>
    <w:link w:val="5"/>
    <w:semiHidden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18">
    <w:name w:val="纯文本 字符"/>
    <w:basedOn w:val="10"/>
    <w:link w:val="4"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7BFC-8A3B-4299-ACA1-685B925C5D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1998</Words>
  <Characters>2783</Characters>
  <Lines>16</Lines>
  <Paragraphs>4</Paragraphs>
  <TotalTime>6</TotalTime>
  <ScaleCrop>false</ScaleCrop>
  <LinksUpToDate>false</LinksUpToDate>
  <CharactersWithSpaces>2790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2017-08-04T10:15:00Z</dcterms:created>
  <dc:creator>cslau</dc:creator>
  <cp:lastModifiedBy>太极箫客</cp:lastModifiedBy>
  <cp:lastPrinted>2017-09-06T02:05:00Z</cp:lastPrinted>
  <dcterms:modified xsi:type="dcterms:W3CDTF">2025-08-14T06:15:50Z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6FDFDA8FBDC24F86935D32B9EB44D924_12</vt:lpwstr>
  </property>
</Properties>
</file>